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91FC2" w14:textId="4DD1A7EB" w:rsidR="00B05086" w:rsidRPr="00E869A4" w:rsidRDefault="00586534" w:rsidP="00744088">
      <w:pPr>
        <w:tabs>
          <w:tab w:val="left" w:pos="10065"/>
        </w:tabs>
        <w:autoSpaceDE w:val="0"/>
        <w:autoSpaceDN w:val="0"/>
        <w:adjustRightInd w:val="0"/>
        <w:ind w:right="49" w:firstLine="0"/>
        <w:jc w:val="center"/>
        <w:rPr>
          <w:rFonts w:ascii="Times New Roman" w:hAnsi="Times New Roman" w:cs="Times New Roman"/>
          <w:szCs w:val="24"/>
        </w:rPr>
      </w:pPr>
      <w:bookmarkStart w:id="0" w:name="_top"/>
      <w:bookmarkEnd w:id="0"/>
      <w:r w:rsidRPr="00E869A4">
        <w:rPr>
          <w:rFonts w:ascii="Times New Roman" w:hAnsi="Times New Roman" w:cs="Times New Roman"/>
          <w:szCs w:val="24"/>
        </w:rPr>
        <w:t xml:space="preserve"> </w:t>
      </w:r>
      <w:r w:rsidR="00F60A3A" w:rsidRPr="00E869A4">
        <w:rPr>
          <w:rFonts w:ascii="Times New Roman" w:hAnsi="Times New Roman" w:cs="Times New Roman"/>
          <w:szCs w:val="24"/>
        </w:rPr>
        <w:t xml:space="preserve">  </w:t>
      </w:r>
      <w:r w:rsidR="00B05086" w:rsidRPr="00E869A4">
        <w:rPr>
          <w:rFonts w:ascii="Times New Roman" w:hAnsi="Times New Roman" w:cs="Times New Roman"/>
          <w:noProof/>
        </w:rPr>
        <w:drawing>
          <wp:inline distT="0" distB="0" distL="0" distR="0" wp14:anchorId="160EF3C6" wp14:editId="56AAAEF2">
            <wp:extent cx="3036570" cy="1104265"/>
            <wp:effectExtent l="0" t="0" r="0" b="635"/>
            <wp:docPr id="1" name="Picture 1" descr="\\ashopton\usr42\LSC\Arp10sm\ManW7\Desktop\logo.jpg"/>
            <wp:cNvGraphicFramePr/>
            <a:graphic xmlns:a="http://schemas.openxmlformats.org/drawingml/2006/main">
              <a:graphicData uri="http://schemas.openxmlformats.org/drawingml/2006/picture">
                <pic:pic xmlns:pic="http://schemas.openxmlformats.org/drawingml/2006/picture">
                  <pic:nvPicPr>
                    <pic:cNvPr id="1" name="Picture 1" descr="\\ashopton\usr42\LSC\Arp10sm\ManW7\Desktop\logo.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inline>
        </w:drawing>
      </w:r>
    </w:p>
    <w:p w14:paraId="46A416F7" w14:textId="77777777" w:rsidR="00B05086" w:rsidRPr="00E869A4" w:rsidRDefault="00B05086" w:rsidP="009D24E6">
      <w:pPr>
        <w:autoSpaceDE w:val="0"/>
        <w:autoSpaceDN w:val="0"/>
        <w:adjustRightInd w:val="0"/>
        <w:ind w:firstLine="0"/>
        <w:rPr>
          <w:rFonts w:ascii="Times New Roman" w:hAnsi="Times New Roman" w:cs="Times New Roman"/>
          <w:szCs w:val="24"/>
        </w:rPr>
      </w:pPr>
    </w:p>
    <w:p w14:paraId="2011D221" w14:textId="77777777" w:rsidR="00B05086" w:rsidRPr="00E869A4" w:rsidRDefault="00B05086" w:rsidP="009D24E6">
      <w:pPr>
        <w:autoSpaceDE w:val="0"/>
        <w:autoSpaceDN w:val="0"/>
        <w:adjustRightInd w:val="0"/>
        <w:ind w:firstLine="0"/>
        <w:rPr>
          <w:rFonts w:ascii="Times New Roman" w:hAnsi="Times New Roman" w:cs="Times New Roman"/>
          <w:szCs w:val="24"/>
        </w:rPr>
      </w:pPr>
    </w:p>
    <w:p w14:paraId="66B71201" w14:textId="1E3E75EB" w:rsidR="00B05086" w:rsidRPr="00E869A4" w:rsidRDefault="00B05086" w:rsidP="00744088">
      <w:pPr>
        <w:autoSpaceDE w:val="0"/>
        <w:autoSpaceDN w:val="0"/>
        <w:adjustRightInd w:val="0"/>
        <w:ind w:right="49" w:firstLine="0"/>
        <w:jc w:val="center"/>
        <w:rPr>
          <w:rFonts w:ascii="Times New Roman" w:hAnsi="Times New Roman" w:cs="Times New Roman"/>
          <w:b/>
          <w:bCs/>
          <w:sz w:val="28"/>
          <w:szCs w:val="28"/>
          <w:shd w:val="clear" w:color="auto" w:fill="FFFFFF"/>
        </w:rPr>
      </w:pPr>
      <w:r w:rsidRPr="00E869A4">
        <w:rPr>
          <w:rFonts w:ascii="Times New Roman" w:hAnsi="Times New Roman" w:cs="Times New Roman"/>
          <w:b/>
          <w:bCs/>
          <w:sz w:val="28"/>
          <w:szCs w:val="28"/>
          <w:shd w:val="clear" w:color="auto" w:fill="FFFFFF"/>
        </w:rPr>
        <w:t>FAMILY CARE FOR FRAIL OLDER PERSONS</w:t>
      </w:r>
      <w:r w:rsidR="00377DC1" w:rsidRPr="00E869A4">
        <w:rPr>
          <w:rFonts w:ascii="Times New Roman" w:hAnsi="Times New Roman" w:cs="Times New Roman"/>
          <w:b/>
          <w:bCs/>
          <w:sz w:val="28"/>
          <w:szCs w:val="28"/>
          <w:shd w:val="clear" w:color="auto" w:fill="FFFFFF"/>
        </w:rPr>
        <w:t>:</w:t>
      </w:r>
    </w:p>
    <w:p w14:paraId="183A9E49" w14:textId="77777777" w:rsidR="00B05086" w:rsidRPr="00E869A4" w:rsidRDefault="00B05086" w:rsidP="00744088">
      <w:pPr>
        <w:autoSpaceDE w:val="0"/>
        <w:autoSpaceDN w:val="0"/>
        <w:adjustRightInd w:val="0"/>
        <w:ind w:right="49" w:firstLine="0"/>
        <w:jc w:val="center"/>
        <w:rPr>
          <w:rFonts w:ascii="Times New Roman" w:hAnsi="Times New Roman" w:cs="Times New Roman"/>
          <w:szCs w:val="24"/>
        </w:rPr>
      </w:pPr>
      <w:r w:rsidRPr="00E869A4">
        <w:rPr>
          <w:rFonts w:ascii="Times New Roman" w:hAnsi="Times New Roman" w:cs="Times New Roman"/>
          <w:b/>
          <w:bCs/>
          <w:sz w:val="28"/>
          <w:szCs w:val="28"/>
          <w:shd w:val="clear" w:color="auto" w:fill="FFFFFF"/>
        </w:rPr>
        <w:t>Social Policy Implications for Trinidad and Tobago</w:t>
      </w:r>
      <w:r w:rsidRPr="00E869A4">
        <w:rPr>
          <w:rFonts w:ascii="Times New Roman" w:hAnsi="Times New Roman" w:cs="Times New Roman"/>
          <w:b/>
          <w:bCs/>
          <w:sz w:val="28"/>
          <w:szCs w:val="28"/>
        </w:rPr>
        <w:br/>
      </w:r>
      <w:r w:rsidRPr="00E869A4">
        <w:rPr>
          <w:rFonts w:ascii="Times New Roman" w:hAnsi="Times New Roman" w:cs="Times New Roman"/>
          <w:b/>
          <w:bCs/>
          <w:sz w:val="28"/>
          <w:szCs w:val="28"/>
        </w:rPr>
        <w:br/>
      </w:r>
    </w:p>
    <w:p w14:paraId="1BD71BE8" w14:textId="77777777" w:rsidR="00B05086" w:rsidRPr="00E869A4" w:rsidRDefault="00B05086" w:rsidP="006F39B0">
      <w:pPr>
        <w:autoSpaceDE w:val="0"/>
        <w:autoSpaceDN w:val="0"/>
        <w:adjustRightInd w:val="0"/>
        <w:ind w:right="616" w:firstLine="0"/>
        <w:jc w:val="center"/>
        <w:rPr>
          <w:rFonts w:ascii="Times New Roman" w:hAnsi="Times New Roman" w:cs="Times New Roman"/>
          <w:szCs w:val="24"/>
        </w:rPr>
      </w:pPr>
    </w:p>
    <w:p w14:paraId="26564E67" w14:textId="77777777" w:rsidR="00B05086" w:rsidRPr="00E869A4" w:rsidRDefault="00B05086" w:rsidP="00744088">
      <w:pPr>
        <w:autoSpaceDE w:val="0"/>
        <w:autoSpaceDN w:val="0"/>
        <w:adjustRightInd w:val="0"/>
        <w:ind w:right="49" w:firstLine="0"/>
        <w:jc w:val="center"/>
        <w:rPr>
          <w:rFonts w:ascii="Times New Roman" w:hAnsi="Times New Roman" w:cs="Times New Roman"/>
          <w:b/>
          <w:bCs/>
          <w:szCs w:val="24"/>
        </w:rPr>
      </w:pPr>
      <w:r w:rsidRPr="00E869A4">
        <w:rPr>
          <w:rFonts w:ascii="Times New Roman" w:hAnsi="Times New Roman" w:cs="Times New Roman"/>
          <w:b/>
          <w:bCs/>
          <w:szCs w:val="24"/>
        </w:rPr>
        <w:t>By:</w:t>
      </w:r>
    </w:p>
    <w:p w14:paraId="580A84F5" w14:textId="77777777" w:rsidR="00B05086" w:rsidRPr="00E869A4" w:rsidRDefault="00B05086" w:rsidP="006F39B0">
      <w:pPr>
        <w:autoSpaceDE w:val="0"/>
        <w:autoSpaceDN w:val="0"/>
        <w:adjustRightInd w:val="0"/>
        <w:ind w:right="616" w:firstLine="0"/>
        <w:jc w:val="center"/>
        <w:rPr>
          <w:rFonts w:ascii="Times New Roman" w:hAnsi="Times New Roman" w:cs="Times New Roman"/>
          <w:szCs w:val="24"/>
        </w:rPr>
      </w:pPr>
    </w:p>
    <w:p w14:paraId="269B860B" w14:textId="77777777" w:rsidR="00B05086" w:rsidRPr="00E869A4" w:rsidRDefault="00B05086" w:rsidP="00744088">
      <w:pPr>
        <w:autoSpaceDE w:val="0"/>
        <w:autoSpaceDN w:val="0"/>
        <w:adjustRightInd w:val="0"/>
        <w:ind w:right="49" w:firstLine="0"/>
        <w:jc w:val="center"/>
        <w:rPr>
          <w:rFonts w:ascii="Times New Roman" w:hAnsi="Times New Roman" w:cs="Times New Roman"/>
          <w:sz w:val="28"/>
          <w:szCs w:val="28"/>
        </w:rPr>
      </w:pPr>
      <w:r w:rsidRPr="00E869A4">
        <w:rPr>
          <w:rFonts w:ascii="Times New Roman" w:hAnsi="Times New Roman" w:cs="Times New Roman"/>
          <w:sz w:val="28"/>
          <w:szCs w:val="28"/>
        </w:rPr>
        <w:t>Hyacinth Orchid Blake</w:t>
      </w:r>
    </w:p>
    <w:p w14:paraId="37722212" w14:textId="77777777" w:rsidR="00B05086" w:rsidRPr="00E869A4" w:rsidRDefault="00B05086" w:rsidP="006F39B0">
      <w:pPr>
        <w:autoSpaceDE w:val="0"/>
        <w:autoSpaceDN w:val="0"/>
        <w:adjustRightInd w:val="0"/>
        <w:ind w:right="616" w:firstLine="0"/>
        <w:jc w:val="center"/>
        <w:rPr>
          <w:rFonts w:ascii="Times New Roman" w:hAnsi="Times New Roman" w:cs="Times New Roman"/>
          <w:sz w:val="28"/>
          <w:szCs w:val="28"/>
        </w:rPr>
      </w:pPr>
    </w:p>
    <w:p w14:paraId="3091F0B8" w14:textId="77777777" w:rsidR="00B05086" w:rsidRPr="00E869A4" w:rsidRDefault="00B05086" w:rsidP="006F39B0">
      <w:pPr>
        <w:autoSpaceDE w:val="0"/>
        <w:autoSpaceDN w:val="0"/>
        <w:adjustRightInd w:val="0"/>
        <w:ind w:right="616" w:firstLine="0"/>
        <w:jc w:val="center"/>
        <w:rPr>
          <w:rFonts w:ascii="Times New Roman" w:hAnsi="Times New Roman" w:cs="Times New Roman"/>
          <w:szCs w:val="24"/>
        </w:rPr>
      </w:pPr>
    </w:p>
    <w:p w14:paraId="69CC9710" w14:textId="77777777" w:rsidR="00B05086" w:rsidRPr="00E869A4" w:rsidRDefault="00B05086" w:rsidP="006F39B0">
      <w:pPr>
        <w:autoSpaceDE w:val="0"/>
        <w:autoSpaceDN w:val="0"/>
        <w:adjustRightInd w:val="0"/>
        <w:ind w:right="616" w:firstLine="0"/>
        <w:jc w:val="center"/>
        <w:rPr>
          <w:rFonts w:ascii="Times New Roman" w:hAnsi="Times New Roman" w:cs="Times New Roman"/>
          <w:szCs w:val="24"/>
        </w:rPr>
      </w:pPr>
    </w:p>
    <w:p w14:paraId="68CC20F1" w14:textId="77777777" w:rsidR="00B05086" w:rsidRPr="00E869A4" w:rsidRDefault="00B05086" w:rsidP="00744088">
      <w:pPr>
        <w:autoSpaceDE w:val="0"/>
        <w:autoSpaceDN w:val="0"/>
        <w:adjustRightInd w:val="0"/>
        <w:ind w:right="49" w:firstLine="0"/>
        <w:jc w:val="center"/>
        <w:rPr>
          <w:rFonts w:ascii="Times New Roman" w:hAnsi="Times New Roman" w:cs="Times New Roman"/>
          <w:szCs w:val="24"/>
        </w:rPr>
      </w:pPr>
      <w:r w:rsidRPr="00E869A4">
        <w:rPr>
          <w:rFonts w:ascii="Times New Roman" w:hAnsi="Times New Roman" w:cs="Times New Roman"/>
          <w:szCs w:val="24"/>
        </w:rPr>
        <w:t>A thesis submitted in partial fulfilment of the requirements for the degree of</w:t>
      </w:r>
    </w:p>
    <w:p w14:paraId="7A18BF79" w14:textId="77777777" w:rsidR="00B05086" w:rsidRPr="00E869A4" w:rsidRDefault="00B05086" w:rsidP="00744088">
      <w:pPr>
        <w:ind w:right="49" w:firstLine="0"/>
        <w:jc w:val="center"/>
        <w:rPr>
          <w:rFonts w:ascii="Times New Roman" w:hAnsi="Times New Roman" w:cs="Times New Roman"/>
          <w:szCs w:val="24"/>
        </w:rPr>
      </w:pPr>
      <w:r w:rsidRPr="00E869A4">
        <w:rPr>
          <w:rFonts w:ascii="Times New Roman" w:hAnsi="Times New Roman" w:cs="Times New Roman"/>
          <w:szCs w:val="24"/>
        </w:rPr>
        <w:t>Doctor of Philosophy</w:t>
      </w:r>
    </w:p>
    <w:p w14:paraId="227683D0" w14:textId="04BD8645" w:rsidR="00B05086" w:rsidRPr="00E869A4" w:rsidRDefault="00FD46C8" w:rsidP="00744088">
      <w:pPr>
        <w:ind w:right="49" w:firstLine="0"/>
        <w:jc w:val="center"/>
        <w:rPr>
          <w:rFonts w:ascii="Times New Roman" w:hAnsi="Times New Roman" w:cs="Times New Roman"/>
          <w:szCs w:val="24"/>
        </w:rPr>
      </w:pPr>
      <w:r w:rsidRPr="00E869A4">
        <w:rPr>
          <w:rFonts w:ascii="Times New Roman" w:hAnsi="Times New Roman" w:cs="Times New Roman"/>
          <w:szCs w:val="24"/>
        </w:rPr>
        <w:t>January 7,</w:t>
      </w:r>
      <w:r w:rsidR="00B05086" w:rsidRPr="00E869A4">
        <w:rPr>
          <w:rFonts w:ascii="Times New Roman" w:hAnsi="Times New Roman" w:cs="Times New Roman"/>
          <w:szCs w:val="24"/>
        </w:rPr>
        <w:t xml:space="preserve"> </w:t>
      </w:r>
      <w:r w:rsidR="00592E85" w:rsidRPr="00E869A4">
        <w:rPr>
          <w:rFonts w:ascii="Times New Roman" w:hAnsi="Times New Roman" w:cs="Times New Roman"/>
          <w:szCs w:val="24"/>
        </w:rPr>
        <w:t>20</w:t>
      </w:r>
      <w:r w:rsidR="005B7031" w:rsidRPr="00E869A4">
        <w:rPr>
          <w:rFonts w:ascii="Times New Roman" w:hAnsi="Times New Roman" w:cs="Times New Roman"/>
          <w:szCs w:val="24"/>
        </w:rPr>
        <w:t>20</w:t>
      </w:r>
    </w:p>
    <w:p w14:paraId="37AB89F8" w14:textId="77777777" w:rsidR="00B05086" w:rsidRPr="00E869A4" w:rsidRDefault="00B05086" w:rsidP="006F39B0">
      <w:pPr>
        <w:ind w:right="616" w:firstLine="0"/>
        <w:jc w:val="center"/>
        <w:rPr>
          <w:rFonts w:ascii="Times New Roman" w:hAnsi="Times New Roman" w:cs="Times New Roman"/>
          <w:szCs w:val="24"/>
        </w:rPr>
      </w:pPr>
    </w:p>
    <w:p w14:paraId="4AD8CCE7" w14:textId="77777777" w:rsidR="00B05086" w:rsidRPr="00E869A4" w:rsidRDefault="00B05086" w:rsidP="006F39B0">
      <w:pPr>
        <w:ind w:right="616" w:firstLine="0"/>
        <w:jc w:val="center"/>
        <w:rPr>
          <w:rFonts w:ascii="Times New Roman" w:hAnsi="Times New Roman" w:cs="Times New Roman"/>
          <w:szCs w:val="24"/>
        </w:rPr>
      </w:pPr>
    </w:p>
    <w:p w14:paraId="7A39A3A3" w14:textId="77777777" w:rsidR="00B05086" w:rsidRPr="00E869A4" w:rsidRDefault="00B05086" w:rsidP="00744088">
      <w:pPr>
        <w:ind w:right="49" w:firstLine="0"/>
        <w:jc w:val="center"/>
        <w:rPr>
          <w:rFonts w:ascii="Times New Roman" w:hAnsi="Times New Roman" w:cs="Times New Roman"/>
          <w:szCs w:val="24"/>
        </w:rPr>
      </w:pPr>
      <w:r w:rsidRPr="00E869A4">
        <w:rPr>
          <w:rFonts w:ascii="Times New Roman" w:hAnsi="Times New Roman" w:cs="Times New Roman"/>
          <w:szCs w:val="24"/>
        </w:rPr>
        <w:t>The University of Sheffield</w:t>
      </w:r>
    </w:p>
    <w:p w14:paraId="1047AFBC" w14:textId="77777777" w:rsidR="00B05086" w:rsidRPr="00E869A4" w:rsidRDefault="00B05086" w:rsidP="00744088">
      <w:pPr>
        <w:autoSpaceDE w:val="0"/>
        <w:autoSpaceDN w:val="0"/>
        <w:adjustRightInd w:val="0"/>
        <w:ind w:right="49" w:firstLine="0"/>
        <w:jc w:val="center"/>
        <w:rPr>
          <w:rFonts w:ascii="Times New Roman" w:hAnsi="Times New Roman" w:cs="Times New Roman"/>
          <w:szCs w:val="24"/>
        </w:rPr>
      </w:pPr>
      <w:r w:rsidRPr="00E869A4">
        <w:rPr>
          <w:rFonts w:ascii="Times New Roman" w:hAnsi="Times New Roman" w:cs="Times New Roman"/>
          <w:szCs w:val="24"/>
        </w:rPr>
        <w:t>Faculty of Social Sciences</w:t>
      </w:r>
    </w:p>
    <w:p w14:paraId="292D7B2B" w14:textId="77777777" w:rsidR="00B05086" w:rsidRPr="00E869A4" w:rsidRDefault="00B05086" w:rsidP="00744088">
      <w:pPr>
        <w:ind w:right="49" w:firstLine="0"/>
        <w:jc w:val="center"/>
        <w:rPr>
          <w:rFonts w:ascii="Times New Roman" w:hAnsi="Times New Roman" w:cs="Times New Roman"/>
          <w:szCs w:val="24"/>
        </w:rPr>
      </w:pPr>
      <w:r w:rsidRPr="00E869A4">
        <w:rPr>
          <w:rFonts w:ascii="Times New Roman" w:hAnsi="Times New Roman" w:cs="Times New Roman"/>
          <w:szCs w:val="24"/>
        </w:rPr>
        <w:t>Department of Sociological Studies</w:t>
      </w:r>
    </w:p>
    <w:p w14:paraId="50DAD91E" w14:textId="77777777" w:rsidR="00B05086" w:rsidRPr="00E869A4" w:rsidRDefault="00B05086" w:rsidP="00744088">
      <w:pPr>
        <w:ind w:right="49" w:firstLine="0"/>
        <w:jc w:val="center"/>
        <w:rPr>
          <w:rFonts w:ascii="Times New Roman" w:hAnsi="Times New Roman" w:cs="Times New Roman"/>
          <w:szCs w:val="24"/>
        </w:rPr>
      </w:pPr>
    </w:p>
    <w:p w14:paraId="76C82C16" w14:textId="77777777" w:rsidR="00B05086" w:rsidRPr="00E869A4" w:rsidRDefault="00B05086" w:rsidP="00744088">
      <w:pPr>
        <w:ind w:right="49" w:firstLine="0"/>
        <w:jc w:val="center"/>
        <w:rPr>
          <w:rFonts w:ascii="Times New Roman" w:hAnsi="Times New Roman" w:cs="Times New Roman"/>
          <w:szCs w:val="24"/>
        </w:rPr>
      </w:pPr>
      <w:r w:rsidRPr="00E869A4">
        <w:rPr>
          <w:rFonts w:ascii="Times New Roman" w:hAnsi="Times New Roman" w:cs="Times New Roman"/>
          <w:szCs w:val="24"/>
        </w:rPr>
        <w:t>Part-Funded by the Government of the Republic of Trinidad and Tobago,</w:t>
      </w:r>
    </w:p>
    <w:p w14:paraId="7850402D" w14:textId="77777777" w:rsidR="00B05086" w:rsidRPr="00E869A4" w:rsidRDefault="00B05086" w:rsidP="00744088">
      <w:pPr>
        <w:ind w:right="49" w:firstLine="0"/>
        <w:jc w:val="center"/>
        <w:rPr>
          <w:rFonts w:ascii="Times New Roman" w:hAnsi="Times New Roman" w:cs="Times New Roman"/>
          <w:szCs w:val="24"/>
        </w:rPr>
      </w:pPr>
      <w:r w:rsidRPr="00E869A4">
        <w:rPr>
          <w:rFonts w:ascii="Times New Roman" w:hAnsi="Times New Roman" w:cs="Times New Roman"/>
          <w:szCs w:val="24"/>
        </w:rPr>
        <w:t>Scholarships and Advanced Training Division</w:t>
      </w:r>
    </w:p>
    <w:p w14:paraId="39BAE5AD" w14:textId="77777777" w:rsidR="00B05086" w:rsidRPr="00E869A4" w:rsidRDefault="00B05086" w:rsidP="006F39B0">
      <w:pPr>
        <w:ind w:right="616" w:firstLine="0"/>
        <w:rPr>
          <w:rFonts w:ascii="Times New Roman" w:hAnsi="Times New Roman" w:cs="Times New Roman"/>
          <w:szCs w:val="24"/>
        </w:rPr>
      </w:pPr>
      <w:r w:rsidRPr="00E869A4">
        <w:rPr>
          <w:rFonts w:ascii="Times New Roman" w:hAnsi="Times New Roman" w:cs="Times New Roman"/>
          <w:szCs w:val="24"/>
        </w:rPr>
        <w:br w:type="page"/>
      </w:r>
    </w:p>
    <w:p w14:paraId="20F92B87" w14:textId="77777777" w:rsidR="000D6CBF" w:rsidRPr="00E869A4" w:rsidRDefault="000D6CBF" w:rsidP="009D24E6">
      <w:pPr>
        <w:pStyle w:val="Heading1"/>
        <w:rPr>
          <w:lang w:val="en-GB"/>
        </w:rPr>
      </w:pPr>
      <w:bookmarkStart w:id="1" w:name="_Toc40436439"/>
      <w:r w:rsidRPr="00E869A4">
        <w:rPr>
          <w:lang w:val="en-GB"/>
        </w:rPr>
        <w:lastRenderedPageBreak/>
        <w:t>Dedication</w:t>
      </w:r>
      <w:bookmarkEnd w:id="1"/>
    </w:p>
    <w:p w14:paraId="7FABD804" w14:textId="77777777" w:rsidR="000D6CBF" w:rsidRPr="00E869A4" w:rsidRDefault="000D6CBF" w:rsidP="000D6CBF">
      <w:pPr>
        <w:ind w:firstLine="0"/>
      </w:pPr>
    </w:p>
    <w:p w14:paraId="4AA40CC2" w14:textId="2079736D" w:rsidR="000D6CBF" w:rsidRPr="00E869A4" w:rsidRDefault="003F38B1" w:rsidP="00910928">
      <w:pPr>
        <w:ind w:left="1134" w:right="1466" w:firstLine="0"/>
        <w:jc w:val="center"/>
      </w:pPr>
      <w:r w:rsidRPr="00E869A4">
        <w:t>This thesis is dedicated t</w:t>
      </w:r>
      <w:r w:rsidR="000D6CBF" w:rsidRPr="00E869A4">
        <w:t>o Nicholas</w:t>
      </w:r>
      <w:r w:rsidR="005E6EB5" w:rsidRPr="00E869A4">
        <w:t xml:space="preserve"> Blake</w:t>
      </w:r>
      <w:r w:rsidR="000D6CBF" w:rsidRPr="00E869A4">
        <w:t>, my beloved and remembered father, and Jacqueline</w:t>
      </w:r>
      <w:r w:rsidR="005E6EB5" w:rsidRPr="00E869A4">
        <w:t xml:space="preserve"> Louear</w:t>
      </w:r>
      <w:r w:rsidR="000D6CBF" w:rsidRPr="00E869A4">
        <w:t xml:space="preserve">, my </w:t>
      </w:r>
      <w:r w:rsidR="005B0F6C" w:rsidRPr="00E869A4">
        <w:t xml:space="preserve">loving </w:t>
      </w:r>
      <w:r w:rsidR="00D4565E" w:rsidRPr="00E869A4">
        <w:t xml:space="preserve">and devoted </w:t>
      </w:r>
      <w:r w:rsidR="005B0F6C" w:rsidRPr="00E869A4">
        <w:t>mother</w:t>
      </w:r>
      <w:r w:rsidR="00D4565E" w:rsidRPr="00E869A4">
        <w:t xml:space="preserve">, both of whom nurtured my passion for learning, and demonstrated care </w:t>
      </w:r>
      <w:r w:rsidR="00847F14" w:rsidRPr="00E869A4">
        <w:t xml:space="preserve">and compassion </w:t>
      </w:r>
      <w:r w:rsidR="00D4565E" w:rsidRPr="00E869A4">
        <w:t xml:space="preserve">to </w:t>
      </w:r>
      <w:r w:rsidR="0030330A" w:rsidRPr="00E869A4">
        <w:t xml:space="preserve">our </w:t>
      </w:r>
      <w:r w:rsidR="00D4565E" w:rsidRPr="00E869A4">
        <w:t>older relatives</w:t>
      </w:r>
      <w:r w:rsidR="005B0F6C" w:rsidRPr="00E869A4">
        <w:t xml:space="preserve">. </w:t>
      </w:r>
    </w:p>
    <w:p w14:paraId="34EF9CAC" w14:textId="77777777" w:rsidR="000D6CBF" w:rsidRPr="00E869A4" w:rsidRDefault="000D6CBF">
      <w:pPr>
        <w:rPr>
          <w:rFonts w:ascii="Times New Roman" w:hAnsi="Times New Roman" w:cs="Times New Roman"/>
          <w:b/>
          <w:bCs/>
          <w:sz w:val="32"/>
          <w:szCs w:val="28"/>
        </w:rPr>
      </w:pPr>
      <w:r w:rsidRPr="00E869A4">
        <w:br w:type="page"/>
      </w:r>
    </w:p>
    <w:p w14:paraId="5209E3E8" w14:textId="7E8AFBED" w:rsidR="00AA10EC" w:rsidRPr="00E869A4" w:rsidRDefault="00B05086" w:rsidP="00E63452">
      <w:pPr>
        <w:pStyle w:val="Heading1"/>
        <w:rPr>
          <w:lang w:val="en-GB"/>
        </w:rPr>
      </w:pPr>
      <w:bookmarkStart w:id="2" w:name="_Toc40436440"/>
      <w:r w:rsidRPr="00E869A4">
        <w:rPr>
          <w:lang w:val="en-GB"/>
        </w:rPr>
        <w:lastRenderedPageBreak/>
        <w:t>Abstrac</w:t>
      </w:r>
      <w:r w:rsidR="00AA10EC" w:rsidRPr="00E869A4">
        <w:rPr>
          <w:lang w:val="en-GB"/>
        </w:rPr>
        <w:t>t</w:t>
      </w:r>
      <w:bookmarkEnd w:id="2"/>
    </w:p>
    <w:p w14:paraId="60790EC0" w14:textId="77777777" w:rsidR="00AA10EC" w:rsidRPr="00E869A4" w:rsidRDefault="00AA10EC" w:rsidP="00AA10EC">
      <w:pPr>
        <w:autoSpaceDE w:val="0"/>
        <w:autoSpaceDN w:val="0"/>
        <w:adjustRightInd w:val="0"/>
        <w:rPr>
          <w:rFonts w:ascii="Times New Roman" w:hAnsi="Times New Roman" w:cs="Times New Roman"/>
          <w:szCs w:val="24"/>
        </w:rPr>
      </w:pPr>
    </w:p>
    <w:p w14:paraId="3593EC14" w14:textId="785D50EE" w:rsidR="0032675C" w:rsidRPr="00E869A4" w:rsidRDefault="0032675C" w:rsidP="0032675C">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While numerous studies and theories have been developed to explore the efficacy of family caregiving, the majority have concentrated on the situation in developed countries and very few have examined ageing and concomitant familial responses within </w:t>
      </w:r>
      <w:r w:rsidR="00AF053C" w:rsidRPr="00E869A4">
        <w:rPr>
          <w:rFonts w:ascii="Times New Roman" w:hAnsi="Times New Roman" w:cs="Times New Roman"/>
          <w:szCs w:val="24"/>
        </w:rPr>
        <w:t>the</w:t>
      </w:r>
      <w:r w:rsidRPr="00E869A4">
        <w:rPr>
          <w:rFonts w:ascii="Times New Roman" w:hAnsi="Times New Roman" w:cs="Times New Roman"/>
          <w:szCs w:val="24"/>
        </w:rPr>
        <w:t xml:space="preserve"> Carib</w:t>
      </w:r>
      <w:r w:rsidR="00AF053C" w:rsidRPr="00E869A4">
        <w:rPr>
          <w:rFonts w:ascii="Times New Roman" w:hAnsi="Times New Roman" w:cs="Times New Roman"/>
          <w:szCs w:val="24"/>
        </w:rPr>
        <w:t xml:space="preserve">bean. </w:t>
      </w:r>
      <w:r w:rsidRPr="00E869A4">
        <w:rPr>
          <w:rFonts w:ascii="Times New Roman" w:hAnsi="Times New Roman" w:cs="Times New Roman"/>
          <w:szCs w:val="24"/>
        </w:rPr>
        <w:t xml:space="preserve">This thesis provides sociological and social policy insights into family care for frail older persons within a developing country context. Set in Trinidad and Tobago (T&amp;T), the study focussed on 4 key areas: i) </w:t>
      </w:r>
      <w:r w:rsidRPr="00E869A4">
        <w:rPr>
          <w:rFonts w:ascii="Times New Roman" w:hAnsi="Times New Roman" w:cs="Times New Roman"/>
          <w:i/>
          <w:iCs/>
          <w:szCs w:val="24"/>
        </w:rPr>
        <w:t>Determinants of Caregiving</w:t>
      </w:r>
      <w:r w:rsidRPr="00E869A4">
        <w:rPr>
          <w:rFonts w:ascii="Times New Roman" w:hAnsi="Times New Roman" w:cs="Times New Roman"/>
          <w:szCs w:val="24"/>
        </w:rPr>
        <w:t xml:space="preserve">; ii) </w:t>
      </w:r>
      <w:r w:rsidRPr="00E869A4">
        <w:rPr>
          <w:rFonts w:ascii="Times New Roman" w:hAnsi="Times New Roman" w:cs="Times New Roman"/>
          <w:i/>
          <w:iCs/>
          <w:szCs w:val="24"/>
        </w:rPr>
        <w:t>Experiences of Care</w:t>
      </w:r>
      <w:r w:rsidRPr="00E869A4">
        <w:rPr>
          <w:rFonts w:ascii="Times New Roman" w:hAnsi="Times New Roman" w:cs="Times New Roman"/>
          <w:szCs w:val="24"/>
        </w:rPr>
        <w:t xml:space="preserve">; iii) </w:t>
      </w:r>
      <w:r w:rsidRPr="00E869A4">
        <w:rPr>
          <w:rFonts w:ascii="Times New Roman" w:hAnsi="Times New Roman" w:cs="Times New Roman"/>
          <w:i/>
          <w:iCs/>
          <w:szCs w:val="24"/>
        </w:rPr>
        <w:t>Care Management Strategies</w:t>
      </w:r>
      <w:r w:rsidRPr="00E869A4">
        <w:rPr>
          <w:rFonts w:ascii="Times New Roman" w:hAnsi="Times New Roman" w:cs="Times New Roman"/>
          <w:szCs w:val="24"/>
        </w:rPr>
        <w:t xml:space="preserve">; and, iv) </w:t>
      </w:r>
      <w:r w:rsidRPr="00E869A4">
        <w:rPr>
          <w:rFonts w:ascii="Times New Roman" w:hAnsi="Times New Roman" w:cs="Times New Roman"/>
          <w:i/>
          <w:szCs w:val="24"/>
        </w:rPr>
        <w:t xml:space="preserve">Social </w:t>
      </w:r>
      <w:r w:rsidRPr="00E869A4">
        <w:rPr>
          <w:rFonts w:ascii="Times New Roman" w:hAnsi="Times New Roman" w:cs="Times New Roman"/>
          <w:i/>
          <w:iCs/>
          <w:szCs w:val="24"/>
        </w:rPr>
        <w:t>Policy Implications</w:t>
      </w:r>
      <w:r w:rsidRPr="00E869A4">
        <w:rPr>
          <w:rFonts w:ascii="Times New Roman" w:hAnsi="Times New Roman" w:cs="Times New Roman"/>
          <w:szCs w:val="24"/>
        </w:rPr>
        <w:t xml:space="preserve">.  </w:t>
      </w:r>
    </w:p>
    <w:p w14:paraId="01506149" w14:textId="77777777" w:rsidR="0032675C" w:rsidRPr="00E869A4" w:rsidRDefault="0032675C" w:rsidP="0032675C">
      <w:pPr>
        <w:autoSpaceDE w:val="0"/>
        <w:autoSpaceDN w:val="0"/>
        <w:adjustRightInd w:val="0"/>
        <w:rPr>
          <w:rFonts w:ascii="Times New Roman" w:hAnsi="Times New Roman" w:cs="Times New Roman"/>
          <w:szCs w:val="24"/>
        </w:rPr>
      </w:pPr>
    </w:p>
    <w:p w14:paraId="06D4976E" w14:textId="3F2AC86D" w:rsidR="0032675C" w:rsidRPr="00E869A4" w:rsidRDefault="0032675C" w:rsidP="0032675C">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A mixed methods approach to data collection was employed </w:t>
      </w:r>
      <w:r w:rsidR="00AF053C" w:rsidRPr="00E869A4">
        <w:rPr>
          <w:rFonts w:ascii="Times New Roman" w:hAnsi="Times New Roman" w:cs="Times New Roman"/>
          <w:szCs w:val="24"/>
        </w:rPr>
        <w:t xml:space="preserve">involving a total sample of 320 participants </w:t>
      </w:r>
      <w:r w:rsidRPr="00E869A4">
        <w:rPr>
          <w:rFonts w:ascii="Times New Roman" w:hAnsi="Times New Roman" w:cs="Times New Roman"/>
          <w:szCs w:val="24"/>
        </w:rPr>
        <w:t>and included the conduct of in-depth interviews and focus gro</w:t>
      </w:r>
      <w:r w:rsidR="00AF053C" w:rsidRPr="00E869A4">
        <w:rPr>
          <w:rFonts w:ascii="Times New Roman" w:hAnsi="Times New Roman" w:cs="Times New Roman"/>
          <w:szCs w:val="24"/>
        </w:rPr>
        <w:t>ups as well as an online survey</w:t>
      </w:r>
      <w:r w:rsidRPr="00E869A4">
        <w:rPr>
          <w:rFonts w:ascii="Times New Roman" w:hAnsi="Times New Roman" w:cs="Times New Roman"/>
          <w:szCs w:val="24"/>
        </w:rPr>
        <w:t>. The initial evidence suggests that</w:t>
      </w:r>
      <w:r w:rsidRPr="00E869A4">
        <w:t xml:space="preserve"> against a complex backcloth of social, economic, religious and cultural factors, </w:t>
      </w:r>
      <w:r w:rsidRPr="00E869A4">
        <w:rPr>
          <w:rFonts w:ascii="Times New Roman" w:hAnsi="Times New Roman" w:cs="Times New Roman"/>
          <w:szCs w:val="24"/>
        </w:rPr>
        <w:t>family caregivers in T&amp;T provide significant amounts of support to frail older persons, even in the face of numerous challenges. Family care is underpinned by a strong, enduring and largely implicit notion of duty, yet most carers struggle with limited financial resources and a general lack of alternative sources of care which they can trust. A main recommendation of this study is that a national family care policy should be developed so as to increase the visibility of family caregivers of older persons and that a mix of social support services should be provided to meet the varied needs of family caregivers and their older cared-for relatives.</w:t>
      </w:r>
    </w:p>
    <w:p w14:paraId="02A683A5" w14:textId="77777777" w:rsidR="00AA10EC" w:rsidRPr="00E869A4" w:rsidRDefault="00AA10EC">
      <w:pPr>
        <w:spacing w:line="276" w:lineRule="auto"/>
        <w:rPr>
          <w:rFonts w:ascii="Times New Roman" w:hAnsi="Times New Roman" w:cs="Times New Roman"/>
        </w:rPr>
      </w:pPr>
      <w:r w:rsidRPr="00E869A4">
        <w:rPr>
          <w:rFonts w:ascii="Times New Roman" w:hAnsi="Times New Roman" w:cs="Times New Roman"/>
        </w:rPr>
        <w:br w:type="page"/>
      </w:r>
    </w:p>
    <w:sdt>
      <w:sdtPr>
        <w:rPr>
          <w:rFonts w:asciiTheme="majorBidi" w:hAnsiTheme="majorBidi" w:cstheme="minorBidi"/>
          <w:b w:val="0"/>
          <w:bCs w:val="0"/>
          <w:vanish/>
          <w:sz w:val="24"/>
          <w:szCs w:val="22"/>
          <w:lang w:val="en-GB" w:eastAsia="en-GB"/>
        </w:rPr>
        <w:id w:val="-2086755976"/>
        <w:docPartObj>
          <w:docPartGallery w:val="Table of Contents"/>
          <w:docPartUnique/>
        </w:docPartObj>
      </w:sdtPr>
      <w:sdtEndPr>
        <w:rPr>
          <w:noProof/>
        </w:rPr>
      </w:sdtEndPr>
      <w:sdtContent>
        <w:p w14:paraId="45B3BFA8" w14:textId="110DD7A6" w:rsidR="004F33B6" w:rsidRPr="00E869A4" w:rsidRDefault="001648BB" w:rsidP="001648BB">
          <w:pPr>
            <w:pStyle w:val="TOCHeading"/>
            <w:tabs>
              <w:tab w:val="left" w:pos="2208"/>
              <w:tab w:val="center" w:pos="5125"/>
            </w:tabs>
            <w:jc w:val="left"/>
          </w:pPr>
          <w:r w:rsidRPr="00E869A4">
            <w:rPr>
              <w:rFonts w:asciiTheme="majorBidi" w:hAnsiTheme="majorBidi" w:cstheme="minorBidi"/>
              <w:b w:val="0"/>
              <w:bCs w:val="0"/>
              <w:sz w:val="24"/>
              <w:szCs w:val="22"/>
              <w:lang w:val="en-GB" w:eastAsia="en-GB"/>
            </w:rPr>
            <w:tab/>
          </w:r>
          <w:r w:rsidRPr="00E869A4">
            <w:rPr>
              <w:rFonts w:asciiTheme="majorBidi" w:hAnsiTheme="majorBidi" w:cstheme="minorBidi"/>
              <w:b w:val="0"/>
              <w:bCs w:val="0"/>
              <w:sz w:val="24"/>
              <w:szCs w:val="22"/>
              <w:lang w:val="en-GB" w:eastAsia="en-GB"/>
            </w:rPr>
            <w:tab/>
          </w:r>
          <w:r w:rsidR="004F33B6" w:rsidRPr="00E869A4">
            <w:t>Contents</w:t>
          </w:r>
        </w:p>
        <w:p w14:paraId="55CF1CD8" w14:textId="77777777" w:rsidR="000F7CBC" w:rsidRDefault="004F33B6">
          <w:pPr>
            <w:pStyle w:val="TOC1"/>
            <w:rPr>
              <w:rFonts w:asciiTheme="minorHAnsi" w:hAnsiTheme="minorHAnsi"/>
              <w:noProof/>
              <w:sz w:val="22"/>
            </w:rPr>
          </w:pPr>
          <w:r w:rsidRPr="00E869A4">
            <w:fldChar w:fldCharType="begin"/>
          </w:r>
          <w:r w:rsidRPr="00E869A4">
            <w:instrText xml:space="preserve"> TOC \o "1-3" \h \z \u </w:instrText>
          </w:r>
          <w:r w:rsidRPr="00E869A4">
            <w:fldChar w:fldCharType="separate"/>
          </w:r>
          <w:hyperlink w:anchor="_Toc40436439" w:history="1">
            <w:r w:rsidR="000F7CBC" w:rsidRPr="00F5686A">
              <w:rPr>
                <w:rStyle w:val="Hyperlink"/>
                <w:noProof/>
              </w:rPr>
              <w:t>Dedication</w:t>
            </w:r>
            <w:r w:rsidR="000F7CBC">
              <w:rPr>
                <w:noProof/>
                <w:webHidden/>
              </w:rPr>
              <w:tab/>
            </w:r>
            <w:r w:rsidR="000F7CBC">
              <w:rPr>
                <w:noProof/>
                <w:webHidden/>
              </w:rPr>
              <w:fldChar w:fldCharType="begin"/>
            </w:r>
            <w:r w:rsidR="000F7CBC">
              <w:rPr>
                <w:noProof/>
                <w:webHidden/>
              </w:rPr>
              <w:instrText xml:space="preserve"> PAGEREF _Toc40436439 \h </w:instrText>
            </w:r>
            <w:r w:rsidR="000F7CBC">
              <w:rPr>
                <w:noProof/>
                <w:webHidden/>
              </w:rPr>
            </w:r>
            <w:r w:rsidR="000F7CBC">
              <w:rPr>
                <w:noProof/>
                <w:webHidden/>
              </w:rPr>
              <w:fldChar w:fldCharType="separate"/>
            </w:r>
            <w:r w:rsidR="00D7239F">
              <w:rPr>
                <w:noProof/>
                <w:webHidden/>
              </w:rPr>
              <w:t>1</w:t>
            </w:r>
            <w:r w:rsidR="000F7CBC">
              <w:rPr>
                <w:noProof/>
                <w:webHidden/>
              </w:rPr>
              <w:fldChar w:fldCharType="end"/>
            </w:r>
          </w:hyperlink>
        </w:p>
        <w:p w14:paraId="05926D27" w14:textId="77777777" w:rsidR="000F7CBC" w:rsidRDefault="000F7CBC">
          <w:pPr>
            <w:pStyle w:val="TOC1"/>
            <w:rPr>
              <w:rFonts w:asciiTheme="minorHAnsi" w:hAnsiTheme="minorHAnsi"/>
              <w:noProof/>
              <w:sz w:val="22"/>
            </w:rPr>
          </w:pPr>
          <w:hyperlink w:anchor="_Toc40436440" w:history="1">
            <w:r w:rsidRPr="00F5686A">
              <w:rPr>
                <w:rStyle w:val="Hyperlink"/>
                <w:noProof/>
              </w:rPr>
              <w:t>Abstract</w:t>
            </w:r>
            <w:r>
              <w:rPr>
                <w:noProof/>
                <w:webHidden/>
              </w:rPr>
              <w:tab/>
            </w:r>
            <w:r>
              <w:rPr>
                <w:noProof/>
                <w:webHidden/>
              </w:rPr>
              <w:fldChar w:fldCharType="begin"/>
            </w:r>
            <w:r>
              <w:rPr>
                <w:noProof/>
                <w:webHidden/>
              </w:rPr>
              <w:instrText xml:space="preserve"> PAGEREF _Toc40436440 \h </w:instrText>
            </w:r>
            <w:r>
              <w:rPr>
                <w:noProof/>
                <w:webHidden/>
              </w:rPr>
            </w:r>
            <w:r>
              <w:rPr>
                <w:noProof/>
                <w:webHidden/>
              </w:rPr>
              <w:fldChar w:fldCharType="separate"/>
            </w:r>
            <w:r w:rsidR="00D7239F">
              <w:rPr>
                <w:noProof/>
                <w:webHidden/>
              </w:rPr>
              <w:t>2</w:t>
            </w:r>
            <w:r>
              <w:rPr>
                <w:noProof/>
                <w:webHidden/>
              </w:rPr>
              <w:fldChar w:fldCharType="end"/>
            </w:r>
          </w:hyperlink>
        </w:p>
        <w:p w14:paraId="5D722D1C" w14:textId="77777777" w:rsidR="000F7CBC" w:rsidRDefault="000F7CBC">
          <w:pPr>
            <w:pStyle w:val="TOC1"/>
            <w:rPr>
              <w:rFonts w:asciiTheme="minorHAnsi" w:hAnsiTheme="minorHAnsi"/>
              <w:noProof/>
              <w:sz w:val="22"/>
            </w:rPr>
          </w:pPr>
          <w:hyperlink w:anchor="_Toc40436441" w:history="1">
            <w:r w:rsidRPr="00F5686A">
              <w:rPr>
                <w:rStyle w:val="Hyperlink"/>
                <w:noProof/>
              </w:rPr>
              <w:t>List of Tables</w:t>
            </w:r>
            <w:r>
              <w:rPr>
                <w:noProof/>
                <w:webHidden/>
              </w:rPr>
              <w:tab/>
            </w:r>
            <w:r>
              <w:rPr>
                <w:noProof/>
                <w:webHidden/>
              </w:rPr>
              <w:fldChar w:fldCharType="begin"/>
            </w:r>
            <w:r>
              <w:rPr>
                <w:noProof/>
                <w:webHidden/>
              </w:rPr>
              <w:instrText xml:space="preserve"> PAGEREF _Toc40436441 \h </w:instrText>
            </w:r>
            <w:r>
              <w:rPr>
                <w:noProof/>
                <w:webHidden/>
              </w:rPr>
            </w:r>
            <w:r>
              <w:rPr>
                <w:noProof/>
                <w:webHidden/>
              </w:rPr>
              <w:fldChar w:fldCharType="separate"/>
            </w:r>
            <w:r w:rsidR="00D7239F">
              <w:rPr>
                <w:noProof/>
                <w:webHidden/>
              </w:rPr>
              <w:t>10</w:t>
            </w:r>
            <w:r>
              <w:rPr>
                <w:noProof/>
                <w:webHidden/>
              </w:rPr>
              <w:fldChar w:fldCharType="end"/>
            </w:r>
          </w:hyperlink>
        </w:p>
        <w:p w14:paraId="00397101" w14:textId="77777777" w:rsidR="000F7CBC" w:rsidRDefault="000F7CBC">
          <w:pPr>
            <w:pStyle w:val="TOC1"/>
            <w:rPr>
              <w:rFonts w:asciiTheme="minorHAnsi" w:hAnsiTheme="minorHAnsi"/>
              <w:noProof/>
              <w:sz w:val="22"/>
            </w:rPr>
          </w:pPr>
          <w:hyperlink w:anchor="_Toc40436442" w:history="1">
            <w:r w:rsidRPr="00F5686A">
              <w:rPr>
                <w:rStyle w:val="Hyperlink"/>
                <w:noProof/>
              </w:rPr>
              <w:t>List of Figures</w:t>
            </w:r>
            <w:r>
              <w:rPr>
                <w:noProof/>
                <w:webHidden/>
              </w:rPr>
              <w:tab/>
            </w:r>
            <w:r>
              <w:rPr>
                <w:noProof/>
                <w:webHidden/>
              </w:rPr>
              <w:fldChar w:fldCharType="begin"/>
            </w:r>
            <w:r>
              <w:rPr>
                <w:noProof/>
                <w:webHidden/>
              </w:rPr>
              <w:instrText xml:space="preserve"> PAGEREF _Toc40436442 \h </w:instrText>
            </w:r>
            <w:r>
              <w:rPr>
                <w:noProof/>
                <w:webHidden/>
              </w:rPr>
            </w:r>
            <w:r>
              <w:rPr>
                <w:noProof/>
                <w:webHidden/>
              </w:rPr>
              <w:fldChar w:fldCharType="separate"/>
            </w:r>
            <w:r w:rsidR="00D7239F">
              <w:rPr>
                <w:noProof/>
                <w:webHidden/>
              </w:rPr>
              <w:t>11</w:t>
            </w:r>
            <w:r>
              <w:rPr>
                <w:noProof/>
                <w:webHidden/>
              </w:rPr>
              <w:fldChar w:fldCharType="end"/>
            </w:r>
          </w:hyperlink>
        </w:p>
        <w:p w14:paraId="36B0E112" w14:textId="77777777" w:rsidR="000F7CBC" w:rsidRDefault="000F7CBC">
          <w:pPr>
            <w:pStyle w:val="TOC1"/>
            <w:rPr>
              <w:rFonts w:asciiTheme="minorHAnsi" w:hAnsiTheme="minorHAnsi"/>
              <w:noProof/>
              <w:sz w:val="22"/>
            </w:rPr>
          </w:pPr>
          <w:hyperlink w:anchor="_Toc40436443" w:history="1">
            <w:r w:rsidRPr="00F5686A">
              <w:rPr>
                <w:rStyle w:val="Hyperlink"/>
                <w:noProof/>
              </w:rPr>
              <w:t>List of Boxes</w:t>
            </w:r>
            <w:r>
              <w:rPr>
                <w:noProof/>
                <w:webHidden/>
              </w:rPr>
              <w:tab/>
            </w:r>
            <w:r>
              <w:rPr>
                <w:noProof/>
                <w:webHidden/>
              </w:rPr>
              <w:fldChar w:fldCharType="begin"/>
            </w:r>
            <w:r>
              <w:rPr>
                <w:noProof/>
                <w:webHidden/>
              </w:rPr>
              <w:instrText xml:space="preserve"> PAGEREF _Toc40436443 \h </w:instrText>
            </w:r>
            <w:r>
              <w:rPr>
                <w:noProof/>
                <w:webHidden/>
              </w:rPr>
            </w:r>
            <w:r>
              <w:rPr>
                <w:noProof/>
                <w:webHidden/>
              </w:rPr>
              <w:fldChar w:fldCharType="separate"/>
            </w:r>
            <w:r w:rsidR="00D7239F">
              <w:rPr>
                <w:noProof/>
                <w:webHidden/>
              </w:rPr>
              <w:t>12</w:t>
            </w:r>
            <w:r>
              <w:rPr>
                <w:noProof/>
                <w:webHidden/>
              </w:rPr>
              <w:fldChar w:fldCharType="end"/>
            </w:r>
          </w:hyperlink>
        </w:p>
        <w:p w14:paraId="3AB741BD" w14:textId="77777777" w:rsidR="000F7CBC" w:rsidRDefault="000F7CBC">
          <w:pPr>
            <w:pStyle w:val="TOC1"/>
            <w:rPr>
              <w:rFonts w:asciiTheme="minorHAnsi" w:hAnsiTheme="minorHAnsi"/>
              <w:noProof/>
              <w:sz w:val="22"/>
            </w:rPr>
          </w:pPr>
          <w:hyperlink w:anchor="_Toc40436444" w:history="1">
            <w:r w:rsidRPr="00F5686A">
              <w:rPr>
                <w:rStyle w:val="Hyperlink"/>
                <w:noProof/>
              </w:rPr>
              <w:t>Abbreviations</w:t>
            </w:r>
            <w:r>
              <w:rPr>
                <w:noProof/>
                <w:webHidden/>
              </w:rPr>
              <w:tab/>
            </w:r>
            <w:r>
              <w:rPr>
                <w:noProof/>
                <w:webHidden/>
              </w:rPr>
              <w:fldChar w:fldCharType="begin"/>
            </w:r>
            <w:r>
              <w:rPr>
                <w:noProof/>
                <w:webHidden/>
              </w:rPr>
              <w:instrText xml:space="preserve"> PAGEREF _Toc40436444 \h </w:instrText>
            </w:r>
            <w:r>
              <w:rPr>
                <w:noProof/>
                <w:webHidden/>
              </w:rPr>
            </w:r>
            <w:r>
              <w:rPr>
                <w:noProof/>
                <w:webHidden/>
              </w:rPr>
              <w:fldChar w:fldCharType="separate"/>
            </w:r>
            <w:r w:rsidR="00D7239F">
              <w:rPr>
                <w:noProof/>
                <w:webHidden/>
              </w:rPr>
              <w:t>13</w:t>
            </w:r>
            <w:r>
              <w:rPr>
                <w:noProof/>
                <w:webHidden/>
              </w:rPr>
              <w:fldChar w:fldCharType="end"/>
            </w:r>
          </w:hyperlink>
        </w:p>
        <w:p w14:paraId="2361BB7D" w14:textId="77777777" w:rsidR="000F7CBC" w:rsidRDefault="000F7CBC">
          <w:pPr>
            <w:pStyle w:val="TOC1"/>
            <w:rPr>
              <w:rFonts w:asciiTheme="minorHAnsi" w:hAnsiTheme="minorHAnsi"/>
              <w:noProof/>
              <w:sz w:val="22"/>
            </w:rPr>
          </w:pPr>
          <w:hyperlink w:anchor="_Toc40436445" w:history="1">
            <w:r w:rsidRPr="00F5686A">
              <w:rPr>
                <w:rStyle w:val="Hyperlink"/>
                <w:noProof/>
              </w:rPr>
              <w:t>Acknowledgements</w:t>
            </w:r>
            <w:r>
              <w:rPr>
                <w:noProof/>
                <w:webHidden/>
              </w:rPr>
              <w:tab/>
            </w:r>
            <w:r>
              <w:rPr>
                <w:noProof/>
                <w:webHidden/>
              </w:rPr>
              <w:fldChar w:fldCharType="begin"/>
            </w:r>
            <w:r>
              <w:rPr>
                <w:noProof/>
                <w:webHidden/>
              </w:rPr>
              <w:instrText xml:space="preserve"> PAGEREF _Toc40436445 \h </w:instrText>
            </w:r>
            <w:r>
              <w:rPr>
                <w:noProof/>
                <w:webHidden/>
              </w:rPr>
            </w:r>
            <w:r>
              <w:rPr>
                <w:noProof/>
                <w:webHidden/>
              </w:rPr>
              <w:fldChar w:fldCharType="separate"/>
            </w:r>
            <w:r w:rsidR="00D7239F">
              <w:rPr>
                <w:noProof/>
                <w:webHidden/>
              </w:rPr>
              <w:t>15</w:t>
            </w:r>
            <w:r>
              <w:rPr>
                <w:noProof/>
                <w:webHidden/>
              </w:rPr>
              <w:fldChar w:fldCharType="end"/>
            </w:r>
          </w:hyperlink>
        </w:p>
        <w:p w14:paraId="77627D5A" w14:textId="77777777" w:rsidR="000F7CBC" w:rsidRDefault="000F7CBC">
          <w:pPr>
            <w:pStyle w:val="TOC1"/>
            <w:rPr>
              <w:rFonts w:asciiTheme="minorHAnsi" w:hAnsiTheme="minorHAnsi"/>
              <w:noProof/>
              <w:sz w:val="22"/>
            </w:rPr>
          </w:pPr>
          <w:hyperlink w:anchor="_Toc40436446" w:history="1">
            <w:r w:rsidRPr="00F5686A">
              <w:rPr>
                <w:rStyle w:val="Hyperlink"/>
                <w:noProof/>
              </w:rPr>
              <w:t>CHAPTER 1 – INTRODUCTION</w:t>
            </w:r>
            <w:r>
              <w:rPr>
                <w:noProof/>
                <w:webHidden/>
              </w:rPr>
              <w:tab/>
            </w:r>
            <w:r>
              <w:rPr>
                <w:noProof/>
                <w:webHidden/>
              </w:rPr>
              <w:fldChar w:fldCharType="begin"/>
            </w:r>
            <w:r>
              <w:rPr>
                <w:noProof/>
                <w:webHidden/>
              </w:rPr>
              <w:instrText xml:space="preserve"> PAGEREF _Toc40436446 \h </w:instrText>
            </w:r>
            <w:r>
              <w:rPr>
                <w:noProof/>
                <w:webHidden/>
              </w:rPr>
            </w:r>
            <w:r>
              <w:rPr>
                <w:noProof/>
                <w:webHidden/>
              </w:rPr>
              <w:fldChar w:fldCharType="separate"/>
            </w:r>
            <w:r w:rsidR="00D7239F">
              <w:rPr>
                <w:noProof/>
                <w:webHidden/>
              </w:rPr>
              <w:t>18</w:t>
            </w:r>
            <w:r>
              <w:rPr>
                <w:noProof/>
                <w:webHidden/>
              </w:rPr>
              <w:fldChar w:fldCharType="end"/>
            </w:r>
          </w:hyperlink>
        </w:p>
        <w:p w14:paraId="186FE8D3" w14:textId="77777777" w:rsidR="000F7CBC" w:rsidRDefault="000F7CBC">
          <w:pPr>
            <w:pStyle w:val="TOC2"/>
            <w:tabs>
              <w:tab w:val="right" w:leader="dot" w:pos="10245"/>
            </w:tabs>
            <w:rPr>
              <w:rFonts w:asciiTheme="minorHAnsi" w:hAnsiTheme="minorHAnsi"/>
              <w:noProof/>
              <w:sz w:val="22"/>
            </w:rPr>
          </w:pPr>
          <w:hyperlink w:anchor="_Toc40436447" w:history="1">
            <w:r w:rsidRPr="00F5686A">
              <w:rPr>
                <w:rStyle w:val="Hyperlink"/>
                <w:noProof/>
              </w:rPr>
              <w:t>1.1 RATIONALE</w:t>
            </w:r>
            <w:r>
              <w:rPr>
                <w:noProof/>
                <w:webHidden/>
              </w:rPr>
              <w:tab/>
            </w:r>
            <w:r>
              <w:rPr>
                <w:noProof/>
                <w:webHidden/>
              </w:rPr>
              <w:fldChar w:fldCharType="begin"/>
            </w:r>
            <w:r>
              <w:rPr>
                <w:noProof/>
                <w:webHidden/>
              </w:rPr>
              <w:instrText xml:space="preserve"> PAGEREF _Toc40436447 \h </w:instrText>
            </w:r>
            <w:r>
              <w:rPr>
                <w:noProof/>
                <w:webHidden/>
              </w:rPr>
            </w:r>
            <w:r>
              <w:rPr>
                <w:noProof/>
                <w:webHidden/>
              </w:rPr>
              <w:fldChar w:fldCharType="separate"/>
            </w:r>
            <w:r w:rsidR="00D7239F">
              <w:rPr>
                <w:noProof/>
                <w:webHidden/>
              </w:rPr>
              <w:t>18</w:t>
            </w:r>
            <w:r>
              <w:rPr>
                <w:noProof/>
                <w:webHidden/>
              </w:rPr>
              <w:fldChar w:fldCharType="end"/>
            </w:r>
          </w:hyperlink>
        </w:p>
        <w:p w14:paraId="18439530" w14:textId="77777777" w:rsidR="000F7CBC" w:rsidRDefault="000F7CBC">
          <w:pPr>
            <w:pStyle w:val="TOC2"/>
            <w:tabs>
              <w:tab w:val="right" w:leader="dot" w:pos="10245"/>
            </w:tabs>
            <w:rPr>
              <w:rFonts w:asciiTheme="minorHAnsi" w:hAnsiTheme="minorHAnsi"/>
              <w:noProof/>
              <w:sz w:val="22"/>
            </w:rPr>
          </w:pPr>
          <w:hyperlink w:anchor="_Toc40436448" w:history="1">
            <w:r w:rsidRPr="00F5686A">
              <w:rPr>
                <w:rStyle w:val="Hyperlink"/>
                <w:noProof/>
              </w:rPr>
              <w:t>1.2 BACKGROUND</w:t>
            </w:r>
            <w:r>
              <w:rPr>
                <w:noProof/>
                <w:webHidden/>
              </w:rPr>
              <w:tab/>
            </w:r>
            <w:r>
              <w:rPr>
                <w:noProof/>
                <w:webHidden/>
              </w:rPr>
              <w:fldChar w:fldCharType="begin"/>
            </w:r>
            <w:r>
              <w:rPr>
                <w:noProof/>
                <w:webHidden/>
              </w:rPr>
              <w:instrText xml:space="preserve"> PAGEREF _Toc40436448 \h </w:instrText>
            </w:r>
            <w:r>
              <w:rPr>
                <w:noProof/>
                <w:webHidden/>
              </w:rPr>
            </w:r>
            <w:r>
              <w:rPr>
                <w:noProof/>
                <w:webHidden/>
              </w:rPr>
              <w:fldChar w:fldCharType="separate"/>
            </w:r>
            <w:r w:rsidR="00D7239F">
              <w:rPr>
                <w:noProof/>
                <w:webHidden/>
              </w:rPr>
              <w:t>21</w:t>
            </w:r>
            <w:r>
              <w:rPr>
                <w:noProof/>
                <w:webHidden/>
              </w:rPr>
              <w:fldChar w:fldCharType="end"/>
            </w:r>
          </w:hyperlink>
        </w:p>
        <w:p w14:paraId="73BEFE31" w14:textId="77777777" w:rsidR="000F7CBC" w:rsidRDefault="000F7CBC">
          <w:pPr>
            <w:pStyle w:val="TOC3"/>
            <w:tabs>
              <w:tab w:val="right" w:leader="dot" w:pos="10245"/>
            </w:tabs>
            <w:rPr>
              <w:rFonts w:asciiTheme="minorHAnsi" w:hAnsiTheme="minorHAnsi"/>
              <w:noProof/>
              <w:sz w:val="22"/>
            </w:rPr>
          </w:pPr>
          <w:hyperlink w:anchor="_Toc40436449" w:history="1">
            <w:r w:rsidRPr="00F5686A">
              <w:rPr>
                <w:rStyle w:val="Hyperlink"/>
                <w:noProof/>
              </w:rPr>
              <w:t>1.2.1     Geography and Population</w:t>
            </w:r>
            <w:r>
              <w:rPr>
                <w:noProof/>
                <w:webHidden/>
              </w:rPr>
              <w:tab/>
            </w:r>
            <w:r>
              <w:rPr>
                <w:noProof/>
                <w:webHidden/>
              </w:rPr>
              <w:fldChar w:fldCharType="begin"/>
            </w:r>
            <w:r>
              <w:rPr>
                <w:noProof/>
                <w:webHidden/>
              </w:rPr>
              <w:instrText xml:space="preserve"> PAGEREF _Toc40436449 \h </w:instrText>
            </w:r>
            <w:r>
              <w:rPr>
                <w:noProof/>
                <w:webHidden/>
              </w:rPr>
            </w:r>
            <w:r>
              <w:rPr>
                <w:noProof/>
                <w:webHidden/>
              </w:rPr>
              <w:fldChar w:fldCharType="separate"/>
            </w:r>
            <w:r w:rsidR="00D7239F">
              <w:rPr>
                <w:noProof/>
                <w:webHidden/>
              </w:rPr>
              <w:t>21</w:t>
            </w:r>
            <w:r>
              <w:rPr>
                <w:noProof/>
                <w:webHidden/>
              </w:rPr>
              <w:fldChar w:fldCharType="end"/>
            </w:r>
          </w:hyperlink>
        </w:p>
        <w:p w14:paraId="012AA101" w14:textId="77777777" w:rsidR="000F7CBC" w:rsidRDefault="000F7CBC">
          <w:pPr>
            <w:pStyle w:val="TOC3"/>
            <w:tabs>
              <w:tab w:val="right" w:leader="dot" w:pos="10245"/>
            </w:tabs>
            <w:rPr>
              <w:rFonts w:asciiTheme="minorHAnsi" w:hAnsiTheme="minorHAnsi"/>
              <w:noProof/>
              <w:sz w:val="22"/>
            </w:rPr>
          </w:pPr>
          <w:hyperlink w:anchor="_Toc40436450" w:history="1">
            <w:r w:rsidRPr="00F5686A">
              <w:rPr>
                <w:rStyle w:val="Hyperlink"/>
                <w:noProof/>
              </w:rPr>
              <w:t>1.2.2     Economic Situation</w:t>
            </w:r>
            <w:r>
              <w:rPr>
                <w:noProof/>
                <w:webHidden/>
              </w:rPr>
              <w:tab/>
            </w:r>
            <w:r>
              <w:rPr>
                <w:noProof/>
                <w:webHidden/>
              </w:rPr>
              <w:fldChar w:fldCharType="begin"/>
            </w:r>
            <w:r>
              <w:rPr>
                <w:noProof/>
                <w:webHidden/>
              </w:rPr>
              <w:instrText xml:space="preserve"> PAGEREF _Toc40436450 \h </w:instrText>
            </w:r>
            <w:r>
              <w:rPr>
                <w:noProof/>
                <w:webHidden/>
              </w:rPr>
            </w:r>
            <w:r>
              <w:rPr>
                <w:noProof/>
                <w:webHidden/>
              </w:rPr>
              <w:fldChar w:fldCharType="separate"/>
            </w:r>
            <w:r w:rsidR="00D7239F">
              <w:rPr>
                <w:noProof/>
                <w:webHidden/>
              </w:rPr>
              <w:t>23</w:t>
            </w:r>
            <w:r>
              <w:rPr>
                <w:noProof/>
                <w:webHidden/>
              </w:rPr>
              <w:fldChar w:fldCharType="end"/>
            </w:r>
          </w:hyperlink>
        </w:p>
        <w:p w14:paraId="5B6F58F0" w14:textId="77777777" w:rsidR="000F7CBC" w:rsidRDefault="000F7CBC">
          <w:pPr>
            <w:pStyle w:val="TOC3"/>
            <w:tabs>
              <w:tab w:val="right" w:leader="dot" w:pos="10245"/>
            </w:tabs>
            <w:rPr>
              <w:rFonts w:asciiTheme="minorHAnsi" w:hAnsiTheme="minorHAnsi"/>
              <w:noProof/>
              <w:sz w:val="22"/>
            </w:rPr>
          </w:pPr>
          <w:hyperlink w:anchor="_Toc40436451" w:history="1">
            <w:r w:rsidRPr="00F5686A">
              <w:rPr>
                <w:rStyle w:val="Hyperlink"/>
                <w:noProof/>
              </w:rPr>
              <w:t>1.2.3     Population Ageing in T&amp;T</w:t>
            </w:r>
            <w:r>
              <w:rPr>
                <w:noProof/>
                <w:webHidden/>
              </w:rPr>
              <w:tab/>
            </w:r>
            <w:r>
              <w:rPr>
                <w:noProof/>
                <w:webHidden/>
              </w:rPr>
              <w:fldChar w:fldCharType="begin"/>
            </w:r>
            <w:r>
              <w:rPr>
                <w:noProof/>
                <w:webHidden/>
              </w:rPr>
              <w:instrText xml:space="preserve"> PAGEREF _Toc40436451 \h </w:instrText>
            </w:r>
            <w:r>
              <w:rPr>
                <w:noProof/>
                <w:webHidden/>
              </w:rPr>
            </w:r>
            <w:r>
              <w:rPr>
                <w:noProof/>
                <w:webHidden/>
              </w:rPr>
              <w:fldChar w:fldCharType="separate"/>
            </w:r>
            <w:r w:rsidR="00D7239F">
              <w:rPr>
                <w:noProof/>
                <w:webHidden/>
              </w:rPr>
              <w:t>24</w:t>
            </w:r>
            <w:r>
              <w:rPr>
                <w:noProof/>
                <w:webHidden/>
              </w:rPr>
              <w:fldChar w:fldCharType="end"/>
            </w:r>
          </w:hyperlink>
        </w:p>
        <w:p w14:paraId="59B3C428" w14:textId="77777777" w:rsidR="000F7CBC" w:rsidRDefault="000F7CBC">
          <w:pPr>
            <w:pStyle w:val="TOC3"/>
            <w:tabs>
              <w:tab w:val="right" w:leader="dot" w:pos="10245"/>
            </w:tabs>
            <w:rPr>
              <w:rFonts w:asciiTheme="minorHAnsi" w:hAnsiTheme="minorHAnsi"/>
              <w:noProof/>
              <w:sz w:val="22"/>
            </w:rPr>
          </w:pPr>
          <w:hyperlink w:anchor="_Toc40436452" w:history="1">
            <w:r w:rsidRPr="00F5686A">
              <w:rPr>
                <w:rStyle w:val="Hyperlink"/>
                <w:noProof/>
              </w:rPr>
              <w:t>1.2.4     Older Persons with Disabilities in T&amp;T</w:t>
            </w:r>
            <w:r>
              <w:rPr>
                <w:noProof/>
                <w:webHidden/>
              </w:rPr>
              <w:tab/>
            </w:r>
            <w:r>
              <w:rPr>
                <w:noProof/>
                <w:webHidden/>
              </w:rPr>
              <w:fldChar w:fldCharType="begin"/>
            </w:r>
            <w:r>
              <w:rPr>
                <w:noProof/>
                <w:webHidden/>
              </w:rPr>
              <w:instrText xml:space="preserve"> PAGEREF _Toc40436452 \h </w:instrText>
            </w:r>
            <w:r>
              <w:rPr>
                <w:noProof/>
                <w:webHidden/>
              </w:rPr>
            </w:r>
            <w:r>
              <w:rPr>
                <w:noProof/>
                <w:webHidden/>
              </w:rPr>
              <w:fldChar w:fldCharType="separate"/>
            </w:r>
            <w:r w:rsidR="00D7239F">
              <w:rPr>
                <w:noProof/>
                <w:webHidden/>
              </w:rPr>
              <w:t>28</w:t>
            </w:r>
            <w:r>
              <w:rPr>
                <w:noProof/>
                <w:webHidden/>
              </w:rPr>
              <w:fldChar w:fldCharType="end"/>
            </w:r>
          </w:hyperlink>
        </w:p>
        <w:p w14:paraId="60791715" w14:textId="77777777" w:rsidR="000F7CBC" w:rsidRDefault="000F7CBC">
          <w:pPr>
            <w:pStyle w:val="TOC3"/>
            <w:tabs>
              <w:tab w:val="right" w:leader="dot" w:pos="10245"/>
            </w:tabs>
            <w:rPr>
              <w:rFonts w:asciiTheme="minorHAnsi" w:hAnsiTheme="minorHAnsi"/>
              <w:noProof/>
              <w:sz w:val="22"/>
            </w:rPr>
          </w:pPr>
          <w:hyperlink w:anchor="_Toc40436453" w:history="1">
            <w:r w:rsidRPr="00F5686A">
              <w:rPr>
                <w:rStyle w:val="Hyperlink"/>
                <w:noProof/>
              </w:rPr>
              <w:t>1.2.5     Family Care for Older Persons in T&amp;T</w:t>
            </w:r>
            <w:r>
              <w:rPr>
                <w:noProof/>
                <w:webHidden/>
              </w:rPr>
              <w:tab/>
            </w:r>
            <w:r>
              <w:rPr>
                <w:noProof/>
                <w:webHidden/>
              </w:rPr>
              <w:fldChar w:fldCharType="begin"/>
            </w:r>
            <w:r>
              <w:rPr>
                <w:noProof/>
                <w:webHidden/>
              </w:rPr>
              <w:instrText xml:space="preserve"> PAGEREF _Toc40436453 \h </w:instrText>
            </w:r>
            <w:r>
              <w:rPr>
                <w:noProof/>
                <w:webHidden/>
              </w:rPr>
            </w:r>
            <w:r>
              <w:rPr>
                <w:noProof/>
                <w:webHidden/>
              </w:rPr>
              <w:fldChar w:fldCharType="separate"/>
            </w:r>
            <w:r w:rsidR="00D7239F">
              <w:rPr>
                <w:noProof/>
                <w:webHidden/>
              </w:rPr>
              <w:t>28</w:t>
            </w:r>
            <w:r>
              <w:rPr>
                <w:noProof/>
                <w:webHidden/>
              </w:rPr>
              <w:fldChar w:fldCharType="end"/>
            </w:r>
          </w:hyperlink>
        </w:p>
        <w:p w14:paraId="207777B1" w14:textId="77777777" w:rsidR="000F7CBC" w:rsidRDefault="000F7CBC">
          <w:pPr>
            <w:pStyle w:val="TOC3"/>
            <w:tabs>
              <w:tab w:val="right" w:leader="dot" w:pos="10245"/>
            </w:tabs>
            <w:rPr>
              <w:rFonts w:asciiTheme="minorHAnsi" w:hAnsiTheme="minorHAnsi"/>
              <w:noProof/>
              <w:sz w:val="22"/>
            </w:rPr>
          </w:pPr>
          <w:hyperlink w:anchor="_Toc40436454" w:history="1">
            <w:r w:rsidRPr="00F5686A">
              <w:rPr>
                <w:rStyle w:val="Hyperlink"/>
                <w:noProof/>
              </w:rPr>
              <w:t>1.2.6     T&amp;T’s National Policy on Ageing</w:t>
            </w:r>
            <w:r>
              <w:rPr>
                <w:noProof/>
                <w:webHidden/>
              </w:rPr>
              <w:tab/>
            </w:r>
            <w:r>
              <w:rPr>
                <w:noProof/>
                <w:webHidden/>
              </w:rPr>
              <w:fldChar w:fldCharType="begin"/>
            </w:r>
            <w:r>
              <w:rPr>
                <w:noProof/>
                <w:webHidden/>
              </w:rPr>
              <w:instrText xml:space="preserve"> PAGEREF _Toc40436454 \h </w:instrText>
            </w:r>
            <w:r>
              <w:rPr>
                <w:noProof/>
                <w:webHidden/>
              </w:rPr>
            </w:r>
            <w:r>
              <w:rPr>
                <w:noProof/>
                <w:webHidden/>
              </w:rPr>
              <w:fldChar w:fldCharType="separate"/>
            </w:r>
            <w:r w:rsidR="00D7239F">
              <w:rPr>
                <w:noProof/>
                <w:webHidden/>
              </w:rPr>
              <w:t>30</w:t>
            </w:r>
            <w:r>
              <w:rPr>
                <w:noProof/>
                <w:webHidden/>
              </w:rPr>
              <w:fldChar w:fldCharType="end"/>
            </w:r>
          </w:hyperlink>
        </w:p>
        <w:p w14:paraId="22378CD5" w14:textId="77777777" w:rsidR="000F7CBC" w:rsidRDefault="000F7CBC">
          <w:pPr>
            <w:pStyle w:val="TOC3"/>
            <w:tabs>
              <w:tab w:val="right" w:leader="dot" w:pos="10245"/>
            </w:tabs>
            <w:rPr>
              <w:rFonts w:asciiTheme="minorHAnsi" w:hAnsiTheme="minorHAnsi"/>
              <w:noProof/>
              <w:sz w:val="22"/>
            </w:rPr>
          </w:pPr>
          <w:hyperlink w:anchor="_Toc40436455" w:history="1">
            <w:r w:rsidRPr="00F5686A">
              <w:rPr>
                <w:rStyle w:val="Hyperlink"/>
                <w:noProof/>
              </w:rPr>
              <w:t>1.2.7     Social Services for Older Persons and Family Caregivers</w:t>
            </w:r>
            <w:r>
              <w:rPr>
                <w:noProof/>
                <w:webHidden/>
              </w:rPr>
              <w:tab/>
            </w:r>
            <w:r>
              <w:rPr>
                <w:noProof/>
                <w:webHidden/>
              </w:rPr>
              <w:fldChar w:fldCharType="begin"/>
            </w:r>
            <w:r>
              <w:rPr>
                <w:noProof/>
                <w:webHidden/>
              </w:rPr>
              <w:instrText xml:space="preserve"> PAGEREF _Toc40436455 \h </w:instrText>
            </w:r>
            <w:r>
              <w:rPr>
                <w:noProof/>
                <w:webHidden/>
              </w:rPr>
            </w:r>
            <w:r>
              <w:rPr>
                <w:noProof/>
                <w:webHidden/>
              </w:rPr>
              <w:fldChar w:fldCharType="separate"/>
            </w:r>
            <w:r w:rsidR="00D7239F">
              <w:rPr>
                <w:noProof/>
                <w:webHidden/>
              </w:rPr>
              <w:t>31</w:t>
            </w:r>
            <w:r>
              <w:rPr>
                <w:noProof/>
                <w:webHidden/>
              </w:rPr>
              <w:fldChar w:fldCharType="end"/>
            </w:r>
          </w:hyperlink>
        </w:p>
        <w:p w14:paraId="48227E73" w14:textId="77777777" w:rsidR="000F7CBC" w:rsidRDefault="000F7CBC">
          <w:pPr>
            <w:pStyle w:val="TOC3"/>
            <w:tabs>
              <w:tab w:val="right" w:leader="dot" w:pos="10245"/>
            </w:tabs>
            <w:rPr>
              <w:rFonts w:asciiTheme="minorHAnsi" w:hAnsiTheme="minorHAnsi"/>
              <w:noProof/>
              <w:sz w:val="22"/>
            </w:rPr>
          </w:pPr>
          <w:hyperlink w:anchor="_Toc40436456" w:history="1">
            <w:r w:rsidRPr="00F5686A">
              <w:rPr>
                <w:rStyle w:val="Hyperlink"/>
                <w:noProof/>
              </w:rPr>
              <w:t>1.2.8     Health Care</w:t>
            </w:r>
            <w:r>
              <w:rPr>
                <w:noProof/>
                <w:webHidden/>
              </w:rPr>
              <w:tab/>
            </w:r>
            <w:r>
              <w:rPr>
                <w:noProof/>
                <w:webHidden/>
              </w:rPr>
              <w:fldChar w:fldCharType="begin"/>
            </w:r>
            <w:r>
              <w:rPr>
                <w:noProof/>
                <w:webHidden/>
              </w:rPr>
              <w:instrText xml:space="preserve"> PAGEREF _Toc40436456 \h </w:instrText>
            </w:r>
            <w:r>
              <w:rPr>
                <w:noProof/>
                <w:webHidden/>
              </w:rPr>
            </w:r>
            <w:r>
              <w:rPr>
                <w:noProof/>
                <w:webHidden/>
              </w:rPr>
              <w:fldChar w:fldCharType="separate"/>
            </w:r>
            <w:r w:rsidR="00D7239F">
              <w:rPr>
                <w:noProof/>
                <w:webHidden/>
              </w:rPr>
              <w:t>33</w:t>
            </w:r>
            <w:r>
              <w:rPr>
                <w:noProof/>
                <w:webHidden/>
              </w:rPr>
              <w:fldChar w:fldCharType="end"/>
            </w:r>
          </w:hyperlink>
        </w:p>
        <w:p w14:paraId="6E59EF05" w14:textId="77777777" w:rsidR="000F7CBC" w:rsidRDefault="000F7CBC">
          <w:pPr>
            <w:pStyle w:val="TOC2"/>
            <w:tabs>
              <w:tab w:val="right" w:leader="dot" w:pos="10245"/>
            </w:tabs>
            <w:rPr>
              <w:rFonts w:asciiTheme="minorHAnsi" w:hAnsiTheme="minorHAnsi"/>
              <w:noProof/>
              <w:sz w:val="22"/>
            </w:rPr>
          </w:pPr>
          <w:hyperlink w:anchor="_Toc40436457" w:history="1">
            <w:r w:rsidRPr="00F5686A">
              <w:rPr>
                <w:rStyle w:val="Hyperlink"/>
                <w:noProof/>
              </w:rPr>
              <w:t>1.3 RESEARCH QUESTIONS</w:t>
            </w:r>
            <w:r>
              <w:rPr>
                <w:noProof/>
                <w:webHidden/>
              </w:rPr>
              <w:tab/>
            </w:r>
            <w:r>
              <w:rPr>
                <w:noProof/>
                <w:webHidden/>
              </w:rPr>
              <w:fldChar w:fldCharType="begin"/>
            </w:r>
            <w:r>
              <w:rPr>
                <w:noProof/>
                <w:webHidden/>
              </w:rPr>
              <w:instrText xml:space="preserve"> PAGEREF _Toc40436457 \h </w:instrText>
            </w:r>
            <w:r>
              <w:rPr>
                <w:noProof/>
                <w:webHidden/>
              </w:rPr>
            </w:r>
            <w:r>
              <w:rPr>
                <w:noProof/>
                <w:webHidden/>
              </w:rPr>
              <w:fldChar w:fldCharType="separate"/>
            </w:r>
            <w:r w:rsidR="00D7239F">
              <w:rPr>
                <w:noProof/>
                <w:webHidden/>
              </w:rPr>
              <w:t>34</w:t>
            </w:r>
            <w:r>
              <w:rPr>
                <w:noProof/>
                <w:webHidden/>
              </w:rPr>
              <w:fldChar w:fldCharType="end"/>
            </w:r>
          </w:hyperlink>
        </w:p>
        <w:p w14:paraId="0B338C94" w14:textId="77777777" w:rsidR="000F7CBC" w:rsidRDefault="000F7CBC">
          <w:pPr>
            <w:pStyle w:val="TOC2"/>
            <w:tabs>
              <w:tab w:val="right" w:leader="dot" w:pos="10245"/>
            </w:tabs>
            <w:rPr>
              <w:rFonts w:asciiTheme="minorHAnsi" w:hAnsiTheme="minorHAnsi"/>
              <w:noProof/>
              <w:sz w:val="22"/>
            </w:rPr>
          </w:pPr>
          <w:hyperlink w:anchor="_Toc40436458" w:history="1">
            <w:r w:rsidRPr="00F5686A">
              <w:rPr>
                <w:rStyle w:val="Hyperlink"/>
                <w:noProof/>
              </w:rPr>
              <w:t>1.4 KEY TERMS</w:t>
            </w:r>
            <w:r>
              <w:rPr>
                <w:noProof/>
                <w:webHidden/>
              </w:rPr>
              <w:tab/>
            </w:r>
            <w:r>
              <w:rPr>
                <w:noProof/>
                <w:webHidden/>
              </w:rPr>
              <w:fldChar w:fldCharType="begin"/>
            </w:r>
            <w:r>
              <w:rPr>
                <w:noProof/>
                <w:webHidden/>
              </w:rPr>
              <w:instrText xml:space="preserve"> PAGEREF _Toc40436458 \h </w:instrText>
            </w:r>
            <w:r>
              <w:rPr>
                <w:noProof/>
                <w:webHidden/>
              </w:rPr>
            </w:r>
            <w:r>
              <w:rPr>
                <w:noProof/>
                <w:webHidden/>
              </w:rPr>
              <w:fldChar w:fldCharType="separate"/>
            </w:r>
            <w:r w:rsidR="00D7239F">
              <w:rPr>
                <w:noProof/>
                <w:webHidden/>
              </w:rPr>
              <w:t>36</w:t>
            </w:r>
            <w:r>
              <w:rPr>
                <w:noProof/>
                <w:webHidden/>
              </w:rPr>
              <w:fldChar w:fldCharType="end"/>
            </w:r>
          </w:hyperlink>
        </w:p>
        <w:p w14:paraId="53A4C3AF" w14:textId="77777777" w:rsidR="000F7CBC" w:rsidRDefault="000F7CBC">
          <w:pPr>
            <w:pStyle w:val="TOC3"/>
            <w:tabs>
              <w:tab w:val="right" w:leader="dot" w:pos="10245"/>
            </w:tabs>
            <w:rPr>
              <w:rFonts w:asciiTheme="minorHAnsi" w:hAnsiTheme="minorHAnsi"/>
              <w:noProof/>
              <w:sz w:val="22"/>
            </w:rPr>
          </w:pPr>
          <w:hyperlink w:anchor="_Toc40436459" w:history="1">
            <w:r w:rsidRPr="00F5686A">
              <w:rPr>
                <w:rStyle w:val="Hyperlink"/>
                <w:noProof/>
              </w:rPr>
              <w:t>1.4.1     Older Persons, Senior Citizens, Elders or Elderly</w:t>
            </w:r>
            <w:r>
              <w:rPr>
                <w:noProof/>
                <w:webHidden/>
              </w:rPr>
              <w:tab/>
            </w:r>
            <w:r>
              <w:rPr>
                <w:noProof/>
                <w:webHidden/>
              </w:rPr>
              <w:fldChar w:fldCharType="begin"/>
            </w:r>
            <w:r>
              <w:rPr>
                <w:noProof/>
                <w:webHidden/>
              </w:rPr>
              <w:instrText xml:space="preserve"> PAGEREF _Toc40436459 \h </w:instrText>
            </w:r>
            <w:r>
              <w:rPr>
                <w:noProof/>
                <w:webHidden/>
              </w:rPr>
            </w:r>
            <w:r>
              <w:rPr>
                <w:noProof/>
                <w:webHidden/>
              </w:rPr>
              <w:fldChar w:fldCharType="separate"/>
            </w:r>
            <w:r w:rsidR="00D7239F">
              <w:rPr>
                <w:noProof/>
                <w:webHidden/>
              </w:rPr>
              <w:t>36</w:t>
            </w:r>
            <w:r>
              <w:rPr>
                <w:noProof/>
                <w:webHidden/>
              </w:rPr>
              <w:fldChar w:fldCharType="end"/>
            </w:r>
          </w:hyperlink>
        </w:p>
        <w:p w14:paraId="72F3FA12" w14:textId="77777777" w:rsidR="000F7CBC" w:rsidRDefault="000F7CBC">
          <w:pPr>
            <w:pStyle w:val="TOC3"/>
            <w:tabs>
              <w:tab w:val="right" w:leader="dot" w:pos="10245"/>
            </w:tabs>
            <w:rPr>
              <w:rFonts w:asciiTheme="minorHAnsi" w:hAnsiTheme="minorHAnsi"/>
              <w:noProof/>
              <w:sz w:val="22"/>
            </w:rPr>
          </w:pPr>
          <w:hyperlink w:anchor="_Toc40436460" w:history="1">
            <w:r w:rsidRPr="00F5686A">
              <w:rPr>
                <w:rStyle w:val="Hyperlink"/>
                <w:noProof/>
              </w:rPr>
              <w:t>1.4.2     Quotations</w:t>
            </w:r>
            <w:r>
              <w:rPr>
                <w:noProof/>
                <w:webHidden/>
              </w:rPr>
              <w:tab/>
            </w:r>
            <w:r>
              <w:rPr>
                <w:noProof/>
                <w:webHidden/>
              </w:rPr>
              <w:fldChar w:fldCharType="begin"/>
            </w:r>
            <w:r>
              <w:rPr>
                <w:noProof/>
                <w:webHidden/>
              </w:rPr>
              <w:instrText xml:space="preserve"> PAGEREF _Toc40436460 \h </w:instrText>
            </w:r>
            <w:r>
              <w:rPr>
                <w:noProof/>
                <w:webHidden/>
              </w:rPr>
            </w:r>
            <w:r>
              <w:rPr>
                <w:noProof/>
                <w:webHidden/>
              </w:rPr>
              <w:fldChar w:fldCharType="separate"/>
            </w:r>
            <w:r w:rsidR="00D7239F">
              <w:rPr>
                <w:noProof/>
                <w:webHidden/>
              </w:rPr>
              <w:t>37</w:t>
            </w:r>
            <w:r>
              <w:rPr>
                <w:noProof/>
                <w:webHidden/>
              </w:rPr>
              <w:fldChar w:fldCharType="end"/>
            </w:r>
          </w:hyperlink>
        </w:p>
        <w:p w14:paraId="14CD7B27" w14:textId="77777777" w:rsidR="000F7CBC" w:rsidRDefault="000F7CBC">
          <w:pPr>
            <w:pStyle w:val="TOC2"/>
            <w:tabs>
              <w:tab w:val="right" w:leader="dot" w:pos="10245"/>
            </w:tabs>
            <w:rPr>
              <w:rFonts w:asciiTheme="minorHAnsi" w:hAnsiTheme="minorHAnsi"/>
              <w:noProof/>
              <w:sz w:val="22"/>
            </w:rPr>
          </w:pPr>
          <w:hyperlink w:anchor="_Toc40436461" w:history="1">
            <w:r w:rsidRPr="00F5686A">
              <w:rPr>
                <w:rStyle w:val="Hyperlink"/>
                <w:noProof/>
              </w:rPr>
              <w:t>1.5 THESIS OUTLINE</w:t>
            </w:r>
            <w:r>
              <w:rPr>
                <w:noProof/>
                <w:webHidden/>
              </w:rPr>
              <w:tab/>
            </w:r>
            <w:r>
              <w:rPr>
                <w:noProof/>
                <w:webHidden/>
              </w:rPr>
              <w:fldChar w:fldCharType="begin"/>
            </w:r>
            <w:r>
              <w:rPr>
                <w:noProof/>
                <w:webHidden/>
              </w:rPr>
              <w:instrText xml:space="preserve"> PAGEREF _Toc40436461 \h </w:instrText>
            </w:r>
            <w:r>
              <w:rPr>
                <w:noProof/>
                <w:webHidden/>
              </w:rPr>
            </w:r>
            <w:r>
              <w:rPr>
                <w:noProof/>
                <w:webHidden/>
              </w:rPr>
              <w:fldChar w:fldCharType="separate"/>
            </w:r>
            <w:r w:rsidR="00D7239F">
              <w:rPr>
                <w:noProof/>
                <w:webHidden/>
              </w:rPr>
              <w:t>37</w:t>
            </w:r>
            <w:r>
              <w:rPr>
                <w:noProof/>
                <w:webHidden/>
              </w:rPr>
              <w:fldChar w:fldCharType="end"/>
            </w:r>
          </w:hyperlink>
        </w:p>
        <w:p w14:paraId="29FA4F53" w14:textId="77777777" w:rsidR="000F7CBC" w:rsidRDefault="000F7CBC">
          <w:pPr>
            <w:pStyle w:val="TOC2"/>
            <w:tabs>
              <w:tab w:val="right" w:leader="dot" w:pos="10245"/>
            </w:tabs>
            <w:rPr>
              <w:rFonts w:asciiTheme="minorHAnsi" w:hAnsiTheme="minorHAnsi"/>
              <w:noProof/>
              <w:sz w:val="22"/>
            </w:rPr>
          </w:pPr>
          <w:hyperlink w:anchor="_Toc40436462" w:history="1">
            <w:r w:rsidRPr="00F5686A">
              <w:rPr>
                <w:rStyle w:val="Hyperlink"/>
                <w:noProof/>
              </w:rPr>
              <w:t>1.6 CONCLUSION</w:t>
            </w:r>
            <w:r>
              <w:rPr>
                <w:noProof/>
                <w:webHidden/>
              </w:rPr>
              <w:tab/>
            </w:r>
            <w:r>
              <w:rPr>
                <w:noProof/>
                <w:webHidden/>
              </w:rPr>
              <w:fldChar w:fldCharType="begin"/>
            </w:r>
            <w:r>
              <w:rPr>
                <w:noProof/>
                <w:webHidden/>
              </w:rPr>
              <w:instrText xml:space="preserve"> PAGEREF _Toc40436462 \h </w:instrText>
            </w:r>
            <w:r>
              <w:rPr>
                <w:noProof/>
                <w:webHidden/>
              </w:rPr>
            </w:r>
            <w:r>
              <w:rPr>
                <w:noProof/>
                <w:webHidden/>
              </w:rPr>
              <w:fldChar w:fldCharType="separate"/>
            </w:r>
            <w:r w:rsidR="00D7239F">
              <w:rPr>
                <w:noProof/>
                <w:webHidden/>
              </w:rPr>
              <w:t>38</w:t>
            </w:r>
            <w:r>
              <w:rPr>
                <w:noProof/>
                <w:webHidden/>
              </w:rPr>
              <w:fldChar w:fldCharType="end"/>
            </w:r>
          </w:hyperlink>
        </w:p>
        <w:p w14:paraId="02C1F9EC" w14:textId="77777777" w:rsidR="000F7CBC" w:rsidRDefault="000F7CBC">
          <w:pPr>
            <w:pStyle w:val="TOC1"/>
            <w:rPr>
              <w:rFonts w:asciiTheme="minorHAnsi" w:hAnsiTheme="minorHAnsi"/>
              <w:noProof/>
              <w:sz w:val="22"/>
            </w:rPr>
          </w:pPr>
          <w:hyperlink w:anchor="_Toc40436463" w:history="1">
            <w:r w:rsidRPr="00F5686A">
              <w:rPr>
                <w:rStyle w:val="Hyperlink"/>
                <w:noProof/>
              </w:rPr>
              <w:t>CHAPTER 2 – LITERATURE REVIEW</w:t>
            </w:r>
            <w:r>
              <w:rPr>
                <w:noProof/>
                <w:webHidden/>
              </w:rPr>
              <w:tab/>
            </w:r>
            <w:r>
              <w:rPr>
                <w:noProof/>
                <w:webHidden/>
              </w:rPr>
              <w:fldChar w:fldCharType="begin"/>
            </w:r>
            <w:r>
              <w:rPr>
                <w:noProof/>
                <w:webHidden/>
              </w:rPr>
              <w:instrText xml:space="preserve"> PAGEREF _Toc40436463 \h </w:instrText>
            </w:r>
            <w:r>
              <w:rPr>
                <w:noProof/>
                <w:webHidden/>
              </w:rPr>
            </w:r>
            <w:r>
              <w:rPr>
                <w:noProof/>
                <w:webHidden/>
              </w:rPr>
              <w:fldChar w:fldCharType="separate"/>
            </w:r>
            <w:r w:rsidR="00D7239F">
              <w:rPr>
                <w:noProof/>
                <w:webHidden/>
              </w:rPr>
              <w:t>39</w:t>
            </w:r>
            <w:r>
              <w:rPr>
                <w:noProof/>
                <w:webHidden/>
              </w:rPr>
              <w:fldChar w:fldCharType="end"/>
            </w:r>
          </w:hyperlink>
        </w:p>
        <w:p w14:paraId="669D933F" w14:textId="77777777" w:rsidR="000F7CBC" w:rsidRDefault="000F7CBC">
          <w:pPr>
            <w:pStyle w:val="TOC1"/>
            <w:rPr>
              <w:rFonts w:asciiTheme="minorHAnsi" w:hAnsiTheme="minorHAnsi"/>
              <w:noProof/>
              <w:sz w:val="22"/>
            </w:rPr>
          </w:pPr>
          <w:hyperlink w:anchor="_Toc40436464" w:history="1">
            <w:r w:rsidRPr="00F5686A">
              <w:rPr>
                <w:rStyle w:val="Hyperlink"/>
                <w:noProof/>
              </w:rPr>
              <w:t>CONCEPTUALISATIONS OF FAMILY, CARE &amp; FAMILY POLICY</w:t>
            </w:r>
            <w:r>
              <w:rPr>
                <w:noProof/>
                <w:webHidden/>
              </w:rPr>
              <w:tab/>
            </w:r>
            <w:r>
              <w:rPr>
                <w:noProof/>
                <w:webHidden/>
              </w:rPr>
              <w:fldChar w:fldCharType="begin"/>
            </w:r>
            <w:r>
              <w:rPr>
                <w:noProof/>
                <w:webHidden/>
              </w:rPr>
              <w:instrText xml:space="preserve"> PAGEREF _Toc40436464 \h </w:instrText>
            </w:r>
            <w:r>
              <w:rPr>
                <w:noProof/>
                <w:webHidden/>
              </w:rPr>
            </w:r>
            <w:r>
              <w:rPr>
                <w:noProof/>
                <w:webHidden/>
              </w:rPr>
              <w:fldChar w:fldCharType="separate"/>
            </w:r>
            <w:r w:rsidR="00D7239F">
              <w:rPr>
                <w:noProof/>
                <w:webHidden/>
              </w:rPr>
              <w:t>39</w:t>
            </w:r>
            <w:r>
              <w:rPr>
                <w:noProof/>
                <w:webHidden/>
              </w:rPr>
              <w:fldChar w:fldCharType="end"/>
            </w:r>
          </w:hyperlink>
        </w:p>
        <w:p w14:paraId="4626C0CA" w14:textId="77777777" w:rsidR="000F7CBC" w:rsidRDefault="000F7CBC">
          <w:pPr>
            <w:pStyle w:val="TOC2"/>
            <w:tabs>
              <w:tab w:val="right" w:leader="dot" w:pos="10245"/>
            </w:tabs>
            <w:rPr>
              <w:rFonts w:asciiTheme="minorHAnsi" w:hAnsiTheme="minorHAnsi"/>
              <w:noProof/>
              <w:sz w:val="22"/>
            </w:rPr>
          </w:pPr>
          <w:hyperlink w:anchor="_Toc40436465" w:history="1">
            <w:r w:rsidRPr="00F5686A">
              <w:rPr>
                <w:rStyle w:val="Hyperlink"/>
                <w:noProof/>
              </w:rPr>
              <w:t>2.1 INTRODUCTION</w:t>
            </w:r>
            <w:r>
              <w:rPr>
                <w:noProof/>
                <w:webHidden/>
              </w:rPr>
              <w:tab/>
            </w:r>
            <w:r>
              <w:rPr>
                <w:noProof/>
                <w:webHidden/>
              </w:rPr>
              <w:fldChar w:fldCharType="begin"/>
            </w:r>
            <w:r>
              <w:rPr>
                <w:noProof/>
                <w:webHidden/>
              </w:rPr>
              <w:instrText xml:space="preserve"> PAGEREF _Toc40436465 \h </w:instrText>
            </w:r>
            <w:r>
              <w:rPr>
                <w:noProof/>
                <w:webHidden/>
              </w:rPr>
            </w:r>
            <w:r>
              <w:rPr>
                <w:noProof/>
                <w:webHidden/>
              </w:rPr>
              <w:fldChar w:fldCharType="separate"/>
            </w:r>
            <w:r w:rsidR="00D7239F">
              <w:rPr>
                <w:noProof/>
                <w:webHidden/>
              </w:rPr>
              <w:t>39</w:t>
            </w:r>
            <w:r>
              <w:rPr>
                <w:noProof/>
                <w:webHidden/>
              </w:rPr>
              <w:fldChar w:fldCharType="end"/>
            </w:r>
          </w:hyperlink>
        </w:p>
        <w:p w14:paraId="57BEDB40" w14:textId="77777777" w:rsidR="000F7CBC" w:rsidRDefault="000F7CBC">
          <w:pPr>
            <w:pStyle w:val="TOC2"/>
            <w:tabs>
              <w:tab w:val="right" w:leader="dot" w:pos="10245"/>
            </w:tabs>
            <w:rPr>
              <w:rFonts w:asciiTheme="minorHAnsi" w:hAnsiTheme="minorHAnsi"/>
              <w:noProof/>
              <w:sz w:val="22"/>
            </w:rPr>
          </w:pPr>
          <w:hyperlink w:anchor="_Toc40436466" w:history="1">
            <w:r w:rsidRPr="00F5686A">
              <w:rPr>
                <w:rStyle w:val="Hyperlink"/>
                <w:noProof/>
              </w:rPr>
              <w:t>2.2 CONCEPTUALISING ‘FAMILY’</w:t>
            </w:r>
            <w:r>
              <w:rPr>
                <w:noProof/>
                <w:webHidden/>
              </w:rPr>
              <w:tab/>
            </w:r>
            <w:r>
              <w:rPr>
                <w:noProof/>
                <w:webHidden/>
              </w:rPr>
              <w:fldChar w:fldCharType="begin"/>
            </w:r>
            <w:r>
              <w:rPr>
                <w:noProof/>
                <w:webHidden/>
              </w:rPr>
              <w:instrText xml:space="preserve"> PAGEREF _Toc40436466 \h </w:instrText>
            </w:r>
            <w:r>
              <w:rPr>
                <w:noProof/>
                <w:webHidden/>
              </w:rPr>
            </w:r>
            <w:r>
              <w:rPr>
                <w:noProof/>
                <w:webHidden/>
              </w:rPr>
              <w:fldChar w:fldCharType="separate"/>
            </w:r>
            <w:r w:rsidR="00D7239F">
              <w:rPr>
                <w:noProof/>
                <w:webHidden/>
              </w:rPr>
              <w:t>39</w:t>
            </w:r>
            <w:r>
              <w:rPr>
                <w:noProof/>
                <w:webHidden/>
              </w:rPr>
              <w:fldChar w:fldCharType="end"/>
            </w:r>
          </w:hyperlink>
        </w:p>
        <w:p w14:paraId="4FEE063C" w14:textId="77777777" w:rsidR="000F7CBC" w:rsidRDefault="000F7CBC">
          <w:pPr>
            <w:pStyle w:val="TOC3"/>
            <w:tabs>
              <w:tab w:val="right" w:leader="dot" w:pos="10245"/>
            </w:tabs>
            <w:rPr>
              <w:rFonts w:asciiTheme="minorHAnsi" w:hAnsiTheme="minorHAnsi"/>
              <w:noProof/>
              <w:sz w:val="22"/>
            </w:rPr>
          </w:pPr>
          <w:hyperlink w:anchor="_Toc40436467" w:history="1">
            <w:r w:rsidRPr="00F5686A">
              <w:rPr>
                <w:rStyle w:val="Hyperlink"/>
                <w:noProof/>
              </w:rPr>
              <w:t>2.2.1     Defining the Family</w:t>
            </w:r>
            <w:r>
              <w:rPr>
                <w:noProof/>
                <w:webHidden/>
              </w:rPr>
              <w:tab/>
            </w:r>
            <w:r>
              <w:rPr>
                <w:noProof/>
                <w:webHidden/>
              </w:rPr>
              <w:fldChar w:fldCharType="begin"/>
            </w:r>
            <w:r>
              <w:rPr>
                <w:noProof/>
                <w:webHidden/>
              </w:rPr>
              <w:instrText xml:space="preserve"> PAGEREF _Toc40436467 \h </w:instrText>
            </w:r>
            <w:r>
              <w:rPr>
                <w:noProof/>
                <w:webHidden/>
              </w:rPr>
            </w:r>
            <w:r>
              <w:rPr>
                <w:noProof/>
                <w:webHidden/>
              </w:rPr>
              <w:fldChar w:fldCharType="separate"/>
            </w:r>
            <w:r w:rsidR="00D7239F">
              <w:rPr>
                <w:noProof/>
                <w:webHidden/>
              </w:rPr>
              <w:t>40</w:t>
            </w:r>
            <w:r>
              <w:rPr>
                <w:noProof/>
                <w:webHidden/>
              </w:rPr>
              <w:fldChar w:fldCharType="end"/>
            </w:r>
          </w:hyperlink>
        </w:p>
        <w:p w14:paraId="7971F96B" w14:textId="77777777" w:rsidR="000F7CBC" w:rsidRDefault="000F7CBC">
          <w:pPr>
            <w:pStyle w:val="TOC3"/>
            <w:tabs>
              <w:tab w:val="right" w:leader="dot" w:pos="10245"/>
            </w:tabs>
            <w:rPr>
              <w:rFonts w:asciiTheme="minorHAnsi" w:hAnsiTheme="minorHAnsi"/>
              <w:noProof/>
              <w:sz w:val="22"/>
            </w:rPr>
          </w:pPr>
          <w:hyperlink w:anchor="_Toc40436468" w:history="1">
            <w:r w:rsidRPr="00F5686A">
              <w:rPr>
                <w:rStyle w:val="Hyperlink"/>
                <w:noProof/>
              </w:rPr>
              <w:t>2.2.2     Diverse Sociological Perspectives</w:t>
            </w:r>
            <w:r>
              <w:rPr>
                <w:noProof/>
                <w:webHidden/>
              </w:rPr>
              <w:tab/>
            </w:r>
            <w:r>
              <w:rPr>
                <w:noProof/>
                <w:webHidden/>
              </w:rPr>
              <w:fldChar w:fldCharType="begin"/>
            </w:r>
            <w:r>
              <w:rPr>
                <w:noProof/>
                <w:webHidden/>
              </w:rPr>
              <w:instrText xml:space="preserve"> PAGEREF _Toc40436468 \h </w:instrText>
            </w:r>
            <w:r>
              <w:rPr>
                <w:noProof/>
                <w:webHidden/>
              </w:rPr>
            </w:r>
            <w:r>
              <w:rPr>
                <w:noProof/>
                <w:webHidden/>
              </w:rPr>
              <w:fldChar w:fldCharType="separate"/>
            </w:r>
            <w:r w:rsidR="00D7239F">
              <w:rPr>
                <w:noProof/>
                <w:webHidden/>
              </w:rPr>
              <w:t>40</w:t>
            </w:r>
            <w:r>
              <w:rPr>
                <w:noProof/>
                <w:webHidden/>
              </w:rPr>
              <w:fldChar w:fldCharType="end"/>
            </w:r>
          </w:hyperlink>
        </w:p>
        <w:p w14:paraId="247A84F8" w14:textId="77777777" w:rsidR="000F7CBC" w:rsidRDefault="000F7CBC">
          <w:pPr>
            <w:pStyle w:val="TOC3"/>
            <w:tabs>
              <w:tab w:val="right" w:leader="dot" w:pos="10245"/>
            </w:tabs>
            <w:rPr>
              <w:rFonts w:asciiTheme="minorHAnsi" w:hAnsiTheme="minorHAnsi"/>
              <w:noProof/>
              <w:sz w:val="22"/>
            </w:rPr>
          </w:pPr>
          <w:hyperlink w:anchor="_Toc40436469" w:history="1">
            <w:r w:rsidRPr="00F5686A">
              <w:rPr>
                <w:rStyle w:val="Hyperlink"/>
                <w:noProof/>
              </w:rPr>
              <w:t>2.2.3     Caribbean Family Structures</w:t>
            </w:r>
            <w:r>
              <w:rPr>
                <w:noProof/>
                <w:webHidden/>
              </w:rPr>
              <w:tab/>
            </w:r>
            <w:r>
              <w:rPr>
                <w:noProof/>
                <w:webHidden/>
              </w:rPr>
              <w:fldChar w:fldCharType="begin"/>
            </w:r>
            <w:r>
              <w:rPr>
                <w:noProof/>
                <w:webHidden/>
              </w:rPr>
              <w:instrText xml:space="preserve"> PAGEREF _Toc40436469 \h </w:instrText>
            </w:r>
            <w:r>
              <w:rPr>
                <w:noProof/>
                <w:webHidden/>
              </w:rPr>
            </w:r>
            <w:r>
              <w:rPr>
                <w:noProof/>
                <w:webHidden/>
              </w:rPr>
              <w:fldChar w:fldCharType="separate"/>
            </w:r>
            <w:r w:rsidR="00D7239F">
              <w:rPr>
                <w:noProof/>
                <w:webHidden/>
              </w:rPr>
              <w:t>47</w:t>
            </w:r>
            <w:r>
              <w:rPr>
                <w:noProof/>
                <w:webHidden/>
              </w:rPr>
              <w:fldChar w:fldCharType="end"/>
            </w:r>
          </w:hyperlink>
        </w:p>
        <w:p w14:paraId="0B4BE4C1" w14:textId="77777777" w:rsidR="000F7CBC" w:rsidRDefault="000F7CBC">
          <w:pPr>
            <w:pStyle w:val="TOC3"/>
            <w:tabs>
              <w:tab w:val="right" w:leader="dot" w:pos="10245"/>
            </w:tabs>
            <w:rPr>
              <w:rFonts w:asciiTheme="minorHAnsi" w:hAnsiTheme="minorHAnsi"/>
              <w:noProof/>
              <w:sz w:val="22"/>
            </w:rPr>
          </w:pPr>
          <w:hyperlink w:anchor="_Toc40436470" w:history="1">
            <w:r w:rsidRPr="00F5686A">
              <w:rPr>
                <w:rStyle w:val="Hyperlink"/>
                <w:noProof/>
              </w:rPr>
              <w:t>2.2.4     Contemporary Views on the Family</w:t>
            </w:r>
            <w:r>
              <w:rPr>
                <w:noProof/>
                <w:webHidden/>
              </w:rPr>
              <w:tab/>
            </w:r>
            <w:r>
              <w:rPr>
                <w:noProof/>
                <w:webHidden/>
              </w:rPr>
              <w:fldChar w:fldCharType="begin"/>
            </w:r>
            <w:r>
              <w:rPr>
                <w:noProof/>
                <w:webHidden/>
              </w:rPr>
              <w:instrText xml:space="preserve"> PAGEREF _Toc40436470 \h </w:instrText>
            </w:r>
            <w:r>
              <w:rPr>
                <w:noProof/>
                <w:webHidden/>
              </w:rPr>
            </w:r>
            <w:r>
              <w:rPr>
                <w:noProof/>
                <w:webHidden/>
              </w:rPr>
              <w:fldChar w:fldCharType="separate"/>
            </w:r>
            <w:r w:rsidR="00D7239F">
              <w:rPr>
                <w:noProof/>
                <w:webHidden/>
              </w:rPr>
              <w:t>51</w:t>
            </w:r>
            <w:r>
              <w:rPr>
                <w:noProof/>
                <w:webHidden/>
              </w:rPr>
              <w:fldChar w:fldCharType="end"/>
            </w:r>
          </w:hyperlink>
        </w:p>
        <w:p w14:paraId="79937E9A" w14:textId="77777777" w:rsidR="000F7CBC" w:rsidRDefault="000F7CBC">
          <w:pPr>
            <w:pStyle w:val="TOC2"/>
            <w:tabs>
              <w:tab w:val="right" w:leader="dot" w:pos="10245"/>
            </w:tabs>
            <w:rPr>
              <w:rFonts w:asciiTheme="minorHAnsi" w:hAnsiTheme="minorHAnsi"/>
              <w:noProof/>
              <w:sz w:val="22"/>
            </w:rPr>
          </w:pPr>
          <w:hyperlink w:anchor="_Toc40436471" w:history="1">
            <w:r w:rsidRPr="00F5686A">
              <w:rPr>
                <w:rStyle w:val="Hyperlink"/>
                <w:noProof/>
              </w:rPr>
              <w:t>2.3 CONCEPTUALISING ‘CARE’</w:t>
            </w:r>
            <w:r>
              <w:rPr>
                <w:noProof/>
                <w:webHidden/>
              </w:rPr>
              <w:tab/>
            </w:r>
            <w:r>
              <w:rPr>
                <w:noProof/>
                <w:webHidden/>
              </w:rPr>
              <w:fldChar w:fldCharType="begin"/>
            </w:r>
            <w:r>
              <w:rPr>
                <w:noProof/>
                <w:webHidden/>
              </w:rPr>
              <w:instrText xml:space="preserve"> PAGEREF _Toc40436471 \h </w:instrText>
            </w:r>
            <w:r>
              <w:rPr>
                <w:noProof/>
                <w:webHidden/>
              </w:rPr>
            </w:r>
            <w:r>
              <w:rPr>
                <w:noProof/>
                <w:webHidden/>
              </w:rPr>
              <w:fldChar w:fldCharType="separate"/>
            </w:r>
            <w:r w:rsidR="00D7239F">
              <w:rPr>
                <w:noProof/>
                <w:webHidden/>
              </w:rPr>
              <w:t>51</w:t>
            </w:r>
            <w:r>
              <w:rPr>
                <w:noProof/>
                <w:webHidden/>
              </w:rPr>
              <w:fldChar w:fldCharType="end"/>
            </w:r>
          </w:hyperlink>
        </w:p>
        <w:p w14:paraId="2A6CC685" w14:textId="77777777" w:rsidR="000F7CBC" w:rsidRDefault="000F7CBC">
          <w:pPr>
            <w:pStyle w:val="TOC3"/>
            <w:tabs>
              <w:tab w:val="right" w:leader="dot" w:pos="10245"/>
            </w:tabs>
            <w:rPr>
              <w:rFonts w:asciiTheme="minorHAnsi" w:hAnsiTheme="minorHAnsi"/>
              <w:noProof/>
              <w:sz w:val="22"/>
            </w:rPr>
          </w:pPr>
          <w:hyperlink w:anchor="_Toc40436472" w:history="1">
            <w:r w:rsidRPr="00F5686A">
              <w:rPr>
                <w:rStyle w:val="Hyperlink"/>
                <w:noProof/>
              </w:rPr>
              <w:t>2.3.1     Defining Care</w:t>
            </w:r>
            <w:r>
              <w:rPr>
                <w:noProof/>
                <w:webHidden/>
              </w:rPr>
              <w:tab/>
            </w:r>
            <w:r>
              <w:rPr>
                <w:noProof/>
                <w:webHidden/>
              </w:rPr>
              <w:fldChar w:fldCharType="begin"/>
            </w:r>
            <w:r>
              <w:rPr>
                <w:noProof/>
                <w:webHidden/>
              </w:rPr>
              <w:instrText xml:space="preserve"> PAGEREF _Toc40436472 \h </w:instrText>
            </w:r>
            <w:r>
              <w:rPr>
                <w:noProof/>
                <w:webHidden/>
              </w:rPr>
            </w:r>
            <w:r>
              <w:rPr>
                <w:noProof/>
                <w:webHidden/>
              </w:rPr>
              <w:fldChar w:fldCharType="separate"/>
            </w:r>
            <w:r w:rsidR="00D7239F">
              <w:rPr>
                <w:noProof/>
                <w:webHidden/>
              </w:rPr>
              <w:t>52</w:t>
            </w:r>
            <w:r>
              <w:rPr>
                <w:noProof/>
                <w:webHidden/>
              </w:rPr>
              <w:fldChar w:fldCharType="end"/>
            </w:r>
          </w:hyperlink>
        </w:p>
        <w:p w14:paraId="2A089770" w14:textId="77777777" w:rsidR="000F7CBC" w:rsidRDefault="000F7CBC">
          <w:pPr>
            <w:pStyle w:val="TOC3"/>
            <w:tabs>
              <w:tab w:val="right" w:leader="dot" w:pos="10245"/>
            </w:tabs>
            <w:rPr>
              <w:rFonts w:asciiTheme="minorHAnsi" w:hAnsiTheme="minorHAnsi"/>
              <w:noProof/>
              <w:sz w:val="22"/>
            </w:rPr>
          </w:pPr>
          <w:hyperlink w:anchor="_Toc40436473" w:history="1">
            <w:r w:rsidRPr="00F5686A">
              <w:rPr>
                <w:rStyle w:val="Hyperlink"/>
                <w:noProof/>
              </w:rPr>
              <w:t>2.3.2     Challenges and Concerns in Defining Care</w:t>
            </w:r>
            <w:r>
              <w:rPr>
                <w:noProof/>
                <w:webHidden/>
              </w:rPr>
              <w:tab/>
            </w:r>
            <w:r>
              <w:rPr>
                <w:noProof/>
                <w:webHidden/>
              </w:rPr>
              <w:fldChar w:fldCharType="begin"/>
            </w:r>
            <w:r>
              <w:rPr>
                <w:noProof/>
                <w:webHidden/>
              </w:rPr>
              <w:instrText xml:space="preserve"> PAGEREF _Toc40436473 \h </w:instrText>
            </w:r>
            <w:r>
              <w:rPr>
                <w:noProof/>
                <w:webHidden/>
              </w:rPr>
            </w:r>
            <w:r>
              <w:rPr>
                <w:noProof/>
                <w:webHidden/>
              </w:rPr>
              <w:fldChar w:fldCharType="separate"/>
            </w:r>
            <w:r w:rsidR="00D7239F">
              <w:rPr>
                <w:noProof/>
                <w:webHidden/>
              </w:rPr>
              <w:t>55</w:t>
            </w:r>
            <w:r>
              <w:rPr>
                <w:noProof/>
                <w:webHidden/>
              </w:rPr>
              <w:fldChar w:fldCharType="end"/>
            </w:r>
          </w:hyperlink>
        </w:p>
        <w:p w14:paraId="26A6633B" w14:textId="77777777" w:rsidR="000F7CBC" w:rsidRDefault="000F7CBC">
          <w:pPr>
            <w:pStyle w:val="TOC3"/>
            <w:tabs>
              <w:tab w:val="right" w:leader="dot" w:pos="10245"/>
            </w:tabs>
            <w:rPr>
              <w:rFonts w:asciiTheme="minorHAnsi" w:hAnsiTheme="minorHAnsi"/>
              <w:noProof/>
              <w:sz w:val="22"/>
            </w:rPr>
          </w:pPr>
          <w:hyperlink w:anchor="_Toc40436474" w:history="1">
            <w:r w:rsidRPr="00F5686A">
              <w:rPr>
                <w:rStyle w:val="Hyperlink"/>
                <w:noProof/>
              </w:rPr>
              <w:t>2.3.3     Towards a Comprehensive Definition of Care</w:t>
            </w:r>
            <w:r>
              <w:rPr>
                <w:noProof/>
                <w:webHidden/>
              </w:rPr>
              <w:tab/>
            </w:r>
            <w:r>
              <w:rPr>
                <w:noProof/>
                <w:webHidden/>
              </w:rPr>
              <w:fldChar w:fldCharType="begin"/>
            </w:r>
            <w:r>
              <w:rPr>
                <w:noProof/>
                <w:webHidden/>
              </w:rPr>
              <w:instrText xml:space="preserve"> PAGEREF _Toc40436474 \h </w:instrText>
            </w:r>
            <w:r>
              <w:rPr>
                <w:noProof/>
                <w:webHidden/>
              </w:rPr>
            </w:r>
            <w:r>
              <w:rPr>
                <w:noProof/>
                <w:webHidden/>
              </w:rPr>
              <w:fldChar w:fldCharType="separate"/>
            </w:r>
            <w:r w:rsidR="00D7239F">
              <w:rPr>
                <w:noProof/>
                <w:webHidden/>
              </w:rPr>
              <w:t>66</w:t>
            </w:r>
            <w:r>
              <w:rPr>
                <w:noProof/>
                <w:webHidden/>
              </w:rPr>
              <w:fldChar w:fldCharType="end"/>
            </w:r>
          </w:hyperlink>
        </w:p>
        <w:p w14:paraId="5839831B" w14:textId="77777777" w:rsidR="000F7CBC" w:rsidRDefault="000F7CBC">
          <w:pPr>
            <w:pStyle w:val="TOC2"/>
            <w:tabs>
              <w:tab w:val="right" w:leader="dot" w:pos="10245"/>
            </w:tabs>
            <w:rPr>
              <w:rFonts w:asciiTheme="minorHAnsi" w:hAnsiTheme="minorHAnsi"/>
              <w:noProof/>
              <w:sz w:val="22"/>
            </w:rPr>
          </w:pPr>
          <w:hyperlink w:anchor="_Toc40436475" w:history="1">
            <w:r w:rsidRPr="00F5686A">
              <w:rPr>
                <w:rStyle w:val="Hyperlink"/>
                <w:noProof/>
              </w:rPr>
              <w:t>2.4 FAMILY CARE POLICY PERSPECTIVES</w:t>
            </w:r>
            <w:r>
              <w:rPr>
                <w:noProof/>
                <w:webHidden/>
              </w:rPr>
              <w:tab/>
            </w:r>
            <w:r>
              <w:rPr>
                <w:noProof/>
                <w:webHidden/>
              </w:rPr>
              <w:fldChar w:fldCharType="begin"/>
            </w:r>
            <w:r>
              <w:rPr>
                <w:noProof/>
                <w:webHidden/>
              </w:rPr>
              <w:instrText xml:space="preserve"> PAGEREF _Toc40436475 \h </w:instrText>
            </w:r>
            <w:r>
              <w:rPr>
                <w:noProof/>
                <w:webHidden/>
              </w:rPr>
            </w:r>
            <w:r>
              <w:rPr>
                <w:noProof/>
                <w:webHidden/>
              </w:rPr>
              <w:fldChar w:fldCharType="separate"/>
            </w:r>
            <w:r w:rsidR="00D7239F">
              <w:rPr>
                <w:noProof/>
                <w:webHidden/>
              </w:rPr>
              <w:t>68</w:t>
            </w:r>
            <w:r>
              <w:rPr>
                <w:noProof/>
                <w:webHidden/>
              </w:rPr>
              <w:fldChar w:fldCharType="end"/>
            </w:r>
          </w:hyperlink>
        </w:p>
        <w:p w14:paraId="31679740" w14:textId="77777777" w:rsidR="000F7CBC" w:rsidRDefault="000F7CBC">
          <w:pPr>
            <w:pStyle w:val="TOC3"/>
            <w:tabs>
              <w:tab w:val="right" w:leader="dot" w:pos="10245"/>
            </w:tabs>
            <w:rPr>
              <w:rFonts w:asciiTheme="minorHAnsi" w:hAnsiTheme="minorHAnsi"/>
              <w:noProof/>
              <w:sz w:val="22"/>
            </w:rPr>
          </w:pPr>
          <w:hyperlink w:anchor="_Toc40436476" w:history="1">
            <w:r w:rsidRPr="00F5686A">
              <w:rPr>
                <w:rStyle w:val="Hyperlink"/>
                <w:noProof/>
              </w:rPr>
              <w:t>2.4.1     Emergence of Elder Care Policy</w:t>
            </w:r>
            <w:r>
              <w:rPr>
                <w:noProof/>
                <w:webHidden/>
              </w:rPr>
              <w:tab/>
            </w:r>
            <w:r>
              <w:rPr>
                <w:noProof/>
                <w:webHidden/>
              </w:rPr>
              <w:fldChar w:fldCharType="begin"/>
            </w:r>
            <w:r>
              <w:rPr>
                <w:noProof/>
                <w:webHidden/>
              </w:rPr>
              <w:instrText xml:space="preserve"> PAGEREF _Toc40436476 \h </w:instrText>
            </w:r>
            <w:r>
              <w:rPr>
                <w:noProof/>
                <w:webHidden/>
              </w:rPr>
            </w:r>
            <w:r>
              <w:rPr>
                <w:noProof/>
                <w:webHidden/>
              </w:rPr>
              <w:fldChar w:fldCharType="separate"/>
            </w:r>
            <w:r w:rsidR="00D7239F">
              <w:rPr>
                <w:noProof/>
                <w:webHidden/>
              </w:rPr>
              <w:t>68</w:t>
            </w:r>
            <w:r>
              <w:rPr>
                <w:noProof/>
                <w:webHidden/>
              </w:rPr>
              <w:fldChar w:fldCharType="end"/>
            </w:r>
          </w:hyperlink>
        </w:p>
        <w:p w14:paraId="6E223010" w14:textId="77777777" w:rsidR="000F7CBC" w:rsidRDefault="000F7CBC">
          <w:pPr>
            <w:pStyle w:val="TOC3"/>
            <w:tabs>
              <w:tab w:val="right" w:leader="dot" w:pos="10245"/>
            </w:tabs>
            <w:rPr>
              <w:rFonts w:asciiTheme="minorHAnsi" w:hAnsiTheme="minorHAnsi"/>
              <w:noProof/>
              <w:sz w:val="22"/>
            </w:rPr>
          </w:pPr>
          <w:hyperlink w:anchor="_Toc40436477" w:history="1">
            <w:r w:rsidRPr="00F5686A">
              <w:rPr>
                <w:rStyle w:val="Hyperlink"/>
                <w:noProof/>
              </w:rPr>
              <w:t>2.4.2     Conceptualising Family (Care) Policy</w:t>
            </w:r>
            <w:r>
              <w:rPr>
                <w:noProof/>
                <w:webHidden/>
              </w:rPr>
              <w:tab/>
            </w:r>
            <w:r>
              <w:rPr>
                <w:noProof/>
                <w:webHidden/>
              </w:rPr>
              <w:fldChar w:fldCharType="begin"/>
            </w:r>
            <w:r>
              <w:rPr>
                <w:noProof/>
                <w:webHidden/>
              </w:rPr>
              <w:instrText xml:space="preserve"> PAGEREF _Toc40436477 \h </w:instrText>
            </w:r>
            <w:r>
              <w:rPr>
                <w:noProof/>
                <w:webHidden/>
              </w:rPr>
            </w:r>
            <w:r>
              <w:rPr>
                <w:noProof/>
                <w:webHidden/>
              </w:rPr>
              <w:fldChar w:fldCharType="separate"/>
            </w:r>
            <w:r w:rsidR="00D7239F">
              <w:rPr>
                <w:noProof/>
                <w:webHidden/>
              </w:rPr>
              <w:t>70</w:t>
            </w:r>
            <w:r>
              <w:rPr>
                <w:noProof/>
                <w:webHidden/>
              </w:rPr>
              <w:fldChar w:fldCharType="end"/>
            </w:r>
          </w:hyperlink>
        </w:p>
        <w:p w14:paraId="309AD065" w14:textId="77777777" w:rsidR="000F7CBC" w:rsidRDefault="000F7CBC">
          <w:pPr>
            <w:pStyle w:val="TOC3"/>
            <w:tabs>
              <w:tab w:val="right" w:leader="dot" w:pos="10245"/>
            </w:tabs>
            <w:rPr>
              <w:rFonts w:asciiTheme="minorHAnsi" w:hAnsiTheme="minorHAnsi"/>
              <w:noProof/>
              <w:sz w:val="22"/>
            </w:rPr>
          </w:pPr>
          <w:hyperlink w:anchor="_Toc40436478" w:history="1">
            <w:r w:rsidRPr="00F5686A">
              <w:rPr>
                <w:rStyle w:val="Hyperlink"/>
                <w:noProof/>
              </w:rPr>
              <w:t>2.4.3     Gender and Family Care Policy</w:t>
            </w:r>
            <w:r>
              <w:rPr>
                <w:noProof/>
                <w:webHidden/>
              </w:rPr>
              <w:tab/>
            </w:r>
            <w:r>
              <w:rPr>
                <w:noProof/>
                <w:webHidden/>
              </w:rPr>
              <w:fldChar w:fldCharType="begin"/>
            </w:r>
            <w:r>
              <w:rPr>
                <w:noProof/>
                <w:webHidden/>
              </w:rPr>
              <w:instrText xml:space="preserve"> PAGEREF _Toc40436478 \h </w:instrText>
            </w:r>
            <w:r>
              <w:rPr>
                <w:noProof/>
                <w:webHidden/>
              </w:rPr>
            </w:r>
            <w:r>
              <w:rPr>
                <w:noProof/>
                <w:webHidden/>
              </w:rPr>
              <w:fldChar w:fldCharType="separate"/>
            </w:r>
            <w:r w:rsidR="00D7239F">
              <w:rPr>
                <w:noProof/>
                <w:webHidden/>
              </w:rPr>
              <w:t>76</w:t>
            </w:r>
            <w:r>
              <w:rPr>
                <w:noProof/>
                <w:webHidden/>
              </w:rPr>
              <w:fldChar w:fldCharType="end"/>
            </w:r>
          </w:hyperlink>
        </w:p>
        <w:p w14:paraId="3E3992D3" w14:textId="77777777" w:rsidR="000F7CBC" w:rsidRDefault="000F7CBC">
          <w:pPr>
            <w:pStyle w:val="TOC3"/>
            <w:tabs>
              <w:tab w:val="right" w:leader="dot" w:pos="10245"/>
            </w:tabs>
            <w:rPr>
              <w:rFonts w:asciiTheme="minorHAnsi" w:hAnsiTheme="minorHAnsi"/>
              <w:noProof/>
              <w:sz w:val="22"/>
            </w:rPr>
          </w:pPr>
          <w:hyperlink w:anchor="_Toc40436479" w:history="1">
            <w:r w:rsidRPr="00F5686A">
              <w:rPr>
                <w:rStyle w:val="Hyperlink"/>
                <w:noProof/>
              </w:rPr>
              <w:t>2.4.4     Sociological Approaches to Family Policy</w:t>
            </w:r>
            <w:r>
              <w:rPr>
                <w:noProof/>
                <w:webHidden/>
              </w:rPr>
              <w:tab/>
            </w:r>
            <w:r>
              <w:rPr>
                <w:noProof/>
                <w:webHidden/>
              </w:rPr>
              <w:fldChar w:fldCharType="begin"/>
            </w:r>
            <w:r>
              <w:rPr>
                <w:noProof/>
                <w:webHidden/>
              </w:rPr>
              <w:instrText xml:space="preserve"> PAGEREF _Toc40436479 \h </w:instrText>
            </w:r>
            <w:r>
              <w:rPr>
                <w:noProof/>
                <w:webHidden/>
              </w:rPr>
            </w:r>
            <w:r>
              <w:rPr>
                <w:noProof/>
                <w:webHidden/>
              </w:rPr>
              <w:fldChar w:fldCharType="separate"/>
            </w:r>
            <w:r w:rsidR="00D7239F">
              <w:rPr>
                <w:noProof/>
                <w:webHidden/>
              </w:rPr>
              <w:t>77</w:t>
            </w:r>
            <w:r>
              <w:rPr>
                <w:noProof/>
                <w:webHidden/>
              </w:rPr>
              <w:fldChar w:fldCharType="end"/>
            </w:r>
          </w:hyperlink>
        </w:p>
        <w:p w14:paraId="41C28437" w14:textId="77777777" w:rsidR="000F7CBC" w:rsidRDefault="000F7CBC">
          <w:pPr>
            <w:pStyle w:val="TOC3"/>
            <w:tabs>
              <w:tab w:val="right" w:leader="dot" w:pos="10245"/>
            </w:tabs>
            <w:rPr>
              <w:rFonts w:asciiTheme="minorHAnsi" w:hAnsiTheme="minorHAnsi"/>
              <w:noProof/>
              <w:sz w:val="22"/>
            </w:rPr>
          </w:pPr>
          <w:hyperlink w:anchor="_Toc40436480" w:history="1">
            <w:r w:rsidRPr="00F5686A">
              <w:rPr>
                <w:rStyle w:val="Hyperlink"/>
                <w:noProof/>
              </w:rPr>
              <w:t>2.4.5     Support Programmes</w:t>
            </w:r>
            <w:r>
              <w:rPr>
                <w:noProof/>
                <w:webHidden/>
              </w:rPr>
              <w:tab/>
            </w:r>
            <w:r>
              <w:rPr>
                <w:noProof/>
                <w:webHidden/>
              </w:rPr>
              <w:fldChar w:fldCharType="begin"/>
            </w:r>
            <w:r>
              <w:rPr>
                <w:noProof/>
                <w:webHidden/>
              </w:rPr>
              <w:instrText xml:space="preserve"> PAGEREF _Toc40436480 \h </w:instrText>
            </w:r>
            <w:r>
              <w:rPr>
                <w:noProof/>
                <w:webHidden/>
              </w:rPr>
            </w:r>
            <w:r>
              <w:rPr>
                <w:noProof/>
                <w:webHidden/>
              </w:rPr>
              <w:fldChar w:fldCharType="separate"/>
            </w:r>
            <w:r w:rsidR="00D7239F">
              <w:rPr>
                <w:noProof/>
                <w:webHidden/>
              </w:rPr>
              <w:t>79</w:t>
            </w:r>
            <w:r>
              <w:rPr>
                <w:noProof/>
                <w:webHidden/>
              </w:rPr>
              <w:fldChar w:fldCharType="end"/>
            </w:r>
          </w:hyperlink>
        </w:p>
        <w:p w14:paraId="5E570A78" w14:textId="77777777" w:rsidR="000F7CBC" w:rsidRDefault="000F7CBC">
          <w:pPr>
            <w:pStyle w:val="TOC2"/>
            <w:tabs>
              <w:tab w:val="right" w:leader="dot" w:pos="10245"/>
            </w:tabs>
            <w:rPr>
              <w:rFonts w:asciiTheme="minorHAnsi" w:hAnsiTheme="minorHAnsi"/>
              <w:noProof/>
              <w:sz w:val="22"/>
            </w:rPr>
          </w:pPr>
          <w:hyperlink w:anchor="_Toc40436481" w:history="1">
            <w:r w:rsidRPr="00F5686A">
              <w:rPr>
                <w:rStyle w:val="Hyperlink"/>
                <w:noProof/>
              </w:rPr>
              <w:t>2.5 CONCLUSION</w:t>
            </w:r>
            <w:r>
              <w:rPr>
                <w:noProof/>
                <w:webHidden/>
              </w:rPr>
              <w:tab/>
            </w:r>
            <w:r>
              <w:rPr>
                <w:noProof/>
                <w:webHidden/>
              </w:rPr>
              <w:fldChar w:fldCharType="begin"/>
            </w:r>
            <w:r>
              <w:rPr>
                <w:noProof/>
                <w:webHidden/>
              </w:rPr>
              <w:instrText xml:space="preserve"> PAGEREF _Toc40436481 \h </w:instrText>
            </w:r>
            <w:r>
              <w:rPr>
                <w:noProof/>
                <w:webHidden/>
              </w:rPr>
            </w:r>
            <w:r>
              <w:rPr>
                <w:noProof/>
                <w:webHidden/>
              </w:rPr>
              <w:fldChar w:fldCharType="separate"/>
            </w:r>
            <w:r w:rsidR="00D7239F">
              <w:rPr>
                <w:noProof/>
                <w:webHidden/>
              </w:rPr>
              <w:t>84</w:t>
            </w:r>
            <w:r>
              <w:rPr>
                <w:noProof/>
                <w:webHidden/>
              </w:rPr>
              <w:fldChar w:fldCharType="end"/>
            </w:r>
          </w:hyperlink>
        </w:p>
        <w:p w14:paraId="4C398B4A" w14:textId="77777777" w:rsidR="000F7CBC" w:rsidRDefault="000F7CBC">
          <w:pPr>
            <w:pStyle w:val="TOC1"/>
            <w:rPr>
              <w:rFonts w:asciiTheme="minorHAnsi" w:hAnsiTheme="minorHAnsi"/>
              <w:noProof/>
              <w:sz w:val="22"/>
            </w:rPr>
          </w:pPr>
          <w:hyperlink w:anchor="_Toc40436482" w:history="1">
            <w:r w:rsidRPr="00F5686A">
              <w:rPr>
                <w:rStyle w:val="Hyperlink"/>
                <w:noProof/>
              </w:rPr>
              <w:t>CHAPTER 3 – LITERATURE REVIEW</w:t>
            </w:r>
            <w:r>
              <w:rPr>
                <w:noProof/>
                <w:webHidden/>
              </w:rPr>
              <w:tab/>
            </w:r>
            <w:r>
              <w:rPr>
                <w:noProof/>
                <w:webHidden/>
              </w:rPr>
              <w:fldChar w:fldCharType="begin"/>
            </w:r>
            <w:r>
              <w:rPr>
                <w:noProof/>
                <w:webHidden/>
              </w:rPr>
              <w:instrText xml:space="preserve"> PAGEREF _Toc40436482 \h </w:instrText>
            </w:r>
            <w:r>
              <w:rPr>
                <w:noProof/>
                <w:webHidden/>
              </w:rPr>
            </w:r>
            <w:r>
              <w:rPr>
                <w:noProof/>
                <w:webHidden/>
              </w:rPr>
              <w:fldChar w:fldCharType="separate"/>
            </w:r>
            <w:r w:rsidR="00D7239F">
              <w:rPr>
                <w:noProof/>
                <w:webHidden/>
              </w:rPr>
              <w:t>86</w:t>
            </w:r>
            <w:r>
              <w:rPr>
                <w:noProof/>
                <w:webHidden/>
              </w:rPr>
              <w:fldChar w:fldCharType="end"/>
            </w:r>
          </w:hyperlink>
        </w:p>
        <w:p w14:paraId="56A16CB9" w14:textId="77777777" w:rsidR="000F7CBC" w:rsidRDefault="000F7CBC">
          <w:pPr>
            <w:pStyle w:val="TOC1"/>
            <w:rPr>
              <w:rFonts w:asciiTheme="minorHAnsi" w:hAnsiTheme="minorHAnsi"/>
              <w:noProof/>
              <w:sz w:val="22"/>
            </w:rPr>
          </w:pPr>
          <w:hyperlink w:anchor="_Toc40436483" w:history="1">
            <w:r w:rsidRPr="00F5686A">
              <w:rPr>
                <w:rStyle w:val="Hyperlink"/>
                <w:noProof/>
              </w:rPr>
              <w:t>CARE DETERMINANTS &amp; EXPERIENCES</w:t>
            </w:r>
            <w:r>
              <w:rPr>
                <w:noProof/>
                <w:webHidden/>
              </w:rPr>
              <w:tab/>
            </w:r>
            <w:r>
              <w:rPr>
                <w:noProof/>
                <w:webHidden/>
              </w:rPr>
              <w:fldChar w:fldCharType="begin"/>
            </w:r>
            <w:r>
              <w:rPr>
                <w:noProof/>
                <w:webHidden/>
              </w:rPr>
              <w:instrText xml:space="preserve"> PAGEREF _Toc40436483 \h </w:instrText>
            </w:r>
            <w:r>
              <w:rPr>
                <w:noProof/>
                <w:webHidden/>
              </w:rPr>
            </w:r>
            <w:r>
              <w:rPr>
                <w:noProof/>
                <w:webHidden/>
              </w:rPr>
              <w:fldChar w:fldCharType="separate"/>
            </w:r>
            <w:r w:rsidR="00D7239F">
              <w:rPr>
                <w:noProof/>
                <w:webHidden/>
              </w:rPr>
              <w:t>86</w:t>
            </w:r>
            <w:r>
              <w:rPr>
                <w:noProof/>
                <w:webHidden/>
              </w:rPr>
              <w:fldChar w:fldCharType="end"/>
            </w:r>
          </w:hyperlink>
        </w:p>
        <w:p w14:paraId="09D4E30E" w14:textId="77777777" w:rsidR="000F7CBC" w:rsidRDefault="000F7CBC">
          <w:pPr>
            <w:pStyle w:val="TOC2"/>
            <w:tabs>
              <w:tab w:val="right" w:leader="dot" w:pos="10245"/>
            </w:tabs>
            <w:rPr>
              <w:rFonts w:asciiTheme="minorHAnsi" w:hAnsiTheme="minorHAnsi"/>
              <w:noProof/>
              <w:sz w:val="22"/>
            </w:rPr>
          </w:pPr>
          <w:hyperlink w:anchor="_Toc40436484" w:history="1">
            <w:r w:rsidRPr="00F5686A">
              <w:rPr>
                <w:rStyle w:val="Hyperlink"/>
                <w:noProof/>
              </w:rPr>
              <w:t>3.1 INTRODUCTION</w:t>
            </w:r>
            <w:r>
              <w:rPr>
                <w:noProof/>
                <w:webHidden/>
              </w:rPr>
              <w:tab/>
            </w:r>
            <w:r>
              <w:rPr>
                <w:noProof/>
                <w:webHidden/>
              </w:rPr>
              <w:fldChar w:fldCharType="begin"/>
            </w:r>
            <w:r>
              <w:rPr>
                <w:noProof/>
                <w:webHidden/>
              </w:rPr>
              <w:instrText xml:space="preserve"> PAGEREF _Toc40436484 \h </w:instrText>
            </w:r>
            <w:r>
              <w:rPr>
                <w:noProof/>
                <w:webHidden/>
              </w:rPr>
            </w:r>
            <w:r>
              <w:rPr>
                <w:noProof/>
                <w:webHidden/>
              </w:rPr>
              <w:fldChar w:fldCharType="separate"/>
            </w:r>
            <w:r w:rsidR="00D7239F">
              <w:rPr>
                <w:noProof/>
                <w:webHidden/>
              </w:rPr>
              <w:t>86</w:t>
            </w:r>
            <w:r>
              <w:rPr>
                <w:noProof/>
                <w:webHidden/>
              </w:rPr>
              <w:fldChar w:fldCharType="end"/>
            </w:r>
          </w:hyperlink>
        </w:p>
        <w:p w14:paraId="47174E80" w14:textId="77777777" w:rsidR="000F7CBC" w:rsidRDefault="000F7CBC">
          <w:pPr>
            <w:pStyle w:val="TOC2"/>
            <w:tabs>
              <w:tab w:val="right" w:leader="dot" w:pos="10245"/>
            </w:tabs>
            <w:rPr>
              <w:rFonts w:asciiTheme="minorHAnsi" w:hAnsiTheme="minorHAnsi"/>
              <w:noProof/>
              <w:sz w:val="22"/>
            </w:rPr>
          </w:pPr>
          <w:hyperlink w:anchor="_Toc40436485" w:history="1">
            <w:r w:rsidRPr="00F5686A">
              <w:rPr>
                <w:rStyle w:val="Hyperlink"/>
                <w:noProof/>
              </w:rPr>
              <w:t>3.2 SOCIO-CULTURAL FACTORS</w:t>
            </w:r>
            <w:r>
              <w:rPr>
                <w:noProof/>
                <w:webHidden/>
              </w:rPr>
              <w:tab/>
            </w:r>
            <w:r>
              <w:rPr>
                <w:noProof/>
                <w:webHidden/>
              </w:rPr>
              <w:fldChar w:fldCharType="begin"/>
            </w:r>
            <w:r>
              <w:rPr>
                <w:noProof/>
                <w:webHidden/>
              </w:rPr>
              <w:instrText xml:space="preserve"> PAGEREF _Toc40436485 \h </w:instrText>
            </w:r>
            <w:r>
              <w:rPr>
                <w:noProof/>
                <w:webHidden/>
              </w:rPr>
            </w:r>
            <w:r>
              <w:rPr>
                <w:noProof/>
                <w:webHidden/>
              </w:rPr>
              <w:fldChar w:fldCharType="separate"/>
            </w:r>
            <w:r w:rsidR="00D7239F">
              <w:rPr>
                <w:noProof/>
                <w:webHidden/>
              </w:rPr>
              <w:t>86</w:t>
            </w:r>
            <w:r>
              <w:rPr>
                <w:noProof/>
                <w:webHidden/>
              </w:rPr>
              <w:fldChar w:fldCharType="end"/>
            </w:r>
          </w:hyperlink>
        </w:p>
        <w:p w14:paraId="642B6A1A" w14:textId="77777777" w:rsidR="000F7CBC" w:rsidRDefault="000F7CBC">
          <w:pPr>
            <w:pStyle w:val="TOC3"/>
            <w:tabs>
              <w:tab w:val="right" w:leader="dot" w:pos="10245"/>
            </w:tabs>
            <w:rPr>
              <w:rFonts w:asciiTheme="minorHAnsi" w:hAnsiTheme="minorHAnsi"/>
              <w:noProof/>
              <w:sz w:val="22"/>
            </w:rPr>
          </w:pPr>
          <w:hyperlink w:anchor="_Toc40436486" w:history="1">
            <w:r w:rsidRPr="00F5686A">
              <w:rPr>
                <w:rStyle w:val="Hyperlink"/>
                <w:noProof/>
              </w:rPr>
              <w:t>3.2.1     Need Factors</w:t>
            </w:r>
            <w:r>
              <w:rPr>
                <w:noProof/>
                <w:webHidden/>
              </w:rPr>
              <w:tab/>
            </w:r>
            <w:r>
              <w:rPr>
                <w:noProof/>
                <w:webHidden/>
              </w:rPr>
              <w:fldChar w:fldCharType="begin"/>
            </w:r>
            <w:r>
              <w:rPr>
                <w:noProof/>
                <w:webHidden/>
              </w:rPr>
              <w:instrText xml:space="preserve"> PAGEREF _Toc40436486 \h </w:instrText>
            </w:r>
            <w:r>
              <w:rPr>
                <w:noProof/>
                <w:webHidden/>
              </w:rPr>
            </w:r>
            <w:r>
              <w:rPr>
                <w:noProof/>
                <w:webHidden/>
              </w:rPr>
              <w:fldChar w:fldCharType="separate"/>
            </w:r>
            <w:r w:rsidR="00D7239F">
              <w:rPr>
                <w:noProof/>
                <w:webHidden/>
              </w:rPr>
              <w:t>86</w:t>
            </w:r>
            <w:r>
              <w:rPr>
                <w:noProof/>
                <w:webHidden/>
              </w:rPr>
              <w:fldChar w:fldCharType="end"/>
            </w:r>
          </w:hyperlink>
        </w:p>
        <w:p w14:paraId="70924CF8" w14:textId="77777777" w:rsidR="000F7CBC" w:rsidRDefault="000F7CBC">
          <w:pPr>
            <w:pStyle w:val="TOC3"/>
            <w:tabs>
              <w:tab w:val="right" w:leader="dot" w:pos="10245"/>
            </w:tabs>
            <w:rPr>
              <w:rFonts w:asciiTheme="minorHAnsi" w:hAnsiTheme="minorHAnsi"/>
              <w:noProof/>
              <w:sz w:val="22"/>
            </w:rPr>
          </w:pPr>
          <w:hyperlink w:anchor="_Toc40436487" w:history="1">
            <w:r w:rsidRPr="00F5686A">
              <w:rPr>
                <w:rStyle w:val="Hyperlink"/>
                <w:noProof/>
              </w:rPr>
              <w:t>3.2.2     Predisposing Factors</w:t>
            </w:r>
            <w:r>
              <w:rPr>
                <w:noProof/>
                <w:webHidden/>
              </w:rPr>
              <w:tab/>
            </w:r>
            <w:r>
              <w:rPr>
                <w:noProof/>
                <w:webHidden/>
              </w:rPr>
              <w:fldChar w:fldCharType="begin"/>
            </w:r>
            <w:r>
              <w:rPr>
                <w:noProof/>
                <w:webHidden/>
              </w:rPr>
              <w:instrText xml:space="preserve"> PAGEREF _Toc40436487 \h </w:instrText>
            </w:r>
            <w:r>
              <w:rPr>
                <w:noProof/>
                <w:webHidden/>
              </w:rPr>
            </w:r>
            <w:r>
              <w:rPr>
                <w:noProof/>
                <w:webHidden/>
              </w:rPr>
              <w:fldChar w:fldCharType="separate"/>
            </w:r>
            <w:r w:rsidR="00D7239F">
              <w:rPr>
                <w:noProof/>
                <w:webHidden/>
              </w:rPr>
              <w:t>87</w:t>
            </w:r>
            <w:r>
              <w:rPr>
                <w:noProof/>
                <w:webHidden/>
              </w:rPr>
              <w:fldChar w:fldCharType="end"/>
            </w:r>
          </w:hyperlink>
        </w:p>
        <w:p w14:paraId="379FCB04" w14:textId="77777777" w:rsidR="000F7CBC" w:rsidRDefault="000F7CBC">
          <w:pPr>
            <w:pStyle w:val="TOC3"/>
            <w:tabs>
              <w:tab w:val="right" w:leader="dot" w:pos="10245"/>
            </w:tabs>
            <w:rPr>
              <w:rFonts w:asciiTheme="minorHAnsi" w:hAnsiTheme="minorHAnsi"/>
              <w:noProof/>
              <w:sz w:val="22"/>
            </w:rPr>
          </w:pPr>
          <w:hyperlink w:anchor="_Toc40436488" w:history="1">
            <w:r w:rsidRPr="00F5686A">
              <w:rPr>
                <w:rStyle w:val="Hyperlink"/>
                <w:noProof/>
              </w:rPr>
              <w:t>3.2.3     Enabling Factors</w:t>
            </w:r>
            <w:r>
              <w:rPr>
                <w:noProof/>
                <w:webHidden/>
              </w:rPr>
              <w:tab/>
            </w:r>
            <w:r>
              <w:rPr>
                <w:noProof/>
                <w:webHidden/>
              </w:rPr>
              <w:fldChar w:fldCharType="begin"/>
            </w:r>
            <w:r>
              <w:rPr>
                <w:noProof/>
                <w:webHidden/>
              </w:rPr>
              <w:instrText xml:space="preserve"> PAGEREF _Toc40436488 \h </w:instrText>
            </w:r>
            <w:r>
              <w:rPr>
                <w:noProof/>
                <w:webHidden/>
              </w:rPr>
            </w:r>
            <w:r>
              <w:rPr>
                <w:noProof/>
                <w:webHidden/>
              </w:rPr>
              <w:fldChar w:fldCharType="separate"/>
            </w:r>
            <w:r w:rsidR="00D7239F">
              <w:rPr>
                <w:noProof/>
                <w:webHidden/>
              </w:rPr>
              <w:t>91</w:t>
            </w:r>
            <w:r>
              <w:rPr>
                <w:noProof/>
                <w:webHidden/>
              </w:rPr>
              <w:fldChar w:fldCharType="end"/>
            </w:r>
          </w:hyperlink>
        </w:p>
        <w:p w14:paraId="083C3B23" w14:textId="77777777" w:rsidR="000F7CBC" w:rsidRDefault="000F7CBC">
          <w:pPr>
            <w:pStyle w:val="TOC3"/>
            <w:tabs>
              <w:tab w:val="left" w:pos="1807"/>
              <w:tab w:val="right" w:leader="dot" w:pos="10245"/>
            </w:tabs>
            <w:rPr>
              <w:rFonts w:asciiTheme="minorHAnsi" w:hAnsiTheme="minorHAnsi"/>
              <w:noProof/>
              <w:sz w:val="22"/>
            </w:rPr>
          </w:pPr>
          <w:hyperlink w:anchor="_Toc40436489" w:history="1">
            <w:r w:rsidRPr="00F5686A">
              <w:rPr>
                <w:rStyle w:val="Hyperlink"/>
                <w:noProof/>
              </w:rPr>
              <w:t xml:space="preserve">3.2.4 </w:t>
            </w:r>
            <w:r>
              <w:rPr>
                <w:rFonts w:asciiTheme="minorHAnsi" w:hAnsiTheme="minorHAnsi"/>
                <w:noProof/>
                <w:sz w:val="22"/>
              </w:rPr>
              <w:tab/>
            </w:r>
            <w:r w:rsidRPr="00F5686A">
              <w:rPr>
                <w:rStyle w:val="Hyperlink"/>
                <w:noProof/>
              </w:rPr>
              <w:t>The Process of Acquiring the Family Carer Role</w:t>
            </w:r>
            <w:r>
              <w:rPr>
                <w:noProof/>
                <w:webHidden/>
              </w:rPr>
              <w:tab/>
            </w:r>
            <w:r>
              <w:rPr>
                <w:noProof/>
                <w:webHidden/>
              </w:rPr>
              <w:fldChar w:fldCharType="begin"/>
            </w:r>
            <w:r>
              <w:rPr>
                <w:noProof/>
                <w:webHidden/>
              </w:rPr>
              <w:instrText xml:space="preserve"> PAGEREF _Toc40436489 \h </w:instrText>
            </w:r>
            <w:r>
              <w:rPr>
                <w:noProof/>
                <w:webHidden/>
              </w:rPr>
            </w:r>
            <w:r>
              <w:rPr>
                <w:noProof/>
                <w:webHidden/>
              </w:rPr>
              <w:fldChar w:fldCharType="separate"/>
            </w:r>
            <w:r w:rsidR="00D7239F">
              <w:rPr>
                <w:noProof/>
                <w:webHidden/>
              </w:rPr>
              <w:t>94</w:t>
            </w:r>
            <w:r>
              <w:rPr>
                <w:noProof/>
                <w:webHidden/>
              </w:rPr>
              <w:fldChar w:fldCharType="end"/>
            </w:r>
          </w:hyperlink>
        </w:p>
        <w:p w14:paraId="09B569A9" w14:textId="77777777" w:rsidR="000F7CBC" w:rsidRDefault="000F7CBC">
          <w:pPr>
            <w:pStyle w:val="TOC2"/>
            <w:tabs>
              <w:tab w:val="right" w:leader="dot" w:pos="10245"/>
            </w:tabs>
            <w:rPr>
              <w:rFonts w:asciiTheme="minorHAnsi" w:hAnsiTheme="minorHAnsi"/>
              <w:noProof/>
              <w:sz w:val="22"/>
            </w:rPr>
          </w:pPr>
          <w:hyperlink w:anchor="_Toc40436490" w:history="1">
            <w:r w:rsidRPr="00F5686A">
              <w:rPr>
                <w:rStyle w:val="Hyperlink"/>
                <w:noProof/>
              </w:rPr>
              <w:t>3.3 CARE EXPERIENCES</w:t>
            </w:r>
            <w:r>
              <w:rPr>
                <w:noProof/>
                <w:webHidden/>
              </w:rPr>
              <w:tab/>
            </w:r>
            <w:r>
              <w:rPr>
                <w:noProof/>
                <w:webHidden/>
              </w:rPr>
              <w:fldChar w:fldCharType="begin"/>
            </w:r>
            <w:r>
              <w:rPr>
                <w:noProof/>
                <w:webHidden/>
              </w:rPr>
              <w:instrText xml:space="preserve"> PAGEREF _Toc40436490 \h </w:instrText>
            </w:r>
            <w:r>
              <w:rPr>
                <w:noProof/>
                <w:webHidden/>
              </w:rPr>
            </w:r>
            <w:r>
              <w:rPr>
                <w:noProof/>
                <w:webHidden/>
              </w:rPr>
              <w:fldChar w:fldCharType="separate"/>
            </w:r>
            <w:r w:rsidR="00D7239F">
              <w:rPr>
                <w:noProof/>
                <w:webHidden/>
              </w:rPr>
              <w:t>101</w:t>
            </w:r>
            <w:r>
              <w:rPr>
                <w:noProof/>
                <w:webHidden/>
              </w:rPr>
              <w:fldChar w:fldCharType="end"/>
            </w:r>
          </w:hyperlink>
        </w:p>
        <w:p w14:paraId="0FA337DD" w14:textId="77777777" w:rsidR="000F7CBC" w:rsidRDefault="000F7CBC">
          <w:pPr>
            <w:pStyle w:val="TOC3"/>
            <w:tabs>
              <w:tab w:val="right" w:leader="dot" w:pos="10245"/>
            </w:tabs>
            <w:rPr>
              <w:rFonts w:asciiTheme="minorHAnsi" w:hAnsiTheme="minorHAnsi"/>
              <w:noProof/>
              <w:sz w:val="22"/>
            </w:rPr>
          </w:pPr>
          <w:hyperlink w:anchor="_Toc40436491" w:history="1">
            <w:r w:rsidRPr="00F5686A">
              <w:rPr>
                <w:rStyle w:val="Hyperlink"/>
                <w:noProof/>
              </w:rPr>
              <w:t>3.3.1     Negative Aspects of Caregiving</w:t>
            </w:r>
            <w:r>
              <w:rPr>
                <w:noProof/>
                <w:webHidden/>
              </w:rPr>
              <w:tab/>
            </w:r>
            <w:r>
              <w:rPr>
                <w:noProof/>
                <w:webHidden/>
              </w:rPr>
              <w:fldChar w:fldCharType="begin"/>
            </w:r>
            <w:r>
              <w:rPr>
                <w:noProof/>
                <w:webHidden/>
              </w:rPr>
              <w:instrText xml:space="preserve"> PAGEREF _Toc40436491 \h </w:instrText>
            </w:r>
            <w:r>
              <w:rPr>
                <w:noProof/>
                <w:webHidden/>
              </w:rPr>
            </w:r>
            <w:r>
              <w:rPr>
                <w:noProof/>
                <w:webHidden/>
              </w:rPr>
              <w:fldChar w:fldCharType="separate"/>
            </w:r>
            <w:r w:rsidR="00D7239F">
              <w:rPr>
                <w:noProof/>
                <w:webHidden/>
              </w:rPr>
              <w:t>101</w:t>
            </w:r>
            <w:r>
              <w:rPr>
                <w:noProof/>
                <w:webHidden/>
              </w:rPr>
              <w:fldChar w:fldCharType="end"/>
            </w:r>
          </w:hyperlink>
        </w:p>
        <w:p w14:paraId="03A2C6FF" w14:textId="77777777" w:rsidR="000F7CBC" w:rsidRDefault="000F7CBC">
          <w:pPr>
            <w:pStyle w:val="TOC3"/>
            <w:tabs>
              <w:tab w:val="right" w:leader="dot" w:pos="10245"/>
            </w:tabs>
            <w:rPr>
              <w:rFonts w:asciiTheme="minorHAnsi" w:hAnsiTheme="minorHAnsi"/>
              <w:noProof/>
              <w:sz w:val="22"/>
            </w:rPr>
          </w:pPr>
          <w:hyperlink w:anchor="_Toc40436492" w:history="1">
            <w:r w:rsidRPr="00F5686A">
              <w:rPr>
                <w:rStyle w:val="Hyperlink"/>
                <w:noProof/>
              </w:rPr>
              <w:t>3.3.2     Positive Aspects of Caregiving</w:t>
            </w:r>
            <w:r>
              <w:rPr>
                <w:noProof/>
                <w:webHidden/>
              </w:rPr>
              <w:tab/>
            </w:r>
            <w:r>
              <w:rPr>
                <w:noProof/>
                <w:webHidden/>
              </w:rPr>
              <w:fldChar w:fldCharType="begin"/>
            </w:r>
            <w:r>
              <w:rPr>
                <w:noProof/>
                <w:webHidden/>
              </w:rPr>
              <w:instrText xml:space="preserve"> PAGEREF _Toc40436492 \h </w:instrText>
            </w:r>
            <w:r>
              <w:rPr>
                <w:noProof/>
                <w:webHidden/>
              </w:rPr>
            </w:r>
            <w:r>
              <w:rPr>
                <w:noProof/>
                <w:webHidden/>
              </w:rPr>
              <w:fldChar w:fldCharType="separate"/>
            </w:r>
            <w:r w:rsidR="00D7239F">
              <w:rPr>
                <w:noProof/>
                <w:webHidden/>
              </w:rPr>
              <w:t>104</w:t>
            </w:r>
            <w:r>
              <w:rPr>
                <w:noProof/>
                <w:webHidden/>
              </w:rPr>
              <w:fldChar w:fldCharType="end"/>
            </w:r>
          </w:hyperlink>
        </w:p>
        <w:p w14:paraId="16B8D079" w14:textId="77777777" w:rsidR="000F7CBC" w:rsidRDefault="000F7CBC">
          <w:pPr>
            <w:pStyle w:val="TOC3"/>
            <w:tabs>
              <w:tab w:val="right" w:leader="dot" w:pos="10245"/>
            </w:tabs>
            <w:rPr>
              <w:rFonts w:asciiTheme="minorHAnsi" w:hAnsiTheme="minorHAnsi"/>
              <w:noProof/>
              <w:sz w:val="22"/>
            </w:rPr>
          </w:pPr>
          <w:hyperlink w:anchor="_Toc40436493" w:history="1">
            <w:r w:rsidRPr="00F5686A">
              <w:rPr>
                <w:rStyle w:val="Hyperlink"/>
                <w:noProof/>
              </w:rPr>
              <w:t>3.3.3     Ambivalent &amp; Neutral Experiences of Caregiving</w:t>
            </w:r>
            <w:r>
              <w:rPr>
                <w:noProof/>
                <w:webHidden/>
              </w:rPr>
              <w:tab/>
            </w:r>
            <w:r>
              <w:rPr>
                <w:noProof/>
                <w:webHidden/>
              </w:rPr>
              <w:fldChar w:fldCharType="begin"/>
            </w:r>
            <w:r>
              <w:rPr>
                <w:noProof/>
                <w:webHidden/>
              </w:rPr>
              <w:instrText xml:space="preserve"> PAGEREF _Toc40436493 \h </w:instrText>
            </w:r>
            <w:r>
              <w:rPr>
                <w:noProof/>
                <w:webHidden/>
              </w:rPr>
            </w:r>
            <w:r>
              <w:rPr>
                <w:noProof/>
                <w:webHidden/>
              </w:rPr>
              <w:fldChar w:fldCharType="separate"/>
            </w:r>
            <w:r w:rsidR="00D7239F">
              <w:rPr>
                <w:noProof/>
                <w:webHidden/>
              </w:rPr>
              <w:t>105</w:t>
            </w:r>
            <w:r>
              <w:rPr>
                <w:noProof/>
                <w:webHidden/>
              </w:rPr>
              <w:fldChar w:fldCharType="end"/>
            </w:r>
          </w:hyperlink>
        </w:p>
        <w:p w14:paraId="4B226F66" w14:textId="77777777" w:rsidR="000F7CBC" w:rsidRDefault="000F7CBC">
          <w:pPr>
            <w:pStyle w:val="TOC2"/>
            <w:tabs>
              <w:tab w:val="right" w:leader="dot" w:pos="10245"/>
            </w:tabs>
            <w:rPr>
              <w:rFonts w:asciiTheme="minorHAnsi" w:hAnsiTheme="minorHAnsi"/>
              <w:noProof/>
              <w:sz w:val="22"/>
            </w:rPr>
          </w:pPr>
          <w:hyperlink w:anchor="_Toc40436494" w:history="1">
            <w:r w:rsidRPr="00F5686A">
              <w:rPr>
                <w:rStyle w:val="Hyperlink"/>
                <w:noProof/>
              </w:rPr>
              <w:t>3.4 FACTORS IMPACTING ON EXPERIENCES OF CARE</w:t>
            </w:r>
            <w:r>
              <w:rPr>
                <w:noProof/>
                <w:webHidden/>
              </w:rPr>
              <w:tab/>
            </w:r>
            <w:r>
              <w:rPr>
                <w:noProof/>
                <w:webHidden/>
              </w:rPr>
              <w:fldChar w:fldCharType="begin"/>
            </w:r>
            <w:r>
              <w:rPr>
                <w:noProof/>
                <w:webHidden/>
              </w:rPr>
              <w:instrText xml:space="preserve"> PAGEREF _Toc40436494 \h </w:instrText>
            </w:r>
            <w:r>
              <w:rPr>
                <w:noProof/>
                <w:webHidden/>
              </w:rPr>
            </w:r>
            <w:r>
              <w:rPr>
                <w:noProof/>
                <w:webHidden/>
              </w:rPr>
              <w:fldChar w:fldCharType="separate"/>
            </w:r>
            <w:r w:rsidR="00D7239F">
              <w:rPr>
                <w:noProof/>
                <w:webHidden/>
              </w:rPr>
              <w:t>106</w:t>
            </w:r>
            <w:r>
              <w:rPr>
                <w:noProof/>
                <w:webHidden/>
              </w:rPr>
              <w:fldChar w:fldCharType="end"/>
            </w:r>
          </w:hyperlink>
        </w:p>
        <w:p w14:paraId="031873CD" w14:textId="77777777" w:rsidR="000F7CBC" w:rsidRDefault="000F7CBC">
          <w:pPr>
            <w:pStyle w:val="TOC3"/>
            <w:tabs>
              <w:tab w:val="right" w:leader="dot" w:pos="10245"/>
            </w:tabs>
            <w:rPr>
              <w:rFonts w:asciiTheme="minorHAnsi" w:hAnsiTheme="minorHAnsi"/>
              <w:noProof/>
              <w:sz w:val="22"/>
            </w:rPr>
          </w:pPr>
          <w:hyperlink w:anchor="_Toc40436495" w:history="1">
            <w:r w:rsidRPr="00F5686A">
              <w:rPr>
                <w:rStyle w:val="Hyperlink"/>
                <w:noProof/>
              </w:rPr>
              <w:t>3.4.1     Demographic Factors</w:t>
            </w:r>
            <w:r>
              <w:rPr>
                <w:noProof/>
                <w:webHidden/>
              </w:rPr>
              <w:tab/>
            </w:r>
            <w:r>
              <w:rPr>
                <w:noProof/>
                <w:webHidden/>
              </w:rPr>
              <w:fldChar w:fldCharType="begin"/>
            </w:r>
            <w:r>
              <w:rPr>
                <w:noProof/>
                <w:webHidden/>
              </w:rPr>
              <w:instrText xml:space="preserve"> PAGEREF _Toc40436495 \h </w:instrText>
            </w:r>
            <w:r>
              <w:rPr>
                <w:noProof/>
                <w:webHidden/>
              </w:rPr>
            </w:r>
            <w:r>
              <w:rPr>
                <w:noProof/>
                <w:webHidden/>
              </w:rPr>
              <w:fldChar w:fldCharType="separate"/>
            </w:r>
            <w:r w:rsidR="00D7239F">
              <w:rPr>
                <w:noProof/>
                <w:webHidden/>
              </w:rPr>
              <w:t>106</w:t>
            </w:r>
            <w:r>
              <w:rPr>
                <w:noProof/>
                <w:webHidden/>
              </w:rPr>
              <w:fldChar w:fldCharType="end"/>
            </w:r>
          </w:hyperlink>
        </w:p>
        <w:p w14:paraId="5C1F277C" w14:textId="77777777" w:rsidR="000F7CBC" w:rsidRDefault="000F7CBC">
          <w:pPr>
            <w:pStyle w:val="TOC2"/>
            <w:tabs>
              <w:tab w:val="right" w:leader="dot" w:pos="10245"/>
            </w:tabs>
            <w:rPr>
              <w:rFonts w:asciiTheme="minorHAnsi" w:hAnsiTheme="minorHAnsi"/>
              <w:noProof/>
              <w:sz w:val="22"/>
            </w:rPr>
          </w:pPr>
          <w:hyperlink w:anchor="_Toc40436496" w:history="1">
            <w:r w:rsidRPr="00F5686A">
              <w:rPr>
                <w:rStyle w:val="Hyperlink"/>
                <w:noProof/>
              </w:rPr>
              <w:t>3.5 CONCLUSION</w:t>
            </w:r>
            <w:r>
              <w:rPr>
                <w:noProof/>
                <w:webHidden/>
              </w:rPr>
              <w:tab/>
            </w:r>
            <w:r>
              <w:rPr>
                <w:noProof/>
                <w:webHidden/>
              </w:rPr>
              <w:fldChar w:fldCharType="begin"/>
            </w:r>
            <w:r>
              <w:rPr>
                <w:noProof/>
                <w:webHidden/>
              </w:rPr>
              <w:instrText xml:space="preserve"> PAGEREF _Toc40436496 \h </w:instrText>
            </w:r>
            <w:r>
              <w:rPr>
                <w:noProof/>
                <w:webHidden/>
              </w:rPr>
            </w:r>
            <w:r>
              <w:rPr>
                <w:noProof/>
                <w:webHidden/>
              </w:rPr>
              <w:fldChar w:fldCharType="separate"/>
            </w:r>
            <w:r w:rsidR="00D7239F">
              <w:rPr>
                <w:noProof/>
                <w:webHidden/>
              </w:rPr>
              <w:t>116</w:t>
            </w:r>
            <w:r>
              <w:rPr>
                <w:noProof/>
                <w:webHidden/>
              </w:rPr>
              <w:fldChar w:fldCharType="end"/>
            </w:r>
          </w:hyperlink>
        </w:p>
        <w:p w14:paraId="323A99BD" w14:textId="77777777" w:rsidR="000F7CBC" w:rsidRDefault="000F7CBC">
          <w:pPr>
            <w:pStyle w:val="TOC1"/>
            <w:rPr>
              <w:rFonts w:asciiTheme="minorHAnsi" w:hAnsiTheme="minorHAnsi"/>
              <w:noProof/>
              <w:sz w:val="22"/>
            </w:rPr>
          </w:pPr>
          <w:hyperlink w:anchor="_Toc40436497" w:history="1">
            <w:r w:rsidRPr="00F5686A">
              <w:rPr>
                <w:rStyle w:val="Hyperlink"/>
                <w:noProof/>
              </w:rPr>
              <w:t>CHAPTER 4 – LITERATURE REVIEW</w:t>
            </w:r>
            <w:r>
              <w:rPr>
                <w:noProof/>
                <w:webHidden/>
              </w:rPr>
              <w:tab/>
            </w:r>
            <w:r>
              <w:rPr>
                <w:noProof/>
                <w:webHidden/>
              </w:rPr>
              <w:fldChar w:fldCharType="begin"/>
            </w:r>
            <w:r>
              <w:rPr>
                <w:noProof/>
                <w:webHidden/>
              </w:rPr>
              <w:instrText xml:space="preserve"> PAGEREF _Toc40436497 \h </w:instrText>
            </w:r>
            <w:r>
              <w:rPr>
                <w:noProof/>
                <w:webHidden/>
              </w:rPr>
            </w:r>
            <w:r>
              <w:rPr>
                <w:noProof/>
                <w:webHidden/>
              </w:rPr>
              <w:fldChar w:fldCharType="separate"/>
            </w:r>
            <w:r w:rsidR="00D7239F">
              <w:rPr>
                <w:noProof/>
                <w:webHidden/>
              </w:rPr>
              <w:t>117</w:t>
            </w:r>
            <w:r>
              <w:rPr>
                <w:noProof/>
                <w:webHidden/>
              </w:rPr>
              <w:fldChar w:fldCharType="end"/>
            </w:r>
          </w:hyperlink>
        </w:p>
        <w:p w14:paraId="0D28C267" w14:textId="77777777" w:rsidR="000F7CBC" w:rsidRDefault="000F7CBC">
          <w:pPr>
            <w:pStyle w:val="TOC1"/>
            <w:rPr>
              <w:rFonts w:asciiTheme="minorHAnsi" w:hAnsiTheme="minorHAnsi"/>
              <w:noProof/>
              <w:sz w:val="22"/>
            </w:rPr>
          </w:pPr>
          <w:hyperlink w:anchor="_Toc40436498" w:history="1">
            <w:r w:rsidRPr="00F5686A">
              <w:rPr>
                <w:rStyle w:val="Hyperlink"/>
                <w:noProof/>
              </w:rPr>
              <w:t>COPING &amp; CARE MANAGEMENT STRATEGIES</w:t>
            </w:r>
            <w:r>
              <w:rPr>
                <w:noProof/>
                <w:webHidden/>
              </w:rPr>
              <w:tab/>
            </w:r>
            <w:r>
              <w:rPr>
                <w:noProof/>
                <w:webHidden/>
              </w:rPr>
              <w:fldChar w:fldCharType="begin"/>
            </w:r>
            <w:r>
              <w:rPr>
                <w:noProof/>
                <w:webHidden/>
              </w:rPr>
              <w:instrText xml:space="preserve"> PAGEREF _Toc40436498 \h </w:instrText>
            </w:r>
            <w:r>
              <w:rPr>
                <w:noProof/>
                <w:webHidden/>
              </w:rPr>
            </w:r>
            <w:r>
              <w:rPr>
                <w:noProof/>
                <w:webHidden/>
              </w:rPr>
              <w:fldChar w:fldCharType="separate"/>
            </w:r>
            <w:r w:rsidR="00D7239F">
              <w:rPr>
                <w:noProof/>
                <w:webHidden/>
              </w:rPr>
              <w:t>117</w:t>
            </w:r>
            <w:r>
              <w:rPr>
                <w:noProof/>
                <w:webHidden/>
              </w:rPr>
              <w:fldChar w:fldCharType="end"/>
            </w:r>
          </w:hyperlink>
        </w:p>
        <w:p w14:paraId="6FB69B9E" w14:textId="77777777" w:rsidR="000F7CBC" w:rsidRDefault="000F7CBC">
          <w:pPr>
            <w:pStyle w:val="TOC2"/>
            <w:tabs>
              <w:tab w:val="right" w:leader="dot" w:pos="10245"/>
            </w:tabs>
            <w:rPr>
              <w:rFonts w:asciiTheme="minorHAnsi" w:hAnsiTheme="minorHAnsi"/>
              <w:noProof/>
              <w:sz w:val="22"/>
            </w:rPr>
          </w:pPr>
          <w:hyperlink w:anchor="_Toc40436499" w:history="1">
            <w:r w:rsidRPr="00F5686A">
              <w:rPr>
                <w:rStyle w:val="Hyperlink"/>
                <w:noProof/>
              </w:rPr>
              <w:t>4.1 INTRODUCTION</w:t>
            </w:r>
            <w:r>
              <w:rPr>
                <w:noProof/>
                <w:webHidden/>
              </w:rPr>
              <w:tab/>
            </w:r>
            <w:r>
              <w:rPr>
                <w:noProof/>
                <w:webHidden/>
              </w:rPr>
              <w:fldChar w:fldCharType="begin"/>
            </w:r>
            <w:r>
              <w:rPr>
                <w:noProof/>
                <w:webHidden/>
              </w:rPr>
              <w:instrText xml:space="preserve"> PAGEREF _Toc40436499 \h </w:instrText>
            </w:r>
            <w:r>
              <w:rPr>
                <w:noProof/>
                <w:webHidden/>
              </w:rPr>
            </w:r>
            <w:r>
              <w:rPr>
                <w:noProof/>
                <w:webHidden/>
              </w:rPr>
              <w:fldChar w:fldCharType="separate"/>
            </w:r>
            <w:r w:rsidR="00D7239F">
              <w:rPr>
                <w:noProof/>
                <w:webHidden/>
              </w:rPr>
              <w:t>117</w:t>
            </w:r>
            <w:r>
              <w:rPr>
                <w:noProof/>
                <w:webHidden/>
              </w:rPr>
              <w:fldChar w:fldCharType="end"/>
            </w:r>
          </w:hyperlink>
        </w:p>
        <w:p w14:paraId="4B7CF110" w14:textId="77777777" w:rsidR="000F7CBC" w:rsidRDefault="000F7CBC">
          <w:pPr>
            <w:pStyle w:val="TOC2"/>
            <w:tabs>
              <w:tab w:val="right" w:leader="dot" w:pos="10245"/>
            </w:tabs>
            <w:rPr>
              <w:rFonts w:asciiTheme="minorHAnsi" w:hAnsiTheme="minorHAnsi"/>
              <w:noProof/>
              <w:sz w:val="22"/>
            </w:rPr>
          </w:pPr>
          <w:hyperlink w:anchor="_Toc40436500" w:history="1">
            <w:r w:rsidRPr="00F5686A">
              <w:rPr>
                <w:rStyle w:val="Hyperlink"/>
                <w:noProof/>
              </w:rPr>
              <w:t>4.2 DEFINING COPING &amp; CARE MANAGEMENT</w:t>
            </w:r>
            <w:r>
              <w:rPr>
                <w:noProof/>
                <w:webHidden/>
              </w:rPr>
              <w:tab/>
            </w:r>
            <w:r>
              <w:rPr>
                <w:noProof/>
                <w:webHidden/>
              </w:rPr>
              <w:fldChar w:fldCharType="begin"/>
            </w:r>
            <w:r>
              <w:rPr>
                <w:noProof/>
                <w:webHidden/>
              </w:rPr>
              <w:instrText xml:space="preserve"> PAGEREF _Toc40436500 \h </w:instrText>
            </w:r>
            <w:r>
              <w:rPr>
                <w:noProof/>
                <w:webHidden/>
              </w:rPr>
            </w:r>
            <w:r>
              <w:rPr>
                <w:noProof/>
                <w:webHidden/>
              </w:rPr>
              <w:fldChar w:fldCharType="separate"/>
            </w:r>
            <w:r w:rsidR="00D7239F">
              <w:rPr>
                <w:noProof/>
                <w:webHidden/>
              </w:rPr>
              <w:t>118</w:t>
            </w:r>
            <w:r>
              <w:rPr>
                <w:noProof/>
                <w:webHidden/>
              </w:rPr>
              <w:fldChar w:fldCharType="end"/>
            </w:r>
          </w:hyperlink>
        </w:p>
        <w:p w14:paraId="1338C59C" w14:textId="77777777" w:rsidR="000F7CBC" w:rsidRDefault="000F7CBC">
          <w:pPr>
            <w:pStyle w:val="TOC3"/>
            <w:tabs>
              <w:tab w:val="right" w:leader="dot" w:pos="10245"/>
            </w:tabs>
            <w:rPr>
              <w:rFonts w:asciiTheme="minorHAnsi" w:hAnsiTheme="minorHAnsi"/>
              <w:noProof/>
              <w:sz w:val="22"/>
            </w:rPr>
          </w:pPr>
          <w:hyperlink w:anchor="_Toc40436501" w:history="1">
            <w:r w:rsidRPr="00F5686A">
              <w:rPr>
                <w:rStyle w:val="Hyperlink"/>
                <w:noProof/>
              </w:rPr>
              <w:t>4.2.1     The Sociological Study of Coping &amp; Care Management</w:t>
            </w:r>
            <w:r>
              <w:rPr>
                <w:noProof/>
                <w:webHidden/>
              </w:rPr>
              <w:tab/>
            </w:r>
            <w:r>
              <w:rPr>
                <w:noProof/>
                <w:webHidden/>
              </w:rPr>
              <w:fldChar w:fldCharType="begin"/>
            </w:r>
            <w:r>
              <w:rPr>
                <w:noProof/>
                <w:webHidden/>
              </w:rPr>
              <w:instrText xml:space="preserve"> PAGEREF _Toc40436501 \h </w:instrText>
            </w:r>
            <w:r>
              <w:rPr>
                <w:noProof/>
                <w:webHidden/>
              </w:rPr>
            </w:r>
            <w:r>
              <w:rPr>
                <w:noProof/>
                <w:webHidden/>
              </w:rPr>
              <w:fldChar w:fldCharType="separate"/>
            </w:r>
            <w:r w:rsidR="00D7239F">
              <w:rPr>
                <w:noProof/>
                <w:webHidden/>
              </w:rPr>
              <w:t>118</w:t>
            </w:r>
            <w:r>
              <w:rPr>
                <w:noProof/>
                <w:webHidden/>
              </w:rPr>
              <w:fldChar w:fldCharType="end"/>
            </w:r>
          </w:hyperlink>
        </w:p>
        <w:p w14:paraId="0401C080" w14:textId="77777777" w:rsidR="000F7CBC" w:rsidRDefault="000F7CBC">
          <w:pPr>
            <w:pStyle w:val="TOC3"/>
            <w:tabs>
              <w:tab w:val="right" w:leader="dot" w:pos="10245"/>
            </w:tabs>
            <w:rPr>
              <w:rFonts w:asciiTheme="minorHAnsi" w:hAnsiTheme="minorHAnsi"/>
              <w:noProof/>
              <w:sz w:val="22"/>
            </w:rPr>
          </w:pPr>
          <w:hyperlink w:anchor="_Toc40436502" w:history="1">
            <w:r w:rsidRPr="00F5686A">
              <w:rPr>
                <w:rStyle w:val="Hyperlink"/>
                <w:noProof/>
              </w:rPr>
              <w:t>4.2.2     Theoretical Perspectives on Coping &amp; Care Management</w:t>
            </w:r>
            <w:r>
              <w:rPr>
                <w:noProof/>
                <w:webHidden/>
              </w:rPr>
              <w:tab/>
            </w:r>
            <w:r>
              <w:rPr>
                <w:noProof/>
                <w:webHidden/>
              </w:rPr>
              <w:fldChar w:fldCharType="begin"/>
            </w:r>
            <w:r>
              <w:rPr>
                <w:noProof/>
                <w:webHidden/>
              </w:rPr>
              <w:instrText xml:space="preserve"> PAGEREF _Toc40436502 \h </w:instrText>
            </w:r>
            <w:r>
              <w:rPr>
                <w:noProof/>
                <w:webHidden/>
              </w:rPr>
            </w:r>
            <w:r>
              <w:rPr>
                <w:noProof/>
                <w:webHidden/>
              </w:rPr>
              <w:fldChar w:fldCharType="separate"/>
            </w:r>
            <w:r w:rsidR="00D7239F">
              <w:rPr>
                <w:noProof/>
                <w:webHidden/>
              </w:rPr>
              <w:t>135</w:t>
            </w:r>
            <w:r>
              <w:rPr>
                <w:noProof/>
                <w:webHidden/>
              </w:rPr>
              <w:fldChar w:fldCharType="end"/>
            </w:r>
          </w:hyperlink>
        </w:p>
        <w:p w14:paraId="5242A546" w14:textId="77777777" w:rsidR="000F7CBC" w:rsidRDefault="000F7CBC">
          <w:pPr>
            <w:pStyle w:val="TOC3"/>
            <w:tabs>
              <w:tab w:val="right" w:leader="dot" w:pos="10245"/>
            </w:tabs>
            <w:rPr>
              <w:rFonts w:asciiTheme="minorHAnsi" w:hAnsiTheme="minorHAnsi"/>
              <w:noProof/>
              <w:sz w:val="22"/>
            </w:rPr>
          </w:pPr>
          <w:hyperlink w:anchor="_Toc40436503" w:history="1">
            <w:r w:rsidRPr="00F5686A">
              <w:rPr>
                <w:rStyle w:val="Hyperlink"/>
                <w:noProof/>
              </w:rPr>
              <w:t>4.2.3     Key Definitions</w:t>
            </w:r>
            <w:r>
              <w:rPr>
                <w:noProof/>
                <w:webHidden/>
              </w:rPr>
              <w:tab/>
            </w:r>
            <w:r>
              <w:rPr>
                <w:noProof/>
                <w:webHidden/>
              </w:rPr>
              <w:fldChar w:fldCharType="begin"/>
            </w:r>
            <w:r>
              <w:rPr>
                <w:noProof/>
                <w:webHidden/>
              </w:rPr>
              <w:instrText xml:space="preserve"> PAGEREF _Toc40436503 \h </w:instrText>
            </w:r>
            <w:r>
              <w:rPr>
                <w:noProof/>
                <w:webHidden/>
              </w:rPr>
            </w:r>
            <w:r>
              <w:rPr>
                <w:noProof/>
                <w:webHidden/>
              </w:rPr>
              <w:fldChar w:fldCharType="separate"/>
            </w:r>
            <w:r w:rsidR="00D7239F">
              <w:rPr>
                <w:noProof/>
                <w:webHidden/>
              </w:rPr>
              <w:t>139</w:t>
            </w:r>
            <w:r>
              <w:rPr>
                <w:noProof/>
                <w:webHidden/>
              </w:rPr>
              <w:fldChar w:fldCharType="end"/>
            </w:r>
          </w:hyperlink>
        </w:p>
        <w:p w14:paraId="61CB3FCD" w14:textId="77777777" w:rsidR="000F7CBC" w:rsidRDefault="000F7CBC">
          <w:pPr>
            <w:pStyle w:val="TOC2"/>
            <w:tabs>
              <w:tab w:val="right" w:leader="dot" w:pos="10245"/>
            </w:tabs>
            <w:rPr>
              <w:rFonts w:asciiTheme="minorHAnsi" w:hAnsiTheme="minorHAnsi"/>
              <w:noProof/>
              <w:sz w:val="22"/>
            </w:rPr>
          </w:pPr>
          <w:hyperlink w:anchor="_Toc40436504" w:history="1">
            <w:r w:rsidRPr="00F5686A">
              <w:rPr>
                <w:rStyle w:val="Hyperlink"/>
                <w:noProof/>
              </w:rPr>
              <w:t>4.3 CONCLUSION</w:t>
            </w:r>
            <w:r>
              <w:rPr>
                <w:noProof/>
                <w:webHidden/>
              </w:rPr>
              <w:tab/>
            </w:r>
            <w:r>
              <w:rPr>
                <w:noProof/>
                <w:webHidden/>
              </w:rPr>
              <w:fldChar w:fldCharType="begin"/>
            </w:r>
            <w:r>
              <w:rPr>
                <w:noProof/>
                <w:webHidden/>
              </w:rPr>
              <w:instrText xml:space="preserve"> PAGEREF _Toc40436504 \h </w:instrText>
            </w:r>
            <w:r>
              <w:rPr>
                <w:noProof/>
                <w:webHidden/>
              </w:rPr>
            </w:r>
            <w:r>
              <w:rPr>
                <w:noProof/>
                <w:webHidden/>
              </w:rPr>
              <w:fldChar w:fldCharType="separate"/>
            </w:r>
            <w:r w:rsidR="00D7239F">
              <w:rPr>
                <w:noProof/>
                <w:webHidden/>
              </w:rPr>
              <w:t>140</w:t>
            </w:r>
            <w:r>
              <w:rPr>
                <w:noProof/>
                <w:webHidden/>
              </w:rPr>
              <w:fldChar w:fldCharType="end"/>
            </w:r>
          </w:hyperlink>
        </w:p>
        <w:p w14:paraId="4D5B7F5A" w14:textId="77777777" w:rsidR="000F7CBC" w:rsidRDefault="000F7CBC">
          <w:pPr>
            <w:pStyle w:val="TOC1"/>
            <w:rPr>
              <w:rFonts w:asciiTheme="minorHAnsi" w:hAnsiTheme="minorHAnsi"/>
              <w:noProof/>
              <w:sz w:val="22"/>
            </w:rPr>
          </w:pPr>
          <w:hyperlink w:anchor="_Toc40436505" w:history="1">
            <w:r w:rsidRPr="00F5686A">
              <w:rPr>
                <w:rStyle w:val="Hyperlink"/>
                <w:noProof/>
              </w:rPr>
              <w:t>CHAPTER 5 – METHODOLOGY</w:t>
            </w:r>
            <w:r>
              <w:rPr>
                <w:noProof/>
                <w:webHidden/>
              </w:rPr>
              <w:tab/>
            </w:r>
            <w:r>
              <w:rPr>
                <w:noProof/>
                <w:webHidden/>
              </w:rPr>
              <w:fldChar w:fldCharType="begin"/>
            </w:r>
            <w:r>
              <w:rPr>
                <w:noProof/>
                <w:webHidden/>
              </w:rPr>
              <w:instrText xml:space="preserve"> PAGEREF _Toc40436505 \h </w:instrText>
            </w:r>
            <w:r>
              <w:rPr>
                <w:noProof/>
                <w:webHidden/>
              </w:rPr>
            </w:r>
            <w:r>
              <w:rPr>
                <w:noProof/>
                <w:webHidden/>
              </w:rPr>
              <w:fldChar w:fldCharType="separate"/>
            </w:r>
            <w:r w:rsidR="00D7239F">
              <w:rPr>
                <w:noProof/>
                <w:webHidden/>
              </w:rPr>
              <w:t>141</w:t>
            </w:r>
            <w:r>
              <w:rPr>
                <w:noProof/>
                <w:webHidden/>
              </w:rPr>
              <w:fldChar w:fldCharType="end"/>
            </w:r>
          </w:hyperlink>
        </w:p>
        <w:p w14:paraId="4A317E68" w14:textId="77777777" w:rsidR="000F7CBC" w:rsidRDefault="000F7CBC">
          <w:pPr>
            <w:pStyle w:val="TOC2"/>
            <w:tabs>
              <w:tab w:val="right" w:leader="dot" w:pos="10245"/>
            </w:tabs>
            <w:rPr>
              <w:rFonts w:asciiTheme="minorHAnsi" w:hAnsiTheme="minorHAnsi"/>
              <w:noProof/>
              <w:sz w:val="22"/>
            </w:rPr>
          </w:pPr>
          <w:hyperlink w:anchor="_Toc40436506" w:history="1">
            <w:r w:rsidRPr="00F5686A">
              <w:rPr>
                <w:rStyle w:val="Hyperlink"/>
                <w:noProof/>
              </w:rPr>
              <w:t>5.1 INTRODUCTION</w:t>
            </w:r>
            <w:r>
              <w:rPr>
                <w:noProof/>
                <w:webHidden/>
              </w:rPr>
              <w:tab/>
            </w:r>
            <w:r>
              <w:rPr>
                <w:noProof/>
                <w:webHidden/>
              </w:rPr>
              <w:fldChar w:fldCharType="begin"/>
            </w:r>
            <w:r>
              <w:rPr>
                <w:noProof/>
                <w:webHidden/>
              </w:rPr>
              <w:instrText xml:space="preserve"> PAGEREF _Toc40436506 \h </w:instrText>
            </w:r>
            <w:r>
              <w:rPr>
                <w:noProof/>
                <w:webHidden/>
              </w:rPr>
            </w:r>
            <w:r>
              <w:rPr>
                <w:noProof/>
                <w:webHidden/>
              </w:rPr>
              <w:fldChar w:fldCharType="separate"/>
            </w:r>
            <w:r w:rsidR="00D7239F">
              <w:rPr>
                <w:noProof/>
                <w:webHidden/>
              </w:rPr>
              <w:t>141</w:t>
            </w:r>
            <w:r>
              <w:rPr>
                <w:noProof/>
                <w:webHidden/>
              </w:rPr>
              <w:fldChar w:fldCharType="end"/>
            </w:r>
          </w:hyperlink>
        </w:p>
        <w:p w14:paraId="67CB2608" w14:textId="77777777" w:rsidR="000F7CBC" w:rsidRDefault="000F7CBC">
          <w:pPr>
            <w:pStyle w:val="TOC2"/>
            <w:tabs>
              <w:tab w:val="right" w:leader="dot" w:pos="10245"/>
            </w:tabs>
            <w:rPr>
              <w:rFonts w:asciiTheme="minorHAnsi" w:hAnsiTheme="minorHAnsi"/>
              <w:noProof/>
              <w:sz w:val="22"/>
            </w:rPr>
          </w:pPr>
          <w:hyperlink w:anchor="_Toc40436507" w:history="1">
            <w:r w:rsidRPr="00F5686A">
              <w:rPr>
                <w:rStyle w:val="Hyperlink"/>
                <w:noProof/>
              </w:rPr>
              <w:t>5.2 INITIAL INTENTIONS</w:t>
            </w:r>
            <w:r>
              <w:rPr>
                <w:noProof/>
                <w:webHidden/>
              </w:rPr>
              <w:tab/>
            </w:r>
            <w:r>
              <w:rPr>
                <w:noProof/>
                <w:webHidden/>
              </w:rPr>
              <w:fldChar w:fldCharType="begin"/>
            </w:r>
            <w:r>
              <w:rPr>
                <w:noProof/>
                <w:webHidden/>
              </w:rPr>
              <w:instrText xml:space="preserve"> PAGEREF _Toc40436507 \h </w:instrText>
            </w:r>
            <w:r>
              <w:rPr>
                <w:noProof/>
                <w:webHidden/>
              </w:rPr>
            </w:r>
            <w:r>
              <w:rPr>
                <w:noProof/>
                <w:webHidden/>
              </w:rPr>
              <w:fldChar w:fldCharType="separate"/>
            </w:r>
            <w:r w:rsidR="00D7239F">
              <w:rPr>
                <w:noProof/>
                <w:webHidden/>
              </w:rPr>
              <w:t>142</w:t>
            </w:r>
            <w:r>
              <w:rPr>
                <w:noProof/>
                <w:webHidden/>
              </w:rPr>
              <w:fldChar w:fldCharType="end"/>
            </w:r>
          </w:hyperlink>
        </w:p>
        <w:p w14:paraId="777F0155" w14:textId="77777777" w:rsidR="000F7CBC" w:rsidRDefault="000F7CBC">
          <w:pPr>
            <w:pStyle w:val="TOC3"/>
            <w:tabs>
              <w:tab w:val="right" w:leader="dot" w:pos="10245"/>
            </w:tabs>
            <w:rPr>
              <w:rFonts w:asciiTheme="minorHAnsi" w:hAnsiTheme="minorHAnsi"/>
              <w:noProof/>
              <w:sz w:val="22"/>
            </w:rPr>
          </w:pPr>
          <w:hyperlink w:anchor="_Toc40436508" w:history="1">
            <w:r w:rsidRPr="00F5686A">
              <w:rPr>
                <w:rStyle w:val="Hyperlink"/>
                <w:noProof/>
              </w:rPr>
              <w:t>5.2.1     Research Design Philosophy</w:t>
            </w:r>
            <w:r>
              <w:rPr>
                <w:noProof/>
                <w:webHidden/>
              </w:rPr>
              <w:tab/>
            </w:r>
            <w:r>
              <w:rPr>
                <w:noProof/>
                <w:webHidden/>
              </w:rPr>
              <w:fldChar w:fldCharType="begin"/>
            </w:r>
            <w:r>
              <w:rPr>
                <w:noProof/>
                <w:webHidden/>
              </w:rPr>
              <w:instrText xml:space="preserve"> PAGEREF _Toc40436508 \h </w:instrText>
            </w:r>
            <w:r>
              <w:rPr>
                <w:noProof/>
                <w:webHidden/>
              </w:rPr>
            </w:r>
            <w:r>
              <w:rPr>
                <w:noProof/>
                <w:webHidden/>
              </w:rPr>
              <w:fldChar w:fldCharType="separate"/>
            </w:r>
            <w:r w:rsidR="00D7239F">
              <w:rPr>
                <w:noProof/>
                <w:webHidden/>
              </w:rPr>
              <w:t>142</w:t>
            </w:r>
            <w:r>
              <w:rPr>
                <w:noProof/>
                <w:webHidden/>
              </w:rPr>
              <w:fldChar w:fldCharType="end"/>
            </w:r>
          </w:hyperlink>
        </w:p>
        <w:p w14:paraId="5E630074" w14:textId="77777777" w:rsidR="000F7CBC" w:rsidRDefault="000F7CBC">
          <w:pPr>
            <w:pStyle w:val="TOC3"/>
            <w:tabs>
              <w:tab w:val="right" w:leader="dot" w:pos="10245"/>
            </w:tabs>
            <w:rPr>
              <w:rFonts w:asciiTheme="minorHAnsi" w:hAnsiTheme="minorHAnsi"/>
              <w:noProof/>
              <w:sz w:val="22"/>
            </w:rPr>
          </w:pPr>
          <w:hyperlink w:anchor="_Toc40436509" w:history="1">
            <w:r w:rsidRPr="00F5686A">
              <w:rPr>
                <w:rStyle w:val="Hyperlink"/>
                <w:noProof/>
              </w:rPr>
              <w:t>5.2.2     Sampling Procedure and Recruitment Strategy</w:t>
            </w:r>
            <w:r>
              <w:rPr>
                <w:noProof/>
                <w:webHidden/>
              </w:rPr>
              <w:tab/>
            </w:r>
            <w:r>
              <w:rPr>
                <w:noProof/>
                <w:webHidden/>
              </w:rPr>
              <w:fldChar w:fldCharType="begin"/>
            </w:r>
            <w:r>
              <w:rPr>
                <w:noProof/>
                <w:webHidden/>
              </w:rPr>
              <w:instrText xml:space="preserve"> PAGEREF _Toc40436509 \h </w:instrText>
            </w:r>
            <w:r>
              <w:rPr>
                <w:noProof/>
                <w:webHidden/>
              </w:rPr>
            </w:r>
            <w:r>
              <w:rPr>
                <w:noProof/>
                <w:webHidden/>
              </w:rPr>
              <w:fldChar w:fldCharType="separate"/>
            </w:r>
            <w:r w:rsidR="00D7239F">
              <w:rPr>
                <w:noProof/>
                <w:webHidden/>
              </w:rPr>
              <w:t>144</w:t>
            </w:r>
            <w:r>
              <w:rPr>
                <w:noProof/>
                <w:webHidden/>
              </w:rPr>
              <w:fldChar w:fldCharType="end"/>
            </w:r>
          </w:hyperlink>
        </w:p>
        <w:p w14:paraId="1715559C" w14:textId="77777777" w:rsidR="000F7CBC" w:rsidRDefault="000F7CBC">
          <w:pPr>
            <w:pStyle w:val="TOC3"/>
            <w:tabs>
              <w:tab w:val="right" w:leader="dot" w:pos="10245"/>
            </w:tabs>
            <w:rPr>
              <w:rFonts w:asciiTheme="minorHAnsi" w:hAnsiTheme="minorHAnsi"/>
              <w:noProof/>
              <w:sz w:val="22"/>
            </w:rPr>
          </w:pPr>
          <w:hyperlink w:anchor="_Toc40436510" w:history="1">
            <w:r w:rsidRPr="00F5686A">
              <w:rPr>
                <w:rStyle w:val="Hyperlink"/>
                <w:noProof/>
              </w:rPr>
              <w:t>5.2.3     Ethical Considerations &amp; Risk Management</w:t>
            </w:r>
            <w:r>
              <w:rPr>
                <w:noProof/>
                <w:webHidden/>
              </w:rPr>
              <w:tab/>
            </w:r>
            <w:r>
              <w:rPr>
                <w:noProof/>
                <w:webHidden/>
              </w:rPr>
              <w:fldChar w:fldCharType="begin"/>
            </w:r>
            <w:r>
              <w:rPr>
                <w:noProof/>
                <w:webHidden/>
              </w:rPr>
              <w:instrText xml:space="preserve"> PAGEREF _Toc40436510 \h </w:instrText>
            </w:r>
            <w:r>
              <w:rPr>
                <w:noProof/>
                <w:webHidden/>
              </w:rPr>
            </w:r>
            <w:r>
              <w:rPr>
                <w:noProof/>
                <w:webHidden/>
              </w:rPr>
              <w:fldChar w:fldCharType="separate"/>
            </w:r>
            <w:r w:rsidR="00D7239F">
              <w:rPr>
                <w:noProof/>
                <w:webHidden/>
              </w:rPr>
              <w:t>145</w:t>
            </w:r>
            <w:r>
              <w:rPr>
                <w:noProof/>
                <w:webHidden/>
              </w:rPr>
              <w:fldChar w:fldCharType="end"/>
            </w:r>
          </w:hyperlink>
        </w:p>
        <w:p w14:paraId="2881F1A1" w14:textId="77777777" w:rsidR="000F7CBC" w:rsidRDefault="000F7CBC">
          <w:pPr>
            <w:pStyle w:val="TOC2"/>
            <w:tabs>
              <w:tab w:val="right" w:leader="dot" w:pos="10245"/>
            </w:tabs>
            <w:rPr>
              <w:rFonts w:asciiTheme="minorHAnsi" w:hAnsiTheme="minorHAnsi"/>
              <w:noProof/>
              <w:sz w:val="22"/>
            </w:rPr>
          </w:pPr>
          <w:hyperlink w:anchor="_Toc40436511" w:history="1">
            <w:r w:rsidRPr="00F5686A">
              <w:rPr>
                <w:rStyle w:val="Hyperlink"/>
                <w:noProof/>
              </w:rPr>
              <w:t>5.3 HOW THE STUDY ACTUALLY UNFOLDED</w:t>
            </w:r>
            <w:r>
              <w:rPr>
                <w:noProof/>
                <w:webHidden/>
              </w:rPr>
              <w:tab/>
            </w:r>
            <w:r>
              <w:rPr>
                <w:noProof/>
                <w:webHidden/>
              </w:rPr>
              <w:fldChar w:fldCharType="begin"/>
            </w:r>
            <w:r>
              <w:rPr>
                <w:noProof/>
                <w:webHidden/>
              </w:rPr>
              <w:instrText xml:space="preserve"> PAGEREF _Toc40436511 \h </w:instrText>
            </w:r>
            <w:r>
              <w:rPr>
                <w:noProof/>
                <w:webHidden/>
              </w:rPr>
            </w:r>
            <w:r>
              <w:rPr>
                <w:noProof/>
                <w:webHidden/>
              </w:rPr>
              <w:fldChar w:fldCharType="separate"/>
            </w:r>
            <w:r w:rsidR="00D7239F">
              <w:rPr>
                <w:noProof/>
                <w:webHidden/>
              </w:rPr>
              <w:t>153</w:t>
            </w:r>
            <w:r>
              <w:rPr>
                <w:noProof/>
                <w:webHidden/>
              </w:rPr>
              <w:fldChar w:fldCharType="end"/>
            </w:r>
          </w:hyperlink>
        </w:p>
        <w:p w14:paraId="1C1F6A8F" w14:textId="77777777" w:rsidR="000F7CBC" w:rsidRDefault="000F7CBC">
          <w:pPr>
            <w:pStyle w:val="TOC3"/>
            <w:tabs>
              <w:tab w:val="right" w:leader="dot" w:pos="10245"/>
            </w:tabs>
            <w:rPr>
              <w:rFonts w:asciiTheme="minorHAnsi" w:hAnsiTheme="minorHAnsi"/>
              <w:noProof/>
              <w:sz w:val="22"/>
            </w:rPr>
          </w:pPr>
          <w:hyperlink w:anchor="_Toc40436512" w:history="1">
            <w:r w:rsidRPr="00F5686A">
              <w:rPr>
                <w:rStyle w:val="Hyperlink"/>
                <w:noProof/>
              </w:rPr>
              <w:t>5.3.1     Setbacks &amp; Mitigating Factors</w:t>
            </w:r>
            <w:r>
              <w:rPr>
                <w:noProof/>
                <w:webHidden/>
              </w:rPr>
              <w:tab/>
            </w:r>
            <w:r>
              <w:rPr>
                <w:noProof/>
                <w:webHidden/>
              </w:rPr>
              <w:fldChar w:fldCharType="begin"/>
            </w:r>
            <w:r>
              <w:rPr>
                <w:noProof/>
                <w:webHidden/>
              </w:rPr>
              <w:instrText xml:space="preserve"> PAGEREF _Toc40436512 \h </w:instrText>
            </w:r>
            <w:r>
              <w:rPr>
                <w:noProof/>
                <w:webHidden/>
              </w:rPr>
            </w:r>
            <w:r>
              <w:rPr>
                <w:noProof/>
                <w:webHidden/>
              </w:rPr>
              <w:fldChar w:fldCharType="separate"/>
            </w:r>
            <w:r w:rsidR="00D7239F">
              <w:rPr>
                <w:noProof/>
                <w:webHidden/>
              </w:rPr>
              <w:t>153</w:t>
            </w:r>
            <w:r>
              <w:rPr>
                <w:noProof/>
                <w:webHidden/>
              </w:rPr>
              <w:fldChar w:fldCharType="end"/>
            </w:r>
          </w:hyperlink>
        </w:p>
        <w:p w14:paraId="7C47A4D8" w14:textId="77777777" w:rsidR="000F7CBC" w:rsidRDefault="000F7CBC">
          <w:pPr>
            <w:pStyle w:val="TOC3"/>
            <w:tabs>
              <w:tab w:val="right" w:leader="dot" w:pos="10245"/>
            </w:tabs>
            <w:rPr>
              <w:rFonts w:asciiTheme="minorHAnsi" w:hAnsiTheme="minorHAnsi"/>
              <w:noProof/>
              <w:sz w:val="22"/>
            </w:rPr>
          </w:pPr>
          <w:hyperlink w:anchor="_Toc40436513" w:history="1">
            <w:r w:rsidRPr="00F5686A">
              <w:rPr>
                <w:rStyle w:val="Hyperlink"/>
                <w:noProof/>
              </w:rPr>
              <w:t>5.3.2     Initial Efforts &amp; Revised Plans</w:t>
            </w:r>
            <w:r>
              <w:rPr>
                <w:noProof/>
                <w:webHidden/>
              </w:rPr>
              <w:tab/>
            </w:r>
            <w:r>
              <w:rPr>
                <w:noProof/>
                <w:webHidden/>
              </w:rPr>
              <w:fldChar w:fldCharType="begin"/>
            </w:r>
            <w:r>
              <w:rPr>
                <w:noProof/>
                <w:webHidden/>
              </w:rPr>
              <w:instrText xml:space="preserve"> PAGEREF _Toc40436513 \h </w:instrText>
            </w:r>
            <w:r>
              <w:rPr>
                <w:noProof/>
                <w:webHidden/>
              </w:rPr>
            </w:r>
            <w:r>
              <w:rPr>
                <w:noProof/>
                <w:webHidden/>
              </w:rPr>
              <w:fldChar w:fldCharType="separate"/>
            </w:r>
            <w:r w:rsidR="00D7239F">
              <w:rPr>
                <w:noProof/>
                <w:webHidden/>
              </w:rPr>
              <w:t>158</w:t>
            </w:r>
            <w:r>
              <w:rPr>
                <w:noProof/>
                <w:webHidden/>
              </w:rPr>
              <w:fldChar w:fldCharType="end"/>
            </w:r>
          </w:hyperlink>
        </w:p>
        <w:p w14:paraId="638BFBCF" w14:textId="77777777" w:rsidR="000F7CBC" w:rsidRDefault="000F7CBC">
          <w:pPr>
            <w:pStyle w:val="TOC3"/>
            <w:tabs>
              <w:tab w:val="right" w:leader="dot" w:pos="10245"/>
            </w:tabs>
            <w:rPr>
              <w:rFonts w:asciiTheme="minorHAnsi" w:hAnsiTheme="minorHAnsi"/>
              <w:noProof/>
              <w:sz w:val="22"/>
            </w:rPr>
          </w:pPr>
          <w:hyperlink w:anchor="_Toc40436514" w:history="1">
            <w:r w:rsidRPr="00F5686A">
              <w:rPr>
                <w:rStyle w:val="Hyperlink"/>
                <w:noProof/>
              </w:rPr>
              <w:t>5.3.3     Analysis Approach</w:t>
            </w:r>
            <w:r>
              <w:rPr>
                <w:noProof/>
                <w:webHidden/>
              </w:rPr>
              <w:tab/>
            </w:r>
            <w:r>
              <w:rPr>
                <w:noProof/>
                <w:webHidden/>
              </w:rPr>
              <w:fldChar w:fldCharType="begin"/>
            </w:r>
            <w:r>
              <w:rPr>
                <w:noProof/>
                <w:webHidden/>
              </w:rPr>
              <w:instrText xml:space="preserve"> PAGEREF _Toc40436514 \h </w:instrText>
            </w:r>
            <w:r>
              <w:rPr>
                <w:noProof/>
                <w:webHidden/>
              </w:rPr>
            </w:r>
            <w:r>
              <w:rPr>
                <w:noProof/>
                <w:webHidden/>
              </w:rPr>
              <w:fldChar w:fldCharType="separate"/>
            </w:r>
            <w:r w:rsidR="00D7239F">
              <w:rPr>
                <w:noProof/>
                <w:webHidden/>
              </w:rPr>
              <w:t>174</w:t>
            </w:r>
            <w:r>
              <w:rPr>
                <w:noProof/>
                <w:webHidden/>
              </w:rPr>
              <w:fldChar w:fldCharType="end"/>
            </w:r>
          </w:hyperlink>
        </w:p>
        <w:p w14:paraId="0C483275" w14:textId="77777777" w:rsidR="000F7CBC" w:rsidRDefault="000F7CBC">
          <w:pPr>
            <w:pStyle w:val="TOC2"/>
            <w:tabs>
              <w:tab w:val="right" w:leader="dot" w:pos="10245"/>
            </w:tabs>
            <w:rPr>
              <w:rFonts w:asciiTheme="minorHAnsi" w:hAnsiTheme="minorHAnsi"/>
              <w:noProof/>
              <w:sz w:val="22"/>
            </w:rPr>
          </w:pPr>
          <w:hyperlink w:anchor="_Toc40436515" w:history="1">
            <w:r w:rsidRPr="00F5686A">
              <w:rPr>
                <w:rStyle w:val="Hyperlink"/>
                <w:noProof/>
              </w:rPr>
              <w:t>5.4 CONCLUSION</w:t>
            </w:r>
            <w:r>
              <w:rPr>
                <w:noProof/>
                <w:webHidden/>
              </w:rPr>
              <w:tab/>
            </w:r>
            <w:r>
              <w:rPr>
                <w:noProof/>
                <w:webHidden/>
              </w:rPr>
              <w:fldChar w:fldCharType="begin"/>
            </w:r>
            <w:r>
              <w:rPr>
                <w:noProof/>
                <w:webHidden/>
              </w:rPr>
              <w:instrText xml:space="preserve"> PAGEREF _Toc40436515 \h </w:instrText>
            </w:r>
            <w:r>
              <w:rPr>
                <w:noProof/>
                <w:webHidden/>
              </w:rPr>
            </w:r>
            <w:r>
              <w:rPr>
                <w:noProof/>
                <w:webHidden/>
              </w:rPr>
              <w:fldChar w:fldCharType="separate"/>
            </w:r>
            <w:r w:rsidR="00D7239F">
              <w:rPr>
                <w:noProof/>
                <w:webHidden/>
              </w:rPr>
              <w:t>179</w:t>
            </w:r>
            <w:r>
              <w:rPr>
                <w:noProof/>
                <w:webHidden/>
              </w:rPr>
              <w:fldChar w:fldCharType="end"/>
            </w:r>
          </w:hyperlink>
        </w:p>
        <w:p w14:paraId="48C46874" w14:textId="77777777" w:rsidR="000F7CBC" w:rsidRDefault="000F7CBC">
          <w:pPr>
            <w:pStyle w:val="TOC1"/>
            <w:rPr>
              <w:rFonts w:asciiTheme="minorHAnsi" w:hAnsiTheme="minorHAnsi"/>
              <w:noProof/>
              <w:sz w:val="22"/>
            </w:rPr>
          </w:pPr>
          <w:hyperlink w:anchor="_Toc40436516" w:history="1">
            <w:r w:rsidRPr="00F5686A">
              <w:rPr>
                <w:rStyle w:val="Hyperlink"/>
                <w:noProof/>
              </w:rPr>
              <w:t>CHAPTER 6 – QUALITATIVE RESULTS</w:t>
            </w:r>
            <w:r>
              <w:rPr>
                <w:noProof/>
                <w:webHidden/>
              </w:rPr>
              <w:tab/>
            </w:r>
            <w:r>
              <w:rPr>
                <w:noProof/>
                <w:webHidden/>
              </w:rPr>
              <w:fldChar w:fldCharType="begin"/>
            </w:r>
            <w:r>
              <w:rPr>
                <w:noProof/>
                <w:webHidden/>
              </w:rPr>
              <w:instrText xml:space="preserve"> PAGEREF _Toc40436516 \h </w:instrText>
            </w:r>
            <w:r>
              <w:rPr>
                <w:noProof/>
                <w:webHidden/>
              </w:rPr>
            </w:r>
            <w:r>
              <w:rPr>
                <w:noProof/>
                <w:webHidden/>
              </w:rPr>
              <w:fldChar w:fldCharType="separate"/>
            </w:r>
            <w:r w:rsidR="00D7239F">
              <w:rPr>
                <w:noProof/>
                <w:webHidden/>
              </w:rPr>
              <w:t>180</w:t>
            </w:r>
            <w:r>
              <w:rPr>
                <w:noProof/>
                <w:webHidden/>
              </w:rPr>
              <w:fldChar w:fldCharType="end"/>
            </w:r>
          </w:hyperlink>
        </w:p>
        <w:p w14:paraId="31E7FB97" w14:textId="77777777" w:rsidR="000F7CBC" w:rsidRDefault="000F7CBC">
          <w:pPr>
            <w:pStyle w:val="TOC1"/>
            <w:rPr>
              <w:rFonts w:asciiTheme="minorHAnsi" w:hAnsiTheme="minorHAnsi"/>
              <w:noProof/>
              <w:sz w:val="22"/>
            </w:rPr>
          </w:pPr>
          <w:hyperlink w:anchor="_Toc40436517" w:history="1">
            <w:r w:rsidRPr="00F5686A">
              <w:rPr>
                <w:rStyle w:val="Hyperlink"/>
                <w:noProof/>
              </w:rPr>
              <w:t>DETERMINANTS OF CARE</w:t>
            </w:r>
            <w:r>
              <w:rPr>
                <w:noProof/>
                <w:webHidden/>
              </w:rPr>
              <w:tab/>
            </w:r>
            <w:r>
              <w:rPr>
                <w:noProof/>
                <w:webHidden/>
              </w:rPr>
              <w:fldChar w:fldCharType="begin"/>
            </w:r>
            <w:r>
              <w:rPr>
                <w:noProof/>
                <w:webHidden/>
              </w:rPr>
              <w:instrText xml:space="preserve"> PAGEREF _Toc40436517 \h </w:instrText>
            </w:r>
            <w:r>
              <w:rPr>
                <w:noProof/>
                <w:webHidden/>
              </w:rPr>
            </w:r>
            <w:r>
              <w:rPr>
                <w:noProof/>
                <w:webHidden/>
              </w:rPr>
              <w:fldChar w:fldCharType="separate"/>
            </w:r>
            <w:r w:rsidR="00D7239F">
              <w:rPr>
                <w:noProof/>
                <w:webHidden/>
              </w:rPr>
              <w:t>180</w:t>
            </w:r>
            <w:r>
              <w:rPr>
                <w:noProof/>
                <w:webHidden/>
              </w:rPr>
              <w:fldChar w:fldCharType="end"/>
            </w:r>
          </w:hyperlink>
        </w:p>
        <w:p w14:paraId="2BAB9457" w14:textId="77777777" w:rsidR="000F7CBC" w:rsidRDefault="000F7CBC">
          <w:pPr>
            <w:pStyle w:val="TOC2"/>
            <w:tabs>
              <w:tab w:val="right" w:leader="dot" w:pos="10245"/>
            </w:tabs>
            <w:rPr>
              <w:rFonts w:asciiTheme="minorHAnsi" w:hAnsiTheme="minorHAnsi"/>
              <w:noProof/>
              <w:sz w:val="22"/>
            </w:rPr>
          </w:pPr>
          <w:hyperlink w:anchor="_Toc40436518" w:history="1">
            <w:r w:rsidRPr="00F5686A">
              <w:rPr>
                <w:rStyle w:val="Hyperlink"/>
                <w:noProof/>
              </w:rPr>
              <w:t>6.1 INTRODUCTION</w:t>
            </w:r>
            <w:r>
              <w:rPr>
                <w:noProof/>
                <w:webHidden/>
              </w:rPr>
              <w:tab/>
            </w:r>
            <w:r>
              <w:rPr>
                <w:noProof/>
                <w:webHidden/>
              </w:rPr>
              <w:fldChar w:fldCharType="begin"/>
            </w:r>
            <w:r>
              <w:rPr>
                <w:noProof/>
                <w:webHidden/>
              </w:rPr>
              <w:instrText xml:space="preserve"> PAGEREF _Toc40436518 \h </w:instrText>
            </w:r>
            <w:r>
              <w:rPr>
                <w:noProof/>
                <w:webHidden/>
              </w:rPr>
            </w:r>
            <w:r>
              <w:rPr>
                <w:noProof/>
                <w:webHidden/>
              </w:rPr>
              <w:fldChar w:fldCharType="separate"/>
            </w:r>
            <w:r w:rsidR="00D7239F">
              <w:rPr>
                <w:noProof/>
                <w:webHidden/>
              </w:rPr>
              <w:t>180</w:t>
            </w:r>
            <w:r>
              <w:rPr>
                <w:noProof/>
                <w:webHidden/>
              </w:rPr>
              <w:fldChar w:fldCharType="end"/>
            </w:r>
          </w:hyperlink>
        </w:p>
        <w:p w14:paraId="7066A831" w14:textId="77777777" w:rsidR="000F7CBC" w:rsidRDefault="000F7CBC">
          <w:pPr>
            <w:pStyle w:val="TOC2"/>
            <w:tabs>
              <w:tab w:val="right" w:leader="dot" w:pos="10245"/>
            </w:tabs>
            <w:rPr>
              <w:rFonts w:asciiTheme="minorHAnsi" w:hAnsiTheme="minorHAnsi"/>
              <w:noProof/>
              <w:sz w:val="22"/>
            </w:rPr>
          </w:pPr>
          <w:hyperlink w:anchor="_Toc40436519" w:history="1">
            <w:r w:rsidRPr="00F5686A">
              <w:rPr>
                <w:rStyle w:val="Hyperlink"/>
                <w:noProof/>
              </w:rPr>
              <w:t>6.2 DETERMINANTS OF CARE</w:t>
            </w:r>
            <w:r>
              <w:rPr>
                <w:noProof/>
                <w:webHidden/>
              </w:rPr>
              <w:tab/>
            </w:r>
            <w:r>
              <w:rPr>
                <w:noProof/>
                <w:webHidden/>
              </w:rPr>
              <w:fldChar w:fldCharType="begin"/>
            </w:r>
            <w:r>
              <w:rPr>
                <w:noProof/>
                <w:webHidden/>
              </w:rPr>
              <w:instrText xml:space="preserve"> PAGEREF _Toc40436519 \h </w:instrText>
            </w:r>
            <w:r>
              <w:rPr>
                <w:noProof/>
                <w:webHidden/>
              </w:rPr>
            </w:r>
            <w:r>
              <w:rPr>
                <w:noProof/>
                <w:webHidden/>
              </w:rPr>
              <w:fldChar w:fldCharType="separate"/>
            </w:r>
            <w:r w:rsidR="00D7239F">
              <w:rPr>
                <w:noProof/>
                <w:webHidden/>
              </w:rPr>
              <w:t>180</w:t>
            </w:r>
            <w:r>
              <w:rPr>
                <w:noProof/>
                <w:webHidden/>
              </w:rPr>
              <w:fldChar w:fldCharType="end"/>
            </w:r>
          </w:hyperlink>
        </w:p>
        <w:p w14:paraId="2D4F50CB" w14:textId="77777777" w:rsidR="000F7CBC" w:rsidRDefault="000F7CBC">
          <w:pPr>
            <w:pStyle w:val="TOC2"/>
            <w:tabs>
              <w:tab w:val="right" w:leader="dot" w:pos="10245"/>
            </w:tabs>
            <w:rPr>
              <w:rFonts w:asciiTheme="minorHAnsi" w:hAnsiTheme="minorHAnsi"/>
              <w:noProof/>
              <w:sz w:val="22"/>
            </w:rPr>
          </w:pPr>
          <w:hyperlink w:anchor="_Toc40436520" w:history="1">
            <w:r w:rsidRPr="00F5686A">
              <w:rPr>
                <w:rStyle w:val="Hyperlink"/>
                <w:noProof/>
              </w:rPr>
              <w:t>6.3 REQUIRED CARE</w:t>
            </w:r>
            <w:r>
              <w:rPr>
                <w:noProof/>
                <w:webHidden/>
              </w:rPr>
              <w:tab/>
            </w:r>
            <w:r>
              <w:rPr>
                <w:noProof/>
                <w:webHidden/>
              </w:rPr>
              <w:fldChar w:fldCharType="begin"/>
            </w:r>
            <w:r>
              <w:rPr>
                <w:noProof/>
                <w:webHidden/>
              </w:rPr>
              <w:instrText xml:space="preserve"> PAGEREF _Toc40436520 \h </w:instrText>
            </w:r>
            <w:r>
              <w:rPr>
                <w:noProof/>
                <w:webHidden/>
              </w:rPr>
            </w:r>
            <w:r>
              <w:rPr>
                <w:noProof/>
                <w:webHidden/>
              </w:rPr>
              <w:fldChar w:fldCharType="separate"/>
            </w:r>
            <w:r w:rsidR="00D7239F">
              <w:rPr>
                <w:noProof/>
                <w:webHidden/>
              </w:rPr>
              <w:t>181</w:t>
            </w:r>
            <w:r>
              <w:rPr>
                <w:noProof/>
                <w:webHidden/>
              </w:rPr>
              <w:fldChar w:fldCharType="end"/>
            </w:r>
          </w:hyperlink>
        </w:p>
        <w:p w14:paraId="56DB524A" w14:textId="77777777" w:rsidR="000F7CBC" w:rsidRDefault="000F7CBC">
          <w:pPr>
            <w:pStyle w:val="TOC3"/>
            <w:tabs>
              <w:tab w:val="right" w:leader="dot" w:pos="10245"/>
            </w:tabs>
            <w:rPr>
              <w:rFonts w:asciiTheme="minorHAnsi" w:hAnsiTheme="minorHAnsi"/>
              <w:noProof/>
              <w:sz w:val="22"/>
            </w:rPr>
          </w:pPr>
          <w:hyperlink w:anchor="_Toc40436521" w:history="1">
            <w:r w:rsidRPr="00F5686A">
              <w:rPr>
                <w:rStyle w:val="Hyperlink"/>
                <w:noProof/>
              </w:rPr>
              <w:t>6.3.1     Care needs</w:t>
            </w:r>
            <w:r>
              <w:rPr>
                <w:noProof/>
                <w:webHidden/>
              </w:rPr>
              <w:tab/>
            </w:r>
            <w:r>
              <w:rPr>
                <w:noProof/>
                <w:webHidden/>
              </w:rPr>
              <w:fldChar w:fldCharType="begin"/>
            </w:r>
            <w:r>
              <w:rPr>
                <w:noProof/>
                <w:webHidden/>
              </w:rPr>
              <w:instrText xml:space="preserve"> PAGEREF _Toc40436521 \h </w:instrText>
            </w:r>
            <w:r>
              <w:rPr>
                <w:noProof/>
                <w:webHidden/>
              </w:rPr>
            </w:r>
            <w:r>
              <w:rPr>
                <w:noProof/>
                <w:webHidden/>
              </w:rPr>
              <w:fldChar w:fldCharType="separate"/>
            </w:r>
            <w:r w:rsidR="00D7239F">
              <w:rPr>
                <w:noProof/>
                <w:webHidden/>
              </w:rPr>
              <w:t>182</w:t>
            </w:r>
            <w:r>
              <w:rPr>
                <w:noProof/>
                <w:webHidden/>
              </w:rPr>
              <w:fldChar w:fldCharType="end"/>
            </w:r>
          </w:hyperlink>
        </w:p>
        <w:p w14:paraId="36F0B2DB" w14:textId="77777777" w:rsidR="000F7CBC" w:rsidRDefault="000F7CBC">
          <w:pPr>
            <w:pStyle w:val="TOC3"/>
            <w:tabs>
              <w:tab w:val="right" w:leader="dot" w:pos="10245"/>
            </w:tabs>
            <w:rPr>
              <w:rFonts w:asciiTheme="minorHAnsi" w:hAnsiTheme="minorHAnsi"/>
              <w:noProof/>
              <w:sz w:val="22"/>
            </w:rPr>
          </w:pPr>
          <w:hyperlink w:anchor="_Toc40436522" w:history="1">
            <w:r w:rsidRPr="00F5686A">
              <w:rPr>
                <w:rStyle w:val="Hyperlink"/>
                <w:noProof/>
              </w:rPr>
              <w:t>6.3.2     Loss of a Primary Caregiver</w:t>
            </w:r>
            <w:r>
              <w:rPr>
                <w:noProof/>
                <w:webHidden/>
              </w:rPr>
              <w:tab/>
            </w:r>
            <w:r>
              <w:rPr>
                <w:noProof/>
                <w:webHidden/>
              </w:rPr>
              <w:fldChar w:fldCharType="begin"/>
            </w:r>
            <w:r>
              <w:rPr>
                <w:noProof/>
                <w:webHidden/>
              </w:rPr>
              <w:instrText xml:space="preserve"> PAGEREF _Toc40436522 \h </w:instrText>
            </w:r>
            <w:r>
              <w:rPr>
                <w:noProof/>
                <w:webHidden/>
              </w:rPr>
            </w:r>
            <w:r>
              <w:rPr>
                <w:noProof/>
                <w:webHidden/>
              </w:rPr>
              <w:fldChar w:fldCharType="separate"/>
            </w:r>
            <w:r w:rsidR="00D7239F">
              <w:rPr>
                <w:noProof/>
                <w:webHidden/>
              </w:rPr>
              <w:t>184</w:t>
            </w:r>
            <w:r>
              <w:rPr>
                <w:noProof/>
                <w:webHidden/>
              </w:rPr>
              <w:fldChar w:fldCharType="end"/>
            </w:r>
          </w:hyperlink>
        </w:p>
        <w:p w14:paraId="4B0A4A75" w14:textId="77777777" w:rsidR="000F7CBC" w:rsidRDefault="000F7CBC">
          <w:pPr>
            <w:pStyle w:val="TOC3"/>
            <w:tabs>
              <w:tab w:val="right" w:leader="dot" w:pos="10245"/>
            </w:tabs>
            <w:rPr>
              <w:rFonts w:asciiTheme="minorHAnsi" w:hAnsiTheme="minorHAnsi"/>
              <w:noProof/>
              <w:sz w:val="22"/>
            </w:rPr>
          </w:pPr>
          <w:hyperlink w:anchor="_Toc40436523" w:history="1">
            <w:r w:rsidRPr="00F5686A">
              <w:rPr>
                <w:rStyle w:val="Hyperlink"/>
                <w:noProof/>
              </w:rPr>
              <w:t>6.3.3     Gender and Geographical Proximity</w:t>
            </w:r>
            <w:r>
              <w:rPr>
                <w:noProof/>
                <w:webHidden/>
              </w:rPr>
              <w:tab/>
            </w:r>
            <w:r>
              <w:rPr>
                <w:noProof/>
                <w:webHidden/>
              </w:rPr>
              <w:fldChar w:fldCharType="begin"/>
            </w:r>
            <w:r>
              <w:rPr>
                <w:noProof/>
                <w:webHidden/>
              </w:rPr>
              <w:instrText xml:space="preserve"> PAGEREF _Toc40436523 \h </w:instrText>
            </w:r>
            <w:r>
              <w:rPr>
                <w:noProof/>
                <w:webHidden/>
              </w:rPr>
            </w:r>
            <w:r>
              <w:rPr>
                <w:noProof/>
                <w:webHidden/>
              </w:rPr>
              <w:fldChar w:fldCharType="separate"/>
            </w:r>
            <w:r w:rsidR="00D7239F">
              <w:rPr>
                <w:noProof/>
                <w:webHidden/>
              </w:rPr>
              <w:t>185</w:t>
            </w:r>
            <w:r>
              <w:rPr>
                <w:noProof/>
                <w:webHidden/>
              </w:rPr>
              <w:fldChar w:fldCharType="end"/>
            </w:r>
          </w:hyperlink>
        </w:p>
        <w:p w14:paraId="64D74E9B" w14:textId="77777777" w:rsidR="000F7CBC" w:rsidRDefault="000F7CBC">
          <w:pPr>
            <w:pStyle w:val="TOC3"/>
            <w:tabs>
              <w:tab w:val="right" w:leader="dot" w:pos="10245"/>
            </w:tabs>
            <w:rPr>
              <w:rFonts w:asciiTheme="minorHAnsi" w:hAnsiTheme="minorHAnsi"/>
              <w:noProof/>
              <w:sz w:val="22"/>
            </w:rPr>
          </w:pPr>
          <w:hyperlink w:anchor="_Toc40436524" w:history="1">
            <w:r w:rsidRPr="00F5686A">
              <w:rPr>
                <w:rStyle w:val="Hyperlink"/>
                <w:noProof/>
              </w:rPr>
              <w:t>6.3.4     Family Composition</w:t>
            </w:r>
            <w:r>
              <w:rPr>
                <w:noProof/>
                <w:webHidden/>
              </w:rPr>
              <w:tab/>
            </w:r>
            <w:r>
              <w:rPr>
                <w:noProof/>
                <w:webHidden/>
              </w:rPr>
              <w:fldChar w:fldCharType="begin"/>
            </w:r>
            <w:r>
              <w:rPr>
                <w:noProof/>
                <w:webHidden/>
              </w:rPr>
              <w:instrText xml:space="preserve"> PAGEREF _Toc40436524 \h </w:instrText>
            </w:r>
            <w:r>
              <w:rPr>
                <w:noProof/>
                <w:webHidden/>
              </w:rPr>
            </w:r>
            <w:r>
              <w:rPr>
                <w:noProof/>
                <w:webHidden/>
              </w:rPr>
              <w:fldChar w:fldCharType="separate"/>
            </w:r>
            <w:r w:rsidR="00D7239F">
              <w:rPr>
                <w:noProof/>
                <w:webHidden/>
              </w:rPr>
              <w:t>186</w:t>
            </w:r>
            <w:r>
              <w:rPr>
                <w:noProof/>
                <w:webHidden/>
              </w:rPr>
              <w:fldChar w:fldCharType="end"/>
            </w:r>
          </w:hyperlink>
        </w:p>
        <w:p w14:paraId="32EF83ED" w14:textId="77777777" w:rsidR="000F7CBC" w:rsidRDefault="000F7CBC">
          <w:pPr>
            <w:pStyle w:val="TOC3"/>
            <w:tabs>
              <w:tab w:val="right" w:leader="dot" w:pos="10245"/>
            </w:tabs>
            <w:rPr>
              <w:rFonts w:asciiTheme="minorHAnsi" w:hAnsiTheme="minorHAnsi"/>
              <w:noProof/>
              <w:sz w:val="22"/>
            </w:rPr>
          </w:pPr>
          <w:hyperlink w:anchor="_Toc40436525" w:history="1">
            <w:r w:rsidRPr="00F5686A">
              <w:rPr>
                <w:rStyle w:val="Hyperlink"/>
                <w:noProof/>
              </w:rPr>
              <w:t>6.3.5     Partnership Status</w:t>
            </w:r>
            <w:r>
              <w:rPr>
                <w:noProof/>
                <w:webHidden/>
              </w:rPr>
              <w:tab/>
            </w:r>
            <w:r>
              <w:rPr>
                <w:noProof/>
                <w:webHidden/>
              </w:rPr>
              <w:fldChar w:fldCharType="begin"/>
            </w:r>
            <w:r>
              <w:rPr>
                <w:noProof/>
                <w:webHidden/>
              </w:rPr>
              <w:instrText xml:space="preserve"> PAGEREF _Toc40436525 \h </w:instrText>
            </w:r>
            <w:r>
              <w:rPr>
                <w:noProof/>
                <w:webHidden/>
              </w:rPr>
            </w:r>
            <w:r>
              <w:rPr>
                <w:noProof/>
                <w:webHidden/>
              </w:rPr>
              <w:fldChar w:fldCharType="separate"/>
            </w:r>
            <w:r w:rsidR="00D7239F">
              <w:rPr>
                <w:noProof/>
                <w:webHidden/>
              </w:rPr>
              <w:t>187</w:t>
            </w:r>
            <w:r>
              <w:rPr>
                <w:noProof/>
                <w:webHidden/>
              </w:rPr>
              <w:fldChar w:fldCharType="end"/>
            </w:r>
          </w:hyperlink>
        </w:p>
        <w:p w14:paraId="29A4D8FD" w14:textId="77777777" w:rsidR="000F7CBC" w:rsidRDefault="000F7CBC">
          <w:pPr>
            <w:pStyle w:val="TOC3"/>
            <w:tabs>
              <w:tab w:val="right" w:leader="dot" w:pos="10245"/>
            </w:tabs>
            <w:rPr>
              <w:rFonts w:asciiTheme="minorHAnsi" w:hAnsiTheme="minorHAnsi"/>
              <w:noProof/>
              <w:sz w:val="22"/>
            </w:rPr>
          </w:pPr>
          <w:hyperlink w:anchor="_Toc40436526" w:history="1">
            <w:r w:rsidRPr="00F5686A">
              <w:rPr>
                <w:rStyle w:val="Hyperlink"/>
                <w:noProof/>
              </w:rPr>
              <w:t>6.3.6     Type of Filial Relationship</w:t>
            </w:r>
            <w:r>
              <w:rPr>
                <w:noProof/>
                <w:webHidden/>
              </w:rPr>
              <w:tab/>
            </w:r>
            <w:r>
              <w:rPr>
                <w:noProof/>
                <w:webHidden/>
              </w:rPr>
              <w:fldChar w:fldCharType="begin"/>
            </w:r>
            <w:r>
              <w:rPr>
                <w:noProof/>
                <w:webHidden/>
              </w:rPr>
              <w:instrText xml:space="preserve"> PAGEREF _Toc40436526 \h </w:instrText>
            </w:r>
            <w:r>
              <w:rPr>
                <w:noProof/>
                <w:webHidden/>
              </w:rPr>
            </w:r>
            <w:r>
              <w:rPr>
                <w:noProof/>
                <w:webHidden/>
              </w:rPr>
              <w:fldChar w:fldCharType="separate"/>
            </w:r>
            <w:r w:rsidR="00D7239F">
              <w:rPr>
                <w:noProof/>
                <w:webHidden/>
              </w:rPr>
              <w:t>187</w:t>
            </w:r>
            <w:r>
              <w:rPr>
                <w:noProof/>
                <w:webHidden/>
              </w:rPr>
              <w:fldChar w:fldCharType="end"/>
            </w:r>
          </w:hyperlink>
        </w:p>
        <w:p w14:paraId="34253D19" w14:textId="77777777" w:rsidR="000F7CBC" w:rsidRDefault="000F7CBC">
          <w:pPr>
            <w:pStyle w:val="TOC3"/>
            <w:tabs>
              <w:tab w:val="right" w:leader="dot" w:pos="10245"/>
            </w:tabs>
            <w:rPr>
              <w:rFonts w:asciiTheme="minorHAnsi" w:hAnsiTheme="minorHAnsi"/>
              <w:noProof/>
              <w:sz w:val="22"/>
            </w:rPr>
          </w:pPr>
          <w:hyperlink w:anchor="_Toc40436527" w:history="1">
            <w:r w:rsidRPr="00F5686A">
              <w:rPr>
                <w:rStyle w:val="Hyperlink"/>
                <w:noProof/>
              </w:rPr>
              <w:t>6.3.7     Filial Responsibility</w:t>
            </w:r>
            <w:r>
              <w:rPr>
                <w:noProof/>
                <w:webHidden/>
              </w:rPr>
              <w:tab/>
            </w:r>
            <w:r>
              <w:rPr>
                <w:noProof/>
                <w:webHidden/>
              </w:rPr>
              <w:fldChar w:fldCharType="begin"/>
            </w:r>
            <w:r>
              <w:rPr>
                <w:noProof/>
                <w:webHidden/>
              </w:rPr>
              <w:instrText xml:space="preserve"> PAGEREF _Toc40436527 \h </w:instrText>
            </w:r>
            <w:r>
              <w:rPr>
                <w:noProof/>
                <w:webHidden/>
              </w:rPr>
            </w:r>
            <w:r>
              <w:rPr>
                <w:noProof/>
                <w:webHidden/>
              </w:rPr>
              <w:fldChar w:fldCharType="separate"/>
            </w:r>
            <w:r w:rsidR="00D7239F">
              <w:rPr>
                <w:noProof/>
                <w:webHidden/>
              </w:rPr>
              <w:t>189</w:t>
            </w:r>
            <w:r>
              <w:rPr>
                <w:noProof/>
                <w:webHidden/>
              </w:rPr>
              <w:fldChar w:fldCharType="end"/>
            </w:r>
          </w:hyperlink>
        </w:p>
        <w:p w14:paraId="13A5C419" w14:textId="77777777" w:rsidR="000F7CBC" w:rsidRDefault="000F7CBC">
          <w:pPr>
            <w:pStyle w:val="TOC3"/>
            <w:tabs>
              <w:tab w:val="right" w:leader="dot" w:pos="10245"/>
            </w:tabs>
            <w:rPr>
              <w:rFonts w:asciiTheme="minorHAnsi" w:hAnsiTheme="minorHAnsi"/>
              <w:noProof/>
              <w:sz w:val="22"/>
            </w:rPr>
          </w:pPr>
          <w:hyperlink w:anchor="_Toc40436528" w:history="1">
            <w:r w:rsidRPr="00F5686A">
              <w:rPr>
                <w:rStyle w:val="Hyperlink"/>
                <w:noProof/>
              </w:rPr>
              <w:t>6.3.8     Education, Training and Occupational Status</w:t>
            </w:r>
            <w:r>
              <w:rPr>
                <w:noProof/>
                <w:webHidden/>
              </w:rPr>
              <w:tab/>
            </w:r>
            <w:r>
              <w:rPr>
                <w:noProof/>
                <w:webHidden/>
              </w:rPr>
              <w:fldChar w:fldCharType="begin"/>
            </w:r>
            <w:r>
              <w:rPr>
                <w:noProof/>
                <w:webHidden/>
              </w:rPr>
              <w:instrText xml:space="preserve"> PAGEREF _Toc40436528 \h </w:instrText>
            </w:r>
            <w:r>
              <w:rPr>
                <w:noProof/>
                <w:webHidden/>
              </w:rPr>
            </w:r>
            <w:r>
              <w:rPr>
                <w:noProof/>
                <w:webHidden/>
              </w:rPr>
              <w:fldChar w:fldCharType="separate"/>
            </w:r>
            <w:r w:rsidR="00D7239F">
              <w:rPr>
                <w:noProof/>
                <w:webHidden/>
              </w:rPr>
              <w:t>190</w:t>
            </w:r>
            <w:r>
              <w:rPr>
                <w:noProof/>
                <w:webHidden/>
              </w:rPr>
              <w:fldChar w:fldCharType="end"/>
            </w:r>
          </w:hyperlink>
        </w:p>
        <w:p w14:paraId="5960A8A8" w14:textId="77777777" w:rsidR="000F7CBC" w:rsidRDefault="000F7CBC">
          <w:pPr>
            <w:pStyle w:val="TOC3"/>
            <w:tabs>
              <w:tab w:val="right" w:leader="dot" w:pos="10245"/>
            </w:tabs>
            <w:rPr>
              <w:rFonts w:asciiTheme="minorHAnsi" w:hAnsiTheme="minorHAnsi"/>
              <w:noProof/>
              <w:sz w:val="22"/>
            </w:rPr>
          </w:pPr>
          <w:hyperlink w:anchor="_Toc40436529" w:history="1">
            <w:r w:rsidRPr="00F5686A">
              <w:rPr>
                <w:rStyle w:val="Hyperlink"/>
                <w:noProof/>
              </w:rPr>
              <w:t>6.3.9     Economic and Material Factors</w:t>
            </w:r>
            <w:r>
              <w:rPr>
                <w:noProof/>
                <w:webHidden/>
              </w:rPr>
              <w:tab/>
            </w:r>
            <w:r>
              <w:rPr>
                <w:noProof/>
                <w:webHidden/>
              </w:rPr>
              <w:fldChar w:fldCharType="begin"/>
            </w:r>
            <w:r>
              <w:rPr>
                <w:noProof/>
                <w:webHidden/>
              </w:rPr>
              <w:instrText xml:space="preserve"> PAGEREF _Toc40436529 \h </w:instrText>
            </w:r>
            <w:r>
              <w:rPr>
                <w:noProof/>
                <w:webHidden/>
              </w:rPr>
            </w:r>
            <w:r>
              <w:rPr>
                <w:noProof/>
                <w:webHidden/>
              </w:rPr>
              <w:fldChar w:fldCharType="separate"/>
            </w:r>
            <w:r w:rsidR="00D7239F">
              <w:rPr>
                <w:noProof/>
                <w:webHidden/>
              </w:rPr>
              <w:t>191</w:t>
            </w:r>
            <w:r>
              <w:rPr>
                <w:noProof/>
                <w:webHidden/>
              </w:rPr>
              <w:fldChar w:fldCharType="end"/>
            </w:r>
          </w:hyperlink>
        </w:p>
        <w:p w14:paraId="6C3309FF" w14:textId="77777777" w:rsidR="000F7CBC" w:rsidRDefault="000F7CBC">
          <w:pPr>
            <w:pStyle w:val="TOC2"/>
            <w:tabs>
              <w:tab w:val="right" w:leader="dot" w:pos="10245"/>
            </w:tabs>
            <w:rPr>
              <w:rFonts w:asciiTheme="minorHAnsi" w:hAnsiTheme="minorHAnsi"/>
              <w:noProof/>
              <w:sz w:val="22"/>
            </w:rPr>
          </w:pPr>
          <w:hyperlink w:anchor="_Toc40436530" w:history="1">
            <w:r w:rsidRPr="00F5686A">
              <w:rPr>
                <w:rStyle w:val="Hyperlink"/>
                <w:noProof/>
              </w:rPr>
              <w:t>6.4. REQUITED CARE</w:t>
            </w:r>
            <w:r>
              <w:rPr>
                <w:noProof/>
                <w:webHidden/>
              </w:rPr>
              <w:tab/>
            </w:r>
            <w:r>
              <w:rPr>
                <w:noProof/>
                <w:webHidden/>
              </w:rPr>
              <w:fldChar w:fldCharType="begin"/>
            </w:r>
            <w:r>
              <w:rPr>
                <w:noProof/>
                <w:webHidden/>
              </w:rPr>
              <w:instrText xml:space="preserve"> PAGEREF _Toc40436530 \h </w:instrText>
            </w:r>
            <w:r>
              <w:rPr>
                <w:noProof/>
                <w:webHidden/>
              </w:rPr>
            </w:r>
            <w:r>
              <w:rPr>
                <w:noProof/>
                <w:webHidden/>
              </w:rPr>
              <w:fldChar w:fldCharType="separate"/>
            </w:r>
            <w:r w:rsidR="00D7239F">
              <w:rPr>
                <w:noProof/>
                <w:webHidden/>
              </w:rPr>
              <w:t>197</w:t>
            </w:r>
            <w:r>
              <w:rPr>
                <w:noProof/>
                <w:webHidden/>
              </w:rPr>
              <w:fldChar w:fldCharType="end"/>
            </w:r>
          </w:hyperlink>
        </w:p>
        <w:p w14:paraId="7D137B16" w14:textId="77777777" w:rsidR="000F7CBC" w:rsidRDefault="000F7CBC">
          <w:pPr>
            <w:pStyle w:val="TOC2"/>
            <w:tabs>
              <w:tab w:val="right" w:leader="dot" w:pos="10245"/>
            </w:tabs>
            <w:rPr>
              <w:rFonts w:asciiTheme="minorHAnsi" w:hAnsiTheme="minorHAnsi"/>
              <w:noProof/>
              <w:sz w:val="22"/>
            </w:rPr>
          </w:pPr>
          <w:hyperlink w:anchor="_Toc40436531" w:history="1">
            <w:r w:rsidRPr="00F5686A">
              <w:rPr>
                <w:rStyle w:val="Hyperlink"/>
                <w:noProof/>
              </w:rPr>
              <w:t>6.5 INSPIRED CARE</w:t>
            </w:r>
            <w:r>
              <w:rPr>
                <w:noProof/>
                <w:webHidden/>
              </w:rPr>
              <w:tab/>
            </w:r>
            <w:r>
              <w:rPr>
                <w:noProof/>
                <w:webHidden/>
              </w:rPr>
              <w:fldChar w:fldCharType="begin"/>
            </w:r>
            <w:r>
              <w:rPr>
                <w:noProof/>
                <w:webHidden/>
              </w:rPr>
              <w:instrText xml:space="preserve"> PAGEREF _Toc40436531 \h </w:instrText>
            </w:r>
            <w:r>
              <w:rPr>
                <w:noProof/>
                <w:webHidden/>
              </w:rPr>
            </w:r>
            <w:r>
              <w:rPr>
                <w:noProof/>
                <w:webHidden/>
              </w:rPr>
              <w:fldChar w:fldCharType="separate"/>
            </w:r>
            <w:r w:rsidR="00D7239F">
              <w:rPr>
                <w:noProof/>
                <w:webHidden/>
              </w:rPr>
              <w:t>198</w:t>
            </w:r>
            <w:r>
              <w:rPr>
                <w:noProof/>
                <w:webHidden/>
              </w:rPr>
              <w:fldChar w:fldCharType="end"/>
            </w:r>
          </w:hyperlink>
        </w:p>
        <w:p w14:paraId="6F65FA25" w14:textId="77777777" w:rsidR="000F7CBC" w:rsidRDefault="000F7CBC">
          <w:pPr>
            <w:pStyle w:val="TOC3"/>
            <w:tabs>
              <w:tab w:val="right" w:leader="dot" w:pos="10245"/>
            </w:tabs>
            <w:rPr>
              <w:rFonts w:asciiTheme="minorHAnsi" w:hAnsiTheme="minorHAnsi"/>
              <w:noProof/>
              <w:sz w:val="22"/>
            </w:rPr>
          </w:pPr>
          <w:hyperlink w:anchor="_Toc40436532" w:history="1">
            <w:r w:rsidRPr="00F5686A">
              <w:rPr>
                <w:rStyle w:val="Hyperlink"/>
                <w:noProof/>
              </w:rPr>
              <w:t>6.5.1     Divine or Supernatural Influences</w:t>
            </w:r>
            <w:r>
              <w:rPr>
                <w:noProof/>
                <w:webHidden/>
              </w:rPr>
              <w:tab/>
            </w:r>
            <w:r>
              <w:rPr>
                <w:noProof/>
                <w:webHidden/>
              </w:rPr>
              <w:fldChar w:fldCharType="begin"/>
            </w:r>
            <w:r>
              <w:rPr>
                <w:noProof/>
                <w:webHidden/>
              </w:rPr>
              <w:instrText xml:space="preserve"> PAGEREF _Toc40436532 \h </w:instrText>
            </w:r>
            <w:r>
              <w:rPr>
                <w:noProof/>
                <w:webHidden/>
              </w:rPr>
            </w:r>
            <w:r>
              <w:rPr>
                <w:noProof/>
                <w:webHidden/>
              </w:rPr>
              <w:fldChar w:fldCharType="separate"/>
            </w:r>
            <w:r w:rsidR="00D7239F">
              <w:rPr>
                <w:noProof/>
                <w:webHidden/>
              </w:rPr>
              <w:t>198</w:t>
            </w:r>
            <w:r>
              <w:rPr>
                <w:noProof/>
                <w:webHidden/>
              </w:rPr>
              <w:fldChar w:fldCharType="end"/>
            </w:r>
          </w:hyperlink>
        </w:p>
        <w:p w14:paraId="363A40B9" w14:textId="77777777" w:rsidR="000F7CBC" w:rsidRDefault="000F7CBC">
          <w:pPr>
            <w:pStyle w:val="TOC3"/>
            <w:tabs>
              <w:tab w:val="right" w:leader="dot" w:pos="10245"/>
            </w:tabs>
            <w:rPr>
              <w:rFonts w:asciiTheme="minorHAnsi" w:hAnsiTheme="minorHAnsi"/>
              <w:noProof/>
              <w:sz w:val="22"/>
            </w:rPr>
          </w:pPr>
          <w:hyperlink w:anchor="_Toc40436533" w:history="1">
            <w:r w:rsidRPr="00F5686A">
              <w:rPr>
                <w:rStyle w:val="Hyperlink"/>
                <w:noProof/>
              </w:rPr>
              <w:t>6.5.2     Socialisation</w:t>
            </w:r>
            <w:r>
              <w:rPr>
                <w:noProof/>
                <w:webHidden/>
              </w:rPr>
              <w:tab/>
            </w:r>
            <w:r>
              <w:rPr>
                <w:noProof/>
                <w:webHidden/>
              </w:rPr>
              <w:fldChar w:fldCharType="begin"/>
            </w:r>
            <w:r>
              <w:rPr>
                <w:noProof/>
                <w:webHidden/>
              </w:rPr>
              <w:instrText xml:space="preserve"> PAGEREF _Toc40436533 \h </w:instrText>
            </w:r>
            <w:r>
              <w:rPr>
                <w:noProof/>
                <w:webHidden/>
              </w:rPr>
            </w:r>
            <w:r>
              <w:rPr>
                <w:noProof/>
                <w:webHidden/>
              </w:rPr>
              <w:fldChar w:fldCharType="separate"/>
            </w:r>
            <w:r w:rsidR="00D7239F">
              <w:rPr>
                <w:noProof/>
                <w:webHidden/>
              </w:rPr>
              <w:t>199</w:t>
            </w:r>
            <w:r>
              <w:rPr>
                <w:noProof/>
                <w:webHidden/>
              </w:rPr>
              <w:fldChar w:fldCharType="end"/>
            </w:r>
          </w:hyperlink>
        </w:p>
        <w:p w14:paraId="73D1C69B" w14:textId="77777777" w:rsidR="000F7CBC" w:rsidRDefault="000F7CBC">
          <w:pPr>
            <w:pStyle w:val="TOC3"/>
            <w:tabs>
              <w:tab w:val="right" w:leader="dot" w:pos="10245"/>
            </w:tabs>
            <w:rPr>
              <w:rFonts w:asciiTheme="minorHAnsi" w:hAnsiTheme="minorHAnsi"/>
              <w:noProof/>
              <w:sz w:val="22"/>
            </w:rPr>
          </w:pPr>
          <w:hyperlink w:anchor="_Toc40436534" w:history="1">
            <w:r w:rsidRPr="00F5686A">
              <w:rPr>
                <w:rStyle w:val="Hyperlink"/>
                <w:noProof/>
              </w:rPr>
              <w:t>6.5.3     Civic Mindedness</w:t>
            </w:r>
            <w:r>
              <w:rPr>
                <w:noProof/>
                <w:webHidden/>
              </w:rPr>
              <w:tab/>
            </w:r>
            <w:r>
              <w:rPr>
                <w:noProof/>
                <w:webHidden/>
              </w:rPr>
              <w:fldChar w:fldCharType="begin"/>
            </w:r>
            <w:r>
              <w:rPr>
                <w:noProof/>
                <w:webHidden/>
              </w:rPr>
              <w:instrText xml:space="preserve"> PAGEREF _Toc40436534 \h </w:instrText>
            </w:r>
            <w:r>
              <w:rPr>
                <w:noProof/>
                <w:webHidden/>
              </w:rPr>
            </w:r>
            <w:r>
              <w:rPr>
                <w:noProof/>
                <w:webHidden/>
              </w:rPr>
              <w:fldChar w:fldCharType="separate"/>
            </w:r>
            <w:r w:rsidR="00D7239F">
              <w:rPr>
                <w:noProof/>
                <w:webHidden/>
              </w:rPr>
              <w:t>199</w:t>
            </w:r>
            <w:r>
              <w:rPr>
                <w:noProof/>
                <w:webHidden/>
              </w:rPr>
              <w:fldChar w:fldCharType="end"/>
            </w:r>
          </w:hyperlink>
        </w:p>
        <w:p w14:paraId="51BD1A80" w14:textId="77777777" w:rsidR="000F7CBC" w:rsidRDefault="000F7CBC">
          <w:pPr>
            <w:pStyle w:val="TOC3"/>
            <w:tabs>
              <w:tab w:val="right" w:leader="dot" w:pos="10245"/>
            </w:tabs>
            <w:rPr>
              <w:rFonts w:asciiTheme="minorHAnsi" w:hAnsiTheme="minorHAnsi"/>
              <w:noProof/>
              <w:sz w:val="22"/>
            </w:rPr>
          </w:pPr>
          <w:hyperlink w:anchor="_Toc40436535" w:history="1">
            <w:r w:rsidRPr="00F5686A">
              <w:rPr>
                <w:rStyle w:val="Hyperlink"/>
                <w:noProof/>
              </w:rPr>
              <w:t>6.5.4     Relationship Quality and Love</w:t>
            </w:r>
            <w:r>
              <w:rPr>
                <w:noProof/>
                <w:webHidden/>
              </w:rPr>
              <w:tab/>
            </w:r>
            <w:r>
              <w:rPr>
                <w:noProof/>
                <w:webHidden/>
              </w:rPr>
              <w:fldChar w:fldCharType="begin"/>
            </w:r>
            <w:r>
              <w:rPr>
                <w:noProof/>
                <w:webHidden/>
              </w:rPr>
              <w:instrText xml:space="preserve"> PAGEREF _Toc40436535 \h </w:instrText>
            </w:r>
            <w:r>
              <w:rPr>
                <w:noProof/>
                <w:webHidden/>
              </w:rPr>
            </w:r>
            <w:r>
              <w:rPr>
                <w:noProof/>
                <w:webHidden/>
              </w:rPr>
              <w:fldChar w:fldCharType="separate"/>
            </w:r>
            <w:r w:rsidR="00D7239F">
              <w:rPr>
                <w:noProof/>
                <w:webHidden/>
              </w:rPr>
              <w:t>200</w:t>
            </w:r>
            <w:r>
              <w:rPr>
                <w:noProof/>
                <w:webHidden/>
              </w:rPr>
              <w:fldChar w:fldCharType="end"/>
            </w:r>
          </w:hyperlink>
        </w:p>
        <w:p w14:paraId="5EAE7372" w14:textId="77777777" w:rsidR="000F7CBC" w:rsidRDefault="000F7CBC">
          <w:pPr>
            <w:pStyle w:val="TOC2"/>
            <w:tabs>
              <w:tab w:val="right" w:leader="dot" w:pos="10245"/>
            </w:tabs>
            <w:rPr>
              <w:rFonts w:asciiTheme="minorHAnsi" w:hAnsiTheme="minorHAnsi"/>
              <w:noProof/>
              <w:sz w:val="22"/>
            </w:rPr>
          </w:pPr>
          <w:hyperlink w:anchor="_Toc40436536" w:history="1">
            <w:r w:rsidRPr="00F5686A">
              <w:rPr>
                <w:rStyle w:val="Hyperlink"/>
                <w:noProof/>
              </w:rPr>
              <w:t>6.6 CONCLUSION</w:t>
            </w:r>
            <w:r>
              <w:rPr>
                <w:noProof/>
                <w:webHidden/>
              </w:rPr>
              <w:tab/>
            </w:r>
            <w:r>
              <w:rPr>
                <w:noProof/>
                <w:webHidden/>
              </w:rPr>
              <w:fldChar w:fldCharType="begin"/>
            </w:r>
            <w:r>
              <w:rPr>
                <w:noProof/>
                <w:webHidden/>
              </w:rPr>
              <w:instrText xml:space="preserve"> PAGEREF _Toc40436536 \h </w:instrText>
            </w:r>
            <w:r>
              <w:rPr>
                <w:noProof/>
                <w:webHidden/>
              </w:rPr>
            </w:r>
            <w:r>
              <w:rPr>
                <w:noProof/>
                <w:webHidden/>
              </w:rPr>
              <w:fldChar w:fldCharType="separate"/>
            </w:r>
            <w:r w:rsidR="00D7239F">
              <w:rPr>
                <w:noProof/>
                <w:webHidden/>
              </w:rPr>
              <w:t>201</w:t>
            </w:r>
            <w:r>
              <w:rPr>
                <w:noProof/>
                <w:webHidden/>
              </w:rPr>
              <w:fldChar w:fldCharType="end"/>
            </w:r>
          </w:hyperlink>
        </w:p>
        <w:p w14:paraId="658FB92C" w14:textId="77777777" w:rsidR="000F7CBC" w:rsidRDefault="000F7CBC">
          <w:pPr>
            <w:pStyle w:val="TOC1"/>
            <w:rPr>
              <w:rFonts w:asciiTheme="minorHAnsi" w:hAnsiTheme="minorHAnsi"/>
              <w:noProof/>
              <w:sz w:val="22"/>
            </w:rPr>
          </w:pPr>
          <w:hyperlink w:anchor="_Toc40436537" w:history="1">
            <w:r w:rsidRPr="00F5686A">
              <w:rPr>
                <w:rStyle w:val="Hyperlink"/>
                <w:noProof/>
              </w:rPr>
              <w:t>CHAPTER 7 – QUALITATIVE RESULTS</w:t>
            </w:r>
            <w:r>
              <w:rPr>
                <w:noProof/>
                <w:webHidden/>
              </w:rPr>
              <w:tab/>
            </w:r>
            <w:r>
              <w:rPr>
                <w:noProof/>
                <w:webHidden/>
              </w:rPr>
              <w:fldChar w:fldCharType="begin"/>
            </w:r>
            <w:r>
              <w:rPr>
                <w:noProof/>
                <w:webHidden/>
              </w:rPr>
              <w:instrText xml:space="preserve"> PAGEREF _Toc40436537 \h </w:instrText>
            </w:r>
            <w:r>
              <w:rPr>
                <w:noProof/>
                <w:webHidden/>
              </w:rPr>
            </w:r>
            <w:r>
              <w:rPr>
                <w:noProof/>
                <w:webHidden/>
              </w:rPr>
              <w:fldChar w:fldCharType="separate"/>
            </w:r>
            <w:r w:rsidR="00D7239F">
              <w:rPr>
                <w:noProof/>
                <w:webHidden/>
              </w:rPr>
              <w:t>205</w:t>
            </w:r>
            <w:r>
              <w:rPr>
                <w:noProof/>
                <w:webHidden/>
              </w:rPr>
              <w:fldChar w:fldCharType="end"/>
            </w:r>
          </w:hyperlink>
        </w:p>
        <w:p w14:paraId="55BFC83E" w14:textId="77777777" w:rsidR="000F7CBC" w:rsidRDefault="000F7CBC">
          <w:pPr>
            <w:pStyle w:val="TOC1"/>
            <w:rPr>
              <w:rFonts w:asciiTheme="minorHAnsi" w:hAnsiTheme="minorHAnsi"/>
              <w:noProof/>
              <w:sz w:val="22"/>
            </w:rPr>
          </w:pPr>
          <w:hyperlink w:anchor="_Toc40436538" w:history="1">
            <w:r w:rsidRPr="00F5686A">
              <w:rPr>
                <w:rStyle w:val="Hyperlink"/>
                <w:noProof/>
              </w:rPr>
              <w:t>EXPERIENCES OF CARE</w:t>
            </w:r>
            <w:r>
              <w:rPr>
                <w:noProof/>
                <w:webHidden/>
              </w:rPr>
              <w:tab/>
            </w:r>
            <w:r>
              <w:rPr>
                <w:noProof/>
                <w:webHidden/>
              </w:rPr>
              <w:fldChar w:fldCharType="begin"/>
            </w:r>
            <w:r>
              <w:rPr>
                <w:noProof/>
                <w:webHidden/>
              </w:rPr>
              <w:instrText xml:space="preserve"> PAGEREF _Toc40436538 \h </w:instrText>
            </w:r>
            <w:r>
              <w:rPr>
                <w:noProof/>
                <w:webHidden/>
              </w:rPr>
            </w:r>
            <w:r>
              <w:rPr>
                <w:noProof/>
                <w:webHidden/>
              </w:rPr>
              <w:fldChar w:fldCharType="separate"/>
            </w:r>
            <w:r w:rsidR="00D7239F">
              <w:rPr>
                <w:noProof/>
                <w:webHidden/>
              </w:rPr>
              <w:t>205</w:t>
            </w:r>
            <w:r>
              <w:rPr>
                <w:noProof/>
                <w:webHidden/>
              </w:rPr>
              <w:fldChar w:fldCharType="end"/>
            </w:r>
          </w:hyperlink>
        </w:p>
        <w:p w14:paraId="3971C4A5" w14:textId="77777777" w:rsidR="000F7CBC" w:rsidRDefault="000F7CBC">
          <w:pPr>
            <w:pStyle w:val="TOC2"/>
            <w:tabs>
              <w:tab w:val="right" w:leader="dot" w:pos="10245"/>
            </w:tabs>
            <w:rPr>
              <w:rFonts w:asciiTheme="minorHAnsi" w:hAnsiTheme="minorHAnsi"/>
              <w:noProof/>
              <w:sz w:val="22"/>
            </w:rPr>
          </w:pPr>
          <w:hyperlink w:anchor="_Toc40436539" w:history="1">
            <w:r w:rsidRPr="00F5686A">
              <w:rPr>
                <w:rStyle w:val="Hyperlink"/>
                <w:noProof/>
              </w:rPr>
              <w:t>7.1 INTRODUCTION</w:t>
            </w:r>
            <w:r>
              <w:rPr>
                <w:noProof/>
                <w:webHidden/>
              </w:rPr>
              <w:tab/>
            </w:r>
            <w:r>
              <w:rPr>
                <w:noProof/>
                <w:webHidden/>
              </w:rPr>
              <w:fldChar w:fldCharType="begin"/>
            </w:r>
            <w:r>
              <w:rPr>
                <w:noProof/>
                <w:webHidden/>
              </w:rPr>
              <w:instrText xml:space="preserve"> PAGEREF _Toc40436539 \h </w:instrText>
            </w:r>
            <w:r>
              <w:rPr>
                <w:noProof/>
                <w:webHidden/>
              </w:rPr>
            </w:r>
            <w:r>
              <w:rPr>
                <w:noProof/>
                <w:webHidden/>
              </w:rPr>
              <w:fldChar w:fldCharType="separate"/>
            </w:r>
            <w:r w:rsidR="00D7239F">
              <w:rPr>
                <w:noProof/>
                <w:webHidden/>
              </w:rPr>
              <w:t>205</w:t>
            </w:r>
            <w:r>
              <w:rPr>
                <w:noProof/>
                <w:webHidden/>
              </w:rPr>
              <w:fldChar w:fldCharType="end"/>
            </w:r>
          </w:hyperlink>
        </w:p>
        <w:p w14:paraId="5C91CAC7" w14:textId="77777777" w:rsidR="000F7CBC" w:rsidRDefault="000F7CBC">
          <w:pPr>
            <w:pStyle w:val="TOC2"/>
            <w:tabs>
              <w:tab w:val="right" w:leader="dot" w:pos="10245"/>
            </w:tabs>
            <w:rPr>
              <w:rFonts w:asciiTheme="minorHAnsi" w:hAnsiTheme="minorHAnsi"/>
              <w:noProof/>
              <w:sz w:val="22"/>
            </w:rPr>
          </w:pPr>
          <w:hyperlink w:anchor="_Toc40436540" w:history="1">
            <w:r w:rsidRPr="00F5686A">
              <w:rPr>
                <w:rStyle w:val="Hyperlink"/>
                <w:noProof/>
              </w:rPr>
              <w:t>7.2 CAREGIVER EXPERIENCES</w:t>
            </w:r>
            <w:r>
              <w:rPr>
                <w:noProof/>
                <w:webHidden/>
              </w:rPr>
              <w:tab/>
            </w:r>
            <w:r>
              <w:rPr>
                <w:noProof/>
                <w:webHidden/>
              </w:rPr>
              <w:fldChar w:fldCharType="begin"/>
            </w:r>
            <w:r>
              <w:rPr>
                <w:noProof/>
                <w:webHidden/>
              </w:rPr>
              <w:instrText xml:space="preserve"> PAGEREF _Toc40436540 \h </w:instrText>
            </w:r>
            <w:r>
              <w:rPr>
                <w:noProof/>
                <w:webHidden/>
              </w:rPr>
            </w:r>
            <w:r>
              <w:rPr>
                <w:noProof/>
                <w:webHidden/>
              </w:rPr>
              <w:fldChar w:fldCharType="separate"/>
            </w:r>
            <w:r w:rsidR="00D7239F">
              <w:rPr>
                <w:noProof/>
                <w:webHidden/>
              </w:rPr>
              <w:t>205</w:t>
            </w:r>
            <w:r>
              <w:rPr>
                <w:noProof/>
                <w:webHidden/>
              </w:rPr>
              <w:fldChar w:fldCharType="end"/>
            </w:r>
          </w:hyperlink>
        </w:p>
        <w:p w14:paraId="601D1027" w14:textId="77777777" w:rsidR="000F7CBC" w:rsidRDefault="000F7CBC">
          <w:pPr>
            <w:pStyle w:val="TOC3"/>
            <w:tabs>
              <w:tab w:val="right" w:leader="dot" w:pos="10245"/>
            </w:tabs>
            <w:rPr>
              <w:rFonts w:asciiTheme="minorHAnsi" w:hAnsiTheme="minorHAnsi"/>
              <w:noProof/>
              <w:sz w:val="22"/>
            </w:rPr>
          </w:pPr>
          <w:hyperlink w:anchor="_Toc40436541" w:history="1">
            <w:r w:rsidRPr="00F5686A">
              <w:rPr>
                <w:rStyle w:val="Hyperlink"/>
                <w:noProof/>
              </w:rPr>
              <w:t>7.2.1     Benefits of Caregiving</w:t>
            </w:r>
            <w:r>
              <w:rPr>
                <w:noProof/>
                <w:webHidden/>
              </w:rPr>
              <w:tab/>
            </w:r>
            <w:r>
              <w:rPr>
                <w:noProof/>
                <w:webHidden/>
              </w:rPr>
              <w:fldChar w:fldCharType="begin"/>
            </w:r>
            <w:r>
              <w:rPr>
                <w:noProof/>
                <w:webHidden/>
              </w:rPr>
              <w:instrText xml:space="preserve"> PAGEREF _Toc40436541 \h </w:instrText>
            </w:r>
            <w:r>
              <w:rPr>
                <w:noProof/>
                <w:webHidden/>
              </w:rPr>
            </w:r>
            <w:r>
              <w:rPr>
                <w:noProof/>
                <w:webHidden/>
              </w:rPr>
              <w:fldChar w:fldCharType="separate"/>
            </w:r>
            <w:r w:rsidR="00D7239F">
              <w:rPr>
                <w:noProof/>
                <w:webHidden/>
              </w:rPr>
              <w:t>206</w:t>
            </w:r>
            <w:r>
              <w:rPr>
                <w:noProof/>
                <w:webHidden/>
              </w:rPr>
              <w:fldChar w:fldCharType="end"/>
            </w:r>
          </w:hyperlink>
        </w:p>
        <w:p w14:paraId="56019C88" w14:textId="77777777" w:rsidR="000F7CBC" w:rsidRDefault="000F7CBC">
          <w:pPr>
            <w:pStyle w:val="TOC3"/>
            <w:tabs>
              <w:tab w:val="right" w:leader="dot" w:pos="10245"/>
            </w:tabs>
            <w:rPr>
              <w:rFonts w:asciiTheme="minorHAnsi" w:hAnsiTheme="minorHAnsi"/>
              <w:noProof/>
              <w:sz w:val="22"/>
            </w:rPr>
          </w:pPr>
          <w:hyperlink w:anchor="_Toc40436542" w:history="1">
            <w:r w:rsidRPr="00F5686A">
              <w:rPr>
                <w:rStyle w:val="Hyperlink"/>
                <w:noProof/>
              </w:rPr>
              <w:t>7.2.2     Challenges of Caregiving</w:t>
            </w:r>
            <w:r>
              <w:rPr>
                <w:noProof/>
                <w:webHidden/>
              </w:rPr>
              <w:tab/>
            </w:r>
            <w:r>
              <w:rPr>
                <w:noProof/>
                <w:webHidden/>
              </w:rPr>
              <w:fldChar w:fldCharType="begin"/>
            </w:r>
            <w:r>
              <w:rPr>
                <w:noProof/>
                <w:webHidden/>
              </w:rPr>
              <w:instrText xml:space="preserve"> PAGEREF _Toc40436542 \h </w:instrText>
            </w:r>
            <w:r>
              <w:rPr>
                <w:noProof/>
                <w:webHidden/>
              </w:rPr>
            </w:r>
            <w:r>
              <w:rPr>
                <w:noProof/>
                <w:webHidden/>
              </w:rPr>
              <w:fldChar w:fldCharType="separate"/>
            </w:r>
            <w:r w:rsidR="00D7239F">
              <w:rPr>
                <w:noProof/>
                <w:webHidden/>
              </w:rPr>
              <w:t>214</w:t>
            </w:r>
            <w:r>
              <w:rPr>
                <w:noProof/>
                <w:webHidden/>
              </w:rPr>
              <w:fldChar w:fldCharType="end"/>
            </w:r>
          </w:hyperlink>
        </w:p>
        <w:p w14:paraId="16DEEA9F" w14:textId="77777777" w:rsidR="000F7CBC" w:rsidRDefault="000F7CBC">
          <w:pPr>
            <w:pStyle w:val="TOC2"/>
            <w:tabs>
              <w:tab w:val="right" w:leader="dot" w:pos="10245"/>
            </w:tabs>
            <w:rPr>
              <w:rFonts w:asciiTheme="minorHAnsi" w:hAnsiTheme="minorHAnsi"/>
              <w:noProof/>
              <w:sz w:val="22"/>
            </w:rPr>
          </w:pPr>
          <w:hyperlink w:anchor="_Toc40436543" w:history="1">
            <w:r w:rsidRPr="00F5686A">
              <w:rPr>
                <w:rStyle w:val="Hyperlink"/>
                <w:noProof/>
              </w:rPr>
              <w:t>7.3 CARE RECIPIENT EXPERIENCES</w:t>
            </w:r>
            <w:r>
              <w:rPr>
                <w:noProof/>
                <w:webHidden/>
              </w:rPr>
              <w:tab/>
            </w:r>
            <w:r>
              <w:rPr>
                <w:noProof/>
                <w:webHidden/>
              </w:rPr>
              <w:fldChar w:fldCharType="begin"/>
            </w:r>
            <w:r>
              <w:rPr>
                <w:noProof/>
                <w:webHidden/>
              </w:rPr>
              <w:instrText xml:space="preserve"> PAGEREF _Toc40436543 \h </w:instrText>
            </w:r>
            <w:r>
              <w:rPr>
                <w:noProof/>
                <w:webHidden/>
              </w:rPr>
            </w:r>
            <w:r>
              <w:rPr>
                <w:noProof/>
                <w:webHidden/>
              </w:rPr>
              <w:fldChar w:fldCharType="separate"/>
            </w:r>
            <w:r w:rsidR="00D7239F">
              <w:rPr>
                <w:noProof/>
                <w:webHidden/>
              </w:rPr>
              <w:t>226</w:t>
            </w:r>
            <w:r>
              <w:rPr>
                <w:noProof/>
                <w:webHidden/>
              </w:rPr>
              <w:fldChar w:fldCharType="end"/>
            </w:r>
          </w:hyperlink>
        </w:p>
        <w:p w14:paraId="00DB87BE" w14:textId="77777777" w:rsidR="000F7CBC" w:rsidRDefault="000F7CBC">
          <w:pPr>
            <w:pStyle w:val="TOC3"/>
            <w:tabs>
              <w:tab w:val="right" w:leader="dot" w:pos="10245"/>
            </w:tabs>
            <w:rPr>
              <w:rFonts w:asciiTheme="minorHAnsi" w:hAnsiTheme="minorHAnsi"/>
              <w:noProof/>
              <w:sz w:val="22"/>
            </w:rPr>
          </w:pPr>
          <w:hyperlink w:anchor="_Toc40436544" w:history="1">
            <w:r w:rsidRPr="00F5686A">
              <w:rPr>
                <w:rStyle w:val="Hyperlink"/>
                <w:noProof/>
              </w:rPr>
              <w:t>7.3.1     Caregiver Compatibility</w:t>
            </w:r>
            <w:r>
              <w:rPr>
                <w:noProof/>
                <w:webHidden/>
              </w:rPr>
              <w:tab/>
            </w:r>
            <w:r>
              <w:rPr>
                <w:noProof/>
                <w:webHidden/>
              </w:rPr>
              <w:fldChar w:fldCharType="begin"/>
            </w:r>
            <w:r>
              <w:rPr>
                <w:noProof/>
                <w:webHidden/>
              </w:rPr>
              <w:instrText xml:space="preserve"> PAGEREF _Toc40436544 \h </w:instrText>
            </w:r>
            <w:r>
              <w:rPr>
                <w:noProof/>
                <w:webHidden/>
              </w:rPr>
            </w:r>
            <w:r>
              <w:rPr>
                <w:noProof/>
                <w:webHidden/>
              </w:rPr>
              <w:fldChar w:fldCharType="separate"/>
            </w:r>
            <w:r w:rsidR="00D7239F">
              <w:rPr>
                <w:noProof/>
                <w:webHidden/>
              </w:rPr>
              <w:t>227</w:t>
            </w:r>
            <w:r>
              <w:rPr>
                <w:noProof/>
                <w:webHidden/>
              </w:rPr>
              <w:fldChar w:fldCharType="end"/>
            </w:r>
          </w:hyperlink>
        </w:p>
        <w:p w14:paraId="00F33D6C" w14:textId="77777777" w:rsidR="000F7CBC" w:rsidRDefault="000F7CBC">
          <w:pPr>
            <w:pStyle w:val="TOC3"/>
            <w:tabs>
              <w:tab w:val="right" w:leader="dot" w:pos="10245"/>
            </w:tabs>
            <w:rPr>
              <w:rFonts w:asciiTheme="minorHAnsi" w:hAnsiTheme="minorHAnsi"/>
              <w:noProof/>
              <w:sz w:val="22"/>
            </w:rPr>
          </w:pPr>
          <w:hyperlink w:anchor="_Toc40436545" w:history="1">
            <w:r w:rsidRPr="00F5686A">
              <w:rPr>
                <w:rStyle w:val="Hyperlink"/>
                <w:noProof/>
              </w:rPr>
              <w:t>7.3.2     Caregiver Willingness</w:t>
            </w:r>
            <w:r>
              <w:rPr>
                <w:noProof/>
                <w:webHidden/>
              </w:rPr>
              <w:tab/>
            </w:r>
            <w:r>
              <w:rPr>
                <w:noProof/>
                <w:webHidden/>
              </w:rPr>
              <w:fldChar w:fldCharType="begin"/>
            </w:r>
            <w:r>
              <w:rPr>
                <w:noProof/>
                <w:webHidden/>
              </w:rPr>
              <w:instrText xml:space="preserve"> PAGEREF _Toc40436545 \h </w:instrText>
            </w:r>
            <w:r>
              <w:rPr>
                <w:noProof/>
                <w:webHidden/>
              </w:rPr>
            </w:r>
            <w:r>
              <w:rPr>
                <w:noProof/>
                <w:webHidden/>
              </w:rPr>
              <w:fldChar w:fldCharType="separate"/>
            </w:r>
            <w:r w:rsidR="00D7239F">
              <w:rPr>
                <w:noProof/>
                <w:webHidden/>
              </w:rPr>
              <w:t>229</w:t>
            </w:r>
            <w:r>
              <w:rPr>
                <w:noProof/>
                <w:webHidden/>
              </w:rPr>
              <w:fldChar w:fldCharType="end"/>
            </w:r>
          </w:hyperlink>
        </w:p>
        <w:p w14:paraId="0E8810F6" w14:textId="77777777" w:rsidR="000F7CBC" w:rsidRDefault="000F7CBC">
          <w:pPr>
            <w:pStyle w:val="TOC3"/>
            <w:tabs>
              <w:tab w:val="right" w:leader="dot" w:pos="10245"/>
            </w:tabs>
            <w:rPr>
              <w:rFonts w:asciiTheme="minorHAnsi" w:hAnsiTheme="minorHAnsi"/>
              <w:noProof/>
              <w:sz w:val="22"/>
            </w:rPr>
          </w:pPr>
          <w:hyperlink w:anchor="_Toc40436546" w:history="1">
            <w:r w:rsidRPr="00F5686A">
              <w:rPr>
                <w:rStyle w:val="Hyperlink"/>
                <w:noProof/>
              </w:rPr>
              <w:t>7.3.3     Caregiver Ability</w:t>
            </w:r>
            <w:r>
              <w:rPr>
                <w:noProof/>
                <w:webHidden/>
              </w:rPr>
              <w:tab/>
            </w:r>
            <w:r>
              <w:rPr>
                <w:noProof/>
                <w:webHidden/>
              </w:rPr>
              <w:fldChar w:fldCharType="begin"/>
            </w:r>
            <w:r>
              <w:rPr>
                <w:noProof/>
                <w:webHidden/>
              </w:rPr>
              <w:instrText xml:space="preserve"> PAGEREF _Toc40436546 \h </w:instrText>
            </w:r>
            <w:r>
              <w:rPr>
                <w:noProof/>
                <w:webHidden/>
              </w:rPr>
            </w:r>
            <w:r>
              <w:rPr>
                <w:noProof/>
                <w:webHidden/>
              </w:rPr>
              <w:fldChar w:fldCharType="separate"/>
            </w:r>
            <w:r w:rsidR="00D7239F">
              <w:rPr>
                <w:noProof/>
                <w:webHidden/>
              </w:rPr>
              <w:t>230</w:t>
            </w:r>
            <w:r>
              <w:rPr>
                <w:noProof/>
                <w:webHidden/>
              </w:rPr>
              <w:fldChar w:fldCharType="end"/>
            </w:r>
          </w:hyperlink>
        </w:p>
        <w:p w14:paraId="14FF593D" w14:textId="77777777" w:rsidR="000F7CBC" w:rsidRDefault="000F7CBC">
          <w:pPr>
            <w:pStyle w:val="TOC3"/>
            <w:tabs>
              <w:tab w:val="right" w:leader="dot" w:pos="10245"/>
            </w:tabs>
            <w:rPr>
              <w:rFonts w:asciiTheme="minorHAnsi" w:hAnsiTheme="minorHAnsi"/>
              <w:noProof/>
              <w:sz w:val="22"/>
            </w:rPr>
          </w:pPr>
          <w:hyperlink w:anchor="_Toc40436547" w:history="1">
            <w:r w:rsidRPr="00F5686A">
              <w:rPr>
                <w:rStyle w:val="Hyperlink"/>
                <w:noProof/>
              </w:rPr>
              <w:t>7.3.4     Caregiver Availability</w:t>
            </w:r>
            <w:r>
              <w:rPr>
                <w:noProof/>
                <w:webHidden/>
              </w:rPr>
              <w:tab/>
            </w:r>
            <w:r>
              <w:rPr>
                <w:noProof/>
                <w:webHidden/>
              </w:rPr>
              <w:fldChar w:fldCharType="begin"/>
            </w:r>
            <w:r>
              <w:rPr>
                <w:noProof/>
                <w:webHidden/>
              </w:rPr>
              <w:instrText xml:space="preserve"> PAGEREF _Toc40436547 \h </w:instrText>
            </w:r>
            <w:r>
              <w:rPr>
                <w:noProof/>
                <w:webHidden/>
              </w:rPr>
            </w:r>
            <w:r>
              <w:rPr>
                <w:noProof/>
                <w:webHidden/>
              </w:rPr>
              <w:fldChar w:fldCharType="separate"/>
            </w:r>
            <w:r w:rsidR="00D7239F">
              <w:rPr>
                <w:noProof/>
                <w:webHidden/>
              </w:rPr>
              <w:t>230</w:t>
            </w:r>
            <w:r>
              <w:rPr>
                <w:noProof/>
                <w:webHidden/>
              </w:rPr>
              <w:fldChar w:fldCharType="end"/>
            </w:r>
          </w:hyperlink>
        </w:p>
        <w:p w14:paraId="230F3644" w14:textId="77777777" w:rsidR="000F7CBC" w:rsidRDefault="000F7CBC">
          <w:pPr>
            <w:pStyle w:val="TOC3"/>
            <w:tabs>
              <w:tab w:val="right" w:leader="dot" w:pos="10245"/>
            </w:tabs>
            <w:rPr>
              <w:rFonts w:asciiTheme="minorHAnsi" w:hAnsiTheme="minorHAnsi"/>
              <w:noProof/>
              <w:sz w:val="22"/>
            </w:rPr>
          </w:pPr>
          <w:hyperlink w:anchor="_Toc40436548" w:history="1">
            <w:r w:rsidRPr="00F5686A">
              <w:rPr>
                <w:rStyle w:val="Hyperlink"/>
                <w:noProof/>
              </w:rPr>
              <w:t>7.3.5     Caregiver Motive</w:t>
            </w:r>
            <w:r>
              <w:rPr>
                <w:noProof/>
                <w:webHidden/>
              </w:rPr>
              <w:tab/>
            </w:r>
            <w:r>
              <w:rPr>
                <w:noProof/>
                <w:webHidden/>
              </w:rPr>
              <w:fldChar w:fldCharType="begin"/>
            </w:r>
            <w:r>
              <w:rPr>
                <w:noProof/>
                <w:webHidden/>
              </w:rPr>
              <w:instrText xml:space="preserve"> PAGEREF _Toc40436548 \h </w:instrText>
            </w:r>
            <w:r>
              <w:rPr>
                <w:noProof/>
                <w:webHidden/>
              </w:rPr>
            </w:r>
            <w:r>
              <w:rPr>
                <w:noProof/>
                <w:webHidden/>
              </w:rPr>
              <w:fldChar w:fldCharType="separate"/>
            </w:r>
            <w:r w:rsidR="00D7239F">
              <w:rPr>
                <w:noProof/>
                <w:webHidden/>
              </w:rPr>
              <w:t>231</w:t>
            </w:r>
            <w:r>
              <w:rPr>
                <w:noProof/>
                <w:webHidden/>
              </w:rPr>
              <w:fldChar w:fldCharType="end"/>
            </w:r>
          </w:hyperlink>
        </w:p>
        <w:p w14:paraId="19A19A45" w14:textId="77777777" w:rsidR="000F7CBC" w:rsidRDefault="000F7CBC">
          <w:pPr>
            <w:pStyle w:val="TOC2"/>
            <w:tabs>
              <w:tab w:val="right" w:leader="dot" w:pos="10245"/>
            </w:tabs>
            <w:rPr>
              <w:rFonts w:asciiTheme="minorHAnsi" w:hAnsiTheme="minorHAnsi"/>
              <w:noProof/>
              <w:sz w:val="22"/>
            </w:rPr>
          </w:pPr>
          <w:hyperlink w:anchor="_Toc40436549" w:history="1">
            <w:r w:rsidRPr="00F5686A">
              <w:rPr>
                <w:rStyle w:val="Hyperlink"/>
                <w:noProof/>
              </w:rPr>
              <w:t>7.4 CONCLUSION</w:t>
            </w:r>
            <w:r>
              <w:rPr>
                <w:noProof/>
                <w:webHidden/>
              </w:rPr>
              <w:tab/>
            </w:r>
            <w:r>
              <w:rPr>
                <w:noProof/>
                <w:webHidden/>
              </w:rPr>
              <w:fldChar w:fldCharType="begin"/>
            </w:r>
            <w:r>
              <w:rPr>
                <w:noProof/>
                <w:webHidden/>
              </w:rPr>
              <w:instrText xml:space="preserve"> PAGEREF _Toc40436549 \h </w:instrText>
            </w:r>
            <w:r>
              <w:rPr>
                <w:noProof/>
                <w:webHidden/>
              </w:rPr>
            </w:r>
            <w:r>
              <w:rPr>
                <w:noProof/>
                <w:webHidden/>
              </w:rPr>
              <w:fldChar w:fldCharType="separate"/>
            </w:r>
            <w:r w:rsidR="00D7239F">
              <w:rPr>
                <w:noProof/>
                <w:webHidden/>
              </w:rPr>
              <w:t>231</w:t>
            </w:r>
            <w:r>
              <w:rPr>
                <w:noProof/>
                <w:webHidden/>
              </w:rPr>
              <w:fldChar w:fldCharType="end"/>
            </w:r>
          </w:hyperlink>
        </w:p>
        <w:p w14:paraId="67A816CD" w14:textId="77777777" w:rsidR="000F7CBC" w:rsidRDefault="000F7CBC">
          <w:pPr>
            <w:pStyle w:val="TOC1"/>
            <w:rPr>
              <w:rFonts w:asciiTheme="minorHAnsi" w:hAnsiTheme="minorHAnsi"/>
              <w:noProof/>
              <w:sz w:val="22"/>
            </w:rPr>
          </w:pPr>
          <w:hyperlink w:anchor="_Toc40436550" w:history="1">
            <w:r w:rsidRPr="00F5686A">
              <w:rPr>
                <w:rStyle w:val="Hyperlink"/>
                <w:noProof/>
                <w:lang w:val="en-TT"/>
              </w:rPr>
              <w:t>CHAPTER 8 – QUALITATIVE RESULTS</w:t>
            </w:r>
            <w:r>
              <w:rPr>
                <w:noProof/>
                <w:webHidden/>
              </w:rPr>
              <w:tab/>
            </w:r>
            <w:r>
              <w:rPr>
                <w:noProof/>
                <w:webHidden/>
              </w:rPr>
              <w:fldChar w:fldCharType="begin"/>
            </w:r>
            <w:r>
              <w:rPr>
                <w:noProof/>
                <w:webHidden/>
              </w:rPr>
              <w:instrText xml:space="preserve"> PAGEREF _Toc40436550 \h </w:instrText>
            </w:r>
            <w:r>
              <w:rPr>
                <w:noProof/>
                <w:webHidden/>
              </w:rPr>
            </w:r>
            <w:r>
              <w:rPr>
                <w:noProof/>
                <w:webHidden/>
              </w:rPr>
              <w:fldChar w:fldCharType="separate"/>
            </w:r>
            <w:r w:rsidR="00D7239F">
              <w:rPr>
                <w:noProof/>
                <w:webHidden/>
              </w:rPr>
              <w:t>233</w:t>
            </w:r>
            <w:r>
              <w:rPr>
                <w:noProof/>
                <w:webHidden/>
              </w:rPr>
              <w:fldChar w:fldCharType="end"/>
            </w:r>
          </w:hyperlink>
        </w:p>
        <w:p w14:paraId="367FB4D7" w14:textId="77777777" w:rsidR="000F7CBC" w:rsidRDefault="000F7CBC">
          <w:pPr>
            <w:pStyle w:val="TOC1"/>
            <w:rPr>
              <w:rFonts w:asciiTheme="minorHAnsi" w:hAnsiTheme="minorHAnsi"/>
              <w:noProof/>
              <w:sz w:val="22"/>
            </w:rPr>
          </w:pPr>
          <w:hyperlink w:anchor="_Toc40436551" w:history="1">
            <w:r w:rsidRPr="00F5686A">
              <w:rPr>
                <w:rStyle w:val="Hyperlink"/>
                <w:noProof/>
              </w:rPr>
              <w:t>COPING &amp; CARE MANAGEMENT STRATEGIES</w:t>
            </w:r>
            <w:r>
              <w:rPr>
                <w:noProof/>
                <w:webHidden/>
              </w:rPr>
              <w:tab/>
            </w:r>
            <w:r>
              <w:rPr>
                <w:noProof/>
                <w:webHidden/>
              </w:rPr>
              <w:fldChar w:fldCharType="begin"/>
            </w:r>
            <w:r>
              <w:rPr>
                <w:noProof/>
                <w:webHidden/>
              </w:rPr>
              <w:instrText xml:space="preserve"> PAGEREF _Toc40436551 \h </w:instrText>
            </w:r>
            <w:r>
              <w:rPr>
                <w:noProof/>
                <w:webHidden/>
              </w:rPr>
            </w:r>
            <w:r>
              <w:rPr>
                <w:noProof/>
                <w:webHidden/>
              </w:rPr>
              <w:fldChar w:fldCharType="separate"/>
            </w:r>
            <w:r w:rsidR="00D7239F">
              <w:rPr>
                <w:noProof/>
                <w:webHidden/>
              </w:rPr>
              <w:t>233</w:t>
            </w:r>
            <w:r>
              <w:rPr>
                <w:noProof/>
                <w:webHidden/>
              </w:rPr>
              <w:fldChar w:fldCharType="end"/>
            </w:r>
          </w:hyperlink>
        </w:p>
        <w:p w14:paraId="5C496FB9" w14:textId="77777777" w:rsidR="000F7CBC" w:rsidRDefault="000F7CBC">
          <w:pPr>
            <w:pStyle w:val="TOC2"/>
            <w:tabs>
              <w:tab w:val="right" w:leader="dot" w:pos="10245"/>
            </w:tabs>
            <w:rPr>
              <w:rFonts w:asciiTheme="minorHAnsi" w:hAnsiTheme="minorHAnsi"/>
              <w:noProof/>
              <w:sz w:val="22"/>
            </w:rPr>
          </w:pPr>
          <w:hyperlink w:anchor="_Toc40436552" w:history="1">
            <w:r w:rsidRPr="00F5686A">
              <w:rPr>
                <w:rStyle w:val="Hyperlink"/>
                <w:rFonts w:eastAsia="Times New Roman"/>
                <w:noProof/>
              </w:rPr>
              <w:t>8.1 INTRODUCTION</w:t>
            </w:r>
            <w:r>
              <w:rPr>
                <w:noProof/>
                <w:webHidden/>
              </w:rPr>
              <w:tab/>
            </w:r>
            <w:r>
              <w:rPr>
                <w:noProof/>
                <w:webHidden/>
              </w:rPr>
              <w:fldChar w:fldCharType="begin"/>
            </w:r>
            <w:r>
              <w:rPr>
                <w:noProof/>
                <w:webHidden/>
              </w:rPr>
              <w:instrText xml:space="preserve"> PAGEREF _Toc40436552 \h </w:instrText>
            </w:r>
            <w:r>
              <w:rPr>
                <w:noProof/>
                <w:webHidden/>
              </w:rPr>
            </w:r>
            <w:r>
              <w:rPr>
                <w:noProof/>
                <w:webHidden/>
              </w:rPr>
              <w:fldChar w:fldCharType="separate"/>
            </w:r>
            <w:r w:rsidR="00D7239F">
              <w:rPr>
                <w:noProof/>
                <w:webHidden/>
              </w:rPr>
              <w:t>233</w:t>
            </w:r>
            <w:r>
              <w:rPr>
                <w:noProof/>
                <w:webHidden/>
              </w:rPr>
              <w:fldChar w:fldCharType="end"/>
            </w:r>
          </w:hyperlink>
        </w:p>
        <w:p w14:paraId="08500153" w14:textId="77777777" w:rsidR="000F7CBC" w:rsidRDefault="000F7CBC">
          <w:pPr>
            <w:pStyle w:val="TOC2"/>
            <w:tabs>
              <w:tab w:val="right" w:leader="dot" w:pos="10245"/>
            </w:tabs>
            <w:rPr>
              <w:rFonts w:asciiTheme="minorHAnsi" w:hAnsiTheme="minorHAnsi"/>
              <w:noProof/>
              <w:sz w:val="22"/>
            </w:rPr>
          </w:pPr>
          <w:hyperlink w:anchor="_Toc40436553" w:history="1">
            <w:r w:rsidRPr="00F5686A">
              <w:rPr>
                <w:rStyle w:val="Hyperlink"/>
                <w:rFonts w:eastAsia="Times New Roman"/>
                <w:noProof/>
              </w:rPr>
              <w:t>8.2 CARE RESOURCE SYSTEMS OF OLDER PERSONS</w:t>
            </w:r>
            <w:r>
              <w:rPr>
                <w:noProof/>
                <w:webHidden/>
              </w:rPr>
              <w:tab/>
            </w:r>
            <w:r>
              <w:rPr>
                <w:noProof/>
                <w:webHidden/>
              </w:rPr>
              <w:fldChar w:fldCharType="begin"/>
            </w:r>
            <w:r>
              <w:rPr>
                <w:noProof/>
                <w:webHidden/>
              </w:rPr>
              <w:instrText xml:space="preserve"> PAGEREF _Toc40436553 \h </w:instrText>
            </w:r>
            <w:r>
              <w:rPr>
                <w:noProof/>
                <w:webHidden/>
              </w:rPr>
            </w:r>
            <w:r>
              <w:rPr>
                <w:noProof/>
                <w:webHidden/>
              </w:rPr>
              <w:fldChar w:fldCharType="separate"/>
            </w:r>
            <w:r w:rsidR="00D7239F">
              <w:rPr>
                <w:noProof/>
                <w:webHidden/>
              </w:rPr>
              <w:t>235</w:t>
            </w:r>
            <w:r>
              <w:rPr>
                <w:noProof/>
                <w:webHidden/>
              </w:rPr>
              <w:fldChar w:fldCharType="end"/>
            </w:r>
          </w:hyperlink>
        </w:p>
        <w:p w14:paraId="004F7CF6" w14:textId="77777777" w:rsidR="000F7CBC" w:rsidRDefault="000F7CBC">
          <w:pPr>
            <w:pStyle w:val="TOC3"/>
            <w:tabs>
              <w:tab w:val="right" w:leader="dot" w:pos="10245"/>
            </w:tabs>
            <w:rPr>
              <w:rFonts w:asciiTheme="minorHAnsi" w:hAnsiTheme="minorHAnsi"/>
              <w:noProof/>
              <w:sz w:val="22"/>
            </w:rPr>
          </w:pPr>
          <w:hyperlink w:anchor="_Toc40436554" w:history="1">
            <w:r w:rsidRPr="00F5686A">
              <w:rPr>
                <w:rStyle w:val="Hyperlink"/>
                <w:rFonts w:eastAsia="Times New Roman"/>
                <w:noProof/>
              </w:rPr>
              <w:t>8.2.1</w:t>
            </w:r>
            <w:r w:rsidRPr="00F5686A">
              <w:rPr>
                <w:rStyle w:val="Hyperlink"/>
                <w:noProof/>
              </w:rPr>
              <w:t xml:space="preserve">     </w:t>
            </w:r>
            <w:r w:rsidRPr="00F5686A">
              <w:rPr>
                <w:rStyle w:val="Hyperlink"/>
                <w:rFonts w:eastAsia="Times New Roman"/>
                <w:noProof/>
              </w:rPr>
              <w:t>Housing</w:t>
            </w:r>
            <w:r>
              <w:rPr>
                <w:noProof/>
                <w:webHidden/>
              </w:rPr>
              <w:tab/>
            </w:r>
            <w:r>
              <w:rPr>
                <w:noProof/>
                <w:webHidden/>
              </w:rPr>
              <w:fldChar w:fldCharType="begin"/>
            </w:r>
            <w:r>
              <w:rPr>
                <w:noProof/>
                <w:webHidden/>
              </w:rPr>
              <w:instrText xml:space="preserve"> PAGEREF _Toc40436554 \h </w:instrText>
            </w:r>
            <w:r>
              <w:rPr>
                <w:noProof/>
                <w:webHidden/>
              </w:rPr>
            </w:r>
            <w:r>
              <w:rPr>
                <w:noProof/>
                <w:webHidden/>
              </w:rPr>
              <w:fldChar w:fldCharType="separate"/>
            </w:r>
            <w:r w:rsidR="00D7239F">
              <w:rPr>
                <w:noProof/>
                <w:webHidden/>
              </w:rPr>
              <w:t>236</w:t>
            </w:r>
            <w:r>
              <w:rPr>
                <w:noProof/>
                <w:webHidden/>
              </w:rPr>
              <w:fldChar w:fldCharType="end"/>
            </w:r>
          </w:hyperlink>
        </w:p>
        <w:p w14:paraId="04799880" w14:textId="77777777" w:rsidR="000F7CBC" w:rsidRDefault="000F7CBC">
          <w:pPr>
            <w:pStyle w:val="TOC3"/>
            <w:tabs>
              <w:tab w:val="right" w:leader="dot" w:pos="10245"/>
            </w:tabs>
            <w:rPr>
              <w:rFonts w:asciiTheme="minorHAnsi" w:hAnsiTheme="minorHAnsi"/>
              <w:noProof/>
              <w:sz w:val="22"/>
            </w:rPr>
          </w:pPr>
          <w:hyperlink w:anchor="_Toc40436555" w:history="1">
            <w:r w:rsidRPr="00F5686A">
              <w:rPr>
                <w:rStyle w:val="Hyperlink"/>
                <w:rFonts w:eastAsia="Times New Roman"/>
                <w:noProof/>
              </w:rPr>
              <w:t>8.2.2</w:t>
            </w:r>
            <w:r w:rsidRPr="00F5686A">
              <w:rPr>
                <w:rStyle w:val="Hyperlink"/>
                <w:noProof/>
              </w:rPr>
              <w:t xml:space="preserve">     </w:t>
            </w:r>
            <w:r w:rsidRPr="00F5686A">
              <w:rPr>
                <w:rStyle w:val="Hyperlink"/>
                <w:rFonts w:eastAsia="Times New Roman"/>
                <w:noProof/>
              </w:rPr>
              <w:t>Private Hospitalisation</w:t>
            </w:r>
            <w:r>
              <w:rPr>
                <w:noProof/>
                <w:webHidden/>
              </w:rPr>
              <w:tab/>
            </w:r>
            <w:r>
              <w:rPr>
                <w:noProof/>
                <w:webHidden/>
              </w:rPr>
              <w:fldChar w:fldCharType="begin"/>
            </w:r>
            <w:r>
              <w:rPr>
                <w:noProof/>
                <w:webHidden/>
              </w:rPr>
              <w:instrText xml:space="preserve"> PAGEREF _Toc40436555 \h </w:instrText>
            </w:r>
            <w:r>
              <w:rPr>
                <w:noProof/>
                <w:webHidden/>
              </w:rPr>
            </w:r>
            <w:r>
              <w:rPr>
                <w:noProof/>
                <w:webHidden/>
              </w:rPr>
              <w:fldChar w:fldCharType="separate"/>
            </w:r>
            <w:r w:rsidR="00D7239F">
              <w:rPr>
                <w:noProof/>
                <w:webHidden/>
              </w:rPr>
              <w:t>237</w:t>
            </w:r>
            <w:r>
              <w:rPr>
                <w:noProof/>
                <w:webHidden/>
              </w:rPr>
              <w:fldChar w:fldCharType="end"/>
            </w:r>
          </w:hyperlink>
        </w:p>
        <w:p w14:paraId="47DC23A5" w14:textId="77777777" w:rsidR="000F7CBC" w:rsidRDefault="000F7CBC">
          <w:pPr>
            <w:pStyle w:val="TOC3"/>
            <w:tabs>
              <w:tab w:val="right" w:leader="dot" w:pos="10245"/>
            </w:tabs>
            <w:rPr>
              <w:rFonts w:asciiTheme="minorHAnsi" w:hAnsiTheme="minorHAnsi"/>
              <w:noProof/>
              <w:sz w:val="22"/>
            </w:rPr>
          </w:pPr>
          <w:hyperlink w:anchor="_Toc40436556" w:history="1">
            <w:r w:rsidRPr="00F5686A">
              <w:rPr>
                <w:rStyle w:val="Hyperlink"/>
                <w:rFonts w:eastAsia="Times New Roman"/>
                <w:noProof/>
              </w:rPr>
              <w:t>8.2.3</w:t>
            </w:r>
            <w:r w:rsidRPr="00F5686A">
              <w:rPr>
                <w:rStyle w:val="Hyperlink"/>
                <w:noProof/>
              </w:rPr>
              <w:t xml:space="preserve">     </w:t>
            </w:r>
            <w:r w:rsidRPr="00F5686A">
              <w:rPr>
                <w:rStyle w:val="Hyperlink"/>
                <w:rFonts w:eastAsia="Times New Roman"/>
                <w:noProof/>
              </w:rPr>
              <w:t>Income Streams</w:t>
            </w:r>
            <w:r>
              <w:rPr>
                <w:noProof/>
                <w:webHidden/>
              </w:rPr>
              <w:tab/>
            </w:r>
            <w:r>
              <w:rPr>
                <w:noProof/>
                <w:webHidden/>
              </w:rPr>
              <w:fldChar w:fldCharType="begin"/>
            </w:r>
            <w:r>
              <w:rPr>
                <w:noProof/>
                <w:webHidden/>
              </w:rPr>
              <w:instrText xml:space="preserve"> PAGEREF _Toc40436556 \h </w:instrText>
            </w:r>
            <w:r>
              <w:rPr>
                <w:noProof/>
                <w:webHidden/>
              </w:rPr>
            </w:r>
            <w:r>
              <w:rPr>
                <w:noProof/>
                <w:webHidden/>
              </w:rPr>
              <w:fldChar w:fldCharType="separate"/>
            </w:r>
            <w:r w:rsidR="00D7239F">
              <w:rPr>
                <w:noProof/>
                <w:webHidden/>
              </w:rPr>
              <w:t>238</w:t>
            </w:r>
            <w:r>
              <w:rPr>
                <w:noProof/>
                <w:webHidden/>
              </w:rPr>
              <w:fldChar w:fldCharType="end"/>
            </w:r>
          </w:hyperlink>
        </w:p>
        <w:p w14:paraId="63503B2E" w14:textId="77777777" w:rsidR="000F7CBC" w:rsidRDefault="000F7CBC">
          <w:pPr>
            <w:pStyle w:val="TOC3"/>
            <w:tabs>
              <w:tab w:val="right" w:leader="dot" w:pos="10245"/>
            </w:tabs>
            <w:rPr>
              <w:rFonts w:asciiTheme="minorHAnsi" w:hAnsiTheme="minorHAnsi"/>
              <w:noProof/>
              <w:sz w:val="22"/>
            </w:rPr>
          </w:pPr>
          <w:hyperlink w:anchor="_Toc40436557" w:history="1">
            <w:r w:rsidRPr="00F5686A">
              <w:rPr>
                <w:rStyle w:val="Hyperlink"/>
                <w:rFonts w:eastAsia="Times New Roman"/>
                <w:noProof/>
              </w:rPr>
              <w:t>8.2.4</w:t>
            </w:r>
            <w:r w:rsidRPr="00F5686A">
              <w:rPr>
                <w:rStyle w:val="Hyperlink"/>
                <w:noProof/>
              </w:rPr>
              <w:t xml:space="preserve">     </w:t>
            </w:r>
            <w:r w:rsidRPr="00F5686A">
              <w:rPr>
                <w:rStyle w:val="Hyperlink"/>
                <w:rFonts w:eastAsia="Times New Roman"/>
                <w:noProof/>
              </w:rPr>
              <w:t>Access to Transport</w:t>
            </w:r>
            <w:r>
              <w:rPr>
                <w:noProof/>
                <w:webHidden/>
              </w:rPr>
              <w:tab/>
            </w:r>
            <w:r>
              <w:rPr>
                <w:noProof/>
                <w:webHidden/>
              </w:rPr>
              <w:fldChar w:fldCharType="begin"/>
            </w:r>
            <w:r>
              <w:rPr>
                <w:noProof/>
                <w:webHidden/>
              </w:rPr>
              <w:instrText xml:space="preserve"> PAGEREF _Toc40436557 \h </w:instrText>
            </w:r>
            <w:r>
              <w:rPr>
                <w:noProof/>
                <w:webHidden/>
              </w:rPr>
            </w:r>
            <w:r>
              <w:rPr>
                <w:noProof/>
                <w:webHidden/>
              </w:rPr>
              <w:fldChar w:fldCharType="separate"/>
            </w:r>
            <w:r w:rsidR="00D7239F">
              <w:rPr>
                <w:noProof/>
                <w:webHidden/>
              </w:rPr>
              <w:t>238</w:t>
            </w:r>
            <w:r>
              <w:rPr>
                <w:noProof/>
                <w:webHidden/>
              </w:rPr>
              <w:fldChar w:fldCharType="end"/>
            </w:r>
          </w:hyperlink>
        </w:p>
        <w:p w14:paraId="17FB3D4A" w14:textId="77777777" w:rsidR="000F7CBC" w:rsidRDefault="000F7CBC">
          <w:pPr>
            <w:pStyle w:val="TOC3"/>
            <w:tabs>
              <w:tab w:val="right" w:leader="dot" w:pos="10245"/>
            </w:tabs>
            <w:rPr>
              <w:rFonts w:asciiTheme="minorHAnsi" w:hAnsiTheme="minorHAnsi"/>
              <w:noProof/>
              <w:sz w:val="22"/>
            </w:rPr>
          </w:pPr>
          <w:hyperlink w:anchor="_Toc40436558" w:history="1">
            <w:r w:rsidRPr="00F5686A">
              <w:rPr>
                <w:rStyle w:val="Hyperlink"/>
                <w:rFonts w:eastAsia="Times New Roman"/>
                <w:noProof/>
              </w:rPr>
              <w:t>8.2.5</w:t>
            </w:r>
            <w:r w:rsidRPr="00F5686A">
              <w:rPr>
                <w:rStyle w:val="Hyperlink"/>
                <w:noProof/>
              </w:rPr>
              <w:t xml:space="preserve">     </w:t>
            </w:r>
            <w:r w:rsidRPr="00F5686A">
              <w:rPr>
                <w:rStyle w:val="Hyperlink"/>
                <w:rFonts w:eastAsia="Times New Roman"/>
                <w:noProof/>
              </w:rPr>
              <w:t>Social Support Network</w:t>
            </w:r>
            <w:r>
              <w:rPr>
                <w:noProof/>
                <w:webHidden/>
              </w:rPr>
              <w:tab/>
            </w:r>
            <w:r>
              <w:rPr>
                <w:noProof/>
                <w:webHidden/>
              </w:rPr>
              <w:fldChar w:fldCharType="begin"/>
            </w:r>
            <w:r>
              <w:rPr>
                <w:noProof/>
                <w:webHidden/>
              </w:rPr>
              <w:instrText xml:space="preserve"> PAGEREF _Toc40436558 \h </w:instrText>
            </w:r>
            <w:r>
              <w:rPr>
                <w:noProof/>
                <w:webHidden/>
              </w:rPr>
            </w:r>
            <w:r>
              <w:rPr>
                <w:noProof/>
                <w:webHidden/>
              </w:rPr>
              <w:fldChar w:fldCharType="separate"/>
            </w:r>
            <w:r w:rsidR="00D7239F">
              <w:rPr>
                <w:noProof/>
                <w:webHidden/>
              </w:rPr>
              <w:t>241</w:t>
            </w:r>
            <w:r>
              <w:rPr>
                <w:noProof/>
                <w:webHidden/>
              </w:rPr>
              <w:fldChar w:fldCharType="end"/>
            </w:r>
          </w:hyperlink>
        </w:p>
        <w:p w14:paraId="1C6AF0BD" w14:textId="77777777" w:rsidR="000F7CBC" w:rsidRDefault="000F7CBC">
          <w:pPr>
            <w:pStyle w:val="TOC2"/>
            <w:tabs>
              <w:tab w:val="right" w:leader="dot" w:pos="10245"/>
            </w:tabs>
            <w:rPr>
              <w:rFonts w:asciiTheme="minorHAnsi" w:hAnsiTheme="minorHAnsi"/>
              <w:noProof/>
              <w:sz w:val="22"/>
            </w:rPr>
          </w:pPr>
          <w:hyperlink w:anchor="_Toc40436559" w:history="1">
            <w:r w:rsidRPr="00F5686A">
              <w:rPr>
                <w:rStyle w:val="Hyperlink"/>
                <w:rFonts w:eastAsia="Times New Roman"/>
                <w:noProof/>
              </w:rPr>
              <w:t>8.3 CARE STRATEGIES OF OLDER PERSONS AND FAMILY CAREGIVERS</w:t>
            </w:r>
            <w:r>
              <w:rPr>
                <w:noProof/>
                <w:webHidden/>
              </w:rPr>
              <w:tab/>
            </w:r>
            <w:r>
              <w:rPr>
                <w:noProof/>
                <w:webHidden/>
              </w:rPr>
              <w:fldChar w:fldCharType="begin"/>
            </w:r>
            <w:r>
              <w:rPr>
                <w:noProof/>
                <w:webHidden/>
              </w:rPr>
              <w:instrText xml:space="preserve"> PAGEREF _Toc40436559 \h </w:instrText>
            </w:r>
            <w:r>
              <w:rPr>
                <w:noProof/>
                <w:webHidden/>
              </w:rPr>
            </w:r>
            <w:r>
              <w:rPr>
                <w:noProof/>
                <w:webHidden/>
              </w:rPr>
              <w:fldChar w:fldCharType="separate"/>
            </w:r>
            <w:r w:rsidR="00D7239F">
              <w:rPr>
                <w:noProof/>
                <w:webHidden/>
              </w:rPr>
              <w:t>246</w:t>
            </w:r>
            <w:r>
              <w:rPr>
                <w:noProof/>
                <w:webHidden/>
              </w:rPr>
              <w:fldChar w:fldCharType="end"/>
            </w:r>
          </w:hyperlink>
        </w:p>
        <w:p w14:paraId="4DA2469F" w14:textId="77777777" w:rsidR="000F7CBC" w:rsidRDefault="000F7CBC">
          <w:pPr>
            <w:pStyle w:val="TOC3"/>
            <w:tabs>
              <w:tab w:val="right" w:leader="dot" w:pos="10245"/>
            </w:tabs>
            <w:rPr>
              <w:rFonts w:asciiTheme="minorHAnsi" w:hAnsiTheme="minorHAnsi"/>
              <w:noProof/>
              <w:sz w:val="22"/>
            </w:rPr>
          </w:pPr>
          <w:hyperlink w:anchor="_Toc40436560" w:history="1">
            <w:r w:rsidRPr="00F5686A">
              <w:rPr>
                <w:rStyle w:val="Hyperlink"/>
                <w:rFonts w:eastAsia="Times New Roman"/>
                <w:noProof/>
              </w:rPr>
              <w:t>8.3.1     Accept Care</w:t>
            </w:r>
            <w:r>
              <w:rPr>
                <w:noProof/>
                <w:webHidden/>
              </w:rPr>
              <w:tab/>
            </w:r>
            <w:r>
              <w:rPr>
                <w:noProof/>
                <w:webHidden/>
              </w:rPr>
              <w:fldChar w:fldCharType="begin"/>
            </w:r>
            <w:r>
              <w:rPr>
                <w:noProof/>
                <w:webHidden/>
              </w:rPr>
              <w:instrText xml:space="preserve"> PAGEREF _Toc40436560 \h </w:instrText>
            </w:r>
            <w:r>
              <w:rPr>
                <w:noProof/>
                <w:webHidden/>
              </w:rPr>
            </w:r>
            <w:r>
              <w:rPr>
                <w:noProof/>
                <w:webHidden/>
              </w:rPr>
              <w:fldChar w:fldCharType="separate"/>
            </w:r>
            <w:r w:rsidR="00D7239F">
              <w:rPr>
                <w:noProof/>
                <w:webHidden/>
              </w:rPr>
              <w:t>246</w:t>
            </w:r>
            <w:r>
              <w:rPr>
                <w:noProof/>
                <w:webHidden/>
              </w:rPr>
              <w:fldChar w:fldCharType="end"/>
            </w:r>
          </w:hyperlink>
        </w:p>
        <w:p w14:paraId="657C11EF" w14:textId="77777777" w:rsidR="000F7CBC" w:rsidRDefault="000F7CBC">
          <w:pPr>
            <w:pStyle w:val="TOC3"/>
            <w:tabs>
              <w:tab w:val="right" w:leader="dot" w:pos="10245"/>
            </w:tabs>
            <w:rPr>
              <w:rFonts w:asciiTheme="minorHAnsi" w:hAnsiTheme="minorHAnsi"/>
              <w:noProof/>
              <w:sz w:val="22"/>
            </w:rPr>
          </w:pPr>
          <w:hyperlink w:anchor="_Toc40436561" w:history="1">
            <w:r w:rsidRPr="00F5686A">
              <w:rPr>
                <w:rStyle w:val="Hyperlink"/>
                <w:rFonts w:eastAsia="Times New Roman"/>
                <w:noProof/>
              </w:rPr>
              <w:t>8.3.2     Reject Care</w:t>
            </w:r>
            <w:r>
              <w:rPr>
                <w:noProof/>
                <w:webHidden/>
              </w:rPr>
              <w:tab/>
            </w:r>
            <w:r>
              <w:rPr>
                <w:noProof/>
                <w:webHidden/>
              </w:rPr>
              <w:fldChar w:fldCharType="begin"/>
            </w:r>
            <w:r>
              <w:rPr>
                <w:noProof/>
                <w:webHidden/>
              </w:rPr>
              <w:instrText xml:space="preserve"> PAGEREF _Toc40436561 \h </w:instrText>
            </w:r>
            <w:r>
              <w:rPr>
                <w:noProof/>
                <w:webHidden/>
              </w:rPr>
            </w:r>
            <w:r>
              <w:rPr>
                <w:noProof/>
                <w:webHidden/>
              </w:rPr>
              <w:fldChar w:fldCharType="separate"/>
            </w:r>
            <w:r w:rsidR="00D7239F">
              <w:rPr>
                <w:noProof/>
                <w:webHidden/>
              </w:rPr>
              <w:t>260</w:t>
            </w:r>
            <w:r>
              <w:rPr>
                <w:noProof/>
                <w:webHidden/>
              </w:rPr>
              <w:fldChar w:fldCharType="end"/>
            </w:r>
          </w:hyperlink>
        </w:p>
        <w:p w14:paraId="63C8E54C" w14:textId="77777777" w:rsidR="000F7CBC" w:rsidRDefault="000F7CBC">
          <w:pPr>
            <w:pStyle w:val="TOC2"/>
            <w:tabs>
              <w:tab w:val="right" w:leader="dot" w:pos="10245"/>
            </w:tabs>
            <w:rPr>
              <w:rFonts w:asciiTheme="minorHAnsi" w:hAnsiTheme="minorHAnsi"/>
              <w:noProof/>
              <w:sz w:val="22"/>
            </w:rPr>
          </w:pPr>
          <w:hyperlink w:anchor="_Toc40436562" w:history="1">
            <w:r w:rsidRPr="00F5686A">
              <w:rPr>
                <w:rStyle w:val="Hyperlink"/>
                <w:rFonts w:eastAsia="Times New Roman"/>
                <w:noProof/>
              </w:rPr>
              <w:t>8.4 CONCLUSION</w:t>
            </w:r>
            <w:r>
              <w:rPr>
                <w:noProof/>
                <w:webHidden/>
              </w:rPr>
              <w:tab/>
            </w:r>
            <w:r>
              <w:rPr>
                <w:noProof/>
                <w:webHidden/>
              </w:rPr>
              <w:fldChar w:fldCharType="begin"/>
            </w:r>
            <w:r>
              <w:rPr>
                <w:noProof/>
                <w:webHidden/>
              </w:rPr>
              <w:instrText xml:space="preserve"> PAGEREF _Toc40436562 \h </w:instrText>
            </w:r>
            <w:r>
              <w:rPr>
                <w:noProof/>
                <w:webHidden/>
              </w:rPr>
            </w:r>
            <w:r>
              <w:rPr>
                <w:noProof/>
                <w:webHidden/>
              </w:rPr>
              <w:fldChar w:fldCharType="separate"/>
            </w:r>
            <w:r w:rsidR="00D7239F">
              <w:rPr>
                <w:noProof/>
                <w:webHidden/>
              </w:rPr>
              <w:t>271</w:t>
            </w:r>
            <w:r>
              <w:rPr>
                <w:noProof/>
                <w:webHidden/>
              </w:rPr>
              <w:fldChar w:fldCharType="end"/>
            </w:r>
          </w:hyperlink>
        </w:p>
        <w:p w14:paraId="2D118EE5" w14:textId="77777777" w:rsidR="000F7CBC" w:rsidRDefault="000F7CBC">
          <w:pPr>
            <w:pStyle w:val="TOC1"/>
            <w:rPr>
              <w:rFonts w:asciiTheme="minorHAnsi" w:hAnsiTheme="minorHAnsi"/>
              <w:noProof/>
              <w:sz w:val="22"/>
            </w:rPr>
          </w:pPr>
          <w:hyperlink w:anchor="_Toc40436563" w:history="1">
            <w:r w:rsidRPr="00F5686A">
              <w:rPr>
                <w:rStyle w:val="Hyperlink"/>
                <w:noProof/>
              </w:rPr>
              <w:t>CHAPTER 9 – QUANTITATIVE SURVEY RESULTS</w:t>
            </w:r>
            <w:r>
              <w:rPr>
                <w:noProof/>
                <w:webHidden/>
              </w:rPr>
              <w:tab/>
            </w:r>
            <w:r>
              <w:rPr>
                <w:noProof/>
                <w:webHidden/>
              </w:rPr>
              <w:fldChar w:fldCharType="begin"/>
            </w:r>
            <w:r>
              <w:rPr>
                <w:noProof/>
                <w:webHidden/>
              </w:rPr>
              <w:instrText xml:space="preserve"> PAGEREF _Toc40436563 \h </w:instrText>
            </w:r>
            <w:r>
              <w:rPr>
                <w:noProof/>
                <w:webHidden/>
              </w:rPr>
            </w:r>
            <w:r>
              <w:rPr>
                <w:noProof/>
                <w:webHidden/>
              </w:rPr>
              <w:fldChar w:fldCharType="separate"/>
            </w:r>
            <w:r w:rsidR="00D7239F">
              <w:rPr>
                <w:noProof/>
                <w:webHidden/>
              </w:rPr>
              <w:t>275</w:t>
            </w:r>
            <w:r>
              <w:rPr>
                <w:noProof/>
                <w:webHidden/>
              </w:rPr>
              <w:fldChar w:fldCharType="end"/>
            </w:r>
          </w:hyperlink>
        </w:p>
        <w:p w14:paraId="15A3AB74" w14:textId="77777777" w:rsidR="000F7CBC" w:rsidRDefault="000F7CBC">
          <w:pPr>
            <w:pStyle w:val="TOC2"/>
            <w:tabs>
              <w:tab w:val="right" w:leader="dot" w:pos="10245"/>
            </w:tabs>
            <w:rPr>
              <w:rFonts w:asciiTheme="minorHAnsi" w:hAnsiTheme="minorHAnsi"/>
              <w:noProof/>
              <w:sz w:val="22"/>
            </w:rPr>
          </w:pPr>
          <w:hyperlink w:anchor="_Toc40436564" w:history="1">
            <w:r w:rsidRPr="00F5686A">
              <w:rPr>
                <w:rStyle w:val="Hyperlink"/>
                <w:noProof/>
              </w:rPr>
              <w:t>9.1 INTRODUCTION</w:t>
            </w:r>
            <w:r>
              <w:rPr>
                <w:noProof/>
                <w:webHidden/>
              </w:rPr>
              <w:tab/>
            </w:r>
            <w:r>
              <w:rPr>
                <w:noProof/>
                <w:webHidden/>
              </w:rPr>
              <w:fldChar w:fldCharType="begin"/>
            </w:r>
            <w:r>
              <w:rPr>
                <w:noProof/>
                <w:webHidden/>
              </w:rPr>
              <w:instrText xml:space="preserve"> PAGEREF _Toc40436564 \h </w:instrText>
            </w:r>
            <w:r>
              <w:rPr>
                <w:noProof/>
                <w:webHidden/>
              </w:rPr>
            </w:r>
            <w:r>
              <w:rPr>
                <w:noProof/>
                <w:webHidden/>
              </w:rPr>
              <w:fldChar w:fldCharType="separate"/>
            </w:r>
            <w:r w:rsidR="00D7239F">
              <w:rPr>
                <w:noProof/>
                <w:webHidden/>
              </w:rPr>
              <w:t>275</w:t>
            </w:r>
            <w:r>
              <w:rPr>
                <w:noProof/>
                <w:webHidden/>
              </w:rPr>
              <w:fldChar w:fldCharType="end"/>
            </w:r>
          </w:hyperlink>
        </w:p>
        <w:p w14:paraId="42F546D3" w14:textId="77777777" w:rsidR="000F7CBC" w:rsidRDefault="000F7CBC">
          <w:pPr>
            <w:pStyle w:val="TOC2"/>
            <w:tabs>
              <w:tab w:val="right" w:leader="dot" w:pos="10245"/>
            </w:tabs>
            <w:rPr>
              <w:rFonts w:asciiTheme="minorHAnsi" w:hAnsiTheme="minorHAnsi"/>
              <w:noProof/>
              <w:sz w:val="22"/>
            </w:rPr>
          </w:pPr>
          <w:hyperlink w:anchor="_Toc40436565" w:history="1">
            <w:r w:rsidRPr="00F5686A">
              <w:rPr>
                <w:rStyle w:val="Hyperlink"/>
                <w:noProof/>
              </w:rPr>
              <w:t>9.2 SURVEY PARTICIPANTS’ PROFILE</w:t>
            </w:r>
            <w:r>
              <w:rPr>
                <w:noProof/>
                <w:webHidden/>
              </w:rPr>
              <w:tab/>
            </w:r>
            <w:r>
              <w:rPr>
                <w:noProof/>
                <w:webHidden/>
              </w:rPr>
              <w:fldChar w:fldCharType="begin"/>
            </w:r>
            <w:r>
              <w:rPr>
                <w:noProof/>
                <w:webHidden/>
              </w:rPr>
              <w:instrText xml:space="preserve"> PAGEREF _Toc40436565 \h </w:instrText>
            </w:r>
            <w:r>
              <w:rPr>
                <w:noProof/>
                <w:webHidden/>
              </w:rPr>
            </w:r>
            <w:r>
              <w:rPr>
                <w:noProof/>
                <w:webHidden/>
              </w:rPr>
              <w:fldChar w:fldCharType="separate"/>
            </w:r>
            <w:r w:rsidR="00D7239F">
              <w:rPr>
                <w:noProof/>
                <w:webHidden/>
              </w:rPr>
              <w:t>275</w:t>
            </w:r>
            <w:r>
              <w:rPr>
                <w:noProof/>
                <w:webHidden/>
              </w:rPr>
              <w:fldChar w:fldCharType="end"/>
            </w:r>
          </w:hyperlink>
        </w:p>
        <w:p w14:paraId="56AAE3A5" w14:textId="77777777" w:rsidR="000F7CBC" w:rsidRDefault="000F7CBC">
          <w:pPr>
            <w:pStyle w:val="TOC3"/>
            <w:tabs>
              <w:tab w:val="right" w:leader="dot" w:pos="10245"/>
            </w:tabs>
            <w:rPr>
              <w:rFonts w:asciiTheme="minorHAnsi" w:hAnsiTheme="minorHAnsi"/>
              <w:noProof/>
              <w:sz w:val="22"/>
            </w:rPr>
          </w:pPr>
          <w:hyperlink w:anchor="_Toc40436566" w:history="1">
            <w:r w:rsidRPr="00F5686A">
              <w:rPr>
                <w:rStyle w:val="Hyperlink"/>
                <w:noProof/>
              </w:rPr>
              <w:t>9.2.1     Family Caregiver Characteristics</w:t>
            </w:r>
            <w:r>
              <w:rPr>
                <w:noProof/>
                <w:webHidden/>
              </w:rPr>
              <w:tab/>
            </w:r>
            <w:r>
              <w:rPr>
                <w:noProof/>
                <w:webHidden/>
              </w:rPr>
              <w:fldChar w:fldCharType="begin"/>
            </w:r>
            <w:r>
              <w:rPr>
                <w:noProof/>
                <w:webHidden/>
              </w:rPr>
              <w:instrText xml:space="preserve"> PAGEREF _Toc40436566 \h </w:instrText>
            </w:r>
            <w:r>
              <w:rPr>
                <w:noProof/>
                <w:webHidden/>
              </w:rPr>
            </w:r>
            <w:r>
              <w:rPr>
                <w:noProof/>
                <w:webHidden/>
              </w:rPr>
              <w:fldChar w:fldCharType="separate"/>
            </w:r>
            <w:r w:rsidR="00D7239F">
              <w:rPr>
                <w:noProof/>
                <w:webHidden/>
              </w:rPr>
              <w:t>276</w:t>
            </w:r>
            <w:r>
              <w:rPr>
                <w:noProof/>
                <w:webHidden/>
              </w:rPr>
              <w:fldChar w:fldCharType="end"/>
            </w:r>
          </w:hyperlink>
        </w:p>
        <w:p w14:paraId="74EC065B" w14:textId="77777777" w:rsidR="000F7CBC" w:rsidRDefault="000F7CBC">
          <w:pPr>
            <w:pStyle w:val="TOC3"/>
            <w:tabs>
              <w:tab w:val="right" w:leader="dot" w:pos="10245"/>
            </w:tabs>
            <w:rPr>
              <w:rFonts w:asciiTheme="minorHAnsi" w:hAnsiTheme="minorHAnsi"/>
              <w:noProof/>
              <w:sz w:val="22"/>
            </w:rPr>
          </w:pPr>
          <w:hyperlink w:anchor="_Toc40436567" w:history="1">
            <w:r w:rsidRPr="00F5686A">
              <w:rPr>
                <w:rStyle w:val="Hyperlink"/>
                <w:noProof/>
              </w:rPr>
              <w:t>9.2.2     Care recipient Characteristics</w:t>
            </w:r>
            <w:r>
              <w:rPr>
                <w:noProof/>
                <w:webHidden/>
              </w:rPr>
              <w:tab/>
            </w:r>
            <w:r>
              <w:rPr>
                <w:noProof/>
                <w:webHidden/>
              </w:rPr>
              <w:fldChar w:fldCharType="begin"/>
            </w:r>
            <w:r>
              <w:rPr>
                <w:noProof/>
                <w:webHidden/>
              </w:rPr>
              <w:instrText xml:space="preserve"> PAGEREF _Toc40436567 \h </w:instrText>
            </w:r>
            <w:r>
              <w:rPr>
                <w:noProof/>
                <w:webHidden/>
              </w:rPr>
            </w:r>
            <w:r>
              <w:rPr>
                <w:noProof/>
                <w:webHidden/>
              </w:rPr>
              <w:fldChar w:fldCharType="separate"/>
            </w:r>
            <w:r w:rsidR="00D7239F">
              <w:rPr>
                <w:noProof/>
                <w:webHidden/>
              </w:rPr>
              <w:t>283</w:t>
            </w:r>
            <w:r>
              <w:rPr>
                <w:noProof/>
                <w:webHidden/>
              </w:rPr>
              <w:fldChar w:fldCharType="end"/>
            </w:r>
          </w:hyperlink>
        </w:p>
        <w:p w14:paraId="1DBCD3F6" w14:textId="77777777" w:rsidR="000F7CBC" w:rsidRDefault="000F7CBC">
          <w:pPr>
            <w:pStyle w:val="TOC2"/>
            <w:tabs>
              <w:tab w:val="right" w:leader="dot" w:pos="10245"/>
            </w:tabs>
            <w:rPr>
              <w:rFonts w:asciiTheme="minorHAnsi" w:hAnsiTheme="minorHAnsi"/>
              <w:noProof/>
              <w:sz w:val="22"/>
            </w:rPr>
          </w:pPr>
          <w:hyperlink w:anchor="_Toc40436568" w:history="1">
            <w:r w:rsidRPr="00F5686A">
              <w:rPr>
                <w:rStyle w:val="Hyperlink"/>
                <w:noProof/>
              </w:rPr>
              <w:t>9.3 FAMILY CARE ACTIVITIES</w:t>
            </w:r>
            <w:r>
              <w:rPr>
                <w:noProof/>
                <w:webHidden/>
              </w:rPr>
              <w:tab/>
            </w:r>
            <w:r>
              <w:rPr>
                <w:noProof/>
                <w:webHidden/>
              </w:rPr>
              <w:fldChar w:fldCharType="begin"/>
            </w:r>
            <w:r>
              <w:rPr>
                <w:noProof/>
                <w:webHidden/>
              </w:rPr>
              <w:instrText xml:space="preserve"> PAGEREF _Toc40436568 \h </w:instrText>
            </w:r>
            <w:r>
              <w:rPr>
                <w:noProof/>
                <w:webHidden/>
              </w:rPr>
            </w:r>
            <w:r>
              <w:rPr>
                <w:noProof/>
                <w:webHidden/>
              </w:rPr>
              <w:fldChar w:fldCharType="separate"/>
            </w:r>
            <w:r w:rsidR="00D7239F">
              <w:rPr>
                <w:noProof/>
                <w:webHidden/>
              </w:rPr>
              <w:t>284</w:t>
            </w:r>
            <w:r>
              <w:rPr>
                <w:noProof/>
                <w:webHidden/>
              </w:rPr>
              <w:fldChar w:fldCharType="end"/>
            </w:r>
          </w:hyperlink>
        </w:p>
        <w:p w14:paraId="701C446E" w14:textId="77777777" w:rsidR="000F7CBC" w:rsidRDefault="000F7CBC">
          <w:pPr>
            <w:pStyle w:val="TOC3"/>
            <w:tabs>
              <w:tab w:val="right" w:leader="dot" w:pos="10245"/>
            </w:tabs>
            <w:rPr>
              <w:rFonts w:asciiTheme="minorHAnsi" w:hAnsiTheme="minorHAnsi"/>
              <w:noProof/>
              <w:sz w:val="22"/>
            </w:rPr>
          </w:pPr>
          <w:hyperlink w:anchor="_Toc40436569" w:history="1">
            <w:r w:rsidRPr="00F5686A">
              <w:rPr>
                <w:rStyle w:val="Hyperlink"/>
                <w:noProof/>
              </w:rPr>
              <w:t>9.3.1     Time Spent Caring</w:t>
            </w:r>
            <w:r>
              <w:rPr>
                <w:noProof/>
                <w:webHidden/>
              </w:rPr>
              <w:tab/>
            </w:r>
            <w:r>
              <w:rPr>
                <w:noProof/>
                <w:webHidden/>
              </w:rPr>
              <w:fldChar w:fldCharType="begin"/>
            </w:r>
            <w:r>
              <w:rPr>
                <w:noProof/>
                <w:webHidden/>
              </w:rPr>
              <w:instrText xml:space="preserve"> PAGEREF _Toc40436569 \h </w:instrText>
            </w:r>
            <w:r>
              <w:rPr>
                <w:noProof/>
                <w:webHidden/>
              </w:rPr>
            </w:r>
            <w:r>
              <w:rPr>
                <w:noProof/>
                <w:webHidden/>
              </w:rPr>
              <w:fldChar w:fldCharType="separate"/>
            </w:r>
            <w:r w:rsidR="00D7239F">
              <w:rPr>
                <w:noProof/>
                <w:webHidden/>
              </w:rPr>
              <w:t>284</w:t>
            </w:r>
            <w:r>
              <w:rPr>
                <w:noProof/>
                <w:webHidden/>
              </w:rPr>
              <w:fldChar w:fldCharType="end"/>
            </w:r>
          </w:hyperlink>
        </w:p>
        <w:p w14:paraId="077A156B" w14:textId="77777777" w:rsidR="000F7CBC" w:rsidRDefault="000F7CBC">
          <w:pPr>
            <w:pStyle w:val="TOC3"/>
            <w:tabs>
              <w:tab w:val="right" w:leader="dot" w:pos="10245"/>
            </w:tabs>
            <w:rPr>
              <w:rFonts w:asciiTheme="minorHAnsi" w:hAnsiTheme="minorHAnsi"/>
              <w:noProof/>
              <w:sz w:val="22"/>
            </w:rPr>
          </w:pPr>
          <w:hyperlink w:anchor="_Toc40436570" w:history="1">
            <w:r w:rsidRPr="00F5686A">
              <w:rPr>
                <w:rStyle w:val="Hyperlink"/>
                <w:noProof/>
              </w:rPr>
              <w:t>9.3.2     Level of Dependency of Older Care Recipient</w:t>
            </w:r>
            <w:r>
              <w:rPr>
                <w:noProof/>
                <w:webHidden/>
              </w:rPr>
              <w:tab/>
            </w:r>
            <w:r>
              <w:rPr>
                <w:noProof/>
                <w:webHidden/>
              </w:rPr>
              <w:fldChar w:fldCharType="begin"/>
            </w:r>
            <w:r>
              <w:rPr>
                <w:noProof/>
                <w:webHidden/>
              </w:rPr>
              <w:instrText xml:space="preserve"> PAGEREF _Toc40436570 \h </w:instrText>
            </w:r>
            <w:r>
              <w:rPr>
                <w:noProof/>
                <w:webHidden/>
              </w:rPr>
            </w:r>
            <w:r>
              <w:rPr>
                <w:noProof/>
                <w:webHidden/>
              </w:rPr>
              <w:fldChar w:fldCharType="separate"/>
            </w:r>
            <w:r w:rsidR="00D7239F">
              <w:rPr>
                <w:noProof/>
                <w:webHidden/>
              </w:rPr>
              <w:t>285</w:t>
            </w:r>
            <w:r>
              <w:rPr>
                <w:noProof/>
                <w:webHidden/>
              </w:rPr>
              <w:fldChar w:fldCharType="end"/>
            </w:r>
          </w:hyperlink>
        </w:p>
        <w:p w14:paraId="71945B19" w14:textId="77777777" w:rsidR="000F7CBC" w:rsidRDefault="000F7CBC">
          <w:pPr>
            <w:pStyle w:val="TOC3"/>
            <w:tabs>
              <w:tab w:val="right" w:leader="dot" w:pos="10245"/>
            </w:tabs>
            <w:rPr>
              <w:rFonts w:asciiTheme="minorHAnsi" w:hAnsiTheme="minorHAnsi"/>
              <w:noProof/>
              <w:sz w:val="22"/>
            </w:rPr>
          </w:pPr>
          <w:hyperlink w:anchor="_Toc40436571" w:history="1">
            <w:r w:rsidRPr="00F5686A">
              <w:rPr>
                <w:rStyle w:val="Hyperlink"/>
                <w:noProof/>
              </w:rPr>
              <w:t>9.3.3     Care Tasks</w:t>
            </w:r>
            <w:r>
              <w:rPr>
                <w:noProof/>
                <w:webHidden/>
              </w:rPr>
              <w:tab/>
            </w:r>
            <w:r>
              <w:rPr>
                <w:noProof/>
                <w:webHidden/>
              </w:rPr>
              <w:fldChar w:fldCharType="begin"/>
            </w:r>
            <w:r>
              <w:rPr>
                <w:noProof/>
                <w:webHidden/>
              </w:rPr>
              <w:instrText xml:space="preserve"> PAGEREF _Toc40436571 \h </w:instrText>
            </w:r>
            <w:r>
              <w:rPr>
                <w:noProof/>
                <w:webHidden/>
              </w:rPr>
            </w:r>
            <w:r>
              <w:rPr>
                <w:noProof/>
                <w:webHidden/>
              </w:rPr>
              <w:fldChar w:fldCharType="separate"/>
            </w:r>
            <w:r w:rsidR="00D7239F">
              <w:rPr>
                <w:noProof/>
                <w:webHidden/>
              </w:rPr>
              <w:t>287</w:t>
            </w:r>
            <w:r>
              <w:rPr>
                <w:noProof/>
                <w:webHidden/>
              </w:rPr>
              <w:fldChar w:fldCharType="end"/>
            </w:r>
          </w:hyperlink>
        </w:p>
        <w:p w14:paraId="6377B4E2" w14:textId="77777777" w:rsidR="000F7CBC" w:rsidRDefault="000F7CBC">
          <w:pPr>
            <w:pStyle w:val="TOC2"/>
            <w:tabs>
              <w:tab w:val="right" w:leader="dot" w:pos="10245"/>
            </w:tabs>
            <w:rPr>
              <w:rFonts w:asciiTheme="minorHAnsi" w:hAnsiTheme="minorHAnsi"/>
              <w:noProof/>
              <w:sz w:val="22"/>
            </w:rPr>
          </w:pPr>
          <w:hyperlink w:anchor="_Toc40436572" w:history="1">
            <w:r w:rsidRPr="00F5686A">
              <w:rPr>
                <w:rStyle w:val="Hyperlink"/>
                <w:noProof/>
              </w:rPr>
              <w:t>9.4 CARE CONTEXT</w:t>
            </w:r>
            <w:r>
              <w:rPr>
                <w:noProof/>
                <w:webHidden/>
              </w:rPr>
              <w:tab/>
            </w:r>
            <w:r>
              <w:rPr>
                <w:noProof/>
                <w:webHidden/>
              </w:rPr>
              <w:fldChar w:fldCharType="begin"/>
            </w:r>
            <w:r>
              <w:rPr>
                <w:noProof/>
                <w:webHidden/>
              </w:rPr>
              <w:instrText xml:space="preserve"> PAGEREF _Toc40436572 \h </w:instrText>
            </w:r>
            <w:r>
              <w:rPr>
                <w:noProof/>
                <w:webHidden/>
              </w:rPr>
            </w:r>
            <w:r>
              <w:rPr>
                <w:noProof/>
                <w:webHidden/>
              </w:rPr>
              <w:fldChar w:fldCharType="separate"/>
            </w:r>
            <w:r w:rsidR="00D7239F">
              <w:rPr>
                <w:noProof/>
                <w:webHidden/>
              </w:rPr>
              <w:t>289</w:t>
            </w:r>
            <w:r>
              <w:rPr>
                <w:noProof/>
                <w:webHidden/>
              </w:rPr>
              <w:fldChar w:fldCharType="end"/>
            </w:r>
          </w:hyperlink>
        </w:p>
        <w:p w14:paraId="02632409" w14:textId="77777777" w:rsidR="000F7CBC" w:rsidRDefault="000F7CBC">
          <w:pPr>
            <w:pStyle w:val="TOC3"/>
            <w:tabs>
              <w:tab w:val="right" w:leader="dot" w:pos="10245"/>
            </w:tabs>
            <w:rPr>
              <w:rFonts w:asciiTheme="minorHAnsi" w:hAnsiTheme="minorHAnsi"/>
              <w:noProof/>
              <w:sz w:val="22"/>
            </w:rPr>
          </w:pPr>
          <w:hyperlink w:anchor="_Toc40436573" w:history="1">
            <w:r w:rsidRPr="00F5686A">
              <w:rPr>
                <w:rStyle w:val="Hyperlink"/>
                <w:noProof/>
              </w:rPr>
              <w:t>9.4.1     Potential Family Support Base for Care Provision</w:t>
            </w:r>
            <w:r>
              <w:rPr>
                <w:noProof/>
                <w:webHidden/>
              </w:rPr>
              <w:tab/>
            </w:r>
            <w:r>
              <w:rPr>
                <w:noProof/>
                <w:webHidden/>
              </w:rPr>
              <w:fldChar w:fldCharType="begin"/>
            </w:r>
            <w:r>
              <w:rPr>
                <w:noProof/>
                <w:webHidden/>
              </w:rPr>
              <w:instrText xml:space="preserve"> PAGEREF _Toc40436573 \h </w:instrText>
            </w:r>
            <w:r>
              <w:rPr>
                <w:noProof/>
                <w:webHidden/>
              </w:rPr>
            </w:r>
            <w:r>
              <w:rPr>
                <w:noProof/>
                <w:webHidden/>
              </w:rPr>
              <w:fldChar w:fldCharType="separate"/>
            </w:r>
            <w:r w:rsidR="00D7239F">
              <w:rPr>
                <w:noProof/>
                <w:webHidden/>
              </w:rPr>
              <w:t>289</w:t>
            </w:r>
            <w:r>
              <w:rPr>
                <w:noProof/>
                <w:webHidden/>
              </w:rPr>
              <w:fldChar w:fldCharType="end"/>
            </w:r>
          </w:hyperlink>
        </w:p>
        <w:p w14:paraId="306A3042" w14:textId="77777777" w:rsidR="000F7CBC" w:rsidRDefault="000F7CBC">
          <w:pPr>
            <w:pStyle w:val="TOC3"/>
            <w:tabs>
              <w:tab w:val="right" w:leader="dot" w:pos="10245"/>
            </w:tabs>
            <w:rPr>
              <w:rFonts w:asciiTheme="minorHAnsi" w:hAnsiTheme="minorHAnsi"/>
              <w:noProof/>
              <w:sz w:val="22"/>
            </w:rPr>
          </w:pPr>
          <w:hyperlink w:anchor="_Toc40436574" w:history="1">
            <w:r w:rsidRPr="00F5686A">
              <w:rPr>
                <w:rStyle w:val="Hyperlink"/>
                <w:noProof/>
              </w:rPr>
              <w:t>9.4.2     Health Care Services</w:t>
            </w:r>
            <w:r>
              <w:rPr>
                <w:noProof/>
                <w:webHidden/>
              </w:rPr>
              <w:tab/>
            </w:r>
            <w:r>
              <w:rPr>
                <w:noProof/>
                <w:webHidden/>
              </w:rPr>
              <w:fldChar w:fldCharType="begin"/>
            </w:r>
            <w:r>
              <w:rPr>
                <w:noProof/>
                <w:webHidden/>
              </w:rPr>
              <w:instrText xml:space="preserve"> PAGEREF _Toc40436574 \h </w:instrText>
            </w:r>
            <w:r>
              <w:rPr>
                <w:noProof/>
                <w:webHidden/>
              </w:rPr>
            </w:r>
            <w:r>
              <w:rPr>
                <w:noProof/>
                <w:webHidden/>
              </w:rPr>
              <w:fldChar w:fldCharType="separate"/>
            </w:r>
            <w:r w:rsidR="00D7239F">
              <w:rPr>
                <w:noProof/>
                <w:webHidden/>
              </w:rPr>
              <w:t>289</w:t>
            </w:r>
            <w:r>
              <w:rPr>
                <w:noProof/>
                <w:webHidden/>
              </w:rPr>
              <w:fldChar w:fldCharType="end"/>
            </w:r>
          </w:hyperlink>
        </w:p>
        <w:p w14:paraId="74CA164A" w14:textId="77777777" w:rsidR="000F7CBC" w:rsidRDefault="000F7CBC">
          <w:pPr>
            <w:pStyle w:val="TOC3"/>
            <w:tabs>
              <w:tab w:val="right" w:leader="dot" w:pos="10245"/>
            </w:tabs>
            <w:rPr>
              <w:rFonts w:asciiTheme="minorHAnsi" w:hAnsiTheme="minorHAnsi"/>
              <w:noProof/>
              <w:sz w:val="22"/>
            </w:rPr>
          </w:pPr>
          <w:hyperlink w:anchor="_Toc40436575" w:history="1">
            <w:r w:rsidRPr="00F5686A">
              <w:rPr>
                <w:rStyle w:val="Hyperlink"/>
                <w:noProof/>
              </w:rPr>
              <w:t>9.4.3     Social Services</w:t>
            </w:r>
            <w:r>
              <w:rPr>
                <w:noProof/>
                <w:webHidden/>
              </w:rPr>
              <w:tab/>
            </w:r>
            <w:r>
              <w:rPr>
                <w:noProof/>
                <w:webHidden/>
              </w:rPr>
              <w:fldChar w:fldCharType="begin"/>
            </w:r>
            <w:r>
              <w:rPr>
                <w:noProof/>
                <w:webHidden/>
              </w:rPr>
              <w:instrText xml:space="preserve"> PAGEREF _Toc40436575 \h </w:instrText>
            </w:r>
            <w:r>
              <w:rPr>
                <w:noProof/>
                <w:webHidden/>
              </w:rPr>
            </w:r>
            <w:r>
              <w:rPr>
                <w:noProof/>
                <w:webHidden/>
              </w:rPr>
              <w:fldChar w:fldCharType="separate"/>
            </w:r>
            <w:r w:rsidR="00D7239F">
              <w:rPr>
                <w:noProof/>
                <w:webHidden/>
              </w:rPr>
              <w:t>294</w:t>
            </w:r>
            <w:r>
              <w:rPr>
                <w:noProof/>
                <w:webHidden/>
              </w:rPr>
              <w:fldChar w:fldCharType="end"/>
            </w:r>
          </w:hyperlink>
        </w:p>
        <w:p w14:paraId="07C5FC36" w14:textId="77777777" w:rsidR="000F7CBC" w:rsidRDefault="000F7CBC">
          <w:pPr>
            <w:pStyle w:val="TOC2"/>
            <w:tabs>
              <w:tab w:val="right" w:leader="dot" w:pos="10245"/>
            </w:tabs>
            <w:rPr>
              <w:rFonts w:asciiTheme="minorHAnsi" w:hAnsiTheme="minorHAnsi"/>
              <w:noProof/>
              <w:sz w:val="22"/>
            </w:rPr>
          </w:pPr>
          <w:hyperlink w:anchor="_Toc40436576" w:history="1">
            <w:r w:rsidRPr="00F5686A">
              <w:rPr>
                <w:rStyle w:val="Hyperlink"/>
                <w:noProof/>
              </w:rPr>
              <w:t>9.5 SERVICE NEEDS</w:t>
            </w:r>
            <w:r>
              <w:rPr>
                <w:noProof/>
                <w:webHidden/>
              </w:rPr>
              <w:tab/>
            </w:r>
            <w:r>
              <w:rPr>
                <w:noProof/>
                <w:webHidden/>
              </w:rPr>
              <w:fldChar w:fldCharType="begin"/>
            </w:r>
            <w:r>
              <w:rPr>
                <w:noProof/>
                <w:webHidden/>
              </w:rPr>
              <w:instrText xml:space="preserve"> PAGEREF _Toc40436576 \h </w:instrText>
            </w:r>
            <w:r>
              <w:rPr>
                <w:noProof/>
                <w:webHidden/>
              </w:rPr>
            </w:r>
            <w:r>
              <w:rPr>
                <w:noProof/>
                <w:webHidden/>
              </w:rPr>
              <w:fldChar w:fldCharType="separate"/>
            </w:r>
            <w:r w:rsidR="00D7239F">
              <w:rPr>
                <w:noProof/>
                <w:webHidden/>
              </w:rPr>
              <w:t>295</w:t>
            </w:r>
            <w:r>
              <w:rPr>
                <w:noProof/>
                <w:webHidden/>
              </w:rPr>
              <w:fldChar w:fldCharType="end"/>
            </w:r>
          </w:hyperlink>
        </w:p>
        <w:p w14:paraId="516969AD" w14:textId="77777777" w:rsidR="000F7CBC" w:rsidRDefault="000F7CBC">
          <w:pPr>
            <w:pStyle w:val="TOC3"/>
            <w:tabs>
              <w:tab w:val="right" w:leader="dot" w:pos="10245"/>
            </w:tabs>
            <w:rPr>
              <w:rFonts w:asciiTheme="minorHAnsi" w:hAnsiTheme="minorHAnsi"/>
              <w:noProof/>
              <w:sz w:val="22"/>
            </w:rPr>
          </w:pPr>
          <w:hyperlink w:anchor="_Toc40436577" w:history="1">
            <w:r w:rsidRPr="00F5686A">
              <w:rPr>
                <w:rStyle w:val="Hyperlink"/>
                <w:noProof/>
              </w:rPr>
              <w:t>9.5.1     Needs of Older Relatives</w:t>
            </w:r>
            <w:r>
              <w:rPr>
                <w:noProof/>
                <w:webHidden/>
              </w:rPr>
              <w:tab/>
            </w:r>
            <w:r>
              <w:rPr>
                <w:noProof/>
                <w:webHidden/>
              </w:rPr>
              <w:fldChar w:fldCharType="begin"/>
            </w:r>
            <w:r>
              <w:rPr>
                <w:noProof/>
                <w:webHidden/>
              </w:rPr>
              <w:instrText xml:space="preserve"> PAGEREF _Toc40436577 \h </w:instrText>
            </w:r>
            <w:r>
              <w:rPr>
                <w:noProof/>
                <w:webHidden/>
              </w:rPr>
            </w:r>
            <w:r>
              <w:rPr>
                <w:noProof/>
                <w:webHidden/>
              </w:rPr>
              <w:fldChar w:fldCharType="separate"/>
            </w:r>
            <w:r w:rsidR="00D7239F">
              <w:rPr>
                <w:noProof/>
                <w:webHidden/>
              </w:rPr>
              <w:t>295</w:t>
            </w:r>
            <w:r>
              <w:rPr>
                <w:noProof/>
                <w:webHidden/>
              </w:rPr>
              <w:fldChar w:fldCharType="end"/>
            </w:r>
          </w:hyperlink>
        </w:p>
        <w:p w14:paraId="5407E551" w14:textId="77777777" w:rsidR="000F7CBC" w:rsidRDefault="000F7CBC">
          <w:pPr>
            <w:pStyle w:val="TOC3"/>
            <w:tabs>
              <w:tab w:val="right" w:leader="dot" w:pos="10245"/>
            </w:tabs>
            <w:rPr>
              <w:rFonts w:asciiTheme="minorHAnsi" w:hAnsiTheme="minorHAnsi"/>
              <w:noProof/>
              <w:sz w:val="22"/>
            </w:rPr>
          </w:pPr>
          <w:hyperlink w:anchor="_Toc40436578" w:history="1">
            <w:r w:rsidRPr="00F5686A">
              <w:rPr>
                <w:rStyle w:val="Hyperlink"/>
                <w:noProof/>
              </w:rPr>
              <w:t>9.5.2     Needs of Family Caregivers</w:t>
            </w:r>
            <w:r>
              <w:rPr>
                <w:noProof/>
                <w:webHidden/>
              </w:rPr>
              <w:tab/>
            </w:r>
            <w:r>
              <w:rPr>
                <w:noProof/>
                <w:webHidden/>
              </w:rPr>
              <w:fldChar w:fldCharType="begin"/>
            </w:r>
            <w:r>
              <w:rPr>
                <w:noProof/>
                <w:webHidden/>
              </w:rPr>
              <w:instrText xml:space="preserve"> PAGEREF _Toc40436578 \h </w:instrText>
            </w:r>
            <w:r>
              <w:rPr>
                <w:noProof/>
                <w:webHidden/>
              </w:rPr>
            </w:r>
            <w:r>
              <w:rPr>
                <w:noProof/>
                <w:webHidden/>
              </w:rPr>
              <w:fldChar w:fldCharType="separate"/>
            </w:r>
            <w:r w:rsidR="00D7239F">
              <w:rPr>
                <w:noProof/>
                <w:webHidden/>
              </w:rPr>
              <w:t>297</w:t>
            </w:r>
            <w:r>
              <w:rPr>
                <w:noProof/>
                <w:webHidden/>
              </w:rPr>
              <w:fldChar w:fldCharType="end"/>
            </w:r>
          </w:hyperlink>
        </w:p>
        <w:p w14:paraId="4DF53B9A" w14:textId="77777777" w:rsidR="000F7CBC" w:rsidRDefault="000F7CBC">
          <w:pPr>
            <w:pStyle w:val="TOC2"/>
            <w:tabs>
              <w:tab w:val="right" w:leader="dot" w:pos="10245"/>
            </w:tabs>
            <w:rPr>
              <w:rFonts w:asciiTheme="minorHAnsi" w:hAnsiTheme="minorHAnsi"/>
              <w:noProof/>
              <w:sz w:val="22"/>
            </w:rPr>
          </w:pPr>
          <w:hyperlink w:anchor="_Toc40436579" w:history="1">
            <w:r w:rsidRPr="00F5686A">
              <w:rPr>
                <w:rStyle w:val="Hyperlink"/>
                <w:noProof/>
              </w:rPr>
              <w:t>9.6 SERVICE PREFERENCES</w:t>
            </w:r>
            <w:r>
              <w:rPr>
                <w:noProof/>
                <w:webHidden/>
              </w:rPr>
              <w:tab/>
            </w:r>
            <w:r>
              <w:rPr>
                <w:noProof/>
                <w:webHidden/>
              </w:rPr>
              <w:fldChar w:fldCharType="begin"/>
            </w:r>
            <w:r>
              <w:rPr>
                <w:noProof/>
                <w:webHidden/>
              </w:rPr>
              <w:instrText xml:space="preserve"> PAGEREF _Toc40436579 \h </w:instrText>
            </w:r>
            <w:r>
              <w:rPr>
                <w:noProof/>
                <w:webHidden/>
              </w:rPr>
            </w:r>
            <w:r>
              <w:rPr>
                <w:noProof/>
                <w:webHidden/>
              </w:rPr>
              <w:fldChar w:fldCharType="separate"/>
            </w:r>
            <w:r w:rsidR="00D7239F">
              <w:rPr>
                <w:noProof/>
                <w:webHidden/>
              </w:rPr>
              <w:t>299</w:t>
            </w:r>
            <w:r>
              <w:rPr>
                <w:noProof/>
                <w:webHidden/>
              </w:rPr>
              <w:fldChar w:fldCharType="end"/>
            </w:r>
          </w:hyperlink>
        </w:p>
        <w:p w14:paraId="53FC615B" w14:textId="77777777" w:rsidR="000F7CBC" w:rsidRDefault="000F7CBC">
          <w:pPr>
            <w:pStyle w:val="TOC3"/>
            <w:tabs>
              <w:tab w:val="right" w:leader="dot" w:pos="10245"/>
            </w:tabs>
            <w:rPr>
              <w:rFonts w:asciiTheme="minorHAnsi" w:hAnsiTheme="minorHAnsi"/>
              <w:noProof/>
              <w:sz w:val="22"/>
            </w:rPr>
          </w:pPr>
          <w:hyperlink w:anchor="_Toc40436580" w:history="1">
            <w:r w:rsidRPr="00F5686A">
              <w:rPr>
                <w:rStyle w:val="Hyperlink"/>
                <w:noProof/>
              </w:rPr>
              <w:t>9.6.1     Gender of Caregiver</w:t>
            </w:r>
            <w:r>
              <w:rPr>
                <w:noProof/>
                <w:webHidden/>
              </w:rPr>
              <w:tab/>
            </w:r>
            <w:r>
              <w:rPr>
                <w:noProof/>
                <w:webHidden/>
              </w:rPr>
              <w:fldChar w:fldCharType="begin"/>
            </w:r>
            <w:r>
              <w:rPr>
                <w:noProof/>
                <w:webHidden/>
              </w:rPr>
              <w:instrText xml:space="preserve"> PAGEREF _Toc40436580 \h </w:instrText>
            </w:r>
            <w:r>
              <w:rPr>
                <w:noProof/>
                <w:webHidden/>
              </w:rPr>
            </w:r>
            <w:r>
              <w:rPr>
                <w:noProof/>
                <w:webHidden/>
              </w:rPr>
              <w:fldChar w:fldCharType="separate"/>
            </w:r>
            <w:r w:rsidR="00D7239F">
              <w:rPr>
                <w:noProof/>
                <w:webHidden/>
              </w:rPr>
              <w:t>299</w:t>
            </w:r>
            <w:r>
              <w:rPr>
                <w:noProof/>
                <w:webHidden/>
              </w:rPr>
              <w:fldChar w:fldCharType="end"/>
            </w:r>
          </w:hyperlink>
        </w:p>
        <w:p w14:paraId="142FB4CE" w14:textId="77777777" w:rsidR="000F7CBC" w:rsidRDefault="000F7CBC">
          <w:pPr>
            <w:pStyle w:val="TOC3"/>
            <w:tabs>
              <w:tab w:val="right" w:leader="dot" w:pos="10245"/>
            </w:tabs>
            <w:rPr>
              <w:rFonts w:asciiTheme="minorHAnsi" w:hAnsiTheme="minorHAnsi"/>
              <w:noProof/>
              <w:sz w:val="22"/>
            </w:rPr>
          </w:pPr>
          <w:hyperlink w:anchor="_Toc40436581" w:history="1">
            <w:r w:rsidRPr="00F5686A">
              <w:rPr>
                <w:rStyle w:val="Hyperlink"/>
                <w:noProof/>
              </w:rPr>
              <w:t>9.6.2     Responsibility for Cost of Care</w:t>
            </w:r>
            <w:r>
              <w:rPr>
                <w:noProof/>
                <w:webHidden/>
              </w:rPr>
              <w:tab/>
            </w:r>
            <w:r>
              <w:rPr>
                <w:noProof/>
                <w:webHidden/>
              </w:rPr>
              <w:fldChar w:fldCharType="begin"/>
            </w:r>
            <w:r>
              <w:rPr>
                <w:noProof/>
                <w:webHidden/>
              </w:rPr>
              <w:instrText xml:space="preserve"> PAGEREF _Toc40436581 \h </w:instrText>
            </w:r>
            <w:r>
              <w:rPr>
                <w:noProof/>
                <w:webHidden/>
              </w:rPr>
            </w:r>
            <w:r>
              <w:rPr>
                <w:noProof/>
                <w:webHidden/>
              </w:rPr>
              <w:fldChar w:fldCharType="separate"/>
            </w:r>
            <w:r w:rsidR="00D7239F">
              <w:rPr>
                <w:noProof/>
                <w:webHidden/>
              </w:rPr>
              <w:t>301</w:t>
            </w:r>
            <w:r>
              <w:rPr>
                <w:noProof/>
                <w:webHidden/>
              </w:rPr>
              <w:fldChar w:fldCharType="end"/>
            </w:r>
          </w:hyperlink>
        </w:p>
        <w:p w14:paraId="05380706" w14:textId="77777777" w:rsidR="000F7CBC" w:rsidRDefault="000F7CBC">
          <w:pPr>
            <w:pStyle w:val="TOC2"/>
            <w:tabs>
              <w:tab w:val="right" w:leader="dot" w:pos="10245"/>
            </w:tabs>
            <w:rPr>
              <w:rFonts w:asciiTheme="minorHAnsi" w:hAnsiTheme="minorHAnsi"/>
              <w:noProof/>
              <w:sz w:val="22"/>
            </w:rPr>
          </w:pPr>
          <w:hyperlink w:anchor="_Toc40436582" w:history="1">
            <w:r w:rsidRPr="00F5686A">
              <w:rPr>
                <w:rStyle w:val="Hyperlink"/>
                <w:noProof/>
              </w:rPr>
              <w:t>9.7 DETERMINANTS OF CARE</w:t>
            </w:r>
            <w:r>
              <w:rPr>
                <w:noProof/>
                <w:webHidden/>
              </w:rPr>
              <w:tab/>
            </w:r>
            <w:r>
              <w:rPr>
                <w:noProof/>
                <w:webHidden/>
              </w:rPr>
              <w:fldChar w:fldCharType="begin"/>
            </w:r>
            <w:r>
              <w:rPr>
                <w:noProof/>
                <w:webHidden/>
              </w:rPr>
              <w:instrText xml:space="preserve"> PAGEREF _Toc40436582 \h </w:instrText>
            </w:r>
            <w:r>
              <w:rPr>
                <w:noProof/>
                <w:webHidden/>
              </w:rPr>
            </w:r>
            <w:r>
              <w:rPr>
                <w:noProof/>
                <w:webHidden/>
              </w:rPr>
              <w:fldChar w:fldCharType="separate"/>
            </w:r>
            <w:r w:rsidR="00D7239F">
              <w:rPr>
                <w:noProof/>
                <w:webHidden/>
              </w:rPr>
              <w:t>304</w:t>
            </w:r>
            <w:r>
              <w:rPr>
                <w:noProof/>
                <w:webHidden/>
              </w:rPr>
              <w:fldChar w:fldCharType="end"/>
            </w:r>
          </w:hyperlink>
        </w:p>
        <w:p w14:paraId="51722FE5" w14:textId="77777777" w:rsidR="000F7CBC" w:rsidRDefault="000F7CBC">
          <w:pPr>
            <w:pStyle w:val="TOC2"/>
            <w:tabs>
              <w:tab w:val="right" w:leader="dot" w:pos="10245"/>
            </w:tabs>
            <w:rPr>
              <w:rFonts w:asciiTheme="minorHAnsi" w:hAnsiTheme="minorHAnsi"/>
              <w:noProof/>
              <w:sz w:val="22"/>
            </w:rPr>
          </w:pPr>
          <w:hyperlink w:anchor="_Toc40436583" w:history="1">
            <w:r w:rsidRPr="00F5686A">
              <w:rPr>
                <w:rStyle w:val="Hyperlink"/>
                <w:noProof/>
              </w:rPr>
              <w:t>9.8 WILLINGNESS TO PROVIDE CARE</w:t>
            </w:r>
            <w:r>
              <w:rPr>
                <w:noProof/>
                <w:webHidden/>
              </w:rPr>
              <w:tab/>
            </w:r>
            <w:r>
              <w:rPr>
                <w:noProof/>
                <w:webHidden/>
              </w:rPr>
              <w:fldChar w:fldCharType="begin"/>
            </w:r>
            <w:r>
              <w:rPr>
                <w:noProof/>
                <w:webHidden/>
              </w:rPr>
              <w:instrText xml:space="preserve"> PAGEREF _Toc40436583 \h </w:instrText>
            </w:r>
            <w:r>
              <w:rPr>
                <w:noProof/>
                <w:webHidden/>
              </w:rPr>
            </w:r>
            <w:r>
              <w:rPr>
                <w:noProof/>
                <w:webHidden/>
              </w:rPr>
              <w:fldChar w:fldCharType="separate"/>
            </w:r>
            <w:r w:rsidR="00D7239F">
              <w:rPr>
                <w:noProof/>
                <w:webHidden/>
              </w:rPr>
              <w:t>306</w:t>
            </w:r>
            <w:r>
              <w:rPr>
                <w:noProof/>
                <w:webHidden/>
              </w:rPr>
              <w:fldChar w:fldCharType="end"/>
            </w:r>
          </w:hyperlink>
        </w:p>
        <w:p w14:paraId="24A43F4E" w14:textId="77777777" w:rsidR="000F7CBC" w:rsidRDefault="000F7CBC">
          <w:pPr>
            <w:pStyle w:val="TOC2"/>
            <w:tabs>
              <w:tab w:val="right" w:leader="dot" w:pos="10245"/>
            </w:tabs>
            <w:rPr>
              <w:rFonts w:asciiTheme="minorHAnsi" w:hAnsiTheme="minorHAnsi"/>
              <w:noProof/>
              <w:sz w:val="22"/>
            </w:rPr>
          </w:pPr>
          <w:hyperlink w:anchor="_Toc40436584" w:history="1">
            <w:r w:rsidRPr="00F5686A">
              <w:rPr>
                <w:rStyle w:val="Hyperlink"/>
                <w:noProof/>
              </w:rPr>
              <w:t>9.9 CONCLUSION</w:t>
            </w:r>
            <w:r>
              <w:rPr>
                <w:noProof/>
                <w:webHidden/>
              </w:rPr>
              <w:tab/>
            </w:r>
            <w:r>
              <w:rPr>
                <w:noProof/>
                <w:webHidden/>
              </w:rPr>
              <w:fldChar w:fldCharType="begin"/>
            </w:r>
            <w:r>
              <w:rPr>
                <w:noProof/>
                <w:webHidden/>
              </w:rPr>
              <w:instrText xml:space="preserve"> PAGEREF _Toc40436584 \h </w:instrText>
            </w:r>
            <w:r>
              <w:rPr>
                <w:noProof/>
                <w:webHidden/>
              </w:rPr>
            </w:r>
            <w:r>
              <w:rPr>
                <w:noProof/>
                <w:webHidden/>
              </w:rPr>
              <w:fldChar w:fldCharType="separate"/>
            </w:r>
            <w:r w:rsidR="00D7239F">
              <w:rPr>
                <w:noProof/>
                <w:webHidden/>
              </w:rPr>
              <w:t>310</w:t>
            </w:r>
            <w:r>
              <w:rPr>
                <w:noProof/>
                <w:webHidden/>
              </w:rPr>
              <w:fldChar w:fldCharType="end"/>
            </w:r>
          </w:hyperlink>
        </w:p>
        <w:p w14:paraId="4C1D6861" w14:textId="77777777" w:rsidR="000F7CBC" w:rsidRDefault="000F7CBC">
          <w:pPr>
            <w:pStyle w:val="TOC1"/>
            <w:rPr>
              <w:rFonts w:asciiTheme="minorHAnsi" w:hAnsiTheme="minorHAnsi"/>
              <w:noProof/>
              <w:sz w:val="22"/>
            </w:rPr>
          </w:pPr>
          <w:hyperlink w:anchor="_Toc40436585" w:history="1">
            <w:r w:rsidRPr="00F5686A">
              <w:rPr>
                <w:rStyle w:val="Hyperlink"/>
                <w:noProof/>
              </w:rPr>
              <w:t>CHAPTER 10 – DISCUSSION &amp; CONCLUSION</w:t>
            </w:r>
            <w:r>
              <w:rPr>
                <w:noProof/>
                <w:webHidden/>
              </w:rPr>
              <w:tab/>
            </w:r>
            <w:r>
              <w:rPr>
                <w:noProof/>
                <w:webHidden/>
              </w:rPr>
              <w:fldChar w:fldCharType="begin"/>
            </w:r>
            <w:r>
              <w:rPr>
                <w:noProof/>
                <w:webHidden/>
              </w:rPr>
              <w:instrText xml:space="preserve"> PAGEREF _Toc40436585 \h </w:instrText>
            </w:r>
            <w:r>
              <w:rPr>
                <w:noProof/>
                <w:webHidden/>
              </w:rPr>
            </w:r>
            <w:r>
              <w:rPr>
                <w:noProof/>
                <w:webHidden/>
              </w:rPr>
              <w:fldChar w:fldCharType="separate"/>
            </w:r>
            <w:r w:rsidR="00D7239F">
              <w:rPr>
                <w:noProof/>
                <w:webHidden/>
              </w:rPr>
              <w:t>312</w:t>
            </w:r>
            <w:r>
              <w:rPr>
                <w:noProof/>
                <w:webHidden/>
              </w:rPr>
              <w:fldChar w:fldCharType="end"/>
            </w:r>
          </w:hyperlink>
        </w:p>
        <w:p w14:paraId="1F3A314C" w14:textId="77777777" w:rsidR="000F7CBC" w:rsidRDefault="000F7CBC">
          <w:pPr>
            <w:pStyle w:val="TOC2"/>
            <w:tabs>
              <w:tab w:val="right" w:leader="dot" w:pos="10245"/>
            </w:tabs>
            <w:rPr>
              <w:rFonts w:asciiTheme="minorHAnsi" w:hAnsiTheme="minorHAnsi"/>
              <w:noProof/>
              <w:sz w:val="22"/>
            </w:rPr>
          </w:pPr>
          <w:hyperlink w:anchor="_Toc40436586" w:history="1">
            <w:r w:rsidRPr="00F5686A">
              <w:rPr>
                <w:rStyle w:val="Hyperlink"/>
                <w:noProof/>
              </w:rPr>
              <w:t>10.1 INTRODUCTION</w:t>
            </w:r>
            <w:r>
              <w:rPr>
                <w:noProof/>
                <w:webHidden/>
              </w:rPr>
              <w:tab/>
            </w:r>
            <w:r>
              <w:rPr>
                <w:noProof/>
                <w:webHidden/>
              </w:rPr>
              <w:fldChar w:fldCharType="begin"/>
            </w:r>
            <w:r>
              <w:rPr>
                <w:noProof/>
                <w:webHidden/>
              </w:rPr>
              <w:instrText xml:space="preserve"> PAGEREF _Toc40436586 \h </w:instrText>
            </w:r>
            <w:r>
              <w:rPr>
                <w:noProof/>
                <w:webHidden/>
              </w:rPr>
            </w:r>
            <w:r>
              <w:rPr>
                <w:noProof/>
                <w:webHidden/>
              </w:rPr>
              <w:fldChar w:fldCharType="separate"/>
            </w:r>
            <w:r w:rsidR="00D7239F">
              <w:rPr>
                <w:noProof/>
                <w:webHidden/>
              </w:rPr>
              <w:t>312</w:t>
            </w:r>
            <w:r>
              <w:rPr>
                <w:noProof/>
                <w:webHidden/>
              </w:rPr>
              <w:fldChar w:fldCharType="end"/>
            </w:r>
          </w:hyperlink>
        </w:p>
        <w:p w14:paraId="16820535" w14:textId="77777777" w:rsidR="000F7CBC" w:rsidRDefault="000F7CBC">
          <w:pPr>
            <w:pStyle w:val="TOC2"/>
            <w:tabs>
              <w:tab w:val="right" w:leader="dot" w:pos="10245"/>
            </w:tabs>
            <w:rPr>
              <w:rFonts w:asciiTheme="minorHAnsi" w:hAnsiTheme="minorHAnsi"/>
              <w:noProof/>
              <w:sz w:val="22"/>
            </w:rPr>
          </w:pPr>
          <w:hyperlink w:anchor="_Toc40436587" w:history="1">
            <w:r w:rsidRPr="00F5686A">
              <w:rPr>
                <w:rStyle w:val="Hyperlink"/>
                <w:noProof/>
              </w:rPr>
              <w:t>10.2 DISCUSSION</w:t>
            </w:r>
            <w:r>
              <w:rPr>
                <w:noProof/>
                <w:webHidden/>
              </w:rPr>
              <w:tab/>
            </w:r>
            <w:r>
              <w:rPr>
                <w:noProof/>
                <w:webHidden/>
              </w:rPr>
              <w:fldChar w:fldCharType="begin"/>
            </w:r>
            <w:r>
              <w:rPr>
                <w:noProof/>
                <w:webHidden/>
              </w:rPr>
              <w:instrText xml:space="preserve"> PAGEREF _Toc40436587 \h </w:instrText>
            </w:r>
            <w:r>
              <w:rPr>
                <w:noProof/>
                <w:webHidden/>
              </w:rPr>
            </w:r>
            <w:r>
              <w:rPr>
                <w:noProof/>
                <w:webHidden/>
              </w:rPr>
              <w:fldChar w:fldCharType="separate"/>
            </w:r>
            <w:r w:rsidR="00D7239F">
              <w:rPr>
                <w:noProof/>
                <w:webHidden/>
              </w:rPr>
              <w:t>312</w:t>
            </w:r>
            <w:r>
              <w:rPr>
                <w:noProof/>
                <w:webHidden/>
              </w:rPr>
              <w:fldChar w:fldCharType="end"/>
            </w:r>
          </w:hyperlink>
        </w:p>
        <w:p w14:paraId="150E7881" w14:textId="77777777" w:rsidR="000F7CBC" w:rsidRDefault="000F7CBC">
          <w:pPr>
            <w:pStyle w:val="TOC3"/>
            <w:tabs>
              <w:tab w:val="right" w:leader="dot" w:pos="10245"/>
            </w:tabs>
            <w:rPr>
              <w:rFonts w:asciiTheme="minorHAnsi" w:hAnsiTheme="minorHAnsi"/>
              <w:noProof/>
              <w:sz w:val="22"/>
            </w:rPr>
          </w:pPr>
          <w:hyperlink w:anchor="_Toc40436588" w:history="1">
            <w:r w:rsidRPr="00F5686A">
              <w:rPr>
                <w:rStyle w:val="Hyperlink"/>
                <w:noProof/>
              </w:rPr>
              <w:t>10.2.1     Determinants of Caregiving</w:t>
            </w:r>
            <w:r>
              <w:rPr>
                <w:noProof/>
                <w:webHidden/>
              </w:rPr>
              <w:tab/>
            </w:r>
            <w:r>
              <w:rPr>
                <w:noProof/>
                <w:webHidden/>
              </w:rPr>
              <w:fldChar w:fldCharType="begin"/>
            </w:r>
            <w:r>
              <w:rPr>
                <w:noProof/>
                <w:webHidden/>
              </w:rPr>
              <w:instrText xml:space="preserve"> PAGEREF _Toc40436588 \h </w:instrText>
            </w:r>
            <w:r>
              <w:rPr>
                <w:noProof/>
                <w:webHidden/>
              </w:rPr>
            </w:r>
            <w:r>
              <w:rPr>
                <w:noProof/>
                <w:webHidden/>
              </w:rPr>
              <w:fldChar w:fldCharType="separate"/>
            </w:r>
            <w:r w:rsidR="00D7239F">
              <w:rPr>
                <w:noProof/>
                <w:webHidden/>
              </w:rPr>
              <w:t>312</w:t>
            </w:r>
            <w:r>
              <w:rPr>
                <w:noProof/>
                <w:webHidden/>
              </w:rPr>
              <w:fldChar w:fldCharType="end"/>
            </w:r>
          </w:hyperlink>
        </w:p>
        <w:p w14:paraId="6731B3D1" w14:textId="77777777" w:rsidR="000F7CBC" w:rsidRDefault="000F7CBC">
          <w:pPr>
            <w:pStyle w:val="TOC3"/>
            <w:tabs>
              <w:tab w:val="right" w:leader="dot" w:pos="10245"/>
            </w:tabs>
            <w:rPr>
              <w:rFonts w:asciiTheme="minorHAnsi" w:hAnsiTheme="minorHAnsi"/>
              <w:noProof/>
              <w:sz w:val="22"/>
            </w:rPr>
          </w:pPr>
          <w:hyperlink w:anchor="_Toc40436589" w:history="1">
            <w:r w:rsidRPr="00F5686A">
              <w:rPr>
                <w:rStyle w:val="Hyperlink"/>
                <w:noProof/>
              </w:rPr>
              <w:t>10.2.2   Experiences of Care</w:t>
            </w:r>
            <w:r>
              <w:rPr>
                <w:noProof/>
                <w:webHidden/>
              </w:rPr>
              <w:tab/>
            </w:r>
            <w:r>
              <w:rPr>
                <w:noProof/>
                <w:webHidden/>
              </w:rPr>
              <w:fldChar w:fldCharType="begin"/>
            </w:r>
            <w:r>
              <w:rPr>
                <w:noProof/>
                <w:webHidden/>
              </w:rPr>
              <w:instrText xml:space="preserve"> PAGEREF _Toc40436589 \h </w:instrText>
            </w:r>
            <w:r>
              <w:rPr>
                <w:noProof/>
                <w:webHidden/>
              </w:rPr>
            </w:r>
            <w:r>
              <w:rPr>
                <w:noProof/>
                <w:webHidden/>
              </w:rPr>
              <w:fldChar w:fldCharType="separate"/>
            </w:r>
            <w:r w:rsidR="00D7239F">
              <w:rPr>
                <w:noProof/>
                <w:webHidden/>
              </w:rPr>
              <w:t>322</w:t>
            </w:r>
            <w:r>
              <w:rPr>
                <w:noProof/>
                <w:webHidden/>
              </w:rPr>
              <w:fldChar w:fldCharType="end"/>
            </w:r>
          </w:hyperlink>
        </w:p>
        <w:p w14:paraId="78CC59A6" w14:textId="77777777" w:rsidR="000F7CBC" w:rsidRDefault="000F7CBC">
          <w:pPr>
            <w:pStyle w:val="TOC3"/>
            <w:tabs>
              <w:tab w:val="right" w:leader="dot" w:pos="10245"/>
            </w:tabs>
            <w:rPr>
              <w:rFonts w:asciiTheme="minorHAnsi" w:hAnsiTheme="minorHAnsi"/>
              <w:noProof/>
              <w:sz w:val="22"/>
            </w:rPr>
          </w:pPr>
          <w:hyperlink w:anchor="_Toc40436590" w:history="1">
            <w:r w:rsidRPr="00F5686A">
              <w:rPr>
                <w:rStyle w:val="Hyperlink"/>
                <w:noProof/>
              </w:rPr>
              <w:t>10.2.3     Coping and Care Management</w:t>
            </w:r>
            <w:r>
              <w:rPr>
                <w:noProof/>
                <w:webHidden/>
              </w:rPr>
              <w:tab/>
            </w:r>
            <w:r>
              <w:rPr>
                <w:noProof/>
                <w:webHidden/>
              </w:rPr>
              <w:fldChar w:fldCharType="begin"/>
            </w:r>
            <w:r>
              <w:rPr>
                <w:noProof/>
                <w:webHidden/>
              </w:rPr>
              <w:instrText xml:space="preserve"> PAGEREF _Toc40436590 \h </w:instrText>
            </w:r>
            <w:r>
              <w:rPr>
                <w:noProof/>
                <w:webHidden/>
              </w:rPr>
            </w:r>
            <w:r>
              <w:rPr>
                <w:noProof/>
                <w:webHidden/>
              </w:rPr>
              <w:fldChar w:fldCharType="separate"/>
            </w:r>
            <w:r w:rsidR="00D7239F">
              <w:rPr>
                <w:noProof/>
                <w:webHidden/>
              </w:rPr>
              <w:t>329</w:t>
            </w:r>
            <w:r>
              <w:rPr>
                <w:noProof/>
                <w:webHidden/>
              </w:rPr>
              <w:fldChar w:fldCharType="end"/>
            </w:r>
          </w:hyperlink>
        </w:p>
        <w:p w14:paraId="529837C1" w14:textId="77777777" w:rsidR="000F7CBC" w:rsidRDefault="000F7CBC">
          <w:pPr>
            <w:pStyle w:val="TOC3"/>
            <w:tabs>
              <w:tab w:val="right" w:leader="dot" w:pos="10245"/>
            </w:tabs>
            <w:rPr>
              <w:rFonts w:asciiTheme="minorHAnsi" w:hAnsiTheme="minorHAnsi"/>
              <w:noProof/>
              <w:sz w:val="22"/>
            </w:rPr>
          </w:pPr>
          <w:hyperlink w:anchor="_Toc40436591" w:history="1">
            <w:r w:rsidRPr="00F5686A">
              <w:rPr>
                <w:rStyle w:val="Hyperlink"/>
                <w:noProof/>
              </w:rPr>
              <w:t>10.2.4     Social Policy Considerations</w:t>
            </w:r>
            <w:r>
              <w:rPr>
                <w:noProof/>
                <w:webHidden/>
              </w:rPr>
              <w:tab/>
            </w:r>
            <w:r>
              <w:rPr>
                <w:noProof/>
                <w:webHidden/>
              </w:rPr>
              <w:fldChar w:fldCharType="begin"/>
            </w:r>
            <w:r>
              <w:rPr>
                <w:noProof/>
                <w:webHidden/>
              </w:rPr>
              <w:instrText xml:space="preserve"> PAGEREF _Toc40436591 \h </w:instrText>
            </w:r>
            <w:r>
              <w:rPr>
                <w:noProof/>
                <w:webHidden/>
              </w:rPr>
            </w:r>
            <w:r>
              <w:rPr>
                <w:noProof/>
                <w:webHidden/>
              </w:rPr>
              <w:fldChar w:fldCharType="separate"/>
            </w:r>
            <w:r w:rsidR="00D7239F">
              <w:rPr>
                <w:noProof/>
                <w:webHidden/>
              </w:rPr>
              <w:t>336</w:t>
            </w:r>
            <w:r>
              <w:rPr>
                <w:noProof/>
                <w:webHidden/>
              </w:rPr>
              <w:fldChar w:fldCharType="end"/>
            </w:r>
          </w:hyperlink>
        </w:p>
        <w:p w14:paraId="349FCA18" w14:textId="77777777" w:rsidR="000F7CBC" w:rsidRDefault="000F7CBC">
          <w:pPr>
            <w:pStyle w:val="TOC3"/>
            <w:tabs>
              <w:tab w:val="right" w:leader="dot" w:pos="10245"/>
            </w:tabs>
            <w:rPr>
              <w:rFonts w:asciiTheme="minorHAnsi" w:hAnsiTheme="minorHAnsi"/>
              <w:noProof/>
              <w:sz w:val="22"/>
            </w:rPr>
          </w:pPr>
          <w:hyperlink w:anchor="_Toc40436592" w:history="1">
            <w:r w:rsidRPr="00F5686A">
              <w:rPr>
                <w:rStyle w:val="Hyperlink"/>
                <w:noProof/>
              </w:rPr>
              <w:t>10.3 CONCLUSION</w:t>
            </w:r>
            <w:r>
              <w:rPr>
                <w:noProof/>
                <w:webHidden/>
              </w:rPr>
              <w:tab/>
            </w:r>
            <w:r>
              <w:rPr>
                <w:noProof/>
                <w:webHidden/>
              </w:rPr>
              <w:fldChar w:fldCharType="begin"/>
            </w:r>
            <w:r>
              <w:rPr>
                <w:noProof/>
                <w:webHidden/>
              </w:rPr>
              <w:instrText xml:space="preserve"> PAGEREF _Toc40436592 \h </w:instrText>
            </w:r>
            <w:r>
              <w:rPr>
                <w:noProof/>
                <w:webHidden/>
              </w:rPr>
            </w:r>
            <w:r>
              <w:rPr>
                <w:noProof/>
                <w:webHidden/>
              </w:rPr>
              <w:fldChar w:fldCharType="separate"/>
            </w:r>
            <w:r w:rsidR="00D7239F">
              <w:rPr>
                <w:noProof/>
                <w:webHidden/>
              </w:rPr>
              <w:t>356</w:t>
            </w:r>
            <w:r>
              <w:rPr>
                <w:noProof/>
                <w:webHidden/>
              </w:rPr>
              <w:fldChar w:fldCharType="end"/>
            </w:r>
          </w:hyperlink>
        </w:p>
        <w:p w14:paraId="7118D288" w14:textId="77777777" w:rsidR="000F7CBC" w:rsidRDefault="000F7CBC">
          <w:pPr>
            <w:pStyle w:val="TOC3"/>
            <w:tabs>
              <w:tab w:val="right" w:leader="dot" w:pos="10245"/>
            </w:tabs>
            <w:rPr>
              <w:rFonts w:asciiTheme="minorHAnsi" w:hAnsiTheme="minorHAnsi"/>
              <w:noProof/>
              <w:sz w:val="22"/>
            </w:rPr>
          </w:pPr>
          <w:hyperlink w:anchor="_Toc40436593" w:history="1">
            <w:r w:rsidRPr="00F5686A">
              <w:rPr>
                <w:rStyle w:val="Hyperlink"/>
                <w:noProof/>
              </w:rPr>
              <w:t>10.3.1     Summary of Key Findings</w:t>
            </w:r>
            <w:r>
              <w:rPr>
                <w:noProof/>
                <w:webHidden/>
              </w:rPr>
              <w:tab/>
            </w:r>
            <w:r>
              <w:rPr>
                <w:noProof/>
                <w:webHidden/>
              </w:rPr>
              <w:fldChar w:fldCharType="begin"/>
            </w:r>
            <w:r>
              <w:rPr>
                <w:noProof/>
                <w:webHidden/>
              </w:rPr>
              <w:instrText xml:space="preserve"> PAGEREF _Toc40436593 \h </w:instrText>
            </w:r>
            <w:r>
              <w:rPr>
                <w:noProof/>
                <w:webHidden/>
              </w:rPr>
            </w:r>
            <w:r>
              <w:rPr>
                <w:noProof/>
                <w:webHidden/>
              </w:rPr>
              <w:fldChar w:fldCharType="separate"/>
            </w:r>
            <w:r w:rsidR="00D7239F">
              <w:rPr>
                <w:noProof/>
                <w:webHidden/>
              </w:rPr>
              <w:t>356</w:t>
            </w:r>
            <w:r>
              <w:rPr>
                <w:noProof/>
                <w:webHidden/>
              </w:rPr>
              <w:fldChar w:fldCharType="end"/>
            </w:r>
          </w:hyperlink>
        </w:p>
        <w:p w14:paraId="6051A71C" w14:textId="77777777" w:rsidR="000F7CBC" w:rsidRDefault="000F7CBC">
          <w:pPr>
            <w:pStyle w:val="TOC3"/>
            <w:tabs>
              <w:tab w:val="right" w:leader="dot" w:pos="10245"/>
            </w:tabs>
            <w:rPr>
              <w:rFonts w:asciiTheme="minorHAnsi" w:hAnsiTheme="minorHAnsi"/>
              <w:noProof/>
              <w:sz w:val="22"/>
            </w:rPr>
          </w:pPr>
          <w:hyperlink w:anchor="_Toc40436594" w:history="1">
            <w:r w:rsidRPr="00F5686A">
              <w:rPr>
                <w:rStyle w:val="Hyperlink"/>
                <w:noProof/>
              </w:rPr>
              <w:t>10.3.2     Social Policy Recommendations</w:t>
            </w:r>
            <w:r>
              <w:rPr>
                <w:noProof/>
                <w:webHidden/>
              </w:rPr>
              <w:tab/>
            </w:r>
            <w:r>
              <w:rPr>
                <w:noProof/>
                <w:webHidden/>
              </w:rPr>
              <w:fldChar w:fldCharType="begin"/>
            </w:r>
            <w:r>
              <w:rPr>
                <w:noProof/>
                <w:webHidden/>
              </w:rPr>
              <w:instrText xml:space="preserve"> PAGEREF _Toc40436594 \h </w:instrText>
            </w:r>
            <w:r>
              <w:rPr>
                <w:noProof/>
                <w:webHidden/>
              </w:rPr>
            </w:r>
            <w:r>
              <w:rPr>
                <w:noProof/>
                <w:webHidden/>
              </w:rPr>
              <w:fldChar w:fldCharType="separate"/>
            </w:r>
            <w:r w:rsidR="00D7239F">
              <w:rPr>
                <w:noProof/>
                <w:webHidden/>
              </w:rPr>
              <w:t>358</w:t>
            </w:r>
            <w:r>
              <w:rPr>
                <w:noProof/>
                <w:webHidden/>
              </w:rPr>
              <w:fldChar w:fldCharType="end"/>
            </w:r>
          </w:hyperlink>
        </w:p>
        <w:p w14:paraId="3784D92E" w14:textId="77777777" w:rsidR="000F7CBC" w:rsidRDefault="000F7CBC">
          <w:pPr>
            <w:pStyle w:val="TOC3"/>
            <w:tabs>
              <w:tab w:val="right" w:leader="dot" w:pos="10245"/>
            </w:tabs>
            <w:rPr>
              <w:rFonts w:asciiTheme="minorHAnsi" w:hAnsiTheme="minorHAnsi"/>
              <w:noProof/>
              <w:sz w:val="22"/>
            </w:rPr>
          </w:pPr>
          <w:hyperlink w:anchor="_Toc40436595" w:history="1">
            <w:r w:rsidRPr="00F5686A">
              <w:rPr>
                <w:rStyle w:val="Hyperlink"/>
                <w:noProof/>
              </w:rPr>
              <w:t>10.3.3     The Research Experience, Limitations &amp; Recommendations for Future Studies</w:t>
            </w:r>
            <w:r>
              <w:rPr>
                <w:noProof/>
                <w:webHidden/>
              </w:rPr>
              <w:tab/>
            </w:r>
            <w:r>
              <w:rPr>
                <w:noProof/>
                <w:webHidden/>
              </w:rPr>
              <w:fldChar w:fldCharType="begin"/>
            </w:r>
            <w:r>
              <w:rPr>
                <w:noProof/>
                <w:webHidden/>
              </w:rPr>
              <w:instrText xml:space="preserve"> PAGEREF _Toc40436595 \h </w:instrText>
            </w:r>
            <w:r>
              <w:rPr>
                <w:noProof/>
                <w:webHidden/>
              </w:rPr>
            </w:r>
            <w:r>
              <w:rPr>
                <w:noProof/>
                <w:webHidden/>
              </w:rPr>
              <w:fldChar w:fldCharType="separate"/>
            </w:r>
            <w:r w:rsidR="00D7239F">
              <w:rPr>
                <w:noProof/>
                <w:webHidden/>
              </w:rPr>
              <w:t>359</w:t>
            </w:r>
            <w:r>
              <w:rPr>
                <w:noProof/>
                <w:webHidden/>
              </w:rPr>
              <w:fldChar w:fldCharType="end"/>
            </w:r>
          </w:hyperlink>
        </w:p>
        <w:p w14:paraId="7E8C84C9" w14:textId="77777777" w:rsidR="000F7CBC" w:rsidRDefault="000F7CBC">
          <w:pPr>
            <w:pStyle w:val="TOC3"/>
            <w:tabs>
              <w:tab w:val="right" w:leader="dot" w:pos="10245"/>
            </w:tabs>
            <w:rPr>
              <w:rFonts w:asciiTheme="minorHAnsi" w:hAnsiTheme="minorHAnsi"/>
              <w:noProof/>
              <w:sz w:val="22"/>
            </w:rPr>
          </w:pPr>
          <w:hyperlink w:anchor="_Toc40436596" w:history="1">
            <w:r w:rsidRPr="00F5686A">
              <w:rPr>
                <w:rStyle w:val="Hyperlink"/>
                <w:noProof/>
              </w:rPr>
              <w:t>10.3.4     Concluding Remarks</w:t>
            </w:r>
            <w:r>
              <w:rPr>
                <w:noProof/>
                <w:webHidden/>
              </w:rPr>
              <w:tab/>
            </w:r>
            <w:r>
              <w:rPr>
                <w:noProof/>
                <w:webHidden/>
              </w:rPr>
              <w:fldChar w:fldCharType="begin"/>
            </w:r>
            <w:r>
              <w:rPr>
                <w:noProof/>
                <w:webHidden/>
              </w:rPr>
              <w:instrText xml:space="preserve"> PAGEREF _Toc40436596 \h </w:instrText>
            </w:r>
            <w:r>
              <w:rPr>
                <w:noProof/>
                <w:webHidden/>
              </w:rPr>
            </w:r>
            <w:r>
              <w:rPr>
                <w:noProof/>
                <w:webHidden/>
              </w:rPr>
              <w:fldChar w:fldCharType="separate"/>
            </w:r>
            <w:r w:rsidR="00D7239F">
              <w:rPr>
                <w:noProof/>
                <w:webHidden/>
              </w:rPr>
              <w:t>362</w:t>
            </w:r>
            <w:r>
              <w:rPr>
                <w:noProof/>
                <w:webHidden/>
              </w:rPr>
              <w:fldChar w:fldCharType="end"/>
            </w:r>
          </w:hyperlink>
        </w:p>
        <w:p w14:paraId="6FCF135E" w14:textId="77777777" w:rsidR="000F7CBC" w:rsidRDefault="000F7CBC">
          <w:pPr>
            <w:pStyle w:val="TOC2"/>
            <w:tabs>
              <w:tab w:val="right" w:leader="dot" w:pos="10245"/>
            </w:tabs>
            <w:rPr>
              <w:rFonts w:asciiTheme="minorHAnsi" w:hAnsiTheme="minorHAnsi"/>
              <w:noProof/>
              <w:sz w:val="22"/>
            </w:rPr>
          </w:pPr>
          <w:hyperlink w:anchor="_Toc40436597" w:history="1">
            <w:r w:rsidRPr="00F5686A">
              <w:rPr>
                <w:rStyle w:val="Hyperlink"/>
                <w:noProof/>
              </w:rPr>
              <w:t>APPENDICES</w:t>
            </w:r>
            <w:r>
              <w:rPr>
                <w:noProof/>
                <w:webHidden/>
              </w:rPr>
              <w:tab/>
            </w:r>
            <w:r>
              <w:rPr>
                <w:noProof/>
                <w:webHidden/>
              </w:rPr>
              <w:fldChar w:fldCharType="begin"/>
            </w:r>
            <w:r>
              <w:rPr>
                <w:noProof/>
                <w:webHidden/>
              </w:rPr>
              <w:instrText xml:space="preserve"> PAGEREF _Toc40436597 \h </w:instrText>
            </w:r>
            <w:r>
              <w:rPr>
                <w:noProof/>
                <w:webHidden/>
              </w:rPr>
            </w:r>
            <w:r>
              <w:rPr>
                <w:noProof/>
                <w:webHidden/>
              </w:rPr>
              <w:fldChar w:fldCharType="separate"/>
            </w:r>
            <w:r w:rsidR="00D7239F">
              <w:rPr>
                <w:noProof/>
                <w:webHidden/>
              </w:rPr>
              <w:t>363</w:t>
            </w:r>
            <w:r>
              <w:rPr>
                <w:noProof/>
                <w:webHidden/>
              </w:rPr>
              <w:fldChar w:fldCharType="end"/>
            </w:r>
          </w:hyperlink>
        </w:p>
        <w:p w14:paraId="76270331" w14:textId="77777777" w:rsidR="000F7CBC" w:rsidRDefault="000F7CBC">
          <w:pPr>
            <w:pStyle w:val="TOC1"/>
            <w:rPr>
              <w:rFonts w:asciiTheme="minorHAnsi" w:hAnsiTheme="minorHAnsi"/>
              <w:noProof/>
              <w:sz w:val="22"/>
            </w:rPr>
          </w:pPr>
          <w:hyperlink w:anchor="_Toc40436598" w:history="1">
            <w:r w:rsidRPr="00F5686A">
              <w:rPr>
                <w:rStyle w:val="Hyperlink"/>
                <w:noProof/>
                <w:lang w:val="es-ES"/>
              </w:rPr>
              <w:t>BIBLIOGRAPHY</w:t>
            </w:r>
            <w:r>
              <w:rPr>
                <w:noProof/>
                <w:webHidden/>
              </w:rPr>
              <w:tab/>
            </w:r>
            <w:r>
              <w:rPr>
                <w:noProof/>
                <w:webHidden/>
              </w:rPr>
              <w:fldChar w:fldCharType="begin"/>
            </w:r>
            <w:r>
              <w:rPr>
                <w:noProof/>
                <w:webHidden/>
              </w:rPr>
              <w:instrText xml:space="preserve"> PAGEREF _Toc40436598 \h </w:instrText>
            </w:r>
            <w:r>
              <w:rPr>
                <w:noProof/>
                <w:webHidden/>
              </w:rPr>
            </w:r>
            <w:r>
              <w:rPr>
                <w:noProof/>
                <w:webHidden/>
              </w:rPr>
              <w:fldChar w:fldCharType="separate"/>
            </w:r>
            <w:r w:rsidR="00D7239F">
              <w:rPr>
                <w:noProof/>
                <w:webHidden/>
              </w:rPr>
              <w:t>462</w:t>
            </w:r>
            <w:r>
              <w:rPr>
                <w:noProof/>
                <w:webHidden/>
              </w:rPr>
              <w:fldChar w:fldCharType="end"/>
            </w:r>
          </w:hyperlink>
        </w:p>
        <w:p w14:paraId="1BCC58F0" w14:textId="2D923281" w:rsidR="004F33B6" w:rsidRPr="00E869A4" w:rsidRDefault="004F33B6">
          <w:r w:rsidRPr="00E869A4">
            <w:rPr>
              <w:b/>
              <w:bCs/>
              <w:noProof/>
            </w:rPr>
            <w:fldChar w:fldCharType="end"/>
          </w:r>
        </w:p>
      </w:sdtContent>
    </w:sdt>
    <w:p w14:paraId="515CC663" w14:textId="77777777" w:rsidR="00D931F2" w:rsidRPr="00E869A4" w:rsidRDefault="00D931F2" w:rsidP="00D931F2">
      <w:pPr>
        <w:pStyle w:val="TableofFigures"/>
      </w:pPr>
    </w:p>
    <w:p w14:paraId="620E41BA" w14:textId="170B2DF1" w:rsidR="00D931F2" w:rsidRPr="00E869A4" w:rsidRDefault="00D931F2" w:rsidP="00D931F2">
      <w:pPr>
        <w:ind w:left="567" w:firstLine="0"/>
        <w:jc w:val="center"/>
        <w:rPr>
          <w:b/>
          <w:sz w:val="32"/>
        </w:rPr>
      </w:pPr>
      <w:r w:rsidRPr="00E869A4">
        <w:rPr>
          <w:b/>
          <w:sz w:val="32"/>
        </w:rPr>
        <w:t>List of Appendices</w:t>
      </w:r>
    </w:p>
    <w:p w14:paraId="1ADC55B8" w14:textId="77777777" w:rsidR="000F7CBC" w:rsidRDefault="005D01E9">
      <w:pPr>
        <w:pStyle w:val="TableofFigures"/>
        <w:rPr>
          <w:rFonts w:asciiTheme="minorHAnsi" w:eastAsiaTheme="minorEastAsia" w:hAnsiTheme="minorHAnsi"/>
          <w:b w:val="0"/>
          <w:noProof/>
          <w:sz w:val="22"/>
          <w:lang w:val="en-GB" w:eastAsia="en-GB"/>
        </w:rPr>
      </w:pPr>
      <w:r w:rsidRPr="00E869A4">
        <w:rPr>
          <w:szCs w:val="24"/>
        </w:rPr>
        <w:fldChar w:fldCharType="begin"/>
      </w:r>
      <w:r w:rsidRPr="00E869A4">
        <w:rPr>
          <w:szCs w:val="24"/>
        </w:rPr>
        <w:instrText xml:space="preserve"> TOC \h \z \c "Appendix" </w:instrText>
      </w:r>
      <w:r w:rsidRPr="00E869A4">
        <w:rPr>
          <w:szCs w:val="24"/>
        </w:rPr>
        <w:fldChar w:fldCharType="separate"/>
      </w:r>
      <w:hyperlink w:anchor="_Toc40436621" w:history="1">
        <w:r w:rsidR="000F7CBC" w:rsidRPr="00D57C1B">
          <w:rPr>
            <w:rStyle w:val="Hyperlink"/>
            <w:noProof/>
            <w:lang w:val="fr-FR"/>
          </w:rPr>
          <w:t>Appendix 1: T&amp;Ts Social Assistance Programmes &amp; Social Care Services</w:t>
        </w:r>
        <w:r w:rsidR="000F7CBC">
          <w:rPr>
            <w:noProof/>
            <w:webHidden/>
          </w:rPr>
          <w:tab/>
        </w:r>
        <w:r w:rsidR="000F7CBC">
          <w:rPr>
            <w:noProof/>
            <w:webHidden/>
          </w:rPr>
          <w:fldChar w:fldCharType="begin"/>
        </w:r>
        <w:r w:rsidR="000F7CBC">
          <w:rPr>
            <w:noProof/>
            <w:webHidden/>
          </w:rPr>
          <w:instrText xml:space="preserve"> PAGEREF _Toc40436621 \h </w:instrText>
        </w:r>
        <w:r w:rsidR="000F7CBC">
          <w:rPr>
            <w:noProof/>
            <w:webHidden/>
          </w:rPr>
        </w:r>
        <w:r w:rsidR="000F7CBC">
          <w:rPr>
            <w:noProof/>
            <w:webHidden/>
          </w:rPr>
          <w:fldChar w:fldCharType="separate"/>
        </w:r>
        <w:r w:rsidR="00D7239F">
          <w:rPr>
            <w:noProof/>
            <w:webHidden/>
          </w:rPr>
          <w:t>363</w:t>
        </w:r>
        <w:r w:rsidR="000F7CBC">
          <w:rPr>
            <w:noProof/>
            <w:webHidden/>
          </w:rPr>
          <w:fldChar w:fldCharType="end"/>
        </w:r>
      </w:hyperlink>
    </w:p>
    <w:p w14:paraId="11D13077" w14:textId="77777777" w:rsidR="000F7CBC" w:rsidRDefault="000F7CBC">
      <w:pPr>
        <w:pStyle w:val="TableofFigures"/>
        <w:rPr>
          <w:rFonts w:asciiTheme="minorHAnsi" w:eastAsiaTheme="minorEastAsia" w:hAnsiTheme="minorHAnsi"/>
          <w:b w:val="0"/>
          <w:noProof/>
          <w:sz w:val="22"/>
          <w:lang w:val="en-GB" w:eastAsia="en-GB"/>
        </w:rPr>
      </w:pPr>
      <w:hyperlink w:anchor="_Toc40436622" w:history="1">
        <w:r w:rsidRPr="00D57C1B">
          <w:rPr>
            <w:rStyle w:val="Hyperlink"/>
            <w:noProof/>
            <w:lang w:val="fr-FR"/>
          </w:rPr>
          <w:t>Appendix 2: T&amp;T’s Pension / Social Insurance Prgrammes</w:t>
        </w:r>
        <w:r>
          <w:rPr>
            <w:noProof/>
            <w:webHidden/>
          </w:rPr>
          <w:tab/>
        </w:r>
        <w:r>
          <w:rPr>
            <w:noProof/>
            <w:webHidden/>
          </w:rPr>
          <w:fldChar w:fldCharType="begin"/>
        </w:r>
        <w:r>
          <w:rPr>
            <w:noProof/>
            <w:webHidden/>
          </w:rPr>
          <w:instrText xml:space="preserve"> PAGEREF _Toc40436622 \h </w:instrText>
        </w:r>
        <w:r>
          <w:rPr>
            <w:noProof/>
            <w:webHidden/>
          </w:rPr>
        </w:r>
        <w:r>
          <w:rPr>
            <w:noProof/>
            <w:webHidden/>
          </w:rPr>
          <w:fldChar w:fldCharType="separate"/>
        </w:r>
        <w:r w:rsidR="00D7239F">
          <w:rPr>
            <w:noProof/>
            <w:webHidden/>
          </w:rPr>
          <w:t>366</w:t>
        </w:r>
        <w:r>
          <w:rPr>
            <w:noProof/>
            <w:webHidden/>
          </w:rPr>
          <w:fldChar w:fldCharType="end"/>
        </w:r>
      </w:hyperlink>
    </w:p>
    <w:p w14:paraId="213CF6AF" w14:textId="77777777" w:rsidR="000F7CBC" w:rsidRDefault="000F7CBC">
      <w:pPr>
        <w:pStyle w:val="TableofFigures"/>
        <w:rPr>
          <w:rFonts w:asciiTheme="minorHAnsi" w:eastAsiaTheme="minorEastAsia" w:hAnsiTheme="minorHAnsi"/>
          <w:b w:val="0"/>
          <w:noProof/>
          <w:sz w:val="22"/>
          <w:lang w:val="en-GB" w:eastAsia="en-GB"/>
        </w:rPr>
      </w:pPr>
      <w:hyperlink w:anchor="_Toc40436623" w:history="1">
        <w:r w:rsidRPr="00D57C1B">
          <w:rPr>
            <w:rStyle w:val="Hyperlink"/>
            <w:noProof/>
          </w:rPr>
          <w:t>Appendix 3: Dimensions &amp; Components of Care</w:t>
        </w:r>
        <w:r>
          <w:rPr>
            <w:noProof/>
            <w:webHidden/>
          </w:rPr>
          <w:tab/>
        </w:r>
        <w:r>
          <w:rPr>
            <w:noProof/>
            <w:webHidden/>
          </w:rPr>
          <w:fldChar w:fldCharType="begin"/>
        </w:r>
        <w:r>
          <w:rPr>
            <w:noProof/>
            <w:webHidden/>
          </w:rPr>
          <w:instrText xml:space="preserve"> PAGEREF _Toc40436623 \h </w:instrText>
        </w:r>
        <w:r>
          <w:rPr>
            <w:noProof/>
            <w:webHidden/>
          </w:rPr>
        </w:r>
        <w:r>
          <w:rPr>
            <w:noProof/>
            <w:webHidden/>
          </w:rPr>
          <w:fldChar w:fldCharType="separate"/>
        </w:r>
        <w:r w:rsidR="00D7239F">
          <w:rPr>
            <w:noProof/>
            <w:webHidden/>
          </w:rPr>
          <w:t>368</w:t>
        </w:r>
        <w:r>
          <w:rPr>
            <w:noProof/>
            <w:webHidden/>
          </w:rPr>
          <w:fldChar w:fldCharType="end"/>
        </w:r>
      </w:hyperlink>
    </w:p>
    <w:p w14:paraId="3AD06CEB" w14:textId="77777777" w:rsidR="000F7CBC" w:rsidRDefault="000F7CBC">
      <w:pPr>
        <w:pStyle w:val="TableofFigures"/>
        <w:rPr>
          <w:rFonts w:asciiTheme="minorHAnsi" w:eastAsiaTheme="minorEastAsia" w:hAnsiTheme="minorHAnsi"/>
          <w:b w:val="0"/>
          <w:noProof/>
          <w:sz w:val="22"/>
          <w:lang w:val="en-GB" w:eastAsia="en-GB"/>
        </w:rPr>
      </w:pPr>
      <w:hyperlink w:anchor="_Toc40436624" w:history="1">
        <w:r w:rsidRPr="00D57C1B">
          <w:rPr>
            <w:rStyle w:val="Hyperlink"/>
            <w:noProof/>
          </w:rPr>
          <w:t>Appendix 4: Information Sheet &amp; Consent Form</w:t>
        </w:r>
        <w:r>
          <w:rPr>
            <w:noProof/>
            <w:webHidden/>
          </w:rPr>
          <w:tab/>
        </w:r>
        <w:r>
          <w:rPr>
            <w:noProof/>
            <w:webHidden/>
          </w:rPr>
          <w:fldChar w:fldCharType="begin"/>
        </w:r>
        <w:r>
          <w:rPr>
            <w:noProof/>
            <w:webHidden/>
          </w:rPr>
          <w:instrText xml:space="preserve"> PAGEREF _Toc40436624 \h </w:instrText>
        </w:r>
        <w:r>
          <w:rPr>
            <w:noProof/>
            <w:webHidden/>
          </w:rPr>
        </w:r>
        <w:r>
          <w:rPr>
            <w:noProof/>
            <w:webHidden/>
          </w:rPr>
          <w:fldChar w:fldCharType="separate"/>
        </w:r>
        <w:r w:rsidR="00D7239F">
          <w:rPr>
            <w:noProof/>
            <w:webHidden/>
          </w:rPr>
          <w:t>369</w:t>
        </w:r>
        <w:r>
          <w:rPr>
            <w:noProof/>
            <w:webHidden/>
          </w:rPr>
          <w:fldChar w:fldCharType="end"/>
        </w:r>
      </w:hyperlink>
    </w:p>
    <w:p w14:paraId="68EF48F0" w14:textId="77777777" w:rsidR="000F7CBC" w:rsidRDefault="000F7CBC">
      <w:pPr>
        <w:pStyle w:val="TableofFigures"/>
        <w:rPr>
          <w:rFonts w:asciiTheme="minorHAnsi" w:eastAsiaTheme="minorEastAsia" w:hAnsiTheme="minorHAnsi"/>
          <w:b w:val="0"/>
          <w:noProof/>
          <w:sz w:val="22"/>
          <w:lang w:val="en-GB" w:eastAsia="en-GB"/>
        </w:rPr>
      </w:pPr>
      <w:hyperlink w:anchor="_Toc40436625" w:history="1">
        <w:r w:rsidRPr="00D57C1B">
          <w:rPr>
            <w:rStyle w:val="Hyperlink"/>
            <w:noProof/>
          </w:rPr>
          <w:t>Appendix 5: Interview Guides</w:t>
        </w:r>
        <w:r>
          <w:rPr>
            <w:noProof/>
            <w:webHidden/>
          </w:rPr>
          <w:tab/>
        </w:r>
        <w:r>
          <w:rPr>
            <w:noProof/>
            <w:webHidden/>
          </w:rPr>
          <w:fldChar w:fldCharType="begin"/>
        </w:r>
        <w:r>
          <w:rPr>
            <w:noProof/>
            <w:webHidden/>
          </w:rPr>
          <w:instrText xml:space="preserve"> PAGEREF _Toc40436625 \h </w:instrText>
        </w:r>
        <w:r>
          <w:rPr>
            <w:noProof/>
            <w:webHidden/>
          </w:rPr>
        </w:r>
        <w:r>
          <w:rPr>
            <w:noProof/>
            <w:webHidden/>
          </w:rPr>
          <w:fldChar w:fldCharType="separate"/>
        </w:r>
        <w:r w:rsidR="00D7239F">
          <w:rPr>
            <w:noProof/>
            <w:webHidden/>
          </w:rPr>
          <w:t>377</w:t>
        </w:r>
        <w:r>
          <w:rPr>
            <w:noProof/>
            <w:webHidden/>
          </w:rPr>
          <w:fldChar w:fldCharType="end"/>
        </w:r>
      </w:hyperlink>
    </w:p>
    <w:p w14:paraId="3ECE09A9" w14:textId="77777777" w:rsidR="000F7CBC" w:rsidRDefault="000F7CBC">
      <w:pPr>
        <w:pStyle w:val="TableofFigures"/>
        <w:rPr>
          <w:rFonts w:asciiTheme="minorHAnsi" w:eastAsiaTheme="minorEastAsia" w:hAnsiTheme="minorHAnsi"/>
          <w:b w:val="0"/>
          <w:noProof/>
          <w:sz w:val="22"/>
          <w:lang w:val="en-GB" w:eastAsia="en-GB"/>
        </w:rPr>
      </w:pPr>
      <w:hyperlink w:anchor="_Toc40436626" w:history="1">
        <w:r w:rsidRPr="00D57C1B">
          <w:rPr>
            <w:rStyle w:val="Hyperlink"/>
            <w:noProof/>
          </w:rPr>
          <w:t>Appendix 6: Project Flyer &amp; Survey Advertisement</w:t>
        </w:r>
        <w:r>
          <w:rPr>
            <w:noProof/>
            <w:webHidden/>
          </w:rPr>
          <w:tab/>
        </w:r>
        <w:r>
          <w:rPr>
            <w:noProof/>
            <w:webHidden/>
          </w:rPr>
          <w:fldChar w:fldCharType="begin"/>
        </w:r>
        <w:r>
          <w:rPr>
            <w:noProof/>
            <w:webHidden/>
          </w:rPr>
          <w:instrText xml:space="preserve"> PAGEREF _Toc40436626 \h </w:instrText>
        </w:r>
        <w:r>
          <w:rPr>
            <w:noProof/>
            <w:webHidden/>
          </w:rPr>
        </w:r>
        <w:r>
          <w:rPr>
            <w:noProof/>
            <w:webHidden/>
          </w:rPr>
          <w:fldChar w:fldCharType="separate"/>
        </w:r>
        <w:r w:rsidR="00D7239F">
          <w:rPr>
            <w:noProof/>
            <w:webHidden/>
          </w:rPr>
          <w:t>399</w:t>
        </w:r>
        <w:r>
          <w:rPr>
            <w:noProof/>
            <w:webHidden/>
          </w:rPr>
          <w:fldChar w:fldCharType="end"/>
        </w:r>
      </w:hyperlink>
    </w:p>
    <w:p w14:paraId="01557682" w14:textId="77777777" w:rsidR="000F7CBC" w:rsidRDefault="000F7CBC">
      <w:pPr>
        <w:pStyle w:val="TableofFigures"/>
        <w:rPr>
          <w:rFonts w:asciiTheme="minorHAnsi" w:eastAsiaTheme="minorEastAsia" w:hAnsiTheme="minorHAnsi"/>
          <w:b w:val="0"/>
          <w:noProof/>
          <w:sz w:val="22"/>
          <w:lang w:val="en-GB" w:eastAsia="en-GB"/>
        </w:rPr>
      </w:pPr>
      <w:hyperlink w:anchor="_Toc40436627" w:history="1">
        <w:r w:rsidRPr="00D57C1B">
          <w:rPr>
            <w:rStyle w:val="Hyperlink"/>
            <w:noProof/>
          </w:rPr>
          <w:t>Appendix 7: Willingness to Care Survey Questionnaire</w:t>
        </w:r>
        <w:r>
          <w:rPr>
            <w:noProof/>
            <w:webHidden/>
          </w:rPr>
          <w:tab/>
        </w:r>
        <w:r>
          <w:rPr>
            <w:noProof/>
            <w:webHidden/>
          </w:rPr>
          <w:fldChar w:fldCharType="begin"/>
        </w:r>
        <w:r>
          <w:rPr>
            <w:noProof/>
            <w:webHidden/>
          </w:rPr>
          <w:instrText xml:space="preserve"> PAGEREF _Toc40436627 \h </w:instrText>
        </w:r>
        <w:r>
          <w:rPr>
            <w:noProof/>
            <w:webHidden/>
          </w:rPr>
        </w:r>
        <w:r>
          <w:rPr>
            <w:noProof/>
            <w:webHidden/>
          </w:rPr>
          <w:fldChar w:fldCharType="separate"/>
        </w:r>
        <w:r w:rsidR="00D7239F">
          <w:rPr>
            <w:noProof/>
            <w:webHidden/>
          </w:rPr>
          <w:t>401</w:t>
        </w:r>
        <w:r>
          <w:rPr>
            <w:noProof/>
            <w:webHidden/>
          </w:rPr>
          <w:fldChar w:fldCharType="end"/>
        </w:r>
      </w:hyperlink>
    </w:p>
    <w:p w14:paraId="46B01219" w14:textId="77777777" w:rsidR="000F7CBC" w:rsidRDefault="000F7CBC">
      <w:pPr>
        <w:pStyle w:val="TableofFigures"/>
        <w:rPr>
          <w:rFonts w:asciiTheme="minorHAnsi" w:eastAsiaTheme="minorEastAsia" w:hAnsiTheme="minorHAnsi"/>
          <w:b w:val="0"/>
          <w:noProof/>
          <w:sz w:val="22"/>
          <w:lang w:val="en-GB" w:eastAsia="en-GB"/>
        </w:rPr>
      </w:pPr>
      <w:hyperlink w:anchor="_Toc40436628" w:history="1">
        <w:r w:rsidRPr="00D57C1B">
          <w:rPr>
            <w:rStyle w:val="Hyperlink"/>
            <w:noProof/>
          </w:rPr>
          <w:t>Appendix 8: Focus Group Topic Guide</w:t>
        </w:r>
        <w:r>
          <w:rPr>
            <w:noProof/>
            <w:webHidden/>
          </w:rPr>
          <w:tab/>
        </w:r>
        <w:r>
          <w:rPr>
            <w:noProof/>
            <w:webHidden/>
          </w:rPr>
          <w:fldChar w:fldCharType="begin"/>
        </w:r>
        <w:r>
          <w:rPr>
            <w:noProof/>
            <w:webHidden/>
          </w:rPr>
          <w:instrText xml:space="preserve"> PAGEREF _Toc40436628 \h </w:instrText>
        </w:r>
        <w:r>
          <w:rPr>
            <w:noProof/>
            <w:webHidden/>
          </w:rPr>
        </w:r>
        <w:r>
          <w:rPr>
            <w:noProof/>
            <w:webHidden/>
          </w:rPr>
          <w:fldChar w:fldCharType="separate"/>
        </w:r>
        <w:r w:rsidR="00D7239F">
          <w:rPr>
            <w:noProof/>
            <w:webHidden/>
          </w:rPr>
          <w:t>426</w:t>
        </w:r>
        <w:r>
          <w:rPr>
            <w:noProof/>
            <w:webHidden/>
          </w:rPr>
          <w:fldChar w:fldCharType="end"/>
        </w:r>
      </w:hyperlink>
    </w:p>
    <w:p w14:paraId="6BB31DC0" w14:textId="77777777" w:rsidR="000F7CBC" w:rsidRDefault="000F7CBC">
      <w:pPr>
        <w:pStyle w:val="TableofFigures"/>
        <w:rPr>
          <w:rFonts w:asciiTheme="minorHAnsi" w:eastAsiaTheme="minorEastAsia" w:hAnsiTheme="minorHAnsi"/>
          <w:b w:val="0"/>
          <w:noProof/>
          <w:sz w:val="22"/>
          <w:lang w:val="en-GB" w:eastAsia="en-GB"/>
        </w:rPr>
      </w:pPr>
      <w:hyperlink w:anchor="_Toc40436629" w:history="1">
        <w:r w:rsidRPr="00D57C1B">
          <w:rPr>
            <w:rStyle w:val="Hyperlink"/>
            <w:noProof/>
          </w:rPr>
          <w:t>Appendix 9: Pen Portraits of Interview Participants</w:t>
        </w:r>
        <w:r>
          <w:rPr>
            <w:noProof/>
            <w:webHidden/>
          </w:rPr>
          <w:tab/>
        </w:r>
        <w:r>
          <w:rPr>
            <w:noProof/>
            <w:webHidden/>
          </w:rPr>
          <w:fldChar w:fldCharType="begin"/>
        </w:r>
        <w:r>
          <w:rPr>
            <w:noProof/>
            <w:webHidden/>
          </w:rPr>
          <w:instrText xml:space="preserve"> PAGEREF _Toc40436629 \h </w:instrText>
        </w:r>
        <w:r>
          <w:rPr>
            <w:noProof/>
            <w:webHidden/>
          </w:rPr>
        </w:r>
        <w:r>
          <w:rPr>
            <w:noProof/>
            <w:webHidden/>
          </w:rPr>
          <w:fldChar w:fldCharType="separate"/>
        </w:r>
        <w:r w:rsidR="00D7239F">
          <w:rPr>
            <w:noProof/>
            <w:webHidden/>
          </w:rPr>
          <w:t>432</w:t>
        </w:r>
        <w:r>
          <w:rPr>
            <w:noProof/>
            <w:webHidden/>
          </w:rPr>
          <w:fldChar w:fldCharType="end"/>
        </w:r>
      </w:hyperlink>
    </w:p>
    <w:p w14:paraId="51893DCB" w14:textId="77777777" w:rsidR="000F7CBC" w:rsidRDefault="000F7CBC">
      <w:pPr>
        <w:pStyle w:val="TableofFigures"/>
        <w:rPr>
          <w:rFonts w:asciiTheme="minorHAnsi" w:eastAsiaTheme="minorEastAsia" w:hAnsiTheme="minorHAnsi"/>
          <w:b w:val="0"/>
          <w:noProof/>
          <w:sz w:val="22"/>
          <w:lang w:val="en-GB" w:eastAsia="en-GB"/>
        </w:rPr>
      </w:pPr>
      <w:hyperlink w:anchor="_Toc40436630" w:history="1">
        <w:r w:rsidRPr="00D57C1B">
          <w:rPr>
            <w:rStyle w:val="Hyperlink"/>
            <w:noProof/>
          </w:rPr>
          <w:t>Appendix 10: Survey Results - Quality of Sate Services for Older Persons</w:t>
        </w:r>
        <w:r>
          <w:rPr>
            <w:noProof/>
            <w:webHidden/>
          </w:rPr>
          <w:tab/>
        </w:r>
        <w:r>
          <w:rPr>
            <w:noProof/>
            <w:webHidden/>
          </w:rPr>
          <w:fldChar w:fldCharType="begin"/>
        </w:r>
        <w:r>
          <w:rPr>
            <w:noProof/>
            <w:webHidden/>
          </w:rPr>
          <w:instrText xml:space="preserve"> PAGEREF _Toc40436630 \h </w:instrText>
        </w:r>
        <w:r>
          <w:rPr>
            <w:noProof/>
            <w:webHidden/>
          </w:rPr>
        </w:r>
        <w:r>
          <w:rPr>
            <w:noProof/>
            <w:webHidden/>
          </w:rPr>
          <w:fldChar w:fldCharType="separate"/>
        </w:r>
        <w:r w:rsidR="00D7239F">
          <w:rPr>
            <w:noProof/>
            <w:webHidden/>
          </w:rPr>
          <w:t>461</w:t>
        </w:r>
        <w:r>
          <w:rPr>
            <w:noProof/>
            <w:webHidden/>
          </w:rPr>
          <w:fldChar w:fldCharType="end"/>
        </w:r>
      </w:hyperlink>
    </w:p>
    <w:p w14:paraId="2A83AEF3" w14:textId="77777777" w:rsidR="005D01E9" w:rsidRPr="00E869A4" w:rsidRDefault="005D01E9">
      <w:pPr>
        <w:rPr>
          <w:rFonts w:ascii="Times New Roman" w:hAnsi="Times New Roman" w:cs="Times New Roman"/>
          <w:b/>
          <w:bCs/>
          <w:sz w:val="32"/>
          <w:szCs w:val="24"/>
          <w:lang w:val="fr-FR"/>
        </w:rPr>
      </w:pPr>
      <w:r w:rsidRPr="00E869A4">
        <w:rPr>
          <w:szCs w:val="24"/>
        </w:rPr>
        <w:fldChar w:fldCharType="end"/>
      </w:r>
    </w:p>
    <w:p w14:paraId="7DAFC00A" w14:textId="77777777" w:rsidR="009B0DD3" w:rsidRPr="00E869A4" w:rsidRDefault="009B0DD3">
      <w:pPr>
        <w:rPr>
          <w:rFonts w:ascii="Times New Roman" w:hAnsi="Times New Roman" w:cs="Times New Roman"/>
          <w:b/>
          <w:bCs/>
          <w:sz w:val="32"/>
          <w:szCs w:val="28"/>
          <w:lang w:val="fr-FR"/>
        </w:rPr>
      </w:pPr>
      <w:r w:rsidRPr="00E869A4">
        <w:br w:type="page"/>
      </w:r>
    </w:p>
    <w:p w14:paraId="671041AB" w14:textId="663E437B" w:rsidR="00E63452" w:rsidRPr="00E869A4" w:rsidRDefault="00E63452" w:rsidP="00E63452">
      <w:pPr>
        <w:pStyle w:val="Heading1"/>
      </w:pPr>
      <w:bookmarkStart w:id="3" w:name="_Toc40436441"/>
      <w:r w:rsidRPr="00E869A4">
        <w:lastRenderedPageBreak/>
        <w:t>List of Tables</w:t>
      </w:r>
      <w:bookmarkEnd w:id="3"/>
    </w:p>
    <w:p w14:paraId="4C9DCA1F" w14:textId="77777777" w:rsidR="000F7CBC" w:rsidRDefault="00E63452">
      <w:pPr>
        <w:pStyle w:val="TableofFigures"/>
        <w:rPr>
          <w:rFonts w:asciiTheme="minorHAnsi" w:eastAsiaTheme="minorEastAsia" w:hAnsiTheme="minorHAnsi"/>
          <w:b w:val="0"/>
          <w:noProof/>
          <w:sz w:val="22"/>
          <w:lang w:val="en-GB" w:eastAsia="en-GB"/>
        </w:rPr>
      </w:pPr>
      <w:r w:rsidRPr="00E869A4">
        <w:rPr>
          <w:rFonts w:cs="Times New Roman"/>
          <w:lang w:val="en-GB"/>
        </w:rPr>
        <w:fldChar w:fldCharType="begin"/>
      </w:r>
      <w:r w:rsidRPr="00E869A4">
        <w:rPr>
          <w:rFonts w:cs="Times New Roman"/>
          <w:lang w:val="en-GB"/>
        </w:rPr>
        <w:instrText xml:space="preserve"> TOC \h \z \c "Table" </w:instrText>
      </w:r>
      <w:r w:rsidRPr="00E869A4">
        <w:rPr>
          <w:rFonts w:cs="Times New Roman"/>
          <w:lang w:val="en-GB"/>
        </w:rPr>
        <w:fldChar w:fldCharType="separate"/>
      </w:r>
      <w:hyperlink w:anchor="_Toc40436600" w:history="1">
        <w:r w:rsidR="000F7CBC" w:rsidRPr="00C40A96">
          <w:rPr>
            <w:rStyle w:val="Hyperlink"/>
            <w:noProof/>
          </w:rPr>
          <w:t>Table 1: Indicators of the Demographic Ageing Process in T&amp;T, UK, LAC and the OECD</w:t>
        </w:r>
        <w:r w:rsidR="000F7CBC">
          <w:rPr>
            <w:noProof/>
            <w:webHidden/>
          </w:rPr>
          <w:tab/>
        </w:r>
        <w:r w:rsidR="000F7CBC">
          <w:rPr>
            <w:noProof/>
            <w:webHidden/>
          </w:rPr>
          <w:fldChar w:fldCharType="begin"/>
        </w:r>
        <w:r w:rsidR="000F7CBC">
          <w:rPr>
            <w:noProof/>
            <w:webHidden/>
          </w:rPr>
          <w:instrText xml:space="preserve"> PAGEREF _Toc40436600 \h </w:instrText>
        </w:r>
        <w:r w:rsidR="000F7CBC">
          <w:rPr>
            <w:noProof/>
            <w:webHidden/>
          </w:rPr>
        </w:r>
        <w:r w:rsidR="000F7CBC">
          <w:rPr>
            <w:noProof/>
            <w:webHidden/>
          </w:rPr>
          <w:fldChar w:fldCharType="separate"/>
        </w:r>
        <w:r w:rsidR="00D7239F">
          <w:rPr>
            <w:noProof/>
            <w:webHidden/>
          </w:rPr>
          <w:t>27</w:t>
        </w:r>
        <w:r w:rsidR="000F7CBC">
          <w:rPr>
            <w:noProof/>
            <w:webHidden/>
          </w:rPr>
          <w:fldChar w:fldCharType="end"/>
        </w:r>
      </w:hyperlink>
    </w:p>
    <w:p w14:paraId="5C5FD81C" w14:textId="77777777" w:rsidR="000F7CBC" w:rsidRDefault="000F7CBC">
      <w:pPr>
        <w:pStyle w:val="TableofFigures"/>
        <w:rPr>
          <w:rFonts w:asciiTheme="minorHAnsi" w:eastAsiaTheme="minorEastAsia" w:hAnsiTheme="minorHAnsi"/>
          <w:b w:val="0"/>
          <w:noProof/>
          <w:sz w:val="22"/>
          <w:lang w:val="en-GB" w:eastAsia="en-GB"/>
        </w:rPr>
      </w:pPr>
      <w:hyperlink w:anchor="_Toc40436601" w:history="1">
        <w:r w:rsidRPr="00C40A96">
          <w:rPr>
            <w:rStyle w:val="Hyperlink"/>
            <w:noProof/>
          </w:rPr>
          <w:t>Table 2: Main Social Protection Programmes for Frail Older Persons and Family Caregivers</w:t>
        </w:r>
        <w:r>
          <w:rPr>
            <w:noProof/>
            <w:webHidden/>
          </w:rPr>
          <w:tab/>
        </w:r>
        <w:r>
          <w:rPr>
            <w:noProof/>
            <w:webHidden/>
          </w:rPr>
          <w:fldChar w:fldCharType="begin"/>
        </w:r>
        <w:r>
          <w:rPr>
            <w:noProof/>
            <w:webHidden/>
          </w:rPr>
          <w:instrText xml:space="preserve"> PAGEREF _Toc40436601 \h </w:instrText>
        </w:r>
        <w:r>
          <w:rPr>
            <w:noProof/>
            <w:webHidden/>
          </w:rPr>
        </w:r>
        <w:r>
          <w:rPr>
            <w:noProof/>
            <w:webHidden/>
          </w:rPr>
          <w:fldChar w:fldCharType="separate"/>
        </w:r>
        <w:r w:rsidR="00D7239F">
          <w:rPr>
            <w:noProof/>
            <w:webHidden/>
          </w:rPr>
          <w:t>32</w:t>
        </w:r>
        <w:r>
          <w:rPr>
            <w:noProof/>
            <w:webHidden/>
          </w:rPr>
          <w:fldChar w:fldCharType="end"/>
        </w:r>
      </w:hyperlink>
    </w:p>
    <w:p w14:paraId="63F283A2" w14:textId="77777777" w:rsidR="000F7CBC" w:rsidRDefault="000F7CBC">
      <w:pPr>
        <w:pStyle w:val="TableofFigures"/>
        <w:rPr>
          <w:rFonts w:asciiTheme="minorHAnsi" w:eastAsiaTheme="minorEastAsia" w:hAnsiTheme="minorHAnsi"/>
          <w:b w:val="0"/>
          <w:noProof/>
          <w:sz w:val="22"/>
          <w:lang w:val="en-GB" w:eastAsia="en-GB"/>
        </w:rPr>
      </w:pPr>
      <w:hyperlink w:anchor="_Toc40436602" w:history="1">
        <w:r w:rsidRPr="00C40A96">
          <w:rPr>
            <w:rStyle w:val="Hyperlink"/>
            <w:noProof/>
          </w:rPr>
          <w:t>Table 3: Combinations of Strong/Weak Familialisation and De-Familialisation</w:t>
        </w:r>
        <w:r>
          <w:rPr>
            <w:noProof/>
            <w:webHidden/>
          </w:rPr>
          <w:tab/>
        </w:r>
        <w:r>
          <w:rPr>
            <w:noProof/>
            <w:webHidden/>
          </w:rPr>
          <w:fldChar w:fldCharType="begin"/>
        </w:r>
        <w:r>
          <w:rPr>
            <w:noProof/>
            <w:webHidden/>
          </w:rPr>
          <w:instrText xml:space="preserve"> PAGEREF _Toc40436602 \h </w:instrText>
        </w:r>
        <w:r>
          <w:rPr>
            <w:noProof/>
            <w:webHidden/>
          </w:rPr>
        </w:r>
        <w:r>
          <w:rPr>
            <w:noProof/>
            <w:webHidden/>
          </w:rPr>
          <w:fldChar w:fldCharType="separate"/>
        </w:r>
        <w:r w:rsidR="00D7239F">
          <w:rPr>
            <w:noProof/>
            <w:webHidden/>
          </w:rPr>
          <w:t>74</w:t>
        </w:r>
        <w:r>
          <w:rPr>
            <w:noProof/>
            <w:webHidden/>
          </w:rPr>
          <w:fldChar w:fldCharType="end"/>
        </w:r>
      </w:hyperlink>
    </w:p>
    <w:p w14:paraId="69B0D968" w14:textId="77777777" w:rsidR="000F7CBC" w:rsidRDefault="000F7CBC">
      <w:pPr>
        <w:pStyle w:val="TableofFigures"/>
        <w:rPr>
          <w:rFonts w:asciiTheme="minorHAnsi" w:eastAsiaTheme="minorEastAsia" w:hAnsiTheme="minorHAnsi"/>
          <w:b w:val="0"/>
          <w:noProof/>
          <w:sz w:val="22"/>
          <w:lang w:val="en-GB" w:eastAsia="en-GB"/>
        </w:rPr>
      </w:pPr>
      <w:hyperlink w:anchor="_Toc40436603" w:history="1">
        <w:r w:rsidRPr="00C40A96">
          <w:rPr>
            <w:rStyle w:val="Hyperlink"/>
            <w:noProof/>
          </w:rPr>
          <w:t>Table 4: Total Participants Interviewed in Phase 1 and 2 of the Study</w:t>
        </w:r>
        <w:r>
          <w:rPr>
            <w:noProof/>
            <w:webHidden/>
          </w:rPr>
          <w:tab/>
        </w:r>
        <w:r>
          <w:rPr>
            <w:noProof/>
            <w:webHidden/>
          </w:rPr>
          <w:fldChar w:fldCharType="begin"/>
        </w:r>
        <w:r>
          <w:rPr>
            <w:noProof/>
            <w:webHidden/>
          </w:rPr>
          <w:instrText xml:space="preserve"> PAGEREF _Toc40436603 \h </w:instrText>
        </w:r>
        <w:r>
          <w:rPr>
            <w:noProof/>
            <w:webHidden/>
          </w:rPr>
        </w:r>
        <w:r>
          <w:rPr>
            <w:noProof/>
            <w:webHidden/>
          </w:rPr>
          <w:fldChar w:fldCharType="separate"/>
        </w:r>
        <w:r w:rsidR="00D7239F">
          <w:rPr>
            <w:noProof/>
            <w:webHidden/>
          </w:rPr>
          <w:t>163</w:t>
        </w:r>
        <w:r>
          <w:rPr>
            <w:noProof/>
            <w:webHidden/>
          </w:rPr>
          <w:fldChar w:fldCharType="end"/>
        </w:r>
      </w:hyperlink>
    </w:p>
    <w:p w14:paraId="409158C7" w14:textId="77777777" w:rsidR="000F7CBC" w:rsidRDefault="000F7CBC">
      <w:pPr>
        <w:pStyle w:val="TableofFigures"/>
        <w:rPr>
          <w:rFonts w:asciiTheme="minorHAnsi" w:eastAsiaTheme="minorEastAsia" w:hAnsiTheme="minorHAnsi"/>
          <w:b w:val="0"/>
          <w:noProof/>
          <w:sz w:val="22"/>
          <w:lang w:val="en-GB" w:eastAsia="en-GB"/>
        </w:rPr>
      </w:pPr>
      <w:hyperlink w:anchor="_Toc40436604" w:history="1">
        <w:r w:rsidRPr="00C40A96">
          <w:rPr>
            <w:rStyle w:val="Hyperlink"/>
            <w:noProof/>
          </w:rPr>
          <w:t>Table 5: Number of Survey Respondents by Questionnaire Version</w:t>
        </w:r>
        <w:r>
          <w:rPr>
            <w:noProof/>
            <w:webHidden/>
          </w:rPr>
          <w:tab/>
        </w:r>
        <w:r>
          <w:rPr>
            <w:noProof/>
            <w:webHidden/>
          </w:rPr>
          <w:fldChar w:fldCharType="begin"/>
        </w:r>
        <w:r>
          <w:rPr>
            <w:noProof/>
            <w:webHidden/>
          </w:rPr>
          <w:instrText xml:space="preserve"> PAGEREF _Toc40436604 \h </w:instrText>
        </w:r>
        <w:r>
          <w:rPr>
            <w:noProof/>
            <w:webHidden/>
          </w:rPr>
        </w:r>
        <w:r>
          <w:rPr>
            <w:noProof/>
            <w:webHidden/>
          </w:rPr>
          <w:fldChar w:fldCharType="separate"/>
        </w:r>
        <w:r w:rsidR="00D7239F">
          <w:rPr>
            <w:noProof/>
            <w:webHidden/>
          </w:rPr>
          <w:t>166</w:t>
        </w:r>
        <w:r>
          <w:rPr>
            <w:noProof/>
            <w:webHidden/>
          </w:rPr>
          <w:fldChar w:fldCharType="end"/>
        </w:r>
      </w:hyperlink>
    </w:p>
    <w:p w14:paraId="230796A6" w14:textId="77777777" w:rsidR="000F7CBC" w:rsidRDefault="000F7CBC">
      <w:pPr>
        <w:pStyle w:val="TableofFigures"/>
        <w:rPr>
          <w:rFonts w:asciiTheme="minorHAnsi" w:eastAsiaTheme="minorEastAsia" w:hAnsiTheme="minorHAnsi"/>
          <w:b w:val="0"/>
          <w:noProof/>
          <w:sz w:val="22"/>
          <w:lang w:val="en-GB" w:eastAsia="en-GB"/>
        </w:rPr>
      </w:pPr>
      <w:hyperlink w:anchor="_Toc40436605" w:history="1">
        <w:r w:rsidRPr="00C40A96">
          <w:rPr>
            <w:rStyle w:val="Hyperlink"/>
            <w:noProof/>
          </w:rPr>
          <w:t>Table 6: Gender of Survey Respondents</w:t>
        </w:r>
        <w:r>
          <w:rPr>
            <w:noProof/>
            <w:webHidden/>
          </w:rPr>
          <w:tab/>
        </w:r>
        <w:r>
          <w:rPr>
            <w:noProof/>
            <w:webHidden/>
          </w:rPr>
          <w:fldChar w:fldCharType="begin"/>
        </w:r>
        <w:r>
          <w:rPr>
            <w:noProof/>
            <w:webHidden/>
          </w:rPr>
          <w:instrText xml:space="preserve"> PAGEREF _Toc40436605 \h </w:instrText>
        </w:r>
        <w:r>
          <w:rPr>
            <w:noProof/>
            <w:webHidden/>
          </w:rPr>
        </w:r>
        <w:r>
          <w:rPr>
            <w:noProof/>
            <w:webHidden/>
          </w:rPr>
          <w:fldChar w:fldCharType="separate"/>
        </w:r>
        <w:r w:rsidR="00D7239F">
          <w:rPr>
            <w:noProof/>
            <w:webHidden/>
          </w:rPr>
          <w:t>166</w:t>
        </w:r>
        <w:r>
          <w:rPr>
            <w:noProof/>
            <w:webHidden/>
          </w:rPr>
          <w:fldChar w:fldCharType="end"/>
        </w:r>
      </w:hyperlink>
    </w:p>
    <w:p w14:paraId="752B154D" w14:textId="77777777" w:rsidR="000F7CBC" w:rsidRDefault="000F7CBC">
      <w:pPr>
        <w:pStyle w:val="TableofFigures"/>
        <w:rPr>
          <w:rFonts w:asciiTheme="minorHAnsi" w:eastAsiaTheme="minorEastAsia" w:hAnsiTheme="minorHAnsi"/>
          <w:b w:val="0"/>
          <w:noProof/>
          <w:sz w:val="22"/>
          <w:lang w:val="en-GB" w:eastAsia="en-GB"/>
        </w:rPr>
      </w:pPr>
      <w:hyperlink w:anchor="_Toc40436606" w:history="1">
        <w:r w:rsidRPr="00C40A96">
          <w:rPr>
            <w:rStyle w:val="Hyperlink"/>
            <w:noProof/>
          </w:rPr>
          <w:t>Table 7: Completed Focus Group Sessions in T&amp;T (2014)</w:t>
        </w:r>
        <w:r>
          <w:rPr>
            <w:noProof/>
            <w:webHidden/>
          </w:rPr>
          <w:tab/>
        </w:r>
        <w:r>
          <w:rPr>
            <w:noProof/>
            <w:webHidden/>
          </w:rPr>
          <w:fldChar w:fldCharType="begin"/>
        </w:r>
        <w:r>
          <w:rPr>
            <w:noProof/>
            <w:webHidden/>
          </w:rPr>
          <w:instrText xml:space="preserve"> PAGEREF _Toc40436606 \h </w:instrText>
        </w:r>
        <w:r>
          <w:rPr>
            <w:noProof/>
            <w:webHidden/>
          </w:rPr>
        </w:r>
        <w:r>
          <w:rPr>
            <w:noProof/>
            <w:webHidden/>
          </w:rPr>
          <w:fldChar w:fldCharType="separate"/>
        </w:r>
        <w:r w:rsidR="00D7239F">
          <w:rPr>
            <w:noProof/>
            <w:webHidden/>
          </w:rPr>
          <w:t>168</w:t>
        </w:r>
        <w:r>
          <w:rPr>
            <w:noProof/>
            <w:webHidden/>
          </w:rPr>
          <w:fldChar w:fldCharType="end"/>
        </w:r>
      </w:hyperlink>
    </w:p>
    <w:p w14:paraId="10DD1141" w14:textId="77777777" w:rsidR="000F7CBC" w:rsidRDefault="000F7CBC">
      <w:pPr>
        <w:pStyle w:val="TableofFigures"/>
        <w:rPr>
          <w:rFonts w:asciiTheme="minorHAnsi" w:eastAsiaTheme="minorEastAsia" w:hAnsiTheme="minorHAnsi"/>
          <w:b w:val="0"/>
          <w:noProof/>
          <w:sz w:val="22"/>
          <w:lang w:val="en-GB" w:eastAsia="en-GB"/>
        </w:rPr>
      </w:pPr>
      <w:hyperlink w:anchor="_Toc40436607" w:history="1">
        <w:r w:rsidRPr="00C40A96">
          <w:rPr>
            <w:rStyle w:val="Hyperlink"/>
            <w:noProof/>
          </w:rPr>
          <w:t>Table 8: In-Depth Interview Participants (2014)</w:t>
        </w:r>
        <w:r>
          <w:rPr>
            <w:noProof/>
            <w:webHidden/>
          </w:rPr>
          <w:tab/>
        </w:r>
        <w:r>
          <w:rPr>
            <w:noProof/>
            <w:webHidden/>
          </w:rPr>
          <w:fldChar w:fldCharType="begin"/>
        </w:r>
        <w:r>
          <w:rPr>
            <w:noProof/>
            <w:webHidden/>
          </w:rPr>
          <w:instrText xml:space="preserve"> PAGEREF _Toc40436607 \h </w:instrText>
        </w:r>
        <w:r>
          <w:rPr>
            <w:noProof/>
            <w:webHidden/>
          </w:rPr>
        </w:r>
        <w:r>
          <w:rPr>
            <w:noProof/>
            <w:webHidden/>
          </w:rPr>
          <w:fldChar w:fldCharType="separate"/>
        </w:r>
        <w:r w:rsidR="00D7239F">
          <w:rPr>
            <w:noProof/>
            <w:webHidden/>
          </w:rPr>
          <w:t>171</w:t>
        </w:r>
        <w:r>
          <w:rPr>
            <w:noProof/>
            <w:webHidden/>
          </w:rPr>
          <w:fldChar w:fldCharType="end"/>
        </w:r>
      </w:hyperlink>
    </w:p>
    <w:p w14:paraId="0BEB9BD8" w14:textId="77777777" w:rsidR="000F7CBC" w:rsidRDefault="000F7CBC">
      <w:pPr>
        <w:pStyle w:val="TableofFigures"/>
        <w:rPr>
          <w:rFonts w:asciiTheme="minorHAnsi" w:eastAsiaTheme="minorEastAsia" w:hAnsiTheme="minorHAnsi"/>
          <w:b w:val="0"/>
          <w:noProof/>
          <w:sz w:val="22"/>
          <w:lang w:val="en-GB" w:eastAsia="en-GB"/>
        </w:rPr>
      </w:pPr>
      <w:hyperlink w:anchor="_Toc40436608" w:history="1">
        <w:r w:rsidRPr="00C40A96">
          <w:rPr>
            <w:rStyle w:val="Hyperlink"/>
            <w:noProof/>
          </w:rPr>
          <w:t>Table 9: Number of Respondents Participating in Each Data Collection Approach</w:t>
        </w:r>
        <w:r>
          <w:rPr>
            <w:noProof/>
            <w:webHidden/>
          </w:rPr>
          <w:tab/>
        </w:r>
        <w:r>
          <w:rPr>
            <w:noProof/>
            <w:webHidden/>
          </w:rPr>
          <w:fldChar w:fldCharType="begin"/>
        </w:r>
        <w:r>
          <w:rPr>
            <w:noProof/>
            <w:webHidden/>
          </w:rPr>
          <w:instrText xml:space="preserve"> PAGEREF _Toc40436608 \h </w:instrText>
        </w:r>
        <w:r>
          <w:rPr>
            <w:noProof/>
            <w:webHidden/>
          </w:rPr>
        </w:r>
        <w:r>
          <w:rPr>
            <w:noProof/>
            <w:webHidden/>
          </w:rPr>
          <w:fldChar w:fldCharType="separate"/>
        </w:r>
        <w:r w:rsidR="00D7239F">
          <w:rPr>
            <w:noProof/>
            <w:webHidden/>
          </w:rPr>
          <w:t>172</w:t>
        </w:r>
        <w:r>
          <w:rPr>
            <w:noProof/>
            <w:webHidden/>
          </w:rPr>
          <w:fldChar w:fldCharType="end"/>
        </w:r>
      </w:hyperlink>
    </w:p>
    <w:p w14:paraId="68C66DE8" w14:textId="77777777" w:rsidR="000F7CBC" w:rsidRDefault="000F7CBC">
      <w:pPr>
        <w:pStyle w:val="TableofFigures"/>
        <w:rPr>
          <w:rFonts w:asciiTheme="minorHAnsi" w:eastAsiaTheme="minorEastAsia" w:hAnsiTheme="minorHAnsi"/>
          <w:b w:val="0"/>
          <w:noProof/>
          <w:sz w:val="22"/>
          <w:lang w:val="en-GB" w:eastAsia="en-GB"/>
        </w:rPr>
      </w:pPr>
      <w:hyperlink w:anchor="_Toc40436609" w:history="1">
        <w:r w:rsidRPr="00C40A96">
          <w:rPr>
            <w:rStyle w:val="Hyperlink"/>
            <w:noProof/>
          </w:rPr>
          <w:t>Table 10: Number of Participants by Island</w:t>
        </w:r>
        <w:r>
          <w:rPr>
            <w:noProof/>
            <w:webHidden/>
          </w:rPr>
          <w:tab/>
        </w:r>
        <w:r>
          <w:rPr>
            <w:noProof/>
            <w:webHidden/>
          </w:rPr>
          <w:fldChar w:fldCharType="begin"/>
        </w:r>
        <w:r>
          <w:rPr>
            <w:noProof/>
            <w:webHidden/>
          </w:rPr>
          <w:instrText xml:space="preserve"> PAGEREF _Toc40436609 \h </w:instrText>
        </w:r>
        <w:r>
          <w:rPr>
            <w:noProof/>
            <w:webHidden/>
          </w:rPr>
        </w:r>
        <w:r>
          <w:rPr>
            <w:noProof/>
            <w:webHidden/>
          </w:rPr>
          <w:fldChar w:fldCharType="separate"/>
        </w:r>
        <w:r w:rsidR="00D7239F">
          <w:rPr>
            <w:noProof/>
            <w:webHidden/>
          </w:rPr>
          <w:t>172</w:t>
        </w:r>
        <w:r>
          <w:rPr>
            <w:noProof/>
            <w:webHidden/>
          </w:rPr>
          <w:fldChar w:fldCharType="end"/>
        </w:r>
      </w:hyperlink>
    </w:p>
    <w:p w14:paraId="1F733F37" w14:textId="77777777" w:rsidR="000F7CBC" w:rsidRDefault="000F7CBC">
      <w:pPr>
        <w:pStyle w:val="TableofFigures"/>
        <w:rPr>
          <w:rFonts w:asciiTheme="minorHAnsi" w:eastAsiaTheme="minorEastAsia" w:hAnsiTheme="minorHAnsi"/>
          <w:b w:val="0"/>
          <w:noProof/>
          <w:sz w:val="22"/>
          <w:lang w:val="en-GB" w:eastAsia="en-GB"/>
        </w:rPr>
      </w:pPr>
      <w:hyperlink w:anchor="_Toc40436610" w:history="1">
        <w:r w:rsidRPr="00C40A96">
          <w:rPr>
            <w:rStyle w:val="Hyperlink"/>
            <w:noProof/>
          </w:rPr>
          <w:t>Table 11: Examples of the Coding Process</w:t>
        </w:r>
        <w:r>
          <w:rPr>
            <w:noProof/>
            <w:webHidden/>
          </w:rPr>
          <w:tab/>
        </w:r>
        <w:r>
          <w:rPr>
            <w:noProof/>
            <w:webHidden/>
          </w:rPr>
          <w:fldChar w:fldCharType="begin"/>
        </w:r>
        <w:r>
          <w:rPr>
            <w:noProof/>
            <w:webHidden/>
          </w:rPr>
          <w:instrText xml:space="preserve"> PAGEREF _Toc40436610 \h </w:instrText>
        </w:r>
        <w:r>
          <w:rPr>
            <w:noProof/>
            <w:webHidden/>
          </w:rPr>
        </w:r>
        <w:r>
          <w:rPr>
            <w:noProof/>
            <w:webHidden/>
          </w:rPr>
          <w:fldChar w:fldCharType="separate"/>
        </w:r>
        <w:r w:rsidR="00D7239F">
          <w:rPr>
            <w:noProof/>
            <w:webHidden/>
          </w:rPr>
          <w:t>177</w:t>
        </w:r>
        <w:r>
          <w:rPr>
            <w:noProof/>
            <w:webHidden/>
          </w:rPr>
          <w:fldChar w:fldCharType="end"/>
        </w:r>
      </w:hyperlink>
    </w:p>
    <w:p w14:paraId="234CE3F8" w14:textId="77777777" w:rsidR="000F7CBC" w:rsidRDefault="000F7CBC">
      <w:pPr>
        <w:pStyle w:val="TableofFigures"/>
        <w:rPr>
          <w:rFonts w:asciiTheme="minorHAnsi" w:eastAsiaTheme="minorEastAsia" w:hAnsiTheme="minorHAnsi"/>
          <w:b w:val="0"/>
          <w:noProof/>
          <w:sz w:val="22"/>
          <w:lang w:val="en-GB" w:eastAsia="en-GB"/>
        </w:rPr>
      </w:pPr>
      <w:hyperlink w:anchor="_Toc40436611" w:history="1">
        <w:r w:rsidRPr="00C40A96">
          <w:rPr>
            <w:rStyle w:val="Hyperlink"/>
            <w:noProof/>
          </w:rPr>
          <w:t>Table 12: Level of Dependency of Older Family Care Recipients</w:t>
        </w:r>
        <w:r>
          <w:rPr>
            <w:noProof/>
            <w:webHidden/>
          </w:rPr>
          <w:tab/>
        </w:r>
        <w:r>
          <w:rPr>
            <w:noProof/>
            <w:webHidden/>
          </w:rPr>
          <w:fldChar w:fldCharType="begin"/>
        </w:r>
        <w:r>
          <w:rPr>
            <w:noProof/>
            <w:webHidden/>
          </w:rPr>
          <w:instrText xml:space="preserve"> PAGEREF _Toc40436611 \h </w:instrText>
        </w:r>
        <w:r>
          <w:rPr>
            <w:noProof/>
            <w:webHidden/>
          </w:rPr>
        </w:r>
        <w:r>
          <w:rPr>
            <w:noProof/>
            <w:webHidden/>
          </w:rPr>
          <w:fldChar w:fldCharType="separate"/>
        </w:r>
        <w:r w:rsidR="00D7239F">
          <w:rPr>
            <w:noProof/>
            <w:webHidden/>
          </w:rPr>
          <w:t>182</w:t>
        </w:r>
        <w:r>
          <w:rPr>
            <w:noProof/>
            <w:webHidden/>
          </w:rPr>
          <w:fldChar w:fldCharType="end"/>
        </w:r>
      </w:hyperlink>
    </w:p>
    <w:p w14:paraId="57D26367" w14:textId="77777777" w:rsidR="000F7CBC" w:rsidRDefault="000F7CBC">
      <w:pPr>
        <w:pStyle w:val="TableofFigures"/>
        <w:rPr>
          <w:rFonts w:asciiTheme="minorHAnsi" w:eastAsiaTheme="minorEastAsia" w:hAnsiTheme="minorHAnsi"/>
          <w:b w:val="0"/>
          <w:noProof/>
          <w:sz w:val="22"/>
          <w:lang w:val="en-GB" w:eastAsia="en-GB"/>
        </w:rPr>
      </w:pPr>
      <w:hyperlink w:anchor="_Toc40436612" w:history="1">
        <w:r w:rsidRPr="00C40A96">
          <w:rPr>
            <w:rStyle w:val="Hyperlink"/>
            <w:noProof/>
          </w:rPr>
          <w:t>Table 13: Health Care Challenges and Needs of Older Family Care Recipients</w:t>
        </w:r>
        <w:r>
          <w:rPr>
            <w:noProof/>
            <w:webHidden/>
          </w:rPr>
          <w:tab/>
        </w:r>
        <w:r>
          <w:rPr>
            <w:noProof/>
            <w:webHidden/>
          </w:rPr>
          <w:fldChar w:fldCharType="begin"/>
        </w:r>
        <w:r>
          <w:rPr>
            <w:noProof/>
            <w:webHidden/>
          </w:rPr>
          <w:instrText xml:space="preserve"> PAGEREF _Toc40436612 \h </w:instrText>
        </w:r>
        <w:r>
          <w:rPr>
            <w:noProof/>
            <w:webHidden/>
          </w:rPr>
        </w:r>
        <w:r>
          <w:rPr>
            <w:noProof/>
            <w:webHidden/>
          </w:rPr>
          <w:fldChar w:fldCharType="separate"/>
        </w:r>
        <w:r w:rsidR="00D7239F">
          <w:rPr>
            <w:noProof/>
            <w:webHidden/>
          </w:rPr>
          <w:t>183</w:t>
        </w:r>
        <w:r>
          <w:rPr>
            <w:noProof/>
            <w:webHidden/>
          </w:rPr>
          <w:fldChar w:fldCharType="end"/>
        </w:r>
      </w:hyperlink>
    </w:p>
    <w:p w14:paraId="3D3C5D1B" w14:textId="77777777" w:rsidR="000F7CBC" w:rsidRDefault="000F7CBC">
      <w:pPr>
        <w:pStyle w:val="TableofFigures"/>
        <w:rPr>
          <w:rFonts w:asciiTheme="minorHAnsi" w:eastAsiaTheme="minorEastAsia" w:hAnsiTheme="minorHAnsi"/>
          <w:b w:val="0"/>
          <w:noProof/>
          <w:sz w:val="22"/>
          <w:lang w:val="en-GB" w:eastAsia="en-GB"/>
        </w:rPr>
      </w:pPr>
      <w:hyperlink w:anchor="_Toc40436613" w:history="1">
        <w:r w:rsidRPr="00C40A96">
          <w:rPr>
            <w:rStyle w:val="Hyperlink"/>
            <w:noProof/>
          </w:rPr>
          <w:t>Table 14: Factors Associated with Caregiver Role Acquisition</w:t>
        </w:r>
        <w:r>
          <w:rPr>
            <w:noProof/>
            <w:webHidden/>
          </w:rPr>
          <w:tab/>
        </w:r>
        <w:r>
          <w:rPr>
            <w:noProof/>
            <w:webHidden/>
          </w:rPr>
          <w:fldChar w:fldCharType="begin"/>
        </w:r>
        <w:r>
          <w:rPr>
            <w:noProof/>
            <w:webHidden/>
          </w:rPr>
          <w:instrText xml:space="preserve"> PAGEREF _Toc40436613 \h </w:instrText>
        </w:r>
        <w:r>
          <w:rPr>
            <w:noProof/>
            <w:webHidden/>
          </w:rPr>
        </w:r>
        <w:r>
          <w:rPr>
            <w:noProof/>
            <w:webHidden/>
          </w:rPr>
          <w:fldChar w:fldCharType="separate"/>
        </w:r>
        <w:r w:rsidR="00D7239F">
          <w:rPr>
            <w:noProof/>
            <w:webHidden/>
          </w:rPr>
          <w:t>204</w:t>
        </w:r>
        <w:r>
          <w:rPr>
            <w:noProof/>
            <w:webHidden/>
          </w:rPr>
          <w:fldChar w:fldCharType="end"/>
        </w:r>
      </w:hyperlink>
    </w:p>
    <w:p w14:paraId="4FCCA3DB" w14:textId="77777777" w:rsidR="000F7CBC" w:rsidRDefault="000F7CBC">
      <w:pPr>
        <w:pStyle w:val="TableofFigures"/>
        <w:rPr>
          <w:rFonts w:asciiTheme="minorHAnsi" w:eastAsiaTheme="minorEastAsia" w:hAnsiTheme="minorHAnsi"/>
          <w:b w:val="0"/>
          <w:noProof/>
          <w:sz w:val="22"/>
          <w:lang w:val="en-GB" w:eastAsia="en-GB"/>
        </w:rPr>
      </w:pPr>
      <w:hyperlink w:anchor="_Toc40436614" w:history="1">
        <w:r w:rsidRPr="00C40A96">
          <w:rPr>
            <w:rStyle w:val="Hyperlink"/>
            <w:noProof/>
          </w:rPr>
          <w:t>Table 15: Themes Associated with Experiences of Care</w:t>
        </w:r>
        <w:r>
          <w:rPr>
            <w:noProof/>
            <w:webHidden/>
          </w:rPr>
          <w:tab/>
        </w:r>
        <w:r>
          <w:rPr>
            <w:noProof/>
            <w:webHidden/>
          </w:rPr>
          <w:fldChar w:fldCharType="begin"/>
        </w:r>
        <w:r>
          <w:rPr>
            <w:noProof/>
            <w:webHidden/>
          </w:rPr>
          <w:instrText xml:space="preserve"> PAGEREF _Toc40436614 \h </w:instrText>
        </w:r>
        <w:r>
          <w:rPr>
            <w:noProof/>
            <w:webHidden/>
          </w:rPr>
        </w:r>
        <w:r>
          <w:rPr>
            <w:noProof/>
            <w:webHidden/>
          </w:rPr>
          <w:fldChar w:fldCharType="separate"/>
        </w:r>
        <w:r w:rsidR="00D7239F">
          <w:rPr>
            <w:noProof/>
            <w:webHidden/>
          </w:rPr>
          <w:t>207</w:t>
        </w:r>
        <w:r>
          <w:rPr>
            <w:noProof/>
            <w:webHidden/>
          </w:rPr>
          <w:fldChar w:fldCharType="end"/>
        </w:r>
      </w:hyperlink>
    </w:p>
    <w:p w14:paraId="78B6FA99" w14:textId="77777777" w:rsidR="000F7CBC" w:rsidRDefault="000F7CBC">
      <w:pPr>
        <w:pStyle w:val="TableofFigures"/>
        <w:rPr>
          <w:rFonts w:asciiTheme="minorHAnsi" w:eastAsiaTheme="minorEastAsia" w:hAnsiTheme="minorHAnsi"/>
          <w:b w:val="0"/>
          <w:noProof/>
          <w:sz w:val="22"/>
          <w:lang w:val="en-GB" w:eastAsia="en-GB"/>
        </w:rPr>
      </w:pPr>
      <w:hyperlink w:anchor="_Toc40436615" w:history="1">
        <w:r w:rsidRPr="00C40A96">
          <w:rPr>
            <w:rStyle w:val="Hyperlink"/>
            <w:noProof/>
          </w:rPr>
          <w:t>Table 16: Main Themes for Caregiver &amp; Care Recipient Experiences of Family Care</w:t>
        </w:r>
        <w:r>
          <w:rPr>
            <w:noProof/>
            <w:webHidden/>
          </w:rPr>
          <w:tab/>
        </w:r>
        <w:r>
          <w:rPr>
            <w:noProof/>
            <w:webHidden/>
          </w:rPr>
          <w:fldChar w:fldCharType="begin"/>
        </w:r>
        <w:r>
          <w:rPr>
            <w:noProof/>
            <w:webHidden/>
          </w:rPr>
          <w:instrText xml:space="preserve"> PAGEREF _Toc40436615 \h </w:instrText>
        </w:r>
        <w:r>
          <w:rPr>
            <w:noProof/>
            <w:webHidden/>
          </w:rPr>
        </w:r>
        <w:r>
          <w:rPr>
            <w:noProof/>
            <w:webHidden/>
          </w:rPr>
          <w:fldChar w:fldCharType="separate"/>
        </w:r>
        <w:r w:rsidR="00D7239F">
          <w:rPr>
            <w:noProof/>
            <w:webHidden/>
          </w:rPr>
          <w:t>232</w:t>
        </w:r>
        <w:r>
          <w:rPr>
            <w:noProof/>
            <w:webHidden/>
          </w:rPr>
          <w:fldChar w:fldCharType="end"/>
        </w:r>
      </w:hyperlink>
    </w:p>
    <w:p w14:paraId="1EB8AAF5" w14:textId="77777777" w:rsidR="000F7CBC" w:rsidRDefault="000F7CBC">
      <w:pPr>
        <w:pStyle w:val="TableofFigures"/>
        <w:rPr>
          <w:rFonts w:asciiTheme="minorHAnsi" w:eastAsiaTheme="minorEastAsia" w:hAnsiTheme="minorHAnsi"/>
          <w:b w:val="0"/>
          <w:noProof/>
          <w:sz w:val="22"/>
          <w:lang w:val="en-GB" w:eastAsia="en-GB"/>
        </w:rPr>
      </w:pPr>
      <w:hyperlink w:anchor="_Toc40436616" w:history="1">
        <w:r w:rsidRPr="00C40A96">
          <w:rPr>
            <w:rStyle w:val="Hyperlink"/>
            <w:noProof/>
          </w:rPr>
          <w:t>Table 17 Care Resource-System Characteristics of Older Care Recipients</w:t>
        </w:r>
        <w:r>
          <w:rPr>
            <w:noProof/>
            <w:webHidden/>
          </w:rPr>
          <w:tab/>
        </w:r>
        <w:r>
          <w:rPr>
            <w:noProof/>
            <w:webHidden/>
          </w:rPr>
          <w:fldChar w:fldCharType="begin"/>
        </w:r>
        <w:r>
          <w:rPr>
            <w:noProof/>
            <w:webHidden/>
          </w:rPr>
          <w:instrText xml:space="preserve"> PAGEREF _Toc40436616 \h </w:instrText>
        </w:r>
        <w:r>
          <w:rPr>
            <w:noProof/>
            <w:webHidden/>
          </w:rPr>
        </w:r>
        <w:r>
          <w:rPr>
            <w:noProof/>
            <w:webHidden/>
          </w:rPr>
          <w:fldChar w:fldCharType="separate"/>
        </w:r>
        <w:r w:rsidR="00D7239F">
          <w:rPr>
            <w:noProof/>
            <w:webHidden/>
          </w:rPr>
          <w:t>244</w:t>
        </w:r>
        <w:r>
          <w:rPr>
            <w:noProof/>
            <w:webHidden/>
          </w:rPr>
          <w:fldChar w:fldCharType="end"/>
        </w:r>
      </w:hyperlink>
    </w:p>
    <w:p w14:paraId="2D8337B8" w14:textId="77777777" w:rsidR="000F7CBC" w:rsidRDefault="000F7CBC">
      <w:pPr>
        <w:pStyle w:val="TableofFigures"/>
        <w:rPr>
          <w:rFonts w:asciiTheme="minorHAnsi" w:eastAsiaTheme="minorEastAsia" w:hAnsiTheme="minorHAnsi"/>
          <w:b w:val="0"/>
          <w:noProof/>
          <w:sz w:val="22"/>
          <w:lang w:val="en-GB" w:eastAsia="en-GB"/>
        </w:rPr>
      </w:pPr>
      <w:hyperlink w:anchor="_Toc40436617" w:history="1">
        <w:r w:rsidRPr="00C40A96">
          <w:rPr>
            <w:rStyle w:val="Hyperlink"/>
            <w:noProof/>
          </w:rPr>
          <w:t>Table 18: Dimensions of Care Management Strategies</w:t>
        </w:r>
        <w:r>
          <w:rPr>
            <w:noProof/>
            <w:webHidden/>
          </w:rPr>
          <w:tab/>
        </w:r>
        <w:r>
          <w:rPr>
            <w:noProof/>
            <w:webHidden/>
          </w:rPr>
          <w:fldChar w:fldCharType="begin"/>
        </w:r>
        <w:r>
          <w:rPr>
            <w:noProof/>
            <w:webHidden/>
          </w:rPr>
          <w:instrText xml:space="preserve"> PAGEREF _Toc40436617 \h </w:instrText>
        </w:r>
        <w:r>
          <w:rPr>
            <w:noProof/>
            <w:webHidden/>
          </w:rPr>
        </w:r>
        <w:r>
          <w:rPr>
            <w:noProof/>
            <w:webHidden/>
          </w:rPr>
          <w:fldChar w:fldCharType="separate"/>
        </w:r>
        <w:r w:rsidR="00D7239F">
          <w:rPr>
            <w:noProof/>
            <w:webHidden/>
          </w:rPr>
          <w:t>274</w:t>
        </w:r>
        <w:r>
          <w:rPr>
            <w:noProof/>
            <w:webHidden/>
          </w:rPr>
          <w:fldChar w:fldCharType="end"/>
        </w:r>
      </w:hyperlink>
    </w:p>
    <w:p w14:paraId="1DFD68F5" w14:textId="77777777" w:rsidR="000F7CBC" w:rsidRDefault="000F7CBC">
      <w:pPr>
        <w:pStyle w:val="TableofFigures"/>
        <w:rPr>
          <w:rFonts w:asciiTheme="minorHAnsi" w:eastAsiaTheme="minorEastAsia" w:hAnsiTheme="minorHAnsi"/>
          <w:b w:val="0"/>
          <w:noProof/>
          <w:sz w:val="22"/>
          <w:lang w:val="en-GB" w:eastAsia="en-GB"/>
        </w:rPr>
      </w:pPr>
      <w:hyperlink w:anchor="_Toc40436618" w:history="1">
        <w:r w:rsidRPr="00C40A96">
          <w:rPr>
            <w:rStyle w:val="Hyperlink"/>
            <w:noProof/>
          </w:rPr>
          <w:t>Table 19: Selected Open-Ended Survey Responses on Preferred Gender of Caregiver</w:t>
        </w:r>
        <w:r>
          <w:rPr>
            <w:noProof/>
            <w:webHidden/>
          </w:rPr>
          <w:tab/>
        </w:r>
        <w:r>
          <w:rPr>
            <w:noProof/>
            <w:webHidden/>
          </w:rPr>
          <w:fldChar w:fldCharType="begin"/>
        </w:r>
        <w:r>
          <w:rPr>
            <w:noProof/>
            <w:webHidden/>
          </w:rPr>
          <w:instrText xml:space="preserve"> PAGEREF _Toc40436618 \h </w:instrText>
        </w:r>
        <w:r>
          <w:rPr>
            <w:noProof/>
            <w:webHidden/>
          </w:rPr>
        </w:r>
        <w:r>
          <w:rPr>
            <w:noProof/>
            <w:webHidden/>
          </w:rPr>
          <w:fldChar w:fldCharType="separate"/>
        </w:r>
        <w:r w:rsidR="00D7239F">
          <w:rPr>
            <w:noProof/>
            <w:webHidden/>
          </w:rPr>
          <w:t>299</w:t>
        </w:r>
        <w:r>
          <w:rPr>
            <w:noProof/>
            <w:webHidden/>
          </w:rPr>
          <w:fldChar w:fldCharType="end"/>
        </w:r>
      </w:hyperlink>
    </w:p>
    <w:p w14:paraId="1DB0540D" w14:textId="77777777" w:rsidR="000F7CBC" w:rsidRDefault="000F7CBC">
      <w:pPr>
        <w:pStyle w:val="TableofFigures"/>
        <w:rPr>
          <w:rFonts w:asciiTheme="minorHAnsi" w:eastAsiaTheme="minorEastAsia" w:hAnsiTheme="minorHAnsi"/>
          <w:b w:val="0"/>
          <w:noProof/>
          <w:sz w:val="22"/>
          <w:lang w:val="en-GB" w:eastAsia="en-GB"/>
        </w:rPr>
      </w:pPr>
      <w:hyperlink w:anchor="_Toc40436619" w:history="1">
        <w:r w:rsidRPr="00C40A96">
          <w:rPr>
            <w:rStyle w:val="Hyperlink"/>
            <w:noProof/>
          </w:rPr>
          <w:t>Table 20: Selected Open-Ended Feedback on Agent Responsible for Meeting Financial Cost of Health &amp; Social Services for Older Persons</w:t>
        </w:r>
        <w:r>
          <w:rPr>
            <w:noProof/>
            <w:webHidden/>
          </w:rPr>
          <w:tab/>
        </w:r>
        <w:r>
          <w:rPr>
            <w:noProof/>
            <w:webHidden/>
          </w:rPr>
          <w:fldChar w:fldCharType="begin"/>
        </w:r>
        <w:r>
          <w:rPr>
            <w:noProof/>
            <w:webHidden/>
          </w:rPr>
          <w:instrText xml:space="preserve"> PAGEREF _Toc40436619 \h </w:instrText>
        </w:r>
        <w:r>
          <w:rPr>
            <w:noProof/>
            <w:webHidden/>
          </w:rPr>
        </w:r>
        <w:r>
          <w:rPr>
            <w:noProof/>
            <w:webHidden/>
          </w:rPr>
          <w:fldChar w:fldCharType="separate"/>
        </w:r>
        <w:r w:rsidR="00D7239F">
          <w:rPr>
            <w:noProof/>
            <w:webHidden/>
          </w:rPr>
          <w:t>302</w:t>
        </w:r>
        <w:r>
          <w:rPr>
            <w:noProof/>
            <w:webHidden/>
          </w:rPr>
          <w:fldChar w:fldCharType="end"/>
        </w:r>
      </w:hyperlink>
    </w:p>
    <w:p w14:paraId="1095306C" w14:textId="77777777" w:rsidR="000F7CBC" w:rsidRDefault="000F7CBC">
      <w:pPr>
        <w:pStyle w:val="TableofFigures"/>
        <w:rPr>
          <w:rFonts w:asciiTheme="minorHAnsi" w:eastAsiaTheme="minorEastAsia" w:hAnsiTheme="minorHAnsi"/>
          <w:b w:val="0"/>
          <w:noProof/>
          <w:sz w:val="22"/>
          <w:lang w:val="en-GB" w:eastAsia="en-GB"/>
        </w:rPr>
      </w:pPr>
      <w:hyperlink w:anchor="_Toc40436620" w:history="1">
        <w:r w:rsidRPr="00C40A96">
          <w:rPr>
            <w:rStyle w:val="Hyperlink"/>
            <w:noProof/>
          </w:rPr>
          <w:t>Table 21: Factors Preventing Families from Institutionalising a Chronically Ill Older Relative</w:t>
        </w:r>
        <w:r>
          <w:rPr>
            <w:noProof/>
            <w:webHidden/>
          </w:rPr>
          <w:tab/>
        </w:r>
        <w:r>
          <w:rPr>
            <w:noProof/>
            <w:webHidden/>
          </w:rPr>
          <w:fldChar w:fldCharType="begin"/>
        </w:r>
        <w:r>
          <w:rPr>
            <w:noProof/>
            <w:webHidden/>
          </w:rPr>
          <w:instrText xml:space="preserve"> PAGEREF _Toc40436620 \h </w:instrText>
        </w:r>
        <w:r>
          <w:rPr>
            <w:noProof/>
            <w:webHidden/>
          </w:rPr>
        </w:r>
        <w:r>
          <w:rPr>
            <w:noProof/>
            <w:webHidden/>
          </w:rPr>
          <w:fldChar w:fldCharType="separate"/>
        </w:r>
        <w:r w:rsidR="00D7239F">
          <w:rPr>
            <w:noProof/>
            <w:webHidden/>
          </w:rPr>
          <w:t>309</w:t>
        </w:r>
        <w:r>
          <w:rPr>
            <w:noProof/>
            <w:webHidden/>
          </w:rPr>
          <w:fldChar w:fldCharType="end"/>
        </w:r>
      </w:hyperlink>
    </w:p>
    <w:p w14:paraId="152EB7C7" w14:textId="77777777" w:rsidR="00E63452" w:rsidRPr="00E869A4" w:rsidRDefault="00E63452" w:rsidP="00E63452">
      <w:pPr>
        <w:rPr>
          <w:rFonts w:ascii="Times New Roman" w:hAnsi="Times New Roman" w:cs="Times New Roman"/>
        </w:rPr>
      </w:pPr>
      <w:r w:rsidRPr="00E869A4">
        <w:rPr>
          <w:rFonts w:ascii="Times New Roman" w:hAnsi="Times New Roman" w:cs="Times New Roman"/>
        </w:rPr>
        <w:fldChar w:fldCharType="end"/>
      </w:r>
    </w:p>
    <w:p w14:paraId="3C4CFC80" w14:textId="77777777" w:rsidR="00E63452" w:rsidRPr="00E869A4" w:rsidRDefault="00E63452" w:rsidP="00E63452">
      <w:pPr>
        <w:ind w:firstLine="0"/>
        <w:rPr>
          <w:rFonts w:ascii="Times New Roman" w:hAnsi="Times New Roman" w:cs="Times New Roman"/>
          <w:b/>
          <w:bCs/>
          <w:szCs w:val="28"/>
        </w:rPr>
      </w:pPr>
      <w:r w:rsidRPr="00E869A4">
        <w:br w:type="page"/>
      </w:r>
    </w:p>
    <w:p w14:paraId="5C6ABB57" w14:textId="5573ED57" w:rsidR="00D468C4" w:rsidRPr="00E869A4" w:rsidRDefault="00D468C4" w:rsidP="008B6240">
      <w:pPr>
        <w:pStyle w:val="Heading1"/>
      </w:pPr>
      <w:bookmarkStart w:id="4" w:name="_Toc40436442"/>
      <w:r w:rsidRPr="00E869A4">
        <w:lastRenderedPageBreak/>
        <w:t>List of Figures</w:t>
      </w:r>
      <w:bookmarkEnd w:id="4"/>
    </w:p>
    <w:p w14:paraId="7567E67D" w14:textId="77777777" w:rsidR="000F7CBC" w:rsidRDefault="00D468C4">
      <w:pPr>
        <w:pStyle w:val="TableofFigures"/>
        <w:rPr>
          <w:rFonts w:asciiTheme="minorHAnsi" w:eastAsiaTheme="minorEastAsia" w:hAnsiTheme="minorHAnsi"/>
          <w:b w:val="0"/>
          <w:noProof/>
          <w:sz w:val="22"/>
          <w:lang w:val="en-GB" w:eastAsia="en-GB"/>
        </w:rPr>
      </w:pPr>
      <w:r w:rsidRPr="00E869A4">
        <w:fldChar w:fldCharType="begin"/>
      </w:r>
      <w:r w:rsidRPr="00E869A4">
        <w:instrText xml:space="preserve"> TOC \h \z \c "Figure" </w:instrText>
      </w:r>
      <w:r w:rsidRPr="00E869A4">
        <w:fldChar w:fldCharType="separate"/>
      </w:r>
      <w:hyperlink w:anchor="_Toc40436631" w:history="1">
        <w:r w:rsidR="000F7CBC" w:rsidRPr="00623AD0">
          <w:rPr>
            <w:rStyle w:val="Hyperlink"/>
            <w:noProof/>
          </w:rPr>
          <w:t>Figure 1: T&amp;T Age Distribution - Percentage of Total Population (2017)</w:t>
        </w:r>
        <w:r w:rsidR="000F7CBC">
          <w:rPr>
            <w:noProof/>
            <w:webHidden/>
          </w:rPr>
          <w:tab/>
        </w:r>
        <w:r w:rsidR="000F7CBC">
          <w:rPr>
            <w:noProof/>
            <w:webHidden/>
          </w:rPr>
          <w:fldChar w:fldCharType="begin"/>
        </w:r>
        <w:r w:rsidR="000F7CBC">
          <w:rPr>
            <w:noProof/>
            <w:webHidden/>
          </w:rPr>
          <w:instrText xml:space="preserve"> PAGEREF _Toc40436631 \h </w:instrText>
        </w:r>
        <w:r w:rsidR="000F7CBC">
          <w:rPr>
            <w:noProof/>
            <w:webHidden/>
          </w:rPr>
        </w:r>
        <w:r w:rsidR="000F7CBC">
          <w:rPr>
            <w:noProof/>
            <w:webHidden/>
          </w:rPr>
          <w:fldChar w:fldCharType="separate"/>
        </w:r>
        <w:r w:rsidR="00D7239F">
          <w:rPr>
            <w:noProof/>
            <w:webHidden/>
          </w:rPr>
          <w:t>25</w:t>
        </w:r>
        <w:r w:rsidR="000F7CBC">
          <w:rPr>
            <w:noProof/>
            <w:webHidden/>
          </w:rPr>
          <w:fldChar w:fldCharType="end"/>
        </w:r>
      </w:hyperlink>
    </w:p>
    <w:p w14:paraId="2E023CE0" w14:textId="77777777" w:rsidR="000F7CBC" w:rsidRDefault="000F7CBC">
      <w:pPr>
        <w:pStyle w:val="TableofFigures"/>
        <w:rPr>
          <w:rFonts w:asciiTheme="minorHAnsi" w:eastAsiaTheme="minorEastAsia" w:hAnsiTheme="minorHAnsi"/>
          <w:b w:val="0"/>
          <w:noProof/>
          <w:sz w:val="22"/>
          <w:lang w:val="en-GB" w:eastAsia="en-GB"/>
        </w:rPr>
      </w:pPr>
      <w:hyperlink w:anchor="_Toc40436632" w:history="1">
        <w:r w:rsidRPr="00623AD0">
          <w:rPr>
            <w:rStyle w:val="Hyperlink"/>
            <w:noProof/>
          </w:rPr>
          <w:t>Figure 2: UK Age Distribution - Percentage of Total Population (2017)</w:t>
        </w:r>
        <w:r>
          <w:rPr>
            <w:noProof/>
            <w:webHidden/>
          </w:rPr>
          <w:tab/>
        </w:r>
        <w:r>
          <w:rPr>
            <w:noProof/>
            <w:webHidden/>
          </w:rPr>
          <w:fldChar w:fldCharType="begin"/>
        </w:r>
        <w:r>
          <w:rPr>
            <w:noProof/>
            <w:webHidden/>
          </w:rPr>
          <w:instrText xml:space="preserve"> PAGEREF _Toc40436632 \h </w:instrText>
        </w:r>
        <w:r>
          <w:rPr>
            <w:noProof/>
            <w:webHidden/>
          </w:rPr>
        </w:r>
        <w:r>
          <w:rPr>
            <w:noProof/>
            <w:webHidden/>
          </w:rPr>
          <w:fldChar w:fldCharType="separate"/>
        </w:r>
        <w:r w:rsidR="00D7239F">
          <w:rPr>
            <w:noProof/>
            <w:webHidden/>
          </w:rPr>
          <w:t>26</w:t>
        </w:r>
        <w:r>
          <w:rPr>
            <w:noProof/>
            <w:webHidden/>
          </w:rPr>
          <w:fldChar w:fldCharType="end"/>
        </w:r>
      </w:hyperlink>
    </w:p>
    <w:p w14:paraId="26E633C5" w14:textId="77777777" w:rsidR="000F7CBC" w:rsidRDefault="000F7CBC">
      <w:pPr>
        <w:pStyle w:val="TableofFigures"/>
        <w:rPr>
          <w:rFonts w:asciiTheme="minorHAnsi" w:eastAsiaTheme="minorEastAsia" w:hAnsiTheme="minorHAnsi"/>
          <w:b w:val="0"/>
          <w:noProof/>
          <w:sz w:val="22"/>
          <w:lang w:val="en-GB" w:eastAsia="en-GB"/>
        </w:rPr>
      </w:pPr>
      <w:hyperlink w:anchor="_Toc40436633" w:history="1">
        <w:r w:rsidRPr="00623AD0">
          <w:rPr>
            <w:rStyle w:val="Hyperlink"/>
            <w:noProof/>
          </w:rPr>
          <w:t>Figure 3: Management of Care Process Model</w:t>
        </w:r>
        <w:r>
          <w:rPr>
            <w:noProof/>
            <w:webHidden/>
          </w:rPr>
          <w:tab/>
        </w:r>
        <w:r>
          <w:rPr>
            <w:noProof/>
            <w:webHidden/>
          </w:rPr>
          <w:fldChar w:fldCharType="begin"/>
        </w:r>
        <w:r>
          <w:rPr>
            <w:noProof/>
            <w:webHidden/>
          </w:rPr>
          <w:instrText xml:space="preserve"> PAGEREF _Toc40436633 \h </w:instrText>
        </w:r>
        <w:r>
          <w:rPr>
            <w:noProof/>
            <w:webHidden/>
          </w:rPr>
        </w:r>
        <w:r>
          <w:rPr>
            <w:noProof/>
            <w:webHidden/>
          </w:rPr>
          <w:fldChar w:fldCharType="separate"/>
        </w:r>
        <w:r w:rsidR="00D7239F">
          <w:rPr>
            <w:noProof/>
            <w:webHidden/>
          </w:rPr>
          <w:t>138</w:t>
        </w:r>
        <w:r>
          <w:rPr>
            <w:noProof/>
            <w:webHidden/>
          </w:rPr>
          <w:fldChar w:fldCharType="end"/>
        </w:r>
      </w:hyperlink>
    </w:p>
    <w:p w14:paraId="685CD099" w14:textId="77777777" w:rsidR="000F7CBC" w:rsidRDefault="000F7CBC">
      <w:pPr>
        <w:pStyle w:val="TableofFigures"/>
        <w:rPr>
          <w:rFonts w:asciiTheme="minorHAnsi" w:eastAsiaTheme="minorEastAsia" w:hAnsiTheme="minorHAnsi"/>
          <w:b w:val="0"/>
          <w:noProof/>
          <w:sz w:val="22"/>
          <w:lang w:val="en-GB" w:eastAsia="en-GB"/>
        </w:rPr>
      </w:pPr>
      <w:hyperlink w:anchor="_Toc40436634" w:history="1">
        <w:r w:rsidRPr="00623AD0">
          <w:rPr>
            <w:rStyle w:val="Hyperlink"/>
            <w:noProof/>
          </w:rPr>
          <w:t>Figure 4: Ecology of Care</w:t>
        </w:r>
        <w:r>
          <w:rPr>
            <w:noProof/>
            <w:webHidden/>
          </w:rPr>
          <w:tab/>
        </w:r>
        <w:r>
          <w:rPr>
            <w:noProof/>
            <w:webHidden/>
          </w:rPr>
          <w:fldChar w:fldCharType="begin"/>
        </w:r>
        <w:r>
          <w:rPr>
            <w:noProof/>
            <w:webHidden/>
          </w:rPr>
          <w:instrText xml:space="preserve"> PAGEREF _Toc40436634 \h </w:instrText>
        </w:r>
        <w:r>
          <w:rPr>
            <w:noProof/>
            <w:webHidden/>
          </w:rPr>
        </w:r>
        <w:r>
          <w:rPr>
            <w:noProof/>
            <w:webHidden/>
          </w:rPr>
          <w:fldChar w:fldCharType="separate"/>
        </w:r>
        <w:r w:rsidR="00D7239F">
          <w:rPr>
            <w:noProof/>
            <w:webHidden/>
          </w:rPr>
          <w:t>139</w:t>
        </w:r>
        <w:r>
          <w:rPr>
            <w:noProof/>
            <w:webHidden/>
          </w:rPr>
          <w:fldChar w:fldCharType="end"/>
        </w:r>
      </w:hyperlink>
    </w:p>
    <w:p w14:paraId="4BBB7B16" w14:textId="77777777" w:rsidR="000F7CBC" w:rsidRDefault="000F7CBC">
      <w:pPr>
        <w:pStyle w:val="TableofFigures"/>
        <w:rPr>
          <w:rFonts w:asciiTheme="minorHAnsi" w:eastAsiaTheme="minorEastAsia" w:hAnsiTheme="minorHAnsi"/>
          <w:b w:val="0"/>
          <w:noProof/>
          <w:sz w:val="22"/>
          <w:lang w:val="en-GB" w:eastAsia="en-GB"/>
        </w:rPr>
      </w:pPr>
      <w:hyperlink w:anchor="_Toc40436635" w:history="1">
        <w:r w:rsidRPr="00623AD0">
          <w:rPr>
            <w:rStyle w:val="Hyperlink"/>
            <w:noProof/>
          </w:rPr>
          <w:t>Figure 5: Flowchart Showing Original Meeting Sequence</w:t>
        </w:r>
        <w:r>
          <w:rPr>
            <w:noProof/>
            <w:webHidden/>
          </w:rPr>
          <w:tab/>
        </w:r>
        <w:r>
          <w:rPr>
            <w:noProof/>
            <w:webHidden/>
          </w:rPr>
          <w:fldChar w:fldCharType="begin"/>
        </w:r>
        <w:r>
          <w:rPr>
            <w:noProof/>
            <w:webHidden/>
          </w:rPr>
          <w:instrText xml:space="preserve"> PAGEREF _Toc40436635 \h </w:instrText>
        </w:r>
        <w:r>
          <w:rPr>
            <w:noProof/>
            <w:webHidden/>
          </w:rPr>
        </w:r>
        <w:r>
          <w:rPr>
            <w:noProof/>
            <w:webHidden/>
          </w:rPr>
          <w:fldChar w:fldCharType="separate"/>
        </w:r>
        <w:r w:rsidR="00D7239F">
          <w:rPr>
            <w:noProof/>
            <w:webHidden/>
          </w:rPr>
          <w:t>152</w:t>
        </w:r>
        <w:r>
          <w:rPr>
            <w:noProof/>
            <w:webHidden/>
          </w:rPr>
          <w:fldChar w:fldCharType="end"/>
        </w:r>
      </w:hyperlink>
    </w:p>
    <w:p w14:paraId="726DDE58" w14:textId="77777777" w:rsidR="000F7CBC" w:rsidRDefault="000F7CBC">
      <w:pPr>
        <w:pStyle w:val="TableofFigures"/>
        <w:rPr>
          <w:rFonts w:asciiTheme="minorHAnsi" w:eastAsiaTheme="minorEastAsia" w:hAnsiTheme="minorHAnsi"/>
          <w:b w:val="0"/>
          <w:noProof/>
          <w:sz w:val="22"/>
          <w:lang w:val="en-GB" w:eastAsia="en-GB"/>
        </w:rPr>
      </w:pPr>
      <w:hyperlink w:anchor="_Toc40436636" w:history="1">
        <w:r w:rsidRPr="00623AD0">
          <w:rPr>
            <w:rStyle w:val="Hyperlink"/>
            <w:noProof/>
          </w:rPr>
          <w:t>Figure 6: Last Time Providing Care Support to Older Relative</w:t>
        </w:r>
        <w:r>
          <w:rPr>
            <w:noProof/>
            <w:webHidden/>
          </w:rPr>
          <w:tab/>
        </w:r>
        <w:r>
          <w:rPr>
            <w:noProof/>
            <w:webHidden/>
          </w:rPr>
          <w:fldChar w:fldCharType="begin"/>
        </w:r>
        <w:r>
          <w:rPr>
            <w:noProof/>
            <w:webHidden/>
          </w:rPr>
          <w:instrText xml:space="preserve"> PAGEREF _Toc40436636 \h </w:instrText>
        </w:r>
        <w:r>
          <w:rPr>
            <w:noProof/>
            <w:webHidden/>
          </w:rPr>
        </w:r>
        <w:r>
          <w:rPr>
            <w:noProof/>
            <w:webHidden/>
          </w:rPr>
          <w:fldChar w:fldCharType="separate"/>
        </w:r>
        <w:r w:rsidR="00D7239F">
          <w:rPr>
            <w:noProof/>
            <w:webHidden/>
          </w:rPr>
          <w:t>276</w:t>
        </w:r>
        <w:r>
          <w:rPr>
            <w:noProof/>
            <w:webHidden/>
          </w:rPr>
          <w:fldChar w:fldCharType="end"/>
        </w:r>
      </w:hyperlink>
    </w:p>
    <w:p w14:paraId="7BF7D09F" w14:textId="77777777" w:rsidR="000F7CBC" w:rsidRDefault="000F7CBC">
      <w:pPr>
        <w:pStyle w:val="TableofFigures"/>
        <w:rPr>
          <w:rFonts w:asciiTheme="minorHAnsi" w:eastAsiaTheme="minorEastAsia" w:hAnsiTheme="minorHAnsi"/>
          <w:b w:val="0"/>
          <w:noProof/>
          <w:sz w:val="22"/>
          <w:lang w:val="en-GB" w:eastAsia="en-GB"/>
        </w:rPr>
      </w:pPr>
      <w:hyperlink w:anchor="_Toc40436637" w:history="1">
        <w:r w:rsidRPr="00623AD0">
          <w:rPr>
            <w:rStyle w:val="Hyperlink"/>
            <w:noProof/>
          </w:rPr>
          <w:t>Figure 7: Ethnicity of Caregivers</w:t>
        </w:r>
        <w:r>
          <w:rPr>
            <w:noProof/>
            <w:webHidden/>
          </w:rPr>
          <w:tab/>
        </w:r>
        <w:r>
          <w:rPr>
            <w:noProof/>
            <w:webHidden/>
          </w:rPr>
          <w:fldChar w:fldCharType="begin"/>
        </w:r>
        <w:r>
          <w:rPr>
            <w:noProof/>
            <w:webHidden/>
          </w:rPr>
          <w:instrText xml:space="preserve"> PAGEREF _Toc40436637 \h </w:instrText>
        </w:r>
        <w:r>
          <w:rPr>
            <w:noProof/>
            <w:webHidden/>
          </w:rPr>
        </w:r>
        <w:r>
          <w:rPr>
            <w:noProof/>
            <w:webHidden/>
          </w:rPr>
          <w:fldChar w:fldCharType="separate"/>
        </w:r>
        <w:r w:rsidR="00D7239F">
          <w:rPr>
            <w:noProof/>
            <w:webHidden/>
          </w:rPr>
          <w:t>277</w:t>
        </w:r>
        <w:r>
          <w:rPr>
            <w:noProof/>
            <w:webHidden/>
          </w:rPr>
          <w:fldChar w:fldCharType="end"/>
        </w:r>
      </w:hyperlink>
    </w:p>
    <w:p w14:paraId="6D0B714D" w14:textId="77777777" w:rsidR="000F7CBC" w:rsidRDefault="000F7CBC">
      <w:pPr>
        <w:pStyle w:val="TableofFigures"/>
        <w:rPr>
          <w:rFonts w:asciiTheme="minorHAnsi" w:eastAsiaTheme="minorEastAsia" w:hAnsiTheme="minorHAnsi"/>
          <w:b w:val="0"/>
          <w:noProof/>
          <w:sz w:val="22"/>
          <w:lang w:val="en-GB" w:eastAsia="en-GB"/>
        </w:rPr>
      </w:pPr>
      <w:hyperlink w:anchor="_Toc40436638" w:history="1">
        <w:r w:rsidRPr="00623AD0">
          <w:rPr>
            <w:rStyle w:val="Hyperlink"/>
            <w:noProof/>
          </w:rPr>
          <w:t>Figure 8: Religious Background of Caregiver</w:t>
        </w:r>
        <w:r>
          <w:rPr>
            <w:noProof/>
            <w:webHidden/>
          </w:rPr>
          <w:tab/>
        </w:r>
        <w:r>
          <w:rPr>
            <w:noProof/>
            <w:webHidden/>
          </w:rPr>
          <w:fldChar w:fldCharType="begin"/>
        </w:r>
        <w:r>
          <w:rPr>
            <w:noProof/>
            <w:webHidden/>
          </w:rPr>
          <w:instrText xml:space="preserve"> PAGEREF _Toc40436638 \h </w:instrText>
        </w:r>
        <w:r>
          <w:rPr>
            <w:noProof/>
            <w:webHidden/>
          </w:rPr>
        </w:r>
        <w:r>
          <w:rPr>
            <w:noProof/>
            <w:webHidden/>
          </w:rPr>
          <w:fldChar w:fldCharType="separate"/>
        </w:r>
        <w:r w:rsidR="00D7239F">
          <w:rPr>
            <w:noProof/>
            <w:webHidden/>
          </w:rPr>
          <w:t>278</w:t>
        </w:r>
        <w:r>
          <w:rPr>
            <w:noProof/>
            <w:webHidden/>
          </w:rPr>
          <w:fldChar w:fldCharType="end"/>
        </w:r>
      </w:hyperlink>
    </w:p>
    <w:p w14:paraId="6B067574" w14:textId="77777777" w:rsidR="000F7CBC" w:rsidRDefault="000F7CBC">
      <w:pPr>
        <w:pStyle w:val="TableofFigures"/>
        <w:rPr>
          <w:rFonts w:asciiTheme="minorHAnsi" w:eastAsiaTheme="minorEastAsia" w:hAnsiTheme="minorHAnsi"/>
          <w:b w:val="0"/>
          <w:noProof/>
          <w:sz w:val="22"/>
          <w:lang w:val="en-GB" w:eastAsia="en-GB"/>
        </w:rPr>
      </w:pPr>
      <w:hyperlink w:anchor="_Toc40436639" w:history="1">
        <w:r w:rsidRPr="00623AD0">
          <w:rPr>
            <w:rStyle w:val="Hyperlink"/>
            <w:noProof/>
          </w:rPr>
          <w:t>Figure 9: Age of Caregiver</w:t>
        </w:r>
        <w:r>
          <w:rPr>
            <w:noProof/>
            <w:webHidden/>
          </w:rPr>
          <w:tab/>
        </w:r>
        <w:r>
          <w:rPr>
            <w:noProof/>
            <w:webHidden/>
          </w:rPr>
          <w:fldChar w:fldCharType="begin"/>
        </w:r>
        <w:r>
          <w:rPr>
            <w:noProof/>
            <w:webHidden/>
          </w:rPr>
          <w:instrText xml:space="preserve"> PAGEREF _Toc40436639 \h </w:instrText>
        </w:r>
        <w:r>
          <w:rPr>
            <w:noProof/>
            <w:webHidden/>
          </w:rPr>
        </w:r>
        <w:r>
          <w:rPr>
            <w:noProof/>
            <w:webHidden/>
          </w:rPr>
          <w:fldChar w:fldCharType="separate"/>
        </w:r>
        <w:r w:rsidR="00D7239F">
          <w:rPr>
            <w:noProof/>
            <w:webHidden/>
          </w:rPr>
          <w:t>279</w:t>
        </w:r>
        <w:r>
          <w:rPr>
            <w:noProof/>
            <w:webHidden/>
          </w:rPr>
          <w:fldChar w:fldCharType="end"/>
        </w:r>
      </w:hyperlink>
    </w:p>
    <w:p w14:paraId="71D4E54A" w14:textId="77777777" w:rsidR="000F7CBC" w:rsidRDefault="000F7CBC">
      <w:pPr>
        <w:pStyle w:val="TableofFigures"/>
        <w:rPr>
          <w:rFonts w:asciiTheme="minorHAnsi" w:eastAsiaTheme="minorEastAsia" w:hAnsiTheme="minorHAnsi"/>
          <w:b w:val="0"/>
          <w:noProof/>
          <w:sz w:val="22"/>
          <w:lang w:val="en-GB" w:eastAsia="en-GB"/>
        </w:rPr>
      </w:pPr>
      <w:hyperlink w:anchor="_Toc40436640" w:history="1">
        <w:r w:rsidRPr="00623AD0">
          <w:rPr>
            <w:rStyle w:val="Hyperlink"/>
            <w:noProof/>
          </w:rPr>
          <w:t>Figure 10: Caregiver Area of Residence vs. Geographic Distribution of the Population</w:t>
        </w:r>
        <w:r>
          <w:rPr>
            <w:noProof/>
            <w:webHidden/>
          </w:rPr>
          <w:tab/>
        </w:r>
        <w:r>
          <w:rPr>
            <w:noProof/>
            <w:webHidden/>
          </w:rPr>
          <w:fldChar w:fldCharType="begin"/>
        </w:r>
        <w:r>
          <w:rPr>
            <w:noProof/>
            <w:webHidden/>
          </w:rPr>
          <w:instrText xml:space="preserve"> PAGEREF _Toc40436640 \h </w:instrText>
        </w:r>
        <w:r>
          <w:rPr>
            <w:noProof/>
            <w:webHidden/>
          </w:rPr>
        </w:r>
        <w:r>
          <w:rPr>
            <w:noProof/>
            <w:webHidden/>
          </w:rPr>
          <w:fldChar w:fldCharType="separate"/>
        </w:r>
        <w:r w:rsidR="00D7239F">
          <w:rPr>
            <w:noProof/>
            <w:webHidden/>
          </w:rPr>
          <w:t>279</w:t>
        </w:r>
        <w:r>
          <w:rPr>
            <w:noProof/>
            <w:webHidden/>
          </w:rPr>
          <w:fldChar w:fldCharType="end"/>
        </w:r>
      </w:hyperlink>
    </w:p>
    <w:p w14:paraId="0F6D355B" w14:textId="77777777" w:rsidR="000F7CBC" w:rsidRDefault="000F7CBC">
      <w:pPr>
        <w:pStyle w:val="TableofFigures"/>
        <w:rPr>
          <w:rFonts w:asciiTheme="minorHAnsi" w:eastAsiaTheme="minorEastAsia" w:hAnsiTheme="minorHAnsi"/>
          <w:b w:val="0"/>
          <w:noProof/>
          <w:sz w:val="22"/>
          <w:lang w:val="en-GB" w:eastAsia="en-GB"/>
        </w:rPr>
      </w:pPr>
      <w:hyperlink w:anchor="_Toc40436641" w:history="1">
        <w:r w:rsidRPr="00623AD0">
          <w:rPr>
            <w:rStyle w:val="Hyperlink"/>
            <w:noProof/>
          </w:rPr>
          <w:t>Figure 11: Care Recipient Area of Residence vs. Geographic Distribution of the Population</w:t>
        </w:r>
        <w:r>
          <w:rPr>
            <w:noProof/>
            <w:webHidden/>
          </w:rPr>
          <w:tab/>
        </w:r>
        <w:r>
          <w:rPr>
            <w:noProof/>
            <w:webHidden/>
          </w:rPr>
          <w:fldChar w:fldCharType="begin"/>
        </w:r>
        <w:r>
          <w:rPr>
            <w:noProof/>
            <w:webHidden/>
          </w:rPr>
          <w:instrText xml:space="preserve"> PAGEREF _Toc40436641 \h </w:instrText>
        </w:r>
        <w:r>
          <w:rPr>
            <w:noProof/>
            <w:webHidden/>
          </w:rPr>
        </w:r>
        <w:r>
          <w:rPr>
            <w:noProof/>
            <w:webHidden/>
          </w:rPr>
          <w:fldChar w:fldCharType="separate"/>
        </w:r>
        <w:r w:rsidR="00D7239F">
          <w:rPr>
            <w:noProof/>
            <w:webHidden/>
          </w:rPr>
          <w:t>280</w:t>
        </w:r>
        <w:r>
          <w:rPr>
            <w:noProof/>
            <w:webHidden/>
          </w:rPr>
          <w:fldChar w:fldCharType="end"/>
        </w:r>
      </w:hyperlink>
    </w:p>
    <w:p w14:paraId="6BA4A611" w14:textId="77777777" w:rsidR="000F7CBC" w:rsidRDefault="000F7CBC">
      <w:pPr>
        <w:pStyle w:val="TableofFigures"/>
        <w:rPr>
          <w:rFonts w:asciiTheme="minorHAnsi" w:eastAsiaTheme="minorEastAsia" w:hAnsiTheme="minorHAnsi"/>
          <w:b w:val="0"/>
          <w:noProof/>
          <w:sz w:val="22"/>
          <w:lang w:val="en-GB" w:eastAsia="en-GB"/>
        </w:rPr>
      </w:pPr>
      <w:hyperlink w:anchor="_Toc40436642" w:history="1">
        <w:r w:rsidRPr="00623AD0">
          <w:rPr>
            <w:rStyle w:val="Hyperlink"/>
            <w:noProof/>
          </w:rPr>
          <w:t>Figure 12: Difference Between Residence of Caregiver &amp; Older Relative</w:t>
        </w:r>
        <w:r>
          <w:rPr>
            <w:noProof/>
            <w:webHidden/>
          </w:rPr>
          <w:tab/>
        </w:r>
        <w:r>
          <w:rPr>
            <w:noProof/>
            <w:webHidden/>
          </w:rPr>
          <w:fldChar w:fldCharType="begin"/>
        </w:r>
        <w:r>
          <w:rPr>
            <w:noProof/>
            <w:webHidden/>
          </w:rPr>
          <w:instrText xml:space="preserve"> PAGEREF _Toc40436642 \h </w:instrText>
        </w:r>
        <w:r>
          <w:rPr>
            <w:noProof/>
            <w:webHidden/>
          </w:rPr>
        </w:r>
        <w:r>
          <w:rPr>
            <w:noProof/>
            <w:webHidden/>
          </w:rPr>
          <w:fldChar w:fldCharType="separate"/>
        </w:r>
        <w:r w:rsidR="00D7239F">
          <w:rPr>
            <w:noProof/>
            <w:webHidden/>
          </w:rPr>
          <w:t>281</w:t>
        </w:r>
        <w:r>
          <w:rPr>
            <w:noProof/>
            <w:webHidden/>
          </w:rPr>
          <w:fldChar w:fldCharType="end"/>
        </w:r>
      </w:hyperlink>
    </w:p>
    <w:p w14:paraId="2683DB5B" w14:textId="77777777" w:rsidR="000F7CBC" w:rsidRDefault="000F7CBC">
      <w:pPr>
        <w:pStyle w:val="TableofFigures"/>
        <w:rPr>
          <w:rFonts w:asciiTheme="minorHAnsi" w:eastAsiaTheme="minorEastAsia" w:hAnsiTheme="minorHAnsi"/>
          <w:b w:val="0"/>
          <w:noProof/>
          <w:sz w:val="22"/>
          <w:lang w:val="en-GB" w:eastAsia="en-GB"/>
        </w:rPr>
      </w:pPr>
      <w:hyperlink w:anchor="_Toc40436643" w:history="1">
        <w:r w:rsidRPr="00623AD0">
          <w:rPr>
            <w:rStyle w:val="Hyperlink"/>
            <w:noProof/>
          </w:rPr>
          <w:t>Figure 13: Caregiver Relationship Status</w:t>
        </w:r>
        <w:r>
          <w:rPr>
            <w:noProof/>
            <w:webHidden/>
          </w:rPr>
          <w:tab/>
        </w:r>
        <w:r>
          <w:rPr>
            <w:noProof/>
            <w:webHidden/>
          </w:rPr>
          <w:fldChar w:fldCharType="begin"/>
        </w:r>
        <w:r>
          <w:rPr>
            <w:noProof/>
            <w:webHidden/>
          </w:rPr>
          <w:instrText xml:space="preserve"> PAGEREF _Toc40436643 \h </w:instrText>
        </w:r>
        <w:r>
          <w:rPr>
            <w:noProof/>
            <w:webHidden/>
          </w:rPr>
        </w:r>
        <w:r>
          <w:rPr>
            <w:noProof/>
            <w:webHidden/>
          </w:rPr>
          <w:fldChar w:fldCharType="separate"/>
        </w:r>
        <w:r w:rsidR="00D7239F">
          <w:rPr>
            <w:noProof/>
            <w:webHidden/>
          </w:rPr>
          <w:t>282</w:t>
        </w:r>
        <w:r>
          <w:rPr>
            <w:noProof/>
            <w:webHidden/>
          </w:rPr>
          <w:fldChar w:fldCharType="end"/>
        </w:r>
      </w:hyperlink>
    </w:p>
    <w:p w14:paraId="2B82EB3B" w14:textId="77777777" w:rsidR="000F7CBC" w:rsidRDefault="000F7CBC">
      <w:pPr>
        <w:pStyle w:val="TableofFigures"/>
        <w:rPr>
          <w:rFonts w:asciiTheme="minorHAnsi" w:eastAsiaTheme="minorEastAsia" w:hAnsiTheme="minorHAnsi"/>
          <w:b w:val="0"/>
          <w:noProof/>
          <w:sz w:val="22"/>
          <w:lang w:val="en-GB" w:eastAsia="en-GB"/>
        </w:rPr>
      </w:pPr>
      <w:hyperlink w:anchor="_Toc40436644" w:history="1">
        <w:r w:rsidRPr="00623AD0">
          <w:rPr>
            <w:rStyle w:val="Hyperlink"/>
            <w:noProof/>
          </w:rPr>
          <w:t>Figure 14: Caregiver Highest Level of Education</w:t>
        </w:r>
        <w:r>
          <w:rPr>
            <w:noProof/>
            <w:webHidden/>
          </w:rPr>
          <w:tab/>
        </w:r>
        <w:r>
          <w:rPr>
            <w:noProof/>
            <w:webHidden/>
          </w:rPr>
          <w:fldChar w:fldCharType="begin"/>
        </w:r>
        <w:r>
          <w:rPr>
            <w:noProof/>
            <w:webHidden/>
          </w:rPr>
          <w:instrText xml:space="preserve"> PAGEREF _Toc40436644 \h </w:instrText>
        </w:r>
        <w:r>
          <w:rPr>
            <w:noProof/>
            <w:webHidden/>
          </w:rPr>
        </w:r>
        <w:r>
          <w:rPr>
            <w:noProof/>
            <w:webHidden/>
          </w:rPr>
          <w:fldChar w:fldCharType="separate"/>
        </w:r>
        <w:r w:rsidR="00D7239F">
          <w:rPr>
            <w:noProof/>
            <w:webHidden/>
          </w:rPr>
          <w:t>282</w:t>
        </w:r>
        <w:r>
          <w:rPr>
            <w:noProof/>
            <w:webHidden/>
          </w:rPr>
          <w:fldChar w:fldCharType="end"/>
        </w:r>
      </w:hyperlink>
    </w:p>
    <w:p w14:paraId="5887009D" w14:textId="77777777" w:rsidR="000F7CBC" w:rsidRDefault="000F7CBC">
      <w:pPr>
        <w:pStyle w:val="TableofFigures"/>
        <w:rPr>
          <w:rFonts w:asciiTheme="minorHAnsi" w:eastAsiaTheme="minorEastAsia" w:hAnsiTheme="minorHAnsi"/>
          <w:b w:val="0"/>
          <w:noProof/>
          <w:sz w:val="22"/>
          <w:lang w:val="en-GB" w:eastAsia="en-GB"/>
        </w:rPr>
      </w:pPr>
      <w:hyperlink w:anchor="_Toc40436645" w:history="1">
        <w:r w:rsidRPr="00623AD0">
          <w:rPr>
            <w:rStyle w:val="Hyperlink"/>
            <w:noProof/>
          </w:rPr>
          <w:t>Figure 15: Distance Between Caregiver's Work &amp; Older Relative's Residence</w:t>
        </w:r>
        <w:r>
          <w:rPr>
            <w:noProof/>
            <w:webHidden/>
          </w:rPr>
          <w:tab/>
        </w:r>
        <w:r>
          <w:rPr>
            <w:noProof/>
            <w:webHidden/>
          </w:rPr>
          <w:fldChar w:fldCharType="begin"/>
        </w:r>
        <w:r>
          <w:rPr>
            <w:noProof/>
            <w:webHidden/>
          </w:rPr>
          <w:instrText xml:space="preserve"> PAGEREF _Toc40436645 \h </w:instrText>
        </w:r>
        <w:r>
          <w:rPr>
            <w:noProof/>
            <w:webHidden/>
          </w:rPr>
        </w:r>
        <w:r>
          <w:rPr>
            <w:noProof/>
            <w:webHidden/>
          </w:rPr>
          <w:fldChar w:fldCharType="separate"/>
        </w:r>
        <w:r w:rsidR="00D7239F">
          <w:rPr>
            <w:noProof/>
            <w:webHidden/>
          </w:rPr>
          <w:t>283</w:t>
        </w:r>
        <w:r>
          <w:rPr>
            <w:noProof/>
            <w:webHidden/>
          </w:rPr>
          <w:fldChar w:fldCharType="end"/>
        </w:r>
      </w:hyperlink>
    </w:p>
    <w:p w14:paraId="4E2F5A21" w14:textId="77777777" w:rsidR="000F7CBC" w:rsidRDefault="000F7CBC">
      <w:pPr>
        <w:pStyle w:val="TableofFigures"/>
        <w:rPr>
          <w:rFonts w:asciiTheme="minorHAnsi" w:eastAsiaTheme="minorEastAsia" w:hAnsiTheme="minorHAnsi"/>
          <w:b w:val="0"/>
          <w:noProof/>
          <w:sz w:val="22"/>
          <w:lang w:val="en-GB" w:eastAsia="en-GB"/>
        </w:rPr>
      </w:pPr>
      <w:hyperlink w:anchor="_Toc40436646" w:history="1">
        <w:r w:rsidRPr="00623AD0">
          <w:rPr>
            <w:rStyle w:val="Hyperlink"/>
            <w:noProof/>
          </w:rPr>
          <w:t>Figure 16: Time Spent Each Week Caring for Older Relative</w:t>
        </w:r>
        <w:r>
          <w:rPr>
            <w:noProof/>
            <w:webHidden/>
          </w:rPr>
          <w:tab/>
        </w:r>
        <w:r>
          <w:rPr>
            <w:noProof/>
            <w:webHidden/>
          </w:rPr>
          <w:fldChar w:fldCharType="begin"/>
        </w:r>
        <w:r>
          <w:rPr>
            <w:noProof/>
            <w:webHidden/>
          </w:rPr>
          <w:instrText xml:space="preserve"> PAGEREF _Toc40436646 \h </w:instrText>
        </w:r>
        <w:r>
          <w:rPr>
            <w:noProof/>
            <w:webHidden/>
          </w:rPr>
        </w:r>
        <w:r>
          <w:rPr>
            <w:noProof/>
            <w:webHidden/>
          </w:rPr>
          <w:fldChar w:fldCharType="separate"/>
        </w:r>
        <w:r w:rsidR="00D7239F">
          <w:rPr>
            <w:noProof/>
            <w:webHidden/>
          </w:rPr>
          <w:t>284</w:t>
        </w:r>
        <w:r>
          <w:rPr>
            <w:noProof/>
            <w:webHidden/>
          </w:rPr>
          <w:fldChar w:fldCharType="end"/>
        </w:r>
      </w:hyperlink>
    </w:p>
    <w:p w14:paraId="09A18EB1" w14:textId="77777777" w:rsidR="000F7CBC" w:rsidRDefault="000F7CBC">
      <w:pPr>
        <w:pStyle w:val="TableofFigures"/>
        <w:rPr>
          <w:rFonts w:asciiTheme="minorHAnsi" w:eastAsiaTheme="minorEastAsia" w:hAnsiTheme="minorHAnsi"/>
          <w:b w:val="0"/>
          <w:noProof/>
          <w:sz w:val="22"/>
          <w:lang w:val="en-GB" w:eastAsia="en-GB"/>
        </w:rPr>
      </w:pPr>
      <w:hyperlink w:anchor="_Toc40436647" w:history="1">
        <w:r w:rsidRPr="00623AD0">
          <w:rPr>
            <w:rStyle w:val="Hyperlink"/>
            <w:noProof/>
          </w:rPr>
          <w:t>Figure 17: Length of Time Providing Care to Older Relative</w:t>
        </w:r>
        <w:r>
          <w:rPr>
            <w:noProof/>
            <w:webHidden/>
          </w:rPr>
          <w:tab/>
        </w:r>
        <w:r>
          <w:rPr>
            <w:noProof/>
            <w:webHidden/>
          </w:rPr>
          <w:fldChar w:fldCharType="begin"/>
        </w:r>
        <w:r>
          <w:rPr>
            <w:noProof/>
            <w:webHidden/>
          </w:rPr>
          <w:instrText xml:space="preserve"> PAGEREF _Toc40436647 \h </w:instrText>
        </w:r>
        <w:r>
          <w:rPr>
            <w:noProof/>
            <w:webHidden/>
          </w:rPr>
        </w:r>
        <w:r>
          <w:rPr>
            <w:noProof/>
            <w:webHidden/>
          </w:rPr>
          <w:fldChar w:fldCharType="separate"/>
        </w:r>
        <w:r w:rsidR="00D7239F">
          <w:rPr>
            <w:noProof/>
            <w:webHidden/>
          </w:rPr>
          <w:t>285</w:t>
        </w:r>
        <w:r>
          <w:rPr>
            <w:noProof/>
            <w:webHidden/>
          </w:rPr>
          <w:fldChar w:fldCharType="end"/>
        </w:r>
      </w:hyperlink>
    </w:p>
    <w:p w14:paraId="15EBC298" w14:textId="77777777" w:rsidR="000F7CBC" w:rsidRDefault="000F7CBC">
      <w:pPr>
        <w:pStyle w:val="TableofFigures"/>
        <w:rPr>
          <w:rFonts w:asciiTheme="minorHAnsi" w:eastAsiaTheme="minorEastAsia" w:hAnsiTheme="minorHAnsi"/>
          <w:b w:val="0"/>
          <w:noProof/>
          <w:sz w:val="22"/>
          <w:lang w:val="en-GB" w:eastAsia="en-GB"/>
        </w:rPr>
      </w:pPr>
      <w:hyperlink w:anchor="_Toc40436648" w:history="1">
        <w:r w:rsidRPr="00623AD0">
          <w:rPr>
            <w:rStyle w:val="Hyperlink"/>
            <w:noProof/>
          </w:rPr>
          <w:t>Figure 18: Older Relative's Highest Level of Dependence</w:t>
        </w:r>
        <w:r>
          <w:rPr>
            <w:noProof/>
            <w:webHidden/>
          </w:rPr>
          <w:tab/>
        </w:r>
        <w:r>
          <w:rPr>
            <w:noProof/>
            <w:webHidden/>
          </w:rPr>
          <w:fldChar w:fldCharType="begin"/>
        </w:r>
        <w:r>
          <w:rPr>
            <w:noProof/>
            <w:webHidden/>
          </w:rPr>
          <w:instrText xml:space="preserve"> PAGEREF _Toc40436648 \h </w:instrText>
        </w:r>
        <w:r>
          <w:rPr>
            <w:noProof/>
            <w:webHidden/>
          </w:rPr>
        </w:r>
        <w:r>
          <w:rPr>
            <w:noProof/>
            <w:webHidden/>
          </w:rPr>
          <w:fldChar w:fldCharType="separate"/>
        </w:r>
        <w:r w:rsidR="00D7239F">
          <w:rPr>
            <w:noProof/>
            <w:webHidden/>
          </w:rPr>
          <w:t>286</w:t>
        </w:r>
        <w:r>
          <w:rPr>
            <w:noProof/>
            <w:webHidden/>
          </w:rPr>
          <w:fldChar w:fldCharType="end"/>
        </w:r>
      </w:hyperlink>
    </w:p>
    <w:p w14:paraId="1094EDBB" w14:textId="77777777" w:rsidR="000F7CBC" w:rsidRDefault="000F7CBC">
      <w:pPr>
        <w:pStyle w:val="TableofFigures"/>
        <w:rPr>
          <w:rFonts w:asciiTheme="minorHAnsi" w:eastAsiaTheme="minorEastAsia" w:hAnsiTheme="minorHAnsi"/>
          <w:b w:val="0"/>
          <w:noProof/>
          <w:sz w:val="22"/>
          <w:lang w:val="en-GB" w:eastAsia="en-GB"/>
        </w:rPr>
      </w:pPr>
      <w:hyperlink w:anchor="_Toc40436649" w:history="1">
        <w:r w:rsidRPr="00623AD0">
          <w:rPr>
            <w:rStyle w:val="Hyperlink"/>
            <w:noProof/>
          </w:rPr>
          <w:t>Figure 19: Health Challenges of Older Relative</w:t>
        </w:r>
        <w:r>
          <w:rPr>
            <w:noProof/>
            <w:webHidden/>
          </w:rPr>
          <w:tab/>
        </w:r>
        <w:r>
          <w:rPr>
            <w:noProof/>
            <w:webHidden/>
          </w:rPr>
          <w:fldChar w:fldCharType="begin"/>
        </w:r>
        <w:r>
          <w:rPr>
            <w:noProof/>
            <w:webHidden/>
          </w:rPr>
          <w:instrText xml:space="preserve"> PAGEREF _Toc40436649 \h </w:instrText>
        </w:r>
        <w:r>
          <w:rPr>
            <w:noProof/>
            <w:webHidden/>
          </w:rPr>
        </w:r>
        <w:r>
          <w:rPr>
            <w:noProof/>
            <w:webHidden/>
          </w:rPr>
          <w:fldChar w:fldCharType="separate"/>
        </w:r>
        <w:r w:rsidR="00D7239F">
          <w:rPr>
            <w:noProof/>
            <w:webHidden/>
          </w:rPr>
          <w:t>286</w:t>
        </w:r>
        <w:r>
          <w:rPr>
            <w:noProof/>
            <w:webHidden/>
          </w:rPr>
          <w:fldChar w:fldCharType="end"/>
        </w:r>
      </w:hyperlink>
    </w:p>
    <w:p w14:paraId="3C70CE5D" w14:textId="77777777" w:rsidR="000F7CBC" w:rsidRDefault="000F7CBC">
      <w:pPr>
        <w:pStyle w:val="TableofFigures"/>
        <w:rPr>
          <w:rFonts w:asciiTheme="minorHAnsi" w:eastAsiaTheme="minorEastAsia" w:hAnsiTheme="minorHAnsi"/>
          <w:b w:val="0"/>
          <w:noProof/>
          <w:sz w:val="22"/>
          <w:lang w:val="en-GB" w:eastAsia="en-GB"/>
        </w:rPr>
      </w:pPr>
      <w:hyperlink w:anchor="_Toc40436650" w:history="1">
        <w:r w:rsidRPr="00623AD0">
          <w:rPr>
            <w:rStyle w:val="Hyperlink"/>
            <w:noProof/>
          </w:rPr>
          <w:t>Figure 20: Personal Care Tasks (ADLs) Performed by Family Caregiver</w:t>
        </w:r>
        <w:r>
          <w:rPr>
            <w:noProof/>
            <w:webHidden/>
          </w:rPr>
          <w:tab/>
        </w:r>
        <w:r>
          <w:rPr>
            <w:noProof/>
            <w:webHidden/>
          </w:rPr>
          <w:fldChar w:fldCharType="begin"/>
        </w:r>
        <w:r>
          <w:rPr>
            <w:noProof/>
            <w:webHidden/>
          </w:rPr>
          <w:instrText xml:space="preserve"> PAGEREF _Toc40436650 \h </w:instrText>
        </w:r>
        <w:r>
          <w:rPr>
            <w:noProof/>
            <w:webHidden/>
          </w:rPr>
        </w:r>
        <w:r>
          <w:rPr>
            <w:noProof/>
            <w:webHidden/>
          </w:rPr>
          <w:fldChar w:fldCharType="separate"/>
        </w:r>
        <w:r w:rsidR="00D7239F">
          <w:rPr>
            <w:noProof/>
            <w:webHidden/>
          </w:rPr>
          <w:t>287</w:t>
        </w:r>
        <w:r>
          <w:rPr>
            <w:noProof/>
            <w:webHidden/>
          </w:rPr>
          <w:fldChar w:fldCharType="end"/>
        </w:r>
      </w:hyperlink>
    </w:p>
    <w:p w14:paraId="4EA99ECD" w14:textId="77777777" w:rsidR="000F7CBC" w:rsidRDefault="000F7CBC">
      <w:pPr>
        <w:pStyle w:val="TableofFigures"/>
        <w:rPr>
          <w:rFonts w:asciiTheme="minorHAnsi" w:eastAsiaTheme="minorEastAsia" w:hAnsiTheme="minorHAnsi"/>
          <w:b w:val="0"/>
          <w:noProof/>
          <w:sz w:val="22"/>
          <w:lang w:val="en-GB" w:eastAsia="en-GB"/>
        </w:rPr>
      </w:pPr>
      <w:hyperlink w:anchor="_Toc40436651" w:history="1">
        <w:r w:rsidRPr="00623AD0">
          <w:rPr>
            <w:rStyle w:val="Hyperlink"/>
            <w:noProof/>
          </w:rPr>
          <w:t>Figure 21: General Care Tasks (IADLs) Performed by Family Caregivers</w:t>
        </w:r>
        <w:r>
          <w:rPr>
            <w:noProof/>
            <w:webHidden/>
          </w:rPr>
          <w:tab/>
        </w:r>
        <w:r>
          <w:rPr>
            <w:noProof/>
            <w:webHidden/>
          </w:rPr>
          <w:fldChar w:fldCharType="begin"/>
        </w:r>
        <w:r>
          <w:rPr>
            <w:noProof/>
            <w:webHidden/>
          </w:rPr>
          <w:instrText xml:space="preserve"> PAGEREF _Toc40436651 \h </w:instrText>
        </w:r>
        <w:r>
          <w:rPr>
            <w:noProof/>
            <w:webHidden/>
          </w:rPr>
        </w:r>
        <w:r>
          <w:rPr>
            <w:noProof/>
            <w:webHidden/>
          </w:rPr>
          <w:fldChar w:fldCharType="separate"/>
        </w:r>
        <w:r w:rsidR="00D7239F">
          <w:rPr>
            <w:noProof/>
            <w:webHidden/>
          </w:rPr>
          <w:t>288</w:t>
        </w:r>
        <w:r>
          <w:rPr>
            <w:noProof/>
            <w:webHidden/>
          </w:rPr>
          <w:fldChar w:fldCharType="end"/>
        </w:r>
      </w:hyperlink>
    </w:p>
    <w:p w14:paraId="5C3DF038" w14:textId="77777777" w:rsidR="000F7CBC" w:rsidRDefault="000F7CBC">
      <w:pPr>
        <w:pStyle w:val="TableofFigures"/>
        <w:rPr>
          <w:rFonts w:asciiTheme="minorHAnsi" w:eastAsiaTheme="minorEastAsia" w:hAnsiTheme="minorHAnsi"/>
          <w:b w:val="0"/>
          <w:noProof/>
          <w:sz w:val="22"/>
          <w:lang w:val="en-GB" w:eastAsia="en-GB"/>
        </w:rPr>
      </w:pPr>
      <w:hyperlink w:anchor="_Toc40436652" w:history="1">
        <w:r w:rsidRPr="00623AD0">
          <w:rPr>
            <w:rStyle w:val="Hyperlink"/>
            <w:noProof/>
          </w:rPr>
          <w:t>Figure 22: Public Health Care Use by Older Relative</w:t>
        </w:r>
        <w:r>
          <w:rPr>
            <w:noProof/>
            <w:webHidden/>
          </w:rPr>
          <w:tab/>
        </w:r>
        <w:r>
          <w:rPr>
            <w:noProof/>
            <w:webHidden/>
          </w:rPr>
          <w:fldChar w:fldCharType="begin"/>
        </w:r>
        <w:r>
          <w:rPr>
            <w:noProof/>
            <w:webHidden/>
          </w:rPr>
          <w:instrText xml:space="preserve"> PAGEREF _Toc40436652 \h </w:instrText>
        </w:r>
        <w:r>
          <w:rPr>
            <w:noProof/>
            <w:webHidden/>
          </w:rPr>
        </w:r>
        <w:r>
          <w:rPr>
            <w:noProof/>
            <w:webHidden/>
          </w:rPr>
          <w:fldChar w:fldCharType="separate"/>
        </w:r>
        <w:r w:rsidR="00D7239F">
          <w:rPr>
            <w:noProof/>
            <w:webHidden/>
          </w:rPr>
          <w:t>290</w:t>
        </w:r>
        <w:r>
          <w:rPr>
            <w:noProof/>
            <w:webHidden/>
          </w:rPr>
          <w:fldChar w:fldCharType="end"/>
        </w:r>
      </w:hyperlink>
    </w:p>
    <w:p w14:paraId="4F3574B3" w14:textId="77777777" w:rsidR="000F7CBC" w:rsidRDefault="000F7CBC">
      <w:pPr>
        <w:pStyle w:val="TableofFigures"/>
        <w:rPr>
          <w:rFonts w:asciiTheme="minorHAnsi" w:eastAsiaTheme="minorEastAsia" w:hAnsiTheme="minorHAnsi"/>
          <w:b w:val="0"/>
          <w:noProof/>
          <w:sz w:val="22"/>
          <w:lang w:val="en-GB" w:eastAsia="en-GB"/>
        </w:rPr>
      </w:pPr>
      <w:hyperlink w:anchor="_Toc40436653" w:history="1">
        <w:r w:rsidRPr="00623AD0">
          <w:rPr>
            <w:rStyle w:val="Hyperlink"/>
            <w:noProof/>
          </w:rPr>
          <w:t>Figure 23: Private Health Care Use by Older Relative</w:t>
        </w:r>
        <w:r>
          <w:rPr>
            <w:noProof/>
            <w:webHidden/>
          </w:rPr>
          <w:tab/>
        </w:r>
        <w:r>
          <w:rPr>
            <w:noProof/>
            <w:webHidden/>
          </w:rPr>
          <w:fldChar w:fldCharType="begin"/>
        </w:r>
        <w:r>
          <w:rPr>
            <w:noProof/>
            <w:webHidden/>
          </w:rPr>
          <w:instrText xml:space="preserve"> PAGEREF _Toc40436653 \h </w:instrText>
        </w:r>
        <w:r>
          <w:rPr>
            <w:noProof/>
            <w:webHidden/>
          </w:rPr>
        </w:r>
        <w:r>
          <w:rPr>
            <w:noProof/>
            <w:webHidden/>
          </w:rPr>
          <w:fldChar w:fldCharType="separate"/>
        </w:r>
        <w:r w:rsidR="00D7239F">
          <w:rPr>
            <w:noProof/>
            <w:webHidden/>
          </w:rPr>
          <w:t>291</w:t>
        </w:r>
        <w:r>
          <w:rPr>
            <w:noProof/>
            <w:webHidden/>
          </w:rPr>
          <w:fldChar w:fldCharType="end"/>
        </w:r>
      </w:hyperlink>
    </w:p>
    <w:p w14:paraId="50CAE77E" w14:textId="77777777" w:rsidR="000F7CBC" w:rsidRDefault="000F7CBC">
      <w:pPr>
        <w:pStyle w:val="TableofFigures"/>
        <w:rPr>
          <w:rFonts w:asciiTheme="minorHAnsi" w:eastAsiaTheme="minorEastAsia" w:hAnsiTheme="minorHAnsi"/>
          <w:b w:val="0"/>
          <w:noProof/>
          <w:sz w:val="22"/>
          <w:lang w:val="en-GB" w:eastAsia="en-GB"/>
        </w:rPr>
      </w:pPr>
      <w:hyperlink w:anchor="_Toc40436654" w:history="1">
        <w:r w:rsidRPr="00623AD0">
          <w:rPr>
            <w:rStyle w:val="Hyperlink"/>
            <w:noProof/>
          </w:rPr>
          <w:t>Figure 24: Older Relative Service Needs</w:t>
        </w:r>
        <w:r>
          <w:rPr>
            <w:noProof/>
            <w:webHidden/>
          </w:rPr>
          <w:tab/>
        </w:r>
        <w:r>
          <w:rPr>
            <w:noProof/>
            <w:webHidden/>
          </w:rPr>
          <w:fldChar w:fldCharType="begin"/>
        </w:r>
        <w:r>
          <w:rPr>
            <w:noProof/>
            <w:webHidden/>
          </w:rPr>
          <w:instrText xml:space="preserve"> PAGEREF _Toc40436654 \h </w:instrText>
        </w:r>
        <w:r>
          <w:rPr>
            <w:noProof/>
            <w:webHidden/>
          </w:rPr>
        </w:r>
        <w:r>
          <w:rPr>
            <w:noProof/>
            <w:webHidden/>
          </w:rPr>
          <w:fldChar w:fldCharType="separate"/>
        </w:r>
        <w:r w:rsidR="00D7239F">
          <w:rPr>
            <w:noProof/>
            <w:webHidden/>
          </w:rPr>
          <w:t>296</w:t>
        </w:r>
        <w:r>
          <w:rPr>
            <w:noProof/>
            <w:webHidden/>
          </w:rPr>
          <w:fldChar w:fldCharType="end"/>
        </w:r>
      </w:hyperlink>
    </w:p>
    <w:p w14:paraId="131FBF44" w14:textId="77777777" w:rsidR="000F7CBC" w:rsidRDefault="000F7CBC">
      <w:pPr>
        <w:pStyle w:val="TableofFigures"/>
        <w:rPr>
          <w:rFonts w:asciiTheme="minorHAnsi" w:eastAsiaTheme="minorEastAsia" w:hAnsiTheme="minorHAnsi"/>
          <w:b w:val="0"/>
          <w:noProof/>
          <w:sz w:val="22"/>
          <w:lang w:val="en-GB" w:eastAsia="en-GB"/>
        </w:rPr>
      </w:pPr>
      <w:hyperlink w:anchor="_Toc40436655" w:history="1">
        <w:r w:rsidRPr="00623AD0">
          <w:rPr>
            <w:rStyle w:val="Hyperlink"/>
            <w:noProof/>
          </w:rPr>
          <w:t>Figure 25: THA Services Needed by Older Relatives</w:t>
        </w:r>
        <w:r>
          <w:rPr>
            <w:noProof/>
            <w:webHidden/>
          </w:rPr>
          <w:tab/>
        </w:r>
        <w:r>
          <w:rPr>
            <w:noProof/>
            <w:webHidden/>
          </w:rPr>
          <w:fldChar w:fldCharType="begin"/>
        </w:r>
        <w:r>
          <w:rPr>
            <w:noProof/>
            <w:webHidden/>
          </w:rPr>
          <w:instrText xml:space="preserve"> PAGEREF _Toc40436655 \h </w:instrText>
        </w:r>
        <w:r>
          <w:rPr>
            <w:noProof/>
            <w:webHidden/>
          </w:rPr>
        </w:r>
        <w:r>
          <w:rPr>
            <w:noProof/>
            <w:webHidden/>
          </w:rPr>
          <w:fldChar w:fldCharType="separate"/>
        </w:r>
        <w:r w:rsidR="00D7239F">
          <w:rPr>
            <w:noProof/>
            <w:webHidden/>
          </w:rPr>
          <w:t>297</w:t>
        </w:r>
        <w:r>
          <w:rPr>
            <w:noProof/>
            <w:webHidden/>
          </w:rPr>
          <w:fldChar w:fldCharType="end"/>
        </w:r>
      </w:hyperlink>
    </w:p>
    <w:p w14:paraId="43F95C29" w14:textId="77777777" w:rsidR="000F7CBC" w:rsidRDefault="000F7CBC">
      <w:pPr>
        <w:pStyle w:val="TableofFigures"/>
        <w:rPr>
          <w:rFonts w:asciiTheme="minorHAnsi" w:eastAsiaTheme="minorEastAsia" w:hAnsiTheme="minorHAnsi"/>
          <w:b w:val="0"/>
          <w:noProof/>
          <w:sz w:val="22"/>
          <w:lang w:val="en-GB" w:eastAsia="en-GB"/>
        </w:rPr>
      </w:pPr>
      <w:hyperlink w:anchor="_Toc40436656" w:history="1">
        <w:r w:rsidRPr="00623AD0">
          <w:rPr>
            <w:rStyle w:val="Hyperlink"/>
            <w:noProof/>
          </w:rPr>
          <w:t>Figure 26: Caregiver Service Needs</w:t>
        </w:r>
        <w:r>
          <w:rPr>
            <w:noProof/>
            <w:webHidden/>
          </w:rPr>
          <w:tab/>
        </w:r>
        <w:r>
          <w:rPr>
            <w:noProof/>
            <w:webHidden/>
          </w:rPr>
          <w:fldChar w:fldCharType="begin"/>
        </w:r>
        <w:r>
          <w:rPr>
            <w:noProof/>
            <w:webHidden/>
          </w:rPr>
          <w:instrText xml:space="preserve"> PAGEREF _Toc40436656 \h </w:instrText>
        </w:r>
        <w:r>
          <w:rPr>
            <w:noProof/>
            <w:webHidden/>
          </w:rPr>
        </w:r>
        <w:r>
          <w:rPr>
            <w:noProof/>
            <w:webHidden/>
          </w:rPr>
          <w:fldChar w:fldCharType="separate"/>
        </w:r>
        <w:r w:rsidR="00D7239F">
          <w:rPr>
            <w:noProof/>
            <w:webHidden/>
          </w:rPr>
          <w:t>298</w:t>
        </w:r>
        <w:r>
          <w:rPr>
            <w:noProof/>
            <w:webHidden/>
          </w:rPr>
          <w:fldChar w:fldCharType="end"/>
        </w:r>
      </w:hyperlink>
    </w:p>
    <w:p w14:paraId="50515D2C" w14:textId="77777777" w:rsidR="000F7CBC" w:rsidRDefault="000F7CBC">
      <w:pPr>
        <w:pStyle w:val="TableofFigures"/>
        <w:rPr>
          <w:rFonts w:asciiTheme="minorHAnsi" w:eastAsiaTheme="minorEastAsia" w:hAnsiTheme="minorHAnsi"/>
          <w:b w:val="0"/>
          <w:noProof/>
          <w:sz w:val="22"/>
          <w:lang w:val="en-GB" w:eastAsia="en-GB"/>
        </w:rPr>
      </w:pPr>
      <w:hyperlink w:anchor="_Toc40436657" w:history="1">
        <w:r w:rsidRPr="00623AD0">
          <w:rPr>
            <w:rStyle w:val="Hyperlink"/>
            <w:noProof/>
          </w:rPr>
          <w:t>Figure 27: Preferred Gender of Caregivers</w:t>
        </w:r>
        <w:r>
          <w:rPr>
            <w:noProof/>
            <w:webHidden/>
          </w:rPr>
          <w:tab/>
        </w:r>
        <w:r>
          <w:rPr>
            <w:noProof/>
            <w:webHidden/>
          </w:rPr>
          <w:fldChar w:fldCharType="begin"/>
        </w:r>
        <w:r>
          <w:rPr>
            <w:noProof/>
            <w:webHidden/>
          </w:rPr>
          <w:instrText xml:space="preserve"> PAGEREF _Toc40436657 \h </w:instrText>
        </w:r>
        <w:r>
          <w:rPr>
            <w:noProof/>
            <w:webHidden/>
          </w:rPr>
        </w:r>
        <w:r>
          <w:rPr>
            <w:noProof/>
            <w:webHidden/>
          </w:rPr>
          <w:fldChar w:fldCharType="separate"/>
        </w:r>
        <w:r w:rsidR="00D7239F">
          <w:rPr>
            <w:noProof/>
            <w:webHidden/>
          </w:rPr>
          <w:t>301</w:t>
        </w:r>
        <w:r>
          <w:rPr>
            <w:noProof/>
            <w:webHidden/>
          </w:rPr>
          <w:fldChar w:fldCharType="end"/>
        </w:r>
      </w:hyperlink>
    </w:p>
    <w:p w14:paraId="5C703760" w14:textId="77777777" w:rsidR="000F7CBC" w:rsidRDefault="000F7CBC">
      <w:pPr>
        <w:pStyle w:val="TableofFigures"/>
        <w:rPr>
          <w:rFonts w:asciiTheme="minorHAnsi" w:eastAsiaTheme="minorEastAsia" w:hAnsiTheme="minorHAnsi"/>
          <w:b w:val="0"/>
          <w:noProof/>
          <w:sz w:val="22"/>
          <w:lang w:val="en-GB" w:eastAsia="en-GB"/>
        </w:rPr>
      </w:pPr>
      <w:hyperlink w:anchor="_Toc40436658" w:history="1">
        <w:r w:rsidRPr="00623AD0">
          <w:rPr>
            <w:rStyle w:val="Hyperlink"/>
            <w:noProof/>
          </w:rPr>
          <w:t>Figure 28: Financial Responsibility for Health &amp; Social Services for Older Persons</w:t>
        </w:r>
        <w:r>
          <w:rPr>
            <w:noProof/>
            <w:webHidden/>
          </w:rPr>
          <w:tab/>
        </w:r>
        <w:r>
          <w:rPr>
            <w:noProof/>
            <w:webHidden/>
          </w:rPr>
          <w:fldChar w:fldCharType="begin"/>
        </w:r>
        <w:r>
          <w:rPr>
            <w:noProof/>
            <w:webHidden/>
          </w:rPr>
          <w:instrText xml:space="preserve"> PAGEREF _Toc40436658 \h </w:instrText>
        </w:r>
        <w:r>
          <w:rPr>
            <w:noProof/>
            <w:webHidden/>
          </w:rPr>
        </w:r>
        <w:r>
          <w:rPr>
            <w:noProof/>
            <w:webHidden/>
          </w:rPr>
          <w:fldChar w:fldCharType="separate"/>
        </w:r>
        <w:r w:rsidR="00D7239F">
          <w:rPr>
            <w:noProof/>
            <w:webHidden/>
          </w:rPr>
          <w:t>302</w:t>
        </w:r>
        <w:r>
          <w:rPr>
            <w:noProof/>
            <w:webHidden/>
          </w:rPr>
          <w:fldChar w:fldCharType="end"/>
        </w:r>
      </w:hyperlink>
    </w:p>
    <w:p w14:paraId="58094846" w14:textId="77777777" w:rsidR="000F7CBC" w:rsidRDefault="000F7CBC">
      <w:pPr>
        <w:pStyle w:val="TableofFigures"/>
        <w:rPr>
          <w:rFonts w:asciiTheme="minorHAnsi" w:eastAsiaTheme="minorEastAsia" w:hAnsiTheme="minorHAnsi"/>
          <w:b w:val="0"/>
          <w:noProof/>
          <w:sz w:val="22"/>
          <w:lang w:val="en-GB" w:eastAsia="en-GB"/>
        </w:rPr>
      </w:pPr>
      <w:hyperlink w:anchor="_Toc40436659" w:history="1">
        <w:r w:rsidRPr="00623AD0">
          <w:rPr>
            <w:rStyle w:val="Hyperlink"/>
            <w:noProof/>
          </w:rPr>
          <w:t>Figure 29: Financial Responsibility for Support Services for Family Caregivers</w:t>
        </w:r>
        <w:r>
          <w:rPr>
            <w:noProof/>
            <w:webHidden/>
          </w:rPr>
          <w:tab/>
        </w:r>
        <w:r>
          <w:rPr>
            <w:noProof/>
            <w:webHidden/>
          </w:rPr>
          <w:fldChar w:fldCharType="begin"/>
        </w:r>
        <w:r>
          <w:rPr>
            <w:noProof/>
            <w:webHidden/>
          </w:rPr>
          <w:instrText xml:space="preserve"> PAGEREF _Toc40436659 \h </w:instrText>
        </w:r>
        <w:r>
          <w:rPr>
            <w:noProof/>
            <w:webHidden/>
          </w:rPr>
        </w:r>
        <w:r>
          <w:rPr>
            <w:noProof/>
            <w:webHidden/>
          </w:rPr>
          <w:fldChar w:fldCharType="separate"/>
        </w:r>
        <w:r w:rsidR="00D7239F">
          <w:rPr>
            <w:noProof/>
            <w:webHidden/>
          </w:rPr>
          <w:t>303</w:t>
        </w:r>
        <w:r>
          <w:rPr>
            <w:noProof/>
            <w:webHidden/>
          </w:rPr>
          <w:fldChar w:fldCharType="end"/>
        </w:r>
      </w:hyperlink>
    </w:p>
    <w:p w14:paraId="77267C91" w14:textId="77777777" w:rsidR="000F7CBC" w:rsidRDefault="000F7CBC">
      <w:pPr>
        <w:pStyle w:val="TableofFigures"/>
        <w:rPr>
          <w:rFonts w:asciiTheme="minorHAnsi" w:eastAsiaTheme="minorEastAsia" w:hAnsiTheme="minorHAnsi"/>
          <w:b w:val="0"/>
          <w:noProof/>
          <w:sz w:val="22"/>
          <w:lang w:val="en-GB" w:eastAsia="en-GB"/>
        </w:rPr>
      </w:pPr>
      <w:hyperlink w:anchor="_Toc40436660" w:history="1">
        <w:r w:rsidRPr="00623AD0">
          <w:rPr>
            <w:rStyle w:val="Hyperlink"/>
            <w:noProof/>
          </w:rPr>
          <w:t>Figure 30: Motivation for Providing Care</w:t>
        </w:r>
        <w:r>
          <w:rPr>
            <w:noProof/>
            <w:webHidden/>
          </w:rPr>
          <w:tab/>
        </w:r>
        <w:r>
          <w:rPr>
            <w:noProof/>
            <w:webHidden/>
          </w:rPr>
          <w:fldChar w:fldCharType="begin"/>
        </w:r>
        <w:r>
          <w:rPr>
            <w:noProof/>
            <w:webHidden/>
          </w:rPr>
          <w:instrText xml:space="preserve"> PAGEREF _Toc40436660 \h </w:instrText>
        </w:r>
        <w:r>
          <w:rPr>
            <w:noProof/>
            <w:webHidden/>
          </w:rPr>
        </w:r>
        <w:r>
          <w:rPr>
            <w:noProof/>
            <w:webHidden/>
          </w:rPr>
          <w:fldChar w:fldCharType="separate"/>
        </w:r>
        <w:r w:rsidR="00D7239F">
          <w:rPr>
            <w:noProof/>
            <w:webHidden/>
          </w:rPr>
          <w:t>305</w:t>
        </w:r>
        <w:r>
          <w:rPr>
            <w:noProof/>
            <w:webHidden/>
          </w:rPr>
          <w:fldChar w:fldCharType="end"/>
        </w:r>
      </w:hyperlink>
    </w:p>
    <w:p w14:paraId="1A85D066" w14:textId="77777777" w:rsidR="000F7CBC" w:rsidRDefault="000F7CBC">
      <w:pPr>
        <w:pStyle w:val="TableofFigures"/>
        <w:rPr>
          <w:rFonts w:asciiTheme="minorHAnsi" w:eastAsiaTheme="minorEastAsia" w:hAnsiTheme="minorHAnsi"/>
          <w:b w:val="0"/>
          <w:noProof/>
          <w:sz w:val="22"/>
          <w:lang w:val="en-GB" w:eastAsia="en-GB"/>
        </w:rPr>
      </w:pPr>
      <w:hyperlink w:anchor="_Toc40436661" w:history="1">
        <w:r w:rsidRPr="00623AD0">
          <w:rPr>
            <w:rStyle w:val="Hyperlink"/>
            <w:noProof/>
          </w:rPr>
          <w:t>Figure 31: Main Change to Caregiving Responsibilities</w:t>
        </w:r>
        <w:r>
          <w:rPr>
            <w:noProof/>
            <w:webHidden/>
          </w:rPr>
          <w:tab/>
        </w:r>
        <w:r>
          <w:rPr>
            <w:noProof/>
            <w:webHidden/>
          </w:rPr>
          <w:fldChar w:fldCharType="begin"/>
        </w:r>
        <w:r>
          <w:rPr>
            <w:noProof/>
            <w:webHidden/>
          </w:rPr>
          <w:instrText xml:space="preserve"> PAGEREF _Toc40436661 \h </w:instrText>
        </w:r>
        <w:r>
          <w:rPr>
            <w:noProof/>
            <w:webHidden/>
          </w:rPr>
        </w:r>
        <w:r>
          <w:rPr>
            <w:noProof/>
            <w:webHidden/>
          </w:rPr>
          <w:fldChar w:fldCharType="separate"/>
        </w:r>
        <w:r w:rsidR="00D7239F">
          <w:rPr>
            <w:noProof/>
            <w:webHidden/>
          </w:rPr>
          <w:t>307</w:t>
        </w:r>
        <w:r>
          <w:rPr>
            <w:noProof/>
            <w:webHidden/>
          </w:rPr>
          <w:fldChar w:fldCharType="end"/>
        </w:r>
      </w:hyperlink>
    </w:p>
    <w:p w14:paraId="1A9886FD" w14:textId="77777777" w:rsidR="000F7CBC" w:rsidRDefault="000F7CBC">
      <w:pPr>
        <w:pStyle w:val="TableofFigures"/>
        <w:rPr>
          <w:rFonts w:asciiTheme="minorHAnsi" w:eastAsiaTheme="minorEastAsia" w:hAnsiTheme="minorHAnsi"/>
          <w:b w:val="0"/>
          <w:noProof/>
          <w:sz w:val="22"/>
          <w:lang w:val="en-GB" w:eastAsia="en-GB"/>
        </w:rPr>
      </w:pPr>
      <w:hyperlink w:anchor="_Toc40436662" w:history="1">
        <w:r w:rsidRPr="00623AD0">
          <w:rPr>
            <w:rStyle w:val="Hyperlink"/>
            <w:noProof/>
          </w:rPr>
          <w:t>Figure 32: Willingness to Place Older Relative in a Long Term Care Facility</w:t>
        </w:r>
        <w:r>
          <w:rPr>
            <w:noProof/>
            <w:webHidden/>
          </w:rPr>
          <w:tab/>
        </w:r>
        <w:r>
          <w:rPr>
            <w:noProof/>
            <w:webHidden/>
          </w:rPr>
          <w:fldChar w:fldCharType="begin"/>
        </w:r>
        <w:r>
          <w:rPr>
            <w:noProof/>
            <w:webHidden/>
          </w:rPr>
          <w:instrText xml:space="preserve"> PAGEREF _Toc40436662 \h </w:instrText>
        </w:r>
        <w:r>
          <w:rPr>
            <w:noProof/>
            <w:webHidden/>
          </w:rPr>
        </w:r>
        <w:r>
          <w:rPr>
            <w:noProof/>
            <w:webHidden/>
          </w:rPr>
          <w:fldChar w:fldCharType="separate"/>
        </w:r>
        <w:r w:rsidR="00D7239F">
          <w:rPr>
            <w:noProof/>
            <w:webHidden/>
          </w:rPr>
          <w:t>308</w:t>
        </w:r>
        <w:r>
          <w:rPr>
            <w:noProof/>
            <w:webHidden/>
          </w:rPr>
          <w:fldChar w:fldCharType="end"/>
        </w:r>
      </w:hyperlink>
    </w:p>
    <w:p w14:paraId="3D3ED93A" w14:textId="38EFA32C" w:rsidR="00D468C4" w:rsidRPr="00E869A4" w:rsidRDefault="00D468C4" w:rsidP="00831035">
      <w:r w:rsidRPr="00E869A4">
        <w:fldChar w:fldCharType="end"/>
      </w:r>
    </w:p>
    <w:p w14:paraId="6C8B261C" w14:textId="77777777" w:rsidR="00077CF0" w:rsidRPr="00E869A4" w:rsidRDefault="00077CF0" w:rsidP="00831035"/>
    <w:p w14:paraId="5C539497" w14:textId="77CAE254" w:rsidR="00831035" w:rsidRPr="00E869A4" w:rsidRDefault="00831035" w:rsidP="00D20B2D">
      <w:pPr>
        <w:pStyle w:val="Heading1"/>
      </w:pPr>
      <w:bookmarkStart w:id="5" w:name="_Toc40436443"/>
      <w:r w:rsidRPr="00E869A4">
        <w:t>List of Boxes</w:t>
      </w:r>
      <w:bookmarkEnd w:id="5"/>
    </w:p>
    <w:bookmarkStart w:id="6" w:name="_GoBack"/>
    <w:bookmarkEnd w:id="6"/>
    <w:p w14:paraId="6212F45C" w14:textId="77777777" w:rsidR="000F7CBC" w:rsidRDefault="00831035">
      <w:pPr>
        <w:pStyle w:val="TableofFigures"/>
        <w:rPr>
          <w:rFonts w:asciiTheme="minorHAnsi" w:eastAsiaTheme="minorEastAsia" w:hAnsiTheme="minorHAnsi"/>
          <w:b w:val="0"/>
          <w:noProof/>
          <w:sz w:val="22"/>
          <w:lang w:val="en-GB" w:eastAsia="en-GB"/>
        </w:rPr>
      </w:pPr>
      <w:r w:rsidRPr="00E869A4">
        <w:fldChar w:fldCharType="begin"/>
      </w:r>
      <w:r w:rsidRPr="00E869A4">
        <w:instrText xml:space="preserve"> TOC \h \z \c "Box" </w:instrText>
      </w:r>
      <w:r w:rsidRPr="00E869A4">
        <w:fldChar w:fldCharType="separate"/>
      </w:r>
      <w:hyperlink w:anchor="_Toc40436663" w:history="1">
        <w:r w:rsidR="000F7CBC" w:rsidRPr="00FA61EA">
          <w:rPr>
            <w:rStyle w:val="Hyperlink"/>
            <w:rFonts w:eastAsiaTheme="majorEastAsia" w:cs="Times New Roman"/>
            <w:bCs/>
            <w:noProof/>
          </w:rPr>
          <w:t>Box 1: Complaints from Participant (Respondent F) about Health Care in T&amp;T</w:t>
        </w:r>
        <w:r w:rsidR="000F7CBC">
          <w:rPr>
            <w:noProof/>
            <w:webHidden/>
          </w:rPr>
          <w:tab/>
        </w:r>
        <w:r w:rsidR="000F7CBC">
          <w:rPr>
            <w:noProof/>
            <w:webHidden/>
          </w:rPr>
          <w:fldChar w:fldCharType="begin"/>
        </w:r>
        <w:r w:rsidR="000F7CBC">
          <w:rPr>
            <w:noProof/>
            <w:webHidden/>
          </w:rPr>
          <w:instrText xml:space="preserve"> PAGEREF _Toc40436663 \h </w:instrText>
        </w:r>
        <w:r w:rsidR="000F7CBC">
          <w:rPr>
            <w:noProof/>
            <w:webHidden/>
          </w:rPr>
        </w:r>
        <w:r w:rsidR="000F7CBC">
          <w:rPr>
            <w:noProof/>
            <w:webHidden/>
          </w:rPr>
          <w:fldChar w:fldCharType="separate"/>
        </w:r>
        <w:r w:rsidR="00D7239F">
          <w:rPr>
            <w:noProof/>
            <w:webHidden/>
          </w:rPr>
          <w:t>292</w:t>
        </w:r>
        <w:r w:rsidR="000F7CBC">
          <w:rPr>
            <w:noProof/>
            <w:webHidden/>
          </w:rPr>
          <w:fldChar w:fldCharType="end"/>
        </w:r>
      </w:hyperlink>
    </w:p>
    <w:p w14:paraId="0C3568E8" w14:textId="77777777" w:rsidR="000F7CBC" w:rsidRDefault="000F7CBC">
      <w:pPr>
        <w:pStyle w:val="TableofFigures"/>
        <w:rPr>
          <w:rFonts w:asciiTheme="minorHAnsi" w:eastAsiaTheme="minorEastAsia" w:hAnsiTheme="minorHAnsi"/>
          <w:b w:val="0"/>
          <w:noProof/>
          <w:sz w:val="22"/>
          <w:lang w:val="en-GB" w:eastAsia="en-GB"/>
        </w:rPr>
      </w:pPr>
      <w:hyperlink w:anchor="_Toc40436664" w:history="1">
        <w:r w:rsidRPr="00FA61EA">
          <w:rPr>
            <w:rStyle w:val="Hyperlink"/>
            <w:rFonts w:eastAsiaTheme="majorEastAsia" w:cs="Times New Roman"/>
            <w:bCs/>
            <w:noProof/>
          </w:rPr>
          <w:t>Box 2: Selected Open-Ended Feedback on Quality of State Services for Older Persons</w:t>
        </w:r>
        <w:r>
          <w:rPr>
            <w:noProof/>
            <w:webHidden/>
          </w:rPr>
          <w:tab/>
        </w:r>
        <w:r>
          <w:rPr>
            <w:noProof/>
            <w:webHidden/>
          </w:rPr>
          <w:fldChar w:fldCharType="begin"/>
        </w:r>
        <w:r>
          <w:rPr>
            <w:noProof/>
            <w:webHidden/>
          </w:rPr>
          <w:instrText xml:space="preserve"> PAGEREF _Toc40436664 \h </w:instrText>
        </w:r>
        <w:r>
          <w:rPr>
            <w:noProof/>
            <w:webHidden/>
          </w:rPr>
        </w:r>
        <w:r>
          <w:rPr>
            <w:noProof/>
            <w:webHidden/>
          </w:rPr>
          <w:fldChar w:fldCharType="separate"/>
        </w:r>
        <w:r w:rsidR="00D7239F">
          <w:rPr>
            <w:noProof/>
            <w:webHidden/>
          </w:rPr>
          <w:t>295</w:t>
        </w:r>
        <w:r>
          <w:rPr>
            <w:noProof/>
            <w:webHidden/>
          </w:rPr>
          <w:fldChar w:fldCharType="end"/>
        </w:r>
      </w:hyperlink>
    </w:p>
    <w:p w14:paraId="78064CF1" w14:textId="77777777" w:rsidR="000F7CBC" w:rsidRDefault="000F7CBC">
      <w:pPr>
        <w:pStyle w:val="TableofFigures"/>
        <w:rPr>
          <w:rFonts w:asciiTheme="minorHAnsi" w:eastAsiaTheme="minorEastAsia" w:hAnsiTheme="minorHAnsi"/>
          <w:b w:val="0"/>
          <w:noProof/>
          <w:sz w:val="22"/>
          <w:lang w:val="en-GB" w:eastAsia="en-GB"/>
        </w:rPr>
      </w:pPr>
      <w:hyperlink w:anchor="_Toc40436665" w:history="1">
        <w:r w:rsidRPr="00FA61EA">
          <w:rPr>
            <w:rStyle w:val="Hyperlink"/>
            <w:rFonts w:eastAsiaTheme="majorEastAsia" w:cs="Times New Roman"/>
            <w:bCs/>
            <w:noProof/>
          </w:rPr>
          <w:t>Box 3: Selected Open-Ended Responses on Financial Abuse of Older Persons</w:t>
        </w:r>
        <w:r>
          <w:rPr>
            <w:noProof/>
            <w:webHidden/>
          </w:rPr>
          <w:tab/>
        </w:r>
        <w:r>
          <w:rPr>
            <w:noProof/>
            <w:webHidden/>
          </w:rPr>
          <w:fldChar w:fldCharType="begin"/>
        </w:r>
        <w:r>
          <w:rPr>
            <w:noProof/>
            <w:webHidden/>
          </w:rPr>
          <w:instrText xml:space="preserve"> PAGEREF _Toc40436665 \h </w:instrText>
        </w:r>
        <w:r>
          <w:rPr>
            <w:noProof/>
            <w:webHidden/>
          </w:rPr>
        </w:r>
        <w:r>
          <w:rPr>
            <w:noProof/>
            <w:webHidden/>
          </w:rPr>
          <w:fldChar w:fldCharType="separate"/>
        </w:r>
        <w:r w:rsidR="00D7239F">
          <w:rPr>
            <w:noProof/>
            <w:webHidden/>
          </w:rPr>
          <w:t>305</w:t>
        </w:r>
        <w:r>
          <w:rPr>
            <w:noProof/>
            <w:webHidden/>
          </w:rPr>
          <w:fldChar w:fldCharType="end"/>
        </w:r>
      </w:hyperlink>
    </w:p>
    <w:p w14:paraId="24C2B064" w14:textId="77777777" w:rsidR="000F7CBC" w:rsidRDefault="000F7CBC">
      <w:pPr>
        <w:pStyle w:val="TableofFigures"/>
        <w:rPr>
          <w:rFonts w:asciiTheme="minorHAnsi" w:eastAsiaTheme="minorEastAsia" w:hAnsiTheme="minorHAnsi"/>
          <w:b w:val="0"/>
          <w:noProof/>
          <w:sz w:val="22"/>
          <w:lang w:val="en-GB" w:eastAsia="en-GB"/>
        </w:rPr>
      </w:pPr>
      <w:hyperlink w:anchor="_Toc40436666" w:history="1">
        <w:r w:rsidRPr="00FA61EA">
          <w:rPr>
            <w:rStyle w:val="Hyperlink"/>
            <w:rFonts w:eastAsiaTheme="majorEastAsia" w:cs="Times New Roman"/>
            <w:bCs/>
            <w:noProof/>
          </w:rPr>
          <w:t>Box 4: Selected Open-Ended Comments on Institutions for Older Persons in T&amp;T</w:t>
        </w:r>
        <w:r>
          <w:rPr>
            <w:noProof/>
            <w:webHidden/>
          </w:rPr>
          <w:tab/>
        </w:r>
        <w:r>
          <w:rPr>
            <w:noProof/>
            <w:webHidden/>
          </w:rPr>
          <w:fldChar w:fldCharType="begin"/>
        </w:r>
        <w:r>
          <w:rPr>
            <w:noProof/>
            <w:webHidden/>
          </w:rPr>
          <w:instrText xml:space="preserve"> PAGEREF _Toc40436666 \h </w:instrText>
        </w:r>
        <w:r>
          <w:rPr>
            <w:noProof/>
            <w:webHidden/>
          </w:rPr>
        </w:r>
        <w:r>
          <w:rPr>
            <w:noProof/>
            <w:webHidden/>
          </w:rPr>
          <w:fldChar w:fldCharType="separate"/>
        </w:r>
        <w:r w:rsidR="00D7239F">
          <w:rPr>
            <w:noProof/>
            <w:webHidden/>
          </w:rPr>
          <w:t>309</w:t>
        </w:r>
        <w:r>
          <w:rPr>
            <w:noProof/>
            <w:webHidden/>
          </w:rPr>
          <w:fldChar w:fldCharType="end"/>
        </w:r>
      </w:hyperlink>
    </w:p>
    <w:p w14:paraId="0F20C8FA" w14:textId="77777777" w:rsidR="00831035" w:rsidRPr="00E869A4" w:rsidRDefault="00831035" w:rsidP="00831035">
      <w:r w:rsidRPr="00E869A4">
        <w:fldChar w:fldCharType="end"/>
      </w:r>
    </w:p>
    <w:p w14:paraId="0D785B3F" w14:textId="77777777" w:rsidR="00831035" w:rsidRPr="00E869A4" w:rsidRDefault="00831035" w:rsidP="00831035"/>
    <w:p w14:paraId="5D513310" w14:textId="77777777" w:rsidR="00831035" w:rsidRPr="00E869A4" w:rsidRDefault="00831035" w:rsidP="00831035"/>
    <w:p w14:paraId="0B87535C" w14:textId="77777777" w:rsidR="00077CF0" w:rsidRPr="00E869A4" w:rsidRDefault="003333B0" w:rsidP="00B61191">
      <w:pPr>
        <w:ind w:left="567" w:firstLine="0"/>
      </w:pPr>
      <w:r w:rsidRPr="00E869A4">
        <w:t xml:space="preserve"> </w:t>
      </w:r>
    </w:p>
    <w:p w14:paraId="4492622B" w14:textId="77777777" w:rsidR="00077CF0" w:rsidRPr="00E869A4" w:rsidRDefault="00077CF0">
      <w:pPr>
        <w:rPr>
          <w:rFonts w:ascii="Times New Roman" w:hAnsi="Times New Roman" w:cs="Times New Roman"/>
          <w:b/>
          <w:bCs/>
          <w:sz w:val="32"/>
          <w:szCs w:val="28"/>
        </w:rPr>
      </w:pPr>
      <w:r w:rsidRPr="00E869A4">
        <w:br w:type="page"/>
      </w:r>
    </w:p>
    <w:p w14:paraId="65CE1EA9" w14:textId="1FE1ACAE" w:rsidR="00E035C2" w:rsidRPr="00E869A4" w:rsidRDefault="00D468C4" w:rsidP="00D20B2D">
      <w:pPr>
        <w:pStyle w:val="Heading1"/>
        <w:rPr>
          <w:lang w:val="en-GB"/>
        </w:rPr>
      </w:pPr>
      <w:bookmarkStart w:id="7" w:name="_Toc507637416"/>
      <w:bookmarkStart w:id="8" w:name="_Toc40436444"/>
      <w:r w:rsidRPr="00E869A4">
        <w:rPr>
          <w:lang w:val="en-GB"/>
        </w:rPr>
        <w:lastRenderedPageBreak/>
        <w:t>Abbreviations</w:t>
      </w:r>
      <w:bookmarkEnd w:id="8"/>
    </w:p>
    <w:p w14:paraId="039C4423" w14:textId="77777777" w:rsidR="00BE39C5" w:rsidRPr="00E869A4" w:rsidRDefault="00BE39C5" w:rsidP="00BE39C5">
      <w:pPr>
        <w:spacing w:line="276" w:lineRule="auto"/>
        <w:ind w:firstLine="0"/>
      </w:pPr>
      <w:r w:rsidRPr="00E869A4">
        <w:t>AARP – American Association of Retired Persons</w:t>
      </w:r>
    </w:p>
    <w:p w14:paraId="1CEEB58E" w14:textId="77777777" w:rsidR="00BE39C5" w:rsidRPr="00E869A4" w:rsidRDefault="00BE39C5" w:rsidP="00BE39C5">
      <w:pPr>
        <w:spacing w:line="276" w:lineRule="auto"/>
        <w:ind w:firstLine="0"/>
      </w:pPr>
      <w:r w:rsidRPr="00E869A4">
        <w:t>ADL – Activity of Daily Living</w:t>
      </w:r>
    </w:p>
    <w:p w14:paraId="0CB7BCF7" w14:textId="77777777" w:rsidR="00BE39C5" w:rsidRPr="00E869A4" w:rsidRDefault="00BE39C5" w:rsidP="00BE39C5">
      <w:pPr>
        <w:spacing w:line="276" w:lineRule="auto"/>
        <w:ind w:firstLine="0"/>
      </w:pPr>
      <w:r w:rsidRPr="00E869A4">
        <w:t xml:space="preserve">ADRD – Alzheimer’s Disease and Related Dementia </w:t>
      </w:r>
    </w:p>
    <w:p w14:paraId="7FD901EE" w14:textId="77777777" w:rsidR="00BE39C5" w:rsidRPr="00E869A4" w:rsidRDefault="00BE39C5" w:rsidP="00BE39C5">
      <w:pPr>
        <w:spacing w:line="276" w:lineRule="auto"/>
        <w:ind w:firstLine="0"/>
        <w:rPr>
          <w:lang w:val="fr-FR"/>
        </w:rPr>
      </w:pPr>
      <w:r w:rsidRPr="00E869A4">
        <w:rPr>
          <w:lang w:val="fr-FR"/>
        </w:rPr>
        <w:t>APA – Allocation Personnalisée d'Autonomie</w:t>
      </w:r>
    </w:p>
    <w:p w14:paraId="432BFC20" w14:textId="1E79CB39" w:rsidR="00BE39C5" w:rsidRPr="00E869A4" w:rsidRDefault="00BE39C5" w:rsidP="00BE39C5">
      <w:pPr>
        <w:spacing w:line="276" w:lineRule="auto"/>
        <w:ind w:firstLine="0"/>
        <w:rPr>
          <w:lang w:val="fr-FR"/>
        </w:rPr>
      </w:pPr>
      <w:r w:rsidRPr="00E869A4">
        <w:rPr>
          <w:lang w:val="fr-FR"/>
        </w:rPr>
        <w:t>CBO – Community</w:t>
      </w:r>
      <w:r w:rsidR="00EE2120" w:rsidRPr="00E869A4">
        <w:rPr>
          <w:lang w:val="fr-FR"/>
        </w:rPr>
        <w:t>-</w:t>
      </w:r>
      <w:r w:rsidRPr="00E869A4">
        <w:rPr>
          <w:lang w:val="fr-FR"/>
        </w:rPr>
        <w:t>Based Organisation</w:t>
      </w:r>
    </w:p>
    <w:p w14:paraId="09742A6D" w14:textId="77777777" w:rsidR="00BE39C5" w:rsidRPr="00E869A4" w:rsidRDefault="00BE39C5" w:rsidP="00BE39C5">
      <w:pPr>
        <w:spacing w:line="276" w:lineRule="auto"/>
        <w:ind w:firstLine="0"/>
      </w:pPr>
      <w:r w:rsidRPr="00E869A4">
        <w:t>CDAP – Chronic Disease Assistance Programme</w:t>
      </w:r>
    </w:p>
    <w:p w14:paraId="488C400F" w14:textId="77777777" w:rsidR="00BE39C5" w:rsidRPr="00E869A4" w:rsidRDefault="00BE39C5" w:rsidP="00BE39C5">
      <w:pPr>
        <w:spacing w:line="276" w:lineRule="auto"/>
        <w:ind w:firstLine="0"/>
      </w:pPr>
      <w:r w:rsidRPr="00E869A4">
        <w:t>CEDAW – The Convention on the Elimination of All Forms of Discrimination Against Women</w:t>
      </w:r>
    </w:p>
    <w:p w14:paraId="47825C96" w14:textId="77777777" w:rsidR="00BE39C5" w:rsidRPr="00E869A4" w:rsidRDefault="00BE39C5" w:rsidP="00BE39C5">
      <w:pPr>
        <w:spacing w:line="276" w:lineRule="auto"/>
        <w:ind w:firstLine="0"/>
      </w:pPr>
      <w:r w:rsidRPr="00E869A4">
        <w:t>CG – Caregiver</w:t>
      </w:r>
    </w:p>
    <w:p w14:paraId="6F26B7DD" w14:textId="77777777" w:rsidR="00BE39C5" w:rsidRPr="00E869A4" w:rsidRDefault="00BE39C5" w:rsidP="00BE39C5">
      <w:pPr>
        <w:spacing w:line="276" w:lineRule="auto"/>
        <w:ind w:firstLine="0"/>
      </w:pPr>
      <w:r w:rsidRPr="00E869A4">
        <w:t>CIA – Central Intelligence Agency</w:t>
      </w:r>
    </w:p>
    <w:p w14:paraId="3B687D2A" w14:textId="77777777" w:rsidR="00BE39C5" w:rsidRPr="00E869A4" w:rsidRDefault="00BE39C5" w:rsidP="00BE39C5">
      <w:pPr>
        <w:spacing w:line="276" w:lineRule="auto"/>
        <w:ind w:firstLine="0"/>
      </w:pPr>
      <w:r w:rsidRPr="00E869A4">
        <w:t>CR – Care Recipient</w:t>
      </w:r>
    </w:p>
    <w:p w14:paraId="3296930B" w14:textId="77777777" w:rsidR="00BE39C5" w:rsidRPr="00E869A4" w:rsidRDefault="00BE39C5" w:rsidP="00BE39C5">
      <w:pPr>
        <w:spacing w:line="276" w:lineRule="auto"/>
        <w:ind w:firstLine="0"/>
      </w:pPr>
      <w:r w:rsidRPr="00E869A4">
        <w:t>DOA – Division of Ageing</w:t>
      </w:r>
    </w:p>
    <w:p w14:paraId="5593DE38" w14:textId="77777777" w:rsidR="00BE39C5" w:rsidRPr="00E869A4" w:rsidRDefault="00BE39C5" w:rsidP="00BE39C5">
      <w:pPr>
        <w:spacing w:line="276" w:lineRule="auto"/>
        <w:ind w:firstLine="0"/>
      </w:pPr>
      <w:r w:rsidRPr="00E869A4">
        <w:t>ECLAC – Economic Commission for Latin America and the Caribbean</w:t>
      </w:r>
    </w:p>
    <w:p w14:paraId="24C0E04A" w14:textId="77777777" w:rsidR="00BE39C5" w:rsidRPr="00E869A4" w:rsidRDefault="00BE39C5" w:rsidP="00BE39C5">
      <w:pPr>
        <w:spacing w:line="276" w:lineRule="auto"/>
        <w:ind w:firstLine="0"/>
      </w:pPr>
      <w:r w:rsidRPr="00E869A4">
        <w:t>ELDAMO – Elderly &amp; Differently Abled Mobile</w:t>
      </w:r>
    </w:p>
    <w:p w14:paraId="16693779" w14:textId="41760C9E" w:rsidR="00BE39C5" w:rsidRPr="00E869A4" w:rsidRDefault="00BE39C5" w:rsidP="00BE39C5">
      <w:pPr>
        <w:spacing w:line="276" w:lineRule="auto"/>
        <w:ind w:firstLine="0"/>
      </w:pPr>
      <w:r w:rsidRPr="00E869A4">
        <w:t>E</w:t>
      </w:r>
      <w:r w:rsidR="0078701E" w:rsidRPr="00E869A4">
        <w:t>O</w:t>
      </w:r>
      <w:r w:rsidRPr="00E869A4">
        <w:t>CF – Ethics of Care Framework</w:t>
      </w:r>
    </w:p>
    <w:p w14:paraId="5D81E676" w14:textId="77777777" w:rsidR="00BE39C5" w:rsidRPr="00E869A4" w:rsidRDefault="00BE39C5" w:rsidP="00BE39C5">
      <w:pPr>
        <w:spacing w:line="276" w:lineRule="auto"/>
        <w:ind w:firstLine="0"/>
        <w:rPr>
          <w:lang w:val="fr-FR"/>
        </w:rPr>
      </w:pPr>
      <w:r w:rsidRPr="00E869A4">
        <w:rPr>
          <w:lang w:val="fr-FR"/>
        </w:rPr>
        <w:t>EPP – External Patient Programme</w:t>
      </w:r>
    </w:p>
    <w:p w14:paraId="5B731DF9" w14:textId="77777777" w:rsidR="00BE39C5" w:rsidRPr="00E869A4" w:rsidRDefault="00BE39C5" w:rsidP="00BE39C5">
      <w:pPr>
        <w:spacing w:line="276" w:lineRule="auto"/>
        <w:ind w:firstLine="0"/>
        <w:rPr>
          <w:lang w:val="fr-FR"/>
        </w:rPr>
      </w:pPr>
      <w:r w:rsidRPr="00E869A4">
        <w:rPr>
          <w:lang w:val="fr-FR"/>
        </w:rPr>
        <w:t>EU – European Union</w:t>
      </w:r>
    </w:p>
    <w:p w14:paraId="6A51C2E1" w14:textId="77777777" w:rsidR="00BE39C5" w:rsidRPr="00E869A4" w:rsidRDefault="00BE39C5" w:rsidP="00BE39C5">
      <w:pPr>
        <w:spacing w:line="276" w:lineRule="auto"/>
        <w:ind w:firstLine="0"/>
      </w:pPr>
      <w:r w:rsidRPr="00E869A4">
        <w:t>FBO – Faith Based Organisation</w:t>
      </w:r>
    </w:p>
    <w:p w14:paraId="5DAE2161" w14:textId="77777777" w:rsidR="00BE39C5" w:rsidRPr="00E869A4" w:rsidRDefault="00BE39C5" w:rsidP="00BE39C5">
      <w:pPr>
        <w:spacing w:line="276" w:lineRule="auto"/>
        <w:ind w:firstLine="0"/>
      </w:pPr>
      <w:r w:rsidRPr="00E869A4">
        <w:t>FCG – Family Caregiver</w:t>
      </w:r>
    </w:p>
    <w:p w14:paraId="12AC9FF3" w14:textId="7BA958AE" w:rsidR="004B391F" w:rsidRPr="00E869A4" w:rsidRDefault="004B391F" w:rsidP="00BE39C5">
      <w:pPr>
        <w:spacing w:line="276" w:lineRule="auto"/>
        <w:ind w:firstLine="0"/>
      </w:pPr>
      <w:r w:rsidRPr="00E869A4">
        <w:t xml:space="preserve">FES – Family Ecological Systems </w:t>
      </w:r>
    </w:p>
    <w:p w14:paraId="7C4378CD" w14:textId="68CEEB1A" w:rsidR="00BE39C5" w:rsidRPr="00E869A4" w:rsidRDefault="00BE39C5" w:rsidP="00BE39C5">
      <w:pPr>
        <w:spacing w:line="276" w:lineRule="auto"/>
        <w:ind w:firstLine="0"/>
      </w:pPr>
      <w:r w:rsidRPr="00E869A4">
        <w:t>F</w:t>
      </w:r>
      <w:r w:rsidR="0078701E" w:rsidRPr="00E869A4">
        <w:t>R</w:t>
      </w:r>
      <w:r w:rsidRPr="00E869A4">
        <w:t>CG – Friend Caregiver</w:t>
      </w:r>
    </w:p>
    <w:p w14:paraId="437E4643" w14:textId="77777777" w:rsidR="00BE39C5" w:rsidRPr="00E869A4" w:rsidRDefault="00BE39C5" w:rsidP="00BE39C5">
      <w:pPr>
        <w:spacing w:line="276" w:lineRule="auto"/>
        <w:ind w:firstLine="0"/>
      </w:pPr>
      <w:r w:rsidRPr="00E869A4">
        <w:t>GAPP – Geriatric Adolescent Partnership Programme</w:t>
      </w:r>
    </w:p>
    <w:p w14:paraId="5E5A407F" w14:textId="77777777" w:rsidR="00BE39C5" w:rsidRPr="00E869A4" w:rsidRDefault="00BE39C5" w:rsidP="00BE39C5">
      <w:pPr>
        <w:spacing w:line="276" w:lineRule="auto"/>
        <w:ind w:firstLine="0"/>
      </w:pPr>
      <w:r w:rsidRPr="00E869A4">
        <w:t>GATE – Government Assistance for Tuition Expenses</w:t>
      </w:r>
    </w:p>
    <w:p w14:paraId="47691EE7" w14:textId="678A090D" w:rsidR="00BE39C5" w:rsidRPr="00E869A4" w:rsidRDefault="00BE39C5" w:rsidP="00BE39C5">
      <w:pPr>
        <w:spacing w:line="276" w:lineRule="auto"/>
        <w:ind w:firstLine="0"/>
      </w:pPr>
      <w:r w:rsidRPr="00E869A4">
        <w:t>GORTT – Government of the Republic of Trinidad and Tobago</w:t>
      </w:r>
    </w:p>
    <w:p w14:paraId="26D36ACC" w14:textId="77777777" w:rsidR="00BE39C5" w:rsidRPr="00E869A4" w:rsidRDefault="00BE39C5" w:rsidP="00BE39C5">
      <w:pPr>
        <w:spacing w:line="276" w:lineRule="auto"/>
        <w:ind w:firstLine="0"/>
      </w:pPr>
      <w:r w:rsidRPr="00E869A4">
        <w:t>HCT – Hierarchical Compensatory Theory</w:t>
      </w:r>
    </w:p>
    <w:p w14:paraId="17B4D6A6" w14:textId="77777777" w:rsidR="00BE39C5" w:rsidRPr="00E869A4" w:rsidRDefault="00BE39C5" w:rsidP="00BE39C5">
      <w:pPr>
        <w:spacing w:line="276" w:lineRule="auto"/>
        <w:ind w:firstLine="0"/>
      </w:pPr>
      <w:r w:rsidRPr="00E869A4">
        <w:t>IADL – Instrumental Activity of Daily Living</w:t>
      </w:r>
    </w:p>
    <w:p w14:paraId="0F9B5D2C" w14:textId="677E9EE8" w:rsidR="00BE39C5" w:rsidRPr="00E869A4" w:rsidRDefault="00BE39C5" w:rsidP="00BE39C5">
      <w:pPr>
        <w:spacing w:line="276" w:lineRule="auto"/>
        <w:ind w:firstLine="0"/>
      </w:pPr>
      <w:r w:rsidRPr="00E869A4">
        <w:t xml:space="preserve">LAC – Latin America and </w:t>
      </w:r>
      <w:r w:rsidR="006D5CE6" w:rsidRPr="00E869A4">
        <w:t xml:space="preserve">the </w:t>
      </w:r>
      <w:r w:rsidRPr="00E869A4">
        <w:t>Caribbean</w:t>
      </w:r>
    </w:p>
    <w:p w14:paraId="565223AB" w14:textId="77777777" w:rsidR="00BE39C5" w:rsidRPr="00E869A4" w:rsidRDefault="00BE39C5" w:rsidP="00BE39C5">
      <w:pPr>
        <w:spacing w:line="276" w:lineRule="auto"/>
        <w:ind w:firstLine="0"/>
      </w:pPr>
      <w:r w:rsidRPr="00E869A4">
        <w:t>LAT – Living Apart Together</w:t>
      </w:r>
    </w:p>
    <w:p w14:paraId="282F4A4A" w14:textId="6562853A" w:rsidR="00BE39C5" w:rsidRPr="00E869A4" w:rsidRDefault="00BE39C5" w:rsidP="00BE39C5">
      <w:pPr>
        <w:spacing w:line="276" w:lineRule="auto"/>
        <w:ind w:firstLine="0"/>
      </w:pPr>
      <w:r w:rsidRPr="00E869A4">
        <w:t>LEDC – Less Economically Developed Country</w:t>
      </w:r>
      <w:r w:rsidR="00635ADA" w:rsidRPr="00E869A4">
        <w:t xml:space="preserve">  </w:t>
      </w:r>
    </w:p>
    <w:p w14:paraId="3941B354" w14:textId="77777777" w:rsidR="00BE39C5" w:rsidRPr="00E869A4" w:rsidRDefault="00BE39C5" w:rsidP="00BE39C5">
      <w:pPr>
        <w:spacing w:line="276" w:lineRule="auto"/>
        <w:ind w:firstLine="0"/>
      </w:pPr>
      <w:r w:rsidRPr="00E869A4">
        <w:t>LMIC – Lower to Middle Income Country</w:t>
      </w:r>
    </w:p>
    <w:p w14:paraId="28896B11" w14:textId="77777777" w:rsidR="00BE39C5" w:rsidRPr="00E869A4" w:rsidRDefault="00BE39C5" w:rsidP="00BE39C5">
      <w:pPr>
        <w:spacing w:line="276" w:lineRule="auto"/>
        <w:ind w:firstLine="0"/>
      </w:pPr>
      <w:r w:rsidRPr="00E869A4">
        <w:t>MEDC – More Economically Developed Country</w:t>
      </w:r>
    </w:p>
    <w:p w14:paraId="3ADD44F1" w14:textId="77777777" w:rsidR="00BE39C5" w:rsidRDefault="00BE39C5" w:rsidP="00BE39C5">
      <w:pPr>
        <w:spacing w:line="276" w:lineRule="auto"/>
        <w:ind w:firstLine="0"/>
      </w:pPr>
      <w:r w:rsidRPr="00E869A4">
        <w:t>MIPAA – Madrid International Plan of Action on Ageing</w:t>
      </w:r>
    </w:p>
    <w:p w14:paraId="1EED2204" w14:textId="00596560" w:rsidR="00C20766" w:rsidRPr="00E869A4" w:rsidRDefault="00C20766" w:rsidP="00BE39C5">
      <w:pPr>
        <w:spacing w:line="276" w:lineRule="auto"/>
        <w:ind w:firstLine="0"/>
      </w:pPr>
      <w:r>
        <w:t>MSK – Musculoskeletal Conditions</w:t>
      </w:r>
    </w:p>
    <w:p w14:paraId="55AA9C41" w14:textId="77777777" w:rsidR="00BE39C5" w:rsidRPr="00E869A4" w:rsidRDefault="00BE39C5" w:rsidP="00BE39C5">
      <w:pPr>
        <w:spacing w:line="276" w:lineRule="auto"/>
        <w:ind w:firstLine="0"/>
      </w:pPr>
      <w:r w:rsidRPr="00E869A4">
        <w:t>NGO – Non-Governmental Organisation</w:t>
      </w:r>
    </w:p>
    <w:p w14:paraId="0D394721" w14:textId="77777777" w:rsidR="00BE39C5" w:rsidRPr="00E869A4" w:rsidRDefault="00BE39C5" w:rsidP="00BE39C5">
      <w:pPr>
        <w:spacing w:line="276" w:lineRule="auto"/>
        <w:ind w:firstLine="0"/>
      </w:pPr>
      <w:r w:rsidRPr="00E869A4">
        <w:t>NPA – National Policy on Ageing</w:t>
      </w:r>
    </w:p>
    <w:p w14:paraId="696A6479" w14:textId="77777777" w:rsidR="00BE39C5" w:rsidRPr="00E869A4" w:rsidRDefault="00BE39C5" w:rsidP="00BE39C5">
      <w:pPr>
        <w:spacing w:line="276" w:lineRule="auto"/>
        <w:ind w:firstLine="0"/>
      </w:pPr>
      <w:r w:rsidRPr="00E869A4">
        <w:t>OECD – Organisation for Economic Co-operation and Development</w:t>
      </w:r>
    </w:p>
    <w:p w14:paraId="319D6B98" w14:textId="77777777" w:rsidR="00BE39C5" w:rsidRPr="00E869A4" w:rsidRDefault="00BE39C5" w:rsidP="00BE39C5">
      <w:pPr>
        <w:spacing w:line="276" w:lineRule="auto"/>
        <w:ind w:firstLine="0"/>
      </w:pPr>
      <w:r w:rsidRPr="00E869A4">
        <w:t>OECS – Organisation of Eastern Caribbean States</w:t>
      </w:r>
    </w:p>
    <w:p w14:paraId="7F3586CC" w14:textId="77777777" w:rsidR="00BE39C5" w:rsidRPr="00E869A4" w:rsidRDefault="00BE39C5" w:rsidP="00BE39C5">
      <w:pPr>
        <w:spacing w:line="276" w:lineRule="auto"/>
        <w:ind w:firstLine="0"/>
      </w:pPr>
      <w:r w:rsidRPr="00E869A4">
        <w:lastRenderedPageBreak/>
        <w:t>OOP – Out of Pocket</w:t>
      </w:r>
    </w:p>
    <w:p w14:paraId="4381457B" w14:textId="77777777" w:rsidR="00BE39C5" w:rsidRPr="00E869A4" w:rsidRDefault="00BE39C5" w:rsidP="00BE39C5">
      <w:pPr>
        <w:spacing w:line="276" w:lineRule="auto"/>
        <w:ind w:firstLine="0"/>
      </w:pPr>
      <w:r w:rsidRPr="00E869A4">
        <w:t>OPIC – Older Persons Information Centre</w:t>
      </w:r>
    </w:p>
    <w:p w14:paraId="515365CF" w14:textId="77777777" w:rsidR="00BE39C5" w:rsidRPr="00E869A4" w:rsidRDefault="00BE39C5" w:rsidP="00BE39C5">
      <w:pPr>
        <w:spacing w:line="276" w:lineRule="auto"/>
        <w:ind w:firstLine="0"/>
      </w:pPr>
      <w:r w:rsidRPr="00E869A4">
        <w:t>PAHO – Pan American Health Organization</w:t>
      </w:r>
    </w:p>
    <w:p w14:paraId="0775A625" w14:textId="77777777" w:rsidR="00BE39C5" w:rsidRPr="00E869A4" w:rsidRDefault="00BE39C5" w:rsidP="00BE39C5">
      <w:pPr>
        <w:spacing w:line="276" w:lineRule="auto"/>
        <w:ind w:firstLine="0"/>
      </w:pPr>
      <w:r w:rsidRPr="00E869A4">
        <w:t>PCG – Paid Caregiver</w:t>
      </w:r>
    </w:p>
    <w:p w14:paraId="47739B27" w14:textId="77777777" w:rsidR="00BE39C5" w:rsidRPr="00E869A4" w:rsidRDefault="00BE39C5" w:rsidP="00BE39C5">
      <w:pPr>
        <w:spacing w:line="276" w:lineRule="auto"/>
        <w:ind w:firstLine="0"/>
      </w:pPr>
      <w:r w:rsidRPr="00E869A4">
        <w:t>PPP – Purchasing Power Parity</w:t>
      </w:r>
    </w:p>
    <w:p w14:paraId="68B99845" w14:textId="2380BB49" w:rsidR="0075235D" w:rsidRPr="00E869A4" w:rsidRDefault="0075235D" w:rsidP="00BE39C5">
      <w:pPr>
        <w:spacing w:line="276" w:lineRule="auto"/>
        <w:ind w:firstLine="0"/>
      </w:pPr>
      <w:r w:rsidRPr="00E869A4">
        <w:t>PS – Permanent Secretary</w:t>
      </w:r>
    </w:p>
    <w:p w14:paraId="5A6AFFD3" w14:textId="66AC6576" w:rsidR="00ED2162" w:rsidRPr="00E869A4" w:rsidRDefault="00ED2162" w:rsidP="00BE39C5">
      <w:pPr>
        <w:spacing w:line="276" w:lineRule="auto"/>
        <w:ind w:firstLine="0"/>
      </w:pPr>
      <w:r w:rsidRPr="00E869A4">
        <w:t>PWDS – Persons with Disabilities</w:t>
      </w:r>
    </w:p>
    <w:p w14:paraId="39140C79" w14:textId="77777777" w:rsidR="00BE39C5" w:rsidRPr="00E869A4" w:rsidRDefault="00BE39C5" w:rsidP="00BE39C5">
      <w:pPr>
        <w:spacing w:line="276" w:lineRule="auto"/>
        <w:ind w:firstLine="0"/>
      </w:pPr>
      <w:r w:rsidRPr="00E869A4">
        <w:t>RDI – Religious Diversity Index</w:t>
      </w:r>
    </w:p>
    <w:p w14:paraId="512F479C" w14:textId="77777777" w:rsidR="00BE39C5" w:rsidRPr="00E869A4" w:rsidRDefault="00BE39C5" w:rsidP="00BE39C5">
      <w:pPr>
        <w:spacing w:line="276" w:lineRule="auto"/>
        <w:ind w:firstLine="0"/>
      </w:pPr>
      <w:r w:rsidRPr="00E869A4">
        <w:t>RHA – Regional Health Authority</w:t>
      </w:r>
    </w:p>
    <w:p w14:paraId="1DDB1AB8" w14:textId="77777777" w:rsidR="00BE39C5" w:rsidRPr="00E869A4" w:rsidRDefault="00BE39C5" w:rsidP="00BE39C5">
      <w:pPr>
        <w:spacing w:line="276" w:lineRule="auto"/>
        <w:ind w:firstLine="0"/>
      </w:pPr>
      <w:r w:rsidRPr="00E869A4">
        <w:t>SAC – Senior Activity Centre</w:t>
      </w:r>
    </w:p>
    <w:p w14:paraId="799CBFA9" w14:textId="77777777" w:rsidR="00BE39C5" w:rsidRPr="00E869A4" w:rsidRDefault="00BE39C5" w:rsidP="00BE39C5">
      <w:pPr>
        <w:spacing w:line="276" w:lineRule="auto"/>
        <w:ind w:firstLine="0"/>
      </w:pPr>
      <w:r w:rsidRPr="00E869A4">
        <w:t>SATD – Scholarships &amp; Advanced Training Division</w:t>
      </w:r>
    </w:p>
    <w:p w14:paraId="0D71A6CA" w14:textId="77777777" w:rsidR="00BE39C5" w:rsidRPr="00E869A4" w:rsidRDefault="00BE39C5" w:rsidP="00BE39C5">
      <w:pPr>
        <w:spacing w:line="276" w:lineRule="auto"/>
        <w:ind w:firstLine="0"/>
      </w:pPr>
      <w:r w:rsidRPr="00E869A4">
        <w:t>SDG – Sustainable Development Goal</w:t>
      </w:r>
    </w:p>
    <w:p w14:paraId="2D099913" w14:textId="77777777" w:rsidR="00BE39C5" w:rsidRPr="00E869A4" w:rsidRDefault="00BE39C5" w:rsidP="00BE39C5">
      <w:pPr>
        <w:spacing w:line="276" w:lineRule="auto"/>
        <w:ind w:firstLine="0"/>
      </w:pPr>
      <w:r w:rsidRPr="00E869A4">
        <w:t>SI – Symbolic Interactionism</w:t>
      </w:r>
    </w:p>
    <w:p w14:paraId="644239CE" w14:textId="77777777" w:rsidR="00BE39C5" w:rsidRPr="00E869A4" w:rsidRDefault="00BE39C5" w:rsidP="00BE39C5">
      <w:pPr>
        <w:spacing w:line="276" w:lineRule="auto"/>
        <w:ind w:firstLine="0"/>
      </w:pPr>
      <w:r w:rsidRPr="00E869A4">
        <w:t>SIDS – Small Island Developing State</w:t>
      </w:r>
    </w:p>
    <w:p w14:paraId="5BB06DC0" w14:textId="77777777" w:rsidR="00BE39C5" w:rsidRPr="00E869A4" w:rsidRDefault="00BE39C5" w:rsidP="00BE39C5">
      <w:pPr>
        <w:spacing w:line="276" w:lineRule="auto"/>
        <w:ind w:firstLine="0"/>
      </w:pPr>
      <w:r w:rsidRPr="00E869A4">
        <w:t>SLC – Survey of Living Conditions</w:t>
      </w:r>
    </w:p>
    <w:p w14:paraId="1A6F3765" w14:textId="77777777" w:rsidR="00BE39C5" w:rsidRPr="00E869A4" w:rsidRDefault="00BE39C5" w:rsidP="00BE39C5">
      <w:pPr>
        <w:spacing w:line="276" w:lineRule="auto"/>
        <w:ind w:firstLine="0"/>
      </w:pPr>
      <w:r w:rsidRPr="00E869A4">
        <w:t>SSIP – Social Sector Investment Programme</w:t>
      </w:r>
    </w:p>
    <w:p w14:paraId="37ACCC99" w14:textId="77777777" w:rsidR="00BE39C5" w:rsidRPr="00E869A4" w:rsidRDefault="00BE39C5" w:rsidP="00BE39C5">
      <w:pPr>
        <w:spacing w:line="276" w:lineRule="auto"/>
        <w:ind w:firstLine="0"/>
      </w:pPr>
      <w:r w:rsidRPr="00E869A4">
        <w:t>T&amp;T – Trinidad and Tobago</w:t>
      </w:r>
    </w:p>
    <w:p w14:paraId="423F4B4E" w14:textId="77777777" w:rsidR="00BE39C5" w:rsidRPr="00E869A4" w:rsidRDefault="00BE39C5" w:rsidP="00BE39C5">
      <w:pPr>
        <w:spacing w:line="276" w:lineRule="auto"/>
        <w:ind w:firstLine="0"/>
      </w:pPr>
      <w:r w:rsidRPr="00E869A4">
        <w:t>TEFG – Tobago East Focus Group</w:t>
      </w:r>
    </w:p>
    <w:p w14:paraId="1138CD13" w14:textId="77777777" w:rsidR="00BE39C5" w:rsidRPr="00E869A4" w:rsidRDefault="00BE39C5" w:rsidP="00BE39C5">
      <w:pPr>
        <w:spacing w:line="276" w:lineRule="auto"/>
        <w:ind w:firstLine="0"/>
      </w:pPr>
      <w:r w:rsidRPr="00E869A4">
        <w:t xml:space="preserve">TFGC – Tobago Focus Group </w:t>
      </w:r>
    </w:p>
    <w:p w14:paraId="4B200E4B" w14:textId="77777777" w:rsidR="00BE39C5" w:rsidRPr="00E869A4" w:rsidRDefault="00BE39C5" w:rsidP="00BE39C5">
      <w:pPr>
        <w:spacing w:line="276" w:lineRule="auto"/>
        <w:ind w:firstLine="0"/>
      </w:pPr>
      <w:r w:rsidRPr="00E869A4">
        <w:t>THA – Tobago House of Assembly</w:t>
      </w:r>
    </w:p>
    <w:p w14:paraId="27D13C86" w14:textId="77777777" w:rsidR="00BE39C5" w:rsidRPr="00E869A4" w:rsidRDefault="00BE39C5" w:rsidP="00BE39C5">
      <w:pPr>
        <w:spacing w:line="276" w:lineRule="auto"/>
        <w:ind w:firstLine="0"/>
      </w:pPr>
      <w:r w:rsidRPr="00E869A4">
        <w:t>TNFG – Tobago North Focus Group</w:t>
      </w:r>
    </w:p>
    <w:p w14:paraId="210B9C06" w14:textId="651E3F40" w:rsidR="00BE39C5" w:rsidRPr="00E869A4" w:rsidRDefault="00BE39C5" w:rsidP="00BE39C5">
      <w:pPr>
        <w:spacing w:line="276" w:lineRule="auto"/>
        <w:ind w:firstLine="0"/>
      </w:pPr>
      <w:r w:rsidRPr="00E869A4">
        <w:t>T</w:t>
      </w:r>
      <w:r w:rsidR="0078701E" w:rsidRPr="00E869A4">
        <w:t>R</w:t>
      </w:r>
      <w:r w:rsidRPr="00E869A4">
        <w:t>FGC – Trinidad Focus Group Caregiver</w:t>
      </w:r>
    </w:p>
    <w:p w14:paraId="556D669F" w14:textId="77777777" w:rsidR="00BE39C5" w:rsidRPr="00E869A4" w:rsidRDefault="00BE39C5" w:rsidP="00BE39C5">
      <w:pPr>
        <w:spacing w:line="276" w:lineRule="auto"/>
        <w:ind w:firstLine="0"/>
      </w:pPr>
      <w:r w:rsidRPr="00E869A4">
        <w:t>TSFG – Tobago South Focus Group</w:t>
      </w:r>
    </w:p>
    <w:p w14:paraId="6106D6CC" w14:textId="77777777" w:rsidR="00BE39C5" w:rsidRPr="00E869A4" w:rsidRDefault="00BE39C5" w:rsidP="00BE39C5">
      <w:pPr>
        <w:spacing w:line="276" w:lineRule="auto"/>
        <w:ind w:firstLine="0"/>
      </w:pPr>
      <w:r w:rsidRPr="00E869A4">
        <w:t>TSM – Task Specific Model</w:t>
      </w:r>
    </w:p>
    <w:p w14:paraId="5E6B45AC" w14:textId="546D6F49" w:rsidR="00BE39C5" w:rsidRPr="00E869A4" w:rsidRDefault="00BE39C5" w:rsidP="00BE39C5">
      <w:pPr>
        <w:spacing w:line="276" w:lineRule="auto"/>
        <w:ind w:firstLine="0"/>
      </w:pPr>
      <w:r w:rsidRPr="00E869A4">
        <w:t>TTARP – Trinidad and Tobago Association of Retired Persons L</w:t>
      </w:r>
      <w:r w:rsidR="00EA755F" w:rsidRPr="00E869A4">
        <w:t>imited</w:t>
      </w:r>
      <w:r w:rsidRPr="00E869A4">
        <w:t xml:space="preserve"> </w:t>
      </w:r>
    </w:p>
    <w:p w14:paraId="41D4E190" w14:textId="0544B3CB" w:rsidR="009902B0" w:rsidRPr="00E869A4" w:rsidRDefault="009902B0" w:rsidP="00BE39C5">
      <w:pPr>
        <w:spacing w:line="276" w:lineRule="auto"/>
        <w:ind w:firstLine="0"/>
      </w:pPr>
      <w:r w:rsidRPr="00E869A4">
        <w:t>TTD – Trinidad and Tobago Dollars</w:t>
      </w:r>
    </w:p>
    <w:p w14:paraId="545CB119" w14:textId="77777777" w:rsidR="00BE39C5" w:rsidRPr="00E869A4" w:rsidRDefault="00BE39C5" w:rsidP="00BE39C5">
      <w:pPr>
        <w:spacing w:line="276" w:lineRule="auto"/>
        <w:ind w:firstLine="0"/>
      </w:pPr>
      <w:r w:rsidRPr="00E869A4">
        <w:t>UHC – Universal Health Coverage</w:t>
      </w:r>
    </w:p>
    <w:p w14:paraId="0302EF37" w14:textId="77777777" w:rsidR="00BE39C5" w:rsidRPr="00E869A4" w:rsidRDefault="00BE39C5" w:rsidP="00BE39C5">
      <w:pPr>
        <w:spacing w:line="276" w:lineRule="auto"/>
        <w:ind w:firstLine="0"/>
      </w:pPr>
      <w:r w:rsidRPr="00E869A4">
        <w:t>UN – United Nations</w:t>
      </w:r>
    </w:p>
    <w:p w14:paraId="65A68F81" w14:textId="1E55F29D" w:rsidR="00227E83" w:rsidRPr="00E869A4" w:rsidRDefault="00227E83" w:rsidP="00BE39C5">
      <w:pPr>
        <w:spacing w:line="276" w:lineRule="auto"/>
        <w:ind w:firstLine="0"/>
      </w:pPr>
      <w:r w:rsidRPr="00E869A4">
        <w:t>UNDESA – United Nations Department of Economic and Social Affairs</w:t>
      </w:r>
    </w:p>
    <w:p w14:paraId="5156F5EE" w14:textId="10258C32" w:rsidR="00C0762B" w:rsidRPr="00E869A4" w:rsidRDefault="00BE39C5" w:rsidP="00BE39C5">
      <w:pPr>
        <w:spacing w:line="276" w:lineRule="auto"/>
        <w:ind w:firstLine="0"/>
      </w:pPr>
      <w:r w:rsidRPr="00E869A4">
        <w:t>U</w:t>
      </w:r>
      <w:r w:rsidR="0078701E" w:rsidRPr="00E869A4">
        <w:t>O</w:t>
      </w:r>
      <w:r w:rsidRPr="00E869A4">
        <w:t>S – University of Sheffield</w:t>
      </w:r>
    </w:p>
    <w:p w14:paraId="6809999D" w14:textId="77777777" w:rsidR="00BE39C5" w:rsidRPr="00E869A4" w:rsidRDefault="00BE39C5" w:rsidP="00BE39C5">
      <w:pPr>
        <w:spacing w:line="276" w:lineRule="auto"/>
        <w:ind w:firstLine="0"/>
      </w:pPr>
      <w:r w:rsidRPr="00E869A4">
        <w:t>USA – United States of America</w:t>
      </w:r>
    </w:p>
    <w:p w14:paraId="5357095B" w14:textId="77777777" w:rsidR="00BE39C5" w:rsidRPr="00E869A4" w:rsidRDefault="00BE39C5" w:rsidP="00BE39C5">
      <w:pPr>
        <w:spacing w:line="276" w:lineRule="auto"/>
        <w:ind w:firstLine="0"/>
      </w:pPr>
      <w:r w:rsidRPr="00E869A4">
        <w:t>USDS – United States Department of State</w:t>
      </w:r>
    </w:p>
    <w:p w14:paraId="0B8020C0" w14:textId="0A12F4B0" w:rsidR="00C0762B" w:rsidRPr="00E869A4" w:rsidRDefault="00C0762B" w:rsidP="00BE39C5">
      <w:pPr>
        <w:spacing w:line="276" w:lineRule="auto"/>
        <w:ind w:firstLine="0"/>
      </w:pPr>
      <w:r w:rsidRPr="00E869A4">
        <w:t>UWI – University of the West Indies</w:t>
      </w:r>
    </w:p>
    <w:p w14:paraId="4D0EC26C" w14:textId="77777777" w:rsidR="00BE39C5" w:rsidRPr="00E869A4" w:rsidRDefault="00BE39C5" w:rsidP="00BE39C5">
      <w:pPr>
        <w:spacing w:line="276" w:lineRule="auto"/>
        <w:ind w:firstLine="0"/>
      </w:pPr>
      <w:r w:rsidRPr="00E869A4">
        <w:t>WHO – World Health Organization</w:t>
      </w:r>
    </w:p>
    <w:p w14:paraId="4A458552" w14:textId="77777777" w:rsidR="00BE39C5" w:rsidRPr="00E869A4" w:rsidRDefault="00BE39C5" w:rsidP="00BE39C5">
      <w:pPr>
        <w:spacing w:line="276" w:lineRule="auto"/>
        <w:ind w:firstLine="0"/>
        <w:rPr>
          <w:rFonts w:ascii="Times New Roman" w:hAnsi="Times New Roman" w:cs="Times New Roman"/>
          <w:b/>
          <w:bCs/>
          <w:szCs w:val="28"/>
        </w:rPr>
      </w:pPr>
      <w:r w:rsidRPr="00E869A4">
        <w:t>WVS – Word Values Survey</w:t>
      </w:r>
      <w:r w:rsidRPr="00E869A4">
        <w:br w:type="page"/>
      </w:r>
    </w:p>
    <w:p w14:paraId="403F2B46" w14:textId="3D7CC94A" w:rsidR="00FD5BF9" w:rsidRPr="00E869A4" w:rsidRDefault="00FD5BF9" w:rsidP="00D20B2D">
      <w:pPr>
        <w:pStyle w:val="Heading1"/>
        <w:rPr>
          <w:szCs w:val="32"/>
          <w:lang w:val="en-GB"/>
        </w:rPr>
      </w:pPr>
      <w:bookmarkStart w:id="9" w:name="_Toc40436445"/>
      <w:r w:rsidRPr="00E869A4">
        <w:rPr>
          <w:lang w:val="en-GB"/>
        </w:rPr>
        <w:lastRenderedPageBreak/>
        <w:t>Acknowledgements</w:t>
      </w:r>
      <w:bookmarkEnd w:id="7"/>
      <w:bookmarkEnd w:id="9"/>
    </w:p>
    <w:p w14:paraId="46090779" w14:textId="77777777" w:rsidR="00C21840" w:rsidRPr="00E869A4" w:rsidRDefault="00C21840" w:rsidP="00C21840">
      <w:pPr>
        <w:rPr>
          <w:rFonts w:ascii="Times New Roman" w:hAnsi="Times New Roman" w:cs="Times New Roman"/>
          <w:szCs w:val="24"/>
        </w:rPr>
      </w:pPr>
    </w:p>
    <w:p w14:paraId="79AF5C6A" w14:textId="5C4C5175" w:rsidR="00FD5BF9" w:rsidRPr="00E869A4" w:rsidRDefault="00FD5BF9" w:rsidP="00C21840">
      <w:pPr>
        <w:rPr>
          <w:rFonts w:ascii="Times New Roman" w:hAnsi="Times New Roman" w:cs="Times New Roman"/>
          <w:szCs w:val="24"/>
        </w:rPr>
      </w:pPr>
      <w:r w:rsidRPr="00E869A4">
        <w:rPr>
          <w:rFonts w:ascii="Times New Roman" w:hAnsi="Times New Roman" w:cs="Times New Roman"/>
          <w:szCs w:val="24"/>
        </w:rPr>
        <w:t xml:space="preserve">Inspired by a desire to serve family caregivers and older persons in my country, I began </w:t>
      </w:r>
      <w:r w:rsidR="00635ADA" w:rsidRPr="00E869A4">
        <w:rPr>
          <w:rFonts w:ascii="Times New Roman" w:hAnsi="Times New Roman" w:cs="Times New Roman"/>
          <w:szCs w:val="24"/>
        </w:rPr>
        <w:t>this</w:t>
      </w:r>
      <w:r w:rsidRPr="00E869A4">
        <w:rPr>
          <w:rFonts w:ascii="Times New Roman" w:hAnsi="Times New Roman" w:cs="Times New Roman"/>
          <w:szCs w:val="24"/>
        </w:rPr>
        <w:t xml:space="preserve"> study with what I considered to be very little personal experience on th</w:t>
      </w:r>
      <w:r w:rsidR="00635ADA" w:rsidRPr="00E869A4">
        <w:rPr>
          <w:rFonts w:ascii="Times New Roman" w:hAnsi="Times New Roman" w:cs="Times New Roman"/>
          <w:szCs w:val="24"/>
        </w:rPr>
        <w:t>e</w:t>
      </w:r>
      <w:r w:rsidRPr="00E869A4">
        <w:rPr>
          <w:rFonts w:ascii="Times New Roman" w:hAnsi="Times New Roman" w:cs="Times New Roman"/>
          <w:szCs w:val="24"/>
        </w:rPr>
        <w:t xml:space="preserve"> subject</w:t>
      </w:r>
      <w:r w:rsidR="00635ADA" w:rsidRPr="00E869A4">
        <w:rPr>
          <w:rFonts w:ascii="Times New Roman" w:hAnsi="Times New Roman" w:cs="Times New Roman"/>
          <w:szCs w:val="24"/>
        </w:rPr>
        <w:t xml:space="preserve"> at hand</w:t>
      </w:r>
      <w:r w:rsidRPr="00E869A4">
        <w:rPr>
          <w:rFonts w:ascii="Times New Roman" w:hAnsi="Times New Roman" w:cs="Times New Roman"/>
          <w:szCs w:val="24"/>
        </w:rPr>
        <w:t xml:space="preserve">, but </w:t>
      </w:r>
      <w:r w:rsidR="00C66F6E" w:rsidRPr="00E869A4">
        <w:rPr>
          <w:rFonts w:ascii="Times New Roman" w:hAnsi="Times New Roman" w:cs="Times New Roman"/>
          <w:szCs w:val="24"/>
        </w:rPr>
        <w:t xml:space="preserve">I </w:t>
      </w:r>
      <w:r w:rsidRPr="00E869A4">
        <w:rPr>
          <w:rFonts w:ascii="Times New Roman" w:hAnsi="Times New Roman" w:cs="Times New Roman"/>
          <w:szCs w:val="24"/>
        </w:rPr>
        <w:t>trusted that faith, hard work and perseverance would see me through. However, without the support of various individuals</w:t>
      </w:r>
      <w:r w:rsidR="0067015C" w:rsidRPr="00E869A4">
        <w:rPr>
          <w:rFonts w:ascii="Times New Roman" w:hAnsi="Times New Roman" w:cs="Times New Roman"/>
          <w:szCs w:val="24"/>
        </w:rPr>
        <w:t xml:space="preserve"> and agencies</w:t>
      </w:r>
      <w:r w:rsidRPr="00E869A4">
        <w:rPr>
          <w:rFonts w:ascii="Times New Roman" w:hAnsi="Times New Roman" w:cs="Times New Roman"/>
          <w:szCs w:val="24"/>
        </w:rPr>
        <w:t>, I would not have made it to the end of what was an enlightening</w:t>
      </w:r>
      <w:r w:rsidR="00C0762B" w:rsidRPr="00E869A4">
        <w:rPr>
          <w:rFonts w:ascii="Times New Roman" w:hAnsi="Times New Roman" w:cs="Times New Roman"/>
          <w:szCs w:val="24"/>
        </w:rPr>
        <w:t>,</w:t>
      </w:r>
      <w:r w:rsidRPr="00E869A4">
        <w:rPr>
          <w:rFonts w:ascii="Times New Roman" w:hAnsi="Times New Roman" w:cs="Times New Roman"/>
          <w:szCs w:val="24"/>
        </w:rPr>
        <w:t xml:space="preserve"> </w:t>
      </w:r>
      <w:r w:rsidR="00635ADA" w:rsidRPr="00E869A4">
        <w:rPr>
          <w:rFonts w:ascii="Times New Roman" w:hAnsi="Times New Roman" w:cs="Times New Roman"/>
          <w:szCs w:val="24"/>
        </w:rPr>
        <w:t>yet</w:t>
      </w:r>
      <w:r w:rsidRPr="00E869A4">
        <w:rPr>
          <w:rFonts w:ascii="Times New Roman" w:hAnsi="Times New Roman" w:cs="Times New Roman"/>
          <w:szCs w:val="24"/>
        </w:rPr>
        <w:t xml:space="preserve"> in many ways</w:t>
      </w:r>
      <w:r w:rsidR="00C0762B" w:rsidRPr="00E869A4">
        <w:rPr>
          <w:rFonts w:ascii="Times New Roman" w:hAnsi="Times New Roman" w:cs="Times New Roman"/>
          <w:szCs w:val="24"/>
        </w:rPr>
        <w:t>,</w:t>
      </w:r>
      <w:r w:rsidRPr="00E869A4">
        <w:rPr>
          <w:rFonts w:ascii="Times New Roman" w:hAnsi="Times New Roman" w:cs="Times New Roman"/>
          <w:szCs w:val="24"/>
        </w:rPr>
        <w:t xml:space="preserve"> a very difficult journey.</w:t>
      </w:r>
      <w:r w:rsidR="00C21840" w:rsidRPr="00E869A4">
        <w:rPr>
          <w:rFonts w:ascii="Times New Roman" w:hAnsi="Times New Roman" w:cs="Times New Roman"/>
          <w:szCs w:val="24"/>
        </w:rPr>
        <w:t xml:space="preserve"> B</w:t>
      </w:r>
      <w:r w:rsidRPr="00E869A4">
        <w:rPr>
          <w:rFonts w:ascii="Times New Roman" w:hAnsi="Times New Roman" w:cs="Times New Roman"/>
          <w:szCs w:val="24"/>
        </w:rPr>
        <w:t>efore starting my PhD Studies, my experience with family care and ag</w:t>
      </w:r>
      <w:r w:rsidR="005E19B3" w:rsidRPr="00E869A4">
        <w:rPr>
          <w:rFonts w:ascii="Times New Roman" w:hAnsi="Times New Roman" w:cs="Times New Roman"/>
          <w:szCs w:val="24"/>
        </w:rPr>
        <w:t>e</w:t>
      </w:r>
      <w:r w:rsidRPr="00E869A4">
        <w:rPr>
          <w:rFonts w:ascii="Times New Roman" w:hAnsi="Times New Roman" w:cs="Times New Roman"/>
          <w:szCs w:val="24"/>
        </w:rPr>
        <w:t xml:space="preserve">ing research was limited to my work as </w:t>
      </w:r>
      <w:r w:rsidR="0027584E" w:rsidRPr="00E869A4">
        <w:rPr>
          <w:rFonts w:ascii="Times New Roman" w:hAnsi="Times New Roman" w:cs="Times New Roman"/>
          <w:szCs w:val="24"/>
        </w:rPr>
        <w:t>a Policy and Research O</w:t>
      </w:r>
      <w:r w:rsidRPr="00E869A4">
        <w:rPr>
          <w:rFonts w:ascii="Times New Roman" w:hAnsi="Times New Roman" w:cs="Times New Roman"/>
          <w:szCs w:val="24"/>
        </w:rPr>
        <w:t xml:space="preserve">fficer with </w:t>
      </w:r>
      <w:r w:rsidR="00C66F6E" w:rsidRPr="00E869A4">
        <w:rPr>
          <w:rFonts w:ascii="Times New Roman" w:hAnsi="Times New Roman" w:cs="Times New Roman"/>
          <w:szCs w:val="24"/>
        </w:rPr>
        <w:t>T&amp;T’s</w:t>
      </w:r>
      <w:r w:rsidRPr="00E869A4">
        <w:rPr>
          <w:rFonts w:ascii="Times New Roman" w:hAnsi="Times New Roman" w:cs="Times New Roman"/>
          <w:szCs w:val="24"/>
        </w:rPr>
        <w:t xml:space="preserve"> Ministry of Social Development. Prior to this</w:t>
      </w:r>
      <w:r w:rsidR="0027584E" w:rsidRPr="00E869A4">
        <w:rPr>
          <w:rFonts w:ascii="Times New Roman" w:hAnsi="Times New Roman" w:cs="Times New Roman"/>
          <w:szCs w:val="24"/>
        </w:rPr>
        <w:t>,</w:t>
      </w:r>
      <w:r w:rsidRPr="00E869A4">
        <w:rPr>
          <w:rFonts w:ascii="Times New Roman" w:hAnsi="Times New Roman" w:cs="Times New Roman"/>
          <w:szCs w:val="24"/>
        </w:rPr>
        <w:t xml:space="preserve"> I completed my M</w:t>
      </w:r>
      <w:r w:rsidR="0027584E" w:rsidRPr="00E869A4">
        <w:rPr>
          <w:rFonts w:ascii="Times New Roman" w:hAnsi="Times New Roman" w:cs="Times New Roman"/>
          <w:szCs w:val="24"/>
        </w:rPr>
        <w:t>Sc.</w:t>
      </w:r>
      <w:r w:rsidRPr="00E869A4">
        <w:rPr>
          <w:rFonts w:ascii="Times New Roman" w:hAnsi="Times New Roman" w:cs="Times New Roman"/>
          <w:szCs w:val="24"/>
        </w:rPr>
        <w:t xml:space="preserve"> research on Community Homes for Older People</w:t>
      </w:r>
      <w:r w:rsidR="00716CA7" w:rsidRPr="00E869A4">
        <w:rPr>
          <w:rFonts w:ascii="Times New Roman" w:hAnsi="Times New Roman" w:cs="Times New Roman"/>
          <w:szCs w:val="24"/>
        </w:rPr>
        <w:t xml:space="preserve"> in Trinidad</w:t>
      </w:r>
      <w:r w:rsidRPr="00E869A4">
        <w:rPr>
          <w:rFonts w:ascii="Times New Roman" w:hAnsi="Times New Roman" w:cs="Times New Roman"/>
          <w:szCs w:val="24"/>
        </w:rPr>
        <w:t xml:space="preserve">. These experiences contributed to my interest in </w:t>
      </w:r>
      <w:r w:rsidR="00552E82" w:rsidRPr="00E869A4">
        <w:rPr>
          <w:rFonts w:ascii="Times New Roman" w:hAnsi="Times New Roman" w:cs="Times New Roman"/>
          <w:szCs w:val="24"/>
        </w:rPr>
        <w:t>undertaking</w:t>
      </w:r>
      <w:r w:rsidRPr="00E869A4">
        <w:rPr>
          <w:rFonts w:ascii="Times New Roman" w:hAnsi="Times New Roman" w:cs="Times New Roman"/>
          <w:szCs w:val="24"/>
        </w:rPr>
        <w:t xml:space="preserve"> PhD studies on family </w:t>
      </w:r>
      <w:r w:rsidR="008D1896" w:rsidRPr="00E869A4">
        <w:rPr>
          <w:rFonts w:ascii="Times New Roman" w:hAnsi="Times New Roman" w:cs="Times New Roman"/>
          <w:szCs w:val="24"/>
        </w:rPr>
        <w:t>elder care</w:t>
      </w:r>
      <w:r w:rsidRPr="00E869A4">
        <w:rPr>
          <w:rFonts w:ascii="Times New Roman" w:hAnsi="Times New Roman" w:cs="Times New Roman"/>
          <w:szCs w:val="24"/>
        </w:rPr>
        <w:t xml:space="preserve">. </w:t>
      </w:r>
      <w:r w:rsidR="0068650B" w:rsidRPr="00E869A4">
        <w:rPr>
          <w:rFonts w:ascii="Times New Roman" w:hAnsi="Times New Roman" w:cs="Times New Roman"/>
          <w:szCs w:val="24"/>
        </w:rPr>
        <w:t>However, b</w:t>
      </w:r>
      <w:r w:rsidRPr="00E869A4">
        <w:rPr>
          <w:rFonts w:ascii="Times New Roman" w:hAnsi="Times New Roman" w:cs="Times New Roman"/>
          <w:szCs w:val="24"/>
        </w:rPr>
        <w:t xml:space="preserve">y the start of my third year of study, I began to ‘live the PhD’ as I too became involved in caring for older relatives with acute and chronic health conditions. The contributions of the many participants who shared their stories </w:t>
      </w:r>
      <w:r w:rsidR="0068650B" w:rsidRPr="00E869A4">
        <w:rPr>
          <w:rFonts w:ascii="Times New Roman" w:hAnsi="Times New Roman" w:cs="Times New Roman"/>
          <w:szCs w:val="24"/>
        </w:rPr>
        <w:t>in interviews</w:t>
      </w:r>
      <w:r w:rsidR="0026632A" w:rsidRPr="00E869A4">
        <w:rPr>
          <w:rFonts w:ascii="Times New Roman" w:hAnsi="Times New Roman" w:cs="Times New Roman"/>
          <w:szCs w:val="24"/>
        </w:rPr>
        <w:t xml:space="preserve"> and</w:t>
      </w:r>
      <w:r w:rsidR="0068650B" w:rsidRPr="00E869A4">
        <w:rPr>
          <w:rFonts w:ascii="Times New Roman" w:hAnsi="Times New Roman" w:cs="Times New Roman"/>
          <w:szCs w:val="24"/>
        </w:rPr>
        <w:t xml:space="preserve"> focus groups, as well as those who</w:t>
      </w:r>
      <w:r w:rsidRPr="00E869A4">
        <w:rPr>
          <w:rFonts w:ascii="Times New Roman" w:hAnsi="Times New Roman" w:cs="Times New Roman"/>
          <w:szCs w:val="24"/>
        </w:rPr>
        <w:t xml:space="preserve"> answered the survey questions</w:t>
      </w:r>
      <w:r w:rsidR="0026632A" w:rsidRPr="00E869A4">
        <w:rPr>
          <w:rFonts w:ascii="Times New Roman" w:hAnsi="Times New Roman" w:cs="Times New Roman"/>
          <w:szCs w:val="24"/>
        </w:rPr>
        <w:t>,</w:t>
      </w:r>
      <w:r w:rsidRPr="00E869A4">
        <w:rPr>
          <w:rFonts w:ascii="Times New Roman" w:hAnsi="Times New Roman" w:cs="Times New Roman"/>
          <w:szCs w:val="24"/>
        </w:rPr>
        <w:t xml:space="preserve"> became even more invaluable as I sought to make sense of these new experiences and find my way through the maze of ideas presented in the academic texts that I perused. I salute th</w:t>
      </w:r>
      <w:r w:rsidR="005E19B3" w:rsidRPr="00E869A4">
        <w:rPr>
          <w:rFonts w:ascii="Times New Roman" w:hAnsi="Times New Roman" w:cs="Times New Roman"/>
          <w:szCs w:val="24"/>
        </w:rPr>
        <w:t>o</w:t>
      </w:r>
      <w:r w:rsidRPr="00E869A4">
        <w:rPr>
          <w:rFonts w:ascii="Times New Roman" w:hAnsi="Times New Roman" w:cs="Times New Roman"/>
          <w:szCs w:val="24"/>
        </w:rPr>
        <w:t xml:space="preserve">se participants for sharing their precious time and knowledge with me: without you, this study and </w:t>
      </w:r>
      <w:r w:rsidR="00C66F6E" w:rsidRPr="00E869A4">
        <w:rPr>
          <w:rFonts w:ascii="Times New Roman" w:hAnsi="Times New Roman" w:cs="Times New Roman"/>
          <w:szCs w:val="24"/>
        </w:rPr>
        <w:t xml:space="preserve">indeed </w:t>
      </w:r>
      <w:r w:rsidRPr="00E869A4">
        <w:rPr>
          <w:rFonts w:ascii="Times New Roman" w:hAnsi="Times New Roman" w:cs="Times New Roman"/>
          <w:szCs w:val="24"/>
        </w:rPr>
        <w:t xml:space="preserve">my </w:t>
      </w:r>
      <w:r w:rsidR="00C66F6E" w:rsidRPr="00E869A4">
        <w:rPr>
          <w:rFonts w:ascii="Times New Roman" w:hAnsi="Times New Roman" w:cs="Times New Roman"/>
          <w:szCs w:val="24"/>
        </w:rPr>
        <w:t xml:space="preserve">own </w:t>
      </w:r>
      <w:r w:rsidRPr="00E869A4">
        <w:rPr>
          <w:rFonts w:ascii="Times New Roman" w:hAnsi="Times New Roman" w:cs="Times New Roman"/>
          <w:szCs w:val="24"/>
        </w:rPr>
        <w:t>development throughout this process would not have been possible.</w:t>
      </w:r>
    </w:p>
    <w:p w14:paraId="6D06E708" w14:textId="77777777" w:rsidR="00284AA2" w:rsidRPr="00E869A4" w:rsidRDefault="00284AA2" w:rsidP="00A35FF8">
      <w:pPr>
        <w:rPr>
          <w:rFonts w:ascii="Times New Roman" w:hAnsi="Times New Roman" w:cs="Times New Roman"/>
          <w:szCs w:val="24"/>
        </w:rPr>
      </w:pPr>
    </w:p>
    <w:p w14:paraId="577950E2" w14:textId="0B9F17E0" w:rsidR="00FD5BF9" w:rsidRPr="00E869A4" w:rsidRDefault="00FD5BF9" w:rsidP="003D3552">
      <w:pPr>
        <w:rPr>
          <w:rFonts w:ascii="Times New Roman" w:hAnsi="Times New Roman" w:cs="Times New Roman"/>
          <w:szCs w:val="24"/>
        </w:rPr>
      </w:pPr>
      <w:r w:rsidRPr="00E869A4">
        <w:rPr>
          <w:rFonts w:ascii="Times New Roman" w:hAnsi="Times New Roman" w:cs="Times New Roman"/>
          <w:szCs w:val="24"/>
        </w:rPr>
        <w:t xml:space="preserve">I am also immensely grateful for the guidance and support from my supervisors, both of whom went above and beyond their usual supervisory responsibilities to help me overcome several hurdles that challenged the completion of this thesis. To Dr. Lorna Warren, thank you for accepting me into the Department of Sociological Studies. I am grateful for your knowledge and wisdom, as well as your advocacy and administrative </w:t>
      </w:r>
      <w:r w:rsidR="00743886" w:rsidRPr="00E869A4">
        <w:rPr>
          <w:rFonts w:ascii="Times New Roman" w:hAnsi="Times New Roman" w:cs="Times New Roman"/>
          <w:szCs w:val="24"/>
        </w:rPr>
        <w:t>genius, which</w:t>
      </w:r>
      <w:r w:rsidRPr="00E869A4">
        <w:rPr>
          <w:rFonts w:ascii="Times New Roman" w:hAnsi="Times New Roman" w:cs="Times New Roman"/>
          <w:szCs w:val="24"/>
        </w:rPr>
        <w:t xml:space="preserve"> helped me through the twists and turns that this PhD adventure took. To Dr. Liam Foster, your insightful feedback, never-give-up approach to reading and commenting on my various submissions, honesty and </w:t>
      </w:r>
      <w:r w:rsidR="00A663FC" w:rsidRPr="00E869A4">
        <w:rPr>
          <w:rFonts w:ascii="Times New Roman" w:hAnsi="Times New Roman" w:cs="Times New Roman"/>
          <w:szCs w:val="24"/>
        </w:rPr>
        <w:t xml:space="preserve">professional </w:t>
      </w:r>
      <w:r w:rsidR="006166FE" w:rsidRPr="00E869A4">
        <w:rPr>
          <w:rFonts w:ascii="Times New Roman" w:hAnsi="Times New Roman" w:cs="Times New Roman"/>
          <w:szCs w:val="24"/>
        </w:rPr>
        <w:t>integrity</w:t>
      </w:r>
      <w:r w:rsidRPr="00E869A4">
        <w:rPr>
          <w:rFonts w:ascii="Times New Roman" w:hAnsi="Times New Roman" w:cs="Times New Roman"/>
          <w:szCs w:val="24"/>
        </w:rPr>
        <w:t xml:space="preserve"> helped me to stay the course when the going was rough. </w:t>
      </w:r>
      <w:r w:rsidR="00A663FC" w:rsidRPr="00E869A4">
        <w:rPr>
          <w:rFonts w:ascii="Times New Roman" w:hAnsi="Times New Roman" w:cs="Times New Roman"/>
          <w:szCs w:val="24"/>
        </w:rPr>
        <w:t xml:space="preserve">I am also especially thankful to Professor Clive Norris, Janine, Frances and the other members of staff at the Department of Sociological Studies who helped me navigate a time of great uncertainty </w:t>
      </w:r>
      <w:r w:rsidR="006166FE" w:rsidRPr="00E869A4">
        <w:rPr>
          <w:rFonts w:ascii="Times New Roman" w:hAnsi="Times New Roman" w:cs="Times New Roman"/>
          <w:szCs w:val="24"/>
        </w:rPr>
        <w:t>at the start of 2018</w:t>
      </w:r>
      <w:r w:rsidR="00B9188B" w:rsidRPr="00E869A4">
        <w:rPr>
          <w:rFonts w:ascii="Times New Roman" w:hAnsi="Times New Roman" w:cs="Times New Roman"/>
          <w:szCs w:val="24"/>
        </w:rPr>
        <w:t>,</w:t>
      </w:r>
      <w:r w:rsidR="006166FE" w:rsidRPr="00E869A4">
        <w:rPr>
          <w:rFonts w:ascii="Times New Roman" w:hAnsi="Times New Roman" w:cs="Times New Roman"/>
          <w:szCs w:val="24"/>
        </w:rPr>
        <w:t xml:space="preserve"> </w:t>
      </w:r>
      <w:r w:rsidR="00A663FC" w:rsidRPr="00E869A4">
        <w:rPr>
          <w:rFonts w:ascii="Times New Roman" w:hAnsi="Times New Roman" w:cs="Times New Roman"/>
          <w:szCs w:val="24"/>
        </w:rPr>
        <w:t>when the understandable strike action by academic staff</w:t>
      </w:r>
      <w:r w:rsidR="00B9188B" w:rsidRPr="00E869A4">
        <w:rPr>
          <w:rFonts w:ascii="Times New Roman" w:hAnsi="Times New Roman" w:cs="Times New Roman"/>
          <w:szCs w:val="24"/>
        </w:rPr>
        <w:t>, coupled with</w:t>
      </w:r>
      <w:r w:rsidR="00A663FC" w:rsidRPr="00E869A4">
        <w:rPr>
          <w:rFonts w:ascii="Times New Roman" w:hAnsi="Times New Roman" w:cs="Times New Roman"/>
          <w:szCs w:val="24"/>
        </w:rPr>
        <w:t xml:space="preserve"> other factors</w:t>
      </w:r>
      <w:r w:rsidR="00C0762B" w:rsidRPr="00E869A4">
        <w:rPr>
          <w:rFonts w:ascii="Times New Roman" w:hAnsi="Times New Roman" w:cs="Times New Roman"/>
          <w:szCs w:val="24"/>
        </w:rPr>
        <w:t>,</w:t>
      </w:r>
      <w:r w:rsidR="00A663FC" w:rsidRPr="00E869A4">
        <w:rPr>
          <w:rFonts w:ascii="Times New Roman" w:hAnsi="Times New Roman" w:cs="Times New Roman"/>
          <w:szCs w:val="24"/>
        </w:rPr>
        <w:t xml:space="preserve"> made progres</w:t>
      </w:r>
      <w:r w:rsidR="0093546B" w:rsidRPr="00E869A4">
        <w:rPr>
          <w:rFonts w:ascii="Times New Roman" w:hAnsi="Times New Roman" w:cs="Times New Roman"/>
          <w:szCs w:val="24"/>
        </w:rPr>
        <w:t>sing with my studies even more difficult</w:t>
      </w:r>
      <w:r w:rsidR="00A663FC" w:rsidRPr="00E869A4">
        <w:rPr>
          <w:rFonts w:ascii="Times New Roman" w:hAnsi="Times New Roman" w:cs="Times New Roman"/>
          <w:szCs w:val="24"/>
        </w:rPr>
        <w:t xml:space="preserve">. </w:t>
      </w:r>
      <w:r w:rsidR="00E73C9D" w:rsidRPr="00E869A4">
        <w:rPr>
          <w:rFonts w:ascii="Times New Roman" w:hAnsi="Times New Roman" w:cs="Times New Roman"/>
          <w:szCs w:val="24"/>
        </w:rPr>
        <w:t>I am also sincerely grateful to Dr. Jo Britton, who granted me retroactive leave to cover the intensive period of end-of-life care for my Dad</w:t>
      </w:r>
      <w:r w:rsidR="002A7788" w:rsidRPr="00E869A4">
        <w:rPr>
          <w:rFonts w:ascii="Times New Roman" w:hAnsi="Times New Roman" w:cs="Times New Roman"/>
          <w:szCs w:val="24"/>
        </w:rPr>
        <w:t>,</w:t>
      </w:r>
      <w:r w:rsidR="00E73C9D" w:rsidRPr="00E869A4">
        <w:rPr>
          <w:rFonts w:ascii="Times New Roman" w:hAnsi="Times New Roman" w:cs="Times New Roman"/>
          <w:szCs w:val="24"/>
        </w:rPr>
        <w:t xml:space="preserve"> which I was engaged in later that year. </w:t>
      </w:r>
    </w:p>
    <w:p w14:paraId="6420CA09" w14:textId="3A688BAD" w:rsidR="00D67847" w:rsidRPr="00E869A4" w:rsidRDefault="00FD5BF9" w:rsidP="003D3552">
      <w:pPr>
        <w:rPr>
          <w:rFonts w:ascii="Times New Roman" w:hAnsi="Times New Roman" w:cs="Times New Roman"/>
          <w:szCs w:val="24"/>
        </w:rPr>
      </w:pPr>
      <w:r w:rsidRPr="00E869A4">
        <w:rPr>
          <w:rFonts w:ascii="Times New Roman" w:hAnsi="Times New Roman" w:cs="Times New Roman"/>
          <w:szCs w:val="24"/>
        </w:rPr>
        <w:lastRenderedPageBreak/>
        <w:t xml:space="preserve">I </w:t>
      </w:r>
      <w:r w:rsidR="00945DE7">
        <w:rPr>
          <w:rFonts w:ascii="Times New Roman" w:hAnsi="Times New Roman" w:cs="Times New Roman"/>
          <w:szCs w:val="24"/>
        </w:rPr>
        <w:t>am pleased to</w:t>
      </w:r>
      <w:r w:rsidRPr="00E869A4">
        <w:rPr>
          <w:rFonts w:ascii="Times New Roman" w:hAnsi="Times New Roman" w:cs="Times New Roman"/>
          <w:szCs w:val="24"/>
        </w:rPr>
        <w:t xml:space="preserve"> acknowledge the </w:t>
      </w:r>
      <w:r w:rsidR="00A663FC" w:rsidRPr="00E869A4">
        <w:rPr>
          <w:rFonts w:ascii="Times New Roman" w:hAnsi="Times New Roman" w:cs="Times New Roman"/>
          <w:szCs w:val="24"/>
        </w:rPr>
        <w:t xml:space="preserve">kind </w:t>
      </w:r>
      <w:r w:rsidRPr="00E869A4">
        <w:rPr>
          <w:rFonts w:ascii="Times New Roman" w:hAnsi="Times New Roman" w:cs="Times New Roman"/>
          <w:szCs w:val="24"/>
        </w:rPr>
        <w:t xml:space="preserve">assistance I received from some of the staff at the </w:t>
      </w:r>
      <w:r w:rsidR="00544D3A" w:rsidRPr="00E869A4">
        <w:rPr>
          <w:rFonts w:ascii="Times New Roman" w:hAnsi="Times New Roman" w:cs="Times New Roman"/>
          <w:szCs w:val="24"/>
        </w:rPr>
        <w:t>St. Augustine campus of</w:t>
      </w:r>
      <w:r w:rsidR="00C0762B" w:rsidRPr="00E869A4">
        <w:rPr>
          <w:rFonts w:ascii="Times New Roman" w:hAnsi="Times New Roman" w:cs="Times New Roman"/>
          <w:szCs w:val="24"/>
        </w:rPr>
        <w:t xml:space="preserve"> </w:t>
      </w:r>
      <w:r w:rsidR="00FC387E" w:rsidRPr="00E869A4">
        <w:rPr>
          <w:rFonts w:ascii="Times New Roman" w:hAnsi="Times New Roman" w:cs="Times New Roman"/>
          <w:szCs w:val="24"/>
        </w:rPr>
        <w:t>the University of the West Indies (</w:t>
      </w:r>
      <w:r w:rsidR="00544D3A" w:rsidRPr="00E869A4">
        <w:rPr>
          <w:rFonts w:ascii="Times New Roman" w:hAnsi="Times New Roman" w:cs="Times New Roman"/>
          <w:szCs w:val="24"/>
        </w:rPr>
        <w:t>UWI</w:t>
      </w:r>
      <w:r w:rsidR="00FC387E" w:rsidRPr="00E869A4">
        <w:rPr>
          <w:rFonts w:ascii="Times New Roman" w:hAnsi="Times New Roman" w:cs="Times New Roman"/>
          <w:szCs w:val="24"/>
        </w:rPr>
        <w:t>)</w:t>
      </w:r>
      <w:r w:rsidRPr="00E869A4">
        <w:rPr>
          <w:rFonts w:ascii="Times New Roman" w:hAnsi="Times New Roman" w:cs="Times New Roman"/>
          <w:szCs w:val="24"/>
        </w:rPr>
        <w:t xml:space="preserve">. Dr. Cambridge, thank you for freely giving of your time, advice, words of support and encouragement as well as providing practical </w:t>
      </w:r>
      <w:r w:rsidR="00743886" w:rsidRPr="00E869A4">
        <w:rPr>
          <w:rFonts w:ascii="Times New Roman" w:hAnsi="Times New Roman" w:cs="Times New Roman"/>
          <w:szCs w:val="24"/>
        </w:rPr>
        <w:t>assistance, which</w:t>
      </w:r>
      <w:r w:rsidRPr="00E869A4">
        <w:rPr>
          <w:rFonts w:ascii="Times New Roman" w:hAnsi="Times New Roman" w:cs="Times New Roman"/>
          <w:szCs w:val="24"/>
        </w:rPr>
        <w:t xml:space="preserve"> helped to strengthen my resolve to complete this work. You are a true humanitarian and your many acts of kindness gave me much hope. Dr. Brown supported my application for PhD studies but unfortunately became very ill and passed away before commencing as my supervisor in Trinidad. His commitment to excellence and Caribbean development lives on. I also wish to thank Dr. Acolla Cameron from the Department of Management Studies at UWI for providing me with advice on how to manage the PhD process and even allowing me to use her office to conduct an interview when there was nowhere else available.</w:t>
      </w:r>
    </w:p>
    <w:p w14:paraId="150FDD60" w14:textId="77777777" w:rsidR="00284AA2" w:rsidRPr="00E869A4" w:rsidRDefault="00284AA2" w:rsidP="00CE1BB2">
      <w:pPr>
        <w:ind w:firstLine="720"/>
        <w:rPr>
          <w:rFonts w:ascii="Times New Roman" w:hAnsi="Times New Roman" w:cs="Times New Roman"/>
          <w:szCs w:val="24"/>
        </w:rPr>
      </w:pPr>
    </w:p>
    <w:p w14:paraId="58F3B69A" w14:textId="4B9458F5" w:rsidR="00FD5BF9" w:rsidRPr="00E869A4" w:rsidRDefault="00FD5BF9" w:rsidP="003D3552">
      <w:pPr>
        <w:rPr>
          <w:rFonts w:ascii="Times New Roman" w:hAnsi="Times New Roman" w:cs="Times New Roman"/>
          <w:szCs w:val="24"/>
        </w:rPr>
      </w:pPr>
      <w:r w:rsidRPr="00E869A4">
        <w:rPr>
          <w:rFonts w:ascii="Times New Roman" w:hAnsi="Times New Roman" w:cs="Times New Roman"/>
          <w:szCs w:val="24"/>
        </w:rPr>
        <w:t xml:space="preserve"> </w:t>
      </w:r>
      <w:r w:rsidR="00CE1BB2" w:rsidRPr="00E869A4">
        <w:rPr>
          <w:rFonts w:ascii="Times New Roman" w:hAnsi="Times New Roman" w:cs="Times New Roman"/>
          <w:szCs w:val="24"/>
        </w:rPr>
        <w:tab/>
      </w:r>
      <w:r w:rsidRPr="00E869A4">
        <w:rPr>
          <w:rFonts w:ascii="Times New Roman" w:hAnsi="Times New Roman" w:cs="Times New Roman"/>
          <w:szCs w:val="24"/>
        </w:rPr>
        <w:t xml:space="preserve">This study would not have been possible without the financial support I received from the </w:t>
      </w:r>
      <w:r w:rsidR="003F1C3E" w:rsidRPr="00E869A4">
        <w:rPr>
          <w:rFonts w:ascii="Times New Roman" w:hAnsi="Times New Roman" w:cs="Times New Roman"/>
          <w:szCs w:val="24"/>
        </w:rPr>
        <w:t>Government of the Republic of Trinidad and Tobago</w:t>
      </w:r>
      <w:r w:rsidR="00FC387E" w:rsidRPr="00E869A4">
        <w:rPr>
          <w:rFonts w:ascii="Times New Roman" w:hAnsi="Times New Roman" w:cs="Times New Roman"/>
          <w:szCs w:val="24"/>
        </w:rPr>
        <w:t xml:space="preserve"> </w:t>
      </w:r>
      <w:r w:rsidR="003F1C3E" w:rsidRPr="00E869A4">
        <w:rPr>
          <w:rFonts w:ascii="Times New Roman" w:hAnsi="Times New Roman" w:cs="Times New Roman"/>
          <w:szCs w:val="24"/>
        </w:rPr>
        <w:t>(</w:t>
      </w:r>
      <w:r w:rsidR="00AE7098" w:rsidRPr="00E869A4">
        <w:rPr>
          <w:rFonts w:ascii="Times New Roman" w:hAnsi="Times New Roman" w:cs="Times New Roman"/>
          <w:szCs w:val="24"/>
        </w:rPr>
        <w:t>GORTT</w:t>
      </w:r>
      <w:r w:rsidR="003F1C3E" w:rsidRPr="00E869A4">
        <w:rPr>
          <w:rFonts w:ascii="Times New Roman" w:hAnsi="Times New Roman" w:cs="Times New Roman"/>
          <w:szCs w:val="24"/>
        </w:rPr>
        <w:t>)</w:t>
      </w:r>
      <w:r w:rsidRPr="00E869A4">
        <w:rPr>
          <w:rFonts w:ascii="Times New Roman" w:hAnsi="Times New Roman" w:cs="Times New Roman"/>
          <w:szCs w:val="24"/>
        </w:rPr>
        <w:t xml:space="preserve">. The </w:t>
      </w:r>
      <w:r w:rsidR="00FC387E" w:rsidRPr="00E869A4">
        <w:rPr>
          <w:rFonts w:ascii="Times New Roman" w:hAnsi="Times New Roman" w:cs="Times New Roman"/>
          <w:szCs w:val="24"/>
        </w:rPr>
        <w:t>Scholarship and Advanced Training Division</w:t>
      </w:r>
      <w:r w:rsidRPr="00E869A4">
        <w:rPr>
          <w:rFonts w:ascii="Times New Roman" w:hAnsi="Times New Roman" w:cs="Times New Roman"/>
          <w:szCs w:val="24"/>
        </w:rPr>
        <w:t xml:space="preserve"> granted me a Developmental Needs Scholarship in my second year of study</w:t>
      </w:r>
      <w:r w:rsidR="002A7788" w:rsidRPr="00E869A4">
        <w:rPr>
          <w:rFonts w:ascii="Times New Roman" w:hAnsi="Times New Roman" w:cs="Times New Roman"/>
          <w:szCs w:val="24"/>
        </w:rPr>
        <w:t>,</w:t>
      </w:r>
      <w:r w:rsidRPr="00E869A4">
        <w:rPr>
          <w:rFonts w:ascii="Times New Roman" w:hAnsi="Times New Roman" w:cs="Times New Roman"/>
          <w:szCs w:val="24"/>
        </w:rPr>
        <w:t xml:space="preserve"> which helped cover a significant part of the cost of this degree. The </w:t>
      </w:r>
      <w:r w:rsidR="003F1C3E" w:rsidRPr="00E869A4">
        <w:rPr>
          <w:rFonts w:ascii="Times New Roman" w:hAnsi="Times New Roman" w:cs="Times New Roman"/>
          <w:szCs w:val="24"/>
        </w:rPr>
        <w:t>Division of Ageing</w:t>
      </w:r>
      <w:r w:rsidR="00AD142F" w:rsidRPr="00E869A4">
        <w:rPr>
          <w:rFonts w:ascii="Times New Roman" w:hAnsi="Times New Roman" w:cs="Times New Roman"/>
          <w:szCs w:val="24"/>
        </w:rPr>
        <w:t xml:space="preserve"> (DOA)</w:t>
      </w:r>
      <w:r w:rsidRPr="00E869A4">
        <w:rPr>
          <w:rFonts w:ascii="Times New Roman" w:hAnsi="Times New Roman" w:cs="Times New Roman"/>
          <w:szCs w:val="24"/>
        </w:rPr>
        <w:t xml:space="preserve"> in the Ministry with responsibility for Social Development in </w:t>
      </w:r>
      <w:r w:rsidR="00AE7098" w:rsidRPr="00E869A4">
        <w:rPr>
          <w:rFonts w:ascii="Times New Roman" w:hAnsi="Times New Roman" w:cs="Times New Roman"/>
          <w:szCs w:val="24"/>
        </w:rPr>
        <w:t>T&amp;T</w:t>
      </w:r>
      <w:r w:rsidR="005E19B3" w:rsidRPr="00E869A4">
        <w:rPr>
          <w:rFonts w:ascii="Times New Roman" w:hAnsi="Times New Roman" w:cs="Times New Roman"/>
          <w:szCs w:val="24"/>
        </w:rPr>
        <w:t xml:space="preserve"> </w:t>
      </w:r>
      <w:r w:rsidRPr="00E869A4">
        <w:rPr>
          <w:rFonts w:ascii="Times New Roman" w:hAnsi="Times New Roman" w:cs="Times New Roman"/>
          <w:szCs w:val="24"/>
        </w:rPr>
        <w:t>allowed me to promote the study at some of their events and supplied me with useful information for which I am grateful.</w:t>
      </w:r>
      <w:r w:rsidR="003F1C3E" w:rsidRPr="00E869A4">
        <w:rPr>
          <w:rFonts w:ascii="Times New Roman" w:hAnsi="Times New Roman" w:cs="Times New Roman"/>
          <w:szCs w:val="24"/>
        </w:rPr>
        <w:t xml:space="preserve"> The Trinidad and Tobago Association of Retired Persons (</w:t>
      </w:r>
      <w:r w:rsidR="00AE7098" w:rsidRPr="00E869A4">
        <w:rPr>
          <w:rFonts w:ascii="Times New Roman" w:hAnsi="Times New Roman" w:cs="Times New Roman"/>
          <w:szCs w:val="24"/>
        </w:rPr>
        <w:t>TTARP</w:t>
      </w:r>
      <w:r w:rsidR="003F1C3E" w:rsidRPr="00E869A4">
        <w:rPr>
          <w:rFonts w:ascii="Times New Roman" w:hAnsi="Times New Roman" w:cs="Times New Roman"/>
          <w:szCs w:val="24"/>
        </w:rPr>
        <w:t xml:space="preserve">) Limited </w:t>
      </w:r>
      <w:r w:rsidRPr="00E869A4">
        <w:rPr>
          <w:rFonts w:ascii="Times New Roman" w:hAnsi="Times New Roman" w:cs="Times New Roman"/>
          <w:szCs w:val="24"/>
        </w:rPr>
        <w:t>assisted with emailing the online survey to its membership. I would also like to thank the</w:t>
      </w:r>
      <w:r w:rsidR="003F1C3E" w:rsidRPr="00E869A4">
        <w:rPr>
          <w:rFonts w:ascii="Times New Roman" w:hAnsi="Times New Roman" w:cs="Times New Roman"/>
          <w:szCs w:val="24"/>
        </w:rPr>
        <w:t xml:space="preserve"> Tobago House of Assembly (</w:t>
      </w:r>
      <w:r w:rsidR="008A58F8" w:rsidRPr="00E869A4">
        <w:rPr>
          <w:rFonts w:ascii="Times New Roman" w:hAnsi="Times New Roman" w:cs="Times New Roman"/>
          <w:szCs w:val="24"/>
        </w:rPr>
        <w:t>THA</w:t>
      </w:r>
      <w:r w:rsidR="003F1C3E" w:rsidRPr="00E869A4">
        <w:rPr>
          <w:rFonts w:ascii="Times New Roman" w:hAnsi="Times New Roman" w:cs="Times New Roman"/>
          <w:szCs w:val="24"/>
        </w:rPr>
        <w:t>)</w:t>
      </w:r>
      <w:r w:rsidR="008A58F8" w:rsidRPr="00E869A4">
        <w:rPr>
          <w:rFonts w:ascii="Times New Roman" w:hAnsi="Times New Roman" w:cs="Times New Roman"/>
          <w:szCs w:val="24"/>
        </w:rPr>
        <w:t xml:space="preserve"> </w:t>
      </w:r>
      <w:r w:rsidRPr="00E869A4">
        <w:rPr>
          <w:rFonts w:ascii="Times New Roman" w:hAnsi="Times New Roman" w:cs="Times New Roman"/>
          <w:szCs w:val="24"/>
        </w:rPr>
        <w:t xml:space="preserve">and the members of the Ageing Unit in Tobago for permitting me to conduct interviews and focus groups on the island. </w:t>
      </w:r>
    </w:p>
    <w:p w14:paraId="1CAC675F" w14:textId="77777777" w:rsidR="00284AA2" w:rsidRPr="00E869A4" w:rsidRDefault="00284AA2" w:rsidP="00A35FF8">
      <w:pPr>
        <w:rPr>
          <w:rFonts w:ascii="Times New Roman" w:hAnsi="Times New Roman" w:cs="Times New Roman"/>
          <w:szCs w:val="24"/>
        </w:rPr>
      </w:pPr>
    </w:p>
    <w:p w14:paraId="18B10B0A" w14:textId="369B4470" w:rsidR="00FD5BF9" w:rsidRPr="00E869A4" w:rsidRDefault="00624119" w:rsidP="003D3552">
      <w:pPr>
        <w:rPr>
          <w:rFonts w:ascii="Times New Roman" w:hAnsi="Times New Roman" w:cs="Times New Roman"/>
          <w:szCs w:val="24"/>
        </w:rPr>
      </w:pPr>
      <w:r w:rsidRPr="00E869A4">
        <w:rPr>
          <w:rFonts w:ascii="Times New Roman" w:hAnsi="Times New Roman" w:cs="Times New Roman"/>
          <w:szCs w:val="24"/>
        </w:rPr>
        <w:t>Several public service officers in Trinidad</w:t>
      </w:r>
      <w:r w:rsidR="00FD5BF9" w:rsidRPr="00E869A4">
        <w:rPr>
          <w:rFonts w:ascii="Times New Roman" w:hAnsi="Times New Roman" w:cs="Times New Roman"/>
          <w:szCs w:val="24"/>
        </w:rPr>
        <w:t xml:space="preserve"> were instrumental to this process at critical periods. Mrs. Jacinta Bailey-Sobers and Mr. Dennis Williams </w:t>
      </w:r>
      <w:r w:rsidR="00475979" w:rsidRPr="00E869A4">
        <w:rPr>
          <w:rFonts w:ascii="Times New Roman" w:hAnsi="Times New Roman" w:cs="Times New Roman"/>
          <w:szCs w:val="24"/>
        </w:rPr>
        <w:t xml:space="preserve">with </w:t>
      </w:r>
      <w:r w:rsidR="00FD5BF9" w:rsidRPr="00E869A4">
        <w:rPr>
          <w:rFonts w:ascii="Times New Roman" w:hAnsi="Times New Roman" w:cs="Times New Roman"/>
          <w:szCs w:val="24"/>
        </w:rPr>
        <w:t>who</w:t>
      </w:r>
      <w:r w:rsidR="00475979" w:rsidRPr="00E869A4">
        <w:rPr>
          <w:rFonts w:ascii="Times New Roman" w:hAnsi="Times New Roman" w:cs="Times New Roman"/>
          <w:szCs w:val="24"/>
        </w:rPr>
        <w:t>m</w:t>
      </w:r>
      <w:r w:rsidR="00FD5BF9" w:rsidRPr="00E869A4">
        <w:rPr>
          <w:rFonts w:ascii="Times New Roman" w:hAnsi="Times New Roman" w:cs="Times New Roman"/>
          <w:szCs w:val="24"/>
        </w:rPr>
        <w:t xml:space="preserve"> I worked at the Ministry of Social Development prior to commencing this study: thank you for your faith in me. To </w:t>
      </w:r>
      <w:r w:rsidR="003F1C3E" w:rsidRPr="00E869A4">
        <w:rPr>
          <w:rFonts w:ascii="Times New Roman" w:hAnsi="Times New Roman" w:cs="Times New Roman"/>
          <w:szCs w:val="24"/>
        </w:rPr>
        <w:t>Permanent Secretary (</w:t>
      </w:r>
      <w:r w:rsidR="00FD5BF9" w:rsidRPr="00E869A4">
        <w:rPr>
          <w:rFonts w:ascii="Times New Roman" w:hAnsi="Times New Roman" w:cs="Times New Roman"/>
          <w:szCs w:val="24"/>
        </w:rPr>
        <w:t>PS.</w:t>
      </w:r>
      <w:r w:rsidR="003F1C3E" w:rsidRPr="00E869A4">
        <w:rPr>
          <w:rFonts w:ascii="Times New Roman" w:hAnsi="Times New Roman" w:cs="Times New Roman"/>
          <w:szCs w:val="24"/>
        </w:rPr>
        <w:t>)</w:t>
      </w:r>
      <w:r w:rsidR="00FD5BF9" w:rsidRPr="00E869A4">
        <w:rPr>
          <w:rFonts w:ascii="Times New Roman" w:hAnsi="Times New Roman" w:cs="Times New Roman"/>
          <w:szCs w:val="24"/>
        </w:rPr>
        <w:t xml:space="preserve"> Jacobs, PS. Gervais, PS. Baptiste-Simmons, Dr. Holdip and the PS</w:t>
      </w:r>
      <w:r w:rsidR="00475979" w:rsidRPr="00E869A4">
        <w:rPr>
          <w:rFonts w:ascii="Times New Roman" w:hAnsi="Times New Roman" w:cs="Times New Roman"/>
          <w:szCs w:val="24"/>
        </w:rPr>
        <w:t>.</w:t>
      </w:r>
      <w:r w:rsidR="00FD5BF9" w:rsidRPr="00E869A4">
        <w:rPr>
          <w:rFonts w:ascii="Times New Roman" w:hAnsi="Times New Roman" w:cs="Times New Roman"/>
          <w:szCs w:val="24"/>
        </w:rPr>
        <w:t xml:space="preserve"> Secretariat at the Ministry of Education (Ms. Francois I cannot forget you</w:t>
      </w:r>
      <w:r w:rsidR="00A25748" w:rsidRPr="00E869A4">
        <w:rPr>
          <w:rFonts w:ascii="Times New Roman" w:hAnsi="Times New Roman" w:cs="Times New Roman"/>
          <w:szCs w:val="24"/>
        </w:rPr>
        <w:t>!</w:t>
      </w:r>
      <w:r w:rsidR="00FD5BF9" w:rsidRPr="00E869A4">
        <w:rPr>
          <w:rFonts w:ascii="Times New Roman" w:hAnsi="Times New Roman" w:cs="Times New Roman"/>
          <w:szCs w:val="24"/>
        </w:rPr>
        <w:t>), your support in my final year of study helped me to overcome what seemed to be insurmountable administrative obstacles that</w:t>
      </w:r>
      <w:r w:rsidR="005C3BE0" w:rsidRPr="00E869A4">
        <w:rPr>
          <w:rFonts w:ascii="Times New Roman" w:hAnsi="Times New Roman" w:cs="Times New Roman"/>
          <w:szCs w:val="24"/>
        </w:rPr>
        <w:t xml:space="preserve"> almost derailed my progress. </w:t>
      </w:r>
    </w:p>
    <w:p w14:paraId="1D066388" w14:textId="77777777" w:rsidR="00284AA2" w:rsidRPr="00E869A4" w:rsidRDefault="00284AA2" w:rsidP="00CE1BB2">
      <w:pPr>
        <w:ind w:firstLine="720"/>
        <w:rPr>
          <w:rFonts w:ascii="Times New Roman" w:hAnsi="Times New Roman" w:cs="Times New Roman"/>
          <w:szCs w:val="24"/>
        </w:rPr>
      </w:pPr>
    </w:p>
    <w:p w14:paraId="5B0130FC" w14:textId="6E61D8EB" w:rsidR="00FD5BF9" w:rsidRPr="00E869A4" w:rsidRDefault="006938C3" w:rsidP="003D3552">
      <w:pPr>
        <w:rPr>
          <w:rFonts w:ascii="Times New Roman" w:hAnsi="Times New Roman" w:cs="Times New Roman"/>
          <w:szCs w:val="24"/>
        </w:rPr>
      </w:pPr>
      <w:r w:rsidRPr="00E869A4">
        <w:rPr>
          <w:rFonts w:ascii="Times New Roman" w:hAnsi="Times New Roman" w:cs="Times New Roman"/>
          <w:szCs w:val="24"/>
        </w:rPr>
        <w:t>The generosity of the following</w:t>
      </w:r>
      <w:r w:rsidR="00FD5BF9" w:rsidRPr="00E869A4">
        <w:rPr>
          <w:rFonts w:ascii="Times New Roman" w:hAnsi="Times New Roman" w:cs="Times New Roman"/>
          <w:szCs w:val="24"/>
        </w:rPr>
        <w:t xml:space="preserve"> private sector agencies helped offset costs not covered by scholarship funding. Fernandes Catering and the Bermudez Baking Company supplied snacks for the focus group sessions in Trinidad.  The Katrina Therapy Centre helped promote the survey and donated a </w:t>
      </w:r>
      <w:r w:rsidR="00FD5BF9" w:rsidRPr="00E869A4">
        <w:rPr>
          <w:rFonts w:ascii="Times New Roman" w:hAnsi="Times New Roman" w:cs="Times New Roman"/>
          <w:szCs w:val="24"/>
        </w:rPr>
        <w:lastRenderedPageBreak/>
        <w:t xml:space="preserve">hydrotherapy spa treatment as an incentive for participants to complete the questionnaire. The good citizenship and corporate responsibility displayed by these organisations was exemplary. </w:t>
      </w:r>
    </w:p>
    <w:p w14:paraId="19251ED7" w14:textId="77777777" w:rsidR="00284AA2" w:rsidRPr="00E869A4" w:rsidRDefault="00284AA2" w:rsidP="00CE1BB2">
      <w:pPr>
        <w:ind w:firstLine="720"/>
        <w:rPr>
          <w:rFonts w:ascii="Times New Roman" w:hAnsi="Times New Roman" w:cs="Times New Roman"/>
          <w:szCs w:val="24"/>
        </w:rPr>
      </w:pPr>
    </w:p>
    <w:p w14:paraId="57C10FC8" w14:textId="3DD2B4CF" w:rsidR="00FD5BF9" w:rsidRPr="00E869A4" w:rsidRDefault="00FD5BF9" w:rsidP="003D3552">
      <w:pPr>
        <w:rPr>
          <w:rFonts w:ascii="Times New Roman" w:hAnsi="Times New Roman" w:cs="Times New Roman"/>
          <w:szCs w:val="24"/>
        </w:rPr>
      </w:pPr>
      <w:r w:rsidRPr="00E869A4">
        <w:rPr>
          <w:rFonts w:ascii="Times New Roman" w:hAnsi="Times New Roman" w:cs="Times New Roman"/>
          <w:szCs w:val="24"/>
        </w:rPr>
        <w:t xml:space="preserve">I am also </w:t>
      </w:r>
      <w:r w:rsidR="002B36FC" w:rsidRPr="00E869A4">
        <w:rPr>
          <w:rFonts w:ascii="Times New Roman" w:hAnsi="Times New Roman" w:cs="Times New Roman"/>
          <w:szCs w:val="24"/>
        </w:rPr>
        <w:t>tremendous</w:t>
      </w:r>
      <w:r w:rsidR="00ED50CA" w:rsidRPr="00E869A4">
        <w:rPr>
          <w:rFonts w:ascii="Times New Roman" w:hAnsi="Times New Roman" w:cs="Times New Roman"/>
          <w:szCs w:val="24"/>
        </w:rPr>
        <w:t xml:space="preserve">ly grateful to </w:t>
      </w:r>
      <w:r w:rsidR="002B36FC" w:rsidRPr="00E869A4">
        <w:rPr>
          <w:rFonts w:ascii="Times New Roman" w:hAnsi="Times New Roman" w:cs="Times New Roman"/>
          <w:szCs w:val="24"/>
        </w:rPr>
        <w:t xml:space="preserve">my </w:t>
      </w:r>
      <w:r w:rsidR="00ED50CA" w:rsidRPr="00E869A4">
        <w:rPr>
          <w:rFonts w:ascii="Times New Roman" w:hAnsi="Times New Roman" w:cs="Times New Roman"/>
          <w:szCs w:val="24"/>
        </w:rPr>
        <w:t>f</w:t>
      </w:r>
      <w:r w:rsidRPr="00E869A4">
        <w:rPr>
          <w:rFonts w:ascii="Times New Roman" w:hAnsi="Times New Roman" w:cs="Times New Roman"/>
          <w:szCs w:val="24"/>
        </w:rPr>
        <w:t xml:space="preserve">amily and friends without whose support this journey would have been near impossible to complete. To my parents, </w:t>
      </w:r>
      <w:r w:rsidR="0011568A" w:rsidRPr="00E869A4">
        <w:rPr>
          <w:rFonts w:ascii="Times New Roman" w:hAnsi="Times New Roman" w:cs="Times New Roman"/>
          <w:szCs w:val="24"/>
        </w:rPr>
        <w:t>Nicholas</w:t>
      </w:r>
      <w:r w:rsidRPr="00E869A4">
        <w:rPr>
          <w:rFonts w:ascii="Times New Roman" w:hAnsi="Times New Roman" w:cs="Times New Roman"/>
          <w:szCs w:val="24"/>
        </w:rPr>
        <w:t xml:space="preserve"> </w:t>
      </w:r>
      <w:r w:rsidR="0011568A" w:rsidRPr="00E869A4">
        <w:rPr>
          <w:rFonts w:ascii="Times New Roman" w:hAnsi="Times New Roman" w:cs="Times New Roman"/>
          <w:szCs w:val="24"/>
        </w:rPr>
        <w:t xml:space="preserve">Blake and Jacqueline </w:t>
      </w:r>
      <w:r w:rsidRPr="00E869A4">
        <w:rPr>
          <w:rFonts w:ascii="Times New Roman" w:hAnsi="Times New Roman" w:cs="Times New Roman"/>
          <w:szCs w:val="24"/>
        </w:rPr>
        <w:t>Louear, your spiritual, emotional and financial support meant the world to me. To my siblings</w:t>
      </w:r>
      <w:r w:rsidR="00A25748" w:rsidRPr="00E869A4">
        <w:rPr>
          <w:rFonts w:ascii="Times New Roman" w:hAnsi="Times New Roman" w:cs="Times New Roman"/>
          <w:szCs w:val="24"/>
        </w:rPr>
        <w:t xml:space="preserve"> (Marvin and Nicky)</w:t>
      </w:r>
      <w:r w:rsidR="00992803" w:rsidRPr="00E869A4">
        <w:rPr>
          <w:rFonts w:ascii="Times New Roman" w:hAnsi="Times New Roman" w:cs="Times New Roman"/>
          <w:szCs w:val="24"/>
        </w:rPr>
        <w:t>,</w:t>
      </w:r>
      <w:r w:rsidRPr="00E869A4">
        <w:rPr>
          <w:rFonts w:ascii="Times New Roman" w:hAnsi="Times New Roman" w:cs="Times New Roman"/>
          <w:szCs w:val="24"/>
        </w:rPr>
        <w:t xml:space="preserve"> thank you for helping </w:t>
      </w:r>
      <w:r w:rsidR="00AB50A8" w:rsidRPr="00E869A4">
        <w:rPr>
          <w:rFonts w:ascii="Times New Roman" w:hAnsi="Times New Roman" w:cs="Times New Roman"/>
          <w:szCs w:val="24"/>
        </w:rPr>
        <w:t xml:space="preserve">with moving apartment, fixing </w:t>
      </w:r>
      <w:r w:rsidR="002B36FC" w:rsidRPr="00E869A4">
        <w:rPr>
          <w:rFonts w:ascii="Times New Roman" w:hAnsi="Times New Roman" w:cs="Times New Roman"/>
          <w:szCs w:val="24"/>
        </w:rPr>
        <w:t xml:space="preserve">my </w:t>
      </w:r>
      <w:r w:rsidR="00AB50A8" w:rsidRPr="00E869A4">
        <w:rPr>
          <w:rFonts w:ascii="Times New Roman" w:hAnsi="Times New Roman" w:cs="Times New Roman"/>
          <w:szCs w:val="24"/>
        </w:rPr>
        <w:t>car and making ends meet so that this work could go on</w:t>
      </w:r>
      <w:r w:rsidRPr="00E869A4">
        <w:rPr>
          <w:rFonts w:ascii="Times New Roman" w:hAnsi="Times New Roman" w:cs="Times New Roman"/>
          <w:szCs w:val="24"/>
        </w:rPr>
        <w:t xml:space="preserve">. Marlon, hats off to you big brother! Your continued words of encouragement, thoughtfulness and practical help over the years brightened many a bleak day. To my extended family, Aunty Angela, Uncle Jacob, Elsa, </w:t>
      </w:r>
      <w:r w:rsidR="00AB50A8" w:rsidRPr="00E869A4">
        <w:rPr>
          <w:rFonts w:ascii="Times New Roman" w:hAnsi="Times New Roman" w:cs="Times New Roman"/>
          <w:szCs w:val="24"/>
        </w:rPr>
        <w:t xml:space="preserve">Aunty Pieola, </w:t>
      </w:r>
      <w:r w:rsidRPr="00E869A4">
        <w:rPr>
          <w:rFonts w:ascii="Times New Roman" w:hAnsi="Times New Roman" w:cs="Times New Roman"/>
          <w:szCs w:val="24"/>
        </w:rPr>
        <w:t>Aunty Pat</w:t>
      </w:r>
      <w:r w:rsidR="00AB50A8" w:rsidRPr="00E869A4">
        <w:rPr>
          <w:rFonts w:ascii="Times New Roman" w:hAnsi="Times New Roman" w:cs="Times New Roman"/>
          <w:szCs w:val="24"/>
        </w:rPr>
        <w:t xml:space="preserve">, </w:t>
      </w:r>
      <w:r w:rsidRPr="00E869A4">
        <w:rPr>
          <w:rFonts w:ascii="Times New Roman" w:hAnsi="Times New Roman" w:cs="Times New Roman"/>
          <w:szCs w:val="24"/>
        </w:rPr>
        <w:t>Uncle Alfred, Aunty Thika, Mummy Polly and the Late Aunty Eileen, thank you for opening your heart and</w:t>
      </w:r>
      <w:r w:rsidR="00AB50A8" w:rsidRPr="00E869A4">
        <w:rPr>
          <w:rFonts w:ascii="Times New Roman" w:hAnsi="Times New Roman" w:cs="Times New Roman"/>
          <w:szCs w:val="24"/>
        </w:rPr>
        <w:t xml:space="preserve"> home to me during this journey. </w:t>
      </w:r>
      <w:r w:rsidR="00624119" w:rsidRPr="00E869A4">
        <w:rPr>
          <w:rFonts w:ascii="Times New Roman" w:hAnsi="Times New Roman" w:cs="Times New Roman"/>
          <w:szCs w:val="24"/>
        </w:rPr>
        <w:t xml:space="preserve"> Cousins Carol, Wendell, Wendy</w:t>
      </w:r>
      <w:r w:rsidRPr="00E869A4">
        <w:rPr>
          <w:rFonts w:ascii="Times New Roman" w:hAnsi="Times New Roman" w:cs="Times New Roman"/>
          <w:szCs w:val="24"/>
        </w:rPr>
        <w:t xml:space="preserve"> and Haynesly, I appreciate the support you gave. </w:t>
      </w:r>
    </w:p>
    <w:p w14:paraId="4983D39C" w14:textId="77777777" w:rsidR="00EB7358" w:rsidRPr="00E869A4" w:rsidRDefault="00EB7358" w:rsidP="00CE1BB2">
      <w:pPr>
        <w:ind w:firstLine="720"/>
        <w:rPr>
          <w:rFonts w:ascii="Times New Roman" w:hAnsi="Times New Roman" w:cs="Times New Roman"/>
          <w:szCs w:val="24"/>
        </w:rPr>
      </w:pPr>
    </w:p>
    <w:p w14:paraId="63708838" w14:textId="77777777" w:rsidR="00C21840" w:rsidRPr="00E869A4" w:rsidRDefault="00FD5BF9" w:rsidP="00C21840">
      <w:pPr>
        <w:rPr>
          <w:rFonts w:ascii="Times New Roman" w:hAnsi="Times New Roman" w:cs="Times New Roman"/>
          <w:szCs w:val="24"/>
        </w:rPr>
      </w:pPr>
      <w:r w:rsidRPr="00E869A4">
        <w:rPr>
          <w:rFonts w:ascii="Times New Roman" w:hAnsi="Times New Roman" w:cs="Times New Roman"/>
          <w:szCs w:val="24"/>
        </w:rPr>
        <w:t xml:space="preserve">Finally, to my friends and ‘fanmi’, your kindness </w:t>
      </w:r>
      <w:r w:rsidR="00A25748" w:rsidRPr="00E869A4">
        <w:rPr>
          <w:rFonts w:ascii="Times New Roman" w:hAnsi="Times New Roman" w:cs="Times New Roman"/>
          <w:szCs w:val="24"/>
        </w:rPr>
        <w:t>helped sustain me throughout this</w:t>
      </w:r>
      <w:r w:rsidR="00B35BB6" w:rsidRPr="00E869A4">
        <w:rPr>
          <w:rFonts w:ascii="Times New Roman" w:hAnsi="Times New Roman" w:cs="Times New Roman"/>
          <w:szCs w:val="24"/>
        </w:rPr>
        <w:t xml:space="preserve"> course of study</w:t>
      </w:r>
      <w:r w:rsidRPr="00E869A4">
        <w:rPr>
          <w:rFonts w:ascii="Times New Roman" w:hAnsi="Times New Roman" w:cs="Times New Roman"/>
          <w:szCs w:val="24"/>
        </w:rPr>
        <w:t xml:space="preserve">. Aunty Birdet, thank you for always welcoming me into your home in Tobago so that I could conduct my research and get some respite in between. Charmaine and Aunty Jo, thank you for helping me find participants for this study. Ankie, it was a pleasure lodging with you in your gorgeous home: thank </w:t>
      </w:r>
      <w:r w:rsidR="008B4BBF" w:rsidRPr="00E869A4">
        <w:rPr>
          <w:rFonts w:ascii="Times New Roman" w:hAnsi="Times New Roman" w:cs="Times New Roman"/>
          <w:szCs w:val="24"/>
        </w:rPr>
        <w:t xml:space="preserve">you for </w:t>
      </w:r>
      <w:r w:rsidRPr="00E869A4">
        <w:rPr>
          <w:rFonts w:ascii="Times New Roman" w:hAnsi="Times New Roman" w:cs="Times New Roman"/>
          <w:szCs w:val="24"/>
        </w:rPr>
        <w:t>yo</w:t>
      </w:r>
      <w:r w:rsidR="008B4BBF" w:rsidRPr="00E869A4">
        <w:rPr>
          <w:rFonts w:ascii="Times New Roman" w:hAnsi="Times New Roman" w:cs="Times New Roman"/>
          <w:szCs w:val="24"/>
        </w:rPr>
        <w:t>ur</w:t>
      </w:r>
      <w:r w:rsidR="00A25748" w:rsidRPr="00E869A4">
        <w:rPr>
          <w:rFonts w:ascii="Times New Roman" w:hAnsi="Times New Roman" w:cs="Times New Roman"/>
          <w:szCs w:val="24"/>
        </w:rPr>
        <w:t xml:space="preserve"> </w:t>
      </w:r>
      <w:r w:rsidR="00B75A2E" w:rsidRPr="00E869A4">
        <w:rPr>
          <w:rFonts w:ascii="Times New Roman" w:hAnsi="Times New Roman" w:cs="Times New Roman"/>
          <w:szCs w:val="24"/>
        </w:rPr>
        <w:t>warmth</w:t>
      </w:r>
      <w:r w:rsidR="00A25748" w:rsidRPr="00E869A4">
        <w:rPr>
          <w:rFonts w:ascii="Times New Roman" w:hAnsi="Times New Roman" w:cs="Times New Roman"/>
          <w:szCs w:val="24"/>
        </w:rPr>
        <w:t xml:space="preserve"> and </w:t>
      </w:r>
      <w:r w:rsidR="008B4BBF" w:rsidRPr="00E869A4">
        <w:rPr>
          <w:rFonts w:ascii="Times New Roman" w:hAnsi="Times New Roman" w:cs="Times New Roman"/>
          <w:szCs w:val="24"/>
        </w:rPr>
        <w:t>hospitality</w:t>
      </w:r>
      <w:r w:rsidRPr="00E869A4">
        <w:rPr>
          <w:rFonts w:ascii="Times New Roman" w:hAnsi="Times New Roman" w:cs="Times New Roman"/>
          <w:szCs w:val="24"/>
        </w:rPr>
        <w:t xml:space="preserve">. Sita, thanks for following up on some of my </w:t>
      </w:r>
      <w:r w:rsidR="00A663FC" w:rsidRPr="00E869A4">
        <w:rPr>
          <w:rFonts w:ascii="Times New Roman" w:hAnsi="Times New Roman" w:cs="Times New Roman"/>
          <w:szCs w:val="24"/>
        </w:rPr>
        <w:t xml:space="preserve">critical </w:t>
      </w:r>
      <w:r w:rsidRPr="00E869A4">
        <w:rPr>
          <w:rFonts w:ascii="Times New Roman" w:hAnsi="Times New Roman" w:cs="Times New Roman"/>
          <w:szCs w:val="24"/>
        </w:rPr>
        <w:t xml:space="preserve">matters at </w:t>
      </w:r>
      <w:r w:rsidR="00ED50CA" w:rsidRPr="00E869A4">
        <w:rPr>
          <w:rFonts w:ascii="Times New Roman" w:hAnsi="Times New Roman" w:cs="Times New Roman"/>
          <w:szCs w:val="24"/>
        </w:rPr>
        <w:t xml:space="preserve">the </w:t>
      </w:r>
      <w:r w:rsidR="003F1C3E" w:rsidRPr="00E869A4">
        <w:rPr>
          <w:rFonts w:ascii="Times New Roman" w:hAnsi="Times New Roman" w:cs="Times New Roman"/>
          <w:szCs w:val="24"/>
        </w:rPr>
        <w:t>Scholarships and Advanced Training Division (</w:t>
      </w:r>
      <w:r w:rsidRPr="00E869A4">
        <w:rPr>
          <w:rFonts w:ascii="Times New Roman" w:hAnsi="Times New Roman" w:cs="Times New Roman"/>
          <w:szCs w:val="24"/>
        </w:rPr>
        <w:t>SATD</w:t>
      </w:r>
      <w:r w:rsidR="003F1C3E" w:rsidRPr="00E869A4">
        <w:rPr>
          <w:rFonts w:ascii="Times New Roman" w:hAnsi="Times New Roman" w:cs="Times New Roman"/>
          <w:szCs w:val="24"/>
        </w:rPr>
        <w:t>)</w:t>
      </w:r>
      <w:r w:rsidRPr="00E869A4">
        <w:rPr>
          <w:rFonts w:ascii="Times New Roman" w:hAnsi="Times New Roman" w:cs="Times New Roman"/>
          <w:szCs w:val="24"/>
        </w:rPr>
        <w:t>, and Simmone for the administrative help in the early years.</w:t>
      </w:r>
      <w:r w:rsidR="00A663FC" w:rsidRPr="00E869A4">
        <w:rPr>
          <w:rFonts w:ascii="Times New Roman" w:hAnsi="Times New Roman" w:cs="Times New Roman"/>
          <w:szCs w:val="24"/>
        </w:rPr>
        <w:t xml:space="preserve"> Penny, your mentorship </w:t>
      </w:r>
      <w:r w:rsidR="00B75A2E" w:rsidRPr="00E869A4">
        <w:rPr>
          <w:rFonts w:ascii="Times New Roman" w:hAnsi="Times New Roman" w:cs="Times New Roman"/>
          <w:szCs w:val="24"/>
        </w:rPr>
        <w:t>throughout my academic career</w:t>
      </w:r>
      <w:r w:rsidR="00A663FC" w:rsidRPr="00E869A4">
        <w:rPr>
          <w:rFonts w:ascii="Times New Roman" w:hAnsi="Times New Roman" w:cs="Times New Roman"/>
          <w:szCs w:val="24"/>
        </w:rPr>
        <w:t xml:space="preserve"> has been exceptional</w:t>
      </w:r>
      <w:r w:rsidR="008B4BBF" w:rsidRPr="00E869A4">
        <w:rPr>
          <w:rFonts w:ascii="Times New Roman" w:hAnsi="Times New Roman" w:cs="Times New Roman"/>
          <w:szCs w:val="24"/>
        </w:rPr>
        <w:t>: words cannot express my appreciation for</w:t>
      </w:r>
      <w:r w:rsidR="00A663FC" w:rsidRPr="00E869A4">
        <w:rPr>
          <w:rFonts w:ascii="Times New Roman" w:hAnsi="Times New Roman" w:cs="Times New Roman"/>
          <w:szCs w:val="24"/>
        </w:rPr>
        <w:t xml:space="preserve"> your yeoman servi</w:t>
      </w:r>
      <w:r w:rsidR="00B35BB6" w:rsidRPr="00E869A4">
        <w:rPr>
          <w:rFonts w:ascii="Times New Roman" w:hAnsi="Times New Roman" w:cs="Times New Roman"/>
          <w:szCs w:val="24"/>
        </w:rPr>
        <w:t>ce</w:t>
      </w:r>
      <w:r w:rsidR="008B4BBF" w:rsidRPr="00E869A4">
        <w:rPr>
          <w:rFonts w:ascii="Times New Roman" w:hAnsi="Times New Roman" w:cs="Times New Roman"/>
          <w:szCs w:val="24"/>
        </w:rPr>
        <w:t xml:space="preserve">. </w:t>
      </w:r>
      <w:r w:rsidR="00C4012C" w:rsidRPr="00E869A4">
        <w:rPr>
          <w:rFonts w:ascii="Times New Roman" w:hAnsi="Times New Roman" w:cs="Times New Roman"/>
          <w:szCs w:val="24"/>
        </w:rPr>
        <w:t>Nakesha and Aunty Jeanette</w:t>
      </w:r>
      <w:r w:rsidR="00C21840" w:rsidRPr="00E869A4">
        <w:rPr>
          <w:rFonts w:ascii="Times New Roman" w:hAnsi="Times New Roman" w:cs="Times New Roman"/>
          <w:szCs w:val="24"/>
        </w:rPr>
        <w:t>,</w:t>
      </w:r>
      <w:r w:rsidR="00C4012C" w:rsidRPr="00E869A4">
        <w:rPr>
          <w:rFonts w:ascii="Times New Roman" w:hAnsi="Times New Roman" w:cs="Times New Roman"/>
          <w:szCs w:val="24"/>
        </w:rPr>
        <w:t xml:space="preserve"> thank you for your generosity poured out to me in so many ways. </w:t>
      </w:r>
      <w:r w:rsidR="00B35BB6" w:rsidRPr="00E869A4">
        <w:rPr>
          <w:rFonts w:ascii="Times New Roman" w:hAnsi="Times New Roman" w:cs="Times New Roman"/>
          <w:szCs w:val="24"/>
        </w:rPr>
        <w:t xml:space="preserve">Wendy, Sasonel and Walter, thank you for lending a hand and cheering me on to the </w:t>
      </w:r>
      <w:r w:rsidR="00C85877" w:rsidRPr="00E869A4">
        <w:rPr>
          <w:rFonts w:ascii="Times New Roman" w:hAnsi="Times New Roman" w:cs="Times New Roman"/>
          <w:szCs w:val="24"/>
        </w:rPr>
        <w:t>end</w:t>
      </w:r>
      <w:r w:rsidR="00A663FC" w:rsidRPr="00E869A4">
        <w:rPr>
          <w:rFonts w:ascii="Times New Roman" w:hAnsi="Times New Roman" w:cs="Times New Roman"/>
          <w:szCs w:val="24"/>
        </w:rPr>
        <w:t xml:space="preserve">. </w:t>
      </w:r>
      <w:r w:rsidR="001A5F94" w:rsidRPr="00E869A4">
        <w:rPr>
          <w:rFonts w:ascii="Times New Roman" w:hAnsi="Times New Roman" w:cs="Times New Roman"/>
          <w:szCs w:val="24"/>
        </w:rPr>
        <w:t xml:space="preserve">Dr. </w:t>
      </w:r>
      <w:r w:rsidR="00A663FC" w:rsidRPr="00E869A4">
        <w:rPr>
          <w:rFonts w:ascii="Times New Roman" w:hAnsi="Times New Roman" w:cs="Times New Roman"/>
          <w:szCs w:val="24"/>
        </w:rPr>
        <w:t>Legena</w:t>
      </w:r>
      <w:r w:rsidR="008B4BBF" w:rsidRPr="00E869A4">
        <w:rPr>
          <w:rFonts w:ascii="Times New Roman" w:hAnsi="Times New Roman" w:cs="Times New Roman"/>
          <w:szCs w:val="24"/>
        </w:rPr>
        <w:t xml:space="preserve"> </w:t>
      </w:r>
      <w:r w:rsidR="001A5F94" w:rsidRPr="00E869A4">
        <w:rPr>
          <w:rFonts w:ascii="Times New Roman" w:hAnsi="Times New Roman" w:cs="Times New Roman"/>
          <w:szCs w:val="24"/>
        </w:rPr>
        <w:t xml:space="preserve">Henry, </w:t>
      </w:r>
      <w:r w:rsidR="008B4BBF" w:rsidRPr="00E869A4">
        <w:rPr>
          <w:rFonts w:ascii="Times New Roman" w:hAnsi="Times New Roman" w:cs="Times New Roman"/>
          <w:szCs w:val="24"/>
        </w:rPr>
        <w:t xml:space="preserve">you are a </w:t>
      </w:r>
      <w:r w:rsidR="00A25748" w:rsidRPr="00E869A4">
        <w:rPr>
          <w:rFonts w:ascii="Times New Roman" w:hAnsi="Times New Roman" w:cs="Times New Roman"/>
          <w:szCs w:val="24"/>
        </w:rPr>
        <w:t>gem</w:t>
      </w:r>
      <w:r w:rsidR="008B4BBF" w:rsidRPr="00E869A4">
        <w:rPr>
          <w:rFonts w:ascii="Times New Roman" w:hAnsi="Times New Roman" w:cs="Times New Roman"/>
          <w:szCs w:val="24"/>
        </w:rPr>
        <w:t xml:space="preserve">: thank you for the study sessions at UWI, Salybia and all the ways you supported me. </w:t>
      </w:r>
      <w:r w:rsidR="001A5F94" w:rsidRPr="00E869A4">
        <w:rPr>
          <w:rFonts w:ascii="Times New Roman" w:hAnsi="Times New Roman" w:cs="Times New Roman"/>
          <w:szCs w:val="24"/>
        </w:rPr>
        <w:t xml:space="preserve">To </w:t>
      </w:r>
      <w:r w:rsidR="00E06338" w:rsidRPr="00E869A4">
        <w:rPr>
          <w:rFonts w:ascii="Times New Roman" w:hAnsi="Times New Roman" w:cs="Times New Roman"/>
          <w:szCs w:val="24"/>
        </w:rPr>
        <w:t xml:space="preserve">Dr. </w:t>
      </w:r>
      <w:r w:rsidR="00B308EB" w:rsidRPr="00E869A4">
        <w:rPr>
          <w:rFonts w:ascii="Times New Roman" w:hAnsi="Times New Roman" w:cs="Times New Roman"/>
          <w:szCs w:val="24"/>
        </w:rPr>
        <w:t xml:space="preserve">Deborah </w:t>
      </w:r>
      <w:r w:rsidR="001A5F94" w:rsidRPr="00E869A4">
        <w:rPr>
          <w:rFonts w:ascii="Times New Roman" w:hAnsi="Times New Roman" w:cs="Times New Roman"/>
          <w:szCs w:val="24"/>
        </w:rPr>
        <w:t xml:space="preserve">Mc Phee </w:t>
      </w:r>
      <w:r w:rsidR="00B308EB" w:rsidRPr="00E869A4">
        <w:rPr>
          <w:rFonts w:ascii="Times New Roman" w:hAnsi="Times New Roman" w:cs="Times New Roman"/>
          <w:szCs w:val="24"/>
        </w:rPr>
        <w:t xml:space="preserve">and </w:t>
      </w:r>
      <w:r w:rsidR="001A5F94" w:rsidRPr="00E869A4">
        <w:rPr>
          <w:rFonts w:ascii="Times New Roman" w:hAnsi="Times New Roman" w:cs="Times New Roman"/>
          <w:szCs w:val="24"/>
        </w:rPr>
        <w:t xml:space="preserve">her husband </w:t>
      </w:r>
      <w:r w:rsidR="00B308EB" w:rsidRPr="00E869A4">
        <w:rPr>
          <w:rFonts w:ascii="Times New Roman" w:hAnsi="Times New Roman" w:cs="Times New Roman"/>
          <w:szCs w:val="24"/>
        </w:rPr>
        <w:t>Sean, your kindness to me while I was preparing for the viva will never be forgotten</w:t>
      </w:r>
      <w:r w:rsidR="006E300E" w:rsidRPr="00E869A4">
        <w:rPr>
          <w:rFonts w:ascii="Times New Roman" w:hAnsi="Times New Roman" w:cs="Times New Roman"/>
          <w:szCs w:val="24"/>
        </w:rPr>
        <w:t xml:space="preserve">. </w:t>
      </w:r>
      <w:r w:rsidR="00AB50A8" w:rsidRPr="00E869A4">
        <w:rPr>
          <w:rFonts w:ascii="Times New Roman" w:hAnsi="Times New Roman" w:cs="Times New Roman"/>
          <w:szCs w:val="24"/>
        </w:rPr>
        <w:t xml:space="preserve">Rani, </w:t>
      </w:r>
      <w:r w:rsidR="006E300E" w:rsidRPr="00E869A4">
        <w:rPr>
          <w:rFonts w:ascii="Times New Roman" w:hAnsi="Times New Roman" w:cs="Times New Roman"/>
          <w:szCs w:val="24"/>
        </w:rPr>
        <w:t xml:space="preserve">your </w:t>
      </w:r>
      <w:r w:rsidR="00BA0E85" w:rsidRPr="00E869A4">
        <w:rPr>
          <w:rFonts w:ascii="Times New Roman" w:hAnsi="Times New Roman" w:cs="Times New Roman"/>
          <w:szCs w:val="24"/>
        </w:rPr>
        <w:t>kind-heartedness, generosity,</w:t>
      </w:r>
      <w:r w:rsidR="00AB50A8" w:rsidRPr="00E869A4">
        <w:rPr>
          <w:rFonts w:ascii="Times New Roman" w:hAnsi="Times New Roman" w:cs="Times New Roman"/>
          <w:szCs w:val="24"/>
        </w:rPr>
        <w:t xml:space="preserve"> and eye for detail put wind into my sails during a time when cabin fever </w:t>
      </w:r>
      <w:r w:rsidR="00BA0E85" w:rsidRPr="00E869A4">
        <w:rPr>
          <w:rFonts w:ascii="Times New Roman" w:hAnsi="Times New Roman" w:cs="Times New Roman"/>
          <w:szCs w:val="24"/>
        </w:rPr>
        <w:t>threatened</w:t>
      </w:r>
      <w:r w:rsidR="00AB50A8" w:rsidRPr="00E869A4">
        <w:rPr>
          <w:rFonts w:ascii="Times New Roman" w:hAnsi="Times New Roman" w:cs="Times New Roman"/>
          <w:szCs w:val="24"/>
        </w:rPr>
        <w:t xml:space="preserve"> to get the best of me. </w:t>
      </w:r>
      <w:r w:rsidR="00BA0E85" w:rsidRPr="00E869A4">
        <w:rPr>
          <w:rFonts w:ascii="Times New Roman" w:hAnsi="Times New Roman" w:cs="Times New Roman"/>
          <w:szCs w:val="24"/>
        </w:rPr>
        <w:t>To my dear friends</w:t>
      </w:r>
      <w:r w:rsidRPr="00E869A4">
        <w:rPr>
          <w:rFonts w:ascii="Times New Roman" w:hAnsi="Times New Roman" w:cs="Times New Roman"/>
          <w:szCs w:val="24"/>
        </w:rPr>
        <w:t xml:space="preserve"> </w:t>
      </w:r>
      <w:r w:rsidR="00A25748" w:rsidRPr="00E869A4">
        <w:rPr>
          <w:rFonts w:ascii="Times New Roman" w:hAnsi="Times New Roman" w:cs="Times New Roman"/>
          <w:szCs w:val="24"/>
        </w:rPr>
        <w:t>Alicia,</w:t>
      </w:r>
      <w:r w:rsidRPr="00E869A4">
        <w:rPr>
          <w:rFonts w:ascii="Times New Roman" w:hAnsi="Times New Roman" w:cs="Times New Roman"/>
          <w:szCs w:val="24"/>
        </w:rPr>
        <w:t xml:space="preserve"> </w:t>
      </w:r>
      <w:r w:rsidR="00A25748" w:rsidRPr="00E869A4">
        <w:rPr>
          <w:rFonts w:ascii="Times New Roman" w:hAnsi="Times New Roman" w:cs="Times New Roman"/>
          <w:szCs w:val="24"/>
        </w:rPr>
        <w:t xml:space="preserve">Annesha, Barbara, </w:t>
      </w:r>
      <w:r w:rsidR="00E75082" w:rsidRPr="00E869A4">
        <w:rPr>
          <w:rFonts w:ascii="Times New Roman" w:hAnsi="Times New Roman" w:cs="Times New Roman"/>
          <w:szCs w:val="24"/>
        </w:rPr>
        <w:t xml:space="preserve">Brian, </w:t>
      </w:r>
      <w:r w:rsidR="00BA0E85" w:rsidRPr="00E869A4">
        <w:rPr>
          <w:rFonts w:ascii="Times New Roman" w:hAnsi="Times New Roman" w:cs="Times New Roman"/>
          <w:szCs w:val="24"/>
        </w:rPr>
        <w:t>Candace</w:t>
      </w:r>
      <w:r w:rsidR="009B229D" w:rsidRPr="00E869A4">
        <w:rPr>
          <w:rFonts w:ascii="Times New Roman" w:hAnsi="Times New Roman" w:cs="Times New Roman"/>
          <w:szCs w:val="24"/>
        </w:rPr>
        <w:t xml:space="preserve"> and her</w:t>
      </w:r>
      <w:r w:rsidR="00187B72" w:rsidRPr="00E869A4">
        <w:rPr>
          <w:rFonts w:ascii="Times New Roman" w:hAnsi="Times New Roman" w:cs="Times New Roman"/>
          <w:szCs w:val="24"/>
        </w:rPr>
        <w:t xml:space="preserve"> </w:t>
      </w:r>
      <w:r w:rsidR="009B229D" w:rsidRPr="00E869A4">
        <w:rPr>
          <w:rFonts w:ascii="Times New Roman" w:hAnsi="Times New Roman" w:cs="Times New Roman"/>
          <w:szCs w:val="24"/>
        </w:rPr>
        <w:t xml:space="preserve">husband </w:t>
      </w:r>
      <w:r w:rsidR="00BA0E85" w:rsidRPr="00E869A4">
        <w:rPr>
          <w:rFonts w:ascii="Times New Roman" w:hAnsi="Times New Roman" w:cs="Times New Roman"/>
          <w:szCs w:val="24"/>
        </w:rPr>
        <w:t>Michael</w:t>
      </w:r>
      <w:r w:rsidR="009B229D" w:rsidRPr="00E869A4">
        <w:rPr>
          <w:rFonts w:ascii="Times New Roman" w:hAnsi="Times New Roman" w:cs="Times New Roman"/>
          <w:szCs w:val="24"/>
        </w:rPr>
        <w:t xml:space="preserve"> Boyle</w:t>
      </w:r>
      <w:r w:rsidR="00BA0E85" w:rsidRPr="00E869A4">
        <w:rPr>
          <w:rFonts w:ascii="Times New Roman" w:hAnsi="Times New Roman" w:cs="Times New Roman"/>
          <w:szCs w:val="24"/>
        </w:rPr>
        <w:t xml:space="preserve">, </w:t>
      </w:r>
      <w:r w:rsidR="00E75082" w:rsidRPr="00E869A4">
        <w:rPr>
          <w:rFonts w:ascii="Times New Roman" w:hAnsi="Times New Roman" w:cs="Times New Roman"/>
          <w:szCs w:val="24"/>
        </w:rPr>
        <w:t xml:space="preserve">Diann, </w:t>
      </w:r>
      <w:r w:rsidRPr="00E869A4">
        <w:rPr>
          <w:rFonts w:ascii="Times New Roman" w:hAnsi="Times New Roman" w:cs="Times New Roman"/>
          <w:szCs w:val="24"/>
        </w:rPr>
        <w:t>Ken, Jasmine</w:t>
      </w:r>
      <w:r w:rsidR="00A25748" w:rsidRPr="00E869A4">
        <w:rPr>
          <w:rFonts w:ascii="Times New Roman" w:hAnsi="Times New Roman" w:cs="Times New Roman"/>
          <w:szCs w:val="24"/>
        </w:rPr>
        <w:t xml:space="preserve">, </w:t>
      </w:r>
      <w:r w:rsidR="008B4BBF" w:rsidRPr="00E869A4">
        <w:rPr>
          <w:rFonts w:ascii="Times New Roman" w:hAnsi="Times New Roman" w:cs="Times New Roman"/>
          <w:szCs w:val="24"/>
        </w:rPr>
        <w:t>Jennifer</w:t>
      </w:r>
      <w:r w:rsidR="00B35BB6" w:rsidRPr="00E869A4">
        <w:rPr>
          <w:rFonts w:ascii="Times New Roman" w:hAnsi="Times New Roman" w:cs="Times New Roman"/>
          <w:szCs w:val="24"/>
        </w:rPr>
        <w:t xml:space="preserve"> and </w:t>
      </w:r>
      <w:r w:rsidR="00BA0E85" w:rsidRPr="00E869A4">
        <w:rPr>
          <w:rFonts w:ascii="Times New Roman" w:hAnsi="Times New Roman" w:cs="Times New Roman"/>
          <w:szCs w:val="24"/>
        </w:rPr>
        <w:t xml:space="preserve">Roger, </w:t>
      </w:r>
      <w:r w:rsidRPr="00E869A4">
        <w:rPr>
          <w:rFonts w:ascii="Times New Roman" w:hAnsi="Times New Roman" w:cs="Times New Roman"/>
          <w:szCs w:val="24"/>
        </w:rPr>
        <w:t xml:space="preserve">thank you for listening, encouraging, </w:t>
      </w:r>
      <w:r w:rsidR="00A25748" w:rsidRPr="00E869A4">
        <w:rPr>
          <w:rFonts w:ascii="Times New Roman" w:hAnsi="Times New Roman" w:cs="Times New Roman"/>
          <w:szCs w:val="24"/>
        </w:rPr>
        <w:t xml:space="preserve">praying, </w:t>
      </w:r>
      <w:r w:rsidRPr="00E869A4">
        <w:rPr>
          <w:rFonts w:ascii="Times New Roman" w:hAnsi="Times New Roman" w:cs="Times New Roman"/>
          <w:szCs w:val="24"/>
        </w:rPr>
        <w:t xml:space="preserve">proof-reading, and being true friends to me on this journey. </w:t>
      </w:r>
      <w:bookmarkStart w:id="10" w:name="OLE_LINK31"/>
      <w:bookmarkStart w:id="11" w:name="OLE_LINK32"/>
    </w:p>
    <w:p w14:paraId="568BBB11" w14:textId="6F26AF52" w:rsidR="00165F7F" w:rsidRPr="00E869A4" w:rsidRDefault="00FD5BF9" w:rsidP="00C21840">
      <w:pPr>
        <w:jc w:val="right"/>
        <w:rPr>
          <w:rFonts w:ascii="Times New Roman" w:hAnsi="Times New Roman" w:cs="Times New Roman"/>
          <w:b/>
          <w:bCs/>
          <w:szCs w:val="28"/>
          <w:lang w:val="fr-FR"/>
        </w:rPr>
      </w:pPr>
      <w:r w:rsidRPr="00E869A4">
        <w:rPr>
          <w:rFonts w:ascii="Times New Roman" w:hAnsi="Times New Roman" w:cs="Times New Roman"/>
          <w:i/>
          <w:lang w:val="la-Latn"/>
        </w:rPr>
        <w:t>Deus benedicat tibi, et tua</w:t>
      </w:r>
      <w:bookmarkEnd w:id="10"/>
      <w:bookmarkEnd w:id="11"/>
      <w:r w:rsidR="00C21840" w:rsidRPr="00E869A4">
        <w:rPr>
          <w:rFonts w:ascii="Times New Roman" w:hAnsi="Times New Roman" w:cs="Times New Roman"/>
          <w:i/>
          <w:lang w:val="fr-FR"/>
        </w:rPr>
        <w:t>.</w:t>
      </w:r>
      <w:r w:rsidR="00165F7F" w:rsidRPr="00E869A4">
        <w:rPr>
          <w:lang w:val="fr-FR"/>
        </w:rPr>
        <w:br w:type="page"/>
      </w:r>
    </w:p>
    <w:p w14:paraId="758ADD05" w14:textId="49237A85" w:rsidR="006C40EC" w:rsidRPr="00E869A4" w:rsidRDefault="007E0B8D" w:rsidP="00D20B2D">
      <w:pPr>
        <w:pStyle w:val="Heading1"/>
      </w:pPr>
      <w:bookmarkStart w:id="12" w:name="_Toc40436446"/>
      <w:r w:rsidRPr="00E869A4">
        <w:lastRenderedPageBreak/>
        <w:t>CHAPTER 1 –</w:t>
      </w:r>
      <w:r w:rsidR="00A440B6" w:rsidRPr="00E869A4">
        <w:t xml:space="preserve"> </w:t>
      </w:r>
      <w:r w:rsidR="005E19B3" w:rsidRPr="00E869A4">
        <w:t>INTRODUCTION</w:t>
      </w:r>
      <w:bookmarkEnd w:id="12"/>
    </w:p>
    <w:p w14:paraId="1EBDB705" w14:textId="2DB9CEFA" w:rsidR="005E19B3" w:rsidRPr="00E869A4" w:rsidRDefault="000113D2" w:rsidP="00175C3E">
      <w:pPr>
        <w:pStyle w:val="Heading2"/>
      </w:pPr>
      <w:bookmarkStart w:id="13" w:name="_Toc40436447"/>
      <w:r w:rsidRPr="00E869A4">
        <w:t>1.</w:t>
      </w:r>
      <w:r w:rsidR="000201A8" w:rsidRPr="00E869A4">
        <w:t>1</w:t>
      </w:r>
      <w:r w:rsidR="00155DF3" w:rsidRPr="00E869A4">
        <w:t xml:space="preserve"> </w:t>
      </w:r>
      <w:r w:rsidR="00341F22" w:rsidRPr="00E869A4">
        <w:t>RATIONALE</w:t>
      </w:r>
      <w:bookmarkEnd w:id="13"/>
    </w:p>
    <w:p w14:paraId="6F230D29" w14:textId="77777777" w:rsidR="00EA7E8A" w:rsidRPr="00E869A4" w:rsidRDefault="00EA7E8A" w:rsidP="00A35FF8">
      <w:pPr>
        <w:autoSpaceDE w:val="0"/>
        <w:autoSpaceDN w:val="0"/>
        <w:adjustRightInd w:val="0"/>
        <w:rPr>
          <w:rFonts w:ascii="Times New Roman" w:hAnsi="Times New Roman" w:cs="Times New Roman"/>
          <w:szCs w:val="24"/>
        </w:rPr>
      </w:pPr>
    </w:p>
    <w:p w14:paraId="2EBCCFA3" w14:textId="049BA87A" w:rsidR="005C371F" w:rsidRPr="00E869A4" w:rsidRDefault="005C371F" w:rsidP="00165F7F">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Over the last four decades, population ageing has increasingly become a critical determining factor for social policy formulation in developed and developing countries alike. </w:t>
      </w:r>
      <w:r w:rsidRPr="00E869A4">
        <w:rPr>
          <w:rFonts w:ascii="Times New Roman" w:hAnsi="Times New Roman" w:cs="Times New Roman"/>
        </w:rPr>
        <w:t xml:space="preserve">In most </w:t>
      </w:r>
      <w:r w:rsidR="001942F3" w:rsidRPr="00E869A4">
        <w:rPr>
          <w:rFonts w:ascii="Times New Roman" w:hAnsi="Times New Roman" w:cs="Times New Roman"/>
        </w:rPr>
        <w:t>countries which are members of the Organisation for Economic Cooperation and Development (</w:t>
      </w:r>
      <w:r w:rsidRPr="00E869A4">
        <w:rPr>
          <w:rFonts w:ascii="Times New Roman" w:hAnsi="Times New Roman" w:cs="Times New Roman"/>
        </w:rPr>
        <w:t>OECD</w:t>
      </w:r>
      <w:r w:rsidR="001942F3" w:rsidRPr="00E869A4">
        <w:rPr>
          <w:rFonts w:ascii="Times New Roman" w:hAnsi="Times New Roman" w:cs="Times New Roman"/>
        </w:rPr>
        <w:t>)</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"OECD"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w:t>
      </w:r>
      <w:r w:rsidR="00F5780E" w:rsidRPr="00E869A4">
        <w:rPr>
          <w:rFonts w:ascii="Times New Roman" w:hAnsi="Times New Roman" w:cs="Times New Roman"/>
        </w:rPr>
        <w:t xml:space="preserve">the </w:t>
      </w:r>
      <w:r w:rsidRPr="00E869A4">
        <w:rPr>
          <w:rFonts w:ascii="Times New Roman" w:hAnsi="Times New Roman" w:cs="Times New Roman"/>
        </w:rPr>
        <w:t>demographic transition to an ageing society started in the late 18</w:t>
      </w:r>
      <w:r w:rsidRPr="00E869A4">
        <w:rPr>
          <w:rFonts w:ascii="Times New Roman" w:hAnsi="Times New Roman" w:cs="Times New Roman"/>
          <w:vertAlign w:val="superscript"/>
        </w:rPr>
        <w:t>th</w:t>
      </w:r>
      <w:r w:rsidRPr="00E869A4">
        <w:rPr>
          <w:rFonts w:ascii="Times New Roman" w:hAnsi="Times New Roman" w:cs="Times New Roman"/>
        </w:rPr>
        <w:t xml:space="preserve"> century</w:t>
      </w:r>
      <w:r w:rsidR="001942F3" w:rsidRPr="00E869A4">
        <w:rPr>
          <w:rFonts w:ascii="Times New Roman" w:hAnsi="Times New Roman" w:cs="Times New Roman"/>
        </w:rPr>
        <w:t xml:space="preserve"> (Dunnell 2008)</w:t>
      </w:r>
      <w:r w:rsidRPr="00E869A4">
        <w:rPr>
          <w:rFonts w:ascii="Times New Roman" w:hAnsi="Times New Roman" w:cs="Times New Roman"/>
        </w:rPr>
        <w:t xml:space="preserve"> while Caribbean territories began experiencing the greying of their populations in the 21</w:t>
      </w:r>
      <w:r w:rsidRPr="00E869A4">
        <w:rPr>
          <w:rFonts w:ascii="Times New Roman" w:hAnsi="Times New Roman" w:cs="Times New Roman"/>
          <w:vertAlign w:val="superscript"/>
        </w:rPr>
        <w:t>st</w:t>
      </w:r>
      <w:r w:rsidRPr="00E869A4">
        <w:rPr>
          <w:rFonts w:ascii="Times New Roman" w:hAnsi="Times New Roman" w:cs="Times New Roman"/>
        </w:rPr>
        <w:t xml:space="preserve"> century. </w:t>
      </w:r>
      <w:r w:rsidRPr="00E869A4">
        <w:rPr>
          <w:rFonts w:ascii="Times New Roman" w:hAnsi="Times New Roman" w:cs="Times New Roman"/>
          <w:szCs w:val="24"/>
        </w:rPr>
        <w:t>In light of these developments, increased attention has been given to the role of families in the provision of care to older persons, and the development of strategies to reduce the demand for and inefficiencies associated with institutionalised care</w:t>
      </w:r>
      <w:r w:rsidR="00FF7925" w:rsidRPr="00E869A4">
        <w:rPr>
          <w:rFonts w:ascii="Times New Roman" w:hAnsi="Times New Roman" w:cs="Times New Roman"/>
          <w:szCs w:val="24"/>
        </w:rPr>
        <w:t xml:space="preserve"> (</w:t>
      </w:r>
      <w:r w:rsidR="000A57DF" w:rsidRPr="00E869A4">
        <w:rPr>
          <w:rFonts w:ascii="Times New Roman" w:hAnsi="Times New Roman" w:cs="Times New Roman"/>
          <w:szCs w:val="24"/>
        </w:rPr>
        <w:t xml:space="preserve">Kendig, Hashimoto &amp; Coppard </w:t>
      </w:r>
      <w:r w:rsidR="00FF7925" w:rsidRPr="00E869A4">
        <w:rPr>
          <w:rFonts w:ascii="Times New Roman" w:hAnsi="Times New Roman" w:cs="Times New Roman"/>
          <w:szCs w:val="24"/>
        </w:rPr>
        <w:t>1992</w:t>
      </w:r>
      <w:r w:rsidR="007353B8" w:rsidRPr="00E869A4">
        <w:rPr>
          <w:rFonts w:ascii="Times New Roman" w:hAnsi="Times New Roman" w:cs="Times New Roman"/>
          <w:szCs w:val="24"/>
        </w:rPr>
        <w:t>; Kolmer et al. 2008; Kuuppelomaki et al. 2004</w:t>
      </w:r>
      <w:r w:rsidR="00FF7925" w:rsidRPr="00E869A4">
        <w:rPr>
          <w:rFonts w:ascii="Times New Roman" w:hAnsi="Times New Roman" w:cs="Times New Roman"/>
          <w:szCs w:val="24"/>
        </w:rPr>
        <w:t>).</w:t>
      </w:r>
    </w:p>
    <w:p w14:paraId="5069075A" w14:textId="77777777" w:rsidR="00165F7F" w:rsidRPr="00E869A4" w:rsidRDefault="00165F7F" w:rsidP="00165F7F">
      <w:pPr>
        <w:autoSpaceDE w:val="0"/>
        <w:autoSpaceDN w:val="0"/>
        <w:adjustRightInd w:val="0"/>
        <w:rPr>
          <w:rFonts w:ascii="Times New Roman" w:hAnsi="Times New Roman" w:cs="Times New Roman"/>
          <w:szCs w:val="24"/>
        </w:rPr>
      </w:pPr>
    </w:p>
    <w:p w14:paraId="680076BC" w14:textId="63EC8C9B" w:rsidR="005C371F" w:rsidRPr="00E869A4" w:rsidRDefault="005C371F" w:rsidP="008731B3">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The dearth of research on ageing in the global south is cause for concern</w:t>
      </w:r>
      <w:r w:rsidR="00F5780E" w:rsidRPr="00E869A4">
        <w:rPr>
          <w:rFonts w:ascii="Times New Roman" w:hAnsi="Times New Roman" w:cs="Times New Roman"/>
          <w:szCs w:val="24"/>
        </w:rPr>
        <w:t>,</w:t>
      </w:r>
      <w:r w:rsidRPr="00E869A4">
        <w:rPr>
          <w:rFonts w:ascii="Times New Roman" w:hAnsi="Times New Roman" w:cs="Times New Roman"/>
          <w:szCs w:val="24"/>
        </w:rPr>
        <w:t xml:space="preserve"> given the increasing number of older persons within this hemispheric space. While numerous studies and theories have been developed to explore the efficacy of family caregiving, the majority have concentrated on the situation in developed countries and very few have examined ageing and concomitant familial responses within a Caribbean context. Cloos et al</w:t>
      </w:r>
      <w:r w:rsidR="00404100" w:rsidRPr="00E869A4">
        <w:rPr>
          <w:rFonts w:ascii="Times New Roman" w:hAnsi="Times New Roman" w:cs="Times New Roman"/>
          <w:szCs w:val="24"/>
        </w:rPr>
        <w:t>.</w:t>
      </w:r>
      <w:r w:rsidR="00654590" w:rsidRPr="00E869A4">
        <w:rPr>
          <w:rFonts w:ascii="Times New Roman" w:hAnsi="Times New Roman" w:cs="Times New Roman"/>
          <w:szCs w:val="24"/>
        </w:rPr>
        <w:t xml:space="preserve"> </w:t>
      </w:r>
      <w:r w:rsidRPr="00E869A4">
        <w:rPr>
          <w:rFonts w:ascii="Times New Roman" w:hAnsi="Times New Roman" w:cs="Times New Roman"/>
          <w:szCs w:val="24"/>
        </w:rPr>
        <w:t>note</w:t>
      </w:r>
      <w:r w:rsidR="008731B3" w:rsidRPr="00E869A4">
        <w:rPr>
          <w:rFonts w:ascii="Times New Roman" w:hAnsi="Times New Roman" w:cs="Times New Roman"/>
          <w:szCs w:val="24"/>
        </w:rPr>
        <w:t>d</w:t>
      </w:r>
      <w:r w:rsidRPr="00E869A4">
        <w:rPr>
          <w:rFonts w:ascii="Times New Roman" w:hAnsi="Times New Roman" w:cs="Times New Roman"/>
          <w:szCs w:val="24"/>
        </w:rPr>
        <w:t xml:space="preserve"> for instance that</w:t>
      </w:r>
      <w:r w:rsidR="00654590" w:rsidRPr="00E869A4">
        <w:rPr>
          <w:rFonts w:ascii="Times New Roman" w:hAnsi="Times New Roman" w:cs="Times New Roman"/>
          <w:szCs w:val="24"/>
        </w:rPr>
        <w:t xml:space="preserve"> “a</w:t>
      </w:r>
      <w:r w:rsidRPr="00E869A4">
        <w:rPr>
          <w:rFonts w:ascii="Times New Roman" w:hAnsi="Times New Roman" w:cs="Times New Roman"/>
          <w:szCs w:val="24"/>
        </w:rPr>
        <w:t xml:space="preserve"> pervasive problem in many Caribbean countries is that there is little information about the circumstances of older people, which hinders policy development</w:t>
      </w:r>
      <w:r w:rsidR="00E82B4C" w:rsidRPr="00E869A4">
        <w:rPr>
          <w:rFonts w:ascii="Times New Roman" w:hAnsi="Times New Roman" w:cs="Times New Roman"/>
          <w:szCs w:val="24"/>
        </w:rPr>
        <w:t>.</w:t>
      </w:r>
      <w:r w:rsidR="00654590" w:rsidRPr="00E869A4">
        <w:rPr>
          <w:rFonts w:ascii="Times New Roman" w:hAnsi="Times New Roman" w:cs="Times New Roman"/>
          <w:szCs w:val="24"/>
        </w:rPr>
        <w:t>” (Cloos et al. 2010, p. 82)</w:t>
      </w:r>
      <w:r w:rsidR="00E82B4C" w:rsidRPr="00E869A4">
        <w:rPr>
          <w:rFonts w:ascii="Times New Roman" w:hAnsi="Times New Roman" w:cs="Times New Roman"/>
          <w:szCs w:val="24"/>
        </w:rPr>
        <w:t>.</w:t>
      </w:r>
      <w:r w:rsidR="00654590" w:rsidRPr="00E869A4">
        <w:rPr>
          <w:rFonts w:ascii="Times New Roman" w:hAnsi="Times New Roman" w:cs="Times New Roman"/>
          <w:szCs w:val="24"/>
        </w:rPr>
        <w:t xml:space="preserve"> </w:t>
      </w:r>
      <w:r w:rsidRPr="00E869A4">
        <w:rPr>
          <w:rFonts w:ascii="Times New Roman" w:hAnsi="Times New Roman" w:cs="Times New Roman"/>
          <w:szCs w:val="24"/>
        </w:rPr>
        <w:t xml:space="preserve"> </w:t>
      </w:r>
    </w:p>
    <w:p w14:paraId="1B6EE2E6" w14:textId="77777777" w:rsidR="004475FD" w:rsidRPr="00E869A4" w:rsidRDefault="004475FD" w:rsidP="00165F7F">
      <w:pPr>
        <w:autoSpaceDE w:val="0"/>
        <w:autoSpaceDN w:val="0"/>
        <w:adjustRightInd w:val="0"/>
        <w:rPr>
          <w:rFonts w:ascii="Times New Roman" w:hAnsi="Times New Roman" w:cs="Times New Roman"/>
          <w:szCs w:val="24"/>
        </w:rPr>
      </w:pPr>
    </w:p>
    <w:p w14:paraId="1B772BF2" w14:textId="65A6C759" w:rsidR="004E0DBD" w:rsidRPr="00E869A4" w:rsidRDefault="005C371F" w:rsidP="00165F7F">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In 2017, 962 million older persons (aged 60 years and over) across the globe accounted for 13% of the world’s population</w:t>
      </w:r>
      <w:r w:rsidR="00B2308F" w:rsidRPr="00E869A4">
        <w:rPr>
          <w:rFonts w:ascii="Times New Roman" w:hAnsi="Times New Roman" w:cs="Times New Roman"/>
          <w:szCs w:val="24"/>
        </w:rPr>
        <w:t xml:space="preserve"> (UN 2017)</w:t>
      </w:r>
      <w:r w:rsidRPr="00E869A4">
        <w:rPr>
          <w:rFonts w:ascii="Times New Roman" w:hAnsi="Times New Roman" w:cs="Times New Roman"/>
          <w:szCs w:val="24"/>
        </w:rPr>
        <w:t>. About 67% of these persons reside in developing countries</w:t>
      </w:r>
      <w:r w:rsidR="00F5780E" w:rsidRPr="00E869A4">
        <w:rPr>
          <w:rFonts w:ascii="Times New Roman" w:hAnsi="Times New Roman" w:cs="Times New Roman"/>
          <w:szCs w:val="24"/>
        </w:rPr>
        <w:t>,</w:t>
      </w:r>
      <w:r w:rsidRPr="00E869A4">
        <w:rPr>
          <w:rFonts w:ascii="Times New Roman" w:hAnsi="Times New Roman" w:cs="Times New Roman"/>
          <w:szCs w:val="24"/>
        </w:rPr>
        <w:t xml:space="preserve"> and this proportion is expected to increase to 75% by 2025</w:t>
      </w:r>
      <w:r w:rsidR="00B2308F" w:rsidRPr="00E869A4">
        <w:rPr>
          <w:rFonts w:ascii="Times New Roman" w:hAnsi="Times New Roman" w:cs="Times New Roman"/>
          <w:szCs w:val="24"/>
        </w:rPr>
        <w:t xml:space="preserve"> (Schmid, Vézina &amp; Ebbeson 2008)</w:t>
      </w:r>
      <w:r w:rsidRPr="00E869A4">
        <w:rPr>
          <w:rFonts w:ascii="Times New Roman" w:hAnsi="Times New Roman" w:cs="Times New Roman"/>
          <w:szCs w:val="24"/>
        </w:rPr>
        <w:t>. Between 2000 and 2015, this proportion increased from 49% to 53% in developing countries, and by 2050, 71% of the oldest-old group will be situated in developing nations</w:t>
      </w:r>
      <w:r w:rsidR="00612BC4" w:rsidRPr="00E869A4">
        <w:rPr>
          <w:rFonts w:ascii="Times New Roman" w:hAnsi="Times New Roman" w:cs="Times New Roman"/>
          <w:szCs w:val="24"/>
        </w:rPr>
        <w:t xml:space="preserve"> (OECD 2008; UN 2015)</w:t>
      </w:r>
      <w:r w:rsidRPr="00E869A4">
        <w:rPr>
          <w:rFonts w:ascii="Times New Roman" w:hAnsi="Times New Roman" w:cs="Times New Roman"/>
          <w:szCs w:val="24"/>
        </w:rPr>
        <w:t>.  Between 2015 and 2030 the fastest projected growth is expected to occur in Latin America and the Caribbean (LAC</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"LAC"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where the population aged 60 years and over will increase by about 71</w:t>
      </w:r>
      <w:r w:rsidR="00B2308F" w:rsidRPr="00E869A4">
        <w:rPr>
          <w:rFonts w:ascii="Times New Roman" w:hAnsi="Times New Roman" w:cs="Times New Roman"/>
          <w:szCs w:val="24"/>
        </w:rPr>
        <w:t>%</w:t>
      </w:r>
      <w:r w:rsidRPr="00E869A4">
        <w:rPr>
          <w:rFonts w:ascii="Times New Roman" w:hAnsi="Times New Roman" w:cs="Times New Roman"/>
          <w:szCs w:val="24"/>
        </w:rPr>
        <w:t>, followed by 66% in Asia and 64% in Africa</w:t>
      </w:r>
      <w:r w:rsidR="00612BC4" w:rsidRPr="00E869A4">
        <w:rPr>
          <w:rFonts w:ascii="Times New Roman" w:hAnsi="Times New Roman" w:cs="Times New Roman"/>
          <w:szCs w:val="24"/>
        </w:rPr>
        <w:t xml:space="preserve"> (UN 2015)</w:t>
      </w:r>
      <w:r w:rsidRPr="00E869A4">
        <w:rPr>
          <w:rFonts w:ascii="Times New Roman" w:hAnsi="Times New Roman" w:cs="Times New Roman"/>
          <w:szCs w:val="24"/>
        </w:rPr>
        <w:t>. In the Caribbean sub-region, the number of persons aged 60 years and over is expected to double from 1.1 million (13% of the population) to approximately 2 million (22%) by 2035</w:t>
      </w:r>
      <w:r w:rsidR="00612BC4" w:rsidRPr="00E869A4">
        <w:rPr>
          <w:rFonts w:ascii="Times New Roman" w:hAnsi="Times New Roman" w:cs="Times New Roman"/>
          <w:szCs w:val="24"/>
        </w:rPr>
        <w:t xml:space="preserve"> (Jones 2015; </w:t>
      </w:r>
      <w:r w:rsidR="005A62FE" w:rsidRPr="00E869A4">
        <w:rPr>
          <w:rFonts w:ascii="Times New Roman" w:hAnsi="Times New Roman" w:cs="Times New Roman"/>
          <w:szCs w:val="24"/>
        </w:rPr>
        <w:t xml:space="preserve">Joubert 2017; </w:t>
      </w:r>
      <w:r w:rsidR="00612BC4" w:rsidRPr="00E869A4">
        <w:rPr>
          <w:rFonts w:ascii="Times New Roman" w:hAnsi="Times New Roman" w:cs="Times New Roman"/>
          <w:szCs w:val="24"/>
        </w:rPr>
        <w:t>OECD 201</w:t>
      </w:r>
      <w:r w:rsidR="005A62FE" w:rsidRPr="00E869A4">
        <w:rPr>
          <w:rFonts w:ascii="Times New Roman" w:hAnsi="Times New Roman" w:cs="Times New Roman"/>
          <w:szCs w:val="24"/>
        </w:rPr>
        <w:t>6</w:t>
      </w:r>
      <w:r w:rsidR="00612BC4" w:rsidRPr="00E869A4">
        <w:rPr>
          <w:rFonts w:ascii="Times New Roman" w:hAnsi="Times New Roman" w:cs="Times New Roman"/>
          <w:szCs w:val="24"/>
        </w:rPr>
        <w:t>)</w:t>
      </w:r>
      <w:r w:rsidR="005A62FE" w:rsidRPr="00E869A4">
        <w:rPr>
          <w:rFonts w:ascii="Times New Roman" w:hAnsi="Times New Roman" w:cs="Times New Roman"/>
          <w:szCs w:val="24"/>
        </w:rPr>
        <w:t>.</w:t>
      </w:r>
      <w:r w:rsidRPr="00E869A4">
        <w:rPr>
          <w:rFonts w:ascii="Times New Roman" w:hAnsi="Times New Roman" w:cs="Times New Roman"/>
          <w:szCs w:val="24"/>
        </w:rPr>
        <w:t xml:space="preserve"> </w:t>
      </w:r>
    </w:p>
    <w:p w14:paraId="45DDB0C4" w14:textId="33DF7D6B" w:rsidR="005C371F" w:rsidRPr="00E869A4" w:rsidRDefault="005C371F" w:rsidP="00165F7F">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lastRenderedPageBreak/>
        <w:t xml:space="preserve">Furthermore, the most expansive segment of older persons in developing nations </w:t>
      </w:r>
      <w:r w:rsidR="00F5780E" w:rsidRPr="00E869A4">
        <w:rPr>
          <w:rFonts w:ascii="Times New Roman" w:hAnsi="Times New Roman" w:cs="Times New Roman"/>
          <w:szCs w:val="24"/>
        </w:rPr>
        <w:t>is</w:t>
      </w:r>
      <w:r w:rsidRPr="00E869A4">
        <w:rPr>
          <w:rFonts w:ascii="Times New Roman" w:hAnsi="Times New Roman" w:cs="Times New Roman"/>
          <w:szCs w:val="24"/>
        </w:rPr>
        <w:t xml:space="preserve"> </w:t>
      </w:r>
      <w:r w:rsidR="00F5780E" w:rsidRPr="00E869A4">
        <w:rPr>
          <w:rFonts w:ascii="Times New Roman" w:hAnsi="Times New Roman" w:cs="Times New Roman"/>
          <w:szCs w:val="24"/>
        </w:rPr>
        <w:t>the</w:t>
      </w:r>
      <w:r w:rsidRPr="00E869A4">
        <w:rPr>
          <w:rFonts w:ascii="Times New Roman" w:hAnsi="Times New Roman" w:cs="Times New Roman"/>
          <w:szCs w:val="24"/>
        </w:rPr>
        <w:t xml:space="preserve"> 80 years </w:t>
      </w:r>
      <w:r w:rsidR="00F5780E" w:rsidRPr="00E869A4">
        <w:rPr>
          <w:rFonts w:ascii="Times New Roman" w:hAnsi="Times New Roman" w:cs="Times New Roman"/>
          <w:szCs w:val="24"/>
        </w:rPr>
        <w:t xml:space="preserve">and </w:t>
      </w:r>
      <w:r w:rsidRPr="00E869A4">
        <w:rPr>
          <w:rFonts w:ascii="Times New Roman" w:hAnsi="Times New Roman" w:cs="Times New Roman"/>
          <w:szCs w:val="24"/>
        </w:rPr>
        <w:t>over</w:t>
      </w:r>
      <w:r w:rsidR="00F5780E" w:rsidRPr="00E869A4">
        <w:rPr>
          <w:rFonts w:ascii="Times New Roman" w:hAnsi="Times New Roman" w:cs="Times New Roman"/>
          <w:szCs w:val="24"/>
        </w:rPr>
        <w:t xml:space="preserve"> cohort</w:t>
      </w:r>
      <w:r w:rsidR="00885A9B" w:rsidRPr="00E869A4">
        <w:rPr>
          <w:rFonts w:ascii="Times New Roman" w:hAnsi="Times New Roman" w:cs="Times New Roman"/>
          <w:szCs w:val="24"/>
        </w:rPr>
        <w:t>,</w:t>
      </w:r>
      <w:r w:rsidRPr="00E869A4">
        <w:rPr>
          <w:rFonts w:ascii="Times New Roman" w:hAnsi="Times New Roman" w:cs="Times New Roman"/>
          <w:szCs w:val="24"/>
        </w:rPr>
        <w:t xml:space="preserve"> who are more prone to being physically or cognitively disabled than any other cohort. Of particular concern is </w:t>
      </w:r>
      <w:r w:rsidR="00B2308F" w:rsidRPr="00E869A4">
        <w:rPr>
          <w:rFonts w:ascii="Times New Roman" w:hAnsi="Times New Roman" w:cs="Times New Roman"/>
          <w:szCs w:val="24"/>
        </w:rPr>
        <w:t xml:space="preserve">the fact </w:t>
      </w:r>
      <w:r w:rsidRPr="00E869A4">
        <w:rPr>
          <w:rFonts w:ascii="Times New Roman" w:hAnsi="Times New Roman" w:cs="Times New Roman"/>
          <w:szCs w:val="24"/>
        </w:rPr>
        <w:t>that developing countries will have less favourable economic</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economic</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circumstances and time to adjust to these demographic changes than their more developed counterparts</w:t>
      </w:r>
      <w:r w:rsidR="00951957" w:rsidRPr="00E869A4">
        <w:rPr>
          <w:rFonts w:ascii="Times New Roman" w:hAnsi="Times New Roman" w:cs="Times New Roman"/>
          <w:szCs w:val="24"/>
        </w:rPr>
        <w:t xml:space="preserve"> (Schmid 2006)</w:t>
      </w:r>
      <w:r w:rsidRPr="00E869A4">
        <w:rPr>
          <w:rFonts w:ascii="Times New Roman" w:hAnsi="Times New Roman" w:cs="Times New Roman"/>
          <w:szCs w:val="24"/>
        </w:rPr>
        <w:t xml:space="preserve">. In light of these trends, in 2013, twelve (12) out of thirteen (13) Caribbean governments conveyed to the United Nations Inquiry among Governments on Population and Development that population ageing was a </w:t>
      </w:r>
      <w:r w:rsidR="00F5780E" w:rsidRPr="00E869A4">
        <w:rPr>
          <w:rFonts w:ascii="Times New Roman" w:hAnsi="Times New Roman" w:cs="Times New Roman"/>
          <w:szCs w:val="24"/>
        </w:rPr>
        <w:t>significant</w:t>
      </w:r>
      <w:r w:rsidRPr="00E869A4">
        <w:rPr>
          <w:rFonts w:ascii="Times New Roman" w:hAnsi="Times New Roman" w:cs="Times New Roman"/>
          <w:szCs w:val="24"/>
        </w:rPr>
        <w:t xml:space="preserve"> concern</w:t>
      </w:r>
      <w:r w:rsidR="00951957" w:rsidRPr="00E869A4">
        <w:rPr>
          <w:rFonts w:ascii="Times New Roman" w:hAnsi="Times New Roman" w:cs="Times New Roman"/>
          <w:szCs w:val="24"/>
        </w:rPr>
        <w:t xml:space="preserve"> (Jones 2015)</w:t>
      </w:r>
      <w:r w:rsidRPr="00E869A4">
        <w:rPr>
          <w:rFonts w:ascii="Times New Roman" w:hAnsi="Times New Roman" w:cs="Times New Roman"/>
          <w:szCs w:val="24"/>
        </w:rPr>
        <w:t>. In its Draft National Development Strategy (2016</w:t>
      </w:r>
      <w:r w:rsidR="00B37A41" w:rsidRPr="00E869A4">
        <w:rPr>
          <w:rFonts w:ascii="Times New Roman" w:hAnsi="Times New Roman" w:cs="Times New Roman"/>
          <w:szCs w:val="24"/>
        </w:rPr>
        <w:t xml:space="preserve"> </w:t>
      </w:r>
      <w:r w:rsidR="009C3332" w:rsidRPr="00E869A4">
        <w:rPr>
          <w:rFonts w:ascii="Times New Roman" w:hAnsi="Times New Roman" w:cs="Times New Roman"/>
          <w:szCs w:val="24"/>
        </w:rPr>
        <w:t>to</w:t>
      </w:r>
      <w:r w:rsidR="00B37A41" w:rsidRPr="00E869A4">
        <w:rPr>
          <w:rFonts w:ascii="Times New Roman" w:hAnsi="Times New Roman" w:cs="Times New Roman"/>
          <w:szCs w:val="24"/>
        </w:rPr>
        <w:t xml:space="preserve"> </w:t>
      </w:r>
      <w:r w:rsidR="00165F7F" w:rsidRPr="00E869A4">
        <w:rPr>
          <w:rFonts w:ascii="Times New Roman" w:hAnsi="Times New Roman" w:cs="Times New Roman"/>
          <w:szCs w:val="24"/>
        </w:rPr>
        <w:t>2030),</w:t>
      </w:r>
      <w:r w:rsidRPr="00E869A4">
        <w:rPr>
          <w:rFonts w:ascii="Times New Roman" w:hAnsi="Times New Roman" w:cs="Times New Roman"/>
          <w:szCs w:val="24"/>
        </w:rPr>
        <w:t xml:space="preserve"> the GORTT has identified the ageing of the nation’s population as one of its main challenges</w:t>
      </w:r>
      <w:r w:rsidR="00951957" w:rsidRPr="00E869A4">
        <w:rPr>
          <w:rFonts w:ascii="Times New Roman" w:hAnsi="Times New Roman" w:cs="Times New Roman"/>
          <w:szCs w:val="24"/>
        </w:rPr>
        <w:t xml:space="preserve"> (GORTT 2016a)</w:t>
      </w:r>
      <w:r w:rsidR="00275FFE" w:rsidRPr="00E869A4">
        <w:rPr>
          <w:rFonts w:ascii="Times New Roman" w:hAnsi="Times New Roman" w:cs="Times New Roman"/>
          <w:szCs w:val="24"/>
        </w:rPr>
        <w:t>.</w:t>
      </w:r>
    </w:p>
    <w:p w14:paraId="5DD8F853" w14:textId="77777777" w:rsidR="00165F7F" w:rsidRPr="00E869A4" w:rsidRDefault="00165F7F" w:rsidP="00165F7F">
      <w:pPr>
        <w:autoSpaceDE w:val="0"/>
        <w:autoSpaceDN w:val="0"/>
        <w:adjustRightInd w:val="0"/>
        <w:rPr>
          <w:rFonts w:ascii="Times New Roman" w:hAnsi="Times New Roman" w:cs="Times New Roman"/>
          <w:szCs w:val="24"/>
        </w:rPr>
      </w:pPr>
    </w:p>
    <w:p w14:paraId="64D31E7A" w14:textId="697351E8" w:rsidR="005C371F" w:rsidRPr="00E869A4" w:rsidRDefault="005C371F" w:rsidP="00AD4514">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The impact of this demographic pattern is double-edged. On the one hand, the benefits of modern </w:t>
      </w:r>
      <w:r w:rsidR="00A022AC" w:rsidRPr="00E869A4">
        <w:rPr>
          <w:rFonts w:ascii="Times New Roman" w:hAnsi="Times New Roman" w:cs="Times New Roman"/>
          <w:szCs w:val="24"/>
        </w:rPr>
        <w:t>medicine that have contributed to increased life expectancy</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"life expectancy"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should be celebrated and seen as an opportunity to innovatively maximise the human resource potential that this presents. On the other hand, there are numerous socio-economic</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economic</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implications </w:t>
      </w:r>
      <w:r w:rsidR="00844865" w:rsidRPr="00E869A4">
        <w:rPr>
          <w:rFonts w:ascii="Times New Roman" w:hAnsi="Times New Roman" w:cs="Times New Roman"/>
          <w:szCs w:val="24"/>
        </w:rPr>
        <w:t>resulting from</w:t>
      </w:r>
      <w:r w:rsidRPr="00E869A4">
        <w:rPr>
          <w:rFonts w:ascii="Times New Roman" w:hAnsi="Times New Roman" w:cs="Times New Roman"/>
          <w:szCs w:val="24"/>
        </w:rPr>
        <w:t xml:space="preserve"> these developments that most countries are not yet prepared to address. The </w:t>
      </w:r>
      <w:r w:rsidR="00CC3D8A" w:rsidRPr="00E869A4">
        <w:rPr>
          <w:rFonts w:ascii="Times New Roman" w:hAnsi="Times New Roman" w:cs="Times New Roman"/>
          <w:szCs w:val="24"/>
        </w:rPr>
        <w:t>United Nation’s (</w:t>
      </w:r>
      <w:r w:rsidRPr="00E869A4">
        <w:rPr>
          <w:rFonts w:ascii="Times New Roman" w:hAnsi="Times New Roman" w:cs="Times New Roman"/>
          <w:szCs w:val="24"/>
        </w:rPr>
        <w:t>UN</w:t>
      </w:r>
      <w:r w:rsidR="00CC3D8A" w:rsidRPr="00E869A4">
        <w:rPr>
          <w:rFonts w:ascii="Times New Roman" w:hAnsi="Times New Roman" w:cs="Times New Roman"/>
          <w:szCs w:val="24"/>
        </w:rPr>
        <w:t>)</w:t>
      </w:r>
      <w:r w:rsidRPr="00E869A4">
        <w:rPr>
          <w:rFonts w:ascii="Times New Roman" w:hAnsi="Times New Roman" w:cs="Times New Roman"/>
          <w:szCs w:val="24"/>
        </w:rPr>
        <w:t xml:space="preserve"> publication entitled </w:t>
      </w:r>
      <w:r w:rsidRPr="00E869A4">
        <w:rPr>
          <w:rFonts w:ascii="Times New Roman" w:hAnsi="Times New Roman" w:cs="Times New Roman"/>
          <w:i/>
          <w:szCs w:val="24"/>
        </w:rPr>
        <w:t>World Population Ageing</w:t>
      </w:r>
      <w:r w:rsidRPr="00E869A4">
        <w:rPr>
          <w:rFonts w:ascii="Times New Roman" w:hAnsi="Times New Roman" w:cs="Times New Roman"/>
          <w:szCs w:val="24"/>
        </w:rPr>
        <w:t xml:space="preserve"> </w:t>
      </w:r>
      <w:r w:rsidR="002377BD" w:rsidRPr="00E869A4">
        <w:rPr>
          <w:rFonts w:ascii="Times New Roman" w:hAnsi="Times New Roman" w:cs="Times New Roman"/>
          <w:szCs w:val="24"/>
        </w:rPr>
        <w:t xml:space="preserve">(UN 2009, p. viii) </w:t>
      </w:r>
      <w:r w:rsidRPr="00E869A4">
        <w:rPr>
          <w:rFonts w:ascii="Times New Roman" w:hAnsi="Times New Roman" w:cs="Times New Roman"/>
          <w:szCs w:val="24"/>
        </w:rPr>
        <w:t>sum</w:t>
      </w:r>
      <w:r w:rsidR="008731B3" w:rsidRPr="00E869A4">
        <w:rPr>
          <w:rFonts w:ascii="Times New Roman" w:hAnsi="Times New Roman" w:cs="Times New Roman"/>
          <w:szCs w:val="24"/>
        </w:rPr>
        <w:t>med</w:t>
      </w:r>
      <w:r w:rsidRPr="00E869A4">
        <w:rPr>
          <w:rFonts w:ascii="Times New Roman" w:hAnsi="Times New Roman" w:cs="Times New Roman"/>
          <w:szCs w:val="24"/>
        </w:rPr>
        <w:t xml:space="preserve"> up these impacts as follows:</w:t>
      </w:r>
    </w:p>
    <w:p w14:paraId="12450EE8" w14:textId="77777777" w:rsidR="005A1485" w:rsidRPr="00E869A4" w:rsidRDefault="005A1485" w:rsidP="009C3332">
      <w:pPr>
        <w:autoSpaceDE w:val="0"/>
        <w:autoSpaceDN w:val="0"/>
        <w:adjustRightInd w:val="0"/>
        <w:spacing w:line="240" w:lineRule="auto"/>
        <w:ind w:left="567" w:firstLine="0"/>
        <w:rPr>
          <w:rFonts w:ascii="Times New Roman" w:hAnsi="Times New Roman" w:cs="Times New Roman"/>
          <w:szCs w:val="24"/>
        </w:rPr>
      </w:pPr>
    </w:p>
    <w:p w14:paraId="7E5992EC" w14:textId="5DA97430" w:rsidR="005C371F" w:rsidRPr="00E869A4" w:rsidRDefault="005C371F" w:rsidP="00290DC4">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In the economic</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economic</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area, population ageing will have an impact on economic growth, savings, investment, consumption, labour markets, pensions, taxation and intergenerational transfers. In the social sphere, population ageing influences family composition and living arrangements, housing demand, migration</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"migration"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trends, epidemiology and the need for healthcare services. In the political arena, population ageing may shape voting patterns and political representation</w:t>
      </w:r>
      <w:r w:rsidR="00DF401C" w:rsidRPr="00E869A4">
        <w:rPr>
          <w:rFonts w:ascii="Times New Roman" w:hAnsi="Times New Roman" w:cs="Times New Roman"/>
          <w:szCs w:val="24"/>
        </w:rPr>
        <w:t>.</w:t>
      </w:r>
    </w:p>
    <w:p w14:paraId="4D667439" w14:textId="77777777" w:rsidR="005A1485" w:rsidRPr="00E869A4" w:rsidRDefault="005A1485" w:rsidP="003E23F9">
      <w:pPr>
        <w:autoSpaceDE w:val="0"/>
        <w:autoSpaceDN w:val="0"/>
        <w:adjustRightInd w:val="0"/>
        <w:spacing w:line="240" w:lineRule="auto"/>
        <w:ind w:firstLine="720"/>
        <w:rPr>
          <w:rFonts w:ascii="Times New Roman" w:hAnsi="Times New Roman" w:cs="Times New Roman"/>
          <w:szCs w:val="24"/>
        </w:rPr>
      </w:pPr>
    </w:p>
    <w:p w14:paraId="6E859EB9" w14:textId="47D3683D" w:rsidR="005C371F" w:rsidRPr="00E869A4" w:rsidRDefault="005C371F" w:rsidP="00165F7F">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There is a tendency</w:t>
      </w:r>
      <w:r w:rsidR="00F5780E" w:rsidRPr="00E869A4">
        <w:rPr>
          <w:rFonts w:ascii="Times New Roman" w:hAnsi="Times New Roman" w:cs="Times New Roman"/>
          <w:szCs w:val="24"/>
        </w:rPr>
        <w:t>,</w:t>
      </w:r>
      <w:r w:rsidRPr="00E869A4">
        <w:rPr>
          <w:rFonts w:ascii="Times New Roman" w:hAnsi="Times New Roman" w:cs="Times New Roman"/>
          <w:szCs w:val="24"/>
        </w:rPr>
        <w:t xml:space="preserve"> however</w:t>
      </w:r>
      <w:r w:rsidR="00F5780E" w:rsidRPr="00E869A4">
        <w:rPr>
          <w:rFonts w:ascii="Times New Roman" w:hAnsi="Times New Roman" w:cs="Times New Roman"/>
          <w:szCs w:val="24"/>
        </w:rPr>
        <w:t>,</w:t>
      </w:r>
      <w:r w:rsidRPr="00E869A4">
        <w:rPr>
          <w:rFonts w:ascii="Times New Roman" w:hAnsi="Times New Roman" w:cs="Times New Roman"/>
          <w:szCs w:val="24"/>
        </w:rPr>
        <w:t xml:space="preserve"> to over-emphasi</w:t>
      </w:r>
      <w:r w:rsidR="006B3E23" w:rsidRPr="00E869A4">
        <w:rPr>
          <w:rFonts w:ascii="Times New Roman" w:hAnsi="Times New Roman" w:cs="Times New Roman"/>
          <w:szCs w:val="24"/>
        </w:rPr>
        <w:t>s</w:t>
      </w:r>
      <w:r w:rsidRPr="00E869A4">
        <w:rPr>
          <w:rFonts w:ascii="Times New Roman" w:hAnsi="Times New Roman" w:cs="Times New Roman"/>
          <w:szCs w:val="24"/>
        </w:rPr>
        <w:t>e the economic</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economic</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implications of this situation which risks the propagation of ageist biases. Thus, care must be taken to ensure that the discourse on population ageing is not skewed to its economic connotations</w:t>
      </w:r>
      <w:r w:rsidR="0064070E" w:rsidRPr="00E869A4">
        <w:rPr>
          <w:rFonts w:ascii="Times New Roman" w:hAnsi="Times New Roman" w:cs="Times New Roman"/>
          <w:szCs w:val="24"/>
        </w:rPr>
        <w:t>,</w:t>
      </w:r>
      <w:r w:rsidRPr="00E869A4">
        <w:rPr>
          <w:rFonts w:ascii="Times New Roman" w:hAnsi="Times New Roman" w:cs="Times New Roman"/>
          <w:szCs w:val="24"/>
        </w:rPr>
        <w:t xml:space="preserve"> but is also grounded in a commitment to ethical </w:t>
      </w:r>
      <w:r w:rsidR="00A022AC" w:rsidRPr="00E869A4">
        <w:rPr>
          <w:rFonts w:ascii="Times New Roman" w:hAnsi="Times New Roman" w:cs="Times New Roman"/>
          <w:szCs w:val="24"/>
        </w:rPr>
        <w:t>principles that</w:t>
      </w:r>
      <w:r w:rsidRPr="00E869A4">
        <w:rPr>
          <w:rFonts w:ascii="Times New Roman" w:hAnsi="Times New Roman" w:cs="Times New Roman"/>
          <w:szCs w:val="24"/>
        </w:rPr>
        <w:t xml:space="preserve"> promote social justice for older persons and their caregivers</w:t>
      </w:r>
      <w:r w:rsidR="002C75A4" w:rsidRPr="00E869A4">
        <w:rPr>
          <w:rFonts w:ascii="Times New Roman" w:hAnsi="Times New Roman" w:cs="Times New Roman"/>
          <w:szCs w:val="24"/>
        </w:rPr>
        <w:t xml:space="preserve"> (Jones 2015;</w:t>
      </w:r>
      <w:r w:rsidRPr="00E869A4">
        <w:rPr>
          <w:rFonts w:ascii="Times New Roman" w:hAnsi="Times New Roman" w:cs="Times New Roman"/>
          <w:szCs w:val="24"/>
        </w:rPr>
        <w:t xml:space="preserve"> </w:t>
      </w:r>
      <w:r w:rsidR="002C75A4" w:rsidRPr="00E869A4">
        <w:rPr>
          <w:rFonts w:ascii="Times New Roman" w:hAnsi="Times New Roman" w:cs="Times New Roman"/>
          <w:szCs w:val="24"/>
        </w:rPr>
        <w:t>Thorslund, Bergmark &amp; Parker 1997)</w:t>
      </w:r>
      <w:r w:rsidRPr="00E869A4">
        <w:rPr>
          <w:rFonts w:ascii="Times New Roman" w:hAnsi="Times New Roman" w:cs="Times New Roman"/>
          <w:szCs w:val="24"/>
        </w:rPr>
        <w:t xml:space="preserve">. </w:t>
      </w:r>
    </w:p>
    <w:p w14:paraId="12A08365" w14:textId="77777777" w:rsidR="00F5780E" w:rsidRPr="00E869A4" w:rsidRDefault="00F5780E" w:rsidP="00F5780E">
      <w:pPr>
        <w:autoSpaceDE w:val="0"/>
        <w:autoSpaceDN w:val="0"/>
        <w:adjustRightInd w:val="0"/>
        <w:ind w:firstLine="0"/>
        <w:rPr>
          <w:rFonts w:ascii="Times New Roman" w:hAnsi="Times New Roman" w:cs="Times New Roman"/>
          <w:szCs w:val="24"/>
        </w:rPr>
      </w:pPr>
    </w:p>
    <w:p w14:paraId="5F34C4FC" w14:textId="0B4A47DF" w:rsidR="008425C4" w:rsidRPr="00E869A4" w:rsidRDefault="006F24F7" w:rsidP="00380947">
      <w:pPr>
        <w:pStyle w:val="FootnoteText"/>
        <w:spacing w:line="360" w:lineRule="auto"/>
        <w:rPr>
          <w:rFonts w:ascii="Times New Roman" w:hAnsi="Times New Roman" w:cs="Times New Roman"/>
          <w:sz w:val="24"/>
          <w:szCs w:val="24"/>
        </w:rPr>
      </w:pPr>
      <w:r w:rsidRPr="00E869A4">
        <w:rPr>
          <w:rFonts w:ascii="Times New Roman" w:hAnsi="Times New Roman" w:cs="Times New Roman"/>
          <w:sz w:val="24"/>
          <w:szCs w:val="24"/>
        </w:rPr>
        <w:t>T&amp;T</w:t>
      </w:r>
      <w:r w:rsidR="008425C4" w:rsidRPr="00E869A4">
        <w:rPr>
          <w:rFonts w:ascii="Times New Roman" w:hAnsi="Times New Roman" w:cs="Times New Roman"/>
          <w:sz w:val="24"/>
          <w:szCs w:val="24"/>
        </w:rPr>
        <w:t xml:space="preserve"> presents a unique cultural context within which to explore ageing and familial responses to the needs of older persons. Unlike unipolar societies</w:t>
      </w:r>
      <w:r w:rsidR="008425C4" w:rsidRPr="00E869A4">
        <w:rPr>
          <w:rStyle w:val="FootnoteReference"/>
          <w:rFonts w:ascii="Times New Roman" w:hAnsi="Times New Roman" w:cs="Times New Roman"/>
          <w:sz w:val="24"/>
          <w:szCs w:val="24"/>
        </w:rPr>
        <w:footnoteReference w:id="1"/>
      </w:r>
      <w:r w:rsidR="008425C4" w:rsidRPr="00E869A4">
        <w:rPr>
          <w:rFonts w:ascii="Times New Roman" w:hAnsi="Times New Roman" w:cs="Times New Roman"/>
          <w:sz w:val="24"/>
          <w:szCs w:val="24"/>
        </w:rPr>
        <w:t xml:space="preserve"> such as the </w:t>
      </w:r>
      <w:r w:rsidR="005715DD" w:rsidRPr="00E869A4">
        <w:rPr>
          <w:rFonts w:ascii="Times New Roman" w:hAnsi="Times New Roman" w:cs="Times New Roman"/>
          <w:sz w:val="24"/>
          <w:szCs w:val="24"/>
        </w:rPr>
        <w:t>UK</w:t>
      </w:r>
      <w:r w:rsidR="0064070E" w:rsidRPr="00E869A4">
        <w:rPr>
          <w:rFonts w:ascii="Times New Roman" w:hAnsi="Times New Roman" w:cs="Times New Roman"/>
          <w:sz w:val="24"/>
          <w:szCs w:val="24"/>
        </w:rPr>
        <w:t>,</w:t>
      </w:r>
      <w:r w:rsidR="008425C4" w:rsidRPr="00E869A4">
        <w:rPr>
          <w:rFonts w:ascii="Times New Roman" w:hAnsi="Times New Roman" w:cs="Times New Roman"/>
          <w:sz w:val="24"/>
          <w:szCs w:val="24"/>
        </w:rPr>
        <w:t xml:space="preserve"> and other OECD</w:t>
      </w:r>
      <w:r w:rsidR="00D41C8E" w:rsidRPr="00E869A4">
        <w:rPr>
          <w:rFonts w:ascii="Times New Roman" w:hAnsi="Times New Roman" w:cs="Times New Roman"/>
          <w:sz w:val="24"/>
          <w:szCs w:val="24"/>
        </w:rPr>
        <w:fldChar w:fldCharType="begin"/>
      </w:r>
      <w:r w:rsidR="008425C4" w:rsidRPr="00E869A4">
        <w:rPr>
          <w:rFonts w:ascii="Times New Roman" w:hAnsi="Times New Roman" w:cs="Times New Roman"/>
        </w:rPr>
        <w:instrText xml:space="preserve"> XE "</w:instrText>
      </w:r>
      <w:r w:rsidR="008425C4" w:rsidRPr="00E869A4">
        <w:rPr>
          <w:rFonts w:ascii="Times New Roman" w:hAnsi="Times New Roman" w:cs="Times New Roman"/>
          <w:sz w:val="24"/>
        </w:rPr>
        <w:instrText>OECD</w:instrText>
      </w:r>
      <w:r w:rsidR="008425C4" w:rsidRPr="00E869A4">
        <w:rPr>
          <w:rFonts w:ascii="Times New Roman" w:hAnsi="Times New Roman" w:cs="Times New Roman"/>
        </w:rPr>
        <w:instrText xml:space="preserve">" </w:instrText>
      </w:r>
      <w:r w:rsidR="00D41C8E" w:rsidRPr="00E869A4">
        <w:rPr>
          <w:rFonts w:ascii="Times New Roman" w:hAnsi="Times New Roman" w:cs="Times New Roman"/>
          <w:sz w:val="24"/>
          <w:szCs w:val="24"/>
        </w:rPr>
        <w:fldChar w:fldCharType="end"/>
      </w:r>
      <w:r w:rsidR="008425C4" w:rsidRPr="00E869A4">
        <w:rPr>
          <w:rFonts w:ascii="Times New Roman" w:hAnsi="Times New Roman" w:cs="Times New Roman"/>
          <w:sz w:val="24"/>
          <w:szCs w:val="24"/>
        </w:rPr>
        <w:t xml:space="preserve"> countries like France, Japan and Australia, Trinidad has a bi-polar ethnic</w:t>
      </w:r>
      <w:r w:rsidR="00D41C8E" w:rsidRPr="00E869A4">
        <w:rPr>
          <w:rFonts w:ascii="Times New Roman" w:hAnsi="Times New Roman" w:cs="Times New Roman"/>
          <w:sz w:val="24"/>
          <w:szCs w:val="24"/>
        </w:rPr>
        <w:fldChar w:fldCharType="begin"/>
      </w:r>
      <w:r w:rsidR="008425C4" w:rsidRPr="00E869A4">
        <w:rPr>
          <w:rFonts w:ascii="Times New Roman" w:hAnsi="Times New Roman" w:cs="Times New Roman"/>
        </w:rPr>
        <w:instrText xml:space="preserve"> XE "</w:instrText>
      </w:r>
      <w:r w:rsidR="008425C4" w:rsidRPr="00E869A4">
        <w:rPr>
          <w:rFonts w:ascii="Times New Roman" w:hAnsi="Times New Roman" w:cs="Times New Roman"/>
          <w:sz w:val="24"/>
          <w:szCs w:val="24"/>
        </w:rPr>
        <w:instrText>ethnic</w:instrText>
      </w:r>
      <w:r w:rsidR="008425C4" w:rsidRPr="00E869A4">
        <w:rPr>
          <w:rFonts w:ascii="Times New Roman" w:hAnsi="Times New Roman" w:cs="Times New Roman"/>
        </w:rPr>
        <w:instrText xml:space="preserve">" </w:instrText>
      </w:r>
      <w:r w:rsidR="00D41C8E" w:rsidRPr="00E869A4">
        <w:rPr>
          <w:rFonts w:ascii="Times New Roman" w:hAnsi="Times New Roman" w:cs="Times New Roman"/>
          <w:sz w:val="24"/>
          <w:szCs w:val="24"/>
        </w:rPr>
        <w:fldChar w:fldCharType="end"/>
      </w:r>
      <w:r w:rsidR="008425C4" w:rsidRPr="00E869A4">
        <w:rPr>
          <w:rFonts w:ascii="Times New Roman" w:hAnsi="Times New Roman" w:cs="Times New Roman"/>
          <w:sz w:val="24"/>
          <w:szCs w:val="24"/>
        </w:rPr>
        <w:t xml:space="preserve"> structure with predominantly two roughly equal groups </w:t>
      </w:r>
      <w:r w:rsidR="00A829BF" w:rsidRPr="00E869A4">
        <w:rPr>
          <w:rFonts w:ascii="Times New Roman" w:hAnsi="Times New Roman" w:cs="Times New Roman"/>
          <w:sz w:val="24"/>
          <w:szCs w:val="24"/>
        </w:rPr>
        <w:lastRenderedPageBreak/>
        <w:t>(Bangura 2005)</w:t>
      </w:r>
      <w:r w:rsidR="008425C4" w:rsidRPr="00E869A4">
        <w:rPr>
          <w:rStyle w:val="FootnoteReference"/>
          <w:rFonts w:ascii="Times New Roman" w:hAnsi="Times New Roman" w:cs="Times New Roman"/>
          <w:i/>
          <w:sz w:val="24"/>
          <w:szCs w:val="24"/>
        </w:rPr>
        <w:footnoteReference w:id="2"/>
      </w:r>
      <w:r w:rsidR="008425C4" w:rsidRPr="00E869A4">
        <w:rPr>
          <w:rFonts w:ascii="Times New Roman" w:hAnsi="Times New Roman" w:cs="Times New Roman"/>
          <w:sz w:val="24"/>
          <w:szCs w:val="24"/>
        </w:rPr>
        <w:t>. The population is mainly comprised of African-Trinidadians (34.2%) and Indian-Trinidadians (35.4%). Persons of mixed ethnic background make up 22.8% of the population, and a minority describe their ethnic background as Chinese (0.3%), Caucasian (0.6%), Portuguese (0.1%) and Syrian/Lebanese (0.1%). Tobago, the smaller of the two islands</w:t>
      </w:r>
      <w:r w:rsidR="00602113" w:rsidRPr="00E869A4">
        <w:rPr>
          <w:rFonts w:ascii="Times New Roman" w:hAnsi="Times New Roman" w:cs="Times New Roman"/>
          <w:sz w:val="24"/>
          <w:szCs w:val="24"/>
        </w:rPr>
        <w:t>,</w:t>
      </w:r>
      <w:r w:rsidR="008425C4" w:rsidRPr="00E869A4">
        <w:rPr>
          <w:rFonts w:ascii="Times New Roman" w:hAnsi="Times New Roman" w:cs="Times New Roman"/>
          <w:sz w:val="24"/>
          <w:szCs w:val="24"/>
        </w:rPr>
        <w:t xml:space="preserve"> is home to only 5% of the total population</w:t>
      </w:r>
      <w:r w:rsidR="001E714C" w:rsidRPr="00E869A4">
        <w:rPr>
          <w:rFonts w:ascii="Times New Roman" w:hAnsi="Times New Roman" w:cs="Times New Roman"/>
          <w:sz w:val="24"/>
          <w:szCs w:val="24"/>
        </w:rPr>
        <w:t xml:space="preserve"> (GORTT 2012)</w:t>
      </w:r>
      <w:r w:rsidR="008425C4" w:rsidRPr="00E869A4">
        <w:rPr>
          <w:rFonts w:ascii="Times New Roman" w:hAnsi="Times New Roman" w:cs="Times New Roman"/>
          <w:sz w:val="24"/>
          <w:szCs w:val="24"/>
        </w:rPr>
        <w:t>. Most persons living on the island are of African</w:t>
      </w:r>
      <w:r w:rsidR="00D41C8E" w:rsidRPr="00E869A4">
        <w:rPr>
          <w:rFonts w:ascii="Times New Roman" w:hAnsi="Times New Roman" w:cs="Times New Roman"/>
          <w:sz w:val="24"/>
          <w:szCs w:val="24"/>
        </w:rPr>
        <w:fldChar w:fldCharType="begin"/>
      </w:r>
      <w:r w:rsidR="008425C4" w:rsidRPr="00E869A4">
        <w:rPr>
          <w:rFonts w:ascii="Times New Roman" w:hAnsi="Times New Roman" w:cs="Times New Roman"/>
        </w:rPr>
        <w:instrText xml:space="preserve"> XE "</w:instrText>
      </w:r>
      <w:r w:rsidR="008425C4" w:rsidRPr="00E869A4">
        <w:rPr>
          <w:rFonts w:ascii="Times New Roman" w:hAnsi="Times New Roman" w:cs="Times New Roman"/>
          <w:sz w:val="24"/>
          <w:szCs w:val="24"/>
        </w:rPr>
        <w:instrText>African</w:instrText>
      </w:r>
      <w:r w:rsidR="008425C4" w:rsidRPr="00E869A4">
        <w:rPr>
          <w:rFonts w:ascii="Times New Roman" w:hAnsi="Times New Roman" w:cs="Times New Roman"/>
        </w:rPr>
        <w:instrText xml:space="preserve">" </w:instrText>
      </w:r>
      <w:r w:rsidR="00D41C8E" w:rsidRPr="00E869A4">
        <w:rPr>
          <w:rFonts w:ascii="Times New Roman" w:hAnsi="Times New Roman" w:cs="Times New Roman"/>
          <w:sz w:val="24"/>
          <w:szCs w:val="24"/>
        </w:rPr>
        <w:fldChar w:fldCharType="end"/>
      </w:r>
      <w:r w:rsidR="008425C4" w:rsidRPr="00E869A4">
        <w:rPr>
          <w:rFonts w:ascii="Times New Roman" w:hAnsi="Times New Roman" w:cs="Times New Roman"/>
          <w:sz w:val="24"/>
          <w:szCs w:val="24"/>
        </w:rPr>
        <w:t xml:space="preserve"> descent. </w:t>
      </w:r>
    </w:p>
    <w:p w14:paraId="57BB6297" w14:textId="77777777" w:rsidR="00FB1A97" w:rsidRPr="00E869A4" w:rsidRDefault="00FB1A97" w:rsidP="00113EEA">
      <w:pPr>
        <w:rPr>
          <w:rFonts w:ascii="Times New Roman" w:hAnsi="Times New Roman" w:cs="Times New Roman"/>
          <w:szCs w:val="24"/>
        </w:rPr>
      </w:pPr>
    </w:p>
    <w:p w14:paraId="2922167F" w14:textId="531149C5" w:rsidR="008425C4" w:rsidRPr="00E869A4" w:rsidRDefault="008425C4" w:rsidP="00A55BA9">
      <w:pPr>
        <w:rPr>
          <w:rFonts w:ascii="Times New Roman" w:hAnsi="Times New Roman" w:cs="Times New Roman"/>
          <w:szCs w:val="24"/>
        </w:rPr>
      </w:pPr>
      <w:r w:rsidRPr="00E869A4">
        <w:rPr>
          <w:rFonts w:ascii="Times New Roman" w:hAnsi="Times New Roman" w:cs="Times New Roman"/>
          <w:szCs w:val="24"/>
        </w:rPr>
        <w:t xml:space="preserve">Another key distinguishing feature of this study is its focus on physically frail older persons. </w:t>
      </w:r>
      <w:r w:rsidR="003F5DB3" w:rsidRPr="00E869A4">
        <w:rPr>
          <w:rFonts w:ascii="Times New Roman" w:hAnsi="Times New Roman" w:cs="Times New Roman"/>
          <w:szCs w:val="24"/>
        </w:rPr>
        <w:t xml:space="preserve">Daniels </w:t>
      </w:r>
      <w:r w:rsidR="00602113" w:rsidRPr="00E869A4">
        <w:rPr>
          <w:rFonts w:ascii="Times New Roman" w:hAnsi="Times New Roman" w:cs="Times New Roman"/>
          <w:szCs w:val="24"/>
        </w:rPr>
        <w:t>and colleagues</w:t>
      </w:r>
      <w:r w:rsidR="003F5DB3" w:rsidRPr="00E869A4">
        <w:rPr>
          <w:rFonts w:ascii="Times New Roman" w:hAnsi="Times New Roman" w:cs="Times New Roman"/>
          <w:szCs w:val="24"/>
        </w:rPr>
        <w:t xml:space="preserve"> n</w:t>
      </w:r>
      <w:r w:rsidR="001E714C" w:rsidRPr="00E869A4">
        <w:rPr>
          <w:rFonts w:ascii="Times New Roman" w:hAnsi="Times New Roman" w:cs="Times New Roman"/>
          <w:szCs w:val="24"/>
        </w:rPr>
        <w:t>ote</w:t>
      </w:r>
      <w:r w:rsidR="00520B2F" w:rsidRPr="00E869A4">
        <w:rPr>
          <w:rFonts w:ascii="Times New Roman" w:hAnsi="Times New Roman" w:cs="Times New Roman"/>
          <w:szCs w:val="24"/>
        </w:rPr>
        <w:t>d</w:t>
      </w:r>
      <w:r w:rsidR="001E714C" w:rsidRPr="00E869A4">
        <w:rPr>
          <w:rFonts w:ascii="Times New Roman" w:hAnsi="Times New Roman" w:cs="Times New Roman"/>
          <w:szCs w:val="24"/>
        </w:rPr>
        <w:t xml:space="preserve"> that frail older persons</w:t>
      </w:r>
      <w:r w:rsidR="008731B3" w:rsidRPr="00E869A4">
        <w:rPr>
          <w:rFonts w:ascii="Times New Roman" w:hAnsi="Times New Roman" w:cs="Times New Roman"/>
          <w:szCs w:val="24"/>
        </w:rPr>
        <w:t xml:space="preserve"> </w:t>
      </w:r>
      <w:r w:rsidR="00654590" w:rsidRPr="00E869A4">
        <w:rPr>
          <w:rFonts w:ascii="Times New Roman" w:hAnsi="Times New Roman" w:cs="Times New Roman"/>
          <w:szCs w:val="24"/>
        </w:rPr>
        <w:t>“</w:t>
      </w:r>
      <w:r w:rsidRPr="00E869A4">
        <w:rPr>
          <w:rFonts w:ascii="Times New Roman" w:hAnsi="Times New Roman" w:cs="Times New Roman"/>
          <w:szCs w:val="24"/>
        </w:rPr>
        <w:t xml:space="preserve">are at much higher risk of disabilities, hospitalization, </w:t>
      </w:r>
      <w:r w:rsidR="00AD0CE0" w:rsidRPr="00E869A4">
        <w:rPr>
          <w:rFonts w:ascii="Times New Roman" w:hAnsi="Times New Roman" w:cs="Times New Roman"/>
          <w:szCs w:val="24"/>
        </w:rPr>
        <w:t>institutionalisation</w:t>
      </w:r>
      <w:r w:rsidRPr="00E869A4">
        <w:rPr>
          <w:rFonts w:ascii="Times New Roman" w:hAnsi="Times New Roman" w:cs="Times New Roman"/>
          <w:szCs w:val="24"/>
        </w:rPr>
        <w:t>, and death</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"death"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compared with their age-matched non-frail counterparts</w:t>
      </w:r>
      <w:r w:rsidR="00E82B4C" w:rsidRPr="00E869A4">
        <w:rPr>
          <w:rFonts w:ascii="Times New Roman" w:hAnsi="Times New Roman" w:cs="Times New Roman"/>
          <w:szCs w:val="24"/>
        </w:rPr>
        <w:t>.</w:t>
      </w:r>
      <w:r w:rsidR="00654590" w:rsidRPr="00E869A4">
        <w:rPr>
          <w:rFonts w:ascii="Times New Roman" w:hAnsi="Times New Roman" w:cs="Times New Roman"/>
          <w:szCs w:val="24"/>
        </w:rPr>
        <w:t>”</w:t>
      </w:r>
      <w:r w:rsidR="008F2122" w:rsidRPr="00E869A4">
        <w:rPr>
          <w:rFonts w:ascii="Times New Roman" w:hAnsi="Times New Roman" w:cs="Times New Roman"/>
          <w:szCs w:val="24"/>
        </w:rPr>
        <w:t xml:space="preserve"> (Daniels et al. 2010, p. 37) </w:t>
      </w:r>
      <w:r w:rsidR="008731B3" w:rsidRPr="00E869A4">
        <w:rPr>
          <w:rFonts w:ascii="Times New Roman" w:hAnsi="Times New Roman" w:cs="Times New Roman"/>
          <w:szCs w:val="24"/>
        </w:rPr>
        <w:t xml:space="preserve"> </w:t>
      </w:r>
      <w:r w:rsidRPr="00E869A4">
        <w:rPr>
          <w:rFonts w:ascii="Times New Roman" w:hAnsi="Times New Roman" w:cs="Times New Roman"/>
          <w:szCs w:val="24"/>
        </w:rPr>
        <w:t xml:space="preserve">There is also research </w:t>
      </w:r>
      <w:r w:rsidR="00A022AC" w:rsidRPr="00E869A4">
        <w:rPr>
          <w:rFonts w:ascii="Times New Roman" w:hAnsi="Times New Roman" w:cs="Times New Roman"/>
          <w:szCs w:val="24"/>
        </w:rPr>
        <w:t>evidence that</w:t>
      </w:r>
      <w:r w:rsidRPr="00E869A4">
        <w:rPr>
          <w:rFonts w:ascii="Times New Roman" w:hAnsi="Times New Roman" w:cs="Times New Roman"/>
          <w:szCs w:val="24"/>
        </w:rPr>
        <w:t xml:space="preserve"> demonstrate</w:t>
      </w:r>
      <w:r w:rsidR="008731B3" w:rsidRPr="00E869A4">
        <w:rPr>
          <w:rFonts w:ascii="Times New Roman" w:hAnsi="Times New Roman" w:cs="Times New Roman"/>
          <w:szCs w:val="24"/>
        </w:rPr>
        <w:t>d</w:t>
      </w:r>
      <w:r w:rsidRPr="00E869A4">
        <w:rPr>
          <w:rFonts w:ascii="Times New Roman" w:hAnsi="Times New Roman" w:cs="Times New Roman"/>
          <w:szCs w:val="24"/>
        </w:rPr>
        <w:t xml:space="preserve"> that </w:t>
      </w:r>
      <w:r w:rsidR="00654590" w:rsidRPr="00E869A4">
        <w:rPr>
          <w:rFonts w:ascii="Times New Roman" w:hAnsi="Times New Roman" w:cs="Times New Roman"/>
          <w:szCs w:val="24"/>
        </w:rPr>
        <w:t>“</w:t>
      </w:r>
      <w:r w:rsidRPr="00E869A4">
        <w:rPr>
          <w:rFonts w:ascii="Times New Roman" w:hAnsi="Times New Roman" w:cs="Times New Roman"/>
          <w:szCs w:val="24"/>
        </w:rPr>
        <w:t>the degree of frailty is a good predictor or selection criterion for treatment or intervention</w:t>
      </w:r>
      <w:r w:rsidR="00E82B4C" w:rsidRPr="00E869A4">
        <w:rPr>
          <w:rFonts w:ascii="Times New Roman" w:hAnsi="Times New Roman" w:cs="Times New Roman"/>
          <w:szCs w:val="24"/>
        </w:rPr>
        <w:t>.</w:t>
      </w:r>
      <w:r w:rsidR="00654590" w:rsidRPr="00E869A4">
        <w:rPr>
          <w:rFonts w:ascii="Times New Roman" w:hAnsi="Times New Roman" w:cs="Times New Roman"/>
          <w:szCs w:val="24"/>
        </w:rPr>
        <w:t>”</w:t>
      </w:r>
      <w:r w:rsidRPr="00E869A4">
        <w:rPr>
          <w:rFonts w:ascii="Times New Roman" w:hAnsi="Times New Roman" w:cs="Times New Roman"/>
          <w:szCs w:val="24"/>
        </w:rPr>
        <w:t xml:space="preserve"> </w:t>
      </w:r>
      <w:r w:rsidR="006D586D" w:rsidRPr="00E869A4">
        <w:rPr>
          <w:rFonts w:ascii="Times New Roman" w:hAnsi="Times New Roman" w:cs="Times New Roman"/>
          <w:szCs w:val="24"/>
        </w:rPr>
        <w:t>(Gobbens et al. 2010</w:t>
      </w:r>
      <w:r w:rsidR="004B2376" w:rsidRPr="00E869A4">
        <w:rPr>
          <w:rFonts w:ascii="Times New Roman" w:hAnsi="Times New Roman" w:cs="Times New Roman"/>
          <w:szCs w:val="24"/>
        </w:rPr>
        <w:t>, p. 25</w:t>
      </w:r>
      <w:r w:rsidR="006D586D" w:rsidRPr="00E869A4">
        <w:rPr>
          <w:rFonts w:ascii="Times New Roman" w:hAnsi="Times New Roman" w:cs="Times New Roman"/>
          <w:szCs w:val="24"/>
        </w:rPr>
        <w:t>)</w:t>
      </w:r>
      <w:r w:rsidR="008731B3" w:rsidRPr="00E869A4">
        <w:rPr>
          <w:rFonts w:ascii="Times New Roman" w:hAnsi="Times New Roman" w:cs="Times New Roman"/>
          <w:szCs w:val="24"/>
        </w:rPr>
        <w:t>.</w:t>
      </w:r>
      <w:r w:rsidR="00A55BA9" w:rsidRPr="00E869A4">
        <w:rPr>
          <w:rFonts w:ascii="Times New Roman" w:hAnsi="Times New Roman" w:cs="Times New Roman"/>
          <w:szCs w:val="24"/>
        </w:rPr>
        <w:t xml:space="preserve"> T</w:t>
      </w:r>
      <w:r w:rsidR="00A829BF" w:rsidRPr="00E869A4">
        <w:rPr>
          <w:rFonts w:ascii="Times New Roman" w:hAnsi="Times New Roman" w:cs="Times New Roman"/>
          <w:szCs w:val="24"/>
        </w:rPr>
        <w:t xml:space="preserve">hus, it is critical </w:t>
      </w:r>
      <w:r w:rsidRPr="00E869A4">
        <w:rPr>
          <w:rFonts w:ascii="Times New Roman" w:hAnsi="Times New Roman" w:cs="Times New Roman"/>
          <w:szCs w:val="24"/>
        </w:rPr>
        <w:t>that social policymakers pay particular attention to the support needs</w:t>
      </w:r>
      <w:r w:rsidR="00A829BF" w:rsidRPr="00E869A4">
        <w:rPr>
          <w:rFonts w:ascii="Times New Roman" w:hAnsi="Times New Roman" w:cs="Times New Roman"/>
          <w:szCs w:val="24"/>
        </w:rPr>
        <w:t xml:space="preserve"> of this group and their car</w:t>
      </w:r>
      <w:r w:rsidRPr="00E869A4">
        <w:rPr>
          <w:rFonts w:ascii="Times New Roman" w:hAnsi="Times New Roman" w:cs="Times New Roman"/>
          <w:szCs w:val="24"/>
        </w:rPr>
        <w:t>ers</w:t>
      </w:r>
      <w:r w:rsidR="00D61A44" w:rsidRPr="00E869A4">
        <w:rPr>
          <w:rFonts w:ascii="Times New Roman" w:hAnsi="Times New Roman" w:cs="Times New Roman"/>
          <w:szCs w:val="24"/>
        </w:rPr>
        <w:t xml:space="preserve"> (Puts et al. 2009)</w:t>
      </w:r>
      <w:r w:rsidRPr="00E869A4">
        <w:rPr>
          <w:rFonts w:ascii="Times New Roman" w:hAnsi="Times New Roman" w:cs="Times New Roman"/>
          <w:szCs w:val="24"/>
        </w:rPr>
        <w:t xml:space="preserve">. </w:t>
      </w:r>
      <w:r w:rsidR="00A55BA9" w:rsidRPr="00E869A4">
        <w:rPr>
          <w:rFonts w:ascii="Times New Roman" w:hAnsi="Times New Roman" w:cs="Times New Roman"/>
          <w:szCs w:val="24"/>
        </w:rPr>
        <w:t xml:space="preserve"> </w:t>
      </w:r>
      <w:r w:rsidR="00A829BF" w:rsidRPr="00E869A4">
        <w:rPr>
          <w:rFonts w:ascii="Times New Roman" w:hAnsi="Times New Roman" w:cs="Times New Roman"/>
          <w:szCs w:val="24"/>
        </w:rPr>
        <w:t>Furthermore</w:t>
      </w:r>
      <w:r w:rsidRPr="00E869A4">
        <w:rPr>
          <w:rFonts w:ascii="Times New Roman" w:hAnsi="Times New Roman" w:cs="Times New Roman"/>
          <w:szCs w:val="24"/>
        </w:rPr>
        <w:t xml:space="preserve">, research on frail older persons has </w:t>
      </w:r>
      <w:r w:rsidR="00A829BF" w:rsidRPr="00E869A4">
        <w:rPr>
          <w:rFonts w:ascii="Times New Roman" w:hAnsi="Times New Roman" w:cs="Times New Roman"/>
          <w:szCs w:val="24"/>
        </w:rPr>
        <w:t>given greater attention to</w:t>
      </w:r>
      <w:r w:rsidRPr="00E869A4">
        <w:rPr>
          <w:rFonts w:ascii="Times New Roman" w:hAnsi="Times New Roman" w:cs="Times New Roman"/>
          <w:szCs w:val="24"/>
        </w:rPr>
        <w:t xml:space="preserve"> cognitively impaired elders rather than the physically frail (Rose et al. 2007). However, it is not easy to uncouple physical frailty and cognitive </w:t>
      </w:r>
      <w:r w:rsidR="00A022AC" w:rsidRPr="00E869A4">
        <w:rPr>
          <w:rFonts w:ascii="Times New Roman" w:hAnsi="Times New Roman" w:cs="Times New Roman"/>
          <w:szCs w:val="24"/>
        </w:rPr>
        <w:t>impairment that</w:t>
      </w:r>
      <w:r w:rsidRPr="00E869A4">
        <w:rPr>
          <w:rFonts w:ascii="Times New Roman" w:hAnsi="Times New Roman" w:cs="Times New Roman"/>
          <w:szCs w:val="24"/>
        </w:rPr>
        <w:t xml:space="preserve"> often co-exist in later life. The needs of physically and cognitively frail older persons must be better understood if they are to receive optimal support (Whitlatch 2008).</w:t>
      </w:r>
      <w:r w:rsidR="00A829BF" w:rsidRPr="00E869A4">
        <w:rPr>
          <w:rFonts w:ascii="Times New Roman" w:hAnsi="Times New Roman" w:cs="Times New Roman"/>
          <w:szCs w:val="24"/>
        </w:rPr>
        <w:t xml:space="preserve"> This study gives primary attention to understanding the family care experience of physically frail older people</w:t>
      </w:r>
      <w:r w:rsidR="00602113" w:rsidRPr="00E869A4">
        <w:rPr>
          <w:rFonts w:ascii="Times New Roman" w:hAnsi="Times New Roman" w:cs="Times New Roman"/>
          <w:szCs w:val="24"/>
        </w:rPr>
        <w:t>,</w:t>
      </w:r>
      <w:r w:rsidR="00A829BF" w:rsidRPr="00E869A4">
        <w:rPr>
          <w:rFonts w:ascii="Times New Roman" w:hAnsi="Times New Roman" w:cs="Times New Roman"/>
          <w:szCs w:val="24"/>
        </w:rPr>
        <w:t xml:space="preserve"> but inadvertently </w:t>
      </w:r>
      <w:r w:rsidR="00867DB4" w:rsidRPr="00E869A4">
        <w:rPr>
          <w:rFonts w:ascii="Times New Roman" w:hAnsi="Times New Roman" w:cs="Times New Roman"/>
          <w:szCs w:val="24"/>
        </w:rPr>
        <w:t>considers (</w:t>
      </w:r>
      <w:r w:rsidR="00275FFE" w:rsidRPr="00E869A4">
        <w:rPr>
          <w:rFonts w:ascii="Times New Roman" w:hAnsi="Times New Roman" w:cs="Times New Roman"/>
          <w:szCs w:val="24"/>
        </w:rPr>
        <w:t>albeit</w:t>
      </w:r>
      <w:r w:rsidR="00867DB4" w:rsidRPr="00E869A4">
        <w:rPr>
          <w:rFonts w:ascii="Times New Roman" w:hAnsi="Times New Roman" w:cs="Times New Roman"/>
          <w:szCs w:val="24"/>
        </w:rPr>
        <w:t xml:space="preserve"> indirectly) some of the issues affecting the</w:t>
      </w:r>
      <w:r w:rsidR="00A829BF" w:rsidRPr="00E869A4">
        <w:rPr>
          <w:rFonts w:ascii="Times New Roman" w:hAnsi="Times New Roman" w:cs="Times New Roman"/>
          <w:szCs w:val="24"/>
        </w:rPr>
        <w:t xml:space="preserve"> cognitively frail, given the overlaps and ‘coupling’ that occurs in practice. </w:t>
      </w:r>
    </w:p>
    <w:p w14:paraId="71163231" w14:textId="77777777" w:rsidR="00113EEA" w:rsidRPr="00E869A4" w:rsidRDefault="00113EEA" w:rsidP="00D61A44">
      <w:pPr>
        <w:ind w:firstLine="720"/>
        <w:rPr>
          <w:rFonts w:ascii="Times New Roman" w:hAnsi="Times New Roman" w:cs="Times New Roman"/>
          <w:szCs w:val="24"/>
        </w:rPr>
      </w:pPr>
    </w:p>
    <w:p w14:paraId="2F37FCE8" w14:textId="28B9F322" w:rsidR="00867DB4" w:rsidRPr="00E869A4" w:rsidRDefault="00701C02">
      <w:pPr>
        <w:rPr>
          <w:rFonts w:ascii="Times New Roman" w:hAnsi="Times New Roman" w:cs="Times New Roman"/>
          <w:szCs w:val="24"/>
        </w:rPr>
      </w:pPr>
      <w:r w:rsidRPr="00E869A4">
        <w:rPr>
          <w:rFonts w:ascii="Times New Roman" w:hAnsi="Times New Roman" w:cs="Times New Roman"/>
          <w:szCs w:val="24"/>
        </w:rPr>
        <w:t xml:space="preserve">To date, there continues to be a dearth of research on family care for older persons in </w:t>
      </w:r>
      <w:r w:rsidR="009A22BC" w:rsidRPr="00E869A4">
        <w:rPr>
          <w:rFonts w:ascii="Times New Roman" w:hAnsi="Times New Roman" w:cs="Times New Roman"/>
          <w:szCs w:val="24"/>
        </w:rPr>
        <w:t>T&amp;T</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Tobago</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00D61A44" w:rsidRPr="00E869A4">
        <w:rPr>
          <w:rFonts w:ascii="Times New Roman" w:hAnsi="Times New Roman" w:cs="Times New Roman"/>
          <w:szCs w:val="24"/>
        </w:rPr>
        <w:t>. Alt</w:t>
      </w:r>
      <w:r w:rsidRPr="00E869A4">
        <w:rPr>
          <w:rFonts w:ascii="Times New Roman" w:hAnsi="Times New Roman" w:cs="Times New Roman"/>
          <w:szCs w:val="24"/>
        </w:rPr>
        <w:t xml:space="preserve">hough research </w:t>
      </w:r>
      <w:r w:rsidR="00520B2F" w:rsidRPr="00E869A4">
        <w:rPr>
          <w:rFonts w:ascii="Times New Roman" w:hAnsi="Times New Roman" w:cs="Times New Roman"/>
          <w:szCs w:val="24"/>
        </w:rPr>
        <w:t>was</w:t>
      </w:r>
      <w:r w:rsidRPr="00E869A4">
        <w:rPr>
          <w:rFonts w:ascii="Times New Roman" w:hAnsi="Times New Roman" w:cs="Times New Roman"/>
          <w:szCs w:val="24"/>
        </w:rPr>
        <w:t xml:space="preserve"> conducted on Latin American countries and other island nations such as Barbados and Jamaica, a considerable proportion of this is situated within the medical and health</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health</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00275FFE" w:rsidRPr="00E869A4">
        <w:rPr>
          <w:rFonts w:ascii="Times New Roman" w:hAnsi="Times New Roman" w:cs="Times New Roman"/>
          <w:szCs w:val="24"/>
        </w:rPr>
        <w:t xml:space="preserve"> </w:t>
      </w:r>
      <w:r w:rsidRPr="00E869A4">
        <w:rPr>
          <w:rFonts w:ascii="Times New Roman" w:hAnsi="Times New Roman" w:cs="Times New Roman"/>
          <w:szCs w:val="24"/>
        </w:rPr>
        <w:t xml:space="preserve">care domain. </w:t>
      </w:r>
      <w:r w:rsidR="00A022AC" w:rsidRPr="00E869A4">
        <w:rPr>
          <w:rFonts w:ascii="Times New Roman" w:hAnsi="Times New Roman" w:cs="Times New Roman"/>
          <w:szCs w:val="24"/>
        </w:rPr>
        <w:t xml:space="preserve">Researchers such as Rawlins (2010, 2008, 2002, 2001 and 1999) have made significant contributions to help fill the gap in research on </w:t>
      </w:r>
      <w:r w:rsidR="009A22BC" w:rsidRPr="00E869A4">
        <w:rPr>
          <w:rFonts w:ascii="Times New Roman" w:hAnsi="Times New Roman" w:cs="Times New Roman"/>
          <w:szCs w:val="24"/>
        </w:rPr>
        <w:t>T&amp;T</w:t>
      </w:r>
      <w:r w:rsidR="00A022AC" w:rsidRPr="00E869A4">
        <w:rPr>
          <w:rFonts w:ascii="Times New Roman" w:hAnsi="Times New Roman" w:cs="Times New Roman"/>
          <w:szCs w:val="24"/>
        </w:rPr>
        <w:t xml:space="preserve"> specifically. However, extensive areas of the research terrain remain unexplored.</w:t>
      </w:r>
      <w:r w:rsidR="00A55BA9" w:rsidRPr="00E869A4">
        <w:rPr>
          <w:rFonts w:ascii="Times New Roman" w:hAnsi="Times New Roman" w:cs="Times New Roman"/>
          <w:szCs w:val="24"/>
        </w:rPr>
        <w:t xml:space="preserve"> </w:t>
      </w:r>
    </w:p>
    <w:p w14:paraId="45356A11" w14:textId="77777777" w:rsidR="0014298E" w:rsidRPr="00E869A4" w:rsidRDefault="0014298E">
      <w:pPr>
        <w:rPr>
          <w:rFonts w:ascii="Times New Roman" w:eastAsiaTheme="majorEastAsia" w:hAnsi="Times New Roman" w:cs="Times New Roman"/>
          <w:b/>
          <w:bCs/>
          <w:szCs w:val="26"/>
          <w:u w:val="single"/>
        </w:rPr>
      </w:pPr>
      <w:r w:rsidRPr="00E869A4">
        <w:br w:type="page"/>
      </w:r>
    </w:p>
    <w:p w14:paraId="4881A01D" w14:textId="755B28B4" w:rsidR="003C4FAA" w:rsidRPr="00E869A4" w:rsidRDefault="0062774C" w:rsidP="00175C3E">
      <w:pPr>
        <w:pStyle w:val="Heading2"/>
      </w:pPr>
      <w:bookmarkStart w:id="14" w:name="_Toc40436448"/>
      <w:r w:rsidRPr="00E869A4">
        <w:lastRenderedPageBreak/>
        <w:t>1.</w:t>
      </w:r>
      <w:r w:rsidR="000201A8" w:rsidRPr="00E869A4">
        <w:t>2</w:t>
      </w:r>
      <w:r w:rsidR="00155DF3" w:rsidRPr="00E869A4">
        <w:t xml:space="preserve"> </w:t>
      </w:r>
      <w:r w:rsidR="00341F22" w:rsidRPr="00E869A4">
        <w:t>BACKGROUND</w:t>
      </w:r>
      <w:bookmarkStart w:id="15" w:name="_Toc510463205"/>
      <w:bookmarkStart w:id="16" w:name="_Toc510463401"/>
      <w:bookmarkStart w:id="17" w:name="_Toc510463597"/>
      <w:bookmarkStart w:id="18" w:name="_Toc492584165"/>
      <w:bookmarkStart w:id="19" w:name="_Toc510469568"/>
      <w:bookmarkEnd w:id="14"/>
      <w:bookmarkEnd w:id="15"/>
      <w:bookmarkEnd w:id="16"/>
      <w:bookmarkEnd w:id="17"/>
    </w:p>
    <w:p w14:paraId="2FE852E6" w14:textId="77777777" w:rsidR="001C4383" w:rsidRPr="00E869A4" w:rsidRDefault="001C4383" w:rsidP="0051234F">
      <w:pPr>
        <w:pStyle w:val="112"/>
        <w:rPr>
          <w:color w:val="auto"/>
        </w:rPr>
      </w:pPr>
    </w:p>
    <w:p w14:paraId="7EC11DA3" w14:textId="72FD1B45" w:rsidR="0056792D" w:rsidRPr="00E869A4" w:rsidRDefault="00607FEC" w:rsidP="005C449C">
      <w:pPr>
        <w:pStyle w:val="Heading3"/>
      </w:pPr>
      <w:bookmarkStart w:id="20" w:name="_Toc40436449"/>
      <w:r w:rsidRPr="00E869A4">
        <w:t>1.</w:t>
      </w:r>
      <w:r w:rsidR="000201A8" w:rsidRPr="00E869A4">
        <w:t>2</w:t>
      </w:r>
      <w:r w:rsidRPr="00E869A4">
        <w:t>.1</w:t>
      </w:r>
      <w:r w:rsidR="00BE40EF" w:rsidRPr="00E869A4">
        <w:t xml:space="preserve">     </w:t>
      </w:r>
      <w:r w:rsidR="0056792D" w:rsidRPr="00E869A4">
        <w:t xml:space="preserve">Geography and </w:t>
      </w:r>
      <w:bookmarkEnd w:id="18"/>
      <w:r w:rsidR="00252929" w:rsidRPr="00E869A4">
        <w:t>Population</w:t>
      </w:r>
      <w:bookmarkEnd w:id="19"/>
      <w:bookmarkEnd w:id="20"/>
    </w:p>
    <w:p w14:paraId="519AFF7C" w14:textId="77777777" w:rsidR="00EA7E8A" w:rsidRPr="00E869A4" w:rsidRDefault="00EA7E8A" w:rsidP="0051234F">
      <w:pPr>
        <w:pStyle w:val="112"/>
        <w:rPr>
          <w:color w:val="auto"/>
        </w:rPr>
      </w:pPr>
    </w:p>
    <w:p w14:paraId="424808E5" w14:textId="723690A4" w:rsidR="00FE3E48" w:rsidRPr="00E869A4" w:rsidRDefault="006F24F7" w:rsidP="00A613B9">
      <w:pPr>
        <w:ind w:firstLine="720"/>
        <w:rPr>
          <w:rFonts w:ascii="Times New Roman" w:hAnsi="Times New Roman" w:cs="Times New Roman"/>
        </w:rPr>
      </w:pPr>
      <w:r w:rsidRPr="00E869A4">
        <w:rPr>
          <w:rFonts w:ascii="Times New Roman" w:hAnsi="Times New Roman" w:cs="Times New Roman"/>
        </w:rPr>
        <w:t>T&amp;T</w:t>
      </w:r>
      <w:r w:rsidR="00FE3E48" w:rsidRPr="00E869A4">
        <w:rPr>
          <w:rFonts w:ascii="Times New Roman" w:hAnsi="Times New Roman" w:cs="Times New Roman"/>
        </w:rPr>
        <w:t xml:space="preserve">, known officially as the Republic of Trinidad and Tobago, is a small island developing </w:t>
      </w:r>
      <w:r w:rsidR="00DD03CE" w:rsidRPr="00E869A4">
        <w:rPr>
          <w:rFonts w:ascii="Times New Roman" w:hAnsi="Times New Roman" w:cs="Times New Roman"/>
        </w:rPr>
        <w:t>State</w:t>
      </w:r>
      <w:r w:rsidR="00FE3E48" w:rsidRPr="00E869A4">
        <w:rPr>
          <w:rFonts w:ascii="Times New Roman" w:hAnsi="Times New Roman" w:cs="Times New Roman"/>
        </w:rPr>
        <w:t xml:space="preserve"> (SIDS</w:t>
      </w:r>
      <w:r w:rsidR="00D41C8E" w:rsidRPr="00E869A4">
        <w:rPr>
          <w:rFonts w:ascii="Times New Roman" w:hAnsi="Times New Roman" w:cs="Times New Roman"/>
        </w:rPr>
        <w:fldChar w:fldCharType="begin"/>
      </w:r>
      <w:r w:rsidR="00FE3E48" w:rsidRPr="00E869A4">
        <w:rPr>
          <w:rFonts w:ascii="Times New Roman" w:hAnsi="Times New Roman" w:cs="Times New Roman"/>
        </w:rPr>
        <w:instrText xml:space="preserve"> XE "SIDS" </w:instrText>
      </w:r>
      <w:r w:rsidR="00D41C8E" w:rsidRPr="00E869A4">
        <w:rPr>
          <w:rFonts w:ascii="Times New Roman" w:hAnsi="Times New Roman" w:cs="Times New Roman"/>
        </w:rPr>
        <w:fldChar w:fldCharType="end"/>
      </w:r>
      <w:r w:rsidR="00FE3E48" w:rsidRPr="00E869A4">
        <w:rPr>
          <w:rFonts w:ascii="Times New Roman" w:hAnsi="Times New Roman" w:cs="Times New Roman"/>
        </w:rPr>
        <w:t>) with a land area of 5131 km</w:t>
      </w:r>
      <w:r w:rsidR="00FE3E48" w:rsidRPr="00E869A4">
        <w:rPr>
          <w:rFonts w:ascii="Times New Roman" w:hAnsi="Times New Roman" w:cs="Times New Roman"/>
          <w:vertAlign w:val="superscript"/>
        </w:rPr>
        <w:t>2</w:t>
      </w:r>
      <w:r w:rsidR="00FE3E48" w:rsidRPr="00E869A4">
        <w:rPr>
          <w:rFonts w:ascii="Times New Roman" w:hAnsi="Times New Roman" w:cs="Times New Roman"/>
        </w:rPr>
        <w:t xml:space="preserve"> and a population of 1.3 million people</w:t>
      </w:r>
      <w:r w:rsidR="0054156C" w:rsidRPr="00E869A4">
        <w:rPr>
          <w:rFonts w:ascii="Times New Roman" w:hAnsi="Times New Roman" w:cs="Times New Roman"/>
        </w:rPr>
        <w:t xml:space="preserve"> (GORTT 2012)</w:t>
      </w:r>
      <w:r w:rsidR="00FE3E48" w:rsidRPr="00E869A4">
        <w:rPr>
          <w:rFonts w:ascii="Times New Roman" w:hAnsi="Times New Roman" w:cs="Times New Roman"/>
        </w:rPr>
        <w:t xml:space="preserve">. </w:t>
      </w:r>
      <w:r w:rsidRPr="00E869A4">
        <w:rPr>
          <w:rFonts w:ascii="Times New Roman" w:hAnsi="Times New Roman" w:cs="Times New Roman"/>
        </w:rPr>
        <w:t>T&amp;T</w:t>
      </w:r>
      <w:r w:rsidR="00FE3E48" w:rsidRPr="00E869A4">
        <w:rPr>
          <w:rFonts w:ascii="Times New Roman" w:hAnsi="Times New Roman" w:cs="Times New Roman"/>
        </w:rPr>
        <w:t>’s population density of 266.07 km</w:t>
      </w:r>
      <w:r w:rsidR="00FE3E48" w:rsidRPr="00E869A4">
        <w:rPr>
          <w:rFonts w:ascii="Times New Roman" w:hAnsi="Times New Roman" w:cs="Times New Roman"/>
          <w:vertAlign w:val="superscript"/>
        </w:rPr>
        <w:t>2</w:t>
      </w:r>
      <w:r w:rsidR="00FE3E48" w:rsidRPr="00E869A4">
        <w:rPr>
          <w:rFonts w:ascii="Times New Roman" w:hAnsi="Times New Roman" w:cs="Times New Roman"/>
        </w:rPr>
        <w:t xml:space="preserve"> is just under that of the UK</w:t>
      </w:r>
      <w:r w:rsidR="00D41C8E" w:rsidRPr="00E869A4">
        <w:rPr>
          <w:rFonts w:ascii="Times New Roman" w:hAnsi="Times New Roman" w:cs="Times New Roman"/>
        </w:rPr>
        <w:fldChar w:fldCharType="begin"/>
      </w:r>
      <w:r w:rsidR="00FE3E48" w:rsidRPr="00E869A4">
        <w:rPr>
          <w:rFonts w:ascii="Times New Roman" w:hAnsi="Times New Roman" w:cs="Times New Roman"/>
        </w:rPr>
        <w:instrText xml:space="preserve"> XE "UK" </w:instrText>
      </w:r>
      <w:r w:rsidR="00D41C8E" w:rsidRPr="00E869A4">
        <w:rPr>
          <w:rFonts w:ascii="Times New Roman" w:hAnsi="Times New Roman" w:cs="Times New Roman"/>
        </w:rPr>
        <w:fldChar w:fldCharType="end"/>
      </w:r>
      <w:r w:rsidR="00AC6407" w:rsidRPr="00E869A4">
        <w:rPr>
          <w:rFonts w:ascii="Times New Roman" w:hAnsi="Times New Roman" w:cs="Times New Roman"/>
        </w:rPr>
        <w:t>,</w:t>
      </w:r>
      <w:r w:rsidR="00FE3E48" w:rsidRPr="00E869A4">
        <w:rPr>
          <w:rFonts w:ascii="Times New Roman" w:hAnsi="Times New Roman" w:cs="Times New Roman"/>
        </w:rPr>
        <w:t xml:space="preserve"> but more than twice that of France.  Its population size is about 2% of the population of the UK</w:t>
      </w:r>
      <w:r w:rsidR="00D41C8E" w:rsidRPr="00E869A4">
        <w:rPr>
          <w:rFonts w:ascii="Times New Roman" w:hAnsi="Times New Roman" w:cs="Times New Roman"/>
        </w:rPr>
        <w:fldChar w:fldCharType="begin"/>
      </w:r>
      <w:r w:rsidR="00FE3E48" w:rsidRPr="00E869A4">
        <w:rPr>
          <w:rFonts w:ascii="Times New Roman" w:hAnsi="Times New Roman" w:cs="Times New Roman"/>
        </w:rPr>
        <w:instrText xml:space="preserve"> XE "UK" </w:instrText>
      </w:r>
      <w:r w:rsidR="00D41C8E" w:rsidRPr="00E869A4">
        <w:rPr>
          <w:rFonts w:ascii="Times New Roman" w:hAnsi="Times New Roman" w:cs="Times New Roman"/>
        </w:rPr>
        <w:fldChar w:fldCharType="end"/>
      </w:r>
      <w:r w:rsidR="00FE3E48" w:rsidRPr="00E869A4">
        <w:rPr>
          <w:rFonts w:ascii="Times New Roman" w:hAnsi="Times New Roman" w:cs="Times New Roman"/>
        </w:rPr>
        <w:t xml:space="preserve">.  Tobago, the sister island of Trinidad has a smaller overall population of approximately 60, 874 persons. </w:t>
      </w:r>
    </w:p>
    <w:p w14:paraId="608A12A7" w14:textId="77777777" w:rsidR="00947041" w:rsidRPr="00E869A4" w:rsidRDefault="00947041" w:rsidP="00947041">
      <w:pPr>
        <w:rPr>
          <w:rFonts w:ascii="Times New Roman" w:hAnsi="Times New Roman" w:cs="Times New Roman"/>
        </w:rPr>
      </w:pPr>
    </w:p>
    <w:p w14:paraId="2BFA8C3A" w14:textId="46E0B290" w:rsidR="0056792D" w:rsidRPr="00E869A4" w:rsidRDefault="00FE3E48" w:rsidP="00A613B9">
      <w:pPr>
        <w:autoSpaceDE w:val="0"/>
        <w:autoSpaceDN w:val="0"/>
        <w:adjustRightInd w:val="0"/>
        <w:rPr>
          <w:rFonts w:ascii="Times New Roman" w:hAnsi="Times New Roman" w:cs="Times New Roman"/>
        </w:rPr>
      </w:pPr>
      <w:r w:rsidRPr="00E869A4">
        <w:rPr>
          <w:rFonts w:ascii="Times New Roman" w:eastAsiaTheme="minorHAnsi" w:hAnsi="Times New Roman" w:cs="Times New Roman"/>
          <w:szCs w:val="24"/>
        </w:rPr>
        <w:t xml:space="preserve">This unitary </w:t>
      </w:r>
      <w:r w:rsidR="000878EB" w:rsidRPr="00E869A4">
        <w:rPr>
          <w:rFonts w:ascii="Times New Roman" w:eastAsiaTheme="minorHAnsi" w:hAnsi="Times New Roman" w:cs="Times New Roman"/>
          <w:szCs w:val="24"/>
        </w:rPr>
        <w:t>s</w:t>
      </w:r>
      <w:r w:rsidR="00DD03CE" w:rsidRPr="00E869A4">
        <w:rPr>
          <w:rFonts w:ascii="Times New Roman" w:eastAsiaTheme="minorHAnsi" w:hAnsi="Times New Roman" w:cs="Times New Roman"/>
          <w:szCs w:val="24"/>
        </w:rPr>
        <w:t>tate</w:t>
      </w:r>
      <w:r w:rsidRPr="00E869A4">
        <w:rPr>
          <w:rFonts w:ascii="Times New Roman" w:eastAsiaTheme="minorHAnsi" w:hAnsi="Times New Roman" w:cs="Times New Roman"/>
          <w:szCs w:val="24"/>
        </w:rPr>
        <w:t xml:space="preserve"> is a former British colony and is the most southerly of the Caribbean islands situated between the Caribbean Sea and the North Atlantic Ocean, just north-east of Venezuela.</w:t>
      </w:r>
      <w:r w:rsidR="0056792D" w:rsidRPr="00E869A4">
        <w:rPr>
          <w:rFonts w:ascii="Times New Roman" w:eastAsiaTheme="minorHAnsi" w:hAnsi="Times New Roman" w:cs="Times New Roman"/>
          <w:szCs w:val="24"/>
        </w:rPr>
        <w:t xml:space="preserve"> </w:t>
      </w:r>
      <w:r w:rsidR="006F24F7" w:rsidRPr="00E869A4">
        <w:rPr>
          <w:rFonts w:ascii="Times New Roman" w:hAnsi="Times New Roman" w:cs="Times New Roman"/>
        </w:rPr>
        <w:t>T&amp;T</w:t>
      </w:r>
      <w:r w:rsidR="0056792D" w:rsidRPr="00E869A4">
        <w:rPr>
          <w:rFonts w:ascii="Times New Roman" w:hAnsi="Times New Roman" w:cs="Times New Roman"/>
        </w:rPr>
        <w:t>’s geography and colonial past contributed to it being one of the most ethnically and religiously diverse islands in the Caribbean region. The population is mainly comprised of two ethnic</w:t>
      </w:r>
      <w:r w:rsidR="00D41C8E" w:rsidRPr="00E869A4">
        <w:rPr>
          <w:rFonts w:ascii="Times New Roman" w:hAnsi="Times New Roman" w:cs="Times New Roman"/>
        </w:rPr>
        <w:fldChar w:fldCharType="begin"/>
      </w:r>
      <w:r w:rsidR="0056792D" w:rsidRPr="00E869A4">
        <w:rPr>
          <w:rFonts w:ascii="Times New Roman" w:hAnsi="Times New Roman" w:cs="Times New Roman"/>
        </w:rPr>
        <w:instrText xml:space="preserve"> XE "</w:instrText>
      </w:r>
      <w:r w:rsidR="0056792D" w:rsidRPr="00E869A4">
        <w:rPr>
          <w:rFonts w:ascii="Times New Roman" w:hAnsi="Times New Roman" w:cs="Times New Roman"/>
          <w:szCs w:val="24"/>
        </w:rPr>
        <w:instrText>ethnic</w:instrText>
      </w:r>
      <w:r w:rsidR="0056792D" w:rsidRPr="00E869A4">
        <w:rPr>
          <w:rFonts w:ascii="Times New Roman" w:hAnsi="Times New Roman" w:cs="Times New Roman"/>
        </w:rPr>
        <w:instrText xml:space="preserve">" </w:instrText>
      </w:r>
      <w:r w:rsidR="00D41C8E" w:rsidRPr="00E869A4">
        <w:rPr>
          <w:rFonts w:ascii="Times New Roman" w:hAnsi="Times New Roman" w:cs="Times New Roman"/>
        </w:rPr>
        <w:fldChar w:fldCharType="end"/>
      </w:r>
      <w:r w:rsidR="0056792D" w:rsidRPr="00E869A4">
        <w:rPr>
          <w:rFonts w:ascii="Times New Roman" w:hAnsi="Times New Roman" w:cs="Times New Roman"/>
        </w:rPr>
        <w:t xml:space="preserve"> groups: i) Indian</w:t>
      </w:r>
      <w:r w:rsidR="006415B9" w:rsidRPr="00E869A4">
        <w:rPr>
          <w:rFonts w:ascii="Times New Roman" w:hAnsi="Times New Roman" w:cs="Times New Roman"/>
        </w:rPr>
        <w:t xml:space="preserve"> Trinidadian</w:t>
      </w:r>
      <w:r w:rsidR="0056792D" w:rsidRPr="00E869A4">
        <w:rPr>
          <w:rFonts w:ascii="Times New Roman" w:hAnsi="Times New Roman" w:cs="Times New Roman"/>
        </w:rPr>
        <w:t>s</w:t>
      </w:r>
      <w:r w:rsidR="00134C1A" w:rsidRPr="00E869A4">
        <w:rPr>
          <w:rFonts w:ascii="Times New Roman" w:hAnsi="Times New Roman" w:cs="Times New Roman"/>
        </w:rPr>
        <w:t>,</w:t>
      </w:r>
      <w:r w:rsidR="0056792D" w:rsidRPr="00E869A4">
        <w:rPr>
          <w:rFonts w:ascii="Times New Roman" w:hAnsi="Times New Roman" w:cs="Times New Roman"/>
        </w:rPr>
        <w:t xml:space="preserve"> </w:t>
      </w:r>
      <w:r w:rsidR="00A3280B" w:rsidRPr="00E869A4">
        <w:rPr>
          <w:rFonts w:ascii="Times New Roman" w:hAnsi="Times New Roman" w:cs="Times New Roman"/>
        </w:rPr>
        <w:t>who</w:t>
      </w:r>
      <w:r w:rsidR="0056792D" w:rsidRPr="00E869A4">
        <w:rPr>
          <w:rFonts w:ascii="Times New Roman" w:hAnsi="Times New Roman" w:cs="Times New Roman"/>
        </w:rPr>
        <w:t xml:space="preserve"> are primarily the descendants of indentured labourers from northern India; and, ii) African</w:t>
      </w:r>
      <w:r w:rsidR="00D41C8E" w:rsidRPr="00E869A4">
        <w:rPr>
          <w:rFonts w:ascii="Times New Roman" w:hAnsi="Times New Roman" w:cs="Times New Roman"/>
        </w:rPr>
        <w:fldChar w:fldCharType="begin"/>
      </w:r>
      <w:r w:rsidR="0056792D" w:rsidRPr="00E869A4">
        <w:rPr>
          <w:rFonts w:ascii="Times New Roman" w:hAnsi="Times New Roman" w:cs="Times New Roman"/>
        </w:rPr>
        <w:instrText xml:space="preserve"> XE "</w:instrText>
      </w:r>
      <w:r w:rsidR="0056792D" w:rsidRPr="00E869A4">
        <w:rPr>
          <w:rFonts w:ascii="Times New Roman" w:hAnsi="Times New Roman" w:cs="Times New Roman"/>
          <w:szCs w:val="24"/>
        </w:rPr>
        <w:instrText>African</w:instrText>
      </w:r>
      <w:r w:rsidR="0056792D" w:rsidRPr="00E869A4">
        <w:rPr>
          <w:rFonts w:ascii="Times New Roman" w:hAnsi="Times New Roman" w:cs="Times New Roman"/>
        </w:rPr>
        <w:instrText xml:space="preserve">" </w:instrText>
      </w:r>
      <w:r w:rsidR="00D41C8E" w:rsidRPr="00E869A4">
        <w:rPr>
          <w:rFonts w:ascii="Times New Roman" w:hAnsi="Times New Roman" w:cs="Times New Roman"/>
        </w:rPr>
        <w:fldChar w:fldCharType="end"/>
      </w:r>
      <w:r w:rsidR="00134C1A" w:rsidRPr="00E869A4">
        <w:rPr>
          <w:rFonts w:ascii="Times New Roman" w:hAnsi="Times New Roman" w:cs="Times New Roman"/>
        </w:rPr>
        <w:t xml:space="preserve"> Trinidadians, </w:t>
      </w:r>
      <w:r w:rsidR="00A3280B" w:rsidRPr="00E869A4">
        <w:rPr>
          <w:rFonts w:ascii="Times New Roman" w:hAnsi="Times New Roman" w:cs="Times New Roman"/>
        </w:rPr>
        <w:t xml:space="preserve">who </w:t>
      </w:r>
      <w:r w:rsidR="0056792D" w:rsidRPr="00E869A4">
        <w:rPr>
          <w:rFonts w:ascii="Times New Roman" w:hAnsi="Times New Roman" w:cs="Times New Roman"/>
        </w:rPr>
        <w:t xml:space="preserve">are the descendants of former slaves </w:t>
      </w:r>
      <w:r w:rsidR="000878EB" w:rsidRPr="00E869A4">
        <w:rPr>
          <w:rFonts w:ascii="Times New Roman" w:hAnsi="Times New Roman" w:cs="Times New Roman"/>
        </w:rPr>
        <w:t>that</w:t>
      </w:r>
      <w:r w:rsidR="0056792D" w:rsidRPr="00E869A4">
        <w:rPr>
          <w:rFonts w:ascii="Times New Roman" w:hAnsi="Times New Roman" w:cs="Times New Roman"/>
        </w:rPr>
        <w:t xml:space="preserve"> were trafficked from Africa to work on plantations on the island. </w:t>
      </w:r>
    </w:p>
    <w:p w14:paraId="45E254B4" w14:textId="77777777" w:rsidR="00947041" w:rsidRPr="00E869A4" w:rsidRDefault="00947041" w:rsidP="00A35FF8">
      <w:pPr>
        <w:autoSpaceDE w:val="0"/>
        <w:autoSpaceDN w:val="0"/>
        <w:adjustRightInd w:val="0"/>
        <w:rPr>
          <w:rFonts w:ascii="Times New Roman" w:hAnsi="Times New Roman" w:cs="Times New Roman"/>
        </w:rPr>
      </w:pPr>
    </w:p>
    <w:p w14:paraId="16D849BF" w14:textId="548CE8F0" w:rsidR="00D713F6" w:rsidRPr="00E869A4" w:rsidRDefault="00D713F6" w:rsidP="00A613B9">
      <w:pPr>
        <w:autoSpaceDE w:val="0"/>
        <w:autoSpaceDN w:val="0"/>
        <w:adjustRightInd w:val="0"/>
        <w:rPr>
          <w:rFonts w:ascii="Times New Roman" w:hAnsi="Times New Roman" w:cs="Times New Roman"/>
        </w:rPr>
      </w:pPr>
      <w:r w:rsidRPr="00E869A4">
        <w:rPr>
          <w:rFonts w:ascii="Times New Roman" w:hAnsi="Times New Roman" w:cs="Times New Roman"/>
        </w:rPr>
        <w:t>Ethnic distinctions are evident in the geographical and religious spread of the population. Indian-Trinidadians are primarily concentrated in central and southern Trinidad and are principally</w:t>
      </w:r>
      <w:r w:rsidR="000C77DE" w:rsidRPr="00E869A4">
        <w:rPr>
          <w:rFonts w:ascii="Times New Roman" w:hAnsi="Times New Roman" w:cs="Times New Roman"/>
        </w:rPr>
        <w:t xml:space="preserve"> divided between the Hindu and Muslim</w:t>
      </w:r>
      <w:r w:rsidRPr="00E869A4">
        <w:rPr>
          <w:rFonts w:ascii="Times New Roman" w:hAnsi="Times New Roman" w:cs="Times New Roman"/>
        </w:rPr>
        <w:t xml:space="preserve"> religious groups, along with significant Presbyterian and some Catholic representation. African-Trinidadians are predominantly Christian, with a small Muslim community, and are concentrated in North Trinidad. Tobago</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Tobago</w:instrText>
      </w:r>
      <w:r w:rsidRPr="00E869A4">
        <w:rPr>
          <w:rFonts w:ascii="Times New Roman" w:hAnsi="Times New Roman" w:cs="Times New Roman"/>
        </w:rPr>
        <w:instrText xml:space="preserve">"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consists primarily of persons of African</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African</w:instrText>
      </w:r>
      <w:r w:rsidRPr="00E869A4">
        <w:rPr>
          <w:rFonts w:ascii="Times New Roman" w:hAnsi="Times New Roman" w:cs="Times New Roman"/>
        </w:rPr>
        <w:instrText xml:space="preserve">"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descent (85%) who are predominantly Christian</w:t>
      </w:r>
      <w:r w:rsidR="00A613B9" w:rsidRPr="00E869A4">
        <w:rPr>
          <w:rFonts w:ascii="Times New Roman" w:hAnsi="Times New Roman" w:cs="Times New Roman"/>
        </w:rPr>
        <w:t xml:space="preserve"> (USD</w:t>
      </w:r>
      <w:r w:rsidR="004A30E8" w:rsidRPr="00E869A4">
        <w:rPr>
          <w:rFonts w:ascii="Times New Roman" w:hAnsi="Times New Roman" w:cs="Times New Roman"/>
        </w:rPr>
        <w:t>S</w:t>
      </w:r>
      <w:r w:rsidR="00A613B9" w:rsidRPr="00E869A4">
        <w:rPr>
          <w:rFonts w:ascii="Times New Roman" w:hAnsi="Times New Roman" w:cs="Times New Roman"/>
        </w:rPr>
        <w:t xml:space="preserve"> 2017 &amp; 2016)</w:t>
      </w:r>
      <w:r w:rsidRPr="00E869A4">
        <w:rPr>
          <w:rFonts w:ascii="Times New Roman" w:hAnsi="Times New Roman" w:cs="Times New Roman"/>
        </w:rPr>
        <w:t xml:space="preserve">. </w:t>
      </w:r>
    </w:p>
    <w:p w14:paraId="0291DB63" w14:textId="77777777" w:rsidR="00947041" w:rsidRPr="00E869A4" w:rsidRDefault="00947041" w:rsidP="00A35FF8">
      <w:pPr>
        <w:autoSpaceDE w:val="0"/>
        <w:autoSpaceDN w:val="0"/>
        <w:adjustRightInd w:val="0"/>
        <w:rPr>
          <w:rFonts w:ascii="Times New Roman" w:hAnsi="Times New Roman" w:cs="Times New Roman"/>
        </w:rPr>
      </w:pPr>
    </w:p>
    <w:p w14:paraId="309A24E1" w14:textId="4F6B693A" w:rsidR="00D713F6" w:rsidRPr="00E869A4" w:rsidRDefault="00D713F6" w:rsidP="00C67E55">
      <w:pPr>
        <w:autoSpaceDE w:val="0"/>
        <w:autoSpaceDN w:val="0"/>
        <w:adjustRightInd w:val="0"/>
        <w:rPr>
          <w:rFonts w:ascii="Times New Roman" w:hAnsi="Times New Roman" w:cs="Times New Roman"/>
        </w:rPr>
      </w:pPr>
      <w:r w:rsidRPr="00E869A4">
        <w:rPr>
          <w:rFonts w:ascii="Times New Roman" w:hAnsi="Times New Roman" w:cs="Times New Roman"/>
        </w:rPr>
        <w:t>Re</w:t>
      </w:r>
      <w:r w:rsidR="000C77DE" w:rsidRPr="00E869A4">
        <w:rPr>
          <w:rFonts w:ascii="Times New Roman" w:hAnsi="Times New Roman" w:cs="Times New Roman"/>
        </w:rPr>
        <w:t>ligion and spirituality feature</w:t>
      </w:r>
      <w:r w:rsidRPr="00E869A4">
        <w:rPr>
          <w:rFonts w:ascii="Times New Roman" w:hAnsi="Times New Roman" w:cs="Times New Roman"/>
        </w:rPr>
        <w:t xml:space="preserve"> prominently in the everyday life of a considerable number of </w:t>
      </w:r>
      <w:r w:rsidR="00C67E55" w:rsidRPr="00E869A4">
        <w:rPr>
          <w:rFonts w:ascii="Times New Roman" w:hAnsi="Times New Roman" w:cs="Times New Roman"/>
        </w:rPr>
        <w:t>natives of T&amp;T</w:t>
      </w:r>
      <w:r w:rsidRPr="00E869A4">
        <w:rPr>
          <w:rFonts w:ascii="Times New Roman" w:hAnsi="Times New Roman" w:cs="Times New Roman"/>
        </w:rPr>
        <w:t xml:space="preserve">. In 2014, </w:t>
      </w:r>
      <w:r w:rsidR="006F24F7" w:rsidRPr="00E869A4">
        <w:rPr>
          <w:rFonts w:ascii="Times New Roman" w:hAnsi="Times New Roman" w:cs="Times New Roman"/>
        </w:rPr>
        <w:t>T&amp;T</w:t>
      </w:r>
      <w:r w:rsidRPr="00E869A4">
        <w:rPr>
          <w:rFonts w:ascii="Times New Roman" w:hAnsi="Times New Roman" w:cs="Times New Roman"/>
        </w:rPr>
        <w:t>’s Religious Diversity Index (RDI) score was 5.8</w:t>
      </w:r>
      <w:r w:rsidR="00A022AC" w:rsidRPr="00E869A4">
        <w:rPr>
          <w:rFonts w:ascii="Times New Roman" w:hAnsi="Times New Roman" w:cs="Times New Roman"/>
        </w:rPr>
        <w:t>%, which</w:t>
      </w:r>
      <w:r w:rsidRPr="00E869A4">
        <w:rPr>
          <w:rFonts w:ascii="Times New Roman" w:hAnsi="Times New Roman" w:cs="Times New Roman"/>
        </w:rPr>
        <w:t xml:space="preserve"> placed it in the top fifteen percent of religiously diverse countries in the world</w:t>
      </w:r>
      <w:r w:rsidR="00863993" w:rsidRPr="00E869A4">
        <w:rPr>
          <w:rFonts w:ascii="Times New Roman" w:hAnsi="Times New Roman" w:cs="Times New Roman"/>
        </w:rPr>
        <w:t xml:space="preserve"> (Cooperman</w:t>
      </w:r>
      <w:r w:rsidR="00413413" w:rsidRPr="00E869A4">
        <w:rPr>
          <w:rFonts w:ascii="Times New Roman" w:hAnsi="Times New Roman" w:cs="Times New Roman"/>
        </w:rPr>
        <w:t>,</w:t>
      </w:r>
      <w:r w:rsidR="00863993" w:rsidRPr="00E869A4">
        <w:rPr>
          <w:rFonts w:ascii="Times New Roman" w:hAnsi="Times New Roman" w:cs="Times New Roman"/>
        </w:rPr>
        <w:t xml:space="preserve"> </w:t>
      </w:r>
      <w:r w:rsidR="00413413" w:rsidRPr="00E869A4">
        <w:rPr>
          <w:rFonts w:ascii="Times New Roman" w:hAnsi="Times New Roman" w:cs="Times New Roman"/>
        </w:rPr>
        <w:t xml:space="preserve">Funk &amp; Masci </w:t>
      </w:r>
      <w:r w:rsidR="00863993" w:rsidRPr="00E869A4">
        <w:rPr>
          <w:rFonts w:ascii="Times New Roman" w:hAnsi="Times New Roman" w:cs="Times New Roman"/>
        </w:rPr>
        <w:t>2014)</w:t>
      </w:r>
      <w:r w:rsidRPr="00E869A4">
        <w:rPr>
          <w:rFonts w:ascii="Times New Roman" w:hAnsi="Times New Roman" w:cs="Times New Roman"/>
        </w:rPr>
        <w:t>. The latest World Values Survey (WVS</w:t>
      </w:r>
      <w:r w:rsidR="00AD2782" w:rsidRPr="00E869A4">
        <w:rPr>
          <w:rFonts w:ascii="Times New Roman" w:hAnsi="Times New Roman" w:cs="Times New Roman"/>
        </w:rPr>
        <w:t xml:space="preserve"> 2010</w:t>
      </w:r>
      <w:r w:rsidRPr="00E869A4">
        <w:rPr>
          <w:rFonts w:ascii="Times New Roman" w:hAnsi="Times New Roman" w:cs="Times New Roman"/>
        </w:rPr>
        <w:t xml:space="preserve">) for </w:t>
      </w:r>
      <w:r w:rsidR="006F24F7" w:rsidRPr="00E869A4">
        <w:rPr>
          <w:rFonts w:ascii="Times New Roman" w:hAnsi="Times New Roman" w:cs="Times New Roman"/>
        </w:rPr>
        <w:t>T&amp;T</w:t>
      </w:r>
      <w:r w:rsidRPr="00E869A4">
        <w:rPr>
          <w:rFonts w:ascii="Times New Roman" w:hAnsi="Times New Roman" w:cs="Times New Roman"/>
        </w:rPr>
        <w:t xml:space="preserve"> revealed that most persons (78.5%) considered religion</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"religion"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to be very important and (99%) believed in God. Most </w:t>
      </w:r>
      <w:r w:rsidR="00C67E55" w:rsidRPr="00E869A4">
        <w:rPr>
          <w:rFonts w:ascii="Times New Roman" w:hAnsi="Times New Roman" w:cs="Times New Roman"/>
        </w:rPr>
        <w:t>people</w:t>
      </w:r>
      <w:r w:rsidRPr="00E869A4">
        <w:rPr>
          <w:rFonts w:ascii="Times New Roman" w:hAnsi="Times New Roman" w:cs="Times New Roman"/>
        </w:rPr>
        <w:t xml:space="preserve"> identified God as being very important to their li</w:t>
      </w:r>
      <w:r w:rsidR="00F90838" w:rsidRPr="00E869A4">
        <w:rPr>
          <w:rFonts w:ascii="Times New Roman" w:hAnsi="Times New Roman" w:cs="Times New Roman"/>
        </w:rPr>
        <w:t>ves</w:t>
      </w:r>
      <w:r w:rsidRPr="00E869A4">
        <w:rPr>
          <w:rFonts w:ascii="Times New Roman" w:hAnsi="Times New Roman" w:cs="Times New Roman"/>
        </w:rPr>
        <w:t xml:space="preserve"> (88%) and described themselves as being religious (79%) </w:t>
      </w:r>
      <w:r w:rsidR="00863993" w:rsidRPr="00E869A4">
        <w:rPr>
          <w:rFonts w:ascii="Times New Roman" w:hAnsi="Times New Roman" w:cs="Times New Roman"/>
        </w:rPr>
        <w:t xml:space="preserve">(Worcester </w:t>
      </w:r>
      <w:r w:rsidR="00F90838" w:rsidRPr="00E869A4">
        <w:rPr>
          <w:rFonts w:ascii="Times New Roman" w:hAnsi="Times New Roman" w:cs="Times New Roman"/>
        </w:rPr>
        <w:t>&amp;</w:t>
      </w:r>
      <w:r w:rsidR="00863993" w:rsidRPr="00E869A4">
        <w:rPr>
          <w:rFonts w:ascii="Times New Roman" w:hAnsi="Times New Roman" w:cs="Times New Roman"/>
        </w:rPr>
        <w:t xml:space="preserve"> Gill 2016)</w:t>
      </w:r>
      <w:r w:rsidRPr="00E869A4">
        <w:rPr>
          <w:rFonts w:ascii="Times New Roman" w:hAnsi="Times New Roman" w:cs="Times New Roman"/>
        </w:rPr>
        <w:t xml:space="preserve">. The </w:t>
      </w:r>
      <w:r w:rsidRPr="00E869A4">
        <w:rPr>
          <w:rFonts w:ascii="Times New Roman" w:hAnsi="Times New Roman" w:cs="Times New Roman"/>
        </w:rPr>
        <w:lastRenderedPageBreak/>
        <w:t xml:space="preserve">country’s multicultural heritage is reflected in its synergistic art forms and cultural expressions. It is the birthplace of the steelpan and limbo dance, as well as calypso, soca and chutney musical styles. </w:t>
      </w:r>
      <w:r w:rsidR="00743886" w:rsidRPr="00E869A4">
        <w:rPr>
          <w:rFonts w:ascii="Times New Roman" w:hAnsi="Times New Roman" w:cs="Times New Roman"/>
        </w:rPr>
        <w:t>However</w:t>
      </w:r>
      <w:r w:rsidRPr="00E869A4">
        <w:rPr>
          <w:rFonts w:ascii="Times New Roman" w:hAnsi="Times New Roman" w:cs="Times New Roman"/>
        </w:rPr>
        <w:t xml:space="preserve">, it is also characterised by an undercurrent of ethnic </w:t>
      </w:r>
      <w:r w:rsidR="00A022AC" w:rsidRPr="00E869A4">
        <w:rPr>
          <w:rFonts w:ascii="Times New Roman" w:hAnsi="Times New Roman" w:cs="Times New Roman"/>
        </w:rPr>
        <w:t>tensions, which</w:t>
      </w:r>
      <w:r w:rsidRPr="00E869A4">
        <w:rPr>
          <w:rFonts w:ascii="Times New Roman" w:hAnsi="Times New Roman" w:cs="Times New Roman"/>
        </w:rPr>
        <w:t xml:space="preserve"> are particularly evident in political life</w:t>
      </w:r>
      <w:r w:rsidR="00821A09" w:rsidRPr="00E869A4">
        <w:rPr>
          <w:rFonts w:ascii="Times New Roman" w:hAnsi="Times New Roman" w:cs="Times New Roman"/>
        </w:rPr>
        <w:t xml:space="preserve"> (</w:t>
      </w:r>
      <w:r w:rsidR="0029104C" w:rsidRPr="00E869A4">
        <w:rPr>
          <w:rFonts w:ascii="Times New Roman" w:hAnsi="Times New Roman" w:cs="Times New Roman"/>
        </w:rPr>
        <w:t>USDS</w:t>
      </w:r>
      <w:r w:rsidR="00863993" w:rsidRPr="00E869A4">
        <w:rPr>
          <w:rFonts w:ascii="Times New Roman" w:hAnsi="Times New Roman" w:cs="Times New Roman"/>
        </w:rPr>
        <w:t xml:space="preserve"> 2017)</w:t>
      </w:r>
      <w:r w:rsidRPr="00E869A4">
        <w:rPr>
          <w:rFonts w:ascii="Times New Roman" w:hAnsi="Times New Roman" w:cs="Times New Roman"/>
        </w:rPr>
        <w:t>.</w:t>
      </w:r>
    </w:p>
    <w:p w14:paraId="2485A342" w14:textId="77777777" w:rsidR="00947041" w:rsidRPr="00E869A4" w:rsidRDefault="00947041" w:rsidP="00A35FF8">
      <w:pPr>
        <w:autoSpaceDE w:val="0"/>
        <w:autoSpaceDN w:val="0"/>
        <w:adjustRightInd w:val="0"/>
        <w:rPr>
          <w:rFonts w:ascii="Times New Roman" w:hAnsi="Times New Roman" w:cs="Times New Roman"/>
        </w:rPr>
      </w:pPr>
    </w:p>
    <w:p w14:paraId="37545DA4" w14:textId="228EAACA" w:rsidR="00863993" w:rsidRPr="00E869A4" w:rsidRDefault="00863993" w:rsidP="002F05CF">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Numerous political scientists, public sector experts and anthropologists have documented the tensions between the ethnic</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ethnic</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groups in the country over resource allocations from the public purse as well as their participation in the private sector (</w:t>
      </w:r>
      <w:r w:rsidR="00821A09" w:rsidRPr="00E869A4">
        <w:rPr>
          <w:rFonts w:ascii="Times New Roman" w:hAnsi="Times New Roman" w:cs="Times New Roman"/>
          <w:szCs w:val="24"/>
        </w:rPr>
        <w:t>Bangura 2005; Bissessar</w:t>
      </w:r>
      <w:r w:rsidRPr="00E869A4">
        <w:rPr>
          <w:rFonts w:ascii="Times New Roman" w:hAnsi="Times New Roman" w:cs="Times New Roman"/>
          <w:szCs w:val="24"/>
        </w:rPr>
        <w:t xml:space="preserve"> 2009; </w:t>
      </w:r>
      <w:r w:rsidR="00821A09" w:rsidRPr="00E869A4">
        <w:rPr>
          <w:rFonts w:ascii="Times New Roman" w:hAnsi="Times New Roman" w:cs="Times New Roman"/>
          <w:szCs w:val="24"/>
        </w:rPr>
        <w:t>Mahabir</w:t>
      </w:r>
      <w:r w:rsidRPr="00E869A4">
        <w:rPr>
          <w:rFonts w:ascii="Times New Roman" w:hAnsi="Times New Roman" w:cs="Times New Roman"/>
          <w:szCs w:val="24"/>
        </w:rPr>
        <w:t xml:space="preserve"> 2004; </w:t>
      </w:r>
      <w:r w:rsidR="00821A09" w:rsidRPr="00E869A4">
        <w:rPr>
          <w:rFonts w:ascii="Times New Roman" w:hAnsi="Times New Roman" w:cs="Times New Roman"/>
          <w:szCs w:val="24"/>
        </w:rPr>
        <w:t xml:space="preserve">Premdas 2007 &amp; 1993; </w:t>
      </w:r>
      <w:r w:rsidRPr="00E869A4">
        <w:rPr>
          <w:rFonts w:ascii="Times New Roman" w:hAnsi="Times New Roman" w:cs="Times New Roman"/>
          <w:szCs w:val="24"/>
        </w:rPr>
        <w:t xml:space="preserve">Sudama 1983). The most recently published Survey of Living Conditions (SLC) for </w:t>
      </w:r>
      <w:r w:rsidR="00EB2DA1" w:rsidRPr="00E869A4">
        <w:rPr>
          <w:rFonts w:ascii="Times New Roman" w:eastAsiaTheme="majorEastAsia" w:hAnsi="Times New Roman" w:cs="Times New Roman"/>
          <w:bCs/>
          <w:szCs w:val="26"/>
        </w:rPr>
        <w:t>T&amp;T</w:t>
      </w:r>
      <w:r w:rsidRPr="00E869A4">
        <w:rPr>
          <w:rFonts w:ascii="Times New Roman" w:hAnsi="Times New Roman" w:cs="Times New Roman"/>
          <w:szCs w:val="24"/>
        </w:rPr>
        <w:t xml:space="preserve"> (Kairi 2007)</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Tobago</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also highlighted some of these disparities:  Africans accounted for 42% of the poor</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"poor"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population while Indians comprised only 29.4%. </w:t>
      </w:r>
      <w:r w:rsidR="00C90DFD" w:rsidRPr="00E869A4">
        <w:rPr>
          <w:rFonts w:ascii="Times New Roman" w:hAnsi="Times New Roman" w:cs="Times New Roman"/>
          <w:szCs w:val="24"/>
        </w:rPr>
        <w:t xml:space="preserve">The report </w:t>
      </w:r>
      <w:r w:rsidR="001A26AB" w:rsidRPr="00E869A4">
        <w:rPr>
          <w:rFonts w:ascii="Times New Roman" w:hAnsi="Times New Roman" w:cs="Times New Roman"/>
          <w:szCs w:val="24"/>
        </w:rPr>
        <w:t xml:space="preserve">went </w:t>
      </w:r>
      <w:r w:rsidR="00C90DFD" w:rsidRPr="00E869A4">
        <w:rPr>
          <w:rFonts w:ascii="Times New Roman" w:hAnsi="Times New Roman" w:cs="Times New Roman"/>
          <w:szCs w:val="24"/>
        </w:rPr>
        <w:t>on to note that:</w:t>
      </w:r>
      <w:r w:rsidR="002F05CF" w:rsidRPr="00E869A4">
        <w:rPr>
          <w:rFonts w:ascii="Times New Roman" w:hAnsi="Times New Roman" w:cs="Times New Roman"/>
          <w:szCs w:val="24"/>
        </w:rPr>
        <w:t xml:space="preserve"> </w:t>
      </w:r>
      <w:r w:rsidR="00654590" w:rsidRPr="00E869A4">
        <w:rPr>
          <w:rFonts w:ascii="Times New Roman" w:hAnsi="Times New Roman" w:cs="Times New Roman"/>
          <w:szCs w:val="24"/>
        </w:rPr>
        <w:t>“</w:t>
      </w:r>
      <w:r w:rsidRPr="00E869A4">
        <w:rPr>
          <w:rFonts w:ascii="Times New Roman" w:hAnsi="Times New Roman" w:cs="Times New Roman"/>
          <w:szCs w:val="24"/>
        </w:rPr>
        <w:t>ethnicity</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ethnicity</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however controversial it may be, cannot be ignored as a criterion in poverty</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"poverty"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reduction projects</w:t>
      </w:r>
      <w:r w:rsidR="00E82B4C" w:rsidRPr="00E869A4">
        <w:rPr>
          <w:rFonts w:ascii="Times New Roman" w:hAnsi="Times New Roman" w:cs="Times New Roman"/>
          <w:szCs w:val="24"/>
        </w:rPr>
        <w:t>.</w:t>
      </w:r>
      <w:r w:rsidR="00654590" w:rsidRPr="00E869A4">
        <w:rPr>
          <w:rFonts w:ascii="Times New Roman" w:hAnsi="Times New Roman" w:cs="Times New Roman"/>
          <w:szCs w:val="24"/>
        </w:rPr>
        <w:t>”</w:t>
      </w:r>
      <w:r w:rsidRPr="00E869A4">
        <w:rPr>
          <w:rFonts w:ascii="Times New Roman" w:hAnsi="Times New Roman" w:cs="Times New Roman"/>
          <w:szCs w:val="24"/>
        </w:rPr>
        <w:t xml:space="preserve"> </w:t>
      </w:r>
      <w:r w:rsidR="00BA51FF" w:rsidRPr="00E869A4">
        <w:rPr>
          <w:rFonts w:ascii="Times New Roman" w:hAnsi="Times New Roman" w:cs="Times New Roman"/>
          <w:szCs w:val="24"/>
        </w:rPr>
        <w:t>(Kairi 2007, p. 31)</w:t>
      </w:r>
      <w:r w:rsidR="002F05CF" w:rsidRPr="00E869A4">
        <w:rPr>
          <w:rFonts w:ascii="Times New Roman" w:hAnsi="Times New Roman" w:cs="Times New Roman"/>
          <w:szCs w:val="24"/>
        </w:rPr>
        <w:t xml:space="preserve">. </w:t>
      </w:r>
      <w:r w:rsidRPr="00E869A4">
        <w:rPr>
          <w:rFonts w:ascii="Times New Roman" w:hAnsi="Times New Roman" w:cs="Times New Roman"/>
          <w:szCs w:val="24"/>
        </w:rPr>
        <w:t>Cambridge</w:t>
      </w:r>
      <w:r w:rsidR="00811EEA" w:rsidRPr="00E869A4">
        <w:rPr>
          <w:rFonts w:ascii="Times New Roman" w:hAnsi="Times New Roman" w:cs="Times New Roman"/>
          <w:szCs w:val="24"/>
        </w:rPr>
        <w:t xml:space="preserve"> and colleagues</w:t>
      </w:r>
      <w:r w:rsidRPr="00E869A4">
        <w:rPr>
          <w:rFonts w:ascii="Times New Roman" w:hAnsi="Times New Roman" w:cs="Times New Roman"/>
          <w:szCs w:val="24"/>
        </w:rPr>
        <w:t xml:space="preserve"> </w:t>
      </w:r>
      <w:r w:rsidR="00DC600E" w:rsidRPr="00E869A4">
        <w:rPr>
          <w:rFonts w:ascii="Times New Roman" w:hAnsi="Times New Roman" w:cs="Times New Roman"/>
          <w:szCs w:val="24"/>
        </w:rPr>
        <w:t>surmised</w:t>
      </w:r>
      <w:r w:rsidRPr="00E869A4">
        <w:rPr>
          <w:rFonts w:ascii="Times New Roman" w:hAnsi="Times New Roman" w:cs="Times New Roman"/>
          <w:szCs w:val="24"/>
        </w:rPr>
        <w:t xml:space="preserve"> that this situation is a by-product of a </w:t>
      </w:r>
      <w:r w:rsidR="00654590" w:rsidRPr="00E869A4">
        <w:rPr>
          <w:rFonts w:ascii="Times New Roman" w:hAnsi="Times New Roman" w:cs="Times New Roman"/>
          <w:szCs w:val="24"/>
        </w:rPr>
        <w:t>“</w:t>
      </w:r>
      <w:r w:rsidRPr="00E869A4">
        <w:rPr>
          <w:rFonts w:ascii="Times New Roman" w:hAnsi="Times New Roman" w:cs="Times New Roman"/>
          <w:szCs w:val="24"/>
        </w:rPr>
        <w:t>historical colonial legacy of a socially stratified society</w:t>
      </w:r>
      <w:r w:rsidR="00654590" w:rsidRPr="00E869A4">
        <w:rPr>
          <w:rFonts w:ascii="Times New Roman" w:hAnsi="Times New Roman" w:cs="Times New Roman"/>
          <w:szCs w:val="24"/>
        </w:rPr>
        <w:t xml:space="preserve">” </w:t>
      </w:r>
      <w:r w:rsidRPr="00E869A4">
        <w:rPr>
          <w:rFonts w:ascii="Times New Roman" w:hAnsi="Times New Roman" w:cs="Times New Roman"/>
          <w:szCs w:val="24"/>
        </w:rPr>
        <w:t xml:space="preserve">whereby </w:t>
      </w:r>
      <w:r w:rsidR="00654590" w:rsidRPr="00E869A4">
        <w:rPr>
          <w:rFonts w:ascii="Times New Roman" w:hAnsi="Times New Roman" w:cs="Times New Roman"/>
          <w:szCs w:val="24"/>
        </w:rPr>
        <w:t>“</w:t>
      </w:r>
      <w:r w:rsidRPr="00E869A4">
        <w:rPr>
          <w:rFonts w:ascii="Times New Roman" w:hAnsi="Times New Roman" w:cs="Times New Roman"/>
          <w:szCs w:val="24"/>
        </w:rPr>
        <w:t>[m]uch of the poverty experienced … is rooted in the social system where ancestors of today’s poor were African slaves (16th-19th centuries) or East Indian indentured servants (19th-20th centuries)</w:t>
      </w:r>
      <w:r w:rsidR="00E82B4C" w:rsidRPr="00E869A4">
        <w:rPr>
          <w:rFonts w:ascii="Times New Roman" w:hAnsi="Times New Roman" w:cs="Times New Roman"/>
          <w:szCs w:val="24"/>
        </w:rPr>
        <w:t>.</w:t>
      </w:r>
      <w:r w:rsidR="00654590" w:rsidRPr="00E869A4">
        <w:rPr>
          <w:rFonts w:ascii="Times New Roman" w:hAnsi="Times New Roman" w:cs="Times New Roman"/>
          <w:szCs w:val="24"/>
        </w:rPr>
        <w:t xml:space="preserve">” (Cambridge, Foster </w:t>
      </w:r>
      <w:r w:rsidR="00950AF9" w:rsidRPr="00E869A4">
        <w:rPr>
          <w:rFonts w:ascii="Times New Roman" w:hAnsi="Times New Roman" w:cs="Times New Roman"/>
          <w:szCs w:val="24"/>
        </w:rPr>
        <w:t>&amp;</w:t>
      </w:r>
      <w:r w:rsidR="00654590" w:rsidRPr="00E869A4">
        <w:rPr>
          <w:rFonts w:ascii="Times New Roman" w:hAnsi="Times New Roman" w:cs="Times New Roman"/>
          <w:szCs w:val="24"/>
        </w:rPr>
        <w:t xml:space="preserve"> Mallalieu 2017, p. 9)</w:t>
      </w:r>
      <w:r w:rsidR="00E82B4C" w:rsidRPr="00E869A4">
        <w:rPr>
          <w:rFonts w:ascii="Times New Roman" w:hAnsi="Times New Roman" w:cs="Times New Roman"/>
          <w:szCs w:val="24"/>
        </w:rPr>
        <w:t>.</w:t>
      </w:r>
    </w:p>
    <w:p w14:paraId="3A992256" w14:textId="77777777" w:rsidR="00947041" w:rsidRPr="00E869A4" w:rsidRDefault="00947041" w:rsidP="00A35FF8">
      <w:pPr>
        <w:autoSpaceDE w:val="0"/>
        <w:autoSpaceDN w:val="0"/>
        <w:adjustRightInd w:val="0"/>
        <w:rPr>
          <w:rFonts w:ascii="Times New Roman" w:hAnsi="Times New Roman" w:cs="Times New Roman"/>
          <w:szCs w:val="24"/>
        </w:rPr>
      </w:pPr>
    </w:p>
    <w:p w14:paraId="1FC71B34" w14:textId="0A607C37" w:rsidR="007A5119" w:rsidRPr="00E869A4" w:rsidRDefault="007A5119" w:rsidP="00E35CF9">
      <w:pPr>
        <w:autoSpaceDE w:val="0"/>
        <w:autoSpaceDN w:val="0"/>
        <w:adjustRightInd w:val="0"/>
        <w:ind w:firstLine="720"/>
        <w:rPr>
          <w:rFonts w:ascii="Times New Roman" w:hAnsi="Times New Roman" w:cs="Times New Roman"/>
          <w:szCs w:val="24"/>
        </w:rPr>
      </w:pPr>
      <w:r w:rsidRPr="00E869A4">
        <w:rPr>
          <w:rFonts w:ascii="Times New Roman" w:hAnsi="Times New Roman" w:cs="Times New Roman"/>
          <w:szCs w:val="24"/>
        </w:rPr>
        <w:t xml:space="preserve">Some variation </w:t>
      </w:r>
      <w:r w:rsidR="001A26AB" w:rsidRPr="00E869A4">
        <w:rPr>
          <w:rFonts w:ascii="Times New Roman" w:hAnsi="Times New Roman" w:cs="Times New Roman"/>
          <w:szCs w:val="24"/>
        </w:rPr>
        <w:t>was also</w:t>
      </w:r>
      <w:r w:rsidRPr="00E869A4">
        <w:rPr>
          <w:rFonts w:ascii="Times New Roman" w:hAnsi="Times New Roman" w:cs="Times New Roman"/>
          <w:szCs w:val="24"/>
        </w:rPr>
        <w:t xml:space="preserve"> observed in the familial arrangements of the two main ethnic</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ethnic</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groups. Indian-Trinidadian families are more likely to be part of an extended-family household and have relationships based on marriage at a relatively earlier age (Grahame 2006), while African-Trinidadian families are more likely to be based on common-law unions and may delay marriage until later years (Olsen 2009). It should be noted that over the years shifts have been observed in the family patterns of these groups given the increased educational and employment opportunities for women</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women</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migration</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"migration"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and changing values resulting from globali</w:t>
      </w:r>
      <w:r w:rsidR="00586357" w:rsidRPr="00E869A4">
        <w:rPr>
          <w:rFonts w:ascii="Times New Roman" w:hAnsi="Times New Roman" w:cs="Times New Roman"/>
          <w:szCs w:val="24"/>
        </w:rPr>
        <w:t>s</w:t>
      </w:r>
      <w:r w:rsidRPr="00E869A4">
        <w:rPr>
          <w:rFonts w:ascii="Times New Roman" w:hAnsi="Times New Roman" w:cs="Times New Roman"/>
          <w:szCs w:val="24"/>
        </w:rPr>
        <w:t xml:space="preserve">ation (Grahame 2006). However, the issue of ethnic identity cannot be ignored within this context. With respect to family care for older relatives, consideration must be given to the possibility that the needs of these two groups may differ in some respects (Elo 2009; </w:t>
      </w:r>
      <w:r w:rsidR="00C57B77" w:rsidRPr="00E869A4">
        <w:rPr>
          <w:rFonts w:ascii="Times New Roman" w:hAnsi="Times New Roman" w:cs="Times New Roman"/>
          <w:szCs w:val="24"/>
        </w:rPr>
        <w:t xml:space="preserve">Hambleton et al. 2005; </w:t>
      </w:r>
      <w:r w:rsidRPr="00E869A4">
        <w:rPr>
          <w:rFonts w:ascii="Times New Roman" w:hAnsi="Times New Roman" w:cs="Times New Roman"/>
          <w:szCs w:val="24"/>
        </w:rPr>
        <w:t>Mont</w:t>
      </w:r>
      <w:r w:rsidR="001A4FE5" w:rsidRPr="00E869A4">
        <w:rPr>
          <w:rFonts w:ascii="Times New Roman" w:hAnsi="Times New Roman" w:cs="Times New Roman"/>
          <w:szCs w:val="24"/>
        </w:rPr>
        <w:t>e</w:t>
      </w:r>
      <w:r w:rsidRPr="00E869A4">
        <w:rPr>
          <w:rFonts w:ascii="Times New Roman" w:hAnsi="Times New Roman" w:cs="Times New Roman"/>
          <w:szCs w:val="24"/>
        </w:rPr>
        <w:t>verde</w:t>
      </w:r>
      <w:r w:rsidR="001A4FE5" w:rsidRPr="00E869A4">
        <w:rPr>
          <w:rFonts w:ascii="Times New Roman" w:hAnsi="Times New Roman" w:cs="Times New Roman"/>
          <w:szCs w:val="24"/>
        </w:rPr>
        <w:t>,</w:t>
      </w:r>
      <w:r w:rsidRPr="00E869A4">
        <w:rPr>
          <w:rFonts w:ascii="Times New Roman" w:hAnsi="Times New Roman" w:cs="Times New Roman"/>
          <w:szCs w:val="24"/>
        </w:rPr>
        <w:t xml:space="preserve"> </w:t>
      </w:r>
      <w:r w:rsidR="001A4FE5" w:rsidRPr="00E869A4">
        <w:rPr>
          <w:rFonts w:ascii="Times New Roman" w:hAnsi="Times New Roman" w:cs="Times New Roman"/>
          <w:szCs w:val="24"/>
        </w:rPr>
        <w:t xml:space="preserve">Noronha &amp; Palloni </w:t>
      </w:r>
      <w:r w:rsidRPr="00E869A4">
        <w:rPr>
          <w:rFonts w:ascii="Times New Roman" w:hAnsi="Times New Roman" w:cs="Times New Roman"/>
          <w:szCs w:val="24"/>
        </w:rPr>
        <w:t>2009; Reyes-Ortiz et al</w:t>
      </w:r>
      <w:r w:rsidR="001A4FE5" w:rsidRPr="00E869A4">
        <w:rPr>
          <w:rFonts w:ascii="Times New Roman" w:hAnsi="Times New Roman" w:cs="Times New Roman"/>
          <w:szCs w:val="24"/>
        </w:rPr>
        <w:t>.</w:t>
      </w:r>
      <w:r w:rsidRPr="00E869A4">
        <w:rPr>
          <w:rFonts w:ascii="Times New Roman" w:hAnsi="Times New Roman" w:cs="Times New Roman"/>
          <w:szCs w:val="24"/>
        </w:rPr>
        <w:t xml:space="preserve"> 2006</w:t>
      </w:r>
      <w:r w:rsidR="002A2FDE" w:rsidRPr="00E869A4">
        <w:rPr>
          <w:rFonts w:ascii="Times New Roman" w:hAnsi="Times New Roman" w:cs="Times New Roman"/>
          <w:szCs w:val="24"/>
        </w:rPr>
        <w:t>)</w:t>
      </w:r>
      <w:r w:rsidRPr="00E869A4">
        <w:rPr>
          <w:rFonts w:ascii="Times New Roman" w:hAnsi="Times New Roman" w:cs="Times New Roman"/>
          <w:szCs w:val="24"/>
        </w:rPr>
        <w:t xml:space="preserve">. </w:t>
      </w:r>
    </w:p>
    <w:p w14:paraId="63D4923F" w14:textId="77777777" w:rsidR="00C57B77" w:rsidRPr="00E869A4" w:rsidRDefault="00C57B77" w:rsidP="00A35FF8">
      <w:pPr>
        <w:autoSpaceDE w:val="0"/>
        <w:autoSpaceDN w:val="0"/>
        <w:adjustRightInd w:val="0"/>
        <w:rPr>
          <w:rFonts w:ascii="Times New Roman" w:hAnsi="Times New Roman" w:cs="Times New Roman"/>
          <w:szCs w:val="24"/>
        </w:rPr>
      </w:pPr>
    </w:p>
    <w:p w14:paraId="346B6B30" w14:textId="77777777" w:rsidR="00A3090C" w:rsidRPr="00E869A4" w:rsidRDefault="00A3090C" w:rsidP="009D4C5D">
      <w:pPr>
        <w:pStyle w:val="ListParagraph"/>
        <w:numPr>
          <w:ilvl w:val="0"/>
          <w:numId w:val="57"/>
        </w:numPr>
        <w:contextualSpacing w:val="0"/>
        <w:rPr>
          <w:rFonts w:ascii="Times New Roman" w:hAnsi="Times New Roman" w:cs="Times New Roman"/>
          <w:b/>
          <w:bCs/>
          <w:iCs/>
          <w:vanish/>
          <w:szCs w:val="24"/>
          <w:u w:val="single"/>
          <w:lang w:eastAsia="en-US"/>
        </w:rPr>
      </w:pPr>
      <w:bookmarkStart w:id="21" w:name="_Toc510469569"/>
    </w:p>
    <w:p w14:paraId="17FBED5A" w14:textId="77777777" w:rsidR="00A3090C" w:rsidRPr="00E869A4" w:rsidRDefault="00A3090C" w:rsidP="009D4C5D">
      <w:pPr>
        <w:pStyle w:val="ListParagraph"/>
        <w:numPr>
          <w:ilvl w:val="1"/>
          <w:numId w:val="57"/>
        </w:numPr>
        <w:contextualSpacing w:val="0"/>
        <w:rPr>
          <w:rFonts w:ascii="Times New Roman" w:hAnsi="Times New Roman" w:cs="Times New Roman"/>
          <w:b/>
          <w:bCs/>
          <w:iCs/>
          <w:vanish/>
          <w:szCs w:val="24"/>
          <w:u w:val="single"/>
          <w:lang w:eastAsia="en-US"/>
        </w:rPr>
      </w:pPr>
    </w:p>
    <w:p w14:paraId="36CD522A" w14:textId="77777777" w:rsidR="00A3090C" w:rsidRPr="00E869A4" w:rsidRDefault="00A3090C" w:rsidP="009D4C5D">
      <w:pPr>
        <w:pStyle w:val="ListParagraph"/>
        <w:numPr>
          <w:ilvl w:val="1"/>
          <w:numId w:val="57"/>
        </w:numPr>
        <w:contextualSpacing w:val="0"/>
        <w:rPr>
          <w:rFonts w:ascii="Times New Roman" w:hAnsi="Times New Roman" w:cs="Times New Roman"/>
          <w:b/>
          <w:bCs/>
          <w:iCs/>
          <w:vanish/>
          <w:szCs w:val="24"/>
          <w:u w:val="single"/>
          <w:lang w:eastAsia="en-US"/>
        </w:rPr>
      </w:pPr>
    </w:p>
    <w:p w14:paraId="7DD5DF22" w14:textId="77777777" w:rsidR="00A3090C" w:rsidRPr="00E869A4" w:rsidRDefault="00A3090C" w:rsidP="009D4C5D">
      <w:pPr>
        <w:pStyle w:val="ListParagraph"/>
        <w:numPr>
          <w:ilvl w:val="1"/>
          <w:numId w:val="57"/>
        </w:numPr>
        <w:contextualSpacing w:val="0"/>
        <w:rPr>
          <w:rFonts w:ascii="Times New Roman" w:hAnsi="Times New Roman" w:cs="Times New Roman"/>
          <w:b/>
          <w:bCs/>
          <w:iCs/>
          <w:vanish/>
          <w:szCs w:val="24"/>
          <w:u w:val="single"/>
          <w:lang w:eastAsia="en-US"/>
        </w:rPr>
      </w:pPr>
    </w:p>
    <w:p w14:paraId="1D47D33B" w14:textId="54FD5B0F" w:rsidR="00552359" w:rsidRDefault="00552359" w:rsidP="00552359">
      <w:pPr>
        <w:ind w:firstLine="720"/>
      </w:pPr>
      <w:r>
        <w:t xml:space="preserve">While some aspects of ageing and caregiving are experienced across all cultural groups (Lim et al. 1996), the heterogeneity of experiences must not be overlooked. The gerontological literature points to several cross-cultural variations in family caregiving practices. Lai’s (2009) review of the literature </w:t>
      </w:r>
      <w:r>
        <w:lastRenderedPageBreak/>
        <w:t xml:space="preserve">highlights four key findings in cultural studies on family care for older persons:  1) the beliefs and values about family caregiving vary across different ethno-cultural groups; 2) cultural variations define how roles and responsibilities of caregiving are allocated in different cultures; 3) differences in caregiving outcomes (e.g. burden, stress and depression levels) are reported between different ethno-cultural groups; and, </w:t>
      </w:r>
    </w:p>
    <w:p w14:paraId="041CE28F" w14:textId="3FC60507" w:rsidR="00E867E5" w:rsidRDefault="00552359" w:rsidP="00552359">
      <w:pPr>
        <w:ind w:firstLine="0"/>
      </w:pPr>
      <w:r>
        <w:t xml:space="preserve">4) culture was found to have an effect on the use of formal services. </w:t>
      </w:r>
      <w:r w:rsidRPr="00552359">
        <w:t>Blakemore’s ground-breaking work on ageing among minority eth</w:t>
      </w:r>
      <w:r>
        <w:t>nic groups in the UK (Blakemore</w:t>
      </w:r>
      <w:r w:rsidR="00D1290A">
        <w:t xml:space="preserve"> 1982 &amp; 1983</w:t>
      </w:r>
      <w:r w:rsidRPr="00552359">
        <w:t>) highlighted several of these issues as did more recent publications by, for example,  Blakemore and Boneham (1994), Bajekal at al</w:t>
      </w:r>
      <w:r w:rsidR="000E4D5B">
        <w:t>.</w:t>
      </w:r>
      <w:r w:rsidRPr="00552359">
        <w:t xml:space="preserve"> </w:t>
      </w:r>
      <w:r w:rsidRPr="00746BDD">
        <w:rPr>
          <w:lang w:val="fr-FR"/>
        </w:rPr>
        <w:t>(2004), Evandrou (2000), Grewal et al</w:t>
      </w:r>
      <w:r w:rsidR="000E4D5B" w:rsidRPr="00746BDD">
        <w:rPr>
          <w:lang w:val="fr-FR"/>
        </w:rPr>
        <w:t>.</w:t>
      </w:r>
      <w:r w:rsidRPr="00746BDD">
        <w:rPr>
          <w:lang w:val="fr-FR"/>
        </w:rPr>
        <w:t xml:space="preserve"> (2004), Lawrence et al</w:t>
      </w:r>
      <w:r w:rsidR="000E4D5B" w:rsidRPr="00746BDD">
        <w:rPr>
          <w:lang w:val="fr-FR"/>
        </w:rPr>
        <w:t>.</w:t>
      </w:r>
      <w:r w:rsidRPr="00746BDD">
        <w:rPr>
          <w:lang w:val="fr-FR"/>
        </w:rPr>
        <w:t xml:space="preserve"> (2006), McMunn et al. </w:t>
      </w:r>
      <w:r w:rsidRPr="000E4D5B">
        <w:t xml:space="preserve">(2009) and Nazroo et al. (2004). </w:t>
      </w:r>
      <w:r>
        <w:t xml:space="preserve">Increasingly attention has been placed on ageing within minority groups in European countries (Bowes and Dar, 2000) and the cultural differences in family caregiving practices between Western </w:t>
      </w:r>
      <w:r w:rsidR="00530003">
        <w:t>and Eastern societies (Hamilton 2000; Liu and Kendig</w:t>
      </w:r>
      <w:r>
        <w:t xml:space="preserve"> 2000). Even so, the research to date on culture and family care for older persons is inadequate and inconclusive about the satisfactions, motives and challenges associated with the caregiving experience between different ethnic groups (Crewe 2005; de Valk and Schans 2008; Dilworth-Anderson et al. 2004). Most of the gerontological research currently available has been conducted in multicultural societies in which there is a clear majority and/or ‘ethnic’ minority such as in the </w:t>
      </w:r>
      <w:r w:rsidR="00323A31">
        <w:t>USA and Canada</w:t>
      </w:r>
      <w:r w:rsidR="00D1290A">
        <w:t>,</w:t>
      </w:r>
      <w:r w:rsidR="00323A31">
        <w:t xml:space="preserve"> which is distinct </w:t>
      </w:r>
      <w:r w:rsidR="00D1290A">
        <w:t>from</w:t>
      </w:r>
      <w:r w:rsidR="00323A31">
        <w:t xml:space="preserve"> the situation in countries like T&amp;T and Guyana where more than one major ethnic group exists. </w:t>
      </w:r>
      <w:r>
        <w:t xml:space="preserve"> </w:t>
      </w:r>
    </w:p>
    <w:p w14:paraId="5E1D318F" w14:textId="77777777" w:rsidR="00552359" w:rsidRPr="00552359" w:rsidRDefault="00552359" w:rsidP="00552359">
      <w:pPr>
        <w:ind w:firstLine="0"/>
      </w:pPr>
    </w:p>
    <w:p w14:paraId="10DE1F4E" w14:textId="64F0F6EB" w:rsidR="00384DB1" w:rsidRPr="00E869A4" w:rsidRDefault="00607FEC" w:rsidP="005C449C">
      <w:pPr>
        <w:pStyle w:val="Heading3"/>
      </w:pPr>
      <w:bookmarkStart w:id="22" w:name="_Toc40436450"/>
      <w:r w:rsidRPr="00E869A4">
        <w:t>1.</w:t>
      </w:r>
      <w:r w:rsidR="00B364F8" w:rsidRPr="00E869A4">
        <w:t>2</w:t>
      </w:r>
      <w:r w:rsidRPr="00E869A4">
        <w:t>.2</w:t>
      </w:r>
      <w:r w:rsidR="00BE40EF" w:rsidRPr="00E869A4">
        <w:t xml:space="preserve">     </w:t>
      </w:r>
      <w:r w:rsidR="00AF3F0B" w:rsidRPr="00E869A4">
        <w:t>Economic Situation</w:t>
      </w:r>
      <w:bookmarkEnd w:id="21"/>
      <w:bookmarkEnd w:id="22"/>
      <w:r w:rsidR="00AF3F0B" w:rsidRPr="00E869A4">
        <w:t xml:space="preserve"> </w:t>
      </w:r>
    </w:p>
    <w:p w14:paraId="3463A1DE" w14:textId="77777777" w:rsidR="00A35FF8" w:rsidRPr="00E869A4" w:rsidRDefault="00A35FF8" w:rsidP="0051234F">
      <w:pPr>
        <w:pStyle w:val="112"/>
        <w:rPr>
          <w:color w:val="auto"/>
        </w:rPr>
      </w:pPr>
    </w:p>
    <w:p w14:paraId="134EC651" w14:textId="01EA6BCE" w:rsidR="00FD71A7" w:rsidRPr="00E869A4" w:rsidRDefault="001E3EE7" w:rsidP="00763FF7">
      <w:pPr>
        <w:rPr>
          <w:rFonts w:ascii="Times New Roman" w:hAnsi="Times New Roman" w:cs="Times New Roman"/>
        </w:rPr>
      </w:pPr>
      <w:r w:rsidRPr="00E869A4">
        <w:rPr>
          <w:rFonts w:ascii="Times New Roman" w:hAnsi="Times New Roman" w:cs="Times New Roman"/>
        </w:rPr>
        <w:t>F</w:t>
      </w:r>
      <w:r w:rsidR="00384DB1" w:rsidRPr="00E869A4">
        <w:rPr>
          <w:rFonts w:ascii="Times New Roman" w:hAnsi="Times New Roman" w:cs="Times New Roman"/>
        </w:rPr>
        <w:t xml:space="preserve">or several years, </w:t>
      </w:r>
      <w:r w:rsidR="006F24F7" w:rsidRPr="00E869A4">
        <w:rPr>
          <w:rFonts w:ascii="Times New Roman" w:hAnsi="Times New Roman" w:cs="Times New Roman"/>
        </w:rPr>
        <w:t>T&amp;T</w:t>
      </w:r>
      <w:r w:rsidR="00384DB1" w:rsidRPr="00E869A4">
        <w:rPr>
          <w:rFonts w:ascii="Times New Roman" w:hAnsi="Times New Roman" w:cs="Times New Roman"/>
        </w:rPr>
        <w:t xml:space="preserve"> was the wealthiest member of the Caribbean Community (CARICOM</w:t>
      </w:r>
      <w:r w:rsidR="00D41C8E" w:rsidRPr="00E869A4">
        <w:rPr>
          <w:rFonts w:ascii="Times New Roman" w:hAnsi="Times New Roman" w:cs="Times New Roman"/>
        </w:rPr>
        <w:fldChar w:fldCharType="begin"/>
      </w:r>
      <w:r w:rsidR="00384DB1" w:rsidRPr="00E869A4">
        <w:rPr>
          <w:rFonts w:ascii="Times New Roman" w:hAnsi="Times New Roman" w:cs="Times New Roman"/>
        </w:rPr>
        <w:instrText xml:space="preserve"> XE "CARICOM" </w:instrText>
      </w:r>
      <w:r w:rsidR="00D41C8E" w:rsidRPr="00E869A4">
        <w:rPr>
          <w:rFonts w:ascii="Times New Roman" w:hAnsi="Times New Roman" w:cs="Times New Roman"/>
        </w:rPr>
        <w:fldChar w:fldCharType="end"/>
      </w:r>
      <w:r w:rsidR="00384DB1" w:rsidRPr="00E869A4">
        <w:rPr>
          <w:rFonts w:ascii="Times New Roman" w:hAnsi="Times New Roman" w:cs="Times New Roman"/>
        </w:rPr>
        <w:t>) and the third wealthiest country in the Latin American and Caribbean (LAC</w:t>
      </w:r>
      <w:r w:rsidR="00D41C8E" w:rsidRPr="00E869A4">
        <w:rPr>
          <w:rFonts w:ascii="Times New Roman" w:hAnsi="Times New Roman" w:cs="Times New Roman"/>
        </w:rPr>
        <w:fldChar w:fldCharType="begin"/>
      </w:r>
      <w:r w:rsidR="00384DB1" w:rsidRPr="00E869A4">
        <w:rPr>
          <w:rFonts w:ascii="Times New Roman" w:hAnsi="Times New Roman" w:cs="Times New Roman"/>
        </w:rPr>
        <w:instrText xml:space="preserve"> XE "LAC" </w:instrText>
      </w:r>
      <w:r w:rsidR="00D41C8E" w:rsidRPr="00E869A4">
        <w:rPr>
          <w:rFonts w:ascii="Times New Roman" w:hAnsi="Times New Roman" w:cs="Times New Roman"/>
        </w:rPr>
        <w:fldChar w:fldCharType="end"/>
      </w:r>
      <w:r w:rsidR="00384DB1" w:rsidRPr="00E869A4">
        <w:rPr>
          <w:rFonts w:ascii="Times New Roman" w:hAnsi="Times New Roman" w:cs="Times New Roman"/>
        </w:rPr>
        <w:t xml:space="preserve">) region. In </w:t>
      </w:r>
      <w:r w:rsidR="00A022AC" w:rsidRPr="00E869A4">
        <w:rPr>
          <w:rFonts w:ascii="Times New Roman" w:hAnsi="Times New Roman" w:cs="Times New Roman"/>
        </w:rPr>
        <w:t>2016,</w:t>
      </w:r>
      <w:r w:rsidR="00384DB1" w:rsidRPr="00E869A4">
        <w:rPr>
          <w:rFonts w:ascii="Times New Roman" w:hAnsi="Times New Roman" w:cs="Times New Roman"/>
        </w:rPr>
        <w:t xml:space="preserve"> </w:t>
      </w:r>
      <w:r w:rsidR="006F24F7" w:rsidRPr="00E869A4">
        <w:rPr>
          <w:rFonts w:ascii="Times New Roman" w:hAnsi="Times New Roman" w:cs="Times New Roman"/>
        </w:rPr>
        <w:t>T&amp;T</w:t>
      </w:r>
      <w:r w:rsidR="00384DB1" w:rsidRPr="00E869A4">
        <w:rPr>
          <w:rFonts w:ascii="Times New Roman" w:hAnsi="Times New Roman" w:cs="Times New Roman"/>
        </w:rPr>
        <w:t xml:space="preserve"> ranked 65 on the Human Development Index (HDI) and remains in the High Human Development category</w:t>
      </w:r>
      <w:r w:rsidR="00384DB1" w:rsidRPr="00E869A4">
        <w:rPr>
          <w:rStyle w:val="FootnoteReference"/>
          <w:rFonts w:ascii="Times New Roman" w:hAnsi="Times New Roman" w:cs="Times New Roman"/>
        </w:rPr>
        <w:footnoteReference w:id="3"/>
      </w:r>
      <w:r w:rsidR="00384DB1" w:rsidRPr="00E869A4">
        <w:rPr>
          <w:rFonts w:ascii="Times New Roman" w:hAnsi="Times New Roman" w:cs="Times New Roman"/>
        </w:rPr>
        <w:t xml:space="preserve">. </w:t>
      </w:r>
      <w:r w:rsidR="00504809" w:rsidRPr="00E869A4">
        <w:rPr>
          <w:rFonts w:ascii="Times New Roman" w:hAnsi="Times New Roman" w:cs="Times New Roman"/>
        </w:rPr>
        <w:t xml:space="preserve">In recent </w:t>
      </w:r>
      <w:r w:rsidR="00A022AC" w:rsidRPr="00E869A4">
        <w:rPr>
          <w:rFonts w:ascii="Times New Roman" w:hAnsi="Times New Roman" w:cs="Times New Roman"/>
        </w:rPr>
        <w:t>times,</w:t>
      </w:r>
      <w:r w:rsidR="00504809" w:rsidRPr="00E869A4">
        <w:rPr>
          <w:rFonts w:ascii="Times New Roman" w:hAnsi="Times New Roman" w:cs="Times New Roman"/>
        </w:rPr>
        <w:t xml:space="preserve"> the country has experienced significant economic</w:t>
      </w:r>
      <w:r w:rsidR="00D41C8E" w:rsidRPr="00E869A4">
        <w:rPr>
          <w:rFonts w:ascii="Times New Roman" w:hAnsi="Times New Roman" w:cs="Times New Roman"/>
        </w:rPr>
        <w:fldChar w:fldCharType="begin"/>
      </w:r>
      <w:r w:rsidR="00504809" w:rsidRPr="00E869A4">
        <w:rPr>
          <w:rFonts w:ascii="Times New Roman" w:hAnsi="Times New Roman" w:cs="Times New Roman"/>
        </w:rPr>
        <w:instrText xml:space="preserve"> XE "</w:instrText>
      </w:r>
      <w:r w:rsidR="00504809" w:rsidRPr="00E869A4">
        <w:rPr>
          <w:rFonts w:ascii="Times New Roman" w:hAnsi="Times New Roman" w:cs="Times New Roman"/>
          <w:szCs w:val="24"/>
        </w:rPr>
        <w:instrText>economic</w:instrText>
      </w:r>
      <w:r w:rsidR="00504809" w:rsidRPr="00E869A4">
        <w:rPr>
          <w:rFonts w:ascii="Times New Roman" w:hAnsi="Times New Roman" w:cs="Times New Roman"/>
        </w:rPr>
        <w:instrText xml:space="preserve">" </w:instrText>
      </w:r>
      <w:r w:rsidR="00D41C8E" w:rsidRPr="00E869A4">
        <w:rPr>
          <w:rFonts w:ascii="Times New Roman" w:hAnsi="Times New Roman" w:cs="Times New Roman"/>
        </w:rPr>
        <w:fldChar w:fldCharType="end"/>
      </w:r>
      <w:r w:rsidR="00504809" w:rsidRPr="00E869A4">
        <w:rPr>
          <w:rFonts w:ascii="Times New Roman" w:hAnsi="Times New Roman" w:cs="Times New Roman"/>
        </w:rPr>
        <w:t xml:space="preserve"> hardship given the price volatility of its commodities in the international marketplace. The economy contracted in the wake of the global financial crisis of 2007-2008 and the subsequent fall in oil prices since 2016, </w:t>
      </w:r>
      <w:r w:rsidRPr="00E869A4">
        <w:rPr>
          <w:rFonts w:ascii="Times New Roman" w:hAnsi="Times New Roman" w:cs="Times New Roman"/>
        </w:rPr>
        <w:t>and economic growth slowe</w:t>
      </w:r>
      <w:r w:rsidR="00885A9B" w:rsidRPr="00E869A4">
        <w:rPr>
          <w:rFonts w:ascii="Times New Roman" w:hAnsi="Times New Roman" w:cs="Times New Roman"/>
        </w:rPr>
        <w:t xml:space="preserve">d </w:t>
      </w:r>
      <w:r w:rsidRPr="00E869A4">
        <w:rPr>
          <w:rFonts w:ascii="Times New Roman" w:hAnsi="Times New Roman" w:cs="Times New Roman"/>
        </w:rPr>
        <w:t xml:space="preserve">to </w:t>
      </w:r>
      <w:r w:rsidR="00504809" w:rsidRPr="00E869A4">
        <w:rPr>
          <w:rFonts w:ascii="Times New Roman" w:hAnsi="Times New Roman" w:cs="Times New Roman"/>
        </w:rPr>
        <w:t>a record low of -10.08% in the third quarter of 2016 (</w:t>
      </w:r>
      <w:r w:rsidR="005D5A13" w:rsidRPr="00E869A4">
        <w:rPr>
          <w:rFonts w:ascii="Times New Roman" w:hAnsi="Times New Roman" w:cs="Times New Roman"/>
        </w:rPr>
        <w:t>GORTT</w:t>
      </w:r>
      <w:r w:rsidR="0093290C" w:rsidRPr="00E869A4">
        <w:rPr>
          <w:rFonts w:ascii="Times New Roman" w:hAnsi="Times New Roman" w:cs="Times New Roman"/>
        </w:rPr>
        <w:t xml:space="preserve"> 20</w:t>
      </w:r>
      <w:r w:rsidR="005D5A13" w:rsidRPr="00E869A4">
        <w:rPr>
          <w:rFonts w:ascii="Times New Roman" w:hAnsi="Times New Roman" w:cs="Times New Roman"/>
        </w:rPr>
        <w:t>1</w:t>
      </w:r>
      <w:r w:rsidR="0093290C" w:rsidRPr="00E869A4">
        <w:rPr>
          <w:rFonts w:ascii="Times New Roman" w:hAnsi="Times New Roman" w:cs="Times New Roman"/>
        </w:rPr>
        <w:t xml:space="preserve">6b; </w:t>
      </w:r>
      <w:r w:rsidR="00504809" w:rsidRPr="00E869A4">
        <w:rPr>
          <w:rFonts w:ascii="Times New Roman" w:hAnsi="Times New Roman" w:cs="Times New Roman"/>
        </w:rPr>
        <w:t xml:space="preserve">Sousa </w:t>
      </w:r>
      <w:r w:rsidR="0093290C" w:rsidRPr="00E869A4">
        <w:rPr>
          <w:rFonts w:ascii="Times New Roman" w:hAnsi="Times New Roman" w:cs="Times New Roman"/>
        </w:rPr>
        <w:t>&amp;</w:t>
      </w:r>
      <w:r w:rsidR="005D5A13" w:rsidRPr="00E869A4">
        <w:rPr>
          <w:rFonts w:ascii="Times New Roman" w:hAnsi="Times New Roman" w:cs="Times New Roman"/>
        </w:rPr>
        <w:t xml:space="preserve"> Fedec</w:t>
      </w:r>
      <w:r w:rsidR="00EB7358" w:rsidRPr="00E869A4">
        <w:rPr>
          <w:rFonts w:ascii="Times New Roman" w:hAnsi="Times New Roman" w:cs="Times New Roman"/>
        </w:rPr>
        <w:t xml:space="preserve"> 2017</w:t>
      </w:r>
      <w:r w:rsidR="00504809" w:rsidRPr="00E869A4">
        <w:rPr>
          <w:rFonts w:ascii="Times New Roman" w:hAnsi="Times New Roman" w:cs="Times New Roman"/>
        </w:rPr>
        <w:t xml:space="preserve">). </w:t>
      </w:r>
      <w:r w:rsidR="00A022AC" w:rsidRPr="00E869A4">
        <w:rPr>
          <w:rFonts w:ascii="Times New Roman" w:hAnsi="Times New Roman" w:cs="Times New Roman"/>
        </w:rPr>
        <w:t>This situation increased the risk of impoverishment of vulnerable groups, and exacerbate</w:t>
      </w:r>
      <w:r w:rsidRPr="00E869A4">
        <w:rPr>
          <w:rFonts w:ascii="Times New Roman" w:hAnsi="Times New Roman" w:cs="Times New Roman"/>
        </w:rPr>
        <w:t xml:space="preserve">d </w:t>
      </w:r>
      <w:r w:rsidR="00A022AC" w:rsidRPr="00E869A4">
        <w:rPr>
          <w:rFonts w:ascii="Times New Roman" w:hAnsi="Times New Roman" w:cs="Times New Roman"/>
        </w:rPr>
        <w:t xml:space="preserve">socio-economic inequity in the nation. </w:t>
      </w:r>
    </w:p>
    <w:p w14:paraId="642FF97A" w14:textId="7F97238C" w:rsidR="00565989" w:rsidRPr="00E869A4" w:rsidRDefault="00504809" w:rsidP="00763FF7">
      <w:pPr>
        <w:rPr>
          <w:rFonts w:ascii="Times New Roman" w:hAnsi="Times New Roman" w:cs="Times New Roman"/>
        </w:rPr>
      </w:pPr>
      <w:r w:rsidRPr="00E869A4">
        <w:rPr>
          <w:rFonts w:ascii="Times New Roman" w:hAnsi="Times New Roman" w:cs="Times New Roman"/>
        </w:rPr>
        <w:lastRenderedPageBreak/>
        <w:t xml:space="preserve">The most recent Survey of Living Conditions (SLC) available for </w:t>
      </w:r>
      <w:r w:rsidR="006F24F7" w:rsidRPr="00E869A4">
        <w:rPr>
          <w:rFonts w:ascii="Times New Roman" w:hAnsi="Times New Roman" w:cs="Times New Roman"/>
        </w:rPr>
        <w:t>T&amp;T</w:t>
      </w:r>
      <w:r w:rsidRPr="00E869A4">
        <w:rPr>
          <w:rFonts w:ascii="Times New Roman" w:hAnsi="Times New Roman" w:cs="Times New Roman"/>
        </w:rPr>
        <w:t xml:space="preserve"> (2005) reported that about 16.7% of the population are poor</w:t>
      </w:r>
      <w:r w:rsidR="0026621E" w:rsidRPr="00E869A4">
        <w:rPr>
          <w:rFonts w:ascii="Times New Roman" w:hAnsi="Times New Roman" w:cs="Times New Roman"/>
        </w:rPr>
        <w:t>.</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"poor" </w:instrText>
      </w:r>
      <w:r w:rsidR="00D41C8E" w:rsidRPr="00E869A4">
        <w:rPr>
          <w:rFonts w:ascii="Times New Roman" w:hAnsi="Times New Roman" w:cs="Times New Roman"/>
        </w:rPr>
        <w:fldChar w:fldCharType="end"/>
      </w:r>
      <w:r w:rsidR="001C5377" w:rsidRPr="00E869A4">
        <w:t xml:space="preserve"> </w:t>
      </w:r>
      <w:r w:rsidR="001C5377" w:rsidRPr="00E869A4">
        <w:rPr>
          <w:rFonts w:ascii="Times New Roman" w:hAnsi="Times New Roman" w:cs="Times New Roman"/>
        </w:rPr>
        <w:t>Cambridge</w:t>
      </w:r>
      <w:r w:rsidR="00437133" w:rsidRPr="00E869A4">
        <w:rPr>
          <w:rFonts w:ascii="Times New Roman" w:hAnsi="Times New Roman" w:cs="Times New Roman"/>
        </w:rPr>
        <w:t xml:space="preserve"> and colleagues</w:t>
      </w:r>
      <w:r w:rsidR="001C5377" w:rsidRPr="00E869A4">
        <w:rPr>
          <w:rFonts w:ascii="Times New Roman" w:hAnsi="Times New Roman" w:cs="Times New Roman"/>
        </w:rPr>
        <w:t xml:space="preserve"> </w:t>
      </w:r>
      <w:r w:rsidRPr="00E869A4">
        <w:rPr>
          <w:rFonts w:ascii="Times New Roman" w:hAnsi="Times New Roman" w:cs="Times New Roman"/>
        </w:rPr>
        <w:t>caution</w:t>
      </w:r>
      <w:r w:rsidR="00E169AA" w:rsidRPr="00E869A4">
        <w:rPr>
          <w:rFonts w:ascii="Times New Roman" w:hAnsi="Times New Roman" w:cs="Times New Roman"/>
        </w:rPr>
        <w:t>ed</w:t>
      </w:r>
      <w:r w:rsidRPr="00E869A4">
        <w:rPr>
          <w:rFonts w:ascii="Times New Roman" w:hAnsi="Times New Roman" w:cs="Times New Roman"/>
        </w:rPr>
        <w:t xml:space="preserve"> that</w:t>
      </w:r>
      <w:r w:rsidR="00654590" w:rsidRPr="00E869A4">
        <w:rPr>
          <w:rFonts w:ascii="Times New Roman" w:hAnsi="Times New Roman" w:cs="Times New Roman"/>
        </w:rPr>
        <w:t>,</w:t>
      </w:r>
      <w:r w:rsidR="002F05CF" w:rsidRPr="00E869A4">
        <w:rPr>
          <w:rFonts w:ascii="Times New Roman" w:hAnsi="Times New Roman" w:cs="Times New Roman"/>
        </w:rPr>
        <w:t xml:space="preserve"> </w:t>
      </w:r>
      <w:r w:rsidRPr="00E869A4">
        <w:rPr>
          <w:rFonts w:ascii="Times New Roman" w:hAnsi="Times New Roman" w:cs="Times New Roman"/>
        </w:rPr>
        <w:t>“</w:t>
      </w:r>
      <w:r w:rsidR="00654590" w:rsidRPr="00E869A4">
        <w:rPr>
          <w:rFonts w:ascii="Times New Roman" w:hAnsi="Times New Roman" w:cs="Times New Roman"/>
        </w:rPr>
        <w:t>[w]</w:t>
      </w:r>
      <w:r w:rsidRPr="00E869A4">
        <w:rPr>
          <w:rFonts w:ascii="Times New Roman" w:hAnsi="Times New Roman" w:cs="Times New Roman"/>
        </w:rPr>
        <w:t>hile this figure is the lowest experienced in recent times, it is worth noting [the] history of increased poverty</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"poverty"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in times of economic</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economic</w:instrText>
      </w:r>
      <w:r w:rsidRPr="00E869A4">
        <w:rPr>
          <w:rFonts w:ascii="Times New Roman" w:hAnsi="Times New Roman" w:cs="Times New Roman"/>
        </w:rPr>
        <w:instrText xml:space="preserve">"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downturn [in] Trinidad and Tobago</w:t>
      </w:r>
      <w:r w:rsidR="00D11E0D" w:rsidRPr="00E869A4">
        <w:rPr>
          <w:rFonts w:ascii="Times New Roman" w:hAnsi="Times New Roman" w:cs="Times New Roman"/>
        </w:rPr>
        <w:t>.</w:t>
      </w:r>
      <w:r w:rsidR="00654590" w:rsidRPr="00E869A4">
        <w:rPr>
          <w:rFonts w:ascii="Times New Roman" w:hAnsi="Times New Roman" w:cs="Times New Roman"/>
        </w:rPr>
        <w:t xml:space="preserve">” (Cambridge, Foster &amp; Mallalieu (2017, p. 5). </w:t>
      </w:r>
      <w:r w:rsidR="002F05CF" w:rsidRPr="00E869A4">
        <w:rPr>
          <w:rFonts w:ascii="Times New Roman" w:hAnsi="Times New Roman" w:cs="Times New Roman"/>
        </w:rPr>
        <w:t xml:space="preserve"> </w:t>
      </w:r>
      <w:r w:rsidRPr="00E869A4">
        <w:rPr>
          <w:rFonts w:ascii="Times New Roman" w:hAnsi="Times New Roman" w:cs="Times New Roman"/>
        </w:rPr>
        <w:t xml:space="preserve">A </w:t>
      </w:r>
      <w:r w:rsidR="000A58B2" w:rsidRPr="00E869A4">
        <w:rPr>
          <w:rFonts w:ascii="Times New Roman" w:hAnsi="Times New Roman" w:cs="Times New Roman"/>
        </w:rPr>
        <w:t>UN</w:t>
      </w:r>
      <w:r w:rsidRPr="00E869A4">
        <w:rPr>
          <w:rFonts w:ascii="Times New Roman" w:hAnsi="Times New Roman" w:cs="Times New Roman"/>
        </w:rPr>
        <w:t xml:space="preserve"> report echoed a similar sentiment and noted that</w:t>
      </w:r>
      <w:r w:rsidR="002F05CF" w:rsidRPr="00E869A4">
        <w:rPr>
          <w:rFonts w:ascii="Times New Roman" w:hAnsi="Times New Roman" w:cs="Times New Roman"/>
        </w:rPr>
        <w:t xml:space="preserve"> </w:t>
      </w:r>
      <w:r w:rsidRPr="00E869A4">
        <w:rPr>
          <w:rFonts w:ascii="Times New Roman" w:hAnsi="Times New Roman" w:cs="Times New Roman"/>
        </w:rPr>
        <w:t>“</w:t>
      </w:r>
      <w:r w:rsidR="00654590" w:rsidRPr="00E869A4">
        <w:rPr>
          <w:rFonts w:ascii="Times New Roman" w:hAnsi="Times New Roman" w:cs="Times New Roman"/>
        </w:rPr>
        <w:t>[w]</w:t>
      </w:r>
      <w:r w:rsidRPr="00E869A4">
        <w:rPr>
          <w:rFonts w:ascii="Times New Roman" w:hAnsi="Times New Roman" w:cs="Times New Roman"/>
        </w:rPr>
        <w:t>hile trends show a reduction in poverty</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"poverty"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indicators</w:t>
      </w:r>
      <w:r w:rsidRPr="00E869A4">
        <w:rPr>
          <w:rStyle w:val="FootnoteReference"/>
          <w:rFonts w:ascii="Times New Roman" w:hAnsi="Times New Roman" w:cs="Times New Roman"/>
        </w:rPr>
        <w:footnoteReference w:id="4"/>
      </w:r>
      <w:r w:rsidRPr="00E869A4">
        <w:rPr>
          <w:rFonts w:ascii="Times New Roman" w:hAnsi="Times New Roman" w:cs="Times New Roman"/>
        </w:rPr>
        <w:t xml:space="preserve">, there is also evidence of highly concentrated </w:t>
      </w:r>
      <w:r w:rsidR="0026621E" w:rsidRPr="00E869A4">
        <w:rPr>
          <w:rFonts w:ascii="Times New Roman" w:hAnsi="Times New Roman" w:cs="Times New Roman"/>
        </w:rPr>
        <w:t>‘</w:t>
      </w:r>
      <w:r w:rsidRPr="00E869A4">
        <w:rPr>
          <w:rFonts w:ascii="Times New Roman" w:hAnsi="Times New Roman" w:cs="Times New Roman"/>
        </w:rPr>
        <w:t>pockets of poverty</w:t>
      </w:r>
      <w:r w:rsidR="0026621E" w:rsidRPr="00E869A4">
        <w:rPr>
          <w:rFonts w:ascii="Times New Roman" w:hAnsi="Times New Roman" w:cs="Times New Roman"/>
        </w:rPr>
        <w:t>’</w:t>
      </w:r>
      <w:r w:rsidRPr="00E869A4">
        <w:rPr>
          <w:rFonts w:ascii="Times New Roman" w:hAnsi="Times New Roman" w:cs="Times New Roman"/>
        </w:rPr>
        <w:t xml:space="preserve"> which reveal continuing inequity</w:t>
      </w:r>
      <w:r w:rsidR="00437133" w:rsidRPr="00E869A4">
        <w:rPr>
          <w:rFonts w:ascii="Times New Roman" w:hAnsi="Times New Roman" w:cs="Times New Roman"/>
        </w:rPr>
        <w:t>.</w:t>
      </w:r>
      <w:r w:rsidR="00AB0D91" w:rsidRPr="00E869A4">
        <w:rPr>
          <w:rFonts w:ascii="Times New Roman" w:hAnsi="Times New Roman" w:cs="Times New Roman"/>
        </w:rPr>
        <w:t>” (UN</w:t>
      </w:r>
      <w:r w:rsidRPr="00E869A4">
        <w:rPr>
          <w:rFonts w:ascii="Times New Roman" w:hAnsi="Times New Roman" w:cs="Times New Roman"/>
        </w:rPr>
        <w:t xml:space="preserve"> 2011).</w:t>
      </w:r>
      <w:r w:rsidR="00FD71A7" w:rsidRPr="00E869A4">
        <w:rPr>
          <w:rFonts w:ascii="Times New Roman" w:hAnsi="Times New Roman" w:cs="Times New Roman"/>
        </w:rPr>
        <w:t xml:space="preserve"> </w:t>
      </w:r>
    </w:p>
    <w:p w14:paraId="13FDF2D5" w14:textId="77777777" w:rsidR="00654590" w:rsidRPr="00E869A4" w:rsidRDefault="00654590" w:rsidP="00763FF7">
      <w:pPr>
        <w:rPr>
          <w:rFonts w:ascii="Times New Roman" w:hAnsi="Times New Roman" w:cs="Times New Roman"/>
        </w:rPr>
      </w:pPr>
    </w:p>
    <w:p w14:paraId="7A814893" w14:textId="0E42A4E4" w:rsidR="00FE3E48" w:rsidRPr="00E869A4" w:rsidRDefault="00504809" w:rsidP="00763FF7">
      <w:pPr>
        <w:rPr>
          <w:rFonts w:ascii="Times New Roman" w:hAnsi="Times New Roman" w:cs="Times New Roman"/>
        </w:rPr>
      </w:pPr>
      <w:r w:rsidRPr="00E869A4">
        <w:rPr>
          <w:rFonts w:ascii="Times New Roman" w:hAnsi="Times New Roman" w:cs="Times New Roman"/>
        </w:rPr>
        <w:t>Furthermore, though the SLC (2005) reported that people aged 65 years and over are only marginally overrepresented among the non-poor</w:t>
      </w:r>
      <w:r w:rsidR="00BF4281" w:rsidRPr="00E869A4">
        <w:rPr>
          <w:rFonts w:ascii="Times New Roman" w:hAnsi="Times New Roman" w:cs="Times New Roman"/>
          <w:szCs w:val="24"/>
        </w:rPr>
        <w:t xml:space="preserve"> (Cambridge, Foster </w:t>
      </w:r>
      <w:r w:rsidR="00FD71A7" w:rsidRPr="00E869A4">
        <w:rPr>
          <w:rFonts w:ascii="Times New Roman" w:hAnsi="Times New Roman" w:cs="Times New Roman"/>
          <w:szCs w:val="24"/>
        </w:rPr>
        <w:t>&amp;</w:t>
      </w:r>
      <w:r w:rsidR="00BF4281" w:rsidRPr="00E869A4">
        <w:rPr>
          <w:rFonts w:ascii="Times New Roman" w:hAnsi="Times New Roman" w:cs="Times New Roman"/>
          <w:szCs w:val="24"/>
        </w:rPr>
        <w:t xml:space="preserve"> Mallalieu 2017; Kairi 2007)</w:t>
      </w:r>
      <w:r w:rsidRPr="00E869A4">
        <w:rPr>
          <w:rFonts w:ascii="Times New Roman" w:hAnsi="Times New Roman" w:cs="Times New Roman"/>
        </w:rPr>
        <w:t xml:space="preserve">, traditionally, older persons, </w:t>
      </w:r>
      <w:r w:rsidR="00885A9B" w:rsidRPr="00E869A4">
        <w:rPr>
          <w:rFonts w:ascii="Times New Roman" w:hAnsi="Times New Roman" w:cs="Times New Roman"/>
        </w:rPr>
        <w:t>persons with disabilities</w:t>
      </w:r>
      <w:r w:rsidR="0025355A" w:rsidRPr="00E869A4">
        <w:rPr>
          <w:rFonts w:ascii="Times New Roman" w:hAnsi="Times New Roman" w:cs="Times New Roman"/>
        </w:rPr>
        <w:t xml:space="preserve"> (pwds)</w:t>
      </w:r>
      <w:r w:rsidRPr="00E869A4">
        <w:rPr>
          <w:rFonts w:ascii="Times New Roman" w:hAnsi="Times New Roman" w:cs="Times New Roman"/>
        </w:rPr>
        <w:t xml:space="preserve"> and female headed households have been the groups that were mos</w:t>
      </w:r>
      <w:r w:rsidR="0026621E" w:rsidRPr="00E869A4">
        <w:rPr>
          <w:rFonts w:ascii="Times New Roman" w:hAnsi="Times New Roman" w:cs="Times New Roman"/>
        </w:rPr>
        <w:t>t susceptible to impoverishment</w:t>
      </w:r>
      <w:r w:rsidR="00A022AC" w:rsidRPr="00E869A4">
        <w:rPr>
          <w:rFonts w:ascii="Times New Roman" w:hAnsi="Times New Roman" w:cs="Times New Roman"/>
        </w:rPr>
        <w:t xml:space="preserve">. Thus, policy makers should give persons with these demographic characteristics careful </w:t>
      </w:r>
      <w:r w:rsidR="0026621E" w:rsidRPr="00E869A4">
        <w:rPr>
          <w:rFonts w:ascii="Times New Roman" w:hAnsi="Times New Roman" w:cs="Times New Roman"/>
        </w:rPr>
        <w:t>attention</w:t>
      </w:r>
      <w:r w:rsidRPr="00E869A4">
        <w:rPr>
          <w:rFonts w:ascii="Times New Roman" w:hAnsi="Times New Roman" w:cs="Times New Roman"/>
        </w:rPr>
        <w:t xml:space="preserve"> in times of economic hardship </w:t>
      </w:r>
      <w:r w:rsidR="00BF4281" w:rsidRPr="00E869A4">
        <w:rPr>
          <w:rFonts w:ascii="Times New Roman" w:hAnsi="Times New Roman" w:cs="Times New Roman"/>
          <w:szCs w:val="24"/>
        </w:rPr>
        <w:t xml:space="preserve">(Cambridge, Foster </w:t>
      </w:r>
      <w:r w:rsidR="00FD71A7" w:rsidRPr="00E869A4">
        <w:rPr>
          <w:rFonts w:ascii="Times New Roman" w:hAnsi="Times New Roman" w:cs="Times New Roman"/>
          <w:szCs w:val="24"/>
        </w:rPr>
        <w:t>&amp;</w:t>
      </w:r>
      <w:r w:rsidR="00BF4281" w:rsidRPr="00E869A4">
        <w:rPr>
          <w:rFonts w:ascii="Times New Roman" w:hAnsi="Times New Roman" w:cs="Times New Roman"/>
          <w:szCs w:val="24"/>
        </w:rPr>
        <w:t xml:space="preserve"> Mallalieu 2017; Worl</w:t>
      </w:r>
      <w:r w:rsidR="000A58B2" w:rsidRPr="00E869A4">
        <w:rPr>
          <w:rFonts w:ascii="Times New Roman" w:hAnsi="Times New Roman" w:cs="Times New Roman"/>
          <w:szCs w:val="24"/>
        </w:rPr>
        <w:t>d Bank</w:t>
      </w:r>
      <w:r w:rsidR="00BF4281" w:rsidRPr="00E869A4">
        <w:rPr>
          <w:rFonts w:ascii="Times New Roman" w:hAnsi="Times New Roman" w:cs="Times New Roman"/>
          <w:szCs w:val="24"/>
        </w:rPr>
        <w:t xml:space="preserve"> 1995)</w:t>
      </w:r>
      <w:r w:rsidRPr="00E869A4">
        <w:rPr>
          <w:rFonts w:ascii="Times New Roman" w:hAnsi="Times New Roman" w:cs="Times New Roman"/>
        </w:rPr>
        <w:t xml:space="preserve">. The high level of inequality in the country that was identified in the Human Development Report (2016) substantiates these concerns. According to the report, in 2015, </w:t>
      </w:r>
      <w:r w:rsidR="006F24F7" w:rsidRPr="00E869A4">
        <w:rPr>
          <w:rFonts w:ascii="Times New Roman" w:hAnsi="Times New Roman" w:cs="Times New Roman"/>
        </w:rPr>
        <w:t>T&amp;T</w:t>
      </w:r>
      <w:r w:rsidRPr="00E869A4">
        <w:rPr>
          <w:rFonts w:ascii="Times New Roman" w:hAnsi="Times New Roman" w:cs="Times New Roman"/>
        </w:rPr>
        <w:t xml:space="preserve"> experienced a 15.3% loss (-5 in HDI rank) on the Inequality Adjusted Human Development Index (IHDI) which points to the possibility of increased numbers of frail older persons becoming impoverished</w:t>
      </w:r>
      <w:r w:rsidR="004868A2" w:rsidRPr="00E869A4">
        <w:rPr>
          <w:rFonts w:ascii="Times New Roman" w:hAnsi="Times New Roman" w:cs="Times New Roman"/>
        </w:rPr>
        <w:t>.</w:t>
      </w:r>
    </w:p>
    <w:p w14:paraId="510B858F" w14:textId="77777777" w:rsidR="008D0A74" w:rsidRPr="00E869A4" w:rsidRDefault="008D0A74" w:rsidP="00763FF7">
      <w:pPr>
        <w:rPr>
          <w:rFonts w:ascii="Times New Roman" w:hAnsi="Times New Roman" w:cs="Times New Roman"/>
        </w:rPr>
      </w:pPr>
    </w:p>
    <w:p w14:paraId="1512A2E1" w14:textId="0AFFA68A" w:rsidR="004868A2" w:rsidRPr="00E869A4" w:rsidRDefault="00F63D30" w:rsidP="005C449C">
      <w:pPr>
        <w:pStyle w:val="Heading3"/>
      </w:pPr>
      <w:bookmarkStart w:id="23" w:name="_Toc510469570"/>
      <w:bookmarkStart w:id="24" w:name="_Toc40436451"/>
      <w:r w:rsidRPr="00E869A4">
        <w:t>1.</w:t>
      </w:r>
      <w:r w:rsidR="00B364F8" w:rsidRPr="00E869A4">
        <w:t>2</w:t>
      </w:r>
      <w:r w:rsidR="00BE40EF">
        <w:t>.3</w:t>
      </w:r>
      <w:r w:rsidR="00BE40EF" w:rsidRPr="00E869A4">
        <w:t xml:space="preserve">     </w:t>
      </w:r>
      <w:r w:rsidR="00AF3F0B" w:rsidRPr="00E869A4">
        <w:t xml:space="preserve">Population Ageing </w:t>
      </w:r>
      <w:r w:rsidR="00AB0D91" w:rsidRPr="00E869A4">
        <w:t>i</w:t>
      </w:r>
      <w:r w:rsidR="00AF3F0B" w:rsidRPr="00E869A4">
        <w:t xml:space="preserve">n </w:t>
      </w:r>
      <w:bookmarkEnd w:id="23"/>
      <w:r w:rsidR="00AB0D91" w:rsidRPr="00E869A4">
        <w:t>T&amp;T</w:t>
      </w:r>
      <w:bookmarkEnd w:id="24"/>
    </w:p>
    <w:p w14:paraId="06FF50C2" w14:textId="77777777" w:rsidR="00A35FF8" w:rsidRPr="00E869A4" w:rsidRDefault="00A35FF8" w:rsidP="0051234F">
      <w:pPr>
        <w:pStyle w:val="112"/>
        <w:rPr>
          <w:color w:val="auto"/>
        </w:rPr>
      </w:pPr>
    </w:p>
    <w:p w14:paraId="1D16AE47" w14:textId="77777777" w:rsidR="00203CCA" w:rsidRPr="00E869A4" w:rsidRDefault="00AB0D91" w:rsidP="00763FF7">
      <w:pPr>
        <w:rPr>
          <w:rFonts w:ascii="Times New Roman" w:hAnsi="Times New Roman" w:cs="Times New Roman"/>
        </w:rPr>
      </w:pPr>
      <w:r w:rsidRPr="00E869A4">
        <w:rPr>
          <w:rFonts w:ascii="Times New Roman" w:hAnsi="Times New Roman" w:cs="Times New Roman"/>
        </w:rPr>
        <w:t>T&amp;T</w:t>
      </w:r>
      <w:r w:rsidR="004868A2" w:rsidRPr="00E869A4">
        <w:rPr>
          <w:rFonts w:ascii="Times New Roman" w:hAnsi="Times New Roman" w:cs="Times New Roman"/>
        </w:rPr>
        <w:t xml:space="preserve"> is at an advanced stage of population ageing (Huenchuan 2013). Its population has increasingly tended towards a shrinking youth population and an increasing population of older persons (UN 2011). In 2015, </w:t>
      </w:r>
      <w:r w:rsidR="006F24F7" w:rsidRPr="00E869A4">
        <w:rPr>
          <w:rFonts w:ascii="Times New Roman" w:hAnsi="Times New Roman" w:cs="Times New Roman"/>
        </w:rPr>
        <w:t>T&amp;T</w:t>
      </w:r>
      <w:r w:rsidR="004868A2" w:rsidRPr="00E869A4">
        <w:rPr>
          <w:rFonts w:ascii="Times New Roman" w:hAnsi="Times New Roman" w:cs="Times New Roman"/>
        </w:rPr>
        <w:t xml:space="preserve"> had the third highest ageing index (69.6) and third largest population aged 60 years and over (14.5</w:t>
      </w:r>
      <w:r w:rsidR="00763FF7" w:rsidRPr="00E869A4">
        <w:rPr>
          <w:rFonts w:ascii="Times New Roman" w:hAnsi="Times New Roman" w:cs="Times New Roman"/>
        </w:rPr>
        <w:t>%) when compared with</w:t>
      </w:r>
      <w:r w:rsidR="004868A2" w:rsidRPr="00E869A4">
        <w:rPr>
          <w:rFonts w:ascii="Times New Roman" w:hAnsi="Times New Roman" w:cs="Times New Roman"/>
        </w:rPr>
        <w:t xml:space="preserve"> other countries of the </w:t>
      </w:r>
      <w:r w:rsidR="00763FF7" w:rsidRPr="00E869A4">
        <w:rPr>
          <w:rFonts w:ascii="Times New Roman" w:hAnsi="Times New Roman" w:cs="Times New Roman"/>
        </w:rPr>
        <w:t>English</w:t>
      </w:r>
      <w:r w:rsidR="00DD5325" w:rsidRPr="00E869A4">
        <w:rPr>
          <w:rFonts w:ascii="Times New Roman" w:hAnsi="Times New Roman" w:cs="Times New Roman"/>
        </w:rPr>
        <w:t>-</w:t>
      </w:r>
      <w:r w:rsidR="00763FF7" w:rsidRPr="00E869A4">
        <w:rPr>
          <w:rFonts w:ascii="Times New Roman" w:hAnsi="Times New Roman" w:cs="Times New Roman"/>
        </w:rPr>
        <w:t>Speaking Caribbean (</w:t>
      </w:r>
      <w:r w:rsidR="004868A2" w:rsidRPr="00E869A4">
        <w:rPr>
          <w:rFonts w:ascii="Times New Roman" w:hAnsi="Times New Roman" w:cs="Times New Roman"/>
        </w:rPr>
        <w:t>ESC</w:t>
      </w:r>
      <w:r w:rsidR="00763FF7" w:rsidRPr="00E869A4">
        <w:rPr>
          <w:rFonts w:ascii="Times New Roman" w:hAnsi="Times New Roman" w:cs="Times New Roman"/>
        </w:rPr>
        <w:t>)</w:t>
      </w:r>
      <w:r w:rsidR="004868A2" w:rsidRPr="00E869A4">
        <w:rPr>
          <w:rFonts w:ascii="Times New Roman" w:hAnsi="Times New Roman" w:cs="Times New Roman"/>
        </w:rPr>
        <w:t>. Projections suggest that the proportion of older persons in this twin-island republic will double by the year 2050.</w:t>
      </w:r>
      <w:r w:rsidR="00203CCA" w:rsidRPr="00E869A4">
        <w:rPr>
          <w:rFonts w:ascii="Times New Roman" w:hAnsi="Times New Roman" w:cs="Times New Roman"/>
        </w:rPr>
        <w:t xml:space="preserve"> </w:t>
      </w:r>
      <w:r w:rsidR="004868A2" w:rsidRPr="00E869A4">
        <w:rPr>
          <w:rFonts w:ascii="Times New Roman" w:hAnsi="Times New Roman" w:cs="Times New Roman"/>
        </w:rPr>
        <w:t xml:space="preserve">The latest census data (GORTT 2012) revealed that about 9% of </w:t>
      </w:r>
      <w:r w:rsidR="006F24F7" w:rsidRPr="00E869A4">
        <w:rPr>
          <w:rFonts w:ascii="Times New Roman" w:hAnsi="Times New Roman" w:cs="Times New Roman"/>
        </w:rPr>
        <w:t>T&amp;T</w:t>
      </w:r>
      <w:r w:rsidR="004868A2" w:rsidRPr="00E869A4">
        <w:rPr>
          <w:rFonts w:ascii="Times New Roman" w:hAnsi="Times New Roman" w:cs="Times New Roman"/>
        </w:rPr>
        <w:t>’s population was aged sixty-five (65) years and over</w:t>
      </w:r>
      <w:r w:rsidR="00F8123A" w:rsidRPr="00E869A4">
        <w:rPr>
          <w:rFonts w:ascii="Times New Roman" w:hAnsi="Times New Roman" w:cs="Times New Roman"/>
        </w:rPr>
        <w:t xml:space="preserve">. </w:t>
      </w:r>
    </w:p>
    <w:p w14:paraId="5B32AB84" w14:textId="22D6AC99" w:rsidR="004868A2" w:rsidRPr="00E869A4" w:rsidRDefault="004868A2" w:rsidP="00763FF7">
      <w:pPr>
        <w:rPr>
          <w:rFonts w:ascii="Times New Roman" w:hAnsi="Times New Roman" w:cs="Times New Roman"/>
        </w:rPr>
      </w:pPr>
      <w:r w:rsidRPr="00E869A4">
        <w:rPr>
          <w:rFonts w:ascii="Times New Roman" w:hAnsi="Times New Roman" w:cs="Times New Roman"/>
        </w:rPr>
        <w:lastRenderedPageBreak/>
        <w:t xml:space="preserve">The anticipated expansion of the older population in </w:t>
      </w:r>
      <w:r w:rsidR="006F24F7" w:rsidRPr="00E869A4">
        <w:rPr>
          <w:rFonts w:ascii="Times New Roman" w:hAnsi="Times New Roman" w:cs="Times New Roman"/>
        </w:rPr>
        <w:t>T&amp;T</w:t>
      </w:r>
      <w:r w:rsidRPr="00E869A4">
        <w:rPr>
          <w:rFonts w:ascii="Times New Roman" w:hAnsi="Times New Roman" w:cs="Times New Roman"/>
        </w:rPr>
        <w:t xml:space="preserve"> is reflective of what has already occurred in the </w:t>
      </w:r>
      <w:r w:rsidR="00A022AC" w:rsidRPr="00E869A4">
        <w:rPr>
          <w:rFonts w:ascii="Times New Roman" w:hAnsi="Times New Roman" w:cs="Times New Roman"/>
        </w:rPr>
        <w:t>UK, which</w:t>
      </w:r>
      <w:r w:rsidRPr="00E869A4">
        <w:rPr>
          <w:rFonts w:ascii="Times New Roman" w:hAnsi="Times New Roman" w:cs="Times New Roman"/>
        </w:rPr>
        <w:t xml:space="preserve"> experienced a similar increase between 1930 and 1975 when its population aged 65 years and over doubled from 7</w:t>
      </w:r>
      <w:r w:rsidR="000D2DEE" w:rsidRPr="00E869A4">
        <w:rPr>
          <w:rFonts w:ascii="Times New Roman" w:hAnsi="Times New Roman" w:cs="Times New Roman"/>
        </w:rPr>
        <w:t>% to 14% (Ambrose et al.</w:t>
      </w:r>
      <w:r w:rsidRPr="00E869A4">
        <w:rPr>
          <w:rFonts w:ascii="Times New Roman" w:hAnsi="Times New Roman" w:cs="Times New Roman"/>
        </w:rPr>
        <w:t xml:space="preserve"> 2005). However, whilst </w:t>
      </w:r>
      <w:r w:rsidR="006F24F7" w:rsidRPr="00E869A4">
        <w:rPr>
          <w:rFonts w:ascii="Times New Roman" w:hAnsi="Times New Roman" w:cs="Times New Roman"/>
        </w:rPr>
        <w:t>T&amp;T</w:t>
      </w:r>
      <w:r w:rsidRPr="00E869A4">
        <w:rPr>
          <w:rFonts w:ascii="Times New Roman" w:hAnsi="Times New Roman" w:cs="Times New Roman"/>
        </w:rPr>
        <w:t xml:space="preserve">’s older population is expected to rapidly increase until 2035 (Jones 2015), the growth rate of the older population in the UK and other OECD countries is expected to decline in the coming decades (UN 2015). If this demographic transition persists for </w:t>
      </w:r>
      <w:r w:rsidR="00A022AC" w:rsidRPr="00E869A4">
        <w:rPr>
          <w:rFonts w:ascii="Times New Roman" w:hAnsi="Times New Roman" w:cs="Times New Roman"/>
        </w:rPr>
        <w:t>T&amp;T,</w:t>
      </w:r>
      <w:r w:rsidRPr="00E869A4">
        <w:rPr>
          <w:rFonts w:ascii="Times New Roman" w:hAnsi="Times New Roman" w:cs="Times New Roman"/>
        </w:rPr>
        <w:t xml:space="preserve"> there will be a concomitant increase in the dependency ratio of the nation. </w:t>
      </w:r>
      <w:r w:rsidR="00203CCA" w:rsidRPr="00E869A4">
        <w:rPr>
          <w:rFonts w:ascii="Times New Roman" w:hAnsi="Times New Roman" w:cs="Times New Roman"/>
        </w:rPr>
        <w:t>Figures 1 and 2 below present the age distribution for both the UK and T&amp;T based on population estimates for 2017 (Michigan State University 2019).</w:t>
      </w:r>
    </w:p>
    <w:p w14:paraId="41EAC956" w14:textId="77777777" w:rsidR="00010270" w:rsidRPr="00E869A4" w:rsidRDefault="00010270" w:rsidP="00A35FF8">
      <w:pPr>
        <w:rPr>
          <w:rFonts w:ascii="Times New Roman" w:hAnsi="Times New Roman" w:cs="Times New Roman"/>
        </w:rPr>
      </w:pPr>
    </w:p>
    <w:p w14:paraId="28187684" w14:textId="2FC14160" w:rsidR="00043AED" w:rsidRPr="00E869A4" w:rsidRDefault="00043AED" w:rsidP="00043AED">
      <w:pPr>
        <w:rPr>
          <w:rFonts w:ascii="Times New Roman" w:hAnsi="Times New Roman" w:cs="Times New Roman"/>
        </w:rPr>
      </w:pPr>
      <w:r w:rsidRPr="00E869A4">
        <w:rPr>
          <w:rFonts w:ascii="Times New Roman" w:hAnsi="Times New Roman" w:cs="Times New Roman"/>
        </w:rPr>
        <w:t xml:space="preserve">The rapid population ageing in Caribbean territories like T&amp;T is largely a function of: decreased fertility rate and crude birth rate (which is currently below replacement levels at 1.8 children per woman), increased life expectancy, reduced mortality rates (in particular infant mortality)  and migration flows  (ECLAC 2017; Jones 2015; Rouse et al. 2010; UNECLAC 2011b). Table 1 provides a snapshot of some of </w:t>
      </w:r>
      <w:r w:rsidR="00297870">
        <w:rPr>
          <w:rFonts w:ascii="Times New Roman" w:hAnsi="Times New Roman" w:cs="Times New Roman"/>
        </w:rPr>
        <w:t xml:space="preserve">the </w:t>
      </w:r>
      <w:r w:rsidRPr="00E869A4">
        <w:rPr>
          <w:rFonts w:ascii="Times New Roman" w:hAnsi="Times New Roman" w:cs="Times New Roman"/>
        </w:rPr>
        <w:t>supporting statistical data on these indicators. Emigration has been identified as contributing to the ageing of T&amp;T’s population. In 2014, net migration was approximately -6.10%. Most emigrants tend to go to more developed countries such as the USA, Canada and the UK (Jones 2015). The outflow of migrants has contributed to labour shortages in critical service areas such as health care (PAHO 2006). On a more positive note, the remittances conveyed by emigrants to their families that remain, may help to offset some of the negative economic trends that are currently affecting the nation.</w:t>
      </w:r>
    </w:p>
    <w:p w14:paraId="7CDD333D" w14:textId="4D877560" w:rsidR="00203CCA" w:rsidRPr="00E869A4" w:rsidRDefault="00203CCA">
      <w:pPr>
        <w:rPr>
          <w:b/>
          <w:iCs/>
        </w:rPr>
      </w:pPr>
    </w:p>
    <w:p w14:paraId="549B15F1" w14:textId="221F1296" w:rsidR="00D468C4" w:rsidRPr="00E869A4" w:rsidRDefault="00D468C4" w:rsidP="00D468C4">
      <w:pPr>
        <w:pStyle w:val="Caption"/>
        <w:rPr>
          <w:b/>
          <w:i w:val="0"/>
          <w:sz w:val="24"/>
        </w:rPr>
      </w:pPr>
      <w:bookmarkStart w:id="25" w:name="_Toc40436631"/>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w:t>
      </w:r>
      <w:r w:rsidR="0026235F" w:rsidRPr="00E869A4">
        <w:rPr>
          <w:b/>
          <w:i w:val="0"/>
          <w:sz w:val="24"/>
        </w:rPr>
        <w:fldChar w:fldCharType="end"/>
      </w:r>
      <w:r w:rsidR="00347C4D" w:rsidRPr="00E869A4">
        <w:rPr>
          <w:b/>
          <w:i w:val="0"/>
          <w:sz w:val="24"/>
        </w:rPr>
        <w:t>:</w:t>
      </w:r>
      <w:r w:rsidRPr="00E869A4">
        <w:rPr>
          <w:b/>
          <w:i w:val="0"/>
          <w:sz w:val="24"/>
        </w:rPr>
        <w:t xml:space="preserve"> T&amp;T Age Distribution - Percentage of Total Population (201</w:t>
      </w:r>
      <w:r w:rsidR="00203CCA" w:rsidRPr="00E869A4">
        <w:rPr>
          <w:b/>
          <w:i w:val="0"/>
          <w:sz w:val="24"/>
        </w:rPr>
        <w:t>7</w:t>
      </w:r>
      <w:r w:rsidRPr="00E869A4">
        <w:rPr>
          <w:b/>
          <w:i w:val="0"/>
          <w:sz w:val="24"/>
        </w:rPr>
        <w:t>)</w:t>
      </w:r>
      <w:r w:rsidRPr="00E869A4">
        <w:rPr>
          <w:rStyle w:val="FootnoteReference"/>
          <w:b/>
        </w:rPr>
        <w:t xml:space="preserve"> </w:t>
      </w:r>
      <w:r w:rsidRPr="00E869A4">
        <w:rPr>
          <w:rStyle w:val="FootnoteReference"/>
          <w:b/>
        </w:rPr>
        <w:footnoteReference w:id="5"/>
      </w:r>
      <w:bookmarkEnd w:id="25"/>
    </w:p>
    <w:p w14:paraId="6313AC12" w14:textId="41D2D345" w:rsidR="00FC2B51" w:rsidRPr="00E869A4" w:rsidRDefault="00FC2B51" w:rsidP="00FC2B51">
      <w:pPr>
        <w:pStyle w:val="Caption"/>
        <w:keepNext/>
      </w:pPr>
      <w:r w:rsidRPr="00E869A4">
        <w:t xml:space="preserve"> </w:t>
      </w:r>
    </w:p>
    <w:p w14:paraId="49CE42D7" w14:textId="776B76CC" w:rsidR="0078653E" w:rsidRPr="00E869A4" w:rsidRDefault="00203CCA" w:rsidP="00203CCA">
      <w:pPr>
        <w:jc w:val="center"/>
        <w:rPr>
          <w:b/>
          <w:iCs/>
        </w:rPr>
      </w:pPr>
      <w:r w:rsidRPr="00E869A4">
        <w:rPr>
          <w:b/>
          <w:i/>
          <w:noProof/>
        </w:rPr>
        <w:drawing>
          <wp:inline distT="0" distB="0" distL="0" distR="0" wp14:anchorId="286A2B0F" wp14:editId="31E72B3A">
            <wp:extent cx="3388215" cy="2187245"/>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 age distribution 2017a.PNG"/>
                    <pic:cNvPicPr/>
                  </pic:nvPicPr>
                  <pic:blipFill>
                    <a:blip r:embed="rId10">
                      <a:extLst>
                        <a:ext uri="{28A0092B-C50C-407E-A947-70E740481C1C}">
                          <a14:useLocalDpi xmlns:a14="http://schemas.microsoft.com/office/drawing/2010/main" val="0"/>
                        </a:ext>
                      </a:extLst>
                    </a:blip>
                    <a:stretch>
                      <a:fillRect/>
                    </a:stretch>
                  </pic:blipFill>
                  <pic:spPr>
                    <a:xfrm>
                      <a:off x="0" y="0"/>
                      <a:ext cx="3410262" cy="2201477"/>
                    </a:xfrm>
                    <a:prstGeom prst="rect">
                      <a:avLst/>
                    </a:prstGeom>
                  </pic:spPr>
                </pic:pic>
              </a:graphicData>
            </a:graphic>
          </wp:inline>
        </w:drawing>
      </w:r>
    </w:p>
    <w:p w14:paraId="38585E8B" w14:textId="5D445DFD" w:rsidR="00D468C4" w:rsidRPr="00E869A4" w:rsidRDefault="00D468C4" w:rsidP="00D468C4">
      <w:pPr>
        <w:pStyle w:val="Caption"/>
        <w:rPr>
          <w:b/>
          <w:i w:val="0"/>
          <w:sz w:val="24"/>
        </w:rPr>
      </w:pPr>
      <w:bookmarkStart w:id="26" w:name="_Toc40436632"/>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2</w:t>
      </w:r>
      <w:r w:rsidR="0026235F" w:rsidRPr="00E869A4">
        <w:rPr>
          <w:b/>
          <w:i w:val="0"/>
          <w:sz w:val="24"/>
        </w:rPr>
        <w:fldChar w:fldCharType="end"/>
      </w:r>
      <w:r w:rsidR="00347C4D" w:rsidRPr="00E869A4">
        <w:rPr>
          <w:b/>
          <w:i w:val="0"/>
          <w:sz w:val="24"/>
        </w:rPr>
        <w:t>:</w:t>
      </w:r>
      <w:r w:rsidRPr="00E869A4">
        <w:rPr>
          <w:b/>
          <w:i w:val="0"/>
          <w:sz w:val="24"/>
        </w:rPr>
        <w:t xml:space="preserve"> UK Age Distribution - Percentage of Total Population (201</w:t>
      </w:r>
      <w:r w:rsidR="00203CCA" w:rsidRPr="00E869A4">
        <w:rPr>
          <w:b/>
          <w:i w:val="0"/>
          <w:sz w:val="24"/>
        </w:rPr>
        <w:t>7</w:t>
      </w:r>
      <w:r w:rsidRPr="00E869A4">
        <w:rPr>
          <w:b/>
          <w:i w:val="0"/>
          <w:sz w:val="24"/>
        </w:rPr>
        <w:t>)</w:t>
      </w:r>
      <w:r w:rsidRPr="00E869A4">
        <w:rPr>
          <w:rStyle w:val="FootnoteReference"/>
          <w:b/>
        </w:rPr>
        <w:footnoteReference w:id="6"/>
      </w:r>
      <w:bookmarkEnd w:id="26"/>
    </w:p>
    <w:p w14:paraId="7A071A95" w14:textId="77777777" w:rsidR="00347C4D" w:rsidRPr="00E869A4" w:rsidRDefault="00347C4D" w:rsidP="00347C4D"/>
    <w:p w14:paraId="4552B1CC" w14:textId="3F178984" w:rsidR="0009252E" w:rsidRPr="00E869A4" w:rsidRDefault="00203CCA" w:rsidP="00203CCA">
      <w:pPr>
        <w:jc w:val="center"/>
        <w:rPr>
          <w:rFonts w:ascii="Times New Roman" w:hAnsi="Times New Roman" w:cs="Times New Roman"/>
        </w:rPr>
      </w:pPr>
      <w:r w:rsidRPr="00E869A4">
        <w:rPr>
          <w:rFonts w:ascii="Times New Roman" w:hAnsi="Times New Roman" w:cs="Times New Roman"/>
          <w:noProof/>
        </w:rPr>
        <w:drawing>
          <wp:inline distT="0" distB="0" distL="0" distR="0" wp14:anchorId="05035ABC" wp14:editId="2AFBBEB3">
            <wp:extent cx="3262579" cy="207378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k age distribution 2017a.PNG"/>
                    <pic:cNvPicPr/>
                  </pic:nvPicPr>
                  <pic:blipFill>
                    <a:blip r:embed="rId11">
                      <a:extLst>
                        <a:ext uri="{28A0092B-C50C-407E-A947-70E740481C1C}">
                          <a14:useLocalDpi xmlns:a14="http://schemas.microsoft.com/office/drawing/2010/main" val="0"/>
                        </a:ext>
                      </a:extLst>
                    </a:blip>
                    <a:stretch>
                      <a:fillRect/>
                    </a:stretch>
                  </pic:blipFill>
                  <pic:spPr>
                    <a:xfrm>
                      <a:off x="0" y="0"/>
                      <a:ext cx="3280611" cy="2085247"/>
                    </a:xfrm>
                    <a:prstGeom prst="rect">
                      <a:avLst/>
                    </a:prstGeom>
                  </pic:spPr>
                </pic:pic>
              </a:graphicData>
            </a:graphic>
          </wp:inline>
        </w:drawing>
      </w:r>
    </w:p>
    <w:p w14:paraId="3F961CA3" w14:textId="77777777" w:rsidR="00D468C4" w:rsidRPr="00E869A4" w:rsidRDefault="00D468C4" w:rsidP="00D468C4"/>
    <w:p w14:paraId="7DA342ED" w14:textId="7B4B815E" w:rsidR="00C225FD" w:rsidRPr="00E869A4" w:rsidRDefault="00170B90" w:rsidP="00C225FD">
      <w:r w:rsidRPr="00E869A4">
        <w:rPr>
          <w:rFonts w:ascii="Times New Roman" w:hAnsi="Times New Roman" w:cs="Times New Roman"/>
        </w:rPr>
        <w:t xml:space="preserve">These demographic changes were made possible by socio-economic and cultural shifts such as advancements in health care, improved living conditions and higher </w:t>
      </w:r>
      <w:r w:rsidR="00EC64DC" w:rsidRPr="00E869A4">
        <w:rPr>
          <w:rFonts w:ascii="Times New Roman" w:hAnsi="Times New Roman" w:cs="Times New Roman"/>
        </w:rPr>
        <w:t xml:space="preserve">education levels (ECLAC 2017) and </w:t>
      </w:r>
      <w:r w:rsidRPr="00E869A4">
        <w:rPr>
          <w:rFonts w:ascii="Times New Roman" w:hAnsi="Times New Roman" w:cs="Times New Roman"/>
        </w:rPr>
        <w:t xml:space="preserve">facilitated by the economic growth that the country experienced post-independence.  However, </w:t>
      </w:r>
      <w:r w:rsidR="00923883" w:rsidRPr="00E869A4">
        <w:rPr>
          <w:rFonts w:ascii="Times New Roman" w:hAnsi="Times New Roman" w:cs="Times New Roman"/>
        </w:rPr>
        <w:t>al</w:t>
      </w:r>
      <w:r w:rsidRPr="00E869A4">
        <w:rPr>
          <w:rFonts w:ascii="Times New Roman" w:hAnsi="Times New Roman" w:cs="Times New Roman"/>
        </w:rPr>
        <w:t>though a smaller proportion of people are dying in childhood</w:t>
      </w:r>
      <w:r w:rsidR="0046474E" w:rsidRPr="00E869A4">
        <w:rPr>
          <w:rFonts w:ascii="Times New Roman" w:hAnsi="Times New Roman" w:cs="Times New Roman"/>
        </w:rPr>
        <w:t xml:space="preserve"> </w:t>
      </w:r>
      <w:r w:rsidRPr="00E869A4">
        <w:rPr>
          <w:rFonts w:ascii="Times New Roman" w:hAnsi="Times New Roman" w:cs="Times New Roman"/>
        </w:rPr>
        <w:t>and even in ‘young old age’</w:t>
      </w:r>
      <w:r w:rsidR="00043AED" w:rsidRPr="00E869A4">
        <w:rPr>
          <w:rFonts w:ascii="Times New Roman" w:hAnsi="Times New Roman" w:cs="Times New Roman"/>
        </w:rPr>
        <w:t>,</w:t>
      </w:r>
      <w:r w:rsidRPr="00E869A4">
        <w:rPr>
          <w:rFonts w:ascii="Times New Roman" w:hAnsi="Times New Roman" w:cs="Times New Roman"/>
        </w:rPr>
        <w:t xml:space="preserve"> the life expectancy in </w:t>
      </w:r>
      <w:r w:rsidR="006F24F7" w:rsidRPr="00E869A4">
        <w:rPr>
          <w:rFonts w:ascii="Times New Roman" w:hAnsi="Times New Roman" w:cs="Times New Roman"/>
        </w:rPr>
        <w:t>T&amp;T</w:t>
      </w:r>
      <w:r w:rsidRPr="00E869A4">
        <w:rPr>
          <w:rFonts w:ascii="Times New Roman" w:hAnsi="Times New Roman" w:cs="Times New Roman"/>
        </w:rPr>
        <w:t xml:space="preserve"> is approximately 70 years of age which is lower than the avera</w:t>
      </w:r>
      <w:r w:rsidR="009D4064" w:rsidRPr="00E869A4">
        <w:rPr>
          <w:rFonts w:ascii="Times New Roman" w:hAnsi="Times New Roman" w:cs="Times New Roman"/>
        </w:rPr>
        <w:t>ge for the LAC region and the w</w:t>
      </w:r>
      <w:r w:rsidRPr="00E869A4">
        <w:rPr>
          <w:rFonts w:ascii="Times New Roman" w:hAnsi="Times New Roman" w:cs="Times New Roman"/>
        </w:rPr>
        <w:t>orld overall</w:t>
      </w:r>
      <w:r w:rsidR="0046474E" w:rsidRPr="00E869A4">
        <w:rPr>
          <w:rFonts w:ascii="Times New Roman" w:hAnsi="Times New Roman" w:cs="Times New Roman"/>
        </w:rPr>
        <w:t xml:space="preserve"> (Jones 2015)</w:t>
      </w:r>
      <w:r w:rsidRPr="00E869A4">
        <w:rPr>
          <w:rFonts w:ascii="Times New Roman" w:hAnsi="Times New Roman" w:cs="Times New Roman"/>
        </w:rPr>
        <w:t xml:space="preserve">.  </w:t>
      </w:r>
      <w:r w:rsidR="008D0A74" w:rsidRPr="00E869A4">
        <w:rPr>
          <w:rFonts w:ascii="Times New Roman" w:hAnsi="Times New Roman" w:cs="Times New Roman"/>
        </w:rPr>
        <w:t>However</w:t>
      </w:r>
      <w:r w:rsidRPr="00E869A4">
        <w:rPr>
          <w:rFonts w:ascii="Times New Roman" w:hAnsi="Times New Roman" w:cs="Times New Roman"/>
        </w:rPr>
        <w:t>, this is still higher than what has b</w:t>
      </w:r>
      <w:r w:rsidR="00B60812" w:rsidRPr="00E869A4">
        <w:rPr>
          <w:rFonts w:ascii="Times New Roman" w:hAnsi="Times New Roman" w:cs="Times New Roman"/>
        </w:rPr>
        <w:t>een observed in South Asia (68 y</w:t>
      </w:r>
      <w:r w:rsidRPr="00E869A4">
        <w:rPr>
          <w:rFonts w:ascii="Times New Roman" w:hAnsi="Times New Roman" w:cs="Times New Roman"/>
        </w:rPr>
        <w:t>ears) and Sub-Saharan Africa (59</w:t>
      </w:r>
      <w:r w:rsidR="00B60812" w:rsidRPr="00E869A4">
        <w:rPr>
          <w:rFonts w:ascii="Times New Roman" w:hAnsi="Times New Roman" w:cs="Times New Roman"/>
        </w:rPr>
        <w:t xml:space="preserve"> years</w:t>
      </w:r>
      <w:r w:rsidRPr="00E869A4">
        <w:rPr>
          <w:rFonts w:ascii="Times New Roman" w:hAnsi="Times New Roman" w:cs="Times New Roman"/>
        </w:rPr>
        <w:t>).</w:t>
      </w:r>
      <w:r w:rsidR="00C225FD" w:rsidRPr="00E869A4">
        <w:rPr>
          <w:rFonts w:ascii="Times New Roman" w:hAnsi="Times New Roman" w:cs="Times New Roman"/>
        </w:rPr>
        <w:t xml:space="preserve"> The gendered nature of ageing in T&amp;T is more consistent with international trends. As in most regions of the world, women outlive men in T&amp;T, and this by 7 years, which is higher than the 4-year difference that characterises ageing in the UK (see Table 1 below). </w:t>
      </w:r>
    </w:p>
    <w:p w14:paraId="1FD8C20A" w14:textId="77777777" w:rsidR="003523AF" w:rsidRPr="00E869A4" w:rsidRDefault="003523AF" w:rsidP="00010270">
      <w:pPr>
        <w:rPr>
          <w:rFonts w:ascii="Times New Roman" w:hAnsi="Times New Roman" w:cs="Times New Roman"/>
        </w:rPr>
      </w:pPr>
    </w:p>
    <w:p w14:paraId="5998BF04" w14:textId="1AAEFC58" w:rsidR="001C315D" w:rsidRPr="00E869A4" w:rsidRDefault="001C315D" w:rsidP="00E45B52">
      <w:pPr>
        <w:rPr>
          <w:rFonts w:ascii="Times New Roman" w:hAnsi="Times New Roman" w:cs="Times New Roman"/>
        </w:rPr>
      </w:pPr>
      <w:r w:rsidRPr="00E869A4">
        <w:rPr>
          <w:rFonts w:ascii="Times New Roman" w:hAnsi="Times New Roman" w:cs="Times New Roman"/>
        </w:rPr>
        <w:t xml:space="preserve">The leading causes of death in </w:t>
      </w:r>
      <w:r w:rsidR="006F24F7" w:rsidRPr="00E869A4">
        <w:rPr>
          <w:rFonts w:ascii="Times New Roman" w:hAnsi="Times New Roman" w:cs="Times New Roman"/>
        </w:rPr>
        <w:t>T&amp;T</w:t>
      </w:r>
      <w:r w:rsidRPr="00E869A4">
        <w:rPr>
          <w:rFonts w:ascii="Times New Roman" w:hAnsi="Times New Roman" w:cs="Times New Roman"/>
        </w:rPr>
        <w:t xml:space="preserve"> are diseases such as chronic heart disease (CHD), stroke, and diabetes, which is characteristic of more developed nations (</w:t>
      </w:r>
      <w:r w:rsidR="00C225FD" w:rsidRPr="00E869A4">
        <w:rPr>
          <w:rFonts w:ascii="Times New Roman" w:hAnsi="Times New Roman" w:cs="Times New Roman"/>
        </w:rPr>
        <w:t xml:space="preserve">see </w:t>
      </w:r>
      <w:r w:rsidRPr="00E869A4">
        <w:rPr>
          <w:rFonts w:ascii="Times New Roman" w:hAnsi="Times New Roman" w:cs="Times New Roman"/>
        </w:rPr>
        <w:t xml:space="preserve">Table </w:t>
      </w:r>
      <w:r w:rsidR="00511BA7" w:rsidRPr="00E869A4">
        <w:rPr>
          <w:rFonts w:ascii="Times New Roman" w:hAnsi="Times New Roman" w:cs="Times New Roman"/>
        </w:rPr>
        <w:t>1</w:t>
      </w:r>
      <w:r w:rsidRPr="00E869A4">
        <w:rPr>
          <w:rFonts w:ascii="Times New Roman" w:hAnsi="Times New Roman" w:cs="Times New Roman"/>
        </w:rPr>
        <w:t xml:space="preserve">). </w:t>
      </w:r>
      <w:r w:rsidR="006F24F7" w:rsidRPr="00E869A4">
        <w:rPr>
          <w:rFonts w:ascii="Times New Roman" w:hAnsi="Times New Roman" w:cs="Times New Roman"/>
        </w:rPr>
        <w:t>T&amp;T</w:t>
      </w:r>
      <w:r w:rsidRPr="00E869A4">
        <w:rPr>
          <w:rFonts w:ascii="Times New Roman" w:hAnsi="Times New Roman" w:cs="Times New Roman"/>
        </w:rPr>
        <w:t xml:space="preserve"> ranks fourth in the world for deaths caused by prostate cancer, diabetes and </w:t>
      </w:r>
      <w:r w:rsidR="00631078" w:rsidRPr="00E869A4">
        <w:rPr>
          <w:rFonts w:ascii="Times New Roman" w:hAnsi="Times New Roman" w:cs="Times New Roman"/>
        </w:rPr>
        <w:t>violence respectively</w:t>
      </w:r>
      <w:r w:rsidR="00C153C8" w:rsidRPr="00E869A4">
        <w:rPr>
          <w:rFonts w:ascii="Times New Roman" w:hAnsi="Times New Roman" w:cs="Times New Roman"/>
        </w:rPr>
        <w:t xml:space="preserve">.  </w:t>
      </w:r>
      <w:r w:rsidRPr="00E869A4">
        <w:rPr>
          <w:rFonts w:ascii="Times New Roman" w:hAnsi="Times New Roman" w:cs="Times New Roman"/>
        </w:rPr>
        <w:t xml:space="preserve">Welch et al. </w:t>
      </w:r>
      <w:r w:rsidR="00C153C8" w:rsidRPr="00E869A4">
        <w:rPr>
          <w:rFonts w:ascii="Times New Roman" w:hAnsi="Times New Roman" w:cs="Times New Roman"/>
        </w:rPr>
        <w:t>(</w:t>
      </w:r>
      <w:r w:rsidRPr="00E869A4">
        <w:rPr>
          <w:rFonts w:ascii="Times New Roman" w:hAnsi="Times New Roman" w:cs="Times New Roman"/>
        </w:rPr>
        <w:t>2016a) report</w:t>
      </w:r>
      <w:r w:rsidR="00043AED" w:rsidRPr="00E869A4">
        <w:rPr>
          <w:rFonts w:ascii="Times New Roman" w:hAnsi="Times New Roman" w:cs="Times New Roman"/>
        </w:rPr>
        <w:t>ed</w:t>
      </w:r>
      <w:r w:rsidRPr="00E869A4">
        <w:rPr>
          <w:rFonts w:ascii="Times New Roman" w:hAnsi="Times New Roman" w:cs="Times New Roman"/>
        </w:rPr>
        <w:t xml:space="preserve"> that almost half of the deaths in </w:t>
      </w:r>
      <w:r w:rsidR="006F24F7" w:rsidRPr="00E869A4">
        <w:rPr>
          <w:rFonts w:ascii="Times New Roman" w:hAnsi="Times New Roman" w:cs="Times New Roman"/>
        </w:rPr>
        <w:t>T&amp;T</w:t>
      </w:r>
      <w:r w:rsidRPr="00E869A4">
        <w:rPr>
          <w:rFonts w:ascii="Times New Roman" w:hAnsi="Times New Roman" w:cs="Times New Roman"/>
        </w:rPr>
        <w:t xml:space="preserve"> (46%) are due to heart disease or, diabetes, and nearly 80% of deaths are from </w:t>
      </w:r>
      <w:r w:rsidR="00631078" w:rsidRPr="00E869A4">
        <w:rPr>
          <w:rFonts w:ascii="Times New Roman" w:hAnsi="Times New Roman" w:cs="Times New Roman"/>
        </w:rPr>
        <w:t>non-communicable</w:t>
      </w:r>
      <w:r w:rsidR="00792255" w:rsidRPr="00E869A4">
        <w:rPr>
          <w:rFonts w:ascii="Times New Roman" w:hAnsi="Times New Roman" w:cs="Times New Roman"/>
        </w:rPr>
        <w:t xml:space="preserve"> disease</w:t>
      </w:r>
      <w:r w:rsidRPr="00E869A4">
        <w:rPr>
          <w:rFonts w:ascii="Times New Roman" w:hAnsi="Times New Roman" w:cs="Times New Roman"/>
        </w:rPr>
        <w:t>s. In the UK</w:t>
      </w:r>
      <w:r w:rsidR="003C7B1A" w:rsidRPr="00E869A4">
        <w:rPr>
          <w:rFonts w:ascii="Times New Roman" w:hAnsi="Times New Roman" w:cs="Times New Roman"/>
        </w:rPr>
        <w:t>,</w:t>
      </w:r>
      <w:r w:rsidRPr="00E869A4">
        <w:rPr>
          <w:rFonts w:ascii="Times New Roman" w:hAnsi="Times New Roman" w:cs="Times New Roman"/>
        </w:rPr>
        <w:t xml:space="preserve"> however, the proportion of deaths caused by stroke, diabetes and hypertension are relatively low, and death by violence accounts for only 1% of all deaths in the country when co</w:t>
      </w:r>
      <w:r w:rsidR="00C153C8" w:rsidRPr="00E869A4">
        <w:rPr>
          <w:rFonts w:ascii="Times New Roman" w:hAnsi="Times New Roman" w:cs="Times New Roman"/>
        </w:rPr>
        <w:t>mpared to other territories (Leduc</w:t>
      </w:r>
      <w:r w:rsidRPr="00E869A4">
        <w:rPr>
          <w:rFonts w:ascii="Times New Roman" w:hAnsi="Times New Roman" w:cs="Times New Roman"/>
        </w:rPr>
        <w:t xml:space="preserve"> 2017).</w:t>
      </w:r>
    </w:p>
    <w:p w14:paraId="78B2A542" w14:textId="77777777" w:rsidR="0078653E" w:rsidRPr="00E869A4" w:rsidRDefault="0078653E" w:rsidP="00E45B52"/>
    <w:p w14:paraId="10E453FB" w14:textId="77777777" w:rsidR="00314EBA" w:rsidRDefault="00314EBA">
      <w:pPr>
        <w:rPr>
          <w:b/>
          <w:i/>
          <w:u w:val="single"/>
        </w:rPr>
      </w:pPr>
      <w:bookmarkStart w:id="27" w:name="_Toc510469571"/>
      <w:r>
        <w:br w:type="page"/>
      </w:r>
    </w:p>
    <w:bookmarkEnd w:id="27"/>
    <w:p w14:paraId="6FBD256D" w14:textId="77777777" w:rsidR="00B55EAE" w:rsidRPr="00E869A4" w:rsidRDefault="00B55EAE" w:rsidP="00E45B52">
      <w:pPr>
        <w:sectPr w:rsidR="00B55EAE" w:rsidRPr="00E869A4" w:rsidSect="00446CB8">
          <w:footerReference w:type="default" r:id="rId12"/>
          <w:footerReference w:type="first" r:id="rId13"/>
          <w:type w:val="nextColumn"/>
          <w:pgSz w:w="12240" w:h="15840"/>
          <w:pgMar w:top="1440" w:right="851" w:bottom="1440" w:left="1134" w:header="708" w:footer="708" w:gutter="0"/>
          <w:pgNumType w:start="0"/>
          <w:cols w:space="708"/>
          <w:titlePg/>
          <w:docGrid w:linePitch="360"/>
        </w:sectPr>
      </w:pPr>
    </w:p>
    <w:p w14:paraId="6FB95D9B" w14:textId="77777777" w:rsidR="00250EEC" w:rsidRPr="00E869A4" w:rsidRDefault="00250EEC" w:rsidP="00250EEC">
      <w:pPr>
        <w:pStyle w:val="Caption"/>
        <w:rPr>
          <w:b/>
          <w:i w:val="0"/>
          <w:sz w:val="24"/>
        </w:rPr>
      </w:pPr>
      <w:bookmarkStart w:id="28" w:name="_Toc40436600"/>
      <w:r w:rsidRPr="00E869A4">
        <w:rPr>
          <w:b/>
          <w:i w:val="0"/>
          <w:sz w:val="24"/>
        </w:rPr>
        <w:lastRenderedPageBreak/>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1</w:t>
      </w:r>
      <w:r w:rsidR="00194F87" w:rsidRPr="00E869A4">
        <w:rPr>
          <w:b/>
          <w:i w:val="0"/>
          <w:sz w:val="24"/>
        </w:rPr>
        <w:fldChar w:fldCharType="end"/>
      </w:r>
      <w:r w:rsidRPr="00E869A4">
        <w:rPr>
          <w:b/>
          <w:i w:val="0"/>
          <w:sz w:val="24"/>
        </w:rPr>
        <w:t>: Indicators of the Demographic Ageing Process in T&amp;T, UK, LAC and the OECD</w:t>
      </w:r>
      <w:bookmarkEnd w:id="28"/>
    </w:p>
    <w:tbl>
      <w:tblPr>
        <w:tblW w:w="13290" w:type="dxa"/>
        <w:jc w:val="center"/>
        <w:tblInd w:w="287" w:type="dxa"/>
        <w:tblLook w:val="04A0" w:firstRow="1" w:lastRow="0" w:firstColumn="1" w:lastColumn="0" w:noHBand="0" w:noVBand="1"/>
      </w:tblPr>
      <w:tblGrid>
        <w:gridCol w:w="5717"/>
        <w:gridCol w:w="2503"/>
        <w:gridCol w:w="1117"/>
        <w:gridCol w:w="2714"/>
        <w:gridCol w:w="1239"/>
      </w:tblGrid>
      <w:tr w:rsidR="00C714D3" w:rsidRPr="00E869A4" w14:paraId="1D1D0FB6" w14:textId="77777777" w:rsidTr="00B7596C">
        <w:trPr>
          <w:trHeight w:val="257"/>
          <w:jc w:val="center"/>
        </w:trPr>
        <w:tc>
          <w:tcPr>
            <w:tcW w:w="5717" w:type="dxa"/>
            <w:tcBorders>
              <w:top w:val="single" w:sz="4" w:space="0" w:color="auto"/>
              <w:left w:val="single" w:sz="4" w:space="0" w:color="auto"/>
              <w:bottom w:val="single" w:sz="4" w:space="0" w:color="auto"/>
              <w:right w:val="single" w:sz="4" w:space="0" w:color="auto"/>
            </w:tcBorders>
            <w:noWrap/>
            <w:vAlign w:val="center"/>
            <w:hideMark/>
          </w:tcPr>
          <w:p w14:paraId="3548F7C0"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COUNTRY / REGION</w:t>
            </w:r>
          </w:p>
        </w:tc>
        <w:tc>
          <w:tcPr>
            <w:tcW w:w="2503" w:type="dxa"/>
            <w:tcBorders>
              <w:top w:val="single" w:sz="4" w:space="0" w:color="auto"/>
              <w:left w:val="nil"/>
              <w:bottom w:val="single" w:sz="4" w:space="0" w:color="auto"/>
              <w:right w:val="single" w:sz="4" w:space="0" w:color="auto"/>
            </w:tcBorders>
            <w:noWrap/>
            <w:vAlign w:val="center"/>
            <w:hideMark/>
          </w:tcPr>
          <w:p w14:paraId="4B553EB7" w14:textId="77777777" w:rsidR="00F86018" w:rsidRPr="00E869A4" w:rsidRDefault="006F24F7"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T&amp;T</w:t>
            </w:r>
          </w:p>
        </w:tc>
        <w:tc>
          <w:tcPr>
            <w:tcW w:w="1117" w:type="dxa"/>
            <w:tcBorders>
              <w:top w:val="single" w:sz="4" w:space="0" w:color="auto"/>
              <w:left w:val="nil"/>
              <w:bottom w:val="single" w:sz="4" w:space="0" w:color="auto"/>
              <w:right w:val="single" w:sz="4" w:space="0" w:color="auto"/>
            </w:tcBorders>
            <w:noWrap/>
            <w:vAlign w:val="center"/>
            <w:hideMark/>
          </w:tcPr>
          <w:p w14:paraId="2053D4A4"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LAC</w:t>
            </w:r>
            <w:r w:rsidR="00D41C8E" w:rsidRPr="00E869A4">
              <w:rPr>
                <w:rFonts w:ascii="Times New Roman" w:eastAsia="Times New Roman" w:hAnsi="Times New Roman" w:cs="Times New Roman"/>
                <w:sz w:val="20"/>
                <w:szCs w:val="20"/>
                <w:lang w:eastAsia="en-TT"/>
              </w:rPr>
              <w:fldChar w:fldCharType="begin"/>
            </w:r>
            <w:r w:rsidRPr="00E869A4">
              <w:rPr>
                <w:rFonts w:ascii="Times New Roman" w:hAnsi="Times New Roman" w:cs="Times New Roman"/>
                <w:sz w:val="20"/>
                <w:szCs w:val="20"/>
              </w:rPr>
              <w:instrText xml:space="preserve"> XE "LAC" </w:instrText>
            </w:r>
            <w:r w:rsidR="00D41C8E" w:rsidRPr="00E869A4">
              <w:rPr>
                <w:rFonts w:ascii="Times New Roman" w:eastAsia="Times New Roman" w:hAnsi="Times New Roman" w:cs="Times New Roman"/>
                <w:sz w:val="20"/>
                <w:szCs w:val="20"/>
                <w:lang w:eastAsia="en-TT"/>
              </w:rPr>
              <w:fldChar w:fldCharType="end"/>
            </w:r>
            <w:r w:rsidRPr="00E869A4">
              <w:rPr>
                <w:rFonts w:ascii="Times New Roman" w:eastAsia="Times New Roman" w:hAnsi="Times New Roman" w:cs="Times New Roman"/>
                <w:sz w:val="20"/>
                <w:szCs w:val="20"/>
                <w:lang w:eastAsia="en-TT"/>
              </w:rPr>
              <w:t xml:space="preserve"> (26)</w:t>
            </w:r>
          </w:p>
        </w:tc>
        <w:tc>
          <w:tcPr>
            <w:tcW w:w="2714" w:type="dxa"/>
            <w:tcBorders>
              <w:top w:val="single" w:sz="4" w:space="0" w:color="auto"/>
              <w:left w:val="nil"/>
              <w:bottom w:val="single" w:sz="4" w:space="0" w:color="auto"/>
              <w:right w:val="single" w:sz="4" w:space="0" w:color="auto"/>
            </w:tcBorders>
            <w:noWrap/>
            <w:vAlign w:val="center"/>
            <w:hideMark/>
          </w:tcPr>
          <w:p w14:paraId="4B11491B"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UK</w:t>
            </w:r>
            <w:r w:rsidR="00D41C8E" w:rsidRPr="00E869A4">
              <w:rPr>
                <w:rFonts w:ascii="Times New Roman" w:eastAsia="Times New Roman" w:hAnsi="Times New Roman" w:cs="Times New Roman"/>
                <w:sz w:val="20"/>
                <w:szCs w:val="20"/>
                <w:lang w:eastAsia="en-TT"/>
              </w:rPr>
              <w:fldChar w:fldCharType="begin"/>
            </w:r>
            <w:r w:rsidRPr="00E869A4">
              <w:rPr>
                <w:rFonts w:ascii="Times New Roman" w:hAnsi="Times New Roman" w:cs="Times New Roman"/>
                <w:sz w:val="20"/>
                <w:szCs w:val="20"/>
              </w:rPr>
              <w:instrText xml:space="preserve"> XE "UK" </w:instrText>
            </w:r>
            <w:r w:rsidR="00D41C8E" w:rsidRPr="00E869A4">
              <w:rPr>
                <w:rFonts w:ascii="Times New Roman" w:eastAsia="Times New Roman" w:hAnsi="Times New Roman" w:cs="Times New Roman"/>
                <w:sz w:val="20"/>
                <w:szCs w:val="20"/>
                <w:lang w:eastAsia="en-TT"/>
              </w:rPr>
              <w:fldChar w:fldCharType="end"/>
            </w:r>
          </w:p>
        </w:tc>
        <w:tc>
          <w:tcPr>
            <w:tcW w:w="1239" w:type="dxa"/>
            <w:tcBorders>
              <w:top w:val="single" w:sz="4" w:space="0" w:color="auto"/>
              <w:left w:val="nil"/>
              <w:bottom w:val="single" w:sz="4" w:space="0" w:color="auto"/>
              <w:right w:val="single" w:sz="4" w:space="0" w:color="auto"/>
            </w:tcBorders>
            <w:noWrap/>
            <w:vAlign w:val="center"/>
            <w:hideMark/>
          </w:tcPr>
          <w:p w14:paraId="712E6D1E"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OECD</w:t>
            </w:r>
            <w:r w:rsidR="00D41C8E" w:rsidRPr="00E869A4">
              <w:rPr>
                <w:rFonts w:ascii="Times New Roman" w:eastAsia="Times New Roman" w:hAnsi="Times New Roman" w:cs="Times New Roman"/>
                <w:sz w:val="20"/>
                <w:szCs w:val="20"/>
                <w:lang w:eastAsia="en-TT"/>
              </w:rPr>
              <w:fldChar w:fldCharType="begin"/>
            </w:r>
            <w:r w:rsidRPr="00E869A4">
              <w:rPr>
                <w:rFonts w:ascii="Times New Roman" w:hAnsi="Times New Roman" w:cs="Times New Roman"/>
                <w:sz w:val="20"/>
                <w:szCs w:val="20"/>
              </w:rPr>
              <w:instrText xml:space="preserve"> XE "OECD" </w:instrText>
            </w:r>
            <w:r w:rsidR="00D41C8E" w:rsidRPr="00E869A4">
              <w:rPr>
                <w:rFonts w:ascii="Times New Roman" w:eastAsia="Times New Roman" w:hAnsi="Times New Roman" w:cs="Times New Roman"/>
                <w:sz w:val="20"/>
                <w:szCs w:val="20"/>
                <w:lang w:eastAsia="en-TT"/>
              </w:rPr>
              <w:fldChar w:fldCharType="end"/>
            </w:r>
            <w:r w:rsidRPr="00E869A4">
              <w:rPr>
                <w:rFonts w:ascii="Times New Roman" w:eastAsia="Times New Roman" w:hAnsi="Times New Roman" w:cs="Times New Roman"/>
                <w:sz w:val="20"/>
                <w:szCs w:val="20"/>
                <w:lang w:eastAsia="en-TT"/>
              </w:rPr>
              <w:t xml:space="preserve"> (32) </w:t>
            </w:r>
          </w:p>
        </w:tc>
      </w:tr>
      <w:tr w:rsidR="00C714D3" w:rsidRPr="00E869A4" w14:paraId="48F2BEB0"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hideMark/>
          </w:tcPr>
          <w:p w14:paraId="7EF07DAC"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Total Fertility Rate</w:t>
            </w:r>
            <w:r w:rsidR="00D41C8E" w:rsidRPr="00E869A4">
              <w:rPr>
                <w:rFonts w:ascii="Times New Roman" w:eastAsia="Times New Roman" w:hAnsi="Times New Roman" w:cs="Times New Roman"/>
                <w:sz w:val="20"/>
                <w:szCs w:val="20"/>
                <w:lang w:eastAsia="en-TT"/>
              </w:rPr>
              <w:fldChar w:fldCharType="begin"/>
            </w:r>
            <w:r w:rsidRPr="00E869A4">
              <w:rPr>
                <w:rFonts w:ascii="Times New Roman" w:hAnsi="Times New Roman" w:cs="Times New Roman"/>
                <w:sz w:val="20"/>
                <w:szCs w:val="20"/>
              </w:rPr>
              <w:instrText xml:space="preserve"> XE "</w:instrText>
            </w:r>
            <w:r w:rsidRPr="00E869A4">
              <w:rPr>
                <w:rFonts w:ascii="Times New Roman" w:hAnsi="Times New Roman" w:cs="Times New Roman"/>
                <w:b/>
                <w:sz w:val="20"/>
                <w:szCs w:val="20"/>
              </w:rPr>
              <w:instrText>Fertility Rate</w:instrText>
            </w:r>
            <w:r w:rsidRPr="00E869A4">
              <w:rPr>
                <w:rFonts w:ascii="Times New Roman" w:hAnsi="Times New Roman" w:cs="Times New Roman"/>
                <w:sz w:val="20"/>
                <w:szCs w:val="20"/>
              </w:rPr>
              <w:instrText xml:space="preserve">" </w:instrText>
            </w:r>
            <w:r w:rsidR="00D41C8E" w:rsidRPr="00E869A4">
              <w:rPr>
                <w:rFonts w:ascii="Times New Roman" w:eastAsia="Times New Roman" w:hAnsi="Times New Roman" w:cs="Times New Roman"/>
                <w:sz w:val="20"/>
                <w:szCs w:val="20"/>
                <w:lang w:eastAsia="en-TT"/>
              </w:rPr>
              <w:fldChar w:fldCharType="end"/>
            </w:r>
            <w:r w:rsidRPr="00E869A4">
              <w:rPr>
                <w:rFonts w:ascii="Times New Roman" w:eastAsia="Times New Roman" w:hAnsi="Times New Roman" w:cs="Times New Roman"/>
                <w:sz w:val="20"/>
                <w:szCs w:val="20"/>
                <w:lang w:eastAsia="en-TT"/>
              </w:rPr>
              <w:t xml:space="preserve"> (in 2015-2020 or nearest year/period)</w:t>
            </w:r>
          </w:p>
        </w:tc>
        <w:tc>
          <w:tcPr>
            <w:tcW w:w="2503" w:type="dxa"/>
            <w:tcBorders>
              <w:top w:val="nil"/>
              <w:left w:val="nil"/>
              <w:bottom w:val="single" w:sz="4" w:space="0" w:color="auto"/>
              <w:right w:val="single" w:sz="4" w:space="0" w:color="auto"/>
            </w:tcBorders>
            <w:noWrap/>
            <w:vAlign w:val="center"/>
            <w:hideMark/>
          </w:tcPr>
          <w:p w14:paraId="6B123767"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1.79</w:t>
            </w:r>
          </w:p>
        </w:tc>
        <w:tc>
          <w:tcPr>
            <w:tcW w:w="1117" w:type="dxa"/>
            <w:tcBorders>
              <w:top w:val="nil"/>
              <w:left w:val="nil"/>
              <w:bottom w:val="single" w:sz="4" w:space="0" w:color="auto"/>
              <w:right w:val="single" w:sz="4" w:space="0" w:color="auto"/>
            </w:tcBorders>
            <w:noWrap/>
            <w:vAlign w:val="center"/>
            <w:hideMark/>
          </w:tcPr>
          <w:p w14:paraId="34E45771"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2.29</w:t>
            </w:r>
          </w:p>
        </w:tc>
        <w:tc>
          <w:tcPr>
            <w:tcW w:w="2714" w:type="dxa"/>
            <w:tcBorders>
              <w:top w:val="nil"/>
              <w:left w:val="nil"/>
              <w:bottom w:val="single" w:sz="4" w:space="0" w:color="auto"/>
              <w:right w:val="single" w:sz="4" w:space="0" w:color="auto"/>
            </w:tcBorders>
            <w:noWrap/>
            <w:vAlign w:val="center"/>
            <w:hideMark/>
          </w:tcPr>
          <w:p w14:paraId="36FB489E"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1.89</w:t>
            </w:r>
          </w:p>
        </w:tc>
        <w:tc>
          <w:tcPr>
            <w:tcW w:w="1239" w:type="dxa"/>
            <w:tcBorders>
              <w:top w:val="nil"/>
              <w:left w:val="nil"/>
              <w:bottom w:val="single" w:sz="4" w:space="0" w:color="auto"/>
              <w:right w:val="single" w:sz="4" w:space="0" w:color="auto"/>
            </w:tcBorders>
            <w:noWrap/>
            <w:vAlign w:val="center"/>
            <w:hideMark/>
          </w:tcPr>
          <w:p w14:paraId="611DA293"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1.68</w:t>
            </w:r>
          </w:p>
        </w:tc>
      </w:tr>
      <w:tr w:rsidR="00C714D3" w:rsidRPr="00E869A4" w14:paraId="509A3868"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tcPr>
          <w:p w14:paraId="238A4540"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Death Rate per 1000 in 2014</w:t>
            </w:r>
            <w:r w:rsidRPr="00E869A4">
              <w:rPr>
                <w:rStyle w:val="FootnoteReference"/>
                <w:rFonts w:ascii="Times New Roman" w:eastAsia="Times New Roman" w:hAnsi="Times New Roman" w:cs="Times New Roman"/>
                <w:sz w:val="20"/>
                <w:szCs w:val="20"/>
                <w:lang w:eastAsia="en-TT"/>
              </w:rPr>
              <w:footnoteReference w:id="7"/>
            </w:r>
          </w:p>
        </w:tc>
        <w:tc>
          <w:tcPr>
            <w:tcW w:w="2503" w:type="dxa"/>
            <w:tcBorders>
              <w:top w:val="nil"/>
              <w:left w:val="nil"/>
              <w:bottom w:val="single" w:sz="4" w:space="0" w:color="auto"/>
              <w:right w:val="single" w:sz="4" w:space="0" w:color="auto"/>
            </w:tcBorders>
            <w:noWrap/>
            <w:vAlign w:val="center"/>
          </w:tcPr>
          <w:p w14:paraId="0A8F5D87"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8.7</w:t>
            </w:r>
            <w:r w:rsidRPr="00E869A4">
              <w:rPr>
                <w:rStyle w:val="FootnoteReference"/>
                <w:rFonts w:ascii="Times New Roman" w:eastAsia="Times New Roman" w:hAnsi="Times New Roman" w:cs="Times New Roman"/>
                <w:sz w:val="20"/>
                <w:szCs w:val="20"/>
                <w:lang w:eastAsia="en-TT"/>
              </w:rPr>
              <w:footnoteReference w:id="8"/>
            </w:r>
          </w:p>
        </w:tc>
        <w:tc>
          <w:tcPr>
            <w:tcW w:w="1117" w:type="dxa"/>
            <w:tcBorders>
              <w:top w:val="nil"/>
              <w:left w:val="nil"/>
              <w:bottom w:val="single" w:sz="4" w:space="0" w:color="auto"/>
              <w:right w:val="single" w:sz="4" w:space="0" w:color="auto"/>
            </w:tcBorders>
            <w:noWrap/>
            <w:vAlign w:val="center"/>
          </w:tcPr>
          <w:p w14:paraId="3903BD24"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c>
          <w:tcPr>
            <w:tcW w:w="2714" w:type="dxa"/>
            <w:tcBorders>
              <w:top w:val="nil"/>
              <w:left w:val="nil"/>
              <w:bottom w:val="single" w:sz="4" w:space="0" w:color="auto"/>
              <w:right w:val="single" w:sz="4" w:space="0" w:color="auto"/>
            </w:tcBorders>
            <w:noWrap/>
            <w:vAlign w:val="center"/>
          </w:tcPr>
          <w:p w14:paraId="5F7BD14A"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9.40</w:t>
            </w:r>
            <w:r w:rsidRPr="00E869A4">
              <w:rPr>
                <w:rStyle w:val="FootnoteReference"/>
                <w:rFonts w:ascii="Times New Roman" w:eastAsia="Times New Roman" w:hAnsi="Times New Roman" w:cs="Times New Roman"/>
                <w:sz w:val="20"/>
                <w:szCs w:val="20"/>
                <w:lang w:eastAsia="en-TT"/>
              </w:rPr>
              <w:footnoteReference w:id="9"/>
            </w:r>
          </w:p>
        </w:tc>
        <w:tc>
          <w:tcPr>
            <w:tcW w:w="1239" w:type="dxa"/>
            <w:tcBorders>
              <w:top w:val="nil"/>
              <w:left w:val="nil"/>
              <w:bottom w:val="single" w:sz="4" w:space="0" w:color="auto"/>
              <w:right w:val="single" w:sz="4" w:space="0" w:color="auto"/>
            </w:tcBorders>
            <w:noWrap/>
            <w:vAlign w:val="center"/>
          </w:tcPr>
          <w:p w14:paraId="2C18DB1A"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r>
      <w:tr w:rsidR="00C714D3" w:rsidRPr="00E869A4" w14:paraId="641F4386"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tcPr>
          <w:p w14:paraId="4772BDF4"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Percent Top 5 causes of death</w:t>
            </w:r>
            <w:r w:rsidR="00D41C8E" w:rsidRPr="00E869A4">
              <w:rPr>
                <w:rFonts w:ascii="Times New Roman" w:eastAsia="Times New Roman" w:hAnsi="Times New Roman" w:cs="Times New Roman"/>
                <w:sz w:val="20"/>
                <w:szCs w:val="20"/>
                <w:lang w:eastAsia="en-TT"/>
              </w:rPr>
              <w:fldChar w:fldCharType="begin"/>
            </w:r>
            <w:r w:rsidRPr="00E869A4">
              <w:rPr>
                <w:rFonts w:ascii="Times New Roman" w:hAnsi="Times New Roman" w:cs="Times New Roman"/>
                <w:sz w:val="20"/>
                <w:szCs w:val="20"/>
              </w:rPr>
              <w:instrText xml:space="preserve"> XE "death" </w:instrText>
            </w:r>
            <w:r w:rsidR="00D41C8E" w:rsidRPr="00E869A4">
              <w:rPr>
                <w:rFonts w:ascii="Times New Roman" w:eastAsia="Times New Roman" w:hAnsi="Times New Roman" w:cs="Times New Roman"/>
                <w:sz w:val="20"/>
                <w:szCs w:val="20"/>
                <w:lang w:eastAsia="en-TT"/>
              </w:rPr>
              <w:fldChar w:fldCharType="end"/>
            </w:r>
            <w:r w:rsidRPr="00E869A4">
              <w:rPr>
                <w:rFonts w:ascii="Times New Roman" w:eastAsia="Times New Roman" w:hAnsi="Times New Roman" w:cs="Times New Roman"/>
                <w:sz w:val="20"/>
                <w:szCs w:val="20"/>
                <w:lang w:eastAsia="en-TT"/>
              </w:rPr>
              <w:t xml:space="preserve"> in 2014</w:t>
            </w:r>
            <w:r w:rsidRPr="00E869A4">
              <w:rPr>
                <w:rStyle w:val="FootnoteReference"/>
                <w:rFonts w:ascii="Times New Roman" w:eastAsia="Times New Roman" w:hAnsi="Times New Roman" w:cs="Times New Roman"/>
                <w:sz w:val="20"/>
                <w:szCs w:val="20"/>
                <w:lang w:eastAsia="en-TT"/>
              </w:rPr>
              <w:footnoteReference w:id="10"/>
            </w:r>
          </w:p>
        </w:tc>
        <w:tc>
          <w:tcPr>
            <w:tcW w:w="2503" w:type="dxa"/>
            <w:tcBorders>
              <w:top w:val="nil"/>
              <w:left w:val="nil"/>
              <w:bottom w:val="single" w:sz="4" w:space="0" w:color="auto"/>
              <w:right w:val="single" w:sz="4" w:space="0" w:color="auto"/>
            </w:tcBorders>
            <w:noWrap/>
            <w:vAlign w:val="center"/>
          </w:tcPr>
          <w:p w14:paraId="17EE211F" w14:textId="77777777" w:rsidR="00F86018" w:rsidRPr="00E869A4" w:rsidRDefault="00F86018" w:rsidP="000B1D78">
            <w:pPr>
              <w:ind w:firstLine="0"/>
              <w:rPr>
                <w:rFonts w:ascii="Times New Roman" w:eastAsia="Times New Roman" w:hAnsi="Times New Roman" w:cs="Times New Roman"/>
                <w:sz w:val="20"/>
                <w:szCs w:val="20"/>
                <w:lang w:val="fr-FR" w:eastAsia="en-TT"/>
              </w:rPr>
            </w:pPr>
            <w:r w:rsidRPr="00E869A4">
              <w:rPr>
                <w:rFonts w:ascii="Times New Roman" w:eastAsia="Times New Roman" w:hAnsi="Times New Roman" w:cs="Times New Roman"/>
                <w:sz w:val="20"/>
                <w:szCs w:val="20"/>
                <w:lang w:val="fr-FR" w:eastAsia="en-TT"/>
              </w:rPr>
              <w:t>CHD (18%)</w:t>
            </w:r>
          </w:p>
          <w:p w14:paraId="25794FD2" w14:textId="77777777" w:rsidR="00F86018" w:rsidRPr="00E869A4" w:rsidRDefault="00F86018" w:rsidP="000B1D78">
            <w:pPr>
              <w:ind w:firstLine="0"/>
              <w:rPr>
                <w:rFonts w:ascii="Times New Roman" w:eastAsia="Times New Roman" w:hAnsi="Times New Roman" w:cs="Times New Roman"/>
                <w:sz w:val="20"/>
                <w:szCs w:val="20"/>
                <w:lang w:val="fr-FR" w:eastAsia="en-TT"/>
              </w:rPr>
            </w:pPr>
            <w:r w:rsidRPr="00E869A4">
              <w:rPr>
                <w:rFonts w:ascii="Times New Roman" w:eastAsia="Times New Roman" w:hAnsi="Times New Roman" w:cs="Times New Roman"/>
                <w:sz w:val="20"/>
                <w:szCs w:val="20"/>
                <w:lang w:val="fr-FR" w:eastAsia="en-TT"/>
              </w:rPr>
              <w:t>Diabetes Mellitus (17%)</w:t>
            </w:r>
          </w:p>
          <w:p w14:paraId="39F7EF8D" w14:textId="77777777" w:rsidR="00F86018" w:rsidRPr="00E869A4" w:rsidRDefault="00F86018" w:rsidP="000B1D78">
            <w:pPr>
              <w:ind w:firstLine="0"/>
              <w:rPr>
                <w:rFonts w:ascii="Times New Roman" w:eastAsia="Times New Roman" w:hAnsi="Times New Roman" w:cs="Times New Roman"/>
                <w:sz w:val="20"/>
                <w:szCs w:val="20"/>
                <w:lang w:val="fr-FR" w:eastAsia="en-TT"/>
              </w:rPr>
            </w:pPr>
            <w:r w:rsidRPr="00E869A4">
              <w:rPr>
                <w:rFonts w:ascii="Times New Roman" w:eastAsia="Times New Roman" w:hAnsi="Times New Roman" w:cs="Times New Roman"/>
                <w:sz w:val="20"/>
                <w:szCs w:val="20"/>
                <w:lang w:val="fr-FR" w:eastAsia="en-TT"/>
              </w:rPr>
              <w:t>Stroke (9%)</w:t>
            </w:r>
          </w:p>
          <w:p w14:paraId="77ADB9E7" w14:textId="77777777" w:rsidR="00F86018" w:rsidRPr="00E869A4" w:rsidRDefault="00F86018" w:rsidP="000B1D78">
            <w:pPr>
              <w:ind w:firstLine="0"/>
              <w:rPr>
                <w:rFonts w:ascii="Times New Roman" w:eastAsia="Times New Roman" w:hAnsi="Times New Roman" w:cs="Times New Roman"/>
                <w:sz w:val="20"/>
                <w:szCs w:val="20"/>
                <w:lang w:val="fr-FR" w:eastAsia="en-TT"/>
              </w:rPr>
            </w:pPr>
            <w:r w:rsidRPr="00E869A4">
              <w:rPr>
                <w:rFonts w:ascii="Times New Roman" w:eastAsia="Times New Roman" w:hAnsi="Times New Roman" w:cs="Times New Roman"/>
                <w:sz w:val="20"/>
                <w:szCs w:val="20"/>
                <w:lang w:val="fr-FR" w:eastAsia="en-TT"/>
              </w:rPr>
              <w:t>Violence (6%)</w:t>
            </w:r>
          </w:p>
          <w:p w14:paraId="5EC1D045"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Hypertension (5%)</w:t>
            </w:r>
          </w:p>
        </w:tc>
        <w:tc>
          <w:tcPr>
            <w:tcW w:w="1117" w:type="dxa"/>
            <w:tcBorders>
              <w:top w:val="nil"/>
              <w:left w:val="nil"/>
              <w:bottom w:val="single" w:sz="4" w:space="0" w:color="auto"/>
              <w:right w:val="single" w:sz="4" w:space="0" w:color="auto"/>
            </w:tcBorders>
            <w:noWrap/>
            <w:vAlign w:val="center"/>
          </w:tcPr>
          <w:p w14:paraId="4C5FE2EC"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c>
          <w:tcPr>
            <w:tcW w:w="2714" w:type="dxa"/>
            <w:tcBorders>
              <w:top w:val="nil"/>
              <w:left w:val="nil"/>
              <w:bottom w:val="single" w:sz="4" w:space="0" w:color="auto"/>
              <w:right w:val="single" w:sz="4" w:space="0" w:color="auto"/>
            </w:tcBorders>
            <w:noWrap/>
            <w:vAlign w:val="center"/>
          </w:tcPr>
          <w:p w14:paraId="15915B3E"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CHD (17%)</w:t>
            </w:r>
          </w:p>
          <w:p w14:paraId="04661565"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Stroke (11%)</w:t>
            </w:r>
          </w:p>
          <w:p w14:paraId="5B4F7C30"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Lung Cancer (8%)</w:t>
            </w:r>
          </w:p>
          <w:p w14:paraId="135C15A2"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Alzheimer’s/Dementia (8%)</w:t>
            </w:r>
          </w:p>
          <w:p w14:paraId="4EB6934F"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Influenza/Pneumonia (7%)</w:t>
            </w:r>
          </w:p>
        </w:tc>
        <w:tc>
          <w:tcPr>
            <w:tcW w:w="1239" w:type="dxa"/>
            <w:tcBorders>
              <w:top w:val="nil"/>
              <w:left w:val="nil"/>
              <w:bottom w:val="single" w:sz="4" w:space="0" w:color="auto"/>
              <w:right w:val="single" w:sz="4" w:space="0" w:color="auto"/>
            </w:tcBorders>
            <w:noWrap/>
            <w:vAlign w:val="center"/>
          </w:tcPr>
          <w:p w14:paraId="4D3E2506"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r>
      <w:tr w:rsidR="00C714D3" w:rsidRPr="00E869A4" w14:paraId="7F5707B3"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hideMark/>
          </w:tcPr>
          <w:p w14:paraId="1E6E5E8C"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Life Expectancy at birth (in 2014 or nearest year)</w:t>
            </w:r>
          </w:p>
        </w:tc>
        <w:tc>
          <w:tcPr>
            <w:tcW w:w="2503" w:type="dxa"/>
            <w:tcBorders>
              <w:top w:val="nil"/>
              <w:left w:val="nil"/>
              <w:bottom w:val="single" w:sz="4" w:space="0" w:color="auto"/>
              <w:right w:val="single" w:sz="4" w:space="0" w:color="auto"/>
            </w:tcBorders>
            <w:noWrap/>
            <w:vAlign w:val="center"/>
            <w:hideMark/>
          </w:tcPr>
          <w:p w14:paraId="0B2DE5CC"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70.0</w:t>
            </w:r>
            <w:r w:rsidRPr="00E869A4">
              <w:rPr>
                <w:rStyle w:val="FootnoteReference"/>
                <w:rFonts w:ascii="Times New Roman" w:eastAsia="Times New Roman" w:hAnsi="Times New Roman" w:cs="Times New Roman"/>
                <w:sz w:val="20"/>
                <w:szCs w:val="20"/>
                <w:lang w:eastAsia="en-TT"/>
              </w:rPr>
              <w:footnoteReference w:id="11"/>
            </w:r>
          </w:p>
        </w:tc>
        <w:tc>
          <w:tcPr>
            <w:tcW w:w="1117" w:type="dxa"/>
            <w:tcBorders>
              <w:top w:val="nil"/>
              <w:left w:val="nil"/>
              <w:bottom w:val="single" w:sz="4" w:space="0" w:color="auto"/>
              <w:right w:val="single" w:sz="4" w:space="0" w:color="auto"/>
            </w:tcBorders>
            <w:noWrap/>
            <w:vAlign w:val="center"/>
            <w:hideMark/>
          </w:tcPr>
          <w:p w14:paraId="7AD57AC7"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73.6</w:t>
            </w:r>
            <w:r w:rsidRPr="00E869A4">
              <w:rPr>
                <w:rStyle w:val="FootnoteReference"/>
                <w:rFonts w:ascii="Times New Roman" w:eastAsia="Times New Roman" w:hAnsi="Times New Roman" w:cs="Times New Roman"/>
                <w:sz w:val="20"/>
                <w:szCs w:val="20"/>
                <w:lang w:eastAsia="en-TT"/>
              </w:rPr>
              <w:footnoteReference w:id="12"/>
            </w:r>
          </w:p>
        </w:tc>
        <w:tc>
          <w:tcPr>
            <w:tcW w:w="2714" w:type="dxa"/>
            <w:tcBorders>
              <w:top w:val="nil"/>
              <w:left w:val="nil"/>
              <w:bottom w:val="single" w:sz="4" w:space="0" w:color="auto"/>
              <w:right w:val="single" w:sz="4" w:space="0" w:color="auto"/>
            </w:tcBorders>
            <w:noWrap/>
            <w:vAlign w:val="center"/>
            <w:hideMark/>
          </w:tcPr>
          <w:p w14:paraId="6AD422EB"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81.4</w:t>
            </w:r>
          </w:p>
        </w:tc>
        <w:tc>
          <w:tcPr>
            <w:tcW w:w="1239" w:type="dxa"/>
            <w:tcBorders>
              <w:top w:val="nil"/>
              <w:left w:val="nil"/>
              <w:bottom w:val="single" w:sz="4" w:space="0" w:color="auto"/>
              <w:right w:val="single" w:sz="4" w:space="0" w:color="auto"/>
            </w:tcBorders>
            <w:noWrap/>
            <w:vAlign w:val="center"/>
            <w:hideMark/>
          </w:tcPr>
          <w:p w14:paraId="674C90AC"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80.6</w:t>
            </w:r>
          </w:p>
        </w:tc>
      </w:tr>
      <w:tr w:rsidR="00C714D3" w:rsidRPr="00E869A4" w14:paraId="4C3ECF47"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tcPr>
          <w:p w14:paraId="48CF4979"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Life Expectancy at Birth in 2017</w:t>
            </w:r>
            <w:r w:rsidRPr="00E869A4">
              <w:rPr>
                <w:rStyle w:val="FootnoteReference"/>
                <w:rFonts w:ascii="Times New Roman" w:eastAsia="Times New Roman" w:hAnsi="Times New Roman" w:cs="Times New Roman"/>
                <w:sz w:val="20"/>
                <w:szCs w:val="20"/>
                <w:lang w:eastAsia="en-TT"/>
              </w:rPr>
              <w:footnoteReference w:id="13"/>
            </w:r>
          </w:p>
        </w:tc>
        <w:tc>
          <w:tcPr>
            <w:tcW w:w="2503" w:type="dxa"/>
            <w:tcBorders>
              <w:top w:val="nil"/>
              <w:left w:val="nil"/>
              <w:bottom w:val="single" w:sz="4" w:space="0" w:color="auto"/>
              <w:right w:val="single" w:sz="4" w:space="0" w:color="auto"/>
            </w:tcBorders>
            <w:noWrap/>
            <w:vAlign w:val="center"/>
          </w:tcPr>
          <w:p w14:paraId="53429314"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71.0</w:t>
            </w:r>
          </w:p>
        </w:tc>
        <w:tc>
          <w:tcPr>
            <w:tcW w:w="1117" w:type="dxa"/>
            <w:tcBorders>
              <w:top w:val="nil"/>
              <w:left w:val="nil"/>
              <w:bottom w:val="single" w:sz="4" w:space="0" w:color="auto"/>
              <w:right w:val="single" w:sz="4" w:space="0" w:color="auto"/>
            </w:tcBorders>
            <w:noWrap/>
            <w:vAlign w:val="center"/>
          </w:tcPr>
          <w:p w14:paraId="3C11443A"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c>
          <w:tcPr>
            <w:tcW w:w="2714" w:type="dxa"/>
            <w:tcBorders>
              <w:top w:val="nil"/>
              <w:left w:val="nil"/>
              <w:bottom w:val="single" w:sz="4" w:space="0" w:color="auto"/>
              <w:right w:val="single" w:sz="4" w:space="0" w:color="auto"/>
            </w:tcBorders>
            <w:noWrap/>
            <w:vAlign w:val="center"/>
          </w:tcPr>
          <w:p w14:paraId="7D73365D"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82.0</w:t>
            </w:r>
          </w:p>
        </w:tc>
        <w:tc>
          <w:tcPr>
            <w:tcW w:w="1239" w:type="dxa"/>
            <w:tcBorders>
              <w:top w:val="nil"/>
              <w:left w:val="nil"/>
              <w:bottom w:val="single" w:sz="4" w:space="0" w:color="auto"/>
              <w:right w:val="single" w:sz="4" w:space="0" w:color="auto"/>
            </w:tcBorders>
            <w:noWrap/>
            <w:vAlign w:val="center"/>
          </w:tcPr>
          <w:p w14:paraId="47F9910F"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r>
      <w:tr w:rsidR="00C714D3" w:rsidRPr="00E869A4" w14:paraId="4D3C9802"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hideMark/>
          </w:tcPr>
          <w:p w14:paraId="20A2C70A"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Life Expectancy at birth in years (men)</w:t>
            </w:r>
          </w:p>
        </w:tc>
        <w:tc>
          <w:tcPr>
            <w:tcW w:w="2503" w:type="dxa"/>
            <w:tcBorders>
              <w:top w:val="nil"/>
              <w:left w:val="nil"/>
              <w:bottom w:val="single" w:sz="4" w:space="0" w:color="auto"/>
              <w:right w:val="single" w:sz="4" w:space="0" w:color="auto"/>
            </w:tcBorders>
            <w:noWrap/>
            <w:vAlign w:val="center"/>
            <w:hideMark/>
          </w:tcPr>
          <w:p w14:paraId="1FBA81DB"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66.3</w:t>
            </w:r>
          </w:p>
        </w:tc>
        <w:tc>
          <w:tcPr>
            <w:tcW w:w="1117" w:type="dxa"/>
            <w:tcBorders>
              <w:top w:val="nil"/>
              <w:left w:val="nil"/>
              <w:bottom w:val="single" w:sz="4" w:space="0" w:color="auto"/>
              <w:right w:val="single" w:sz="4" w:space="0" w:color="auto"/>
            </w:tcBorders>
            <w:noWrap/>
            <w:vAlign w:val="center"/>
            <w:hideMark/>
          </w:tcPr>
          <w:p w14:paraId="51148360"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70.7</w:t>
            </w:r>
          </w:p>
        </w:tc>
        <w:tc>
          <w:tcPr>
            <w:tcW w:w="2714" w:type="dxa"/>
            <w:tcBorders>
              <w:top w:val="nil"/>
              <w:left w:val="nil"/>
              <w:bottom w:val="single" w:sz="4" w:space="0" w:color="auto"/>
              <w:right w:val="single" w:sz="4" w:space="0" w:color="auto"/>
            </w:tcBorders>
            <w:noWrap/>
            <w:vAlign w:val="center"/>
            <w:hideMark/>
          </w:tcPr>
          <w:p w14:paraId="1B00EB65"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78.5</w:t>
            </w:r>
          </w:p>
        </w:tc>
        <w:tc>
          <w:tcPr>
            <w:tcW w:w="1239" w:type="dxa"/>
            <w:tcBorders>
              <w:top w:val="nil"/>
              <w:left w:val="nil"/>
              <w:bottom w:val="single" w:sz="4" w:space="0" w:color="auto"/>
              <w:right w:val="single" w:sz="4" w:space="0" w:color="auto"/>
            </w:tcBorders>
            <w:noWrap/>
            <w:vAlign w:val="center"/>
            <w:hideMark/>
          </w:tcPr>
          <w:p w14:paraId="0D533C4A"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r>
      <w:tr w:rsidR="00C714D3" w:rsidRPr="00E869A4" w14:paraId="727CFAA0"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hideMark/>
          </w:tcPr>
          <w:p w14:paraId="28A05640"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Life Expectancy at birth in years (women</w:t>
            </w:r>
            <w:r w:rsidR="00D41C8E" w:rsidRPr="00E869A4">
              <w:rPr>
                <w:rFonts w:ascii="Times New Roman" w:eastAsia="Times New Roman" w:hAnsi="Times New Roman" w:cs="Times New Roman"/>
                <w:sz w:val="20"/>
                <w:szCs w:val="20"/>
                <w:lang w:eastAsia="en-TT"/>
              </w:rPr>
              <w:fldChar w:fldCharType="begin"/>
            </w:r>
            <w:r w:rsidRPr="00E869A4">
              <w:rPr>
                <w:rFonts w:ascii="Times New Roman" w:hAnsi="Times New Roman" w:cs="Times New Roman"/>
                <w:sz w:val="20"/>
                <w:szCs w:val="20"/>
              </w:rPr>
              <w:instrText xml:space="preserve"> XE "women" </w:instrText>
            </w:r>
            <w:r w:rsidR="00D41C8E" w:rsidRPr="00E869A4">
              <w:rPr>
                <w:rFonts w:ascii="Times New Roman" w:eastAsia="Times New Roman" w:hAnsi="Times New Roman" w:cs="Times New Roman"/>
                <w:sz w:val="20"/>
                <w:szCs w:val="20"/>
                <w:lang w:eastAsia="en-TT"/>
              </w:rPr>
              <w:fldChar w:fldCharType="end"/>
            </w:r>
            <w:r w:rsidRPr="00E869A4">
              <w:rPr>
                <w:rFonts w:ascii="Times New Roman" w:eastAsia="Times New Roman" w:hAnsi="Times New Roman" w:cs="Times New Roman"/>
                <w:sz w:val="20"/>
                <w:szCs w:val="20"/>
                <w:lang w:eastAsia="en-TT"/>
              </w:rPr>
              <w:t>)</w:t>
            </w:r>
          </w:p>
        </w:tc>
        <w:tc>
          <w:tcPr>
            <w:tcW w:w="2503" w:type="dxa"/>
            <w:tcBorders>
              <w:top w:val="nil"/>
              <w:left w:val="nil"/>
              <w:bottom w:val="single" w:sz="4" w:space="0" w:color="auto"/>
              <w:right w:val="single" w:sz="4" w:space="0" w:color="auto"/>
            </w:tcBorders>
            <w:noWrap/>
            <w:vAlign w:val="center"/>
            <w:hideMark/>
          </w:tcPr>
          <w:p w14:paraId="2A19A0B4"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73.6</w:t>
            </w:r>
          </w:p>
        </w:tc>
        <w:tc>
          <w:tcPr>
            <w:tcW w:w="1117" w:type="dxa"/>
            <w:tcBorders>
              <w:top w:val="nil"/>
              <w:left w:val="nil"/>
              <w:bottom w:val="single" w:sz="4" w:space="0" w:color="auto"/>
              <w:right w:val="single" w:sz="4" w:space="0" w:color="auto"/>
            </w:tcBorders>
            <w:noWrap/>
            <w:vAlign w:val="center"/>
            <w:hideMark/>
          </w:tcPr>
          <w:p w14:paraId="3436EFDC"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76.6</w:t>
            </w:r>
          </w:p>
        </w:tc>
        <w:tc>
          <w:tcPr>
            <w:tcW w:w="2714" w:type="dxa"/>
            <w:tcBorders>
              <w:top w:val="nil"/>
              <w:left w:val="nil"/>
              <w:bottom w:val="single" w:sz="4" w:space="0" w:color="auto"/>
              <w:right w:val="single" w:sz="4" w:space="0" w:color="auto"/>
            </w:tcBorders>
            <w:noWrap/>
            <w:vAlign w:val="center"/>
            <w:hideMark/>
          </w:tcPr>
          <w:p w14:paraId="3A9C95ED"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82.4</w:t>
            </w:r>
          </w:p>
        </w:tc>
        <w:tc>
          <w:tcPr>
            <w:tcW w:w="1239" w:type="dxa"/>
            <w:tcBorders>
              <w:top w:val="nil"/>
              <w:left w:val="nil"/>
              <w:bottom w:val="single" w:sz="4" w:space="0" w:color="auto"/>
              <w:right w:val="single" w:sz="4" w:space="0" w:color="auto"/>
            </w:tcBorders>
            <w:noWrap/>
            <w:vAlign w:val="center"/>
            <w:hideMark/>
          </w:tcPr>
          <w:p w14:paraId="2430781F"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r>
      <w:tr w:rsidR="00C714D3" w:rsidRPr="00E869A4" w14:paraId="0FC5DDD5"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hideMark/>
          </w:tcPr>
          <w:p w14:paraId="3FA7C343"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Difference (women</w:t>
            </w:r>
            <w:r w:rsidR="00D41C8E" w:rsidRPr="00E869A4">
              <w:rPr>
                <w:rFonts w:ascii="Times New Roman" w:eastAsia="Times New Roman" w:hAnsi="Times New Roman" w:cs="Times New Roman"/>
                <w:sz w:val="20"/>
                <w:szCs w:val="20"/>
                <w:lang w:eastAsia="en-TT"/>
              </w:rPr>
              <w:fldChar w:fldCharType="begin"/>
            </w:r>
            <w:r w:rsidRPr="00E869A4">
              <w:rPr>
                <w:rFonts w:ascii="Times New Roman" w:hAnsi="Times New Roman" w:cs="Times New Roman"/>
                <w:sz w:val="20"/>
                <w:szCs w:val="20"/>
              </w:rPr>
              <w:instrText xml:space="preserve"> XE "women" </w:instrText>
            </w:r>
            <w:r w:rsidR="00D41C8E" w:rsidRPr="00E869A4">
              <w:rPr>
                <w:rFonts w:ascii="Times New Roman" w:eastAsia="Times New Roman" w:hAnsi="Times New Roman" w:cs="Times New Roman"/>
                <w:sz w:val="20"/>
                <w:szCs w:val="20"/>
                <w:lang w:eastAsia="en-TT"/>
              </w:rPr>
              <w:fldChar w:fldCharType="end"/>
            </w:r>
            <w:r w:rsidRPr="00E869A4">
              <w:rPr>
                <w:rFonts w:ascii="Times New Roman" w:eastAsia="Times New Roman" w:hAnsi="Times New Roman" w:cs="Times New Roman"/>
                <w:sz w:val="20"/>
                <w:szCs w:val="20"/>
                <w:lang w:eastAsia="en-TT"/>
              </w:rPr>
              <w:t xml:space="preserve"> - men)</w:t>
            </w:r>
          </w:p>
        </w:tc>
        <w:tc>
          <w:tcPr>
            <w:tcW w:w="2503" w:type="dxa"/>
            <w:tcBorders>
              <w:top w:val="nil"/>
              <w:left w:val="nil"/>
              <w:bottom w:val="single" w:sz="4" w:space="0" w:color="auto"/>
              <w:right w:val="single" w:sz="4" w:space="0" w:color="auto"/>
            </w:tcBorders>
            <w:noWrap/>
            <w:vAlign w:val="center"/>
            <w:hideMark/>
          </w:tcPr>
          <w:p w14:paraId="21FAB3FD"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7.2</w:t>
            </w:r>
          </w:p>
        </w:tc>
        <w:tc>
          <w:tcPr>
            <w:tcW w:w="1117" w:type="dxa"/>
            <w:tcBorders>
              <w:top w:val="nil"/>
              <w:left w:val="nil"/>
              <w:bottom w:val="single" w:sz="4" w:space="0" w:color="auto"/>
              <w:right w:val="single" w:sz="4" w:space="0" w:color="auto"/>
            </w:tcBorders>
            <w:noWrap/>
            <w:vAlign w:val="center"/>
            <w:hideMark/>
          </w:tcPr>
          <w:p w14:paraId="29D7B1CD"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5.9</w:t>
            </w:r>
          </w:p>
        </w:tc>
        <w:tc>
          <w:tcPr>
            <w:tcW w:w="2714" w:type="dxa"/>
            <w:tcBorders>
              <w:top w:val="nil"/>
              <w:left w:val="nil"/>
              <w:bottom w:val="single" w:sz="4" w:space="0" w:color="auto"/>
              <w:right w:val="single" w:sz="4" w:space="0" w:color="auto"/>
            </w:tcBorders>
            <w:noWrap/>
            <w:vAlign w:val="center"/>
            <w:hideMark/>
          </w:tcPr>
          <w:p w14:paraId="52CCC47D"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3.9</w:t>
            </w:r>
          </w:p>
        </w:tc>
        <w:tc>
          <w:tcPr>
            <w:tcW w:w="1239" w:type="dxa"/>
            <w:tcBorders>
              <w:top w:val="nil"/>
              <w:left w:val="nil"/>
              <w:bottom w:val="single" w:sz="4" w:space="0" w:color="auto"/>
              <w:right w:val="single" w:sz="4" w:space="0" w:color="auto"/>
            </w:tcBorders>
            <w:noWrap/>
            <w:vAlign w:val="center"/>
            <w:hideMark/>
          </w:tcPr>
          <w:p w14:paraId="149AC009"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r>
      <w:tr w:rsidR="00C714D3" w:rsidRPr="00E869A4" w14:paraId="1E355A1E"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hideMark/>
          </w:tcPr>
          <w:p w14:paraId="34DBEF93"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Old Age Support Ratio (2018)</w:t>
            </w:r>
          </w:p>
        </w:tc>
        <w:tc>
          <w:tcPr>
            <w:tcW w:w="2503" w:type="dxa"/>
            <w:tcBorders>
              <w:top w:val="nil"/>
              <w:left w:val="nil"/>
              <w:bottom w:val="single" w:sz="4" w:space="0" w:color="auto"/>
              <w:right w:val="single" w:sz="4" w:space="0" w:color="auto"/>
            </w:tcBorders>
            <w:noWrap/>
            <w:vAlign w:val="center"/>
            <w:hideMark/>
          </w:tcPr>
          <w:p w14:paraId="7482A0E8"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5.82</w:t>
            </w:r>
          </w:p>
        </w:tc>
        <w:tc>
          <w:tcPr>
            <w:tcW w:w="1117" w:type="dxa"/>
            <w:tcBorders>
              <w:top w:val="nil"/>
              <w:left w:val="nil"/>
              <w:bottom w:val="single" w:sz="4" w:space="0" w:color="auto"/>
              <w:right w:val="single" w:sz="4" w:space="0" w:color="auto"/>
            </w:tcBorders>
            <w:noWrap/>
            <w:vAlign w:val="center"/>
            <w:hideMark/>
          </w:tcPr>
          <w:p w14:paraId="5263E190"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7.10</w:t>
            </w:r>
          </w:p>
        </w:tc>
        <w:tc>
          <w:tcPr>
            <w:tcW w:w="2714" w:type="dxa"/>
            <w:tcBorders>
              <w:top w:val="nil"/>
              <w:left w:val="nil"/>
              <w:bottom w:val="single" w:sz="4" w:space="0" w:color="auto"/>
              <w:right w:val="single" w:sz="4" w:space="0" w:color="auto"/>
            </w:tcBorders>
            <w:noWrap/>
            <w:vAlign w:val="center"/>
            <w:hideMark/>
          </w:tcPr>
          <w:p w14:paraId="5CD11FC3"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3.13</w:t>
            </w:r>
          </w:p>
        </w:tc>
        <w:tc>
          <w:tcPr>
            <w:tcW w:w="1239" w:type="dxa"/>
            <w:tcBorders>
              <w:top w:val="nil"/>
              <w:left w:val="nil"/>
              <w:bottom w:val="single" w:sz="4" w:space="0" w:color="auto"/>
              <w:right w:val="single" w:sz="4" w:space="0" w:color="auto"/>
            </w:tcBorders>
            <w:noWrap/>
            <w:vAlign w:val="center"/>
            <w:hideMark/>
          </w:tcPr>
          <w:p w14:paraId="5DBC5C7F"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w:t>
            </w:r>
          </w:p>
        </w:tc>
      </w:tr>
      <w:tr w:rsidR="00C714D3" w:rsidRPr="00E869A4" w14:paraId="0FB2AEE3"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hideMark/>
          </w:tcPr>
          <w:p w14:paraId="7FCEEC8A"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Old Age Dependency Ratio (in 2015 or nearest year)</w:t>
            </w:r>
          </w:p>
        </w:tc>
        <w:tc>
          <w:tcPr>
            <w:tcW w:w="2503" w:type="dxa"/>
            <w:tcBorders>
              <w:top w:val="nil"/>
              <w:left w:val="nil"/>
              <w:bottom w:val="single" w:sz="4" w:space="0" w:color="auto"/>
              <w:right w:val="single" w:sz="4" w:space="0" w:color="auto"/>
            </w:tcBorders>
            <w:noWrap/>
            <w:vAlign w:val="center"/>
            <w:hideMark/>
          </w:tcPr>
          <w:p w14:paraId="40555A73"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22.4</w:t>
            </w:r>
          </w:p>
        </w:tc>
        <w:tc>
          <w:tcPr>
            <w:tcW w:w="1117" w:type="dxa"/>
            <w:tcBorders>
              <w:top w:val="nil"/>
              <w:left w:val="nil"/>
              <w:bottom w:val="single" w:sz="4" w:space="0" w:color="auto"/>
              <w:right w:val="single" w:sz="4" w:space="0" w:color="auto"/>
            </w:tcBorders>
            <w:noWrap/>
            <w:vAlign w:val="center"/>
            <w:hideMark/>
          </w:tcPr>
          <w:p w14:paraId="257BD268"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 …</w:t>
            </w:r>
          </w:p>
        </w:tc>
        <w:tc>
          <w:tcPr>
            <w:tcW w:w="2714" w:type="dxa"/>
            <w:tcBorders>
              <w:top w:val="nil"/>
              <w:left w:val="nil"/>
              <w:bottom w:val="single" w:sz="4" w:space="0" w:color="auto"/>
              <w:right w:val="single" w:sz="4" w:space="0" w:color="auto"/>
            </w:tcBorders>
            <w:noWrap/>
            <w:vAlign w:val="center"/>
            <w:hideMark/>
          </w:tcPr>
          <w:p w14:paraId="1A43B773"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30</w:t>
            </w:r>
          </w:p>
        </w:tc>
        <w:tc>
          <w:tcPr>
            <w:tcW w:w="1239" w:type="dxa"/>
            <w:tcBorders>
              <w:top w:val="nil"/>
              <w:left w:val="nil"/>
              <w:bottom w:val="single" w:sz="4" w:space="0" w:color="auto"/>
              <w:right w:val="single" w:sz="4" w:space="0" w:color="auto"/>
            </w:tcBorders>
            <w:noWrap/>
            <w:vAlign w:val="center"/>
            <w:hideMark/>
          </w:tcPr>
          <w:p w14:paraId="32E17E2F"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28</w:t>
            </w:r>
          </w:p>
        </w:tc>
      </w:tr>
      <w:tr w:rsidR="00C714D3" w:rsidRPr="00E869A4" w14:paraId="0C480B2D"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tcPr>
          <w:p w14:paraId="54EBFDD3"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Replacement Rate</w:t>
            </w:r>
            <w:r w:rsidRPr="00E869A4">
              <w:rPr>
                <w:rStyle w:val="FootnoteReference"/>
                <w:rFonts w:ascii="Times New Roman" w:eastAsia="Times New Roman" w:hAnsi="Times New Roman" w:cs="Times New Roman"/>
                <w:sz w:val="20"/>
                <w:szCs w:val="20"/>
                <w:lang w:eastAsia="en-TT"/>
              </w:rPr>
              <w:footnoteReference w:id="14"/>
            </w:r>
          </w:p>
        </w:tc>
        <w:tc>
          <w:tcPr>
            <w:tcW w:w="2503" w:type="dxa"/>
            <w:tcBorders>
              <w:top w:val="nil"/>
              <w:left w:val="nil"/>
              <w:bottom w:val="single" w:sz="4" w:space="0" w:color="auto"/>
              <w:right w:val="single" w:sz="4" w:space="0" w:color="auto"/>
            </w:tcBorders>
            <w:noWrap/>
            <w:vAlign w:val="center"/>
          </w:tcPr>
          <w:p w14:paraId="7C756CCD"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1.8</w:t>
            </w:r>
          </w:p>
        </w:tc>
        <w:tc>
          <w:tcPr>
            <w:tcW w:w="1117" w:type="dxa"/>
            <w:tcBorders>
              <w:top w:val="nil"/>
              <w:left w:val="nil"/>
              <w:bottom w:val="single" w:sz="4" w:space="0" w:color="auto"/>
              <w:right w:val="single" w:sz="4" w:space="0" w:color="auto"/>
            </w:tcBorders>
            <w:noWrap/>
            <w:vAlign w:val="center"/>
          </w:tcPr>
          <w:p w14:paraId="3FDBFCEB" w14:textId="77777777" w:rsidR="00F86018" w:rsidRPr="00E869A4" w:rsidRDefault="00F86018" w:rsidP="000B1D78">
            <w:pPr>
              <w:ind w:firstLine="0"/>
              <w:rPr>
                <w:rFonts w:ascii="Times New Roman" w:eastAsia="Times New Roman" w:hAnsi="Times New Roman" w:cs="Times New Roman"/>
                <w:sz w:val="20"/>
                <w:szCs w:val="20"/>
                <w:lang w:eastAsia="en-TT"/>
              </w:rPr>
            </w:pPr>
          </w:p>
        </w:tc>
        <w:tc>
          <w:tcPr>
            <w:tcW w:w="2714" w:type="dxa"/>
            <w:tcBorders>
              <w:top w:val="nil"/>
              <w:left w:val="nil"/>
              <w:bottom w:val="single" w:sz="4" w:space="0" w:color="auto"/>
              <w:right w:val="single" w:sz="4" w:space="0" w:color="auto"/>
            </w:tcBorders>
            <w:noWrap/>
            <w:vAlign w:val="center"/>
          </w:tcPr>
          <w:p w14:paraId="7582945E" w14:textId="77777777" w:rsidR="00F86018" w:rsidRPr="00E869A4" w:rsidRDefault="00F86018" w:rsidP="000B1D78">
            <w:pPr>
              <w:ind w:firstLine="0"/>
              <w:rPr>
                <w:rFonts w:ascii="Times New Roman" w:eastAsia="Times New Roman" w:hAnsi="Times New Roman" w:cs="Times New Roman"/>
                <w:sz w:val="20"/>
                <w:szCs w:val="20"/>
                <w:lang w:eastAsia="en-TT"/>
              </w:rPr>
            </w:pPr>
          </w:p>
        </w:tc>
        <w:tc>
          <w:tcPr>
            <w:tcW w:w="1239" w:type="dxa"/>
            <w:tcBorders>
              <w:top w:val="nil"/>
              <w:left w:val="nil"/>
              <w:bottom w:val="single" w:sz="4" w:space="0" w:color="auto"/>
              <w:right w:val="single" w:sz="4" w:space="0" w:color="auto"/>
            </w:tcBorders>
            <w:noWrap/>
            <w:vAlign w:val="center"/>
          </w:tcPr>
          <w:p w14:paraId="2D82C18D" w14:textId="77777777" w:rsidR="00F86018" w:rsidRPr="00E869A4" w:rsidRDefault="00F86018" w:rsidP="000B1D78">
            <w:pPr>
              <w:ind w:firstLine="0"/>
              <w:rPr>
                <w:rFonts w:ascii="Times New Roman" w:eastAsia="Times New Roman" w:hAnsi="Times New Roman" w:cs="Times New Roman"/>
                <w:sz w:val="20"/>
                <w:szCs w:val="20"/>
                <w:lang w:eastAsia="en-TT"/>
              </w:rPr>
            </w:pPr>
          </w:p>
        </w:tc>
      </w:tr>
      <w:tr w:rsidR="00C714D3" w:rsidRPr="00E869A4" w14:paraId="00C9473F" w14:textId="77777777" w:rsidTr="00B7596C">
        <w:trPr>
          <w:trHeight w:val="257"/>
          <w:jc w:val="center"/>
        </w:trPr>
        <w:tc>
          <w:tcPr>
            <w:tcW w:w="5717" w:type="dxa"/>
            <w:tcBorders>
              <w:top w:val="nil"/>
              <w:left w:val="single" w:sz="4" w:space="0" w:color="auto"/>
              <w:bottom w:val="single" w:sz="4" w:space="0" w:color="auto"/>
              <w:right w:val="single" w:sz="4" w:space="0" w:color="auto"/>
            </w:tcBorders>
            <w:noWrap/>
            <w:vAlign w:val="center"/>
            <w:hideMark/>
          </w:tcPr>
          <w:p w14:paraId="42E185BB"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Public Pension Spending as % of GDP</w:t>
            </w:r>
            <w:r w:rsidR="00D41C8E" w:rsidRPr="00E869A4">
              <w:rPr>
                <w:rFonts w:ascii="Times New Roman" w:eastAsia="Times New Roman" w:hAnsi="Times New Roman" w:cs="Times New Roman"/>
                <w:sz w:val="20"/>
                <w:szCs w:val="20"/>
                <w:lang w:eastAsia="en-TT"/>
              </w:rPr>
              <w:fldChar w:fldCharType="begin"/>
            </w:r>
            <w:r w:rsidRPr="00E869A4">
              <w:rPr>
                <w:rFonts w:ascii="Times New Roman" w:hAnsi="Times New Roman" w:cs="Times New Roman"/>
                <w:sz w:val="20"/>
                <w:szCs w:val="20"/>
              </w:rPr>
              <w:instrText xml:space="preserve"> XE "GDP" </w:instrText>
            </w:r>
            <w:r w:rsidR="00D41C8E" w:rsidRPr="00E869A4">
              <w:rPr>
                <w:rFonts w:ascii="Times New Roman" w:eastAsia="Times New Roman" w:hAnsi="Times New Roman" w:cs="Times New Roman"/>
                <w:sz w:val="20"/>
                <w:szCs w:val="20"/>
                <w:lang w:eastAsia="en-TT"/>
              </w:rPr>
              <w:fldChar w:fldCharType="end"/>
            </w:r>
            <w:r w:rsidRPr="00E869A4">
              <w:rPr>
                <w:rFonts w:ascii="Times New Roman" w:eastAsia="Times New Roman" w:hAnsi="Times New Roman" w:cs="Times New Roman"/>
                <w:sz w:val="20"/>
                <w:szCs w:val="20"/>
                <w:lang w:eastAsia="en-TT"/>
              </w:rPr>
              <w:t xml:space="preserve"> (in 2013 or nearest year)</w:t>
            </w:r>
          </w:p>
        </w:tc>
        <w:tc>
          <w:tcPr>
            <w:tcW w:w="2503" w:type="dxa"/>
            <w:tcBorders>
              <w:top w:val="nil"/>
              <w:left w:val="nil"/>
              <w:bottom w:val="single" w:sz="4" w:space="0" w:color="auto"/>
              <w:right w:val="single" w:sz="4" w:space="0" w:color="auto"/>
            </w:tcBorders>
            <w:noWrap/>
            <w:vAlign w:val="center"/>
            <w:hideMark/>
          </w:tcPr>
          <w:p w14:paraId="60D41C3E"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4.4</w:t>
            </w:r>
            <w:r w:rsidRPr="00E869A4">
              <w:rPr>
                <w:rStyle w:val="FootnoteReference"/>
                <w:rFonts w:ascii="Times New Roman" w:eastAsia="Times New Roman" w:hAnsi="Times New Roman" w:cs="Times New Roman"/>
                <w:sz w:val="20"/>
                <w:szCs w:val="20"/>
                <w:lang w:eastAsia="en-TT"/>
              </w:rPr>
              <w:footnoteReference w:id="15"/>
            </w:r>
          </w:p>
        </w:tc>
        <w:tc>
          <w:tcPr>
            <w:tcW w:w="1117" w:type="dxa"/>
            <w:tcBorders>
              <w:top w:val="nil"/>
              <w:left w:val="nil"/>
              <w:bottom w:val="single" w:sz="4" w:space="0" w:color="auto"/>
              <w:right w:val="single" w:sz="4" w:space="0" w:color="auto"/>
            </w:tcBorders>
            <w:noWrap/>
            <w:vAlign w:val="center"/>
            <w:hideMark/>
          </w:tcPr>
          <w:p w14:paraId="444C5109"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3.1</w:t>
            </w:r>
          </w:p>
        </w:tc>
        <w:tc>
          <w:tcPr>
            <w:tcW w:w="2714" w:type="dxa"/>
            <w:tcBorders>
              <w:top w:val="nil"/>
              <w:left w:val="nil"/>
              <w:bottom w:val="single" w:sz="4" w:space="0" w:color="auto"/>
              <w:right w:val="single" w:sz="4" w:space="0" w:color="auto"/>
            </w:tcBorders>
            <w:noWrap/>
            <w:vAlign w:val="center"/>
            <w:hideMark/>
          </w:tcPr>
          <w:p w14:paraId="3ECDB04B"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6.1</w:t>
            </w:r>
          </w:p>
        </w:tc>
        <w:tc>
          <w:tcPr>
            <w:tcW w:w="1239" w:type="dxa"/>
            <w:tcBorders>
              <w:top w:val="nil"/>
              <w:left w:val="nil"/>
              <w:bottom w:val="single" w:sz="4" w:space="0" w:color="auto"/>
              <w:right w:val="single" w:sz="4" w:space="0" w:color="auto"/>
            </w:tcBorders>
            <w:noWrap/>
            <w:vAlign w:val="center"/>
            <w:hideMark/>
          </w:tcPr>
          <w:p w14:paraId="73F107E8" w14:textId="77777777" w:rsidR="00F86018" w:rsidRPr="00E869A4" w:rsidRDefault="00F86018" w:rsidP="000B1D78">
            <w:pPr>
              <w:ind w:firstLine="0"/>
              <w:rPr>
                <w:rFonts w:ascii="Times New Roman" w:eastAsia="Times New Roman" w:hAnsi="Times New Roman" w:cs="Times New Roman"/>
                <w:sz w:val="20"/>
                <w:szCs w:val="20"/>
                <w:lang w:eastAsia="en-TT"/>
              </w:rPr>
            </w:pPr>
            <w:r w:rsidRPr="00E869A4">
              <w:rPr>
                <w:rFonts w:ascii="Times New Roman" w:eastAsia="Times New Roman" w:hAnsi="Times New Roman" w:cs="Times New Roman"/>
                <w:sz w:val="20"/>
                <w:szCs w:val="20"/>
                <w:lang w:eastAsia="en-TT"/>
              </w:rPr>
              <w:t>8.2</w:t>
            </w:r>
          </w:p>
        </w:tc>
      </w:tr>
    </w:tbl>
    <w:p w14:paraId="44BEE805" w14:textId="77777777" w:rsidR="00F86018" w:rsidRPr="00E869A4" w:rsidRDefault="00F86018" w:rsidP="00A35FF8">
      <w:pPr>
        <w:rPr>
          <w:rFonts w:ascii="Times New Roman" w:hAnsi="Times New Roman" w:cs="Times New Roman"/>
        </w:rPr>
        <w:sectPr w:rsidR="00F86018" w:rsidRPr="00E869A4" w:rsidSect="00446CB8">
          <w:type w:val="nextColumn"/>
          <w:pgSz w:w="15840" w:h="12240" w:orient="landscape"/>
          <w:pgMar w:top="993" w:right="851" w:bottom="1440" w:left="1134" w:header="708" w:footer="708" w:gutter="0"/>
          <w:cols w:space="708"/>
          <w:docGrid w:linePitch="360"/>
        </w:sectPr>
      </w:pPr>
    </w:p>
    <w:p w14:paraId="38FF05FD" w14:textId="44C2B112" w:rsidR="00314EBA" w:rsidRPr="00E869A4" w:rsidRDefault="00BE40EF" w:rsidP="00314EBA">
      <w:pPr>
        <w:pStyle w:val="Heading3"/>
      </w:pPr>
      <w:bookmarkStart w:id="29" w:name="_Toc510469572"/>
      <w:bookmarkStart w:id="30" w:name="_Toc40436452"/>
      <w:r>
        <w:lastRenderedPageBreak/>
        <w:t>1.2.4</w:t>
      </w:r>
      <w:r w:rsidRPr="00E869A4">
        <w:t xml:space="preserve">     </w:t>
      </w:r>
      <w:r w:rsidR="00314EBA" w:rsidRPr="00E869A4">
        <w:t>Older Persons with Disabilities in T&amp;T</w:t>
      </w:r>
      <w:bookmarkEnd w:id="30"/>
    </w:p>
    <w:p w14:paraId="2A9595A6" w14:textId="77777777" w:rsidR="00314EBA" w:rsidRPr="00E869A4" w:rsidRDefault="00314EBA" w:rsidP="00314EBA">
      <w:pPr>
        <w:pStyle w:val="112"/>
        <w:rPr>
          <w:color w:val="auto"/>
        </w:rPr>
      </w:pPr>
    </w:p>
    <w:p w14:paraId="479AD9DF" w14:textId="77777777" w:rsidR="00314EBA" w:rsidRPr="00E869A4" w:rsidRDefault="00314EBA" w:rsidP="00314EBA">
      <w:pPr>
        <w:rPr>
          <w:rFonts w:ascii="Times New Roman" w:hAnsi="Times New Roman" w:cs="Times New Roman"/>
        </w:rPr>
      </w:pPr>
      <w:r w:rsidRPr="00E869A4">
        <w:rPr>
          <w:rFonts w:ascii="Times New Roman" w:hAnsi="Times New Roman" w:cs="Times New Roman"/>
        </w:rPr>
        <w:t>While improvements in life expectancy in T&amp;T are noteworthy, there is a high risk of older persons becoming disabled in later life in the country.  The most recent figures suggest that approximately 6.1% of the Caribbean population consists of pwds (Alméras 2014, p. 11). Of the 4.1% of the T&amp;T population that had disabilities, the majority (17.7%) were older women with 15.6% consisting of older men (Schmid, Vézina &amp; Ebbeson 2008; UNECLAC 2011a). This is cause for concern. As Rouse et al. (2010, p. 8) explained:</w:t>
      </w:r>
    </w:p>
    <w:p w14:paraId="1AA50E50" w14:textId="77777777" w:rsidR="00314EBA" w:rsidRPr="00E869A4" w:rsidRDefault="00314EBA" w:rsidP="00314EBA">
      <w:pPr>
        <w:spacing w:line="240" w:lineRule="auto"/>
        <w:rPr>
          <w:rFonts w:ascii="Times New Roman" w:hAnsi="Times New Roman" w:cs="Times New Roman"/>
        </w:rPr>
      </w:pPr>
    </w:p>
    <w:p w14:paraId="4922E5C8" w14:textId="77777777" w:rsidR="00314EBA" w:rsidRPr="00E869A4" w:rsidRDefault="00314EBA" w:rsidP="00314EBA">
      <w:pPr>
        <w:spacing w:line="240" w:lineRule="auto"/>
        <w:ind w:left="567" w:firstLine="0"/>
        <w:rPr>
          <w:rFonts w:ascii="Times New Roman" w:hAnsi="Times New Roman" w:cs="Times New Roman"/>
        </w:rPr>
      </w:pPr>
      <w:r w:rsidRPr="00E869A4">
        <w:rPr>
          <w:rFonts w:ascii="Times New Roman" w:hAnsi="Times New Roman" w:cs="Times New Roman"/>
        </w:rPr>
        <w:t>Increasing life expectancy is undoubtedly a sign of social and economic development. However, the quality of years is even more important. If medical treatments postpone deaths from chronic conditions but do not delay the onset of the conditions themselves or their disabling consequences, the result could be an expansion of morbidity and disability over the life course of individuals.</w:t>
      </w:r>
    </w:p>
    <w:p w14:paraId="5AD617E0" w14:textId="77777777" w:rsidR="00314EBA" w:rsidRDefault="00314EBA" w:rsidP="00314EBA">
      <w:pPr>
        <w:spacing w:line="240" w:lineRule="auto"/>
        <w:rPr>
          <w:rFonts w:ascii="Times New Roman" w:hAnsi="Times New Roman" w:cs="Times New Roman"/>
        </w:rPr>
      </w:pPr>
    </w:p>
    <w:p w14:paraId="50A8F394" w14:textId="0856350F" w:rsidR="007E0104" w:rsidRPr="00E869A4" w:rsidRDefault="007E0104" w:rsidP="007E0104">
      <w:pPr>
        <w:rPr>
          <w:rFonts w:ascii="Times New Roman" w:hAnsi="Times New Roman" w:cs="Times New Roman"/>
        </w:rPr>
      </w:pPr>
      <w:r w:rsidRPr="00E869A4">
        <w:rPr>
          <w:rFonts w:ascii="Times New Roman" w:hAnsi="Times New Roman" w:cs="Times New Roman"/>
        </w:rPr>
        <w:t>The data suggests that women in T&amp;T are more likely to become disabled because of non-communicable chronic diseases that result in loss of vision, joint disorders and upper and lower limb impediments. Trinbagonian</w:t>
      </w:r>
      <w:r w:rsidR="00607325" w:rsidRPr="00E869A4">
        <w:rPr>
          <w:rStyle w:val="FootnoteReference"/>
          <w:rFonts w:ascii="Times New Roman" w:hAnsi="Times New Roman" w:cs="Times New Roman"/>
        </w:rPr>
        <w:footnoteReference w:id="16"/>
      </w:r>
      <w:r w:rsidRPr="00E869A4">
        <w:rPr>
          <w:rFonts w:ascii="Times New Roman" w:hAnsi="Times New Roman" w:cs="Times New Roman"/>
        </w:rPr>
        <w:t xml:space="preserve"> men tend to suffer from prostate cancer and slightly higher rates of kidney disease than women (Schmid, Vézina &amp; Ebbeson et al. 2008). Generally, disability among older persons was directly related to socio-economic status with lower income groups being more susceptible to becoming disabled in later life (Schmid, Vézina &amp; Ebbeson et al. 2008).</w:t>
      </w:r>
    </w:p>
    <w:p w14:paraId="07AD59B5" w14:textId="77777777" w:rsidR="007E0104" w:rsidRPr="00E869A4" w:rsidRDefault="007E0104" w:rsidP="007E0104">
      <w:pPr>
        <w:rPr>
          <w:rFonts w:ascii="Times New Roman" w:hAnsi="Times New Roman" w:cs="Times New Roman"/>
        </w:rPr>
      </w:pPr>
    </w:p>
    <w:p w14:paraId="0BD7C2A4" w14:textId="6B76A239" w:rsidR="004E577B" w:rsidRPr="00E869A4" w:rsidRDefault="005F4A7B" w:rsidP="005C449C">
      <w:pPr>
        <w:pStyle w:val="Heading3"/>
      </w:pPr>
      <w:bookmarkStart w:id="31" w:name="_Toc40436453"/>
      <w:r w:rsidRPr="00E869A4">
        <w:t>1.</w:t>
      </w:r>
      <w:r w:rsidR="00B364F8" w:rsidRPr="00E869A4">
        <w:t>2</w:t>
      </w:r>
      <w:r w:rsidRPr="00E869A4">
        <w:t>.5</w:t>
      </w:r>
      <w:r w:rsidR="00BE40EF" w:rsidRPr="00E869A4">
        <w:t xml:space="preserve">     </w:t>
      </w:r>
      <w:r w:rsidR="004214AE" w:rsidRPr="00E869A4">
        <w:t xml:space="preserve">Family Care </w:t>
      </w:r>
      <w:r w:rsidR="00743886" w:rsidRPr="00E869A4">
        <w:t>for</w:t>
      </w:r>
      <w:r w:rsidR="004214AE" w:rsidRPr="00E869A4">
        <w:t xml:space="preserve"> Older Persons </w:t>
      </w:r>
      <w:r w:rsidR="00743886" w:rsidRPr="00E869A4">
        <w:t>in</w:t>
      </w:r>
      <w:r w:rsidR="004214AE" w:rsidRPr="00E869A4">
        <w:t xml:space="preserve"> </w:t>
      </w:r>
      <w:bookmarkEnd w:id="29"/>
      <w:r w:rsidR="00516A3F" w:rsidRPr="00E869A4">
        <w:t>T&amp;T</w:t>
      </w:r>
      <w:bookmarkEnd w:id="31"/>
    </w:p>
    <w:p w14:paraId="6F52C39A" w14:textId="77777777" w:rsidR="00B0745F" w:rsidRPr="00E869A4" w:rsidRDefault="00B0745F" w:rsidP="00A35FF8">
      <w:pPr>
        <w:rPr>
          <w:rFonts w:ascii="Times New Roman" w:hAnsi="Times New Roman" w:cs="Times New Roman"/>
          <w:szCs w:val="24"/>
        </w:rPr>
      </w:pPr>
    </w:p>
    <w:p w14:paraId="21CD0FFF" w14:textId="22576594" w:rsidR="004E577B" w:rsidRPr="00E869A4" w:rsidRDefault="004E577B" w:rsidP="0065518F">
      <w:pPr>
        <w:rPr>
          <w:rFonts w:ascii="Times New Roman" w:hAnsi="Times New Roman" w:cs="Times New Roman"/>
          <w:szCs w:val="24"/>
        </w:rPr>
      </w:pPr>
      <w:r w:rsidRPr="00E869A4">
        <w:rPr>
          <w:rFonts w:ascii="Times New Roman" w:hAnsi="Times New Roman" w:cs="Times New Roman"/>
          <w:szCs w:val="24"/>
        </w:rPr>
        <w:t xml:space="preserve">The initial evidence </w:t>
      </w:r>
      <w:r w:rsidR="00673062" w:rsidRPr="00E869A4">
        <w:rPr>
          <w:rFonts w:ascii="Times New Roman" w:hAnsi="Times New Roman" w:cs="Times New Roman"/>
          <w:szCs w:val="24"/>
        </w:rPr>
        <w:t>indicates</w:t>
      </w:r>
      <w:r w:rsidRPr="00E869A4">
        <w:rPr>
          <w:rFonts w:ascii="Times New Roman" w:hAnsi="Times New Roman" w:cs="Times New Roman"/>
          <w:szCs w:val="24"/>
        </w:rPr>
        <w:t xml:space="preserve"> that family caregivers in </w:t>
      </w:r>
      <w:r w:rsidR="006F24F7" w:rsidRPr="00E869A4">
        <w:rPr>
          <w:rFonts w:ascii="Times New Roman" w:hAnsi="Times New Roman" w:cs="Times New Roman"/>
          <w:szCs w:val="24"/>
        </w:rPr>
        <w:t>T&amp;T</w:t>
      </w:r>
      <w:r w:rsidRPr="00E869A4">
        <w:rPr>
          <w:rFonts w:ascii="Times New Roman" w:hAnsi="Times New Roman" w:cs="Times New Roman"/>
          <w:szCs w:val="24"/>
        </w:rPr>
        <w:t xml:space="preserve"> provide significant amounts of support to frail older persons even in the face of numerous challenges.  The country’s National Policy</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i/>
          <w:iCs/>
          <w:szCs w:val="24"/>
        </w:rPr>
        <w:instrText>Policy</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on Ageing noted that </w:t>
      </w:r>
      <w:r w:rsidR="00927B34" w:rsidRPr="00E869A4">
        <w:rPr>
          <w:rFonts w:ascii="Times New Roman" w:hAnsi="Times New Roman" w:cs="Times New Roman"/>
          <w:szCs w:val="24"/>
        </w:rPr>
        <w:t>“</w:t>
      </w:r>
      <w:r w:rsidRPr="00E869A4">
        <w:rPr>
          <w:rFonts w:ascii="Times New Roman" w:hAnsi="Times New Roman" w:cs="Times New Roman"/>
          <w:szCs w:val="24"/>
        </w:rPr>
        <w:t>the majority of older persons live with families who provide care-giving where necessary, but the quality and stresses of such care are unknown</w:t>
      </w:r>
      <w:r w:rsidR="00927B34" w:rsidRPr="00E869A4">
        <w:rPr>
          <w:rFonts w:ascii="Times New Roman" w:hAnsi="Times New Roman" w:cs="Times New Roman"/>
          <w:szCs w:val="24"/>
        </w:rPr>
        <w:t>”</w:t>
      </w:r>
      <w:r w:rsidR="00927B34" w:rsidRPr="00E869A4">
        <w:rPr>
          <w:rFonts w:ascii="Times New Roman" w:hAnsi="Times New Roman" w:cs="Times New Roman"/>
          <w:i/>
          <w:szCs w:val="24"/>
        </w:rPr>
        <w:t xml:space="preserve"> </w:t>
      </w:r>
      <w:r w:rsidR="00927B34" w:rsidRPr="00E869A4">
        <w:rPr>
          <w:rFonts w:ascii="Times New Roman" w:hAnsi="Times New Roman" w:cs="Times New Roman"/>
          <w:szCs w:val="24"/>
        </w:rPr>
        <w:t>(NPA 2006, p. 8)</w:t>
      </w:r>
      <w:r w:rsidRPr="00E869A4">
        <w:rPr>
          <w:rFonts w:ascii="Times New Roman" w:hAnsi="Times New Roman" w:cs="Times New Roman"/>
          <w:i/>
          <w:szCs w:val="24"/>
        </w:rPr>
        <w:t>.</w:t>
      </w:r>
      <w:r w:rsidRPr="00E869A4">
        <w:rPr>
          <w:rFonts w:ascii="Times New Roman" w:hAnsi="Times New Roman" w:cs="Times New Roman"/>
          <w:szCs w:val="24"/>
        </w:rPr>
        <w:t xml:space="preserve"> This is consistent with the findings of other studies on family care in the wider Caribbean region. </w:t>
      </w:r>
      <w:r w:rsidR="0065518F" w:rsidRPr="00E869A4">
        <w:rPr>
          <w:rFonts w:ascii="Times New Roman" w:hAnsi="Times New Roman" w:cs="Times New Roman"/>
          <w:szCs w:val="24"/>
        </w:rPr>
        <w:t xml:space="preserve">For instance, </w:t>
      </w:r>
      <w:r w:rsidRPr="00E869A4">
        <w:rPr>
          <w:rFonts w:ascii="Times New Roman" w:hAnsi="Times New Roman" w:cs="Times New Roman"/>
          <w:szCs w:val="24"/>
        </w:rPr>
        <w:t>UNECLAC</w:t>
      </w:r>
      <w:r w:rsidR="00E647D9" w:rsidRPr="00E869A4">
        <w:rPr>
          <w:rFonts w:ascii="Times New Roman" w:hAnsi="Times New Roman" w:cs="Times New Roman"/>
          <w:szCs w:val="24"/>
        </w:rPr>
        <w:t xml:space="preserve"> </w:t>
      </w:r>
      <w:r w:rsidRPr="00E869A4">
        <w:rPr>
          <w:rFonts w:ascii="Times New Roman" w:hAnsi="Times New Roman" w:cs="Times New Roman"/>
          <w:szCs w:val="24"/>
        </w:rPr>
        <w:t>note</w:t>
      </w:r>
      <w:r w:rsidR="00571C8F" w:rsidRPr="00E869A4">
        <w:rPr>
          <w:rFonts w:ascii="Times New Roman" w:hAnsi="Times New Roman" w:cs="Times New Roman"/>
          <w:szCs w:val="24"/>
        </w:rPr>
        <w:t>d</w:t>
      </w:r>
      <w:r w:rsidRPr="00E869A4">
        <w:rPr>
          <w:rFonts w:ascii="Times New Roman" w:hAnsi="Times New Roman" w:cs="Times New Roman"/>
          <w:szCs w:val="24"/>
        </w:rPr>
        <w:t xml:space="preserve"> </w:t>
      </w:r>
      <w:r w:rsidR="00581116" w:rsidRPr="00E869A4">
        <w:rPr>
          <w:rFonts w:ascii="Times New Roman" w:hAnsi="Times New Roman" w:cs="Times New Roman"/>
          <w:szCs w:val="24"/>
        </w:rPr>
        <w:t>that</w:t>
      </w:r>
      <w:r w:rsidR="00581116" w:rsidRPr="00E869A4">
        <w:rPr>
          <w:rFonts w:ascii="Times New Roman" w:hAnsi="Times New Roman" w:cs="Times New Roman"/>
          <w:i/>
          <w:szCs w:val="24"/>
        </w:rPr>
        <w:t xml:space="preserve"> </w:t>
      </w:r>
      <w:r w:rsidR="00581116" w:rsidRPr="00E869A4">
        <w:rPr>
          <w:rFonts w:ascii="Times New Roman" w:hAnsi="Times New Roman" w:cs="Times New Roman"/>
          <w:szCs w:val="24"/>
        </w:rPr>
        <w:t>“in</w:t>
      </w:r>
      <w:r w:rsidRPr="00E869A4">
        <w:rPr>
          <w:rFonts w:ascii="Times New Roman" w:hAnsi="Times New Roman" w:cs="Times New Roman"/>
          <w:szCs w:val="24"/>
        </w:rPr>
        <w:t xml:space="preserve"> addition to taking charge of the needs of elderly members, the family is filling the vacuum left by the scant presence of other institutions in the areas of protection and cohesion</w:t>
      </w:r>
      <w:r w:rsidR="00E82B4C" w:rsidRPr="00E869A4">
        <w:rPr>
          <w:rFonts w:ascii="Times New Roman" w:hAnsi="Times New Roman" w:cs="Times New Roman"/>
          <w:szCs w:val="24"/>
        </w:rPr>
        <w:t>.</w:t>
      </w:r>
      <w:r w:rsidRPr="00E869A4">
        <w:rPr>
          <w:rFonts w:ascii="Times New Roman" w:hAnsi="Times New Roman" w:cs="Times New Roman"/>
          <w:szCs w:val="24"/>
        </w:rPr>
        <w:t>”</w:t>
      </w:r>
      <w:r w:rsidR="00581116" w:rsidRPr="00E869A4">
        <w:rPr>
          <w:rFonts w:ascii="Times New Roman" w:hAnsi="Times New Roman" w:cs="Times New Roman"/>
          <w:szCs w:val="24"/>
        </w:rPr>
        <w:t xml:space="preserve"> </w:t>
      </w:r>
      <w:r w:rsidR="00673062" w:rsidRPr="00E869A4">
        <w:rPr>
          <w:rFonts w:ascii="Times New Roman" w:hAnsi="Times New Roman" w:cs="Times New Roman"/>
          <w:szCs w:val="24"/>
        </w:rPr>
        <w:t>(</w:t>
      </w:r>
      <w:r w:rsidR="00581116" w:rsidRPr="00E869A4">
        <w:rPr>
          <w:rFonts w:ascii="Times New Roman" w:hAnsi="Times New Roman" w:cs="Times New Roman"/>
          <w:szCs w:val="24"/>
        </w:rPr>
        <w:t>UNECLAC</w:t>
      </w:r>
      <w:r w:rsidR="005E13AF" w:rsidRPr="00E869A4">
        <w:rPr>
          <w:rFonts w:ascii="Times New Roman" w:hAnsi="Times New Roman" w:cs="Times New Roman"/>
          <w:szCs w:val="24"/>
        </w:rPr>
        <w:t xml:space="preserve"> </w:t>
      </w:r>
      <w:r w:rsidR="00581116" w:rsidRPr="00E869A4">
        <w:rPr>
          <w:rFonts w:ascii="Times New Roman" w:hAnsi="Times New Roman" w:cs="Times New Roman"/>
          <w:szCs w:val="24"/>
        </w:rPr>
        <w:t xml:space="preserve">2007, p. </w:t>
      </w:r>
      <w:r w:rsidR="000D487E" w:rsidRPr="00E869A4">
        <w:rPr>
          <w:rFonts w:ascii="Times New Roman" w:hAnsi="Times New Roman" w:cs="Times New Roman"/>
          <w:szCs w:val="24"/>
        </w:rPr>
        <w:t>1</w:t>
      </w:r>
      <w:r w:rsidR="00581116" w:rsidRPr="00E869A4">
        <w:rPr>
          <w:rFonts w:ascii="Times New Roman" w:hAnsi="Times New Roman" w:cs="Times New Roman"/>
          <w:szCs w:val="24"/>
        </w:rPr>
        <w:t>)</w:t>
      </w:r>
      <w:r w:rsidR="00E82B4C" w:rsidRPr="00E869A4">
        <w:rPr>
          <w:rFonts w:ascii="Times New Roman" w:hAnsi="Times New Roman" w:cs="Times New Roman"/>
          <w:szCs w:val="24"/>
        </w:rPr>
        <w:t>.</w:t>
      </w:r>
    </w:p>
    <w:p w14:paraId="52EB6355" w14:textId="77777777" w:rsidR="00B0745F" w:rsidRPr="00E869A4" w:rsidRDefault="00B0745F" w:rsidP="00A35FF8">
      <w:pPr>
        <w:rPr>
          <w:rFonts w:ascii="Times New Roman" w:hAnsi="Times New Roman" w:cs="Times New Roman"/>
        </w:rPr>
      </w:pPr>
    </w:p>
    <w:p w14:paraId="2B4E93FA" w14:textId="17D4CFF2" w:rsidR="00675B1E" w:rsidRPr="00E869A4" w:rsidRDefault="00CC1524" w:rsidP="00F70960">
      <w:pPr>
        <w:rPr>
          <w:rFonts w:ascii="Times New Roman" w:hAnsi="Times New Roman" w:cs="Times New Roman"/>
        </w:rPr>
      </w:pPr>
      <w:r w:rsidRPr="00E869A4">
        <w:rPr>
          <w:rFonts w:ascii="Times New Roman" w:hAnsi="Times New Roman" w:cs="Times New Roman"/>
        </w:rPr>
        <w:lastRenderedPageBreak/>
        <w:t xml:space="preserve">Family is an </w:t>
      </w:r>
      <w:r w:rsidR="00132156" w:rsidRPr="00E869A4">
        <w:rPr>
          <w:rFonts w:ascii="Times New Roman" w:hAnsi="Times New Roman" w:cs="Times New Roman"/>
        </w:rPr>
        <w:t>invaluable</w:t>
      </w:r>
      <w:r w:rsidRPr="00E869A4">
        <w:rPr>
          <w:rFonts w:ascii="Times New Roman" w:hAnsi="Times New Roman" w:cs="Times New Roman"/>
        </w:rPr>
        <w:t xml:space="preserve"> part of the social fabric of </w:t>
      </w:r>
      <w:r w:rsidR="006F24F7" w:rsidRPr="00E869A4">
        <w:rPr>
          <w:rFonts w:ascii="Times New Roman" w:hAnsi="Times New Roman" w:cs="Times New Roman"/>
        </w:rPr>
        <w:t>T&amp;T</w:t>
      </w:r>
      <w:r w:rsidRPr="00E869A4">
        <w:rPr>
          <w:rFonts w:ascii="Times New Roman" w:hAnsi="Times New Roman" w:cs="Times New Roman"/>
        </w:rPr>
        <w:t xml:space="preserve">. The WVS </w:t>
      </w:r>
      <w:r w:rsidR="00674E55" w:rsidRPr="00E869A4">
        <w:rPr>
          <w:rFonts w:ascii="Times New Roman" w:hAnsi="Times New Roman" w:cs="Times New Roman"/>
        </w:rPr>
        <w:t xml:space="preserve">(2010) </w:t>
      </w:r>
      <w:r w:rsidRPr="00E869A4">
        <w:rPr>
          <w:rFonts w:ascii="Times New Roman" w:hAnsi="Times New Roman" w:cs="Times New Roman"/>
        </w:rPr>
        <w:t xml:space="preserve">revealed that 95% of the persons surveyed considered family to be very important to their </w:t>
      </w:r>
      <w:r w:rsidR="00631078" w:rsidRPr="00E869A4">
        <w:rPr>
          <w:rFonts w:ascii="Times New Roman" w:hAnsi="Times New Roman" w:cs="Times New Roman"/>
        </w:rPr>
        <w:t>li</w:t>
      </w:r>
      <w:r w:rsidR="00F70960" w:rsidRPr="00E869A4">
        <w:rPr>
          <w:rFonts w:ascii="Times New Roman" w:hAnsi="Times New Roman" w:cs="Times New Roman"/>
        </w:rPr>
        <w:t>ves</w:t>
      </w:r>
      <w:r w:rsidR="00631078" w:rsidRPr="00E869A4">
        <w:rPr>
          <w:rFonts w:ascii="Times New Roman" w:hAnsi="Times New Roman" w:cs="Times New Roman"/>
        </w:rPr>
        <w:t>, which</w:t>
      </w:r>
      <w:r w:rsidRPr="00E869A4">
        <w:rPr>
          <w:rFonts w:ascii="Times New Roman" w:hAnsi="Times New Roman" w:cs="Times New Roman"/>
        </w:rPr>
        <w:t xml:space="preserve"> was significantly more than the proportion of persons identifying friends as very important (34%) (Worcester </w:t>
      </w:r>
      <w:r w:rsidR="005E13AF" w:rsidRPr="00E869A4">
        <w:rPr>
          <w:rFonts w:ascii="Times New Roman" w:hAnsi="Times New Roman" w:cs="Times New Roman"/>
        </w:rPr>
        <w:t>&amp;</w:t>
      </w:r>
      <w:r w:rsidRPr="00E869A4">
        <w:rPr>
          <w:rFonts w:ascii="Times New Roman" w:hAnsi="Times New Roman" w:cs="Times New Roman"/>
        </w:rPr>
        <w:t xml:space="preserve"> Gill 2016). The survey also </w:t>
      </w:r>
      <w:r w:rsidR="00674E55" w:rsidRPr="00E869A4">
        <w:rPr>
          <w:rFonts w:ascii="Times New Roman" w:hAnsi="Times New Roman" w:cs="Times New Roman"/>
        </w:rPr>
        <w:t>indicat</w:t>
      </w:r>
      <w:r w:rsidRPr="00E869A4">
        <w:rPr>
          <w:rFonts w:ascii="Times New Roman" w:hAnsi="Times New Roman" w:cs="Times New Roman"/>
        </w:rPr>
        <w:t xml:space="preserve">ed that most persons felt they could trust their family completely (70%). </w:t>
      </w:r>
      <w:r w:rsidR="00674E55" w:rsidRPr="00E869A4">
        <w:rPr>
          <w:rFonts w:ascii="Times New Roman" w:hAnsi="Times New Roman" w:cs="Times New Roman"/>
        </w:rPr>
        <w:t>Thus, this survey</w:t>
      </w:r>
      <w:r w:rsidRPr="00E869A4">
        <w:rPr>
          <w:rFonts w:ascii="Times New Roman" w:hAnsi="Times New Roman" w:cs="Times New Roman"/>
        </w:rPr>
        <w:t xml:space="preserve"> provided some evidence of filial piety with most participants</w:t>
      </w:r>
      <w:r w:rsidR="00675B1E" w:rsidRPr="00E869A4">
        <w:rPr>
          <w:rFonts w:ascii="Times New Roman" w:hAnsi="Times New Roman" w:cs="Times New Roman"/>
        </w:rPr>
        <w:t xml:space="preserve"> (57%) strongly agreeing that one of their main goals in life was to make their parents proud. </w:t>
      </w:r>
      <w:r w:rsidR="00E73E5A" w:rsidRPr="00E869A4">
        <w:rPr>
          <w:rFonts w:ascii="Times New Roman" w:hAnsi="Times New Roman" w:cs="Times New Roman"/>
        </w:rPr>
        <w:t>However</w:t>
      </w:r>
      <w:r w:rsidR="00675B1E" w:rsidRPr="00E869A4">
        <w:rPr>
          <w:rFonts w:ascii="Times New Roman" w:hAnsi="Times New Roman" w:cs="Times New Roman"/>
        </w:rPr>
        <w:t xml:space="preserve">, there is also evidence that points to the family being under threat in </w:t>
      </w:r>
      <w:r w:rsidR="006F24F7" w:rsidRPr="00E869A4">
        <w:rPr>
          <w:rFonts w:ascii="Times New Roman" w:hAnsi="Times New Roman" w:cs="Times New Roman"/>
        </w:rPr>
        <w:t>T&amp;T</w:t>
      </w:r>
      <w:r w:rsidR="00675B1E" w:rsidRPr="00E869A4">
        <w:rPr>
          <w:rFonts w:ascii="Times New Roman" w:hAnsi="Times New Roman" w:cs="Times New Roman"/>
        </w:rPr>
        <w:t xml:space="preserve">. </w:t>
      </w:r>
    </w:p>
    <w:p w14:paraId="008FA2C2" w14:textId="77777777" w:rsidR="004E0DBD" w:rsidRPr="00E869A4" w:rsidRDefault="004E0DBD" w:rsidP="00A35FF8">
      <w:pPr>
        <w:rPr>
          <w:rFonts w:ascii="Times New Roman" w:hAnsi="Times New Roman" w:cs="Times New Roman"/>
        </w:rPr>
      </w:pPr>
    </w:p>
    <w:p w14:paraId="2163A427" w14:textId="226BAC8B" w:rsidR="00CC1524" w:rsidRPr="00E869A4" w:rsidRDefault="00675B1E" w:rsidP="00F70960">
      <w:pPr>
        <w:rPr>
          <w:rFonts w:ascii="Times New Roman" w:hAnsi="Times New Roman" w:cs="Times New Roman"/>
        </w:rPr>
      </w:pPr>
      <w:r w:rsidRPr="00E869A4">
        <w:rPr>
          <w:rFonts w:ascii="Times New Roman" w:hAnsi="Times New Roman" w:cs="Times New Roman"/>
        </w:rPr>
        <w:t>According to Schmid (2006</w:t>
      </w:r>
      <w:r w:rsidR="00631078" w:rsidRPr="00E869A4">
        <w:rPr>
          <w:rFonts w:ascii="Times New Roman" w:hAnsi="Times New Roman" w:cs="Times New Roman"/>
        </w:rPr>
        <w:t>),</w:t>
      </w:r>
      <w:r w:rsidR="00F70960" w:rsidRPr="00E869A4">
        <w:rPr>
          <w:rFonts w:ascii="Times New Roman" w:hAnsi="Times New Roman" w:cs="Times New Roman"/>
        </w:rPr>
        <w:t xml:space="preserve"> </w:t>
      </w:r>
      <w:r w:rsidRPr="00E869A4">
        <w:rPr>
          <w:rFonts w:ascii="Times New Roman" w:hAnsi="Times New Roman" w:cs="Times New Roman"/>
        </w:rPr>
        <w:t xml:space="preserve">reliance on family and relatives is becoming less and less an option with the socio-economic transformations that have begun to impact on the lifestyles of people in the Caribbean. Out-migration of the younger generation, increasing fulltime employment of females in the formal </w:t>
      </w:r>
      <w:r w:rsidR="00E90723" w:rsidRPr="00E869A4">
        <w:rPr>
          <w:rFonts w:ascii="Times New Roman" w:hAnsi="Times New Roman" w:cs="Times New Roman"/>
        </w:rPr>
        <w:t>labour market</w:t>
      </w:r>
      <w:r w:rsidRPr="00E869A4">
        <w:rPr>
          <w:rFonts w:ascii="Times New Roman" w:hAnsi="Times New Roman" w:cs="Times New Roman"/>
        </w:rPr>
        <w:t xml:space="preserve"> and rising costs of living, to name a few</w:t>
      </w:r>
      <w:r w:rsidR="00F70960" w:rsidRPr="00E869A4">
        <w:rPr>
          <w:rFonts w:ascii="Times New Roman" w:hAnsi="Times New Roman" w:cs="Times New Roman"/>
        </w:rPr>
        <w:t xml:space="preserve"> factors</w:t>
      </w:r>
      <w:r w:rsidRPr="00E869A4">
        <w:rPr>
          <w:rFonts w:ascii="Times New Roman" w:hAnsi="Times New Roman" w:cs="Times New Roman"/>
        </w:rPr>
        <w:t>, are making traditional self-help, co-residence with family members and community togetherness no longer a viable option (Schmid 2006</w:t>
      </w:r>
      <w:r w:rsidR="00F70960" w:rsidRPr="00E869A4">
        <w:rPr>
          <w:rFonts w:ascii="Times New Roman" w:hAnsi="Times New Roman" w:cs="Times New Roman"/>
        </w:rPr>
        <w:t>)</w:t>
      </w:r>
      <w:r w:rsidRPr="00E869A4">
        <w:rPr>
          <w:rFonts w:ascii="Times New Roman" w:hAnsi="Times New Roman" w:cs="Times New Roman"/>
        </w:rPr>
        <w:t>. High net emigration flows in the region also negatively affect the pool of family and trained professionals available to provide informal and formal care support (</w:t>
      </w:r>
      <w:r w:rsidR="00F70960" w:rsidRPr="00E869A4">
        <w:rPr>
          <w:rFonts w:ascii="Times New Roman" w:hAnsi="Times New Roman" w:cs="Times New Roman"/>
        </w:rPr>
        <w:t xml:space="preserve">Jones 2015; </w:t>
      </w:r>
      <w:r w:rsidRPr="00E869A4">
        <w:rPr>
          <w:rFonts w:ascii="Times New Roman" w:hAnsi="Times New Roman" w:cs="Times New Roman"/>
        </w:rPr>
        <w:t>Welch 20</w:t>
      </w:r>
      <w:r w:rsidR="00F70960" w:rsidRPr="00E869A4">
        <w:rPr>
          <w:rFonts w:ascii="Times New Roman" w:hAnsi="Times New Roman" w:cs="Times New Roman"/>
        </w:rPr>
        <w:t>16</w:t>
      </w:r>
      <w:r w:rsidRPr="00E869A4">
        <w:rPr>
          <w:rFonts w:ascii="Times New Roman" w:hAnsi="Times New Roman" w:cs="Times New Roman"/>
        </w:rPr>
        <w:t>).</w:t>
      </w:r>
    </w:p>
    <w:p w14:paraId="069D1E13" w14:textId="77777777" w:rsidR="00B0745F" w:rsidRPr="00E869A4" w:rsidRDefault="00B0745F" w:rsidP="00A35FF8">
      <w:pPr>
        <w:rPr>
          <w:rFonts w:ascii="Times New Roman" w:hAnsi="Times New Roman" w:cs="Times New Roman"/>
        </w:rPr>
      </w:pPr>
    </w:p>
    <w:p w14:paraId="54977CD4" w14:textId="5A3A33C1" w:rsidR="00D649A3" w:rsidRPr="00E869A4" w:rsidRDefault="00D649A3" w:rsidP="00F70960">
      <w:pPr>
        <w:rPr>
          <w:rFonts w:ascii="Times New Roman" w:hAnsi="Times New Roman" w:cs="Times New Roman"/>
        </w:rPr>
      </w:pPr>
      <w:r w:rsidRPr="00E869A4">
        <w:rPr>
          <w:rFonts w:ascii="Times New Roman" w:hAnsi="Times New Roman" w:cs="Times New Roman"/>
        </w:rPr>
        <w:t xml:space="preserve">The effect of caregiving on the limited pool of family caregivers in </w:t>
      </w:r>
      <w:r w:rsidR="006F24F7" w:rsidRPr="00E869A4">
        <w:rPr>
          <w:rFonts w:ascii="Times New Roman" w:hAnsi="Times New Roman" w:cs="Times New Roman"/>
        </w:rPr>
        <w:t>T&amp;T</w:t>
      </w:r>
      <w:r w:rsidRPr="00E869A4">
        <w:rPr>
          <w:rFonts w:ascii="Times New Roman" w:hAnsi="Times New Roman" w:cs="Times New Roman"/>
        </w:rPr>
        <w:t xml:space="preserve"> has also been flagged in the few research investigations on this subject. In a paper entitled </w:t>
      </w:r>
      <w:r w:rsidRPr="00E869A4">
        <w:rPr>
          <w:rFonts w:ascii="Times New Roman" w:hAnsi="Times New Roman" w:cs="Times New Roman"/>
          <w:i/>
        </w:rPr>
        <w:t>Keeping it in the family: Caregiving for patients with Alzheimer’s disease in Trinidad and Tobago</w:t>
      </w:r>
      <w:r w:rsidR="00FB093F" w:rsidRPr="00E869A4">
        <w:rPr>
          <w:rFonts w:ascii="Times New Roman" w:hAnsi="Times New Roman" w:cs="Times New Roman"/>
        </w:rPr>
        <w:t>,</w:t>
      </w:r>
      <w:r w:rsidRPr="00E869A4">
        <w:rPr>
          <w:rFonts w:ascii="Times New Roman" w:hAnsi="Times New Roman" w:cs="Times New Roman"/>
        </w:rPr>
        <w:t xml:space="preserve"> Dr. Rawlins note</w:t>
      </w:r>
      <w:r w:rsidR="0018556B" w:rsidRPr="00E869A4">
        <w:rPr>
          <w:rFonts w:ascii="Times New Roman" w:hAnsi="Times New Roman" w:cs="Times New Roman"/>
        </w:rPr>
        <w:t>d</w:t>
      </w:r>
      <w:r w:rsidRPr="00E869A4">
        <w:rPr>
          <w:rFonts w:ascii="Times New Roman" w:hAnsi="Times New Roman" w:cs="Times New Roman"/>
        </w:rPr>
        <w:t xml:space="preserve"> that 56% of the caregivers surveyed reported suffering serious strain as a result of their efforts to support those in need. A study by Rawlins and Spencer (2002) also revealed that caregiving in </w:t>
      </w:r>
      <w:r w:rsidR="006F24F7" w:rsidRPr="00E869A4">
        <w:rPr>
          <w:rFonts w:ascii="Times New Roman" w:hAnsi="Times New Roman" w:cs="Times New Roman"/>
        </w:rPr>
        <w:t>T&amp;T</w:t>
      </w:r>
      <w:r w:rsidRPr="00E869A4">
        <w:rPr>
          <w:rFonts w:ascii="Times New Roman" w:hAnsi="Times New Roman" w:cs="Times New Roman"/>
        </w:rPr>
        <w:t xml:space="preserve"> seemed to be done over a </w:t>
      </w:r>
      <w:r w:rsidR="00631078" w:rsidRPr="00E869A4">
        <w:rPr>
          <w:rFonts w:ascii="Times New Roman" w:hAnsi="Times New Roman" w:cs="Times New Roman"/>
        </w:rPr>
        <w:t>long</w:t>
      </w:r>
      <w:r w:rsidRPr="00E869A4">
        <w:rPr>
          <w:rFonts w:ascii="Times New Roman" w:hAnsi="Times New Roman" w:cs="Times New Roman"/>
        </w:rPr>
        <w:t xml:space="preserve"> period by caregivers. Half of the sample provided care for five years or more. Daughters and daughters-in-law tended to provide care for longer periods when compared to spouses. This is cause for concern given that numerous international studies have shown that the risk of caregiver distress increases with the amount of ti</w:t>
      </w:r>
      <w:r w:rsidR="00FB093F" w:rsidRPr="00E869A4">
        <w:rPr>
          <w:rFonts w:ascii="Times New Roman" w:hAnsi="Times New Roman" w:cs="Times New Roman"/>
        </w:rPr>
        <w:t>me devoted to caregiving (Hirst</w:t>
      </w:r>
      <w:r w:rsidRPr="00E869A4">
        <w:rPr>
          <w:rFonts w:ascii="Times New Roman" w:hAnsi="Times New Roman" w:cs="Times New Roman"/>
        </w:rPr>
        <w:t xml:space="preserve"> 2005). </w:t>
      </w:r>
    </w:p>
    <w:p w14:paraId="529CC2DE" w14:textId="77777777" w:rsidR="00597D90" w:rsidRPr="00E869A4" w:rsidRDefault="00597D90" w:rsidP="00A35FF8">
      <w:pPr>
        <w:rPr>
          <w:rFonts w:ascii="Times New Roman" w:hAnsi="Times New Roman" w:cs="Times New Roman"/>
        </w:rPr>
      </w:pPr>
    </w:p>
    <w:p w14:paraId="191FDDEC" w14:textId="35DDAC63" w:rsidR="00F25655" w:rsidRPr="00E869A4" w:rsidRDefault="00D649A3" w:rsidP="000D485F">
      <w:pPr>
        <w:rPr>
          <w:rFonts w:ascii="Times New Roman" w:hAnsi="Times New Roman" w:cs="Times New Roman"/>
          <w:szCs w:val="24"/>
        </w:rPr>
      </w:pPr>
      <w:r w:rsidRPr="00E869A4">
        <w:rPr>
          <w:rFonts w:ascii="Times New Roman" w:hAnsi="Times New Roman" w:cs="Times New Roman"/>
        </w:rPr>
        <w:t>Rawlins and Spencer (2002)</w:t>
      </w:r>
      <w:r w:rsidR="008A0131" w:rsidRPr="00E869A4">
        <w:rPr>
          <w:rFonts w:ascii="Times New Roman" w:hAnsi="Times New Roman" w:cs="Times New Roman"/>
        </w:rPr>
        <w:t xml:space="preserve"> observed that </w:t>
      </w:r>
      <w:r w:rsidRPr="00E869A4">
        <w:rPr>
          <w:rFonts w:ascii="Times New Roman" w:hAnsi="Times New Roman" w:cs="Times New Roman"/>
        </w:rPr>
        <w:t xml:space="preserve">a considerable number of family caregivers experience feelings of loneliness, boredom and frustration in providing care. The results of their study showed that forty-six percent (46%) of the caregivers experienced stress as a result of performing care tasks such as “the excessive washing and </w:t>
      </w:r>
      <w:r w:rsidR="00AA3587" w:rsidRPr="00E869A4">
        <w:rPr>
          <w:rFonts w:ascii="Times New Roman" w:hAnsi="Times New Roman" w:cs="Times New Roman"/>
        </w:rPr>
        <w:t>cleaning up</w:t>
      </w:r>
      <w:r w:rsidR="0018556B" w:rsidRPr="00E869A4">
        <w:rPr>
          <w:rFonts w:ascii="Times New Roman" w:hAnsi="Times New Roman" w:cs="Times New Roman"/>
        </w:rPr>
        <w:t>.”</w:t>
      </w:r>
      <w:r w:rsidRPr="00E869A4">
        <w:rPr>
          <w:rFonts w:ascii="Times New Roman" w:hAnsi="Times New Roman" w:cs="Times New Roman"/>
        </w:rPr>
        <w:t xml:space="preserve"> (Rawlins</w:t>
      </w:r>
      <w:r w:rsidR="00B43845" w:rsidRPr="00E869A4">
        <w:rPr>
          <w:rFonts w:ascii="Times New Roman" w:hAnsi="Times New Roman" w:cs="Times New Roman"/>
        </w:rPr>
        <w:t xml:space="preserve"> &amp; Spencer</w:t>
      </w:r>
      <w:r w:rsidRPr="00E869A4">
        <w:rPr>
          <w:rFonts w:ascii="Times New Roman" w:hAnsi="Times New Roman" w:cs="Times New Roman"/>
        </w:rPr>
        <w:t xml:space="preserve"> 2002</w:t>
      </w:r>
      <w:r w:rsidR="00B00B5B" w:rsidRPr="00E869A4">
        <w:rPr>
          <w:rFonts w:ascii="Times New Roman" w:hAnsi="Times New Roman" w:cs="Times New Roman"/>
        </w:rPr>
        <w:t xml:space="preserve">, </w:t>
      </w:r>
      <w:r w:rsidR="0018556B" w:rsidRPr="00E869A4">
        <w:rPr>
          <w:rFonts w:ascii="Times New Roman" w:hAnsi="Times New Roman" w:cs="Times New Roman"/>
        </w:rPr>
        <w:t xml:space="preserve">p. </w:t>
      </w:r>
      <w:r w:rsidR="002D4CB7" w:rsidRPr="00E869A4">
        <w:rPr>
          <w:rFonts w:ascii="Times New Roman" w:hAnsi="Times New Roman" w:cs="Times New Roman"/>
        </w:rPr>
        <w:t>132</w:t>
      </w:r>
      <w:r w:rsidRPr="00E869A4">
        <w:rPr>
          <w:rFonts w:ascii="Times New Roman" w:hAnsi="Times New Roman" w:cs="Times New Roman"/>
        </w:rPr>
        <w:t>). In addition to this, several caregivers reported disagreements with the person they cared for on</w:t>
      </w:r>
      <w:r w:rsidR="00F25655" w:rsidRPr="00E869A4">
        <w:rPr>
          <w:rFonts w:ascii="Times New Roman" w:hAnsi="Times New Roman" w:cs="Times New Roman"/>
        </w:rPr>
        <w:t xml:space="preserve"> </w:t>
      </w:r>
      <w:r w:rsidR="00F25655" w:rsidRPr="00E869A4">
        <w:rPr>
          <w:rFonts w:ascii="Times New Roman" w:hAnsi="Times New Roman" w:cs="Times New Roman"/>
          <w:szCs w:val="24"/>
        </w:rPr>
        <w:t xml:space="preserve">issues such as general care and </w:t>
      </w:r>
      <w:r w:rsidR="00F25655" w:rsidRPr="00E869A4">
        <w:rPr>
          <w:rFonts w:ascii="Times New Roman" w:hAnsi="Times New Roman" w:cs="Times New Roman"/>
          <w:szCs w:val="24"/>
        </w:rPr>
        <w:lastRenderedPageBreak/>
        <w:t>financial matters (22%), as well as problems receiving support from other family members. Some complained about not having sufficient time for themselves (18%). The challenges the caregivers experienced were further exacerbated by their own health</w:t>
      </w:r>
      <w:r w:rsidR="00D41C8E" w:rsidRPr="00E869A4">
        <w:rPr>
          <w:rFonts w:ascii="Times New Roman" w:hAnsi="Times New Roman" w:cs="Times New Roman"/>
          <w:szCs w:val="24"/>
        </w:rPr>
        <w:fldChar w:fldCharType="begin"/>
      </w:r>
      <w:r w:rsidR="00F25655" w:rsidRPr="00E869A4">
        <w:rPr>
          <w:rFonts w:ascii="Times New Roman" w:hAnsi="Times New Roman" w:cs="Times New Roman"/>
        </w:rPr>
        <w:instrText xml:space="preserve"> XE "</w:instrText>
      </w:r>
      <w:r w:rsidR="00F25655" w:rsidRPr="00E869A4">
        <w:rPr>
          <w:rFonts w:ascii="Times New Roman" w:hAnsi="Times New Roman" w:cs="Times New Roman"/>
          <w:szCs w:val="24"/>
        </w:rPr>
        <w:instrText>health</w:instrText>
      </w:r>
      <w:r w:rsidR="00F25655"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00F25655" w:rsidRPr="00E869A4">
        <w:rPr>
          <w:rFonts w:ascii="Times New Roman" w:hAnsi="Times New Roman" w:cs="Times New Roman"/>
          <w:szCs w:val="24"/>
        </w:rPr>
        <w:t xml:space="preserve"> situation and the difficulties associated with their efforts to access ser</w:t>
      </w:r>
      <w:r w:rsidR="00923883" w:rsidRPr="00E869A4">
        <w:rPr>
          <w:rFonts w:ascii="Times New Roman" w:hAnsi="Times New Roman" w:cs="Times New Roman"/>
          <w:szCs w:val="24"/>
        </w:rPr>
        <w:t>vices for their family member. Alt</w:t>
      </w:r>
      <w:r w:rsidR="00F25655" w:rsidRPr="00E869A4">
        <w:rPr>
          <w:rFonts w:ascii="Times New Roman" w:hAnsi="Times New Roman" w:cs="Times New Roman"/>
          <w:szCs w:val="24"/>
        </w:rPr>
        <w:t xml:space="preserve">hough half of the caregivers reported being in good health, and another 41% described their health as fairly good, almost half (48%) acknowledged the presence of at least one condition for which they were diagnosed. The most common </w:t>
      </w:r>
      <w:r w:rsidR="00631078" w:rsidRPr="00E869A4">
        <w:rPr>
          <w:rFonts w:ascii="Times New Roman" w:hAnsi="Times New Roman" w:cs="Times New Roman"/>
          <w:szCs w:val="24"/>
        </w:rPr>
        <w:t>conditions that they reported</w:t>
      </w:r>
      <w:r w:rsidR="00F25655" w:rsidRPr="00E869A4">
        <w:rPr>
          <w:rFonts w:ascii="Times New Roman" w:hAnsi="Times New Roman" w:cs="Times New Roman"/>
          <w:szCs w:val="24"/>
        </w:rPr>
        <w:t xml:space="preserve"> were arthritis (34.6%), hypertension (26.9%), diabetes (17.3%) and heart disease (11.5%). This is consistent with national trends on health issues affecting adults in </w:t>
      </w:r>
      <w:r w:rsidR="000D485F" w:rsidRPr="00E869A4">
        <w:rPr>
          <w:rFonts w:ascii="Times New Roman" w:hAnsi="Times New Roman" w:cs="Times New Roman"/>
          <w:szCs w:val="24"/>
        </w:rPr>
        <w:t>T&amp;T</w:t>
      </w:r>
      <w:r w:rsidR="00F25655" w:rsidRPr="00E869A4">
        <w:rPr>
          <w:rFonts w:ascii="Times New Roman" w:hAnsi="Times New Roman" w:cs="Times New Roman"/>
          <w:szCs w:val="24"/>
        </w:rPr>
        <w:t xml:space="preserve"> including older persons (</w:t>
      </w:r>
      <w:r w:rsidR="000D485F" w:rsidRPr="00E869A4">
        <w:rPr>
          <w:rFonts w:ascii="Times New Roman" w:hAnsi="Times New Roman" w:cs="Times New Roman"/>
          <w:szCs w:val="24"/>
        </w:rPr>
        <w:t xml:space="preserve">Nicholls 2010; </w:t>
      </w:r>
      <w:r w:rsidR="00F25655" w:rsidRPr="00E869A4">
        <w:rPr>
          <w:rFonts w:ascii="Times New Roman" w:hAnsi="Times New Roman" w:cs="Times New Roman"/>
          <w:szCs w:val="24"/>
        </w:rPr>
        <w:t>Welch et al. 2016a</w:t>
      </w:r>
      <w:r w:rsidR="00304243" w:rsidRPr="00E869A4">
        <w:rPr>
          <w:rFonts w:ascii="Times New Roman" w:hAnsi="Times New Roman" w:cs="Times New Roman"/>
          <w:szCs w:val="24"/>
        </w:rPr>
        <w:t>)</w:t>
      </w:r>
      <w:r w:rsidR="00F25655" w:rsidRPr="00E869A4">
        <w:rPr>
          <w:rFonts w:ascii="Times New Roman" w:hAnsi="Times New Roman" w:cs="Times New Roman"/>
          <w:szCs w:val="24"/>
        </w:rPr>
        <w:t xml:space="preserve">. The caregivers also </w:t>
      </w:r>
      <w:r w:rsidR="00631078" w:rsidRPr="00E869A4">
        <w:rPr>
          <w:rFonts w:ascii="Times New Roman" w:hAnsi="Times New Roman" w:cs="Times New Roman"/>
          <w:szCs w:val="24"/>
        </w:rPr>
        <w:t>referred</w:t>
      </w:r>
      <w:r w:rsidR="00F25655" w:rsidRPr="00E869A4">
        <w:rPr>
          <w:rFonts w:ascii="Times New Roman" w:hAnsi="Times New Roman" w:cs="Times New Roman"/>
          <w:szCs w:val="24"/>
        </w:rPr>
        <w:t xml:space="preserve"> to the inadequacies of the health service/hospitals, insufficient financial resources to undertake the necessary caring and the rising cost of living (Rawlins </w:t>
      </w:r>
      <w:r w:rsidR="000D485F" w:rsidRPr="00E869A4">
        <w:rPr>
          <w:rFonts w:ascii="Times New Roman" w:hAnsi="Times New Roman" w:cs="Times New Roman"/>
          <w:szCs w:val="24"/>
        </w:rPr>
        <w:t>&amp;</w:t>
      </w:r>
      <w:r w:rsidR="00F25655" w:rsidRPr="00E869A4">
        <w:rPr>
          <w:rFonts w:ascii="Times New Roman" w:hAnsi="Times New Roman" w:cs="Times New Roman"/>
          <w:szCs w:val="24"/>
        </w:rPr>
        <w:t xml:space="preserve"> Spencer 2002). </w:t>
      </w:r>
    </w:p>
    <w:p w14:paraId="3C164155" w14:textId="77777777" w:rsidR="00E7023B" w:rsidRDefault="00E7023B">
      <w:pPr>
        <w:rPr>
          <w:rFonts w:ascii="Times New Roman" w:hAnsi="Times New Roman" w:cs="Times New Roman"/>
          <w:szCs w:val="24"/>
        </w:rPr>
      </w:pPr>
    </w:p>
    <w:p w14:paraId="720322A8" w14:textId="364BD509" w:rsidR="00C51AF2" w:rsidRPr="00E869A4" w:rsidRDefault="00447BD7">
      <w:pPr>
        <w:rPr>
          <w:rFonts w:ascii="Times New Roman" w:hAnsi="Times New Roman" w:cs="Times New Roman"/>
          <w:szCs w:val="24"/>
        </w:rPr>
      </w:pPr>
      <w:r w:rsidRPr="00E869A4">
        <w:rPr>
          <w:rFonts w:ascii="Times New Roman" w:hAnsi="Times New Roman" w:cs="Times New Roman"/>
          <w:szCs w:val="24"/>
        </w:rPr>
        <w:t>The emotional wellbeing of older persons who are ageing in place is also cause for concern. Rawlins et al.’s (2008) study found that a considerable proportion of the older persons interviewed experienced feelings of loneliness (33%) despite living at home with a family member. Th</w:t>
      </w:r>
      <w:r w:rsidR="005F5E6B" w:rsidRPr="00E869A4">
        <w:rPr>
          <w:rFonts w:ascii="Times New Roman" w:hAnsi="Times New Roman" w:cs="Times New Roman"/>
          <w:szCs w:val="24"/>
        </w:rPr>
        <w:t>eir</w:t>
      </w:r>
      <w:r w:rsidRPr="00E869A4">
        <w:rPr>
          <w:rFonts w:ascii="Times New Roman" w:hAnsi="Times New Roman" w:cs="Times New Roman"/>
          <w:szCs w:val="24"/>
        </w:rPr>
        <w:t xml:space="preserve"> study underscored the potential vulnerability of older persons and the need for policy and research efforts to address the physical and psychosocial needs of this cohort.</w:t>
      </w:r>
      <w:bookmarkStart w:id="32" w:name="_Toc510469573"/>
    </w:p>
    <w:p w14:paraId="4DD4943A" w14:textId="77777777" w:rsidR="00C10A8F" w:rsidRPr="00E869A4" w:rsidRDefault="00C10A8F"/>
    <w:p w14:paraId="75996425" w14:textId="7117F970" w:rsidR="00B0199C" w:rsidRPr="00E869A4" w:rsidRDefault="001B2722" w:rsidP="005C449C">
      <w:pPr>
        <w:pStyle w:val="Heading3"/>
      </w:pPr>
      <w:bookmarkStart w:id="33" w:name="_Toc40436454"/>
      <w:r w:rsidRPr="00E869A4">
        <w:t>1.</w:t>
      </w:r>
      <w:r w:rsidR="00B364F8" w:rsidRPr="00E869A4">
        <w:t>2</w:t>
      </w:r>
      <w:r w:rsidRPr="00E869A4">
        <w:t>.6</w:t>
      </w:r>
      <w:r w:rsidR="00BE40EF" w:rsidRPr="00E869A4">
        <w:t xml:space="preserve">     </w:t>
      </w:r>
      <w:r w:rsidR="00625599" w:rsidRPr="00E869A4">
        <w:t>T&amp;T’s</w:t>
      </w:r>
      <w:r w:rsidR="00130CD4" w:rsidRPr="00E869A4">
        <w:t xml:space="preserve"> National Policy </w:t>
      </w:r>
      <w:r w:rsidR="00743886" w:rsidRPr="00E869A4">
        <w:t>on</w:t>
      </w:r>
      <w:r w:rsidR="00130CD4" w:rsidRPr="00E869A4">
        <w:t xml:space="preserve"> Ageing</w:t>
      </w:r>
      <w:bookmarkEnd w:id="32"/>
      <w:bookmarkEnd w:id="33"/>
    </w:p>
    <w:p w14:paraId="18A3DBE6" w14:textId="77777777" w:rsidR="00220C3D" w:rsidRPr="00E869A4" w:rsidRDefault="00220C3D" w:rsidP="0051234F">
      <w:pPr>
        <w:pStyle w:val="112"/>
        <w:rPr>
          <w:color w:val="auto"/>
        </w:rPr>
      </w:pPr>
    </w:p>
    <w:p w14:paraId="6137D527" w14:textId="4E47DCDB" w:rsidR="00B0199C" w:rsidRPr="00E869A4" w:rsidRDefault="00812078" w:rsidP="00965231">
      <w:pPr>
        <w:pStyle w:val="Caption"/>
        <w:spacing w:line="360" w:lineRule="auto"/>
        <w:jc w:val="left"/>
        <w:rPr>
          <w:i w:val="0"/>
          <w:sz w:val="24"/>
        </w:rPr>
      </w:pPr>
      <w:r w:rsidRPr="00E869A4">
        <w:rPr>
          <w:rFonts w:ascii="Times New Roman" w:hAnsi="Times New Roman" w:cs="Times New Roman"/>
          <w:i w:val="0"/>
          <w:sz w:val="24"/>
          <w:szCs w:val="24"/>
        </w:rPr>
        <w:t>T&amp;T</w:t>
      </w:r>
      <w:r w:rsidR="00B0199C" w:rsidRPr="00E869A4">
        <w:rPr>
          <w:rFonts w:ascii="Times New Roman" w:hAnsi="Times New Roman" w:cs="Times New Roman"/>
          <w:i w:val="0"/>
          <w:sz w:val="24"/>
          <w:szCs w:val="24"/>
        </w:rPr>
        <w:t xml:space="preserve"> is one of a few countries in the LAC region to ratify a National Policy</w:t>
      </w:r>
      <w:r w:rsidR="00D41C8E" w:rsidRPr="00E869A4">
        <w:rPr>
          <w:rFonts w:ascii="Times New Roman" w:hAnsi="Times New Roman" w:cs="Times New Roman"/>
          <w:i w:val="0"/>
          <w:sz w:val="24"/>
          <w:szCs w:val="24"/>
        </w:rPr>
        <w:fldChar w:fldCharType="begin"/>
      </w:r>
      <w:r w:rsidR="00B0199C" w:rsidRPr="00E869A4">
        <w:rPr>
          <w:rFonts w:ascii="Times New Roman" w:hAnsi="Times New Roman" w:cs="Times New Roman"/>
          <w:i w:val="0"/>
          <w:sz w:val="24"/>
        </w:rPr>
        <w:instrText xml:space="preserve"> XE "Policy" </w:instrText>
      </w:r>
      <w:r w:rsidR="00D41C8E" w:rsidRPr="00E869A4">
        <w:rPr>
          <w:rFonts w:ascii="Times New Roman" w:hAnsi="Times New Roman" w:cs="Times New Roman"/>
          <w:i w:val="0"/>
          <w:sz w:val="24"/>
          <w:szCs w:val="24"/>
        </w:rPr>
        <w:fldChar w:fldCharType="end"/>
      </w:r>
      <w:r w:rsidR="00B0199C" w:rsidRPr="00E869A4">
        <w:rPr>
          <w:rFonts w:ascii="Times New Roman" w:hAnsi="Times New Roman" w:cs="Times New Roman"/>
          <w:i w:val="0"/>
          <w:sz w:val="24"/>
          <w:szCs w:val="24"/>
        </w:rPr>
        <w:t xml:space="preserve"> on Ageing </w:t>
      </w:r>
      <w:r w:rsidR="00D41C8E" w:rsidRPr="00E869A4">
        <w:rPr>
          <w:rFonts w:ascii="Times New Roman" w:hAnsi="Times New Roman" w:cs="Times New Roman"/>
          <w:i w:val="0"/>
          <w:sz w:val="24"/>
          <w:szCs w:val="24"/>
        </w:rPr>
        <w:fldChar w:fldCharType="begin"/>
      </w:r>
      <w:r w:rsidR="00B0199C" w:rsidRPr="00E869A4">
        <w:rPr>
          <w:rFonts w:ascii="Times New Roman" w:hAnsi="Times New Roman" w:cs="Times New Roman"/>
          <w:i w:val="0"/>
          <w:sz w:val="24"/>
        </w:rPr>
        <w:instrText xml:space="preserve"> XE "</w:instrText>
      </w:r>
      <w:r w:rsidR="00B0199C" w:rsidRPr="00E869A4">
        <w:rPr>
          <w:rFonts w:ascii="Times New Roman" w:hAnsi="Times New Roman" w:cs="Times New Roman"/>
          <w:i w:val="0"/>
          <w:sz w:val="24"/>
          <w:szCs w:val="24"/>
        </w:rPr>
        <w:instrText>National Ageing Policy</w:instrText>
      </w:r>
      <w:r w:rsidR="00B0199C" w:rsidRPr="00E869A4">
        <w:rPr>
          <w:rFonts w:ascii="Times New Roman" w:hAnsi="Times New Roman" w:cs="Times New Roman"/>
          <w:i w:val="0"/>
          <w:sz w:val="24"/>
        </w:rPr>
        <w:instrText xml:space="preserve">" </w:instrText>
      </w:r>
      <w:r w:rsidR="00D41C8E" w:rsidRPr="00E869A4">
        <w:rPr>
          <w:rFonts w:ascii="Times New Roman" w:hAnsi="Times New Roman" w:cs="Times New Roman"/>
          <w:i w:val="0"/>
          <w:sz w:val="24"/>
          <w:szCs w:val="24"/>
        </w:rPr>
        <w:fldChar w:fldCharType="end"/>
      </w:r>
      <w:r w:rsidR="00B0199C" w:rsidRPr="00E869A4">
        <w:rPr>
          <w:rFonts w:ascii="Times New Roman" w:hAnsi="Times New Roman" w:cs="Times New Roman"/>
          <w:i w:val="0"/>
          <w:sz w:val="24"/>
          <w:szCs w:val="24"/>
        </w:rPr>
        <w:t xml:space="preserve">(NPA) </w:t>
      </w:r>
      <w:r w:rsidR="002E1B7D" w:rsidRPr="00E869A4">
        <w:rPr>
          <w:rFonts w:ascii="Times New Roman" w:hAnsi="Times New Roman" w:cs="Times New Roman"/>
          <w:i w:val="0"/>
          <w:sz w:val="24"/>
          <w:szCs w:val="24"/>
        </w:rPr>
        <w:t>(Cloos et al. 2010)</w:t>
      </w:r>
      <w:r w:rsidR="00B0199C" w:rsidRPr="00E869A4">
        <w:rPr>
          <w:rFonts w:ascii="Times New Roman" w:hAnsi="Times New Roman" w:cs="Times New Roman"/>
          <w:i w:val="0"/>
          <w:sz w:val="24"/>
          <w:szCs w:val="24"/>
        </w:rPr>
        <w:t>. The NPA was approved by the then Cabinet of the GORTT in 2006 and launched in 2007. In keeping with the Madrid International Plan of Act</w:t>
      </w:r>
      <w:r w:rsidR="0046474E" w:rsidRPr="00E869A4">
        <w:rPr>
          <w:rFonts w:ascii="Times New Roman" w:hAnsi="Times New Roman" w:cs="Times New Roman"/>
          <w:i w:val="0"/>
          <w:sz w:val="24"/>
          <w:szCs w:val="24"/>
        </w:rPr>
        <w:t>i</w:t>
      </w:r>
      <w:r w:rsidR="00B0199C" w:rsidRPr="00E869A4">
        <w:rPr>
          <w:rFonts w:ascii="Times New Roman" w:hAnsi="Times New Roman" w:cs="Times New Roman"/>
          <w:i w:val="0"/>
          <w:sz w:val="24"/>
          <w:szCs w:val="24"/>
        </w:rPr>
        <w:t>on on Ageing (MIPAA</w:t>
      </w:r>
      <w:r w:rsidR="00D41C8E" w:rsidRPr="00E869A4">
        <w:rPr>
          <w:rFonts w:ascii="Times New Roman" w:hAnsi="Times New Roman" w:cs="Times New Roman"/>
          <w:i w:val="0"/>
          <w:sz w:val="24"/>
          <w:szCs w:val="24"/>
        </w:rPr>
        <w:fldChar w:fldCharType="begin"/>
      </w:r>
      <w:r w:rsidR="00B0199C" w:rsidRPr="00E869A4">
        <w:rPr>
          <w:rFonts w:ascii="Times New Roman" w:hAnsi="Times New Roman" w:cs="Times New Roman"/>
          <w:i w:val="0"/>
          <w:sz w:val="24"/>
        </w:rPr>
        <w:instrText xml:space="preserve"> XE "MIPAA" </w:instrText>
      </w:r>
      <w:r w:rsidR="00D41C8E" w:rsidRPr="00E869A4">
        <w:rPr>
          <w:rFonts w:ascii="Times New Roman" w:hAnsi="Times New Roman" w:cs="Times New Roman"/>
          <w:i w:val="0"/>
          <w:sz w:val="24"/>
          <w:szCs w:val="24"/>
        </w:rPr>
        <w:fldChar w:fldCharType="end"/>
      </w:r>
      <w:r w:rsidR="00B0199C" w:rsidRPr="00E869A4">
        <w:rPr>
          <w:rFonts w:ascii="Times New Roman" w:hAnsi="Times New Roman" w:cs="Times New Roman"/>
          <w:i w:val="0"/>
          <w:sz w:val="24"/>
          <w:szCs w:val="24"/>
        </w:rPr>
        <w:t>), it promotes the following 12 priority areas</w:t>
      </w:r>
      <w:r w:rsidR="00677CC2" w:rsidRPr="00E869A4">
        <w:rPr>
          <w:rFonts w:ascii="Times New Roman" w:hAnsi="Times New Roman" w:cs="Times New Roman"/>
          <w:i w:val="0"/>
          <w:sz w:val="24"/>
          <w:szCs w:val="24"/>
        </w:rPr>
        <w:t>: dignity and respect for the elderly; disaster preparedness; education and training; healthcare and standards for hospitals and care facilities; housing; income security and employment; legislation; participation</w:t>
      </w:r>
      <w:r w:rsidR="00632E62" w:rsidRPr="00E869A4">
        <w:rPr>
          <w:rFonts w:ascii="Times New Roman" w:hAnsi="Times New Roman" w:cs="Times New Roman"/>
          <w:i w:val="0"/>
          <w:sz w:val="24"/>
          <w:szCs w:val="24"/>
        </w:rPr>
        <w:t>;</w:t>
      </w:r>
      <w:r w:rsidR="00677CC2" w:rsidRPr="00E869A4">
        <w:rPr>
          <w:rFonts w:ascii="Times New Roman" w:hAnsi="Times New Roman" w:cs="Times New Roman"/>
          <w:i w:val="0"/>
          <w:sz w:val="24"/>
          <w:szCs w:val="24"/>
        </w:rPr>
        <w:t xml:space="preserve"> involvement and social inclusion; recreation; research; social security; and</w:t>
      </w:r>
      <w:r w:rsidR="00C10A8F" w:rsidRPr="00E869A4">
        <w:rPr>
          <w:rFonts w:ascii="Times New Roman" w:hAnsi="Times New Roman" w:cs="Times New Roman"/>
          <w:i w:val="0"/>
          <w:sz w:val="24"/>
          <w:szCs w:val="24"/>
        </w:rPr>
        <w:t>,</w:t>
      </w:r>
      <w:r w:rsidR="00677CC2" w:rsidRPr="00E869A4">
        <w:rPr>
          <w:rFonts w:ascii="Times New Roman" w:hAnsi="Times New Roman" w:cs="Times New Roman"/>
          <w:i w:val="0"/>
          <w:sz w:val="24"/>
          <w:szCs w:val="24"/>
        </w:rPr>
        <w:t xml:space="preserve"> transportation.</w:t>
      </w:r>
    </w:p>
    <w:p w14:paraId="01B1E83D" w14:textId="77777777" w:rsidR="00B0199C" w:rsidRPr="00E869A4" w:rsidRDefault="00B0199C" w:rsidP="00A35FF8">
      <w:pPr>
        <w:autoSpaceDE w:val="0"/>
        <w:autoSpaceDN w:val="0"/>
        <w:adjustRightInd w:val="0"/>
        <w:rPr>
          <w:rFonts w:ascii="Times New Roman" w:hAnsi="Times New Roman" w:cs="Times New Roman"/>
          <w:szCs w:val="24"/>
        </w:rPr>
      </w:pPr>
    </w:p>
    <w:p w14:paraId="21272A0E" w14:textId="19462803" w:rsidR="00B0199C" w:rsidRPr="00E869A4" w:rsidRDefault="00B0199C" w:rsidP="00965231">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The </w:t>
      </w:r>
      <w:r w:rsidR="0079226B" w:rsidRPr="00E869A4">
        <w:rPr>
          <w:rFonts w:ascii="Times New Roman" w:hAnsi="Times New Roman" w:cs="Times New Roman"/>
          <w:szCs w:val="24"/>
        </w:rPr>
        <w:t>NPA</w:t>
      </w:r>
      <w:r w:rsidRPr="00E869A4">
        <w:rPr>
          <w:rFonts w:ascii="Times New Roman" w:hAnsi="Times New Roman" w:cs="Times New Roman"/>
          <w:szCs w:val="24"/>
        </w:rPr>
        <w:t xml:space="preserve"> explicitly commits to supporting independent living of older persons. More specifically, the policy outlines the following measures to promote ageing in place</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ageing in place</w:instrText>
      </w:r>
      <w:r w:rsidRPr="00E869A4">
        <w:rPr>
          <w:rFonts w:ascii="Times New Roman" w:hAnsi="Times New Roman" w:cs="Times New Roman"/>
        </w:rPr>
        <w:instrText xml:space="preserve">"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w:t>
      </w:r>
    </w:p>
    <w:p w14:paraId="76850FE9" w14:textId="77777777" w:rsidR="00B0199C" w:rsidRPr="00E869A4" w:rsidRDefault="00B0199C" w:rsidP="009D4C5D">
      <w:pPr>
        <w:pStyle w:val="ListParagraph"/>
        <w:numPr>
          <w:ilvl w:val="0"/>
          <w:numId w:val="5"/>
        </w:numPr>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szCs w:val="24"/>
        </w:rPr>
        <w:lastRenderedPageBreak/>
        <w:t xml:space="preserve">The provision of support systems to enhance self-reliance and allow older persons to live as independently as possible; </w:t>
      </w:r>
    </w:p>
    <w:p w14:paraId="69C050A8" w14:textId="105213E1" w:rsidR="00B0199C" w:rsidRPr="00E869A4" w:rsidRDefault="00B0199C" w:rsidP="009D4C5D">
      <w:pPr>
        <w:pStyle w:val="ListParagraph"/>
        <w:numPr>
          <w:ilvl w:val="0"/>
          <w:numId w:val="5"/>
        </w:numPr>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szCs w:val="24"/>
        </w:rPr>
        <w:t>The provision of support services to families to enable them t</w:t>
      </w:r>
      <w:r w:rsidR="00AB57B9" w:rsidRPr="00E869A4">
        <w:rPr>
          <w:rFonts w:ascii="Times New Roman" w:hAnsi="Times New Roman" w:cs="Times New Roman"/>
          <w:szCs w:val="24"/>
        </w:rPr>
        <w:t>o cater to the physical, psycho</w:t>
      </w:r>
      <w:r w:rsidRPr="00E869A4">
        <w:rPr>
          <w:rFonts w:ascii="Times New Roman" w:hAnsi="Times New Roman" w:cs="Times New Roman"/>
          <w:szCs w:val="24"/>
        </w:rPr>
        <w:t xml:space="preserve">social and emotional needs of their elderly family members, whether they are healthy or ailing; </w:t>
      </w:r>
    </w:p>
    <w:p w14:paraId="11E33658" w14:textId="4590F862" w:rsidR="00B0199C" w:rsidRPr="00E869A4" w:rsidRDefault="00B0199C" w:rsidP="009D4C5D">
      <w:pPr>
        <w:pStyle w:val="ListParagraph"/>
        <w:numPr>
          <w:ilvl w:val="0"/>
          <w:numId w:val="5"/>
        </w:numPr>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szCs w:val="24"/>
        </w:rPr>
        <w:t>Facilitat</w:t>
      </w:r>
      <w:r w:rsidR="000666CE" w:rsidRPr="00E869A4">
        <w:rPr>
          <w:rFonts w:ascii="Times New Roman" w:hAnsi="Times New Roman" w:cs="Times New Roman"/>
          <w:szCs w:val="24"/>
        </w:rPr>
        <w:t>ing</w:t>
      </w:r>
      <w:r w:rsidRPr="00E869A4">
        <w:rPr>
          <w:rFonts w:ascii="Times New Roman" w:hAnsi="Times New Roman" w:cs="Times New Roman"/>
          <w:szCs w:val="24"/>
        </w:rPr>
        <w:t xml:space="preserve"> the empowerment of communities to ensure that the needs of older persons, who have little or are without family support, could be met; </w:t>
      </w:r>
    </w:p>
    <w:p w14:paraId="54A8845E" w14:textId="3AA103BB" w:rsidR="00B0199C" w:rsidRPr="00E869A4" w:rsidRDefault="00B0199C" w:rsidP="009D4C5D">
      <w:pPr>
        <w:pStyle w:val="ListParagraph"/>
        <w:numPr>
          <w:ilvl w:val="0"/>
          <w:numId w:val="5"/>
        </w:numPr>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szCs w:val="24"/>
        </w:rPr>
        <w:t>Encourag</w:t>
      </w:r>
      <w:r w:rsidR="000666CE" w:rsidRPr="00E869A4">
        <w:rPr>
          <w:rFonts w:ascii="Times New Roman" w:hAnsi="Times New Roman" w:cs="Times New Roman"/>
          <w:szCs w:val="24"/>
        </w:rPr>
        <w:t>ing</w:t>
      </w:r>
      <w:r w:rsidRPr="00E869A4">
        <w:rPr>
          <w:rFonts w:ascii="Times New Roman" w:hAnsi="Times New Roman" w:cs="Times New Roman"/>
          <w:szCs w:val="24"/>
        </w:rPr>
        <w:t xml:space="preserve"> the establishment of support groups and social programmes that would assist and strengthen families in situations where older persons have issues that make care challenging, for example persons with Alzheimer’s disease; and </w:t>
      </w:r>
    </w:p>
    <w:p w14:paraId="5FEADF0A" w14:textId="2B47A391" w:rsidR="00B0199C" w:rsidRPr="00E869A4" w:rsidRDefault="00B0199C" w:rsidP="009D4C5D">
      <w:pPr>
        <w:pStyle w:val="ListParagraph"/>
        <w:numPr>
          <w:ilvl w:val="0"/>
          <w:numId w:val="5"/>
        </w:numPr>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szCs w:val="24"/>
        </w:rPr>
        <w:t>Facilitat</w:t>
      </w:r>
      <w:r w:rsidR="000666CE" w:rsidRPr="00E869A4">
        <w:rPr>
          <w:rFonts w:ascii="Times New Roman" w:hAnsi="Times New Roman" w:cs="Times New Roman"/>
          <w:szCs w:val="24"/>
        </w:rPr>
        <w:t>ing</w:t>
      </w:r>
      <w:r w:rsidRPr="00E869A4">
        <w:rPr>
          <w:rFonts w:ascii="Times New Roman" w:hAnsi="Times New Roman" w:cs="Times New Roman"/>
          <w:szCs w:val="24"/>
        </w:rPr>
        <w:t xml:space="preserve"> the provision of assistance to non-governmental and community-based organizations to develop and implement community-based programmes for older persons. </w:t>
      </w:r>
    </w:p>
    <w:p w14:paraId="507B7B1E" w14:textId="77777777" w:rsidR="00B0199C" w:rsidRPr="00E869A4" w:rsidRDefault="00B0199C" w:rsidP="00A35FF8">
      <w:pPr>
        <w:autoSpaceDE w:val="0"/>
        <w:autoSpaceDN w:val="0"/>
        <w:adjustRightInd w:val="0"/>
        <w:rPr>
          <w:rFonts w:ascii="Times New Roman" w:hAnsi="Times New Roman" w:cs="Times New Roman"/>
          <w:szCs w:val="24"/>
        </w:rPr>
      </w:pPr>
    </w:p>
    <w:p w14:paraId="77C5B478" w14:textId="4DE6F190" w:rsidR="00E50D7A" w:rsidRPr="00E869A4" w:rsidRDefault="00B0199C" w:rsidP="00C10A8F">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The Division of Ageing</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"Division of Ageing"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w:t>
      </w:r>
      <w:r w:rsidR="00743886" w:rsidRPr="00E869A4">
        <w:rPr>
          <w:rFonts w:ascii="Times New Roman" w:hAnsi="Times New Roman" w:cs="Times New Roman"/>
          <w:szCs w:val="24"/>
        </w:rPr>
        <w:t>DOA</w:t>
      </w:r>
      <w:r w:rsidR="00D41C8E" w:rsidRPr="00E869A4">
        <w:rPr>
          <w:rFonts w:ascii="Times New Roman" w:hAnsi="Times New Roman" w:cs="Times New Roman"/>
          <w:szCs w:val="24"/>
        </w:rPr>
        <w:fldChar w:fldCharType="begin"/>
      </w:r>
      <w:r w:rsidRPr="00E869A4">
        <w:rPr>
          <w:rFonts w:ascii="Times New Roman" w:hAnsi="Times New Roman" w:cs="Times New Roman"/>
        </w:rPr>
        <w:instrText xml:space="preserve"> XE "DoA" </w:instrText>
      </w:r>
      <w:r w:rsidR="00D41C8E" w:rsidRPr="00E869A4">
        <w:rPr>
          <w:rFonts w:ascii="Times New Roman" w:hAnsi="Times New Roman" w:cs="Times New Roman"/>
          <w:szCs w:val="24"/>
        </w:rPr>
        <w:fldChar w:fldCharType="end"/>
      </w:r>
      <w:r w:rsidRPr="00E869A4">
        <w:rPr>
          <w:rFonts w:ascii="Times New Roman" w:hAnsi="Times New Roman" w:cs="Times New Roman"/>
          <w:szCs w:val="24"/>
        </w:rPr>
        <w:t xml:space="preserve">) in the Ministry of Social Development and Family Services is the lead agency responsible for coordinating the implementation of the Policy on Ageing. </w:t>
      </w:r>
      <w:bookmarkStart w:id="34" w:name="_Toc510469574"/>
    </w:p>
    <w:p w14:paraId="4F4252B1" w14:textId="77777777" w:rsidR="00C10A8F" w:rsidRPr="00E869A4" w:rsidRDefault="00C10A8F" w:rsidP="00C10A8F">
      <w:pPr>
        <w:autoSpaceDE w:val="0"/>
        <w:autoSpaceDN w:val="0"/>
        <w:adjustRightInd w:val="0"/>
        <w:ind w:firstLine="0"/>
      </w:pPr>
    </w:p>
    <w:p w14:paraId="717BB4E4" w14:textId="789D9EEE" w:rsidR="00D649A3" w:rsidRPr="00E869A4" w:rsidRDefault="001B2722" w:rsidP="005C449C">
      <w:pPr>
        <w:pStyle w:val="Heading3"/>
      </w:pPr>
      <w:bookmarkStart w:id="35" w:name="_Toc40436455"/>
      <w:r w:rsidRPr="00E869A4">
        <w:t>1.</w:t>
      </w:r>
      <w:r w:rsidR="00B364F8" w:rsidRPr="00E869A4">
        <w:t>2</w:t>
      </w:r>
      <w:r w:rsidRPr="00E869A4">
        <w:t>.7</w:t>
      </w:r>
      <w:r w:rsidR="00BE40EF" w:rsidRPr="00E869A4">
        <w:t xml:space="preserve">     </w:t>
      </w:r>
      <w:r w:rsidR="00130CD4" w:rsidRPr="00E869A4">
        <w:t xml:space="preserve">Social Services </w:t>
      </w:r>
      <w:r w:rsidR="00743886" w:rsidRPr="00E869A4">
        <w:t>for</w:t>
      </w:r>
      <w:r w:rsidR="00130CD4" w:rsidRPr="00E869A4">
        <w:t xml:space="preserve"> Older Persons </w:t>
      </w:r>
      <w:r w:rsidR="00743886" w:rsidRPr="00E869A4">
        <w:t>and</w:t>
      </w:r>
      <w:r w:rsidR="00130CD4" w:rsidRPr="00E869A4">
        <w:t xml:space="preserve"> Family Caregivers</w:t>
      </w:r>
      <w:bookmarkEnd w:id="34"/>
      <w:bookmarkEnd w:id="35"/>
    </w:p>
    <w:p w14:paraId="31D79267" w14:textId="77777777" w:rsidR="00B0745F" w:rsidRPr="00E869A4" w:rsidRDefault="00B0745F" w:rsidP="0051234F">
      <w:pPr>
        <w:pStyle w:val="112"/>
        <w:rPr>
          <w:color w:val="auto"/>
        </w:rPr>
      </w:pPr>
    </w:p>
    <w:p w14:paraId="361851C2" w14:textId="47DE98B9" w:rsidR="009C4A74" w:rsidRPr="00E869A4" w:rsidRDefault="004A6B14" w:rsidP="00EE6967">
      <w:pPr>
        <w:rPr>
          <w:rFonts w:ascii="Times New Roman" w:hAnsi="Times New Roman" w:cs="Times New Roman"/>
        </w:rPr>
      </w:pPr>
      <w:r w:rsidRPr="00E869A4">
        <w:rPr>
          <w:rFonts w:ascii="Times New Roman" w:hAnsi="Times New Roman" w:cs="Times New Roman"/>
        </w:rPr>
        <w:t xml:space="preserve">Since the post-independence period, </w:t>
      </w:r>
      <w:r w:rsidR="006F24F7" w:rsidRPr="00E869A4">
        <w:rPr>
          <w:rFonts w:ascii="Times New Roman" w:hAnsi="Times New Roman" w:cs="Times New Roman"/>
        </w:rPr>
        <w:t>T&amp;T</w:t>
      </w:r>
      <w:r w:rsidRPr="00E869A4">
        <w:rPr>
          <w:rFonts w:ascii="Times New Roman" w:hAnsi="Times New Roman" w:cs="Times New Roman"/>
        </w:rPr>
        <w:t xml:space="preserve"> like most of its </w:t>
      </w:r>
      <w:r w:rsidR="00DB6C10" w:rsidRPr="00E869A4">
        <w:rPr>
          <w:rFonts w:ascii="Times New Roman" w:hAnsi="Times New Roman" w:cs="Times New Roman"/>
        </w:rPr>
        <w:t>ESC</w:t>
      </w:r>
      <w:r w:rsidRPr="00E869A4">
        <w:rPr>
          <w:rFonts w:ascii="Times New Roman" w:hAnsi="Times New Roman" w:cs="Times New Roman"/>
        </w:rPr>
        <w:t xml:space="preserve"> neighbours, sought to provide publicly financed and universal coverage of health care and social security systems similar to what existed in the UK (Schmid 2006</w:t>
      </w:r>
      <w:r w:rsidR="00205EC6" w:rsidRPr="00E869A4">
        <w:rPr>
          <w:rFonts w:ascii="Times New Roman" w:hAnsi="Times New Roman" w:cs="Times New Roman"/>
        </w:rPr>
        <w:t xml:space="preserve">; </w:t>
      </w:r>
      <w:r w:rsidRPr="00E869A4">
        <w:rPr>
          <w:rFonts w:ascii="Times New Roman" w:hAnsi="Times New Roman" w:cs="Times New Roman"/>
        </w:rPr>
        <w:t>World</w:t>
      </w:r>
      <w:r w:rsidR="00205EC6" w:rsidRPr="00E869A4">
        <w:rPr>
          <w:rFonts w:ascii="Times New Roman" w:hAnsi="Times New Roman" w:cs="Times New Roman"/>
        </w:rPr>
        <w:t xml:space="preserve"> </w:t>
      </w:r>
      <w:r w:rsidRPr="00E869A4">
        <w:rPr>
          <w:rFonts w:ascii="Times New Roman" w:hAnsi="Times New Roman" w:cs="Times New Roman"/>
        </w:rPr>
        <w:t>Bank 1995</w:t>
      </w:r>
      <w:r w:rsidR="009C4A74" w:rsidRPr="00E869A4">
        <w:rPr>
          <w:rFonts w:ascii="Times New Roman" w:hAnsi="Times New Roman" w:cs="Times New Roman"/>
        </w:rPr>
        <w:t>)</w:t>
      </w:r>
      <w:r w:rsidRPr="00E869A4">
        <w:rPr>
          <w:rFonts w:ascii="Times New Roman" w:hAnsi="Times New Roman" w:cs="Times New Roman"/>
        </w:rPr>
        <w:t xml:space="preserve">. </w:t>
      </w:r>
      <w:r w:rsidR="00C10A8F" w:rsidRPr="00E869A4">
        <w:rPr>
          <w:rFonts w:ascii="Times New Roman" w:hAnsi="Times New Roman" w:cs="Times New Roman"/>
        </w:rPr>
        <w:t>However, d</w:t>
      </w:r>
      <w:r w:rsidR="00632E62" w:rsidRPr="00E869A4">
        <w:rPr>
          <w:rFonts w:ascii="Times New Roman" w:hAnsi="Times New Roman" w:cs="Times New Roman"/>
        </w:rPr>
        <w:t>espite</w:t>
      </w:r>
      <w:r w:rsidR="009C4A74" w:rsidRPr="00E869A4">
        <w:rPr>
          <w:rFonts w:ascii="Times New Roman" w:hAnsi="Times New Roman" w:cs="Times New Roman"/>
        </w:rPr>
        <w:t xml:space="preserve"> </w:t>
      </w:r>
      <w:r w:rsidR="00C10A8F" w:rsidRPr="00E869A4">
        <w:rPr>
          <w:rFonts w:ascii="Times New Roman" w:hAnsi="Times New Roman" w:cs="Times New Roman"/>
        </w:rPr>
        <w:t>having</w:t>
      </w:r>
      <w:r w:rsidR="009C4A74" w:rsidRPr="00E869A4">
        <w:rPr>
          <w:rFonts w:ascii="Times New Roman" w:hAnsi="Times New Roman" w:cs="Times New Roman"/>
        </w:rPr>
        <w:t xml:space="preserve"> greater financial means than most Caribbean territories, the quality of </w:t>
      </w:r>
      <w:r w:rsidR="00C10A8F" w:rsidRPr="00E869A4">
        <w:rPr>
          <w:rFonts w:ascii="Times New Roman" w:hAnsi="Times New Roman" w:cs="Times New Roman"/>
        </w:rPr>
        <w:t>T&amp;T</w:t>
      </w:r>
      <w:r w:rsidR="009C4A74" w:rsidRPr="00E869A4">
        <w:rPr>
          <w:rFonts w:ascii="Times New Roman" w:hAnsi="Times New Roman" w:cs="Times New Roman"/>
        </w:rPr>
        <w:t>s health and social services have lagged behind its CARICOM neighbours</w:t>
      </w:r>
      <w:r w:rsidR="00BA407E" w:rsidRPr="00E869A4">
        <w:rPr>
          <w:rFonts w:ascii="Times New Roman" w:hAnsi="Times New Roman" w:cs="Times New Roman"/>
        </w:rPr>
        <w:t xml:space="preserve"> on several indicators</w:t>
      </w:r>
      <w:r w:rsidR="00C10A8F" w:rsidRPr="00E869A4">
        <w:rPr>
          <w:rFonts w:ascii="Times New Roman" w:hAnsi="Times New Roman" w:cs="Times New Roman"/>
        </w:rPr>
        <w:t>,</w:t>
      </w:r>
      <w:r w:rsidR="009C4A74" w:rsidRPr="00E869A4">
        <w:rPr>
          <w:rFonts w:ascii="Times New Roman" w:hAnsi="Times New Roman" w:cs="Times New Roman"/>
        </w:rPr>
        <w:t xml:space="preserve"> </w:t>
      </w:r>
      <w:r w:rsidR="00C10A8F" w:rsidRPr="00E869A4">
        <w:rPr>
          <w:rFonts w:ascii="Times New Roman" w:hAnsi="Times New Roman" w:cs="Times New Roman"/>
        </w:rPr>
        <w:t>albeit</w:t>
      </w:r>
      <w:r w:rsidR="009C4A74" w:rsidRPr="00E869A4">
        <w:rPr>
          <w:rFonts w:ascii="Times New Roman" w:hAnsi="Times New Roman" w:cs="Times New Roman"/>
        </w:rPr>
        <w:t xml:space="preserve"> in some instances the country’s performance was </w:t>
      </w:r>
      <w:r w:rsidR="00632E62" w:rsidRPr="00E869A4">
        <w:rPr>
          <w:rFonts w:ascii="Times New Roman" w:hAnsi="Times New Roman" w:cs="Times New Roman"/>
          <w:i/>
        </w:rPr>
        <w:t>o</w:t>
      </w:r>
      <w:r w:rsidR="009C4A74" w:rsidRPr="00E869A4">
        <w:rPr>
          <w:rFonts w:ascii="Times New Roman" w:hAnsi="Times New Roman" w:cs="Times New Roman"/>
          <w:i/>
        </w:rPr>
        <w:t>n par</w:t>
      </w:r>
      <w:r w:rsidR="009C4A74" w:rsidRPr="00E869A4">
        <w:rPr>
          <w:rFonts w:ascii="Times New Roman" w:hAnsi="Times New Roman" w:cs="Times New Roman"/>
        </w:rPr>
        <w:t xml:space="preserve">. </w:t>
      </w:r>
    </w:p>
    <w:p w14:paraId="5E055F3C" w14:textId="77777777" w:rsidR="00415383" w:rsidRPr="00E869A4" w:rsidRDefault="00415383" w:rsidP="00A35FF8">
      <w:pPr>
        <w:rPr>
          <w:rFonts w:ascii="Times New Roman" w:hAnsi="Times New Roman" w:cs="Times New Roman"/>
        </w:rPr>
      </w:pPr>
    </w:p>
    <w:p w14:paraId="0F235FE2" w14:textId="62A72282" w:rsidR="004A6B14" w:rsidRPr="00E869A4" w:rsidRDefault="009C4A74" w:rsidP="00EE6967">
      <w:pPr>
        <w:rPr>
          <w:rFonts w:ascii="Times New Roman" w:hAnsi="Times New Roman" w:cs="Times New Roman"/>
        </w:rPr>
      </w:pPr>
      <w:r w:rsidRPr="00E869A4">
        <w:rPr>
          <w:rFonts w:ascii="Times New Roman" w:hAnsi="Times New Roman" w:cs="Times New Roman"/>
        </w:rPr>
        <w:t xml:space="preserve">Currently, older persons in </w:t>
      </w:r>
      <w:r w:rsidR="006F24F7" w:rsidRPr="00E869A4">
        <w:rPr>
          <w:rFonts w:ascii="Times New Roman" w:hAnsi="Times New Roman" w:cs="Times New Roman"/>
        </w:rPr>
        <w:t>T&amp;T</w:t>
      </w:r>
      <w:r w:rsidRPr="00E869A4">
        <w:rPr>
          <w:rFonts w:ascii="Times New Roman" w:hAnsi="Times New Roman" w:cs="Times New Roman"/>
        </w:rPr>
        <w:t xml:space="preserve"> are entitled to benefits such as an old age pension grant, a free bus pass which allows them access to the public transportation service, free inter-island ferry transport, a selected number of free prescription drugs and other pharmaceutical items to combat chronic diseases (Bobb et al</w:t>
      </w:r>
      <w:r w:rsidR="00EE6967" w:rsidRPr="00E869A4">
        <w:rPr>
          <w:rFonts w:ascii="Times New Roman" w:hAnsi="Times New Roman" w:cs="Times New Roman"/>
        </w:rPr>
        <w:t>.</w:t>
      </w:r>
      <w:r w:rsidRPr="00E869A4">
        <w:rPr>
          <w:rFonts w:ascii="Times New Roman" w:hAnsi="Times New Roman" w:cs="Times New Roman"/>
        </w:rPr>
        <w:t xml:space="preserve"> 2008), as well as access to activities via the Senior Activity Centres</w:t>
      </w:r>
      <w:r w:rsidR="00C65AD7" w:rsidRPr="00E869A4">
        <w:rPr>
          <w:rFonts w:ascii="Times New Roman" w:hAnsi="Times New Roman" w:cs="Times New Roman"/>
        </w:rPr>
        <w:t xml:space="preserve"> (SAC)</w:t>
      </w:r>
      <w:r w:rsidRPr="00E869A4">
        <w:rPr>
          <w:rFonts w:ascii="Times New Roman" w:hAnsi="Times New Roman" w:cs="Times New Roman"/>
        </w:rPr>
        <w:t xml:space="preserve"> located at different locations throughout the country. </w:t>
      </w:r>
      <w:r w:rsidR="004A6B14" w:rsidRPr="00E869A4">
        <w:rPr>
          <w:rFonts w:ascii="Times New Roman" w:hAnsi="Times New Roman" w:cs="Times New Roman"/>
        </w:rPr>
        <w:t xml:space="preserve"> </w:t>
      </w:r>
      <w:r w:rsidRPr="00E869A4">
        <w:rPr>
          <w:rFonts w:ascii="Times New Roman" w:hAnsi="Times New Roman" w:cs="Times New Roman"/>
        </w:rPr>
        <w:t xml:space="preserve">However, this modest array of services is inadequate for meeting the needs of frail older persons and their caregivers. Public sector nurses provide some assistance in terms of </w:t>
      </w:r>
      <w:r w:rsidR="00631078" w:rsidRPr="00E869A4">
        <w:rPr>
          <w:rFonts w:ascii="Times New Roman" w:hAnsi="Times New Roman" w:cs="Times New Roman"/>
        </w:rPr>
        <w:t>home help</w:t>
      </w:r>
      <w:r w:rsidRPr="00E869A4">
        <w:rPr>
          <w:rFonts w:ascii="Times New Roman" w:hAnsi="Times New Roman" w:cs="Times New Roman"/>
        </w:rPr>
        <w:t xml:space="preserve">, but for the most part, </w:t>
      </w:r>
      <w:r w:rsidR="0079226B" w:rsidRPr="00E869A4">
        <w:rPr>
          <w:rFonts w:ascii="Times New Roman" w:hAnsi="Times New Roman" w:cs="Times New Roman"/>
        </w:rPr>
        <w:t xml:space="preserve">in-home nursing support </w:t>
      </w:r>
      <w:r w:rsidRPr="00E869A4">
        <w:rPr>
          <w:rFonts w:ascii="Times New Roman" w:hAnsi="Times New Roman" w:cs="Times New Roman"/>
        </w:rPr>
        <w:t xml:space="preserve">must be </w:t>
      </w:r>
      <w:r w:rsidR="0079226B" w:rsidRPr="00E869A4">
        <w:rPr>
          <w:rFonts w:ascii="Times New Roman" w:hAnsi="Times New Roman" w:cs="Times New Roman"/>
        </w:rPr>
        <w:t>obtained privately as th</w:t>
      </w:r>
      <w:r w:rsidR="001651CC" w:rsidRPr="00E869A4">
        <w:rPr>
          <w:rFonts w:ascii="Times New Roman" w:hAnsi="Times New Roman" w:cs="Times New Roman"/>
        </w:rPr>
        <w:t>is</w:t>
      </w:r>
      <w:r w:rsidR="0079226B" w:rsidRPr="00E869A4">
        <w:rPr>
          <w:rFonts w:ascii="Times New Roman" w:hAnsi="Times New Roman" w:cs="Times New Roman"/>
        </w:rPr>
        <w:t xml:space="preserve"> state service is overwhelmed by various challenges</w:t>
      </w:r>
      <w:r w:rsidRPr="00E869A4">
        <w:rPr>
          <w:rFonts w:ascii="Times New Roman" w:hAnsi="Times New Roman" w:cs="Times New Roman"/>
        </w:rPr>
        <w:t xml:space="preserve">. The government also has in place a Geriatric Apprenticeship </w:t>
      </w:r>
      <w:r w:rsidRPr="00E869A4">
        <w:rPr>
          <w:rFonts w:ascii="Times New Roman" w:hAnsi="Times New Roman" w:cs="Times New Roman"/>
        </w:rPr>
        <w:lastRenderedPageBreak/>
        <w:t>Partnership Programme (GAPP)</w:t>
      </w:r>
      <w:r w:rsidR="001651CC" w:rsidRPr="00E869A4">
        <w:rPr>
          <w:rFonts w:ascii="Times New Roman" w:hAnsi="Times New Roman" w:cs="Times New Roman"/>
        </w:rPr>
        <w:t>, but</w:t>
      </w:r>
      <w:r w:rsidRPr="00E869A4">
        <w:rPr>
          <w:rFonts w:ascii="Times New Roman" w:hAnsi="Times New Roman" w:cs="Times New Roman"/>
        </w:rPr>
        <w:t xml:space="preserve"> the evidence suggests that this too is inadequate for satisfying existing demand (Cloos et al</w:t>
      </w:r>
      <w:r w:rsidR="00EE6967" w:rsidRPr="00E869A4">
        <w:rPr>
          <w:rFonts w:ascii="Times New Roman" w:hAnsi="Times New Roman" w:cs="Times New Roman"/>
        </w:rPr>
        <w:t>.</w:t>
      </w:r>
      <w:r w:rsidRPr="00E869A4">
        <w:rPr>
          <w:rFonts w:ascii="Times New Roman" w:hAnsi="Times New Roman" w:cs="Times New Roman"/>
        </w:rPr>
        <w:t xml:space="preserve"> 2010). Furthermore, there are no direct services provided to caregivers.</w:t>
      </w:r>
    </w:p>
    <w:p w14:paraId="5B2227D5" w14:textId="77777777" w:rsidR="004E0DBD" w:rsidRPr="00E869A4" w:rsidRDefault="004E0DBD" w:rsidP="00A35FF8">
      <w:pPr>
        <w:rPr>
          <w:rFonts w:ascii="Times New Roman" w:hAnsi="Times New Roman" w:cs="Times New Roman"/>
        </w:rPr>
      </w:pPr>
    </w:p>
    <w:p w14:paraId="519C8248" w14:textId="03455759" w:rsidR="00DD48D0" w:rsidRPr="00E869A4" w:rsidRDefault="00B7596C" w:rsidP="00F372AF">
      <w:pPr>
        <w:pStyle w:val="Caption"/>
        <w:ind w:firstLine="0"/>
        <w:rPr>
          <w:b/>
          <w:i w:val="0"/>
          <w:sz w:val="24"/>
        </w:rPr>
      </w:pPr>
      <w:bookmarkStart w:id="36" w:name="_Toc40436601"/>
      <w:r w:rsidRPr="00E869A4">
        <w:rPr>
          <w:b/>
          <w:i w:val="0"/>
          <w:sz w:val="24"/>
        </w:rPr>
        <w:t>T</w:t>
      </w:r>
      <w:r w:rsidR="00DD48D0" w:rsidRPr="00E869A4">
        <w:rPr>
          <w:b/>
          <w:i w:val="0"/>
          <w:sz w:val="24"/>
        </w:rPr>
        <w:t xml:space="preserve">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2</w:t>
      </w:r>
      <w:r w:rsidR="00194F87" w:rsidRPr="00E869A4">
        <w:rPr>
          <w:b/>
          <w:i w:val="0"/>
          <w:sz w:val="24"/>
        </w:rPr>
        <w:fldChar w:fldCharType="end"/>
      </w:r>
      <w:r w:rsidR="00DD48D0" w:rsidRPr="00E869A4">
        <w:rPr>
          <w:b/>
          <w:i w:val="0"/>
          <w:sz w:val="24"/>
        </w:rPr>
        <w:t>: Main Social Protection Programmes for Frail Older Persons and Family Caregivers</w:t>
      </w:r>
      <w:bookmarkEnd w:id="36"/>
    </w:p>
    <w:p w14:paraId="7C3ED3BA" w14:textId="77777777" w:rsidR="00A04DDD" w:rsidRPr="00E869A4" w:rsidRDefault="00A04DDD" w:rsidP="00F372AF">
      <w:pPr>
        <w:ind w:firstLine="0"/>
      </w:pPr>
    </w:p>
    <w:tbl>
      <w:tblPr>
        <w:tblStyle w:val="TableGrid"/>
        <w:tblW w:w="9714" w:type="dxa"/>
        <w:jc w:val="center"/>
        <w:tblLook w:val="04A0" w:firstRow="1" w:lastRow="0" w:firstColumn="1" w:lastColumn="0" w:noHBand="0" w:noVBand="1"/>
      </w:tblPr>
      <w:tblGrid>
        <w:gridCol w:w="1008"/>
        <w:gridCol w:w="2475"/>
        <w:gridCol w:w="2015"/>
        <w:gridCol w:w="2178"/>
        <w:gridCol w:w="2038"/>
      </w:tblGrid>
      <w:tr w:rsidR="00C714D3" w:rsidRPr="00E869A4" w14:paraId="651CCCD7" w14:textId="77777777" w:rsidTr="007A359F">
        <w:trPr>
          <w:tblHeader/>
          <w:jc w:val="center"/>
        </w:trPr>
        <w:tc>
          <w:tcPr>
            <w:tcW w:w="1008" w:type="dxa"/>
          </w:tcPr>
          <w:p w14:paraId="114D8308" w14:textId="3CAC094C" w:rsidR="001872CF" w:rsidRPr="00E869A4" w:rsidRDefault="00FD20AF" w:rsidP="00F372AF">
            <w:pPr>
              <w:ind w:firstLine="0"/>
              <w:jc w:val="center"/>
              <w:rPr>
                <w:rFonts w:ascii="Times New Roman" w:hAnsi="Times New Roman" w:cs="Times New Roman"/>
                <w:b/>
                <w:bCs/>
                <w:iCs/>
                <w:sz w:val="23"/>
                <w:szCs w:val="23"/>
              </w:rPr>
            </w:pPr>
            <w:r w:rsidRPr="00E869A4">
              <w:rPr>
                <w:rFonts w:ascii="Times New Roman" w:hAnsi="Times New Roman" w:cs="Times New Roman"/>
                <w:b/>
                <w:bCs/>
                <w:iCs/>
                <w:sz w:val="23"/>
                <w:szCs w:val="23"/>
              </w:rPr>
              <w:t>Island</w:t>
            </w:r>
          </w:p>
        </w:tc>
        <w:tc>
          <w:tcPr>
            <w:tcW w:w="2475" w:type="dxa"/>
          </w:tcPr>
          <w:p w14:paraId="65A87224" w14:textId="77777777" w:rsidR="001872CF" w:rsidRPr="00E869A4" w:rsidRDefault="001872CF" w:rsidP="00F372AF">
            <w:pPr>
              <w:ind w:firstLine="0"/>
              <w:jc w:val="center"/>
              <w:rPr>
                <w:rFonts w:ascii="Times New Roman" w:hAnsi="Times New Roman" w:cs="Times New Roman"/>
                <w:b/>
                <w:bCs/>
                <w:iCs/>
                <w:sz w:val="23"/>
                <w:szCs w:val="23"/>
              </w:rPr>
            </w:pPr>
            <w:r w:rsidRPr="00E869A4">
              <w:rPr>
                <w:rFonts w:ascii="Times New Roman" w:hAnsi="Times New Roman" w:cs="Times New Roman"/>
                <w:b/>
                <w:bCs/>
                <w:iCs/>
                <w:sz w:val="23"/>
                <w:szCs w:val="23"/>
              </w:rPr>
              <w:t>Pension System</w:t>
            </w:r>
          </w:p>
        </w:tc>
        <w:tc>
          <w:tcPr>
            <w:tcW w:w="2015" w:type="dxa"/>
          </w:tcPr>
          <w:p w14:paraId="0A2FBDAD" w14:textId="77777777" w:rsidR="001872CF" w:rsidRPr="00E869A4" w:rsidRDefault="001872CF" w:rsidP="00F372AF">
            <w:pPr>
              <w:ind w:firstLine="0"/>
              <w:jc w:val="center"/>
              <w:rPr>
                <w:rFonts w:ascii="Times New Roman" w:hAnsi="Times New Roman" w:cs="Times New Roman"/>
                <w:b/>
                <w:bCs/>
                <w:iCs/>
                <w:sz w:val="23"/>
                <w:szCs w:val="23"/>
              </w:rPr>
            </w:pPr>
            <w:r w:rsidRPr="00E869A4">
              <w:rPr>
                <w:rFonts w:ascii="Times New Roman" w:hAnsi="Times New Roman" w:cs="Times New Roman"/>
                <w:b/>
                <w:bCs/>
                <w:iCs/>
                <w:sz w:val="23"/>
                <w:szCs w:val="23"/>
              </w:rPr>
              <w:t>Social Assistance</w:t>
            </w:r>
            <w:r w:rsidRPr="00E869A4">
              <w:rPr>
                <w:rStyle w:val="FootnoteReference"/>
                <w:rFonts w:ascii="Times New Roman" w:hAnsi="Times New Roman" w:cs="Times New Roman"/>
                <w:bCs/>
                <w:iCs/>
                <w:sz w:val="23"/>
                <w:szCs w:val="23"/>
              </w:rPr>
              <w:footnoteReference w:id="17"/>
            </w:r>
          </w:p>
        </w:tc>
        <w:tc>
          <w:tcPr>
            <w:tcW w:w="2178" w:type="dxa"/>
          </w:tcPr>
          <w:p w14:paraId="648C4D38" w14:textId="676B05E2" w:rsidR="001872CF" w:rsidRPr="00E869A4" w:rsidRDefault="001872CF" w:rsidP="00F372AF">
            <w:pPr>
              <w:ind w:firstLine="0"/>
              <w:jc w:val="center"/>
              <w:rPr>
                <w:rFonts w:ascii="Times New Roman" w:hAnsi="Times New Roman" w:cs="Times New Roman"/>
                <w:b/>
                <w:bCs/>
                <w:iCs/>
                <w:sz w:val="23"/>
                <w:szCs w:val="23"/>
              </w:rPr>
            </w:pPr>
            <w:r w:rsidRPr="00E869A4">
              <w:rPr>
                <w:rFonts w:ascii="Times New Roman" w:hAnsi="Times New Roman" w:cs="Times New Roman"/>
                <w:b/>
                <w:bCs/>
                <w:iCs/>
                <w:sz w:val="23"/>
                <w:szCs w:val="23"/>
              </w:rPr>
              <w:t>Social Care Services</w:t>
            </w:r>
            <w:r w:rsidRPr="00E869A4">
              <w:rPr>
                <w:rStyle w:val="FootnoteReference"/>
                <w:rFonts w:ascii="Times New Roman" w:hAnsi="Times New Roman" w:cs="Times New Roman"/>
                <w:bCs/>
                <w:iCs/>
                <w:sz w:val="23"/>
                <w:szCs w:val="23"/>
              </w:rPr>
              <w:footnoteReference w:id="18"/>
            </w:r>
          </w:p>
          <w:p w14:paraId="757B4019" w14:textId="77777777" w:rsidR="001872CF" w:rsidRPr="00E869A4" w:rsidRDefault="001872CF" w:rsidP="00F372AF">
            <w:pPr>
              <w:ind w:firstLine="0"/>
              <w:jc w:val="center"/>
              <w:rPr>
                <w:rFonts w:ascii="Times New Roman" w:hAnsi="Times New Roman" w:cs="Times New Roman"/>
                <w:b/>
                <w:bCs/>
                <w:iCs/>
                <w:sz w:val="23"/>
                <w:szCs w:val="23"/>
              </w:rPr>
            </w:pPr>
          </w:p>
        </w:tc>
        <w:tc>
          <w:tcPr>
            <w:tcW w:w="2038" w:type="dxa"/>
          </w:tcPr>
          <w:p w14:paraId="1456E85C" w14:textId="77777777" w:rsidR="001872CF" w:rsidRPr="00E869A4" w:rsidRDefault="001872CF" w:rsidP="00F372AF">
            <w:pPr>
              <w:ind w:firstLine="0"/>
              <w:jc w:val="center"/>
              <w:rPr>
                <w:rFonts w:ascii="Times New Roman" w:hAnsi="Times New Roman" w:cs="Times New Roman"/>
                <w:b/>
                <w:bCs/>
                <w:iCs/>
                <w:sz w:val="23"/>
                <w:szCs w:val="23"/>
              </w:rPr>
            </w:pPr>
            <w:r w:rsidRPr="00E869A4">
              <w:rPr>
                <w:rFonts w:ascii="Times New Roman" w:hAnsi="Times New Roman" w:cs="Times New Roman"/>
                <w:b/>
                <w:bCs/>
                <w:iCs/>
                <w:sz w:val="23"/>
                <w:szCs w:val="23"/>
              </w:rPr>
              <w:t>Health Care Services</w:t>
            </w:r>
          </w:p>
        </w:tc>
      </w:tr>
      <w:tr w:rsidR="00C714D3" w:rsidRPr="00E869A4" w14:paraId="33E08BA6" w14:textId="77777777" w:rsidTr="007A359F">
        <w:trPr>
          <w:cantSplit/>
          <w:trHeight w:val="4168"/>
          <w:jc w:val="center"/>
        </w:trPr>
        <w:tc>
          <w:tcPr>
            <w:tcW w:w="1008" w:type="dxa"/>
            <w:textDirection w:val="btLr"/>
            <w:vAlign w:val="center"/>
          </w:tcPr>
          <w:p w14:paraId="1CEB2F85" w14:textId="77777777" w:rsidR="007A359F" w:rsidRPr="00E7023B" w:rsidRDefault="007A359F" w:rsidP="007A359F">
            <w:pPr>
              <w:ind w:left="113" w:right="113" w:firstLine="0"/>
              <w:jc w:val="center"/>
              <w:rPr>
                <w:rFonts w:ascii="Times New Roman" w:hAnsi="Times New Roman" w:cs="Times New Roman"/>
                <w:b/>
                <w:bCs/>
                <w:iCs/>
                <w:sz w:val="23"/>
                <w:szCs w:val="23"/>
              </w:rPr>
            </w:pPr>
            <w:r w:rsidRPr="00E7023B">
              <w:rPr>
                <w:rFonts w:ascii="Times New Roman" w:hAnsi="Times New Roman" w:cs="Times New Roman"/>
                <w:b/>
                <w:bCs/>
                <w:iCs/>
                <w:sz w:val="23"/>
                <w:szCs w:val="23"/>
              </w:rPr>
              <w:t>Trinidad</w:t>
            </w:r>
          </w:p>
        </w:tc>
        <w:tc>
          <w:tcPr>
            <w:tcW w:w="2475" w:type="dxa"/>
          </w:tcPr>
          <w:p w14:paraId="38BBF996" w14:textId="6F8F0E1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Senior Citizen Grant (non-contributory pension)</w:t>
            </w:r>
          </w:p>
          <w:p w14:paraId="75B2B313" w14:textId="1C84367A"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National Insurance Scheme (contributory pension)</w:t>
            </w:r>
          </w:p>
          <w:p w14:paraId="2FB1CFCB" w14:textId="156360FF"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 xml:space="preserve">Occupational Pension </w:t>
            </w:r>
          </w:p>
          <w:p w14:paraId="0EB60D9C" w14:textId="243BFC28"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Individual /Voluntary Pensions</w:t>
            </w:r>
          </w:p>
        </w:tc>
        <w:tc>
          <w:tcPr>
            <w:tcW w:w="2015" w:type="dxa"/>
          </w:tcPr>
          <w:p w14:paraId="5A205678"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Public Assistance Program</w:t>
            </w:r>
          </w:p>
          <w:p w14:paraId="25A210D0"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Conditional Cash Transfer Program</w:t>
            </w:r>
          </w:p>
          <w:p w14:paraId="556BBF85"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Hardship Relief Program</w:t>
            </w:r>
          </w:p>
          <w:p w14:paraId="219F47DB"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Disability Assistance Grant</w:t>
            </w:r>
          </w:p>
          <w:p w14:paraId="76945DAB"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Urgent Temporary Assistance Program</w:t>
            </w:r>
          </w:p>
          <w:p w14:paraId="34DA6368"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Low Income Settlement Program</w:t>
            </w:r>
          </w:p>
          <w:p w14:paraId="7934C6A0" w14:textId="3924510B"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Low Income Housing</w:t>
            </w:r>
            <w:r w:rsidRPr="00E869A4">
              <w:rPr>
                <w:rFonts w:ascii="Times New Roman" w:hAnsi="Times New Roman" w:cs="Times New Roman"/>
                <w:bCs/>
                <w:iCs/>
                <w:sz w:val="23"/>
                <w:szCs w:val="23"/>
              </w:rPr>
              <w:fldChar w:fldCharType="begin"/>
            </w:r>
            <w:r w:rsidRPr="00E869A4">
              <w:rPr>
                <w:rFonts w:ascii="Times New Roman" w:hAnsi="Times New Roman" w:cs="Times New Roman"/>
                <w:sz w:val="23"/>
                <w:szCs w:val="23"/>
              </w:rPr>
              <w:instrText xml:space="preserve"> XE "Housing" </w:instrText>
            </w:r>
            <w:r w:rsidRPr="00E869A4">
              <w:rPr>
                <w:rFonts w:ascii="Times New Roman" w:hAnsi="Times New Roman" w:cs="Times New Roman"/>
                <w:bCs/>
                <w:iCs/>
                <w:sz w:val="23"/>
                <w:szCs w:val="23"/>
              </w:rPr>
              <w:fldChar w:fldCharType="end"/>
            </w:r>
            <w:r w:rsidRPr="00E869A4">
              <w:rPr>
                <w:rFonts w:ascii="Times New Roman" w:hAnsi="Times New Roman" w:cs="Times New Roman"/>
                <w:bCs/>
                <w:iCs/>
                <w:sz w:val="23"/>
                <w:szCs w:val="23"/>
              </w:rPr>
              <w:t xml:space="preserve"> Program</w:t>
            </w:r>
          </w:p>
        </w:tc>
        <w:tc>
          <w:tcPr>
            <w:tcW w:w="2178" w:type="dxa"/>
          </w:tcPr>
          <w:p w14:paraId="08AFC62D"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Geriatric Adolescent Partnership Programme GAPP)</w:t>
            </w:r>
          </w:p>
          <w:p w14:paraId="5A526D9C"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Senior Activities Centre (SAC)</w:t>
            </w:r>
          </w:p>
          <w:p w14:paraId="2743DB88"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Elderly and Differently Abled Mobile (ELDAMO)</w:t>
            </w:r>
          </w:p>
          <w:p w14:paraId="7149AC6C"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Free access to Public Bus Service</w:t>
            </w:r>
          </w:p>
          <w:p w14:paraId="32689808"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Free inter-island ferry service</w:t>
            </w:r>
          </w:p>
          <w:p w14:paraId="78B4E7BA" w14:textId="719D3ADA"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Older Persons Information Centre</w:t>
            </w:r>
          </w:p>
        </w:tc>
        <w:tc>
          <w:tcPr>
            <w:tcW w:w="2038" w:type="dxa"/>
          </w:tcPr>
          <w:p w14:paraId="029B1CB6"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Chronic Disease Assistance Programme (CDAP)</w:t>
            </w:r>
          </w:p>
          <w:p w14:paraId="13A91B68"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Free public health care</w:t>
            </w:r>
          </w:p>
          <w:p w14:paraId="4F2AB14C" w14:textId="598D1B7B"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External Patient Programme (EPP)</w:t>
            </w:r>
          </w:p>
        </w:tc>
      </w:tr>
      <w:tr w:rsidR="00C714D3" w:rsidRPr="00E869A4" w14:paraId="16BF70CB" w14:textId="77777777" w:rsidTr="007A359F">
        <w:trPr>
          <w:cantSplit/>
          <w:trHeight w:val="1568"/>
          <w:jc w:val="center"/>
        </w:trPr>
        <w:tc>
          <w:tcPr>
            <w:tcW w:w="1008" w:type="dxa"/>
            <w:textDirection w:val="btLr"/>
            <w:vAlign w:val="center"/>
          </w:tcPr>
          <w:p w14:paraId="79BDE909" w14:textId="77777777" w:rsidR="007A359F" w:rsidRPr="00E7023B" w:rsidRDefault="007A359F" w:rsidP="007A359F">
            <w:pPr>
              <w:ind w:left="113" w:right="113" w:firstLine="0"/>
              <w:jc w:val="center"/>
              <w:rPr>
                <w:rFonts w:ascii="Times New Roman" w:hAnsi="Times New Roman" w:cs="Times New Roman"/>
                <w:b/>
                <w:bCs/>
                <w:iCs/>
                <w:sz w:val="23"/>
                <w:szCs w:val="23"/>
              </w:rPr>
            </w:pPr>
            <w:r w:rsidRPr="00E7023B">
              <w:rPr>
                <w:rFonts w:ascii="Times New Roman" w:hAnsi="Times New Roman" w:cs="Times New Roman"/>
                <w:b/>
                <w:bCs/>
                <w:iCs/>
                <w:sz w:val="23"/>
                <w:szCs w:val="23"/>
              </w:rPr>
              <w:t>Tobago</w:t>
            </w:r>
          </w:p>
        </w:tc>
        <w:tc>
          <w:tcPr>
            <w:tcW w:w="2475" w:type="dxa"/>
            <w:vAlign w:val="center"/>
          </w:tcPr>
          <w:p w14:paraId="05A1F3C3" w14:textId="77777777" w:rsidR="007A359F" w:rsidRPr="00E869A4" w:rsidRDefault="007A359F" w:rsidP="00F372AF">
            <w:pPr>
              <w:ind w:firstLine="0"/>
              <w:rPr>
                <w:rFonts w:ascii="Times New Roman" w:hAnsi="Times New Roman" w:cs="Times New Roman"/>
                <w:bCs/>
                <w:iCs/>
                <w:sz w:val="23"/>
                <w:szCs w:val="23"/>
              </w:rPr>
            </w:pPr>
            <w:r w:rsidRPr="00E869A4">
              <w:rPr>
                <w:rFonts w:ascii="Times New Roman" w:hAnsi="Times New Roman" w:cs="Times New Roman"/>
                <w:bCs/>
                <w:iCs/>
                <w:sz w:val="23"/>
                <w:szCs w:val="23"/>
              </w:rPr>
              <w:t>(As above)</w:t>
            </w:r>
          </w:p>
        </w:tc>
        <w:tc>
          <w:tcPr>
            <w:tcW w:w="2015" w:type="dxa"/>
            <w:vAlign w:val="center"/>
          </w:tcPr>
          <w:p w14:paraId="31112C20" w14:textId="77777777" w:rsidR="007A359F" w:rsidRPr="00E869A4" w:rsidRDefault="007A359F" w:rsidP="00F372AF">
            <w:pPr>
              <w:ind w:firstLine="0"/>
              <w:rPr>
                <w:rFonts w:ascii="Times New Roman" w:hAnsi="Times New Roman" w:cs="Times New Roman"/>
                <w:bCs/>
                <w:iCs/>
                <w:sz w:val="23"/>
                <w:szCs w:val="23"/>
              </w:rPr>
            </w:pPr>
            <w:r w:rsidRPr="00E869A4">
              <w:rPr>
                <w:rFonts w:ascii="Times New Roman" w:hAnsi="Times New Roman" w:cs="Times New Roman"/>
                <w:bCs/>
                <w:iCs/>
                <w:sz w:val="23"/>
                <w:szCs w:val="23"/>
              </w:rPr>
              <w:t>(As above)</w:t>
            </w:r>
          </w:p>
        </w:tc>
        <w:tc>
          <w:tcPr>
            <w:tcW w:w="2178" w:type="dxa"/>
          </w:tcPr>
          <w:p w14:paraId="25CF20C4" w14:textId="77777777"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Golden Apple Partnership Services</w:t>
            </w:r>
          </w:p>
          <w:p w14:paraId="7AD68882" w14:textId="1628B528" w:rsidR="007A359F" w:rsidRPr="00E869A4" w:rsidRDefault="007A359F" w:rsidP="009D4C5D">
            <w:pPr>
              <w:pStyle w:val="ListParagraph"/>
              <w:numPr>
                <w:ilvl w:val="0"/>
                <w:numId w:val="77"/>
              </w:numPr>
              <w:ind w:left="294" w:hanging="213"/>
              <w:rPr>
                <w:rFonts w:ascii="Times New Roman" w:hAnsi="Times New Roman" w:cs="Times New Roman"/>
                <w:bCs/>
                <w:iCs/>
                <w:sz w:val="23"/>
                <w:szCs w:val="23"/>
              </w:rPr>
            </w:pPr>
            <w:r w:rsidRPr="00E869A4">
              <w:rPr>
                <w:rFonts w:ascii="Times New Roman" w:hAnsi="Times New Roman" w:cs="Times New Roman"/>
                <w:bCs/>
                <w:iCs/>
                <w:sz w:val="23"/>
                <w:szCs w:val="23"/>
              </w:rPr>
              <w:t>Reduced / no fee at paid public beaches e.g. Pigeon Point</w:t>
            </w:r>
          </w:p>
        </w:tc>
        <w:tc>
          <w:tcPr>
            <w:tcW w:w="2038" w:type="dxa"/>
            <w:vAlign w:val="center"/>
          </w:tcPr>
          <w:p w14:paraId="133FEEF9" w14:textId="77777777" w:rsidR="007A359F" w:rsidRPr="00E869A4" w:rsidRDefault="007A359F" w:rsidP="00F372AF">
            <w:pPr>
              <w:ind w:firstLine="0"/>
              <w:rPr>
                <w:rFonts w:ascii="Times New Roman" w:hAnsi="Times New Roman" w:cs="Times New Roman"/>
                <w:bCs/>
                <w:iCs/>
                <w:sz w:val="23"/>
                <w:szCs w:val="23"/>
              </w:rPr>
            </w:pPr>
            <w:r w:rsidRPr="00E869A4">
              <w:rPr>
                <w:rFonts w:ascii="Times New Roman" w:hAnsi="Times New Roman" w:cs="Times New Roman"/>
                <w:bCs/>
                <w:iCs/>
                <w:sz w:val="23"/>
                <w:szCs w:val="23"/>
              </w:rPr>
              <w:t>(As above)</w:t>
            </w:r>
          </w:p>
        </w:tc>
      </w:tr>
    </w:tbl>
    <w:p w14:paraId="421547CB" w14:textId="77777777" w:rsidR="00E7023B" w:rsidRDefault="00E7023B" w:rsidP="00F372AF">
      <w:pPr>
        <w:ind w:firstLine="0"/>
        <w:rPr>
          <w:rFonts w:ascii="Times New Roman" w:hAnsi="Times New Roman" w:cs="Times New Roman"/>
        </w:rPr>
      </w:pPr>
    </w:p>
    <w:p w14:paraId="7BCC5330" w14:textId="13CAC50D" w:rsidR="0033241B" w:rsidRDefault="00E7023B" w:rsidP="00E7023B">
      <w:pPr>
        <w:rPr>
          <w:rFonts w:ascii="Times New Roman" w:hAnsi="Times New Roman" w:cs="Times New Roman"/>
        </w:rPr>
      </w:pPr>
      <w:r w:rsidRPr="00E869A4">
        <w:rPr>
          <w:rFonts w:ascii="Times New Roman" w:hAnsi="Times New Roman" w:cs="Times New Roman"/>
        </w:rPr>
        <w:t xml:space="preserve">Table 2 </w:t>
      </w:r>
      <w:r>
        <w:rPr>
          <w:rFonts w:ascii="Times New Roman" w:hAnsi="Times New Roman" w:cs="Times New Roman"/>
        </w:rPr>
        <w:t>above</w:t>
      </w:r>
      <w:r w:rsidRPr="00E869A4">
        <w:rPr>
          <w:rFonts w:ascii="Times New Roman" w:hAnsi="Times New Roman" w:cs="Times New Roman"/>
        </w:rPr>
        <w:t xml:space="preserve">, presents a summary of state services provided to older persons and their family caregivers in T&amp;T. Most of the programmes do not specifically target older persons but their characteristics suggest that older persons may benefit from these programmes. Further information on </w:t>
      </w:r>
      <w:r w:rsidRPr="00E869A4">
        <w:rPr>
          <w:rFonts w:ascii="Times New Roman" w:hAnsi="Times New Roman" w:cs="Times New Roman"/>
        </w:rPr>
        <w:lastRenderedPageBreak/>
        <w:t xml:space="preserve">each of these programmes is presented in Appendix 1. The sections that follow provide an overview of the health services available to older persons in T&amp;T. </w:t>
      </w:r>
    </w:p>
    <w:p w14:paraId="64F64129" w14:textId="77777777" w:rsidR="00E7023B" w:rsidRPr="00E869A4" w:rsidRDefault="00E7023B" w:rsidP="00E7023B">
      <w:pPr>
        <w:rPr>
          <w:rFonts w:ascii="Times New Roman" w:hAnsi="Times New Roman" w:cs="Times New Roman"/>
        </w:rPr>
      </w:pPr>
    </w:p>
    <w:p w14:paraId="483DFC48" w14:textId="582DE880" w:rsidR="0079226B" w:rsidRPr="00E869A4" w:rsidRDefault="0079226B" w:rsidP="005C449C">
      <w:pPr>
        <w:pStyle w:val="Heading3"/>
      </w:pPr>
      <w:bookmarkStart w:id="37" w:name="_Toc40436456"/>
      <w:r w:rsidRPr="00E869A4">
        <w:t>1.</w:t>
      </w:r>
      <w:r w:rsidR="00B364F8" w:rsidRPr="00E869A4">
        <w:t>2</w:t>
      </w:r>
      <w:r w:rsidR="00BE40EF">
        <w:t>.8</w:t>
      </w:r>
      <w:r w:rsidR="00BE40EF" w:rsidRPr="00E869A4">
        <w:t xml:space="preserve">     </w:t>
      </w:r>
      <w:r w:rsidRPr="00E869A4">
        <w:t>Health Care</w:t>
      </w:r>
      <w:bookmarkEnd w:id="37"/>
    </w:p>
    <w:p w14:paraId="0D043D1C" w14:textId="77777777" w:rsidR="0079226B" w:rsidRPr="00E869A4" w:rsidRDefault="0079226B" w:rsidP="0051234F">
      <w:pPr>
        <w:pStyle w:val="112"/>
        <w:rPr>
          <w:color w:val="auto"/>
        </w:rPr>
      </w:pPr>
    </w:p>
    <w:p w14:paraId="21193711" w14:textId="6DC9D023" w:rsidR="0079226B" w:rsidRPr="00E869A4" w:rsidRDefault="0079226B" w:rsidP="0079226B">
      <w:pPr>
        <w:rPr>
          <w:rFonts w:ascii="Times New Roman" w:hAnsi="Times New Roman" w:cs="Times New Roman"/>
        </w:rPr>
      </w:pPr>
      <w:r w:rsidRPr="00E869A4">
        <w:rPr>
          <w:rFonts w:ascii="Times New Roman" w:hAnsi="Times New Roman" w:cs="Times New Roman"/>
        </w:rPr>
        <w:t xml:space="preserve">Over the last two decades, T&amp;T’s health care system has performed moderately well when compared to other CARICOM territories. In 2000, the country placed sixty-seventh (67th) globally and fourth (4th) among its CARICOM counterparts for its health system performance (WHO 2000). The country ranked relatively high when compared to other Caribbean territories on fairness in financial contribution, health expenditure and overall goal attainment (Murray et al. 2000; WHO 2000). In response to a question in the WVS </w:t>
      </w:r>
      <w:r w:rsidR="00F307EB" w:rsidRPr="00E869A4">
        <w:rPr>
          <w:rFonts w:ascii="Times New Roman" w:hAnsi="Times New Roman" w:cs="Times New Roman"/>
        </w:rPr>
        <w:t xml:space="preserve">(2010) </w:t>
      </w:r>
      <w:r w:rsidRPr="00E869A4">
        <w:rPr>
          <w:rFonts w:ascii="Times New Roman" w:hAnsi="Times New Roman" w:cs="Times New Roman"/>
        </w:rPr>
        <w:t xml:space="preserve">about whether or not the participant or their family went without needed medicine or treatment in the last 12 months, most respondents (76%) revealed that they never had this experience (Worcester &amp; Gill 2016). In 2001, total health expenditure per capita Purchasing Power Parity (PPP) was $598 for T&amp;T, which placed the country in 5th place out of fourteen (14) </w:t>
      </w:r>
      <w:r w:rsidRPr="00E869A4">
        <w:rPr>
          <w:lang w:val="en-TT"/>
        </w:rPr>
        <w:t>Organisation of Eastern Caribbean States</w:t>
      </w:r>
      <w:r w:rsidRPr="00E869A4">
        <w:rPr>
          <w:rFonts w:ascii="Times New Roman" w:hAnsi="Times New Roman" w:cs="Times New Roman"/>
        </w:rPr>
        <w:t xml:space="preserve"> (OECS) and other Caribbean territories on this indicator.</w:t>
      </w:r>
    </w:p>
    <w:p w14:paraId="5F625074" w14:textId="77777777" w:rsidR="0079226B" w:rsidRPr="00E869A4" w:rsidRDefault="0079226B" w:rsidP="0079226B">
      <w:pPr>
        <w:rPr>
          <w:rFonts w:ascii="Times New Roman" w:hAnsi="Times New Roman" w:cs="Times New Roman"/>
        </w:rPr>
      </w:pPr>
    </w:p>
    <w:p w14:paraId="59B564B4" w14:textId="7242C3E6" w:rsidR="0079226B" w:rsidRPr="00E869A4" w:rsidRDefault="0079226B" w:rsidP="0079226B">
      <w:pPr>
        <w:rPr>
          <w:rFonts w:ascii="Times New Roman" w:hAnsi="Times New Roman" w:cs="Times New Roman"/>
        </w:rPr>
      </w:pPr>
      <w:r w:rsidRPr="00E869A4">
        <w:rPr>
          <w:rFonts w:ascii="Times New Roman" w:hAnsi="Times New Roman" w:cs="Times New Roman"/>
        </w:rPr>
        <w:t xml:space="preserve">Whilst the per capita expenditure on health care for T&amp;T is above that of the LAC and the world average, a significant proportion of this is out-of-pocket (OOP), more so than what obtains in the LAC region. In 2014, OOP expenditure for T&amp;T (37.98%) was even higher than what obtained in Haiti (34.82%) which is the region’s poorest nation. This suggests that a disproportionate number of persons may be unable to afford suitable health care in T&amp;T when compared to citizens in other LAC territories. Furthermore, the percentage of the country’s GDP spent on health care has been much lower than other LACs with its most recent expenditure being estimated to be about 5.9% (Randall 2017; UNECLAC 2017; Worldometers 2017). </w:t>
      </w:r>
      <w:r w:rsidR="00F307EB" w:rsidRPr="00E869A4">
        <w:rPr>
          <w:rFonts w:ascii="Times New Roman" w:hAnsi="Times New Roman" w:cs="Times New Roman"/>
        </w:rPr>
        <w:t xml:space="preserve">In light of these trends, commentators like </w:t>
      </w:r>
      <w:r w:rsidRPr="00E869A4">
        <w:rPr>
          <w:rFonts w:ascii="Times New Roman" w:hAnsi="Times New Roman" w:cs="Times New Roman"/>
        </w:rPr>
        <w:t xml:space="preserve">Welch and colleagues </w:t>
      </w:r>
      <w:r w:rsidR="00894901" w:rsidRPr="00E869A4">
        <w:rPr>
          <w:rFonts w:ascii="Times New Roman" w:hAnsi="Times New Roman" w:cs="Times New Roman"/>
        </w:rPr>
        <w:t>(2016a, p</w:t>
      </w:r>
      <w:r w:rsidR="00D532BC" w:rsidRPr="00E869A4">
        <w:rPr>
          <w:rFonts w:ascii="Times New Roman" w:hAnsi="Times New Roman" w:cs="Times New Roman"/>
        </w:rPr>
        <w:t>. 5</w:t>
      </w:r>
      <w:r w:rsidR="00894901" w:rsidRPr="00E869A4">
        <w:rPr>
          <w:rFonts w:ascii="Times New Roman" w:hAnsi="Times New Roman" w:cs="Times New Roman"/>
        </w:rPr>
        <w:t xml:space="preserve">) </w:t>
      </w:r>
      <w:r w:rsidRPr="00E869A4">
        <w:rPr>
          <w:rFonts w:ascii="Times New Roman" w:hAnsi="Times New Roman" w:cs="Times New Roman"/>
        </w:rPr>
        <w:t>sum</w:t>
      </w:r>
      <w:r w:rsidR="004B0D3B" w:rsidRPr="00E869A4">
        <w:rPr>
          <w:rFonts w:ascii="Times New Roman" w:hAnsi="Times New Roman" w:cs="Times New Roman"/>
        </w:rPr>
        <w:t>med</w:t>
      </w:r>
      <w:r w:rsidRPr="00E869A4">
        <w:rPr>
          <w:rFonts w:ascii="Times New Roman" w:hAnsi="Times New Roman" w:cs="Times New Roman"/>
        </w:rPr>
        <w:t xml:space="preserve"> up the country’s performance as follows: </w:t>
      </w:r>
    </w:p>
    <w:p w14:paraId="1EE5432E" w14:textId="77777777" w:rsidR="0079226B" w:rsidRPr="00E869A4" w:rsidRDefault="0079226B" w:rsidP="003E23F9">
      <w:pPr>
        <w:autoSpaceDE w:val="0"/>
        <w:autoSpaceDN w:val="0"/>
        <w:adjustRightInd w:val="0"/>
        <w:spacing w:line="240" w:lineRule="auto"/>
        <w:ind w:firstLine="720"/>
        <w:rPr>
          <w:rFonts w:ascii="Times New Roman" w:hAnsi="Times New Roman" w:cs="Times New Roman"/>
        </w:rPr>
      </w:pPr>
    </w:p>
    <w:p w14:paraId="5C4F03DE" w14:textId="7B61C85C" w:rsidR="0079226B" w:rsidRPr="00E869A4" w:rsidRDefault="0079226B" w:rsidP="00DA2284">
      <w:pPr>
        <w:spacing w:line="240" w:lineRule="auto"/>
        <w:ind w:left="567" w:firstLine="0"/>
        <w:rPr>
          <w:rFonts w:ascii="Times New Roman" w:hAnsi="Times New Roman" w:cs="Times New Roman"/>
        </w:rPr>
      </w:pPr>
      <w:r w:rsidRPr="00E869A4">
        <w:rPr>
          <w:rFonts w:ascii="Times New Roman" w:hAnsi="Times New Roman" w:cs="Times New Roman"/>
        </w:rPr>
        <w:t>[W]hat we seem to have in Trinidad and Tobago is a situation where in spite of the high and increasing level of expenditure on health, including a very high out-of-pocket (OOP) expenditure, almost 40% …</w:t>
      </w:r>
      <w:r w:rsidR="00894901" w:rsidRPr="00E869A4">
        <w:rPr>
          <w:rFonts w:ascii="Times New Roman" w:hAnsi="Times New Roman" w:cs="Times New Roman"/>
        </w:rPr>
        <w:t xml:space="preserve"> </w:t>
      </w:r>
      <w:r w:rsidRPr="00E869A4">
        <w:rPr>
          <w:rFonts w:ascii="Times New Roman" w:hAnsi="Times New Roman" w:cs="Times New Roman"/>
        </w:rPr>
        <w:t>there is a strong sense that the health system is not performing to the best that it could.</w:t>
      </w:r>
    </w:p>
    <w:p w14:paraId="01ABEF7C" w14:textId="77777777" w:rsidR="0007793C" w:rsidRPr="00E869A4" w:rsidRDefault="0007793C" w:rsidP="003E23F9">
      <w:pPr>
        <w:autoSpaceDE w:val="0"/>
        <w:autoSpaceDN w:val="0"/>
        <w:adjustRightInd w:val="0"/>
        <w:spacing w:line="240" w:lineRule="auto"/>
        <w:ind w:firstLine="720"/>
        <w:rPr>
          <w:rFonts w:ascii="Times New Roman" w:hAnsi="Times New Roman" w:cs="Times New Roman"/>
        </w:rPr>
      </w:pPr>
    </w:p>
    <w:p w14:paraId="5E54326A" w14:textId="46C80720" w:rsidR="0079226B" w:rsidRPr="00E869A4" w:rsidRDefault="0079226B" w:rsidP="0079226B">
      <w:pPr>
        <w:rPr>
          <w:rFonts w:ascii="Times New Roman" w:hAnsi="Times New Roman" w:cs="Times New Roman"/>
        </w:rPr>
      </w:pPr>
      <w:r w:rsidRPr="00E869A4">
        <w:rPr>
          <w:rFonts w:ascii="Times New Roman" w:hAnsi="Times New Roman" w:cs="Times New Roman"/>
        </w:rPr>
        <w:t xml:space="preserve">The lacklustre health profile of T&amp;T relative to the country’s investment in the sector is largely a result of inadequacies and inefficiencies in its health system. Like many OECD and Commonwealth </w:t>
      </w:r>
      <w:r w:rsidRPr="00E869A4">
        <w:rPr>
          <w:rFonts w:ascii="Times New Roman" w:hAnsi="Times New Roman" w:cs="Times New Roman"/>
        </w:rPr>
        <w:lastRenderedPageBreak/>
        <w:t>countries (e.g. the UK and the Netherlands), T&amp;T has a two-tiered health care system that consists of: 1) public health care provision which is universal for nationals but generally characterised by delayed service provision</w:t>
      </w:r>
      <w:r w:rsidR="00CC3CF0" w:rsidRPr="00E869A4">
        <w:rPr>
          <w:rFonts w:ascii="Times New Roman" w:hAnsi="Times New Roman" w:cs="Times New Roman"/>
        </w:rPr>
        <w:t>;</w:t>
      </w:r>
      <w:r w:rsidRPr="00E869A4">
        <w:rPr>
          <w:rFonts w:ascii="Times New Roman" w:hAnsi="Times New Roman" w:cs="Times New Roman"/>
        </w:rPr>
        <w:t xml:space="preserve"> and, 2) a private health care stream which has relatively shorter delays but is provided at a cost (</w:t>
      </w:r>
      <w:r w:rsidRPr="00E869A4">
        <w:rPr>
          <w:rFonts w:ascii="Times New Roman" w:eastAsiaTheme="minorHAnsi" w:hAnsi="Times New Roman" w:cs="Times New Roman"/>
          <w:szCs w:val="24"/>
          <w:lang w:val="en-TT" w:eastAsia="en-US"/>
        </w:rPr>
        <w:t>Chen, Zhang &amp; Hua</w:t>
      </w:r>
      <w:r w:rsidRPr="00E869A4">
        <w:rPr>
          <w:rFonts w:ascii="Times New Roman" w:hAnsi="Times New Roman" w:cs="Times New Roman"/>
        </w:rPr>
        <w:t xml:space="preserve"> 2015). The Ministry of Health in T&amp;T is the agency responsible for leading the health sector. Its role involves, </w:t>
      </w:r>
      <w:r w:rsidRPr="00E869A4">
        <w:rPr>
          <w:rFonts w:ascii="Times New Roman" w:hAnsi="Times New Roman" w:cs="Times New Roman"/>
          <w:i/>
        </w:rPr>
        <w:t>inter alia</w:t>
      </w:r>
      <w:r w:rsidRPr="00E869A4">
        <w:rPr>
          <w:rFonts w:ascii="Times New Roman" w:hAnsi="Times New Roman" w:cs="Times New Roman"/>
        </w:rPr>
        <w:t>, setting the national health agenda, developing legislation, regulation, providing technical assistance in the area of policy development and financing pub</w:t>
      </w:r>
      <w:r w:rsidR="00DA2284" w:rsidRPr="00E869A4">
        <w:rPr>
          <w:rFonts w:ascii="Times New Roman" w:hAnsi="Times New Roman" w:cs="Times New Roman"/>
        </w:rPr>
        <w:t>lic health facilities (PAHO/WHO</w:t>
      </w:r>
      <w:r w:rsidRPr="00E869A4">
        <w:rPr>
          <w:rFonts w:ascii="Times New Roman" w:hAnsi="Times New Roman" w:cs="Times New Roman"/>
        </w:rPr>
        <w:t xml:space="preserve"> 2008).  </w:t>
      </w:r>
    </w:p>
    <w:p w14:paraId="5F1EF362" w14:textId="77777777" w:rsidR="0079226B" w:rsidRPr="00E869A4" w:rsidRDefault="0079226B" w:rsidP="0079226B">
      <w:pPr>
        <w:rPr>
          <w:rFonts w:ascii="Times New Roman" w:hAnsi="Times New Roman" w:cs="Times New Roman"/>
        </w:rPr>
      </w:pPr>
    </w:p>
    <w:p w14:paraId="06207475" w14:textId="715DA132" w:rsidR="00D259BB" w:rsidRPr="00E869A4" w:rsidRDefault="0079226B" w:rsidP="0079226B">
      <w:pPr>
        <w:rPr>
          <w:rFonts w:ascii="Times New Roman" w:hAnsi="Times New Roman" w:cs="Times New Roman"/>
        </w:rPr>
      </w:pPr>
      <w:r w:rsidRPr="00E869A4">
        <w:rPr>
          <w:rFonts w:ascii="Times New Roman" w:hAnsi="Times New Roman" w:cs="Times New Roman"/>
        </w:rPr>
        <w:t>One of the current stated objectives of the public health care system in T&amp;T is to provide universal health care coverage (UHC) to its citizens (PAHO 2006; Welch et al. 2016). Health care provision occurs to a large extent via publicly owned hospitals and health centres, and the G</w:t>
      </w:r>
      <w:r w:rsidR="002E23F7" w:rsidRPr="00E869A4">
        <w:rPr>
          <w:rFonts w:ascii="Times New Roman" w:hAnsi="Times New Roman" w:cs="Times New Roman"/>
        </w:rPr>
        <w:t>O</w:t>
      </w:r>
      <w:r w:rsidRPr="00E869A4">
        <w:rPr>
          <w:rFonts w:ascii="Times New Roman" w:hAnsi="Times New Roman" w:cs="Times New Roman"/>
        </w:rPr>
        <w:t xml:space="preserve">RTT pays employees in the public health care system. No medical bills are generated for citizens using public facilities as the State covers the cost. However, there are some instances where patients are referred by public health care </w:t>
      </w:r>
      <w:r w:rsidR="00D259BB" w:rsidRPr="00E869A4">
        <w:rPr>
          <w:rFonts w:ascii="Times New Roman" w:hAnsi="Times New Roman" w:cs="Times New Roman"/>
        </w:rPr>
        <w:t>organisations</w:t>
      </w:r>
      <w:r w:rsidRPr="00E869A4">
        <w:rPr>
          <w:rFonts w:ascii="Times New Roman" w:hAnsi="Times New Roman" w:cs="Times New Roman"/>
        </w:rPr>
        <w:t xml:space="preserve"> to private agencies</w:t>
      </w:r>
      <w:r w:rsidR="00D259BB" w:rsidRPr="00E869A4">
        <w:rPr>
          <w:rFonts w:ascii="Times New Roman" w:hAnsi="Times New Roman" w:cs="Times New Roman"/>
        </w:rPr>
        <w:t>,</w:t>
      </w:r>
      <w:r w:rsidRPr="00E869A4">
        <w:rPr>
          <w:rFonts w:ascii="Times New Roman" w:hAnsi="Times New Roman" w:cs="Times New Roman"/>
        </w:rPr>
        <w:t xml:space="preserve"> for services that are not available in the public health agencies, such as for specialised tests.  Generally</w:t>
      </w:r>
      <w:r w:rsidR="002E23F7" w:rsidRPr="00E869A4">
        <w:rPr>
          <w:rFonts w:ascii="Times New Roman" w:hAnsi="Times New Roman" w:cs="Times New Roman"/>
        </w:rPr>
        <w:t>,</w:t>
      </w:r>
      <w:r w:rsidRPr="00E869A4">
        <w:rPr>
          <w:rFonts w:ascii="Times New Roman" w:hAnsi="Times New Roman" w:cs="Times New Roman"/>
        </w:rPr>
        <w:t xml:space="preserve"> the relationship between public and private health care provision in T&amp;T is similar to what exists in many Caribbean territories where “provision of services is based more on competitive rather than complementary operations</w:t>
      </w:r>
      <w:r w:rsidR="00946DE8" w:rsidRPr="00E869A4">
        <w:rPr>
          <w:rFonts w:ascii="Times New Roman" w:hAnsi="Times New Roman" w:cs="Times New Roman"/>
        </w:rPr>
        <w:t>.</w:t>
      </w:r>
      <w:r w:rsidR="00D259BB" w:rsidRPr="00E869A4">
        <w:rPr>
          <w:rFonts w:ascii="Times New Roman" w:hAnsi="Times New Roman" w:cs="Times New Roman"/>
        </w:rPr>
        <w:t>” (PAHO 2006</w:t>
      </w:r>
      <w:r w:rsidR="004B0D3B" w:rsidRPr="00E869A4">
        <w:rPr>
          <w:rFonts w:ascii="Times New Roman" w:hAnsi="Times New Roman" w:cs="Times New Roman"/>
        </w:rPr>
        <w:t xml:space="preserve">, p. </w:t>
      </w:r>
      <w:r w:rsidR="00AB14E6" w:rsidRPr="00E869A4">
        <w:rPr>
          <w:rFonts w:ascii="Times New Roman" w:hAnsi="Times New Roman" w:cs="Times New Roman"/>
        </w:rPr>
        <w:t>89</w:t>
      </w:r>
      <w:r w:rsidR="00D259BB" w:rsidRPr="00E869A4">
        <w:rPr>
          <w:rFonts w:ascii="Times New Roman" w:hAnsi="Times New Roman" w:cs="Times New Roman"/>
        </w:rPr>
        <w:t>). The fractures in the health care system have dire effects on the overall wellbeing of older persons, as well as their family caregivers.</w:t>
      </w:r>
    </w:p>
    <w:p w14:paraId="59722338" w14:textId="22A2065A" w:rsidR="000E3D25" w:rsidRPr="00E869A4" w:rsidRDefault="000E3D25">
      <w:pPr>
        <w:rPr>
          <w:rFonts w:ascii="Times New Roman" w:eastAsiaTheme="majorEastAsia" w:hAnsi="Times New Roman" w:cs="Times New Roman"/>
          <w:b/>
          <w:bCs/>
          <w:szCs w:val="26"/>
          <w:u w:val="single"/>
        </w:rPr>
      </w:pPr>
    </w:p>
    <w:p w14:paraId="59933C53" w14:textId="3C9D5E79" w:rsidR="000201A8" w:rsidRPr="00E869A4" w:rsidRDefault="000201A8" w:rsidP="000201A8">
      <w:pPr>
        <w:pStyle w:val="Heading2"/>
      </w:pPr>
      <w:bookmarkStart w:id="38" w:name="_Toc40436457"/>
      <w:r w:rsidRPr="00E869A4">
        <w:t>1.</w:t>
      </w:r>
      <w:r w:rsidR="00094B71" w:rsidRPr="00E869A4">
        <w:t>3</w:t>
      </w:r>
      <w:r w:rsidRPr="00E869A4">
        <w:t xml:space="preserve"> RESEARCH QUESTIONS</w:t>
      </w:r>
      <w:bookmarkEnd w:id="38"/>
    </w:p>
    <w:p w14:paraId="007E189E" w14:textId="77777777" w:rsidR="000201A8" w:rsidRPr="00E869A4" w:rsidRDefault="000201A8" w:rsidP="000201A8">
      <w:pPr>
        <w:pStyle w:val="FootnoteText"/>
        <w:spacing w:line="360" w:lineRule="auto"/>
        <w:rPr>
          <w:rFonts w:ascii="Times New Roman" w:hAnsi="Times New Roman" w:cs="Times New Roman"/>
          <w:sz w:val="24"/>
          <w:szCs w:val="24"/>
        </w:rPr>
      </w:pPr>
    </w:p>
    <w:p w14:paraId="00831E6C" w14:textId="36135DEC" w:rsidR="000201A8" w:rsidRPr="00E869A4" w:rsidRDefault="00CB7F6F" w:rsidP="000201A8">
      <w:pPr>
        <w:spacing w:before="240" w:after="240"/>
      </w:pPr>
      <w:r w:rsidRPr="00E869A4">
        <w:t xml:space="preserve">In light of the ageing population of T&amp;T and </w:t>
      </w:r>
      <w:r w:rsidR="003113FE" w:rsidRPr="00E869A4">
        <w:t xml:space="preserve">the </w:t>
      </w:r>
      <w:r w:rsidRPr="00E869A4">
        <w:t>limited research on care for older persons in the country, t</w:t>
      </w:r>
      <w:r w:rsidR="000201A8" w:rsidRPr="00E869A4">
        <w:t>his thesis provides sociological and social policy insights regarding family c</w:t>
      </w:r>
      <w:r w:rsidRPr="00E869A4">
        <w:t xml:space="preserve">are for frail older persons </w:t>
      </w:r>
      <w:r w:rsidR="000201A8" w:rsidRPr="00E869A4">
        <w:t xml:space="preserve">in </w:t>
      </w:r>
      <w:r w:rsidRPr="00E869A4">
        <w:t>this twin island developing nation</w:t>
      </w:r>
      <w:r w:rsidR="000201A8" w:rsidRPr="00E869A4">
        <w:t>. More specifically, this study focuses on answering the following research questions:</w:t>
      </w:r>
    </w:p>
    <w:p w14:paraId="4132D17A" w14:textId="77777777" w:rsidR="000201A8" w:rsidRPr="00E869A4" w:rsidRDefault="000201A8" w:rsidP="000201A8">
      <w:pPr>
        <w:spacing w:before="240" w:after="240"/>
      </w:pPr>
      <w:r w:rsidRPr="00E869A4">
        <w:t xml:space="preserve">1. </w:t>
      </w:r>
      <w:r w:rsidRPr="00E869A4">
        <w:rPr>
          <w:i/>
          <w:iCs/>
        </w:rPr>
        <w:t>Determinants of caregiving</w:t>
      </w:r>
      <w:r w:rsidRPr="00E869A4">
        <w:t>: What are the factors contributing to a person adopting the role of family caregiver for a frail older person?</w:t>
      </w:r>
    </w:p>
    <w:p w14:paraId="559B1C28" w14:textId="77777777" w:rsidR="000201A8" w:rsidRPr="00E869A4" w:rsidRDefault="000201A8" w:rsidP="000201A8">
      <w:pPr>
        <w:spacing w:before="240" w:after="240"/>
      </w:pPr>
      <w:r w:rsidRPr="00E869A4">
        <w:t xml:space="preserve">2. </w:t>
      </w:r>
      <w:r w:rsidRPr="00E869A4">
        <w:rPr>
          <w:i/>
          <w:iCs/>
        </w:rPr>
        <w:t>Experiences of care</w:t>
      </w:r>
      <w:r w:rsidRPr="00E869A4">
        <w:t>: How do family caregivers and their frail older relatives experience the caring situation? What are the benefits and challenges of providing care?</w:t>
      </w:r>
    </w:p>
    <w:p w14:paraId="3A940C2A" w14:textId="77777777" w:rsidR="000201A8" w:rsidRPr="00E869A4" w:rsidRDefault="000201A8" w:rsidP="000201A8">
      <w:pPr>
        <w:spacing w:before="240" w:after="240"/>
      </w:pPr>
      <w:r w:rsidRPr="00E869A4">
        <w:lastRenderedPageBreak/>
        <w:t xml:space="preserve">3. </w:t>
      </w:r>
      <w:r w:rsidRPr="00E869A4">
        <w:rPr>
          <w:i/>
          <w:iCs/>
        </w:rPr>
        <w:t>Care Management Strategies</w:t>
      </w:r>
      <w:r w:rsidRPr="00E869A4">
        <w:t>: What are the strategies used by family caregivers and their frail older relatives to manage the caring experience?</w:t>
      </w:r>
    </w:p>
    <w:p w14:paraId="5CA374BB" w14:textId="77777777" w:rsidR="000201A8" w:rsidRPr="00E869A4" w:rsidRDefault="000201A8" w:rsidP="000201A8">
      <w:pPr>
        <w:spacing w:before="240" w:after="240"/>
      </w:pPr>
      <w:r w:rsidRPr="00E869A4">
        <w:t xml:space="preserve">4. </w:t>
      </w:r>
      <w:r w:rsidRPr="00E869A4">
        <w:rPr>
          <w:i/>
          <w:iCs/>
        </w:rPr>
        <w:t>Social Policy Solutions</w:t>
      </w:r>
      <w:r w:rsidRPr="00E869A4">
        <w:t>: What are the social service needs of frail older persons and family caregivers and what culturally appropriate social policy solutions can be employed to address these needs?</w:t>
      </w:r>
    </w:p>
    <w:p w14:paraId="7EFD3F13" w14:textId="57D4258B" w:rsidR="00587CDA" w:rsidRPr="00E869A4" w:rsidRDefault="007F39EA" w:rsidP="00B364F8">
      <w:r w:rsidRPr="00E869A4">
        <w:t xml:space="preserve">Given the distinct yet inter-related nature of the questions asked, various theoretical perspectives and </w:t>
      </w:r>
      <w:r w:rsidR="00592D07" w:rsidRPr="00E869A4">
        <w:t>conceptual frameworks were adopted to design this</w:t>
      </w:r>
      <w:r w:rsidRPr="00E869A4">
        <w:t xml:space="preserve"> study and analyse the data obtained. These included </w:t>
      </w:r>
      <w:r w:rsidRPr="00E869A4">
        <w:rPr>
          <w:i/>
        </w:rPr>
        <w:t>inter alia</w:t>
      </w:r>
      <w:r w:rsidRPr="00E869A4">
        <w:t>: symbolic interactionism (SI)</w:t>
      </w:r>
      <w:r w:rsidR="00592D07" w:rsidRPr="00E869A4">
        <w:t>;</w:t>
      </w:r>
      <w:r w:rsidRPr="00E869A4">
        <w:t xml:space="preserve"> the hierarchy of preference that underpins frameworks such as Cantor’s (1979) Hierarchical Compensatory Theory (HCT)</w:t>
      </w:r>
      <w:r w:rsidR="00592D07" w:rsidRPr="00E869A4">
        <w:t>;</w:t>
      </w:r>
      <w:r w:rsidRPr="00E869A4">
        <w:t xml:space="preserve"> Wise, Sneed and Berry’s (2011) family ecological systems (FES) theory</w:t>
      </w:r>
      <w:r w:rsidR="00592D07" w:rsidRPr="00E869A4">
        <w:t>;</w:t>
      </w:r>
      <w:r w:rsidRPr="00E869A4">
        <w:t xml:space="preserve"> the </w:t>
      </w:r>
      <w:r w:rsidR="00592D07" w:rsidRPr="00E869A4">
        <w:t xml:space="preserve">sociological ambivalence framework; the </w:t>
      </w:r>
      <w:r w:rsidRPr="00E869A4">
        <w:t>political economy perspective</w:t>
      </w:r>
      <w:r w:rsidR="00592D07" w:rsidRPr="00E869A4">
        <w:t>;</w:t>
      </w:r>
      <w:r w:rsidR="00612FC4" w:rsidRPr="00E869A4">
        <w:t xml:space="preserve"> </w:t>
      </w:r>
      <w:r w:rsidR="00EF3EE7" w:rsidRPr="00E869A4">
        <w:t xml:space="preserve">the substitution </w:t>
      </w:r>
      <w:r w:rsidR="003113FE" w:rsidRPr="00E869A4">
        <w:t>and</w:t>
      </w:r>
      <w:r w:rsidR="00EF3EE7" w:rsidRPr="00E869A4">
        <w:t xml:space="preserve"> the complementarity thesis with regards to social service provision; </w:t>
      </w:r>
      <w:r w:rsidR="00612FC4" w:rsidRPr="00E869A4">
        <w:t>and</w:t>
      </w:r>
      <w:r w:rsidR="00592D07" w:rsidRPr="00E869A4">
        <w:t>,</w:t>
      </w:r>
      <w:r w:rsidR="00612FC4" w:rsidRPr="00E869A4">
        <w:t xml:space="preserve"> the ‘varieties of familialism’ </w:t>
      </w:r>
      <w:r w:rsidR="00EF3EE7" w:rsidRPr="00E869A4">
        <w:t xml:space="preserve">policy </w:t>
      </w:r>
      <w:r w:rsidR="00592D07" w:rsidRPr="00E869A4">
        <w:t>model</w:t>
      </w:r>
      <w:r w:rsidRPr="00E869A4">
        <w:t xml:space="preserve">. The use </w:t>
      </w:r>
      <w:r w:rsidR="00612FC4" w:rsidRPr="00E869A4">
        <w:t xml:space="preserve">of </w:t>
      </w:r>
      <w:r w:rsidRPr="00E869A4">
        <w:t>an eclectic</w:t>
      </w:r>
      <w:r w:rsidR="006B2E1E" w:rsidRPr="00E869A4">
        <w:t xml:space="preserve"> theoretical</w:t>
      </w:r>
      <w:r w:rsidRPr="00E869A4">
        <w:t xml:space="preserve"> approach is not unusual and has been adopted by researchers such as Masuy (2011) in her examination of </w:t>
      </w:r>
      <w:r w:rsidR="00592D07" w:rsidRPr="00E869A4">
        <w:t>family elder</w:t>
      </w:r>
      <w:r w:rsidRPr="00E869A4">
        <w:t xml:space="preserve"> care in Belgium.</w:t>
      </w:r>
      <w:r w:rsidR="00950F31" w:rsidRPr="00E869A4">
        <w:t xml:space="preserve"> </w:t>
      </w:r>
    </w:p>
    <w:p w14:paraId="7462AC02" w14:textId="77777777" w:rsidR="00587CDA" w:rsidRPr="00E869A4" w:rsidRDefault="00587CDA" w:rsidP="00B364F8"/>
    <w:p w14:paraId="05C22319" w14:textId="2AE4A16C" w:rsidR="000201A8" w:rsidRPr="00E869A4" w:rsidRDefault="00950F31" w:rsidP="00B364F8">
      <w:r w:rsidRPr="00E869A4">
        <w:t xml:space="preserve">A mixed methods approach was used </w:t>
      </w:r>
      <w:r w:rsidR="00664F60" w:rsidRPr="00E869A4">
        <w:t>in this study</w:t>
      </w:r>
      <w:r w:rsidRPr="00E869A4">
        <w:t xml:space="preserve">. </w:t>
      </w:r>
      <w:r w:rsidR="00587CDA" w:rsidRPr="00E869A4">
        <w:t xml:space="preserve">Physically frail older persons and their primary caregivers, as well as social service practitioners, were engaged in in-depth interviews and focus group discussions to obtain their insights into these questions. Given the extenuating circumstances highlighted by the participants in the qualitative investigation and other emergent issues, the study was extended to include a quantitative component in order to solicit the views of family caregivers on their willingness to provide in-home family care to older persons and the factors that may affect such a decision. </w:t>
      </w:r>
      <w:r w:rsidRPr="00E869A4">
        <w:t>Th</w:t>
      </w:r>
      <w:r w:rsidR="00587CDA" w:rsidRPr="00E869A4">
        <w:t>is</w:t>
      </w:r>
      <w:r w:rsidRPr="00E869A4">
        <w:t xml:space="preserve"> methodological</w:t>
      </w:r>
      <w:r w:rsidR="00587CDA" w:rsidRPr="00E869A4">
        <w:t xml:space="preserve"> </w:t>
      </w:r>
      <w:r w:rsidRPr="00E869A4">
        <w:t xml:space="preserve">approach was underpinned by the principles of pragmatism. Pragmatism is a problem-oriented philosophy that takes the view that </w:t>
      </w:r>
      <w:r w:rsidR="0005472E" w:rsidRPr="00E869A4">
        <w:t xml:space="preserve">single or </w:t>
      </w:r>
      <w:r w:rsidRPr="00E869A4">
        <w:t xml:space="preserve">multiple realities exist so no single method can </w:t>
      </w:r>
      <w:r w:rsidR="003113FE" w:rsidRPr="00E869A4">
        <w:t>provide</w:t>
      </w:r>
      <w:r w:rsidRPr="00E869A4">
        <w:t xml:space="preserve"> a satisfactory picture of social reality. It promotes the use of a plurality of methods and asserts that researchers should use the approach that effectively answers the research question</w:t>
      </w:r>
      <w:r w:rsidR="0005472E" w:rsidRPr="00E869A4">
        <w:t>(s) they are investigating</w:t>
      </w:r>
      <w:r w:rsidRPr="00E869A4">
        <w:t xml:space="preserve"> (Bryman 2006; Creswell &amp; Clark 2017; Kaushik &amp;</w:t>
      </w:r>
      <w:r w:rsidR="003113FE" w:rsidRPr="00E869A4">
        <w:t xml:space="preserve"> </w:t>
      </w:r>
      <w:r w:rsidRPr="00E869A4">
        <w:t>Walsh 2019; King 2010).</w:t>
      </w:r>
      <w:r w:rsidR="00587CDA" w:rsidRPr="00E869A4">
        <w:t xml:space="preserve"> </w:t>
      </w:r>
    </w:p>
    <w:p w14:paraId="7881B490" w14:textId="77777777" w:rsidR="00B364F8" w:rsidRPr="00E869A4" w:rsidRDefault="00B364F8" w:rsidP="00B364F8"/>
    <w:p w14:paraId="5A888E60" w14:textId="77777777" w:rsidR="00E7023B" w:rsidRDefault="00E7023B">
      <w:pPr>
        <w:rPr>
          <w:rFonts w:ascii="Times New Roman" w:eastAsiaTheme="majorEastAsia" w:hAnsi="Times New Roman" w:cs="Times New Roman"/>
          <w:b/>
          <w:bCs/>
          <w:szCs w:val="26"/>
          <w:u w:val="single"/>
        </w:rPr>
      </w:pPr>
      <w:r>
        <w:br w:type="page"/>
      </w:r>
    </w:p>
    <w:p w14:paraId="7061E56B" w14:textId="562EBFFF" w:rsidR="000201A8" w:rsidRPr="00E869A4" w:rsidRDefault="000201A8" w:rsidP="000201A8">
      <w:pPr>
        <w:pStyle w:val="Heading2"/>
      </w:pPr>
      <w:bookmarkStart w:id="39" w:name="_Toc40436458"/>
      <w:r w:rsidRPr="00E869A4">
        <w:lastRenderedPageBreak/>
        <w:t>1.</w:t>
      </w:r>
      <w:r w:rsidR="00094B71" w:rsidRPr="00E869A4">
        <w:t>4</w:t>
      </w:r>
      <w:r w:rsidRPr="00E869A4">
        <w:t xml:space="preserve"> KEY TERMS</w:t>
      </w:r>
      <w:bookmarkEnd w:id="39"/>
    </w:p>
    <w:p w14:paraId="76AB2A43" w14:textId="77777777" w:rsidR="000201A8" w:rsidRPr="00E869A4" w:rsidRDefault="000201A8" w:rsidP="000201A8">
      <w:pPr>
        <w:rPr>
          <w:rFonts w:ascii="Times New Roman" w:hAnsi="Times New Roman" w:cs="Times New Roman"/>
          <w:szCs w:val="24"/>
        </w:rPr>
      </w:pPr>
    </w:p>
    <w:p w14:paraId="1F8137DD" w14:textId="6F458944" w:rsidR="000201A8" w:rsidRPr="00E869A4" w:rsidRDefault="000201A8" w:rsidP="000201A8">
      <w:pPr>
        <w:pStyle w:val="Heading3"/>
      </w:pPr>
      <w:bookmarkStart w:id="40" w:name="_Toc40436459"/>
      <w:r w:rsidRPr="00E869A4">
        <w:t>1.</w:t>
      </w:r>
      <w:r w:rsidR="00094B71" w:rsidRPr="00E869A4">
        <w:t>4</w:t>
      </w:r>
      <w:r w:rsidR="00BE40EF">
        <w:t>.1</w:t>
      </w:r>
      <w:r w:rsidR="00BE40EF" w:rsidRPr="00E869A4">
        <w:t xml:space="preserve">     </w:t>
      </w:r>
      <w:r w:rsidRPr="00E869A4">
        <w:t>Older Persons, Senior Citizens, Elders or Elderly</w:t>
      </w:r>
      <w:bookmarkEnd w:id="40"/>
    </w:p>
    <w:p w14:paraId="3B48E5F0" w14:textId="77777777" w:rsidR="000201A8" w:rsidRPr="00E869A4" w:rsidRDefault="000201A8" w:rsidP="000201A8">
      <w:pPr>
        <w:rPr>
          <w:rFonts w:ascii="Times New Roman" w:eastAsiaTheme="majorEastAsia" w:hAnsi="Times New Roman" w:cs="Times New Roman"/>
          <w:b/>
          <w:bCs/>
          <w:szCs w:val="26"/>
        </w:rPr>
      </w:pPr>
    </w:p>
    <w:p w14:paraId="64C76F49" w14:textId="66A3A2EC" w:rsidR="002E7164" w:rsidRPr="00E869A4" w:rsidRDefault="000201A8" w:rsidP="00D249C6">
      <w:pPr>
        <w:rPr>
          <w:rFonts w:ascii="Times New Roman" w:eastAsiaTheme="majorEastAsia" w:hAnsi="Times New Roman" w:cs="Times New Roman"/>
          <w:bCs/>
          <w:szCs w:val="26"/>
        </w:rPr>
      </w:pPr>
      <w:r w:rsidRPr="00E869A4">
        <w:rPr>
          <w:rFonts w:ascii="Times New Roman" w:eastAsiaTheme="majorEastAsia" w:hAnsi="Times New Roman" w:cs="Times New Roman"/>
          <w:bCs/>
          <w:szCs w:val="26"/>
        </w:rPr>
        <w:t>Throughout this document, the terms older persons, elderly, senior citizens, and (less often) elders, will be used interchangeably to refer to persons aged sixty years and over. The two main reasons for using this eclectic approach when referring to this cohort are: 1) this is in keeping with the formal and informal language used to refer to persons in this age group in Trinidad and Tobago (T&amp;T); and, 2) it is reflective of the varied expressions used in the international literature.</w:t>
      </w:r>
      <w:r w:rsidR="002E7164" w:rsidRPr="00E869A4">
        <w:rPr>
          <w:rFonts w:ascii="Times New Roman" w:eastAsiaTheme="majorEastAsia" w:hAnsi="Times New Roman" w:cs="Times New Roman"/>
          <w:bCs/>
          <w:szCs w:val="26"/>
        </w:rPr>
        <w:t xml:space="preserve"> </w:t>
      </w:r>
      <w:r w:rsidRPr="00E869A4">
        <w:rPr>
          <w:rFonts w:ascii="Times New Roman" w:eastAsiaTheme="majorEastAsia" w:hAnsi="Times New Roman" w:cs="Times New Roman"/>
          <w:bCs/>
          <w:szCs w:val="26"/>
        </w:rPr>
        <w:t>While the term older person appears to be increasing in popularity</w:t>
      </w:r>
      <w:r w:rsidR="006A6733" w:rsidRPr="00E869A4">
        <w:rPr>
          <w:rFonts w:ascii="Times New Roman" w:eastAsiaTheme="majorEastAsia" w:hAnsi="Times New Roman" w:cs="Times New Roman"/>
          <w:bCs/>
          <w:szCs w:val="26"/>
        </w:rPr>
        <w:t xml:space="preserve"> in T&amp;T</w:t>
      </w:r>
      <w:r w:rsidRPr="00E869A4">
        <w:rPr>
          <w:rFonts w:ascii="Times New Roman" w:eastAsiaTheme="majorEastAsia" w:hAnsi="Times New Roman" w:cs="Times New Roman"/>
          <w:bCs/>
          <w:szCs w:val="26"/>
        </w:rPr>
        <w:t xml:space="preserve">, words such as senior citizen, elder and elderly still have appeal. </w:t>
      </w:r>
      <w:r w:rsidR="00842059" w:rsidRPr="00E869A4">
        <w:rPr>
          <w:rFonts w:ascii="Times New Roman" w:eastAsiaTheme="majorEastAsia" w:hAnsi="Times New Roman" w:cs="Times New Roman"/>
          <w:bCs/>
          <w:szCs w:val="26"/>
        </w:rPr>
        <w:t>T</w:t>
      </w:r>
      <w:r w:rsidRPr="00E869A4">
        <w:rPr>
          <w:rFonts w:ascii="Times New Roman" w:eastAsiaTheme="majorEastAsia" w:hAnsi="Times New Roman" w:cs="Times New Roman"/>
          <w:bCs/>
          <w:szCs w:val="26"/>
        </w:rPr>
        <w:t>he term ‘senior citizen’</w:t>
      </w:r>
      <w:r w:rsidR="00842059" w:rsidRPr="00E869A4">
        <w:rPr>
          <w:rFonts w:ascii="Times New Roman" w:eastAsiaTheme="majorEastAsia" w:hAnsi="Times New Roman" w:cs="Times New Roman"/>
          <w:bCs/>
          <w:szCs w:val="26"/>
        </w:rPr>
        <w:t xml:space="preserve"> is used</w:t>
      </w:r>
      <w:r w:rsidRPr="00E869A4">
        <w:rPr>
          <w:rFonts w:ascii="Times New Roman" w:eastAsiaTheme="majorEastAsia" w:hAnsi="Times New Roman" w:cs="Times New Roman"/>
          <w:bCs/>
          <w:szCs w:val="26"/>
        </w:rPr>
        <w:t xml:space="preserve"> to </w:t>
      </w:r>
      <w:r w:rsidR="00842059" w:rsidRPr="00E869A4">
        <w:rPr>
          <w:rFonts w:ascii="Times New Roman" w:eastAsiaTheme="majorEastAsia" w:hAnsi="Times New Roman" w:cs="Times New Roman"/>
          <w:bCs/>
          <w:szCs w:val="26"/>
        </w:rPr>
        <w:t xml:space="preserve">officially </w:t>
      </w:r>
      <w:r w:rsidRPr="00E869A4">
        <w:rPr>
          <w:rFonts w:ascii="Times New Roman" w:eastAsiaTheme="majorEastAsia" w:hAnsi="Times New Roman" w:cs="Times New Roman"/>
          <w:bCs/>
          <w:szCs w:val="26"/>
        </w:rPr>
        <w:t xml:space="preserve">refer to the </w:t>
      </w:r>
      <w:r w:rsidR="00842059" w:rsidRPr="00E869A4">
        <w:rPr>
          <w:rFonts w:ascii="Times New Roman" w:eastAsiaTheme="majorEastAsia" w:hAnsi="Times New Roman" w:cs="Times New Roman"/>
          <w:bCs/>
          <w:szCs w:val="26"/>
        </w:rPr>
        <w:t>s</w:t>
      </w:r>
      <w:r w:rsidRPr="00E869A4">
        <w:rPr>
          <w:rFonts w:ascii="Times New Roman" w:eastAsiaTheme="majorEastAsia" w:hAnsi="Times New Roman" w:cs="Times New Roman"/>
          <w:bCs/>
          <w:szCs w:val="26"/>
        </w:rPr>
        <w:t xml:space="preserve">tate pension for persons within this cohort. Also, </w:t>
      </w:r>
      <w:r w:rsidR="00607325" w:rsidRPr="00E869A4">
        <w:rPr>
          <w:rFonts w:ascii="Times New Roman" w:eastAsiaTheme="majorEastAsia" w:hAnsi="Times New Roman" w:cs="Times New Roman"/>
          <w:bCs/>
          <w:szCs w:val="26"/>
        </w:rPr>
        <w:t xml:space="preserve">in </w:t>
      </w:r>
      <w:r w:rsidRPr="00E869A4">
        <w:rPr>
          <w:rFonts w:ascii="Times New Roman" w:eastAsiaTheme="majorEastAsia" w:hAnsi="Times New Roman" w:cs="Times New Roman"/>
          <w:bCs/>
          <w:szCs w:val="26"/>
        </w:rPr>
        <w:t xml:space="preserve">the current version of the </w:t>
      </w:r>
      <w:r w:rsidR="00B364F8" w:rsidRPr="00E869A4">
        <w:rPr>
          <w:rFonts w:ascii="Times New Roman" w:eastAsiaTheme="majorEastAsia" w:hAnsi="Times New Roman" w:cs="Times New Roman"/>
          <w:bCs/>
          <w:szCs w:val="26"/>
        </w:rPr>
        <w:t xml:space="preserve">NPA </w:t>
      </w:r>
      <w:r w:rsidRPr="00E869A4">
        <w:rPr>
          <w:rFonts w:ascii="Times New Roman" w:eastAsiaTheme="majorEastAsia" w:hAnsi="Times New Roman" w:cs="Times New Roman"/>
          <w:bCs/>
          <w:szCs w:val="26"/>
        </w:rPr>
        <w:t xml:space="preserve">for T&amp;T (2006) </w:t>
      </w:r>
      <w:r w:rsidR="00607325" w:rsidRPr="00E869A4">
        <w:rPr>
          <w:rFonts w:ascii="Times New Roman" w:eastAsiaTheme="majorEastAsia" w:hAnsi="Times New Roman" w:cs="Times New Roman"/>
          <w:bCs/>
          <w:szCs w:val="26"/>
        </w:rPr>
        <w:t>the terms</w:t>
      </w:r>
      <w:r w:rsidRPr="00E869A4">
        <w:rPr>
          <w:rFonts w:ascii="Times New Roman" w:eastAsiaTheme="majorEastAsia" w:hAnsi="Times New Roman" w:cs="Times New Roman"/>
          <w:bCs/>
          <w:szCs w:val="26"/>
        </w:rPr>
        <w:t xml:space="preserve"> older persons, senior citizens and elderly are used interchangeably throughout the text. </w:t>
      </w:r>
    </w:p>
    <w:p w14:paraId="2EEA1A0C" w14:textId="77777777" w:rsidR="002E7164" w:rsidRPr="00E869A4" w:rsidRDefault="002E7164" w:rsidP="00D249C6">
      <w:pPr>
        <w:rPr>
          <w:rFonts w:ascii="Times New Roman" w:eastAsiaTheme="majorEastAsia" w:hAnsi="Times New Roman" w:cs="Times New Roman"/>
          <w:bCs/>
          <w:szCs w:val="26"/>
        </w:rPr>
      </w:pPr>
    </w:p>
    <w:p w14:paraId="4BE199CB" w14:textId="3D5254AB" w:rsidR="000201A8" w:rsidRPr="00E869A4" w:rsidRDefault="000201A8" w:rsidP="00842059">
      <w:pPr>
        <w:rPr>
          <w:rFonts w:ascii="Times New Roman" w:eastAsiaTheme="majorEastAsia" w:hAnsi="Times New Roman" w:cs="Times New Roman"/>
          <w:bCs/>
          <w:szCs w:val="24"/>
        </w:rPr>
      </w:pPr>
      <w:r w:rsidRPr="00E869A4">
        <w:rPr>
          <w:rFonts w:ascii="Times New Roman" w:eastAsiaTheme="majorEastAsia" w:hAnsi="Times New Roman" w:cs="Times New Roman"/>
          <w:bCs/>
          <w:szCs w:val="26"/>
        </w:rPr>
        <w:t>Given this variation, during the initial in-depth interviews conducted in 2011 and 2013 of this PhD inquiry, participants were asked to indicate their preference on this issue. The responses received were mixed</w:t>
      </w:r>
      <w:r w:rsidR="00842059" w:rsidRPr="00E869A4">
        <w:rPr>
          <w:rFonts w:ascii="Times New Roman" w:eastAsiaTheme="majorEastAsia" w:hAnsi="Times New Roman" w:cs="Times New Roman"/>
          <w:bCs/>
          <w:szCs w:val="26"/>
        </w:rPr>
        <w:t xml:space="preserve">, for example, </w:t>
      </w:r>
      <w:r w:rsidR="006A6733" w:rsidRPr="00E869A4">
        <w:rPr>
          <w:rFonts w:ascii="Times New Roman" w:eastAsiaTheme="majorEastAsia" w:hAnsi="Times New Roman" w:cs="Times New Roman"/>
          <w:bCs/>
          <w:szCs w:val="24"/>
        </w:rPr>
        <w:t>an older interviewee preferred to be called “elder, elderly ...</w:t>
      </w:r>
      <w:r w:rsidR="006A6733" w:rsidRPr="00E869A4">
        <w:rPr>
          <w:szCs w:val="24"/>
        </w:rPr>
        <w:t xml:space="preserve"> </w:t>
      </w:r>
      <w:r w:rsidR="006A6733" w:rsidRPr="00E869A4">
        <w:rPr>
          <w:rFonts w:ascii="Times New Roman" w:eastAsiaTheme="majorEastAsia" w:hAnsi="Times New Roman" w:cs="Times New Roman"/>
          <w:bCs/>
          <w:szCs w:val="24"/>
        </w:rPr>
        <w:t>because I am very old now.” (CR Uncle Wilton)</w:t>
      </w:r>
      <w:r w:rsidR="006A6733" w:rsidRPr="00E869A4">
        <w:rPr>
          <w:rStyle w:val="FootnoteReference"/>
          <w:rFonts w:ascii="Times New Roman" w:eastAsiaTheme="majorEastAsia" w:hAnsi="Times New Roman" w:cs="Times New Roman"/>
          <w:bCs/>
          <w:szCs w:val="26"/>
        </w:rPr>
        <w:footnoteReference w:id="19"/>
      </w:r>
      <w:r w:rsidR="006A6733" w:rsidRPr="00E869A4">
        <w:rPr>
          <w:rFonts w:ascii="Times New Roman" w:eastAsiaTheme="majorEastAsia" w:hAnsi="Times New Roman" w:cs="Times New Roman"/>
          <w:bCs/>
          <w:szCs w:val="24"/>
        </w:rPr>
        <w:t xml:space="preserve">. </w:t>
      </w:r>
      <w:r w:rsidR="006A6733" w:rsidRPr="00E869A4">
        <w:rPr>
          <w:rFonts w:ascii="Times New Roman" w:eastAsiaTheme="majorEastAsia" w:hAnsi="Times New Roman" w:cs="Times New Roman"/>
          <w:bCs/>
          <w:szCs w:val="26"/>
        </w:rPr>
        <w:t>His</w:t>
      </w:r>
      <w:r w:rsidR="00842059" w:rsidRPr="00E869A4">
        <w:rPr>
          <w:rFonts w:ascii="Times New Roman" w:eastAsiaTheme="majorEastAsia" w:hAnsi="Times New Roman" w:cs="Times New Roman"/>
          <w:bCs/>
          <w:szCs w:val="26"/>
        </w:rPr>
        <w:t xml:space="preserve"> older caregiver stated “</w:t>
      </w:r>
      <w:r w:rsidR="006A6733" w:rsidRPr="00E869A4">
        <w:rPr>
          <w:rFonts w:ascii="Times New Roman" w:eastAsiaTheme="majorEastAsia" w:hAnsi="Times New Roman" w:cs="Times New Roman"/>
          <w:bCs/>
          <w:szCs w:val="26"/>
        </w:rPr>
        <w:t>s</w:t>
      </w:r>
      <w:r w:rsidR="006A6733" w:rsidRPr="00E869A4">
        <w:rPr>
          <w:rFonts w:ascii="Times New Roman" w:eastAsiaTheme="majorEastAsia" w:hAnsi="Times New Roman" w:cs="Times New Roman"/>
          <w:bCs/>
          <w:szCs w:val="24"/>
        </w:rPr>
        <w:t>enior c</w:t>
      </w:r>
      <w:r w:rsidR="002E7164" w:rsidRPr="00E869A4">
        <w:rPr>
          <w:rFonts w:ascii="Times New Roman" w:eastAsiaTheme="majorEastAsia" w:hAnsi="Times New Roman" w:cs="Times New Roman"/>
          <w:bCs/>
          <w:szCs w:val="24"/>
        </w:rPr>
        <w:t>itizen fuh me yes … tuh me is ah more respectable kinda name.</w:t>
      </w:r>
      <w:r w:rsidR="00842059" w:rsidRPr="00E869A4">
        <w:rPr>
          <w:rFonts w:ascii="Times New Roman" w:eastAsiaTheme="majorEastAsia" w:hAnsi="Times New Roman" w:cs="Times New Roman"/>
          <w:bCs/>
          <w:szCs w:val="24"/>
        </w:rPr>
        <w:t>”</w:t>
      </w:r>
      <w:r w:rsidR="002E7164" w:rsidRPr="00E869A4">
        <w:rPr>
          <w:rFonts w:ascii="Times New Roman" w:eastAsiaTheme="majorEastAsia" w:hAnsi="Times New Roman" w:cs="Times New Roman"/>
          <w:bCs/>
          <w:szCs w:val="24"/>
        </w:rPr>
        <w:t xml:space="preserve"> (CG Mr. Birch).</w:t>
      </w:r>
      <w:r w:rsidR="00842059" w:rsidRPr="00E869A4">
        <w:rPr>
          <w:rFonts w:ascii="Times New Roman" w:eastAsiaTheme="majorEastAsia" w:hAnsi="Times New Roman" w:cs="Times New Roman"/>
          <w:bCs/>
          <w:szCs w:val="24"/>
        </w:rPr>
        <w:t xml:space="preserve"> Another caregiver (Melissa) shared that her </w:t>
      </w:r>
      <w:r w:rsidRPr="00E869A4">
        <w:rPr>
          <w:rFonts w:ascii="Times New Roman" w:eastAsiaTheme="majorEastAsia" w:hAnsi="Times New Roman" w:cs="Times New Roman"/>
          <w:bCs/>
          <w:szCs w:val="24"/>
        </w:rPr>
        <w:t>grandmother says that</w:t>
      </w:r>
      <w:r w:rsidR="00842059" w:rsidRPr="00E869A4">
        <w:rPr>
          <w:rFonts w:ascii="Times New Roman" w:eastAsiaTheme="majorEastAsia" w:hAnsi="Times New Roman" w:cs="Times New Roman"/>
          <w:bCs/>
          <w:szCs w:val="24"/>
        </w:rPr>
        <w:t xml:space="preserve"> “</w:t>
      </w:r>
      <w:r w:rsidRPr="00E869A4">
        <w:rPr>
          <w:rFonts w:ascii="Times New Roman" w:eastAsiaTheme="majorEastAsia" w:hAnsi="Times New Roman" w:cs="Times New Roman"/>
          <w:bCs/>
          <w:szCs w:val="24"/>
        </w:rPr>
        <w:t>old is what you throw away, and I know she definitely does not like to be called an old lady … and for some, ‘old-</w:t>
      </w:r>
      <w:proofErr w:type="spellStart"/>
      <w:r w:rsidRPr="00E869A4">
        <w:rPr>
          <w:rFonts w:ascii="Times New Roman" w:eastAsiaTheme="majorEastAsia" w:hAnsi="Times New Roman" w:cs="Times New Roman"/>
          <w:bCs/>
          <w:szCs w:val="24"/>
        </w:rPr>
        <w:t>er</w:t>
      </w:r>
      <w:proofErr w:type="spellEnd"/>
      <w:r w:rsidRPr="00E869A4">
        <w:rPr>
          <w:rFonts w:ascii="Times New Roman" w:eastAsiaTheme="majorEastAsia" w:hAnsi="Times New Roman" w:cs="Times New Roman"/>
          <w:bCs/>
          <w:szCs w:val="24"/>
        </w:rPr>
        <w:t>’ is not far from old. So I guess the most safe one would probably be senior citizen</w:t>
      </w:r>
      <w:r w:rsidR="00842059" w:rsidRPr="00E869A4">
        <w:rPr>
          <w:rFonts w:ascii="Times New Roman" w:eastAsiaTheme="majorEastAsia" w:hAnsi="Times New Roman" w:cs="Times New Roman"/>
          <w:bCs/>
          <w:szCs w:val="24"/>
        </w:rPr>
        <w:t>.</w:t>
      </w:r>
      <w:r w:rsidRPr="00E869A4">
        <w:rPr>
          <w:rFonts w:ascii="Times New Roman" w:eastAsiaTheme="majorEastAsia" w:hAnsi="Times New Roman" w:cs="Times New Roman"/>
          <w:bCs/>
          <w:szCs w:val="24"/>
        </w:rPr>
        <w:t>” (PCG Melissa).</w:t>
      </w:r>
      <w:r w:rsidR="00842059" w:rsidRPr="00E869A4">
        <w:rPr>
          <w:rFonts w:ascii="Times New Roman" w:eastAsiaTheme="majorEastAsia" w:hAnsi="Times New Roman" w:cs="Times New Roman"/>
          <w:bCs/>
          <w:szCs w:val="24"/>
        </w:rPr>
        <w:t xml:space="preserve"> </w:t>
      </w:r>
      <w:r w:rsidR="002E7164" w:rsidRPr="00E869A4">
        <w:rPr>
          <w:rFonts w:ascii="Times New Roman" w:eastAsiaTheme="majorEastAsia" w:hAnsi="Times New Roman" w:cs="Times New Roman"/>
          <w:bCs/>
          <w:szCs w:val="24"/>
        </w:rPr>
        <w:t xml:space="preserve">One care dyad that was interviewed as part of this study (Mr. Singh and Elaine) had no preference with respect to the terms used. </w:t>
      </w:r>
      <w:r w:rsidRPr="00E869A4">
        <w:rPr>
          <w:rFonts w:ascii="Times New Roman" w:eastAsiaTheme="majorEastAsia" w:hAnsi="Times New Roman" w:cs="Times New Roman"/>
          <w:bCs/>
          <w:szCs w:val="24"/>
        </w:rPr>
        <w:t xml:space="preserve">While these qualitative responses are not based on a representative sample of the population of T&amp;T, they give some initial insight into the diverse preferences persons have concerning the terms used to refer to persons aged 60 years and over. Given this, an eclectic approach was used to refer to this cohort in this study. Where quotations are used from publications or participants, the actual term used in the original statement is maintained. </w:t>
      </w:r>
    </w:p>
    <w:p w14:paraId="31B86A85" w14:textId="531BBEF3" w:rsidR="00664A88" w:rsidRPr="00E869A4" w:rsidRDefault="00BE40EF" w:rsidP="00664A88">
      <w:pPr>
        <w:pStyle w:val="Heading3"/>
      </w:pPr>
      <w:bookmarkStart w:id="41" w:name="_Toc40436460"/>
      <w:r>
        <w:lastRenderedPageBreak/>
        <w:t>1.4.2</w:t>
      </w:r>
      <w:r w:rsidRPr="00E869A4">
        <w:t xml:space="preserve">     </w:t>
      </w:r>
      <w:r w:rsidR="005344BC" w:rsidRPr="00E869A4">
        <w:t>Quotations</w:t>
      </w:r>
      <w:bookmarkEnd w:id="41"/>
    </w:p>
    <w:p w14:paraId="5E200547" w14:textId="77777777" w:rsidR="00664A88" w:rsidRPr="00E869A4" w:rsidRDefault="00664A88" w:rsidP="000201A8">
      <w:pPr>
        <w:spacing w:line="276" w:lineRule="auto"/>
      </w:pPr>
    </w:p>
    <w:p w14:paraId="55A597A2" w14:textId="09C1DD30" w:rsidR="000201A8" w:rsidRPr="00E869A4" w:rsidRDefault="00664A88" w:rsidP="00645231">
      <w:r w:rsidRPr="00E869A4">
        <w:t xml:space="preserve">This thesis is primarily written using British English. However, where quotes are used from published documents, interview and focus group transcripts or open-ended survey responses, the original language of the author or speaker is maintained. Thus, several quotes in this thesis have expressions in American English as well as in Trinbagonian creole. </w:t>
      </w:r>
      <w:r w:rsidR="005344BC" w:rsidRPr="00E869A4">
        <w:t xml:space="preserve">Quotations from interview participants and focus groups are referenced as follows: CG refers to caregivers, CR to care recipients. In some instances, family caregivers (FCG) are distinguished from friend caregivers (FrCG) and paid caregivers (PCG). Focus groups are identified by their location e.g. Tobago North Focus Group (TNFG) and Tobago South Focus Group (TSFG). Survey respondents are denoted alphabetically at the end of each quote e.g. Respondent </w:t>
      </w:r>
      <w:r w:rsidR="006B5122" w:rsidRPr="00E869A4">
        <w:t>U</w:t>
      </w:r>
      <w:r w:rsidR="005344BC" w:rsidRPr="00E869A4">
        <w:t xml:space="preserve"> </w:t>
      </w:r>
      <w:r w:rsidR="009E2676" w:rsidRPr="00E869A4">
        <w:t xml:space="preserve">and Respondent </w:t>
      </w:r>
      <w:r w:rsidR="006B5122" w:rsidRPr="00E869A4">
        <w:t>V</w:t>
      </w:r>
      <w:r w:rsidR="004F16A7" w:rsidRPr="00E869A4">
        <w:rPr>
          <w:rStyle w:val="FootnoteReference"/>
        </w:rPr>
        <w:footnoteReference w:id="20"/>
      </w:r>
      <w:r w:rsidR="009E2676" w:rsidRPr="00E869A4">
        <w:t xml:space="preserve">. </w:t>
      </w:r>
    </w:p>
    <w:p w14:paraId="4FBA1ECF" w14:textId="77777777" w:rsidR="0072411D" w:rsidRPr="00E869A4" w:rsidRDefault="0072411D" w:rsidP="00645231">
      <w:pPr>
        <w:rPr>
          <w:rFonts w:ascii="Times New Roman" w:eastAsiaTheme="majorEastAsia" w:hAnsi="Times New Roman" w:cs="Times New Roman"/>
          <w:b/>
          <w:bCs/>
          <w:szCs w:val="26"/>
          <w:u w:val="single"/>
        </w:rPr>
      </w:pPr>
    </w:p>
    <w:p w14:paraId="68A05245" w14:textId="658C7BB1" w:rsidR="00252929" w:rsidRPr="00E869A4" w:rsidRDefault="00E143E2" w:rsidP="00175C3E">
      <w:pPr>
        <w:pStyle w:val="Heading2"/>
      </w:pPr>
      <w:bookmarkStart w:id="42" w:name="_Toc40436461"/>
      <w:r w:rsidRPr="00E869A4">
        <w:t>1.</w:t>
      </w:r>
      <w:r w:rsidR="00155DF3" w:rsidRPr="00E869A4">
        <w:t xml:space="preserve">5 </w:t>
      </w:r>
      <w:r w:rsidR="00341F22" w:rsidRPr="00E869A4">
        <w:t>THESIS OUTLINE</w:t>
      </w:r>
      <w:bookmarkEnd w:id="42"/>
      <w:r w:rsidR="004C6A08" w:rsidRPr="00E869A4">
        <w:t xml:space="preserve"> </w:t>
      </w:r>
    </w:p>
    <w:p w14:paraId="69810864" w14:textId="77777777" w:rsidR="002E1B7D" w:rsidRPr="00E869A4" w:rsidRDefault="002E1B7D" w:rsidP="00A35FF8">
      <w:pPr>
        <w:autoSpaceDE w:val="0"/>
        <w:autoSpaceDN w:val="0"/>
        <w:adjustRightInd w:val="0"/>
        <w:rPr>
          <w:rFonts w:ascii="Times New Roman" w:hAnsi="Times New Roman" w:cs="Times New Roman"/>
        </w:rPr>
      </w:pPr>
    </w:p>
    <w:p w14:paraId="1C38778C" w14:textId="31B32413" w:rsidR="003837D7" w:rsidRPr="00E869A4" w:rsidRDefault="00FD032B" w:rsidP="003837D7">
      <w:pPr>
        <w:autoSpaceDE w:val="0"/>
        <w:autoSpaceDN w:val="0"/>
        <w:adjustRightInd w:val="0"/>
        <w:rPr>
          <w:rFonts w:ascii="Times New Roman" w:hAnsi="Times New Roman" w:cs="Times New Roman"/>
        </w:rPr>
      </w:pPr>
      <w:r w:rsidRPr="00E869A4">
        <w:rPr>
          <w:rFonts w:ascii="Times New Roman" w:hAnsi="Times New Roman" w:cs="Times New Roman"/>
        </w:rPr>
        <w:t xml:space="preserve">The preliminary chapters of this </w:t>
      </w:r>
      <w:r w:rsidR="00FB5662" w:rsidRPr="00E869A4">
        <w:rPr>
          <w:rFonts w:ascii="Times New Roman" w:hAnsi="Times New Roman" w:cs="Times New Roman"/>
        </w:rPr>
        <w:t xml:space="preserve">thesis </w:t>
      </w:r>
      <w:r w:rsidRPr="00E869A4">
        <w:rPr>
          <w:rFonts w:ascii="Times New Roman" w:hAnsi="Times New Roman" w:cs="Times New Roman"/>
        </w:rPr>
        <w:t xml:space="preserve">(Chapters 2 to </w:t>
      </w:r>
      <w:r w:rsidR="003837D7" w:rsidRPr="00E869A4">
        <w:rPr>
          <w:rFonts w:ascii="Times New Roman" w:hAnsi="Times New Roman" w:cs="Times New Roman"/>
        </w:rPr>
        <w:t>4</w:t>
      </w:r>
      <w:r w:rsidRPr="00E869A4">
        <w:rPr>
          <w:rFonts w:ascii="Times New Roman" w:hAnsi="Times New Roman" w:cs="Times New Roman"/>
        </w:rPr>
        <w:t xml:space="preserve">) </w:t>
      </w:r>
      <w:r w:rsidR="00A97D30" w:rsidRPr="00E869A4">
        <w:rPr>
          <w:rFonts w:ascii="Times New Roman" w:hAnsi="Times New Roman" w:cs="Times New Roman"/>
        </w:rPr>
        <w:t>review the</w:t>
      </w:r>
      <w:r w:rsidR="00B3014F" w:rsidRPr="00E869A4">
        <w:rPr>
          <w:rFonts w:ascii="Times New Roman" w:hAnsi="Times New Roman" w:cs="Times New Roman"/>
        </w:rPr>
        <w:t xml:space="preserve"> </w:t>
      </w:r>
      <w:r w:rsidR="004A3891" w:rsidRPr="00E869A4">
        <w:rPr>
          <w:rFonts w:ascii="Times New Roman" w:hAnsi="Times New Roman" w:cs="Times New Roman"/>
        </w:rPr>
        <w:t xml:space="preserve">various theoretical </w:t>
      </w:r>
      <w:r w:rsidR="0072411D" w:rsidRPr="00E869A4">
        <w:rPr>
          <w:rFonts w:ascii="Times New Roman" w:hAnsi="Times New Roman" w:cs="Times New Roman"/>
        </w:rPr>
        <w:t xml:space="preserve">and empirical </w:t>
      </w:r>
      <w:r w:rsidR="00A97D30" w:rsidRPr="00E869A4">
        <w:rPr>
          <w:rFonts w:ascii="Times New Roman" w:hAnsi="Times New Roman" w:cs="Times New Roman"/>
        </w:rPr>
        <w:t>literature surrounding the sociological study of family care.</w:t>
      </w:r>
      <w:r w:rsidR="004A3891" w:rsidRPr="00E869A4">
        <w:rPr>
          <w:rFonts w:ascii="Times New Roman" w:hAnsi="Times New Roman" w:cs="Times New Roman"/>
        </w:rPr>
        <w:t xml:space="preserve"> Chapter 2</w:t>
      </w:r>
      <w:r w:rsidR="00A97D30" w:rsidRPr="00E869A4">
        <w:rPr>
          <w:rFonts w:ascii="Times New Roman" w:hAnsi="Times New Roman" w:cs="Times New Roman"/>
        </w:rPr>
        <w:t xml:space="preserve"> </w:t>
      </w:r>
      <w:r w:rsidR="00C70395" w:rsidRPr="00E869A4">
        <w:rPr>
          <w:rFonts w:ascii="Times New Roman" w:hAnsi="Times New Roman" w:cs="Times New Roman"/>
        </w:rPr>
        <w:t>examines</w:t>
      </w:r>
      <w:r w:rsidR="00A97D30" w:rsidRPr="00E869A4">
        <w:rPr>
          <w:rFonts w:ascii="Times New Roman" w:hAnsi="Times New Roman" w:cs="Times New Roman"/>
        </w:rPr>
        <w:t xml:space="preserve"> various </w:t>
      </w:r>
      <w:r w:rsidR="0072411D" w:rsidRPr="00E869A4">
        <w:rPr>
          <w:rFonts w:ascii="Times New Roman" w:hAnsi="Times New Roman" w:cs="Times New Roman"/>
        </w:rPr>
        <w:t>perspectives</w:t>
      </w:r>
      <w:r w:rsidR="00A97D30" w:rsidRPr="00E869A4">
        <w:rPr>
          <w:rFonts w:ascii="Times New Roman" w:hAnsi="Times New Roman" w:cs="Times New Roman"/>
        </w:rPr>
        <w:t xml:space="preserve"> </w:t>
      </w:r>
      <w:r w:rsidR="003837D7" w:rsidRPr="00E869A4">
        <w:rPr>
          <w:rFonts w:ascii="Times New Roman" w:hAnsi="Times New Roman" w:cs="Times New Roman"/>
        </w:rPr>
        <w:t xml:space="preserve">and debates associated with conceptualisations of the </w:t>
      </w:r>
      <w:r w:rsidR="00A97D30" w:rsidRPr="00E869A4">
        <w:rPr>
          <w:rFonts w:ascii="Times New Roman" w:hAnsi="Times New Roman" w:cs="Times New Roman"/>
        </w:rPr>
        <w:t>family</w:t>
      </w:r>
      <w:r w:rsidR="003837D7" w:rsidRPr="00E869A4">
        <w:rPr>
          <w:rFonts w:ascii="Times New Roman" w:hAnsi="Times New Roman" w:cs="Times New Roman"/>
        </w:rPr>
        <w:t>,</w:t>
      </w:r>
      <w:r w:rsidR="00A97D30" w:rsidRPr="00E869A4">
        <w:rPr>
          <w:rFonts w:ascii="Times New Roman" w:hAnsi="Times New Roman" w:cs="Times New Roman"/>
        </w:rPr>
        <w:t xml:space="preserve"> care</w:t>
      </w:r>
      <w:r w:rsidR="003837D7" w:rsidRPr="00E869A4">
        <w:rPr>
          <w:rFonts w:ascii="Times New Roman" w:hAnsi="Times New Roman" w:cs="Times New Roman"/>
        </w:rPr>
        <w:t>giving and family care policy</w:t>
      </w:r>
      <w:r w:rsidR="00514654" w:rsidRPr="00E869A4">
        <w:rPr>
          <w:rFonts w:ascii="Times New Roman" w:hAnsi="Times New Roman" w:cs="Times New Roman"/>
        </w:rPr>
        <w:t xml:space="preserve">. Chapter </w:t>
      </w:r>
      <w:r w:rsidR="00631078" w:rsidRPr="00E869A4">
        <w:rPr>
          <w:rFonts w:ascii="Times New Roman" w:hAnsi="Times New Roman" w:cs="Times New Roman"/>
        </w:rPr>
        <w:t>3 explores</w:t>
      </w:r>
      <w:r w:rsidR="003837D7" w:rsidRPr="00E869A4">
        <w:rPr>
          <w:rFonts w:ascii="Times New Roman" w:hAnsi="Times New Roman" w:cs="Times New Roman"/>
        </w:rPr>
        <w:t xml:space="preserve"> the literature on caregiver role acquisition and</w:t>
      </w:r>
      <w:r w:rsidR="00514654" w:rsidRPr="00E869A4">
        <w:rPr>
          <w:rFonts w:ascii="Times New Roman" w:hAnsi="Times New Roman" w:cs="Times New Roman"/>
        </w:rPr>
        <w:t xml:space="preserve"> </w:t>
      </w:r>
      <w:r w:rsidR="00A97D30" w:rsidRPr="00E869A4">
        <w:rPr>
          <w:rFonts w:ascii="Times New Roman" w:hAnsi="Times New Roman" w:cs="Times New Roman"/>
        </w:rPr>
        <w:t xml:space="preserve">how caregivers and older persons </w:t>
      </w:r>
      <w:r w:rsidRPr="00E869A4">
        <w:rPr>
          <w:rFonts w:ascii="Times New Roman" w:hAnsi="Times New Roman" w:cs="Times New Roman"/>
        </w:rPr>
        <w:t>experience</w:t>
      </w:r>
      <w:r w:rsidR="00A97D30" w:rsidRPr="00E869A4">
        <w:rPr>
          <w:rFonts w:ascii="Times New Roman" w:hAnsi="Times New Roman" w:cs="Times New Roman"/>
        </w:rPr>
        <w:t xml:space="preserve"> care</w:t>
      </w:r>
      <w:r w:rsidR="00514654" w:rsidRPr="00E869A4">
        <w:rPr>
          <w:rFonts w:ascii="Times New Roman" w:hAnsi="Times New Roman" w:cs="Times New Roman"/>
        </w:rPr>
        <w:t xml:space="preserve">. Chapter </w:t>
      </w:r>
      <w:r w:rsidR="003837D7" w:rsidRPr="00E869A4">
        <w:rPr>
          <w:rFonts w:ascii="Times New Roman" w:hAnsi="Times New Roman" w:cs="Times New Roman"/>
        </w:rPr>
        <w:t>4</w:t>
      </w:r>
      <w:r w:rsidR="00514654" w:rsidRPr="00E869A4">
        <w:rPr>
          <w:rFonts w:ascii="Times New Roman" w:hAnsi="Times New Roman" w:cs="Times New Roman"/>
        </w:rPr>
        <w:t xml:space="preserve"> </w:t>
      </w:r>
      <w:r w:rsidRPr="00E869A4">
        <w:rPr>
          <w:rFonts w:ascii="Times New Roman" w:hAnsi="Times New Roman" w:cs="Times New Roman"/>
        </w:rPr>
        <w:t>highlight</w:t>
      </w:r>
      <w:r w:rsidR="00514654" w:rsidRPr="00E869A4">
        <w:rPr>
          <w:rFonts w:ascii="Times New Roman" w:hAnsi="Times New Roman" w:cs="Times New Roman"/>
        </w:rPr>
        <w:t xml:space="preserve">s </w:t>
      </w:r>
      <w:r w:rsidRPr="00E869A4">
        <w:rPr>
          <w:rFonts w:ascii="Times New Roman" w:hAnsi="Times New Roman" w:cs="Times New Roman"/>
        </w:rPr>
        <w:t xml:space="preserve">some of </w:t>
      </w:r>
      <w:r w:rsidR="00A97D30" w:rsidRPr="00E869A4">
        <w:rPr>
          <w:rFonts w:ascii="Times New Roman" w:hAnsi="Times New Roman" w:cs="Times New Roman"/>
        </w:rPr>
        <w:t>the</w:t>
      </w:r>
      <w:r w:rsidRPr="00E869A4">
        <w:rPr>
          <w:rFonts w:ascii="Times New Roman" w:hAnsi="Times New Roman" w:cs="Times New Roman"/>
        </w:rPr>
        <w:t xml:space="preserve"> key</w:t>
      </w:r>
      <w:r w:rsidR="00A97D30" w:rsidRPr="00E869A4">
        <w:rPr>
          <w:rFonts w:ascii="Times New Roman" w:hAnsi="Times New Roman" w:cs="Times New Roman"/>
        </w:rPr>
        <w:t xml:space="preserve"> </w:t>
      </w:r>
      <w:r w:rsidR="00514654" w:rsidRPr="00E869A4">
        <w:rPr>
          <w:rFonts w:ascii="Times New Roman" w:hAnsi="Times New Roman" w:cs="Times New Roman"/>
        </w:rPr>
        <w:t xml:space="preserve">literature on </w:t>
      </w:r>
      <w:r w:rsidR="00A97D30" w:rsidRPr="00E869A4">
        <w:rPr>
          <w:rFonts w:ascii="Times New Roman" w:hAnsi="Times New Roman" w:cs="Times New Roman"/>
        </w:rPr>
        <w:t xml:space="preserve">coping and care management strategies </w:t>
      </w:r>
      <w:r w:rsidR="00FB5662" w:rsidRPr="00E869A4">
        <w:rPr>
          <w:rFonts w:ascii="Times New Roman" w:hAnsi="Times New Roman" w:cs="Times New Roman"/>
        </w:rPr>
        <w:t>of</w:t>
      </w:r>
      <w:r w:rsidR="00A97D30" w:rsidRPr="00E869A4">
        <w:rPr>
          <w:rFonts w:ascii="Times New Roman" w:hAnsi="Times New Roman" w:cs="Times New Roman"/>
        </w:rPr>
        <w:t xml:space="preserve"> carers and cared-for</w:t>
      </w:r>
      <w:r w:rsidR="00FB5662" w:rsidRPr="00E869A4">
        <w:rPr>
          <w:rFonts w:ascii="Times New Roman" w:hAnsi="Times New Roman" w:cs="Times New Roman"/>
        </w:rPr>
        <w:t xml:space="preserve"> older persons</w:t>
      </w:r>
      <w:r w:rsidR="00CF1915" w:rsidRPr="00E869A4">
        <w:rPr>
          <w:rFonts w:ascii="Times New Roman" w:hAnsi="Times New Roman" w:cs="Times New Roman"/>
        </w:rPr>
        <w:t xml:space="preserve">. </w:t>
      </w:r>
      <w:r w:rsidR="003837D7" w:rsidRPr="00E869A4">
        <w:rPr>
          <w:rFonts w:ascii="Times New Roman" w:hAnsi="Times New Roman" w:cs="Times New Roman"/>
        </w:rPr>
        <w:t>These chapters set the stage for the analysis and interpretation of the data in later chapters.</w:t>
      </w:r>
    </w:p>
    <w:p w14:paraId="162BD0AD" w14:textId="69F09002" w:rsidR="00A97D30" w:rsidRPr="00E869A4" w:rsidRDefault="00A97D30" w:rsidP="00CF1915">
      <w:pPr>
        <w:autoSpaceDE w:val="0"/>
        <w:autoSpaceDN w:val="0"/>
        <w:adjustRightInd w:val="0"/>
        <w:rPr>
          <w:rFonts w:ascii="Times New Roman" w:hAnsi="Times New Roman" w:cs="Times New Roman"/>
        </w:rPr>
      </w:pPr>
    </w:p>
    <w:p w14:paraId="63B939A1" w14:textId="787765FA" w:rsidR="000C516F" w:rsidRDefault="00A97D30">
      <w:r w:rsidRPr="00E869A4">
        <w:rPr>
          <w:szCs w:val="24"/>
        </w:rPr>
        <w:t xml:space="preserve">Chapter </w:t>
      </w:r>
      <w:r w:rsidR="003837D7" w:rsidRPr="00E869A4">
        <w:rPr>
          <w:szCs w:val="24"/>
        </w:rPr>
        <w:t>5</w:t>
      </w:r>
      <w:r w:rsidR="0009143A" w:rsidRPr="00E869A4">
        <w:rPr>
          <w:szCs w:val="24"/>
        </w:rPr>
        <w:t xml:space="preserve"> </w:t>
      </w:r>
      <w:r w:rsidRPr="00E869A4">
        <w:rPr>
          <w:szCs w:val="24"/>
        </w:rPr>
        <w:t>describes the pragmatic philosophy that underpinned this mixed-methods study. The chapter outlines the original research design and the factors that contributed to the revised approach to data collection</w:t>
      </w:r>
      <w:r w:rsidR="00FD032B" w:rsidRPr="00E869A4">
        <w:rPr>
          <w:szCs w:val="24"/>
        </w:rPr>
        <w:t>,</w:t>
      </w:r>
      <w:r w:rsidRPr="00E869A4">
        <w:rPr>
          <w:szCs w:val="24"/>
        </w:rPr>
        <w:t xml:space="preserve"> as well as the steps taken to maintain the integrity of the study.  </w:t>
      </w:r>
      <w:r w:rsidR="00631078" w:rsidRPr="00E869A4">
        <w:rPr>
          <w:rFonts w:ascii="Times New Roman" w:hAnsi="Times New Roman" w:cs="Times New Roman"/>
        </w:rPr>
        <w:t xml:space="preserve">In Chapters </w:t>
      </w:r>
      <w:r w:rsidR="003837D7" w:rsidRPr="00E869A4">
        <w:rPr>
          <w:rFonts w:ascii="Times New Roman" w:hAnsi="Times New Roman" w:cs="Times New Roman"/>
        </w:rPr>
        <w:t>6</w:t>
      </w:r>
      <w:r w:rsidR="00631078" w:rsidRPr="00E869A4">
        <w:rPr>
          <w:rFonts w:ascii="Times New Roman" w:hAnsi="Times New Roman" w:cs="Times New Roman"/>
        </w:rPr>
        <w:t xml:space="preserve"> to </w:t>
      </w:r>
      <w:r w:rsidR="003837D7" w:rsidRPr="00E869A4">
        <w:rPr>
          <w:rFonts w:ascii="Times New Roman" w:hAnsi="Times New Roman" w:cs="Times New Roman"/>
        </w:rPr>
        <w:t>8</w:t>
      </w:r>
      <w:r w:rsidR="00631078" w:rsidRPr="00E869A4">
        <w:rPr>
          <w:rFonts w:ascii="Times New Roman" w:hAnsi="Times New Roman" w:cs="Times New Roman"/>
        </w:rPr>
        <w:t xml:space="preserve">, </w:t>
      </w:r>
      <w:r w:rsidR="00631078" w:rsidRPr="00E869A4">
        <w:rPr>
          <w:rFonts w:ascii="Times New Roman" w:eastAsia="Times New Roman" w:hAnsi="Times New Roman" w:cs="Times New Roman"/>
          <w:szCs w:val="24"/>
          <w:lang w:eastAsia="en-TT"/>
        </w:rPr>
        <w:t xml:space="preserve">the qualitative data obtained from the in-depth interviews and focus group discussions are </w:t>
      </w:r>
      <w:r w:rsidR="00631078" w:rsidRPr="00E869A4">
        <w:rPr>
          <w:rFonts w:ascii="Times New Roman" w:hAnsi="Times New Roman" w:cs="Times New Roman"/>
        </w:rPr>
        <w:t>organised according to the main research questions the study sought to answer i.e. determinants of care, experiences of care, and coping and care management strategies respectively.</w:t>
      </w:r>
      <w:r w:rsidR="00FD032B" w:rsidRPr="00E869A4">
        <w:rPr>
          <w:rFonts w:ascii="Times New Roman" w:hAnsi="Times New Roman" w:cs="Times New Roman"/>
        </w:rPr>
        <w:t xml:space="preserve"> </w:t>
      </w:r>
      <w:r w:rsidRPr="00E869A4">
        <w:rPr>
          <w:rFonts w:ascii="Times New Roman" w:hAnsi="Times New Roman" w:cs="Times New Roman"/>
        </w:rPr>
        <w:t xml:space="preserve">Chapter </w:t>
      </w:r>
      <w:r w:rsidR="003837D7" w:rsidRPr="00E869A4">
        <w:rPr>
          <w:rFonts w:ascii="Times New Roman" w:hAnsi="Times New Roman" w:cs="Times New Roman"/>
        </w:rPr>
        <w:t>9</w:t>
      </w:r>
      <w:r w:rsidR="0009143A" w:rsidRPr="00E869A4">
        <w:rPr>
          <w:rFonts w:ascii="Times New Roman" w:hAnsi="Times New Roman" w:cs="Times New Roman"/>
        </w:rPr>
        <w:t xml:space="preserve"> </w:t>
      </w:r>
      <w:r w:rsidRPr="00E869A4">
        <w:rPr>
          <w:rFonts w:ascii="Times New Roman" w:hAnsi="Times New Roman" w:cs="Times New Roman"/>
        </w:rPr>
        <w:t xml:space="preserve">provides the results of the quantitative </w:t>
      </w:r>
      <w:r w:rsidR="00631078" w:rsidRPr="00E869A4">
        <w:rPr>
          <w:rFonts w:ascii="Times New Roman" w:hAnsi="Times New Roman" w:cs="Times New Roman"/>
        </w:rPr>
        <w:t>survey that</w:t>
      </w:r>
      <w:r w:rsidRPr="00E869A4">
        <w:rPr>
          <w:rFonts w:ascii="Times New Roman" w:hAnsi="Times New Roman" w:cs="Times New Roman"/>
        </w:rPr>
        <w:t xml:space="preserve"> was conducted between April 1</w:t>
      </w:r>
      <w:r w:rsidRPr="00E869A4">
        <w:rPr>
          <w:rFonts w:ascii="Times New Roman" w:hAnsi="Times New Roman" w:cs="Times New Roman"/>
          <w:vertAlign w:val="superscript"/>
        </w:rPr>
        <w:t>st</w:t>
      </w:r>
      <w:r w:rsidRPr="00E869A4">
        <w:rPr>
          <w:rFonts w:ascii="Times New Roman" w:hAnsi="Times New Roman" w:cs="Times New Roman"/>
        </w:rPr>
        <w:t xml:space="preserve">, 2014 and July 30, 2014. In addition to the </w:t>
      </w:r>
      <w:r w:rsidRPr="00E869A4">
        <w:rPr>
          <w:rFonts w:ascii="Times New Roman" w:hAnsi="Times New Roman" w:cs="Times New Roman"/>
        </w:rPr>
        <w:lastRenderedPageBreak/>
        <w:t xml:space="preserve">responses to the closed-ended questions, many of the respondents availed themselves of the open-ended comment boxes and shared extensively on their experiences. Some of the comments </w:t>
      </w:r>
      <w:r w:rsidR="00FD032B" w:rsidRPr="00E869A4">
        <w:rPr>
          <w:rFonts w:ascii="Times New Roman" w:hAnsi="Times New Roman" w:cs="Times New Roman"/>
        </w:rPr>
        <w:t>they gave</w:t>
      </w:r>
      <w:r w:rsidRPr="00E869A4">
        <w:rPr>
          <w:rFonts w:ascii="Times New Roman" w:hAnsi="Times New Roman" w:cs="Times New Roman"/>
        </w:rPr>
        <w:t xml:space="preserve"> are also included in this section</w:t>
      </w:r>
      <w:r w:rsidR="00CF1915" w:rsidRPr="00E869A4">
        <w:rPr>
          <w:rFonts w:ascii="Times New Roman" w:hAnsi="Times New Roman" w:cs="Times New Roman"/>
        </w:rPr>
        <w:t>.</w:t>
      </w:r>
      <w:r w:rsidR="005E271A" w:rsidRPr="00E869A4">
        <w:rPr>
          <w:rFonts w:ascii="Times New Roman" w:hAnsi="Times New Roman" w:cs="Times New Roman"/>
        </w:rPr>
        <w:t xml:space="preserve"> </w:t>
      </w:r>
      <w:r w:rsidR="0009143A" w:rsidRPr="00E869A4">
        <w:t>The discussion and conclusion sections are presented in Chapter 1</w:t>
      </w:r>
      <w:r w:rsidR="003837D7" w:rsidRPr="00E869A4">
        <w:t>0</w:t>
      </w:r>
      <w:r w:rsidR="0009143A" w:rsidRPr="00E869A4">
        <w:t xml:space="preserve">. The </w:t>
      </w:r>
      <w:r w:rsidR="009C1850" w:rsidRPr="00E869A4">
        <w:t xml:space="preserve">findings of the study are discussed in context of </w:t>
      </w:r>
      <w:r w:rsidR="0009143A" w:rsidRPr="00E869A4">
        <w:t xml:space="preserve">the literature reviewed earlier, and </w:t>
      </w:r>
      <w:r w:rsidR="00631078" w:rsidRPr="00E869A4">
        <w:t>some initial</w:t>
      </w:r>
      <w:r w:rsidR="009C1850" w:rsidRPr="00E869A4">
        <w:t xml:space="preserve"> recommendations are provided with respect to policy </w:t>
      </w:r>
      <w:r w:rsidR="00631078" w:rsidRPr="00E869A4">
        <w:t>formulation and the</w:t>
      </w:r>
      <w:r w:rsidR="009C1850" w:rsidRPr="00E869A4">
        <w:t xml:space="preserve"> development and provision of </w:t>
      </w:r>
      <w:r w:rsidR="00C70395" w:rsidRPr="00E869A4">
        <w:t xml:space="preserve">social </w:t>
      </w:r>
      <w:r w:rsidR="009C1850" w:rsidRPr="00E869A4">
        <w:t xml:space="preserve">services for </w:t>
      </w:r>
      <w:r w:rsidR="00C70395" w:rsidRPr="00E869A4">
        <w:t xml:space="preserve">older people and their </w:t>
      </w:r>
      <w:proofErr w:type="spellStart"/>
      <w:r w:rsidR="00C70395" w:rsidRPr="00E869A4">
        <w:t>carers</w:t>
      </w:r>
      <w:proofErr w:type="spellEnd"/>
      <w:r w:rsidR="00C70395" w:rsidRPr="00E869A4">
        <w:t xml:space="preserve"> in </w:t>
      </w:r>
      <w:r w:rsidR="00CF1915" w:rsidRPr="00E869A4">
        <w:t>T&amp;T</w:t>
      </w:r>
      <w:r w:rsidR="009C1850" w:rsidRPr="00E869A4">
        <w:t xml:space="preserve">. </w:t>
      </w:r>
    </w:p>
    <w:p w14:paraId="0EEBF6D7" w14:textId="77777777" w:rsidR="00FB20C2" w:rsidRPr="00E869A4" w:rsidRDefault="00FB20C2"/>
    <w:p w14:paraId="728F0118" w14:textId="6110FCA5" w:rsidR="008E4C31" w:rsidRPr="00E869A4" w:rsidRDefault="00E143E2" w:rsidP="00175C3E">
      <w:pPr>
        <w:pStyle w:val="Heading2"/>
      </w:pPr>
      <w:bookmarkStart w:id="43" w:name="_Toc40436462"/>
      <w:r w:rsidRPr="00E869A4">
        <w:t>1.</w:t>
      </w:r>
      <w:r w:rsidR="00155DF3" w:rsidRPr="00E869A4">
        <w:t xml:space="preserve">6 </w:t>
      </w:r>
      <w:r w:rsidR="00346437" w:rsidRPr="00E869A4">
        <w:t>CONCLUSION</w:t>
      </w:r>
      <w:bookmarkEnd w:id="43"/>
    </w:p>
    <w:p w14:paraId="7329FBFD" w14:textId="77777777" w:rsidR="00757881" w:rsidRPr="00E869A4" w:rsidRDefault="00757881" w:rsidP="0051234F">
      <w:pPr>
        <w:pStyle w:val="112"/>
        <w:rPr>
          <w:color w:val="auto"/>
        </w:rPr>
      </w:pPr>
    </w:p>
    <w:p w14:paraId="37B16064" w14:textId="6F511F0E" w:rsidR="002B3348" w:rsidRPr="00E869A4" w:rsidRDefault="00252929" w:rsidP="00A35FF8">
      <w:pPr>
        <w:rPr>
          <w:rFonts w:ascii="Times New Roman" w:hAnsi="Times New Roman" w:cs="Times New Roman"/>
        </w:rPr>
      </w:pPr>
      <w:r w:rsidRPr="00E869A4">
        <w:rPr>
          <w:rFonts w:ascii="Times New Roman" w:hAnsi="Times New Roman" w:cs="Times New Roman"/>
        </w:rPr>
        <w:t xml:space="preserve">In this chapter, I presented the research questions and rationale for the study. </w:t>
      </w:r>
      <w:r w:rsidR="00CB6F2D" w:rsidRPr="00E869A4">
        <w:rPr>
          <w:rFonts w:ascii="Times New Roman" w:hAnsi="Times New Roman" w:cs="Times New Roman"/>
        </w:rPr>
        <w:t>B</w:t>
      </w:r>
      <w:r w:rsidRPr="00E869A4">
        <w:rPr>
          <w:rFonts w:ascii="Times New Roman" w:hAnsi="Times New Roman" w:cs="Times New Roman"/>
        </w:rPr>
        <w:t>ackground information was pr</w:t>
      </w:r>
      <w:r w:rsidR="00CB6F2D" w:rsidRPr="00E869A4">
        <w:rPr>
          <w:rFonts w:ascii="Times New Roman" w:hAnsi="Times New Roman" w:cs="Times New Roman"/>
        </w:rPr>
        <w:t>ovided</w:t>
      </w:r>
      <w:r w:rsidRPr="00E869A4">
        <w:rPr>
          <w:rFonts w:ascii="Times New Roman" w:hAnsi="Times New Roman" w:cs="Times New Roman"/>
        </w:rPr>
        <w:t xml:space="preserve"> on </w:t>
      </w:r>
      <w:r w:rsidR="00A132FE" w:rsidRPr="00E869A4">
        <w:rPr>
          <w:rFonts w:ascii="Times New Roman" w:hAnsi="Times New Roman" w:cs="Times New Roman"/>
        </w:rPr>
        <w:t>T&amp;T</w:t>
      </w:r>
      <w:r w:rsidR="008D1352" w:rsidRPr="00E869A4">
        <w:rPr>
          <w:rFonts w:ascii="Times New Roman" w:hAnsi="Times New Roman" w:cs="Times New Roman"/>
        </w:rPr>
        <w:t xml:space="preserve">’s geography, population and economic situation, </w:t>
      </w:r>
      <w:r w:rsidR="00B13380" w:rsidRPr="00E869A4">
        <w:rPr>
          <w:rFonts w:ascii="Times New Roman" w:hAnsi="Times New Roman" w:cs="Times New Roman"/>
        </w:rPr>
        <w:t>including</w:t>
      </w:r>
      <w:r w:rsidR="008D1352" w:rsidRPr="00E869A4">
        <w:rPr>
          <w:rFonts w:ascii="Times New Roman" w:hAnsi="Times New Roman" w:cs="Times New Roman"/>
        </w:rPr>
        <w:t xml:space="preserve"> an overview of the demographic transition that the country has undergone which has led to its ageing population. </w:t>
      </w:r>
      <w:r w:rsidR="00CB6F2D" w:rsidRPr="00E869A4">
        <w:rPr>
          <w:rFonts w:ascii="Times New Roman" w:hAnsi="Times New Roman" w:cs="Times New Roman"/>
        </w:rPr>
        <w:t xml:space="preserve">Available information on the </w:t>
      </w:r>
      <w:r w:rsidR="008D1352" w:rsidRPr="00E869A4">
        <w:rPr>
          <w:rFonts w:ascii="Times New Roman" w:hAnsi="Times New Roman" w:cs="Times New Roman"/>
        </w:rPr>
        <w:t xml:space="preserve">situation of frail older persons </w:t>
      </w:r>
      <w:r w:rsidR="00CB6F2D" w:rsidRPr="00E869A4">
        <w:rPr>
          <w:rFonts w:ascii="Times New Roman" w:hAnsi="Times New Roman" w:cs="Times New Roman"/>
        </w:rPr>
        <w:t xml:space="preserve">in T&amp;T </w:t>
      </w:r>
      <w:r w:rsidR="008D1352" w:rsidRPr="00E869A4">
        <w:rPr>
          <w:rFonts w:ascii="Times New Roman" w:hAnsi="Times New Roman" w:cs="Times New Roman"/>
        </w:rPr>
        <w:t xml:space="preserve">was </w:t>
      </w:r>
      <w:r w:rsidR="00CB6F2D" w:rsidRPr="00E869A4">
        <w:rPr>
          <w:rFonts w:ascii="Times New Roman" w:hAnsi="Times New Roman" w:cs="Times New Roman"/>
        </w:rPr>
        <w:t>reviewed</w:t>
      </w:r>
      <w:r w:rsidR="00B13380" w:rsidRPr="00E869A4">
        <w:rPr>
          <w:rFonts w:ascii="Times New Roman" w:hAnsi="Times New Roman" w:cs="Times New Roman"/>
        </w:rPr>
        <w:t xml:space="preserve">, </w:t>
      </w:r>
      <w:r w:rsidR="00CB6F2D" w:rsidRPr="00E869A4">
        <w:rPr>
          <w:rFonts w:ascii="Times New Roman" w:hAnsi="Times New Roman" w:cs="Times New Roman"/>
        </w:rPr>
        <w:t xml:space="preserve">and the </w:t>
      </w:r>
      <w:r w:rsidR="0072411D" w:rsidRPr="00E869A4">
        <w:rPr>
          <w:rFonts w:ascii="Times New Roman" w:hAnsi="Times New Roman" w:cs="Times New Roman"/>
        </w:rPr>
        <w:t>NPA</w:t>
      </w:r>
      <w:r w:rsidR="00CB6F2D" w:rsidRPr="00E869A4">
        <w:rPr>
          <w:rFonts w:ascii="Times New Roman" w:hAnsi="Times New Roman" w:cs="Times New Roman"/>
        </w:rPr>
        <w:t xml:space="preserve"> was highlighted. T</w:t>
      </w:r>
      <w:r w:rsidR="008D1352" w:rsidRPr="00E869A4">
        <w:rPr>
          <w:rFonts w:ascii="Times New Roman" w:hAnsi="Times New Roman" w:cs="Times New Roman"/>
        </w:rPr>
        <w:t>he health and social service programmes that are available to older people and their family caregivers</w:t>
      </w:r>
      <w:r w:rsidR="00CB6F2D" w:rsidRPr="00E869A4">
        <w:rPr>
          <w:rFonts w:ascii="Times New Roman" w:hAnsi="Times New Roman" w:cs="Times New Roman"/>
        </w:rPr>
        <w:t xml:space="preserve"> were outlined</w:t>
      </w:r>
      <w:r w:rsidR="008D1352" w:rsidRPr="00E869A4">
        <w:rPr>
          <w:rFonts w:ascii="Times New Roman" w:hAnsi="Times New Roman" w:cs="Times New Roman"/>
        </w:rPr>
        <w:t xml:space="preserve">. </w:t>
      </w:r>
      <w:r w:rsidR="00CB6F2D" w:rsidRPr="00E869A4">
        <w:rPr>
          <w:rFonts w:ascii="Times New Roman" w:hAnsi="Times New Roman" w:cs="Times New Roman"/>
        </w:rPr>
        <w:t>The modest array of services is reflective of a developing country context with relatively high human development according to international ratings. C</w:t>
      </w:r>
      <w:r w:rsidR="008D1352" w:rsidRPr="00E869A4">
        <w:rPr>
          <w:rFonts w:ascii="Times New Roman" w:hAnsi="Times New Roman" w:cs="Times New Roman"/>
        </w:rPr>
        <w:t>urrently</w:t>
      </w:r>
      <w:r w:rsidR="00CB6F2D" w:rsidRPr="00E869A4">
        <w:rPr>
          <w:rFonts w:ascii="Times New Roman" w:hAnsi="Times New Roman" w:cs="Times New Roman"/>
        </w:rPr>
        <w:t>,</w:t>
      </w:r>
      <w:r w:rsidR="008D1352" w:rsidRPr="00E869A4">
        <w:rPr>
          <w:rFonts w:ascii="Times New Roman" w:hAnsi="Times New Roman" w:cs="Times New Roman"/>
        </w:rPr>
        <w:t xml:space="preserve"> no policy on </w:t>
      </w:r>
      <w:r w:rsidR="00B13380" w:rsidRPr="00E869A4">
        <w:rPr>
          <w:rFonts w:ascii="Times New Roman" w:hAnsi="Times New Roman" w:cs="Times New Roman"/>
        </w:rPr>
        <w:t>f</w:t>
      </w:r>
      <w:r w:rsidR="008D1352" w:rsidRPr="00E869A4">
        <w:rPr>
          <w:rFonts w:ascii="Times New Roman" w:hAnsi="Times New Roman" w:cs="Times New Roman"/>
        </w:rPr>
        <w:t xml:space="preserve">amily </w:t>
      </w:r>
      <w:r w:rsidR="00B13380" w:rsidRPr="00E869A4">
        <w:rPr>
          <w:rFonts w:ascii="Times New Roman" w:hAnsi="Times New Roman" w:cs="Times New Roman"/>
        </w:rPr>
        <w:t>c</w:t>
      </w:r>
      <w:r w:rsidR="008D1352" w:rsidRPr="00E869A4">
        <w:rPr>
          <w:rFonts w:ascii="Times New Roman" w:hAnsi="Times New Roman" w:cs="Times New Roman"/>
        </w:rPr>
        <w:t xml:space="preserve">aregivers </w:t>
      </w:r>
      <w:r w:rsidR="00CB6F2D" w:rsidRPr="00E869A4">
        <w:rPr>
          <w:rFonts w:ascii="Times New Roman" w:hAnsi="Times New Roman" w:cs="Times New Roman"/>
        </w:rPr>
        <w:t xml:space="preserve">exists </w:t>
      </w:r>
      <w:r w:rsidR="008D1352" w:rsidRPr="00E869A4">
        <w:rPr>
          <w:rFonts w:ascii="Times New Roman" w:hAnsi="Times New Roman" w:cs="Times New Roman"/>
        </w:rPr>
        <w:t xml:space="preserve">for the country, nor are there any </w:t>
      </w:r>
      <w:r w:rsidR="008A0CEF" w:rsidRPr="00E869A4">
        <w:rPr>
          <w:rFonts w:ascii="Times New Roman" w:hAnsi="Times New Roman" w:cs="Times New Roman"/>
        </w:rPr>
        <w:t>s</w:t>
      </w:r>
      <w:r w:rsidR="00DD03CE" w:rsidRPr="00E869A4">
        <w:rPr>
          <w:rFonts w:ascii="Times New Roman" w:hAnsi="Times New Roman" w:cs="Times New Roman"/>
        </w:rPr>
        <w:t>tate</w:t>
      </w:r>
      <w:r w:rsidR="00BF601A" w:rsidRPr="00E869A4">
        <w:rPr>
          <w:rFonts w:ascii="Times New Roman" w:hAnsi="Times New Roman" w:cs="Times New Roman"/>
        </w:rPr>
        <w:t xml:space="preserve"> services that identif</w:t>
      </w:r>
      <w:r w:rsidR="00A132FE" w:rsidRPr="00E869A4">
        <w:rPr>
          <w:rFonts w:ascii="Times New Roman" w:hAnsi="Times New Roman" w:cs="Times New Roman"/>
        </w:rPr>
        <w:t>y</w:t>
      </w:r>
      <w:r w:rsidR="00BF601A" w:rsidRPr="00E869A4">
        <w:rPr>
          <w:rFonts w:ascii="Times New Roman" w:hAnsi="Times New Roman" w:cs="Times New Roman"/>
        </w:rPr>
        <w:t xml:space="preserve"> </w:t>
      </w:r>
      <w:r w:rsidR="00CB6F2D" w:rsidRPr="00E869A4">
        <w:rPr>
          <w:rFonts w:ascii="Times New Roman" w:hAnsi="Times New Roman" w:cs="Times New Roman"/>
        </w:rPr>
        <w:t xml:space="preserve">carers </w:t>
      </w:r>
      <w:r w:rsidR="00BF601A" w:rsidRPr="00E869A4">
        <w:rPr>
          <w:rFonts w:ascii="Times New Roman" w:hAnsi="Times New Roman" w:cs="Times New Roman"/>
        </w:rPr>
        <w:t>as</w:t>
      </w:r>
      <w:r w:rsidR="00016952" w:rsidRPr="00E869A4">
        <w:rPr>
          <w:rFonts w:ascii="Times New Roman" w:hAnsi="Times New Roman" w:cs="Times New Roman"/>
        </w:rPr>
        <w:t xml:space="preserve"> </w:t>
      </w:r>
      <w:r w:rsidR="00CB6F2D" w:rsidRPr="00E869A4">
        <w:rPr>
          <w:rFonts w:ascii="Times New Roman" w:hAnsi="Times New Roman" w:cs="Times New Roman"/>
        </w:rPr>
        <w:t>a</w:t>
      </w:r>
      <w:r w:rsidR="00016952" w:rsidRPr="00E869A4">
        <w:rPr>
          <w:rFonts w:ascii="Times New Roman" w:hAnsi="Times New Roman" w:cs="Times New Roman"/>
        </w:rPr>
        <w:t xml:space="preserve"> primary target population. The following chapter dis</w:t>
      </w:r>
      <w:r w:rsidR="0072411D" w:rsidRPr="00E869A4">
        <w:rPr>
          <w:rFonts w:ascii="Times New Roman" w:hAnsi="Times New Roman" w:cs="Times New Roman"/>
        </w:rPr>
        <w:t xml:space="preserve">cusses the literature on family, </w:t>
      </w:r>
      <w:r w:rsidR="00016952" w:rsidRPr="00E869A4">
        <w:rPr>
          <w:rFonts w:ascii="Times New Roman" w:hAnsi="Times New Roman" w:cs="Times New Roman"/>
        </w:rPr>
        <w:t>caregiving</w:t>
      </w:r>
      <w:r w:rsidR="0072411D" w:rsidRPr="00E869A4">
        <w:rPr>
          <w:rFonts w:ascii="Times New Roman" w:hAnsi="Times New Roman" w:cs="Times New Roman"/>
        </w:rPr>
        <w:t xml:space="preserve"> and family care policy</w:t>
      </w:r>
      <w:r w:rsidR="00016952" w:rsidRPr="00E869A4">
        <w:rPr>
          <w:rFonts w:ascii="Times New Roman" w:hAnsi="Times New Roman" w:cs="Times New Roman"/>
        </w:rPr>
        <w:t xml:space="preserve">. </w:t>
      </w:r>
      <w:r w:rsidR="002B3348" w:rsidRPr="00E869A4">
        <w:rPr>
          <w:rFonts w:ascii="Times New Roman" w:hAnsi="Times New Roman" w:cs="Times New Roman"/>
        </w:rPr>
        <w:br w:type="page"/>
      </w:r>
    </w:p>
    <w:p w14:paraId="463C91BD" w14:textId="72519D33" w:rsidR="00346437" w:rsidRPr="00E869A4" w:rsidRDefault="007E0B8D" w:rsidP="00D20B2D">
      <w:pPr>
        <w:pStyle w:val="Heading1"/>
        <w:rPr>
          <w:lang w:val="en-GB"/>
        </w:rPr>
      </w:pPr>
      <w:bookmarkStart w:id="44" w:name="_Toc40436463"/>
      <w:r w:rsidRPr="00E869A4">
        <w:rPr>
          <w:lang w:val="en-GB"/>
        </w:rPr>
        <w:lastRenderedPageBreak/>
        <w:t>CHAPTER 2 –</w:t>
      </w:r>
      <w:r w:rsidR="00346437" w:rsidRPr="00E869A4">
        <w:rPr>
          <w:lang w:val="en-GB"/>
        </w:rPr>
        <w:t xml:space="preserve"> </w:t>
      </w:r>
      <w:r w:rsidR="008E4C31" w:rsidRPr="00E869A4">
        <w:rPr>
          <w:lang w:val="en-GB"/>
        </w:rPr>
        <w:t>LITERATURE</w:t>
      </w:r>
      <w:r w:rsidR="00EB4CB8" w:rsidRPr="00E869A4">
        <w:rPr>
          <w:lang w:val="en-GB"/>
        </w:rPr>
        <w:t xml:space="preserve"> REVIEW</w:t>
      </w:r>
      <w:bookmarkEnd w:id="44"/>
      <w:r w:rsidR="0078535E" w:rsidRPr="00E869A4">
        <w:rPr>
          <w:lang w:val="en-GB"/>
        </w:rPr>
        <w:t xml:space="preserve"> </w:t>
      </w:r>
    </w:p>
    <w:p w14:paraId="2ACBA982" w14:textId="562A0568" w:rsidR="005E19B3" w:rsidRPr="00E869A4" w:rsidRDefault="002172CE" w:rsidP="00D20B2D">
      <w:pPr>
        <w:pStyle w:val="Heading1"/>
        <w:rPr>
          <w:lang w:val="en-GB"/>
        </w:rPr>
      </w:pPr>
      <w:bookmarkStart w:id="45" w:name="_Toc40436464"/>
      <w:r w:rsidRPr="00E869A4">
        <w:rPr>
          <w:lang w:val="en-GB"/>
        </w:rPr>
        <w:t xml:space="preserve">CONCEPTUALISATIONS OF </w:t>
      </w:r>
      <w:r w:rsidR="0078535E" w:rsidRPr="00E869A4">
        <w:rPr>
          <w:lang w:val="en-GB"/>
        </w:rPr>
        <w:t>FAMILY</w:t>
      </w:r>
      <w:r w:rsidRPr="00E869A4">
        <w:rPr>
          <w:lang w:val="en-GB"/>
        </w:rPr>
        <w:t>,</w:t>
      </w:r>
      <w:r w:rsidR="0078535E" w:rsidRPr="00E869A4">
        <w:rPr>
          <w:lang w:val="en-GB"/>
        </w:rPr>
        <w:t xml:space="preserve"> CARE</w:t>
      </w:r>
      <w:r w:rsidRPr="00E869A4">
        <w:rPr>
          <w:lang w:val="en-GB"/>
        </w:rPr>
        <w:t xml:space="preserve"> &amp; FAMILY POLICY</w:t>
      </w:r>
      <w:bookmarkEnd w:id="45"/>
    </w:p>
    <w:p w14:paraId="62329726" w14:textId="77777777" w:rsidR="001C4383" w:rsidRPr="00E869A4" w:rsidRDefault="001C4383" w:rsidP="0051234F">
      <w:pPr>
        <w:pStyle w:val="112"/>
        <w:rPr>
          <w:color w:val="auto"/>
        </w:rPr>
      </w:pPr>
      <w:bookmarkStart w:id="46" w:name="_Toc510433965"/>
      <w:bookmarkStart w:id="47" w:name="_Toc510434272"/>
      <w:bookmarkStart w:id="48" w:name="_Toc510434578"/>
      <w:bookmarkStart w:id="49" w:name="_Toc510434884"/>
      <w:bookmarkStart w:id="50" w:name="_Toc510435191"/>
      <w:bookmarkStart w:id="51" w:name="_Toc510435498"/>
      <w:bookmarkStart w:id="52" w:name="_Toc510435805"/>
      <w:bookmarkStart w:id="53" w:name="_Toc510436112"/>
      <w:bookmarkStart w:id="54" w:name="_Toc510436419"/>
      <w:bookmarkStart w:id="55" w:name="_Toc510436725"/>
      <w:bookmarkStart w:id="56" w:name="_Toc510437030"/>
      <w:bookmarkStart w:id="57" w:name="_Toc510437336"/>
      <w:bookmarkStart w:id="58" w:name="_Toc510437643"/>
      <w:bookmarkStart w:id="59" w:name="_Toc510437951"/>
      <w:bookmarkStart w:id="60" w:name="_Toc510438260"/>
      <w:bookmarkStart w:id="61" w:name="_Toc510438568"/>
      <w:bookmarkStart w:id="62" w:name="_Toc510438876"/>
      <w:bookmarkStart w:id="63" w:name="_Toc510439184"/>
      <w:bookmarkStart w:id="64" w:name="_Toc510439491"/>
      <w:bookmarkStart w:id="65" w:name="_Toc510439799"/>
      <w:bookmarkStart w:id="66" w:name="_Toc510440107"/>
      <w:bookmarkStart w:id="67" w:name="_Toc510440412"/>
      <w:bookmarkStart w:id="68" w:name="_Toc510440718"/>
      <w:bookmarkStart w:id="69" w:name="_Toc510441024"/>
      <w:bookmarkStart w:id="70" w:name="_Toc510441330"/>
      <w:bookmarkStart w:id="71" w:name="_Toc510441637"/>
      <w:bookmarkStart w:id="72" w:name="_Toc510441942"/>
      <w:bookmarkStart w:id="73" w:name="_Toc510442248"/>
      <w:bookmarkStart w:id="74" w:name="_Toc510442554"/>
      <w:bookmarkStart w:id="75" w:name="_Toc510442861"/>
      <w:bookmarkStart w:id="76" w:name="_Toc510443167"/>
      <w:bookmarkStart w:id="77" w:name="_Toc510443473"/>
      <w:bookmarkStart w:id="78" w:name="_Toc510443779"/>
      <w:bookmarkStart w:id="79" w:name="_Toc510444084"/>
      <w:bookmarkStart w:id="80" w:name="_Toc510444390"/>
      <w:bookmarkStart w:id="81" w:name="_Toc510444696"/>
      <w:bookmarkStart w:id="82" w:name="_Toc510445732"/>
      <w:bookmarkStart w:id="83" w:name="_Toc510446036"/>
      <w:bookmarkStart w:id="84" w:name="_Toc510447361"/>
      <w:bookmarkStart w:id="85" w:name="_Toc510447666"/>
      <w:bookmarkStart w:id="86" w:name="_Toc510448380"/>
      <w:bookmarkStart w:id="87" w:name="_Toc510448684"/>
      <w:bookmarkStart w:id="88" w:name="_Toc510449370"/>
      <w:bookmarkStart w:id="89" w:name="_Toc510450530"/>
      <w:bookmarkStart w:id="90" w:name="_Toc510456473"/>
      <w:bookmarkStart w:id="91" w:name="_Toc510456667"/>
      <w:bookmarkStart w:id="92" w:name="_Toc510456859"/>
      <w:bookmarkStart w:id="93" w:name="_Toc510457051"/>
      <w:bookmarkStart w:id="94" w:name="_Toc510457244"/>
      <w:bookmarkStart w:id="95" w:name="_Toc510463210"/>
      <w:bookmarkStart w:id="96" w:name="_Toc510463406"/>
      <w:bookmarkStart w:id="97" w:name="_Toc510463603"/>
      <w:bookmarkStart w:id="98" w:name="_Toc510463794"/>
      <w:bookmarkStart w:id="99" w:name="_Toc510463985"/>
      <w:bookmarkStart w:id="100" w:name="_Toc510464181"/>
      <w:bookmarkStart w:id="101" w:name="_Toc510464477"/>
      <w:bookmarkStart w:id="102" w:name="_Toc510464773"/>
      <w:bookmarkStart w:id="103" w:name="_Toc510465979"/>
      <w:bookmarkStart w:id="104" w:name="_Toc510466288"/>
      <w:bookmarkStart w:id="105" w:name="_Toc510468073"/>
      <w:bookmarkStart w:id="106" w:name="_Toc510468374"/>
      <w:bookmarkStart w:id="107" w:name="_Toc510468676"/>
      <w:bookmarkStart w:id="108" w:name="_Toc510468977"/>
      <w:bookmarkStart w:id="109" w:name="_Toc510469278"/>
      <w:bookmarkStart w:id="110" w:name="_Toc510469579"/>
      <w:bookmarkStart w:id="111" w:name="_Toc510469880"/>
      <w:bookmarkStart w:id="112" w:name="_Toc510470181"/>
      <w:bookmarkStart w:id="113" w:name="_Toc510470482"/>
      <w:bookmarkStart w:id="114" w:name="_Toc510470783"/>
      <w:bookmarkStart w:id="115" w:name="_Toc510471074"/>
      <w:bookmarkStart w:id="116" w:name="_Toc510471269"/>
      <w:bookmarkStart w:id="117" w:name="_Toc510471464"/>
      <w:bookmarkStart w:id="118" w:name="_Toc510471658"/>
      <w:bookmarkStart w:id="119" w:name="_Toc510471850"/>
      <w:bookmarkStart w:id="120" w:name="_Toc510481811"/>
      <w:bookmarkStart w:id="121" w:name="_Toc510482452"/>
      <w:bookmarkStart w:id="122" w:name="_Toc510482645"/>
      <w:bookmarkStart w:id="123" w:name="_Toc510482838"/>
      <w:bookmarkStart w:id="124" w:name="_Toc510483030"/>
      <w:bookmarkStart w:id="125" w:name="_Toc50501535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49DD6C1D" w14:textId="77777777" w:rsidR="001F077F" w:rsidRPr="00E869A4" w:rsidRDefault="00756836" w:rsidP="00175C3E">
      <w:pPr>
        <w:pStyle w:val="Heading2"/>
      </w:pPr>
      <w:bookmarkStart w:id="126" w:name="_Toc40436465"/>
      <w:r w:rsidRPr="00E869A4">
        <w:t xml:space="preserve">2.1 </w:t>
      </w:r>
      <w:r w:rsidR="001F077F" w:rsidRPr="00E869A4">
        <w:t>INTRODUCTION</w:t>
      </w:r>
      <w:bookmarkEnd w:id="125"/>
      <w:bookmarkEnd w:id="126"/>
    </w:p>
    <w:p w14:paraId="4E89702C" w14:textId="77777777" w:rsidR="00757881" w:rsidRPr="00E869A4" w:rsidRDefault="00757881" w:rsidP="0051234F">
      <w:pPr>
        <w:pStyle w:val="112"/>
        <w:rPr>
          <w:color w:val="auto"/>
        </w:rPr>
      </w:pPr>
    </w:p>
    <w:p w14:paraId="68CD31C1" w14:textId="5BBA5267" w:rsidR="002172CE" w:rsidRPr="00E869A4" w:rsidRDefault="001F077F" w:rsidP="002172CE">
      <w:pPr>
        <w:rPr>
          <w:rFonts w:ascii="Times New Roman" w:hAnsi="Times New Roman" w:cs="Times New Roman"/>
        </w:rPr>
      </w:pPr>
      <w:r w:rsidRPr="00E869A4">
        <w:rPr>
          <w:rFonts w:ascii="Times New Roman" w:hAnsi="Times New Roman" w:cs="Times New Roman"/>
        </w:rPr>
        <w:t xml:space="preserve">This </w:t>
      </w:r>
      <w:r w:rsidR="002172CE" w:rsidRPr="00E869A4">
        <w:rPr>
          <w:rFonts w:ascii="Times New Roman" w:hAnsi="Times New Roman" w:cs="Times New Roman"/>
        </w:rPr>
        <w:t xml:space="preserve">chapter </w:t>
      </w:r>
      <w:r w:rsidR="00635989" w:rsidRPr="00E869A4">
        <w:rPr>
          <w:rFonts w:ascii="Times New Roman" w:hAnsi="Times New Roman" w:cs="Times New Roman"/>
        </w:rPr>
        <w:t xml:space="preserve">reviews </w:t>
      </w:r>
      <w:r w:rsidRPr="00E869A4">
        <w:rPr>
          <w:rFonts w:ascii="Times New Roman" w:hAnsi="Times New Roman" w:cs="Times New Roman"/>
        </w:rPr>
        <w:t xml:space="preserve">various </w:t>
      </w:r>
      <w:r w:rsidR="00635989" w:rsidRPr="00E869A4">
        <w:rPr>
          <w:rFonts w:ascii="Times New Roman" w:hAnsi="Times New Roman" w:cs="Times New Roman"/>
        </w:rPr>
        <w:t xml:space="preserve">sociological </w:t>
      </w:r>
      <w:r w:rsidRPr="00E869A4">
        <w:rPr>
          <w:rFonts w:ascii="Times New Roman" w:hAnsi="Times New Roman" w:cs="Times New Roman"/>
        </w:rPr>
        <w:t xml:space="preserve">approaches to defining family </w:t>
      </w:r>
      <w:r w:rsidR="002172CE" w:rsidRPr="00E869A4">
        <w:rPr>
          <w:rFonts w:ascii="Times New Roman" w:hAnsi="Times New Roman" w:cs="Times New Roman"/>
        </w:rPr>
        <w:t xml:space="preserve">and </w:t>
      </w:r>
      <w:r w:rsidRPr="00E869A4">
        <w:rPr>
          <w:rFonts w:ascii="Times New Roman" w:hAnsi="Times New Roman" w:cs="Times New Roman"/>
        </w:rPr>
        <w:t>care</w:t>
      </w:r>
      <w:r w:rsidR="002172CE" w:rsidRPr="00E869A4">
        <w:rPr>
          <w:rFonts w:ascii="Times New Roman" w:hAnsi="Times New Roman" w:cs="Times New Roman"/>
        </w:rPr>
        <w:t xml:space="preserve">giving, as well as conceptualisations </w:t>
      </w:r>
      <w:r w:rsidR="009E7A82" w:rsidRPr="00E869A4">
        <w:rPr>
          <w:rFonts w:ascii="Times New Roman" w:hAnsi="Times New Roman" w:cs="Times New Roman"/>
        </w:rPr>
        <w:t xml:space="preserve">and debates on </w:t>
      </w:r>
      <w:r w:rsidR="002172CE" w:rsidRPr="00E869A4">
        <w:rPr>
          <w:rFonts w:ascii="Times New Roman" w:hAnsi="Times New Roman" w:cs="Times New Roman"/>
        </w:rPr>
        <w:t xml:space="preserve">family </w:t>
      </w:r>
      <w:r w:rsidR="009E7A82" w:rsidRPr="00E869A4">
        <w:rPr>
          <w:rFonts w:ascii="Times New Roman" w:hAnsi="Times New Roman" w:cs="Times New Roman"/>
        </w:rPr>
        <w:t xml:space="preserve">care </w:t>
      </w:r>
      <w:r w:rsidR="002172CE" w:rsidRPr="00E869A4">
        <w:rPr>
          <w:rFonts w:ascii="Times New Roman" w:hAnsi="Times New Roman" w:cs="Times New Roman"/>
        </w:rPr>
        <w:t xml:space="preserve">policy. </w:t>
      </w:r>
      <w:r w:rsidR="009E7A82" w:rsidRPr="00E869A4">
        <w:rPr>
          <w:rFonts w:ascii="Times New Roman" w:hAnsi="Times New Roman" w:cs="Times New Roman"/>
        </w:rPr>
        <w:t>T</w:t>
      </w:r>
      <w:r w:rsidR="00F74F99" w:rsidRPr="00E869A4">
        <w:rPr>
          <w:rFonts w:ascii="Times New Roman" w:hAnsi="Times New Roman" w:cs="Times New Roman"/>
        </w:rPr>
        <w:t xml:space="preserve">heoretical perspectives that are considered include symbolic interactionism, conflict theory, feminism, social exchange theory, symbolic interactionism, post modernism and post-colonial theory. </w:t>
      </w:r>
      <w:r w:rsidR="00635989" w:rsidRPr="00E869A4">
        <w:rPr>
          <w:rFonts w:ascii="Times New Roman" w:hAnsi="Times New Roman" w:cs="Times New Roman"/>
        </w:rPr>
        <w:t>S</w:t>
      </w:r>
      <w:r w:rsidR="002172CE" w:rsidRPr="00E869A4">
        <w:rPr>
          <w:rFonts w:ascii="Times New Roman" w:hAnsi="Times New Roman" w:cs="Times New Roman"/>
        </w:rPr>
        <w:t xml:space="preserve">pecific attention is given to Caribbean family structures and care practices. </w:t>
      </w:r>
      <w:r w:rsidR="00F74F99" w:rsidRPr="00E869A4">
        <w:rPr>
          <w:rFonts w:ascii="Times New Roman" w:hAnsi="Times New Roman" w:cs="Times New Roman"/>
        </w:rPr>
        <w:t xml:space="preserve">With regards to social policy concepts on family care </w:t>
      </w:r>
      <w:r w:rsidR="009E7A82" w:rsidRPr="00E869A4">
        <w:rPr>
          <w:rFonts w:ascii="Times New Roman" w:hAnsi="Times New Roman" w:cs="Times New Roman"/>
        </w:rPr>
        <w:t xml:space="preserve">the </w:t>
      </w:r>
      <w:r w:rsidR="009E7A82" w:rsidRPr="00E869A4">
        <w:rPr>
          <w:rFonts w:ascii="Times New Roman" w:hAnsi="Times New Roman" w:cs="Times New Roman"/>
          <w:i/>
        </w:rPr>
        <w:t>varieties of</w:t>
      </w:r>
      <w:r w:rsidR="00F74F99" w:rsidRPr="00E869A4">
        <w:rPr>
          <w:rFonts w:ascii="Times New Roman" w:hAnsi="Times New Roman" w:cs="Times New Roman"/>
          <w:i/>
        </w:rPr>
        <w:t xml:space="preserve"> familialism</w:t>
      </w:r>
      <w:r w:rsidR="00F74F99" w:rsidRPr="00E869A4">
        <w:rPr>
          <w:rFonts w:ascii="Times New Roman" w:hAnsi="Times New Roman" w:cs="Times New Roman"/>
        </w:rPr>
        <w:t xml:space="preserve"> </w:t>
      </w:r>
      <w:r w:rsidR="009E7A82" w:rsidRPr="00E869A4">
        <w:rPr>
          <w:rFonts w:ascii="Times New Roman" w:hAnsi="Times New Roman" w:cs="Times New Roman"/>
        </w:rPr>
        <w:t xml:space="preserve">that have emerged in the literature </w:t>
      </w:r>
      <w:r w:rsidR="00F74F99" w:rsidRPr="00E869A4">
        <w:rPr>
          <w:rFonts w:ascii="Times New Roman" w:hAnsi="Times New Roman" w:cs="Times New Roman"/>
        </w:rPr>
        <w:t xml:space="preserve">are explored. </w:t>
      </w:r>
      <w:r w:rsidR="0005065A" w:rsidRPr="00E869A4">
        <w:rPr>
          <w:rFonts w:ascii="Times New Roman" w:hAnsi="Times New Roman" w:cs="Times New Roman"/>
        </w:rPr>
        <w:t xml:space="preserve">The oft-cited debate on </w:t>
      </w:r>
      <w:r w:rsidR="009E7A82" w:rsidRPr="00E869A4">
        <w:rPr>
          <w:rFonts w:ascii="Times New Roman" w:hAnsi="Times New Roman" w:cs="Times New Roman"/>
        </w:rPr>
        <w:t>the</w:t>
      </w:r>
      <w:r w:rsidR="0005065A" w:rsidRPr="00E869A4">
        <w:rPr>
          <w:rFonts w:ascii="Times New Roman" w:hAnsi="Times New Roman" w:cs="Times New Roman"/>
        </w:rPr>
        <w:t xml:space="preserve"> principles of substitution </w:t>
      </w:r>
      <w:r w:rsidR="00C73C0D" w:rsidRPr="00E869A4">
        <w:rPr>
          <w:rFonts w:ascii="Times New Roman" w:hAnsi="Times New Roman" w:cs="Times New Roman"/>
        </w:rPr>
        <w:t xml:space="preserve">vs. </w:t>
      </w:r>
      <w:r w:rsidR="0005065A" w:rsidRPr="00E869A4">
        <w:rPr>
          <w:rFonts w:ascii="Times New Roman" w:hAnsi="Times New Roman" w:cs="Times New Roman"/>
        </w:rPr>
        <w:t xml:space="preserve">complementarity </w:t>
      </w:r>
      <w:r w:rsidR="009E7A82" w:rsidRPr="00E869A4">
        <w:rPr>
          <w:rFonts w:ascii="Times New Roman" w:hAnsi="Times New Roman" w:cs="Times New Roman"/>
        </w:rPr>
        <w:t>with regards</w:t>
      </w:r>
      <w:r w:rsidR="0005065A" w:rsidRPr="00E869A4">
        <w:rPr>
          <w:rFonts w:ascii="Times New Roman" w:hAnsi="Times New Roman" w:cs="Times New Roman"/>
        </w:rPr>
        <w:t xml:space="preserve"> to the provision of formal care services to families and older relatives is discussed. </w:t>
      </w:r>
      <w:r w:rsidR="00635989" w:rsidRPr="00E869A4">
        <w:rPr>
          <w:rFonts w:ascii="Times New Roman" w:hAnsi="Times New Roman" w:cs="Times New Roman"/>
        </w:rPr>
        <w:t>Some</w:t>
      </w:r>
      <w:r w:rsidR="002172CE" w:rsidRPr="00E869A4">
        <w:rPr>
          <w:rFonts w:ascii="Times New Roman" w:hAnsi="Times New Roman" w:cs="Times New Roman"/>
        </w:rPr>
        <w:t xml:space="preserve"> of the strategies that have been employed in different countries and regions to address the increasing care needs of older people and their family caregivers</w:t>
      </w:r>
      <w:r w:rsidR="00635989" w:rsidRPr="00E869A4">
        <w:rPr>
          <w:rFonts w:ascii="Times New Roman" w:hAnsi="Times New Roman" w:cs="Times New Roman"/>
        </w:rPr>
        <w:t xml:space="preserve"> are explored</w:t>
      </w:r>
      <w:r w:rsidR="002172CE" w:rsidRPr="00E869A4">
        <w:rPr>
          <w:rFonts w:ascii="Times New Roman" w:hAnsi="Times New Roman" w:cs="Times New Roman"/>
        </w:rPr>
        <w:t>. While the review of programmes and services is not exhaustive, it provides initial insights on key trends that have emerged with respect to the success and limitations of these approaches, which will be useful points for consideration when formulating policy and programme solutions for T&amp;T.</w:t>
      </w:r>
    </w:p>
    <w:p w14:paraId="25043BEE" w14:textId="77777777" w:rsidR="00A96010" w:rsidRPr="00E869A4" w:rsidRDefault="00A96010" w:rsidP="00A35FF8">
      <w:pPr>
        <w:rPr>
          <w:rFonts w:ascii="Times New Roman" w:hAnsi="Times New Roman" w:cs="Times New Roman"/>
        </w:rPr>
      </w:pPr>
    </w:p>
    <w:p w14:paraId="2E7BE9A3" w14:textId="0308A160" w:rsidR="001F077F" w:rsidRPr="00E869A4" w:rsidRDefault="00756836" w:rsidP="00175C3E">
      <w:pPr>
        <w:pStyle w:val="Heading2"/>
      </w:pPr>
      <w:bookmarkStart w:id="127" w:name="_Toc505015358"/>
      <w:bookmarkStart w:id="128" w:name="_Toc40436466"/>
      <w:r w:rsidRPr="00E869A4">
        <w:t xml:space="preserve">2.2 </w:t>
      </w:r>
      <w:bookmarkEnd w:id="127"/>
      <w:r w:rsidR="00B13C11" w:rsidRPr="00E869A4">
        <w:t>CONCEPTUALISING ‘FAMILY’</w:t>
      </w:r>
      <w:bookmarkEnd w:id="128"/>
      <w:r w:rsidR="00B13C11" w:rsidRPr="00E869A4">
        <w:t xml:space="preserve">  </w:t>
      </w:r>
    </w:p>
    <w:p w14:paraId="62BED353" w14:textId="77777777" w:rsidR="00757881" w:rsidRPr="00E869A4" w:rsidRDefault="00757881" w:rsidP="0051234F">
      <w:pPr>
        <w:pStyle w:val="112"/>
        <w:rPr>
          <w:color w:val="auto"/>
        </w:rPr>
      </w:pPr>
    </w:p>
    <w:p w14:paraId="0641AD74" w14:textId="70EFB8E9" w:rsidR="00946DE8" w:rsidRPr="00E869A4" w:rsidRDefault="001F077F" w:rsidP="00946DE8">
      <w:pPr>
        <w:rPr>
          <w:rFonts w:ascii="Times New Roman" w:hAnsi="Times New Roman" w:cs="Times New Roman"/>
          <w:b/>
          <w:bCs/>
          <w:iCs/>
          <w:vanish/>
          <w:szCs w:val="24"/>
          <w:u w:val="single"/>
          <w:lang w:eastAsia="en-US"/>
        </w:rPr>
      </w:pPr>
      <w:r w:rsidRPr="00E869A4">
        <w:rPr>
          <w:rFonts w:ascii="Times New Roman" w:hAnsi="Times New Roman" w:cs="Times New Roman"/>
        </w:rPr>
        <w:t xml:space="preserve">The family has from time immemorial served as one of the main sources of care for vulnerable older persons. </w:t>
      </w:r>
      <w:r w:rsidR="002301F7" w:rsidRPr="00E869A4">
        <w:rPr>
          <w:rFonts w:ascii="Times New Roman" w:hAnsi="Times New Roman" w:cs="Times New Roman"/>
        </w:rPr>
        <w:t>However</w:t>
      </w:r>
      <w:r w:rsidRPr="00E869A4">
        <w:rPr>
          <w:rFonts w:ascii="Times New Roman" w:hAnsi="Times New Roman" w:cs="Times New Roman"/>
        </w:rPr>
        <w:t>, while aid-giving by family members to older relatives has been practised across the ages, the diverse and dynamic nature of the care</w:t>
      </w:r>
      <w:r w:rsidR="002301F7" w:rsidRPr="00E869A4">
        <w:rPr>
          <w:rFonts w:ascii="Times New Roman" w:hAnsi="Times New Roman" w:cs="Times New Roman"/>
        </w:rPr>
        <w:t xml:space="preserve"> that</w:t>
      </w:r>
      <w:r w:rsidRPr="00E869A4">
        <w:rPr>
          <w:rFonts w:ascii="Times New Roman" w:hAnsi="Times New Roman" w:cs="Times New Roman"/>
        </w:rPr>
        <w:t xml:space="preserve"> family members provide, and the varied composition, values and functions of families themselves have not always been reflected in social science research and policy discourses. An obvious starting point for defining family care is to clarify what is meant by its two main conceptual components, namely </w:t>
      </w:r>
      <w:r w:rsidR="00885B80" w:rsidRPr="00E869A4">
        <w:rPr>
          <w:rFonts w:ascii="Times New Roman" w:hAnsi="Times New Roman" w:cs="Times New Roman"/>
        </w:rPr>
        <w:t>‘</w:t>
      </w:r>
      <w:r w:rsidRPr="00E869A4">
        <w:rPr>
          <w:rFonts w:ascii="Times New Roman" w:hAnsi="Times New Roman" w:cs="Times New Roman"/>
        </w:rPr>
        <w:t>family</w:t>
      </w:r>
      <w:r w:rsidR="00885B80" w:rsidRPr="00E869A4">
        <w:rPr>
          <w:rFonts w:ascii="Times New Roman" w:hAnsi="Times New Roman" w:cs="Times New Roman"/>
        </w:rPr>
        <w:t>’</w:t>
      </w:r>
      <w:r w:rsidRPr="00E869A4">
        <w:rPr>
          <w:rFonts w:ascii="Times New Roman" w:hAnsi="Times New Roman" w:cs="Times New Roman"/>
        </w:rPr>
        <w:t xml:space="preserve"> and </w:t>
      </w:r>
      <w:r w:rsidR="00885B80" w:rsidRPr="00E869A4">
        <w:rPr>
          <w:rFonts w:ascii="Times New Roman" w:hAnsi="Times New Roman" w:cs="Times New Roman"/>
        </w:rPr>
        <w:t>‘</w:t>
      </w:r>
      <w:r w:rsidRPr="00E869A4">
        <w:rPr>
          <w:rFonts w:ascii="Times New Roman" w:hAnsi="Times New Roman" w:cs="Times New Roman"/>
        </w:rPr>
        <w:t>care</w:t>
      </w:r>
      <w:r w:rsidR="00885B80" w:rsidRPr="00E869A4">
        <w:rPr>
          <w:rFonts w:ascii="Times New Roman" w:hAnsi="Times New Roman" w:cs="Times New Roman"/>
        </w:rPr>
        <w:t>’</w:t>
      </w:r>
      <w:r w:rsidRPr="00E869A4">
        <w:rPr>
          <w:rFonts w:ascii="Times New Roman" w:hAnsi="Times New Roman" w:cs="Times New Roman"/>
        </w:rPr>
        <w:t>. To achieve this, I review the key theoretical perspectives associated with the definitions of family, and present some initial thoughts on their relevance and application to past and present Caribbean social research on this subject.</w:t>
      </w:r>
      <w:r w:rsidRPr="00E869A4">
        <w:rPr>
          <w:rFonts w:ascii="Times New Roman" w:eastAsiaTheme="majorEastAsia" w:hAnsi="Times New Roman" w:cs="Times New Roman"/>
          <w:b/>
          <w:bCs/>
          <w:u w:val="single"/>
        </w:rPr>
        <w:t xml:space="preserve"> </w:t>
      </w:r>
    </w:p>
    <w:p w14:paraId="16807ED8" w14:textId="77777777" w:rsidR="00CD1FF7" w:rsidRPr="00E869A4" w:rsidRDefault="00CD1FF7">
      <w:pPr>
        <w:rPr>
          <w:rFonts w:ascii="Times New Roman" w:hAnsi="Times New Roman" w:cs="Times New Roman"/>
          <w:b/>
          <w:bCs/>
          <w:iCs/>
          <w:vanish/>
          <w:szCs w:val="24"/>
          <w:u w:val="single"/>
          <w:lang w:eastAsia="en-US"/>
        </w:rPr>
      </w:pPr>
      <w:r w:rsidRPr="00E869A4">
        <w:rPr>
          <w:rFonts w:ascii="Times New Roman" w:hAnsi="Times New Roman" w:cs="Times New Roman"/>
          <w:bCs/>
          <w:i/>
          <w:iCs/>
          <w:vanish/>
          <w:szCs w:val="24"/>
          <w:lang w:eastAsia="en-US"/>
        </w:rPr>
        <w:br w:type="page"/>
      </w:r>
    </w:p>
    <w:p w14:paraId="35C86789" w14:textId="77777777" w:rsidR="00CD1FF7" w:rsidRPr="00E869A4" w:rsidRDefault="00CD1FF7">
      <w:pPr>
        <w:rPr>
          <w:b/>
          <w:i/>
          <w:u w:val="single"/>
        </w:rPr>
      </w:pPr>
      <w:r w:rsidRPr="00E869A4">
        <w:br w:type="page"/>
      </w:r>
    </w:p>
    <w:p w14:paraId="613CF3EE" w14:textId="2283205C" w:rsidR="001F077F" w:rsidRPr="00E869A4" w:rsidRDefault="00D1063F" w:rsidP="005C449C">
      <w:pPr>
        <w:pStyle w:val="Heading3"/>
      </w:pPr>
      <w:bookmarkStart w:id="129" w:name="_Toc40436467"/>
      <w:r w:rsidRPr="00E869A4">
        <w:lastRenderedPageBreak/>
        <w:t>2.2.1</w:t>
      </w:r>
      <w:r w:rsidR="00A54D7D" w:rsidRPr="00E869A4">
        <w:t xml:space="preserve">     </w:t>
      </w:r>
      <w:r w:rsidR="001136CF" w:rsidRPr="00E869A4">
        <w:t xml:space="preserve">Defining </w:t>
      </w:r>
      <w:r w:rsidR="00631078" w:rsidRPr="00E869A4">
        <w:t>the</w:t>
      </w:r>
      <w:r w:rsidR="001136CF" w:rsidRPr="00E869A4">
        <w:t xml:space="preserve"> Family</w:t>
      </w:r>
      <w:bookmarkEnd w:id="129"/>
    </w:p>
    <w:p w14:paraId="7A66CFF1" w14:textId="77777777" w:rsidR="00757881" w:rsidRPr="00E869A4" w:rsidRDefault="00757881" w:rsidP="0051234F">
      <w:pPr>
        <w:pStyle w:val="112"/>
        <w:rPr>
          <w:color w:val="auto"/>
        </w:rPr>
      </w:pPr>
    </w:p>
    <w:p w14:paraId="554452A0" w14:textId="33BF5A41" w:rsidR="001F077F" w:rsidRPr="00E869A4" w:rsidRDefault="001F077F" w:rsidP="00012BE4">
      <w:pPr>
        <w:rPr>
          <w:rFonts w:ascii="Times New Roman" w:hAnsi="Times New Roman" w:cs="Times New Roman"/>
        </w:rPr>
      </w:pPr>
      <w:r w:rsidRPr="00E869A4">
        <w:rPr>
          <w:rFonts w:ascii="Times New Roman" w:hAnsi="Times New Roman" w:cs="Times New Roman"/>
        </w:rPr>
        <w:t>Defining the family remains a challenging task for social scientists, especially given the various meanings and manifestations of this social unit within and between cultures (Keller et al</w:t>
      </w:r>
      <w:r w:rsidR="00DB6499" w:rsidRPr="00E869A4">
        <w:rPr>
          <w:rFonts w:ascii="Times New Roman" w:hAnsi="Times New Roman" w:cs="Times New Roman"/>
        </w:rPr>
        <w:t>.</w:t>
      </w:r>
      <w:r w:rsidRPr="00E869A4">
        <w:rPr>
          <w:rFonts w:ascii="Times New Roman" w:hAnsi="Times New Roman" w:cs="Times New Roman"/>
        </w:rPr>
        <w:t xml:space="preserve"> in Roopnarine </w:t>
      </w:r>
      <w:r w:rsidR="000F6791" w:rsidRPr="00E869A4">
        <w:rPr>
          <w:rFonts w:ascii="Times New Roman" w:hAnsi="Times New Roman" w:cs="Times New Roman"/>
        </w:rPr>
        <w:t>&amp;</w:t>
      </w:r>
      <w:r w:rsidRPr="00E869A4">
        <w:rPr>
          <w:rFonts w:ascii="Times New Roman" w:hAnsi="Times New Roman" w:cs="Times New Roman"/>
        </w:rPr>
        <w:t xml:space="preserve"> Gielen 2005). As the word itself connotes, </w:t>
      </w:r>
      <w:r w:rsidR="00DB6499" w:rsidRPr="00E869A4">
        <w:rPr>
          <w:rFonts w:ascii="Times New Roman" w:hAnsi="Times New Roman" w:cs="Times New Roman"/>
        </w:rPr>
        <w:t>‘</w:t>
      </w:r>
      <w:r w:rsidRPr="00E869A4">
        <w:rPr>
          <w:rFonts w:ascii="Times New Roman" w:hAnsi="Times New Roman" w:cs="Times New Roman"/>
        </w:rPr>
        <w:t>family</w:t>
      </w:r>
      <w:r w:rsidR="00DB6499" w:rsidRPr="00E869A4">
        <w:rPr>
          <w:rFonts w:ascii="Times New Roman" w:hAnsi="Times New Roman" w:cs="Times New Roman"/>
        </w:rPr>
        <w:t>’</w:t>
      </w:r>
      <w:r w:rsidRPr="00E869A4">
        <w:rPr>
          <w:rFonts w:ascii="Times New Roman" w:hAnsi="Times New Roman" w:cs="Times New Roman"/>
        </w:rPr>
        <w:t xml:space="preserve"> refers to that which is familiar. However, </w:t>
      </w:r>
      <w:r w:rsidR="00631078" w:rsidRPr="00E869A4">
        <w:rPr>
          <w:rFonts w:ascii="Times New Roman" w:hAnsi="Times New Roman" w:cs="Times New Roman"/>
        </w:rPr>
        <w:t>this familiarity</w:t>
      </w:r>
      <w:r w:rsidRPr="00E869A4">
        <w:rPr>
          <w:rFonts w:ascii="Times New Roman" w:hAnsi="Times New Roman" w:cs="Times New Roman"/>
        </w:rPr>
        <w:t xml:space="preserve"> has at times clouded how lay </w:t>
      </w:r>
      <w:r w:rsidR="00DB6499" w:rsidRPr="00E869A4">
        <w:rPr>
          <w:rFonts w:ascii="Times New Roman" w:hAnsi="Times New Roman" w:cs="Times New Roman"/>
        </w:rPr>
        <w:t>people and academics view this institution</w:t>
      </w:r>
      <w:r w:rsidR="00923883" w:rsidRPr="00E869A4">
        <w:rPr>
          <w:rFonts w:ascii="Times New Roman" w:hAnsi="Times New Roman" w:cs="Times New Roman"/>
        </w:rPr>
        <w:t>. Alt</w:t>
      </w:r>
      <w:r w:rsidRPr="00E869A4">
        <w:rPr>
          <w:rFonts w:ascii="Times New Roman" w:hAnsi="Times New Roman" w:cs="Times New Roman"/>
        </w:rPr>
        <w:t xml:space="preserve">hough the term falls within the everyday stock of knowledge about the social world (Cheal 1999), no two families are </w:t>
      </w:r>
      <w:r w:rsidR="009D3B2E" w:rsidRPr="00E869A4">
        <w:rPr>
          <w:rFonts w:ascii="Times New Roman" w:hAnsi="Times New Roman" w:cs="Times New Roman"/>
        </w:rPr>
        <w:t>the</w:t>
      </w:r>
      <w:r w:rsidRPr="00E869A4">
        <w:rPr>
          <w:rFonts w:ascii="Times New Roman" w:hAnsi="Times New Roman" w:cs="Times New Roman"/>
        </w:rPr>
        <w:t xml:space="preserve"> same. In addition to </w:t>
      </w:r>
      <w:r w:rsidR="00DB6499" w:rsidRPr="00E869A4">
        <w:rPr>
          <w:rFonts w:ascii="Times New Roman" w:hAnsi="Times New Roman" w:cs="Times New Roman"/>
        </w:rPr>
        <w:t>the effects of</w:t>
      </w:r>
      <w:r w:rsidRPr="00E869A4">
        <w:rPr>
          <w:rFonts w:ascii="Times New Roman" w:hAnsi="Times New Roman" w:cs="Times New Roman"/>
        </w:rPr>
        <w:t xml:space="preserve"> macro socio-economic factors, the composition of families is subject to developmental changes given the ebb and flow of members in and out of the system due to various factors including birth, marriage, migration, divorce, and death (Keller et al</w:t>
      </w:r>
      <w:r w:rsidR="00012BE4" w:rsidRPr="00E869A4">
        <w:rPr>
          <w:rFonts w:ascii="Times New Roman" w:hAnsi="Times New Roman" w:cs="Times New Roman"/>
        </w:rPr>
        <w:t>. cited in</w:t>
      </w:r>
      <w:r w:rsidRPr="00E869A4">
        <w:rPr>
          <w:rFonts w:ascii="Times New Roman" w:hAnsi="Times New Roman" w:cs="Times New Roman"/>
        </w:rPr>
        <w:t xml:space="preserve"> Roopnarine </w:t>
      </w:r>
      <w:r w:rsidR="00012BE4" w:rsidRPr="00E869A4">
        <w:rPr>
          <w:rFonts w:ascii="Times New Roman" w:hAnsi="Times New Roman" w:cs="Times New Roman"/>
        </w:rPr>
        <w:t>&amp;</w:t>
      </w:r>
      <w:r w:rsidRPr="00E869A4">
        <w:rPr>
          <w:rFonts w:ascii="Times New Roman" w:hAnsi="Times New Roman" w:cs="Times New Roman"/>
        </w:rPr>
        <w:t xml:space="preserve"> Gielen 2005). </w:t>
      </w:r>
    </w:p>
    <w:p w14:paraId="3922AA8D" w14:textId="77777777" w:rsidR="00257729" w:rsidRPr="00E869A4" w:rsidRDefault="00257729" w:rsidP="00A35FF8">
      <w:pPr>
        <w:rPr>
          <w:rFonts w:ascii="Times New Roman" w:hAnsi="Times New Roman" w:cs="Times New Roman"/>
        </w:rPr>
      </w:pPr>
    </w:p>
    <w:p w14:paraId="01F5C8AE" w14:textId="710950CD" w:rsidR="001F077F" w:rsidRPr="00E869A4" w:rsidRDefault="001F077F" w:rsidP="00012BE4">
      <w:pPr>
        <w:rPr>
          <w:rFonts w:ascii="Times New Roman" w:hAnsi="Times New Roman" w:cs="Times New Roman"/>
        </w:rPr>
      </w:pPr>
      <w:r w:rsidRPr="00E869A4">
        <w:rPr>
          <w:rFonts w:ascii="Times New Roman" w:hAnsi="Times New Roman" w:cs="Times New Roman"/>
        </w:rPr>
        <w:t xml:space="preserve">While there has been a plethora of </w:t>
      </w:r>
      <w:r w:rsidR="00631078" w:rsidRPr="00E869A4">
        <w:rPr>
          <w:rFonts w:ascii="Times New Roman" w:hAnsi="Times New Roman" w:cs="Times New Roman"/>
        </w:rPr>
        <w:t>evidence that point</w:t>
      </w:r>
      <w:r w:rsidR="00B215D7" w:rsidRPr="00E869A4">
        <w:rPr>
          <w:rFonts w:ascii="Times New Roman" w:hAnsi="Times New Roman" w:cs="Times New Roman"/>
        </w:rPr>
        <w:t>s</w:t>
      </w:r>
      <w:r w:rsidR="00631078" w:rsidRPr="00E869A4">
        <w:rPr>
          <w:rFonts w:ascii="Times New Roman" w:hAnsi="Times New Roman" w:cs="Times New Roman"/>
        </w:rPr>
        <w:t xml:space="preserve"> to continuities</w:t>
      </w:r>
      <w:r w:rsidRPr="00E869A4">
        <w:rPr>
          <w:rFonts w:ascii="Times New Roman" w:hAnsi="Times New Roman" w:cs="Times New Roman"/>
        </w:rPr>
        <w:t xml:space="preserve"> and discontinuities in the structure and function of families across societies and over time, the plurality of family forms and practices have not always been acknowledged in social science research. To date there is no universally accepted definition of this concept. Conceptualisations of the family remain highly contested in academic circles and policy arenas (Cheal 2002</w:t>
      </w:r>
      <w:r w:rsidR="00B215D7" w:rsidRPr="00E869A4">
        <w:rPr>
          <w:rFonts w:ascii="Times New Roman" w:hAnsi="Times New Roman" w:cs="Times New Roman"/>
        </w:rPr>
        <w:t>; Steel, Kidd &amp; Brown 2012</w:t>
      </w:r>
      <w:r w:rsidRPr="00E869A4">
        <w:rPr>
          <w:rFonts w:ascii="Times New Roman" w:hAnsi="Times New Roman" w:cs="Times New Roman"/>
        </w:rPr>
        <w:t xml:space="preserve">). Despite the challenges of defining such an omnifarious concept, </w:t>
      </w:r>
      <w:r w:rsidR="00631078" w:rsidRPr="00E869A4">
        <w:rPr>
          <w:rFonts w:ascii="Times New Roman" w:hAnsi="Times New Roman" w:cs="Times New Roman"/>
        </w:rPr>
        <w:t>various definitions</w:t>
      </w:r>
      <w:r w:rsidRPr="00E869A4">
        <w:rPr>
          <w:rFonts w:ascii="Times New Roman" w:hAnsi="Times New Roman" w:cs="Times New Roman"/>
        </w:rPr>
        <w:t xml:space="preserve"> have been formulated by social scientists that range from broad to narrow. </w:t>
      </w:r>
      <w:r w:rsidR="009D3B2E" w:rsidRPr="00E869A4">
        <w:rPr>
          <w:rFonts w:ascii="Times New Roman" w:hAnsi="Times New Roman" w:cs="Times New Roman"/>
        </w:rPr>
        <w:t>However</w:t>
      </w:r>
      <w:r w:rsidRPr="00E869A4">
        <w:rPr>
          <w:rFonts w:ascii="Times New Roman" w:hAnsi="Times New Roman" w:cs="Times New Roman"/>
        </w:rPr>
        <w:t>, each definition may be traced to a particular theoretical perspective. I begin</w:t>
      </w:r>
      <w:r w:rsidR="006241F2" w:rsidRPr="00E869A4">
        <w:rPr>
          <w:rFonts w:ascii="Times New Roman" w:hAnsi="Times New Roman" w:cs="Times New Roman"/>
        </w:rPr>
        <w:t>,</w:t>
      </w:r>
      <w:r w:rsidRPr="00E869A4">
        <w:rPr>
          <w:rFonts w:ascii="Times New Roman" w:hAnsi="Times New Roman" w:cs="Times New Roman"/>
        </w:rPr>
        <w:t xml:space="preserve"> therefore</w:t>
      </w:r>
      <w:r w:rsidR="006241F2" w:rsidRPr="00E869A4">
        <w:rPr>
          <w:rFonts w:ascii="Times New Roman" w:hAnsi="Times New Roman" w:cs="Times New Roman"/>
        </w:rPr>
        <w:t>,</w:t>
      </w:r>
      <w:r w:rsidRPr="00E869A4">
        <w:rPr>
          <w:rFonts w:ascii="Times New Roman" w:hAnsi="Times New Roman" w:cs="Times New Roman"/>
        </w:rPr>
        <w:t xml:space="preserve"> by reviewing the various sociological perspectives on the family and provide examples of how the family is defined in each. </w:t>
      </w:r>
    </w:p>
    <w:p w14:paraId="6FECEB7D" w14:textId="65A84E4E" w:rsidR="00257729" w:rsidRPr="00E869A4" w:rsidRDefault="00257729">
      <w:pPr>
        <w:spacing w:line="276" w:lineRule="auto"/>
        <w:rPr>
          <w:rFonts w:ascii="Times New Roman" w:hAnsi="Times New Roman" w:cs="Times New Roman"/>
          <w:b/>
          <w:szCs w:val="24"/>
          <w:u w:val="single"/>
          <w:lang w:eastAsia="en-US"/>
        </w:rPr>
      </w:pPr>
    </w:p>
    <w:p w14:paraId="6F131358" w14:textId="399D8702" w:rsidR="001F077F" w:rsidRPr="00E869A4" w:rsidRDefault="00D1063F" w:rsidP="005C449C">
      <w:pPr>
        <w:pStyle w:val="Heading3"/>
      </w:pPr>
      <w:bookmarkStart w:id="130" w:name="_Toc40436468"/>
      <w:r w:rsidRPr="00E869A4">
        <w:t>2.2.2</w:t>
      </w:r>
      <w:r w:rsidR="00A54D7D" w:rsidRPr="00E869A4">
        <w:t xml:space="preserve">     </w:t>
      </w:r>
      <w:r w:rsidR="001136CF" w:rsidRPr="00E869A4">
        <w:t>Diverse Sociological Perspectives</w:t>
      </w:r>
      <w:bookmarkEnd w:id="130"/>
    </w:p>
    <w:p w14:paraId="49D9F767" w14:textId="77777777" w:rsidR="00757881" w:rsidRPr="00E869A4" w:rsidRDefault="00757881" w:rsidP="0051234F">
      <w:pPr>
        <w:pStyle w:val="112"/>
        <w:rPr>
          <w:color w:val="auto"/>
        </w:rPr>
      </w:pPr>
    </w:p>
    <w:p w14:paraId="0184949F" w14:textId="509F63FC" w:rsidR="005B7031" w:rsidRPr="00E869A4" w:rsidRDefault="005B7031" w:rsidP="0051234F">
      <w:pPr>
        <w:pStyle w:val="112"/>
        <w:rPr>
          <w:color w:val="auto"/>
        </w:rPr>
      </w:pPr>
      <w:r w:rsidRPr="00E869A4">
        <w:rPr>
          <w:color w:val="auto"/>
        </w:rPr>
        <w:t>In the section that follows I review the contributions of structural functionalis</w:t>
      </w:r>
      <w:r w:rsidR="00B47E24" w:rsidRPr="00E869A4">
        <w:rPr>
          <w:color w:val="auto"/>
        </w:rPr>
        <w:t>m, conflict theory, feminism, social exchange theory, symbolic interactionism, post modernism and post-colonial theory</w:t>
      </w:r>
      <w:r w:rsidR="00B60DF3" w:rsidRPr="00E869A4">
        <w:rPr>
          <w:color w:val="auto"/>
        </w:rPr>
        <w:t xml:space="preserve"> to conceptualisations of the family</w:t>
      </w:r>
      <w:r w:rsidR="00B47E24" w:rsidRPr="00E869A4">
        <w:rPr>
          <w:color w:val="auto"/>
        </w:rPr>
        <w:t>.</w:t>
      </w:r>
      <w:r w:rsidRPr="00E869A4">
        <w:rPr>
          <w:color w:val="auto"/>
        </w:rPr>
        <w:t xml:space="preserve"> </w:t>
      </w:r>
    </w:p>
    <w:p w14:paraId="0FD7D4F9" w14:textId="77777777" w:rsidR="00B47E24" w:rsidRPr="00E869A4" w:rsidRDefault="00B47E24" w:rsidP="0051234F">
      <w:pPr>
        <w:pStyle w:val="112"/>
        <w:rPr>
          <w:color w:val="auto"/>
        </w:rPr>
      </w:pPr>
    </w:p>
    <w:p w14:paraId="49F4FB91" w14:textId="77777777" w:rsidR="001F077F" w:rsidRPr="00E869A4" w:rsidRDefault="001F077F" w:rsidP="00430F82">
      <w:pPr>
        <w:pStyle w:val="Heading4"/>
      </w:pPr>
      <w:bookmarkStart w:id="131" w:name="_Toc505015361"/>
      <w:r w:rsidRPr="00E869A4">
        <w:t>Structural Functionalism</w:t>
      </w:r>
      <w:bookmarkEnd w:id="131"/>
    </w:p>
    <w:p w14:paraId="5663B8A6" w14:textId="77777777" w:rsidR="00757881" w:rsidRPr="00E869A4" w:rsidRDefault="00757881" w:rsidP="0051234F">
      <w:pPr>
        <w:pStyle w:val="112"/>
        <w:rPr>
          <w:color w:val="auto"/>
        </w:rPr>
      </w:pPr>
    </w:p>
    <w:p w14:paraId="4AAFA360" w14:textId="6D66B7D6" w:rsidR="001F077F" w:rsidRPr="00E869A4" w:rsidRDefault="001F077F" w:rsidP="0037707C">
      <w:pPr>
        <w:rPr>
          <w:rFonts w:ascii="Times New Roman" w:hAnsi="Times New Roman" w:cs="Times New Roman"/>
        </w:rPr>
      </w:pPr>
      <w:r w:rsidRPr="00E869A4">
        <w:rPr>
          <w:rFonts w:ascii="Times New Roman" w:hAnsi="Times New Roman" w:cs="Times New Roman"/>
        </w:rPr>
        <w:t xml:space="preserve">Early sociological studies of the family were </w:t>
      </w:r>
      <w:r w:rsidR="00631078" w:rsidRPr="00E869A4">
        <w:rPr>
          <w:rFonts w:ascii="Times New Roman" w:hAnsi="Times New Roman" w:cs="Times New Roman"/>
        </w:rPr>
        <w:t>largely</w:t>
      </w:r>
      <w:r w:rsidRPr="00E869A4">
        <w:rPr>
          <w:rFonts w:ascii="Times New Roman" w:hAnsi="Times New Roman" w:cs="Times New Roman"/>
        </w:rPr>
        <w:t xml:space="preserve"> influenced by the structural functionalist </w:t>
      </w:r>
      <w:r w:rsidR="00631078" w:rsidRPr="00E869A4">
        <w:rPr>
          <w:rFonts w:ascii="Times New Roman" w:hAnsi="Times New Roman" w:cs="Times New Roman"/>
        </w:rPr>
        <w:t>perspective, which</w:t>
      </w:r>
      <w:r w:rsidRPr="00E869A4">
        <w:rPr>
          <w:rFonts w:ascii="Times New Roman" w:hAnsi="Times New Roman" w:cs="Times New Roman"/>
        </w:rPr>
        <w:t xml:space="preserve"> emphasise</w:t>
      </w:r>
      <w:r w:rsidR="00DE04CA" w:rsidRPr="00E869A4">
        <w:rPr>
          <w:rFonts w:ascii="Times New Roman" w:hAnsi="Times New Roman" w:cs="Times New Roman"/>
        </w:rPr>
        <w:t>s</w:t>
      </w:r>
      <w:r w:rsidRPr="00E869A4">
        <w:rPr>
          <w:rFonts w:ascii="Times New Roman" w:hAnsi="Times New Roman" w:cs="Times New Roman"/>
        </w:rPr>
        <w:t xml:space="preserve"> consensus and harmony in families. Functionalists uncritically assumed </w:t>
      </w:r>
      <w:r w:rsidRPr="00E869A4">
        <w:rPr>
          <w:rFonts w:ascii="Times New Roman" w:hAnsi="Times New Roman" w:cs="Times New Roman"/>
        </w:rPr>
        <w:lastRenderedPageBreak/>
        <w:t>that the family, in partic</w:t>
      </w:r>
      <w:r w:rsidR="00DE04CA" w:rsidRPr="00E869A4">
        <w:rPr>
          <w:rFonts w:ascii="Times New Roman" w:hAnsi="Times New Roman" w:cs="Times New Roman"/>
        </w:rPr>
        <w:t>ular the nuclear family unit, i</w:t>
      </w:r>
      <w:r w:rsidRPr="00E869A4">
        <w:rPr>
          <w:rFonts w:ascii="Times New Roman" w:hAnsi="Times New Roman" w:cs="Times New Roman"/>
        </w:rPr>
        <w:t>s the basic building block of society (</w:t>
      </w:r>
      <w:r w:rsidR="00DE04CA" w:rsidRPr="00E869A4">
        <w:rPr>
          <w:rFonts w:ascii="Times New Roman" w:hAnsi="Times New Roman" w:cs="Times New Roman"/>
        </w:rPr>
        <w:t xml:space="preserve">Steel, Kidd &amp; Brown </w:t>
      </w:r>
      <w:r w:rsidRPr="00E869A4">
        <w:rPr>
          <w:rFonts w:ascii="Times New Roman" w:hAnsi="Times New Roman" w:cs="Times New Roman"/>
        </w:rPr>
        <w:t xml:space="preserve">2012). They maintained that families exist because of the vital functions they fulfil which include: reproduction of new members, socialising its members so that they are well-integrated members of society, providing material security as well as care and support to its members, especially those who are vulnerable and in need. </w:t>
      </w:r>
    </w:p>
    <w:p w14:paraId="4F1B895E" w14:textId="77777777" w:rsidR="00C946D4" w:rsidRPr="00E869A4" w:rsidRDefault="00C946D4" w:rsidP="00A35FF8">
      <w:pPr>
        <w:rPr>
          <w:rFonts w:ascii="Times New Roman" w:hAnsi="Times New Roman" w:cs="Times New Roman"/>
        </w:rPr>
      </w:pPr>
    </w:p>
    <w:p w14:paraId="011900EE" w14:textId="437A6AF0" w:rsidR="001F077F" w:rsidRPr="00E869A4" w:rsidRDefault="001F077F" w:rsidP="0037707C">
      <w:pPr>
        <w:rPr>
          <w:rFonts w:ascii="Times New Roman" w:hAnsi="Times New Roman" w:cs="Times New Roman"/>
        </w:rPr>
      </w:pPr>
      <w:r w:rsidRPr="00E869A4">
        <w:rPr>
          <w:rFonts w:ascii="Times New Roman" w:hAnsi="Times New Roman" w:cs="Times New Roman"/>
        </w:rPr>
        <w:t>Talcott Parsons</w:t>
      </w:r>
      <w:r w:rsidR="0078789B" w:rsidRPr="00E869A4">
        <w:rPr>
          <w:rFonts w:ascii="Times New Roman" w:hAnsi="Times New Roman" w:cs="Times New Roman"/>
        </w:rPr>
        <w:t>’</w:t>
      </w:r>
      <w:r w:rsidR="006A6733" w:rsidRPr="00E869A4">
        <w:rPr>
          <w:rFonts w:ascii="Times New Roman" w:hAnsi="Times New Roman" w:cs="Times New Roman"/>
        </w:rPr>
        <w:t xml:space="preserve"> </w:t>
      </w:r>
      <w:r w:rsidR="006A6733" w:rsidRPr="00E869A4">
        <w:rPr>
          <w:rFonts w:ascii="Times New Roman" w:hAnsi="Times New Roman" w:cs="Times New Roman"/>
          <w:i/>
        </w:rPr>
        <w:t>functional fit</w:t>
      </w:r>
      <w:r w:rsidRPr="00E869A4">
        <w:rPr>
          <w:rFonts w:ascii="Times New Roman" w:hAnsi="Times New Roman" w:cs="Times New Roman"/>
        </w:rPr>
        <w:t xml:space="preserve"> theory which depict</w:t>
      </w:r>
      <w:r w:rsidR="0078789B" w:rsidRPr="00E869A4">
        <w:rPr>
          <w:rFonts w:ascii="Times New Roman" w:hAnsi="Times New Roman" w:cs="Times New Roman"/>
        </w:rPr>
        <w:t>s</w:t>
      </w:r>
      <w:r w:rsidRPr="00E869A4">
        <w:rPr>
          <w:rFonts w:ascii="Times New Roman" w:hAnsi="Times New Roman" w:cs="Times New Roman"/>
        </w:rPr>
        <w:t xml:space="preserve"> the family as evolving in respons</w:t>
      </w:r>
      <w:r w:rsidR="00274B22" w:rsidRPr="00E869A4">
        <w:rPr>
          <w:rFonts w:ascii="Times New Roman" w:hAnsi="Times New Roman" w:cs="Times New Roman"/>
        </w:rPr>
        <w:t>e to societal changes, maintains</w:t>
      </w:r>
      <w:r w:rsidR="006A6733" w:rsidRPr="00E869A4">
        <w:rPr>
          <w:rFonts w:ascii="Times New Roman" w:hAnsi="Times New Roman" w:cs="Times New Roman"/>
        </w:rPr>
        <w:t xml:space="preserve"> that in modern society, the </w:t>
      </w:r>
      <w:r w:rsidRPr="00E869A4">
        <w:rPr>
          <w:rFonts w:ascii="Times New Roman" w:hAnsi="Times New Roman" w:cs="Times New Roman"/>
          <w:i/>
        </w:rPr>
        <w:t>isolated</w:t>
      </w:r>
      <w:r w:rsidRPr="00E869A4">
        <w:rPr>
          <w:rFonts w:ascii="Times New Roman" w:hAnsi="Times New Roman" w:cs="Times New Roman"/>
        </w:rPr>
        <w:t xml:space="preserve"> nuclear family which consist</w:t>
      </w:r>
      <w:r w:rsidR="0078789B" w:rsidRPr="00E869A4">
        <w:rPr>
          <w:rFonts w:ascii="Times New Roman" w:hAnsi="Times New Roman" w:cs="Times New Roman"/>
        </w:rPr>
        <w:t>s</w:t>
      </w:r>
      <w:r w:rsidRPr="00E869A4">
        <w:rPr>
          <w:rFonts w:ascii="Times New Roman" w:hAnsi="Times New Roman" w:cs="Times New Roman"/>
        </w:rPr>
        <w:t xml:space="preserve"> of two heterosexual parents (whose union </w:t>
      </w:r>
      <w:r w:rsidR="0078789B" w:rsidRPr="00E869A4">
        <w:rPr>
          <w:rFonts w:ascii="Times New Roman" w:hAnsi="Times New Roman" w:cs="Times New Roman"/>
        </w:rPr>
        <w:t>i</w:t>
      </w:r>
      <w:r w:rsidRPr="00E869A4">
        <w:rPr>
          <w:rFonts w:ascii="Times New Roman" w:hAnsi="Times New Roman" w:cs="Times New Roman"/>
        </w:rPr>
        <w:t xml:space="preserve">s based on marriage) and children, </w:t>
      </w:r>
      <w:r w:rsidR="0078789B" w:rsidRPr="00E869A4">
        <w:rPr>
          <w:rFonts w:ascii="Times New Roman" w:hAnsi="Times New Roman" w:cs="Times New Roman"/>
        </w:rPr>
        <w:t>i</w:t>
      </w:r>
      <w:r w:rsidRPr="00E869A4">
        <w:rPr>
          <w:rFonts w:ascii="Times New Roman" w:hAnsi="Times New Roman" w:cs="Times New Roman"/>
        </w:rPr>
        <w:t>s ideal for society’s advancement. He surmise</w:t>
      </w:r>
      <w:r w:rsidR="0088343D" w:rsidRPr="00E869A4">
        <w:rPr>
          <w:rFonts w:ascii="Times New Roman" w:hAnsi="Times New Roman" w:cs="Times New Roman"/>
        </w:rPr>
        <w:t>d</w:t>
      </w:r>
      <w:r w:rsidRPr="00E869A4">
        <w:rPr>
          <w:rFonts w:ascii="Times New Roman" w:hAnsi="Times New Roman" w:cs="Times New Roman"/>
        </w:rPr>
        <w:t xml:space="preserve"> that the extended family was more conducive to the pre-industrial </w:t>
      </w:r>
      <w:r w:rsidR="00631078" w:rsidRPr="00E869A4">
        <w:rPr>
          <w:rFonts w:ascii="Times New Roman" w:hAnsi="Times New Roman" w:cs="Times New Roman"/>
        </w:rPr>
        <w:t>period, which</w:t>
      </w:r>
      <w:r w:rsidRPr="00E869A4">
        <w:rPr>
          <w:rFonts w:ascii="Times New Roman" w:hAnsi="Times New Roman" w:cs="Times New Roman"/>
        </w:rPr>
        <w:t xml:space="preserve"> required a larger, stable, workforce to attend to the family’s needs (</w:t>
      </w:r>
      <w:r w:rsidR="00913AF4" w:rsidRPr="00E869A4">
        <w:rPr>
          <w:rFonts w:ascii="Times New Roman" w:hAnsi="Times New Roman" w:cs="Times New Roman"/>
        </w:rPr>
        <w:t>Steel, Kidd &amp; Brown 2012</w:t>
      </w:r>
      <w:r w:rsidRPr="00E869A4">
        <w:rPr>
          <w:rFonts w:ascii="Times New Roman" w:hAnsi="Times New Roman" w:cs="Times New Roman"/>
        </w:rPr>
        <w:t>). Parsons opine</w:t>
      </w:r>
      <w:r w:rsidR="0088343D" w:rsidRPr="00E869A4">
        <w:rPr>
          <w:rFonts w:ascii="Times New Roman" w:hAnsi="Times New Roman" w:cs="Times New Roman"/>
        </w:rPr>
        <w:t>d</w:t>
      </w:r>
      <w:r w:rsidRPr="00E869A4">
        <w:rPr>
          <w:rFonts w:ascii="Times New Roman" w:hAnsi="Times New Roman" w:cs="Times New Roman"/>
        </w:rPr>
        <w:t xml:space="preserve"> that a ‘natural’ division of labour exists in the nuclear family whereby the husband performs instrumental duties such as earning an income to support his family, while the wife’s role is expressive as she was </w:t>
      </w:r>
      <w:r w:rsidR="0088343D" w:rsidRPr="00E869A4">
        <w:rPr>
          <w:rFonts w:ascii="Times New Roman" w:hAnsi="Times New Roman" w:cs="Times New Roman"/>
        </w:rPr>
        <w:t xml:space="preserve">‘by </w:t>
      </w:r>
      <w:r w:rsidRPr="00E869A4">
        <w:rPr>
          <w:rFonts w:ascii="Times New Roman" w:hAnsi="Times New Roman" w:cs="Times New Roman"/>
        </w:rPr>
        <w:t>nature’, best equipped to provide warmth, love and comfort to her children and husb</w:t>
      </w:r>
      <w:r w:rsidR="0088343D" w:rsidRPr="00E869A4">
        <w:rPr>
          <w:rFonts w:ascii="Times New Roman" w:hAnsi="Times New Roman" w:cs="Times New Roman"/>
        </w:rPr>
        <w:t>and. These complementary roles we</w:t>
      </w:r>
      <w:r w:rsidRPr="00E869A4">
        <w:rPr>
          <w:rFonts w:ascii="Times New Roman" w:hAnsi="Times New Roman" w:cs="Times New Roman"/>
        </w:rPr>
        <w:t>re seen as vital for creating a safe haven for the members of the nuclear family while</w:t>
      </w:r>
      <w:r w:rsidR="0088343D" w:rsidRPr="00E869A4">
        <w:rPr>
          <w:rFonts w:ascii="Times New Roman" w:hAnsi="Times New Roman" w:cs="Times New Roman"/>
        </w:rPr>
        <w:t>,</w:t>
      </w:r>
      <w:r w:rsidRPr="00E869A4">
        <w:rPr>
          <w:rFonts w:ascii="Times New Roman" w:hAnsi="Times New Roman" w:cs="Times New Roman"/>
        </w:rPr>
        <w:t xml:space="preserve"> at the same time</w:t>
      </w:r>
      <w:r w:rsidR="0088343D" w:rsidRPr="00E869A4">
        <w:rPr>
          <w:rFonts w:ascii="Times New Roman" w:hAnsi="Times New Roman" w:cs="Times New Roman"/>
        </w:rPr>
        <w:t>,</w:t>
      </w:r>
      <w:r w:rsidRPr="00E869A4">
        <w:rPr>
          <w:rFonts w:ascii="Times New Roman" w:hAnsi="Times New Roman" w:cs="Times New Roman"/>
        </w:rPr>
        <w:t xml:space="preserve"> allowing them the versatility needed for relocation within the modern industrial society when necessary. </w:t>
      </w:r>
    </w:p>
    <w:p w14:paraId="3745497B" w14:textId="77777777" w:rsidR="00C946D4" w:rsidRPr="00E869A4" w:rsidRDefault="00C946D4" w:rsidP="00A35FF8">
      <w:pPr>
        <w:rPr>
          <w:rFonts w:ascii="Times New Roman" w:hAnsi="Times New Roman" w:cs="Times New Roman"/>
        </w:rPr>
      </w:pPr>
    </w:p>
    <w:p w14:paraId="1E9E9DA0" w14:textId="0F496A9D" w:rsidR="006D1C57" w:rsidRPr="00E869A4" w:rsidRDefault="001F077F" w:rsidP="006F75FE">
      <w:pPr>
        <w:rPr>
          <w:rFonts w:ascii="Times New Roman" w:hAnsi="Times New Roman" w:cs="Times New Roman"/>
        </w:rPr>
      </w:pPr>
      <w:r w:rsidRPr="00E869A4">
        <w:rPr>
          <w:rFonts w:ascii="Times New Roman" w:hAnsi="Times New Roman" w:cs="Times New Roman"/>
        </w:rPr>
        <w:t xml:space="preserve">However, as studies on caregiver stress, elder abuse and other aspects of familial relationships indicate, such a limited perspective does not provide a realistic picture of family life. Families are not always harmonious, nor do they always adapt positively to the unmet needs of their </w:t>
      </w:r>
      <w:r w:rsidR="0088343D" w:rsidRPr="00E869A4">
        <w:rPr>
          <w:rFonts w:ascii="Times New Roman" w:hAnsi="Times New Roman" w:cs="Times New Roman"/>
        </w:rPr>
        <w:t>kith and kin</w:t>
      </w:r>
      <w:r w:rsidRPr="00E869A4">
        <w:rPr>
          <w:rFonts w:ascii="Times New Roman" w:hAnsi="Times New Roman" w:cs="Times New Roman"/>
        </w:rPr>
        <w:t xml:space="preserve">. They may be contentious and characterised by </w:t>
      </w:r>
      <w:r w:rsidR="00631078" w:rsidRPr="00E869A4">
        <w:rPr>
          <w:rFonts w:ascii="Times New Roman" w:hAnsi="Times New Roman" w:cs="Times New Roman"/>
        </w:rPr>
        <w:t>conflict, which</w:t>
      </w:r>
      <w:r w:rsidRPr="00E869A4">
        <w:rPr>
          <w:rFonts w:ascii="Times New Roman" w:hAnsi="Times New Roman" w:cs="Times New Roman"/>
        </w:rPr>
        <w:t xml:space="preserve"> may result in harmful outcomes for its members and the society as a whole (</w:t>
      </w:r>
      <w:r w:rsidR="00913AF4" w:rsidRPr="00E869A4">
        <w:rPr>
          <w:rFonts w:ascii="Times New Roman" w:hAnsi="Times New Roman" w:cs="Times New Roman"/>
        </w:rPr>
        <w:t>Cheal 2002; Steel, Kidd &amp; Brown 2012).</w:t>
      </w:r>
      <w:r w:rsidR="00EB422F" w:rsidRPr="00E869A4">
        <w:rPr>
          <w:rFonts w:ascii="Times New Roman" w:hAnsi="Times New Roman" w:cs="Times New Roman"/>
        </w:rPr>
        <w:t xml:space="preserve"> </w:t>
      </w:r>
      <w:r w:rsidRPr="00E869A4">
        <w:rPr>
          <w:rFonts w:ascii="Times New Roman" w:hAnsi="Times New Roman" w:cs="Times New Roman"/>
        </w:rPr>
        <w:t xml:space="preserve">This </w:t>
      </w:r>
      <w:r w:rsidRPr="00E869A4">
        <w:rPr>
          <w:rFonts w:ascii="Times New Roman" w:hAnsi="Times New Roman" w:cs="Times New Roman"/>
          <w:i/>
        </w:rPr>
        <w:t>‘</w:t>
      </w:r>
      <w:r w:rsidRPr="00E869A4">
        <w:rPr>
          <w:rFonts w:ascii="Times New Roman" w:hAnsi="Times New Roman" w:cs="Times New Roman"/>
        </w:rPr>
        <w:t>dark side’ of families has received increasing attention in sociological research (</w:t>
      </w:r>
      <w:r w:rsidR="009E3A5C" w:rsidRPr="00E869A4">
        <w:rPr>
          <w:rFonts w:ascii="Times New Roman" w:hAnsi="Times New Roman" w:cs="Times New Roman"/>
        </w:rPr>
        <w:t>Steel, Kidd &amp; Brown 2012</w:t>
      </w:r>
      <w:r w:rsidRPr="00E869A4">
        <w:rPr>
          <w:rFonts w:ascii="Times New Roman" w:hAnsi="Times New Roman" w:cs="Times New Roman"/>
        </w:rPr>
        <w:t>).  Furthermore, the functionalist depiction of the family has been sharply critici</w:t>
      </w:r>
      <w:r w:rsidR="0088343D" w:rsidRPr="00E869A4">
        <w:rPr>
          <w:rFonts w:ascii="Times New Roman" w:hAnsi="Times New Roman" w:cs="Times New Roman"/>
        </w:rPr>
        <w:t>s</w:t>
      </w:r>
      <w:r w:rsidRPr="00E869A4">
        <w:rPr>
          <w:rFonts w:ascii="Times New Roman" w:hAnsi="Times New Roman" w:cs="Times New Roman"/>
        </w:rPr>
        <w:t xml:space="preserve">ed for perpetuating the exploitation of women, for incorrectly depicting the sexual division of labour in families as universal, </w:t>
      </w:r>
      <w:r w:rsidR="0088343D" w:rsidRPr="00E869A4">
        <w:rPr>
          <w:rFonts w:ascii="Times New Roman" w:hAnsi="Times New Roman" w:cs="Times New Roman"/>
        </w:rPr>
        <w:t xml:space="preserve">and, </w:t>
      </w:r>
      <w:r w:rsidRPr="00E869A4">
        <w:rPr>
          <w:rFonts w:ascii="Times New Roman" w:hAnsi="Times New Roman" w:cs="Times New Roman"/>
        </w:rPr>
        <w:t xml:space="preserve">for being ethnocentric and not giving adequate attention to differences across class, ethnic and regional groups. </w:t>
      </w:r>
    </w:p>
    <w:p w14:paraId="4611D638" w14:textId="77777777" w:rsidR="00257729" w:rsidRPr="00E869A4" w:rsidRDefault="00257729" w:rsidP="00A35FF8">
      <w:pPr>
        <w:rPr>
          <w:rFonts w:ascii="Times New Roman" w:hAnsi="Times New Roman" w:cs="Times New Roman"/>
        </w:rPr>
      </w:pPr>
    </w:p>
    <w:p w14:paraId="35540D0B" w14:textId="646883D3" w:rsidR="001F077F" w:rsidRPr="00E869A4" w:rsidRDefault="001F077F" w:rsidP="006F75FE">
      <w:pPr>
        <w:rPr>
          <w:rFonts w:ascii="Times New Roman" w:hAnsi="Times New Roman" w:cs="Times New Roman"/>
        </w:rPr>
      </w:pPr>
      <w:r w:rsidRPr="00E869A4">
        <w:rPr>
          <w:rFonts w:ascii="Times New Roman" w:hAnsi="Times New Roman" w:cs="Times New Roman"/>
        </w:rPr>
        <w:t>Since the mid-1950s, poignant research evidence has emerged which highlight</w:t>
      </w:r>
      <w:r w:rsidR="006F75FE" w:rsidRPr="00E869A4">
        <w:rPr>
          <w:rFonts w:ascii="Times New Roman" w:hAnsi="Times New Roman" w:cs="Times New Roman"/>
        </w:rPr>
        <w:t xml:space="preserve">s </w:t>
      </w:r>
      <w:r w:rsidRPr="00E869A4">
        <w:rPr>
          <w:rFonts w:ascii="Times New Roman" w:hAnsi="Times New Roman" w:cs="Times New Roman"/>
        </w:rPr>
        <w:t xml:space="preserve">the weaknesses of the structural functionalist view about the ideal nuclear family. </w:t>
      </w:r>
      <w:r w:rsidR="0088343D" w:rsidRPr="00E869A4">
        <w:rPr>
          <w:rFonts w:ascii="Times New Roman" w:hAnsi="Times New Roman" w:cs="Times New Roman"/>
        </w:rPr>
        <w:t xml:space="preserve">Households consisting of extended families still existed in the industrial era. </w:t>
      </w:r>
      <w:r w:rsidRPr="00E869A4">
        <w:rPr>
          <w:rFonts w:ascii="Times New Roman" w:hAnsi="Times New Roman" w:cs="Times New Roman"/>
        </w:rPr>
        <w:t xml:space="preserve">In the </w:t>
      </w:r>
      <w:r w:rsidR="006F75FE" w:rsidRPr="00E869A4">
        <w:rPr>
          <w:rFonts w:ascii="Times New Roman" w:hAnsi="Times New Roman" w:cs="Times New Roman"/>
        </w:rPr>
        <w:t>UK</w:t>
      </w:r>
      <w:r w:rsidRPr="00E869A4">
        <w:rPr>
          <w:rFonts w:ascii="Times New Roman" w:hAnsi="Times New Roman" w:cs="Times New Roman"/>
        </w:rPr>
        <w:t xml:space="preserve">, evidence was found of female-headed extended families among the coal miners and </w:t>
      </w:r>
      <w:r w:rsidR="00631078" w:rsidRPr="00E869A4">
        <w:rPr>
          <w:rFonts w:ascii="Times New Roman" w:hAnsi="Times New Roman" w:cs="Times New Roman"/>
        </w:rPr>
        <w:t>deep-sea</w:t>
      </w:r>
      <w:r w:rsidRPr="00E869A4">
        <w:rPr>
          <w:rFonts w:ascii="Times New Roman" w:hAnsi="Times New Roman" w:cs="Times New Roman"/>
        </w:rPr>
        <w:t xml:space="preserve"> fishermen (Dennis et al</w:t>
      </w:r>
      <w:r w:rsidR="006F75FE" w:rsidRPr="00E869A4">
        <w:rPr>
          <w:rFonts w:ascii="Times New Roman" w:hAnsi="Times New Roman" w:cs="Times New Roman"/>
        </w:rPr>
        <w:t>.</w:t>
      </w:r>
      <w:r w:rsidRPr="00E869A4">
        <w:rPr>
          <w:rFonts w:ascii="Times New Roman" w:hAnsi="Times New Roman" w:cs="Times New Roman"/>
        </w:rPr>
        <w:t xml:space="preserve"> 1956 </w:t>
      </w:r>
      <w:r w:rsidR="006F75FE" w:rsidRPr="00E869A4">
        <w:rPr>
          <w:rFonts w:ascii="Times New Roman" w:hAnsi="Times New Roman" w:cs="Times New Roman"/>
        </w:rPr>
        <w:t>&amp;</w:t>
      </w:r>
      <w:r w:rsidRPr="00E869A4">
        <w:rPr>
          <w:rFonts w:ascii="Times New Roman" w:hAnsi="Times New Roman" w:cs="Times New Roman"/>
        </w:rPr>
        <w:t xml:space="preserve"> Tunstall, 1962 c</w:t>
      </w:r>
      <w:r w:rsidR="0037707C" w:rsidRPr="00E869A4">
        <w:rPr>
          <w:rFonts w:ascii="Times New Roman" w:hAnsi="Times New Roman" w:cs="Times New Roman"/>
        </w:rPr>
        <w:t>ited in</w:t>
      </w:r>
      <w:r w:rsidRPr="00E869A4">
        <w:rPr>
          <w:rFonts w:ascii="Times New Roman" w:hAnsi="Times New Roman" w:cs="Times New Roman"/>
        </w:rPr>
        <w:t xml:space="preserve"> </w:t>
      </w:r>
      <w:r w:rsidR="0037707C" w:rsidRPr="00E869A4">
        <w:rPr>
          <w:rFonts w:ascii="Times New Roman" w:hAnsi="Times New Roman" w:cs="Times New Roman"/>
        </w:rPr>
        <w:lastRenderedPageBreak/>
        <w:t>Steel, Kidd &amp; Brown 2012</w:t>
      </w:r>
      <w:r w:rsidRPr="00E869A4">
        <w:rPr>
          <w:rFonts w:ascii="Times New Roman" w:hAnsi="Times New Roman" w:cs="Times New Roman"/>
        </w:rPr>
        <w:t>). A similar pattern was observed in the Caribbean. Otterbein (2009)</w:t>
      </w:r>
      <w:r w:rsidR="00053D23" w:rsidRPr="00E869A4">
        <w:rPr>
          <w:rFonts w:ascii="Times New Roman" w:hAnsi="Times New Roman" w:cs="Times New Roman"/>
        </w:rPr>
        <w:t>,</w:t>
      </w:r>
      <w:r w:rsidRPr="00E869A4">
        <w:rPr>
          <w:rFonts w:ascii="Times New Roman" w:hAnsi="Times New Roman" w:cs="Times New Roman"/>
        </w:rPr>
        <w:t xml:space="preserve"> for </w:t>
      </w:r>
      <w:r w:rsidR="0088343D" w:rsidRPr="00E869A4">
        <w:rPr>
          <w:rFonts w:ascii="Times New Roman" w:hAnsi="Times New Roman" w:cs="Times New Roman"/>
        </w:rPr>
        <w:t>instance,</w:t>
      </w:r>
      <w:r w:rsidRPr="00E869A4">
        <w:rPr>
          <w:rFonts w:ascii="Times New Roman" w:hAnsi="Times New Roman" w:cs="Times New Roman"/>
        </w:rPr>
        <w:t xml:space="preserve"> </w:t>
      </w:r>
      <w:r w:rsidR="0088343D" w:rsidRPr="00E869A4">
        <w:rPr>
          <w:rFonts w:ascii="Times New Roman" w:hAnsi="Times New Roman" w:cs="Times New Roman"/>
        </w:rPr>
        <w:t>observed</w:t>
      </w:r>
      <w:r w:rsidRPr="00E869A4">
        <w:rPr>
          <w:rFonts w:ascii="Times New Roman" w:hAnsi="Times New Roman" w:cs="Times New Roman"/>
        </w:rPr>
        <w:t xml:space="preserve"> that there was a predominance of female-headed households in the Caribbean region and that many African Caribbean families </w:t>
      </w:r>
      <w:r w:rsidR="00EB0FD2" w:rsidRPr="00E869A4">
        <w:rPr>
          <w:rFonts w:ascii="Times New Roman" w:hAnsi="Times New Roman" w:cs="Times New Roman"/>
        </w:rPr>
        <w:t>we</w:t>
      </w:r>
      <w:r w:rsidRPr="00E869A4">
        <w:rPr>
          <w:rFonts w:ascii="Times New Roman" w:hAnsi="Times New Roman" w:cs="Times New Roman"/>
        </w:rPr>
        <w:t xml:space="preserve">re characterised by the dominance of women.  </w:t>
      </w:r>
    </w:p>
    <w:p w14:paraId="74852BA5" w14:textId="77777777" w:rsidR="00257729" w:rsidRPr="00E869A4" w:rsidRDefault="00257729" w:rsidP="00A35FF8">
      <w:pPr>
        <w:rPr>
          <w:rFonts w:ascii="Times New Roman" w:hAnsi="Times New Roman" w:cs="Times New Roman"/>
        </w:rPr>
      </w:pPr>
    </w:p>
    <w:p w14:paraId="33E8522D" w14:textId="367C68F3" w:rsidR="001F077F" w:rsidRPr="00E869A4" w:rsidRDefault="009D3B2E" w:rsidP="00966028">
      <w:pPr>
        <w:rPr>
          <w:rFonts w:ascii="Times New Roman" w:hAnsi="Times New Roman" w:cs="Times New Roman"/>
        </w:rPr>
      </w:pPr>
      <w:r w:rsidRPr="00E869A4">
        <w:rPr>
          <w:rFonts w:ascii="Times New Roman" w:hAnsi="Times New Roman" w:cs="Times New Roman"/>
        </w:rPr>
        <w:t>Nevertheless</w:t>
      </w:r>
      <w:r w:rsidR="00631078" w:rsidRPr="00E869A4">
        <w:rPr>
          <w:rFonts w:ascii="Times New Roman" w:hAnsi="Times New Roman" w:cs="Times New Roman"/>
        </w:rPr>
        <w:t xml:space="preserve">, the popularity of a functionalist conceptualisation of the family has not completely waned. </w:t>
      </w:r>
      <w:r w:rsidR="001F077F" w:rsidRPr="00E869A4">
        <w:rPr>
          <w:rFonts w:ascii="Times New Roman" w:hAnsi="Times New Roman" w:cs="Times New Roman"/>
        </w:rPr>
        <w:t xml:space="preserve">In response to the backlash it received, and the growing concerns in the political arena about the state of the family given the social upheavals of the 1960s and 1970s, there were renewed efforts to promote the virtues of the nuclear family (Stacey </w:t>
      </w:r>
      <w:r w:rsidR="00966028" w:rsidRPr="00E869A4">
        <w:rPr>
          <w:rFonts w:ascii="Times New Roman" w:hAnsi="Times New Roman" w:cs="Times New Roman"/>
        </w:rPr>
        <w:t>cited in</w:t>
      </w:r>
      <w:r w:rsidR="001F077F" w:rsidRPr="00E869A4">
        <w:rPr>
          <w:rFonts w:ascii="Times New Roman" w:hAnsi="Times New Roman" w:cs="Times New Roman"/>
        </w:rPr>
        <w:t xml:space="preserve"> Jagger </w:t>
      </w:r>
      <w:r w:rsidR="00966028" w:rsidRPr="00E869A4">
        <w:rPr>
          <w:rFonts w:ascii="Times New Roman" w:hAnsi="Times New Roman" w:cs="Times New Roman"/>
        </w:rPr>
        <w:t>&amp;</w:t>
      </w:r>
      <w:r w:rsidR="001F077F" w:rsidRPr="00E869A4">
        <w:rPr>
          <w:rFonts w:ascii="Times New Roman" w:hAnsi="Times New Roman" w:cs="Times New Roman"/>
        </w:rPr>
        <w:t xml:space="preserve"> Wright 1999). By the </w:t>
      </w:r>
      <w:r w:rsidR="00631078" w:rsidRPr="00E869A4">
        <w:rPr>
          <w:rFonts w:ascii="Times New Roman" w:hAnsi="Times New Roman" w:cs="Times New Roman"/>
        </w:rPr>
        <w:t>1980s,</w:t>
      </w:r>
      <w:r w:rsidR="001F077F" w:rsidRPr="00E869A4">
        <w:rPr>
          <w:rFonts w:ascii="Times New Roman" w:hAnsi="Times New Roman" w:cs="Times New Roman"/>
        </w:rPr>
        <w:t xml:space="preserve"> the right-winged political elites in the USA and the UK were instrumental in redirecting the policy agenda to favour the traditional family form, and even obtained evidence from the social science </w:t>
      </w:r>
      <w:r w:rsidR="00631078" w:rsidRPr="00E869A4">
        <w:rPr>
          <w:rFonts w:ascii="Times New Roman" w:hAnsi="Times New Roman" w:cs="Times New Roman"/>
        </w:rPr>
        <w:t>community, which</w:t>
      </w:r>
      <w:r w:rsidR="001F077F" w:rsidRPr="00E869A4">
        <w:rPr>
          <w:rFonts w:ascii="Times New Roman" w:hAnsi="Times New Roman" w:cs="Times New Roman"/>
        </w:rPr>
        <w:t xml:space="preserve"> facilitated their blinkered positions. Those who emphasised the decrease in the nuclear family cited statistics such as the decline in </w:t>
      </w:r>
      <w:r w:rsidR="00966028" w:rsidRPr="00E869A4">
        <w:rPr>
          <w:rFonts w:ascii="Times New Roman" w:hAnsi="Times New Roman" w:cs="Times New Roman"/>
        </w:rPr>
        <w:t xml:space="preserve">the </w:t>
      </w:r>
      <w:r w:rsidR="001F077F" w:rsidRPr="00E869A4">
        <w:rPr>
          <w:rFonts w:ascii="Times New Roman" w:hAnsi="Times New Roman" w:cs="Times New Roman"/>
        </w:rPr>
        <w:t>marriage rate and</w:t>
      </w:r>
      <w:r w:rsidR="006E2AFE" w:rsidRPr="00E869A4">
        <w:rPr>
          <w:rFonts w:ascii="Times New Roman" w:hAnsi="Times New Roman" w:cs="Times New Roman"/>
        </w:rPr>
        <w:t xml:space="preserve"> the</w:t>
      </w:r>
      <w:r w:rsidR="001F077F" w:rsidRPr="00E869A4">
        <w:rPr>
          <w:rFonts w:ascii="Times New Roman" w:hAnsi="Times New Roman" w:cs="Times New Roman"/>
        </w:rPr>
        <w:t xml:space="preserve"> increase in the divorce rate. Some who argued that there was no significant move away from </w:t>
      </w:r>
      <w:r w:rsidR="00F401BE" w:rsidRPr="00E869A4">
        <w:rPr>
          <w:rFonts w:ascii="Times New Roman" w:hAnsi="Times New Roman" w:cs="Times New Roman"/>
        </w:rPr>
        <w:t xml:space="preserve">the </w:t>
      </w:r>
      <w:r w:rsidR="001F077F" w:rsidRPr="00E869A4">
        <w:rPr>
          <w:rFonts w:ascii="Times New Roman" w:hAnsi="Times New Roman" w:cs="Times New Roman"/>
        </w:rPr>
        <w:t>nuclear family by the wider population even went so far as to note that the proportion of children raised in two parent families remained stable</w:t>
      </w:r>
      <w:r w:rsidR="00F401BE" w:rsidRPr="00E869A4">
        <w:rPr>
          <w:rFonts w:ascii="Times New Roman" w:hAnsi="Times New Roman" w:cs="Times New Roman"/>
        </w:rPr>
        <w:t>,</w:t>
      </w:r>
      <w:r w:rsidR="001F077F" w:rsidRPr="00E869A4">
        <w:rPr>
          <w:rFonts w:ascii="Times New Roman" w:hAnsi="Times New Roman" w:cs="Times New Roman"/>
        </w:rPr>
        <w:t xml:space="preserve"> but conflated this statistic by including step parent families. These ‘shenanigans’ called into question the credibility of social science research in informing social p</w:t>
      </w:r>
      <w:r w:rsidR="001C2D72" w:rsidRPr="00E869A4">
        <w:rPr>
          <w:rFonts w:ascii="Times New Roman" w:hAnsi="Times New Roman" w:cs="Times New Roman"/>
        </w:rPr>
        <w:t>olicy discussions on the family</w:t>
      </w:r>
      <w:r w:rsidR="001F077F" w:rsidRPr="00E869A4">
        <w:rPr>
          <w:rFonts w:ascii="Times New Roman" w:hAnsi="Times New Roman" w:cs="Times New Roman"/>
        </w:rPr>
        <w:t xml:space="preserve">. Nonetheless, despite these unseemly developments, many sociologists sought to engage in research that would present more accurate depictions of the family in its myriad forms. </w:t>
      </w:r>
    </w:p>
    <w:p w14:paraId="50628369" w14:textId="77777777" w:rsidR="00C9092A" w:rsidRPr="00E869A4" w:rsidRDefault="00C9092A" w:rsidP="00966028">
      <w:pPr>
        <w:rPr>
          <w:rFonts w:ascii="Times New Roman" w:hAnsi="Times New Roman" w:cs="Times New Roman"/>
        </w:rPr>
      </w:pPr>
    </w:p>
    <w:p w14:paraId="72A55E4A" w14:textId="77777777" w:rsidR="001F077F" w:rsidRPr="00E869A4" w:rsidRDefault="001F077F" w:rsidP="00430F82">
      <w:pPr>
        <w:pStyle w:val="Heading4"/>
      </w:pPr>
      <w:bookmarkStart w:id="132" w:name="_Toc505015362"/>
      <w:r w:rsidRPr="00E869A4">
        <w:t>Conflict Perspective</w:t>
      </w:r>
      <w:bookmarkEnd w:id="132"/>
    </w:p>
    <w:p w14:paraId="4D1F23D5" w14:textId="77777777" w:rsidR="00757881" w:rsidRPr="00E869A4" w:rsidRDefault="00757881" w:rsidP="0051234F">
      <w:pPr>
        <w:pStyle w:val="112"/>
        <w:rPr>
          <w:color w:val="auto"/>
        </w:rPr>
      </w:pPr>
    </w:p>
    <w:p w14:paraId="3EAE9266" w14:textId="3C021214" w:rsidR="001F077F" w:rsidRPr="00E869A4" w:rsidRDefault="001F077F" w:rsidP="00C9092A">
      <w:pPr>
        <w:rPr>
          <w:rFonts w:ascii="Times New Roman" w:hAnsi="Times New Roman" w:cs="Times New Roman"/>
        </w:rPr>
      </w:pPr>
      <w:r w:rsidRPr="00E869A4">
        <w:rPr>
          <w:rFonts w:ascii="Times New Roman" w:hAnsi="Times New Roman" w:cs="Times New Roman"/>
        </w:rPr>
        <w:t>Unlike functionalists who perceive the family as relationships based on unity and consensus and a condu</w:t>
      </w:r>
      <w:r w:rsidR="00C9092A" w:rsidRPr="00E869A4">
        <w:rPr>
          <w:rFonts w:ascii="Times New Roman" w:hAnsi="Times New Roman" w:cs="Times New Roman"/>
        </w:rPr>
        <w:t>it through which social order i</w:t>
      </w:r>
      <w:r w:rsidRPr="00E869A4">
        <w:rPr>
          <w:rFonts w:ascii="Times New Roman" w:hAnsi="Times New Roman" w:cs="Times New Roman"/>
        </w:rPr>
        <w:t xml:space="preserve">s maintained, conflict theorists argued that the social order promulgated by families </w:t>
      </w:r>
      <w:r w:rsidR="00C9092A" w:rsidRPr="00E869A4">
        <w:rPr>
          <w:rFonts w:ascii="Times New Roman" w:hAnsi="Times New Roman" w:cs="Times New Roman"/>
        </w:rPr>
        <w:t>is one which i</w:t>
      </w:r>
      <w:r w:rsidRPr="00E869A4">
        <w:rPr>
          <w:rFonts w:ascii="Times New Roman" w:hAnsi="Times New Roman" w:cs="Times New Roman"/>
        </w:rPr>
        <w:t xml:space="preserve">s based on social inequality and injustice. According to conflict theorists, the family is the seedbed of classism, patriarchy, </w:t>
      </w:r>
      <w:r w:rsidR="008801B3" w:rsidRPr="00E869A4">
        <w:rPr>
          <w:rFonts w:ascii="Times New Roman" w:hAnsi="Times New Roman" w:cs="Times New Roman"/>
        </w:rPr>
        <w:t>and ageism, and t</w:t>
      </w:r>
      <w:r w:rsidRPr="00E869A4">
        <w:rPr>
          <w:rFonts w:ascii="Times New Roman" w:hAnsi="Times New Roman" w:cs="Times New Roman"/>
        </w:rPr>
        <w:t xml:space="preserve">he social arrangements in families </w:t>
      </w:r>
      <w:r w:rsidR="008801B3" w:rsidRPr="00E869A4">
        <w:rPr>
          <w:rFonts w:ascii="Times New Roman" w:hAnsi="Times New Roman" w:cs="Times New Roman"/>
        </w:rPr>
        <w:t>are</w:t>
      </w:r>
      <w:r w:rsidRPr="00E869A4">
        <w:rPr>
          <w:rFonts w:ascii="Times New Roman" w:hAnsi="Times New Roman" w:cs="Times New Roman"/>
        </w:rPr>
        <w:t xml:space="preserve"> systematically organised to benefit some members more than others (Newman </w:t>
      </w:r>
      <w:r w:rsidR="00C9092A" w:rsidRPr="00E869A4">
        <w:rPr>
          <w:rFonts w:ascii="Times New Roman" w:hAnsi="Times New Roman" w:cs="Times New Roman"/>
        </w:rPr>
        <w:t xml:space="preserve">&amp; </w:t>
      </w:r>
      <w:r w:rsidRPr="00E869A4">
        <w:rPr>
          <w:rFonts w:ascii="Times New Roman" w:hAnsi="Times New Roman" w:cs="Times New Roman"/>
        </w:rPr>
        <w:t xml:space="preserve">Grauerholz 2002). Furthermore, in a capitalistic context, the family </w:t>
      </w:r>
      <w:r w:rsidR="00C9092A" w:rsidRPr="00E869A4">
        <w:rPr>
          <w:rFonts w:ascii="Times New Roman" w:hAnsi="Times New Roman" w:cs="Times New Roman"/>
        </w:rPr>
        <w:t>i</w:t>
      </w:r>
      <w:r w:rsidRPr="00E869A4">
        <w:rPr>
          <w:rFonts w:ascii="Times New Roman" w:hAnsi="Times New Roman" w:cs="Times New Roman"/>
        </w:rPr>
        <w:t xml:space="preserve">s seen as reinforcing the interests of the minority ruling class, and reproducing class positions in different generations of its members. </w:t>
      </w:r>
    </w:p>
    <w:p w14:paraId="4A331BBC" w14:textId="77777777" w:rsidR="00257729" w:rsidRPr="00E869A4" w:rsidRDefault="00257729" w:rsidP="00A35FF8">
      <w:pPr>
        <w:rPr>
          <w:rFonts w:ascii="Times New Roman" w:hAnsi="Times New Roman" w:cs="Times New Roman"/>
        </w:rPr>
      </w:pPr>
    </w:p>
    <w:p w14:paraId="330624B7" w14:textId="710F20F1" w:rsidR="001F077F" w:rsidRPr="00E869A4" w:rsidRDefault="001F077F" w:rsidP="0073660E">
      <w:pPr>
        <w:rPr>
          <w:rFonts w:ascii="Times New Roman" w:hAnsi="Times New Roman" w:cs="Times New Roman"/>
        </w:rPr>
      </w:pPr>
      <w:r w:rsidRPr="00E869A4">
        <w:rPr>
          <w:rFonts w:ascii="Times New Roman" w:hAnsi="Times New Roman" w:cs="Times New Roman"/>
        </w:rPr>
        <w:t xml:space="preserve">Marxist theories of the family </w:t>
      </w:r>
      <w:r w:rsidR="00F401BE" w:rsidRPr="00E869A4">
        <w:rPr>
          <w:rFonts w:ascii="Times New Roman" w:hAnsi="Times New Roman" w:cs="Times New Roman"/>
        </w:rPr>
        <w:t>focus</w:t>
      </w:r>
      <w:r w:rsidRPr="00E869A4">
        <w:rPr>
          <w:rFonts w:ascii="Times New Roman" w:hAnsi="Times New Roman" w:cs="Times New Roman"/>
        </w:rPr>
        <w:t xml:space="preserve"> on the association between property relations and family structures. Thus, according to this school of thought, family relationships are characterised by competition </w:t>
      </w:r>
      <w:r w:rsidRPr="00E869A4">
        <w:rPr>
          <w:rFonts w:ascii="Times New Roman" w:hAnsi="Times New Roman" w:cs="Times New Roman"/>
        </w:rPr>
        <w:lastRenderedPageBreak/>
        <w:t xml:space="preserve">and a desire by its members to control the limited social, emotional and economic resources the family unit has at its disposal (Newman </w:t>
      </w:r>
      <w:r w:rsidR="0055101C" w:rsidRPr="00E869A4">
        <w:rPr>
          <w:rFonts w:ascii="Times New Roman" w:hAnsi="Times New Roman" w:cs="Times New Roman"/>
        </w:rPr>
        <w:t xml:space="preserve">&amp; </w:t>
      </w:r>
      <w:r w:rsidRPr="00E869A4">
        <w:rPr>
          <w:rFonts w:ascii="Times New Roman" w:hAnsi="Times New Roman" w:cs="Times New Roman"/>
        </w:rPr>
        <w:t xml:space="preserve">Grauerholz 2002). The </w:t>
      </w:r>
      <w:r w:rsidR="00631078" w:rsidRPr="00E869A4">
        <w:rPr>
          <w:rFonts w:ascii="Times New Roman" w:hAnsi="Times New Roman" w:cs="Times New Roman"/>
        </w:rPr>
        <w:t>distribution of power within the family reflects</w:t>
      </w:r>
      <w:r w:rsidRPr="00E869A4">
        <w:rPr>
          <w:rFonts w:ascii="Times New Roman" w:hAnsi="Times New Roman" w:cs="Times New Roman"/>
        </w:rPr>
        <w:t xml:space="preserve"> the controlling influence of wider economic forces on which the social and cultural arrangements within society are based (</w:t>
      </w:r>
      <w:r w:rsidR="0037707C" w:rsidRPr="00E869A4">
        <w:rPr>
          <w:rFonts w:ascii="Times New Roman" w:hAnsi="Times New Roman" w:cs="Times New Roman"/>
        </w:rPr>
        <w:t>Steel, Kidd &amp; Brown 2012</w:t>
      </w:r>
      <w:r w:rsidRPr="00E869A4">
        <w:rPr>
          <w:rFonts w:ascii="Times New Roman" w:hAnsi="Times New Roman" w:cs="Times New Roman"/>
        </w:rPr>
        <w:t xml:space="preserve">). By the 1970s, Marxism and other </w:t>
      </w:r>
      <w:r w:rsidR="00631078" w:rsidRPr="00E869A4">
        <w:rPr>
          <w:rFonts w:ascii="Times New Roman" w:hAnsi="Times New Roman" w:cs="Times New Roman"/>
        </w:rPr>
        <w:t>conflict-oriented</w:t>
      </w:r>
      <w:r w:rsidRPr="00E869A4">
        <w:rPr>
          <w:rFonts w:ascii="Times New Roman" w:hAnsi="Times New Roman" w:cs="Times New Roman"/>
        </w:rPr>
        <w:t xml:space="preserve"> theories gained popularity in the family discourse. </w:t>
      </w:r>
      <w:r w:rsidR="00CB6F2D" w:rsidRPr="00E869A4">
        <w:rPr>
          <w:rFonts w:ascii="Times New Roman" w:hAnsi="Times New Roman" w:cs="Times New Roman"/>
        </w:rPr>
        <w:t>However</w:t>
      </w:r>
      <w:r w:rsidRPr="00E869A4">
        <w:rPr>
          <w:rFonts w:ascii="Times New Roman" w:hAnsi="Times New Roman" w:cs="Times New Roman"/>
        </w:rPr>
        <w:t>, this perspective has been criticised for reducing all aspects of family life to economic matters, for concentrating on class rather than giving sufficient attention to issues such as race and gender, and for being overly deterministic (</w:t>
      </w:r>
      <w:r w:rsidR="000953FF" w:rsidRPr="00E869A4">
        <w:rPr>
          <w:rFonts w:ascii="Times New Roman" w:hAnsi="Times New Roman" w:cs="Times New Roman"/>
        </w:rPr>
        <w:t>Steel, Kidd &amp; Brown 2012</w:t>
      </w:r>
      <w:r w:rsidRPr="00E869A4">
        <w:rPr>
          <w:rFonts w:ascii="Times New Roman" w:hAnsi="Times New Roman" w:cs="Times New Roman"/>
        </w:rPr>
        <w:t xml:space="preserve">). </w:t>
      </w:r>
    </w:p>
    <w:p w14:paraId="68BF86E9" w14:textId="1E30C825" w:rsidR="00B80022" w:rsidRPr="00E869A4" w:rsidRDefault="00B80022">
      <w:pPr>
        <w:rPr>
          <w:b/>
          <w:i/>
          <w:u w:val="single"/>
        </w:rPr>
      </w:pPr>
      <w:bookmarkStart w:id="133" w:name="_Toc505015363"/>
    </w:p>
    <w:p w14:paraId="646B7127" w14:textId="4D0C37A5" w:rsidR="001F077F" w:rsidRPr="00E869A4" w:rsidRDefault="001F077F" w:rsidP="00430F82">
      <w:pPr>
        <w:pStyle w:val="Heading4"/>
      </w:pPr>
      <w:r w:rsidRPr="00E869A4">
        <w:t>Feminism</w:t>
      </w:r>
      <w:bookmarkEnd w:id="133"/>
    </w:p>
    <w:p w14:paraId="08E0D770" w14:textId="77777777" w:rsidR="00757881" w:rsidRPr="00E869A4" w:rsidRDefault="00757881" w:rsidP="0051234F">
      <w:pPr>
        <w:pStyle w:val="112"/>
        <w:rPr>
          <w:color w:val="auto"/>
        </w:rPr>
      </w:pPr>
    </w:p>
    <w:p w14:paraId="34B5973D" w14:textId="6FA695FA" w:rsidR="001F077F" w:rsidRPr="00E869A4" w:rsidRDefault="001F077F" w:rsidP="006B53B7">
      <w:pPr>
        <w:rPr>
          <w:rFonts w:ascii="Times New Roman" w:hAnsi="Times New Roman" w:cs="Times New Roman"/>
        </w:rPr>
      </w:pPr>
      <w:r w:rsidRPr="00E869A4">
        <w:rPr>
          <w:rFonts w:ascii="Times New Roman" w:hAnsi="Times New Roman" w:cs="Times New Roman"/>
        </w:rPr>
        <w:t>The feminist view of the family gained prominence in mainstream sociology in the 1980s (</w:t>
      </w:r>
      <w:r w:rsidR="00207B1D" w:rsidRPr="00E869A4">
        <w:rPr>
          <w:rFonts w:ascii="Times New Roman" w:hAnsi="Times New Roman" w:cs="Times New Roman"/>
        </w:rPr>
        <w:t>Steel, Kidd &amp; Brown 2012</w:t>
      </w:r>
      <w:r w:rsidRPr="00E869A4">
        <w:rPr>
          <w:rFonts w:ascii="Times New Roman" w:hAnsi="Times New Roman" w:cs="Times New Roman"/>
        </w:rPr>
        <w:t xml:space="preserve">). </w:t>
      </w:r>
      <w:r w:rsidR="00F401BE" w:rsidRPr="00E869A4">
        <w:rPr>
          <w:rFonts w:ascii="Times New Roman" w:hAnsi="Times New Roman" w:cs="Times New Roman"/>
        </w:rPr>
        <w:t>Feminism also</w:t>
      </w:r>
      <w:r w:rsidRPr="00E869A4">
        <w:rPr>
          <w:rFonts w:ascii="Times New Roman" w:hAnsi="Times New Roman" w:cs="Times New Roman"/>
        </w:rPr>
        <w:t xml:space="preserve"> fall</w:t>
      </w:r>
      <w:r w:rsidR="00F401BE" w:rsidRPr="00E869A4">
        <w:rPr>
          <w:rFonts w:ascii="Times New Roman" w:hAnsi="Times New Roman" w:cs="Times New Roman"/>
        </w:rPr>
        <w:t>s</w:t>
      </w:r>
      <w:r w:rsidRPr="00E869A4">
        <w:rPr>
          <w:rFonts w:ascii="Times New Roman" w:hAnsi="Times New Roman" w:cs="Times New Roman"/>
        </w:rPr>
        <w:t xml:space="preserve"> within the critical theory school of thought, </w:t>
      </w:r>
      <w:r w:rsidR="00F401BE" w:rsidRPr="00E869A4">
        <w:rPr>
          <w:rFonts w:ascii="Times New Roman" w:hAnsi="Times New Roman" w:cs="Times New Roman"/>
        </w:rPr>
        <w:t xml:space="preserve">but its distinct contribution is </w:t>
      </w:r>
      <w:r w:rsidR="006F0E12" w:rsidRPr="00E869A4">
        <w:rPr>
          <w:rFonts w:ascii="Times New Roman" w:hAnsi="Times New Roman" w:cs="Times New Roman"/>
        </w:rPr>
        <w:t>its premise</w:t>
      </w:r>
      <w:r w:rsidRPr="00E869A4">
        <w:rPr>
          <w:rFonts w:ascii="Times New Roman" w:hAnsi="Times New Roman" w:cs="Times New Roman"/>
        </w:rPr>
        <w:t xml:space="preserve"> that the family perpetuates inequality along gender lines (Newman </w:t>
      </w:r>
      <w:r w:rsidR="006B53B7" w:rsidRPr="00E869A4">
        <w:rPr>
          <w:rFonts w:ascii="Times New Roman" w:hAnsi="Times New Roman" w:cs="Times New Roman"/>
        </w:rPr>
        <w:t>&amp;</w:t>
      </w:r>
      <w:r w:rsidRPr="00E869A4">
        <w:rPr>
          <w:rFonts w:ascii="Times New Roman" w:hAnsi="Times New Roman" w:cs="Times New Roman"/>
        </w:rPr>
        <w:t xml:space="preserve"> Grauerholz 2002). In addition to serving the interests of the </w:t>
      </w:r>
      <w:r w:rsidR="00F90E4C" w:rsidRPr="00E869A4">
        <w:rPr>
          <w:rFonts w:ascii="Times New Roman" w:hAnsi="Times New Roman" w:cs="Times New Roman"/>
        </w:rPr>
        <w:t>s</w:t>
      </w:r>
      <w:r w:rsidRPr="00E869A4">
        <w:rPr>
          <w:rFonts w:ascii="Times New Roman" w:hAnsi="Times New Roman" w:cs="Times New Roman"/>
        </w:rPr>
        <w:t xml:space="preserve">tate and the economy, feminists argue that the family serves the interests of </w:t>
      </w:r>
      <w:r w:rsidR="00631078" w:rsidRPr="00E869A4">
        <w:rPr>
          <w:rFonts w:ascii="Times New Roman" w:hAnsi="Times New Roman" w:cs="Times New Roman"/>
        </w:rPr>
        <w:t>patriarchy, which</w:t>
      </w:r>
      <w:r w:rsidRPr="00E869A4">
        <w:rPr>
          <w:rFonts w:ascii="Times New Roman" w:hAnsi="Times New Roman" w:cs="Times New Roman"/>
        </w:rPr>
        <w:t xml:space="preserve"> subjugates women and provides limited opportunities or recognition of their contributions to social life. </w:t>
      </w:r>
    </w:p>
    <w:p w14:paraId="3577D7CD" w14:textId="77777777" w:rsidR="00257729" w:rsidRPr="00E869A4" w:rsidRDefault="00257729" w:rsidP="00A35FF8">
      <w:pPr>
        <w:rPr>
          <w:rFonts w:ascii="Times New Roman" w:hAnsi="Times New Roman" w:cs="Times New Roman"/>
        </w:rPr>
      </w:pPr>
    </w:p>
    <w:p w14:paraId="519EA8BE" w14:textId="2A5EA176" w:rsidR="001F077F" w:rsidRPr="00E869A4" w:rsidRDefault="001F077F" w:rsidP="006B53B7">
      <w:pPr>
        <w:rPr>
          <w:rFonts w:ascii="Times New Roman" w:hAnsi="Times New Roman" w:cs="Times New Roman"/>
        </w:rPr>
      </w:pPr>
      <w:r w:rsidRPr="00E869A4">
        <w:rPr>
          <w:rFonts w:ascii="Times New Roman" w:hAnsi="Times New Roman" w:cs="Times New Roman"/>
        </w:rPr>
        <w:t>While there are various branches of feminism</w:t>
      </w:r>
      <w:r w:rsidRPr="00E869A4">
        <w:rPr>
          <w:rStyle w:val="FootnoteReference"/>
          <w:rFonts w:ascii="Times New Roman" w:hAnsi="Times New Roman" w:cs="Times New Roman"/>
        </w:rPr>
        <w:footnoteReference w:id="21"/>
      </w:r>
      <w:r w:rsidRPr="00E869A4">
        <w:rPr>
          <w:rFonts w:ascii="Times New Roman" w:hAnsi="Times New Roman" w:cs="Times New Roman"/>
        </w:rPr>
        <w:t xml:space="preserve">, </w:t>
      </w:r>
      <w:r w:rsidR="006B53B7" w:rsidRPr="00E869A4">
        <w:rPr>
          <w:rFonts w:ascii="Times New Roman" w:hAnsi="Times New Roman" w:cs="Times New Roman"/>
        </w:rPr>
        <w:t xml:space="preserve">generally </w:t>
      </w:r>
      <w:r w:rsidRPr="00E869A4">
        <w:rPr>
          <w:rFonts w:ascii="Times New Roman" w:hAnsi="Times New Roman" w:cs="Times New Roman"/>
        </w:rPr>
        <w:t>they agree that gender roles, and the family are socially constructed, and refute functionalist notions about the nuclear family being a consistently safe and private refuge for the individual (</w:t>
      </w:r>
      <w:r w:rsidR="00207B1D" w:rsidRPr="00E869A4">
        <w:rPr>
          <w:rFonts w:ascii="Times New Roman" w:hAnsi="Times New Roman" w:cs="Times New Roman"/>
        </w:rPr>
        <w:t>Steel, Kidd &amp; Brown 2012</w:t>
      </w:r>
      <w:r w:rsidRPr="00E869A4">
        <w:rPr>
          <w:rFonts w:ascii="Times New Roman" w:hAnsi="Times New Roman" w:cs="Times New Roman"/>
        </w:rPr>
        <w:t>).</w:t>
      </w:r>
      <w:r w:rsidRPr="00E869A4">
        <w:rPr>
          <w:rFonts w:ascii="Times New Roman" w:hAnsi="Times New Roman" w:cs="Times New Roman"/>
          <w:iCs/>
        </w:rPr>
        <w:t xml:space="preserve"> Feminists raise questions about family boundaries and show that family isolation is in part illusory. They challenge</w:t>
      </w:r>
      <w:r w:rsidRPr="00E869A4">
        <w:rPr>
          <w:rFonts w:ascii="Times New Roman" w:hAnsi="Times New Roman" w:cs="Times New Roman"/>
          <w:i/>
        </w:rPr>
        <w:t xml:space="preserve"> </w:t>
      </w:r>
      <w:r w:rsidRPr="00E869A4">
        <w:rPr>
          <w:rFonts w:ascii="Times New Roman" w:hAnsi="Times New Roman" w:cs="Times New Roman"/>
          <w:iCs/>
        </w:rPr>
        <w:t>traditional dichotomies between private and public family life</w:t>
      </w:r>
      <w:r w:rsidR="006B53B7" w:rsidRPr="00E869A4">
        <w:rPr>
          <w:rFonts w:ascii="Times New Roman" w:hAnsi="Times New Roman" w:cs="Times New Roman"/>
          <w:iCs/>
        </w:rPr>
        <w:t>,</w:t>
      </w:r>
      <w:r w:rsidRPr="00E869A4">
        <w:rPr>
          <w:rFonts w:ascii="Times New Roman" w:hAnsi="Times New Roman" w:cs="Times New Roman"/>
          <w:iCs/>
        </w:rPr>
        <w:t xml:space="preserve"> given the close connections between the internal life of families and the organisation of paid care work (formal and informal), organised welfare systems provided by the </w:t>
      </w:r>
      <w:r w:rsidR="00DD03CE" w:rsidRPr="00E869A4">
        <w:rPr>
          <w:rFonts w:ascii="Times New Roman" w:hAnsi="Times New Roman" w:cs="Times New Roman"/>
          <w:iCs/>
        </w:rPr>
        <w:t>State</w:t>
      </w:r>
      <w:r w:rsidRPr="00E869A4">
        <w:rPr>
          <w:rFonts w:ascii="Times New Roman" w:hAnsi="Times New Roman" w:cs="Times New Roman"/>
          <w:iCs/>
        </w:rPr>
        <w:t xml:space="preserve">, </w:t>
      </w:r>
      <w:r w:rsidR="006B53B7" w:rsidRPr="00E869A4">
        <w:rPr>
          <w:rFonts w:ascii="Times New Roman" w:hAnsi="Times New Roman" w:cs="Times New Roman"/>
          <w:iCs/>
        </w:rPr>
        <w:t xml:space="preserve">as well as </w:t>
      </w:r>
      <w:r w:rsidRPr="00E869A4">
        <w:rPr>
          <w:rFonts w:ascii="Times New Roman" w:hAnsi="Times New Roman" w:cs="Times New Roman"/>
          <w:iCs/>
        </w:rPr>
        <w:t>private and civil society agencies</w:t>
      </w:r>
      <w:r w:rsidR="006B53B7" w:rsidRPr="00E869A4">
        <w:rPr>
          <w:rFonts w:ascii="Times New Roman" w:hAnsi="Times New Roman" w:cs="Times New Roman"/>
          <w:iCs/>
        </w:rPr>
        <w:t>.</w:t>
      </w:r>
      <w:r w:rsidRPr="00E869A4">
        <w:rPr>
          <w:rFonts w:ascii="Times New Roman" w:hAnsi="Times New Roman" w:cs="Times New Roman"/>
          <w:iCs/>
        </w:rPr>
        <w:t xml:space="preserve"> </w:t>
      </w:r>
    </w:p>
    <w:p w14:paraId="66A09234" w14:textId="77777777" w:rsidR="00F06B94" w:rsidRPr="00E869A4" w:rsidRDefault="00F06B94" w:rsidP="006B53B7">
      <w:pPr>
        <w:rPr>
          <w:rFonts w:ascii="Times New Roman" w:hAnsi="Times New Roman" w:cs="Times New Roman"/>
        </w:rPr>
      </w:pPr>
    </w:p>
    <w:p w14:paraId="37A849DE" w14:textId="14F8725E" w:rsidR="009C49CB" w:rsidRPr="00E869A4" w:rsidRDefault="001F077F" w:rsidP="006B53B7">
      <w:pPr>
        <w:rPr>
          <w:rFonts w:ascii="Times New Roman" w:hAnsi="Times New Roman" w:cs="Times New Roman"/>
        </w:rPr>
      </w:pPr>
      <w:r w:rsidRPr="00E869A4">
        <w:rPr>
          <w:rFonts w:ascii="Times New Roman" w:hAnsi="Times New Roman" w:cs="Times New Roman"/>
        </w:rPr>
        <w:t>Feminists also underscore that</w:t>
      </w:r>
      <w:r w:rsidR="00BA0931" w:rsidRPr="00E869A4">
        <w:rPr>
          <w:rFonts w:ascii="Times New Roman" w:hAnsi="Times New Roman" w:cs="Times New Roman"/>
        </w:rPr>
        <w:t xml:space="preserve"> the </w:t>
      </w:r>
      <w:r w:rsidRPr="00E869A4">
        <w:rPr>
          <w:rFonts w:ascii="Times New Roman" w:hAnsi="Times New Roman" w:cs="Times New Roman"/>
        </w:rPr>
        <w:t xml:space="preserve">family does not merely consist of those related by blood or </w:t>
      </w:r>
      <w:r w:rsidR="002776C5" w:rsidRPr="00E869A4">
        <w:rPr>
          <w:rFonts w:ascii="Times New Roman" w:hAnsi="Times New Roman" w:cs="Times New Roman"/>
        </w:rPr>
        <w:t xml:space="preserve">who </w:t>
      </w:r>
      <w:r w:rsidRPr="00E869A4">
        <w:rPr>
          <w:rFonts w:ascii="Times New Roman" w:hAnsi="Times New Roman" w:cs="Times New Roman"/>
        </w:rPr>
        <w:t>share a common name, but that family is recognised by their actions and interactions. Janet Finch is popularly known for introducing the conce</w:t>
      </w:r>
      <w:r w:rsidR="002776C5" w:rsidRPr="00E869A4">
        <w:rPr>
          <w:rFonts w:ascii="Times New Roman" w:hAnsi="Times New Roman" w:cs="Times New Roman"/>
        </w:rPr>
        <w:t>pt of family displays. Displays</w:t>
      </w:r>
      <w:r w:rsidRPr="00E869A4">
        <w:rPr>
          <w:rFonts w:ascii="Times New Roman" w:hAnsi="Times New Roman" w:cs="Times New Roman"/>
        </w:rPr>
        <w:t xml:space="preserve"> are required to demonstrate that</w:t>
      </w:r>
      <w:r w:rsidRPr="00E869A4">
        <w:rPr>
          <w:rFonts w:ascii="Times New Roman" w:hAnsi="Times New Roman" w:cs="Times New Roman"/>
          <w:shd w:val="clear" w:color="auto" w:fill="FFFFFF"/>
        </w:rPr>
        <w:t> </w:t>
      </w:r>
      <w:r w:rsidR="00C97931" w:rsidRPr="00E869A4">
        <w:rPr>
          <w:rFonts w:ascii="Times New Roman" w:hAnsi="Times New Roman" w:cs="Times New Roman"/>
          <w:shd w:val="clear" w:color="auto" w:fill="FFFFFF"/>
        </w:rPr>
        <w:t>“</w:t>
      </w:r>
      <w:r w:rsidRPr="00E869A4">
        <w:rPr>
          <w:rFonts w:ascii="Times New Roman" w:hAnsi="Times New Roman" w:cs="Times New Roman"/>
          <w:shd w:val="clear" w:color="auto" w:fill="FFFFFF"/>
        </w:rPr>
        <w:t>these are my family relationships, and they work</w:t>
      </w:r>
      <w:r w:rsidR="00C97931" w:rsidRPr="00E869A4">
        <w:rPr>
          <w:rFonts w:ascii="Times New Roman" w:hAnsi="Times New Roman" w:cs="Times New Roman"/>
          <w:shd w:val="clear" w:color="auto" w:fill="FFFFFF"/>
        </w:rPr>
        <w:t>”</w:t>
      </w:r>
      <w:r w:rsidRPr="00E869A4">
        <w:rPr>
          <w:rFonts w:ascii="Times New Roman" w:hAnsi="Times New Roman" w:cs="Times New Roman"/>
          <w:shd w:val="clear" w:color="auto" w:fill="FFFFFF"/>
        </w:rPr>
        <w:t> (Finch 2007</w:t>
      </w:r>
      <w:r w:rsidR="00C97931" w:rsidRPr="00E869A4">
        <w:rPr>
          <w:rFonts w:ascii="Times New Roman" w:hAnsi="Times New Roman" w:cs="Times New Roman"/>
          <w:shd w:val="clear" w:color="auto" w:fill="FFFFFF"/>
        </w:rPr>
        <w:t xml:space="preserve">, p. </w:t>
      </w:r>
      <w:r w:rsidR="00EB7C69" w:rsidRPr="00E869A4">
        <w:rPr>
          <w:rFonts w:ascii="Times New Roman" w:hAnsi="Times New Roman" w:cs="Times New Roman"/>
          <w:shd w:val="clear" w:color="auto" w:fill="FFFFFF"/>
        </w:rPr>
        <w:t>73</w:t>
      </w:r>
      <w:r w:rsidRPr="00E869A4">
        <w:rPr>
          <w:rFonts w:ascii="Times New Roman" w:hAnsi="Times New Roman" w:cs="Times New Roman"/>
          <w:shd w:val="clear" w:color="auto" w:fill="FFFFFF"/>
        </w:rPr>
        <w:t xml:space="preserve">) and </w:t>
      </w:r>
      <w:r w:rsidRPr="00E869A4">
        <w:rPr>
          <w:rFonts w:ascii="Times New Roman" w:hAnsi="Times New Roman" w:cs="Times New Roman"/>
        </w:rPr>
        <w:t xml:space="preserve">may include group </w:t>
      </w:r>
      <w:r w:rsidRPr="00E869A4">
        <w:rPr>
          <w:rFonts w:ascii="Times New Roman" w:hAnsi="Times New Roman" w:cs="Times New Roman"/>
        </w:rPr>
        <w:lastRenderedPageBreak/>
        <w:t>activities such as family meals and other traditions</w:t>
      </w:r>
      <w:r w:rsidR="006C39F4">
        <w:rPr>
          <w:rFonts w:ascii="Times New Roman" w:hAnsi="Times New Roman" w:cs="Times New Roman"/>
        </w:rPr>
        <w:t>, mementos or physical object</w:t>
      </w:r>
      <w:r w:rsidRPr="00E869A4">
        <w:rPr>
          <w:rFonts w:ascii="Times New Roman" w:hAnsi="Times New Roman" w:cs="Times New Roman"/>
        </w:rPr>
        <w:t xml:space="preserve">s such as family portraits, and individual or group narratives which serve as a co-created body of memories among those who are considered to be family. These </w:t>
      </w:r>
      <w:r w:rsidRPr="00E869A4">
        <w:rPr>
          <w:rFonts w:ascii="Times New Roman" w:hAnsi="Times New Roman" w:cs="Times New Roman"/>
          <w:i/>
        </w:rPr>
        <w:t xml:space="preserve">‘displays’ </w:t>
      </w:r>
      <w:r w:rsidRPr="00E869A4">
        <w:rPr>
          <w:rFonts w:ascii="Times New Roman" w:hAnsi="Times New Roman" w:cs="Times New Roman"/>
        </w:rPr>
        <w:t xml:space="preserve">must also be seen and recognised by others as being indicative of family life. Thus, based on these arguments, belonging to a particular social structure group is not enough to characterise what a family is or who are its members. </w:t>
      </w:r>
    </w:p>
    <w:p w14:paraId="074FE6A4" w14:textId="77777777" w:rsidR="00054D9B" w:rsidRPr="00E869A4" w:rsidRDefault="00054D9B" w:rsidP="006B53B7">
      <w:pPr>
        <w:rPr>
          <w:rFonts w:ascii="Times New Roman" w:hAnsi="Times New Roman" w:cs="Times New Roman"/>
        </w:rPr>
      </w:pPr>
    </w:p>
    <w:p w14:paraId="5847AB80" w14:textId="77777777" w:rsidR="001F077F" w:rsidRPr="00E869A4" w:rsidRDefault="001F077F" w:rsidP="00430F82">
      <w:pPr>
        <w:pStyle w:val="Heading4"/>
      </w:pPr>
      <w:r w:rsidRPr="00E869A4">
        <w:t>Social Exchange Theory</w:t>
      </w:r>
    </w:p>
    <w:p w14:paraId="508B36C6" w14:textId="77777777" w:rsidR="00757881" w:rsidRPr="00E869A4" w:rsidRDefault="00757881" w:rsidP="0051234F">
      <w:pPr>
        <w:pStyle w:val="112"/>
        <w:rPr>
          <w:color w:val="auto"/>
        </w:rPr>
      </w:pPr>
    </w:p>
    <w:p w14:paraId="07C12BA4" w14:textId="553C890D" w:rsidR="001F077F" w:rsidRPr="00E869A4" w:rsidRDefault="001F077F" w:rsidP="0059289F">
      <w:pPr>
        <w:rPr>
          <w:rFonts w:ascii="Times New Roman" w:hAnsi="Times New Roman" w:cs="Times New Roman"/>
        </w:rPr>
      </w:pPr>
      <w:r w:rsidRPr="00E869A4">
        <w:rPr>
          <w:rFonts w:ascii="Times New Roman" w:hAnsi="Times New Roman" w:cs="Times New Roman"/>
        </w:rPr>
        <w:t xml:space="preserve">A basic tenet of social exchange theorists is that humans are motivated by rational choice and a desire to maximise rewards and minimise costs (Cheal 1999). Like the conflict perspective, family experiences are explained using economic theory (Newman </w:t>
      </w:r>
      <w:r w:rsidR="0059289F" w:rsidRPr="00E869A4">
        <w:rPr>
          <w:rFonts w:ascii="Times New Roman" w:hAnsi="Times New Roman" w:cs="Times New Roman"/>
        </w:rPr>
        <w:t>&amp;</w:t>
      </w:r>
      <w:r w:rsidRPr="00E869A4">
        <w:rPr>
          <w:rFonts w:ascii="Times New Roman" w:hAnsi="Times New Roman" w:cs="Times New Roman"/>
        </w:rPr>
        <w:t xml:space="preserve"> Grauerholz 2002). Proponents of the social exchange perspective deem family relationships as most satisfying when the benefits outweigh the costs. Thus, the decisions made by family members about how they relate to each other are governed by what the individual perceives as beneficial or not. </w:t>
      </w:r>
      <w:r w:rsidR="00CB6F2D" w:rsidRPr="00E869A4">
        <w:rPr>
          <w:rFonts w:ascii="Times New Roman" w:hAnsi="Times New Roman" w:cs="Times New Roman"/>
        </w:rPr>
        <w:t>Experience</w:t>
      </w:r>
      <w:r w:rsidRPr="00E869A4">
        <w:rPr>
          <w:rFonts w:ascii="Times New Roman" w:hAnsi="Times New Roman" w:cs="Times New Roman"/>
        </w:rPr>
        <w:t xml:space="preserve"> is a main factor that influences the type of expectations people have about benefits and rewards (Newman </w:t>
      </w:r>
      <w:r w:rsidR="0059289F" w:rsidRPr="00E869A4">
        <w:rPr>
          <w:rFonts w:ascii="Times New Roman" w:hAnsi="Times New Roman" w:cs="Times New Roman"/>
        </w:rPr>
        <w:t>&amp;</w:t>
      </w:r>
      <w:r w:rsidRPr="00E869A4">
        <w:rPr>
          <w:rFonts w:ascii="Times New Roman" w:hAnsi="Times New Roman" w:cs="Times New Roman"/>
        </w:rPr>
        <w:t xml:space="preserve"> Grauerholz 2002). However, </w:t>
      </w:r>
      <w:r w:rsidR="00923883" w:rsidRPr="00E869A4">
        <w:rPr>
          <w:rFonts w:ascii="Times New Roman" w:hAnsi="Times New Roman" w:cs="Times New Roman"/>
        </w:rPr>
        <w:t>al</w:t>
      </w:r>
      <w:r w:rsidRPr="00E869A4">
        <w:rPr>
          <w:rFonts w:ascii="Times New Roman" w:hAnsi="Times New Roman" w:cs="Times New Roman"/>
        </w:rPr>
        <w:t xml:space="preserve">though this theory has a strong economic focus, it submits that the rewards and costs that are considered in family exchanges are not limited to the objective monetary value of the exchange: subjective appraisal about what is rewarding or costly plays a key part in how relationships unfold. </w:t>
      </w:r>
      <w:r w:rsidR="0059289F" w:rsidRPr="00E869A4">
        <w:rPr>
          <w:rFonts w:ascii="Times New Roman" w:hAnsi="Times New Roman" w:cs="Times New Roman"/>
        </w:rPr>
        <w:t>W</w:t>
      </w:r>
      <w:r w:rsidRPr="00E869A4">
        <w:rPr>
          <w:rFonts w:ascii="Times New Roman" w:hAnsi="Times New Roman" w:cs="Times New Roman"/>
        </w:rPr>
        <w:t>hile this admission is important, the social exchange theory does not adequately explain affective motives such as love and affection</w:t>
      </w:r>
      <w:r w:rsidR="0059289F" w:rsidRPr="00E869A4">
        <w:rPr>
          <w:rFonts w:ascii="Times New Roman" w:hAnsi="Times New Roman" w:cs="Times New Roman"/>
        </w:rPr>
        <w:t>,</w:t>
      </w:r>
      <w:r w:rsidRPr="00E869A4">
        <w:rPr>
          <w:rFonts w:ascii="Times New Roman" w:hAnsi="Times New Roman" w:cs="Times New Roman"/>
        </w:rPr>
        <w:t xml:space="preserve"> and how these inform family care practices (Masuy 2011). </w:t>
      </w:r>
    </w:p>
    <w:p w14:paraId="18B3E0A9" w14:textId="77777777" w:rsidR="001F077F" w:rsidRPr="00E869A4" w:rsidRDefault="001F077F" w:rsidP="00A35FF8">
      <w:pPr>
        <w:rPr>
          <w:rFonts w:ascii="Times New Roman" w:hAnsi="Times New Roman" w:cs="Times New Roman"/>
        </w:rPr>
      </w:pPr>
    </w:p>
    <w:p w14:paraId="47BE8212" w14:textId="77777777" w:rsidR="001F077F" w:rsidRPr="00E869A4" w:rsidRDefault="001F077F" w:rsidP="00430F82">
      <w:pPr>
        <w:pStyle w:val="Heading4"/>
      </w:pPr>
      <w:bookmarkStart w:id="134" w:name="_Toc505015364"/>
      <w:r w:rsidRPr="00E869A4">
        <w:t>Symbolic Interactionism (Interpretivism)</w:t>
      </w:r>
      <w:bookmarkEnd w:id="134"/>
    </w:p>
    <w:p w14:paraId="7290BBBC" w14:textId="77777777" w:rsidR="00757881" w:rsidRPr="00E869A4" w:rsidRDefault="00757881" w:rsidP="0051234F">
      <w:pPr>
        <w:pStyle w:val="112"/>
        <w:rPr>
          <w:color w:val="auto"/>
        </w:rPr>
      </w:pPr>
    </w:p>
    <w:p w14:paraId="357F1B46" w14:textId="5C65AB15" w:rsidR="001F077F" w:rsidRPr="00E869A4" w:rsidRDefault="001F077F" w:rsidP="0073660E">
      <w:pPr>
        <w:rPr>
          <w:rFonts w:ascii="Times New Roman" w:hAnsi="Times New Roman" w:cs="Times New Roman"/>
        </w:rPr>
      </w:pPr>
      <w:r w:rsidRPr="00E869A4">
        <w:rPr>
          <w:rFonts w:ascii="Times New Roman" w:hAnsi="Times New Roman" w:cs="Times New Roman"/>
        </w:rPr>
        <w:t xml:space="preserve">Symbolic interactionism </w:t>
      </w:r>
      <w:r w:rsidR="0059289F" w:rsidRPr="00E869A4">
        <w:rPr>
          <w:rFonts w:ascii="Times New Roman" w:hAnsi="Times New Roman" w:cs="Times New Roman"/>
        </w:rPr>
        <w:t xml:space="preserve">(SI) </w:t>
      </w:r>
      <w:r w:rsidRPr="00E869A4">
        <w:rPr>
          <w:rFonts w:ascii="Times New Roman" w:hAnsi="Times New Roman" w:cs="Times New Roman"/>
        </w:rPr>
        <w:t xml:space="preserve">asserts that a society is ultimately created, maintained, and changed by the social interaction of its members. According to this perspective, what is perceived as family is not fixed and stable but rather, is created through negotiated day-to-day interactions (Newman </w:t>
      </w:r>
      <w:r w:rsidR="00E46F0C" w:rsidRPr="00E869A4">
        <w:rPr>
          <w:rFonts w:ascii="Times New Roman" w:hAnsi="Times New Roman" w:cs="Times New Roman"/>
        </w:rPr>
        <w:t>&amp;</w:t>
      </w:r>
      <w:r w:rsidRPr="00E869A4">
        <w:rPr>
          <w:rFonts w:ascii="Times New Roman" w:hAnsi="Times New Roman" w:cs="Times New Roman"/>
        </w:rPr>
        <w:t xml:space="preserve"> Grauerholz 2002</w:t>
      </w:r>
      <w:r w:rsidR="00E46F0C" w:rsidRPr="00E869A4">
        <w:rPr>
          <w:rFonts w:ascii="Times New Roman" w:hAnsi="Times New Roman" w:cs="Times New Roman"/>
        </w:rPr>
        <w:t>; Steel, Kidd &amp; Brown 2012</w:t>
      </w:r>
      <w:r w:rsidRPr="00E869A4">
        <w:rPr>
          <w:rFonts w:ascii="Times New Roman" w:hAnsi="Times New Roman" w:cs="Times New Roman"/>
        </w:rPr>
        <w:t xml:space="preserve">). Families are seen as having the capacity to create and re-create themselves through the daily interactions of </w:t>
      </w:r>
      <w:r w:rsidR="00082243" w:rsidRPr="00E869A4">
        <w:rPr>
          <w:rFonts w:ascii="Times New Roman" w:hAnsi="Times New Roman" w:cs="Times New Roman"/>
        </w:rPr>
        <w:t>their</w:t>
      </w:r>
      <w:r w:rsidRPr="00E869A4">
        <w:rPr>
          <w:rFonts w:ascii="Times New Roman" w:hAnsi="Times New Roman" w:cs="Times New Roman"/>
        </w:rPr>
        <w:t xml:space="preserve"> members. Based on this perspective</w:t>
      </w:r>
      <w:r w:rsidR="00E46F0C" w:rsidRPr="00E869A4">
        <w:rPr>
          <w:rFonts w:ascii="Times New Roman" w:hAnsi="Times New Roman" w:cs="Times New Roman"/>
        </w:rPr>
        <w:t>,</w:t>
      </w:r>
      <w:r w:rsidRPr="00E869A4">
        <w:rPr>
          <w:rFonts w:ascii="Times New Roman" w:hAnsi="Times New Roman" w:cs="Times New Roman"/>
        </w:rPr>
        <w:t xml:space="preserve"> Burgess (1926) define</w:t>
      </w:r>
      <w:r w:rsidR="00C56288" w:rsidRPr="00E869A4">
        <w:rPr>
          <w:rFonts w:ascii="Times New Roman" w:hAnsi="Times New Roman" w:cs="Times New Roman"/>
        </w:rPr>
        <w:t>d</w:t>
      </w:r>
      <w:r w:rsidRPr="00E869A4">
        <w:rPr>
          <w:rFonts w:ascii="Times New Roman" w:hAnsi="Times New Roman" w:cs="Times New Roman"/>
        </w:rPr>
        <w:t xml:space="preserve"> the family as a unity of interacting personalities (Cheal 1999). According to Burgess</w:t>
      </w:r>
      <w:r w:rsidR="009B2DB1" w:rsidRPr="00E869A4">
        <w:rPr>
          <w:rFonts w:ascii="Times New Roman" w:hAnsi="Times New Roman" w:cs="Times New Roman"/>
        </w:rPr>
        <w:t xml:space="preserve"> (1926 &amp; 1972, p. 6-7 cited in Loukas et al. 1998, p. 35)</w:t>
      </w:r>
      <w:r w:rsidR="00E46F0C" w:rsidRPr="00E869A4">
        <w:rPr>
          <w:rFonts w:ascii="Times New Roman" w:hAnsi="Times New Roman" w:cs="Times New Roman"/>
        </w:rPr>
        <w:t>:</w:t>
      </w:r>
      <w:r w:rsidRPr="00E869A4">
        <w:rPr>
          <w:rFonts w:ascii="Times New Roman" w:hAnsi="Times New Roman" w:cs="Times New Roman"/>
        </w:rPr>
        <w:t xml:space="preserve"> </w:t>
      </w:r>
    </w:p>
    <w:p w14:paraId="68462F8F" w14:textId="77777777" w:rsidR="00757881" w:rsidRPr="00E869A4" w:rsidRDefault="00757881" w:rsidP="00A35FF8">
      <w:pPr>
        <w:rPr>
          <w:rFonts w:ascii="Times New Roman" w:hAnsi="Times New Roman" w:cs="Times New Roman"/>
        </w:rPr>
      </w:pPr>
    </w:p>
    <w:p w14:paraId="679B66B3" w14:textId="7A690893" w:rsidR="001F077F" w:rsidRPr="00E869A4" w:rsidRDefault="001F077F" w:rsidP="00C97931">
      <w:pPr>
        <w:spacing w:line="240" w:lineRule="auto"/>
        <w:ind w:left="567" w:firstLine="0"/>
        <w:contextualSpacing/>
        <w:rPr>
          <w:rFonts w:ascii="Times New Roman" w:hAnsi="Times New Roman" w:cs="Times New Roman"/>
          <w:i/>
        </w:rPr>
      </w:pPr>
      <w:r w:rsidRPr="00E869A4">
        <w:rPr>
          <w:rFonts w:ascii="Times New Roman" w:hAnsi="Times New Roman" w:cs="Times New Roman"/>
        </w:rPr>
        <w:lastRenderedPageBreak/>
        <w:t>The actual unity of family life has its existence, not in any legal conception, nor in any formal contract, but in the interaction of its members. For the family does not depend for its survival on the harmonious relations of its members, nor does it necessarily disintegrate as a result of conflicts between its members. The family lives as long as interaction is taking pla</w:t>
      </w:r>
      <w:r w:rsidR="009B2DB1" w:rsidRPr="00E869A4">
        <w:rPr>
          <w:rFonts w:ascii="Times New Roman" w:hAnsi="Times New Roman" w:cs="Times New Roman"/>
        </w:rPr>
        <w:t>ce and dies only when it ceases</w:t>
      </w:r>
      <w:r w:rsidR="00C56288" w:rsidRPr="00E869A4">
        <w:rPr>
          <w:rFonts w:ascii="Times New Roman" w:hAnsi="Times New Roman" w:cs="Times New Roman"/>
        </w:rPr>
        <w:t>.</w:t>
      </w:r>
    </w:p>
    <w:p w14:paraId="4FBFD47E" w14:textId="77777777" w:rsidR="00757881" w:rsidRPr="00E869A4" w:rsidRDefault="00757881" w:rsidP="00A35FF8">
      <w:pPr>
        <w:rPr>
          <w:rFonts w:ascii="Times New Roman" w:hAnsi="Times New Roman" w:cs="Times New Roman"/>
        </w:rPr>
      </w:pPr>
    </w:p>
    <w:p w14:paraId="0D47BC18" w14:textId="7E62ADFF" w:rsidR="001F077F" w:rsidRPr="00E869A4" w:rsidRDefault="001F077F" w:rsidP="00996261">
      <w:pPr>
        <w:rPr>
          <w:rFonts w:ascii="Times New Roman" w:hAnsi="Times New Roman" w:cs="Times New Roman"/>
        </w:rPr>
      </w:pPr>
      <w:r w:rsidRPr="00E869A4">
        <w:rPr>
          <w:rFonts w:ascii="Times New Roman" w:hAnsi="Times New Roman" w:cs="Times New Roman"/>
        </w:rPr>
        <w:t>SI focuses on the meanings people attach to their own and others</w:t>
      </w:r>
      <w:r w:rsidR="00DE13A8" w:rsidRPr="00E869A4">
        <w:rPr>
          <w:rFonts w:ascii="Times New Roman" w:hAnsi="Times New Roman" w:cs="Times New Roman"/>
        </w:rPr>
        <w:t>’</w:t>
      </w:r>
      <w:r w:rsidRPr="00E869A4">
        <w:rPr>
          <w:rFonts w:ascii="Times New Roman" w:hAnsi="Times New Roman" w:cs="Times New Roman"/>
        </w:rPr>
        <w:t xml:space="preserve"> </w:t>
      </w:r>
      <w:r w:rsidR="00996261" w:rsidRPr="00E869A4">
        <w:rPr>
          <w:rFonts w:ascii="Times New Roman" w:hAnsi="Times New Roman" w:cs="Times New Roman"/>
        </w:rPr>
        <w:t>behaviours</w:t>
      </w:r>
      <w:r w:rsidRPr="00E869A4">
        <w:rPr>
          <w:rFonts w:ascii="Times New Roman" w:hAnsi="Times New Roman" w:cs="Times New Roman"/>
        </w:rPr>
        <w:t>. With respect to family life, SI emphasises the agency of individuals in ascribing their own meanings to what family life is (</w:t>
      </w:r>
      <w:r w:rsidR="00027913" w:rsidRPr="00E869A4">
        <w:rPr>
          <w:rFonts w:ascii="Times New Roman" w:hAnsi="Times New Roman" w:cs="Times New Roman"/>
        </w:rPr>
        <w:t>Steel, Kidd &amp; Brown 2012</w:t>
      </w:r>
      <w:r w:rsidRPr="00E869A4">
        <w:rPr>
          <w:rFonts w:ascii="Times New Roman" w:hAnsi="Times New Roman" w:cs="Times New Roman"/>
        </w:rPr>
        <w:t>). Though structural attributes such as status, roles and norms may be used to classify families, according to symbolic interactionists, family roles and practices are not seen as automatically adopted from pre-existing structures. The interactionist perspective also emphasi</w:t>
      </w:r>
      <w:r w:rsidR="003D4ADD" w:rsidRPr="00E869A4">
        <w:rPr>
          <w:rFonts w:ascii="Times New Roman" w:hAnsi="Times New Roman" w:cs="Times New Roman"/>
        </w:rPr>
        <w:t>s</w:t>
      </w:r>
      <w:r w:rsidRPr="00E869A4">
        <w:rPr>
          <w:rFonts w:ascii="Times New Roman" w:hAnsi="Times New Roman" w:cs="Times New Roman"/>
        </w:rPr>
        <w:t xml:space="preserve">es that families reinforce and rejuvenate bonds through rituals such as family meals and holidays and </w:t>
      </w:r>
      <w:r w:rsidR="00122F3D" w:rsidRPr="00E869A4">
        <w:rPr>
          <w:rFonts w:ascii="Times New Roman" w:hAnsi="Times New Roman" w:cs="Times New Roman"/>
        </w:rPr>
        <w:t xml:space="preserve">it </w:t>
      </w:r>
      <w:r w:rsidRPr="00E869A4">
        <w:rPr>
          <w:rFonts w:ascii="Times New Roman" w:hAnsi="Times New Roman" w:cs="Times New Roman"/>
        </w:rPr>
        <w:t>give</w:t>
      </w:r>
      <w:r w:rsidR="00122F3D" w:rsidRPr="00E869A4">
        <w:rPr>
          <w:rFonts w:ascii="Times New Roman" w:hAnsi="Times New Roman" w:cs="Times New Roman"/>
        </w:rPr>
        <w:t>s</w:t>
      </w:r>
      <w:r w:rsidRPr="00E869A4">
        <w:rPr>
          <w:rFonts w:ascii="Times New Roman" w:hAnsi="Times New Roman" w:cs="Times New Roman"/>
        </w:rPr>
        <w:t xml:space="preserve"> attention to how individuals make and sometimes break roles (Cheal 1999). This is in stark contrast to the ass</w:t>
      </w:r>
      <w:r w:rsidR="007535DC" w:rsidRPr="00E869A4">
        <w:rPr>
          <w:rFonts w:ascii="Times New Roman" w:hAnsi="Times New Roman" w:cs="Times New Roman"/>
        </w:rPr>
        <w:t xml:space="preserve">umptions made by the structural </w:t>
      </w:r>
      <w:r w:rsidRPr="00E869A4">
        <w:rPr>
          <w:rFonts w:ascii="Times New Roman" w:hAnsi="Times New Roman" w:cs="Times New Roman"/>
        </w:rPr>
        <w:t xml:space="preserve">functionalist and conflict schools of thought. Although </w:t>
      </w:r>
      <w:r w:rsidR="00653723" w:rsidRPr="00E869A4">
        <w:rPr>
          <w:rFonts w:ascii="Times New Roman" w:hAnsi="Times New Roman" w:cs="Times New Roman"/>
        </w:rPr>
        <w:t>SI</w:t>
      </w:r>
      <w:r w:rsidRPr="00E869A4">
        <w:rPr>
          <w:rFonts w:ascii="Times New Roman" w:hAnsi="Times New Roman" w:cs="Times New Roman"/>
        </w:rPr>
        <w:t xml:space="preserve"> does not sufficiently address structural </w:t>
      </w:r>
      <w:r w:rsidR="000E15FE" w:rsidRPr="00E869A4">
        <w:rPr>
          <w:rFonts w:ascii="Times New Roman" w:hAnsi="Times New Roman" w:cs="Times New Roman"/>
        </w:rPr>
        <w:t xml:space="preserve">issues, which play a key role in </w:t>
      </w:r>
      <w:r w:rsidRPr="00E869A4">
        <w:rPr>
          <w:rFonts w:ascii="Times New Roman" w:hAnsi="Times New Roman" w:cs="Times New Roman"/>
        </w:rPr>
        <w:t xml:space="preserve">shaping the interactions of people within their family, its detailed understanding of family relations has been instrumental in highlighting the diverse social worlds that families create, and the varied forms they adopt. </w:t>
      </w:r>
    </w:p>
    <w:p w14:paraId="1407A1CA" w14:textId="77777777" w:rsidR="00757881" w:rsidRPr="00E869A4" w:rsidRDefault="00757881" w:rsidP="00A35FF8">
      <w:pPr>
        <w:rPr>
          <w:rFonts w:ascii="Times New Roman" w:hAnsi="Times New Roman" w:cs="Times New Roman"/>
        </w:rPr>
      </w:pPr>
    </w:p>
    <w:p w14:paraId="03D67749" w14:textId="77777777" w:rsidR="001F077F" w:rsidRPr="00E869A4" w:rsidRDefault="001F077F" w:rsidP="00430F82">
      <w:pPr>
        <w:pStyle w:val="Heading4"/>
      </w:pPr>
      <w:bookmarkStart w:id="135" w:name="_Toc505015365"/>
      <w:r w:rsidRPr="00E869A4">
        <w:t>Postmodernism and Post-Colonial Theory</w:t>
      </w:r>
      <w:bookmarkEnd w:id="135"/>
    </w:p>
    <w:p w14:paraId="55AAE823" w14:textId="77777777" w:rsidR="00757881" w:rsidRPr="00E869A4" w:rsidRDefault="00757881" w:rsidP="0051234F">
      <w:pPr>
        <w:pStyle w:val="112"/>
        <w:rPr>
          <w:color w:val="auto"/>
        </w:rPr>
      </w:pPr>
    </w:p>
    <w:p w14:paraId="286F5CC0" w14:textId="6C081514" w:rsidR="00E46D5F" w:rsidRPr="00E869A4" w:rsidRDefault="001F077F" w:rsidP="00836AD5">
      <w:pPr>
        <w:rPr>
          <w:rFonts w:ascii="Times New Roman" w:hAnsi="Times New Roman" w:cs="Times New Roman"/>
        </w:rPr>
      </w:pPr>
      <w:r w:rsidRPr="00E869A4">
        <w:rPr>
          <w:rFonts w:ascii="Times New Roman" w:hAnsi="Times New Roman" w:cs="Times New Roman"/>
        </w:rPr>
        <w:t xml:space="preserve">By the late 1980s, the grand theories of Functionalism, Marxism, and some aspects of Feminist discourse no longer seemed to be attuned to rapid socio-cultural </w:t>
      </w:r>
      <w:r w:rsidR="00631078" w:rsidRPr="00E869A4">
        <w:rPr>
          <w:rFonts w:ascii="Times New Roman" w:hAnsi="Times New Roman" w:cs="Times New Roman"/>
        </w:rPr>
        <w:t>changes which</w:t>
      </w:r>
      <w:r w:rsidRPr="00E869A4">
        <w:rPr>
          <w:rFonts w:ascii="Times New Roman" w:hAnsi="Times New Roman" w:cs="Times New Roman"/>
        </w:rPr>
        <w:t xml:space="preserve"> challenged seemingly established patterns of family life. Rising rates of divorce, cohabitation and birth outside of marriage, led many to predict the eventual collapse of the family (Gillies 2003). Postmodernists</w:t>
      </w:r>
      <w:r w:rsidR="00CE5743" w:rsidRPr="00E869A4">
        <w:rPr>
          <w:rFonts w:ascii="Times New Roman" w:hAnsi="Times New Roman" w:cs="Times New Roman"/>
        </w:rPr>
        <w:t>,</w:t>
      </w:r>
      <w:r w:rsidRPr="00E869A4">
        <w:rPr>
          <w:rFonts w:ascii="Times New Roman" w:hAnsi="Times New Roman" w:cs="Times New Roman"/>
        </w:rPr>
        <w:t xml:space="preserve"> however</w:t>
      </w:r>
      <w:r w:rsidR="00CE5743" w:rsidRPr="00E869A4">
        <w:rPr>
          <w:rFonts w:ascii="Times New Roman" w:hAnsi="Times New Roman" w:cs="Times New Roman"/>
        </w:rPr>
        <w:t>,</w:t>
      </w:r>
      <w:r w:rsidRPr="00E869A4">
        <w:rPr>
          <w:rFonts w:ascii="Times New Roman" w:hAnsi="Times New Roman" w:cs="Times New Roman"/>
        </w:rPr>
        <w:t xml:space="preserve"> took a more pragmatic view of these developments</w:t>
      </w:r>
      <w:r w:rsidR="007B2931" w:rsidRPr="00E869A4">
        <w:rPr>
          <w:rFonts w:ascii="Times New Roman" w:hAnsi="Times New Roman" w:cs="Times New Roman"/>
        </w:rPr>
        <w:t>:</w:t>
      </w:r>
      <w:r w:rsidRPr="00E869A4">
        <w:rPr>
          <w:rFonts w:ascii="Times New Roman" w:hAnsi="Times New Roman" w:cs="Times New Roman"/>
        </w:rPr>
        <w:t xml:space="preserve"> </w:t>
      </w:r>
      <w:r w:rsidR="00CE5743" w:rsidRPr="00E869A4">
        <w:rPr>
          <w:rFonts w:ascii="Times New Roman" w:hAnsi="Times New Roman" w:cs="Times New Roman"/>
        </w:rPr>
        <w:t>t</w:t>
      </w:r>
      <w:r w:rsidRPr="00E869A4">
        <w:rPr>
          <w:rFonts w:ascii="Times New Roman" w:hAnsi="Times New Roman" w:cs="Times New Roman"/>
        </w:rPr>
        <w:t xml:space="preserve">hey </w:t>
      </w:r>
      <w:r w:rsidR="003D4ADD" w:rsidRPr="00E869A4">
        <w:rPr>
          <w:rFonts w:ascii="Times New Roman" w:hAnsi="Times New Roman" w:cs="Times New Roman"/>
        </w:rPr>
        <w:t>opined</w:t>
      </w:r>
      <w:r w:rsidRPr="00E869A4">
        <w:rPr>
          <w:rFonts w:ascii="Times New Roman" w:hAnsi="Times New Roman" w:cs="Times New Roman"/>
        </w:rPr>
        <w:t xml:space="preserve"> that the contemporary postmodern era is characterised by the production of instability in all aspects of life, including fam</w:t>
      </w:r>
      <w:r w:rsidR="00B75AF4">
        <w:rPr>
          <w:rFonts w:ascii="Times New Roman" w:hAnsi="Times New Roman" w:cs="Times New Roman"/>
        </w:rPr>
        <w:t xml:space="preserve">ily relationships (Cheal 1999). </w:t>
      </w:r>
      <w:r w:rsidRPr="00E869A4">
        <w:rPr>
          <w:rFonts w:ascii="Times New Roman" w:hAnsi="Times New Roman" w:cs="Times New Roman"/>
        </w:rPr>
        <w:t>Multiplicity, difference, particularity, locality, temporality, and the dynamic nature of contemporary social processes are key features of the postmodern viewpoint (Jacobsen et al</w:t>
      </w:r>
      <w:r w:rsidR="00836AD5" w:rsidRPr="00E869A4">
        <w:rPr>
          <w:rFonts w:ascii="Times New Roman" w:hAnsi="Times New Roman" w:cs="Times New Roman"/>
        </w:rPr>
        <w:t>.</w:t>
      </w:r>
      <w:r w:rsidRPr="00E869A4">
        <w:rPr>
          <w:rFonts w:ascii="Times New Roman" w:hAnsi="Times New Roman" w:cs="Times New Roman"/>
        </w:rPr>
        <w:t xml:space="preserve"> 2004)</w:t>
      </w:r>
      <w:r w:rsidR="00E46D5F" w:rsidRPr="00E869A4">
        <w:rPr>
          <w:rFonts w:ascii="Times New Roman" w:hAnsi="Times New Roman" w:cs="Times New Roman"/>
        </w:rPr>
        <w:t>.</w:t>
      </w:r>
    </w:p>
    <w:p w14:paraId="7E6F7330" w14:textId="77777777" w:rsidR="00261F68" w:rsidRDefault="00261F68" w:rsidP="00A16049">
      <w:pPr>
        <w:rPr>
          <w:rFonts w:ascii="Times New Roman" w:hAnsi="Times New Roman" w:cs="Times New Roman"/>
        </w:rPr>
      </w:pPr>
    </w:p>
    <w:p w14:paraId="52231D06" w14:textId="0EB0C2F0" w:rsidR="00A25B29" w:rsidRPr="00E869A4" w:rsidRDefault="001F077F" w:rsidP="00A16049">
      <w:pPr>
        <w:rPr>
          <w:rFonts w:ascii="Times New Roman" w:hAnsi="Times New Roman" w:cs="Times New Roman"/>
        </w:rPr>
      </w:pPr>
      <w:r w:rsidRPr="00E869A4">
        <w:rPr>
          <w:rFonts w:ascii="Times New Roman" w:hAnsi="Times New Roman" w:cs="Times New Roman"/>
        </w:rPr>
        <w:t xml:space="preserve">According to </w:t>
      </w:r>
      <w:r w:rsidR="00631078" w:rsidRPr="00E869A4">
        <w:rPr>
          <w:rFonts w:ascii="Times New Roman" w:hAnsi="Times New Roman" w:cs="Times New Roman"/>
        </w:rPr>
        <w:t>Cheal</w:t>
      </w:r>
      <w:r w:rsidR="00AE7731" w:rsidRPr="00E869A4">
        <w:rPr>
          <w:rFonts w:ascii="Times New Roman" w:hAnsi="Times New Roman" w:cs="Times New Roman"/>
        </w:rPr>
        <w:t>,</w:t>
      </w:r>
      <w:r w:rsidRPr="00E869A4">
        <w:rPr>
          <w:rFonts w:ascii="Times New Roman" w:hAnsi="Times New Roman" w:cs="Times New Roman"/>
        </w:rPr>
        <w:t xml:space="preserve"> postmodern families “represent a deconstruction or transformation of at least one aspect of the traditional family</w:t>
      </w:r>
      <w:r w:rsidR="002129C0" w:rsidRPr="00E869A4">
        <w:rPr>
          <w:rFonts w:ascii="Times New Roman" w:hAnsi="Times New Roman" w:cs="Times New Roman"/>
        </w:rPr>
        <w:t>.</w:t>
      </w:r>
      <w:r w:rsidRPr="00E869A4">
        <w:rPr>
          <w:rFonts w:ascii="Times New Roman" w:hAnsi="Times New Roman" w:cs="Times New Roman"/>
        </w:rPr>
        <w:t xml:space="preserve">” </w:t>
      </w:r>
      <w:r w:rsidR="00C56288" w:rsidRPr="00E869A4">
        <w:rPr>
          <w:rFonts w:ascii="Times New Roman" w:hAnsi="Times New Roman" w:cs="Times New Roman"/>
        </w:rPr>
        <w:t xml:space="preserve">(Cheal 2005, p. 34). </w:t>
      </w:r>
      <w:r w:rsidRPr="00E869A4">
        <w:rPr>
          <w:rFonts w:ascii="Times New Roman" w:hAnsi="Times New Roman" w:cs="Times New Roman"/>
        </w:rPr>
        <w:t xml:space="preserve">Proponents of the postmodernist perspective argue that the family has lost many of the functions it fulfilled in a pre-industrial age (such as school, </w:t>
      </w:r>
      <w:r w:rsidRPr="00E869A4">
        <w:rPr>
          <w:rFonts w:ascii="Times New Roman" w:hAnsi="Times New Roman" w:cs="Times New Roman"/>
        </w:rPr>
        <w:lastRenderedPageBreak/>
        <w:t>church and work) and that the structure of the family, in particular the relationship of parents, children and kin, has diversified. Postmodernists generally adopt a pluralistic approach to conceptualising families (</w:t>
      </w:r>
      <w:r w:rsidR="00F64274" w:rsidRPr="00E869A4">
        <w:rPr>
          <w:rFonts w:ascii="Times New Roman" w:hAnsi="Times New Roman" w:cs="Times New Roman"/>
        </w:rPr>
        <w:t>Steel, Kidd &amp; Brown 2012</w:t>
      </w:r>
      <w:r w:rsidRPr="00E869A4">
        <w:rPr>
          <w:rFonts w:ascii="Times New Roman" w:hAnsi="Times New Roman" w:cs="Times New Roman"/>
        </w:rPr>
        <w:t>). The existence of a mixture of extended family, fictive kin and other families of choice are given focused attention by persons who subscribe to this theoretical approach. In keeping with these tenets, Cheal provide</w:t>
      </w:r>
      <w:r w:rsidR="00B1277B" w:rsidRPr="00E869A4">
        <w:rPr>
          <w:rFonts w:ascii="Times New Roman" w:hAnsi="Times New Roman" w:cs="Times New Roman"/>
        </w:rPr>
        <w:t>d</w:t>
      </w:r>
      <w:r w:rsidRPr="00E869A4">
        <w:rPr>
          <w:rFonts w:ascii="Times New Roman" w:hAnsi="Times New Roman" w:cs="Times New Roman"/>
        </w:rPr>
        <w:t xml:space="preserve"> the following broad definition of family as:</w:t>
      </w:r>
      <w:r w:rsidR="00B1277B" w:rsidRPr="00E869A4">
        <w:rPr>
          <w:rFonts w:ascii="Times New Roman" w:hAnsi="Times New Roman" w:cs="Times New Roman"/>
        </w:rPr>
        <w:t xml:space="preserve"> </w:t>
      </w:r>
      <w:r w:rsidRPr="00E869A4">
        <w:rPr>
          <w:rFonts w:ascii="Times New Roman" w:hAnsi="Times New Roman" w:cs="Times New Roman"/>
        </w:rPr>
        <w:t>“any group which consists of people in intimate relationships which are believed to endure over time and across generations</w:t>
      </w:r>
      <w:r w:rsidR="002129C0" w:rsidRPr="00E869A4">
        <w:rPr>
          <w:rFonts w:ascii="Times New Roman" w:hAnsi="Times New Roman" w:cs="Times New Roman"/>
        </w:rPr>
        <w:t>.</w:t>
      </w:r>
      <w:r w:rsidR="00175741" w:rsidRPr="00E869A4">
        <w:rPr>
          <w:rFonts w:ascii="Times New Roman" w:hAnsi="Times New Roman" w:cs="Times New Roman"/>
        </w:rPr>
        <w:t>”</w:t>
      </w:r>
      <w:r w:rsidR="00A25B29" w:rsidRPr="00E869A4">
        <w:rPr>
          <w:rFonts w:ascii="Times New Roman" w:hAnsi="Times New Roman" w:cs="Times New Roman"/>
        </w:rPr>
        <w:t xml:space="preserve"> (Cheal 2002, p. 4).</w:t>
      </w:r>
      <w:r w:rsidRPr="00E869A4">
        <w:rPr>
          <w:rFonts w:ascii="Times New Roman" w:hAnsi="Times New Roman" w:cs="Times New Roman"/>
          <w:i/>
        </w:rPr>
        <w:t xml:space="preserve"> </w:t>
      </w:r>
      <w:r w:rsidRPr="00E869A4">
        <w:rPr>
          <w:rFonts w:ascii="Times New Roman" w:hAnsi="Times New Roman" w:cs="Times New Roman"/>
        </w:rPr>
        <w:t xml:space="preserve">This definition is based on Cheal’s </w:t>
      </w:r>
      <w:r w:rsidR="009B2DB1" w:rsidRPr="00E869A4">
        <w:rPr>
          <w:rFonts w:ascii="Times New Roman" w:hAnsi="Times New Roman" w:cs="Times New Roman"/>
        </w:rPr>
        <w:t xml:space="preserve">(2002, p. 4) </w:t>
      </w:r>
      <w:r w:rsidRPr="00E869A4">
        <w:rPr>
          <w:rFonts w:ascii="Times New Roman" w:hAnsi="Times New Roman" w:cs="Times New Roman"/>
        </w:rPr>
        <w:t>observation</w:t>
      </w:r>
      <w:r w:rsidR="00B93BED" w:rsidRPr="00E869A4">
        <w:rPr>
          <w:rFonts w:ascii="Times New Roman" w:hAnsi="Times New Roman" w:cs="Times New Roman"/>
        </w:rPr>
        <w:t xml:space="preserve"> </w:t>
      </w:r>
      <w:r w:rsidRPr="00E869A4">
        <w:rPr>
          <w:rFonts w:ascii="Times New Roman" w:hAnsi="Times New Roman" w:cs="Times New Roman"/>
        </w:rPr>
        <w:t>that:</w:t>
      </w:r>
      <w:r w:rsidR="00B1277B" w:rsidRPr="00E869A4">
        <w:rPr>
          <w:rFonts w:ascii="Times New Roman" w:hAnsi="Times New Roman" w:cs="Times New Roman"/>
        </w:rPr>
        <w:t xml:space="preserve"> </w:t>
      </w:r>
    </w:p>
    <w:p w14:paraId="2505C8BE" w14:textId="77777777" w:rsidR="008A0131" w:rsidRPr="00E869A4" w:rsidRDefault="008A0131" w:rsidP="008A0131">
      <w:pPr>
        <w:spacing w:line="240" w:lineRule="auto"/>
        <w:rPr>
          <w:rFonts w:ascii="Times New Roman" w:hAnsi="Times New Roman" w:cs="Times New Roman"/>
        </w:rPr>
      </w:pPr>
    </w:p>
    <w:p w14:paraId="13918975" w14:textId="2BB41B90" w:rsidR="001F077F" w:rsidRPr="00E869A4" w:rsidRDefault="00A25B29" w:rsidP="00C97931">
      <w:pPr>
        <w:spacing w:line="240" w:lineRule="auto"/>
        <w:ind w:left="567" w:firstLine="0"/>
        <w:contextualSpacing/>
        <w:rPr>
          <w:rFonts w:ascii="Times New Roman" w:hAnsi="Times New Roman" w:cs="Times New Roman"/>
        </w:rPr>
      </w:pPr>
      <w:r w:rsidRPr="00E869A4">
        <w:rPr>
          <w:rFonts w:ascii="Times New Roman" w:hAnsi="Times New Roman" w:cs="Times New Roman"/>
          <w:iCs/>
        </w:rPr>
        <w:t>[T]</w:t>
      </w:r>
      <w:r w:rsidR="001F077F" w:rsidRPr="00E869A4">
        <w:rPr>
          <w:rFonts w:ascii="Times New Roman" w:hAnsi="Times New Roman" w:cs="Times New Roman"/>
          <w:iCs/>
        </w:rPr>
        <w:t>here is no single concept of the family which is true for all historical periods in all places. Definitions of family are relative to the social and cultural environments of people who think about families, and who talk about families, as they go about their everyday lives</w:t>
      </w:r>
      <w:r w:rsidRPr="00E869A4">
        <w:rPr>
          <w:rFonts w:ascii="Times New Roman" w:hAnsi="Times New Roman" w:cs="Times New Roman"/>
        </w:rPr>
        <w:t>.</w:t>
      </w:r>
      <w:r w:rsidRPr="00E869A4">
        <w:rPr>
          <w:rFonts w:ascii="Times New Roman" w:hAnsi="Times New Roman" w:cs="Times New Roman"/>
          <w:i/>
        </w:rPr>
        <w:t xml:space="preserve"> </w:t>
      </w:r>
      <w:r w:rsidR="001F077F" w:rsidRPr="00E869A4">
        <w:rPr>
          <w:rFonts w:ascii="Times New Roman" w:hAnsi="Times New Roman" w:cs="Times New Roman"/>
        </w:rPr>
        <w:t xml:space="preserve"> </w:t>
      </w:r>
    </w:p>
    <w:p w14:paraId="51530327" w14:textId="77777777" w:rsidR="00257729" w:rsidRPr="00E869A4" w:rsidRDefault="00257729" w:rsidP="003E23F9">
      <w:pPr>
        <w:autoSpaceDE w:val="0"/>
        <w:autoSpaceDN w:val="0"/>
        <w:adjustRightInd w:val="0"/>
        <w:spacing w:line="240" w:lineRule="auto"/>
        <w:ind w:firstLine="720"/>
        <w:rPr>
          <w:rFonts w:ascii="Times New Roman" w:hAnsi="Times New Roman" w:cs="Times New Roman"/>
        </w:rPr>
      </w:pPr>
    </w:p>
    <w:p w14:paraId="38166E89" w14:textId="69E37A26" w:rsidR="001F077F" w:rsidRPr="00E869A4" w:rsidRDefault="001F077F" w:rsidP="008D1BA8">
      <w:pPr>
        <w:rPr>
          <w:rFonts w:ascii="Times New Roman" w:hAnsi="Times New Roman" w:cs="Times New Roman"/>
        </w:rPr>
      </w:pPr>
      <w:r w:rsidRPr="00E869A4">
        <w:rPr>
          <w:rFonts w:ascii="Times New Roman" w:hAnsi="Times New Roman" w:cs="Times New Roman"/>
        </w:rPr>
        <w:t>Postmodernists and their supporters emphasise that family is not based solely on consanguineal or affinal</w:t>
      </w:r>
      <w:r w:rsidR="00782050" w:rsidRPr="00E869A4">
        <w:rPr>
          <w:rFonts w:ascii="Times New Roman" w:hAnsi="Times New Roman" w:cs="Times New Roman"/>
        </w:rPr>
        <w:t xml:space="preserve"> relationships</w:t>
      </w:r>
      <w:r w:rsidR="00CE5743" w:rsidRPr="00E869A4">
        <w:rPr>
          <w:rFonts w:ascii="Times New Roman" w:hAnsi="Times New Roman" w:cs="Times New Roman"/>
        </w:rPr>
        <w:t>,</w:t>
      </w:r>
      <w:r w:rsidRPr="00E869A4">
        <w:rPr>
          <w:rFonts w:ascii="Times New Roman" w:hAnsi="Times New Roman" w:cs="Times New Roman"/>
        </w:rPr>
        <w:t xml:space="preserve"> but that family may include fictive kin i.e. persons who are chosen or informally adopted as a member of one’s family. Fictive kin have for many years featured as part of the composition of Caribbean families. Godparents, aunties, ‘tanties’ and uncles are some of the titles ascribed to these individuals who are connected to the family by virtue of their close friendship to one of the leading members of the unit (e.g. the head of the househol</w:t>
      </w:r>
      <w:r w:rsidR="008D1BA8" w:rsidRPr="00E869A4">
        <w:rPr>
          <w:rFonts w:ascii="Times New Roman" w:hAnsi="Times New Roman" w:cs="Times New Roman"/>
        </w:rPr>
        <w:t xml:space="preserve">d </w:t>
      </w:r>
      <w:r w:rsidR="00F90E4C" w:rsidRPr="00E869A4">
        <w:rPr>
          <w:rFonts w:ascii="Times New Roman" w:hAnsi="Times New Roman" w:cs="Times New Roman"/>
        </w:rPr>
        <w:t>such as</w:t>
      </w:r>
      <w:r w:rsidR="008D1BA8" w:rsidRPr="00E869A4">
        <w:rPr>
          <w:rFonts w:ascii="Times New Roman" w:hAnsi="Times New Roman" w:cs="Times New Roman"/>
        </w:rPr>
        <w:t xml:space="preserve"> the mother or father). </w:t>
      </w:r>
      <w:r w:rsidRPr="00E869A4">
        <w:rPr>
          <w:rFonts w:ascii="Times New Roman" w:hAnsi="Times New Roman" w:cs="Times New Roman"/>
        </w:rPr>
        <w:t xml:space="preserve">Following on from this issue about fictive kin and their existence in traditional (and maybe contemporary) Caribbean family forms, it is important to note that whilst the postmodern way of seeing the world and family life may be mistakenly seen as novel, there is evidence that such notions were prevalent in the pre-modern era. It is not surprising </w:t>
      </w:r>
      <w:r w:rsidR="00AF2890" w:rsidRPr="00E869A4">
        <w:rPr>
          <w:rFonts w:ascii="Times New Roman" w:hAnsi="Times New Roman" w:cs="Times New Roman"/>
        </w:rPr>
        <w:t>therefore</w:t>
      </w:r>
      <w:r w:rsidRPr="00E869A4">
        <w:rPr>
          <w:rFonts w:ascii="Times New Roman" w:hAnsi="Times New Roman" w:cs="Times New Roman"/>
        </w:rPr>
        <w:t xml:space="preserve"> that some of the relatively recent observations made about the diverse nature of families have for a long time existed in countries that are less technologically advanced. </w:t>
      </w:r>
    </w:p>
    <w:p w14:paraId="010F45C8" w14:textId="77777777" w:rsidR="001628FF" w:rsidRPr="00E869A4" w:rsidRDefault="001628FF" w:rsidP="00782050">
      <w:pPr>
        <w:rPr>
          <w:rFonts w:ascii="Times New Roman" w:hAnsi="Times New Roman" w:cs="Times New Roman"/>
        </w:rPr>
      </w:pPr>
    </w:p>
    <w:p w14:paraId="76266479" w14:textId="0DAF8D72" w:rsidR="001F077F" w:rsidRPr="00E869A4" w:rsidRDefault="00631078" w:rsidP="00AE3112">
      <w:pPr>
        <w:rPr>
          <w:rFonts w:ascii="Times New Roman" w:hAnsi="Times New Roman" w:cs="Times New Roman"/>
        </w:rPr>
      </w:pPr>
      <w:r w:rsidRPr="00E869A4">
        <w:rPr>
          <w:rFonts w:ascii="Times New Roman" w:hAnsi="Times New Roman" w:cs="Times New Roman"/>
        </w:rPr>
        <w:t>Post-colonial theorists have critiqued the lack of identification of the continuity of pre-modern values and practices in sociological discourse</w:t>
      </w:r>
      <w:r w:rsidR="001F077F" w:rsidRPr="00E869A4">
        <w:rPr>
          <w:rFonts w:ascii="Times New Roman" w:hAnsi="Times New Roman" w:cs="Times New Roman"/>
        </w:rPr>
        <w:t xml:space="preserve">. </w:t>
      </w:r>
      <w:r w:rsidR="00804CFC" w:rsidRPr="00E869A4">
        <w:rPr>
          <w:rFonts w:ascii="Times New Roman" w:hAnsi="Times New Roman" w:cs="Times New Roman"/>
          <w:lang w:val="en-TT"/>
        </w:rPr>
        <w:t xml:space="preserve">Holmwood </w:t>
      </w:r>
      <w:r w:rsidR="00804CFC" w:rsidRPr="00E869A4">
        <w:rPr>
          <w:rFonts w:ascii="Times New Roman" w:hAnsi="Times New Roman" w:cs="Times New Roman"/>
        </w:rPr>
        <w:t xml:space="preserve">for instance, </w:t>
      </w:r>
      <w:r w:rsidR="00A25B29" w:rsidRPr="00E869A4">
        <w:rPr>
          <w:rFonts w:ascii="Times New Roman" w:hAnsi="Times New Roman" w:cs="Times New Roman"/>
        </w:rPr>
        <w:t>argue</w:t>
      </w:r>
      <w:r w:rsidR="00804CFC" w:rsidRPr="00E869A4">
        <w:rPr>
          <w:rFonts w:ascii="Times New Roman" w:hAnsi="Times New Roman" w:cs="Times New Roman"/>
        </w:rPr>
        <w:t>d</w:t>
      </w:r>
      <w:r w:rsidR="001F077F" w:rsidRPr="00E869A4">
        <w:rPr>
          <w:rFonts w:ascii="Times New Roman" w:hAnsi="Times New Roman" w:cs="Times New Roman"/>
        </w:rPr>
        <w:t xml:space="preserve"> that</w:t>
      </w:r>
      <w:r w:rsidR="00597416" w:rsidRPr="00E869A4">
        <w:rPr>
          <w:rFonts w:ascii="Times New Roman" w:hAnsi="Times New Roman" w:cs="Times New Roman"/>
        </w:rPr>
        <w:t xml:space="preserve"> m</w:t>
      </w:r>
      <w:r w:rsidR="00A25B29" w:rsidRPr="00E869A4">
        <w:rPr>
          <w:rFonts w:ascii="Times New Roman" w:hAnsi="Times New Roman" w:cs="Times New Roman"/>
        </w:rPr>
        <w:t>uch of the</w:t>
      </w:r>
      <w:r w:rsidR="00F90E4C" w:rsidRPr="00E869A4">
        <w:rPr>
          <w:rFonts w:ascii="Times New Roman" w:hAnsi="Times New Roman" w:cs="Times New Roman"/>
        </w:rPr>
        <w:t xml:space="preserve"> sociological</w:t>
      </w:r>
      <w:r w:rsidR="001F077F" w:rsidRPr="00E869A4">
        <w:rPr>
          <w:rFonts w:ascii="Times New Roman" w:hAnsi="Times New Roman" w:cs="Times New Roman"/>
        </w:rPr>
        <w:t xml:space="preserve"> </w:t>
      </w:r>
      <w:r w:rsidR="00F90E4C" w:rsidRPr="00E869A4">
        <w:rPr>
          <w:rFonts w:ascii="Times New Roman" w:hAnsi="Times New Roman" w:cs="Times New Roman"/>
        </w:rPr>
        <w:t>literature refer</w:t>
      </w:r>
      <w:r w:rsidR="001F077F" w:rsidRPr="00E869A4">
        <w:rPr>
          <w:rFonts w:ascii="Times New Roman" w:hAnsi="Times New Roman" w:cs="Times New Roman"/>
        </w:rPr>
        <w:t xml:space="preserve">s to </w:t>
      </w:r>
      <w:r w:rsidR="00597416" w:rsidRPr="00E869A4">
        <w:rPr>
          <w:rFonts w:ascii="Times New Roman" w:hAnsi="Times New Roman" w:cs="Times New Roman"/>
        </w:rPr>
        <w:t>“</w:t>
      </w:r>
      <w:r w:rsidR="001F077F" w:rsidRPr="00E869A4">
        <w:rPr>
          <w:rFonts w:ascii="Times New Roman" w:hAnsi="Times New Roman" w:cs="Times New Roman"/>
        </w:rPr>
        <w:t>a global project of modernisation and democratisation, providing a skewed understanding of the postcolonial movements that have figured so prom</w:t>
      </w:r>
      <w:r w:rsidR="00804CFC" w:rsidRPr="00E869A4">
        <w:rPr>
          <w:rFonts w:ascii="Times New Roman" w:hAnsi="Times New Roman" w:cs="Times New Roman"/>
        </w:rPr>
        <w:t>inently in recent world history</w:t>
      </w:r>
      <w:r w:rsidR="00597416" w:rsidRPr="00E869A4">
        <w:rPr>
          <w:rFonts w:ascii="Times New Roman" w:hAnsi="Times New Roman" w:cs="Times New Roman"/>
          <w:lang w:val="en-TT"/>
        </w:rPr>
        <w:t>.” (Holmwood 2002 cited in Jacobsen et al. 2004, p. 33).</w:t>
      </w:r>
      <w:r w:rsidR="00AE3112" w:rsidRPr="00E869A4">
        <w:rPr>
          <w:rFonts w:ascii="Times New Roman" w:hAnsi="Times New Roman" w:cs="Times New Roman"/>
          <w:lang w:val="en-TT"/>
        </w:rPr>
        <w:t xml:space="preserve"> </w:t>
      </w:r>
      <w:r w:rsidR="001F077F" w:rsidRPr="00E869A4">
        <w:rPr>
          <w:rFonts w:ascii="Times New Roman" w:hAnsi="Times New Roman" w:cs="Times New Roman"/>
        </w:rPr>
        <w:t>Other commentators flag</w:t>
      </w:r>
      <w:r w:rsidR="00B1277B" w:rsidRPr="00E869A4">
        <w:rPr>
          <w:rFonts w:ascii="Times New Roman" w:hAnsi="Times New Roman" w:cs="Times New Roman"/>
        </w:rPr>
        <w:t>ged</w:t>
      </w:r>
      <w:r w:rsidR="001F077F" w:rsidRPr="00E869A4">
        <w:rPr>
          <w:rFonts w:ascii="Times New Roman" w:hAnsi="Times New Roman" w:cs="Times New Roman"/>
        </w:rPr>
        <w:t xml:space="preserve"> postmodernist claims of the disintegrated family as universalistic and perpet</w:t>
      </w:r>
      <w:r w:rsidR="00035D54" w:rsidRPr="00E869A4">
        <w:rPr>
          <w:rFonts w:ascii="Times New Roman" w:hAnsi="Times New Roman" w:cs="Times New Roman"/>
        </w:rPr>
        <w:t xml:space="preserve">uating the very eurocentric </w:t>
      </w:r>
      <w:r w:rsidR="00AF2890" w:rsidRPr="00E869A4">
        <w:rPr>
          <w:rFonts w:ascii="Times New Roman" w:hAnsi="Times New Roman" w:cs="Times New Roman"/>
        </w:rPr>
        <w:t>claims</w:t>
      </w:r>
      <w:r w:rsidR="001F077F" w:rsidRPr="00E869A4">
        <w:rPr>
          <w:rFonts w:ascii="Times New Roman" w:hAnsi="Times New Roman" w:cs="Times New Roman"/>
        </w:rPr>
        <w:t xml:space="preserve"> that it spurned in other schools of thought. Hacker for example</w:t>
      </w:r>
      <w:r w:rsidR="001628FF" w:rsidRPr="00E869A4">
        <w:rPr>
          <w:rFonts w:ascii="Times New Roman" w:hAnsi="Times New Roman" w:cs="Times New Roman"/>
        </w:rPr>
        <w:t>,</w:t>
      </w:r>
      <w:r w:rsidR="001F077F" w:rsidRPr="00E869A4">
        <w:rPr>
          <w:rFonts w:ascii="Times New Roman" w:hAnsi="Times New Roman" w:cs="Times New Roman"/>
        </w:rPr>
        <w:t xml:space="preserve"> argue</w:t>
      </w:r>
      <w:r w:rsidR="00035D54" w:rsidRPr="00E869A4">
        <w:rPr>
          <w:rFonts w:ascii="Times New Roman" w:hAnsi="Times New Roman" w:cs="Times New Roman"/>
        </w:rPr>
        <w:t>d</w:t>
      </w:r>
      <w:r w:rsidR="00A25B29" w:rsidRPr="00E869A4">
        <w:rPr>
          <w:rFonts w:ascii="Times New Roman" w:hAnsi="Times New Roman" w:cs="Times New Roman"/>
        </w:rPr>
        <w:t xml:space="preserve"> that “[t]</w:t>
      </w:r>
      <w:r w:rsidR="001F077F" w:rsidRPr="00E869A4">
        <w:rPr>
          <w:rFonts w:ascii="Times New Roman" w:hAnsi="Times New Roman" w:cs="Times New Roman"/>
        </w:rPr>
        <w:t>here are still communities that exist that maintain a collectivist familial perception which is important to recognise in this time, especially given the cross-border movement of people and ideas</w:t>
      </w:r>
      <w:r w:rsidR="00597416" w:rsidRPr="00E869A4">
        <w:rPr>
          <w:rFonts w:ascii="Times New Roman" w:hAnsi="Times New Roman" w:cs="Times New Roman"/>
        </w:rPr>
        <w:t>.</w:t>
      </w:r>
      <w:r w:rsidR="001B1E45" w:rsidRPr="00E869A4">
        <w:rPr>
          <w:rFonts w:ascii="Times New Roman" w:hAnsi="Times New Roman" w:cs="Times New Roman"/>
        </w:rPr>
        <w:t>”</w:t>
      </w:r>
      <w:r w:rsidR="00A25B29" w:rsidRPr="00E869A4">
        <w:rPr>
          <w:rFonts w:ascii="Times New Roman" w:hAnsi="Times New Roman" w:cs="Times New Roman"/>
        </w:rPr>
        <w:t xml:space="preserve"> (Hacker 2017, p. 73)</w:t>
      </w:r>
      <w:r w:rsidR="001F077F" w:rsidRPr="00E869A4">
        <w:rPr>
          <w:rFonts w:ascii="Times New Roman" w:hAnsi="Times New Roman" w:cs="Times New Roman"/>
          <w:i/>
        </w:rPr>
        <w:t xml:space="preserve">. </w:t>
      </w:r>
      <w:r w:rsidR="001F077F" w:rsidRPr="00E869A4">
        <w:rPr>
          <w:rFonts w:ascii="Times New Roman" w:hAnsi="Times New Roman" w:cs="Times New Roman"/>
        </w:rPr>
        <w:t xml:space="preserve">Such </w:t>
      </w:r>
      <w:r w:rsidR="001F077F" w:rsidRPr="00E869A4">
        <w:rPr>
          <w:rFonts w:ascii="Times New Roman" w:hAnsi="Times New Roman" w:cs="Times New Roman"/>
        </w:rPr>
        <w:lastRenderedPageBreak/>
        <w:t xml:space="preserve">considerations are important for understanding family in the context of post-colonial, multicultural societies such as </w:t>
      </w:r>
      <w:r w:rsidR="003D5856" w:rsidRPr="00E869A4">
        <w:rPr>
          <w:rFonts w:ascii="Times New Roman" w:hAnsi="Times New Roman" w:cs="Times New Roman"/>
        </w:rPr>
        <w:t>T&amp;T</w:t>
      </w:r>
      <w:r w:rsidR="00D63EF4" w:rsidRPr="00E869A4">
        <w:rPr>
          <w:rFonts w:ascii="Times New Roman" w:hAnsi="Times New Roman" w:cs="Times New Roman"/>
        </w:rPr>
        <w:t>’s</w:t>
      </w:r>
      <w:r w:rsidR="001F077F" w:rsidRPr="00E869A4">
        <w:rPr>
          <w:rFonts w:ascii="Times New Roman" w:hAnsi="Times New Roman" w:cs="Times New Roman"/>
        </w:rPr>
        <w:t xml:space="preserve">. </w:t>
      </w:r>
    </w:p>
    <w:p w14:paraId="2D0286B1" w14:textId="77777777" w:rsidR="00CD1FF7" w:rsidRPr="00E869A4" w:rsidRDefault="00CD1FF7">
      <w:pPr>
        <w:rPr>
          <w:rFonts w:ascii="Times New Roman" w:hAnsi="Times New Roman" w:cs="Times New Roman"/>
        </w:rPr>
      </w:pPr>
    </w:p>
    <w:p w14:paraId="32C0117A" w14:textId="5DE7D5A2" w:rsidR="00B80022" w:rsidRPr="00E869A4" w:rsidRDefault="001F077F">
      <w:pPr>
        <w:rPr>
          <w:rFonts w:ascii="Times New Roman" w:hAnsi="Times New Roman" w:cs="Times New Roman"/>
        </w:rPr>
      </w:pPr>
      <w:r w:rsidRPr="00E869A4">
        <w:rPr>
          <w:rFonts w:ascii="Times New Roman" w:hAnsi="Times New Roman" w:cs="Times New Roman"/>
        </w:rPr>
        <w:t>There is also evidence that the nuclear family still provides considerable support to its members and has not completely disintegrated. Masuy for example found in her systematic review of the literature that “the nuclear family remains the first and the main source of elderly care</w:t>
      </w:r>
      <w:r w:rsidR="00597416" w:rsidRPr="00E869A4">
        <w:rPr>
          <w:rFonts w:ascii="Times New Roman" w:hAnsi="Times New Roman" w:cs="Times New Roman"/>
        </w:rPr>
        <w:t>.</w:t>
      </w:r>
      <w:r w:rsidRPr="00E869A4">
        <w:rPr>
          <w:rFonts w:ascii="Times New Roman" w:hAnsi="Times New Roman" w:cs="Times New Roman"/>
        </w:rPr>
        <w:t>”</w:t>
      </w:r>
      <w:r w:rsidR="00A25B29" w:rsidRPr="00E869A4">
        <w:rPr>
          <w:rFonts w:ascii="Times New Roman" w:hAnsi="Times New Roman" w:cs="Times New Roman"/>
        </w:rPr>
        <w:t xml:space="preserve"> (Masuy 2011, p</w:t>
      </w:r>
      <w:r w:rsidR="004C76A0" w:rsidRPr="00E869A4">
        <w:rPr>
          <w:rFonts w:ascii="Times New Roman" w:hAnsi="Times New Roman" w:cs="Times New Roman"/>
        </w:rPr>
        <w:t>. 140</w:t>
      </w:r>
      <w:r w:rsidR="00A25B29" w:rsidRPr="00E869A4">
        <w:rPr>
          <w:rFonts w:ascii="Times New Roman" w:hAnsi="Times New Roman" w:cs="Times New Roman"/>
        </w:rPr>
        <w:t>)</w:t>
      </w:r>
      <w:r w:rsidRPr="00E869A4">
        <w:rPr>
          <w:rFonts w:ascii="Times New Roman" w:hAnsi="Times New Roman" w:cs="Times New Roman"/>
        </w:rPr>
        <w:t xml:space="preserve">. This suggests that the pronouncements made by some postmodernists about the dissolution of the nuclear family are too untethered from what obtains in reality and that a more nuanced position needs to be advanced. </w:t>
      </w:r>
      <w:bookmarkStart w:id="136" w:name="_Toc505015367"/>
    </w:p>
    <w:p w14:paraId="7D6F9F60" w14:textId="77777777" w:rsidR="00531CF2" w:rsidRPr="00E869A4" w:rsidRDefault="00531CF2">
      <w:pPr>
        <w:rPr>
          <w:rFonts w:ascii="Times New Roman" w:hAnsi="Times New Roman" w:cs="Times New Roman"/>
        </w:rPr>
      </w:pPr>
    </w:p>
    <w:p w14:paraId="66EFDA30" w14:textId="3F7B8548" w:rsidR="001F077F" w:rsidRPr="00E869A4" w:rsidRDefault="00281AF7" w:rsidP="005C449C">
      <w:pPr>
        <w:pStyle w:val="Heading3"/>
      </w:pPr>
      <w:bookmarkStart w:id="137" w:name="_Toc40436469"/>
      <w:r w:rsidRPr="00E869A4">
        <w:t>2.2.3</w:t>
      </w:r>
      <w:r w:rsidR="00A54D7D" w:rsidRPr="00E869A4">
        <w:t xml:space="preserve">     </w:t>
      </w:r>
      <w:r w:rsidR="00403301" w:rsidRPr="00E869A4">
        <w:t>Caribbean Family Structures</w:t>
      </w:r>
      <w:bookmarkEnd w:id="136"/>
      <w:bookmarkEnd w:id="137"/>
    </w:p>
    <w:p w14:paraId="1A925315" w14:textId="77777777" w:rsidR="00757881" w:rsidRPr="00E869A4" w:rsidRDefault="00757881" w:rsidP="0051234F">
      <w:pPr>
        <w:pStyle w:val="112"/>
        <w:rPr>
          <w:color w:val="auto"/>
        </w:rPr>
      </w:pPr>
    </w:p>
    <w:p w14:paraId="7A8A18D4" w14:textId="0A8DA116" w:rsidR="001F077F" w:rsidRPr="00E869A4" w:rsidRDefault="001F077F" w:rsidP="002A793F">
      <w:pPr>
        <w:rPr>
          <w:rFonts w:ascii="Times New Roman" w:hAnsi="Times New Roman" w:cs="Times New Roman"/>
        </w:rPr>
      </w:pPr>
      <w:r w:rsidRPr="00E869A4">
        <w:rPr>
          <w:rFonts w:ascii="Times New Roman" w:hAnsi="Times New Roman" w:cs="Times New Roman"/>
        </w:rPr>
        <w:t xml:space="preserve">Understanding the way Caribbean families are configured and how </w:t>
      </w:r>
      <w:r w:rsidR="00D83FCC" w:rsidRPr="00E869A4">
        <w:rPr>
          <w:rFonts w:ascii="Times New Roman" w:hAnsi="Times New Roman" w:cs="Times New Roman"/>
        </w:rPr>
        <w:t>their</w:t>
      </w:r>
      <w:r w:rsidRPr="00E869A4">
        <w:rPr>
          <w:rFonts w:ascii="Times New Roman" w:hAnsi="Times New Roman" w:cs="Times New Roman"/>
        </w:rPr>
        <w:t xml:space="preserve"> members relate is important for studying the elder care arrangements in the region. Early </w:t>
      </w:r>
      <w:r w:rsidR="00631078" w:rsidRPr="00E869A4">
        <w:rPr>
          <w:rFonts w:ascii="Times New Roman" w:hAnsi="Times New Roman" w:cs="Times New Roman"/>
        </w:rPr>
        <w:t>research on Caribbean families was</w:t>
      </w:r>
      <w:r w:rsidRPr="00E869A4">
        <w:rPr>
          <w:rFonts w:ascii="Times New Roman" w:hAnsi="Times New Roman" w:cs="Times New Roman"/>
        </w:rPr>
        <w:t xml:space="preserve"> largely informed by the structural</w:t>
      </w:r>
      <w:r w:rsidR="00D83FCC" w:rsidRPr="00E869A4">
        <w:rPr>
          <w:rFonts w:ascii="Times New Roman" w:hAnsi="Times New Roman" w:cs="Times New Roman"/>
        </w:rPr>
        <w:t>/</w:t>
      </w:r>
      <w:r w:rsidRPr="00E869A4">
        <w:rPr>
          <w:rFonts w:ascii="Times New Roman" w:hAnsi="Times New Roman" w:cs="Times New Roman"/>
        </w:rPr>
        <w:t>functionalist perspective (Otterbein 2009; Russel-Brown et al. c</w:t>
      </w:r>
      <w:r w:rsidR="00D83FCC" w:rsidRPr="00E869A4">
        <w:rPr>
          <w:rFonts w:ascii="Times New Roman" w:hAnsi="Times New Roman" w:cs="Times New Roman"/>
        </w:rPr>
        <w:t>ited in</w:t>
      </w:r>
      <w:r w:rsidRPr="00E869A4">
        <w:rPr>
          <w:rFonts w:ascii="Times New Roman" w:hAnsi="Times New Roman" w:cs="Times New Roman"/>
        </w:rPr>
        <w:t xml:space="preserve"> Roopnarine </w:t>
      </w:r>
      <w:r w:rsidR="00D83FCC" w:rsidRPr="00E869A4">
        <w:rPr>
          <w:rFonts w:ascii="Times New Roman" w:hAnsi="Times New Roman" w:cs="Times New Roman"/>
        </w:rPr>
        <w:t>&amp;</w:t>
      </w:r>
      <w:r w:rsidRPr="00E869A4">
        <w:rPr>
          <w:rFonts w:ascii="Times New Roman" w:hAnsi="Times New Roman" w:cs="Times New Roman"/>
        </w:rPr>
        <w:t xml:space="preserve"> Brown</w:t>
      </w:r>
      <w:r w:rsidR="00D83FCC" w:rsidRPr="00E869A4">
        <w:rPr>
          <w:rFonts w:ascii="Times New Roman" w:hAnsi="Times New Roman" w:cs="Times New Roman"/>
        </w:rPr>
        <w:t xml:space="preserve"> </w:t>
      </w:r>
      <w:r w:rsidRPr="00E869A4">
        <w:rPr>
          <w:rFonts w:ascii="Times New Roman" w:hAnsi="Times New Roman" w:cs="Times New Roman"/>
        </w:rPr>
        <w:t xml:space="preserve">1997). However, the findings of several </w:t>
      </w:r>
      <w:r w:rsidR="00AF2890" w:rsidRPr="00E869A4">
        <w:rPr>
          <w:rFonts w:ascii="Times New Roman" w:hAnsi="Times New Roman" w:cs="Times New Roman"/>
        </w:rPr>
        <w:t>ground</w:t>
      </w:r>
      <w:r w:rsidR="002A793F" w:rsidRPr="00E869A4">
        <w:rPr>
          <w:rFonts w:ascii="Times New Roman" w:hAnsi="Times New Roman" w:cs="Times New Roman"/>
        </w:rPr>
        <w:t>-</w:t>
      </w:r>
      <w:r w:rsidR="00AF2890" w:rsidRPr="00E869A4">
        <w:rPr>
          <w:rFonts w:ascii="Times New Roman" w:hAnsi="Times New Roman" w:cs="Times New Roman"/>
        </w:rPr>
        <w:t>breaking</w:t>
      </w:r>
      <w:r w:rsidRPr="00E869A4">
        <w:rPr>
          <w:rFonts w:ascii="Times New Roman" w:hAnsi="Times New Roman" w:cs="Times New Roman"/>
        </w:rPr>
        <w:t xml:space="preserve"> studies by Caribbean researchers such as Smith (1956) and Clarke (1957) confirmed that the nuclear family was not necessarily the norm in the Caribbean region, especially among the more disenfranchised groups. </w:t>
      </w:r>
    </w:p>
    <w:p w14:paraId="1EE772CE" w14:textId="77777777" w:rsidR="00430F82" w:rsidRPr="00E869A4" w:rsidRDefault="00430F82" w:rsidP="00A35FF8">
      <w:pPr>
        <w:rPr>
          <w:rFonts w:ascii="Times New Roman" w:hAnsi="Times New Roman" w:cs="Times New Roman"/>
        </w:rPr>
      </w:pPr>
    </w:p>
    <w:p w14:paraId="302C10FE" w14:textId="0BD33CED" w:rsidR="00757881" w:rsidRPr="00E869A4" w:rsidRDefault="001F077F" w:rsidP="00011BC6">
      <w:pPr>
        <w:rPr>
          <w:rFonts w:ascii="Times New Roman" w:hAnsi="Times New Roman" w:cs="Times New Roman"/>
        </w:rPr>
      </w:pPr>
      <w:r w:rsidRPr="00E869A4">
        <w:rPr>
          <w:rFonts w:ascii="Times New Roman" w:hAnsi="Times New Roman" w:cs="Times New Roman"/>
        </w:rPr>
        <w:t>Class and ethnicity have long been established in the Caribbean literature as key determinants of the types of families that emerged in the region during the colonial and post-colonial period. The Caribbean region is comprised of people from diverse ethnic groups including people of African, Indian, Chinese, Syrian/Lebanese, and Caucasian decent whose ancestors either willingly came to the islands or</w:t>
      </w:r>
      <w:r w:rsidR="001628FF" w:rsidRPr="00E869A4">
        <w:rPr>
          <w:rFonts w:ascii="Times New Roman" w:hAnsi="Times New Roman" w:cs="Times New Roman"/>
        </w:rPr>
        <w:t>,</w:t>
      </w:r>
      <w:r w:rsidRPr="00E869A4">
        <w:rPr>
          <w:rFonts w:ascii="Times New Roman" w:hAnsi="Times New Roman" w:cs="Times New Roman"/>
        </w:rPr>
        <w:t xml:space="preserve"> were trafficked or tricked into living there by way of the slave trade or indentureship. There also exists a modest population of first peoples on some of the islands whose members belong to various Kalinago tribes</w:t>
      </w:r>
      <w:r w:rsidRPr="00E869A4">
        <w:rPr>
          <w:rStyle w:val="FootnoteReference"/>
          <w:rFonts w:ascii="Times New Roman" w:hAnsi="Times New Roman" w:cs="Times New Roman"/>
        </w:rPr>
        <w:footnoteReference w:id="22"/>
      </w:r>
      <w:r w:rsidRPr="00E869A4">
        <w:rPr>
          <w:rFonts w:ascii="Times New Roman" w:hAnsi="Times New Roman" w:cs="Times New Roman"/>
        </w:rPr>
        <w:t xml:space="preserve">. Since the colonial period, families living </w:t>
      </w:r>
      <w:r w:rsidR="006911F5" w:rsidRPr="00E869A4">
        <w:rPr>
          <w:rFonts w:ascii="Times New Roman" w:hAnsi="Times New Roman" w:cs="Times New Roman"/>
        </w:rPr>
        <w:t>in</w:t>
      </w:r>
      <w:r w:rsidRPr="00E869A4">
        <w:rPr>
          <w:rFonts w:ascii="Times New Roman" w:hAnsi="Times New Roman" w:cs="Times New Roman"/>
        </w:rPr>
        <w:t xml:space="preserve"> the </w:t>
      </w:r>
      <w:r w:rsidR="0079226B" w:rsidRPr="00E869A4">
        <w:rPr>
          <w:rFonts w:ascii="Times New Roman" w:hAnsi="Times New Roman" w:cs="Times New Roman"/>
        </w:rPr>
        <w:t>ESC</w:t>
      </w:r>
      <w:r w:rsidRPr="00E869A4">
        <w:rPr>
          <w:rFonts w:ascii="Times New Roman" w:hAnsi="Times New Roman" w:cs="Times New Roman"/>
        </w:rPr>
        <w:t xml:space="preserve"> have been characterised by a plurality of forms. This is especially the case in Caribbean countries with a heterogeneous ethnic mix of people such as Guyana and </w:t>
      </w:r>
      <w:r w:rsidR="00011BC6" w:rsidRPr="00E869A4">
        <w:rPr>
          <w:rFonts w:ascii="Times New Roman" w:hAnsi="Times New Roman" w:cs="Times New Roman"/>
        </w:rPr>
        <w:t>T&amp;T</w:t>
      </w:r>
      <w:r w:rsidRPr="00E869A4">
        <w:rPr>
          <w:rFonts w:ascii="Times New Roman" w:hAnsi="Times New Roman" w:cs="Times New Roman"/>
        </w:rPr>
        <w:t>.</w:t>
      </w:r>
    </w:p>
    <w:p w14:paraId="122AF9F3" w14:textId="77777777" w:rsidR="00CD535D" w:rsidRPr="00E869A4" w:rsidRDefault="001F077F" w:rsidP="009D5F10">
      <w:pPr>
        <w:rPr>
          <w:rFonts w:ascii="Times New Roman" w:hAnsi="Times New Roman" w:cs="Times New Roman"/>
        </w:rPr>
      </w:pPr>
      <w:r w:rsidRPr="00E869A4">
        <w:rPr>
          <w:rFonts w:ascii="Times New Roman" w:hAnsi="Times New Roman" w:cs="Times New Roman"/>
        </w:rPr>
        <w:t xml:space="preserve"> </w:t>
      </w:r>
    </w:p>
    <w:p w14:paraId="7E29ADDA" w14:textId="15C3990D" w:rsidR="001F077F" w:rsidRPr="00E869A4" w:rsidRDefault="001F077F" w:rsidP="009D5F10">
      <w:pPr>
        <w:rPr>
          <w:rFonts w:ascii="Times New Roman" w:hAnsi="Times New Roman" w:cs="Times New Roman"/>
        </w:rPr>
      </w:pPr>
      <w:r w:rsidRPr="00E869A4">
        <w:rPr>
          <w:rFonts w:ascii="Times New Roman" w:hAnsi="Times New Roman" w:cs="Times New Roman"/>
        </w:rPr>
        <w:lastRenderedPageBreak/>
        <w:t xml:space="preserve">African Caribbean families, more so than the families of other ethnic groups, are more likely to be female-headed and less likely to conform to the nuclear family ‘ideal’ outlined by functionalists (Otterbein 2009). Several Caribbean scholars have identified this as a by-product of slavery where marriage was not permitted for slaves, </w:t>
      </w:r>
      <w:r w:rsidR="009D5F10" w:rsidRPr="00E869A4">
        <w:rPr>
          <w:rFonts w:ascii="Times New Roman" w:hAnsi="Times New Roman" w:cs="Times New Roman"/>
        </w:rPr>
        <w:t xml:space="preserve">and </w:t>
      </w:r>
      <w:r w:rsidRPr="00E869A4">
        <w:rPr>
          <w:rFonts w:ascii="Times New Roman" w:hAnsi="Times New Roman" w:cs="Times New Roman"/>
        </w:rPr>
        <w:t>fathers were separated from their children who became the property of their mother’s owner (Matthias 1983). On the other hand, the continuation of this practice may have been a derivative of familial practices prior to enslavement. As Matthias argue</w:t>
      </w:r>
      <w:r w:rsidR="00A90191" w:rsidRPr="00E869A4">
        <w:rPr>
          <w:rFonts w:ascii="Times New Roman" w:hAnsi="Times New Roman" w:cs="Times New Roman"/>
        </w:rPr>
        <w:t>d</w:t>
      </w:r>
      <w:r w:rsidRPr="00E869A4">
        <w:rPr>
          <w:rStyle w:val="FootnoteReference"/>
          <w:rFonts w:ascii="Times New Roman" w:hAnsi="Times New Roman" w:cs="Times New Roman"/>
        </w:rPr>
        <w:footnoteReference w:id="23"/>
      </w:r>
      <w:r w:rsidR="00060960" w:rsidRPr="00E869A4">
        <w:rPr>
          <w:rFonts w:ascii="Times New Roman" w:hAnsi="Times New Roman" w:cs="Times New Roman"/>
        </w:rPr>
        <w:t>,</w:t>
      </w:r>
      <w:r w:rsidRPr="00E869A4">
        <w:rPr>
          <w:rFonts w:ascii="Times New Roman" w:hAnsi="Times New Roman" w:cs="Times New Roman"/>
        </w:rPr>
        <w:t xml:space="preserve"> “</w:t>
      </w:r>
      <w:r w:rsidRPr="00E869A4">
        <w:rPr>
          <w:rFonts w:ascii="Times New Roman" w:hAnsi="Times New Roman" w:cs="Times New Roman"/>
          <w:iCs/>
        </w:rPr>
        <w:t>the centrality of the mother's role …</w:t>
      </w:r>
      <w:r w:rsidR="00A90191" w:rsidRPr="00E869A4">
        <w:rPr>
          <w:rFonts w:ascii="Times New Roman" w:hAnsi="Times New Roman" w:cs="Times New Roman"/>
          <w:iCs/>
        </w:rPr>
        <w:t xml:space="preserve"> </w:t>
      </w:r>
      <w:r w:rsidRPr="00E869A4">
        <w:rPr>
          <w:rFonts w:ascii="Times New Roman" w:hAnsi="Times New Roman" w:cs="Times New Roman"/>
          <w:iCs/>
        </w:rPr>
        <w:t>was firmly entrenched in the kin systems of the West African tribes transported to the New World</w:t>
      </w:r>
      <w:r w:rsidR="00597416" w:rsidRPr="00E869A4">
        <w:rPr>
          <w:rFonts w:ascii="Times New Roman" w:hAnsi="Times New Roman" w:cs="Times New Roman"/>
          <w:iCs/>
        </w:rPr>
        <w:t>.</w:t>
      </w:r>
      <w:r w:rsidR="00A90191" w:rsidRPr="00E869A4">
        <w:rPr>
          <w:rFonts w:ascii="Times New Roman" w:hAnsi="Times New Roman" w:cs="Times New Roman"/>
        </w:rPr>
        <w:t>”</w:t>
      </w:r>
      <w:r w:rsidR="00060960" w:rsidRPr="00E869A4">
        <w:rPr>
          <w:rFonts w:ascii="Times New Roman" w:hAnsi="Times New Roman" w:cs="Times New Roman"/>
        </w:rPr>
        <w:t xml:space="preserve"> (Matthias 1983, p. 10).</w:t>
      </w:r>
    </w:p>
    <w:p w14:paraId="1FFF6D3F" w14:textId="77777777" w:rsidR="00757881" w:rsidRPr="00E869A4" w:rsidRDefault="00757881" w:rsidP="00A35FF8">
      <w:pPr>
        <w:rPr>
          <w:rFonts w:ascii="Times New Roman" w:hAnsi="Times New Roman" w:cs="Times New Roman"/>
        </w:rPr>
      </w:pPr>
    </w:p>
    <w:p w14:paraId="250ED6D7" w14:textId="7F15F49D" w:rsidR="001F077F" w:rsidRPr="00E869A4" w:rsidRDefault="001F077F" w:rsidP="002965BB">
      <w:pPr>
        <w:rPr>
          <w:rFonts w:ascii="Times New Roman" w:hAnsi="Times New Roman" w:cs="Times New Roman"/>
        </w:rPr>
      </w:pPr>
      <w:r w:rsidRPr="00E869A4">
        <w:rPr>
          <w:rFonts w:ascii="Times New Roman" w:hAnsi="Times New Roman" w:cs="Times New Roman"/>
        </w:rPr>
        <w:t>Historically, Indian-Caribbean family members from multiple generations often lived in the same house or in separate houses in the same yard (Grahame</w:t>
      </w:r>
      <w:r w:rsidR="002965BB" w:rsidRPr="00E869A4">
        <w:rPr>
          <w:rFonts w:ascii="Times New Roman" w:hAnsi="Times New Roman" w:cs="Times New Roman"/>
        </w:rPr>
        <w:t xml:space="preserve"> </w:t>
      </w:r>
      <w:r w:rsidRPr="00E869A4">
        <w:rPr>
          <w:rFonts w:ascii="Times New Roman" w:hAnsi="Times New Roman" w:cs="Times New Roman"/>
        </w:rPr>
        <w:t>2006; Seegobin 2003). Usually, the son remained in his parents’ home after marriage with his wife. The house may have been subdivided into self-contained units for each nuclear family within the household, or, a separate structure may have been built on the land near to the parent’s house. Mothers/mother</w:t>
      </w:r>
      <w:r w:rsidR="002965BB" w:rsidRPr="00E869A4">
        <w:rPr>
          <w:rFonts w:ascii="Times New Roman" w:hAnsi="Times New Roman" w:cs="Times New Roman"/>
        </w:rPr>
        <w:t>s-in-law</w:t>
      </w:r>
      <w:r w:rsidRPr="00E869A4">
        <w:rPr>
          <w:rFonts w:ascii="Times New Roman" w:hAnsi="Times New Roman" w:cs="Times New Roman"/>
        </w:rPr>
        <w:t xml:space="preserve"> wielded significant control in the running of the house. It was not unusual for sons to present most of their earnings to their mother rather than to their wives. The mother would then decide on how the money was spent with respect to groceries and other household items</w:t>
      </w:r>
      <w:r w:rsidR="002A67F9" w:rsidRPr="00E869A4">
        <w:rPr>
          <w:rFonts w:ascii="Times New Roman" w:hAnsi="Times New Roman" w:cs="Times New Roman"/>
        </w:rPr>
        <w:t>,</w:t>
      </w:r>
      <w:r w:rsidRPr="00E869A4">
        <w:rPr>
          <w:rFonts w:ascii="Times New Roman" w:hAnsi="Times New Roman" w:cs="Times New Roman"/>
        </w:rPr>
        <w:t xml:space="preserve"> and then distribute </w:t>
      </w:r>
      <w:r w:rsidR="00243D92" w:rsidRPr="00E869A4">
        <w:rPr>
          <w:rFonts w:ascii="Times New Roman" w:hAnsi="Times New Roman" w:cs="Times New Roman"/>
        </w:rPr>
        <w:t>what remained</w:t>
      </w:r>
      <w:r w:rsidRPr="00E869A4">
        <w:rPr>
          <w:rFonts w:ascii="Times New Roman" w:hAnsi="Times New Roman" w:cs="Times New Roman"/>
        </w:rPr>
        <w:t xml:space="preserve"> among each of the sub-family units. Conflict and tension between the wives and the mother</w:t>
      </w:r>
      <w:r w:rsidR="00243D92" w:rsidRPr="00E869A4">
        <w:rPr>
          <w:rFonts w:ascii="Times New Roman" w:hAnsi="Times New Roman" w:cs="Times New Roman"/>
        </w:rPr>
        <w:t>s</w:t>
      </w:r>
      <w:r w:rsidRPr="00E869A4">
        <w:rPr>
          <w:rFonts w:ascii="Times New Roman" w:hAnsi="Times New Roman" w:cs="Times New Roman"/>
        </w:rPr>
        <w:t>-in-law were not unusual, so much so that a particular type of crunchy salsa made with extremely hot peppers is popularly referred to as ‘mother-in-law’ by Trinbagonians. However, this pattern of living arrangements</w:t>
      </w:r>
      <w:r w:rsidR="002D2999" w:rsidRPr="00E869A4">
        <w:rPr>
          <w:rFonts w:ascii="Times New Roman" w:hAnsi="Times New Roman" w:cs="Times New Roman"/>
        </w:rPr>
        <w:t>,</w:t>
      </w:r>
      <w:r w:rsidRPr="00E869A4">
        <w:rPr>
          <w:rFonts w:ascii="Times New Roman" w:hAnsi="Times New Roman" w:cs="Times New Roman"/>
        </w:rPr>
        <w:t xml:space="preserve"> </w:t>
      </w:r>
      <w:r w:rsidR="00923883" w:rsidRPr="00E869A4">
        <w:rPr>
          <w:rFonts w:ascii="Times New Roman" w:hAnsi="Times New Roman" w:cs="Times New Roman"/>
        </w:rPr>
        <w:t>al</w:t>
      </w:r>
      <w:r w:rsidRPr="00E869A4">
        <w:rPr>
          <w:rFonts w:ascii="Times New Roman" w:hAnsi="Times New Roman" w:cs="Times New Roman"/>
        </w:rPr>
        <w:t>though still in existence</w:t>
      </w:r>
      <w:r w:rsidR="002D2999" w:rsidRPr="00E869A4">
        <w:rPr>
          <w:rFonts w:ascii="Times New Roman" w:hAnsi="Times New Roman" w:cs="Times New Roman"/>
        </w:rPr>
        <w:t>,</w:t>
      </w:r>
      <w:r w:rsidRPr="00E869A4">
        <w:rPr>
          <w:rFonts w:ascii="Times New Roman" w:hAnsi="Times New Roman" w:cs="Times New Roman"/>
        </w:rPr>
        <w:t xml:space="preserve"> is not as prevalent now as in the pre-independence period. </w:t>
      </w:r>
    </w:p>
    <w:p w14:paraId="4554BE7C" w14:textId="77777777" w:rsidR="00257729" w:rsidRPr="00E869A4" w:rsidRDefault="00257729" w:rsidP="00A35FF8">
      <w:pPr>
        <w:rPr>
          <w:rFonts w:ascii="Times New Roman" w:hAnsi="Times New Roman" w:cs="Times New Roman"/>
        </w:rPr>
      </w:pPr>
    </w:p>
    <w:p w14:paraId="79186C4A" w14:textId="23C33267" w:rsidR="001F077F" w:rsidRPr="00E869A4" w:rsidRDefault="001F077F" w:rsidP="008D1BA8">
      <w:pPr>
        <w:rPr>
          <w:rFonts w:ascii="Times New Roman" w:hAnsi="Times New Roman" w:cs="Times New Roman"/>
        </w:rPr>
      </w:pPr>
      <w:r w:rsidRPr="00E869A4">
        <w:rPr>
          <w:rFonts w:ascii="Times New Roman" w:hAnsi="Times New Roman" w:cs="Times New Roman"/>
        </w:rPr>
        <w:t>From her qualitative interviews of twenty-five (25) Indian-Trinidadian women from two generations (one group was aged 60 years and over and the other consisted of married women with children in their mid-30s and 40s)</w:t>
      </w:r>
      <w:r w:rsidR="0016043E" w:rsidRPr="00E869A4">
        <w:rPr>
          <w:rFonts w:ascii="Times New Roman" w:hAnsi="Times New Roman" w:cs="Times New Roman"/>
        </w:rPr>
        <w:t>,</w:t>
      </w:r>
      <w:r w:rsidRPr="00E869A4">
        <w:rPr>
          <w:rFonts w:ascii="Times New Roman" w:hAnsi="Times New Roman" w:cs="Times New Roman"/>
        </w:rPr>
        <w:t xml:space="preserve"> Grahame (2006) observed that extended family households were not as widespread among the younger generation. This she attributed to the increased choice afforded to young couples who had greater access to financial </w:t>
      </w:r>
      <w:r w:rsidR="00631078" w:rsidRPr="00E869A4">
        <w:rPr>
          <w:rFonts w:ascii="Times New Roman" w:hAnsi="Times New Roman" w:cs="Times New Roman"/>
        </w:rPr>
        <w:t>means, which</w:t>
      </w:r>
      <w:r w:rsidRPr="00E869A4">
        <w:rPr>
          <w:rFonts w:ascii="Times New Roman" w:hAnsi="Times New Roman" w:cs="Times New Roman"/>
        </w:rPr>
        <w:t xml:space="preserve"> enabled them to purchase their own home</w:t>
      </w:r>
      <w:r w:rsidR="00CC1DCA" w:rsidRPr="00E869A4">
        <w:rPr>
          <w:rFonts w:ascii="Times New Roman" w:hAnsi="Times New Roman" w:cs="Times New Roman"/>
        </w:rPr>
        <w:t>,</w:t>
      </w:r>
      <w:r w:rsidRPr="00E869A4">
        <w:rPr>
          <w:rFonts w:ascii="Times New Roman" w:hAnsi="Times New Roman" w:cs="Times New Roman"/>
        </w:rPr>
        <w:t xml:space="preserve"> and not depend on parents for</w:t>
      </w:r>
      <w:r w:rsidR="008D1BA8" w:rsidRPr="00E869A4">
        <w:rPr>
          <w:rFonts w:ascii="Times New Roman" w:hAnsi="Times New Roman" w:cs="Times New Roman"/>
        </w:rPr>
        <w:t xml:space="preserve"> accommodation after marriage. </w:t>
      </w:r>
      <w:r w:rsidRPr="00E869A4">
        <w:rPr>
          <w:rFonts w:ascii="Times New Roman" w:hAnsi="Times New Roman" w:cs="Times New Roman"/>
        </w:rPr>
        <w:t>The increased income status of Indian Trinidadian women was the result of their i</w:t>
      </w:r>
      <w:r w:rsidR="00CD535D" w:rsidRPr="00E869A4">
        <w:rPr>
          <w:rFonts w:ascii="Times New Roman" w:hAnsi="Times New Roman" w:cs="Times New Roman"/>
        </w:rPr>
        <w:t>mproved</w:t>
      </w:r>
      <w:r w:rsidRPr="00E869A4">
        <w:rPr>
          <w:rFonts w:ascii="Times New Roman" w:hAnsi="Times New Roman" w:cs="Times New Roman"/>
        </w:rPr>
        <w:t xml:space="preserve"> ac</w:t>
      </w:r>
      <w:r w:rsidR="0016043E" w:rsidRPr="00E869A4">
        <w:rPr>
          <w:rFonts w:ascii="Times New Roman" w:hAnsi="Times New Roman" w:cs="Times New Roman"/>
        </w:rPr>
        <w:t>cess</w:t>
      </w:r>
      <w:r w:rsidRPr="00E869A4">
        <w:rPr>
          <w:rFonts w:ascii="Times New Roman" w:hAnsi="Times New Roman" w:cs="Times New Roman"/>
        </w:rPr>
        <w:t xml:space="preserve"> to secondary and tertiary education in the post-independence era. </w:t>
      </w:r>
      <w:r w:rsidRPr="00E869A4">
        <w:rPr>
          <w:rFonts w:ascii="Times New Roman" w:hAnsi="Times New Roman" w:cs="Times New Roman"/>
        </w:rPr>
        <w:lastRenderedPageBreak/>
        <w:t xml:space="preserve">Grahame also proposed that the effects of global influences whereby young people were exposed to Western culture and </w:t>
      </w:r>
      <w:r w:rsidR="00631078" w:rsidRPr="00E869A4">
        <w:rPr>
          <w:rFonts w:ascii="Times New Roman" w:hAnsi="Times New Roman" w:cs="Times New Roman"/>
        </w:rPr>
        <w:t>values that encouraged greater liberty and choice in their romantic relationships</w:t>
      </w:r>
      <w:r w:rsidR="00CC1DCA" w:rsidRPr="00E869A4">
        <w:rPr>
          <w:rFonts w:ascii="Times New Roman" w:hAnsi="Times New Roman" w:cs="Times New Roman"/>
        </w:rPr>
        <w:t>,</w:t>
      </w:r>
      <w:r w:rsidRPr="00E869A4">
        <w:rPr>
          <w:rFonts w:ascii="Times New Roman" w:hAnsi="Times New Roman" w:cs="Times New Roman"/>
        </w:rPr>
        <w:t xml:space="preserve"> also contributed to this change. Arranged marriages are no longer as prevalent, and young couples are no longer dependent on their parents or in-laws for accommodation after being married. The women in her study who lived with their in-laws were the </w:t>
      </w:r>
      <w:r w:rsidR="00631078" w:rsidRPr="00E869A4">
        <w:rPr>
          <w:rFonts w:ascii="Times New Roman" w:hAnsi="Times New Roman" w:cs="Times New Roman"/>
        </w:rPr>
        <w:t>least educated</w:t>
      </w:r>
      <w:r w:rsidRPr="00E869A4">
        <w:rPr>
          <w:rFonts w:ascii="Times New Roman" w:hAnsi="Times New Roman" w:cs="Times New Roman"/>
        </w:rPr>
        <w:t xml:space="preserve"> in the sample. </w:t>
      </w:r>
    </w:p>
    <w:p w14:paraId="38FF4AD8" w14:textId="77777777" w:rsidR="00757881" w:rsidRPr="00E869A4" w:rsidRDefault="00757881" w:rsidP="00A35FF8">
      <w:pPr>
        <w:rPr>
          <w:rFonts w:ascii="Times New Roman" w:hAnsi="Times New Roman" w:cs="Times New Roman"/>
        </w:rPr>
      </w:pPr>
    </w:p>
    <w:p w14:paraId="34E712F7" w14:textId="3FC96265" w:rsidR="001F077F" w:rsidRPr="00E869A4" w:rsidRDefault="001F077F" w:rsidP="00695AAB">
      <w:pPr>
        <w:rPr>
          <w:rFonts w:ascii="Times New Roman" w:hAnsi="Times New Roman" w:cs="Times New Roman"/>
        </w:rPr>
      </w:pPr>
      <w:r w:rsidRPr="00E869A4">
        <w:rPr>
          <w:rFonts w:ascii="Times New Roman" w:hAnsi="Times New Roman" w:cs="Times New Roman"/>
        </w:rPr>
        <w:t>Among African-Caribbean people, there is also evidence of extended family connections being intimately involved in care relationships. Most of the research on these family arrangements focuse</w:t>
      </w:r>
      <w:r w:rsidR="00A31423" w:rsidRPr="00E869A4">
        <w:rPr>
          <w:rFonts w:ascii="Times New Roman" w:hAnsi="Times New Roman" w:cs="Times New Roman"/>
        </w:rPr>
        <w:t>d</w:t>
      </w:r>
      <w:r w:rsidRPr="00E869A4">
        <w:rPr>
          <w:rFonts w:ascii="Times New Roman" w:hAnsi="Times New Roman" w:cs="Times New Roman"/>
        </w:rPr>
        <w:t xml:space="preserve"> on </w:t>
      </w:r>
      <w:r w:rsidR="00631078" w:rsidRPr="00E869A4">
        <w:rPr>
          <w:rFonts w:ascii="Times New Roman" w:hAnsi="Times New Roman" w:cs="Times New Roman"/>
        </w:rPr>
        <w:t>childcare</w:t>
      </w:r>
      <w:r w:rsidRPr="00E869A4">
        <w:rPr>
          <w:rFonts w:ascii="Times New Roman" w:hAnsi="Times New Roman" w:cs="Times New Roman"/>
        </w:rPr>
        <w:t xml:space="preserve">. The practice of </w:t>
      </w:r>
      <w:r w:rsidR="005929DD" w:rsidRPr="00E869A4">
        <w:rPr>
          <w:rFonts w:ascii="Times New Roman" w:hAnsi="Times New Roman" w:cs="Times New Roman"/>
        </w:rPr>
        <w:t>‘</w:t>
      </w:r>
      <w:r w:rsidRPr="00E869A4">
        <w:rPr>
          <w:rFonts w:ascii="Times New Roman" w:hAnsi="Times New Roman" w:cs="Times New Roman"/>
        </w:rPr>
        <w:t>child shifting</w:t>
      </w:r>
      <w:r w:rsidR="005929DD" w:rsidRPr="00E869A4">
        <w:rPr>
          <w:rFonts w:ascii="Times New Roman" w:hAnsi="Times New Roman" w:cs="Times New Roman"/>
        </w:rPr>
        <w:t>’</w:t>
      </w:r>
      <w:r w:rsidRPr="00E869A4">
        <w:rPr>
          <w:rStyle w:val="FootnoteReference"/>
          <w:rFonts w:ascii="Times New Roman" w:hAnsi="Times New Roman" w:cs="Times New Roman"/>
        </w:rPr>
        <w:footnoteReference w:id="24"/>
      </w:r>
      <w:r w:rsidR="00985458" w:rsidRPr="00E869A4">
        <w:rPr>
          <w:rFonts w:ascii="Times New Roman" w:hAnsi="Times New Roman" w:cs="Times New Roman"/>
        </w:rPr>
        <w:t>,</w:t>
      </w:r>
      <w:r w:rsidRPr="00E869A4">
        <w:rPr>
          <w:rFonts w:ascii="Times New Roman" w:hAnsi="Times New Roman" w:cs="Times New Roman"/>
        </w:rPr>
        <w:t xml:space="preserve"> whereby children were sent to live with relatives when their </w:t>
      </w:r>
      <w:r w:rsidR="00631078" w:rsidRPr="00E869A4">
        <w:rPr>
          <w:rFonts w:ascii="Times New Roman" w:hAnsi="Times New Roman" w:cs="Times New Roman"/>
        </w:rPr>
        <w:t>parents (usually the mother) were</w:t>
      </w:r>
      <w:r w:rsidRPr="00E869A4">
        <w:rPr>
          <w:rFonts w:ascii="Times New Roman" w:hAnsi="Times New Roman" w:cs="Times New Roman"/>
        </w:rPr>
        <w:t xml:space="preserve"> unable to adequately care for them</w:t>
      </w:r>
      <w:r w:rsidR="00A31423" w:rsidRPr="00E869A4">
        <w:rPr>
          <w:rFonts w:ascii="Times New Roman" w:hAnsi="Times New Roman" w:cs="Times New Roman"/>
        </w:rPr>
        <w:t>,</w:t>
      </w:r>
      <w:r w:rsidRPr="00E869A4">
        <w:rPr>
          <w:rFonts w:ascii="Times New Roman" w:hAnsi="Times New Roman" w:cs="Times New Roman"/>
        </w:rPr>
        <w:t xml:space="preserve"> was very prevalent in previous times. Grandparents, in particular grandmothers used to be one of the main facilitators of this child rearing arrangement</w:t>
      </w:r>
      <w:r w:rsidR="00A31423" w:rsidRPr="00E869A4">
        <w:rPr>
          <w:rFonts w:ascii="Times New Roman" w:hAnsi="Times New Roman" w:cs="Times New Roman"/>
        </w:rPr>
        <w:t>,</w:t>
      </w:r>
      <w:r w:rsidRPr="00E869A4">
        <w:rPr>
          <w:rFonts w:ascii="Times New Roman" w:hAnsi="Times New Roman" w:cs="Times New Roman"/>
        </w:rPr>
        <w:t xml:space="preserve"> which could be mutually beneficial if the grandparent lived alone and was in need of a companion. However, in recent times, extended family members are more reluctant to be responsible for the care of the younger generation (Senior 1991</w:t>
      </w:r>
      <w:r w:rsidR="00531CF2" w:rsidRPr="00E869A4">
        <w:rPr>
          <w:rFonts w:ascii="Times New Roman" w:hAnsi="Times New Roman" w:cs="Times New Roman"/>
        </w:rPr>
        <w:t xml:space="preserve"> </w:t>
      </w:r>
      <w:r w:rsidR="00985458" w:rsidRPr="00E869A4">
        <w:rPr>
          <w:rFonts w:ascii="Times New Roman" w:hAnsi="Times New Roman" w:cs="Times New Roman"/>
        </w:rPr>
        <w:t>cited in. Russell</w:t>
      </w:r>
      <w:bookmarkStart w:id="138" w:name="_Hlk27737999"/>
      <w:r w:rsidR="00FA02F2" w:rsidRPr="00E869A4">
        <w:rPr>
          <w:rFonts w:ascii="Times New Roman" w:hAnsi="Times New Roman" w:cs="Times New Roman"/>
        </w:rPr>
        <w:t>-</w:t>
      </w:r>
      <w:bookmarkEnd w:id="138"/>
      <w:r w:rsidRPr="00E869A4">
        <w:rPr>
          <w:rFonts w:ascii="Times New Roman" w:hAnsi="Times New Roman" w:cs="Times New Roman"/>
        </w:rPr>
        <w:t>Brown et al</w:t>
      </w:r>
      <w:r w:rsidR="00985458" w:rsidRPr="00E869A4">
        <w:rPr>
          <w:rFonts w:ascii="Times New Roman" w:hAnsi="Times New Roman" w:cs="Times New Roman"/>
        </w:rPr>
        <w:t>.</w:t>
      </w:r>
      <w:r w:rsidRPr="00E869A4">
        <w:rPr>
          <w:rFonts w:ascii="Times New Roman" w:hAnsi="Times New Roman" w:cs="Times New Roman"/>
        </w:rPr>
        <w:t xml:space="preserve"> 1997). The evidence also suggests that </w:t>
      </w:r>
      <w:r w:rsidR="00631078" w:rsidRPr="00E869A4">
        <w:rPr>
          <w:rFonts w:ascii="Times New Roman" w:hAnsi="Times New Roman" w:cs="Times New Roman"/>
        </w:rPr>
        <w:t>extended family households, once prevalent in the region across all socio-economic groups, have</w:t>
      </w:r>
      <w:r w:rsidRPr="00E869A4">
        <w:rPr>
          <w:rFonts w:ascii="Times New Roman" w:hAnsi="Times New Roman" w:cs="Times New Roman"/>
        </w:rPr>
        <w:t xml:space="preserve"> diminished (Roopnarine </w:t>
      </w:r>
      <w:r w:rsidR="00985458" w:rsidRPr="00E869A4">
        <w:rPr>
          <w:rFonts w:ascii="Times New Roman" w:hAnsi="Times New Roman" w:cs="Times New Roman"/>
        </w:rPr>
        <w:t>&amp;</w:t>
      </w:r>
      <w:r w:rsidRPr="00E869A4">
        <w:rPr>
          <w:rFonts w:ascii="Times New Roman" w:hAnsi="Times New Roman" w:cs="Times New Roman"/>
        </w:rPr>
        <w:t xml:space="preserve"> Brown 1997). </w:t>
      </w:r>
    </w:p>
    <w:p w14:paraId="1FCF670C" w14:textId="77777777" w:rsidR="00757881" w:rsidRPr="00E869A4" w:rsidRDefault="00757881" w:rsidP="00A35FF8">
      <w:pPr>
        <w:rPr>
          <w:rFonts w:ascii="Times New Roman" w:hAnsi="Times New Roman" w:cs="Times New Roman"/>
        </w:rPr>
      </w:pPr>
    </w:p>
    <w:p w14:paraId="72B0FE9D" w14:textId="1351767C" w:rsidR="001F077F" w:rsidRPr="00E869A4" w:rsidRDefault="001F077F" w:rsidP="00DA0DA9">
      <w:pPr>
        <w:rPr>
          <w:rFonts w:ascii="Times New Roman" w:hAnsi="Times New Roman" w:cs="Times New Roman"/>
        </w:rPr>
      </w:pPr>
      <w:r w:rsidRPr="00E869A4">
        <w:rPr>
          <w:rFonts w:ascii="Times New Roman" w:hAnsi="Times New Roman" w:cs="Times New Roman"/>
        </w:rPr>
        <w:t>On the issue of class and its impact on the composition of families in the Caribbean, several studies have shown the interrelationship between these variables.  Massiah’s (1983) study illustrate</w:t>
      </w:r>
      <w:r w:rsidR="007069E8" w:rsidRPr="00E869A4">
        <w:rPr>
          <w:rFonts w:ascii="Times New Roman" w:hAnsi="Times New Roman" w:cs="Times New Roman"/>
        </w:rPr>
        <w:t>s</w:t>
      </w:r>
      <w:r w:rsidRPr="00E869A4">
        <w:rPr>
          <w:rFonts w:ascii="Times New Roman" w:hAnsi="Times New Roman" w:cs="Times New Roman"/>
        </w:rPr>
        <w:t xml:space="preserve"> the nexus between </w:t>
      </w:r>
      <w:r w:rsidR="00631078" w:rsidRPr="00E869A4">
        <w:rPr>
          <w:rFonts w:ascii="Times New Roman" w:hAnsi="Times New Roman" w:cs="Times New Roman"/>
        </w:rPr>
        <w:t>gender, class,</w:t>
      </w:r>
      <w:r w:rsidRPr="00E869A4">
        <w:rPr>
          <w:rFonts w:ascii="Times New Roman" w:hAnsi="Times New Roman" w:cs="Times New Roman"/>
        </w:rPr>
        <w:t xml:space="preserve"> and Caribbean family forms. Her findings revealed that for the most part, female heads of households were concentrated in low-paid, low-status occupations with no prospects. An important corollary of this finding was that women who head households in the region were more disadvantaged than men in a similar position (Massiah 1983).  </w:t>
      </w:r>
    </w:p>
    <w:p w14:paraId="17C973DC" w14:textId="77777777" w:rsidR="00A31423" w:rsidRPr="00E869A4" w:rsidRDefault="00A31423" w:rsidP="00DA0DA9">
      <w:pPr>
        <w:rPr>
          <w:rFonts w:ascii="Times New Roman" w:hAnsi="Times New Roman" w:cs="Times New Roman"/>
        </w:rPr>
      </w:pPr>
    </w:p>
    <w:p w14:paraId="796B0E9A" w14:textId="7AE203C9" w:rsidR="001F077F" w:rsidRPr="00E869A4" w:rsidRDefault="001F077F" w:rsidP="00BF2398">
      <w:pPr>
        <w:rPr>
          <w:rFonts w:ascii="Times New Roman" w:hAnsi="Times New Roman" w:cs="Times New Roman"/>
        </w:rPr>
      </w:pPr>
      <w:r w:rsidRPr="00E869A4">
        <w:rPr>
          <w:rFonts w:ascii="Times New Roman" w:hAnsi="Times New Roman" w:cs="Times New Roman"/>
        </w:rPr>
        <w:t>Edith Clarke’s (1957) study of three Jamaican communities revealed that the percentage of marriages and domestic stability of families was directly related to the e</w:t>
      </w:r>
      <w:r w:rsidR="00C94F19" w:rsidRPr="00E869A4">
        <w:rPr>
          <w:rFonts w:ascii="Times New Roman" w:hAnsi="Times New Roman" w:cs="Times New Roman"/>
        </w:rPr>
        <w:t>conomic stability of the area. Alt</w:t>
      </w:r>
      <w:r w:rsidRPr="00E869A4">
        <w:rPr>
          <w:rFonts w:ascii="Times New Roman" w:hAnsi="Times New Roman" w:cs="Times New Roman"/>
        </w:rPr>
        <w:t>hough most participants in her study held the nuclear family based on marital union in high regard</w:t>
      </w:r>
      <w:r w:rsidR="00B239D8" w:rsidRPr="00E869A4">
        <w:rPr>
          <w:rFonts w:ascii="Times New Roman" w:hAnsi="Times New Roman" w:cs="Times New Roman"/>
        </w:rPr>
        <w:t>,</w:t>
      </w:r>
      <w:r w:rsidRPr="00E869A4">
        <w:rPr>
          <w:rFonts w:ascii="Times New Roman" w:hAnsi="Times New Roman" w:cs="Times New Roman"/>
        </w:rPr>
        <w:t xml:space="preserve"> irrespective of their own marital status, Clarke found that most romantic relationships began as a visiting </w:t>
      </w:r>
      <w:r w:rsidRPr="00E869A4">
        <w:rPr>
          <w:rFonts w:ascii="Times New Roman" w:hAnsi="Times New Roman" w:cs="Times New Roman"/>
        </w:rPr>
        <w:lastRenderedPageBreak/>
        <w:t xml:space="preserve">union and, when children were born, there was an increased likelihood of the couple transitioning to a common-law union and sharing the same home. Usually, marriage was delayed because the couple could not afford to finance the preferred European-styled wedding or housing for the family to live together. Thus, for couples who remained in a committed relationship, marriage was more likely to occur when they were middle-aged. This pattern of shifting union status was also evident in other Caribbean countries such as </w:t>
      </w:r>
      <w:r w:rsidR="00B239D8" w:rsidRPr="00E869A4">
        <w:rPr>
          <w:rFonts w:ascii="Times New Roman" w:hAnsi="Times New Roman" w:cs="Times New Roman"/>
        </w:rPr>
        <w:t>T&amp;T</w:t>
      </w:r>
      <w:r w:rsidRPr="00E869A4">
        <w:rPr>
          <w:rFonts w:ascii="Times New Roman" w:hAnsi="Times New Roman" w:cs="Times New Roman"/>
        </w:rPr>
        <w:t>.</w:t>
      </w:r>
      <w:r w:rsidR="00BF2398" w:rsidRPr="00E869A4">
        <w:rPr>
          <w:rFonts w:ascii="Times New Roman" w:hAnsi="Times New Roman" w:cs="Times New Roman"/>
        </w:rPr>
        <w:t xml:space="preserve"> </w:t>
      </w:r>
      <w:r w:rsidRPr="00E869A4">
        <w:rPr>
          <w:rFonts w:ascii="Times New Roman" w:hAnsi="Times New Roman" w:cs="Times New Roman"/>
        </w:rPr>
        <w:t xml:space="preserve">In recent times, a similar pattern has been observed among middle class young people in Northern European Countries (Silverstein </w:t>
      </w:r>
      <w:r w:rsidR="005C6B52" w:rsidRPr="00E869A4">
        <w:rPr>
          <w:rFonts w:ascii="Times New Roman" w:hAnsi="Times New Roman" w:cs="Times New Roman"/>
        </w:rPr>
        <w:t>&amp; Auerbech cited in</w:t>
      </w:r>
      <w:r w:rsidRPr="00E869A4">
        <w:rPr>
          <w:rFonts w:ascii="Times New Roman" w:hAnsi="Times New Roman" w:cs="Times New Roman"/>
        </w:rPr>
        <w:t xml:space="preserve"> Roopnarine 2005). However, unlike the </w:t>
      </w:r>
      <w:r w:rsidR="005C6B52" w:rsidRPr="00E869A4">
        <w:rPr>
          <w:rFonts w:ascii="Times New Roman" w:hAnsi="Times New Roman" w:cs="Times New Roman"/>
        </w:rPr>
        <w:t>More Economically Developed Countries (</w:t>
      </w:r>
      <w:r w:rsidRPr="00E869A4">
        <w:rPr>
          <w:rFonts w:ascii="Times New Roman" w:hAnsi="Times New Roman" w:cs="Times New Roman"/>
        </w:rPr>
        <w:t>MEDC</w:t>
      </w:r>
      <w:r w:rsidR="00166EF4" w:rsidRPr="00E869A4">
        <w:rPr>
          <w:rFonts w:ascii="Times New Roman" w:hAnsi="Times New Roman" w:cs="Times New Roman"/>
        </w:rPr>
        <w:t>s</w:t>
      </w:r>
      <w:r w:rsidR="005C6B52" w:rsidRPr="00E869A4">
        <w:rPr>
          <w:rFonts w:ascii="Times New Roman" w:hAnsi="Times New Roman" w:cs="Times New Roman"/>
        </w:rPr>
        <w:t>)</w:t>
      </w:r>
      <w:r w:rsidRPr="00E869A4">
        <w:rPr>
          <w:rFonts w:ascii="Times New Roman" w:hAnsi="Times New Roman" w:cs="Times New Roman"/>
        </w:rPr>
        <w:t xml:space="preserve">, the cosmopolitanism of Caribbean families cannot be only explained by post-modernism. As noted earlier, the impact of colonialism and cultural retention from non-European contexts on Caribbean family forms cannot be ignored. </w:t>
      </w:r>
    </w:p>
    <w:p w14:paraId="1B1C24D5" w14:textId="77777777" w:rsidR="00257729" w:rsidRPr="00E869A4" w:rsidRDefault="00257729" w:rsidP="00A35FF8">
      <w:pPr>
        <w:rPr>
          <w:rFonts w:ascii="Times New Roman" w:hAnsi="Times New Roman" w:cs="Times New Roman"/>
        </w:rPr>
      </w:pPr>
    </w:p>
    <w:p w14:paraId="21BDAEA9" w14:textId="26ABCA8A" w:rsidR="00757881" w:rsidRPr="00E869A4" w:rsidRDefault="001F077F" w:rsidP="00D8720E">
      <w:pPr>
        <w:rPr>
          <w:rFonts w:ascii="Times New Roman" w:hAnsi="Times New Roman" w:cs="Times New Roman"/>
        </w:rPr>
      </w:pPr>
      <w:r w:rsidRPr="00E869A4">
        <w:rPr>
          <w:rFonts w:ascii="Times New Roman" w:hAnsi="Times New Roman" w:cs="Times New Roman"/>
        </w:rPr>
        <w:t xml:space="preserve">The gendered nature of family relationships is a </w:t>
      </w:r>
      <w:r w:rsidR="00631078" w:rsidRPr="00E869A4">
        <w:rPr>
          <w:rFonts w:ascii="Times New Roman" w:hAnsi="Times New Roman" w:cs="Times New Roman"/>
        </w:rPr>
        <w:t>crosscutting</w:t>
      </w:r>
      <w:r w:rsidRPr="00E869A4">
        <w:rPr>
          <w:rFonts w:ascii="Times New Roman" w:hAnsi="Times New Roman" w:cs="Times New Roman"/>
        </w:rPr>
        <w:t xml:space="preserve"> theme that is consistently expressed in studies of Caribbean families. Despite their increased involvement in formal employment, Caribbean women are still </w:t>
      </w:r>
      <w:r w:rsidR="00D8720E" w:rsidRPr="00E869A4">
        <w:rPr>
          <w:rFonts w:ascii="Times New Roman" w:hAnsi="Times New Roman" w:cs="Times New Roman"/>
        </w:rPr>
        <w:t xml:space="preserve">largely </w:t>
      </w:r>
      <w:r w:rsidRPr="00E869A4">
        <w:rPr>
          <w:rFonts w:ascii="Times New Roman" w:hAnsi="Times New Roman" w:cs="Times New Roman"/>
        </w:rPr>
        <w:t>expected to act as the primary nurturer in the family and caretaker of the home</w:t>
      </w:r>
      <w:r w:rsidR="00D8720E" w:rsidRPr="00E869A4">
        <w:rPr>
          <w:rFonts w:ascii="Times New Roman" w:hAnsi="Times New Roman" w:cs="Times New Roman"/>
        </w:rPr>
        <w:t>,</w:t>
      </w:r>
      <w:r w:rsidRPr="00E869A4">
        <w:rPr>
          <w:rFonts w:ascii="Times New Roman" w:hAnsi="Times New Roman" w:cs="Times New Roman"/>
        </w:rPr>
        <w:t xml:space="preserve"> irrespective of their socio-economic circumstances (Evans </w:t>
      </w:r>
      <w:r w:rsidR="00D8720E" w:rsidRPr="00E869A4">
        <w:rPr>
          <w:rFonts w:ascii="Times New Roman" w:hAnsi="Times New Roman" w:cs="Times New Roman"/>
        </w:rPr>
        <w:t xml:space="preserve">&amp; </w:t>
      </w:r>
      <w:r w:rsidRPr="00E869A4">
        <w:rPr>
          <w:rFonts w:ascii="Times New Roman" w:hAnsi="Times New Roman" w:cs="Times New Roman"/>
        </w:rPr>
        <w:t>Davies 1996</w:t>
      </w:r>
      <w:r w:rsidR="00D8720E" w:rsidRPr="00E869A4">
        <w:rPr>
          <w:rFonts w:ascii="Times New Roman" w:hAnsi="Times New Roman" w:cs="Times New Roman"/>
        </w:rPr>
        <w:t>; Seegobin 2003</w:t>
      </w:r>
      <w:r w:rsidR="003B5E6D" w:rsidRPr="00E869A4">
        <w:rPr>
          <w:rFonts w:ascii="Times New Roman" w:hAnsi="Times New Roman" w:cs="Times New Roman"/>
        </w:rPr>
        <w:t xml:space="preserve">). </w:t>
      </w:r>
      <w:r w:rsidRPr="00E869A4">
        <w:rPr>
          <w:rFonts w:ascii="Times New Roman" w:hAnsi="Times New Roman" w:cs="Times New Roman"/>
        </w:rPr>
        <w:t>The ‘matrifocal’ nature of many African Caribbean families and the gendered division of labour in the various family systems make them especially amenable to feminist analysis</w:t>
      </w:r>
      <w:r w:rsidR="003B5E6D" w:rsidRPr="00E869A4">
        <w:rPr>
          <w:rFonts w:ascii="Times New Roman" w:hAnsi="Times New Roman" w:cs="Times New Roman"/>
        </w:rPr>
        <w:t xml:space="preserve"> (e.g. </w:t>
      </w:r>
      <w:r w:rsidR="00D8720E" w:rsidRPr="00E869A4">
        <w:rPr>
          <w:rFonts w:ascii="Times New Roman" w:hAnsi="Times New Roman" w:cs="Times New Roman"/>
        </w:rPr>
        <w:t xml:space="preserve">Barrow 1988; </w:t>
      </w:r>
      <w:r w:rsidR="003B5E6D" w:rsidRPr="00E869A4">
        <w:rPr>
          <w:rFonts w:ascii="Times New Roman" w:hAnsi="Times New Roman" w:cs="Times New Roman"/>
        </w:rPr>
        <w:t xml:space="preserve">Barrow </w:t>
      </w:r>
      <w:r w:rsidR="00D8720E" w:rsidRPr="00E869A4">
        <w:rPr>
          <w:rFonts w:ascii="Times New Roman" w:hAnsi="Times New Roman" w:cs="Times New Roman"/>
        </w:rPr>
        <w:t>&amp;</w:t>
      </w:r>
      <w:r w:rsidR="003B5E6D" w:rsidRPr="00E869A4">
        <w:rPr>
          <w:rFonts w:ascii="Times New Roman" w:hAnsi="Times New Roman" w:cs="Times New Roman"/>
        </w:rPr>
        <w:t xml:space="preserve"> Reddock 2001; </w:t>
      </w:r>
      <w:r w:rsidR="00D8720E" w:rsidRPr="00E869A4">
        <w:rPr>
          <w:rFonts w:ascii="Times New Roman" w:hAnsi="Times New Roman" w:cs="Times New Roman"/>
        </w:rPr>
        <w:t xml:space="preserve">Clarke 1957; </w:t>
      </w:r>
      <w:r w:rsidR="003B5E6D" w:rsidRPr="00E869A4">
        <w:rPr>
          <w:rFonts w:ascii="Times New Roman" w:hAnsi="Times New Roman" w:cs="Times New Roman"/>
        </w:rPr>
        <w:t xml:space="preserve">Moses 2001; Reddock 1999; </w:t>
      </w:r>
      <w:r w:rsidR="00D8720E" w:rsidRPr="00E869A4">
        <w:rPr>
          <w:rFonts w:ascii="Times New Roman" w:hAnsi="Times New Roman" w:cs="Times New Roman"/>
        </w:rPr>
        <w:t>Sennott-Miller 1989</w:t>
      </w:r>
      <w:r w:rsidR="003B5E6D" w:rsidRPr="00E869A4">
        <w:rPr>
          <w:rFonts w:ascii="Times New Roman" w:hAnsi="Times New Roman" w:cs="Times New Roman"/>
        </w:rPr>
        <w:t>)</w:t>
      </w:r>
      <w:r w:rsidRPr="00E869A4">
        <w:rPr>
          <w:rFonts w:ascii="Times New Roman" w:hAnsi="Times New Roman" w:cs="Times New Roman"/>
        </w:rPr>
        <w:t>.</w:t>
      </w:r>
    </w:p>
    <w:p w14:paraId="04E2547A" w14:textId="77777777" w:rsidR="001F077F" w:rsidRPr="00E869A4" w:rsidRDefault="001F077F" w:rsidP="00A35FF8">
      <w:pPr>
        <w:rPr>
          <w:rFonts w:ascii="Times New Roman" w:eastAsiaTheme="majorEastAsia" w:hAnsi="Times New Roman" w:cs="Times New Roman"/>
          <w:b/>
          <w:bCs/>
          <w:u w:val="single"/>
        </w:rPr>
      </w:pPr>
      <w:r w:rsidRPr="00E869A4">
        <w:rPr>
          <w:rFonts w:ascii="Times New Roman" w:hAnsi="Times New Roman" w:cs="Times New Roman"/>
        </w:rPr>
        <w:t xml:space="preserve">  </w:t>
      </w:r>
    </w:p>
    <w:p w14:paraId="79CF7FF1" w14:textId="266E7BEA" w:rsidR="001F077F" w:rsidRPr="00E869A4" w:rsidRDefault="001F077F" w:rsidP="00A613FC">
      <w:pPr>
        <w:rPr>
          <w:rFonts w:ascii="Times New Roman" w:hAnsi="Times New Roman" w:cs="Times New Roman"/>
        </w:rPr>
      </w:pPr>
      <w:r w:rsidRPr="00E869A4">
        <w:rPr>
          <w:rFonts w:ascii="Times New Roman" w:hAnsi="Times New Roman" w:cs="Times New Roman"/>
        </w:rPr>
        <w:t xml:space="preserve">Religious beliefs have also been identified as influencing family structures and the day-to-day practices of many Caribbean families. Many Indian-Caribbean people subscribe to the tenets of Hinduism or Islam, with a smaller proportion describing themselves as Christian </w:t>
      </w:r>
      <w:r w:rsidR="00A613FC" w:rsidRPr="00E869A4">
        <w:rPr>
          <w:rFonts w:ascii="Times New Roman" w:hAnsi="Times New Roman" w:cs="Times New Roman"/>
        </w:rPr>
        <w:t>(</w:t>
      </w:r>
      <w:r w:rsidRPr="00E869A4">
        <w:rPr>
          <w:rFonts w:ascii="Times New Roman" w:hAnsi="Times New Roman" w:cs="Times New Roman"/>
        </w:rPr>
        <w:t>of which Presbyterianism and Catholicism are popular derivatives</w:t>
      </w:r>
      <w:r w:rsidR="00A613FC" w:rsidRPr="00E869A4">
        <w:rPr>
          <w:rFonts w:ascii="Times New Roman" w:hAnsi="Times New Roman" w:cs="Times New Roman"/>
        </w:rPr>
        <w:t>)</w:t>
      </w:r>
      <w:r w:rsidRPr="00E869A4">
        <w:rPr>
          <w:rFonts w:ascii="Times New Roman" w:hAnsi="Times New Roman" w:cs="Times New Roman"/>
        </w:rPr>
        <w:t>. For those who adhere to the teachings of Islam and Hinduism, women are expected to submit to their husbands and it is generally assumed that children (in particular daughters and daughter</w:t>
      </w:r>
      <w:r w:rsidR="00A613FC" w:rsidRPr="00E869A4">
        <w:rPr>
          <w:rFonts w:ascii="Times New Roman" w:hAnsi="Times New Roman" w:cs="Times New Roman"/>
        </w:rPr>
        <w:t>s-in-law</w:t>
      </w:r>
      <w:r w:rsidRPr="00E869A4">
        <w:rPr>
          <w:rFonts w:ascii="Times New Roman" w:hAnsi="Times New Roman" w:cs="Times New Roman"/>
        </w:rPr>
        <w:t>) will care for their parents when they get old</w:t>
      </w:r>
      <w:r w:rsidR="00A31423" w:rsidRPr="00E869A4">
        <w:rPr>
          <w:rFonts w:ascii="Times New Roman" w:hAnsi="Times New Roman" w:cs="Times New Roman"/>
        </w:rPr>
        <w:t>,</w:t>
      </w:r>
      <w:r w:rsidRPr="00E869A4">
        <w:rPr>
          <w:rFonts w:ascii="Times New Roman" w:hAnsi="Times New Roman" w:cs="Times New Roman"/>
        </w:rPr>
        <w:t xml:space="preserve"> as this practice is considered an honour and source of blessings. African Caribbean people are more likely to subscribe to various Christian and African-based religions. Further research is needed on the relationship between religious beliefs and family practices among the members of this ethnic group. </w:t>
      </w:r>
    </w:p>
    <w:p w14:paraId="286C4686" w14:textId="77777777" w:rsidR="00757881" w:rsidRPr="00E869A4" w:rsidRDefault="00757881" w:rsidP="00A35FF8">
      <w:pPr>
        <w:rPr>
          <w:rFonts w:ascii="Times New Roman" w:hAnsi="Times New Roman" w:cs="Times New Roman"/>
        </w:rPr>
      </w:pPr>
    </w:p>
    <w:p w14:paraId="5CDA53D3" w14:textId="0241EB0F" w:rsidR="001F077F" w:rsidRPr="00E869A4" w:rsidRDefault="001F077F" w:rsidP="002C5300">
      <w:pPr>
        <w:rPr>
          <w:rFonts w:ascii="Times New Roman" w:hAnsi="Times New Roman" w:cs="Times New Roman"/>
        </w:rPr>
      </w:pPr>
      <w:r w:rsidRPr="00E869A4">
        <w:rPr>
          <w:rFonts w:ascii="Times New Roman" w:hAnsi="Times New Roman" w:cs="Times New Roman"/>
        </w:rPr>
        <w:t>Very little is known about Chinese, Syrian-Lebanese and Caucasian Caribbean families (</w:t>
      </w:r>
      <w:r w:rsidR="002C5300" w:rsidRPr="00E869A4">
        <w:rPr>
          <w:rFonts w:ascii="Times New Roman" w:hAnsi="Times New Roman" w:cs="Times New Roman"/>
        </w:rPr>
        <w:t xml:space="preserve">Figueira 2004; </w:t>
      </w:r>
      <w:r w:rsidRPr="00E869A4">
        <w:rPr>
          <w:rFonts w:ascii="Times New Roman" w:hAnsi="Times New Roman" w:cs="Times New Roman"/>
        </w:rPr>
        <w:t xml:space="preserve">Seegobin 2003). These groups are relatively closed and are less amenable to social scientific </w:t>
      </w:r>
      <w:r w:rsidRPr="00E869A4">
        <w:rPr>
          <w:rFonts w:ascii="Times New Roman" w:hAnsi="Times New Roman" w:cs="Times New Roman"/>
        </w:rPr>
        <w:lastRenderedPageBreak/>
        <w:t>inquiry. Both the Chinese and Syrian</w:t>
      </w:r>
      <w:r w:rsidR="007568A3">
        <w:rPr>
          <w:rFonts w:ascii="Times New Roman" w:hAnsi="Times New Roman" w:cs="Times New Roman"/>
        </w:rPr>
        <w:t>-Lebanese</w:t>
      </w:r>
      <w:r w:rsidRPr="00E869A4">
        <w:rPr>
          <w:rFonts w:ascii="Times New Roman" w:hAnsi="Times New Roman" w:cs="Times New Roman"/>
        </w:rPr>
        <w:t xml:space="preserve"> communities are characterised as having a strong sense of filial piety that is close-knit and self-sufficient. This self-sufficiency may be partly explained by their economic means (which generally supersedes that of the other ethnic groups), and cultural beliefs that may in part be informed by religious values (Seegobin 2003</w:t>
      </w:r>
      <w:r w:rsidR="00060960" w:rsidRPr="00E869A4">
        <w:rPr>
          <w:rFonts w:ascii="Times New Roman" w:hAnsi="Times New Roman" w:cs="Times New Roman"/>
        </w:rPr>
        <w:t>)</w:t>
      </w:r>
      <w:r w:rsidRPr="00E869A4">
        <w:rPr>
          <w:rFonts w:ascii="Times New Roman" w:hAnsi="Times New Roman" w:cs="Times New Roman"/>
        </w:rPr>
        <w:t xml:space="preserve">. </w:t>
      </w:r>
    </w:p>
    <w:p w14:paraId="3ECEBAFE" w14:textId="77777777" w:rsidR="00757881" w:rsidRPr="00E869A4" w:rsidRDefault="00757881" w:rsidP="00A35FF8">
      <w:pPr>
        <w:rPr>
          <w:rFonts w:ascii="Times New Roman" w:hAnsi="Times New Roman" w:cs="Times New Roman"/>
        </w:rPr>
      </w:pPr>
    </w:p>
    <w:p w14:paraId="0976B95A" w14:textId="1BB397AF" w:rsidR="00BF7BF9" w:rsidRPr="00E869A4" w:rsidRDefault="00BF7BF9" w:rsidP="00BF7BF9">
      <w:pPr>
        <w:pStyle w:val="Heading3"/>
      </w:pPr>
      <w:bookmarkStart w:id="139" w:name="_Toc40436470"/>
      <w:r w:rsidRPr="00E869A4">
        <w:t>2.2.4</w:t>
      </w:r>
      <w:r w:rsidR="00A54D7D" w:rsidRPr="00E869A4">
        <w:t xml:space="preserve">     </w:t>
      </w:r>
      <w:r w:rsidRPr="00E869A4">
        <w:t>C</w:t>
      </w:r>
      <w:r w:rsidR="00A54D7D" w:rsidRPr="00E869A4">
        <w:t>ontemporary Views on the Family</w:t>
      </w:r>
      <w:bookmarkEnd w:id="139"/>
    </w:p>
    <w:p w14:paraId="3DC39AAD" w14:textId="77777777" w:rsidR="00D83B6A" w:rsidRPr="00E869A4" w:rsidRDefault="00D83B6A" w:rsidP="0051234F">
      <w:pPr>
        <w:pStyle w:val="112"/>
        <w:rPr>
          <w:color w:val="auto"/>
        </w:rPr>
      </w:pPr>
    </w:p>
    <w:p w14:paraId="7CFC9E98" w14:textId="23856276" w:rsidR="00CD1FF7" w:rsidRPr="00E869A4" w:rsidRDefault="001F077F">
      <w:pPr>
        <w:rPr>
          <w:rFonts w:ascii="Times New Roman" w:hAnsi="Times New Roman" w:cs="Times New Roman"/>
        </w:rPr>
      </w:pPr>
      <w:r w:rsidRPr="00E869A4">
        <w:rPr>
          <w:rFonts w:ascii="Times New Roman" w:hAnsi="Times New Roman" w:cs="Times New Roman"/>
        </w:rPr>
        <w:t>After many missteps and misdirections, it is now widely accepted that families come in a variety of forms, and include persons who are related by blood</w:t>
      </w:r>
      <w:r w:rsidR="006C0AB3" w:rsidRPr="00E869A4">
        <w:rPr>
          <w:rFonts w:ascii="Times New Roman" w:hAnsi="Times New Roman" w:cs="Times New Roman"/>
        </w:rPr>
        <w:t xml:space="preserve"> or law</w:t>
      </w:r>
      <w:r w:rsidR="001E0F7E" w:rsidRPr="00E869A4">
        <w:rPr>
          <w:rFonts w:ascii="Times New Roman" w:hAnsi="Times New Roman" w:cs="Times New Roman"/>
        </w:rPr>
        <w:t>,</w:t>
      </w:r>
      <w:r w:rsidRPr="00E869A4">
        <w:rPr>
          <w:rFonts w:ascii="Times New Roman" w:hAnsi="Times New Roman" w:cs="Times New Roman"/>
        </w:rPr>
        <w:t xml:space="preserve"> or an informal friendship connection. A restricted definition of the family as being limited to the nuclear family type cannot be rigidly applied, nor should the nuclear family</w:t>
      </w:r>
      <w:r w:rsidR="00A31423" w:rsidRPr="00E869A4">
        <w:rPr>
          <w:rFonts w:ascii="Times New Roman" w:hAnsi="Times New Roman" w:cs="Times New Roman"/>
        </w:rPr>
        <w:t>,</w:t>
      </w:r>
      <w:r w:rsidRPr="00E869A4">
        <w:rPr>
          <w:rFonts w:ascii="Times New Roman" w:hAnsi="Times New Roman" w:cs="Times New Roman"/>
        </w:rPr>
        <w:t xml:space="preserve"> or any family form for that matter</w:t>
      </w:r>
      <w:r w:rsidR="00A31423" w:rsidRPr="00E869A4">
        <w:rPr>
          <w:rFonts w:ascii="Times New Roman" w:hAnsi="Times New Roman" w:cs="Times New Roman"/>
        </w:rPr>
        <w:t>,</w:t>
      </w:r>
      <w:r w:rsidRPr="00E869A4">
        <w:rPr>
          <w:rFonts w:ascii="Times New Roman" w:hAnsi="Times New Roman" w:cs="Times New Roman"/>
        </w:rPr>
        <w:t xml:space="preserve"> be viewed as an ideal. As Neale observe</w:t>
      </w:r>
      <w:r w:rsidR="00A31423" w:rsidRPr="00E869A4">
        <w:rPr>
          <w:rFonts w:ascii="Times New Roman" w:hAnsi="Times New Roman" w:cs="Times New Roman"/>
        </w:rPr>
        <w:t>d</w:t>
      </w:r>
      <w:r w:rsidRPr="00E869A4">
        <w:rPr>
          <w:rFonts w:ascii="Times New Roman" w:hAnsi="Times New Roman" w:cs="Times New Roman"/>
        </w:rPr>
        <w:t>, “</w:t>
      </w:r>
      <w:r w:rsidR="00A31423" w:rsidRPr="00E869A4">
        <w:rPr>
          <w:rFonts w:ascii="Times New Roman" w:hAnsi="Times New Roman" w:cs="Times New Roman"/>
        </w:rPr>
        <w:t>[p]</w:t>
      </w:r>
      <w:r w:rsidRPr="00E869A4">
        <w:rPr>
          <w:rFonts w:ascii="Times New Roman" w:hAnsi="Times New Roman" w:cs="Times New Roman"/>
        </w:rPr>
        <w:t>eople may live happily or unhappily in a variety of family forms”</w:t>
      </w:r>
      <w:r w:rsidR="00060960" w:rsidRPr="00E869A4">
        <w:rPr>
          <w:rFonts w:ascii="Times New Roman" w:hAnsi="Times New Roman" w:cs="Times New Roman"/>
        </w:rPr>
        <w:t xml:space="preserve"> (Neale 2000, p. 12). </w:t>
      </w:r>
      <w:r w:rsidRPr="00E869A4">
        <w:rPr>
          <w:rFonts w:ascii="Times New Roman" w:hAnsi="Times New Roman" w:cs="Times New Roman"/>
        </w:rPr>
        <w:t>Instead, rather than limiting an understanding of what a family is by its structure, equal consideration must also be given to the actions and meanings conveyed within the family unit</w:t>
      </w:r>
      <w:r w:rsidR="00A31423" w:rsidRPr="00E869A4">
        <w:rPr>
          <w:rFonts w:ascii="Times New Roman" w:hAnsi="Times New Roman" w:cs="Times New Roman"/>
        </w:rPr>
        <w:t>,</w:t>
      </w:r>
      <w:r w:rsidRPr="00E869A4">
        <w:rPr>
          <w:rFonts w:ascii="Times New Roman" w:hAnsi="Times New Roman" w:cs="Times New Roman"/>
        </w:rPr>
        <w:t xml:space="preserve"> and expressed by its members to determine if it should be considered as such. It is also important to acknowledge that family diversity is not new</w:t>
      </w:r>
      <w:r w:rsidR="00A31423" w:rsidRPr="00E869A4">
        <w:rPr>
          <w:rFonts w:ascii="Times New Roman" w:hAnsi="Times New Roman" w:cs="Times New Roman"/>
        </w:rPr>
        <w:t>,</w:t>
      </w:r>
      <w:r w:rsidRPr="00E869A4">
        <w:rPr>
          <w:rFonts w:ascii="Times New Roman" w:hAnsi="Times New Roman" w:cs="Times New Roman"/>
        </w:rPr>
        <w:t xml:space="preserve"> but that </w:t>
      </w:r>
      <w:r w:rsidR="00631078" w:rsidRPr="00E869A4">
        <w:rPr>
          <w:rFonts w:ascii="Times New Roman" w:hAnsi="Times New Roman" w:cs="Times New Roman"/>
        </w:rPr>
        <w:t>a range of family forms has</w:t>
      </w:r>
      <w:r w:rsidRPr="00E869A4">
        <w:rPr>
          <w:rFonts w:ascii="Times New Roman" w:hAnsi="Times New Roman" w:cs="Times New Roman"/>
        </w:rPr>
        <w:t xml:space="preserve"> existed in human history. Thus, to esteem </w:t>
      </w:r>
      <w:r w:rsidR="003E2498" w:rsidRPr="00E869A4">
        <w:rPr>
          <w:rFonts w:ascii="Times New Roman" w:hAnsi="Times New Roman" w:cs="Times New Roman"/>
        </w:rPr>
        <w:t xml:space="preserve">only </w:t>
      </w:r>
      <w:r w:rsidRPr="00E869A4">
        <w:rPr>
          <w:rFonts w:ascii="Times New Roman" w:hAnsi="Times New Roman" w:cs="Times New Roman"/>
        </w:rPr>
        <w:t xml:space="preserve">one form as ideal or worthy of attention is misguided, and not a true reflection of social reality. Furthermore, to do so limits the formulation of suitable policy measures to support families, because narrow definitions lead to narrow solutions that exclude significant groups of people who are in need of support. </w:t>
      </w:r>
      <w:bookmarkStart w:id="140" w:name="_Toc505015369"/>
    </w:p>
    <w:p w14:paraId="4F1F033C" w14:textId="77777777" w:rsidR="003E2498" w:rsidRPr="00E869A4" w:rsidRDefault="003E2498"/>
    <w:p w14:paraId="10617291" w14:textId="2D59D088" w:rsidR="00A54D7D" w:rsidRPr="00E869A4" w:rsidRDefault="00A54D7D" w:rsidP="00A54D7D">
      <w:pPr>
        <w:pStyle w:val="Heading2"/>
      </w:pPr>
      <w:bookmarkStart w:id="141" w:name="_Toc40436471"/>
      <w:r w:rsidRPr="00E869A4">
        <w:t>2.3 CONCEPTUALISING ‘CARE’</w:t>
      </w:r>
      <w:bookmarkEnd w:id="141"/>
      <w:r w:rsidRPr="00E869A4">
        <w:t xml:space="preserve">  </w:t>
      </w:r>
    </w:p>
    <w:p w14:paraId="5A6283A7" w14:textId="77777777" w:rsidR="00A54D7D" w:rsidRPr="00E869A4" w:rsidRDefault="00A54D7D" w:rsidP="00B13C11">
      <w:pPr>
        <w:pStyle w:val="Heading3"/>
        <w:rPr>
          <w:b w:val="0"/>
          <w:i w:val="0"/>
          <w:u w:val="none"/>
        </w:rPr>
      </w:pPr>
    </w:p>
    <w:p w14:paraId="7A6B5E86" w14:textId="1F45E543" w:rsidR="00A54D7D" w:rsidRPr="00E869A4" w:rsidRDefault="00A54D7D" w:rsidP="00A54D7D">
      <w:pPr>
        <w:rPr>
          <w:rFonts w:ascii="Times New Roman" w:hAnsi="Times New Roman" w:cs="Times New Roman"/>
          <w:szCs w:val="24"/>
        </w:rPr>
      </w:pPr>
      <w:r w:rsidRPr="00E869A4">
        <w:rPr>
          <w:rFonts w:ascii="Times New Roman" w:hAnsi="Times New Roman" w:cs="Times New Roman"/>
          <w:szCs w:val="24"/>
        </w:rPr>
        <w:t xml:space="preserve">Definitions of caregiving are numerous. As Barnes observed, </w:t>
      </w:r>
      <w:r w:rsidRPr="00E869A4">
        <w:rPr>
          <w:rFonts w:ascii="Times New Roman" w:hAnsi="Times New Roman" w:cs="Times New Roman"/>
        </w:rPr>
        <w:t>“[t]he emergence of ‘care’ as an issue for public services and public policies in Western societies has led to diverse attempts to describe, classify and conceptualise what precisely ‘care’ consists of.”</w:t>
      </w:r>
      <w:r w:rsidRPr="00E869A4">
        <w:rPr>
          <w:rFonts w:ascii="Times New Roman" w:hAnsi="Times New Roman" w:cs="Times New Roman"/>
          <w:szCs w:val="24"/>
        </w:rPr>
        <w:t xml:space="preserve"> (Barnes 2006, p. 6). Conceptualisations of car</w:t>
      </w:r>
      <w:r w:rsidR="00945E8B">
        <w:rPr>
          <w:rFonts w:ascii="Times New Roman" w:hAnsi="Times New Roman" w:cs="Times New Roman"/>
          <w:szCs w:val="24"/>
        </w:rPr>
        <w:t>e in the research literature have</w:t>
      </w:r>
      <w:r w:rsidRPr="00E869A4">
        <w:rPr>
          <w:rFonts w:ascii="Times New Roman" w:hAnsi="Times New Roman" w:cs="Times New Roman"/>
          <w:szCs w:val="24"/>
        </w:rPr>
        <w:t xml:space="preserve"> one or more of the following features: a) the activities involved in care; b) chronological phases and time devoted to care; and, c) the unusual character of the support provided (Barnes 2006; Masuy 2011). </w:t>
      </w:r>
    </w:p>
    <w:p w14:paraId="7EC58424" w14:textId="77777777" w:rsidR="00A54D7D" w:rsidRPr="00E869A4" w:rsidRDefault="00A54D7D" w:rsidP="00A54D7D"/>
    <w:p w14:paraId="451C391B" w14:textId="77777777" w:rsidR="003F6B31" w:rsidRPr="00E869A4" w:rsidRDefault="003F6B31">
      <w:pPr>
        <w:rPr>
          <w:b/>
          <w:i/>
          <w:u w:val="single"/>
        </w:rPr>
      </w:pPr>
      <w:r w:rsidRPr="00E869A4">
        <w:br w:type="page"/>
      </w:r>
    </w:p>
    <w:p w14:paraId="4FA10712" w14:textId="73C419BC" w:rsidR="00F122BA" w:rsidRPr="00E869A4" w:rsidRDefault="00021DB5" w:rsidP="00B13C11">
      <w:pPr>
        <w:pStyle w:val="Heading3"/>
      </w:pPr>
      <w:bookmarkStart w:id="142" w:name="_Toc40436472"/>
      <w:r w:rsidRPr="00E869A4">
        <w:lastRenderedPageBreak/>
        <w:t>2.</w:t>
      </w:r>
      <w:r w:rsidR="002914C7" w:rsidRPr="00E869A4">
        <w:t xml:space="preserve">3.1     </w:t>
      </w:r>
      <w:r w:rsidR="00F122BA" w:rsidRPr="00E869A4">
        <w:t>Defining Care</w:t>
      </w:r>
      <w:bookmarkEnd w:id="142"/>
    </w:p>
    <w:bookmarkEnd w:id="140"/>
    <w:p w14:paraId="0D6B4280" w14:textId="77777777" w:rsidR="00B80022" w:rsidRPr="00E869A4" w:rsidRDefault="00B80022" w:rsidP="0045241A">
      <w:pPr>
        <w:rPr>
          <w:rFonts w:ascii="Times New Roman" w:hAnsi="Times New Roman" w:cs="Times New Roman"/>
          <w:szCs w:val="24"/>
        </w:rPr>
      </w:pPr>
    </w:p>
    <w:p w14:paraId="62365279" w14:textId="2AE394EF" w:rsidR="001F077F" w:rsidRPr="00E869A4" w:rsidRDefault="001F077F" w:rsidP="0045241A">
      <w:pPr>
        <w:rPr>
          <w:rFonts w:ascii="Times New Roman" w:hAnsi="Times New Roman" w:cs="Times New Roman"/>
          <w:szCs w:val="24"/>
        </w:rPr>
      </w:pPr>
      <w:r w:rsidRPr="00E869A4">
        <w:rPr>
          <w:rFonts w:ascii="Times New Roman" w:hAnsi="Times New Roman" w:cs="Times New Roman"/>
          <w:szCs w:val="24"/>
        </w:rPr>
        <w:t>Family care of older persons may be broadly defined as unpaid care and support provided to a person aged 60 years or over by a relative, usually an adult child or spouse</w:t>
      </w:r>
      <w:r w:rsidR="0045241A" w:rsidRPr="00E869A4">
        <w:rPr>
          <w:rFonts w:ascii="Times New Roman" w:hAnsi="Times New Roman" w:cs="Times New Roman"/>
          <w:szCs w:val="24"/>
        </w:rPr>
        <w:t>,</w:t>
      </w:r>
      <w:r w:rsidRPr="00E869A4">
        <w:rPr>
          <w:rFonts w:ascii="Times New Roman" w:hAnsi="Times New Roman" w:cs="Times New Roman"/>
          <w:szCs w:val="24"/>
        </w:rPr>
        <w:t xml:space="preserve"> </w:t>
      </w:r>
      <w:r w:rsidR="0045241A" w:rsidRPr="00E869A4">
        <w:rPr>
          <w:rFonts w:ascii="Times New Roman" w:hAnsi="Times New Roman" w:cs="Times New Roman"/>
          <w:szCs w:val="24"/>
        </w:rPr>
        <w:t>al</w:t>
      </w:r>
      <w:r w:rsidRPr="00E869A4">
        <w:rPr>
          <w:rFonts w:ascii="Times New Roman" w:hAnsi="Times New Roman" w:cs="Times New Roman"/>
          <w:szCs w:val="24"/>
        </w:rPr>
        <w:t xml:space="preserve">though in some </w:t>
      </w:r>
      <w:r w:rsidR="00AF2890" w:rsidRPr="00E869A4">
        <w:rPr>
          <w:rFonts w:ascii="Times New Roman" w:hAnsi="Times New Roman" w:cs="Times New Roman"/>
          <w:szCs w:val="24"/>
        </w:rPr>
        <w:t>instances,</w:t>
      </w:r>
      <w:r w:rsidRPr="00E869A4">
        <w:rPr>
          <w:rFonts w:ascii="Times New Roman" w:hAnsi="Times New Roman" w:cs="Times New Roman"/>
          <w:szCs w:val="24"/>
        </w:rPr>
        <w:t xml:space="preserve"> it includes care by fictive kin, neighbours and friends. Female relatives, in particular wives and daughters, and in some contexts daughters-in-law</w:t>
      </w:r>
      <w:r w:rsidR="00F71F77" w:rsidRPr="00E869A4">
        <w:rPr>
          <w:rFonts w:ascii="Times New Roman" w:hAnsi="Times New Roman" w:cs="Times New Roman"/>
          <w:szCs w:val="24"/>
        </w:rPr>
        <w:t>,</w:t>
      </w:r>
      <w:r w:rsidRPr="00E869A4">
        <w:rPr>
          <w:rFonts w:ascii="Times New Roman" w:hAnsi="Times New Roman" w:cs="Times New Roman"/>
          <w:szCs w:val="24"/>
        </w:rPr>
        <w:t xml:space="preserve"> are more likely to perform caregiving duties</w:t>
      </w:r>
      <w:r w:rsidR="00F71F77" w:rsidRPr="00E869A4">
        <w:rPr>
          <w:rFonts w:ascii="Times New Roman" w:hAnsi="Times New Roman" w:cs="Times New Roman"/>
          <w:szCs w:val="24"/>
        </w:rPr>
        <w:t>. H</w:t>
      </w:r>
      <w:r w:rsidRPr="00E869A4">
        <w:rPr>
          <w:rFonts w:ascii="Times New Roman" w:hAnsi="Times New Roman" w:cs="Times New Roman"/>
          <w:szCs w:val="24"/>
        </w:rPr>
        <w:t>owever</w:t>
      </w:r>
      <w:r w:rsidR="00F71F77" w:rsidRPr="00E869A4">
        <w:rPr>
          <w:rFonts w:ascii="Times New Roman" w:hAnsi="Times New Roman" w:cs="Times New Roman"/>
          <w:szCs w:val="24"/>
        </w:rPr>
        <w:t>,</w:t>
      </w:r>
      <w:r w:rsidRPr="00E869A4">
        <w:rPr>
          <w:rFonts w:ascii="Times New Roman" w:hAnsi="Times New Roman" w:cs="Times New Roman"/>
          <w:szCs w:val="24"/>
        </w:rPr>
        <w:t xml:space="preserve"> men and boys may also be involved in providing care support. Caregivers are usually middle-aged relatives, </w:t>
      </w:r>
      <w:r w:rsidR="00F71F77" w:rsidRPr="00E869A4">
        <w:rPr>
          <w:rFonts w:ascii="Times New Roman" w:hAnsi="Times New Roman" w:cs="Times New Roman"/>
          <w:szCs w:val="24"/>
        </w:rPr>
        <w:t>but,</w:t>
      </w:r>
      <w:r w:rsidRPr="00E869A4">
        <w:rPr>
          <w:rFonts w:ascii="Times New Roman" w:hAnsi="Times New Roman" w:cs="Times New Roman"/>
          <w:szCs w:val="24"/>
        </w:rPr>
        <w:t xml:space="preserve"> young persons</w:t>
      </w:r>
      <w:r w:rsidRPr="00E869A4">
        <w:rPr>
          <w:vertAlign w:val="superscript"/>
        </w:rPr>
        <w:footnoteReference w:id="25"/>
      </w:r>
      <w:r w:rsidRPr="00E869A4">
        <w:rPr>
          <w:rFonts w:ascii="Times New Roman" w:hAnsi="Times New Roman" w:cs="Times New Roman"/>
          <w:szCs w:val="24"/>
        </w:rPr>
        <w:t xml:space="preserve"> as well as older persons may also be involved in care provision. </w:t>
      </w:r>
    </w:p>
    <w:p w14:paraId="2339355A" w14:textId="77777777" w:rsidR="00C97931" w:rsidRPr="00E869A4" w:rsidRDefault="00C97931">
      <w:bookmarkStart w:id="143" w:name="_Toc505015370"/>
    </w:p>
    <w:p w14:paraId="1C8D08AC" w14:textId="3456A4E1" w:rsidR="000B60D9" w:rsidRPr="00E869A4" w:rsidRDefault="000B60D9" w:rsidP="00430F82">
      <w:pPr>
        <w:pStyle w:val="Heading4"/>
      </w:pPr>
      <w:r w:rsidRPr="00E869A4">
        <w:t xml:space="preserve">Care </w:t>
      </w:r>
      <w:r w:rsidR="00430F82" w:rsidRPr="00E869A4">
        <w:t>A</w:t>
      </w:r>
      <w:r w:rsidRPr="00E869A4">
        <w:t>ctivities</w:t>
      </w:r>
      <w:bookmarkEnd w:id="143"/>
    </w:p>
    <w:p w14:paraId="69927B35" w14:textId="77777777" w:rsidR="00757881" w:rsidRPr="00E869A4" w:rsidRDefault="00757881" w:rsidP="00AB16E8">
      <w:pPr>
        <w:rPr>
          <w:rFonts w:ascii="Times New Roman" w:hAnsi="Times New Roman" w:cs="Times New Roman"/>
          <w:szCs w:val="24"/>
        </w:rPr>
      </w:pPr>
    </w:p>
    <w:p w14:paraId="338DA075" w14:textId="0A02EE33" w:rsidR="00B575C9" w:rsidRPr="00E869A4" w:rsidRDefault="00B575C9" w:rsidP="00AB16E8">
      <w:pPr>
        <w:rPr>
          <w:rFonts w:ascii="Times New Roman" w:hAnsi="Times New Roman" w:cs="Times New Roman"/>
          <w:noProof/>
        </w:rPr>
      </w:pPr>
      <w:r w:rsidRPr="00E869A4">
        <w:rPr>
          <w:rFonts w:ascii="Times New Roman" w:hAnsi="Times New Roman" w:cs="Times New Roman"/>
          <w:szCs w:val="24"/>
        </w:rPr>
        <w:t xml:space="preserve">Caregiving is frequently conceptualised as consisting of various types of activities. Some of the categories that are often used include </w:t>
      </w:r>
      <w:r w:rsidR="00534A13" w:rsidRPr="00E869A4">
        <w:rPr>
          <w:rFonts w:ascii="Times New Roman" w:hAnsi="Times New Roman" w:cs="Times New Roman"/>
          <w:iCs/>
          <w:szCs w:val="24"/>
        </w:rPr>
        <w:t>person</w:t>
      </w:r>
      <w:r w:rsidRPr="00E869A4">
        <w:rPr>
          <w:rFonts w:ascii="Times New Roman" w:hAnsi="Times New Roman" w:cs="Times New Roman"/>
          <w:iCs/>
          <w:szCs w:val="24"/>
        </w:rPr>
        <w:t>al</w:t>
      </w:r>
      <w:r w:rsidRPr="00E869A4">
        <w:rPr>
          <w:rFonts w:ascii="Times New Roman" w:hAnsi="Times New Roman" w:cs="Times New Roman"/>
          <w:i/>
          <w:szCs w:val="24"/>
        </w:rPr>
        <w:t xml:space="preserve"> </w:t>
      </w:r>
      <w:r w:rsidR="00631078" w:rsidRPr="00E869A4">
        <w:rPr>
          <w:rFonts w:ascii="Times New Roman" w:hAnsi="Times New Roman" w:cs="Times New Roman"/>
          <w:iCs/>
          <w:szCs w:val="24"/>
        </w:rPr>
        <w:t>care</w:t>
      </w:r>
      <w:r w:rsidR="00631078" w:rsidRPr="00E869A4">
        <w:rPr>
          <w:rFonts w:ascii="Times New Roman" w:hAnsi="Times New Roman" w:cs="Times New Roman"/>
          <w:szCs w:val="24"/>
        </w:rPr>
        <w:t>, which</w:t>
      </w:r>
      <w:r w:rsidRPr="00E869A4">
        <w:rPr>
          <w:rFonts w:ascii="Times New Roman" w:hAnsi="Times New Roman" w:cs="Times New Roman"/>
          <w:szCs w:val="24"/>
        </w:rPr>
        <w:t xml:space="preserve"> </w:t>
      </w:r>
      <w:r w:rsidR="00631078" w:rsidRPr="00E869A4">
        <w:rPr>
          <w:rFonts w:ascii="Times New Roman" w:hAnsi="Times New Roman" w:cs="Times New Roman"/>
          <w:szCs w:val="24"/>
        </w:rPr>
        <w:t>are activities</w:t>
      </w:r>
      <w:r w:rsidRPr="00E869A4">
        <w:rPr>
          <w:rFonts w:ascii="Times New Roman" w:hAnsi="Times New Roman" w:cs="Times New Roman"/>
          <w:szCs w:val="24"/>
        </w:rPr>
        <w:t xml:space="preserve"> of daily</w:t>
      </w:r>
      <w:r w:rsidR="001144E6" w:rsidRPr="00E869A4">
        <w:rPr>
          <w:rFonts w:ascii="Times New Roman" w:hAnsi="Times New Roman" w:cs="Times New Roman"/>
          <w:szCs w:val="24"/>
        </w:rPr>
        <w:t xml:space="preserve"> living (ADLs), such as bathing</w:t>
      </w:r>
      <w:r w:rsidRPr="00E869A4">
        <w:rPr>
          <w:rFonts w:ascii="Times New Roman" w:hAnsi="Times New Roman" w:cs="Times New Roman"/>
          <w:szCs w:val="24"/>
        </w:rPr>
        <w:t xml:space="preserve"> and feeding, and, </w:t>
      </w:r>
      <w:r w:rsidRPr="00E869A4">
        <w:rPr>
          <w:rFonts w:ascii="Times New Roman" w:hAnsi="Times New Roman" w:cs="Times New Roman"/>
          <w:iCs/>
          <w:szCs w:val="24"/>
        </w:rPr>
        <w:t>instrumental</w:t>
      </w:r>
      <w:r w:rsidRPr="00E869A4">
        <w:rPr>
          <w:rFonts w:ascii="Times New Roman" w:hAnsi="Times New Roman" w:cs="Times New Roman"/>
          <w:i/>
          <w:szCs w:val="24"/>
        </w:rPr>
        <w:t xml:space="preserve"> </w:t>
      </w:r>
      <w:r w:rsidRPr="00E869A4">
        <w:rPr>
          <w:rFonts w:ascii="Times New Roman" w:hAnsi="Times New Roman" w:cs="Times New Roman"/>
          <w:iCs/>
          <w:szCs w:val="24"/>
        </w:rPr>
        <w:t>activities</w:t>
      </w:r>
      <w:r w:rsidRPr="00E869A4">
        <w:rPr>
          <w:rFonts w:ascii="Times New Roman" w:hAnsi="Times New Roman" w:cs="Times New Roman"/>
          <w:i/>
          <w:szCs w:val="24"/>
        </w:rPr>
        <w:t xml:space="preserve"> </w:t>
      </w:r>
      <w:r w:rsidRPr="00E869A4">
        <w:rPr>
          <w:rFonts w:ascii="Times New Roman" w:hAnsi="Times New Roman" w:cs="Times New Roman"/>
          <w:iCs/>
          <w:szCs w:val="24"/>
        </w:rPr>
        <w:t>of</w:t>
      </w:r>
      <w:r w:rsidRPr="00E869A4">
        <w:rPr>
          <w:rFonts w:ascii="Times New Roman" w:hAnsi="Times New Roman" w:cs="Times New Roman"/>
          <w:i/>
          <w:szCs w:val="24"/>
        </w:rPr>
        <w:t xml:space="preserve"> </w:t>
      </w:r>
      <w:r w:rsidRPr="00E869A4">
        <w:rPr>
          <w:rFonts w:ascii="Times New Roman" w:hAnsi="Times New Roman" w:cs="Times New Roman"/>
          <w:iCs/>
          <w:szCs w:val="24"/>
        </w:rPr>
        <w:t>daily</w:t>
      </w:r>
      <w:r w:rsidRPr="00E869A4">
        <w:rPr>
          <w:rFonts w:ascii="Times New Roman" w:hAnsi="Times New Roman" w:cs="Times New Roman"/>
          <w:i/>
          <w:szCs w:val="24"/>
        </w:rPr>
        <w:t xml:space="preserve"> </w:t>
      </w:r>
      <w:r w:rsidRPr="00E869A4">
        <w:rPr>
          <w:rFonts w:ascii="Times New Roman" w:hAnsi="Times New Roman" w:cs="Times New Roman"/>
          <w:iCs/>
          <w:szCs w:val="24"/>
        </w:rPr>
        <w:t>living</w:t>
      </w:r>
      <w:r w:rsidRPr="00E869A4">
        <w:rPr>
          <w:rFonts w:ascii="Times New Roman" w:hAnsi="Times New Roman" w:cs="Times New Roman"/>
          <w:szCs w:val="24"/>
        </w:rPr>
        <w:t xml:space="preserve"> (IADLs), such as shopping and preparing meals. Other categories such as </w:t>
      </w:r>
      <w:r w:rsidRPr="00E869A4">
        <w:rPr>
          <w:rFonts w:ascii="Times New Roman" w:hAnsi="Times New Roman" w:cs="Times New Roman"/>
          <w:iCs/>
          <w:szCs w:val="24"/>
        </w:rPr>
        <w:t>socio-emotional</w:t>
      </w:r>
      <w:r w:rsidRPr="00E869A4">
        <w:rPr>
          <w:rFonts w:ascii="Times New Roman" w:hAnsi="Times New Roman" w:cs="Times New Roman"/>
          <w:i/>
          <w:szCs w:val="24"/>
        </w:rPr>
        <w:t xml:space="preserve"> </w:t>
      </w:r>
      <w:r w:rsidRPr="00E869A4">
        <w:rPr>
          <w:rFonts w:ascii="Times New Roman" w:hAnsi="Times New Roman" w:cs="Times New Roman"/>
          <w:iCs/>
          <w:szCs w:val="24"/>
        </w:rPr>
        <w:t>care</w:t>
      </w:r>
      <w:r w:rsidRPr="00E869A4">
        <w:rPr>
          <w:rFonts w:ascii="Times New Roman" w:hAnsi="Times New Roman" w:cs="Times New Roman"/>
          <w:szCs w:val="24"/>
        </w:rPr>
        <w:t xml:space="preserve"> deal with providing emotional support and keeping company while </w:t>
      </w:r>
      <w:r w:rsidRPr="00E869A4">
        <w:rPr>
          <w:rFonts w:ascii="Times New Roman" w:hAnsi="Times New Roman" w:cs="Times New Roman"/>
          <w:iCs/>
          <w:szCs w:val="24"/>
        </w:rPr>
        <w:t>supervising</w:t>
      </w:r>
      <w:r w:rsidRPr="00E869A4">
        <w:rPr>
          <w:rFonts w:ascii="Times New Roman" w:hAnsi="Times New Roman" w:cs="Times New Roman"/>
          <w:i/>
          <w:szCs w:val="24"/>
        </w:rPr>
        <w:t>/</w:t>
      </w:r>
      <w:r w:rsidRPr="00E869A4">
        <w:rPr>
          <w:rFonts w:ascii="Times New Roman" w:hAnsi="Times New Roman" w:cs="Times New Roman"/>
          <w:iCs/>
          <w:szCs w:val="24"/>
        </w:rPr>
        <w:t>monitoring</w:t>
      </w:r>
      <w:r w:rsidRPr="00E869A4">
        <w:rPr>
          <w:rFonts w:ascii="Times New Roman" w:hAnsi="Times New Roman" w:cs="Times New Roman"/>
          <w:szCs w:val="24"/>
        </w:rPr>
        <w:t xml:space="preserve"> is that aspect </w:t>
      </w:r>
      <w:r w:rsidR="00631078" w:rsidRPr="00E869A4">
        <w:rPr>
          <w:rFonts w:ascii="Times New Roman" w:hAnsi="Times New Roman" w:cs="Times New Roman"/>
          <w:szCs w:val="24"/>
        </w:rPr>
        <w:t>involving</w:t>
      </w:r>
      <w:r w:rsidRPr="00E869A4">
        <w:rPr>
          <w:rFonts w:ascii="Times New Roman" w:hAnsi="Times New Roman" w:cs="Times New Roman"/>
          <w:szCs w:val="24"/>
        </w:rPr>
        <w:t xml:space="preserve"> liaising with formal care systems and monitoring the use of medicines (</w:t>
      </w:r>
      <w:r w:rsidRPr="00E869A4">
        <w:rPr>
          <w:rFonts w:ascii="Times New Roman" w:hAnsi="Times New Roman" w:cs="Times New Roman"/>
          <w:noProof/>
          <w:szCs w:val="24"/>
        </w:rPr>
        <w:t>de São José 2016)</w:t>
      </w:r>
      <w:r w:rsidRPr="00E869A4">
        <w:rPr>
          <w:rFonts w:ascii="Times New Roman" w:hAnsi="Times New Roman" w:cs="Times New Roman"/>
          <w:noProof/>
        </w:rPr>
        <w:t xml:space="preserve">. The range, intensity and mix of caring activities are in large part a function of the circumstances of the person receiving care, the availability of formal care services, the nature of the relationship between the caregiver and </w:t>
      </w:r>
      <w:r w:rsidR="009E2738" w:rsidRPr="00E869A4">
        <w:rPr>
          <w:rFonts w:ascii="Times New Roman" w:hAnsi="Times New Roman" w:cs="Times New Roman"/>
          <w:noProof/>
        </w:rPr>
        <w:t>care recipient</w:t>
      </w:r>
      <w:r w:rsidR="00534A13" w:rsidRPr="00E869A4">
        <w:rPr>
          <w:rFonts w:ascii="Times New Roman" w:hAnsi="Times New Roman" w:cs="Times New Roman"/>
          <w:noProof/>
        </w:rPr>
        <w:t>,</w:t>
      </w:r>
      <w:r w:rsidRPr="00E869A4">
        <w:rPr>
          <w:rFonts w:ascii="Times New Roman" w:hAnsi="Times New Roman" w:cs="Times New Roman"/>
          <w:noProof/>
        </w:rPr>
        <w:t xml:space="preserve"> as well as the gender of both (Barnes 2006). </w:t>
      </w:r>
    </w:p>
    <w:p w14:paraId="1177A067" w14:textId="77777777" w:rsidR="002914C7" w:rsidRPr="00E869A4" w:rsidRDefault="002914C7" w:rsidP="0091560D">
      <w:pPr>
        <w:rPr>
          <w:rFonts w:ascii="Times New Roman" w:hAnsi="Times New Roman" w:cs="Times New Roman"/>
          <w:noProof/>
        </w:rPr>
      </w:pPr>
    </w:p>
    <w:p w14:paraId="73A36137" w14:textId="50368B25" w:rsidR="001C2D72" w:rsidRPr="00E869A4" w:rsidRDefault="008609AB" w:rsidP="0091560D">
      <w:pPr>
        <w:rPr>
          <w:rFonts w:ascii="Times New Roman" w:hAnsi="Times New Roman" w:cs="Times New Roman"/>
          <w:noProof/>
        </w:rPr>
      </w:pPr>
      <w:r w:rsidRPr="00E869A4">
        <w:rPr>
          <w:rFonts w:ascii="Times New Roman" w:hAnsi="Times New Roman" w:cs="Times New Roman"/>
          <w:noProof/>
        </w:rPr>
        <w:t>With respect to the actual work performed by family caregi</w:t>
      </w:r>
      <w:r w:rsidR="00BC5442" w:rsidRPr="00E869A4">
        <w:rPr>
          <w:rFonts w:ascii="Times New Roman" w:hAnsi="Times New Roman" w:cs="Times New Roman"/>
          <w:noProof/>
        </w:rPr>
        <w:t>vers, Bookman and Kimbrel (2011</w:t>
      </w:r>
      <w:r w:rsidRPr="00E869A4">
        <w:rPr>
          <w:rFonts w:ascii="Times New Roman" w:hAnsi="Times New Roman" w:cs="Times New Roman"/>
          <w:noProof/>
        </w:rPr>
        <w:t>) identified eight</w:t>
      </w:r>
      <w:r w:rsidR="00A427D6" w:rsidRPr="00E869A4">
        <w:rPr>
          <w:rFonts w:ascii="Times New Roman" w:hAnsi="Times New Roman" w:cs="Times New Roman"/>
          <w:noProof/>
        </w:rPr>
        <w:t xml:space="preserve"> </w:t>
      </w:r>
      <w:r w:rsidRPr="00E869A4">
        <w:rPr>
          <w:rFonts w:ascii="Times New Roman" w:hAnsi="Times New Roman" w:cs="Times New Roman"/>
          <w:noProof/>
        </w:rPr>
        <w:t>(8) factors that influence care activities. These include</w:t>
      </w:r>
      <w:r w:rsidR="00BC5442" w:rsidRPr="00E869A4">
        <w:rPr>
          <w:rFonts w:ascii="Times New Roman" w:hAnsi="Times New Roman" w:cs="Times New Roman"/>
          <w:noProof/>
        </w:rPr>
        <w:t xml:space="preserve">: 1) the </w:t>
      </w:r>
      <w:r w:rsidR="00BC5442" w:rsidRPr="00E869A4">
        <w:rPr>
          <w:rFonts w:ascii="Times New Roman" w:hAnsi="Times New Roman" w:cs="Times New Roman"/>
          <w:i/>
          <w:noProof/>
        </w:rPr>
        <w:t>h</w:t>
      </w:r>
      <w:r w:rsidRPr="00E869A4">
        <w:rPr>
          <w:rFonts w:ascii="Times New Roman" w:hAnsi="Times New Roman" w:cs="Times New Roman"/>
          <w:i/>
          <w:noProof/>
        </w:rPr>
        <w:t xml:space="preserve">ealth </w:t>
      </w:r>
      <w:r w:rsidRPr="00E869A4">
        <w:rPr>
          <w:rFonts w:ascii="Times New Roman" w:hAnsi="Times New Roman" w:cs="Times New Roman"/>
          <w:noProof/>
        </w:rPr>
        <w:t xml:space="preserve">of </w:t>
      </w:r>
      <w:r w:rsidR="00BC5442" w:rsidRPr="00E869A4">
        <w:rPr>
          <w:rFonts w:ascii="Times New Roman" w:hAnsi="Times New Roman" w:cs="Times New Roman"/>
          <w:noProof/>
        </w:rPr>
        <w:t xml:space="preserve">the </w:t>
      </w:r>
      <w:r w:rsidR="009E2738" w:rsidRPr="00E869A4">
        <w:rPr>
          <w:rFonts w:ascii="Times New Roman" w:hAnsi="Times New Roman" w:cs="Times New Roman"/>
          <w:noProof/>
        </w:rPr>
        <w:t>care recipient</w:t>
      </w:r>
      <w:r w:rsidRPr="00E869A4">
        <w:rPr>
          <w:rFonts w:ascii="Times New Roman" w:hAnsi="Times New Roman" w:cs="Times New Roman"/>
          <w:noProof/>
        </w:rPr>
        <w:t xml:space="preserve"> (e.g. chronic vs. acute)</w:t>
      </w:r>
      <w:r w:rsidR="00BC5442" w:rsidRPr="00E869A4">
        <w:rPr>
          <w:rFonts w:ascii="Times New Roman" w:hAnsi="Times New Roman" w:cs="Times New Roman"/>
          <w:noProof/>
        </w:rPr>
        <w:t xml:space="preserve">;  2) </w:t>
      </w:r>
      <w:r w:rsidR="00BC5442" w:rsidRPr="00E869A4">
        <w:rPr>
          <w:rFonts w:ascii="Times New Roman" w:hAnsi="Times New Roman" w:cs="Times New Roman"/>
          <w:i/>
          <w:noProof/>
        </w:rPr>
        <w:t>t</w:t>
      </w:r>
      <w:r w:rsidRPr="00E869A4">
        <w:rPr>
          <w:rFonts w:ascii="Times New Roman" w:hAnsi="Times New Roman" w:cs="Times New Roman"/>
          <w:i/>
          <w:noProof/>
        </w:rPr>
        <w:t>ime</w:t>
      </w:r>
      <w:r w:rsidRPr="00E869A4">
        <w:rPr>
          <w:rFonts w:ascii="Times New Roman" w:hAnsi="Times New Roman" w:cs="Times New Roman"/>
          <w:noProof/>
        </w:rPr>
        <w:t xml:space="preserve"> (whether short, intermittent to long term)</w:t>
      </w:r>
      <w:r w:rsidR="00BC5442" w:rsidRPr="00E869A4">
        <w:rPr>
          <w:rFonts w:ascii="Times New Roman" w:hAnsi="Times New Roman" w:cs="Times New Roman"/>
          <w:noProof/>
        </w:rPr>
        <w:t>; 3)</w:t>
      </w:r>
      <w:r w:rsidRPr="00E869A4">
        <w:rPr>
          <w:rFonts w:ascii="Times New Roman" w:hAnsi="Times New Roman" w:cs="Times New Roman"/>
          <w:noProof/>
        </w:rPr>
        <w:t xml:space="preserve"> </w:t>
      </w:r>
      <w:r w:rsidR="00BC5442" w:rsidRPr="00E869A4">
        <w:rPr>
          <w:rFonts w:ascii="Times New Roman" w:hAnsi="Times New Roman" w:cs="Times New Roman"/>
          <w:i/>
          <w:noProof/>
        </w:rPr>
        <w:t>g</w:t>
      </w:r>
      <w:r w:rsidRPr="00E869A4">
        <w:rPr>
          <w:rFonts w:ascii="Times New Roman" w:hAnsi="Times New Roman" w:cs="Times New Roman"/>
          <w:i/>
          <w:noProof/>
        </w:rPr>
        <w:t>eography</w:t>
      </w:r>
      <w:r w:rsidRPr="00E869A4">
        <w:rPr>
          <w:rFonts w:ascii="Times New Roman" w:hAnsi="Times New Roman" w:cs="Times New Roman"/>
          <w:noProof/>
        </w:rPr>
        <w:t xml:space="preserve"> (care over long distances or in close physical proximity)</w:t>
      </w:r>
      <w:r w:rsidR="00BC5442" w:rsidRPr="00E869A4">
        <w:rPr>
          <w:rFonts w:ascii="Times New Roman" w:hAnsi="Times New Roman" w:cs="Times New Roman"/>
          <w:noProof/>
        </w:rPr>
        <w:t xml:space="preserve">; 4) </w:t>
      </w:r>
      <w:r w:rsidR="00BC5442" w:rsidRPr="00E869A4">
        <w:rPr>
          <w:rFonts w:ascii="Times New Roman" w:hAnsi="Times New Roman" w:cs="Times New Roman"/>
          <w:i/>
          <w:noProof/>
        </w:rPr>
        <w:t>r</w:t>
      </w:r>
      <w:r w:rsidRPr="00E869A4">
        <w:rPr>
          <w:rFonts w:ascii="Times New Roman" w:hAnsi="Times New Roman" w:cs="Times New Roman"/>
          <w:i/>
          <w:noProof/>
        </w:rPr>
        <w:t>esidential setting</w:t>
      </w:r>
      <w:r w:rsidRPr="00E869A4">
        <w:rPr>
          <w:rFonts w:ascii="Times New Roman" w:hAnsi="Times New Roman" w:cs="Times New Roman"/>
          <w:noProof/>
        </w:rPr>
        <w:t xml:space="preserve"> (care work may be performed in the home of the </w:t>
      </w:r>
      <w:r w:rsidR="00BC5442" w:rsidRPr="00E869A4">
        <w:rPr>
          <w:rFonts w:ascii="Times New Roman" w:hAnsi="Times New Roman" w:cs="Times New Roman"/>
          <w:noProof/>
        </w:rPr>
        <w:t xml:space="preserve">care </w:t>
      </w:r>
      <w:r w:rsidRPr="00E869A4">
        <w:rPr>
          <w:rFonts w:ascii="Times New Roman" w:hAnsi="Times New Roman" w:cs="Times New Roman"/>
          <w:noProof/>
        </w:rPr>
        <w:t>recipient</w:t>
      </w:r>
      <w:r w:rsidR="00BC5442" w:rsidRPr="00E869A4">
        <w:rPr>
          <w:rFonts w:ascii="Times New Roman" w:hAnsi="Times New Roman" w:cs="Times New Roman"/>
          <w:noProof/>
        </w:rPr>
        <w:t xml:space="preserve"> or that of </w:t>
      </w:r>
      <w:r w:rsidRPr="00E869A4">
        <w:rPr>
          <w:rFonts w:ascii="Times New Roman" w:hAnsi="Times New Roman" w:cs="Times New Roman"/>
          <w:noProof/>
        </w:rPr>
        <w:t>the family caregiver or</w:t>
      </w:r>
      <w:r w:rsidR="00BC5442" w:rsidRPr="00E869A4">
        <w:rPr>
          <w:rFonts w:ascii="Times New Roman" w:hAnsi="Times New Roman" w:cs="Times New Roman"/>
          <w:noProof/>
        </w:rPr>
        <w:t>, in</w:t>
      </w:r>
      <w:r w:rsidRPr="00E869A4">
        <w:rPr>
          <w:rFonts w:ascii="Times New Roman" w:hAnsi="Times New Roman" w:cs="Times New Roman"/>
          <w:noProof/>
        </w:rPr>
        <w:t xml:space="preserve"> a formal setting)</w:t>
      </w:r>
      <w:r w:rsidR="00BC5442" w:rsidRPr="00E869A4">
        <w:rPr>
          <w:rFonts w:ascii="Times New Roman" w:hAnsi="Times New Roman" w:cs="Times New Roman"/>
          <w:noProof/>
        </w:rPr>
        <w:t>; 5)</w:t>
      </w:r>
      <w:r w:rsidRPr="00E869A4">
        <w:rPr>
          <w:rFonts w:ascii="Times New Roman" w:hAnsi="Times New Roman" w:cs="Times New Roman"/>
          <w:noProof/>
        </w:rPr>
        <w:t xml:space="preserve">  </w:t>
      </w:r>
      <w:r w:rsidR="00BC5442" w:rsidRPr="00E869A4">
        <w:rPr>
          <w:rFonts w:ascii="Times New Roman" w:hAnsi="Times New Roman" w:cs="Times New Roman"/>
          <w:i/>
          <w:noProof/>
        </w:rPr>
        <w:t>f</w:t>
      </w:r>
      <w:r w:rsidRPr="00E869A4">
        <w:rPr>
          <w:rFonts w:ascii="Times New Roman" w:hAnsi="Times New Roman" w:cs="Times New Roman"/>
          <w:i/>
          <w:noProof/>
        </w:rPr>
        <w:t>inances</w:t>
      </w:r>
      <w:r w:rsidRPr="00E869A4">
        <w:rPr>
          <w:rFonts w:ascii="Times New Roman" w:hAnsi="Times New Roman" w:cs="Times New Roman"/>
          <w:noProof/>
        </w:rPr>
        <w:t xml:space="preserve"> (e.g. access to financial remuneration and support for care work</w:t>
      </w:r>
      <w:r w:rsidR="00BC5442" w:rsidRPr="00E869A4">
        <w:rPr>
          <w:rFonts w:ascii="Times New Roman" w:hAnsi="Times New Roman" w:cs="Times New Roman"/>
          <w:noProof/>
        </w:rPr>
        <w:t>; 6)</w:t>
      </w:r>
      <w:r w:rsidRPr="00E869A4">
        <w:rPr>
          <w:rFonts w:ascii="Times New Roman" w:hAnsi="Times New Roman" w:cs="Times New Roman"/>
          <w:noProof/>
        </w:rPr>
        <w:t xml:space="preserve"> </w:t>
      </w:r>
      <w:r w:rsidR="00BC5442" w:rsidRPr="00E869A4">
        <w:rPr>
          <w:rFonts w:ascii="Times New Roman" w:hAnsi="Times New Roman" w:cs="Times New Roman"/>
          <w:noProof/>
        </w:rPr>
        <w:t>l</w:t>
      </w:r>
      <w:r w:rsidRPr="00E869A4">
        <w:rPr>
          <w:rFonts w:ascii="Times New Roman" w:hAnsi="Times New Roman" w:cs="Times New Roman"/>
          <w:noProof/>
        </w:rPr>
        <w:t xml:space="preserve">egal and </w:t>
      </w:r>
      <w:r w:rsidR="00BC5442" w:rsidRPr="00E869A4">
        <w:rPr>
          <w:rFonts w:ascii="Times New Roman" w:hAnsi="Times New Roman" w:cs="Times New Roman"/>
          <w:noProof/>
        </w:rPr>
        <w:t>e</w:t>
      </w:r>
      <w:r w:rsidRPr="00E869A4">
        <w:rPr>
          <w:rFonts w:ascii="Times New Roman" w:hAnsi="Times New Roman" w:cs="Times New Roman"/>
          <w:noProof/>
        </w:rPr>
        <w:t>thical stipulations (such as the assignment of power of attorney)</w:t>
      </w:r>
      <w:r w:rsidR="00BC5442" w:rsidRPr="00E869A4">
        <w:rPr>
          <w:rFonts w:ascii="Times New Roman" w:hAnsi="Times New Roman" w:cs="Times New Roman"/>
          <w:noProof/>
        </w:rPr>
        <w:t>; 7)</w:t>
      </w:r>
      <w:r w:rsidRPr="00E869A4">
        <w:rPr>
          <w:rFonts w:ascii="Times New Roman" w:hAnsi="Times New Roman" w:cs="Times New Roman"/>
          <w:noProof/>
        </w:rPr>
        <w:t xml:space="preserve"> </w:t>
      </w:r>
      <w:r w:rsidR="00BC5442" w:rsidRPr="00E869A4">
        <w:rPr>
          <w:rFonts w:ascii="Times New Roman" w:hAnsi="Times New Roman" w:cs="Times New Roman"/>
          <w:i/>
          <w:noProof/>
        </w:rPr>
        <w:t>e</w:t>
      </w:r>
      <w:r w:rsidRPr="00E869A4">
        <w:rPr>
          <w:rFonts w:ascii="Times New Roman" w:hAnsi="Times New Roman" w:cs="Times New Roman"/>
          <w:i/>
          <w:noProof/>
        </w:rPr>
        <w:t>motional, moral and spiritual care support</w:t>
      </w:r>
      <w:r w:rsidR="001C64B3" w:rsidRPr="00E869A4">
        <w:rPr>
          <w:rFonts w:ascii="Times New Roman" w:hAnsi="Times New Roman" w:cs="Times New Roman"/>
          <w:noProof/>
        </w:rPr>
        <w:t>;</w:t>
      </w:r>
      <w:r w:rsidRPr="00E869A4">
        <w:rPr>
          <w:rFonts w:ascii="Times New Roman" w:hAnsi="Times New Roman" w:cs="Times New Roman"/>
          <w:noProof/>
        </w:rPr>
        <w:t xml:space="preserve"> and</w:t>
      </w:r>
      <w:r w:rsidR="001C64B3" w:rsidRPr="00E869A4">
        <w:rPr>
          <w:rFonts w:ascii="Times New Roman" w:hAnsi="Times New Roman" w:cs="Times New Roman"/>
          <w:noProof/>
        </w:rPr>
        <w:t>,</w:t>
      </w:r>
      <w:r w:rsidR="00BC5442" w:rsidRPr="00E869A4">
        <w:rPr>
          <w:rFonts w:ascii="Times New Roman" w:hAnsi="Times New Roman" w:cs="Times New Roman"/>
          <w:noProof/>
        </w:rPr>
        <w:t xml:space="preserve"> 8)</w:t>
      </w:r>
      <w:r w:rsidRPr="00E869A4">
        <w:rPr>
          <w:rFonts w:ascii="Times New Roman" w:hAnsi="Times New Roman" w:cs="Times New Roman"/>
          <w:noProof/>
        </w:rPr>
        <w:t xml:space="preserve"> </w:t>
      </w:r>
      <w:r w:rsidRPr="00E869A4">
        <w:rPr>
          <w:rFonts w:ascii="Times New Roman" w:hAnsi="Times New Roman" w:cs="Times New Roman"/>
          <w:i/>
          <w:noProof/>
        </w:rPr>
        <w:t>outsourcing elder care and care coordination</w:t>
      </w:r>
      <w:r w:rsidRPr="00E869A4">
        <w:rPr>
          <w:rFonts w:ascii="Times New Roman" w:hAnsi="Times New Roman" w:cs="Times New Roman"/>
          <w:noProof/>
        </w:rPr>
        <w:t xml:space="preserve"> (the time and effort associated with finding appropriate elder care services and </w:t>
      </w:r>
      <w:r w:rsidRPr="00E869A4">
        <w:rPr>
          <w:rFonts w:ascii="Times New Roman" w:hAnsi="Times New Roman" w:cs="Times New Roman"/>
          <w:noProof/>
        </w:rPr>
        <w:lastRenderedPageBreak/>
        <w:t>monitoring those that have been selected). These factors are also applicable to discussions about the determinants of care</w:t>
      </w:r>
      <w:r w:rsidR="00A721FF" w:rsidRPr="00E869A4">
        <w:rPr>
          <w:rFonts w:ascii="Times New Roman" w:hAnsi="Times New Roman" w:cs="Times New Roman"/>
          <w:noProof/>
        </w:rPr>
        <w:t xml:space="preserve"> (see Chapter 3 below)</w:t>
      </w:r>
      <w:r w:rsidRPr="00E869A4">
        <w:rPr>
          <w:rFonts w:ascii="Times New Roman" w:hAnsi="Times New Roman" w:cs="Times New Roman"/>
          <w:noProof/>
        </w:rPr>
        <w:t>.</w:t>
      </w:r>
      <w:r w:rsidR="001E0F7E" w:rsidRPr="00E869A4">
        <w:rPr>
          <w:rFonts w:ascii="Times New Roman" w:hAnsi="Times New Roman" w:cs="Times New Roman"/>
          <w:noProof/>
        </w:rPr>
        <w:t xml:space="preserve"> </w:t>
      </w:r>
      <w:r w:rsidR="001C2D72" w:rsidRPr="00E869A4">
        <w:rPr>
          <w:rFonts w:ascii="Times New Roman" w:hAnsi="Times New Roman" w:cs="Times New Roman"/>
          <w:noProof/>
        </w:rPr>
        <w:t>At times, the activities performed by family members may be indistinguishable from th</w:t>
      </w:r>
      <w:r w:rsidR="0091560D" w:rsidRPr="00E869A4">
        <w:rPr>
          <w:rFonts w:ascii="Times New Roman" w:hAnsi="Times New Roman" w:cs="Times New Roman"/>
          <w:noProof/>
        </w:rPr>
        <w:t>ose</w:t>
      </w:r>
      <w:r w:rsidR="001C2D72" w:rsidRPr="00E869A4">
        <w:rPr>
          <w:rFonts w:ascii="Times New Roman" w:hAnsi="Times New Roman" w:cs="Times New Roman"/>
          <w:noProof/>
        </w:rPr>
        <w:t xml:space="preserve"> performed by formal care providers (Barnes 2006). This is one of the reasons why feminists have strongly opposed the undue dichotomisation of care provided in formal and informal settings.  </w:t>
      </w:r>
    </w:p>
    <w:p w14:paraId="5DD56D52" w14:textId="77777777" w:rsidR="00AB16E8" w:rsidRPr="00E869A4" w:rsidRDefault="00AB16E8" w:rsidP="0051234F">
      <w:pPr>
        <w:pStyle w:val="112"/>
        <w:rPr>
          <w:color w:val="auto"/>
        </w:rPr>
      </w:pPr>
      <w:bookmarkStart w:id="144" w:name="_Toc505015371"/>
    </w:p>
    <w:p w14:paraId="5FCFC3D2" w14:textId="6C87DD22" w:rsidR="001F077F" w:rsidRPr="00E869A4" w:rsidRDefault="001F077F" w:rsidP="00112260">
      <w:pPr>
        <w:pStyle w:val="Heading4"/>
      </w:pPr>
      <w:r w:rsidRPr="00E869A4">
        <w:t>Time Devoted to Care and its Chronological Phases</w:t>
      </w:r>
      <w:bookmarkEnd w:id="144"/>
    </w:p>
    <w:p w14:paraId="409831BF" w14:textId="77777777" w:rsidR="00AB16E8" w:rsidRPr="00E869A4" w:rsidRDefault="00AB16E8" w:rsidP="0051234F">
      <w:pPr>
        <w:pStyle w:val="112"/>
        <w:rPr>
          <w:color w:val="auto"/>
        </w:rPr>
      </w:pPr>
    </w:p>
    <w:p w14:paraId="29B939CA" w14:textId="60861F3B" w:rsidR="00AB16E8" w:rsidRPr="00E869A4" w:rsidRDefault="001F077F" w:rsidP="00B00F63">
      <w:pPr>
        <w:rPr>
          <w:rFonts w:ascii="Times New Roman" w:hAnsi="Times New Roman" w:cs="Times New Roman"/>
          <w:szCs w:val="24"/>
        </w:rPr>
      </w:pPr>
      <w:r w:rsidRPr="00E869A4">
        <w:rPr>
          <w:rFonts w:ascii="Times New Roman" w:hAnsi="Times New Roman" w:cs="Times New Roman"/>
          <w:szCs w:val="24"/>
        </w:rPr>
        <w:t>A</w:t>
      </w:r>
      <w:r w:rsidR="00B00FF4" w:rsidRPr="00E869A4">
        <w:rPr>
          <w:rFonts w:ascii="Times New Roman" w:hAnsi="Times New Roman" w:cs="Times New Roman"/>
          <w:szCs w:val="24"/>
        </w:rPr>
        <w:t xml:space="preserve"> key</w:t>
      </w:r>
      <w:r w:rsidRPr="00E869A4">
        <w:rPr>
          <w:rFonts w:ascii="Times New Roman" w:hAnsi="Times New Roman" w:cs="Times New Roman"/>
          <w:szCs w:val="24"/>
        </w:rPr>
        <w:t xml:space="preserve"> way in which care may be identified is by the time devoted to </w:t>
      </w:r>
      <w:r w:rsidR="00BA5325" w:rsidRPr="00E869A4">
        <w:rPr>
          <w:rFonts w:ascii="Times New Roman" w:hAnsi="Times New Roman" w:cs="Times New Roman"/>
          <w:szCs w:val="24"/>
        </w:rPr>
        <w:t xml:space="preserve">helping an </w:t>
      </w:r>
      <w:r w:rsidR="00B00FF4" w:rsidRPr="00E869A4">
        <w:rPr>
          <w:rFonts w:ascii="Times New Roman" w:hAnsi="Times New Roman" w:cs="Times New Roman"/>
          <w:szCs w:val="24"/>
        </w:rPr>
        <w:t>individual</w:t>
      </w:r>
      <w:r w:rsidR="00BA5325" w:rsidRPr="00E869A4">
        <w:rPr>
          <w:rFonts w:ascii="Times New Roman" w:hAnsi="Times New Roman" w:cs="Times New Roman"/>
          <w:szCs w:val="24"/>
        </w:rPr>
        <w:t xml:space="preserve"> in need of support</w:t>
      </w:r>
      <w:r w:rsidRPr="00E869A4">
        <w:rPr>
          <w:rFonts w:ascii="Times New Roman" w:hAnsi="Times New Roman" w:cs="Times New Roman"/>
          <w:szCs w:val="24"/>
        </w:rPr>
        <w:t xml:space="preserve">. Time allocation may be computed by </w:t>
      </w:r>
      <w:r w:rsidR="00B00F63" w:rsidRPr="00E869A4">
        <w:rPr>
          <w:rFonts w:ascii="Times New Roman" w:hAnsi="Times New Roman" w:cs="Times New Roman"/>
          <w:szCs w:val="24"/>
        </w:rPr>
        <w:t xml:space="preserve">the </w:t>
      </w:r>
      <w:r w:rsidRPr="00E869A4">
        <w:rPr>
          <w:rFonts w:ascii="Times New Roman" w:hAnsi="Times New Roman" w:cs="Times New Roman"/>
          <w:szCs w:val="24"/>
        </w:rPr>
        <w:t>number of hours spent caring, or, by the use of ordinal categories such as every day or every week. The period over which care is provided i.e. the duration of care</w:t>
      </w:r>
      <w:r w:rsidR="00B00FF4" w:rsidRPr="00E869A4">
        <w:rPr>
          <w:rFonts w:ascii="Times New Roman" w:hAnsi="Times New Roman" w:cs="Times New Roman"/>
          <w:szCs w:val="24"/>
        </w:rPr>
        <w:t>,</w:t>
      </w:r>
      <w:r w:rsidRPr="00E869A4">
        <w:rPr>
          <w:rFonts w:ascii="Times New Roman" w:hAnsi="Times New Roman" w:cs="Times New Roman"/>
          <w:szCs w:val="24"/>
        </w:rPr>
        <w:t xml:space="preserve"> may also be used to identify caregiving (e.g. at least three months). The type of care provided to an older relative may </w:t>
      </w:r>
      <w:r w:rsidR="00B00FF4" w:rsidRPr="00E869A4">
        <w:rPr>
          <w:rFonts w:ascii="Times New Roman" w:hAnsi="Times New Roman" w:cs="Times New Roman"/>
          <w:szCs w:val="24"/>
        </w:rPr>
        <w:t xml:space="preserve">also </w:t>
      </w:r>
      <w:r w:rsidRPr="00E869A4">
        <w:rPr>
          <w:rFonts w:ascii="Times New Roman" w:hAnsi="Times New Roman" w:cs="Times New Roman"/>
          <w:szCs w:val="24"/>
        </w:rPr>
        <w:t xml:space="preserve">vary over time. </w:t>
      </w:r>
    </w:p>
    <w:p w14:paraId="03322EC7" w14:textId="77777777" w:rsidR="00B80022" w:rsidRPr="00E869A4" w:rsidRDefault="00B80022" w:rsidP="006E1A0C">
      <w:pPr>
        <w:ind w:firstLine="0"/>
        <w:rPr>
          <w:rFonts w:ascii="Times New Roman" w:hAnsi="Times New Roman" w:cs="Times New Roman"/>
          <w:szCs w:val="24"/>
        </w:rPr>
      </w:pPr>
    </w:p>
    <w:p w14:paraId="6E6BC3CB" w14:textId="4DDAD16F" w:rsidR="006E1A0C" w:rsidRPr="00E869A4" w:rsidRDefault="00870185" w:rsidP="001144E6">
      <w:pPr>
        <w:rPr>
          <w:rFonts w:ascii="Times New Roman" w:hAnsi="Times New Roman" w:cs="Times New Roman"/>
          <w:szCs w:val="24"/>
        </w:rPr>
      </w:pPr>
      <w:r w:rsidRPr="00E869A4">
        <w:rPr>
          <w:rFonts w:ascii="Times New Roman" w:hAnsi="Times New Roman" w:cs="Times New Roman"/>
          <w:szCs w:val="24"/>
        </w:rPr>
        <w:t>Nolan, Keady &amp; Grant</w:t>
      </w:r>
      <w:r w:rsidR="001F077F" w:rsidRPr="00E869A4">
        <w:rPr>
          <w:rFonts w:ascii="Times New Roman" w:hAnsi="Times New Roman" w:cs="Times New Roman"/>
          <w:szCs w:val="24"/>
        </w:rPr>
        <w:t xml:space="preserve"> (1995)</w:t>
      </w:r>
      <w:r w:rsidR="00D87DF4" w:rsidRPr="00E869A4">
        <w:rPr>
          <w:rFonts w:ascii="Times New Roman" w:hAnsi="Times New Roman" w:cs="Times New Roman"/>
          <w:szCs w:val="24"/>
        </w:rPr>
        <w:t>,</w:t>
      </w:r>
      <w:r w:rsidR="001F077F" w:rsidRPr="00E869A4">
        <w:rPr>
          <w:rFonts w:ascii="Times New Roman" w:hAnsi="Times New Roman" w:cs="Times New Roman"/>
          <w:szCs w:val="24"/>
        </w:rPr>
        <w:t xml:space="preserve"> identified eight chronological phases of care</w:t>
      </w:r>
      <w:r w:rsidR="001F077F" w:rsidRPr="00E869A4">
        <w:rPr>
          <w:rStyle w:val="FootnoteReference"/>
          <w:rFonts w:ascii="Times New Roman" w:hAnsi="Times New Roman" w:cs="Times New Roman"/>
          <w:szCs w:val="24"/>
        </w:rPr>
        <w:footnoteReference w:id="26"/>
      </w:r>
      <w:r w:rsidR="001F077F" w:rsidRPr="00E869A4">
        <w:rPr>
          <w:rFonts w:ascii="Times New Roman" w:hAnsi="Times New Roman" w:cs="Times New Roman"/>
          <w:szCs w:val="24"/>
        </w:rPr>
        <w:t xml:space="preserve">: 1) </w:t>
      </w:r>
      <w:r w:rsidR="001F077F" w:rsidRPr="00E869A4">
        <w:rPr>
          <w:rFonts w:ascii="Times New Roman" w:hAnsi="Times New Roman" w:cs="Times New Roman"/>
          <w:i/>
          <w:iCs/>
          <w:szCs w:val="24"/>
        </w:rPr>
        <w:t>anticipatory</w:t>
      </w:r>
      <w:r w:rsidR="001F077F" w:rsidRPr="00E869A4">
        <w:rPr>
          <w:rFonts w:ascii="Times New Roman" w:hAnsi="Times New Roman" w:cs="Times New Roman"/>
          <w:i/>
          <w:szCs w:val="24"/>
        </w:rPr>
        <w:t xml:space="preserve"> </w:t>
      </w:r>
      <w:r w:rsidR="001F077F" w:rsidRPr="00E869A4">
        <w:rPr>
          <w:rFonts w:ascii="Times New Roman" w:hAnsi="Times New Roman" w:cs="Times New Roman"/>
          <w:i/>
          <w:iCs/>
          <w:szCs w:val="24"/>
        </w:rPr>
        <w:t>care</w:t>
      </w:r>
      <w:r w:rsidR="001F077F" w:rsidRPr="00E869A4">
        <w:rPr>
          <w:rStyle w:val="FootnoteReference"/>
          <w:rFonts w:ascii="Times New Roman" w:hAnsi="Times New Roman" w:cs="Times New Roman"/>
          <w:i/>
          <w:szCs w:val="24"/>
        </w:rPr>
        <w:footnoteReference w:id="27"/>
      </w:r>
      <w:r w:rsidR="001F077F" w:rsidRPr="00E869A4">
        <w:rPr>
          <w:rFonts w:ascii="Times New Roman" w:hAnsi="Times New Roman" w:cs="Times New Roman"/>
          <w:szCs w:val="24"/>
        </w:rPr>
        <w:t xml:space="preserve"> </w:t>
      </w:r>
      <w:r w:rsidR="004E557A" w:rsidRPr="00E869A4">
        <w:rPr>
          <w:rFonts w:ascii="Times New Roman" w:hAnsi="Times New Roman" w:cs="Times New Roman"/>
          <w:szCs w:val="24"/>
        </w:rPr>
        <w:t>–</w:t>
      </w:r>
      <w:r w:rsidR="00D87DF4" w:rsidRPr="00E869A4">
        <w:rPr>
          <w:rFonts w:ascii="Times New Roman" w:hAnsi="Times New Roman" w:cs="Times New Roman"/>
          <w:szCs w:val="24"/>
        </w:rPr>
        <w:t xml:space="preserve"> </w:t>
      </w:r>
      <w:r w:rsidR="001F077F" w:rsidRPr="00E869A4">
        <w:rPr>
          <w:rFonts w:ascii="Times New Roman" w:hAnsi="Times New Roman" w:cs="Times New Roman"/>
          <w:szCs w:val="24"/>
        </w:rPr>
        <w:t xml:space="preserve">occurs before other forms of care are needed; 2) </w:t>
      </w:r>
      <w:r w:rsidR="001F077F" w:rsidRPr="00E869A4">
        <w:rPr>
          <w:rFonts w:ascii="Times New Roman" w:hAnsi="Times New Roman" w:cs="Times New Roman"/>
          <w:i/>
          <w:iCs/>
          <w:szCs w:val="24"/>
        </w:rPr>
        <w:t>preventive</w:t>
      </w:r>
      <w:r w:rsidR="001F077F" w:rsidRPr="00E869A4">
        <w:rPr>
          <w:rFonts w:ascii="Times New Roman" w:hAnsi="Times New Roman" w:cs="Times New Roman"/>
          <w:i/>
          <w:szCs w:val="24"/>
        </w:rPr>
        <w:t xml:space="preserve"> </w:t>
      </w:r>
      <w:r w:rsidR="001F077F" w:rsidRPr="00E869A4">
        <w:rPr>
          <w:rFonts w:ascii="Times New Roman" w:hAnsi="Times New Roman" w:cs="Times New Roman"/>
          <w:i/>
          <w:iCs/>
          <w:szCs w:val="24"/>
        </w:rPr>
        <w:t>care</w:t>
      </w:r>
      <w:r w:rsidR="001F077F" w:rsidRPr="00E869A4">
        <w:rPr>
          <w:rFonts w:ascii="Times New Roman" w:hAnsi="Times New Roman" w:cs="Times New Roman"/>
          <w:szCs w:val="24"/>
        </w:rPr>
        <w:t xml:space="preserve"> </w:t>
      </w:r>
      <w:bookmarkStart w:id="145" w:name="_Hlk27734487"/>
      <w:r w:rsidR="001F077F" w:rsidRPr="00E869A4">
        <w:rPr>
          <w:rFonts w:ascii="Times New Roman" w:hAnsi="Times New Roman" w:cs="Times New Roman"/>
          <w:szCs w:val="24"/>
        </w:rPr>
        <w:t>–</w:t>
      </w:r>
      <w:bookmarkEnd w:id="145"/>
      <w:r w:rsidR="001F077F" w:rsidRPr="00E869A4">
        <w:rPr>
          <w:rFonts w:ascii="Times New Roman" w:hAnsi="Times New Roman" w:cs="Times New Roman"/>
          <w:szCs w:val="24"/>
        </w:rPr>
        <w:t xml:space="preserve"> monitoring at a distance such as subtle checks to see if a medication regime or diet is being followed without necessarily making the cared for person aware); 3) </w:t>
      </w:r>
      <w:r w:rsidR="001F077F" w:rsidRPr="00E869A4">
        <w:rPr>
          <w:rFonts w:ascii="Times New Roman" w:hAnsi="Times New Roman" w:cs="Times New Roman"/>
          <w:i/>
          <w:iCs/>
          <w:szCs w:val="24"/>
        </w:rPr>
        <w:t>supervisory</w:t>
      </w:r>
      <w:r w:rsidR="001F077F" w:rsidRPr="00E869A4">
        <w:rPr>
          <w:rFonts w:ascii="Times New Roman" w:hAnsi="Times New Roman" w:cs="Times New Roman"/>
          <w:i/>
          <w:szCs w:val="24"/>
        </w:rPr>
        <w:t xml:space="preserve"> </w:t>
      </w:r>
      <w:r w:rsidR="001F077F" w:rsidRPr="00E869A4">
        <w:rPr>
          <w:rFonts w:ascii="Times New Roman" w:hAnsi="Times New Roman" w:cs="Times New Roman"/>
          <w:i/>
          <w:iCs/>
          <w:szCs w:val="24"/>
        </w:rPr>
        <w:t>care</w:t>
      </w:r>
      <w:r w:rsidR="001F077F" w:rsidRPr="00E869A4">
        <w:rPr>
          <w:rFonts w:ascii="Times New Roman" w:hAnsi="Times New Roman" w:cs="Times New Roman"/>
          <w:szCs w:val="24"/>
        </w:rPr>
        <w:t xml:space="preserve"> – direct monitoring of care and interventions; 4) </w:t>
      </w:r>
      <w:r w:rsidR="001F077F" w:rsidRPr="00E869A4">
        <w:rPr>
          <w:rFonts w:ascii="Times New Roman" w:hAnsi="Times New Roman" w:cs="Times New Roman"/>
          <w:i/>
          <w:iCs/>
          <w:szCs w:val="24"/>
        </w:rPr>
        <w:t>instrumental</w:t>
      </w:r>
      <w:r w:rsidR="001F077F" w:rsidRPr="00E869A4">
        <w:rPr>
          <w:rFonts w:ascii="Times New Roman" w:hAnsi="Times New Roman" w:cs="Times New Roman"/>
          <w:i/>
          <w:szCs w:val="24"/>
        </w:rPr>
        <w:t xml:space="preserve"> </w:t>
      </w:r>
      <w:r w:rsidR="001F077F" w:rsidRPr="00E869A4">
        <w:rPr>
          <w:rFonts w:ascii="Times New Roman" w:hAnsi="Times New Roman" w:cs="Times New Roman"/>
          <w:i/>
          <w:iCs/>
          <w:szCs w:val="24"/>
        </w:rPr>
        <w:t>care</w:t>
      </w:r>
      <w:r w:rsidR="001F077F" w:rsidRPr="00E869A4">
        <w:rPr>
          <w:rFonts w:ascii="Times New Roman" w:hAnsi="Times New Roman" w:cs="Times New Roman"/>
          <w:szCs w:val="24"/>
        </w:rPr>
        <w:t xml:space="preserve"> – h</w:t>
      </w:r>
      <w:r w:rsidR="00D87DF4" w:rsidRPr="00E869A4">
        <w:rPr>
          <w:rFonts w:ascii="Times New Roman" w:hAnsi="Times New Roman" w:cs="Times New Roman"/>
          <w:szCs w:val="24"/>
        </w:rPr>
        <w:t>elping with ADLs and/or IADLs</w:t>
      </w:r>
      <w:r w:rsidR="001F077F" w:rsidRPr="00E869A4">
        <w:rPr>
          <w:rStyle w:val="FootnoteReference"/>
          <w:rFonts w:ascii="Times New Roman" w:hAnsi="Times New Roman" w:cs="Times New Roman"/>
          <w:szCs w:val="24"/>
        </w:rPr>
        <w:footnoteReference w:id="28"/>
      </w:r>
      <w:r w:rsidR="001F077F" w:rsidRPr="00E869A4">
        <w:rPr>
          <w:rFonts w:ascii="Times New Roman" w:hAnsi="Times New Roman" w:cs="Times New Roman"/>
          <w:szCs w:val="24"/>
        </w:rPr>
        <w:t xml:space="preserve">; 5) </w:t>
      </w:r>
      <w:r w:rsidR="001F077F" w:rsidRPr="00E869A4">
        <w:rPr>
          <w:rFonts w:ascii="Times New Roman" w:hAnsi="Times New Roman" w:cs="Times New Roman"/>
          <w:i/>
          <w:iCs/>
          <w:szCs w:val="24"/>
        </w:rPr>
        <w:t>protective</w:t>
      </w:r>
      <w:r w:rsidR="001F077F" w:rsidRPr="00E869A4">
        <w:rPr>
          <w:rFonts w:ascii="Times New Roman" w:hAnsi="Times New Roman" w:cs="Times New Roman"/>
          <w:i/>
          <w:szCs w:val="24"/>
        </w:rPr>
        <w:t xml:space="preserve"> </w:t>
      </w:r>
      <w:r w:rsidR="001F077F" w:rsidRPr="00E869A4">
        <w:rPr>
          <w:rFonts w:ascii="Times New Roman" w:hAnsi="Times New Roman" w:cs="Times New Roman"/>
          <w:i/>
          <w:iCs/>
          <w:szCs w:val="24"/>
        </w:rPr>
        <w:t>care</w:t>
      </w:r>
      <w:r w:rsidR="001F077F" w:rsidRPr="00E869A4">
        <w:rPr>
          <w:rFonts w:ascii="Times New Roman" w:hAnsi="Times New Roman" w:cs="Times New Roman"/>
          <w:i/>
          <w:szCs w:val="24"/>
        </w:rPr>
        <w:t xml:space="preserve"> </w:t>
      </w:r>
      <w:r w:rsidR="001F077F" w:rsidRPr="00E869A4">
        <w:rPr>
          <w:rFonts w:ascii="Times New Roman" w:hAnsi="Times New Roman" w:cs="Times New Roman"/>
          <w:szCs w:val="24"/>
        </w:rPr>
        <w:t xml:space="preserve">– this is care which seeks to protect the cared-for person from the knowledge of their increasing dependency and maximise the extent to which the older person perceives themselves as independent in the short term so as to maintain their self-esteem and self-worth; 6) </w:t>
      </w:r>
      <w:r w:rsidR="001F077F" w:rsidRPr="00E869A4">
        <w:rPr>
          <w:rFonts w:ascii="Times New Roman" w:hAnsi="Times New Roman" w:cs="Times New Roman"/>
          <w:i/>
          <w:iCs/>
          <w:szCs w:val="24"/>
        </w:rPr>
        <w:t>preservative</w:t>
      </w:r>
      <w:r w:rsidR="001F077F" w:rsidRPr="00E869A4">
        <w:rPr>
          <w:rFonts w:ascii="Times New Roman" w:hAnsi="Times New Roman" w:cs="Times New Roman"/>
          <w:i/>
          <w:szCs w:val="24"/>
        </w:rPr>
        <w:t xml:space="preserve"> </w:t>
      </w:r>
      <w:r w:rsidR="001F077F" w:rsidRPr="00E869A4">
        <w:rPr>
          <w:rFonts w:ascii="Times New Roman" w:hAnsi="Times New Roman" w:cs="Times New Roman"/>
          <w:i/>
          <w:iCs/>
          <w:szCs w:val="24"/>
        </w:rPr>
        <w:t>care</w:t>
      </w:r>
      <w:r w:rsidR="001F077F" w:rsidRPr="00E869A4">
        <w:rPr>
          <w:rFonts w:ascii="Times New Roman" w:hAnsi="Times New Roman" w:cs="Times New Roman"/>
          <w:szCs w:val="24"/>
        </w:rPr>
        <w:t xml:space="preserve"> – care efforts directed at preserving the cared-for person's sense of self, belonging, dignity, hope and control in the long term even in the face of increasing physical and/or mental </w:t>
      </w:r>
      <w:r w:rsidR="001F077F" w:rsidRPr="00E869A4">
        <w:rPr>
          <w:rFonts w:ascii="Times New Roman" w:hAnsi="Times New Roman" w:cs="Times New Roman"/>
          <w:szCs w:val="24"/>
        </w:rPr>
        <w:lastRenderedPageBreak/>
        <w:t>decline</w:t>
      </w:r>
      <w:r w:rsidR="001F077F" w:rsidRPr="00E869A4">
        <w:rPr>
          <w:rStyle w:val="FootnoteReference"/>
          <w:rFonts w:ascii="Times New Roman" w:hAnsi="Times New Roman" w:cs="Times New Roman"/>
          <w:szCs w:val="24"/>
        </w:rPr>
        <w:footnoteReference w:id="29"/>
      </w:r>
      <w:r w:rsidR="001F077F" w:rsidRPr="00E869A4">
        <w:rPr>
          <w:rFonts w:ascii="Times New Roman" w:hAnsi="Times New Roman" w:cs="Times New Roman"/>
          <w:szCs w:val="24"/>
        </w:rPr>
        <w:t xml:space="preserve">; 7) </w:t>
      </w:r>
      <w:r w:rsidR="001F077F" w:rsidRPr="00E869A4">
        <w:rPr>
          <w:rFonts w:ascii="Times New Roman" w:hAnsi="Times New Roman" w:cs="Times New Roman"/>
          <w:i/>
          <w:iCs/>
          <w:szCs w:val="24"/>
        </w:rPr>
        <w:t>(re)constructive</w:t>
      </w:r>
      <w:r w:rsidR="001F077F" w:rsidRPr="00E869A4">
        <w:rPr>
          <w:rFonts w:ascii="Times New Roman" w:hAnsi="Times New Roman" w:cs="Times New Roman"/>
          <w:i/>
          <w:szCs w:val="24"/>
        </w:rPr>
        <w:t xml:space="preserve"> </w:t>
      </w:r>
      <w:r w:rsidR="001F077F" w:rsidRPr="00E869A4">
        <w:rPr>
          <w:rFonts w:ascii="Times New Roman" w:hAnsi="Times New Roman" w:cs="Times New Roman"/>
          <w:i/>
          <w:iCs/>
          <w:szCs w:val="24"/>
        </w:rPr>
        <w:t>care</w:t>
      </w:r>
      <w:r w:rsidR="001F077F" w:rsidRPr="00E869A4">
        <w:rPr>
          <w:rFonts w:ascii="Times New Roman" w:hAnsi="Times New Roman" w:cs="Times New Roman"/>
          <w:szCs w:val="24"/>
        </w:rPr>
        <w:t xml:space="preserve"> – actively helping the cared-for person develop new and valued roles; and</w:t>
      </w:r>
      <w:r w:rsidR="001144E6" w:rsidRPr="00E869A4">
        <w:rPr>
          <w:rFonts w:ascii="Times New Roman" w:hAnsi="Times New Roman" w:cs="Times New Roman"/>
          <w:szCs w:val="24"/>
        </w:rPr>
        <w:t>,</w:t>
      </w:r>
      <w:r w:rsidR="001F077F" w:rsidRPr="00E869A4">
        <w:rPr>
          <w:rFonts w:ascii="Times New Roman" w:hAnsi="Times New Roman" w:cs="Times New Roman"/>
          <w:szCs w:val="24"/>
        </w:rPr>
        <w:t xml:space="preserve"> 8) </w:t>
      </w:r>
      <w:r w:rsidR="001F077F" w:rsidRPr="00E869A4">
        <w:rPr>
          <w:rFonts w:ascii="Times New Roman" w:hAnsi="Times New Roman" w:cs="Times New Roman"/>
          <w:i/>
          <w:iCs/>
          <w:szCs w:val="24"/>
        </w:rPr>
        <w:t>reciprocal</w:t>
      </w:r>
      <w:r w:rsidR="001F077F" w:rsidRPr="00E869A4">
        <w:rPr>
          <w:rFonts w:ascii="Times New Roman" w:hAnsi="Times New Roman" w:cs="Times New Roman"/>
          <w:i/>
          <w:szCs w:val="24"/>
        </w:rPr>
        <w:t xml:space="preserve"> </w:t>
      </w:r>
      <w:r w:rsidR="001F077F" w:rsidRPr="00E869A4">
        <w:rPr>
          <w:rFonts w:ascii="Times New Roman" w:hAnsi="Times New Roman" w:cs="Times New Roman"/>
          <w:i/>
          <w:iCs/>
          <w:szCs w:val="24"/>
        </w:rPr>
        <w:t>care</w:t>
      </w:r>
      <w:r w:rsidR="001F077F" w:rsidRPr="00E869A4">
        <w:rPr>
          <w:rFonts w:ascii="Times New Roman" w:hAnsi="Times New Roman" w:cs="Times New Roman"/>
          <w:szCs w:val="24"/>
        </w:rPr>
        <w:t xml:space="preserve"> </w:t>
      </w:r>
      <w:bookmarkStart w:id="146" w:name="_Hlk27734699"/>
      <w:r w:rsidR="001F077F" w:rsidRPr="00E869A4">
        <w:rPr>
          <w:rFonts w:ascii="Times New Roman" w:hAnsi="Times New Roman" w:cs="Times New Roman"/>
          <w:szCs w:val="24"/>
        </w:rPr>
        <w:t xml:space="preserve">– </w:t>
      </w:r>
      <w:bookmarkEnd w:id="146"/>
      <w:r w:rsidR="001F077F" w:rsidRPr="00E869A4">
        <w:rPr>
          <w:rFonts w:ascii="Times New Roman" w:hAnsi="Times New Roman" w:cs="Times New Roman"/>
          <w:szCs w:val="24"/>
        </w:rPr>
        <w:t>refers to the diffuse and subtle reciprocity that occurs in the majority of caregiving relationships at the financial, material and psychological levels</w:t>
      </w:r>
      <w:r w:rsidR="001F077F" w:rsidRPr="00E869A4">
        <w:rPr>
          <w:rStyle w:val="FootnoteReference"/>
          <w:rFonts w:ascii="Times New Roman" w:hAnsi="Times New Roman" w:cs="Times New Roman"/>
          <w:szCs w:val="24"/>
        </w:rPr>
        <w:footnoteReference w:id="30"/>
      </w:r>
      <w:r w:rsidR="001F077F" w:rsidRPr="00E869A4">
        <w:rPr>
          <w:rFonts w:ascii="Times New Roman" w:hAnsi="Times New Roman" w:cs="Times New Roman"/>
          <w:szCs w:val="24"/>
        </w:rPr>
        <w:t xml:space="preserve">. </w:t>
      </w:r>
      <w:r w:rsidRPr="00E869A4">
        <w:rPr>
          <w:rFonts w:ascii="Times New Roman" w:hAnsi="Times New Roman" w:cs="Times New Roman"/>
          <w:szCs w:val="24"/>
        </w:rPr>
        <w:t xml:space="preserve">Nolan, Keady &amp; Grant </w:t>
      </w:r>
      <w:r w:rsidR="001F077F" w:rsidRPr="00E869A4">
        <w:rPr>
          <w:rFonts w:ascii="Times New Roman" w:hAnsi="Times New Roman" w:cs="Times New Roman"/>
          <w:szCs w:val="24"/>
        </w:rPr>
        <w:t>suggest</w:t>
      </w:r>
      <w:r w:rsidR="00B00FF4" w:rsidRPr="00E869A4">
        <w:rPr>
          <w:rFonts w:ascii="Times New Roman" w:hAnsi="Times New Roman" w:cs="Times New Roman"/>
          <w:szCs w:val="24"/>
        </w:rPr>
        <w:t>ed</w:t>
      </w:r>
      <w:r w:rsidR="001F077F" w:rsidRPr="00E869A4">
        <w:rPr>
          <w:rFonts w:ascii="Times New Roman" w:hAnsi="Times New Roman" w:cs="Times New Roman"/>
          <w:szCs w:val="24"/>
        </w:rPr>
        <w:t xml:space="preserve"> that these phases and types of </w:t>
      </w:r>
      <w:r w:rsidR="003E15BC" w:rsidRPr="00E869A4">
        <w:rPr>
          <w:rFonts w:ascii="Times New Roman" w:hAnsi="Times New Roman" w:cs="Times New Roman"/>
          <w:szCs w:val="24"/>
        </w:rPr>
        <w:t>care</w:t>
      </w:r>
      <w:r w:rsidR="002129C0" w:rsidRPr="00E869A4">
        <w:rPr>
          <w:rFonts w:ascii="Times New Roman" w:hAnsi="Times New Roman" w:cs="Times New Roman"/>
          <w:szCs w:val="24"/>
        </w:rPr>
        <w:t xml:space="preserve"> “</w:t>
      </w:r>
      <w:r w:rsidR="003E15BC" w:rsidRPr="00E869A4">
        <w:rPr>
          <w:rFonts w:ascii="Times New Roman" w:hAnsi="Times New Roman" w:cs="Times New Roman"/>
        </w:rPr>
        <w:t>can</w:t>
      </w:r>
      <w:r w:rsidR="001F077F" w:rsidRPr="00E869A4">
        <w:rPr>
          <w:rFonts w:ascii="Times New Roman" w:hAnsi="Times New Roman" w:cs="Times New Roman"/>
        </w:rPr>
        <w:t xml:space="preserve"> be thought of as forming a continuum on the basis of their actual usefulness, ranging from facilitative interventions, through contributory interventions and inhibitory interventi</w:t>
      </w:r>
      <w:r w:rsidR="005A7238" w:rsidRPr="00E869A4">
        <w:rPr>
          <w:rFonts w:ascii="Times New Roman" w:hAnsi="Times New Roman" w:cs="Times New Roman"/>
        </w:rPr>
        <w:t>ons to obstructive intervention</w:t>
      </w:r>
      <w:r w:rsidR="003E15BC" w:rsidRPr="00E869A4">
        <w:rPr>
          <w:rFonts w:ascii="Times New Roman" w:hAnsi="Times New Roman" w:cs="Times New Roman"/>
          <w:szCs w:val="24"/>
        </w:rPr>
        <w:t>.</w:t>
      </w:r>
      <w:r w:rsidR="002129C0" w:rsidRPr="00E869A4">
        <w:rPr>
          <w:rFonts w:ascii="Times New Roman" w:hAnsi="Times New Roman" w:cs="Times New Roman"/>
          <w:szCs w:val="24"/>
        </w:rPr>
        <w:t>”</w:t>
      </w:r>
      <w:r w:rsidR="001F077F" w:rsidRPr="00E869A4">
        <w:rPr>
          <w:rFonts w:ascii="Times New Roman" w:hAnsi="Times New Roman" w:cs="Times New Roman"/>
          <w:i/>
        </w:rPr>
        <w:t xml:space="preserve"> </w:t>
      </w:r>
      <w:r w:rsidR="002129C0" w:rsidRPr="00E869A4">
        <w:rPr>
          <w:rFonts w:ascii="Times New Roman" w:hAnsi="Times New Roman" w:cs="Times New Roman"/>
        </w:rPr>
        <w:t>(</w:t>
      </w:r>
      <w:r w:rsidR="002129C0" w:rsidRPr="00E869A4">
        <w:rPr>
          <w:rFonts w:ascii="Times New Roman" w:hAnsi="Times New Roman" w:cs="Times New Roman"/>
          <w:szCs w:val="24"/>
        </w:rPr>
        <w:t>Nolan, Keady &amp; Grant 1995, p. 260).</w:t>
      </w:r>
      <w:r w:rsidR="001144E6" w:rsidRPr="00E869A4">
        <w:rPr>
          <w:rFonts w:ascii="Times New Roman" w:hAnsi="Times New Roman" w:cs="Times New Roman"/>
          <w:szCs w:val="24"/>
        </w:rPr>
        <w:t xml:space="preserve"> </w:t>
      </w:r>
      <w:r w:rsidR="001F077F" w:rsidRPr="00E869A4">
        <w:rPr>
          <w:rFonts w:ascii="Times New Roman" w:hAnsi="Times New Roman" w:cs="Times New Roman"/>
          <w:szCs w:val="24"/>
        </w:rPr>
        <w:t xml:space="preserve">They were also careful to note that these phases, in particular anticipatory care, may be more iterative than linear. </w:t>
      </w:r>
      <w:r w:rsidR="001F077F" w:rsidRPr="00746BDD">
        <w:rPr>
          <w:rFonts w:ascii="Times New Roman" w:hAnsi="Times New Roman" w:cs="Times New Roman"/>
          <w:szCs w:val="24"/>
        </w:rPr>
        <w:t>These phases of care are relevant to discussions on care management and coping strategies</w:t>
      </w:r>
      <w:r w:rsidR="00414D90">
        <w:rPr>
          <w:rFonts w:ascii="Times New Roman" w:hAnsi="Times New Roman" w:cs="Times New Roman"/>
          <w:szCs w:val="24"/>
        </w:rPr>
        <w:t>.</w:t>
      </w:r>
      <w:r w:rsidR="001F077F" w:rsidRPr="00E869A4">
        <w:rPr>
          <w:rFonts w:ascii="Times New Roman" w:hAnsi="Times New Roman" w:cs="Times New Roman"/>
          <w:szCs w:val="24"/>
        </w:rPr>
        <w:t xml:space="preserve"> </w:t>
      </w:r>
      <w:bookmarkStart w:id="147" w:name="_Toc505015372"/>
    </w:p>
    <w:p w14:paraId="48055D39" w14:textId="77777777" w:rsidR="00331CA5" w:rsidRPr="00E869A4" w:rsidRDefault="00331CA5" w:rsidP="00331CA5">
      <w:pPr>
        <w:ind w:firstLine="0"/>
        <w:rPr>
          <w:b/>
          <w:i/>
          <w:u w:val="single"/>
        </w:rPr>
      </w:pPr>
    </w:p>
    <w:p w14:paraId="2DA4B4EE" w14:textId="5CC0E05A" w:rsidR="001F077F" w:rsidRPr="00E869A4" w:rsidRDefault="001F077F" w:rsidP="00112260">
      <w:pPr>
        <w:pStyle w:val="Heading4"/>
      </w:pPr>
      <w:r w:rsidRPr="00E869A4">
        <w:t>Unusual Character of Support</w:t>
      </w:r>
      <w:bookmarkEnd w:id="147"/>
    </w:p>
    <w:p w14:paraId="29522AC5" w14:textId="77777777" w:rsidR="00B80022" w:rsidRPr="00E869A4" w:rsidRDefault="00B80022" w:rsidP="0004740E">
      <w:pPr>
        <w:rPr>
          <w:rFonts w:ascii="Times New Roman" w:hAnsi="Times New Roman" w:cs="Times New Roman"/>
          <w:szCs w:val="24"/>
        </w:rPr>
      </w:pPr>
    </w:p>
    <w:p w14:paraId="6BBC6D11" w14:textId="4817E6CC" w:rsidR="001F077F" w:rsidRPr="00E869A4" w:rsidRDefault="001F077F" w:rsidP="006E1A0C">
      <w:pPr>
        <w:rPr>
          <w:rFonts w:ascii="Times New Roman" w:hAnsi="Times New Roman" w:cs="Times New Roman"/>
        </w:rPr>
      </w:pPr>
      <w:r w:rsidRPr="00E869A4">
        <w:rPr>
          <w:rFonts w:ascii="Times New Roman" w:hAnsi="Times New Roman" w:cs="Times New Roman"/>
          <w:szCs w:val="24"/>
        </w:rPr>
        <w:t>A widely accepted way of distinguishing family care from other normative forms of assistance is that provided by Walker and colleagues (1995) who characterised family care as</w:t>
      </w:r>
      <w:r w:rsidR="00B00FF4" w:rsidRPr="00E869A4">
        <w:rPr>
          <w:rFonts w:ascii="Times New Roman" w:hAnsi="Times New Roman" w:cs="Times New Roman"/>
          <w:szCs w:val="24"/>
        </w:rPr>
        <w:t>,</w:t>
      </w:r>
      <w:r w:rsidRPr="00E869A4">
        <w:rPr>
          <w:rFonts w:ascii="Times New Roman" w:hAnsi="Times New Roman" w:cs="Times New Roman"/>
          <w:szCs w:val="24"/>
        </w:rPr>
        <w:t xml:space="preserve"> help that goes beyond the usual support provided by persons in a kinship relationship by virtue of the frequency and intensity of care</w:t>
      </w:r>
      <w:r w:rsidR="001144E6" w:rsidRPr="00E869A4">
        <w:rPr>
          <w:rFonts w:ascii="Times New Roman" w:hAnsi="Times New Roman" w:cs="Times New Roman"/>
          <w:szCs w:val="24"/>
        </w:rPr>
        <w:t xml:space="preserve"> (Barrett, Hale &amp; Butler 2014)</w:t>
      </w:r>
      <w:r w:rsidRPr="00E869A4">
        <w:rPr>
          <w:rFonts w:ascii="Times New Roman" w:hAnsi="Times New Roman" w:cs="Times New Roman"/>
          <w:szCs w:val="24"/>
        </w:rPr>
        <w:t>. However, it is not always easy for research participants to identify whether care is usual or unusual</w:t>
      </w:r>
      <w:r w:rsidR="001A0675" w:rsidRPr="00E869A4">
        <w:rPr>
          <w:rFonts w:ascii="Times New Roman" w:hAnsi="Times New Roman" w:cs="Times New Roman"/>
          <w:szCs w:val="24"/>
        </w:rPr>
        <w:t>,</w:t>
      </w:r>
      <w:r w:rsidRPr="00E869A4">
        <w:rPr>
          <w:rFonts w:ascii="Times New Roman" w:hAnsi="Times New Roman" w:cs="Times New Roman"/>
          <w:szCs w:val="24"/>
        </w:rPr>
        <w:t xml:space="preserve"> especially if the carer has provided assistance in various forms over a period </w:t>
      </w:r>
      <w:r w:rsidR="00FA47EB" w:rsidRPr="00E869A4">
        <w:rPr>
          <w:rFonts w:ascii="Times New Roman" w:hAnsi="Times New Roman" w:cs="Times New Roman"/>
          <w:szCs w:val="24"/>
        </w:rPr>
        <w:t>time</w:t>
      </w:r>
      <w:r w:rsidRPr="00E869A4">
        <w:rPr>
          <w:rFonts w:ascii="Times New Roman" w:hAnsi="Times New Roman" w:cs="Times New Roman"/>
          <w:szCs w:val="24"/>
        </w:rPr>
        <w:t xml:space="preserve"> or</w:t>
      </w:r>
      <w:r w:rsidR="00B00FF4" w:rsidRPr="00E869A4">
        <w:rPr>
          <w:rFonts w:ascii="Times New Roman" w:hAnsi="Times New Roman" w:cs="Times New Roman"/>
          <w:szCs w:val="24"/>
        </w:rPr>
        <w:t>,</w:t>
      </w:r>
      <w:r w:rsidRPr="00E869A4">
        <w:rPr>
          <w:rFonts w:ascii="Times New Roman" w:hAnsi="Times New Roman" w:cs="Times New Roman"/>
          <w:szCs w:val="24"/>
        </w:rPr>
        <w:t xml:space="preserve"> in instances where there is a gradual increase in the care needs of an older relative. As </w:t>
      </w:r>
      <w:r w:rsidR="001A0675" w:rsidRPr="00E869A4">
        <w:rPr>
          <w:rFonts w:ascii="Times New Roman" w:hAnsi="Times New Roman" w:cs="Times New Roman"/>
          <w:szCs w:val="24"/>
        </w:rPr>
        <w:t xml:space="preserve">Nolan, Keady </w:t>
      </w:r>
      <w:r w:rsidR="001144E6" w:rsidRPr="00E869A4">
        <w:rPr>
          <w:rFonts w:ascii="Times New Roman" w:hAnsi="Times New Roman" w:cs="Times New Roman"/>
          <w:szCs w:val="24"/>
        </w:rPr>
        <w:t>and</w:t>
      </w:r>
      <w:r w:rsidR="001A0675" w:rsidRPr="00E869A4">
        <w:rPr>
          <w:rFonts w:ascii="Times New Roman" w:hAnsi="Times New Roman" w:cs="Times New Roman"/>
          <w:szCs w:val="24"/>
        </w:rPr>
        <w:t xml:space="preserve"> Grant </w:t>
      </w:r>
      <w:r w:rsidRPr="00E869A4">
        <w:rPr>
          <w:rFonts w:ascii="Times New Roman" w:hAnsi="Times New Roman" w:cs="Times New Roman"/>
          <w:szCs w:val="24"/>
        </w:rPr>
        <w:t>observed</w:t>
      </w:r>
      <w:r w:rsidR="00331CA5" w:rsidRPr="00E869A4">
        <w:rPr>
          <w:rFonts w:ascii="Times New Roman" w:hAnsi="Times New Roman" w:cs="Times New Roman"/>
          <w:szCs w:val="24"/>
        </w:rPr>
        <w:t>,</w:t>
      </w:r>
      <w:r w:rsidRPr="00E869A4">
        <w:rPr>
          <w:rFonts w:ascii="Times New Roman" w:hAnsi="Times New Roman" w:cs="Times New Roman"/>
          <w:szCs w:val="24"/>
        </w:rPr>
        <w:t xml:space="preserve"> </w:t>
      </w:r>
      <w:r w:rsidRPr="00E869A4">
        <w:rPr>
          <w:rFonts w:ascii="Times New Roman" w:hAnsi="Times New Roman" w:cs="Times New Roman"/>
        </w:rPr>
        <w:t>“</w:t>
      </w:r>
      <w:r w:rsidR="00331CA5" w:rsidRPr="00E869A4">
        <w:rPr>
          <w:rFonts w:ascii="Times New Roman" w:hAnsi="Times New Roman" w:cs="Times New Roman"/>
        </w:rPr>
        <w:t>[o]</w:t>
      </w:r>
      <w:proofErr w:type="spellStart"/>
      <w:r w:rsidRPr="00E869A4">
        <w:rPr>
          <w:rFonts w:ascii="Times New Roman" w:hAnsi="Times New Roman" w:cs="Times New Roman"/>
        </w:rPr>
        <w:t>ne</w:t>
      </w:r>
      <w:proofErr w:type="spellEnd"/>
      <w:r w:rsidRPr="00E869A4">
        <w:rPr>
          <w:rFonts w:ascii="Times New Roman" w:hAnsi="Times New Roman" w:cs="Times New Roman"/>
        </w:rPr>
        <w:t xml:space="preserve"> of the conceptual problems about defining care is that it is both a part of and an extension of a range of supportive behaviours between individuals</w:t>
      </w:r>
      <w:r w:rsidR="00A721FF" w:rsidRPr="00E869A4">
        <w:rPr>
          <w:rFonts w:ascii="Times New Roman" w:hAnsi="Times New Roman" w:cs="Times New Roman"/>
        </w:rPr>
        <w:t>.</w:t>
      </w:r>
      <w:r w:rsidRPr="00E869A4">
        <w:rPr>
          <w:rFonts w:ascii="Times New Roman" w:hAnsi="Times New Roman" w:cs="Times New Roman"/>
        </w:rPr>
        <w:t>”</w:t>
      </w:r>
      <w:r w:rsidR="00331CA5" w:rsidRPr="00E869A4">
        <w:rPr>
          <w:rFonts w:ascii="Times New Roman" w:hAnsi="Times New Roman" w:cs="Times New Roman"/>
        </w:rPr>
        <w:t xml:space="preserve"> (</w:t>
      </w:r>
      <w:r w:rsidR="00331CA5" w:rsidRPr="00E869A4">
        <w:rPr>
          <w:rFonts w:ascii="Times New Roman" w:hAnsi="Times New Roman" w:cs="Times New Roman"/>
          <w:szCs w:val="24"/>
        </w:rPr>
        <w:t>Nolan, Keady &amp; Grant 1995, p. 257).</w:t>
      </w:r>
    </w:p>
    <w:p w14:paraId="36B10443" w14:textId="77777777" w:rsidR="00952F46" w:rsidRPr="00E869A4" w:rsidRDefault="00952F46" w:rsidP="00A35FF8">
      <w:pPr>
        <w:ind w:left="720"/>
        <w:rPr>
          <w:rFonts w:ascii="Times New Roman" w:hAnsi="Times New Roman" w:cs="Times New Roman"/>
          <w:szCs w:val="24"/>
        </w:rPr>
      </w:pPr>
    </w:p>
    <w:p w14:paraId="3FFD4526" w14:textId="44DDD749" w:rsidR="001F077F" w:rsidRPr="00E869A4" w:rsidRDefault="001F077F" w:rsidP="00A35FF8">
      <w:pPr>
        <w:rPr>
          <w:rFonts w:ascii="Times New Roman" w:hAnsi="Times New Roman" w:cs="Times New Roman"/>
          <w:szCs w:val="24"/>
        </w:rPr>
      </w:pPr>
      <w:r w:rsidRPr="00E869A4">
        <w:rPr>
          <w:rFonts w:ascii="Times New Roman" w:hAnsi="Times New Roman" w:cs="Times New Roman"/>
          <w:szCs w:val="24"/>
        </w:rPr>
        <w:t>In an effort to resolve the</w:t>
      </w:r>
      <w:r w:rsidR="006E1A0C" w:rsidRPr="00E869A4">
        <w:rPr>
          <w:rFonts w:ascii="Times New Roman" w:hAnsi="Times New Roman" w:cs="Times New Roman"/>
          <w:szCs w:val="24"/>
        </w:rPr>
        <w:t>se issues, some researchers cho</w:t>
      </w:r>
      <w:r w:rsidRPr="00E869A4">
        <w:rPr>
          <w:rFonts w:ascii="Times New Roman" w:hAnsi="Times New Roman" w:cs="Times New Roman"/>
          <w:szCs w:val="24"/>
        </w:rPr>
        <w:t xml:space="preserve">se to operationalise care </w:t>
      </w:r>
      <w:r w:rsidR="0004740E" w:rsidRPr="00E869A4">
        <w:rPr>
          <w:rFonts w:ascii="Times New Roman" w:hAnsi="Times New Roman" w:cs="Times New Roman"/>
          <w:szCs w:val="24"/>
        </w:rPr>
        <w:t xml:space="preserve">by </w:t>
      </w:r>
      <w:r w:rsidR="00FA47EB">
        <w:rPr>
          <w:rFonts w:ascii="Times New Roman" w:hAnsi="Times New Roman" w:cs="Times New Roman"/>
          <w:szCs w:val="24"/>
        </w:rPr>
        <w:t>using health or other criteria</w:t>
      </w:r>
      <w:r w:rsidRPr="00E869A4">
        <w:rPr>
          <w:rFonts w:ascii="Times New Roman" w:hAnsi="Times New Roman" w:cs="Times New Roman"/>
          <w:szCs w:val="24"/>
        </w:rPr>
        <w:t xml:space="preserve"> that point to the exceptional nature of the care provided (Masuy</w:t>
      </w:r>
      <w:r w:rsidR="0004740E" w:rsidRPr="00E869A4">
        <w:rPr>
          <w:rFonts w:ascii="Times New Roman" w:hAnsi="Times New Roman" w:cs="Times New Roman"/>
          <w:szCs w:val="24"/>
        </w:rPr>
        <w:t xml:space="preserve"> </w:t>
      </w:r>
      <w:r w:rsidRPr="00E869A4">
        <w:rPr>
          <w:rFonts w:ascii="Times New Roman" w:hAnsi="Times New Roman" w:cs="Times New Roman"/>
          <w:szCs w:val="24"/>
        </w:rPr>
        <w:t xml:space="preserve">2012). </w:t>
      </w:r>
      <w:r w:rsidR="00631078" w:rsidRPr="00E869A4">
        <w:rPr>
          <w:rFonts w:ascii="Times New Roman" w:hAnsi="Times New Roman" w:cs="Times New Roman"/>
          <w:szCs w:val="24"/>
        </w:rPr>
        <w:t>However</w:t>
      </w:r>
      <w:r w:rsidRPr="00E869A4">
        <w:rPr>
          <w:rFonts w:ascii="Times New Roman" w:hAnsi="Times New Roman" w:cs="Times New Roman"/>
          <w:szCs w:val="24"/>
        </w:rPr>
        <w:t>, this too is problematic as care is not only based on physical or medically defined needs</w:t>
      </w:r>
      <w:r w:rsidR="00AF2890" w:rsidRPr="00E869A4">
        <w:rPr>
          <w:rFonts w:ascii="Times New Roman" w:hAnsi="Times New Roman" w:cs="Times New Roman"/>
          <w:szCs w:val="24"/>
        </w:rPr>
        <w:t>,</w:t>
      </w:r>
      <w:r w:rsidRPr="00E869A4">
        <w:rPr>
          <w:rFonts w:ascii="Times New Roman" w:hAnsi="Times New Roman" w:cs="Times New Roman"/>
          <w:szCs w:val="24"/>
        </w:rPr>
        <w:t xml:space="preserve"> but also involves attending to the psychosocial needs of the cared-for (</w:t>
      </w:r>
      <w:r w:rsidR="00076166" w:rsidRPr="00E869A4">
        <w:rPr>
          <w:rFonts w:ascii="Times New Roman" w:eastAsiaTheme="minorHAnsi" w:hAnsi="Times New Roman" w:cs="Times New Roman"/>
          <w:szCs w:val="24"/>
          <w:lang w:val="en-TT" w:eastAsia="en-US"/>
        </w:rPr>
        <w:t>Nolan, Keady &amp; Grant</w:t>
      </w:r>
      <w:r w:rsidR="00076166" w:rsidRPr="00E869A4">
        <w:t xml:space="preserve"> 1995</w:t>
      </w:r>
      <w:r w:rsidRPr="00E869A4">
        <w:rPr>
          <w:rFonts w:ascii="Times New Roman" w:hAnsi="Times New Roman" w:cs="Times New Roman"/>
          <w:szCs w:val="24"/>
        </w:rPr>
        <w:t xml:space="preserve">).  </w:t>
      </w:r>
    </w:p>
    <w:p w14:paraId="767D4E94" w14:textId="77777777" w:rsidR="000D3DB7" w:rsidRPr="00E869A4" w:rsidRDefault="000D3DB7">
      <w:pPr>
        <w:rPr>
          <w:b/>
          <w:i/>
          <w:u w:val="single"/>
        </w:rPr>
      </w:pPr>
      <w:r w:rsidRPr="00E869A4">
        <w:br w:type="page"/>
      </w:r>
    </w:p>
    <w:p w14:paraId="644DAEC3" w14:textId="5EA8381B" w:rsidR="001F077F" w:rsidRPr="00E869A4" w:rsidRDefault="0047120F" w:rsidP="0047120F">
      <w:pPr>
        <w:pStyle w:val="Heading3"/>
      </w:pPr>
      <w:bookmarkStart w:id="148" w:name="_Toc40436473"/>
      <w:r w:rsidRPr="00E869A4">
        <w:lastRenderedPageBreak/>
        <w:t xml:space="preserve">2.3.2     </w:t>
      </w:r>
      <w:r w:rsidR="000B60D9" w:rsidRPr="00E869A4">
        <w:t>Challenges and Concerns in Defining Care</w:t>
      </w:r>
      <w:bookmarkEnd w:id="148"/>
    </w:p>
    <w:p w14:paraId="13365113" w14:textId="77777777" w:rsidR="00952F46" w:rsidRPr="00E869A4" w:rsidRDefault="00952F46" w:rsidP="0051234F">
      <w:pPr>
        <w:pStyle w:val="112"/>
        <w:rPr>
          <w:color w:val="auto"/>
        </w:rPr>
      </w:pPr>
    </w:p>
    <w:p w14:paraId="25D0FE66" w14:textId="10CCE07C" w:rsidR="00600348" w:rsidRPr="00E869A4" w:rsidRDefault="001F077F" w:rsidP="00BF77A7">
      <w:pPr>
        <w:rPr>
          <w:rFonts w:ascii="Times New Roman" w:hAnsi="Times New Roman" w:cs="Times New Roman"/>
        </w:rPr>
      </w:pPr>
      <w:r w:rsidRPr="00E869A4">
        <w:rPr>
          <w:rFonts w:ascii="Times New Roman" w:hAnsi="Times New Roman" w:cs="Times New Roman"/>
          <w:szCs w:val="24"/>
        </w:rPr>
        <w:t xml:space="preserve">While these three approaches to defining care do help to make visible some of its key attributes, they do not fully resolve some of the problematic issues associated with this concept. </w:t>
      </w:r>
      <w:r w:rsidRPr="00E869A4">
        <w:rPr>
          <w:rFonts w:ascii="Times New Roman" w:hAnsi="Times New Roman" w:cs="Times New Roman"/>
        </w:rPr>
        <w:t xml:space="preserve">The taken-for-granted nature of family care makes it particularly difficult to identify caregivers and their functions, </w:t>
      </w:r>
      <w:r w:rsidR="0004740E" w:rsidRPr="00E869A4">
        <w:rPr>
          <w:rFonts w:ascii="Times New Roman" w:hAnsi="Times New Roman" w:cs="Times New Roman"/>
        </w:rPr>
        <w:t>especially</w:t>
      </w:r>
      <w:r w:rsidRPr="00E869A4">
        <w:rPr>
          <w:rFonts w:ascii="Times New Roman" w:hAnsi="Times New Roman" w:cs="Times New Roman"/>
        </w:rPr>
        <w:t xml:space="preserve"> in developing country contexts. In </w:t>
      </w:r>
      <w:r w:rsidR="0004740E" w:rsidRPr="00E869A4">
        <w:rPr>
          <w:rFonts w:ascii="Times New Roman" w:hAnsi="Times New Roman" w:cs="Times New Roman"/>
        </w:rPr>
        <w:t>T&amp;T</w:t>
      </w:r>
      <w:r w:rsidR="003B5A3F" w:rsidRPr="00E869A4">
        <w:rPr>
          <w:rFonts w:ascii="Times New Roman" w:hAnsi="Times New Roman" w:cs="Times New Roman"/>
        </w:rPr>
        <w:t>,</w:t>
      </w:r>
      <w:r w:rsidRPr="00E869A4">
        <w:rPr>
          <w:rFonts w:ascii="Times New Roman" w:hAnsi="Times New Roman" w:cs="Times New Roman"/>
        </w:rPr>
        <w:t xml:space="preserve"> for example, family caregivers of older persons r</w:t>
      </w:r>
      <w:r w:rsidR="00B00FF4" w:rsidRPr="00E869A4">
        <w:rPr>
          <w:rFonts w:ascii="Times New Roman" w:hAnsi="Times New Roman" w:cs="Times New Roman"/>
        </w:rPr>
        <w:t>arely identify themselves as a ‘</w:t>
      </w:r>
      <w:r w:rsidRPr="00E869A4">
        <w:rPr>
          <w:rFonts w:ascii="Times New Roman" w:hAnsi="Times New Roman" w:cs="Times New Roman"/>
          <w:iCs/>
        </w:rPr>
        <w:t>carer</w:t>
      </w:r>
      <w:r w:rsidR="00B00FF4" w:rsidRPr="00E869A4">
        <w:rPr>
          <w:rFonts w:ascii="Times New Roman" w:hAnsi="Times New Roman" w:cs="Times New Roman"/>
          <w:iCs/>
        </w:rPr>
        <w:t>’</w:t>
      </w:r>
      <w:r w:rsidR="00B00FF4" w:rsidRPr="00E869A4">
        <w:rPr>
          <w:rFonts w:ascii="Times New Roman" w:hAnsi="Times New Roman" w:cs="Times New Roman"/>
        </w:rPr>
        <w:t xml:space="preserve"> or ‘</w:t>
      </w:r>
      <w:r w:rsidRPr="00E869A4">
        <w:rPr>
          <w:rFonts w:ascii="Times New Roman" w:hAnsi="Times New Roman" w:cs="Times New Roman"/>
        </w:rPr>
        <w:t>caregiver</w:t>
      </w:r>
      <w:r w:rsidR="00B00FF4" w:rsidRPr="00E869A4">
        <w:rPr>
          <w:rFonts w:ascii="Times New Roman" w:hAnsi="Times New Roman" w:cs="Times New Roman"/>
        </w:rPr>
        <w:t>’</w:t>
      </w:r>
      <w:r w:rsidRPr="00E869A4">
        <w:rPr>
          <w:rFonts w:ascii="Times New Roman" w:hAnsi="Times New Roman" w:cs="Times New Roman"/>
        </w:rPr>
        <w:t xml:space="preserve"> as is done in some </w:t>
      </w:r>
      <w:r w:rsidR="003B5A3F" w:rsidRPr="00E869A4">
        <w:rPr>
          <w:rFonts w:ascii="Times New Roman" w:hAnsi="Times New Roman" w:cs="Times New Roman"/>
        </w:rPr>
        <w:t>MDCs</w:t>
      </w:r>
      <w:r w:rsidR="00B00FF4" w:rsidRPr="00E869A4">
        <w:rPr>
          <w:rFonts w:ascii="Times New Roman" w:hAnsi="Times New Roman" w:cs="Times New Roman"/>
        </w:rPr>
        <w:t xml:space="preserve"> where legislation and special benefits exist for this social group</w:t>
      </w:r>
      <w:r w:rsidRPr="00E869A4">
        <w:rPr>
          <w:rFonts w:ascii="Times New Roman" w:hAnsi="Times New Roman" w:cs="Times New Roman"/>
        </w:rPr>
        <w:t xml:space="preserve">. The OECD </w:t>
      </w:r>
      <w:r w:rsidR="00771B4F" w:rsidRPr="00E869A4">
        <w:rPr>
          <w:rFonts w:ascii="Times New Roman" w:hAnsi="Times New Roman" w:cs="Times New Roman"/>
        </w:rPr>
        <w:t>(</w:t>
      </w:r>
      <w:r w:rsidR="007C24B9" w:rsidRPr="00E869A4">
        <w:rPr>
          <w:rFonts w:ascii="Times New Roman" w:hAnsi="Times New Roman" w:cs="Times New Roman"/>
        </w:rPr>
        <w:t>2011, p. 87)</w:t>
      </w:r>
      <w:r w:rsidR="007C24B9" w:rsidRPr="00E869A4">
        <w:rPr>
          <w:rFonts w:ascii="Times New Roman" w:hAnsi="Times New Roman" w:cs="Times New Roman"/>
          <w:i/>
        </w:rPr>
        <w:t xml:space="preserve"> </w:t>
      </w:r>
      <w:r w:rsidRPr="00E869A4">
        <w:rPr>
          <w:rFonts w:ascii="Times New Roman" w:hAnsi="Times New Roman" w:cs="Times New Roman"/>
        </w:rPr>
        <w:t>recognise</w:t>
      </w:r>
      <w:r w:rsidR="006E1A0C" w:rsidRPr="00E869A4">
        <w:rPr>
          <w:rFonts w:ascii="Times New Roman" w:hAnsi="Times New Roman" w:cs="Times New Roman"/>
        </w:rPr>
        <w:t>d</w:t>
      </w:r>
      <w:r w:rsidRPr="00E869A4">
        <w:rPr>
          <w:rFonts w:ascii="Times New Roman" w:hAnsi="Times New Roman" w:cs="Times New Roman"/>
        </w:rPr>
        <w:t xml:space="preserve"> this variation in the visibility and use of care terminology across nations and note</w:t>
      </w:r>
      <w:r w:rsidR="003C5EF3" w:rsidRPr="00E869A4">
        <w:rPr>
          <w:rFonts w:ascii="Times New Roman" w:hAnsi="Times New Roman" w:cs="Times New Roman"/>
        </w:rPr>
        <w:t>d</w:t>
      </w:r>
      <w:r w:rsidRPr="00E869A4">
        <w:rPr>
          <w:rFonts w:ascii="Times New Roman" w:hAnsi="Times New Roman" w:cs="Times New Roman"/>
        </w:rPr>
        <w:t xml:space="preserve"> that:</w:t>
      </w:r>
    </w:p>
    <w:p w14:paraId="5DBC673E" w14:textId="77777777" w:rsidR="001F077F" w:rsidRPr="00E869A4" w:rsidRDefault="001F077F" w:rsidP="003E23F9">
      <w:pPr>
        <w:autoSpaceDE w:val="0"/>
        <w:autoSpaceDN w:val="0"/>
        <w:adjustRightInd w:val="0"/>
        <w:spacing w:line="240" w:lineRule="auto"/>
        <w:ind w:firstLine="720"/>
        <w:rPr>
          <w:rFonts w:ascii="Times New Roman" w:hAnsi="Times New Roman" w:cs="Times New Roman"/>
        </w:rPr>
      </w:pPr>
      <w:r w:rsidRPr="00E869A4">
        <w:rPr>
          <w:rFonts w:ascii="Times New Roman" w:hAnsi="Times New Roman" w:cs="Times New Roman"/>
        </w:rPr>
        <w:t xml:space="preserve"> </w:t>
      </w:r>
    </w:p>
    <w:p w14:paraId="1FD1ADB6" w14:textId="10718EBE" w:rsidR="001F077F" w:rsidRPr="00E869A4" w:rsidRDefault="001F077F" w:rsidP="00771B4F">
      <w:pPr>
        <w:spacing w:line="240" w:lineRule="auto"/>
        <w:ind w:left="567" w:firstLine="0"/>
        <w:rPr>
          <w:rFonts w:ascii="Times New Roman" w:hAnsi="Times New Roman" w:cs="Times New Roman"/>
        </w:rPr>
      </w:pPr>
      <w:r w:rsidRPr="00E869A4">
        <w:rPr>
          <w:rFonts w:ascii="Times New Roman" w:hAnsi="Times New Roman" w:cs="Times New Roman"/>
        </w:rPr>
        <w:t xml:space="preserve">There is a lack of comprehensive or comparable international evidence on carers. The definition and measurement of unpaid care presents significant challenges, especially in a </w:t>
      </w:r>
      <w:r w:rsidR="00631078" w:rsidRPr="00E869A4">
        <w:rPr>
          <w:rFonts w:ascii="Times New Roman" w:hAnsi="Times New Roman" w:cs="Times New Roman"/>
        </w:rPr>
        <w:t>study, which</w:t>
      </w:r>
      <w:r w:rsidRPr="00E869A4">
        <w:rPr>
          <w:rFonts w:ascii="Times New Roman" w:hAnsi="Times New Roman" w:cs="Times New Roman"/>
        </w:rPr>
        <w:t xml:space="preserve"> attempts to make international comparisons. Many carers do not see themselves as such and, even if questioned, would not declare that they were carers. Society’s attitudes towards family responsibilities and the availability of services to support both carers and people with health limitations vary widely across countries, influencing the pattern and declaration of informal caring</w:t>
      </w:r>
      <w:r w:rsidR="007C24B9" w:rsidRPr="00E869A4">
        <w:rPr>
          <w:rFonts w:ascii="Times New Roman" w:hAnsi="Times New Roman" w:cs="Times New Roman"/>
        </w:rPr>
        <w:t>.</w:t>
      </w:r>
    </w:p>
    <w:p w14:paraId="4A01E014" w14:textId="77777777" w:rsidR="00952F46" w:rsidRPr="00E869A4" w:rsidRDefault="00952F46" w:rsidP="003E23F9">
      <w:pPr>
        <w:autoSpaceDE w:val="0"/>
        <w:autoSpaceDN w:val="0"/>
        <w:adjustRightInd w:val="0"/>
        <w:spacing w:line="240" w:lineRule="auto"/>
        <w:ind w:firstLine="720"/>
        <w:rPr>
          <w:rFonts w:ascii="Times New Roman" w:hAnsi="Times New Roman" w:cs="Times New Roman"/>
        </w:rPr>
      </w:pPr>
    </w:p>
    <w:p w14:paraId="40FA3AEB" w14:textId="4BB824FD" w:rsidR="00E3414C" w:rsidRPr="00E869A4" w:rsidRDefault="00194F87" w:rsidP="005F2FBC">
      <w:pPr>
        <w:rPr>
          <w:rFonts w:ascii="Times New Roman" w:hAnsi="Times New Roman" w:cs="Times New Roman"/>
          <w:szCs w:val="24"/>
        </w:rPr>
      </w:pPr>
      <w:r w:rsidRPr="00E869A4">
        <w:rPr>
          <w:rFonts w:ascii="Times New Roman" w:hAnsi="Times New Roman" w:cs="Times New Roman"/>
          <w:szCs w:val="24"/>
        </w:rPr>
        <w:t>O’Connor (2006) expressed similar sentiments in</w:t>
      </w:r>
      <w:r w:rsidR="00306445" w:rsidRPr="00E869A4">
        <w:rPr>
          <w:rFonts w:ascii="Times New Roman" w:hAnsi="Times New Roman" w:cs="Times New Roman"/>
          <w:szCs w:val="24"/>
        </w:rPr>
        <w:t xml:space="preserve"> her study entitled </w:t>
      </w:r>
      <w:r w:rsidRPr="00E869A4">
        <w:rPr>
          <w:rFonts w:ascii="Times New Roman" w:hAnsi="Times New Roman" w:cs="Times New Roman"/>
          <w:i/>
          <w:szCs w:val="24"/>
        </w:rPr>
        <w:t>Self-identifying as a caregiver: Exploring the positioning process</w:t>
      </w:r>
      <w:r w:rsidRPr="00E869A4">
        <w:rPr>
          <w:rFonts w:ascii="Times New Roman" w:hAnsi="Times New Roman" w:cs="Times New Roman"/>
          <w:szCs w:val="24"/>
        </w:rPr>
        <w:t xml:space="preserve">. Her review of the literature </w:t>
      </w:r>
      <w:r w:rsidR="00575CE6" w:rsidRPr="00E869A4">
        <w:rPr>
          <w:rFonts w:ascii="Times New Roman" w:hAnsi="Times New Roman" w:cs="Times New Roman"/>
          <w:szCs w:val="24"/>
        </w:rPr>
        <w:t>highlighted the various ways in which researchers have sought to identify who is a family caregiver</w:t>
      </w:r>
      <w:r w:rsidR="00AE1A57" w:rsidRPr="00E869A4">
        <w:rPr>
          <w:rFonts w:ascii="Times New Roman" w:hAnsi="Times New Roman" w:cs="Times New Roman"/>
          <w:szCs w:val="24"/>
        </w:rPr>
        <w:t>, and the challenges they experienced in so doing</w:t>
      </w:r>
      <w:r w:rsidR="00575CE6" w:rsidRPr="00E869A4">
        <w:rPr>
          <w:rFonts w:ascii="Times New Roman" w:hAnsi="Times New Roman" w:cs="Times New Roman"/>
          <w:szCs w:val="24"/>
        </w:rPr>
        <w:t xml:space="preserve">. The main criteria </w:t>
      </w:r>
      <w:r w:rsidR="003C5EF3" w:rsidRPr="00E869A4">
        <w:rPr>
          <w:rFonts w:ascii="Times New Roman" w:hAnsi="Times New Roman" w:cs="Times New Roman"/>
          <w:szCs w:val="24"/>
        </w:rPr>
        <w:t>adapted,</w:t>
      </w:r>
      <w:r w:rsidR="00575CE6" w:rsidRPr="00E869A4">
        <w:rPr>
          <w:rFonts w:ascii="Times New Roman" w:hAnsi="Times New Roman" w:cs="Times New Roman"/>
          <w:szCs w:val="24"/>
        </w:rPr>
        <w:t xml:space="preserve"> to varying degrees</w:t>
      </w:r>
      <w:r w:rsidR="00E3414C" w:rsidRPr="00E869A4">
        <w:rPr>
          <w:rFonts w:ascii="Times New Roman" w:hAnsi="Times New Roman" w:cs="Times New Roman"/>
          <w:szCs w:val="24"/>
        </w:rPr>
        <w:t>,</w:t>
      </w:r>
      <w:r w:rsidR="00575CE6" w:rsidRPr="00E869A4">
        <w:rPr>
          <w:rFonts w:ascii="Times New Roman" w:hAnsi="Times New Roman" w:cs="Times New Roman"/>
          <w:szCs w:val="24"/>
        </w:rPr>
        <w:t xml:space="preserve"> </w:t>
      </w:r>
      <w:r w:rsidR="00AE1A57" w:rsidRPr="00E869A4">
        <w:rPr>
          <w:rFonts w:ascii="Times New Roman" w:hAnsi="Times New Roman" w:cs="Times New Roman"/>
          <w:szCs w:val="24"/>
        </w:rPr>
        <w:t>in most studies</w:t>
      </w:r>
      <w:r w:rsidR="00575CE6" w:rsidRPr="00E869A4">
        <w:rPr>
          <w:rFonts w:ascii="Times New Roman" w:hAnsi="Times New Roman" w:cs="Times New Roman"/>
          <w:szCs w:val="24"/>
        </w:rPr>
        <w:t xml:space="preserve"> included: </w:t>
      </w:r>
      <w:r w:rsidRPr="00E869A4">
        <w:rPr>
          <w:rFonts w:ascii="Times New Roman" w:hAnsi="Times New Roman" w:cs="Times New Roman"/>
          <w:szCs w:val="24"/>
        </w:rPr>
        <w:t xml:space="preserve"> </w:t>
      </w:r>
      <w:r w:rsidR="00575CE6" w:rsidRPr="00E869A4">
        <w:rPr>
          <w:rFonts w:ascii="Times New Roman" w:hAnsi="Times New Roman" w:cs="Times New Roman"/>
          <w:szCs w:val="24"/>
        </w:rPr>
        <w:t xml:space="preserve">co-residency, amount of time or level of activity involved in attending to the cared-for person, the location of the </w:t>
      </w:r>
      <w:r w:rsidR="009E2738" w:rsidRPr="00E869A4">
        <w:rPr>
          <w:rFonts w:ascii="Times New Roman" w:hAnsi="Times New Roman" w:cs="Times New Roman"/>
          <w:szCs w:val="24"/>
        </w:rPr>
        <w:t>care recipient</w:t>
      </w:r>
      <w:r w:rsidR="00575CE6" w:rsidRPr="00E869A4">
        <w:rPr>
          <w:rFonts w:ascii="Times New Roman" w:hAnsi="Times New Roman" w:cs="Times New Roman"/>
          <w:szCs w:val="24"/>
        </w:rPr>
        <w:t xml:space="preserve">, and utilisation of caregiver services. </w:t>
      </w:r>
      <w:r w:rsidR="00047881" w:rsidRPr="00E869A4">
        <w:rPr>
          <w:rFonts w:ascii="Times New Roman" w:hAnsi="Times New Roman" w:cs="Times New Roman"/>
          <w:szCs w:val="24"/>
        </w:rPr>
        <w:t>However,</w:t>
      </w:r>
      <w:r w:rsidR="00AE1A57" w:rsidRPr="00E869A4">
        <w:rPr>
          <w:rFonts w:ascii="Times New Roman" w:hAnsi="Times New Roman" w:cs="Times New Roman"/>
          <w:szCs w:val="24"/>
        </w:rPr>
        <w:t xml:space="preserve"> uptake of services was found in several studies to be incongruent with the conduct of actual care tasks. </w:t>
      </w:r>
      <w:r w:rsidR="00DF6C50" w:rsidRPr="00E869A4">
        <w:rPr>
          <w:rFonts w:ascii="Times New Roman" w:hAnsi="Times New Roman" w:cs="Times New Roman"/>
          <w:szCs w:val="24"/>
        </w:rPr>
        <w:t>Of particular note was the Caregiver Identification study (</w:t>
      </w:r>
      <w:r w:rsidR="00E3414C" w:rsidRPr="00E869A4">
        <w:rPr>
          <w:rFonts w:ascii="Times New Roman" w:hAnsi="Times New Roman" w:cs="Times New Roman"/>
          <w:szCs w:val="24"/>
        </w:rPr>
        <w:t xml:space="preserve">AARP </w:t>
      </w:r>
      <w:r w:rsidR="00DF6C50" w:rsidRPr="00E869A4">
        <w:rPr>
          <w:rFonts w:ascii="Times New Roman" w:hAnsi="Times New Roman" w:cs="Times New Roman"/>
          <w:szCs w:val="24"/>
        </w:rPr>
        <w:t xml:space="preserve">2001) which provided family members with two ways of identifying </w:t>
      </w:r>
      <w:r w:rsidR="00631078" w:rsidRPr="00E869A4">
        <w:rPr>
          <w:rFonts w:ascii="Times New Roman" w:hAnsi="Times New Roman" w:cs="Times New Roman"/>
          <w:szCs w:val="24"/>
        </w:rPr>
        <w:t>themselves as caregivers</w:t>
      </w:r>
      <w:r w:rsidR="00DF6C50" w:rsidRPr="00E869A4">
        <w:rPr>
          <w:rFonts w:ascii="Times New Roman" w:hAnsi="Times New Roman" w:cs="Times New Roman"/>
          <w:szCs w:val="24"/>
        </w:rPr>
        <w:t>. Participants</w:t>
      </w:r>
      <w:r w:rsidR="003C5EF3" w:rsidRPr="00E869A4">
        <w:rPr>
          <w:rFonts w:ascii="Times New Roman" w:hAnsi="Times New Roman" w:cs="Times New Roman"/>
          <w:szCs w:val="24"/>
        </w:rPr>
        <w:t xml:space="preserve"> were asked</w:t>
      </w:r>
      <w:r w:rsidR="00DF6C50" w:rsidRPr="00E869A4">
        <w:rPr>
          <w:rFonts w:ascii="Times New Roman" w:hAnsi="Times New Roman" w:cs="Times New Roman"/>
          <w:szCs w:val="24"/>
        </w:rPr>
        <w:t xml:space="preserve"> to indicate whether they had been </w:t>
      </w:r>
      <w:r w:rsidR="00E3414C" w:rsidRPr="00E869A4">
        <w:rPr>
          <w:rFonts w:ascii="Times New Roman" w:hAnsi="Times New Roman" w:cs="Times New Roman"/>
          <w:szCs w:val="24"/>
        </w:rPr>
        <w:t xml:space="preserve">a </w:t>
      </w:r>
      <w:r w:rsidR="00DF6C50" w:rsidRPr="00E869A4">
        <w:rPr>
          <w:rFonts w:ascii="Times New Roman" w:hAnsi="Times New Roman" w:cs="Times New Roman"/>
          <w:szCs w:val="24"/>
        </w:rPr>
        <w:t xml:space="preserve">caregiver in the past year. They were also asked </w:t>
      </w:r>
      <w:r w:rsidR="00631078" w:rsidRPr="00E869A4">
        <w:rPr>
          <w:rFonts w:ascii="Times New Roman" w:hAnsi="Times New Roman" w:cs="Times New Roman"/>
          <w:szCs w:val="24"/>
        </w:rPr>
        <w:t>if they</w:t>
      </w:r>
      <w:r w:rsidR="00DF6C50" w:rsidRPr="00E869A4">
        <w:rPr>
          <w:rFonts w:ascii="Times New Roman" w:hAnsi="Times New Roman" w:cs="Times New Roman"/>
          <w:szCs w:val="24"/>
        </w:rPr>
        <w:t xml:space="preserve"> performed certain tasks. Interestingly, </w:t>
      </w:r>
      <w:r w:rsidR="00C94F19" w:rsidRPr="00E869A4">
        <w:rPr>
          <w:rFonts w:ascii="Times New Roman" w:hAnsi="Times New Roman" w:cs="Times New Roman"/>
          <w:szCs w:val="24"/>
        </w:rPr>
        <w:t>al</w:t>
      </w:r>
      <w:r w:rsidR="00DF6C50" w:rsidRPr="00E869A4">
        <w:rPr>
          <w:rFonts w:ascii="Times New Roman" w:hAnsi="Times New Roman" w:cs="Times New Roman"/>
          <w:szCs w:val="24"/>
        </w:rPr>
        <w:t xml:space="preserve">though 44% of the respondents performed tasks that would objectively identify them as caregivers, only one third of those respondents self-identified as caregivers. </w:t>
      </w:r>
    </w:p>
    <w:p w14:paraId="267FEA1A" w14:textId="77777777" w:rsidR="00E3414C" w:rsidRPr="00E869A4" w:rsidRDefault="00E3414C" w:rsidP="005F2FBC">
      <w:pPr>
        <w:rPr>
          <w:rFonts w:ascii="Times New Roman" w:hAnsi="Times New Roman" w:cs="Times New Roman"/>
          <w:szCs w:val="24"/>
        </w:rPr>
      </w:pPr>
    </w:p>
    <w:p w14:paraId="44FE4B9D" w14:textId="65DD5EC2" w:rsidR="00194F87" w:rsidRPr="00E869A4" w:rsidRDefault="00D37FD7" w:rsidP="00BF77A7">
      <w:pPr>
        <w:rPr>
          <w:rFonts w:ascii="Times New Roman" w:hAnsi="Times New Roman" w:cs="Times New Roman"/>
          <w:szCs w:val="24"/>
        </w:rPr>
      </w:pPr>
      <w:r w:rsidRPr="00E869A4">
        <w:rPr>
          <w:rFonts w:ascii="Times New Roman" w:hAnsi="Times New Roman" w:cs="Times New Roman"/>
          <w:szCs w:val="24"/>
        </w:rPr>
        <w:t xml:space="preserve">For her own study, O’Connor applied a </w:t>
      </w:r>
      <w:r w:rsidR="00F40634" w:rsidRPr="00E869A4">
        <w:rPr>
          <w:rFonts w:ascii="Times New Roman" w:hAnsi="Times New Roman" w:cs="Times New Roman"/>
          <w:szCs w:val="24"/>
        </w:rPr>
        <w:t>conceptual</w:t>
      </w:r>
      <w:r w:rsidRPr="00E869A4">
        <w:rPr>
          <w:rFonts w:ascii="Times New Roman" w:hAnsi="Times New Roman" w:cs="Times New Roman"/>
          <w:szCs w:val="24"/>
        </w:rPr>
        <w:t xml:space="preserve"> </w:t>
      </w:r>
      <w:r w:rsidR="00631078" w:rsidRPr="00E869A4">
        <w:rPr>
          <w:rFonts w:ascii="Times New Roman" w:hAnsi="Times New Roman" w:cs="Times New Roman"/>
          <w:szCs w:val="24"/>
        </w:rPr>
        <w:t>framework, which</w:t>
      </w:r>
      <w:r w:rsidRPr="00E869A4">
        <w:rPr>
          <w:rFonts w:ascii="Times New Roman" w:hAnsi="Times New Roman" w:cs="Times New Roman"/>
          <w:szCs w:val="24"/>
        </w:rPr>
        <w:t xml:space="preserve"> distinguishe</w:t>
      </w:r>
      <w:r w:rsidR="004E480E" w:rsidRPr="00E869A4">
        <w:rPr>
          <w:rFonts w:ascii="Times New Roman" w:hAnsi="Times New Roman" w:cs="Times New Roman"/>
          <w:szCs w:val="24"/>
        </w:rPr>
        <w:t>d</w:t>
      </w:r>
      <w:r w:rsidRPr="00E869A4">
        <w:rPr>
          <w:rFonts w:ascii="Times New Roman" w:hAnsi="Times New Roman" w:cs="Times New Roman"/>
          <w:szCs w:val="24"/>
        </w:rPr>
        <w:t xml:space="preserve"> a social position from a role.</w:t>
      </w:r>
      <w:r w:rsidR="00F40634" w:rsidRPr="00E869A4">
        <w:rPr>
          <w:rFonts w:ascii="Times New Roman" w:hAnsi="Times New Roman" w:cs="Times New Roman"/>
          <w:szCs w:val="24"/>
        </w:rPr>
        <w:t xml:space="preserve"> Unlike a </w:t>
      </w:r>
      <w:r w:rsidR="00631078" w:rsidRPr="00E869A4">
        <w:rPr>
          <w:rFonts w:ascii="Times New Roman" w:hAnsi="Times New Roman" w:cs="Times New Roman"/>
          <w:szCs w:val="24"/>
        </w:rPr>
        <w:t>role, which</w:t>
      </w:r>
      <w:r w:rsidR="00F40634" w:rsidRPr="00E869A4">
        <w:rPr>
          <w:rFonts w:ascii="Times New Roman" w:hAnsi="Times New Roman" w:cs="Times New Roman"/>
          <w:szCs w:val="24"/>
        </w:rPr>
        <w:t xml:space="preserve"> is relatively more static, ritualistic and formal, a position is dynamic and rapidly renegotiated in social interaction.</w:t>
      </w:r>
      <w:r w:rsidR="00BC48F8" w:rsidRPr="00E869A4">
        <w:rPr>
          <w:rFonts w:ascii="Times New Roman" w:hAnsi="Times New Roman" w:cs="Times New Roman"/>
          <w:szCs w:val="24"/>
        </w:rPr>
        <w:t xml:space="preserve"> Furthermore, a key postulate of positioning theory is that people </w:t>
      </w:r>
      <w:r w:rsidR="00BC48F8" w:rsidRPr="00E869A4">
        <w:rPr>
          <w:rFonts w:ascii="Times New Roman" w:hAnsi="Times New Roman" w:cs="Times New Roman"/>
          <w:szCs w:val="24"/>
        </w:rPr>
        <w:lastRenderedPageBreak/>
        <w:t>are positioned relative to someone else, and the situation may look far more ‘designed’ by those who benefit from the positioning.</w:t>
      </w:r>
      <w:r w:rsidR="00ED7ACF" w:rsidRPr="00E869A4">
        <w:rPr>
          <w:rFonts w:ascii="Times New Roman" w:hAnsi="Times New Roman" w:cs="Times New Roman"/>
          <w:szCs w:val="24"/>
        </w:rPr>
        <w:t xml:space="preserve"> O’Connor’s study revealed that caregivers struggle between two competing conceptualisations of themselves i.e. as a caregiver and their </w:t>
      </w:r>
      <w:r w:rsidR="00B33CB4" w:rsidRPr="00E869A4">
        <w:rPr>
          <w:rFonts w:ascii="Times New Roman" w:hAnsi="Times New Roman" w:cs="Times New Roman"/>
          <w:szCs w:val="24"/>
        </w:rPr>
        <w:t xml:space="preserve">relational </w:t>
      </w:r>
      <w:r w:rsidR="00ED7ACF" w:rsidRPr="00E869A4">
        <w:rPr>
          <w:rFonts w:ascii="Times New Roman" w:hAnsi="Times New Roman" w:cs="Times New Roman"/>
          <w:szCs w:val="24"/>
        </w:rPr>
        <w:t xml:space="preserve">position as a family member </w:t>
      </w:r>
      <w:r w:rsidR="00B33CB4" w:rsidRPr="00E869A4">
        <w:rPr>
          <w:rFonts w:ascii="Times New Roman" w:hAnsi="Times New Roman" w:cs="Times New Roman"/>
          <w:szCs w:val="24"/>
        </w:rPr>
        <w:t xml:space="preserve">such as </w:t>
      </w:r>
      <w:r w:rsidR="00ED7ACF" w:rsidRPr="00E869A4">
        <w:rPr>
          <w:rFonts w:ascii="Times New Roman" w:hAnsi="Times New Roman" w:cs="Times New Roman"/>
          <w:szCs w:val="24"/>
        </w:rPr>
        <w:t>a wife, daughter, son or husband</w:t>
      </w:r>
      <w:r w:rsidR="005F2FBC" w:rsidRPr="00E869A4">
        <w:rPr>
          <w:rFonts w:ascii="Times New Roman" w:hAnsi="Times New Roman" w:cs="Times New Roman"/>
          <w:szCs w:val="24"/>
        </w:rPr>
        <w:t xml:space="preserve">. The </w:t>
      </w:r>
      <w:r w:rsidR="00631078" w:rsidRPr="00E869A4">
        <w:rPr>
          <w:rFonts w:ascii="Times New Roman" w:hAnsi="Times New Roman" w:cs="Times New Roman"/>
          <w:szCs w:val="24"/>
        </w:rPr>
        <w:t>results of her qualitative investigation underscore</w:t>
      </w:r>
      <w:r w:rsidR="006F5ED9" w:rsidRPr="00E869A4">
        <w:rPr>
          <w:rFonts w:ascii="Times New Roman" w:hAnsi="Times New Roman" w:cs="Times New Roman"/>
          <w:szCs w:val="24"/>
        </w:rPr>
        <w:t>d</w:t>
      </w:r>
      <w:r w:rsidR="005F2FBC" w:rsidRPr="00E869A4">
        <w:rPr>
          <w:rFonts w:ascii="Times New Roman" w:hAnsi="Times New Roman" w:cs="Times New Roman"/>
          <w:szCs w:val="24"/>
        </w:rPr>
        <w:t xml:space="preserve"> the importance of recognising the interactional and dynamic nature of positioning of the family member as a </w:t>
      </w:r>
      <w:r w:rsidR="00631078" w:rsidRPr="00E869A4">
        <w:rPr>
          <w:rFonts w:ascii="Times New Roman" w:hAnsi="Times New Roman" w:cs="Times New Roman"/>
          <w:szCs w:val="24"/>
        </w:rPr>
        <w:t>caregiver to</w:t>
      </w:r>
      <w:r w:rsidR="005F2FBC" w:rsidRPr="00E869A4">
        <w:rPr>
          <w:rFonts w:ascii="Times New Roman" w:hAnsi="Times New Roman" w:cs="Times New Roman"/>
          <w:szCs w:val="24"/>
        </w:rPr>
        <w:t xml:space="preserve"> ensure that both members of the caring dyad remain visible.</w:t>
      </w:r>
    </w:p>
    <w:p w14:paraId="6AA79289" w14:textId="77777777" w:rsidR="00194F87" w:rsidRPr="00E869A4" w:rsidRDefault="00194F87" w:rsidP="00A35FF8">
      <w:pPr>
        <w:rPr>
          <w:rFonts w:ascii="Times New Roman" w:hAnsi="Times New Roman" w:cs="Times New Roman"/>
          <w:szCs w:val="24"/>
        </w:rPr>
      </w:pPr>
    </w:p>
    <w:p w14:paraId="39AD7D11" w14:textId="684AA3E9" w:rsidR="001F077F" w:rsidRPr="00E869A4" w:rsidRDefault="002225D8" w:rsidP="00BF77A7">
      <w:pPr>
        <w:rPr>
          <w:rFonts w:ascii="Times New Roman" w:hAnsi="Times New Roman" w:cs="Times New Roman"/>
          <w:szCs w:val="24"/>
        </w:rPr>
      </w:pPr>
      <w:r w:rsidRPr="00E869A4">
        <w:rPr>
          <w:rFonts w:ascii="Times New Roman" w:hAnsi="Times New Roman" w:cs="Times New Roman"/>
          <w:szCs w:val="24"/>
        </w:rPr>
        <w:t xml:space="preserve">Ghosh, Capistrant and Friedemann-Sãnchez </w:t>
      </w:r>
      <w:r w:rsidR="001F077F" w:rsidRPr="00E869A4">
        <w:rPr>
          <w:rFonts w:ascii="Times New Roman" w:hAnsi="Times New Roman" w:cs="Times New Roman"/>
          <w:szCs w:val="24"/>
        </w:rPr>
        <w:t>(2017</w:t>
      </w:r>
      <w:r w:rsidRPr="00E869A4">
        <w:rPr>
          <w:rFonts w:ascii="Times New Roman" w:hAnsi="Times New Roman" w:cs="Times New Roman"/>
          <w:szCs w:val="24"/>
        </w:rPr>
        <w:t>, p.</w:t>
      </w:r>
      <w:r w:rsidR="001F077F" w:rsidRPr="00E869A4">
        <w:rPr>
          <w:rFonts w:ascii="Times New Roman" w:hAnsi="Times New Roman" w:cs="Times New Roman"/>
          <w:szCs w:val="24"/>
        </w:rPr>
        <w:t xml:space="preserve"> 28) in their review of the family care literature and its applicability to Indian society note</w:t>
      </w:r>
      <w:r w:rsidR="004E480E" w:rsidRPr="00E869A4">
        <w:rPr>
          <w:rFonts w:ascii="Times New Roman" w:hAnsi="Times New Roman" w:cs="Times New Roman"/>
          <w:szCs w:val="24"/>
        </w:rPr>
        <w:t>d</w:t>
      </w:r>
      <w:r w:rsidR="001F077F" w:rsidRPr="00E869A4">
        <w:rPr>
          <w:rFonts w:ascii="Times New Roman" w:hAnsi="Times New Roman" w:cs="Times New Roman"/>
          <w:szCs w:val="24"/>
        </w:rPr>
        <w:t xml:space="preserve"> a similar challenge</w:t>
      </w:r>
      <w:r w:rsidR="00F03FC2" w:rsidRPr="00E869A4">
        <w:rPr>
          <w:rFonts w:ascii="Times New Roman" w:hAnsi="Times New Roman" w:cs="Times New Roman"/>
          <w:szCs w:val="24"/>
        </w:rPr>
        <w:t>:</w:t>
      </w:r>
      <w:r w:rsidR="001F077F" w:rsidRPr="00E869A4">
        <w:rPr>
          <w:rFonts w:ascii="Times New Roman" w:hAnsi="Times New Roman" w:cs="Times New Roman"/>
          <w:szCs w:val="24"/>
        </w:rPr>
        <w:t xml:space="preserve"> </w:t>
      </w:r>
    </w:p>
    <w:p w14:paraId="3CF9B0AB" w14:textId="77777777" w:rsidR="0073660E" w:rsidRPr="00E869A4" w:rsidRDefault="0073660E" w:rsidP="003E23F9">
      <w:pPr>
        <w:autoSpaceDE w:val="0"/>
        <w:autoSpaceDN w:val="0"/>
        <w:adjustRightInd w:val="0"/>
        <w:spacing w:line="240" w:lineRule="auto"/>
        <w:ind w:firstLine="720"/>
        <w:rPr>
          <w:rFonts w:ascii="Times New Roman" w:hAnsi="Times New Roman" w:cs="Times New Roman"/>
          <w:szCs w:val="24"/>
        </w:rPr>
      </w:pPr>
    </w:p>
    <w:p w14:paraId="4FA3D336" w14:textId="40F3E431" w:rsidR="001F077F" w:rsidRPr="00E869A4" w:rsidRDefault="00306445" w:rsidP="00F01C2C">
      <w:pPr>
        <w:spacing w:line="240" w:lineRule="auto"/>
        <w:ind w:left="567" w:firstLine="0"/>
        <w:rPr>
          <w:rFonts w:ascii="Times New Roman" w:hAnsi="Times New Roman" w:cs="Times New Roman"/>
          <w:i/>
        </w:rPr>
      </w:pPr>
      <w:r w:rsidRPr="00E869A4">
        <w:rPr>
          <w:rFonts w:ascii="Times New Roman" w:hAnsi="Times New Roman" w:cs="Times New Roman"/>
        </w:rPr>
        <w:t xml:space="preserve"> </w:t>
      </w:r>
      <w:r w:rsidR="00F01C2C" w:rsidRPr="00E869A4">
        <w:rPr>
          <w:rFonts w:ascii="Times New Roman" w:hAnsi="Times New Roman" w:cs="Times New Roman"/>
        </w:rPr>
        <w:t>[T]he definition of a ‘</w:t>
      </w:r>
      <w:r w:rsidR="001F077F" w:rsidRPr="00E869A4">
        <w:rPr>
          <w:rFonts w:ascii="Times New Roman" w:hAnsi="Times New Roman" w:cs="Times New Roman"/>
        </w:rPr>
        <w:t>dependent</w:t>
      </w:r>
      <w:r w:rsidR="00F01C2C" w:rsidRPr="00E869A4">
        <w:rPr>
          <w:rFonts w:ascii="Times New Roman" w:hAnsi="Times New Roman" w:cs="Times New Roman"/>
        </w:rPr>
        <w:t>’</w:t>
      </w:r>
      <w:r w:rsidR="001F077F" w:rsidRPr="00E869A4">
        <w:rPr>
          <w:rFonts w:ascii="Times New Roman" w:hAnsi="Times New Roman" w:cs="Times New Roman"/>
        </w:rPr>
        <w:t xml:space="preserve"> elder is even more ambiguous than it already is in the West. Elderly recipients of care may not necessarily consider</w:t>
      </w:r>
      <w:r w:rsidR="004E480E" w:rsidRPr="00E869A4">
        <w:rPr>
          <w:rFonts w:ascii="Times New Roman" w:hAnsi="Times New Roman" w:cs="Times New Roman"/>
        </w:rPr>
        <w:t xml:space="preserve"> themselves as dependents, but ‘</w:t>
      </w:r>
      <w:r w:rsidR="001F077F" w:rsidRPr="00E869A4">
        <w:rPr>
          <w:rFonts w:ascii="Times New Roman" w:hAnsi="Times New Roman" w:cs="Times New Roman"/>
        </w:rPr>
        <w:t>receivers</w:t>
      </w:r>
      <w:r w:rsidR="004E480E" w:rsidRPr="00E869A4">
        <w:rPr>
          <w:rFonts w:ascii="Times New Roman" w:hAnsi="Times New Roman" w:cs="Times New Roman"/>
        </w:rPr>
        <w:t>’</w:t>
      </w:r>
      <w:r w:rsidR="001F077F" w:rsidRPr="00E869A4">
        <w:rPr>
          <w:rFonts w:ascii="Times New Roman" w:hAnsi="Times New Roman" w:cs="Times New Roman"/>
        </w:rPr>
        <w:t xml:space="preserve">, who hold legitimate right over the received care because of their prior contribution towards the child and the family (Lamb 2005). On the flip side, caregivers may not consider themselves </w:t>
      </w:r>
      <w:r w:rsidR="00AD0105" w:rsidRPr="00E869A4">
        <w:rPr>
          <w:rFonts w:ascii="Times New Roman" w:hAnsi="Times New Roman" w:cs="Times New Roman"/>
        </w:rPr>
        <w:t>‘</w:t>
      </w:r>
      <w:r w:rsidR="001F077F" w:rsidRPr="00E869A4">
        <w:rPr>
          <w:rFonts w:ascii="Times New Roman" w:hAnsi="Times New Roman" w:cs="Times New Roman"/>
        </w:rPr>
        <w:t>caregivers</w:t>
      </w:r>
      <w:r w:rsidR="00AD0105" w:rsidRPr="00E869A4">
        <w:rPr>
          <w:rFonts w:ascii="Times New Roman" w:hAnsi="Times New Roman" w:cs="Times New Roman"/>
        </w:rPr>
        <w:t>’</w:t>
      </w:r>
      <w:r w:rsidR="001F077F" w:rsidRPr="00E869A4">
        <w:rPr>
          <w:rFonts w:ascii="Times New Roman" w:hAnsi="Times New Roman" w:cs="Times New Roman"/>
        </w:rPr>
        <w:t>, but simply as fulfilling a kinship role of reciprocity by providing material, financial, physical and emotional support …</w:t>
      </w:r>
      <w:r w:rsidR="00B32734" w:rsidRPr="00E869A4">
        <w:rPr>
          <w:rFonts w:ascii="Times New Roman" w:hAnsi="Times New Roman" w:cs="Times New Roman"/>
        </w:rPr>
        <w:t xml:space="preserve"> </w:t>
      </w:r>
      <w:r w:rsidR="001F077F" w:rsidRPr="00E869A4">
        <w:rPr>
          <w:rFonts w:ascii="Times New Roman" w:hAnsi="Times New Roman" w:cs="Times New Roman"/>
        </w:rPr>
        <w:t>to an extent that it is les</w:t>
      </w:r>
      <w:r w:rsidRPr="00E869A4">
        <w:rPr>
          <w:rFonts w:ascii="Times New Roman" w:hAnsi="Times New Roman" w:cs="Times New Roman"/>
        </w:rPr>
        <w:t>s common in the Western context</w:t>
      </w:r>
      <w:r w:rsidRPr="00E869A4">
        <w:rPr>
          <w:rFonts w:ascii="Times New Roman" w:hAnsi="Times New Roman" w:cs="Times New Roman"/>
          <w:szCs w:val="24"/>
        </w:rPr>
        <w:t>.</w:t>
      </w:r>
    </w:p>
    <w:p w14:paraId="5AEA96E2" w14:textId="77777777" w:rsidR="00952F46" w:rsidRPr="00E869A4" w:rsidRDefault="00952F46" w:rsidP="003E23F9">
      <w:pPr>
        <w:autoSpaceDE w:val="0"/>
        <w:autoSpaceDN w:val="0"/>
        <w:adjustRightInd w:val="0"/>
        <w:spacing w:line="240" w:lineRule="auto"/>
        <w:ind w:firstLine="720"/>
        <w:rPr>
          <w:rFonts w:ascii="Times New Roman" w:hAnsi="Times New Roman" w:cs="Times New Roman"/>
          <w:szCs w:val="24"/>
        </w:rPr>
      </w:pPr>
    </w:p>
    <w:p w14:paraId="74AB34E4" w14:textId="123049A1" w:rsidR="001F077F" w:rsidRPr="00E869A4" w:rsidRDefault="00306445" w:rsidP="006E1A0C">
      <w:pPr>
        <w:ind w:firstLine="0"/>
        <w:rPr>
          <w:rFonts w:ascii="Times New Roman" w:hAnsi="Times New Roman" w:cs="Times New Roman"/>
          <w:szCs w:val="24"/>
        </w:rPr>
      </w:pPr>
      <w:r w:rsidRPr="00E869A4">
        <w:rPr>
          <w:rFonts w:ascii="Times New Roman" w:hAnsi="Times New Roman" w:cs="Times New Roman"/>
          <w:szCs w:val="24"/>
        </w:rPr>
        <w:t>They</w:t>
      </w:r>
      <w:r w:rsidR="001F077F" w:rsidRPr="00E869A4">
        <w:rPr>
          <w:rFonts w:ascii="Times New Roman" w:hAnsi="Times New Roman" w:cs="Times New Roman"/>
          <w:szCs w:val="24"/>
        </w:rPr>
        <w:t xml:space="preserve"> explain</w:t>
      </w:r>
      <w:r w:rsidR="00AD0105" w:rsidRPr="00E869A4">
        <w:rPr>
          <w:rFonts w:ascii="Times New Roman" w:hAnsi="Times New Roman" w:cs="Times New Roman"/>
          <w:szCs w:val="24"/>
        </w:rPr>
        <w:t>ed</w:t>
      </w:r>
      <w:r w:rsidR="001F077F" w:rsidRPr="00E869A4">
        <w:rPr>
          <w:rFonts w:ascii="Times New Roman" w:hAnsi="Times New Roman" w:cs="Times New Roman"/>
          <w:szCs w:val="24"/>
        </w:rPr>
        <w:t xml:space="preserve"> further that in lower to middle income countries (LMICs)</w:t>
      </w:r>
      <w:r w:rsidR="00DC5446" w:rsidRPr="00E869A4">
        <w:rPr>
          <w:rFonts w:ascii="Times New Roman" w:hAnsi="Times New Roman" w:cs="Times New Roman"/>
          <w:szCs w:val="24"/>
        </w:rPr>
        <w:t>,</w:t>
      </w:r>
      <w:r w:rsidR="001F077F" w:rsidRPr="00E869A4">
        <w:rPr>
          <w:rFonts w:ascii="Times New Roman" w:hAnsi="Times New Roman" w:cs="Times New Roman"/>
          <w:szCs w:val="24"/>
        </w:rPr>
        <w:t xml:space="preserve"> care has a broader connotation than assistance with ADLs and </w:t>
      </w:r>
      <w:r w:rsidR="00631078" w:rsidRPr="00E869A4">
        <w:rPr>
          <w:rFonts w:ascii="Times New Roman" w:hAnsi="Times New Roman" w:cs="Times New Roman"/>
          <w:szCs w:val="24"/>
        </w:rPr>
        <w:t>IADLs</w:t>
      </w:r>
      <w:r w:rsidR="001F077F" w:rsidRPr="00E869A4">
        <w:rPr>
          <w:rFonts w:ascii="Times New Roman" w:hAnsi="Times New Roman" w:cs="Times New Roman"/>
          <w:szCs w:val="24"/>
        </w:rPr>
        <w:t xml:space="preserve"> or other health-specific activities. To limit care to health</w:t>
      </w:r>
      <w:r w:rsidR="00F03FC2" w:rsidRPr="00E869A4">
        <w:rPr>
          <w:rFonts w:ascii="Times New Roman" w:hAnsi="Times New Roman" w:cs="Times New Roman"/>
          <w:szCs w:val="24"/>
        </w:rPr>
        <w:t>-</w:t>
      </w:r>
      <w:r w:rsidR="001F077F" w:rsidRPr="00E869A4">
        <w:rPr>
          <w:rFonts w:ascii="Times New Roman" w:hAnsi="Times New Roman" w:cs="Times New Roman"/>
          <w:szCs w:val="24"/>
        </w:rPr>
        <w:t xml:space="preserve">related tasks and not include other aspects such as keeping an older family member’s company or watching out for them would underestimate the full scope of caregiver’s duties. </w:t>
      </w:r>
    </w:p>
    <w:p w14:paraId="30738854" w14:textId="77777777" w:rsidR="006E1A0C" w:rsidRPr="00E869A4" w:rsidRDefault="006E1A0C" w:rsidP="006E1A0C">
      <w:pPr>
        <w:ind w:firstLine="0"/>
        <w:rPr>
          <w:rFonts w:ascii="Times New Roman" w:hAnsi="Times New Roman" w:cs="Times New Roman"/>
          <w:szCs w:val="24"/>
        </w:rPr>
      </w:pPr>
    </w:p>
    <w:p w14:paraId="430A09A1" w14:textId="1976CE91" w:rsidR="001F077F" w:rsidRPr="00E869A4" w:rsidRDefault="001F077F" w:rsidP="00BF77A7">
      <w:pPr>
        <w:rPr>
          <w:rFonts w:ascii="Times New Roman" w:hAnsi="Times New Roman" w:cs="Times New Roman"/>
          <w:szCs w:val="24"/>
        </w:rPr>
      </w:pPr>
      <w:r w:rsidRPr="00E869A4">
        <w:rPr>
          <w:rFonts w:ascii="Times New Roman" w:hAnsi="Times New Roman" w:cs="Times New Roman"/>
          <w:szCs w:val="24"/>
        </w:rPr>
        <w:t>The definition of the term ‘</w:t>
      </w:r>
      <w:r w:rsidRPr="00E869A4">
        <w:rPr>
          <w:rFonts w:ascii="Times New Roman" w:hAnsi="Times New Roman" w:cs="Times New Roman"/>
          <w:iCs/>
          <w:szCs w:val="24"/>
        </w:rPr>
        <w:t>care’</w:t>
      </w:r>
      <w:r w:rsidRPr="00E869A4">
        <w:rPr>
          <w:rFonts w:ascii="Times New Roman" w:hAnsi="Times New Roman" w:cs="Times New Roman"/>
          <w:szCs w:val="24"/>
        </w:rPr>
        <w:t xml:space="preserve"> is further complicated by its transitory and dynamic nature in practice</w:t>
      </w:r>
      <w:r w:rsidRPr="00E869A4">
        <w:rPr>
          <w:rStyle w:val="FootnoteReference"/>
          <w:rFonts w:ascii="Times New Roman" w:hAnsi="Times New Roman" w:cs="Times New Roman"/>
          <w:szCs w:val="24"/>
        </w:rPr>
        <w:footnoteReference w:id="31"/>
      </w:r>
      <w:r w:rsidRPr="00E869A4">
        <w:rPr>
          <w:rFonts w:ascii="Times New Roman" w:hAnsi="Times New Roman" w:cs="Times New Roman"/>
          <w:szCs w:val="24"/>
        </w:rPr>
        <w:t>, its diverse conceptuali</w:t>
      </w:r>
      <w:r w:rsidR="00B32734" w:rsidRPr="00E869A4">
        <w:rPr>
          <w:rFonts w:ascii="Times New Roman" w:hAnsi="Times New Roman" w:cs="Times New Roman"/>
          <w:szCs w:val="24"/>
        </w:rPr>
        <w:t>s</w:t>
      </w:r>
      <w:r w:rsidRPr="00E869A4">
        <w:rPr>
          <w:rFonts w:ascii="Times New Roman" w:hAnsi="Times New Roman" w:cs="Times New Roman"/>
          <w:szCs w:val="24"/>
        </w:rPr>
        <w:t>ations across human science disciplines, and the difficulty in translating the term into a suitable equivalent in some languages (</w:t>
      </w:r>
      <w:r w:rsidR="00C47CE7" w:rsidRPr="00E869A4">
        <w:rPr>
          <w:rFonts w:ascii="Times New Roman" w:hAnsi="Times New Roman" w:cs="Times New Roman"/>
          <w:szCs w:val="24"/>
        </w:rPr>
        <w:t xml:space="preserve">Daly &amp; Lewis 2000; </w:t>
      </w:r>
      <w:r w:rsidRPr="00E869A4">
        <w:rPr>
          <w:rFonts w:ascii="Times New Roman" w:hAnsi="Times New Roman" w:cs="Times New Roman"/>
          <w:szCs w:val="24"/>
        </w:rPr>
        <w:t>Masuy 2011; Reinhard et al</w:t>
      </w:r>
      <w:r w:rsidR="00C47CE7" w:rsidRPr="00E869A4">
        <w:rPr>
          <w:rFonts w:ascii="Times New Roman" w:hAnsi="Times New Roman" w:cs="Times New Roman"/>
          <w:szCs w:val="24"/>
        </w:rPr>
        <w:t>.</w:t>
      </w:r>
      <w:r w:rsidRPr="00E869A4">
        <w:rPr>
          <w:rFonts w:ascii="Times New Roman" w:hAnsi="Times New Roman" w:cs="Times New Roman"/>
          <w:szCs w:val="24"/>
        </w:rPr>
        <w:t xml:space="preserve"> 2008</w:t>
      </w:r>
      <w:r w:rsidR="00200BC2" w:rsidRPr="00E869A4">
        <w:rPr>
          <w:rFonts w:ascii="Times New Roman" w:hAnsi="Times New Roman" w:cs="Times New Roman"/>
          <w:szCs w:val="24"/>
        </w:rPr>
        <w:t>a</w:t>
      </w:r>
      <w:r w:rsidRPr="00E869A4">
        <w:rPr>
          <w:rFonts w:ascii="Times New Roman" w:hAnsi="Times New Roman" w:cs="Times New Roman"/>
          <w:szCs w:val="24"/>
        </w:rPr>
        <w:t>). Distinguishing between ‘</w:t>
      </w:r>
      <w:r w:rsidRPr="00E869A4">
        <w:rPr>
          <w:rFonts w:ascii="Times New Roman" w:hAnsi="Times New Roman" w:cs="Times New Roman"/>
          <w:iCs/>
          <w:szCs w:val="24"/>
        </w:rPr>
        <w:t>caring</w:t>
      </w:r>
      <w:r w:rsidRPr="00E869A4">
        <w:rPr>
          <w:rFonts w:ascii="Times New Roman" w:hAnsi="Times New Roman" w:cs="Times New Roman"/>
          <w:i/>
          <w:szCs w:val="24"/>
        </w:rPr>
        <w:t xml:space="preserve"> </w:t>
      </w:r>
      <w:r w:rsidRPr="00E869A4">
        <w:rPr>
          <w:rFonts w:ascii="Times New Roman" w:hAnsi="Times New Roman" w:cs="Times New Roman"/>
          <w:iCs/>
          <w:szCs w:val="24"/>
        </w:rPr>
        <w:t>about</w:t>
      </w:r>
      <w:r w:rsidRPr="00E869A4">
        <w:rPr>
          <w:rFonts w:ascii="Times New Roman" w:hAnsi="Times New Roman" w:cs="Times New Roman"/>
          <w:i/>
          <w:szCs w:val="24"/>
        </w:rPr>
        <w:t xml:space="preserve"> </w:t>
      </w:r>
      <w:r w:rsidRPr="00E869A4">
        <w:rPr>
          <w:rFonts w:ascii="Times New Roman" w:hAnsi="Times New Roman" w:cs="Times New Roman"/>
          <w:iCs/>
          <w:szCs w:val="24"/>
        </w:rPr>
        <w:t>someone’</w:t>
      </w:r>
      <w:r w:rsidRPr="00E869A4">
        <w:rPr>
          <w:rFonts w:ascii="Times New Roman" w:hAnsi="Times New Roman" w:cs="Times New Roman"/>
          <w:szCs w:val="24"/>
        </w:rPr>
        <w:t xml:space="preserve"> (having caring feelings) and ‘</w:t>
      </w:r>
      <w:r w:rsidRPr="00E869A4">
        <w:rPr>
          <w:rFonts w:ascii="Times New Roman" w:hAnsi="Times New Roman" w:cs="Times New Roman"/>
          <w:iCs/>
          <w:szCs w:val="24"/>
        </w:rPr>
        <w:t>caring</w:t>
      </w:r>
      <w:r w:rsidRPr="00E869A4">
        <w:rPr>
          <w:rFonts w:ascii="Times New Roman" w:hAnsi="Times New Roman" w:cs="Times New Roman"/>
          <w:i/>
          <w:szCs w:val="24"/>
        </w:rPr>
        <w:t xml:space="preserve"> </w:t>
      </w:r>
      <w:r w:rsidRPr="00E869A4">
        <w:rPr>
          <w:rFonts w:ascii="Times New Roman" w:hAnsi="Times New Roman" w:cs="Times New Roman"/>
          <w:iCs/>
          <w:szCs w:val="24"/>
        </w:rPr>
        <w:t>for</w:t>
      </w:r>
      <w:r w:rsidRPr="00E869A4">
        <w:rPr>
          <w:rFonts w:ascii="Times New Roman" w:hAnsi="Times New Roman" w:cs="Times New Roman"/>
          <w:i/>
          <w:szCs w:val="24"/>
        </w:rPr>
        <w:t xml:space="preserve"> </w:t>
      </w:r>
      <w:r w:rsidRPr="00E869A4">
        <w:rPr>
          <w:rFonts w:ascii="Times New Roman" w:hAnsi="Times New Roman" w:cs="Times New Roman"/>
          <w:iCs/>
          <w:szCs w:val="24"/>
        </w:rPr>
        <w:t>someone’</w:t>
      </w:r>
      <w:r w:rsidRPr="00E869A4">
        <w:rPr>
          <w:rFonts w:ascii="Times New Roman" w:hAnsi="Times New Roman" w:cs="Times New Roman"/>
          <w:szCs w:val="24"/>
        </w:rPr>
        <w:t xml:space="preserve"> (carrying out care work) is one of many areas </w:t>
      </w:r>
      <w:r w:rsidR="00200BC2" w:rsidRPr="00E869A4">
        <w:rPr>
          <w:rFonts w:ascii="Times New Roman" w:hAnsi="Times New Roman" w:cs="Times New Roman"/>
          <w:szCs w:val="24"/>
        </w:rPr>
        <w:t>in which</w:t>
      </w:r>
      <w:r w:rsidRPr="00E869A4">
        <w:rPr>
          <w:rFonts w:ascii="Times New Roman" w:hAnsi="Times New Roman" w:cs="Times New Roman"/>
          <w:szCs w:val="24"/>
        </w:rPr>
        <w:t xml:space="preserve"> researchers have sought to achieve clarity and consistency</w:t>
      </w:r>
      <w:r w:rsidR="00200BC2" w:rsidRPr="00E869A4">
        <w:rPr>
          <w:rFonts w:ascii="Times New Roman" w:hAnsi="Times New Roman" w:cs="Times New Roman"/>
          <w:szCs w:val="24"/>
        </w:rPr>
        <w:t xml:space="preserve"> (Thomas 1993)</w:t>
      </w:r>
      <w:r w:rsidRPr="00E869A4">
        <w:rPr>
          <w:rFonts w:ascii="Times New Roman" w:hAnsi="Times New Roman" w:cs="Times New Roman"/>
          <w:szCs w:val="24"/>
        </w:rPr>
        <w:t xml:space="preserve">. </w:t>
      </w:r>
      <w:r w:rsidR="00DC5446" w:rsidRPr="00E869A4">
        <w:rPr>
          <w:rFonts w:ascii="Times New Roman" w:hAnsi="Times New Roman" w:cs="Times New Roman"/>
          <w:szCs w:val="24"/>
        </w:rPr>
        <w:t>C</w:t>
      </w:r>
      <w:r w:rsidRPr="00E869A4">
        <w:rPr>
          <w:rFonts w:ascii="Times New Roman" w:hAnsi="Times New Roman" w:cs="Times New Roman"/>
          <w:szCs w:val="24"/>
        </w:rPr>
        <w:t xml:space="preserve">are at the </w:t>
      </w:r>
      <w:r w:rsidR="00C47CE7" w:rsidRPr="00E869A4">
        <w:rPr>
          <w:rFonts w:ascii="Times New Roman" w:hAnsi="Times New Roman" w:cs="Times New Roman"/>
          <w:szCs w:val="24"/>
        </w:rPr>
        <w:t>micro</w:t>
      </w:r>
      <w:r w:rsidRPr="00E869A4">
        <w:rPr>
          <w:rFonts w:ascii="Times New Roman" w:hAnsi="Times New Roman" w:cs="Times New Roman"/>
          <w:szCs w:val="24"/>
        </w:rPr>
        <w:t>-level of reality</w:t>
      </w:r>
      <w:r w:rsidR="00DC5446" w:rsidRPr="00E869A4">
        <w:rPr>
          <w:rFonts w:ascii="Times New Roman" w:hAnsi="Times New Roman" w:cs="Times New Roman"/>
          <w:szCs w:val="24"/>
        </w:rPr>
        <w:t xml:space="preserve"> (</w:t>
      </w:r>
      <w:r w:rsidRPr="00E869A4">
        <w:rPr>
          <w:rFonts w:ascii="Times New Roman" w:hAnsi="Times New Roman" w:cs="Times New Roman"/>
          <w:szCs w:val="24"/>
        </w:rPr>
        <w:t>which is generally associated with practical activities and emotional care support provided by family caregivers in the private/domestic sphere</w:t>
      </w:r>
      <w:r w:rsidR="00DC5446" w:rsidRPr="00E869A4">
        <w:rPr>
          <w:rFonts w:ascii="Times New Roman" w:hAnsi="Times New Roman" w:cs="Times New Roman"/>
          <w:szCs w:val="24"/>
        </w:rPr>
        <w:t>)</w:t>
      </w:r>
      <w:r w:rsidRPr="00E869A4">
        <w:rPr>
          <w:rFonts w:ascii="Times New Roman" w:hAnsi="Times New Roman" w:cs="Times New Roman"/>
          <w:szCs w:val="24"/>
        </w:rPr>
        <w:t>, and, the macro-level of care</w:t>
      </w:r>
      <w:r w:rsidR="00DC5446" w:rsidRPr="00E869A4">
        <w:rPr>
          <w:rFonts w:ascii="Times New Roman" w:hAnsi="Times New Roman" w:cs="Times New Roman"/>
          <w:szCs w:val="24"/>
        </w:rPr>
        <w:t xml:space="preserve"> (</w:t>
      </w:r>
      <w:r w:rsidRPr="00E869A4">
        <w:rPr>
          <w:rFonts w:ascii="Times New Roman" w:hAnsi="Times New Roman" w:cs="Times New Roman"/>
          <w:szCs w:val="24"/>
        </w:rPr>
        <w:t xml:space="preserve">which focuses on larger structural questions about what should be done by </w:t>
      </w:r>
      <w:r w:rsidRPr="00E869A4">
        <w:rPr>
          <w:rFonts w:ascii="Times New Roman" w:hAnsi="Times New Roman" w:cs="Times New Roman"/>
          <w:szCs w:val="24"/>
        </w:rPr>
        <w:lastRenderedPageBreak/>
        <w:t>institutions, people and practices to accomplish practical care tasks</w:t>
      </w:r>
      <w:r w:rsidR="00DC5446" w:rsidRPr="00E869A4">
        <w:rPr>
          <w:rFonts w:ascii="Times New Roman" w:hAnsi="Times New Roman" w:cs="Times New Roman"/>
          <w:szCs w:val="24"/>
        </w:rPr>
        <w:t>)</w:t>
      </w:r>
      <w:r w:rsidRPr="00E869A4">
        <w:rPr>
          <w:rFonts w:ascii="Times New Roman" w:hAnsi="Times New Roman" w:cs="Times New Roman"/>
          <w:szCs w:val="24"/>
        </w:rPr>
        <w:t xml:space="preserve"> is also an important </w:t>
      </w:r>
      <w:r w:rsidR="00DC5446" w:rsidRPr="00E869A4">
        <w:rPr>
          <w:rFonts w:ascii="Times New Roman" w:hAnsi="Times New Roman" w:cs="Times New Roman"/>
          <w:szCs w:val="24"/>
        </w:rPr>
        <w:t>consideration when</w:t>
      </w:r>
      <w:r w:rsidRPr="00E869A4">
        <w:rPr>
          <w:rFonts w:ascii="Times New Roman" w:hAnsi="Times New Roman" w:cs="Times New Roman"/>
          <w:szCs w:val="24"/>
        </w:rPr>
        <w:t xml:space="preserve"> defining the term (Daly </w:t>
      </w:r>
      <w:r w:rsidR="00200BC2" w:rsidRPr="00E869A4">
        <w:rPr>
          <w:rFonts w:ascii="Times New Roman" w:hAnsi="Times New Roman" w:cs="Times New Roman"/>
          <w:szCs w:val="24"/>
        </w:rPr>
        <w:t xml:space="preserve">&amp; </w:t>
      </w:r>
      <w:r w:rsidRPr="00E869A4">
        <w:rPr>
          <w:rFonts w:ascii="Times New Roman" w:hAnsi="Times New Roman" w:cs="Times New Roman"/>
          <w:szCs w:val="24"/>
        </w:rPr>
        <w:t>Lewis 2000</w:t>
      </w:r>
      <w:r w:rsidR="00200BC2" w:rsidRPr="00E869A4">
        <w:rPr>
          <w:rFonts w:ascii="Times New Roman" w:hAnsi="Times New Roman" w:cs="Times New Roman"/>
          <w:szCs w:val="24"/>
        </w:rPr>
        <w:t>; Tronto 2013</w:t>
      </w:r>
      <w:r w:rsidR="005871CA" w:rsidRPr="00E869A4">
        <w:rPr>
          <w:rFonts w:ascii="Times New Roman" w:hAnsi="Times New Roman" w:cs="Times New Roman"/>
          <w:szCs w:val="24"/>
        </w:rPr>
        <w:t xml:space="preserve"> </w:t>
      </w:r>
      <w:r w:rsidR="00200BC2" w:rsidRPr="00E869A4">
        <w:rPr>
          <w:rFonts w:ascii="Times New Roman" w:hAnsi="Times New Roman" w:cs="Times New Roman"/>
          <w:szCs w:val="24"/>
        </w:rPr>
        <w:t xml:space="preserve">cited in </w:t>
      </w:r>
      <w:r w:rsidR="00200BC2" w:rsidRPr="00E869A4">
        <w:t>de Sã</w:t>
      </w:r>
      <w:r w:rsidR="005871CA" w:rsidRPr="00E869A4">
        <w:t xml:space="preserve">o José </w:t>
      </w:r>
      <w:r w:rsidR="00200BC2" w:rsidRPr="00E869A4">
        <w:t>2016)</w:t>
      </w:r>
      <w:r w:rsidRPr="00E869A4">
        <w:rPr>
          <w:rFonts w:ascii="Times New Roman" w:hAnsi="Times New Roman" w:cs="Times New Roman"/>
          <w:szCs w:val="24"/>
        </w:rPr>
        <w:t xml:space="preserve">. </w:t>
      </w:r>
    </w:p>
    <w:p w14:paraId="2E91E506" w14:textId="77777777" w:rsidR="007211B3" w:rsidRPr="00E869A4" w:rsidRDefault="007211B3" w:rsidP="00BF77A7">
      <w:pPr>
        <w:rPr>
          <w:rFonts w:ascii="Times New Roman" w:hAnsi="Times New Roman" w:cs="Times New Roman"/>
          <w:szCs w:val="24"/>
        </w:rPr>
      </w:pPr>
    </w:p>
    <w:p w14:paraId="34A38849" w14:textId="4161D960" w:rsidR="001F077F" w:rsidRPr="00E869A4" w:rsidRDefault="001F077F" w:rsidP="00BF77A7">
      <w:pPr>
        <w:rPr>
          <w:rFonts w:ascii="Times New Roman" w:hAnsi="Times New Roman" w:cs="Times New Roman"/>
          <w:szCs w:val="24"/>
        </w:rPr>
      </w:pPr>
      <w:r w:rsidRPr="00E869A4">
        <w:rPr>
          <w:rFonts w:ascii="Times New Roman" w:hAnsi="Times New Roman" w:cs="Times New Roman"/>
          <w:szCs w:val="24"/>
        </w:rPr>
        <w:t xml:space="preserve">This complexity is further compounded by the interchangeable use of the terms </w:t>
      </w:r>
      <w:r w:rsidR="00F03FC2" w:rsidRPr="00E869A4">
        <w:rPr>
          <w:rFonts w:ascii="Times New Roman" w:hAnsi="Times New Roman" w:cs="Times New Roman"/>
          <w:szCs w:val="24"/>
        </w:rPr>
        <w:t>‘</w:t>
      </w:r>
      <w:r w:rsidRPr="00E869A4">
        <w:rPr>
          <w:rFonts w:ascii="Times New Roman" w:hAnsi="Times New Roman" w:cs="Times New Roman"/>
          <w:szCs w:val="24"/>
        </w:rPr>
        <w:t>family care</w:t>
      </w:r>
      <w:r w:rsidR="00F03FC2" w:rsidRPr="00E869A4">
        <w:rPr>
          <w:rFonts w:ascii="Times New Roman" w:hAnsi="Times New Roman" w:cs="Times New Roman"/>
          <w:szCs w:val="24"/>
        </w:rPr>
        <w:t>’</w:t>
      </w:r>
      <w:r w:rsidRPr="00E869A4">
        <w:rPr>
          <w:rFonts w:ascii="Times New Roman" w:hAnsi="Times New Roman" w:cs="Times New Roman"/>
          <w:szCs w:val="24"/>
        </w:rPr>
        <w:t xml:space="preserve"> and </w:t>
      </w:r>
      <w:r w:rsidR="00F03FC2" w:rsidRPr="00E869A4">
        <w:rPr>
          <w:rFonts w:ascii="Times New Roman" w:hAnsi="Times New Roman" w:cs="Times New Roman"/>
          <w:szCs w:val="24"/>
        </w:rPr>
        <w:t>‘</w:t>
      </w:r>
      <w:r w:rsidRPr="00E869A4">
        <w:rPr>
          <w:rFonts w:ascii="Times New Roman" w:hAnsi="Times New Roman" w:cs="Times New Roman"/>
          <w:szCs w:val="24"/>
        </w:rPr>
        <w:t>informal care</w:t>
      </w:r>
      <w:r w:rsidR="00F03FC2" w:rsidRPr="00E869A4">
        <w:rPr>
          <w:rFonts w:ascii="Times New Roman" w:hAnsi="Times New Roman" w:cs="Times New Roman"/>
          <w:szCs w:val="24"/>
        </w:rPr>
        <w:t>’</w:t>
      </w:r>
      <w:r w:rsidRPr="00E869A4">
        <w:rPr>
          <w:rFonts w:ascii="Times New Roman" w:hAnsi="Times New Roman" w:cs="Times New Roman"/>
          <w:szCs w:val="24"/>
        </w:rPr>
        <w:t xml:space="preserve"> by some researchers. Graham (1999)</w:t>
      </w:r>
      <w:r w:rsidR="00B17594" w:rsidRPr="00E869A4">
        <w:rPr>
          <w:rFonts w:ascii="Times New Roman" w:hAnsi="Times New Roman" w:cs="Times New Roman"/>
          <w:szCs w:val="24"/>
        </w:rPr>
        <w:t>,</w:t>
      </w:r>
      <w:r w:rsidRPr="00E869A4">
        <w:rPr>
          <w:rFonts w:ascii="Times New Roman" w:hAnsi="Times New Roman" w:cs="Times New Roman"/>
          <w:szCs w:val="24"/>
        </w:rPr>
        <w:t xml:space="preserve"> for example</w:t>
      </w:r>
      <w:r w:rsidR="00B17594" w:rsidRPr="00E869A4">
        <w:rPr>
          <w:rFonts w:ascii="Times New Roman" w:hAnsi="Times New Roman" w:cs="Times New Roman"/>
          <w:szCs w:val="24"/>
        </w:rPr>
        <w:t>,</w:t>
      </w:r>
      <w:r w:rsidRPr="00E869A4">
        <w:rPr>
          <w:rFonts w:ascii="Times New Roman" w:hAnsi="Times New Roman" w:cs="Times New Roman"/>
          <w:szCs w:val="24"/>
        </w:rPr>
        <w:t xml:space="preserve"> identified informal care as non-institutional, unpaid care provided through the bonds of kinship for individuals with a </w:t>
      </w:r>
      <w:r w:rsidR="00631078" w:rsidRPr="00E869A4">
        <w:rPr>
          <w:rFonts w:ascii="Times New Roman" w:hAnsi="Times New Roman" w:cs="Times New Roman"/>
          <w:szCs w:val="24"/>
        </w:rPr>
        <w:t>long-term</w:t>
      </w:r>
      <w:r w:rsidRPr="00E869A4">
        <w:rPr>
          <w:rFonts w:ascii="Times New Roman" w:hAnsi="Times New Roman" w:cs="Times New Roman"/>
          <w:szCs w:val="24"/>
        </w:rPr>
        <w:t xml:space="preserve"> need for help and support. However, while there are many similarities in how these terms are defined and applied, it has been argued by some scholars that the latter expression reduces the significance of a pre-existing familial bond. Subsuming family caregivers under the heading ‘</w:t>
      </w:r>
      <w:r w:rsidRPr="00E869A4">
        <w:rPr>
          <w:rFonts w:ascii="Times New Roman" w:hAnsi="Times New Roman" w:cs="Times New Roman"/>
          <w:iCs/>
          <w:szCs w:val="24"/>
        </w:rPr>
        <w:t>informal</w:t>
      </w:r>
      <w:r w:rsidRPr="00E869A4">
        <w:rPr>
          <w:rFonts w:ascii="Times New Roman" w:hAnsi="Times New Roman" w:cs="Times New Roman"/>
          <w:i/>
          <w:szCs w:val="24"/>
        </w:rPr>
        <w:t xml:space="preserve"> </w:t>
      </w:r>
      <w:r w:rsidRPr="00E869A4">
        <w:rPr>
          <w:rFonts w:ascii="Times New Roman" w:hAnsi="Times New Roman" w:cs="Times New Roman"/>
          <w:iCs/>
          <w:szCs w:val="24"/>
        </w:rPr>
        <w:t>care’</w:t>
      </w:r>
      <w:r w:rsidR="00B17594" w:rsidRPr="00E869A4">
        <w:rPr>
          <w:rFonts w:ascii="Times New Roman" w:hAnsi="Times New Roman" w:cs="Times New Roman"/>
          <w:szCs w:val="24"/>
        </w:rPr>
        <w:t>,</w:t>
      </w:r>
      <w:r w:rsidRPr="00E869A4">
        <w:rPr>
          <w:rFonts w:ascii="Times New Roman" w:hAnsi="Times New Roman" w:cs="Times New Roman"/>
          <w:szCs w:val="24"/>
        </w:rPr>
        <w:t xml:space="preserve"> it is claimed, camouflages a key distinction between family and volunteer caregivers i.e. that non-family caregivers tend to exercise more choice in their decision to become caregivers</w:t>
      </w:r>
      <w:r w:rsidR="00BA5325" w:rsidRPr="00E869A4">
        <w:rPr>
          <w:rFonts w:ascii="Times New Roman" w:hAnsi="Times New Roman" w:cs="Times New Roman"/>
          <w:szCs w:val="24"/>
        </w:rPr>
        <w:t>,</w:t>
      </w:r>
      <w:r w:rsidRPr="00E869A4">
        <w:rPr>
          <w:rFonts w:ascii="Times New Roman" w:hAnsi="Times New Roman" w:cs="Times New Roman"/>
          <w:szCs w:val="24"/>
        </w:rPr>
        <w:t xml:space="preserve"> and usually provide care support on a more intermittent basis when compared to the relatives of older persons </w:t>
      </w:r>
      <w:r w:rsidR="00B17594" w:rsidRPr="00E869A4">
        <w:rPr>
          <w:rFonts w:ascii="Times New Roman" w:hAnsi="Times New Roman" w:cs="Times New Roman"/>
          <w:szCs w:val="24"/>
        </w:rPr>
        <w:t>(</w:t>
      </w:r>
      <w:r w:rsidR="00BF77A7" w:rsidRPr="00E869A4">
        <w:rPr>
          <w:rFonts w:ascii="Times New Roman" w:hAnsi="Times New Roman" w:cs="Times New Roman"/>
          <w:szCs w:val="24"/>
        </w:rPr>
        <w:t>Friedemann-Sãnchez</w:t>
      </w:r>
      <w:r w:rsidR="00B17594" w:rsidRPr="00E869A4">
        <w:rPr>
          <w:rFonts w:ascii="Times New Roman" w:hAnsi="Times New Roman" w:cs="Times New Roman"/>
          <w:szCs w:val="24"/>
        </w:rPr>
        <w:t xml:space="preserve"> &amp; Griffin 2011)</w:t>
      </w:r>
      <w:r w:rsidRPr="00E869A4">
        <w:rPr>
          <w:rFonts w:ascii="Times New Roman" w:hAnsi="Times New Roman" w:cs="Times New Roman"/>
          <w:szCs w:val="24"/>
        </w:rPr>
        <w:t xml:space="preserve">. </w:t>
      </w:r>
    </w:p>
    <w:p w14:paraId="00B03882" w14:textId="77777777" w:rsidR="00952F46" w:rsidRPr="00E869A4" w:rsidRDefault="00952F46" w:rsidP="00A35FF8">
      <w:pPr>
        <w:rPr>
          <w:rFonts w:ascii="Times New Roman" w:hAnsi="Times New Roman" w:cs="Times New Roman"/>
          <w:szCs w:val="24"/>
        </w:rPr>
      </w:pPr>
    </w:p>
    <w:p w14:paraId="6548A2A9" w14:textId="5E71966E" w:rsidR="004642E2" w:rsidRPr="00E869A4" w:rsidRDefault="001F077F">
      <w:pPr>
        <w:rPr>
          <w:rFonts w:ascii="Times New Roman" w:hAnsi="Times New Roman" w:cs="Times New Roman"/>
          <w:szCs w:val="24"/>
        </w:rPr>
      </w:pPr>
      <w:r w:rsidRPr="00E869A4">
        <w:rPr>
          <w:rFonts w:ascii="Times New Roman" w:hAnsi="Times New Roman" w:cs="Times New Roman"/>
          <w:szCs w:val="24"/>
        </w:rPr>
        <w:t>One way to resolve this</w:t>
      </w:r>
      <w:r w:rsidR="00D4629B" w:rsidRPr="00E869A4">
        <w:rPr>
          <w:rFonts w:ascii="Times New Roman" w:hAnsi="Times New Roman" w:cs="Times New Roman"/>
          <w:szCs w:val="24"/>
        </w:rPr>
        <w:t>,</w:t>
      </w:r>
      <w:r w:rsidRPr="00E869A4">
        <w:rPr>
          <w:rFonts w:ascii="Times New Roman" w:hAnsi="Times New Roman" w:cs="Times New Roman"/>
          <w:szCs w:val="24"/>
        </w:rPr>
        <w:t xml:space="preserve"> might be to use the approach employed by </w:t>
      </w:r>
      <w:r w:rsidR="00E46D16" w:rsidRPr="00E869A4">
        <w:rPr>
          <w:rFonts w:ascii="Times New Roman" w:hAnsi="Times New Roman" w:cs="Times New Roman"/>
          <w:szCs w:val="24"/>
        </w:rPr>
        <w:t>Froggatt</w:t>
      </w:r>
      <w:r w:rsidRPr="00E869A4">
        <w:rPr>
          <w:rFonts w:ascii="Times New Roman" w:hAnsi="Times New Roman" w:cs="Times New Roman"/>
          <w:szCs w:val="24"/>
        </w:rPr>
        <w:t xml:space="preserve"> who defined informal caregiv</w:t>
      </w:r>
      <w:r w:rsidR="00D4629B" w:rsidRPr="00E869A4">
        <w:rPr>
          <w:rFonts w:ascii="Times New Roman" w:hAnsi="Times New Roman" w:cs="Times New Roman"/>
          <w:szCs w:val="24"/>
        </w:rPr>
        <w:t>ing</w:t>
      </w:r>
      <w:r w:rsidRPr="00E869A4">
        <w:rPr>
          <w:rFonts w:ascii="Times New Roman" w:hAnsi="Times New Roman" w:cs="Times New Roman"/>
          <w:szCs w:val="24"/>
        </w:rPr>
        <w:t xml:space="preserve"> as “care given by friends, family and neighbours without payment”</w:t>
      </w:r>
      <w:r w:rsidR="00EE65FA" w:rsidRPr="00E869A4">
        <w:rPr>
          <w:rFonts w:ascii="Times New Roman" w:hAnsi="Times New Roman" w:cs="Times New Roman"/>
          <w:szCs w:val="24"/>
        </w:rPr>
        <w:t xml:space="preserve"> </w:t>
      </w:r>
      <w:r w:rsidRPr="00E869A4">
        <w:rPr>
          <w:rFonts w:ascii="Times New Roman" w:hAnsi="Times New Roman" w:cs="Times New Roman"/>
          <w:szCs w:val="24"/>
        </w:rPr>
        <w:t>but also distinguished family carers from informal carer</w:t>
      </w:r>
      <w:r w:rsidR="00D4629B" w:rsidRPr="00E869A4">
        <w:rPr>
          <w:rFonts w:ascii="Times New Roman" w:hAnsi="Times New Roman" w:cs="Times New Roman"/>
          <w:szCs w:val="24"/>
        </w:rPr>
        <w:t>s</w:t>
      </w:r>
      <w:r w:rsidRPr="00E869A4">
        <w:rPr>
          <w:rFonts w:ascii="Times New Roman" w:hAnsi="Times New Roman" w:cs="Times New Roman"/>
          <w:szCs w:val="24"/>
        </w:rPr>
        <w:t xml:space="preserve"> by noting that the term family carer</w:t>
      </w:r>
      <w:r w:rsidRPr="00E869A4">
        <w:rPr>
          <w:rFonts w:ascii="Times New Roman" w:hAnsi="Times New Roman" w:cs="Times New Roman"/>
          <w:i/>
          <w:szCs w:val="24"/>
        </w:rPr>
        <w:t xml:space="preserve"> </w:t>
      </w:r>
      <w:r w:rsidR="00AF2890" w:rsidRPr="00E869A4">
        <w:rPr>
          <w:rFonts w:ascii="Times New Roman" w:hAnsi="Times New Roman" w:cs="Times New Roman"/>
          <w:szCs w:val="24"/>
        </w:rPr>
        <w:t>“</w:t>
      </w:r>
      <w:r w:rsidRPr="00E869A4">
        <w:rPr>
          <w:rFonts w:ascii="Times New Roman" w:hAnsi="Times New Roman" w:cs="Times New Roman"/>
          <w:szCs w:val="24"/>
        </w:rPr>
        <w:t>will be used to denote those doing unpaid family care”</w:t>
      </w:r>
      <w:r w:rsidR="00EE65FA" w:rsidRPr="00E869A4">
        <w:rPr>
          <w:rFonts w:ascii="Times New Roman" w:hAnsi="Times New Roman" w:cs="Times New Roman"/>
          <w:szCs w:val="24"/>
        </w:rPr>
        <w:t xml:space="preserve"> (Froggatt 1990, p. 4). </w:t>
      </w:r>
      <w:r w:rsidRPr="00E869A4">
        <w:rPr>
          <w:rFonts w:ascii="Times New Roman" w:hAnsi="Times New Roman" w:cs="Times New Roman"/>
          <w:szCs w:val="24"/>
        </w:rPr>
        <w:t xml:space="preserve"> </w:t>
      </w:r>
      <w:r w:rsidR="00D4629B" w:rsidRPr="00E869A4">
        <w:rPr>
          <w:rFonts w:ascii="Times New Roman" w:hAnsi="Times New Roman" w:cs="Times New Roman"/>
          <w:szCs w:val="24"/>
        </w:rPr>
        <w:t>However</w:t>
      </w:r>
      <w:r w:rsidRPr="00E869A4">
        <w:rPr>
          <w:rFonts w:ascii="Times New Roman" w:hAnsi="Times New Roman" w:cs="Times New Roman"/>
          <w:szCs w:val="24"/>
        </w:rPr>
        <w:t xml:space="preserve">, at the same time, this definition limits family care to </w:t>
      </w:r>
      <w:r w:rsidR="00FA3D89" w:rsidRPr="00E869A4">
        <w:rPr>
          <w:rFonts w:ascii="Times New Roman" w:hAnsi="Times New Roman" w:cs="Times New Roman"/>
          <w:szCs w:val="24"/>
        </w:rPr>
        <w:t>un</w:t>
      </w:r>
      <w:r w:rsidRPr="00E869A4">
        <w:rPr>
          <w:rFonts w:ascii="Times New Roman" w:hAnsi="Times New Roman" w:cs="Times New Roman"/>
          <w:szCs w:val="24"/>
        </w:rPr>
        <w:t>paid work, when in practice, some family carers might receive some form of financial remuneration for the support they provide to a relative. These and other challenges in conceptualising care are developed further in the ensuing sections</w:t>
      </w:r>
      <w:r w:rsidR="00BA5325" w:rsidRPr="00E869A4">
        <w:rPr>
          <w:rFonts w:ascii="Times New Roman" w:hAnsi="Times New Roman" w:cs="Times New Roman"/>
          <w:szCs w:val="24"/>
        </w:rPr>
        <w:t xml:space="preserve"> of this </w:t>
      </w:r>
      <w:r w:rsidR="00F705B5" w:rsidRPr="00E869A4">
        <w:rPr>
          <w:rFonts w:ascii="Times New Roman" w:hAnsi="Times New Roman" w:cs="Times New Roman"/>
          <w:szCs w:val="24"/>
        </w:rPr>
        <w:t>c</w:t>
      </w:r>
      <w:r w:rsidR="00BA5325" w:rsidRPr="00E869A4">
        <w:rPr>
          <w:rFonts w:ascii="Times New Roman" w:hAnsi="Times New Roman" w:cs="Times New Roman"/>
          <w:szCs w:val="24"/>
        </w:rPr>
        <w:t>hapter</w:t>
      </w:r>
      <w:r w:rsidRPr="00E869A4">
        <w:rPr>
          <w:rFonts w:ascii="Times New Roman" w:hAnsi="Times New Roman" w:cs="Times New Roman"/>
          <w:szCs w:val="24"/>
        </w:rPr>
        <w:t>. The remainder of this section explores the following subthemes: dependency and care; geopolitical variations in definitions of care</w:t>
      </w:r>
      <w:r w:rsidR="00B32734" w:rsidRPr="00E869A4">
        <w:rPr>
          <w:rFonts w:ascii="Times New Roman" w:hAnsi="Times New Roman" w:cs="Times New Roman"/>
          <w:szCs w:val="24"/>
        </w:rPr>
        <w:t>;</w:t>
      </w:r>
      <w:r w:rsidRPr="00E869A4">
        <w:rPr>
          <w:rFonts w:ascii="Times New Roman" w:hAnsi="Times New Roman" w:cs="Times New Roman"/>
          <w:szCs w:val="24"/>
        </w:rPr>
        <w:t xml:space="preserve"> feminist conceptualisations of care; identifying care</w:t>
      </w:r>
      <w:r w:rsidR="00C50173" w:rsidRPr="00E869A4">
        <w:rPr>
          <w:rFonts w:ascii="Times New Roman" w:hAnsi="Times New Roman" w:cs="Times New Roman"/>
          <w:szCs w:val="24"/>
        </w:rPr>
        <w:t>givers</w:t>
      </w:r>
      <w:r w:rsidR="00B32734" w:rsidRPr="00E869A4">
        <w:rPr>
          <w:rFonts w:ascii="Times New Roman" w:hAnsi="Times New Roman" w:cs="Times New Roman"/>
          <w:szCs w:val="24"/>
        </w:rPr>
        <w:t>;</w:t>
      </w:r>
      <w:r w:rsidR="00C50173" w:rsidRPr="00E869A4">
        <w:rPr>
          <w:rFonts w:ascii="Times New Roman" w:hAnsi="Times New Roman" w:cs="Times New Roman"/>
          <w:szCs w:val="24"/>
        </w:rPr>
        <w:t xml:space="preserve"> transnational care</w:t>
      </w:r>
      <w:r w:rsidR="00B32734" w:rsidRPr="00E869A4">
        <w:rPr>
          <w:rFonts w:ascii="Times New Roman" w:hAnsi="Times New Roman" w:cs="Times New Roman"/>
          <w:szCs w:val="24"/>
        </w:rPr>
        <w:t>;</w:t>
      </w:r>
      <w:r w:rsidR="00C50173" w:rsidRPr="00E869A4">
        <w:rPr>
          <w:rFonts w:ascii="Times New Roman" w:hAnsi="Times New Roman" w:cs="Times New Roman"/>
          <w:szCs w:val="24"/>
        </w:rPr>
        <w:t xml:space="preserve"> and</w:t>
      </w:r>
      <w:r w:rsidR="00B32734" w:rsidRPr="00E869A4">
        <w:rPr>
          <w:rFonts w:ascii="Times New Roman" w:hAnsi="Times New Roman" w:cs="Times New Roman"/>
          <w:szCs w:val="24"/>
        </w:rPr>
        <w:t>,</w:t>
      </w:r>
      <w:r w:rsidR="00C50173" w:rsidRPr="00E869A4">
        <w:rPr>
          <w:rFonts w:ascii="Times New Roman" w:hAnsi="Times New Roman" w:cs="Times New Roman"/>
          <w:szCs w:val="24"/>
        </w:rPr>
        <w:t xml:space="preserve"> </w:t>
      </w:r>
      <w:r w:rsidRPr="00E869A4">
        <w:rPr>
          <w:rFonts w:ascii="Times New Roman" w:hAnsi="Times New Roman" w:cs="Times New Roman"/>
          <w:szCs w:val="24"/>
        </w:rPr>
        <w:t>caregiving over the life</w:t>
      </w:r>
      <w:r w:rsidR="00F03FC2" w:rsidRPr="00E869A4">
        <w:rPr>
          <w:rFonts w:ascii="Times New Roman" w:hAnsi="Times New Roman" w:cs="Times New Roman"/>
          <w:szCs w:val="24"/>
        </w:rPr>
        <w:t>span</w:t>
      </w:r>
      <w:r w:rsidRPr="00E869A4">
        <w:rPr>
          <w:rFonts w:ascii="Times New Roman" w:hAnsi="Times New Roman" w:cs="Times New Roman"/>
          <w:szCs w:val="24"/>
        </w:rPr>
        <w:t xml:space="preserve">. It concludes by reviewing various attempts at developing a comprehensive definition of care. </w:t>
      </w:r>
      <w:bookmarkStart w:id="149" w:name="_Toc505015374"/>
    </w:p>
    <w:p w14:paraId="65973F51" w14:textId="77777777" w:rsidR="002914C7" w:rsidRPr="00E869A4" w:rsidRDefault="002914C7">
      <w:pPr>
        <w:rPr>
          <w:b/>
          <w:i/>
          <w:u w:val="single"/>
        </w:rPr>
      </w:pPr>
    </w:p>
    <w:p w14:paraId="0480123D" w14:textId="5FF6313C" w:rsidR="001F077F" w:rsidRPr="00E869A4" w:rsidRDefault="001F077F" w:rsidP="00E767AC">
      <w:pPr>
        <w:pStyle w:val="Heading4"/>
      </w:pPr>
      <w:r w:rsidRPr="00E869A4">
        <w:t>Dependency and Care</w:t>
      </w:r>
      <w:bookmarkEnd w:id="149"/>
    </w:p>
    <w:p w14:paraId="40486562" w14:textId="77777777" w:rsidR="00952F46" w:rsidRPr="00E869A4" w:rsidRDefault="00952F46" w:rsidP="0051234F">
      <w:pPr>
        <w:pStyle w:val="112"/>
        <w:rPr>
          <w:color w:val="auto"/>
        </w:rPr>
      </w:pPr>
    </w:p>
    <w:p w14:paraId="3466356C" w14:textId="328A47AE" w:rsidR="001F077F" w:rsidRPr="00E869A4" w:rsidRDefault="001F077F" w:rsidP="009545B7">
      <w:pPr>
        <w:rPr>
          <w:rFonts w:ascii="Times New Roman" w:hAnsi="Times New Roman" w:cs="Times New Roman"/>
          <w:noProof/>
          <w:szCs w:val="24"/>
        </w:rPr>
      </w:pPr>
      <w:r w:rsidRPr="00E869A4">
        <w:rPr>
          <w:rFonts w:ascii="Times New Roman" w:hAnsi="Times New Roman" w:cs="Times New Roman"/>
          <w:szCs w:val="24"/>
        </w:rPr>
        <w:t xml:space="preserve">Early definitions of family care were generally skewed to a dependency orientation where care was conceptualised as a unidirectional relationship whereby “an active and independent caregiver provides care to a passive, dependent and burdensome </w:t>
      </w:r>
      <w:r w:rsidR="00017799" w:rsidRPr="00E869A4">
        <w:rPr>
          <w:rFonts w:ascii="Times New Roman" w:hAnsi="Times New Roman" w:cs="Times New Roman"/>
          <w:szCs w:val="24"/>
        </w:rPr>
        <w:t>care recipient</w:t>
      </w:r>
      <w:r w:rsidR="009B0370" w:rsidRPr="00E869A4">
        <w:rPr>
          <w:rFonts w:ascii="Times New Roman" w:hAnsi="Times New Roman" w:cs="Times New Roman"/>
          <w:szCs w:val="24"/>
        </w:rPr>
        <w:t>.</w:t>
      </w:r>
      <w:r w:rsidRPr="00E869A4">
        <w:rPr>
          <w:rFonts w:ascii="Times New Roman" w:hAnsi="Times New Roman" w:cs="Times New Roman"/>
          <w:szCs w:val="24"/>
        </w:rPr>
        <w:t>” (</w:t>
      </w:r>
      <w:r w:rsidRPr="00E869A4">
        <w:rPr>
          <w:rFonts w:ascii="Times New Roman" w:hAnsi="Times New Roman" w:cs="Times New Roman"/>
          <w:noProof/>
          <w:szCs w:val="24"/>
        </w:rPr>
        <w:t>de São José 2016</w:t>
      </w:r>
      <w:r w:rsidR="009545B7" w:rsidRPr="00E869A4">
        <w:rPr>
          <w:rFonts w:ascii="Times New Roman" w:hAnsi="Times New Roman" w:cs="Times New Roman"/>
          <w:noProof/>
          <w:szCs w:val="24"/>
        </w:rPr>
        <w:t>, p.</w:t>
      </w:r>
      <w:r w:rsidRPr="00E869A4">
        <w:rPr>
          <w:rFonts w:ascii="Times New Roman" w:hAnsi="Times New Roman" w:cs="Times New Roman"/>
          <w:noProof/>
          <w:szCs w:val="24"/>
        </w:rPr>
        <w:t xml:space="preserve"> 60)</w:t>
      </w:r>
      <w:r w:rsidRPr="00E869A4">
        <w:rPr>
          <w:rFonts w:ascii="Times New Roman" w:hAnsi="Times New Roman" w:cs="Times New Roman"/>
          <w:szCs w:val="24"/>
        </w:rPr>
        <w:t>. Consequently, most of the studies conducted during that time</w:t>
      </w:r>
      <w:r w:rsidR="00BA5325" w:rsidRPr="00E869A4">
        <w:rPr>
          <w:rFonts w:ascii="Times New Roman" w:hAnsi="Times New Roman" w:cs="Times New Roman"/>
          <w:szCs w:val="24"/>
        </w:rPr>
        <w:t>,</w:t>
      </w:r>
      <w:r w:rsidRPr="00E869A4">
        <w:rPr>
          <w:rFonts w:ascii="Times New Roman" w:hAnsi="Times New Roman" w:cs="Times New Roman"/>
          <w:szCs w:val="24"/>
        </w:rPr>
        <w:t xml:space="preserve"> focused on the impact of care on the caregiver</w:t>
      </w:r>
      <w:r w:rsidR="00BA5325" w:rsidRPr="00E869A4">
        <w:rPr>
          <w:rFonts w:ascii="Times New Roman" w:hAnsi="Times New Roman" w:cs="Times New Roman"/>
          <w:szCs w:val="24"/>
        </w:rPr>
        <w:t>,</w:t>
      </w:r>
      <w:r w:rsidRPr="00E869A4">
        <w:rPr>
          <w:rFonts w:ascii="Times New Roman" w:hAnsi="Times New Roman" w:cs="Times New Roman"/>
          <w:szCs w:val="24"/>
        </w:rPr>
        <w:t xml:space="preserve"> with little </w:t>
      </w:r>
      <w:r w:rsidRPr="00E869A4">
        <w:rPr>
          <w:rFonts w:ascii="Times New Roman" w:hAnsi="Times New Roman" w:cs="Times New Roman"/>
          <w:szCs w:val="24"/>
        </w:rPr>
        <w:lastRenderedPageBreak/>
        <w:t xml:space="preserve">attention to the experiences and viewpoints of older </w:t>
      </w:r>
      <w:r w:rsidR="009E2738" w:rsidRPr="00E869A4">
        <w:rPr>
          <w:rFonts w:ascii="Times New Roman" w:hAnsi="Times New Roman" w:cs="Times New Roman"/>
          <w:szCs w:val="24"/>
        </w:rPr>
        <w:t>care recipient</w:t>
      </w:r>
      <w:r w:rsidRPr="00E869A4">
        <w:rPr>
          <w:rFonts w:ascii="Times New Roman" w:hAnsi="Times New Roman" w:cs="Times New Roman"/>
          <w:szCs w:val="24"/>
        </w:rPr>
        <w:t xml:space="preserve">s. There was also a tendency to exclude self-care practices as care was predominantly seen as support provided by others. </w:t>
      </w:r>
    </w:p>
    <w:p w14:paraId="501C3B63" w14:textId="77777777" w:rsidR="001F077F" w:rsidRPr="00E869A4" w:rsidRDefault="001F077F" w:rsidP="00A35FF8">
      <w:pPr>
        <w:pStyle w:val="ListParagraph"/>
        <w:autoSpaceDE w:val="0"/>
        <w:autoSpaceDN w:val="0"/>
        <w:adjustRightInd w:val="0"/>
        <w:ind w:left="1080"/>
        <w:contextualSpacing w:val="0"/>
        <w:rPr>
          <w:rFonts w:ascii="Times New Roman" w:hAnsi="Times New Roman" w:cs="Times New Roman"/>
          <w:szCs w:val="24"/>
        </w:rPr>
      </w:pPr>
    </w:p>
    <w:p w14:paraId="6BD51E3A" w14:textId="7D777B3A" w:rsidR="001F077F" w:rsidRPr="00E869A4" w:rsidRDefault="001F077F" w:rsidP="00AF35B0">
      <w:pPr>
        <w:rPr>
          <w:rFonts w:ascii="Times New Roman" w:hAnsi="Times New Roman" w:cs="Times New Roman"/>
          <w:szCs w:val="24"/>
        </w:rPr>
      </w:pPr>
      <w:r w:rsidRPr="00E869A4">
        <w:rPr>
          <w:rFonts w:ascii="Times New Roman" w:hAnsi="Times New Roman" w:cs="Times New Roman"/>
          <w:szCs w:val="24"/>
        </w:rPr>
        <w:t xml:space="preserve">In the mid-1990s, the Disability Movement provided a strong critique of the care literature, which they deemed as oppressive and objectifying. Disability scholars redirected the research agenda to </w:t>
      </w:r>
      <w:r w:rsidR="009E2738" w:rsidRPr="00E869A4">
        <w:rPr>
          <w:rFonts w:ascii="Times New Roman" w:hAnsi="Times New Roman" w:cs="Times New Roman"/>
          <w:szCs w:val="24"/>
        </w:rPr>
        <w:t>care recipient</w:t>
      </w:r>
      <w:r w:rsidRPr="00E869A4">
        <w:rPr>
          <w:rFonts w:ascii="Times New Roman" w:hAnsi="Times New Roman" w:cs="Times New Roman"/>
          <w:szCs w:val="24"/>
        </w:rPr>
        <w:t>s, and promoted research concepts and empirical studies on independence rather than dependence of people receiving care</w:t>
      </w:r>
      <w:r w:rsidR="00AF35B0" w:rsidRPr="00E869A4">
        <w:rPr>
          <w:rFonts w:ascii="Times New Roman" w:hAnsi="Times New Roman" w:cs="Times New Roman"/>
          <w:szCs w:val="24"/>
        </w:rPr>
        <w:t xml:space="preserve"> (Kroger 2009)</w:t>
      </w:r>
      <w:r w:rsidRPr="00E869A4">
        <w:rPr>
          <w:rFonts w:ascii="Times New Roman" w:hAnsi="Times New Roman" w:cs="Times New Roman"/>
          <w:szCs w:val="24"/>
        </w:rPr>
        <w:t>. The reciprocal nature of care</w:t>
      </w:r>
      <w:r w:rsidR="0058036F" w:rsidRPr="00E869A4">
        <w:rPr>
          <w:rFonts w:ascii="Times New Roman" w:hAnsi="Times New Roman" w:cs="Times New Roman"/>
          <w:szCs w:val="24"/>
        </w:rPr>
        <w:t>,</w:t>
      </w:r>
      <w:r w:rsidR="00F76744" w:rsidRPr="00E869A4">
        <w:rPr>
          <w:rFonts w:ascii="Times New Roman" w:hAnsi="Times New Roman" w:cs="Times New Roman"/>
          <w:szCs w:val="24"/>
        </w:rPr>
        <w:t xml:space="preserve"> </w:t>
      </w:r>
      <w:r w:rsidRPr="00E869A4">
        <w:rPr>
          <w:rFonts w:ascii="Times New Roman" w:hAnsi="Times New Roman" w:cs="Times New Roman"/>
          <w:szCs w:val="24"/>
        </w:rPr>
        <w:t xml:space="preserve">whereby frail older persons </w:t>
      </w:r>
      <w:r w:rsidR="00AF2890" w:rsidRPr="00E869A4">
        <w:rPr>
          <w:rFonts w:ascii="Times New Roman" w:hAnsi="Times New Roman" w:cs="Times New Roman"/>
          <w:szCs w:val="24"/>
        </w:rPr>
        <w:t>assist</w:t>
      </w:r>
      <w:r w:rsidRPr="00E869A4">
        <w:rPr>
          <w:rFonts w:ascii="Times New Roman" w:hAnsi="Times New Roman" w:cs="Times New Roman"/>
          <w:szCs w:val="24"/>
        </w:rPr>
        <w:t xml:space="preserve"> their family and friends who care for them, whether it be financially or through in-kind assistance</w:t>
      </w:r>
      <w:r w:rsidR="007D7511" w:rsidRPr="00E869A4">
        <w:rPr>
          <w:rFonts w:ascii="Times New Roman" w:hAnsi="Times New Roman" w:cs="Times New Roman"/>
          <w:szCs w:val="24"/>
        </w:rPr>
        <w:t>,</w:t>
      </w:r>
      <w:r w:rsidRPr="00E869A4">
        <w:rPr>
          <w:rFonts w:ascii="Times New Roman" w:hAnsi="Times New Roman" w:cs="Times New Roman"/>
          <w:szCs w:val="24"/>
        </w:rPr>
        <w:t xml:space="preserve"> has received some attention in more recent times. </w:t>
      </w:r>
      <w:r w:rsidR="00076166" w:rsidRPr="00E869A4">
        <w:rPr>
          <w:rFonts w:ascii="Times New Roman" w:hAnsi="Times New Roman" w:cs="Times New Roman"/>
          <w:szCs w:val="24"/>
        </w:rPr>
        <w:t xml:space="preserve">Nolan, Keady &amp; Grant </w:t>
      </w:r>
      <w:r w:rsidRPr="00E869A4">
        <w:rPr>
          <w:rFonts w:ascii="Times New Roman" w:hAnsi="Times New Roman" w:cs="Times New Roman"/>
          <w:szCs w:val="24"/>
        </w:rPr>
        <w:t>(1995) were strong advocates of this. They critiqued Bowers typology of care for excluding this feature</w:t>
      </w:r>
      <w:r w:rsidR="007D7511" w:rsidRPr="00E869A4">
        <w:rPr>
          <w:rFonts w:ascii="Times New Roman" w:hAnsi="Times New Roman" w:cs="Times New Roman"/>
          <w:szCs w:val="24"/>
        </w:rPr>
        <w:t>,</w:t>
      </w:r>
      <w:r w:rsidRPr="00E869A4">
        <w:rPr>
          <w:rFonts w:ascii="Times New Roman" w:hAnsi="Times New Roman" w:cs="Times New Roman"/>
          <w:szCs w:val="24"/>
        </w:rPr>
        <w:t xml:space="preserve"> and reformulated the typology so that the recipient of care was not depicted as a passive member of the care relationship. They acknowledged that the cared-for person might have a relatively limited role to play in various aspects of decision making, but deemed it untenable to propose that they have no input in the care experience whatsoever</w:t>
      </w:r>
      <w:r w:rsidR="007D7511" w:rsidRPr="00E869A4">
        <w:rPr>
          <w:rFonts w:ascii="Times New Roman" w:hAnsi="Times New Roman" w:cs="Times New Roman"/>
          <w:szCs w:val="24"/>
        </w:rPr>
        <w:t>,</w:t>
      </w:r>
      <w:r w:rsidRPr="00E869A4">
        <w:rPr>
          <w:rFonts w:ascii="Times New Roman" w:hAnsi="Times New Roman" w:cs="Times New Roman"/>
          <w:szCs w:val="24"/>
        </w:rPr>
        <w:t xml:space="preserve"> or are not providers of care themselves. Tronto, Finch and other feminist researchers also underscored this point as part of their critique of the false dichotomisation of care.  </w:t>
      </w:r>
    </w:p>
    <w:p w14:paraId="69F588E2" w14:textId="77777777" w:rsidR="00952F46" w:rsidRPr="00E869A4" w:rsidRDefault="00952F46" w:rsidP="00A35FF8">
      <w:pPr>
        <w:rPr>
          <w:rFonts w:ascii="Times New Roman" w:hAnsi="Times New Roman" w:cs="Times New Roman"/>
          <w:szCs w:val="24"/>
        </w:rPr>
      </w:pPr>
    </w:p>
    <w:p w14:paraId="31E422EE" w14:textId="2F580E36" w:rsidR="001F077F" w:rsidRPr="00E869A4" w:rsidRDefault="001F077F" w:rsidP="00CB5BB0">
      <w:pPr>
        <w:pStyle w:val="Heading4"/>
      </w:pPr>
      <w:bookmarkStart w:id="150" w:name="_Toc505015375"/>
      <w:r w:rsidRPr="00E869A4">
        <w:t>Geopolitical Differences in Conceptualising Care</w:t>
      </w:r>
      <w:bookmarkEnd w:id="150"/>
    </w:p>
    <w:p w14:paraId="46DD7DFD" w14:textId="77777777" w:rsidR="00263980" w:rsidRPr="00E869A4" w:rsidRDefault="00263980" w:rsidP="008A1693">
      <w:pPr>
        <w:rPr>
          <w:rFonts w:ascii="Times New Roman" w:hAnsi="Times New Roman" w:cs="Times New Roman"/>
          <w:szCs w:val="24"/>
        </w:rPr>
      </w:pPr>
    </w:p>
    <w:p w14:paraId="22531225" w14:textId="51DCB6B1" w:rsidR="001F077F" w:rsidRPr="00E869A4" w:rsidRDefault="001F077F" w:rsidP="008A1693">
      <w:pPr>
        <w:rPr>
          <w:rFonts w:ascii="Times New Roman" w:hAnsi="Times New Roman" w:cs="Times New Roman"/>
          <w:szCs w:val="24"/>
        </w:rPr>
      </w:pPr>
      <w:r w:rsidRPr="00E869A4">
        <w:rPr>
          <w:rFonts w:ascii="Times New Roman" w:hAnsi="Times New Roman" w:cs="Times New Roman"/>
          <w:szCs w:val="24"/>
        </w:rPr>
        <w:t xml:space="preserve">Discontinuities in definitions of care were also reflective of differences in the welfare </w:t>
      </w:r>
      <w:r w:rsidR="00F76744" w:rsidRPr="00E869A4">
        <w:rPr>
          <w:rFonts w:ascii="Times New Roman" w:hAnsi="Times New Roman" w:cs="Times New Roman"/>
          <w:szCs w:val="24"/>
        </w:rPr>
        <w:t>s</w:t>
      </w:r>
      <w:r w:rsidR="00DD03CE" w:rsidRPr="00E869A4">
        <w:rPr>
          <w:rFonts w:ascii="Times New Roman" w:hAnsi="Times New Roman" w:cs="Times New Roman"/>
          <w:szCs w:val="24"/>
        </w:rPr>
        <w:t>tate</w:t>
      </w:r>
      <w:r w:rsidRPr="00E869A4">
        <w:rPr>
          <w:rFonts w:ascii="Times New Roman" w:hAnsi="Times New Roman" w:cs="Times New Roman"/>
          <w:szCs w:val="24"/>
        </w:rPr>
        <w:t xml:space="preserve"> models and ideologies of different regions. In Scandinavian </w:t>
      </w:r>
      <w:r w:rsidR="00255FFA" w:rsidRPr="00E869A4">
        <w:rPr>
          <w:rFonts w:ascii="Times New Roman" w:hAnsi="Times New Roman" w:cs="Times New Roman"/>
          <w:szCs w:val="24"/>
        </w:rPr>
        <w:t>countries</w:t>
      </w:r>
      <w:r w:rsidRPr="00E869A4">
        <w:rPr>
          <w:rFonts w:ascii="Times New Roman" w:hAnsi="Times New Roman" w:cs="Times New Roman"/>
          <w:szCs w:val="24"/>
        </w:rPr>
        <w:t xml:space="preserve">, care is generally seen as an inherent duty of the </w:t>
      </w:r>
      <w:r w:rsidR="00A706BE" w:rsidRPr="00E869A4">
        <w:rPr>
          <w:rFonts w:ascii="Times New Roman" w:hAnsi="Times New Roman" w:cs="Times New Roman"/>
          <w:szCs w:val="24"/>
        </w:rPr>
        <w:t>s</w:t>
      </w:r>
      <w:r w:rsidR="00DD03CE" w:rsidRPr="00E869A4">
        <w:rPr>
          <w:rFonts w:ascii="Times New Roman" w:hAnsi="Times New Roman" w:cs="Times New Roman"/>
          <w:szCs w:val="24"/>
        </w:rPr>
        <w:t>tate</w:t>
      </w:r>
      <w:r w:rsidRPr="00E869A4">
        <w:rPr>
          <w:rFonts w:ascii="Times New Roman" w:hAnsi="Times New Roman" w:cs="Times New Roman"/>
          <w:szCs w:val="24"/>
        </w:rPr>
        <w:t xml:space="preserve"> and not just </w:t>
      </w:r>
      <w:r w:rsidR="007D7511" w:rsidRPr="00E869A4">
        <w:rPr>
          <w:rFonts w:ascii="Times New Roman" w:hAnsi="Times New Roman" w:cs="Times New Roman"/>
          <w:szCs w:val="24"/>
        </w:rPr>
        <w:t>a</w:t>
      </w:r>
      <w:r w:rsidRPr="00E869A4">
        <w:rPr>
          <w:rFonts w:ascii="Times New Roman" w:hAnsi="Times New Roman" w:cs="Times New Roman"/>
          <w:szCs w:val="24"/>
        </w:rPr>
        <w:t xml:space="preserve"> safety </w:t>
      </w:r>
      <w:r w:rsidR="00631078" w:rsidRPr="00E869A4">
        <w:rPr>
          <w:rFonts w:ascii="Times New Roman" w:hAnsi="Times New Roman" w:cs="Times New Roman"/>
          <w:szCs w:val="24"/>
        </w:rPr>
        <w:t>net that is offered when familial</w:t>
      </w:r>
      <w:r w:rsidRPr="00E869A4">
        <w:rPr>
          <w:rFonts w:ascii="Times New Roman" w:hAnsi="Times New Roman" w:cs="Times New Roman"/>
          <w:szCs w:val="24"/>
        </w:rPr>
        <w:t xml:space="preserve"> and community care fails. In the UK, the USA, and the Global South</w:t>
      </w:r>
      <w:r w:rsidR="00537872" w:rsidRPr="00E869A4">
        <w:rPr>
          <w:rFonts w:ascii="Times New Roman" w:hAnsi="Times New Roman" w:cs="Times New Roman"/>
          <w:szCs w:val="24"/>
        </w:rPr>
        <w:t>,</w:t>
      </w:r>
      <w:r w:rsidRPr="00E869A4">
        <w:rPr>
          <w:rFonts w:ascii="Times New Roman" w:hAnsi="Times New Roman" w:cs="Times New Roman"/>
          <w:szCs w:val="24"/>
        </w:rPr>
        <w:t xml:space="preserve"> the </w:t>
      </w:r>
      <w:r w:rsidR="00A706BE" w:rsidRPr="00E869A4">
        <w:rPr>
          <w:rFonts w:ascii="Times New Roman" w:hAnsi="Times New Roman" w:cs="Times New Roman"/>
          <w:szCs w:val="24"/>
        </w:rPr>
        <w:t>s</w:t>
      </w:r>
      <w:r w:rsidR="00DD03CE" w:rsidRPr="00E869A4">
        <w:rPr>
          <w:rFonts w:ascii="Times New Roman" w:hAnsi="Times New Roman" w:cs="Times New Roman"/>
          <w:szCs w:val="24"/>
        </w:rPr>
        <w:t>tate</w:t>
      </w:r>
      <w:r w:rsidRPr="00E869A4">
        <w:rPr>
          <w:rFonts w:ascii="Times New Roman" w:hAnsi="Times New Roman" w:cs="Times New Roman"/>
          <w:szCs w:val="24"/>
        </w:rPr>
        <w:t>’s approach to care provision evolved quite differently (Raghuram 2016). It follows that studies on care in the UK and USA initially focused on the private domain of care, while Scandinavian researchers privileged the public domain and formal care workers</w:t>
      </w:r>
      <w:r w:rsidR="007D7511" w:rsidRPr="00E869A4">
        <w:rPr>
          <w:rFonts w:ascii="Times New Roman" w:hAnsi="Times New Roman" w:cs="Times New Roman"/>
          <w:szCs w:val="24"/>
        </w:rPr>
        <w:t>. Researchers in Scandinavian countries</w:t>
      </w:r>
      <w:r w:rsidRPr="00E869A4">
        <w:rPr>
          <w:rFonts w:ascii="Times New Roman" w:hAnsi="Times New Roman" w:cs="Times New Roman"/>
          <w:szCs w:val="24"/>
        </w:rPr>
        <w:t xml:space="preserve"> only began to focus on family caregivers in the 1990s. Also, North American researchers favoured the use of stress-process theories such as that developed by Pearlin (1990), whilst British and Scandinavian researchers had a penchant for feminist theories and gender. It follows that the definitions of family care used by researchers in each region reflected these differences (</w:t>
      </w:r>
      <w:r w:rsidRPr="00E869A4">
        <w:rPr>
          <w:rFonts w:ascii="Times New Roman" w:hAnsi="Times New Roman" w:cs="Times New Roman"/>
          <w:noProof/>
          <w:szCs w:val="24"/>
        </w:rPr>
        <w:t>de São José 2016; Thomas 1993)</w:t>
      </w:r>
      <w:r w:rsidRPr="00E869A4">
        <w:rPr>
          <w:rFonts w:ascii="Times New Roman" w:hAnsi="Times New Roman" w:cs="Times New Roman"/>
          <w:szCs w:val="24"/>
        </w:rPr>
        <w:t xml:space="preserve">. Conceptualisations of care must continue to acknowledge such </w:t>
      </w:r>
      <w:r w:rsidR="007D7511" w:rsidRPr="00E869A4">
        <w:rPr>
          <w:rFonts w:ascii="Times New Roman" w:hAnsi="Times New Roman" w:cs="Times New Roman"/>
          <w:szCs w:val="24"/>
        </w:rPr>
        <w:t>cultural</w:t>
      </w:r>
      <w:r w:rsidRPr="00E869A4">
        <w:rPr>
          <w:rFonts w:ascii="Times New Roman" w:hAnsi="Times New Roman" w:cs="Times New Roman"/>
          <w:szCs w:val="24"/>
        </w:rPr>
        <w:t xml:space="preserve"> variations. </w:t>
      </w:r>
    </w:p>
    <w:p w14:paraId="2E9521AF" w14:textId="77777777" w:rsidR="004642E2" w:rsidRPr="00E869A4" w:rsidRDefault="004642E2" w:rsidP="00112260">
      <w:pPr>
        <w:pStyle w:val="Heading4"/>
      </w:pPr>
      <w:bookmarkStart w:id="151" w:name="_Toc505015376"/>
    </w:p>
    <w:p w14:paraId="27FFADA0" w14:textId="77777777" w:rsidR="009B0370" w:rsidRPr="00E869A4" w:rsidRDefault="009B0370">
      <w:pPr>
        <w:rPr>
          <w:b/>
          <w:i/>
          <w:u w:val="single"/>
        </w:rPr>
      </w:pPr>
      <w:r w:rsidRPr="00E869A4">
        <w:br w:type="page"/>
      </w:r>
    </w:p>
    <w:p w14:paraId="5D173F11" w14:textId="6BBF612B" w:rsidR="001F077F" w:rsidRPr="00E869A4" w:rsidRDefault="001F077F" w:rsidP="00CB5BB0">
      <w:pPr>
        <w:pStyle w:val="Heading4"/>
      </w:pPr>
      <w:r w:rsidRPr="00E869A4">
        <w:lastRenderedPageBreak/>
        <w:t xml:space="preserve">Feminist Critique </w:t>
      </w:r>
      <w:r w:rsidR="00263980" w:rsidRPr="00E869A4">
        <w:t xml:space="preserve">&amp; </w:t>
      </w:r>
      <w:r w:rsidRPr="00E869A4">
        <w:t>Contributions</w:t>
      </w:r>
      <w:bookmarkEnd w:id="151"/>
    </w:p>
    <w:p w14:paraId="3A3720C3" w14:textId="77777777" w:rsidR="00263980" w:rsidRPr="00E869A4" w:rsidRDefault="00263980" w:rsidP="008A1693">
      <w:pPr>
        <w:rPr>
          <w:rFonts w:ascii="Times New Roman" w:hAnsi="Times New Roman" w:cs="Times New Roman"/>
        </w:rPr>
      </w:pPr>
    </w:p>
    <w:p w14:paraId="09DED3D9" w14:textId="6ECEE2AD" w:rsidR="001F077F" w:rsidRPr="00E869A4" w:rsidRDefault="001F077F" w:rsidP="008A1693">
      <w:pPr>
        <w:rPr>
          <w:rFonts w:ascii="Times New Roman" w:hAnsi="Times New Roman" w:cs="Times New Roman"/>
          <w:szCs w:val="24"/>
        </w:rPr>
      </w:pPr>
      <w:r w:rsidRPr="00E869A4">
        <w:rPr>
          <w:rFonts w:ascii="Times New Roman" w:hAnsi="Times New Roman" w:cs="Times New Roman"/>
        </w:rPr>
        <w:t xml:space="preserve">Feminists have made significant contributions to the study of family care and to deconstructing it from the effects of patriarchy and other gender-biased notions. Authors writing from a feminist perspective were among the first to call attention to family caregiving, the disproportionate representation of women in caregiving roles and the historical undervaluing of the contributions of family carers that is tied to a prevailing ideology of patriarchy in private and public domains. </w:t>
      </w:r>
      <w:r w:rsidRPr="00E869A4">
        <w:rPr>
          <w:rFonts w:ascii="Times New Roman" w:hAnsi="Times New Roman" w:cs="Times New Roman"/>
          <w:szCs w:val="24"/>
        </w:rPr>
        <w:t>Janet Finch and Jennifer Mason are known for their significant contributions to research on family care. Based on her study of families in England, Finch (1989</w:t>
      </w:r>
      <w:r w:rsidR="00537872" w:rsidRPr="00E869A4">
        <w:rPr>
          <w:rFonts w:ascii="Times New Roman" w:hAnsi="Times New Roman" w:cs="Times New Roman"/>
          <w:szCs w:val="24"/>
        </w:rPr>
        <w:t xml:space="preserve"> cited in </w:t>
      </w:r>
      <w:r w:rsidR="00537872" w:rsidRPr="00E869A4">
        <w:rPr>
          <w:lang w:val="sv-SE"/>
        </w:rPr>
        <w:t>Baldassar 2007</w:t>
      </w:r>
      <w:r w:rsidRPr="00E869A4">
        <w:rPr>
          <w:rFonts w:ascii="Times New Roman" w:hAnsi="Times New Roman" w:cs="Times New Roman"/>
          <w:szCs w:val="24"/>
        </w:rPr>
        <w:t>) identified five (5) types of caregiving exchange or ‘</w:t>
      </w:r>
      <w:r w:rsidRPr="00E869A4">
        <w:rPr>
          <w:rFonts w:ascii="Times New Roman" w:hAnsi="Times New Roman" w:cs="Times New Roman"/>
          <w:iCs/>
          <w:szCs w:val="24"/>
        </w:rPr>
        <w:t>mutual</w:t>
      </w:r>
      <w:r w:rsidRPr="00E869A4">
        <w:rPr>
          <w:rFonts w:ascii="Times New Roman" w:hAnsi="Times New Roman" w:cs="Times New Roman"/>
          <w:i/>
          <w:szCs w:val="24"/>
        </w:rPr>
        <w:t xml:space="preserve"> </w:t>
      </w:r>
      <w:r w:rsidRPr="00E869A4">
        <w:rPr>
          <w:rFonts w:ascii="Times New Roman" w:hAnsi="Times New Roman" w:cs="Times New Roman"/>
          <w:iCs/>
          <w:szCs w:val="24"/>
        </w:rPr>
        <w:t>support’</w:t>
      </w:r>
      <w:r w:rsidRPr="00E869A4">
        <w:rPr>
          <w:rFonts w:ascii="Times New Roman" w:hAnsi="Times New Roman" w:cs="Times New Roman"/>
          <w:szCs w:val="24"/>
        </w:rPr>
        <w:t xml:space="preserve">: 1) </w:t>
      </w:r>
      <w:r w:rsidRPr="00E869A4">
        <w:rPr>
          <w:rFonts w:ascii="Times New Roman" w:hAnsi="Times New Roman" w:cs="Times New Roman"/>
          <w:i/>
          <w:szCs w:val="24"/>
        </w:rPr>
        <w:t>economic</w:t>
      </w:r>
      <w:r w:rsidRPr="00E869A4">
        <w:rPr>
          <w:rFonts w:ascii="Times New Roman" w:hAnsi="Times New Roman" w:cs="Times New Roman"/>
          <w:szCs w:val="24"/>
        </w:rPr>
        <w:t xml:space="preserve"> (financial support); 2) </w:t>
      </w:r>
      <w:r w:rsidRPr="00E869A4">
        <w:rPr>
          <w:rFonts w:ascii="Times New Roman" w:hAnsi="Times New Roman" w:cs="Times New Roman"/>
          <w:i/>
          <w:szCs w:val="24"/>
        </w:rPr>
        <w:t>accommodation</w:t>
      </w:r>
      <w:r w:rsidRPr="00E869A4">
        <w:rPr>
          <w:rFonts w:ascii="Times New Roman" w:hAnsi="Times New Roman" w:cs="Times New Roman"/>
          <w:szCs w:val="24"/>
        </w:rPr>
        <w:t xml:space="preserve">; 3) </w:t>
      </w:r>
      <w:r w:rsidRPr="00E869A4">
        <w:rPr>
          <w:rFonts w:ascii="Times New Roman" w:hAnsi="Times New Roman" w:cs="Times New Roman"/>
          <w:i/>
          <w:szCs w:val="24"/>
        </w:rPr>
        <w:t>personal</w:t>
      </w:r>
      <w:r w:rsidRPr="00E869A4">
        <w:rPr>
          <w:rFonts w:ascii="Times New Roman" w:hAnsi="Times New Roman" w:cs="Times New Roman"/>
          <w:szCs w:val="24"/>
        </w:rPr>
        <w:t xml:space="preserve"> (intimate or hands-on care); 4) </w:t>
      </w:r>
      <w:r w:rsidRPr="00E869A4">
        <w:rPr>
          <w:rFonts w:ascii="Times New Roman" w:hAnsi="Times New Roman" w:cs="Times New Roman"/>
          <w:i/>
          <w:szCs w:val="24"/>
        </w:rPr>
        <w:t>practical</w:t>
      </w:r>
      <w:r w:rsidRPr="00E869A4">
        <w:rPr>
          <w:rFonts w:ascii="Times New Roman" w:hAnsi="Times New Roman" w:cs="Times New Roman"/>
          <w:szCs w:val="24"/>
        </w:rPr>
        <w:t xml:space="preserve"> (e.g. assistance with household chores and childcare</w:t>
      </w:r>
      <w:r w:rsidR="000150F7" w:rsidRPr="00E869A4">
        <w:rPr>
          <w:rFonts w:ascii="Times New Roman" w:hAnsi="Times New Roman" w:cs="Times New Roman"/>
          <w:szCs w:val="24"/>
        </w:rPr>
        <w:t>)</w:t>
      </w:r>
      <w:r w:rsidRPr="00E869A4">
        <w:rPr>
          <w:rFonts w:ascii="Times New Roman" w:hAnsi="Times New Roman" w:cs="Times New Roman"/>
          <w:szCs w:val="24"/>
        </w:rPr>
        <w:t xml:space="preserve">; </w:t>
      </w:r>
      <w:r w:rsidR="00F76744" w:rsidRPr="00E869A4">
        <w:rPr>
          <w:rFonts w:ascii="Times New Roman" w:hAnsi="Times New Roman" w:cs="Times New Roman"/>
          <w:szCs w:val="24"/>
        </w:rPr>
        <w:t xml:space="preserve">and </w:t>
      </w:r>
      <w:r w:rsidRPr="00E869A4">
        <w:rPr>
          <w:rFonts w:ascii="Times New Roman" w:hAnsi="Times New Roman" w:cs="Times New Roman"/>
          <w:szCs w:val="24"/>
        </w:rPr>
        <w:t xml:space="preserve">5) </w:t>
      </w:r>
      <w:r w:rsidRPr="00E869A4">
        <w:rPr>
          <w:rFonts w:ascii="Times New Roman" w:hAnsi="Times New Roman" w:cs="Times New Roman"/>
          <w:i/>
          <w:szCs w:val="24"/>
        </w:rPr>
        <w:t>emotional and moral</w:t>
      </w:r>
      <w:r w:rsidRPr="00E869A4">
        <w:rPr>
          <w:rFonts w:ascii="Times New Roman" w:hAnsi="Times New Roman" w:cs="Times New Roman"/>
          <w:szCs w:val="24"/>
        </w:rPr>
        <w:t xml:space="preserve">.  </w:t>
      </w:r>
    </w:p>
    <w:p w14:paraId="4471DEB5" w14:textId="77777777" w:rsidR="00952F46" w:rsidRPr="00E869A4" w:rsidRDefault="00952F46" w:rsidP="00A35FF8">
      <w:pPr>
        <w:rPr>
          <w:rFonts w:ascii="Times New Roman" w:hAnsi="Times New Roman" w:cs="Times New Roman"/>
          <w:szCs w:val="24"/>
        </w:rPr>
      </w:pPr>
    </w:p>
    <w:p w14:paraId="5F79AC67" w14:textId="5064F5C5" w:rsidR="001F077F" w:rsidRPr="00E869A4" w:rsidRDefault="001F077F" w:rsidP="008A1693">
      <w:pPr>
        <w:rPr>
          <w:rFonts w:ascii="Times New Roman" w:hAnsi="Times New Roman" w:cs="Times New Roman"/>
        </w:rPr>
      </w:pPr>
      <w:r w:rsidRPr="00E869A4">
        <w:rPr>
          <w:rFonts w:ascii="Times New Roman" w:hAnsi="Times New Roman" w:cs="Times New Roman"/>
        </w:rPr>
        <w:t xml:space="preserve">Another feminist conceptualisation of care is that of </w:t>
      </w:r>
      <w:r w:rsidR="00B2093E" w:rsidRPr="00E869A4">
        <w:rPr>
          <w:rFonts w:ascii="Times New Roman" w:hAnsi="Times New Roman" w:cs="Times New Roman"/>
        </w:rPr>
        <w:t>‘attentive love’</w:t>
      </w:r>
      <w:r w:rsidRPr="00E869A4">
        <w:rPr>
          <w:rFonts w:ascii="Times New Roman" w:hAnsi="Times New Roman" w:cs="Times New Roman"/>
        </w:rPr>
        <w:t>. This concept was first introduced by Ruddick (1989</w:t>
      </w:r>
      <w:r w:rsidR="00537872" w:rsidRPr="00E869A4">
        <w:rPr>
          <w:rFonts w:ascii="Times New Roman" w:hAnsi="Times New Roman" w:cs="Times New Roman"/>
        </w:rPr>
        <w:t xml:space="preserve"> </w:t>
      </w:r>
      <w:r w:rsidR="00537872" w:rsidRPr="00E869A4">
        <w:rPr>
          <w:lang w:val="sv-SE"/>
        </w:rPr>
        <w:t>cited in Singer et al. 2009</w:t>
      </w:r>
      <w:r w:rsidRPr="00E869A4">
        <w:rPr>
          <w:rFonts w:ascii="Times New Roman" w:hAnsi="Times New Roman" w:cs="Times New Roman"/>
        </w:rPr>
        <w:t xml:space="preserve">) to explain the conflicting requirements of maternal </w:t>
      </w:r>
      <w:r w:rsidR="00631078" w:rsidRPr="00E869A4">
        <w:rPr>
          <w:rFonts w:ascii="Times New Roman" w:hAnsi="Times New Roman" w:cs="Times New Roman"/>
        </w:rPr>
        <w:t>childcare</w:t>
      </w:r>
      <w:r w:rsidR="007640FE" w:rsidRPr="00E869A4">
        <w:rPr>
          <w:rFonts w:ascii="Times New Roman" w:hAnsi="Times New Roman" w:cs="Times New Roman"/>
        </w:rPr>
        <w:t>,</w:t>
      </w:r>
      <w:r w:rsidRPr="00E869A4">
        <w:rPr>
          <w:rFonts w:ascii="Times New Roman" w:hAnsi="Times New Roman" w:cs="Times New Roman"/>
        </w:rPr>
        <w:t xml:space="preserve"> and was eventually applied to studies on the relationship between adult daughters and their mothers. In the context of child rearing, attentive love involves three demands that are often in conflict: 1) the need to protect and preserve the life of the child; 2) the need for nurturance to foster competence and independence over time; </w:t>
      </w:r>
      <w:r w:rsidR="00395FD7" w:rsidRPr="00E869A4">
        <w:rPr>
          <w:rFonts w:ascii="Times New Roman" w:hAnsi="Times New Roman" w:cs="Times New Roman"/>
        </w:rPr>
        <w:t xml:space="preserve">and, </w:t>
      </w:r>
      <w:r w:rsidRPr="00E869A4">
        <w:rPr>
          <w:rFonts w:ascii="Times New Roman" w:hAnsi="Times New Roman" w:cs="Times New Roman"/>
        </w:rPr>
        <w:t>3) the need ensure that the child is socialised in keeping with th</w:t>
      </w:r>
      <w:r w:rsidR="008A1693" w:rsidRPr="00E869A4">
        <w:rPr>
          <w:rFonts w:ascii="Times New Roman" w:hAnsi="Times New Roman" w:cs="Times New Roman"/>
        </w:rPr>
        <w:t xml:space="preserve">e surrounding culture so that </w:t>
      </w:r>
      <w:r w:rsidRPr="00E869A4">
        <w:rPr>
          <w:rFonts w:ascii="Times New Roman" w:hAnsi="Times New Roman" w:cs="Times New Roman"/>
        </w:rPr>
        <w:t>he</w:t>
      </w:r>
      <w:r w:rsidR="008A1693" w:rsidRPr="00E869A4">
        <w:rPr>
          <w:rFonts w:ascii="Times New Roman" w:hAnsi="Times New Roman" w:cs="Times New Roman"/>
        </w:rPr>
        <w:t>/she</w:t>
      </w:r>
      <w:r w:rsidRPr="00E869A4">
        <w:rPr>
          <w:rFonts w:ascii="Times New Roman" w:hAnsi="Times New Roman" w:cs="Times New Roman"/>
        </w:rPr>
        <w:t xml:space="preserve"> can be a productive contributor to society. These principles are transferrable to elder care situations. The desire to protect and preserve whilst ensuring independence is also reflected in </w:t>
      </w:r>
      <w:r w:rsidR="00076166" w:rsidRPr="00E869A4">
        <w:rPr>
          <w:rFonts w:ascii="Times New Roman" w:hAnsi="Times New Roman" w:cs="Times New Roman"/>
        </w:rPr>
        <w:t>Nolan, Keady &amp; Grant</w:t>
      </w:r>
      <w:r w:rsidRPr="00E869A4">
        <w:rPr>
          <w:rFonts w:ascii="Times New Roman" w:hAnsi="Times New Roman" w:cs="Times New Roman"/>
        </w:rPr>
        <w:t xml:space="preserve">’s </w:t>
      </w:r>
      <w:r w:rsidR="00076166" w:rsidRPr="00E869A4">
        <w:rPr>
          <w:rFonts w:ascii="Times New Roman" w:hAnsi="Times New Roman" w:cs="Times New Roman"/>
        </w:rPr>
        <w:t xml:space="preserve">(1995) </w:t>
      </w:r>
      <w:r w:rsidRPr="00E869A4">
        <w:rPr>
          <w:rFonts w:ascii="Times New Roman" w:hAnsi="Times New Roman" w:cs="Times New Roman"/>
        </w:rPr>
        <w:t xml:space="preserve">typology of care mentioned earlier. McGraw and Walker (2004) applied Ruddick’s concept in their study of mother and adult daughter care relationships. Their findings are discussed in the </w:t>
      </w:r>
      <w:r w:rsidR="009A717A" w:rsidRPr="00E869A4">
        <w:rPr>
          <w:rFonts w:ascii="Times New Roman" w:hAnsi="Times New Roman" w:cs="Times New Roman"/>
        </w:rPr>
        <w:t>chapter</w:t>
      </w:r>
      <w:r w:rsidRPr="00E869A4">
        <w:rPr>
          <w:rFonts w:ascii="Times New Roman" w:hAnsi="Times New Roman" w:cs="Times New Roman"/>
        </w:rPr>
        <w:t xml:space="preserve"> on coping and care management below. </w:t>
      </w:r>
    </w:p>
    <w:p w14:paraId="1AC9CA83" w14:textId="77777777" w:rsidR="0047120F" w:rsidRPr="00E869A4" w:rsidRDefault="0047120F" w:rsidP="008A1693">
      <w:pPr>
        <w:rPr>
          <w:rFonts w:ascii="Times New Roman" w:hAnsi="Times New Roman" w:cs="Times New Roman"/>
          <w:szCs w:val="24"/>
        </w:rPr>
      </w:pPr>
    </w:p>
    <w:p w14:paraId="4A96CE85" w14:textId="35FFB01E" w:rsidR="001F077F" w:rsidRPr="00E869A4" w:rsidRDefault="001F077F" w:rsidP="008A1693">
      <w:pPr>
        <w:rPr>
          <w:rFonts w:ascii="Times New Roman" w:hAnsi="Times New Roman" w:cs="Times New Roman"/>
          <w:szCs w:val="24"/>
        </w:rPr>
      </w:pPr>
      <w:r w:rsidRPr="00E869A4">
        <w:rPr>
          <w:rFonts w:ascii="Times New Roman" w:hAnsi="Times New Roman" w:cs="Times New Roman"/>
          <w:szCs w:val="24"/>
        </w:rPr>
        <w:t xml:space="preserve">A major contribution to the caregiving discourse </w:t>
      </w:r>
      <w:r w:rsidR="009A717A" w:rsidRPr="00E869A4">
        <w:rPr>
          <w:rFonts w:ascii="Times New Roman" w:hAnsi="Times New Roman" w:cs="Times New Roman"/>
          <w:szCs w:val="24"/>
        </w:rPr>
        <w:t>i</w:t>
      </w:r>
      <w:r w:rsidRPr="00E869A4">
        <w:rPr>
          <w:rFonts w:ascii="Times New Roman" w:hAnsi="Times New Roman" w:cs="Times New Roman"/>
          <w:szCs w:val="24"/>
        </w:rPr>
        <w:t xml:space="preserve">s the Ethics of Care Framework </w:t>
      </w:r>
      <w:r w:rsidR="00B07FCD" w:rsidRPr="00E869A4">
        <w:rPr>
          <w:rFonts w:ascii="Times New Roman" w:hAnsi="Times New Roman" w:cs="Times New Roman"/>
          <w:szCs w:val="24"/>
        </w:rPr>
        <w:t>(E</w:t>
      </w:r>
      <w:r w:rsidR="00F76744" w:rsidRPr="00E869A4">
        <w:rPr>
          <w:rFonts w:ascii="Times New Roman" w:hAnsi="Times New Roman" w:cs="Times New Roman"/>
          <w:szCs w:val="24"/>
        </w:rPr>
        <w:t>O</w:t>
      </w:r>
      <w:r w:rsidR="00B07FCD" w:rsidRPr="00E869A4">
        <w:rPr>
          <w:rFonts w:ascii="Times New Roman" w:hAnsi="Times New Roman" w:cs="Times New Roman"/>
          <w:szCs w:val="24"/>
        </w:rPr>
        <w:t xml:space="preserve">CF) </w:t>
      </w:r>
      <w:r w:rsidRPr="00E869A4">
        <w:rPr>
          <w:rFonts w:ascii="Times New Roman" w:hAnsi="Times New Roman" w:cs="Times New Roman"/>
          <w:szCs w:val="24"/>
        </w:rPr>
        <w:t xml:space="preserve">introduced by Tronto (1991 </w:t>
      </w:r>
      <w:r w:rsidR="008A1693" w:rsidRPr="00E869A4">
        <w:rPr>
          <w:rFonts w:ascii="Times New Roman" w:hAnsi="Times New Roman" w:cs="Times New Roman"/>
          <w:szCs w:val="24"/>
        </w:rPr>
        <w:t>&amp;</w:t>
      </w:r>
      <w:r w:rsidRPr="00E869A4">
        <w:rPr>
          <w:rFonts w:ascii="Times New Roman" w:hAnsi="Times New Roman" w:cs="Times New Roman"/>
          <w:szCs w:val="24"/>
        </w:rPr>
        <w:t xml:space="preserve"> 1993) and Fisher (1991), and later developed by other feminist researchers such as Sevenhuijsen (1998) and Marian Barnes (2006</w:t>
      </w:r>
      <w:r w:rsidR="008A1693" w:rsidRPr="00E869A4">
        <w:rPr>
          <w:rFonts w:ascii="Times New Roman" w:hAnsi="Times New Roman" w:cs="Times New Roman"/>
          <w:szCs w:val="24"/>
        </w:rPr>
        <w:t xml:space="preserve"> cited in de São José, 2016)</w:t>
      </w:r>
      <w:r w:rsidRPr="00E869A4">
        <w:rPr>
          <w:rFonts w:ascii="Times New Roman" w:hAnsi="Times New Roman" w:cs="Times New Roman"/>
          <w:szCs w:val="24"/>
        </w:rPr>
        <w:t xml:space="preserve">. Fisher </w:t>
      </w:r>
      <w:r w:rsidR="00383752" w:rsidRPr="00E869A4">
        <w:rPr>
          <w:rFonts w:ascii="Times New Roman" w:hAnsi="Times New Roman" w:cs="Times New Roman"/>
          <w:szCs w:val="24"/>
        </w:rPr>
        <w:t xml:space="preserve">and Tronto </w:t>
      </w:r>
      <w:r w:rsidRPr="00E869A4">
        <w:rPr>
          <w:rFonts w:ascii="Times New Roman" w:hAnsi="Times New Roman" w:cs="Times New Roman"/>
          <w:szCs w:val="24"/>
        </w:rPr>
        <w:t>(199</w:t>
      </w:r>
      <w:r w:rsidR="00383752" w:rsidRPr="00E869A4">
        <w:rPr>
          <w:rFonts w:ascii="Times New Roman" w:hAnsi="Times New Roman" w:cs="Times New Roman"/>
          <w:szCs w:val="24"/>
        </w:rPr>
        <w:t>0</w:t>
      </w:r>
      <w:r w:rsidR="007C24B9" w:rsidRPr="00E869A4">
        <w:rPr>
          <w:rFonts w:ascii="Times New Roman" w:hAnsi="Times New Roman" w:cs="Times New Roman"/>
          <w:szCs w:val="24"/>
        </w:rPr>
        <w:t xml:space="preserve">, p. </w:t>
      </w:r>
      <w:r w:rsidR="00383752" w:rsidRPr="00E869A4">
        <w:rPr>
          <w:rFonts w:ascii="Times New Roman" w:hAnsi="Times New Roman" w:cs="Times New Roman"/>
          <w:szCs w:val="24"/>
        </w:rPr>
        <w:t>40</w:t>
      </w:r>
      <w:r w:rsidR="007C24B9" w:rsidRPr="00E869A4">
        <w:rPr>
          <w:rFonts w:ascii="Times New Roman" w:hAnsi="Times New Roman" w:cs="Times New Roman"/>
          <w:szCs w:val="24"/>
        </w:rPr>
        <w:t>)</w:t>
      </w:r>
      <w:r w:rsidRPr="00E869A4">
        <w:rPr>
          <w:rFonts w:ascii="Times New Roman" w:hAnsi="Times New Roman" w:cs="Times New Roman"/>
          <w:szCs w:val="24"/>
        </w:rPr>
        <w:t xml:space="preserve"> broadly defined caring as: </w:t>
      </w:r>
    </w:p>
    <w:p w14:paraId="167DAC3F" w14:textId="77777777" w:rsidR="00952F46" w:rsidRPr="00E869A4" w:rsidRDefault="00952F46" w:rsidP="00A35FF8">
      <w:pPr>
        <w:rPr>
          <w:rFonts w:ascii="Times New Roman" w:hAnsi="Times New Roman" w:cs="Times New Roman"/>
          <w:szCs w:val="24"/>
        </w:rPr>
      </w:pPr>
    </w:p>
    <w:p w14:paraId="6E459DE3" w14:textId="459151B5" w:rsidR="001F077F" w:rsidRPr="00E869A4" w:rsidRDefault="00741C86" w:rsidP="00F01C2C">
      <w:pPr>
        <w:spacing w:line="240" w:lineRule="auto"/>
        <w:ind w:left="567" w:firstLine="0"/>
        <w:rPr>
          <w:rFonts w:ascii="Times New Roman" w:hAnsi="Times New Roman" w:cs="Times New Roman"/>
        </w:rPr>
      </w:pPr>
      <w:r w:rsidRPr="00E869A4">
        <w:rPr>
          <w:rFonts w:ascii="Times New Roman" w:hAnsi="Times New Roman" w:cs="Times New Roman"/>
        </w:rPr>
        <w:lastRenderedPageBreak/>
        <w:t xml:space="preserve"> [A]</w:t>
      </w:r>
      <w:r w:rsidR="001F077F" w:rsidRPr="00E869A4">
        <w:rPr>
          <w:rFonts w:ascii="Times New Roman" w:hAnsi="Times New Roman" w:cs="Times New Roman"/>
        </w:rPr>
        <w:t xml:space="preserve"> species activity that includes everything that we do to maintain, continue, and repair our </w:t>
      </w:r>
      <w:r w:rsidR="009C29B3" w:rsidRPr="00E869A4">
        <w:rPr>
          <w:rFonts w:ascii="Times New Roman" w:hAnsi="Times New Roman" w:cs="Times New Roman"/>
        </w:rPr>
        <w:t>‘</w:t>
      </w:r>
      <w:r w:rsidR="001F077F" w:rsidRPr="00E869A4">
        <w:rPr>
          <w:rFonts w:ascii="Times New Roman" w:hAnsi="Times New Roman" w:cs="Times New Roman"/>
        </w:rPr>
        <w:t>world</w:t>
      </w:r>
      <w:r w:rsidR="009C29B3" w:rsidRPr="00E869A4">
        <w:rPr>
          <w:rFonts w:ascii="Times New Roman" w:hAnsi="Times New Roman" w:cs="Times New Roman"/>
        </w:rPr>
        <w:t>’</w:t>
      </w:r>
      <w:r w:rsidR="001F077F" w:rsidRPr="00E869A4">
        <w:rPr>
          <w:rFonts w:ascii="Times New Roman" w:hAnsi="Times New Roman" w:cs="Times New Roman"/>
        </w:rPr>
        <w:t xml:space="preserve"> so that we can live in it as well as possible. That world includes our bodies, ourselves, and our environment, all of which we seek to interweave in a complex, life-sustaining web</w:t>
      </w:r>
      <w:r w:rsidR="007C24B9" w:rsidRPr="00E869A4">
        <w:rPr>
          <w:rFonts w:ascii="Times New Roman" w:hAnsi="Times New Roman" w:cs="Times New Roman"/>
        </w:rPr>
        <w:t>.</w:t>
      </w:r>
    </w:p>
    <w:p w14:paraId="7FC705B9" w14:textId="77777777" w:rsidR="00034071" w:rsidRPr="00E869A4" w:rsidRDefault="00034071" w:rsidP="00A35FF8">
      <w:pPr>
        <w:rPr>
          <w:rFonts w:ascii="Times New Roman" w:hAnsi="Times New Roman" w:cs="Times New Roman"/>
          <w:szCs w:val="24"/>
        </w:rPr>
      </w:pPr>
    </w:p>
    <w:p w14:paraId="11337894" w14:textId="2BC72094" w:rsidR="001F077F" w:rsidRPr="00E869A4" w:rsidRDefault="001F077F" w:rsidP="00A35FF8">
      <w:pPr>
        <w:rPr>
          <w:rFonts w:ascii="Times New Roman" w:hAnsi="Times New Roman" w:cs="Times New Roman"/>
          <w:szCs w:val="24"/>
        </w:rPr>
      </w:pPr>
      <w:r w:rsidRPr="00E869A4">
        <w:rPr>
          <w:rFonts w:ascii="Times New Roman" w:hAnsi="Times New Roman" w:cs="Times New Roman"/>
          <w:szCs w:val="24"/>
        </w:rPr>
        <w:t>In so doing, they integrated the dispositional, relational and activity aspects of care and provided an alternative to the limited conceptualisation of the term as a rational economic activity performed by independent competit</w:t>
      </w:r>
      <w:r w:rsidR="008A1693" w:rsidRPr="00E869A4">
        <w:rPr>
          <w:rFonts w:ascii="Times New Roman" w:hAnsi="Times New Roman" w:cs="Times New Roman"/>
          <w:szCs w:val="24"/>
        </w:rPr>
        <w:t xml:space="preserve">ive people. The </w:t>
      </w:r>
      <w:r w:rsidR="00B07FCD" w:rsidRPr="00E869A4">
        <w:rPr>
          <w:rFonts w:ascii="Times New Roman" w:hAnsi="Times New Roman" w:cs="Times New Roman"/>
          <w:szCs w:val="24"/>
        </w:rPr>
        <w:t>E</w:t>
      </w:r>
      <w:r w:rsidR="00F76744" w:rsidRPr="00E869A4">
        <w:rPr>
          <w:rFonts w:ascii="Times New Roman" w:hAnsi="Times New Roman" w:cs="Times New Roman"/>
          <w:szCs w:val="24"/>
        </w:rPr>
        <w:t>O</w:t>
      </w:r>
      <w:r w:rsidR="00B07FCD" w:rsidRPr="00E869A4">
        <w:rPr>
          <w:rFonts w:ascii="Times New Roman" w:hAnsi="Times New Roman" w:cs="Times New Roman"/>
          <w:szCs w:val="24"/>
        </w:rPr>
        <w:t>CF</w:t>
      </w:r>
      <w:r w:rsidRPr="00E869A4">
        <w:rPr>
          <w:rFonts w:ascii="Times New Roman" w:hAnsi="Times New Roman" w:cs="Times New Roman"/>
          <w:szCs w:val="24"/>
        </w:rPr>
        <w:t xml:space="preserve"> underscores the importance of political and moral implications of care at both the macro and micro levels of human interaction</w:t>
      </w:r>
      <w:r w:rsidR="00412E2B" w:rsidRPr="00E869A4">
        <w:rPr>
          <w:rFonts w:ascii="Times New Roman" w:hAnsi="Times New Roman" w:cs="Times New Roman"/>
          <w:szCs w:val="24"/>
        </w:rPr>
        <w:t>.</w:t>
      </w:r>
      <w:r w:rsidRPr="00E869A4">
        <w:rPr>
          <w:rFonts w:ascii="Times New Roman" w:hAnsi="Times New Roman" w:cs="Times New Roman"/>
          <w:szCs w:val="24"/>
        </w:rPr>
        <w:t xml:space="preserve"> </w:t>
      </w:r>
      <w:r w:rsidR="00412E2B" w:rsidRPr="00E869A4">
        <w:rPr>
          <w:rFonts w:ascii="Times New Roman" w:hAnsi="Times New Roman" w:cs="Times New Roman"/>
          <w:szCs w:val="24"/>
        </w:rPr>
        <w:t>D</w:t>
      </w:r>
      <w:r w:rsidRPr="00E869A4">
        <w:rPr>
          <w:rFonts w:ascii="Times New Roman" w:hAnsi="Times New Roman" w:cs="Times New Roman"/>
          <w:szCs w:val="24"/>
        </w:rPr>
        <w:t xml:space="preserve">ependency was identified as occurring on both sides of the care relationship. It gives attention to the dynamic nature of caregiving and the power shifts that are continually occurring between the parties involved in care. In so doing, the </w:t>
      </w:r>
      <w:r w:rsidR="00B07FCD" w:rsidRPr="00E869A4">
        <w:rPr>
          <w:rFonts w:ascii="Times New Roman" w:hAnsi="Times New Roman" w:cs="Times New Roman"/>
          <w:szCs w:val="24"/>
        </w:rPr>
        <w:t>E</w:t>
      </w:r>
      <w:r w:rsidR="00F76744" w:rsidRPr="00E869A4">
        <w:rPr>
          <w:rFonts w:ascii="Times New Roman" w:hAnsi="Times New Roman" w:cs="Times New Roman"/>
          <w:szCs w:val="24"/>
        </w:rPr>
        <w:t>O</w:t>
      </w:r>
      <w:r w:rsidR="00B07FCD" w:rsidRPr="00E869A4">
        <w:rPr>
          <w:rFonts w:ascii="Times New Roman" w:hAnsi="Times New Roman" w:cs="Times New Roman"/>
          <w:szCs w:val="24"/>
        </w:rPr>
        <w:t>CF</w:t>
      </w:r>
      <w:r w:rsidRPr="00E869A4">
        <w:rPr>
          <w:rFonts w:ascii="Times New Roman" w:hAnsi="Times New Roman" w:cs="Times New Roman"/>
          <w:szCs w:val="24"/>
        </w:rPr>
        <w:t xml:space="preserve"> helped to bring </w:t>
      </w:r>
      <w:r w:rsidR="009E2738" w:rsidRPr="00E869A4">
        <w:rPr>
          <w:rFonts w:ascii="Times New Roman" w:hAnsi="Times New Roman" w:cs="Times New Roman"/>
          <w:szCs w:val="24"/>
        </w:rPr>
        <w:t>care recipient</w:t>
      </w:r>
      <w:r w:rsidRPr="00E869A4">
        <w:rPr>
          <w:rFonts w:ascii="Times New Roman" w:hAnsi="Times New Roman" w:cs="Times New Roman"/>
          <w:szCs w:val="24"/>
        </w:rPr>
        <w:t>s from the periphery and closer to the centre of the family care discourse.</w:t>
      </w:r>
    </w:p>
    <w:p w14:paraId="7EA58EAB" w14:textId="77777777" w:rsidR="00952F46" w:rsidRPr="00E869A4" w:rsidRDefault="00952F46" w:rsidP="00A35FF8">
      <w:pPr>
        <w:rPr>
          <w:rFonts w:ascii="Times New Roman" w:hAnsi="Times New Roman" w:cs="Times New Roman"/>
          <w:szCs w:val="24"/>
        </w:rPr>
      </w:pPr>
    </w:p>
    <w:p w14:paraId="305F2C36" w14:textId="30448157" w:rsidR="001F077F" w:rsidRPr="00E869A4" w:rsidRDefault="001F077F" w:rsidP="008A1693">
      <w:pPr>
        <w:rPr>
          <w:rFonts w:ascii="Times New Roman" w:hAnsi="Times New Roman" w:cs="Times New Roman"/>
          <w:szCs w:val="24"/>
        </w:rPr>
      </w:pPr>
      <w:r w:rsidRPr="00E869A4">
        <w:rPr>
          <w:rFonts w:ascii="Times New Roman" w:hAnsi="Times New Roman" w:cs="Times New Roman"/>
          <w:szCs w:val="24"/>
        </w:rPr>
        <w:t xml:space="preserve">Tronto (1993) identified four key phases of care which helped to further describe its ethical nature: 1) </w:t>
      </w:r>
      <w:r w:rsidRPr="00E869A4">
        <w:rPr>
          <w:rFonts w:ascii="Times New Roman" w:hAnsi="Times New Roman" w:cs="Times New Roman"/>
          <w:i/>
          <w:iCs/>
          <w:szCs w:val="24"/>
        </w:rPr>
        <w:t>caring</w:t>
      </w:r>
      <w:r w:rsidRPr="00E869A4">
        <w:rPr>
          <w:rFonts w:ascii="Times New Roman" w:hAnsi="Times New Roman" w:cs="Times New Roman"/>
          <w:i/>
          <w:szCs w:val="24"/>
        </w:rPr>
        <w:t xml:space="preserve"> </w:t>
      </w:r>
      <w:r w:rsidRPr="00E869A4">
        <w:rPr>
          <w:rFonts w:ascii="Times New Roman" w:hAnsi="Times New Roman" w:cs="Times New Roman"/>
          <w:i/>
          <w:iCs/>
          <w:szCs w:val="24"/>
        </w:rPr>
        <w:t>about</w:t>
      </w:r>
      <w:r w:rsidRPr="00E869A4">
        <w:rPr>
          <w:rFonts w:ascii="Times New Roman" w:hAnsi="Times New Roman" w:cs="Times New Roman"/>
          <w:szCs w:val="24"/>
        </w:rPr>
        <w:t xml:space="preserve"> (recogni</w:t>
      </w:r>
      <w:r w:rsidR="00195E07" w:rsidRPr="00E869A4">
        <w:rPr>
          <w:rFonts w:ascii="Times New Roman" w:hAnsi="Times New Roman" w:cs="Times New Roman"/>
          <w:szCs w:val="24"/>
        </w:rPr>
        <w:t>s</w:t>
      </w:r>
      <w:r w:rsidRPr="00E869A4">
        <w:rPr>
          <w:rFonts w:ascii="Times New Roman" w:hAnsi="Times New Roman" w:cs="Times New Roman"/>
          <w:szCs w:val="24"/>
        </w:rPr>
        <w:t>ing unmet needs)</w:t>
      </w:r>
      <w:r w:rsidR="006C313D" w:rsidRPr="00E869A4">
        <w:rPr>
          <w:rFonts w:ascii="Times New Roman" w:hAnsi="Times New Roman" w:cs="Times New Roman"/>
          <w:szCs w:val="24"/>
        </w:rPr>
        <w:t>;</w:t>
      </w:r>
      <w:r w:rsidRPr="00E869A4">
        <w:rPr>
          <w:rFonts w:ascii="Times New Roman" w:hAnsi="Times New Roman" w:cs="Times New Roman"/>
          <w:szCs w:val="24"/>
        </w:rPr>
        <w:t xml:space="preserve"> 2) </w:t>
      </w:r>
      <w:r w:rsidRPr="00E869A4">
        <w:rPr>
          <w:rFonts w:ascii="Times New Roman" w:hAnsi="Times New Roman" w:cs="Times New Roman"/>
          <w:i/>
          <w:iCs/>
          <w:szCs w:val="24"/>
        </w:rPr>
        <w:t>taking</w:t>
      </w:r>
      <w:r w:rsidRPr="00E869A4">
        <w:rPr>
          <w:rFonts w:ascii="Times New Roman" w:hAnsi="Times New Roman" w:cs="Times New Roman"/>
          <w:i/>
          <w:szCs w:val="24"/>
        </w:rPr>
        <w:t xml:space="preserve"> </w:t>
      </w:r>
      <w:r w:rsidRPr="00E869A4">
        <w:rPr>
          <w:rFonts w:ascii="Times New Roman" w:hAnsi="Times New Roman" w:cs="Times New Roman"/>
          <w:i/>
          <w:iCs/>
          <w:szCs w:val="24"/>
        </w:rPr>
        <w:t>care</w:t>
      </w:r>
      <w:r w:rsidRPr="00E869A4">
        <w:rPr>
          <w:rFonts w:ascii="Times New Roman" w:hAnsi="Times New Roman" w:cs="Times New Roman"/>
          <w:i/>
          <w:szCs w:val="24"/>
        </w:rPr>
        <w:t xml:space="preserve"> of</w:t>
      </w:r>
      <w:r w:rsidRPr="00E869A4">
        <w:rPr>
          <w:rFonts w:ascii="Times New Roman" w:hAnsi="Times New Roman" w:cs="Times New Roman"/>
          <w:szCs w:val="24"/>
        </w:rPr>
        <w:t xml:space="preserve"> (assuming responsibility to meet care needs)</w:t>
      </w:r>
      <w:r w:rsidR="006C313D" w:rsidRPr="00E869A4">
        <w:rPr>
          <w:rFonts w:ascii="Times New Roman" w:hAnsi="Times New Roman" w:cs="Times New Roman"/>
          <w:szCs w:val="24"/>
        </w:rPr>
        <w:t>;</w:t>
      </w:r>
      <w:r w:rsidRPr="00E869A4">
        <w:rPr>
          <w:rFonts w:ascii="Times New Roman" w:hAnsi="Times New Roman" w:cs="Times New Roman"/>
          <w:szCs w:val="24"/>
        </w:rPr>
        <w:t xml:space="preserve"> 3) </w:t>
      </w:r>
      <w:r w:rsidRPr="00E869A4">
        <w:rPr>
          <w:rFonts w:ascii="Times New Roman" w:hAnsi="Times New Roman" w:cs="Times New Roman"/>
          <w:i/>
          <w:iCs/>
          <w:szCs w:val="24"/>
        </w:rPr>
        <w:t>caregiving</w:t>
      </w:r>
      <w:r w:rsidRPr="00E869A4">
        <w:rPr>
          <w:rFonts w:ascii="Times New Roman" w:hAnsi="Times New Roman" w:cs="Times New Roman"/>
          <w:i/>
          <w:szCs w:val="24"/>
        </w:rPr>
        <w:t xml:space="preserve"> </w:t>
      </w:r>
      <w:r w:rsidRPr="00E869A4">
        <w:rPr>
          <w:rFonts w:ascii="Times New Roman" w:hAnsi="Times New Roman" w:cs="Times New Roman"/>
          <w:szCs w:val="24"/>
        </w:rPr>
        <w:t>(undertaking concrete actions in order to meet the needs)</w:t>
      </w:r>
      <w:r w:rsidR="006C313D" w:rsidRPr="00E869A4">
        <w:rPr>
          <w:rFonts w:ascii="Times New Roman" w:hAnsi="Times New Roman" w:cs="Times New Roman"/>
          <w:szCs w:val="24"/>
        </w:rPr>
        <w:t>;</w:t>
      </w:r>
      <w:r w:rsidRPr="00E869A4">
        <w:rPr>
          <w:rFonts w:ascii="Times New Roman" w:hAnsi="Times New Roman" w:cs="Times New Roman"/>
          <w:szCs w:val="24"/>
        </w:rPr>
        <w:t xml:space="preserve"> and</w:t>
      </w:r>
      <w:r w:rsidR="006C313D" w:rsidRPr="00E869A4">
        <w:rPr>
          <w:rFonts w:ascii="Times New Roman" w:hAnsi="Times New Roman" w:cs="Times New Roman"/>
          <w:szCs w:val="24"/>
        </w:rPr>
        <w:t>,</w:t>
      </w:r>
      <w:r w:rsidRPr="00E869A4">
        <w:rPr>
          <w:rFonts w:ascii="Times New Roman" w:hAnsi="Times New Roman" w:cs="Times New Roman"/>
          <w:szCs w:val="24"/>
        </w:rPr>
        <w:t xml:space="preserve"> 4) </w:t>
      </w:r>
      <w:r w:rsidRPr="00E869A4">
        <w:rPr>
          <w:rFonts w:ascii="Times New Roman" w:hAnsi="Times New Roman" w:cs="Times New Roman"/>
          <w:i/>
          <w:iCs/>
          <w:szCs w:val="24"/>
        </w:rPr>
        <w:t>care-receiving</w:t>
      </w:r>
      <w:r w:rsidRPr="00E869A4">
        <w:rPr>
          <w:rFonts w:ascii="Times New Roman" w:hAnsi="Times New Roman" w:cs="Times New Roman"/>
          <w:i/>
          <w:szCs w:val="24"/>
        </w:rPr>
        <w:t xml:space="preserve"> </w:t>
      </w:r>
      <w:r w:rsidRPr="00E869A4">
        <w:rPr>
          <w:rFonts w:ascii="Times New Roman" w:hAnsi="Times New Roman" w:cs="Times New Roman"/>
          <w:szCs w:val="24"/>
        </w:rPr>
        <w:t xml:space="preserve">(responding to the care received). She denoted </w:t>
      </w:r>
      <w:r w:rsidRPr="00E869A4">
        <w:rPr>
          <w:rFonts w:ascii="Times New Roman" w:hAnsi="Times New Roman" w:cs="Times New Roman"/>
          <w:i/>
          <w:szCs w:val="24"/>
        </w:rPr>
        <w:t>‘good</w:t>
      </w:r>
      <w:r w:rsidR="00E025E1" w:rsidRPr="00E869A4">
        <w:rPr>
          <w:rFonts w:ascii="Times New Roman" w:hAnsi="Times New Roman" w:cs="Times New Roman"/>
          <w:i/>
          <w:szCs w:val="24"/>
        </w:rPr>
        <w:t xml:space="preserve"> </w:t>
      </w:r>
      <w:r w:rsidRPr="00E869A4">
        <w:rPr>
          <w:rFonts w:ascii="Times New Roman" w:hAnsi="Times New Roman" w:cs="Times New Roman"/>
          <w:i/>
          <w:szCs w:val="24"/>
        </w:rPr>
        <w:t>care</w:t>
      </w:r>
      <w:r w:rsidR="00E025E1" w:rsidRPr="00E869A4">
        <w:rPr>
          <w:rFonts w:ascii="Times New Roman" w:hAnsi="Times New Roman" w:cs="Times New Roman"/>
          <w:i/>
          <w:szCs w:val="24"/>
        </w:rPr>
        <w:t>’</w:t>
      </w:r>
      <w:r w:rsidRPr="00E869A4">
        <w:rPr>
          <w:rFonts w:ascii="Times New Roman" w:hAnsi="Times New Roman" w:cs="Times New Roman"/>
          <w:szCs w:val="24"/>
        </w:rPr>
        <w:t xml:space="preserve"> as being achieved once the four phases of care are realised with their concomitant ethical elements, namely: 1) </w:t>
      </w:r>
      <w:r w:rsidRPr="00E869A4">
        <w:rPr>
          <w:rFonts w:ascii="Times New Roman" w:hAnsi="Times New Roman" w:cs="Times New Roman"/>
          <w:i/>
          <w:iCs/>
          <w:szCs w:val="24"/>
        </w:rPr>
        <w:t>attentiveness</w:t>
      </w:r>
      <w:r w:rsidRPr="00E869A4">
        <w:rPr>
          <w:rFonts w:ascii="Times New Roman" w:hAnsi="Times New Roman" w:cs="Times New Roman"/>
          <w:szCs w:val="24"/>
        </w:rPr>
        <w:t xml:space="preserve"> (being </w:t>
      </w:r>
      <w:r w:rsidR="007640FE" w:rsidRPr="00E869A4">
        <w:rPr>
          <w:rFonts w:ascii="Times New Roman" w:hAnsi="Times New Roman" w:cs="Times New Roman"/>
          <w:szCs w:val="24"/>
        </w:rPr>
        <w:t>aware of</w:t>
      </w:r>
      <w:r w:rsidRPr="00E869A4">
        <w:rPr>
          <w:rFonts w:ascii="Times New Roman" w:hAnsi="Times New Roman" w:cs="Times New Roman"/>
          <w:szCs w:val="24"/>
        </w:rPr>
        <w:t xml:space="preserve"> unmet needs)</w:t>
      </w:r>
      <w:r w:rsidR="00395FD7" w:rsidRPr="00E869A4">
        <w:rPr>
          <w:rFonts w:ascii="Times New Roman" w:hAnsi="Times New Roman" w:cs="Times New Roman"/>
          <w:szCs w:val="24"/>
        </w:rPr>
        <w:t>;</w:t>
      </w:r>
      <w:r w:rsidRPr="00E869A4">
        <w:rPr>
          <w:rFonts w:ascii="Times New Roman" w:hAnsi="Times New Roman" w:cs="Times New Roman"/>
          <w:szCs w:val="24"/>
        </w:rPr>
        <w:t xml:space="preserve"> </w:t>
      </w:r>
      <w:r w:rsidR="00395FD7" w:rsidRPr="00E869A4">
        <w:rPr>
          <w:rFonts w:ascii="Times New Roman" w:hAnsi="Times New Roman" w:cs="Times New Roman"/>
          <w:szCs w:val="24"/>
        </w:rPr>
        <w:t xml:space="preserve">2) </w:t>
      </w:r>
      <w:r w:rsidRPr="00E869A4">
        <w:rPr>
          <w:rFonts w:ascii="Times New Roman" w:hAnsi="Times New Roman" w:cs="Times New Roman"/>
          <w:i/>
          <w:iCs/>
          <w:szCs w:val="24"/>
        </w:rPr>
        <w:t>responsibility</w:t>
      </w:r>
      <w:r w:rsidRPr="00E869A4">
        <w:rPr>
          <w:rFonts w:ascii="Times New Roman" w:hAnsi="Times New Roman" w:cs="Times New Roman"/>
          <w:szCs w:val="24"/>
        </w:rPr>
        <w:t xml:space="preserve"> (</w:t>
      </w:r>
      <w:r w:rsidR="00B82D33" w:rsidRPr="00E869A4">
        <w:rPr>
          <w:rFonts w:ascii="Times New Roman" w:hAnsi="Times New Roman" w:cs="Times New Roman"/>
          <w:szCs w:val="24"/>
        </w:rPr>
        <w:t>being willing to respond and be</w:t>
      </w:r>
      <w:r w:rsidRPr="00E869A4">
        <w:rPr>
          <w:rFonts w:ascii="Times New Roman" w:hAnsi="Times New Roman" w:cs="Times New Roman"/>
          <w:szCs w:val="24"/>
        </w:rPr>
        <w:t xml:space="preserve"> </w:t>
      </w:r>
      <w:r w:rsidR="00B82D33" w:rsidRPr="00E869A4">
        <w:rPr>
          <w:rFonts w:ascii="Times New Roman" w:hAnsi="Times New Roman" w:cs="Times New Roman"/>
          <w:szCs w:val="24"/>
        </w:rPr>
        <w:t xml:space="preserve">responsible </w:t>
      </w:r>
      <w:r w:rsidRPr="00E869A4">
        <w:rPr>
          <w:rFonts w:ascii="Times New Roman" w:hAnsi="Times New Roman" w:cs="Times New Roman"/>
          <w:szCs w:val="24"/>
        </w:rPr>
        <w:t>for meeting the needs)</w:t>
      </w:r>
      <w:r w:rsidR="00395FD7" w:rsidRPr="00E869A4">
        <w:rPr>
          <w:rFonts w:ascii="Times New Roman" w:hAnsi="Times New Roman" w:cs="Times New Roman"/>
          <w:szCs w:val="24"/>
        </w:rPr>
        <w:t>;</w:t>
      </w:r>
      <w:r w:rsidRPr="00E869A4">
        <w:rPr>
          <w:rFonts w:ascii="Times New Roman" w:hAnsi="Times New Roman" w:cs="Times New Roman"/>
          <w:szCs w:val="24"/>
        </w:rPr>
        <w:t xml:space="preserve"> </w:t>
      </w:r>
      <w:r w:rsidR="00395FD7" w:rsidRPr="00E869A4">
        <w:rPr>
          <w:rFonts w:ascii="Times New Roman" w:hAnsi="Times New Roman" w:cs="Times New Roman"/>
          <w:szCs w:val="24"/>
        </w:rPr>
        <w:t xml:space="preserve">3) </w:t>
      </w:r>
      <w:r w:rsidRPr="00E869A4">
        <w:rPr>
          <w:rFonts w:ascii="Times New Roman" w:hAnsi="Times New Roman" w:cs="Times New Roman"/>
          <w:i/>
          <w:iCs/>
          <w:szCs w:val="24"/>
        </w:rPr>
        <w:t>competence</w:t>
      </w:r>
      <w:r w:rsidRPr="00E869A4">
        <w:rPr>
          <w:rFonts w:ascii="Times New Roman" w:hAnsi="Times New Roman" w:cs="Times New Roman"/>
          <w:szCs w:val="24"/>
        </w:rPr>
        <w:t xml:space="preserve"> (providing skilful</w:t>
      </w:r>
      <w:r w:rsidR="00B82D33" w:rsidRPr="00E869A4">
        <w:rPr>
          <w:rFonts w:ascii="Times New Roman" w:hAnsi="Times New Roman" w:cs="Times New Roman"/>
          <w:szCs w:val="24"/>
        </w:rPr>
        <w:t>,</w:t>
      </w:r>
      <w:r w:rsidRPr="00E869A4">
        <w:rPr>
          <w:rFonts w:ascii="Times New Roman" w:hAnsi="Times New Roman" w:cs="Times New Roman"/>
          <w:szCs w:val="24"/>
        </w:rPr>
        <w:t xml:space="preserve"> appropriate </w:t>
      </w:r>
      <w:r w:rsidR="00B82D33" w:rsidRPr="00E869A4">
        <w:rPr>
          <w:rFonts w:ascii="Times New Roman" w:hAnsi="Times New Roman" w:cs="Times New Roman"/>
          <w:szCs w:val="24"/>
        </w:rPr>
        <w:t xml:space="preserve">and successful </w:t>
      </w:r>
      <w:r w:rsidRPr="00E869A4">
        <w:rPr>
          <w:rFonts w:ascii="Times New Roman" w:hAnsi="Times New Roman" w:cs="Times New Roman"/>
          <w:szCs w:val="24"/>
        </w:rPr>
        <w:t>care)</w:t>
      </w:r>
      <w:r w:rsidR="00395FD7" w:rsidRPr="00E869A4">
        <w:rPr>
          <w:rFonts w:ascii="Times New Roman" w:hAnsi="Times New Roman" w:cs="Times New Roman"/>
          <w:szCs w:val="24"/>
        </w:rPr>
        <w:t>;</w:t>
      </w:r>
      <w:r w:rsidRPr="00E869A4">
        <w:rPr>
          <w:rFonts w:ascii="Times New Roman" w:hAnsi="Times New Roman" w:cs="Times New Roman"/>
          <w:szCs w:val="24"/>
        </w:rPr>
        <w:t xml:space="preserve"> and</w:t>
      </w:r>
      <w:r w:rsidR="006C313D" w:rsidRPr="00E869A4">
        <w:rPr>
          <w:rFonts w:ascii="Times New Roman" w:hAnsi="Times New Roman" w:cs="Times New Roman"/>
          <w:szCs w:val="24"/>
        </w:rPr>
        <w:t>,</w:t>
      </w:r>
      <w:r w:rsidRPr="00E869A4">
        <w:rPr>
          <w:rFonts w:ascii="Times New Roman" w:hAnsi="Times New Roman" w:cs="Times New Roman"/>
          <w:szCs w:val="24"/>
        </w:rPr>
        <w:t xml:space="preserve"> </w:t>
      </w:r>
      <w:r w:rsidR="00395FD7" w:rsidRPr="00E869A4">
        <w:rPr>
          <w:rFonts w:ascii="Times New Roman" w:hAnsi="Times New Roman" w:cs="Times New Roman"/>
          <w:szCs w:val="24"/>
        </w:rPr>
        <w:t xml:space="preserve">4) </w:t>
      </w:r>
      <w:r w:rsidRPr="00E869A4">
        <w:rPr>
          <w:rFonts w:ascii="Times New Roman" w:hAnsi="Times New Roman" w:cs="Times New Roman"/>
          <w:i/>
          <w:iCs/>
          <w:szCs w:val="24"/>
        </w:rPr>
        <w:t>responsiveness</w:t>
      </w:r>
      <w:r w:rsidRPr="00E869A4">
        <w:rPr>
          <w:rFonts w:ascii="Times New Roman" w:hAnsi="Times New Roman" w:cs="Times New Roman"/>
          <w:i/>
          <w:szCs w:val="24"/>
        </w:rPr>
        <w:t xml:space="preserve"> </w:t>
      </w:r>
      <w:r w:rsidRPr="00E869A4">
        <w:rPr>
          <w:rFonts w:ascii="Times New Roman" w:hAnsi="Times New Roman" w:cs="Times New Roman"/>
          <w:szCs w:val="24"/>
        </w:rPr>
        <w:t>(</w:t>
      </w:r>
      <w:r w:rsidR="00B82D33" w:rsidRPr="00E869A4">
        <w:rPr>
          <w:rFonts w:ascii="Times New Roman" w:hAnsi="Times New Roman" w:cs="Times New Roman"/>
          <w:szCs w:val="24"/>
        </w:rPr>
        <w:t>consideration of the position of others as they see it and recognition of the potential for abuse in care</w:t>
      </w:r>
      <w:r w:rsidRPr="00E869A4">
        <w:rPr>
          <w:rFonts w:ascii="Times New Roman" w:hAnsi="Times New Roman" w:cs="Times New Roman"/>
          <w:szCs w:val="24"/>
        </w:rPr>
        <w:t xml:space="preserve">). These phases reflect the relational component of the </w:t>
      </w:r>
      <w:r w:rsidR="00631078" w:rsidRPr="00E869A4">
        <w:rPr>
          <w:rFonts w:ascii="Times New Roman" w:hAnsi="Times New Roman" w:cs="Times New Roman"/>
          <w:szCs w:val="24"/>
        </w:rPr>
        <w:t>framework, which</w:t>
      </w:r>
      <w:r w:rsidRPr="00E869A4">
        <w:rPr>
          <w:rFonts w:ascii="Times New Roman" w:hAnsi="Times New Roman" w:cs="Times New Roman"/>
          <w:szCs w:val="24"/>
        </w:rPr>
        <w:t xml:space="preserve"> emphasises interdependence in care relationships, and the values. They also </w:t>
      </w:r>
      <w:r w:rsidR="006F40EA" w:rsidRPr="00E869A4">
        <w:rPr>
          <w:rFonts w:ascii="Times New Roman" w:hAnsi="Times New Roman" w:cs="Times New Roman"/>
          <w:szCs w:val="24"/>
        </w:rPr>
        <w:t xml:space="preserve">help </w:t>
      </w:r>
      <w:r w:rsidRPr="00E869A4">
        <w:rPr>
          <w:rFonts w:ascii="Times New Roman" w:hAnsi="Times New Roman" w:cs="Times New Roman"/>
          <w:szCs w:val="24"/>
        </w:rPr>
        <w:t xml:space="preserve">to explicate the paradoxical situation whereby some people (in particular men at that time) professed to </w:t>
      </w:r>
      <w:r w:rsidRPr="00E869A4">
        <w:rPr>
          <w:rFonts w:ascii="Times New Roman" w:hAnsi="Times New Roman" w:cs="Times New Roman"/>
          <w:i/>
          <w:szCs w:val="24"/>
        </w:rPr>
        <w:t>‘</w:t>
      </w:r>
      <w:r w:rsidRPr="00E869A4">
        <w:rPr>
          <w:rFonts w:ascii="Times New Roman" w:hAnsi="Times New Roman" w:cs="Times New Roman"/>
          <w:i/>
          <w:iCs/>
          <w:szCs w:val="24"/>
        </w:rPr>
        <w:t>care</w:t>
      </w:r>
      <w:r w:rsidRPr="00E869A4">
        <w:rPr>
          <w:rFonts w:ascii="Times New Roman" w:hAnsi="Times New Roman" w:cs="Times New Roman"/>
          <w:i/>
          <w:szCs w:val="24"/>
        </w:rPr>
        <w:t xml:space="preserve"> </w:t>
      </w:r>
      <w:r w:rsidRPr="00E869A4">
        <w:rPr>
          <w:rFonts w:ascii="Times New Roman" w:hAnsi="Times New Roman" w:cs="Times New Roman"/>
          <w:i/>
          <w:iCs/>
          <w:szCs w:val="24"/>
        </w:rPr>
        <w:t>about’</w:t>
      </w:r>
      <w:r w:rsidRPr="00E869A4">
        <w:rPr>
          <w:rFonts w:ascii="Times New Roman" w:hAnsi="Times New Roman" w:cs="Times New Roman"/>
          <w:szCs w:val="24"/>
        </w:rPr>
        <w:t>, but rarely e</w:t>
      </w:r>
      <w:r w:rsidR="00195E07" w:rsidRPr="00E869A4">
        <w:rPr>
          <w:rFonts w:ascii="Times New Roman" w:hAnsi="Times New Roman" w:cs="Times New Roman"/>
          <w:szCs w:val="24"/>
        </w:rPr>
        <w:t>ngaged in caregiving</w:t>
      </w:r>
      <w:r w:rsidRPr="00E869A4">
        <w:rPr>
          <w:rFonts w:ascii="Times New Roman" w:hAnsi="Times New Roman" w:cs="Times New Roman"/>
          <w:szCs w:val="24"/>
        </w:rPr>
        <w:t>. This framework is consistent with the feminist position that expressing an intention to care falls short of being effective</w:t>
      </w:r>
      <w:r w:rsidR="00195E07" w:rsidRPr="00E869A4">
        <w:rPr>
          <w:rFonts w:ascii="Times New Roman" w:hAnsi="Times New Roman" w:cs="Times New Roman"/>
          <w:szCs w:val="24"/>
        </w:rPr>
        <w:t>,</w:t>
      </w:r>
      <w:r w:rsidRPr="00E869A4">
        <w:rPr>
          <w:rFonts w:ascii="Times New Roman" w:hAnsi="Times New Roman" w:cs="Times New Roman"/>
          <w:szCs w:val="24"/>
        </w:rPr>
        <w:t xml:space="preserve"> if it is not fully acted upon to the point of care completion (</w:t>
      </w:r>
      <w:r w:rsidR="0065192F" w:rsidRPr="00E869A4">
        <w:t xml:space="preserve">Chanial 2012; Keller et al. 2003; </w:t>
      </w:r>
      <w:r w:rsidRPr="00E869A4">
        <w:rPr>
          <w:rFonts w:ascii="Times New Roman" w:hAnsi="Times New Roman" w:cs="Times New Roman"/>
          <w:szCs w:val="24"/>
        </w:rPr>
        <w:t>Raghuram 2016</w:t>
      </w:r>
      <w:r w:rsidR="0065192F" w:rsidRPr="00E869A4">
        <w:rPr>
          <w:rFonts w:ascii="Times New Roman" w:hAnsi="Times New Roman" w:cs="Times New Roman"/>
          <w:szCs w:val="24"/>
        </w:rPr>
        <w:t xml:space="preserve">; </w:t>
      </w:r>
      <w:r w:rsidR="0065192F" w:rsidRPr="00E869A4">
        <w:t>Sander-Staudt 2019</w:t>
      </w:r>
      <w:r w:rsidRPr="00E869A4">
        <w:rPr>
          <w:rFonts w:ascii="Times New Roman" w:hAnsi="Times New Roman" w:cs="Times New Roman"/>
          <w:szCs w:val="24"/>
        </w:rPr>
        <w:t>).</w:t>
      </w:r>
    </w:p>
    <w:p w14:paraId="3CBEEA71" w14:textId="77777777" w:rsidR="006D1941" w:rsidRPr="00E869A4" w:rsidRDefault="006D1941" w:rsidP="00653A5F">
      <w:pPr>
        <w:rPr>
          <w:rFonts w:ascii="Times New Roman" w:hAnsi="Times New Roman" w:cs="Times New Roman"/>
          <w:szCs w:val="24"/>
        </w:rPr>
      </w:pPr>
    </w:p>
    <w:p w14:paraId="29F97AA6" w14:textId="70519D08" w:rsidR="006F40EA" w:rsidRPr="00E869A4" w:rsidRDefault="001F077F" w:rsidP="00653A5F">
      <w:pPr>
        <w:rPr>
          <w:rFonts w:ascii="Times New Roman" w:hAnsi="Times New Roman" w:cs="Times New Roman"/>
        </w:rPr>
      </w:pPr>
      <w:r w:rsidRPr="00E869A4">
        <w:rPr>
          <w:rFonts w:ascii="Times New Roman" w:hAnsi="Times New Roman" w:cs="Times New Roman"/>
          <w:szCs w:val="24"/>
        </w:rPr>
        <w:t xml:space="preserve">In later publications, Tronto (2013) expanded her </w:t>
      </w:r>
      <w:r w:rsidR="00B07FCD" w:rsidRPr="00E869A4">
        <w:rPr>
          <w:rFonts w:ascii="Times New Roman" w:hAnsi="Times New Roman" w:cs="Times New Roman"/>
          <w:szCs w:val="24"/>
        </w:rPr>
        <w:t>E</w:t>
      </w:r>
      <w:r w:rsidR="00C85D4A" w:rsidRPr="00E869A4">
        <w:rPr>
          <w:rFonts w:ascii="Times New Roman" w:hAnsi="Times New Roman" w:cs="Times New Roman"/>
          <w:szCs w:val="24"/>
        </w:rPr>
        <w:t>O</w:t>
      </w:r>
      <w:r w:rsidR="00B07FCD" w:rsidRPr="00E869A4">
        <w:rPr>
          <w:rFonts w:ascii="Times New Roman" w:hAnsi="Times New Roman" w:cs="Times New Roman"/>
          <w:szCs w:val="24"/>
        </w:rPr>
        <w:t>CF</w:t>
      </w:r>
      <w:r w:rsidRPr="00E869A4">
        <w:rPr>
          <w:rFonts w:ascii="Times New Roman" w:hAnsi="Times New Roman" w:cs="Times New Roman"/>
          <w:szCs w:val="24"/>
        </w:rPr>
        <w:t xml:space="preserve"> to </w:t>
      </w:r>
      <w:r w:rsidR="00AF2890" w:rsidRPr="00E869A4">
        <w:rPr>
          <w:rFonts w:ascii="Times New Roman" w:hAnsi="Times New Roman" w:cs="Times New Roman"/>
          <w:szCs w:val="24"/>
        </w:rPr>
        <w:t>consider</w:t>
      </w:r>
      <w:r w:rsidRPr="00E869A4">
        <w:rPr>
          <w:rFonts w:ascii="Times New Roman" w:hAnsi="Times New Roman" w:cs="Times New Roman"/>
          <w:szCs w:val="24"/>
        </w:rPr>
        <w:t xml:space="preserve"> the context of care. She used the following criteria to distinguish between care contexts: 1) </w:t>
      </w:r>
      <w:r w:rsidRPr="00E869A4">
        <w:rPr>
          <w:rFonts w:ascii="Times New Roman" w:hAnsi="Times New Roman" w:cs="Times New Roman"/>
          <w:i/>
          <w:iCs/>
          <w:szCs w:val="24"/>
        </w:rPr>
        <w:t xml:space="preserve">purpose </w:t>
      </w:r>
      <w:r w:rsidRPr="00E869A4">
        <w:rPr>
          <w:rFonts w:ascii="Times New Roman" w:hAnsi="Times New Roman" w:cs="Times New Roman"/>
          <w:iCs/>
          <w:szCs w:val="24"/>
        </w:rPr>
        <w:t>of care</w:t>
      </w:r>
      <w:r w:rsidRPr="00E869A4">
        <w:rPr>
          <w:rFonts w:ascii="Times New Roman" w:hAnsi="Times New Roman" w:cs="Times New Roman"/>
          <w:szCs w:val="24"/>
        </w:rPr>
        <w:t xml:space="preserve"> (e.g. promoting independence, alleviating physical pain)</w:t>
      </w:r>
      <w:r w:rsidR="00395FD7" w:rsidRPr="00E869A4">
        <w:rPr>
          <w:rFonts w:ascii="Times New Roman" w:hAnsi="Times New Roman" w:cs="Times New Roman"/>
          <w:szCs w:val="24"/>
        </w:rPr>
        <w:t>;</w:t>
      </w:r>
      <w:r w:rsidRPr="00E869A4">
        <w:rPr>
          <w:rFonts w:ascii="Times New Roman" w:hAnsi="Times New Roman" w:cs="Times New Roman"/>
          <w:szCs w:val="24"/>
        </w:rPr>
        <w:t xml:space="preserve"> and</w:t>
      </w:r>
      <w:r w:rsidR="00395FD7" w:rsidRPr="00E869A4">
        <w:rPr>
          <w:rFonts w:ascii="Times New Roman" w:hAnsi="Times New Roman" w:cs="Times New Roman"/>
          <w:szCs w:val="24"/>
        </w:rPr>
        <w:t>,</w:t>
      </w:r>
      <w:r w:rsidRPr="00E869A4">
        <w:rPr>
          <w:rFonts w:ascii="Times New Roman" w:hAnsi="Times New Roman" w:cs="Times New Roman"/>
          <w:szCs w:val="24"/>
        </w:rPr>
        <w:t xml:space="preserve"> 2) </w:t>
      </w:r>
      <w:r w:rsidRPr="00E869A4">
        <w:rPr>
          <w:rFonts w:ascii="Times New Roman" w:hAnsi="Times New Roman" w:cs="Times New Roman"/>
          <w:i/>
          <w:iCs/>
          <w:szCs w:val="24"/>
        </w:rPr>
        <w:t>power</w:t>
      </w:r>
      <w:r w:rsidRPr="00E869A4">
        <w:rPr>
          <w:rFonts w:ascii="Times New Roman" w:hAnsi="Times New Roman" w:cs="Times New Roman"/>
          <w:iCs/>
          <w:szCs w:val="24"/>
        </w:rPr>
        <w:t xml:space="preserve"> dynamics </w:t>
      </w:r>
      <w:r w:rsidRPr="00E869A4">
        <w:rPr>
          <w:rFonts w:ascii="Times New Roman" w:hAnsi="Times New Roman" w:cs="Times New Roman"/>
          <w:szCs w:val="24"/>
        </w:rPr>
        <w:t>involved in the care relationship (identifying those with relatively more power in the care relationship) (</w:t>
      </w:r>
      <w:r w:rsidRPr="00E869A4">
        <w:rPr>
          <w:rFonts w:ascii="Times New Roman" w:hAnsi="Times New Roman" w:cs="Times New Roman"/>
          <w:noProof/>
          <w:szCs w:val="24"/>
        </w:rPr>
        <w:t>de São José 2016)</w:t>
      </w:r>
      <w:r w:rsidRPr="00E869A4">
        <w:rPr>
          <w:rFonts w:ascii="Times New Roman" w:hAnsi="Times New Roman" w:cs="Times New Roman"/>
          <w:szCs w:val="24"/>
        </w:rPr>
        <w:t xml:space="preserve">. However, while </w:t>
      </w:r>
      <w:r w:rsidRPr="00E869A4">
        <w:rPr>
          <w:rFonts w:ascii="Times New Roman" w:hAnsi="Times New Roman" w:cs="Times New Roman"/>
          <w:szCs w:val="24"/>
        </w:rPr>
        <w:lastRenderedPageBreak/>
        <w:t>it is a useful and popular approach to understanding care arrangements and processes,</w:t>
      </w:r>
      <w:r w:rsidR="006F40EA" w:rsidRPr="00E869A4">
        <w:rPr>
          <w:rFonts w:ascii="Times New Roman" w:hAnsi="Times New Roman" w:cs="Times New Roman"/>
          <w:szCs w:val="24"/>
        </w:rPr>
        <w:t xml:space="preserve"> with particular attention to cultural variation and care beyond the family and domestic spheres, Tronto’s definition of care has been criticised </w:t>
      </w:r>
      <w:r w:rsidR="00631078" w:rsidRPr="00E869A4">
        <w:rPr>
          <w:rFonts w:ascii="Times New Roman" w:hAnsi="Times New Roman" w:cs="Times New Roman"/>
          <w:szCs w:val="24"/>
        </w:rPr>
        <w:t>for being</w:t>
      </w:r>
      <w:r w:rsidR="006F40EA" w:rsidRPr="00E869A4">
        <w:rPr>
          <w:rFonts w:ascii="Times New Roman" w:hAnsi="Times New Roman" w:cs="Times New Roman"/>
          <w:szCs w:val="24"/>
        </w:rPr>
        <w:t xml:space="preserve"> too broad, as it includes nearly every human a</w:t>
      </w:r>
      <w:r w:rsidR="00D11A3A" w:rsidRPr="00E869A4">
        <w:rPr>
          <w:rFonts w:ascii="Times New Roman" w:hAnsi="Times New Roman" w:cs="Times New Roman"/>
          <w:szCs w:val="24"/>
        </w:rPr>
        <w:t xml:space="preserve">ctivity as care (Sander-Staudt </w:t>
      </w:r>
      <w:r w:rsidR="006F40EA" w:rsidRPr="00E869A4">
        <w:rPr>
          <w:rFonts w:ascii="Times New Roman" w:hAnsi="Times New Roman" w:cs="Times New Roman"/>
          <w:szCs w:val="24"/>
        </w:rPr>
        <w:t xml:space="preserve">2019). Also, </w:t>
      </w:r>
      <w:r w:rsidRPr="00E869A4">
        <w:rPr>
          <w:rFonts w:ascii="Times New Roman" w:hAnsi="Times New Roman" w:cs="Times New Roman"/>
          <w:szCs w:val="24"/>
        </w:rPr>
        <w:t>research and discussions on the ethics of care have centred primaril</w:t>
      </w:r>
      <w:r w:rsidR="00D11A3A" w:rsidRPr="00E869A4">
        <w:rPr>
          <w:rFonts w:ascii="Times New Roman" w:hAnsi="Times New Roman" w:cs="Times New Roman"/>
          <w:szCs w:val="24"/>
        </w:rPr>
        <w:t>y on the Global North (Raghuram</w:t>
      </w:r>
      <w:r w:rsidRPr="00E869A4">
        <w:rPr>
          <w:rFonts w:ascii="Times New Roman" w:hAnsi="Times New Roman" w:cs="Times New Roman"/>
          <w:szCs w:val="24"/>
        </w:rPr>
        <w:t xml:space="preserve"> 2016). Given this, </w:t>
      </w:r>
      <w:r w:rsidR="00741C86" w:rsidRPr="00E869A4">
        <w:rPr>
          <w:rFonts w:ascii="Times New Roman" w:hAnsi="Times New Roman" w:cs="Times New Roman"/>
          <w:szCs w:val="24"/>
        </w:rPr>
        <w:t>Raghuram argued</w:t>
      </w:r>
      <w:r w:rsidR="00D11A3A" w:rsidRPr="00E869A4">
        <w:rPr>
          <w:rFonts w:ascii="Times New Roman" w:hAnsi="Times New Roman" w:cs="Times New Roman"/>
          <w:szCs w:val="24"/>
        </w:rPr>
        <w:t xml:space="preserve"> that</w:t>
      </w:r>
      <w:r w:rsidR="00653A5F" w:rsidRPr="00E869A4">
        <w:rPr>
          <w:rFonts w:ascii="Times New Roman" w:hAnsi="Times New Roman" w:cs="Times New Roman"/>
          <w:szCs w:val="24"/>
        </w:rPr>
        <w:t xml:space="preserve"> “c</w:t>
      </w:r>
      <w:r w:rsidRPr="00E869A4">
        <w:rPr>
          <w:rFonts w:ascii="Times New Roman" w:hAnsi="Times New Roman" w:cs="Times New Roman"/>
        </w:rPr>
        <w:t>are ethics needs emplacing</w:t>
      </w:r>
      <w:r w:rsidR="00741C86" w:rsidRPr="00E869A4">
        <w:rPr>
          <w:rFonts w:ascii="Times New Roman" w:hAnsi="Times New Roman" w:cs="Times New Roman"/>
        </w:rPr>
        <w:t xml:space="preserve"> </w:t>
      </w:r>
      <w:r w:rsidR="006F40EA" w:rsidRPr="00E869A4">
        <w:rPr>
          <w:rFonts w:ascii="Times New Roman" w:hAnsi="Times New Roman" w:cs="Times New Roman"/>
        </w:rPr>
        <w:t>…</w:t>
      </w:r>
      <w:r w:rsidRPr="00E869A4">
        <w:rPr>
          <w:rFonts w:ascii="Times New Roman" w:hAnsi="Times New Roman" w:cs="Times New Roman"/>
        </w:rPr>
        <w:t xml:space="preserve"> this emplacement should extend beyond sites in the global North so that feminist theories of care can take account of the diversity of care practices globally</w:t>
      </w:r>
      <w:r w:rsidR="00653A5F" w:rsidRPr="00E869A4">
        <w:rPr>
          <w:rFonts w:ascii="Times New Roman" w:hAnsi="Times New Roman" w:cs="Times New Roman"/>
        </w:rPr>
        <w:t xml:space="preserve">.” </w:t>
      </w:r>
      <w:r w:rsidR="00653A5F" w:rsidRPr="00E869A4">
        <w:rPr>
          <w:rFonts w:ascii="Times New Roman" w:hAnsi="Times New Roman" w:cs="Times New Roman"/>
          <w:szCs w:val="24"/>
        </w:rPr>
        <w:t>(Raghuram 2016, p. 511)</w:t>
      </w:r>
      <w:r w:rsidR="007508D1" w:rsidRPr="00E869A4">
        <w:rPr>
          <w:rFonts w:ascii="Times New Roman" w:hAnsi="Times New Roman" w:cs="Times New Roman"/>
          <w:szCs w:val="24"/>
        </w:rPr>
        <w:t>.</w:t>
      </w:r>
    </w:p>
    <w:p w14:paraId="62E2EB79" w14:textId="77777777" w:rsidR="00D04DCD" w:rsidRPr="00E869A4" w:rsidRDefault="00D04DCD" w:rsidP="0051234F">
      <w:pPr>
        <w:pStyle w:val="112"/>
        <w:rPr>
          <w:color w:val="auto"/>
        </w:rPr>
      </w:pPr>
      <w:bookmarkStart w:id="152" w:name="_Toc505015380"/>
    </w:p>
    <w:p w14:paraId="36707180" w14:textId="69E8AD9C" w:rsidR="00A36110" w:rsidRPr="00E869A4" w:rsidRDefault="009C5D7C" w:rsidP="0051234F">
      <w:pPr>
        <w:pStyle w:val="112"/>
        <w:rPr>
          <w:color w:val="auto"/>
        </w:rPr>
      </w:pPr>
      <w:r w:rsidRPr="00E869A4">
        <w:rPr>
          <w:color w:val="auto"/>
        </w:rPr>
        <w:t>Another main criticism</w:t>
      </w:r>
      <w:r w:rsidR="00A36110" w:rsidRPr="00E869A4">
        <w:rPr>
          <w:color w:val="auto"/>
        </w:rPr>
        <w:t xml:space="preserve"> directed at the </w:t>
      </w:r>
      <w:r w:rsidR="00D11A3A" w:rsidRPr="00E869A4">
        <w:rPr>
          <w:color w:val="auto"/>
        </w:rPr>
        <w:t>E</w:t>
      </w:r>
      <w:r w:rsidR="00C85D4A" w:rsidRPr="00E869A4">
        <w:rPr>
          <w:color w:val="auto"/>
        </w:rPr>
        <w:t>O</w:t>
      </w:r>
      <w:r w:rsidR="00D11A3A" w:rsidRPr="00E869A4">
        <w:rPr>
          <w:color w:val="auto"/>
        </w:rPr>
        <w:t>CF</w:t>
      </w:r>
      <w:r w:rsidR="00A36110" w:rsidRPr="00E869A4">
        <w:rPr>
          <w:color w:val="auto"/>
        </w:rPr>
        <w:t xml:space="preserve"> postulated by Tronto and others</w:t>
      </w:r>
      <w:r w:rsidR="00287114" w:rsidRPr="00E869A4">
        <w:rPr>
          <w:color w:val="auto"/>
        </w:rPr>
        <w:t>,</w:t>
      </w:r>
      <w:r w:rsidR="00A36110" w:rsidRPr="00E869A4">
        <w:rPr>
          <w:color w:val="auto"/>
        </w:rPr>
        <w:t xml:space="preserve"> </w:t>
      </w:r>
      <w:r w:rsidRPr="00E869A4">
        <w:rPr>
          <w:color w:val="auto"/>
        </w:rPr>
        <w:t>is the concern that it promotes</w:t>
      </w:r>
      <w:r w:rsidR="00A36110" w:rsidRPr="00E869A4">
        <w:rPr>
          <w:color w:val="auto"/>
        </w:rPr>
        <w:t xml:space="preserve"> a false </w:t>
      </w:r>
      <w:r w:rsidR="00287114" w:rsidRPr="00E869A4">
        <w:rPr>
          <w:color w:val="auto"/>
        </w:rPr>
        <w:t>‘</w:t>
      </w:r>
      <w:r w:rsidR="00A36110" w:rsidRPr="00E869A4">
        <w:rPr>
          <w:iCs/>
          <w:color w:val="auto"/>
        </w:rPr>
        <w:t>slave</w:t>
      </w:r>
      <w:r w:rsidR="00287114" w:rsidRPr="00E869A4">
        <w:rPr>
          <w:iCs/>
          <w:color w:val="auto"/>
        </w:rPr>
        <w:t>’</w:t>
      </w:r>
      <w:r w:rsidR="00A36110" w:rsidRPr="00E869A4">
        <w:rPr>
          <w:color w:val="auto"/>
        </w:rPr>
        <w:t xml:space="preserve"> morality that reaffirms subservient traits as virtues among oppress</w:t>
      </w:r>
      <w:r w:rsidR="00287114" w:rsidRPr="00E869A4">
        <w:rPr>
          <w:color w:val="auto"/>
        </w:rPr>
        <w:t>ed people, in particular women. Arguably, this</w:t>
      </w:r>
      <w:r w:rsidRPr="00E869A4">
        <w:rPr>
          <w:color w:val="auto"/>
        </w:rPr>
        <w:t xml:space="preserve"> false moralit</w:t>
      </w:r>
      <w:r w:rsidR="00287114" w:rsidRPr="00E869A4">
        <w:rPr>
          <w:color w:val="auto"/>
        </w:rPr>
        <w:t xml:space="preserve">y is promoted which encourages </w:t>
      </w:r>
      <w:r w:rsidRPr="00E869A4">
        <w:rPr>
          <w:color w:val="auto"/>
        </w:rPr>
        <w:t xml:space="preserve">persons to engage in care, even when it redounds to their own economic and political disadvantage. Other versions of care ethics have been described as essentialist, as they did not give attention to the variation among those involved in care given variables such as race, age and class, and </w:t>
      </w:r>
      <w:r w:rsidR="00D11A3A" w:rsidRPr="00E869A4">
        <w:rPr>
          <w:color w:val="auto"/>
        </w:rPr>
        <w:t xml:space="preserve">as </w:t>
      </w:r>
      <w:r w:rsidRPr="00E869A4">
        <w:rPr>
          <w:color w:val="auto"/>
        </w:rPr>
        <w:t>parochial, given an emphasis on proximate as opposed to distant relationships in the context of caregiving. In so doing, stereotypical views of care were reinforced, and the focus of care was restricted</w:t>
      </w:r>
      <w:r w:rsidR="00EA3794" w:rsidRPr="00E869A4">
        <w:rPr>
          <w:color w:val="auto"/>
        </w:rPr>
        <w:t xml:space="preserve"> to a limited sphere of </w:t>
      </w:r>
      <w:r w:rsidR="00631078" w:rsidRPr="00E869A4">
        <w:rPr>
          <w:color w:val="auto"/>
        </w:rPr>
        <w:t>actors, which</w:t>
      </w:r>
      <w:r w:rsidR="00EA3794" w:rsidRPr="00E869A4">
        <w:rPr>
          <w:color w:val="auto"/>
        </w:rPr>
        <w:t xml:space="preserve"> was not reflective of what obt</w:t>
      </w:r>
      <w:r w:rsidR="00D11A3A" w:rsidRPr="00E869A4">
        <w:rPr>
          <w:color w:val="auto"/>
        </w:rPr>
        <w:t>ained in reality (Sander-Staudt</w:t>
      </w:r>
      <w:r w:rsidR="00EA3794" w:rsidRPr="00E869A4">
        <w:rPr>
          <w:color w:val="auto"/>
        </w:rPr>
        <w:t xml:space="preserve"> 2019).</w:t>
      </w:r>
    </w:p>
    <w:p w14:paraId="12BF0E99" w14:textId="77777777" w:rsidR="00A36110" w:rsidRPr="00E869A4" w:rsidRDefault="00A36110" w:rsidP="0051234F">
      <w:pPr>
        <w:pStyle w:val="112"/>
        <w:rPr>
          <w:color w:val="auto"/>
        </w:rPr>
      </w:pPr>
    </w:p>
    <w:p w14:paraId="469FC7EB" w14:textId="298C5822" w:rsidR="0082719B" w:rsidRPr="00E869A4" w:rsidRDefault="001F077F" w:rsidP="00CB5BB0">
      <w:pPr>
        <w:pStyle w:val="Heading4"/>
      </w:pPr>
      <w:r w:rsidRPr="00E869A4">
        <w:t>Social</w:t>
      </w:r>
      <w:r w:rsidR="001C2D72" w:rsidRPr="00E869A4">
        <w:t xml:space="preserve">, </w:t>
      </w:r>
      <w:r w:rsidR="009B19D3" w:rsidRPr="00E869A4">
        <w:t>Formal and Informal</w:t>
      </w:r>
      <w:r w:rsidRPr="00E869A4">
        <w:t xml:space="preserve"> Care</w:t>
      </w:r>
      <w:bookmarkEnd w:id="152"/>
    </w:p>
    <w:p w14:paraId="7AC54F05" w14:textId="77777777" w:rsidR="00D04DCD" w:rsidRPr="00E869A4" w:rsidRDefault="00D04DCD" w:rsidP="0051234F">
      <w:pPr>
        <w:pStyle w:val="112"/>
        <w:rPr>
          <w:color w:val="auto"/>
        </w:rPr>
      </w:pPr>
    </w:p>
    <w:p w14:paraId="0711E5A2" w14:textId="3A711375" w:rsidR="001F077F" w:rsidRPr="00E869A4" w:rsidRDefault="001F077F" w:rsidP="00322DF2">
      <w:pPr>
        <w:rPr>
          <w:rFonts w:ascii="Times New Roman" w:hAnsi="Times New Roman" w:cs="Times New Roman"/>
          <w:szCs w:val="24"/>
        </w:rPr>
      </w:pPr>
      <w:r w:rsidRPr="00E869A4">
        <w:rPr>
          <w:rFonts w:ascii="Times New Roman" w:hAnsi="Times New Roman" w:cs="Times New Roman"/>
          <w:szCs w:val="24"/>
        </w:rPr>
        <w:t>In a bid to promote care as being a central issue in w</w:t>
      </w:r>
      <w:r w:rsidR="008C5495" w:rsidRPr="00E869A4">
        <w:rPr>
          <w:rFonts w:ascii="Times New Roman" w:hAnsi="Times New Roman" w:cs="Times New Roman"/>
          <w:szCs w:val="24"/>
        </w:rPr>
        <w:t xml:space="preserve">elfare policies, Daly and Lewis </w:t>
      </w:r>
      <w:r w:rsidRPr="00E869A4">
        <w:rPr>
          <w:rFonts w:ascii="Times New Roman" w:hAnsi="Times New Roman" w:cs="Times New Roman"/>
          <w:szCs w:val="24"/>
        </w:rPr>
        <w:t xml:space="preserve">presented their concept of social </w:t>
      </w:r>
      <w:r w:rsidR="00631078" w:rsidRPr="00E869A4">
        <w:rPr>
          <w:rFonts w:ascii="Times New Roman" w:hAnsi="Times New Roman" w:cs="Times New Roman"/>
          <w:szCs w:val="24"/>
        </w:rPr>
        <w:t>care, which</w:t>
      </w:r>
      <w:r w:rsidRPr="00E869A4">
        <w:rPr>
          <w:rFonts w:ascii="Times New Roman" w:hAnsi="Times New Roman" w:cs="Times New Roman"/>
          <w:szCs w:val="24"/>
        </w:rPr>
        <w:t xml:space="preserve"> they defined as</w:t>
      </w:r>
      <w:r w:rsidR="00322DF2" w:rsidRPr="00E869A4">
        <w:rPr>
          <w:rFonts w:ascii="Times New Roman" w:hAnsi="Times New Roman" w:cs="Times New Roman"/>
          <w:szCs w:val="24"/>
        </w:rPr>
        <w:t xml:space="preserve"> “t</w:t>
      </w:r>
      <w:r w:rsidRPr="00E869A4">
        <w:rPr>
          <w:rFonts w:ascii="Times New Roman" w:hAnsi="Times New Roman" w:cs="Times New Roman"/>
        </w:rPr>
        <w:t>he activities and relations involved in meeting the physical and emotional requirements of dependent adults and children, and the normative, economic and social</w:t>
      </w:r>
      <w:r w:rsidRPr="00E869A4">
        <w:rPr>
          <w:rFonts w:ascii="Times New Roman" w:hAnsi="Times New Roman" w:cs="Times New Roman"/>
          <w:szCs w:val="24"/>
        </w:rPr>
        <w:t xml:space="preserve"> frameworks within which these are assigned and carried out</w:t>
      </w:r>
      <w:r w:rsidR="009E1B7F" w:rsidRPr="00E869A4">
        <w:rPr>
          <w:rFonts w:ascii="Times New Roman" w:hAnsi="Times New Roman" w:cs="Times New Roman"/>
          <w:szCs w:val="24"/>
        </w:rPr>
        <w:t>.</w:t>
      </w:r>
      <w:r w:rsidR="00322DF2" w:rsidRPr="00E869A4">
        <w:rPr>
          <w:rFonts w:ascii="Times New Roman" w:hAnsi="Times New Roman" w:cs="Times New Roman"/>
          <w:szCs w:val="24"/>
        </w:rPr>
        <w:t xml:space="preserve">” (Daly &amp; Lewis 2000, p. 285). </w:t>
      </w:r>
      <w:r w:rsidRPr="00E869A4">
        <w:rPr>
          <w:rFonts w:ascii="Times New Roman" w:hAnsi="Times New Roman" w:cs="Times New Roman"/>
          <w:szCs w:val="24"/>
        </w:rPr>
        <w:t xml:space="preserve">Their conceptual framework provides both a micro and macro perspective on care and a political economy perspective that facilitates analysis of the “division of care labour, responsibility and costs between the family, the market, the </w:t>
      </w:r>
      <w:r w:rsidR="009660AA" w:rsidRPr="00E869A4">
        <w:rPr>
          <w:rFonts w:ascii="Times New Roman" w:hAnsi="Times New Roman" w:cs="Times New Roman"/>
          <w:szCs w:val="24"/>
        </w:rPr>
        <w:t>s</w:t>
      </w:r>
      <w:r w:rsidR="00DD03CE" w:rsidRPr="00E869A4">
        <w:rPr>
          <w:rFonts w:ascii="Times New Roman" w:hAnsi="Times New Roman" w:cs="Times New Roman"/>
          <w:szCs w:val="24"/>
        </w:rPr>
        <w:t>tate</w:t>
      </w:r>
      <w:r w:rsidRPr="00E869A4">
        <w:rPr>
          <w:rFonts w:ascii="Times New Roman" w:hAnsi="Times New Roman" w:cs="Times New Roman"/>
          <w:szCs w:val="24"/>
        </w:rPr>
        <w:t xml:space="preserve"> and the voluntary/community sectors</w:t>
      </w:r>
      <w:r w:rsidR="007508D1" w:rsidRPr="00E869A4">
        <w:rPr>
          <w:rFonts w:ascii="Times New Roman" w:hAnsi="Times New Roman" w:cs="Times New Roman"/>
          <w:szCs w:val="24"/>
        </w:rPr>
        <w:t>.</w:t>
      </w:r>
      <w:r w:rsidRPr="00E869A4">
        <w:rPr>
          <w:rFonts w:ascii="Times New Roman" w:hAnsi="Times New Roman" w:cs="Times New Roman"/>
          <w:szCs w:val="24"/>
        </w:rPr>
        <w:t>” (</w:t>
      </w:r>
      <w:r w:rsidR="00287114" w:rsidRPr="00E869A4">
        <w:rPr>
          <w:rFonts w:ascii="Times New Roman" w:hAnsi="Times New Roman" w:cs="Times New Roman"/>
          <w:szCs w:val="24"/>
        </w:rPr>
        <w:t xml:space="preserve">Daly &amp; Lewis 2000, </w:t>
      </w:r>
      <w:r w:rsidRPr="00E869A4">
        <w:rPr>
          <w:rFonts w:ascii="Times New Roman" w:hAnsi="Times New Roman" w:cs="Times New Roman"/>
          <w:szCs w:val="24"/>
        </w:rPr>
        <w:t xml:space="preserve">p. 286). </w:t>
      </w:r>
    </w:p>
    <w:p w14:paraId="04DA512A" w14:textId="77777777" w:rsidR="006D1941" w:rsidRPr="00E869A4" w:rsidRDefault="006D1941" w:rsidP="00A35FF8">
      <w:pPr>
        <w:rPr>
          <w:rFonts w:ascii="Times New Roman" w:hAnsi="Times New Roman" w:cs="Times New Roman"/>
          <w:szCs w:val="24"/>
        </w:rPr>
      </w:pPr>
    </w:p>
    <w:p w14:paraId="54A3372A" w14:textId="4D5C69AC" w:rsidR="001F077F" w:rsidRPr="00E869A4" w:rsidRDefault="001F077F" w:rsidP="00A35FF8">
      <w:pPr>
        <w:rPr>
          <w:rFonts w:ascii="Times New Roman" w:hAnsi="Times New Roman" w:cs="Times New Roman"/>
          <w:szCs w:val="24"/>
        </w:rPr>
      </w:pPr>
      <w:r w:rsidRPr="00E869A4">
        <w:rPr>
          <w:rFonts w:ascii="Times New Roman" w:hAnsi="Times New Roman" w:cs="Times New Roman"/>
          <w:szCs w:val="24"/>
        </w:rPr>
        <w:t xml:space="preserve">With respect to distinctions made in the literature between formal and informal care support, some researchers hold the view that the term informal care incorrectly implies a lack of structure, consistency and efficiency in the care provided by family members </w:t>
      </w:r>
      <w:r w:rsidR="002225D8" w:rsidRPr="00E869A4">
        <w:rPr>
          <w:rFonts w:ascii="Times New Roman" w:hAnsi="Times New Roman" w:cs="Times New Roman"/>
          <w:szCs w:val="24"/>
        </w:rPr>
        <w:t>(Bookman &amp; Kimbrel 2011)</w:t>
      </w:r>
      <w:r w:rsidRPr="00E869A4">
        <w:rPr>
          <w:rFonts w:ascii="Times New Roman" w:hAnsi="Times New Roman" w:cs="Times New Roman"/>
          <w:szCs w:val="24"/>
        </w:rPr>
        <w:t xml:space="preserve">. Feminist researchers </w:t>
      </w:r>
      <w:r w:rsidRPr="00E869A4">
        <w:rPr>
          <w:rFonts w:ascii="Times New Roman" w:hAnsi="Times New Roman" w:cs="Times New Roman"/>
          <w:szCs w:val="24"/>
        </w:rPr>
        <w:lastRenderedPageBreak/>
        <w:t>in particular, have consistently challenged this false dichotomisation (</w:t>
      </w:r>
      <w:r w:rsidR="002225D8" w:rsidRPr="00E869A4">
        <w:rPr>
          <w:rFonts w:ascii="Times New Roman" w:hAnsi="Times New Roman" w:cs="Times New Roman"/>
          <w:szCs w:val="24"/>
        </w:rPr>
        <w:t xml:space="preserve">Ghosh, Capistrant &amp; Friedemann-Sãnchez, </w:t>
      </w:r>
      <w:r w:rsidRPr="00E869A4">
        <w:rPr>
          <w:rFonts w:ascii="Times New Roman" w:hAnsi="Times New Roman" w:cs="Times New Roman"/>
          <w:szCs w:val="24"/>
        </w:rPr>
        <w:t>2017). Clare Ungerson (1990) and Hilary Graham (1991)</w:t>
      </w:r>
      <w:r w:rsidR="00C85D4A" w:rsidRPr="00E869A4">
        <w:rPr>
          <w:rFonts w:ascii="Times New Roman" w:hAnsi="Times New Roman" w:cs="Times New Roman"/>
          <w:szCs w:val="24"/>
        </w:rPr>
        <w:t>,</w:t>
      </w:r>
      <w:r w:rsidRPr="00E869A4">
        <w:rPr>
          <w:rFonts w:ascii="Times New Roman" w:hAnsi="Times New Roman" w:cs="Times New Roman"/>
          <w:szCs w:val="24"/>
        </w:rPr>
        <w:t xml:space="preserve"> for </w:t>
      </w:r>
      <w:r w:rsidR="00C85D4A" w:rsidRPr="00E869A4">
        <w:rPr>
          <w:rFonts w:ascii="Times New Roman" w:hAnsi="Times New Roman" w:cs="Times New Roman"/>
          <w:szCs w:val="24"/>
        </w:rPr>
        <w:t>instance,</w:t>
      </w:r>
      <w:r w:rsidRPr="00E869A4">
        <w:rPr>
          <w:rFonts w:ascii="Times New Roman" w:hAnsi="Times New Roman" w:cs="Times New Roman"/>
          <w:szCs w:val="24"/>
        </w:rPr>
        <w:t xml:space="preserve"> were instrumental in highlighting the lack of authenticity in a popular conceptual practice whereby domestic care was limited to unpaid kin work</w:t>
      </w:r>
      <w:r w:rsidR="00287114" w:rsidRPr="00E869A4">
        <w:rPr>
          <w:rFonts w:ascii="Times New Roman" w:hAnsi="Times New Roman" w:cs="Times New Roman"/>
          <w:szCs w:val="24"/>
        </w:rPr>
        <w:t>,</w:t>
      </w:r>
      <w:r w:rsidRPr="00E869A4">
        <w:rPr>
          <w:rFonts w:ascii="Times New Roman" w:hAnsi="Times New Roman" w:cs="Times New Roman"/>
          <w:szCs w:val="24"/>
        </w:rPr>
        <w:t xml:space="preserve"> and emotional care as being solely within the purview of the family. </w:t>
      </w:r>
      <w:r w:rsidR="00C94F19" w:rsidRPr="00E869A4">
        <w:rPr>
          <w:rFonts w:ascii="Times New Roman" w:hAnsi="Times New Roman" w:cs="Times New Roman"/>
          <w:szCs w:val="24"/>
        </w:rPr>
        <w:t>Alt</w:t>
      </w:r>
      <w:r w:rsidR="00631078" w:rsidRPr="00E869A4">
        <w:rPr>
          <w:rFonts w:ascii="Times New Roman" w:hAnsi="Times New Roman" w:cs="Times New Roman"/>
          <w:szCs w:val="24"/>
        </w:rPr>
        <w:t>hough</w:t>
      </w:r>
      <w:r w:rsidRPr="00E869A4">
        <w:rPr>
          <w:rFonts w:ascii="Times New Roman" w:hAnsi="Times New Roman" w:cs="Times New Roman"/>
          <w:szCs w:val="24"/>
        </w:rPr>
        <w:t xml:space="preserve"> they were able to extend the definition of care, they each had limits to their focus. Graham for example did not give sufficient attention to forms of care in the public domain and, </w:t>
      </w:r>
      <w:r w:rsidR="00C94F19" w:rsidRPr="00E869A4">
        <w:rPr>
          <w:rFonts w:ascii="Times New Roman" w:hAnsi="Times New Roman" w:cs="Times New Roman"/>
          <w:szCs w:val="24"/>
        </w:rPr>
        <w:t xml:space="preserve">despite the fact that </w:t>
      </w:r>
      <w:r w:rsidRPr="00E869A4">
        <w:rPr>
          <w:rFonts w:ascii="Times New Roman" w:hAnsi="Times New Roman" w:cs="Times New Roman"/>
          <w:szCs w:val="24"/>
        </w:rPr>
        <w:t xml:space="preserve">Ungerson considered both paid and unpaid care in the public and domestic </w:t>
      </w:r>
      <w:r w:rsidR="00301FD5">
        <w:rPr>
          <w:rFonts w:ascii="Times New Roman" w:hAnsi="Times New Roman" w:cs="Times New Roman"/>
          <w:szCs w:val="24"/>
        </w:rPr>
        <w:t>sphere</w:t>
      </w:r>
      <w:r w:rsidRPr="00E869A4">
        <w:rPr>
          <w:rFonts w:ascii="Times New Roman" w:hAnsi="Times New Roman" w:cs="Times New Roman"/>
          <w:szCs w:val="24"/>
        </w:rPr>
        <w:t xml:space="preserve">s, she focused primarily on dependent children as </w:t>
      </w:r>
      <w:r w:rsidR="009E2738" w:rsidRPr="00E869A4">
        <w:rPr>
          <w:rFonts w:ascii="Times New Roman" w:hAnsi="Times New Roman" w:cs="Times New Roman"/>
          <w:szCs w:val="24"/>
        </w:rPr>
        <w:t>care recipient</w:t>
      </w:r>
      <w:r w:rsidRPr="00E869A4">
        <w:rPr>
          <w:rFonts w:ascii="Times New Roman" w:hAnsi="Times New Roman" w:cs="Times New Roman"/>
          <w:szCs w:val="24"/>
        </w:rPr>
        <w:t>s and did not direct her fo</w:t>
      </w:r>
      <w:r w:rsidR="008C5495" w:rsidRPr="00E869A4">
        <w:rPr>
          <w:rFonts w:ascii="Times New Roman" w:hAnsi="Times New Roman" w:cs="Times New Roman"/>
          <w:szCs w:val="24"/>
        </w:rPr>
        <w:t>cus to dependent adults (Thomas</w:t>
      </w:r>
      <w:r w:rsidRPr="00E869A4">
        <w:rPr>
          <w:rFonts w:ascii="Times New Roman" w:hAnsi="Times New Roman" w:cs="Times New Roman"/>
          <w:szCs w:val="24"/>
        </w:rPr>
        <w:t xml:space="preserve"> 1993). In a bid to resolve these gaps in the literature, Thomas </w:t>
      </w:r>
      <w:r w:rsidR="008C5495" w:rsidRPr="00E869A4">
        <w:rPr>
          <w:rFonts w:ascii="Times New Roman" w:hAnsi="Times New Roman" w:cs="Times New Roman"/>
          <w:szCs w:val="24"/>
        </w:rPr>
        <w:t xml:space="preserve">(1993, p. 665) </w:t>
      </w:r>
      <w:r w:rsidR="00AF2890" w:rsidRPr="00E869A4">
        <w:rPr>
          <w:rFonts w:ascii="Times New Roman" w:hAnsi="Times New Roman" w:cs="Times New Roman"/>
          <w:szCs w:val="24"/>
        </w:rPr>
        <w:t>attempted</w:t>
      </w:r>
      <w:r w:rsidRPr="00E869A4">
        <w:rPr>
          <w:rFonts w:ascii="Times New Roman" w:hAnsi="Times New Roman" w:cs="Times New Roman"/>
          <w:szCs w:val="24"/>
        </w:rPr>
        <w:t xml:space="preserve"> </w:t>
      </w:r>
      <w:r w:rsidR="00287114" w:rsidRPr="00E869A4">
        <w:rPr>
          <w:rFonts w:ascii="Times New Roman" w:hAnsi="Times New Roman" w:cs="Times New Roman"/>
          <w:szCs w:val="24"/>
        </w:rPr>
        <w:t>to develop</w:t>
      </w:r>
      <w:r w:rsidRPr="00E869A4">
        <w:rPr>
          <w:rFonts w:ascii="Times New Roman" w:hAnsi="Times New Roman" w:cs="Times New Roman"/>
          <w:szCs w:val="24"/>
        </w:rPr>
        <w:t xml:space="preserve"> a unified concept. She defined care as:</w:t>
      </w:r>
    </w:p>
    <w:p w14:paraId="2535C399" w14:textId="77777777" w:rsidR="00596035" w:rsidRPr="00E869A4" w:rsidRDefault="00596035" w:rsidP="003E23F9">
      <w:pPr>
        <w:autoSpaceDE w:val="0"/>
        <w:autoSpaceDN w:val="0"/>
        <w:adjustRightInd w:val="0"/>
        <w:spacing w:line="240" w:lineRule="auto"/>
        <w:ind w:firstLine="720"/>
        <w:rPr>
          <w:rFonts w:ascii="Times New Roman" w:hAnsi="Times New Roman" w:cs="Times New Roman"/>
          <w:szCs w:val="24"/>
        </w:rPr>
      </w:pPr>
    </w:p>
    <w:p w14:paraId="148832C2" w14:textId="769E72C4" w:rsidR="001F077F" w:rsidRPr="00E869A4" w:rsidRDefault="00AF2890" w:rsidP="00530DD3">
      <w:pPr>
        <w:spacing w:line="240" w:lineRule="auto"/>
        <w:ind w:left="567" w:firstLine="0"/>
        <w:rPr>
          <w:rFonts w:ascii="Times New Roman" w:hAnsi="Times New Roman" w:cs="Times New Roman"/>
          <w:i/>
        </w:rPr>
      </w:pPr>
      <w:r w:rsidRPr="00E869A4">
        <w:rPr>
          <w:rFonts w:ascii="Times New Roman" w:hAnsi="Times New Roman" w:cs="Times New Roman"/>
        </w:rPr>
        <w:t>Both</w:t>
      </w:r>
      <w:r w:rsidR="001F077F" w:rsidRPr="00E869A4">
        <w:rPr>
          <w:rFonts w:ascii="Times New Roman" w:hAnsi="Times New Roman" w:cs="Times New Roman"/>
        </w:rPr>
        <w:t xml:space="preserve"> the paid and unpaid provision of support involving work activities and feeling states. It is provided mainly, but not exclusively, by women to both able-bodied and dependent adults and children in either the public or domestic spheres, and in a variety of institutional settings</w:t>
      </w:r>
      <w:r w:rsidR="008C5495" w:rsidRPr="00E869A4">
        <w:rPr>
          <w:rFonts w:ascii="Times New Roman" w:hAnsi="Times New Roman" w:cs="Times New Roman"/>
        </w:rPr>
        <w:t>.</w:t>
      </w:r>
    </w:p>
    <w:p w14:paraId="480FF08D" w14:textId="77777777" w:rsidR="00D04DCD" w:rsidRPr="00E869A4" w:rsidRDefault="00D04DCD" w:rsidP="003E23F9">
      <w:pPr>
        <w:autoSpaceDE w:val="0"/>
        <w:autoSpaceDN w:val="0"/>
        <w:adjustRightInd w:val="0"/>
        <w:spacing w:line="240" w:lineRule="auto"/>
        <w:ind w:firstLine="720"/>
        <w:rPr>
          <w:rFonts w:ascii="Times New Roman" w:hAnsi="Times New Roman" w:cs="Times New Roman"/>
          <w:szCs w:val="24"/>
        </w:rPr>
      </w:pPr>
    </w:p>
    <w:p w14:paraId="268C3448" w14:textId="04479215" w:rsidR="001F077F" w:rsidRPr="00E869A4" w:rsidRDefault="001F077F" w:rsidP="000150F7">
      <w:pPr>
        <w:ind w:firstLine="0"/>
        <w:rPr>
          <w:rFonts w:ascii="Times New Roman" w:hAnsi="Times New Roman" w:cs="Times New Roman"/>
          <w:szCs w:val="24"/>
        </w:rPr>
      </w:pPr>
      <w:r w:rsidRPr="00E869A4">
        <w:rPr>
          <w:rFonts w:ascii="Times New Roman" w:hAnsi="Times New Roman" w:cs="Times New Roman"/>
          <w:szCs w:val="24"/>
        </w:rPr>
        <w:t>This definition reflects several trademarks of feminist discourse on caregiving such as, the need to view care as “</w:t>
      </w:r>
      <w:r w:rsidRPr="00E869A4">
        <w:rPr>
          <w:rFonts w:ascii="Times New Roman" w:hAnsi="Times New Roman" w:cs="Times New Roman"/>
          <w:iCs/>
          <w:szCs w:val="24"/>
        </w:rPr>
        <w:t>not explicitly or only located in the feminine</w:t>
      </w:r>
      <w:r w:rsidRPr="00E869A4">
        <w:rPr>
          <w:rFonts w:ascii="Times New Roman" w:hAnsi="Times New Roman" w:cs="Times New Roman"/>
          <w:szCs w:val="24"/>
        </w:rPr>
        <w:t>” (Raghuram 2016</w:t>
      </w:r>
      <w:r w:rsidR="002225D8" w:rsidRPr="00E869A4">
        <w:rPr>
          <w:rFonts w:ascii="Times New Roman" w:hAnsi="Times New Roman" w:cs="Times New Roman"/>
          <w:szCs w:val="24"/>
        </w:rPr>
        <w:t>, p.</w:t>
      </w:r>
      <w:r w:rsidR="00667F1C" w:rsidRPr="00E869A4">
        <w:rPr>
          <w:rFonts w:ascii="Times New Roman" w:hAnsi="Times New Roman" w:cs="Times New Roman"/>
          <w:szCs w:val="24"/>
        </w:rPr>
        <w:t xml:space="preserve"> 515) and</w:t>
      </w:r>
      <w:r w:rsidRPr="00E869A4">
        <w:rPr>
          <w:rFonts w:ascii="Times New Roman" w:hAnsi="Times New Roman" w:cs="Times New Roman"/>
          <w:szCs w:val="24"/>
        </w:rPr>
        <w:t xml:space="preserve"> not limited to the private sphere (</w:t>
      </w:r>
      <w:r w:rsidR="002225D8" w:rsidRPr="00E869A4">
        <w:rPr>
          <w:rFonts w:ascii="Times New Roman" w:hAnsi="Times New Roman" w:cs="Times New Roman"/>
          <w:szCs w:val="24"/>
        </w:rPr>
        <w:t xml:space="preserve">Ghosh, Capistrant &amp; Friedemann-Sãnchez </w:t>
      </w:r>
      <w:r w:rsidR="00667F1C" w:rsidRPr="00E869A4">
        <w:rPr>
          <w:rFonts w:ascii="Times New Roman" w:hAnsi="Times New Roman" w:cs="Times New Roman"/>
          <w:szCs w:val="24"/>
        </w:rPr>
        <w:t>2017). Al</w:t>
      </w:r>
      <w:r w:rsidRPr="00E869A4">
        <w:rPr>
          <w:rFonts w:ascii="Times New Roman" w:hAnsi="Times New Roman" w:cs="Times New Roman"/>
          <w:szCs w:val="24"/>
        </w:rPr>
        <w:t>though Thomas made a valiant attempt at defining the concept, her definition did not address key aspects of care such as caregiving tasks (</w:t>
      </w:r>
      <w:r w:rsidRPr="00E869A4">
        <w:rPr>
          <w:rFonts w:ascii="Times New Roman" w:hAnsi="Times New Roman" w:cs="Times New Roman"/>
          <w:noProof/>
          <w:szCs w:val="24"/>
        </w:rPr>
        <w:t>de São José 2016)</w:t>
      </w:r>
      <w:r w:rsidRPr="00E869A4">
        <w:rPr>
          <w:rFonts w:ascii="Times New Roman" w:hAnsi="Times New Roman" w:cs="Times New Roman"/>
          <w:szCs w:val="24"/>
        </w:rPr>
        <w:t xml:space="preserve">. Other major contributions made by feminists to the caregiving discourse include </w:t>
      </w:r>
      <w:r w:rsidRPr="00E869A4">
        <w:rPr>
          <w:rFonts w:ascii="Times New Roman" w:hAnsi="Times New Roman" w:cs="Times New Roman"/>
          <w:i/>
          <w:iCs/>
          <w:szCs w:val="24"/>
        </w:rPr>
        <w:t>inter alia</w:t>
      </w:r>
      <w:r w:rsidRPr="00E869A4">
        <w:rPr>
          <w:rFonts w:ascii="Times New Roman" w:hAnsi="Times New Roman" w:cs="Times New Roman"/>
          <w:szCs w:val="24"/>
        </w:rPr>
        <w:t>: recognising and naming caregiving (whether paid or unpaid) as work, highlighting the negative effects of the devaluation of women’s care work over the life course</w:t>
      </w:r>
      <w:r w:rsidR="00DC1F0A" w:rsidRPr="00E869A4">
        <w:rPr>
          <w:rFonts w:ascii="Times New Roman" w:hAnsi="Times New Roman" w:cs="Times New Roman"/>
          <w:szCs w:val="24"/>
        </w:rPr>
        <w:t>,</w:t>
      </w:r>
      <w:r w:rsidR="00667F1C" w:rsidRPr="00E869A4">
        <w:rPr>
          <w:rFonts w:ascii="Times New Roman" w:hAnsi="Times New Roman" w:cs="Times New Roman"/>
          <w:szCs w:val="24"/>
        </w:rPr>
        <w:t xml:space="preserve"> and</w:t>
      </w:r>
      <w:r w:rsidRPr="00E869A4">
        <w:rPr>
          <w:rFonts w:ascii="Times New Roman" w:hAnsi="Times New Roman" w:cs="Times New Roman"/>
          <w:szCs w:val="24"/>
        </w:rPr>
        <w:t xml:space="preserve"> identifying care as a societal responsibility rather than solely the responsibility of the individual or family unit (</w:t>
      </w:r>
      <w:r w:rsidR="002225D8" w:rsidRPr="00E869A4">
        <w:rPr>
          <w:rFonts w:ascii="Times New Roman" w:hAnsi="Times New Roman" w:cs="Times New Roman"/>
          <w:szCs w:val="24"/>
        </w:rPr>
        <w:t xml:space="preserve">Ghosh, Capistrant &amp; Friedemann-Sãnchez </w:t>
      </w:r>
      <w:r w:rsidR="00637064" w:rsidRPr="00E869A4">
        <w:rPr>
          <w:rFonts w:ascii="Times New Roman" w:hAnsi="Times New Roman" w:cs="Times New Roman"/>
          <w:szCs w:val="24"/>
        </w:rPr>
        <w:t>2017; Hughes</w:t>
      </w:r>
      <w:r w:rsidRPr="00E869A4">
        <w:rPr>
          <w:rFonts w:ascii="Times New Roman" w:hAnsi="Times New Roman" w:cs="Times New Roman"/>
          <w:szCs w:val="24"/>
        </w:rPr>
        <w:t xml:space="preserve"> 2002). </w:t>
      </w:r>
    </w:p>
    <w:p w14:paraId="1F045542" w14:textId="77777777" w:rsidR="009660AA" w:rsidRPr="00E869A4" w:rsidRDefault="009660AA" w:rsidP="0016021E">
      <w:pPr>
        <w:rPr>
          <w:rFonts w:ascii="Times New Roman" w:hAnsi="Times New Roman" w:cs="Times New Roman"/>
          <w:szCs w:val="24"/>
        </w:rPr>
      </w:pPr>
    </w:p>
    <w:p w14:paraId="02720CFE" w14:textId="50316E97" w:rsidR="001F077F" w:rsidRPr="00E869A4" w:rsidRDefault="001F077F" w:rsidP="0016021E">
      <w:pPr>
        <w:rPr>
          <w:rFonts w:ascii="Times New Roman" w:hAnsi="Times New Roman" w:cs="Times New Roman"/>
          <w:szCs w:val="24"/>
        </w:rPr>
      </w:pPr>
      <w:r w:rsidRPr="00E869A4">
        <w:rPr>
          <w:rFonts w:ascii="Times New Roman" w:hAnsi="Times New Roman" w:cs="Times New Roman"/>
          <w:szCs w:val="24"/>
        </w:rPr>
        <w:t>Porter et al</w:t>
      </w:r>
      <w:r w:rsidR="00B46739" w:rsidRPr="00E869A4">
        <w:rPr>
          <w:rFonts w:ascii="Times New Roman" w:hAnsi="Times New Roman" w:cs="Times New Roman"/>
          <w:szCs w:val="24"/>
        </w:rPr>
        <w:t>.</w:t>
      </w:r>
      <w:r w:rsidRPr="00E869A4">
        <w:rPr>
          <w:rFonts w:ascii="Times New Roman" w:hAnsi="Times New Roman" w:cs="Times New Roman"/>
          <w:szCs w:val="24"/>
        </w:rPr>
        <w:t xml:space="preserve"> (2004) addressed some of these concerns about the dichotomisation of caregivers into formal and informal helpers by identifying helper </w:t>
      </w:r>
      <w:r w:rsidR="00631078" w:rsidRPr="00E869A4">
        <w:rPr>
          <w:rFonts w:ascii="Times New Roman" w:hAnsi="Times New Roman" w:cs="Times New Roman"/>
          <w:szCs w:val="24"/>
        </w:rPr>
        <w:t>types, which</w:t>
      </w:r>
      <w:r w:rsidRPr="00E869A4">
        <w:rPr>
          <w:rFonts w:ascii="Times New Roman" w:hAnsi="Times New Roman" w:cs="Times New Roman"/>
          <w:szCs w:val="24"/>
        </w:rPr>
        <w:t xml:space="preserve"> are characterised by the nature of the help they provide and their compensation arrangements. Based on their qualitative interviews with 25 older women aged 80</w:t>
      </w:r>
      <w:r w:rsidR="00C85D4A" w:rsidRPr="00E869A4">
        <w:rPr>
          <w:rFonts w:ascii="Times New Roman" w:hAnsi="Times New Roman" w:cs="Times New Roman"/>
          <w:szCs w:val="24"/>
        </w:rPr>
        <w:t>-</w:t>
      </w:r>
      <w:r w:rsidRPr="00E869A4">
        <w:rPr>
          <w:rFonts w:ascii="Times New Roman" w:hAnsi="Times New Roman" w:cs="Times New Roman"/>
          <w:szCs w:val="24"/>
        </w:rPr>
        <w:t xml:space="preserve">94 years, the following categories of informal caregivers were identified: 1) </w:t>
      </w:r>
      <w:r w:rsidRPr="00E869A4">
        <w:rPr>
          <w:rFonts w:ascii="Times New Roman" w:hAnsi="Times New Roman" w:cs="Times New Roman"/>
          <w:i/>
          <w:szCs w:val="24"/>
        </w:rPr>
        <w:t>regular helpers</w:t>
      </w:r>
      <w:r w:rsidR="000150F7" w:rsidRPr="00E869A4">
        <w:rPr>
          <w:rFonts w:ascii="Times New Roman" w:hAnsi="Times New Roman" w:cs="Times New Roman"/>
          <w:szCs w:val="24"/>
        </w:rPr>
        <w:t>;</w:t>
      </w:r>
      <w:r w:rsidRPr="00E869A4">
        <w:rPr>
          <w:rFonts w:ascii="Times New Roman" w:hAnsi="Times New Roman" w:cs="Times New Roman"/>
          <w:szCs w:val="24"/>
        </w:rPr>
        <w:t xml:space="preserve"> 2) </w:t>
      </w:r>
      <w:r w:rsidRPr="00E869A4">
        <w:rPr>
          <w:rFonts w:ascii="Times New Roman" w:hAnsi="Times New Roman" w:cs="Times New Roman"/>
          <w:i/>
          <w:szCs w:val="24"/>
        </w:rPr>
        <w:t>on-call helpers</w:t>
      </w:r>
      <w:r w:rsidR="000150F7" w:rsidRPr="00E869A4">
        <w:rPr>
          <w:rFonts w:ascii="Times New Roman" w:hAnsi="Times New Roman" w:cs="Times New Roman"/>
          <w:szCs w:val="24"/>
        </w:rPr>
        <w:t>;</w:t>
      </w:r>
      <w:r w:rsidRPr="00E869A4">
        <w:rPr>
          <w:rFonts w:ascii="Times New Roman" w:hAnsi="Times New Roman" w:cs="Times New Roman"/>
          <w:szCs w:val="24"/>
        </w:rPr>
        <w:t xml:space="preserve"> 3) </w:t>
      </w:r>
      <w:r w:rsidRPr="00E869A4">
        <w:rPr>
          <w:rFonts w:ascii="Times New Roman" w:hAnsi="Times New Roman" w:cs="Times New Roman"/>
          <w:i/>
          <w:szCs w:val="24"/>
        </w:rPr>
        <w:t>can-will doers</w:t>
      </w:r>
      <w:r w:rsidR="000150F7" w:rsidRPr="00E869A4">
        <w:rPr>
          <w:rFonts w:ascii="Times New Roman" w:hAnsi="Times New Roman" w:cs="Times New Roman"/>
          <w:szCs w:val="24"/>
        </w:rPr>
        <w:t>;</w:t>
      </w:r>
      <w:r w:rsidRPr="00E869A4">
        <w:rPr>
          <w:rFonts w:ascii="Times New Roman" w:hAnsi="Times New Roman" w:cs="Times New Roman"/>
          <w:szCs w:val="24"/>
        </w:rPr>
        <w:t xml:space="preserve"> and</w:t>
      </w:r>
      <w:r w:rsidR="000150F7" w:rsidRPr="00E869A4">
        <w:rPr>
          <w:rFonts w:ascii="Times New Roman" w:hAnsi="Times New Roman" w:cs="Times New Roman"/>
          <w:szCs w:val="24"/>
        </w:rPr>
        <w:t>,</w:t>
      </w:r>
      <w:r w:rsidRPr="00E869A4">
        <w:rPr>
          <w:rFonts w:ascii="Times New Roman" w:hAnsi="Times New Roman" w:cs="Times New Roman"/>
          <w:szCs w:val="24"/>
        </w:rPr>
        <w:t xml:space="preserve"> 4) </w:t>
      </w:r>
      <w:r w:rsidRPr="00E869A4">
        <w:rPr>
          <w:rFonts w:ascii="Times New Roman" w:hAnsi="Times New Roman" w:cs="Times New Roman"/>
          <w:i/>
          <w:szCs w:val="24"/>
        </w:rPr>
        <w:t>mainstays</w:t>
      </w:r>
      <w:r w:rsidR="00BD1600" w:rsidRPr="00E869A4">
        <w:rPr>
          <w:rFonts w:ascii="Times New Roman" w:hAnsi="Times New Roman" w:cs="Times New Roman"/>
          <w:szCs w:val="24"/>
        </w:rPr>
        <w:t>. Regular helpers willingly performed prearranged and recurring care tasks. They arrived and left at specific times. On-</w:t>
      </w:r>
      <w:r w:rsidR="00C85D4A" w:rsidRPr="00E869A4">
        <w:rPr>
          <w:rFonts w:ascii="Times New Roman" w:hAnsi="Times New Roman" w:cs="Times New Roman"/>
          <w:szCs w:val="24"/>
        </w:rPr>
        <w:t>c</w:t>
      </w:r>
      <w:r w:rsidR="00BD1600" w:rsidRPr="00E869A4">
        <w:rPr>
          <w:rFonts w:ascii="Times New Roman" w:hAnsi="Times New Roman" w:cs="Times New Roman"/>
          <w:szCs w:val="24"/>
        </w:rPr>
        <w:t>all helpers were available as needed: the cared-for person initiated their help.</w:t>
      </w:r>
      <w:r w:rsidR="00DC1F0A" w:rsidRPr="00E869A4">
        <w:t xml:space="preserve"> These helpers assisted</w:t>
      </w:r>
      <w:r w:rsidR="00BD1600" w:rsidRPr="00E869A4">
        <w:rPr>
          <w:rFonts w:ascii="Times New Roman" w:hAnsi="Times New Roman" w:cs="Times New Roman"/>
          <w:szCs w:val="24"/>
        </w:rPr>
        <w:t xml:space="preserve"> with transportation on an irregular basis</w:t>
      </w:r>
      <w:r w:rsidR="00BD1600" w:rsidRPr="00E869A4">
        <w:t xml:space="preserve"> or with </w:t>
      </w:r>
      <w:r w:rsidR="00BD1600" w:rsidRPr="00E869A4">
        <w:rPr>
          <w:rFonts w:ascii="Times New Roman" w:hAnsi="Times New Roman" w:cs="Times New Roman"/>
          <w:szCs w:val="24"/>
        </w:rPr>
        <w:t>new problems or an emergency.  The ‘</w:t>
      </w:r>
      <w:r w:rsidR="00BD1600" w:rsidRPr="00E869A4">
        <w:rPr>
          <w:rFonts w:ascii="Times New Roman" w:hAnsi="Times New Roman" w:cs="Times New Roman"/>
          <w:iCs/>
          <w:szCs w:val="24"/>
        </w:rPr>
        <w:t>can</w:t>
      </w:r>
      <w:r w:rsidR="00BD1600" w:rsidRPr="00E869A4">
        <w:rPr>
          <w:rFonts w:ascii="Times New Roman" w:hAnsi="Times New Roman" w:cs="Times New Roman"/>
          <w:i/>
          <w:szCs w:val="24"/>
        </w:rPr>
        <w:t>-</w:t>
      </w:r>
      <w:r w:rsidR="00BD1600" w:rsidRPr="00E869A4">
        <w:rPr>
          <w:rFonts w:ascii="Times New Roman" w:hAnsi="Times New Roman" w:cs="Times New Roman"/>
          <w:iCs/>
          <w:szCs w:val="24"/>
        </w:rPr>
        <w:t>will</w:t>
      </w:r>
      <w:r w:rsidR="00BD1600" w:rsidRPr="00E869A4">
        <w:rPr>
          <w:rFonts w:ascii="Times New Roman" w:hAnsi="Times New Roman" w:cs="Times New Roman"/>
          <w:i/>
          <w:szCs w:val="24"/>
        </w:rPr>
        <w:t xml:space="preserve"> </w:t>
      </w:r>
      <w:r w:rsidR="00BD1600" w:rsidRPr="00E869A4">
        <w:rPr>
          <w:rFonts w:ascii="Times New Roman" w:hAnsi="Times New Roman" w:cs="Times New Roman"/>
          <w:iCs/>
          <w:szCs w:val="24"/>
        </w:rPr>
        <w:t>doer’</w:t>
      </w:r>
      <w:r w:rsidR="00BD1600" w:rsidRPr="00E869A4">
        <w:rPr>
          <w:rFonts w:ascii="Times New Roman" w:hAnsi="Times New Roman" w:cs="Times New Roman"/>
          <w:szCs w:val="24"/>
        </w:rPr>
        <w:t xml:space="preserve"> was described as a helper </w:t>
      </w:r>
      <w:r w:rsidR="00BD1600" w:rsidRPr="00E869A4">
        <w:rPr>
          <w:rFonts w:ascii="Times New Roman" w:hAnsi="Times New Roman" w:cs="Times New Roman"/>
          <w:szCs w:val="24"/>
        </w:rPr>
        <w:lastRenderedPageBreak/>
        <w:t xml:space="preserve">that is flexible and trustworthy. Their assistance was often spontaneous and </w:t>
      </w:r>
      <w:r w:rsidR="00DC1F0A" w:rsidRPr="00E869A4">
        <w:rPr>
          <w:rFonts w:ascii="Times New Roman" w:hAnsi="Times New Roman" w:cs="Times New Roman"/>
          <w:szCs w:val="24"/>
        </w:rPr>
        <w:t>of</w:t>
      </w:r>
      <w:r w:rsidR="00BD1600" w:rsidRPr="00E869A4">
        <w:rPr>
          <w:rFonts w:ascii="Times New Roman" w:hAnsi="Times New Roman" w:cs="Times New Roman"/>
          <w:szCs w:val="24"/>
        </w:rPr>
        <w:t xml:space="preserve"> their own </w:t>
      </w:r>
      <w:r w:rsidR="00DC1F0A" w:rsidRPr="00E869A4">
        <w:rPr>
          <w:rFonts w:ascii="Times New Roman" w:hAnsi="Times New Roman" w:cs="Times New Roman"/>
          <w:szCs w:val="24"/>
        </w:rPr>
        <w:t xml:space="preserve">volition, </w:t>
      </w:r>
      <w:r w:rsidR="00BD1600" w:rsidRPr="00E869A4">
        <w:rPr>
          <w:rFonts w:ascii="Times New Roman" w:hAnsi="Times New Roman" w:cs="Times New Roman"/>
          <w:szCs w:val="24"/>
        </w:rPr>
        <w:t>or</w:t>
      </w:r>
      <w:r w:rsidR="00DC1F0A" w:rsidRPr="00E869A4">
        <w:rPr>
          <w:rFonts w:ascii="Times New Roman" w:hAnsi="Times New Roman" w:cs="Times New Roman"/>
          <w:szCs w:val="24"/>
        </w:rPr>
        <w:t>,</w:t>
      </w:r>
      <w:r w:rsidR="00BD1600" w:rsidRPr="00E869A4">
        <w:rPr>
          <w:rFonts w:ascii="Times New Roman" w:hAnsi="Times New Roman" w:cs="Times New Roman"/>
          <w:szCs w:val="24"/>
        </w:rPr>
        <w:t xml:space="preserve"> </w:t>
      </w:r>
      <w:r w:rsidR="0016021E" w:rsidRPr="00E869A4">
        <w:rPr>
          <w:rFonts w:ascii="Times New Roman" w:hAnsi="Times New Roman" w:cs="Times New Roman"/>
          <w:szCs w:val="24"/>
        </w:rPr>
        <w:t xml:space="preserve">initiated </w:t>
      </w:r>
      <w:r w:rsidR="00DC1F0A" w:rsidRPr="00E869A4">
        <w:rPr>
          <w:rFonts w:ascii="Times New Roman" w:hAnsi="Times New Roman" w:cs="Times New Roman"/>
          <w:szCs w:val="24"/>
        </w:rPr>
        <w:t xml:space="preserve">by </w:t>
      </w:r>
      <w:r w:rsidR="00BD1600" w:rsidRPr="00E869A4">
        <w:rPr>
          <w:rFonts w:ascii="Times New Roman" w:hAnsi="Times New Roman" w:cs="Times New Roman"/>
          <w:szCs w:val="24"/>
        </w:rPr>
        <w:t xml:space="preserve">the older person. They provided assistance with a responsibility that was too difficult or impossible for the older person to undertake herself. Mainstay helpers were versatile, consistent, and </w:t>
      </w:r>
      <w:r w:rsidR="0016021E" w:rsidRPr="00E869A4">
        <w:rPr>
          <w:rFonts w:ascii="Times New Roman" w:hAnsi="Times New Roman" w:cs="Times New Roman"/>
          <w:szCs w:val="24"/>
        </w:rPr>
        <w:t>‘</w:t>
      </w:r>
      <w:r w:rsidR="00BD1600" w:rsidRPr="00E869A4">
        <w:rPr>
          <w:rFonts w:ascii="Times New Roman" w:hAnsi="Times New Roman" w:cs="Times New Roman"/>
          <w:szCs w:val="24"/>
        </w:rPr>
        <w:t>eminently trustworthy</w:t>
      </w:r>
      <w:r w:rsidR="0016021E" w:rsidRPr="00E869A4">
        <w:rPr>
          <w:rFonts w:ascii="Times New Roman" w:hAnsi="Times New Roman" w:cs="Times New Roman"/>
          <w:szCs w:val="24"/>
        </w:rPr>
        <w:t>’</w:t>
      </w:r>
      <w:r w:rsidR="00BD1600" w:rsidRPr="00E869A4">
        <w:rPr>
          <w:rFonts w:ascii="Times New Roman" w:hAnsi="Times New Roman" w:cs="Times New Roman"/>
          <w:szCs w:val="24"/>
        </w:rPr>
        <w:t>. They had multiple responsibilities and their involvement was systematic in pattern and type, but not necessarily frequent.</w:t>
      </w:r>
      <w:r w:rsidR="0016021E" w:rsidRPr="00E869A4">
        <w:rPr>
          <w:rFonts w:ascii="Times New Roman" w:hAnsi="Times New Roman" w:cs="Times New Roman"/>
          <w:szCs w:val="24"/>
        </w:rPr>
        <w:t xml:space="preserve"> </w:t>
      </w:r>
      <w:r w:rsidRPr="00E869A4">
        <w:rPr>
          <w:rFonts w:ascii="Times New Roman" w:hAnsi="Times New Roman" w:cs="Times New Roman"/>
          <w:szCs w:val="24"/>
        </w:rPr>
        <w:t>Th</w:t>
      </w:r>
      <w:r w:rsidR="0016021E" w:rsidRPr="00E869A4">
        <w:rPr>
          <w:rFonts w:ascii="Times New Roman" w:hAnsi="Times New Roman" w:cs="Times New Roman"/>
          <w:szCs w:val="24"/>
        </w:rPr>
        <w:t>is</w:t>
      </w:r>
      <w:r w:rsidRPr="00E869A4">
        <w:rPr>
          <w:rFonts w:ascii="Times New Roman" w:hAnsi="Times New Roman" w:cs="Times New Roman"/>
          <w:szCs w:val="24"/>
        </w:rPr>
        <w:t xml:space="preserve"> typology is one means of depicting the complex</w:t>
      </w:r>
      <w:r w:rsidR="0016021E" w:rsidRPr="00E869A4">
        <w:rPr>
          <w:rFonts w:ascii="Times New Roman" w:hAnsi="Times New Roman" w:cs="Times New Roman"/>
          <w:szCs w:val="24"/>
        </w:rPr>
        <w:t xml:space="preserve"> and diverse</w:t>
      </w:r>
      <w:r w:rsidRPr="00E869A4">
        <w:rPr>
          <w:rFonts w:ascii="Times New Roman" w:hAnsi="Times New Roman" w:cs="Times New Roman"/>
          <w:szCs w:val="24"/>
        </w:rPr>
        <w:t xml:space="preserve"> nature of caregiving relationships.</w:t>
      </w:r>
    </w:p>
    <w:p w14:paraId="0373E10B" w14:textId="77777777" w:rsidR="00BD1600" w:rsidRPr="00E869A4" w:rsidRDefault="00BD1600" w:rsidP="00B46739">
      <w:pPr>
        <w:rPr>
          <w:rFonts w:ascii="Times New Roman" w:hAnsi="Times New Roman" w:cs="Times New Roman"/>
          <w:szCs w:val="24"/>
        </w:rPr>
      </w:pPr>
    </w:p>
    <w:p w14:paraId="0E6BBD45" w14:textId="2A4F86E4" w:rsidR="00530DD3" w:rsidRPr="00E869A4" w:rsidRDefault="001F077F">
      <w:pPr>
        <w:rPr>
          <w:rFonts w:ascii="Times New Roman" w:hAnsi="Times New Roman" w:cs="Times New Roman"/>
          <w:szCs w:val="24"/>
        </w:rPr>
      </w:pPr>
      <w:r w:rsidRPr="00E869A4">
        <w:rPr>
          <w:rFonts w:ascii="Times New Roman" w:hAnsi="Times New Roman" w:cs="Times New Roman"/>
          <w:szCs w:val="24"/>
        </w:rPr>
        <w:t>A growing body of research highlights the significant support provided by family caregivers in activities that require significant skill and consistency</w:t>
      </w:r>
      <w:r w:rsidR="0016021E" w:rsidRPr="00E869A4">
        <w:rPr>
          <w:rFonts w:ascii="Times New Roman" w:hAnsi="Times New Roman" w:cs="Times New Roman"/>
          <w:szCs w:val="24"/>
        </w:rPr>
        <w:t>,</w:t>
      </w:r>
      <w:r w:rsidRPr="00E869A4">
        <w:rPr>
          <w:rFonts w:ascii="Times New Roman" w:hAnsi="Times New Roman" w:cs="Times New Roman"/>
          <w:szCs w:val="24"/>
        </w:rPr>
        <w:t xml:space="preserve"> such as the performance of medically related tasks, managing care support from medical and social agencies, and monitoring the financial and legal affairs of elderly relatives</w:t>
      </w:r>
      <w:r w:rsidR="0056345F" w:rsidRPr="00E869A4">
        <w:rPr>
          <w:rFonts w:ascii="Times New Roman" w:hAnsi="Times New Roman" w:cs="Times New Roman"/>
          <w:szCs w:val="24"/>
        </w:rPr>
        <w:t xml:space="preserve"> (Bookman &amp; Kimbrel 2011)</w:t>
      </w:r>
      <w:r w:rsidRPr="00E869A4">
        <w:rPr>
          <w:rFonts w:ascii="Times New Roman" w:hAnsi="Times New Roman" w:cs="Times New Roman"/>
          <w:szCs w:val="24"/>
        </w:rPr>
        <w:t>. Assistance with IADL</w:t>
      </w:r>
      <w:r w:rsidR="0056345F" w:rsidRPr="00E869A4">
        <w:rPr>
          <w:rFonts w:ascii="Times New Roman" w:hAnsi="Times New Roman" w:cs="Times New Roman"/>
          <w:szCs w:val="24"/>
        </w:rPr>
        <w:t>s</w:t>
      </w:r>
      <w:r w:rsidRPr="00E869A4">
        <w:rPr>
          <w:rFonts w:ascii="Times New Roman" w:hAnsi="Times New Roman" w:cs="Times New Roman"/>
          <w:szCs w:val="24"/>
        </w:rPr>
        <w:t xml:space="preserve"> is now widely accepted in the literature as falling within the purview of family care, in addition to support with ADL</w:t>
      </w:r>
      <w:r w:rsidR="0056345F" w:rsidRPr="00E869A4">
        <w:rPr>
          <w:rFonts w:ascii="Times New Roman" w:hAnsi="Times New Roman" w:cs="Times New Roman"/>
          <w:szCs w:val="24"/>
        </w:rPr>
        <w:t>s</w:t>
      </w:r>
      <w:r w:rsidRPr="00E869A4">
        <w:rPr>
          <w:rFonts w:ascii="Times New Roman" w:hAnsi="Times New Roman" w:cs="Times New Roman"/>
          <w:szCs w:val="24"/>
        </w:rPr>
        <w:t>. However, the ADL and IADL classificatory schemes do not adequately address the emotional support provided in care relationships</w:t>
      </w:r>
      <w:r w:rsidR="005B0D77" w:rsidRPr="00E869A4">
        <w:rPr>
          <w:rFonts w:ascii="Times New Roman" w:hAnsi="Times New Roman" w:cs="Times New Roman"/>
          <w:szCs w:val="24"/>
        </w:rPr>
        <w:t xml:space="preserve"> (Reinhard et al. 2008)</w:t>
      </w:r>
      <w:r w:rsidRPr="00E869A4">
        <w:rPr>
          <w:rFonts w:ascii="Times New Roman" w:hAnsi="Times New Roman" w:cs="Times New Roman"/>
          <w:szCs w:val="24"/>
        </w:rPr>
        <w:t>. It has also been found that the nuclear family is more flexible in the number of caregiving hours and activities than other care providers (Masuy 2011). Thus, the terminology used to describe famil</w:t>
      </w:r>
      <w:r w:rsidR="0016021E" w:rsidRPr="00E869A4">
        <w:rPr>
          <w:rFonts w:ascii="Times New Roman" w:hAnsi="Times New Roman" w:cs="Times New Roman"/>
          <w:szCs w:val="24"/>
        </w:rPr>
        <w:t>y care must be indicative of these varied elements</w:t>
      </w:r>
      <w:r w:rsidRPr="00E869A4">
        <w:rPr>
          <w:rFonts w:ascii="Times New Roman" w:hAnsi="Times New Roman" w:cs="Times New Roman"/>
          <w:szCs w:val="24"/>
        </w:rPr>
        <w:t>.</w:t>
      </w:r>
      <w:r w:rsidR="003D42CD" w:rsidRPr="00E869A4">
        <w:rPr>
          <w:rFonts w:ascii="Times New Roman" w:hAnsi="Times New Roman" w:cs="Times New Roman"/>
          <w:szCs w:val="24"/>
        </w:rPr>
        <w:t xml:space="preserve"> </w:t>
      </w:r>
      <w:bookmarkStart w:id="153" w:name="_Toc505015382"/>
    </w:p>
    <w:p w14:paraId="47F6A9FA" w14:textId="77777777" w:rsidR="003D42CD" w:rsidRPr="00E869A4" w:rsidRDefault="003D42CD">
      <w:pPr>
        <w:rPr>
          <w:b/>
          <w:i/>
          <w:u w:val="single"/>
        </w:rPr>
      </w:pPr>
    </w:p>
    <w:p w14:paraId="183DE7FA" w14:textId="4A6AD423" w:rsidR="001F077F" w:rsidRPr="00E869A4" w:rsidRDefault="001F077F" w:rsidP="0047120F">
      <w:pPr>
        <w:pStyle w:val="Heading4"/>
      </w:pPr>
      <w:r w:rsidRPr="00E869A4">
        <w:t>Identifying Caregivers</w:t>
      </w:r>
      <w:bookmarkEnd w:id="153"/>
    </w:p>
    <w:p w14:paraId="3CA88056" w14:textId="77777777" w:rsidR="00187988" w:rsidRPr="00E869A4" w:rsidRDefault="00187988" w:rsidP="00A5276D">
      <w:pPr>
        <w:rPr>
          <w:rFonts w:ascii="Times New Roman" w:hAnsi="Times New Roman" w:cs="Times New Roman"/>
        </w:rPr>
      </w:pPr>
    </w:p>
    <w:p w14:paraId="058A4113" w14:textId="66E3650D" w:rsidR="001F077F" w:rsidRPr="00E869A4" w:rsidRDefault="001F077F" w:rsidP="00A5276D">
      <w:pPr>
        <w:rPr>
          <w:rFonts w:ascii="Times New Roman" w:hAnsi="Times New Roman" w:cs="Times New Roman"/>
        </w:rPr>
      </w:pPr>
      <w:r w:rsidRPr="00E869A4">
        <w:rPr>
          <w:rFonts w:ascii="Times New Roman" w:hAnsi="Times New Roman" w:cs="Times New Roman"/>
        </w:rPr>
        <w:t>Various approaches have been used to distinguish between different types of caregivers. Many studies make a simple distinction between primary and secondary caregivers. The primary carer usually has major responsibility for the older p</w:t>
      </w:r>
      <w:r w:rsidR="00CB3367" w:rsidRPr="00E869A4">
        <w:rPr>
          <w:rFonts w:ascii="Times New Roman" w:hAnsi="Times New Roman" w:cs="Times New Roman"/>
        </w:rPr>
        <w:t>erson</w:t>
      </w:r>
      <w:r w:rsidR="00236289" w:rsidRPr="00E869A4">
        <w:rPr>
          <w:rFonts w:ascii="Times New Roman" w:hAnsi="Times New Roman" w:cs="Times New Roman"/>
        </w:rPr>
        <w:t xml:space="preserve">, and/or provides the majority of care </w:t>
      </w:r>
      <w:r w:rsidR="008E685A" w:rsidRPr="00E869A4">
        <w:rPr>
          <w:rFonts w:ascii="Times New Roman" w:hAnsi="Times New Roman" w:cs="Times New Roman"/>
        </w:rPr>
        <w:t>(Dilworth-Anderson et a</w:t>
      </w:r>
      <w:r w:rsidR="00CB3367" w:rsidRPr="00E869A4">
        <w:rPr>
          <w:rFonts w:ascii="Times New Roman" w:hAnsi="Times New Roman" w:cs="Times New Roman"/>
        </w:rPr>
        <w:t>l.</w:t>
      </w:r>
      <w:r w:rsidRPr="00E869A4">
        <w:rPr>
          <w:rFonts w:ascii="Times New Roman" w:hAnsi="Times New Roman" w:cs="Times New Roman"/>
        </w:rPr>
        <w:t xml:space="preserve"> 2004</w:t>
      </w:r>
      <w:r w:rsidR="008E685A" w:rsidRPr="00E869A4">
        <w:rPr>
          <w:rFonts w:ascii="Times New Roman" w:hAnsi="Times New Roman" w:cs="Times New Roman"/>
        </w:rPr>
        <w:t>; Gupta, Rowe &amp; Pillai 2009</w:t>
      </w:r>
      <w:r w:rsidRPr="00E869A4">
        <w:rPr>
          <w:rFonts w:ascii="Times New Roman" w:hAnsi="Times New Roman" w:cs="Times New Roman"/>
        </w:rPr>
        <w:t xml:space="preserve">). Secondary caregivers are the other individuals who also </w:t>
      </w:r>
      <w:r w:rsidR="00AF2890" w:rsidRPr="00E869A4">
        <w:rPr>
          <w:rFonts w:ascii="Times New Roman" w:hAnsi="Times New Roman" w:cs="Times New Roman"/>
        </w:rPr>
        <w:t>assist</w:t>
      </w:r>
      <w:r w:rsidRPr="00E869A4">
        <w:rPr>
          <w:rFonts w:ascii="Times New Roman" w:hAnsi="Times New Roman" w:cs="Times New Roman"/>
        </w:rPr>
        <w:t xml:space="preserve"> the older </w:t>
      </w:r>
      <w:r w:rsidR="009E2738" w:rsidRPr="00E869A4">
        <w:rPr>
          <w:rFonts w:ascii="Times New Roman" w:hAnsi="Times New Roman" w:cs="Times New Roman"/>
        </w:rPr>
        <w:t>care recipient</w:t>
      </w:r>
      <w:r w:rsidRPr="00E869A4">
        <w:rPr>
          <w:rFonts w:ascii="Times New Roman" w:hAnsi="Times New Roman" w:cs="Times New Roman"/>
        </w:rPr>
        <w:t xml:space="preserve">, but without having the principal responsibility for </w:t>
      </w:r>
      <w:r w:rsidR="00236289" w:rsidRPr="00E869A4">
        <w:rPr>
          <w:rFonts w:ascii="Times New Roman" w:hAnsi="Times New Roman" w:cs="Times New Roman"/>
        </w:rPr>
        <w:t>caregiving</w:t>
      </w:r>
      <w:r w:rsidR="008E685A" w:rsidRPr="00E869A4">
        <w:rPr>
          <w:rFonts w:ascii="Times New Roman" w:hAnsi="Times New Roman" w:cs="Times New Roman"/>
        </w:rPr>
        <w:t xml:space="preserve"> (Simms-Gould &amp; Martin-Matthews 2007).</w:t>
      </w:r>
    </w:p>
    <w:p w14:paraId="23EF379E" w14:textId="77777777" w:rsidR="00D04DCD" w:rsidRPr="00E869A4" w:rsidRDefault="00D04DCD" w:rsidP="00A35FF8">
      <w:pPr>
        <w:rPr>
          <w:rFonts w:ascii="Times New Roman" w:hAnsi="Times New Roman" w:cs="Times New Roman"/>
        </w:rPr>
      </w:pPr>
    </w:p>
    <w:p w14:paraId="7BC35904" w14:textId="1CD58E24" w:rsidR="00BD486B" w:rsidRPr="00E869A4" w:rsidRDefault="001F077F" w:rsidP="005125A3">
      <w:pPr>
        <w:rPr>
          <w:rFonts w:ascii="Times New Roman" w:hAnsi="Times New Roman" w:cs="Times New Roman"/>
          <w:szCs w:val="24"/>
        </w:rPr>
      </w:pPr>
      <w:r w:rsidRPr="00E869A4">
        <w:rPr>
          <w:rFonts w:ascii="Times New Roman" w:hAnsi="Times New Roman" w:cs="Times New Roman"/>
        </w:rPr>
        <w:t>However, some have argued that this bi-dimensional approach does not satisfactorily represent the diverse ways in which family members provide care or changing care requirements.  Care needs may switch from acute to chronic and vice versa</w:t>
      </w:r>
      <w:r w:rsidR="0007184B" w:rsidRPr="00E869A4">
        <w:rPr>
          <w:rFonts w:ascii="Times New Roman" w:hAnsi="Times New Roman" w:cs="Times New Roman"/>
        </w:rPr>
        <w:t>,</w:t>
      </w:r>
      <w:r w:rsidRPr="00E869A4">
        <w:rPr>
          <w:rFonts w:ascii="Times New Roman" w:hAnsi="Times New Roman" w:cs="Times New Roman"/>
        </w:rPr>
        <w:t xml:space="preserve"> at intermittent periods that span many years. Similarly, the role of family caregivers may alternate from primary caregiver to that of secondary caregiver at various points along the care trajectory</w:t>
      </w:r>
      <w:r w:rsidR="0007184B" w:rsidRPr="00E869A4">
        <w:rPr>
          <w:rFonts w:ascii="Times New Roman" w:hAnsi="Times New Roman" w:cs="Times New Roman"/>
        </w:rPr>
        <w:t>,</w:t>
      </w:r>
      <w:r w:rsidRPr="00E869A4">
        <w:rPr>
          <w:rFonts w:ascii="Times New Roman" w:hAnsi="Times New Roman" w:cs="Times New Roman"/>
        </w:rPr>
        <w:t xml:space="preserve"> given c</w:t>
      </w:r>
      <w:r w:rsidR="005125A3" w:rsidRPr="00E869A4">
        <w:rPr>
          <w:rFonts w:ascii="Times New Roman" w:hAnsi="Times New Roman" w:cs="Times New Roman"/>
        </w:rPr>
        <w:t>hanging circumstances (Masuy</w:t>
      </w:r>
      <w:r w:rsidRPr="00E869A4">
        <w:rPr>
          <w:rFonts w:ascii="Times New Roman" w:hAnsi="Times New Roman" w:cs="Times New Roman"/>
        </w:rPr>
        <w:t xml:space="preserve"> 2011). Thus, the categories used to </w:t>
      </w:r>
      <w:r w:rsidRPr="00E869A4">
        <w:rPr>
          <w:rFonts w:ascii="Times New Roman" w:hAnsi="Times New Roman" w:cs="Times New Roman"/>
        </w:rPr>
        <w:lastRenderedPageBreak/>
        <w:t xml:space="preserve">distinguish between caregivers should depict this variability. </w:t>
      </w:r>
      <w:bookmarkStart w:id="154" w:name="_Toc505015383"/>
      <w:r w:rsidR="00BD486B" w:rsidRPr="00E869A4">
        <w:rPr>
          <w:rFonts w:ascii="Times New Roman" w:hAnsi="Times New Roman" w:cs="Times New Roman"/>
          <w:szCs w:val="24"/>
        </w:rPr>
        <w:t>Matthews and Rosner (1988)</w:t>
      </w:r>
      <w:r w:rsidR="005125A3" w:rsidRPr="00E869A4">
        <w:rPr>
          <w:rFonts w:ascii="Times New Roman" w:hAnsi="Times New Roman" w:cs="Times New Roman"/>
          <w:szCs w:val="24"/>
        </w:rPr>
        <w:t xml:space="preserve"> </w:t>
      </w:r>
      <w:r w:rsidR="0007184B" w:rsidRPr="00E869A4">
        <w:rPr>
          <w:rFonts w:ascii="Times New Roman" w:hAnsi="Times New Roman" w:cs="Times New Roman"/>
          <w:szCs w:val="24"/>
        </w:rPr>
        <w:t xml:space="preserve">provide an example of this. They </w:t>
      </w:r>
      <w:r w:rsidR="00BD486B" w:rsidRPr="00E869A4">
        <w:rPr>
          <w:rFonts w:ascii="Times New Roman" w:hAnsi="Times New Roman" w:cs="Times New Roman"/>
          <w:szCs w:val="24"/>
        </w:rPr>
        <w:t>identified fi</w:t>
      </w:r>
      <w:r w:rsidR="0007184B" w:rsidRPr="00E869A4">
        <w:rPr>
          <w:rFonts w:ascii="Times New Roman" w:hAnsi="Times New Roman" w:cs="Times New Roman"/>
          <w:szCs w:val="24"/>
        </w:rPr>
        <w:t>ve types of care involvement b</w:t>
      </w:r>
      <w:r w:rsidR="00BD486B" w:rsidRPr="00E869A4">
        <w:rPr>
          <w:rFonts w:ascii="Times New Roman" w:hAnsi="Times New Roman" w:cs="Times New Roman"/>
          <w:szCs w:val="24"/>
        </w:rPr>
        <w:t>ased on their study of adult daughters</w:t>
      </w:r>
      <w:r w:rsidR="00492B22" w:rsidRPr="00E869A4">
        <w:rPr>
          <w:rFonts w:ascii="Times New Roman" w:hAnsi="Times New Roman" w:cs="Times New Roman"/>
          <w:szCs w:val="24"/>
        </w:rPr>
        <w:t xml:space="preserve"> i.e.</w:t>
      </w:r>
      <w:r w:rsidR="00BD486B" w:rsidRPr="00E869A4">
        <w:rPr>
          <w:rFonts w:ascii="Times New Roman" w:hAnsi="Times New Roman" w:cs="Times New Roman"/>
          <w:szCs w:val="24"/>
        </w:rPr>
        <w:t xml:space="preserve"> that the care provided might take the form of routine help (care is part of the routine of the adult child), backup help (when the adult child does not provide regular care but can be called upon if needed, circumscribed help (if the child is able to provide a very specific type of support such as medical advice, sporadic help (when the child provides support at his own convenience</w:t>
      </w:r>
      <w:r w:rsidR="00492B22" w:rsidRPr="00E869A4">
        <w:rPr>
          <w:rFonts w:ascii="Times New Roman" w:hAnsi="Times New Roman" w:cs="Times New Roman"/>
          <w:szCs w:val="24"/>
        </w:rPr>
        <w:t>)</w:t>
      </w:r>
      <w:r w:rsidR="00BD486B" w:rsidRPr="00E869A4">
        <w:rPr>
          <w:rFonts w:ascii="Times New Roman" w:hAnsi="Times New Roman" w:cs="Times New Roman"/>
          <w:szCs w:val="24"/>
        </w:rPr>
        <w:t xml:space="preserve"> and disassociation (when the child is not involved in parental care </w:t>
      </w:r>
      <w:r w:rsidR="00C94F19" w:rsidRPr="00E869A4">
        <w:rPr>
          <w:rFonts w:ascii="Times New Roman" w:hAnsi="Times New Roman" w:cs="Times New Roman"/>
          <w:szCs w:val="24"/>
        </w:rPr>
        <w:t xml:space="preserve">even if </w:t>
      </w:r>
      <w:r w:rsidR="00BD486B" w:rsidRPr="00E869A4">
        <w:rPr>
          <w:rFonts w:ascii="Times New Roman" w:hAnsi="Times New Roman" w:cs="Times New Roman"/>
          <w:szCs w:val="24"/>
        </w:rPr>
        <w:t>a need for it has been identified).</w:t>
      </w:r>
    </w:p>
    <w:p w14:paraId="103AF600" w14:textId="77777777" w:rsidR="00D04DCD" w:rsidRPr="00E869A4" w:rsidRDefault="00D04DCD" w:rsidP="00A35FF8">
      <w:pPr>
        <w:rPr>
          <w:rFonts w:ascii="Times New Roman" w:hAnsi="Times New Roman" w:cs="Times New Roman"/>
          <w:szCs w:val="24"/>
        </w:rPr>
      </w:pPr>
    </w:p>
    <w:p w14:paraId="40FC281B" w14:textId="75762EA1" w:rsidR="001F077F" w:rsidRPr="00E869A4" w:rsidRDefault="001F077F" w:rsidP="0047120F">
      <w:pPr>
        <w:pStyle w:val="Heading4"/>
      </w:pPr>
      <w:r w:rsidRPr="00E869A4">
        <w:t>Transnational Care</w:t>
      </w:r>
      <w:bookmarkEnd w:id="154"/>
    </w:p>
    <w:p w14:paraId="249B5FF0" w14:textId="77777777" w:rsidR="00D04DCD" w:rsidRPr="00E869A4" w:rsidRDefault="00D04DCD" w:rsidP="0051234F">
      <w:pPr>
        <w:pStyle w:val="112"/>
        <w:rPr>
          <w:color w:val="auto"/>
        </w:rPr>
      </w:pPr>
    </w:p>
    <w:p w14:paraId="77BC42A4" w14:textId="18E9D019" w:rsidR="001F077F" w:rsidRPr="00E869A4" w:rsidRDefault="001F077F" w:rsidP="0073660E">
      <w:pPr>
        <w:rPr>
          <w:rFonts w:ascii="Times New Roman" w:hAnsi="Times New Roman" w:cs="Times New Roman"/>
          <w:szCs w:val="24"/>
        </w:rPr>
      </w:pPr>
      <w:r w:rsidRPr="00E869A4">
        <w:rPr>
          <w:rFonts w:ascii="Times New Roman" w:hAnsi="Times New Roman" w:cs="Times New Roman"/>
          <w:szCs w:val="24"/>
        </w:rPr>
        <w:t>In more recent times, family care researchers have directed their attention towards the global</w:t>
      </w:r>
      <w:r w:rsidR="00C94F19" w:rsidRPr="00E869A4">
        <w:rPr>
          <w:rFonts w:ascii="Times New Roman" w:hAnsi="Times New Roman" w:cs="Times New Roman"/>
          <w:szCs w:val="24"/>
        </w:rPr>
        <w:t>isation of care relationships. Alt</w:t>
      </w:r>
      <w:r w:rsidRPr="00E869A4">
        <w:rPr>
          <w:rFonts w:ascii="Times New Roman" w:hAnsi="Times New Roman" w:cs="Times New Roman"/>
          <w:szCs w:val="24"/>
        </w:rPr>
        <w:t>hough most of these studies focused on migrant mothers and child workers who moved from less economically developed countries</w:t>
      </w:r>
      <w:r w:rsidR="002E2570" w:rsidRPr="00E869A4">
        <w:rPr>
          <w:rFonts w:ascii="Times New Roman" w:hAnsi="Times New Roman" w:cs="Times New Roman"/>
          <w:szCs w:val="24"/>
        </w:rPr>
        <w:t xml:space="preserve"> </w:t>
      </w:r>
      <w:r w:rsidRPr="00E869A4">
        <w:rPr>
          <w:rFonts w:ascii="Times New Roman" w:hAnsi="Times New Roman" w:cs="Times New Roman"/>
          <w:szCs w:val="24"/>
        </w:rPr>
        <w:t>(LEDCs) of the Global South</w:t>
      </w:r>
      <w:r w:rsidR="00AF2890" w:rsidRPr="00E869A4">
        <w:rPr>
          <w:rFonts w:ascii="Times New Roman" w:hAnsi="Times New Roman" w:cs="Times New Roman"/>
          <w:szCs w:val="24"/>
        </w:rPr>
        <w:t>,</w:t>
      </w:r>
      <w:r w:rsidRPr="00E869A4">
        <w:rPr>
          <w:rFonts w:ascii="Times New Roman" w:hAnsi="Times New Roman" w:cs="Times New Roman"/>
          <w:szCs w:val="24"/>
        </w:rPr>
        <w:t xml:space="preserve"> to work in </w:t>
      </w:r>
      <w:r w:rsidR="005125A3" w:rsidRPr="00E869A4">
        <w:rPr>
          <w:rFonts w:ascii="Times New Roman" w:hAnsi="Times New Roman" w:cs="Times New Roman"/>
          <w:szCs w:val="24"/>
        </w:rPr>
        <w:t>MEDCs</w:t>
      </w:r>
      <w:r w:rsidRPr="00E869A4">
        <w:rPr>
          <w:rFonts w:ascii="Times New Roman" w:hAnsi="Times New Roman" w:cs="Times New Roman"/>
          <w:szCs w:val="24"/>
        </w:rPr>
        <w:t xml:space="preserve"> of the Global North, the findings that have emerged from these studies must also be considered when discussing the impact of migration on family elder care. </w:t>
      </w:r>
    </w:p>
    <w:p w14:paraId="4B9260F3" w14:textId="77777777" w:rsidR="00596DC4" w:rsidRPr="00E869A4" w:rsidRDefault="00596DC4" w:rsidP="00B71CF5">
      <w:pPr>
        <w:rPr>
          <w:rFonts w:ascii="Times New Roman" w:hAnsi="Times New Roman" w:cs="Times New Roman"/>
          <w:szCs w:val="24"/>
        </w:rPr>
      </w:pPr>
    </w:p>
    <w:p w14:paraId="4724BAE3" w14:textId="59708811" w:rsidR="00D04DCD" w:rsidRPr="00E869A4" w:rsidRDefault="001F077F" w:rsidP="00B71CF5">
      <w:pPr>
        <w:rPr>
          <w:rFonts w:ascii="Times New Roman" w:hAnsi="Times New Roman" w:cs="Times New Roman"/>
          <w:szCs w:val="24"/>
        </w:rPr>
      </w:pPr>
      <w:r w:rsidRPr="00E869A4">
        <w:rPr>
          <w:rFonts w:ascii="Times New Roman" w:hAnsi="Times New Roman" w:cs="Times New Roman"/>
          <w:szCs w:val="24"/>
        </w:rPr>
        <w:t xml:space="preserve">Arlie Hochschild has made an indelible contribution to the study of migration and care. The term </w:t>
      </w:r>
      <w:r w:rsidR="00F63CF5" w:rsidRPr="00E869A4">
        <w:rPr>
          <w:rFonts w:ascii="Times New Roman" w:hAnsi="Times New Roman" w:cs="Times New Roman"/>
          <w:szCs w:val="24"/>
        </w:rPr>
        <w:t>‘</w:t>
      </w:r>
      <w:r w:rsidRPr="00E869A4">
        <w:rPr>
          <w:rFonts w:ascii="Times New Roman" w:hAnsi="Times New Roman" w:cs="Times New Roman"/>
          <w:i/>
          <w:iCs/>
          <w:szCs w:val="24"/>
        </w:rPr>
        <w:t>care drain</w:t>
      </w:r>
      <w:r w:rsidR="00F63CF5" w:rsidRPr="00E869A4">
        <w:rPr>
          <w:rFonts w:ascii="Times New Roman" w:hAnsi="Times New Roman" w:cs="Times New Roman"/>
          <w:szCs w:val="24"/>
        </w:rPr>
        <w:t>’</w:t>
      </w:r>
      <w:r w:rsidRPr="00E869A4">
        <w:rPr>
          <w:rFonts w:ascii="Times New Roman" w:hAnsi="Times New Roman" w:cs="Times New Roman"/>
          <w:szCs w:val="24"/>
        </w:rPr>
        <w:t xml:space="preserve"> was coined by Hochschild in 2002 to describe women's labour migration as a loss to their country of origin (Dumitru 2014).  Hochschild also introduced the concept of the </w:t>
      </w:r>
      <w:r w:rsidR="00F63CF5" w:rsidRPr="00E869A4">
        <w:rPr>
          <w:rFonts w:ascii="Times New Roman" w:hAnsi="Times New Roman" w:cs="Times New Roman"/>
          <w:szCs w:val="24"/>
        </w:rPr>
        <w:t>‘</w:t>
      </w:r>
      <w:r w:rsidRPr="00E869A4">
        <w:rPr>
          <w:rFonts w:ascii="Times New Roman" w:hAnsi="Times New Roman" w:cs="Times New Roman"/>
          <w:i/>
          <w:szCs w:val="24"/>
        </w:rPr>
        <w:t>Global Care Chain</w:t>
      </w:r>
      <w:r w:rsidR="00F63CF5" w:rsidRPr="00E869A4">
        <w:rPr>
          <w:rFonts w:ascii="Times New Roman" w:hAnsi="Times New Roman" w:cs="Times New Roman"/>
          <w:szCs w:val="24"/>
        </w:rPr>
        <w:t>’</w:t>
      </w:r>
      <w:r w:rsidRPr="00E869A4">
        <w:rPr>
          <w:rFonts w:ascii="Times New Roman" w:hAnsi="Times New Roman" w:cs="Times New Roman"/>
          <w:szCs w:val="24"/>
        </w:rPr>
        <w:t xml:space="preserve"> (GCC) which </w:t>
      </w:r>
      <w:r w:rsidR="00DA43C9">
        <w:rPr>
          <w:rFonts w:ascii="Times New Roman" w:hAnsi="Times New Roman" w:cs="Times New Roman"/>
          <w:szCs w:val="24"/>
        </w:rPr>
        <w:t>she</w:t>
      </w:r>
      <w:r w:rsidRPr="00E869A4">
        <w:rPr>
          <w:rFonts w:ascii="Times New Roman" w:hAnsi="Times New Roman" w:cs="Times New Roman"/>
          <w:szCs w:val="24"/>
        </w:rPr>
        <w:t xml:space="preserve"> defined as “a series of personal links between people across the globe based on the paid or unpaid work of caring” (Hochschild 2000, </w:t>
      </w:r>
      <w:r w:rsidR="00904BCC" w:rsidRPr="00E869A4">
        <w:rPr>
          <w:rFonts w:ascii="Times New Roman" w:hAnsi="Times New Roman" w:cs="Times New Roman"/>
          <w:szCs w:val="24"/>
        </w:rPr>
        <w:t xml:space="preserve">p. </w:t>
      </w:r>
      <w:r w:rsidRPr="00E869A4">
        <w:rPr>
          <w:rFonts w:ascii="Times New Roman" w:hAnsi="Times New Roman" w:cs="Times New Roman"/>
          <w:szCs w:val="24"/>
        </w:rPr>
        <w:t>131</w:t>
      </w:r>
      <w:r w:rsidR="00904BCC" w:rsidRPr="00E869A4">
        <w:rPr>
          <w:rFonts w:ascii="Times New Roman" w:hAnsi="Times New Roman" w:cs="Times New Roman"/>
          <w:szCs w:val="24"/>
        </w:rPr>
        <w:t xml:space="preserve"> cited in Winters 2014, p. 148</w:t>
      </w:r>
      <w:r w:rsidR="00530BD7" w:rsidRPr="00E869A4">
        <w:rPr>
          <w:rFonts w:ascii="Times New Roman" w:hAnsi="Times New Roman" w:cs="Times New Roman"/>
          <w:szCs w:val="24"/>
        </w:rPr>
        <w:t>). According to Hochschild</w:t>
      </w:r>
      <w:r w:rsidR="00596DC4" w:rsidRPr="00E869A4">
        <w:rPr>
          <w:rFonts w:ascii="Times New Roman" w:hAnsi="Times New Roman" w:cs="Times New Roman"/>
          <w:szCs w:val="24"/>
        </w:rPr>
        <w:t xml:space="preserve"> (2000, p. 136 cited in Vaittinen 2014, p. 193)</w:t>
      </w:r>
      <w:r w:rsidR="00904BCC" w:rsidRPr="00E869A4">
        <w:rPr>
          <w:rFonts w:ascii="Times New Roman" w:hAnsi="Times New Roman" w:cs="Times New Roman"/>
          <w:szCs w:val="24"/>
        </w:rPr>
        <w:t>:</w:t>
      </w:r>
      <w:r w:rsidRPr="00E869A4">
        <w:rPr>
          <w:rFonts w:ascii="Times New Roman" w:hAnsi="Times New Roman" w:cs="Times New Roman"/>
          <w:szCs w:val="24"/>
        </w:rPr>
        <w:t xml:space="preserve"> </w:t>
      </w:r>
    </w:p>
    <w:p w14:paraId="6722686F" w14:textId="77777777" w:rsidR="00FE3021" w:rsidRPr="00E869A4" w:rsidRDefault="00FE3021" w:rsidP="003E23F9">
      <w:pPr>
        <w:autoSpaceDE w:val="0"/>
        <w:autoSpaceDN w:val="0"/>
        <w:adjustRightInd w:val="0"/>
        <w:spacing w:line="240" w:lineRule="auto"/>
        <w:ind w:firstLine="720"/>
        <w:rPr>
          <w:rFonts w:ascii="Times New Roman" w:hAnsi="Times New Roman" w:cs="Times New Roman"/>
          <w:szCs w:val="24"/>
        </w:rPr>
      </w:pPr>
    </w:p>
    <w:p w14:paraId="2E0D5F97" w14:textId="6FC4D50F" w:rsidR="001F077F" w:rsidRPr="00E869A4" w:rsidRDefault="009C7B71" w:rsidP="00D8025A">
      <w:pPr>
        <w:spacing w:line="240" w:lineRule="auto"/>
        <w:ind w:left="567" w:firstLine="0"/>
        <w:rPr>
          <w:rFonts w:ascii="Times New Roman" w:hAnsi="Times New Roman" w:cs="Times New Roman"/>
        </w:rPr>
      </w:pPr>
      <w:r w:rsidRPr="00E869A4">
        <w:rPr>
          <w:rFonts w:ascii="Times New Roman" w:hAnsi="Times New Roman" w:cs="Times New Roman"/>
        </w:rPr>
        <w:t>[T]</w:t>
      </w:r>
      <w:r w:rsidR="001F077F" w:rsidRPr="00E869A4">
        <w:rPr>
          <w:rFonts w:ascii="Times New Roman" w:hAnsi="Times New Roman" w:cs="Times New Roman"/>
        </w:rPr>
        <w:t xml:space="preserve">he chains often connect three sets of care-takers </w:t>
      </w:r>
      <w:bookmarkStart w:id="155" w:name="_Hlk27752333"/>
      <w:r w:rsidR="001F077F" w:rsidRPr="00E869A4">
        <w:rPr>
          <w:rFonts w:ascii="Times New Roman" w:hAnsi="Times New Roman" w:cs="Times New Roman"/>
        </w:rPr>
        <w:t xml:space="preserve">— </w:t>
      </w:r>
      <w:bookmarkEnd w:id="155"/>
      <w:r w:rsidR="001F077F" w:rsidRPr="00E869A4">
        <w:rPr>
          <w:rFonts w:ascii="Times New Roman" w:hAnsi="Times New Roman" w:cs="Times New Roman"/>
        </w:rPr>
        <w:t>one cares for the migrant's children back home, a second cares for the children of the woman who cares for the migrant's children, and a third, the migrating mother herself, cares for the children of professionals in the First World</w:t>
      </w:r>
      <w:r w:rsidR="00530BD7" w:rsidRPr="00E869A4">
        <w:rPr>
          <w:rFonts w:ascii="Times New Roman" w:hAnsi="Times New Roman" w:cs="Times New Roman"/>
          <w:szCs w:val="24"/>
        </w:rPr>
        <w:t>.</w:t>
      </w:r>
    </w:p>
    <w:p w14:paraId="6D632669" w14:textId="77777777" w:rsidR="00D8025A" w:rsidRPr="00E869A4" w:rsidRDefault="00D8025A" w:rsidP="003E23F9">
      <w:pPr>
        <w:autoSpaceDE w:val="0"/>
        <w:autoSpaceDN w:val="0"/>
        <w:adjustRightInd w:val="0"/>
        <w:spacing w:line="240" w:lineRule="auto"/>
        <w:ind w:firstLine="720"/>
        <w:rPr>
          <w:rFonts w:ascii="Times New Roman" w:hAnsi="Times New Roman" w:cs="Times New Roman"/>
          <w:szCs w:val="24"/>
        </w:rPr>
      </w:pPr>
    </w:p>
    <w:p w14:paraId="48BBDF95" w14:textId="77777777" w:rsidR="009660AA" w:rsidRPr="00E869A4" w:rsidRDefault="001F077F" w:rsidP="00596DC4">
      <w:pPr>
        <w:ind w:firstLine="0"/>
        <w:rPr>
          <w:rFonts w:ascii="Times New Roman" w:hAnsi="Times New Roman" w:cs="Times New Roman"/>
          <w:szCs w:val="24"/>
        </w:rPr>
      </w:pPr>
      <w:r w:rsidRPr="00E869A4">
        <w:rPr>
          <w:rFonts w:ascii="Times New Roman" w:hAnsi="Times New Roman" w:cs="Times New Roman"/>
          <w:szCs w:val="24"/>
        </w:rPr>
        <w:t>This chain is viewed as extracting physical and emotional labour upwards to the Global North</w:t>
      </w:r>
      <w:r w:rsidR="00C86ABD" w:rsidRPr="00E869A4">
        <w:rPr>
          <w:rFonts w:ascii="Times New Roman" w:hAnsi="Times New Roman" w:cs="Times New Roman"/>
          <w:szCs w:val="24"/>
        </w:rPr>
        <w:t>,</w:t>
      </w:r>
      <w:r w:rsidRPr="00E869A4">
        <w:rPr>
          <w:rFonts w:ascii="Times New Roman" w:hAnsi="Times New Roman" w:cs="Times New Roman"/>
          <w:szCs w:val="24"/>
        </w:rPr>
        <w:t xml:space="preserve"> where the Western child (or care recipient) receives </w:t>
      </w:r>
      <w:r w:rsidRPr="00E869A4">
        <w:rPr>
          <w:rFonts w:ascii="Times New Roman" w:hAnsi="Times New Roman" w:cs="Times New Roman"/>
          <w:i/>
          <w:szCs w:val="24"/>
        </w:rPr>
        <w:t>‘surplus love’</w:t>
      </w:r>
      <w:r w:rsidRPr="00E869A4">
        <w:rPr>
          <w:rFonts w:ascii="Times New Roman" w:hAnsi="Times New Roman" w:cs="Times New Roman"/>
          <w:szCs w:val="24"/>
        </w:rPr>
        <w:t xml:space="preserve"> while those in the family network of the migrant worker that are at the Southern end are deprived of the concrete physical presence of their mothers (and in the case of elder care work, daughters). Hochschild also views the GCC as incorporating labour which, at each stage ‘downwards’ in Global South countries, results in a decrease in remuneration of the care </w:t>
      </w:r>
      <w:r w:rsidRPr="00E869A4">
        <w:rPr>
          <w:rFonts w:ascii="Times New Roman" w:hAnsi="Times New Roman" w:cs="Times New Roman"/>
          <w:szCs w:val="24"/>
        </w:rPr>
        <w:lastRenderedPageBreak/>
        <w:t>worker further down the chain.</w:t>
      </w:r>
      <w:r w:rsidR="00056602" w:rsidRPr="00E869A4">
        <w:rPr>
          <w:rFonts w:ascii="Times New Roman" w:hAnsi="Times New Roman" w:cs="Times New Roman"/>
          <w:szCs w:val="24"/>
        </w:rPr>
        <w:t xml:space="preserve"> </w:t>
      </w:r>
      <w:r w:rsidRPr="00E869A4">
        <w:rPr>
          <w:rFonts w:ascii="Times New Roman" w:hAnsi="Times New Roman" w:cs="Times New Roman"/>
          <w:szCs w:val="24"/>
        </w:rPr>
        <w:t xml:space="preserve">However, </w:t>
      </w:r>
      <w:r w:rsidR="00C94F19" w:rsidRPr="00E869A4">
        <w:rPr>
          <w:rFonts w:ascii="Times New Roman" w:hAnsi="Times New Roman" w:cs="Times New Roman"/>
          <w:szCs w:val="24"/>
        </w:rPr>
        <w:t xml:space="preserve">despite the fact that </w:t>
      </w:r>
      <w:r w:rsidRPr="00E869A4">
        <w:rPr>
          <w:rFonts w:ascii="Times New Roman" w:hAnsi="Times New Roman" w:cs="Times New Roman"/>
          <w:szCs w:val="24"/>
        </w:rPr>
        <w:t xml:space="preserve">Hochschild’s concepts remain an influential way of describing migration, in particular that of female caregivers, this term has not </w:t>
      </w:r>
      <w:r w:rsidR="00AF2890" w:rsidRPr="00E869A4">
        <w:rPr>
          <w:rFonts w:ascii="Times New Roman" w:hAnsi="Times New Roman" w:cs="Times New Roman"/>
          <w:szCs w:val="24"/>
        </w:rPr>
        <w:t>received</w:t>
      </w:r>
      <w:r w:rsidRPr="00E869A4">
        <w:rPr>
          <w:rFonts w:ascii="Times New Roman" w:hAnsi="Times New Roman" w:cs="Times New Roman"/>
          <w:szCs w:val="24"/>
        </w:rPr>
        <w:t xml:space="preserve"> unconditional acceptance.</w:t>
      </w:r>
    </w:p>
    <w:p w14:paraId="613C5B36" w14:textId="77777777" w:rsidR="009660AA" w:rsidRPr="00E869A4" w:rsidRDefault="009660AA" w:rsidP="00596DC4">
      <w:pPr>
        <w:ind w:firstLine="0"/>
        <w:rPr>
          <w:rFonts w:ascii="Times New Roman" w:hAnsi="Times New Roman" w:cs="Times New Roman"/>
          <w:szCs w:val="24"/>
        </w:rPr>
      </w:pPr>
    </w:p>
    <w:p w14:paraId="4C0068C0" w14:textId="461D5ED7" w:rsidR="001F077F" w:rsidRPr="00E869A4" w:rsidRDefault="001F077F" w:rsidP="00980DFA">
      <w:pPr>
        <w:rPr>
          <w:rFonts w:ascii="Times New Roman" w:hAnsi="Times New Roman" w:cs="Times New Roman"/>
          <w:szCs w:val="24"/>
        </w:rPr>
      </w:pPr>
      <w:r w:rsidRPr="00E869A4">
        <w:rPr>
          <w:rFonts w:ascii="Times New Roman" w:hAnsi="Times New Roman" w:cs="Times New Roman"/>
          <w:szCs w:val="24"/>
        </w:rPr>
        <w:t>Yeates (2009)</w:t>
      </w:r>
      <w:r w:rsidR="00056602" w:rsidRPr="00E869A4">
        <w:rPr>
          <w:rFonts w:ascii="Times New Roman" w:hAnsi="Times New Roman" w:cs="Times New Roman"/>
          <w:szCs w:val="24"/>
        </w:rPr>
        <w:t>,</w:t>
      </w:r>
      <w:r w:rsidRPr="00E869A4">
        <w:rPr>
          <w:rFonts w:ascii="Times New Roman" w:hAnsi="Times New Roman" w:cs="Times New Roman"/>
          <w:szCs w:val="24"/>
        </w:rPr>
        <w:t xml:space="preserve"> for example</w:t>
      </w:r>
      <w:r w:rsidR="00056602" w:rsidRPr="00E869A4">
        <w:rPr>
          <w:rFonts w:ascii="Times New Roman" w:hAnsi="Times New Roman" w:cs="Times New Roman"/>
          <w:szCs w:val="24"/>
        </w:rPr>
        <w:t>,</w:t>
      </w:r>
      <w:r w:rsidRPr="00E869A4">
        <w:rPr>
          <w:rFonts w:ascii="Times New Roman" w:hAnsi="Times New Roman" w:cs="Times New Roman"/>
          <w:szCs w:val="24"/>
        </w:rPr>
        <w:t xml:space="preserve"> view</w:t>
      </w:r>
      <w:r w:rsidR="00056602" w:rsidRPr="00E869A4">
        <w:rPr>
          <w:rFonts w:ascii="Times New Roman" w:hAnsi="Times New Roman" w:cs="Times New Roman"/>
          <w:szCs w:val="24"/>
        </w:rPr>
        <w:t>ed</w:t>
      </w:r>
      <w:r w:rsidRPr="00E869A4">
        <w:rPr>
          <w:rFonts w:ascii="Times New Roman" w:hAnsi="Times New Roman" w:cs="Times New Roman"/>
          <w:szCs w:val="24"/>
        </w:rPr>
        <w:t xml:space="preserve"> Hochschild’s depiction of migrant care workers as simplistic, and </w:t>
      </w:r>
      <w:r w:rsidR="00AF2890" w:rsidRPr="00E869A4">
        <w:rPr>
          <w:rFonts w:ascii="Times New Roman" w:hAnsi="Times New Roman" w:cs="Times New Roman"/>
          <w:szCs w:val="24"/>
        </w:rPr>
        <w:t>decried</w:t>
      </w:r>
      <w:r w:rsidRPr="00E869A4">
        <w:rPr>
          <w:rFonts w:ascii="Times New Roman" w:hAnsi="Times New Roman" w:cs="Times New Roman"/>
          <w:szCs w:val="24"/>
        </w:rPr>
        <w:t xml:space="preserve"> </w:t>
      </w:r>
      <w:r w:rsidR="00C86ABD" w:rsidRPr="00E869A4">
        <w:rPr>
          <w:rFonts w:ascii="Times New Roman" w:hAnsi="Times New Roman" w:cs="Times New Roman"/>
          <w:szCs w:val="24"/>
        </w:rPr>
        <w:t>the</w:t>
      </w:r>
      <w:r w:rsidRPr="00E869A4">
        <w:rPr>
          <w:rFonts w:ascii="Times New Roman" w:hAnsi="Times New Roman" w:cs="Times New Roman"/>
          <w:szCs w:val="24"/>
        </w:rPr>
        <w:t xml:space="preserve"> exclusive focus on childcare. Both Dumitru and Yeates argue</w:t>
      </w:r>
      <w:r w:rsidR="00C86ABD" w:rsidRPr="00E869A4">
        <w:rPr>
          <w:rFonts w:ascii="Times New Roman" w:hAnsi="Times New Roman" w:cs="Times New Roman"/>
          <w:szCs w:val="24"/>
        </w:rPr>
        <w:t>d</w:t>
      </w:r>
      <w:r w:rsidRPr="00E869A4">
        <w:rPr>
          <w:rFonts w:ascii="Times New Roman" w:hAnsi="Times New Roman" w:cs="Times New Roman"/>
          <w:szCs w:val="24"/>
        </w:rPr>
        <w:t xml:space="preserve"> that this biased view of migrant care reinforces </w:t>
      </w:r>
      <w:r w:rsidR="00631078" w:rsidRPr="00E869A4">
        <w:rPr>
          <w:rFonts w:ascii="Times New Roman" w:hAnsi="Times New Roman" w:cs="Times New Roman"/>
          <w:szCs w:val="24"/>
        </w:rPr>
        <w:t>patriarchy, which</w:t>
      </w:r>
      <w:r w:rsidRPr="00E869A4">
        <w:rPr>
          <w:rFonts w:ascii="Times New Roman" w:hAnsi="Times New Roman" w:cs="Times New Roman"/>
          <w:szCs w:val="24"/>
        </w:rPr>
        <w:t xml:space="preserve"> has contributed to female caregivers being treated as </w:t>
      </w:r>
      <w:r w:rsidR="00631078" w:rsidRPr="00E869A4">
        <w:rPr>
          <w:rFonts w:ascii="Times New Roman" w:hAnsi="Times New Roman" w:cs="Times New Roman"/>
          <w:szCs w:val="24"/>
        </w:rPr>
        <w:t>second-class</w:t>
      </w:r>
      <w:r w:rsidRPr="00E869A4">
        <w:rPr>
          <w:rFonts w:ascii="Times New Roman" w:hAnsi="Times New Roman" w:cs="Times New Roman"/>
          <w:szCs w:val="24"/>
        </w:rPr>
        <w:t xml:space="preserve"> citizens. Furthermore, even before Hochschild’s contributions to the discourse on migrant care, concerns were expressed about how care importation helped to maintain the status quo</w:t>
      </w:r>
      <w:r w:rsidR="00C86ABD" w:rsidRPr="00E869A4">
        <w:rPr>
          <w:rFonts w:ascii="Times New Roman" w:hAnsi="Times New Roman" w:cs="Times New Roman"/>
          <w:szCs w:val="24"/>
        </w:rPr>
        <w:t>,</w:t>
      </w:r>
      <w:r w:rsidRPr="00E869A4">
        <w:rPr>
          <w:rFonts w:ascii="Times New Roman" w:hAnsi="Times New Roman" w:cs="Times New Roman"/>
          <w:szCs w:val="24"/>
        </w:rPr>
        <w:t xml:space="preserve"> whereby the </w:t>
      </w:r>
      <w:r w:rsidR="000150F7" w:rsidRPr="00E869A4">
        <w:rPr>
          <w:rFonts w:ascii="Times New Roman" w:hAnsi="Times New Roman" w:cs="Times New Roman"/>
          <w:szCs w:val="24"/>
        </w:rPr>
        <w:t>s</w:t>
      </w:r>
      <w:r w:rsidR="00DD03CE" w:rsidRPr="00E869A4">
        <w:rPr>
          <w:rFonts w:ascii="Times New Roman" w:hAnsi="Times New Roman" w:cs="Times New Roman"/>
          <w:szCs w:val="24"/>
        </w:rPr>
        <w:t>tate</w:t>
      </w:r>
      <w:r w:rsidRPr="00E869A4">
        <w:rPr>
          <w:rFonts w:ascii="Times New Roman" w:hAnsi="Times New Roman" w:cs="Times New Roman"/>
          <w:szCs w:val="24"/>
        </w:rPr>
        <w:t xml:space="preserve"> was not pressured to provid</w:t>
      </w:r>
      <w:r w:rsidR="00C86ABD" w:rsidRPr="00E869A4">
        <w:rPr>
          <w:rFonts w:ascii="Times New Roman" w:hAnsi="Times New Roman" w:cs="Times New Roman"/>
          <w:szCs w:val="24"/>
        </w:rPr>
        <w:t>e</w:t>
      </w:r>
      <w:r w:rsidRPr="00E869A4">
        <w:rPr>
          <w:rFonts w:ascii="Times New Roman" w:hAnsi="Times New Roman" w:cs="Times New Roman"/>
          <w:szCs w:val="24"/>
        </w:rPr>
        <w:t xml:space="preserve"> services </w:t>
      </w:r>
      <w:r w:rsidR="00C86ABD" w:rsidRPr="00E869A4">
        <w:rPr>
          <w:rFonts w:ascii="Times New Roman" w:hAnsi="Times New Roman" w:cs="Times New Roman"/>
          <w:szCs w:val="24"/>
        </w:rPr>
        <w:t>and policy solutions, which</w:t>
      </w:r>
      <w:r w:rsidRPr="00E869A4">
        <w:rPr>
          <w:rFonts w:ascii="Times New Roman" w:hAnsi="Times New Roman" w:cs="Times New Roman"/>
          <w:szCs w:val="24"/>
        </w:rPr>
        <w:t xml:space="preserve"> would ease the burden of care on women</w:t>
      </w:r>
      <w:r w:rsidR="00C86ABD" w:rsidRPr="00E869A4">
        <w:rPr>
          <w:rFonts w:ascii="Times New Roman" w:hAnsi="Times New Roman" w:cs="Times New Roman"/>
          <w:szCs w:val="24"/>
        </w:rPr>
        <w:t>,</w:t>
      </w:r>
      <w:r w:rsidRPr="00E869A4">
        <w:rPr>
          <w:rFonts w:ascii="Times New Roman" w:hAnsi="Times New Roman" w:cs="Times New Roman"/>
          <w:szCs w:val="24"/>
        </w:rPr>
        <w:t xml:space="preserve"> and facilitate the increased participation of men in domestic work (</w:t>
      </w:r>
      <w:r w:rsidR="00215BD9" w:rsidRPr="00E869A4">
        <w:rPr>
          <w:rFonts w:ascii="Times New Roman" w:hAnsi="Times New Roman" w:cs="Times New Roman"/>
          <w:szCs w:val="24"/>
        </w:rPr>
        <w:t>Vaittinen 2014</w:t>
      </w:r>
      <w:r w:rsidRPr="00E869A4">
        <w:rPr>
          <w:rFonts w:ascii="Times New Roman" w:hAnsi="Times New Roman" w:cs="Times New Roman"/>
          <w:szCs w:val="24"/>
        </w:rPr>
        <w:t xml:space="preserve">). </w:t>
      </w:r>
    </w:p>
    <w:p w14:paraId="7C45CA96" w14:textId="77777777" w:rsidR="009911C7" w:rsidRPr="00E869A4" w:rsidRDefault="009911C7" w:rsidP="00980DFA">
      <w:pPr>
        <w:rPr>
          <w:rFonts w:ascii="Times New Roman" w:hAnsi="Times New Roman" w:cs="Times New Roman"/>
          <w:szCs w:val="24"/>
        </w:rPr>
      </w:pPr>
    </w:p>
    <w:p w14:paraId="15A265F5" w14:textId="205D4369" w:rsidR="000150F7" w:rsidRPr="00E869A4" w:rsidRDefault="001F077F">
      <w:pPr>
        <w:rPr>
          <w:rFonts w:ascii="Times New Roman" w:hAnsi="Times New Roman" w:cs="Times New Roman"/>
          <w:szCs w:val="24"/>
        </w:rPr>
      </w:pPr>
      <w:r w:rsidRPr="00E869A4">
        <w:rPr>
          <w:rFonts w:ascii="Times New Roman" w:hAnsi="Times New Roman" w:cs="Times New Roman"/>
          <w:szCs w:val="24"/>
        </w:rPr>
        <w:t>Kofman and Raghuram (2012) are of the view that a major limitation of the research and discussion about migrant care work is that it focuses primarily on certain groups of countries in the Global North and South</w:t>
      </w:r>
      <w:r w:rsidR="00693715" w:rsidRPr="00E869A4">
        <w:rPr>
          <w:rFonts w:ascii="Times New Roman" w:hAnsi="Times New Roman" w:cs="Times New Roman"/>
          <w:szCs w:val="24"/>
        </w:rPr>
        <w:t>,</w:t>
      </w:r>
      <w:r w:rsidRPr="00E869A4">
        <w:rPr>
          <w:rFonts w:ascii="Times New Roman" w:hAnsi="Times New Roman" w:cs="Times New Roman"/>
          <w:szCs w:val="24"/>
        </w:rPr>
        <w:t xml:space="preserve"> and has not explored more diverse migration patterns that occur within Southern countries, in particular those that are middle-income. Their investigation of </w:t>
      </w:r>
      <w:r w:rsidR="00631078" w:rsidRPr="00E869A4">
        <w:rPr>
          <w:rFonts w:ascii="Times New Roman" w:hAnsi="Times New Roman" w:cs="Times New Roman"/>
          <w:szCs w:val="24"/>
        </w:rPr>
        <w:t>middle-income</w:t>
      </w:r>
      <w:r w:rsidRPr="00E869A4">
        <w:rPr>
          <w:rFonts w:ascii="Times New Roman" w:hAnsi="Times New Roman" w:cs="Times New Roman"/>
          <w:szCs w:val="24"/>
        </w:rPr>
        <w:t xml:space="preserve"> countries such as Argentina and South Africa revealed that most of the movement of migrant workers is South-South, and only a minority moved outside the region of their country of origin. This is especially the case for emigrants from low-income countries: those from middle-income countries were more likely to migrate to an MEDC in the North (Kofman </w:t>
      </w:r>
      <w:r w:rsidR="00980DFA" w:rsidRPr="00E869A4">
        <w:rPr>
          <w:rFonts w:ascii="Times New Roman" w:hAnsi="Times New Roman" w:cs="Times New Roman"/>
          <w:szCs w:val="24"/>
        </w:rPr>
        <w:t>&amp;</w:t>
      </w:r>
      <w:r w:rsidRPr="00E869A4">
        <w:rPr>
          <w:rFonts w:ascii="Times New Roman" w:hAnsi="Times New Roman" w:cs="Times New Roman"/>
          <w:szCs w:val="24"/>
        </w:rPr>
        <w:t xml:space="preserve"> Raghuram 2012). These findings are useful for an examination of migration in the Caribbean </w:t>
      </w:r>
      <w:r w:rsidR="00631078" w:rsidRPr="00E869A4">
        <w:rPr>
          <w:rFonts w:ascii="Times New Roman" w:hAnsi="Times New Roman" w:cs="Times New Roman"/>
          <w:szCs w:val="24"/>
        </w:rPr>
        <w:t>region, which</w:t>
      </w:r>
      <w:r w:rsidRPr="00E869A4">
        <w:rPr>
          <w:rFonts w:ascii="Times New Roman" w:hAnsi="Times New Roman" w:cs="Times New Roman"/>
          <w:szCs w:val="24"/>
        </w:rPr>
        <w:t xml:space="preserve"> consists primarily of </w:t>
      </w:r>
      <w:r w:rsidR="00980DFA" w:rsidRPr="00E869A4">
        <w:rPr>
          <w:rFonts w:ascii="Times New Roman" w:hAnsi="Times New Roman" w:cs="Times New Roman"/>
          <w:szCs w:val="24"/>
        </w:rPr>
        <w:t>middle-income</w:t>
      </w:r>
      <w:r w:rsidRPr="00E869A4">
        <w:rPr>
          <w:rFonts w:ascii="Times New Roman" w:hAnsi="Times New Roman" w:cs="Times New Roman"/>
          <w:szCs w:val="24"/>
        </w:rPr>
        <w:t xml:space="preserve"> countries and where the contributions of the diaspora in providing financial and othe</w:t>
      </w:r>
      <w:r w:rsidR="00693715" w:rsidRPr="00E869A4">
        <w:rPr>
          <w:rFonts w:ascii="Times New Roman" w:hAnsi="Times New Roman" w:cs="Times New Roman"/>
          <w:szCs w:val="24"/>
        </w:rPr>
        <w:t>r assistance to their relatives,</w:t>
      </w:r>
      <w:r w:rsidRPr="00E869A4">
        <w:rPr>
          <w:rFonts w:ascii="Times New Roman" w:hAnsi="Times New Roman" w:cs="Times New Roman"/>
          <w:szCs w:val="24"/>
        </w:rPr>
        <w:t xml:space="preserve"> have been identified as an important source of support. </w:t>
      </w:r>
      <w:bookmarkStart w:id="156" w:name="_Toc505015384"/>
    </w:p>
    <w:p w14:paraId="1AA8C067" w14:textId="77777777" w:rsidR="009660AA" w:rsidRPr="00E869A4" w:rsidRDefault="009660AA">
      <w:pPr>
        <w:rPr>
          <w:rFonts w:ascii="Times New Roman" w:hAnsi="Times New Roman" w:cs="Times New Roman"/>
          <w:szCs w:val="24"/>
        </w:rPr>
      </w:pPr>
    </w:p>
    <w:p w14:paraId="2A87A138" w14:textId="51E7CEAC" w:rsidR="001F077F" w:rsidRPr="00E869A4" w:rsidRDefault="001F077F" w:rsidP="0047120F">
      <w:pPr>
        <w:pStyle w:val="Heading4"/>
      </w:pPr>
      <w:r w:rsidRPr="00E869A4">
        <w:t>Caregiving and the Life Course</w:t>
      </w:r>
      <w:bookmarkEnd w:id="156"/>
    </w:p>
    <w:p w14:paraId="3040ADB2" w14:textId="77777777" w:rsidR="00D04DCD" w:rsidRPr="00E869A4" w:rsidRDefault="00D04DCD" w:rsidP="0051234F">
      <w:pPr>
        <w:pStyle w:val="112"/>
        <w:rPr>
          <w:color w:val="auto"/>
        </w:rPr>
      </w:pPr>
    </w:p>
    <w:p w14:paraId="3C546306" w14:textId="1206B196" w:rsidR="003B34EC" w:rsidRPr="00E869A4" w:rsidRDefault="001F077F" w:rsidP="00B82CC2">
      <w:pPr>
        <w:rPr>
          <w:rFonts w:ascii="Times New Roman" w:hAnsi="Times New Roman" w:cs="Times New Roman"/>
        </w:rPr>
      </w:pPr>
      <w:r w:rsidRPr="00E869A4">
        <w:rPr>
          <w:rFonts w:ascii="Times New Roman" w:hAnsi="Times New Roman" w:cs="Times New Roman"/>
        </w:rPr>
        <w:t>The life</w:t>
      </w:r>
      <w:r w:rsidR="00035A5A" w:rsidRPr="00E869A4">
        <w:rPr>
          <w:rFonts w:ascii="Times New Roman" w:hAnsi="Times New Roman" w:cs="Times New Roman"/>
        </w:rPr>
        <w:t xml:space="preserve"> </w:t>
      </w:r>
      <w:r w:rsidRPr="00E869A4">
        <w:rPr>
          <w:rFonts w:ascii="Times New Roman" w:hAnsi="Times New Roman" w:cs="Times New Roman"/>
        </w:rPr>
        <w:t xml:space="preserve">course perspective provides a framework for understanding the dynamic patterns of social support in later life and the divergent expectations of caregivers and </w:t>
      </w:r>
      <w:r w:rsidR="009E2738" w:rsidRPr="00E869A4">
        <w:rPr>
          <w:rFonts w:ascii="Times New Roman" w:hAnsi="Times New Roman" w:cs="Times New Roman"/>
        </w:rPr>
        <w:t>care recipient</w:t>
      </w:r>
      <w:r w:rsidRPr="00E869A4">
        <w:rPr>
          <w:rFonts w:ascii="Times New Roman" w:hAnsi="Times New Roman" w:cs="Times New Roman"/>
        </w:rPr>
        <w:t xml:space="preserve">s given their respective social and cultural milieu (Hareven 1994). </w:t>
      </w:r>
      <w:r w:rsidR="001E3E13" w:rsidRPr="00E869A4">
        <w:rPr>
          <w:rFonts w:ascii="Times New Roman" w:hAnsi="Times New Roman" w:cs="Times New Roman"/>
        </w:rPr>
        <w:t>T</w:t>
      </w:r>
      <w:r w:rsidRPr="00E869A4">
        <w:rPr>
          <w:rFonts w:ascii="Times New Roman" w:hAnsi="Times New Roman" w:cs="Times New Roman"/>
        </w:rPr>
        <w:t>his perspective considers the context of other societal institutions and structures</w:t>
      </w:r>
      <w:r w:rsidR="001E3E13" w:rsidRPr="00E869A4">
        <w:rPr>
          <w:rFonts w:ascii="Times New Roman" w:hAnsi="Times New Roman" w:cs="Times New Roman"/>
        </w:rPr>
        <w:t xml:space="preserve"> (</w:t>
      </w:r>
      <w:r w:rsidRPr="00E869A4">
        <w:rPr>
          <w:rFonts w:ascii="Times New Roman" w:hAnsi="Times New Roman" w:cs="Times New Roman"/>
        </w:rPr>
        <w:t xml:space="preserve">such as gender roles </w:t>
      </w:r>
      <w:r w:rsidR="00AF058F" w:rsidRPr="00E869A4">
        <w:rPr>
          <w:rFonts w:ascii="Times New Roman" w:hAnsi="Times New Roman" w:cs="Times New Roman"/>
        </w:rPr>
        <w:t>and</w:t>
      </w:r>
      <w:r w:rsidRPr="00E869A4">
        <w:rPr>
          <w:rFonts w:ascii="Times New Roman" w:hAnsi="Times New Roman" w:cs="Times New Roman"/>
        </w:rPr>
        <w:t xml:space="preserve"> health and social services for older people</w:t>
      </w:r>
      <w:r w:rsidR="001E3E13" w:rsidRPr="00E869A4">
        <w:rPr>
          <w:rFonts w:ascii="Times New Roman" w:hAnsi="Times New Roman" w:cs="Times New Roman"/>
        </w:rPr>
        <w:t>)</w:t>
      </w:r>
      <w:r w:rsidRPr="00E869A4">
        <w:rPr>
          <w:rFonts w:ascii="Times New Roman" w:hAnsi="Times New Roman" w:cs="Times New Roman"/>
        </w:rPr>
        <w:t xml:space="preserve">, the interrelatedness of caregiving and work, and the interdependence of the life courses of successive </w:t>
      </w:r>
      <w:r w:rsidRPr="00E869A4">
        <w:rPr>
          <w:rFonts w:ascii="Times New Roman" w:hAnsi="Times New Roman" w:cs="Times New Roman"/>
        </w:rPr>
        <w:lastRenderedPageBreak/>
        <w:t xml:space="preserve">generations (Miller 1997). Thus, an individual’s availability and willingness to care, as well as their experience of family care may be affected by: a) individual timing of </w:t>
      </w:r>
      <w:r w:rsidR="001E3E13" w:rsidRPr="00E869A4">
        <w:rPr>
          <w:rFonts w:ascii="Times New Roman" w:hAnsi="Times New Roman" w:cs="Times New Roman"/>
          <w:i/>
        </w:rPr>
        <w:t>‘</w:t>
      </w:r>
      <w:r w:rsidRPr="00E869A4">
        <w:rPr>
          <w:rFonts w:ascii="Times New Roman" w:hAnsi="Times New Roman" w:cs="Times New Roman"/>
          <w:i/>
        </w:rPr>
        <w:t>life transitions</w:t>
      </w:r>
      <w:r w:rsidR="001E3E13" w:rsidRPr="00E869A4">
        <w:rPr>
          <w:rFonts w:ascii="Times New Roman" w:hAnsi="Times New Roman" w:cs="Times New Roman"/>
          <w:i/>
        </w:rPr>
        <w:t>’</w:t>
      </w:r>
      <w:r w:rsidRPr="00E869A4">
        <w:rPr>
          <w:rFonts w:ascii="Times New Roman" w:hAnsi="Times New Roman" w:cs="Times New Roman"/>
        </w:rPr>
        <w:t xml:space="preserve"> such as the entry into and exit from different family, work, and community roles; b) the synchronisation of individual life transitions and collective </w:t>
      </w:r>
      <w:r w:rsidR="001E3E13" w:rsidRPr="00E869A4">
        <w:rPr>
          <w:rFonts w:ascii="Times New Roman" w:hAnsi="Times New Roman" w:cs="Times New Roman"/>
        </w:rPr>
        <w:t>‘</w:t>
      </w:r>
      <w:r w:rsidRPr="00E869A4">
        <w:rPr>
          <w:rFonts w:ascii="Times New Roman" w:hAnsi="Times New Roman" w:cs="Times New Roman"/>
          <w:i/>
        </w:rPr>
        <w:t>family transitions</w:t>
      </w:r>
      <w:r w:rsidR="001E3E13" w:rsidRPr="00E869A4">
        <w:rPr>
          <w:rFonts w:ascii="Times New Roman" w:hAnsi="Times New Roman" w:cs="Times New Roman"/>
          <w:i/>
        </w:rPr>
        <w:t>’</w:t>
      </w:r>
      <w:r w:rsidRPr="00E869A4">
        <w:rPr>
          <w:rFonts w:ascii="Times New Roman" w:hAnsi="Times New Roman" w:cs="Times New Roman"/>
        </w:rPr>
        <w:t xml:space="preserve"> which is linked to the practice of juggling multiple roles over the life course that might result in tensions and conflicts, especially when individual goals are at odds with the needs of the family as a collective unit; c) the </w:t>
      </w:r>
      <w:r w:rsidRPr="00E869A4">
        <w:rPr>
          <w:rFonts w:ascii="Times New Roman" w:hAnsi="Times New Roman" w:cs="Times New Roman"/>
          <w:i/>
        </w:rPr>
        <w:t>duration or length of time</w:t>
      </w:r>
      <w:r w:rsidRPr="00E869A4">
        <w:rPr>
          <w:rFonts w:ascii="Times New Roman" w:hAnsi="Times New Roman" w:cs="Times New Roman"/>
        </w:rPr>
        <w:t xml:space="preserve"> an individual spends in a particular state such as caregiving; and</w:t>
      </w:r>
      <w:r w:rsidR="00422821" w:rsidRPr="00E869A4">
        <w:rPr>
          <w:rFonts w:ascii="Times New Roman" w:hAnsi="Times New Roman" w:cs="Times New Roman"/>
        </w:rPr>
        <w:t>,</w:t>
      </w:r>
      <w:r w:rsidRPr="00E869A4">
        <w:rPr>
          <w:rFonts w:ascii="Times New Roman" w:hAnsi="Times New Roman" w:cs="Times New Roman"/>
        </w:rPr>
        <w:t xml:space="preserve"> d) the </w:t>
      </w:r>
      <w:r w:rsidRPr="00E869A4">
        <w:rPr>
          <w:rFonts w:ascii="Times New Roman" w:hAnsi="Times New Roman" w:cs="Times New Roman"/>
          <w:i/>
        </w:rPr>
        <w:t>accumulative impact of earlier life events</w:t>
      </w:r>
      <w:r w:rsidRPr="00E869A4">
        <w:rPr>
          <w:rFonts w:ascii="Times New Roman" w:hAnsi="Times New Roman" w:cs="Times New Roman"/>
        </w:rPr>
        <w:t xml:space="preserve"> on subsequent ones whereby events experienced earlier in life may continue to influence an individual’s or a family’s life span</w:t>
      </w:r>
      <w:r w:rsidR="001E3E13" w:rsidRPr="00E869A4">
        <w:rPr>
          <w:rFonts w:ascii="Times New Roman" w:hAnsi="Times New Roman" w:cs="Times New Roman"/>
        </w:rPr>
        <w:t>. On this latter point,</w:t>
      </w:r>
      <w:r w:rsidRPr="00E869A4">
        <w:rPr>
          <w:rFonts w:ascii="Times New Roman" w:hAnsi="Times New Roman" w:cs="Times New Roman"/>
        </w:rPr>
        <w:t xml:space="preserve"> the concepts </w:t>
      </w:r>
      <w:r w:rsidR="001E3E13" w:rsidRPr="00E869A4">
        <w:rPr>
          <w:rFonts w:ascii="Times New Roman" w:hAnsi="Times New Roman" w:cs="Times New Roman"/>
        </w:rPr>
        <w:t>‘</w:t>
      </w:r>
      <w:r w:rsidRPr="00E869A4">
        <w:rPr>
          <w:rFonts w:ascii="Times New Roman" w:hAnsi="Times New Roman" w:cs="Times New Roman"/>
        </w:rPr>
        <w:t>on time</w:t>
      </w:r>
      <w:r w:rsidR="001E3E13" w:rsidRPr="00E869A4">
        <w:rPr>
          <w:rFonts w:ascii="Times New Roman" w:hAnsi="Times New Roman" w:cs="Times New Roman"/>
        </w:rPr>
        <w:t>’</w:t>
      </w:r>
      <w:r w:rsidRPr="00E869A4">
        <w:rPr>
          <w:rFonts w:ascii="Times New Roman" w:hAnsi="Times New Roman" w:cs="Times New Roman"/>
        </w:rPr>
        <w:t xml:space="preserve"> events as opposed to </w:t>
      </w:r>
      <w:r w:rsidR="001E3E13" w:rsidRPr="00E869A4">
        <w:rPr>
          <w:rFonts w:ascii="Times New Roman" w:hAnsi="Times New Roman" w:cs="Times New Roman"/>
        </w:rPr>
        <w:t>‘</w:t>
      </w:r>
      <w:r w:rsidRPr="00E869A4">
        <w:rPr>
          <w:rFonts w:ascii="Times New Roman" w:hAnsi="Times New Roman" w:cs="Times New Roman"/>
        </w:rPr>
        <w:t>off time</w:t>
      </w:r>
      <w:r w:rsidR="001E3E13" w:rsidRPr="00E869A4">
        <w:rPr>
          <w:rFonts w:ascii="Times New Roman" w:hAnsi="Times New Roman" w:cs="Times New Roman"/>
        </w:rPr>
        <w:t>’</w:t>
      </w:r>
      <w:r w:rsidRPr="00E869A4">
        <w:rPr>
          <w:rFonts w:ascii="Times New Roman" w:hAnsi="Times New Roman" w:cs="Times New Roman"/>
        </w:rPr>
        <w:t xml:space="preserve"> (those that occur too early or too late according to the </w:t>
      </w:r>
      <w:r w:rsidR="001E3E13" w:rsidRPr="00E869A4">
        <w:rPr>
          <w:rFonts w:ascii="Times New Roman" w:hAnsi="Times New Roman" w:cs="Times New Roman"/>
        </w:rPr>
        <w:t>‘</w:t>
      </w:r>
      <w:r w:rsidRPr="00E869A4">
        <w:rPr>
          <w:rFonts w:ascii="Times New Roman" w:hAnsi="Times New Roman" w:cs="Times New Roman"/>
        </w:rPr>
        <w:t>norms of timing</w:t>
      </w:r>
      <w:r w:rsidR="001E3E13" w:rsidRPr="00E869A4">
        <w:rPr>
          <w:rFonts w:ascii="Times New Roman" w:hAnsi="Times New Roman" w:cs="Times New Roman"/>
        </w:rPr>
        <w:t>’</w:t>
      </w:r>
      <w:r w:rsidRPr="00E869A4">
        <w:rPr>
          <w:rFonts w:ascii="Times New Roman" w:hAnsi="Times New Roman" w:cs="Times New Roman"/>
        </w:rPr>
        <w:t>) are linked to this dimension (</w:t>
      </w:r>
      <w:r w:rsidR="00AF058F" w:rsidRPr="00E869A4">
        <w:rPr>
          <w:rFonts w:ascii="Times New Roman" w:hAnsi="Times New Roman" w:cs="Times New Roman"/>
          <w:szCs w:val="24"/>
        </w:rPr>
        <w:t>Ghosh, Capistrant &amp; Friedemann-Sãnchez</w:t>
      </w:r>
      <w:r w:rsidR="00AF058F" w:rsidRPr="00E869A4">
        <w:rPr>
          <w:rFonts w:ascii="Times New Roman" w:hAnsi="Times New Roman" w:cs="Times New Roman"/>
        </w:rPr>
        <w:t xml:space="preserve"> 2017; </w:t>
      </w:r>
      <w:r w:rsidRPr="00E869A4">
        <w:rPr>
          <w:rFonts w:ascii="Times New Roman" w:hAnsi="Times New Roman" w:cs="Times New Roman"/>
        </w:rPr>
        <w:t>Schiamberg</w:t>
      </w:r>
      <w:r w:rsidR="00AF058F" w:rsidRPr="00E869A4">
        <w:rPr>
          <w:rFonts w:ascii="Times New Roman" w:hAnsi="Times New Roman" w:cs="Times New Roman"/>
        </w:rPr>
        <w:t xml:space="preserve"> &amp;</w:t>
      </w:r>
      <w:r w:rsidRPr="00E869A4">
        <w:rPr>
          <w:rFonts w:ascii="Times New Roman" w:hAnsi="Times New Roman" w:cs="Times New Roman"/>
        </w:rPr>
        <w:t xml:space="preserve"> Gans 2000). Thus, caring for an older parent is likely to be altered by earlier caregiving and nurturing experiences, prior relationship with one's parents, additional roles that the caregivers may hold in their life courses, such as employment or parenting, and by the changes and events in the larger society such as labour laws and regulations which facilitate or hinder care practices (Miller 1997). </w:t>
      </w:r>
      <w:bookmarkStart w:id="157" w:name="_Toc505015385"/>
    </w:p>
    <w:p w14:paraId="0C67C376" w14:textId="77777777" w:rsidR="00F737F4" w:rsidRPr="00E869A4" w:rsidRDefault="00F737F4" w:rsidP="00112260">
      <w:pPr>
        <w:pStyle w:val="Heading4"/>
      </w:pPr>
    </w:p>
    <w:p w14:paraId="03C23706" w14:textId="59FD888B" w:rsidR="001F077F" w:rsidRPr="00E869A4" w:rsidRDefault="006D1941" w:rsidP="006D1941">
      <w:pPr>
        <w:pStyle w:val="Heading3"/>
      </w:pPr>
      <w:bookmarkStart w:id="158" w:name="_Toc40436474"/>
      <w:r w:rsidRPr="00E869A4">
        <w:t>2.3.</w:t>
      </w:r>
      <w:r w:rsidR="0047120F" w:rsidRPr="00E869A4">
        <w:t>3</w:t>
      </w:r>
      <w:r w:rsidRPr="00E869A4">
        <w:t xml:space="preserve">     </w:t>
      </w:r>
      <w:r w:rsidR="001F077F" w:rsidRPr="00E869A4">
        <w:t>Towards a Comprehensive Definition of Care</w:t>
      </w:r>
      <w:bookmarkEnd w:id="157"/>
      <w:bookmarkEnd w:id="158"/>
    </w:p>
    <w:p w14:paraId="73ED085F" w14:textId="77777777" w:rsidR="00263980" w:rsidRPr="00E869A4" w:rsidRDefault="00263980" w:rsidP="00B82CC2">
      <w:pPr>
        <w:rPr>
          <w:rFonts w:ascii="Times New Roman" w:hAnsi="Times New Roman" w:cs="Times New Roman"/>
          <w:szCs w:val="24"/>
        </w:rPr>
      </w:pPr>
    </w:p>
    <w:p w14:paraId="207D731B" w14:textId="49B1FE39" w:rsidR="001F077F" w:rsidRPr="00E869A4" w:rsidRDefault="001F077F" w:rsidP="00CB5AAC">
      <w:pPr>
        <w:rPr>
          <w:rFonts w:ascii="Times New Roman" w:hAnsi="Times New Roman" w:cs="Times New Roman"/>
          <w:szCs w:val="24"/>
        </w:rPr>
      </w:pPr>
      <w:r w:rsidRPr="00E869A4">
        <w:rPr>
          <w:rFonts w:ascii="Times New Roman" w:hAnsi="Times New Roman" w:cs="Times New Roman"/>
          <w:szCs w:val="24"/>
        </w:rPr>
        <w:t xml:space="preserve">The preceding discussion highlighted positive developments in the discourse on family care. </w:t>
      </w:r>
      <w:r w:rsidR="00C94F19" w:rsidRPr="00E869A4">
        <w:rPr>
          <w:rFonts w:ascii="Times New Roman" w:hAnsi="Times New Roman" w:cs="Times New Roman"/>
          <w:szCs w:val="24"/>
        </w:rPr>
        <w:t>Despite the fact that</w:t>
      </w:r>
      <w:r w:rsidR="00631078" w:rsidRPr="00E869A4">
        <w:rPr>
          <w:rFonts w:ascii="Times New Roman" w:hAnsi="Times New Roman" w:cs="Times New Roman"/>
          <w:szCs w:val="24"/>
        </w:rPr>
        <w:t xml:space="preserve"> all the bugbears have</w:t>
      </w:r>
      <w:r w:rsidRPr="00E869A4">
        <w:rPr>
          <w:rFonts w:ascii="Times New Roman" w:hAnsi="Times New Roman" w:cs="Times New Roman"/>
          <w:szCs w:val="24"/>
        </w:rPr>
        <w:t xml:space="preserve"> </w:t>
      </w:r>
      <w:r w:rsidR="00C94F19" w:rsidRPr="00E869A4">
        <w:rPr>
          <w:rFonts w:ascii="Times New Roman" w:hAnsi="Times New Roman" w:cs="Times New Roman"/>
          <w:szCs w:val="24"/>
        </w:rPr>
        <w:t xml:space="preserve">not </w:t>
      </w:r>
      <w:r w:rsidRPr="00E869A4">
        <w:rPr>
          <w:rFonts w:ascii="Times New Roman" w:hAnsi="Times New Roman" w:cs="Times New Roman"/>
          <w:szCs w:val="24"/>
        </w:rPr>
        <w:t xml:space="preserve">been exorcised from the literature, the advancements made in defining this concept must be acknowledged. One of the main challenges of early conceptualisations of family care was their lack of </w:t>
      </w:r>
      <w:r w:rsidR="001E3E13" w:rsidRPr="00E869A4">
        <w:rPr>
          <w:rFonts w:ascii="Times New Roman" w:hAnsi="Times New Roman" w:cs="Times New Roman"/>
          <w:szCs w:val="24"/>
        </w:rPr>
        <w:t>‘</w:t>
      </w:r>
      <w:r w:rsidRPr="00E869A4">
        <w:rPr>
          <w:rFonts w:ascii="Times New Roman" w:hAnsi="Times New Roman" w:cs="Times New Roman"/>
          <w:szCs w:val="24"/>
        </w:rPr>
        <w:t>depth</w:t>
      </w:r>
      <w:r w:rsidR="001E3E13" w:rsidRPr="00E869A4">
        <w:rPr>
          <w:rFonts w:ascii="Times New Roman" w:hAnsi="Times New Roman" w:cs="Times New Roman"/>
          <w:szCs w:val="24"/>
        </w:rPr>
        <w:t>’</w:t>
      </w:r>
      <w:r w:rsidRPr="00E869A4">
        <w:rPr>
          <w:rFonts w:ascii="Times New Roman" w:hAnsi="Times New Roman" w:cs="Times New Roman"/>
          <w:szCs w:val="24"/>
        </w:rPr>
        <w:t>, so much so that they did not reflect the complexity that is an enduring characteristic of this concept</w:t>
      </w:r>
      <w:r w:rsidR="001E3E13" w:rsidRPr="00E869A4">
        <w:rPr>
          <w:rStyle w:val="FootnoteReference"/>
          <w:rFonts w:ascii="Times New Roman" w:hAnsi="Times New Roman" w:cs="Times New Roman"/>
          <w:szCs w:val="24"/>
        </w:rPr>
        <w:footnoteReference w:id="32"/>
      </w:r>
      <w:r w:rsidRPr="00E869A4">
        <w:rPr>
          <w:rFonts w:ascii="Times New Roman" w:hAnsi="Times New Roman" w:cs="Times New Roman"/>
          <w:szCs w:val="24"/>
        </w:rPr>
        <w:t xml:space="preserve">. </w:t>
      </w:r>
      <w:r w:rsidR="00631078" w:rsidRPr="00E869A4">
        <w:rPr>
          <w:rFonts w:ascii="Times New Roman" w:hAnsi="Times New Roman" w:cs="Times New Roman"/>
          <w:szCs w:val="24"/>
        </w:rPr>
        <w:t>However</w:t>
      </w:r>
      <w:r w:rsidRPr="00E869A4">
        <w:rPr>
          <w:rFonts w:ascii="Times New Roman" w:hAnsi="Times New Roman" w:cs="Times New Roman"/>
          <w:szCs w:val="24"/>
        </w:rPr>
        <w:t xml:space="preserve">, in recent times, several social scientists have sought to weave together the various contributions that provided snapshots of this concept, and create a comprehensive definition of caregiving. </w:t>
      </w:r>
    </w:p>
    <w:p w14:paraId="07B59161" w14:textId="77777777" w:rsidR="00D04DCD" w:rsidRPr="00E869A4" w:rsidRDefault="00D04DCD" w:rsidP="00A35FF8">
      <w:pPr>
        <w:rPr>
          <w:rFonts w:ascii="Times New Roman" w:hAnsi="Times New Roman" w:cs="Times New Roman"/>
          <w:szCs w:val="24"/>
        </w:rPr>
      </w:pPr>
    </w:p>
    <w:p w14:paraId="5B96DD0D" w14:textId="20BF96AB" w:rsidR="001F077F" w:rsidRPr="00E869A4" w:rsidRDefault="00631078" w:rsidP="00CB5AAC">
      <w:pPr>
        <w:rPr>
          <w:rFonts w:ascii="Times New Roman" w:hAnsi="Times New Roman" w:cs="Times New Roman"/>
        </w:rPr>
      </w:pPr>
      <w:r w:rsidRPr="00E869A4">
        <w:rPr>
          <w:rFonts w:ascii="Times New Roman" w:hAnsi="Times New Roman" w:cs="Times New Roman"/>
        </w:rPr>
        <w:t>Thomas (1993</w:t>
      </w:r>
      <w:r w:rsidR="00B82CC2" w:rsidRPr="00E869A4">
        <w:rPr>
          <w:rFonts w:ascii="Times New Roman" w:hAnsi="Times New Roman" w:cs="Times New Roman"/>
        </w:rPr>
        <w:t xml:space="preserve"> </w:t>
      </w:r>
      <w:r w:rsidR="00B82CC2" w:rsidRPr="00E869A4">
        <w:rPr>
          <w:lang w:val="en-TT"/>
        </w:rPr>
        <w:t>cited in Hughes 2002)</w:t>
      </w:r>
      <w:r w:rsidRPr="00E869A4">
        <w:rPr>
          <w:rFonts w:ascii="Times New Roman" w:hAnsi="Times New Roman" w:cs="Times New Roman"/>
        </w:rPr>
        <w:t xml:space="preserve"> for example outlined seven (7) key variables that affect the different ways in which care is conceptualised. </w:t>
      </w:r>
      <w:r w:rsidR="001F077F" w:rsidRPr="00E869A4">
        <w:rPr>
          <w:rFonts w:ascii="Times New Roman" w:hAnsi="Times New Roman" w:cs="Times New Roman"/>
        </w:rPr>
        <w:t xml:space="preserve">These are the: 1) social identity of the carer; 2) social identity of the care recipient; 3) inter-personal relationships between the carer and the care recipient; 4) </w:t>
      </w:r>
      <w:r w:rsidR="001F077F" w:rsidRPr="00E869A4">
        <w:rPr>
          <w:rFonts w:ascii="Times New Roman" w:hAnsi="Times New Roman" w:cs="Times New Roman"/>
        </w:rPr>
        <w:lastRenderedPageBreak/>
        <w:t>nature of care; 5) social domain within which the caring relationship is located; 6) economic character of the care relationship; and</w:t>
      </w:r>
      <w:r w:rsidR="003A3887" w:rsidRPr="00E869A4">
        <w:rPr>
          <w:rFonts w:ascii="Times New Roman" w:hAnsi="Times New Roman" w:cs="Times New Roman"/>
        </w:rPr>
        <w:t>,</w:t>
      </w:r>
      <w:r w:rsidR="001F077F" w:rsidRPr="00E869A4">
        <w:rPr>
          <w:rFonts w:ascii="Times New Roman" w:hAnsi="Times New Roman" w:cs="Times New Roman"/>
        </w:rPr>
        <w:t xml:space="preserve"> 7) institutional setting in which care is delivered. However, she caution</w:t>
      </w:r>
      <w:r w:rsidR="00CB5AAC" w:rsidRPr="00E869A4">
        <w:rPr>
          <w:rFonts w:ascii="Times New Roman" w:hAnsi="Times New Roman" w:cs="Times New Roman"/>
        </w:rPr>
        <w:t>ed</w:t>
      </w:r>
      <w:r w:rsidR="001F077F" w:rsidRPr="00E869A4">
        <w:rPr>
          <w:rFonts w:ascii="Times New Roman" w:hAnsi="Times New Roman" w:cs="Times New Roman"/>
        </w:rPr>
        <w:t xml:space="preserve"> against inflexible definitions of care that do not represent the dynamic nature of caregiving processes and practices</w:t>
      </w:r>
      <w:r w:rsidR="00676C70" w:rsidRPr="00E869A4">
        <w:rPr>
          <w:rFonts w:ascii="Times New Roman" w:hAnsi="Times New Roman" w:cs="Times New Roman"/>
        </w:rPr>
        <w:t xml:space="preserve"> (Thomas 1993, p. 649 cited in Hughes 2002, p. 106)</w:t>
      </w:r>
      <w:r w:rsidR="00CB5AAC" w:rsidRPr="00E869A4">
        <w:rPr>
          <w:rFonts w:ascii="Times New Roman" w:hAnsi="Times New Roman" w:cs="Times New Roman"/>
        </w:rPr>
        <w:t>:</w:t>
      </w:r>
      <w:r w:rsidR="001F077F" w:rsidRPr="00E869A4">
        <w:rPr>
          <w:rFonts w:ascii="Times New Roman" w:hAnsi="Times New Roman" w:cs="Times New Roman"/>
        </w:rPr>
        <w:t xml:space="preserve"> </w:t>
      </w:r>
    </w:p>
    <w:p w14:paraId="45AB1902" w14:textId="77777777" w:rsidR="00E96688" w:rsidRPr="00E869A4" w:rsidRDefault="00E96688" w:rsidP="003E23F9">
      <w:pPr>
        <w:autoSpaceDE w:val="0"/>
        <w:autoSpaceDN w:val="0"/>
        <w:adjustRightInd w:val="0"/>
        <w:spacing w:line="240" w:lineRule="auto"/>
        <w:ind w:firstLine="720"/>
        <w:rPr>
          <w:rFonts w:ascii="Times New Roman" w:hAnsi="Times New Roman" w:cs="Times New Roman"/>
        </w:rPr>
      </w:pPr>
    </w:p>
    <w:p w14:paraId="4FEB4109" w14:textId="0C96A21F" w:rsidR="001F077F" w:rsidRPr="00E869A4" w:rsidRDefault="001F077F" w:rsidP="00D8025A">
      <w:pPr>
        <w:spacing w:line="240" w:lineRule="auto"/>
        <w:ind w:left="567" w:firstLine="0"/>
        <w:rPr>
          <w:rFonts w:ascii="Times New Roman" w:hAnsi="Times New Roman" w:cs="Times New Roman"/>
        </w:rPr>
      </w:pPr>
      <w:r w:rsidRPr="00E869A4">
        <w:rPr>
          <w:rFonts w:ascii="Times New Roman" w:hAnsi="Times New Roman" w:cs="Times New Roman"/>
        </w:rPr>
        <w:t>The meaning of care is usually taken as given and often presented as comprehensive in its coverage of caring activity, when in fact the concepts of care employed are partial representations, or segments, of the totality of caring. Definitions of care are constructed such that boundaries are differentially drawn around what constitutes care, with the effect of excluding or including sets of social relations in definitions of caring relationships. In particular, concepts of care tend to be presented as generic when they are actually specific to, and within, either the private or the public domain</w:t>
      </w:r>
      <w:r w:rsidR="00145BF5" w:rsidRPr="00E869A4">
        <w:rPr>
          <w:rFonts w:ascii="Times New Roman" w:hAnsi="Times New Roman" w:cs="Times New Roman"/>
        </w:rPr>
        <w:t>.</w:t>
      </w:r>
    </w:p>
    <w:p w14:paraId="0F2AD1E9" w14:textId="77777777" w:rsidR="00D04DCD" w:rsidRPr="00E869A4" w:rsidRDefault="00D04DCD" w:rsidP="003E23F9">
      <w:pPr>
        <w:autoSpaceDE w:val="0"/>
        <w:autoSpaceDN w:val="0"/>
        <w:adjustRightInd w:val="0"/>
        <w:spacing w:line="240" w:lineRule="auto"/>
        <w:ind w:firstLine="720"/>
        <w:rPr>
          <w:rFonts w:ascii="Times New Roman" w:hAnsi="Times New Roman" w:cs="Times New Roman"/>
        </w:rPr>
      </w:pPr>
    </w:p>
    <w:p w14:paraId="78C390BD" w14:textId="00D88AF8" w:rsidR="001F077F" w:rsidRPr="00E869A4" w:rsidRDefault="001F077F" w:rsidP="00EC0E81">
      <w:pPr>
        <w:rPr>
          <w:rFonts w:ascii="Times New Roman" w:hAnsi="Times New Roman" w:cs="Times New Roman"/>
          <w:szCs w:val="24"/>
        </w:rPr>
      </w:pPr>
      <w:r w:rsidRPr="00E869A4">
        <w:rPr>
          <w:rFonts w:ascii="Times New Roman" w:hAnsi="Times New Roman" w:cs="Times New Roman"/>
          <w:szCs w:val="24"/>
        </w:rPr>
        <w:t>José de São José (2016</w:t>
      </w:r>
      <w:r w:rsidR="00EC0E81" w:rsidRPr="00E869A4">
        <w:rPr>
          <w:rFonts w:ascii="Times New Roman" w:hAnsi="Times New Roman" w:cs="Times New Roman"/>
          <w:szCs w:val="24"/>
        </w:rPr>
        <w:t>, p.</w:t>
      </w:r>
      <w:r w:rsidRPr="00E869A4">
        <w:rPr>
          <w:rFonts w:ascii="Times New Roman" w:hAnsi="Times New Roman" w:cs="Times New Roman"/>
          <w:szCs w:val="24"/>
        </w:rPr>
        <w:t xml:space="preserve"> 68</w:t>
      </w:r>
      <w:r w:rsidR="00EC0E81" w:rsidRPr="00E869A4">
        <w:rPr>
          <w:rFonts w:ascii="Times New Roman" w:hAnsi="Times New Roman" w:cs="Times New Roman"/>
          <w:szCs w:val="24"/>
        </w:rPr>
        <w:t>)</w:t>
      </w:r>
      <w:r w:rsidRPr="00E869A4">
        <w:rPr>
          <w:rFonts w:ascii="Times New Roman" w:hAnsi="Times New Roman" w:cs="Times New Roman"/>
          <w:szCs w:val="24"/>
        </w:rPr>
        <w:t xml:space="preserve"> identified fourteen (14) dimensions of care (see Appendix </w:t>
      </w:r>
      <w:r w:rsidR="002943F6" w:rsidRPr="00E869A4">
        <w:rPr>
          <w:rFonts w:ascii="Times New Roman" w:hAnsi="Times New Roman" w:cs="Times New Roman"/>
          <w:szCs w:val="24"/>
        </w:rPr>
        <w:t>3</w:t>
      </w:r>
      <w:r w:rsidRPr="00E869A4">
        <w:rPr>
          <w:rFonts w:ascii="Times New Roman" w:hAnsi="Times New Roman" w:cs="Times New Roman"/>
          <w:szCs w:val="24"/>
        </w:rPr>
        <w:t xml:space="preserve"> below) and defined caregiving as: </w:t>
      </w:r>
    </w:p>
    <w:p w14:paraId="46EFF73B" w14:textId="77777777" w:rsidR="00BE3C8E" w:rsidRPr="00E869A4" w:rsidRDefault="00BE3C8E" w:rsidP="003E23F9">
      <w:pPr>
        <w:autoSpaceDE w:val="0"/>
        <w:autoSpaceDN w:val="0"/>
        <w:adjustRightInd w:val="0"/>
        <w:spacing w:line="240" w:lineRule="auto"/>
        <w:ind w:firstLine="720"/>
        <w:rPr>
          <w:rFonts w:ascii="Times New Roman" w:hAnsi="Times New Roman" w:cs="Times New Roman"/>
          <w:szCs w:val="24"/>
        </w:rPr>
      </w:pPr>
    </w:p>
    <w:p w14:paraId="3AD4B117" w14:textId="4E53181B" w:rsidR="001F077F" w:rsidRPr="00E869A4" w:rsidRDefault="00145BF5" w:rsidP="00D8025A">
      <w:pPr>
        <w:spacing w:line="240" w:lineRule="auto"/>
        <w:ind w:left="567" w:firstLine="0"/>
        <w:rPr>
          <w:rFonts w:ascii="Times New Roman" w:hAnsi="Times New Roman" w:cs="Times New Roman"/>
          <w:i/>
        </w:rPr>
      </w:pPr>
      <w:r w:rsidRPr="00E869A4">
        <w:rPr>
          <w:rFonts w:ascii="Times New Roman" w:hAnsi="Times New Roman" w:cs="Times New Roman"/>
        </w:rPr>
        <w:t>[B]</w:t>
      </w:r>
      <w:r w:rsidR="001F077F" w:rsidRPr="00E869A4">
        <w:rPr>
          <w:rFonts w:ascii="Times New Roman" w:hAnsi="Times New Roman" w:cs="Times New Roman"/>
        </w:rPr>
        <w:t>oth a disposition and an activity, materialised in a process involving at l</w:t>
      </w:r>
      <w:r w:rsidR="00EC0E81" w:rsidRPr="00E869A4">
        <w:rPr>
          <w:rFonts w:ascii="Times New Roman" w:hAnsi="Times New Roman" w:cs="Times New Roman"/>
        </w:rPr>
        <w:t xml:space="preserve">east one caregiver and one </w:t>
      </w:r>
      <w:r w:rsidR="00017799" w:rsidRPr="00E869A4">
        <w:rPr>
          <w:rFonts w:ascii="Times New Roman" w:hAnsi="Times New Roman" w:cs="Times New Roman"/>
        </w:rPr>
        <w:t>care recipient</w:t>
      </w:r>
      <w:r w:rsidR="001F077F" w:rsidRPr="00E869A4">
        <w:rPr>
          <w:rFonts w:ascii="Times New Roman" w:hAnsi="Times New Roman" w:cs="Times New Roman"/>
        </w:rPr>
        <w:t xml:space="preserve">, both having their own social identities. Care is intrinsically relational, as it is an action oriented to the other, usually with the ultimate purpose of promoting his/her well-being. The care relationship is based on interconnectedness and interdependence, can be anchored in kinship and/or other kinds of social relations, can take place in the </w:t>
      </w:r>
      <w:r w:rsidR="00DD03CE" w:rsidRPr="00E869A4">
        <w:rPr>
          <w:rFonts w:ascii="Times New Roman" w:hAnsi="Times New Roman" w:cs="Times New Roman"/>
        </w:rPr>
        <w:t>State</w:t>
      </w:r>
      <w:r w:rsidR="001F077F" w:rsidRPr="00E869A4">
        <w:rPr>
          <w:rFonts w:ascii="Times New Roman" w:hAnsi="Times New Roman" w:cs="Times New Roman"/>
        </w:rPr>
        <w:t xml:space="preserve"> domain and/or other social domains and in different locations or settings. Care can be founded in love, duty or other rationales and, as an activity, may include different kinds of tasks, which are carried out under certain working conditions and by using a certain approach</w:t>
      </w:r>
      <w:r w:rsidRPr="00E869A4">
        <w:rPr>
          <w:rFonts w:ascii="Times New Roman" w:hAnsi="Times New Roman" w:cs="Times New Roman"/>
          <w:szCs w:val="24"/>
        </w:rPr>
        <w:t>.</w:t>
      </w:r>
    </w:p>
    <w:p w14:paraId="0C9A8A4A" w14:textId="77777777" w:rsidR="00D04DCD" w:rsidRPr="00E869A4" w:rsidRDefault="00D04DCD" w:rsidP="003E23F9">
      <w:pPr>
        <w:autoSpaceDE w:val="0"/>
        <w:autoSpaceDN w:val="0"/>
        <w:adjustRightInd w:val="0"/>
        <w:spacing w:line="240" w:lineRule="auto"/>
        <w:ind w:firstLine="720"/>
        <w:rPr>
          <w:rFonts w:ascii="Times New Roman" w:hAnsi="Times New Roman" w:cs="Times New Roman"/>
          <w:szCs w:val="24"/>
        </w:rPr>
      </w:pPr>
    </w:p>
    <w:p w14:paraId="50DA3A7F" w14:textId="7975D5CC" w:rsidR="001F077F" w:rsidRPr="00E869A4" w:rsidRDefault="001F077F" w:rsidP="00145BF5">
      <w:pPr>
        <w:ind w:firstLine="0"/>
        <w:rPr>
          <w:rFonts w:ascii="Times New Roman" w:hAnsi="Times New Roman" w:cs="Times New Roman"/>
        </w:rPr>
      </w:pPr>
      <w:r w:rsidRPr="00E869A4">
        <w:rPr>
          <w:rFonts w:ascii="Times New Roman" w:hAnsi="Times New Roman" w:cs="Times New Roman"/>
          <w:szCs w:val="24"/>
        </w:rPr>
        <w:t>In addition to depth, De São José’s definition of care appears to meet several of Gerring’s criteria for concept formation including differentiation and theoretical utility</w:t>
      </w:r>
      <w:r w:rsidR="00145BF5" w:rsidRPr="00E869A4">
        <w:rPr>
          <w:rFonts w:ascii="Times New Roman" w:hAnsi="Times New Roman" w:cs="Times New Roman"/>
          <w:szCs w:val="24"/>
        </w:rPr>
        <w:t>. N</w:t>
      </w:r>
      <w:r w:rsidR="00346D01" w:rsidRPr="00E869A4">
        <w:rPr>
          <w:rFonts w:ascii="Times New Roman" w:hAnsi="Times New Roman" w:cs="Times New Roman"/>
          <w:szCs w:val="24"/>
        </w:rPr>
        <w:t>onetheless</w:t>
      </w:r>
      <w:r w:rsidRPr="00E869A4">
        <w:rPr>
          <w:rFonts w:ascii="Times New Roman" w:hAnsi="Times New Roman" w:cs="Times New Roman"/>
          <w:szCs w:val="24"/>
        </w:rPr>
        <w:t>, it is unwieldy and breaches the parsimony criterion. As Gerring argue</w:t>
      </w:r>
      <w:r w:rsidR="00EC0E81" w:rsidRPr="00E869A4">
        <w:rPr>
          <w:rFonts w:ascii="Times New Roman" w:hAnsi="Times New Roman" w:cs="Times New Roman"/>
          <w:szCs w:val="24"/>
        </w:rPr>
        <w:t>d</w:t>
      </w:r>
      <w:r w:rsidR="00145BF5" w:rsidRPr="00E869A4">
        <w:rPr>
          <w:rFonts w:ascii="Times New Roman" w:hAnsi="Times New Roman" w:cs="Times New Roman"/>
          <w:szCs w:val="24"/>
        </w:rPr>
        <w:t xml:space="preserve">, </w:t>
      </w:r>
      <w:r w:rsidRPr="00E869A4">
        <w:rPr>
          <w:rFonts w:ascii="Times New Roman" w:hAnsi="Times New Roman" w:cs="Times New Roman"/>
        </w:rPr>
        <w:t>“</w:t>
      </w:r>
      <w:r w:rsidR="00145BF5" w:rsidRPr="00E869A4">
        <w:rPr>
          <w:rFonts w:ascii="Times New Roman" w:hAnsi="Times New Roman" w:cs="Times New Roman"/>
        </w:rPr>
        <w:t>[g]</w:t>
      </w:r>
      <w:r w:rsidRPr="00E869A4">
        <w:rPr>
          <w:rFonts w:ascii="Times New Roman" w:hAnsi="Times New Roman" w:cs="Times New Roman"/>
        </w:rPr>
        <w:t xml:space="preserve">ood concepts do not have endless definitions. It should be possible to say what it is one is talking about without </w:t>
      </w:r>
      <w:r w:rsidR="00145BF5" w:rsidRPr="00E869A4">
        <w:rPr>
          <w:rFonts w:ascii="Times New Roman" w:hAnsi="Times New Roman" w:cs="Times New Roman"/>
        </w:rPr>
        <w:t>listing a half-dozen attributes</w:t>
      </w:r>
      <w:r w:rsidR="00D8025A" w:rsidRPr="00E869A4">
        <w:rPr>
          <w:rFonts w:ascii="Times New Roman" w:hAnsi="Times New Roman" w:cs="Times New Roman"/>
        </w:rPr>
        <w:t>.”</w:t>
      </w:r>
      <w:r w:rsidR="00145BF5" w:rsidRPr="00E869A4">
        <w:rPr>
          <w:rFonts w:ascii="Times New Roman" w:hAnsi="Times New Roman" w:cs="Times New Roman"/>
        </w:rPr>
        <w:t xml:space="preserve"> (</w:t>
      </w:r>
      <w:r w:rsidR="00145BF5" w:rsidRPr="00E869A4">
        <w:rPr>
          <w:rFonts w:ascii="Times New Roman" w:hAnsi="Times New Roman" w:cs="Times New Roman"/>
          <w:szCs w:val="24"/>
        </w:rPr>
        <w:t>Gerring 1999, p. 131).</w:t>
      </w:r>
    </w:p>
    <w:p w14:paraId="5F030342" w14:textId="77777777" w:rsidR="00D04DCD" w:rsidRPr="00E869A4" w:rsidRDefault="00D04DCD" w:rsidP="00A35FF8">
      <w:pPr>
        <w:ind w:left="720"/>
        <w:rPr>
          <w:rFonts w:ascii="Times New Roman" w:hAnsi="Times New Roman" w:cs="Times New Roman"/>
          <w:szCs w:val="24"/>
        </w:rPr>
      </w:pPr>
    </w:p>
    <w:p w14:paraId="11A0F51D" w14:textId="01F8EDD5" w:rsidR="001F077F" w:rsidRPr="00E869A4" w:rsidRDefault="001F077F" w:rsidP="00A35FF8">
      <w:pPr>
        <w:rPr>
          <w:rFonts w:ascii="Times New Roman" w:hAnsi="Times New Roman" w:cs="Times New Roman"/>
          <w:szCs w:val="24"/>
        </w:rPr>
      </w:pPr>
      <w:r w:rsidRPr="00E869A4">
        <w:rPr>
          <w:rFonts w:ascii="Times New Roman" w:hAnsi="Times New Roman" w:cs="Times New Roman"/>
          <w:szCs w:val="24"/>
        </w:rPr>
        <w:t>Nonetheless, de São José’s attempt to provide a definition of such a complex and multi-dimensional concept is applaudable since it helps to make more visible</w:t>
      </w:r>
      <w:r w:rsidR="00EC0E81" w:rsidRPr="00E869A4">
        <w:rPr>
          <w:rFonts w:ascii="Times New Roman" w:hAnsi="Times New Roman" w:cs="Times New Roman"/>
          <w:szCs w:val="24"/>
        </w:rPr>
        <w:t>,</w:t>
      </w:r>
      <w:r w:rsidRPr="00E869A4">
        <w:rPr>
          <w:rFonts w:ascii="Times New Roman" w:hAnsi="Times New Roman" w:cs="Times New Roman"/>
          <w:szCs w:val="24"/>
        </w:rPr>
        <w:t xml:space="preserve"> th</w:t>
      </w:r>
      <w:r w:rsidR="00EC0E81" w:rsidRPr="00E869A4">
        <w:rPr>
          <w:rFonts w:ascii="Times New Roman" w:hAnsi="Times New Roman" w:cs="Times New Roman"/>
          <w:szCs w:val="24"/>
        </w:rPr>
        <w:t>e various facets of care which are</w:t>
      </w:r>
      <w:r w:rsidRPr="00E869A4">
        <w:rPr>
          <w:rFonts w:ascii="Times New Roman" w:hAnsi="Times New Roman" w:cs="Times New Roman"/>
          <w:szCs w:val="24"/>
        </w:rPr>
        <w:t xml:space="preserve"> necessary for a</w:t>
      </w:r>
      <w:r w:rsidR="00C94F19" w:rsidRPr="00E869A4">
        <w:rPr>
          <w:rFonts w:ascii="Times New Roman" w:hAnsi="Times New Roman" w:cs="Times New Roman"/>
          <w:szCs w:val="24"/>
        </w:rPr>
        <w:t xml:space="preserve">dvancing research in this area. </w:t>
      </w:r>
      <w:r w:rsidRPr="00E869A4">
        <w:rPr>
          <w:rFonts w:ascii="Times New Roman" w:hAnsi="Times New Roman" w:cs="Times New Roman"/>
          <w:szCs w:val="24"/>
        </w:rPr>
        <w:t>He is careful to note that other components may exist that were not identified in his taxonomy, and that new dimensions might actually emerge. In so doing, he avoid</w:t>
      </w:r>
      <w:r w:rsidR="002E4637" w:rsidRPr="00E869A4">
        <w:rPr>
          <w:rFonts w:ascii="Times New Roman" w:hAnsi="Times New Roman" w:cs="Times New Roman"/>
          <w:szCs w:val="24"/>
        </w:rPr>
        <w:t>ed</w:t>
      </w:r>
      <w:r w:rsidRPr="00E869A4">
        <w:rPr>
          <w:rFonts w:ascii="Times New Roman" w:hAnsi="Times New Roman" w:cs="Times New Roman"/>
          <w:szCs w:val="24"/>
        </w:rPr>
        <w:t xml:space="preserve"> the error of espousing </w:t>
      </w:r>
      <w:r w:rsidR="00631078" w:rsidRPr="00E869A4">
        <w:rPr>
          <w:rFonts w:ascii="Times New Roman" w:hAnsi="Times New Roman" w:cs="Times New Roman"/>
          <w:szCs w:val="24"/>
        </w:rPr>
        <w:t>universalisms, which</w:t>
      </w:r>
      <w:r w:rsidRPr="00E869A4">
        <w:rPr>
          <w:rFonts w:ascii="Times New Roman" w:hAnsi="Times New Roman" w:cs="Times New Roman"/>
          <w:szCs w:val="24"/>
        </w:rPr>
        <w:t xml:space="preserve"> has been the bane of sociological theorising</w:t>
      </w:r>
      <w:r w:rsidR="00ED1858" w:rsidRPr="00E869A4">
        <w:rPr>
          <w:rFonts w:ascii="Times New Roman" w:hAnsi="Times New Roman" w:cs="Times New Roman"/>
          <w:szCs w:val="24"/>
        </w:rPr>
        <w:t xml:space="preserve"> in this field of study</w:t>
      </w:r>
      <w:r w:rsidRPr="00E869A4">
        <w:rPr>
          <w:rFonts w:ascii="Times New Roman" w:hAnsi="Times New Roman" w:cs="Times New Roman"/>
          <w:szCs w:val="24"/>
        </w:rPr>
        <w:t xml:space="preserve">. </w:t>
      </w:r>
    </w:p>
    <w:p w14:paraId="75171E78" w14:textId="77777777" w:rsidR="00145BF5" w:rsidRPr="00E869A4" w:rsidRDefault="00145BF5" w:rsidP="00A35FF8">
      <w:pPr>
        <w:rPr>
          <w:rFonts w:ascii="Times New Roman" w:hAnsi="Times New Roman" w:cs="Times New Roman"/>
          <w:szCs w:val="24"/>
        </w:rPr>
      </w:pPr>
    </w:p>
    <w:p w14:paraId="34D053EC" w14:textId="057E0529" w:rsidR="004040DA" w:rsidRPr="00E869A4" w:rsidRDefault="004040DA" w:rsidP="004040DA">
      <w:pPr>
        <w:pStyle w:val="Heading2"/>
      </w:pPr>
      <w:bookmarkStart w:id="159" w:name="_Toc506696597"/>
      <w:bookmarkStart w:id="160" w:name="_Toc40436475"/>
      <w:r w:rsidRPr="00E869A4">
        <w:lastRenderedPageBreak/>
        <w:t>2.</w:t>
      </w:r>
      <w:r w:rsidR="00A54D7D" w:rsidRPr="00E869A4">
        <w:t>4</w:t>
      </w:r>
      <w:r w:rsidRPr="00E869A4">
        <w:t xml:space="preserve"> FAMILY CARE POLICY PERSPECTIVES</w:t>
      </w:r>
      <w:bookmarkEnd w:id="160"/>
      <w:r w:rsidRPr="00E869A4">
        <w:t xml:space="preserve"> </w:t>
      </w:r>
    </w:p>
    <w:p w14:paraId="2210ACFD" w14:textId="1EDD8F54" w:rsidR="004040DA" w:rsidRPr="00E869A4" w:rsidRDefault="004040DA" w:rsidP="004040DA">
      <w:pPr>
        <w:pStyle w:val="Heading2"/>
      </w:pPr>
    </w:p>
    <w:bookmarkEnd w:id="159"/>
    <w:p w14:paraId="5F07B2BD" w14:textId="5FE9BF60" w:rsidR="00B77901" w:rsidRPr="00E869A4" w:rsidRDefault="00960ECA" w:rsidP="00960ECA">
      <w:pPr>
        <w:rPr>
          <w:rFonts w:ascii="Times New Roman" w:hAnsi="Times New Roman" w:cs="Times New Roman"/>
          <w:b/>
          <w:i/>
          <w:u w:val="single"/>
        </w:rPr>
      </w:pPr>
      <w:r w:rsidRPr="00E869A4">
        <w:rPr>
          <w:rFonts w:ascii="Times New Roman" w:hAnsi="Times New Roman" w:cs="Times New Roman"/>
        </w:rPr>
        <w:t xml:space="preserve">In their book entitled </w:t>
      </w:r>
      <w:r w:rsidRPr="00E869A4">
        <w:rPr>
          <w:rFonts w:ascii="Times New Roman" w:hAnsi="Times New Roman" w:cs="Times New Roman"/>
          <w:i/>
        </w:rPr>
        <w:t>Contemporary Grandparenting: Changing Family Relationships in Global Contexts</w:t>
      </w:r>
      <w:r w:rsidRPr="00E869A4">
        <w:rPr>
          <w:rFonts w:ascii="Times New Roman" w:hAnsi="Times New Roman" w:cs="Times New Roman"/>
        </w:rPr>
        <w:t>, Arber and Timonen (2012)</w:t>
      </w:r>
      <w:r w:rsidRPr="00E869A4">
        <w:rPr>
          <w:rStyle w:val="EndnoteReference"/>
          <w:rFonts w:ascii="Times New Roman" w:hAnsi="Times New Roman" w:cs="Times New Roman"/>
        </w:rPr>
        <w:t xml:space="preserve"> </w:t>
      </w:r>
      <w:r w:rsidRPr="00E869A4">
        <w:rPr>
          <w:rFonts w:ascii="Times New Roman" w:hAnsi="Times New Roman" w:cs="Times New Roman"/>
        </w:rPr>
        <w:t xml:space="preserve"> noted that responsibilities towards family members in general, and older people in particular, are shaped by cultural expectations, laws and social policy in most societies. With respect to family care for older persons, key policy issues include whether or not the objective of family care policies should be to mandate or encourage family members to provide elder care themselves, or to support families in providing care and in so doing, minimise excessive burden. Related considerations include whether the focus should be on deterring or postponing institutionalisation by motivating family members to provide informal care or, if it is an acceptable policy goal to provide or enable family members to purchase paid home care that they would not otherwise be able to afford (Doty 1986). Each of these policy options </w:t>
      </w:r>
      <w:r w:rsidR="00AD2258" w:rsidRPr="00E869A4">
        <w:rPr>
          <w:rFonts w:ascii="Times New Roman" w:hAnsi="Times New Roman" w:cs="Times New Roman"/>
        </w:rPr>
        <w:t>is</w:t>
      </w:r>
      <w:r w:rsidRPr="00E869A4">
        <w:rPr>
          <w:rFonts w:ascii="Times New Roman" w:hAnsi="Times New Roman" w:cs="Times New Roman"/>
        </w:rPr>
        <w:t xml:space="preserve"> underpinned by different sets of values and beliefs about what caregivers require in order to sustain long-term care-giving. </w:t>
      </w:r>
    </w:p>
    <w:p w14:paraId="599B2FAD" w14:textId="77777777" w:rsidR="00960ECA" w:rsidRPr="00E869A4" w:rsidRDefault="00960ECA" w:rsidP="00960ECA"/>
    <w:p w14:paraId="3180DF28" w14:textId="52390C96" w:rsidR="00960ECA" w:rsidRPr="00E869A4" w:rsidRDefault="00960ECA" w:rsidP="00960ECA">
      <w:pPr>
        <w:pStyle w:val="Heading3"/>
      </w:pPr>
      <w:bookmarkStart w:id="161" w:name="_Toc40436476"/>
      <w:r w:rsidRPr="00E869A4">
        <w:t>2</w:t>
      </w:r>
      <w:r w:rsidR="004611A6" w:rsidRPr="00E869A4">
        <w:t>.</w:t>
      </w:r>
      <w:r w:rsidR="00A54D7D" w:rsidRPr="00E869A4">
        <w:t>4</w:t>
      </w:r>
      <w:r w:rsidRPr="00E869A4">
        <w:t>.1     Emergence of Elder Care Policy</w:t>
      </w:r>
      <w:bookmarkEnd w:id="161"/>
    </w:p>
    <w:p w14:paraId="37FDDD2B" w14:textId="77777777" w:rsidR="00960ECA" w:rsidRPr="00E869A4" w:rsidRDefault="00960ECA" w:rsidP="0051234F">
      <w:pPr>
        <w:pStyle w:val="112"/>
        <w:rPr>
          <w:color w:val="auto"/>
        </w:rPr>
      </w:pPr>
    </w:p>
    <w:p w14:paraId="211A9A15"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Social support to older persons as a right-based policy approach by governments is generally ascribed to the development of the welfare state in Western societies, in the period immediately following World War II. Although provisions by States to older persons occurred prior to this period, these were mainly residualist in nature. Only about half of the population in Western Europe received any social welfare support in old age in the mid-1930s (Phillipson 1998). In the UK, State support was limited to a few beneficiaries who were means-tested, stigmatised and treated as second-class citizens. The philosophy of the Elizabethan Poor Laws formed the basis of these less than generous provisions. Caribbean territories like T&amp;T inherited welfare provisions similar to those of the UK. </w:t>
      </w:r>
    </w:p>
    <w:p w14:paraId="1495DAD8" w14:textId="77777777" w:rsidR="00960ECA" w:rsidRPr="00E869A4" w:rsidRDefault="00960ECA" w:rsidP="00960ECA">
      <w:pPr>
        <w:rPr>
          <w:rFonts w:ascii="Times New Roman" w:hAnsi="Times New Roman" w:cs="Times New Roman"/>
        </w:rPr>
      </w:pPr>
    </w:p>
    <w:p w14:paraId="53F94152"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In the two decades following the World Wars, social security systems in more developed countries were expanded to provide a wider array of support to older people. This policy decision was based on principles of intergenerational solidarity, social rights and citizenship. It was also reflective of the principles espoused within the United Nation’s Universal Declaration of Human Rights (1948) which promoted adequate health and wellbeing in old age (Estes &amp; Phillipson 2012; Phillipson 1998). Most </w:t>
      </w:r>
      <w:r w:rsidRPr="00E869A4">
        <w:rPr>
          <w:rFonts w:ascii="Times New Roman" w:hAnsi="Times New Roman" w:cs="Times New Roman"/>
        </w:rPr>
        <w:lastRenderedPageBreak/>
        <w:t>industrialised societies developed mass institutions to address the health and social care needs of older people between 1945 and the late 1970s, which were predicated on a moral purpose for the provision of welfare and societal progress (Estes &amp; Phillipson 2012). However, with the rise of neoliberal politics and a more aggressive form of capitalism, these provisions became increasingly privatised from the 1980s (Estes 2002; Estes &amp; Phillipson 2012). It was around this time that concerns were expressed about whether or not providing services to older people would result in family caregivers relinquishing their care support (</w:t>
      </w:r>
      <w:r w:rsidRPr="00E869A4">
        <w:rPr>
          <w:rFonts w:ascii="Times New Roman" w:hAnsi="Times New Roman" w:cs="Times New Roman"/>
          <w:szCs w:val="24"/>
        </w:rPr>
        <w:t>Dykstra 2014)</w:t>
      </w:r>
      <w:r w:rsidRPr="00E869A4">
        <w:rPr>
          <w:rFonts w:ascii="Times New Roman" w:hAnsi="Times New Roman" w:cs="Times New Roman"/>
        </w:rPr>
        <w:t xml:space="preserve">. </w:t>
      </w:r>
    </w:p>
    <w:p w14:paraId="1C4BD11D" w14:textId="77777777" w:rsidR="00960ECA" w:rsidRPr="00E869A4" w:rsidRDefault="00960ECA" w:rsidP="00960ECA">
      <w:pPr>
        <w:rPr>
          <w:rFonts w:ascii="Times New Roman" w:hAnsi="Times New Roman" w:cs="Times New Roman"/>
        </w:rPr>
      </w:pPr>
    </w:p>
    <w:p w14:paraId="23A215B6" w14:textId="6E0E238D" w:rsidR="00960ECA" w:rsidRPr="00E869A4" w:rsidRDefault="00960ECA" w:rsidP="00545A82">
      <w:pPr>
        <w:pStyle w:val="Heading4"/>
      </w:pPr>
      <w:r w:rsidRPr="00E869A4">
        <w:t>The Substitution vs. Complementarity Debate</w:t>
      </w:r>
    </w:p>
    <w:p w14:paraId="1C27A83B" w14:textId="77777777" w:rsidR="00960ECA" w:rsidRPr="00E869A4" w:rsidRDefault="00960ECA" w:rsidP="0051234F">
      <w:pPr>
        <w:pStyle w:val="112"/>
        <w:rPr>
          <w:color w:val="auto"/>
        </w:rPr>
      </w:pPr>
    </w:p>
    <w:p w14:paraId="386DB35B" w14:textId="69096CE1" w:rsidR="00960ECA" w:rsidRPr="00E869A4" w:rsidRDefault="00960ECA" w:rsidP="00960ECA">
      <w:pPr>
        <w:rPr>
          <w:rFonts w:ascii="Times New Roman" w:hAnsi="Times New Roman" w:cs="Times New Roman"/>
          <w:szCs w:val="24"/>
        </w:rPr>
      </w:pPr>
      <w:r w:rsidRPr="00E869A4">
        <w:rPr>
          <w:rFonts w:ascii="Times New Roman" w:hAnsi="Times New Roman" w:cs="Times New Roman"/>
        </w:rPr>
        <w:t xml:space="preserve">The two main viewpoints on the response of family members to increased formal care are encapsulated in the substitution (crowding-out) and complementarity (crowding-in) hypotheses. The substitution hypothesis predicts that the increased provision of formal care such as </w:t>
      </w:r>
      <w:r w:rsidRPr="00E869A4">
        <w:rPr>
          <w:rFonts w:ascii="Times New Roman" w:hAnsi="Times New Roman" w:cs="Times New Roman"/>
          <w:szCs w:val="24"/>
        </w:rPr>
        <w:t>public pensions and services</w:t>
      </w:r>
      <w:r w:rsidRPr="00E869A4">
        <w:rPr>
          <w:rFonts w:ascii="Times New Roman" w:hAnsi="Times New Roman" w:cs="Times New Roman"/>
        </w:rPr>
        <w:t>, weakens and eventually replaces (crowds-out) pre-existing informal care</w:t>
      </w:r>
      <w:r w:rsidRPr="00E869A4">
        <w:rPr>
          <w:rFonts w:ascii="Times New Roman" w:hAnsi="Times New Roman" w:cs="Times New Roman"/>
          <w:szCs w:val="24"/>
        </w:rPr>
        <w:t xml:space="preserve">. However, most research has disproved the </w:t>
      </w:r>
      <w:r w:rsidR="00E95796" w:rsidRPr="00E869A4">
        <w:rPr>
          <w:rFonts w:ascii="Times New Roman" w:hAnsi="Times New Roman" w:cs="Times New Roman"/>
          <w:szCs w:val="24"/>
        </w:rPr>
        <w:t>‘</w:t>
      </w:r>
      <w:r w:rsidRPr="00E869A4">
        <w:rPr>
          <w:rFonts w:ascii="Times New Roman" w:hAnsi="Times New Roman" w:cs="Times New Roman"/>
          <w:szCs w:val="24"/>
        </w:rPr>
        <w:t>myth of abandonment</w:t>
      </w:r>
      <w:r w:rsidR="00E95796" w:rsidRPr="00E869A4">
        <w:rPr>
          <w:rFonts w:ascii="Times New Roman" w:hAnsi="Times New Roman" w:cs="Times New Roman"/>
          <w:szCs w:val="24"/>
        </w:rPr>
        <w:t>’</w:t>
      </w:r>
      <w:r w:rsidRPr="00E869A4">
        <w:rPr>
          <w:rFonts w:ascii="Times New Roman" w:hAnsi="Times New Roman" w:cs="Times New Roman"/>
          <w:szCs w:val="24"/>
        </w:rPr>
        <w:t xml:space="preserve"> associated with the substitution thesis (Doty 1986). Instead, the evidence for the most part supports the complementarity thesis, which predicts that families use formal services to supplement rather than abrogate caregiving to older relatives (Arber &amp; Timonen 2012; </w:t>
      </w:r>
      <w:r w:rsidRPr="00E869A4">
        <w:rPr>
          <w:rFonts w:ascii="Times New Roman" w:hAnsi="Times New Roman" w:cs="Times New Roman"/>
        </w:rPr>
        <w:t>Barrett, Hale &amp; Butler 2014</w:t>
      </w:r>
      <w:r w:rsidRPr="00E869A4">
        <w:rPr>
          <w:rFonts w:ascii="Times New Roman" w:hAnsi="Times New Roman" w:cs="Times New Roman"/>
          <w:szCs w:val="24"/>
        </w:rPr>
        <w:t xml:space="preserve">; Birren et al. 2007; Doty 1986; Masuy 2011; Merrill 1997; Reil-Held 2005). </w:t>
      </w:r>
    </w:p>
    <w:p w14:paraId="63866E51" w14:textId="77777777" w:rsidR="00960ECA" w:rsidRPr="00E869A4" w:rsidRDefault="00960ECA" w:rsidP="00960ECA">
      <w:pPr>
        <w:rPr>
          <w:rFonts w:ascii="Times New Roman" w:hAnsi="Times New Roman" w:cs="Times New Roman"/>
          <w:szCs w:val="24"/>
        </w:rPr>
      </w:pPr>
    </w:p>
    <w:p w14:paraId="37430579" w14:textId="7DF843F9"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Daatland &amp; Lowenstein (2005) found from the OASIS data on Norway, England, Germany, Spain, and Israel, that the welfare state had not crowded out the family in elder care, but allowed for more independence to be achieved by both family carers and older care recipients. The findings consistently supported the complementarity hypothesis even though the countries studied represented different welfare state regimes i.e. social democratic Norway, liberalist England, conservative (corporatist) Germany, conservative (southern) Spain, and the mixed welfare regime in Israel. Künemund and Rein’s (1999) study of Germany and the UK also concluded that their findings did not support the crowding-out hypothesis. However, a smaller proportion of studies revealed mixed results. Reil-Held (2005), for example, found that in Germany’s mature welfare state there were traces of the crowding-out hypothesis but that crowding-in occurred at the same time. Crowding-out was evident among poorer Germans who received less informal financial support once the </w:t>
      </w:r>
      <w:r w:rsidR="000D56B3" w:rsidRPr="00E869A4">
        <w:rPr>
          <w:rFonts w:ascii="Times New Roman" w:hAnsi="Times New Roman" w:cs="Times New Roman"/>
        </w:rPr>
        <w:t>s</w:t>
      </w:r>
      <w:r w:rsidRPr="00E869A4">
        <w:rPr>
          <w:rFonts w:ascii="Times New Roman" w:hAnsi="Times New Roman" w:cs="Times New Roman"/>
        </w:rPr>
        <w:t xml:space="preserve">tate provided financial help. Thus, different types of degrees of </w:t>
      </w:r>
      <w:r w:rsidRPr="00E869A4">
        <w:rPr>
          <w:rFonts w:ascii="Times New Roman" w:hAnsi="Times New Roman" w:cs="Times New Roman"/>
        </w:rPr>
        <w:lastRenderedPageBreak/>
        <w:t xml:space="preserve">complementarity may exist (Arber &amp; Timonen 2012). For the most part, the data from various countries support the complementarity hypothesis. </w:t>
      </w:r>
    </w:p>
    <w:p w14:paraId="2135C9F3" w14:textId="77777777" w:rsidR="00960ECA" w:rsidRPr="00E869A4" w:rsidRDefault="00960ECA" w:rsidP="00960ECA">
      <w:pPr>
        <w:rPr>
          <w:rFonts w:ascii="Times New Roman" w:hAnsi="Times New Roman" w:cs="Times New Roman"/>
        </w:rPr>
      </w:pPr>
    </w:p>
    <w:p w14:paraId="279144B3" w14:textId="22BC4FA0"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Despite these findings, since the 1980s, policy analysts have observed an increase in the rationing of health and social care services for older people and family caregivers in more developed countries like the USA and the UK. International organisations like the World Bank and liberal governments have challenged the role of the </w:t>
      </w:r>
      <w:r w:rsidR="000D56B3" w:rsidRPr="00E869A4">
        <w:rPr>
          <w:rFonts w:ascii="Times New Roman" w:hAnsi="Times New Roman" w:cs="Times New Roman"/>
        </w:rPr>
        <w:t>s</w:t>
      </w:r>
      <w:r w:rsidRPr="00E869A4">
        <w:rPr>
          <w:rFonts w:ascii="Times New Roman" w:hAnsi="Times New Roman" w:cs="Times New Roman"/>
        </w:rPr>
        <w:t xml:space="preserve">tate in the provision of these services, and promoted their increased privatisation as a means of resolving the inefficiencies in government-run programs (Estes &amp; Phillipson 2002). However, many gerontologists, sociologists and policy analysts are opposed to this neoliberal agenda, and see it as a form of discrimination, given its tendency to create social exclusion among the less privileged class of older people, and widen the care gap (Simms 2003). </w:t>
      </w:r>
    </w:p>
    <w:p w14:paraId="0B053D34" w14:textId="77777777" w:rsidR="00960ECA" w:rsidRPr="00E869A4" w:rsidRDefault="00960ECA" w:rsidP="00960ECA">
      <w:pPr>
        <w:rPr>
          <w:rFonts w:ascii="Times New Roman" w:hAnsi="Times New Roman" w:cs="Times New Roman"/>
        </w:rPr>
      </w:pPr>
    </w:p>
    <w:p w14:paraId="6309B3E1"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Policy analysts have also expressed concern about the policy drift associated with family care legislation. Policy drift occurs when institutions and policies are deliberately maintained despite their increasing redundancy relative to changing demographic, economic and technological conditions (Rocco 2017). In a recent study by Rocco (2017) aimed at identifying the factors contributing to policy drift with regards to support for informal caregivers, he found that legislative success was more likely with smaller discretionary programs (e.g. legislative updates to the Older Americans Act and the Public Health Service Act). However, the more substantial changes required to ensure that informal caregivers were adequately remunerated for unpaid work, has been on the legislative agenda for several decades but without any success. Partisan polarisation (lack of consensus between parties), costs for updating the legislation, automaticity (the ability of policy makers to use ‘</w:t>
      </w:r>
      <w:r w:rsidRPr="00E869A4">
        <w:rPr>
          <w:rFonts w:ascii="Times New Roman" w:hAnsi="Times New Roman" w:cs="Times New Roman"/>
          <w:i/>
        </w:rPr>
        <w:t>automati</w:t>
      </w:r>
      <w:r w:rsidRPr="00E869A4">
        <w:rPr>
          <w:rFonts w:ascii="Times New Roman" w:hAnsi="Times New Roman" w:cs="Times New Roman"/>
        </w:rPr>
        <w:t xml:space="preserve">c’ provisions that provide government with opportunities to make future shifts in policy when conditions change) and veto points, were some of the factors that mitigated the success of various legislative attempts to address this issue. </w:t>
      </w:r>
    </w:p>
    <w:p w14:paraId="06469D3A" w14:textId="77777777" w:rsidR="00960ECA" w:rsidRPr="00E869A4" w:rsidRDefault="00960ECA" w:rsidP="00960ECA">
      <w:pPr>
        <w:rPr>
          <w:rFonts w:ascii="Times New Roman" w:hAnsi="Times New Roman" w:cs="Times New Roman"/>
        </w:rPr>
      </w:pPr>
    </w:p>
    <w:p w14:paraId="5E0A6F6B" w14:textId="7920CFF8" w:rsidR="00960ECA" w:rsidRPr="00E869A4" w:rsidRDefault="004611A6" w:rsidP="004611A6">
      <w:pPr>
        <w:pStyle w:val="Heading3"/>
      </w:pPr>
      <w:bookmarkStart w:id="162" w:name="_Toc40436477"/>
      <w:r w:rsidRPr="00E869A4">
        <w:t>2.</w:t>
      </w:r>
      <w:r w:rsidR="00A54D7D" w:rsidRPr="00E869A4">
        <w:t>4</w:t>
      </w:r>
      <w:r w:rsidRPr="00E869A4">
        <w:t>.</w:t>
      </w:r>
      <w:r w:rsidR="00545A82" w:rsidRPr="00E869A4">
        <w:t>2</w:t>
      </w:r>
      <w:r w:rsidRPr="00E869A4">
        <w:t xml:space="preserve">     </w:t>
      </w:r>
      <w:r w:rsidR="00960ECA" w:rsidRPr="00E869A4">
        <w:t>Conceptualising Family (Care) Policy</w:t>
      </w:r>
      <w:bookmarkEnd w:id="162"/>
    </w:p>
    <w:p w14:paraId="5161424C" w14:textId="77777777" w:rsidR="00960ECA" w:rsidRPr="00E869A4" w:rsidRDefault="00960ECA" w:rsidP="0051234F">
      <w:pPr>
        <w:pStyle w:val="112"/>
        <w:rPr>
          <w:color w:val="auto"/>
        </w:rPr>
      </w:pPr>
    </w:p>
    <w:p w14:paraId="1B394311"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Despite many years of State provision of family support, there is still no agreed-upon definition of what family policy is. It is, according to Daly and Borrell-Porta, “an ambiguous term and there is no common concept, neither in scientific work nor in politics.” (Daly &amp; Borrell-Porta 2016, p. 1). Daly and </w:t>
      </w:r>
      <w:r w:rsidRPr="00E869A4">
        <w:rPr>
          <w:rFonts w:ascii="Times New Roman" w:hAnsi="Times New Roman" w:cs="Times New Roman"/>
        </w:rPr>
        <w:lastRenderedPageBreak/>
        <w:t>Borrell-Porta (2016, p. 1) adopted the following state-oriented definition of family policy for their database on family policy developments in the UK from 1997 to 2016:</w:t>
      </w:r>
    </w:p>
    <w:p w14:paraId="7ECE9466" w14:textId="77777777" w:rsidR="00960ECA" w:rsidRPr="00E869A4" w:rsidRDefault="00960ECA" w:rsidP="00960ECA">
      <w:pPr>
        <w:autoSpaceDE w:val="0"/>
        <w:autoSpaceDN w:val="0"/>
        <w:adjustRightInd w:val="0"/>
        <w:spacing w:line="240" w:lineRule="auto"/>
        <w:rPr>
          <w:rFonts w:ascii="Times New Roman" w:hAnsi="Times New Roman" w:cs="Times New Roman"/>
        </w:rPr>
      </w:pPr>
    </w:p>
    <w:p w14:paraId="56201A38" w14:textId="77777777" w:rsidR="00960ECA" w:rsidRPr="00E869A4" w:rsidRDefault="00960ECA" w:rsidP="00960ECA">
      <w:pPr>
        <w:spacing w:line="240" w:lineRule="auto"/>
        <w:ind w:left="567" w:firstLine="0"/>
        <w:rPr>
          <w:rFonts w:ascii="Times New Roman" w:hAnsi="Times New Roman" w:cs="Times New Roman"/>
        </w:rPr>
      </w:pPr>
      <w:r w:rsidRPr="00E869A4">
        <w:rPr>
          <w:rFonts w:ascii="Times New Roman" w:hAnsi="Times New Roman" w:cs="Times New Roman"/>
        </w:rPr>
        <w:t xml:space="preserve">Family policy is defined as policies by which State provision affects the situation and role of the family as an economic and social institution, and/or well-being, relationships and roles of children and adults within families. </w:t>
      </w:r>
    </w:p>
    <w:p w14:paraId="289AB847" w14:textId="77777777" w:rsidR="00960ECA" w:rsidRPr="00E869A4" w:rsidRDefault="00960ECA" w:rsidP="00960ECA">
      <w:pPr>
        <w:autoSpaceDE w:val="0"/>
        <w:autoSpaceDN w:val="0"/>
        <w:adjustRightInd w:val="0"/>
        <w:spacing w:line="240" w:lineRule="auto"/>
        <w:rPr>
          <w:rFonts w:ascii="Times New Roman" w:hAnsi="Times New Roman" w:cs="Times New Roman"/>
        </w:rPr>
      </w:pPr>
    </w:p>
    <w:p w14:paraId="529C3EC7" w14:textId="3A093396" w:rsidR="00960ECA" w:rsidRPr="00E869A4" w:rsidRDefault="00960ECA" w:rsidP="00960ECA">
      <w:pPr>
        <w:ind w:firstLine="0"/>
        <w:rPr>
          <w:rFonts w:ascii="Times New Roman" w:hAnsi="Times New Roman" w:cs="Times New Roman"/>
        </w:rPr>
      </w:pPr>
      <w:r w:rsidRPr="00E869A4">
        <w:rPr>
          <w:rFonts w:ascii="Times New Roman" w:hAnsi="Times New Roman" w:cs="Times New Roman"/>
        </w:rPr>
        <w:t>Their definition is reflective of the considerable attention given to children’s welfare in government policies relative to that of older people. Lawson and colleagues (2001, p. 115) provided a more generic definition of family polic</w:t>
      </w:r>
      <w:r w:rsidR="00DC1A55" w:rsidRPr="00E869A4">
        <w:rPr>
          <w:rFonts w:ascii="Times New Roman" w:hAnsi="Times New Roman" w:cs="Times New Roman"/>
        </w:rPr>
        <w:t>y</w:t>
      </w:r>
      <w:r w:rsidRPr="00E869A4">
        <w:rPr>
          <w:rFonts w:ascii="Times New Roman" w:hAnsi="Times New Roman" w:cs="Times New Roman"/>
        </w:rPr>
        <w:t>:</w:t>
      </w:r>
    </w:p>
    <w:p w14:paraId="4F2140F8" w14:textId="77777777" w:rsidR="00960ECA" w:rsidRPr="00E869A4" w:rsidRDefault="00960ECA" w:rsidP="00960ECA">
      <w:pPr>
        <w:autoSpaceDE w:val="0"/>
        <w:autoSpaceDN w:val="0"/>
        <w:adjustRightInd w:val="0"/>
        <w:spacing w:line="240" w:lineRule="auto"/>
        <w:rPr>
          <w:rFonts w:ascii="Times New Roman" w:hAnsi="Times New Roman" w:cs="Times New Roman"/>
        </w:rPr>
      </w:pPr>
    </w:p>
    <w:p w14:paraId="49C63A6B" w14:textId="77777777" w:rsidR="00960ECA" w:rsidRPr="00E869A4" w:rsidRDefault="00960ECA" w:rsidP="00960ECA">
      <w:pPr>
        <w:spacing w:line="240" w:lineRule="auto"/>
        <w:ind w:left="567" w:firstLine="0"/>
        <w:rPr>
          <w:rFonts w:ascii="Times New Roman" w:hAnsi="Times New Roman" w:cs="Times New Roman"/>
        </w:rPr>
      </w:pPr>
      <w:r w:rsidRPr="00E869A4">
        <w:rPr>
          <w:rFonts w:ascii="Times New Roman" w:hAnsi="Times New Roman" w:cs="Times New Roman"/>
        </w:rPr>
        <w:t>[A]</w:t>
      </w:r>
      <w:r w:rsidRPr="00E869A4">
        <w:rPr>
          <w:rFonts w:ascii="Times New Roman" w:hAnsi="Times New Roman" w:cs="Times New Roman"/>
          <w:i/>
        </w:rPr>
        <w:t xml:space="preserve"> </w:t>
      </w:r>
      <w:r w:rsidRPr="00E869A4">
        <w:rPr>
          <w:rFonts w:ascii="Times New Roman" w:hAnsi="Times New Roman" w:cs="Times New Roman"/>
        </w:rPr>
        <w:t>coherent set of principles and practices that influence, and are influenced by, services, supports, and resources provided by families and helping professionals [that] calls attention to the roles and responsibilities of governments and their departments, agencies funded by governments, and nongovernmental organizations.</w:t>
      </w:r>
    </w:p>
    <w:p w14:paraId="7BB64927" w14:textId="77777777" w:rsidR="004611A6" w:rsidRPr="00E869A4" w:rsidRDefault="004611A6" w:rsidP="004611A6">
      <w:pPr>
        <w:spacing w:line="240" w:lineRule="auto"/>
        <w:ind w:firstLine="0"/>
        <w:rPr>
          <w:rFonts w:ascii="Times New Roman" w:hAnsi="Times New Roman" w:cs="Times New Roman"/>
        </w:rPr>
      </w:pPr>
    </w:p>
    <w:p w14:paraId="6623851B" w14:textId="04F54367" w:rsidR="004611A6" w:rsidRPr="00E869A4" w:rsidRDefault="00960ECA" w:rsidP="00D86BBF">
      <w:pPr>
        <w:ind w:firstLine="0"/>
        <w:rPr>
          <w:rFonts w:ascii="Times New Roman" w:hAnsi="Times New Roman" w:cs="Times New Roman"/>
        </w:rPr>
      </w:pPr>
      <w:r w:rsidRPr="00E869A4">
        <w:rPr>
          <w:rFonts w:ascii="Times New Roman" w:hAnsi="Times New Roman" w:cs="Times New Roman"/>
        </w:rPr>
        <w:t>They go on to note that family policy includes the laws, policies, regulations, economic and direct service strategies, entitlements and rules that influence the day-to-day experiences of families, while at the same time shaping the practices of helping professionals. Although their definition does not give undue attention to a particular age group, and the range of policy forms that they identified are widely acknowledged in the literature, not all policies that address the needs of families are as coherent as Lawson and colleagues suggest.</w:t>
      </w:r>
    </w:p>
    <w:p w14:paraId="50277240" w14:textId="77777777" w:rsidR="00D86BBF" w:rsidRPr="00E869A4" w:rsidRDefault="00D86BBF" w:rsidP="00D86BBF">
      <w:pPr>
        <w:ind w:firstLine="0"/>
        <w:rPr>
          <w:b/>
          <w:i/>
          <w:u w:val="single"/>
        </w:rPr>
      </w:pPr>
    </w:p>
    <w:p w14:paraId="3B407D84" w14:textId="67A2A868" w:rsidR="00960ECA" w:rsidRPr="00E869A4" w:rsidRDefault="00960ECA" w:rsidP="00960ECA">
      <w:pPr>
        <w:pStyle w:val="Heading4"/>
      </w:pPr>
      <w:r w:rsidRPr="00E869A4">
        <w:t>Explicit vs. Implicit Policies</w:t>
      </w:r>
    </w:p>
    <w:p w14:paraId="341C15F5" w14:textId="77777777" w:rsidR="00960ECA" w:rsidRPr="00E869A4" w:rsidRDefault="00960ECA" w:rsidP="0051234F">
      <w:pPr>
        <w:pStyle w:val="112"/>
        <w:rPr>
          <w:color w:val="auto"/>
        </w:rPr>
      </w:pPr>
    </w:p>
    <w:p w14:paraId="34832C26"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Kamerman and Khan (1978) distinguished between explicit (coherent) policies and implicit family policies. This classic conceptualisation is popular within academic discourse (Clasen 2005; Daly &amp; Borrell-Porta 2016; Mätzke &amp; Ostner 2011). Implicit policies refer to governmental actions and policies that are not specifically or primarily addressed to the family. However, these policies may have indirect effects on the situation of families and the well-being of the individuals who comprise them. Generally, countries that adopt this approach do not provide sufficient cash or care support to families, and policy measures are largely symbolic,  based on mere rhetoric, and lack coherence (Clasen 2005; Mätzke &amp; Ostner 2011)</w:t>
      </w:r>
      <w:r w:rsidRPr="00E869A4">
        <w:rPr>
          <w:rStyle w:val="EndnoteReference"/>
          <w:rFonts w:ascii="Times New Roman" w:hAnsi="Times New Roman" w:cs="Times New Roman"/>
          <w:vertAlign w:val="baseline"/>
        </w:rPr>
        <w:t>.</w:t>
      </w:r>
      <w:r w:rsidRPr="00E869A4">
        <w:rPr>
          <w:rFonts w:ascii="Times New Roman" w:hAnsi="Times New Roman" w:cs="Times New Roman"/>
        </w:rPr>
        <w:t xml:space="preserve"> For a long time the UK family policy was described as falling within this category, up until the first Labour government came into power in 1997. Labour governments spearheaded what some may </w:t>
      </w:r>
      <w:r w:rsidRPr="00E869A4">
        <w:rPr>
          <w:rFonts w:ascii="Times New Roman" w:hAnsi="Times New Roman" w:cs="Times New Roman"/>
        </w:rPr>
        <w:lastRenderedPageBreak/>
        <w:t xml:space="preserve">describe as the most extensive family policy reform programme in Europe. However, those explicit policies largely focused on children and parents (Clasen 2005; Daly &amp; Borrell-Porta 2016; Mätzke &amp; Ostner 2011). On the other hand, Chinese elder care policy was described by Peng and Yeandle as “undeveloped, disjointed and unclear and so may be described as implicit.” (Peng &amp; Yeandle 2017, p. 6). </w:t>
      </w:r>
    </w:p>
    <w:p w14:paraId="274186F9" w14:textId="77777777" w:rsidR="00960ECA" w:rsidRPr="00E869A4" w:rsidRDefault="00960ECA" w:rsidP="00960ECA">
      <w:pPr>
        <w:rPr>
          <w:rFonts w:ascii="Times New Roman" w:hAnsi="Times New Roman" w:cs="Times New Roman"/>
        </w:rPr>
      </w:pPr>
    </w:p>
    <w:p w14:paraId="17E3B7C8"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Explicit policies refer to specific policies and programmes which set out to achieve perspicuous goals regarding the family, or which deliberately do things to and for the family. Thus, intentionality is the main distinguishing characteristic of these two types of policies (Daly &amp; Borrell-Porta 2016). While all countries may have implicit family policies in which the family is not specifically targeted but may be affected by policy directives, most jurisdictions tend to have more of one type of policy than the other, hence the appeal for this simple typology. This typology appears to be applicable to understanding the different approaches to eldercare policy in Europe and Asia. Peng and Yeandle (2016, p. 2) described eldercare policies in these two regions as ranging from:</w:t>
      </w:r>
    </w:p>
    <w:p w14:paraId="6E6C2F5C" w14:textId="77777777" w:rsidR="0047120F" w:rsidRPr="00E869A4" w:rsidRDefault="0047120F" w:rsidP="0047120F">
      <w:pPr>
        <w:spacing w:line="240" w:lineRule="auto"/>
        <w:rPr>
          <w:rFonts w:ascii="Times New Roman" w:hAnsi="Times New Roman" w:cs="Times New Roman"/>
        </w:rPr>
      </w:pPr>
    </w:p>
    <w:p w14:paraId="160E2569" w14:textId="77777777" w:rsidR="00960ECA" w:rsidRPr="00E869A4" w:rsidRDefault="00960ECA" w:rsidP="00960ECA">
      <w:pPr>
        <w:spacing w:line="240" w:lineRule="auto"/>
        <w:ind w:left="567" w:firstLine="0"/>
        <w:rPr>
          <w:rFonts w:ascii="Times New Roman" w:hAnsi="Times New Roman" w:cs="Times New Roman"/>
        </w:rPr>
      </w:pPr>
      <w:r w:rsidRPr="00E869A4">
        <w:rPr>
          <w:rFonts w:ascii="Times New Roman" w:hAnsi="Times New Roman" w:cs="Times New Roman"/>
        </w:rPr>
        <w:t>a minimal response (implicitly assuming that family members will continue to provide care for frail elderly persons, either directly or indirectly by employing others to do this work), to more active strategic responses (for example, through new forms of support for family/friend carers, or alternatively trying to re-culture citizens with Confucian filial piety, as in the case of China), to explicit ‘out-sourcing’ and marketization of eldercare.</w:t>
      </w:r>
    </w:p>
    <w:p w14:paraId="40E97BFA" w14:textId="1456E50F" w:rsidR="004611A6" w:rsidRPr="00E869A4" w:rsidRDefault="004611A6"/>
    <w:p w14:paraId="0DDFDD16" w14:textId="1B1A2D9D" w:rsidR="00960ECA" w:rsidRPr="00E869A4" w:rsidRDefault="00960ECA" w:rsidP="00545A82">
      <w:pPr>
        <w:pStyle w:val="Heading4"/>
      </w:pPr>
      <w:r w:rsidRPr="00E869A4">
        <w:t>Family (Care) Policy Regimes</w:t>
      </w:r>
    </w:p>
    <w:p w14:paraId="60315A99" w14:textId="77777777" w:rsidR="00960ECA" w:rsidRPr="00E869A4" w:rsidRDefault="00960ECA" w:rsidP="0051234F">
      <w:pPr>
        <w:pStyle w:val="112"/>
        <w:rPr>
          <w:color w:val="auto"/>
        </w:rPr>
      </w:pPr>
    </w:p>
    <w:p w14:paraId="606D95F8" w14:textId="77777777" w:rsidR="00960ECA" w:rsidRPr="00E869A4" w:rsidRDefault="00960ECA" w:rsidP="00960ECA">
      <w:pPr>
        <w:autoSpaceDE w:val="0"/>
        <w:autoSpaceDN w:val="0"/>
        <w:adjustRightInd w:val="0"/>
        <w:rPr>
          <w:rFonts w:ascii="Times New Roman" w:hAnsi="Times New Roman" w:cs="Times New Roman"/>
        </w:rPr>
      </w:pPr>
      <w:r w:rsidRPr="00E869A4">
        <w:rPr>
          <w:rFonts w:ascii="Times New Roman" w:hAnsi="Times New Roman" w:cs="Times New Roman"/>
        </w:rPr>
        <w:t>The distinction between explicit and implicit policy approaches is also linked to the concept of familialism which is used to describe different types of welfare (and by extension ‘care’) regimes. After publishing his seminal work in 1990 on the “three worlds of welfare capitalism”, Esping-Andersen (1999) developed on the concepts familialistic and de-familialising welfare regimes as a way of describing the social policy function of the family. He defined these types as follows (Esping-Andersen 1999, p. 51):</w:t>
      </w:r>
    </w:p>
    <w:p w14:paraId="671F24A2" w14:textId="77777777" w:rsidR="00960ECA" w:rsidRPr="00E869A4" w:rsidRDefault="00960ECA" w:rsidP="0051234F">
      <w:pPr>
        <w:pStyle w:val="112"/>
        <w:rPr>
          <w:color w:val="auto"/>
        </w:rPr>
      </w:pPr>
    </w:p>
    <w:p w14:paraId="30CD3704" w14:textId="698E6645" w:rsidR="00960ECA" w:rsidRPr="00E869A4" w:rsidRDefault="00960ECA" w:rsidP="00960ECA">
      <w:pPr>
        <w:autoSpaceDE w:val="0"/>
        <w:autoSpaceDN w:val="0"/>
        <w:adjustRightInd w:val="0"/>
        <w:spacing w:line="240" w:lineRule="auto"/>
        <w:ind w:left="567" w:firstLine="0"/>
        <w:rPr>
          <w:rFonts w:ascii="Times New Roman" w:hAnsi="Times New Roman" w:cs="Times New Roman"/>
        </w:rPr>
      </w:pPr>
      <w:r w:rsidRPr="00E869A4">
        <w:rPr>
          <w:rFonts w:ascii="Times New Roman" w:hAnsi="Times New Roman" w:cs="Times New Roman"/>
        </w:rPr>
        <w:t xml:space="preserve">A familialistic system </w:t>
      </w:r>
      <w:r w:rsidR="00D86BBF" w:rsidRPr="00E869A4">
        <w:rPr>
          <w:rFonts w:ascii="Times New Roman" w:hAnsi="Times New Roman" w:cs="Times New Roman"/>
        </w:rPr>
        <w:t>..</w:t>
      </w:r>
      <w:r w:rsidRPr="00E869A4">
        <w:rPr>
          <w:rFonts w:ascii="Times New Roman" w:hAnsi="Times New Roman" w:cs="Times New Roman"/>
        </w:rPr>
        <w:t xml:space="preserve">. is one in which public policy assumes – indeed insists – that households must carry the principal responsibility for their members’ welfare. A de-familializing regime is one which seeks to unburden the household and diminish individuals’ welfare dependence on kinship. </w:t>
      </w:r>
    </w:p>
    <w:p w14:paraId="16F65B62" w14:textId="77777777" w:rsidR="00D86BBF" w:rsidRPr="00E869A4" w:rsidRDefault="00D86BBF" w:rsidP="00960ECA">
      <w:pPr>
        <w:autoSpaceDE w:val="0"/>
        <w:autoSpaceDN w:val="0"/>
        <w:adjustRightInd w:val="0"/>
        <w:ind w:firstLine="0"/>
        <w:rPr>
          <w:rFonts w:ascii="Times New Roman" w:hAnsi="Times New Roman" w:cs="Times New Roman"/>
        </w:rPr>
      </w:pPr>
    </w:p>
    <w:p w14:paraId="466F6B75" w14:textId="77777777" w:rsidR="00960ECA" w:rsidRPr="00E869A4" w:rsidRDefault="00960ECA" w:rsidP="00960ECA">
      <w:pPr>
        <w:autoSpaceDE w:val="0"/>
        <w:autoSpaceDN w:val="0"/>
        <w:adjustRightInd w:val="0"/>
        <w:ind w:firstLine="0"/>
        <w:rPr>
          <w:rFonts w:ascii="Times New Roman" w:hAnsi="Times New Roman" w:cs="Times New Roman"/>
        </w:rPr>
      </w:pPr>
      <w:r w:rsidRPr="00E869A4">
        <w:rPr>
          <w:rFonts w:ascii="Times New Roman" w:hAnsi="Times New Roman" w:cs="Times New Roman"/>
        </w:rPr>
        <w:lastRenderedPageBreak/>
        <w:t>Thus, according to Esping-Andersen, the purpose of care familialisation is to make a family responsible for caring for older people and/or children</w:t>
      </w:r>
      <w:r w:rsidRPr="00E869A4">
        <w:rPr>
          <w:rStyle w:val="FootnoteReference"/>
          <w:rFonts w:ascii="Times New Roman" w:hAnsi="Times New Roman" w:cs="Times New Roman"/>
        </w:rPr>
        <w:footnoteReference w:id="33"/>
      </w:r>
      <w:r w:rsidRPr="00E869A4">
        <w:rPr>
          <w:rFonts w:ascii="Times New Roman" w:hAnsi="Times New Roman" w:cs="Times New Roman"/>
        </w:rPr>
        <w:t xml:space="preserve">.  These concepts were derived from the work of feminists such as Jane Lewis’s (1992) conceptualisation of the male-breadwinner model and Ann Orloff’s (1993) ideas about gender equality and the need for people (in particular women) to be able to form independent autonomous households. However, Esping-Andersen was strongly criticised for limiting his typology to service provision and for a lack of sensitivity to the gendered nature of care. Furthermore, none of the welfare states could be unambiguously represented by the two types. </w:t>
      </w:r>
    </w:p>
    <w:p w14:paraId="3B7A4158" w14:textId="77777777" w:rsidR="00960ECA" w:rsidRPr="00E869A4" w:rsidRDefault="00960ECA" w:rsidP="00960ECA">
      <w:pPr>
        <w:autoSpaceDE w:val="0"/>
        <w:autoSpaceDN w:val="0"/>
        <w:adjustRightInd w:val="0"/>
        <w:rPr>
          <w:rFonts w:ascii="Times New Roman" w:hAnsi="Times New Roman" w:cs="Times New Roman"/>
        </w:rPr>
      </w:pPr>
    </w:p>
    <w:p w14:paraId="5C299EA4" w14:textId="513A677B" w:rsidR="00960ECA" w:rsidRPr="00E869A4" w:rsidRDefault="00960ECA" w:rsidP="00960ECA">
      <w:pPr>
        <w:autoSpaceDE w:val="0"/>
        <w:autoSpaceDN w:val="0"/>
        <w:adjustRightInd w:val="0"/>
        <w:rPr>
          <w:rFonts w:ascii="Times New Roman" w:hAnsi="Times New Roman" w:cs="Times New Roman"/>
        </w:rPr>
      </w:pPr>
      <w:r w:rsidRPr="00E869A4">
        <w:rPr>
          <w:rFonts w:ascii="Times New Roman" w:hAnsi="Times New Roman" w:cs="Times New Roman"/>
        </w:rPr>
        <w:t xml:space="preserve">Leitner (2003) provided one of the more popular revisions of Esping-Andersen’s concepts. Using data on family policy from EU member states, she expanded Esping-Andersen’s concepts to four ideal types: 1) </w:t>
      </w:r>
      <w:r w:rsidRPr="00E869A4">
        <w:rPr>
          <w:rFonts w:ascii="Times New Roman" w:hAnsi="Times New Roman" w:cs="Times New Roman"/>
          <w:i/>
        </w:rPr>
        <w:t>explicit familialism</w:t>
      </w:r>
      <w:r w:rsidRPr="00E869A4">
        <w:rPr>
          <w:rFonts w:ascii="Times New Roman" w:hAnsi="Times New Roman" w:cs="Times New Roman"/>
        </w:rPr>
        <w:t xml:space="preserve">; 2) </w:t>
      </w:r>
      <w:r w:rsidRPr="00E869A4">
        <w:rPr>
          <w:rFonts w:ascii="Times New Roman" w:hAnsi="Times New Roman" w:cs="Times New Roman"/>
          <w:i/>
        </w:rPr>
        <w:t>optional familialism</w:t>
      </w:r>
      <w:r w:rsidRPr="00E869A4">
        <w:rPr>
          <w:rFonts w:ascii="Times New Roman" w:hAnsi="Times New Roman" w:cs="Times New Roman"/>
        </w:rPr>
        <w:t xml:space="preserve">; 3) </w:t>
      </w:r>
      <w:r w:rsidRPr="00E869A4">
        <w:rPr>
          <w:rFonts w:ascii="Times New Roman" w:hAnsi="Times New Roman" w:cs="Times New Roman"/>
          <w:i/>
        </w:rPr>
        <w:t>implicit familialism</w:t>
      </w:r>
      <w:r w:rsidRPr="00E869A4">
        <w:rPr>
          <w:rFonts w:ascii="Times New Roman" w:hAnsi="Times New Roman" w:cs="Times New Roman"/>
        </w:rPr>
        <w:t xml:space="preserve">; and 4) </w:t>
      </w:r>
      <w:r w:rsidRPr="00E869A4">
        <w:rPr>
          <w:rFonts w:ascii="Times New Roman" w:hAnsi="Times New Roman" w:cs="Times New Roman"/>
          <w:i/>
        </w:rPr>
        <w:t>de-familialism</w:t>
      </w:r>
      <w:r w:rsidRPr="00E869A4">
        <w:rPr>
          <w:rFonts w:ascii="Times New Roman" w:hAnsi="Times New Roman" w:cs="Times New Roman"/>
        </w:rPr>
        <w:t xml:space="preserve"> (see Table 3 below). </w:t>
      </w:r>
      <w:r w:rsidRPr="00E869A4">
        <w:rPr>
          <w:rFonts w:ascii="Times New Roman" w:hAnsi="Times New Roman" w:cs="Times New Roman"/>
          <w:iCs/>
        </w:rPr>
        <w:t>Explicit</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is characterised by countries actively supporting the family in its caring functions (strong familialism, weak defamilialism). </w:t>
      </w:r>
      <w:r w:rsidRPr="00E869A4">
        <w:rPr>
          <w:rFonts w:ascii="Times New Roman" w:hAnsi="Times New Roman" w:cs="Times New Roman"/>
          <w:iCs/>
        </w:rPr>
        <w:t>Optional</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means that institutional structures allow the family to choose whether to provide care to its members on its own, or to get relieved by the State or market (strong familialism, strong de-familialism). </w:t>
      </w:r>
      <w:r w:rsidRPr="00E869A4">
        <w:rPr>
          <w:rFonts w:ascii="Times New Roman" w:hAnsi="Times New Roman" w:cs="Times New Roman"/>
          <w:iCs/>
        </w:rPr>
        <w:t>Implicit</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occurs when the family remains neither actively supported in its caring function nor given an option to be unburdened from caring responsibilities (weak familialism, weak de-familialism). </w:t>
      </w:r>
      <w:r w:rsidRPr="00E869A4">
        <w:rPr>
          <w:rFonts w:ascii="Times New Roman" w:hAnsi="Times New Roman" w:cs="Times New Roman"/>
          <w:iCs/>
        </w:rPr>
        <w:t>De-familialism</w:t>
      </w:r>
      <w:r w:rsidRPr="00E869A4">
        <w:rPr>
          <w:rFonts w:ascii="Times New Roman" w:hAnsi="Times New Roman" w:cs="Times New Roman"/>
        </w:rPr>
        <w:t xml:space="preserve"> is characterised by a policy approach that reduces family responsibilities or dependencies by supporting the individualisation of social rights via state-based, market-based or voluntary/third sector interventions. Thus, family carers are (partly) unburdened but the family’s right to care is not honoured (i.e. weak familialism) in that the </w:t>
      </w:r>
      <w:r w:rsidRPr="00E869A4">
        <w:rPr>
          <w:rFonts w:ascii="Times New Roman" w:eastAsia="Times New Roman" w:hAnsi="Times New Roman" w:cs="Times New Roman"/>
        </w:rPr>
        <w:t xml:space="preserve">family is not actively supported by the </w:t>
      </w:r>
      <w:r w:rsidR="00D86BBF" w:rsidRPr="00E869A4">
        <w:rPr>
          <w:rFonts w:ascii="Times New Roman" w:eastAsia="Times New Roman" w:hAnsi="Times New Roman" w:cs="Times New Roman"/>
        </w:rPr>
        <w:t>s</w:t>
      </w:r>
      <w:r w:rsidRPr="00E869A4">
        <w:rPr>
          <w:rFonts w:ascii="Times New Roman" w:eastAsia="Times New Roman" w:hAnsi="Times New Roman" w:cs="Times New Roman"/>
        </w:rPr>
        <w:t>tate in its caring function (</w:t>
      </w:r>
      <w:r w:rsidRPr="00E869A4">
        <w:t>Leitner 2003)</w:t>
      </w:r>
      <w:r w:rsidRPr="00E869A4">
        <w:rPr>
          <w:rFonts w:ascii="Times New Roman" w:hAnsi="Times New Roman" w:cs="Times New Roman"/>
        </w:rPr>
        <w:t xml:space="preserve">. In the post-world war period, the governments of Norway, Denmark, Sweden and the Netherlands primarily employed a de-familialisation elder care strategy. However, in more recent times, Sweden and the Netherlands have re-calibrated their strategy to include an increased emphasis on family responsibility given the challenges of formal care provision (Arber &amp; Timonen 2012; Plaisier, Verbeek-Oudijk &amp; de Klerk. 2017; Rodrigues, Huber &amp; Lamura 2012; Sundström et al. 2008). </w:t>
      </w:r>
    </w:p>
    <w:p w14:paraId="43B7D2F8" w14:textId="77777777" w:rsidR="00960ECA" w:rsidRPr="00E869A4" w:rsidRDefault="00960ECA" w:rsidP="00960ECA">
      <w:pPr>
        <w:autoSpaceDE w:val="0"/>
        <w:autoSpaceDN w:val="0"/>
        <w:adjustRightInd w:val="0"/>
        <w:rPr>
          <w:rFonts w:ascii="Times New Roman" w:hAnsi="Times New Roman" w:cs="Times New Roman"/>
        </w:rPr>
      </w:pPr>
    </w:p>
    <w:p w14:paraId="43145968" w14:textId="77777777" w:rsidR="00B13C11" w:rsidRPr="00E869A4" w:rsidRDefault="00B13C11" w:rsidP="00B13C11">
      <w:pPr>
        <w:pStyle w:val="Caption"/>
        <w:ind w:firstLine="0"/>
        <w:rPr>
          <w:b/>
          <w:i w:val="0"/>
          <w:sz w:val="24"/>
        </w:rPr>
      </w:pPr>
      <w:bookmarkStart w:id="163" w:name="_Toc40436602"/>
      <w:r w:rsidRPr="00E869A4">
        <w:rPr>
          <w:b/>
          <w:i w:val="0"/>
          <w:sz w:val="24"/>
        </w:rPr>
        <w:lastRenderedPageBreak/>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3</w:t>
      </w:r>
      <w:r w:rsidRPr="00E869A4">
        <w:rPr>
          <w:b/>
          <w:i w:val="0"/>
          <w:sz w:val="24"/>
        </w:rPr>
        <w:fldChar w:fldCharType="end"/>
      </w:r>
      <w:r w:rsidRPr="00E869A4">
        <w:rPr>
          <w:b/>
          <w:i w:val="0"/>
          <w:sz w:val="24"/>
        </w:rPr>
        <w:t>: Combinations of Strong/Weak Familialisation and De-Familialisation</w:t>
      </w:r>
      <w:r w:rsidRPr="00E869A4">
        <w:rPr>
          <w:i w:val="0"/>
          <w:sz w:val="20"/>
          <w:vertAlign w:val="superscript"/>
        </w:rPr>
        <w:footnoteReference w:id="34"/>
      </w:r>
      <w:bookmarkEnd w:id="163"/>
    </w:p>
    <w:p w14:paraId="7EB6BD33" w14:textId="77777777" w:rsidR="00B13C11" w:rsidRPr="00E869A4" w:rsidRDefault="00B13C11" w:rsidP="00B13C11">
      <w:pPr>
        <w:autoSpaceDE w:val="0"/>
        <w:autoSpaceDN w:val="0"/>
        <w:adjustRightInd w:val="0"/>
        <w:ind w:firstLine="0"/>
        <w:rPr>
          <w:rFonts w:ascii="Times New Roman" w:hAnsi="Times New Roman" w:cs="Times New Roman"/>
        </w:rPr>
      </w:pPr>
    </w:p>
    <w:tbl>
      <w:tblPr>
        <w:tblStyle w:val="TableGrid"/>
        <w:tblW w:w="0" w:type="auto"/>
        <w:jc w:val="center"/>
        <w:tblLook w:val="04A0" w:firstRow="1" w:lastRow="0" w:firstColumn="1" w:lastColumn="0" w:noHBand="0" w:noVBand="1"/>
      </w:tblPr>
      <w:tblGrid>
        <w:gridCol w:w="2386"/>
        <w:gridCol w:w="264"/>
        <w:gridCol w:w="2776"/>
        <w:gridCol w:w="2843"/>
      </w:tblGrid>
      <w:tr w:rsidR="00C714D3" w:rsidRPr="00E869A4" w14:paraId="4619EDDE" w14:textId="77777777" w:rsidTr="00BF7BF9">
        <w:trPr>
          <w:jc w:val="center"/>
        </w:trPr>
        <w:tc>
          <w:tcPr>
            <w:tcW w:w="2386" w:type="dxa"/>
            <w:tcBorders>
              <w:bottom w:val="single" w:sz="4" w:space="0" w:color="auto"/>
            </w:tcBorders>
          </w:tcPr>
          <w:p w14:paraId="4385463D" w14:textId="77777777" w:rsidR="00B13C11" w:rsidRPr="00E869A4" w:rsidRDefault="00B13C11" w:rsidP="00BF7BF9">
            <w:pPr>
              <w:autoSpaceDE w:val="0"/>
              <w:autoSpaceDN w:val="0"/>
              <w:adjustRightInd w:val="0"/>
              <w:ind w:firstLine="0"/>
              <w:jc w:val="center"/>
              <w:rPr>
                <w:rFonts w:ascii="Times New Roman" w:hAnsi="Times New Roman" w:cs="Times New Roman"/>
                <w:i/>
              </w:rPr>
            </w:pPr>
            <w:r w:rsidRPr="00E869A4">
              <w:rPr>
                <w:rFonts w:ascii="Times New Roman" w:hAnsi="Times New Roman" w:cs="Times New Roman"/>
                <w:i/>
              </w:rPr>
              <w:t>Familialisation</w:t>
            </w:r>
          </w:p>
        </w:tc>
        <w:tc>
          <w:tcPr>
            <w:tcW w:w="264" w:type="dxa"/>
            <w:vMerge w:val="restart"/>
            <w:shd w:val="clear" w:color="auto" w:fill="A6A6A6" w:themeFill="background1" w:themeFillShade="A6"/>
          </w:tcPr>
          <w:p w14:paraId="6AE45D9C" w14:textId="77777777" w:rsidR="00B13C11" w:rsidRPr="00E869A4" w:rsidRDefault="00B13C11" w:rsidP="00BF7BF9">
            <w:pPr>
              <w:autoSpaceDE w:val="0"/>
              <w:autoSpaceDN w:val="0"/>
              <w:adjustRightInd w:val="0"/>
              <w:ind w:right="236" w:firstLine="0"/>
              <w:rPr>
                <w:rFonts w:ascii="Times New Roman" w:hAnsi="Times New Roman" w:cs="Times New Roman"/>
              </w:rPr>
            </w:pPr>
          </w:p>
        </w:tc>
        <w:tc>
          <w:tcPr>
            <w:tcW w:w="5619" w:type="dxa"/>
            <w:gridSpan w:val="2"/>
          </w:tcPr>
          <w:p w14:paraId="55E82680" w14:textId="77777777" w:rsidR="00B13C11" w:rsidRPr="00E869A4" w:rsidRDefault="00B13C11" w:rsidP="00BF7BF9">
            <w:pPr>
              <w:autoSpaceDE w:val="0"/>
              <w:autoSpaceDN w:val="0"/>
              <w:adjustRightInd w:val="0"/>
              <w:ind w:firstLine="0"/>
              <w:jc w:val="center"/>
              <w:rPr>
                <w:rFonts w:ascii="Times New Roman" w:hAnsi="Times New Roman" w:cs="Times New Roman"/>
                <w:i/>
              </w:rPr>
            </w:pPr>
            <w:r w:rsidRPr="00E869A4">
              <w:rPr>
                <w:rFonts w:ascii="Times New Roman" w:hAnsi="Times New Roman" w:cs="Times New Roman"/>
                <w:i/>
              </w:rPr>
              <w:t>De-familialisation</w:t>
            </w:r>
          </w:p>
        </w:tc>
      </w:tr>
      <w:tr w:rsidR="00C714D3" w:rsidRPr="00E869A4" w14:paraId="3E85C210" w14:textId="77777777" w:rsidTr="00BF7BF9">
        <w:trPr>
          <w:jc w:val="center"/>
        </w:trPr>
        <w:tc>
          <w:tcPr>
            <w:tcW w:w="2386" w:type="dxa"/>
            <w:shd w:val="clear" w:color="auto" w:fill="A6A6A6" w:themeFill="background1" w:themeFillShade="A6"/>
          </w:tcPr>
          <w:p w14:paraId="6BC730AB" w14:textId="77777777" w:rsidR="00B13C11" w:rsidRPr="00E869A4" w:rsidRDefault="00B13C11" w:rsidP="00BF7BF9">
            <w:pPr>
              <w:autoSpaceDE w:val="0"/>
              <w:autoSpaceDN w:val="0"/>
              <w:adjustRightInd w:val="0"/>
              <w:ind w:right="236" w:firstLine="0"/>
              <w:rPr>
                <w:rFonts w:ascii="Times New Roman" w:hAnsi="Times New Roman" w:cs="Times New Roman"/>
              </w:rPr>
            </w:pPr>
          </w:p>
        </w:tc>
        <w:tc>
          <w:tcPr>
            <w:tcW w:w="264" w:type="dxa"/>
            <w:vMerge/>
            <w:tcBorders>
              <w:top w:val="nil"/>
            </w:tcBorders>
            <w:shd w:val="clear" w:color="auto" w:fill="A6A6A6" w:themeFill="background1" w:themeFillShade="A6"/>
          </w:tcPr>
          <w:p w14:paraId="53A2F3DA" w14:textId="77777777" w:rsidR="00B13C11" w:rsidRPr="00E869A4" w:rsidRDefault="00B13C11" w:rsidP="00BF7BF9">
            <w:pPr>
              <w:autoSpaceDE w:val="0"/>
              <w:autoSpaceDN w:val="0"/>
              <w:adjustRightInd w:val="0"/>
              <w:ind w:right="236" w:firstLine="0"/>
              <w:rPr>
                <w:rFonts w:ascii="Times New Roman" w:hAnsi="Times New Roman" w:cs="Times New Roman"/>
              </w:rPr>
            </w:pPr>
          </w:p>
        </w:tc>
        <w:tc>
          <w:tcPr>
            <w:tcW w:w="2776" w:type="dxa"/>
          </w:tcPr>
          <w:p w14:paraId="2D71C30B" w14:textId="77777777" w:rsidR="00B13C11" w:rsidRPr="00E869A4" w:rsidRDefault="00B13C11" w:rsidP="00BF7BF9">
            <w:pPr>
              <w:autoSpaceDE w:val="0"/>
              <w:autoSpaceDN w:val="0"/>
              <w:adjustRightInd w:val="0"/>
              <w:ind w:firstLine="0"/>
              <w:jc w:val="center"/>
              <w:rPr>
                <w:rFonts w:ascii="Times New Roman" w:hAnsi="Times New Roman" w:cs="Times New Roman"/>
                <w:b/>
              </w:rPr>
            </w:pPr>
            <w:r w:rsidRPr="00E869A4">
              <w:rPr>
                <w:rFonts w:ascii="Times New Roman" w:hAnsi="Times New Roman" w:cs="Times New Roman"/>
                <w:b/>
              </w:rPr>
              <w:t>Strong</w:t>
            </w:r>
          </w:p>
        </w:tc>
        <w:tc>
          <w:tcPr>
            <w:tcW w:w="2843" w:type="dxa"/>
          </w:tcPr>
          <w:p w14:paraId="00545677" w14:textId="77777777" w:rsidR="00B13C11" w:rsidRPr="00E869A4" w:rsidRDefault="00B13C11" w:rsidP="00BF7BF9">
            <w:pPr>
              <w:autoSpaceDE w:val="0"/>
              <w:autoSpaceDN w:val="0"/>
              <w:adjustRightInd w:val="0"/>
              <w:ind w:firstLine="0"/>
              <w:jc w:val="center"/>
              <w:rPr>
                <w:rFonts w:ascii="Times New Roman" w:hAnsi="Times New Roman" w:cs="Times New Roman"/>
                <w:b/>
              </w:rPr>
            </w:pPr>
            <w:r w:rsidRPr="00E869A4">
              <w:rPr>
                <w:rFonts w:ascii="Times New Roman" w:hAnsi="Times New Roman" w:cs="Times New Roman"/>
                <w:b/>
              </w:rPr>
              <w:t>Weak</w:t>
            </w:r>
          </w:p>
        </w:tc>
      </w:tr>
      <w:tr w:rsidR="00C714D3" w:rsidRPr="00E869A4" w14:paraId="719FC94D" w14:textId="77777777" w:rsidTr="00BF7BF9">
        <w:trPr>
          <w:jc w:val="center"/>
        </w:trPr>
        <w:tc>
          <w:tcPr>
            <w:tcW w:w="2386" w:type="dxa"/>
          </w:tcPr>
          <w:p w14:paraId="2C72A772" w14:textId="77777777" w:rsidR="00B13C11" w:rsidRPr="00E869A4" w:rsidRDefault="00B13C11" w:rsidP="00BF7BF9">
            <w:pPr>
              <w:autoSpaceDE w:val="0"/>
              <w:autoSpaceDN w:val="0"/>
              <w:adjustRightInd w:val="0"/>
              <w:ind w:firstLine="0"/>
              <w:jc w:val="center"/>
              <w:rPr>
                <w:rFonts w:ascii="Times New Roman" w:hAnsi="Times New Roman" w:cs="Times New Roman"/>
                <w:b/>
              </w:rPr>
            </w:pPr>
            <w:r w:rsidRPr="00E869A4">
              <w:rPr>
                <w:rFonts w:ascii="Times New Roman" w:hAnsi="Times New Roman" w:cs="Times New Roman"/>
                <w:b/>
              </w:rPr>
              <w:t>Strong</w:t>
            </w:r>
          </w:p>
        </w:tc>
        <w:tc>
          <w:tcPr>
            <w:tcW w:w="264" w:type="dxa"/>
            <w:vMerge/>
            <w:tcBorders>
              <w:top w:val="nil"/>
            </w:tcBorders>
            <w:shd w:val="clear" w:color="auto" w:fill="A6A6A6" w:themeFill="background1" w:themeFillShade="A6"/>
          </w:tcPr>
          <w:p w14:paraId="458E9B27" w14:textId="77777777" w:rsidR="00B13C11" w:rsidRPr="00E869A4" w:rsidRDefault="00B13C11" w:rsidP="00BF7BF9">
            <w:pPr>
              <w:autoSpaceDE w:val="0"/>
              <w:autoSpaceDN w:val="0"/>
              <w:adjustRightInd w:val="0"/>
              <w:ind w:firstLine="0"/>
              <w:rPr>
                <w:rFonts w:ascii="Times New Roman" w:hAnsi="Times New Roman" w:cs="Times New Roman"/>
              </w:rPr>
            </w:pPr>
          </w:p>
        </w:tc>
        <w:tc>
          <w:tcPr>
            <w:tcW w:w="2776" w:type="dxa"/>
          </w:tcPr>
          <w:p w14:paraId="0AE2FFBD" w14:textId="77777777" w:rsidR="00B13C11" w:rsidRPr="00E869A4" w:rsidRDefault="00B13C11" w:rsidP="00BF7BF9">
            <w:pPr>
              <w:autoSpaceDE w:val="0"/>
              <w:autoSpaceDN w:val="0"/>
              <w:adjustRightInd w:val="0"/>
              <w:ind w:firstLine="0"/>
              <w:jc w:val="center"/>
              <w:rPr>
                <w:rFonts w:ascii="Times New Roman" w:hAnsi="Times New Roman" w:cs="Times New Roman"/>
              </w:rPr>
            </w:pPr>
            <w:r w:rsidRPr="00E869A4">
              <w:rPr>
                <w:rFonts w:ascii="Times New Roman" w:hAnsi="Times New Roman" w:cs="Times New Roman"/>
              </w:rPr>
              <w:t>Optional-familalism</w:t>
            </w:r>
          </w:p>
        </w:tc>
        <w:tc>
          <w:tcPr>
            <w:tcW w:w="2843" w:type="dxa"/>
          </w:tcPr>
          <w:p w14:paraId="41799D99" w14:textId="77777777" w:rsidR="00B13C11" w:rsidRPr="00E869A4" w:rsidRDefault="00B13C11" w:rsidP="00BF7BF9">
            <w:pPr>
              <w:autoSpaceDE w:val="0"/>
              <w:autoSpaceDN w:val="0"/>
              <w:adjustRightInd w:val="0"/>
              <w:ind w:firstLine="0"/>
              <w:jc w:val="center"/>
              <w:rPr>
                <w:rFonts w:ascii="Times New Roman" w:hAnsi="Times New Roman" w:cs="Times New Roman"/>
              </w:rPr>
            </w:pPr>
            <w:r w:rsidRPr="00E869A4">
              <w:rPr>
                <w:rFonts w:ascii="Times New Roman" w:hAnsi="Times New Roman" w:cs="Times New Roman"/>
              </w:rPr>
              <w:t>Explicit familalism</w:t>
            </w:r>
          </w:p>
        </w:tc>
      </w:tr>
      <w:tr w:rsidR="00C714D3" w:rsidRPr="00E869A4" w14:paraId="2620B515" w14:textId="77777777" w:rsidTr="00BF7BF9">
        <w:trPr>
          <w:jc w:val="center"/>
        </w:trPr>
        <w:tc>
          <w:tcPr>
            <w:tcW w:w="2386" w:type="dxa"/>
          </w:tcPr>
          <w:p w14:paraId="19FA7D32" w14:textId="77777777" w:rsidR="00B13C11" w:rsidRPr="00E869A4" w:rsidRDefault="00B13C11" w:rsidP="00BF7BF9">
            <w:pPr>
              <w:autoSpaceDE w:val="0"/>
              <w:autoSpaceDN w:val="0"/>
              <w:adjustRightInd w:val="0"/>
              <w:ind w:firstLine="0"/>
              <w:jc w:val="center"/>
              <w:rPr>
                <w:rFonts w:ascii="Times New Roman" w:hAnsi="Times New Roman" w:cs="Times New Roman"/>
                <w:b/>
              </w:rPr>
            </w:pPr>
            <w:r w:rsidRPr="00E869A4">
              <w:rPr>
                <w:rFonts w:ascii="Times New Roman" w:hAnsi="Times New Roman" w:cs="Times New Roman"/>
                <w:b/>
              </w:rPr>
              <w:t>Weak</w:t>
            </w:r>
          </w:p>
        </w:tc>
        <w:tc>
          <w:tcPr>
            <w:tcW w:w="264" w:type="dxa"/>
            <w:vMerge/>
            <w:tcBorders>
              <w:top w:val="nil"/>
            </w:tcBorders>
            <w:shd w:val="clear" w:color="auto" w:fill="A6A6A6" w:themeFill="background1" w:themeFillShade="A6"/>
          </w:tcPr>
          <w:p w14:paraId="39A1A222" w14:textId="77777777" w:rsidR="00B13C11" w:rsidRPr="00E869A4" w:rsidRDefault="00B13C11" w:rsidP="00BF7BF9">
            <w:pPr>
              <w:autoSpaceDE w:val="0"/>
              <w:autoSpaceDN w:val="0"/>
              <w:adjustRightInd w:val="0"/>
              <w:ind w:firstLine="0"/>
              <w:rPr>
                <w:rFonts w:ascii="Times New Roman" w:hAnsi="Times New Roman" w:cs="Times New Roman"/>
              </w:rPr>
            </w:pPr>
          </w:p>
        </w:tc>
        <w:tc>
          <w:tcPr>
            <w:tcW w:w="2776" w:type="dxa"/>
          </w:tcPr>
          <w:p w14:paraId="08D5CA52" w14:textId="77777777" w:rsidR="00B13C11" w:rsidRPr="00E869A4" w:rsidRDefault="00B13C11" w:rsidP="00BF7BF9">
            <w:pPr>
              <w:autoSpaceDE w:val="0"/>
              <w:autoSpaceDN w:val="0"/>
              <w:adjustRightInd w:val="0"/>
              <w:ind w:firstLine="0"/>
              <w:jc w:val="center"/>
              <w:rPr>
                <w:rFonts w:ascii="Times New Roman" w:hAnsi="Times New Roman" w:cs="Times New Roman"/>
              </w:rPr>
            </w:pPr>
            <w:r w:rsidRPr="00E869A4">
              <w:rPr>
                <w:rFonts w:ascii="Times New Roman" w:hAnsi="Times New Roman" w:cs="Times New Roman"/>
              </w:rPr>
              <w:t>De-familalism</w:t>
            </w:r>
          </w:p>
        </w:tc>
        <w:tc>
          <w:tcPr>
            <w:tcW w:w="2843" w:type="dxa"/>
          </w:tcPr>
          <w:p w14:paraId="0CBF68B6" w14:textId="77777777" w:rsidR="00B13C11" w:rsidRPr="00E869A4" w:rsidRDefault="00B13C11" w:rsidP="00BF7BF9">
            <w:pPr>
              <w:autoSpaceDE w:val="0"/>
              <w:autoSpaceDN w:val="0"/>
              <w:adjustRightInd w:val="0"/>
              <w:ind w:firstLine="0"/>
              <w:jc w:val="center"/>
              <w:rPr>
                <w:rFonts w:ascii="Times New Roman" w:hAnsi="Times New Roman" w:cs="Times New Roman"/>
              </w:rPr>
            </w:pPr>
            <w:r w:rsidRPr="00E869A4">
              <w:rPr>
                <w:rFonts w:ascii="Times New Roman" w:hAnsi="Times New Roman" w:cs="Times New Roman"/>
              </w:rPr>
              <w:t>Implicit familalism</w:t>
            </w:r>
          </w:p>
        </w:tc>
      </w:tr>
    </w:tbl>
    <w:p w14:paraId="4FCFAB7D" w14:textId="77777777" w:rsidR="00B13C11" w:rsidRPr="00E869A4" w:rsidRDefault="00B13C11" w:rsidP="00B13C11">
      <w:pPr>
        <w:autoSpaceDE w:val="0"/>
        <w:autoSpaceDN w:val="0"/>
        <w:adjustRightInd w:val="0"/>
        <w:ind w:firstLine="0"/>
        <w:rPr>
          <w:rFonts w:ascii="Times New Roman" w:hAnsi="Times New Roman" w:cs="Times New Roman"/>
        </w:rPr>
      </w:pPr>
    </w:p>
    <w:p w14:paraId="7E254251" w14:textId="77777777" w:rsidR="00960ECA" w:rsidRPr="00E869A4" w:rsidRDefault="00960ECA" w:rsidP="00960ECA">
      <w:pPr>
        <w:autoSpaceDE w:val="0"/>
        <w:autoSpaceDN w:val="0"/>
        <w:adjustRightInd w:val="0"/>
        <w:rPr>
          <w:rFonts w:ascii="Times New Roman" w:hAnsi="Times New Roman" w:cs="Times New Roman"/>
        </w:rPr>
      </w:pPr>
      <w:r w:rsidRPr="00E869A4">
        <w:rPr>
          <w:rFonts w:ascii="Times New Roman" w:hAnsi="Times New Roman" w:cs="Times New Roman"/>
        </w:rPr>
        <w:t xml:space="preserve">Saraceno and Keck (2010) developed on the work of Leitner (2003) and also identified four different types of policy regimes for families along the familialism/de-familialisation continuum: 1) </w:t>
      </w:r>
      <w:r w:rsidRPr="00E869A4">
        <w:rPr>
          <w:rFonts w:ascii="Times New Roman" w:hAnsi="Times New Roman" w:cs="Times New Roman"/>
          <w:iCs/>
        </w:rPr>
        <w:t>familialism</w:t>
      </w:r>
      <w:r w:rsidRPr="00E869A4">
        <w:rPr>
          <w:rFonts w:ascii="Times New Roman" w:hAnsi="Times New Roman" w:cs="Times New Roman"/>
          <w:i/>
        </w:rPr>
        <w:t xml:space="preserve"> </w:t>
      </w:r>
      <w:r w:rsidRPr="00E869A4">
        <w:rPr>
          <w:rFonts w:ascii="Times New Roman" w:hAnsi="Times New Roman" w:cs="Times New Roman"/>
          <w:iCs/>
        </w:rPr>
        <w:t>by</w:t>
      </w:r>
      <w:r w:rsidRPr="00E869A4">
        <w:rPr>
          <w:rFonts w:ascii="Times New Roman" w:hAnsi="Times New Roman" w:cs="Times New Roman"/>
          <w:i/>
        </w:rPr>
        <w:t xml:space="preserve"> </w:t>
      </w:r>
      <w:r w:rsidRPr="00E869A4">
        <w:rPr>
          <w:rFonts w:ascii="Times New Roman" w:hAnsi="Times New Roman" w:cs="Times New Roman"/>
          <w:iCs/>
        </w:rPr>
        <w:t>default</w:t>
      </w:r>
      <w:r w:rsidRPr="00E869A4">
        <w:rPr>
          <w:rFonts w:ascii="Times New Roman" w:hAnsi="Times New Roman" w:cs="Times New Roman"/>
        </w:rPr>
        <w:t xml:space="preserve">; 2) </w:t>
      </w:r>
      <w:r w:rsidRPr="00E869A4">
        <w:rPr>
          <w:rFonts w:ascii="Times New Roman" w:hAnsi="Times New Roman" w:cs="Times New Roman"/>
          <w:iCs/>
        </w:rPr>
        <w:t>supported</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3) </w:t>
      </w:r>
      <w:r w:rsidRPr="00E869A4">
        <w:rPr>
          <w:rFonts w:ascii="Times New Roman" w:hAnsi="Times New Roman" w:cs="Times New Roman"/>
          <w:iCs/>
        </w:rPr>
        <w:t>de</w:t>
      </w:r>
      <w:r w:rsidRPr="00E869A4">
        <w:rPr>
          <w:rFonts w:ascii="Times New Roman" w:hAnsi="Times New Roman" w:cs="Times New Roman"/>
          <w:i/>
        </w:rPr>
        <w:t>-</w:t>
      </w:r>
      <w:r w:rsidRPr="00E869A4">
        <w:rPr>
          <w:rFonts w:ascii="Times New Roman" w:hAnsi="Times New Roman" w:cs="Times New Roman"/>
          <w:iCs/>
        </w:rPr>
        <w:t>familialisation</w:t>
      </w:r>
      <w:r w:rsidRPr="00E869A4">
        <w:rPr>
          <w:rFonts w:ascii="Times New Roman" w:hAnsi="Times New Roman" w:cs="Times New Roman"/>
        </w:rPr>
        <w:t xml:space="preserve">; and 4) a ‘rare’ situation in which policy supports both familialism and de-familialisation i.e. </w:t>
      </w:r>
      <w:r w:rsidRPr="00E869A4">
        <w:rPr>
          <w:rFonts w:ascii="Times New Roman" w:hAnsi="Times New Roman" w:cs="Times New Roman"/>
          <w:iCs/>
        </w:rPr>
        <w:t>optional</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w:t>
      </w:r>
      <w:r w:rsidRPr="00E869A4">
        <w:rPr>
          <w:rFonts w:ascii="Times New Roman" w:hAnsi="Times New Roman" w:cs="Times New Roman"/>
          <w:i/>
        </w:rPr>
        <w:t>Familialism by default</w:t>
      </w:r>
      <w:r w:rsidRPr="00E869A4">
        <w:rPr>
          <w:rFonts w:ascii="Times New Roman" w:hAnsi="Times New Roman" w:cs="Times New Roman"/>
        </w:rPr>
        <w:t xml:space="preserve"> or “</w:t>
      </w:r>
      <w:r w:rsidRPr="00E869A4">
        <w:rPr>
          <w:rFonts w:ascii="Times New Roman" w:hAnsi="Times New Roman" w:cs="Times New Roman"/>
          <w:i/>
        </w:rPr>
        <w:t>unsupported familialism</w:t>
      </w:r>
      <w:r w:rsidRPr="00E869A4">
        <w:rPr>
          <w:rFonts w:ascii="Times New Roman" w:hAnsi="Times New Roman" w:cs="Times New Roman"/>
        </w:rPr>
        <w:t xml:space="preserve">” refers to situations where there are neither publicly provided alternatives to, nor financial support for family care. This dimension can be implicit, but also explicit. </w:t>
      </w:r>
      <w:r w:rsidRPr="00E869A4">
        <w:rPr>
          <w:rFonts w:ascii="Times New Roman" w:hAnsi="Times New Roman" w:cs="Times New Roman"/>
          <w:i/>
        </w:rPr>
        <w:t>Supported familialism</w:t>
      </w:r>
      <w:r w:rsidRPr="00E869A4">
        <w:rPr>
          <w:rFonts w:ascii="Times New Roman" w:hAnsi="Times New Roman" w:cs="Times New Roman"/>
        </w:rPr>
        <w:t xml:space="preserve"> is evidenced by policies that support specific family members in maintaining their care responsibilities, usually through financial transfers such as taxation and paid leave. They adopted Leitner’s (2003) conceptualisation of the de-familialisation concept. </w:t>
      </w:r>
    </w:p>
    <w:p w14:paraId="766E0F8A" w14:textId="77777777" w:rsidR="00960ECA" w:rsidRPr="00E869A4" w:rsidRDefault="00960ECA" w:rsidP="00960ECA">
      <w:pPr>
        <w:autoSpaceDE w:val="0"/>
        <w:autoSpaceDN w:val="0"/>
        <w:adjustRightInd w:val="0"/>
        <w:rPr>
          <w:rFonts w:ascii="Times New Roman" w:hAnsi="Times New Roman" w:cs="Times New Roman"/>
        </w:rPr>
      </w:pPr>
    </w:p>
    <w:p w14:paraId="7757138C" w14:textId="77777777" w:rsidR="00960ECA" w:rsidRPr="00E869A4" w:rsidRDefault="00960ECA" w:rsidP="00960ECA">
      <w:pPr>
        <w:autoSpaceDE w:val="0"/>
        <w:autoSpaceDN w:val="0"/>
        <w:adjustRightInd w:val="0"/>
        <w:rPr>
          <w:rFonts w:ascii="Times New Roman" w:hAnsi="Times New Roman" w:cs="Times New Roman"/>
        </w:rPr>
      </w:pPr>
      <w:r w:rsidRPr="00E869A4">
        <w:rPr>
          <w:rFonts w:ascii="Times New Roman" w:hAnsi="Times New Roman" w:cs="Times New Roman"/>
        </w:rPr>
        <w:t>Leitner’s (2003) and Saraceno and Keck’s (2010) empirical application of the aforementioned framework to a study of care policies of European countries, revealed that, as with Esping-Andersen’s clusters, Scandinavian countries were familialistic (</w:t>
      </w:r>
      <w:r w:rsidRPr="00E869A4">
        <w:rPr>
          <w:rFonts w:ascii="Times New Roman" w:hAnsi="Times New Roman" w:cs="Times New Roman"/>
          <w:iCs/>
        </w:rPr>
        <w:t>optional</w:t>
      </w:r>
      <w:r w:rsidRPr="00E869A4">
        <w:rPr>
          <w:rFonts w:ascii="Times New Roman" w:hAnsi="Times New Roman" w:cs="Times New Roman"/>
        </w:rPr>
        <w:t xml:space="preserve"> </w:t>
      </w:r>
      <w:r w:rsidRPr="00E869A4">
        <w:rPr>
          <w:rFonts w:ascii="Times New Roman" w:hAnsi="Times New Roman" w:cs="Times New Roman"/>
          <w:iCs/>
        </w:rPr>
        <w:t>familialism</w:t>
      </w:r>
      <w:r w:rsidRPr="00E869A4">
        <w:rPr>
          <w:rFonts w:ascii="Times New Roman" w:hAnsi="Times New Roman" w:cs="Times New Roman"/>
        </w:rPr>
        <w:t xml:space="preserve">). The conservative countries (Austria, Belgium, France, Germany and Luxembourg) showed </w:t>
      </w:r>
      <w:r w:rsidRPr="00E869A4">
        <w:rPr>
          <w:rFonts w:ascii="Times New Roman" w:hAnsi="Times New Roman" w:cs="Times New Roman"/>
          <w:iCs/>
        </w:rPr>
        <w:t>explicit</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while the Southern European nations had policies that were more consistent with </w:t>
      </w:r>
      <w:r w:rsidRPr="00E869A4">
        <w:rPr>
          <w:rFonts w:ascii="Times New Roman" w:hAnsi="Times New Roman" w:cs="Times New Roman"/>
          <w:iCs/>
        </w:rPr>
        <w:t>implicit</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Filial obligation norms usually received strong support in familialistic welfare States (Arber &amp; Timonen 2012). They also observed that some countries displayed different types of familialism. Italy for example had childcare policies that were consistent with </w:t>
      </w:r>
      <w:r w:rsidRPr="00E869A4">
        <w:rPr>
          <w:rFonts w:ascii="Times New Roman" w:hAnsi="Times New Roman" w:cs="Times New Roman"/>
          <w:iCs/>
        </w:rPr>
        <w:t>explicit</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but elder care policies that were </w:t>
      </w:r>
      <w:r w:rsidRPr="00E869A4">
        <w:rPr>
          <w:rFonts w:ascii="Times New Roman" w:hAnsi="Times New Roman" w:cs="Times New Roman"/>
          <w:iCs/>
        </w:rPr>
        <w:t>implicit</w:t>
      </w:r>
      <w:r w:rsidRPr="00E869A4">
        <w:rPr>
          <w:rFonts w:ascii="Times New Roman" w:hAnsi="Times New Roman" w:cs="Times New Roman"/>
        </w:rPr>
        <w:t xml:space="preserve">. The reverse was true for the Netherlands. Belgium and France had </w:t>
      </w:r>
      <w:r w:rsidRPr="00E869A4">
        <w:rPr>
          <w:rFonts w:ascii="Times New Roman" w:hAnsi="Times New Roman" w:cs="Times New Roman"/>
          <w:iCs/>
        </w:rPr>
        <w:t>optional</w:t>
      </w:r>
      <w:r w:rsidRPr="00E869A4">
        <w:rPr>
          <w:rFonts w:ascii="Times New Roman" w:hAnsi="Times New Roman" w:cs="Times New Roman"/>
          <w:i/>
        </w:rPr>
        <w:t xml:space="preserve"> </w:t>
      </w:r>
      <w:r w:rsidRPr="00E869A4">
        <w:rPr>
          <w:rFonts w:ascii="Times New Roman" w:hAnsi="Times New Roman" w:cs="Times New Roman"/>
          <w:iCs/>
        </w:rPr>
        <w:t>familalism</w:t>
      </w:r>
      <w:r w:rsidRPr="00E869A4">
        <w:rPr>
          <w:rFonts w:ascii="Times New Roman" w:hAnsi="Times New Roman" w:cs="Times New Roman"/>
        </w:rPr>
        <w:t xml:space="preserve"> for child care but </w:t>
      </w:r>
      <w:r w:rsidRPr="00E869A4">
        <w:rPr>
          <w:rFonts w:ascii="Times New Roman" w:hAnsi="Times New Roman" w:cs="Times New Roman"/>
          <w:iCs/>
        </w:rPr>
        <w:t>explicit</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for eldercare. Ireland and the UK displayed </w:t>
      </w:r>
      <w:r w:rsidRPr="00E869A4">
        <w:rPr>
          <w:rFonts w:ascii="Times New Roman" w:hAnsi="Times New Roman" w:cs="Times New Roman"/>
          <w:iCs/>
        </w:rPr>
        <w:t>de-familialism</w:t>
      </w:r>
      <w:r w:rsidRPr="00E869A4">
        <w:rPr>
          <w:rFonts w:ascii="Times New Roman" w:hAnsi="Times New Roman" w:cs="Times New Roman"/>
        </w:rPr>
        <w:t xml:space="preserve"> in child care and </w:t>
      </w:r>
      <w:r w:rsidRPr="00E869A4">
        <w:rPr>
          <w:rFonts w:ascii="Times New Roman" w:hAnsi="Times New Roman" w:cs="Times New Roman"/>
          <w:iCs/>
        </w:rPr>
        <w:t>explicit</w:t>
      </w:r>
      <w:r w:rsidRPr="00E869A4">
        <w:rPr>
          <w:rFonts w:ascii="Times New Roman" w:hAnsi="Times New Roman" w:cs="Times New Roman"/>
          <w:i/>
        </w:rPr>
        <w:t xml:space="preserve"> </w:t>
      </w:r>
      <w:r w:rsidRPr="00E869A4">
        <w:rPr>
          <w:rFonts w:ascii="Times New Roman" w:hAnsi="Times New Roman" w:cs="Times New Roman"/>
          <w:iCs/>
        </w:rPr>
        <w:t>familialism</w:t>
      </w:r>
      <w:r w:rsidRPr="00E869A4">
        <w:rPr>
          <w:rFonts w:ascii="Times New Roman" w:hAnsi="Times New Roman" w:cs="Times New Roman"/>
        </w:rPr>
        <w:t xml:space="preserve"> in eldercare. Norway was characterised by </w:t>
      </w:r>
      <w:r w:rsidRPr="00E869A4">
        <w:rPr>
          <w:rFonts w:ascii="Times New Roman" w:hAnsi="Times New Roman" w:cs="Times New Roman"/>
          <w:iCs/>
        </w:rPr>
        <w:t>de</w:t>
      </w:r>
      <w:r w:rsidRPr="00E869A4">
        <w:rPr>
          <w:rFonts w:ascii="Times New Roman" w:hAnsi="Times New Roman" w:cs="Times New Roman"/>
          <w:i/>
        </w:rPr>
        <w:t>-</w:t>
      </w:r>
      <w:r w:rsidRPr="00E869A4">
        <w:rPr>
          <w:rFonts w:ascii="Times New Roman" w:hAnsi="Times New Roman" w:cs="Times New Roman"/>
          <w:iCs/>
        </w:rPr>
        <w:t>familialisation</w:t>
      </w:r>
      <w:r w:rsidRPr="00E869A4">
        <w:rPr>
          <w:rFonts w:ascii="Times New Roman" w:hAnsi="Times New Roman" w:cs="Times New Roman"/>
        </w:rPr>
        <w:t xml:space="preserve"> in elder care but a mix of </w:t>
      </w:r>
      <w:r w:rsidRPr="00E869A4">
        <w:rPr>
          <w:rFonts w:ascii="Times New Roman" w:hAnsi="Times New Roman" w:cs="Times New Roman"/>
          <w:iCs/>
        </w:rPr>
        <w:t>optional</w:t>
      </w:r>
      <w:r w:rsidRPr="00E869A4">
        <w:rPr>
          <w:rFonts w:ascii="Times New Roman" w:hAnsi="Times New Roman" w:cs="Times New Roman"/>
        </w:rPr>
        <w:t xml:space="preserve"> and </w:t>
      </w:r>
      <w:r w:rsidRPr="00E869A4">
        <w:rPr>
          <w:rFonts w:ascii="Times New Roman" w:hAnsi="Times New Roman" w:cs="Times New Roman"/>
          <w:iCs/>
        </w:rPr>
        <w:t>supported</w:t>
      </w:r>
      <w:r w:rsidRPr="00E869A4">
        <w:rPr>
          <w:rFonts w:ascii="Times New Roman" w:hAnsi="Times New Roman" w:cs="Times New Roman"/>
          <w:i/>
        </w:rPr>
        <w:t xml:space="preserve"> </w:t>
      </w:r>
      <w:r w:rsidRPr="00E869A4">
        <w:rPr>
          <w:rFonts w:ascii="Times New Roman" w:hAnsi="Times New Roman" w:cs="Times New Roman"/>
          <w:iCs/>
        </w:rPr>
        <w:t>familalism</w:t>
      </w:r>
      <w:r w:rsidRPr="00E869A4">
        <w:rPr>
          <w:rFonts w:ascii="Times New Roman" w:hAnsi="Times New Roman" w:cs="Times New Roman"/>
        </w:rPr>
        <w:t xml:space="preserve"> for children. </w:t>
      </w:r>
    </w:p>
    <w:p w14:paraId="6295C9C8" w14:textId="77777777" w:rsidR="00960ECA" w:rsidRPr="00E869A4" w:rsidRDefault="00960ECA" w:rsidP="00960ECA">
      <w:pPr>
        <w:autoSpaceDE w:val="0"/>
        <w:autoSpaceDN w:val="0"/>
        <w:adjustRightInd w:val="0"/>
        <w:rPr>
          <w:rFonts w:ascii="Times New Roman" w:hAnsi="Times New Roman" w:cs="Times New Roman"/>
        </w:rPr>
      </w:pPr>
    </w:p>
    <w:p w14:paraId="276AFB76" w14:textId="48A0C32F" w:rsidR="00960ECA" w:rsidRPr="00E869A4" w:rsidRDefault="00960ECA" w:rsidP="00960ECA">
      <w:pPr>
        <w:autoSpaceDE w:val="0"/>
        <w:autoSpaceDN w:val="0"/>
        <w:adjustRightInd w:val="0"/>
        <w:rPr>
          <w:rFonts w:ascii="Times New Roman" w:hAnsi="Times New Roman" w:cs="Times New Roman"/>
        </w:rPr>
      </w:pPr>
      <w:r w:rsidRPr="00E869A4">
        <w:rPr>
          <w:rFonts w:ascii="Times New Roman" w:hAnsi="Times New Roman" w:cs="Times New Roman"/>
        </w:rPr>
        <w:lastRenderedPageBreak/>
        <w:t xml:space="preserve">Leitner also elaborated on how the varieties of familialism may differ according to the dimension of gender (in)equality. She distinguished between a gendered model of familialism which is connected to the male breadwinner/female homemaker ideology, and a de-gendered model of familialism which enables gender equality in family care. She observed that many familialistic care policies regulated gender relations by automatically enforcing traditional gender roles as a key feature of their strategy, to maintain and strengthen the family’s caring function. Such policies strengthened the caring role of women, and reinforced the gendered division of family care. However, she opined that familialistic policies did not have to maintain these gendered positions. Rather, a gendered or de-gendered variant of familial policies could be formulated, in which incentives could be incorporated into policies that promote equal terms for male and female members. Such approaches would be consistent with explicit and optional familialism.  </w:t>
      </w:r>
    </w:p>
    <w:p w14:paraId="48CA0BAC" w14:textId="77777777" w:rsidR="00B13C11" w:rsidRPr="00E869A4" w:rsidRDefault="00B13C11" w:rsidP="00960ECA">
      <w:pPr>
        <w:autoSpaceDE w:val="0"/>
        <w:autoSpaceDN w:val="0"/>
        <w:adjustRightInd w:val="0"/>
        <w:rPr>
          <w:rFonts w:ascii="Times New Roman" w:hAnsi="Times New Roman" w:cs="Times New Roman"/>
        </w:rPr>
      </w:pPr>
    </w:p>
    <w:p w14:paraId="48962CAC" w14:textId="5A6CB252" w:rsidR="00960ECA" w:rsidRPr="00E869A4" w:rsidRDefault="00960ECA" w:rsidP="00B13C11">
      <w:pPr>
        <w:autoSpaceDE w:val="0"/>
        <w:autoSpaceDN w:val="0"/>
        <w:adjustRightInd w:val="0"/>
        <w:rPr>
          <w:rFonts w:ascii="Times New Roman" w:hAnsi="Times New Roman" w:cs="Times New Roman"/>
        </w:rPr>
      </w:pPr>
      <w:r w:rsidRPr="00E869A4">
        <w:rPr>
          <w:rFonts w:ascii="Times New Roman" w:hAnsi="Times New Roman" w:cs="Times New Roman"/>
        </w:rPr>
        <w:t>While Leitner’s expanded typology was primarily developed from the perspective of family caregivers, she acknowledged the importance of considering issues of dependence of care recipients within the original framework. More specifically, she argued that familialistic regimes, while obliging and enabling families to provide care, tended to enforce dependence on the family by those who need care. De-familialisation on the other hand, reduced the individual’s dependence in relation to the family. She proposed that her expanded typology could be used to describe and/or assess the: 1) intentions of care policies that are expressed by political parties or the government; 2) empirical effects of care policies on care arrangements; and, 3) structural implications of care policies.</w:t>
      </w:r>
    </w:p>
    <w:p w14:paraId="1701E23C" w14:textId="77777777" w:rsidR="00D86BBF" w:rsidRPr="00E869A4" w:rsidRDefault="00D86BBF" w:rsidP="00B13C11">
      <w:pPr>
        <w:autoSpaceDE w:val="0"/>
        <w:autoSpaceDN w:val="0"/>
        <w:adjustRightInd w:val="0"/>
        <w:rPr>
          <w:b/>
          <w:iCs/>
        </w:rPr>
      </w:pPr>
    </w:p>
    <w:p w14:paraId="088F3AD1" w14:textId="77777777" w:rsidR="00960ECA" w:rsidRPr="00E869A4" w:rsidRDefault="00960ECA" w:rsidP="00960ECA">
      <w:pPr>
        <w:autoSpaceDE w:val="0"/>
        <w:autoSpaceDN w:val="0"/>
        <w:adjustRightInd w:val="0"/>
        <w:rPr>
          <w:rFonts w:ascii="Times New Roman" w:hAnsi="Times New Roman" w:cs="Times New Roman"/>
        </w:rPr>
      </w:pPr>
      <w:r w:rsidRPr="00E869A4">
        <w:rPr>
          <w:rFonts w:ascii="Times New Roman" w:hAnsi="Times New Roman" w:cs="Times New Roman"/>
        </w:rPr>
        <w:t>Michoń (2008) developed further on Leitner’s and Esping-Andersen’s typologies. Rather than using the terms ‘</w:t>
      </w:r>
      <w:r w:rsidRPr="00E869A4">
        <w:rPr>
          <w:rFonts w:ascii="Times New Roman" w:hAnsi="Times New Roman" w:cs="Times New Roman"/>
          <w:iCs/>
        </w:rPr>
        <w:t>implicit’</w:t>
      </w:r>
      <w:r w:rsidRPr="00E869A4">
        <w:rPr>
          <w:rFonts w:ascii="Times New Roman" w:hAnsi="Times New Roman" w:cs="Times New Roman"/>
        </w:rPr>
        <w:t xml:space="preserve"> and ‘</w:t>
      </w:r>
      <w:r w:rsidRPr="00E869A4">
        <w:rPr>
          <w:rFonts w:ascii="Times New Roman" w:hAnsi="Times New Roman" w:cs="Times New Roman"/>
          <w:iCs/>
        </w:rPr>
        <w:t>explicit</w:t>
      </w:r>
      <w:r w:rsidRPr="00E869A4">
        <w:rPr>
          <w:rFonts w:ascii="Times New Roman" w:hAnsi="Times New Roman" w:cs="Times New Roman"/>
          <w:i/>
        </w:rPr>
        <w:t xml:space="preserve"> </w:t>
      </w:r>
      <w:r w:rsidRPr="00E869A4">
        <w:rPr>
          <w:rFonts w:ascii="Times New Roman" w:hAnsi="Times New Roman" w:cs="Times New Roman"/>
          <w:iCs/>
        </w:rPr>
        <w:t>familialisation’</w:t>
      </w:r>
      <w:r w:rsidRPr="00E869A4">
        <w:rPr>
          <w:rFonts w:ascii="Times New Roman" w:hAnsi="Times New Roman" w:cs="Times New Roman"/>
        </w:rPr>
        <w:t>, he chose to replace these terms with the concepts of ‘</w:t>
      </w:r>
      <w:r w:rsidRPr="00E869A4">
        <w:rPr>
          <w:rFonts w:ascii="Times New Roman" w:hAnsi="Times New Roman" w:cs="Times New Roman"/>
          <w:iCs/>
        </w:rPr>
        <w:t>negative’</w:t>
      </w:r>
      <w:r w:rsidRPr="00E869A4">
        <w:rPr>
          <w:rFonts w:ascii="Times New Roman" w:hAnsi="Times New Roman" w:cs="Times New Roman"/>
        </w:rPr>
        <w:t xml:space="preserve"> and ‘</w:t>
      </w:r>
      <w:r w:rsidRPr="00E869A4">
        <w:rPr>
          <w:rFonts w:ascii="Times New Roman" w:hAnsi="Times New Roman" w:cs="Times New Roman"/>
          <w:iCs/>
        </w:rPr>
        <w:t>positive</w:t>
      </w:r>
      <w:r w:rsidRPr="00E869A4">
        <w:rPr>
          <w:rFonts w:ascii="Times New Roman" w:hAnsi="Times New Roman" w:cs="Times New Roman"/>
          <w:i/>
        </w:rPr>
        <w:t xml:space="preserve"> </w:t>
      </w:r>
      <w:r w:rsidRPr="00E869A4">
        <w:rPr>
          <w:rFonts w:ascii="Times New Roman" w:hAnsi="Times New Roman" w:cs="Times New Roman"/>
          <w:iCs/>
        </w:rPr>
        <w:t>familialisation’</w:t>
      </w:r>
      <w:r w:rsidRPr="00E869A4">
        <w:rPr>
          <w:rFonts w:ascii="Times New Roman" w:hAnsi="Times New Roman" w:cs="Times New Roman"/>
        </w:rPr>
        <w:t xml:space="preserve"> respectively. The concept of negative familialisation was used to highlight the fact that some implicit policies took the form of providing no alternatives to families for family care, thus forcing families into a situation where they felt obligated to so do. Positive familialisation was used to describe policies that encouraged rather than forced families to care. Thus, the main distinction between negative and positive familialism was that the latter offered choice to families. He argued further that positive familialisation (also referred to as familisation) is distinct from defamilialisation. According to Michoń, “positive familisation is an option, and must be treated as an opportunity … which may eventually influence the level of care defamilisation.” (Michoń 2008, p. 36). From his empirical study of 22 European countries, Michoń concluded that “rich, developed democracies </w:t>
      </w:r>
      <w:r w:rsidRPr="00E869A4">
        <w:rPr>
          <w:rFonts w:ascii="Times New Roman" w:hAnsi="Times New Roman" w:cs="Times New Roman"/>
        </w:rPr>
        <w:lastRenderedPageBreak/>
        <w:t xml:space="preserve">have been forced by a lack of alternatives into a process of transitioning from ‘negative’ care familisation to ‘positive’ care familisation.” (Michoń 2008, p. 35). He noted further that policies could be strongly (and positively) familialising and de-familialising at the same time. Like Leitner (2003), he observed that different types of welfare policies might apply to difference phases of the caring career in a particular country. </w:t>
      </w:r>
    </w:p>
    <w:p w14:paraId="79D00E1B" w14:textId="77777777" w:rsidR="00960ECA" w:rsidRPr="00E869A4" w:rsidRDefault="00960ECA" w:rsidP="00960ECA">
      <w:pPr>
        <w:autoSpaceDE w:val="0"/>
        <w:autoSpaceDN w:val="0"/>
        <w:adjustRightInd w:val="0"/>
        <w:ind w:firstLine="0"/>
        <w:rPr>
          <w:rFonts w:ascii="Times New Roman" w:hAnsi="Times New Roman" w:cs="Times New Roman"/>
        </w:rPr>
      </w:pPr>
    </w:p>
    <w:p w14:paraId="3DBA2C20"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Although the concepts of familalism, de-familialism and its derivatives have been popularly applied to policy studies on European and even Asian countries, with the exception of Latin American countries (e.g. González 2015; Vázquez-D’Elía 2014), these concepts have not been used in published policy analysis of welfare systems in the ESC. While it is beyond the scope of this paper to present a full analysis of the welfare regime of T&amp;T, these concepts will be useful to facilitate the discussion on eldercare policy in this thesis. </w:t>
      </w:r>
    </w:p>
    <w:p w14:paraId="2A3BAD4E" w14:textId="7E9AFB67" w:rsidR="00960ECA" w:rsidRPr="00E869A4" w:rsidRDefault="00960ECA" w:rsidP="00960ECA">
      <w:pPr>
        <w:rPr>
          <w:b/>
          <w:i/>
          <w:u w:val="single"/>
        </w:rPr>
      </w:pPr>
    </w:p>
    <w:p w14:paraId="4E744F78" w14:textId="0888D94A" w:rsidR="00960ECA" w:rsidRPr="00E869A4" w:rsidRDefault="006D1941" w:rsidP="001B03A7">
      <w:pPr>
        <w:pStyle w:val="Heading3"/>
      </w:pPr>
      <w:bookmarkStart w:id="164" w:name="_Toc40436478"/>
      <w:r w:rsidRPr="00E869A4">
        <w:t>2.4.</w:t>
      </w:r>
      <w:r w:rsidR="00545A82" w:rsidRPr="00E869A4">
        <w:t>3</w:t>
      </w:r>
      <w:r w:rsidRPr="00E869A4">
        <w:t xml:space="preserve">     </w:t>
      </w:r>
      <w:r w:rsidR="00960ECA" w:rsidRPr="00E869A4">
        <w:t>Gender and Family Care Policy</w:t>
      </w:r>
      <w:bookmarkEnd w:id="164"/>
    </w:p>
    <w:p w14:paraId="5F198908" w14:textId="77777777" w:rsidR="00960ECA" w:rsidRPr="00E869A4" w:rsidRDefault="00960ECA" w:rsidP="0051234F">
      <w:pPr>
        <w:pStyle w:val="112"/>
        <w:rPr>
          <w:color w:val="auto"/>
        </w:rPr>
      </w:pPr>
    </w:p>
    <w:p w14:paraId="71AADAF5" w14:textId="77777777" w:rsidR="00960ECA" w:rsidRPr="00E869A4" w:rsidRDefault="00960ECA" w:rsidP="00960ECA">
      <w:pPr>
        <w:autoSpaceDE w:val="0"/>
        <w:autoSpaceDN w:val="0"/>
        <w:adjustRightInd w:val="0"/>
        <w:rPr>
          <w:rFonts w:ascii="Times New Roman" w:hAnsi="Times New Roman" w:cs="Times New Roman"/>
        </w:rPr>
      </w:pPr>
      <w:r w:rsidRPr="00E869A4">
        <w:rPr>
          <w:rFonts w:ascii="Times New Roman" w:hAnsi="Times New Roman" w:cs="Times New Roman"/>
          <w:szCs w:val="24"/>
        </w:rPr>
        <w:t xml:space="preserve">On the issue of gender equality, several researchers have argued that gender should be placed at the centre of policies on caregiving. </w:t>
      </w:r>
      <w:r w:rsidRPr="00E869A4">
        <w:rPr>
          <w:rFonts w:ascii="Times New Roman" w:hAnsi="Times New Roman" w:cs="Times New Roman"/>
        </w:rPr>
        <w:t xml:space="preserve">Gupta, Rowe and Pillai (2009) from their study of family care provisions in India, recommended that programs to reduce perceived caregiver burden, should focus on issues of gender and not be limited to cultural factors alone, such as filial piety. They note also that gender-differentiated support groups for caregivers are an essential component of programs to reduce levels of role overload. </w:t>
      </w:r>
    </w:p>
    <w:p w14:paraId="429EEE27" w14:textId="77777777" w:rsidR="00960ECA" w:rsidRPr="00E869A4" w:rsidRDefault="00960ECA" w:rsidP="00960ECA">
      <w:pPr>
        <w:autoSpaceDE w:val="0"/>
        <w:autoSpaceDN w:val="0"/>
        <w:adjustRightInd w:val="0"/>
        <w:rPr>
          <w:rFonts w:ascii="Times New Roman" w:hAnsi="Times New Roman" w:cs="Times New Roman"/>
        </w:rPr>
      </w:pPr>
    </w:p>
    <w:p w14:paraId="66231F77" w14:textId="40D19D37" w:rsidR="00960ECA" w:rsidRPr="00E869A4" w:rsidRDefault="00960ECA" w:rsidP="00960ECA">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From their examination of caregiving and policy in Britain, Denmark, and the Netherlands, Knijn and Kramer argued that, </w:t>
      </w:r>
      <w:r w:rsidRPr="00E869A4">
        <w:rPr>
          <w:rFonts w:ascii="Times New Roman" w:eastAsia="Times New Roman" w:hAnsi="Times New Roman" w:cs="Times New Roman"/>
          <w:szCs w:val="24"/>
        </w:rPr>
        <w:t>“</w:t>
      </w:r>
      <w:r w:rsidRPr="00E869A4">
        <w:rPr>
          <w:rFonts w:ascii="Times New Roman" w:hAnsi="Times New Roman" w:cs="Times New Roman"/>
          <w:szCs w:val="24"/>
        </w:rPr>
        <w:t xml:space="preserve">modern welfare </w:t>
      </w:r>
      <w:r w:rsidR="00D86BBF" w:rsidRPr="00E869A4">
        <w:rPr>
          <w:rFonts w:ascii="Times New Roman" w:hAnsi="Times New Roman" w:cs="Times New Roman"/>
          <w:szCs w:val="24"/>
        </w:rPr>
        <w:t>s</w:t>
      </w:r>
      <w:r w:rsidRPr="00E869A4">
        <w:rPr>
          <w:rFonts w:ascii="Times New Roman" w:hAnsi="Times New Roman" w:cs="Times New Roman"/>
          <w:szCs w:val="24"/>
        </w:rPr>
        <w:t>tates have shaped needs and rights of caregivers and care receivers and have done so in ways that contribute to gender inequality in citizenship rights.</w:t>
      </w:r>
      <w:r w:rsidRPr="00E869A4">
        <w:rPr>
          <w:rFonts w:ascii="Times New Roman" w:eastAsia="Times New Roman" w:hAnsi="Times New Roman" w:cs="Times New Roman"/>
          <w:szCs w:val="24"/>
        </w:rPr>
        <w:t>” (</w:t>
      </w:r>
      <w:r w:rsidRPr="00E869A4">
        <w:rPr>
          <w:rFonts w:ascii="Times New Roman" w:hAnsi="Times New Roman" w:cs="Times New Roman"/>
          <w:szCs w:val="24"/>
        </w:rPr>
        <w:t>Knijn &amp; Kramer 1997, p. 328)</w:t>
      </w:r>
      <w:r w:rsidRPr="00E869A4">
        <w:rPr>
          <w:rFonts w:ascii="Times New Roman" w:eastAsia="Times New Roman" w:hAnsi="Times New Roman" w:cs="Times New Roman"/>
          <w:szCs w:val="24"/>
        </w:rPr>
        <w:t xml:space="preserve">. They </w:t>
      </w:r>
      <w:r w:rsidRPr="00E869A4">
        <w:rPr>
          <w:rFonts w:ascii="Times New Roman" w:hAnsi="Times New Roman" w:cs="Times New Roman"/>
          <w:szCs w:val="24"/>
        </w:rPr>
        <w:t xml:space="preserve">identified four dilemmas of welfare states associated with the gendered nature of care:  1) </w:t>
      </w:r>
      <w:r w:rsidRPr="00E869A4">
        <w:rPr>
          <w:rFonts w:ascii="Times New Roman" w:hAnsi="Times New Roman" w:cs="Times New Roman"/>
          <w:i/>
          <w:szCs w:val="24"/>
        </w:rPr>
        <w:t>Care as public or private responsibility</w:t>
      </w:r>
      <w:r w:rsidRPr="00E869A4">
        <w:rPr>
          <w:rFonts w:ascii="Times New Roman" w:hAnsi="Times New Roman" w:cs="Times New Roman"/>
          <w:szCs w:val="24"/>
        </w:rPr>
        <w:t xml:space="preserve"> – the key issue here is not whether the State has to take public responsibility for care neither whether the State has to guarantee citizens the right to give or receive care, but what are the costs, assumptions and conditions for giving and receiving care; 2) </w:t>
      </w:r>
      <w:r w:rsidRPr="00E869A4">
        <w:rPr>
          <w:rFonts w:ascii="Times New Roman" w:hAnsi="Times New Roman" w:cs="Times New Roman"/>
          <w:i/>
          <w:szCs w:val="24"/>
        </w:rPr>
        <w:t>Care as paid or unpaid work</w:t>
      </w:r>
      <w:r w:rsidRPr="00E869A4">
        <w:rPr>
          <w:rFonts w:ascii="Times New Roman" w:hAnsi="Times New Roman" w:cs="Times New Roman"/>
          <w:szCs w:val="24"/>
        </w:rPr>
        <w:t xml:space="preserve"> – the main consideration is “not whether care should be paid for, but how it is paid and what are the consequences for caregivers and care receivers”; 3) </w:t>
      </w:r>
      <w:r w:rsidRPr="00E869A4">
        <w:rPr>
          <w:rFonts w:ascii="Times New Roman" w:hAnsi="Times New Roman" w:cs="Times New Roman"/>
          <w:i/>
          <w:szCs w:val="24"/>
        </w:rPr>
        <w:t>Care as a form of dependence or independence</w:t>
      </w:r>
      <w:r w:rsidRPr="00E869A4">
        <w:rPr>
          <w:rFonts w:ascii="Times New Roman" w:hAnsi="Times New Roman" w:cs="Times New Roman"/>
          <w:szCs w:val="24"/>
        </w:rPr>
        <w:t xml:space="preserve"> </w:t>
      </w:r>
      <w:r w:rsidRPr="00E869A4">
        <w:rPr>
          <w:rFonts w:ascii="Times New Roman" w:hAnsi="Times New Roman" w:cs="Times New Roman"/>
          <w:szCs w:val="24"/>
        </w:rPr>
        <w:lastRenderedPageBreak/>
        <w:t xml:space="preserve">– care is often associated with dependence even though all persons are dependent on others. Interdependence as a reality of life is often ignored in the discourse on care; and, 4) </w:t>
      </w:r>
      <w:r w:rsidRPr="00E869A4">
        <w:rPr>
          <w:rFonts w:ascii="Times New Roman" w:hAnsi="Times New Roman" w:cs="Times New Roman"/>
          <w:i/>
          <w:szCs w:val="24"/>
        </w:rPr>
        <w:t>Care as the right of caregivers or care recipients</w:t>
      </w:r>
      <w:r w:rsidRPr="00E869A4">
        <w:rPr>
          <w:rFonts w:ascii="Times New Roman" w:hAnsi="Times New Roman" w:cs="Times New Roman"/>
          <w:szCs w:val="24"/>
        </w:rPr>
        <w:t xml:space="preserve"> – the main themes for consideration are “the citizenship right to time for care and the right to professional care.” (Knijn &amp; Kramer 1997, p.</w:t>
      </w:r>
      <w:r w:rsidR="004611A6" w:rsidRPr="00E869A4">
        <w:rPr>
          <w:rFonts w:ascii="Times New Roman" w:hAnsi="Times New Roman" w:cs="Times New Roman"/>
          <w:szCs w:val="24"/>
        </w:rPr>
        <w:t xml:space="preserve"> 349-</w:t>
      </w:r>
      <w:r w:rsidRPr="00E869A4">
        <w:rPr>
          <w:rFonts w:ascii="Times New Roman" w:hAnsi="Times New Roman" w:cs="Times New Roman"/>
          <w:szCs w:val="24"/>
        </w:rPr>
        <w:t xml:space="preserve">354). They contend that it is necessary to de-gender caregiving, and revalue care if family policy is to adequately respond to the highs and lows of national economic performance.  </w:t>
      </w:r>
    </w:p>
    <w:p w14:paraId="6C7AF524" w14:textId="77777777" w:rsidR="00960ECA" w:rsidRPr="00E869A4" w:rsidRDefault="00960ECA" w:rsidP="00960ECA">
      <w:pPr>
        <w:rPr>
          <w:rFonts w:ascii="Times New Roman" w:hAnsi="Times New Roman" w:cs="Times New Roman"/>
        </w:rPr>
      </w:pPr>
    </w:p>
    <w:p w14:paraId="441B48E9" w14:textId="77777777" w:rsidR="00960ECA" w:rsidRPr="00E869A4" w:rsidRDefault="00960ECA" w:rsidP="00960ECA">
      <w:pPr>
        <w:rPr>
          <w:rFonts w:ascii="Times New Roman" w:eastAsia="Times New Roman" w:hAnsi="Times New Roman" w:cs="Times New Roman"/>
          <w:szCs w:val="24"/>
        </w:rPr>
      </w:pPr>
      <w:r w:rsidRPr="00E869A4">
        <w:rPr>
          <w:rFonts w:ascii="Times New Roman" w:hAnsi="Times New Roman" w:cs="Times New Roman"/>
        </w:rPr>
        <w:t>Gender is strongly implicated in the poor remuneration of care work. England (2005, p. 381) p</w:t>
      </w:r>
      <w:r w:rsidRPr="00E869A4">
        <w:rPr>
          <w:rFonts w:ascii="Times New Roman" w:hAnsi="Times New Roman" w:cs="Times New Roman"/>
          <w:szCs w:val="24"/>
        </w:rPr>
        <w:t xml:space="preserve">resented five (5) theoretical frameworks to help explain this perplexing scenario: 1) The </w:t>
      </w:r>
      <w:r w:rsidRPr="00E869A4">
        <w:rPr>
          <w:rFonts w:ascii="Times New Roman" w:hAnsi="Times New Roman" w:cs="Times New Roman"/>
          <w:i/>
          <w:szCs w:val="24"/>
        </w:rPr>
        <w:t>Devaluation</w:t>
      </w:r>
      <w:r w:rsidRPr="00E869A4">
        <w:rPr>
          <w:rFonts w:ascii="Times New Roman" w:hAnsi="Times New Roman" w:cs="Times New Roman"/>
          <w:szCs w:val="24"/>
        </w:rPr>
        <w:t xml:space="preserve"> framework – </w:t>
      </w:r>
      <w:r w:rsidRPr="00E869A4">
        <w:rPr>
          <w:rFonts w:ascii="Times New Roman" w:eastAsia="Times New Roman" w:hAnsi="Times New Roman" w:cs="Times New Roman"/>
          <w:szCs w:val="24"/>
        </w:rPr>
        <w:t>“</w:t>
      </w:r>
      <w:r w:rsidRPr="00E869A4">
        <w:rPr>
          <w:rFonts w:ascii="Times New Roman" w:hAnsi="Times New Roman" w:cs="Times New Roman"/>
          <w:szCs w:val="24"/>
        </w:rPr>
        <w:t xml:space="preserve">emphasizes that cultural biases limit both wages and State support for </w:t>
      </w:r>
      <w:r w:rsidRPr="00E869A4">
        <w:rPr>
          <w:rFonts w:ascii="Times New Roman" w:eastAsia="Times New Roman" w:hAnsi="Times New Roman" w:cs="Times New Roman"/>
          <w:szCs w:val="24"/>
        </w:rPr>
        <w:t xml:space="preserve">care work” since it is associated with women, “and often women of colour”; 2) The </w:t>
      </w:r>
      <w:r w:rsidRPr="00E869A4">
        <w:rPr>
          <w:rFonts w:ascii="Times New Roman" w:eastAsia="Times New Roman" w:hAnsi="Times New Roman" w:cs="Times New Roman"/>
          <w:i/>
          <w:szCs w:val="24"/>
        </w:rPr>
        <w:t>Public good</w:t>
      </w:r>
      <w:r w:rsidRPr="00E869A4">
        <w:rPr>
          <w:rFonts w:ascii="Times New Roman" w:hAnsi="Times New Roman" w:cs="Times New Roman"/>
          <w:szCs w:val="24"/>
        </w:rPr>
        <w:t xml:space="preserve"> framework – conceptualises care-work as providing considerable indirect benefits to persons other than the care recipients, in addition to the direct benefits received by the care recipients. Proponents of this framework suggest that </w:t>
      </w:r>
      <w:r w:rsidRPr="00E869A4">
        <w:rPr>
          <w:rFonts w:ascii="Times New Roman" w:eastAsia="Times New Roman" w:hAnsi="Times New Roman" w:cs="Times New Roman"/>
          <w:szCs w:val="24"/>
        </w:rPr>
        <w:t>“low pay for care-work is a special case of the failure of markets to reward public goods”</w:t>
      </w:r>
      <w:r w:rsidRPr="00E869A4">
        <w:rPr>
          <w:rFonts w:ascii="Times New Roman" w:hAnsi="Times New Roman" w:cs="Times New Roman"/>
          <w:szCs w:val="24"/>
        </w:rPr>
        <w:t xml:space="preserve">; 3) The </w:t>
      </w:r>
      <w:r w:rsidRPr="00E869A4">
        <w:rPr>
          <w:rFonts w:ascii="Times New Roman" w:hAnsi="Times New Roman" w:cs="Times New Roman"/>
          <w:i/>
          <w:szCs w:val="24"/>
        </w:rPr>
        <w:t>Prisoner of love</w:t>
      </w:r>
      <w:r w:rsidRPr="00E869A4">
        <w:rPr>
          <w:rFonts w:ascii="Times New Roman" w:hAnsi="Times New Roman" w:cs="Times New Roman"/>
          <w:szCs w:val="24"/>
        </w:rPr>
        <w:t xml:space="preserve"> framework – </w:t>
      </w:r>
      <w:r w:rsidRPr="00E869A4">
        <w:rPr>
          <w:rFonts w:ascii="Times New Roman" w:eastAsia="Times New Roman" w:hAnsi="Times New Roman" w:cs="Times New Roman"/>
          <w:szCs w:val="24"/>
        </w:rPr>
        <w:t>“</w:t>
      </w:r>
      <w:r w:rsidRPr="00E869A4">
        <w:rPr>
          <w:rFonts w:ascii="Times New Roman" w:hAnsi="Times New Roman" w:cs="Times New Roman"/>
          <w:szCs w:val="24"/>
        </w:rPr>
        <w:t xml:space="preserve">emphasizes altruistic motivations for and intrinsic rewards of care work and that these may lead care workers to accept low pay”; 4) The </w:t>
      </w:r>
      <w:r w:rsidRPr="00E869A4">
        <w:rPr>
          <w:rFonts w:ascii="Times New Roman" w:hAnsi="Times New Roman" w:cs="Times New Roman"/>
          <w:i/>
          <w:szCs w:val="24"/>
        </w:rPr>
        <w:t>Commodification of emotion</w:t>
      </w:r>
      <w:r w:rsidRPr="00E869A4">
        <w:rPr>
          <w:rFonts w:ascii="Times New Roman" w:hAnsi="Times New Roman" w:cs="Times New Roman"/>
          <w:szCs w:val="24"/>
        </w:rPr>
        <w:t xml:space="preserve"> framework – is based on the idea that </w:t>
      </w:r>
      <w:r w:rsidRPr="00E869A4">
        <w:rPr>
          <w:rFonts w:ascii="Times New Roman" w:eastAsia="Times New Roman" w:hAnsi="Times New Roman" w:cs="Times New Roman"/>
          <w:szCs w:val="24"/>
        </w:rPr>
        <w:t xml:space="preserve">“the provision of care through markets may harm those who do the work” since they may experience emotional harm when “selling” services that use an intimate part of themselves; and, </w:t>
      </w:r>
      <w:r w:rsidRPr="00E869A4">
        <w:rPr>
          <w:rFonts w:ascii="Times New Roman" w:hAnsi="Times New Roman" w:cs="Times New Roman"/>
          <w:szCs w:val="24"/>
        </w:rPr>
        <w:t xml:space="preserve">5) The </w:t>
      </w:r>
      <w:r w:rsidRPr="00E869A4">
        <w:rPr>
          <w:rFonts w:ascii="Times New Roman" w:hAnsi="Times New Roman" w:cs="Times New Roman"/>
          <w:i/>
          <w:szCs w:val="24"/>
        </w:rPr>
        <w:t>Love and money</w:t>
      </w:r>
      <w:r w:rsidRPr="00E869A4">
        <w:rPr>
          <w:rFonts w:ascii="Times New Roman" w:hAnsi="Times New Roman" w:cs="Times New Roman"/>
          <w:szCs w:val="24"/>
        </w:rPr>
        <w:t xml:space="preserve"> framework – rejects the view that markets are dualistic through the promoting of informal care by family and community members, and the provision of social services by non-state agencies because of the </w:t>
      </w:r>
      <w:r w:rsidRPr="00E869A4">
        <w:rPr>
          <w:rFonts w:ascii="Times New Roman" w:eastAsia="Times New Roman" w:hAnsi="Times New Roman" w:cs="Times New Roman"/>
          <w:szCs w:val="24"/>
        </w:rPr>
        <w:t>“free hands” selfish intentions. This framework also rejects the view that low pay results when altruistic rewards can be gained and denies that care-work is inherently more alienating than other work. Rather, this framework purports that money for care does not necessarily reduce altruistic intentions. Thus, this perspective focuses on achieving desirable results in care work through the use of love and money, rather than assuming that the world is divided into two opposite systems.</w:t>
      </w:r>
    </w:p>
    <w:p w14:paraId="65C8DC99" w14:textId="77777777" w:rsidR="00960ECA" w:rsidRPr="00E869A4" w:rsidRDefault="00960ECA" w:rsidP="00960ECA">
      <w:pPr>
        <w:rPr>
          <w:rFonts w:ascii="Times New Roman" w:eastAsia="Times New Roman" w:hAnsi="Times New Roman" w:cs="Times New Roman"/>
          <w:szCs w:val="24"/>
        </w:rPr>
      </w:pPr>
    </w:p>
    <w:p w14:paraId="65C3BE22" w14:textId="1B0F58DE" w:rsidR="00960ECA" w:rsidRPr="00E869A4" w:rsidRDefault="004611A6" w:rsidP="004611A6">
      <w:pPr>
        <w:pStyle w:val="Heading3"/>
      </w:pPr>
      <w:bookmarkStart w:id="165" w:name="_Toc40436479"/>
      <w:r w:rsidRPr="00E869A4">
        <w:t>2.</w:t>
      </w:r>
      <w:r w:rsidR="00A54D7D" w:rsidRPr="00E869A4">
        <w:t>4</w:t>
      </w:r>
      <w:r w:rsidRPr="00E869A4">
        <w:t>.</w:t>
      </w:r>
      <w:r w:rsidR="00545A82" w:rsidRPr="00E869A4">
        <w:t>4</w:t>
      </w:r>
      <w:r w:rsidRPr="00E869A4">
        <w:t xml:space="preserve">     </w:t>
      </w:r>
      <w:r w:rsidR="00960ECA" w:rsidRPr="00E869A4">
        <w:t>Sociological Approaches to Family Policy</w:t>
      </w:r>
      <w:bookmarkEnd w:id="165"/>
    </w:p>
    <w:p w14:paraId="2162156A" w14:textId="77777777" w:rsidR="00960ECA" w:rsidRPr="00E869A4" w:rsidRDefault="00960ECA" w:rsidP="0051234F">
      <w:pPr>
        <w:pStyle w:val="112"/>
        <w:rPr>
          <w:color w:val="auto"/>
        </w:rPr>
      </w:pPr>
    </w:p>
    <w:p w14:paraId="4ADC4F09" w14:textId="77777777" w:rsidR="00960ECA" w:rsidRPr="00E869A4" w:rsidRDefault="00960ECA" w:rsidP="00960ECA">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Critical social gerontology can be used to describe a broad spectrum of theoretical interests that focus primarily on the ideological and social constructions and conceptualisations of ageing. The main theoretical orientations associated with this perspective are critical theory, political economy, and social </w:t>
      </w:r>
      <w:r w:rsidRPr="00E869A4">
        <w:rPr>
          <w:rFonts w:ascii="Times New Roman" w:hAnsi="Times New Roman" w:cs="Times New Roman"/>
          <w:szCs w:val="24"/>
        </w:rPr>
        <w:lastRenderedPageBreak/>
        <w:t xml:space="preserve">phenomenology. These three very different orientations to the study of ageing, share in common, an aversion to classical gerontological approaches which were based on an idealised concept of natural science as the representative of ‘objective’ knowledge.  Research that emerged from this positivistic orientation led to the social construction of ageing as a medical problem and fuelled a pessimistic view of later life (Phillipson 1998). Critical gerontology presents an alternative view to this discourse. Its proponents called into question the gloomy assumptions and restrictive policy approaches on ageing, which were promoted by those who refused to acknowledge the subjective aspects of scientific research, and its links to the values, beliefs and personal interests of the researcher. Medical or biological definitions and understandings of ageing and family care were identified as insufficient for obtaining an accurate picture of the factors that impact on ageing and eldercare. The critical gerontological frameworks also challenged the reductionist view of ageing as an individual problem or private issue of dependency. Instead the problems of older people were reconstructed as public issues that are best understood as the result of social, economic and political factors (Simms 2003; Walker 1990), and “life course and society-wide interdependencies.” (Estes &amp; Phillipson 2002, p. 292). </w:t>
      </w:r>
    </w:p>
    <w:p w14:paraId="00D0E9B6" w14:textId="77777777" w:rsidR="00960ECA" w:rsidRPr="00E869A4" w:rsidRDefault="00960ECA" w:rsidP="00960ECA">
      <w:pPr>
        <w:autoSpaceDE w:val="0"/>
        <w:autoSpaceDN w:val="0"/>
        <w:adjustRightInd w:val="0"/>
        <w:rPr>
          <w:rFonts w:ascii="Times New Roman" w:hAnsi="Times New Roman" w:cs="Times New Roman"/>
          <w:szCs w:val="24"/>
        </w:rPr>
      </w:pPr>
    </w:p>
    <w:p w14:paraId="69A28BA2" w14:textId="77777777" w:rsidR="00960ECA" w:rsidRPr="00E869A4" w:rsidRDefault="00960ECA" w:rsidP="00960ECA">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Baars (2017) and Birren (2007) described the political economy approach as providing the most specific and integrated contribution to critical gerontology. This is not to say that political economy by itself can provide a complete conceptual basis for theorising ageing. However, from a policy perspective, its focus on structural issues as well as aspects of agency is worthy of consideration for this study. With respect to the role of the state and issues of family elder care, political economists generally adopt a conflict paradigm, and view the state as central to the understanding of old age, and the life chances of older men and women. The state has power to allocate and distribute scarce resources, mediate the different needs and demands of social groups from diverse gender, race, ethnic, class, and generational backgrounds, and ameliorate social conditions that negatively affect vulnerable individuals, hence their arguments (Birren 2007). </w:t>
      </w:r>
    </w:p>
    <w:p w14:paraId="1BD3BF9D" w14:textId="77777777" w:rsidR="00960ECA" w:rsidRPr="00E869A4" w:rsidRDefault="00960ECA" w:rsidP="00960ECA">
      <w:pPr>
        <w:autoSpaceDE w:val="0"/>
        <w:autoSpaceDN w:val="0"/>
        <w:adjustRightInd w:val="0"/>
        <w:rPr>
          <w:rFonts w:ascii="Times New Roman" w:hAnsi="Times New Roman" w:cs="Times New Roman"/>
          <w:szCs w:val="24"/>
        </w:rPr>
      </w:pPr>
    </w:p>
    <w:p w14:paraId="060761B6" w14:textId="01CA8C19" w:rsidR="00960ECA" w:rsidRPr="00E869A4" w:rsidRDefault="00960ECA" w:rsidP="00B13C11">
      <w:pPr>
        <w:autoSpaceDE w:val="0"/>
        <w:autoSpaceDN w:val="0"/>
        <w:adjustRightInd w:val="0"/>
        <w:rPr>
          <w:rFonts w:ascii="Times New Roman" w:hAnsi="Times New Roman" w:cs="Times New Roman"/>
        </w:rPr>
      </w:pPr>
      <w:r w:rsidRPr="00E869A4">
        <w:rPr>
          <w:rFonts w:ascii="Times New Roman" w:hAnsi="Times New Roman" w:cs="Times New Roman"/>
        </w:rPr>
        <w:t xml:space="preserve">A main critique of the political economy perspective is that it is overly deterministic and inordinately treats private troubles as direct distillations of public issues, without sufficient attention to individual agency. In so doing, the perspective ignores problems of meaning and interpretation in the everyday lives of older people. The social phenomenological branch of critical social gerontology counters this weakness with its focus on the social construction of the potential realities assigned to the </w:t>
      </w:r>
      <w:r w:rsidRPr="00E869A4">
        <w:rPr>
          <w:rFonts w:ascii="Times New Roman" w:hAnsi="Times New Roman" w:cs="Times New Roman"/>
        </w:rPr>
        <w:lastRenderedPageBreak/>
        <w:t>ageing experience, which its proponents argue are organised according to prevailing stocks of knowledge. However, unlike the political economy and critical perspectives, the issue of power is never fully addressed by social phenomenologists. This is also a result of their lack of adequate consideration of structural influences. Increasingly, political economists have given attention to both macro and micro forces on ageing and its related issues (Baars et al. 2017). As Walker and Foster (2014) noted, how people negotiate and respond to ageing is not mechanically predetermined by their position in the social structure. However, they maintained that social structural issues such as soc</w:t>
      </w:r>
      <w:r w:rsidR="00732F10">
        <w:rPr>
          <w:rFonts w:ascii="Times New Roman" w:hAnsi="Times New Roman" w:cs="Times New Roman"/>
        </w:rPr>
        <w:t xml:space="preserve">ial class, gender and race, </w:t>
      </w:r>
      <w:r w:rsidRPr="00E869A4">
        <w:rPr>
          <w:rFonts w:ascii="Times New Roman" w:hAnsi="Times New Roman" w:cs="Times New Roman"/>
        </w:rPr>
        <w:t xml:space="preserve">income and health cannot be ignored, but must continue to remain at the centre of policy analysis on ageing and related issues such as family care for older people. </w:t>
      </w:r>
      <w:bookmarkStart w:id="166" w:name="_Toc506696600"/>
    </w:p>
    <w:p w14:paraId="0BC263CF" w14:textId="77777777" w:rsidR="00B13C11" w:rsidRPr="00E869A4" w:rsidRDefault="00B13C11" w:rsidP="00B13C11">
      <w:pPr>
        <w:autoSpaceDE w:val="0"/>
        <w:autoSpaceDN w:val="0"/>
        <w:adjustRightInd w:val="0"/>
        <w:rPr>
          <w:b/>
          <w:i/>
          <w:u w:val="single"/>
        </w:rPr>
      </w:pPr>
    </w:p>
    <w:p w14:paraId="1FFC308C" w14:textId="09E35E6E" w:rsidR="004611A6" w:rsidRPr="00E869A4" w:rsidRDefault="004611A6" w:rsidP="004611A6">
      <w:pPr>
        <w:pStyle w:val="Heading3"/>
      </w:pPr>
      <w:bookmarkStart w:id="167" w:name="_Toc40436480"/>
      <w:r w:rsidRPr="00E869A4">
        <w:t>2.</w:t>
      </w:r>
      <w:r w:rsidR="00A54D7D" w:rsidRPr="00E869A4">
        <w:t>4</w:t>
      </w:r>
      <w:r w:rsidRPr="00E869A4">
        <w:t>.</w:t>
      </w:r>
      <w:r w:rsidR="00545A82" w:rsidRPr="00E869A4">
        <w:t>5</w:t>
      </w:r>
      <w:r w:rsidRPr="00E869A4">
        <w:t xml:space="preserve">     Support Programmes</w:t>
      </w:r>
      <w:bookmarkEnd w:id="167"/>
    </w:p>
    <w:bookmarkEnd w:id="166"/>
    <w:p w14:paraId="7526D577" w14:textId="77777777" w:rsidR="00960ECA" w:rsidRPr="00E869A4" w:rsidRDefault="00960ECA" w:rsidP="0051234F">
      <w:pPr>
        <w:pStyle w:val="112"/>
        <w:rPr>
          <w:color w:val="auto"/>
        </w:rPr>
      </w:pPr>
    </w:p>
    <w:p w14:paraId="6DD82F03"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Since the dawn of the post-war welfare state, states have developed various interventions to help meet the needs of frail older people and their family caregivers. Several researchers and policy analysts have developed typologies and conducted studies on the range of initiatives that have been implemented. Here I present some of their findings which are relevant to the policy discussions of the current study. </w:t>
      </w:r>
    </w:p>
    <w:p w14:paraId="2BCAC688" w14:textId="77777777" w:rsidR="00E02154" w:rsidRPr="00E869A4" w:rsidRDefault="00E02154" w:rsidP="00960ECA">
      <w:pPr>
        <w:rPr>
          <w:rFonts w:ascii="Times New Roman" w:hAnsi="Times New Roman" w:cs="Times New Roman"/>
        </w:rPr>
      </w:pPr>
    </w:p>
    <w:p w14:paraId="1D2F0B34" w14:textId="30CD7B6B" w:rsidR="00E02154" w:rsidRPr="00E869A4" w:rsidRDefault="00E02154" w:rsidP="00E02154">
      <w:pPr>
        <w:pStyle w:val="Heading4"/>
      </w:pPr>
      <w:r w:rsidRPr="00E869A4">
        <w:t>Types of Interventions</w:t>
      </w:r>
    </w:p>
    <w:p w14:paraId="19907ECD" w14:textId="77777777" w:rsidR="00960ECA" w:rsidRPr="00E869A4" w:rsidRDefault="00960ECA" w:rsidP="00960ECA">
      <w:pPr>
        <w:rPr>
          <w:rFonts w:ascii="Times New Roman" w:hAnsi="Times New Roman" w:cs="Times New Roman"/>
        </w:rPr>
      </w:pPr>
    </w:p>
    <w:p w14:paraId="575D49ED" w14:textId="52891275"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Kaufmann (1993 cited in Clasen 2005) distinguished between four types of family policy interventions: 1) legal; 2) ecological; 3) personal; and 4) economic. </w:t>
      </w:r>
      <w:r w:rsidRPr="00E869A4">
        <w:rPr>
          <w:rFonts w:ascii="Times New Roman" w:hAnsi="Times New Roman" w:cs="Times New Roman"/>
          <w:i/>
        </w:rPr>
        <w:t>Legal</w:t>
      </w:r>
      <w:r w:rsidRPr="00E869A4">
        <w:rPr>
          <w:rFonts w:ascii="Times New Roman" w:hAnsi="Times New Roman" w:cs="Times New Roman"/>
        </w:rPr>
        <w:t xml:space="preserve"> interventions define the status of family members (e.g. marriage, divorce, parenthood). </w:t>
      </w:r>
      <w:r w:rsidRPr="00E869A4">
        <w:rPr>
          <w:rFonts w:ascii="Times New Roman" w:hAnsi="Times New Roman" w:cs="Times New Roman"/>
          <w:i/>
        </w:rPr>
        <w:t>Ecological</w:t>
      </w:r>
      <w:r w:rsidRPr="00E869A4">
        <w:rPr>
          <w:rFonts w:ascii="Times New Roman" w:hAnsi="Times New Roman" w:cs="Times New Roman"/>
        </w:rPr>
        <w:t xml:space="preserve"> interventions provide infrastructural opportunities for families (e.g. housing)</w:t>
      </w:r>
      <w:r w:rsidR="000B6754">
        <w:rPr>
          <w:rFonts w:ascii="Times New Roman" w:hAnsi="Times New Roman" w:cs="Times New Roman"/>
        </w:rPr>
        <w:t>.</w:t>
      </w:r>
      <w:r w:rsidRPr="00E869A4">
        <w:rPr>
          <w:rFonts w:ascii="Times New Roman" w:hAnsi="Times New Roman" w:cs="Times New Roman"/>
        </w:rPr>
        <w:t xml:space="preserve"> </w:t>
      </w:r>
      <w:r w:rsidRPr="00E869A4">
        <w:rPr>
          <w:rFonts w:ascii="Times New Roman" w:hAnsi="Times New Roman" w:cs="Times New Roman"/>
          <w:i/>
        </w:rPr>
        <w:t>Personal</w:t>
      </w:r>
      <w:r w:rsidRPr="00E869A4">
        <w:rPr>
          <w:rFonts w:ascii="Times New Roman" w:hAnsi="Times New Roman" w:cs="Times New Roman"/>
        </w:rPr>
        <w:t xml:space="preserve"> interventions restore or improve the capacities of individuals (via health care, education, counselling etc.). </w:t>
      </w:r>
      <w:r w:rsidRPr="00E869A4">
        <w:rPr>
          <w:rFonts w:ascii="Times New Roman" w:hAnsi="Times New Roman" w:cs="Times New Roman"/>
          <w:i/>
        </w:rPr>
        <w:t>Economic</w:t>
      </w:r>
      <w:r w:rsidRPr="00E869A4">
        <w:rPr>
          <w:rFonts w:ascii="Times New Roman" w:hAnsi="Times New Roman" w:cs="Times New Roman"/>
        </w:rPr>
        <w:t xml:space="preserve"> interventions affect the material situation of family households (e.g. taxation, benefits, and employment policies that target specific groups such as women). This is a useful way of categorising the different types of strategies that have been employed to help family caregivers and older care recipients, and is reflected in various other typologies. Brodsky (2011)</w:t>
      </w:r>
      <w:r w:rsidRPr="00E869A4">
        <w:rPr>
          <w:rStyle w:val="EndnoteReference"/>
          <w:rFonts w:ascii="Times New Roman" w:hAnsi="Times New Roman" w:cs="Times New Roman"/>
        </w:rPr>
        <w:t xml:space="preserve"> </w:t>
      </w:r>
      <w:r w:rsidR="00A911E0" w:rsidRPr="00E869A4">
        <w:rPr>
          <w:rFonts w:ascii="Times New Roman" w:hAnsi="Times New Roman" w:cs="Times New Roman"/>
        </w:rPr>
        <w:t xml:space="preserve">for instance </w:t>
      </w:r>
      <w:r w:rsidRPr="00E869A4">
        <w:rPr>
          <w:rFonts w:ascii="Times New Roman" w:hAnsi="Times New Roman" w:cs="Times New Roman"/>
        </w:rPr>
        <w:t xml:space="preserve">classified programmes according to their principal goals including: 1) financial; 2) information and referral; 3) case management; 4) development of skills, training and instruction; 5) counselling and emotional support; 6) respite care (enabling a time-out from caring); and 7) arrangements to do with employment and work. </w:t>
      </w:r>
    </w:p>
    <w:p w14:paraId="173288AF"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lastRenderedPageBreak/>
        <w:t xml:space="preserve">In a report prepared by Brodsky (2011) to provide a conceptual framework for strategic thinking on family elder care in Israel, she highlighted six key issues that family elder care policies should address. The first was the need to develop appropriate tools to assess the situation of informal caregivers such as their sense of burden. She recommended that these tools should be able to help identify at-risk groups and monitor the situation of caregivers over time. The second issue was identifying the type of support needs of informal family carers, including their need for information, counselling, skills, case management, social and emotional support, respite, and financial support. Priority should then be given to developing intervention programmes for the areas in which the greatest gap exists between needs and services. Thirdly, Brodsky emphasised the need for greater attention to dying and end-of-life care, including support to carers who may have institutionalised their older relative, and the needs of informal caregivers after the death of a relative for whom they have cared for. The fourth issue centred on the provision of interventions that were sensitive to cultural diversity among informal carers as well as the differential needs and characteristics of those giving and receiving care. Her fifth recommendation was the conduct of an in-depth examination of how the existing service could be enhanced to support and assist family caregivers (e.g. home visits by nurses and social workers). Finally, Brodsky underscored the importance of developing a legislative framework consisting of laws that address subsidies, tax exemptions, or work arrangements. It is also important to examine how to increase the awareness of the public, service providers, and others (such as employers), so that caregivers may realise their rights. </w:t>
      </w:r>
    </w:p>
    <w:p w14:paraId="08B24E3C" w14:textId="77777777" w:rsidR="00960ECA" w:rsidRPr="00E869A4" w:rsidRDefault="00960ECA" w:rsidP="00960ECA">
      <w:pPr>
        <w:rPr>
          <w:rFonts w:ascii="Times New Roman" w:hAnsi="Times New Roman" w:cs="Times New Roman"/>
        </w:rPr>
      </w:pPr>
    </w:p>
    <w:p w14:paraId="3B70112A"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Brodsky admitted that her report gave greater attention to services for family caregivers rather than to older care recipients and noted that this is consistent with international policy trends. According to Brodsky, whereas earlier approaches were limited to older people with no family or elders from a ‘dysfunctional’ family that were unwilling to provide care, and family carers were viewed with ‘ambivalence’, policy and service systems have now increasingly focused on caregivers as a target population. With this is a concomitant shift in focus from the burden to care to its positive effects, and providing carers with interventions that help them develop caregiving skills, coping abilities and an increased sense of security. She acknowledged however that there is a lot of variation in the approaches adopted by different countries. </w:t>
      </w:r>
    </w:p>
    <w:p w14:paraId="554F4908" w14:textId="77777777" w:rsidR="00960ECA" w:rsidRPr="00E869A4" w:rsidRDefault="00960ECA" w:rsidP="00960ECA">
      <w:pPr>
        <w:rPr>
          <w:rFonts w:ascii="Times New Roman" w:hAnsi="Times New Roman" w:cs="Times New Roman"/>
        </w:rPr>
      </w:pPr>
    </w:p>
    <w:p w14:paraId="5DB18A67"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These policy shifts identified by Brodsky may be more consistent with MEDCs than with LEDCs. For example, Bettio and Verashcaghina (2010) described the main trends in the eldercare policies of </w:t>
      </w:r>
      <w:r w:rsidRPr="00E869A4">
        <w:rPr>
          <w:rFonts w:ascii="Times New Roman" w:hAnsi="Times New Roman" w:cs="Times New Roman"/>
        </w:rPr>
        <w:lastRenderedPageBreak/>
        <w:t xml:space="preserve">European countries as including a shift from institutionalised care towards home care, from public services to private services (including more use of cash transfers), and the emergence of services intended to support and complement, without replacing, family care. But a critical lens should be applied when assessing the outcomes of these developments. </w:t>
      </w:r>
    </w:p>
    <w:p w14:paraId="7F176ABB" w14:textId="77777777" w:rsidR="00960ECA" w:rsidRPr="00E869A4" w:rsidRDefault="00960ECA" w:rsidP="00960ECA">
      <w:pPr>
        <w:rPr>
          <w:rFonts w:ascii="Times New Roman" w:hAnsi="Times New Roman" w:cs="Times New Roman"/>
        </w:rPr>
      </w:pPr>
    </w:p>
    <w:p w14:paraId="382156F5" w14:textId="2D1FA9D6" w:rsidR="00E02154" w:rsidRPr="00E869A4" w:rsidRDefault="00E02154" w:rsidP="00E02154">
      <w:pPr>
        <w:pStyle w:val="Heading4"/>
      </w:pPr>
      <w:r w:rsidRPr="00E869A4">
        <w:t>Filial Support Legislation</w:t>
      </w:r>
    </w:p>
    <w:p w14:paraId="7211BA29" w14:textId="77777777" w:rsidR="00E02154" w:rsidRPr="00E869A4" w:rsidRDefault="00E02154" w:rsidP="00960ECA">
      <w:pPr>
        <w:rPr>
          <w:rFonts w:ascii="Times New Roman" w:hAnsi="Times New Roman" w:cs="Times New Roman"/>
        </w:rPr>
      </w:pPr>
    </w:p>
    <w:p w14:paraId="4066758E" w14:textId="601EBD67" w:rsidR="00960ECA" w:rsidRPr="00E869A4" w:rsidRDefault="00960ECA" w:rsidP="00960ECA">
      <w:pPr>
        <w:rPr>
          <w:rFonts w:ascii="Times New Roman" w:hAnsi="Times New Roman" w:cs="Times New Roman"/>
        </w:rPr>
      </w:pPr>
      <w:r w:rsidRPr="00E869A4">
        <w:rPr>
          <w:rFonts w:ascii="Times New Roman" w:hAnsi="Times New Roman" w:cs="Times New Roman"/>
        </w:rPr>
        <w:t>Based on her international key informant survey of 33 nations from five different regions of the world (Africa, Asia and the Pacific, Europe, Latin America and the Caribbean, and North America) Barusch (1995) identified three main programme and policy alternatives that have been contemplated or applied in various regions: 1) filial support legislation; 2) financial incentives for family caregivers; and 3) service rationing provisions. Her cross-cultural study revealed mixed results for the effectiveness of filial support laws which mandated that adult children support older parents. Their popularity and effectiveness were largely dependent on cultural norms and family resources. While these laws are popular in China where the Confucian tradition of filial responsibility dominated at the time, they are less popular in the USA. Related research by Pearson (2012) note</w:t>
      </w:r>
      <w:r w:rsidR="00967B88" w:rsidRPr="00E869A4">
        <w:rPr>
          <w:rFonts w:ascii="Times New Roman" w:hAnsi="Times New Roman" w:cs="Times New Roman"/>
        </w:rPr>
        <w:t>d</w:t>
      </w:r>
      <w:r w:rsidRPr="00E869A4">
        <w:rPr>
          <w:rFonts w:ascii="Times New Roman" w:hAnsi="Times New Roman" w:cs="Times New Roman"/>
        </w:rPr>
        <w:t xml:space="preserve"> that many of the </w:t>
      </w:r>
      <w:r w:rsidR="00967B88" w:rsidRPr="00E869A4">
        <w:rPr>
          <w:rFonts w:ascii="Times New Roman" w:hAnsi="Times New Roman" w:cs="Times New Roman"/>
        </w:rPr>
        <w:t>American s</w:t>
      </w:r>
      <w:r w:rsidRPr="00E869A4">
        <w:rPr>
          <w:rFonts w:ascii="Times New Roman" w:hAnsi="Times New Roman" w:cs="Times New Roman"/>
        </w:rPr>
        <w:t xml:space="preserve">tates repealed filial support statutes as Medicaid become the main source of poor relief, and where these statutes remain on the books they are for the most part obsolete in practice given the existence of a national system of Social Security. It is extremely rare for American courts to mandate their enforcement. </w:t>
      </w:r>
    </w:p>
    <w:p w14:paraId="36324F9C" w14:textId="77777777" w:rsidR="00E02154" w:rsidRPr="00E869A4" w:rsidRDefault="00E02154" w:rsidP="00960ECA">
      <w:pPr>
        <w:rPr>
          <w:rFonts w:ascii="Times New Roman" w:hAnsi="Times New Roman" w:cs="Times New Roman"/>
        </w:rPr>
      </w:pPr>
    </w:p>
    <w:p w14:paraId="05C09258" w14:textId="4335B02A"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Respondents in other regions </w:t>
      </w:r>
      <w:r w:rsidR="00E41A27" w:rsidRPr="00E869A4">
        <w:rPr>
          <w:rFonts w:ascii="Times New Roman" w:hAnsi="Times New Roman" w:cs="Times New Roman"/>
        </w:rPr>
        <w:t xml:space="preserve">represented in Barusch’s study </w:t>
      </w:r>
      <w:r w:rsidRPr="00E869A4">
        <w:rPr>
          <w:rFonts w:ascii="Times New Roman" w:hAnsi="Times New Roman" w:cs="Times New Roman"/>
        </w:rPr>
        <w:t xml:space="preserve">also identified shortcomings with the effects of these policies. Argentinean respondents observed that older people generally did not invoke this legal option and opined that this may be because it could affect the quality of the relationship between them and their children. Romanian respondents felt the laws were ineffective because they demanded that support be provided by family members, but did not provide any monetary incentives to enable them to do so. Generally, Barusch (1995) found that mandating family care, although appealing to policy makers, was disadvantageous because of its high administrative costs and the negative impact on intergenerational bonds. </w:t>
      </w:r>
      <w:r w:rsidR="00E41A27" w:rsidRPr="00E869A4">
        <w:rPr>
          <w:rFonts w:ascii="Times New Roman" w:hAnsi="Times New Roman" w:cs="Times New Roman"/>
        </w:rPr>
        <w:t>Lilly et al. (2012) and Walker and colleagues (1990) also found that policies that forced families to care for their older relatives had dire consequences on both the cared-for and the carer, as they tended to strain family relationships and escalate pre-existing conflicts</w:t>
      </w:r>
    </w:p>
    <w:p w14:paraId="47BAF3E3" w14:textId="77777777" w:rsidR="00960ECA" w:rsidRPr="00E869A4" w:rsidRDefault="00960ECA" w:rsidP="00960ECA">
      <w:pPr>
        <w:rPr>
          <w:rFonts w:ascii="Times New Roman" w:hAnsi="Times New Roman" w:cs="Times New Roman"/>
        </w:rPr>
      </w:pPr>
    </w:p>
    <w:p w14:paraId="6A2B34F6"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lastRenderedPageBreak/>
        <w:t>Spijker and Zueras (2018) and Sundström et al (2008) came to similar conclusions based on their study of European family care policies. According to Spijker and Zueras (2018), legal obligations to provide care for parents promulgate gender inequality as evidenced by the greater involvement of daughters in providing intensive care in countries governed by such laws. Based on their analysis of EUROFAMCARE data on legislating family care, Sundström and colleagues cautioned that “strict application of legal responsibility may not guarantee adequate care for dependent (old) persons. The individual family history, with emotional ties but also conflicts, may make for abuse in situations of enforced care, documented both scientifically and in fiction.” (Sundström et al 2008, p. 15-16). Chou (2010) echoed a similar concern about the effects of legislating family elder care in China and noted that such requirements “may limit the spontaneity and flexibility originally embedded in filial piety; it may also erode the affection, tacitness, and mutual trust in intergenerational relations.” (Chou 2010, p. 11).</w:t>
      </w:r>
    </w:p>
    <w:p w14:paraId="797C5A7C" w14:textId="77777777" w:rsidR="00E02154" w:rsidRPr="00E869A4" w:rsidRDefault="00E02154" w:rsidP="00960ECA">
      <w:pPr>
        <w:rPr>
          <w:rFonts w:ascii="Times New Roman" w:hAnsi="Times New Roman" w:cs="Times New Roman"/>
        </w:rPr>
      </w:pPr>
    </w:p>
    <w:p w14:paraId="32A83FC2" w14:textId="7BA2C0ED" w:rsidR="00E02154" w:rsidRPr="00E869A4" w:rsidRDefault="00E02154" w:rsidP="00E02154">
      <w:pPr>
        <w:pStyle w:val="Heading4"/>
      </w:pPr>
      <w:r w:rsidRPr="00E869A4">
        <w:t>Financial Incentives</w:t>
      </w:r>
    </w:p>
    <w:p w14:paraId="169BB7FB" w14:textId="77777777" w:rsidR="00960ECA" w:rsidRPr="00E869A4" w:rsidRDefault="00960ECA" w:rsidP="00960ECA">
      <w:pPr>
        <w:rPr>
          <w:rFonts w:ascii="Times New Roman" w:hAnsi="Times New Roman" w:cs="Times New Roman"/>
        </w:rPr>
      </w:pPr>
    </w:p>
    <w:p w14:paraId="6EEDE043"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Financial incentives for family carers generally take the form of direct payments or tax incentives. At the time of Barusch’s survey, most western countries provided direct payments (e.g. Germany, Norway, Sweden, Australia, the Republic of Georgia, and Scotland) and a few countries provided both (e.g. Argentina and Japan). While financial incentives were very popular among the respondents, each approach had noticeable disadvantages. Tax benefits despite being easy to administer, were viewed as propagating inequalities and inefficiencies with respect to their overall aims, as those who needed less support benefited the most. There were mixed sentiments about direct payments. Some respondents saw this as an advantageous strategy which helped compensate adult children for wages lost while providing care. Others expressed concern that the minimal payments obfuscated the altruistic inclinations of those who were willing to provide care in the first instance, and that the small benefits had little to no effect on a family member’s initial decision to provide care. There was some evidence that financial inducements could encourage carers to continue or increase their efforts. But the findings on this issue were generally inconclusive. Barusch suggested that studies using an experimental design should be conducted to obtain clarity on the efficacy of this policy approach. </w:t>
      </w:r>
    </w:p>
    <w:p w14:paraId="4BF0ACBB" w14:textId="77777777" w:rsidR="00493372" w:rsidRPr="00E869A4" w:rsidRDefault="00493372" w:rsidP="00960ECA">
      <w:pPr>
        <w:rPr>
          <w:rFonts w:ascii="Times New Roman" w:hAnsi="Times New Roman" w:cs="Times New Roman"/>
        </w:rPr>
      </w:pPr>
    </w:p>
    <w:p w14:paraId="339FF993"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Arksey and Morée’s (2008) comparative study of family care policies in the Netherlands and UK revealed similar results. Their study involved in-depth qualitative interviews with carers on the following </w:t>
      </w:r>
      <w:r w:rsidRPr="00E869A4">
        <w:rPr>
          <w:rFonts w:ascii="Times New Roman" w:hAnsi="Times New Roman" w:cs="Times New Roman"/>
        </w:rPr>
        <w:lastRenderedPageBreak/>
        <w:t xml:space="preserve">topic areas: the caring situation, past and current experiences of training and paid work, social services provision, financial support, employment related support and suggestions on what could be done to make it easier to combine work and care. Carers in England were not satisfied with the Carer’s Allowance which they perceived as being too low to discourage them from stopping work to provide care. Dutch caregivers were paid directly from the care recipient’s budget but they too were dissatisfied with the low rate paid. Unlike the English, Dutch carers were paid from the care recipient’s personal budget. Although this arrangement may have benefitted the older person, carers were at risk of becoming dependent. The low payment was found to discourage men from providing care (Arksey &amp; Morée 2008). </w:t>
      </w:r>
    </w:p>
    <w:p w14:paraId="2DD040EE" w14:textId="77777777" w:rsidR="00E02154" w:rsidRPr="00E869A4" w:rsidRDefault="00E02154" w:rsidP="00960ECA">
      <w:pPr>
        <w:rPr>
          <w:rFonts w:ascii="Times New Roman" w:hAnsi="Times New Roman" w:cs="Times New Roman"/>
        </w:rPr>
      </w:pPr>
    </w:p>
    <w:p w14:paraId="2957B59E" w14:textId="203473C3" w:rsidR="00E02154" w:rsidRPr="00E869A4" w:rsidRDefault="00E02154" w:rsidP="00E02154">
      <w:pPr>
        <w:pStyle w:val="Heading4"/>
      </w:pPr>
      <w:r w:rsidRPr="00E869A4">
        <w:t>Service Rationing</w:t>
      </w:r>
    </w:p>
    <w:p w14:paraId="1B364589" w14:textId="77777777" w:rsidR="00960ECA" w:rsidRPr="00E869A4" w:rsidRDefault="00960ECA" w:rsidP="00960ECA">
      <w:pPr>
        <w:rPr>
          <w:rFonts w:ascii="Times New Roman" w:hAnsi="Times New Roman" w:cs="Times New Roman"/>
        </w:rPr>
      </w:pPr>
    </w:p>
    <w:p w14:paraId="0C16570A" w14:textId="77777777"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Barusch identified eight (8) services that were provided to family carers of older relatives in the countries she studied: 1) nutrition support; 2) visiting nurse; 3) home health aide; 4) housekeeping assistance; 5) counselling; 6) transportation; 7) respite care in the home; and 8) respite care in another place. At the time of her study, four countries limited the provision of services to older people who had no family to assist with their care. This rationing of services was consistent with concerns about a substitution effect, even though there is ample evidence that families do not reduce the amount of care they provide when services are offered. Some of her survey respondents argued that service rationing is a pragmatic strategy when there are limited economic resources. </w:t>
      </w:r>
    </w:p>
    <w:p w14:paraId="5015CBEF" w14:textId="77777777" w:rsidR="00960ECA" w:rsidRPr="00E869A4" w:rsidRDefault="00960ECA" w:rsidP="00960ECA">
      <w:pPr>
        <w:rPr>
          <w:rFonts w:ascii="Times New Roman" w:hAnsi="Times New Roman" w:cs="Times New Roman"/>
        </w:rPr>
      </w:pPr>
    </w:p>
    <w:p w14:paraId="6F3D7D97" w14:textId="77777777" w:rsidR="00960ECA" w:rsidRPr="00E869A4" w:rsidRDefault="00960ECA" w:rsidP="00960ECA">
      <w:r w:rsidRPr="00E869A4">
        <w:rPr>
          <w:rFonts w:ascii="Times New Roman" w:hAnsi="Times New Roman" w:cs="Times New Roman"/>
        </w:rPr>
        <w:t xml:space="preserve">However, Barusch asserted that the main criteria for service provision should not merely be whether or not there are existing able-bodied family members to provide care, as this simplistic approach can lead to detrimental outcomes in instances where, for instance, there is a history of abuse, indifference or neglect. Furthermore, she opined that service rationing may result in the wasting of resources that are directed to older people who may not have family members to care for them, but have a strong social support network consisting of friends who are willing to fill the gap in family care provision. Barusch concluded that service rationing may result in poorly targeted programmes that deny services to families in greatest need. </w:t>
      </w:r>
      <w:r w:rsidRPr="00E869A4">
        <w:t xml:space="preserve">Several policy analysts (e.g. Dijkhoff 2019; Gugushvili &amp; Hirsch 2014; and, Merlis 2004) shared a similar view and noted that targeted approaches are generally associated with high administrative costs for data collection, processing and regular reassessments that use dehumanising, invasive procedures to assess need, and the stigmatisation of clients which contributes to the low uptake of </w:t>
      </w:r>
      <w:r w:rsidRPr="00E869A4">
        <w:lastRenderedPageBreak/>
        <w:t>these services by persons most in need of them. Furthermore, in the LAC region, targeted programmes are oftentimes undermined by the high informality that is often used, while fiscal constraints and lack of required know-how hinders universal provision (Bloeck et al 2018).</w:t>
      </w:r>
    </w:p>
    <w:p w14:paraId="25080E08" w14:textId="77777777" w:rsidR="00960ECA" w:rsidRPr="00E869A4" w:rsidRDefault="00960ECA" w:rsidP="00960ECA">
      <w:pPr>
        <w:rPr>
          <w:rFonts w:ascii="Times New Roman" w:hAnsi="Times New Roman" w:cs="Times New Roman"/>
        </w:rPr>
      </w:pPr>
    </w:p>
    <w:p w14:paraId="410F0C44" w14:textId="3502E714" w:rsidR="00960ECA" w:rsidRPr="00E869A4" w:rsidRDefault="00960ECA" w:rsidP="00960ECA">
      <w:pPr>
        <w:rPr>
          <w:rFonts w:ascii="Times New Roman" w:hAnsi="Times New Roman" w:cs="Times New Roman"/>
        </w:rPr>
      </w:pPr>
      <w:r w:rsidRPr="00E869A4">
        <w:rPr>
          <w:rFonts w:ascii="Times New Roman" w:hAnsi="Times New Roman" w:cs="Times New Roman"/>
        </w:rPr>
        <w:t xml:space="preserve">To overcome the challenges associated with each of the three types of interventions highlighted above, Barusch (2015) recommended that family care interventions should allow for universal access and that the support provided should be a diverse package that fits a continuum of care alternatives. </w:t>
      </w:r>
      <w:r w:rsidRPr="00E869A4">
        <w:t>Some of the advantages of universal interventions include the greater possibility of maintaining the dignity of all clients irrespective of the</w:t>
      </w:r>
      <w:r w:rsidR="0057762F">
        <w:t>ir</w:t>
      </w:r>
      <w:r w:rsidRPr="00E869A4">
        <w:t xml:space="preserve"> socio-economic background, the ability to mobilise more resources overall since both the non-poor and those living in poverty are integrated into the system (this increases the possibility of better quality services, and are more likely to achieve wider political support than one that is limited to low income groups. However, universal service provision often results in better off groups receiving more support as they are more adept at navigating the system. Universal programmes are also inherently very costly given the large number of persons that they cater to. Given this, many countries, such as Sweden and Spain have shifted from the universal model of care (Brodsky et al. 2003; Kroger &amp; Yeandle 2014; Spijker &amp; Zueras 2018). </w:t>
      </w:r>
      <w:r w:rsidRPr="00E869A4">
        <w:rPr>
          <w:rFonts w:ascii="Times New Roman" w:hAnsi="Times New Roman" w:cs="Times New Roman"/>
        </w:rPr>
        <w:t>Bloeck et al (2018) argued that universal programmes are not feasible in the short term for developing nations given their constraints. They recommend that targeting mechanisms be used for long term care services and advised that the weaknesses of targeted programmes can be largely overcome by careful analysis of potential beneficiaries using objective, verifiable information such as income, age, assets and labour market status, the conduct of objective and transparent beneficiary evaluation that involves several actors in the conduct of such assessments.</w:t>
      </w:r>
    </w:p>
    <w:p w14:paraId="795671DA" w14:textId="77777777" w:rsidR="00960ECA" w:rsidRPr="00E869A4" w:rsidRDefault="00960ECA" w:rsidP="00960ECA">
      <w:pPr>
        <w:rPr>
          <w:rFonts w:ascii="Times New Roman" w:hAnsi="Times New Roman" w:cs="Times New Roman"/>
        </w:rPr>
      </w:pPr>
    </w:p>
    <w:p w14:paraId="1652B314" w14:textId="60F80E5B" w:rsidR="001F077F" w:rsidRPr="00E869A4" w:rsidRDefault="004D5CDF" w:rsidP="00175C3E">
      <w:pPr>
        <w:pStyle w:val="Heading2"/>
      </w:pPr>
      <w:bookmarkStart w:id="168" w:name="_Toc40436481"/>
      <w:r w:rsidRPr="00E869A4">
        <w:t>2.</w:t>
      </w:r>
      <w:r w:rsidR="00A54D7D" w:rsidRPr="00E869A4">
        <w:t>5</w:t>
      </w:r>
      <w:r w:rsidR="0026082D" w:rsidRPr="00E869A4">
        <w:t xml:space="preserve"> </w:t>
      </w:r>
      <w:r w:rsidR="006C452B" w:rsidRPr="00E869A4">
        <w:t>CONCLUSION</w:t>
      </w:r>
      <w:bookmarkEnd w:id="168"/>
    </w:p>
    <w:p w14:paraId="7DACBC6F" w14:textId="77777777" w:rsidR="00D04DCD" w:rsidRPr="00E869A4" w:rsidRDefault="00D04DCD" w:rsidP="0051234F">
      <w:pPr>
        <w:pStyle w:val="112"/>
        <w:rPr>
          <w:color w:val="auto"/>
        </w:rPr>
      </w:pPr>
    </w:p>
    <w:p w14:paraId="66C5FB0A" w14:textId="6E3E7F7C" w:rsidR="004D372D" w:rsidRPr="00E869A4" w:rsidRDefault="004D372D" w:rsidP="00354464">
      <w:pPr>
        <w:rPr>
          <w:rFonts w:ascii="Times New Roman" w:hAnsi="Times New Roman" w:cs="Times New Roman"/>
        </w:rPr>
      </w:pPr>
      <w:r w:rsidRPr="00E869A4">
        <w:rPr>
          <w:rFonts w:ascii="Times New Roman" w:hAnsi="Times New Roman" w:cs="Times New Roman"/>
        </w:rPr>
        <w:t xml:space="preserve">This </w:t>
      </w:r>
      <w:r w:rsidR="006C452B" w:rsidRPr="00E869A4">
        <w:rPr>
          <w:rFonts w:ascii="Times New Roman" w:hAnsi="Times New Roman" w:cs="Times New Roman"/>
        </w:rPr>
        <w:t>chapter</w:t>
      </w:r>
      <w:r w:rsidRPr="00E869A4">
        <w:rPr>
          <w:rFonts w:ascii="Times New Roman" w:hAnsi="Times New Roman" w:cs="Times New Roman"/>
        </w:rPr>
        <w:t xml:space="preserve"> examined variou</w:t>
      </w:r>
      <w:r w:rsidR="00ED1858" w:rsidRPr="00E869A4">
        <w:rPr>
          <w:rFonts w:ascii="Times New Roman" w:hAnsi="Times New Roman" w:cs="Times New Roman"/>
        </w:rPr>
        <w:t xml:space="preserve">s </w:t>
      </w:r>
      <w:r w:rsidR="00354464" w:rsidRPr="00E869A4">
        <w:rPr>
          <w:rFonts w:ascii="Times New Roman" w:hAnsi="Times New Roman" w:cs="Times New Roman"/>
        </w:rPr>
        <w:t xml:space="preserve">sociological </w:t>
      </w:r>
      <w:r w:rsidR="00ED1858" w:rsidRPr="00E869A4">
        <w:rPr>
          <w:rFonts w:ascii="Times New Roman" w:hAnsi="Times New Roman" w:cs="Times New Roman"/>
        </w:rPr>
        <w:t>approaches to defining the family</w:t>
      </w:r>
      <w:r w:rsidR="00774A8D" w:rsidRPr="00E869A4">
        <w:rPr>
          <w:rFonts w:ascii="Times New Roman" w:hAnsi="Times New Roman" w:cs="Times New Roman"/>
        </w:rPr>
        <w:t>,</w:t>
      </w:r>
      <w:r w:rsidR="00ED1858" w:rsidRPr="00E869A4">
        <w:rPr>
          <w:rFonts w:ascii="Times New Roman" w:hAnsi="Times New Roman" w:cs="Times New Roman"/>
        </w:rPr>
        <w:t xml:space="preserve"> </w:t>
      </w:r>
      <w:r w:rsidRPr="00E869A4">
        <w:rPr>
          <w:rFonts w:ascii="Times New Roman" w:hAnsi="Times New Roman" w:cs="Times New Roman"/>
        </w:rPr>
        <w:t>care</w:t>
      </w:r>
      <w:r w:rsidR="00ED1858" w:rsidRPr="00E869A4">
        <w:rPr>
          <w:rFonts w:ascii="Times New Roman" w:hAnsi="Times New Roman" w:cs="Times New Roman"/>
        </w:rPr>
        <w:t>giving</w:t>
      </w:r>
      <w:r w:rsidR="00774A8D" w:rsidRPr="00E869A4">
        <w:rPr>
          <w:rFonts w:ascii="Times New Roman" w:hAnsi="Times New Roman" w:cs="Times New Roman"/>
        </w:rPr>
        <w:t xml:space="preserve"> and family policy</w:t>
      </w:r>
      <w:r w:rsidRPr="00E869A4">
        <w:rPr>
          <w:rFonts w:ascii="Times New Roman" w:hAnsi="Times New Roman" w:cs="Times New Roman"/>
        </w:rPr>
        <w:t xml:space="preserve">. The review looked at different </w:t>
      </w:r>
      <w:r w:rsidR="00ED1858" w:rsidRPr="00E869A4">
        <w:rPr>
          <w:rFonts w:ascii="Times New Roman" w:hAnsi="Times New Roman" w:cs="Times New Roman"/>
        </w:rPr>
        <w:t>theoretical perspectives on what a family is, and noted that it is now widely accepted that the nuclear family form is not necessarily an ideal</w:t>
      </w:r>
      <w:r w:rsidR="001D42F3" w:rsidRPr="00E869A4">
        <w:rPr>
          <w:rFonts w:ascii="Times New Roman" w:hAnsi="Times New Roman" w:cs="Times New Roman"/>
        </w:rPr>
        <w:t>. The existence of</w:t>
      </w:r>
      <w:r w:rsidR="00ED1858" w:rsidRPr="00E869A4">
        <w:rPr>
          <w:rFonts w:ascii="Times New Roman" w:hAnsi="Times New Roman" w:cs="Times New Roman"/>
        </w:rPr>
        <w:t xml:space="preserve"> conflict and consensus in families</w:t>
      </w:r>
      <w:r w:rsidR="001D42F3" w:rsidRPr="00E869A4">
        <w:rPr>
          <w:rFonts w:ascii="Times New Roman" w:hAnsi="Times New Roman" w:cs="Times New Roman"/>
        </w:rPr>
        <w:t xml:space="preserve"> was also acknowledged in contemporary discourse. The importance of </w:t>
      </w:r>
      <w:r w:rsidR="00ED1858" w:rsidRPr="00E869A4">
        <w:rPr>
          <w:rFonts w:ascii="Times New Roman" w:hAnsi="Times New Roman" w:cs="Times New Roman"/>
        </w:rPr>
        <w:t xml:space="preserve">blood ties, fictive kin and displays of family relationships was </w:t>
      </w:r>
      <w:r w:rsidR="001D42F3" w:rsidRPr="00E869A4">
        <w:rPr>
          <w:rFonts w:ascii="Times New Roman" w:hAnsi="Times New Roman" w:cs="Times New Roman"/>
        </w:rPr>
        <w:t xml:space="preserve">highlighted, as well as the impact of structure and agency on the composition and activities of families. </w:t>
      </w:r>
      <w:r w:rsidR="00ED1858" w:rsidRPr="00E869A4">
        <w:rPr>
          <w:rFonts w:ascii="Times New Roman" w:hAnsi="Times New Roman" w:cs="Times New Roman"/>
        </w:rPr>
        <w:t xml:space="preserve"> </w:t>
      </w:r>
      <w:r w:rsidR="001D42F3" w:rsidRPr="00E869A4">
        <w:rPr>
          <w:rFonts w:ascii="Times New Roman" w:hAnsi="Times New Roman" w:cs="Times New Roman"/>
        </w:rPr>
        <w:t>Similarly, as with families, t</w:t>
      </w:r>
      <w:r w:rsidR="00ED1858" w:rsidRPr="00E869A4">
        <w:rPr>
          <w:rFonts w:ascii="Times New Roman" w:hAnsi="Times New Roman" w:cs="Times New Roman"/>
        </w:rPr>
        <w:t xml:space="preserve">he </w:t>
      </w:r>
      <w:r w:rsidR="00354464" w:rsidRPr="00E869A4">
        <w:rPr>
          <w:rFonts w:ascii="Times New Roman" w:hAnsi="Times New Roman" w:cs="Times New Roman"/>
        </w:rPr>
        <w:t>existence of</w:t>
      </w:r>
      <w:r w:rsidR="00ED1858" w:rsidRPr="00E869A4">
        <w:rPr>
          <w:rFonts w:ascii="Times New Roman" w:hAnsi="Times New Roman" w:cs="Times New Roman"/>
        </w:rPr>
        <w:t xml:space="preserve"> multiple </w:t>
      </w:r>
      <w:r w:rsidR="00ED1858" w:rsidRPr="00E869A4">
        <w:rPr>
          <w:rFonts w:ascii="Times New Roman" w:hAnsi="Times New Roman" w:cs="Times New Roman"/>
        </w:rPr>
        <w:lastRenderedPageBreak/>
        <w:t xml:space="preserve">dimensions </w:t>
      </w:r>
      <w:r w:rsidRPr="00E869A4">
        <w:rPr>
          <w:rFonts w:ascii="Times New Roman" w:hAnsi="Times New Roman" w:cs="Times New Roman"/>
        </w:rPr>
        <w:t>of care</w:t>
      </w:r>
      <w:r w:rsidR="00ED1858" w:rsidRPr="00E869A4">
        <w:rPr>
          <w:rFonts w:ascii="Times New Roman" w:hAnsi="Times New Roman" w:cs="Times New Roman"/>
        </w:rPr>
        <w:t xml:space="preserve"> </w:t>
      </w:r>
      <w:r w:rsidR="00354464" w:rsidRPr="00E869A4">
        <w:rPr>
          <w:rFonts w:ascii="Times New Roman" w:hAnsi="Times New Roman" w:cs="Times New Roman"/>
        </w:rPr>
        <w:t>was underscored</w:t>
      </w:r>
      <w:r w:rsidR="001D42F3" w:rsidRPr="00E869A4">
        <w:rPr>
          <w:rFonts w:ascii="Times New Roman" w:hAnsi="Times New Roman" w:cs="Times New Roman"/>
        </w:rPr>
        <w:t>, in addition to</w:t>
      </w:r>
      <w:r w:rsidR="00354464" w:rsidRPr="00E869A4">
        <w:rPr>
          <w:rFonts w:ascii="Times New Roman" w:hAnsi="Times New Roman" w:cs="Times New Roman"/>
        </w:rPr>
        <w:t xml:space="preserve"> the </w:t>
      </w:r>
      <w:r w:rsidR="00ED1858" w:rsidRPr="00E869A4">
        <w:rPr>
          <w:rFonts w:ascii="Times New Roman" w:hAnsi="Times New Roman" w:cs="Times New Roman"/>
        </w:rPr>
        <w:t xml:space="preserve">dynamic nature of caregiving in </w:t>
      </w:r>
      <w:r w:rsidR="00354464" w:rsidRPr="00E869A4">
        <w:rPr>
          <w:rFonts w:ascii="Times New Roman" w:hAnsi="Times New Roman" w:cs="Times New Roman"/>
        </w:rPr>
        <w:t>practice</w:t>
      </w:r>
      <w:r w:rsidR="00ED1858" w:rsidRPr="00E869A4">
        <w:rPr>
          <w:rFonts w:ascii="Times New Roman" w:hAnsi="Times New Roman" w:cs="Times New Roman"/>
        </w:rPr>
        <w:t xml:space="preserve">. </w:t>
      </w:r>
      <w:r w:rsidRPr="00E869A4">
        <w:rPr>
          <w:rFonts w:ascii="Times New Roman" w:hAnsi="Times New Roman" w:cs="Times New Roman"/>
        </w:rPr>
        <w:t xml:space="preserve"> </w:t>
      </w:r>
      <w:r w:rsidR="00BC16AF" w:rsidRPr="00E869A4">
        <w:rPr>
          <w:rFonts w:ascii="Times New Roman" w:hAnsi="Times New Roman" w:cs="Times New Roman"/>
        </w:rPr>
        <w:t>S</w:t>
      </w:r>
      <w:r w:rsidR="00ED1858" w:rsidRPr="00E869A4">
        <w:rPr>
          <w:rFonts w:ascii="Times New Roman" w:hAnsi="Times New Roman" w:cs="Times New Roman"/>
        </w:rPr>
        <w:t>ome of the challenges involve</w:t>
      </w:r>
      <w:r w:rsidR="00354464" w:rsidRPr="00E869A4">
        <w:rPr>
          <w:rFonts w:ascii="Times New Roman" w:hAnsi="Times New Roman" w:cs="Times New Roman"/>
        </w:rPr>
        <w:t>d in conceptualising</w:t>
      </w:r>
      <w:r w:rsidR="00ED1858" w:rsidRPr="00E869A4">
        <w:rPr>
          <w:rFonts w:ascii="Times New Roman" w:hAnsi="Times New Roman" w:cs="Times New Roman"/>
        </w:rPr>
        <w:t xml:space="preserve"> the</w:t>
      </w:r>
      <w:r w:rsidR="00BC16AF" w:rsidRPr="00E869A4">
        <w:rPr>
          <w:rFonts w:ascii="Times New Roman" w:hAnsi="Times New Roman" w:cs="Times New Roman"/>
        </w:rPr>
        <w:t xml:space="preserve"> family</w:t>
      </w:r>
      <w:r w:rsidR="00ED1858" w:rsidRPr="00E869A4">
        <w:rPr>
          <w:rFonts w:ascii="Times New Roman" w:hAnsi="Times New Roman" w:cs="Times New Roman"/>
        </w:rPr>
        <w:t xml:space="preserve"> caregiver </w:t>
      </w:r>
      <w:r w:rsidR="00BC16AF" w:rsidRPr="00E869A4">
        <w:rPr>
          <w:rFonts w:ascii="Times New Roman" w:hAnsi="Times New Roman" w:cs="Times New Roman"/>
        </w:rPr>
        <w:t>were highlighted</w:t>
      </w:r>
      <w:r w:rsidR="00ED1858" w:rsidRPr="00E869A4">
        <w:rPr>
          <w:rFonts w:ascii="Times New Roman" w:hAnsi="Times New Roman" w:cs="Times New Roman"/>
        </w:rPr>
        <w:t xml:space="preserve">. </w:t>
      </w:r>
      <w:r w:rsidR="00002E8F" w:rsidRPr="00E869A4">
        <w:rPr>
          <w:rFonts w:ascii="Times New Roman" w:hAnsi="Times New Roman" w:cs="Times New Roman"/>
        </w:rPr>
        <w:t xml:space="preserve">Overall, the need to avoid false dichotomisations and simplistic </w:t>
      </w:r>
      <w:r w:rsidR="00BC16AF" w:rsidRPr="00E869A4">
        <w:rPr>
          <w:rFonts w:ascii="Times New Roman" w:hAnsi="Times New Roman" w:cs="Times New Roman"/>
        </w:rPr>
        <w:t>notions</w:t>
      </w:r>
      <w:r w:rsidR="00002E8F" w:rsidRPr="00E869A4">
        <w:rPr>
          <w:rFonts w:ascii="Times New Roman" w:hAnsi="Times New Roman" w:cs="Times New Roman"/>
        </w:rPr>
        <w:t xml:space="preserve"> of family and care </w:t>
      </w:r>
      <w:r w:rsidR="001D42F3" w:rsidRPr="00E869A4">
        <w:rPr>
          <w:rFonts w:ascii="Times New Roman" w:hAnsi="Times New Roman" w:cs="Times New Roman"/>
        </w:rPr>
        <w:t>were key</w:t>
      </w:r>
      <w:r w:rsidR="00354464" w:rsidRPr="00E869A4">
        <w:rPr>
          <w:rFonts w:ascii="Times New Roman" w:hAnsi="Times New Roman" w:cs="Times New Roman"/>
        </w:rPr>
        <w:t xml:space="preserve"> outcomes of the various attempts by social science researchers to define these concepts</w:t>
      </w:r>
      <w:r w:rsidR="00002E8F" w:rsidRPr="00E869A4">
        <w:rPr>
          <w:rFonts w:ascii="Times New Roman" w:hAnsi="Times New Roman" w:cs="Times New Roman"/>
        </w:rPr>
        <w:t xml:space="preserve">. </w:t>
      </w:r>
    </w:p>
    <w:p w14:paraId="543C8D44" w14:textId="77777777" w:rsidR="00D04DCD" w:rsidRPr="00E869A4" w:rsidRDefault="00D04DCD" w:rsidP="00A35FF8">
      <w:pPr>
        <w:rPr>
          <w:rFonts w:ascii="Times New Roman" w:hAnsi="Times New Roman" w:cs="Times New Roman"/>
        </w:rPr>
      </w:pPr>
    </w:p>
    <w:p w14:paraId="55A243C7" w14:textId="2C32C92A" w:rsidR="00774A8D" w:rsidRPr="00E869A4" w:rsidRDefault="00774A8D" w:rsidP="00774A8D">
      <w:pPr>
        <w:rPr>
          <w:rFonts w:ascii="Times New Roman" w:hAnsi="Times New Roman" w:cs="Times New Roman"/>
          <w:szCs w:val="24"/>
        </w:rPr>
      </w:pPr>
      <w:r w:rsidRPr="00E869A4">
        <w:rPr>
          <w:rFonts w:cs="Times New Roman"/>
        </w:rPr>
        <w:t>The chapter also highlighted key policy issues that pertain to family care for older persons of which, one of the main concerns was that family members may lessen or even relinquish their role in the care process, and how policies may affect such occurrences. Different views about familialism and de-familialism were highlighted as well as strategies used in different regions to address the needs of older persons and their family carers. These included filial support legislation, financial incentives for family caregivers, service-rationing provisions, legal, ecological, personal and economic strategies.  The debate on universal versus targeted service provision</w:t>
      </w:r>
      <w:r w:rsidR="0072443C" w:rsidRPr="00E869A4">
        <w:rPr>
          <w:rFonts w:cs="Times New Roman"/>
        </w:rPr>
        <w:t xml:space="preserve"> to families was also discussed. </w:t>
      </w:r>
      <w:r w:rsidR="0072443C" w:rsidRPr="00E869A4">
        <w:rPr>
          <w:rFonts w:ascii="Times New Roman" w:hAnsi="Times New Roman" w:cs="Times New Roman"/>
        </w:rPr>
        <w:t>In the chapter that follows, the literature on the determinants of caregiver role acquisition and how older persons and carers experience care is considered.</w:t>
      </w:r>
    </w:p>
    <w:p w14:paraId="3204535A" w14:textId="77777777" w:rsidR="00D04DCD" w:rsidRPr="00E869A4" w:rsidRDefault="00D04DCD" w:rsidP="00A35FF8">
      <w:pPr>
        <w:rPr>
          <w:rFonts w:ascii="Times New Roman" w:hAnsi="Times New Roman" w:cs="Times New Roman"/>
        </w:rPr>
      </w:pPr>
    </w:p>
    <w:p w14:paraId="6AFE81E1" w14:textId="77777777" w:rsidR="00E96688" w:rsidRPr="00E869A4" w:rsidRDefault="00E96688">
      <w:pPr>
        <w:spacing w:line="276" w:lineRule="auto"/>
        <w:rPr>
          <w:rFonts w:ascii="Times New Roman" w:hAnsi="Times New Roman" w:cs="Times New Roman"/>
          <w:b/>
          <w:i/>
          <w:szCs w:val="24"/>
          <w:u w:val="single"/>
          <w:lang w:eastAsia="en-US"/>
        </w:rPr>
      </w:pPr>
      <w:r w:rsidRPr="00E869A4">
        <w:br w:type="page"/>
      </w:r>
    </w:p>
    <w:p w14:paraId="78B49FBD" w14:textId="376EFADA" w:rsidR="00346437" w:rsidRPr="00E869A4" w:rsidRDefault="0000338B" w:rsidP="00D20B2D">
      <w:pPr>
        <w:pStyle w:val="Heading1"/>
        <w:rPr>
          <w:lang w:val="en-GB"/>
        </w:rPr>
      </w:pPr>
      <w:bookmarkStart w:id="169" w:name="_Toc40436482"/>
      <w:r w:rsidRPr="00E869A4">
        <w:rPr>
          <w:lang w:val="en-GB"/>
        </w:rPr>
        <w:lastRenderedPageBreak/>
        <w:t>CHAPTER 3</w:t>
      </w:r>
      <w:r w:rsidR="007E0B8D" w:rsidRPr="00E869A4">
        <w:rPr>
          <w:lang w:val="en-GB"/>
        </w:rPr>
        <w:t xml:space="preserve"> –</w:t>
      </w:r>
      <w:r w:rsidR="00E96688" w:rsidRPr="00E869A4">
        <w:rPr>
          <w:lang w:val="en-GB"/>
        </w:rPr>
        <w:t xml:space="preserve"> </w:t>
      </w:r>
      <w:r w:rsidR="00951B19" w:rsidRPr="00E869A4">
        <w:rPr>
          <w:lang w:val="en-GB"/>
        </w:rPr>
        <w:t>LITERATURE REVIEW</w:t>
      </w:r>
      <w:bookmarkEnd w:id="169"/>
      <w:r w:rsidR="00951B19" w:rsidRPr="00E869A4">
        <w:rPr>
          <w:lang w:val="en-GB"/>
        </w:rPr>
        <w:t xml:space="preserve"> </w:t>
      </w:r>
    </w:p>
    <w:p w14:paraId="40C97AF1" w14:textId="434CD028" w:rsidR="00D106CD" w:rsidRPr="00E869A4" w:rsidRDefault="0000338B" w:rsidP="00D20B2D">
      <w:pPr>
        <w:pStyle w:val="Heading1"/>
        <w:rPr>
          <w:lang w:val="en-GB"/>
        </w:rPr>
      </w:pPr>
      <w:bookmarkStart w:id="170" w:name="_Toc40436483"/>
      <w:r w:rsidRPr="00E869A4">
        <w:rPr>
          <w:lang w:val="en-GB"/>
        </w:rPr>
        <w:t xml:space="preserve">CARE </w:t>
      </w:r>
      <w:r w:rsidR="00591618" w:rsidRPr="00E869A4">
        <w:rPr>
          <w:lang w:val="en-GB"/>
        </w:rPr>
        <w:t>D</w:t>
      </w:r>
      <w:r w:rsidRPr="00E869A4">
        <w:rPr>
          <w:lang w:val="en-GB"/>
        </w:rPr>
        <w:t>ETERMINANTS &amp; EXPERIENCES</w:t>
      </w:r>
      <w:bookmarkEnd w:id="170"/>
    </w:p>
    <w:p w14:paraId="0C7E401A" w14:textId="77777777" w:rsidR="00D04DCD" w:rsidRPr="00E869A4" w:rsidRDefault="00D04DCD" w:rsidP="0051234F">
      <w:pPr>
        <w:pStyle w:val="112"/>
        <w:rPr>
          <w:color w:val="auto"/>
        </w:rPr>
      </w:pPr>
    </w:p>
    <w:p w14:paraId="626DE309" w14:textId="77777777" w:rsidR="00D106CD" w:rsidRPr="00E869A4" w:rsidRDefault="00D7618E" w:rsidP="00175C3E">
      <w:pPr>
        <w:pStyle w:val="Heading2"/>
      </w:pPr>
      <w:bookmarkStart w:id="171" w:name="_Toc40436484"/>
      <w:r w:rsidRPr="00E869A4">
        <w:t xml:space="preserve">3.1 </w:t>
      </w:r>
      <w:r w:rsidR="000173B3" w:rsidRPr="00E869A4">
        <w:t>INTRODUCTION</w:t>
      </w:r>
      <w:bookmarkEnd w:id="171"/>
    </w:p>
    <w:p w14:paraId="2CABB5F3" w14:textId="77777777" w:rsidR="00DE7AC5" w:rsidRPr="00E869A4" w:rsidRDefault="00DE7AC5" w:rsidP="00A35FF8">
      <w:pPr>
        <w:rPr>
          <w:rFonts w:ascii="Times New Roman" w:hAnsi="Times New Roman" w:cs="Times New Roman"/>
        </w:rPr>
      </w:pPr>
    </w:p>
    <w:p w14:paraId="460BF854" w14:textId="7B064C28" w:rsidR="00FF6BB8" w:rsidRPr="00E869A4" w:rsidRDefault="00D106CD" w:rsidP="00FF6BB8">
      <w:pPr>
        <w:rPr>
          <w:rFonts w:ascii="Times New Roman" w:hAnsi="Times New Roman" w:cs="Times New Roman"/>
        </w:rPr>
      </w:pPr>
      <w:r w:rsidRPr="00E869A4">
        <w:rPr>
          <w:rFonts w:ascii="Times New Roman" w:hAnsi="Times New Roman" w:cs="Times New Roman"/>
        </w:rPr>
        <w:t xml:space="preserve">In this </w:t>
      </w:r>
      <w:r w:rsidR="00AB62D1" w:rsidRPr="00E869A4">
        <w:rPr>
          <w:rFonts w:ascii="Times New Roman" w:hAnsi="Times New Roman" w:cs="Times New Roman"/>
        </w:rPr>
        <w:t>chapter</w:t>
      </w:r>
      <w:r w:rsidR="00631078" w:rsidRPr="00E869A4">
        <w:rPr>
          <w:rFonts w:ascii="Times New Roman" w:hAnsi="Times New Roman" w:cs="Times New Roman"/>
        </w:rPr>
        <w:t>,</w:t>
      </w:r>
      <w:r w:rsidRPr="00E869A4">
        <w:rPr>
          <w:rFonts w:ascii="Times New Roman" w:hAnsi="Times New Roman" w:cs="Times New Roman"/>
        </w:rPr>
        <w:t xml:space="preserve"> I begin by reviewing the literature on the </w:t>
      </w:r>
      <w:r w:rsidR="00180731" w:rsidRPr="00E869A4">
        <w:rPr>
          <w:rFonts w:ascii="Times New Roman" w:hAnsi="Times New Roman" w:cs="Times New Roman"/>
        </w:rPr>
        <w:t>factors</w:t>
      </w:r>
      <w:r w:rsidRPr="00E869A4">
        <w:rPr>
          <w:rFonts w:ascii="Times New Roman" w:hAnsi="Times New Roman" w:cs="Times New Roman"/>
        </w:rPr>
        <w:t xml:space="preserve"> that increase the likelihood of someone becoming a family caregiver. </w:t>
      </w:r>
      <w:r w:rsidR="0011430D" w:rsidRPr="00E869A4">
        <w:rPr>
          <w:rFonts w:ascii="Times New Roman" w:hAnsi="Times New Roman" w:cs="Times New Roman"/>
        </w:rPr>
        <w:t xml:space="preserve"> </w:t>
      </w:r>
      <w:r w:rsidR="00180731" w:rsidRPr="00E869A4">
        <w:rPr>
          <w:rFonts w:ascii="Times New Roman" w:hAnsi="Times New Roman" w:cs="Times New Roman"/>
        </w:rPr>
        <w:t>Empirical studies as well as k</w:t>
      </w:r>
      <w:r w:rsidR="00FF6BB8" w:rsidRPr="00E869A4">
        <w:rPr>
          <w:rFonts w:ascii="Times New Roman" w:hAnsi="Times New Roman" w:cs="Times New Roman"/>
        </w:rPr>
        <w:t>ey theoretical frameworks that have been used to explain the process of caregiver role acquisition</w:t>
      </w:r>
      <w:r w:rsidR="00180731" w:rsidRPr="00E869A4">
        <w:rPr>
          <w:rFonts w:ascii="Times New Roman" w:hAnsi="Times New Roman" w:cs="Times New Roman"/>
        </w:rPr>
        <w:t xml:space="preserve"> are explored. With respect to the latter,</w:t>
      </w:r>
      <w:r w:rsidR="00FF6BB8" w:rsidRPr="00E869A4">
        <w:rPr>
          <w:rFonts w:ascii="Times New Roman" w:hAnsi="Times New Roman" w:cs="Times New Roman"/>
        </w:rPr>
        <w:t xml:space="preserve"> </w:t>
      </w:r>
      <w:r w:rsidRPr="00E869A4">
        <w:rPr>
          <w:rFonts w:ascii="Times New Roman" w:hAnsi="Times New Roman" w:cs="Times New Roman"/>
        </w:rPr>
        <w:t>Cantor’s Hierarchical Compensatory Model</w:t>
      </w:r>
      <w:r w:rsidR="00C92B51" w:rsidRPr="00E869A4">
        <w:rPr>
          <w:rFonts w:ascii="Times New Roman" w:hAnsi="Times New Roman" w:cs="Times New Roman"/>
        </w:rPr>
        <w:t xml:space="preserve"> (HCM)</w:t>
      </w:r>
      <w:r w:rsidRPr="00E869A4">
        <w:rPr>
          <w:rFonts w:ascii="Times New Roman" w:hAnsi="Times New Roman" w:cs="Times New Roman"/>
        </w:rPr>
        <w:t>, Litwak’s Task Specific Model</w:t>
      </w:r>
      <w:r w:rsidR="00C92B51" w:rsidRPr="00E869A4">
        <w:rPr>
          <w:rFonts w:ascii="Times New Roman" w:hAnsi="Times New Roman" w:cs="Times New Roman"/>
        </w:rPr>
        <w:t xml:space="preserve"> (TSM)</w:t>
      </w:r>
      <w:r w:rsidRPr="00E869A4">
        <w:rPr>
          <w:rFonts w:ascii="Times New Roman" w:hAnsi="Times New Roman" w:cs="Times New Roman"/>
        </w:rPr>
        <w:t xml:space="preserve">, </w:t>
      </w:r>
      <w:r w:rsidR="0011430D" w:rsidRPr="00E869A4">
        <w:rPr>
          <w:rFonts w:ascii="Times New Roman" w:hAnsi="Times New Roman" w:cs="Times New Roman"/>
        </w:rPr>
        <w:t>as well as</w:t>
      </w:r>
      <w:r w:rsidRPr="00E869A4">
        <w:rPr>
          <w:rFonts w:ascii="Times New Roman" w:hAnsi="Times New Roman" w:cs="Times New Roman"/>
        </w:rPr>
        <w:t xml:space="preserve"> a feminist/symbolic interactionist approach</w:t>
      </w:r>
      <w:r w:rsidR="00717BE6" w:rsidRPr="00E869A4">
        <w:rPr>
          <w:rFonts w:ascii="Times New Roman" w:hAnsi="Times New Roman" w:cs="Times New Roman"/>
        </w:rPr>
        <w:t xml:space="preserve"> are examined. </w:t>
      </w:r>
      <w:r w:rsidR="00FF6BB8" w:rsidRPr="00E869A4">
        <w:rPr>
          <w:rFonts w:ascii="Times New Roman" w:hAnsi="Times New Roman" w:cs="Times New Roman"/>
        </w:rPr>
        <w:t>Immediately following this is an examination of the literature on the experiences of care. As with the literature on the determinants of care</w:t>
      </w:r>
      <w:r w:rsidR="008976F5" w:rsidRPr="00E869A4">
        <w:rPr>
          <w:rFonts w:ascii="Times New Roman" w:hAnsi="Times New Roman" w:cs="Times New Roman"/>
        </w:rPr>
        <w:t>, the impact of</w:t>
      </w:r>
      <w:r w:rsidR="00FF6BB8" w:rsidRPr="00E869A4">
        <w:rPr>
          <w:rFonts w:ascii="Times New Roman" w:hAnsi="Times New Roman" w:cs="Times New Roman"/>
        </w:rPr>
        <w:t xml:space="preserve"> demographic factors</w:t>
      </w:r>
      <w:r w:rsidR="00131692">
        <w:rPr>
          <w:rFonts w:ascii="Times New Roman" w:hAnsi="Times New Roman" w:cs="Times New Roman"/>
        </w:rPr>
        <w:t xml:space="preserve"> on the care experience is review</w:t>
      </w:r>
      <w:r w:rsidR="008976F5" w:rsidRPr="00E869A4">
        <w:rPr>
          <w:rFonts w:ascii="Times New Roman" w:hAnsi="Times New Roman" w:cs="Times New Roman"/>
        </w:rPr>
        <w:t>ed.</w:t>
      </w:r>
      <w:r w:rsidR="00FF6BB8" w:rsidRPr="00E869A4">
        <w:rPr>
          <w:rFonts w:ascii="Times New Roman" w:hAnsi="Times New Roman" w:cs="Times New Roman"/>
        </w:rPr>
        <w:t xml:space="preserve"> I also give attention to </w:t>
      </w:r>
      <w:r w:rsidR="008976F5" w:rsidRPr="00E869A4">
        <w:rPr>
          <w:rFonts w:ascii="Times New Roman" w:hAnsi="Times New Roman" w:cs="Times New Roman"/>
        </w:rPr>
        <w:t xml:space="preserve">the </w:t>
      </w:r>
      <w:r w:rsidR="00FB6789" w:rsidRPr="00E869A4">
        <w:rPr>
          <w:rFonts w:ascii="Times New Roman" w:hAnsi="Times New Roman" w:cs="Times New Roman"/>
        </w:rPr>
        <w:t>effects</w:t>
      </w:r>
      <w:r w:rsidR="008976F5" w:rsidRPr="00E869A4">
        <w:rPr>
          <w:rFonts w:ascii="Times New Roman" w:hAnsi="Times New Roman" w:cs="Times New Roman"/>
        </w:rPr>
        <w:t xml:space="preserve"> of </w:t>
      </w:r>
      <w:r w:rsidR="00E950B1" w:rsidRPr="00E869A4">
        <w:rPr>
          <w:rFonts w:ascii="Times New Roman" w:hAnsi="Times New Roman" w:cs="Times New Roman"/>
        </w:rPr>
        <w:t>relationship, care and cultural</w:t>
      </w:r>
      <w:r w:rsidR="00FF6BB8" w:rsidRPr="00E869A4">
        <w:rPr>
          <w:rFonts w:ascii="Times New Roman" w:hAnsi="Times New Roman" w:cs="Times New Roman"/>
        </w:rPr>
        <w:t xml:space="preserve"> factors</w:t>
      </w:r>
      <w:r w:rsidR="008976F5" w:rsidRPr="00E869A4">
        <w:rPr>
          <w:rFonts w:ascii="Times New Roman" w:hAnsi="Times New Roman" w:cs="Times New Roman"/>
        </w:rPr>
        <w:t xml:space="preserve"> on how caregivers and cared-for older persons assess their care situation</w:t>
      </w:r>
      <w:r w:rsidR="00FF6BB8" w:rsidRPr="00E869A4">
        <w:rPr>
          <w:rFonts w:ascii="Times New Roman" w:hAnsi="Times New Roman" w:cs="Times New Roman"/>
        </w:rPr>
        <w:t xml:space="preserve">. </w:t>
      </w:r>
    </w:p>
    <w:p w14:paraId="609AEE2F" w14:textId="77777777" w:rsidR="00D04DCD" w:rsidRPr="00E869A4" w:rsidRDefault="00D04DCD" w:rsidP="00A35FF8">
      <w:pPr>
        <w:rPr>
          <w:rFonts w:ascii="Times New Roman" w:hAnsi="Times New Roman" w:cs="Times New Roman"/>
        </w:rPr>
      </w:pPr>
    </w:p>
    <w:p w14:paraId="335A4C25" w14:textId="2F428F6D" w:rsidR="00D106CD" w:rsidRPr="00E869A4" w:rsidRDefault="00681D1C" w:rsidP="00175C3E">
      <w:pPr>
        <w:pStyle w:val="Heading2"/>
      </w:pPr>
      <w:bookmarkStart w:id="172" w:name="_Toc40436485"/>
      <w:r w:rsidRPr="00E869A4">
        <w:t xml:space="preserve">3.2 </w:t>
      </w:r>
      <w:r w:rsidR="000173B3" w:rsidRPr="00E869A4">
        <w:t xml:space="preserve">SOCIO-CULTURAL </w:t>
      </w:r>
      <w:r w:rsidR="00180731" w:rsidRPr="00E869A4">
        <w:t>FACTORS</w:t>
      </w:r>
      <w:bookmarkEnd w:id="172"/>
      <w:r w:rsidR="006F4ED2" w:rsidRPr="00E869A4">
        <w:t xml:space="preserve"> </w:t>
      </w:r>
    </w:p>
    <w:p w14:paraId="2A27FD63" w14:textId="77777777" w:rsidR="00D04DCD" w:rsidRPr="00E869A4" w:rsidRDefault="00D04DCD" w:rsidP="0051234F">
      <w:pPr>
        <w:pStyle w:val="112"/>
        <w:rPr>
          <w:color w:val="auto"/>
        </w:rPr>
      </w:pPr>
    </w:p>
    <w:p w14:paraId="230F803F" w14:textId="0247FB71" w:rsidR="00F7016E" w:rsidRPr="00E869A4" w:rsidRDefault="00F7016E" w:rsidP="0051234F">
      <w:pPr>
        <w:pStyle w:val="112"/>
        <w:rPr>
          <w:color w:val="auto"/>
        </w:rPr>
      </w:pPr>
      <w:r w:rsidRPr="00E869A4">
        <w:rPr>
          <w:color w:val="auto"/>
        </w:rPr>
        <w:t xml:space="preserve">Following from Masuy’s (2011) study of the determinants of care in Belgium, I have organised the review of the literature on the </w:t>
      </w:r>
      <w:r w:rsidR="00180731" w:rsidRPr="00E869A4">
        <w:rPr>
          <w:color w:val="auto"/>
        </w:rPr>
        <w:t xml:space="preserve">socio-cultural factors that affect caregiver role acquisition </w:t>
      </w:r>
      <w:r w:rsidRPr="00E869A4">
        <w:rPr>
          <w:color w:val="auto"/>
        </w:rPr>
        <w:t>into three main themes: 1) need factors; 2) predisposing factors; and, 3) enabling factors</w:t>
      </w:r>
      <w:r w:rsidRPr="00E869A4">
        <w:rPr>
          <w:rStyle w:val="FootnoteReference"/>
          <w:color w:val="auto"/>
        </w:rPr>
        <w:footnoteReference w:id="35"/>
      </w:r>
      <w:r w:rsidRPr="00E869A4">
        <w:rPr>
          <w:color w:val="auto"/>
        </w:rPr>
        <w:t>.</w:t>
      </w:r>
    </w:p>
    <w:p w14:paraId="3446142A" w14:textId="77777777" w:rsidR="00F7016E" w:rsidRPr="00E869A4" w:rsidRDefault="00F7016E" w:rsidP="0051234F">
      <w:pPr>
        <w:pStyle w:val="112"/>
        <w:rPr>
          <w:color w:val="auto"/>
        </w:rPr>
      </w:pPr>
    </w:p>
    <w:p w14:paraId="2CCD3777" w14:textId="77777777" w:rsidR="00D106CD" w:rsidRPr="00E869A4" w:rsidRDefault="00681D1C" w:rsidP="005C449C">
      <w:pPr>
        <w:pStyle w:val="Heading3"/>
      </w:pPr>
      <w:bookmarkStart w:id="173" w:name="_Toc40436486"/>
      <w:r w:rsidRPr="00E869A4">
        <w:t>3.2.1</w:t>
      </w:r>
      <w:r w:rsidR="008B63D4" w:rsidRPr="00E869A4">
        <w:t xml:space="preserve">    </w:t>
      </w:r>
      <w:r w:rsidRPr="00E869A4">
        <w:t xml:space="preserve"> </w:t>
      </w:r>
      <w:r w:rsidR="0099281F" w:rsidRPr="00E869A4">
        <w:t>Need Factors</w:t>
      </w:r>
      <w:bookmarkEnd w:id="173"/>
    </w:p>
    <w:p w14:paraId="21EC680B" w14:textId="77777777" w:rsidR="00E23C1E" w:rsidRPr="00E869A4" w:rsidRDefault="00E23C1E" w:rsidP="0051234F">
      <w:pPr>
        <w:pStyle w:val="112"/>
        <w:rPr>
          <w:color w:val="auto"/>
        </w:rPr>
      </w:pPr>
    </w:p>
    <w:p w14:paraId="1AC35430" w14:textId="366A2C6B" w:rsidR="000C4B1E" w:rsidRPr="00E869A4" w:rsidRDefault="00E23C1E" w:rsidP="0051234F">
      <w:pPr>
        <w:pStyle w:val="112"/>
        <w:rPr>
          <w:color w:val="auto"/>
        </w:rPr>
      </w:pPr>
      <w:r w:rsidRPr="00E869A4">
        <w:rPr>
          <w:color w:val="auto"/>
        </w:rPr>
        <w:t>Need factors represent the potential need for family care support, and highlights the importance of issues such as perceived health status</w:t>
      </w:r>
      <w:r w:rsidR="00D61077" w:rsidRPr="00E869A4">
        <w:rPr>
          <w:color w:val="auto"/>
        </w:rPr>
        <w:t xml:space="preserve"> (including chronic health conditions and restricted activity) and </w:t>
      </w:r>
      <w:r w:rsidRPr="00E869A4">
        <w:rPr>
          <w:color w:val="auto"/>
        </w:rPr>
        <w:t xml:space="preserve">loss of a primary caregiver, </w:t>
      </w:r>
      <w:r w:rsidR="00D61077" w:rsidRPr="00E869A4">
        <w:rPr>
          <w:color w:val="auto"/>
        </w:rPr>
        <w:t xml:space="preserve">on the decision to adopt the role of carer to an older person. </w:t>
      </w:r>
    </w:p>
    <w:p w14:paraId="758517F9" w14:textId="77777777" w:rsidR="00FB6789" w:rsidRPr="00E869A4" w:rsidRDefault="00FB6789" w:rsidP="0051234F">
      <w:pPr>
        <w:pStyle w:val="112"/>
        <w:rPr>
          <w:color w:val="auto"/>
        </w:rPr>
      </w:pPr>
      <w:r w:rsidRPr="00E869A4">
        <w:rPr>
          <w:color w:val="auto"/>
        </w:rPr>
        <w:br w:type="page"/>
      </w:r>
    </w:p>
    <w:p w14:paraId="37806D87" w14:textId="6EFCDBB1" w:rsidR="00D106CD" w:rsidRPr="00E869A4" w:rsidRDefault="00D106CD" w:rsidP="00112260">
      <w:pPr>
        <w:pStyle w:val="Heading4"/>
      </w:pPr>
      <w:r w:rsidRPr="00E869A4">
        <w:lastRenderedPageBreak/>
        <w:t>Health Status</w:t>
      </w:r>
    </w:p>
    <w:p w14:paraId="54F6A03E" w14:textId="77777777" w:rsidR="00BD182F" w:rsidRPr="00E869A4" w:rsidRDefault="00BD182F" w:rsidP="00A35FF8">
      <w:pPr>
        <w:rPr>
          <w:rFonts w:ascii="Times New Roman" w:hAnsi="Times New Roman" w:cs="Times New Roman"/>
        </w:rPr>
      </w:pPr>
    </w:p>
    <w:p w14:paraId="146E6050" w14:textId="65BE7AA7" w:rsidR="00D106CD" w:rsidRPr="00E869A4" w:rsidRDefault="00D106CD" w:rsidP="00C92B51">
      <w:pPr>
        <w:rPr>
          <w:rFonts w:ascii="Times New Roman" w:hAnsi="Times New Roman" w:cs="Times New Roman"/>
        </w:rPr>
      </w:pPr>
      <w:r w:rsidRPr="00E869A4">
        <w:rPr>
          <w:rFonts w:ascii="Times New Roman" w:hAnsi="Times New Roman" w:cs="Times New Roman"/>
        </w:rPr>
        <w:t>The older person’s need for care is highlighted in most empirical studies and theoretical frameworks as the main trigger for family care provision. In some cases, care is characterised by caregiving in spurts to help with acute health events, the gradual intensification</w:t>
      </w:r>
      <w:r w:rsidR="00C92B51" w:rsidRPr="00E869A4">
        <w:rPr>
          <w:rFonts w:ascii="Times New Roman" w:hAnsi="Times New Roman" w:cs="Times New Roman"/>
        </w:rPr>
        <w:t xml:space="preserve"> of</w:t>
      </w:r>
      <w:r w:rsidRPr="00E869A4">
        <w:rPr>
          <w:rFonts w:ascii="Times New Roman" w:hAnsi="Times New Roman" w:cs="Times New Roman"/>
        </w:rPr>
        <w:t xml:space="preserve"> a pre-existing pattern of </w:t>
      </w:r>
      <w:r w:rsidR="00C25074" w:rsidRPr="00E869A4">
        <w:rPr>
          <w:rFonts w:ascii="Times New Roman" w:hAnsi="Times New Roman" w:cs="Times New Roman"/>
        </w:rPr>
        <w:t>aid giving</w:t>
      </w:r>
      <w:r w:rsidRPr="00E869A4">
        <w:rPr>
          <w:rFonts w:ascii="Times New Roman" w:hAnsi="Times New Roman" w:cs="Times New Roman"/>
        </w:rPr>
        <w:t xml:space="preserve"> and/or there is a definitive starting point that is marked by a sudden health crisis or chronic illness (Merrill 1997). </w:t>
      </w:r>
    </w:p>
    <w:p w14:paraId="6971A537" w14:textId="77777777" w:rsidR="00B36FD0" w:rsidRPr="00E869A4" w:rsidRDefault="00B36FD0" w:rsidP="00A35FF8">
      <w:pPr>
        <w:rPr>
          <w:rFonts w:ascii="Times New Roman" w:hAnsi="Times New Roman" w:cs="Times New Roman"/>
        </w:rPr>
      </w:pPr>
    </w:p>
    <w:p w14:paraId="47DC2C1C" w14:textId="57743B7F" w:rsidR="00D106CD" w:rsidRPr="00E869A4" w:rsidRDefault="00C25074" w:rsidP="00C92B51">
      <w:pPr>
        <w:rPr>
          <w:rFonts w:ascii="Times New Roman" w:hAnsi="Times New Roman" w:cs="Times New Roman"/>
        </w:rPr>
      </w:pPr>
      <w:r w:rsidRPr="00E869A4">
        <w:rPr>
          <w:rFonts w:ascii="Times New Roman" w:hAnsi="Times New Roman" w:cs="Times New Roman"/>
        </w:rPr>
        <w:t>A health care professional may make objective appraisals of care need</w:t>
      </w:r>
      <w:r w:rsidR="00D106CD" w:rsidRPr="00E869A4">
        <w:rPr>
          <w:rFonts w:ascii="Times New Roman" w:hAnsi="Times New Roman" w:cs="Times New Roman"/>
        </w:rPr>
        <w:t xml:space="preserve">. Subjective appraisals may also play a part and may account for cultural variations as to what health conditions are considered a priority area for family care provision. Factors such as self-reported number of symptoms, self-perceived health, </w:t>
      </w:r>
      <w:r w:rsidRPr="00E869A4">
        <w:rPr>
          <w:rFonts w:ascii="Times New Roman" w:hAnsi="Times New Roman" w:cs="Times New Roman"/>
        </w:rPr>
        <w:t>and number</w:t>
      </w:r>
      <w:r w:rsidR="00D106CD" w:rsidRPr="00E869A4">
        <w:rPr>
          <w:rFonts w:ascii="Times New Roman" w:hAnsi="Times New Roman" w:cs="Times New Roman"/>
        </w:rPr>
        <w:t xml:space="preserve"> of bed days, restricted activity, and </w:t>
      </w:r>
      <w:r w:rsidR="00C92B51" w:rsidRPr="00E869A4">
        <w:rPr>
          <w:rFonts w:ascii="Times New Roman" w:hAnsi="Times New Roman" w:cs="Times New Roman"/>
        </w:rPr>
        <w:t>ADLs</w:t>
      </w:r>
      <w:r w:rsidR="00D106CD" w:rsidRPr="00E869A4">
        <w:rPr>
          <w:rFonts w:ascii="Times New Roman" w:hAnsi="Times New Roman" w:cs="Times New Roman"/>
        </w:rPr>
        <w:t xml:space="preserve"> may be considered when determining </w:t>
      </w:r>
      <w:r w:rsidRPr="00E869A4">
        <w:rPr>
          <w:rFonts w:ascii="Times New Roman" w:hAnsi="Times New Roman" w:cs="Times New Roman"/>
        </w:rPr>
        <w:t>whether</w:t>
      </w:r>
      <w:r w:rsidR="00D106CD" w:rsidRPr="00E869A4">
        <w:rPr>
          <w:rFonts w:ascii="Times New Roman" w:hAnsi="Times New Roman" w:cs="Times New Roman"/>
        </w:rPr>
        <w:t xml:space="preserve"> an individual needs care (Jahangir 2012).</w:t>
      </w:r>
    </w:p>
    <w:p w14:paraId="6495150C" w14:textId="77777777" w:rsidR="00D04DCD" w:rsidRPr="00E869A4" w:rsidRDefault="00D04DCD" w:rsidP="00A35FF8">
      <w:pPr>
        <w:rPr>
          <w:rFonts w:ascii="Times New Roman" w:hAnsi="Times New Roman" w:cs="Times New Roman"/>
        </w:rPr>
      </w:pPr>
    </w:p>
    <w:p w14:paraId="46555642" w14:textId="6243157E" w:rsidR="00D106CD" w:rsidRPr="00E869A4" w:rsidRDefault="00D106CD" w:rsidP="00C92B51">
      <w:pPr>
        <w:rPr>
          <w:rFonts w:ascii="Times New Roman" w:hAnsi="Times New Roman" w:cs="Times New Roman"/>
        </w:rPr>
      </w:pPr>
      <w:r w:rsidRPr="00E869A4">
        <w:rPr>
          <w:rFonts w:ascii="Times New Roman" w:hAnsi="Times New Roman" w:cs="Times New Roman"/>
        </w:rPr>
        <w:t xml:space="preserve">While the caregiver’s health status is not explicitly discussed in the literature on determinants of care, it is usually implied that a potential caregiver is physically healthy enough to be able to undertake caregiving responsibilities. However, for the most part the literature is silent on this issue. </w:t>
      </w:r>
    </w:p>
    <w:p w14:paraId="66654376" w14:textId="77777777" w:rsidR="00CD62E8" w:rsidRPr="00E869A4" w:rsidRDefault="00CD62E8" w:rsidP="00C92B51">
      <w:pPr>
        <w:rPr>
          <w:rFonts w:ascii="Times New Roman" w:hAnsi="Times New Roman" w:cs="Times New Roman"/>
        </w:rPr>
      </w:pPr>
    </w:p>
    <w:p w14:paraId="37B03EF1" w14:textId="77777777" w:rsidR="00D106CD" w:rsidRPr="00E869A4" w:rsidRDefault="00D106CD" w:rsidP="00112260">
      <w:pPr>
        <w:pStyle w:val="Heading4"/>
      </w:pPr>
      <w:r w:rsidRPr="00E869A4">
        <w:t xml:space="preserve">Loss of a </w:t>
      </w:r>
      <w:r w:rsidR="00943508" w:rsidRPr="00E869A4">
        <w:t>Primary</w:t>
      </w:r>
      <w:r w:rsidRPr="00E869A4">
        <w:t xml:space="preserve"> Carer</w:t>
      </w:r>
    </w:p>
    <w:p w14:paraId="7F6B7059" w14:textId="77777777" w:rsidR="00D04DCD" w:rsidRPr="00E869A4" w:rsidRDefault="00D04DCD" w:rsidP="0051234F">
      <w:pPr>
        <w:pStyle w:val="112"/>
        <w:rPr>
          <w:color w:val="auto"/>
        </w:rPr>
      </w:pPr>
    </w:p>
    <w:p w14:paraId="17D36079" w14:textId="4831E0CD" w:rsidR="00881295" w:rsidRPr="00E869A4" w:rsidRDefault="00D106CD">
      <w:pPr>
        <w:rPr>
          <w:rFonts w:ascii="Times New Roman" w:hAnsi="Times New Roman" w:cs="Times New Roman"/>
        </w:rPr>
      </w:pPr>
      <w:r w:rsidRPr="00E869A4">
        <w:rPr>
          <w:rFonts w:ascii="Times New Roman" w:hAnsi="Times New Roman" w:cs="Times New Roman"/>
        </w:rPr>
        <w:t>An older person’s need for family care might also be triggered when a previous caregiver is no longer available (Schrӧder-Butterfill &amp; Marianti</w:t>
      </w:r>
      <w:r w:rsidR="00CD62E8" w:rsidRPr="00E869A4">
        <w:rPr>
          <w:rFonts w:ascii="Times New Roman" w:hAnsi="Times New Roman" w:cs="Times New Roman"/>
        </w:rPr>
        <w:t xml:space="preserve"> </w:t>
      </w:r>
      <w:r w:rsidRPr="00E869A4">
        <w:rPr>
          <w:rFonts w:ascii="Times New Roman" w:hAnsi="Times New Roman" w:cs="Times New Roman"/>
        </w:rPr>
        <w:t xml:space="preserve">2006). Such a situation may occur because the primary caregiver had other competing personal needs, the individual has migrated, or the primary caregiver may have died. In such </w:t>
      </w:r>
      <w:r w:rsidR="00C25074" w:rsidRPr="00E869A4">
        <w:rPr>
          <w:rFonts w:ascii="Times New Roman" w:hAnsi="Times New Roman" w:cs="Times New Roman"/>
        </w:rPr>
        <w:t>situations,</w:t>
      </w:r>
      <w:r w:rsidRPr="00E869A4">
        <w:rPr>
          <w:rFonts w:ascii="Times New Roman" w:hAnsi="Times New Roman" w:cs="Times New Roman"/>
        </w:rPr>
        <w:t xml:space="preserve"> another family member may adopt the role of primary carer (Brody et al</w:t>
      </w:r>
      <w:r w:rsidR="00B90224" w:rsidRPr="00E869A4">
        <w:rPr>
          <w:rFonts w:ascii="Times New Roman" w:hAnsi="Times New Roman" w:cs="Times New Roman"/>
        </w:rPr>
        <w:t>.</w:t>
      </w:r>
      <w:r w:rsidRPr="00E869A4">
        <w:rPr>
          <w:rFonts w:ascii="Times New Roman" w:hAnsi="Times New Roman" w:cs="Times New Roman"/>
        </w:rPr>
        <w:t xml:space="preserve"> 1995). </w:t>
      </w:r>
    </w:p>
    <w:p w14:paraId="3C89E340" w14:textId="77777777" w:rsidR="00954BA6" w:rsidRPr="00E869A4" w:rsidRDefault="00954BA6">
      <w:pPr>
        <w:rPr>
          <w:b/>
          <w:i/>
          <w:u w:val="single"/>
        </w:rPr>
      </w:pPr>
    </w:p>
    <w:p w14:paraId="18CA4B46" w14:textId="3359D1D3" w:rsidR="00D106CD" w:rsidRPr="00E869A4" w:rsidRDefault="00681D1C" w:rsidP="005C449C">
      <w:pPr>
        <w:pStyle w:val="Heading3"/>
      </w:pPr>
      <w:bookmarkStart w:id="174" w:name="_Toc40436487"/>
      <w:r w:rsidRPr="00E869A4">
        <w:t xml:space="preserve">3.2.2 </w:t>
      </w:r>
      <w:r w:rsidR="00852A16" w:rsidRPr="00E869A4">
        <w:t xml:space="preserve">    </w:t>
      </w:r>
      <w:r w:rsidR="00A215BE" w:rsidRPr="00E869A4">
        <w:t>Predisposing Factors</w:t>
      </w:r>
      <w:bookmarkEnd w:id="174"/>
    </w:p>
    <w:p w14:paraId="23B68723" w14:textId="77777777" w:rsidR="00D04DCD" w:rsidRPr="00E869A4" w:rsidRDefault="00D04DCD" w:rsidP="0051234F">
      <w:pPr>
        <w:pStyle w:val="112"/>
        <w:rPr>
          <w:color w:val="auto"/>
        </w:rPr>
      </w:pPr>
    </w:p>
    <w:p w14:paraId="08B7209A" w14:textId="27B4BD4C" w:rsidR="00E23C1E" w:rsidRPr="00E869A4" w:rsidRDefault="00E23C1E" w:rsidP="00E23C1E">
      <w:pPr>
        <w:rPr>
          <w:rFonts w:ascii="Times New Roman" w:hAnsi="Times New Roman" w:cs="Times New Roman"/>
        </w:rPr>
      </w:pPr>
      <w:r w:rsidRPr="00E869A4">
        <w:rPr>
          <w:rFonts w:ascii="Times New Roman" w:hAnsi="Times New Roman" w:cs="Times New Roman"/>
        </w:rPr>
        <w:t>Predisposing factors are what Masuy refers to as the ‘time-invarying’ individual characteristics, which may increase the likelihood of an older person’s need for family care</w:t>
      </w:r>
      <w:r w:rsidR="00D61077" w:rsidRPr="00E869A4">
        <w:rPr>
          <w:rFonts w:ascii="Times New Roman" w:hAnsi="Times New Roman" w:cs="Times New Roman"/>
        </w:rPr>
        <w:t>,</w:t>
      </w:r>
      <w:r w:rsidRPr="00E869A4">
        <w:rPr>
          <w:rFonts w:ascii="Times New Roman" w:hAnsi="Times New Roman" w:cs="Times New Roman"/>
        </w:rPr>
        <w:t xml:space="preserve"> as well as the probability of someone becoming a carer</w:t>
      </w:r>
      <w:r w:rsidR="00D61077" w:rsidRPr="00E869A4">
        <w:rPr>
          <w:rFonts w:ascii="Times New Roman" w:hAnsi="Times New Roman" w:cs="Times New Roman"/>
        </w:rPr>
        <w:t>. These factors include</w:t>
      </w:r>
      <w:r w:rsidR="002E2185" w:rsidRPr="00E869A4">
        <w:rPr>
          <w:rFonts w:ascii="Times New Roman" w:hAnsi="Times New Roman" w:cs="Times New Roman"/>
        </w:rPr>
        <w:t>,</w:t>
      </w:r>
      <w:r w:rsidRPr="00E869A4">
        <w:rPr>
          <w:rFonts w:ascii="Times New Roman" w:hAnsi="Times New Roman" w:cs="Times New Roman"/>
        </w:rPr>
        <w:t xml:space="preserve"> </w:t>
      </w:r>
      <w:r w:rsidR="00D61077" w:rsidRPr="00E869A4">
        <w:rPr>
          <w:rFonts w:ascii="Times New Roman" w:hAnsi="Times New Roman" w:cs="Times New Roman"/>
          <w:i/>
        </w:rPr>
        <w:t>inter alia</w:t>
      </w:r>
      <w:r w:rsidR="00D61077" w:rsidRPr="00E869A4">
        <w:rPr>
          <w:rFonts w:ascii="Times New Roman" w:hAnsi="Times New Roman" w:cs="Times New Roman"/>
        </w:rPr>
        <w:t xml:space="preserve">: </w:t>
      </w:r>
      <w:r w:rsidRPr="00E869A4">
        <w:rPr>
          <w:rFonts w:ascii="Times New Roman" w:hAnsi="Times New Roman" w:cs="Times New Roman"/>
        </w:rPr>
        <w:t xml:space="preserve">gender, </w:t>
      </w:r>
      <w:r w:rsidR="00D61077" w:rsidRPr="00E869A4">
        <w:rPr>
          <w:rFonts w:ascii="Times New Roman" w:hAnsi="Times New Roman" w:cs="Times New Roman"/>
        </w:rPr>
        <w:t xml:space="preserve">type of filial relationship, </w:t>
      </w:r>
      <w:r w:rsidRPr="00E869A4">
        <w:rPr>
          <w:rFonts w:ascii="Times New Roman" w:hAnsi="Times New Roman" w:cs="Times New Roman"/>
        </w:rPr>
        <w:t xml:space="preserve">age, </w:t>
      </w:r>
      <w:r w:rsidRPr="00E869A4">
        <w:rPr>
          <w:rFonts w:ascii="Times New Roman" w:hAnsi="Times New Roman" w:cs="Times New Roman"/>
        </w:rPr>
        <w:lastRenderedPageBreak/>
        <w:t xml:space="preserve">ethnicity, </w:t>
      </w:r>
      <w:r w:rsidR="00D61077" w:rsidRPr="00E869A4">
        <w:rPr>
          <w:rFonts w:ascii="Times New Roman" w:hAnsi="Times New Roman" w:cs="Times New Roman"/>
        </w:rPr>
        <w:t xml:space="preserve">relationship history, </w:t>
      </w:r>
      <w:r w:rsidRPr="00E869A4">
        <w:rPr>
          <w:rFonts w:ascii="Times New Roman" w:hAnsi="Times New Roman" w:cs="Times New Roman"/>
        </w:rPr>
        <w:t>education</w:t>
      </w:r>
      <w:r w:rsidR="00D61077" w:rsidRPr="00E869A4">
        <w:rPr>
          <w:rFonts w:ascii="Times New Roman" w:hAnsi="Times New Roman" w:cs="Times New Roman"/>
        </w:rPr>
        <w:t xml:space="preserve"> and training</w:t>
      </w:r>
      <w:r w:rsidRPr="00E869A4">
        <w:rPr>
          <w:rFonts w:ascii="Times New Roman" w:hAnsi="Times New Roman" w:cs="Times New Roman"/>
        </w:rPr>
        <w:t xml:space="preserve">, occupational status, </w:t>
      </w:r>
      <w:r w:rsidR="00D61077" w:rsidRPr="00E869A4">
        <w:rPr>
          <w:rFonts w:ascii="Times New Roman" w:hAnsi="Times New Roman" w:cs="Times New Roman"/>
        </w:rPr>
        <w:t>as well as spiritual, religious and moral values</w:t>
      </w:r>
      <w:r w:rsidRPr="00E869A4">
        <w:rPr>
          <w:rFonts w:ascii="Times New Roman" w:hAnsi="Times New Roman" w:cs="Times New Roman"/>
        </w:rPr>
        <w:t xml:space="preserve">. </w:t>
      </w:r>
    </w:p>
    <w:p w14:paraId="26D65CE9" w14:textId="77777777" w:rsidR="00E23C1E" w:rsidRPr="00E869A4" w:rsidRDefault="00E23C1E" w:rsidP="0051234F">
      <w:pPr>
        <w:pStyle w:val="112"/>
        <w:rPr>
          <w:color w:val="auto"/>
        </w:rPr>
      </w:pPr>
    </w:p>
    <w:p w14:paraId="2C6B00DD" w14:textId="57A529C5" w:rsidR="00D106CD" w:rsidRPr="00E869A4" w:rsidRDefault="00D106CD" w:rsidP="00112260">
      <w:pPr>
        <w:pStyle w:val="Heading4"/>
      </w:pPr>
      <w:r w:rsidRPr="00E869A4">
        <w:t>Gender &amp; Type of Relationship</w:t>
      </w:r>
    </w:p>
    <w:p w14:paraId="200CEC23" w14:textId="77777777" w:rsidR="00D04DCD" w:rsidRPr="00E869A4" w:rsidRDefault="00D04DCD" w:rsidP="0051234F">
      <w:pPr>
        <w:pStyle w:val="112"/>
        <w:rPr>
          <w:color w:val="auto"/>
        </w:rPr>
      </w:pPr>
    </w:p>
    <w:p w14:paraId="2ACBC9FE" w14:textId="2679A97A" w:rsidR="00D106CD" w:rsidRPr="00E869A4" w:rsidRDefault="00C25074" w:rsidP="00B90224">
      <w:pPr>
        <w:rPr>
          <w:rFonts w:ascii="Times New Roman" w:hAnsi="Times New Roman" w:cs="Times New Roman"/>
        </w:rPr>
      </w:pPr>
      <w:r w:rsidRPr="00E869A4">
        <w:rPr>
          <w:rFonts w:ascii="Times New Roman" w:hAnsi="Times New Roman" w:cs="Times New Roman"/>
        </w:rPr>
        <w:t xml:space="preserve">Women are more likely to need family elder care than men, largely because they have a higher life expectancy and are more likely to live long enough to develop degenerative illnesses that require long-term care. </w:t>
      </w:r>
      <w:r w:rsidR="00D106CD" w:rsidRPr="00E869A4">
        <w:rPr>
          <w:rFonts w:ascii="Times New Roman" w:hAnsi="Times New Roman" w:cs="Times New Roman"/>
        </w:rPr>
        <w:t>They are als</w:t>
      </w:r>
      <w:r w:rsidR="00C92B51" w:rsidRPr="00E869A4">
        <w:rPr>
          <w:rFonts w:ascii="Times New Roman" w:hAnsi="Times New Roman" w:cs="Times New Roman"/>
        </w:rPr>
        <w:t>o more likely to become widows and so are</w:t>
      </w:r>
      <w:r w:rsidR="00D106CD" w:rsidRPr="00E869A4">
        <w:rPr>
          <w:rFonts w:ascii="Times New Roman" w:hAnsi="Times New Roman" w:cs="Times New Roman"/>
        </w:rPr>
        <w:t xml:space="preserve"> less likely to receive spousal care (Masuy 2011).</w:t>
      </w:r>
    </w:p>
    <w:p w14:paraId="6710CF7E" w14:textId="77777777" w:rsidR="001735E0" w:rsidRPr="00E869A4" w:rsidRDefault="001735E0" w:rsidP="00A35FF8">
      <w:pPr>
        <w:rPr>
          <w:rFonts w:ascii="Times New Roman" w:hAnsi="Times New Roman" w:cs="Times New Roman"/>
        </w:rPr>
      </w:pPr>
    </w:p>
    <w:p w14:paraId="0AF4F3C9" w14:textId="24677EEB" w:rsidR="00D106CD" w:rsidRPr="00E869A4" w:rsidRDefault="00D106CD" w:rsidP="00296211">
      <w:pPr>
        <w:rPr>
          <w:rFonts w:ascii="Times New Roman" w:hAnsi="Times New Roman" w:cs="Times New Roman"/>
        </w:rPr>
      </w:pPr>
      <w:r w:rsidRPr="00E869A4">
        <w:rPr>
          <w:rFonts w:ascii="Times New Roman" w:hAnsi="Times New Roman" w:cs="Times New Roman"/>
        </w:rPr>
        <w:t xml:space="preserve">It is also </w:t>
      </w:r>
      <w:r w:rsidR="00C25074" w:rsidRPr="00E869A4">
        <w:rPr>
          <w:rFonts w:ascii="Times New Roman" w:hAnsi="Times New Roman" w:cs="Times New Roman"/>
        </w:rPr>
        <w:t>well established</w:t>
      </w:r>
      <w:r w:rsidRPr="00E869A4">
        <w:rPr>
          <w:rFonts w:ascii="Times New Roman" w:hAnsi="Times New Roman" w:cs="Times New Roman"/>
        </w:rPr>
        <w:t xml:space="preserve"> in the literature that primary caregivers are more likely to be female members of the family (usually a wife or daughter) (</w:t>
      </w:r>
      <w:r w:rsidR="00E212B4" w:rsidRPr="00E869A4">
        <w:rPr>
          <w:rFonts w:ascii="Times New Roman" w:hAnsi="Times New Roman" w:cs="Times New Roman"/>
        </w:rPr>
        <w:t xml:space="preserve">Globerman 1996; Merrill 1997; </w:t>
      </w:r>
      <w:r w:rsidRPr="00E869A4">
        <w:rPr>
          <w:rFonts w:ascii="Times New Roman" w:hAnsi="Times New Roman" w:cs="Times New Roman"/>
        </w:rPr>
        <w:t>Spillman &amp; Pezzin 2000). This pattern is particularly evident in Western societies. Spillman &amp; Pezzin (2014) for example, found in their review of the 2011 America</w:t>
      </w:r>
      <w:r w:rsidR="001735E0" w:rsidRPr="00E869A4">
        <w:rPr>
          <w:rFonts w:ascii="Times New Roman" w:hAnsi="Times New Roman" w:cs="Times New Roman"/>
        </w:rPr>
        <w:t>n National Study of Caregiving, that s</w:t>
      </w:r>
      <w:r w:rsidRPr="00E869A4">
        <w:rPr>
          <w:rFonts w:ascii="Times New Roman" w:hAnsi="Times New Roman" w:cs="Times New Roman"/>
        </w:rPr>
        <w:t>pouses provided 110 hours per month as a group and 127 hours if assisting with self-care or mobility activities. Daughters provided 78 hours of care overall (91 hours if they were assisting with self-care or mobility), and sons provided 65(69) hours of care, similar to the 61(67) hours per month provided by other relatives.</w:t>
      </w:r>
    </w:p>
    <w:p w14:paraId="723925C8" w14:textId="77777777" w:rsidR="00B36FD0" w:rsidRPr="00E869A4" w:rsidRDefault="00B36FD0" w:rsidP="00A35FF8">
      <w:pPr>
        <w:rPr>
          <w:rFonts w:ascii="Times New Roman" w:hAnsi="Times New Roman" w:cs="Times New Roman"/>
        </w:rPr>
      </w:pPr>
    </w:p>
    <w:p w14:paraId="156B599A" w14:textId="1FECB47A" w:rsidR="00D106CD" w:rsidRPr="00E869A4" w:rsidRDefault="00D106CD" w:rsidP="00296211">
      <w:pPr>
        <w:rPr>
          <w:rFonts w:ascii="Times New Roman" w:hAnsi="Times New Roman" w:cs="Times New Roman"/>
        </w:rPr>
      </w:pPr>
      <w:r w:rsidRPr="00E869A4">
        <w:rPr>
          <w:rFonts w:ascii="Times New Roman" w:hAnsi="Times New Roman" w:cs="Times New Roman"/>
        </w:rPr>
        <w:t xml:space="preserve">However, </w:t>
      </w:r>
      <w:r w:rsidR="002D278A" w:rsidRPr="00E869A4">
        <w:rPr>
          <w:rFonts w:ascii="Times New Roman" w:hAnsi="Times New Roman" w:cs="Times New Roman"/>
        </w:rPr>
        <w:t xml:space="preserve">even </w:t>
      </w:r>
      <w:r w:rsidRPr="00E869A4">
        <w:rPr>
          <w:rFonts w:ascii="Times New Roman" w:hAnsi="Times New Roman" w:cs="Times New Roman"/>
        </w:rPr>
        <w:t>though sons in Western cultures tend to provide primary care to older relatives when no female relative is available or willing to do so, in other societies, such as China, the son is more likely to have more intensive contact than daughters (Gruijters 2017). Generally</w:t>
      </w:r>
      <w:r w:rsidR="002E2185" w:rsidRPr="00E869A4">
        <w:rPr>
          <w:rFonts w:ascii="Times New Roman" w:hAnsi="Times New Roman" w:cs="Times New Roman"/>
        </w:rPr>
        <w:t>,</w:t>
      </w:r>
      <w:r w:rsidRPr="00E869A4">
        <w:rPr>
          <w:rFonts w:ascii="Times New Roman" w:hAnsi="Times New Roman" w:cs="Times New Roman"/>
        </w:rPr>
        <w:t xml:space="preserve"> however, when a married son is the primary caregiver, his wife usually provides most of the direct care to his parent(s) (Globerman 1996</w:t>
      </w:r>
      <w:r w:rsidR="00296211" w:rsidRPr="00E869A4">
        <w:rPr>
          <w:rFonts w:ascii="Times New Roman" w:hAnsi="Times New Roman" w:cs="Times New Roman"/>
        </w:rPr>
        <w:t>; Miller 1997</w:t>
      </w:r>
      <w:r w:rsidRPr="00E869A4">
        <w:rPr>
          <w:rFonts w:ascii="Times New Roman" w:hAnsi="Times New Roman" w:cs="Times New Roman"/>
        </w:rPr>
        <w:t xml:space="preserve">). </w:t>
      </w:r>
    </w:p>
    <w:p w14:paraId="10930F41" w14:textId="77777777" w:rsidR="00E23C1E" w:rsidRPr="00E869A4" w:rsidRDefault="00E23C1E" w:rsidP="00296211">
      <w:pPr>
        <w:rPr>
          <w:rFonts w:ascii="Times New Roman" w:hAnsi="Times New Roman" w:cs="Times New Roman"/>
        </w:rPr>
      </w:pPr>
    </w:p>
    <w:p w14:paraId="41CC1413" w14:textId="77777777" w:rsidR="00D106CD" w:rsidRPr="00E869A4" w:rsidRDefault="00D106CD" w:rsidP="00112260">
      <w:pPr>
        <w:pStyle w:val="Heading4"/>
      </w:pPr>
      <w:r w:rsidRPr="00E869A4">
        <w:t>Age/Birth Cohort &amp; Ethnicity</w:t>
      </w:r>
    </w:p>
    <w:p w14:paraId="4D2B04AD" w14:textId="77777777" w:rsidR="00D04DCD" w:rsidRPr="00E869A4" w:rsidRDefault="00D04DCD" w:rsidP="0051234F">
      <w:pPr>
        <w:pStyle w:val="112"/>
        <w:rPr>
          <w:color w:val="auto"/>
        </w:rPr>
      </w:pPr>
    </w:p>
    <w:p w14:paraId="755B0D01" w14:textId="77777777" w:rsidR="003A3887" w:rsidRPr="00E869A4" w:rsidRDefault="00D106CD" w:rsidP="00D86FBA">
      <w:pPr>
        <w:rPr>
          <w:rFonts w:ascii="Times New Roman" w:hAnsi="Times New Roman" w:cs="Times New Roman"/>
        </w:rPr>
      </w:pPr>
      <w:r w:rsidRPr="00E869A4">
        <w:rPr>
          <w:rFonts w:ascii="Times New Roman" w:hAnsi="Times New Roman" w:cs="Times New Roman"/>
        </w:rPr>
        <w:t>The likelihood of an individual needing family care increases with age (</w:t>
      </w:r>
      <w:r w:rsidR="00D86FBA" w:rsidRPr="00E869A4">
        <w:rPr>
          <w:rFonts w:ascii="Times New Roman" w:hAnsi="Times New Roman" w:cs="Times New Roman"/>
        </w:rPr>
        <w:t xml:space="preserve">Cantor 1983; </w:t>
      </w:r>
      <w:r w:rsidRPr="00E869A4">
        <w:rPr>
          <w:rFonts w:ascii="Times New Roman" w:hAnsi="Times New Roman" w:cs="Times New Roman"/>
        </w:rPr>
        <w:t>Masuy 2011; Spillman &amp; Pezzin 2000). However, some studies have also shown that older people provide care. Possible explanations for this include the limited availability of younger people to provide care given their responsibilities to young children and their spouse, as well as the greater sense of duty and reciprocity that older persons may have with respect to providing elder care (</w:t>
      </w:r>
      <w:r w:rsidR="00D86FBA" w:rsidRPr="00E869A4">
        <w:rPr>
          <w:rFonts w:ascii="Times New Roman" w:hAnsi="Times New Roman" w:cs="Times New Roman"/>
        </w:rPr>
        <w:t xml:space="preserve">Mentzakis, McNamee &amp; Ryan </w:t>
      </w:r>
      <w:r w:rsidRPr="00E869A4">
        <w:rPr>
          <w:rFonts w:ascii="Times New Roman" w:hAnsi="Times New Roman" w:cs="Times New Roman"/>
        </w:rPr>
        <w:t xml:space="preserve">2009). </w:t>
      </w:r>
    </w:p>
    <w:p w14:paraId="065F50A5" w14:textId="410EE243" w:rsidR="00D106CD" w:rsidRPr="00E869A4" w:rsidRDefault="001A0313" w:rsidP="00D86FBA">
      <w:pPr>
        <w:rPr>
          <w:rFonts w:ascii="Times New Roman" w:hAnsi="Times New Roman" w:cs="Times New Roman"/>
        </w:rPr>
      </w:pPr>
      <w:r w:rsidRPr="00E869A4">
        <w:rPr>
          <w:rFonts w:ascii="Times New Roman" w:hAnsi="Times New Roman" w:cs="Times New Roman"/>
        </w:rPr>
        <w:lastRenderedPageBreak/>
        <w:t>However</w:t>
      </w:r>
      <w:r w:rsidR="00D106CD" w:rsidRPr="00E869A4">
        <w:rPr>
          <w:rFonts w:ascii="Times New Roman" w:hAnsi="Times New Roman" w:cs="Times New Roman"/>
        </w:rPr>
        <w:t xml:space="preserve">, the ethnic background of the caregiver might be a stronger predictor than their age in determining </w:t>
      </w:r>
      <w:r w:rsidR="00C25074" w:rsidRPr="00E869A4">
        <w:rPr>
          <w:rFonts w:ascii="Times New Roman" w:hAnsi="Times New Roman" w:cs="Times New Roman"/>
        </w:rPr>
        <w:t>if</w:t>
      </w:r>
      <w:r w:rsidR="00D106CD" w:rsidRPr="00E869A4">
        <w:rPr>
          <w:rFonts w:ascii="Times New Roman" w:hAnsi="Times New Roman" w:cs="Times New Roman"/>
        </w:rPr>
        <w:t xml:space="preserve"> they assume family elder care responsibilities. Pharr et al</w:t>
      </w:r>
      <w:r w:rsidR="00BB4666" w:rsidRPr="00E869A4">
        <w:rPr>
          <w:rFonts w:ascii="Times New Roman" w:hAnsi="Times New Roman" w:cs="Times New Roman"/>
        </w:rPr>
        <w:t>.</w:t>
      </w:r>
      <w:r w:rsidR="00D106CD" w:rsidRPr="00E869A4">
        <w:rPr>
          <w:rFonts w:ascii="Times New Roman" w:hAnsi="Times New Roman" w:cs="Times New Roman"/>
        </w:rPr>
        <w:t xml:space="preserve"> (2014)</w:t>
      </w:r>
      <w:r w:rsidR="00D86FBA" w:rsidRPr="00E869A4">
        <w:rPr>
          <w:rFonts w:ascii="Times New Roman" w:hAnsi="Times New Roman" w:cs="Times New Roman"/>
        </w:rPr>
        <w:t>,</w:t>
      </w:r>
      <w:r w:rsidR="00D106CD" w:rsidRPr="00E869A4">
        <w:rPr>
          <w:rFonts w:ascii="Times New Roman" w:hAnsi="Times New Roman" w:cs="Times New Roman"/>
        </w:rPr>
        <w:t xml:space="preserve"> for example</w:t>
      </w:r>
      <w:r w:rsidR="00D86FBA" w:rsidRPr="00E869A4">
        <w:rPr>
          <w:rFonts w:ascii="Times New Roman" w:hAnsi="Times New Roman" w:cs="Times New Roman"/>
        </w:rPr>
        <w:t>,</w:t>
      </w:r>
      <w:r w:rsidR="00D106CD" w:rsidRPr="00E869A4">
        <w:rPr>
          <w:rFonts w:ascii="Times New Roman" w:hAnsi="Times New Roman" w:cs="Times New Roman"/>
        </w:rPr>
        <w:t xml:space="preserve"> found that in their focus group study of American caregi</w:t>
      </w:r>
      <w:r w:rsidR="0001694D" w:rsidRPr="00E869A4">
        <w:rPr>
          <w:rFonts w:ascii="Times New Roman" w:hAnsi="Times New Roman" w:cs="Times New Roman"/>
        </w:rPr>
        <w:t>vers, European American care</w:t>
      </w:r>
      <w:r w:rsidR="00D106CD" w:rsidRPr="00E869A4">
        <w:rPr>
          <w:rFonts w:ascii="Times New Roman" w:hAnsi="Times New Roman" w:cs="Times New Roman"/>
        </w:rPr>
        <w:t xml:space="preserve">rs were older than the Asian American, Hispanic American, and African American caregivers. They also observed that ethnicity was a greater predictor of an individual’s expectation of becoming a caregiver than was their age. Furthermore, the younger caregivers in the Asian American, Hispanic American, and African American focus groups were more likely to see caregiving as an expected part of life compared to the older European American caregivers. Thus, an individual’s cultural background may have a stronger influence on them assuming family elder care responsibilities. </w:t>
      </w:r>
    </w:p>
    <w:p w14:paraId="11A57DB8" w14:textId="77777777" w:rsidR="00B36FD0" w:rsidRPr="00E869A4" w:rsidRDefault="00B36FD0" w:rsidP="00A35FF8">
      <w:pPr>
        <w:rPr>
          <w:rFonts w:ascii="Times New Roman" w:hAnsi="Times New Roman" w:cs="Times New Roman"/>
        </w:rPr>
      </w:pPr>
    </w:p>
    <w:p w14:paraId="14D4C307" w14:textId="29879F73" w:rsidR="00D106CD" w:rsidRPr="00E869A4" w:rsidRDefault="00D106CD" w:rsidP="009E2738">
      <w:pPr>
        <w:rPr>
          <w:rFonts w:ascii="Times New Roman" w:hAnsi="Times New Roman" w:cs="Times New Roman"/>
        </w:rPr>
      </w:pPr>
      <w:r w:rsidRPr="00E869A4">
        <w:rPr>
          <w:rFonts w:ascii="Times New Roman" w:hAnsi="Times New Roman" w:cs="Times New Roman"/>
        </w:rPr>
        <w:t>Another insightful study that examined the relationship between the caregiver’s ethnic background and their motivation to adopt the caregiving role</w:t>
      </w:r>
      <w:r w:rsidR="00C52775" w:rsidRPr="00E869A4">
        <w:rPr>
          <w:rFonts w:ascii="Times New Roman" w:hAnsi="Times New Roman" w:cs="Times New Roman"/>
        </w:rPr>
        <w:t>,</w:t>
      </w:r>
      <w:r w:rsidRPr="00E869A4">
        <w:rPr>
          <w:rFonts w:ascii="Times New Roman" w:hAnsi="Times New Roman" w:cs="Times New Roman"/>
        </w:rPr>
        <w:t xml:space="preserve"> was that conducted by </w:t>
      </w:r>
      <w:r w:rsidR="00017799" w:rsidRPr="00E869A4">
        <w:rPr>
          <w:rFonts w:ascii="Times New Roman" w:hAnsi="Times New Roman" w:cs="Times New Roman"/>
        </w:rPr>
        <w:t>Parveen, Morrison and Robinson</w:t>
      </w:r>
      <w:r w:rsidRPr="00E869A4">
        <w:rPr>
          <w:rFonts w:ascii="Times New Roman" w:hAnsi="Times New Roman" w:cs="Times New Roman"/>
        </w:rPr>
        <w:t xml:space="preserve"> (2011). The results of their focus groups with British participants from Indian, Pakistani, Bangladeshi and European backgrounds revealed that all participants accepted the role of caregiver because they had no choice to do so</w:t>
      </w:r>
      <w:r w:rsidR="009E2738" w:rsidRPr="00E869A4">
        <w:rPr>
          <w:rFonts w:ascii="Times New Roman" w:hAnsi="Times New Roman" w:cs="Times New Roman"/>
        </w:rPr>
        <w:t>,</w:t>
      </w:r>
      <w:r w:rsidRPr="00E869A4">
        <w:rPr>
          <w:rFonts w:ascii="Times New Roman" w:hAnsi="Times New Roman" w:cs="Times New Roman"/>
        </w:rPr>
        <w:t xml:space="preserve"> as there was no one else to accept the role. But, the British-Bangladeshi, British-Indian and British-Pakistani participants all indicated that their ro</w:t>
      </w:r>
      <w:r w:rsidR="009E2738" w:rsidRPr="00E869A4">
        <w:rPr>
          <w:rFonts w:ascii="Times New Roman" w:hAnsi="Times New Roman" w:cs="Times New Roman"/>
        </w:rPr>
        <w:t xml:space="preserve">le adoption was due to the care </w:t>
      </w:r>
      <w:r w:rsidRPr="00E869A4">
        <w:rPr>
          <w:rFonts w:ascii="Times New Roman" w:hAnsi="Times New Roman" w:cs="Times New Roman"/>
        </w:rPr>
        <w:t xml:space="preserve">recipient not accepting help from any other individual and that they believed that it was their duty, obligation and responsibility to provide care. This was in contrast to the British-White participants who explained that the motivation behind their role </w:t>
      </w:r>
      <w:r w:rsidR="009B2471" w:rsidRPr="00E869A4">
        <w:rPr>
          <w:rFonts w:ascii="Times New Roman" w:hAnsi="Times New Roman" w:cs="Times New Roman"/>
        </w:rPr>
        <w:t>adoption</w:t>
      </w:r>
      <w:r w:rsidRPr="00E869A4">
        <w:rPr>
          <w:rFonts w:ascii="Times New Roman" w:hAnsi="Times New Roman" w:cs="Times New Roman"/>
        </w:rPr>
        <w:t xml:space="preserve"> was their caring nature</w:t>
      </w:r>
      <w:r w:rsidR="009B2471" w:rsidRPr="00E869A4">
        <w:rPr>
          <w:rFonts w:ascii="Times New Roman" w:hAnsi="Times New Roman" w:cs="Times New Roman"/>
        </w:rPr>
        <w:t>,</w:t>
      </w:r>
      <w:r w:rsidRPr="00E869A4">
        <w:rPr>
          <w:rFonts w:ascii="Times New Roman" w:hAnsi="Times New Roman" w:cs="Times New Roman"/>
        </w:rPr>
        <w:t xml:space="preserve"> as well as their emotional attachment to the care recipient and commitment to their marriage vows (</w:t>
      </w:r>
      <w:r w:rsidR="00017799" w:rsidRPr="00E869A4">
        <w:rPr>
          <w:rFonts w:ascii="Times New Roman" w:hAnsi="Times New Roman" w:cs="Times New Roman"/>
        </w:rPr>
        <w:t>Parveen, Morrison &amp; Robinson</w:t>
      </w:r>
      <w:r w:rsidR="00286F50" w:rsidRPr="00E869A4">
        <w:rPr>
          <w:rFonts w:ascii="Times New Roman" w:hAnsi="Times New Roman" w:cs="Times New Roman"/>
        </w:rPr>
        <w:t xml:space="preserve"> 2011</w:t>
      </w:r>
      <w:r w:rsidRPr="00E869A4">
        <w:rPr>
          <w:rFonts w:ascii="Times New Roman" w:hAnsi="Times New Roman" w:cs="Times New Roman"/>
        </w:rPr>
        <w:t xml:space="preserve">). The findings of this and other studies highlight how ethnicity and culture are important determinants of caregiving. </w:t>
      </w:r>
    </w:p>
    <w:p w14:paraId="6F0548A0" w14:textId="77777777" w:rsidR="00954BA6" w:rsidRPr="00E869A4" w:rsidRDefault="00954BA6" w:rsidP="009E2738">
      <w:pPr>
        <w:rPr>
          <w:rFonts w:ascii="Times New Roman" w:hAnsi="Times New Roman" w:cs="Times New Roman"/>
        </w:rPr>
      </w:pPr>
    </w:p>
    <w:p w14:paraId="68C68780" w14:textId="2C8652EA" w:rsidR="00D106CD" w:rsidRPr="00E869A4" w:rsidRDefault="00D106CD" w:rsidP="00112260">
      <w:pPr>
        <w:pStyle w:val="Heading4"/>
      </w:pPr>
      <w:r w:rsidRPr="00E869A4">
        <w:t>Relationship History</w:t>
      </w:r>
    </w:p>
    <w:p w14:paraId="23491D88" w14:textId="77777777" w:rsidR="00D04DCD" w:rsidRPr="00E869A4" w:rsidRDefault="00D04DCD" w:rsidP="0051234F">
      <w:pPr>
        <w:pStyle w:val="112"/>
        <w:rPr>
          <w:color w:val="auto"/>
        </w:rPr>
      </w:pPr>
    </w:p>
    <w:p w14:paraId="46FEB0B0" w14:textId="4975EB36" w:rsidR="00D106CD" w:rsidRPr="00E869A4" w:rsidRDefault="00D106CD" w:rsidP="009E2738">
      <w:pPr>
        <w:rPr>
          <w:rFonts w:ascii="Times New Roman" w:hAnsi="Times New Roman" w:cs="Times New Roman"/>
        </w:rPr>
      </w:pPr>
      <w:r w:rsidRPr="00E869A4">
        <w:rPr>
          <w:rFonts w:ascii="Times New Roman" w:hAnsi="Times New Roman" w:cs="Times New Roman"/>
        </w:rPr>
        <w:t xml:space="preserve">Adult children with emotionally poorer relationships with their parents are less likely to assume the role of primary caregiver. However, there are exceptions to this situation based on cultural and other circumstances that may preclude this decision. Some adult children may provide care to a parent they consider to be difficult because they are still dependent on their older relative for support with accommodation and/or other living expenses. In such cases, the risk of elder mistreatment and abuse is high. The reverse is also true. In instances where an elderly parent insists on receiving care from an adult </w:t>
      </w:r>
      <w:r w:rsidRPr="00E869A4">
        <w:rPr>
          <w:rFonts w:ascii="Times New Roman" w:hAnsi="Times New Roman" w:cs="Times New Roman"/>
        </w:rPr>
        <w:lastRenderedPageBreak/>
        <w:t xml:space="preserve">child with whom they have a difficult relationship, </w:t>
      </w:r>
      <w:r w:rsidR="00E57F23" w:rsidRPr="00E869A4">
        <w:rPr>
          <w:rFonts w:ascii="Times New Roman" w:hAnsi="Times New Roman" w:cs="Times New Roman"/>
        </w:rPr>
        <w:t>the child</w:t>
      </w:r>
      <w:r w:rsidRPr="00E869A4">
        <w:rPr>
          <w:rFonts w:ascii="Times New Roman" w:hAnsi="Times New Roman" w:cs="Times New Roman"/>
        </w:rPr>
        <w:t xml:space="preserve"> may experience higher levels of burden than those who had more affective relationships with their parents (</w:t>
      </w:r>
      <w:r w:rsidR="00E46D16" w:rsidRPr="00E869A4">
        <w:rPr>
          <w:rFonts w:ascii="Times New Roman" w:hAnsi="Times New Roman" w:cs="Times New Roman"/>
        </w:rPr>
        <w:t>Merrill</w:t>
      </w:r>
      <w:r w:rsidR="009E2738" w:rsidRPr="00E869A4">
        <w:rPr>
          <w:rFonts w:ascii="Times New Roman" w:hAnsi="Times New Roman" w:cs="Times New Roman"/>
        </w:rPr>
        <w:t xml:space="preserve"> 1997; </w:t>
      </w:r>
      <w:r w:rsidR="00DD34B4" w:rsidRPr="00E869A4">
        <w:rPr>
          <w:rFonts w:ascii="Times New Roman" w:hAnsi="Times New Roman" w:cs="Times New Roman"/>
        </w:rPr>
        <w:t>Walker, Pratt &amp; Eddy</w:t>
      </w:r>
      <w:r w:rsidR="009E2738" w:rsidRPr="00E869A4">
        <w:rPr>
          <w:rFonts w:ascii="Times New Roman" w:hAnsi="Times New Roman" w:cs="Times New Roman"/>
        </w:rPr>
        <w:t>1990</w:t>
      </w:r>
      <w:r w:rsidRPr="00E869A4">
        <w:rPr>
          <w:rFonts w:ascii="Times New Roman" w:hAnsi="Times New Roman" w:cs="Times New Roman"/>
        </w:rPr>
        <w:t xml:space="preserve">). </w:t>
      </w:r>
    </w:p>
    <w:p w14:paraId="33CD3850" w14:textId="77777777" w:rsidR="00D04DCD" w:rsidRPr="00E869A4" w:rsidRDefault="00D04DCD" w:rsidP="00A35FF8">
      <w:pPr>
        <w:rPr>
          <w:rFonts w:ascii="Times New Roman" w:hAnsi="Times New Roman" w:cs="Times New Roman"/>
        </w:rPr>
      </w:pPr>
    </w:p>
    <w:p w14:paraId="199783E9" w14:textId="77777777" w:rsidR="00D106CD" w:rsidRPr="00E869A4" w:rsidRDefault="00D106CD" w:rsidP="00112260">
      <w:pPr>
        <w:pStyle w:val="Heading4"/>
      </w:pPr>
      <w:bookmarkStart w:id="175" w:name="OLE_LINK1"/>
      <w:r w:rsidRPr="00E869A4">
        <w:t>Education &amp; Training</w:t>
      </w:r>
    </w:p>
    <w:bookmarkEnd w:id="175"/>
    <w:p w14:paraId="64AC4BD2" w14:textId="77777777" w:rsidR="00D04DCD" w:rsidRPr="00E869A4" w:rsidRDefault="00D04DCD" w:rsidP="0051234F">
      <w:pPr>
        <w:pStyle w:val="112"/>
        <w:rPr>
          <w:color w:val="auto"/>
        </w:rPr>
      </w:pPr>
    </w:p>
    <w:p w14:paraId="46BA7A16" w14:textId="52FCCF66" w:rsidR="00D106CD" w:rsidRPr="00E869A4" w:rsidRDefault="00D106CD" w:rsidP="00391263">
      <w:pPr>
        <w:rPr>
          <w:rFonts w:ascii="Times New Roman" w:hAnsi="Times New Roman" w:cs="Times New Roman"/>
        </w:rPr>
      </w:pPr>
      <w:r w:rsidRPr="00E869A4">
        <w:rPr>
          <w:rFonts w:ascii="Times New Roman" w:hAnsi="Times New Roman" w:cs="Times New Roman"/>
        </w:rPr>
        <w:t>In Masuy’s study, lower educated older persons were more likely to receive family care than their more educated counterparts (Masuy 2011). However, this may be a function of other societal variables such as the availability of paid care services</w:t>
      </w:r>
      <w:r w:rsidR="0001694D" w:rsidRPr="00E869A4">
        <w:rPr>
          <w:rFonts w:ascii="Times New Roman" w:hAnsi="Times New Roman" w:cs="Times New Roman"/>
        </w:rPr>
        <w:t>,</w:t>
      </w:r>
      <w:r w:rsidRPr="00E869A4">
        <w:rPr>
          <w:rFonts w:ascii="Times New Roman" w:hAnsi="Times New Roman" w:cs="Times New Roman"/>
        </w:rPr>
        <w:t xml:space="preserve"> and</w:t>
      </w:r>
      <w:r w:rsidR="0001694D" w:rsidRPr="00E869A4">
        <w:rPr>
          <w:rFonts w:ascii="Times New Roman" w:hAnsi="Times New Roman" w:cs="Times New Roman"/>
        </w:rPr>
        <w:t>,</w:t>
      </w:r>
      <w:r w:rsidRPr="00E869A4">
        <w:rPr>
          <w:rFonts w:ascii="Times New Roman" w:hAnsi="Times New Roman" w:cs="Times New Roman"/>
        </w:rPr>
        <w:t xml:space="preserve"> whether or not an individual can afford to pay for in-home care support. Lower educated persons may also have smaller financial</w:t>
      </w:r>
      <w:r w:rsidR="0001694D" w:rsidRPr="00E869A4">
        <w:rPr>
          <w:rFonts w:ascii="Times New Roman" w:hAnsi="Times New Roman" w:cs="Times New Roman"/>
        </w:rPr>
        <w:t xml:space="preserve"> means and be at greater risk of</w:t>
      </w:r>
      <w:r w:rsidRPr="00E869A4">
        <w:rPr>
          <w:rFonts w:ascii="Times New Roman" w:hAnsi="Times New Roman" w:cs="Times New Roman"/>
        </w:rPr>
        <w:t xml:space="preserve"> developing health complications in later life</w:t>
      </w:r>
      <w:r w:rsidR="0001694D" w:rsidRPr="00E869A4">
        <w:rPr>
          <w:rFonts w:ascii="Times New Roman" w:hAnsi="Times New Roman" w:cs="Times New Roman"/>
        </w:rPr>
        <w:t>,</w:t>
      </w:r>
      <w:r w:rsidRPr="00E869A4">
        <w:rPr>
          <w:rFonts w:ascii="Times New Roman" w:hAnsi="Times New Roman" w:cs="Times New Roman"/>
        </w:rPr>
        <w:t xml:space="preserve"> as they are unable to access quality health care relative to their more financially endowed counterparts. Family members who have been educated or trained in a caring profession are also more likely to be identified by their relatives as the most suitable candidate to provide elder care (Merrill 1997). </w:t>
      </w:r>
    </w:p>
    <w:p w14:paraId="7AEA6AA4" w14:textId="77777777" w:rsidR="00D04DCD" w:rsidRPr="00E869A4" w:rsidRDefault="00D04DCD" w:rsidP="00A35FF8">
      <w:pPr>
        <w:rPr>
          <w:rFonts w:ascii="Times New Roman" w:hAnsi="Times New Roman" w:cs="Times New Roman"/>
        </w:rPr>
      </w:pPr>
    </w:p>
    <w:p w14:paraId="0E0A0ED1" w14:textId="77777777" w:rsidR="00D106CD" w:rsidRPr="00E869A4" w:rsidRDefault="00D106CD" w:rsidP="00112260">
      <w:pPr>
        <w:pStyle w:val="Heading4"/>
      </w:pPr>
      <w:r w:rsidRPr="00E869A4">
        <w:t>Occupational status</w:t>
      </w:r>
    </w:p>
    <w:p w14:paraId="32E71782" w14:textId="77777777" w:rsidR="00D04DCD" w:rsidRPr="00E869A4" w:rsidRDefault="00D04DCD" w:rsidP="0051234F">
      <w:pPr>
        <w:pStyle w:val="112"/>
        <w:rPr>
          <w:color w:val="auto"/>
        </w:rPr>
      </w:pPr>
    </w:p>
    <w:p w14:paraId="667D96D0" w14:textId="702B6455" w:rsidR="00D106CD" w:rsidRPr="00E869A4" w:rsidRDefault="0001694D" w:rsidP="00391263">
      <w:pPr>
        <w:rPr>
          <w:rFonts w:ascii="Times New Roman" w:hAnsi="Times New Roman" w:cs="Times New Roman"/>
        </w:rPr>
      </w:pPr>
      <w:r w:rsidRPr="00E869A4">
        <w:rPr>
          <w:rFonts w:ascii="Times New Roman" w:hAnsi="Times New Roman" w:cs="Times New Roman"/>
        </w:rPr>
        <w:t>A common assumption is that</w:t>
      </w:r>
      <w:r w:rsidR="00D106CD" w:rsidRPr="00E869A4">
        <w:rPr>
          <w:rFonts w:ascii="Times New Roman" w:hAnsi="Times New Roman" w:cs="Times New Roman"/>
        </w:rPr>
        <w:t xml:space="preserve"> family caregivers are more likely to be persons who are unemployed</w:t>
      </w:r>
      <w:r w:rsidRPr="00E869A4">
        <w:rPr>
          <w:rFonts w:ascii="Times New Roman" w:hAnsi="Times New Roman" w:cs="Times New Roman"/>
        </w:rPr>
        <w:t>,</w:t>
      </w:r>
      <w:r w:rsidR="00D106CD" w:rsidRPr="00E869A4">
        <w:rPr>
          <w:rFonts w:ascii="Times New Roman" w:hAnsi="Times New Roman" w:cs="Times New Roman"/>
        </w:rPr>
        <w:t xml:space="preserve"> or </w:t>
      </w:r>
      <w:r w:rsidRPr="00E869A4">
        <w:rPr>
          <w:rFonts w:ascii="Times New Roman" w:hAnsi="Times New Roman" w:cs="Times New Roman"/>
        </w:rPr>
        <w:t>have</w:t>
      </w:r>
      <w:r w:rsidR="00D106CD" w:rsidRPr="00E869A4">
        <w:rPr>
          <w:rFonts w:ascii="Times New Roman" w:hAnsi="Times New Roman" w:cs="Times New Roman"/>
        </w:rPr>
        <w:t xml:space="preserve"> less demanding </w:t>
      </w:r>
      <w:r w:rsidRPr="00E869A4">
        <w:rPr>
          <w:rFonts w:ascii="Times New Roman" w:hAnsi="Times New Roman" w:cs="Times New Roman"/>
        </w:rPr>
        <w:t xml:space="preserve">formal </w:t>
      </w:r>
      <w:r w:rsidR="00D106CD" w:rsidRPr="00E869A4">
        <w:rPr>
          <w:rFonts w:ascii="Times New Roman" w:hAnsi="Times New Roman" w:cs="Times New Roman"/>
        </w:rPr>
        <w:t>jobs</w:t>
      </w:r>
      <w:r w:rsidRPr="00E869A4">
        <w:rPr>
          <w:rFonts w:ascii="Times New Roman" w:hAnsi="Times New Roman" w:cs="Times New Roman"/>
        </w:rPr>
        <w:t>,</w:t>
      </w:r>
      <w:r w:rsidR="00D106CD" w:rsidRPr="00E869A4">
        <w:rPr>
          <w:rFonts w:ascii="Times New Roman" w:hAnsi="Times New Roman" w:cs="Times New Roman"/>
        </w:rPr>
        <w:t xml:space="preserve"> and are therefore more available to provide care. However, the evidence suggests that this often </w:t>
      </w:r>
      <w:r w:rsidR="005D47F3" w:rsidRPr="00E869A4">
        <w:rPr>
          <w:rFonts w:ascii="Times New Roman" w:hAnsi="Times New Roman" w:cs="Times New Roman"/>
        </w:rPr>
        <w:t xml:space="preserve">is </w:t>
      </w:r>
      <w:r w:rsidR="00D106CD" w:rsidRPr="00E869A4">
        <w:rPr>
          <w:rFonts w:ascii="Times New Roman" w:hAnsi="Times New Roman" w:cs="Times New Roman"/>
        </w:rPr>
        <w:t>not the case in reality. In many instances, family caregivers are involved in full time employment outside the home</w:t>
      </w:r>
      <w:r w:rsidRPr="00E869A4">
        <w:rPr>
          <w:rFonts w:ascii="Times New Roman" w:hAnsi="Times New Roman" w:cs="Times New Roman"/>
        </w:rPr>
        <w:t>,</w:t>
      </w:r>
      <w:r w:rsidR="00D106CD" w:rsidRPr="00E869A4">
        <w:rPr>
          <w:rFonts w:ascii="Times New Roman" w:hAnsi="Times New Roman" w:cs="Times New Roman"/>
        </w:rPr>
        <w:t xml:space="preserve"> and are challenged by the need to manage their care responsibilities as well as work demands. Spillman </w:t>
      </w:r>
      <w:r w:rsidR="00A33674" w:rsidRPr="00E869A4">
        <w:rPr>
          <w:rFonts w:ascii="Times New Roman" w:hAnsi="Times New Roman" w:cs="Times New Roman"/>
        </w:rPr>
        <w:t>and</w:t>
      </w:r>
      <w:r w:rsidR="00D106CD" w:rsidRPr="00E869A4">
        <w:rPr>
          <w:rFonts w:ascii="Times New Roman" w:hAnsi="Times New Roman" w:cs="Times New Roman"/>
        </w:rPr>
        <w:t xml:space="preserve"> Pezzin (2014) found in their review of the 2011 American National Study of Caregiving</w:t>
      </w:r>
      <w:r w:rsidRPr="00E869A4">
        <w:rPr>
          <w:rFonts w:ascii="Times New Roman" w:hAnsi="Times New Roman" w:cs="Times New Roman"/>
        </w:rPr>
        <w:t>,</w:t>
      </w:r>
      <w:r w:rsidR="00D106CD" w:rsidRPr="00E869A4">
        <w:rPr>
          <w:rFonts w:ascii="Times New Roman" w:hAnsi="Times New Roman" w:cs="Times New Roman"/>
        </w:rPr>
        <w:t xml:space="preserve"> that about 44% of all caregivers of older persons were employed, and workers and non-workers were equally likely to be helping with self-care or mobility activities. However, average hours of care provided by workers were substantially lower, especially for those working the greatest number of hours per week. This is consistent with </w:t>
      </w:r>
      <w:r w:rsidR="00396304" w:rsidRPr="00E869A4">
        <w:rPr>
          <w:rFonts w:ascii="Times New Roman" w:hAnsi="Times New Roman" w:cs="Times New Roman"/>
        </w:rPr>
        <w:t xml:space="preserve">Mentzakis, McNamee </w:t>
      </w:r>
      <w:r w:rsidR="00DD5977" w:rsidRPr="00E869A4">
        <w:rPr>
          <w:rFonts w:ascii="Times New Roman" w:hAnsi="Times New Roman" w:cs="Times New Roman"/>
        </w:rPr>
        <w:t>and</w:t>
      </w:r>
      <w:r w:rsidR="00396304" w:rsidRPr="00E869A4">
        <w:rPr>
          <w:rFonts w:ascii="Times New Roman" w:hAnsi="Times New Roman" w:cs="Times New Roman"/>
        </w:rPr>
        <w:t xml:space="preserve"> Ryan </w:t>
      </w:r>
      <w:r w:rsidR="00D106CD" w:rsidRPr="00E869A4">
        <w:rPr>
          <w:rFonts w:ascii="Times New Roman" w:hAnsi="Times New Roman" w:cs="Times New Roman"/>
        </w:rPr>
        <w:t>(2009</w:t>
      </w:r>
      <w:r w:rsidR="005D47F3" w:rsidRPr="00E869A4">
        <w:rPr>
          <w:rFonts w:ascii="Times New Roman" w:hAnsi="Times New Roman" w:cs="Times New Roman"/>
        </w:rPr>
        <w:t>) who observed</w:t>
      </w:r>
      <w:r w:rsidR="00D106CD" w:rsidRPr="00E869A4">
        <w:rPr>
          <w:rFonts w:ascii="Times New Roman" w:hAnsi="Times New Roman" w:cs="Times New Roman"/>
        </w:rPr>
        <w:t xml:space="preserve"> that informal care supply is limited by the decision to participate in the labour force.</w:t>
      </w:r>
    </w:p>
    <w:p w14:paraId="7B0F996D" w14:textId="77777777" w:rsidR="00B36FD0" w:rsidRPr="00E869A4" w:rsidRDefault="00B36FD0" w:rsidP="00A35FF8">
      <w:pPr>
        <w:rPr>
          <w:rFonts w:ascii="Times New Roman" w:hAnsi="Times New Roman" w:cs="Times New Roman"/>
        </w:rPr>
      </w:pPr>
    </w:p>
    <w:p w14:paraId="207DF212" w14:textId="58D98301" w:rsidR="00D106CD" w:rsidRPr="00E869A4" w:rsidRDefault="00D106CD" w:rsidP="00391263">
      <w:pPr>
        <w:rPr>
          <w:rFonts w:ascii="Times New Roman" w:hAnsi="Times New Roman" w:cs="Times New Roman"/>
        </w:rPr>
      </w:pPr>
      <w:r w:rsidRPr="00E869A4">
        <w:rPr>
          <w:rFonts w:ascii="Times New Roman" w:hAnsi="Times New Roman" w:cs="Times New Roman"/>
        </w:rPr>
        <w:t>Wolff et al</w:t>
      </w:r>
      <w:r w:rsidR="005D47F3" w:rsidRPr="00E869A4">
        <w:rPr>
          <w:rFonts w:ascii="Times New Roman" w:hAnsi="Times New Roman" w:cs="Times New Roman"/>
        </w:rPr>
        <w:t>.</w:t>
      </w:r>
      <w:r w:rsidRPr="00E869A4">
        <w:rPr>
          <w:rFonts w:ascii="Times New Roman" w:hAnsi="Times New Roman" w:cs="Times New Roman"/>
        </w:rPr>
        <w:t xml:space="preserve"> (2006) found from their analysis of America’s National Long-Term Care Survey (1989 &amp; 1999) that about half of all employed caregivers in 1999 experienced some le</w:t>
      </w:r>
      <w:r w:rsidR="00AD62D5" w:rsidRPr="00E869A4">
        <w:rPr>
          <w:rFonts w:ascii="Times New Roman" w:hAnsi="Times New Roman" w:cs="Times New Roman"/>
        </w:rPr>
        <w:t xml:space="preserve">vel of work conflict. They noted </w:t>
      </w:r>
      <w:r w:rsidRPr="00E869A4">
        <w:rPr>
          <w:rFonts w:ascii="Times New Roman" w:hAnsi="Times New Roman" w:cs="Times New Roman"/>
        </w:rPr>
        <w:t>that this finding was consistent with other studies that described the considerable economic and personal consequences that often accrued to employed family caregivers.</w:t>
      </w:r>
    </w:p>
    <w:p w14:paraId="47AC603A" w14:textId="77777777" w:rsidR="00D106CD" w:rsidRPr="00E869A4" w:rsidRDefault="00D106CD" w:rsidP="00112260">
      <w:pPr>
        <w:pStyle w:val="Heading4"/>
      </w:pPr>
      <w:r w:rsidRPr="00E869A4">
        <w:lastRenderedPageBreak/>
        <w:t>Spiritual/Religious and Moral Influences</w:t>
      </w:r>
    </w:p>
    <w:p w14:paraId="3AF45D46" w14:textId="77777777" w:rsidR="00D04DCD" w:rsidRPr="00E869A4" w:rsidRDefault="00D04DCD" w:rsidP="0051234F">
      <w:pPr>
        <w:pStyle w:val="112"/>
        <w:rPr>
          <w:color w:val="auto"/>
        </w:rPr>
      </w:pPr>
    </w:p>
    <w:p w14:paraId="62A85E78" w14:textId="52733C58" w:rsidR="00785D4A" w:rsidRPr="00E869A4" w:rsidRDefault="00C25074">
      <w:pPr>
        <w:rPr>
          <w:rFonts w:ascii="Times New Roman" w:hAnsi="Times New Roman" w:cs="Times New Roman"/>
        </w:rPr>
      </w:pPr>
      <w:r w:rsidRPr="00E869A4">
        <w:rPr>
          <w:rFonts w:ascii="Times New Roman" w:hAnsi="Times New Roman" w:cs="Times New Roman"/>
        </w:rPr>
        <w:t>Numerous family theorists and researchers have discussed the impact of religious beliefs and personal moral positions about ageing, kinship and caregiving obligations</w:t>
      </w:r>
      <w:r w:rsidR="00D106CD" w:rsidRPr="00E869A4">
        <w:rPr>
          <w:rFonts w:ascii="Times New Roman" w:hAnsi="Times New Roman" w:cs="Times New Roman"/>
        </w:rPr>
        <w:t>. However, most of the literature focuses on how these beliefs and values help older persons and caregiver</w:t>
      </w:r>
      <w:r w:rsidR="00887F01" w:rsidRPr="00E869A4">
        <w:rPr>
          <w:rFonts w:ascii="Times New Roman" w:hAnsi="Times New Roman" w:cs="Times New Roman"/>
        </w:rPr>
        <w:t>s</w:t>
      </w:r>
      <w:r w:rsidR="00D106CD" w:rsidRPr="00E869A4">
        <w:rPr>
          <w:rFonts w:ascii="Times New Roman" w:hAnsi="Times New Roman" w:cs="Times New Roman"/>
        </w:rPr>
        <w:t xml:space="preserve"> to cope with the challenges of care. A few studies have provided some initial insights on how persons are motivated to care </w:t>
      </w:r>
      <w:r w:rsidRPr="00E869A4">
        <w:rPr>
          <w:rFonts w:ascii="Times New Roman" w:hAnsi="Times New Roman" w:cs="Times New Roman"/>
        </w:rPr>
        <w:t>because</w:t>
      </w:r>
      <w:r w:rsidR="00D106CD" w:rsidRPr="00E869A4">
        <w:rPr>
          <w:rFonts w:ascii="Times New Roman" w:hAnsi="Times New Roman" w:cs="Times New Roman"/>
        </w:rPr>
        <w:t xml:space="preserve"> of their religious or moral beliefs. Levkoff et al</w:t>
      </w:r>
      <w:r w:rsidR="00AD62D5" w:rsidRPr="00E869A4">
        <w:rPr>
          <w:rFonts w:ascii="Times New Roman" w:hAnsi="Times New Roman" w:cs="Times New Roman"/>
        </w:rPr>
        <w:t>.</w:t>
      </w:r>
      <w:r w:rsidR="00D106CD" w:rsidRPr="00E869A4">
        <w:rPr>
          <w:rFonts w:ascii="Times New Roman" w:hAnsi="Times New Roman" w:cs="Times New Roman"/>
        </w:rPr>
        <w:t xml:space="preserve"> (1999) found in their study of family caregivers of older persons diagnosed with </w:t>
      </w:r>
      <w:r w:rsidRPr="00E869A4">
        <w:rPr>
          <w:rFonts w:ascii="Times New Roman" w:hAnsi="Times New Roman" w:cs="Times New Roman"/>
        </w:rPr>
        <w:t>Alzheimer’s disease</w:t>
      </w:r>
      <w:r w:rsidR="00D106CD" w:rsidRPr="00E869A4">
        <w:rPr>
          <w:rFonts w:ascii="Times New Roman" w:hAnsi="Times New Roman" w:cs="Times New Roman"/>
        </w:rPr>
        <w:t xml:space="preserve"> and Related Dementia (ADRD)</w:t>
      </w:r>
      <w:r w:rsidR="00C52775" w:rsidRPr="00E869A4">
        <w:rPr>
          <w:rFonts w:ascii="Times New Roman" w:hAnsi="Times New Roman" w:cs="Times New Roman"/>
        </w:rPr>
        <w:t>,</w:t>
      </w:r>
      <w:r w:rsidR="00D106CD" w:rsidRPr="00E869A4">
        <w:rPr>
          <w:rFonts w:ascii="Times New Roman" w:hAnsi="Times New Roman" w:cs="Times New Roman"/>
        </w:rPr>
        <w:t xml:space="preserve"> that usually the ethic to provide care was located within the religion of the caregiver whereby persons saw it as their religious duty to provide care rather than place the cared-for </w:t>
      </w:r>
      <w:r w:rsidR="00AA5604">
        <w:rPr>
          <w:rFonts w:ascii="Times New Roman" w:hAnsi="Times New Roman" w:cs="Times New Roman"/>
        </w:rPr>
        <w:t xml:space="preserve">relative </w:t>
      </w:r>
      <w:r w:rsidR="00D106CD" w:rsidRPr="00E869A4">
        <w:rPr>
          <w:rFonts w:ascii="Times New Roman" w:hAnsi="Times New Roman" w:cs="Times New Roman"/>
        </w:rPr>
        <w:t>in a nursing home. Mok et al</w:t>
      </w:r>
      <w:r w:rsidR="00887F01" w:rsidRPr="00E869A4">
        <w:rPr>
          <w:rFonts w:ascii="Times New Roman" w:hAnsi="Times New Roman" w:cs="Times New Roman"/>
        </w:rPr>
        <w:t>.</w:t>
      </w:r>
      <w:r w:rsidR="00D106CD" w:rsidRPr="00E869A4">
        <w:rPr>
          <w:rFonts w:ascii="Times New Roman" w:hAnsi="Times New Roman" w:cs="Times New Roman"/>
        </w:rPr>
        <w:t xml:space="preserve"> 2007 (</w:t>
      </w:r>
      <w:r w:rsidR="00887F01" w:rsidRPr="00E869A4">
        <w:rPr>
          <w:rFonts w:ascii="Times New Roman" w:hAnsi="Times New Roman" w:cs="Times New Roman"/>
        </w:rPr>
        <w:t>cited in</w:t>
      </w:r>
      <w:r w:rsidR="00D106CD" w:rsidRPr="00E869A4">
        <w:rPr>
          <w:rFonts w:ascii="Times New Roman" w:hAnsi="Times New Roman" w:cs="Times New Roman"/>
        </w:rPr>
        <w:t xml:space="preserve"> Chan 2010) observed that Chinese people, influenced by their culture and religion, accepted the responsibility of taking care of a family member with dementia as a normal course of life or fate. More studies are needed that focus specifically on how religious/spiritual and moral values impact on the decision to provide care. </w:t>
      </w:r>
    </w:p>
    <w:p w14:paraId="172D21EE" w14:textId="77777777" w:rsidR="00A612FE" w:rsidRPr="00E869A4" w:rsidRDefault="00A612FE">
      <w:pPr>
        <w:rPr>
          <w:b/>
          <w:i/>
          <w:u w:val="single"/>
        </w:rPr>
      </w:pPr>
    </w:p>
    <w:p w14:paraId="22435540" w14:textId="066B6FB0" w:rsidR="00D106CD" w:rsidRPr="00E869A4" w:rsidRDefault="00681D1C" w:rsidP="005C449C">
      <w:pPr>
        <w:pStyle w:val="Heading3"/>
      </w:pPr>
      <w:bookmarkStart w:id="176" w:name="_Toc40436488"/>
      <w:r w:rsidRPr="00E869A4">
        <w:t xml:space="preserve">3.2.3 </w:t>
      </w:r>
      <w:r w:rsidR="005C480A" w:rsidRPr="00E869A4">
        <w:t xml:space="preserve">    </w:t>
      </w:r>
      <w:r w:rsidR="00C95954" w:rsidRPr="00E869A4">
        <w:t>Enabling Factors</w:t>
      </w:r>
      <w:bookmarkEnd w:id="176"/>
    </w:p>
    <w:p w14:paraId="0946EC21" w14:textId="77777777" w:rsidR="00F97E0D" w:rsidRPr="00E869A4" w:rsidRDefault="00F97E0D" w:rsidP="00F97E0D"/>
    <w:p w14:paraId="606DE986" w14:textId="77777777" w:rsidR="00E23C1E" w:rsidRPr="00E869A4" w:rsidRDefault="00E23C1E" w:rsidP="00E23C1E">
      <w:pPr>
        <w:rPr>
          <w:rFonts w:ascii="Times New Roman" w:hAnsi="Times New Roman" w:cs="Times New Roman"/>
        </w:rPr>
      </w:pPr>
      <w:r w:rsidRPr="00E869A4">
        <w:rPr>
          <w:rFonts w:ascii="Times New Roman" w:hAnsi="Times New Roman" w:cs="Times New Roman"/>
        </w:rPr>
        <w:t xml:space="preserve">Enabling factors refer to the resources that may facilitate access to family care such as an individual’s partnership status, the number of children they have or are responsible for, geographical proximity of the closest child or other family member, and economic resources. For each of the variables, I consider the empirical evidence pertinent to both the caregiver and the cared-for relative. </w:t>
      </w:r>
    </w:p>
    <w:p w14:paraId="0C2A38EB" w14:textId="77777777" w:rsidR="00D04DCD" w:rsidRPr="00E869A4" w:rsidRDefault="00D04DCD" w:rsidP="0051234F">
      <w:pPr>
        <w:pStyle w:val="112"/>
        <w:rPr>
          <w:color w:val="auto"/>
        </w:rPr>
      </w:pPr>
    </w:p>
    <w:p w14:paraId="4AD6397B" w14:textId="77777777" w:rsidR="00D106CD" w:rsidRPr="00E869A4" w:rsidRDefault="00D106CD" w:rsidP="00112260">
      <w:pPr>
        <w:pStyle w:val="Heading4"/>
      </w:pPr>
      <w:r w:rsidRPr="00E869A4">
        <w:t>Partnership Status</w:t>
      </w:r>
    </w:p>
    <w:p w14:paraId="176800AC" w14:textId="77777777" w:rsidR="00D04DCD" w:rsidRPr="00E869A4" w:rsidRDefault="00D04DCD" w:rsidP="0051234F">
      <w:pPr>
        <w:pStyle w:val="112"/>
        <w:rPr>
          <w:color w:val="auto"/>
        </w:rPr>
      </w:pPr>
    </w:p>
    <w:p w14:paraId="0BEE89EC" w14:textId="13280E39" w:rsidR="00D106CD" w:rsidRPr="00E869A4" w:rsidRDefault="00D106CD" w:rsidP="00CE5952">
      <w:pPr>
        <w:rPr>
          <w:rFonts w:ascii="Times New Roman" w:hAnsi="Times New Roman" w:cs="Times New Roman"/>
        </w:rPr>
      </w:pPr>
      <w:r w:rsidRPr="00E869A4">
        <w:rPr>
          <w:rFonts w:ascii="Times New Roman" w:hAnsi="Times New Roman" w:cs="Times New Roman"/>
        </w:rPr>
        <w:t xml:space="preserve">Partnership status refers to whether or not the </w:t>
      </w:r>
      <w:r w:rsidR="009E2738" w:rsidRPr="00E869A4">
        <w:rPr>
          <w:rFonts w:ascii="Times New Roman" w:hAnsi="Times New Roman" w:cs="Times New Roman"/>
        </w:rPr>
        <w:t>care recipient</w:t>
      </w:r>
      <w:r w:rsidRPr="00E869A4">
        <w:rPr>
          <w:rFonts w:ascii="Times New Roman" w:hAnsi="Times New Roman" w:cs="Times New Roman"/>
        </w:rPr>
        <w:t xml:space="preserve"> or caregiver </w:t>
      </w:r>
      <w:r w:rsidR="006808C0" w:rsidRPr="00E869A4">
        <w:rPr>
          <w:rFonts w:ascii="Times New Roman" w:hAnsi="Times New Roman" w:cs="Times New Roman"/>
        </w:rPr>
        <w:t>is</w:t>
      </w:r>
      <w:r w:rsidRPr="00E869A4">
        <w:rPr>
          <w:rFonts w:ascii="Times New Roman" w:hAnsi="Times New Roman" w:cs="Times New Roman"/>
        </w:rPr>
        <w:t xml:space="preserve"> involved in a marital partnership, cohabitational (but unmarried), non-coresidential (e.g. visiting relationships) or </w:t>
      </w:r>
      <w:r w:rsidR="006808C0" w:rsidRPr="00E869A4">
        <w:rPr>
          <w:rFonts w:ascii="Times New Roman" w:hAnsi="Times New Roman" w:cs="Times New Roman"/>
        </w:rPr>
        <w:t>is</w:t>
      </w:r>
      <w:r w:rsidRPr="00E869A4">
        <w:rPr>
          <w:rFonts w:ascii="Times New Roman" w:hAnsi="Times New Roman" w:cs="Times New Roman"/>
        </w:rPr>
        <w:t xml:space="preserve"> single and living alone or with other family members.  As noted in the </w:t>
      </w:r>
      <w:r w:rsidR="00F4591A" w:rsidRPr="00E869A4">
        <w:rPr>
          <w:rFonts w:ascii="Times New Roman" w:hAnsi="Times New Roman" w:cs="Times New Roman"/>
        </w:rPr>
        <w:t xml:space="preserve">preceding </w:t>
      </w:r>
      <w:r w:rsidRPr="00E869A4">
        <w:rPr>
          <w:rFonts w:ascii="Times New Roman" w:hAnsi="Times New Roman" w:cs="Times New Roman"/>
        </w:rPr>
        <w:t xml:space="preserve">discussion on gender </w:t>
      </w:r>
      <w:r w:rsidR="00F4591A" w:rsidRPr="00E869A4">
        <w:rPr>
          <w:rFonts w:ascii="Times New Roman" w:hAnsi="Times New Roman" w:cs="Times New Roman"/>
        </w:rPr>
        <w:t>as a determinant of caregiver role acquisition</w:t>
      </w:r>
      <w:r w:rsidRPr="00E869A4">
        <w:rPr>
          <w:rFonts w:ascii="Times New Roman" w:hAnsi="Times New Roman" w:cs="Times New Roman"/>
        </w:rPr>
        <w:t xml:space="preserve">, for married couples, the spouse is the most likely person to provide care. It is generally expected that parents without partners are also more likely to receive help from children, which is in line with the notion of substitution (Cantor 1979). However, there are times when both older parents who are married and living together are in need of care. In such instances, </w:t>
      </w:r>
      <w:r w:rsidR="00C25074" w:rsidRPr="00E869A4">
        <w:rPr>
          <w:rFonts w:ascii="Times New Roman" w:hAnsi="Times New Roman" w:cs="Times New Roman"/>
        </w:rPr>
        <w:t xml:space="preserve">an adult child </w:t>
      </w:r>
      <w:r w:rsidR="006A0189" w:rsidRPr="00E869A4">
        <w:rPr>
          <w:rFonts w:ascii="Times New Roman" w:hAnsi="Times New Roman" w:cs="Times New Roman"/>
        </w:rPr>
        <w:t>may provide significant support</w:t>
      </w:r>
      <w:r w:rsidR="00391263" w:rsidRPr="00E869A4">
        <w:rPr>
          <w:rFonts w:ascii="Times New Roman" w:hAnsi="Times New Roman" w:cs="Times New Roman"/>
        </w:rPr>
        <w:t xml:space="preserve"> (</w:t>
      </w:r>
      <w:r w:rsidR="00384688" w:rsidRPr="00E869A4">
        <w:rPr>
          <w:rFonts w:ascii="Times New Roman" w:hAnsi="Times New Roman" w:cs="Times New Roman"/>
        </w:rPr>
        <w:t xml:space="preserve">Cantor 1979 cited in </w:t>
      </w:r>
      <w:r w:rsidR="00391263" w:rsidRPr="00E869A4">
        <w:rPr>
          <w:rFonts w:ascii="Times New Roman" w:hAnsi="Times New Roman" w:cs="Times New Roman"/>
        </w:rPr>
        <w:t>Tolkacheva et al.</w:t>
      </w:r>
      <w:r w:rsidR="00C25074" w:rsidRPr="00E869A4">
        <w:rPr>
          <w:rFonts w:ascii="Times New Roman" w:hAnsi="Times New Roman" w:cs="Times New Roman"/>
        </w:rPr>
        <w:t xml:space="preserve"> 2010)</w:t>
      </w:r>
      <w:r w:rsidRPr="00E869A4">
        <w:rPr>
          <w:rFonts w:ascii="Times New Roman" w:hAnsi="Times New Roman" w:cs="Times New Roman"/>
        </w:rPr>
        <w:t>.</w:t>
      </w:r>
    </w:p>
    <w:p w14:paraId="10CB04A6" w14:textId="71975FB0" w:rsidR="000B643D" w:rsidRPr="00E869A4" w:rsidRDefault="00C25074" w:rsidP="00A35FF8">
      <w:pPr>
        <w:rPr>
          <w:rFonts w:ascii="Times New Roman" w:hAnsi="Times New Roman" w:cs="Times New Roman"/>
        </w:rPr>
      </w:pPr>
      <w:r w:rsidRPr="00E869A4">
        <w:rPr>
          <w:rFonts w:ascii="Times New Roman" w:hAnsi="Times New Roman" w:cs="Times New Roman"/>
        </w:rPr>
        <w:lastRenderedPageBreak/>
        <w:t xml:space="preserve">The increase in the number of older couples in committed relationships but living apart in </w:t>
      </w:r>
      <w:r w:rsidR="00A200AD" w:rsidRPr="00E869A4">
        <w:rPr>
          <w:rFonts w:ascii="Times New Roman" w:hAnsi="Times New Roman" w:cs="Times New Roman"/>
        </w:rPr>
        <w:t>MEDCs</w:t>
      </w:r>
      <w:r w:rsidRPr="00E869A4">
        <w:rPr>
          <w:rFonts w:ascii="Times New Roman" w:hAnsi="Times New Roman" w:cs="Times New Roman"/>
        </w:rPr>
        <w:t xml:space="preserve"> has fuelled interest about future elder care arrangements for persons in Living Apart Together (LAT) partnership arrangements. </w:t>
      </w:r>
      <w:r w:rsidR="00D106CD" w:rsidRPr="00E869A4">
        <w:rPr>
          <w:rFonts w:ascii="Times New Roman" w:hAnsi="Times New Roman" w:cs="Times New Roman"/>
        </w:rPr>
        <w:t>In their study to investigate the expectations and attitudes of Swedish elderly people in heterosexual LAT relationships, Karlsson and Johansson (2007) concluded that, given the results from the one-hundred and sixteen (116) participants who completed their structured questionnaire, LAT relationships give rise to a more uncertain situation regarding the care of partners and this was largely because care in old age cannot be demanded as the LAT relationship is based more on voluntary rather than institutionali</w:t>
      </w:r>
      <w:r w:rsidR="00464F6B" w:rsidRPr="00E869A4">
        <w:rPr>
          <w:rFonts w:ascii="Times New Roman" w:hAnsi="Times New Roman" w:cs="Times New Roman"/>
        </w:rPr>
        <w:t>s</w:t>
      </w:r>
      <w:r w:rsidR="00D106CD" w:rsidRPr="00E869A4">
        <w:rPr>
          <w:rFonts w:ascii="Times New Roman" w:hAnsi="Times New Roman" w:cs="Times New Roman"/>
        </w:rPr>
        <w:t xml:space="preserve">ed commitments between partners. </w:t>
      </w:r>
    </w:p>
    <w:p w14:paraId="1AA9A210" w14:textId="77777777" w:rsidR="000B643D" w:rsidRPr="00E869A4" w:rsidRDefault="000B643D" w:rsidP="00A35FF8">
      <w:pPr>
        <w:rPr>
          <w:rFonts w:ascii="Times New Roman" w:hAnsi="Times New Roman" w:cs="Times New Roman"/>
        </w:rPr>
      </w:pPr>
    </w:p>
    <w:p w14:paraId="513D07BC" w14:textId="36FA50B8" w:rsidR="00D106CD" w:rsidRPr="00E869A4" w:rsidRDefault="00D106CD" w:rsidP="00A35FF8">
      <w:pPr>
        <w:rPr>
          <w:rFonts w:ascii="Times New Roman" w:hAnsi="Times New Roman" w:cs="Times New Roman"/>
        </w:rPr>
      </w:pPr>
      <w:r w:rsidRPr="00E869A4">
        <w:rPr>
          <w:rFonts w:ascii="Times New Roman" w:hAnsi="Times New Roman" w:cs="Times New Roman"/>
        </w:rPr>
        <w:t xml:space="preserve"> Gierveld’s (2015) found similar results from a side study of the Netherlands Kinship Panel Study</w:t>
      </w:r>
      <w:r w:rsidR="000B643D" w:rsidRPr="00E869A4">
        <w:rPr>
          <w:rFonts w:ascii="Times New Roman" w:hAnsi="Times New Roman" w:cs="Times New Roman"/>
        </w:rPr>
        <w:t>,</w:t>
      </w:r>
      <w:r w:rsidRPr="00E869A4">
        <w:rPr>
          <w:rFonts w:ascii="Times New Roman" w:hAnsi="Times New Roman" w:cs="Times New Roman"/>
        </w:rPr>
        <w:t xml:space="preserve"> in which they conducted semi-structured interviews with 25 LAT partners and a comparison group of 17 remarried older adults. The results revealed diversity in care attitudes in the two groups: while the majority of remarried older adults express</w:t>
      </w:r>
      <w:r w:rsidR="000B643D" w:rsidRPr="00E869A4">
        <w:rPr>
          <w:rFonts w:ascii="Times New Roman" w:hAnsi="Times New Roman" w:cs="Times New Roman"/>
        </w:rPr>
        <w:t>ed</w:t>
      </w:r>
      <w:r w:rsidRPr="00E869A4">
        <w:rPr>
          <w:rFonts w:ascii="Times New Roman" w:hAnsi="Times New Roman" w:cs="Times New Roman"/>
        </w:rPr>
        <w:t xml:space="preserve"> their care attitudes with a guarantee of unconditional commitment, only half of the older LAT partners expressed parallel attitudes; the other half of the LAT partners had ambivalent or negative attitudes towards giving or receiving care. These findings are of interest to a Caribbean context where visiting (LAT) unions have been widely practiced for a very long time. </w:t>
      </w:r>
    </w:p>
    <w:p w14:paraId="3BF77B09" w14:textId="77777777" w:rsidR="000B643D" w:rsidRPr="00E869A4" w:rsidRDefault="000B643D" w:rsidP="00A35FF8">
      <w:pPr>
        <w:rPr>
          <w:rFonts w:ascii="Times New Roman" w:hAnsi="Times New Roman" w:cs="Times New Roman"/>
        </w:rPr>
      </w:pPr>
    </w:p>
    <w:p w14:paraId="58C73BB9" w14:textId="3876827F" w:rsidR="00FB6789" w:rsidRPr="00E869A4" w:rsidRDefault="00D106CD">
      <w:pPr>
        <w:rPr>
          <w:rFonts w:ascii="Times New Roman" w:hAnsi="Times New Roman" w:cs="Times New Roman"/>
        </w:rPr>
      </w:pPr>
      <w:r w:rsidRPr="00E869A4">
        <w:rPr>
          <w:rFonts w:ascii="Times New Roman" w:hAnsi="Times New Roman" w:cs="Times New Roman"/>
        </w:rPr>
        <w:t>The partnership status of the potential caregiver is another determining factor. As was noted previously</w:t>
      </w:r>
      <w:r w:rsidR="000B643D" w:rsidRPr="00E869A4">
        <w:rPr>
          <w:rFonts w:ascii="Times New Roman" w:hAnsi="Times New Roman" w:cs="Times New Roman"/>
        </w:rPr>
        <w:t>,</w:t>
      </w:r>
      <w:r w:rsidRPr="00E869A4">
        <w:rPr>
          <w:rFonts w:ascii="Times New Roman" w:hAnsi="Times New Roman" w:cs="Times New Roman"/>
        </w:rPr>
        <w:t xml:space="preserve"> in some cultures and at certain times in history, the youngest daughter was more likely to remain single and care for older parents. Generally</w:t>
      </w:r>
      <w:r w:rsidR="00231284" w:rsidRPr="00E869A4">
        <w:rPr>
          <w:rFonts w:ascii="Times New Roman" w:hAnsi="Times New Roman" w:cs="Times New Roman"/>
        </w:rPr>
        <w:t>,</w:t>
      </w:r>
      <w:r w:rsidRPr="00E869A4">
        <w:rPr>
          <w:rFonts w:ascii="Times New Roman" w:hAnsi="Times New Roman" w:cs="Times New Roman"/>
        </w:rPr>
        <w:t xml:space="preserve"> however, daughters who never married are more likely to have never moved out of the parental home and usually became a primary caregiver because they were </w:t>
      </w:r>
      <w:r w:rsidR="000B643D" w:rsidRPr="00E869A4">
        <w:rPr>
          <w:rFonts w:ascii="Times New Roman" w:hAnsi="Times New Roman" w:cs="Times New Roman"/>
        </w:rPr>
        <w:t>already ‘in place’ (Brody et al</w:t>
      </w:r>
      <w:r w:rsidR="00A200AD" w:rsidRPr="00E869A4">
        <w:rPr>
          <w:rFonts w:ascii="Times New Roman" w:hAnsi="Times New Roman" w:cs="Times New Roman"/>
        </w:rPr>
        <w:t>.</w:t>
      </w:r>
      <w:r w:rsidRPr="00E869A4">
        <w:rPr>
          <w:rFonts w:ascii="Times New Roman" w:hAnsi="Times New Roman" w:cs="Times New Roman"/>
        </w:rPr>
        <w:t xml:space="preserve"> 1995). However, this is dependent on the cultural patterns and norms that may at times influence decisions about co-habiting with parents before and after marriage.</w:t>
      </w:r>
      <w:r w:rsidR="00F30E20" w:rsidRPr="00E869A4">
        <w:rPr>
          <w:rFonts w:ascii="Times New Roman" w:hAnsi="Times New Roman" w:cs="Times New Roman"/>
        </w:rPr>
        <w:t xml:space="preserve"> </w:t>
      </w:r>
    </w:p>
    <w:p w14:paraId="3579209F" w14:textId="77777777" w:rsidR="005015A6" w:rsidRPr="00E869A4" w:rsidRDefault="005015A6">
      <w:pPr>
        <w:rPr>
          <w:b/>
          <w:i/>
          <w:u w:val="single"/>
        </w:rPr>
      </w:pPr>
    </w:p>
    <w:p w14:paraId="6646B22B" w14:textId="30A22DE3" w:rsidR="00D106CD" w:rsidRPr="00E869A4" w:rsidRDefault="00D106CD" w:rsidP="00112260">
      <w:pPr>
        <w:pStyle w:val="Heading4"/>
      </w:pPr>
      <w:r w:rsidRPr="00E869A4">
        <w:t>Number of Children</w:t>
      </w:r>
    </w:p>
    <w:p w14:paraId="412DF935" w14:textId="77777777" w:rsidR="00D04DCD" w:rsidRPr="00E869A4" w:rsidRDefault="00D04DCD" w:rsidP="0051234F">
      <w:pPr>
        <w:pStyle w:val="112"/>
        <w:rPr>
          <w:color w:val="auto"/>
        </w:rPr>
      </w:pPr>
    </w:p>
    <w:p w14:paraId="1BBE3B13" w14:textId="54551D3E" w:rsidR="00D106CD" w:rsidRPr="00E869A4" w:rsidRDefault="00D106CD" w:rsidP="00A35FF8">
      <w:pPr>
        <w:rPr>
          <w:rFonts w:ascii="Times New Roman" w:hAnsi="Times New Roman" w:cs="Times New Roman"/>
        </w:rPr>
      </w:pPr>
      <w:r w:rsidRPr="00E869A4">
        <w:rPr>
          <w:rFonts w:ascii="Times New Roman" w:hAnsi="Times New Roman" w:cs="Times New Roman"/>
        </w:rPr>
        <w:t xml:space="preserve">The number of children an older person has is an important variable with respect to determining who in the family will provide care. </w:t>
      </w:r>
      <w:r w:rsidR="008F31A4" w:rsidRPr="00E869A4">
        <w:rPr>
          <w:rFonts w:ascii="Times New Roman" w:hAnsi="Times New Roman" w:cs="Times New Roman"/>
        </w:rPr>
        <w:t xml:space="preserve">Schrӧder </w:t>
      </w:r>
      <w:r w:rsidRPr="00E869A4">
        <w:rPr>
          <w:rFonts w:ascii="Times New Roman" w:hAnsi="Times New Roman" w:cs="Times New Roman"/>
        </w:rPr>
        <w:t>-Butterfill and Marianti (2006) distinguish</w:t>
      </w:r>
      <w:r w:rsidR="00B73649" w:rsidRPr="00E869A4">
        <w:rPr>
          <w:rFonts w:ascii="Times New Roman" w:hAnsi="Times New Roman" w:cs="Times New Roman"/>
        </w:rPr>
        <w:t>ed</w:t>
      </w:r>
      <w:r w:rsidRPr="00E869A4">
        <w:rPr>
          <w:rFonts w:ascii="Times New Roman" w:hAnsi="Times New Roman" w:cs="Times New Roman"/>
        </w:rPr>
        <w:t xml:space="preserve"> between the </w:t>
      </w:r>
      <w:r w:rsidRPr="00E869A4">
        <w:rPr>
          <w:rFonts w:ascii="Times New Roman" w:hAnsi="Times New Roman" w:cs="Times New Roman"/>
          <w:i/>
        </w:rPr>
        <w:t>de facto</w:t>
      </w:r>
      <w:r w:rsidRPr="00E869A4">
        <w:rPr>
          <w:rFonts w:ascii="Times New Roman" w:hAnsi="Times New Roman" w:cs="Times New Roman"/>
        </w:rPr>
        <w:t xml:space="preserve"> and the </w:t>
      </w:r>
      <w:r w:rsidRPr="00E869A4">
        <w:rPr>
          <w:rFonts w:ascii="Times New Roman" w:hAnsi="Times New Roman" w:cs="Times New Roman"/>
          <w:i/>
        </w:rPr>
        <w:t>de jure</w:t>
      </w:r>
      <w:r w:rsidRPr="00E869A4">
        <w:rPr>
          <w:rFonts w:ascii="Times New Roman" w:hAnsi="Times New Roman" w:cs="Times New Roman"/>
        </w:rPr>
        <w:t xml:space="preserve"> childless. The de jure childless are people who have no biological or legal adopted children of their own, while the de facto childless are people who may have biological or legally adopted </w:t>
      </w:r>
      <w:r w:rsidRPr="00E869A4">
        <w:rPr>
          <w:rFonts w:ascii="Times New Roman" w:hAnsi="Times New Roman" w:cs="Times New Roman"/>
        </w:rPr>
        <w:lastRenderedPageBreak/>
        <w:t>children but their relationship is estranged so that in reality, these children cannot be considered as potential family caregivers.</w:t>
      </w:r>
    </w:p>
    <w:p w14:paraId="6BED130E" w14:textId="77777777" w:rsidR="00D04DCD" w:rsidRPr="00E869A4" w:rsidRDefault="00D04DCD" w:rsidP="00A35FF8">
      <w:pPr>
        <w:rPr>
          <w:rFonts w:ascii="Times New Roman" w:hAnsi="Times New Roman" w:cs="Times New Roman"/>
        </w:rPr>
      </w:pPr>
    </w:p>
    <w:p w14:paraId="0100E10C" w14:textId="6A927D4D" w:rsidR="00D106CD" w:rsidRPr="00E869A4" w:rsidRDefault="00D106CD" w:rsidP="00A35FF8">
      <w:pPr>
        <w:rPr>
          <w:rFonts w:ascii="Times New Roman" w:hAnsi="Times New Roman" w:cs="Times New Roman"/>
        </w:rPr>
      </w:pPr>
      <w:r w:rsidRPr="00E869A4">
        <w:rPr>
          <w:rFonts w:ascii="Times New Roman" w:hAnsi="Times New Roman" w:cs="Times New Roman"/>
        </w:rPr>
        <w:t>With respect to potential family car</w:t>
      </w:r>
      <w:r w:rsidR="00F51FD7">
        <w:rPr>
          <w:rFonts w:ascii="Times New Roman" w:hAnsi="Times New Roman" w:cs="Times New Roman"/>
        </w:rPr>
        <w:t>egivers, the number of children</w:t>
      </w:r>
      <w:r w:rsidRPr="00E869A4">
        <w:rPr>
          <w:rFonts w:ascii="Times New Roman" w:hAnsi="Times New Roman" w:cs="Times New Roman"/>
        </w:rPr>
        <w:t xml:space="preserve">, and even more so the age of the children are important factors. Spillman &amp; Pezzin (2000) found that in the USA in 1994, about 5.2% of women with children under 15 years of age were also caring for a disabled elderly spouse or parent. Men were less likely to bear responsibility for </w:t>
      </w:r>
      <w:r w:rsidR="00C25074" w:rsidRPr="00E869A4">
        <w:rPr>
          <w:rFonts w:ascii="Times New Roman" w:hAnsi="Times New Roman" w:cs="Times New Roman"/>
        </w:rPr>
        <w:t>childcare</w:t>
      </w:r>
      <w:r w:rsidR="00AD62D5" w:rsidRPr="00E869A4">
        <w:rPr>
          <w:rFonts w:ascii="Times New Roman" w:hAnsi="Times New Roman" w:cs="Times New Roman"/>
        </w:rPr>
        <w:t>,</w:t>
      </w:r>
      <w:r w:rsidRPr="00E869A4">
        <w:rPr>
          <w:rFonts w:ascii="Times New Roman" w:hAnsi="Times New Roman" w:cs="Times New Roman"/>
        </w:rPr>
        <w:t xml:space="preserve"> and </w:t>
      </w:r>
      <w:r w:rsidR="00B73649" w:rsidRPr="00E869A4">
        <w:rPr>
          <w:rFonts w:ascii="Times New Roman" w:hAnsi="Times New Roman" w:cs="Times New Roman"/>
        </w:rPr>
        <w:t>were</w:t>
      </w:r>
      <w:r w:rsidRPr="00E869A4">
        <w:rPr>
          <w:rFonts w:ascii="Times New Roman" w:hAnsi="Times New Roman" w:cs="Times New Roman"/>
        </w:rPr>
        <w:t xml:space="preserve"> far less likely than women to be active caregivers if they had children. </w:t>
      </w:r>
    </w:p>
    <w:p w14:paraId="4BB8A32A" w14:textId="77777777" w:rsidR="00B25D98" w:rsidRPr="00E869A4" w:rsidRDefault="00B25D98" w:rsidP="00A35FF8">
      <w:pPr>
        <w:rPr>
          <w:rFonts w:ascii="Times New Roman" w:hAnsi="Times New Roman" w:cs="Times New Roman"/>
        </w:rPr>
      </w:pPr>
    </w:p>
    <w:p w14:paraId="19C63EA3" w14:textId="3D3A184D" w:rsidR="00D106CD" w:rsidRPr="00E869A4" w:rsidRDefault="00D106CD" w:rsidP="00A35FF8">
      <w:pPr>
        <w:rPr>
          <w:rFonts w:ascii="Times New Roman" w:hAnsi="Times New Roman" w:cs="Times New Roman"/>
        </w:rPr>
      </w:pPr>
      <w:r w:rsidRPr="00E869A4">
        <w:rPr>
          <w:rFonts w:ascii="Times New Roman" w:hAnsi="Times New Roman" w:cs="Times New Roman"/>
        </w:rPr>
        <w:t>The number and gender of siblings an individual has may also determine the likelihood of them becoming a caregiver</w:t>
      </w:r>
      <w:r w:rsidR="0046448B" w:rsidRPr="00E869A4">
        <w:rPr>
          <w:rFonts w:ascii="Times New Roman" w:hAnsi="Times New Roman" w:cs="Times New Roman"/>
        </w:rPr>
        <w:t>,</w:t>
      </w:r>
      <w:r w:rsidRPr="00E869A4">
        <w:rPr>
          <w:rFonts w:ascii="Times New Roman" w:hAnsi="Times New Roman" w:cs="Times New Roman"/>
        </w:rPr>
        <w:t xml:space="preserve"> as well as their birth order and the amount of care they provide. </w:t>
      </w:r>
      <w:r w:rsidR="0046448B" w:rsidRPr="00E869A4">
        <w:rPr>
          <w:rFonts w:ascii="Times New Roman" w:hAnsi="Times New Roman" w:cs="Times New Roman"/>
        </w:rPr>
        <w:t>Lone</w:t>
      </w:r>
      <w:r w:rsidRPr="00E869A4">
        <w:rPr>
          <w:rFonts w:ascii="Times New Roman" w:hAnsi="Times New Roman" w:cs="Times New Roman"/>
        </w:rPr>
        <w:t xml:space="preserve"> children are more likely to become a primary caregiver while those with other siblings may have more dynamic caregiving roles over time (Kietzman et al</w:t>
      </w:r>
      <w:r w:rsidR="00B25D98" w:rsidRPr="00E869A4">
        <w:rPr>
          <w:rFonts w:ascii="Times New Roman" w:hAnsi="Times New Roman" w:cs="Times New Roman"/>
        </w:rPr>
        <w:t>.</w:t>
      </w:r>
      <w:r w:rsidR="00A612FE" w:rsidRPr="00E869A4">
        <w:rPr>
          <w:rFonts w:ascii="Times New Roman" w:hAnsi="Times New Roman" w:cs="Times New Roman"/>
        </w:rPr>
        <w:t xml:space="preserve"> 2013; Merrill 1997).</w:t>
      </w:r>
      <w:r w:rsidRPr="00E869A4">
        <w:rPr>
          <w:rFonts w:ascii="Times New Roman" w:hAnsi="Times New Roman" w:cs="Times New Roman"/>
        </w:rPr>
        <w:t xml:space="preserve"> Tolkacheva et al</w:t>
      </w:r>
      <w:r w:rsidR="00B25D98" w:rsidRPr="00E869A4">
        <w:rPr>
          <w:rFonts w:ascii="Times New Roman" w:hAnsi="Times New Roman" w:cs="Times New Roman"/>
        </w:rPr>
        <w:t>.</w:t>
      </w:r>
      <w:r w:rsidR="0046448B" w:rsidRPr="00E869A4">
        <w:rPr>
          <w:rFonts w:ascii="Times New Roman" w:hAnsi="Times New Roman" w:cs="Times New Roman"/>
        </w:rPr>
        <w:t xml:space="preserve"> (2010) found that, </w:t>
      </w:r>
      <w:r w:rsidRPr="00E869A4">
        <w:rPr>
          <w:rFonts w:ascii="Times New Roman" w:hAnsi="Times New Roman" w:cs="Times New Roman"/>
        </w:rPr>
        <w:t xml:space="preserve">from </w:t>
      </w:r>
      <w:r w:rsidR="00B25D98" w:rsidRPr="00E869A4">
        <w:rPr>
          <w:rFonts w:ascii="Times New Roman" w:hAnsi="Times New Roman" w:cs="Times New Roman"/>
        </w:rPr>
        <w:t xml:space="preserve">a </w:t>
      </w:r>
      <w:r w:rsidRPr="00E869A4">
        <w:rPr>
          <w:rFonts w:ascii="Times New Roman" w:hAnsi="Times New Roman" w:cs="Times New Roman"/>
        </w:rPr>
        <w:t xml:space="preserve">sample of 186 frail older parents in the Netherlands, a child provided less care when he or she had available sisters. The number of brothers did not seem to affect a child’s caregiving after controlling for the child’s gender. If at least one sister </w:t>
      </w:r>
      <w:r w:rsidR="0046448B" w:rsidRPr="00E869A4">
        <w:rPr>
          <w:rFonts w:ascii="Times New Roman" w:hAnsi="Times New Roman" w:cs="Times New Roman"/>
        </w:rPr>
        <w:t>wa</w:t>
      </w:r>
      <w:r w:rsidRPr="00E869A4">
        <w:rPr>
          <w:rFonts w:ascii="Times New Roman" w:hAnsi="Times New Roman" w:cs="Times New Roman"/>
        </w:rPr>
        <w:t xml:space="preserve">s available in a sibling group, she </w:t>
      </w:r>
      <w:r w:rsidR="0046448B" w:rsidRPr="00E869A4">
        <w:rPr>
          <w:rFonts w:ascii="Times New Roman" w:hAnsi="Times New Roman" w:cs="Times New Roman"/>
        </w:rPr>
        <w:t>wa</w:t>
      </w:r>
      <w:r w:rsidRPr="00E869A4">
        <w:rPr>
          <w:rFonts w:ascii="Times New Roman" w:hAnsi="Times New Roman" w:cs="Times New Roman"/>
        </w:rPr>
        <w:t xml:space="preserve">s in charge of the caregiving </w:t>
      </w:r>
      <w:r w:rsidRPr="00E869A4">
        <w:rPr>
          <w:rFonts w:ascii="Times New Roman" w:hAnsi="Times New Roman" w:cs="Times New Roman"/>
          <w:szCs w:val="24"/>
        </w:rPr>
        <w:t>(</w:t>
      </w:r>
      <w:r w:rsidR="00400507" w:rsidRPr="00E869A4">
        <w:rPr>
          <w:rFonts w:ascii="Times New Roman" w:hAnsi="Times New Roman" w:cs="Times New Roman"/>
          <w:szCs w:val="24"/>
        </w:rPr>
        <w:t xml:space="preserve">Grigoryeva 2014 &amp; 2017; </w:t>
      </w:r>
      <w:r w:rsidRPr="00E869A4">
        <w:rPr>
          <w:rFonts w:ascii="Times New Roman" w:hAnsi="Times New Roman" w:cs="Times New Roman"/>
          <w:szCs w:val="24"/>
        </w:rPr>
        <w:t>Matthews 1995 c</w:t>
      </w:r>
      <w:r w:rsidR="00B25D98" w:rsidRPr="00E869A4">
        <w:rPr>
          <w:rFonts w:ascii="Times New Roman" w:hAnsi="Times New Roman" w:cs="Times New Roman"/>
          <w:szCs w:val="24"/>
        </w:rPr>
        <w:t>ited in</w:t>
      </w:r>
      <w:r w:rsidRPr="00E869A4">
        <w:rPr>
          <w:rFonts w:ascii="Times New Roman" w:hAnsi="Times New Roman" w:cs="Times New Roman"/>
          <w:szCs w:val="24"/>
        </w:rPr>
        <w:t xml:space="preserve"> Tolkacheva et al</w:t>
      </w:r>
      <w:r w:rsidR="00B25D98" w:rsidRPr="00E869A4">
        <w:rPr>
          <w:rFonts w:ascii="Times New Roman" w:hAnsi="Times New Roman" w:cs="Times New Roman"/>
          <w:szCs w:val="24"/>
        </w:rPr>
        <w:t>.</w:t>
      </w:r>
      <w:r w:rsidRPr="00E869A4">
        <w:rPr>
          <w:rFonts w:ascii="Times New Roman" w:hAnsi="Times New Roman" w:cs="Times New Roman"/>
          <w:szCs w:val="24"/>
        </w:rPr>
        <w:t xml:space="preserve"> 2010). It was also found that s</w:t>
      </w:r>
      <w:r w:rsidRPr="00E869A4">
        <w:rPr>
          <w:rFonts w:ascii="Times New Roman" w:hAnsi="Times New Roman" w:cs="Times New Roman"/>
        </w:rPr>
        <w:t>iblings in brothers-only sibling groups tend</w:t>
      </w:r>
      <w:r w:rsidR="0046448B" w:rsidRPr="00E869A4">
        <w:rPr>
          <w:rFonts w:ascii="Times New Roman" w:hAnsi="Times New Roman" w:cs="Times New Roman"/>
        </w:rPr>
        <w:t>ed</w:t>
      </w:r>
      <w:r w:rsidRPr="00E869A4">
        <w:rPr>
          <w:rFonts w:ascii="Times New Roman" w:hAnsi="Times New Roman" w:cs="Times New Roman"/>
        </w:rPr>
        <w:t xml:space="preserve"> to view their parents as self-sufficient even in precarious situations. </w:t>
      </w:r>
    </w:p>
    <w:p w14:paraId="55A847C6" w14:textId="4920AA4B" w:rsidR="00D04DCD" w:rsidRPr="00E869A4" w:rsidRDefault="00D04DCD" w:rsidP="00F43C76">
      <w:pPr>
        <w:spacing w:line="276" w:lineRule="auto"/>
        <w:ind w:firstLine="0"/>
        <w:rPr>
          <w:rFonts w:ascii="Times New Roman" w:hAnsi="Times New Roman" w:cs="Times New Roman"/>
          <w:b/>
          <w:szCs w:val="24"/>
          <w:u w:val="single"/>
          <w:lang w:eastAsia="en-US"/>
        </w:rPr>
      </w:pPr>
    </w:p>
    <w:p w14:paraId="33D65CD5" w14:textId="77777777" w:rsidR="00D106CD" w:rsidRPr="00E869A4" w:rsidRDefault="00D106CD" w:rsidP="00112260">
      <w:pPr>
        <w:pStyle w:val="Heading4"/>
      </w:pPr>
      <w:r w:rsidRPr="00E869A4">
        <w:t>Geographical Proximity</w:t>
      </w:r>
    </w:p>
    <w:p w14:paraId="41B4326B" w14:textId="77777777" w:rsidR="00D62D71" w:rsidRPr="00E869A4" w:rsidRDefault="00D62D71" w:rsidP="0051234F">
      <w:pPr>
        <w:pStyle w:val="112"/>
        <w:rPr>
          <w:color w:val="auto"/>
        </w:rPr>
      </w:pPr>
    </w:p>
    <w:p w14:paraId="38FF00F2" w14:textId="070EA8D7" w:rsidR="00D106CD" w:rsidRPr="00E869A4" w:rsidRDefault="00D106CD" w:rsidP="00A35FF8">
      <w:pPr>
        <w:rPr>
          <w:rFonts w:ascii="Times New Roman" w:hAnsi="Times New Roman" w:cs="Times New Roman"/>
        </w:rPr>
      </w:pPr>
      <w:r w:rsidRPr="00E869A4">
        <w:rPr>
          <w:rFonts w:ascii="Times New Roman" w:hAnsi="Times New Roman" w:cs="Times New Roman"/>
        </w:rPr>
        <w:t>In most cases, for older persons with adult children, the child who lived closest to them was the most likely candidate to be their primary family caregiver. In their study of caregiving practices in the USA, Spillman &amp; Pezzin (2000) found that in 1994, 97% of primary caregivers and 93% of secondary caregivers were within an hour of the care recipient. Using the same data set, Wolff et al</w:t>
      </w:r>
      <w:r w:rsidR="00F43C76" w:rsidRPr="00E869A4">
        <w:rPr>
          <w:rFonts w:ascii="Times New Roman" w:hAnsi="Times New Roman" w:cs="Times New Roman"/>
        </w:rPr>
        <w:t>.</w:t>
      </w:r>
      <w:r w:rsidRPr="00E869A4">
        <w:rPr>
          <w:rFonts w:ascii="Times New Roman" w:hAnsi="Times New Roman" w:cs="Times New Roman"/>
        </w:rPr>
        <w:t xml:space="preserve"> (2006) report</w:t>
      </w:r>
      <w:r w:rsidR="009253A4" w:rsidRPr="00E869A4">
        <w:rPr>
          <w:rFonts w:ascii="Times New Roman" w:hAnsi="Times New Roman" w:cs="Times New Roman"/>
        </w:rPr>
        <w:t>ed</w:t>
      </w:r>
      <w:r w:rsidRPr="00E869A4">
        <w:rPr>
          <w:rFonts w:ascii="Times New Roman" w:hAnsi="Times New Roman" w:cs="Times New Roman"/>
        </w:rPr>
        <w:t xml:space="preserve"> that in 1984 and 1994, more than 95% of all primary caregivers lived within 30 min</w:t>
      </w:r>
      <w:r w:rsidR="009253A4" w:rsidRPr="00E869A4">
        <w:rPr>
          <w:rFonts w:ascii="Times New Roman" w:hAnsi="Times New Roman" w:cs="Times New Roman"/>
        </w:rPr>
        <w:t>utes</w:t>
      </w:r>
      <w:r w:rsidRPr="00E869A4">
        <w:rPr>
          <w:rFonts w:ascii="Times New Roman" w:hAnsi="Times New Roman" w:cs="Times New Roman"/>
        </w:rPr>
        <w:t xml:space="preserve"> of disabled older care recipients. A similar trend was observed in other countries such as the Netherlands and China</w:t>
      </w:r>
      <w:r w:rsidR="009253A4" w:rsidRPr="00E869A4">
        <w:rPr>
          <w:rFonts w:ascii="Times New Roman" w:hAnsi="Times New Roman" w:cs="Times New Roman"/>
        </w:rPr>
        <w:t>,</w:t>
      </w:r>
      <w:r w:rsidRPr="00E869A4">
        <w:rPr>
          <w:rFonts w:ascii="Times New Roman" w:hAnsi="Times New Roman" w:cs="Times New Roman"/>
        </w:rPr>
        <w:t xml:space="preserve"> where geographical distance reduced the potential for primary care to be provided by an adult child (Gruijters 2017</w:t>
      </w:r>
      <w:r w:rsidR="00F43C76" w:rsidRPr="00E869A4">
        <w:rPr>
          <w:rFonts w:ascii="Times New Roman" w:hAnsi="Times New Roman" w:cs="Times New Roman"/>
        </w:rPr>
        <w:t>; Tolkacheva et al. 2010</w:t>
      </w:r>
      <w:r w:rsidRPr="00E869A4">
        <w:rPr>
          <w:rFonts w:ascii="Times New Roman" w:hAnsi="Times New Roman" w:cs="Times New Roman"/>
        </w:rPr>
        <w:t xml:space="preserve">). </w:t>
      </w:r>
      <w:r w:rsidR="009253A4" w:rsidRPr="00E869A4">
        <w:rPr>
          <w:rFonts w:ascii="Times New Roman" w:hAnsi="Times New Roman" w:cs="Times New Roman"/>
        </w:rPr>
        <w:t>However</w:t>
      </w:r>
      <w:r w:rsidRPr="00E869A4">
        <w:rPr>
          <w:rFonts w:ascii="Times New Roman" w:hAnsi="Times New Roman" w:cs="Times New Roman"/>
        </w:rPr>
        <w:t>, as was noted in the discussion about transnational care</w:t>
      </w:r>
      <w:r w:rsidR="009253A4" w:rsidRPr="00E869A4">
        <w:rPr>
          <w:rFonts w:ascii="Times New Roman" w:hAnsi="Times New Roman" w:cs="Times New Roman"/>
        </w:rPr>
        <w:t xml:space="preserve"> above</w:t>
      </w:r>
      <w:r w:rsidRPr="00E869A4">
        <w:rPr>
          <w:rFonts w:ascii="Times New Roman" w:hAnsi="Times New Roman" w:cs="Times New Roman"/>
        </w:rPr>
        <w:t>, children who lived further away usually continued to provide care</w:t>
      </w:r>
      <w:r w:rsidR="009253A4" w:rsidRPr="00E869A4">
        <w:rPr>
          <w:rFonts w:ascii="Times New Roman" w:hAnsi="Times New Roman" w:cs="Times New Roman"/>
        </w:rPr>
        <w:t>,</w:t>
      </w:r>
      <w:r w:rsidRPr="00E869A4">
        <w:rPr>
          <w:rFonts w:ascii="Times New Roman" w:hAnsi="Times New Roman" w:cs="Times New Roman"/>
        </w:rPr>
        <w:t xml:space="preserve"> but the type of care provided may </w:t>
      </w:r>
      <w:r w:rsidRPr="00E869A4">
        <w:rPr>
          <w:rFonts w:ascii="Times New Roman" w:hAnsi="Times New Roman" w:cs="Times New Roman"/>
        </w:rPr>
        <w:lastRenderedPageBreak/>
        <w:t xml:space="preserve">differ. These children generally provided secondary care support. An older parent’s need for care might also </w:t>
      </w:r>
      <w:r w:rsidR="009253A4" w:rsidRPr="00E869A4">
        <w:rPr>
          <w:rFonts w:ascii="Times New Roman" w:hAnsi="Times New Roman" w:cs="Times New Roman"/>
        </w:rPr>
        <w:t xml:space="preserve">be a </w:t>
      </w:r>
      <w:r w:rsidRPr="00E869A4">
        <w:rPr>
          <w:rFonts w:ascii="Times New Roman" w:hAnsi="Times New Roman" w:cs="Times New Roman"/>
        </w:rPr>
        <w:t>signal for a child to move in with their parent</w:t>
      </w:r>
      <w:r w:rsidR="009253A4" w:rsidRPr="00E869A4">
        <w:rPr>
          <w:rFonts w:ascii="Times New Roman" w:hAnsi="Times New Roman" w:cs="Times New Roman"/>
        </w:rPr>
        <w:t>,</w:t>
      </w:r>
      <w:r w:rsidRPr="00E869A4">
        <w:rPr>
          <w:rFonts w:ascii="Times New Roman" w:hAnsi="Times New Roman" w:cs="Times New Roman"/>
        </w:rPr>
        <w:t xml:space="preserve"> or for the parent to move-in with the child. Brody et al</w:t>
      </w:r>
      <w:r w:rsidR="00F43C76" w:rsidRPr="00E869A4">
        <w:rPr>
          <w:rFonts w:ascii="Times New Roman" w:hAnsi="Times New Roman" w:cs="Times New Roman"/>
        </w:rPr>
        <w:t>.</w:t>
      </w:r>
      <w:r w:rsidRPr="00E869A4">
        <w:rPr>
          <w:rFonts w:ascii="Times New Roman" w:hAnsi="Times New Roman" w:cs="Times New Roman"/>
        </w:rPr>
        <w:t xml:space="preserve"> (1995) found that the latter was more likely to occur when the child had stronger financial means than the </w:t>
      </w:r>
      <w:r w:rsidR="00C25074" w:rsidRPr="00E869A4">
        <w:rPr>
          <w:rFonts w:ascii="Times New Roman" w:hAnsi="Times New Roman" w:cs="Times New Roman"/>
        </w:rPr>
        <w:t>parent did</w:t>
      </w:r>
      <w:r w:rsidR="009253A4" w:rsidRPr="00E869A4">
        <w:rPr>
          <w:rFonts w:ascii="Times New Roman" w:hAnsi="Times New Roman" w:cs="Times New Roman"/>
        </w:rPr>
        <w:t>,</w:t>
      </w:r>
      <w:r w:rsidRPr="00E869A4">
        <w:rPr>
          <w:rFonts w:ascii="Times New Roman" w:hAnsi="Times New Roman" w:cs="Times New Roman"/>
        </w:rPr>
        <w:t xml:space="preserve"> and that the reverse was true when children were divorced or experiencing economic hardship. </w:t>
      </w:r>
    </w:p>
    <w:p w14:paraId="29D42818" w14:textId="77777777" w:rsidR="00D04DCD" w:rsidRPr="00E869A4" w:rsidRDefault="00D04DCD" w:rsidP="00A35FF8">
      <w:pPr>
        <w:rPr>
          <w:rFonts w:ascii="Times New Roman" w:hAnsi="Times New Roman" w:cs="Times New Roman"/>
        </w:rPr>
      </w:pPr>
    </w:p>
    <w:p w14:paraId="4B12F4F0" w14:textId="4160D8D7" w:rsidR="00D106CD" w:rsidRPr="00E869A4" w:rsidRDefault="00D106CD" w:rsidP="00112260">
      <w:pPr>
        <w:pStyle w:val="Heading4"/>
      </w:pPr>
      <w:r w:rsidRPr="00E869A4">
        <w:t>Economic Resources</w:t>
      </w:r>
    </w:p>
    <w:p w14:paraId="314B7B52" w14:textId="77777777" w:rsidR="00D04DCD" w:rsidRPr="00E869A4" w:rsidRDefault="00D04DCD" w:rsidP="0051234F">
      <w:pPr>
        <w:pStyle w:val="112"/>
        <w:rPr>
          <w:color w:val="auto"/>
        </w:rPr>
      </w:pPr>
    </w:p>
    <w:p w14:paraId="37C6D45A" w14:textId="66D0FCB0" w:rsidR="00D106CD" w:rsidRPr="00E869A4" w:rsidRDefault="00D106CD" w:rsidP="00A35FF8">
      <w:pPr>
        <w:rPr>
          <w:rFonts w:ascii="Times New Roman" w:hAnsi="Times New Roman" w:cs="Times New Roman"/>
        </w:rPr>
      </w:pPr>
      <w:r w:rsidRPr="00E869A4">
        <w:rPr>
          <w:rFonts w:ascii="Times New Roman" w:hAnsi="Times New Roman" w:cs="Times New Roman"/>
        </w:rPr>
        <w:t xml:space="preserve">Sometimes the decision to provide family care is a direct result of the economic resources available to the caregiver and </w:t>
      </w:r>
      <w:r w:rsidR="009E2738" w:rsidRPr="00E869A4">
        <w:rPr>
          <w:rFonts w:ascii="Times New Roman" w:hAnsi="Times New Roman" w:cs="Times New Roman"/>
        </w:rPr>
        <w:t>care recipient</w:t>
      </w:r>
      <w:r w:rsidRPr="00E869A4">
        <w:rPr>
          <w:rFonts w:ascii="Times New Roman" w:hAnsi="Times New Roman" w:cs="Times New Roman"/>
        </w:rPr>
        <w:t>. The research findings generally found that older persons with limited financial means were more likely to depend on family care</w:t>
      </w:r>
      <w:r w:rsidR="00265761" w:rsidRPr="00E869A4">
        <w:rPr>
          <w:rFonts w:ascii="Times New Roman" w:hAnsi="Times New Roman" w:cs="Times New Roman"/>
        </w:rPr>
        <w:t>,</w:t>
      </w:r>
      <w:r w:rsidRPr="00E869A4">
        <w:rPr>
          <w:rFonts w:ascii="Times New Roman" w:hAnsi="Times New Roman" w:cs="Times New Roman"/>
        </w:rPr>
        <w:t xml:space="preserve"> whilst those from upper income groups had more options for care support and were more likely to purchase care </w:t>
      </w:r>
      <w:r w:rsidR="00265761" w:rsidRPr="00E869A4">
        <w:rPr>
          <w:rFonts w:ascii="Times New Roman" w:hAnsi="Times New Roman" w:cs="Times New Roman"/>
        </w:rPr>
        <w:t>services</w:t>
      </w:r>
      <w:r w:rsidRPr="00E869A4">
        <w:rPr>
          <w:rFonts w:ascii="Times New Roman" w:hAnsi="Times New Roman" w:cs="Times New Roman"/>
        </w:rPr>
        <w:t xml:space="preserve"> and not depend on their adult children (e.g. Brody et al</w:t>
      </w:r>
      <w:r w:rsidR="00E502B6" w:rsidRPr="00E869A4">
        <w:rPr>
          <w:rFonts w:ascii="Times New Roman" w:hAnsi="Times New Roman" w:cs="Times New Roman"/>
        </w:rPr>
        <w:t>.</w:t>
      </w:r>
      <w:r w:rsidRPr="00E869A4">
        <w:rPr>
          <w:rFonts w:ascii="Times New Roman" w:hAnsi="Times New Roman" w:cs="Times New Roman"/>
        </w:rPr>
        <w:t xml:space="preserve"> 1995). However, this is in part a function of the availability of paid formal services for in-home care in a particular context</w:t>
      </w:r>
      <w:r w:rsidR="00AD62D5" w:rsidRPr="00E869A4">
        <w:rPr>
          <w:rFonts w:ascii="Times New Roman" w:hAnsi="Times New Roman" w:cs="Times New Roman"/>
        </w:rPr>
        <w:t>,</w:t>
      </w:r>
      <w:r w:rsidRPr="00E869A4">
        <w:rPr>
          <w:rFonts w:ascii="Times New Roman" w:hAnsi="Times New Roman" w:cs="Times New Roman"/>
        </w:rPr>
        <w:t xml:space="preserve"> and personal and cultural preferences about receiving care from relatives or paid carers</w:t>
      </w:r>
      <w:r w:rsidR="00E502B6" w:rsidRPr="00E869A4">
        <w:rPr>
          <w:rFonts w:ascii="Times New Roman" w:hAnsi="Times New Roman" w:cs="Times New Roman"/>
        </w:rPr>
        <w:t xml:space="preserve"> who </w:t>
      </w:r>
      <w:r w:rsidR="00265761" w:rsidRPr="00E869A4">
        <w:rPr>
          <w:rFonts w:ascii="Times New Roman" w:hAnsi="Times New Roman" w:cs="Times New Roman"/>
        </w:rPr>
        <w:t>a</w:t>
      </w:r>
      <w:r w:rsidR="00E502B6" w:rsidRPr="00E869A4">
        <w:rPr>
          <w:rFonts w:ascii="Times New Roman" w:hAnsi="Times New Roman" w:cs="Times New Roman"/>
        </w:rPr>
        <w:t xml:space="preserve">re non-relatives (Masuy </w:t>
      </w:r>
      <w:r w:rsidRPr="00E869A4">
        <w:rPr>
          <w:rFonts w:ascii="Times New Roman" w:hAnsi="Times New Roman" w:cs="Times New Roman"/>
        </w:rPr>
        <w:t xml:space="preserve">2011). </w:t>
      </w:r>
    </w:p>
    <w:p w14:paraId="1DE34DC6" w14:textId="1635E0A3" w:rsidR="00D04DCD" w:rsidRPr="00E869A4" w:rsidRDefault="00D04DCD">
      <w:pPr>
        <w:spacing w:line="276" w:lineRule="auto"/>
        <w:rPr>
          <w:rFonts w:ascii="Times New Roman" w:hAnsi="Times New Roman" w:cs="Times New Roman"/>
          <w:b/>
          <w:szCs w:val="24"/>
          <w:u w:val="single"/>
          <w:lang w:eastAsia="en-US"/>
        </w:rPr>
      </w:pPr>
    </w:p>
    <w:p w14:paraId="0DF5A345" w14:textId="77777777" w:rsidR="00FB6789" w:rsidRPr="00E869A4" w:rsidRDefault="00FB6789">
      <w:pPr>
        <w:spacing w:line="276" w:lineRule="auto"/>
        <w:rPr>
          <w:rFonts w:ascii="Times New Roman" w:hAnsi="Times New Roman" w:cs="Times New Roman"/>
          <w:b/>
          <w:szCs w:val="24"/>
          <w:u w:val="single"/>
          <w:lang w:eastAsia="en-US"/>
        </w:rPr>
      </w:pPr>
    </w:p>
    <w:p w14:paraId="342B5569" w14:textId="77777777" w:rsidR="00D106CD" w:rsidRPr="00E869A4" w:rsidRDefault="00A269CA" w:rsidP="005C449C">
      <w:pPr>
        <w:pStyle w:val="Heading3"/>
      </w:pPr>
      <w:bookmarkStart w:id="177" w:name="_Toc40436489"/>
      <w:r w:rsidRPr="00E869A4">
        <w:t>3.2.</w:t>
      </w:r>
      <w:r w:rsidR="008C4FD0" w:rsidRPr="00E869A4">
        <w:t>4</w:t>
      </w:r>
      <w:r w:rsidRPr="00E869A4">
        <w:t xml:space="preserve"> </w:t>
      </w:r>
      <w:r w:rsidRPr="00E869A4">
        <w:tab/>
      </w:r>
      <w:r w:rsidR="00D106CD" w:rsidRPr="00E869A4">
        <w:t>The Process of Acquiring the Family Car</w:t>
      </w:r>
      <w:r w:rsidR="00DD7544" w:rsidRPr="00E869A4">
        <w:t>er</w:t>
      </w:r>
      <w:r w:rsidR="00D106CD" w:rsidRPr="00E869A4">
        <w:t xml:space="preserve"> Role</w:t>
      </w:r>
      <w:bookmarkEnd w:id="177"/>
      <w:r w:rsidR="00D106CD" w:rsidRPr="00E869A4">
        <w:t xml:space="preserve"> </w:t>
      </w:r>
    </w:p>
    <w:p w14:paraId="7D78649F" w14:textId="77777777" w:rsidR="00D04DCD" w:rsidRPr="00E869A4" w:rsidRDefault="00D04DCD" w:rsidP="0051234F">
      <w:pPr>
        <w:pStyle w:val="112"/>
        <w:rPr>
          <w:color w:val="auto"/>
        </w:rPr>
      </w:pPr>
    </w:p>
    <w:p w14:paraId="3A7BA253" w14:textId="77777777" w:rsidR="00242204" w:rsidRPr="00E869A4" w:rsidRDefault="00D106CD" w:rsidP="00A35FF8">
      <w:pPr>
        <w:rPr>
          <w:rFonts w:ascii="Times New Roman" w:hAnsi="Times New Roman" w:cs="Times New Roman"/>
        </w:rPr>
      </w:pPr>
      <w:r w:rsidRPr="00E869A4">
        <w:rPr>
          <w:rFonts w:ascii="Times New Roman" w:hAnsi="Times New Roman" w:cs="Times New Roman"/>
        </w:rPr>
        <w:t>Several conceptual frameworks have been formulated to help describe and predict the process by which the aforementioned variables interact and culminate into a decision to provide family care. Different underlying principles have been identified as the main determining factor. Cantor’s Hierarchical Compensatory Theory</w:t>
      </w:r>
      <w:r w:rsidR="001406F5" w:rsidRPr="00E869A4">
        <w:rPr>
          <w:rFonts w:ascii="Times New Roman" w:hAnsi="Times New Roman" w:cs="Times New Roman"/>
        </w:rPr>
        <w:t xml:space="preserve"> </w:t>
      </w:r>
      <w:r w:rsidR="00A8598E" w:rsidRPr="00E869A4">
        <w:rPr>
          <w:rFonts w:ascii="Times New Roman" w:hAnsi="Times New Roman" w:cs="Times New Roman"/>
        </w:rPr>
        <w:t xml:space="preserve">(HCT) </w:t>
      </w:r>
      <w:r w:rsidRPr="00E869A4">
        <w:rPr>
          <w:rFonts w:ascii="Times New Roman" w:hAnsi="Times New Roman" w:cs="Times New Roman"/>
        </w:rPr>
        <w:t>predicted that the older person’s preference was the main factor that informed caregiver role acquisition. The main assumption of this model is</w:t>
      </w:r>
      <w:r w:rsidR="00265761" w:rsidRPr="00E869A4">
        <w:rPr>
          <w:rFonts w:ascii="Times New Roman" w:hAnsi="Times New Roman" w:cs="Times New Roman"/>
        </w:rPr>
        <w:t>,</w:t>
      </w:r>
      <w:r w:rsidRPr="00E869A4">
        <w:rPr>
          <w:rFonts w:ascii="Times New Roman" w:hAnsi="Times New Roman" w:cs="Times New Roman"/>
        </w:rPr>
        <w:t xml:space="preserve"> older persons and their family prefer that a relative provides care rather than a non-relative. Furthermore, a hierarchy of preference existed with respect to which relative would be best suited to care. More specifically, this model of caregiver selection proposes that spouses are the first choice, followed by children, other kin, friends or neighbours, with formal helpers being recruited as a last resort. Female relatives are more likely to be cast in the role of primary caregiver than male relatives</w:t>
      </w:r>
      <w:r w:rsidR="00AD62D5" w:rsidRPr="00E869A4">
        <w:rPr>
          <w:rFonts w:ascii="Times New Roman" w:hAnsi="Times New Roman" w:cs="Times New Roman"/>
        </w:rPr>
        <w:t xml:space="preserve"> are</w:t>
      </w:r>
      <w:r w:rsidRPr="00E869A4">
        <w:rPr>
          <w:rFonts w:ascii="Times New Roman" w:hAnsi="Times New Roman" w:cs="Times New Roman"/>
        </w:rPr>
        <w:t xml:space="preserve">. In cases of severe functional impairment, assistance needs, and limited availability of informal helpers, </w:t>
      </w:r>
      <w:r w:rsidR="0078553C" w:rsidRPr="00E869A4">
        <w:rPr>
          <w:rFonts w:ascii="Times New Roman" w:hAnsi="Times New Roman" w:cs="Times New Roman"/>
        </w:rPr>
        <w:t xml:space="preserve">the likelihood of an </w:t>
      </w:r>
      <w:r w:rsidRPr="00E869A4">
        <w:rPr>
          <w:rFonts w:ascii="Times New Roman" w:hAnsi="Times New Roman" w:cs="Times New Roman"/>
        </w:rPr>
        <w:t xml:space="preserve">overlap between </w:t>
      </w:r>
      <w:r w:rsidRPr="00E869A4">
        <w:rPr>
          <w:rFonts w:ascii="Times New Roman" w:hAnsi="Times New Roman" w:cs="Times New Roman"/>
        </w:rPr>
        <w:lastRenderedPageBreak/>
        <w:t xml:space="preserve">informal and formal helpers </w:t>
      </w:r>
      <w:r w:rsidR="0078553C" w:rsidRPr="00E869A4">
        <w:rPr>
          <w:rFonts w:ascii="Times New Roman" w:hAnsi="Times New Roman" w:cs="Times New Roman"/>
        </w:rPr>
        <w:t>increases</w:t>
      </w:r>
      <w:r w:rsidRPr="00E869A4">
        <w:rPr>
          <w:rFonts w:ascii="Times New Roman" w:hAnsi="Times New Roman" w:cs="Times New Roman"/>
        </w:rPr>
        <w:t>. This model is based on an ecological systems perspective and data obtained from a study conducted on inner city older adults in New York in 1970.</w:t>
      </w:r>
      <w:r w:rsidR="00242204" w:rsidRPr="00E869A4">
        <w:rPr>
          <w:rFonts w:ascii="Times New Roman" w:hAnsi="Times New Roman" w:cs="Times New Roman"/>
        </w:rPr>
        <w:t xml:space="preserve"> </w:t>
      </w:r>
    </w:p>
    <w:p w14:paraId="03B15B72" w14:textId="77777777" w:rsidR="00E85858" w:rsidRPr="00E869A4" w:rsidRDefault="00E85858" w:rsidP="00A35FF8">
      <w:pPr>
        <w:rPr>
          <w:rFonts w:ascii="Times New Roman" w:hAnsi="Times New Roman" w:cs="Times New Roman"/>
        </w:rPr>
      </w:pPr>
    </w:p>
    <w:p w14:paraId="0EB932E8" w14:textId="030CA39C" w:rsidR="00D106CD" w:rsidRPr="00E869A4" w:rsidRDefault="002B34B3" w:rsidP="00A35FF8">
      <w:pPr>
        <w:rPr>
          <w:rFonts w:ascii="Times New Roman" w:hAnsi="Times New Roman" w:cs="Times New Roman"/>
        </w:rPr>
      </w:pPr>
      <w:r w:rsidRPr="00E869A4">
        <w:rPr>
          <w:rFonts w:ascii="Times New Roman" w:hAnsi="Times New Roman" w:cs="Times New Roman"/>
        </w:rPr>
        <w:t xml:space="preserve">Research by Masuy (2011) and others </w:t>
      </w:r>
      <w:r w:rsidR="00242204" w:rsidRPr="00E869A4">
        <w:rPr>
          <w:rFonts w:ascii="Times New Roman" w:hAnsi="Times New Roman" w:cs="Times New Roman"/>
        </w:rPr>
        <w:t>confirmed the utility of this model for underst</w:t>
      </w:r>
      <w:r w:rsidR="00FE317C" w:rsidRPr="00E869A4">
        <w:rPr>
          <w:rFonts w:ascii="Times New Roman" w:hAnsi="Times New Roman" w:cs="Times New Roman"/>
        </w:rPr>
        <w:t>anding the determinants of care</w:t>
      </w:r>
      <w:r w:rsidRPr="00E869A4">
        <w:rPr>
          <w:rFonts w:ascii="Times New Roman" w:hAnsi="Times New Roman" w:cs="Times New Roman"/>
        </w:rPr>
        <w:t>, and/or the hierarchy of preference that underpins it</w:t>
      </w:r>
      <w:r w:rsidR="00FE317C" w:rsidRPr="00E869A4">
        <w:rPr>
          <w:rFonts w:ascii="Times New Roman" w:hAnsi="Times New Roman" w:cs="Times New Roman"/>
        </w:rPr>
        <w:t>.</w:t>
      </w:r>
      <w:r w:rsidR="00242204" w:rsidRPr="00E869A4">
        <w:rPr>
          <w:rFonts w:ascii="Times New Roman" w:hAnsi="Times New Roman" w:cs="Times New Roman"/>
        </w:rPr>
        <w:t xml:space="preserve"> Wolff et al. (2006) found in their analysis of the 1989 and 1999 National Long-Term Care Survey and Informal Caregiver Survey for the USA that a hierarchy </w:t>
      </w:r>
      <w:r w:rsidRPr="00E869A4">
        <w:rPr>
          <w:rFonts w:ascii="Times New Roman" w:hAnsi="Times New Roman" w:cs="Times New Roman"/>
        </w:rPr>
        <w:t xml:space="preserve">of preference </w:t>
      </w:r>
      <w:r w:rsidR="00242204" w:rsidRPr="00E869A4">
        <w:rPr>
          <w:rFonts w:ascii="Times New Roman" w:hAnsi="Times New Roman" w:cs="Times New Roman"/>
        </w:rPr>
        <w:t xml:space="preserve">existed. </w:t>
      </w:r>
      <w:r w:rsidR="00FE317C" w:rsidRPr="00E869A4">
        <w:rPr>
          <w:rFonts w:ascii="Times New Roman" w:hAnsi="Times New Roman" w:cs="Times New Roman"/>
        </w:rPr>
        <w:t>Qureshi and Walker (1989) provided further insight on the hierarchy of preference</w:t>
      </w:r>
      <w:r w:rsidR="00F9702C" w:rsidRPr="00E869A4">
        <w:rPr>
          <w:rFonts w:ascii="Times New Roman" w:hAnsi="Times New Roman" w:cs="Times New Roman"/>
        </w:rPr>
        <w:t xml:space="preserve">. Based on the findings of a study that involved focused interviews of over 300 people aged 70 years and over as well as a sample of 57 carers in Sheffield, they observed </w:t>
      </w:r>
      <w:r w:rsidR="00FE317C" w:rsidRPr="00E869A4">
        <w:rPr>
          <w:rFonts w:ascii="Times New Roman" w:hAnsi="Times New Roman" w:cs="Times New Roman"/>
        </w:rPr>
        <w:t xml:space="preserve">that marital relationship and long-term co-residence preceded </w:t>
      </w:r>
      <w:r w:rsidR="00F9702C" w:rsidRPr="00E869A4">
        <w:rPr>
          <w:rFonts w:ascii="Times New Roman" w:hAnsi="Times New Roman" w:cs="Times New Roman"/>
        </w:rPr>
        <w:t xml:space="preserve">gender </w:t>
      </w:r>
      <w:r w:rsidR="00FE317C" w:rsidRPr="00E869A4">
        <w:rPr>
          <w:rFonts w:ascii="Times New Roman" w:hAnsi="Times New Roman" w:cs="Times New Roman"/>
        </w:rPr>
        <w:t xml:space="preserve">as the main determinant of family caregiving to older people. </w:t>
      </w:r>
      <w:r w:rsidR="00F9702C" w:rsidRPr="00E869A4">
        <w:rPr>
          <w:rFonts w:ascii="Times New Roman" w:hAnsi="Times New Roman" w:cs="Times New Roman"/>
        </w:rPr>
        <w:t xml:space="preserve">Finch and Mason (1990) confirmed this finding in their qualitative study on negotiating family responsibilities. </w:t>
      </w:r>
      <w:r w:rsidR="00171AEC" w:rsidRPr="00E869A4">
        <w:rPr>
          <w:rFonts w:ascii="Times New Roman" w:hAnsi="Times New Roman" w:cs="Times New Roman"/>
        </w:rPr>
        <w:t xml:space="preserve">This notwithstanding, gender has consistently been identified as a key determinant of caregiving. Qureshi and Walker (1989) for </w:t>
      </w:r>
      <w:r w:rsidR="00DD1A3B" w:rsidRPr="00E869A4">
        <w:rPr>
          <w:rFonts w:ascii="Times New Roman" w:hAnsi="Times New Roman" w:cs="Times New Roman"/>
        </w:rPr>
        <w:t>instance</w:t>
      </w:r>
      <w:r w:rsidR="00171AEC" w:rsidRPr="00E869A4">
        <w:rPr>
          <w:rFonts w:ascii="Times New Roman" w:hAnsi="Times New Roman" w:cs="Times New Roman"/>
        </w:rPr>
        <w:t xml:space="preserve"> noted that daughters and even daughters-in-law were preferred to sons in hierarchies of preferences for carers. An earlier study by Litwak (1985</w:t>
      </w:r>
      <w:r w:rsidR="00017A37" w:rsidRPr="00E869A4">
        <w:rPr>
          <w:rFonts w:ascii="Times New Roman" w:hAnsi="Times New Roman" w:cs="Times New Roman"/>
        </w:rPr>
        <w:t>,</w:t>
      </w:r>
      <w:r w:rsidR="00171AEC" w:rsidRPr="00E869A4">
        <w:rPr>
          <w:rFonts w:ascii="Times New Roman" w:hAnsi="Times New Roman" w:cs="Times New Roman"/>
        </w:rPr>
        <w:t xml:space="preserve"> cited in Henz 2009) </w:t>
      </w:r>
      <w:r w:rsidR="00DD1A3B" w:rsidRPr="00E869A4">
        <w:rPr>
          <w:rFonts w:ascii="Times New Roman" w:hAnsi="Times New Roman" w:cs="Times New Roman"/>
        </w:rPr>
        <w:t xml:space="preserve">had similar findings and </w:t>
      </w:r>
      <w:r w:rsidR="00171AEC" w:rsidRPr="00E869A4">
        <w:rPr>
          <w:rFonts w:ascii="Times New Roman" w:hAnsi="Times New Roman" w:cs="Times New Roman"/>
        </w:rPr>
        <w:t>concluded that men were able to appeal to traditional gender roles which ma</w:t>
      </w:r>
      <w:r w:rsidR="00ED3DF7">
        <w:rPr>
          <w:rFonts w:ascii="Times New Roman" w:hAnsi="Times New Roman" w:cs="Times New Roman"/>
        </w:rPr>
        <w:t>de it easier to enlist their wif</w:t>
      </w:r>
      <w:r w:rsidR="00171AEC" w:rsidRPr="00E869A4">
        <w:rPr>
          <w:rFonts w:ascii="Times New Roman" w:hAnsi="Times New Roman" w:cs="Times New Roman"/>
        </w:rPr>
        <w:t>e</w:t>
      </w:r>
      <w:r w:rsidR="00ED3DF7">
        <w:rPr>
          <w:rFonts w:ascii="Times New Roman" w:hAnsi="Times New Roman" w:cs="Times New Roman"/>
        </w:rPr>
        <w:t>’</w:t>
      </w:r>
      <w:r w:rsidR="00171AEC" w:rsidRPr="00E869A4">
        <w:rPr>
          <w:rFonts w:ascii="Times New Roman" w:hAnsi="Times New Roman" w:cs="Times New Roman"/>
        </w:rPr>
        <w:t xml:space="preserve">s support in caring for their parents, </w:t>
      </w:r>
      <w:r w:rsidR="00595FCE" w:rsidRPr="00E869A4">
        <w:rPr>
          <w:rFonts w:ascii="Times New Roman" w:hAnsi="Times New Roman" w:cs="Times New Roman"/>
        </w:rPr>
        <w:t>but</w:t>
      </w:r>
      <w:r w:rsidR="00171AEC" w:rsidRPr="00E869A4">
        <w:rPr>
          <w:rFonts w:ascii="Times New Roman" w:hAnsi="Times New Roman" w:cs="Times New Roman"/>
        </w:rPr>
        <w:t xml:space="preserve"> these gender roles made it difficult for wives to do the same. </w:t>
      </w:r>
    </w:p>
    <w:p w14:paraId="71E2AD98" w14:textId="77777777" w:rsidR="00D04DCD" w:rsidRPr="00E869A4" w:rsidRDefault="00D04DCD" w:rsidP="00A35FF8">
      <w:pPr>
        <w:rPr>
          <w:rFonts w:ascii="Times New Roman" w:hAnsi="Times New Roman" w:cs="Times New Roman"/>
        </w:rPr>
      </w:pPr>
    </w:p>
    <w:p w14:paraId="7BFEFC1E" w14:textId="77777777" w:rsidR="002B34B3" w:rsidRPr="00E869A4" w:rsidRDefault="00D106CD" w:rsidP="00A35FF8">
      <w:pPr>
        <w:rPr>
          <w:rFonts w:ascii="Times New Roman" w:hAnsi="Times New Roman" w:cs="Times New Roman"/>
        </w:rPr>
      </w:pPr>
      <w:r w:rsidRPr="00E869A4">
        <w:rPr>
          <w:rFonts w:ascii="Times New Roman" w:hAnsi="Times New Roman" w:cs="Times New Roman"/>
        </w:rPr>
        <w:t>However, while several studies confirm</w:t>
      </w:r>
      <w:r w:rsidR="0078553C" w:rsidRPr="00E869A4">
        <w:rPr>
          <w:rFonts w:ascii="Times New Roman" w:hAnsi="Times New Roman" w:cs="Times New Roman"/>
        </w:rPr>
        <w:t>ed</w:t>
      </w:r>
      <w:r w:rsidRPr="00E869A4">
        <w:rPr>
          <w:rFonts w:ascii="Times New Roman" w:hAnsi="Times New Roman" w:cs="Times New Roman"/>
        </w:rPr>
        <w:t xml:space="preserve"> the utility of this model, exceptions were also foun</w:t>
      </w:r>
      <w:r w:rsidR="00595FCE" w:rsidRPr="00E869A4">
        <w:rPr>
          <w:rFonts w:ascii="Times New Roman" w:hAnsi="Times New Roman" w:cs="Times New Roman"/>
        </w:rPr>
        <w:t>d in different cultural contexts</w:t>
      </w:r>
      <w:r w:rsidR="00017A37" w:rsidRPr="00E869A4">
        <w:t xml:space="preserve"> </w:t>
      </w:r>
      <w:r w:rsidR="00017A37" w:rsidRPr="00E869A4">
        <w:rPr>
          <w:rFonts w:ascii="Times New Roman" w:hAnsi="Times New Roman" w:cs="Times New Roman"/>
        </w:rPr>
        <w:t xml:space="preserve">which led to the argument that the hierarchy of </w:t>
      </w:r>
      <w:r w:rsidR="002D2CBA" w:rsidRPr="00E869A4">
        <w:rPr>
          <w:rFonts w:ascii="Times New Roman" w:hAnsi="Times New Roman" w:cs="Times New Roman"/>
        </w:rPr>
        <w:t>care</w:t>
      </w:r>
      <w:r w:rsidR="00017A37" w:rsidRPr="00E869A4">
        <w:rPr>
          <w:rFonts w:ascii="Times New Roman" w:hAnsi="Times New Roman" w:cs="Times New Roman"/>
        </w:rPr>
        <w:t xml:space="preserve"> is primarily associated with white, western families and less applicable to minorities and other ethnic groups (Fisher 1994). </w:t>
      </w:r>
      <w:r w:rsidR="004F3ACF" w:rsidRPr="00E869A4">
        <w:rPr>
          <w:rFonts w:ascii="Times New Roman" w:hAnsi="Times New Roman" w:cs="Times New Roman"/>
        </w:rPr>
        <w:t xml:space="preserve">Finch and Mason’s (1993) study of adults of all ages living in Manchester between 1985 and 1989 </w:t>
      </w:r>
      <w:r w:rsidR="002B34B3" w:rsidRPr="00E869A4">
        <w:rPr>
          <w:rFonts w:ascii="Times New Roman" w:hAnsi="Times New Roman" w:cs="Times New Roman"/>
        </w:rPr>
        <w:t xml:space="preserve">for instance, </w:t>
      </w:r>
      <w:r w:rsidR="004F3ACF" w:rsidRPr="00E869A4">
        <w:rPr>
          <w:rFonts w:ascii="Times New Roman" w:hAnsi="Times New Roman" w:cs="Times New Roman"/>
        </w:rPr>
        <w:t xml:space="preserve">found that Asian sons may take the lead in caring for </w:t>
      </w:r>
      <w:r w:rsidR="000D2BF2" w:rsidRPr="00E869A4">
        <w:rPr>
          <w:rFonts w:ascii="Times New Roman" w:hAnsi="Times New Roman" w:cs="Times New Roman"/>
        </w:rPr>
        <w:t xml:space="preserve">Asian mothers and that a pattern of shared </w:t>
      </w:r>
      <w:r w:rsidR="00017A37" w:rsidRPr="00E869A4">
        <w:rPr>
          <w:rFonts w:ascii="Times New Roman" w:hAnsi="Times New Roman" w:cs="Times New Roman"/>
        </w:rPr>
        <w:t>care by relatives and friends</w:t>
      </w:r>
      <w:r w:rsidR="00CD7111" w:rsidRPr="00E869A4">
        <w:rPr>
          <w:rFonts w:ascii="Times New Roman" w:hAnsi="Times New Roman" w:cs="Times New Roman"/>
        </w:rPr>
        <w:t xml:space="preserve"> </w:t>
      </w:r>
      <w:r w:rsidR="000D2BF2" w:rsidRPr="00E869A4">
        <w:rPr>
          <w:rFonts w:ascii="Times New Roman" w:hAnsi="Times New Roman" w:cs="Times New Roman"/>
        </w:rPr>
        <w:t>existed</w:t>
      </w:r>
      <w:r w:rsidR="00CD7111" w:rsidRPr="00E869A4">
        <w:rPr>
          <w:rFonts w:ascii="Times New Roman" w:hAnsi="Times New Roman" w:cs="Times New Roman"/>
        </w:rPr>
        <w:t>.</w:t>
      </w:r>
      <w:r w:rsidR="00017A37" w:rsidRPr="00E869A4">
        <w:rPr>
          <w:rFonts w:ascii="Times New Roman" w:hAnsi="Times New Roman" w:cs="Times New Roman"/>
        </w:rPr>
        <w:t xml:space="preserve"> Graham (1991</w:t>
      </w:r>
      <w:r w:rsidR="004B11F1" w:rsidRPr="00E869A4">
        <w:rPr>
          <w:rFonts w:ascii="Times New Roman" w:hAnsi="Times New Roman" w:cs="Times New Roman"/>
        </w:rPr>
        <w:t xml:space="preserve">, </w:t>
      </w:r>
      <w:r w:rsidR="00017A37" w:rsidRPr="00E869A4">
        <w:rPr>
          <w:rFonts w:ascii="Times New Roman" w:hAnsi="Times New Roman" w:cs="Times New Roman"/>
        </w:rPr>
        <w:t>1993</w:t>
      </w:r>
      <w:r w:rsidR="004B11F1" w:rsidRPr="00E869A4">
        <w:rPr>
          <w:rFonts w:ascii="Times New Roman" w:hAnsi="Times New Roman" w:cs="Times New Roman"/>
        </w:rPr>
        <w:t xml:space="preserve"> &amp; 1997)</w:t>
      </w:r>
      <w:r w:rsidR="00017A37" w:rsidRPr="00E869A4">
        <w:rPr>
          <w:rFonts w:ascii="Times New Roman" w:hAnsi="Times New Roman" w:cs="Times New Roman"/>
        </w:rPr>
        <w:t xml:space="preserve"> suggested that domestic care by Afro-Caribbean women</w:t>
      </w:r>
      <w:r w:rsidR="004B11F1" w:rsidRPr="00E869A4">
        <w:rPr>
          <w:rFonts w:ascii="Times New Roman" w:hAnsi="Times New Roman" w:cs="Times New Roman"/>
        </w:rPr>
        <w:t xml:space="preserve">, other ethnic minorities and white working class women </w:t>
      </w:r>
      <w:r w:rsidR="00017A37" w:rsidRPr="00E869A4">
        <w:rPr>
          <w:rFonts w:ascii="Times New Roman" w:hAnsi="Times New Roman" w:cs="Times New Roman"/>
        </w:rPr>
        <w:t>d</w:t>
      </w:r>
      <w:r w:rsidR="001217FF" w:rsidRPr="00E869A4">
        <w:rPr>
          <w:rFonts w:ascii="Times New Roman" w:hAnsi="Times New Roman" w:cs="Times New Roman"/>
        </w:rPr>
        <w:t xml:space="preserve">istorted the ‘conventional’ </w:t>
      </w:r>
      <w:r w:rsidR="004B11F1" w:rsidRPr="00E869A4">
        <w:rPr>
          <w:rFonts w:ascii="Times New Roman" w:hAnsi="Times New Roman" w:cs="Times New Roman"/>
        </w:rPr>
        <w:t>pattern of caring</w:t>
      </w:r>
      <w:r w:rsidR="002B34B3" w:rsidRPr="00E869A4">
        <w:rPr>
          <w:rFonts w:ascii="Times New Roman" w:hAnsi="Times New Roman" w:cs="Times New Roman"/>
        </w:rPr>
        <w:t>. They opined that</w:t>
      </w:r>
      <w:r w:rsidR="004B11F1" w:rsidRPr="00E869A4">
        <w:rPr>
          <w:rFonts w:ascii="Times New Roman" w:hAnsi="Times New Roman" w:cs="Times New Roman"/>
        </w:rPr>
        <w:t xml:space="preserve"> employment opportunities and immigration restrictions are two key factors that limit the ability of these women to give and receive care when compared to white middle class women. </w:t>
      </w:r>
    </w:p>
    <w:p w14:paraId="278301D5" w14:textId="77777777" w:rsidR="002B34B3" w:rsidRPr="00E869A4" w:rsidRDefault="002B34B3" w:rsidP="00A35FF8">
      <w:pPr>
        <w:rPr>
          <w:rFonts w:ascii="Times New Roman" w:hAnsi="Times New Roman" w:cs="Times New Roman"/>
        </w:rPr>
      </w:pPr>
    </w:p>
    <w:p w14:paraId="202A8CB8" w14:textId="001B045D" w:rsidR="00D106CD" w:rsidRPr="00E869A4" w:rsidRDefault="00AD0CCB" w:rsidP="00A35FF8">
      <w:pPr>
        <w:rPr>
          <w:rFonts w:ascii="Times New Roman" w:hAnsi="Times New Roman" w:cs="Times New Roman"/>
        </w:rPr>
      </w:pPr>
      <w:r w:rsidRPr="00E869A4">
        <w:rPr>
          <w:rFonts w:ascii="Times New Roman" w:hAnsi="Times New Roman" w:cs="Times New Roman"/>
        </w:rPr>
        <w:t>In a study of 400 older people in Britain, Graham (1997) observed that half of the Afro-Caribbean respondents and one third of the Asian participants had no family in the country</w:t>
      </w:r>
      <w:r w:rsidR="002B34B3" w:rsidRPr="00E869A4">
        <w:rPr>
          <w:rFonts w:ascii="Times New Roman" w:hAnsi="Times New Roman" w:cs="Times New Roman"/>
        </w:rPr>
        <w:t xml:space="preserve"> so the hierarchy of care </w:t>
      </w:r>
      <w:r w:rsidR="002B34B3" w:rsidRPr="00E869A4">
        <w:rPr>
          <w:rFonts w:ascii="Times New Roman" w:hAnsi="Times New Roman" w:cs="Times New Roman"/>
        </w:rPr>
        <w:lastRenderedPageBreak/>
        <w:t>did not adequately explain their situation</w:t>
      </w:r>
      <w:r w:rsidRPr="00E869A4">
        <w:rPr>
          <w:rFonts w:ascii="Times New Roman" w:hAnsi="Times New Roman" w:cs="Times New Roman"/>
        </w:rPr>
        <w:t xml:space="preserve"> (cited in Fisher 1994 &amp; Cree 2010). In the USA</w:t>
      </w:r>
      <w:r w:rsidR="00DD1A3B" w:rsidRPr="00E869A4">
        <w:rPr>
          <w:rFonts w:ascii="Times New Roman" w:hAnsi="Times New Roman" w:cs="Times New Roman"/>
        </w:rPr>
        <w:t xml:space="preserve">, </w:t>
      </w:r>
      <w:r w:rsidR="00D106CD" w:rsidRPr="00E869A4">
        <w:rPr>
          <w:rFonts w:ascii="Times New Roman" w:hAnsi="Times New Roman" w:cs="Times New Roman"/>
        </w:rPr>
        <w:t>Pharr et al</w:t>
      </w:r>
      <w:r w:rsidR="008B5041" w:rsidRPr="00E869A4">
        <w:rPr>
          <w:rFonts w:ascii="Times New Roman" w:hAnsi="Times New Roman" w:cs="Times New Roman"/>
        </w:rPr>
        <w:t>.</w:t>
      </w:r>
      <w:r w:rsidR="00D106CD" w:rsidRPr="00E869A4">
        <w:rPr>
          <w:rFonts w:ascii="Times New Roman" w:hAnsi="Times New Roman" w:cs="Times New Roman"/>
        </w:rPr>
        <w:t xml:space="preserve"> (2014) found that hierarchical preference varied across ethnic groups. Their focus group study of participants from different ethnic backgrounds revealed that those from Asian cultures, rooted in Confucian ideology, subscribed to a cultural model that dictated a rigid taxonomy for caregiving based on one’s gender and position within the family. Hispanic American caregivers were also found to have a strong cultural prescription for family elder care</w:t>
      </w:r>
      <w:r w:rsidR="00E1654C" w:rsidRPr="00E869A4">
        <w:rPr>
          <w:rFonts w:ascii="Times New Roman" w:hAnsi="Times New Roman" w:cs="Times New Roman"/>
        </w:rPr>
        <w:t>,</w:t>
      </w:r>
      <w:r w:rsidR="00D106CD" w:rsidRPr="00E869A4">
        <w:rPr>
          <w:rFonts w:ascii="Times New Roman" w:hAnsi="Times New Roman" w:cs="Times New Roman"/>
        </w:rPr>
        <w:t xml:space="preserve"> </w:t>
      </w:r>
      <w:r w:rsidR="004B6ABE" w:rsidRPr="00E869A4">
        <w:rPr>
          <w:rFonts w:ascii="Times New Roman" w:hAnsi="Times New Roman" w:cs="Times New Roman"/>
        </w:rPr>
        <w:t>but</w:t>
      </w:r>
      <w:r w:rsidR="00D106CD" w:rsidRPr="00E869A4">
        <w:rPr>
          <w:rFonts w:ascii="Times New Roman" w:hAnsi="Times New Roman" w:cs="Times New Roman"/>
        </w:rPr>
        <w:t xml:space="preserve"> the caregiving role was assigned based on female gender and was not governed by a strict hierarchy that designated specific female family members. African American caregivers </w:t>
      </w:r>
      <w:r w:rsidR="004B6ABE" w:rsidRPr="00E869A4">
        <w:rPr>
          <w:rFonts w:ascii="Times New Roman" w:hAnsi="Times New Roman" w:cs="Times New Roman"/>
        </w:rPr>
        <w:t xml:space="preserve">in their study </w:t>
      </w:r>
      <w:r w:rsidR="00D106CD" w:rsidRPr="00E869A4">
        <w:rPr>
          <w:rFonts w:ascii="Times New Roman" w:hAnsi="Times New Roman" w:cs="Times New Roman"/>
        </w:rPr>
        <w:t>described a cultural prescription for caregiving that extended the responsibility for care beyond immediate family members to include kin, close friends and neighbours.</w:t>
      </w:r>
      <w:r w:rsidR="00DD1A3B" w:rsidRPr="00E869A4">
        <w:rPr>
          <w:rFonts w:ascii="Times New Roman" w:hAnsi="Times New Roman" w:cs="Times New Roman"/>
        </w:rPr>
        <w:t xml:space="preserve"> </w:t>
      </w:r>
    </w:p>
    <w:p w14:paraId="1B6522EC" w14:textId="77777777" w:rsidR="00D04DCD" w:rsidRPr="00E869A4" w:rsidRDefault="00D04DCD" w:rsidP="00A35FF8">
      <w:pPr>
        <w:rPr>
          <w:rFonts w:ascii="Times New Roman" w:hAnsi="Times New Roman" w:cs="Times New Roman"/>
        </w:rPr>
      </w:pPr>
    </w:p>
    <w:p w14:paraId="0DA7DEB6" w14:textId="205519B9" w:rsidR="00556DB9" w:rsidRPr="00E869A4" w:rsidRDefault="00D106CD" w:rsidP="00A35FF8">
      <w:pPr>
        <w:rPr>
          <w:rFonts w:ascii="Times New Roman" w:hAnsi="Times New Roman" w:cs="Times New Roman"/>
        </w:rPr>
      </w:pPr>
      <w:r w:rsidRPr="00E869A4">
        <w:rPr>
          <w:rFonts w:ascii="Times New Roman" w:hAnsi="Times New Roman" w:cs="Times New Roman"/>
        </w:rPr>
        <w:t xml:space="preserve">Litwak and colleagues’ </w:t>
      </w:r>
      <w:r w:rsidR="00693FBE" w:rsidRPr="00E869A4">
        <w:rPr>
          <w:rFonts w:ascii="Times New Roman" w:hAnsi="Times New Roman" w:cs="Times New Roman"/>
        </w:rPr>
        <w:t>TSM</w:t>
      </w:r>
      <w:r w:rsidRPr="00E869A4">
        <w:rPr>
          <w:rFonts w:ascii="Times New Roman" w:hAnsi="Times New Roman" w:cs="Times New Roman"/>
        </w:rPr>
        <w:t xml:space="preserve"> made similar predictions about the typical composition of caregiver networks for personal and instrumental care needs. However, unlike Cantor’s model, the TSM stresses that the appropriate source of help is tied to the type of task that needs to be performed and presents a direct critique of Cantor’s model for not giving sufficient consideration to this factor. More specifically, the model posits that caregivers of older persons are selected </w:t>
      </w:r>
      <w:r w:rsidR="00C25074" w:rsidRPr="00E869A4">
        <w:rPr>
          <w:rFonts w:ascii="Times New Roman" w:hAnsi="Times New Roman" w:cs="Times New Roman"/>
        </w:rPr>
        <w:t>based on</w:t>
      </w:r>
      <w:r w:rsidRPr="00E869A4">
        <w:rPr>
          <w:rFonts w:ascii="Times New Roman" w:hAnsi="Times New Roman" w:cs="Times New Roman"/>
        </w:rPr>
        <w:t>: a) their technical knowledge of the particular care needs of the older person; b) the degree of detailed division of labour required; and</w:t>
      </w:r>
      <w:r w:rsidR="002B34B3" w:rsidRPr="00E869A4">
        <w:rPr>
          <w:rFonts w:ascii="Times New Roman" w:hAnsi="Times New Roman" w:cs="Times New Roman"/>
        </w:rPr>
        <w:t>,</w:t>
      </w:r>
      <w:r w:rsidRPr="00E869A4">
        <w:rPr>
          <w:rFonts w:ascii="Times New Roman" w:hAnsi="Times New Roman" w:cs="Times New Roman"/>
        </w:rPr>
        <w:t xml:space="preserve"> c) the use of economic incentives as opposed to internalised commitment as a source of motivation to provide care. All in all, Litwak and colleagues maintain that the selection of care support is primarily based on the capabilities of different network members to meet care needs. They also identified the following dimensions as the main factors that will determine </w:t>
      </w:r>
      <w:r w:rsidR="002B34B3" w:rsidRPr="00E869A4">
        <w:rPr>
          <w:rFonts w:ascii="Times New Roman" w:hAnsi="Times New Roman" w:cs="Times New Roman"/>
        </w:rPr>
        <w:t>whose</w:t>
      </w:r>
      <w:r w:rsidRPr="00E869A4">
        <w:rPr>
          <w:rFonts w:ascii="Times New Roman" w:hAnsi="Times New Roman" w:cs="Times New Roman"/>
        </w:rPr>
        <w:t xml:space="preserve"> help will be enl</w:t>
      </w:r>
      <w:r w:rsidR="00AD62D5" w:rsidRPr="00E869A4">
        <w:rPr>
          <w:rFonts w:ascii="Times New Roman" w:hAnsi="Times New Roman" w:cs="Times New Roman"/>
        </w:rPr>
        <w:t>isted to provide care support:</w:t>
      </w:r>
    </w:p>
    <w:p w14:paraId="11F9746E" w14:textId="57CBD25A" w:rsidR="00D106CD" w:rsidRPr="00E869A4" w:rsidRDefault="00AD62D5" w:rsidP="00A8598E">
      <w:pPr>
        <w:ind w:firstLine="0"/>
        <w:rPr>
          <w:rFonts w:ascii="Times New Roman" w:hAnsi="Times New Roman" w:cs="Times New Roman"/>
        </w:rPr>
      </w:pPr>
      <w:r w:rsidRPr="00E869A4">
        <w:rPr>
          <w:rFonts w:ascii="Times New Roman" w:hAnsi="Times New Roman" w:cs="Times New Roman"/>
        </w:rPr>
        <w:t xml:space="preserve"> </w:t>
      </w:r>
      <w:r w:rsidR="00D106CD" w:rsidRPr="00E869A4">
        <w:rPr>
          <w:rFonts w:ascii="Times New Roman" w:hAnsi="Times New Roman" w:cs="Times New Roman"/>
        </w:rPr>
        <w:t>i) geographical proximity; ii) long term commitment; iii) size of support group; and</w:t>
      </w:r>
      <w:r w:rsidR="006A57AD" w:rsidRPr="00E869A4">
        <w:rPr>
          <w:rFonts w:ascii="Times New Roman" w:hAnsi="Times New Roman" w:cs="Times New Roman"/>
        </w:rPr>
        <w:t>,</w:t>
      </w:r>
      <w:r w:rsidR="00D106CD" w:rsidRPr="00E869A4">
        <w:rPr>
          <w:rFonts w:ascii="Times New Roman" w:hAnsi="Times New Roman" w:cs="Times New Roman"/>
        </w:rPr>
        <w:t xml:space="preserve"> iv) degree of affectivity or shared commonality of lifestyle between the caregiver and </w:t>
      </w:r>
      <w:r w:rsidR="009E2738" w:rsidRPr="00E869A4">
        <w:rPr>
          <w:rFonts w:ascii="Times New Roman" w:hAnsi="Times New Roman" w:cs="Times New Roman"/>
        </w:rPr>
        <w:t>care recipient</w:t>
      </w:r>
      <w:r w:rsidR="00D106CD" w:rsidRPr="00E869A4">
        <w:rPr>
          <w:rFonts w:ascii="Times New Roman" w:hAnsi="Times New Roman" w:cs="Times New Roman"/>
        </w:rPr>
        <w:t xml:space="preserve"> (</w:t>
      </w:r>
      <w:r w:rsidR="00693FBE" w:rsidRPr="00E869A4">
        <w:rPr>
          <w:rFonts w:ascii="Times New Roman" w:hAnsi="Times New Roman" w:cs="Times New Roman"/>
        </w:rPr>
        <w:t xml:space="preserve">Feld et al. 2004; </w:t>
      </w:r>
      <w:r w:rsidR="00D106CD" w:rsidRPr="00E869A4">
        <w:rPr>
          <w:rFonts w:ascii="Times New Roman" w:hAnsi="Times New Roman" w:cs="Times New Roman"/>
        </w:rPr>
        <w:t xml:space="preserve">Luong 2000; </w:t>
      </w:r>
      <w:r w:rsidR="00693FBE" w:rsidRPr="00E869A4">
        <w:rPr>
          <w:rFonts w:ascii="Times New Roman" w:hAnsi="Times New Roman" w:cs="Times New Roman"/>
        </w:rPr>
        <w:t>Peters et al. 1987</w:t>
      </w:r>
      <w:r w:rsidR="00D106CD" w:rsidRPr="00E869A4">
        <w:rPr>
          <w:rFonts w:ascii="Times New Roman" w:hAnsi="Times New Roman" w:cs="Times New Roman"/>
        </w:rPr>
        <w:t xml:space="preserve">). These dimensions emerged from the results of an empirical study conducted by Litwak </w:t>
      </w:r>
      <w:r w:rsidR="0050437C" w:rsidRPr="00E869A4">
        <w:rPr>
          <w:rFonts w:ascii="Times New Roman" w:hAnsi="Times New Roman" w:cs="Times New Roman"/>
        </w:rPr>
        <w:t>et al.</w:t>
      </w:r>
      <w:r w:rsidR="00D106CD" w:rsidRPr="00E869A4">
        <w:rPr>
          <w:rFonts w:ascii="Times New Roman" w:hAnsi="Times New Roman" w:cs="Times New Roman"/>
        </w:rPr>
        <w:t xml:space="preserve"> in which they obtained information from several sources: a 1978 survey of older persons aged 65 years and over who were residents of York City and Florida; information from residents of nursing homes and congregate living facilities in these areas; as well as, children or other caregivers of the older respondents.</w:t>
      </w:r>
    </w:p>
    <w:p w14:paraId="29F45862" w14:textId="77777777" w:rsidR="00D04DCD" w:rsidRPr="00E869A4" w:rsidRDefault="00D04DCD" w:rsidP="00A35FF8">
      <w:pPr>
        <w:rPr>
          <w:rFonts w:ascii="Times New Roman" w:hAnsi="Times New Roman" w:cs="Times New Roman"/>
        </w:rPr>
      </w:pPr>
    </w:p>
    <w:p w14:paraId="1DEF78D4" w14:textId="285C72F3" w:rsidR="00D106CD" w:rsidRPr="00E869A4" w:rsidRDefault="00D106CD" w:rsidP="00A35FF8">
      <w:pPr>
        <w:rPr>
          <w:rFonts w:ascii="Times New Roman" w:hAnsi="Times New Roman" w:cs="Times New Roman"/>
        </w:rPr>
      </w:pPr>
      <w:r w:rsidRPr="00E869A4">
        <w:rPr>
          <w:rFonts w:ascii="Times New Roman" w:hAnsi="Times New Roman" w:cs="Times New Roman"/>
        </w:rPr>
        <w:t>The hierarchical preference framework that underpins both Cantor’s and Litwak’s models</w:t>
      </w:r>
      <w:r w:rsidR="00556DB9" w:rsidRPr="00E869A4">
        <w:rPr>
          <w:rFonts w:ascii="Times New Roman" w:hAnsi="Times New Roman" w:cs="Times New Roman"/>
        </w:rPr>
        <w:t>,</w:t>
      </w:r>
      <w:r w:rsidRPr="00E869A4">
        <w:rPr>
          <w:rFonts w:ascii="Times New Roman" w:hAnsi="Times New Roman" w:cs="Times New Roman"/>
        </w:rPr>
        <w:t xml:space="preserve"> h</w:t>
      </w:r>
      <w:r w:rsidR="00E165B6" w:rsidRPr="00E869A4">
        <w:rPr>
          <w:rFonts w:ascii="Times New Roman" w:hAnsi="Times New Roman" w:cs="Times New Roman"/>
        </w:rPr>
        <w:t>a</w:t>
      </w:r>
      <w:r w:rsidR="00011269" w:rsidRPr="00E869A4">
        <w:rPr>
          <w:rFonts w:ascii="Times New Roman" w:hAnsi="Times New Roman" w:cs="Times New Roman"/>
        </w:rPr>
        <w:t>s</w:t>
      </w:r>
      <w:r w:rsidR="00E165B6" w:rsidRPr="00E869A4">
        <w:rPr>
          <w:rFonts w:ascii="Times New Roman" w:hAnsi="Times New Roman" w:cs="Times New Roman"/>
        </w:rPr>
        <w:t xml:space="preserve"> been critici</w:t>
      </w:r>
      <w:r w:rsidR="00011269" w:rsidRPr="00E869A4">
        <w:rPr>
          <w:rFonts w:ascii="Times New Roman" w:hAnsi="Times New Roman" w:cs="Times New Roman"/>
        </w:rPr>
        <w:t>s</w:t>
      </w:r>
      <w:r w:rsidR="00E165B6" w:rsidRPr="00E869A4">
        <w:rPr>
          <w:rFonts w:ascii="Times New Roman" w:hAnsi="Times New Roman" w:cs="Times New Roman"/>
        </w:rPr>
        <w:t>ed for the out</w:t>
      </w:r>
      <w:r w:rsidRPr="00E869A4">
        <w:rPr>
          <w:rFonts w:ascii="Times New Roman" w:hAnsi="Times New Roman" w:cs="Times New Roman"/>
        </w:rPr>
        <w:t>dated assumption that man</w:t>
      </w:r>
      <w:r w:rsidR="00E165B6" w:rsidRPr="00E869A4">
        <w:rPr>
          <w:rFonts w:ascii="Times New Roman" w:hAnsi="Times New Roman" w:cs="Times New Roman"/>
        </w:rPr>
        <w:t xml:space="preserve">y frail older persons live in </w:t>
      </w:r>
      <w:r w:rsidRPr="00E869A4">
        <w:rPr>
          <w:rFonts w:ascii="Times New Roman" w:hAnsi="Times New Roman" w:cs="Times New Roman"/>
        </w:rPr>
        <w:t xml:space="preserve">traditional households with a living spouse or children nearby to provide care and </w:t>
      </w:r>
      <w:r w:rsidR="00556DB9" w:rsidRPr="00E869A4">
        <w:rPr>
          <w:rFonts w:ascii="Times New Roman" w:hAnsi="Times New Roman" w:cs="Times New Roman"/>
        </w:rPr>
        <w:t xml:space="preserve">their </w:t>
      </w:r>
      <w:r w:rsidRPr="00E869A4">
        <w:rPr>
          <w:rFonts w:ascii="Times New Roman" w:hAnsi="Times New Roman" w:cs="Times New Roman"/>
        </w:rPr>
        <w:t xml:space="preserve">lack of consideration </w:t>
      </w:r>
      <w:r w:rsidR="00E165B6" w:rsidRPr="00E869A4">
        <w:rPr>
          <w:rFonts w:ascii="Times New Roman" w:hAnsi="Times New Roman" w:cs="Times New Roman"/>
        </w:rPr>
        <w:t>for</w:t>
      </w:r>
      <w:r w:rsidRPr="00E869A4">
        <w:rPr>
          <w:rFonts w:ascii="Times New Roman" w:hAnsi="Times New Roman" w:cs="Times New Roman"/>
        </w:rPr>
        <w:t xml:space="preserve"> how cultural and </w:t>
      </w:r>
      <w:r w:rsidRPr="00E869A4">
        <w:rPr>
          <w:rFonts w:ascii="Times New Roman" w:hAnsi="Times New Roman" w:cs="Times New Roman"/>
        </w:rPr>
        <w:lastRenderedPageBreak/>
        <w:t xml:space="preserve">personal experiences with formal providers and service agencies may impact on care seeking patterns and </w:t>
      </w:r>
      <w:r w:rsidR="00AD62D5" w:rsidRPr="00E869A4">
        <w:rPr>
          <w:rFonts w:ascii="Times New Roman" w:hAnsi="Times New Roman" w:cs="Times New Roman"/>
        </w:rPr>
        <w:t>behaviours</w:t>
      </w:r>
      <w:r w:rsidRPr="00E869A4">
        <w:rPr>
          <w:rFonts w:ascii="Times New Roman" w:hAnsi="Times New Roman" w:cs="Times New Roman"/>
        </w:rPr>
        <w:t xml:space="preserve"> of frail older persons (Luong 2000). Both models have also been critiqued for not adequately addressing issues of gender inequity. In this regard, Dykstra </w:t>
      </w:r>
      <w:r w:rsidR="00A612FE" w:rsidRPr="00E869A4">
        <w:rPr>
          <w:rFonts w:ascii="Times New Roman" w:hAnsi="Times New Roman" w:cs="Times New Roman"/>
        </w:rPr>
        <w:t xml:space="preserve">(2014, p. 5) </w:t>
      </w:r>
      <w:r w:rsidRPr="00E869A4">
        <w:rPr>
          <w:rFonts w:ascii="Times New Roman" w:hAnsi="Times New Roman" w:cs="Times New Roman"/>
        </w:rPr>
        <w:t>shared the following sentiments</w:t>
      </w:r>
      <w:r w:rsidR="00A104D1" w:rsidRPr="00E869A4">
        <w:rPr>
          <w:rFonts w:ascii="Times New Roman" w:hAnsi="Times New Roman" w:cs="Times New Roman"/>
        </w:rPr>
        <w:t>:</w:t>
      </w:r>
      <w:r w:rsidRPr="00E869A4">
        <w:rPr>
          <w:rFonts w:ascii="Times New Roman" w:hAnsi="Times New Roman" w:cs="Times New Roman"/>
        </w:rPr>
        <w:t xml:space="preserve"> </w:t>
      </w:r>
    </w:p>
    <w:p w14:paraId="4151BDFB" w14:textId="77777777" w:rsidR="006A57AD" w:rsidRPr="00E869A4" w:rsidRDefault="006A57AD" w:rsidP="006A57AD">
      <w:pPr>
        <w:spacing w:line="240" w:lineRule="auto"/>
        <w:rPr>
          <w:rFonts w:ascii="Times New Roman" w:hAnsi="Times New Roman" w:cs="Times New Roman"/>
        </w:rPr>
      </w:pPr>
    </w:p>
    <w:p w14:paraId="681F0A2B" w14:textId="6C856BEC" w:rsidR="00D106CD" w:rsidRPr="00E869A4" w:rsidRDefault="00D106CD" w:rsidP="00A612FE">
      <w:pPr>
        <w:spacing w:line="240" w:lineRule="auto"/>
        <w:ind w:left="709" w:firstLine="0"/>
        <w:rPr>
          <w:rFonts w:ascii="Times New Roman" w:hAnsi="Times New Roman" w:cs="Times New Roman"/>
        </w:rPr>
      </w:pPr>
      <w:r w:rsidRPr="00E869A4">
        <w:rPr>
          <w:rFonts w:ascii="Times New Roman" w:hAnsi="Times New Roman" w:cs="Times New Roman"/>
        </w:rPr>
        <w:t xml:space="preserve">The hierarchical-compensatory and task-specificity models focus on types of relationships and the normative expectations to provide support associated with them. A drawback of the focus on relationship types is that the gendered nature of social life remains hidden. Women are both expected to and do provide more support to </w:t>
      </w:r>
      <w:r w:rsidR="00DD683D" w:rsidRPr="00E869A4">
        <w:rPr>
          <w:rFonts w:ascii="Times New Roman" w:hAnsi="Times New Roman" w:cs="Times New Roman"/>
        </w:rPr>
        <w:t>ageing</w:t>
      </w:r>
      <w:r w:rsidRPr="00E869A4">
        <w:rPr>
          <w:rFonts w:ascii="Times New Roman" w:hAnsi="Times New Roman" w:cs="Times New Roman"/>
        </w:rPr>
        <w:t xml:space="preserve"> family members</w:t>
      </w:r>
      <w:r w:rsidR="00C8365E" w:rsidRPr="00E869A4">
        <w:rPr>
          <w:rFonts w:ascii="Times New Roman" w:hAnsi="Times New Roman" w:cs="Times New Roman"/>
        </w:rPr>
        <w:t>.</w:t>
      </w:r>
    </w:p>
    <w:p w14:paraId="09D6037E" w14:textId="77777777" w:rsidR="00D04DCD" w:rsidRPr="00E869A4" w:rsidRDefault="00D04DCD" w:rsidP="003E23F9">
      <w:pPr>
        <w:autoSpaceDE w:val="0"/>
        <w:autoSpaceDN w:val="0"/>
        <w:adjustRightInd w:val="0"/>
        <w:spacing w:line="240" w:lineRule="auto"/>
        <w:ind w:firstLine="720"/>
        <w:rPr>
          <w:rFonts w:ascii="Times New Roman" w:hAnsi="Times New Roman" w:cs="Times New Roman"/>
        </w:rPr>
      </w:pPr>
    </w:p>
    <w:p w14:paraId="7250B384" w14:textId="2AD6E788" w:rsidR="00D106CD" w:rsidRPr="00E869A4" w:rsidRDefault="00D106CD" w:rsidP="00A35FF8">
      <w:pPr>
        <w:rPr>
          <w:rFonts w:ascii="Times New Roman" w:hAnsi="Times New Roman" w:cs="Times New Roman"/>
        </w:rPr>
      </w:pPr>
      <w:r w:rsidRPr="00E869A4">
        <w:rPr>
          <w:rFonts w:ascii="Times New Roman" w:hAnsi="Times New Roman" w:cs="Times New Roman"/>
        </w:rPr>
        <w:t>There have been attempts by individual researchers to adapt these models so that ge</w:t>
      </w:r>
      <w:r w:rsidR="00066FFD" w:rsidRPr="00E869A4">
        <w:rPr>
          <w:rFonts w:ascii="Times New Roman" w:hAnsi="Times New Roman" w:cs="Times New Roman"/>
        </w:rPr>
        <w:t>nder is given greater attention.</w:t>
      </w:r>
      <w:r w:rsidR="00556DB9" w:rsidRPr="00E869A4">
        <w:t xml:space="preserve"> </w:t>
      </w:r>
      <w:r w:rsidRPr="00E869A4">
        <w:rPr>
          <w:rFonts w:ascii="Times New Roman" w:hAnsi="Times New Roman" w:cs="Times New Roman"/>
        </w:rPr>
        <w:t xml:space="preserve">Allen et al. (2012) extended the </w:t>
      </w:r>
      <w:r w:rsidR="00A104D1" w:rsidRPr="00E869A4">
        <w:rPr>
          <w:rFonts w:ascii="Times New Roman" w:hAnsi="Times New Roman" w:cs="Times New Roman"/>
        </w:rPr>
        <w:t>TSM</w:t>
      </w:r>
      <w:r w:rsidRPr="00E869A4">
        <w:rPr>
          <w:rFonts w:ascii="Times New Roman" w:hAnsi="Times New Roman" w:cs="Times New Roman"/>
        </w:rPr>
        <w:t xml:space="preserve"> to include caregiver gender and applied the adjusted framework to their study on the characteristics of transitions in care responsibilities by family caregivers of community-dwelling older persons. </w:t>
      </w:r>
      <w:r w:rsidR="00C25074" w:rsidRPr="00E869A4">
        <w:rPr>
          <w:rFonts w:ascii="Times New Roman" w:hAnsi="Times New Roman" w:cs="Times New Roman"/>
        </w:rPr>
        <w:t>Their study supported previous research that showed that husband and son primary caregivers were more likely to transfer care than wives and daughters, and that children caring for same-gender parents were less likely to transfer out of the primary caregiver role than children caring for parents of the opposite sex.</w:t>
      </w:r>
    </w:p>
    <w:p w14:paraId="1D03B861" w14:textId="77777777" w:rsidR="00D04DCD" w:rsidRPr="00E869A4" w:rsidRDefault="00D04DCD" w:rsidP="00A35FF8">
      <w:pPr>
        <w:rPr>
          <w:rFonts w:ascii="Times New Roman" w:hAnsi="Times New Roman" w:cs="Times New Roman"/>
        </w:rPr>
      </w:pPr>
    </w:p>
    <w:p w14:paraId="32C52A98" w14:textId="6CB513CB" w:rsidR="00D106CD" w:rsidRPr="00E869A4" w:rsidRDefault="00D106CD" w:rsidP="00D04DCD">
      <w:pPr>
        <w:rPr>
          <w:rFonts w:ascii="Times New Roman" w:hAnsi="Times New Roman" w:cs="Times New Roman"/>
        </w:rPr>
      </w:pPr>
      <w:r w:rsidRPr="00E869A4">
        <w:rPr>
          <w:rFonts w:ascii="Times New Roman" w:hAnsi="Times New Roman" w:cs="Times New Roman"/>
        </w:rPr>
        <w:t xml:space="preserve">Another shortcoming of the </w:t>
      </w:r>
      <w:r w:rsidR="00A104D1" w:rsidRPr="00E869A4">
        <w:rPr>
          <w:rFonts w:ascii="Times New Roman" w:hAnsi="Times New Roman" w:cs="Times New Roman"/>
        </w:rPr>
        <w:t>TSM</w:t>
      </w:r>
      <w:r w:rsidR="00BD5304" w:rsidRPr="00E869A4">
        <w:rPr>
          <w:rFonts w:ascii="Times New Roman" w:hAnsi="Times New Roman" w:cs="Times New Roman"/>
        </w:rPr>
        <w:t xml:space="preserve"> i</w:t>
      </w:r>
      <w:r w:rsidRPr="00E869A4">
        <w:rPr>
          <w:rFonts w:ascii="Times New Roman" w:hAnsi="Times New Roman" w:cs="Times New Roman"/>
        </w:rPr>
        <w:t xml:space="preserve">s its lack of consideration of cultural differences in care arrangements. Luong </w:t>
      </w:r>
      <w:r w:rsidR="00066FFD" w:rsidRPr="00E869A4">
        <w:rPr>
          <w:rFonts w:ascii="Times New Roman" w:hAnsi="Times New Roman" w:cs="Times New Roman"/>
        </w:rPr>
        <w:t xml:space="preserve">(2000, p. 87) </w:t>
      </w:r>
      <w:r w:rsidRPr="00E869A4">
        <w:rPr>
          <w:rFonts w:ascii="Times New Roman" w:hAnsi="Times New Roman" w:cs="Times New Roman"/>
        </w:rPr>
        <w:t xml:space="preserve">specifically </w:t>
      </w:r>
      <w:r w:rsidR="00011269" w:rsidRPr="00E869A4">
        <w:rPr>
          <w:rFonts w:ascii="Times New Roman" w:hAnsi="Times New Roman" w:cs="Times New Roman"/>
        </w:rPr>
        <w:t>criticised</w:t>
      </w:r>
      <w:r w:rsidRPr="00E869A4">
        <w:rPr>
          <w:rFonts w:ascii="Times New Roman" w:hAnsi="Times New Roman" w:cs="Times New Roman"/>
        </w:rPr>
        <w:t xml:space="preserve"> the model for not acknowledging the issue of racial discrimination in the American context from which it was derived:</w:t>
      </w:r>
    </w:p>
    <w:p w14:paraId="50FFDC63" w14:textId="77777777" w:rsidR="00BC667E" w:rsidRPr="00E869A4" w:rsidRDefault="00BC667E" w:rsidP="003E23F9">
      <w:pPr>
        <w:autoSpaceDE w:val="0"/>
        <w:autoSpaceDN w:val="0"/>
        <w:adjustRightInd w:val="0"/>
        <w:spacing w:line="240" w:lineRule="auto"/>
        <w:ind w:firstLine="720"/>
        <w:rPr>
          <w:rFonts w:ascii="Times New Roman" w:hAnsi="Times New Roman" w:cs="Times New Roman"/>
        </w:rPr>
      </w:pPr>
    </w:p>
    <w:p w14:paraId="02B6B3A3" w14:textId="59670E18" w:rsidR="00D106CD" w:rsidRPr="00E869A4" w:rsidRDefault="00E62C6C" w:rsidP="00066FFD">
      <w:pPr>
        <w:spacing w:line="240" w:lineRule="auto"/>
        <w:ind w:left="567" w:firstLine="0"/>
        <w:rPr>
          <w:rFonts w:ascii="Times New Roman" w:hAnsi="Times New Roman" w:cs="Times New Roman"/>
        </w:rPr>
      </w:pPr>
      <w:r w:rsidRPr="00E869A4">
        <w:rPr>
          <w:rFonts w:ascii="Times New Roman" w:hAnsi="Times New Roman" w:cs="Times New Roman"/>
        </w:rPr>
        <w:t>[T]</w:t>
      </w:r>
      <w:r w:rsidR="00D106CD" w:rsidRPr="00E869A4">
        <w:rPr>
          <w:rFonts w:ascii="Times New Roman" w:hAnsi="Times New Roman" w:cs="Times New Roman"/>
        </w:rPr>
        <w:t>he task-specificity model does not focus on how group experiences, such as racial discrimination by medical professionals and the general distrust of governmental officials, may deter black elders from seeking formal community-based services. Furthermore, the model does not question how the lower socioeconomic status of black elders in comparison to white elders, may have [affected] their ability to secure services outside their support network</w:t>
      </w:r>
      <w:r w:rsidRPr="00E869A4">
        <w:rPr>
          <w:rFonts w:ascii="Times New Roman" w:hAnsi="Times New Roman" w:cs="Times New Roman"/>
        </w:rPr>
        <w:t>.</w:t>
      </w:r>
    </w:p>
    <w:p w14:paraId="36161662" w14:textId="77777777" w:rsidR="00D04DCD" w:rsidRPr="00E869A4" w:rsidRDefault="00D04DCD" w:rsidP="003E23F9">
      <w:pPr>
        <w:autoSpaceDE w:val="0"/>
        <w:autoSpaceDN w:val="0"/>
        <w:adjustRightInd w:val="0"/>
        <w:spacing w:line="240" w:lineRule="auto"/>
        <w:ind w:firstLine="720"/>
        <w:rPr>
          <w:rFonts w:ascii="Times New Roman" w:hAnsi="Times New Roman" w:cs="Times New Roman"/>
        </w:rPr>
      </w:pPr>
    </w:p>
    <w:p w14:paraId="086580DA" w14:textId="3CB829D4" w:rsidR="00D106CD" w:rsidRPr="00E869A4" w:rsidRDefault="00D106CD" w:rsidP="00E62C6C">
      <w:pPr>
        <w:ind w:firstLine="0"/>
        <w:rPr>
          <w:rFonts w:ascii="Times New Roman" w:hAnsi="Times New Roman" w:cs="Times New Roman"/>
        </w:rPr>
      </w:pPr>
      <w:r w:rsidRPr="00E869A4">
        <w:rPr>
          <w:rFonts w:ascii="Times New Roman" w:hAnsi="Times New Roman" w:cs="Times New Roman"/>
        </w:rPr>
        <w:t xml:space="preserve">Issues of race and ethnicity are important considerations in multi-ethnic contexts such as </w:t>
      </w:r>
      <w:r w:rsidR="005B2397" w:rsidRPr="00E869A4">
        <w:rPr>
          <w:rFonts w:ascii="Times New Roman" w:hAnsi="Times New Roman" w:cs="Times New Roman"/>
        </w:rPr>
        <w:t>T&amp;T</w:t>
      </w:r>
      <w:r w:rsidRPr="00E869A4">
        <w:rPr>
          <w:rFonts w:ascii="Times New Roman" w:hAnsi="Times New Roman" w:cs="Times New Roman"/>
        </w:rPr>
        <w:t xml:space="preserve">. </w:t>
      </w:r>
    </w:p>
    <w:p w14:paraId="1E0154D5" w14:textId="77777777" w:rsidR="00BD5304" w:rsidRPr="00E869A4" w:rsidRDefault="00BD5304" w:rsidP="00A35FF8">
      <w:pPr>
        <w:rPr>
          <w:rFonts w:ascii="Times New Roman" w:hAnsi="Times New Roman" w:cs="Times New Roman"/>
        </w:rPr>
      </w:pPr>
    </w:p>
    <w:p w14:paraId="40176384" w14:textId="777611C1" w:rsidR="00D106CD" w:rsidRPr="00E869A4" w:rsidRDefault="00D106CD" w:rsidP="00A35FF8">
      <w:pPr>
        <w:rPr>
          <w:rFonts w:ascii="Times New Roman" w:hAnsi="Times New Roman" w:cs="Times New Roman"/>
        </w:rPr>
      </w:pPr>
      <w:r w:rsidRPr="00E869A4">
        <w:rPr>
          <w:rFonts w:ascii="Times New Roman" w:hAnsi="Times New Roman" w:cs="Times New Roman"/>
        </w:rPr>
        <w:t xml:space="preserve">Other theorists such as the symbolic interactionists and feminists underscore the fluidity of decisions concerning care practices rather than the use of linear or step-wise models.  Janet Finch, a prominent feminist sociologist, provided convincing arguments that suggest that care could be motivated by either ‘normative obligation’ or it can be the result of ‘negotiated commitment’. With respect to the latter, Finch and Mason </w:t>
      </w:r>
      <w:r w:rsidR="00FF5847" w:rsidRPr="00E869A4">
        <w:rPr>
          <w:rFonts w:ascii="Times New Roman" w:hAnsi="Times New Roman" w:cs="Times New Roman"/>
        </w:rPr>
        <w:t xml:space="preserve">(1993, p. 59) </w:t>
      </w:r>
      <w:r w:rsidRPr="00E869A4">
        <w:rPr>
          <w:rFonts w:ascii="Times New Roman" w:hAnsi="Times New Roman" w:cs="Times New Roman"/>
        </w:rPr>
        <w:t>caution</w:t>
      </w:r>
      <w:r w:rsidR="005B2397" w:rsidRPr="00E869A4">
        <w:rPr>
          <w:rFonts w:ascii="Times New Roman" w:hAnsi="Times New Roman" w:cs="Times New Roman"/>
        </w:rPr>
        <w:t>ed</w:t>
      </w:r>
      <w:r w:rsidRPr="00E869A4">
        <w:rPr>
          <w:rFonts w:ascii="Times New Roman" w:hAnsi="Times New Roman" w:cs="Times New Roman"/>
        </w:rPr>
        <w:t xml:space="preserve"> that</w:t>
      </w:r>
      <w:r w:rsidR="00017799" w:rsidRPr="00E869A4">
        <w:rPr>
          <w:rFonts w:ascii="Times New Roman" w:hAnsi="Times New Roman" w:cs="Times New Roman"/>
        </w:rPr>
        <w:t>:</w:t>
      </w:r>
    </w:p>
    <w:p w14:paraId="6E602B96" w14:textId="77777777" w:rsidR="00017799" w:rsidRPr="00E869A4" w:rsidRDefault="00017799" w:rsidP="003E23F9">
      <w:pPr>
        <w:autoSpaceDE w:val="0"/>
        <w:autoSpaceDN w:val="0"/>
        <w:adjustRightInd w:val="0"/>
        <w:spacing w:line="240" w:lineRule="auto"/>
        <w:ind w:firstLine="720"/>
        <w:rPr>
          <w:rFonts w:ascii="Times New Roman" w:hAnsi="Times New Roman" w:cs="Times New Roman"/>
        </w:rPr>
      </w:pPr>
    </w:p>
    <w:p w14:paraId="40907EBB" w14:textId="6181F6A6" w:rsidR="00D106CD" w:rsidRPr="00E869A4" w:rsidRDefault="00D106CD" w:rsidP="00FF5847">
      <w:pPr>
        <w:spacing w:line="240" w:lineRule="auto"/>
        <w:ind w:left="567" w:firstLine="0"/>
        <w:rPr>
          <w:rFonts w:ascii="Times New Roman" w:hAnsi="Times New Roman" w:cs="Times New Roman"/>
        </w:rPr>
      </w:pPr>
      <w:r w:rsidRPr="00E869A4">
        <w:rPr>
          <w:rFonts w:ascii="Times New Roman" w:hAnsi="Times New Roman" w:cs="Times New Roman"/>
        </w:rPr>
        <w:lastRenderedPageBreak/>
        <w:t xml:space="preserve">People’s behaviour cannot be explained by saying that someone is following a set of pre-ordained social rules </w:t>
      </w:r>
      <w:r w:rsidR="000C4B1E" w:rsidRPr="00E869A4">
        <w:rPr>
          <w:rFonts w:ascii="Times New Roman" w:hAnsi="Times New Roman" w:cs="Times New Roman"/>
          <w:szCs w:val="24"/>
        </w:rPr>
        <w:t>–</w:t>
      </w:r>
      <w:r w:rsidRPr="00E869A4">
        <w:rPr>
          <w:rFonts w:ascii="Times New Roman" w:hAnsi="Times New Roman" w:cs="Times New Roman"/>
        </w:rPr>
        <w:t xml:space="preserve"> as for example</w:t>
      </w:r>
      <w:r w:rsidR="002C1D2F" w:rsidRPr="00E869A4">
        <w:rPr>
          <w:rFonts w:ascii="Times New Roman" w:hAnsi="Times New Roman" w:cs="Times New Roman"/>
        </w:rPr>
        <w:t xml:space="preserve"> </w:t>
      </w:r>
      <w:r w:rsidRPr="00E869A4">
        <w:rPr>
          <w:rFonts w:ascii="Times New Roman" w:hAnsi="Times New Roman" w:cs="Times New Roman"/>
        </w:rPr>
        <w:t>… moral rules about family responsibilities. Nor is a person’s behaviour explained straightforwardly by the position which he or she occupies in the social world</w:t>
      </w:r>
      <w:r w:rsidR="005B2397" w:rsidRPr="00E869A4">
        <w:rPr>
          <w:rFonts w:ascii="Times New Roman" w:hAnsi="Times New Roman" w:cs="Times New Roman"/>
        </w:rPr>
        <w:t xml:space="preserve"> </w:t>
      </w:r>
      <w:r w:rsidR="000C4B1E" w:rsidRPr="00E869A4">
        <w:rPr>
          <w:rFonts w:ascii="Times New Roman" w:hAnsi="Times New Roman" w:cs="Times New Roman"/>
          <w:szCs w:val="24"/>
        </w:rPr>
        <w:t>–</w:t>
      </w:r>
      <w:r w:rsidR="005B2397" w:rsidRPr="00E869A4">
        <w:rPr>
          <w:rFonts w:ascii="Times New Roman" w:hAnsi="Times New Roman" w:cs="Times New Roman"/>
        </w:rPr>
        <w:t xml:space="preserve"> </w:t>
      </w:r>
      <w:r w:rsidRPr="00E869A4">
        <w:rPr>
          <w:rFonts w:ascii="Times New Roman" w:hAnsi="Times New Roman" w:cs="Times New Roman"/>
        </w:rPr>
        <w:t>for example, the idea that someone’s behaviour is predetermined by the fact that she is a woman, a mother, and so on. Explanations which rely on the idea of following rules, or on the idea that action is determined by structural position in a rigid sense, leave little room for manoeuvre by individuals. By contrast the concept of negotiation emphasises that individuals do have some room for manoeuvre, though it is never entirely open-ended and sometimes it c</w:t>
      </w:r>
      <w:r w:rsidR="00FF5847" w:rsidRPr="00E869A4">
        <w:rPr>
          <w:rFonts w:ascii="Times New Roman" w:hAnsi="Times New Roman" w:cs="Times New Roman"/>
        </w:rPr>
        <w:t>an be quite tightly constrained</w:t>
      </w:r>
      <w:r w:rsidR="00E62C6C" w:rsidRPr="00E869A4">
        <w:rPr>
          <w:rFonts w:ascii="Times New Roman" w:hAnsi="Times New Roman" w:cs="Times New Roman"/>
        </w:rPr>
        <w:t>.</w:t>
      </w:r>
    </w:p>
    <w:p w14:paraId="025A9B23" w14:textId="77777777" w:rsidR="00D04DCD" w:rsidRPr="00E869A4" w:rsidRDefault="00D04DCD" w:rsidP="003E23F9">
      <w:pPr>
        <w:autoSpaceDE w:val="0"/>
        <w:autoSpaceDN w:val="0"/>
        <w:adjustRightInd w:val="0"/>
        <w:spacing w:line="240" w:lineRule="auto"/>
        <w:ind w:firstLine="720"/>
        <w:rPr>
          <w:rFonts w:ascii="Times New Roman" w:hAnsi="Times New Roman" w:cs="Times New Roman"/>
        </w:rPr>
      </w:pPr>
    </w:p>
    <w:p w14:paraId="68FE40F7" w14:textId="167B0FD0" w:rsidR="00D106CD" w:rsidRPr="00E869A4" w:rsidRDefault="00D106CD" w:rsidP="00A35FF8">
      <w:pPr>
        <w:rPr>
          <w:rFonts w:ascii="Times New Roman" w:hAnsi="Times New Roman" w:cs="Times New Roman"/>
        </w:rPr>
      </w:pPr>
      <w:r w:rsidRPr="00E869A4">
        <w:rPr>
          <w:rFonts w:ascii="Times New Roman" w:hAnsi="Times New Roman" w:cs="Times New Roman"/>
        </w:rPr>
        <w:t>At the same time, Finch note</w:t>
      </w:r>
      <w:r w:rsidR="003B7DF4" w:rsidRPr="00E869A4">
        <w:rPr>
          <w:rFonts w:ascii="Times New Roman" w:hAnsi="Times New Roman" w:cs="Times New Roman"/>
        </w:rPr>
        <w:t>d</w:t>
      </w:r>
      <w:r w:rsidRPr="00E869A4">
        <w:rPr>
          <w:rFonts w:ascii="Times New Roman" w:hAnsi="Times New Roman" w:cs="Times New Roman"/>
        </w:rPr>
        <w:t xml:space="preserve"> the importance of structural </w:t>
      </w:r>
      <w:r w:rsidR="00C25074" w:rsidRPr="00E869A4">
        <w:rPr>
          <w:rFonts w:ascii="Times New Roman" w:hAnsi="Times New Roman" w:cs="Times New Roman"/>
        </w:rPr>
        <w:t>factors, which</w:t>
      </w:r>
      <w:r w:rsidRPr="00E869A4">
        <w:rPr>
          <w:rFonts w:ascii="Times New Roman" w:hAnsi="Times New Roman" w:cs="Times New Roman"/>
        </w:rPr>
        <w:t xml:space="preserve"> is consistent with the </w:t>
      </w:r>
      <w:r w:rsidR="000E28BF" w:rsidRPr="00E869A4">
        <w:rPr>
          <w:rFonts w:ascii="Times New Roman" w:hAnsi="Times New Roman" w:cs="Times New Roman"/>
        </w:rPr>
        <w:t>SI</w:t>
      </w:r>
      <w:r w:rsidRPr="00E869A4">
        <w:rPr>
          <w:rFonts w:ascii="Times New Roman" w:hAnsi="Times New Roman" w:cs="Times New Roman"/>
        </w:rPr>
        <w:t xml:space="preserve"> perspective that she adopted. In an earlier work, </w:t>
      </w:r>
      <w:r w:rsidR="003B7DF4" w:rsidRPr="00E869A4">
        <w:rPr>
          <w:rFonts w:ascii="Times New Roman" w:hAnsi="Times New Roman" w:cs="Times New Roman"/>
        </w:rPr>
        <w:t xml:space="preserve">she </w:t>
      </w:r>
      <w:r w:rsidRPr="00E869A4">
        <w:rPr>
          <w:rFonts w:ascii="Times New Roman" w:hAnsi="Times New Roman" w:cs="Times New Roman"/>
        </w:rPr>
        <w:t xml:space="preserve">stated her agreement with symbolic interactionists such as Strauss and Giddens, who made more explicit the structural constraints on negotiated interactions. Thus, on the issue of obligations to provide care, </w:t>
      </w:r>
      <w:r w:rsidR="003B7DF4" w:rsidRPr="00E869A4">
        <w:rPr>
          <w:rFonts w:ascii="Times New Roman" w:hAnsi="Times New Roman" w:cs="Times New Roman"/>
        </w:rPr>
        <w:t xml:space="preserve">Finch (1989, p. 183) </w:t>
      </w:r>
      <w:r w:rsidRPr="00E869A4">
        <w:rPr>
          <w:rFonts w:ascii="Times New Roman" w:hAnsi="Times New Roman" w:cs="Times New Roman"/>
        </w:rPr>
        <w:t>conclude</w:t>
      </w:r>
      <w:r w:rsidR="00017799" w:rsidRPr="00E869A4">
        <w:rPr>
          <w:rFonts w:ascii="Times New Roman" w:hAnsi="Times New Roman" w:cs="Times New Roman"/>
        </w:rPr>
        <w:t>d</w:t>
      </w:r>
      <w:r w:rsidRPr="00E869A4">
        <w:rPr>
          <w:rFonts w:ascii="Times New Roman" w:hAnsi="Times New Roman" w:cs="Times New Roman"/>
        </w:rPr>
        <w:t xml:space="preserve"> that:</w:t>
      </w:r>
      <w:r w:rsidRPr="00E869A4">
        <w:rPr>
          <w:rFonts w:ascii="Times New Roman" w:hAnsi="Times New Roman" w:cs="Times New Roman"/>
        </w:rPr>
        <w:tab/>
      </w:r>
    </w:p>
    <w:p w14:paraId="7D0F26DC" w14:textId="77777777" w:rsidR="00864479" w:rsidRPr="00E869A4" w:rsidRDefault="00864479" w:rsidP="003E23F9">
      <w:pPr>
        <w:autoSpaceDE w:val="0"/>
        <w:autoSpaceDN w:val="0"/>
        <w:adjustRightInd w:val="0"/>
        <w:spacing w:line="240" w:lineRule="auto"/>
        <w:ind w:firstLine="720"/>
        <w:rPr>
          <w:rFonts w:ascii="Times New Roman" w:hAnsi="Times New Roman" w:cs="Times New Roman"/>
        </w:rPr>
      </w:pPr>
    </w:p>
    <w:p w14:paraId="4952C2AD" w14:textId="13F035C1" w:rsidR="00D106CD" w:rsidRPr="00E869A4" w:rsidRDefault="00E62C6C" w:rsidP="003B7DF4">
      <w:pPr>
        <w:spacing w:line="240" w:lineRule="auto"/>
        <w:ind w:left="720" w:firstLine="0"/>
        <w:rPr>
          <w:rFonts w:ascii="Times New Roman" w:hAnsi="Times New Roman" w:cs="Times New Roman"/>
        </w:rPr>
      </w:pPr>
      <w:r w:rsidRPr="00E869A4">
        <w:rPr>
          <w:rFonts w:ascii="Times New Roman" w:hAnsi="Times New Roman" w:cs="Times New Roman"/>
        </w:rPr>
        <w:t>[N]</w:t>
      </w:r>
      <w:r w:rsidR="00D106CD" w:rsidRPr="00E869A4">
        <w:rPr>
          <w:rFonts w:ascii="Times New Roman" w:hAnsi="Times New Roman" w:cs="Times New Roman"/>
        </w:rPr>
        <w:t>egotiations in which human beings engage are never completely open-ended because they always take place ‘under specific structural conditions’. These conditions determine who negotiates with whom, when negotiations take place, and so … in practice</w:t>
      </w:r>
      <w:r w:rsidR="009C7B71" w:rsidRPr="00E869A4">
        <w:rPr>
          <w:rFonts w:ascii="Times New Roman" w:hAnsi="Times New Roman" w:cs="Times New Roman"/>
        </w:rPr>
        <w:t xml:space="preserve"> </w:t>
      </w:r>
      <w:r w:rsidR="00D106CD" w:rsidRPr="00E869A4">
        <w:rPr>
          <w:rFonts w:ascii="Times New Roman" w:hAnsi="Times New Roman" w:cs="Times New Roman"/>
        </w:rPr>
        <w:t xml:space="preserve">… situations and relationships are not infinitely negotiable. </w:t>
      </w:r>
    </w:p>
    <w:p w14:paraId="07035153" w14:textId="1C089DB2" w:rsidR="00D04DCD" w:rsidRPr="00E869A4" w:rsidRDefault="00D04DCD">
      <w:pPr>
        <w:spacing w:line="276" w:lineRule="auto"/>
        <w:rPr>
          <w:rFonts w:ascii="Times New Roman" w:hAnsi="Times New Roman" w:cs="Times New Roman"/>
        </w:rPr>
      </w:pPr>
    </w:p>
    <w:p w14:paraId="255394E7" w14:textId="1481CAEA" w:rsidR="00D106CD" w:rsidRPr="00E869A4" w:rsidRDefault="00D106CD" w:rsidP="00A35FF8">
      <w:pPr>
        <w:rPr>
          <w:rFonts w:ascii="Times New Roman" w:hAnsi="Times New Roman" w:cs="Times New Roman"/>
        </w:rPr>
      </w:pPr>
      <w:r w:rsidRPr="00E869A4">
        <w:rPr>
          <w:rFonts w:ascii="Times New Roman" w:hAnsi="Times New Roman" w:cs="Times New Roman"/>
        </w:rPr>
        <w:t>Schumacher (1995) also provided strong arguments in support of merging both structural and interactive conceptualisations of the caregiver acquisition process. This integrated approach she argued allows for a more accurate representation of what obtains in reality. It avoids an overly dynamic view of role acquisition that does not adequately address the consistency and regularity of behaviour in social situations. At the same time, it circumvents the overly controlled and socialised representation of individuals that structural theoris</w:t>
      </w:r>
      <w:r w:rsidR="00AE50E1" w:rsidRPr="00E869A4">
        <w:rPr>
          <w:rFonts w:ascii="Times New Roman" w:hAnsi="Times New Roman" w:cs="Times New Roman"/>
        </w:rPr>
        <w:t>ts</w:t>
      </w:r>
      <w:r w:rsidRPr="00E869A4">
        <w:rPr>
          <w:rFonts w:ascii="Times New Roman" w:hAnsi="Times New Roman" w:cs="Times New Roman"/>
        </w:rPr>
        <w:t xml:space="preserve"> tend to propagate.  In so doing, a clearer picture is developed of how societal and institutional expectations guide caregiver role acquisition, and the creative process by which the caregiver personalises these structural influences. It also allows </w:t>
      </w:r>
      <w:r w:rsidR="00C25074" w:rsidRPr="00E869A4">
        <w:rPr>
          <w:rFonts w:ascii="Times New Roman" w:hAnsi="Times New Roman" w:cs="Times New Roman"/>
        </w:rPr>
        <w:t>adequate</w:t>
      </w:r>
      <w:r w:rsidRPr="00E869A4">
        <w:rPr>
          <w:rFonts w:ascii="Times New Roman" w:hAnsi="Times New Roman" w:cs="Times New Roman"/>
        </w:rPr>
        <w:t xml:space="preserve"> consideration to be given to the </w:t>
      </w:r>
      <w:r w:rsidR="00017799" w:rsidRPr="00E869A4">
        <w:rPr>
          <w:rFonts w:ascii="Times New Roman" w:hAnsi="Times New Roman" w:cs="Times New Roman"/>
        </w:rPr>
        <w:t>care recipient</w:t>
      </w:r>
      <w:r w:rsidRPr="00E869A4">
        <w:rPr>
          <w:rFonts w:ascii="Times New Roman" w:hAnsi="Times New Roman" w:cs="Times New Roman"/>
        </w:rPr>
        <w:t xml:space="preserve">’s input into the process. The </w:t>
      </w:r>
      <w:r w:rsidR="00017799" w:rsidRPr="00E869A4">
        <w:rPr>
          <w:rFonts w:ascii="Times New Roman" w:hAnsi="Times New Roman" w:cs="Times New Roman"/>
        </w:rPr>
        <w:t>care recipient</w:t>
      </w:r>
      <w:r w:rsidRPr="00E869A4">
        <w:rPr>
          <w:rFonts w:ascii="Times New Roman" w:hAnsi="Times New Roman" w:cs="Times New Roman"/>
        </w:rPr>
        <w:t>’s behaviour and attitude towards caregiving as well as their health</w:t>
      </w:r>
      <w:r w:rsidR="00AE50E1" w:rsidRPr="00E869A4">
        <w:rPr>
          <w:rFonts w:ascii="Times New Roman" w:hAnsi="Times New Roman" w:cs="Times New Roman"/>
        </w:rPr>
        <w:t>-</w:t>
      </w:r>
      <w:r w:rsidRPr="00E869A4">
        <w:rPr>
          <w:rFonts w:ascii="Times New Roman" w:hAnsi="Times New Roman" w:cs="Times New Roman"/>
        </w:rPr>
        <w:t xml:space="preserve">related transition are key aspects of the initial impetus for the caregiver role. Thus, this integrated approach is able to explain the variation observed in the caregiver role acquisition </w:t>
      </w:r>
      <w:r w:rsidR="00C25074" w:rsidRPr="00E869A4">
        <w:rPr>
          <w:rFonts w:ascii="Times New Roman" w:hAnsi="Times New Roman" w:cs="Times New Roman"/>
        </w:rPr>
        <w:t>process, which</w:t>
      </w:r>
      <w:r w:rsidRPr="00E869A4">
        <w:rPr>
          <w:rFonts w:ascii="Times New Roman" w:hAnsi="Times New Roman" w:cs="Times New Roman"/>
        </w:rPr>
        <w:t xml:space="preserve"> is an outcome of the combined effects of structural, interactive and personal factors that are creatively applied by family caregivers to their individual circumstances.</w:t>
      </w:r>
    </w:p>
    <w:p w14:paraId="12841ACB" w14:textId="77777777" w:rsidR="00D04DCD" w:rsidRPr="00E869A4" w:rsidRDefault="00D04DCD" w:rsidP="00A35FF8">
      <w:pPr>
        <w:rPr>
          <w:rFonts w:ascii="Times New Roman" w:hAnsi="Times New Roman" w:cs="Times New Roman"/>
        </w:rPr>
      </w:pPr>
    </w:p>
    <w:p w14:paraId="71048C0D" w14:textId="3D8AFAFC" w:rsidR="00D106CD" w:rsidRPr="00E869A4" w:rsidRDefault="00D106CD" w:rsidP="00A35FF8">
      <w:pPr>
        <w:rPr>
          <w:rFonts w:ascii="Times New Roman" w:hAnsi="Times New Roman" w:cs="Times New Roman"/>
        </w:rPr>
      </w:pPr>
      <w:r w:rsidRPr="00E869A4">
        <w:rPr>
          <w:rFonts w:ascii="Times New Roman" w:hAnsi="Times New Roman" w:cs="Times New Roman"/>
        </w:rPr>
        <w:t>Another important caveat highlighted in the literature on caregiver role acquisition is the issue of choice.  In her study of the pathways to caregiving, Merrill (1997</w:t>
      </w:r>
      <w:r w:rsidR="00BD480F" w:rsidRPr="00E869A4">
        <w:rPr>
          <w:rFonts w:ascii="Times New Roman" w:hAnsi="Times New Roman" w:cs="Times New Roman"/>
        </w:rPr>
        <w:t>)</w:t>
      </w:r>
      <w:r w:rsidRPr="00E869A4">
        <w:rPr>
          <w:rFonts w:ascii="Times New Roman" w:hAnsi="Times New Roman" w:cs="Times New Roman"/>
        </w:rPr>
        <w:t xml:space="preserve"> conducted fifty in-depth interviews with working</w:t>
      </w:r>
      <w:r w:rsidR="00AE50E1" w:rsidRPr="00E869A4">
        <w:rPr>
          <w:rFonts w:ascii="Times New Roman" w:hAnsi="Times New Roman" w:cs="Times New Roman"/>
        </w:rPr>
        <w:t>-</w:t>
      </w:r>
      <w:r w:rsidRPr="00E869A4">
        <w:rPr>
          <w:rFonts w:ascii="Times New Roman" w:hAnsi="Times New Roman" w:cs="Times New Roman"/>
        </w:rPr>
        <w:t xml:space="preserve"> and middle</w:t>
      </w:r>
      <w:r w:rsidR="00AE50E1" w:rsidRPr="00E869A4">
        <w:rPr>
          <w:rFonts w:ascii="Times New Roman" w:hAnsi="Times New Roman" w:cs="Times New Roman"/>
        </w:rPr>
        <w:t>-</w:t>
      </w:r>
      <w:r w:rsidRPr="00E869A4">
        <w:rPr>
          <w:rFonts w:ascii="Times New Roman" w:hAnsi="Times New Roman" w:cs="Times New Roman"/>
        </w:rPr>
        <w:t xml:space="preserve">class caregivers from New England (USA). Using a feminist interviewing </w:t>
      </w:r>
      <w:r w:rsidRPr="00E869A4">
        <w:rPr>
          <w:rFonts w:ascii="Times New Roman" w:hAnsi="Times New Roman" w:cs="Times New Roman"/>
        </w:rPr>
        <w:lastRenderedPageBreak/>
        <w:t>methodology, she found that there were five possible pathways to caregivers of olde</w:t>
      </w:r>
      <w:r w:rsidR="00BD480F" w:rsidRPr="00E869A4">
        <w:rPr>
          <w:rFonts w:ascii="Times New Roman" w:hAnsi="Times New Roman" w:cs="Times New Roman"/>
        </w:rPr>
        <w:t>r relatives adopting this role:</w:t>
      </w:r>
      <w:r w:rsidRPr="00E869A4">
        <w:rPr>
          <w:rFonts w:ascii="Times New Roman" w:hAnsi="Times New Roman" w:cs="Times New Roman"/>
        </w:rPr>
        <w:t xml:space="preserve"> </w:t>
      </w:r>
      <w:r w:rsidR="00BD480F" w:rsidRPr="00E869A4">
        <w:rPr>
          <w:rFonts w:ascii="Times New Roman" w:hAnsi="Times New Roman" w:cs="Times New Roman"/>
        </w:rPr>
        <w:t xml:space="preserve">1) </w:t>
      </w:r>
      <w:r w:rsidRPr="00E869A4">
        <w:rPr>
          <w:rFonts w:ascii="Times New Roman" w:hAnsi="Times New Roman" w:cs="Times New Roman"/>
          <w:i/>
        </w:rPr>
        <w:t>Assumed responsibility</w:t>
      </w:r>
      <w:r w:rsidRPr="00E869A4">
        <w:rPr>
          <w:rFonts w:ascii="Times New Roman" w:hAnsi="Times New Roman" w:cs="Times New Roman"/>
        </w:rPr>
        <w:t xml:space="preserve"> </w:t>
      </w:r>
      <w:r w:rsidR="00AE50E1" w:rsidRPr="00E869A4">
        <w:rPr>
          <w:rFonts w:ascii="Times New Roman" w:hAnsi="Times New Roman" w:cs="Times New Roman"/>
        </w:rPr>
        <w:t xml:space="preserve">– </w:t>
      </w:r>
      <w:r w:rsidRPr="00E869A4">
        <w:rPr>
          <w:rFonts w:ascii="Times New Roman" w:hAnsi="Times New Roman" w:cs="Times New Roman"/>
        </w:rPr>
        <w:t xml:space="preserve">those who felt there was no other feasible alternative to care provision; 2) </w:t>
      </w:r>
      <w:r w:rsidRPr="00E869A4">
        <w:rPr>
          <w:rFonts w:ascii="Times New Roman" w:hAnsi="Times New Roman" w:cs="Times New Roman"/>
          <w:i/>
        </w:rPr>
        <w:t xml:space="preserve">Selection during a </w:t>
      </w:r>
      <w:r w:rsidR="00AE50E1" w:rsidRPr="00E869A4">
        <w:rPr>
          <w:rFonts w:ascii="Times New Roman" w:hAnsi="Times New Roman" w:cs="Times New Roman"/>
          <w:i/>
        </w:rPr>
        <w:t>f</w:t>
      </w:r>
      <w:r w:rsidRPr="00E869A4">
        <w:rPr>
          <w:rFonts w:ascii="Times New Roman" w:hAnsi="Times New Roman" w:cs="Times New Roman"/>
          <w:i/>
        </w:rPr>
        <w:t xml:space="preserve">amily </w:t>
      </w:r>
      <w:r w:rsidR="00AE50E1" w:rsidRPr="00E869A4">
        <w:rPr>
          <w:rFonts w:ascii="Times New Roman" w:hAnsi="Times New Roman" w:cs="Times New Roman"/>
          <w:i/>
        </w:rPr>
        <w:t>m</w:t>
      </w:r>
      <w:r w:rsidRPr="00E869A4">
        <w:rPr>
          <w:rFonts w:ascii="Times New Roman" w:hAnsi="Times New Roman" w:cs="Times New Roman"/>
          <w:i/>
        </w:rPr>
        <w:t>eeting</w:t>
      </w:r>
      <w:r w:rsidRPr="00E869A4">
        <w:rPr>
          <w:rFonts w:ascii="Times New Roman" w:hAnsi="Times New Roman" w:cs="Times New Roman"/>
        </w:rPr>
        <w:t xml:space="preserve">; 3) </w:t>
      </w:r>
      <w:r w:rsidRPr="00E869A4">
        <w:rPr>
          <w:rFonts w:ascii="Times New Roman" w:hAnsi="Times New Roman" w:cs="Times New Roman"/>
          <w:i/>
        </w:rPr>
        <w:t>Selection based on parent’s choice</w:t>
      </w:r>
      <w:r w:rsidRPr="00E869A4">
        <w:rPr>
          <w:rFonts w:ascii="Times New Roman" w:hAnsi="Times New Roman" w:cs="Times New Roman"/>
        </w:rPr>
        <w:t xml:space="preserve">; 4) </w:t>
      </w:r>
      <w:r w:rsidRPr="00E869A4">
        <w:rPr>
          <w:rFonts w:ascii="Times New Roman" w:hAnsi="Times New Roman" w:cs="Times New Roman"/>
          <w:i/>
        </w:rPr>
        <w:t>Gradual progression into the role</w:t>
      </w:r>
      <w:r w:rsidRPr="00E869A4">
        <w:rPr>
          <w:rFonts w:ascii="Times New Roman" w:hAnsi="Times New Roman" w:cs="Times New Roman"/>
        </w:rPr>
        <w:t>; and</w:t>
      </w:r>
      <w:r w:rsidR="00E9037A" w:rsidRPr="00E869A4">
        <w:rPr>
          <w:rFonts w:ascii="Times New Roman" w:hAnsi="Times New Roman" w:cs="Times New Roman"/>
        </w:rPr>
        <w:t>,</w:t>
      </w:r>
      <w:r w:rsidRPr="00E869A4">
        <w:rPr>
          <w:rFonts w:ascii="Times New Roman" w:hAnsi="Times New Roman" w:cs="Times New Roman"/>
        </w:rPr>
        <w:t xml:space="preserve"> 5) </w:t>
      </w:r>
      <w:r w:rsidRPr="00E869A4">
        <w:rPr>
          <w:rFonts w:ascii="Times New Roman" w:hAnsi="Times New Roman" w:cs="Times New Roman"/>
          <w:i/>
        </w:rPr>
        <w:t>Volunteers</w:t>
      </w:r>
      <w:r w:rsidRPr="00E869A4">
        <w:rPr>
          <w:rFonts w:ascii="Times New Roman" w:hAnsi="Times New Roman" w:cs="Times New Roman"/>
        </w:rPr>
        <w:t xml:space="preserve"> – those who became family caregivers of their own volition. Adult children in the first category assumed the role of caregiver because no one else was available or willing to assume the responsibility</w:t>
      </w:r>
      <w:r w:rsidR="00BD480F" w:rsidRPr="00E869A4">
        <w:rPr>
          <w:rFonts w:ascii="Times New Roman" w:hAnsi="Times New Roman" w:cs="Times New Roman"/>
        </w:rPr>
        <w:t>,</w:t>
      </w:r>
      <w:r w:rsidRPr="00E869A4">
        <w:rPr>
          <w:rFonts w:ascii="Times New Roman" w:hAnsi="Times New Roman" w:cs="Times New Roman"/>
        </w:rPr>
        <w:t xml:space="preserve"> or because they saw no other alternative as feasible. The decision was made, without the deliberations of a family meeting. This was especially the case among daughters from working class backgrounds and sons (men became caregivers primarily when others were not available rather than volunteering to do so). These caregivers also tended to be more </w:t>
      </w:r>
      <w:r w:rsidR="00D34CF8" w:rsidRPr="00E869A4">
        <w:rPr>
          <w:rFonts w:ascii="Times New Roman" w:hAnsi="Times New Roman" w:cs="Times New Roman"/>
        </w:rPr>
        <w:t>‘</w:t>
      </w:r>
      <w:r w:rsidRPr="00E869A4">
        <w:rPr>
          <w:rFonts w:ascii="Times New Roman" w:hAnsi="Times New Roman" w:cs="Times New Roman"/>
        </w:rPr>
        <w:t>available</w:t>
      </w:r>
      <w:r w:rsidR="00D34CF8" w:rsidRPr="00E869A4">
        <w:rPr>
          <w:rFonts w:ascii="Times New Roman" w:hAnsi="Times New Roman" w:cs="Times New Roman"/>
        </w:rPr>
        <w:t>’</w:t>
      </w:r>
      <w:r w:rsidRPr="00E869A4">
        <w:rPr>
          <w:rFonts w:ascii="Times New Roman" w:hAnsi="Times New Roman" w:cs="Times New Roman"/>
        </w:rPr>
        <w:t xml:space="preserve"> than their </w:t>
      </w:r>
      <w:r w:rsidR="00C25074" w:rsidRPr="00E869A4">
        <w:rPr>
          <w:rFonts w:ascii="Times New Roman" w:hAnsi="Times New Roman" w:cs="Times New Roman"/>
        </w:rPr>
        <w:t>siblings were</w:t>
      </w:r>
      <w:r w:rsidRPr="00E869A4">
        <w:rPr>
          <w:rFonts w:ascii="Times New Roman" w:hAnsi="Times New Roman" w:cs="Times New Roman"/>
        </w:rPr>
        <w:t xml:space="preserve">. Approximately 20% of the caregivers (ten out of fifty) were selected during a family meeting (Merrill 1997). The least common pathway to becoming a caregiver was for children to volunteer to care for their parents, without the deliberation or consultation of a family meeting (14 </w:t>
      </w:r>
      <w:r w:rsidR="00AE50E1" w:rsidRPr="00E869A4">
        <w:rPr>
          <w:rFonts w:ascii="Times New Roman" w:hAnsi="Times New Roman" w:cs="Times New Roman"/>
        </w:rPr>
        <w:t>%</w:t>
      </w:r>
      <w:r w:rsidRPr="00E869A4">
        <w:rPr>
          <w:rFonts w:ascii="Times New Roman" w:hAnsi="Times New Roman" w:cs="Times New Roman"/>
        </w:rPr>
        <w:t xml:space="preserve">; seven out of fifty). Merrill also observed that adult children who co-resided with their parents were more likely to describe the process of becoming a caregiver as something that gradually evolved as an extension of prior family responsibilities.  </w:t>
      </w:r>
    </w:p>
    <w:p w14:paraId="567DB24D" w14:textId="77777777" w:rsidR="00D04DCD" w:rsidRPr="00E869A4" w:rsidRDefault="00D04DCD" w:rsidP="00A35FF8">
      <w:pPr>
        <w:rPr>
          <w:rFonts w:ascii="Times New Roman" w:hAnsi="Times New Roman" w:cs="Times New Roman"/>
        </w:rPr>
      </w:pPr>
    </w:p>
    <w:p w14:paraId="2F2E1D40" w14:textId="0C011705" w:rsidR="00D106CD" w:rsidRPr="00E869A4" w:rsidRDefault="00D106CD" w:rsidP="00A35FF8">
      <w:pPr>
        <w:rPr>
          <w:rFonts w:ascii="Times New Roman" w:hAnsi="Times New Roman" w:cs="Times New Roman"/>
        </w:rPr>
      </w:pPr>
      <w:r w:rsidRPr="00E869A4">
        <w:rPr>
          <w:rFonts w:ascii="Times New Roman" w:hAnsi="Times New Roman" w:cs="Times New Roman"/>
        </w:rPr>
        <w:t xml:space="preserve">Other studies (e.g. </w:t>
      </w:r>
      <w:r w:rsidR="00E9037A" w:rsidRPr="00E869A4">
        <w:rPr>
          <w:rFonts w:ascii="Times New Roman" w:hAnsi="Times New Roman" w:cs="Times New Roman"/>
        </w:rPr>
        <w:t>Long, Campbell &amp; Nishimura 2009;</w:t>
      </w:r>
      <w:r w:rsidR="00017799" w:rsidRPr="00E869A4">
        <w:rPr>
          <w:rFonts w:ascii="Times New Roman" w:hAnsi="Times New Roman" w:cs="Times New Roman"/>
        </w:rPr>
        <w:t xml:space="preserve"> Parveen, Morrison &amp; Robinson</w:t>
      </w:r>
      <w:r w:rsidRPr="00E869A4">
        <w:rPr>
          <w:rFonts w:ascii="Times New Roman" w:hAnsi="Times New Roman" w:cs="Times New Roman"/>
        </w:rPr>
        <w:t xml:space="preserve"> 2011) also highlighted the relationship between culture and choice in caregiver role acquisition. Long and colleagues found that while Japanese daughters often had a choice in deciding to become a caregiver</w:t>
      </w:r>
      <w:r w:rsidR="00F47E45" w:rsidRPr="00E869A4">
        <w:rPr>
          <w:rFonts w:ascii="Times New Roman" w:hAnsi="Times New Roman" w:cs="Times New Roman"/>
        </w:rPr>
        <w:t xml:space="preserve">, </w:t>
      </w:r>
      <w:r w:rsidRPr="00E869A4">
        <w:rPr>
          <w:rFonts w:ascii="Times New Roman" w:hAnsi="Times New Roman" w:cs="Times New Roman"/>
        </w:rPr>
        <w:t>daughter</w:t>
      </w:r>
      <w:r w:rsidR="00F47E45" w:rsidRPr="00E869A4">
        <w:rPr>
          <w:rFonts w:ascii="Times New Roman" w:hAnsi="Times New Roman" w:cs="Times New Roman"/>
        </w:rPr>
        <w:t>s-in-law</w:t>
      </w:r>
      <w:r w:rsidRPr="00E869A4">
        <w:rPr>
          <w:rFonts w:ascii="Times New Roman" w:hAnsi="Times New Roman" w:cs="Times New Roman"/>
        </w:rPr>
        <w:t xml:space="preserve"> did not. Parveen and colleagues’ qualitative study of British caregivers with Bangladeshi, Indian, Pakistani or European backgrounds</w:t>
      </w:r>
      <w:r w:rsidR="00AE50E1" w:rsidRPr="00E869A4">
        <w:rPr>
          <w:rFonts w:ascii="Times New Roman" w:hAnsi="Times New Roman" w:cs="Times New Roman"/>
        </w:rPr>
        <w:t>,</w:t>
      </w:r>
      <w:r w:rsidRPr="00E869A4">
        <w:rPr>
          <w:rFonts w:ascii="Times New Roman" w:hAnsi="Times New Roman" w:cs="Times New Roman"/>
        </w:rPr>
        <w:t xml:space="preserve"> revealed a different practice. All of the thirty participants from the various focus group sessions indicated that they had no choice but to become the caregiver to their older relative as there was no one else available to fulfil that role. These studies are discussed in more detail below.</w:t>
      </w:r>
    </w:p>
    <w:p w14:paraId="79FB6D45" w14:textId="77777777" w:rsidR="00E62C6C" w:rsidRPr="00E869A4" w:rsidRDefault="00E62C6C" w:rsidP="00A35FF8">
      <w:pPr>
        <w:rPr>
          <w:rFonts w:ascii="Times New Roman" w:hAnsi="Times New Roman" w:cs="Times New Roman"/>
        </w:rPr>
      </w:pPr>
    </w:p>
    <w:p w14:paraId="601CFC03" w14:textId="1019C8C0" w:rsidR="009C5D67" w:rsidRPr="00E869A4" w:rsidRDefault="00D106CD" w:rsidP="00A35FF8">
      <w:pPr>
        <w:rPr>
          <w:rFonts w:ascii="Times New Roman" w:hAnsi="Times New Roman" w:cs="Times New Roman"/>
        </w:rPr>
      </w:pPr>
      <w:r w:rsidRPr="00E869A4">
        <w:rPr>
          <w:rFonts w:ascii="Times New Roman" w:hAnsi="Times New Roman" w:cs="Times New Roman"/>
        </w:rPr>
        <w:t xml:space="preserve">Based on her findings, Merrill concluded that gender role ideology played an important role in the pathway taken to becoming a caregiver. </w:t>
      </w:r>
      <w:r w:rsidR="0010059E" w:rsidRPr="00E869A4">
        <w:rPr>
          <w:rFonts w:ascii="Times New Roman" w:hAnsi="Times New Roman" w:cs="Times New Roman"/>
        </w:rPr>
        <w:t xml:space="preserve">Assessments </w:t>
      </w:r>
      <w:r w:rsidRPr="00E869A4">
        <w:rPr>
          <w:rFonts w:ascii="Times New Roman" w:hAnsi="Times New Roman" w:cs="Times New Roman"/>
        </w:rPr>
        <w:t>of what was appropriate for one's gender greatly influenced willingness to assume caregiving roles and thus the process or pathway by which a child became a caregiver. The intersection of gender and class was also evident in her study. According to Merrill, men and women were more likely to take different pathways to caregiving in working class families</w:t>
      </w:r>
      <w:r w:rsidR="00BF493F" w:rsidRPr="00E869A4">
        <w:rPr>
          <w:rFonts w:ascii="Times New Roman" w:hAnsi="Times New Roman" w:cs="Times New Roman"/>
        </w:rPr>
        <w:t>,</w:t>
      </w:r>
      <w:r w:rsidRPr="00E869A4">
        <w:rPr>
          <w:rFonts w:ascii="Times New Roman" w:hAnsi="Times New Roman" w:cs="Times New Roman"/>
        </w:rPr>
        <w:t xml:space="preserve"> owing to the greater emphasis on sex role segregation. </w:t>
      </w:r>
      <w:r w:rsidR="009C5D67" w:rsidRPr="00E869A4">
        <w:rPr>
          <w:rFonts w:ascii="Times New Roman" w:hAnsi="Times New Roman" w:cs="Times New Roman"/>
        </w:rPr>
        <w:t>D</w:t>
      </w:r>
      <w:r w:rsidRPr="00E869A4">
        <w:rPr>
          <w:rFonts w:ascii="Times New Roman" w:hAnsi="Times New Roman" w:cs="Times New Roman"/>
        </w:rPr>
        <w:t xml:space="preserve">aughters from working class </w:t>
      </w:r>
      <w:r w:rsidRPr="00E869A4">
        <w:rPr>
          <w:rFonts w:ascii="Times New Roman" w:hAnsi="Times New Roman" w:cs="Times New Roman"/>
        </w:rPr>
        <w:lastRenderedPageBreak/>
        <w:t>backgrounds were more likely to see it as their duty as women to provide care to their elderly parents.</w:t>
      </w:r>
      <w:r w:rsidR="002A7CE0" w:rsidRPr="00E869A4">
        <w:rPr>
          <w:rFonts w:ascii="Times New Roman" w:hAnsi="Times New Roman" w:cs="Times New Roman"/>
        </w:rPr>
        <w:t xml:space="preserve"> </w:t>
      </w:r>
      <w:r w:rsidRPr="00DE6FC8">
        <w:rPr>
          <w:rFonts w:ascii="Times New Roman" w:hAnsi="Times New Roman" w:cs="Times New Roman"/>
        </w:rPr>
        <w:t>Understanding the pathways to caregiving is very important as it has implications for the quality of care provided.</w:t>
      </w:r>
      <w:r w:rsidRPr="00E869A4">
        <w:rPr>
          <w:rFonts w:ascii="Times New Roman" w:hAnsi="Times New Roman" w:cs="Times New Roman"/>
        </w:rPr>
        <w:t xml:space="preserve"> </w:t>
      </w:r>
    </w:p>
    <w:p w14:paraId="4D9020CA" w14:textId="77777777" w:rsidR="009C5D67" w:rsidRPr="00E869A4" w:rsidRDefault="009C5D67" w:rsidP="00A35FF8">
      <w:pPr>
        <w:rPr>
          <w:rFonts w:ascii="Times New Roman" w:hAnsi="Times New Roman" w:cs="Times New Roman"/>
        </w:rPr>
      </w:pPr>
    </w:p>
    <w:p w14:paraId="7C092AA9" w14:textId="52FCF6AD" w:rsidR="00D106CD" w:rsidRPr="00E869A4" w:rsidRDefault="00D106CD" w:rsidP="00A35FF8">
      <w:pPr>
        <w:rPr>
          <w:rFonts w:ascii="Times New Roman" w:hAnsi="Times New Roman" w:cs="Times New Roman"/>
        </w:rPr>
      </w:pPr>
      <w:r w:rsidRPr="00E869A4">
        <w:rPr>
          <w:rFonts w:ascii="Times New Roman" w:hAnsi="Times New Roman" w:cs="Times New Roman"/>
        </w:rPr>
        <w:t>Camden et al</w:t>
      </w:r>
      <w:r w:rsidR="00BF493F" w:rsidRPr="00E869A4">
        <w:rPr>
          <w:rFonts w:ascii="Times New Roman" w:hAnsi="Times New Roman" w:cs="Times New Roman"/>
        </w:rPr>
        <w:t>.</w:t>
      </w:r>
      <w:r w:rsidRPr="00E869A4">
        <w:rPr>
          <w:rFonts w:ascii="Times New Roman" w:hAnsi="Times New Roman" w:cs="Times New Roman"/>
        </w:rPr>
        <w:t xml:space="preserve"> (2011) also studied the reasons family caregivers gave for providing care. From their interviews of 220 consecutively referred dementia family/friend carers from UK Community Mental Health Teams, 17.1% </w:t>
      </w:r>
      <w:r w:rsidR="00BF493F" w:rsidRPr="00E869A4">
        <w:rPr>
          <w:rFonts w:ascii="Times New Roman" w:hAnsi="Times New Roman" w:cs="Times New Roman"/>
        </w:rPr>
        <w:t>of the participants reported that they became</w:t>
      </w:r>
      <w:r w:rsidRPr="00E869A4">
        <w:rPr>
          <w:rFonts w:ascii="Times New Roman" w:hAnsi="Times New Roman" w:cs="Times New Roman"/>
        </w:rPr>
        <w:t xml:space="preserve"> the main carer due to either the high quality of their relationship with the care recipient, their willingness to take on </w:t>
      </w:r>
      <w:r w:rsidR="00BF493F" w:rsidRPr="00E869A4">
        <w:rPr>
          <w:rFonts w:ascii="Times New Roman" w:hAnsi="Times New Roman" w:cs="Times New Roman"/>
        </w:rPr>
        <w:t xml:space="preserve">the caregiver role </w:t>
      </w:r>
      <w:r w:rsidRPr="00E869A4">
        <w:rPr>
          <w:rFonts w:ascii="Times New Roman" w:hAnsi="Times New Roman" w:cs="Times New Roman"/>
        </w:rPr>
        <w:t>or their suitability for the carer role</w:t>
      </w:r>
      <w:r w:rsidR="00BF493F" w:rsidRPr="00E869A4">
        <w:rPr>
          <w:rFonts w:ascii="Times New Roman" w:hAnsi="Times New Roman" w:cs="Times New Roman"/>
        </w:rPr>
        <w:t xml:space="preserve">. On the other hand, </w:t>
      </w:r>
      <w:r w:rsidRPr="00E869A4">
        <w:rPr>
          <w:rFonts w:ascii="Times New Roman" w:hAnsi="Times New Roman" w:cs="Times New Roman"/>
        </w:rPr>
        <w:t xml:space="preserve">19.8% said they were the main carer due to other potential carers’ negative relationship with the care recipient, </w:t>
      </w:r>
      <w:r w:rsidR="00BF493F" w:rsidRPr="00E869A4">
        <w:rPr>
          <w:rFonts w:ascii="Times New Roman" w:hAnsi="Times New Roman" w:cs="Times New Roman"/>
        </w:rPr>
        <w:t xml:space="preserve">or the </w:t>
      </w:r>
      <w:r w:rsidRPr="00E869A4">
        <w:rPr>
          <w:rFonts w:ascii="Times New Roman" w:hAnsi="Times New Roman" w:cs="Times New Roman"/>
        </w:rPr>
        <w:t xml:space="preserve">unwillingness or lack of suitability </w:t>
      </w:r>
      <w:r w:rsidR="00BF493F" w:rsidRPr="00E869A4">
        <w:rPr>
          <w:rFonts w:ascii="Times New Roman" w:hAnsi="Times New Roman" w:cs="Times New Roman"/>
        </w:rPr>
        <w:t xml:space="preserve">of other relatives </w:t>
      </w:r>
      <w:r w:rsidRPr="00E869A4">
        <w:rPr>
          <w:rFonts w:ascii="Times New Roman" w:hAnsi="Times New Roman" w:cs="Times New Roman"/>
        </w:rPr>
        <w:t xml:space="preserve">for the role. Those in the latter group reported higher abusive behaviour towards the care recipient when they were interviewed a year later. </w:t>
      </w:r>
    </w:p>
    <w:p w14:paraId="36CCF45C" w14:textId="77777777" w:rsidR="00AC042A" w:rsidRPr="00E869A4" w:rsidRDefault="00AC042A" w:rsidP="00A35FF8">
      <w:pPr>
        <w:rPr>
          <w:rFonts w:ascii="Times New Roman" w:hAnsi="Times New Roman" w:cs="Times New Roman"/>
        </w:rPr>
      </w:pPr>
    </w:p>
    <w:p w14:paraId="6FC70C83" w14:textId="40052314" w:rsidR="001563E1" w:rsidRPr="00E869A4" w:rsidRDefault="00D106CD">
      <w:pPr>
        <w:rPr>
          <w:rFonts w:ascii="Times New Roman" w:hAnsi="Times New Roman" w:cs="Times New Roman"/>
        </w:rPr>
      </w:pPr>
      <w:r w:rsidRPr="00E869A4">
        <w:rPr>
          <w:rFonts w:ascii="Times New Roman" w:hAnsi="Times New Roman" w:cs="Times New Roman"/>
        </w:rPr>
        <w:t xml:space="preserve">What is evident from these various approaches to conceptualising the process by which family members acquire the caregiving </w:t>
      </w:r>
      <w:r w:rsidR="00BF493F" w:rsidRPr="00E869A4">
        <w:rPr>
          <w:rFonts w:ascii="Times New Roman" w:hAnsi="Times New Roman" w:cs="Times New Roman"/>
        </w:rPr>
        <w:t>role</w:t>
      </w:r>
      <w:r w:rsidRPr="00E869A4">
        <w:rPr>
          <w:rFonts w:ascii="Times New Roman" w:hAnsi="Times New Roman" w:cs="Times New Roman"/>
        </w:rPr>
        <w:t xml:space="preserve"> is that no one framework is able to fully depict or predict </w:t>
      </w:r>
      <w:r w:rsidR="00BF493F" w:rsidRPr="00E869A4">
        <w:rPr>
          <w:rFonts w:ascii="Times New Roman" w:hAnsi="Times New Roman" w:cs="Times New Roman"/>
        </w:rPr>
        <w:t>this</w:t>
      </w:r>
      <w:r w:rsidRPr="00E869A4">
        <w:rPr>
          <w:rFonts w:ascii="Times New Roman" w:hAnsi="Times New Roman" w:cs="Times New Roman"/>
        </w:rPr>
        <w:t xml:space="preserve"> very complex process</w:t>
      </w:r>
      <w:r w:rsidR="00BF493F" w:rsidRPr="00E869A4">
        <w:rPr>
          <w:rFonts w:ascii="Times New Roman" w:hAnsi="Times New Roman" w:cs="Times New Roman"/>
        </w:rPr>
        <w:t>. Caregiver role acquisition</w:t>
      </w:r>
      <w:r w:rsidRPr="00E869A4">
        <w:rPr>
          <w:rFonts w:ascii="Times New Roman" w:hAnsi="Times New Roman" w:cs="Times New Roman"/>
        </w:rPr>
        <w:t xml:space="preserve"> varies from one family setting and cultural context to another. Furthermore, there are clear complementarities between existing theoretical approaches, so much so</w:t>
      </w:r>
      <w:r w:rsidR="00AE50E1" w:rsidRPr="00E869A4">
        <w:rPr>
          <w:rFonts w:ascii="Times New Roman" w:hAnsi="Times New Roman" w:cs="Times New Roman"/>
        </w:rPr>
        <w:t>,</w:t>
      </w:r>
      <w:r w:rsidRPr="00E869A4">
        <w:rPr>
          <w:rFonts w:ascii="Times New Roman" w:hAnsi="Times New Roman" w:cs="Times New Roman"/>
        </w:rPr>
        <w:t xml:space="preserve"> that Masuy (2011) chose to use four frameworks to inform her study on the determinants of care in Belgium</w:t>
      </w:r>
      <w:r w:rsidR="00BF493F" w:rsidRPr="00E869A4">
        <w:rPr>
          <w:rFonts w:ascii="Times New Roman" w:hAnsi="Times New Roman" w:cs="Times New Roman"/>
        </w:rPr>
        <w:t>.</w:t>
      </w:r>
      <w:r w:rsidRPr="00E869A4">
        <w:rPr>
          <w:rFonts w:ascii="Times New Roman" w:hAnsi="Times New Roman" w:cs="Times New Roman"/>
        </w:rPr>
        <w:t xml:space="preserve"> Cantor’s </w:t>
      </w:r>
      <w:r w:rsidR="00AE50E1" w:rsidRPr="00E869A4">
        <w:rPr>
          <w:rFonts w:ascii="Times New Roman" w:hAnsi="Times New Roman" w:cs="Times New Roman"/>
        </w:rPr>
        <w:t>HCT</w:t>
      </w:r>
      <w:r w:rsidRPr="00E869A4">
        <w:rPr>
          <w:rFonts w:ascii="Times New Roman" w:hAnsi="Times New Roman" w:cs="Times New Roman"/>
        </w:rPr>
        <w:t xml:space="preserve"> and Litwak’s </w:t>
      </w:r>
      <w:r w:rsidR="00F36B0E" w:rsidRPr="00E869A4">
        <w:rPr>
          <w:rFonts w:ascii="Times New Roman" w:hAnsi="Times New Roman" w:cs="Times New Roman"/>
        </w:rPr>
        <w:t xml:space="preserve">TSM </w:t>
      </w:r>
      <w:r w:rsidRPr="00E869A4">
        <w:rPr>
          <w:rFonts w:ascii="Times New Roman" w:hAnsi="Times New Roman" w:cs="Times New Roman"/>
        </w:rPr>
        <w:t xml:space="preserve">informed the design of her quantitative study. </w:t>
      </w:r>
      <w:r w:rsidR="00AD62D5" w:rsidRPr="00E869A4">
        <w:rPr>
          <w:rFonts w:ascii="Times New Roman" w:hAnsi="Times New Roman" w:cs="Times New Roman"/>
        </w:rPr>
        <w:t>However</w:t>
      </w:r>
      <w:r w:rsidR="00C25074" w:rsidRPr="00E869A4">
        <w:rPr>
          <w:rFonts w:ascii="Times New Roman" w:hAnsi="Times New Roman" w:cs="Times New Roman"/>
        </w:rPr>
        <w:t>, given the strong influence of gender and cultural factors</w:t>
      </w:r>
      <w:r w:rsidR="00BF493F" w:rsidRPr="00E869A4">
        <w:rPr>
          <w:rFonts w:ascii="Times New Roman" w:hAnsi="Times New Roman" w:cs="Times New Roman"/>
        </w:rPr>
        <w:t>,</w:t>
      </w:r>
      <w:r w:rsidR="00C25074" w:rsidRPr="00E869A4">
        <w:rPr>
          <w:rFonts w:ascii="Times New Roman" w:hAnsi="Times New Roman" w:cs="Times New Roman"/>
        </w:rPr>
        <w:t xml:space="preserve"> it is important that a framework that is conducive to understanding the nuanced nature of interactions and decision</w:t>
      </w:r>
      <w:r w:rsidR="008524FC" w:rsidRPr="00E869A4">
        <w:rPr>
          <w:rFonts w:ascii="Times New Roman" w:hAnsi="Times New Roman" w:cs="Times New Roman"/>
        </w:rPr>
        <w:t xml:space="preserve"> </w:t>
      </w:r>
      <w:r w:rsidR="00C25074" w:rsidRPr="00E869A4">
        <w:rPr>
          <w:rFonts w:ascii="Times New Roman" w:hAnsi="Times New Roman" w:cs="Times New Roman"/>
        </w:rPr>
        <w:t>making</w:t>
      </w:r>
      <w:r w:rsidR="001C4D3E" w:rsidRPr="00E869A4">
        <w:rPr>
          <w:rFonts w:ascii="Times New Roman" w:hAnsi="Times New Roman" w:cs="Times New Roman"/>
        </w:rPr>
        <w:t>,</w:t>
      </w:r>
      <w:r w:rsidR="00C25074" w:rsidRPr="00E869A4">
        <w:rPr>
          <w:rFonts w:ascii="Times New Roman" w:hAnsi="Times New Roman" w:cs="Times New Roman"/>
        </w:rPr>
        <w:t xml:space="preserve"> </w:t>
      </w:r>
      <w:r w:rsidR="001C4D3E" w:rsidRPr="00E869A4">
        <w:rPr>
          <w:rFonts w:ascii="Times New Roman" w:hAnsi="Times New Roman" w:cs="Times New Roman"/>
        </w:rPr>
        <w:t>is</w:t>
      </w:r>
      <w:r w:rsidR="00C25074" w:rsidRPr="00E869A4">
        <w:rPr>
          <w:rFonts w:ascii="Times New Roman" w:hAnsi="Times New Roman" w:cs="Times New Roman"/>
        </w:rPr>
        <w:t xml:space="preserve"> employed. </w:t>
      </w:r>
      <w:r w:rsidRPr="00E869A4">
        <w:rPr>
          <w:rFonts w:ascii="Times New Roman" w:hAnsi="Times New Roman" w:cs="Times New Roman"/>
        </w:rPr>
        <w:t>The feminist and symbolic</w:t>
      </w:r>
      <w:r w:rsidR="008524FC" w:rsidRPr="00E869A4">
        <w:rPr>
          <w:rFonts w:ascii="Times New Roman" w:hAnsi="Times New Roman" w:cs="Times New Roman"/>
        </w:rPr>
        <w:t xml:space="preserve"> </w:t>
      </w:r>
      <w:r w:rsidRPr="00E869A4">
        <w:rPr>
          <w:rFonts w:ascii="Times New Roman" w:hAnsi="Times New Roman" w:cs="Times New Roman"/>
        </w:rPr>
        <w:t xml:space="preserve">interactionist frameworks are particularly useful for highlighting these </w:t>
      </w:r>
      <w:r w:rsidR="00C25074" w:rsidRPr="00E869A4">
        <w:rPr>
          <w:rFonts w:ascii="Times New Roman" w:hAnsi="Times New Roman" w:cs="Times New Roman"/>
        </w:rPr>
        <w:t>issues,</w:t>
      </w:r>
      <w:r w:rsidRPr="00E869A4">
        <w:rPr>
          <w:rFonts w:ascii="Times New Roman" w:hAnsi="Times New Roman" w:cs="Times New Roman"/>
        </w:rPr>
        <w:t xml:space="preserve"> as the </w:t>
      </w:r>
      <w:r w:rsidR="00C25074" w:rsidRPr="00E869A4">
        <w:rPr>
          <w:rFonts w:ascii="Times New Roman" w:hAnsi="Times New Roman" w:cs="Times New Roman"/>
        </w:rPr>
        <w:t>linear</w:t>
      </w:r>
      <w:r w:rsidRPr="00E869A4">
        <w:rPr>
          <w:rFonts w:ascii="Times New Roman" w:hAnsi="Times New Roman" w:cs="Times New Roman"/>
        </w:rPr>
        <w:t xml:space="preserve"> frameworks do not adequately depict the variation that occurs in reality. Thus, given the diverse pathways to becoming a caregiver, the numerous factors that impact on this process and the complementarity of the frameworks outlined above, I have chosen to adopt an eclectic approach to theory application for this study.  </w:t>
      </w:r>
    </w:p>
    <w:p w14:paraId="201F9580" w14:textId="77777777" w:rsidR="00AC042A" w:rsidRPr="00E869A4" w:rsidRDefault="00AC042A">
      <w:pPr>
        <w:rPr>
          <w:rFonts w:ascii="Times New Roman" w:hAnsi="Times New Roman" w:cs="Times New Roman"/>
          <w:b/>
          <w:bCs/>
          <w:szCs w:val="28"/>
        </w:rPr>
      </w:pPr>
    </w:p>
    <w:p w14:paraId="29A9E963" w14:textId="77777777" w:rsidR="00B445FE" w:rsidRPr="00E869A4" w:rsidRDefault="00B445FE">
      <w:pPr>
        <w:rPr>
          <w:rFonts w:ascii="Times New Roman" w:eastAsiaTheme="majorEastAsia" w:hAnsi="Times New Roman" w:cs="Times New Roman"/>
          <w:b/>
          <w:bCs/>
          <w:szCs w:val="26"/>
          <w:u w:val="single"/>
        </w:rPr>
      </w:pPr>
      <w:bookmarkStart w:id="178" w:name="_Toc509940553"/>
      <w:bookmarkStart w:id="179" w:name="_Toc509993423"/>
      <w:r w:rsidRPr="00E869A4">
        <w:br w:type="page"/>
      </w:r>
    </w:p>
    <w:p w14:paraId="26568B9E" w14:textId="53C4381F" w:rsidR="002A7CE0" w:rsidRPr="00E869A4" w:rsidRDefault="00AB62D1" w:rsidP="00175C3E">
      <w:pPr>
        <w:pStyle w:val="Heading2"/>
      </w:pPr>
      <w:bookmarkStart w:id="180" w:name="_Toc40436490"/>
      <w:r w:rsidRPr="00E869A4">
        <w:lastRenderedPageBreak/>
        <w:t>3.3</w:t>
      </w:r>
      <w:r w:rsidR="0099522B" w:rsidRPr="00E869A4">
        <w:t xml:space="preserve"> </w:t>
      </w:r>
      <w:bookmarkEnd w:id="178"/>
      <w:bookmarkEnd w:id="179"/>
      <w:r w:rsidRPr="00E869A4">
        <w:t>CARE EXPERIENCES</w:t>
      </w:r>
      <w:bookmarkEnd w:id="180"/>
    </w:p>
    <w:p w14:paraId="61370124" w14:textId="77777777" w:rsidR="00B00A8E" w:rsidRPr="00E869A4" w:rsidRDefault="00B00A8E" w:rsidP="00A35FF8">
      <w:pPr>
        <w:rPr>
          <w:rFonts w:ascii="Times New Roman" w:hAnsi="Times New Roman" w:cs="Times New Roman"/>
        </w:rPr>
      </w:pPr>
    </w:p>
    <w:p w14:paraId="28515905" w14:textId="0DA4EA55" w:rsidR="00CE6B29" w:rsidRPr="00E869A4" w:rsidRDefault="002A7CE0" w:rsidP="008959F6">
      <w:pPr>
        <w:rPr>
          <w:rFonts w:ascii="Times New Roman" w:hAnsi="Times New Roman" w:cs="Times New Roman"/>
        </w:rPr>
      </w:pPr>
      <w:r w:rsidRPr="00E869A4">
        <w:rPr>
          <w:rFonts w:ascii="Times New Roman" w:hAnsi="Times New Roman" w:cs="Times New Roman"/>
        </w:rPr>
        <w:t>In th</w:t>
      </w:r>
      <w:r w:rsidR="00AB62D1" w:rsidRPr="00E869A4">
        <w:rPr>
          <w:rFonts w:ascii="Times New Roman" w:hAnsi="Times New Roman" w:cs="Times New Roman"/>
        </w:rPr>
        <w:t>e</w:t>
      </w:r>
      <w:r w:rsidRPr="00E869A4">
        <w:rPr>
          <w:rFonts w:ascii="Times New Roman" w:hAnsi="Times New Roman" w:cs="Times New Roman"/>
        </w:rPr>
        <w:t xml:space="preserve"> section</w:t>
      </w:r>
      <w:r w:rsidR="00AB62D1" w:rsidRPr="00E869A4">
        <w:rPr>
          <w:rFonts w:ascii="Times New Roman" w:hAnsi="Times New Roman" w:cs="Times New Roman"/>
        </w:rPr>
        <w:t xml:space="preserve"> that follows,</w:t>
      </w:r>
      <w:r w:rsidRPr="00E869A4">
        <w:rPr>
          <w:rFonts w:ascii="Times New Roman" w:hAnsi="Times New Roman" w:cs="Times New Roman"/>
        </w:rPr>
        <w:t xml:space="preserve"> I review the literature on how family caregivers and their older cared-for</w:t>
      </w:r>
      <w:r w:rsidR="003673AE" w:rsidRPr="00E869A4">
        <w:rPr>
          <w:rFonts w:ascii="Times New Roman" w:hAnsi="Times New Roman" w:cs="Times New Roman"/>
        </w:rPr>
        <w:t xml:space="preserve"> </w:t>
      </w:r>
      <w:r w:rsidRPr="00E869A4">
        <w:rPr>
          <w:rFonts w:ascii="Times New Roman" w:hAnsi="Times New Roman" w:cs="Times New Roman"/>
        </w:rPr>
        <w:t>relatives experience</w:t>
      </w:r>
      <w:r w:rsidR="00204EB7" w:rsidRPr="00E869A4">
        <w:rPr>
          <w:rFonts w:ascii="Times New Roman" w:hAnsi="Times New Roman" w:cs="Times New Roman"/>
        </w:rPr>
        <w:t xml:space="preserve"> care</w:t>
      </w:r>
      <w:r w:rsidRPr="00E869A4">
        <w:rPr>
          <w:rFonts w:ascii="Times New Roman" w:hAnsi="Times New Roman" w:cs="Times New Roman"/>
        </w:rPr>
        <w:t xml:space="preserve">. More specifically, I look at the research findings on the benefits and challenges of providing care. </w:t>
      </w:r>
      <w:r w:rsidR="00204EB7" w:rsidRPr="00E869A4">
        <w:rPr>
          <w:rFonts w:ascii="Times New Roman" w:hAnsi="Times New Roman" w:cs="Times New Roman"/>
        </w:rPr>
        <w:t xml:space="preserve">According to the previous research, care experiences </w:t>
      </w:r>
      <w:r w:rsidR="00757CD0" w:rsidRPr="00E869A4">
        <w:rPr>
          <w:rFonts w:ascii="Times New Roman" w:hAnsi="Times New Roman" w:cs="Times New Roman"/>
        </w:rPr>
        <w:t>can be categorised as</w:t>
      </w:r>
      <w:r w:rsidR="00204EB7" w:rsidRPr="00E869A4">
        <w:rPr>
          <w:rFonts w:ascii="Times New Roman" w:hAnsi="Times New Roman" w:cs="Times New Roman"/>
        </w:rPr>
        <w:t xml:space="preserve"> either negative, </w:t>
      </w:r>
      <w:r w:rsidR="00FD558C" w:rsidRPr="00E869A4">
        <w:rPr>
          <w:rFonts w:ascii="Times New Roman" w:hAnsi="Times New Roman" w:cs="Times New Roman"/>
        </w:rPr>
        <w:t xml:space="preserve">positive, </w:t>
      </w:r>
      <w:r w:rsidR="00204EB7" w:rsidRPr="00E869A4">
        <w:rPr>
          <w:rFonts w:ascii="Times New Roman" w:hAnsi="Times New Roman" w:cs="Times New Roman"/>
        </w:rPr>
        <w:t>neutral, or by ‘</w:t>
      </w:r>
      <w:r w:rsidR="00204EB7" w:rsidRPr="00E869A4">
        <w:rPr>
          <w:rFonts w:ascii="Times New Roman" w:hAnsi="Times New Roman" w:cs="Times New Roman"/>
          <w:iCs/>
        </w:rPr>
        <w:t>mixed</w:t>
      </w:r>
      <w:r w:rsidR="00204EB7" w:rsidRPr="00E869A4">
        <w:rPr>
          <w:rFonts w:ascii="Times New Roman" w:hAnsi="Times New Roman" w:cs="Times New Roman"/>
          <w:i/>
        </w:rPr>
        <w:t xml:space="preserve"> </w:t>
      </w:r>
      <w:r w:rsidR="00204EB7" w:rsidRPr="00E869A4">
        <w:rPr>
          <w:rFonts w:ascii="Times New Roman" w:hAnsi="Times New Roman" w:cs="Times New Roman"/>
          <w:iCs/>
        </w:rPr>
        <w:t>feelings’</w:t>
      </w:r>
      <w:r w:rsidR="00204EB7" w:rsidRPr="00E869A4">
        <w:rPr>
          <w:rFonts w:ascii="Times New Roman" w:hAnsi="Times New Roman" w:cs="Times New Roman"/>
        </w:rPr>
        <w:t xml:space="preserve"> or </w:t>
      </w:r>
      <w:r w:rsidR="00C25074" w:rsidRPr="00E869A4">
        <w:rPr>
          <w:rFonts w:ascii="Times New Roman" w:hAnsi="Times New Roman" w:cs="Times New Roman"/>
        </w:rPr>
        <w:t>uncertainty, which</w:t>
      </w:r>
      <w:r w:rsidR="00204EB7" w:rsidRPr="00E869A4">
        <w:rPr>
          <w:rFonts w:ascii="Times New Roman" w:hAnsi="Times New Roman" w:cs="Times New Roman"/>
        </w:rPr>
        <w:t xml:space="preserve"> is subsumed under the rubric ‘</w:t>
      </w:r>
      <w:r w:rsidR="00204EB7" w:rsidRPr="00E869A4">
        <w:rPr>
          <w:rFonts w:ascii="Times New Roman" w:hAnsi="Times New Roman" w:cs="Times New Roman"/>
          <w:iCs/>
        </w:rPr>
        <w:t>ambivalence’</w:t>
      </w:r>
      <w:r w:rsidR="00204EB7" w:rsidRPr="00E869A4">
        <w:rPr>
          <w:rFonts w:ascii="Times New Roman" w:hAnsi="Times New Roman" w:cs="Times New Roman"/>
        </w:rPr>
        <w:t xml:space="preserve">. </w:t>
      </w:r>
      <w:r w:rsidR="00042831" w:rsidRPr="00E869A4">
        <w:rPr>
          <w:rFonts w:ascii="Times New Roman" w:hAnsi="Times New Roman" w:cs="Times New Roman"/>
        </w:rPr>
        <w:t xml:space="preserve">This </w:t>
      </w:r>
      <w:r w:rsidR="00AB62D1" w:rsidRPr="00E869A4">
        <w:rPr>
          <w:rFonts w:ascii="Times New Roman" w:hAnsi="Times New Roman" w:cs="Times New Roman"/>
        </w:rPr>
        <w:t>section</w:t>
      </w:r>
      <w:r w:rsidR="00042831" w:rsidRPr="00E869A4">
        <w:rPr>
          <w:rFonts w:ascii="Times New Roman" w:hAnsi="Times New Roman" w:cs="Times New Roman"/>
        </w:rPr>
        <w:t xml:space="preserve"> is organised according to these main themes in the sociological literature. </w:t>
      </w:r>
    </w:p>
    <w:p w14:paraId="766B328F" w14:textId="77777777" w:rsidR="00B445FE" w:rsidRPr="00E869A4" w:rsidRDefault="00B445FE" w:rsidP="005C449C">
      <w:pPr>
        <w:pStyle w:val="Heading3"/>
      </w:pPr>
      <w:bookmarkStart w:id="181" w:name="_Toc509940555"/>
      <w:bookmarkStart w:id="182" w:name="_Toc509993424"/>
    </w:p>
    <w:p w14:paraId="3BDD5D68" w14:textId="6F43F114" w:rsidR="002A7CE0" w:rsidRPr="00E869A4" w:rsidRDefault="00FB6789" w:rsidP="005C449C">
      <w:pPr>
        <w:pStyle w:val="Heading3"/>
      </w:pPr>
      <w:bookmarkStart w:id="183" w:name="_Toc40436491"/>
      <w:r w:rsidRPr="00E869A4">
        <w:t>3.3</w:t>
      </w:r>
      <w:r w:rsidR="00CD4B79" w:rsidRPr="00E869A4">
        <w:t xml:space="preserve">.1 </w:t>
      </w:r>
      <w:r w:rsidR="003A7C4D" w:rsidRPr="00E869A4">
        <w:t xml:space="preserve">    </w:t>
      </w:r>
      <w:r w:rsidR="00AE4133" w:rsidRPr="00E869A4">
        <w:t xml:space="preserve">Negative Aspects </w:t>
      </w:r>
      <w:r w:rsidR="003A7C4D" w:rsidRPr="00E869A4">
        <w:t>o</w:t>
      </w:r>
      <w:r w:rsidR="00AE4133" w:rsidRPr="00E869A4">
        <w:t>f Caregiving</w:t>
      </w:r>
      <w:bookmarkEnd w:id="181"/>
      <w:bookmarkEnd w:id="182"/>
      <w:bookmarkEnd w:id="183"/>
    </w:p>
    <w:p w14:paraId="36553360" w14:textId="77777777" w:rsidR="00B00A8E" w:rsidRPr="00E869A4" w:rsidRDefault="00B00A8E" w:rsidP="00A35FF8">
      <w:pPr>
        <w:rPr>
          <w:rFonts w:ascii="Times New Roman" w:hAnsi="Times New Roman" w:cs="Times New Roman"/>
        </w:rPr>
      </w:pPr>
    </w:p>
    <w:p w14:paraId="7DA0C67C" w14:textId="2C9EB1D6" w:rsidR="003A7C4D" w:rsidRPr="00E869A4" w:rsidRDefault="002A7CE0" w:rsidP="00A35FF8">
      <w:pPr>
        <w:rPr>
          <w:rFonts w:ascii="Times New Roman" w:hAnsi="Times New Roman" w:cs="Times New Roman"/>
        </w:rPr>
      </w:pPr>
      <w:r w:rsidRPr="00E869A4">
        <w:rPr>
          <w:rFonts w:ascii="Times New Roman" w:hAnsi="Times New Roman" w:cs="Times New Roman"/>
        </w:rPr>
        <w:t>Since the 1970s, a considerable amount of research focused exclusively on the negative aspects of care (Tarlow et al</w:t>
      </w:r>
      <w:r w:rsidR="006658CB" w:rsidRPr="00E869A4">
        <w:rPr>
          <w:rFonts w:ascii="Times New Roman" w:hAnsi="Times New Roman" w:cs="Times New Roman"/>
        </w:rPr>
        <w:t xml:space="preserve">. </w:t>
      </w:r>
      <w:r w:rsidRPr="00E869A4">
        <w:rPr>
          <w:rFonts w:ascii="Times New Roman" w:hAnsi="Times New Roman" w:cs="Times New Roman"/>
        </w:rPr>
        <w:t xml:space="preserve">2004). The deterioration in the health and financial situation of the caregiver, disrupted schedule, interpersonal conflict and feelings of isolation are some of the negative </w:t>
      </w:r>
      <w:r w:rsidR="0066536D" w:rsidRPr="00E869A4">
        <w:rPr>
          <w:rFonts w:ascii="Times New Roman" w:hAnsi="Times New Roman" w:cs="Times New Roman"/>
        </w:rPr>
        <w:t>experiences of carers that were</w:t>
      </w:r>
      <w:r w:rsidRPr="00E869A4">
        <w:rPr>
          <w:rFonts w:ascii="Times New Roman" w:hAnsi="Times New Roman" w:cs="Times New Roman"/>
        </w:rPr>
        <w:t xml:space="preserve"> highlighted in the various research studies conducted on this issue (</w:t>
      </w:r>
      <w:r w:rsidR="007D6DC2" w:rsidRPr="00E869A4">
        <w:rPr>
          <w:rFonts w:ascii="Times New Roman" w:hAnsi="Times New Roman" w:cs="Times New Roman"/>
        </w:rPr>
        <w:t xml:space="preserve">Glozman 2004; Neri et al. 2012; </w:t>
      </w:r>
      <w:r w:rsidR="00D73BD3" w:rsidRPr="00E869A4">
        <w:rPr>
          <w:rFonts w:ascii="Times New Roman" w:hAnsi="Times New Roman" w:cs="Times New Roman"/>
        </w:rPr>
        <w:t xml:space="preserve">Patterson et al. 1996; </w:t>
      </w:r>
      <w:r w:rsidR="007D6DC2" w:rsidRPr="00E869A4">
        <w:rPr>
          <w:rFonts w:ascii="Times New Roman" w:hAnsi="Times New Roman" w:cs="Times New Roman"/>
        </w:rPr>
        <w:t>Rokach et al. 2016; Stenberg</w:t>
      </w:r>
      <w:r w:rsidR="00283F5C" w:rsidRPr="00E869A4">
        <w:rPr>
          <w:rFonts w:ascii="Times New Roman" w:hAnsi="Times New Roman" w:cs="Times New Roman"/>
        </w:rPr>
        <w:t xml:space="preserve"> &amp; </w:t>
      </w:r>
      <w:r w:rsidR="00904AC5" w:rsidRPr="00E869A4">
        <w:rPr>
          <w:rFonts w:ascii="Times New Roman" w:hAnsi="Times New Roman" w:cs="Times New Roman"/>
        </w:rPr>
        <w:t xml:space="preserve">Skippwith 1994; </w:t>
      </w:r>
      <w:r w:rsidR="007D6DC2" w:rsidRPr="00E869A4">
        <w:rPr>
          <w:rFonts w:ascii="Times New Roman" w:hAnsi="Times New Roman" w:cs="Times New Roman"/>
        </w:rPr>
        <w:t>Ruland &amp; Miaskowski 2010</w:t>
      </w:r>
      <w:r w:rsidRPr="00E869A4">
        <w:rPr>
          <w:rFonts w:ascii="Times New Roman" w:hAnsi="Times New Roman" w:cs="Times New Roman"/>
        </w:rPr>
        <w:t xml:space="preserve">). These studies amplified concerns about caregiver burden. </w:t>
      </w:r>
    </w:p>
    <w:p w14:paraId="1BEB705F" w14:textId="77777777" w:rsidR="003A7C4D" w:rsidRPr="00E869A4" w:rsidRDefault="003A7C4D" w:rsidP="00A35FF8">
      <w:pPr>
        <w:rPr>
          <w:rFonts w:ascii="Times New Roman" w:hAnsi="Times New Roman" w:cs="Times New Roman"/>
        </w:rPr>
      </w:pPr>
    </w:p>
    <w:p w14:paraId="3242A097" w14:textId="437FB838" w:rsidR="003A7C4D" w:rsidRPr="00E869A4" w:rsidRDefault="003A7C4D" w:rsidP="00112260">
      <w:pPr>
        <w:pStyle w:val="Heading4"/>
      </w:pPr>
      <w:r w:rsidRPr="00E869A4">
        <w:t>Caregiver Burden</w:t>
      </w:r>
    </w:p>
    <w:p w14:paraId="41177D8C" w14:textId="77777777" w:rsidR="003A7C4D" w:rsidRPr="00E869A4" w:rsidRDefault="003A7C4D" w:rsidP="00A35FF8">
      <w:pPr>
        <w:rPr>
          <w:rFonts w:ascii="Times New Roman" w:hAnsi="Times New Roman" w:cs="Times New Roman"/>
        </w:rPr>
      </w:pPr>
    </w:p>
    <w:p w14:paraId="3D3842A5" w14:textId="145DDF16"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Caregiver burden may be defined as </w:t>
      </w:r>
      <w:r w:rsidR="0066536D" w:rsidRPr="00E869A4">
        <w:rPr>
          <w:rFonts w:ascii="Times New Roman" w:hAnsi="Times New Roman" w:cs="Times New Roman"/>
        </w:rPr>
        <w:t>“</w:t>
      </w:r>
      <w:r w:rsidRPr="00E869A4">
        <w:rPr>
          <w:rFonts w:ascii="Times New Roman" w:hAnsi="Times New Roman" w:cs="Times New Roman"/>
        </w:rPr>
        <w:t>the consequences of the activities involved with providing necessary direct care to an ill relative or friend that result</w:t>
      </w:r>
      <w:r w:rsidR="006658CB" w:rsidRPr="00E869A4">
        <w:rPr>
          <w:rFonts w:ascii="Times New Roman" w:hAnsi="Times New Roman" w:cs="Times New Roman"/>
        </w:rPr>
        <w:t xml:space="preserve"> </w:t>
      </w:r>
      <w:r w:rsidRPr="00E869A4">
        <w:rPr>
          <w:rFonts w:ascii="Times New Roman" w:hAnsi="Times New Roman" w:cs="Times New Roman"/>
        </w:rPr>
        <w:t>in observable and perceived costs to the caregiver</w:t>
      </w:r>
      <w:r w:rsidR="004B0685" w:rsidRPr="00E869A4">
        <w:rPr>
          <w:rFonts w:ascii="Times New Roman" w:hAnsi="Times New Roman" w:cs="Times New Roman"/>
        </w:rPr>
        <w:t>.</w:t>
      </w:r>
      <w:r w:rsidR="0066536D" w:rsidRPr="00E869A4">
        <w:rPr>
          <w:rFonts w:ascii="Times New Roman" w:hAnsi="Times New Roman" w:cs="Times New Roman"/>
        </w:rPr>
        <w:t>”</w:t>
      </w:r>
      <w:r w:rsidR="00781104" w:rsidRPr="00E869A4">
        <w:rPr>
          <w:rFonts w:ascii="Times New Roman" w:hAnsi="Times New Roman" w:cs="Times New Roman"/>
        </w:rPr>
        <w:t xml:space="preserve"> (Hunt</w:t>
      </w:r>
      <w:r w:rsidRPr="00E869A4">
        <w:rPr>
          <w:rFonts w:ascii="Times New Roman" w:hAnsi="Times New Roman" w:cs="Times New Roman"/>
        </w:rPr>
        <w:t xml:space="preserve"> 2003</w:t>
      </w:r>
      <w:r w:rsidR="00781104" w:rsidRPr="00E869A4">
        <w:rPr>
          <w:rFonts w:ascii="Times New Roman" w:hAnsi="Times New Roman" w:cs="Times New Roman"/>
        </w:rPr>
        <w:t>, p.</w:t>
      </w:r>
      <w:r w:rsidRPr="00E869A4">
        <w:rPr>
          <w:rFonts w:ascii="Times New Roman" w:hAnsi="Times New Roman" w:cs="Times New Roman"/>
        </w:rPr>
        <w:t xml:space="preserve"> 28). It is a multidimensional, heterogeneous concept that reflects the physical, psycho-emotional, social and financial consequences of caring for an impaired family member (Truzzi et al</w:t>
      </w:r>
      <w:r w:rsidR="00781104" w:rsidRPr="00E869A4">
        <w:rPr>
          <w:rFonts w:ascii="Times New Roman" w:hAnsi="Times New Roman" w:cs="Times New Roman"/>
        </w:rPr>
        <w:t>.</w:t>
      </w:r>
      <w:r w:rsidRPr="00E869A4">
        <w:rPr>
          <w:rFonts w:ascii="Times New Roman" w:hAnsi="Times New Roman" w:cs="Times New Roman"/>
        </w:rPr>
        <w:t xml:space="preserve"> 2012)</w:t>
      </w:r>
      <w:r w:rsidR="004B0685" w:rsidRPr="00E869A4">
        <w:rPr>
          <w:rFonts w:ascii="Times New Roman" w:hAnsi="Times New Roman" w:cs="Times New Roman"/>
        </w:rPr>
        <w:t>.</w:t>
      </w:r>
      <w:r w:rsidRPr="00E869A4">
        <w:rPr>
          <w:rFonts w:ascii="Times New Roman" w:hAnsi="Times New Roman" w:cs="Times New Roman"/>
        </w:rPr>
        <w:t xml:space="preserve"> </w:t>
      </w:r>
    </w:p>
    <w:p w14:paraId="3261852A" w14:textId="77777777" w:rsidR="00D04DCD" w:rsidRPr="00E869A4" w:rsidRDefault="00D04DCD" w:rsidP="00A35FF8">
      <w:pPr>
        <w:rPr>
          <w:rFonts w:ascii="Times New Roman" w:hAnsi="Times New Roman" w:cs="Times New Roman"/>
        </w:rPr>
      </w:pPr>
    </w:p>
    <w:p w14:paraId="623E7233" w14:textId="248A5F73"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Burden is usually subdivided </w:t>
      </w:r>
      <w:r w:rsidR="00621721" w:rsidRPr="00E869A4">
        <w:rPr>
          <w:rFonts w:ascii="Times New Roman" w:hAnsi="Times New Roman" w:cs="Times New Roman"/>
        </w:rPr>
        <w:t>as</w:t>
      </w:r>
      <w:r w:rsidRPr="00E869A4">
        <w:rPr>
          <w:rFonts w:ascii="Times New Roman" w:hAnsi="Times New Roman" w:cs="Times New Roman"/>
        </w:rPr>
        <w:t xml:space="preserve"> </w:t>
      </w:r>
      <w:r w:rsidR="008959F6" w:rsidRPr="00E869A4">
        <w:rPr>
          <w:rFonts w:ascii="Times New Roman" w:hAnsi="Times New Roman" w:cs="Times New Roman"/>
        </w:rPr>
        <w:t>being either subjective or objective</w:t>
      </w:r>
      <w:r w:rsidRPr="00E869A4">
        <w:rPr>
          <w:rFonts w:ascii="Times New Roman" w:hAnsi="Times New Roman" w:cs="Times New Roman"/>
        </w:rPr>
        <w:t xml:space="preserve">. Subjective burden is based on </w:t>
      </w:r>
      <w:r w:rsidR="006F7C19" w:rsidRPr="00E869A4">
        <w:rPr>
          <w:rFonts w:ascii="Times New Roman" w:hAnsi="Times New Roman" w:cs="Times New Roman"/>
        </w:rPr>
        <w:t>the emotional</w:t>
      </w:r>
      <w:r w:rsidRPr="00E869A4">
        <w:rPr>
          <w:rFonts w:ascii="Times New Roman" w:hAnsi="Times New Roman" w:cs="Times New Roman"/>
        </w:rPr>
        <w:t xml:space="preserve"> responses to caregiving and personal appraisals of the stress or strain </w:t>
      </w:r>
      <w:r w:rsidR="00CB5BDF" w:rsidRPr="00E869A4">
        <w:rPr>
          <w:rFonts w:ascii="Times New Roman" w:hAnsi="Times New Roman" w:cs="Times New Roman"/>
        </w:rPr>
        <w:t>that caregivers</w:t>
      </w:r>
      <w:r w:rsidRPr="00E869A4">
        <w:rPr>
          <w:rFonts w:ascii="Times New Roman" w:hAnsi="Times New Roman" w:cs="Times New Roman"/>
        </w:rPr>
        <w:t xml:space="preserve"> experience. Objective burden is based on the observable</w:t>
      </w:r>
      <w:r w:rsidR="00CB5BDF" w:rsidRPr="00E869A4">
        <w:rPr>
          <w:rFonts w:ascii="Times New Roman" w:hAnsi="Times New Roman" w:cs="Times New Roman"/>
        </w:rPr>
        <w:t xml:space="preserve"> and</w:t>
      </w:r>
      <w:r w:rsidRPr="00E869A4">
        <w:rPr>
          <w:rFonts w:ascii="Times New Roman" w:hAnsi="Times New Roman" w:cs="Times New Roman"/>
        </w:rPr>
        <w:t xml:space="preserve"> tangible costs to the caregiver</w:t>
      </w:r>
      <w:r w:rsidR="0066536D" w:rsidRPr="00E869A4">
        <w:rPr>
          <w:rFonts w:ascii="Times New Roman" w:hAnsi="Times New Roman" w:cs="Times New Roman"/>
        </w:rPr>
        <w:t>,</w:t>
      </w:r>
      <w:r w:rsidRPr="00E869A4">
        <w:rPr>
          <w:rFonts w:ascii="Times New Roman" w:hAnsi="Times New Roman" w:cs="Times New Roman"/>
        </w:rPr>
        <w:t xml:space="preserve"> in particular the time spent in care, which is usually measured by the tasks that the caregiver is required to perform (Hunt</w:t>
      </w:r>
      <w:r w:rsidR="008E0083" w:rsidRPr="00E869A4">
        <w:rPr>
          <w:rFonts w:ascii="Times New Roman" w:hAnsi="Times New Roman" w:cs="Times New Roman"/>
        </w:rPr>
        <w:t xml:space="preserve"> </w:t>
      </w:r>
      <w:r w:rsidRPr="00E869A4">
        <w:rPr>
          <w:rFonts w:ascii="Times New Roman" w:hAnsi="Times New Roman" w:cs="Times New Roman"/>
        </w:rPr>
        <w:t>2003; Jones</w:t>
      </w:r>
      <w:r w:rsidR="008E0083" w:rsidRPr="00E869A4">
        <w:rPr>
          <w:rFonts w:ascii="Times New Roman" w:hAnsi="Times New Roman" w:cs="Times New Roman"/>
        </w:rPr>
        <w:t xml:space="preserve"> </w:t>
      </w:r>
      <w:r w:rsidRPr="00E869A4">
        <w:rPr>
          <w:rFonts w:ascii="Times New Roman" w:hAnsi="Times New Roman" w:cs="Times New Roman"/>
        </w:rPr>
        <w:t>1996</w:t>
      </w:r>
      <w:r w:rsidR="008E0083" w:rsidRPr="00E869A4">
        <w:rPr>
          <w:rFonts w:ascii="Times New Roman" w:hAnsi="Times New Roman" w:cs="Times New Roman"/>
        </w:rPr>
        <w:t>; Truzzi et al. 2012</w:t>
      </w:r>
      <w:r w:rsidRPr="00E869A4">
        <w:rPr>
          <w:rFonts w:ascii="Times New Roman" w:hAnsi="Times New Roman" w:cs="Times New Roman"/>
        </w:rPr>
        <w:t xml:space="preserve">). Burden may develop because of unmet </w:t>
      </w:r>
      <w:r w:rsidR="00C25074" w:rsidRPr="00E869A4">
        <w:rPr>
          <w:rFonts w:ascii="Times New Roman" w:hAnsi="Times New Roman" w:cs="Times New Roman"/>
        </w:rPr>
        <w:t>needs, which</w:t>
      </w:r>
      <w:r w:rsidRPr="00E869A4">
        <w:rPr>
          <w:rFonts w:ascii="Times New Roman" w:hAnsi="Times New Roman" w:cs="Times New Roman"/>
        </w:rPr>
        <w:t xml:space="preserve"> may fall into one or more of the following categories: 1) finances; 2) housing; 3) health support issues such as </w:t>
      </w:r>
      <w:r w:rsidRPr="00E869A4">
        <w:rPr>
          <w:rFonts w:ascii="Times New Roman" w:hAnsi="Times New Roman" w:cs="Times New Roman"/>
        </w:rPr>
        <w:lastRenderedPageBreak/>
        <w:t>access to quality, affordable health care, health information and insurance; 4) transportation; 5) help with daily chores; 6) emotional support; and</w:t>
      </w:r>
      <w:r w:rsidR="0019271E" w:rsidRPr="00E869A4">
        <w:rPr>
          <w:rFonts w:ascii="Times New Roman" w:hAnsi="Times New Roman" w:cs="Times New Roman"/>
        </w:rPr>
        <w:t>,</w:t>
      </w:r>
      <w:r w:rsidRPr="00E869A4">
        <w:rPr>
          <w:rFonts w:ascii="Times New Roman" w:hAnsi="Times New Roman" w:cs="Times New Roman"/>
        </w:rPr>
        <w:t xml:space="preserve"> 7) family problems. These in turn are affected by a wide variety of related factors including the social policies available in a particular country (Rogero-García </w:t>
      </w:r>
      <w:r w:rsidR="002F56E2" w:rsidRPr="00E869A4">
        <w:rPr>
          <w:rFonts w:ascii="Times New Roman" w:hAnsi="Times New Roman" w:cs="Times New Roman"/>
        </w:rPr>
        <w:t>&amp;</w:t>
      </w:r>
      <w:r w:rsidRPr="00E869A4">
        <w:rPr>
          <w:rFonts w:ascii="Times New Roman" w:hAnsi="Times New Roman" w:cs="Times New Roman"/>
        </w:rPr>
        <w:t xml:space="preserve"> Ahmed-Mohamed 2014). </w:t>
      </w:r>
    </w:p>
    <w:p w14:paraId="10AFF57B" w14:textId="77777777" w:rsidR="00D04DCD" w:rsidRPr="00E869A4" w:rsidRDefault="00D04DCD" w:rsidP="00A35FF8">
      <w:pPr>
        <w:rPr>
          <w:rFonts w:ascii="Times New Roman" w:hAnsi="Times New Roman" w:cs="Times New Roman"/>
        </w:rPr>
      </w:pPr>
    </w:p>
    <w:p w14:paraId="49693930" w14:textId="3D506223" w:rsidR="002A7CE0" w:rsidRPr="00E869A4" w:rsidRDefault="002A7CE0" w:rsidP="00A35FF8">
      <w:pPr>
        <w:rPr>
          <w:rFonts w:ascii="Times New Roman" w:hAnsi="Times New Roman" w:cs="Times New Roman"/>
        </w:rPr>
      </w:pPr>
      <w:r w:rsidRPr="00E869A4">
        <w:rPr>
          <w:rFonts w:ascii="Times New Roman" w:hAnsi="Times New Roman" w:cs="Times New Roman"/>
        </w:rPr>
        <w:t>A related concept to caregiver burden is ‘burnout’, which is also referred to as ‘compassion fatigue’. Caregiver burnout has been described as a syndrome of physical, mental, and emotional exhaustion resulting from a situation in which an individual provides disproportionally high efforts of time, emotional, physical and financial support to people</w:t>
      </w:r>
      <w:r w:rsidR="0066536D" w:rsidRPr="00E869A4">
        <w:rPr>
          <w:rFonts w:ascii="Times New Roman" w:hAnsi="Times New Roman" w:cs="Times New Roman"/>
        </w:rPr>
        <w:t>,</w:t>
      </w:r>
      <w:r w:rsidRPr="00E869A4">
        <w:rPr>
          <w:rFonts w:ascii="Times New Roman" w:hAnsi="Times New Roman" w:cs="Times New Roman"/>
        </w:rPr>
        <w:t xml:space="preserve"> over a long period of time but </w:t>
      </w:r>
      <w:r w:rsidR="0066536D" w:rsidRPr="00E869A4">
        <w:rPr>
          <w:rFonts w:ascii="Times New Roman" w:hAnsi="Times New Roman" w:cs="Times New Roman"/>
        </w:rPr>
        <w:t>with</w:t>
      </w:r>
      <w:r w:rsidRPr="00E869A4">
        <w:rPr>
          <w:rFonts w:ascii="Times New Roman" w:hAnsi="Times New Roman" w:cs="Times New Roman"/>
        </w:rPr>
        <w:t xml:space="preserve"> little positive return or gratification from the experience. Truzzi and colleagues (2012) identified three dimensions of burnout: emotional exhaustion, depersonali</w:t>
      </w:r>
      <w:r w:rsidR="009C1F9A" w:rsidRPr="00E869A4">
        <w:rPr>
          <w:rFonts w:ascii="Times New Roman" w:hAnsi="Times New Roman" w:cs="Times New Roman"/>
        </w:rPr>
        <w:t>s</w:t>
      </w:r>
      <w:r w:rsidRPr="00E869A4">
        <w:rPr>
          <w:rFonts w:ascii="Times New Roman" w:hAnsi="Times New Roman" w:cs="Times New Roman"/>
        </w:rPr>
        <w:t>ation, or cynicism and reduced personal accomplishment. An individual suffering caregiver burnout may experience limited engagement in social life, poor health, and may switch from being positive and caring, to being unconcerned and having a negative outlook about providing care. In extreme cases, they may disassociate from caregiving altogether or resort to elder maltreatment or abuse (</w:t>
      </w:r>
      <w:r w:rsidR="00DD18FE" w:rsidRPr="00E869A4">
        <w:rPr>
          <w:rFonts w:ascii="Times New Roman" w:hAnsi="Times New Roman" w:cs="Times New Roman"/>
        </w:rPr>
        <w:t>Lilly et al. 2012; Truzzi et al. 2012</w:t>
      </w:r>
      <w:r w:rsidRPr="00E869A4">
        <w:rPr>
          <w:rFonts w:ascii="Times New Roman" w:hAnsi="Times New Roman" w:cs="Times New Roman"/>
        </w:rPr>
        <w:t xml:space="preserve">). </w:t>
      </w:r>
    </w:p>
    <w:p w14:paraId="64C3C78B" w14:textId="7075F766" w:rsidR="00D04DCD" w:rsidRPr="00E869A4" w:rsidRDefault="00D04DCD" w:rsidP="00A35FF8">
      <w:pPr>
        <w:rPr>
          <w:rFonts w:ascii="Times New Roman" w:hAnsi="Times New Roman" w:cs="Times New Roman"/>
        </w:rPr>
      </w:pPr>
    </w:p>
    <w:p w14:paraId="45CB08EC" w14:textId="54AD2F8C" w:rsidR="002A7CE0" w:rsidRPr="00E869A4" w:rsidRDefault="002A7CE0" w:rsidP="00A35FF8">
      <w:pPr>
        <w:rPr>
          <w:rFonts w:ascii="Times New Roman" w:hAnsi="Times New Roman" w:cs="Times New Roman"/>
        </w:rPr>
      </w:pPr>
      <w:r w:rsidRPr="00E869A4">
        <w:rPr>
          <w:rFonts w:ascii="Times New Roman" w:hAnsi="Times New Roman" w:cs="Times New Roman"/>
        </w:rPr>
        <w:t>Research on caregiver burden and burnout revealed that not everyone is at similar risk of having negative caregiving experiences. Several sources of caregiver stress and burnout have been identified</w:t>
      </w:r>
      <w:r w:rsidR="00B23736" w:rsidRPr="00E869A4">
        <w:rPr>
          <w:rFonts w:ascii="Times New Roman" w:hAnsi="Times New Roman" w:cs="Times New Roman"/>
        </w:rPr>
        <w:t>,</w:t>
      </w:r>
      <w:r w:rsidRPr="00E869A4">
        <w:rPr>
          <w:rFonts w:ascii="Times New Roman" w:hAnsi="Times New Roman" w:cs="Times New Roman"/>
        </w:rPr>
        <w:t xml:space="preserve"> including personal limitations imposed by caregiving (restriction of social life, infringements on privacy), competing role demands on the caregiver (work conflicts, conflicts with familial obligations), the older person's emotional and physical demands (disruptive behaviour, physical work involved in caregiving), the caregiving situation (specifically co-residence), lack of social supports, and the nature of the relationship between the </w:t>
      </w:r>
      <w:r w:rsidR="009E2738" w:rsidRPr="00E869A4">
        <w:rPr>
          <w:rFonts w:ascii="Times New Roman" w:hAnsi="Times New Roman" w:cs="Times New Roman"/>
        </w:rPr>
        <w:t>care recipient</w:t>
      </w:r>
      <w:r w:rsidRPr="00E869A4">
        <w:rPr>
          <w:rFonts w:ascii="Times New Roman" w:hAnsi="Times New Roman" w:cs="Times New Roman"/>
        </w:rPr>
        <w:t xml:space="preserve"> and the caregiver both before and after the commencement of family elder care (Daatland </w:t>
      </w:r>
      <w:r w:rsidR="00DD18FE" w:rsidRPr="00E869A4">
        <w:rPr>
          <w:rFonts w:ascii="Times New Roman" w:hAnsi="Times New Roman" w:cs="Times New Roman"/>
        </w:rPr>
        <w:t>&amp; Herlofson</w:t>
      </w:r>
      <w:r w:rsidRPr="00E869A4">
        <w:rPr>
          <w:rFonts w:ascii="Times New Roman" w:hAnsi="Times New Roman" w:cs="Times New Roman"/>
        </w:rPr>
        <w:t xml:space="preserve"> 2001). </w:t>
      </w:r>
    </w:p>
    <w:p w14:paraId="19220F04" w14:textId="77777777" w:rsidR="00D04DCD" w:rsidRPr="00E869A4" w:rsidRDefault="00D04DCD" w:rsidP="00A35FF8">
      <w:pPr>
        <w:rPr>
          <w:rFonts w:ascii="Times New Roman" w:hAnsi="Times New Roman" w:cs="Times New Roman"/>
        </w:rPr>
      </w:pPr>
    </w:p>
    <w:p w14:paraId="5C59EEFC" w14:textId="2B1886D5" w:rsidR="00C334A3" w:rsidRPr="00E869A4" w:rsidRDefault="002A7CE0">
      <w:pPr>
        <w:rPr>
          <w:rFonts w:ascii="Times New Roman" w:hAnsi="Times New Roman" w:cs="Times New Roman"/>
        </w:rPr>
      </w:pPr>
      <w:r w:rsidRPr="00E869A4">
        <w:rPr>
          <w:rFonts w:ascii="Times New Roman" w:hAnsi="Times New Roman" w:cs="Times New Roman"/>
        </w:rPr>
        <w:t>Caregivers who are most susceptible to these negative aspects of care are usually women, older caregivers who are in poorer health, those who co-reside with their older relative, carers that provide care to highly dependent relatives</w:t>
      </w:r>
      <w:r w:rsidR="00DD18FE" w:rsidRPr="00E869A4">
        <w:rPr>
          <w:rFonts w:ascii="Times New Roman" w:hAnsi="Times New Roman" w:cs="Times New Roman"/>
        </w:rPr>
        <w:t>,</w:t>
      </w:r>
      <w:r w:rsidRPr="00E869A4">
        <w:rPr>
          <w:rFonts w:ascii="Times New Roman" w:hAnsi="Times New Roman" w:cs="Times New Roman"/>
        </w:rPr>
        <w:t xml:space="preserve"> in particular</w:t>
      </w:r>
      <w:r w:rsidR="00DD18FE" w:rsidRPr="00E869A4">
        <w:rPr>
          <w:rFonts w:ascii="Times New Roman" w:hAnsi="Times New Roman" w:cs="Times New Roman"/>
        </w:rPr>
        <w:t>,</w:t>
      </w:r>
      <w:r w:rsidRPr="00E869A4">
        <w:rPr>
          <w:rFonts w:ascii="Times New Roman" w:hAnsi="Times New Roman" w:cs="Times New Roman"/>
        </w:rPr>
        <w:t xml:space="preserve"> those who provide hands-on personal care</w:t>
      </w:r>
      <w:r w:rsidR="0066536D" w:rsidRPr="00E869A4">
        <w:rPr>
          <w:rFonts w:ascii="Times New Roman" w:hAnsi="Times New Roman" w:cs="Times New Roman"/>
        </w:rPr>
        <w:t>,</w:t>
      </w:r>
      <w:r w:rsidRPr="00E869A4">
        <w:rPr>
          <w:rFonts w:ascii="Times New Roman" w:hAnsi="Times New Roman" w:cs="Times New Roman"/>
        </w:rPr>
        <w:t xml:space="preserve"> and those who care for older persons who display disrup</w:t>
      </w:r>
      <w:r w:rsidR="00DD18FE" w:rsidRPr="00E869A4">
        <w:rPr>
          <w:rFonts w:ascii="Times New Roman" w:hAnsi="Times New Roman" w:cs="Times New Roman"/>
        </w:rPr>
        <w:t xml:space="preserve">tive or problematic behaviours </w:t>
      </w:r>
      <w:r w:rsidRPr="00E869A4">
        <w:rPr>
          <w:rFonts w:ascii="Times New Roman" w:hAnsi="Times New Roman" w:cs="Times New Roman"/>
        </w:rPr>
        <w:t>(</w:t>
      </w:r>
      <w:r w:rsidR="00934743" w:rsidRPr="00E869A4">
        <w:rPr>
          <w:rFonts w:ascii="Times New Roman" w:hAnsi="Times New Roman" w:cs="Times New Roman"/>
        </w:rPr>
        <w:t>Lin, Fee &amp; Wu</w:t>
      </w:r>
      <w:r w:rsidR="00DD18FE" w:rsidRPr="00E869A4">
        <w:rPr>
          <w:rFonts w:ascii="Times New Roman" w:hAnsi="Times New Roman" w:cs="Times New Roman"/>
        </w:rPr>
        <w:t xml:space="preserve"> </w:t>
      </w:r>
      <w:r w:rsidRPr="00E869A4">
        <w:rPr>
          <w:rFonts w:ascii="Times New Roman" w:hAnsi="Times New Roman" w:cs="Times New Roman"/>
        </w:rPr>
        <w:t xml:space="preserve">2012; Merrill 1997). Research findings also indicated that family carers who received very little support from family, friends and service agencies are more likely to describe the caregiving experience as being fraught with physical, </w:t>
      </w:r>
      <w:r w:rsidRPr="00E869A4">
        <w:rPr>
          <w:rFonts w:ascii="Times New Roman" w:hAnsi="Times New Roman" w:cs="Times New Roman"/>
        </w:rPr>
        <w:lastRenderedPageBreak/>
        <w:t>emotional, relational and financial hardship than non-caregivers (Kolmer et al</w:t>
      </w:r>
      <w:r w:rsidR="00A06BEB" w:rsidRPr="00E869A4">
        <w:rPr>
          <w:rFonts w:ascii="Times New Roman" w:hAnsi="Times New Roman" w:cs="Times New Roman"/>
        </w:rPr>
        <w:t>.</w:t>
      </w:r>
      <w:r w:rsidRPr="00E869A4">
        <w:rPr>
          <w:rFonts w:ascii="Times New Roman" w:hAnsi="Times New Roman" w:cs="Times New Roman"/>
        </w:rPr>
        <w:t xml:space="preserve"> 2008; </w:t>
      </w:r>
      <w:r w:rsidR="00A06BEB" w:rsidRPr="00E869A4">
        <w:rPr>
          <w:rFonts w:ascii="Times New Roman" w:hAnsi="Times New Roman" w:cs="Times New Roman"/>
        </w:rPr>
        <w:t>Kuuppelomaki et a</w:t>
      </w:r>
      <w:r w:rsidR="00F8555B" w:rsidRPr="00E869A4">
        <w:rPr>
          <w:rFonts w:ascii="Times New Roman" w:hAnsi="Times New Roman" w:cs="Times New Roman"/>
        </w:rPr>
        <w:t>l</w:t>
      </w:r>
      <w:r w:rsidR="00A06BEB" w:rsidRPr="00E869A4">
        <w:rPr>
          <w:rFonts w:ascii="Times New Roman" w:hAnsi="Times New Roman" w:cs="Times New Roman"/>
        </w:rPr>
        <w:t xml:space="preserve">. 2004; </w:t>
      </w:r>
      <w:r w:rsidRPr="00E869A4">
        <w:rPr>
          <w:rFonts w:ascii="Times New Roman" w:hAnsi="Times New Roman" w:cs="Times New Roman"/>
        </w:rPr>
        <w:t>Schulz &amp; Sherwood</w:t>
      </w:r>
      <w:r w:rsidR="00A06BEB" w:rsidRPr="00E869A4">
        <w:rPr>
          <w:rFonts w:ascii="Times New Roman" w:hAnsi="Times New Roman" w:cs="Times New Roman"/>
        </w:rPr>
        <w:t xml:space="preserve"> 2008</w:t>
      </w:r>
      <w:r w:rsidRPr="00E869A4">
        <w:rPr>
          <w:rFonts w:ascii="Times New Roman" w:hAnsi="Times New Roman" w:cs="Times New Roman"/>
        </w:rPr>
        <w:t xml:space="preserve">). However, several of these factors have been called into question as new research emerged that showed exceptions to some of these earlier trends. Some of these exceptions are highlighted in the discussion that follows. </w:t>
      </w:r>
      <w:bookmarkStart w:id="184" w:name="_Toc509940556"/>
      <w:bookmarkStart w:id="185" w:name="_Toc509993425"/>
    </w:p>
    <w:p w14:paraId="66F95F23" w14:textId="77777777" w:rsidR="00B445FE" w:rsidRPr="00E869A4" w:rsidRDefault="00B445FE">
      <w:pPr>
        <w:rPr>
          <w:b/>
          <w:i/>
          <w:u w:val="single"/>
        </w:rPr>
      </w:pPr>
    </w:p>
    <w:p w14:paraId="0DCA74AA" w14:textId="7DFFE0A4" w:rsidR="002A7CE0" w:rsidRPr="00E869A4" w:rsidRDefault="009E2738" w:rsidP="00112260">
      <w:pPr>
        <w:pStyle w:val="Heading4"/>
      </w:pPr>
      <w:r w:rsidRPr="00E869A4">
        <w:t>Care recipient</w:t>
      </w:r>
      <w:r w:rsidR="002A7CE0" w:rsidRPr="00E869A4">
        <w:t xml:space="preserve"> Stress &amp; Dissatisfaction</w:t>
      </w:r>
      <w:bookmarkEnd w:id="184"/>
      <w:bookmarkEnd w:id="185"/>
      <w:r w:rsidR="002A7CE0" w:rsidRPr="00E869A4">
        <w:t xml:space="preserve"> </w:t>
      </w:r>
    </w:p>
    <w:p w14:paraId="2AEA4E3D" w14:textId="77777777" w:rsidR="00D04DCD" w:rsidRPr="00E869A4" w:rsidRDefault="00D04DCD" w:rsidP="0051234F">
      <w:pPr>
        <w:pStyle w:val="112"/>
        <w:rPr>
          <w:color w:val="auto"/>
        </w:rPr>
      </w:pPr>
    </w:p>
    <w:p w14:paraId="19DED3A0" w14:textId="3FBDB3FB" w:rsidR="00A676C5" w:rsidRPr="00E869A4" w:rsidRDefault="002D278A" w:rsidP="00A676C5">
      <w:pPr>
        <w:rPr>
          <w:rFonts w:ascii="Times New Roman" w:hAnsi="Times New Roman" w:cs="Times New Roman"/>
        </w:rPr>
      </w:pPr>
      <w:r w:rsidRPr="00E869A4">
        <w:rPr>
          <w:rFonts w:ascii="Times New Roman" w:hAnsi="Times New Roman" w:cs="Times New Roman"/>
          <w:lang w:val="en-TT"/>
        </w:rPr>
        <w:t>Al</w:t>
      </w:r>
      <w:r w:rsidR="007B1E80" w:rsidRPr="00E869A4">
        <w:rPr>
          <w:rFonts w:ascii="Times New Roman" w:hAnsi="Times New Roman" w:cs="Times New Roman"/>
        </w:rPr>
        <w:t>though</w:t>
      </w:r>
      <w:r w:rsidR="002A7CE0" w:rsidRPr="00E869A4">
        <w:rPr>
          <w:rFonts w:ascii="Times New Roman" w:hAnsi="Times New Roman" w:cs="Times New Roman"/>
        </w:rPr>
        <w:t xml:space="preserve"> not as widely studied as caregiver strain, </w:t>
      </w:r>
      <w:r w:rsidR="009E2738" w:rsidRPr="00E869A4">
        <w:rPr>
          <w:rFonts w:ascii="Times New Roman" w:hAnsi="Times New Roman" w:cs="Times New Roman"/>
        </w:rPr>
        <w:t>care recipient</w:t>
      </w:r>
      <w:r w:rsidR="002A7CE0" w:rsidRPr="00E869A4">
        <w:rPr>
          <w:rFonts w:ascii="Times New Roman" w:hAnsi="Times New Roman" w:cs="Times New Roman"/>
        </w:rPr>
        <w:t xml:space="preserve"> stress and dissatisfaction with care arrangements is another aspect of the care experience that deserves attention given its implications for all parties involved in the care exchange. Generally, older persons are concerned with maintaining independence and control in their</w:t>
      </w:r>
      <w:r w:rsidR="00F03279" w:rsidRPr="00E869A4">
        <w:rPr>
          <w:rFonts w:ascii="Times New Roman" w:hAnsi="Times New Roman" w:cs="Times New Roman"/>
        </w:rPr>
        <w:t xml:space="preserve"> later years (Dunér &amp; Nordström</w:t>
      </w:r>
      <w:r w:rsidR="002A7CE0" w:rsidRPr="00E869A4">
        <w:rPr>
          <w:rFonts w:ascii="Times New Roman" w:hAnsi="Times New Roman" w:cs="Times New Roman"/>
        </w:rPr>
        <w:t xml:space="preserve"> 2005). This is especially the case in Western cultures where independence is highly prized. In non-Western cultures that have a strong collectivist orientation, interdependence among certain family members throughout the life span is encouraged (</w:t>
      </w:r>
      <w:r w:rsidR="00F03279" w:rsidRPr="00E869A4">
        <w:rPr>
          <w:rFonts w:ascii="Times New Roman" w:hAnsi="Times New Roman" w:cs="Times New Roman"/>
        </w:rPr>
        <w:t xml:space="preserve">Liu &amp; Kendig 2000; </w:t>
      </w:r>
      <w:r w:rsidR="001D32E9" w:rsidRPr="00E869A4">
        <w:rPr>
          <w:rFonts w:ascii="Times New Roman" w:hAnsi="Times New Roman" w:cs="Times New Roman"/>
        </w:rPr>
        <w:t xml:space="preserve">Lu 2015; </w:t>
      </w:r>
      <w:r w:rsidR="002A7CE0" w:rsidRPr="00E869A4">
        <w:rPr>
          <w:rFonts w:ascii="Times New Roman" w:hAnsi="Times New Roman" w:cs="Times New Roman"/>
        </w:rPr>
        <w:t xml:space="preserve">Pinquart </w:t>
      </w:r>
      <w:r w:rsidR="00F03279" w:rsidRPr="00E869A4">
        <w:rPr>
          <w:rFonts w:ascii="Times New Roman" w:hAnsi="Times New Roman" w:cs="Times New Roman"/>
        </w:rPr>
        <w:t>&amp;</w:t>
      </w:r>
      <w:r w:rsidR="002A7CE0" w:rsidRPr="00E869A4">
        <w:rPr>
          <w:rFonts w:ascii="Times New Roman" w:hAnsi="Times New Roman" w:cs="Times New Roman"/>
        </w:rPr>
        <w:t xml:space="preserve"> Sörensen 2005).</w:t>
      </w:r>
      <w:r w:rsidR="00B75566" w:rsidRPr="00E869A4">
        <w:rPr>
          <w:rFonts w:ascii="Times New Roman" w:hAnsi="Times New Roman" w:cs="Times New Roman"/>
        </w:rPr>
        <w:t xml:space="preserve"> In developing country contexts such as T&amp;T, interdependence could be viewed more as a means of survival given the limited resources available, rather than a case of negative over-dependence. </w:t>
      </w:r>
      <w:r w:rsidR="00A676C5" w:rsidRPr="00E869A4">
        <w:rPr>
          <w:rFonts w:ascii="Times New Roman" w:hAnsi="Times New Roman" w:cs="Times New Roman"/>
        </w:rPr>
        <w:t xml:space="preserve">As Hatton-Yeo and </w:t>
      </w:r>
      <w:r w:rsidR="001D717F" w:rsidRPr="00E869A4">
        <w:rPr>
          <w:rFonts w:ascii="Times New Roman" w:hAnsi="Times New Roman" w:cs="Times New Roman"/>
        </w:rPr>
        <w:t xml:space="preserve">colleagues </w:t>
      </w:r>
      <w:r w:rsidR="004B0685" w:rsidRPr="00E869A4">
        <w:rPr>
          <w:rFonts w:ascii="Times New Roman" w:hAnsi="Times New Roman" w:cs="Times New Roman"/>
        </w:rPr>
        <w:t xml:space="preserve">(cited in UNDESA 2014, p. 154) </w:t>
      </w:r>
      <w:r w:rsidR="001D717F" w:rsidRPr="00E869A4">
        <w:rPr>
          <w:rFonts w:ascii="Times New Roman" w:hAnsi="Times New Roman" w:cs="Times New Roman"/>
        </w:rPr>
        <w:t>asserted</w:t>
      </w:r>
      <w:r w:rsidR="002C0CBC" w:rsidRPr="00E869A4">
        <w:rPr>
          <w:rFonts w:ascii="Times New Roman" w:hAnsi="Times New Roman" w:cs="Times New Roman"/>
        </w:rPr>
        <w:t xml:space="preserve"> that</w:t>
      </w:r>
      <w:r w:rsidR="00A676C5" w:rsidRPr="00E869A4">
        <w:rPr>
          <w:rFonts w:ascii="Times New Roman" w:hAnsi="Times New Roman" w:cs="Times New Roman"/>
        </w:rPr>
        <w:t xml:space="preserve">:  </w:t>
      </w:r>
    </w:p>
    <w:p w14:paraId="1DFF999F" w14:textId="77777777" w:rsidR="00A676C5" w:rsidRPr="00E869A4" w:rsidRDefault="00A676C5" w:rsidP="003E23F9">
      <w:pPr>
        <w:autoSpaceDE w:val="0"/>
        <w:autoSpaceDN w:val="0"/>
        <w:adjustRightInd w:val="0"/>
        <w:spacing w:line="240" w:lineRule="auto"/>
        <w:ind w:firstLine="720"/>
        <w:rPr>
          <w:rFonts w:ascii="Times New Roman" w:hAnsi="Times New Roman" w:cs="Times New Roman"/>
        </w:rPr>
      </w:pPr>
    </w:p>
    <w:p w14:paraId="1C036231" w14:textId="5AA98CED" w:rsidR="00A676C5" w:rsidRPr="00E869A4" w:rsidRDefault="00A676C5" w:rsidP="004B0685">
      <w:pPr>
        <w:spacing w:line="240" w:lineRule="auto"/>
        <w:ind w:left="567" w:firstLine="0"/>
        <w:rPr>
          <w:rFonts w:ascii="Times New Roman" w:hAnsi="Times New Roman" w:cs="Times New Roman"/>
        </w:rPr>
      </w:pPr>
      <w:r w:rsidRPr="00E869A4">
        <w:rPr>
          <w:rFonts w:ascii="Times New Roman" w:hAnsi="Times New Roman" w:cs="Times New Roman"/>
        </w:rPr>
        <w:t>The increased recognition of the mutual interdependence of strong families and strong communities in Europe and other regions reflects the significance of intergenerational solidarity in these times of uncertainty and economic challenge. We firmly believe we are stronger together</w:t>
      </w:r>
      <w:r w:rsidR="001D717F" w:rsidRPr="00E869A4">
        <w:rPr>
          <w:rFonts w:ascii="Times New Roman" w:hAnsi="Times New Roman" w:cs="Times New Roman"/>
        </w:rPr>
        <w:t xml:space="preserve"> (Hatton-Yeo and colleagues</w:t>
      </w:r>
      <w:r w:rsidR="004B0685" w:rsidRPr="00E869A4">
        <w:rPr>
          <w:rFonts w:ascii="Times New Roman" w:hAnsi="Times New Roman" w:cs="Times New Roman"/>
        </w:rPr>
        <w:t>.</w:t>
      </w:r>
      <w:r w:rsidR="001D717F" w:rsidRPr="00E869A4">
        <w:rPr>
          <w:rFonts w:ascii="Times New Roman" w:hAnsi="Times New Roman" w:cs="Times New Roman"/>
        </w:rPr>
        <w:t xml:space="preserve"> </w:t>
      </w:r>
    </w:p>
    <w:p w14:paraId="68FE81DB" w14:textId="77777777" w:rsidR="00A676C5" w:rsidRPr="00E869A4" w:rsidRDefault="00A676C5" w:rsidP="003E23F9">
      <w:pPr>
        <w:autoSpaceDE w:val="0"/>
        <w:autoSpaceDN w:val="0"/>
        <w:adjustRightInd w:val="0"/>
        <w:spacing w:line="240" w:lineRule="auto"/>
        <w:ind w:firstLine="720"/>
        <w:rPr>
          <w:rFonts w:ascii="Times New Roman" w:hAnsi="Times New Roman" w:cs="Times New Roman"/>
        </w:rPr>
      </w:pPr>
    </w:p>
    <w:p w14:paraId="59ADE668" w14:textId="31AD3739" w:rsidR="00B75566" w:rsidRPr="00E869A4" w:rsidRDefault="00A676C5" w:rsidP="00A676C5">
      <w:pPr>
        <w:ind w:firstLine="0"/>
        <w:rPr>
          <w:rFonts w:ascii="Times New Roman" w:hAnsi="Times New Roman" w:cs="Times New Roman"/>
        </w:rPr>
      </w:pPr>
      <w:r w:rsidRPr="00E869A4">
        <w:rPr>
          <w:rFonts w:ascii="Times New Roman" w:hAnsi="Times New Roman" w:cs="Times New Roman"/>
        </w:rPr>
        <w:t xml:space="preserve">Thus, families can be </w:t>
      </w:r>
      <w:r w:rsidR="00227E83" w:rsidRPr="00E869A4">
        <w:rPr>
          <w:rFonts w:ascii="Times New Roman" w:hAnsi="Times New Roman" w:cs="Times New Roman"/>
        </w:rPr>
        <w:t>defin</w:t>
      </w:r>
      <w:r w:rsidRPr="00E869A4">
        <w:rPr>
          <w:rFonts w:ascii="Times New Roman" w:hAnsi="Times New Roman" w:cs="Times New Roman"/>
        </w:rPr>
        <w:t>ed as consisting of “people related through affection, obligation, dependence or cooperation</w:t>
      </w:r>
      <w:r w:rsidR="004B0685" w:rsidRPr="00E869A4">
        <w:rPr>
          <w:rFonts w:ascii="Times New Roman" w:hAnsi="Times New Roman" w:cs="Times New Roman"/>
        </w:rPr>
        <w:t>.</w:t>
      </w:r>
      <w:r w:rsidRPr="00E869A4">
        <w:rPr>
          <w:rFonts w:ascii="Times New Roman" w:hAnsi="Times New Roman" w:cs="Times New Roman"/>
        </w:rPr>
        <w:t xml:space="preserve">” (Rothausen 1999 cited in </w:t>
      </w:r>
      <w:r w:rsidR="008C352C" w:rsidRPr="00E869A4">
        <w:rPr>
          <w:rFonts w:ascii="Times New Roman" w:hAnsi="Times New Roman" w:cs="Times New Roman"/>
        </w:rPr>
        <w:t xml:space="preserve">UNDESA 2014, </w:t>
      </w:r>
      <w:r w:rsidRPr="00E869A4">
        <w:rPr>
          <w:rFonts w:ascii="Times New Roman" w:hAnsi="Times New Roman" w:cs="Times New Roman"/>
        </w:rPr>
        <w:t>p. 155)</w:t>
      </w:r>
      <w:r w:rsidR="004B0685" w:rsidRPr="00E869A4">
        <w:rPr>
          <w:rFonts w:ascii="Times New Roman" w:hAnsi="Times New Roman" w:cs="Times New Roman"/>
        </w:rPr>
        <w:t>.</w:t>
      </w:r>
    </w:p>
    <w:p w14:paraId="06C88C39" w14:textId="77777777" w:rsidR="00A676C5" w:rsidRPr="00E869A4" w:rsidRDefault="00A676C5" w:rsidP="00A676C5">
      <w:pPr>
        <w:ind w:firstLine="0"/>
        <w:rPr>
          <w:rFonts w:ascii="Times New Roman" w:hAnsi="Times New Roman" w:cs="Times New Roman"/>
        </w:rPr>
      </w:pPr>
    </w:p>
    <w:p w14:paraId="7862A702" w14:textId="2270216A" w:rsidR="001C5511" w:rsidRPr="00E869A4" w:rsidRDefault="002A7CE0">
      <w:pPr>
        <w:rPr>
          <w:rFonts w:ascii="Times New Roman" w:hAnsi="Times New Roman" w:cs="Times New Roman"/>
        </w:rPr>
      </w:pPr>
      <w:r w:rsidRPr="00E869A4">
        <w:rPr>
          <w:rFonts w:ascii="Times New Roman" w:hAnsi="Times New Roman" w:cs="Times New Roman"/>
        </w:rPr>
        <w:t>However, a disconnect may occur between the care expectations of the older person and the family care that is actually provided to them. Rawlins (2014)</w:t>
      </w:r>
      <w:r w:rsidR="00537483" w:rsidRPr="00E869A4">
        <w:rPr>
          <w:rFonts w:ascii="Times New Roman" w:hAnsi="Times New Roman" w:cs="Times New Roman"/>
        </w:rPr>
        <w:t>,</w:t>
      </w:r>
      <w:r w:rsidRPr="00E869A4">
        <w:rPr>
          <w:rFonts w:ascii="Times New Roman" w:hAnsi="Times New Roman" w:cs="Times New Roman"/>
        </w:rPr>
        <w:t xml:space="preserve"> for </w:t>
      </w:r>
      <w:r w:rsidR="00537483" w:rsidRPr="00E869A4">
        <w:rPr>
          <w:rFonts w:ascii="Times New Roman" w:hAnsi="Times New Roman" w:cs="Times New Roman"/>
        </w:rPr>
        <w:t>instance,</w:t>
      </w:r>
      <w:r w:rsidR="00006BCD">
        <w:rPr>
          <w:rFonts w:ascii="Times New Roman" w:hAnsi="Times New Roman" w:cs="Times New Roman"/>
        </w:rPr>
        <w:t xml:space="preserve"> observ</w:t>
      </w:r>
      <w:r w:rsidRPr="00E869A4">
        <w:rPr>
          <w:rFonts w:ascii="Times New Roman" w:hAnsi="Times New Roman" w:cs="Times New Roman"/>
        </w:rPr>
        <w:t xml:space="preserve">ed that older women in Trinidad who participated in case studies in 2009 were dissatisfied about the financial demands made on them by their family members, as well as the inadequacy or absence of financial contributions from their relatives. </w:t>
      </w:r>
      <w:r w:rsidR="005F33EE" w:rsidRPr="00E869A4">
        <w:rPr>
          <w:rFonts w:ascii="Times New Roman" w:hAnsi="Times New Roman" w:cs="Times New Roman"/>
        </w:rPr>
        <w:t xml:space="preserve">As noted earlier (see Chapter 1) </w:t>
      </w:r>
      <w:r w:rsidR="00006BCD">
        <w:rPr>
          <w:rFonts w:ascii="Times New Roman" w:hAnsi="Times New Roman" w:cs="Times New Roman"/>
        </w:rPr>
        <w:t>f</w:t>
      </w:r>
      <w:r w:rsidRPr="00E869A4">
        <w:rPr>
          <w:rFonts w:ascii="Times New Roman" w:hAnsi="Times New Roman" w:cs="Times New Roman"/>
        </w:rPr>
        <w:t xml:space="preserve">eelings of loneliness were also prevalent among older persons in </w:t>
      </w:r>
      <w:r w:rsidR="00537483" w:rsidRPr="00E869A4">
        <w:rPr>
          <w:rFonts w:ascii="Times New Roman" w:hAnsi="Times New Roman" w:cs="Times New Roman"/>
        </w:rPr>
        <w:t>T&amp;T</w:t>
      </w:r>
      <w:r w:rsidRPr="00E869A4">
        <w:rPr>
          <w:rFonts w:ascii="Times New Roman" w:hAnsi="Times New Roman" w:cs="Times New Roman"/>
        </w:rPr>
        <w:t xml:space="preserve">, even among those who did not live alone. A study by Rawlins and colleagues (2008) which was based on an island-wide survey conducted in 2002 of older persons aged 65 years and over in Trinidad, </w:t>
      </w:r>
      <w:r w:rsidRPr="00E869A4">
        <w:rPr>
          <w:rFonts w:ascii="Times New Roman" w:hAnsi="Times New Roman" w:cs="Times New Roman"/>
        </w:rPr>
        <w:lastRenderedPageBreak/>
        <w:t xml:space="preserve">found that 16% of the respondents (n = 845) lived alone, but about double that amount (33%) reported that they were lonely. More than a third of the sample (35%) reported that they usually or always ate alone (Rawlins 2008). These findings suggested that older persons living with relatives did not always feel that their emotional needs were being adequately met. </w:t>
      </w:r>
      <w:bookmarkStart w:id="186" w:name="_Toc509940557"/>
      <w:bookmarkStart w:id="187" w:name="_Toc509993426"/>
      <w:r w:rsidR="0066536D" w:rsidRPr="00E869A4">
        <w:rPr>
          <w:rFonts w:ascii="Times New Roman" w:hAnsi="Times New Roman" w:cs="Times New Roman"/>
        </w:rPr>
        <w:t>Older family caregivers also highlighted loneliness as a main issue affecting older persons in Trinidad (Rawlins 2004 cited in Rawlins 2014).</w:t>
      </w:r>
    </w:p>
    <w:p w14:paraId="77AF6C77" w14:textId="77777777" w:rsidR="00665632" w:rsidRPr="00E869A4" w:rsidRDefault="00665632">
      <w:pPr>
        <w:rPr>
          <w:rFonts w:ascii="Times New Roman" w:hAnsi="Times New Roman" w:cs="Times New Roman"/>
        </w:rPr>
      </w:pPr>
    </w:p>
    <w:p w14:paraId="0AF00122" w14:textId="458E755A" w:rsidR="002A7CE0" w:rsidRPr="00E869A4" w:rsidRDefault="00FB6789" w:rsidP="005C449C">
      <w:pPr>
        <w:pStyle w:val="Heading3"/>
      </w:pPr>
      <w:bookmarkStart w:id="188" w:name="_Toc40436492"/>
      <w:r w:rsidRPr="00E869A4">
        <w:t>3.3</w:t>
      </w:r>
      <w:r w:rsidR="005234DB" w:rsidRPr="00E869A4">
        <w:t xml:space="preserve">.2     </w:t>
      </w:r>
      <w:r w:rsidR="00AE4133" w:rsidRPr="00E869A4">
        <w:t xml:space="preserve">Positive Aspects </w:t>
      </w:r>
      <w:r w:rsidR="00C25074" w:rsidRPr="00E869A4">
        <w:t>of</w:t>
      </w:r>
      <w:r w:rsidR="00AE4133" w:rsidRPr="00E869A4">
        <w:t xml:space="preserve"> Caregiving</w:t>
      </w:r>
      <w:bookmarkEnd w:id="186"/>
      <w:bookmarkEnd w:id="187"/>
      <w:bookmarkEnd w:id="188"/>
    </w:p>
    <w:p w14:paraId="34682DC6" w14:textId="77777777" w:rsidR="00D04DCD" w:rsidRPr="00E869A4" w:rsidRDefault="00D04DCD" w:rsidP="0051234F">
      <w:pPr>
        <w:pStyle w:val="112"/>
        <w:rPr>
          <w:color w:val="auto"/>
        </w:rPr>
      </w:pPr>
    </w:p>
    <w:p w14:paraId="1BB0D628" w14:textId="318296DB" w:rsidR="002A7CE0" w:rsidRPr="00E869A4" w:rsidRDefault="002A7CE0" w:rsidP="00A35FF8">
      <w:pPr>
        <w:rPr>
          <w:rFonts w:ascii="Times New Roman" w:hAnsi="Times New Roman" w:cs="Times New Roman"/>
        </w:rPr>
      </w:pPr>
      <w:r w:rsidRPr="00E869A4">
        <w:rPr>
          <w:rFonts w:ascii="Times New Roman" w:hAnsi="Times New Roman" w:cs="Times New Roman"/>
        </w:rPr>
        <w:t>Increasingly</w:t>
      </w:r>
      <w:r w:rsidR="00020112" w:rsidRPr="00E869A4">
        <w:rPr>
          <w:rFonts w:ascii="Times New Roman" w:hAnsi="Times New Roman" w:cs="Times New Roman"/>
        </w:rPr>
        <w:t>,</w:t>
      </w:r>
      <w:r w:rsidRPr="00E869A4">
        <w:rPr>
          <w:rFonts w:ascii="Times New Roman" w:hAnsi="Times New Roman" w:cs="Times New Roman"/>
        </w:rPr>
        <w:t xml:space="preserve"> research efforts have been directed at exploring the positive aspects of care (Lil</w:t>
      </w:r>
      <w:r w:rsidR="00DD18FE" w:rsidRPr="00E869A4">
        <w:rPr>
          <w:rFonts w:ascii="Times New Roman" w:hAnsi="Times New Roman" w:cs="Times New Roman"/>
        </w:rPr>
        <w:t>l</w:t>
      </w:r>
      <w:r w:rsidRPr="00E869A4">
        <w:rPr>
          <w:rFonts w:ascii="Times New Roman" w:hAnsi="Times New Roman" w:cs="Times New Roman"/>
        </w:rPr>
        <w:t>y et al</w:t>
      </w:r>
      <w:r w:rsidR="00DD18FE" w:rsidRPr="00E869A4">
        <w:rPr>
          <w:rFonts w:ascii="Times New Roman" w:hAnsi="Times New Roman" w:cs="Times New Roman"/>
        </w:rPr>
        <w:t>.</w:t>
      </w:r>
      <w:r w:rsidRPr="00E869A4">
        <w:rPr>
          <w:rFonts w:ascii="Times New Roman" w:hAnsi="Times New Roman" w:cs="Times New Roman"/>
        </w:rPr>
        <w:t xml:space="preserve"> 201</w:t>
      </w:r>
      <w:r w:rsidR="00DD18FE" w:rsidRPr="00E869A4">
        <w:rPr>
          <w:rFonts w:ascii="Times New Roman" w:hAnsi="Times New Roman" w:cs="Times New Roman"/>
        </w:rPr>
        <w:t>2</w:t>
      </w:r>
      <w:r w:rsidRPr="00E869A4">
        <w:rPr>
          <w:rFonts w:ascii="Times New Roman" w:hAnsi="Times New Roman" w:cs="Times New Roman"/>
        </w:rPr>
        <w:t>). Tarlow and colleagues (2004)</w:t>
      </w:r>
      <w:r w:rsidR="00020112" w:rsidRPr="00E869A4">
        <w:rPr>
          <w:rFonts w:ascii="Times New Roman" w:hAnsi="Times New Roman" w:cs="Times New Roman"/>
        </w:rPr>
        <w:t>,</w:t>
      </w:r>
      <w:r w:rsidRPr="00E869A4">
        <w:rPr>
          <w:rFonts w:ascii="Times New Roman" w:hAnsi="Times New Roman" w:cs="Times New Roman"/>
        </w:rPr>
        <w:t xml:space="preserve"> found in their review of 14 quantitative studies on the informal care of older persons</w:t>
      </w:r>
      <w:r w:rsidR="00E563BC" w:rsidRPr="00E869A4">
        <w:rPr>
          <w:rFonts w:ascii="Times New Roman" w:hAnsi="Times New Roman" w:cs="Times New Roman"/>
        </w:rPr>
        <w:t>,</w:t>
      </w:r>
      <w:r w:rsidRPr="00E869A4">
        <w:rPr>
          <w:rFonts w:ascii="Times New Roman" w:hAnsi="Times New Roman" w:cs="Times New Roman"/>
        </w:rPr>
        <w:t xml:space="preserve"> the following wide range of conceptualisations of the positive aspects of care: 1) satisfaction; 2) uplifts; 3) subjectively perceived gains; 4) rewards and gratification; and</w:t>
      </w:r>
      <w:r w:rsidR="005F33EE" w:rsidRPr="00E869A4">
        <w:rPr>
          <w:rFonts w:ascii="Times New Roman" w:hAnsi="Times New Roman" w:cs="Times New Roman"/>
        </w:rPr>
        <w:t>,</w:t>
      </w:r>
      <w:r w:rsidRPr="00E869A4">
        <w:rPr>
          <w:rFonts w:ascii="Times New Roman" w:hAnsi="Times New Roman" w:cs="Times New Roman"/>
        </w:rPr>
        <w:t xml:space="preserve"> 5) positive appraisals.  Satisfaction is one of the more popular terms used to depict the positive aspects of care. Uplifts refer to events that make an individual feel good, joyful, glad or satisfied</w:t>
      </w:r>
      <w:r w:rsidR="0066536D" w:rsidRPr="00E869A4">
        <w:rPr>
          <w:rFonts w:ascii="Times New Roman" w:hAnsi="Times New Roman" w:cs="Times New Roman"/>
        </w:rPr>
        <w:t>,</w:t>
      </w:r>
      <w:r w:rsidRPr="00E869A4">
        <w:rPr>
          <w:rFonts w:ascii="Times New Roman" w:hAnsi="Times New Roman" w:cs="Times New Roman"/>
        </w:rPr>
        <w:t xml:space="preserve"> while subjectively perceived gains are the desirable aspects of caregiving</w:t>
      </w:r>
      <w:r w:rsidR="00AA7B89" w:rsidRPr="00E869A4">
        <w:rPr>
          <w:rFonts w:ascii="Times New Roman" w:hAnsi="Times New Roman" w:cs="Times New Roman"/>
        </w:rPr>
        <w:t>,</w:t>
      </w:r>
      <w:r w:rsidRPr="00E869A4">
        <w:rPr>
          <w:rFonts w:ascii="Times New Roman" w:hAnsi="Times New Roman" w:cs="Times New Roman"/>
        </w:rPr>
        <w:t xml:space="preserve"> including positive affective returns, a sense of gratification, feeling enriched from the tangible and intangible benefits that might have been gained, mutually rewarding exchanges and</w:t>
      </w:r>
      <w:r w:rsidR="0066536D" w:rsidRPr="00E869A4">
        <w:rPr>
          <w:rFonts w:ascii="Times New Roman" w:hAnsi="Times New Roman" w:cs="Times New Roman"/>
        </w:rPr>
        <w:t>,</w:t>
      </w:r>
      <w:r w:rsidRPr="00E869A4">
        <w:rPr>
          <w:rFonts w:ascii="Times New Roman" w:hAnsi="Times New Roman" w:cs="Times New Roman"/>
        </w:rPr>
        <w:t xml:space="preserve"> providing and sharing intimacy and love. Caregiver growth whereby the care experience may result in</w:t>
      </w:r>
      <w:r w:rsidR="00AA7B89" w:rsidRPr="00E869A4">
        <w:rPr>
          <w:rFonts w:ascii="Times New Roman" w:hAnsi="Times New Roman" w:cs="Times New Roman"/>
        </w:rPr>
        <w:t xml:space="preserve"> the</w:t>
      </w:r>
      <w:r w:rsidRPr="00E869A4">
        <w:rPr>
          <w:rFonts w:ascii="Times New Roman" w:hAnsi="Times New Roman" w:cs="Times New Roman"/>
        </w:rPr>
        <w:t xml:space="preserve"> improved competence and confidence of the caregiver in the performance of caregiving tasks, as well as the development of coping skills which enhance the caregiver’s personal abilities both within and outside of their role as a carer, is another positive aspect of care (Roberto </w:t>
      </w:r>
      <w:r w:rsidR="00E563BC" w:rsidRPr="00E869A4">
        <w:rPr>
          <w:rFonts w:ascii="Times New Roman" w:hAnsi="Times New Roman" w:cs="Times New Roman"/>
        </w:rPr>
        <w:t>&amp;</w:t>
      </w:r>
      <w:r w:rsidRPr="00E869A4">
        <w:rPr>
          <w:rFonts w:ascii="Times New Roman" w:hAnsi="Times New Roman" w:cs="Times New Roman"/>
        </w:rPr>
        <w:t xml:space="preserve"> Jarrott 2008). </w:t>
      </w:r>
    </w:p>
    <w:p w14:paraId="6A146C1C" w14:textId="77777777" w:rsidR="00D04DCD" w:rsidRPr="00E869A4" w:rsidRDefault="00D04DCD" w:rsidP="00A35FF8">
      <w:pPr>
        <w:rPr>
          <w:rFonts w:ascii="Times New Roman" w:hAnsi="Times New Roman" w:cs="Times New Roman"/>
        </w:rPr>
      </w:pPr>
    </w:p>
    <w:p w14:paraId="2C845520" w14:textId="2818AD99" w:rsidR="002A7CE0" w:rsidRPr="00E869A4" w:rsidRDefault="002A7CE0" w:rsidP="00D20002">
      <w:pPr>
        <w:rPr>
          <w:rFonts w:ascii="Times New Roman" w:hAnsi="Times New Roman" w:cs="Times New Roman"/>
        </w:rPr>
      </w:pPr>
      <w:r w:rsidRPr="00E869A4">
        <w:rPr>
          <w:rFonts w:ascii="Times New Roman" w:hAnsi="Times New Roman" w:cs="Times New Roman"/>
        </w:rPr>
        <w:t xml:space="preserve">These positive care </w:t>
      </w:r>
      <w:r w:rsidR="00EE14C4">
        <w:rPr>
          <w:rFonts w:ascii="Times New Roman" w:hAnsi="Times New Roman" w:cs="Times New Roman"/>
        </w:rPr>
        <w:t xml:space="preserve">experiences </w:t>
      </w:r>
      <w:r w:rsidRPr="00E869A4">
        <w:rPr>
          <w:rFonts w:ascii="Times New Roman" w:hAnsi="Times New Roman" w:cs="Times New Roman"/>
        </w:rPr>
        <w:t xml:space="preserve">may manifest as satisfaction </w:t>
      </w:r>
      <w:r w:rsidR="00E563BC" w:rsidRPr="00E869A4">
        <w:rPr>
          <w:rFonts w:ascii="Times New Roman" w:hAnsi="Times New Roman" w:cs="Times New Roman"/>
        </w:rPr>
        <w:t>in</w:t>
      </w:r>
      <w:r w:rsidRPr="00E869A4">
        <w:rPr>
          <w:rFonts w:ascii="Times New Roman" w:hAnsi="Times New Roman" w:cs="Times New Roman"/>
        </w:rPr>
        <w:t xml:space="preserve"> fulfilling one’s duty and performing a vital and caring role for a loved one. Kuuppelomäki and colleagues for example, found that</w:t>
      </w:r>
      <w:r w:rsidR="00DD0BE0" w:rsidRPr="00E869A4">
        <w:rPr>
          <w:rFonts w:ascii="Times New Roman" w:hAnsi="Times New Roman" w:cs="Times New Roman"/>
        </w:rPr>
        <w:t xml:space="preserve"> “c</w:t>
      </w:r>
      <w:r w:rsidRPr="00E869A4">
        <w:rPr>
          <w:rFonts w:ascii="Times New Roman" w:hAnsi="Times New Roman" w:cs="Times New Roman"/>
        </w:rPr>
        <w:t>arers derived most satisfaction from seeing they could help their relative feel more comfortable, making them feel needed and wanted</w:t>
      </w:r>
      <w:r w:rsidR="00DD0BE0" w:rsidRPr="00E869A4">
        <w:rPr>
          <w:rFonts w:ascii="Times New Roman" w:hAnsi="Times New Roman" w:cs="Times New Roman"/>
        </w:rPr>
        <w:t xml:space="preserve"> </w:t>
      </w:r>
      <w:r w:rsidR="00322527" w:rsidRPr="00E869A4">
        <w:rPr>
          <w:rFonts w:ascii="Times New Roman" w:hAnsi="Times New Roman" w:cs="Times New Roman"/>
        </w:rPr>
        <w:t>..</w:t>
      </w:r>
      <w:r w:rsidRPr="00E869A4">
        <w:rPr>
          <w:rFonts w:ascii="Times New Roman" w:hAnsi="Times New Roman" w:cs="Times New Roman"/>
        </w:rPr>
        <w:t>. [and that] this is one way in which they can show their love for the person they cared for</w:t>
      </w:r>
      <w:r w:rsidR="00DD0BE0" w:rsidRPr="00E869A4">
        <w:rPr>
          <w:rFonts w:ascii="Times New Roman" w:hAnsi="Times New Roman" w:cs="Times New Roman"/>
        </w:rPr>
        <w:t>.”</w:t>
      </w:r>
      <w:r w:rsidR="00A37DD1" w:rsidRPr="00E869A4">
        <w:rPr>
          <w:rFonts w:ascii="Times New Roman" w:hAnsi="Times New Roman" w:cs="Times New Roman"/>
        </w:rPr>
        <w:t xml:space="preserve"> (Kuuppelomäki et al. 2004, p. 497)</w:t>
      </w:r>
      <w:r w:rsidRPr="00E869A4">
        <w:rPr>
          <w:rFonts w:ascii="Times New Roman" w:hAnsi="Times New Roman" w:cs="Times New Roman"/>
        </w:rPr>
        <w:t>. Caregivers may value the</w:t>
      </w:r>
      <w:r w:rsidR="00AA7B89" w:rsidRPr="00E869A4">
        <w:rPr>
          <w:rFonts w:ascii="Times New Roman" w:hAnsi="Times New Roman" w:cs="Times New Roman"/>
        </w:rPr>
        <w:t>ir</w:t>
      </w:r>
      <w:r w:rsidRPr="00E869A4">
        <w:rPr>
          <w:rFonts w:ascii="Times New Roman" w:hAnsi="Times New Roman" w:cs="Times New Roman"/>
        </w:rPr>
        <w:t xml:space="preserve"> </w:t>
      </w:r>
      <w:r w:rsidR="00AA7B89" w:rsidRPr="00E869A4">
        <w:rPr>
          <w:rFonts w:ascii="Times New Roman" w:hAnsi="Times New Roman" w:cs="Times New Roman"/>
        </w:rPr>
        <w:t xml:space="preserve">personal growth and maturity and the </w:t>
      </w:r>
      <w:r w:rsidRPr="00E869A4">
        <w:rPr>
          <w:rFonts w:ascii="Times New Roman" w:hAnsi="Times New Roman" w:cs="Times New Roman"/>
        </w:rPr>
        <w:t>increased closeness they experience to the</w:t>
      </w:r>
      <w:r w:rsidR="00AA7B89" w:rsidRPr="00E869A4">
        <w:rPr>
          <w:rFonts w:ascii="Times New Roman" w:hAnsi="Times New Roman" w:cs="Times New Roman"/>
        </w:rPr>
        <w:t xml:space="preserve"> care recipient,</w:t>
      </w:r>
      <w:r w:rsidRPr="00E869A4">
        <w:rPr>
          <w:rFonts w:ascii="Times New Roman" w:hAnsi="Times New Roman" w:cs="Times New Roman"/>
        </w:rPr>
        <w:t xml:space="preserve"> </w:t>
      </w:r>
      <w:r w:rsidR="00AA7B89" w:rsidRPr="00E869A4">
        <w:rPr>
          <w:rFonts w:ascii="Times New Roman" w:hAnsi="Times New Roman" w:cs="Times New Roman"/>
        </w:rPr>
        <w:t xml:space="preserve">as well as, the </w:t>
      </w:r>
      <w:r w:rsidRPr="00E869A4">
        <w:rPr>
          <w:rFonts w:ascii="Times New Roman" w:hAnsi="Times New Roman" w:cs="Times New Roman"/>
        </w:rPr>
        <w:t xml:space="preserve">sense of belonging from the companionship that caregiving facilitates. Some caregivers enjoy having a sense of meaningfulness and purpose from the care they provide, as well as satisfaction from fulfilling social norms which generate </w:t>
      </w:r>
      <w:r w:rsidRPr="00E869A4">
        <w:rPr>
          <w:rFonts w:ascii="Times New Roman" w:hAnsi="Times New Roman" w:cs="Times New Roman"/>
        </w:rPr>
        <w:lastRenderedPageBreak/>
        <w:t xml:space="preserve">social approval (Lee </w:t>
      </w:r>
      <w:r w:rsidR="00934743" w:rsidRPr="00E869A4">
        <w:rPr>
          <w:rFonts w:ascii="Times New Roman" w:hAnsi="Times New Roman" w:cs="Times New Roman"/>
        </w:rPr>
        <w:t xml:space="preserve">&amp; </w:t>
      </w:r>
      <w:r w:rsidRPr="00E869A4">
        <w:rPr>
          <w:rFonts w:ascii="Times New Roman" w:hAnsi="Times New Roman" w:cs="Times New Roman"/>
        </w:rPr>
        <w:t xml:space="preserve">Singh 2010; </w:t>
      </w:r>
      <w:r w:rsidR="00E563BC" w:rsidRPr="00E869A4">
        <w:rPr>
          <w:rFonts w:ascii="Times New Roman" w:hAnsi="Times New Roman" w:cs="Times New Roman"/>
        </w:rPr>
        <w:t xml:space="preserve">Lin, Fee &amp; Wu 2012; </w:t>
      </w:r>
      <w:r w:rsidRPr="00E869A4">
        <w:rPr>
          <w:rFonts w:ascii="Times New Roman" w:hAnsi="Times New Roman" w:cs="Times New Roman"/>
        </w:rPr>
        <w:t>Pinquart &amp; Sӧrensen 2003</w:t>
      </w:r>
      <w:r w:rsidR="00E563BC" w:rsidRPr="00E869A4">
        <w:rPr>
          <w:rFonts w:ascii="Times New Roman" w:hAnsi="Times New Roman" w:cs="Times New Roman"/>
        </w:rPr>
        <w:t xml:space="preserve">; </w:t>
      </w:r>
      <w:r w:rsidR="00EE4DB3" w:rsidRPr="00E869A4">
        <w:rPr>
          <w:rFonts w:ascii="Times New Roman" w:eastAsia="Times New Roman" w:hAnsi="Times New Roman" w:cs="Times New Roman"/>
        </w:rPr>
        <w:t>Sánchez-Izquierdo, Prieto-</w:t>
      </w:r>
      <w:r w:rsidR="00C958D8" w:rsidRPr="00E869A4">
        <w:rPr>
          <w:rFonts w:ascii="Times New Roman" w:eastAsia="Times New Roman" w:hAnsi="Times New Roman" w:cs="Times New Roman"/>
        </w:rPr>
        <w:t>Ursu</w:t>
      </w:r>
      <w:r w:rsidR="00D336DA" w:rsidRPr="00E869A4">
        <w:rPr>
          <w:rFonts w:ascii="Times New Roman" w:eastAsia="Times New Roman" w:hAnsi="Times New Roman" w:cs="Times New Roman"/>
        </w:rPr>
        <w:t>a</w:t>
      </w:r>
      <w:r w:rsidR="00EE4DB3" w:rsidRPr="00E869A4">
        <w:rPr>
          <w:rFonts w:ascii="Times New Roman" w:eastAsia="Times New Roman" w:hAnsi="Times New Roman" w:cs="Times New Roman"/>
        </w:rPr>
        <w:t xml:space="preserve"> &amp; Caperos </w:t>
      </w:r>
      <w:r w:rsidR="00E563BC" w:rsidRPr="00E869A4">
        <w:rPr>
          <w:rFonts w:ascii="Times New Roman" w:hAnsi="Times New Roman" w:cs="Times New Roman"/>
        </w:rPr>
        <w:t>2015</w:t>
      </w:r>
      <w:r w:rsidRPr="00E869A4">
        <w:rPr>
          <w:rFonts w:ascii="Times New Roman" w:hAnsi="Times New Roman" w:cs="Times New Roman"/>
        </w:rPr>
        <w:t xml:space="preserve">). </w:t>
      </w:r>
    </w:p>
    <w:p w14:paraId="6B6FEA3A" w14:textId="77777777" w:rsidR="00D20002" w:rsidRPr="00E869A4" w:rsidRDefault="00D20002" w:rsidP="00D20002">
      <w:pPr>
        <w:rPr>
          <w:rFonts w:ascii="Times New Roman" w:hAnsi="Times New Roman" w:cs="Times New Roman"/>
        </w:rPr>
      </w:pPr>
    </w:p>
    <w:p w14:paraId="1E3AB119" w14:textId="463F5DCE"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Several studies have found that caregivers still cite positive aspects of caregiving, even when they experience challenges and an intensification of problems in their care relationship (Schulz </w:t>
      </w:r>
      <w:r w:rsidR="004346B2" w:rsidRPr="00E869A4">
        <w:rPr>
          <w:rFonts w:ascii="Times New Roman" w:hAnsi="Times New Roman" w:cs="Times New Roman"/>
        </w:rPr>
        <w:t>&amp;</w:t>
      </w:r>
      <w:r w:rsidRPr="00E869A4">
        <w:rPr>
          <w:rFonts w:ascii="Times New Roman" w:hAnsi="Times New Roman" w:cs="Times New Roman"/>
        </w:rPr>
        <w:t xml:space="preserve"> Sherwood 2008). With respect to the cared-for, authors such as Kruse and Wahl (1999) emphasised that the contributions of older persons must not be overlooked and noted that older persons not only received (emotional and instrumental) support, but also gave a lot of support in their family relationships. Caribbean researchers such as Rawlins (2014), Cloos and colleagues (</w:t>
      </w:r>
      <w:r w:rsidR="00C25074" w:rsidRPr="00E869A4">
        <w:rPr>
          <w:rFonts w:ascii="Times New Roman" w:hAnsi="Times New Roman" w:cs="Times New Roman"/>
        </w:rPr>
        <w:t>2010</w:t>
      </w:r>
      <w:r w:rsidRPr="00E869A4">
        <w:rPr>
          <w:rFonts w:ascii="Times New Roman" w:hAnsi="Times New Roman" w:cs="Times New Roman"/>
        </w:rPr>
        <w:t xml:space="preserve">) and Sennott-Miller (1989) made similar observations: </w:t>
      </w:r>
      <w:r w:rsidR="00C25074" w:rsidRPr="00E869A4">
        <w:rPr>
          <w:rFonts w:ascii="Times New Roman" w:hAnsi="Times New Roman" w:cs="Times New Roman"/>
        </w:rPr>
        <w:t>childcare</w:t>
      </w:r>
      <w:r w:rsidRPr="00E869A4">
        <w:rPr>
          <w:rFonts w:ascii="Times New Roman" w:hAnsi="Times New Roman" w:cs="Times New Roman"/>
        </w:rPr>
        <w:t xml:space="preserve">, accommodation and even financial contributions are some of the ways in which older persons supported their family members.   </w:t>
      </w:r>
    </w:p>
    <w:p w14:paraId="4CA8CF24" w14:textId="77777777" w:rsidR="00D04DCD" w:rsidRPr="00E869A4" w:rsidRDefault="00D04DCD" w:rsidP="00A35FF8">
      <w:pPr>
        <w:rPr>
          <w:rFonts w:ascii="Times New Roman" w:hAnsi="Times New Roman" w:cs="Times New Roman"/>
        </w:rPr>
      </w:pPr>
    </w:p>
    <w:p w14:paraId="031F87BA" w14:textId="69693CDA" w:rsidR="002A7CE0" w:rsidRPr="00E869A4" w:rsidRDefault="002A7CE0" w:rsidP="00A35FF8">
      <w:pPr>
        <w:rPr>
          <w:rFonts w:ascii="Times New Roman" w:hAnsi="Times New Roman" w:cs="Times New Roman"/>
        </w:rPr>
      </w:pPr>
      <w:r w:rsidRPr="00E869A4">
        <w:rPr>
          <w:rFonts w:ascii="Times New Roman" w:hAnsi="Times New Roman" w:cs="Times New Roman"/>
        </w:rPr>
        <w:t>The positive aspects of caregiving frequently correlated with variables such as prior relationship satisfaction, satisfaction with social support, increased functional impairment of the care recipient, older age of the caregiver, better health of the caregiver, and the use of problem-solving coping strategies (Tarlow et al</w:t>
      </w:r>
      <w:r w:rsidR="006658CB" w:rsidRPr="00E869A4">
        <w:rPr>
          <w:rFonts w:ascii="Times New Roman" w:hAnsi="Times New Roman" w:cs="Times New Roman"/>
        </w:rPr>
        <w:t>.</w:t>
      </w:r>
      <w:r w:rsidRPr="00E869A4">
        <w:rPr>
          <w:rFonts w:ascii="Times New Roman" w:hAnsi="Times New Roman" w:cs="Times New Roman"/>
        </w:rPr>
        <w:t xml:space="preserve"> 2004).  However, Walker and colleagues (2016) cautioned against an overemphasis on external sources of caregiver satisfaction which are outside of the caregiver’s control (e.g. receipt of social support from family or friends/how supported they felt by their family, how appreciated they felt as a caregiver, positive mood or interactions with the care receiver/quality of their relationship with the care receiver). The ability of the caregiver to have a positive caregiving attitude, create opportunities for themselves and their cared-for relative, find meaning in providing care and encourage healthy exchange</w:t>
      </w:r>
      <w:r w:rsidR="002226D3" w:rsidRPr="00E869A4">
        <w:rPr>
          <w:rFonts w:ascii="Times New Roman" w:hAnsi="Times New Roman" w:cs="Times New Roman"/>
        </w:rPr>
        <w:t>s</w:t>
      </w:r>
      <w:r w:rsidRPr="00E869A4">
        <w:rPr>
          <w:rFonts w:ascii="Times New Roman" w:hAnsi="Times New Roman" w:cs="Times New Roman"/>
        </w:rPr>
        <w:t xml:space="preserve"> between themselves and their cared-for relative </w:t>
      </w:r>
      <w:r w:rsidR="005A069A">
        <w:rPr>
          <w:rFonts w:ascii="Times New Roman" w:hAnsi="Times New Roman" w:cs="Times New Roman"/>
        </w:rPr>
        <w:t xml:space="preserve">also </w:t>
      </w:r>
      <w:r w:rsidRPr="00E869A4">
        <w:rPr>
          <w:rFonts w:ascii="Times New Roman" w:hAnsi="Times New Roman" w:cs="Times New Roman"/>
        </w:rPr>
        <w:t xml:space="preserve">helped to improve </w:t>
      </w:r>
      <w:r w:rsidR="004346B2" w:rsidRPr="00E869A4">
        <w:rPr>
          <w:rFonts w:ascii="Times New Roman" w:hAnsi="Times New Roman" w:cs="Times New Roman"/>
        </w:rPr>
        <w:t xml:space="preserve">the </w:t>
      </w:r>
      <w:r w:rsidRPr="00E869A4">
        <w:rPr>
          <w:rFonts w:ascii="Times New Roman" w:hAnsi="Times New Roman" w:cs="Times New Roman"/>
        </w:rPr>
        <w:t>caregiver’s experience</w:t>
      </w:r>
      <w:r w:rsidR="005277D6" w:rsidRPr="00E869A4">
        <w:rPr>
          <w:rFonts w:ascii="Times New Roman" w:hAnsi="Times New Roman" w:cs="Times New Roman"/>
        </w:rPr>
        <w:t xml:space="preserve"> of providing elder care</w:t>
      </w:r>
      <w:r w:rsidRPr="00E869A4">
        <w:rPr>
          <w:rFonts w:ascii="Times New Roman" w:hAnsi="Times New Roman" w:cs="Times New Roman"/>
        </w:rPr>
        <w:t>. This is discussed in more detail in the review of the literature on coping and care management.</w:t>
      </w:r>
    </w:p>
    <w:p w14:paraId="1C4377D1" w14:textId="77777777" w:rsidR="006F4D10" w:rsidRPr="00E869A4" w:rsidRDefault="006F4D10" w:rsidP="008A65A4">
      <w:pPr>
        <w:ind w:firstLine="0"/>
      </w:pPr>
      <w:bookmarkStart w:id="189" w:name="_Toc509940558"/>
      <w:bookmarkStart w:id="190" w:name="_Toc509993427"/>
    </w:p>
    <w:p w14:paraId="6FFEDB91" w14:textId="621E3125" w:rsidR="002A7CE0" w:rsidRPr="00E869A4" w:rsidRDefault="00FB6789" w:rsidP="005C449C">
      <w:pPr>
        <w:pStyle w:val="Heading3"/>
      </w:pPr>
      <w:bookmarkStart w:id="191" w:name="_Toc40436493"/>
      <w:r w:rsidRPr="00E869A4">
        <w:t>3.3</w:t>
      </w:r>
      <w:r w:rsidR="00FB450F" w:rsidRPr="00E869A4">
        <w:t xml:space="preserve">.3     </w:t>
      </w:r>
      <w:r w:rsidR="00AE4133" w:rsidRPr="00E869A4">
        <w:t xml:space="preserve">Ambivalent </w:t>
      </w:r>
      <w:r w:rsidR="001B5203" w:rsidRPr="00E869A4">
        <w:t>&amp;</w:t>
      </w:r>
      <w:r w:rsidR="00AE4133" w:rsidRPr="00E869A4">
        <w:t xml:space="preserve"> Neutral </w:t>
      </w:r>
      <w:r w:rsidR="005277D6" w:rsidRPr="00E869A4">
        <w:t xml:space="preserve">Experiences </w:t>
      </w:r>
      <w:r w:rsidR="00C25074" w:rsidRPr="00E869A4">
        <w:t>of</w:t>
      </w:r>
      <w:r w:rsidR="00AE4133" w:rsidRPr="00E869A4">
        <w:t xml:space="preserve"> Caregiving</w:t>
      </w:r>
      <w:bookmarkEnd w:id="189"/>
      <w:bookmarkEnd w:id="190"/>
      <w:bookmarkEnd w:id="191"/>
    </w:p>
    <w:p w14:paraId="1F3A4F46" w14:textId="77777777" w:rsidR="00D04DCD" w:rsidRPr="00E869A4" w:rsidRDefault="00D04DCD" w:rsidP="0051234F">
      <w:pPr>
        <w:pStyle w:val="112"/>
        <w:rPr>
          <w:color w:val="auto"/>
        </w:rPr>
      </w:pPr>
    </w:p>
    <w:p w14:paraId="1B00052D" w14:textId="7743A5C7"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Another important caveat from the research on </w:t>
      </w:r>
      <w:r w:rsidR="005277D6" w:rsidRPr="00E869A4">
        <w:rPr>
          <w:rFonts w:ascii="Times New Roman" w:hAnsi="Times New Roman" w:cs="Times New Roman"/>
        </w:rPr>
        <w:t xml:space="preserve">experiences </w:t>
      </w:r>
      <w:r w:rsidRPr="00E869A4">
        <w:rPr>
          <w:rFonts w:ascii="Times New Roman" w:hAnsi="Times New Roman" w:cs="Times New Roman"/>
        </w:rPr>
        <w:t>of care is that an individual can experience both high stress and high satisfaction simultaneously (</w:t>
      </w:r>
      <w:r w:rsidR="00DD34B4" w:rsidRPr="00E869A4">
        <w:rPr>
          <w:rFonts w:ascii="Times New Roman" w:hAnsi="Times New Roman" w:cs="Times New Roman"/>
        </w:rPr>
        <w:t xml:space="preserve">Barrett, Hale &amp; Butler </w:t>
      </w:r>
      <w:r w:rsidR="004346B2" w:rsidRPr="00E869A4">
        <w:rPr>
          <w:rFonts w:ascii="Times New Roman" w:hAnsi="Times New Roman" w:cs="Times New Roman"/>
        </w:rPr>
        <w:t>2014</w:t>
      </w:r>
      <w:r w:rsidRPr="00E869A4">
        <w:rPr>
          <w:rFonts w:ascii="Times New Roman" w:hAnsi="Times New Roman" w:cs="Times New Roman"/>
        </w:rPr>
        <w:t>; Ehrlich et al</w:t>
      </w:r>
      <w:r w:rsidR="004346B2" w:rsidRPr="00E869A4">
        <w:rPr>
          <w:rFonts w:ascii="Times New Roman" w:hAnsi="Times New Roman" w:cs="Times New Roman"/>
        </w:rPr>
        <w:t>.</w:t>
      </w:r>
      <w:r w:rsidRPr="00E869A4">
        <w:rPr>
          <w:rFonts w:ascii="Times New Roman" w:hAnsi="Times New Roman" w:cs="Times New Roman"/>
        </w:rPr>
        <w:t xml:space="preserve"> 2014; </w:t>
      </w:r>
      <w:r w:rsidR="00FF2C70" w:rsidRPr="00E869A4">
        <w:rPr>
          <w:rFonts w:ascii="Times New Roman" w:hAnsi="Times New Roman" w:cs="Times New Roman"/>
        </w:rPr>
        <w:t xml:space="preserve">Kramer 1997; </w:t>
      </w:r>
      <w:r w:rsidR="00DD34B4" w:rsidRPr="00E869A4">
        <w:rPr>
          <w:rFonts w:ascii="Times New Roman" w:hAnsi="Times New Roman" w:cs="Times New Roman"/>
        </w:rPr>
        <w:t xml:space="preserve">Walker, Pratt &amp; Eddy </w:t>
      </w:r>
      <w:r w:rsidRPr="00E869A4">
        <w:rPr>
          <w:rFonts w:ascii="Times New Roman" w:hAnsi="Times New Roman" w:cs="Times New Roman"/>
        </w:rPr>
        <w:t xml:space="preserve">1995). The sociological ambivalence framework outlined by Connidis and McMullin (2002) is a useful perspective for exploring family care situations of this </w:t>
      </w:r>
      <w:r w:rsidRPr="00E869A4">
        <w:rPr>
          <w:rFonts w:ascii="Times New Roman" w:hAnsi="Times New Roman" w:cs="Times New Roman"/>
        </w:rPr>
        <w:lastRenderedPageBreak/>
        <w:t xml:space="preserve">nature. Using a critical and </w:t>
      </w:r>
      <w:r w:rsidR="009F01B0" w:rsidRPr="00E869A4">
        <w:rPr>
          <w:rFonts w:ascii="Times New Roman" w:hAnsi="Times New Roman" w:cs="Times New Roman"/>
        </w:rPr>
        <w:t>SI</w:t>
      </w:r>
      <w:r w:rsidRPr="00E869A4">
        <w:rPr>
          <w:rFonts w:ascii="Times New Roman" w:hAnsi="Times New Roman" w:cs="Times New Roman"/>
        </w:rPr>
        <w:t xml:space="preserve"> perspective, they defi</w:t>
      </w:r>
      <w:r w:rsidR="00FD2BC0" w:rsidRPr="00E869A4">
        <w:rPr>
          <w:rFonts w:ascii="Times New Roman" w:hAnsi="Times New Roman" w:cs="Times New Roman"/>
        </w:rPr>
        <w:t xml:space="preserve">ned sociological ambivalence as </w:t>
      </w:r>
      <w:r w:rsidRPr="00E869A4">
        <w:rPr>
          <w:rFonts w:ascii="Times New Roman" w:hAnsi="Times New Roman" w:cs="Times New Roman"/>
        </w:rPr>
        <w:t>“simultaneously held opposing feelings or emotions that are due in part to countervailing expectations about how individuals should act</w:t>
      </w:r>
      <w:r w:rsidR="008A65A4" w:rsidRPr="00E869A4">
        <w:rPr>
          <w:rFonts w:ascii="Times New Roman" w:hAnsi="Times New Roman" w:cs="Times New Roman"/>
        </w:rPr>
        <w:t>.</w:t>
      </w:r>
      <w:r w:rsidRPr="00E869A4">
        <w:rPr>
          <w:rFonts w:ascii="Times New Roman" w:hAnsi="Times New Roman" w:cs="Times New Roman"/>
        </w:rPr>
        <w:t>” (</w:t>
      </w:r>
      <w:r w:rsidR="00A37DD1" w:rsidRPr="00E869A4">
        <w:rPr>
          <w:rFonts w:ascii="Times New Roman" w:hAnsi="Times New Roman" w:cs="Times New Roman"/>
        </w:rPr>
        <w:t xml:space="preserve">Connidis &amp; McMullin 2002, </w:t>
      </w:r>
      <w:r w:rsidRPr="00E869A4">
        <w:rPr>
          <w:rFonts w:ascii="Times New Roman" w:hAnsi="Times New Roman" w:cs="Times New Roman"/>
        </w:rPr>
        <w:t>p. 558). These contradictory expectations are “rooted within the social structure</w:t>
      </w:r>
      <w:r w:rsidR="008A65A4" w:rsidRPr="00E869A4">
        <w:rPr>
          <w:rFonts w:ascii="Times New Roman" w:hAnsi="Times New Roman" w:cs="Times New Roman"/>
        </w:rPr>
        <w:t>.</w:t>
      </w:r>
      <w:r w:rsidRPr="00E869A4">
        <w:rPr>
          <w:rFonts w:ascii="Times New Roman" w:hAnsi="Times New Roman" w:cs="Times New Roman"/>
        </w:rPr>
        <w:t>” (</w:t>
      </w:r>
      <w:r w:rsidR="00A37DD1" w:rsidRPr="00E869A4">
        <w:rPr>
          <w:rFonts w:ascii="Times New Roman" w:hAnsi="Times New Roman" w:cs="Times New Roman"/>
        </w:rPr>
        <w:t>Connidis &amp; McMullin 2002, p.</w:t>
      </w:r>
      <w:r w:rsidRPr="00E869A4">
        <w:rPr>
          <w:rFonts w:ascii="Times New Roman" w:hAnsi="Times New Roman" w:cs="Times New Roman"/>
        </w:rPr>
        <w:t xml:space="preserve"> 563). Thus, from this vantage point, researchers should be more attuned to conflict and power relations in various facets of family life, and how ambivalence is resolved in such contexts</w:t>
      </w:r>
      <w:r w:rsidRPr="00E869A4">
        <w:rPr>
          <w:rStyle w:val="FootnoteReference"/>
          <w:rFonts w:ascii="Times New Roman" w:hAnsi="Times New Roman" w:cs="Times New Roman"/>
        </w:rPr>
        <w:footnoteReference w:id="36"/>
      </w:r>
      <w:r w:rsidRPr="00E869A4">
        <w:rPr>
          <w:rFonts w:ascii="Times New Roman" w:hAnsi="Times New Roman" w:cs="Times New Roman"/>
        </w:rPr>
        <w:t xml:space="preserve">. </w:t>
      </w:r>
    </w:p>
    <w:p w14:paraId="793BC85D" w14:textId="77777777" w:rsidR="00AB703F" w:rsidRPr="00E869A4" w:rsidRDefault="00AB703F" w:rsidP="00A35FF8">
      <w:pPr>
        <w:rPr>
          <w:rFonts w:ascii="Times New Roman" w:hAnsi="Times New Roman" w:cs="Times New Roman"/>
        </w:rPr>
      </w:pPr>
    </w:p>
    <w:p w14:paraId="48386D7C" w14:textId="630F5749" w:rsidR="002A7CE0" w:rsidRPr="00E869A4" w:rsidRDefault="002A7CE0" w:rsidP="00A35FF8">
      <w:pPr>
        <w:rPr>
          <w:rFonts w:ascii="Times New Roman" w:hAnsi="Times New Roman" w:cs="Times New Roman"/>
        </w:rPr>
      </w:pPr>
      <w:r w:rsidRPr="00E869A4">
        <w:rPr>
          <w:rFonts w:ascii="Times New Roman" w:hAnsi="Times New Roman" w:cs="Times New Roman"/>
        </w:rPr>
        <w:t>The life</w:t>
      </w:r>
      <w:r w:rsidR="009F01B0" w:rsidRPr="00E869A4">
        <w:rPr>
          <w:rFonts w:ascii="Times New Roman" w:hAnsi="Times New Roman" w:cs="Times New Roman"/>
        </w:rPr>
        <w:t xml:space="preserve"> </w:t>
      </w:r>
      <w:r w:rsidRPr="00E869A4">
        <w:rPr>
          <w:rFonts w:ascii="Times New Roman" w:hAnsi="Times New Roman" w:cs="Times New Roman"/>
        </w:rPr>
        <w:t>course perspective is also useful for assessing both the positive and negative experiences of caregiving and the ambivalence that may exist in how those involved in care relationships perceive the experience. In this regard, caregiving experiences may be considered to either improve or worsen at different points in time during the caregiving career</w:t>
      </w:r>
      <w:r w:rsidR="00AD0E30" w:rsidRPr="00E869A4">
        <w:rPr>
          <w:rFonts w:ascii="Times New Roman" w:hAnsi="Times New Roman" w:cs="Times New Roman"/>
        </w:rPr>
        <w:t>,</w:t>
      </w:r>
      <w:r w:rsidRPr="00E869A4">
        <w:rPr>
          <w:rFonts w:ascii="Times New Roman" w:hAnsi="Times New Roman" w:cs="Times New Roman"/>
        </w:rPr>
        <w:t xml:space="preserve"> and may be influenced by prior experiences.</w:t>
      </w:r>
    </w:p>
    <w:p w14:paraId="11BC6C16" w14:textId="77777777" w:rsidR="003630E3" w:rsidRPr="00E869A4" w:rsidRDefault="003630E3" w:rsidP="00A35FF8">
      <w:pPr>
        <w:rPr>
          <w:rFonts w:ascii="Times New Roman" w:hAnsi="Times New Roman" w:cs="Times New Roman"/>
        </w:rPr>
      </w:pPr>
    </w:p>
    <w:p w14:paraId="4FE81ECF" w14:textId="6C52B2C1" w:rsidR="002A7CE0" w:rsidRPr="00E869A4" w:rsidRDefault="002A7CE0" w:rsidP="00A35FF8">
      <w:pPr>
        <w:rPr>
          <w:rFonts w:ascii="Times New Roman" w:hAnsi="Times New Roman" w:cs="Times New Roman"/>
        </w:rPr>
      </w:pPr>
      <w:r w:rsidRPr="00E869A4">
        <w:rPr>
          <w:rFonts w:ascii="Times New Roman" w:hAnsi="Times New Roman" w:cs="Times New Roman"/>
        </w:rPr>
        <w:t>An often overlooked assessment of the caregiving experience is that there are people who may have a neutral stance on their care experience. For these persons, family care is neither good nor bad (Hunt 2003; Lawton et al</w:t>
      </w:r>
      <w:r w:rsidR="001B5203" w:rsidRPr="00E869A4">
        <w:rPr>
          <w:rFonts w:ascii="Times New Roman" w:hAnsi="Times New Roman" w:cs="Times New Roman"/>
        </w:rPr>
        <w:t>.</w:t>
      </w:r>
      <w:r w:rsidRPr="00E869A4">
        <w:rPr>
          <w:rFonts w:ascii="Times New Roman" w:hAnsi="Times New Roman" w:cs="Times New Roman"/>
        </w:rPr>
        <w:t xml:space="preserve"> 1989). More research is needed to explore this aspect of </w:t>
      </w:r>
      <w:r w:rsidR="00243D67">
        <w:rPr>
          <w:rFonts w:ascii="Times New Roman" w:hAnsi="Times New Roman" w:cs="Times New Roman"/>
        </w:rPr>
        <w:t>the care</w:t>
      </w:r>
      <w:r w:rsidRPr="00E869A4">
        <w:rPr>
          <w:rFonts w:ascii="Times New Roman" w:hAnsi="Times New Roman" w:cs="Times New Roman"/>
        </w:rPr>
        <w:t xml:space="preserve"> </w:t>
      </w:r>
      <w:r w:rsidR="00243D67">
        <w:rPr>
          <w:rFonts w:ascii="Times New Roman" w:hAnsi="Times New Roman" w:cs="Times New Roman"/>
        </w:rPr>
        <w:t>experience</w:t>
      </w:r>
      <w:r w:rsidRPr="00E869A4">
        <w:rPr>
          <w:rFonts w:ascii="Times New Roman" w:hAnsi="Times New Roman" w:cs="Times New Roman"/>
        </w:rPr>
        <w:t xml:space="preserve">. </w:t>
      </w:r>
    </w:p>
    <w:p w14:paraId="75E3F3DC" w14:textId="77777777" w:rsidR="008A65A4" w:rsidRPr="00E869A4" w:rsidRDefault="008A65A4" w:rsidP="00A35FF8">
      <w:bookmarkStart w:id="192" w:name="_Toc509940559"/>
      <w:bookmarkStart w:id="193" w:name="_Toc509993428"/>
    </w:p>
    <w:p w14:paraId="73C278B7" w14:textId="77777777" w:rsidR="006B66E7" w:rsidRPr="00E869A4" w:rsidRDefault="006B66E7" w:rsidP="00A35FF8"/>
    <w:p w14:paraId="7ACE5EAE" w14:textId="2353C0CC" w:rsidR="002A7CE0" w:rsidRPr="00E869A4" w:rsidRDefault="00FB6789" w:rsidP="00175C3E">
      <w:pPr>
        <w:pStyle w:val="Heading2"/>
      </w:pPr>
      <w:bookmarkStart w:id="194" w:name="_Toc40436494"/>
      <w:r w:rsidRPr="00E869A4">
        <w:t>3</w:t>
      </w:r>
      <w:r w:rsidR="00756818" w:rsidRPr="00E869A4">
        <w:t>.</w:t>
      </w:r>
      <w:r w:rsidRPr="00E869A4">
        <w:t>4</w:t>
      </w:r>
      <w:r w:rsidR="00756818" w:rsidRPr="00E869A4">
        <w:t xml:space="preserve"> </w:t>
      </w:r>
      <w:bookmarkEnd w:id="192"/>
      <w:bookmarkEnd w:id="193"/>
      <w:r w:rsidR="002F1C45" w:rsidRPr="00E869A4">
        <w:t xml:space="preserve">FACTORS IMPACTING ON </w:t>
      </w:r>
      <w:r w:rsidR="005277D6" w:rsidRPr="00E869A4">
        <w:t xml:space="preserve">EXPERIENCES </w:t>
      </w:r>
      <w:r w:rsidR="002F1C45" w:rsidRPr="00E869A4">
        <w:t>OF CARE</w:t>
      </w:r>
      <w:bookmarkEnd w:id="194"/>
    </w:p>
    <w:p w14:paraId="5A1338AA" w14:textId="77777777" w:rsidR="00D04DCD" w:rsidRPr="00E869A4" w:rsidRDefault="00D04DCD" w:rsidP="0051234F">
      <w:pPr>
        <w:pStyle w:val="112"/>
        <w:rPr>
          <w:color w:val="auto"/>
        </w:rPr>
      </w:pPr>
    </w:p>
    <w:p w14:paraId="56993218" w14:textId="63B360D2" w:rsidR="00A37DD1" w:rsidRPr="00E869A4" w:rsidRDefault="002A7CE0">
      <w:pPr>
        <w:rPr>
          <w:rFonts w:ascii="Times New Roman" w:hAnsi="Times New Roman" w:cs="Times New Roman"/>
        </w:rPr>
      </w:pPr>
      <w:r w:rsidRPr="00E869A4">
        <w:rPr>
          <w:rFonts w:ascii="Times New Roman" w:hAnsi="Times New Roman" w:cs="Times New Roman"/>
        </w:rPr>
        <w:t xml:space="preserve">In this </w:t>
      </w:r>
      <w:r w:rsidR="00C25074" w:rsidRPr="00E869A4">
        <w:rPr>
          <w:rFonts w:ascii="Times New Roman" w:hAnsi="Times New Roman" w:cs="Times New Roman"/>
        </w:rPr>
        <w:t>section,</w:t>
      </w:r>
      <w:r w:rsidRPr="00E869A4">
        <w:rPr>
          <w:rFonts w:ascii="Times New Roman" w:hAnsi="Times New Roman" w:cs="Times New Roman"/>
        </w:rPr>
        <w:t xml:space="preserve"> I look more closely at empirical studies that were conducted on specific factors </w:t>
      </w:r>
      <w:r w:rsidR="009F01B0" w:rsidRPr="00E869A4">
        <w:rPr>
          <w:rFonts w:ascii="Times New Roman" w:hAnsi="Times New Roman" w:cs="Times New Roman"/>
        </w:rPr>
        <w:t>which</w:t>
      </w:r>
      <w:r w:rsidR="00A37DD1" w:rsidRPr="00E869A4">
        <w:rPr>
          <w:rFonts w:ascii="Times New Roman" w:hAnsi="Times New Roman" w:cs="Times New Roman"/>
        </w:rPr>
        <w:t xml:space="preserve"> </w:t>
      </w:r>
      <w:r w:rsidR="00C25074" w:rsidRPr="00E869A4">
        <w:rPr>
          <w:rFonts w:ascii="Times New Roman" w:hAnsi="Times New Roman" w:cs="Times New Roman"/>
        </w:rPr>
        <w:t>affect</w:t>
      </w:r>
      <w:r w:rsidRPr="00E869A4">
        <w:rPr>
          <w:rFonts w:ascii="Times New Roman" w:hAnsi="Times New Roman" w:cs="Times New Roman"/>
        </w:rPr>
        <w:t xml:space="preserve"> </w:t>
      </w:r>
      <w:r w:rsidR="005277D6" w:rsidRPr="00E869A4">
        <w:rPr>
          <w:rFonts w:ascii="Times New Roman" w:hAnsi="Times New Roman" w:cs="Times New Roman"/>
        </w:rPr>
        <w:t>how</w:t>
      </w:r>
      <w:r w:rsidRPr="00E869A4">
        <w:rPr>
          <w:rFonts w:ascii="Times New Roman" w:hAnsi="Times New Roman" w:cs="Times New Roman"/>
        </w:rPr>
        <w:t xml:space="preserve"> family caregivers and older </w:t>
      </w:r>
      <w:r w:rsidR="009E2738" w:rsidRPr="00E869A4">
        <w:rPr>
          <w:rFonts w:ascii="Times New Roman" w:hAnsi="Times New Roman" w:cs="Times New Roman"/>
        </w:rPr>
        <w:t>care recipient</w:t>
      </w:r>
      <w:r w:rsidRPr="00E869A4">
        <w:rPr>
          <w:rFonts w:ascii="Times New Roman" w:hAnsi="Times New Roman" w:cs="Times New Roman"/>
        </w:rPr>
        <w:t>s</w:t>
      </w:r>
      <w:r w:rsidR="005277D6" w:rsidRPr="00E869A4">
        <w:rPr>
          <w:rFonts w:ascii="Times New Roman" w:hAnsi="Times New Roman" w:cs="Times New Roman"/>
        </w:rPr>
        <w:t xml:space="preserve"> experience care</w:t>
      </w:r>
      <w:r w:rsidRPr="00E869A4">
        <w:rPr>
          <w:rFonts w:ascii="Times New Roman" w:hAnsi="Times New Roman" w:cs="Times New Roman"/>
        </w:rPr>
        <w:t xml:space="preserve">. </w:t>
      </w:r>
      <w:r w:rsidR="00C46DCC" w:rsidRPr="00E869A4">
        <w:rPr>
          <w:rFonts w:ascii="Times New Roman" w:hAnsi="Times New Roman" w:cs="Times New Roman"/>
        </w:rPr>
        <w:t>These factors have been subdivided into four main categories</w:t>
      </w:r>
      <w:r w:rsidR="00E30902" w:rsidRPr="00E869A4">
        <w:rPr>
          <w:rFonts w:ascii="Times New Roman" w:hAnsi="Times New Roman" w:cs="Times New Roman"/>
        </w:rPr>
        <w:t>:</w:t>
      </w:r>
      <w:r w:rsidR="00C46DCC" w:rsidRPr="00E869A4">
        <w:rPr>
          <w:rFonts w:ascii="Times New Roman" w:hAnsi="Times New Roman" w:cs="Times New Roman"/>
        </w:rPr>
        <w:t xml:space="preserve"> demographic</w:t>
      </w:r>
      <w:r w:rsidR="00921FB8" w:rsidRPr="00E869A4">
        <w:rPr>
          <w:rFonts w:ascii="Times New Roman" w:hAnsi="Times New Roman" w:cs="Times New Roman"/>
        </w:rPr>
        <w:t>;</w:t>
      </w:r>
      <w:r w:rsidR="00C46DCC" w:rsidRPr="00E869A4">
        <w:rPr>
          <w:rFonts w:ascii="Times New Roman" w:hAnsi="Times New Roman" w:cs="Times New Roman"/>
        </w:rPr>
        <w:t xml:space="preserve"> relationship</w:t>
      </w:r>
      <w:r w:rsidR="00921FB8" w:rsidRPr="00E869A4">
        <w:rPr>
          <w:rFonts w:ascii="Times New Roman" w:hAnsi="Times New Roman" w:cs="Times New Roman"/>
        </w:rPr>
        <w:t>;</w:t>
      </w:r>
      <w:r w:rsidR="00C46DCC" w:rsidRPr="00E869A4">
        <w:rPr>
          <w:rFonts w:ascii="Times New Roman" w:hAnsi="Times New Roman" w:cs="Times New Roman"/>
        </w:rPr>
        <w:t xml:space="preserve"> care</w:t>
      </w:r>
      <w:r w:rsidR="00921FB8" w:rsidRPr="00E869A4">
        <w:rPr>
          <w:rFonts w:ascii="Times New Roman" w:hAnsi="Times New Roman" w:cs="Times New Roman"/>
        </w:rPr>
        <w:t>;</w:t>
      </w:r>
      <w:r w:rsidR="00C46DCC" w:rsidRPr="00E869A4">
        <w:rPr>
          <w:rFonts w:ascii="Times New Roman" w:hAnsi="Times New Roman" w:cs="Times New Roman"/>
        </w:rPr>
        <w:t xml:space="preserve"> and</w:t>
      </w:r>
      <w:r w:rsidR="00921FB8" w:rsidRPr="00E869A4">
        <w:rPr>
          <w:rFonts w:ascii="Times New Roman" w:hAnsi="Times New Roman" w:cs="Times New Roman"/>
        </w:rPr>
        <w:t>,</w:t>
      </w:r>
      <w:r w:rsidR="00C46DCC" w:rsidRPr="00E869A4">
        <w:rPr>
          <w:rFonts w:ascii="Times New Roman" w:hAnsi="Times New Roman" w:cs="Times New Roman"/>
        </w:rPr>
        <w:t xml:space="preserve"> cultural factors.</w:t>
      </w:r>
      <w:bookmarkStart w:id="195" w:name="_Toc509940560"/>
    </w:p>
    <w:p w14:paraId="53086928" w14:textId="77777777" w:rsidR="008A65A4" w:rsidRPr="00E869A4" w:rsidRDefault="008A65A4">
      <w:pPr>
        <w:rPr>
          <w:b/>
          <w:i/>
          <w:u w:val="single"/>
        </w:rPr>
      </w:pPr>
    </w:p>
    <w:p w14:paraId="02002E72" w14:textId="18E6317F" w:rsidR="002A7CE0" w:rsidRPr="00E869A4" w:rsidRDefault="00FB6789" w:rsidP="005C449C">
      <w:pPr>
        <w:pStyle w:val="Heading3"/>
      </w:pPr>
      <w:bookmarkStart w:id="196" w:name="_Toc40436495"/>
      <w:r w:rsidRPr="00E869A4">
        <w:t>3</w:t>
      </w:r>
      <w:r w:rsidR="00BE21BC" w:rsidRPr="00E869A4">
        <w:t>.</w:t>
      </w:r>
      <w:r w:rsidRPr="00E869A4">
        <w:t>4</w:t>
      </w:r>
      <w:r w:rsidR="00BE21BC" w:rsidRPr="00E869A4">
        <w:t xml:space="preserve">.1     </w:t>
      </w:r>
      <w:r w:rsidR="002A7CE0" w:rsidRPr="00E869A4">
        <w:t>Demographic Factors</w:t>
      </w:r>
      <w:bookmarkEnd w:id="195"/>
      <w:bookmarkEnd w:id="196"/>
    </w:p>
    <w:p w14:paraId="5C028508" w14:textId="77777777" w:rsidR="00D04DCD" w:rsidRPr="00E869A4" w:rsidRDefault="00D04DCD" w:rsidP="0051234F">
      <w:pPr>
        <w:pStyle w:val="112"/>
        <w:rPr>
          <w:color w:val="auto"/>
        </w:rPr>
      </w:pPr>
    </w:p>
    <w:p w14:paraId="048B38A0" w14:textId="39EBC4CE" w:rsidR="003630E3" w:rsidRPr="00E869A4" w:rsidRDefault="003630E3" w:rsidP="0051234F">
      <w:pPr>
        <w:pStyle w:val="112"/>
        <w:rPr>
          <w:color w:val="auto"/>
        </w:rPr>
      </w:pPr>
      <w:r w:rsidRPr="00E869A4">
        <w:rPr>
          <w:color w:val="auto"/>
        </w:rPr>
        <w:t>The demographic factors that are examined in this section are: age</w:t>
      </w:r>
      <w:r w:rsidR="002C7BDF" w:rsidRPr="00E869A4">
        <w:rPr>
          <w:color w:val="auto"/>
        </w:rPr>
        <w:t>;</w:t>
      </w:r>
      <w:r w:rsidRPr="00E869A4">
        <w:rPr>
          <w:color w:val="auto"/>
        </w:rPr>
        <w:t xml:space="preserve"> gender</w:t>
      </w:r>
      <w:r w:rsidR="002C7BDF" w:rsidRPr="00E869A4">
        <w:rPr>
          <w:color w:val="auto"/>
        </w:rPr>
        <w:t>;</w:t>
      </w:r>
      <w:r w:rsidRPr="00E869A4">
        <w:rPr>
          <w:color w:val="auto"/>
        </w:rPr>
        <w:t xml:space="preserve"> marital status</w:t>
      </w:r>
      <w:r w:rsidR="002C7BDF" w:rsidRPr="00E869A4">
        <w:rPr>
          <w:color w:val="auto"/>
        </w:rPr>
        <w:t>;</w:t>
      </w:r>
      <w:r w:rsidRPr="00E869A4">
        <w:rPr>
          <w:color w:val="auto"/>
        </w:rPr>
        <w:t xml:space="preserve"> race and ethnicity</w:t>
      </w:r>
      <w:r w:rsidR="002C7BDF" w:rsidRPr="00E869A4">
        <w:rPr>
          <w:color w:val="auto"/>
        </w:rPr>
        <w:t>;</w:t>
      </w:r>
      <w:r w:rsidRPr="00E869A4">
        <w:rPr>
          <w:color w:val="auto"/>
        </w:rPr>
        <w:t xml:space="preserve"> employment and income status</w:t>
      </w:r>
      <w:r w:rsidR="002C7BDF" w:rsidRPr="00E869A4">
        <w:rPr>
          <w:color w:val="auto"/>
        </w:rPr>
        <w:t>;</w:t>
      </w:r>
      <w:r w:rsidRPr="00E869A4">
        <w:rPr>
          <w:color w:val="auto"/>
        </w:rPr>
        <w:t xml:space="preserve"> educational background</w:t>
      </w:r>
      <w:r w:rsidR="002C7BDF" w:rsidRPr="00E869A4">
        <w:rPr>
          <w:color w:val="auto"/>
        </w:rPr>
        <w:t>;</w:t>
      </w:r>
      <w:r w:rsidRPr="00E869A4">
        <w:rPr>
          <w:color w:val="auto"/>
        </w:rPr>
        <w:t xml:space="preserve"> and</w:t>
      </w:r>
      <w:r w:rsidR="002C7BDF" w:rsidRPr="00E869A4">
        <w:rPr>
          <w:color w:val="auto"/>
        </w:rPr>
        <w:t>,</w:t>
      </w:r>
      <w:r w:rsidRPr="00E869A4">
        <w:rPr>
          <w:color w:val="auto"/>
        </w:rPr>
        <w:t xml:space="preserve"> geographical proximity. </w:t>
      </w:r>
    </w:p>
    <w:p w14:paraId="1A060FDD" w14:textId="77777777" w:rsidR="003630E3" w:rsidRPr="00E869A4" w:rsidRDefault="003630E3" w:rsidP="0051234F">
      <w:pPr>
        <w:pStyle w:val="112"/>
        <w:rPr>
          <w:color w:val="auto"/>
        </w:rPr>
      </w:pPr>
    </w:p>
    <w:p w14:paraId="67B677E5" w14:textId="3E407C63" w:rsidR="002A7CE0" w:rsidRPr="00E869A4" w:rsidRDefault="002A7CE0" w:rsidP="00112260">
      <w:pPr>
        <w:pStyle w:val="Heading4"/>
      </w:pPr>
      <w:bookmarkStart w:id="197" w:name="_Toc509940561"/>
      <w:r w:rsidRPr="00E869A4">
        <w:lastRenderedPageBreak/>
        <w:t>Age</w:t>
      </w:r>
      <w:bookmarkEnd w:id="197"/>
      <w:r w:rsidRPr="00E869A4">
        <w:t xml:space="preserve"> </w:t>
      </w:r>
    </w:p>
    <w:p w14:paraId="5E2283ED" w14:textId="77777777" w:rsidR="00D04DCD" w:rsidRPr="00E869A4" w:rsidRDefault="00D04DCD" w:rsidP="0051234F">
      <w:pPr>
        <w:pStyle w:val="112"/>
        <w:rPr>
          <w:color w:val="auto"/>
        </w:rPr>
      </w:pPr>
    </w:p>
    <w:p w14:paraId="6D2BFEFA" w14:textId="20D3C527"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The relationship between age and </w:t>
      </w:r>
      <w:r w:rsidR="00745FD9" w:rsidRPr="00E869A4">
        <w:rPr>
          <w:rFonts w:ascii="Times New Roman" w:hAnsi="Times New Roman" w:cs="Times New Roman"/>
        </w:rPr>
        <w:t>experiences</w:t>
      </w:r>
      <w:r w:rsidRPr="00E869A4">
        <w:rPr>
          <w:rFonts w:ascii="Times New Roman" w:hAnsi="Times New Roman" w:cs="Times New Roman"/>
        </w:rPr>
        <w:t xml:space="preserve"> of care has been mixed. While some res</w:t>
      </w:r>
      <w:r w:rsidR="00934743" w:rsidRPr="00E869A4">
        <w:rPr>
          <w:rFonts w:ascii="Times New Roman" w:hAnsi="Times New Roman" w:cs="Times New Roman"/>
        </w:rPr>
        <w:t xml:space="preserve">earchers (e.g. </w:t>
      </w:r>
      <w:r w:rsidR="00C86C24" w:rsidRPr="00E869A4">
        <w:rPr>
          <w:rFonts w:ascii="Times New Roman" w:hAnsi="Times New Roman" w:cs="Times New Roman"/>
        </w:rPr>
        <w:t xml:space="preserve">Lin, Fee &amp; Wu 2012; </w:t>
      </w:r>
      <w:r w:rsidR="00934743" w:rsidRPr="00E869A4">
        <w:rPr>
          <w:rFonts w:ascii="Times New Roman" w:hAnsi="Times New Roman" w:cs="Times New Roman"/>
        </w:rPr>
        <w:t>Metzelthin et al.</w:t>
      </w:r>
      <w:r w:rsidRPr="00E869A4">
        <w:rPr>
          <w:rFonts w:ascii="Times New Roman" w:hAnsi="Times New Roman" w:cs="Times New Roman"/>
        </w:rPr>
        <w:t xml:space="preserve"> 2017; Peacock et al</w:t>
      </w:r>
      <w:r w:rsidR="00D71DBE" w:rsidRPr="00E869A4">
        <w:rPr>
          <w:rFonts w:ascii="Times New Roman" w:hAnsi="Times New Roman" w:cs="Times New Roman"/>
        </w:rPr>
        <w:t>.</w:t>
      </w:r>
      <w:r w:rsidRPr="00E869A4">
        <w:rPr>
          <w:rFonts w:ascii="Times New Roman" w:hAnsi="Times New Roman" w:cs="Times New Roman"/>
        </w:rPr>
        <w:t xml:space="preserve"> 2017; Wallhagen &amp; Kagan 1993) found that older </w:t>
      </w:r>
      <w:r w:rsidR="00D61B33" w:rsidRPr="00E869A4">
        <w:rPr>
          <w:rFonts w:ascii="Times New Roman" w:hAnsi="Times New Roman" w:cs="Times New Roman"/>
        </w:rPr>
        <w:t>caregivers’</w:t>
      </w:r>
      <w:r w:rsidRPr="00E869A4">
        <w:rPr>
          <w:rFonts w:ascii="Times New Roman" w:hAnsi="Times New Roman" w:cs="Times New Roman"/>
        </w:rPr>
        <w:t xml:space="preserve"> perceived care to be challenging given their own health </w:t>
      </w:r>
      <w:r w:rsidR="000C3909" w:rsidRPr="00E869A4">
        <w:rPr>
          <w:rFonts w:ascii="Times New Roman" w:hAnsi="Times New Roman" w:cs="Times New Roman"/>
        </w:rPr>
        <w:t>problem</w:t>
      </w:r>
      <w:r w:rsidRPr="00E869A4">
        <w:rPr>
          <w:rFonts w:ascii="Times New Roman" w:hAnsi="Times New Roman" w:cs="Times New Roman"/>
        </w:rPr>
        <w:t xml:space="preserve">s, other older persons had positive sentiments about caregiving. </w:t>
      </w:r>
      <w:r w:rsidR="00DD34B4" w:rsidRPr="00E869A4">
        <w:rPr>
          <w:rFonts w:ascii="Times New Roman" w:hAnsi="Times New Roman" w:cs="Times New Roman"/>
        </w:rPr>
        <w:t>Walker, Powers and Bisconti</w:t>
      </w:r>
      <w:r w:rsidRPr="00E869A4">
        <w:rPr>
          <w:rFonts w:ascii="Times New Roman" w:hAnsi="Times New Roman" w:cs="Times New Roman"/>
        </w:rPr>
        <w:t xml:space="preserve"> (2016)</w:t>
      </w:r>
      <w:r w:rsidR="008D3DA9" w:rsidRPr="00E869A4">
        <w:rPr>
          <w:rFonts w:ascii="Times New Roman" w:hAnsi="Times New Roman" w:cs="Times New Roman"/>
        </w:rPr>
        <w:t>,</w:t>
      </w:r>
      <w:r w:rsidRPr="00E869A4">
        <w:rPr>
          <w:rFonts w:ascii="Times New Roman" w:hAnsi="Times New Roman" w:cs="Times New Roman"/>
        </w:rPr>
        <w:t xml:space="preserve"> for example, found that older women reported higher levels of well-being compared to young women caring for an older adult, and this was despite the fact that the older women in their sample may have been as equally </w:t>
      </w:r>
      <w:r w:rsidR="000C3909" w:rsidRPr="00E869A4">
        <w:rPr>
          <w:rFonts w:ascii="Times New Roman" w:hAnsi="Times New Roman" w:cs="Times New Roman"/>
        </w:rPr>
        <w:t>‘</w:t>
      </w:r>
      <w:r w:rsidRPr="00E869A4">
        <w:rPr>
          <w:rFonts w:ascii="Times New Roman" w:hAnsi="Times New Roman" w:cs="Times New Roman"/>
        </w:rPr>
        <w:t>sandwiched</w:t>
      </w:r>
      <w:r w:rsidR="000C3909" w:rsidRPr="00E869A4">
        <w:rPr>
          <w:rFonts w:ascii="Times New Roman" w:hAnsi="Times New Roman" w:cs="Times New Roman"/>
        </w:rPr>
        <w:t>’</w:t>
      </w:r>
      <w:r w:rsidRPr="00E869A4">
        <w:rPr>
          <w:rFonts w:ascii="Times New Roman" w:hAnsi="Times New Roman" w:cs="Times New Roman"/>
        </w:rPr>
        <w:t xml:space="preserve"> between competing roles of working and providing care to youn</w:t>
      </w:r>
      <w:r w:rsidR="007554CC" w:rsidRPr="00E869A4">
        <w:rPr>
          <w:rFonts w:ascii="Times New Roman" w:hAnsi="Times New Roman" w:cs="Times New Roman"/>
        </w:rPr>
        <w:t>g children (usually their grand</w:t>
      </w:r>
      <w:r w:rsidRPr="00E869A4">
        <w:rPr>
          <w:rFonts w:ascii="Times New Roman" w:hAnsi="Times New Roman" w:cs="Times New Roman"/>
        </w:rPr>
        <w:t xml:space="preserve">children). They surmised that the positive regard older women had for caregiving </w:t>
      </w:r>
      <w:r w:rsidR="008D57A9" w:rsidRPr="00E869A4">
        <w:rPr>
          <w:rFonts w:ascii="Times New Roman" w:hAnsi="Times New Roman" w:cs="Times New Roman"/>
        </w:rPr>
        <w:t>might</w:t>
      </w:r>
      <w:r w:rsidRPr="00E869A4">
        <w:rPr>
          <w:rFonts w:ascii="Times New Roman" w:hAnsi="Times New Roman" w:cs="Times New Roman"/>
        </w:rPr>
        <w:t xml:space="preserve"> have been a result of the potentially increased sense of purpose, accomplishment, meaning and confidence the</w:t>
      </w:r>
      <w:r w:rsidR="00C537E0" w:rsidRPr="00E869A4">
        <w:rPr>
          <w:rFonts w:ascii="Times New Roman" w:hAnsi="Times New Roman" w:cs="Times New Roman"/>
        </w:rPr>
        <w:t>y</w:t>
      </w:r>
      <w:r w:rsidRPr="00E869A4">
        <w:rPr>
          <w:rFonts w:ascii="Times New Roman" w:hAnsi="Times New Roman" w:cs="Times New Roman"/>
        </w:rPr>
        <w:t xml:space="preserve"> experienced </w:t>
      </w:r>
      <w:r w:rsidR="00967B89" w:rsidRPr="00E869A4">
        <w:rPr>
          <w:rFonts w:ascii="Times New Roman" w:hAnsi="Times New Roman" w:cs="Times New Roman"/>
        </w:rPr>
        <w:t>because</w:t>
      </w:r>
      <w:r w:rsidRPr="00E869A4">
        <w:rPr>
          <w:rFonts w:ascii="Times New Roman" w:hAnsi="Times New Roman" w:cs="Times New Roman"/>
        </w:rPr>
        <w:t xml:space="preserve"> of caring for others and </w:t>
      </w:r>
      <w:r w:rsidR="00252856" w:rsidRPr="00E869A4">
        <w:rPr>
          <w:rFonts w:ascii="Times New Roman" w:hAnsi="Times New Roman" w:cs="Times New Roman"/>
        </w:rPr>
        <w:t>engaging</w:t>
      </w:r>
      <w:r w:rsidRPr="00E869A4">
        <w:rPr>
          <w:rFonts w:ascii="Times New Roman" w:hAnsi="Times New Roman" w:cs="Times New Roman"/>
        </w:rPr>
        <w:t xml:space="preserve"> in multiple roles.</w:t>
      </w:r>
    </w:p>
    <w:p w14:paraId="4BE19B87" w14:textId="77777777" w:rsidR="00D04DCD" w:rsidRPr="00E869A4" w:rsidRDefault="00D04DCD" w:rsidP="00A35FF8">
      <w:pPr>
        <w:rPr>
          <w:rFonts w:ascii="Times New Roman" w:hAnsi="Times New Roman" w:cs="Times New Roman"/>
        </w:rPr>
      </w:pPr>
    </w:p>
    <w:p w14:paraId="29187AA9" w14:textId="77777777" w:rsidR="002A7CE0" w:rsidRPr="00E869A4" w:rsidRDefault="002A7CE0" w:rsidP="00112260">
      <w:pPr>
        <w:pStyle w:val="Heading4"/>
      </w:pPr>
      <w:bookmarkStart w:id="198" w:name="_Toc509940562"/>
      <w:r w:rsidRPr="00E869A4">
        <w:t>Gender</w:t>
      </w:r>
      <w:bookmarkEnd w:id="198"/>
    </w:p>
    <w:p w14:paraId="2B267F76" w14:textId="77777777" w:rsidR="00D04DCD" w:rsidRPr="00E869A4" w:rsidRDefault="00D04DCD" w:rsidP="0051234F">
      <w:pPr>
        <w:pStyle w:val="112"/>
        <w:rPr>
          <w:color w:val="auto"/>
        </w:rPr>
      </w:pPr>
    </w:p>
    <w:p w14:paraId="0035F04A" w14:textId="77777777" w:rsidR="009B63E6" w:rsidRPr="00E869A4" w:rsidRDefault="002A7CE0" w:rsidP="00A35FF8">
      <w:pPr>
        <w:rPr>
          <w:rFonts w:ascii="Times New Roman" w:hAnsi="Times New Roman" w:cs="Times New Roman"/>
        </w:rPr>
      </w:pPr>
      <w:r w:rsidRPr="00E869A4">
        <w:rPr>
          <w:rFonts w:ascii="Times New Roman" w:hAnsi="Times New Roman" w:cs="Times New Roman"/>
        </w:rPr>
        <w:t xml:space="preserve">Results were also mixed with respect to the gender differences in perceived levels of stress of family carers. In their analysis of the 2004 National Long-Term Care Survey in which data was collected on Medicare beneficiaries aged 65 years and over in the USA and their family caregivers, Lin and colleagues (2012) found that female and adult-child caregivers generally expressed more negative views than did male and spouse caregivers. More specifically, wife and daughter caregivers were more likely to have less time for family members, give up vacations or hobbies, have physical or emotional strain, feel exhaustion, feel that they have more things to do than they could handle, </w:t>
      </w:r>
      <w:r w:rsidR="00D61B33" w:rsidRPr="00E869A4">
        <w:rPr>
          <w:rFonts w:ascii="Times New Roman" w:hAnsi="Times New Roman" w:cs="Times New Roman"/>
        </w:rPr>
        <w:t xml:space="preserve">do </w:t>
      </w:r>
      <w:r w:rsidRPr="00E869A4">
        <w:rPr>
          <w:rFonts w:ascii="Times New Roman" w:hAnsi="Times New Roman" w:cs="Times New Roman"/>
        </w:rPr>
        <w:t xml:space="preserve">not have time for themselves, and work hard </w:t>
      </w:r>
      <w:r w:rsidR="008D3DA9" w:rsidRPr="00E869A4">
        <w:rPr>
          <w:rFonts w:ascii="Times New Roman" w:hAnsi="Times New Roman" w:cs="Times New Roman"/>
        </w:rPr>
        <w:t>without perceiving</w:t>
      </w:r>
      <w:r w:rsidRPr="00E869A4">
        <w:rPr>
          <w:rFonts w:ascii="Times New Roman" w:hAnsi="Times New Roman" w:cs="Times New Roman"/>
        </w:rPr>
        <w:t xml:space="preserve"> progress. Lin and colleagues noted that this may in part be explain</w:t>
      </w:r>
      <w:r w:rsidR="00BD1B13" w:rsidRPr="00E869A4">
        <w:rPr>
          <w:rFonts w:ascii="Times New Roman" w:hAnsi="Times New Roman" w:cs="Times New Roman"/>
        </w:rPr>
        <w:t>ed by their observation that wives</w:t>
      </w:r>
      <w:r w:rsidRPr="00E869A4">
        <w:rPr>
          <w:rFonts w:ascii="Times New Roman" w:hAnsi="Times New Roman" w:cs="Times New Roman"/>
        </w:rPr>
        <w:t xml:space="preserve"> and daughters faced different challenges while taking on the caregiver role than their male counterparts, such as being less likely to have someone else available to take their place if they could not provide help, spending more hours helping and less time working in jobs outside the home, and they reported more problem </w:t>
      </w:r>
      <w:r w:rsidR="00D336DA" w:rsidRPr="00E869A4">
        <w:rPr>
          <w:rFonts w:ascii="Times New Roman" w:hAnsi="Times New Roman" w:cs="Times New Roman"/>
        </w:rPr>
        <w:t>behaviours</w:t>
      </w:r>
      <w:r w:rsidRPr="00E869A4">
        <w:rPr>
          <w:rFonts w:ascii="Times New Roman" w:hAnsi="Times New Roman" w:cs="Times New Roman"/>
        </w:rPr>
        <w:t xml:space="preserve"> of care recipients than did male caregivers (</w:t>
      </w:r>
      <w:r w:rsidR="00934743" w:rsidRPr="00E869A4">
        <w:rPr>
          <w:rFonts w:ascii="Times New Roman" w:hAnsi="Times New Roman" w:cs="Times New Roman"/>
        </w:rPr>
        <w:t>Lin, Fee &amp; Wu</w:t>
      </w:r>
      <w:r w:rsidRPr="00E869A4">
        <w:rPr>
          <w:rFonts w:ascii="Times New Roman" w:hAnsi="Times New Roman" w:cs="Times New Roman"/>
        </w:rPr>
        <w:t xml:space="preserve"> 2012). </w:t>
      </w:r>
    </w:p>
    <w:p w14:paraId="0697F4DC" w14:textId="77777777" w:rsidR="009B63E6" w:rsidRPr="00E869A4" w:rsidRDefault="009B63E6" w:rsidP="00A35FF8">
      <w:pPr>
        <w:rPr>
          <w:rFonts w:ascii="Times New Roman" w:hAnsi="Times New Roman" w:cs="Times New Roman"/>
        </w:rPr>
      </w:pPr>
    </w:p>
    <w:p w14:paraId="7EF49214" w14:textId="54A788EE"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Similarly, Metzelthin and colleagues (2017) in their analysis of national survey data collected in 2010 and 2013 on Dutch caregivers and </w:t>
      </w:r>
      <w:r w:rsidR="009E2738" w:rsidRPr="00E869A4">
        <w:rPr>
          <w:rFonts w:ascii="Times New Roman" w:hAnsi="Times New Roman" w:cs="Times New Roman"/>
        </w:rPr>
        <w:t xml:space="preserve">care </w:t>
      </w:r>
      <w:r w:rsidR="00B11C06" w:rsidRPr="00E869A4">
        <w:rPr>
          <w:rFonts w:ascii="Times New Roman" w:hAnsi="Times New Roman" w:cs="Times New Roman"/>
        </w:rPr>
        <w:t>recipients</w:t>
      </w:r>
      <w:r w:rsidRPr="00E869A4">
        <w:rPr>
          <w:rFonts w:ascii="Times New Roman" w:hAnsi="Times New Roman" w:cs="Times New Roman"/>
        </w:rPr>
        <w:t xml:space="preserve"> found that female caregivers experienced increased subjective burden and a decrease in care-related quality of life when compared with their male </w:t>
      </w:r>
      <w:r w:rsidRPr="00E869A4">
        <w:rPr>
          <w:rFonts w:ascii="Times New Roman" w:hAnsi="Times New Roman" w:cs="Times New Roman"/>
        </w:rPr>
        <w:lastRenderedPageBreak/>
        <w:t xml:space="preserve">counterparts. They also found that caring for an older male relative increased the possibility of the family carer experiencing higher levels of subjective burden and poor quality of life. </w:t>
      </w:r>
      <w:r w:rsidR="008740E7" w:rsidRPr="00E869A4">
        <w:rPr>
          <w:rFonts w:ascii="Times New Roman" w:hAnsi="Times New Roman" w:cs="Times New Roman"/>
        </w:rPr>
        <w:t xml:space="preserve">Another study conducted by Friedman and Buckwalter (2014) found from their multicultural sample of Latino and Caribbean people in the greater Miami area of South Florida, that women were more likely to experience caregiver burden than men since they viewed caregiving as female duty.  </w:t>
      </w:r>
    </w:p>
    <w:p w14:paraId="4945F6DD" w14:textId="77777777" w:rsidR="00F17DDA" w:rsidRPr="00E869A4" w:rsidRDefault="00F17DDA" w:rsidP="00A35FF8">
      <w:pPr>
        <w:rPr>
          <w:rFonts w:ascii="Times New Roman" w:hAnsi="Times New Roman" w:cs="Times New Roman"/>
        </w:rPr>
      </w:pPr>
    </w:p>
    <w:p w14:paraId="79AD8861" w14:textId="7ABEE82F"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On the other hand, Merrill (1997) in her review of the literature found three different sets of results. One group of researchers found that daughters reported higher levels of burden or stress than </w:t>
      </w:r>
      <w:r w:rsidR="00A47D94" w:rsidRPr="00E869A4">
        <w:rPr>
          <w:rFonts w:ascii="Times New Roman" w:hAnsi="Times New Roman" w:cs="Times New Roman"/>
        </w:rPr>
        <w:t>sons did</w:t>
      </w:r>
      <w:r w:rsidRPr="00E869A4">
        <w:rPr>
          <w:rFonts w:ascii="Times New Roman" w:hAnsi="Times New Roman" w:cs="Times New Roman"/>
        </w:rPr>
        <w:t xml:space="preserve">. They explained these findings as being a function of daughters’ greater investment of time, physical energy, and emotion for the samples of caregivers that were studied. Other researchers found that the gender difference in caregiver burden decreased once they controlled for care provision tasks, work role strains, and resources. A third group of researchers found no gender differences in levels of stress for sons and daughters caring for parents living in the community. One possible reason for this was that the levels of burden reported were more comparable when sons and daughters provided similar types and amounts of care. </w:t>
      </w:r>
    </w:p>
    <w:p w14:paraId="1155D8CB" w14:textId="77777777" w:rsidR="00D04DCD" w:rsidRPr="00E869A4" w:rsidRDefault="00D04DCD" w:rsidP="00A35FF8">
      <w:pPr>
        <w:rPr>
          <w:rFonts w:ascii="Times New Roman" w:hAnsi="Times New Roman" w:cs="Times New Roman"/>
        </w:rPr>
      </w:pPr>
    </w:p>
    <w:p w14:paraId="256A986C" w14:textId="04B708FD" w:rsidR="002A7CE0" w:rsidRPr="00E869A4" w:rsidRDefault="002A7CE0" w:rsidP="00112260">
      <w:pPr>
        <w:pStyle w:val="Heading4"/>
      </w:pPr>
      <w:bookmarkStart w:id="199" w:name="_Toc509940563"/>
      <w:r w:rsidRPr="00E869A4">
        <w:t>Marital Status</w:t>
      </w:r>
      <w:bookmarkEnd w:id="199"/>
    </w:p>
    <w:p w14:paraId="05663550" w14:textId="77777777" w:rsidR="00D04DCD" w:rsidRPr="00E869A4" w:rsidRDefault="00D04DCD" w:rsidP="0051234F">
      <w:pPr>
        <w:pStyle w:val="112"/>
        <w:rPr>
          <w:color w:val="auto"/>
        </w:rPr>
      </w:pPr>
    </w:p>
    <w:p w14:paraId="39160AD6" w14:textId="1E2EA5F6" w:rsidR="00BE17E4" w:rsidRPr="00E869A4" w:rsidRDefault="002A7CE0">
      <w:pPr>
        <w:rPr>
          <w:rFonts w:ascii="Times New Roman" w:hAnsi="Times New Roman" w:cs="Times New Roman"/>
        </w:rPr>
      </w:pPr>
      <w:r w:rsidRPr="00E869A4">
        <w:rPr>
          <w:rFonts w:ascii="Times New Roman" w:hAnsi="Times New Roman" w:cs="Times New Roman"/>
        </w:rPr>
        <w:t xml:space="preserve">Marital status was another variable that had inconsistent findings with respect to </w:t>
      </w:r>
      <w:r w:rsidR="00745FD9" w:rsidRPr="00E869A4">
        <w:rPr>
          <w:rFonts w:ascii="Times New Roman" w:hAnsi="Times New Roman" w:cs="Times New Roman"/>
        </w:rPr>
        <w:t xml:space="preserve">experiences </w:t>
      </w:r>
      <w:r w:rsidRPr="00E869A4">
        <w:rPr>
          <w:rFonts w:ascii="Times New Roman" w:hAnsi="Times New Roman" w:cs="Times New Roman"/>
        </w:rPr>
        <w:t>of care. According to Merrill’s review of the literature</w:t>
      </w:r>
      <w:r w:rsidR="008D3DA9" w:rsidRPr="00E869A4">
        <w:rPr>
          <w:rFonts w:ascii="Times New Roman" w:hAnsi="Times New Roman" w:cs="Times New Roman"/>
        </w:rPr>
        <w:t xml:space="preserve"> (1997)</w:t>
      </w:r>
      <w:r w:rsidRPr="00E869A4">
        <w:rPr>
          <w:rFonts w:ascii="Times New Roman" w:hAnsi="Times New Roman" w:cs="Times New Roman"/>
        </w:rPr>
        <w:t xml:space="preserve">, </w:t>
      </w:r>
      <w:r w:rsidR="008D3DA9" w:rsidRPr="00E869A4">
        <w:rPr>
          <w:rFonts w:ascii="Times New Roman" w:hAnsi="Times New Roman" w:cs="Times New Roman"/>
        </w:rPr>
        <w:t xml:space="preserve">married </w:t>
      </w:r>
      <w:r w:rsidRPr="00E869A4">
        <w:rPr>
          <w:rFonts w:ascii="Times New Roman" w:hAnsi="Times New Roman" w:cs="Times New Roman"/>
        </w:rPr>
        <w:t xml:space="preserve">daughters were less likely to have negative </w:t>
      </w:r>
      <w:r w:rsidR="00745FD9" w:rsidRPr="00E869A4">
        <w:rPr>
          <w:rFonts w:ascii="Times New Roman" w:hAnsi="Times New Roman" w:cs="Times New Roman"/>
        </w:rPr>
        <w:t xml:space="preserve">experiences </w:t>
      </w:r>
      <w:r w:rsidRPr="00E869A4">
        <w:rPr>
          <w:rFonts w:ascii="Times New Roman" w:hAnsi="Times New Roman" w:cs="Times New Roman"/>
        </w:rPr>
        <w:t>of care than unmarried</w:t>
      </w:r>
      <w:r w:rsidR="008D3DA9" w:rsidRPr="00E869A4">
        <w:rPr>
          <w:rFonts w:ascii="Times New Roman" w:hAnsi="Times New Roman" w:cs="Times New Roman"/>
        </w:rPr>
        <w:t xml:space="preserve"> ones, potentially because </w:t>
      </w:r>
      <w:r w:rsidRPr="00E869A4">
        <w:rPr>
          <w:rFonts w:ascii="Times New Roman" w:hAnsi="Times New Roman" w:cs="Times New Roman"/>
        </w:rPr>
        <w:t>married daughters received some support from their spouse</w:t>
      </w:r>
      <w:r w:rsidR="009E672C" w:rsidRPr="00E869A4">
        <w:rPr>
          <w:rFonts w:ascii="Times New Roman" w:hAnsi="Times New Roman" w:cs="Times New Roman"/>
        </w:rPr>
        <w:t>s</w:t>
      </w:r>
      <w:r w:rsidRPr="00E869A4">
        <w:rPr>
          <w:rFonts w:ascii="Times New Roman" w:hAnsi="Times New Roman" w:cs="Times New Roman"/>
        </w:rPr>
        <w:t xml:space="preserve">. </w:t>
      </w:r>
      <w:bookmarkStart w:id="200" w:name="_Toc509940564"/>
    </w:p>
    <w:p w14:paraId="7EA18284" w14:textId="77777777" w:rsidR="00423B39" w:rsidRPr="00E869A4" w:rsidRDefault="00423B39">
      <w:pPr>
        <w:rPr>
          <w:b/>
          <w:i/>
          <w:u w:val="single"/>
        </w:rPr>
      </w:pPr>
    </w:p>
    <w:p w14:paraId="1C031F49" w14:textId="3E4A07B2" w:rsidR="002A7CE0" w:rsidRPr="00E869A4" w:rsidRDefault="002A7CE0" w:rsidP="00112260">
      <w:pPr>
        <w:pStyle w:val="Heading4"/>
      </w:pPr>
      <w:r w:rsidRPr="00E869A4">
        <w:t>Race and Ethnicity</w:t>
      </w:r>
      <w:bookmarkEnd w:id="200"/>
    </w:p>
    <w:p w14:paraId="3ED3FADA" w14:textId="77777777" w:rsidR="00D04DCD" w:rsidRPr="00E869A4" w:rsidRDefault="00D04DCD" w:rsidP="0051234F">
      <w:pPr>
        <w:pStyle w:val="112"/>
        <w:rPr>
          <w:color w:val="auto"/>
        </w:rPr>
      </w:pPr>
    </w:p>
    <w:p w14:paraId="654B5409" w14:textId="041892B5"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Race and ethnicity seemed to be a key variable with respect to </w:t>
      </w:r>
      <w:r w:rsidR="003E3254" w:rsidRPr="00E869A4">
        <w:rPr>
          <w:rFonts w:ascii="Times New Roman" w:hAnsi="Times New Roman" w:cs="Times New Roman"/>
        </w:rPr>
        <w:t xml:space="preserve">experiences </w:t>
      </w:r>
      <w:r w:rsidRPr="00E869A4">
        <w:rPr>
          <w:rFonts w:ascii="Times New Roman" w:hAnsi="Times New Roman" w:cs="Times New Roman"/>
        </w:rPr>
        <w:t>of care, especially in the context of the USA.  Lin and colleagues</w:t>
      </w:r>
      <w:r w:rsidR="009E672C" w:rsidRPr="00E869A4">
        <w:rPr>
          <w:rFonts w:ascii="Times New Roman" w:hAnsi="Times New Roman" w:cs="Times New Roman"/>
        </w:rPr>
        <w:t>’</w:t>
      </w:r>
      <w:r w:rsidRPr="00E869A4">
        <w:rPr>
          <w:rFonts w:ascii="Times New Roman" w:hAnsi="Times New Roman" w:cs="Times New Roman"/>
        </w:rPr>
        <w:t xml:space="preserve"> (2012) analysis of US national statistics on </w:t>
      </w:r>
      <w:r w:rsidR="00C25074" w:rsidRPr="00E869A4">
        <w:rPr>
          <w:rFonts w:ascii="Times New Roman" w:hAnsi="Times New Roman" w:cs="Times New Roman"/>
        </w:rPr>
        <w:t>long-term</w:t>
      </w:r>
      <w:r w:rsidRPr="00E869A4">
        <w:rPr>
          <w:rFonts w:ascii="Times New Roman" w:hAnsi="Times New Roman" w:cs="Times New Roman"/>
        </w:rPr>
        <w:t xml:space="preserve"> care, found that caregivers who were white were more likely to perceive care as burdensome. Cahill and associates</w:t>
      </w:r>
      <w:r w:rsidR="00D05B34" w:rsidRPr="00E869A4">
        <w:rPr>
          <w:rFonts w:ascii="Times New Roman" w:hAnsi="Times New Roman" w:cs="Times New Roman"/>
        </w:rPr>
        <w:t>’</w:t>
      </w:r>
      <w:r w:rsidRPr="00E869A4">
        <w:rPr>
          <w:rFonts w:ascii="Times New Roman" w:hAnsi="Times New Roman" w:cs="Times New Roman"/>
        </w:rPr>
        <w:t xml:space="preserve"> (2009) qualitative study of older persons in Baltimore (USA) also found a similar trend. When their sample of 50 older respondents was stratified by ethnicity, older adults who expressed the concept of burden were more likely to be white, when compared with older adults who did not express burden. The </w:t>
      </w:r>
      <w:r w:rsidRPr="00E869A4">
        <w:rPr>
          <w:rFonts w:ascii="Times New Roman" w:hAnsi="Times New Roman" w:cs="Times New Roman"/>
        </w:rPr>
        <w:lastRenderedPageBreak/>
        <w:t>three subthemes of burden that emerged from their study were: 1) not wanting to complicate the busy lives of adult children</w:t>
      </w:r>
      <w:r w:rsidR="00ED4063" w:rsidRPr="00E869A4">
        <w:rPr>
          <w:rFonts w:ascii="Times New Roman" w:hAnsi="Times New Roman" w:cs="Times New Roman"/>
        </w:rPr>
        <w:t>;</w:t>
      </w:r>
      <w:r w:rsidRPr="00E869A4">
        <w:rPr>
          <w:rFonts w:ascii="Times New Roman" w:hAnsi="Times New Roman" w:cs="Times New Roman"/>
        </w:rPr>
        <w:t xml:space="preserve"> 2) guilt about health problems</w:t>
      </w:r>
      <w:r w:rsidR="00ED4063" w:rsidRPr="00E869A4">
        <w:rPr>
          <w:rFonts w:ascii="Times New Roman" w:hAnsi="Times New Roman" w:cs="Times New Roman"/>
        </w:rPr>
        <w:t>;</w:t>
      </w:r>
      <w:r w:rsidRPr="00E869A4">
        <w:rPr>
          <w:rFonts w:ascii="Times New Roman" w:hAnsi="Times New Roman" w:cs="Times New Roman"/>
        </w:rPr>
        <w:t xml:space="preserve"> and</w:t>
      </w:r>
      <w:r w:rsidR="00F17DDA" w:rsidRPr="00E869A4">
        <w:rPr>
          <w:rFonts w:ascii="Times New Roman" w:hAnsi="Times New Roman" w:cs="Times New Roman"/>
        </w:rPr>
        <w:t>,</w:t>
      </w:r>
      <w:r w:rsidRPr="00E869A4">
        <w:rPr>
          <w:rFonts w:ascii="Times New Roman" w:hAnsi="Times New Roman" w:cs="Times New Roman"/>
        </w:rPr>
        <w:t xml:space="preserve"> 3) concern that children were overly worried about the care of their older family member. Cahill et al</w:t>
      </w:r>
      <w:r w:rsidR="00F17DDA" w:rsidRPr="00E869A4">
        <w:rPr>
          <w:rFonts w:ascii="Times New Roman" w:hAnsi="Times New Roman" w:cs="Times New Roman"/>
        </w:rPr>
        <w:t>.</w:t>
      </w:r>
      <w:r w:rsidRPr="00E869A4">
        <w:rPr>
          <w:rFonts w:ascii="Times New Roman" w:hAnsi="Times New Roman" w:cs="Times New Roman"/>
        </w:rPr>
        <w:t xml:space="preserve"> also found that expression and meaning of burden differed according to ethnicity </w:t>
      </w:r>
      <w:r w:rsidR="00005A81" w:rsidRPr="00E869A4">
        <w:rPr>
          <w:rFonts w:ascii="Times New Roman" w:hAnsi="Times New Roman" w:cs="Times New Roman"/>
          <w:szCs w:val="24"/>
        </w:rPr>
        <w:t>–</w:t>
      </w:r>
      <w:r w:rsidR="00ED4063" w:rsidRPr="00E869A4">
        <w:rPr>
          <w:rFonts w:ascii="Times New Roman" w:hAnsi="Times New Roman" w:cs="Times New Roman"/>
          <w:i/>
        </w:rPr>
        <w:t xml:space="preserve"> </w:t>
      </w:r>
      <w:r w:rsidRPr="00E869A4">
        <w:rPr>
          <w:rFonts w:ascii="Times New Roman" w:hAnsi="Times New Roman" w:cs="Times New Roman"/>
        </w:rPr>
        <w:t>white older adults were more concerned about interrupting their adult children’s busy lives.</w:t>
      </w:r>
    </w:p>
    <w:p w14:paraId="3920232A" w14:textId="5EA9FF24" w:rsidR="00FB6789" w:rsidRPr="00E869A4" w:rsidRDefault="00FB6789">
      <w:pPr>
        <w:rPr>
          <w:b/>
          <w:i/>
          <w:u w:val="single"/>
        </w:rPr>
      </w:pPr>
      <w:bookmarkStart w:id="201" w:name="_Toc509940565"/>
    </w:p>
    <w:p w14:paraId="5EF3FC50" w14:textId="52058730" w:rsidR="002A7CE0" w:rsidRPr="00E869A4" w:rsidRDefault="002A7CE0" w:rsidP="00112260">
      <w:pPr>
        <w:pStyle w:val="Heading4"/>
      </w:pPr>
      <w:r w:rsidRPr="00E869A4">
        <w:t>Employment &amp; Income Status</w:t>
      </w:r>
      <w:bookmarkEnd w:id="201"/>
    </w:p>
    <w:p w14:paraId="51236EAA" w14:textId="77777777" w:rsidR="003A2943" w:rsidRPr="00E869A4" w:rsidRDefault="003A2943" w:rsidP="00A35FF8">
      <w:pPr>
        <w:rPr>
          <w:rFonts w:ascii="Times New Roman" w:hAnsi="Times New Roman" w:cs="Times New Roman"/>
        </w:rPr>
      </w:pPr>
    </w:p>
    <w:p w14:paraId="16273DCA" w14:textId="77777777" w:rsidR="00423B39" w:rsidRPr="00E869A4" w:rsidRDefault="002A7CE0" w:rsidP="00A35FF8">
      <w:pPr>
        <w:rPr>
          <w:rFonts w:ascii="Times New Roman" w:hAnsi="Times New Roman" w:cs="Times New Roman"/>
        </w:rPr>
      </w:pPr>
      <w:r w:rsidRPr="00E869A4">
        <w:rPr>
          <w:rFonts w:ascii="Times New Roman" w:hAnsi="Times New Roman" w:cs="Times New Roman"/>
        </w:rPr>
        <w:t xml:space="preserve">In some studies, nonfamily occupational roles were identified as an important buffer in relation to caregiver </w:t>
      </w:r>
      <w:r w:rsidR="003E3254" w:rsidRPr="00E869A4">
        <w:rPr>
          <w:rFonts w:ascii="Times New Roman" w:hAnsi="Times New Roman" w:cs="Times New Roman"/>
        </w:rPr>
        <w:t>experiences</w:t>
      </w:r>
      <w:r w:rsidRPr="00E869A4">
        <w:rPr>
          <w:rFonts w:ascii="Times New Roman" w:hAnsi="Times New Roman" w:cs="Times New Roman"/>
        </w:rPr>
        <w:t>. Merrill (1997)</w:t>
      </w:r>
      <w:r w:rsidR="00D05B34" w:rsidRPr="00E869A4">
        <w:rPr>
          <w:rFonts w:ascii="Times New Roman" w:hAnsi="Times New Roman" w:cs="Times New Roman"/>
        </w:rPr>
        <w:t>,</w:t>
      </w:r>
      <w:r w:rsidRPr="00E869A4">
        <w:rPr>
          <w:rFonts w:ascii="Times New Roman" w:hAnsi="Times New Roman" w:cs="Times New Roman"/>
        </w:rPr>
        <w:t xml:space="preserve"> for </w:t>
      </w:r>
      <w:r w:rsidR="00042C2A" w:rsidRPr="00E869A4">
        <w:rPr>
          <w:rFonts w:ascii="Times New Roman" w:hAnsi="Times New Roman" w:cs="Times New Roman"/>
        </w:rPr>
        <w:t>instance</w:t>
      </w:r>
      <w:r w:rsidR="00D05B34" w:rsidRPr="00E869A4">
        <w:rPr>
          <w:rFonts w:ascii="Times New Roman" w:hAnsi="Times New Roman" w:cs="Times New Roman"/>
        </w:rPr>
        <w:t>,</w:t>
      </w:r>
      <w:r w:rsidRPr="00E869A4">
        <w:rPr>
          <w:rFonts w:ascii="Times New Roman" w:hAnsi="Times New Roman" w:cs="Times New Roman"/>
        </w:rPr>
        <w:t xml:space="preserve"> found that women who were working and were caregivers</w:t>
      </w:r>
      <w:r w:rsidR="00D05B34" w:rsidRPr="00E869A4">
        <w:rPr>
          <w:rFonts w:ascii="Times New Roman" w:hAnsi="Times New Roman" w:cs="Times New Roman"/>
        </w:rPr>
        <w:t>,</w:t>
      </w:r>
      <w:r w:rsidRPr="00E869A4">
        <w:rPr>
          <w:rFonts w:ascii="Times New Roman" w:hAnsi="Times New Roman" w:cs="Times New Roman"/>
        </w:rPr>
        <w:t xml:space="preserve"> reported being better off in terms of self-esteem and life satisfaction than non-employed women who were family caregivers of an older relative. However, the results of a study conducted by Edwards and colleagues (2002) which compared employed and non-employed caregivers found no significant differences between employed and non-employed caregivers on measures of role overload, worry, strain, and depression. </w:t>
      </w:r>
      <w:r w:rsidR="00042C2A" w:rsidRPr="00E869A4">
        <w:rPr>
          <w:rFonts w:ascii="Times New Roman" w:hAnsi="Times New Roman" w:cs="Times New Roman"/>
        </w:rPr>
        <w:t>Nevertheless</w:t>
      </w:r>
      <w:r w:rsidRPr="00E869A4">
        <w:rPr>
          <w:rFonts w:ascii="Times New Roman" w:hAnsi="Times New Roman" w:cs="Times New Roman"/>
        </w:rPr>
        <w:t xml:space="preserve">, their analysis revealed that working caregivers </w:t>
      </w:r>
      <w:r w:rsidR="00042C2A" w:rsidRPr="00E869A4">
        <w:rPr>
          <w:rFonts w:ascii="Times New Roman" w:hAnsi="Times New Roman" w:cs="Times New Roman"/>
        </w:rPr>
        <w:t>who</w:t>
      </w:r>
      <w:r w:rsidRPr="00E869A4">
        <w:rPr>
          <w:rFonts w:ascii="Times New Roman" w:hAnsi="Times New Roman" w:cs="Times New Roman"/>
        </w:rPr>
        <w:t xml:space="preserve"> experienced greater conflict on the job</w:t>
      </w:r>
      <w:r w:rsidR="00042C2A" w:rsidRPr="00E869A4">
        <w:rPr>
          <w:rFonts w:ascii="Times New Roman" w:hAnsi="Times New Roman" w:cs="Times New Roman"/>
        </w:rPr>
        <w:t>,</w:t>
      </w:r>
      <w:r w:rsidRPr="00E869A4">
        <w:rPr>
          <w:rFonts w:ascii="Times New Roman" w:hAnsi="Times New Roman" w:cs="Times New Roman"/>
        </w:rPr>
        <w:t xml:space="preserve"> reported higher role overload, worry and strain. Beneficial work experiences however</w:t>
      </w:r>
      <w:r w:rsidR="00A47D94" w:rsidRPr="00E869A4">
        <w:rPr>
          <w:rFonts w:ascii="Times New Roman" w:hAnsi="Times New Roman" w:cs="Times New Roman"/>
        </w:rPr>
        <w:t>,</w:t>
      </w:r>
      <w:r w:rsidRPr="00E869A4">
        <w:rPr>
          <w:rFonts w:ascii="Times New Roman" w:hAnsi="Times New Roman" w:cs="Times New Roman"/>
        </w:rPr>
        <w:t xml:space="preserve"> were only weakly associated with these negative outcomes. Given these findings, Edwards et al</w:t>
      </w:r>
      <w:r w:rsidR="00A47D94" w:rsidRPr="00E869A4">
        <w:rPr>
          <w:rFonts w:ascii="Times New Roman" w:hAnsi="Times New Roman" w:cs="Times New Roman"/>
        </w:rPr>
        <w:t>.</w:t>
      </w:r>
      <w:r w:rsidRPr="00E869A4">
        <w:rPr>
          <w:rFonts w:ascii="Times New Roman" w:hAnsi="Times New Roman" w:cs="Times New Roman"/>
        </w:rPr>
        <w:t xml:space="preserve"> concluded that job-related experiences </w:t>
      </w:r>
      <w:r w:rsidR="005C449C" w:rsidRPr="00E869A4">
        <w:rPr>
          <w:rFonts w:ascii="Times New Roman" w:hAnsi="Times New Roman" w:cs="Times New Roman"/>
        </w:rPr>
        <w:t>might</w:t>
      </w:r>
      <w:r w:rsidRPr="00E869A4">
        <w:rPr>
          <w:rFonts w:ascii="Times New Roman" w:hAnsi="Times New Roman" w:cs="Times New Roman"/>
        </w:rPr>
        <w:t xml:space="preserve"> contribute to role conflict and depressive symptoms in working caregivers, but that different factors may result in negative </w:t>
      </w:r>
      <w:r w:rsidR="003E3254" w:rsidRPr="00E869A4">
        <w:rPr>
          <w:rFonts w:ascii="Times New Roman" w:hAnsi="Times New Roman" w:cs="Times New Roman"/>
        </w:rPr>
        <w:t xml:space="preserve">experiences </w:t>
      </w:r>
      <w:r w:rsidRPr="00E869A4">
        <w:rPr>
          <w:rFonts w:ascii="Times New Roman" w:hAnsi="Times New Roman" w:cs="Times New Roman"/>
        </w:rPr>
        <w:t>of c</w:t>
      </w:r>
      <w:r w:rsidR="00A055DE" w:rsidRPr="00E869A4">
        <w:rPr>
          <w:rFonts w:ascii="Times New Roman" w:hAnsi="Times New Roman" w:cs="Times New Roman"/>
        </w:rPr>
        <w:t>are by non-employed caregivers.</w:t>
      </w:r>
      <w:r w:rsidRPr="00E869A4">
        <w:rPr>
          <w:rFonts w:ascii="Times New Roman" w:hAnsi="Times New Roman" w:cs="Times New Roman"/>
        </w:rPr>
        <w:t xml:space="preserve">   </w:t>
      </w:r>
    </w:p>
    <w:p w14:paraId="57595549" w14:textId="7A7A1CE9" w:rsidR="00D04DCD" w:rsidRPr="00E869A4" w:rsidRDefault="002A7CE0" w:rsidP="00A35FF8">
      <w:pPr>
        <w:rPr>
          <w:rFonts w:ascii="Times New Roman" w:hAnsi="Times New Roman" w:cs="Times New Roman"/>
        </w:rPr>
      </w:pPr>
      <w:r w:rsidRPr="00E869A4">
        <w:rPr>
          <w:rFonts w:ascii="Times New Roman" w:hAnsi="Times New Roman" w:cs="Times New Roman"/>
        </w:rPr>
        <w:t xml:space="preserve">  </w:t>
      </w:r>
    </w:p>
    <w:p w14:paraId="6F54D1F2" w14:textId="33808E61" w:rsidR="002A7CE0" w:rsidRPr="00E869A4" w:rsidRDefault="002A7CE0" w:rsidP="00BE17E4">
      <w:pPr>
        <w:pStyle w:val="Heading4"/>
      </w:pPr>
      <w:bookmarkStart w:id="202" w:name="_Toc509940566"/>
      <w:r w:rsidRPr="00E869A4">
        <w:t>Educational background</w:t>
      </w:r>
      <w:bookmarkEnd w:id="202"/>
      <w:r w:rsidRPr="00E869A4">
        <w:t xml:space="preserve">  </w:t>
      </w:r>
    </w:p>
    <w:p w14:paraId="24071339" w14:textId="77777777" w:rsidR="00D04DCD" w:rsidRPr="00E869A4" w:rsidRDefault="00D04DCD" w:rsidP="0051234F">
      <w:pPr>
        <w:pStyle w:val="112"/>
        <w:rPr>
          <w:color w:val="auto"/>
        </w:rPr>
      </w:pPr>
    </w:p>
    <w:p w14:paraId="3E79312C" w14:textId="2962FF76"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No clear pattern was found in the literature on the relationship between educational background and caregiver </w:t>
      </w:r>
      <w:r w:rsidR="003E3254" w:rsidRPr="00E869A4">
        <w:rPr>
          <w:rFonts w:ascii="Times New Roman" w:hAnsi="Times New Roman" w:cs="Times New Roman"/>
        </w:rPr>
        <w:t>experience</w:t>
      </w:r>
      <w:r w:rsidRPr="00E869A4">
        <w:rPr>
          <w:rFonts w:ascii="Times New Roman" w:hAnsi="Times New Roman" w:cs="Times New Roman"/>
        </w:rPr>
        <w:t xml:space="preserve">. </w:t>
      </w:r>
      <w:r w:rsidR="00934743" w:rsidRPr="00E869A4">
        <w:rPr>
          <w:rFonts w:ascii="Times New Roman" w:hAnsi="Times New Roman" w:cs="Times New Roman"/>
        </w:rPr>
        <w:t>Lin, Fee &amp; Wu</w:t>
      </w:r>
      <w:r w:rsidRPr="00E869A4">
        <w:rPr>
          <w:rFonts w:ascii="Times New Roman" w:hAnsi="Times New Roman" w:cs="Times New Roman"/>
        </w:rPr>
        <w:t xml:space="preserve"> (2</w:t>
      </w:r>
      <w:r w:rsidR="00934743" w:rsidRPr="00E869A4">
        <w:rPr>
          <w:rFonts w:ascii="Times New Roman" w:hAnsi="Times New Roman" w:cs="Times New Roman"/>
        </w:rPr>
        <w:t>012</w:t>
      </w:r>
      <w:r w:rsidRPr="00E869A4">
        <w:rPr>
          <w:rFonts w:ascii="Times New Roman" w:hAnsi="Times New Roman" w:cs="Times New Roman"/>
        </w:rPr>
        <w:t xml:space="preserve">) found from their analysis of data on Medicare beneficiaries and their </w:t>
      </w:r>
      <w:proofErr w:type="spellStart"/>
      <w:r w:rsidRPr="00E869A4">
        <w:rPr>
          <w:rFonts w:ascii="Times New Roman" w:hAnsi="Times New Roman" w:cs="Times New Roman"/>
        </w:rPr>
        <w:t>carers</w:t>
      </w:r>
      <w:proofErr w:type="spellEnd"/>
      <w:r w:rsidRPr="00E869A4">
        <w:rPr>
          <w:rFonts w:ascii="Times New Roman" w:hAnsi="Times New Roman" w:cs="Times New Roman"/>
        </w:rPr>
        <w:t xml:space="preserve"> in the USA, that better educated daughters experienced more stress from caregiving. They surmised that daughters with more education held a less traditional gender </w:t>
      </w:r>
      <w:r w:rsidR="00C25074" w:rsidRPr="00E869A4">
        <w:rPr>
          <w:rFonts w:ascii="Times New Roman" w:hAnsi="Times New Roman" w:cs="Times New Roman"/>
        </w:rPr>
        <w:t>ideology, which</w:t>
      </w:r>
      <w:r w:rsidRPr="00E869A4">
        <w:rPr>
          <w:rFonts w:ascii="Times New Roman" w:hAnsi="Times New Roman" w:cs="Times New Roman"/>
        </w:rPr>
        <w:t xml:space="preserve"> contributed to them experiencing more caregiving strain than </w:t>
      </w:r>
      <w:r w:rsidR="007E3F44" w:rsidRPr="00E869A4">
        <w:rPr>
          <w:rFonts w:ascii="Times New Roman" w:hAnsi="Times New Roman" w:cs="Times New Roman"/>
        </w:rPr>
        <w:t>daughters</w:t>
      </w:r>
      <w:r w:rsidRPr="00E869A4">
        <w:rPr>
          <w:rFonts w:ascii="Times New Roman" w:hAnsi="Times New Roman" w:cs="Times New Roman"/>
        </w:rPr>
        <w:t xml:space="preserve"> with less education. </w:t>
      </w:r>
      <w:r w:rsidR="00155F03" w:rsidRPr="00E869A4">
        <w:rPr>
          <w:rFonts w:ascii="Times New Roman" w:hAnsi="Times New Roman" w:cs="Times New Roman"/>
        </w:rPr>
        <w:t>It</w:t>
      </w:r>
      <w:r w:rsidRPr="00E869A4">
        <w:rPr>
          <w:rFonts w:ascii="Times New Roman" w:hAnsi="Times New Roman" w:cs="Times New Roman"/>
        </w:rPr>
        <w:t xml:space="preserve"> was unclear from their study why higher incomes and more resources did not help to reduce the negative caregiving experiences of the </w:t>
      </w:r>
      <w:r w:rsidR="00C25074" w:rsidRPr="00E869A4">
        <w:rPr>
          <w:rFonts w:ascii="Times New Roman" w:hAnsi="Times New Roman" w:cs="Times New Roman"/>
        </w:rPr>
        <w:t>better-educated</w:t>
      </w:r>
      <w:r w:rsidRPr="00E869A4">
        <w:rPr>
          <w:rFonts w:ascii="Times New Roman" w:hAnsi="Times New Roman" w:cs="Times New Roman"/>
        </w:rPr>
        <w:t xml:space="preserve"> women, especially since educational background was more likely to be associated with higher income and the capacity to buy in-home care support.</w:t>
      </w:r>
    </w:p>
    <w:p w14:paraId="6879A048" w14:textId="711A7450" w:rsidR="002A7CE0" w:rsidRPr="00E869A4" w:rsidRDefault="002A7CE0" w:rsidP="00A35FF8">
      <w:pPr>
        <w:rPr>
          <w:rFonts w:ascii="Times New Roman" w:hAnsi="Times New Roman" w:cs="Times New Roman"/>
        </w:rPr>
      </w:pPr>
      <w:r w:rsidRPr="00E869A4">
        <w:rPr>
          <w:rFonts w:ascii="Times New Roman" w:hAnsi="Times New Roman" w:cs="Times New Roman"/>
        </w:rPr>
        <w:lastRenderedPageBreak/>
        <w:t>Lu and colleagues (2015) found similar results in their investigation of the relationship between the various dimensions of burden and the wellbeing of the caregivers of older per</w:t>
      </w:r>
      <w:r w:rsidR="00C20766">
        <w:rPr>
          <w:rFonts w:ascii="Times New Roman" w:hAnsi="Times New Roman" w:cs="Times New Roman"/>
        </w:rPr>
        <w:t xml:space="preserve">sons with musculoskeletal </w:t>
      </w:r>
      <w:r w:rsidRPr="00E869A4">
        <w:rPr>
          <w:rFonts w:ascii="Times New Roman" w:hAnsi="Times New Roman" w:cs="Times New Roman"/>
        </w:rPr>
        <w:t xml:space="preserve">conditions </w:t>
      </w:r>
      <w:r w:rsidR="00C20766">
        <w:rPr>
          <w:rFonts w:ascii="Times New Roman" w:hAnsi="Times New Roman" w:cs="Times New Roman"/>
        </w:rPr>
        <w:t xml:space="preserve">(MSK) </w:t>
      </w:r>
      <w:r w:rsidRPr="00E869A4">
        <w:rPr>
          <w:rFonts w:ascii="Times New Roman" w:hAnsi="Times New Roman" w:cs="Times New Roman"/>
        </w:rPr>
        <w:t>in China. Caregivers with higher educational attainment were more likely to report higher levels of developmental burden. Developmental burden refers to “the perceived feelings by the caregiver that they are ‘out of sync’ with their peers or feelings of missing out on life</w:t>
      </w:r>
      <w:r w:rsidR="00423B39" w:rsidRPr="00E869A4">
        <w:rPr>
          <w:rFonts w:ascii="Times New Roman" w:hAnsi="Times New Roman" w:cs="Times New Roman"/>
        </w:rPr>
        <w:t>.</w:t>
      </w:r>
      <w:r w:rsidRPr="00E869A4">
        <w:rPr>
          <w:rFonts w:ascii="Times New Roman" w:hAnsi="Times New Roman" w:cs="Times New Roman"/>
        </w:rPr>
        <w:t>” (Razani et al</w:t>
      </w:r>
      <w:r w:rsidR="00A2018A" w:rsidRPr="00E869A4">
        <w:rPr>
          <w:rFonts w:ascii="Times New Roman" w:hAnsi="Times New Roman" w:cs="Times New Roman"/>
        </w:rPr>
        <w:t>.</w:t>
      </w:r>
      <w:r w:rsidRPr="00E869A4">
        <w:rPr>
          <w:rFonts w:ascii="Times New Roman" w:hAnsi="Times New Roman" w:cs="Times New Roman"/>
        </w:rPr>
        <w:t xml:space="preserve"> 2007</w:t>
      </w:r>
      <w:r w:rsidR="00A2018A" w:rsidRPr="00E869A4">
        <w:rPr>
          <w:rFonts w:ascii="Times New Roman" w:hAnsi="Times New Roman" w:cs="Times New Roman"/>
        </w:rPr>
        <w:t>, p.</w:t>
      </w:r>
      <w:r w:rsidRPr="00E869A4">
        <w:rPr>
          <w:rFonts w:ascii="Times New Roman" w:hAnsi="Times New Roman" w:cs="Times New Roman"/>
        </w:rPr>
        <w:t xml:space="preserve"> 4). However, in a study conducted by Ehrlich and colleagues to describe and compare urban and rural Swedish family caregivers’ reactions to caring for a relative with dementia, they found that there was no associated relationship between educational level and the carers’ reaction to caregiving. </w:t>
      </w:r>
    </w:p>
    <w:p w14:paraId="1D06CDF7" w14:textId="77777777" w:rsidR="00D04DCD" w:rsidRPr="00E869A4" w:rsidRDefault="00D04DCD" w:rsidP="00A35FF8">
      <w:pPr>
        <w:rPr>
          <w:rFonts w:ascii="Times New Roman" w:hAnsi="Times New Roman" w:cs="Times New Roman"/>
        </w:rPr>
      </w:pPr>
    </w:p>
    <w:p w14:paraId="29182E1C" w14:textId="77777777" w:rsidR="002A7CE0" w:rsidRPr="00E869A4" w:rsidRDefault="002A7CE0" w:rsidP="00112260">
      <w:pPr>
        <w:pStyle w:val="Heading4"/>
      </w:pPr>
      <w:bookmarkStart w:id="203" w:name="_Toc509940567"/>
      <w:r w:rsidRPr="00E869A4">
        <w:t>Geographical Proximity</w:t>
      </w:r>
      <w:bookmarkEnd w:id="203"/>
    </w:p>
    <w:p w14:paraId="1FADB68D" w14:textId="77777777" w:rsidR="00D04DCD" w:rsidRPr="00E869A4" w:rsidRDefault="00D04DCD" w:rsidP="0051234F">
      <w:pPr>
        <w:pStyle w:val="112"/>
        <w:rPr>
          <w:color w:val="auto"/>
        </w:rPr>
      </w:pPr>
    </w:p>
    <w:p w14:paraId="6640F28C" w14:textId="143D18D2"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For the most part, the literature has been consistent about the relationship between geographical proximity and perceived negative aspects of care. As </w:t>
      </w:r>
      <w:r w:rsidR="002B7AED" w:rsidRPr="00E869A4">
        <w:rPr>
          <w:rFonts w:ascii="Times New Roman" w:hAnsi="Times New Roman" w:cs="Times New Roman"/>
        </w:rPr>
        <w:t xml:space="preserve">Wild, Wiles, and Allen </w:t>
      </w:r>
      <w:r w:rsidRPr="00E869A4">
        <w:rPr>
          <w:rFonts w:ascii="Times New Roman" w:hAnsi="Times New Roman" w:cs="Times New Roman"/>
        </w:rPr>
        <w:t>(</w:t>
      </w:r>
      <w:r w:rsidR="002B7AED" w:rsidRPr="00E869A4">
        <w:rPr>
          <w:rFonts w:ascii="Times New Roman" w:hAnsi="Times New Roman" w:cs="Times New Roman"/>
        </w:rPr>
        <w:t>2013</w:t>
      </w:r>
      <w:r w:rsidRPr="00E869A4">
        <w:rPr>
          <w:rFonts w:ascii="Times New Roman" w:hAnsi="Times New Roman" w:cs="Times New Roman"/>
        </w:rPr>
        <w:t>) observed from their literature review, family/lay caregivers who lived with a frail older person tended to provide more hours of assistance and performed a more diverse range of caregiving tasks, than those who lived away from care recipients. Caregivers living together with the care receiver</w:t>
      </w:r>
      <w:r w:rsidR="00155F03" w:rsidRPr="00E869A4">
        <w:rPr>
          <w:rFonts w:ascii="Times New Roman" w:hAnsi="Times New Roman" w:cs="Times New Roman"/>
        </w:rPr>
        <w:t>s</w:t>
      </w:r>
      <w:r w:rsidRPr="00E869A4">
        <w:rPr>
          <w:rFonts w:ascii="Times New Roman" w:hAnsi="Times New Roman" w:cs="Times New Roman"/>
        </w:rPr>
        <w:t xml:space="preserve"> were also more likely to experience higher levels of subjective burden than those who lived apart. Metzelthin and colleagues (2017)</w:t>
      </w:r>
      <w:r w:rsidR="00155F03" w:rsidRPr="00E869A4">
        <w:rPr>
          <w:rFonts w:ascii="Times New Roman" w:hAnsi="Times New Roman" w:cs="Times New Roman"/>
        </w:rPr>
        <w:t>,</w:t>
      </w:r>
      <w:r w:rsidRPr="00E869A4">
        <w:rPr>
          <w:rFonts w:ascii="Times New Roman" w:hAnsi="Times New Roman" w:cs="Times New Roman"/>
        </w:rPr>
        <w:t xml:space="preserve"> for example</w:t>
      </w:r>
      <w:r w:rsidR="00155F03" w:rsidRPr="00E869A4">
        <w:rPr>
          <w:rFonts w:ascii="Times New Roman" w:hAnsi="Times New Roman" w:cs="Times New Roman"/>
        </w:rPr>
        <w:t>,</w:t>
      </w:r>
      <w:r w:rsidRPr="00E869A4">
        <w:rPr>
          <w:rFonts w:ascii="Times New Roman" w:hAnsi="Times New Roman" w:cs="Times New Roman"/>
        </w:rPr>
        <w:t xml:space="preserve"> found that Dutch caregivers who lived with their cared-for relative experienced increased subjective burden and a decrease i</w:t>
      </w:r>
      <w:r w:rsidR="00432884" w:rsidRPr="00E869A4">
        <w:rPr>
          <w:rFonts w:ascii="Times New Roman" w:hAnsi="Times New Roman" w:cs="Times New Roman"/>
        </w:rPr>
        <w:t>n care-related quality of life</w:t>
      </w:r>
      <w:r w:rsidRPr="00E869A4">
        <w:rPr>
          <w:rFonts w:ascii="Times New Roman" w:hAnsi="Times New Roman" w:cs="Times New Roman"/>
        </w:rPr>
        <w:t>.</w:t>
      </w:r>
    </w:p>
    <w:p w14:paraId="64A5CEF5" w14:textId="77777777" w:rsidR="00D04DCD" w:rsidRPr="00E869A4" w:rsidRDefault="00D04DCD" w:rsidP="00A35FF8">
      <w:pPr>
        <w:rPr>
          <w:rFonts w:ascii="Times New Roman" w:hAnsi="Times New Roman" w:cs="Times New Roman"/>
        </w:rPr>
      </w:pPr>
    </w:p>
    <w:p w14:paraId="48016EA3" w14:textId="4685673E" w:rsidR="00F75CE3" w:rsidRPr="00E869A4" w:rsidRDefault="002A7CE0" w:rsidP="00423B39">
      <w:pPr>
        <w:rPr>
          <w:rFonts w:ascii="Times New Roman" w:hAnsi="Times New Roman" w:cs="Times New Roman"/>
        </w:rPr>
      </w:pPr>
      <w:r w:rsidRPr="00E869A4">
        <w:rPr>
          <w:rFonts w:ascii="Times New Roman" w:hAnsi="Times New Roman" w:cs="Times New Roman"/>
        </w:rPr>
        <w:t xml:space="preserve">Kleban and colleagues’ (1989) study of 150 families in Philadelphia found that wives sharing households with their mothers-in-law were more likely to report negative aspects of this arrangement such as interference in their social life, family vacation plans, time with their spouse and children, and relationships with other relatives. Husbands and wives disagreed on the extent to which relationships in the nuclear family were affected by caregiving but agreed about the occurrence of more objectively apparent lifestyle disruptions. </w:t>
      </w:r>
      <w:bookmarkStart w:id="204" w:name="_Toc509940568"/>
    </w:p>
    <w:p w14:paraId="79FE30B0" w14:textId="77777777" w:rsidR="00D04DCD" w:rsidRPr="00E869A4" w:rsidRDefault="00D04DCD" w:rsidP="00423B39">
      <w:pPr>
        <w:rPr>
          <w:rFonts w:ascii="Times New Roman" w:hAnsi="Times New Roman" w:cs="Times New Roman"/>
          <w:b/>
          <w:szCs w:val="24"/>
          <w:u w:val="single"/>
          <w:lang w:eastAsia="en-US"/>
        </w:rPr>
      </w:pPr>
    </w:p>
    <w:p w14:paraId="279EC919" w14:textId="7151DC10" w:rsidR="00545585" w:rsidRPr="00E869A4" w:rsidRDefault="00545585" w:rsidP="00423B39">
      <w:pPr>
        <w:pStyle w:val="Heading4"/>
      </w:pPr>
      <w:r w:rsidRPr="00E869A4">
        <w:t>Relationship Factors</w:t>
      </w:r>
    </w:p>
    <w:p w14:paraId="2E63C6CA" w14:textId="77777777" w:rsidR="00423B39" w:rsidRPr="00E869A4" w:rsidRDefault="00423B39" w:rsidP="00423B39">
      <w:pPr>
        <w:rPr>
          <w:rFonts w:ascii="Times New Roman" w:hAnsi="Times New Roman" w:cs="Times New Roman"/>
        </w:rPr>
      </w:pPr>
      <w:bookmarkStart w:id="205" w:name="_Toc509940569"/>
      <w:bookmarkEnd w:id="204"/>
    </w:p>
    <w:p w14:paraId="172E9265" w14:textId="3A1E9F23" w:rsidR="00225EC2" w:rsidRPr="00E869A4" w:rsidRDefault="00225EC2" w:rsidP="00423B39">
      <w:pPr>
        <w:rPr>
          <w:rFonts w:ascii="Times New Roman" w:hAnsi="Times New Roman" w:cs="Times New Roman"/>
        </w:rPr>
      </w:pPr>
      <w:r w:rsidRPr="00E869A4">
        <w:rPr>
          <w:rFonts w:ascii="Times New Roman" w:hAnsi="Times New Roman" w:cs="Times New Roman"/>
        </w:rPr>
        <w:t xml:space="preserve">This section mainly discusses the impact of type of filial relationship on the family elder care experience. Other relationship factors are briefly considered at the end of the section. </w:t>
      </w:r>
    </w:p>
    <w:p w14:paraId="32348B4A" w14:textId="77777777" w:rsidR="002A7CE0" w:rsidRPr="00E869A4" w:rsidRDefault="002A7CE0" w:rsidP="0031040A">
      <w:pPr>
        <w:pStyle w:val="Heading5"/>
        <w:rPr>
          <w:color w:val="auto"/>
        </w:rPr>
      </w:pPr>
      <w:r w:rsidRPr="00E869A4">
        <w:rPr>
          <w:color w:val="auto"/>
        </w:rPr>
        <w:lastRenderedPageBreak/>
        <w:t xml:space="preserve">Type of </w:t>
      </w:r>
      <w:r w:rsidR="00AC4535" w:rsidRPr="00E869A4">
        <w:rPr>
          <w:color w:val="auto"/>
        </w:rPr>
        <w:t>fi</w:t>
      </w:r>
      <w:r w:rsidRPr="00E869A4">
        <w:rPr>
          <w:color w:val="auto"/>
        </w:rPr>
        <w:t xml:space="preserve">lial </w:t>
      </w:r>
      <w:r w:rsidR="00AC4535" w:rsidRPr="00E869A4">
        <w:rPr>
          <w:color w:val="auto"/>
        </w:rPr>
        <w:t>r</w:t>
      </w:r>
      <w:r w:rsidRPr="00E869A4">
        <w:rPr>
          <w:color w:val="auto"/>
        </w:rPr>
        <w:t>elationship</w:t>
      </w:r>
      <w:bookmarkEnd w:id="205"/>
    </w:p>
    <w:p w14:paraId="24D06323" w14:textId="77777777" w:rsidR="00AC4535" w:rsidRPr="00E869A4" w:rsidRDefault="00AC4535" w:rsidP="00A35FF8">
      <w:pPr>
        <w:rPr>
          <w:rFonts w:ascii="Times New Roman" w:hAnsi="Times New Roman" w:cs="Times New Roman"/>
        </w:rPr>
      </w:pPr>
    </w:p>
    <w:p w14:paraId="6977F39A" w14:textId="67FFFE07"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There were mixed findings in the literature on the impact of filial relationship and </w:t>
      </w:r>
      <w:r w:rsidR="003E3254" w:rsidRPr="00E869A4">
        <w:rPr>
          <w:rFonts w:ascii="Times New Roman" w:hAnsi="Times New Roman" w:cs="Times New Roman"/>
        </w:rPr>
        <w:t xml:space="preserve">experiences </w:t>
      </w:r>
      <w:r w:rsidRPr="00E869A4">
        <w:rPr>
          <w:rFonts w:ascii="Times New Roman" w:hAnsi="Times New Roman" w:cs="Times New Roman"/>
        </w:rPr>
        <w:t xml:space="preserve">of care. In their study of people caring for older persons diagnosed with dementia, De Labra and colleagues (2015) found that consanguineous relatives (e.g. adult children, siblings, grandchildren, nephews and nieces) had significantly higher caregiving satisfaction than those in non-consanguineous relationships (e.g. spouse, children-in-law). Long and colleagues (2009) </w:t>
      </w:r>
      <w:r w:rsidR="00155F03" w:rsidRPr="00E869A4">
        <w:rPr>
          <w:rFonts w:ascii="Times New Roman" w:hAnsi="Times New Roman" w:cs="Times New Roman"/>
        </w:rPr>
        <w:t>had</w:t>
      </w:r>
      <w:r w:rsidRPr="00E869A4">
        <w:rPr>
          <w:rFonts w:ascii="Times New Roman" w:hAnsi="Times New Roman" w:cs="Times New Roman"/>
        </w:rPr>
        <w:t xml:space="preserve"> a similar finding in their qualitative study of Japanese daughters and </w:t>
      </w:r>
      <w:r w:rsidR="00E67163" w:rsidRPr="00E869A4">
        <w:rPr>
          <w:rFonts w:ascii="Times New Roman" w:hAnsi="Times New Roman" w:cs="Times New Roman"/>
        </w:rPr>
        <w:t>daughters-in-law</w:t>
      </w:r>
      <w:r w:rsidRPr="00E869A4">
        <w:rPr>
          <w:rFonts w:ascii="Times New Roman" w:hAnsi="Times New Roman" w:cs="Times New Roman"/>
        </w:rPr>
        <w:t>.  Unlike daughters, Japanese daughter</w:t>
      </w:r>
      <w:r w:rsidR="00155F03" w:rsidRPr="00E869A4">
        <w:rPr>
          <w:rFonts w:ascii="Times New Roman" w:hAnsi="Times New Roman" w:cs="Times New Roman"/>
        </w:rPr>
        <w:t>s</w:t>
      </w:r>
      <w:r w:rsidRPr="00E869A4">
        <w:rPr>
          <w:rFonts w:ascii="Times New Roman" w:hAnsi="Times New Roman" w:cs="Times New Roman"/>
        </w:rPr>
        <w:t xml:space="preserve"> in-law</w:t>
      </w:r>
      <w:r w:rsidR="00155F03" w:rsidRPr="00E869A4">
        <w:rPr>
          <w:rFonts w:ascii="Times New Roman" w:hAnsi="Times New Roman" w:cs="Times New Roman"/>
        </w:rPr>
        <w:t>,</w:t>
      </w:r>
      <w:r w:rsidRPr="00E869A4">
        <w:rPr>
          <w:rFonts w:ascii="Times New Roman" w:hAnsi="Times New Roman" w:cs="Times New Roman"/>
        </w:rPr>
        <w:t xml:space="preserve"> tended to express bitterness toward their mother</w:t>
      </w:r>
      <w:r w:rsidR="00155F03" w:rsidRPr="00E869A4">
        <w:rPr>
          <w:rFonts w:ascii="Times New Roman" w:hAnsi="Times New Roman" w:cs="Times New Roman"/>
        </w:rPr>
        <w:t>s</w:t>
      </w:r>
      <w:r w:rsidRPr="00E869A4">
        <w:rPr>
          <w:rFonts w:ascii="Times New Roman" w:hAnsi="Times New Roman" w:cs="Times New Roman"/>
        </w:rPr>
        <w:t>-in-</w:t>
      </w:r>
      <w:r w:rsidR="00C25074" w:rsidRPr="00E869A4">
        <w:rPr>
          <w:rFonts w:ascii="Times New Roman" w:hAnsi="Times New Roman" w:cs="Times New Roman"/>
        </w:rPr>
        <w:t>law, which</w:t>
      </w:r>
      <w:r w:rsidRPr="00E869A4">
        <w:rPr>
          <w:rFonts w:ascii="Times New Roman" w:hAnsi="Times New Roman" w:cs="Times New Roman"/>
        </w:rPr>
        <w:t xml:space="preserve"> often stemmed from how they were treated when they first entered the house as a bride, rather than </w:t>
      </w:r>
      <w:r w:rsidR="007E3F44" w:rsidRPr="00E869A4">
        <w:rPr>
          <w:rFonts w:ascii="Times New Roman" w:hAnsi="Times New Roman" w:cs="Times New Roman"/>
        </w:rPr>
        <w:t>because</w:t>
      </w:r>
      <w:r w:rsidRPr="00E869A4">
        <w:rPr>
          <w:rFonts w:ascii="Times New Roman" w:hAnsi="Times New Roman" w:cs="Times New Roman"/>
        </w:rPr>
        <w:t xml:space="preserve"> of their current caregiving situation. Most </w:t>
      </w:r>
      <w:r w:rsidR="00E67163" w:rsidRPr="00E869A4">
        <w:rPr>
          <w:rFonts w:ascii="Times New Roman" w:hAnsi="Times New Roman" w:cs="Times New Roman"/>
        </w:rPr>
        <w:t>daughters-in-law</w:t>
      </w:r>
      <w:r w:rsidRPr="00E869A4">
        <w:rPr>
          <w:rFonts w:ascii="Times New Roman" w:hAnsi="Times New Roman" w:cs="Times New Roman"/>
        </w:rPr>
        <w:t xml:space="preserve"> had a bad or tense relationship with their in-laws. The interpersonal conflicts that arose with the extended family over the years were a main source of their unhappiness with their role as a caregiver. Furthermore, </w:t>
      </w:r>
      <w:r w:rsidR="00E67163" w:rsidRPr="00E869A4">
        <w:rPr>
          <w:rFonts w:ascii="Times New Roman" w:hAnsi="Times New Roman" w:cs="Times New Roman"/>
        </w:rPr>
        <w:t>daughters-in-law</w:t>
      </w:r>
      <w:r w:rsidRPr="00E869A4">
        <w:rPr>
          <w:rFonts w:ascii="Times New Roman" w:hAnsi="Times New Roman" w:cs="Times New Roman"/>
        </w:rPr>
        <w:t xml:space="preserve"> were often the assumed caregiver to their mother</w:t>
      </w:r>
      <w:r w:rsidR="00155F03" w:rsidRPr="00E869A4">
        <w:rPr>
          <w:rFonts w:ascii="Times New Roman" w:hAnsi="Times New Roman" w:cs="Times New Roman"/>
        </w:rPr>
        <w:t>s</w:t>
      </w:r>
      <w:r w:rsidRPr="00E869A4">
        <w:rPr>
          <w:rFonts w:ascii="Times New Roman" w:hAnsi="Times New Roman" w:cs="Times New Roman"/>
        </w:rPr>
        <w:t xml:space="preserve">-in-law in that they were often not given a choice </w:t>
      </w:r>
      <w:r w:rsidR="00F07932" w:rsidRPr="00E869A4">
        <w:rPr>
          <w:rFonts w:ascii="Times New Roman" w:hAnsi="Times New Roman" w:cs="Times New Roman"/>
        </w:rPr>
        <w:t>in</w:t>
      </w:r>
      <w:r w:rsidRPr="00E869A4">
        <w:rPr>
          <w:rFonts w:ascii="Times New Roman" w:hAnsi="Times New Roman" w:cs="Times New Roman"/>
        </w:rPr>
        <w:t xml:space="preserve"> the matter, and many felt unappreciated for the care they provided. Several of them also struggled with feelings of resentment or guilt over not being able to care for their own </w:t>
      </w:r>
      <w:r w:rsidR="00DD683D" w:rsidRPr="00E869A4">
        <w:rPr>
          <w:rFonts w:ascii="Times New Roman" w:hAnsi="Times New Roman" w:cs="Times New Roman"/>
        </w:rPr>
        <w:t>ageing</w:t>
      </w:r>
      <w:r w:rsidRPr="00E869A4">
        <w:rPr>
          <w:rFonts w:ascii="Times New Roman" w:hAnsi="Times New Roman" w:cs="Times New Roman"/>
        </w:rPr>
        <w:t xml:space="preserve"> parents even though it was not a cultural norm for them to do so. </w:t>
      </w:r>
    </w:p>
    <w:p w14:paraId="337C0866" w14:textId="77777777" w:rsidR="00FB6789" w:rsidRPr="00E869A4" w:rsidRDefault="00FB6789" w:rsidP="00A35FF8">
      <w:pPr>
        <w:rPr>
          <w:rFonts w:ascii="Times New Roman" w:hAnsi="Times New Roman" w:cs="Times New Roman"/>
        </w:rPr>
      </w:pPr>
    </w:p>
    <w:p w14:paraId="7CEE5025" w14:textId="76FBED87"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On </w:t>
      </w:r>
      <w:r w:rsidR="00D5059A" w:rsidRPr="00E869A4">
        <w:rPr>
          <w:rFonts w:ascii="Times New Roman" w:hAnsi="Times New Roman" w:cs="Times New Roman"/>
        </w:rPr>
        <w:t xml:space="preserve">the </w:t>
      </w:r>
      <w:r w:rsidRPr="00E869A4">
        <w:rPr>
          <w:rFonts w:ascii="Times New Roman" w:hAnsi="Times New Roman" w:cs="Times New Roman"/>
        </w:rPr>
        <w:t>other hand, Japanese daughters in that study generally perceived caring for their own mother as a ‘natural’ thing and saw it as an opportunity to reciprocate care to her. They also shared (directly or indirectly) about being satisfied with acting as a ‘good daughter’. Daughters rarely mentioned the need to hear words of appreciation. Rather, they seemed to recogni</w:t>
      </w:r>
      <w:r w:rsidR="0048153A" w:rsidRPr="00E869A4">
        <w:rPr>
          <w:rFonts w:ascii="Times New Roman" w:hAnsi="Times New Roman" w:cs="Times New Roman"/>
        </w:rPr>
        <w:t>s</w:t>
      </w:r>
      <w:r w:rsidRPr="00E869A4">
        <w:rPr>
          <w:rFonts w:ascii="Times New Roman" w:hAnsi="Times New Roman" w:cs="Times New Roman"/>
        </w:rPr>
        <w:t xml:space="preserve">e that their work as caregivers was appreciated, possibly because they were not the assumed caregiver. Generally, daughters took on the role of primary caregiver in response to a specific need or crisis. Unlike the </w:t>
      </w:r>
      <w:r w:rsidR="00E67163" w:rsidRPr="00E869A4">
        <w:rPr>
          <w:rFonts w:ascii="Times New Roman" w:hAnsi="Times New Roman" w:cs="Times New Roman"/>
        </w:rPr>
        <w:t>daughters-in-law</w:t>
      </w:r>
      <w:r w:rsidRPr="00E869A4">
        <w:rPr>
          <w:rFonts w:ascii="Times New Roman" w:hAnsi="Times New Roman" w:cs="Times New Roman"/>
        </w:rPr>
        <w:t xml:space="preserve">, their involvement was an outcome of their own </w:t>
      </w:r>
      <w:r w:rsidR="00C25074" w:rsidRPr="00E869A4">
        <w:rPr>
          <w:rFonts w:ascii="Times New Roman" w:hAnsi="Times New Roman" w:cs="Times New Roman"/>
        </w:rPr>
        <w:t>choice, which</w:t>
      </w:r>
      <w:r w:rsidRPr="00E869A4">
        <w:rPr>
          <w:rFonts w:ascii="Times New Roman" w:hAnsi="Times New Roman" w:cs="Times New Roman"/>
        </w:rPr>
        <w:t xml:space="preserve"> often resulted from family discussion. </w:t>
      </w:r>
    </w:p>
    <w:p w14:paraId="5D859DBD" w14:textId="77777777" w:rsidR="00D04DCD" w:rsidRPr="00E869A4" w:rsidRDefault="00D04DCD" w:rsidP="00A35FF8">
      <w:pPr>
        <w:rPr>
          <w:rFonts w:ascii="Times New Roman" w:hAnsi="Times New Roman" w:cs="Times New Roman"/>
        </w:rPr>
      </w:pPr>
    </w:p>
    <w:p w14:paraId="6A015711" w14:textId="2AC49244"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Other studies presented a different picture of the difference between the </w:t>
      </w:r>
      <w:r w:rsidR="003E3254" w:rsidRPr="00E869A4">
        <w:rPr>
          <w:rFonts w:ascii="Times New Roman" w:hAnsi="Times New Roman" w:cs="Times New Roman"/>
        </w:rPr>
        <w:t xml:space="preserve">experiences </w:t>
      </w:r>
      <w:r w:rsidRPr="00E869A4">
        <w:rPr>
          <w:rFonts w:ascii="Times New Roman" w:hAnsi="Times New Roman" w:cs="Times New Roman"/>
        </w:rPr>
        <w:t>of affinal-kin and blood relatives. Lu and colleagues’ (2015) study of family caregivers of Chinese elders with MSK</w:t>
      </w:r>
      <w:r w:rsidR="009C0BD0" w:rsidRPr="00E869A4">
        <w:rPr>
          <w:rFonts w:ascii="Times New Roman" w:hAnsi="Times New Roman" w:cs="Times New Roman"/>
        </w:rPr>
        <w:t>,</w:t>
      </w:r>
      <w:r w:rsidRPr="00E869A4">
        <w:rPr>
          <w:rFonts w:ascii="Times New Roman" w:hAnsi="Times New Roman" w:cs="Times New Roman"/>
        </w:rPr>
        <w:t xml:space="preserve"> found that spouse caregivers were more satisfied with their lives than adult-child </w:t>
      </w:r>
      <w:r w:rsidR="007E3F44" w:rsidRPr="00E869A4">
        <w:rPr>
          <w:rFonts w:ascii="Times New Roman" w:hAnsi="Times New Roman" w:cs="Times New Roman"/>
        </w:rPr>
        <w:t>caregivers were</w:t>
      </w:r>
      <w:r w:rsidRPr="00E869A4">
        <w:rPr>
          <w:rFonts w:ascii="Times New Roman" w:hAnsi="Times New Roman" w:cs="Times New Roman"/>
        </w:rPr>
        <w:t xml:space="preserve">.  No explanation was provided in their publication to explain these findings. However, the results of </w:t>
      </w:r>
      <w:r w:rsidR="000F598F" w:rsidRPr="00E869A4">
        <w:rPr>
          <w:rFonts w:ascii="Times New Roman" w:hAnsi="Times New Roman" w:cs="Times New Roman"/>
        </w:rPr>
        <w:t xml:space="preserve">Lloyd, Patterson and Muers </w:t>
      </w:r>
      <w:r w:rsidRPr="00E869A4">
        <w:rPr>
          <w:rFonts w:ascii="Times New Roman" w:hAnsi="Times New Roman" w:cs="Times New Roman"/>
        </w:rPr>
        <w:t>(2016) study provided some useful insights that may be applicable to understanding Lu et al’s observation</w:t>
      </w:r>
      <w:r w:rsidR="009C0BD0" w:rsidRPr="00E869A4">
        <w:rPr>
          <w:rFonts w:ascii="Times New Roman" w:hAnsi="Times New Roman" w:cs="Times New Roman"/>
        </w:rPr>
        <w:t>,</w:t>
      </w:r>
      <w:r w:rsidRPr="00E869A4">
        <w:rPr>
          <w:rFonts w:ascii="Times New Roman" w:hAnsi="Times New Roman" w:cs="Times New Roman"/>
        </w:rPr>
        <w:t xml:space="preserve"> about the difference in spouse and adult-children’s </w:t>
      </w:r>
      <w:r w:rsidR="003E3254" w:rsidRPr="00E869A4">
        <w:rPr>
          <w:rFonts w:ascii="Times New Roman" w:hAnsi="Times New Roman" w:cs="Times New Roman"/>
        </w:rPr>
        <w:t xml:space="preserve">experiences </w:t>
      </w:r>
      <w:r w:rsidRPr="00E869A4">
        <w:rPr>
          <w:rFonts w:ascii="Times New Roman" w:hAnsi="Times New Roman" w:cs="Times New Roman"/>
        </w:rPr>
        <w:t xml:space="preserve">of the impact of </w:t>
      </w:r>
      <w:r w:rsidRPr="00E869A4">
        <w:rPr>
          <w:rFonts w:ascii="Times New Roman" w:hAnsi="Times New Roman" w:cs="Times New Roman"/>
        </w:rPr>
        <w:lastRenderedPageBreak/>
        <w:t xml:space="preserve">caregiving on their lives. </w:t>
      </w:r>
      <w:r w:rsidR="00C25074" w:rsidRPr="00E869A4">
        <w:rPr>
          <w:rFonts w:ascii="Times New Roman" w:hAnsi="Times New Roman" w:cs="Times New Roman"/>
        </w:rPr>
        <w:t xml:space="preserve">Lloyd and colleagues observed subtle differences in how positive aspects of care were experienced by different groups of carers. </w:t>
      </w:r>
      <w:r w:rsidRPr="00E869A4">
        <w:rPr>
          <w:rFonts w:ascii="Times New Roman" w:hAnsi="Times New Roman" w:cs="Times New Roman"/>
        </w:rPr>
        <w:t>In their study, positive aspects of care identified by adult child carers included personal growth and learning more about themselves, which boosted their conﬁdence in their ability to handle di</w:t>
      </w:r>
      <w:r w:rsidR="00137FCA" w:rsidRPr="00E869A4">
        <w:rPr>
          <w:rFonts w:ascii="Times New Roman" w:hAnsi="Times New Roman" w:cs="Times New Roman"/>
        </w:rPr>
        <w:t>ffi</w:t>
      </w:r>
      <w:r w:rsidRPr="00E869A4">
        <w:rPr>
          <w:rFonts w:ascii="Times New Roman" w:hAnsi="Times New Roman" w:cs="Times New Roman"/>
        </w:rPr>
        <w:t>cult situations in the future. In contrast, spousal carers, particularly wives, tended to place a higher value on gains based in the dynamic of their relationship and on spiritual growth</w:t>
      </w:r>
      <w:r w:rsidRPr="00E869A4">
        <w:rPr>
          <w:rFonts w:ascii="Times New Roman" w:hAnsi="Times New Roman" w:cs="Times New Roman"/>
          <w:i/>
        </w:rPr>
        <w:t xml:space="preserve">. </w:t>
      </w:r>
      <w:r w:rsidRPr="00E869A4">
        <w:rPr>
          <w:rFonts w:ascii="Times New Roman" w:hAnsi="Times New Roman" w:cs="Times New Roman"/>
        </w:rPr>
        <w:t>Wives viewed their caring role as an extension of their marital relationship.</w:t>
      </w:r>
      <w:r w:rsidRPr="00E869A4">
        <w:rPr>
          <w:rFonts w:ascii="Times New Roman" w:hAnsi="Times New Roman" w:cs="Times New Roman"/>
          <w:i/>
        </w:rPr>
        <w:t xml:space="preserve"> </w:t>
      </w:r>
      <w:r w:rsidRPr="00E869A4">
        <w:rPr>
          <w:rFonts w:ascii="Times New Roman" w:hAnsi="Times New Roman" w:cs="Times New Roman"/>
        </w:rPr>
        <w:t>Husbands identified the opportunity to reciprocate the care they had received through the marriage as a benefit of caregiving</w:t>
      </w:r>
      <w:r w:rsidR="00892E28" w:rsidRPr="00E869A4">
        <w:rPr>
          <w:rFonts w:ascii="Times New Roman" w:hAnsi="Times New Roman" w:cs="Times New Roman"/>
        </w:rPr>
        <w:t>,</w:t>
      </w:r>
      <w:r w:rsidRPr="00E869A4">
        <w:rPr>
          <w:rFonts w:ascii="Times New Roman" w:hAnsi="Times New Roman" w:cs="Times New Roman"/>
        </w:rPr>
        <w:t xml:space="preserve"> as well as the new sense of purpose gained from taking on the caregiving role. Husbands also reported beneﬁtting from a perceived social honour of being a male carer.</w:t>
      </w:r>
    </w:p>
    <w:p w14:paraId="49486965" w14:textId="77777777" w:rsidR="00C8249D" w:rsidRPr="00E869A4" w:rsidRDefault="00C8249D" w:rsidP="00A35FF8">
      <w:pPr>
        <w:rPr>
          <w:rFonts w:ascii="Times New Roman" w:hAnsi="Times New Roman" w:cs="Times New Roman"/>
        </w:rPr>
      </w:pPr>
    </w:p>
    <w:p w14:paraId="5B005D64" w14:textId="591123ED"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With respect to spousal care of demented older persons, Fitting and colleagues (1986) found that husband and wife caregivers experienced similar degrees of burden but wives reported more depressive symptoms. Their study also highlighted how the age of the spouse </w:t>
      </w:r>
      <w:r w:rsidR="007E3F44" w:rsidRPr="00E869A4">
        <w:rPr>
          <w:rFonts w:ascii="Times New Roman" w:hAnsi="Times New Roman" w:cs="Times New Roman"/>
        </w:rPr>
        <w:t>influenced</w:t>
      </w:r>
      <w:r w:rsidRPr="00E869A4">
        <w:rPr>
          <w:rFonts w:ascii="Times New Roman" w:hAnsi="Times New Roman" w:cs="Times New Roman"/>
        </w:rPr>
        <w:t xml:space="preserve"> the participants’ </w:t>
      </w:r>
      <w:r w:rsidR="003E3254" w:rsidRPr="00E869A4">
        <w:rPr>
          <w:rFonts w:ascii="Times New Roman" w:hAnsi="Times New Roman" w:cs="Times New Roman"/>
        </w:rPr>
        <w:t xml:space="preserve">experience </w:t>
      </w:r>
      <w:r w:rsidRPr="00E869A4">
        <w:rPr>
          <w:rFonts w:ascii="Times New Roman" w:hAnsi="Times New Roman" w:cs="Times New Roman"/>
        </w:rPr>
        <w:t>of care. Younger caregivers seemed to be more lonely and resentful about their plight. Their embittered view of their situation may have resulted because of responsibilities that they had</w:t>
      </w:r>
      <w:r w:rsidR="00892E28" w:rsidRPr="00E869A4">
        <w:rPr>
          <w:rFonts w:ascii="Times New Roman" w:hAnsi="Times New Roman" w:cs="Times New Roman"/>
        </w:rPr>
        <w:t>,</w:t>
      </w:r>
      <w:r w:rsidRPr="00E869A4">
        <w:rPr>
          <w:rFonts w:ascii="Times New Roman" w:hAnsi="Times New Roman" w:cs="Times New Roman"/>
        </w:rPr>
        <w:t xml:space="preserve"> such as mortgage payments and paying </w:t>
      </w:r>
      <w:r w:rsidR="003D6B30" w:rsidRPr="00E869A4">
        <w:rPr>
          <w:rFonts w:ascii="Times New Roman" w:hAnsi="Times New Roman" w:cs="Times New Roman"/>
        </w:rPr>
        <w:t>university</w:t>
      </w:r>
      <w:r w:rsidRPr="00E869A4">
        <w:rPr>
          <w:rFonts w:ascii="Times New Roman" w:hAnsi="Times New Roman" w:cs="Times New Roman"/>
        </w:rPr>
        <w:t xml:space="preserve"> fees for young adult children. Older caregivers may have already fulfilled such financial obligations</w:t>
      </w:r>
      <w:r w:rsidR="00892E28" w:rsidRPr="00E869A4">
        <w:rPr>
          <w:rFonts w:ascii="Times New Roman" w:hAnsi="Times New Roman" w:cs="Times New Roman"/>
        </w:rPr>
        <w:t>,</w:t>
      </w:r>
      <w:r w:rsidRPr="00E869A4">
        <w:rPr>
          <w:rFonts w:ascii="Times New Roman" w:hAnsi="Times New Roman" w:cs="Times New Roman"/>
        </w:rPr>
        <w:t xml:space="preserve"> hence their more positive outlook. </w:t>
      </w:r>
    </w:p>
    <w:p w14:paraId="385AF816" w14:textId="77777777" w:rsidR="00FB6789" w:rsidRPr="00E869A4" w:rsidRDefault="00FB6789" w:rsidP="00A35FF8">
      <w:pPr>
        <w:rPr>
          <w:rFonts w:ascii="Times New Roman" w:hAnsi="Times New Roman" w:cs="Times New Roman"/>
        </w:rPr>
      </w:pPr>
    </w:p>
    <w:p w14:paraId="31506182" w14:textId="3B163566"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From the viewpoint of </w:t>
      </w:r>
      <w:r w:rsidR="009E2738" w:rsidRPr="00E869A4">
        <w:rPr>
          <w:rFonts w:ascii="Times New Roman" w:hAnsi="Times New Roman" w:cs="Times New Roman"/>
        </w:rPr>
        <w:t>care recipient</w:t>
      </w:r>
      <w:r w:rsidRPr="00E869A4">
        <w:rPr>
          <w:rFonts w:ascii="Times New Roman" w:hAnsi="Times New Roman" w:cs="Times New Roman"/>
        </w:rPr>
        <w:t>s, Martire and colleagues (2003</w:t>
      </w:r>
      <w:r w:rsidR="00C72DA5" w:rsidRPr="00E869A4">
        <w:rPr>
          <w:rFonts w:ascii="Times New Roman" w:hAnsi="Times New Roman" w:cs="Times New Roman"/>
        </w:rPr>
        <w:t xml:space="preserve"> </w:t>
      </w:r>
      <w:r w:rsidR="004A497A" w:rsidRPr="00E869A4">
        <w:rPr>
          <w:rFonts w:ascii="Times New Roman" w:hAnsi="Times New Roman" w:cs="Times New Roman"/>
        </w:rPr>
        <w:t>cited in Tetz et al. 2006</w:t>
      </w:r>
      <w:r w:rsidRPr="00E869A4">
        <w:rPr>
          <w:rFonts w:ascii="Times New Roman" w:hAnsi="Times New Roman" w:cs="Times New Roman"/>
        </w:rPr>
        <w:t>) found that wife care recipients were more critical of husband caregivers: 41% of wife care receivers agreed with the statement “Sometimes my spouse does not do it in the right way,” compared to only 17% of husband care receivers. One possible explanation put forward by Martire and colleagues for the relatively lower satisfaction of women with the care they received from their husbands</w:t>
      </w:r>
      <w:r w:rsidR="007E3F44" w:rsidRPr="00E869A4">
        <w:rPr>
          <w:rFonts w:ascii="Times New Roman" w:hAnsi="Times New Roman" w:cs="Times New Roman"/>
        </w:rPr>
        <w:t>,</w:t>
      </w:r>
      <w:r w:rsidRPr="00E869A4">
        <w:rPr>
          <w:rFonts w:ascii="Times New Roman" w:hAnsi="Times New Roman" w:cs="Times New Roman"/>
        </w:rPr>
        <w:t xml:space="preserve"> was that the cohort of men was not as skilled as women</w:t>
      </w:r>
      <w:r w:rsidR="007E3F44" w:rsidRPr="00E869A4">
        <w:rPr>
          <w:rFonts w:ascii="Times New Roman" w:hAnsi="Times New Roman" w:cs="Times New Roman"/>
        </w:rPr>
        <w:t>,</w:t>
      </w:r>
      <w:r w:rsidRPr="00E869A4">
        <w:rPr>
          <w:rFonts w:ascii="Times New Roman" w:hAnsi="Times New Roman" w:cs="Times New Roman"/>
        </w:rPr>
        <w:t xml:space="preserve"> in providing functional assistance. </w:t>
      </w:r>
    </w:p>
    <w:p w14:paraId="73B99296" w14:textId="77777777" w:rsidR="00D04DCD" w:rsidRPr="00E869A4" w:rsidRDefault="00D04DCD" w:rsidP="00A35FF8">
      <w:pPr>
        <w:rPr>
          <w:rFonts w:ascii="Times New Roman" w:hAnsi="Times New Roman" w:cs="Times New Roman"/>
        </w:rPr>
      </w:pPr>
    </w:p>
    <w:p w14:paraId="313986F2" w14:textId="77777777" w:rsidR="002A7CE0" w:rsidRPr="00E869A4" w:rsidRDefault="002A7CE0" w:rsidP="0031040A">
      <w:pPr>
        <w:pStyle w:val="Heading5"/>
        <w:rPr>
          <w:color w:val="auto"/>
        </w:rPr>
      </w:pPr>
      <w:bookmarkStart w:id="206" w:name="_Toc509940570"/>
      <w:r w:rsidRPr="00E869A4">
        <w:rPr>
          <w:color w:val="auto"/>
        </w:rPr>
        <w:t>Other Considerations</w:t>
      </w:r>
      <w:bookmarkEnd w:id="206"/>
    </w:p>
    <w:p w14:paraId="06FAAE89" w14:textId="77777777" w:rsidR="00D04DCD" w:rsidRPr="00E869A4" w:rsidRDefault="00D04DCD" w:rsidP="0051234F">
      <w:pPr>
        <w:pStyle w:val="112"/>
        <w:rPr>
          <w:color w:val="auto"/>
        </w:rPr>
      </w:pPr>
    </w:p>
    <w:p w14:paraId="5A066F39" w14:textId="1BDDDC1A" w:rsidR="002A7CE0" w:rsidRPr="00E869A4" w:rsidRDefault="002A7CE0" w:rsidP="00A35FF8">
      <w:pPr>
        <w:rPr>
          <w:rFonts w:ascii="Times New Roman" w:hAnsi="Times New Roman" w:cs="Times New Roman"/>
        </w:rPr>
      </w:pPr>
      <w:r w:rsidRPr="00E869A4">
        <w:rPr>
          <w:rFonts w:ascii="Times New Roman" w:hAnsi="Times New Roman" w:cs="Times New Roman"/>
        </w:rPr>
        <w:t>Generally, carers who described their prior relationship with an older relative in positive terms were more likely to report a deeper level of satisfaction in their role as a caregiver (</w:t>
      </w:r>
      <w:r w:rsidR="000F598F" w:rsidRPr="00E869A4">
        <w:rPr>
          <w:rFonts w:ascii="Times New Roman" w:hAnsi="Times New Roman" w:cs="Times New Roman"/>
        </w:rPr>
        <w:t xml:space="preserve">Lloyd, Patterson </w:t>
      </w:r>
      <w:r w:rsidR="00C72DA5" w:rsidRPr="00E869A4">
        <w:rPr>
          <w:rFonts w:ascii="Times New Roman" w:hAnsi="Times New Roman" w:cs="Times New Roman"/>
        </w:rPr>
        <w:t>&amp;</w:t>
      </w:r>
      <w:r w:rsidR="000F598F" w:rsidRPr="00E869A4">
        <w:rPr>
          <w:rFonts w:ascii="Times New Roman" w:hAnsi="Times New Roman" w:cs="Times New Roman"/>
        </w:rPr>
        <w:t xml:space="preserve"> Muers</w:t>
      </w:r>
      <w:r w:rsidR="00C72DA5" w:rsidRPr="00E869A4">
        <w:rPr>
          <w:rFonts w:ascii="Times New Roman" w:hAnsi="Times New Roman" w:cs="Times New Roman"/>
        </w:rPr>
        <w:t xml:space="preserve"> </w:t>
      </w:r>
      <w:r w:rsidRPr="00E869A4">
        <w:rPr>
          <w:rFonts w:ascii="Times New Roman" w:hAnsi="Times New Roman" w:cs="Times New Roman"/>
        </w:rPr>
        <w:t>2016; Merrill 1997). Also, lack of support from friends or relatives, family conﬂict, and not having</w:t>
      </w:r>
      <w:r w:rsidR="000B1D8D">
        <w:rPr>
          <w:rFonts w:ascii="Times New Roman" w:hAnsi="Times New Roman" w:cs="Times New Roman"/>
        </w:rPr>
        <w:t xml:space="preserve"> </w:t>
      </w:r>
      <w:r w:rsidRPr="00E869A4">
        <w:rPr>
          <w:rFonts w:ascii="Times New Roman" w:hAnsi="Times New Roman" w:cs="Times New Roman"/>
        </w:rPr>
        <w:lastRenderedPageBreak/>
        <w:t>someone to take over caregiving tasks, were relationship factors that often resulted in negative appraisals of the care experience (</w:t>
      </w:r>
      <w:r w:rsidR="00934743" w:rsidRPr="00E869A4">
        <w:rPr>
          <w:rFonts w:ascii="Times New Roman" w:hAnsi="Times New Roman" w:cs="Times New Roman"/>
        </w:rPr>
        <w:t>Lin, Fee &amp; Wu</w:t>
      </w:r>
      <w:r w:rsidRPr="00E869A4">
        <w:rPr>
          <w:rFonts w:ascii="Times New Roman" w:hAnsi="Times New Roman" w:cs="Times New Roman"/>
        </w:rPr>
        <w:t xml:space="preserve"> 2012). </w:t>
      </w:r>
    </w:p>
    <w:p w14:paraId="43E5B30D" w14:textId="77777777" w:rsidR="00D04DCD" w:rsidRPr="00E869A4" w:rsidRDefault="00D04DCD" w:rsidP="00A35FF8">
      <w:pPr>
        <w:rPr>
          <w:rFonts w:ascii="Times New Roman" w:hAnsi="Times New Roman" w:cs="Times New Roman"/>
        </w:rPr>
      </w:pPr>
    </w:p>
    <w:p w14:paraId="5E12CF4A" w14:textId="20F1DD39" w:rsidR="00545585" w:rsidRPr="00E869A4" w:rsidRDefault="00545585" w:rsidP="00AC4535">
      <w:pPr>
        <w:pStyle w:val="Heading4"/>
      </w:pPr>
      <w:r w:rsidRPr="00E869A4">
        <w:t>Care Factors</w:t>
      </w:r>
    </w:p>
    <w:p w14:paraId="12A7345C" w14:textId="2DB714B3" w:rsidR="00D04DCD" w:rsidRPr="00E869A4" w:rsidRDefault="00880296" w:rsidP="0051234F">
      <w:pPr>
        <w:pStyle w:val="112"/>
        <w:rPr>
          <w:color w:val="auto"/>
        </w:rPr>
      </w:pPr>
      <w:r w:rsidRPr="00E869A4">
        <w:rPr>
          <w:color w:val="auto"/>
        </w:rPr>
        <w:tab/>
      </w:r>
    </w:p>
    <w:p w14:paraId="63A1EA6C" w14:textId="1FDB6E80" w:rsidR="00880296" w:rsidRPr="00E869A4" w:rsidRDefault="00880296" w:rsidP="0051234F">
      <w:pPr>
        <w:pStyle w:val="112"/>
        <w:rPr>
          <w:color w:val="auto"/>
        </w:rPr>
      </w:pPr>
      <w:r w:rsidRPr="00E869A4">
        <w:rPr>
          <w:color w:val="auto"/>
        </w:rPr>
        <w:t xml:space="preserve">The care factors that are discussed in this section are: intensity of care; duration of caregiving; culture and experiences of care. </w:t>
      </w:r>
    </w:p>
    <w:p w14:paraId="1140AF4D" w14:textId="77777777" w:rsidR="003D7443" w:rsidRPr="00E869A4" w:rsidRDefault="003D7443" w:rsidP="0051234F">
      <w:pPr>
        <w:pStyle w:val="112"/>
        <w:rPr>
          <w:color w:val="auto"/>
        </w:rPr>
      </w:pPr>
    </w:p>
    <w:p w14:paraId="3390652B" w14:textId="77777777" w:rsidR="002A7CE0" w:rsidRPr="00E869A4" w:rsidRDefault="00AC4535" w:rsidP="0031040A">
      <w:pPr>
        <w:pStyle w:val="Heading5"/>
        <w:rPr>
          <w:color w:val="auto"/>
        </w:rPr>
      </w:pPr>
      <w:bookmarkStart w:id="207" w:name="_Toc509940572"/>
      <w:r w:rsidRPr="00E869A4">
        <w:rPr>
          <w:color w:val="auto"/>
        </w:rPr>
        <w:t>Intensity of c</w:t>
      </w:r>
      <w:r w:rsidR="002A7CE0" w:rsidRPr="00E869A4">
        <w:rPr>
          <w:color w:val="auto"/>
        </w:rPr>
        <w:t>are</w:t>
      </w:r>
      <w:bookmarkEnd w:id="207"/>
    </w:p>
    <w:p w14:paraId="458601DB" w14:textId="77777777" w:rsidR="00D04DCD" w:rsidRPr="00E869A4" w:rsidRDefault="00D04DCD" w:rsidP="0051234F">
      <w:pPr>
        <w:pStyle w:val="112"/>
        <w:rPr>
          <w:color w:val="auto"/>
        </w:rPr>
      </w:pPr>
    </w:p>
    <w:p w14:paraId="69BFE880" w14:textId="056AF864"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Caregivers that spend long hours helping with </w:t>
      </w:r>
      <w:r w:rsidR="00BB16D0" w:rsidRPr="00E869A4">
        <w:rPr>
          <w:rFonts w:ascii="Times New Roman" w:hAnsi="Times New Roman" w:cs="Times New Roman"/>
        </w:rPr>
        <w:t>ADLs</w:t>
      </w:r>
      <w:r w:rsidRPr="00E869A4">
        <w:rPr>
          <w:rFonts w:ascii="Times New Roman" w:hAnsi="Times New Roman" w:cs="Times New Roman"/>
        </w:rPr>
        <w:t xml:space="preserve"> or </w:t>
      </w:r>
      <w:r w:rsidR="00BB16D0" w:rsidRPr="00E869A4">
        <w:rPr>
          <w:rFonts w:ascii="Times New Roman" w:hAnsi="Times New Roman" w:cs="Times New Roman"/>
        </w:rPr>
        <w:t>IADLs</w:t>
      </w:r>
      <w:r w:rsidRPr="00E869A4">
        <w:rPr>
          <w:rFonts w:ascii="Times New Roman" w:hAnsi="Times New Roman" w:cs="Times New Roman"/>
        </w:rPr>
        <w:t xml:space="preserve"> were more likely to perceive care as negative (</w:t>
      </w:r>
      <w:r w:rsidR="00934743" w:rsidRPr="00E869A4">
        <w:rPr>
          <w:rFonts w:ascii="Times New Roman" w:hAnsi="Times New Roman" w:cs="Times New Roman"/>
        </w:rPr>
        <w:t>Lin, Fee &amp; Wu</w:t>
      </w:r>
      <w:r w:rsidRPr="00E869A4">
        <w:rPr>
          <w:rFonts w:ascii="Times New Roman" w:hAnsi="Times New Roman" w:cs="Times New Roman"/>
        </w:rPr>
        <w:t xml:space="preserve"> 2012). The number of care tasks and demands were in many instances a function of the health condition of the older care recipient. Generally, people caring for older relatives with degenerative illnesses such as dementia and Alzheimer’s were more </w:t>
      </w:r>
      <w:r w:rsidR="003E3254" w:rsidRPr="00E869A4">
        <w:rPr>
          <w:rFonts w:ascii="Times New Roman" w:hAnsi="Times New Roman" w:cs="Times New Roman"/>
        </w:rPr>
        <w:t>likely to view</w:t>
      </w:r>
      <w:r w:rsidRPr="00E869A4">
        <w:rPr>
          <w:rFonts w:ascii="Times New Roman" w:hAnsi="Times New Roman" w:cs="Times New Roman"/>
        </w:rPr>
        <w:t xml:space="preserve"> their care experience </w:t>
      </w:r>
      <w:r w:rsidR="003E3254" w:rsidRPr="00E869A4">
        <w:rPr>
          <w:rFonts w:ascii="Times New Roman" w:hAnsi="Times New Roman" w:cs="Times New Roman"/>
        </w:rPr>
        <w:t xml:space="preserve">negatively </w:t>
      </w:r>
      <w:r w:rsidRPr="00E869A4">
        <w:rPr>
          <w:rFonts w:ascii="Times New Roman" w:hAnsi="Times New Roman" w:cs="Times New Roman"/>
        </w:rPr>
        <w:t>given the extensive</w:t>
      </w:r>
      <w:r w:rsidR="003D6B30" w:rsidRPr="00E869A4">
        <w:rPr>
          <w:rFonts w:ascii="Times New Roman" w:hAnsi="Times New Roman" w:cs="Times New Roman"/>
        </w:rPr>
        <w:t xml:space="preserve"> and increasing</w:t>
      </w:r>
      <w:r w:rsidRPr="00E869A4">
        <w:rPr>
          <w:rFonts w:ascii="Times New Roman" w:hAnsi="Times New Roman" w:cs="Times New Roman"/>
        </w:rPr>
        <w:t xml:space="preserve"> care that is required over time. </w:t>
      </w:r>
      <w:r w:rsidR="00C25074" w:rsidRPr="00E869A4">
        <w:rPr>
          <w:rFonts w:ascii="Times New Roman" w:hAnsi="Times New Roman" w:cs="Times New Roman"/>
        </w:rPr>
        <w:t>However</w:t>
      </w:r>
      <w:r w:rsidRPr="00E869A4">
        <w:rPr>
          <w:rFonts w:ascii="Times New Roman" w:hAnsi="Times New Roman" w:cs="Times New Roman"/>
        </w:rPr>
        <w:t>, exceptions to this pattern were also observed. De Labra et al</w:t>
      </w:r>
      <w:r w:rsidR="002F0D8D" w:rsidRPr="00E869A4">
        <w:rPr>
          <w:rFonts w:ascii="Times New Roman" w:hAnsi="Times New Roman" w:cs="Times New Roman"/>
        </w:rPr>
        <w:t>.</w:t>
      </w:r>
      <w:r w:rsidRPr="00E869A4">
        <w:rPr>
          <w:rFonts w:ascii="Times New Roman" w:hAnsi="Times New Roman" w:cs="Times New Roman"/>
        </w:rPr>
        <w:t xml:space="preserve"> (2015)</w:t>
      </w:r>
      <w:r w:rsidR="00195C5A" w:rsidRPr="00E869A4">
        <w:rPr>
          <w:rFonts w:ascii="Times New Roman" w:hAnsi="Times New Roman" w:cs="Times New Roman"/>
        </w:rPr>
        <w:t>,</w:t>
      </w:r>
      <w:r w:rsidRPr="00E869A4">
        <w:rPr>
          <w:rFonts w:ascii="Times New Roman" w:hAnsi="Times New Roman" w:cs="Times New Roman"/>
        </w:rPr>
        <w:t xml:space="preserve"> for example</w:t>
      </w:r>
      <w:r w:rsidR="002F0D8D" w:rsidRPr="00E869A4">
        <w:rPr>
          <w:rFonts w:ascii="Times New Roman" w:hAnsi="Times New Roman" w:cs="Times New Roman"/>
        </w:rPr>
        <w:t>,</w:t>
      </w:r>
      <w:r w:rsidRPr="00E869A4">
        <w:rPr>
          <w:rFonts w:ascii="Times New Roman" w:hAnsi="Times New Roman" w:cs="Times New Roman"/>
        </w:rPr>
        <w:t xml:space="preserve"> found in their study of caregivers of persons with dementia</w:t>
      </w:r>
      <w:r w:rsidR="00195C5A" w:rsidRPr="00E869A4">
        <w:rPr>
          <w:rFonts w:ascii="Times New Roman" w:hAnsi="Times New Roman" w:cs="Times New Roman"/>
        </w:rPr>
        <w:t>,</w:t>
      </w:r>
      <w:r w:rsidRPr="00E869A4">
        <w:rPr>
          <w:rFonts w:ascii="Times New Roman" w:hAnsi="Times New Roman" w:cs="Times New Roman"/>
        </w:rPr>
        <w:t xml:space="preserve"> that the more severe the dementia, the greater th</w:t>
      </w:r>
      <w:r w:rsidR="003D7443" w:rsidRPr="00E869A4">
        <w:rPr>
          <w:rFonts w:ascii="Times New Roman" w:hAnsi="Times New Roman" w:cs="Times New Roman"/>
        </w:rPr>
        <w:t>e satisfaction felt by the care</w:t>
      </w:r>
      <w:r w:rsidRPr="00E869A4">
        <w:rPr>
          <w:rFonts w:ascii="Times New Roman" w:hAnsi="Times New Roman" w:cs="Times New Roman"/>
        </w:rPr>
        <w:t xml:space="preserve">rs. They suggested that the increased satisfaction </w:t>
      </w:r>
      <w:r w:rsidR="007E3F44" w:rsidRPr="00E869A4">
        <w:rPr>
          <w:rFonts w:ascii="Times New Roman" w:hAnsi="Times New Roman" w:cs="Times New Roman"/>
        </w:rPr>
        <w:t>might</w:t>
      </w:r>
      <w:r w:rsidRPr="00E869A4">
        <w:rPr>
          <w:rFonts w:ascii="Times New Roman" w:hAnsi="Times New Roman" w:cs="Times New Roman"/>
        </w:rPr>
        <w:t xml:space="preserve"> have </w:t>
      </w:r>
      <w:r w:rsidR="00195C5A" w:rsidRPr="00E869A4">
        <w:rPr>
          <w:rFonts w:ascii="Times New Roman" w:hAnsi="Times New Roman" w:cs="Times New Roman"/>
        </w:rPr>
        <w:t>been as a result</w:t>
      </w:r>
      <w:r w:rsidRPr="00E869A4">
        <w:rPr>
          <w:rFonts w:ascii="Times New Roman" w:hAnsi="Times New Roman" w:cs="Times New Roman"/>
        </w:rPr>
        <w:t xml:space="preserve"> of the competence gained by the caregiver from their increased involvement with</w:t>
      </w:r>
      <w:r w:rsidR="008B337E" w:rsidRPr="00E869A4">
        <w:rPr>
          <w:rFonts w:ascii="Times New Roman" w:hAnsi="Times New Roman" w:cs="Times New Roman"/>
        </w:rPr>
        <w:t xml:space="preserve"> their</w:t>
      </w:r>
      <w:r w:rsidRPr="00E869A4">
        <w:rPr>
          <w:rFonts w:ascii="Times New Roman" w:hAnsi="Times New Roman" w:cs="Times New Roman"/>
        </w:rPr>
        <w:t xml:space="preserve"> </w:t>
      </w:r>
      <w:r w:rsidR="0076634B" w:rsidRPr="00E869A4">
        <w:rPr>
          <w:rFonts w:ascii="Times New Roman" w:hAnsi="Times New Roman" w:cs="Times New Roman"/>
        </w:rPr>
        <w:t>loved one</w:t>
      </w:r>
      <w:r w:rsidRPr="00E869A4">
        <w:rPr>
          <w:rFonts w:ascii="Times New Roman" w:hAnsi="Times New Roman" w:cs="Times New Roman"/>
        </w:rPr>
        <w:t xml:space="preserve">. The intensification of their care activities may have also strengthened the emotional bond between the two parties. Pinquart </w:t>
      </w:r>
      <w:r w:rsidR="0076634B" w:rsidRPr="00E869A4">
        <w:rPr>
          <w:rFonts w:ascii="Times New Roman" w:hAnsi="Times New Roman" w:cs="Times New Roman"/>
        </w:rPr>
        <w:t>and</w:t>
      </w:r>
      <w:r w:rsidRPr="00E869A4">
        <w:rPr>
          <w:rFonts w:ascii="Times New Roman" w:hAnsi="Times New Roman" w:cs="Times New Roman"/>
        </w:rPr>
        <w:t xml:space="preserve"> </w:t>
      </w:r>
      <w:r w:rsidR="0076634B" w:rsidRPr="00E869A4">
        <w:rPr>
          <w:rFonts w:ascii="Times New Roman" w:hAnsi="Times New Roman" w:cs="Times New Roman"/>
        </w:rPr>
        <w:t>Sӧrensen</w:t>
      </w:r>
      <w:r w:rsidRPr="00E869A4">
        <w:rPr>
          <w:rFonts w:ascii="Times New Roman" w:hAnsi="Times New Roman" w:cs="Times New Roman"/>
        </w:rPr>
        <w:t>’s (2003b) study on family caregivers of older persons with dementia provided additional clarity on this issue. They observed that caregivers were more willing to tolerate physical limitations and cognitive deficits in older relatives more than behaviour</w:t>
      </w:r>
      <w:r w:rsidR="008B337E" w:rsidRPr="00E869A4">
        <w:rPr>
          <w:rFonts w:ascii="Times New Roman" w:hAnsi="Times New Roman" w:cs="Times New Roman"/>
        </w:rPr>
        <w:t>al</w:t>
      </w:r>
      <w:r w:rsidRPr="00E869A4">
        <w:rPr>
          <w:rFonts w:ascii="Times New Roman" w:hAnsi="Times New Roman" w:cs="Times New Roman"/>
        </w:rPr>
        <w:t xml:space="preserve"> problems. </w:t>
      </w:r>
    </w:p>
    <w:p w14:paraId="0247779B" w14:textId="77777777" w:rsidR="00D04DCD" w:rsidRPr="00E869A4" w:rsidRDefault="00D04DCD" w:rsidP="00A35FF8">
      <w:pPr>
        <w:rPr>
          <w:rFonts w:ascii="Times New Roman" w:hAnsi="Times New Roman" w:cs="Times New Roman"/>
        </w:rPr>
      </w:pPr>
    </w:p>
    <w:p w14:paraId="0AC42784" w14:textId="77777777" w:rsidR="002A7CE0" w:rsidRPr="00E869A4" w:rsidRDefault="00AC4535" w:rsidP="0031040A">
      <w:pPr>
        <w:pStyle w:val="Heading5"/>
        <w:rPr>
          <w:color w:val="auto"/>
        </w:rPr>
      </w:pPr>
      <w:bookmarkStart w:id="208" w:name="_Toc509940573"/>
      <w:r w:rsidRPr="00E869A4">
        <w:rPr>
          <w:color w:val="auto"/>
        </w:rPr>
        <w:t>Duration of c</w:t>
      </w:r>
      <w:r w:rsidR="002A7CE0" w:rsidRPr="00E869A4">
        <w:rPr>
          <w:color w:val="auto"/>
        </w:rPr>
        <w:t>aregiving</w:t>
      </w:r>
      <w:bookmarkEnd w:id="208"/>
    </w:p>
    <w:p w14:paraId="222C9AE5" w14:textId="77777777" w:rsidR="00D04DCD" w:rsidRPr="00E869A4" w:rsidRDefault="00D04DCD" w:rsidP="0051234F">
      <w:pPr>
        <w:pStyle w:val="112"/>
        <w:rPr>
          <w:color w:val="auto"/>
        </w:rPr>
      </w:pPr>
    </w:p>
    <w:p w14:paraId="243F068B" w14:textId="6C9DFE52" w:rsidR="002A7CE0" w:rsidRPr="00E869A4" w:rsidRDefault="002A7CE0" w:rsidP="00A35FF8">
      <w:pPr>
        <w:rPr>
          <w:rFonts w:ascii="Times New Roman" w:hAnsi="Times New Roman" w:cs="Times New Roman"/>
        </w:rPr>
      </w:pPr>
      <w:r w:rsidRPr="00E869A4">
        <w:rPr>
          <w:rFonts w:ascii="Times New Roman" w:hAnsi="Times New Roman" w:cs="Times New Roman"/>
        </w:rPr>
        <w:t>Pinquart and Sӧrensen (2003b) found three distinct and contradictory hypotheses in the literature on the duration of care and how care is perceived, namely: 1) the wear and tear hypothesis; 2) the adaptation hypothesis; and</w:t>
      </w:r>
      <w:r w:rsidR="00946D8A" w:rsidRPr="00E869A4">
        <w:rPr>
          <w:rFonts w:ascii="Times New Roman" w:hAnsi="Times New Roman" w:cs="Times New Roman"/>
        </w:rPr>
        <w:t>,</w:t>
      </w:r>
      <w:r w:rsidRPr="00E869A4">
        <w:rPr>
          <w:rFonts w:ascii="Times New Roman" w:hAnsi="Times New Roman" w:cs="Times New Roman"/>
        </w:rPr>
        <w:t xml:space="preserve"> 3) the trait hypothesis. The wear-and-tear hypothesis predicts that the longer caregiving is sustained, the greater the decline in caregiver subjective well-being. The findings from Naef and </w:t>
      </w:r>
      <w:r w:rsidRPr="00E869A4">
        <w:rPr>
          <w:rFonts w:ascii="Times New Roman" w:hAnsi="Times New Roman" w:cs="Times New Roman"/>
        </w:rPr>
        <w:lastRenderedPageBreak/>
        <w:t>colleagues’ (2017) study seemed consistent with this. Naef et al</w:t>
      </w:r>
      <w:r w:rsidR="0076634B" w:rsidRPr="00E869A4">
        <w:rPr>
          <w:rFonts w:ascii="Times New Roman" w:hAnsi="Times New Roman" w:cs="Times New Roman"/>
        </w:rPr>
        <w:t>.</w:t>
      </w:r>
      <w:r w:rsidRPr="00E869A4">
        <w:rPr>
          <w:rFonts w:ascii="Times New Roman" w:hAnsi="Times New Roman" w:cs="Times New Roman"/>
        </w:rPr>
        <w:t xml:space="preserve"> found that a low intensity group of family caregivers</w:t>
      </w:r>
      <w:r w:rsidR="000F70AB" w:rsidRPr="00E869A4">
        <w:rPr>
          <w:rFonts w:ascii="Times New Roman" w:hAnsi="Times New Roman" w:cs="Times New Roman"/>
        </w:rPr>
        <w:t>,</w:t>
      </w:r>
      <w:r w:rsidRPr="00E869A4">
        <w:rPr>
          <w:rFonts w:ascii="Times New Roman" w:hAnsi="Times New Roman" w:cs="Times New Roman"/>
        </w:rPr>
        <w:t xml:space="preserve"> consisting of equal proportions of spouse and adult children</w:t>
      </w:r>
      <w:r w:rsidR="000F70AB" w:rsidRPr="00E869A4">
        <w:rPr>
          <w:rFonts w:ascii="Times New Roman" w:hAnsi="Times New Roman" w:cs="Times New Roman"/>
        </w:rPr>
        <w:t>,</w:t>
      </w:r>
      <w:r w:rsidRPr="00E869A4">
        <w:rPr>
          <w:rFonts w:ascii="Times New Roman" w:hAnsi="Times New Roman" w:cs="Times New Roman"/>
        </w:rPr>
        <w:t xml:space="preserve"> reported high relationship quality and self-perceived ease of caregiving</w:t>
      </w:r>
      <w:r w:rsidR="003362E6" w:rsidRPr="00E869A4">
        <w:rPr>
          <w:rFonts w:ascii="Times New Roman" w:hAnsi="Times New Roman" w:cs="Times New Roman"/>
        </w:rPr>
        <w:t>,</w:t>
      </w:r>
      <w:r w:rsidRPr="00E869A4">
        <w:rPr>
          <w:rFonts w:ascii="Times New Roman" w:hAnsi="Times New Roman" w:cs="Times New Roman"/>
        </w:rPr>
        <w:t xml:space="preserve"> whilst the high intensity group experienced significantly lower relationship quality, felt less prepared for elder caregiving and appraised caregiving as more difficult, time</w:t>
      </w:r>
      <w:r w:rsidR="000F70AB" w:rsidRPr="00E869A4">
        <w:rPr>
          <w:rFonts w:ascii="Times New Roman" w:hAnsi="Times New Roman" w:cs="Times New Roman"/>
        </w:rPr>
        <w:t>-</w:t>
      </w:r>
      <w:r w:rsidRPr="00E869A4">
        <w:rPr>
          <w:rFonts w:ascii="Times New Roman" w:hAnsi="Times New Roman" w:cs="Times New Roman"/>
        </w:rPr>
        <w:t>intensive and burdensome. The high-intensity group of participants had significantly lower levels of quality of life and self-perceived health when compared to the low-intensity group. Lu et al</w:t>
      </w:r>
      <w:r w:rsidR="0076634B" w:rsidRPr="00E869A4">
        <w:rPr>
          <w:rFonts w:ascii="Times New Roman" w:hAnsi="Times New Roman" w:cs="Times New Roman"/>
        </w:rPr>
        <w:t>.</w:t>
      </w:r>
      <w:r w:rsidRPr="00E869A4">
        <w:rPr>
          <w:rFonts w:ascii="Times New Roman" w:hAnsi="Times New Roman" w:cs="Times New Roman"/>
        </w:rPr>
        <w:t xml:space="preserve"> (2015) obtained similar results from their study of family caregivers of older persons with MSK: higher intensity caregivers had lower satisfaction and higher depressive symptoms. </w:t>
      </w:r>
    </w:p>
    <w:p w14:paraId="5C960150" w14:textId="77777777" w:rsidR="0076634B" w:rsidRPr="00E869A4" w:rsidRDefault="0076634B" w:rsidP="00A35FF8">
      <w:pPr>
        <w:rPr>
          <w:rFonts w:ascii="Times New Roman" w:hAnsi="Times New Roman" w:cs="Times New Roman"/>
        </w:rPr>
      </w:pPr>
    </w:p>
    <w:p w14:paraId="20EAD867" w14:textId="5B7E4E85"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There are two different schools of thought on the impact of duration of care on family caregivers. The adaptation hypothesis suggests that caregivers will adapt to the stress of caregiving over time. Caregivers might experience an increase in negative emotions at the start of their caregiving career with the level of distress being at the midpoint of the care timeline, but this is expected to decline thereafter </w:t>
      </w:r>
      <w:r w:rsidR="003362E6" w:rsidRPr="00E869A4">
        <w:rPr>
          <w:rFonts w:ascii="Times New Roman" w:hAnsi="Times New Roman" w:cs="Times New Roman"/>
        </w:rPr>
        <w:t>because</w:t>
      </w:r>
      <w:r w:rsidRPr="00E869A4">
        <w:rPr>
          <w:rFonts w:ascii="Times New Roman" w:hAnsi="Times New Roman" w:cs="Times New Roman"/>
        </w:rPr>
        <w:t xml:space="preserve"> of adaptational processes or decreases in pro</w:t>
      </w:r>
      <w:r w:rsidR="003362E6" w:rsidRPr="00E869A4">
        <w:rPr>
          <w:rFonts w:ascii="Times New Roman" w:hAnsi="Times New Roman" w:cs="Times New Roman"/>
        </w:rPr>
        <w:t>blematic behaviour by the cared-</w:t>
      </w:r>
      <w:r w:rsidRPr="00E869A4">
        <w:rPr>
          <w:rFonts w:ascii="Times New Roman" w:hAnsi="Times New Roman" w:cs="Times New Roman"/>
        </w:rPr>
        <w:t>for</w:t>
      </w:r>
      <w:r w:rsidR="003362E6" w:rsidRPr="00E869A4">
        <w:rPr>
          <w:rFonts w:ascii="Times New Roman" w:hAnsi="Times New Roman" w:cs="Times New Roman"/>
        </w:rPr>
        <w:t xml:space="preserve"> relative</w:t>
      </w:r>
      <w:r w:rsidRPr="00E869A4">
        <w:rPr>
          <w:rFonts w:ascii="Times New Roman" w:hAnsi="Times New Roman" w:cs="Times New Roman"/>
        </w:rPr>
        <w:t xml:space="preserve">. The trait hypothesis suggests that because of the caregiver’s pre-existing resources, such as resilience and coping skills, caregivers will maintain a constant level of adaptation despite </w:t>
      </w:r>
      <w:r w:rsidR="009E2738" w:rsidRPr="00E869A4">
        <w:rPr>
          <w:rFonts w:ascii="Times New Roman" w:hAnsi="Times New Roman" w:cs="Times New Roman"/>
        </w:rPr>
        <w:t>care recipient</w:t>
      </w:r>
      <w:r w:rsidRPr="00E869A4">
        <w:rPr>
          <w:rFonts w:ascii="Times New Roman" w:hAnsi="Times New Roman" w:cs="Times New Roman"/>
        </w:rPr>
        <w:t xml:space="preserve"> deterioration. Also, if caregiving demands increase at the same rate as the ability to cope with those demands, the trait hypothesis predicts that there will be a weak association between the duration of caregiving and caregiver burden and depression. </w:t>
      </w:r>
    </w:p>
    <w:p w14:paraId="5ED5C326" w14:textId="14EC4554" w:rsidR="00B64DE0" w:rsidRPr="00E869A4" w:rsidRDefault="00B64DE0">
      <w:pPr>
        <w:rPr>
          <w:rFonts w:ascii="Times New Roman" w:eastAsiaTheme="majorEastAsia" w:hAnsi="Times New Roman" w:cs="Times New Roman"/>
          <w:i/>
          <w:u w:val="single"/>
        </w:rPr>
      </w:pPr>
      <w:bookmarkStart w:id="209" w:name="_Toc509940574"/>
    </w:p>
    <w:p w14:paraId="07A05324" w14:textId="5BAB89E3" w:rsidR="002A7CE0" w:rsidRPr="00E869A4" w:rsidRDefault="00FD6CAA" w:rsidP="0031040A">
      <w:pPr>
        <w:pStyle w:val="Heading5"/>
        <w:rPr>
          <w:color w:val="auto"/>
        </w:rPr>
      </w:pPr>
      <w:r w:rsidRPr="00E869A4">
        <w:rPr>
          <w:color w:val="auto"/>
        </w:rPr>
        <w:t xml:space="preserve">Culture </w:t>
      </w:r>
      <w:r w:rsidR="00AC4535" w:rsidRPr="00E869A4">
        <w:rPr>
          <w:color w:val="auto"/>
        </w:rPr>
        <w:t>and</w:t>
      </w:r>
      <w:r w:rsidRPr="00E869A4">
        <w:rPr>
          <w:color w:val="auto"/>
        </w:rPr>
        <w:t xml:space="preserve"> </w:t>
      </w:r>
      <w:r w:rsidR="00AC4535" w:rsidRPr="00E869A4">
        <w:rPr>
          <w:color w:val="auto"/>
        </w:rPr>
        <w:t>e</w:t>
      </w:r>
      <w:r w:rsidR="003A2943" w:rsidRPr="00E869A4">
        <w:rPr>
          <w:color w:val="auto"/>
        </w:rPr>
        <w:t xml:space="preserve">xperiences </w:t>
      </w:r>
      <w:r w:rsidR="00AC4535" w:rsidRPr="00E869A4">
        <w:rPr>
          <w:color w:val="auto"/>
        </w:rPr>
        <w:t>of c</w:t>
      </w:r>
      <w:r w:rsidRPr="00E869A4">
        <w:rPr>
          <w:color w:val="auto"/>
        </w:rPr>
        <w:t>are</w:t>
      </w:r>
      <w:bookmarkEnd w:id="209"/>
    </w:p>
    <w:p w14:paraId="2CA246C0" w14:textId="77777777" w:rsidR="00D04DCD" w:rsidRPr="00E869A4" w:rsidRDefault="00D04DCD" w:rsidP="0051234F">
      <w:pPr>
        <w:pStyle w:val="112"/>
        <w:rPr>
          <w:color w:val="auto"/>
        </w:rPr>
      </w:pPr>
    </w:p>
    <w:p w14:paraId="6880EFD7" w14:textId="43B363C1" w:rsidR="002A7CE0" w:rsidRPr="00E869A4" w:rsidRDefault="002A7CE0" w:rsidP="0069573E">
      <w:pPr>
        <w:rPr>
          <w:rFonts w:ascii="Times New Roman" w:hAnsi="Times New Roman" w:cs="Times New Roman"/>
        </w:rPr>
      </w:pPr>
      <w:r w:rsidRPr="00E869A4">
        <w:rPr>
          <w:rFonts w:ascii="Times New Roman" w:hAnsi="Times New Roman" w:cs="Times New Roman"/>
        </w:rPr>
        <w:t xml:space="preserve">There is </w:t>
      </w:r>
      <w:r w:rsidR="00C25074" w:rsidRPr="00E869A4">
        <w:rPr>
          <w:rFonts w:ascii="Times New Roman" w:hAnsi="Times New Roman" w:cs="Times New Roman"/>
        </w:rPr>
        <w:t>consensus</w:t>
      </w:r>
      <w:r w:rsidRPr="00E869A4">
        <w:rPr>
          <w:rFonts w:ascii="Times New Roman" w:hAnsi="Times New Roman" w:cs="Times New Roman"/>
        </w:rPr>
        <w:t xml:space="preserve"> in the literature that caregiving experiences differ significantly across cultures</w:t>
      </w:r>
      <w:r w:rsidR="00941580" w:rsidRPr="00E869A4">
        <w:rPr>
          <w:rFonts w:ascii="Times New Roman" w:hAnsi="Times New Roman" w:cs="Times New Roman"/>
        </w:rPr>
        <w:t xml:space="preserve"> and ethnic groups (Pharr et al.</w:t>
      </w:r>
      <w:r w:rsidRPr="00E869A4">
        <w:rPr>
          <w:rFonts w:ascii="Times New Roman" w:hAnsi="Times New Roman" w:cs="Times New Roman"/>
        </w:rPr>
        <w:t xml:space="preserve"> 2014). Culture may be broadly defined as</w:t>
      </w:r>
      <w:r w:rsidR="00423B39" w:rsidRPr="00E869A4">
        <w:rPr>
          <w:rFonts w:ascii="Times New Roman" w:hAnsi="Times New Roman" w:cs="Times New Roman"/>
        </w:rPr>
        <w:t xml:space="preserve"> “w</w:t>
      </w:r>
      <w:r w:rsidRPr="00E869A4">
        <w:rPr>
          <w:rFonts w:ascii="Times New Roman" w:hAnsi="Times New Roman" w:cs="Times New Roman"/>
        </w:rPr>
        <w:t>idely shared ideals, values, formation and uses of categories, assumptions about life, and goal-directed activities that become unconsciously or subconsciously accepted as ‘right’ and ‘correct’ by people who identify themselves as members of a society</w:t>
      </w:r>
      <w:r w:rsidR="00423B39" w:rsidRPr="00E869A4">
        <w:rPr>
          <w:rFonts w:ascii="Times New Roman" w:hAnsi="Times New Roman" w:cs="Times New Roman"/>
        </w:rPr>
        <w:t>.</w:t>
      </w:r>
      <w:r w:rsidRPr="00E869A4">
        <w:rPr>
          <w:rFonts w:ascii="Times New Roman" w:hAnsi="Times New Roman" w:cs="Times New Roman"/>
        </w:rPr>
        <w:t>” (Brislin 1990</w:t>
      </w:r>
      <w:r w:rsidR="00941580" w:rsidRPr="00E869A4">
        <w:rPr>
          <w:rFonts w:ascii="Times New Roman" w:hAnsi="Times New Roman" w:cs="Times New Roman"/>
        </w:rPr>
        <w:t>, p. 11 cited in</w:t>
      </w:r>
      <w:r w:rsidRPr="00E869A4">
        <w:rPr>
          <w:rFonts w:ascii="Times New Roman" w:hAnsi="Times New Roman" w:cs="Times New Roman"/>
        </w:rPr>
        <w:t xml:space="preserve"> Pharr et al</w:t>
      </w:r>
      <w:r w:rsidR="00941580" w:rsidRPr="00E869A4">
        <w:rPr>
          <w:rFonts w:ascii="Times New Roman" w:hAnsi="Times New Roman" w:cs="Times New Roman"/>
        </w:rPr>
        <w:t>.</w:t>
      </w:r>
      <w:r w:rsidRPr="00E869A4">
        <w:rPr>
          <w:rFonts w:ascii="Times New Roman" w:hAnsi="Times New Roman" w:cs="Times New Roman"/>
        </w:rPr>
        <w:t xml:space="preserve"> 2014</w:t>
      </w:r>
      <w:r w:rsidR="00941580" w:rsidRPr="00E869A4">
        <w:rPr>
          <w:rFonts w:ascii="Times New Roman" w:hAnsi="Times New Roman" w:cs="Times New Roman"/>
        </w:rPr>
        <w:t>, p.</w:t>
      </w:r>
      <w:r w:rsidRPr="00E869A4">
        <w:rPr>
          <w:rFonts w:ascii="Times New Roman" w:hAnsi="Times New Roman" w:cs="Times New Roman"/>
        </w:rPr>
        <w:t xml:space="preserve"> 3). It includes values such as cultural identity (feeling you belong to a group or culture, language)</w:t>
      </w:r>
      <w:r w:rsidR="00946D8A" w:rsidRPr="00E869A4">
        <w:rPr>
          <w:rFonts w:ascii="Times New Roman" w:hAnsi="Times New Roman" w:cs="Times New Roman"/>
        </w:rPr>
        <w:t>,</w:t>
      </w:r>
      <w:r w:rsidRPr="00E869A4">
        <w:rPr>
          <w:rFonts w:ascii="Times New Roman" w:hAnsi="Times New Roman" w:cs="Times New Roman"/>
        </w:rPr>
        <w:t xml:space="preserve"> famili</w:t>
      </w:r>
      <w:r w:rsidR="00D336DA" w:rsidRPr="00E869A4">
        <w:rPr>
          <w:rFonts w:ascii="Times New Roman" w:hAnsi="Times New Roman" w:cs="Times New Roman"/>
        </w:rPr>
        <w:t>ali</w:t>
      </w:r>
      <w:r w:rsidRPr="00E869A4">
        <w:rPr>
          <w:rFonts w:ascii="Times New Roman" w:hAnsi="Times New Roman" w:cs="Times New Roman"/>
        </w:rPr>
        <w:t>sm (interdependence, loyalty, reciprocity, solidarity with family)</w:t>
      </w:r>
      <w:r w:rsidR="00946D8A" w:rsidRPr="00E869A4">
        <w:rPr>
          <w:rFonts w:ascii="Times New Roman" w:hAnsi="Times New Roman" w:cs="Times New Roman"/>
        </w:rPr>
        <w:t>,</w:t>
      </w:r>
      <w:r w:rsidRPr="00E869A4">
        <w:rPr>
          <w:rFonts w:ascii="Times New Roman" w:hAnsi="Times New Roman" w:cs="Times New Roman"/>
        </w:rPr>
        <w:t xml:space="preserve"> family support (family communication, cohesiveness, and coping), gender roles, spirituality (beliefs of a higher power expressed in practices e.g. prayer and faith), </w:t>
      </w:r>
      <w:r w:rsidRPr="00E869A4">
        <w:rPr>
          <w:rFonts w:ascii="Times New Roman" w:hAnsi="Times New Roman" w:cs="Times New Roman"/>
        </w:rPr>
        <w:lastRenderedPageBreak/>
        <w:t xml:space="preserve">as well as health beliefs, traditions, and values (e.g., causes of illness, illness appraisal) that </w:t>
      </w:r>
      <w:r w:rsidR="003362E6" w:rsidRPr="00E869A4">
        <w:rPr>
          <w:rFonts w:ascii="Times New Roman" w:hAnsi="Times New Roman" w:cs="Times New Roman"/>
        </w:rPr>
        <w:t xml:space="preserve">influence </w:t>
      </w:r>
      <w:r w:rsidRPr="00E869A4">
        <w:rPr>
          <w:rFonts w:ascii="Times New Roman" w:hAnsi="Times New Roman" w:cs="Times New Roman"/>
        </w:rPr>
        <w:t xml:space="preserve">how we assess care needs and respond to them (Juarez, Branin </w:t>
      </w:r>
      <w:r w:rsidR="00941580" w:rsidRPr="00E869A4">
        <w:rPr>
          <w:rFonts w:ascii="Times New Roman" w:hAnsi="Times New Roman" w:cs="Times New Roman"/>
        </w:rPr>
        <w:t xml:space="preserve">&amp; </w:t>
      </w:r>
      <w:r w:rsidRPr="00E869A4">
        <w:rPr>
          <w:rFonts w:ascii="Times New Roman" w:hAnsi="Times New Roman" w:cs="Times New Roman"/>
        </w:rPr>
        <w:t xml:space="preserve">Rosales 2014). </w:t>
      </w:r>
    </w:p>
    <w:p w14:paraId="357DFEDF" w14:textId="77777777" w:rsidR="00D04DCD" w:rsidRPr="00E869A4" w:rsidRDefault="00D04DCD" w:rsidP="00A35FF8">
      <w:pPr>
        <w:rPr>
          <w:rFonts w:ascii="Times New Roman" w:hAnsi="Times New Roman" w:cs="Times New Roman"/>
        </w:rPr>
      </w:pPr>
    </w:p>
    <w:p w14:paraId="3DA77CD7" w14:textId="3E7B3D1E"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Ethnicity refers to a group's shared sense of peoplehood based on a distinctive social and cultural heritage as evidenced by common ancestry, shared historical memories, elements of a common culture (language, religion, </w:t>
      </w:r>
      <w:r w:rsidR="00C25074" w:rsidRPr="00E869A4">
        <w:rPr>
          <w:rFonts w:ascii="Times New Roman" w:hAnsi="Times New Roman" w:cs="Times New Roman"/>
        </w:rPr>
        <w:t>and diet</w:t>
      </w:r>
      <w:r w:rsidRPr="00E869A4">
        <w:rPr>
          <w:rFonts w:ascii="Times New Roman" w:hAnsi="Times New Roman" w:cs="Times New Roman"/>
        </w:rPr>
        <w:t xml:space="preserve">), a symbolic attachment to a homeland and a sense of solidarity (Aranda 1997; Parveen, Morrison </w:t>
      </w:r>
      <w:r w:rsidR="005C449C" w:rsidRPr="00E869A4">
        <w:rPr>
          <w:rFonts w:ascii="Times New Roman" w:hAnsi="Times New Roman" w:cs="Times New Roman"/>
        </w:rPr>
        <w:t>&amp;</w:t>
      </w:r>
      <w:r w:rsidR="002D278A" w:rsidRPr="00E869A4">
        <w:rPr>
          <w:rFonts w:ascii="Times New Roman" w:hAnsi="Times New Roman" w:cs="Times New Roman"/>
        </w:rPr>
        <w:t xml:space="preserve"> Robinson 2011).  Alt</w:t>
      </w:r>
      <w:r w:rsidRPr="00E869A4">
        <w:rPr>
          <w:rFonts w:ascii="Times New Roman" w:hAnsi="Times New Roman" w:cs="Times New Roman"/>
        </w:rPr>
        <w:t>hough a relationship usually exists between culture</w:t>
      </w:r>
      <w:r w:rsidR="003362E6" w:rsidRPr="00E869A4">
        <w:rPr>
          <w:rFonts w:ascii="Times New Roman" w:hAnsi="Times New Roman" w:cs="Times New Roman"/>
        </w:rPr>
        <w:t xml:space="preserve"> and ethnicity</w:t>
      </w:r>
      <w:r w:rsidRPr="00E869A4">
        <w:rPr>
          <w:rFonts w:ascii="Times New Roman" w:hAnsi="Times New Roman" w:cs="Times New Roman"/>
        </w:rPr>
        <w:t>, common ethnic group</w:t>
      </w:r>
      <w:r w:rsidR="0064629F" w:rsidRPr="00E869A4">
        <w:rPr>
          <w:rFonts w:ascii="Times New Roman" w:hAnsi="Times New Roman" w:cs="Times New Roman"/>
        </w:rPr>
        <w:t>ing</w:t>
      </w:r>
      <w:r w:rsidRPr="00E869A4">
        <w:rPr>
          <w:rFonts w:ascii="Times New Roman" w:hAnsi="Times New Roman" w:cs="Times New Roman"/>
        </w:rPr>
        <w:t xml:space="preserve"> does not always indicate cultural uniformity (Parveen, Morrison </w:t>
      </w:r>
      <w:r w:rsidR="005C449C" w:rsidRPr="00E869A4">
        <w:rPr>
          <w:rFonts w:ascii="Times New Roman" w:hAnsi="Times New Roman" w:cs="Times New Roman"/>
        </w:rPr>
        <w:t>&amp;</w:t>
      </w:r>
      <w:r w:rsidRPr="00E869A4">
        <w:rPr>
          <w:rFonts w:ascii="Times New Roman" w:hAnsi="Times New Roman" w:cs="Times New Roman"/>
        </w:rPr>
        <w:t xml:space="preserve"> Robinson 2011). </w:t>
      </w:r>
    </w:p>
    <w:p w14:paraId="6D0005DC" w14:textId="77777777" w:rsidR="00FB6789" w:rsidRPr="00E869A4" w:rsidRDefault="00FB6789" w:rsidP="00A35FF8">
      <w:pPr>
        <w:rPr>
          <w:rFonts w:ascii="Times New Roman" w:hAnsi="Times New Roman" w:cs="Times New Roman"/>
        </w:rPr>
      </w:pPr>
      <w:bookmarkStart w:id="210" w:name="_Toc509940575"/>
      <w:bookmarkStart w:id="211" w:name="_Toc509993429"/>
    </w:p>
    <w:p w14:paraId="3D1A2A7C" w14:textId="16975E58" w:rsidR="002A7CE0" w:rsidRPr="00E869A4" w:rsidRDefault="002A7CE0" w:rsidP="00A35FF8">
      <w:pPr>
        <w:rPr>
          <w:rFonts w:ascii="Times New Roman" w:hAnsi="Times New Roman" w:cs="Times New Roman"/>
        </w:rPr>
      </w:pPr>
      <w:r w:rsidRPr="00E869A4">
        <w:rPr>
          <w:rFonts w:ascii="Times New Roman" w:hAnsi="Times New Roman" w:cs="Times New Roman"/>
        </w:rPr>
        <w:t xml:space="preserve">Parveen and colleagues (2011) conducted focus groups to investigate how ethnicity </w:t>
      </w:r>
      <w:r w:rsidR="00C25074" w:rsidRPr="00E869A4">
        <w:rPr>
          <w:rFonts w:ascii="Times New Roman" w:hAnsi="Times New Roman" w:cs="Times New Roman"/>
        </w:rPr>
        <w:t>affected</w:t>
      </w:r>
      <w:r w:rsidRPr="00E869A4">
        <w:rPr>
          <w:rFonts w:ascii="Times New Roman" w:hAnsi="Times New Roman" w:cs="Times New Roman"/>
        </w:rPr>
        <w:t xml:space="preserve"> </w:t>
      </w:r>
      <w:r w:rsidR="003E3254" w:rsidRPr="00E869A4">
        <w:rPr>
          <w:rFonts w:ascii="Times New Roman" w:hAnsi="Times New Roman" w:cs="Times New Roman"/>
        </w:rPr>
        <w:t>participants’ experience</w:t>
      </w:r>
      <w:r w:rsidRPr="00E869A4">
        <w:rPr>
          <w:rFonts w:ascii="Times New Roman" w:hAnsi="Times New Roman" w:cs="Times New Roman"/>
        </w:rPr>
        <w:t xml:space="preserve"> of care over time. From their sample of thirty (30) caregivers, all participants identified positive and negative aspects of the caregiver role. However, there was a clear difference in what was considered positive about the care experience. </w:t>
      </w:r>
      <w:r w:rsidR="00017799" w:rsidRPr="00E869A4">
        <w:rPr>
          <w:rFonts w:ascii="Times New Roman" w:hAnsi="Times New Roman" w:cs="Times New Roman"/>
        </w:rPr>
        <w:t>Parveen, Morrison &amp; Robinson</w:t>
      </w:r>
      <w:r w:rsidRPr="00E869A4">
        <w:rPr>
          <w:rFonts w:ascii="Times New Roman" w:hAnsi="Times New Roman" w:cs="Times New Roman"/>
        </w:rPr>
        <w:t xml:space="preserve"> found that whereas the White-British caregivers gained satisfaction from learning new skills and gaining life experience, British-Bangladeshi, British-Indian and British-Pakistani caregivers mainly discussed the positive experience of gaining satisfaction due to receiving religious blessings for fulfilling their </w:t>
      </w:r>
      <w:r w:rsidR="00C72DA5" w:rsidRPr="00E869A4">
        <w:rPr>
          <w:rFonts w:ascii="Times New Roman" w:hAnsi="Times New Roman" w:cs="Times New Roman"/>
        </w:rPr>
        <w:t>duty. The</w:t>
      </w:r>
      <w:r w:rsidRPr="00E869A4">
        <w:rPr>
          <w:rFonts w:ascii="Times New Roman" w:hAnsi="Times New Roman" w:cs="Times New Roman"/>
        </w:rPr>
        <w:t xml:space="preserve"> participants unanimously reported that they perceived the care role to be made more difficult by having multiple roles</w:t>
      </w:r>
      <w:r w:rsidR="003362E6" w:rsidRPr="00E869A4">
        <w:rPr>
          <w:rFonts w:ascii="Times New Roman" w:hAnsi="Times New Roman" w:cs="Times New Roman"/>
        </w:rPr>
        <w:t xml:space="preserve"> such as</w:t>
      </w:r>
      <w:r w:rsidRPr="00E869A4">
        <w:rPr>
          <w:rFonts w:ascii="Times New Roman" w:hAnsi="Times New Roman" w:cs="Times New Roman"/>
        </w:rPr>
        <w:t xml:space="preserve"> employee</w:t>
      </w:r>
      <w:r w:rsidR="003362E6" w:rsidRPr="00E869A4">
        <w:rPr>
          <w:rFonts w:ascii="Times New Roman" w:hAnsi="Times New Roman" w:cs="Times New Roman"/>
        </w:rPr>
        <w:t xml:space="preserve"> and</w:t>
      </w:r>
      <w:r w:rsidRPr="00E869A4">
        <w:rPr>
          <w:rFonts w:ascii="Times New Roman" w:hAnsi="Times New Roman" w:cs="Times New Roman"/>
        </w:rPr>
        <w:t xml:space="preserve"> parent if they had other dependents (</w:t>
      </w:r>
      <w:r w:rsidR="00017799" w:rsidRPr="00E869A4">
        <w:rPr>
          <w:rFonts w:ascii="Times New Roman" w:hAnsi="Times New Roman" w:cs="Times New Roman"/>
        </w:rPr>
        <w:t>Parveen, Morrison &amp; Robinson</w:t>
      </w:r>
      <w:r w:rsidRPr="00E869A4">
        <w:rPr>
          <w:rFonts w:ascii="Times New Roman" w:hAnsi="Times New Roman" w:cs="Times New Roman"/>
        </w:rPr>
        <w:t xml:space="preserve"> 2011).</w:t>
      </w:r>
    </w:p>
    <w:p w14:paraId="2FDCABF1" w14:textId="77777777" w:rsidR="00D04DCD" w:rsidRPr="00E869A4" w:rsidRDefault="00D04DCD" w:rsidP="00A35FF8">
      <w:pPr>
        <w:rPr>
          <w:rFonts w:ascii="Times New Roman" w:hAnsi="Times New Roman" w:cs="Times New Roman"/>
        </w:rPr>
      </w:pPr>
    </w:p>
    <w:p w14:paraId="4644EC62" w14:textId="45810C00" w:rsidR="00C72DA5" w:rsidRPr="00E869A4" w:rsidRDefault="002A7CE0">
      <w:pPr>
        <w:rPr>
          <w:rFonts w:ascii="Times New Roman" w:hAnsi="Times New Roman" w:cs="Times New Roman"/>
        </w:rPr>
      </w:pPr>
      <w:r w:rsidRPr="00E869A4">
        <w:rPr>
          <w:rFonts w:ascii="Times New Roman" w:hAnsi="Times New Roman" w:cs="Times New Roman"/>
        </w:rPr>
        <w:t xml:space="preserve">Several studies have been conducted to explore the impact of cultural beliefs on caregiver appraisal among different ethnic groups in the USA. Many studies have found that </w:t>
      </w:r>
      <w:r w:rsidR="00D336DA" w:rsidRPr="00E869A4">
        <w:rPr>
          <w:rFonts w:ascii="Times New Roman" w:hAnsi="Times New Roman" w:cs="Times New Roman"/>
        </w:rPr>
        <w:t>f</w:t>
      </w:r>
      <w:r w:rsidRPr="00E869A4">
        <w:rPr>
          <w:rFonts w:ascii="Times New Roman" w:hAnsi="Times New Roman" w:cs="Times New Roman"/>
        </w:rPr>
        <w:t>amil</w:t>
      </w:r>
      <w:r w:rsidR="00D336DA" w:rsidRPr="00E869A4">
        <w:rPr>
          <w:rFonts w:ascii="Times New Roman" w:hAnsi="Times New Roman" w:cs="Times New Roman"/>
        </w:rPr>
        <w:t>ial</w:t>
      </w:r>
      <w:r w:rsidRPr="00E869A4">
        <w:rPr>
          <w:rFonts w:ascii="Times New Roman" w:hAnsi="Times New Roman" w:cs="Times New Roman"/>
        </w:rPr>
        <w:t>ism and positive appraisal of caregiving may be greater among African</w:t>
      </w:r>
      <w:r w:rsidR="00994349" w:rsidRPr="00E869A4">
        <w:rPr>
          <w:rFonts w:ascii="Times New Roman" w:hAnsi="Times New Roman" w:cs="Times New Roman"/>
        </w:rPr>
        <w:t>-</w:t>
      </w:r>
      <w:r w:rsidRPr="00E869A4">
        <w:rPr>
          <w:rFonts w:ascii="Times New Roman" w:hAnsi="Times New Roman" w:cs="Times New Roman"/>
        </w:rPr>
        <w:t>Americans, Asian</w:t>
      </w:r>
      <w:r w:rsidR="00994349" w:rsidRPr="00E869A4">
        <w:rPr>
          <w:rFonts w:ascii="Times New Roman" w:hAnsi="Times New Roman" w:cs="Times New Roman"/>
        </w:rPr>
        <w:t>-</w:t>
      </w:r>
      <w:r w:rsidRPr="00E869A4">
        <w:rPr>
          <w:rFonts w:ascii="Times New Roman" w:hAnsi="Times New Roman" w:cs="Times New Roman"/>
        </w:rPr>
        <w:t>Americans and Latin</w:t>
      </w:r>
      <w:r w:rsidR="00994349" w:rsidRPr="00E869A4">
        <w:rPr>
          <w:rFonts w:ascii="Times New Roman" w:hAnsi="Times New Roman" w:cs="Times New Roman"/>
        </w:rPr>
        <w:t>-</w:t>
      </w:r>
      <w:r w:rsidRPr="00E869A4">
        <w:rPr>
          <w:rFonts w:ascii="Times New Roman" w:hAnsi="Times New Roman" w:cs="Times New Roman"/>
        </w:rPr>
        <w:t>Americans than with European-American caregivers. Generally</w:t>
      </w:r>
      <w:r w:rsidR="009B64B9" w:rsidRPr="00E869A4">
        <w:rPr>
          <w:rFonts w:ascii="Times New Roman" w:hAnsi="Times New Roman" w:cs="Times New Roman"/>
        </w:rPr>
        <w:t>,</w:t>
      </w:r>
      <w:r w:rsidRPr="00E869A4">
        <w:rPr>
          <w:rFonts w:ascii="Times New Roman" w:hAnsi="Times New Roman" w:cs="Times New Roman"/>
        </w:rPr>
        <w:t xml:space="preserve"> however, the findings have been inconsistent with respect to the relationship between ethnicity and caregiver outcomes such as level of burden and distress (Pinquart </w:t>
      </w:r>
      <w:r w:rsidR="00994349" w:rsidRPr="00E869A4">
        <w:rPr>
          <w:rFonts w:ascii="Times New Roman" w:hAnsi="Times New Roman" w:cs="Times New Roman"/>
        </w:rPr>
        <w:t>&amp;</w:t>
      </w:r>
      <w:r w:rsidRPr="00E869A4">
        <w:rPr>
          <w:rFonts w:ascii="Times New Roman" w:hAnsi="Times New Roman" w:cs="Times New Roman"/>
        </w:rPr>
        <w:t xml:space="preserve"> Sӧrensen 2005). The overlap between ethnicity and access to socio-economic resources adds further complexity to the findings and contribute</w:t>
      </w:r>
      <w:r w:rsidR="00321944" w:rsidRPr="00E869A4">
        <w:rPr>
          <w:rFonts w:ascii="Times New Roman" w:hAnsi="Times New Roman" w:cs="Times New Roman"/>
        </w:rPr>
        <w:t>s</w:t>
      </w:r>
      <w:r w:rsidR="00D336DA" w:rsidRPr="00E869A4">
        <w:rPr>
          <w:rFonts w:ascii="Times New Roman" w:hAnsi="Times New Roman" w:cs="Times New Roman"/>
        </w:rPr>
        <w:t xml:space="preserve"> </w:t>
      </w:r>
      <w:r w:rsidRPr="00E869A4">
        <w:rPr>
          <w:rFonts w:ascii="Times New Roman" w:hAnsi="Times New Roman" w:cs="Times New Roman"/>
        </w:rPr>
        <w:t xml:space="preserve">to some of the variation in the results on this issue.  </w:t>
      </w:r>
      <w:bookmarkEnd w:id="210"/>
      <w:bookmarkEnd w:id="211"/>
    </w:p>
    <w:p w14:paraId="72D9F9ED" w14:textId="77777777" w:rsidR="00E85650" w:rsidRPr="00E869A4" w:rsidRDefault="00E85650">
      <w:pPr>
        <w:rPr>
          <w:rFonts w:ascii="Times New Roman" w:eastAsiaTheme="majorEastAsia" w:hAnsi="Times New Roman" w:cs="Times New Roman"/>
          <w:b/>
          <w:bCs/>
          <w:szCs w:val="26"/>
          <w:u w:val="single"/>
        </w:rPr>
      </w:pPr>
    </w:p>
    <w:p w14:paraId="451A5AA7" w14:textId="2063ACB8" w:rsidR="002A7CE0" w:rsidRPr="00E869A4" w:rsidRDefault="00FB6789" w:rsidP="00175C3E">
      <w:pPr>
        <w:pStyle w:val="Heading2"/>
      </w:pPr>
      <w:bookmarkStart w:id="212" w:name="_Toc40436496"/>
      <w:r w:rsidRPr="00E869A4">
        <w:lastRenderedPageBreak/>
        <w:t>3</w:t>
      </w:r>
      <w:r w:rsidR="00B87919" w:rsidRPr="00E869A4">
        <w:t>.</w:t>
      </w:r>
      <w:r w:rsidRPr="00E869A4">
        <w:t>5</w:t>
      </w:r>
      <w:r w:rsidR="009B2814" w:rsidRPr="00E869A4">
        <w:t xml:space="preserve"> CONCLUSION</w:t>
      </w:r>
      <w:bookmarkEnd w:id="212"/>
    </w:p>
    <w:p w14:paraId="1F1486AC" w14:textId="77777777" w:rsidR="00D04DCD" w:rsidRPr="00E869A4" w:rsidRDefault="00D04DCD" w:rsidP="0051234F">
      <w:pPr>
        <w:pStyle w:val="112"/>
        <w:rPr>
          <w:color w:val="auto"/>
        </w:rPr>
      </w:pPr>
    </w:p>
    <w:p w14:paraId="4F6AE31F" w14:textId="7736A136" w:rsidR="00AB62D1" w:rsidRPr="00E869A4" w:rsidRDefault="00A36E68" w:rsidP="00AB62D1">
      <w:pPr>
        <w:rPr>
          <w:rFonts w:ascii="Times New Roman" w:hAnsi="Times New Roman" w:cs="Times New Roman"/>
        </w:rPr>
      </w:pPr>
      <w:r w:rsidRPr="00E869A4">
        <w:rPr>
          <w:rFonts w:ascii="Times New Roman" w:hAnsi="Times New Roman" w:cs="Times New Roman"/>
        </w:rPr>
        <w:t>This review highlighted</w:t>
      </w:r>
      <w:r w:rsidR="00AB62D1" w:rsidRPr="00E869A4">
        <w:rPr>
          <w:rFonts w:ascii="Times New Roman" w:hAnsi="Times New Roman" w:cs="Times New Roman"/>
        </w:rPr>
        <w:t xml:space="preserve"> the importance of several variables that serve as determinants of the acquisition of the role of family caregiver. Gender and cultural norms are particularly important, as are other demographic and personal factors. While structural factors have a strong influence on the decision about who provides family care, so too are the negotiated commitments that arise from each unique family situation. The dynamic nature of social life and people’s circumstances mean that more than one family member might serve as the primary family caregiver, especially in the case of older persons who live long lives but with the need for long-term care. Structural factors also affect whether or not a potential caregiver passively accepts the role of family caregiver or actively volunteers to undertake the responsibility. Thus, conceptualisations of this process must reflect its fluidity while at the same time highlighting the patterns that are evident within specific structural settings. Given the present state of knowledge on this issue, an eclectic approach to conceptualising the determinants of care was used in this study so that a more accurate picture of what obtains in reality is achieved. </w:t>
      </w:r>
    </w:p>
    <w:p w14:paraId="529808D5" w14:textId="77777777" w:rsidR="00AB62D1" w:rsidRPr="00E869A4" w:rsidRDefault="00AB62D1" w:rsidP="00AB62D1">
      <w:pPr>
        <w:rPr>
          <w:rFonts w:ascii="Times New Roman" w:hAnsi="Times New Roman" w:cs="Times New Roman"/>
        </w:rPr>
      </w:pPr>
    </w:p>
    <w:p w14:paraId="7481FAD8" w14:textId="4A2F25C3" w:rsidR="00994349" w:rsidRPr="00E869A4" w:rsidRDefault="00A36E68">
      <w:pPr>
        <w:rPr>
          <w:rFonts w:ascii="Times New Roman" w:hAnsi="Times New Roman" w:cs="Times New Roman"/>
          <w:b/>
          <w:bCs/>
          <w:szCs w:val="28"/>
        </w:rPr>
      </w:pPr>
      <w:r w:rsidRPr="00E869A4">
        <w:rPr>
          <w:rFonts w:ascii="Times New Roman" w:hAnsi="Times New Roman" w:cs="Times New Roman"/>
        </w:rPr>
        <w:t xml:space="preserve">Generally, the </w:t>
      </w:r>
      <w:r w:rsidR="002A7CE0" w:rsidRPr="00E869A4">
        <w:rPr>
          <w:rFonts w:ascii="Times New Roman" w:hAnsi="Times New Roman" w:cs="Times New Roman"/>
        </w:rPr>
        <w:t>research literature showed inconsistent patterns in the relationship of socio-demographic and cultural factors on how caregivers perceive</w:t>
      </w:r>
      <w:r w:rsidR="00336A02" w:rsidRPr="00E869A4">
        <w:rPr>
          <w:rFonts w:ascii="Times New Roman" w:hAnsi="Times New Roman" w:cs="Times New Roman"/>
        </w:rPr>
        <w:t>d</w:t>
      </w:r>
      <w:r w:rsidR="002A7CE0" w:rsidRPr="00E869A4">
        <w:rPr>
          <w:rFonts w:ascii="Times New Roman" w:hAnsi="Times New Roman" w:cs="Times New Roman"/>
        </w:rPr>
        <w:t xml:space="preserve"> the care experience. </w:t>
      </w:r>
      <w:r w:rsidR="002D278A" w:rsidRPr="00E869A4">
        <w:rPr>
          <w:rFonts w:ascii="Times New Roman" w:hAnsi="Times New Roman" w:cs="Times New Roman"/>
        </w:rPr>
        <w:t>While</w:t>
      </w:r>
      <w:r w:rsidR="002A7CE0" w:rsidRPr="00E869A4">
        <w:rPr>
          <w:rFonts w:ascii="Times New Roman" w:hAnsi="Times New Roman" w:cs="Times New Roman"/>
        </w:rPr>
        <w:t xml:space="preserve"> some trends have been observed in the literature on the factors that resulted in positive, negative, neutral or mixed </w:t>
      </w:r>
      <w:r w:rsidR="003E3254" w:rsidRPr="00E869A4">
        <w:rPr>
          <w:rFonts w:ascii="Times New Roman" w:hAnsi="Times New Roman" w:cs="Times New Roman"/>
        </w:rPr>
        <w:t>assessments of</w:t>
      </w:r>
      <w:r w:rsidR="002A7CE0" w:rsidRPr="00E869A4">
        <w:rPr>
          <w:rFonts w:ascii="Times New Roman" w:hAnsi="Times New Roman" w:cs="Times New Roman"/>
        </w:rPr>
        <w:t xml:space="preserve"> the care experience, the findings for the most part have been inconclusive. The inconsistency in the results may in part be explained by the different methodologies used in research studies on the subject. Many studies used convenience samples, were cross-sectional and applied varying measurement strategies (Kramer</w:t>
      </w:r>
      <w:r w:rsidR="00994349" w:rsidRPr="00E869A4">
        <w:rPr>
          <w:rFonts w:ascii="Times New Roman" w:hAnsi="Times New Roman" w:cs="Times New Roman"/>
        </w:rPr>
        <w:t xml:space="preserve"> </w:t>
      </w:r>
      <w:r w:rsidR="002A7CE0" w:rsidRPr="00E869A4">
        <w:rPr>
          <w:rFonts w:ascii="Times New Roman" w:hAnsi="Times New Roman" w:cs="Times New Roman"/>
        </w:rPr>
        <w:t xml:space="preserve">1997). </w:t>
      </w:r>
      <w:r w:rsidR="00CE6B29" w:rsidRPr="00E869A4">
        <w:rPr>
          <w:rFonts w:ascii="Times New Roman" w:hAnsi="Times New Roman" w:cs="Times New Roman"/>
        </w:rPr>
        <w:t>How a person experiences care determines whether they will commence and continue with a caregiving relationship, be they the caregiver or care recipient. Both positive and negative assessments of care are related to the decision of the caregiver to continue providing care</w:t>
      </w:r>
      <w:r w:rsidR="00336A02" w:rsidRPr="00E869A4">
        <w:rPr>
          <w:rFonts w:ascii="Times New Roman" w:hAnsi="Times New Roman" w:cs="Times New Roman"/>
        </w:rPr>
        <w:t>,</w:t>
      </w:r>
      <w:r w:rsidR="00CE6B29" w:rsidRPr="00E869A4">
        <w:rPr>
          <w:rFonts w:ascii="Times New Roman" w:hAnsi="Times New Roman" w:cs="Times New Roman"/>
        </w:rPr>
        <w:t xml:space="preserve"> so it is important to examine the risk factors associated with both aspects of the care experience (Lin, Fee &amp; Wu 2012). </w:t>
      </w:r>
      <w:r w:rsidR="002A7CE0" w:rsidRPr="00E869A4">
        <w:rPr>
          <w:rFonts w:ascii="Times New Roman" w:hAnsi="Times New Roman" w:cs="Times New Roman"/>
        </w:rPr>
        <w:t xml:space="preserve">The review also highlighted the need for more studies on </w:t>
      </w:r>
      <w:r w:rsidR="003E3254" w:rsidRPr="00E869A4">
        <w:rPr>
          <w:rFonts w:ascii="Times New Roman" w:hAnsi="Times New Roman" w:cs="Times New Roman"/>
        </w:rPr>
        <w:t>how</w:t>
      </w:r>
      <w:r w:rsidR="002A7CE0" w:rsidRPr="00E869A4">
        <w:rPr>
          <w:rFonts w:ascii="Times New Roman" w:hAnsi="Times New Roman" w:cs="Times New Roman"/>
        </w:rPr>
        <w:t xml:space="preserve"> older </w:t>
      </w:r>
      <w:r w:rsidR="003E3254" w:rsidRPr="00E869A4">
        <w:rPr>
          <w:rFonts w:ascii="Times New Roman" w:hAnsi="Times New Roman" w:cs="Times New Roman"/>
        </w:rPr>
        <w:t>care recipients experience care</w:t>
      </w:r>
      <w:r w:rsidR="00DF6956" w:rsidRPr="00E869A4">
        <w:rPr>
          <w:rFonts w:ascii="Times New Roman" w:hAnsi="Times New Roman" w:cs="Times New Roman"/>
        </w:rPr>
        <w:t xml:space="preserve">. </w:t>
      </w:r>
      <w:r w:rsidR="00CE6B29" w:rsidRPr="00E869A4">
        <w:rPr>
          <w:rFonts w:ascii="Times New Roman" w:hAnsi="Times New Roman" w:cs="Times New Roman"/>
        </w:rPr>
        <w:t>The limited number of studies that addressed the perspective of older family care recipients made it challenging to giv</w:t>
      </w:r>
      <w:r w:rsidR="00336A02" w:rsidRPr="00E869A4">
        <w:rPr>
          <w:rFonts w:ascii="Times New Roman" w:hAnsi="Times New Roman" w:cs="Times New Roman"/>
        </w:rPr>
        <w:t>e equal attention to both viewpoints</w:t>
      </w:r>
      <w:r w:rsidR="00CE6B29" w:rsidRPr="00E869A4">
        <w:rPr>
          <w:rFonts w:ascii="Times New Roman" w:hAnsi="Times New Roman" w:cs="Times New Roman"/>
        </w:rPr>
        <w:t xml:space="preserve">. </w:t>
      </w:r>
      <w:r w:rsidR="00DF6956" w:rsidRPr="00E869A4">
        <w:rPr>
          <w:rFonts w:ascii="Times New Roman" w:hAnsi="Times New Roman" w:cs="Times New Roman"/>
        </w:rPr>
        <w:t xml:space="preserve">The chapter </w:t>
      </w:r>
      <w:r w:rsidR="00CE6B29" w:rsidRPr="00E869A4">
        <w:rPr>
          <w:rFonts w:ascii="Times New Roman" w:hAnsi="Times New Roman" w:cs="Times New Roman"/>
        </w:rPr>
        <w:t>that follows examine</w:t>
      </w:r>
      <w:r w:rsidR="003B2C09" w:rsidRPr="00E869A4">
        <w:rPr>
          <w:rFonts w:ascii="Times New Roman" w:hAnsi="Times New Roman" w:cs="Times New Roman"/>
        </w:rPr>
        <w:t>s</w:t>
      </w:r>
      <w:r w:rsidR="00CE6B29" w:rsidRPr="00E869A4">
        <w:rPr>
          <w:rFonts w:ascii="Times New Roman" w:hAnsi="Times New Roman" w:cs="Times New Roman"/>
        </w:rPr>
        <w:t xml:space="preserve"> the</w:t>
      </w:r>
      <w:r w:rsidR="00DF6956" w:rsidRPr="00E869A4">
        <w:rPr>
          <w:rFonts w:ascii="Times New Roman" w:hAnsi="Times New Roman" w:cs="Times New Roman"/>
        </w:rPr>
        <w:t xml:space="preserve"> coping and care management strategies</w:t>
      </w:r>
      <w:r w:rsidR="00CE6B29" w:rsidRPr="00E869A4">
        <w:rPr>
          <w:rFonts w:ascii="Times New Roman" w:hAnsi="Times New Roman" w:cs="Times New Roman"/>
        </w:rPr>
        <w:t xml:space="preserve"> of family caregivers and their cared-for older relative</w:t>
      </w:r>
      <w:r w:rsidR="00994349" w:rsidRPr="00E869A4">
        <w:rPr>
          <w:rFonts w:ascii="Times New Roman" w:hAnsi="Times New Roman" w:cs="Times New Roman"/>
        </w:rPr>
        <w:t>.</w:t>
      </w:r>
      <w:r w:rsidR="00994349" w:rsidRPr="00E869A4">
        <w:br w:type="page"/>
      </w:r>
    </w:p>
    <w:p w14:paraId="182E4F78" w14:textId="16BFF7A4" w:rsidR="009B2814" w:rsidRPr="00E869A4" w:rsidRDefault="00F14C94" w:rsidP="00D20B2D">
      <w:pPr>
        <w:pStyle w:val="Heading1"/>
        <w:rPr>
          <w:lang w:val="en-GB"/>
        </w:rPr>
      </w:pPr>
      <w:bookmarkStart w:id="213" w:name="_Toc40436497"/>
      <w:r w:rsidRPr="00E869A4">
        <w:rPr>
          <w:lang w:val="en-GB"/>
        </w:rPr>
        <w:lastRenderedPageBreak/>
        <w:t xml:space="preserve">CHAPTER </w:t>
      </w:r>
      <w:r w:rsidR="007E0B8D" w:rsidRPr="00E869A4">
        <w:rPr>
          <w:lang w:val="en-GB"/>
        </w:rPr>
        <w:t xml:space="preserve">4 – </w:t>
      </w:r>
      <w:r w:rsidRPr="00E869A4">
        <w:rPr>
          <w:lang w:val="en-GB"/>
        </w:rPr>
        <w:t>LITERATURE REVIEW</w:t>
      </w:r>
      <w:bookmarkEnd w:id="213"/>
      <w:r w:rsidRPr="00E869A4">
        <w:rPr>
          <w:lang w:val="en-GB"/>
        </w:rPr>
        <w:t xml:space="preserve"> </w:t>
      </w:r>
    </w:p>
    <w:p w14:paraId="71102C66" w14:textId="43AB5DA6" w:rsidR="0082719B" w:rsidRPr="00E869A4" w:rsidRDefault="0099790C" w:rsidP="00D20B2D">
      <w:pPr>
        <w:pStyle w:val="Heading1"/>
        <w:rPr>
          <w:lang w:val="en-GB"/>
        </w:rPr>
      </w:pPr>
      <w:bookmarkStart w:id="214" w:name="_Toc40436498"/>
      <w:r w:rsidRPr="00E869A4">
        <w:rPr>
          <w:lang w:val="en-GB"/>
        </w:rPr>
        <w:t xml:space="preserve">COPING </w:t>
      </w:r>
      <w:r w:rsidR="00F41C56" w:rsidRPr="00E869A4">
        <w:rPr>
          <w:lang w:val="en-GB"/>
        </w:rPr>
        <w:t>&amp;</w:t>
      </w:r>
      <w:r w:rsidRPr="00E869A4">
        <w:rPr>
          <w:lang w:val="en-GB"/>
        </w:rPr>
        <w:t xml:space="preserve"> CARE MANAGEMENT STRATEGIES</w:t>
      </w:r>
      <w:bookmarkEnd w:id="214"/>
    </w:p>
    <w:p w14:paraId="14842E08" w14:textId="77777777" w:rsidR="00D968A3" w:rsidRPr="00E869A4" w:rsidRDefault="00D968A3" w:rsidP="0051234F">
      <w:pPr>
        <w:pStyle w:val="112"/>
        <w:rPr>
          <w:color w:val="auto"/>
        </w:rPr>
      </w:pPr>
    </w:p>
    <w:p w14:paraId="2DE6AED1" w14:textId="7944A87C" w:rsidR="00855EB2" w:rsidRPr="00E869A4" w:rsidRDefault="00E9231D" w:rsidP="00175C3E">
      <w:pPr>
        <w:pStyle w:val="Heading2"/>
      </w:pPr>
      <w:bookmarkStart w:id="215" w:name="_Toc505945219"/>
      <w:bookmarkStart w:id="216" w:name="_Toc40436499"/>
      <w:r w:rsidRPr="00E869A4">
        <w:t>4</w:t>
      </w:r>
      <w:r w:rsidR="00DD30F7" w:rsidRPr="00E869A4">
        <w:t xml:space="preserve">.1 </w:t>
      </w:r>
      <w:r w:rsidR="00E71605" w:rsidRPr="00E869A4">
        <w:t>INTRODUCTION</w:t>
      </w:r>
      <w:bookmarkEnd w:id="215"/>
      <w:bookmarkEnd w:id="216"/>
    </w:p>
    <w:p w14:paraId="05CD4D77" w14:textId="77777777" w:rsidR="00D968A3" w:rsidRPr="00E869A4" w:rsidRDefault="00D968A3" w:rsidP="0051234F">
      <w:pPr>
        <w:pStyle w:val="112"/>
        <w:rPr>
          <w:color w:val="auto"/>
        </w:rPr>
      </w:pPr>
    </w:p>
    <w:p w14:paraId="302170EC" w14:textId="5C10ABA0" w:rsidR="00855EB2" w:rsidRPr="00E869A4" w:rsidRDefault="003E3254" w:rsidP="00A35FF8">
      <w:pPr>
        <w:rPr>
          <w:rFonts w:ascii="Times New Roman" w:hAnsi="Times New Roman" w:cs="Times New Roman"/>
        </w:rPr>
      </w:pPr>
      <w:r w:rsidRPr="00E869A4">
        <w:rPr>
          <w:rFonts w:ascii="Times New Roman" w:hAnsi="Times New Roman" w:cs="Times New Roman"/>
        </w:rPr>
        <w:t>The</w:t>
      </w:r>
      <w:r w:rsidR="00855EB2" w:rsidRPr="00E869A4">
        <w:rPr>
          <w:rFonts w:ascii="Times New Roman" w:hAnsi="Times New Roman" w:cs="Times New Roman"/>
        </w:rPr>
        <w:t xml:space="preserve"> study of coping and care management has not been a core feature of sociological research. Rather, it has predominantly been the stomping ground of psychologists who have made significant and invaluable contributions, but at the same time, have not been able to adequately address the structural and other societal aspects of coping and care management for which sociologists are better equipped. Some sociologists (e.g. Pearlin and colleagues) have sought to address these limitations by conducting multi-disciplinary work </w:t>
      </w:r>
      <w:r w:rsidR="009E1AD0" w:rsidRPr="00E869A4">
        <w:rPr>
          <w:rFonts w:ascii="Times New Roman" w:hAnsi="Times New Roman" w:cs="Times New Roman"/>
        </w:rPr>
        <w:t>which</w:t>
      </w:r>
      <w:r w:rsidR="00855EB2" w:rsidRPr="00E869A4">
        <w:rPr>
          <w:rFonts w:ascii="Times New Roman" w:hAnsi="Times New Roman" w:cs="Times New Roman"/>
        </w:rPr>
        <w:t xml:space="preserve"> generally falls within the domain of social psychology. Pearlin (1989) however made a strong case for a distinct sociological approach to the study of stress and coping for, as he argue</w:t>
      </w:r>
      <w:r w:rsidR="00B8045C" w:rsidRPr="00E869A4">
        <w:rPr>
          <w:rFonts w:ascii="Times New Roman" w:hAnsi="Times New Roman" w:cs="Times New Roman"/>
        </w:rPr>
        <w:t>d</w:t>
      </w:r>
      <w:r w:rsidR="00855EB2" w:rsidRPr="00E869A4">
        <w:rPr>
          <w:rFonts w:ascii="Times New Roman" w:hAnsi="Times New Roman" w:cs="Times New Roman"/>
        </w:rPr>
        <w:t>, a multi-disciplinary approach is</w:t>
      </w:r>
      <w:r w:rsidR="00897226" w:rsidRPr="00E869A4">
        <w:rPr>
          <w:rFonts w:ascii="Times New Roman" w:hAnsi="Times New Roman" w:cs="Times New Roman"/>
        </w:rPr>
        <w:t xml:space="preserve"> only</w:t>
      </w:r>
      <w:r w:rsidR="00855EB2" w:rsidRPr="00E869A4">
        <w:rPr>
          <w:rFonts w:ascii="Times New Roman" w:hAnsi="Times New Roman" w:cs="Times New Roman"/>
        </w:rPr>
        <w:t xml:space="preserve"> as good as what each discipline brings to the table, and indeed sociology has the wherewithal to contribute ample amounts to the feast. </w:t>
      </w:r>
      <w:r w:rsidR="00C25074" w:rsidRPr="00E869A4">
        <w:rPr>
          <w:rFonts w:ascii="Times New Roman" w:hAnsi="Times New Roman" w:cs="Times New Roman"/>
        </w:rPr>
        <w:t>However</w:t>
      </w:r>
      <w:r w:rsidR="00855EB2" w:rsidRPr="00E869A4">
        <w:rPr>
          <w:rFonts w:ascii="Times New Roman" w:hAnsi="Times New Roman" w:cs="Times New Roman"/>
        </w:rPr>
        <w:t>, his proposed caregiver stress and coping model</w:t>
      </w:r>
      <w:r w:rsidR="009E1AD0" w:rsidRPr="00E869A4">
        <w:rPr>
          <w:rFonts w:ascii="Times New Roman" w:hAnsi="Times New Roman" w:cs="Times New Roman"/>
        </w:rPr>
        <w:t>,</w:t>
      </w:r>
      <w:r w:rsidR="00855EB2" w:rsidRPr="00E869A4">
        <w:rPr>
          <w:rFonts w:ascii="Times New Roman" w:hAnsi="Times New Roman" w:cs="Times New Roman"/>
        </w:rPr>
        <w:t xml:space="preserve"> </w:t>
      </w:r>
      <w:r w:rsidR="00252EB4" w:rsidRPr="00E869A4">
        <w:rPr>
          <w:rFonts w:ascii="Times New Roman" w:hAnsi="Times New Roman" w:cs="Times New Roman"/>
        </w:rPr>
        <w:t>al</w:t>
      </w:r>
      <w:r w:rsidR="00855EB2" w:rsidRPr="00E869A4">
        <w:rPr>
          <w:rFonts w:ascii="Times New Roman" w:hAnsi="Times New Roman" w:cs="Times New Roman"/>
        </w:rPr>
        <w:t xml:space="preserve">though popular, has several limitations. </w:t>
      </w:r>
    </w:p>
    <w:p w14:paraId="0DF5EB66" w14:textId="77777777" w:rsidR="00FF38D3" w:rsidRPr="00E869A4" w:rsidRDefault="00FF38D3" w:rsidP="00A35FF8">
      <w:pPr>
        <w:rPr>
          <w:rFonts w:ascii="Times New Roman" w:hAnsi="Times New Roman" w:cs="Times New Roman"/>
        </w:rPr>
      </w:pPr>
    </w:p>
    <w:p w14:paraId="2E545D7B" w14:textId="75E9D7FA" w:rsidR="00D968A3" w:rsidRPr="00E869A4" w:rsidRDefault="00855EB2" w:rsidP="00A35FF8">
      <w:pPr>
        <w:rPr>
          <w:rFonts w:ascii="Times New Roman" w:hAnsi="Times New Roman" w:cs="Times New Roman"/>
        </w:rPr>
      </w:pPr>
      <w:r w:rsidRPr="00E869A4">
        <w:rPr>
          <w:rFonts w:ascii="Times New Roman" w:hAnsi="Times New Roman" w:cs="Times New Roman"/>
        </w:rPr>
        <w:t>While there is general agreement about what coping entails, there is lack of coherence on what care management strategies involve. Sometimes the terms coping, resilience, care strategies and care management are used interchangeably. In this section, I begin by reviewing some of the key approaches to conceptualising coping and care management, followed by a critical review of two main theoretical perspectives to understanding coping and care management, namely: i) Pearlin and colleagues’ (1990) stress and coping theories; and</w:t>
      </w:r>
      <w:r w:rsidR="004B1F82" w:rsidRPr="00E869A4">
        <w:rPr>
          <w:rFonts w:ascii="Times New Roman" w:hAnsi="Times New Roman" w:cs="Times New Roman"/>
        </w:rPr>
        <w:t>,</w:t>
      </w:r>
      <w:r w:rsidRPr="00E869A4">
        <w:rPr>
          <w:rFonts w:ascii="Times New Roman" w:hAnsi="Times New Roman" w:cs="Times New Roman"/>
        </w:rPr>
        <w:t xml:space="preserve"> ii) Wise and colleagues’ (2011) family ecological systems</w:t>
      </w:r>
      <w:r w:rsidR="008E694B" w:rsidRPr="00E869A4">
        <w:rPr>
          <w:rFonts w:ascii="Times New Roman" w:hAnsi="Times New Roman" w:cs="Times New Roman"/>
        </w:rPr>
        <w:t xml:space="preserve"> (FES)</w:t>
      </w:r>
      <w:r w:rsidRPr="00E869A4">
        <w:rPr>
          <w:rFonts w:ascii="Times New Roman" w:hAnsi="Times New Roman" w:cs="Times New Roman"/>
        </w:rPr>
        <w:t xml:space="preserve"> perspective. I also include an overview of some of the empirical studies on coping and care management, and give particular attention to the role of social support in care relationships. In the final subsection, I provide the definitions that I believe are best suited </w:t>
      </w:r>
      <w:r w:rsidR="009E1AD0" w:rsidRPr="00E869A4">
        <w:rPr>
          <w:rFonts w:ascii="Times New Roman" w:hAnsi="Times New Roman" w:cs="Times New Roman"/>
        </w:rPr>
        <w:t>to</w:t>
      </w:r>
      <w:r w:rsidRPr="00E869A4">
        <w:rPr>
          <w:rFonts w:ascii="Times New Roman" w:hAnsi="Times New Roman" w:cs="Times New Roman"/>
        </w:rPr>
        <w:t xml:space="preserve"> the current examination of coping and care management. This literature review does not include the work of various family theorists as the study focused primarily on obtaining the </w:t>
      </w:r>
      <w:r w:rsidR="00F927FC" w:rsidRPr="00E869A4">
        <w:rPr>
          <w:rFonts w:ascii="Times New Roman" w:hAnsi="Times New Roman" w:cs="Times New Roman"/>
        </w:rPr>
        <w:t xml:space="preserve">contributions </w:t>
      </w:r>
      <w:r w:rsidRPr="00E869A4">
        <w:rPr>
          <w:rFonts w:ascii="Times New Roman" w:hAnsi="Times New Roman" w:cs="Times New Roman"/>
        </w:rPr>
        <w:t xml:space="preserve">of older cared-for relatives and family caregivers. As I explain herein, the ecological systems perspective is </w:t>
      </w:r>
      <w:r w:rsidR="009E11F4" w:rsidRPr="00E869A4">
        <w:rPr>
          <w:rFonts w:ascii="Times New Roman" w:hAnsi="Times New Roman" w:cs="Times New Roman"/>
        </w:rPr>
        <w:t xml:space="preserve">particularly </w:t>
      </w:r>
      <w:r w:rsidRPr="00E869A4">
        <w:rPr>
          <w:rFonts w:ascii="Times New Roman" w:hAnsi="Times New Roman" w:cs="Times New Roman"/>
        </w:rPr>
        <w:t>suited to a sociology study of this nature</w:t>
      </w:r>
      <w:r w:rsidR="00F927FC" w:rsidRPr="00E869A4">
        <w:rPr>
          <w:rFonts w:ascii="Times New Roman" w:hAnsi="Times New Roman" w:cs="Times New Roman"/>
        </w:rPr>
        <w:t>,</w:t>
      </w:r>
      <w:r w:rsidRPr="00E869A4">
        <w:rPr>
          <w:rFonts w:ascii="Times New Roman" w:hAnsi="Times New Roman" w:cs="Times New Roman"/>
        </w:rPr>
        <w:t xml:space="preserve"> as it allows for sufficient consideration of the micro, meso and macro influences on care relationships. </w:t>
      </w:r>
    </w:p>
    <w:p w14:paraId="2763927F" w14:textId="77777777" w:rsidR="00897226" w:rsidRPr="00E869A4" w:rsidRDefault="00897226" w:rsidP="00A35FF8">
      <w:pPr>
        <w:rPr>
          <w:rFonts w:ascii="Times New Roman" w:hAnsi="Times New Roman" w:cs="Times New Roman"/>
        </w:rPr>
      </w:pPr>
    </w:p>
    <w:p w14:paraId="7592FEB6" w14:textId="64D9CF34" w:rsidR="00855EB2" w:rsidRPr="00E869A4" w:rsidRDefault="00E9231D" w:rsidP="00175C3E">
      <w:pPr>
        <w:pStyle w:val="Heading2"/>
        <w:rPr>
          <w:caps/>
        </w:rPr>
      </w:pPr>
      <w:bookmarkStart w:id="217" w:name="_Toc505945220"/>
      <w:bookmarkStart w:id="218" w:name="_Toc40436500"/>
      <w:r w:rsidRPr="00E869A4">
        <w:lastRenderedPageBreak/>
        <w:t>4</w:t>
      </w:r>
      <w:r w:rsidR="00DD30F7" w:rsidRPr="00E869A4">
        <w:t xml:space="preserve">.2 </w:t>
      </w:r>
      <w:bookmarkEnd w:id="217"/>
      <w:r w:rsidR="00DD30F7" w:rsidRPr="00E869A4">
        <w:t>DEFINING COPING &amp; CARE MANAGEMENT</w:t>
      </w:r>
      <w:bookmarkEnd w:id="218"/>
      <w:r w:rsidR="00DD30F7" w:rsidRPr="00E869A4">
        <w:rPr>
          <w:u w:val="none"/>
        </w:rPr>
        <w:t xml:space="preserve"> </w:t>
      </w:r>
    </w:p>
    <w:p w14:paraId="234293D0" w14:textId="77777777" w:rsidR="00D968A3" w:rsidRPr="00E869A4" w:rsidRDefault="00D968A3" w:rsidP="0051234F">
      <w:pPr>
        <w:pStyle w:val="112"/>
        <w:rPr>
          <w:color w:val="auto"/>
        </w:rPr>
      </w:pPr>
    </w:p>
    <w:p w14:paraId="0BC42343" w14:textId="4101DD95" w:rsidR="00E16DC2" w:rsidRPr="00E869A4" w:rsidRDefault="00E16DC2" w:rsidP="0051234F">
      <w:pPr>
        <w:pStyle w:val="112"/>
        <w:rPr>
          <w:color w:val="auto"/>
        </w:rPr>
      </w:pPr>
      <w:r w:rsidRPr="00E869A4">
        <w:rPr>
          <w:color w:val="auto"/>
        </w:rPr>
        <w:t xml:space="preserve">In this section, I examine sociological literature on coping and care management with particular attention to how these terms are distinct yet overlap. Conceptualisations of </w:t>
      </w:r>
      <w:r w:rsidR="00184AA8" w:rsidRPr="00E869A4">
        <w:rPr>
          <w:color w:val="auto"/>
        </w:rPr>
        <w:t xml:space="preserve">adversity, </w:t>
      </w:r>
      <w:r w:rsidRPr="00E869A4">
        <w:rPr>
          <w:color w:val="auto"/>
        </w:rPr>
        <w:t xml:space="preserve">caregiver strain, stressors and life events are discussed, as these are important </w:t>
      </w:r>
      <w:r w:rsidR="00184AA8" w:rsidRPr="00E869A4">
        <w:rPr>
          <w:color w:val="auto"/>
        </w:rPr>
        <w:t>triggers</w:t>
      </w:r>
      <w:r w:rsidRPr="00E869A4">
        <w:rPr>
          <w:color w:val="auto"/>
        </w:rPr>
        <w:t xml:space="preserve"> </w:t>
      </w:r>
      <w:r w:rsidR="00184AA8" w:rsidRPr="00E869A4">
        <w:rPr>
          <w:color w:val="auto"/>
        </w:rPr>
        <w:t>of</w:t>
      </w:r>
      <w:r w:rsidRPr="00E869A4">
        <w:rPr>
          <w:color w:val="auto"/>
        </w:rPr>
        <w:t xml:space="preserve"> the coping and care management process. The influence of social support and social resources on coping and care management practices are examined, as well as the suitability of related concepts such as resilience</w:t>
      </w:r>
      <w:r w:rsidR="009E1AD0" w:rsidRPr="00E869A4">
        <w:rPr>
          <w:color w:val="auto"/>
        </w:rPr>
        <w:t>,</w:t>
      </w:r>
      <w:r w:rsidRPr="00E869A4">
        <w:rPr>
          <w:color w:val="auto"/>
        </w:rPr>
        <w:t xml:space="preserve"> to the sociological study of coping and care management. </w:t>
      </w:r>
    </w:p>
    <w:p w14:paraId="3EC70D8C" w14:textId="77777777" w:rsidR="00E16DC2" w:rsidRPr="00E869A4" w:rsidRDefault="00E16DC2" w:rsidP="0051234F">
      <w:pPr>
        <w:pStyle w:val="112"/>
        <w:rPr>
          <w:color w:val="auto"/>
        </w:rPr>
      </w:pPr>
    </w:p>
    <w:p w14:paraId="4C2D6A9A" w14:textId="740CE21B" w:rsidR="00855EB2" w:rsidRPr="00E869A4" w:rsidRDefault="00E9231D" w:rsidP="005C449C">
      <w:pPr>
        <w:pStyle w:val="Heading3"/>
      </w:pPr>
      <w:bookmarkStart w:id="219" w:name="_Toc505945221"/>
      <w:bookmarkStart w:id="220" w:name="_Toc40436501"/>
      <w:r w:rsidRPr="00E869A4">
        <w:t>4</w:t>
      </w:r>
      <w:r w:rsidR="00DD30F7" w:rsidRPr="00E869A4">
        <w:t xml:space="preserve">.2.1 </w:t>
      </w:r>
      <w:r w:rsidR="003C5F9D" w:rsidRPr="00E869A4">
        <w:t xml:space="preserve">    </w:t>
      </w:r>
      <w:r w:rsidR="00855EB2" w:rsidRPr="00E869A4">
        <w:t>The Sociological Study of Coping &amp; Care Management</w:t>
      </w:r>
      <w:bookmarkEnd w:id="219"/>
      <w:bookmarkEnd w:id="220"/>
      <w:r w:rsidR="00855EB2" w:rsidRPr="00E869A4">
        <w:t xml:space="preserve"> </w:t>
      </w:r>
    </w:p>
    <w:p w14:paraId="055F8033" w14:textId="77777777" w:rsidR="00D968A3" w:rsidRPr="00E869A4" w:rsidRDefault="00D968A3" w:rsidP="0051234F">
      <w:pPr>
        <w:pStyle w:val="112"/>
        <w:rPr>
          <w:color w:val="auto"/>
        </w:rPr>
      </w:pPr>
    </w:p>
    <w:p w14:paraId="3BC5C75F" w14:textId="431965D5" w:rsidR="00855EB2" w:rsidRPr="00E869A4" w:rsidRDefault="00855EB2" w:rsidP="00A35FF8">
      <w:pPr>
        <w:rPr>
          <w:rFonts w:ascii="Times New Roman" w:hAnsi="Times New Roman" w:cs="Times New Roman"/>
        </w:rPr>
      </w:pPr>
      <w:r w:rsidRPr="00E869A4">
        <w:rPr>
          <w:rFonts w:ascii="Times New Roman" w:hAnsi="Times New Roman" w:cs="Times New Roman"/>
        </w:rPr>
        <w:t>The relatively recent focus of sociologists on coping has been lauded by researchers such as Pearlin (1989) and Bury (1991)</w:t>
      </w:r>
      <w:r w:rsidR="00897226" w:rsidRPr="00E869A4">
        <w:rPr>
          <w:rFonts w:ascii="Times New Roman" w:hAnsi="Times New Roman" w:cs="Times New Roman"/>
        </w:rPr>
        <w:t>,</w:t>
      </w:r>
      <w:r w:rsidRPr="00E869A4">
        <w:rPr>
          <w:rFonts w:ascii="Times New Roman" w:hAnsi="Times New Roman" w:cs="Times New Roman"/>
        </w:rPr>
        <w:t xml:space="preserve"> as a welcome development given the need for attention to issues of social structure and how social organisation impacts on individual coping proclivities. </w:t>
      </w:r>
      <w:r w:rsidR="00C25074" w:rsidRPr="00E869A4">
        <w:rPr>
          <w:rFonts w:ascii="Times New Roman" w:hAnsi="Times New Roman" w:cs="Times New Roman"/>
        </w:rPr>
        <w:t>However</w:t>
      </w:r>
      <w:r w:rsidRPr="00E869A4">
        <w:rPr>
          <w:rFonts w:ascii="Times New Roman" w:hAnsi="Times New Roman" w:cs="Times New Roman"/>
        </w:rPr>
        <w:t xml:space="preserve">, researchers such as Dunahoo and </w:t>
      </w:r>
      <w:r w:rsidR="00C25074" w:rsidRPr="00E869A4">
        <w:rPr>
          <w:rFonts w:ascii="Times New Roman" w:hAnsi="Times New Roman" w:cs="Times New Roman"/>
        </w:rPr>
        <w:t>colleagues (</w:t>
      </w:r>
      <w:r w:rsidR="00BC29E0" w:rsidRPr="00E869A4">
        <w:rPr>
          <w:rFonts w:ascii="Times New Roman" w:hAnsi="Times New Roman" w:cs="Times New Roman"/>
        </w:rPr>
        <w:t>1998, p. 139</w:t>
      </w:r>
      <w:r w:rsidRPr="00E869A4">
        <w:rPr>
          <w:rFonts w:ascii="Times New Roman" w:hAnsi="Times New Roman" w:cs="Times New Roman"/>
        </w:rPr>
        <w:t>) observed that there has only been nascent interest in the social dimensions of coping:</w:t>
      </w:r>
    </w:p>
    <w:p w14:paraId="2D7E4CBF" w14:textId="77777777" w:rsidR="00FF38D3" w:rsidRPr="00E869A4" w:rsidRDefault="00FF38D3" w:rsidP="003E23F9">
      <w:pPr>
        <w:autoSpaceDE w:val="0"/>
        <w:autoSpaceDN w:val="0"/>
        <w:adjustRightInd w:val="0"/>
        <w:spacing w:line="240" w:lineRule="auto"/>
        <w:ind w:firstLine="720"/>
        <w:rPr>
          <w:rFonts w:ascii="Times New Roman" w:hAnsi="Times New Roman" w:cs="Times New Roman"/>
        </w:rPr>
      </w:pPr>
    </w:p>
    <w:p w14:paraId="61530EEE" w14:textId="6896B9D5" w:rsidR="00855EB2" w:rsidRPr="00E869A4" w:rsidRDefault="00AE0E9E" w:rsidP="00BC29E0">
      <w:pPr>
        <w:spacing w:line="240" w:lineRule="auto"/>
        <w:ind w:left="567" w:firstLine="0"/>
        <w:rPr>
          <w:rFonts w:ascii="Times New Roman" w:hAnsi="Times New Roman" w:cs="Times New Roman"/>
        </w:rPr>
      </w:pPr>
      <w:r w:rsidRPr="00E869A4">
        <w:rPr>
          <w:rFonts w:ascii="Times New Roman" w:hAnsi="Times New Roman" w:cs="Times New Roman"/>
        </w:rPr>
        <w:t>[S]</w:t>
      </w:r>
      <w:r w:rsidR="00855EB2" w:rsidRPr="00E869A4">
        <w:rPr>
          <w:rFonts w:ascii="Times New Roman" w:hAnsi="Times New Roman" w:cs="Times New Roman"/>
        </w:rPr>
        <w:t>ocial dimensions of the environment, such as power constraints, the need to preserve social ties, the wellbeing of the group, or the sacrifice of personal needs for the good of the family or group are not included in coping conceptualizations</w:t>
      </w:r>
      <w:r w:rsidR="00BC29E0" w:rsidRPr="00E869A4">
        <w:rPr>
          <w:rFonts w:ascii="Times New Roman" w:hAnsi="Times New Roman" w:cs="Times New Roman"/>
        </w:rPr>
        <w:t>.</w:t>
      </w:r>
    </w:p>
    <w:p w14:paraId="00A82264" w14:textId="77777777" w:rsidR="0003179A" w:rsidRPr="00E869A4" w:rsidRDefault="0003179A" w:rsidP="003E23F9">
      <w:pPr>
        <w:autoSpaceDE w:val="0"/>
        <w:autoSpaceDN w:val="0"/>
        <w:adjustRightInd w:val="0"/>
        <w:spacing w:line="240" w:lineRule="auto"/>
        <w:ind w:firstLine="720"/>
        <w:rPr>
          <w:rFonts w:ascii="Times New Roman" w:hAnsi="Times New Roman" w:cs="Times New Roman"/>
        </w:rPr>
      </w:pPr>
    </w:p>
    <w:p w14:paraId="5FE74A98" w14:textId="77777777" w:rsidR="00855EB2" w:rsidRPr="00E869A4" w:rsidRDefault="00855EB2" w:rsidP="0003179A">
      <w:pPr>
        <w:ind w:firstLine="0"/>
        <w:rPr>
          <w:rFonts w:ascii="Times New Roman" w:hAnsi="Times New Roman" w:cs="Times New Roman"/>
        </w:rPr>
      </w:pPr>
      <w:r w:rsidRPr="00E869A4">
        <w:rPr>
          <w:rFonts w:ascii="Times New Roman" w:hAnsi="Times New Roman" w:cs="Times New Roman"/>
        </w:rPr>
        <w:t>Thus, there needs to be greater sociological interest on this very important subject.</w:t>
      </w:r>
    </w:p>
    <w:p w14:paraId="2B63D43B" w14:textId="77777777" w:rsidR="0003179A" w:rsidRPr="00E869A4" w:rsidRDefault="0003179A" w:rsidP="0003179A">
      <w:pPr>
        <w:ind w:firstLine="0"/>
        <w:rPr>
          <w:rFonts w:ascii="Times New Roman" w:hAnsi="Times New Roman" w:cs="Times New Roman"/>
        </w:rPr>
      </w:pPr>
    </w:p>
    <w:p w14:paraId="03290A11" w14:textId="19C78A9B" w:rsidR="00855EB2" w:rsidRPr="00E869A4" w:rsidRDefault="00855EB2" w:rsidP="00BC29E0">
      <w:pPr>
        <w:rPr>
          <w:rFonts w:ascii="Times New Roman" w:hAnsi="Times New Roman" w:cs="Times New Roman"/>
        </w:rPr>
      </w:pPr>
      <w:r w:rsidRPr="00E869A4">
        <w:rPr>
          <w:rFonts w:ascii="Times New Roman" w:hAnsi="Times New Roman" w:cs="Times New Roman"/>
        </w:rPr>
        <w:t>Coping has been generally referred to as</w:t>
      </w:r>
      <w:r w:rsidR="00AE0E9E" w:rsidRPr="00E869A4">
        <w:rPr>
          <w:rFonts w:ascii="Times New Roman" w:hAnsi="Times New Roman" w:cs="Times New Roman"/>
        </w:rPr>
        <w:t xml:space="preserve"> </w:t>
      </w:r>
      <w:r w:rsidRPr="00E869A4">
        <w:rPr>
          <w:rFonts w:ascii="Times New Roman" w:hAnsi="Times New Roman" w:cs="Times New Roman"/>
        </w:rPr>
        <w:t>“the actions people take in their own behalf as they attempt to avoid or lessen the impact of life problems</w:t>
      </w:r>
      <w:r w:rsidR="00BC29E0" w:rsidRPr="00E869A4">
        <w:rPr>
          <w:rFonts w:ascii="Times New Roman" w:hAnsi="Times New Roman" w:cs="Times New Roman"/>
        </w:rPr>
        <w:t>.</w:t>
      </w:r>
      <w:r w:rsidR="00897226" w:rsidRPr="00E869A4">
        <w:rPr>
          <w:rFonts w:ascii="Times New Roman" w:hAnsi="Times New Roman" w:cs="Times New Roman"/>
        </w:rPr>
        <w:t>” (Aneshensel</w:t>
      </w:r>
      <w:r w:rsidRPr="00E869A4">
        <w:rPr>
          <w:rFonts w:ascii="Times New Roman" w:hAnsi="Times New Roman" w:cs="Times New Roman"/>
        </w:rPr>
        <w:t xml:space="preserve"> 1992</w:t>
      </w:r>
      <w:r w:rsidR="00897226" w:rsidRPr="00E869A4">
        <w:rPr>
          <w:rFonts w:ascii="Times New Roman" w:hAnsi="Times New Roman" w:cs="Times New Roman"/>
        </w:rPr>
        <w:t>, p.</w:t>
      </w:r>
      <w:r w:rsidRPr="00E869A4">
        <w:rPr>
          <w:rFonts w:ascii="Times New Roman" w:hAnsi="Times New Roman" w:cs="Times New Roman"/>
        </w:rPr>
        <w:t xml:space="preserve"> 18). McCubbin and McCubbin provide</w:t>
      </w:r>
      <w:r w:rsidR="00D04F19" w:rsidRPr="00E869A4">
        <w:rPr>
          <w:rFonts w:ascii="Times New Roman" w:hAnsi="Times New Roman" w:cs="Times New Roman"/>
        </w:rPr>
        <w:t>d</w:t>
      </w:r>
      <w:r w:rsidRPr="00E869A4">
        <w:rPr>
          <w:rFonts w:ascii="Times New Roman" w:hAnsi="Times New Roman" w:cs="Times New Roman"/>
        </w:rPr>
        <w:t xml:space="preserve"> an even simpler definition of coping as </w:t>
      </w:r>
      <w:r w:rsidR="00AE0E9E" w:rsidRPr="00E869A4">
        <w:rPr>
          <w:rFonts w:ascii="Times New Roman" w:hAnsi="Times New Roman" w:cs="Times New Roman"/>
        </w:rPr>
        <w:t>“</w:t>
      </w:r>
      <w:r w:rsidRPr="00E869A4">
        <w:rPr>
          <w:rFonts w:ascii="Times New Roman" w:hAnsi="Times New Roman" w:cs="Times New Roman"/>
        </w:rPr>
        <w:t xml:space="preserve">strategy for </w:t>
      </w:r>
      <w:r w:rsidR="00E261FB" w:rsidRPr="00E869A4">
        <w:rPr>
          <w:rFonts w:ascii="Times New Roman" w:hAnsi="Times New Roman" w:cs="Times New Roman"/>
        </w:rPr>
        <w:t>managing</w:t>
      </w:r>
      <w:r w:rsidRPr="00E869A4">
        <w:rPr>
          <w:rFonts w:ascii="Times New Roman" w:hAnsi="Times New Roman" w:cs="Times New Roman"/>
        </w:rPr>
        <w:t xml:space="preserve"> stress</w:t>
      </w:r>
      <w:r w:rsidR="00AE0E9E" w:rsidRPr="00E869A4">
        <w:rPr>
          <w:rFonts w:ascii="Times New Roman" w:hAnsi="Times New Roman" w:cs="Times New Roman"/>
        </w:rPr>
        <w:t>” (McCubbin &amp; McCubbin 1979, p. 238)</w:t>
      </w:r>
      <w:r w:rsidRPr="00E869A4">
        <w:rPr>
          <w:rFonts w:ascii="Times New Roman" w:hAnsi="Times New Roman" w:cs="Times New Roman"/>
        </w:rPr>
        <w:t>.</w:t>
      </w:r>
      <w:r w:rsidR="0003179A" w:rsidRPr="00E869A4">
        <w:rPr>
          <w:rFonts w:ascii="Times New Roman" w:hAnsi="Times New Roman" w:cs="Times New Roman"/>
        </w:rPr>
        <w:t xml:space="preserve"> </w:t>
      </w:r>
      <w:r w:rsidRPr="00E869A4">
        <w:rPr>
          <w:rFonts w:ascii="Times New Roman" w:hAnsi="Times New Roman" w:cs="Times New Roman"/>
        </w:rPr>
        <w:t xml:space="preserve">Coping behaviour </w:t>
      </w:r>
      <w:r w:rsidR="003C442A" w:rsidRPr="00E869A4">
        <w:rPr>
          <w:rFonts w:ascii="Times New Roman" w:hAnsi="Times New Roman" w:cs="Times New Roman"/>
        </w:rPr>
        <w:t>includes</w:t>
      </w:r>
      <w:r w:rsidRPr="00E869A4">
        <w:rPr>
          <w:rFonts w:ascii="Times New Roman" w:hAnsi="Times New Roman" w:cs="Times New Roman"/>
        </w:rPr>
        <w:t xml:space="preserve"> changin</w:t>
      </w:r>
      <w:r w:rsidR="00DF250C" w:rsidRPr="00E869A4">
        <w:rPr>
          <w:rFonts w:ascii="Times New Roman" w:hAnsi="Times New Roman" w:cs="Times New Roman"/>
        </w:rPr>
        <w:t xml:space="preserve">g the situation from which the </w:t>
      </w:r>
      <w:r w:rsidR="00DF250C" w:rsidRPr="00E869A4">
        <w:rPr>
          <w:rFonts w:ascii="Times New Roman" w:hAnsi="Times New Roman" w:cs="Times New Roman"/>
          <w:i/>
        </w:rPr>
        <w:t>stressor</w:t>
      </w:r>
      <w:r w:rsidRPr="00E869A4">
        <w:rPr>
          <w:rFonts w:ascii="Times New Roman" w:hAnsi="Times New Roman" w:cs="Times New Roman"/>
        </w:rPr>
        <w:t xml:space="preserve"> arises, </w:t>
      </w:r>
      <w:r w:rsidR="00C25074" w:rsidRPr="00E869A4">
        <w:rPr>
          <w:rFonts w:ascii="Times New Roman" w:hAnsi="Times New Roman" w:cs="Times New Roman"/>
        </w:rPr>
        <w:t>managing</w:t>
      </w:r>
      <w:r w:rsidRPr="00E869A4">
        <w:rPr>
          <w:rFonts w:ascii="Times New Roman" w:hAnsi="Times New Roman" w:cs="Times New Roman"/>
        </w:rPr>
        <w:t xml:space="preserve"> the meaning of the situation in a manner that reduces threat, </w:t>
      </w:r>
      <w:r w:rsidR="003C442A" w:rsidRPr="00E869A4">
        <w:rPr>
          <w:rFonts w:ascii="Times New Roman" w:hAnsi="Times New Roman" w:cs="Times New Roman"/>
        </w:rPr>
        <w:t xml:space="preserve">and </w:t>
      </w:r>
      <w:r w:rsidRPr="00E869A4">
        <w:rPr>
          <w:rFonts w:ascii="Times New Roman" w:hAnsi="Times New Roman" w:cs="Times New Roman"/>
        </w:rPr>
        <w:t>keeping the symptoms of stress wi</w:t>
      </w:r>
      <w:r w:rsidR="00AE0E9E" w:rsidRPr="00E869A4">
        <w:rPr>
          <w:rFonts w:ascii="Times New Roman" w:hAnsi="Times New Roman" w:cs="Times New Roman"/>
        </w:rPr>
        <w:t>thin manageable bounds (Pearlin</w:t>
      </w:r>
      <w:r w:rsidRPr="00E869A4">
        <w:rPr>
          <w:rFonts w:ascii="Times New Roman" w:hAnsi="Times New Roman" w:cs="Times New Roman"/>
        </w:rPr>
        <w:t xml:space="preserve"> 1989). Thus, coping implies the existence of stress, stressors and adversity. </w:t>
      </w:r>
    </w:p>
    <w:p w14:paraId="5873D91C" w14:textId="77777777" w:rsidR="00D968A3" w:rsidRPr="00E869A4" w:rsidRDefault="00D968A3" w:rsidP="00A35FF8">
      <w:pPr>
        <w:rPr>
          <w:rFonts w:ascii="Times New Roman" w:hAnsi="Times New Roman" w:cs="Times New Roman"/>
        </w:rPr>
      </w:pPr>
    </w:p>
    <w:p w14:paraId="3463B775" w14:textId="1ACF551D" w:rsidR="00855EB2" w:rsidRPr="00E869A4" w:rsidRDefault="00855EB2" w:rsidP="00A35FF8">
      <w:pPr>
        <w:rPr>
          <w:rFonts w:ascii="Times New Roman" w:hAnsi="Times New Roman" w:cs="Times New Roman"/>
        </w:rPr>
      </w:pPr>
      <w:r w:rsidRPr="00E869A4">
        <w:rPr>
          <w:rFonts w:ascii="Times New Roman" w:hAnsi="Times New Roman" w:cs="Times New Roman"/>
        </w:rPr>
        <w:t>Pearlin defined stressors as “the experiential circumstances that giv</w:t>
      </w:r>
      <w:r w:rsidR="00F86952" w:rsidRPr="00E869A4">
        <w:rPr>
          <w:rFonts w:ascii="Times New Roman" w:hAnsi="Times New Roman" w:cs="Times New Roman"/>
        </w:rPr>
        <w:t>e rise to stress</w:t>
      </w:r>
      <w:r w:rsidR="00BC29E0" w:rsidRPr="00E869A4">
        <w:rPr>
          <w:rFonts w:ascii="Times New Roman" w:hAnsi="Times New Roman" w:cs="Times New Roman"/>
        </w:rPr>
        <w:t>.</w:t>
      </w:r>
      <w:r w:rsidR="00F86952" w:rsidRPr="00E869A4">
        <w:rPr>
          <w:rFonts w:ascii="Times New Roman" w:hAnsi="Times New Roman" w:cs="Times New Roman"/>
        </w:rPr>
        <w:t>”</w:t>
      </w:r>
      <w:r w:rsidR="00AE0E9E" w:rsidRPr="00E869A4">
        <w:rPr>
          <w:rFonts w:ascii="Times New Roman" w:hAnsi="Times New Roman" w:cs="Times New Roman"/>
        </w:rPr>
        <w:t xml:space="preserve"> (Pearlin 1989, p. 243). They are the </w:t>
      </w:r>
      <w:r w:rsidRPr="00E869A4">
        <w:rPr>
          <w:rFonts w:ascii="Times New Roman" w:hAnsi="Times New Roman" w:cs="Times New Roman"/>
        </w:rPr>
        <w:t xml:space="preserve">“conditions, experiences, and activities that are problematic for people; that is, that </w:t>
      </w:r>
      <w:r w:rsidRPr="00E869A4">
        <w:rPr>
          <w:rFonts w:ascii="Times New Roman" w:hAnsi="Times New Roman" w:cs="Times New Roman"/>
        </w:rPr>
        <w:lastRenderedPageBreak/>
        <w:t>threaten them, thwart their efforts, fatigue them, and defeat their dreams</w:t>
      </w:r>
      <w:r w:rsidR="000B01AA" w:rsidRPr="00E869A4">
        <w:rPr>
          <w:rFonts w:ascii="Times New Roman" w:hAnsi="Times New Roman" w:cs="Times New Roman"/>
        </w:rPr>
        <w:t>.</w:t>
      </w:r>
      <w:r w:rsidRPr="00E869A4">
        <w:rPr>
          <w:rFonts w:ascii="Times New Roman" w:hAnsi="Times New Roman" w:cs="Times New Roman"/>
        </w:rPr>
        <w:t>” (Pearlin 1990</w:t>
      </w:r>
      <w:r w:rsidR="000B01AA" w:rsidRPr="00E869A4">
        <w:rPr>
          <w:rFonts w:ascii="Times New Roman" w:hAnsi="Times New Roman" w:cs="Times New Roman"/>
        </w:rPr>
        <w:t xml:space="preserve">, p. </w:t>
      </w:r>
      <w:r w:rsidRPr="00E869A4">
        <w:rPr>
          <w:rFonts w:ascii="Times New Roman" w:hAnsi="Times New Roman" w:cs="Times New Roman"/>
        </w:rPr>
        <w:t>586)</w:t>
      </w:r>
      <w:r w:rsidR="00AE0E9E" w:rsidRPr="00E869A4">
        <w:rPr>
          <w:rFonts w:ascii="Times New Roman" w:hAnsi="Times New Roman" w:cs="Times New Roman"/>
        </w:rPr>
        <w:t xml:space="preserve">. </w:t>
      </w:r>
      <w:r w:rsidRPr="00E869A4">
        <w:rPr>
          <w:rFonts w:ascii="Times New Roman" w:hAnsi="Times New Roman" w:cs="Times New Roman"/>
        </w:rPr>
        <w:t xml:space="preserve">His stress process framework emphasises that “stressors are socially embedded: they arise from the conditions that accompany social position and social disadvantage”. With respect to caregiver stress, </w:t>
      </w:r>
      <w:r w:rsidR="00BC29E0" w:rsidRPr="00E869A4">
        <w:rPr>
          <w:rFonts w:ascii="Times New Roman" w:hAnsi="Times New Roman" w:cs="Times New Roman"/>
        </w:rPr>
        <w:t xml:space="preserve">Pearlin (1990, p. 590) </w:t>
      </w:r>
      <w:r w:rsidRPr="00E869A4">
        <w:rPr>
          <w:rFonts w:ascii="Times New Roman" w:hAnsi="Times New Roman" w:cs="Times New Roman"/>
        </w:rPr>
        <w:t>maintain</w:t>
      </w:r>
      <w:r w:rsidR="00AE0E9E" w:rsidRPr="00E869A4">
        <w:rPr>
          <w:rFonts w:ascii="Times New Roman" w:hAnsi="Times New Roman" w:cs="Times New Roman"/>
        </w:rPr>
        <w:t>ed</w:t>
      </w:r>
      <w:r w:rsidRPr="00E869A4">
        <w:rPr>
          <w:rFonts w:ascii="Times New Roman" w:hAnsi="Times New Roman" w:cs="Times New Roman"/>
        </w:rPr>
        <w:t xml:space="preserve"> that </w:t>
      </w:r>
      <w:r w:rsidR="009E1AD0" w:rsidRPr="00E869A4">
        <w:rPr>
          <w:rFonts w:ascii="Times New Roman" w:hAnsi="Times New Roman" w:cs="Times New Roman"/>
        </w:rPr>
        <w:t xml:space="preserve">it </w:t>
      </w:r>
      <w:r w:rsidRPr="00E869A4">
        <w:rPr>
          <w:rFonts w:ascii="Times New Roman" w:hAnsi="Times New Roman" w:cs="Times New Roman"/>
        </w:rPr>
        <w:t>is not an event or a unitary phenomenon</w:t>
      </w:r>
      <w:r w:rsidR="009E1AD0" w:rsidRPr="00E869A4">
        <w:rPr>
          <w:rFonts w:ascii="Times New Roman" w:hAnsi="Times New Roman" w:cs="Times New Roman"/>
        </w:rPr>
        <w:t>, r</w:t>
      </w:r>
      <w:r w:rsidRPr="00E869A4">
        <w:rPr>
          <w:rFonts w:ascii="Times New Roman" w:hAnsi="Times New Roman" w:cs="Times New Roman"/>
        </w:rPr>
        <w:t>ather, it is</w:t>
      </w:r>
      <w:r w:rsidR="00027511" w:rsidRPr="00E869A4">
        <w:rPr>
          <w:rFonts w:ascii="Times New Roman" w:hAnsi="Times New Roman" w:cs="Times New Roman"/>
        </w:rPr>
        <w:t>:</w:t>
      </w:r>
      <w:r w:rsidRPr="00E869A4">
        <w:rPr>
          <w:rFonts w:ascii="Times New Roman" w:hAnsi="Times New Roman" w:cs="Times New Roman"/>
        </w:rPr>
        <w:t xml:space="preserve"> </w:t>
      </w:r>
    </w:p>
    <w:p w14:paraId="7081D672" w14:textId="77777777" w:rsidR="00F86952" w:rsidRPr="00E869A4" w:rsidRDefault="00F86952" w:rsidP="003E23F9">
      <w:pPr>
        <w:autoSpaceDE w:val="0"/>
        <w:autoSpaceDN w:val="0"/>
        <w:adjustRightInd w:val="0"/>
        <w:spacing w:line="240" w:lineRule="auto"/>
        <w:ind w:firstLine="720"/>
        <w:rPr>
          <w:rFonts w:ascii="Times New Roman" w:hAnsi="Times New Roman" w:cs="Times New Roman"/>
        </w:rPr>
      </w:pPr>
    </w:p>
    <w:p w14:paraId="400CD68A" w14:textId="36393923" w:rsidR="00855EB2" w:rsidRPr="00E869A4" w:rsidRDefault="00AE0E9E" w:rsidP="00BC29E0">
      <w:pPr>
        <w:spacing w:line="240" w:lineRule="auto"/>
        <w:ind w:left="567" w:firstLine="0"/>
        <w:rPr>
          <w:rFonts w:ascii="Times New Roman" w:hAnsi="Times New Roman" w:cs="Times New Roman"/>
        </w:rPr>
      </w:pPr>
      <w:r w:rsidRPr="00E869A4">
        <w:rPr>
          <w:rFonts w:ascii="Times New Roman" w:hAnsi="Times New Roman" w:cs="Times New Roman"/>
        </w:rPr>
        <w:t>[A]</w:t>
      </w:r>
      <w:r w:rsidR="00855EB2" w:rsidRPr="00E869A4">
        <w:rPr>
          <w:rFonts w:ascii="Times New Roman" w:hAnsi="Times New Roman" w:cs="Times New Roman"/>
        </w:rPr>
        <w:t xml:space="preserve"> mix of circumstances, experiences, responses, and resources that vary considerably among caregivers and that, consequently, vary in their impact on caregivers' health and behavio</w:t>
      </w:r>
      <w:r w:rsidR="009E1AD0" w:rsidRPr="00E869A4">
        <w:rPr>
          <w:rFonts w:ascii="Times New Roman" w:hAnsi="Times New Roman" w:cs="Times New Roman"/>
        </w:rPr>
        <w:t>u</w:t>
      </w:r>
      <w:r w:rsidR="00855EB2" w:rsidRPr="00E869A4">
        <w:rPr>
          <w:rFonts w:ascii="Times New Roman" w:hAnsi="Times New Roman" w:cs="Times New Roman"/>
        </w:rPr>
        <w:t>r. The mix is not stable; a change in one of its components can result in the change of ot</w:t>
      </w:r>
      <w:r w:rsidR="00BC29E0" w:rsidRPr="00E869A4">
        <w:rPr>
          <w:rFonts w:ascii="Times New Roman" w:hAnsi="Times New Roman" w:cs="Times New Roman"/>
        </w:rPr>
        <w:t>hers</w:t>
      </w:r>
      <w:r w:rsidR="00855EB2" w:rsidRPr="00E869A4">
        <w:rPr>
          <w:rFonts w:ascii="Times New Roman" w:hAnsi="Times New Roman" w:cs="Times New Roman"/>
        </w:rPr>
        <w:t>.</w:t>
      </w:r>
    </w:p>
    <w:p w14:paraId="478F412D" w14:textId="77777777" w:rsidR="00F86952" w:rsidRPr="00E869A4" w:rsidRDefault="00F86952" w:rsidP="003E23F9">
      <w:pPr>
        <w:autoSpaceDE w:val="0"/>
        <w:autoSpaceDN w:val="0"/>
        <w:adjustRightInd w:val="0"/>
        <w:spacing w:line="240" w:lineRule="auto"/>
        <w:ind w:firstLine="720"/>
        <w:rPr>
          <w:rFonts w:ascii="Times New Roman" w:hAnsi="Times New Roman" w:cs="Times New Roman"/>
        </w:rPr>
      </w:pPr>
    </w:p>
    <w:p w14:paraId="5DC43B67" w14:textId="3973D7BB" w:rsidR="00855EB2" w:rsidRPr="00E869A4" w:rsidRDefault="00855EB2" w:rsidP="00A35FF8">
      <w:pPr>
        <w:rPr>
          <w:rFonts w:ascii="Times New Roman" w:hAnsi="Times New Roman" w:cs="Times New Roman"/>
        </w:rPr>
      </w:pPr>
      <w:r w:rsidRPr="00E869A4">
        <w:rPr>
          <w:rFonts w:ascii="Times New Roman" w:hAnsi="Times New Roman" w:cs="Times New Roman"/>
        </w:rPr>
        <w:t>On the related concept of adversity, Dohrenwend defined it as a “calamitous or disastrous experience” and “a condition of suffering, destitution or affliction</w:t>
      </w:r>
      <w:r w:rsidR="00ED4026" w:rsidRPr="00E869A4">
        <w:rPr>
          <w:rFonts w:ascii="Times New Roman" w:hAnsi="Times New Roman" w:cs="Times New Roman"/>
        </w:rPr>
        <w:t>.</w:t>
      </w:r>
      <w:r w:rsidRPr="00E869A4">
        <w:rPr>
          <w:rFonts w:ascii="Times New Roman" w:hAnsi="Times New Roman" w:cs="Times New Roman"/>
        </w:rPr>
        <w:t>”</w:t>
      </w:r>
      <w:r w:rsidR="00AE0E9E" w:rsidRPr="00E869A4">
        <w:rPr>
          <w:rFonts w:ascii="Times New Roman" w:hAnsi="Times New Roman" w:cs="Times New Roman"/>
        </w:rPr>
        <w:t xml:space="preserve"> (Dohrenwend 1998, p </w:t>
      </w:r>
      <w:r w:rsidR="00AD0879" w:rsidRPr="00E869A4">
        <w:rPr>
          <w:rFonts w:ascii="Times New Roman" w:hAnsi="Times New Roman" w:cs="Times New Roman"/>
        </w:rPr>
        <w:t>5</w:t>
      </w:r>
      <w:r w:rsidR="00AE0E9E" w:rsidRPr="00E869A4">
        <w:rPr>
          <w:rFonts w:ascii="Times New Roman" w:hAnsi="Times New Roman" w:cs="Times New Roman"/>
        </w:rPr>
        <w:t>)</w:t>
      </w:r>
      <w:r w:rsidRPr="00E869A4">
        <w:rPr>
          <w:rFonts w:ascii="Times New Roman" w:hAnsi="Times New Roman" w:cs="Times New Roman"/>
        </w:rPr>
        <w:t xml:space="preserve">. Adversity is synonymous with grave or persistent </w:t>
      </w:r>
      <w:r w:rsidR="00C25074" w:rsidRPr="00E869A4">
        <w:rPr>
          <w:rFonts w:ascii="Times New Roman" w:hAnsi="Times New Roman" w:cs="Times New Roman"/>
        </w:rPr>
        <w:t>misfortune, which</w:t>
      </w:r>
      <w:r w:rsidRPr="00E869A4">
        <w:rPr>
          <w:rFonts w:ascii="Times New Roman" w:hAnsi="Times New Roman" w:cs="Times New Roman"/>
        </w:rPr>
        <w:t xml:space="preserve"> “may apply to either the incident or conjunction of events that is the cause of an unhappy change of fortune</w:t>
      </w:r>
      <w:r w:rsidRPr="00E869A4">
        <w:rPr>
          <w:rStyle w:val="FootnoteReference"/>
          <w:rFonts w:ascii="Times New Roman" w:hAnsi="Times New Roman" w:cs="Times New Roman"/>
        </w:rPr>
        <w:footnoteReference w:id="37"/>
      </w:r>
      <w:r w:rsidRPr="00E869A4">
        <w:rPr>
          <w:rFonts w:ascii="Times New Roman" w:hAnsi="Times New Roman" w:cs="Times New Roman"/>
        </w:rPr>
        <w:t xml:space="preserve"> or to the ensuing state of distress”. A potential outcome of adversity is a decrease in wellbeing</w:t>
      </w:r>
      <w:r w:rsidR="009E1AD0" w:rsidRPr="00E869A4">
        <w:rPr>
          <w:rFonts w:ascii="Times New Roman" w:hAnsi="Times New Roman" w:cs="Times New Roman"/>
        </w:rPr>
        <w:t>,</w:t>
      </w:r>
      <w:r w:rsidRPr="00E869A4">
        <w:rPr>
          <w:rFonts w:ascii="Times New Roman" w:hAnsi="Times New Roman" w:cs="Times New Roman"/>
        </w:rPr>
        <w:t xml:space="preserve"> including psychopathology, but there are instances where adversity does not result in this. Factors may modify or amplify the effects/of adverse circumstances. There has been a lot of interest in such factors and in determining how and why some persons are able to cope or be ‘resilient’ in the face of difficulty. I will discuss the concept of resilience in more detail below. </w:t>
      </w:r>
    </w:p>
    <w:p w14:paraId="4C27D960" w14:textId="77777777" w:rsidR="00D968A3" w:rsidRPr="00E869A4" w:rsidRDefault="00D968A3" w:rsidP="00A35FF8">
      <w:pPr>
        <w:rPr>
          <w:rFonts w:ascii="Times New Roman" w:hAnsi="Times New Roman" w:cs="Times New Roman"/>
        </w:rPr>
      </w:pPr>
    </w:p>
    <w:p w14:paraId="2FCB147D" w14:textId="2F80F07E" w:rsidR="00855EB2" w:rsidRPr="00E869A4" w:rsidRDefault="00855EB2" w:rsidP="00A35FF8">
      <w:pPr>
        <w:rPr>
          <w:rFonts w:ascii="Times New Roman" w:hAnsi="Times New Roman" w:cs="Times New Roman"/>
        </w:rPr>
      </w:pPr>
      <w:r w:rsidRPr="00E869A4">
        <w:rPr>
          <w:rFonts w:ascii="Times New Roman" w:hAnsi="Times New Roman" w:cs="Times New Roman"/>
        </w:rPr>
        <w:t>Mattlin and colleagues (1990), drawing on the work of McCrae (1984)</w:t>
      </w:r>
      <w:r w:rsidRPr="00E869A4">
        <w:rPr>
          <w:rFonts w:ascii="Times New Roman" w:hAnsi="Times New Roman" w:cs="Times New Roman"/>
          <w:vertAlign w:val="superscript"/>
        </w:rPr>
        <w:footnoteReference w:id="38"/>
      </w:r>
      <w:r w:rsidRPr="00E869A4">
        <w:rPr>
          <w:rFonts w:ascii="Times New Roman" w:hAnsi="Times New Roman" w:cs="Times New Roman"/>
        </w:rPr>
        <w:t xml:space="preserve"> for their study on the situational determinants of stress and coping, operationali</w:t>
      </w:r>
      <w:r w:rsidR="00636017" w:rsidRPr="00E869A4">
        <w:rPr>
          <w:rFonts w:ascii="Times New Roman" w:hAnsi="Times New Roman" w:cs="Times New Roman"/>
        </w:rPr>
        <w:t>s</w:t>
      </w:r>
      <w:r w:rsidRPr="00E869A4">
        <w:rPr>
          <w:rFonts w:ascii="Times New Roman" w:hAnsi="Times New Roman" w:cs="Times New Roman"/>
        </w:rPr>
        <w:t xml:space="preserve">ed the most stressful situations as falling within the following six categories: 1) </w:t>
      </w:r>
      <w:r w:rsidRPr="00E869A4">
        <w:rPr>
          <w:rFonts w:ascii="Times New Roman" w:hAnsi="Times New Roman" w:cs="Times New Roman"/>
          <w:i/>
        </w:rPr>
        <w:t>Illness</w:t>
      </w:r>
      <w:r w:rsidRPr="00E869A4">
        <w:rPr>
          <w:rFonts w:ascii="Times New Roman" w:hAnsi="Times New Roman" w:cs="Times New Roman"/>
        </w:rPr>
        <w:t xml:space="preserve"> i.e. all illnesses, injuries, and chronic health conditions reported by the respondent as happening to himself or herself; 2) </w:t>
      </w:r>
      <w:r w:rsidRPr="00E869A4">
        <w:rPr>
          <w:rFonts w:ascii="Times New Roman" w:hAnsi="Times New Roman" w:cs="Times New Roman"/>
          <w:i/>
        </w:rPr>
        <w:t>Practical problems</w:t>
      </w:r>
      <w:r w:rsidRPr="00E869A4">
        <w:rPr>
          <w:rFonts w:ascii="Times New Roman" w:hAnsi="Times New Roman" w:cs="Times New Roman"/>
        </w:rPr>
        <w:t xml:space="preserve"> i.e. events such as job losses, legal problems, burglaries, accidents, and financial difficulties; 3) </w:t>
      </w:r>
      <w:r w:rsidRPr="00E869A4">
        <w:rPr>
          <w:rFonts w:ascii="Times New Roman" w:hAnsi="Times New Roman" w:cs="Times New Roman"/>
          <w:i/>
        </w:rPr>
        <w:t>Interpersonal problems</w:t>
      </w:r>
      <w:r w:rsidRPr="00E869A4">
        <w:rPr>
          <w:rFonts w:ascii="Times New Roman" w:hAnsi="Times New Roman" w:cs="Times New Roman"/>
        </w:rPr>
        <w:t xml:space="preserve"> including marital difficulties of the respondent and spouse as well as problems in getting along with other family members and friends; 4) </w:t>
      </w:r>
      <w:r w:rsidRPr="00E869A4">
        <w:rPr>
          <w:rFonts w:ascii="Times New Roman" w:hAnsi="Times New Roman" w:cs="Times New Roman"/>
          <w:i/>
        </w:rPr>
        <w:t>Death</w:t>
      </w:r>
      <w:r w:rsidRPr="00E869A4">
        <w:rPr>
          <w:rFonts w:ascii="Times New Roman" w:hAnsi="Times New Roman" w:cs="Times New Roman"/>
        </w:rPr>
        <w:t xml:space="preserve"> of a loved one; 5) </w:t>
      </w:r>
      <w:r w:rsidRPr="00E869A4">
        <w:rPr>
          <w:rFonts w:ascii="Times New Roman" w:hAnsi="Times New Roman" w:cs="Times New Roman"/>
          <w:i/>
        </w:rPr>
        <w:t>Network illness</w:t>
      </w:r>
      <w:r w:rsidRPr="00E869A4">
        <w:rPr>
          <w:rFonts w:ascii="Times New Roman" w:hAnsi="Times New Roman" w:cs="Times New Roman"/>
        </w:rPr>
        <w:t xml:space="preserve"> i.e. all acute and chronic health conditions of anyone other than the respondent; and</w:t>
      </w:r>
      <w:r w:rsidR="00636017" w:rsidRPr="00E869A4">
        <w:rPr>
          <w:rFonts w:ascii="Times New Roman" w:hAnsi="Times New Roman" w:cs="Times New Roman"/>
        </w:rPr>
        <w:t>,</w:t>
      </w:r>
      <w:r w:rsidRPr="00E869A4">
        <w:rPr>
          <w:rFonts w:ascii="Times New Roman" w:hAnsi="Times New Roman" w:cs="Times New Roman"/>
        </w:rPr>
        <w:t xml:space="preserve"> 6) </w:t>
      </w:r>
      <w:r w:rsidRPr="00E869A4">
        <w:rPr>
          <w:rFonts w:ascii="Times New Roman" w:hAnsi="Times New Roman" w:cs="Times New Roman"/>
          <w:i/>
        </w:rPr>
        <w:t>Network other</w:t>
      </w:r>
      <w:r w:rsidRPr="00E869A4">
        <w:rPr>
          <w:rFonts w:ascii="Times New Roman" w:hAnsi="Times New Roman" w:cs="Times New Roman"/>
        </w:rPr>
        <w:t xml:space="preserve"> which includes all other problems reported as happening to someone other than the respondent. These categories are a useful summation of the main factors identified in most research on this subject. Since all these factors are implicated in most </w:t>
      </w:r>
      <w:r w:rsidRPr="00E869A4">
        <w:rPr>
          <w:rFonts w:ascii="Times New Roman" w:hAnsi="Times New Roman" w:cs="Times New Roman"/>
        </w:rPr>
        <w:lastRenderedPageBreak/>
        <w:t xml:space="preserve">care relationships, it is not surprising that, as was discussed earlier, significant attention has been placed on the negative aspects of caregiving. </w:t>
      </w:r>
      <w:r w:rsidR="00C25074" w:rsidRPr="00E869A4">
        <w:rPr>
          <w:rFonts w:ascii="Times New Roman" w:hAnsi="Times New Roman" w:cs="Times New Roman"/>
        </w:rPr>
        <w:t>However</w:t>
      </w:r>
      <w:r w:rsidRPr="00E869A4">
        <w:rPr>
          <w:rFonts w:ascii="Times New Roman" w:hAnsi="Times New Roman" w:cs="Times New Roman"/>
        </w:rPr>
        <w:t xml:space="preserve">, as was argued, more attention must also be </w:t>
      </w:r>
      <w:r w:rsidR="00DB7D83" w:rsidRPr="00E869A4">
        <w:rPr>
          <w:rFonts w:ascii="Times New Roman" w:hAnsi="Times New Roman" w:cs="Times New Roman"/>
        </w:rPr>
        <w:t>given to</w:t>
      </w:r>
      <w:r w:rsidRPr="00E869A4">
        <w:rPr>
          <w:rFonts w:ascii="Times New Roman" w:hAnsi="Times New Roman" w:cs="Times New Roman"/>
        </w:rPr>
        <w:t xml:space="preserve"> the adaptive strategies employed by all parties in the caregiving relationship </w:t>
      </w:r>
      <w:r w:rsidR="00DB7D83" w:rsidRPr="00E869A4">
        <w:rPr>
          <w:rFonts w:ascii="Times New Roman" w:hAnsi="Times New Roman" w:cs="Times New Roman"/>
        </w:rPr>
        <w:t xml:space="preserve">in order </w:t>
      </w:r>
      <w:r w:rsidRPr="00E869A4">
        <w:rPr>
          <w:rFonts w:ascii="Times New Roman" w:hAnsi="Times New Roman" w:cs="Times New Roman"/>
        </w:rPr>
        <w:t xml:space="preserve">to overcome these adverse circumstances.  </w:t>
      </w:r>
    </w:p>
    <w:p w14:paraId="1CDDC65F" w14:textId="77777777" w:rsidR="00D968A3" w:rsidRPr="00E869A4" w:rsidRDefault="00D968A3" w:rsidP="00A35FF8">
      <w:pPr>
        <w:rPr>
          <w:rFonts w:ascii="Times New Roman" w:hAnsi="Times New Roman" w:cs="Times New Roman"/>
        </w:rPr>
      </w:pPr>
    </w:p>
    <w:p w14:paraId="6C4EAFF4" w14:textId="09155E6C" w:rsidR="00D06B2D" w:rsidRPr="00E869A4" w:rsidRDefault="00855EB2" w:rsidP="00A35FF8">
      <w:pPr>
        <w:rPr>
          <w:rFonts w:ascii="Times New Roman" w:hAnsi="Times New Roman" w:cs="Times New Roman"/>
        </w:rPr>
      </w:pPr>
      <w:r w:rsidRPr="00E869A4">
        <w:rPr>
          <w:rFonts w:ascii="Times New Roman" w:hAnsi="Times New Roman" w:cs="Times New Roman"/>
        </w:rPr>
        <w:t>The multi-dimensional nature of stress and coping has long been established in the literature. As Hobfoll observed</w:t>
      </w:r>
      <w:r w:rsidR="00167852" w:rsidRPr="00E869A4">
        <w:rPr>
          <w:rFonts w:ascii="Times New Roman" w:hAnsi="Times New Roman" w:cs="Times New Roman"/>
        </w:rPr>
        <w:t xml:space="preserve">, </w:t>
      </w:r>
      <w:r w:rsidRPr="00E869A4">
        <w:rPr>
          <w:rFonts w:ascii="Times New Roman" w:hAnsi="Times New Roman" w:cs="Times New Roman"/>
        </w:rPr>
        <w:t>“</w:t>
      </w:r>
      <w:r w:rsidR="00167852" w:rsidRPr="00E869A4">
        <w:rPr>
          <w:rFonts w:ascii="Times New Roman" w:hAnsi="Times New Roman" w:cs="Times New Roman"/>
        </w:rPr>
        <w:t>[h]</w:t>
      </w:r>
      <w:r w:rsidRPr="00E869A4">
        <w:rPr>
          <w:rFonts w:ascii="Times New Roman" w:hAnsi="Times New Roman" w:cs="Times New Roman"/>
        </w:rPr>
        <w:t>ow people respond to challenges from their environment can be seen as a function of their personality, constitution, perceptions, and the context in which the stressor occurs</w:t>
      </w:r>
      <w:r w:rsidR="00337119" w:rsidRPr="00E869A4">
        <w:rPr>
          <w:rFonts w:ascii="Times New Roman" w:hAnsi="Times New Roman" w:cs="Times New Roman"/>
        </w:rPr>
        <w:t>.</w:t>
      </w:r>
      <w:r w:rsidRPr="00E869A4">
        <w:rPr>
          <w:rFonts w:ascii="Times New Roman" w:hAnsi="Times New Roman" w:cs="Times New Roman"/>
        </w:rPr>
        <w:t>”</w:t>
      </w:r>
      <w:r w:rsidR="00167852" w:rsidRPr="00E869A4">
        <w:rPr>
          <w:rFonts w:ascii="Times New Roman" w:hAnsi="Times New Roman" w:cs="Times New Roman"/>
        </w:rPr>
        <w:t xml:space="preserve"> (Hobfoll 1989, p. 513)</w:t>
      </w:r>
      <w:r w:rsidRPr="00E869A4">
        <w:rPr>
          <w:rFonts w:ascii="Times New Roman" w:hAnsi="Times New Roman" w:cs="Times New Roman"/>
        </w:rPr>
        <w:t>. The interrelated influences of both agency and structure, personal, psychological, physiological and social factors on coping ha</w:t>
      </w:r>
      <w:r w:rsidR="00F7346D" w:rsidRPr="00E869A4">
        <w:rPr>
          <w:rFonts w:ascii="Times New Roman" w:hAnsi="Times New Roman" w:cs="Times New Roman"/>
        </w:rPr>
        <w:t>ve</w:t>
      </w:r>
      <w:r w:rsidRPr="00E869A4">
        <w:rPr>
          <w:rFonts w:ascii="Times New Roman" w:hAnsi="Times New Roman" w:cs="Times New Roman"/>
        </w:rPr>
        <w:t xml:space="preserve"> resulted in overlaps and blurred distinctions as to what the term means in the fields of sociology and psychology. In psychology, coping is largely associated with emotional and </w:t>
      </w:r>
      <w:r w:rsidR="00167852" w:rsidRPr="00E869A4">
        <w:rPr>
          <w:rFonts w:ascii="Times New Roman" w:hAnsi="Times New Roman" w:cs="Times New Roman"/>
        </w:rPr>
        <w:t>“</w:t>
      </w:r>
      <w:r w:rsidRPr="00E869A4">
        <w:rPr>
          <w:rFonts w:ascii="Times New Roman" w:hAnsi="Times New Roman" w:cs="Times New Roman"/>
        </w:rPr>
        <w:t>cognitive processes</w:t>
      </w:r>
      <w:r w:rsidR="00167852" w:rsidRPr="00E869A4">
        <w:rPr>
          <w:rFonts w:ascii="Times New Roman" w:hAnsi="Times New Roman" w:cs="Times New Roman"/>
        </w:rPr>
        <w:t>”</w:t>
      </w:r>
      <w:r w:rsidRPr="00E869A4">
        <w:rPr>
          <w:rFonts w:ascii="Times New Roman" w:hAnsi="Times New Roman" w:cs="Times New Roman"/>
        </w:rPr>
        <w:t xml:space="preserve"> whereby an individual learns to tolerate or put up with negative experiences and maintain a feeling of personal worth, a </w:t>
      </w:r>
      <w:r w:rsidR="00167852" w:rsidRPr="00E869A4">
        <w:rPr>
          <w:rFonts w:ascii="Times New Roman" w:hAnsi="Times New Roman" w:cs="Times New Roman"/>
        </w:rPr>
        <w:t>“</w:t>
      </w:r>
      <w:r w:rsidRPr="00E869A4">
        <w:rPr>
          <w:rFonts w:ascii="Times New Roman" w:hAnsi="Times New Roman" w:cs="Times New Roman"/>
        </w:rPr>
        <w:t>sense of coherence</w:t>
      </w:r>
      <w:r w:rsidR="00167852" w:rsidRPr="00E869A4">
        <w:rPr>
          <w:rFonts w:ascii="Times New Roman" w:hAnsi="Times New Roman" w:cs="Times New Roman"/>
        </w:rPr>
        <w:t>”</w:t>
      </w:r>
      <w:r w:rsidRPr="00E869A4">
        <w:rPr>
          <w:rFonts w:ascii="Times New Roman" w:hAnsi="Times New Roman" w:cs="Times New Roman"/>
        </w:rPr>
        <w:t xml:space="preserve">, and meaning in life, </w:t>
      </w:r>
      <w:r w:rsidR="00BB7219" w:rsidRPr="00E869A4">
        <w:rPr>
          <w:rFonts w:ascii="Times New Roman" w:hAnsi="Times New Roman" w:cs="Times New Roman"/>
        </w:rPr>
        <w:t>in the face of disruption (Bury</w:t>
      </w:r>
      <w:r w:rsidRPr="00E869A4">
        <w:rPr>
          <w:rFonts w:ascii="Times New Roman" w:hAnsi="Times New Roman" w:cs="Times New Roman"/>
        </w:rPr>
        <w:t xml:space="preserve"> 1991). </w:t>
      </w:r>
    </w:p>
    <w:p w14:paraId="052D9966" w14:textId="77777777" w:rsidR="00D06B2D" w:rsidRPr="00E869A4" w:rsidRDefault="00D06B2D" w:rsidP="00A35FF8">
      <w:pPr>
        <w:rPr>
          <w:rFonts w:ascii="Times New Roman" w:hAnsi="Times New Roman" w:cs="Times New Roman"/>
        </w:rPr>
      </w:pPr>
    </w:p>
    <w:p w14:paraId="2A91B121" w14:textId="7D52329D" w:rsidR="00855EB2" w:rsidRPr="00E869A4" w:rsidRDefault="00855EB2" w:rsidP="00A35FF8">
      <w:pPr>
        <w:rPr>
          <w:rFonts w:ascii="Times New Roman" w:hAnsi="Times New Roman" w:cs="Times New Roman"/>
        </w:rPr>
      </w:pPr>
      <w:r w:rsidRPr="00E869A4">
        <w:rPr>
          <w:rFonts w:ascii="Times New Roman" w:hAnsi="Times New Roman" w:cs="Times New Roman"/>
        </w:rPr>
        <w:t>In sociology, coping is also used to refer to the alleviation of stress (Pearlin 1989) but gives focused attention to the social aspects of coping which include: a) the interpersonal nature of coping i.e. how coping occurs in a relationship between two persons</w:t>
      </w:r>
      <w:r w:rsidR="00C81067" w:rsidRPr="00E869A4">
        <w:rPr>
          <w:rFonts w:ascii="Times New Roman" w:hAnsi="Times New Roman" w:cs="Times New Roman"/>
        </w:rPr>
        <w:t>;</w:t>
      </w:r>
      <w:r w:rsidRPr="00E869A4">
        <w:rPr>
          <w:rFonts w:ascii="Times New Roman" w:hAnsi="Times New Roman" w:cs="Times New Roman"/>
        </w:rPr>
        <w:t xml:space="preserve"> and</w:t>
      </w:r>
      <w:r w:rsidR="00C81067" w:rsidRPr="00E869A4">
        <w:rPr>
          <w:rFonts w:ascii="Times New Roman" w:hAnsi="Times New Roman" w:cs="Times New Roman"/>
        </w:rPr>
        <w:t>,</w:t>
      </w:r>
      <w:r w:rsidRPr="00E869A4">
        <w:rPr>
          <w:rFonts w:ascii="Times New Roman" w:hAnsi="Times New Roman" w:cs="Times New Roman"/>
        </w:rPr>
        <w:t xml:space="preserve"> b) communal coping which refers to coping responses that are “influenced by and in reaction to the social context</w:t>
      </w:r>
      <w:r w:rsidR="00337119" w:rsidRPr="00E869A4">
        <w:rPr>
          <w:rFonts w:ascii="Times New Roman" w:hAnsi="Times New Roman" w:cs="Times New Roman"/>
        </w:rPr>
        <w:t>.</w:t>
      </w:r>
      <w:r w:rsidRPr="00E869A4">
        <w:rPr>
          <w:rFonts w:ascii="Times New Roman" w:hAnsi="Times New Roman" w:cs="Times New Roman"/>
        </w:rPr>
        <w:t>” (Folkman &amp; Moskowitz 2004</w:t>
      </w:r>
      <w:r w:rsidR="00D64EA3" w:rsidRPr="00E869A4">
        <w:rPr>
          <w:rFonts w:ascii="Times New Roman" w:hAnsi="Times New Roman" w:cs="Times New Roman"/>
        </w:rPr>
        <w:t xml:space="preserve"> cited in Mojica 2016,</w:t>
      </w:r>
      <w:r w:rsidR="00167852" w:rsidRPr="00E869A4">
        <w:rPr>
          <w:rFonts w:ascii="Times New Roman" w:hAnsi="Times New Roman" w:cs="Times New Roman"/>
        </w:rPr>
        <w:t xml:space="preserve"> p. </w:t>
      </w:r>
      <w:r w:rsidR="00D64EA3" w:rsidRPr="00E869A4">
        <w:rPr>
          <w:rFonts w:ascii="Times New Roman" w:hAnsi="Times New Roman" w:cs="Times New Roman"/>
        </w:rPr>
        <w:t>21</w:t>
      </w:r>
      <w:r w:rsidRPr="00E869A4">
        <w:rPr>
          <w:rFonts w:ascii="Times New Roman" w:hAnsi="Times New Roman" w:cs="Times New Roman"/>
        </w:rPr>
        <w:t>). From a sociological perspective, coping is “learned from one’s membership and reference groups in the same ways as other behaviours are learned</w:t>
      </w:r>
      <w:r w:rsidR="00BB7219" w:rsidRPr="00E869A4">
        <w:rPr>
          <w:rFonts w:ascii="Times New Roman" w:hAnsi="Times New Roman" w:cs="Times New Roman"/>
        </w:rPr>
        <w:t xml:space="preserve"> or internalized” (Pearlin 1989, p. 250</w:t>
      </w:r>
      <w:r w:rsidRPr="00E869A4">
        <w:rPr>
          <w:rFonts w:ascii="Times New Roman" w:hAnsi="Times New Roman" w:cs="Times New Roman"/>
        </w:rPr>
        <w:t>). Thus, the emphasis is on the “forms of coping and the social values and factors that affect its choice of utilizati</w:t>
      </w:r>
      <w:r w:rsidR="00BB7219" w:rsidRPr="00E869A4">
        <w:rPr>
          <w:rFonts w:ascii="Times New Roman" w:hAnsi="Times New Roman" w:cs="Times New Roman"/>
        </w:rPr>
        <w:t>on by various people</w:t>
      </w:r>
      <w:r w:rsidR="00337119" w:rsidRPr="00E869A4">
        <w:rPr>
          <w:rFonts w:ascii="Times New Roman" w:hAnsi="Times New Roman" w:cs="Times New Roman"/>
        </w:rPr>
        <w:t>.</w:t>
      </w:r>
      <w:r w:rsidR="00BB7219" w:rsidRPr="00E869A4">
        <w:rPr>
          <w:rFonts w:ascii="Times New Roman" w:hAnsi="Times New Roman" w:cs="Times New Roman"/>
        </w:rPr>
        <w:t xml:space="preserve">” (Cornell </w:t>
      </w:r>
      <w:r w:rsidRPr="00E869A4">
        <w:rPr>
          <w:rFonts w:ascii="Times New Roman" w:hAnsi="Times New Roman" w:cs="Times New Roman"/>
        </w:rPr>
        <w:t>2014</w:t>
      </w:r>
      <w:r w:rsidR="00BB7219" w:rsidRPr="00E869A4">
        <w:rPr>
          <w:rFonts w:ascii="Times New Roman" w:hAnsi="Times New Roman" w:cs="Times New Roman"/>
        </w:rPr>
        <w:t>, p.</w:t>
      </w:r>
      <w:r w:rsidRPr="00E869A4">
        <w:rPr>
          <w:rFonts w:ascii="Times New Roman" w:hAnsi="Times New Roman" w:cs="Times New Roman"/>
        </w:rPr>
        <w:t xml:space="preserve"> 7).</w:t>
      </w:r>
    </w:p>
    <w:p w14:paraId="32451502" w14:textId="77777777" w:rsidR="00D968A3" w:rsidRPr="00E869A4" w:rsidRDefault="00D968A3" w:rsidP="00A35FF8">
      <w:pPr>
        <w:rPr>
          <w:rFonts w:ascii="Times New Roman" w:hAnsi="Times New Roman" w:cs="Times New Roman"/>
        </w:rPr>
      </w:pPr>
    </w:p>
    <w:p w14:paraId="1F43B549" w14:textId="77777777" w:rsidR="00855EB2" w:rsidRPr="00E869A4" w:rsidRDefault="00855EB2" w:rsidP="004E2181">
      <w:pPr>
        <w:pStyle w:val="Heading4"/>
      </w:pPr>
      <w:bookmarkStart w:id="221" w:name="_Toc505945222"/>
      <w:r w:rsidRPr="00E869A4">
        <w:t>Coping as Strategy or Care Management</w:t>
      </w:r>
      <w:bookmarkEnd w:id="221"/>
    </w:p>
    <w:p w14:paraId="038E76E8" w14:textId="77777777" w:rsidR="00D968A3" w:rsidRPr="00E869A4" w:rsidRDefault="00D968A3" w:rsidP="0051234F">
      <w:pPr>
        <w:pStyle w:val="112"/>
        <w:rPr>
          <w:color w:val="auto"/>
        </w:rPr>
      </w:pPr>
    </w:p>
    <w:p w14:paraId="0B745D67" w14:textId="50A1C0A5"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The overlaps and blurred use of the concept in psychology and sociology has stimulated social researchers such as Bury to suggest an overhauling of how the term </w:t>
      </w:r>
      <w:r w:rsidR="00D06B2D" w:rsidRPr="00E869A4">
        <w:rPr>
          <w:rFonts w:ascii="Times New Roman" w:hAnsi="Times New Roman" w:cs="Times New Roman"/>
        </w:rPr>
        <w:t>i</w:t>
      </w:r>
      <w:r w:rsidRPr="00E869A4">
        <w:rPr>
          <w:rFonts w:ascii="Times New Roman" w:hAnsi="Times New Roman" w:cs="Times New Roman"/>
        </w:rPr>
        <w:t xml:space="preserve">s used. More specifically, Bury recommended that the term </w:t>
      </w:r>
      <w:r w:rsidR="00D06B2D" w:rsidRPr="00E869A4">
        <w:rPr>
          <w:rFonts w:ascii="Times New Roman" w:hAnsi="Times New Roman" w:cs="Times New Roman"/>
        </w:rPr>
        <w:t>‘</w:t>
      </w:r>
      <w:r w:rsidRPr="00E869A4">
        <w:rPr>
          <w:rFonts w:ascii="Times New Roman" w:hAnsi="Times New Roman" w:cs="Times New Roman"/>
        </w:rPr>
        <w:t>coping</w:t>
      </w:r>
      <w:r w:rsidR="00D06B2D" w:rsidRPr="00E869A4">
        <w:rPr>
          <w:rFonts w:ascii="Times New Roman" w:hAnsi="Times New Roman" w:cs="Times New Roman"/>
        </w:rPr>
        <w:t>’</w:t>
      </w:r>
      <w:r w:rsidRPr="00E869A4">
        <w:rPr>
          <w:rFonts w:ascii="Times New Roman" w:hAnsi="Times New Roman" w:cs="Times New Roman"/>
        </w:rPr>
        <w:t xml:space="preserve"> be relegated to the attitudes people have, and another term such as </w:t>
      </w:r>
      <w:r w:rsidR="00EB7A63" w:rsidRPr="00E869A4">
        <w:rPr>
          <w:rFonts w:ascii="Times New Roman" w:hAnsi="Times New Roman" w:cs="Times New Roman"/>
        </w:rPr>
        <w:t>‘</w:t>
      </w:r>
      <w:r w:rsidRPr="00E869A4">
        <w:rPr>
          <w:rFonts w:ascii="Times New Roman" w:hAnsi="Times New Roman" w:cs="Times New Roman"/>
        </w:rPr>
        <w:t>strategy</w:t>
      </w:r>
      <w:r w:rsidR="00EB7A63" w:rsidRPr="00E869A4">
        <w:rPr>
          <w:rFonts w:ascii="Times New Roman" w:hAnsi="Times New Roman" w:cs="Times New Roman"/>
        </w:rPr>
        <w:t>’ or ‘</w:t>
      </w:r>
      <w:r w:rsidRPr="00E869A4">
        <w:rPr>
          <w:rFonts w:ascii="Times New Roman" w:hAnsi="Times New Roman" w:cs="Times New Roman"/>
        </w:rPr>
        <w:t>strategic management</w:t>
      </w:r>
      <w:r w:rsidR="00EB7A63" w:rsidRPr="00E869A4">
        <w:rPr>
          <w:rFonts w:ascii="Times New Roman" w:hAnsi="Times New Roman" w:cs="Times New Roman"/>
        </w:rPr>
        <w:t>’</w:t>
      </w:r>
      <w:r w:rsidRPr="00E869A4">
        <w:rPr>
          <w:rFonts w:ascii="Times New Roman" w:hAnsi="Times New Roman" w:cs="Times New Roman"/>
        </w:rPr>
        <w:t xml:space="preserve"> should be used to refer to the actions people take to overcome challenges. Strategy or strategic management, he argued in contrast to </w:t>
      </w:r>
      <w:r w:rsidR="00897B03" w:rsidRPr="00E869A4">
        <w:rPr>
          <w:rFonts w:ascii="Times New Roman" w:hAnsi="Times New Roman" w:cs="Times New Roman"/>
        </w:rPr>
        <w:t>‘</w:t>
      </w:r>
      <w:r w:rsidRPr="00E869A4">
        <w:rPr>
          <w:rFonts w:ascii="Times New Roman" w:hAnsi="Times New Roman" w:cs="Times New Roman"/>
        </w:rPr>
        <w:t>coping</w:t>
      </w:r>
      <w:r w:rsidR="00897B03" w:rsidRPr="00E869A4">
        <w:rPr>
          <w:rFonts w:ascii="Times New Roman" w:hAnsi="Times New Roman" w:cs="Times New Roman"/>
        </w:rPr>
        <w:t>’</w:t>
      </w:r>
      <w:r w:rsidRPr="00E869A4">
        <w:rPr>
          <w:rFonts w:ascii="Times New Roman" w:hAnsi="Times New Roman" w:cs="Times New Roman"/>
        </w:rPr>
        <w:t xml:space="preserve">, or the “rather confusing </w:t>
      </w:r>
      <w:r w:rsidRPr="00E869A4">
        <w:rPr>
          <w:rFonts w:ascii="Times New Roman" w:hAnsi="Times New Roman" w:cs="Times New Roman"/>
        </w:rPr>
        <w:lastRenderedPageBreak/>
        <w:t>use of such terms as ‘coping strategies</w:t>
      </w:r>
      <w:r w:rsidR="00636017" w:rsidRPr="00E869A4">
        <w:rPr>
          <w:rFonts w:ascii="Times New Roman" w:hAnsi="Times New Roman" w:cs="Times New Roman"/>
        </w:rPr>
        <w:t>’</w:t>
      </w:r>
      <w:r w:rsidRPr="00E869A4">
        <w:rPr>
          <w:rFonts w:ascii="Times New Roman" w:hAnsi="Times New Roman" w:cs="Times New Roman"/>
        </w:rPr>
        <w:t xml:space="preserve"> or ‘social coping</w:t>
      </w:r>
      <w:r w:rsidR="00636017" w:rsidRPr="00E869A4">
        <w:rPr>
          <w:rFonts w:ascii="Times New Roman" w:hAnsi="Times New Roman" w:cs="Times New Roman"/>
        </w:rPr>
        <w:t>’</w:t>
      </w:r>
      <w:r w:rsidRPr="00E869A4">
        <w:rPr>
          <w:rFonts w:ascii="Times New Roman" w:hAnsi="Times New Roman" w:cs="Times New Roman"/>
        </w:rPr>
        <w:t xml:space="preserve"> … in the literature</w:t>
      </w:r>
      <w:r w:rsidR="00C81067" w:rsidRPr="00E869A4">
        <w:rPr>
          <w:rFonts w:ascii="Times New Roman" w:hAnsi="Times New Roman" w:cs="Times New Roman"/>
        </w:rPr>
        <w:t xml:space="preserve"> </w:t>
      </w:r>
      <w:r w:rsidRPr="00E869A4">
        <w:rPr>
          <w:rFonts w:ascii="Times New Roman" w:hAnsi="Times New Roman" w:cs="Times New Roman"/>
        </w:rPr>
        <w:t>… directs attention to the actions people take, or what people do in the face of illness, rather than the attitudes people develop</w:t>
      </w:r>
      <w:r w:rsidR="00E82F97" w:rsidRPr="00E869A4">
        <w:rPr>
          <w:rFonts w:ascii="Times New Roman" w:hAnsi="Times New Roman" w:cs="Times New Roman"/>
        </w:rPr>
        <w:t>.</w:t>
      </w:r>
      <w:r w:rsidRPr="00E869A4">
        <w:rPr>
          <w:rFonts w:ascii="Times New Roman" w:hAnsi="Times New Roman" w:cs="Times New Roman"/>
        </w:rPr>
        <w:t>” (</w:t>
      </w:r>
      <w:r w:rsidR="00167852" w:rsidRPr="00E869A4">
        <w:rPr>
          <w:rFonts w:ascii="Times New Roman" w:hAnsi="Times New Roman" w:cs="Times New Roman"/>
        </w:rPr>
        <w:t xml:space="preserve">Bury 1991, </w:t>
      </w:r>
      <w:r w:rsidRPr="00E869A4">
        <w:rPr>
          <w:rFonts w:ascii="Times New Roman" w:hAnsi="Times New Roman" w:cs="Times New Roman"/>
        </w:rPr>
        <w:t>p. 461 - 462). Since strategy refers to “actions taken to mobilise resources and maximise favourable outcomes” he proposed that this is in fact the better term for what most researchers referred to as coping. Bury also underscored “the need for a dynamic view of choice and constraint, as people attempt to weigh up alternative forms of action</w:t>
      </w:r>
      <w:r w:rsidR="00E82F97" w:rsidRPr="00E869A4">
        <w:rPr>
          <w:rFonts w:ascii="Times New Roman" w:hAnsi="Times New Roman" w:cs="Times New Roman"/>
        </w:rPr>
        <w:t>.</w:t>
      </w:r>
      <w:r w:rsidRPr="00E869A4">
        <w:rPr>
          <w:rFonts w:ascii="Times New Roman" w:hAnsi="Times New Roman" w:cs="Times New Roman"/>
        </w:rPr>
        <w:t>” (</w:t>
      </w:r>
      <w:r w:rsidR="00167852" w:rsidRPr="00E869A4">
        <w:rPr>
          <w:rFonts w:ascii="Times New Roman" w:hAnsi="Times New Roman" w:cs="Times New Roman"/>
        </w:rPr>
        <w:t xml:space="preserve">Bury 1991, </w:t>
      </w:r>
      <w:r w:rsidRPr="00E869A4">
        <w:rPr>
          <w:rFonts w:ascii="Times New Roman" w:hAnsi="Times New Roman" w:cs="Times New Roman"/>
        </w:rPr>
        <w:t xml:space="preserve">p. 462). Whilst the increased attention to dynamism and action as proposed by Bury is applaudable, I am of the view that the use of the term strategy or strategic management minus the term </w:t>
      </w:r>
      <w:r w:rsidR="00C81067" w:rsidRPr="00E869A4">
        <w:rPr>
          <w:rFonts w:ascii="Times New Roman" w:hAnsi="Times New Roman" w:cs="Times New Roman"/>
        </w:rPr>
        <w:t>care</w:t>
      </w:r>
      <w:r w:rsidR="00D06B2D" w:rsidRPr="00E869A4">
        <w:rPr>
          <w:rFonts w:ascii="Times New Roman" w:hAnsi="Times New Roman" w:cs="Times New Roman"/>
        </w:rPr>
        <w:t>,</w:t>
      </w:r>
      <w:r w:rsidRPr="00E869A4">
        <w:rPr>
          <w:rFonts w:ascii="Times New Roman" w:hAnsi="Times New Roman" w:cs="Times New Roman"/>
        </w:rPr>
        <w:t xml:space="preserve"> transfers the problem of terminology to other disciplines such as management and administration. </w:t>
      </w:r>
    </w:p>
    <w:p w14:paraId="0A2FF7F6" w14:textId="77777777" w:rsidR="00D968A3" w:rsidRPr="00E869A4" w:rsidRDefault="00D968A3" w:rsidP="00A35FF8">
      <w:pPr>
        <w:rPr>
          <w:rFonts w:ascii="Times New Roman" w:hAnsi="Times New Roman" w:cs="Times New Roman"/>
        </w:rPr>
      </w:pPr>
    </w:p>
    <w:p w14:paraId="6D484D0A" w14:textId="0C1C33E5" w:rsidR="00943354" w:rsidRPr="00E869A4" w:rsidRDefault="00855EB2" w:rsidP="00A35FF8">
      <w:pPr>
        <w:rPr>
          <w:rFonts w:ascii="Times New Roman" w:hAnsi="Times New Roman" w:cs="Times New Roman"/>
        </w:rPr>
      </w:pPr>
      <w:r w:rsidRPr="00E869A4">
        <w:rPr>
          <w:rFonts w:ascii="Times New Roman" w:hAnsi="Times New Roman" w:cs="Times New Roman"/>
        </w:rPr>
        <w:t xml:space="preserve">Aldwin also observed that coping in the social science literature was conceptualised as </w:t>
      </w:r>
      <w:r w:rsidR="00C25074" w:rsidRPr="00E869A4">
        <w:rPr>
          <w:rFonts w:ascii="Times New Roman" w:hAnsi="Times New Roman" w:cs="Times New Roman"/>
        </w:rPr>
        <w:t>strategies that</w:t>
      </w:r>
      <w:r w:rsidRPr="00E869A4">
        <w:rPr>
          <w:rFonts w:ascii="Times New Roman" w:hAnsi="Times New Roman" w:cs="Times New Roman"/>
        </w:rPr>
        <w:t xml:space="preserve"> “are thought to consist of both cognitions and </w:t>
      </w:r>
      <w:r w:rsidR="00C958D8" w:rsidRPr="00E869A4">
        <w:rPr>
          <w:rFonts w:ascii="Times New Roman" w:hAnsi="Times New Roman" w:cs="Times New Roman"/>
        </w:rPr>
        <w:t>behaviours</w:t>
      </w:r>
      <w:r w:rsidRPr="00E869A4">
        <w:rPr>
          <w:rFonts w:ascii="Times New Roman" w:hAnsi="Times New Roman" w:cs="Times New Roman"/>
        </w:rPr>
        <w:t xml:space="preserve"> that are directed at </w:t>
      </w:r>
      <w:r w:rsidR="00943354" w:rsidRPr="00E869A4">
        <w:rPr>
          <w:rFonts w:ascii="Times New Roman" w:hAnsi="Times New Roman" w:cs="Times New Roman"/>
        </w:rPr>
        <w:t>managing</w:t>
      </w:r>
      <w:r w:rsidRPr="00E869A4">
        <w:rPr>
          <w:rFonts w:ascii="Times New Roman" w:hAnsi="Times New Roman" w:cs="Times New Roman"/>
        </w:rPr>
        <w:t xml:space="preserve"> a problem and its attendant negative emotions</w:t>
      </w:r>
      <w:r w:rsidR="00E82F97" w:rsidRPr="00E869A4">
        <w:rPr>
          <w:rFonts w:ascii="Times New Roman" w:hAnsi="Times New Roman" w:cs="Times New Roman"/>
        </w:rPr>
        <w:t>.</w:t>
      </w:r>
      <w:r w:rsidRPr="00E869A4">
        <w:rPr>
          <w:rFonts w:ascii="Times New Roman" w:hAnsi="Times New Roman" w:cs="Times New Roman"/>
        </w:rPr>
        <w:t>”</w:t>
      </w:r>
      <w:r w:rsidR="00167852" w:rsidRPr="00E869A4">
        <w:rPr>
          <w:rFonts w:ascii="Times New Roman" w:hAnsi="Times New Roman" w:cs="Times New Roman"/>
        </w:rPr>
        <w:t xml:space="preserve"> (Aldwin 2007, p. 96)</w:t>
      </w:r>
      <w:r w:rsidRPr="00E869A4">
        <w:rPr>
          <w:rFonts w:ascii="Times New Roman" w:hAnsi="Times New Roman" w:cs="Times New Roman"/>
        </w:rPr>
        <w:t>. Aldwin agreed with the distinction between coping and management and suggest</w:t>
      </w:r>
      <w:r w:rsidR="00897B03" w:rsidRPr="00E869A4">
        <w:rPr>
          <w:rFonts w:ascii="Times New Roman" w:hAnsi="Times New Roman" w:cs="Times New Roman"/>
        </w:rPr>
        <w:t>ed</w:t>
      </w:r>
      <w:r w:rsidRPr="00E869A4">
        <w:rPr>
          <w:rFonts w:ascii="Times New Roman" w:hAnsi="Times New Roman" w:cs="Times New Roman"/>
        </w:rPr>
        <w:t xml:space="preserve"> that once a person has mastered the task (e.g. driving on the freeway) it becomes more of a managemen</w:t>
      </w:r>
      <w:r w:rsidR="001C2A6D" w:rsidRPr="00E869A4">
        <w:rPr>
          <w:rFonts w:ascii="Times New Roman" w:hAnsi="Times New Roman" w:cs="Times New Roman"/>
        </w:rPr>
        <w:t xml:space="preserve">t skill than a coping </w:t>
      </w:r>
      <w:r w:rsidR="007E3F44" w:rsidRPr="00E869A4">
        <w:rPr>
          <w:rFonts w:ascii="Times New Roman" w:hAnsi="Times New Roman" w:cs="Times New Roman"/>
        </w:rPr>
        <w:t>behaviour</w:t>
      </w:r>
      <w:r w:rsidRPr="00E869A4">
        <w:rPr>
          <w:rFonts w:ascii="Times New Roman" w:hAnsi="Times New Roman" w:cs="Times New Roman"/>
        </w:rPr>
        <w:t xml:space="preserve">. She defined </w:t>
      </w:r>
      <w:r w:rsidR="00897B03" w:rsidRPr="00E869A4">
        <w:rPr>
          <w:rFonts w:ascii="Times New Roman" w:hAnsi="Times New Roman" w:cs="Times New Roman"/>
        </w:rPr>
        <w:t>‘</w:t>
      </w:r>
      <w:r w:rsidRPr="00E869A4">
        <w:rPr>
          <w:rFonts w:ascii="Times New Roman" w:hAnsi="Times New Roman" w:cs="Times New Roman"/>
        </w:rPr>
        <w:t>life management skills</w:t>
      </w:r>
      <w:r w:rsidR="00897B03" w:rsidRPr="00E869A4">
        <w:rPr>
          <w:rFonts w:ascii="Times New Roman" w:hAnsi="Times New Roman" w:cs="Times New Roman"/>
        </w:rPr>
        <w:t>’</w:t>
      </w:r>
      <w:r w:rsidRPr="00E869A4">
        <w:rPr>
          <w:rFonts w:ascii="Times New Roman" w:hAnsi="Times New Roman" w:cs="Times New Roman"/>
        </w:rPr>
        <w:t xml:space="preserve"> as “routinized and everyday</w:t>
      </w:r>
      <w:r w:rsidR="00AB2786" w:rsidRPr="00E869A4">
        <w:rPr>
          <w:rFonts w:ascii="Times New Roman" w:hAnsi="Times New Roman" w:cs="Times New Roman"/>
        </w:rPr>
        <w:t xml:space="preserve"> ..</w:t>
      </w:r>
      <w:r w:rsidRPr="00E869A4">
        <w:rPr>
          <w:rFonts w:ascii="Times New Roman" w:hAnsi="Times New Roman" w:cs="Times New Roman"/>
        </w:rPr>
        <w:t>.</w:t>
      </w:r>
      <w:r w:rsidR="00AB2786" w:rsidRPr="00E869A4">
        <w:rPr>
          <w:rFonts w:ascii="Times New Roman" w:hAnsi="Times New Roman" w:cs="Times New Roman"/>
        </w:rPr>
        <w:t xml:space="preserve"> </w:t>
      </w:r>
      <w:r w:rsidRPr="00E869A4">
        <w:rPr>
          <w:rFonts w:ascii="Times New Roman" w:hAnsi="Times New Roman" w:cs="Times New Roman"/>
        </w:rPr>
        <w:t>situation-specific skills used to forestall [stress] or avoid a problem</w:t>
      </w:r>
      <w:r w:rsidR="00E82F97" w:rsidRPr="00E869A4">
        <w:rPr>
          <w:rFonts w:ascii="Times New Roman" w:hAnsi="Times New Roman" w:cs="Times New Roman"/>
        </w:rPr>
        <w:t>.</w:t>
      </w:r>
      <w:r w:rsidRPr="00E869A4">
        <w:rPr>
          <w:rFonts w:ascii="Times New Roman" w:hAnsi="Times New Roman" w:cs="Times New Roman"/>
        </w:rPr>
        <w:t xml:space="preserve">” (p. 95), and </w:t>
      </w:r>
      <w:r w:rsidR="00897B03" w:rsidRPr="00E869A4">
        <w:rPr>
          <w:rFonts w:ascii="Times New Roman" w:hAnsi="Times New Roman" w:cs="Times New Roman"/>
        </w:rPr>
        <w:t>‘</w:t>
      </w:r>
      <w:r w:rsidRPr="00E869A4">
        <w:rPr>
          <w:rFonts w:ascii="Times New Roman" w:hAnsi="Times New Roman" w:cs="Times New Roman"/>
        </w:rPr>
        <w:t>coping strategies</w:t>
      </w:r>
      <w:r w:rsidR="00897B03" w:rsidRPr="00E869A4">
        <w:rPr>
          <w:rFonts w:ascii="Times New Roman" w:hAnsi="Times New Roman" w:cs="Times New Roman"/>
        </w:rPr>
        <w:t>’</w:t>
      </w:r>
      <w:r w:rsidRPr="00E869A4">
        <w:rPr>
          <w:rFonts w:ascii="Times New Roman" w:hAnsi="Times New Roman" w:cs="Times New Roman"/>
        </w:rPr>
        <w:t xml:space="preserve"> as being directed at novel events for which the outcome is uncertain and effort is required. Thus, coping </w:t>
      </w:r>
      <w:r w:rsidR="00C25074" w:rsidRPr="00E869A4">
        <w:rPr>
          <w:rFonts w:ascii="Times New Roman" w:hAnsi="Times New Roman" w:cs="Times New Roman"/>
        </w:rPr>
        <w:t>strategies that</w:t>
      </w:r>
      <w:r w:rsidRPr="00E869A4">
        <w:rPr>
          <w:rFonts w:ascii="Times New Roman" w:hAnsi="Times New Roman" w:cs="Times New Roman"/>
        </w:rPr>
        <w:t xml:space="preserve"> are mastered and become a repeated pattern of behaviour in a given situation evolve to become management skills. </w:t>
      </w:r>
    </w:p>
    <w:p w14:paraId="09C06D13" w14:textId="77777777" w:rsidR="00943354" w:rsidRPr="00E869A4" w:rsidRDefault="00943354" w:rsidP="00A35FF8">
      <w:pPr>
        <w:rPr>
          <w:rFonts w:ascii="Times New Roman" w:hAnsi="Times New Roman" w:cs="Times New Roman"/>
        </w:rPr>
      </w:pPr>
    </w:p>
    <w:p w14:paraId="36252FDE" w14:textId="37C27569" w:rsidR="00855EB2" w:rsidRPr="00E869A4" w:rsidRDefault="00855EB2" w:rsidP="00A35FF8">
      <w:pPr>
        <w:rPr>
          <w:rFonts w:ascii="Times New Roman" w:hAnsi="Times New Roman" w:cs="Times New Roman"/>
        </w:rPr>
      </w:pPr>
      <w:r w:rsidRPr="00E869A4">
        <w:rPr>
          <w:rFonts w:ascii="Times New Roman" w:hAnsi="Times New Roman" w:cs="Times New Roman"/>
        </w:rPr>
        <w:t>In so doing, Aldwin, in my view, resolved a problematic aspect of the coping literature about whether or not coping should be limited to intentional actions or, if effortless automatic behaviours should also be considered as valid forms of coping. This is further complicated by the blurred boundaries between these two elements</w:t>
      </w:r>
      <w:r w:rsidR="008E63B1" w:rsidRPr="00E869A4">
        <w:rPr>
          <w:rFonts w:ascii="Times New Roman" w:hAnsi="Times New Roman" w:cs="Times New Roman"/>
        </w:rPr>
        <w:t>,</w:t>
      </w:r>
      <w:r w:rsidRPr="00E869A4">
        <w:rPr>
          <w:rFonts w:ascii="Times New Roman" w:hAnsi="Times New Roman" w:cs="Times New Roman"/>
        </w:rPr>
        <w:t xml:space="preserve"> in that</w:t>
      </w:r>
      <w:r w:rsidR="008E63B1" w:rsidRPr="00E869A4">
        <w:rPr>
          <w:rFonts w:ascii="Times New Roman" w:hAnsi="Times New Roman" w:cs="Times New Roman"/>
        </w:rPr>
        <w:t>,</w:t>
      </w:r>
      <w:r w:rsidRPr="00E869A4">
        <w:rPr>
          <w:rFonts w:ascii="Times New Roman" w:hAnsi="Times New Roman" w:cs="Times New Roman"/>
        </w:rPr>
        <w:t xml:space="preserve"> automatic behaviour is not always synonymous with that which is effortless. For example, smoking might be a form of </w:t>
      </w:r>
      <w:r w:rsidR="00C25074" w:rsidRPr="00E869A4">
        <w:rPr>
          <w:rFonts w:ascii="Times New Roman" w:hAnsi="Times New Roman" w:cs="Times New Roman"/>
        </w:rPr>
        <w:t>coping, which</w:t>
      </w:r>
      <w:r w:rsidRPr="00E869A4">
        <w:rPr>
          <w:rFonts w:ascii="Times New Roman" w:hAnsi="Times New Roman" w:cs="Times New Roman"/>
        </w:rPr>
        <w:t xml:space="preserve"> is both automatic and effortless, whilst getting extra sleep may be an effortless form of coping but may be a</w:t>
      </w:r>
      <w:r w:rsidR="00845005">
        <w:rPr>
          <w:rFonts w:ascii="Times New Roman" w:hAnsi="Times New Roman" w:cs="Times New Roman"/>
        </w:rPr>
        <w:t xml:space="preserve">n intentional act. However, as </w:t>
      </w:r>
      <w:r w:rsidRPr="00E869A4">
        <w:rPr>
          <w:rFonts w:ascii="Times New Roman" w:hAnsi="Times New Roman" w:cs="Times New Roman"/>
        </w:rPr>
        <w:t xml:space="preserve">Carpenter </w:t>
      </w:r>
      <w:r w:rsidR="00845005">
        <w:rPr>
          <w:rFonts w:ascii="Times New Roman" w:hAnsi="Times New Roman" w:cs="Times New Roman"/>
        </w:rPr>
        <w:t>(</w:t>
      </w:r>
      <w:r w:rsidRPr="00E869A4">
        <w:rPr>
          <w:rFonts w:ascii="Times New Roman" w:hAnsi="Times New Roman" w:cs="Times New Roman"/>
        </w:rPr>
        <w:t>1992</w:t>
      </w:r>
      <w:r w:rsidR="008E63B1" w:rsidRPr="00E869A4">
        <w:rPr>
          <w:rFonts w:ascii="Times New Roman" w:hAnsi="Times New Roman" w:cs="Times New Roman"/>
        </w:rPr>
        <w:t>, p.</w:t>
      </w:r>
      <w:r w:rsidRPr="00E869A4">
        <w:rPr>
          <w:rFonts w:ascii="Times New Roman" w:hAnsi="Times New Roman" w:cs="Times New Roman"/>
        </w:rPr>
        <w:t xml:space="preserve"> 7) acknowledged, intentionality or awareness and nonconscious coping activities may be difficult to account for in practice. </w:t>
      </w:r>
      <w:r w:rsidR="002C7367" w:rsidRPr="00E869A4">
        <w:rPr>
          <w:rFonts w:ascii="Times New Roman" w:hAnsi="Times New Roman" w:cs="Times New Roman"/>
        </w:rPr>
        <w:t xml:space="preserve"> </w:t>
      </w:r>
      <w:r w:rsidR="00737BD6">
        <w:rPr>
          <w:rFonts w:ascii="Times New Roman" w:hAnsi="Times New Roman" w:cs="Times New Roman"/>
        </w:rPr>
        <w:t>D</w:t>
      </w:r>
      <w:r w:rsidR="00C25074" w:rsidRPr="00E869A4">
        <w:rPr>
          <w:rFonts w:ascii="Times New Roman" w:hAnsi="Times New Roman" w:cs="Times New Roman"/>
        </w:rPr>
        <w:t>espite thi</w:t>
      </w:r>
      <w:r w:rsidR="00D06B2D" w:rsidRPr="00E869A4">
        <w:rPr>
          <w:rFonts w:ascii="Times New Roman" w:hAnsi="Times New Roman" w:cs="Times New Roman"/>
        </w:rPr>
        <w:t xml:space="preserve">s benefit, the use of the term </w:t>
      </w:r>
      <w:r w:rsidR="00C25074" w:rsidRPr="00E869A4">
        <w:rPr>
          <w:rFonts w:ascii="Times New Roman" w:hAnsi="Times New Roman" w:cs="Times New Roman"/>
          <w:i/>
        </w:rPr>
        <w:t>life management</w:t>
      </w:r>
      <w:r w:rsidR="00C25074" w:rsidRPr="00E869A4">
        <w:rPr>
          <w:rFonts w:ascii="Times New Roman" w:hAnsi="Times New Roman" w:cs="Times New Roman"/>
        </w:rPr>
        <w:t xml:space="preserve"> that Aldwin proposed is not ideal because it is too broad a term. </w:t>
      </w:r>
      <w:r w:rsidRPr="00E869A4">
        <w:rPr>
          <w:rFonts w:ascii="Times New Roman" w:hAnsi="Times New Roman" w:cs="Times New Roman"/>
        </w:rPr>
        <w:t>Thus, I have adopted the use of the term care management for the purpose of this study.</w:t>
      </w:r>
    </w:p>
    <w:p w14:paraId="4BAA39CE" w14:textId="77777777" w:rsidR="00D968A3" w:rsidRPr="00E869A4" w:rsidRDefault="00D968A3" w:rsidP="00A35FF8">
      <w:pPr>
        <w:rPr>
          <w:rFonts w:ascii="Times New Roman" w:hAnsi="Times New Roman" w:cs="Times New Roman"/>
        </w:rPr>
      </w:pPr>
    </w:p>
    <w:p w14:paraId="5C786BBA" w14:textId="1AAD4B2F" w:rsidR="00855EB2" w:rsidRPr="00E869A4" w:rsidRDefault="00855EB2" w:rsidP="00A35FF8">
      <w:pPr>
        <w:rPr>
          <w:rFonts w:ascii="Times New Roman" w:hAnsi="Times New Roman" w:cs="Times New Roman"/>
        </w:rPr>
      </w:pPr>
      <w:r w:rsidRPr="00E869A4">
        <w:rPr>
          <w:rFonts w:ascii="Times New Roman" w:hAnsi="Times New Roman" w:cs="Times New Roman"/>
        </w:rPr>
        <w:lastRenderedPageBreak/>
        <w:t xml:space="preserve">I am also of the view that sociological research should focus more on actions rather than cognitions, as the latter is best explored within the domain of psychological research. But, at the same time, a </w:t>
      </w:r>
      <w:r w:rsidRPr="00E869A4">
        <w:rPr>
          <w:rFonts w:ascii="Times New Roman" w:hAnsi="Times New Roman" w:cs="Times New Roman"/>
          <w:i/>
        </w:rPr>
        <w:t>carte blanche</w:t>
      </w:r>
      <w:r w:rsidRPr="00E869A4">
        <w:rPr>
          <w:rFonts w:ascii="Times New Roman" w:hAnsi="Times New Roman" w:cs="Times New Roman"/>
        </w:rPr>
        <w:t xml:space="preserve"> exclusion of cognitions and individual responses by sociologists should be </w:t>
      </w:r>
      <w:r w:rsidR="00C25074" w:rsidRPr="00E869A4">
        <w:rPr>
          <w:rFonts w:ascii="Times New Roman" w:hAnsi="Times New Roman" w:cs="Times New Roman"/>
        </w:rPr>
        <w:t>discouraged,</w:t>
      </w:r>
      <w:r w:rsidRPr="00E869A4">
        <w:rPr>
          <w:rFonts w:ascii="Times New Roman" w:hAnsi="Times New Roman" w:cs="Times New Roman"/>
        </w:rPr>
        <w:t xml:space="preserve"> as there may be sociological explanations and measures of these. Durkheim’s work on suicide is an example of how sociological inquiry can be applied to areas that might be considered the domain of psychology. As (Pearlin 1989) explained in his seminal work on the sociology of stress and coping, it is not merely the topic area but also the data collected and methodological approach employed by </w:t>
      </w:r>
      <w:r w:rsidR="007E3F44" w:rsidRPr="00E869A4">
        <w:rPr>
          <w:rFonts w:ascii="Times New Roman" w:hAnsi="Times New Roman" w:cs="Times New Roman"/>
        </w:rPr>
        <w:t>sociologists, which</w:t>
      </w:r>
      <w:r w:rsidRPr="00E869A4">
        <w:rPr>
          <w:rFonts w:ascii="Times New Roman" w:hAnsi="Times New Roman" w:cs="Times New Roman"/>
        </w:rPr>
        <w:t xml:space="preserve"> helps distinguish between the coping and stress perspectives in the two disciplines. </w:t>
      </w:r>
    </w:p>
    <w:p w14:paraId="12C99AE3" w14:textId="77777777" w:rsidR="00D968A3" w:rsidRPr="00E869A4" w:rsidRDefault="00D968A3" w:rsidP="00A35FF8">
      <w:pPr>
        <w:rPr>
          <w:rFonts w:ascii="Times New Roman" w:hAnsi="Times New Roman" w:cs="Times New Roman"/>
        </w:rPr>
      </w:pPr>
    </w:p>
    <w:p w14:paraId="5B47A18C" w14:textId="192B376F"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With respect to the types of data collected on </w:t>
      </w:r>
      <w:r w:rsidR="008F66D6" w:rsidRPr="00E869A4">
        <w:rPr>
          <w:rFonts w:ascii="Times New Roman" w:hAnsi="Times New Roman" w:cs="Times New Roman"/>
        </w:rPr>
        <w:t xml:space="preserve">the </w:t>
      </w:r>
      <w:r w:rsidRPr="00E869A4">
        <w:rPr>
          <w:rFonts w:ascii="Times New Roman" w:hAnsi="Times New Roman" w:cs="Times New Roman"/>
        </w:rPr>
        <w:t>sociological aspects of coping, Pearlin observed that while non-sociological disciplines have collected basic sociological data on people’s background such as their gender, socio-economic status, ethnicity and age, only token attention is placed on these variables at the analysis stage as opposed to it being a primary area of interest (Pearlin 1989). Thus, Pearlin concluded that sociology is best placed to deal with the effects of “social stratification, social institutions and interpersonal relationships” as they relate to stress and, by extension coping, since these social facts are ‘fundamental’ to an understanding of same by sociologists</w:t>
      </w:r>
      <w:r w:rsidR="00167852" w:rsidRPr="00E869A4">
        <w:rPr>
          <w:rFonts w:ascii="Times New Roman" w:hAnsi="Times New Roman" w:cs="Times New Roman"/>
        </w:rPr>
        <w:t xml:space="preserve"> (Pearlin 1989, p. </w:t>
      </w:r>
      <w:r w:rsidR="00B91DFE" w:rsidRPr="00E869A4">
        <w:rPr>
          <w:rFonts w:ascii="Times New Roman" w:hAnsi="Times New Roman" w:cs="Times New Roman"/>
        </w:rPr>
        <w:t>242</w:t>
      </w:r>
      <w:r w:rsidR="00167852" w:rsidRPr="00E869A4">
        <w:rPr>
          <w:rFonts w:ascii="Times New Roman" w:hAnsi="Times New Roman" w:cs="Times New Roman"/>
        </w:rPr>
        <w:t>)</w:t>
      </w:r>
      <w:r w:rsidRPr="00E869A4">
        <w:rPr>
          <w:rFonts w:ascii="Times New Roman" w:hAnsi="Times New Roman" w:cs="Times New Roman"/>
        </w:rPr>
        <w:t xml:space="preserve">. </w:t>
      </w:r>
    </w:p>
    <w:p w14:paraId="660D62B5" w14:textId="77777777" w:rsidR="00D968A3" w:rsidRPr="00E869A4" w:rsidRDefault="00D968A3" w:rsidP="00A35FF8">
      <w:pPr>
        <w:rPr>
          <w:rFonts w:ascii="Times New Roman" w:hAnsi="Times New Roman" w:cs="Times New Roman"/>
        </w:rPr>
      </w:pPr>
    </w:p>
    <w:p w14:paraId="2A909458" w14:textId="77777777" w:rsidR="00855EB2" w:rsidRPr="00E869A4" w:rsidRDefault="00855EB2" w:rsidP="004E2181">
      <w:pPr>
        <w:pStyle w:val="Heading4"/>
      </w:pPr>
      <w:bookmarkStart w:id="222" w:name="_Toc505945223"/>
      <w:r w:rsidRPr="00E869A4">
        <w:t>Coping, Life Events, Strain &amp; Stressors</w:t>
      </w:r>
      <w:bookmarkEnd w:id="222"/>
    </w:p>
    <w:p w14:paraId="0797BE9A" w14:textId="77777777" w:rsidR="00D968A3" w:rsidRPr="00E869A4" w:rsidRDefault="00D968A3" w:rsidP="0051234F">
      <w:pPr>
        <w:pStyle w:val="112"/>
        <w:rPr>
          <w:color w:val="auto"/>
        </w:rPr>
      </w:pPr>
    </w:p>
    <w:p w14:paraId="6377CA1F" w14:textId="509633A2" w:rsidR="00855EB2" w:rsidRPr="00E869A4" w:rsidRDefault="00855EB2" w:rsidP="00A35FF8">
      <w:pPr>
        <w:rPr>
          <w:rFonts w:ascii="Times New Roman" w:hAnsi="Times New Roman" w:cs="Times New Roman"/>
        </w:rPr>
      </w:pPr>
      <w:r w:rsidRPr="00E869A4">
        <w:rPr>
          <w:rFonts w:ascii="Times New Roman" w:hAnsi="Times New Roman" w:cs="Times New Roman"/>
        </w:rPr>
        <w:t>Pearlin also emphasised the need for sociologists to give attention to life events and stressors. Stressors are “the experiential circumstances which give rise to stress</w:t>
      </w:r>
      <w:r w:rsidR="00E82F97" w:rsidRPr="00E869A4">
        <w:rPr>
          <w:rFonts w:ascii="Times New Roman" w:hAnsi="Times New Roman" w:cs="Times New Roman"/>
        </w:rPr>
        <w:t>.</w:t>
      </w:r>
      <w:r w:rsidR="00167852" w:rsidRPr="00E869A4">
        <w:rPr>
          <w:rFonts w:ascii="Times New Roman" w:hAnsi="Times New Roman" w:cs="Times New Roman"/>
        </w:rPr>
        <w:t>” (Pearlin</w:t>
      </w:r>
      <w:r w:rsidRPr="00E869A4">
        <w:rPr>
          <w:rFonts w:ascii="Times New Roman" w:hAnsi="Times New Roman" w:cs="Times New Roman"/>
        </w:rPr>
        <w:t xml:space="preserve"> 1989</w:t>
      </w:r>
      <w:r w:rsidR="00167852" w:rsidRPr="00E869A4">
        <w:rPr>
          <w:rFonts w:ascii="Times New Roman" w:hAnsi="Times New Roman" w:cs="Times New Roman"/>
        </w:rPr>
        <w:t xml:space="preserve">, p. </w:t>
      </w:r>
      <w:r w:rsidR="00A7436C" w:rsidRPr="00E869A4">
        <w:rPr>
          <w:rFonts w:ascii="Times New Roman" w:hAnsi="Times New Roman" w:cs="Times New Roman"/>
        </w:rPr>
        <w:t>243</w:t>
      </w:r>
      <w:r w:rsidRPr="00E869A4">
        <w:rPr>
          <w:rFonts w:ascii="Times New Roman" w:hAnsi="Times New Roman" w:cs="Times New Roman"/>
        </w:rPr>
        <w:t xml:space="preserve">). For the most part, sociologists tend to explore </w:t>
      </w:r>
      <w:r w:rsidR="00C25074" w:rsidRPr="00E869A4">
        <w:rPr>
          <w:rFonts w:ascii="Times New Roman" w:hAnsi="Times New Roman" w:cs="Times New Roman"/>
        </w:rPr>
        <w:t>stressors, which are chronic strains,</w:t>
      </w:r>
      <w:r w:rsidRPr="00E869A4">
        <w:rPr>
          <w:rFonts w:ascii="Times New Roman" w:hAnsi="Times New Roman" w:cs="Times New Roman"/>
        </w:rPr>
        <w:t xml:space="preserve"> or life problems that endure or are recurrent, and “arise within the boundaries of major social roles and role sets</w:t>
      </w:r>
      <w:r w:rsidR="00E82F97" w:rsidRPr="00E869A4">
        <w:rPr>
          <w:rFonts w:ascii="Times New Roman" w:hAnsi="Times New Roman" w:cs="Times New Roman"/>
        </w:rPr>
        <w:t>.</w:t>
      </w:r>
      <w:r w:rsidRPr="00E869A4">
        <w:rPr>
          <w:rFonts w:ascii="Times New Roman" w:hAnsi="Times New Roman" w:cs="Times New Roman"/>
        </w:rPr>
        <w:t>” (Pearlin 1989</w:t>
      </w:r>
      <w:r w:rsidR="00167852" w:rsidRPr="00E869A4">
        <w:rPr>
          <w:rFonts w:ascii="Times New Roman" w:hAnsi="Times New Roman" w:cs="Times New Roman"/>
        </w:rPr>
        <w:t xml:space="preserve">, p. </w:t>
      </w:r>
      <w:r w:rsidR="00A7436C" w:rsidRPr="00E869A4">
        <w:rPr>
          <w:rFonts w:ascii="Times New Roman" w:hAnsi="Times New Roman" w:cs="Times New Roman"/>
        </w:rPr>
        <w:t>245</w:t>
      </w:r>
      <w:r w:rsidRPr="00E869A4">
        <w:rPr>
          <w:rFonts w:ascii="Times New Roman" w:hAnsi="Times New Roman" w:cs="Times New Roman"/>
        </w:rPr>
        <w:t xml:space="preserve">). Life event stressors are generally referred to in the literature as objective, discrete occurrences of sufficient magnitude to result in substantial change to the usual activities of most persons (Aneshensel 1992). Examples of life event stressors include illness, changing or losing a job, marriage and divorce. Pearlin (1989) argued that the initial focus of stress theorists on life events was not sufficiently sociological, and that for the necessary balance to be achieved, researchers must investigate the “patterned </w:t>
      </w:r>
      <w:r w:rsidRPr="00E869A4">
        <w:rPr>
          <w:rFonts w:ascii="Times New Roman" w:hAnsi="Times New Roman" w:cs="Times New Roman"/>
        </w:rPr>
        <w:lastRenderedPageBreak/>
        <w:t>differences among groups and collectivities differentiated by their social and economic circumstances</w:t>
      </w:r>
      <w:r w:rsidR="00E82F97" w:rsidRPr="00E869A4">
        <w:rPr>
          <w:rFonts w:ascii="Times New Roman" w:hAnsi="Times New Roman" w:cs="Times New Roman"/>
        </w:rPr>
        <w:t>.</w:t>
      </w:r>
      <w:r w:rsidRPr="00E869A4">
        <w:rPr>
          <w:rFonts w:ascii="Times New Roman" w:hAnsi="Times New Roman" w:cs="Times New Roman"/>
        </w:rPr>
        <w:t>” (Pearlin 1989</w:t>
      </w:r>
      <w:r w:rsidR="00F215BD" w:rsidRPr="00E869A4">
        <w:rPr>
          <w:rFonts w:ascii="Times New Roman" w:hAnsi="Times New Roman" w:cs="Times New Roman"/>
        </w:rPr>
        <w:t>, p.</w:t>
      </w:r>
      <w:r w:rsidR="00E82F97" w:rsidRPr="00E869A4">
        <w:rPr>
          <w:rFonts w:ascii="Times New Roman" w:hAnsi="Times New Roman" w:cs="Times New Roman"/>
        </w:rPr>
        <w:t xml:space="preserve"> 244-</w:t>
      </w:r>
      <w:r w:rsidRPr="00E869A4">
        <w:rPr>
          <w:rFonts w:ascii="Times New Roman" w:hAnsi="Times New Roman" w:cs="Times New Roman"/>
        </w:rPr>
        <w:t>245)</w:t>
      </w:r>
      <w:r w:rsidRPr="00E869A4">
        <w:rPr>
          <w:rStyle w:val="FootnoteReference"/>
          <w:rFonts w:ascii="Times New Roman" w:hAnsi="Times New Roman" w:cs="Times New Roman"/>
        </w:rPr>
        <w:footnoteReference w:id="39"/>
      </w:r>
      <w:r w:rsidRPr="00E869A4">
        <w:rPr>
          <w:rFonts w:ascii="Times New Roman" w:hAnsi="Times New Roman" w:cs="Times New Roman"/>
        </w:rPr>
        <w:t>.</w:t>
      </w:r>
    </w:p>
    <w:p w14:paraId="0591FF9A" w14:textId="77777777" w:rsidR="00D968A3" w:rsidRPr="00E869A4" w:rsidRDefault="00D968A3" w:rsidP="00A35FF8">
      <w:pPr>
        <w:rPr>
          <w:rFonts w:ascii="Times New Roman" w:hAnsi="Times New Roman" w:cs="Times New Roman"/>
        </w:rPr>
      </w:pPr>
    </w:p>
    <w:p w14:paraId="4D075F7B" w14:textId="6049DF9B"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With respect to role strain, Pearlin advised that sociologists give attention to the following: a) </w:t>
      </w:r>
      <w:r w:rsidRPr="00E869A4">
        <w:rPr>
          <w:rFonts w:ascii="Times New Roman" w:hAnsi="Times New Roman" w:cs="Times New Roman"/>
          <w:i/>
        </w:rPr>
        <w:t>Role overload</w:t>
      </w:r>
      <w:r w:rsidRPr="00E869A4">
        <w:rPr>
          <w:rFonts w:ascii="Times New Roman" w:hAnsi="Times New Roman" w:cs="Times New Roman"/>
        </w:rPr>
        <w:t xml:space="preserve"> – “a condition that exists when demands on energy and stamina exceed the individual’s capacities”; b) </w:t>
      </w:r>
      <w:r w:rsidRPr="00E869A4">
        <w:rPr>
          <w:rFonts w:ascii="Times New Roman" w:hAnsi="Times New Roman" w:cs="Times New Roman"/>
          <w:i/>
        </w:rPr>
        <w:t>Interpersonal</w:t>
      </w:r>
      <w:r w:rsidRPr="00E869A4">
        <w:rPr>
          <w:rFonts w:ascii="Times New Roman" w:hAnsi="Times New Roman" w:cs="Times New Roman"/>
        </w:rPr>
        <w:t xml:space="preserve"> </w:t>
      </w:r>
      <w:r w:rsidRPr="00E869A4">
        <w:rPr>
          <w:rFonts w:ascii="Times New Roman" w:hAnsi="Times New Roman" w:cs="Times New Roman"/>
          <w:i/>
        </w:rPr>
        <w:t>conflicts within role sets</w:t>
      </w:r>
      <w:r w:rsidRPr="00E869A4">
        <w:rPr>
          <w:rFonts w:ascii="Times New Roman" w:hAnsi="Times New Roman" w:cs="Times New Roman"/>
        </w:rPr>
        <w:t xml:space="preserve"> – “problems and difficulties that arise among those who interact with each other in sets of complementary roles” e.g. caregiver and </w:t>
      </w:r>
      <w:r w:rsidR="009E2738" w:rsidRPr="00E869A4">
        <w:rPr>
          <w:rFonts w:ascii="Times New Roman" w:hAnsi="Times New Roman" w:cs="Times New Roman"/>
        </w:rPr>
        <w:t>care recipient</w:t>
      </w:r>
      <w:r w:rsidRPr="00E869A4">
        <w:rPr>
          <w:rFonts w:ascii="Times New Roman" w:hAnsi="Times New Roman" w:cs="Times New Roman"/>
        </w:rPr>
        <w:t xml:space="preserve">; parent and child; c) </w:t>
      </w:r>
      <w:r w:rsidRPr="00E869A4">
        <w:rPr>
          <w:rFonts w:ascii="Times New Roman" w:hAnsi="Times New Roman" w:cs="Times New Roman"/>
          <w:i/>
        </w:rPr>
        <w:t>Inter-role</w:t>
      </w:r>
      <w:r w:rsidRPr="00E869A4">
        <w:rPr>
          <w:rFonts w:ascii="Times New Roman" w:hAnsi="Times New Roman" w:cs="Times New Roman"/>
        </w:rPr>
        <w:t xml:space="preserve"> </w:t>
      </w:r>
      <w:r w:rsidRPr="00E869A4">
        <w:rPr>
          <w:rFonts w:ascii="Times New Roman" w:hAnsi="Times New Roman" w:cs="Times New Roman"/>
          <w:i/>
        </w:rPr>
        <w:t>conflict</w:t>
      </w:r>
      <w:r w:rsidRPr="00E869A4">
        <w:rPr>
          <w:rFonts w:ascii="Times New Roman" w:hAnsi="Times New Roman" w:cs="Times New Roman"/>
        </w:rPr>
        <w:t xml:space="preserve"> – “the incompatible demands of multiple roles” e.g. the demands of work and family; d) </w:t>
      </w:r>
      <w:r w:rsidRPr="00E869A4">
        <w:rPr>
          <w:rFonts w:ascii="Times New Roman" w:hAnsi="Times New Roman" w:cs="Times New Roman"/>
          <w:i/>
        </w:rPr>
        <w:t>Role captivity</w:t>
      </w:r>
      <w:r w:rsidRPr="00E869A4">
        <w:rPr>
          <w:rFonts w:ascii="Times New Roman" w:hAnsi="Times New Roman" w:cs="Times New Roman"/>
        </w:rPr>
        <w:t xml:space="preserve"> – “exists when one is an unwilling incumbent of a role”; and e) </w:t>
      </w:r>
      <w:r w:rsidRPr="00E869A4">
        <w:rPr>
          <w:rFonts w:ascii="Times New Roman" w:hAnsi="Times New Roman" w:cs="Times New Roman"/>
          <w:i/>
        </w:rPr>
        <w:t>Role restructuring</w:t>
      </w:r>
      <w:r w:rsidRPr="00E869A4">
        <w:rPr>
          <w:rFonts w:ascii="Times New Roman" w:hAnsi="Times New Roman" w:cs="Times New Roman"/>
        </w:rPr>
        <w:t xml:space="preserve"> – “alterations in long established patterns of expectation and interaction”. According to Pearlin </w:t>
      </w:r>
      <w:r w:rsidR="00DE0971" w:rsidRPr="00E869A4">
        <w:rPr>
          <w:rFonts w:ascii="Times New Roman" w:hAnsi="Times New Roman" w:cs="Times New Roman"/>
        </w:rPr>
        <w:t>and</w:t>
      </w:r>
      <w:r w:rsidRPr="00E869A4">
        <w:rPr>
          <w:rFonts w:ascii="Times New Roman" w:hAnsi="Times New Roman" w:cs="Times New Roman"/>
        </w:rPr>
        <w:t xml:space="preserve"> Lieberman (1979 </w:t>
      </w:r>
      <w:r w:rsidR="00DE0971" w:rsidRPr="00E869A4">
        <w:rPr>
          <w:rFonts w:ascii="Times New Roman" w:hAnsi="Times New Roman" w:cs="Times New Roman"/>
        </w:rPr>
        <w:t>cited in</w:t>
      </w:r>
      <w:r w:rsidRPr="00E869A4">
        <w:rPr>
          <w:rFonts w:ascii="Times New Roman" w:hAnsi="Times New Roman" w:cs="Times New Roman"/>
        </w:rPr>
        <w:t xml:space="preserve"> Aneshensel 1992), women, the young, and those of low socioeconomic status encounter the most severe role strains. Other types of strain that are structural in nature include economic strain and inconsistency of social standing. The latter can be further sub-divided into status inconsistency (discrepancy between occupation and income), goal-striving stress (discrepancy between aspirations and achievements), and life-style incongruity (</w:t>
      </w:r>
      <w:r w:rsidR="00C958D8" w:rsidRPr="00E869A4">
        <w:rPr>
          <w:rFonts w:ascii="Times New Roman" w:hAnsi="Times New Roman" w:cs="Times New Roman"/>
        </w:rPr>
        <w:t>behaviours</w:t>
      </w:r>
      <w:r w:rsidRPr="00E869A4">
        <w:rPr>
          <w:rFonts w:ascii="Times New Roman" w:hAnsi="Times New Roman" w:cs="Times New Roman"/>
        </w:rPr>
        <w:t xml:space="preserve"> inconsistent with an individual’s social class) (Aneshensel 1992). These recommendations by Pearlin and observations highlighted by Aneshensel are important considerations for the current study. </w:t>
      </w:r>
    </w:p>
    <w:p w14:paraId="2EE6D5CA" w14:textId="77777777" w:rsidR="00D968A3" w:rsidRPr="00E869A4" w:rsidRDefault="00D968A3" w:rsidP="0051234F">
      <w:pPr>
        <w:pStyle w:val="112"/>
        <w:rPr>
          <w:color w:val="auto"/>
        </w:rPr>
      </w:pPr>
      <w:bookmarkStart w:id="223" w:name="_Toc505945224"/>
    </w:p>
    <w:p w14:paraId="68A473A2" w14:textId="77777777" w:rsidR="00855EB2" w:rsidRPr="00E869A4" w:rsidRDefault="00855EB2" w:rsidP="004E2181">
      <w:pPr>
        <w:pStyle w:val="Heading4"/>
      </w:pPr>
      <w:r w:rsidRPr="00E869A4">
        <w:t>Agency, Structure and Coping</w:t>
      </w:r>
      <w:bookmarkEnd w:id="223"/>
    </w:p>
    <w:p w14:paraId="07F4F21C" w14:textId="77777777" w:rsidR="00D968A3" w:rsidRPr="00E869A4" w:rsidRDefault="00D968A3" w:rsidP="0051234F">
      <w:pPr>
        <w:pStyle w:val="112"/>
        <w:rPr>
          <w:color w:val="auto"/>
        </w:rPr>
      </w:pPr>
    </w:p>
    <w:p w14:paraId="5AF8D0FF" w14:textId="4227D608" w:rsidR="00855EB2" w:rsidRPr="00E869A4" w:rsidRDefault="00855EB2" w:rsidP="00A35FF8">
      <w:pPr>
        <w:rPr>
          <w:rFonts w:ascii="Times New Roman" w:hAnsi="Times New Roman" w:cs="Times New Roman"/>
        </w:rPr>
      </w:pPr>
      <w:r w:rsidRPr="00E869A4">
        <w:rPr>
          <w:rFonts w:ascii="Times New Roman" w:hAnsi="Times New Roman" w:cs="Times New Roman"/>
        </w:rPr>
        <w:t>The situation-specific nature of coping as it pertains to the arrangement and persistence of statuses and roles in social institutions and how this impacts on stress and coping over time</w:t>
      </w:r>
      <w:r w:rsidR="004170DB" w:rsidRPr="00E869A4">
        <w:rPr>
          <w:rFonts w:ascii="Times New Roman" w:hAnsi="Times New Roman" w:cs="Times New Roman"/>
        </w:rPr>
        <w:t>,</w:t>
      </w:r>
      <w:r w:rsidRPr="00E869A4">
        <w:rPr>
          <w:rFonts w:ascii="Times New Roman" w:hAnsi="Times New Roman" w:cs="Times New Roman"/>
        </w:rPr>
        <w:t xml:space="preserve"> is of key interest to sociology (Pearlin 1989). Pearlin is clear that a sociological perspective gives attention to “the unequal distribution of resources, opportunities and self-regard”, variations in “hardship and privilege, threat and security, conflict and harmony” and the exigency that is ascribed to threatening or burdensome situations, across groups of people in different social contexts (Pearlin 1989</w:t>
      </w:r>
      <w:r w:rsidR="00167852" w:rsidRPr="00E869A4">
        <w:rPr>
          <w:rFonts w:ascii="Times New Roman" w:hAnsi="Times New Roman" w:cs="Times New Roman"/>
        </w:rPr>
        <w:t xml:space="preserve">, p. </w:t>
      </w:r>
      <w:r w:rsidR="002E4BDD" w:rsidRPr="00E869A4">
        <w:rPr>
          <w:rFonts w:ascii="Times New Roman" w:hAnsi="Times New Roman" w:cs="Times New Roman"/>
        </w:rPr>
        <w:t>242</w:t>
      </w:r>
      <w:r w:rsidRPr="00E869A4">
        <w:rPr>
          <w:rFonts w:ascii="Times New Roman" w:hAnsi="Times New Roman" w:cs="Times New Roman"/>
        </w:rPr>
        <w:t>). Gerhardt also argued that a sociological focus on coping is mainly about “whether and how coping depends on social institutions and the structures of power and production in society</w:t>
      </w:r>
      <w:r w:rsidR="00F91282" w:rsidRPr="00E869A4">
        <w:rPr>
          <w:rFonts w:ascii="Times New Roman" w:hAnsi="Times New Roman" w:cs="Times New Roman"/>
        </w:rPr>
        <w:t>.</w:t>
      </w:r>
      <w:r w:rsidRPr="00E869A4">
        <w:rPr>
          <w:rFonts w:ascii="Times New Roman" w:hAnsi="Times New Roman" w:cs="Times New Roman"/>
        </w:rPr>
        <w:t>”</w:t>
      </w:r>
      <w:r w:rsidR="00167852" w:rsidRPr="00E869A4">
        <w:rPr>
          <w:rFonts w:ascii="Times New Roman" w:hAnsi="Times New Roman" w:cs="Times New Roman"/>
        </w:rPr>
        <w:t xml:space="preserve"> (Gerhardt 1979, p. </w:t>
      </w:r>
      <w:r w:rsidR="002C530F" w:rsidRPr="00E869A4">
        <w:rPr>
          <w:rFonts w:ascii="Times New Roman" w:hAnsi="Times New Roman" w:cs="Times New Roman"/>
        </w:rPr>
        <w:t>196</w:t>
      </w:r>
      <w:r w:rsidR="00167852" w:rsidRPr="00E869A4">
        <w:rPr>
          <w:rFonts w:ascii="Times New Roman" w:hAnsi="Times New Roman" w:cs="Times New Roman"/>
        </w:rPr>
        <w:t>)</w:t>
      </w:r>
      <w:r w:rsidRPr="00E869A4">
        <w:rPr>
          <w:rFonts w:ascii="Times New Roman" w:hAnsi="Times New Roman" w:cs="Times New Roman"/>
        </w:rPr>
        <w:t xml:space="preserve">. For Gerhardt, the analytical framework of sociologists should take into account the fact that an individual's ability to cope is </w:t>
      </w:r>
      <w:r w:rsidRPr="00E869A4">
        <w:rPr>
          <w:rFonts w:ascii="Times New Roman" w:hAnsi="Times New Roman" w:cs="Times New Roman"/>
        </w:rPr>
        <w:lastRenderedPageBreak/>
        <w:t xml:space="preserve">influenced by the </w:t>
      </w:r>
      <w:r w:rsidR="00E4183E" w:rsidRPr="00E869A4">
        <w:rPr>
          <w:rFonts w:ascii="Times New Roman" w:hAnsi="Times New Roman" w:cs="Times New Roman"/>
        </w:rPr>
        <w:t>organisation</w:t>
      </w:r>
      <w:r w:rsidRPr="00E869A4">
        <w:rPr>
          <w:rFonts w:ascii="Times New Roman" w:hAnsi="Times New Roman" w:cs="Times New Roman"/>
        </w:rPr>
        <w:t xml:space="preserve"> and distribution of economic and political resources in society. To achieve this, he adopted a Marxist approach to assess coping in his study. </w:t>
      </w:r>
    </w:p>
    <w:p w14:paraId="1676A2A7" w14:textId="77777777" w:rsidR="00943354" w:rsidRPr="00E869A4" w:rsidRDefault="00943354" w:rsidP="00A35FF8">
      <w:pPr>
        <w:rPr>
          <w:rFonts w:ascii="Times New Roman" w:hAnsi="Times New Roman" w:cs="Times New Roman"/>
        </w:rPr>
      </w:pPr>
    </w:p>
    <w:p w14:paraId="604A963D" w14:textId="6B203EDF"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Gerhardt (1979) provided a more balanced view of coping strategies </w:t>
      </w:r>
      <w:r w:rsidRPr="00E869A4">
        <w:rPr>
          <w:rFonts w:ascii="Times New Roman" w:hAnsi="Times New Roman" w:cs="Times New Roman"/>
          <w:i/>
        </w:rPr>
        <w:t>vis à vis</w:t>
      </w:r>
      <w:r w:rsidRPr="00E869A4">
        <w:rPr>
          <w:rFonts w:ascii="Times New Roman" w:hAnsi="Times New Roman" w:cs="Times New Roman"/>
        </w:rPr>
        <w:t xml:space="preserve"> structure when compared to Bury’s notions of coping as strategy or strategic management mentioned earli</w:t>
      </w:r>
      <w:r w:rsidR="000161A5" w:rsidRPr="00E869A4">
        <w:rPr>
          <w:rFonts w:ascii="Times New Roman" w:hAnsi="Times New Roman" w:cs="Times New Roman"/>
        </w:rPr>
        <w:t xml:space="preserve">er. Gerhardt </w:t>
      </w:r>
      <w:r w:rsidR="00E82F97" w:rsidRPr="00E869A4">
        <w:rPr>
          <w:rFonts w:ascii="Times New Roman" w:hAnsi="Times New Roman" w:cs="Times New Roman"/>
        </w:rPr>
        <w:t xml:space="preserve">(1979, p. </w:t>
      </w:r>
      <w:r w:rsidR="00F2395E" w:rsidRPr="00E869A4">
        <w:rPr>
          <w:rFonts w:ascii="Times New Roman" w:hAnsi="Times New Roman" w:cs="Times New Roman"/>
        </w:rPr>
        <w:t>218</w:t>
      </w:r>
      <w:r w:rsidR="00E82F97" w:rsidRPr="00E869A4">
        <w:rPr>
          <w:rFonts w:ascii="Times New Roman" w:hAnsi="Times New Roman" w:cs="Times New Roman"/>
        </w:rPr>
        <w:t xml:space="preserve">) </w:t>
      </w:r>
      <w:r w:rsidR="000161A5" w:rsidRPr="00E869A4">
        <w:rPr>
          <w:rFonts w:ascii="Times New Roman" w:hAnsi="Times New Roman" w:cs="Times New Roman"/>
        </w:rPr>
        <w:t>argued that coping:</w:t>
      </w:r>
    </w:p>
    <w:p w14:paraId="28729D7E" w14:textId="77777777" w:rsidR="00943354" w:rsidRPr="00E869A4" w:rsidRDefault="00943354" w:rsidP="003E23F9">
      <w:pPr>
        <w:autoSpaceDE w:val="0"/>
        <w:autoSpaceDN w:val="0"/>
        <w:adjustRightInd w:val="0"/>
        <w:spacing w:line="240" w:lineRule="auto"/>
        <w:ind w:firstLine="720"/>
        <w:rPr>
          <w:rFonts w:ascii="Times New Roman" w:hAnsi="Times New Roman" w:cs="Times New Roman"/>
        </w:rPr>
      </w:pPr>
    </w:p>
    <w:p w14:paraId="5010C3DD" w14:textId="2819BD27" w:rsidR="00855EB2" w:rsidRPr="00E869A4" w:rsidRDefault="00053D25" w:rsidP="00E82F97">
      <w:pPr>
        <w:spacing w:line="240" w:lineRule="auto"/>
        <w:ind w:left="567" w:firstLine="0"/>
        <w:rPr>
          <w:rFonts w:ascii="Times New Roman" w:hAnsi="Times New Roman" w:cs="Times New Roman"/>
        </w:rPr>
      </w:pPr>
      <w:r w:rsidRPr="00E869A4">
        <w:rPr>
          <w:rFonts w:ascii="Times New Roman" w:hAnsi="Times New Roman" w:cs="Times New Roman"/>
        </w:rPr>
        <w:t>[E]</w:t>
      </w:r>
      <w:r w:rsidR="00855EB2" w:rsidRPr="00E869A4">
        <w:rPr>
          <w:rFonts w:ascii="Times New Roman" w:hAnsi="Times New Roman" w:cs="Times New Roman"/>
        </w:rPr>
        <w:t>xtends beyond the strategic callousness of the skilful actor whom Goffman pictures as the stage manager of his everyday life. Rather, coping becomes conscious production (or attempts to do so) under the circumstances and limited opportunities which characterize the quality of one's social existence</w:t>
      </w:r>
      <w:r w:rsidR="000161A5" w:rsidRPr="00E869A4">
        <w:rPr>
          <w:rFonts w:ascii="Times New Roman" w:hAnsi="Times New Roman" w:cs="Times New Roman"/>
        </w:rPr>
        <w:t xml:space="preserve">. </w:t>
      </w:r>
    </w:p>
    <w:p w14:paraId="2E36CE00" w14:textId="77777777" w:rsidR="00943354" w:rsidRPr="00E869A4" w:rsidRDefault="00943354" w:rsidP="003E23F9">
      <w:pPr>
        <w:autoSpaceDE w:val="0"/>
        <w:autoSpaceDN w:val="0"/>
        <w:adjustRightInd w:val="0"/>
        <w:spacing w:line="240" w:lineRule="auto"/>
        <w:ind w:firstLine="720"/>
        <w:rPr>
          <w:rFonts w:ascii="Times New Roman" w:hAnsi="Times New Roman" w:cs="Times New Roman"/>
        </w:rPr>
      </w:pPr>
    </w:p>
    <w:p w14:paraId="0789B23E" w14:textId="77777777" w:rsidR="00855EB2" w:rsidRPr="00E869A4" w:rsidRDefault="00855EB2" w:rsidP="00C42AF9">
      <w:pPr>
        <w:ind w:firstLine="0"/>
        <w:rPr>
          <w:rFonts w:ascii="Times New Roman" w:hAnsi="Times New Roman" w:cs="Times New Roman"/>
        </w:rPr>
      </w:pPr>
      <w:r w:rsidRPr="00E869A4">
        <w:rPr>
          <w:rFonts w:ascii="Times New Roman" w:hAnsi="Times New Roman" w:cs="Times New Roman"/>
        </w:rPr>
        <w:t xml:space="preserve">He distinguished social coping from psycho-physiological coping and psychological coping and qualified these as follows: </w:t>
      </w:r>
    </w:p>
    <w:p w14:paraId="488798A4" w14:textId="75B91160" w:rsidR="00855EB2" w:rsidRPr="00E869A4" w:rsidRDefault="00855EB2" w:rsidP="009D4C5D">
      <w:pPr>
        <w:pStyle w:val="ListParagraph"/>
        <w:numPr>
          <w:ilvl w:val="0"/>
          <w:numId w:val="58"/>
        </w:numPr>
        <w:ind w:left="714" w:hanging="357"/>
        <w:rPr>
          <w:rFonts w:ascii="Times New Roman" w:hAnsi="Times New Roman" w:cs="Times New Roman"/>
        </w:rPr>
      </w:pPr>
      <w:r w:rsidRPr="00E869A4">
        <w:rPr>
          <w:rFonts w:ascii="Times New Roman" w:hAnsi="Times New Roman" w:cs="Times New Roman"/>
          <w:i/>
        </w:rPr>
        <w:t>Psycho-physiological coping</w:t>
      </w:r>
      <w:r w:rsidRPr="00E869A4">
        <w:rPr>
          <w:rFonts w:ascii="Times New Roman" w:hAnsi="Times New Roman" w:cs="Times New Roman"/>
        </w:rPr>
        <w:t xml:space="preserve"> – all cognitive and motor activities which a sick person employs to preserve his bodily and psychic identity, to recover reversibly impaired function and compensate to the limit </w:t>
      </w:r>
      <w:r w:rsidR="000161A5" w:rsidRPr="00E869A4">
        <w:rPr>
          <w:rFonts w:ascii="Times New Roman" w:hAnsi="Times New Roman" w:cs="Times New Roman"/>
        </w:rPr>
        <w:t>for any irreversible impairment</w:t>
      </w:r>
      <w:r w:rsidRPr="00E869A4">
        <w:rPr>
          <w:rFonts w:ascii="Times New Roman" w:hAnsi="Times New Roman" w:cs="Times New Roman"/>
        </w:rPr>
        <w:t>. Coping is seen as a psycho-physiological reaction of the body to life</w:t>
      </w:r>
      <w:r w:rsidR="004170DB" w:rsidRPr="00E869A4">
        <w:rPr>
          <w:rFonts w:ascii="Times New Roman" w:hAnsi="Times New Roman" w:cs="Times New Roman"/>
        </w:rPr>
        <w:t xml:space="preserve"> </w:t>
      </w:r>
      <w:r w:rsidRPr="00E869A4">
        <w:rPr>
          <w:rFonts w:ascii="Times New Roman" w:hAnsi="Times New Roman" w:cs="Times New Roman"/>
        </w:rPr>
        <w:t>change. Psycho-physiological mechanisms are referred to as coping devices</w:t>
      </w:r>
      <w:r w:rsidR="00C42AF9" w:rsidRPr="00E869A4">
        <w:rPr>
          <w:rFonts w:ascii="Times New Roman" w:hAnsi="Times New Roman" w:cs="Times New Roman"/>
        </w:rPr>
        <w:t>;</w:t>
      </w:r>
      <w:r w:rsidRPr="00E869A4">
        <w:rPr>
          <w:rFonts w:ascii="Times New Roman" w:hAnsi="Times New Roman" w:cs="Times New Roman"/>
        </w:rPr>
        <w:t xml:space="preserve"> </w:t>
      </w:r>
    </w:p>
    <w:p w14:paraId="14F79430" w14:textId="51241688" w:rsidR="00855EB2" w:rsidRPr="00E869A4" w:rsidRDefault="00855EB2" w:rsidP="009D4C5D">
      <w:pPr>
        <w:pStyle w:val="ListParagraph"/>
        <w:numPr>
          <w:ilvl w:val="0"/>
          <w:numId w:val="9"/>
        </w:numPr>
        <w:contextualSpacing w:val="0"/>
        <w:rPr>
          <w:rFonts w:ascii="Times New Roman" w:hAnsi="Times New Roman" w:cs="Times New Roman"/>
        </w:rPr>
      </w:pPr>
      <w:r w:rsidRPr="00E869A4">
        <w:rPr>
          <w:rFonts w:ascii="Times New Roman" w:hAnsi="Times New Roman" w:cs="Times New Roman"/>
          <w:i/>
        </w:rPr>
        <w:t>Psychological Coping</w:t>
      </w:r>
      <w:r w:rsidRPr="00E869A4">
        <w:rPr>
          <w:rFonts w:ascii="Times New Roman" w:hAnsi="Times New Roman" w:cs="Times New Roman"/>
        </w:rPr>
        <w:t xml:space="preserve"> </w:t>
      </w:r>
      <w:bookmarkStart w:id="224" w:name="_Hlk28089975"/>
      <w:r w:rsidR="00114D9C" w:rsidRPr="00E869A4">
        <w:rPr>
          <w:rFonts w:ascii="Times New Roman" w:hAnsi="Times New Roman" w:cs="Times New Roman"/>
        </w:rPr>
        <w:t xml:space="preserve">– </w:t>
      </w:r>
      <w:bookmarkEnd w:id="224"/>
      <w:r w:rsidRPr="00E869A4">
        <w:rPr>
          <w:rFonts w:ascii="Times New Roman" w:hAnsi="Times New Roman" w:cs="Times New Roman"/>
        </w:rPr>
        <w:t xml:space="preserve">identified in terms of personality traits or cognitive processes as </w:t>
      </w:r>
      <w:r w:rsidR="00E219CB" w:rsidRPr="00E869A4">
        <w:rPr>
          <w:rFonts w:ascii="Times New Roman" w:hAnsi="Times New Roman" w:cs="Times New Roman"/>
        </w:rPr>
        <w:t>resources, which</w:t>
      </w:r>
      <w:r w:rsidRPr="00E869A4">
        <w:rPr>
          <w:rFonts w:ascii="Times New Roman" w:hAnsi="Times New Roman" w:cs="Times New Roman"/>
        </w:rPr>
        <w:t xml:space="preserve"> characterize persons who after a stressful event do not develop an illness. Coping is deemed a psychological process</w:t>
      </w:r>
      <w:r w:rsidR="00C42AF9" w:rsidRPr="00E869A4">
        <w:rPr>
          <w:rFonts w:ascii="Times New Roman" w:hAnsi="Times New Roman" w:cs="Times New Roman"/>
        </w:rPr>
        <w:t>;</w:t>
      </w:r>
    </w:p>
    <w:p w14:paraId="78FCA949" w14:textId="3F95A52C" w:rsidR="00855EB2" w:rsidRPr="00E869A4" w:rsidRDefault="00855EB2" w:rsidP="009D4C5D">
      <w:pPr>
        <w:pStyle w:val="ListParagraph"/>
        <w:numPr>
          <w:ilvl w:val="0"/>
          <w:numId w:val="9"/>
        </w:numPr>
        <w:contextualSpacing w:val="0"/>
        <w:rPr>
          <w:rFonts w:ascii="Times New Roman" w:hAnsi="Times New Roman" w:cs="Times New Roman"/>
        </w:rPr>
      </w:pPr>
      <w:r w:rsidRPr="00E869A4">
        <w:rPr>
          <w:rFonts w:ascii="Times New Roman" w:hAnsi="Times New Roman" w:cs="Times New Roman"/>
          <w:i/>
        </w:rPr>
        <w:t>Social Coping</w:t>
      </w:r>
      <w:r w:rsidRPr="00E869A4">
        <w:rPr>
          <w:rFonts w:ascii="Times New Roman" w:hAnsi="Times New Roman" w:cs="Times New Roman"/>
        </w:rPr>
        <w:t xml:space="preserve"> </w:t>
      </w:r>
      <w:r w:rsidR="00114D9C" w:rsidRPr="00E869A4">
        <w:rPr>
          <w:rFonts w:ascii="Times New Roman" w:hAnsi="Times New Roman" w:cs="Times New Roman"/>
        </w:rPr>
        <w:t xml:space="preserve">– </w:t>
      </w:r>
      <w:r w:rsidRPr="00E869A4">
        <w:rPr>
          <w:rFonts w:ascii="Times New Roman" w:hAnsi="Times New Roman" w:cs="Times New Roman"/>
        </w:rPr>
        <w:t xml:space="preserve">An individual may tackle a problem by actively influencing his environment and doing something to change his situation. It is distinct from psychological coping in that the focus is not on </w:t>
      </w:r>
      <w:r w:rsidR="00F1576C" w:rsidRPr="00E869A4">
        <w:rPr>
          <w:rFonts w:ascii="Times New Roman" w:hAnsi="Times New Roman" w:cs="Times New Roman"/>
          <w:i/>
        </w:rPr>
        <w:t>‘</w:t>
      </w:r>
      <w:r w:rsidRPr="00E869A4">
        <w:rPr>
          <w:rFonts w:ascii="Times New Roman" w:hAnsi="Times New Roman" w:cs="Times New Roman"/>
          <w:i/>
        </w:rPr>
        <w:t>manipulation of</w:t>
      </w:r>
      <w:r w:rsidR="00F1576C" w:rsidRPr="00E869A4">
        <w:rPr>
          <w:rFonts w:ascii="Times New Roman" w:hAnsi="Times New Roman" w:cs="Times New Roman"/>
          <w:i/>
        </w:rPr>
        <w:t xml:space="preserve"> cognitions about the environment’</w:t>
      </w:r>
      <w:r w:rsidRPr="00E869A4">
        <w:rPr>
          <w:rFonts w:ascii="Times New Roman" w:hAnsi="Times New Roman" w:cs="Times New Roman"/>
        </w:rPr>
        <w:t xml:space="preserve"> but on </w:t>
      </w:r>
      <w:r w:rsidR="00F1576C" w:rsidRPr="00E869A4">
        <w:rPr>
          <w:rFonts w:ascii="Times New Roman" w:hAnsi="Times New Roman" w:cs="Times New Roman"/>
          <w:i/>
        </w:rPr>
        <w:t>‘</w:t>
      </w:r>
      <w:r w:rsidRPr="00E869A4">
        <w:rPr>
          <w:rFonts w:ascii="Times New Roman" w:hAnsi="Times New Roman" w:cs="Times New Roman"/>
          <w:i/>
        </w:rPr>
        <w:t>manipulation of the environment itself’</w:t>
      </w:r>
      <w:r w:rsidRPr="00E869A4">
        <w:rPr>
          <w:rFonts w:ascii="Times New Roman" w:hAnsi="Times New Roman" w:cs="Times New Roman"/>
        </w:rPr>
        <w:t xml:space="preserve"> (Gerhardt 1979</w:t>
      </w:r>
      <w:r w:rsidR="000161A5" w:rsidRPr="00E869A4">
        <w:rPr>
          <w:rFonts w:ascii="Times New Roman" w:hAnsi="Times New Roman" w:cs="Times New Roman"/>
        </w:rPr>
        <w:t>, p. 207</w:t>
      </w:r>
      <w:r w:rsidRPr="00E869A4">
        <w:rPr>
          <w:rFonts w:ascii="Times New Roman" w:hAnsi="Times New Roman" w:cs="Times New Roman"/>
        </w:rPr>
        <w:t>). It is more appropriate to adverse circumstances that are based on external public factors outside of the individual’s control and which require a call to action.</w:t>
      </w:r>
    </w:p>
    <w:p w14:paraId="0FF74A09" w14:textId="77777777" w:rsidR="00D968A3" w:rsidRPr="00E869A4" w:rsidRDefault="00D968A3" w:rsidP="00D968A3">
      <w:pPr>
        <w:pStyle w:val="ListParagraph"/>
        <w:contextualSpacing w:val="0"/>
        <w:rPr>
          <w:rFonts w:ascii="Times New Roman" w:hAnsi="Times New Roman" w:cs="Times New Roman"/>
        </w:rPr>
      </w:pPr>
    </w:p>
    <w:p w14:paraId="6D583F3C" w14:textId="2C86C350" w:rsidR="00855EB2" w:rsidRPr="00E869A4" w:rsidRDefault="00855EB2" w:rsidP="00E82F97">
      <w:pPr>
        <w:rPr>
          <w:rFonts w:ascii="Times New Roman" w:hAnsi="Times New Roman" w:cs="Times New Roman"/>
        </w:rPr>
      </w:pPr>
      <w:r w:rsidRPr="00E869A4">
        <w:rPr>
          <w:rFonts w:ascii="Times New Roman" w:hAnsi="Times New Roman" w:cs="Times New Roman"/>
        </w:rPr>
        <w:t>Thoits holds a similar position to Pearlin and Gerhardt and noted that</w:t>
      </w:r>
      <w:r w:rsidR="00053D25" w:rsidRPr="00E869A4">
        <w:rPr>
          <w:rFonts w:ascii="Times New Roman" w:hAnsi="Times New Roman" w:cs="Times New Roman"/>
        </w:rPr>
        <w:t xml:space="preserve"> </w:t>
      </w:r>
      <w:r w:rsidRPr="00E869A4">
        <w:rPr>
          <w:rFonts w:ascii="Times New Roman" w:hAnsi="Times New Roman" w:cs="Times New Roman"/>
        </w:rPr>
        <w:t>“studies of individuals' active efforts to cope with specific stressors may best reveal the complex interplay between personal agency and structural constraints on that agency</w:t>
      </w:r>
      <w:r w:rsidR="00E82F97" w:rsidRPr="00E869A4">
        <w:rPr>
          <w:rFonts w:ascii="Times New Roman" w:hAnsi="Times New Roman" w:cs="Times New Roman"/>
        </w:rPr>
        <w:t>.</w:t>
      </w:r>
      <w:r w:rsidR="00712991" w:rsidRPr="00E869A4">
        <w:rPr>
          <w:rFonts w:ascii="Times New Roman" w:hAnsi="Times New Roman" w:cs="Times New Roman"/>
        </w:rPr>
        <w:t>”</w:t>
      </w:r>
      <w:r w:rsidRPr="00E869A4">
        <w:rPr>
          <w:rFonts w:ascii="Times New Roman" w:hAnsi="Times New Roman" w:cs="Times New Roman"/>
        </w:rPr>
        <w:t xml:space="preserve"> </w:t>
      </w:r>
      <w:r w:rsidR="00053D25" w:rsidRPr="00E869A4">
        <w:rPr>
          <w:rFonts w:ascii="Times New Roman" w:hAnsi="Times New Roman" w:cs="Times New Roman"/>
        </w:rPr>
        <w:t>(Thoits 1995, p. 68).</w:t>
      </w:r>
      <w:r w:rsidR="00E82F97" w:rsidRPr="00E869A4">
        <w:rPr>
          <w:rFonts w:ascii="Times New Roman" w:hAnsi="Times New Roman" w:cs="Times New Roman"/>
        </w:rPr>
        <w:t xml:space="preserve"> </w:t>
      </w:r>
      <w:r w:rsidRPr="00E869A4">
        <w:rPr>
          <w:rFonts w:ascii="Times New Roman" w:hAnsi="Times New Roman" w:cs="Times New Roman"/>
        </w:rPr>
        <w:t xml:space="preserve">However, she </w:t>
      </w:r>
      <w:r w:rsidR="00E82F97" w:rsidRPr="00E869A4">
        <w:rPr>
          <w:rFonts w:ascii="Times New Roman" w:hAnsi="Times New Roman" w:cs="Times New Roman"/>
        </w:rPr>
        <w:t xml:space="preserve">(Thoits 1995, p. 62) </w:t>
      </w:r>
      <w:r w:rsidR="00BB1BE3" w:rsidRPr="00E869A4">
        <w:rPr>
          <w:rFonts w:ascii="Times New Roman" w:hAnsi="Times New Roman" w:cs="Times New Roman"/>
        </w:rPr>
        <w:t>observed</w:t>
      </w:r>
      <w:r w:rsidRPr="00E869A4">
        <w:rPr>
          <w:rFonts w:ascii="Times New Roman" w:hAnsi="Times New Roman" w:cs="Times New Roman"/>
        </w:rPr>
        <w:t xml:space="preserve"> that research thus far on the impact of structure on coping in later life is either inadequate or inconclusive</w:t>
      </w:r>
      <w:r w:rsidR="00B02A90" w:rsidRPr="00E869A4">
        <w:rPr>
          <w:rFonts w:ascii="Times New Roman" w:hAnsi="Times New Roman" w:cs="Times New Roman"/>
        </w:rPr>
        <w:t>:</w:t>
      </w:r>
    </w:p>
    <w:p w14:paraId="37B5ACE2" w14:textId="44813DF9" w:rsidR="00855EB2" w:rsidRPr="00E869A4" w:rsidRDefault="00855EB2" w:rsidP="00E82F97">
      <w:pPr>
        <w:spacing w:line="240" w:lineRule="auto"/>
        <w:ind w:left="567" w:firstLine="0"/>
        <w:rPr>
          <w:rFonts w:ascii="Times New Roman" w:hAnsi="Times New Roman" w:cs="Times New Roman"/>
        </w:rPr>
      </w:pPr>
      <w:r w:rsidRPr="00E869A4">
        <w:rPr>
          <w:rFonts w:ascii="Times New Roman" w:hAnsi="Times New Roman" w:cs="Times New Roman"/>
        </w:rPr>
        <w:lastRenderedPageBreak/>
        <w:t>To date, there are no reliable findings with respect to age d</w:t>
      </w:r>
      <w:r w:rsidR="00056DBE" w:rsidRPr="00E869A4">
        <w:rPr>
          <w:rFonts w:ascii="Times New Roman" w:hAnsi="Times New Roman" w:cs="Times New Roman"/>
        </w:rPr>
        <w:t>ifferences in coping responses ..</w:t>
      </w:r>
      <w:r w:rsidRPr="00E869A4">
        <w:rPr>
          <w:rFonts w:ascii="Times New Roman" w:hAnsi="Times New Roman" w:cs="Times New Roman"/>
        </w:rPr>
        <w:t>. Racial and socioeconomic differences have rarely been examined</w:t>
      </w:r>
      <w:r w:rsidR="000B2276" w:rsidRPr="00E869A4">
        <w:rPr>
          <w:rFonts w:ascii="Times New Roman" w:hAnsi="Times New Roman" w:cs="Times New Roman"/>
        </w:rPr>
        <w:t xml:space="preserve"> </w:t>
      </w:r>
      <w:r w:rsidRPr="00E869A4">
        <w:rPr>
          <w:rFonts w:ascii="Times New Roman" w:hAnsi="Times New Roman" w:cs="Times New Roman"/>
        </w:rPr>
        <w:t>… In general, social status differences in coping styles and in situational coping responses require further exploration</w:t>
      </w:r>
      <w:r w:rsidR="000B2276" w:rsidRPr="00E869A4">
        <w:rPr>
          <w:rFonts w:ascii="Times New Roman" w:hAnsi="Times New Roman" w:cs="Times New Roman"/>
        </w:rPr>
        <w:t xml:space="preserve"> </w:t>
      </w:r>
      <w:r w:rsidR="00056DBE" w:rsidRPr="00E869A4">
        <w:rPr>
          <w:rFonts w:ascii="Times New Roman" w:hAnsi="Times New Roman" w:cs="Times New Roman"/>
        </w:rPr>
        <w:t>..</w:t>
      </w:r>
      <w:r w:rsidRPr="00E869A4">
        <w:rPr>
          <w:rFonts w:ascii="Times New Roman" w:hAnsi="Times New Roman" w:cs="Times New Roman"/>
        </w:rPr>
        <w:t xml:space="preserve">. Whether social status differences in the use of coping strategies help explain status variations in health and mental health outcomes is a crucial issue which deserves far more research attention by </w:t>
      </w:r>
      <w:r w:rsidR="00053D25" w:rsidRPr="00E869A4">
        <w:rPr>
          <w:rFonts w:ascii="Times New Roman" w:hAnsi="Times New Roman" w:cs="Times New Roman"/>
        </w:rPr>
        <w:t>sociologists.</w:t>
      </w:r>
    </w:p>
    <w:p w14:paraId="28CDB6EC" w14:textId="77777777" w:rsidR="0003179A" w:rsidRPr="00E869A4" w:rsidRDefault="0003179A" w:rsidP="00712991">
      <w:pPr>
        <w:ind w:left="567"/>
        <w:rPr>
          <w:rFonts w:ascii="Times New Roman" w:hAnsi="Times New Roman" w:cs="Times New Roman"/>
        </w:rPr>
      </w:pPr>
    </w:p>
    <w:p w14:paraId="1A78074C" w14:textId="77777777" w:rsidR="00855EB2" w:rsidRPr="00E869A4" w:rsidRDefault="00855EB2" w:rsidP="004E2181">
      <w:pPr>
        <w:pStyle w:val="Heading4"/>
      </w:pPr>
      <w:bookmarkStart w:id="225" w:name="_Toc505945225"/>
      <w:r w:rsidRPr="00E869A4">
        <w:t>Coping and Social Support</w:t>
      </w:r>
      <w:bookmarkEnd w:id="225"/>
    </w:p>
    <w:p w14:paraId="09BCA888" w14:textId="77777777" w:rsidR="00D968A3" w:rsidRPr="00E869A4" w:rsidRDefault="00D968A3" w:rsidP="0051234F">
      <w:pPr>
        <w:pStyle w:val="112"/>
        <w:rPr>
          <w:color w:val="auto"/>
        </w:rPr>
      </w:pPr>
    </w:p>
    <w:p w14:paraId="26ABA0BF" w14:textId="75E529CF" w:rsidR="00855EB2" w:rsidRPr="00E869A4" w:rsidRDefault="00855EB2" w:rsidP="00A35FF8">
      <w:pPr>
        <w:rPr>
          <w:rFonts w:ascii="Times New Roman" w:hAnsi="Times New Roman" w:cs="Times New Roman"/>
        </w:rPr>
      </w:pPr>
      <w:r w:rsidRPr="00E869A4">
        <w:rPr>
          <w:rFonts w:ascii="Times New Roman" w:hAnsi="Times New Roman" w:cs="Times New Roman"/>
        </w:rPr>
        <w:t>It is widely accepted that social support systems are one of the main mediating factors that help with overcoming stressful situations. It is the “the most frequently studied</w:t>
      </w:r>
      <w:r w:rsidR="00B02A90" w:rsidRPr="00E869A4">
        <w:rPr>
          <w:rFonts w:ascii="Times New Roman" w:hAnsi="Times New Roman" w:cs="Times New Roman"/>
        </w:rPr>
        <w:t xml:space="preserve"> psychosocial resource</w:t>
      </w:r>
      <w:r w:rsidR="00E82F97" w:rsidRPr="00E869A4">
        <w:rPr>
          <w:rFonts w:ascii="Times New Roman" w:hAnsi="Times New Roman" w:cs="Times New Roman"/>
        </w:rPr>
        <w:t>.</w:t>
      </w:r>
      <w:r w:rsidR="00B02A90" w:rsidRPr="00E869A4">
        <w:rPr>
          <w:rFonts w:ascii="Times New Roman" w:hAnsi="Times New Roman" w:cs="Times New Roman"/>
        </w:rPr>
        <w:t>” (Thoits</w:t>
      </w:r>
      <w:r w:rsidRPr="00E869A4">
        <w:rPr>
          <w:rFonts w:ascii="Times New Roman" w:hAnsi="Times New Roman" w:cs="Times New Roman"/>
        </w:rPr>
        <w:t xml:space="preserve"> 1995</w:t>
      </w:r>
      <w:r w:rsidR="00B02A90" w:rsidRPr="00E869A4">
        <w:rPr>
          <w:rFonts w:ascii="Times New Roman" w:hAnsi="Times New Roman" w:cs="Times New Roman"/>
        </w:rPr>
        <w:t>, p.</w:t>
      </w:r>
      <w:r w:rsidRPr="00E869A4">
        <w:rPr>
          <w:rFonts w:ascii="Times New Roman" w:hAnsi="Times New Roman" w:cs="Times New Roman"/>
        </w:rPr>
        <w:t xml:space="preserve">64). According to Pearlin (1989), social support systems refer to the mix of formal and informal social attachments of friends and relatives that an individual actually uses in dealing with life’s problems. It is a subset of one’s social </w:t>
      </w:r>
      <w:r w:rsidR="00E219CB" w:rsidRPr="00E869A4">
        <w:rPr>
          <w:rFonts w:ascii="Times New Roman" w:hAnsi="Times New Roman" w:cs="Times New Roman"/>
        </w:rPr>
        <w:t>network, which</w:t>
      </w:r>
      <w:r w:rsidRPr="00E869A4">
        <w:rPr>
          <w:rFonts w:ascii="Times New Roman" w:hAnsi="Times New Roman" w:cs="Times New Roman"/>
        </w:rPr>
        <w:t xml:space="preserve"> he define</w:t>
      </w:r>
      <w:r w:rsidR="00E219CB" w:rsidRPr="00E869A4">
        <w:rPr>
          <w:rFonts w:ascii="Times New Roman" w:hAnsi="Times New Roman" w:cs="Times New Roman"/>
        </w:rPr>
        <w:t>d</w:t>
      </w:r>
      <w:r w:rsidRPr="00E869A4">
        <w:rPr>
          <w:rFonts w:ascii="Times New Roman" w:hAnsi="Times New Roman" w:cs="Times New Roman"/>
        </w:rPr>
        <w:t xml:space="preserve"> as “the totality of social resources on which one potentially may draw</w:t>
      </w:r>
      <w:r w:rsidR="00E82F97" w:rsidRPr="00E869A4">
        <w:rPr>
          <w:rFonts w:ascii="Times New Roman" w:hAnsi="Times New Roman" w:cs="Times New Roman"/>
        </w:rPr>
        <w:t>.</w:t>
      </w:r>
      <w:r w:rsidRPr="00E869A4">
        <w:rPr>
          <w:rFonts w:ascii="Times New Roman" w:hAnsi="Times New Roman" w:cs="Times New Roman"/>
        </w:rPr>
        <w:t>” (Pearlin</w:t>
      </w:r>
      <w:r w:rsidR="00B02A90" w:rsidRPr="00E869A4">
        <w:rPr>
          <w:rFonts w:ascii="Times New Roman" w:hAnsi="Times New Roman" w:cs="Times New Roman"/>
        </w:rPr>
        <w:t xml:space="preserve"> </w:t>
      </w:r>
      <w:r w:rsidRPr="00E869A4">
        <w:rPr>
          <w:rFonts w:ascii="Times New Roman" w:hAnsi="Times New Roman" w:cs="Times New Roman"/>
        </w:rPr>
        <w:t>1989</w:t>
      </w:r>
      <w:r w:rsidR="00B02A90" w:rsidRPr="00E869A4">
        <w:rPr>
          <w:rFonts w:ascii="Times New Roman" w:hAnsi="Times New Roman" w:cs="Times New Roman"/>
        </w:rPr>
        <w:t>, p.</w:t>
      </w:r>
      <w:r w:rsidRPr="00E869A4">
        <w:rPr>
          <w:rFonts w:ascii="Times New Roman" w:hAnsi="Times New Roman" w:cs="Times New Roman"/>
        </w:rPr>
        <w:t xml:space="preserve"> 251)</w:t>
      </w:r>
      <w:r w:rsidRPr="00E869A4">
        <w:rPr>
          <w:rStyle w:val="FootnoteReference"/>
          <w:rFonts w:ascii="Times New Roman" w:hAnsi="Times New Roman" w:cs="Times New Roman"/>
        </w:rPr>
        <w:footnoteReference w:id="40"/>
      </w:r>
      <w:r w:rsidRPr="00E869A4">
        <w:rPr>
          <w:rFonts w:ascii="Times New Roman" w:hAnsi="Times New Roman" w:cs="Times New Roman"/>
        </w:rPr>
        <w:t>. More specifically, social networks indicate the organisation, extensiveness and composition of people’s social attachments across a range of institutional and social contexts such as the family, neighbourhood, occupation, religion, civil society groups and medical care systems.</w:t>
      </w:r>
      <w:r w:rsidR="00053D25" w:rsidRPr="00E869A4">
        <w:rPr>
          <w:rFonts w:ascii="Times New Roman" w:hAnsi="Times New Roman" w:cs="Times New Roman"/>
        </w:rPr>
        <w:t xml:space="preserve"> </w:t>
      </w:r>
      <w:r w:rsidRPr="00E869A4">
        <w:rPr>
          <w:rFonts w:ascii="Times New Roman" w:hAnsi="Times New Roman" w:cs="Times New Roman"/>
        </w:rPr>
        <w:t xml:space="preserve">Thoits </w:t>
      </w:r>
      <w:r w:rsidR="00E82F97" w:rsidRPr="00E869A4">
        <w:rPr>
          <w:rFonts w:ascii="Times New Roman" w:hAnsi="Times New Roman" w:cs="Times New Roman"/>
        </w:rPr>
        <w:t xml:space="preserve">(1995, p. 64) </w:t>
      </w:r>
      <w:r w:rsidRPr="00E869A4">
        <w:rPr>
          <w:rFonts w:ascii="Times New Roman" w:hAnsi="Times New Roman" w:cs="Times New Roman"/>
        </w:rPr>
        <w:t>echoed this sentiment and observed that</w:t>
      </w:r>
      <w:r w:rsidR="00B02A90" w:rsidRPr="00E869A4">
        <w:rPr>
          <w:rFonts w:ascii="Times New Roman" w:hAnsi="Times New Roman" w:cs="Times New Roman"/>
        </w:rPr>
        <w:t>:</w:t>
      </w:r>
    </w:p>
    <w:p w14:paraId="21428778" w14:textId="77777777" w:rsidR="00943354" w:rsidRPr="00E869A4" w:rsidRDefault="00943354" w:rsidP="004B2F97">
      <w:pPr>
        <w:spacing w:line="240" w:lineRule="auto"/>
        <w:rPr>
          <w:rFonts w:ascii="Times New Roman" w:hAnsi="Times New Roman" w:cs="Times New Roman"/>
        </w:rPr>
      </w:pPr>
    </w:p>
    <w:p w14:paraId="1053D665" w14:textId="43F0C594" w:rsidR="00855EB2" w:rsidRPr="00E869A4" w:rsidRDefault="00855EB2" w:rsidP="00E82F97">
      <w:pPr>
        <w:spacing w:line="240" w:lineRule="auto"/>
        <w:ind w:left="720" w:firstLine="0"/>
        <w:rPr>
          <w:rFonts w:ascii="Times New Roman" w:hAnsi="Times New Roman" w:cs="Times New Roman"/>
        </w:rPr>
      </w:pPr>
      <w:r w:rsidRPr="00E869A4">
        <w:rPr>
          <w:rFonts w:ascii="Times New Roman" w:hAnsi="Times New Roman" w:cs="Times New Roman"/>
        </w:rPr>
        <w:t xml:space="preserve">Indeed, the size of a person's social network, the cohesiveness of the network, and the types of relationships in a network (e.g., strong ties vs. weak ties) have been shown to influence the receipt of </w:t>
      </w:r>
      <w:r w:rsidR="00E82F97" w:rsidRPr="00E869A4">
        <w:rPr>
          <w:rFonts w:ascii="Times New Roman" w:hAnsi="Times New Roman" w:cs="Times New Roman"/>
        </w:rPr>
        <w:t>various kinds of social support</w:t>
      </w:r>
      <w:r w:rsidR="00053D25" w:rsidRPr="00E869A4">
        <w:rPr>
          <w:rFonts w:ascii="Times New Roman" w:hAnsi="Times New Roman" w:cs="Times New Roman"/>
        </w:rPr>
        <w:t xml:space="preserve">. </w:t>
      </w:r>
      <w:r w:rsidRPr="00E869A4">
        <w:rPr>
          <w:rFonts w:ascii="Times New Roman" w:hAnsi="Times New Roman" w:cs="Times New Roman"/>
        </w:rPr>
        <w:t xml:space="preserve"> </w:t>
      </w:r>
    </w:p>
    <w:p w14:paraId="683AD171" w14:textId="77777777" w:rsidR="00C42AF9" w:rsidRPr="00E869A4" w:rsidRDefault="00C42AF9" w:rsidP="00394CC6">
      <w:pPr>
        <w:spacing w:line="240" w:lineRule="auto"/>
        <w:ind w:left="720" w:firstLine="62"/>
        <w:rPr>
          <w:rFonts w:ascii="Times New Roman" w:hAnsi="Times New Roman" w:cs="Times New Roman"/>
        </w:rPr>
      </w:pPr>
    </w:p>
    <w:p w14:paraId="795749AD" w14:textId="1DACD389" w:rsidR="00855EB2" w:rsidRPr="00E869A4" w:rsidRDefault="00855EB2" w:rsidP="00E82F97">
      <w:pPr>
        <w:ind w:firstLine="0"/>
        <w:rPr>
          <w:rFonts w:ascii="Times New Roman" w:hAnsi="Times New Roman" w:cs="Times New Roman"/>
        </w:rPr>
      </w:pPr>
      <w:r w:rsidRPr="00E869A4">
        <w:rPr>
          <w:rFonts w:ascii="Times New Roman" w:hAnsi="Times New Roman" w:cs="Times New Roman"/>
        </w:rPr>
        <w:t>Thoits defined social support as “a coping r</w:t>
      </w:r>
      <w:r w:rsidR="002846E8" w:rsidRPr="00E869A4">
        <w:rPr>
          <w:rFonts w:ascii="Times New Roman" w:hAnsi="Times New Roman" w:cs="Times New Roman"/>
        </w:rPr>
        <w:t>esource</w:t>
      </w:r>
      <w:r w:rsidR="0055048A" w:rsidRPr="00E869A4">
        <w:rPr>
          <w:rFonts w:ascii="Times New Roman" w:hAnsi="Times New Roman" w:cs="Times New Roman"/>
        </w:rPr>
        <w:t xml:space="preserve">, </w:t>
      </w:r>
      <w:r w:rsidR="002846E8" w:rsidRPr="00E869A4">
        <w:rPr>
          <w:rFonts w:ascii="Times New Roman" w:hAnsi="Times New Roman" w:cs="Times New Roman"/>
        </w:rPr>
        <w:t>in this case, a social ‘</w:t>
      </w:r>
      <w:r w:rsidRPr="00E869A4">
        <w:rPr>
          <w:rFonts w:ascii="Times New Roman" w:hAnsi="Times New Roman" w:cs="Times New Roman"/>
        </w:rPr>
        <w:t>fund</w:t>
      </w:r>
      <w:r w:rsidR="002846E8" w:rsidRPr="00E869A4">
        <w:rPr>
          <w:rFonts w:ascii="Times New Roman" w:hAnsi="Times New Roman" w:cs="Times New Roman"/>
        </w:rPr>
        <w:t>’</w:t>
      </w:r>
      <w:r w:rsidRPr="00E869A4">
        <w:rPr>
          <w:rFonts w:ascii="Times New Roman" w:hAnsi="Times New Roman" w:cs="Times New Roman"/>
        </w:rPr>
        <w:t xml:space="preserve"> from which people may draw when handling stressors</w:t>
      </w:r>
      <w:r w:rsidR="00E82F97" w:rsidRPr="00E869A4">
        <w:rPr>
          <w:rFonts w:ascii="Times New Roman" w:hAnsi="Times New Roman" w:cs="Times New Roman"/>
        </w:rPr>
        <w:t>.</w:t>
      </w:r>
      <w:r w:rsidRPr="00E869A4">
        <w:rPr>
          <w:rFonts w:ascii="Times New Roman" w:hAnsi="Times New Roman" w:cs="Times New Roman"/>
        </w:rPr>
        <w:t>”</w:t>
      </w:r>
      <w:r w:rsidR="00053D25" w:rsidRPr="00E869A4">
        <w:rPr>
          <w:rFonts w:ascii="Times New Roman" w:hAnsi="Times New Roman" w:cs="Times New Roman"/>
        </w:rPr>
        <w:t xml:space="preserve"> (Thoits 1995, p.64)</w:t>
      </w:r>
      <w:r w:rsidRPr="00E869A4">
        <w:rPr>
          <w:rFonts w:ascii="Times New Roman" w:hAnsi="Times New Roman" w:cs="Times New Roman"/>
        </w:rPr>
        <w:t xml:space="preserve">. She </w:t>
      </w:r>
      <w:r w:rsidR="00E82F97" w:rsidRPr="00E869A4">
        <w:rPr>
          <w:rFonts w:ascii="Times New Roman" w:hAnsi="Times New Roman" w:cs="Times New Roman"/>
        </w:rPr>
        <w:t xml:space="preserve">went </w:t>
      </w:r>
      <w:r w:rsidRPr="00E869A4">
        <w:rPr>
          <w:rFonts w:ascii="Times New Roman" w:hAnsi="Times New Roman" w:cs="Times New Roman"/>
        </w:rPr>
        <w:t>on to note that it “refers to [various supportive] functions performed for the individual by significant others, such as family members, friends, and co-workers</w:t>
      </w:r>
      <w:r w:rsidR="00E82F97" w:rsidRPr="00E869A4">
        <w:rPr>
          <w:rFonts w:ascii="Times New Roman" w:hAnsi="Times New Roman" w:cs="Times New Roman"/>
        </w:rPr>
        <w:t>.”</w:t>
      </w:r>
      <w:r w:rsidRPr="00E869A4">
        <w:rPr>
          <w:rFonts w:ascii="Times New Roman" w:hAnsi="Times New Roman" w:cs="Times New Roman"/>
        </w:rPr>
        <w:t xml:space="preserve">  </w:t>
      </w:r>
      <w:r w:rsidR="00E82F97" w:rsidRPr="00E869A4">
        <w:rPr>
          <w:rFonts w:ascii="Times New Roman" w:hAnsi="Times New Roman" w:cs="Times New Roman"/>
        </w:rPr>
        <w:t>(Thoits 1995, p.64).</w:t>
      </w:r>
    </w:p>
    <w:p w14:paraId="24B25AAD" w14:textId="77777777" w:rsidR="00D968A3" w:rsidRPr="00E869A4" w:rsidRDefault="00D968A3" w:rsidP="00A35FF8">
      <w:pPr>
        <w:rPr>
          <w:rFonts w:ascii="Times New Roman" w:hAnsi="Times New Roman" w:cs="Times New Roman"/>
        </w:rPr>
      </w:pPr>
    </w:p>
    <w:p w14:paraId="7E266399" w14:textId="46C43152"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The literature also distinguishes between </w:t>
      </w:r>
      <w:r w:rsidRPr="00E869A4">
        <w:rPr>
          <w:rFonts w:ascii="Times New Roman" w:hAnsi="Times New Roman" w:cs="Times New Roman"/>
          <w:i/>
        </w:rPr>
        <w:t>perceived</w:t>
      </w:r>
      <w:r w:rsidRPr="00E869A4">
        <w:rPr>
          <w:rFonts w:ascii="Times New Roman" w:hAnsi="Times New Roman" w:cs="Times New Roman"/>
        </w:rPr>
        <w:t xml:space="preserve"> and </w:t>
      </w:r>
      <w:r w:rsidRPr="00E869A4">
        <w:rPr>
          <w:rFonts w:ascii="Times New Roman" w:hAnsi="Times New Roman" w:cs="Times New Roman"/>
          <w:i/>
        </w:rPr>
        <w:t>received</w:t>
      </w:r>
      <w:r w:rsidRPr="00E869A4">
        <w:rPr>
          <w:rFonts w:ascii="Times New Roman" w:hAnsi="Times New Roman" w:cs="Times New Roman"/>
        </w:rPr>
        <w:t xml:space="preserve"> social support. The evidence seems to suggest that emotional and perceived social support has a greater impact as a buffer against the mental impact of stress, more so than membership in social networks or the actual re</w:t>
      </w:r>
      <w:r w:rsidR="00B6258E" w:rsidRPr="00E869A4">
        <w:rPr>
          <w:rFonts w:ascii="Times New Roman" w:hAnsi="Times New Roman" w:cs="Times New Roman"/>
        </w:rPr>
        <w:t xml:space="preserve">ceipt of social support </w:t>
      </w:r>
      <w:r w:rsidR="00B6258E" w:rsidRPr="00E869A4">
        <w:rPr>
          <w:rFonts w:ascii="Times New Roman" w:hAnsi="Times New Roman" w:cs="Times New Roman"/>
        </w:rPr>
        <w:lastRenderedPageBreak/>
        <w:t>(Aneshensel 1992; Thoits 1995</w:t>
      </w:r>
      <w:r w:rsidRPr="00E869A4">
        <w:rPr>
          <w:rFonts w:ascii="Times New Roman" w:hAnsi="Times New Roman" w:cs="Times New Roman"/>
        </w:rPr>
        <w:t>). According to Thoits</w:t>
      </w:r>
      <w:r w:rsidR="003578BD" w:rsidRPr="00E869A4">
        <w:rPr>
          <w:rFonts w:ascii="Times New Roman" w:hAnsi="Times New Roman" w:cs="Times New Roman"/>
        </w:rPr>
        <w:t>, “p</w:t>
      </w:r>
      <w:r w:rsidRPr="00E869A4">
        <w:rPr>
          <w:rFonts w:ascii="Times New Roman" w:hAnsi="Times New Roman" w:cs="Times New Roman"/>
        </w:rPr>
        <w:t xml:space="preserve">erceived emotional support is associated directly with better physical and mental health and usually buffers the </w:t>
      </w:r>
      <w:r w:rsidR="00164B73" w:rsidRPr="00E869A4">
        <w:rPr>
          <w:rFonts w:ascii="Times New Roman" w:hAnsi="Times New Roman" w:cs="Times New Roman"/>
        </w:rPr>
        <w:t>damaging</w:t>
      </w:r>
      <w:r w:rsidRPr="00E869A4">
        <w:rPr>
          <w:rFonts w:ascii="Times New Roman" w:hAnsi="Times New Roman" w:cs="Times New Roman"/>
        </w:rPr>
        <w:t xml:space="preserve"> mental and physical health impacts of major life events and chronic strains</w:t>
      </w:r>
      <w:r w:rsidR="00B6258E" w:rsidRPr="00E869A4">
        <w:rPr>
          <w:rFonts w:ascii="Times New Roman" w:hAnsi="Times New Roman" w:cs="Times New Roman"/>
        </w:rPr>
        <w:t>.</w:t>
      </w:r>
      <w:r w:rsidR="003578BD" w:rsidRPr="00E869A4">
        <w:rPr>
          <w:rFonts w:ascii="Times New Roman" w:hAnsi="Times New Roman" w:cs="Times New Roman"/>
        </w:rPr>
        <w:t xml:space="preserve">” </w:t>
      </w:r>
      <w:r w:rsidR="00B6258E" w:rsidRPr="00E869A4">
        <w:rPr>
          <w:rFonts w:ascii="Times New Roman" w:hAnsi="Times New Roman" w:cs="Times New Roman"/>
        </w:rPr>
        <w:t>(Thoits 1995</w:t>
      </w:r>
      <w:r w:rsidR="00053D25" w:rsidRPr="00E869A4">
        <w:rPr>
          <w:rFonts w:ascii="Times New Roman" w:hAnsi="Times New Roman" w:cs="Times New Roman"/>
        </w:rPr>
        <w:t xml:space="preserve"> p. </w:t>
      </w:r>
      <w:r w:rsidR="00B6258E" w:rsidRPr="00E869A4">
        <w:rPr>
          <w:rFonts w:ascii="Times New Roman" w:hAnsi="Times New Roman" w:cs="Times New Roman"/>
        </w:rPr>
        <w:t>64)</w:t>
      </w:r>
      <w:r w:rsidR="003578BD" w:rsidRPr="00E869A4">
        <w:rPr>
          <w:rFonts w:ascii="Times New Roman" w:hAnsi="Times New Roman" w:cs="Times New Roman"/>
        </w:rPr>
        <w:t>.</w:t>
      </w:r>
      <w:r w:rsidR="00526266" w:rsidRPr="00E869A4">
        <w:rPr>
          <w:rFonts w:ascii="Times New Roman" w:hAnsi="Times New Roman" w:cs="Times New Roman"/>
        </w:rPr>
        <w:t xml:space="preserve"> </w:t>
      </w:r>
      <w:r w:rsidRPr="00E869A4">
        <w:rPr>
          <w:rFonts w:ascii="Times New Roman" w:hAnsi="Times New Roman" w:cs="Times New Roman"/>
        </w:rPr>
        <w:t xml:space="preserve">With respect to perceived social support and social </w:t>
      </w:r>
      <w:r w:rsidR="00E219CB" w:rsidRPr="00E869A4">
        <w:rPr>
          <w:rFonts w:ascii="Times New Roman" w:hAnsi="Times New Roman" w:cs="Times New Roman"/>
        </w:rPr>
        <w:t>status,</w:t>
      </w:r>
      <w:r w:rsidRPr="00E869A4">
        <w:rPr>
          <w:rFonts w:ascii="Times New Roman" w:hAnsi="Times New Roman" w:cs="Times New Roman"/>
        </w:rPr>
        <w:t xml:space="preserve"> Thoits (1995) observed from her review of the literature</w:t>
      </w:r>
      <w:r w:rsidR="00725105" w:rsidRPr="00E869A4">
        <w:rPr>
          <w:rFonts w:ascii="Times New Roman" w:hAnsi="Times New Roman" w:cs="Times New Roman"/>
        </w:rPr>
        <w:t>,</w:t>
      </w:r>
      <w:r w:rsidRPr="00E869A4">
        <w:rPr>
          <w:rFonts w:ascii="Times New Roman" w:hAnsi="Times New Roman" w:cs="Times New Roman"/>
        </w:rPr>
        <w:t xml:space="preserve"> that this varied given gender, relationship status, age and social status. The research suggested that women </w:t>
      </w:r>
      <w:r w:rsidR="00E219CB" w:rsidRPr="00E869A4">
        <w:rPr>
          <w:rFonts w:ascii="Times New Roman" w:hAnsi="Times New Roman" w:cs="Times New Roman"/>
        </w:rPr>
        <w:t>reported either</w:t>
      </w:r>
      <w:r w:rsidRPr="00E869A4">
        <w:rPr>
          <w:rFonts w:ascii="Times New Roman" w:hAnsi="Times New Roman" w:cs="Times New Roman"/>
        </w:rPr>
        <w:t xml:space="preserve"> more perceived support than men or</w:t>
      </w:r>
      <w:r w:rsidR="00C42AF9" w:rsidRPr="00E869A4">
        <w:rPr>
          <w:rFonts w:ascii="Times New Roman" w:hAnsi="Times New Roman" w:cs="Times New Roman"/>
        </w:rPr>
        <w:t>,</w:t>
      </w:r>
      <w:r w:rsidRPr="00E869A4">
        <w:rPr>
          <w:rFonts w:ascii="Times New Roman" w:hAnsi="Times New Roman" w:cs="Times New Roman"/>
        </w:rPr>
        <w:t xml:space="preserve"> that men and women do not differ in this resource. Men tended to have larger networks than women but women exhibited greater investment and intimacy in their relationships. Thus, male participation in social networks a</w:t>
      </w:r>
      <w:r w:rsidR="00725105" w:rsidRPr="00E869A4">
        <w:rPr>
          <w:rFonts w:ascii="Times New Roman" w:hAnsi="Times New Roman" w:cs="Times New Roman"/>
        </w:rPr>
        <w:t>cross the life course was more ‘</w:t>
      </w:r>
      <w:r w:rsidRPr="00E869A4">
        <w:rPr>
          <w:rFonts w:ascii="Times New Roman" w:hAnsi="Times New Roman" w:cs="Times New Roman"/>
        </w:rPr>
        <w:t>extensive</w:t>
      </w:r>
      <w:r w:rsidR="00725105" w:rsidRPr="00E869A4">
        <w:rPr>
          <w:rFonts w:ascii="Times New Roman" w:hAnsi="Times New Roman" w:cs="Times New Roman"/>
        </w:rPr>
        <w:t>’ but less ‘</w:t>
      </w:r>
      <w:r w:rsidRPr="00E869A4">
        <w:rPr>
          <w:rFonts w:ascii="Times New Roman" w:hAnsi="Times New Roman" w:cs="Times New Roman"/>
        </w:rPr>
        <w:t>intensive</w:t>
      </w:r>
      <w:r w:rsidR="00725105" w:rsidRPr="00E869A4">
        <w:rPr>
          <w:rFonts w:ascii="Times New Roman" w:hAnsi="Times New Roman" w:cs="Times New Roman"/>
        </w:rPr>
        <w:t>’</w:t>
      </w:r>
      <w:r w:rsidRPr="00E869A4">
        <w:rPr>
          <w:rFonts w:ascii="Times New Roman" w:hAnsi="Times New Roman" w:cs="Times New Roman"/>
        </w:rPr>
        <w:t xml:space="preserve"> than that of females. Married individuals reported higher perceived support than the unmarried. Perceived support was found to decrease with age and increase with indicators of socioeconomic status. Network size and participation declined with age and increased with employment status and socioeconomic status. Her review also revealed that involvement in social networks also varied by social status.  </w:t>
      </w:r>
    </w:p>
    <w:p w14:paraId="7C5ADDEA" w14:textId="77777777" w:rsidR="00053D25" w:rsidRPr="00E869A4" w:rsidRDefault="00053D25" w:rsidP="00A35FF8">
      <w:pPr>
        <w:rPr>
          <w:rFonts w:ascii="Times New Roman" w:hAnsi="Times New Roman" w:cs="Times New Roman"/>
        </w:rPr>
      </w:pPr>
    </w:p>
    <w:p w14:paraId="093F8BC6" w14:textId="67FF4E5C"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Pearlin </w:t>
      </w:r>
      <w:r w:rsidR="00CE5B12" w:rsidRPr="00E869A4">
        <w:rPr>
          <w:rFonts w:ascii="Times New Roman" w:hAnsi="Times New Roman" w:cs="Times New Roman"/>
        </w:rPr>
        <w:t xml:space="preserve">(1989, p. 251) </w:t>
      </w:r>
      <w:r w:rsidRPr="00E869A4">
        <w:rPr>
          <w:rFonts w:ascii="Times New Roman" w:hAnsi="Times New Roman" w:cs="Times New Roman"/>
        </w:rPr>
        <w:t>cautioned against ignoring the history of reciprocity and interaction in social support studies</w:t>
      </w:r>
      <w:r w:rsidR="00725105" w:rsidRPr="00E869A4">
        <w:rPr>
          <w:rFonts w:ascii="Times New Roman" w:hAnsi="Times New Roman" w:cs="Times New Roman"/>
        </w:rPr>
        <w:t>:</w:t>
      </w:r>
      <w:r w:rsidRPr="00E869A4">
        <w:rPr>
          <w:rFonts w:ascii="Times New Roman" w:hAnsi="Times New Roman" w:cs="Times New Roman"/>
        </w:rPr>
        <w:t xml:space="preserve"> </w:t>
      </w:r>
    </w:p>
    <w:p w14:paraId="65E1D257" w14:textId="77777777" w:rsidR="00943354" w:rsidRPr="00E869A4" w:rsidRDefault="00943354" w:rsidP="004B2F97">
      <w:pPr>
        <w:spacing w:line="240" w:lineRule="auto"/>
        <w:rPr>
          <w:rFonts w:ascii="Times New Roman" w:hAnsi="Times New Roman" w:cs="Times New Roman"/>
        </w:rPr>
      </w:pPr>
    </w:p>
    <w:p w14:paraId="234F4247" w14:textId="4397D09C" w:rsidR="00855EB2" w:rsidRPr="00E869A4" w:rsidRDefault="00577FAC" w:rsidP="004A72FF">
      <w:pPr>
        <w:spacing w:line="240" w:lineRule="auto"/>
        <w:ind w:left="567" w:firstLine="0"/>
        <w:rPr>
          <w:rFonts w:ascii="Times New Roman" w:hAnsi="Times New Roman" w:cs="Times New Roman"/>
        </w:rPr>
      </w:pPr>
      <w:r w:rsidRPr="00E869A4">
        <w:rPr>
          <w:rFonts w:ascii="Times New Roman" w:hAnsi="Times New Roman" w:cs="Times New Roman"/>
        </w:rPr>
        <w:t>[T]</w:t>
      </w:r>
      <w:r w:rsidR="00855EB2" w:rsidRPr="00E869A4">
        <w:rPr>
          <w:rFonts w:ascii="Times New Roman" w:hAnsi="Times New Roman" w:cs="Times New Roman"/>
        </w:rPr>
        <w:t>he forms of support, its reciprocity, its connections between seeking and receiving support, its stability, and even whether or not it is welcomed are some of the issues that can only be examined properly if both the donor and recipient’s role are explored</w:t>
      </w:r>
      <w:r w:rsidR="00CE5B12" w:rsidRPr="00E869A4">
        <w:rPr>
          <w:rFonts w:ascii="Times New Roman" w:hAnsi="Times New Roman" w:cs="Times New Roman"/>
        </w:rPr>
        <w:t>.</w:t>
      </w:r>
    </w:p>
    <w:p w14:paraId="32AE5C22" w14:textId="77777777" w:rsidR="00943354" w:rsidRPr="00E869A4" w:rsidRDefault="00943354" w:rsidP="00394CC6">
      <w:pPr>
        <w:spacing w:line="240" w:lineRule="auto"/>
        <w:ind w:left="720" w:firstLine="62"/>
        <w:rPr>
          <w:rFonts w:ascii="Times New Roman" w:hAnsi="Times New Roman" w:cs="Times New Roman"/>
        </w:rPr>
      </w:pPr>
    </w:p>
    <w:p w14:paraId="661162FC" w14:textId="15929D83" w:rsidR="00855EB2" w:rsidRPr="00E869A4" w:rsidRDefault="00855EB2" w:rsidP="00CE5B12">
      <w:pPr>
        <w:ind w:firstLine="0"/>
        <w:rPr>
          <w:rFonts w:ascii="Times New Roman" w:hAnsi="Times New Roman" w:cs="Times New Roman"/>
        </w:rPr>
      </w:pPr>
      <w:r w:rsidRPr="00E869A4">
        <w:rPr>
          <w:rFonts w:ascii="Times New Roman" w:hAnsi="Times New Roman" w:cs="Times New Roman"/>
        </w:rPr>
        <w:t>The simplest and most powerful measure of social support appeared to be whether a person has an intimate, confiding relationship or not (typically with a spouse or lover; friends or relatives function equivalently but less powerfully). Having a confidant</w:t>
      </w:r>
      <w:r w:rsidR="006E6310" w:rsidRPr="00E869A4">
        <w:rPr>
          <w:rFonts w:ascii="Times New Roman" w:hAnsi="Times New Roman" w:cs="Times New Roman"/>
        </w:rPr>
        <w:t>e</w:t>
      </w:r>
      <w:r w:rsidRPr="00E869A4">
        <w:rPr>
          <w:rFonts w:ascii="Times New Roman" w:hAnsi="Times New Roman" w:cs="Times New Roman"/>
        </w:rPr>
        <w:t xml:space="preserve"> significantly reduced the effects of stress experiences on physical and psych</w:t>
      </w:r>
      <w:r w:rsidR="006E6310" w:rsidRPr="00E869A4">
        <w:rPr>
          <w:rFonts w:ascii="Times New Roman" w:hAnsi="Times New Roman" w:cs="Times New Roman"/>
        </w:rPr>
        <w:t>ological outcomes (Cohen &amp; Wills</w:t>
      </w:r>
      <w:r w:rsidRPr="00E869A4">
        <w:rPr>
          <w:rFonts w:ascii="Times New Roman" w:hAnsi="Times New Roman" w:cs="Times New Roman"/>
        </w:rPr>
        <w:t xml:space="preserve"> 1985). </w:t>
      </w:r>
    </w:p>
    <w:p w14:paraId="440F4732" w14:textId="77777777" w:rsidR="00D968A3" w:rsidRPr="00E869A4" w:rsidRDefault="00D968A3" w:rsidP="00A35FF8">
      <w:pPr>
        <w:rPr>
          <w:rFonts w:ascii="Times New Roman" w:hAnsi="Times New Roman" w:cs="Times New Roman"/>
        </w:rPr>
      </w:pPr>
    </w:p>
    <w:p w14:paraId="192B275A" w14:textId="77777777" w:rsidR="00855EB2" w:rsidRPr="00E869A4" w:rsidRDefault="004E2181" w:rsidP="0031040A">
      <w:pPr>
        <w:pStyle w:val="Heading5"/>
        <w:rPr>
          <w:color w:val="auto"/>
        </w:rPr>
      </w:pPr>
      <w:bookmarkStart w:id="226" w:name="_Toc505945226"/>
      <w:r w:rsidRPr="00E869A4">
        <w:rPr>
          <w:color w:val="auto"/>
        </w:rPr>
        <w:t>Social support as positive and n</w:t>
      </w:r>
      <w:r w:rsidR="00855EB2" w:rsidRPr="00E869A4">
        <w:rPr>
          <w:color w:val="auto"/>
        </w:rPr>
        <w:t>egative</w:t>
      </w:r>
      <w:bookmarkEnd w:id="226"/>
    </w:p>
    <w:p w14:paraId="27916789" w14:textId="77777777" w:rsidR="00D968A3" w:rsidRPr="00E869A4" w:rsidRDefault="00D968A3" w:rsidP="0051234F">
      <w:pPr>
        <w:pStyle w:val="112"/>
        <w:rPr>
          <w:color w:val="auto"/>
        </w:rPr>
      </w:pPr>
    </w:p>
    <w:p w14:paraId="103DC352" w14:textId="322AB708" w:rsidR="00855EB2" w:rsidRPr="00E869A4" w:rsidRDefault="00855EB2" w:rsidP="00A35FF8">
      <w:pPr>
        <w:rPr>
          <w:rFonts w:ascii="Times New Roman" w:hAnsi="Times New Roman" w:cs="Times New Roman"/>
        </w:rPr>
      </w:pPr>
      <w:r w:rsidRPr="00E869A4">
        <w:rPr>
          <w:rFonts w:ascii="Times New Roman" w:hAnsi="Times New Roman" w:cs="Times New Roman"/>
        </w:rPr>
        <w:t>The literature also cautions against viewing social ties as being only positive as there are situations in which they may be a negative influence and result in less than desired quality of life and wellbeing. As Thoits highlighted, “studies are beginning to show that there are important limitations on the degree to which the possession of social ties benefits physical or mental health</w:t>
      </w:r>
      <w:r w:rsidR="00CE5B12" w:rsidRPr="00E869A4">
        <w:rPr>
          <w:rFonts w:ascii="Times New Roman" w:hAnsi="Times New Roman" w:cs="Times New Roman"/>
        </w:rPr>
        <w:t>.</w:t>
      </w:r>
      <w:r w:rsidR="006E6310" w:rsidRPr="00E869A4">
        <w:rPr>
          <w:rFonts w:ascii="Times New Roman" w:hAnsi="Times New Roman" w:cs="Times New Roman"/>
        </w:rPr>
        <w:t>”</w:t>
      </w:r>
      <w:r w:rsidR="00577FAC" w:rsidRPr="00E869A4">
        <w:rPr>
          <w:rFonts w:ascii="Times New Roman" w:hAnsi="Times New Roman" w:cs="Times New Roman"/>
        </w:rPr>
        <w:t xml:space="preserve"> (Thoits 1995, p. 66)</w:t>
      </w:r>
      <w:r w:rsidR="006E6310" w:rsidRPr="00E869A4">
        <w:rPr>
          <w:rFonts w:ascii="Times New Roman" w:hAnsi="Times New Roman" w:cs="Times New Roman"/>
        </w:rPr>
        <w:t>.</w:t>
      </w:r>
      <w:r w:rsidRPr="00E869A4">
        <w:rPr>
          <w:rFonts w:ascii="Times New Roman" w:hAnsi="Times New Roman" w:cs="Times New Roman"/>
        </w:rPr>
        <w:t xml:space="preserve"> Consideration must be given to the potential negative effects of social support on the wellbeing of care recipients. On the </w:t>
      </w:r>
      <w:r w:rsidRPr="00E869A4">
        <w:rPr>
          <w:rFonts w:ascii="Times New Roman" w:hAnsi="Times New Roman" w:cs="Times New Roman"/>
        </w:rPr>
        <w:lastRenderedPageBreak/>
        <w:t xml:space="preserve">other hand, the absence of social ties, or social isolation, may be a stressor in </w:t>
      </w:r>
      <w:r w:rsidR="00916B3C" w:rsidRPr="00E869A4">
        <w:rPr>
          <w:rFonts w:ascii="Times New Roman" w:hAnsi="Times New Roman" w:cs="Times New Roman"/>
        </w:rPr>
        <w:t>itself, which</w:t>
      </w:r>
      <w:r w:rsidRPr="00E869A4">
        <w:rPr>
          <w:rFonts w:ascii="Times New Roman" w:hAnsi="Times New Roman" w:cs="Times New Roman"/>
        </w:rPr>
        <w:t xml:space="preserve"> produces chronic loneliness, lack of identity, or lack of behavioural regulation (</w:t>
      </w:r>
      <w:r w:rsidR="000F598F" w:rsidRPr="00E869A4">
        <w:rPr>
          <w:rFonts w:ascii="Times New Roman" w:hAnsi="Times New Roman" w:cs="Times New Roman"/>
        </w:rPr>
        <w:t xml:space="preserve">Lloyd, Patterson </w:t>
      </w:r>
      <w:r w:rsidR="00C42AF9" w:rsidRPr="00E869A4">
        <w:rPr>
          <w:rFonts w:ascii="Times New Roman" w:hAnsi="Times New Roman" w:cs="Times New Roman"/>
        </w:rPr>
        <w:t>&amp;</w:t>
      </w:r>
      <w:r w:rsidR="000F598F" w:rsidRPr="00E869A4">
        <w:rPr>
          <w:rFonts w:ascii="Times New Roman" w:hAnsi="Times New Roman" w:cs="Times New Roman"/>
        </w:rPr>
        <w:t xml:space="preserve"> Muers </w:t>
      </w:r>
      <w:r w:rsidRPr="00E869A4">
        <w:rPr>
          <w:rFonts w:ascii="Times New Roman" w:hAnsi="Times New Roman" w:cs="Times New Roman"/>
        </w:rPr>
        <w:t>2016)</w:t>
      </w:r>
      <w:r w:rsidRPr="00E869A4">
        <w:rPr>
          <w:rStyle w:val="EndnoteReference"/>
          <w:rFonts w:ascii="Times New Roman" w:hAnsi="Times New Roman" w:cs="Times New Roman"/>
        </w:rPr>
        <w:t xml:space="preserve"> </w:t>
      </w:r>
      <w:r w:rsidRPr="00E869A4">
        <w:rPr>
          <w:rFonts w:ascii="Times New Roman" w:hAnsi="Times New Roman" w:cs="Times New Roman"/>
        </w:rPr>
        <w:t xml:space="preserve">. </w:t>
      </w:r>
    </w:p>
    <w:p w14:paraId="2C7ADE62" w14:textId="77777777" w:rsidR="00D968A3" w:rsidRPr="00E869A4" w:rsidRDefault="00D968A3" w:rsidP="00A35FF8">
      <w:pPr>
        <w:rPr>
          <w:rFonts w:ascii="Times New Roman" w:hAnsi="Times New Roman" w:cs="Times New Roman"/>
        </w:rPr>
      </w:pPr>
    </w:p>
    <w:p w14:paraId="1ACEE0E9" w14:textId="376239B8" w:rsidR="00CE5B12" w:rsidRPr="00E869A4" w:rsidRDefault="00855EB2" w:rsidP="00CE5B12">
      <w:pPr>
        <w:rPr>
          <w:rFonts w:ascii="Times New Roman" w:hAnsi="Times New Roman" w:cs="Times New Roman"/>
        </w:rPr>
      </w:pPr>
      <w:r w:rsidRPr="00E869A4">
        <w:rPr>
          <w:rFonts w:ascii="Times New Roman" w:hAnsi="Times New Roman" w:cs="Times New Roman"/>
        </w:rPr>
        <w:t xml:space="preserve">Some evidence indicates that obligatory social ties (e.g. spouse, parent, relative, </w:t>
      </w:r>
      <w:r w:rsidR="00A66E51" w:rsidRPr="00E869A4">
        <w:rPr>
          <w:rFonts w:ascii="Times New Roman" w:hAnsi="Times New Roman" w:cs="Times New Roman"/>
        </w:rPr>
        <w:t xml:space="preserve">and </w:t>
      </w:r>
      <w:r w:rsidRPr="00E869A4">
        <w:rPr>
          <w:rFonts w:ascii="Times New Roman" w:hAnsi="Times New Roman" w:cs="Times New Roman"/>
        </w:rPr>
        <w:t xml:space="preserve">worker) can produce stressful demands which may cancel or outweigh </w:t>
      </w:r>
      <w:r w:rsidR="000E1496" w:rsidRPr="00E869A4">
        <w:rPr>
          <w:rFonts w:ascii="Times New Roman" w:hAnsi="Times New Roman" w:cs="Times New Roman"/>
        </w:rPr>
        <w:t>the</w:t>
      </w:r>
      <w:r w:rsidRPr="00E869A4">
        <w:rPr>
          <w:rFonts w:ascii="Times New Roman" w:hAnsi="Times New Roman" w:cs="Times New Roman"/>
        </w:rPr>
        <w:t xml:space="preserve"> positive consequences </w:t>
      </w:r>
      <w:r w:rsidR="000E1496" w:rsidRPr="00E869A4">
        <w:rPr>
          <w:rFonts w:ascii="Times New Roman" w:hAnsi="Times New Roman" w:cs="Times New Roman"/>
        </w:rPr>
        <w:t xml:space="preserve">of these roles </w:t>
      </w:r>
      <w:r w:rsidRPr="00E869A4">
        <w:rPr>
          <w:rFonts w:ascii="Times New Roman" w:hAnsi="Times New Roman" w:cs="Times New Roman"/>
        </w:rPr>
        <w:t xml:space="preserve">in the context of care relationships. In contrast, voluntary ties (e.g. friend, church member, </w:t>
      </w:r>
      <w:r w:rsidR="005624D3" w:rsidRPr="00E869A4">
        <w:rPr>
          <w:rFonts w:ascii="Times New Roman" w:hAnsi="Times New Roman" w:cs="Times New Roman"/>
        </w:rPr>
        <w:t xml:space="preserve">and </w:t>
      </w:r>
      <w:r w:rsidRPr="00E869A4">
        <w:rPr>
          <w:rFonts w:ascii="Times New Roman" w:hAnsi="Times New Roman" w:cs="Times New Roman"/>
        </w:rPr>
        <w:t xml:space="preserve">group member) have more manageable or escapable demands, and may allow people in those </w:t>
      </w:r>
      <w:r w:rsidR="00E07A62" w:rsidRPr="00E869A4">
        <w:rPr>
          <w:rFonts w:ascii="Times New Roman" w:hAnsi="Times New Roman" w:cs="Times New Roman"/>
        </w:rPr>
        <w:t xml:space="preserve">roles, </w:t>
      </w:r>
      <w:r w:rsidRPr="00E869A4">
        <w:rPr>
          <w:rFonts w:ascii="Times New Roman" w:hAnsi="Times New Roman" w:cs="Times New Roman"/>
        </w:rPr>
        <w:t xml:space="preserve">benefits </w:t>
      </w:r>
      <w:r w:rsidR="00E07A62" w:rsidRPr="00E869A4">
        <w:rPr>
          <w:rFonts w:ascii="Times New Roman" w:hAnsi="Times New Roman" w:cs="Times New Roman"/>
        </w:rPr>
        <w:t xml:space="preserve">that </w:t>
      </w:r>
      <w:r w:rsidRPr="00E869A4">
        <w:rPr>
          <w:rFonts w:ascii="Times New Roman" w:hAnsi="Times New Roman" w:cs="Times New Roman"/>
        </w:rPr>
        <w:t xml:space="preserve">exceed their costs. Furthermore, the results of several studies on caregiver stress suggest that </w:t>
      </w:r>
      <w:r w:rsidR="00C42AF9" w:rsidRPr="00E869A4">
        <w:rPr>
          <w:rFonts w:ascii="Times New Roman" w:hAnsi="Times New Roman" w:cs="Times New Roman"/>
        </w:rPr>
        <w:t>support giving</w:t>
      </w:r>
      <w:r w:rsidRPr="00E869A4">
        <w:rPr>
          <w:rFonts w:ascii="Times New Roman" w:hAnsi="Times New Roman" w:cs="Times New Roman"/>
        </w:rPr>
        <w:t xml:space="preserve"> or</w:t>
      </w:r>
      <w:r w:rsidR="00C42AF9" w:rsidRPr="00E869A4">
        <w:rPr>
          <w:rFonts w:ascii="Times New Roman" w:hAnsi="Times New Roman" w:cs="Times New Roman"/>
        </w:rPr>
        <w:t>,</w:t>
      </w:r>
      <w:r w:rsidRPr="00E869A4">
        <w:rPr>
          <w:rFonts w:ascii="Times New Roman" w:hAnsi="Times New Roman" w:cs="Times New Roman"/>
        </w:rPr>
        <w:t xml:space="preserve"> caring for </w:t>
      </w:r>
      <w:r w:rsidR="00C42AF9" w:rsidRPr="00E869A4">
        <w:rPr>
          <w:rFonts w:ascii="Times New Roman" w:hAnsi="Times New Roman" w:cs="Times New Roman"/>
        </w:rPr>
        <w:t xml:space="preserve">and/or </w:t>
      </w:r>
      <w:r w:rsidRPr="00E869A4">
        <w:rPr>
          <w:rFonts w:ascii="Times New Roman" w:hAnsi="Times New Roman" w:cs="Times New Roman"/>
        </w:rPr>
        <w:t xml:space="preserve">about others can be costly (see </w:t>
      </w:r>
      <w:r w:rsidR="00155828" w:rsidRPr="00E869A4">
        <w:rPr>
          <w:rFonts w:ascii="Times New Roman" w:hAnsi="Times New Roman" w:cs="Times New Roman"/>
        </w:rPr>
        <w:t xml:space="preserve">previous </w:t>
      </w:r>
      <w:r w:rsidR="00C42AF9" w:rsidRPr="00E869A4">
        <w:rPr>
          <w:rFonts w:ascii="Times New Roman" w:hAnsi="Times New Roman" w:cs="Times New Roman"/>
        </w:rPr>
        <w:t>C</w:t>
      </w:r>
      <w:r w:rsidR="00155828" w:rsidRPr="00E869A4">
        <w:rPr>
          <w:rFonts w:ascii="Times New Roman" w:hAnsi="Times New Roman" w:cs="Times New Roman"/>
        </w:rPr>
        <w:t xml:space="preserve">hapter on </w:t>
      </w:r>
      <w:r w:rsidRPr="00E869A4">
        <w:rPr>
          <w:rFonts w:ascii="Times New Roman" w:hAnsi="Times New Roman" w:cs="Times New Roman"/>
        </w:rPr>
        <w:t xml:space="preserve">care </w:t>
      </w:r>
      <w:r w:rsidR="00155828" w:rsidRPr="00E869A4">
        <w:rPr>
          <w:rFonts w:ascii="Times New Roman" w:hAnsi="Times New Roman" w:cs="Times New Roman"/>
        </w:rPr>
        <w:t>experiences</w:t>
      </w:r>
      <w:r w:rsidRPr="00E869A4">
        <w:rPr>
          <w:rFonts w:ascii="Times New Roman" w:hAnsi="Times New Roman" w:cs="Times New Roman"/>
        </w:rPr>
        <w:t xml:space="preserve">). The possibility also exists that the worst support-givers are family members who are themselves affected or threatened by the </w:t>
      </w:r>
      <w:r w:rsidR="009E2738" w:rsidRPr="00E869A4">
        <w:rPr>
          <w:rFonts w:ascii="Times New Roman" w:hAnsi="Times New Roman" w:cs="Times New Roman"/>
        </w:rPr>
        <w:t>care recipient</w:t>
      </w:r>
      <w:r w:rsidRPr="00E869A4">
        <w:rPr>
          <w:rFonts w:ascii="Times New Roman" w:hAnsi="Times New Roman" w:cs="Times New Roman"/>
        </w:rPr>
        <w:t xml:space="preserve">’s situation. Family members may push too hard or too soon for evidence of recovery or, alternatively, may become so protective and overly helpful that the victim comes to resent his/her implied dependency. </w:t>
      </w:r>
      <w:r w:rsidR="00C42AF9" w:rsidRPr="00E869A4">
        <w:rPr>
          <w:rFonts w:ascii="Times New Roman" w:hAnsi="Times New Roman" w:cs="Times New Roman"/>
        </w:rPr>
        <w:t>T</w:t>
      </w:r>
      <w:r w:rsidRPr="00E869A4">
        <w:rPr>
          <w:rFonts w:ascii="Times New Roman" w:hAnsi="Times New Roman" w:cs="Times New Roman"/>
        </w:rPr>
        <w:t xml:space="preserve">he mechanisms through which social support can influence a target individual's physical </w:t>
      </w:r>
      <w:r w:rsidR="00C42AF9" w:rsidRPr="00E869A4">
        <w:rPr>
          <w:rFonts w:ascii="Times New Roman" w:hAnsi="Times New Roman" w:cs="Times New Roman"/>
        </w:rPr>
        <w:t>health</w:t>
      </w:r>
      <w:r w:rsidRPr="00E869A4">
        <w:rPr>
          <w:rFonts w:ascii="Times New Roman" w:hAnsi="Times New Roman" w:cs="Times New Roman"/>
        </w:rPr>
        <w:t xml:space="preserve"> may be even more complex.  Supporters may encourage (or sometimes sabotage) individuals</w:t>
      </w:r>
      <w:r w:rsidR="000E1496" w:rsidRPr="00E869A4">
        <w:rPr>
          <w:rFonts w:ascii="Times New Roman" w:hAnsi="Times New Roman" w:cs="Times New Roman"/>
        </w:rPr>
        <w:t>’</w:t>
      </w:r>
      <w:r w:rsidRPr="00E869A4">
        <w:rPr>
          <w:rFonts w:ascii="Times New Roman" w:hAnsi="Times New Roman" w:cs="Times New Roman"/>
        </w:rPr>
        <w:t xml:space="preserve"> attempts to</w:t>
      </w:r>
      <w:r w:rsidR="00C42AF9" w:rsidRPr="00E869A4">
        <w:rPr>
          <w:rFonts w:ascii="Times New Roman" w:hAnsi="Times New Roman" w:cs="Times New Roman"/>
        </w:rPr>
        <w:t>:</w:t>
      </w:r>
      <w:r w:rsidRPr="00E869A4">
        <w:rPr>
          <w:rFonts w:ascii="Times New Roman" w:hAnsi="Times New Roman" w:cs="Times New Roman"/>
        </w:rPr>
        <w:t xml:space="preserve"> control their eating, drinking, smoking, or exercising </w:t>
      </w:r>
      <w:r w:rsidR="00C958D8" w:rsidRPr="00E869A4">
        <w:rPr>
          <w:rFonts w:ascii="Times New Roman" w:hAnsi="Times New Roman" w:cs="Times New Roman"/>
        </w:rPr>
        <w:t>behaviours</w:t>
      </w:r>
      <w:r w:rsidRPr="00E869A4">
        <w:rPr>
          <w:rFonts w:ascii="Times New Roman" w:hAnsi="Times New Roman" w:cs="Times New Roman"/>
        </w:rPr>
        <w:t xml:space="preserve">; actively monitor and regulate a target's health-related </w:t>
      </w:r>
      <w:r w:rsidR="00C958D8" w:rsidRPr="00E869A4">
        <w:rPr>
          <w:rFonts w:ascii="Times New Roman" w:hAnsi="Times New Roman" w:cs="Times New Roman"/>
        </w:rPr>
        <w:t>behaviours</w:t>
      </w:r>
      <w:r w:rsidRPr="00E869A4">
        <w:rPr>
          <w:rFonts w:ascii="Times New Roman" w:hAnsi="Times New Roman" w:cs="Times New Roman"/>
        </w:rPr>
        <w:t>; model or be co-participants in health-related activities; and</w:t>
      </w:r>
      <w:r w:rsidR="000E1496" w:rsidRPr="00E869A4">
        <w:rPr>
          <w:rFonts w:ascii="Times New Roman" w:hAnsi="Times New Roman" w:cs="Times New Roman"/>
        </w:rPr>
        <w:t>,</w:t>
      </w:r>
      <w:r w:rsidRPr="00E869A4">
        <w:rPr>
          <w:rFonts w:ascii="Times New Roman" w:hAnsi="Times New Roman" w:cs="Times New Roman"/>
        </w:rPr>
        <w:t xml:space="preserve"> urge medical treatment-seek</w:t>
      </w:r>
      <w:r w:rsidR="00CE5B12" w:rsidRPr="00E869A4">
        <w:rPr>
          <w:rFonts w:ascii="Times New Roman" w:hAnsi="Times New Roman" w:cs="Times New Roman"/>
        </w:rPr>
        <w:t xml:space="preserve">ing, among other possibilities. </w:t>
      </w:r>
    </w:p>
    <w:p w14:paraId="74D37A9A" w14:textId="77777777" w:rsidR="00CE5B12" w:rsidRPr="00E869A4" w:rsidRDefault="00CE5B12" w:rsidP="00CE5B12">
      <w:pPr>
        <w:rPr>
          <w:rFonts w:ascii="Times New Roman" w:hAnsi="Times New Roman" w:cs="Times New Roman"/>
        </w:rPr>
      </w:pPr>
    </w:p>
    <w:p w14:paraId="665994A2" w14:textId="0B526793" w:rsidR="00855EB2" w:rsidRPr="00E869A4" w:rsidRDefault="00855EB2" w:rsidP="00CE5B12">
      <w:pPr>
        <w:rPr>
          <w:rFonts w:ascii="Times New Roman" w:hAnsi="Times New Roman" w:cs="Times New Roman"/>
        </w:rPr>
      </w:pPr>
      <w:r w:rsidRPr="00E869A4">
        <w:rPr>
          <w:rFonts w:ascii="Times New Roman" w:hAnsi="Times New Roman" w:cs="Times New Roman"/>
        </w:rPr>
        <w:t>The literature also highlighted gender differences in preferred coping and support-giving strategies and in the types of support men and women wished to receive. For instance, husbands are more likely to hide problems and give (unwanted) advice, less likely to ventilate, and more uncomfortable with their wives</w:t>
      </w:r>
      <w:r w:rsidR="00E333B0" w:rsidRPr="00E869A4">
        <w:rPr>
          <w:rFonts w:ascii="Times New Roman" w:hAnsi="Times New Roman" w:cs="Times New Roman"/>
        </w:rPr>
        <w:t>’</w:t>
      </w:r>
      <w:r w:rsidRPr="00E869A4">
        <w:rPr>
          <w:rFonts w:ascii="Times New Roman" w:hAnsi="Times New Roman" w:cs="Times New Roman"/>
        </w:rPr>
        <w:t xml:space="preserve"> emotional expressivity. Often what one spouse hopes to receive is incompatible with what the other spouse thinks it </w:t>
      </w:r>
      <w:r w:rsidR="00C42AF9" w:rsidRPr="00E869A4">
        <w:rPr>
          <w:rFonts w:ascii="Times New Roman" w:hAnsi="Times New Roman" w:cs="Times New Roman"/>
        </w:rPr>
        <w:t xml:space="preserve">is </w:t>
      </w:r>
      <w:r w:rsidRPr="00E869A4">
        <w:rPr>
          <w:rFonts w:ascii="Times New Roman" w:hAnsi="Times New Roman" w:cs="Times New Roman"/>
        </w:rPr>
        <w:t xml:space="preserve">best to offer, which generates conflict and mutual dissatisfaction between them. </w:t>
      </w:r>
      <w:r w:rsidR="00CE5B12" w:rsidRPr="00E869A4">
        <w:rPr>
          <w:rFonts w:ascii="Times New Roman" w:hAnsi="Times New Roman" w:cs="Times New Roman"/>
        </w:rPr>
        <w:t>I</w:t>
      </w:r>
      <w:r w:rsidRPr="00E869A4">
        <w:rPr>
          <w:rFonts w:ascii="Times New Roman" w:hAnsi="Times New Roman" w:cs="Times New Roman"/>
        </w:rPr>
        <w:t>t may be that the mos</w:t>
      </w:r>
      <w:r w:rsidR="0036442E" w:rsidRPr="00E869A4">
        <w:rPr>
          <w:rFonts w:ascii="Times New Roman" w:hAnsi="Times New Roman" w:cs="Times New Roman"/>
        </w:rPr>
        <w:t>t effective support-givers are ‘</w:t>
      </w:r>
      <w:r w:rsidRPr="00E869A4">
        <w:rPr>
          <w:rFonts w:ascii="Times New Roman" w:hAnsi="Times New Roman" w:cs="Times New Roman"/>
        </w:rPr>
        <w:t>similar other</w:t>
      </w:r>
      <w:r w:rsidR="0036442E" w:rsidRPr="00E869A4">
        <w:rPr>
          <w:rFonts w:ascii="Times New Roman" w:hAnsi="Times New Roman" w:cs="Times New Roman"/>
        </w:rPr>
        <w:t>s’</w:t>
      </w:r>
      <w:r w:rsidRPr="00E869A4">
        <w:rPr>
          <w:rFonts w:ascii="Times New Roman" w:hAnsi="Times New Roman" w:cs="Times New Roman"/>
        </w:rPr>
        <w:t>, that is, individuals who themselves have successfully faced the same st</w:t>
      </w:r>
      <w:r w:rsidR="0036442E" w:rsidRPr="00E869A4">
        <w:rPr>
          <w:rFonts w:ascii="Times New Roman" w:hAnsi="Times New Roman" w:cs="Times New Roman"/>
        </w:rPr>
        <w:t>ressful circumstances that the ‘</w:t>
      </w:r>
      <w:r w:rsidRPr="00E869A4">
        <w:rPr>
          <w:rFonts w:ascii="Times New Roman" w:hAnsi="Times New Roman" w:cs="Times New Roman"/>
        </w:rPr>
        <w:t>victim</w:t>
      </w:r>
      <w:r w:rsidR="0036442E" w:rsidRPr="00E869A4">
        <w:rPr>
          <w:rFonts w:ascii="Times New Roman" w:hAnsi="Times New Roman" w:cs="Times New Roman"/>
        </w:rPr>
        <w:t>’</w:t>
      </w:r>
      <w:r w:rsidRPr="00E869A4">
        <w:rPr>
          <w:rFonts w:ascii="Times New Roman" w:hAnsi="Times New Roman" w:cs="Times New Roman"/>
        </w:rPr>
        <w:t xml:space="preserve"> is currently facing (Thoits 1986). Similar others are more likely to offe</w:t>
      </w:r>
      <w:r w:rsidR="0036442E" w:rsidRPr="00E869A4">
        <w:rPr>
          <w:rFonts w:ascii="Times New Roman" w:hAnsi="Times New Roman" w:cs="Times New Roman"/>
        </w:rPr>
        <w:t>r support that best ‘matches’</w:t>
      </w:r>
      <w:r w:rsidRPr="00E869A4">
        <w:rPr>
          <w:rFonts w:ascii="Times New Roman" w:hAnsi="Times New Roman" w:cs="Times New Roman"/>
        </w:rPr>
        <w:t xml:space="preserve"> the emotional and practical needs of the distressed person. </w:t>
      </w:r>
    </w:p>
    <w:p w14:paraId="15A7FE65" w14:textId="77777777" w:rsidR="00D968A3" w:rsidRPr="00E869A4" w:rsidRDefault="00D968A3" w:rsidP="00A35FF8">
      <w:pPr>
        <w:rPr>
          <w:rFonts w:ascii="Times New Roman" w:hAnsi="Times New Roman" w:cs="Times New Roman"/>
        </w:rPr>
      </w:pPr>
    </w:p>
    <w:p w14:paraId="68D71F9D" w14:textId="36371E7A"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Thoits (1995) concluded from her review of the literature that we still know very little about support-givers. She recommended that detailed qualitative studies of age, race, and socioeconomic </w:t>
      </w:r>
      <w:r w:rsidRPr="00E869A4">
        <w:rPr>
          <w:rFonts w:ascii="Times New Roman" w:hAnsi="Times New Roman" w:cs="Times New Roman"/>
        </w:rPr>
        <w:lastRenderedPageBreak/>
        <w:t>differences in preferred coping and support-giving strategies would be valuable for both theoretical and applied reasons.</w:t>
      </w:r>
    </w:p>
    <w:p w14:paraId="1FE4A959" w14:textId="77777777" w:rsidR="00D968A3" w:rsidRPr="00E869A4" w:rsidRDefault="00D968A3" w:rsidP="00A35FF8">
      <w:pPr>
        <w:rPr>
          <w:rFonts w:ascii="Times New Roman" w:hAnsi="Times New Roman" w:cs="Times New Roman"/>
        </w:rPr>
      </w:pPr>
    </w:p>
    <w:p w14:paraId="2241709C" w14:textId="77777777" w:rsidR="00855EB2" w:rsidRPr="00E869A4" w:rsidRDefault="004E2181" w:rsidP="0031040A">
      <w:pPr>
        <w:pStyle w:val="Heading5"/>
        <w:rPr>
          <w:color w:val="auto"/>
        </w:rPr>
      </w:pPr>
      <w:bookmarkStart w:id="227" w:name="_Toc505945227"/>
      <w:r w:rsidRPr="00E869A4">
        <w:rPr>
          <w:color w:val="auto"/>
        </w:rPr>
        <w:t>Social resources in later l</w:t>
      </w:r>
      <w:r w:rsidR="00855EB2" w:rsidRPr="00E869A4">
        <w:rPr>
          <w:color w:val="auto"/>
        </w:rPr>
        <w:t>ife</w:t>
      </w:r>
      <w:bookmarkEnd w:id="227"/>
    </w:p>
    <w:p w14:paraId="4389C9C4" w14:textId="77777777" w:rsidR="00D968A3" w:rsidRPr="00E869A4" w:rsidRDefault="00D968A3" w:rsidP="0051234F">
      <w:pPr>
        <w:pStyle w:val="112"/>
        <w:rPr>
          <w:color w:val="auto"/>
        </w:rPr>
      </w:pPr>
    </w:p>
    <w:p w14:paraId="180E4DC8" w14:textId="2C26845D"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With respect to older people, their ability to cope in later life is in large part a reflection of the resources that they have access to. Resources are thought to be different in advanced age, with psychosocial resources </w:t>
      </w:r>
      <w:r w:rsidR="00AB249E" w:rsidRPr="00E869A4">
        <w:rPr>
          <w:rFonts w:ascii="Times New Roman" w:hAnsi="Times New Roman" w:cs="Times New Roman"/>
        </w:rPr>
        <w:t xml:space="preserve">being </w:t>
      </w:r>
      <w:r w:rsidRPr="00E869A4">
        <w:rPr>
          <w:rFonts w:ascii="Times New Roman" w:hAnsi="Times New Roman" w:cs="Times New Roman"/>
        </w:rPr>
        <w:t xml:space="preserve">more </w:t>
      </w:r>
      <w:r w:rsidR="00AB249E" w:rsidRPr="00E869A4">
        <w:rPr>
          <w:rFonts w:ascii="Times New Roman" w:hAnsi="Times New Roman" w:cs="Times New Roman"/>
        </w:rPr>
        <w:t xml:space="preserve">accessible, but </w:t>
      </w:r>
      <w:r w:rsidRPr="00E869A4">
        <w:rPr>
          <w:rFonts w:ascii="Times New Roman" w:hAnsi="Times New Roman" w:cs="Times New Roman"/>
        </w:rPr>
        <w:t xml:space="preserve">other resources </w:t>
      </w:r>
      <w:r w:rsidR="00AB249E" w:rsidRPr="00E869A4">
        <w:rPr>
          <w:rFonts w:ascii="Times New Roman" w:hAnsi="Times New Roman" w:cs="Times New Roman"/>
        </w:rPr>
        <w:t xml:space="preserve">are </w:t>
      </w:r>
      <w:r w:rsidRPr="00E869A4">
        <w:rPr>
          <w:rFonts w:ascii="Times New Roman" w:hAnsi="Times New Roman" w:cs="Times New Roman"/>
        </w:rPr>
        <w:t>perhaps less so in later life. Resources were also found to be context-dependent. Social support, for example, was constituted differently for people living alone than for those living intergenerationally (Hayman et al</w:t>
      </w:r>
      <w:r w:rsidR="002A3BBA" w:rsidRPr="00E869A4">
        <w:rPr>
          <w:rFonts w:ascii="Times New Roman" w:hAnsi="Times New Roman" w:cs="Times New Roman"/>
        </w:rPr>
        <w:t xml:space="preserve">. </w:t>
      </w:r>
      <w:r w:rsidRPr="00E869A4">
        <w:rPr>
          <w:rFonts w:ascii="Times New Roman" w:hAnsi="Times New Roman" w:cs="Times New Roman"/>
        </w:rPr>
        <w:t xml:space="preserve">2017). </w:t>
      </w:r>
    </w:p>
    <w:p w14:paraId="77CAA282" w14:textId="77777777" w:rsidR="00D968A3" w:rsidRPr="00E869A4" w:rsidRDefault="00D968A3" w:rsidP="00A35FF8">
      <w:pPr>
        <w:rPr>
          <w:rFonts w:ascii="Times New Roman" w:hAnsi="Times New Roman" w:cs="Times New Roman"/>
        </w:rPr>
      </w:pPr>
    </w:p>
    <w:p w14:paraId="4A97D478" w14:textId="77777777" w:rsidR="00855EB2" w:rsidRPr="00E869A4" w:rsidRDefault="00855EB2" w:rsidP="004E2181">
      <w:pPr>
        <w:pStyle w:val="Heading4"/>
      </w:pPr>
      <w:bookmarkStart w:id="228" w:name="_Toc505945228"/>
      <w:r w:rsidRPr="00E869A4">
        <w:t>Coping Strategies &amp; Care Management</w:t>
      </w:r>
      <w:bookmarkEnd w:id="228"/>
    </w:p>
    <w:p w14:paraId="3DBEEE0A" w14:textId="77777777" w:rsidR="00D968A3" w:rsidRPr="00E869A4" w:rsidRDefault="00D968A3" w:rsidP="0051234F">
      <w:pPr>
        <w:pStyle w:val="112"/>
        <w:rPr>
          <w:color w:val="auto"/>
        </w:rPr>
      </w:pPr>
    </w:p>
    <w:p w14:paraId="60BEC56E" w14:textId="71709A70"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Coping strategies used by family caregivers may be generally subdivided into two categories: </w:t>
      </w:r>
      <w:r w:rsidR="00D449CC" w:rsidRPr="00E869A4">
        <w:rPr>
          <w:rFonts w:ascii="Times New Roman" w:hAnsi="Times New Roman" w:cs="Times New Roman"/>
        </w:rPr>
        <w:t>i</w:t>
      </w:r>
      <w:r w:rsidRPr="00E869A4">
        <w:rPr>
          <w:rFonts w:ascii="Times New Roman" w:hAnsi="Times New Roman" w:cs="Times New Roman"/>
        </w:rPr>
        <w:t xml:space="preserve">) </w:t>
      </w:r>
      <w:r w:rsidRPr="00E869A4">
        <w:rPr>
          <w:rFonts w:ascii="Times New Roman" w:hAnsi="Times New Roman" w:cs="Times New Roman"/>
          <w:i/>
        </w:rPr>
        <w:t>internal</w:t>
      </w:r>
      <w:r w:rsidRPr="00E869A4">
        <w:rPr>
          <w:rFonts w:ascii="Times New Roman" w:hAnsi="Times New Roman" w:cs="Times New Roman"/>
        </w:rPr>
        <w:t xml:space="preserve"> – which includes both the mental and emotional dimensions; and</w:t>
      </w:r>
      <w:r w:rsidR="005624D3" w:rsidRPr="00E869A4">
        <w:rPr>
          <w:rFonts w:ascii="Times New Roman" w:hAnsi="Times New Roman" w:cs="Times New Roman"/>
        </w:rPr>
        <w:t>,</w:t>
      </w:r>
      <w:r w:rsidRPr="00E869A4">
        <w:rPr>
          <w:rFonts w:ascii="Times New Roman" w:hAnsi="Times New Roman" w:cs="Times New Roman"/>
        </w:rPr>
        <w:t xml:space="preserve"> ii) </w:t>
      </w:r>
      <w:r w:rsidRPr="00E869A4">
        <w:rPr>
          <w:rFonts w:ascii="Times New Roman" w:hAnsi="Times New Roman" w:cs="Times New Roman"/>
          <w:i/>
        </w:rPr>
        <w:t xml:space="preserve">external </w:t>
      </w:r>
      <w:r w:rsidRPr="00E869A4">
        <w:rPr>
          <w:rFonts w:ascii="Times New Roman" w:hAnsi="Times New Roman" w:cs="Times New Roman"/>
        </w:rPr>
        <w:t>– behavioural actions (Gitlin et al</w:t>
      </w:r>
      <w:r w:rsidR="00934743" w:rsidRPr="00E869A4">
        <w:rPr>
          <w:rFonts w:ascii="Times New Roman" w:hAnsi="Times New Roman" w:cs="Times New Roman"/>
        </w:rPr>
        <w:t>.</w:t>
      </w:r>
      <w:r w:rsidRPr="00E869A4">
        <w:rPr>
          <w:rFonts w:ascii="Times New Roman" w:hAnsi="Times New Roman" w:cs="Times New Roman"/>
        </w:rPr>
        <w:t xml:space="preserve"> 2002). </w:t>
      </w:r>
      <w:r w:rsidR="00AB249E" w:rsidRPr="00E869A4">
        <w:rPr>
          <w:rFonts w:ascii="Times New Roman" w:hAnsi="Times New Roman" w:cs="Times New Roman"/>
        </w:rPr>
        <w:t>However</w:t>
      </w:r>
      <w:r w:rsidRPr="00E869A4">
        <w:rPr>
          <w:rFonts w:ascii="Times New Roman" w:hAnsi="Times New Roman" w:cs="Times New Roman"/>
        </w:rPr>
        <w:t>, as Gitlin and colleagues observed, there is a preponderance of research on the former</w:t>
      </w:r>
      <w:r w:rsidR="00AB249E" w:rsidRPr="00E869A4">
        <w:rPr>
          <w:rFonts w:ascii="Times New Roman" w:hAnsi="Times New Roman" w:cs="Times New Roman"/>
        </w:rPr>
        <w:t>,</w:t>
      </w:r>
      <w:r w:rsidRPr="00E869A4">
        <w:rPr>
          <w:rFonts w:ascii="Times New Roman" w:hAnsi="Times New Roman" w:cs="Times New Roman"/>
        </w:rPr>
        <w:t xml:space="preserve"> with relatively less attention to the latter. I am of the view that this gap provides a bevy of research opportunities for sociologists to make a significant contribution. </w:t>
      </w:r>
    </w:p>
    <w:p w14:paraId="11A8F7F6" w14:textId="77777777" w:rsidR="00D968A3" w:rsidRPr="00E869A4" w:rsidRDefault="00D968A3" w:rsidP="00A35FF8">
      <w:pPr>
        <w:rPr>
          <w:rFonts w:ascii="Times New Roman" w:hAnsi="Times New Roman" w:cs="Times New Roman"/>
        </w:rPr>
      </w:pPr>
    </w:p>
    <w:p w14:paraId="1A3D5A88" w14:textId="504C7229"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Internal coping strategies include </w:t>
      </w:r>
      <w:r w:rsidRPr="00E869A4">
        <w:rPr>
          <w:rFonts w:ascii="Times New Roman" w:hAnsi="Times New Roman" w:cs="Times New Roman"/>
          <w:i/>
          <w:iCs/>
        </w:rPr>
        <w:t>inter</w:t>
      </w:r>
      <w:r w:rsidRPr="00E869A4">
        <w:rPr>
          <w:rFonts w:ascii="Times New Roman" w:hAnsi="Times New Roman" w:cs="Times New Roman"/>
          <w:i/>
        </w:rPr>
        <w:t xml:space="preserve"> </w:t>
      </w:r>
      <w:r w:rsidRPr="00E869A4">
        <w:rPr>
          <w:rFonts w:ascii="Times New Roman" w:hAnsi="Times New Roman" w:cs="Times New Roman"/>
          <w:i/>
          <w:iCs/>
        </w:rPr>
        <w:t>alia</w:t>
      </w:r>
      <w:r w:rsidRPr="00E869A4">
        <w:rPr>
          <w:rFonts w:ascii="Times New Roman" w:hAnsi="Times New Roman" w:cs="Times New Roman"/>
        </w:rPr>
        <w:t xml:space="preserve">: acceptance, finding meaning (including spiritual/religious and moral reasoning), humour, creativity, resourcefulness (with respect to </w:t>
      </w:r>
      <w:r w:rsidR="002C7D91" w:rsidRPr="00E869A4">
        <w:rPr>
          <w:rFonts w:ascii="Times New Roman" w:hAnsi="Times New Roman" w:cs="Times New Roman"/>
        </w:rPr>
        <w:t>managing</w:t>
      </w:r>
      <w:r w:rsidRPr="00E869A4">
        <w:rPr>
          <w:rFonts w:ascii="Times New Roman" w:hAnsi="Times New Roman" w:cs="Times New Roman"/>
        </w:rPr>
        <w:t xml:space="preserve"> time, material, and social resources)</w:t>
      </w:r>
      <w:r w:rsidR="00D449CC" w:rsidRPr="00E869A4">
        <w:rPr>
          <w:rFonts w:ascii="Times New Roman" w:hAnsi="Times New Roman" w:cs="Times New Roman"/>
        </w:rPr>
        <w:t>,</w:t>
      </w:r>
      <w:r w:rsidRPr="00E869A4">
        <w:rPr>
          <w:rFonts w:ascii="Times New Roman" w:hAnsi="Times New Roman" w:cs="Times New Roman"/>
        </w:rPr>
        <w:t xml:space="preserve"> assertiveness, confidence and perseverance. Per my previous arguments about the subject matter of sociological study </w:t>
      </w:r>
      <w:r w:rsidRPr="00E869A4">
        <w:rPr>
          <w:rFonts w:ascii="Times New Roman" w:hAnsi="Times New Roman" w:cs="Times New Roman"/>
          <w:i/>
        </w:rPr>
        <w:t>vis à vis</w:t>
      </w:r>
      <w:r w:rsidRPr="00E869A4">
        <w:rPr>
          <w:rFonts w:ascii="Times New Roman" w:hAnsi="Times New Roman" w:cs="Times New Roman"/>
        </w:rPr>
        <w:t xml:space="preserve"> cognitions and emotions, these internal coping strategies are worthy of sociological study, and even more so since sociologists have not given sufficient attention to these factors when compared to psychologists, gerontologists and other disciplines that provide focused study on family caregiving. As a result, I have had to draw from these specialised</w:t>
      </w:r>
      <w:r w:rsidR="005C0CD3">
        <w:rPr>
          <w:rFonts w:ascii="Times New Roman" w:hAnsi="Times New Roman" w:cs="Times New Roman"/>
        </w:rPr>
        <w:t xml:space="preserve"> fields for literature on </w:t>
      </w:r>
      <w:r w:rsidRPr="00E869A4">
        <w:rPr>
          <w:rFonts w:ascii="Times New Roman" w:hAnsi="Times New Roman" w:cs="Times New Roman"/>
        </w:rPr>
        <w:t xml:space="preserve">internal coping strategies. </w:t>
      </w:r>
    </w:p>
    <w:p w14:paraId="3EC6D5CB" w14:textId="77777777" w:rsidR="00D968A3" w:rsidRPr="00E869A4" w:rsidRDefault="00D968A3" w:rsidP="00A35FF8">
      <w:pPr>
        <w:rPr>
          <w:rFonts w:ascii="Times New Roman" w:hAnsi="Times New Roman" w:cs="Times New Roman"/>
        </w:rPr>
      </w:pPr>
    </w:p>
    <w:p w14:paraId="6D04A409" w14:textId="03C914F2" w:rsidR="00855EB2" w:rsidRPr="00E869A4" w:rsidRDefault="00855EB2" w:rsidP="00A35FF8">
      <w:pPr>
        <w:rPr>
          <w:rFonts w:ascii="Times New Roman" w:hAnsi="Times New Roman" w:cs="Times New Roman"/>
        </w:rPr>
      </w:pPr>
      <w:r w:rsidRPr="00E869A4">
        <w:rPr>
          <w:rFonts w:ascii="Times New Roman" w:hAnsi="Times New Roman" w:cs="Times New Roman"/>
        </w:rPr>
        <w:t>Meaning</w:t>
      </w:r>
      <w:r w:rsidR="00D449CC" w:rsidRPr="00E869A4">
        <w:rPr>
          <w:rFonts w:ascii="Times New Roman" w:hAnsi="Times New Roman" w:cs="Times New Roman"/>
        </w:rPr>
        <w:t>-</w:t>
      </w:r>
      <w:r w:rsidRPr="00E869A4">
        <w:rPr>
          <w:rFonts w:ascii="Times New Roman" w:hAnsi="Times New Roman" w:cs="Times New Roman"/>
        </w:rPr>
        <w:t>making has been consistently identified as a main coping strategy that is employed by family carers and the cared-for. According to Hayman and colleagues (2017)</w:t>
      </w:r>
      <w:r w:rsidR="00D449CC" w:rsidRPr="00E869A4">
        <w:rPr>
          <w:rFonts w:ascii="Times New Roman" w:hAnsi="Times New Roman" w:cs="Times New Roman"/>
        </w:rPr>
        <w:t>,</w:t>
      </w:r>
      <w:r w:rsidRPr="00E869A4">
        <w:rPr>
          <w:rFonts w:ascii="Times New Roman" w:hAnsi="Times New Roman" w:cs="Times New Roman"/>
        </w:rPr>
        <w:t xml:space="preserve"> how people experience </w:t>
      </w:r>
      <w:r w:rsidRPr="00E869A4">
        <w:rPr>
          <w:rFonts w:ascii="Times New Roman" w:hAnsi="Times New Roman" w:cs="Times New Roman"/>
        </w:rPr>
        <w:lastRenderedPageBreak/>
        <w:t>adversity is dependent upon the meaning they ascribe to the challenges they face. They suggest</w:t>
      </w:r>
      <w:r w:rsidR="00DF044D" w:rsidRPr="00E869A4">
        <w:rPr>
          <w:rFonts w:ascii="Times New Roman" w:hAnsi="Times New Roman" w:cs="Times New Roman"/>
        </w:rPr>
        <w:t>ed</w:t>
      </w:r>
      <w:r w:rsidRPr="00E869A4">
        <w:rPr>
          <w:rFonts w:ascii="Times New Roman" w:hAnsi="Times New Roman" w:cs="Times New Roman"/>
        </w:rPr>
        <w:t xml:space="preserve"> that “[p]eople in advanced age have had more time and opportunity to be exposed to stresses and to develop resources to deal with them</w:t>
      </w:r>
      <w:r w:rsidR="00917D45" w:rsidRPr="00E869A4">
        <w:rPr>
          <w:rFonts w:ascii="Times New Roman" w:hAnsi="Times New Roman" w:cs="Times New Roman"/>
        </w:rPr>
        <w:t>.</w:t>
      </w:r>
      <w:r w:rsidRPr="00E869A4">
        <w:rPr>
          <w:rFonts w:ascii="Times New Roman" w:hAnsi="Times New Roman" w:cs="Times New Roman"/>
        </w:rPr>
        <w:t>” (</w:t>
      </w:r>
      <w:r w:rsidR="00577FAC" w:rsidRPr="00E869A4">
        <w:rPr>
          <w:rFonts w:ascii="Times New Roman" w:hAnsi="Times New Roman" w:cs="Times New Roman"/>
        </w:rPr>
        <w:t xml:space="preserve">Hayman et al. 2017, </w:t>
      </w:r>
      <w:r w:rsidRPr="00E869A4">
        <w:rPr>
          <w:rFonts w:ascii="Times New Roman" w:hAnsi="Times New Roman" w:cs="Times New Roman"/>
        </w:rPr>
        <w:t>p. 581). Thus, in their view, it is possible that older people have developed adaptive coping strategies that they might not have had in earlier years. They also note</w:t>
      </w:r>
      <w:r w:rsidR="00DF044D" w:rsidRPr="00E869A4">
        <w:rPr>
          <w:rFonts w:ascii="Times New Roman" w:hAnsi="Times New Roman" w:cs="Times New Roman"/>
        </w:rPr>
        <w:t>d</w:t>
      </w:r>
      <w:r w:rsidRPr="00E869A4">
        <w:rPr>
          <w:rFonts w:ascii="Times New Roman" w:hAnsi="Times New Roman" w:cs="Times New Roman"/>
        </w:rPr>
        <w:t xml:space="preserve"> that an individual who continues to cope in difficult circumstances may have gained increased c</w:t>
      </w:r>
      <w:r w:rsidR="00D449CC" w:rsidRPr="00E869A4">
        <w:rPr>
          <w:rFonts w:ascii="Times New Roman" w:hAnsi="Times New Roman" w:cs="Times New Roman"/>
        </w:rPr>
        <w:t>onfidence from surviving trauma,</w:t>
      </w:r>
      <w:r w:rsidR="002A237C" w:rsidRPr="00E869A4">
        <w:rPr>
          <w:rFonts w:ascii="Times New Roman" w:hAnsi="Times New Roman" w:cs="Times New Roman"/>
        </w:rPr>
        <w:t xml:space="preserve"> and</w:t>
      </w:r>
      <w:r w:rsidR="00D449CC" w:rsidRPr="00E869A4">
        <w:rPr>
          <w:rFonts w:ascii="Times New Roman" w:hAnsi="Times New Roman" w:cs="Times New Roman"/>
        </w:rPr>
        <w:t xml:space="preserve"> </w:t>
      </w:r>
      <w:r w:rsidRPr="00E869A4">
        <w:rPr>
          <w:rFonts w:ascii="Times New Roman" w:hAnsi="Times New Roman" w:cs="Times New Roman"/>
        </w:rPr>
        <w:t>substantiate</w:t>
      </w:r>
      <w:r w:rsidR="002A237C" w:rsidRPr="00E869A4">
        <w:rPr>
          <w:rFonts w:ascii="Times New Roman" w:hAnsi="Times New Roman" w:cs="Times New Roman"/>
        </w:rPr>
        <w:t>d</w:t>
      </w:r>
      <w:r w:rsidRPr="00E869A4">
        <w:rPr>
          <w:rFonts w:ascii="Times New Roman" w:hAnsi="Times New Roman" w:cs="Times New Roman"/>
        </w:rPr>
        <w:t xml:space="preserve"> this point by referring to data on WWII veterans who experienced the greatest adversity during the war but showed the greatest improvement in resilience in later life. </w:t>
      </w:r>
    </w:p>
    <w:p w14:paraId="6615DE8F" w14:textId="77777777" w:rsidR="00D968A3" w:rsidRPr="00E869A4" w:rsidRDefault="00D968A3" w:rsidP="00A35FF8">
      <w:pPr>
        <w:rPr>
          <w:rFonts w:ascii="Times New Roman" w:hAnsi="Times New Roman" w:cs="Times New Roman"/>
        </w:rPr>
      </w:pPr>
    </w:p>
    <w:p w14:paraId="7008065D" w14:textId="1BFEA700" w:rsidR="00855EB2" w:rsidRPr="00E869A4" w:rsidRDefault="00855EB2" w:rsidP="00A35FF8">
      <w:pPr>
        <w:rPr>
          <w:rFonts w:ascii="Times New Roman" w:hAnsi="Times New Roman" w:cs="Times New Roman"/>
        </w:rPr>
      </w:pPr>
      <w:r w:rsidRPr="00E869A4">
        <w:rPr>
          <w:rFonts w:ascii="Times New Roman" w:hAnsi="Times New Roman" w:cs="Times New Roman"/>
        </w:rPr>
        <w:t>With respect to family care</w:t>
      </w:r>
      <w:r w:rsidR="000B6EAE" w:rsidRPr="00E869A4">
        <w:rPr>
          <w:rFonts w:ascii="Times New Roman" w:hAnsi="Times New Roman" w:cs="Times New Roman"/>
        </w:rPr>
        <w:t>givers and meaning</w:t>
      </w:r>
      <w:r w:rsidR="00D449CC" w:rsidRPr="00E869A4">
        <w:rPr>
          <w:rFonts w:ascii="Times New Roman" w:hAnsi="Times New Roman" w:cs="Times New Roman"/>
        </w:rPr>
        <w:t>-</w:t>
      </w:r>
      <w:r w:rsidRPr="00E869A4">
        <w:rPr>
          <w:rFonts w:ascii="Times New Roman" w:hAnsi="Times New Roman" w:cs="Times New Roman"/>
        </w:rPr>
        <w:t>making, researchers have found that meaning may h</w:t>
      </w:r>
      <w:r w:rsidR="00D449CC" w:rsidRPr="00E869A4">
        <w:rPr>
          <w:rFonts w:ascii="Times New Roman" w:hAnsi="Times New Roman" w:cs="Times New Roman"/>
        </w:rPr>
        <w:t>ave a cognitive component (e.g.</w:t>
      </w:r>
      <w:r w:rsidR="000B6EAE" w:rsidRPr="00E869A4">
        <w:rPr>
          <w:rFonts w:ascii="Times New Roman" w:hAnsi="Times New Roman" w:cs="Times New Roman"/>
        </w:rPr>
        <w:t xml:space="preserve"> rationalis</w:t>
      </w:r>
      <w:r w:rsidRPr="00E869A4">
        <w:rPr>
          <w:rFonts w:ascii="Times New Roman" w:hAnsi="Times New Roman" w:cs="Times New Roman"/>
        </w:rPr>
        <w:t>ing experiences), an emotio</w:t>
      </w:r>
      <w:r w:rsidR="00D449CC" w:rsidRPr="00E869A4">
        <w:rPr>
          <w:rFonts w:ascii="Times New Roman" w:hAnsi="Times New Roman" w:cs="Times New Roman"/>
        </w:rPr>
        <w:t>nal component (e.g.</w:t>
      </w:r>
      <w:r w:rsidRPr="00E869A4">
        <w:rPr>
          <w:rFonts w:ascii="Times New Roman" w:hAnsi="Times New Roman" w:cs="Times New Roman"/>
        </w:rPr>
        <w:t xml:space="preserve"> feelings of </w:t>
      </w:r>
      <w:r w:rsidR="000B6EAE" w:rsidRPr="00E869A4">
        <w:rPr>
          <w:rFonts w:ascii="Times New Roman" w:hAnsi="Times New Roman" w:cs="Times New Roman"/>
        </w:rPr>
        <w:t>fulfilment</w:t>
      </w:r>
      <w:r w:rsidRPr="00E869A4">
        <w:rPr>
          <w:rFonts w:ascii="Times New Roman" w:hAnsi="Times New Roman" w:cs="Times New Roman"/>
        </w:rPr>
        <w:t>), and a motivational component (e.g. sustain</w:t>
      </w:r>
      <w:r w:rsidR="00D449CC" w:rsidRPr="00E869A4">
        <w:rPr>
          <w:rFonts w:ascii="Times New Roman" w:hAnsi="Times New Roman" w:cs="Times New Roman"/>
        </w:rPr>
        <w:t>ing</w:t>
      </w:r>
      <w:r w:rsidRPr="00E869A4">
        <w:rPr>
          <w:rFonts w:ascii="Times New Roman" w:hAnsi="Times New Roman" w:cs="Times New Roman"/>
        </w:rPr>
        <w:t xml:space="preserve"> coping by finding meaning) that together help a caregiver adapt, create a ‘caregiver’ identity, and find empowering qualities that highlight the strengths required to provide care to someone living with a chronic illness or disability. These methods of meaning-making may help explain why certain caregivers are able to positively appraise the caregiving role (</w:t>
      </w:r>
      <w:r w:rsidR="00DD34B4" w:rsidRPr="00E869A4">
        <w:rPr>
          <w:rFonts w:ascii="Times New Roman" w:hAnsi="Times New Roman" w:cs="Times New Roman"/>
        </w:rPr>
        <w:t xml:space="preserve">Walker, Powers &amp; Bisconti </w:t>
      </w:r>
      <w:r w:rsidRPr="00E869A4">
        <w:rPr>
          <w:rFonts w:ascii="Times New Roman" w:hAnsi="Times New Roman" w:cs="Times New Roman"/>
        </w:rPr>
        <w:t>2016).</w:t>
      </w:r>
    </w:p>
    <w:p w14:paraId="7EE905A2" w14:textId="77777777" w:rsidR="00D968A3" w:rsidRPr="00E869A4" w:rsidRDefault="00D968A3" w:rsidP="00A35FF8">
      <w:pPr>
        <w:rPr>
          <w:rFonts w:ascii="Times New Roman" w:hAnsi="Times New Roman" w:cs="Times New Roman"/>
        </w:rPr>
      </w:pPr>
    </w:p>
    <w:p w14:paraId="676532DE" w14:textId="735C28B9" w:rsidR="00D968A3" w:rsidRPr="00E869A4" w:rsidRDefault="00855EB2" w:rsidP="004A51DD">
      <w:pPr>
        <w:rPr>
          <w:rFonts w:ascii="Times New Roman" w:hAnsi="Times New Roman" w:cs="Times New Roman"/>
        </w:rPr>
      </w:pPr>
      <w:r w:rsidRPr="00E869A4">
        <w:rPr>
          <w:rFonts w:ascii="Times New Roman" w:hAnsi="Times New Roman" w:cs="Times New Roman"/>
        </w:rPr>
        <w:t>Sánchez-Izquierdo and colleagues (2015) observed that finding meaning was widely regarded as one of the main ways in which caregivers positively appraised their caregiving situation. It involved making sense and giving order and coherence to one’s existence. According to Farran</w:t>
      </w:r>
      <w:r w:rsidR="0025067D" w:rsidRPr="00E869A4">
        <w:rPr>
          <w:rFonts w:ascii="Times New Roman" w:hAnsi="Times New Roman" w:cs="Times New Roman"/>
        </w:rPr>
        <w:t>,</w:t>
      </w:r>
      <w:r w:rsidRPr="00E869A4">
        <w:rPr>
          <w:rFonts w:ascii="Times New Roman" w:hAnsi="Times New Roman" w:cs="Times New Roman"/>
        </w:rPr>
        <w:t xml:space="preserve"> meaning may occur on two levels: 1) </w:t>
      </w:r>
      <w:r w:rsidRPr="00E869A4">
        <w:rPr>
          <w:rFonts w:ascii="Times New Roman" w:hAnsi="Times New Roman" w:cs="Times New Roman"/>
          <w:i/>
        </w:rPr>
        <w:t>provisional meaning</w:t>
      </w:r>
      <w:r w:rsidR="00917D45" w:rsidRPr="00E869A4">
        <w:rPr>
          <w:rFonts w:ascii="Times New Roman" w:hAnsi="Times New Roman" w:cs="Times New Roman"/>
        </w:rPr>
        <w:t>,</w:t>
      </w:r>
      <w:r w:rsidR="00D449CC" w:rsidRPr="00E869A4">
        <w:rPr>
          <w:rFonts w:ascii="Times New Roman" w:hAnsi="Times New Roman" w:cs="Times New Roman"/>
        </w:rPr>
        <w:t xml:space="preserve"> which</w:t>
      </w:r>
      <w:r w:rsidRPr="00E869A4">
        <w:rPr>
          <w:rFonts w:ascii="Times New Roman" w:hAnsi="Times New Roman" w:cs="Times New Roman"/>
        </w:rPr>
        <w:t xml:space="preserve"> refers to the day to day or short caregivers’ experiences in which they can see a positive response to their ca</w:t>
      </w:r>
      <w:r w:rsidR="00D449CC" w:rsidRPr="00E869A4">
        <w:rPr>
          <w:rFonts w:ascii="Times New Roman" w:hAnsi="Times New Roman" w:cs="Times New Roman"/>
        </w:rPr>
        <w:t>regiving [for an] older adult, engendering feelings of</w:t>
      </w:r>
      <w:r w:rsidRPr="00E869A4">
        <w:rPr>
          <w:rFonts w:ascii="Times New Roman" w:hAnsi="Times New Roman" w:cs="Times New Roman"/>
        </w:rPr>
        <w:t xml:space="preserve"> confidence in the care provided, and </w:t>
      </w:r>
      <w:r w:rsidR="00D449CC" w:rsidRPr="00E869A4">
        <w:rPr>
          <w:rFonts w:ascii="Times New Roman" w:hAnsi="Times New Roman" w:cs="Times New Roman"/>
        </w:rPr>
        <w:t xml:space="preserve">thereby </w:t>
      </w:r>
      <w:r w:rsidRPr="00E869A4">
        <w:rPr>
          <w:rFonts w:ascii="Times New Roman" w:hAnsi="Times New Roman" w:cs="Times New Roman"/>
        </w:rPr>
        <w:t>having the subjective experience that they are changing and growing; and</w:t>
      </w:r>
      <w:r w:rsidR="00E333B0" w:rsidRPr="00E869A4">
        <w:rPr>
          <w:rFonts w:ascii="Times New Roman" w:hAnsi="Times New Roman" w:cs="Times New Roman"/>
        </w:rPr>
        <w:t>,</w:t>
      </w:r>
      <w:r w:rsidRPr="00E869A4">
        <w:rPr>
          <w:rFonts w:ascii="Times New Roman" w:hAnsi="Times New Roman" w:cs="Times New Roman"/>
        </w:rPr>
        <w:t xml:space="preserve"> 2) </w:t>
      </w:r>
      <w:r w:rsidRPr="00E869A4">
        <w:rPr>
          <w:rFonts w:ascii="Times New Roman" w:hAnsi="Times New Roman" w:cs="Times New Roman"/>
          <w:i/>
        </w:rPr>
        <w:t>ultimate meaning</w:t>
      </w:r>
      <w:r w:rsidR="00917D45" w:rsidRPr="00E869A4">
        <w:rPr>
          <w:rFonts w:ascii="Times New Roman" w:hAnsi="Times New Roman" w:cs="Times New Roman"/>
        </w:rPr>
        <w:t>,</w:t>
      </w:r>
      <w:r w:rsidR="00D449CC" w:rsidRPr="00E869A4">
        <w:rPr>
          <w:rFonts w:ascii="Times New Roman" w:hAnsi="Times New Roman" w:cs="Times New Roman"/>
        </w:rPr>
        <w:t xml:space="preserve"> which </w:t>
      </w:r>
      <w:r w:rsidRPr="00E869A4">
        <w:rPr>
          <w:rFonts w:ascii="Times New Roman" w:hAnsi="Times New Roman" w:cs="Times New Roman"/>
        </w:rPr>
        <w:t xml:space="preserve">refers to a deeper sense of life meaning, which usually includes a spiritual content. Provisional meaning was generally associated with persons caring for older relatives at home, while ultimate meaning </w:t>
      </w:r>
      <w:r w:rsidR="00D449CC" w:rsidRPr="00E869A4">
        <w:rPr>
          <w:rFonts w:ascii="Times New Roman" w:hAnsi="Times New Roman" w:cs="Times New Roman"/>
        </w:rPr>
        <w:t>was associated with</w:t>
      </w:r>
      <w:r w:rsidRPr="00E869A4">
        <w:rPr>
          <w:rFonts w:ascii="Times New Roman" w:hAnsi="Times New Roman" w:cs="Times New Roman"/>
        </w:rPr>
        <w:t xml:space="preserve"> those caring for institutionalised older persons</w:t>
      </w:r>
      <w:r w:rsidR="0025067D" w:rsidRPr="00E869A4">
        <w:rPr>
          <w:rFonts w:ascii="Times New Roman" w:hAnsi="Times New Roman" w:cs="Times New Roman"/>
        </w:rPr>
        <w:t xml:space="preserve"> (Farran 1997 cited in </w:t>
      </w:r>
      <w:r w:rsidR="0025067D" w:rsidRPr="00E869A4">
        <w:rPr>
          <w:rFonts w:ascii="Times New Roman" w:eastAsia="Times New Roman" w:hAnsi="Times New Roman" w:cs="Times New Roman"/>
        </w:rPr>
        <w:t xml:space="preserve">Sánchez-Izquierdo, Prieto-Ursua &amp; Caperos </w:t>
      </w:r>
      <w:r w:rsidR="0025067D" w:rsidRPr="00E869A4">
        <w:rPr>
          <w:rFonts w:ascii="Times New Roman" w:hAnsi="Times New Roman" w:cs="Times New Roman"/>
        </w:rPr>
        <w:t>2015)</w:t>
      </w:r>
      <w:r w:rsidRPr="00E869A4">
        <w:rPr>
          <w:rFonts w:ascii="Times New Roman" w:hAnsi="Times New Roman" w:cs="Times New Roman"/>
        </w:rPr>
        <w:t xml:space="preserve">. </w:t>
      </w:r>
      <w:r w:rsidR="0025067D" w:rsidRPr="00E869A4">
        <w:rPr>
          <w:rFonts w:ascii="Times New Roman" w:hAnsi="Times New Roman" w:cs="Times New Roman"/>
        </w:rPr>
        <w:t>Farran’s</w:t>
      </w:r>
      <w:r w:rsidRPr="00E869A4">
        <w:rPr>
          <w:rFonts w:ascii="Times New Roman" w:hAnsi="Times New Roman" w:cs="Times New Roman"/>
        </w:rPr>
        <w:t xml:space="preserve"> study of 140 family carers in Spain found that caregivers of older people with dementia have a significantly greater loss of meaning than caregivers of elderly </w:t>
      </w:r>
      <w:r w:rsidR="00D449CC" w:rsidRPr="00E869A4">
        <w:rPr>
          <w:rFonts w:ascii="Times New Roman" w:hAnsi="Times New Roman" w:cs="Times New Roman"/>
        </w:rPr>
        <w:t xml:space="preserve">people </w:t>
      </w:r>
      <w:r w:rsidRPr="00E869A4">
        <w:rPr>
          <w:rFonts w:ascii="Times New Roman" w:hAnsi="Times New Roman" w:cs="Times New Roman"/>
        </w:rPr>
        <w:t>without cognitive impairment.</w:t>
      </w:r>
    </w:p>
    <w:p w14:paraId="3193357F" w14:textId="77777777" w:rsidR="00E333B0" w:rsidRPr="00E869A4" w:rsidRDefault="00E333B0" w:rsidP="00A35FF8">
      <w:pPr>
        <w:rPr>
          <w:rFonts w:ascii="Times New Roman" w:hAnsi="Times New Roman" w:cs="Times New Roman"/>
        </w:rPr>
      </w:pPr>
    </w:p>
    <w:p w14:paraId="305D5B4C" w14:textId="46F273C4" w:rsidR="00855EB2" w:rsidRPr="00E869A4" w:rsidRDefault="00855EB2" w:rsidP="00EE213A">
      <w:pPr>
        <w:rPr>
          <w:rFonts w:ascii="Times New Roman" w:hAnsi="Times New Roman" w:cs="Times New Roman"/>
        </w:rPr>
      </w:pPr>
      <w:r w:rsidRPr="00E869A4">
        <w:rPr>
          <w:rFonts w:ascii="Times New Roman" w:hAnsi="Times New Roman" w:cs="Times New Roman"/>
        </w:rPr>
        <w:lastRenderedPageBreak/>
        <w:t xml:space="preserve">Carrion and colleagues (2017) examined perceptions of coping among Latino men and women with a cancer diagnosis living in the </w:t>
      </w:r>
      <w:r w:rsidR="00E420E6" w:rsidRPr="00E869A4">
        <w:rPr>
          <w:rFonts w:ascii="Times New Roman" w:hAnsi="Times New Roman" w:cs="Times New Roman"/>
        </w:rPr>
        <w:t>US</w:t>
      </w:r>
      <w:r w:rsidRPr="00E869A4">
        <w:rPr>
          <w:rFonts w:ascii="Times New Roman" w:hAnsi="Times New Roman" w:cs="Times New Roman"/>
        </w:rPr>
        <w:t xml:space="preserve">. While the study was not exclusively focused on older persons, it is still relevant to this study as 37% of the participants were aged 60 years and over. The main themes that emerged from their qualitative study were: a) </w:t>
      </w:r>
      <w:r w:rsidRPr="00E869A4">
        <w:rPr>
          <w:rFonts w:ascii="Times New Roman" w:hAnsi="Times New Roman" w:cs="Times New Roman"/>
          <w:i/>
        </w:rPr>
        <w:t>Positive reframing</w:t>
      </w:r>
      <w:r w:rsidR="00E420E6" w:rsidRPr="00E869A4">
        <w:rPr>
          <w:rFonts w:ascii="Times New Roman" w:hAnsi="Times New Roman" w:cs="Times New Roman"/>
        </w:rPr>
        <w:t xml:space="preserve"> </w:t>
      </w:r>
      <w:bookmarkStart w:id="229" w:name="_Hlk27819814"/>
      <w:r w:rsidR="00E420E6" w:rsidRPr="00E869A4">
        <w:rPr>
          <w:rFonts w:ascii="Times New Roman" w:hAnsi="Times New Roman" w:cs="Times New Roman"/>
        </w:rPr>
        <w:t xml:space="preserve">– </w:t>
      </w:r>
      <w:bookmarkEnd w:id="229"/>
      <w:r w:rsidRPr="00E869A4">
        <w:rPr>
          <w:rFonts w:ascii="Times New Roman" w:hAnsi="Times New Roman" w:cs="Times New Roman"/>
        </w:rPr>
        <w:t xml:space="preserve">the participants identified the need to positively reframe their experiences with being diagnosed with cancer and expressed an urgency to acquire a positive attitude, which impacted the outcome of their lives and ability to cope; b) </w:t>
      </w:r>
      <w:r w:rsidRPr="00E869A4">
        <w:rPr>
          <w:rFonts w:ascii="Times New Roman" w:hAnsi="Times New Roman" w:cs="Times New Roman"/>
          <w:i/>
        </w:rPr>
        <w:t>Family support</w:t>
      </w:r>
      <w:r w:rsidR="004E0077" w:rsidRPr="00E869A4">
        <w:rPr>
          <w:rFonts w:ascii="Times New Roman" w:hAnsi="Times New Roman" w:cs="Times New Roman"/>
        </w:rPr>
        <w:t xml:space="preserve"> </w:t>
      </w:r>
      <w:r w:rsidR="00E420E6" w:rsidRPr="00E869A4">
        <w:rPr>
          <w:rFonts w:ascii="Times New Roman" w:hAnsi="Times New Roman" w:cs="Times New Roman"/>
        </w:rPr>
        <w:t xml:space="preserve">– </w:t>
      </w:r>
      <w:r w:rsidRPr="00E869A4">
        <w:rPr>
          <w:rFonts w:ascii="Times New Roman" w:hAnsi="Times New Roman" w:cs="Times New Roman"/>
        </w:rPr>
        <w:t xml:space="preserve">from spouses, siblings, parents, and in-laws for assistance with cancer care; c) </w:t>
      </w:r>
      <w:r w:rsidR="00EE213A" w:rsidRPr="00E869A4">
        <w:rPr>
          <w:rFonts w:ascii="Times New Roman" w:hAnsi="Times New Roman" w:cs="Times New Roman"/>
          <w:i/>
        </w:rPr>
        <w:t>Religion and Spirituality</w:t>
      </w:r>
      <w:r w:rsidR="00EE213A" w:rsidRPr="00E869A4">
        <w:rPr>
          <w:rFonts w:ascii="Times New Roman" w:hAnsi="Times New Roman" w:cs="Times New Roman"/>
        </w:rPr>
        <w:t xml:space="preserve"> – many felt comfort knowing their lives were in God’s hands, which reduced stress and enabled them to cope with a cancer diagnosis; and, d) </w:t>
      </w:r>
      <w:r w:rsidRPr="00E869A4">
        <w:rPr>
          <w:rFonts w:ascii="Times New Roman" w:hAnsi="Times New Roman" w:cs="Times New Roman"/>
          <w:i/>
        </w:rPr>
        <w:t>Suppor</w:t>
      </w:r>
      <w:r w:rsidR="004E0077" w:rsidRPr="00E869A4">
        <w:rPr>
          <w:rFonts w:ascii="Times New Roman" w:hAnsi="Times New Roman" w:cs="Times New Roman"/>
          <w:i/>
        </w:rPr>
        <w:t xml:space="preserve">t from </w:t>
      </w:r>
      <w:r w:rsidR="00E420E6" w:rsidRPr="00E869A4">
        <w:rPr>
          <w:rFonts w:ascii="Times New Roman" w:hAnsi="Times New Roman" w:cs="Times New Roman"/>
          <w:i/>
        </w:rPr>
        <w:t>h</w:t>
      </w:r>
      <w:r w:rsidR="004E0077" w:rsidRPr="00E869A4">
        <w:rPr>
          <w:rFonts w:ascii="Times New Roman" w:hAnsi="Times New Roman" w:cs="Times New Roman"/>
          <w:i/>
        </w:rPr>
        <w:t>ealth-</w:t>
      </w:r>
      <w:r w:rsidR="00E420E6" w:rsidRPr="00E869A4">
        <w:rPr>
          <w:rFonts w:ascii="Times New Roman" w:hAnsi="Times New Roman" w:cs="Times New Roman"/>
          <w:i/>
        </w:rPr>
        <w:t>c</w:t>
      </w:r>
      <w:r w:rsidR="004E0077" w:rsidRPr="00E869A4">
        <w:rPr>
          <w:rFonts w:ascii="Times New Roman" w:hAnsi="Times New Roman" w:cs="Times New Roman"/>
          <w:i/>
        </w:rPr>
        <w:t>are</w:t>
      </w:r>
      <w:r w:rsidR="0025067D" w:rsidRPr="00E869A4">
        <w:rPr>
          <w:rFonts w:ascii="Times New Roman" w:hAnsi="Times New Roman" w:cs="Times New Roman"/>
          <w:i/>
        </w:rPr>
        <w:t xml:space="preserve"> </w:t>
      </w:r>
      <w:r w:rsidR="00E420E6" w:rsidRPr="00E869A4">
        <w:rPr>
          <w:rFonts w:ascii="Times New Roman" w:hAnsi="Times New Roman" w:cs="Times New Roman"/>
          <w:i/>
        </w:rPr>
        <w:t>p</w:t>
      </w:r>
      <w:r w:rsidR="004E0077" w:rsidRPr="00E869A4">
        <w:rPr>
          <w:rFonts w:ascii="Times New Roman" w:hAnsi="Times New Roman" w:cs="Times New Roman"/>
          <w:i/>
        </w:rPr>
        <w:t>roviders</w:t>
      </w:r>
      <w:r w:rsidR="00E420E6" w:rsidRPr="00E869A4">
        <w:rPr>
          <w:rFonts w:ascii="Times New Roman" w:hAnsi="Times New Roman" w:cs="Times New Roman"/>
          <w:i/>
        </w:rPr>
        <w:t xml:space="preserve"> </w:t>
      </w:r>
      <w:r w:rsidR="00E420E6" w:rsidRPr="00E869A4">
        <w:rPr>
          <w:rFonts w:ascii="Times New Roman" w:hAnsi="Times New Roman" w:cs="Times New Roman"/>
        </w:rPr>
        <w:t xml:space="preserve">– </w:t>
      </w:r>
      <w:r w:rsidR="004E0077" w:rsidRPr="00E869A4">
        <w:rPr>
          <w:rFonts w:ascii="Times New Roman" w:hAnsi="Times New Roman" w:cs="Times New Roman"/>
        </w:rPr>
        <w:t>t</w:t>
      </w:r>
      <w:r w:rsidRPr="00E869A4">
        <w:rPr>
          <w:rFonts w:ascii="Times New Roman" w:hAnsi="Times New Roman" w:cs="Times New Roman"/>
        </w:rPr>
        <w:t>he participants appreciated the verbal and  emotional support, as well as informational and educational resources in Spanish from health-care providers from diverse disciplines in medicine, nursing, and social work. They coped through reliance on providers’ knowledge, skills, confidence, and the overall relationship with their patients. Health-care providers attended to the psychosocial and family needs of the participants. Additionally, they also provided referral resources that could be used immediately and information for future use in a caring, patient, and attentive manner</w:t>
      </w:r>
      <w:r w:rsidRPr="00E869A4">
        <w:rPr>
          <w:rStyle w:val="FootnoteReference"/>
          <w:rFonts w:ascii="Times New Roman" w:hAnsi="Times New Roman" w:cs="Times New Roman"/>
        </w:rPr>
        <w:footnoteReference w:id="41"/>
      </w:r>
      <w:r w:rsidRPr="00E869A4">
        <w:rPr>
          <w:rFonts w:ascii="Times New Roman" w:hAnsi="Times New Roman" w:cs="Times New Roman"/>
        </w:rPr>
        <w:t xml:space="preserve"> </w:t>
      </w:r>
      <w:r w:rsidR="00917D45" w:rsidRPr="00E869A4">
        <w:rPr>
          <w:rFonts w:ascii="Times New Roman" w:hAnsi="Times New Roman" w:cs="Times New Roman"/>
        </w:rPr>
        <w:t xml:space="preserve">(Carrion et al. 2017, p. </w:t>
      </w:r>
      <w:r w:rsidR="000C69CB" w:rsidRPr="00E869A4">
        <w:rPr>
          <w:rFonts w:ascii="Times New Roman" w:hAnsi="Times New Roman" w:cs="Times New Roman"/>
        </w:rPr>
        <w:t>236</w:t>
      </w:r>
      <w:r w:rsidR="00917D45" w:rsidRPr="00E869A4">
        <w:rPr>
          <w:rFonts w:ascii="Times New Roman" w:hAnsi="Times New Roman" w:cs="Times New Roman"/>
        </w:rPr>
        <w:t>)</w:t>
      </w:r>
      <w:r w:rsidRPr="00E869A4">
        <w:rPr>
          <w:rFonts w:ascii="Times New Roman" w:hAnsi="Times New Roman" w:cs="Times New Roman"/>
        </w:rPr>
        <w:t xml:space="preserve">. </w:t>
      </w:r>
    </w:p>
    <w:p w14:paraId="088434A0" w14:textId="77777777" w:rsidR="00D968A3" w:rsidRPr="00E869A4" w:rsidRDefault="00D968A3" w:rsidP="00A35FF8">
      <w:pPr>
        <w:rPr>
          <w:rFonts w:ascii="Times New Roman" w:hAnsi="Times New Roman" w:cs="Times New Roman"/>
        </w:rPr>
      </w:pPr>
    </w:p>
    <w:p w14:paraId="52E39293" w14:textId="72940FE2" w:rsidR="00855EB2" w:rsidRPr="00E869A4" w:rsidRDefault="00855EB2" w:rsidP="00A35FF8">
      <w:pPr>
        <w:rPr>
          <w:rFonts w:ascii="Times New Roman" w:hAnsi="Times New Roman" w:cs="Times New Roman"/>
        </w:rPr>
      </w:pPr>
      <w:r w:rsidRPr="00E869A4">
        <w:rPr>
          <w:rFonts w:ascii="Times New Roman" w:hAnsi="Times New Roman" w:cs="Times New Roman"/>
        </w:rPr>
        <w:t>Religious coping has featured significantly in the resilience literature.  Folkman and Moskowitz described religious coping as “one of the most fertile areas for theoretical consideration and empirical research</w:t>
      </w:r>
      <w:r w:rsidR="00C121C8" w:rsidRPr="00E869A4">
        <w:rPr>
          <w:rFonts w:ascii="Times New Roman" w:hAnsi="Times New Roman" w:cs="Times New Roman"/>
        </w:rPr>
        <w:t>.</w:t>
      </w:r>
      <w:r w:rsidRPr="00E869A4">
        <w:rPr>
          <w:rFonts w:ascii="Times New Roman" w:hAnsi="Times New Roman" w:cs="Times New Roman"/>
        </w:rPr>
        <w:t>”</w:t>
      </w:r>
      <w:r w:rsidR="0025067D" w:rsidRPr="00E869A4">
        <w:rPr>
          <w:rFonts w:ascii="Times New Roman" w:hAnsi="Times New Roman" w:cs="Times New Roman"/>
        </w:rPr>
        <w:t xml:space="preserve"> (Folkman &amp; Moskowitz 2004, p. 759)</w:t>
      </w:r>
      <w:r w:rsidRPr="00E869A4">
        <w:rPr>
          <w:rFonts w:ascii="Times New Roman" w:hAnsi="Times New Roman" w:cs="Times New Roman"/>
        </w:rPr>
        <w:t>. There is some concern about whether religious coping methods are indeed distinct from secular o</w:t>
      </w:r>
      <w:r w:rsidR="00EE213A" w:rsidRPr="00E869A4">
        <w:rPr>
          <w:rFonts w:ascii="Times New Roman" w:hAnsi="Times New Roman" w:cs="Times New Roman"/>
        </w:rPr>
        <w:t>r non-religious coping (Pearlin</w:t>
      </w:r>
      <w:r w:rsidRPr="00E869A4">
        <w:rPr>
          <w:rFonts w:ascii="Times New Roman" w:hAnsi="Times New Roman" w:cs="Times New Roman"/>
        </w:rPr>
        <w:t xml:space="preserve"> 1989). Pargament et al</w:t>
      </w:r>
      <w:r w:rsidR="000B6EAE" w:rsidRPr="00E869A4">
        <w:rPr>
          <w:rFonts w:ascii="Times New Roman" w:hAnsi="Times New Roman" w:cs="Times New Roman"/>
        </w:rPr>
        <w:t>.</w:t>
      </w:r>
      <w:r w:rsidRPr="00E869A4">
        <w:rPr>
          <w:rFonts w:ascii="Times New Roman" w:hAnsi="Times New Roman" w:cs="Times New Roman"/>
        </w:rPr>
        <w:t xml:space="preserve"> 1988 attempted to bring some clarity to this by identifying 3 methods of religious coping: 1) </w:t>
      </w:r>
      <w:r w:rsidRPr="00E869A4">
        <w:rPr>
          <w:rFonts w:ascii="Times New Roman" w:hAnsi="Times New Roman" w:cs="Times New Roman"/>
          <w:i/>
        </w:rPr>
        <w:t xml:space="preserve">Self-Directing </w:t>
      </w:r>
      <w:r w:rsidRPr="00E869A4">
        <w:rPr>
          <w:rFonts w:ascii="Times New Roman" w:hAnsi="Times New Roman" w:cs="Times New Roman"/>
        </w:rPr>
        <w:t xml:space="preserve">approach – people rely on their God-given resources in coping; 2) </w:t>
      </w:r>
      <w:r w:rsidRPr="00E869A4">
        <w:rPr>
          <w:rFonts w:ascii="Times New Roman" w:hAnsi="Times New Roman" w:cs="Times New Roman"/>
          <w:i/>
        </w:rPr>
        <w:t>Deferring</w:t>
      </w:r>
      <w:r w:rsidRPr="00E869A4">
        <w:rPr>
          <w:rFonts w:ascii="Times New Roman" w:hAnsi="Times New Roman" w:cs="Times New Roman"/>
        </w:rPr>
        <w:t xml:space="preserve"> approach – people passively defer the responsibility for problem-solving to God; and 3) </w:t>
      </w:r>
      <w:r w:rsidRPr="00E869A4">
        <w:rPr>
          <w:rFonts w:ascii="Times New Roman" w:hAnsi="Times New Roman" w:cs="Times New Roman"/>
          <w:i/>
        </w:rPr>
        <w:t xml:space="preserve">Collaborative </w:t>
      </w:r>
      <w:r w:rsidRPr="00E869A4">
        <w:rPr>
          <w:rFonts w:ascii="Times New Roman" w:hAnsi="Times New Roman" w:cs="Times New Roman"/>
        </w:rPr>
        <w:t xml:space="preserve">approach – people work together with God as partners in the problem-solving process. </w:t>
      </w:r>
    </w:p>
    <w:p w14:paraId="7F7AF0EF" w14:textId="77777777" w:rsidR="00D968A3" w:rsidRPr="00E869A4" w:rsidRDefault="00D968A3" w:rsidP="00A35FF8">
      <w:pPr>
        <w:rPr>
          <w:rFonts w:ascii="Times New Roman" w:hAnsi="Times New Roman" w:cs="Times New Roman"/>
        </w:rPr>
      </w:pPr>
    </w:p>
    <w:p w14:paraId="232D7665" w14:textId="37E75755"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The literature also presented diverse points of view with respect to distinguishing between religion and spirituality. Spirituality is generally described as existing outside the boundaries of formal religion, </w:t>
      </w:r>
      <w:r w:rsidR="00245264" w:rsidRPr="00E869A4">
        <w:rPr>
          <w:rFonts w:ascii="Times New Roman" w:hAnsi="Times New Roman" w:cs="Times New Roman"/>
        </w:rPr>
        <w:t>but is also a part of religion. A</w:t>
      </w:r>
      <w:r w:rsidRPr="00E869A4">
        <w:rPr>
          <w:rFonts w:ascii="Times New Roman" w:hAnsi="Times New Roman" w:cs="Times New Roman"/>
        </w:rPr>
        <w:t xml:space="preserve">s with social support, distinguishing between positive and negative religious </w:t>
      </w:r>
      <w:r w:rsidRPr="00E869A4">
        <w:rPr>
          <w:rFonts w:ascii="Times New Roman" w:hAnsi="Times New Roman" w:cs="Times New Roman"/>
        </w:rPr>
        <w:lastRenderedPageBreak/>
        <w:t>coping has also received attention in the literature</w:t>
      </w:r>
      <w:r w:rsidR="0025067D" w:rsidRPr="00E869A4">
        <w:rPr>
          <w:rFonts w:ascii="Times New Roman" w:hAnsi="Times New Roman" w:cs="Times New Roman"/>
        </w:rPr>
        <w:t>. For Pargament and colleagues</w:t>
      </w:r>
      <w:r w:rsidRPr="00E869A4">
        <w:rPr>
          <w:rFonts w:ascii="Times New Roman" w:hAnsi="Times New Roman" w:cs="Times New Roman"/>
        </w:rPr>
        <w:t xml:space="preserve">, positive religious coping methods </w:t>
      </w:r>
      <w:r w:rsidR="001F1091" w:rsidRPr="00E869A4">
        <w:rPr>
          <w:rFonts w:ascii="Times New Roman" w:hAnsi="Times New Roman" w:cs="Times New Roman"/>
        </w:rPr>
        <w:t>are</w:t>
      </w:r>
      <w:r w:rsidRPr="00E869A4">
        <w:rPr>
          <w:rFonts w:ascii="Times New Roman" w:hAnsi="Times New Roman" w:cs="Times New Roman"/>
        </w:rPr>
        <w:t xml:space="preserve"> evidenced by an expression of “a sense of spirituality, a secure relationship with God, a belief that there is meaning to be found in life, and a sense of spiritual connectedness with others</w:t>
      </w:r>
      <w:r w:rsidR="00245264" w:rsidRPr="00E869A4">
        <w:rPr>
          <w:rFonts w:ascii="Times New Roman" w:hAnsi="Times New Roman" w:cs="Times New Roman"/>
        </w:rPr>
        <w:t>.</w:t>
      </w:r>
      <w:r w:rsidR="00D20527" w:rsidRPr="00E869A4">
        <w:rPr>
          <w:rFonts w:ascii="Times New Roman" w:hAnsi="Times New Roman" w:cs="Times New Roman"/>
        </w:rPr>
        <w:t>”</w:t>
      </w:r>
      <w:r w:rsidR="0025067D" w:rsidRPr="00E869A4">
        <w:rPr>
          <w:rFonts w:ascii="Times New Roman" w:hAnsi="Times New Roman" w:cs="Times New Roman"/>
        </w:rPr>
        <w:t xml:space="preserve"> (Pargament et al</w:t>
      </w:r>
      <w:r w:rsidR="004A51DD" w:rsidRPr="00E869A4">
        <w:rPr>
          <w:rFonts w:ascii="Times New Roman" w:hAnsi="Times New Roman" w:cs="Times New Roman"/>
        </w:rPr>
        <w:t>.</w:t>
      </w:r>
      <w:r w:rsidR="0025067D" w:rsidRPr="00E869A4">
        <w:rPr>
          <w:rFonts w:ascii="Times New Roman" w:hAnsi="Times New Roman" w:cs="Times New Roman"/>
        </w:rPr>
        <w:t xml:space="preserve"> 1988</w:t>
      </w:r>
      <w:r w:rsidR="004A51DD" w:rsidRPr="00E869A4">
        <w:rPr>
          <w:rFonts w:ascii="Times New Roman" w:hAnsi="Times New Roman" w:cs="Times New Roman"/>
        </w:rPr>
        <w:t>,</w:t>
      </w:r>
      <w:r w:rsidR="0025067D" w:rsidRPr="00E869A4">
        <w:rPr>
          <w:rFonts w:ascii="Times New Roman" w:hAnsi="Times New Roman" w:cs="Times New Roman"/>
        </w:rPr>
        <w:t xml:space="preserve"> p. </w:t>
      </w:r>
      <w:r w:rsidR="00A8254A" w:rsidRPr="00E869A4">
        <w:rPr>
          <w:rFonts w:ascii="Times New Roman" w:hAnsi="Times New Roman" w:cs="Times New Roman"/>
        </w:rPr>
        <w:t>712</w:t>
      </w:r>
      <w:r w:rsidR="0025067D" w:rsidRPr="00E869A4">
        <w:rPr>
          <w:rFonts w:ascii="Times New Roman" w:hAnsi="Times New Roman" w:cs="Times New Roman"/>
        </w:rPr>
        <w:t>)</w:t>
      </w:r>
      <w:r w:rsidRPr="00E869A4">
        <w:rPr>
          <w:rFonts w:ascii="Times New Roman" w:hAnsi="Times New Roman" w:cs="Times New Roman"/>
        </w:rPr>
        <w:t xml:space="preserve">. It includes benevolent religious reappraisals, collaborative religious coping, and seeking spiritual support. Negative religious coping methods on the other hand, may be characterised by an individual expressing a less secure relationship with God, a tenuous and ominous view of the world given one’s religious beliefs, a religious struggle in the search for significance, punitive religious appraisals, demonic religious appraisals, negative appraisals of God’s powers, and spiritual discontent. </w:t>
      </w:r>
    </w:p>
    <w:p w14:paraId="2223D2F7" w14:textId="77777777" w:rsidR="00D968A3" w:rsidRPr="00E869A4" w:rsidRDefault="00D968A3" w:rsidP="00A35FF8">
      <w:pPr>
        <w:rPr>
          <w:rFonts w:ascii="Times New Roman" w:hAnsi="Times New Roman" w:cs="Times New Roman"/>
        </w:rPr>
      </w:pPr>
    </w:p>
    <w:p w14:paraId="53611224" w14:textId="09E399BD"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The coping strategies employed in care relationships directly affect how family carers and cared-for older people perceive their care situation (see </w:t>
      </w:r>
      <w:r w:rsidR="00F27D65" w:rsidRPr="00E869A4">
        <w:rPr>
          <w:rFonts w:ascii="Times New Roman" w:hAnsi="Times New Roman" w:cs="Times New Roman"/>
        </w:rPr>
        <w:t>sections 3.3 and 3.4 above on</w:t>
      </w:r>
      <w:r w:rsidR="00155828" w:rsidRPr="00E869A4">
        <w:rPr>
          <w:rFonts w:ascii="Times New Roman" w:hAnsi="Times New Roman" w:cs="Times New Roman"/>
        </w:rPr>
        <w:t xml:space="preserve"> experiences</w:t>
      </w:r>
      <w:r w:rsidR="000F598F" w:rsidRPr="00E869A4">
        <w:rPr>
          <w:rFonts w:ascii="Times New Roman" w:hAnsi="Times New Roman" w:cs="Times New Roman"/>
        </w:rPr>
        <w:t xml:space="preserve"> of care). As Lloyd, Patterson and Muers </w:t>
      </w:r>
      <w:r w:rsidRPr="00E869A4">
        <w:rPr>
          <w:rFonts w:ascii="Times New Roman" w:hAnsi="Times New Roman" w:cs="Times New Roman"/>
        </w:rPr>
        <w:t>observed in their review of fourteen qualitative studies of dementia care, “positive aspects described by carers did not simply appear, but were achieved through the choices and strategies adopted by the carers</w:t>
      </w:r>
      <w:r w:rsidR="00245264" w:rsidRPr="00E869A4">
        <w:rPr>
          <w:rFonts w:ascii="Times New Roman" w:hAnsi="Times New Roman" w:cs="Times New Roman"/>
        </w:rPr>
        <w:t>.</w:t>
      </w:r>
      <w:r w:rsidRPr="00E869A4">
        <w:rPr>
          <w:rFonts w:ascii="Times New Roman" w:hAnsi="Times New Roman" w:cs="Times New Roman"/>
        </w:rPr>
        <w:t>”</w:t>
      </w:r>
      <w:r w:rsidR="0025067D" w:rsidRPr="00E869A4">
        <w:rPr>
          <w:rFonts w:ascii="Times New Roman" w:hAnsi="Times New Roman" w:cs="Times New Roman"/>
        </w:rPr>
        <w:t xml:space="preserve"> (Lloyd, Patterson &amp; Muers 2016, p. 1554)</w:t>
      </w:r>
      <w:r w:rsidRPr="00E869A4">
        <w:rPr>
          <w:rFonts w:ascii="Times New Roman" w:hAnsi="Times New Roman" w:cs="Times New Roman"/>
        </w:rPr>
        <w:t>. Acceptance of their situation and the ongoing implications was a very important aspect of this as it enabled carers to make a choice to view the situation with a positive attitude and be compassionate and empathic towards their loved one. Their study also revealed that choosing to commit to the relationship whilst drawing upon sources of strength and creating meaningful opportunities for the older person to be happy and comfortable appeared to empower carers to continue in their caregiving role. They conclude that using such adaptive strategies enabled the caregivers to go beyond just coping with the situation, to growing and taking something positive from it.</w:t>
      </w:r>
    </w:p>
    <w:p w14:paraId="4E01C2B3" w14:textId="77777777" w:rsidR="00D968A3" w:rsidRPr="00E869A4" w:rsidRDefault="00D968A3" w:rsidP="00A35FF8">
      <w:pPr>
        <w:rPr>
          <w:rFonts w:ascii="Times New Roman" w:hAnsi="Times New Roman" w:cs="Times New Roman"/>
        </w:rPr>
      </w:pPr>
    </w:p>
    <w:p w14:paraId="34971BC7" w14:textId="7B18A24A" w:rsidR="00855EB2" w:rsidRPr="00E869A4" w:rsidRDefault="00855EB2" w:rsidP="00A35FF8">
      <w:pPr>
        <w:rPr>
          <w:rFonts w:ascii="Times New Roman" w:hAnsi="Times New Roman" w:cs="Times New Roman"/>
        </w:rPr>
      </w:pPr>
      <w:r w:rsidRPr="00E869A4">
        <w:rPr>
          <w:rFonts w:ascii="Times New Roman" w:hAnsi="Times New Roman" w:cs="Times New Roman"/>
        </w:rPr>
        <w:t>Carers also described drawing strength from various sources in order to remain positive. Some spoke about drawing strength from faith, knowledge and experience gained from past challenges, supportive friends, family or services. Accessing these resources enabled carers to maintain a balance in their lives and continue caring in the face of hardship (</w:t>
      </w:r>
      <w:r w:rsidR="000F598F" w:rsidRPr="00E869A4">
        <w:rPr>
          <w:rFonts w:ascii="Times New Roman" w:hAnsi="Times New Roman" w:cs="Times New Roman"/>
        </w:rPr>
        <w:t xml:space="preserve">Lloyd, Patterson </w:t>
      </w:r>
      <w:r w:rsidR="00245264" w:rsidRPr="00E869A4">
        <w:rPr>
          <w:rFonts w:ascii="Times New Roman" w:hAnsi="Times New Roman" w:cs="Times New Roman"/>
        </w:rPr>
        <w:t>&amp;</w:t>
      </w:r>
      <w:r w:rsidR="000F598F" w:rsidRPr="00E869A4">
        <w:rPr>
          <w:rFonts w:ascii="Times New Roman" w:hAnsi="Times New Roman" w:cs="Times New Roman"/>
        </w:rPr>
        <w:t xml:space="preserve"> Muers</w:t>
      </w:r>
      <w:r w:rsidRPr="00E869A4">
        <w:rPr>
          <w:rFonts w:ascii="Times New Roman" w:hAnsi="Times New Roman" w:cs="Times New Roman"/>
        </w:rPr>
        <w:t xml:space="preserve"> 2016). </w:t>
      </w:r>
    </w:p>
    <w:p w14:paraId="5C60B779" w14:textId="77777777" w:rsidR="0070492C" w:rsidRPr="00E869A4" w:rsidRDefault="0070492C" w:rsidP="00A35FF8">
      <w:pPr>
        <w:rPr>
          <w:rFonts w:ascii="Times New Roman" w:hAnsi="Times New Roman" w:cs="Times New Roman"/>
        </w:rPr>
      </w:pPr>
    </w:p>
    <w:p w14:paraId="4D20BF5C" w14:textId="7819D680" w:rsidR="00855EB2" w:rsidRPr="00E869A4" w:rsidRDefault="00855EB2" w:rsidP="00A35FF8">
      <w:pPr>
        <w:rPr>
          <w:rFonts w:ascii="Times New Roman" w:hAnsi="Times New Roman" w:cs="Times New Roman"/>
        </w:rPr>
      </w:pPr>
      <w:r w:rsidRPr="00E869A4">
        <w:rPr>
          <w:rFonts w:ascii="Times New Roman" w:hAnsi="Times New Roman" w:cs="Times New Roman"/>
        </w:rPr>
        <w:t>Different levels or unit</w:t>
      </w:r>
      <w:r w:rsidR="009B15E9" w:rsidRPr="00E869A4">
        <w:rPr>
          <w:rFonts w:ascii="Times New Roman" w:hAnsi="Times New Roman" w:cs="Times New Roman"/>
        </w:rPr>
        <w:t>s</w:t>
      </w:r>
      <w:r w:rsidRPr="00E869A4">
        <w:rPr>
          <w:rFonts w:ascii="Times New Roman" w:hAnsi="Times New Roman" w:cs="Times New Roman"/>
        </w:rPr>
        <w:t xml:space="preserve"> of analysis have been employed in research studies on coping. McCrae (1984</w:t>
      </w:r>
      <w:r w:rsidR="00E80940" w:rsidRPr="00E869A4">
        <w:rPr>
          <w:rFonts w:ascii="Times New Roman" w:hAnsi="Times New Roman" w:cs="Times New Roman"/>
        </w:rPr>
        <w:t>, p. 28</w:t>
      </w:r>
      <w:r w:rsidRPr="00E869A4">
        <w:rPr>
          <w:rFonts w:ascii="Times New Roman" w:hAnsi="Times New Roman" w:cs="Times New Roman"/>
        </w:rPr>
        <w:t>)</w:t>
      </w:r>
      <w:r w:rsidR="001F1091" w:rsidRPr="00E869A4">
        <w:rPr>
          <w:rFonts w:ascii="Times New Roman" w:hAnsi="Times New Roman" w:cs="Times New Roman"/>
        </w:rPr>
        <w:t>,</w:t>
      </w:r>
      <w:r w:rsidRPr="00E869A4">
        <w:rPr>
          <w:rFonts w:ascii="Times New Roman" w:hAnsi="Times New Roman" w:cs="Times New Roman"/>
        </w:rPr>
        <w:t xml:space="preserve"> for </w:t>
      </w:r>
      <w:r w:rsidR="001F1091" w:rsidRPr="00E869A4">
        <w:rPr>
          <w:rFonts w:ascii="Times New Roman" w:hAnsi="Times New Roman" w:cs="Times New Roman"/>
        </w:rPr>
        <w:t xml:space="preserve">instance, </w:t>
      </w:r>
      <w:r w:rsidRPr="00E869A4">
        <w:rPr>
          <w:rFonts w:ascii="Times New Roman" w:hAnsi="Times New Roman" w:cs="Times New Roman"/>
        </w:rPr>
        <w:t xml:space="preserve">highlighted three levels of coping that were important to consider when conceptualising family coping: 1) The </w:t>
      </w:r>
      <w:r w:rsidRPr="00E869A4">
        <w:rPr>
          <w:rFonts w:ascii="Times New Roman" w:hAnsi="Times New Roman" w:cs="Times New Roman"/>
          <w:i/>
        </w:rPr>
        <w:t>individual</w:t>
      </w:r>
      <w:r w:rsidRPr="00E869A4">
        <w:rPr>
          <w:rFonts w:ascii="Times New Roman" w:hAnsi="Times New Roman" w:cs="Times New Roman"/>
        </w:rPr>
        <w:t xml:space="preserve"> level – coping is viewed as the cognitive and </w:t>
      </w:r>
      <w:r w:rsidRPr="00E869A4">
        <w:rPr>
          <w:rFonts w:ascii="Times New Roman" w:hAnsi="Times New Roman" w:cs="Times New Roman"/>
        </w:rPr>
        <w:lastRenderedPageBreak/>
        <w:t xml:space="preserve">behavioural effort made by the individual to master, resolve, tolerate, or reduce demands that tax or exceed her or his personal resources and the styles and efforts employed; 2) the </w:t>
      </w:r>
      <w:r w:rsidRPr="00E869A4">
        <w:rPr>
          <w:rFonts w:ascii="Times New Roman" w:hAnsi="Times New Roman" w:cs="Times New Roman"/>
          <w:i/>
        </w:rPr>
        <w:t>intra-family</w:t>
      </w:r>
      <w:r w:rsidRPr="00E869A4">
        <w:rPr>
          <w:rFonts w:ascii="Times New Roman" w:hAnsi="Times New Roman" w:cs="Times New Roman"/>
        </w:rPr>
        <w:t xml:space="preserve"> level – “subsystems within the family (i.e. husband-wife) or the individual's relationship to the family unit</w:t>
      </w:r>
      <w:r w:rsidR="00E531C2" w:rsidRPr="00E869A4">
        <w:rPr>
          <w:rFonts w:ascii="Times New Roman" w:hAnsi="Times New Roman" w:cs="Times New Roman"/>
        </w:rPr>
        <w:t>.</w:t>
      </w:r>
      <w:r w:rsidRPr="00E869A4">
        <w:rPr>
          <w:rFonts w:ascii="Times New Roman" w:hAnsi="Times New Roman" w:cs="Times New Roman"/>
        </w:rPr>
        <w:t>” (e.g. extended family network); and</w:t>
      </w:r>
      <w:r w:rsidR="00F27D65" w:rsidRPr="00E869A4">
        <w:rPr>
          <w:rFonts w:ascii="Times New Roman" w:hAnsi="Times New Roman" w:cs="Times New Roman"/>
        </w:rPr>
        <w:t>,</w:t>
      </w:r>
      <w:r w:rsidRPr="00E869A4">
        <w:rPr>
          <w:rFonts w:ascii="Times New Roman" w:hAnsi="Times New Roman" w:cs="Times New Roman"/>
        </w:rPr>
        <w:t xml:space="preserve"> 3) the </w:t>
      </w:r>
      <w:r w:rsidRPr="00E869A4">
        <w:rPr>
          <w:rFonts w:ascii="Times New Roman" w:hAnsi="Times New Roman" w:cs="Times New Roman"/>
          <w:i/>
        </w:rPr>
        <w:t>family</w:t>
      </w:r>
      <w:r w:rsidRPr="00E869A4">
        <w:rPr>
          <w:rFonts w:ascii="Times New Roman" w:hAnsi="Times New Roman" w:cs="Times New Roman"/>
        </w:rPr>
        <w:t xml:space="preserve"> level – the focus here is on the “fit between environmental and family demands”. With respect to the latter, family coping strategi</w:t>
      </w:r>
      <w:r w:rsidR="00A8254A" w:rsidRPr="00E869A4">
        <w:rPr>
          <w:rFonts w:ascii="Times New Roman" w:hAnsi="Times New Roman" w:cs="Times New Roman"/>
        </w:rPr>
        <w:t xml:space="preserve">es may be generally defined as </w:t>
      </w:r>
      <w:r w:rsidRPr="00E869A4">
        <w:rPr>
          <w:rFonts w:ascii="Times New Roman" w:hAnsi="Times New Roman" w:cs="Times New Roman"/>
        </w:rPr>
        <w:t>the specific types of responses made by a family either cognitively or behaviourally to demands</w:t>
      </w:r>
      <w:r w:rsidR="00A8254A" w:rsidRPr="00E869A4">
        <w:rPr>
          <w:rFonts w:ascii="Times New Roman" w:hAnsi="Times New Roman" w:cs="Times New Roman"/>
        </w:rPr>
        <w:t xml:space="preserve">. </w:t>
      </w:r>
      <w:r w:rsidRPr="00E869A4">
        <w:rPr>
          <w:rFonts w:ascii="Times New Roman" w:hAnsi="Times New Roman" w:cs="Times New Roman"/>
        </w:rPr>
        <w:t xml:space="preserve">There are numerous frameworks and models that have been developed over the years by various family theorists such as Reuben Hill, Hamilton McCubbin, Marilyn McCubbin and Joan Patterson. However, since this study focused primarily on the care relationship between the family carer and the cared-for relative, it is beyond the scope of this review to consider these frameworks. Nevertheless, as was expressed above, any good sociological account of this dyadic relationship must consider the family and wider social context in which it occurs. It is for this reason that the </w:t>
      </w:r>
      <w:r w:rsidR="004B391F" w:rsidRPr="00E869A4">
        <w:rPr>
          <w:rFonts w:ascii="Times New Roman" w:hAnsi="Times New Roman" w:cs="Times New Roman"/>
        </w:rPr>
        <w:t>FES</w:t>
      </w:r>
      <w:r w:rsidRPr="00E869A4">
        <w:rPr>
          <w:rFonts w:ascii="Times New Roman" w:hAnsi="Times New Roman" w:cs="Times New Roman"/>
        </w:rPr>
        <w:t xml:space="preserve"> framework has been selected as one of the main conceptual frameworks for this current study. It is discussed in the section on t</w:t>
      </w:r>
      <w:r w:rsidR="00E52CAF" w:rsidRPr="00E869A4">
        <w:rPr>
          <w:rFonts w:ascii="Times New Roman" w:hAnsi="Times New Roman" w:cs="Times New Roman"/>
        </w:rPr>
        <w:t xml:space="preserve">heoretical perspectives below. </w:t>
      </w:r>
    </w:p>
    <w:p w14:paraId="38C8920A" w14:textId="77777777" w:rsidR="000B6EAE" w:rsidRPr="00E869A4" w:rsidRDefault="000B6EAE" w:rsidP="00A35FF8">
      <w:pPr>
        <w:rPr>
          <w:rFonts w:ascii="Times New Roman" w:hAnsi="Times New Roman" w:cs="Times New Roman"/>
        </w:rPr>
      </w:pPr>
    </w:p>
    <w:p w14:paraId="2621D955" w14:textId="77777777" w:rsidR="00855EB2" w:rsidRPr="00E869A4" w:rsidRDefault="00855EB2" w:rsidP="004E2181">
      <w:pPr>
        <w:pStyle w:val="Heading4"/>
      </w:pPr>
      <w:bookmarkStart w:id="230" w:name="_Toc505945229"/>
      <w:r w:rsidRPr="00E869A4">
        <w:t>Resilience and Coping</w:t>
      </w:r>
      <w:bookmarkEnd w:id="230"/>
    </w:p>
    <w:p w14:paraId="7B9B4A72" w14:textId="77777777" w:rsidR="00D968A3" w:rsidRPr="00E869A4" w:rsidRDefault="00D968A3" w:rsidP="0051234F">
      <w:pPr>
        <w:pStyle w:val="112"/>
        <w:rPr>
          <w:color w:val="auto"/>
        </w:rPr>
      </w:pPr>
    </w:p>
    <w:p w14:paraId="1C8E7171" w14:textId="127888A0" w:rsidR="003E23F9" w:rsidRPr="00E869A4" w:rsidRDefault="00FC4CDE" w:rsidP="00D968A3">
      <w:pPr>
        <w:autoSpaceDE w:val="0"/>
        <w:autoSpaceDN w:val="0"/>
        <w:adjustRightInd w:val="0"/>
        <w:rPr>
          <w:rFonts w:ascii="Times New Roman" w:hAnsi="Times New Roman" w:cs="Courier New"/>
          <w:szCs w:val="24"/>
        </w:rPr>
      </w:pPr>
      <w:r w:rsidRPr="00E869A4">
        <w:rPr>
          <w:rFonts w:ascii="Times New Roman" w:hAnsi="Times New Roman" w:cs="Courier New"/>
          <w:szCs w:val="24"/>
        </w:rPr>
        <w:t xml:space="preserve">Another contested issue in the literature on coping and family care is the use of the concept </w:t>
      </w:r>
      <w:r w:rsidR="00DB35E5" w:rsidRPr="00E869A4">
        <w:rPr>
          <w:rFonts w:ascii="Times New Roman" w:hAnsi="Times New Roman" w:cs="Courier New"/>
          <w:szCs w:val="24"/>
        </w:rPr>
        <w:t xml:space="preserve">of </w:t>
      </w:r>
      <w:r w:rsidRPr="00E869A4">
        <w:rPr>
          <w:rFonts w:ascii="Times New Roman" w:hAnsi="Times New Roman" w:cs="Courier New"/>
          <w:szCs w:val="24"/>
        </w:rPr>
        <w:t>resilience. The literature surrounding resilience is large, messy, and includes many ongoing debates. The concept of resilience originates from psychiatric and developmental studies that focused primarily on how children and young people coped with difficult circumstances, but recently it has also been used in studies on</w:t>
      </w:r>
      <w:r w:rsidR="00DB35E5" w:rsidRPr="00E869A4">
        <w:rPr>
          <w:rFonts w:ascii="Times New Roman" w:hAnsi="Times New Roman" w:cs="Courier New"/>
          <w:szCs w:val="24"/>
        </w:rPr>
        <w:t xml:space="preserve"> older populations (Tomas et al.</w:t>
      </w:r>
      <w:r w:rsidRPr="00E869A4">
        <w:rPr>
          <w:rFonts w:ascii="Times New Roman" w:hAnsi="Times New Roman" w:cs="Courier New"/>
          <w:szCs w:val="24"/>
        </w:rPr>
        <w:t xml:space="preserve"> 2012). </w:t>
      </w:r>
      <w:r w:rsidR="001F1091" w:rsidRPr="00E869A4">
        <w:rPr>
          <w:rFonts w:ascii="Times New Roman" w:hAnsi="Times New Roman" w:cs="Courier New"/>
          <w:szCs w:val="24"/>
        </w:rPr>
        <w:t>Unfortunately</w:t>
      </w:r>
      <w:r w:rsidR="00BB3E9B" w:rsidRPr="00E869A4">
        <w:rPr>
          <w:rFonts w:ascii="Times New Roman" w:hAnsi="Times New Roman" w:cs="Courier New"/>
          <w:szCs w:val="24"/>
        </w:rPr>
        <w:t>,</w:t>
      </w:r>
      <w:r w:rsidRPr="00E869A4">
        <w:rPr>
          <w:rFonts w:ascii="Times New Roman" w:hAnsi="Times New Roman" w:cs="Courier New"/>
          <w:szCs w:val="24"/>
        </w:rPr>
        <w:t xml:space="preserve"> there appears to be more disagreement than consensus about what resilience is and how to define it. </w:t>
      </w:r>
      <w:r w:rsidR="00E20B99" w:rsidRPr="00E869A4">
        <w:rPr>
          <w:rFonts w:ascii="Times New Roman" w:hAnsi="Courier New" w:cs="Courier New"/>
          <w:szCs w:val="24"/>
        </w:rPr>
        <w:t xml:space="preserve">It is beyond the scope of this </w:t>
      </w:r>
      <w:r w:rsidR="002926C7">
        <w:rPr>
          <w:rFonts w:ascii="Times New Roman" w:hAnsi="Courier New" w:cs="Courier New"/>
          <w:szCs w:val="24"/>
        </w:rPr>
        <w:t>thesis</w:t>
      </w:r>
      <w:r w:rsidR="00E20B99" w:rsidRPr="00E869A4">
        <w:rPr>
          <w:rFonts w:ascii="Times New Roman" w:hAnsi="Courier New" w:cs="Courier New"/>
          <w:szCs w:val="24"/>
        </w:rPr>
        <w:t xml:space="preserve"> to fully explore the debate on the utility of the concept of resilience to a study of family care, coping and care management. However, since there is considerable literature on the care of older people, family caregivers and resilience, this research should not be ignored but, should be critically applied where appropriate, bearing in mind the limitations of the concept. What follows is a brief overview of some of these principles.</w:t>
      </w:r>
    </w:p>
    <w:p w14:paraId="5632E47D" w14:textId="77777777" w:rsidR="00331E50" w:rsidRPr="00E869A4" w:rsidRDefault="00331E50" w:rsidP="00D968A3">
      <w:pPr>
        <w:autoSpaceDE w:val="0"/>
        <w:autoSpaceDN w:val="0"/>
        <w:adjustRightInd w:val="0"/>
        <w:rPr>
          <w:rFonts w:ascii="Times New Roman" w:hAnsi="Times New Roman" w:cs="Courier New"/>
          <w:szCs w:val="24"/>
        </w:rPr>
      </w:pPr>
    </w:p>
    <w:p w14:paraId="5CB0BBE8" w14:textId="0D51B291" w:rsidR="00FC4CDE" w:rsidRPr="00E869A4" w:rsidRDefault="00FC4CDE" w:rsidP="00D968A3">
      <w:pPr>
        <w:autoSpaceDE w:val="0"/>
        <w:autoSpaceDN w:val="0"/>
        <w:adjustRightInd w:val="0"/>
        <w:rPr>
          <w:rFonts w:ascii="Times New Roman" w:eastAsia="Times New Roman" w:hAnsi="Times New Roman" w:cs="Courier New"/>
          <w:szCs w:val="24"/>
        </w:rPr>
      </w:pPr>
      <w:r w:rsidRPr="00E869A4">
        <w:rPr>
          <w:rFonts w:ascii="Times New Roman" w:hAnsi="Times New Roman" w:cs="Courier New"/>
          <w:szCs w:val="24"/>
        </w:rPr>
        <w:t>Resilience is commonly understood as the ability of people to resist and effectively overcome adversity (</w:t>
      </w:r>
      <w:r w:rsidR="00F777CD" w:rsidRPr="00E869A4">
        <w:rPr>
          <w:rFonts w:ascii="Times New Roman" w:hAnsi="Times New Roman" w:cs="Courier New"/>
          <w:szCs w:val="24"/>
        </w:rPr>
        <w:t xml:space="preserve">Windsor, Hunter &amp; Browne-Yung </w:t>
      </w:r>
      <w:r w:rsidRPr="00E869A4">
        <w:rPr>
          <w:rFonts w:ascii="Times New Roman" w:hAnsi="Times New Roman" w:cs="Courier New"/>
          <w:szCs w:val="24"/>
        </w:rPr>
        <w:t xml:space="preserve">2015).  One of the reasons for the popularity of the concept </w:t>
      </w:r>
      <w:r w:rsidRPr="00E869A4">
        <w:rPr>
          <w:rFonts w:ascii="Times New Roman" w:hAnsi="Times New Roman" w:cs="Courier New"/>
          <w:szCs w:val="24"/>
        </w:rPr>
        <w:lastRenderedPageBreak/>
        <w:t>of resilience is that it provides a strengths-based approach to understanding individuals</w:t>
      </w:r>
      <w:r w:rsidRPr="00E869A4">
        <w:rPr>
          <w:rFonts w:ascii="Times New Roman" w:eastAsia="Times New Roman" w:hAnsi="Times New Roman" w:cs="Courier New"/>
          <w:szCs w:val="24"/>
        </w:rPr>
        <w:t>’ learnt coping skills and how they treat with challenges in life (</w:t>
      </w:r>
      <w:r w:rsidR="00F777CD" w:rsidRPr="00E869A4">
        <w:rPr>
          <w:rFonts w:ascii="Times New Roman" w:eastAsia="Times New Roman" w:hAnsi="Times New Roman" w:cs="Courier New"/>
          <w:szCs w:val="24"/>
        </w:rPr>
        <w:t xml:space="preserve">Atkinson 2009; Browne-Yung, Walker &amp; Luszcz </w:t>
      </w:r>
      <w:r w:rsidR="006601E6" w:rsidRPr="00E869A4">
        <w:rPr>
          <w:rFonts w:ascii="Times New Roman" w:eastAsia="Times New Roman" w:hAnsi="Times New Roman" w:cs="Courier New"/>
          <w:szCs w:val="24"/>
        </w:rPr>
        <w:t>2017</w:t>
      </w:r>
      <w:r w:rsidRPr="00E869A4">
        <w:rPr>
          <w:rFonts w:ascii="Times New Roman" w:eastAsia="Times New Roman" w:hAnsi="Times New Roman" w:cs="Courier New"/>
          <w:szCs w:val="24"/>
        </w:rPr>
        <w:t xml:space="preserve">). This is a noteworthy application in the field of family care which, as was noted previously had a propensity to view persons in care relationships as merely those who are burdened or entrapped. </w:t>
      </w:r>
      <w:r w:rsidR="002978B1" w:rsidRPr="00E869A4">
        <w:rPr>
          <w:rFonts w:ascii="Times New Roman" w:eastAsia="Times New Roman" w:hAnsi="Times New Roman" w:cs="Courier New"/>
          <w:szCs w:val="24"/>
        </w:rPr>
        <w:t>However,</w:t>
      </w:r>
      <w:r w:rsidRPr="00E869A4">
        <w:rPr>
          <w:rFonts w:ascii="Times New Roman" w:eastAsia="Times New Roman" w:hAnsi="Times New Roman" w:cs="Courier New"/>
          <w:szCs w:val="24"/>
        </w:rPr>
        <w:t xml:space="preserve"> beyond this common understanding</w:t>
      </w:r>
      <w:r w:rsidR="00BB3E9B"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there are different views on whether resilience is a personality trait or a process (it is now more widely accepted as being the latter rather than the former)</w:t>
      </w:r>
      <w:r w:rsidR="002021B5" w:rsidRPr="00E869A4">
        <w:rPr>
          <w:rFonts w:ascii="Times New Roman" w:eastAsia="Times New Roman" w:hAnsi="Times New Roman" w:cs="Courier New"/>
          <w:szCs w:val="24"/>
        </w:rPr>
        <w:t>. There is also a lack of consensus in academic circles on</w:t>
      </w:r>
      <w:r w:rsidRPr="00E869A4">
        <w:rPr>
          <w:rFonts w:ascii="Times New Roman" w:eastAsia="Times New Roman" w:hAnsi="Times New Roman" w:cs="Courier New"/>
          <w:szCs w:val="24"/>
        </w:rPr>
        <w:t xml:space="preserve"> the dimensions of resilience, </w:t>
      </w:r>
      <w:r w:rsidR="002021B5" w:rsidRPr="00E869A4">
        <w:rPr>
          <w:rFonts w:ascii="Times New Roman" w:eastAsia="Times New Roman" w:hAnsi="Times New Roman" w:cs="Courier New"/>
          <w:szCs w:val="24"/>
        </w:rPr>
        <w:t>the</w:t>
      </w:r>
      <w:r w:rsidRPr="00E869A4">
        <w:rPr>
          <w:rFonts w:ascii="Times New Roman" w:eastAsia="Times New Roman" w:hAnsi="Times New Roman" w:cs="Courier New"/>
          <w:szCs w:val="24"/>
        </w:rPr>
        <w:t xml:space="preserve"> consistency </w:t>
      </w:r>
      <w:r w:rsidR="002021B5" w:rsidRPr="00E869A4">
        <w:rPr>
          <w:rFonts w:ascii="Times New Roman" w:eastAsia="Times New Roman" w:hAnsi="Times New Roman" w:cs="Courier New"/>
          <w:szCs w:val="24"/>
        </w:rPr>
        <w:t xml:space="preserve">of resilience </w:t>
      </w:r>
      <w:r w:rsidRPr="00E869A4">
        <w:rPr>
          <w:rFonts w:ascii="Times New Roman" w:eastAsia="Times New Roman" w:hAnsi="Times New Roman" w:cs="Courier New"/>
          <w:szCs w:val="24"/>
        </w:rPr>
        <w:t>over time</w:t>
      </w:r>
      <w:r w:rsidR="00B62AD0" w:rsidRPr="00E869A4">
        <w:rPr>
          <w:rFonts w:ascii="Times New Roman" w:eastAsia="Times New Roman" w:hAnsi="Times New Roman" w:cs="Courier New"/>
          <w:szCs w:val="24"/>
        </w:rPr>
        <w:t xml:space="preserve">, </w:t>
      </w:r>
      <w:r w:rsidRPr="00E869A4">
        <w:rPr>
          <w:rFonts w:ascii="Times New Roman" w:eastAsia="Times New Roman" w:hAnsi="Times New Roman" w:cs="Courier New"/>
          <w:szCs w:val="24"/>
        </w:rPr>
        <w:t>and</w:t>
      </w:r>
      <w:r w:rsidR="002021B5"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whether </w:t>
      </w:r>
      <w:r w:rsidR="002021B5" w:rsidRPr="00E869A4">
        <w:rPr>
          <w:rFonts w:ascii="Times New Roman" w:eastAsia="Times New Roman" w:hAnsi="Times New Roman" w:cs="Courier New"/>
          <w:szCs w:val="24"/>
        </w:rPr>
        <w:t>the concept</w:t>
      </w:r>
      <w:r w:rsidRPr="00E869A4">
        <w:rPr>
          <w:rFonts w:ascii="Times New Roman" w:eastAsia="Times New Roman" w:hAnsi="Times New Roman" w:cs="Courier New"/>
          <w:szCs w:val="24"/>
        </w:rPr>
        <w:t xml:space="preserve"> adds something new </w:t>
      </w:r>
      <w:r w:rsidR="002021B5" w:rsidRPr="00E869A4">
        <w:rPr>
          <w:rFonts w:ascii="Times New Roman" w:eastAsia="Times New Roman" w:hAnsi="Times New Roman" w:cs="Courier New"/>
          <w:szCs w:val="24"/>
        </w:rPr>
        <w:t>to</w:t>
      </w:r>
      <w:r w:rsidRPr="00E869A4">
        <w:rPr>
          <w:rFonts w:ascii="Times New Roman" w:eastAsia="Times New Roman" w:hAnsi="Times New Roman" w:cs="Courier New"/>
          <w:szCs w:val="24"/>
        </w:rPr>
        <w:t xml:space="preserve"> developmental and life</w:t>
      </w:r>
      <w:r w:rsidR="006945CA" w:rsidRPr="00E869A4">
        <w:rPr>
          <w:rFonts w:ascii="Times New Roman" w:eastAsia="Times New Roman" w:hAnsi="Times New Roman" w:cs="Courier New"/>
          <w:szCs w:val="24"/>
        </w:rPr>
        <w:t xml:space="preserve"> </w:t>
      </w:r>
      <w:r w:rsidRPr="00E869A4">
        <w:rPr>
          <w:rFonts w:ascii="Times New Roman" w:eastAsia="Times New Roman" w:hAnsi="Times New Roman" w:cs="Courier New"/>
          <w:szCs w:val="24"/>
        </w:rPr>
        <w:t>course theories (Luthar et al</w:t>
      </w:r>
      <w:r w:rsidR="002021B5"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2000). </w:t>
      </w:r>
    </w:p>
    <w:p w14:paraId="032593DE" w14:textId="77777777" w:rsidR="00D968A3" w:rsidRPr="00E869A4" w:rsidRDefault="00D968A3" w:rsidP="00D968A3">
      <w:pPr>
        <w:autoSpaceDE w:val="0"/>
        <w:autoSpaceDN w:val="0"/>
        <w:adjustRightInd w:val="0"/>
        <w:rPr>
          <w:rFonts w:ascii="Courier New" w:hAnsi="Courier New" w:cs="Courier New"/>
          <w:szCs w:val="24"/>
        </w:rPr>
      </w:pPr>
    </w:p>
    <w:p w14:paraId="53A6644B" w14:textId="0AA75485" w:rsidR="00FC4CDE" w:rsidRPr="00E869A4" w:rsidRDefault="00FC4CDE" w:rsidP="00D968A3">
      <w:pPr>
        <w:autoSpaceDE w:val="0"/>
        <w:autoSpaceDN w:val="0"/>
        <w:adjustRightInd w:val="0"/>
        <w:rPr>
          <w:rFonts w:ascii="Times New Roman" w:eastAsia="Times New Roman" w:hAnsi="Times New Roman" w:cs="Courier New"/>
          <w:szCs w:val="24"/>
        </w:rPr>
      </w:pPr>
      <w:r w:rsidRPr="00E869A4">
        <w:rPr>
          <w:rFonts w:ascii="Times New Roman" w:hAnsi="Times New Roman" w:cs="Courier New"/>
          <w:szCs w:val="24"/>
        </w:rPr>
        <w:t xml:space="preserve">Some social scientists (e.g. </w:t>
      </w:r>
      <w:r w:rsidR="006601E6" w:rsidRPr="00E869A4">
        <w:rPr>
          <w:rFonts w:ascii="Times New Roman" w:hAnsi="Times New Roman" w:cs="Courier New"/>
          <w:szCs w:val="24"/>
        </w:rPr>
        <w:t xml:space="preserve">Browne-Yung, Walker &amp; Luszcz </w:t>
      </w:r>
      <w:r w:rsidRPr="00E869A4">
        <w:rPr>
          <w:rFonts w:ascii="Times New Roman" w:hAnsi="Times New Roman" w:cs="Courier New"/>
          <w:szCs w:val="24"/>
        </w:rPr>
        <w:t>2017</w:t>
      </w:r>
      <w:r w:rsidR="002021B5" w:rsidRPr="00E869A4">
        <w:rPr>
          <w:rFonts w:ascii="Times New Roman" w:hAnsi="Times New Roman" w:cs="Courier New"/>
          <w:szCs w:val="24"/>
        </w:rPr>
        <w:t>;</w:t>
      </w:r>
      <w:r w:rsidRPr="00E869A4">
        <w:rPr>
          <w:rFonts w:ascii="Times New Roman" w:hAnsi="Times New Roman" w:cs="Courier New"/>
          <w:szCs w:val="24"/>
        </w:rPr>
        <w:t xml:space="preserve"> </w:t>
      </w:r>
      <w:r w:rsidR="006601E6" w:rsidRPr="00E869A4">
        <w:rPr>
          <w:rFonts w:ascii="Times New Roman" w:hAnsi="Times New Roman" w:cs="Courier New"/>
          <w:szCs w:val="24"/>
        </w:rPr>
        <w:t xml:space="preserve">Graham &amp; Thurston 2005; and, </w:t>
      </w:r>
      <w:r w:rsidRPr="00E869A4">
        <w:rPr>
          <w:rFonts w:ascii="Times New Roman" w:hAnsi="Times New Roman" w:cs="Courier New"/>
          <w:szCs w:val="24"/>
        </w:rPr>
        <w:t>Piel et al</w:t>
      </w:r>
      <w:r w:rsidR="006601E6" w:rsidRPr="00E869A4">
        <w:rPr>
          <w:rFonts w:ascii="Times New Roman" w:hAnsi="Times New Roman" w:cs="Courier New"/>
          <w:szCs w:val="24"/>
        </w:rPr>
        <w:t>. 2017)</w:t>
      </w:r>
      <w:r w:rsidRPr="00E869A4">
        <w:rPr>
          <w:rFonts w:ascii="Times New Roman" w:hAnsi="Times New Roman" w:cs="Courier New"/>
          <w:szCs w:val="24"/>
        </w:rPr>
        <w:t xml:space="preserve"> use</w:t>
      </w:r>
      <w:r w:rsidR="0070492C" w:rsidRPr="00E869A4">
        <w:rPr>
          <w:rFonts w:ascii="Times New Roman" w:hAnsi="Times New Roman" w:cs="Courier New"/>
          <w:szCs w:val="24"/>
        </w:rPr>
        <w:t>d</w:t>
      </w:r>
      <w:r w:rsidRPr="00E869A4">
        <w:rPr>
          <w:rFonts w:ascii="Times New Roman" w:hAnsi="Times New Roman" w:cs="Courier New"/>
          <w:szCs w:val="24"/>
        </w:rPr>
        <w:t xml:space="preserve"> the terms coping and resilience interchangeably but without providing a definition of either in their publication. Tomas et al</w:t>
      </w:r>
      <w:r w:rsidR="006601E6" w:rsidRPr="00E869A4">
        <w:rPr>
          <w:rFonts w:ascii="Times New Roman" w:hAnsi="Times New Roman" w:cs="Courier New"/>
          <w:szCs w:val="24"/>
        </w:rPr>
        <w:t>.</w:t>
      </w:r>
      <w:r w:rsidRPr="00E869A4">
        <w:rPr>
          <w:rFonts w:ascii="Times New Roman" w:hAnsi="Times New Roman" w:cs="Courier New"/>
          <w:szCs w:val="24"/>
        </w:rPr>
        <w:t xml:space="preserve"> (2012) even merged the two concepts together to form a concept they referred to as </w:t>
      </w:r>
      <w:r w:rsidR="002978B1" w:rsidRPr="00E869A4">
        <w:rPr>
          <w:rFonts w:ascii="Times New Roman" w:eastAsia="Times New Roman" w:hAnsi="Times New Roman" w:cs="Courier New"/>
          <w:szCs w:val="24"/>
        </w:rPr>
        <w:t>‘</w:t>
      </w:r>
      <w:r w:rsidRPr="00E869A4">
        <w:rPr>
          <w:rFonts w:ascii="Times New Roman" w:eastAsia="Times New Roman" w:hAnsi="Times New Roman" w:cs="Courier New"/>
          <w:szCs w:val="24"/>
        </w:rPr>
        <w:t>resilient-</w:t>
      </w:r>
      <w:r w:rsidR="002978B1" w:rsidRPr="00E869A4">
        <w:rPr>
          <w:rFonts w:ascii="Times New Roman" w:eastAsia="Times New Roman" w:hAnsi="Times New Roman" w:cs="Courier New"/>
          <w:szCs w:val="24"/>
        </w:rPr>
        <w:t>coping’, which</w:t>
      </w:r>
      <w:r w:rsidRPr="00E869A4">
        <w:rPr>
          <w:rFonts w:ascii="Times New Roman" w:eastAsia="Times New Roman" w:hAnsi="Times New Roman" w:cs="Courier New"/>
          <w:szCs w:val="24"/>
        </w:rPr>
        <w:t xml:space="preserve"> they used </w:t>
      </w:r>
      <w:r w:rsidR="00C056EE" w:rsidRPr="00E869A4">
        <w:rPr>
          <w:rFonts w:ascii="Times New Roman" w:eastAsia="Times New Roman" w:hAnsi="Times New Roman" w:cs="Courier New"/>
          <w:szCs w:val="24"/>
        </w:rPr>
        <w:t xml:space="preserve">in a </w:t>
      </w:r>
      <w:r w:rsidRPr="00E869A4">
        <w:rPr>
          <w:rFonts w:ascii="Times New Roman" w:eastAsia="Times New Roman" w:hAnsi="Times New Roman" w:cs="Courier New"/>
          <w:szCs w:val="24"/>
        </w:rPr>
        <w:t xml:space="preserve">study </w:t>
      </w:r>
      <w:r w:rsidR="00C056EE" w:rsidRPr="00E869A4">
        <w:rPr>
          <w:rFonts w:ascii="Times New Roman" w:eastAsia="Times New Roman" w:hAnsi="Times New Roman" w:cs="Courier New"/>
          <w:szCs w:val="24"/>
        </w:rPr>
        <w:t xml:space="preserve">of </w:t>
      </w:r>
      <w:r w:rsidRPr="00E869A4">
        <w:rPr>
          <w:rFonts w:ascii="Times New Roman" w:eastAsia="Times New Roman" w:hAnsi="Times New Roman" w:cs="Courier New"/>
          <w:szCs w:val="24"/>
        </w:rPr>
        <w:t xml:space="preserve">non-institutionalised older people. Others (e.g. </w:t>
      </w:r>
      <w:r w:rsidR="006601E6" w:rsidRPr="00E869A4">
        <w:rPr>
          <w:rFonts w:ascii="Times New Roman" w:eastAsia="Times New Roman" w:hAnsi="Times New Roman" w:cs="Courier New"/>
          <w:szCs w:val="24"/>
        </w:rPr>
        <w:t xml:space="preserve">Campbell-Sills, Cohan &amp; Stein 2006; </w:t>
      </w:r>
      <w:r w:rsidRPr="00E869A4">
        <w:rPr>
          <w:rFonts w:ascii="Times New Roman" w:eastAsia="Times New Roman" w:hAnsi="Times New Roman" w:cs="Courier New"/>
          <w:szCs w:val="24"/>
        </w:rPr>
        <w:t>Hutchinson 2014</w:t>
      </w:r>
      <w:r w:rsidR="00E531C2"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w:t>
      </w:r>
      <w:r w:rsidR="006601E6" w:rsidRPr="00E869A4">
        <w:rPr>
          <w:rFonts w:ascii="Times New Roman" w:eastAsia="Times New Roman" w:hAnsi="Times New Roman" w:cs="Courier New"/>
          <w:szCs w:val="24"/>
        </w:rPr>
        <w:t>Ungar 2016</w:t>
      </w:r>
      <w:r w:rsidR="003405F0"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viewed coping as subsumed within a resilience framework</w:t>
      </w:r>
      <w:r w:rsidR="00185F6E"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either as part of a continuum or</w:t>
      </w:r>
      <w:r w:rsidR="00185F6E"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w:t>
      </w:r>
      <w:r w:rsidR="002021B5" w:rsidRPr="00E869A4">
        <w:rPr>
          <w:rFonts w:ascii="Times New Roman" w:eastAsia="Times New Roman" w:hAnsi="Times New Roman" w:cs="Courier New"/>
          <w:szCs w:val="24"/>
        </w:rPr>
        <w:t xml:space="preserve">as </w:t>
      </w:r>
      <w:r w:rsidRPr="00E869A4">
        <w:rPr>
          <w:rFonts w:ascii="Times New Roman" w:eastAsia="Times New Roman" w:hAnsi="Times New Roman" w:cs="Courier New"/>
          <w:szCs w:val="24"/>
        </w:rPr>
        <w:t xml:space="preserve">a hierarchy of different levels of resilience. </w:t>
      </w:r>
    </w:p>
    <w:p w14:paraId="31627760" w14:textId="77777777" w:rsidR="00943354" w:rsidRPr="00E869A4" w:rsidRDefault="00943354" w:rsidP="00D968A3">
      <w:pPr>
        <w:autoSpaceDE w:val="0"/>
        <w:autoSpaceDN w:val="0"/>
        <w:adjustRightInd w:val="0"/>
        <w:rPr>
          <w:rFonts w:ascii="Courier New" w:hAnsi="Courier New" w:cs="Courier New"/>
          <w:szCs w:val="24"/>
        </w:rPr>
      </w:pPr>
    </w:p>
    <w:p w14:paraId="298A7E76" w14:textId="60EE213D" w:rsidR="00943354" w:rsidRPr="00E869A4" w:rsidRDefault="00FC4CDE" w:rsidP="00943354">
      <w:pPr>
        <w:autoSpaceDE w:val="0"/>
        <w:autoSpaceDN w:val="0"/>
        <w:adjustRightInd w:val="0"/>
        <w:rPr>
          <w:rFonts w:ascii="Courier New" w:hAnsi="Courier New" w:cs="Courier New"/>
          <w:szCs w:val="24"/>
        </w:rPr>
      </w:pPr>
      <w:r w:rsidRPr="00E869A4">
        <w:rPr>
          <w:rFonts w:ascii="Times New Roman" w:hAnsi="Times New Roman" w:cs="Courier New"/>
          <w:szCs w:val="24"/>
        </w:rPr>
        <w:t>Ungar</w:t>
      </w:r>
      <w:r w:rsidRPr="00E869A4">
        <w:rPr>
          <w:rFonts w:ascii="Times New Roman" w:eastAsia="Times New Roman" w:hAnsi="Times New Roman" w:cs="Courier New"/>
          <w:szCs w:val="24"/>
        </w:rPr>
        <w:t>’s (2016) approach to conceptualising resilience is very broad. He adopted the position that resilience occurs in all situations of stress but to varying degrees, and that what varies is the type of coping patterns employed by families</w:t>
      </w:r>
      <w:r w:rsidR="0058413A"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which determine the level of functioning (e.g. optimal or sub-optimal) that is displayed. But, increasingly social scientists (e.g. Empress 2015</w:t>
      </w:r>
      <w:r w:rsidR="002021B5" w:rsidRPr="00E869A4">
        <w:rPr>
          <w:rFonts w:ascii="Times New Roman" w:eastAsia="Times New Roman" w:hAnsi="Times New Roman" w:cs="Courier New"/>
          <w:szCs w:val="24"/>
        </w:rPr>
        <w:t xml:space="preserve">; Joseph, 2013; </w:t>
      </w:r>
      <w:r w:rsidRPr="00E869A4">
        <w:rPr>
          <w:rFonts w:ascii="Times New Roman" w:eastAsia="Times New Roman" w:hAnsi="Times New Roman" w:cs="Courier New"/>
          <w:szCs w:val="24"/>
        </w:rPr>
        <w:t>Olsson et al</w:t>
      </w:r>
      <w:r w:rsidR="002021B5" w:rsidRPr="00E869A4">
        <w:rPr>
          <w:rFonts w:ascii="Times New Roman" w:eastAsia="Times New Roman" w:hAnsi="Times New Roman" w:cs="Courier New"/>
          <w:szCs w:val="24"/>
        </w:rPr>
        <w:t>. 2015</w:t>
      </w:r>
      <w:r w:rsidRPr="00E869A4">
        <w:rPr>
          <w:rFonts w:ascii="Times New Roman" w:eastAsia="Times New Roman" w:hAnsi="Times New Roman" w:cs="Courier New"/>
          <w:szCs w:val="24"/>
        </w:rPr>
        <w:t>) caution against such an unrestrained view of resilience and its broad acceptance in social science discourse</w:t>
      </w:r>
      <w:r w:rsidR="0058413A"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especially as it pertains to social policy issues. They argue that the concept of resilience with its emphasis on growth, functionality and equilibrium</w:t>
      </w:r>
      <w:r w:rsidR="0058413A"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is subject to the same weaknesses as structural-functionalism. To quote Empress</w:t>
      </w:r>
      <w:r w:rsidR="00E531C2" w:rsidRPr="00E869A4">
        <w:rPr>
          <w:rFonts w:ascii="Times New Roman" w:eastAsia="Times New Roman" w:hAnsi="Times New Roman" w:cs="Courier New"/>
          <w:szCs w:val="24"/>
        </w:rPr>
        <w:t xml:space="preserve"> (2015, p. 538)</w:t>
      </w:r>
      <w:r w:rsidR="008A6205" w:rsidRPr="00E869A4">
        <w:rPr>
          <w:rFonts w:ascii="Times New Roman" w:eastAsia="Times New Roman" w:hAnsi="Times New Roman" w:cs="Courier New"/>
          <w:szCs w:val="24"/>
        </w:rPr>
        <w:t>:</w:t>
      </w:r>
    </w:p>
    <w:p w14:paraId="41222D83" w14:textId="77777777" w:rsidR="00943354" w:rsidRPr="00E869A4" w:rsidRDefault="00943354" w:rsidP="003E23F9">
      <w:pPr>
        <w:autoSpaceDE w:val="0"/>
        <w:autoSpaceDN w:val="0"/>
        <w:adjustRightInd w:val="0"/>
        <w:spacing w:line="240" w:lineRule="auto"/>
        <w:rPr>
          <w:rFonts w:ascii="Courier New" w:hAnsi="Courier New" w:cs="Courier New"/>
          <w:szCs w:val="24"/>
        </w:rPr>
      </w:pPr>
    </w:p>
    <w:p w14:paraId="5738E0B7" w14:textId="299CAA4A" w:rsidR="00FC4CDE" w:rsidRPr="00E869A4" w:rsidRDefault="0025067D" w:rsidP="00E531C2">
      <w:pPr>
        <w:autoSpaceDE w:val="0"/>
        <w:autoSpaceDN w:val="0"/>
        <w:adjustRightInd w:val="0"/>
        <w:spacing w:line="240" w:lineRule="auto"/>
        <w:ind w:left="567" w:firstLine="0"/>
        <w:rPr>
          <w:rFonts w:ascii="Times New Roman" w:eastAsia="Times New Roman" w:hAnsi="Times New Roman" w:cs="Courier New"/>
          <w:szCs w:val="24"/>
        </w:rPr>
      </w:pPr>
      <w:r w:rsidRPr="00E869A4">
        <w:rPr>
          <w:rFonts w:ascii="Times New Roman" w:hAnsi="Times New Roman" w:cs="Courier New"/>
          <w:szCs w:val="24"/>
        </w:rPr>
        <w:t>[T]h</w:t>
      </w:r>
      <w:r w:rsidR="00FC4CDE" w:rsidRPr="00E869A4">
        <w:rPr>
          <w:rFonts w:ascii="Times New Roman" w:hAnsi="Times New Roman" w:cs="Courier New"/>
          <w:szCs w:val="24"/>
        </w:rPr>
        <w:t>ese concepts still tend to view the preservation of the (normatively) assumed identity of a threatened social entity as a positive goal, which means they (must) consider comprehensive, and especially disruptive, social changes as something that ought in principle to be avoided</w:t>
      </w:r>
      <w:r w:rsidR="00E531C2" w:rsidRPr="00E869A4">
        <w:rPr>
          <w:rFonts w:ascii="Times New Roman" w:hAnsi="Times New Roman" w:cs="Courier New"/>
          <w:i/>
          <w:szCs w:val="24"/>
        </w:rPr>
        <w:t>.</w:t>
      </w:r>
    </w:p>
    <w:p w14:paraId="3C11BC6D" w14:textId="77777777" w:rsidR="00943354" w:rsidRPr="00E869A4" w:rsidRDefault="00943354" w:rsidP="003E23F9">
      <w:pPr>
        <w:autoSpaceDE w:val="0"/>
        <w:autoSpaceDN w:val="0"/>
        <w:adjustRightInd w:val="0"/>
        <w:spacing w:line="240" w:lineRule="auto"/>
        <w:rPr>
          <w:rFonts w:ascii="Courier New" w:hAnsi="Courier New" w:cs="Courier New"/>
          <w:szCs w:val="24"/>
        </w:rPr>
      </w:pPr>
    </w:p>
    <w:p w14:paraId="419CB7AC" w14:textId="77777777" w:rsidR="00E531C2" w:rsidRPr="00E869A4" w:rsidRDefault="00FC4CDE" w:rsidP="00E531C2">
      <w:pPr>
        <w:autoSpaceDE w:val="0"/>
        <w:autoSpaceDN w:val="0"/>
        <w:adjustRightInd w:val="0"/>
        <w:ind w:firstLine="0"/>
        <w:rPr>
          <w:rFonts w:ascii="Times New Roman" w:hAnsi="Courier New" w:cs="Courier New"/>
          <w:szCs w:val="24"/>
        </w:rPr>
      </w:pPr>
      <w:r w:rsidRPr="00E869A4">
        <w:rPr>
          <w:rFonts w:ascii="Times New Roman" w:hAnsi="Courier New" w:cs="Courier New"/>
          <w:szCs w:val="24"/>
        </w:rPr>
        <w:t xml:space="preserve">They also note the relationship between a resilience approach to policy formulation and a neoliberal policy agenda. </w:t>
      </w:r>
    </w:p>
    <w:p w14:paraId="6D085C6D" w14:textId="01E53E56" w:rsidR="00FC4CDE" w:rsidRPr="00E869A4" w:rsidRDefault="00FC4CDE" w:rsidP="00E531C2">
      <w:pPr>
        <w:autoSpaceDE w:val="0"/>
        <w:autoSpaceDN w:val="0"/>
        <w:adjustRightInd w:val="0"/>
        <w:rPr>
          <w:rFonts w:ascii="Times New Roman" w:hAnsi="Times New Roman" w:cs="Courier New"/>
          <w:i/>
          <w:szCs w:val="24"/>
        </w:rPr>
      </w:pPr>
      <w:r w:rsidRPr="00E869A4">
        <w:rPr>
          <w:rFonts w:ascii="Times New Roman" w:hAnsi="Courier New" w:cs="Courier New"/>
          <w:szCs w:val="24"/>
        </w:rPr>
        <w:lastRenderedPageBreak/>
        <w:t>Olsson et al</w:t>
      </w:r>
      <w:r w:rsidR="008A6205" w:rsidRPr="00E869A4">
        <w:rPr>
          <w:rFonts w:ascii="Times New Roman" w:hAnsi="Courier New" w:cs="Courier New"/>
          <w:szCs w:val="24"/>
        </w:rPr>
        <w:t>.</w:t>
      </w:r>
      <w:r w:rsidRPr="00E869A4">
        <w:rPr>
          <w:rFonts w:ascii="Times New Roman" w:hAnsi="Courier New" w:cs="Courier New"/>
          <w:szCs w:val="24"/>
        </w:rPr>
        <w:t xml:space="preserve"> argue</w:t>
      </w:r>
      <w:r w:rsidR="008A6205" w:rsidRPr="00E869A4">
        <w:rPr>
          <w:rFonts w:ascii="Times New Roman" w:hAnsi="Courier New" w:cs="Courier New"/>
          <w:szCs w:val="24"/>
        </w:rPr>
        <w:t>d</w:t>
      </w:r>
      <w:r w:rsidRPr="00E869A4">
        <w:rPr>
          <w:rFonts w:ascii="Times New Roman" w:hAnsi="Courier New" w:cs="Courier New"/>
          <w:szCs w:val="24"/>
        </w:rPr>
        <w:t xml:space="preserve"> that</w:t>
      </w:r>
      <w:r w:rsidR="00E531C2" w:rsidRPr="00E869A4">
        <w:rPr>
          <w:rFonts w:ascii="Times New Roman" w:hAnsi="Courier New" w:cs="Courier New"/>
          <w:szCs w:val="24"/>
        </w:rPr>
        <w:t xml:space="preserve"> </w:t>
      </w:r>
      <w:r w:rsidR="00E531C2" w:rsidRPr="00E869A4">
        <w:rPr>
          <w:rFonts w:ascii="Times New Roman" w:hAnsi="Times New Roman" w:cs="Courier New"/>
          <w:szCs w:val="24"/>
        </w:rPr>
        <w:t>“</w:t>
      </w:r>
      <w:r w:rsidR="00E531C2" w:rsidRPr="00E869A4">
        <w:rPr>
          <w:rFonts w:ascii="Times New Roman" w:hAnsi="Courier New" w:cs="Courier New"/>
          <w:szCs w:val="24"/>
        </w:rPr>
        <w:t>r</w:t>
      </w:r>
      <w:r w:rsidRPr="00E869A4">
        <w:rPr>
          <w:rFonts w:ascii="Times New Roman" w:hAnsi="Courier New" w:cs="Courier New"/>
          <w:szCs w:val="24"/>
        </w:rPr>
        <w:t>esilience theory rests on functionalism as a theoretically superseded understanding of society; furthermore, owing to its emphasis on self-organization, it appears to be aligned with the contemporary neoliberal economics paradigm</w:t>
      </w:r>
      <w:r w:rsidR="00E531C2" w:rsidRPr="00E869A4">
        <w:rPr>
          <w:rFonts w:ascii="Times New Roman" w:hAnsi="Courier New" w:cs="Courier New"/>
          <w:szCs w:val="24"/>
        </w:rPr>
        <w:t>.</w:t>
      </w:r>
      <w:r w:rsidR="00E531C2" w:rsidRPr="00E869A4">
        <w:rPr>
          <w:rFonts w:ascii="Times New Roman" w:hAnsi="Times New Roman" w:cs="Courier New"/>
          <w:szCs w:val="24"/>
        </w:rPr>
        <w:t>”</w:t>
      </w:r>
      <w:r w:rsidR="0025067D" w:rsidRPr="00E869A4">
        <w:rPr>
          <w:rFonts w:ascii="Times New Roman" w:hAnsi="Times New Roman" w:cs="Courier New"/>
          <w:szCs w:val="24"/>
        </w:rPr>
        <w:t xml:space="preserve"> </w:t>
      </w:r>
      <w:r w:rsidR="00E531C2" w:rsidRPr="00E869A4">
        <w:rPr>
          <w:rFonts w:ascii="Times New Roman" w:hAnsi="Courier New" w:cs="Courier New"/>
          <w:szCs w:val="24"/>
        </w:rPr>
        <w:t>(</w:t>
      </w:r>
      <w:r w:rsidR="0025067D" w:rsidRPr="00E869A4">
        <w:rPr>
          <w:rFonts w:ascii="Times New Roman" w:hAnsi="Courier New" w:cs="Courier New"/>
          <w:szCs w:val="24"/>
        </w:rPr>
        <w:t>Olsson et al. 2015, p. 6)</w:t>
      </w:r>
      <w:r w:rsidRPr="00E869A4">
        <w:rPr>
          <w:rFonts w:ascii="Times New Roman" w:hAnsi="Times New Roman" w:cs="Courier New"/>
          <w:szCs w:val="24"/>
        </w:rPr>
        <w:t>.</w:t>
      </w:r>
      <w:r w:rsidR="00E531C2" w:rsidRPr="00E869A4">
        <w:rPr>
          <w:rFonts w:ascii="Times New Roman" w:hAnsi="Times New Roman" w:cs="Courier New"/>
          <w:szCs w:val="24"/>
        </w:rPr>
        <w:t xml:space="preserve"> </w:t>
      </w:r>
      <w:r w:rsidRPr="00E869A4">
        <w:rPr>
          <w:rFonts w:ascii="Times New Roman" w:hAnsi="Courier New" w:cs="Courier New"/>
          <w:szCs w:val="24"/>
        </w:rPr>
        <w:t xml:space="preserve">Joseph </w:t>
      </w:r>
      <w:r w:rsidR="00B418BB" w:rsidRPr="00E869A4">
        <w:rPr>
          <w:rFonts w:ascii="Times New Roman" w:hAnsi="Courier New" w:cs="Courier New"/>
          <w:szCs w:val="24"/>
        </w:rPr>
        <w:t xml:space="preserve">shared a similar view and observed that </w:t>
      </w:r>
      <w:r w:rsidR="00B418BB" w:rsidRPr="00E869A4">
        <w:rPr>
          <w:rFonts w:ascii="Times New Roman" w:hAnsi="Times New Roman" w:cs="Courier New"/>
          <w:szCs w:val="24"/>
        </w:rPr>
        <w:t>“</w:t>
      </w:r>
      <w:r w:rsidR="00B418BB" w:rsidRPr="00E869A4">
        <w:rPr>
          <w:rFonts w:ascii="Times New Roman" w:hAnsi="Courier New" w:cs="Courier New"/>
          <w:szCs w:val="24"/>
        </w:rPr>
        <w:t>a</w:t>
      </w:r>
      <w:r w:rsidRPr="00E869A4">
        <w:rPr>
          <w:rFonts w:ascii="Times New Roman" w:hAnsi="Courier New" w:cs="Courier New"/>
          <w:szCs w:val="24"/>
        </w:rPr>
        <w:t>lthough not wanting to reduce the idea of resilience to neoliberal governance, in</w:t>
      </w:r>
      <w:r w:rsidR="0025067D" w:rsidRPr="00E869A4">
        <w:rPr>
          <w:rFonts w:ascii="Times New Roman" w:hAnsi="Courier New" w:cs="Courier New"/>
          <w:szCs w:val="24"/>
        </w:rPr>
        <w:t xml:space="preserve"> </w:t>
      </w:r>
      <w:r w:rsidRPr="00E869A4">
        <w:rPr>
          <w:rFonts w:ascii="Times New Roman" w:hAnsi="Times New Roman" w:cs="Courier New"/>
          <w:szCs w:val="24"/>
        </w:rPr>
        <w:t>policy terms it fits extremely well into this environment</w:t>
      </w:r>
      <w:r w:rsidR="00E531C2" w:rsidRPr="00E869A4">
        <w:rPr>
          <w:rFonts w:ascii="Times New Roman" w:hAnsi="Times New Roman" w:cs="Courier New"/>
          <w:szCs w:val="24"/>
        </w:rPr>
        <w:t>.</w:t>
      </w:r>
      <w:r w:rsidR="004B4C4D" w:rsidRPr="00E869A4">
        <w:rPr>
          <w:rFonts w:ascii="Times New Roman" w:hAnsi="Times New Roman" w:cs="Courier New"/>
          <w:szCs w:val="24"/>
        </w:rPr>
        <w:t>”</w:t>
      </w:r>
      <w:r w:rsidR="00B418BB" w:rsidRPr="00E869A4">
        <w:rPr>
          <w:rFonts w:ascii="Times New Roman" w:hAnsi="Courier New" w:cs="Courier New"/>
          <w:szCs w:val="24"/>
        </w:rPr>
        <w:t xml:space="preserve"> (Joseph 2013, p. 44)</w:t>
      </w:r>
      <w:r w:rsidRPr="00E869A4">
        <w:rPr>
          <w:rFonts w:ascii="Times New Roman" w:hAnsi="Times New Roman" w:cs="Courier New"/>
          <w:szCs w:val="24"/>
        </w:rPr>
        <w:t>.</w:t>
      </w:r>
    </w:p>
    <w:p w14:paraId="74CEBAD4" w14:textId="77777777" w:rsidR="00D968A3" w:rsidRPr="00E869A4" w:rsidRDefault="00D968A3" w:rsidP="00D968A3">
      <w:pPr>
        <w:autoSpaceDE w:val="0"/>
        <w:autoSpaceDN w:val="0"/>
        <w:adjustRightInd w:val="0"/>
        <w:ind w:firstLine="720"/>
        <w:rPr>
          <w:rFonts w:ascii="Courier New" w:hAnsi="Courier New" w:cs="Courier New"/>
          <w:szCs w:val="24"/>
        </w:rPr>
      </w:pPr>
    </w:p>
    <w:p w14:paraId="276CBD67" w14:textId="2C6FBA4C" w:rsidR="00943354" w:rsidRPr="00E869A4" w:rsidRDefault="00FC4CDE" w:rsidP="00D968A3">
      <w:pPr>
        <w:autoSpaceDE w:val="0"/>
        <w:autoSpaceDN w:val="0"/>
        <w:adjustRightInd w:val="0"/>
        <w:rPr>
          <w:rFonts w:ascii="Times New Roman" w:eastAsia="Times New Roman" w:hAnsi="Times New Roman" w:cs="Courier New"/>
          <w:szCs w:val="24"/>
        </w:rPr>
      </w:pPr>
      <w:r w:rsidRPr="00E869A4">
        <w:rPr>
          <w:rFonts w:ascii="Times New Roman" w:hAnsi="Times New Roman" w:cs="Courier New"/>
          <w:szCs w:val="24"/>
        </w:rPr>
        <w:t>Ungar</w:t>
      </w:r>
      <w:r w:rsidRPr="00E869A4">
        <w:rPr>
          <w:rFonts w:ascii="Times New Roman" w:eastAsia="Times New Roman" w:hAnsi="Times New Roman" w:cs="Courier New"/>
          <w:szCs w:val="24"/>
        </w:rPr>
        <w:t xml:space="preserve">’s </w:t>
      </w:r>
      <w:r w:rsidR="00B418BB" w:rsidRPr="00E869A4">
        <w:rPr>
          <w:rFonts w:ascii="Times New Roman" w:eastAsia="Times New Roman" w:hAnsi="Times New Roman" w:cs="Courier New"/>
          <w:szCs w:val="24"/>
        </w:rPr>
        <w:t xml:space="preserve">(2016) </w:t>
      </w:r>
      <w:r w:rsidRPr="00E869A4">
        <w:rPr>
          <w:rFonts w:ascii="Times New Roman" w:eastAsia="Times New Roman" w:hAnsi="Times New Roman" w:cs="Courier New"/>
          <w:szCs w:val="24"/>
        </w:rPr>
        <w:t>conceptual model of family resilience in which he identified a clear relationship between resource availability and level of functioning of a family unit in response to adversity</w:t>
      </w:r>
      <w:r w:rsidR="00C5511B"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is also consistent with other perspectives on coping and adaptation such as the ecological systems framewor</w:t>
      </w:r>
      <w:r w:rsidR="00B418BB" w:rsidRPr="00E869A4">
        <w:rPr>
          <w:rFonts w:ascii="Times New Roman" w:eastAsia="Times New Roman" w:hAnsi="Times New Roman" w:cs="Courier New"/>
          <w:szCs w:val="24"/>
        </w:rPr>
        <w:t xml:space="preserve">k. Ungar </w:t>
      </w:r>
      <w:r w:rsidRPr="00E869A4">
        <w:rPr>
          <w:rFonts w:ascii="Times New Roman" w:eastAsia="Times New Roman" w:hAnsi="Times New Roman" w:cs="Courier New"/>
          <w:szCs w:val="24"/>
        </w:rPr>
        <w:t>postulated that people from well-resourced social systems are more likely to attain optimal levels of adaptation to adversity. On the other hand, he surmised that families from less well-resourced systems are able to adapt to adverse circumstances but in less optimal ways. These postulates are worthy of consideration</w:t>
      </w:r>
      <w:r w:rsidR="008D3663" w:rsidRPr="00E869A4">
        <w:rPr>
          <w:rFonts w:ascii="Times New Roman" w:eastAsia="Times New Roman" w:hAnsi="Times New Roman" w:cs="Courier New"/>
          <w:szCs w:val="24"/>
        </w:rPr>
        <w:t xml:space="preserve">. They </w:t>
      </w:r>
      <w:r w:rsidRPr="00E869A4">
        <w:rPr>
          <w:rFonts w:ascii="Times New Roman" w:eastAsia="Times New Roman" w:hAnsi="Times New Roman" w:cs="Courier New"/>
          <w:szCs w:val="24"/>
        </w:rPr>
        <w:t>also seem to be in alignment with perspectives such as the political economy approach</w:t>
      </w:r>
      <w:r w:rsidR="008D3663" w:rsidRPr="00E869A4">
        <w:rPr>
          <w:rFonts w:ascii="Times New Roman" w:eastAsia="Times New Roman" w:hAnsi="Times New Roman" w:cs="Courier New"/>
          <w:szCs w:val="24"/>
        </w:rPr>
        <w:t>,</w:t>
      </w:r>
      <w:r w:rsidRPr="00E869A4">
        <w:rPr>
          <w:rFonts w:ascii="Times New Roman" w:eastAsia="Times New Roman" w:hAnsi="Times New Roman" w:cs="Courier New"/>
          <w:szCs w:val="24"/>
        </w:rPr>
        <w:t xml:space="preserve"> which </w:t>
      </w:r>
      <w:r w:rsidR="00331E50" w:rsidRPr="00E869A4">
        <w:rPr>
          <w:rFonts w:ascii="Times New Roman" w:eastAsia="Times New Roman" w:hAnsi="Times New Roman" w:cs="Courier New"/>
          <w:szCs w:val="24"/>
        </w:rPr>
        <w:t>was</w:t>
      </w:r>
      <w:r w:rsidRPr="00E869A4">
        <w:rPr>
          <w:rFonts w:ascii="Times New Roman" w:eastAsia="Times New Roman" w:hAnsi="Times New Roman" w:cs="Courier New"/>
          <w:szCs w:val="24"/>
        </w:rPr>
        <w:t xml:space="preserve"> highlighted in the </w:t>
      </w:r>
      <w:r w:rsidR="00331E50" w:rsidRPr="00E869A4">
        <w:rPr>
          <w:rFonts w:ascii="Times New Roman" w:eastAsia="Times New Roman" w:hAnsi="Times New Roman" w:cs="Courier New"/>
          <w:szCs w:val="24"/>
        </w:rPr>
        <w:t xml:space="preserve">previous </w:t>
      </w:r>
      <w:r w:rsidR="008D3663" w:rsidRPr="00E869A4">
        <w:rPr>
          <w:rFonts w:ascii="Times New Roman" w:eastAsia="Times New Roman" w:hAnsi="Times New Roman" w:cs="Courier New"/>
          <w:szCs w:val="24"/>
        </w:rPr>
        <w:t xml:space="preserve">chapter </w:t>
      </w:r>
      <w:r w:rsidR="00331E50" w:rsidRPr="00E869A4">
        <w:rPr>
          <w:rFonts w:ascii="Times New Roman" w:eastAsia="Times New Roman" w:hAnsi="Times New Roman" w:cs="Courier New"/>
          <w:szCs w:val="24"/>
        </w:rPr>
        <w:t>that reviewed</w:t>
      </w:r>
      <w:r w:rsidRPr="00E869A4">
        <w:rPr>
          <w:rFonts w:ascii="Times New Roman" w:eastAsia="Times New Roman" w:hAnsi="Times New Roman" w:cs="Courier New"/>
          <w:szCs w:val="24"/>
        </w:rPr>
        <w:t xml:space="preserve"> the Social Policy discourse on ageing and family care. </w:t>
      </w:r>
    </w:p>
    <w:p w14:paraId="11AACF0B" w14:textId="77777777" w:rsidR="00943354" w:rsidRPr="00E869A4" w:rsidRDefault="00943354" w:rsidP="00D968A3">
      <w:pPr>
        <w:autoSpaceDE w:val="0"/>
        <w:autoSpaceDN w:val="0"/>
        <w:adjustRightInd w:val="0"/>
        <w:rPr>
          <w:rFonts w:ascii="Times New Roman" w:eastAsia="Times New Roman" w:hAnsi="Times New Roman" w:cs="Courier New"/>
          <w:szCs w:val="24"/>
        </w:rPr>
      </w:pPr>
    </w:p>
    <w:p w14:paraId="60D59C6E" w14:textId="2FF523BE" w:rsidR="00FC4CDE" w:rsidRPr="00E869A4" w:rsidRDefault="00FC4CDE" w:rsidP="00D968A3">
      <w:pPr>
        <w:autoSpaceDE w:val="0"/>
        <w:autoSpaceDN w:val="0"/>
        <w:adjustRightInd w:val="0"/>
        <w:rPr>
          <w:rFonts w:ascii="Times New Roman" w:hAnsi="Times New Roman" w:cs="Courier New"/>
          <w:szCs w:val="24"/>
        </w:rPr>
      </w:pPr>
      <w:r w:rsidRPr="00E869A4">
        <w:rPr>
          <w:rFonts w:ascii="Times New Roman" w:eastAsia="Times New Roman" w:hAnsi="Times New Roman" w:cs="Courier New"/>
          <w:szCs w:val="24"/>
        </w:rPr>
        <w:t>Generally, in addition to these postulates from Ungar, t</w:t>
      </w:r>
      <w:r w:rsidRPr="00E869A4">
        <w:rPr>
          <w:rFonts w:ascii="Times New Roman" w:hAnsi="Times New Roman" w:cs="Courier New"/>
          <w:szCs w:val="24"/>
        </w:rPr>
        <w:t xml:space="preserve">wo key concepts that can be adopted from the resilience literature for studies of family care, coping and care management are </w:t>
      </w:r>
      <w:r w:rsidRPr="000A6AEE">
        <w:rPr>
          <w:rFonts w:ascii="Times New Roman" w:hAnsi="Times New Roman" w:cs="Courier New"/>
          <w:i/>
          <w:szCs w:val="24"/>
        </w:rPr>
        <w:t>protective factors</w:t>
      </w:r>
      <w:r w:rsidRPr="00E869A4">
        <w:rPr>
          <w:rFonts w:ascii="Times New Roman" w:hAnsi="Times New Roman" w:cs="Courier New"/>
          <w:szCs w:val="24"/>
        </w:rPr>
        <w:t xml:space="preserve"> and </w:t>
      </w:r>
      <w:r w:rsidRPr="000A6AEE">
        <w:rPr>
          <w:rFonts w:ascii="Times New Roman" w:hAnsi="Times New Roman" w:cs="Courier New"/>
          <w:i/>
          <w:szCs w:val="24"/>
        </w:rPr>
        <w:t>risk factors</w:t>
      </w:r>
      <w:r w:rsidRPr="00E869A4">
        <w:rPr>
          <w:rFonts w:ascii="Times New Roman" w:hAnsi="Times New Roman" w:cs="Courier New"/>
          <w:szCs w:val="24"/>
        </w:rPr>
        <w:t xml:space="preserve">. </w:t>
      </w:r>
      <w:r w:rsidR="00943354" w:rsidRPr="00E869A4">
        <w:rPr>
          <w:rFonts w:ascii="Times New Roman" w:hAnsi="Times New Roman" w:cs="Courier New"/>
          <w:szCs w:val="24"/>
        </w:rPr>
        <w:t>P</w:t>
      </w:r>
      <w:r w:rsidRPr="00E869A4">
        <w:rPr>
          <w:rFonts w:ascii="Times New Roman" w:hAnsi="Times New Roman" w:cs="Courier New"/>
          <w:szCs w:val="24"/>
        </w:rPr>
        <w:t>rotective factors are conceptualised as facilitating adaptation and continued development of the individual across the life</w:t>
      </w:r>
      <w:r w:rsidR="006945CA" w:rsidRPr="00E869A4">
        <w:rPr>
          <w:rFonts w:ascii="Times New Roman" w:hAnsi="Times New Roman" w:cs="Courier New"/>
          <w:szCs w:val="24"/>
        </w:rPr>
        <w:t xml:space="preserve"> </w:t>
      </w:r>
      <w:r w:rsidRPr="00E869A4">
        <w:rPr>
          <w:rFonts w:ascii="Times New Roman" w:hAnsi="Times New Roman" w:cs="Courier New"/>
          <w:szCs w:val="24"/>
        </w:rPr>
        <w:t>course. In contrast, risk factors increase vulnerability and the likelihood of a non-resilient response in the face of stress or challenge. Protective and risk factors can represent characteristics of: 1) individuals (e.g., aspects of personality)</w:t>
      </w:r>
      <w:r w:rsidR="00571B4F" w:rsidRPr="00E869A4">
        <w:rPr>
          <w:rFonts w:ascii="Times New Roman" w:hAnsi="Times New Roman" w:cs="Courier New"/>
          <w:szCs w:val="24"/>
        </w:rPr>
        <w:t>;</w:t>
      </w:r>
      <w:r w:rsidR="002F1783" w:rsidRPr="00E869A4">
        <w:rPr>
          <w:rFonts w:ascii="Times New Roman" w:hAnsi="Times New Roman" w:cs="Courier New"/>
          <w:szCs w:val="24"/>
        </w:rPr>
        <w:t xml:space="preserve"> 2) social relationships (e.g.</w:t>
      </w:r>
      <w:r w:rsidRPr="00E869A4">
        <w:rPr>
          <w:rFonts w:ascii="Times New Roman" w:hAnsi="Times New Roman" w:cs="Courier New"/>
          <w:szCs w:val="24"/>
        </w:rPr>
        <w:t xml:space="preserve"> availability of a supportive social network)</w:t>
      </w:r>
      <w:r w:rsidR="00571B4F" w:rsidRPr="00E869A4">
        <w:rPr>
          <w:rFonts w:ascii="Times New Roman" w:hAnsi="Times New Roman" w:cs="Courier New"/>
          <w:szCs w:val="24"/>
        </w:rPr>
        <w:t>;</w:t>
      </w:r>
      <w:r w:rsidRPr="00E869A4">
        <w:rPr>
          <w:rFonts w:ascii="Times New Roman" w:hAnsi="Times New Roman" w:cs="Courier New"/>
          <w:szCs w:val="24"/>
        </w:rPr>
        <w:t xml:space="preserve"> and, 3) aspects of the environment (e.g. age-friendly urban design</w:t>
      </w:r>
      <w:r w:rsidR="006945CA" w:rsidRPr="00E869A4">
        <w:rPr>
          <w:rFonts w:ascii="Times New Roman" w:hAnsi="Times New Roman" w:cs="Courier New"/>
          <w:szCs w:val="24"/>
        </w:rPr>
        <w:t>)</w:t>
      </w:r>
      <w:r w:rsidRPr="00E869A4">
        <w:rPr>
          <w:rFonts w:ascii="Times New Roman" w:hAnsi="Times New Roman" w:cs="Courier New"/>
          <w:szCs w:val="24"/>
        </w:rPr>
        <w:t xml:space="preserve">.  These concepts are compatible with an ecological systems framework (Jordahl </w:t>
      </w:r>
      <w:r w:rsidR="005975F6" w:rsidRPr="00E869A4">
        <w:rPr>
          <w:rFonts w:ascii="Times New Roman" w:hAnsi="Times New Roman" w:cs="Courier New"/>
          <w:szCs w:val="24"/>
        </w:rPr>
        <w:t>&amp;</w:t>
      </w:r>
      <w:r w:rsidR="005975F6" w:rsidRPr="00E869A4">
        <w:t xml:space="preserve"> </w:t>
      </w:r>
      <w:r w:rsidR="005975F6" w:rsidRPr="00E869A4">
        <w:rPr>
          <w:rFonts w:ascii="Times New Roman" w:hAnsi="Times New Roman" w:cs="Courier New"/>
          <w:szCs w:val="24"/>
        </w:rPr>
        <w:t>Lohman</w:t>
      </w:r>
      <w:r w:rsidRPr="00E869A4">
        <w:rPr>
          <w:rFonts w:ascii="Times New Roman" w:hAnsi="Times New Roman" w:cs="Courier New"/>
          <w:szCs w:val="24"/>
        </w:rPr>
        <w:t xml:space="preserve"> 2009). Ecological systems theory is discussed in more detail below. </w:t>
      </w:r>
    </w:p>
    <w:p w14:paraId="2D68EF24" w14:textId="77777777" w:rsidR="002F1783" w:rsidRPr="00E869A4" w:rsidRDefault="002F1783" w:rsidP="00D968A3">
      <w:pPr>
        <w:autoSpaceDE w:val="0"/>
        <w:autoSpaceDN w:val="0"/>
        <w:adjustRightInd w:val="0"/>
        <w:rPr>
          <w:rFonts w:ascii="Courier New" w:hAnsi="Courier New" w:cs="Courier New"/>
          <w:szCs w:val="24"/>
        </w:rPr>
      </w:pPr>
    </w:p>
    <w:p w14:paraId="7DDF1414" w14:textId="77777777" w:rsidR="00FC4CDE" w:rsidRPr="00E869A4" w:rsidRDefault="00FC4CDE" w:rsidP="00D968A3"/>
    <w:p w14:paraId="49BB4FF9" w14:textId="77777777" w:rsidR="002F1783" w:rsidRPr="00E869A4" w:rsidRDefault="002F1783">
      <w:pPr>
        <w:rPr>
          <w:b/>
          <w:i/>
          <w:u w:val="single"/>
        </w:rPr>
      </w:pPr>
      <w:bookmarkStart w:id="231" w:name="_Toc505945230"/>
      <w:r w:rsidRPr="00E869A4">
        <w:br w:type="page"/>
      </w:r>
    </w:p>
    <w:p w14:paraId="72124796" w14:textId="2D313810" w:rsidR="00855EB2" w:rsidRPr="00E869A4" w:rsidRDefault="00E9231D" w:rsidP="005C449C">
      <w:pPr>
        <w:pStyle w:val="Heading3"/>
      </w:pPr>
      <w:bookmarkStart w:id="232" w:name="_Toc40436502"/>
      <w:r w:rsidRPr="00E869A4">
        <w:lastRenderedPageBreak/>
        <w:t>4</w:t>
      </w:r>
      <w:r w:rsidR="007B28BA" w:rsidRPr="00E869A4">
        <w:t xml:space="preserve">.2.2     </w:t>
      </w:r>
      <w:r w:rsidR="00245E6C" w:rsidRPr="00E869A4">
        <w:t xml:space="preserve">Theoretical Perspectives </w:t>
      </w:r>
      <w:r w:rsidR="00331E50" w:rsidRPr="00E869A4">
        <w:t>on</w:t>
      </w:r>
      <w:r w:rsidR="00245E6C" w:rsidRPr="00E869A4">
        <w:t xml:space="preserve"> Coping &amp; Care Management</w:t>
      </w:r>
      <w:bookmarkEnd w:id="231"/>
      <w:bookmarkEnd w:id="232"/>
    </w:p>
    <w:p w14:paraId="2696AAF6" w14:textId="77777777" w:rsidR="004050C9" w:rsidRPr="00E869A4" w:rsidRDefault="004050C9" w:rsidP="0051234F">
      <w:pPr>
        <w:pStyle w:val="112"/>
        <w:rPr>
          <w:color w:val="auto"/>
        </w:rPr>
      </w:pPr>
    </w:p>
    <w:p w14:paraId="42513D4D" w14:textId="302BACAD" w:rsidR="00D62D71" w:rsidRPr="00E869A4" w:rsidRDefault="004050C9" w:rsidP="0051234F">
      <w:pPr>
        <w:pStyle w:val="112"/>
        <w:rPr>
          <w:color w:val="auto"/>
        </w:rPr>
      </w:pPr>
      <w:r w:rsidRPr="00E869A4">
        <w:rPr>
          <w:color w:val="auto"/>
        </w:rPr>
        <w:t>In this section, I review stress and coping theories</w:t>
      </w:r>
      <w:r w:rsidR="00E62065" w:rsidRPr="00E869A4">
        <w:rPr>
          <w:color w:val="auto"/>
        </w:rPr>
        <w:t>, the lifecourse perspective</w:t>
      </w:r>
      <w:r w:rsidRPr="00E869A4">
        <w:rPr>
          <w:color w:val="auto"/>
        </w:rPr>
        <w:t xml:space="preserve"> and the </w:t>
      </w:r>
      <w:r w:rsidR="004B391F" w:rsidRPr="00E869A4">
        <w:rPr>
          <w:color w:val="auto"/>
        </w:rPr>
        <w:t>FES</w:t>
      </w:r>
      <w:r w:rsidR="008E694B" w:rsidRPr="00E869A4">
        <w:rPr>
          <w:color w:val="auto"/>
        </w:rPr>
        <w:t xml:space="preserve"> </w:t>
      </w:r>
      <w:r w:rsidR="00E62065" w:rsidRPr="00E869A4">
        <w:rPr>
          <w:color w:val="auto"/>
        </w:rPr>
        <w:t>framework. I conclude with</w:t>
      </w:r>
      <w:r w:rsidRPr="00E869A4">
        <w:rPr>
          <w:color w:val="auto"/>
        </w:rPr>
        <w:t xml:space="preserve"> a definition for coping and care management that informs the </w:t>
      </w:r>
      <w:r w:rsidR="006370B2" w:rsidRPr="00E869A4">
        <w:rPr>
          <w:color w:val="auto"/>
        </w:rPr>
        <w:t xml:space="preserve">design and analysis approach </w:t>
      </w:r>
      <w:r w:rsidR="002F1783" w:rsidRPr="00E869A4">
        <w:rPr>
          <w:color w:val="auto"/>
        </w:rPr>
        <w:t>used in this</w:t>
      </w:r>
      <w:r w:rsidRPr="00E869A4">
        <w:rPr>
          <w:color w:val="auto"/>
        </w:rPr>
        <w:t xml:space="preserve"> study. </w:t>
      </w:r>
    </w:p>
    <w:p w14:paraId="3943AC21" w14:textId="77777777" w:rsidR="004050C9" w:rsidRPr="00E869A4" w:rsidRDefault="004050C9" w:rsidP="0051234F">
      <w:pPr>
        <w:pStyle w:val="112"/>
        <w:rPr>
          <w:color w:val="auto"/>
        </w:rPr>
      </w:pPr>
    </w:p>
    <w:p w14:paraId="41A99DE5" w14:textId="77777777" w:rsidR="00855EB2" w:rsidRPr="00E869A4" w:rsidRDefault="00855EB2" w:rsidP="004E2181">
      <w:pPr>
        <w:pStyle w:val="Heading4"/>
      </w:pPr>
      <w:bookmarkStart w:id="233" w:name="_Toc505945231"/>
      <w:r w:rsidRPr="00E869A4">
        <w:t>Stress and Coping Theories</w:t>
      </w:r>
      <w:bookmarkEnd w:id="233"/>
    </w:p>
    <w:p w14:paraId="231B3BC0" w14:textId="77777777" w:rsidR="00D62D71" w:rsidRPr="00E869A4" w:rsidRDefault="00D62D71" w:rsidP="0051234F">
      <w:pPr>
        <w:pStyle w:val="112"/>
        <w:rPr>
          <w:color w:val="auto"/>
        </w:rPr>
      </w:pPr>
    </w:p>
    <w:p w14:paraId="66CFFB41" w14:textId="437D0F95" w:rsidR="00855EB2" w:rsidRPr="00E869A4" w:rsidRDefault="000331EE" w:rsidP="00D968A3">
      <w:pPr>
        <w:rPr>
          <w:rFonts w:ascii="Times New Roman" w:hAnsi="Times New Roman" w:cs="Times New Roman"/>
        </w:rPr>
      </w:pPr>
      <w:r w:rsidRPr="00E869A4">
        <w:rPr>
          <w:rFonts w:ascii="Times New Roman" w:hAnsi="Times New Roman" w:cs="Times New Roman"/>
        </w:rPr>
        <w:t>As noted earlier, s</w:t>
      </w:r>
      <w:r w:rsidR="00855EB2" w:rsidRPr="00E869A4">
        <w:rPr>
          <w:rFonts w:ascii="Times New Roman" w:hAnsi="Times New Roman" w:cs="Times New Roman"/>
        </w:rPr>
        <w:t>ocial science theorising and research on stress and coping is mainly derived from and situated within the psychological tradition, and more specifically</w:t>
      </w:r>
      <w:r w:rsidR="006370B2" w:rsidRPr="00E869A4">
        <w:rPr>
          <w:rFonts w:ascii="Times New Roman" w:hAnsi="Times New Roman" w:cs="Times New Roman"/>
        </w:rPr>
        <w:t>,</w:t>
      </w:r>
      <w:r w:rsidR="00855EB2" w:rsidRPr="00E869A4">
        <w:rPr>
          <w:rFonts w:ascii="Times New Roman" w:hAnsi="Times New Roman" w:cs="Times New Roman"/>
        </w:rPr>
        <w:t xml:space="preserve"> clinical psychology (Melnyk 2011). Whilst psychological research on stress and coping began over eight decades ago, sociological research and theorising on coping has a more recent history. The three key elements often identified in stress/coping and social support theories as having a significant impact on the caregiving experience are: 1</w:t>
      </w:r>
      <w:r w:rsidR="005953F3" w:rsidRPr="00E869A4">
        <w:rPr>
          <w:rFonts w:ascii="Times New Roman" w:hAnsi="Times New Roman" w:cs="Times New Roman"/>
        </w:rPr>
        <w:t>)</w:t>
      </w:r>
      <w:r w:rsidR="00855EB2" w:rsidRPr="00E869A4">
        <w:rPr>
          <w:rFonts w:ascii="Times New Roman" w:hAnsi="Times New Roman" w:cs="Times New Roman"/>
        </w:rPr>
        <w:t xml:space="preserve"> </w:t>
      </w:r>
      <w:r w:rsidR="00855EB2" w:rsidRPr="00E869A4">
        <w:rPr>
          <w:rFonts w:ascii="Times New Roman" w:hAnsi="Times New Roman" w:cs="Times New Roman"/>
          <w:i/>
        </w:rPr>
        <w:t>Stressors</w:t>
      </w:r>
      <w:r w:rsidR="00855EB2" w:rsidRPr="00E869A4">
        <w:rPr>
          <w:rFonts w:ascii="Times New Roman" w:hAnsi="Times New Roman" w:cs="Times New Roman"/>
        </w:rPr>
        <w:t xml:space="preserve"> – objective factors (e.g. the functional capacity of the care recipient, the work status of the caregiver, number of tasks performed by the caregiver) and subjective factors (e.g. the caregiver’s subjective appraisal of the situation) are explored relative to outcomes; 2</w:t>
      </w:r>
      <w:r w:rsidR="005953F3" w:rsidRPr="00E869A4">
        <w:rPr>
          <w:rFonts w:ascii="Times New Roman" w:hAnsi="Times New Roman" w:cs="Times New Roman"/>
        </w:rPr>
        <w:t>)</w:t>
      </w:r>
      <w:r w:rsidR="00855EB2" w:rsidRPr="00E869A4">
        <w:rPr>
          <w:rFonts w:ascii="Times New Roman" w:hAnsi="Times New Roman" w:cs="Times New Roman"/>
        </w:rPr>
        <w:t xml:space="preserve"> </w:t>
      </w:r>
      <w:r w:rsidR="00855EB2" w:rsidRPr="00E869A4">
        <w:rPr>
          <w:rFonts w:ascii="Times New Roman" w:hAnsi="Times New Roman" w:cs="Times New Roman"/>
          <w:i/>
        </w:rPr>
        <w:t>Mediating factors</w:t>
      </w:r>
      <w:r w:rsidR="00855EB2" w:rsidRPr="00E869A4">
        <w:rPr>
          <w:rFonts w:ascii="Times New Roman" w:hAnsi="Times New Roman" w:cs="Times New Roman"/>
        </w:rPr>
        <w:t xml:space="preserve"> </w:t>
      </w:r>
      <w:r w:rsidR="00BE6C03" w:rsidRPr="00E869A4">
        <w:rPr>
          <w:rFonts w:ascii="Times New Roman" w:hAnsi="Times New Roman" w:cs="Times New Roman"/>
        </w:rPr>
        <w:t xml:space="preserve">– </w:t>
      </w:r>
      <w:r w:rsidR="00855EB2" w:rsidRPr="00E869A4">
        <w:rPr>
          <w:rFonts w:ascii="Times New Roman" w:hAnsi="Times New Roman" w:cs="Times New Roman"/>
        </w:rPr>
        <w:t>include the subjective appraisal of the situation and their social support networks. Generally, social support is seen as a buffer to the potentially harmful effects of the caregiving relationship and as a way of strengthening the caregiver’s coping capacities; and</w:t>
      </w:r>
      <w:r w:rsidR="005953F3" w:rsidRPr="00E869A4">
        <w:rPr>
          <w:rFonts w:ascii="Times New Roman" w:hAnsi="Times New Roman" w:cs="Times New Roman"/>
        </w:rPr>
        <w:t>,</w:t>
      </w:r>
      <w:r w:rsidR="00855EB2" w:rsidRPr="00E869A4">
        <w:rPr>
          <w:rFonts w:ascii="Times New Roman" w:hAnsi="Times New Roman" w:cs="Times New Roman"/>
        </w:rPr>
        <w:t xml:space="preserve"> 3</w:t>
      </w:r>
      <w:r w:rsidR="005953F3" w:rsidRPr="00E869A4">
        <w:rPr>
          <w:rFonts w:ascii="Times New Roman" w:hAnsi="Times New Roman" w:cs="Times New Roman"/>
        </w:rPr>
        <w:t>)</w:t>
      </w:r>
      <w:r w:rsidR="00855EB2" w:rsidRPr="00E869A4">
        <w:rPr>
          <w:rFonts w:ascii="Times New Roman" w:hAnsi="Times New Roman" w:cs="Times New Roman"/>
        </w:rPr>
        <w:t xml:space="preserve"> </w:t>
      </w:r>
      <w:r w:rsidR="00855EB2" w:rsidRPr="00E869A4">
        <w:rPr>
          <w:rFonts w:ascii="Times New Roman" w:hAnsi="Times New Roman" w:cs="Times New Roman"/>
          <w:i/>
        </w:rPr>
        <w:t>Outcomes</w:t>
      </w:r>
      <w:r w:rsidR="00855EB2" w:rsidRPr="00E869A4">
        <w:rPr>
          <w:rFonts w:ascii="Times New Roman" w:hAnsi="Times New Roman" w:cs="Times New Roman"/>
        </w:rPr>
        <w:t xml:space="preserve"> – are measures of caregiver burden, stress or strain. </w:t>
      </w:r>
    </w:p>
    <w:p w14:paraId="53E6E9E4" w14:textId="77777777" w:rsidR="003A23F1" w:rsidRPr="00E869A4" w:rsidRDefault="003A23F1" w:rsidP="00D968A3">
      <w:pPr>
        <w:rPr>
          <w:rFonts w:ascii="Times New Roman" w:hAnsi="Times New Roman" w:cs="Times New Roman"/>
        </w:rPr>
      </w:pPr>
    </w:p>
    <w:p w14:paraId="5CA7C4A4" w14:textId="73F845C9" w:rsidR="00855EB2" w:rsidRPr="00E869A4" w:rsidRDefault="00B418BB" w:rsidP="00D968A3">
      <w:pPr>
        <w:rPr>
          <w:rFonts w:ascii="Times New Roman" w:hAnsi="Times New Roman" w:cs="Times New Roman"/>
        </w:rPr>
      </w:pPr>
      <w:r w:rsidRPr="00E869A4">
        <w:rPr>
          <w:rFonts w:ascii="Times New Roman" w:hAnsi="Times New Roman" w:cs="Times New Roman"/>
        </w:rPr>
        <w:t>Thoits observed</w:t>
      </w:r>
      <w:r w:rsidR="00855EB2" w:rsidRPr="00E869A4">
        <w:rPr>
          <w:rFonts w:ascii="Times New Roman" w:hAnsi="Times New Roman" w:cs="Times New Roman"/>
        </w:rPr>
        <w:t xml:space="preserve"> that while most sociologists “have implicitly adopted a fairly straightforward underlying model of the stress process” </w:t>
      </w:r>
      <w:r w:rsidRPr="00E869A4">
        <w:rPr>
          <w:rFonts w:ascii="Times New Roman" w:hAnsi="Times New Roman" w:cs="Times New Roman"/>
        </w:rPr>
        <w:t xml:space="preserve">(Thoits 1995, p. 68) </w:t>
      </w:r>
      <w:r w:rsidR="00B42CC5" w:rsidRPr="00E869A4">
        <w:rPr>
          <w:rFonts w:ascii="Times New Roman" w:hAnsi="Times New Roman" w:cs="Times New Roman"/>
        </w:rPr>
        <w:t xml:space="preserve">which </w:t>
      </w:r>
      <w:r w:rsidR="00B42CC5" w:rsidRPr="00464FFC">
        <w:rPr>
          <w:rFonts w:ascii="Times New Roman" w:hAnsi="Times New Roman" w:cs="Times New Roman"/>
          <w:i/>
        </w:rPr>
        <w:t>prima facie</w:t>
      </w:r>
      <w:r w:rsidR="00B42CC5" w:rsidRPr="00E869A4">
        <w:rPr>
          <w:rFonts w:ascii="Times New Roman" w:hAnsi="Times New Roman" w:cs="Times New Roman"/>
        </w:rPr>
        <w:t xml:space="preserve"> </w:t>
      </w:r>
      <w:r w:rsidR="00855EB2" w:rsidRPr="00E869A4">
        <w:rPr>
          <w:rFonts w:ascii="Times New Roman" w:hAnsi="Times New Roman" w:cs="Times New Roman"/>
        </w:rPr>
        <w:t>appears to have significant validity, further data and analysis of this model need</w:t>
      </w:r>
      <w:r w:rsidR="00B42CC5" w:rsidRPr="00E869A4">
        <w:rPr>
          <w:rFonts w:ascii="Times New Roman" w:hAnsi="Times New Roman" w:cs="Times New Roman"/>
        </w:rPr>
        <w:t>s</w:t>
      </w:r>
      <w:r w:rsidR="00855EB2" w:rsidRPr="00E869A4">
        <w:rPr>
          <w:rFonts w:ascii="Times New Roman" w:hAnsi="Times New Roman" w:cs="Times New Roman"/>
        </w:rPr>
        <w:t xml:space="preserve"> to be conducted. She summarised this implicit sociological model of stress and coping</w:t>
      </w:r>
      <w:r w:rsidR="001F72F2" w:rsidRPr="00E869A4">
        <w:rPr>
          <w:rFonts w:ascii="Times New Roman" w:hAnsi="Times New Roman" w:cs="Times New Roman"/>
        </w:rPr>
        <w:t xml:space="preserve"> as</w:t>
      </w:r>
      <w:r w:rsidR="00855EB2" w:rsidRPr="00E869A4">
        <w:rPr>
          <w:rFonts w:ascii="Times New Roman" w:hAnsi="Times New Roman" w:cs="Times New Roman"/>
        </w:rPr>
        <w:t xml:space="preserve"> follows: </w:t>
      </w:r>
    </w:p>
    <w:p w14:paraId="2B2FA83D" w14:textId="77777777" w:rsidR="00855EB2" w:rsidRPr="00E869A4" w:rsidRDefault="00855EB2" w:rsidP="009D4C5D">
      <w:pPr>
        <w:pStyle w:val="ListParagraph"/>
        <w:numPr>
          <w:ilvl w:val="0"/>
          <w:numId w:val="10"/>
        </w:numPr>
        <w:ind w:left="714" w:hanging="357"/>
        <w:contextualSpacing w:val="0"/>
        <w:rPr>
          <w:rFonts w:ascii="Times New Roman" w:hAnsi="Times New Roman" w:cs="Times New Roman"/>
        </w:rPr>
      </w:pPr>
      <w:r w:rsidRPr="00E869A4">
        <w:rPr>
          <w:rFonts w:ascii="Times New Roman" w:hAnsi="Times New Roman" w:cs="Times New Roman"/>
        </w:rPr>
        <w:t xml:space="preserve">Individuals' locations in the social structure differentially expose them to stressors which in turn can damage their physical and/or mental health; </w:t>
      </w:r>
    </w:p>
    <w:p w14:paraId="5E55EBC6" w14:textId="77777777" w:rsidR="00855EB2" w:rsidRPr="00E869A4" w:rsidRDefault="00855EB2" w:rsidP="009D4C5D">
      <w:pPr>
        <w:pStyle w:val="ListParagraph"/>
        <w:numPr>
          <w:ilvl w:val="0"/>
          <w:numId w:val="10"/>
        </w:numPr>
        <w:ind w:left="714" w:hanging="357"/>
        <w:contextualSpacing w:val="0"/>
        <w:rPr>
          <w:rFonts w:ascii="Times New Roman" w:hAnsi="Times New Roman" w:cs="Times New Roman"/>
        </w:rPr>
      </w:pPr>
      <w:r w:rsidRPr="00E869A4">
        <w:rPr>
          <w:rFonts w:ascii="Times New Roman" w:hAnsi="Times New Roman" w:cs="Times New Roman"/>
        </w:rPr>
        <w:t xml:space="preserve">This damage is generally moderated or lessened by individuals' social and personality resources and the coping strategies that they employ; and </w:t>
      </w:r>
    </w:p>
    <w:p w14:paraId="2142ECF0" w14:textId="27A486F8" w:rsidR="00855EB2" w:rsidRPr="00E869A4" w:rsidRDefault="00855EB2" w:rsidP="009D4C5D">
      <w:pPr>
        <w:pStyle w:val="ListParagraph"/>
        <w:numPr>
          <w:ilvl w:val="0"/>
          <w:numId w:val="10"/>
        </w:numPr>
        <w:ind w:left="714" w:hanging="357"/>
        <w:contextualSpacing w:val="0"/>
        <w:rPr>
          <w:rFonts w:ascii="Times New Roman" w:hAnsi="Times New Roman" w:cs="Times New Roman"/>
        </w:rPr>
      </w:pPr>
      <w:r w:rsidRPr="00E869A4">
        <w:rPr>
          <w:rFonts w:ascii="Times New Roman" w:hAnsi="Times New Roman" w:cs="Times New Roman"/>
        </w:rPr>
        <w:t xml:space="preserve">The possession of psychosocial resources and the use of particular coping strategies are socially patterned in ways which at least potentially may leave members of disadvantaged groups more vulnerable to the harmful physical or psychological effects of stress. </w:t>
      </w:r>
    </w:p>
    <w:p w14:paraId="779809BF" w14:textId="7556AA78" w:rsidR="00855EB2" w:rsidRPr="00E869A4" w:rsidRDefault="00C27D4B" w:rsidP="00D968A3">
      <w:pPr>
        <w:rPr>
          <w:rFonts w:ascii="Times New Roman" w:hAnsi="Times New Roman" w:cs="Times New Roman"/>
        </w:rPr>
      </w:pPr>
      <w:r w:rsidRPr="00E869A4">
        <w:rPr>
          <w:rFonts w:ascii="Times New Roman" w:hAnsi="Times New Roman" w:cs="Times New Roman"/>
        </w:rPr>
        <w:lastRenderedPageBreak/>
        <w:t>However, although t</w:t>
      </w:r>
      <w:r w:rsidR="00855EB2" w:rsidRPr="00E869A4">
        <w:rPr>
          <w:rFonts w:ascii="Times New Roman" w:hAnsi="Times New Roman" w:cs="Times New Roman"/>
        </w:rPr>
        <w:t>he stress-process framework has helped to identify key ways in which caregivers can be supported in the performance of their duties</w:t>
      </w:r>
      <w:r w:rsidR="00BE6C03" w:rsidRPr="00E869A4">
        <w:rPr>
          <w:rFonts w:ascii="Times New Roman" w:hAnsi="Times New Roman" w:cs="Times New Roman"/>
        </w:rPr>
        <w:t>,</w:t>
      </w:r>
      <w:r w:rsidRPr="00E869A4">
        <w:rPr>
          <w:rFonts w:ascii="Times New Roman" w:hAnsi="Times New Roman" w:cs="Times New Roman"/>
        </w:rPr>
        <w:t xml:space="preserve"> its applicability is limited by</w:t>
      </w:r>
      <w:r w:rsidR="00855EB2" w:rsidRPr="00E869A4">
        <w:rPr>
          <w:rFonts w:ascii="Times New Roman" w:hAnsi="Times New Roman" w:cs="Times New Roman"/>
        </w:rPr>
        <w:t>:</w:t>
      </w:r>
      <w:r w:rsidRPr="00E869A4">
        <w:rPr>
          <w:rFonts w:ascii="Times New Roman" w:hAnsi="Times New Roman" w:cs="Times New Roman"/>
        </w:rPr>
        <w:t xml:space="preserve"> an </w:t>
      </w:r>
      <w:r w:rsidR="00855EB2" w:rsidRPr="00E869A4">
        <w:rPr>
          <w:rFonts w:ascii="Times New Roman" w:hAnsi="Times New Roman" w:cs="Times New Roman"/>
        </w:rPr>
        <w:t xml:space="preserve">emphasis on an individualistic approach to caregiving </w:t>
      </w:r>
      <w:r w:rsidR="00F14E49" w:rsidRPr="00E869A4">
        <w:rPr>
          <w:rFonts w:ascii="Times New Roman" w:hAnsi="Times New Roman" w:cs="Times New Roman"/>
        </w:rPr>
        <w:t>which</w:t>
      </w:r>
      <w:r w:rsidR="00855EB2" w:rsidRPr="00E869A4">
        <w:rPr>
          <w:rFonts w:ascii="Times New Roman" w:hAnsi="Times New Roman" w:cs="Times New Roman"/>
        </w:rPr>
        <w:t xml:space="preserve"> fails to acknowledge and critique the external political, economic and social forces that impact upon the caregiver’s experience</w:t>
      </w:r>
      <w:r w:rsidRPr="00E869A4">
        <w:rPr>
          <w:rFonts w:ascii="Times New Roman" w:hAnsi="Times New Roman" w:cs="Times New Roman"/>
        </w:rPr>
        <w:t>,</w:t>
      </w:r>
      <w:r w:rsidR="00855EB2" w:rsidRPr="00E869A4">
        <w:rPr>
          <w:rFonts w:ascii="Times New Roman" w:hAnsi="Times New Roman" w:cs="Times New Roman"/>
        </w:rPr>
        <w:t xml:space="preserve"> as well as a uni-dimensional framing of the relationship between caregiver and </w:t>
      </w:r>
      <w:r w:rsidR="009E2738" w:rsidRPr="00E869A4">
        <w:rPr>
          <w:rFonts w:ascii="Times New Roman" w:hAnsi="Times New Roman" w:cs="Times New Roman"/>
        </w:rPr>
        <w:t>care recipient</w:t>
      </w:r>
      <w:r w:rsidR="00855EB2" w:rsidRPr="00E869A4">
        <w:rPr>
          <w:rFonts w:ascii="Times New Roman" w:hAnsi="Times New Roman" w:cs="Times New Roman"/>
        </w:rPr>
        <w:t xml:space="preserve"> in which the carer is burdened by the demands of caregiving (Dow &amp; McDonald 2003). As a result, these approaches place </w:t>
      </w:r>
      <w:r w:rsidR="00F14E49" w:rsidRPr="00E869A4">
        <w:rPr>
          <w:rFonts w:ascii="Times New Roman" w:hAnsi="Times New Roman" w:cs="Times New Roman"/>
        </w:rPr>
        <w:t>negative</w:t>
      </w:r>
      <w:r w:rsidR="00855EB2" w:rsidRPr="00E869A4">
        <w:rPr>
          <w:rFonts w:ascii="Times New Roman" w:hAnsi="Times New Roman" w:cs="Times New Roman"/>
        </w:rPr>
        <w:t xml:space="preserve"> outcomes of the caregiving experience as primarily a function of </w:t>
      </w:r>
      <w:r w:rsidR="00B42CC5" w:rsidRPr="00E869A4">
        <w:rPr>
          <w:rFonts w:ascii="Times New Roman" w:hAnsi="Times New Roman" w:cs="Times New Roman"/>
        </w:rPr>
        <w:t xml:space="preserve">caregiver </w:t>
      </w:r>
      <w:r w:rsidR="00855EB2" w:rsidRPr="00E869A4">
        <w:rPr>
          <w:rFonts w:ascii="Times New Roman" w:hAnsi="Times New Roman" w:cs="Times New Roman"/>
        </w:rPr>
        <w:t>failure</w:t>
      </w:r>
      <w:r w:rsidR="00B42CC5" w:rsidRPr="00E869A4">
        <w:rPr>
          <w:rFonts w:ascii="Times New Roman" w:hAnsi="Times New Roman" w:cs="Times New Roman"/>
        </w:rPr>
        <w:t>,</w:t>
      </w:r>
      <w:r w:rsidR="00855EB2" w:rsidRPr="00E869A4">
        <w:rPr>
          <w:rFonts w:ascii="Times New Roman" w:hAnsi="Times New Roman" w:cs="Times New Roman"/>
        </w:rPr>
        <w:t xml:space="preserve"> </w:t>
      </w:r>
      <w:r w:rsidR="00B42CC5" w:rsidRPr="00E869A4">
        <w:rPr>
          <w:rFonts w:ascii="Times New Roman" w:hAnsi="Times New Roman" w:cs="Times New Roman"/>
        </w:rPr>
        <w:t xml:space="preserve">without taking into account </w:t>
      </w:r>
      <w:r w:rsidR="00855EB2" w:rsidRPr="00E869A4">
        <w:rPr>
          <w:rFonts w:ascii="Times New Roman" w:hAnsi="Times New Roman" w:cs="Times New Roman"/>
        </w:rPr>
        <w:t xml:space="preserve">the impact of external factors such as lack of </w:t>
      </w:r>
      <w:r w:rsidR="00DD03CE" w:rsidRPr="00E869A4">
        <w:rPr>
          <w:rFonts w:ascii="Times New Roman" w:hAnsi="Times New Roman" w:cs="Times New Roman"/>
        </w:rPr>
        <w:t>State</w:t>
      </w:r>
      <w:r w:rsidR="00855EB2" w:rsidRPr="00E869A4">
        <w:rPr>
          <w:rFonts w:ascii="Times New Roman" w:hAnsi="Times New Roman" w:cs="Times New Roman"/>
        </w:rPr>
        <w:t xml:space="preserve"> funding for care</w:t>
      </w:r>
      <w:r w:rsidR="00CE68D0" w:rsidRPr="00E869A4">
        <w:rPr>
          <w:rFonts w:ascii="Times New Roman" w:hAnsi="Times New Roman" w:cs="Times New Roman"/>
        </w:rPr>
        <w:t xml:space="preserve"> (support) services. The idealis</w:t>
      </w:r>
      <w:r w:rsidR="00855EB2" w:rsidRPr="00E869A4">
        <w:rPr>
          <w:rFonts w:ascii="Times New Roman" w:hAnsi="Times New Roman" w:cs="Times New Roman"/>
        </w:rPr>
        <w:t>ation of support services as a solution for alleviating caregiver stress is another limitation of this approach. Research has disqualified this postulate by showing that some carers are reluctant to use support services because of</w:t>
      </w:r>
      <w:r w:rsidR="00CE68D0" w:rsidRPr="00E869A4">
        <w:rPr>
          <w:rFonts w:ascii="Times New Roman" w:hAnsi="Times New Roman" w:cs="Times New Roman"/>
        </w:rPr>
        <w:t>:</w:t>
      </w:r>
      <w:r w:rsidR="00855EB2" w:rsidRPr="00E869A4">
        <w:rPr>
          <w:rFonts w:ascii="Times New Roman" w:hAnsi="Times New Roman" w:cs="Times New Roman"/>
        </w:rPr>
        <w:t xml:space="preserve"> cultural influences</w:t>
      </w:r>
      <w:r w:rsidR="00CE68D0" w:rsidRPr="00E869A4">
        <w:rPr>
          <w:rFonts w:ascii="Times New Roman" w:hAnsi="Times New Roman" w:cs="Times New Roman"/>
        </w:rPr>
        <w:t>;</w:t>
      </w:r>
      <w:r w:rsidR="00855EB2" w:rsidRPr="00E869A4">
        <w:rPr>
          <w:rFonts w:ascii="Times New Roman" w:hAnsi="Times New Roman" w:cs="Times New Roman"/>
        </w:rPr>
        <w:t xml:space="preserve"> caregiver isolation</w:t>
      </w:r>
      <w:r w:rsidR="00CE68D0" w:rsidRPr="00E869A4">
        <w:rPr>
          <w:rFonts w:ascii="Times New Roman" w:hAnsi="Times New Roman" w:cs="Times New Roman"/>
        </w:rPr>
        <w:t>;</w:t>
      </w:r>
      <w:r w:rsidR="00855EB2" w:rsidRPr="00E869A4">
        <w:rPr>
          <w:rFonts w:ascii="Times New Roman" w:hAnsi="Times New Roman" w:cs="Times New Roman"/>
        </w:rPr>
        <w:t xml:space="preserve"> they associate the use of services with a sense of failure</w:t>
      </w:r>
      <w:r w:rsidR="00CE68D0" w:rsidRPr="00E869A4">
        <w:rPr>
          <w:rFonts w:ascii="Times New Roman" w:hAnsi="Times New Roman" w:cs="Times New Roman"/>
        </w:rPr>
        <w:t>;</w:t>
      </w:r>
      <w:r w:rsidR="00855EB2" w:rsidRPr="00E869A4">
        <w:rPr>
          <w:rFonts w:ascii="Times New Roman" w:hAnsi="Times New Roman" w:cs="Times New Roman"/>
        </w:rPr>
        <w:t xml:space="preserve"> </w:t>
      </w:r>
      <w:r w:rsidRPr="00E869A4">
        <w:rPr>
          <w:rFonts w:ascii="Times New Roman" w:hAnsi="Times New Roman" w:cs="Times New Roman"/>
        </w:rPr>
        <w:t>or</w:t>
      </w:r>
      <w:r w:rsidR="00CE68D0" w:rsidRPr="00E869A4">
        <w:rPr>
          <w:rFonts w:ascii="Times New Roman" w:hAnsi="Times New Roman" w:cs="Times New Roman"/>
        </w:rPr>
        <w:t xml:space="preserve">, </w:t>
      </w:r>
      <w:r w:rsidR="00855EB2" w:rsidRPr="00E869A4">
        <w:rPr>
          <w:rFonts w:ascii="Times New Roman" w:hAnsi="Times New Roman" w:cs="Times New Roman"/>
        </w:rPr>
        <w:t>caregiver</w:t>
      </w:r>
      <w:r w:rsidRPr="00E869A4">
        <w:rPr>
          <w:rFonts w:ascii="Times New Roman" w:hAnsi="Times New Roman" w:cs="Times New Roman"/>
        </w:rPr>
        <w:t>s are</w:t>
      </w:r>
      <w:r w:rsidR="00855EB2" w:rsidRPr="00E869A4">
        <w:rPr>
          <w:rFonts w:ascii="Times New Roman" w:hAnsi="Times New Roman" w:cs="Times New Roman"/>
        </w:rPr>
        <w:t xml:space="preserve"> reluctan</w:t>
      </w:r>
      <w:r w:rsidRPr="00E869A4">
        <w:rPr>
          <w:rFonts w:ascii="Times New Roman" w:hAnsi="Times New Roman" w:cs="Times New Roman"/>
        </w:rPr>
        <w:t>t</w:t>
      </w:r>
      <w:r w:rsidR="00855EB2" w:rsidRPr="00E869A4">
        <w:rPr>
          <w:rFonts w:ascii="Times New Roman" w:hAnsi="Times New Roman" w:cs="Times New Roman"/>
        </w:rPr>
        <w:t xml:space="preserve"> to entrust duties of caregiving to others (Dow &amp; McDonald 2003). </w:t>
      </w:r>
    </w:p>
    <w:p w14:paraId="1EBAE830" w14:textId="77777777" w:rsidR="003A23F1" w:rsidRPr="00E869A4" w:rsidRDefault="003A23F1" w:rsidP="00A35FF8">
      <w:pPr>
        <w:rPr>
          <w:rFonts w:ascii="Times New Roman" w:hAnsi="Times New Roman" w:cs="Times New Roman"/>
        </w:rPr>
      </w:pPr>
    </w:p>
    <w:p w14:paraId="036A4066" w14:textId="0365685F" w:rsidR="00855EB2" w:rsidRPr="00E869A4" w:rsidRDefault="00855EB2" w:rsidP="00A35FF8">
      <w:pPr>
        <w:rPr>
          <w:rFonts w:ascii="Times New Roman" w:hAnsi="Times New Roman" w:cs="Times New Roman"/>
        </w:rPr>
      </w:pPr>
      <w:r w:rsidRPr="00E869A4">
        <w:rPr>
          <w:rFonts w:ascii="Times New Roman" w:hAnsi="Times New Roman" w:cs="Times New Roman"/>
        </w:rPr>
        <w:t>In addition to ignoring the interpersonal nature of coping, an individualistic approach also has a propensity to be ethnocentric and skewed to a more Western conceptualisation of coping. Fine (1992)</w:t>
      </w:r>
      <w:r w:rsidRPr="00E869A4">
        <w:rPr>
          <w:rStyle w:val="FootnoteReference"/>
          <w:rFonts w:ascii="Times New Roman" w:hAnsi="Times New Roman" w:cs="Times New Roman"/>
        </w:rPr>
        <w:footnoteReference w:id="42"/>
      </w:r>
      <w:r w:rsidRPr="00E869A4">
        <w:rPr>
          <w:rFonts w:ascii="Times New Roman" w:hAnsi="Times New Roman" w:cs="Times New Roman"/>
        </w:rPr>
        <w:t xml:space="preserve"> has suggested that individualism has guided psychology to mistakenly assume that the poor and disempowered will experience positive consequences of ‘taking-control’. Rather, what is needed is a framework that gives adequate attention to the structural factors that impact on an individual’s ability to cope. While the stress and coping model </w:t>
      </w:r>
      <w:r w:rsidR="00CE68D0" w:rsidRPr="00E869A4">
        <w:rPr>
          <w:rFonts w:ascii="Times New Roman" w:hAnsi="Times New Roman" w:cs="Times New Roman"/>
        </w:rPr>
        <w:t>considers</w:t>
      </w:r>
      <w:r w:rsidRPr="00E869A4">
        <w:rPr>
          <w:rFonts w:ascii="Times New Roman" w:hAnsi="Times New Roman" w:cs="Times New Roman"/>
        </w:rPr>
        <w:t xml:space="preserve"> structural factors, there are limitations to this model such as its overemphasis on the negative outcomes of coping and care management activities. For this reason, I am of the view that </w:t>
      </w:r>
      <w:r w:rsidR="00B418BB" w:rsidRPr="00E869A4">
        <w:rPr>
          <w:rFonts w:ascii="Times New Roman" w:hAnsi="Times New Roman" w:cs="Times New Roman"/>
        </w:rPr>
        <w:t>al</w:t>
      </w:r>
      <w:r w:rsidRPr="00E869A4">
        <w:rPr>
          <w:rFonts w:ascii="Times New Roman" w:hAnsi="Times New Roman" w:cs="Times New Roman"/>
        </w:rPr>
        <w:t xml:space="preserve">though it has useful elements, the </w:t>
      </w:r>
      <w:r w:rsidR="00B418BB" w:rsidRPr="00E869A4">
        <w:rPr>
          <w:rFonts w:ascii="Times New Roman" w:hAnsi="Times New Roman" w:cs="Times New Roman"/>
        </w:rPr>
        <w:t>FES</w:t>
      </w:r>
      <w:r w:rsidR="008E694B" w:rsidRPr="00E869A4">
        <w:rPr>
          <w:rFonts w:ascii="Times New Roman" w:hAnsi="Times New Roman" w:cs="Times New Roman"/>
        </w:rPr>
        <w:t xml:space="preserve"> theory</w:t>
      </w:r>
      <w:r w:rsidRPr="00E869A4">
        <w:rPr>
          <w:rFonts w:ascii="Times New Roman" w:hAnsi="Times New Roman" w:cs="Times New Roman"/>
        </w:rPr>
        <w:t xml:space="preserve"> is</w:t>
      </w:r>
      <w:r w:rsidR="00F14E49" w:rsidRPr="00E869A4">
        <w:rPr>
          <w:rFonts w:ascii="Times New Roman" w:hAnsi="Times New Roman" w:cs="Times New Roman"/>
        </w:rPr>
        <w:t xml:space="preserve"> </w:t>
      </w:r>
      <w:r w:rsidRPr="00E869A4">
        <w:rPr>
          <w:rFonts w:ascii="Times New Roman" w:hAnsi="Times New Roman" w:cs="Times New Roman"/>
        </w:rPr>
        <w:t xml:space="preserve">more conducive to </w:t>
      </w:r>
      <w:r w:rsidR="00B418BB" w:rsidRPr="00E869A4">
        <w:rPr>
          <w:rFonts w:ascii="Times New Roman" w:hAnsi="Times New Roman" w:cs="Times New Roman"/>
        </w:rPr>
        <w:t>a sociological understanding of</w:t>
      </w:r>
      <w:r w:rsidRPr="00E869A4">
        <w:rPr>
          <w:rFonts w:ascii="Times New Roman" w:hAnsi="Times New Roman" w:cs="Times New Roman"/>
        </w:rPr>
        <w:t xml:space="preserve"> family care management and coping</w:t>
      </w:r>
      <w:r w:rsidR="00B418BB" w:rsidRPr="00E869A4">
        <w:rPr>
          <w:rFonts w:ascii="Times New Roman" w:hAnsi="Times New Roman" w:cs="Times New Roman"/>
        </w:rPr>
        <w:t>. I discuss the FES</w:t>
      </w:r>
      <w:r w:rsidR="008E694B" w:rsidRPr="00E869A4">
        <w:rPr>
          <w:rFonts w:ascii="Times New Roman" w:hAnsi="Times New Roman" w:cs="Times New Roman"/>
        </w:rPr>
        <w:t xml:space="preserve"> theory</w:t>
      </w:r>
      <w:r w:rsidR="00B418BB" w:rsidRPr="00E869A4">
        <w:rPr>
          <w:rFonts w:ascii="Times New Roman" w:hAnsi="Times New Roman" w:cs="Times New Roman"/>
        </w:rPr>
        <w:t xml:space="preserve"> </w:t>
      </w:r>
      <w:r w:rsidRPr="00E869A4">
        <w:rPr>
          <w:rFonts w:ascii="Times New Roman" w:hAnsi="Times New Roman" w:cs="Times New Roman"/>
        </w:rPr>
        <w:t xml:space="preserve">in </w:t>
      </w:r>
      <w:r w:rsidR="00B418BB" w:rsidRPr="00E869A4">
        <w:rPr>
          <w:rFonts w:ascii="Times New Roman" w:hAnsi="Times New Roman" w:cs="Times New Roman"/>
        </w:rPr>
        <w:t xml:space="preserve">more detail in </w:t>
      </w:r>
      <w:r w:rsidRPr="00E869A4">
        <w:rPr>
          <w:rFonts w:ascii="Times New Roman" w:hAnsi="Times New Roman" w:cs="Times New Roman"/>
        </w:rPr>
        <w:t xml:space="preserve">the sub-section that follows. </w:t>
      </w:r>
    </w:p>
    <w:p w14:paraId="323AFBCA" w14:textId="77777777" w:rsidR="00E62065" w:rsidRPr="00E869A4" w:rsidRDefault="00E62065" w:rsidP="00A35FF8">
      <w:pPr>
        <w:rPr>
          <w:rFonts w:ascii="Times New Roman" w:hAnsi="Times New Roman" w:cs="Times New Roman"/>
        </w:rPr>
      </w:pPr>
    </w:p>
    <w:p w14:paraId="1BDA46F5" w14:textId="1FE0DEED" w:rsidR="00E62065" w:rsidRPr="00E869A4" w:rsidRDefault="00E62065" w:rsidP="00E62065">
      <w:pPr>
        <w:pStyle w:val="Heading4"/>
      </w:pPr>
      <w:r w:rsidRPr="00E869A4">
        <w:t>Lifecourse Perspective</w:t>
      </w:r>
    </w:p>
    <w:p w14:paraId="1E353D0F" w14:textId="77777777" w:rsidR="00D968A3" w:rsidRPr="00E869A4" w:rsidRDefault="00D968A3" w:rsidP="00A35FF8">
      <w:pPr>
        <w:rPr>
          <w:rFonts w:ascii="Times New Roman" w:hAnsi="Times New Roman" w:cs="Times New Roman"/>
        </w:rPr>
      </w:pPr>
    </w:p>
    <w:p w14:paraId="7B741E2B" w14:textId="3FEFD5D5"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Another perspective that aligns itself to discussions about coping and family care is the life course </w:t>
      </w:r>
      <w:r w:rsidR="00CE68D0" w:rsidRPr="00E869A4">
        <w:rPr>
          <w:rFonts w:ascii="Times New Roman" w:hAnsi="Times New Roman" w:cs="Times New Roman"/>
        </w:rPr>
        <w:t>perspective, which</w:t>
      </w:r>
      <w:r w:rsidRPr="00E869A4">
        <w:rPr>
          <w:rFonts w:ascii="Times New Roman" w:hAnsi="Times New Roman" w:cs="Times New Roman"/>
        </w:rPr>
        <w:t xml:space="preserve"> was highlighted earlier. It expands on the caregiver history component of Pearlin’s (1990) model and is not limited to a focus on issues of burden and the negative impact of care. It is also more overtly applicable to explaining the experiences of both the caregiver and the </w:t>
      </w:r>
      <w:r w:rsidR="009E2738" w:rsidRPr="00E869A4">
        <w:rPr>
          <w:rFonts w:ascii="Times New Roman" w:hAnsi="Times New Roman" w:cs="Times New Roman"/>
        </w:rPr>
        <w:t>care recipient</w:t>
      </w:r>
      <w:r w:rsidRPr="00E869A4">
        <w:rPr>
          <w:rFonts w:ascii="Times New Roman" w:hAnsi="Times New Roman" w:cs="Times New Roman"/>
        </w:rPr>
        <w:t xml:space="preserve">, and its </w:t>
      </w:r>
      <w:r w:rsidRPr="00E869A4">
        <w:rPr>
          <w:rFonts w:ascii="Times New Roman" w:hAnsi="Times New Roman" w:cs="Times New Roman"/>
        </w:rPr>
        <w:lastRenderedPageBreak/>
        <w:t>concepts (e.g. linked</w:t>
      </w:r>
      <w:r w:rsidR="00F805AD" w:rsidRPr="00E869A4">
        <w:rPr>
          <w:rFonts w:ascii="Times New Roman" w:hAnsi="Times New Roman" w:cs="Times New Roman"/>
        </w:rPr>
        <w:t xml:space="preserve"> lives, </w:t>
      </w:r>
      <w:r w:rsidRPr="00E869A4">
        <w:rPr>
          <w:rFonts w:ascii="Times New Roman" w:hAnsi="Times New Roman" w:cs="Times New Roman"/>
        </w:rPr>
        <w:t>historical time, social pathways, trajectories and transitions, timing of an event, off-timedness and duration) are in alignment with the heterogeneous nature of care experiences (</w:t>
      </w:r>
      <w:r w:rsidR="002225D8" w:rsidRPr="00E869A4">
        <w:rPr>
          <w:rFonts w:ascii="Times New Roman" w:hAnsi="Times New Roman" w:cs="Times New Roman"/>
          <w:szCs w:val="24"/>
        </w:rPr>
        <w:t>Ghosh, Capistrant &amp; Friedemann-Sãnchez</w:t>
      </w:r>
      <w:r w:rsidRPr="00E869A4">
        <w:rPr>
          <w:rFonts w:ascii="Times New Roman" w:hAnsi="Times New Roman" w:cs="Times New Roman"/>
        </w:rPr>
        <w:t xml:space="preserve"> 2017).</w:t>
      </w:r>
    </w:p>
    <w:p w14:paraId="30B660E4" w14:textId="77777777" w:rsidR="00D968A3" w:rsidRPr="00E869A4" w:rsidRDefault="00D968A3" w:rsidP="00A35FF8">
      <w:pPr>
        <w:rPr>
          <w:rFonts w:ascii="Times New Roman" w:hAnsi="Times New Roman" w:cs="Times New Roman"/>
        </w:rPr>
      </w:pPr>
    </w:p>
    <w:p w14:paraId="5FAFDBAD" w14:textId="6DEF73AC" w:rsidR="00855EB2" w:rsidRPr="00E869A4" w:rsidRDefault="00855EB2" w:rsidP="004E2181">
      <w:pPr>
        <w:pStyle w:val="Heading4"/>
      </w:pPr>
      <w:bookmarkStart w:id="234" w:name="_Toc505945232"/>
      <w:r w:rsidRPr="00E869A4">
        <w:t>Family Ecological Systems Perspective</w:t>
      </w:r>
      <w:bookmarkEnd w:id="234"/>
      <w:r w:rsidR="004B391F" w:rsidRPr="00E869A4">
        <w:t xml:space="preserve"> </w:t>
      </w:r>
    </w:p>
    <w:p w14:paraId="788B554F" w14:textId="77777777" w:rsidR="00D968A3" w:rsidRPr="00E869A4" w:rsidRDefault="00D968A3" w:rsidP="0051234F">
      <w:pPr>
        <w:pStyle w:val="112"/>
        <w:rPr>
          <w:color w:val="auto"/>
        </w:rPr>
      </w:pPr>
    </w:p>
    <w:p w14:paraId="1454B342" w14:textId="685857B9" w:rsidR="00D635EE" w:rsidRPr="00E869A4" w:rsidRDefault="00855EB2" w:rsidP="00A35FF8">
      <w:pPr>
        <w:rPr>
          <w:rFonts w:ascii="Times New Roman" w:hAnsi="Times New Roman" w:cs="Times New Roman"/>
        </w:rPr>
      </w:pPr>
      <w:r w:rsidRPr="00E869A4">
        <w:rPr>
          <w:rFonts w:ascii="Times New Roman" w:hAnsi="Times New Roman" w:cs="Times New Roman"/>
        </w:rPr>
        <w:t>Wise and colleagues (2011) adapted ecological systems theory to understand the ecology of care. Their conceptual framework is based on their view of family caregivers as informal care managers</w:t>
      </w:r>
      <w:r w:rsidR="00CE68D0" w:rsidRPr="00E869A4">
        <w:rPr>
          <w:rFonts w:ascii="Times New Roman" w:hAnsi="Times New Roman" w:cs="Times New Roman"/>
        </w:rPr>
        <w:t>,</w:t>
      </w:r>
      <w:r w:rsidRPr="00E869A4">
        <w:rPr>
          <w:rFonts w:ascii="Times New Roman" w:hAnsi="Times New Roman" w:cs="Times New Roman"/>
        </w:rPr>
        <w:t xml:space="preserve"> whose activities are not limited to meeting the physical needs of their older relatives. They also refer to non-family members who are formally trained elder care specialists as formal care managers. </w:t>
      </w:r>
    </w:p>
    <w:p w14:paraId="106DB2B0" w14:textId="77777777" w:rsidR="00D635EE" w:rsidRPr="00E869A4" w:rsidRDefault="00D635EE" w:rsidP="00A35FF8">
      <w:pPr>
        <w:rPr>
          <w:rFonts w:ascii="Times New Roman" w:hAnsi="Times New Roman" w:cs="Times New Roman"/>
        </w:rPr>
      </w:pPr>
    </w:p>
    <w:p w14:paraId="5B6CB6E5" w14:textId="23D4C1C3"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A main benefit of using an ecological systems framework is that it helps to describe and explain how care occurs in several domains </w:t>
      </w:r>
      <w:r w:rsidR="00540C84" w:rsidRPr="00E869A4">
        <w:rPr>
          <w:rFonts w:ascii="Times New Roman" w:hAnsi="Times New Roman" w:cs="Times New Roman"/>
        </w:rPr>
        <w:t>in which</w:t>
      </w:r>
      <w:r w:rsidRPr="00E869A4">
        <w:rPr>
          <w:rFonts w:ascii="Times New Roman" w:hAnsi="Times New Roman" w:cs="Times New Roman"/>
        </w:rPr>
        <w:t xml:space="preserve"> care managers must function</w:t>
      </w:r>
      <w:r w:rsidR="00E62AEA" w:rsidRPr="00E869A4">
        <w:rPr>
          <w:rFonts w:ascii="Times New Roman" w:hAnsi="Times New Roman" w:cs="Times New Roman"/>
        </w:rPr>
        <w:t>, including</w:t>
      </w:r>
      <w:r w:rsidRPr="00E869A4">
        <w:rPr>
          <w:rFonts w:ascii="Times New Roman" w:hAnsi="Times New Roman" w:cs="Times New Roman"/>
        </w:rPr>
        <w:t xml:space="preserve"> the physical, economic, and interpersonal. This framework is also useful for highlighting the influence of the larger socio-cultural </w:t>
      </w:r>
      <w:r w:rsidR="00CE68D0" w:rsidRPr="00E869A4">
        <w:rPr>
          <w:rFonts w:ascii="Times New Roman" w:hAnsi="Times New Roman" w:cs="Times New Roman"/>
        </w:rPr>
        <w:t>environment, which</w:t>
      </w:r>
      <w:r w:rsidRPr="00E869A4">
        <w:rPr>
          <w:rFonts w:ascii="Times New Roman" w:hAnsi="Times New Roman" w:cs="Times New Roman"/>
        </w:rPr>
        <w:t xml:space="preserve"> includes institutions, government, and mass media </w:t>
      </w:r>
      <w:r w:rsidR="00540C84" w:rsidRPr="00E869A4">
        <w:rPr>
          <w:rFonts w:ascii="Times New Roman" w:hAnsi="Times New Roman" w:cs="Times New Roman"/>
        </w:rPr>
        <w:t xml:space="preserve">coverage </w:t>
      </w:r>
      <w:r w:rsidRPr="00E869A4">
        <w:rPr>
          <w:rFonts w:ascii="Times New Roman" w:hAnsi="Times New Roman" w:cs="Times New Roman"/>
        </w:rPr>
        <w:t>on family care. They note</w:t>
      </w:r>
      <w:r w:rsidR="00CE68D0" w:rsidRPr="00E869A4">
        <w:rPr>
          <w:rFonts w:ascii="Times New Roman" w:hAnsi="Times New Roman" w:cs="Times New Roman"/>
        </w:rPr>
        <w:t>d</w:t>
      </w:r>
      <w:r w:rsidRPr="00E869A4">
        <w:rPr>
          <w:rFonts w:ascii="Times New Roman" w:hAnsi="Times New Roman" w:cs="Times New Roman"/>
        </w:rPr>
        <w:t xml:space="preserve"> that care management within this domain involves “balancing resources in the form of assistance or nurturing with demands created by role expectations, reciprocal exchange, and qualification criteria and requirements</w:t>
      </w:r>
      <w:r w:rsidR="00C16AFA" w:rsidRPr="00E869A4">
        <w:rPr>
          <w:rFonts w:ascii="Times New Roman" w:hAnsi="Times New Roman" w:cs="Times New Roman"/>
        </w:rPr>
        <w:t>.</w:t>
      </w:r>
      <w:r w:rsidRPr="00E869A4">
        <w:rPr>
          <w:rFonts w:ascii="Times New Roman" w:hAnsi="Times New Roman" w:cs="Times New Roman"/>
        </w:rPr>
        <w:t>”</w:t>
      </w:r>
      <w:r w:rsidR="00E62AEA" w:rsidRPr="00E869A4">
        <w:rPr>
          <w:rFonts w:ascii="Times New Roman" w:hAnsi="Times New Roman" w:cs="Times New Roman"/>
        </w:rPr>
        <w:t xml:space="preserve"> (Wise et al. 2011)</w:t>
      </w:r>
      <w:r w:rsidRPr="00E869A4">
        <w:rPr>
          <w:rFonts w:ascii="Times New Roman" w:hAnsi="Times New Roman" w:cs="Times New Roman"/>
        </w:rPr>
        <w:t>. Given the need for a holistic approach to understanding care-work, they conceptualised care in two distinct but inter-related ways: 1) care management is the process of the individual’s manipulation of available resources to meet demands</w:t>
      </w:r>
      <w:r w:rsidR="005825AF" w:rsidRPr="00E869A4">
        <w:rPr>
          <w:rFonts w:ascii="Times New Roman" w:hAnsi="Times New Roman" w:cs="Times New Roman"/>
        </w:rPr>
        <w:t>;</w:t>
      </w:r>
      <w:r w:rsidRPr="00E869A4">
        <w:rPr>
          <w:rFonts w:ascii="Times New Roman" w:hAnsi="Times New Roman" w:cs="Times New Roman"/>
        </w:rPr>
        <w:t xml:space="preserve"> and</w:t>
      </w:r>
      <w:r w:rsidR="005825AF" w:rsidRPr="00E869A4">
        <w:rPr>
          <w:rFonts w:ascii="Times New Roman" w:hAnsi="Times New Roman" w:cs="Times New Roman"/>
        </w:rPr>
        <w:t>,</w:t>
      </w:r>
      <w:r w:rsidRPr="00E869A4">
        <w:rPr>
          <w:rFonts w:ascii="Times New Roman" w:hAnsi="Times New Roman" w:cs="Times New Roman"/>
        </w:rPr>
        <w:t xml:space="preserve"> 2) the process and context of care is nested within a multi-dimensional socio-ecological system. </w:t>
      </w:r>
    </w:p>
    <w:p w14:paraId="74B1486E" w14:textId="77777777" w:rsidR="00D968A3" w:rsidRPr="00E869A4" w:rsidRDefault="00D968A3" w:rsidP="00A35FF8">
      <w:pPr>
        <w:rPr>
          <w:rFonts w:ascii="Times New Roman" w:hAnsi="Times New Roman" w:cs="Times New Roman"/>
        </w:rPr>
      </w:pPr>
    </w:p>
    <w:p w14:paraId="15ED26E1" w14:textId="0D42E1B5" w:rsidR="00D968A3" w:rsidRPr="00E869A4" w:rsidRDefault="00855EB2" w:rsidP="00CE68D0">
      <w:r w:rsidRPr="00E869A4">
        <w:rPr>
          <w:rFonts w:ascii="Times New Roman" w:hAnsi="Times New Roman" w:cs="Times New Roman"/>
        </w:rPr>
        <w:t>Care management</w:t>
      </w:r>
      <w:r w:rsidR="00CE68D0" w:rsidRPr="00E869A4">
        <w:rPr>
          <w:rFonts w:ascii="Times New Roman" w:hAnsi="Times New Roman" w:cs="Times New Roman"/>
        </w:rPr>
        <w:t>,</w:t>
      </w:r>
      <w:r w:rsidRPr="00E869A4">
        <w:rPr>
          <w:rFonts w:ascii="Times New Roman" w:hAnsi="Times New Roman" w:cs="Times New Roman"/>
        </w:rPr>
        <w:t xml:space="preserve"> according to this framework</w:t>
      </w:r>
      <w:r w:rsidR="00CE68D0" w:rsidRPr="00E869A4">
        <w:rPr>
          <w:rFonts w:ascii="Times New Roman" w:hAnsi="Times New Roman" w:cs="Times New Roman"/>
        </w:rPr>
        <w:t>,</w:t>
      </w:r>
      <w:r w:rsidRPr="00E869A4">
        <w:rPr>
          <w:rFonts w:ascii="Times New Roman" w:hAnsi="Times New Roman" w:cs="Times New Roman"/>
        </w:rPr>
        <w:t xml:space="preserve"> involves identifying needs/d</w:t>
      </w:r>
      <w:r w:rsidR="00F0538B" w:rsidRPr="00E869A4">
        <w:rPr>
          <w:rFonts w:ascii="Times New Roman" w:hAnsi="Times New Roman" w:cs="Times New Roman"/>
        </w:rPr>
        <w:t xml:space="preserve">emands and available resources </w:t>
      </w:r>
      <w:r w:rsidRPr="00E869A4">
        <w:rPr>
          <w:rFonts w:ascii="Times New Roman" w:hAnsi="Times New Roman" w:cs="Times New Roman"/>
        </w:rPr>
        <w:t xml:space="preserve">and manipulating </w:t>
      </w:r>
      <w:r w:rsidR="00F0579B" w:rsidRPr="00E869A4">
        <w:rPr>
          <w:rFonts w:ascii="Times New Roman" w:hAnsi="Times New Roman" w:cs="Times New Roman"/>
        </w:rPr>
        <w:t xml:space="preserve">those </w:t>
      </w:r>
      <w:r w:rsidRPr="00E869A4">
        <w:rPr>
          <w:rFonts w:ascii="Times New Roman" w:hAnsi="Times New Roman" w:cs="Times New Roman"/>
        </w:rPr>
        <w:t xml:space="preserve">resources to meet demands. This results in </w:t>
      </w:r>
      <w:r w:rsidR="00CE68D0" w:rsidRPr="00E869A4">
        <w:rPr>
          <w:rFonts w:ascii="Times New Roman" w:hAnsi="Times New Roman" w:cs="Times New Roman"/>
        </w:rPr>
        <w:t>change, which</w:t>
      </w:r>
      <w:r w:rsidRPr="00E869A4">
        <w:rPr>
          <w:rFonts w:ascii="Times New Roman" w:hAnsi="Times New Roman" w:cs="Times New Roman"/>
        </w:rPr>
        <w:t xml:space="preserve"> may satisfy or alter demands, as well as supply new insights for more effective management. All of this is set in the context of a dynamic environment of ever-changing demands and resources</w:t>
      </w:r>
      <w:r w:rsidR="00AC2836" w:rsidRPr="00E869A4">
        <w:rPr>
          <w:rFonts w:ascii="Times New Roman" w:hAnsi="Times New Roman" w:cs="Times New Roman"/>
        </w:rPr>
        <w:t xml:space="preserve"> (Figure 3)</w:t>
      </w:r>
      <w:r w:rsidRPr="00E869A4">
        <w:rPr>
          <w:rFonts w:ascii="Times New Roman" w:hAnsi="Times New Roman" w:cs="Times New Roman"/>
        </w:rPr>
        <w:t>.</w:t>
      </w:r>
      <w:r w:rsidR="00AC2836" w:rsidRPr="00E869A4">
        <w:rPr>
          <w:rFonts w:ascii="Times New Roman" w:hAnsi="Times New Roman" w:cs="Times New Roman"/>
        </w:rPr>
        <w:t xml:space="preserve"> T</w:t>
      </w:r>
      <w:r w:rsidRPr="00E869A4">
        <w:rPr>
          <w:rFonts w:ascii="Times New Roman" w:hAnsi="Times New Roman" w:cs="Times New Roman"/>
        </w:rPr>
        <w:t>he process of care management and its concomitant resource flows do</w:t>
      </w:r>
      <w:r w:rsidR="00AC2836" w:rsidRPr="00E869A4">
        <w:rPr>
          <w:rFonts w:ascii="Times New Roman" w:hAnsi="Times New Roman" w:cs="Times New Roman"/>
        </w:rPr>
        <w:t xml:space="preserve"> </w:t>
      </w:r>
      <w:r w:rsidRPr="00E869A4">
        <w:rPr>
          <w:rFonts w:ascii="Times New Roman" w:hAnsi="Times New Roman" w:cs="Times New Roman"/>
        </w:rPr>
        <w:t>not occur in a vacuum. Rather, this management process is set in the context of near and far ecological environments</w:t>
      </w:r>
      <w:r w:rsidR="00CE68D0" w:rsidRPr="00E869A4">
        <w:rPr>
          <w:rFonts w:ascii="Times New Roman" w:hAnsi="Times New Roman" w:cs="Times New Roman"/>
        </w:rPr>
        <w:t>,</w:t>
      </w:r>
      <w:r w:rsidRPr="00E869A4">
        <w:rPr>
          <w:rFonts w:ascii="Times New Roman" w:hAnsi="Times New Roman" w:cs="Times New Roman"/>
        </w:rPr>
        <w:t xml:space="preserve"> as described in </w:t>
      </w:r>
      <w:r w:rsidR="003A7CB3" w:rsidRPr="00E869A4">
        <w:t>Figure 4</w:t>
      </w:r>
      <w:r w:rsidRPr="00E869A4">
        <w:rPr>
          <w:rFonts w:ascii="Times New Roman" w:hAnsi="Times New Roman" w:cs="Times New Roman"/>
        </w:rPr>
        <w:t>.</w:t>
      </w:r>
    </w:p>
    <w:p w14:paraId="5214B5DE" w14:textId="77777777" w:rsidR="000B1D78" w:rsidRPr="00E869A4" w:rsidRDefault="000B1D78">
      <w:pPr>
        <w:spacing w:line="276" w:lineRule="auto"/>
      </w:pPr>
    </w:p>
    <w:p w14:paraId="1C1790CE" w14:textId="77777777" w:rsidR="00C16AFA" w:rsidRPr="00E869A4" w:rsidRDefault="00C16AFA">
      <w:pPr>
        <w:rPr>
          <w:b/>
          <w:iCs/>
        </w:rPr>
      </w:pPr>
      <w:r w:rsidRPr="00E869A4">
        <w:rPr>
          <w:b/>
          <w:i/>
        </w:rPr>
        <w:br w:type="page"/>
      </w:r>
    </w:p>
    <w:p w14:paraId="1C1D5A3A" w14:textId="7D192107" w:rsidR="000B1D78" w:rsidRPr="00E869A4" w:rsidRDefault="000B1D78" w:rsidP="00B264F7">
      <w:pPr>
        <w:pStyle w:val="Caption"/>
        <w:ind w:firstLine="0"/>
        <w:rPr>
          <w:b/>
          <w:i w:val="0"/>
          <w:sz w:val="24"/>
        </w:rPr>
      </w:pPr>
      <w:bookmarkStart w:id="235" w:name="_Toc40436633"/>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3</w:t>
      </w:r>
      <w:r w:rsidR="0026235F" w:rsidRPr="00E869A4">
        <w:rPr>
          <w:b/>
          <w:i w:val="0"/>
          <w:sz w:val="24"/>
        </w:rPr>
        <w:fldChar w:fldCharType="end"/>
      </w:r>
      <w:r w:rsidR="00347C4D" w:rsidRPr="00E869A4">
        <w:rPr>
          <w:b/>
          <w:i w:val="0"/>
          <w:sz w:val="24"/>
        </w:rPr>
        <w:t>:</w:t>
      </w:r>
      <w:r w:rsidRPr="00E869A4">
        <w:rPr>
          <w:b/>
          <w:i w:val="0"/>
          <w:sz w:val="24"/>
        </w:rPr>
        <w:t xml:space="preserve"> Management of Care Process Model</w:t>
      </w:r>
      <w:bookmarkEnd w:id="235"/>
    </w:p>
    <w:p w14:paraId="7F91EC26" w14:textId="77777777" w:rsidR="000B1D78" w:rsidRPr="00E869A4" w:rsidRDefault="000B1D78" w:rsidP="00B264F7">
      <w:pPr>
        <w:spacing w:line="276" w:lineRule="auto"/>
        <w:ind w:firstLine="0"/>
        <w:rPr>
          <w:rFonts w:ascii="Times New Roman" w:hAnsi="Times New Roman" w:cs="Times New Roman"/>
          <w:b/>
          <w:iCs/>
          <w:sz w:val="22"/>
        </w:rPr>
      </w:pPr>
    </w:p>
    <w:p w14:paraId="223D5788" w14:textId="77777777" w:rsidR="00855EB2" w:rsidRPr="00E869A4" w:rsidRDefault="00855EB2" w:rsidP="00B264F7">
      <w:pPr>
        <w:ind w:firstLine="0"/>
        <w:jc w:val="center"/>
        <w:rPr>
          <w:rFonts w:ascii="Times New Roman" w:hAnsi="Times New Roman" w:cs="Times New Roman"/>
        </w:rPr>
      </w:pPr>
      <w:r w:rsidRPr="00E869A4">
        <w:rPr>
          <w:rFonts w:ascii="Times New Roman" w:hAnsi="Times New Roman" w:cs="Times New Roman"/>
          <w:noProof/>
          <w:szCs w:val="24"/>
        </w:rPr>
        <w:drawing>
          <wp:inline distT="0" distB="0" distL="0" distR="0" wp14:anchorId="1A0C9883" wp14:editId="7043AA36">
            <wp:extent cx="4547048" cy="3123760"/>
            <wp:effectExtent l="19050" t="0" r="590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7048" cy="3123760"/>
                    </a:xfrm>
                    <a:prstGeom prst="rect">
                      <a:avLst/>
                    </a:prstGeom>
                    <a:noFill/>
                    <a:ln>
                      <a:noFill/>
                    </a:ln>
                  </pic:spPr>
                </pic:pic>
              </a:graphicData>
            </a:graphic>
          </wp:inline>
        </w:drawing>
      </w:r>
    </w:p>
    <w:p w14:paraId="50ACA55D" w14:textId="77777777" w:rsidR="000B1D78" w:rsidRPr="00E869A4" w:rsidRDefault="000B1D78" w:rsidP="00B264F7">
      <w:pPr>
        <w:ind w:firstLine="0"/>
      </w:pPr>
    </w:p>
    <w:p w14:paraId="7632C461" w14:textId="3755F446" w:rsidR="00D968A3" w:rsidRPr="00E869A4" w:rsidRDefault="00BB0C8E" w:rsidP="00E62AEA">
      <w:pPr>
        <w:rPr>
          <w:rFonts w:ascii="Times New Roman" w:hAnsi="Times New Roman" w:cs="Times New Roman"/>
        </w:rPr>
      </w:pPr>
      <w:r w:rsidRPr="00E869A4">
        <w:t xml:space="preserve">Figure 4 </w:t>
      </w:r>
      <w:r w:rsidR="006364BB" w:rsidRPr="00E869A4">
        <w:t xml:space="preserve"> </w:t>
      </w:r>
      <w:r w:rsidR="00855EB2" w:rsidRPr="00E869A4">
        <w:rPr>
          <w:rFonts w:ascii="Times New Roman" w:hAnsi="Times New Roman" w:cs="Times New Roman"/>
        </w:rPr>
        <w:t xml:space="preserve">consists of three concentric circles representing three levels of the individual’s ecology of care namely: 1) </w:t>
      </w:r>
      <w:r w:rsidR="00855EB2" w:rsidRPr="00E869A4">
        <w:rPr>
          <w:rFonts w:ascii="Times New Roman" w:hAnsi="Times New Roman" w:cs="Times New Roman"/>
          <w:i/>
        </w:rPr>
        <w:t>the innermost (</w:t>
      </w:r>
      <w:r w:rsidR="00FD0E0D" w:rsidRPr="00E869A4">
        <w:rPr>
          <w:rFonts w:ascii="Times New Roman" w:hAnsi="Times New Roman" w:cs="Times New Roman"/>
          <w:i/>
        </w:rPr>
        <w:t xml:space="preserve">Individual) </w:t>
      </w:r>
      <w:r w:rsidR="00B65186" w:rsidRPr="00E869A4">
        <w:rPr>
          <w:rFonts w:ascii="Times New Roman" w:hAnsi="Times New Roman" w:cs="Times New Roman"/>
        </w:rPr>
        <w:t xml:space="preserve">– </w:t>
      </w:r>
      <w:r w:rsidR="00855EB2" w:rsidRPr="00E869A4">
        <w:rPr>
          <w:rFonts w:ascii="Times New Roman" w:hAnsi="Times New Roman" w:cs="Times New Roman"/>
        </w:rPr>
        <w:t xml:space="preserve">an individual may have some measure of direct control but this is contingent upon their knowledge, skills, time, and personal assets;  2) </w:t>
      </w:r>
      <w:r w:rsidR="00855EB2" w:rsidRPr="00E869A4">
        <w:rPr>
          <w:rFonts w:ascii="Times New Roman" w:hAnsi="Times New Roman" w:cs="Times New Roman"/>
          <w:i/>
        </w:rPr>
        <w:t>the middle (Personal</w:t>
      </w:r>
      <w:r w:rsidR="00855EB2" w:rsidRPr="00E869A4">
        <w:rPr>
          <w:rFonts w:ascii="Times New Roman" w:hAnsi="Times New Roman" w:cs="Times New Roman"/>
        </w:rPr>
        <w:t xml:space="preserve">) </w:t>
      </w:r>
      <w:bookmarkStart w:id="236" w:name="_Hlk27831939"/>
      <w:r w:rsidR="00B65186" w:rsidRPr="00E869A4">
        <w:rPr>
          <w:rFonts w:ascii="Times New Roman" w:hAnsi="Times New Roman" w:cs="Times New Roman"/>
        </w:rPr>
        <w:t xml:space="preserve">– </w:t>
      </w:r>
      <w:bookmarkEnd w:id="236"/>
      <w:r w:rsidR="00855EB2" w:rsidRPr="00E869A4">
        <w:rPr>
          <w:rFonts w:ascii="Times New Roman" w:hAnsi="Times New Roman" w:cs="Times New Roman"/>
        </w:rPr>
        <w:t>the relationships contained in this level are not bound by social mores or organi</w:t>
      </w:r>
      <w:r w:rsidR="00305E9B" w:rsidRPr="00E869A4">
        <w:rPr>
          <w:rFonts w:ascii="Times New Roman" w:hAnsi="Times New Roman" w:cs="Times New Roman"/>
        </w:rPr>
        <w:t>s</w:t>
      </w:r>
      <w:r w:rsidR="00855EB2" w:rsidRPr="00E869A4">
        <w:rPr>
          <w:rFonts w:ascii="Times New Roman" w:hAnsi="Times New Roman" w:cs="Times New Roman"/>
        </w:rPr>
        <w:t xml:space="preserve">ation norms, but are organic, developing over time out of informal social exchanges (e.g. neighbours, friends, family, and pets) and, 3) </w:t>
      </w:r>
      <w:r w:rsidR="00855EB2" w:rsidRPr="00E869A4">
        <w:rPr>
          <w:rFonts w:ascii="Times New Roman" w:hAnsi="Times New Roman" w:cs="Times New Roman"/>
          <w:i/>
        </w:rPr>
        <w:t>the outside (Community) level</w:t>
      </w:r>
      <w:r w:rsidR="00855EB2" w:rsidRPr="00E869A4">
        <w:rPr>
          <w:rFonts w:ascii="Times New Roman" w:hAnsi="Times New Roman" w:cs="Times New Roman"/>
        </w:rPr>
        <w:t xml:space="preserve"> </w:t>
      </w:r>
      <w:r w:rsidR="00B65186" w:rsidRPr="00E869A4">
        <w:rPr>
          <w:rFonts w:ascii="Times New Roman" w:hAnsi="Times New Roman" w:cs="Times New Roman"/>
        </w:rPr>
        <w:t xml:space="preserve">– </w:t>
      </w:r>
      <w:r w:rsidR="00855EB2" w:rsidRPr="00E869A4">
        <w:rPr>
          <w:rFonts w:ascii="Times New Roman" w:hAnsi="Times New Roman" w:cs="Times New Roman"/>
        </w:rPr>
        <w:t>characteri</w:t>
      </w:r>
      <w:r w:rsidR="00305E9B" w:rsidRPr="00E869A4">
        <w:rPr>
          <w:rFonts w:ascii="Times New Roman" w:hAnsi="Times New Roman" w:cs="Times New Roman"/>
        </w:rPr>
        <w:t>s</w:t>
      </w:r>
      <w:r w:rsidR="00855EB2" w:rsidRPr="00E869A4">
        <w:rPr>
          <w:rFonts w:ascii="Times New Roman" w:hAnsi="Times New Roman" w:cs="Times New Roman"/>
        </w:rPr>
        <w:t xml:space="preserve">ed by institutional boundaries and more formal interaction and structured relationships (e.g. faith communities, school, work, social services, health care providers, legal services, and other institutions). The bi-directional arrows across the boundaries of these levels represent the exchange of information and interaction between each level. The concentric circles are placed on a </w:t>
      </w:r>
      <w:r w:rsidR="00FD0E0D" w:rsidRPr="00E869A4">
        <w:rPr>
          <w:rFonts w:ascii="Times New Roman" w:hAnsi="Times New Roman" w:cs="Times New Roman"/>
        </w:rPr>
        <w:t>broader plane representing the m</w:t>
      </w:r>
      <w:r w:rsidR="00855EB2" w:rsidRPr="00E869A4">
        <w:rPr>
          <w:rFonts w:ascii="Times New Roman" w:hAnsi="Times New Roman" w:cs="Times New Roman"/>
        </w:rPr>
        <w:t xml:space="preserve">acro-environment </w:t>
      </w:r>
      <w:r w:rsidR="00CE68D0" w:rsidRPr="00E869A4">
        <w:rPr>
          <w:rFonts w:ascii="Times New Roman" w:hAnsi="Times New Roman" w:cs="Times New Roman"/>
        </w:rPr>
        <w:t>context, which</w:t>
      </w:r>
      <w:r w:rsidR="00855EB2" w:rsidRPr="00E869A4">
        <w:rPr>
          <w:rFonts w:ascii="Times New Roman" w:hAnsi="Times New Roman" w:cs="Times New Roman"/>
        </w:rPr>
        <w:t xml:space="preserve"> includes economic conditions, government, environmental conditions, mass media, and policy.</w:t>
      </w:r>
      <w:bookmarkStart w:id="237" w:name="_Ref505942785"/>
    </w:p>
    <w:p w14:paraId="058E1430" w14:textId="77777777" w:rsidR="00E62AEA" w:rsidRPr="00E869A4" w:rsidRDefault="00E62AEA" w:rsidP="00E62AEA">
      <w:pPr>
        <w:rPr>
          <w:rFonts w:ascii="Times New Roman" w:hAnsi="Times New Roman" w:cs="Times New Roman"/>
          <w:b/>
          <w:iCs/>
          <w:sz w:val="22"/>
        </w:rPr>
      </w:pPr>
    </w:p>
    <w:bookmarkEnd w:id="237"/>
    <w:p w14:paraId="7B83EC7B" w14:textId="77777777" w:rsidR="001C25D1" w:rsidRPr="00E869A4" w:rsidRDefault="001C25D1">
      <w:pPr>
        <w:rPr>
          <w:b/>
          <w:iCs/>
        </w:rPr>
      </w:pPr>
      <w:r w:rsidRPr="00E869A4">
        <w:rPr>
          <w:b/>
          <w:i/>
        </w:rPr>
        <w:br w:type="page"/>
      </w:r>
    </w:p>
    <w:p w14:paraId="67B2AFFE" w14:textId="062CBB46" w:rsidR="00AC6FA4" w:rsidRPr="00E869A4" w:rsidRDefault="00AC6FA4" w:rsidP="00B264F7">
      <w:pPr>
        <w:pStyle w:val="Caption"/>
        <w:ind w:firstLine="0"/>
        <w:rPr>
          <w:b/>
          <w:i w:val="0"/>
          <w:sz w:val="24"/>
        </w:rPr>
      </w:pPr>
      <w:bookmarkStart w:id="238" w:name="_Toc40436634"/>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4</w:t>
      </w:r>
      <w:r w:rsidR="0026235F" w:rsidRPr="00E869A4">
        <w:rPr>
          <w:b/>
          <w:i w:val="0"/>
          <w:sz w:val="24"/>
        </w:rPr>
        <w:fldChar w:fldCharType="end"/>
      </w:r>
      <w:r w:rsidR="00347C4D" w:rsidRPr="00E869A4">
        <w:rPr>
          <w:b/>
          <w:i w:val="0"/>
          <w:sz w:val="24"/>
        </w:rPr>
        <w:t>:</w:t>
      </w:r>
      <w:r w:rsidRPr="00E869A4">
        <w:rPr>
          <w:b/>
          <w:i w:val="0"/>
          <w:sz w:val="24"/>
        </w:rPr>
        <w:t xml:space="preserve"> Ecology of Care</w:t>
      </w:r>
      <w:bookmarkEnd w:id="238"/>
    </w:p>
    <w:p w14:paraId="495087EB" w14:textId="77777777" w:rsidR="00855EB2" w:rsidRPr="00E869A4" w:rsidRDefault="00855EB2" w:rsidP="00B264F7">
      <w:pPr>
        <w:ind w:firstLine="0"/>
        <w:jc w:val="center"/>
        <w:rPr>
          <w:rFonts w:ascii="Times New Roman" w:hAnsi="Times New Roman" w:cs="Times New Roman"/>
        </w:rPr>
      </w:pPr>
      <w:r w:rsidRPr="00E869A4">
        <w:rPr>
          <w:rFonts w:ascii="Times New Roman" w:hAnsi="Times New Roman" w:cs="Times New Roman"/>
          <w:noProof/>
        </w:rPr>
        <w:drawing>
          <wp:inline distT="0" distB="0" distL="0" distR="0" wp14:anchorId="6EE5C48A" wp14:editId="7FB1C3C3">
            <wp:extent cx="5236623" cy="351366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gical Systems Fw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6623" cy="3513667"/>
                    </a:xfrm>
                    <a:prstGeom prst="rect">
                      <a:avLst/>
                    </a:prstGeom>
                  </pic:spPr>
                </pic:pic>
              </a:graphicData>
            </a:graphic>
          </wp:inline>
        </w:drawing>
      </w:r>
    </w:p>
    <w:p w14:paraId="5D5D399D" w14:textId="0EC54213" w:rsidR="002B3348" w:rsidRPr="00E869A4" w:rsidRDefault="00855EB2" w:rsidP="00A35FF8">
      <w:pPr>
        <w:rPr>
          <w:rFonts w:ascii="Times New Roman" w:hAnsi="Times New Roman" w:cs="Times New Roman"/>
        </w:rPr>
      </w:pPr>
      <w:r w:rsidRPr="00E869A4">
        <w:rPr>
          <w:rFonts w:ascii="Times New Roman" w:hAnsi="Times New Roman" w:cs="Times New Roman"/>
        </w:rPr>
        <w:t xml:space="preserve">Several family care studies have employed an ecological systems framework including </w:t>
      </w:r>
      <w:r w:rsidR="00FD0E0D" w:rsidRPr="00E869A4">
        <w:rPr>
          <w:rFonts w:ascii="Times New Roman" w:hAnsi="Times New Roman" w:cs="Times New Roman"/>
        </w:rPr>
        <w:t xml:space="preserve">Chandran, Corbin and Shillam </w:t>
      </w:r>
      <w:r w:rsidRPr="00E869A4">
        <w:rPr>
          <w:rFonts w:ascii="Times New Roman" w:hAnsi="Times New Roman" w:cs="Times New Roman"/>
        </w:rPr>
        <w:t xml:space="preserve">(2016), </w:t>
      </w:r>
      <w:r w:rsidR="00FD0E0D" w:rsidRPr="00E869A4">
        <w:rPr>
          <w:rFonts w:ascii="Times New Roman" w:hAnsi="Times New Roman" w:cs="Times New Roman"/>
        </w:rPr>
        <w:t xml:space="preserve">Eckenweiler (2007), </w:t>
      </w:r>
      <w:r w:rsidRPr="00E869A4">
        <w:rPr>
          <w:rFonts w:ascii="Times New Roman" w:hAnsi="Times New Roman" w:cs="Times New Roman"/>
        </w:rPr>
        <w:t>Gree</w:t>
      </w:r>
      <w:r w:rsidR="00FD0E0D" w:rsidRPr="00E869A4">
        <w:rPr>
          <w:rFonts w:ascii="Times New Roman" w:hAnsi="Times New Roman" w:cs="Times New Roman"/>
        </w:rPr>
        <w:t>nfield (2011), and Wilder (2010)</w:t>
      </w:r>
      <w:r w:rsidRPr="00E869A4">
        <w:rPr>
          <w:rFonts w:ascii="Times New Roman" w:hAnsi="Times New Roman" w:cs="Times New Roman"/>
        </w:rPr>
        <w:t>. According to Greenfield (2011), ecological systems theory orient attention to dynamic person</w:t>
      </w:r>
      <w:r w:rsidR="00B65186" w:rsidRPr="00E869A4">
        <w:rPr>
          <w:rFonts w:ascii="Times New Roman" w:hAnsi="Times New Roman" w:cs="Times New Roman"/>
        </w:rPr>
        <w:t>-</w:t>
      </w:r>
      <w:r w:rsidRPr="00E869A4">
        <w:rPr>
          <w:rFonts w:ascii="Times New Roman" w:hAnsi="Times New Roman" w:cs="Times New Roman"/>
        </w:rPr>
        <w:t xml:space="preserve">environment processes. She employed the framework to describe the similarities and differences in a range of programs identified as </w:t>
      </w:r>
      <w:r w:rsidR="00DD683D" w:rsidRPr="00E869A4">
        <w:rPr>
          <w:rFonts w:ascii="Times New Roman" w:hAnsi="Times New Roman" w:cs="Times New Roman"/>
        </w:rPr>
        <w:t>ageing</w:t>
      </w:r>
      <w:r w:rsidRPr="00E869A4">
        <w:rPr>
          <w:rFonts w:ascii="Times New Roman" w:hAnsi="Times New Roman" w:cs="Times New Roman"/>
        </w:rPr>
        <w:t>-in-place initiatives in the USA. Eckenweiler asserted that an ecological perspective is useful for illustrating the ways in which the world of caregiving, usually seen as a set of disparate parts, is in fact a complex whole. I am of the view that the ecological systems framework as expressed by Wise and colleagues (2011) is particularly useful for the current study</w:t>
      </w:r>
      <w:r w:rsidR="00305E9B" w:rsidRPr="00E869A4">
        <w:rPr>
          <w:rFonts w:ascii="Times New Roman" w:hAnsi="Times New Roman" w:cs="Times New Roman"/>
        </w:rPr>
        <w:t>: t</w:t>
      </w:r>
      <w:r w:rsidRPr="00E869A4">
        <w:rPr>
          <w:rFonts w:ascii="Times New Roman" w:hAnsi="Times New Roman" w:cs="Times New Roman"/>
        </w:rPr>
        <w:t xml:space="preserve">heir use of the principle of care management is directly aligned to the focus of this research. </w:t>
      </w:r>
    </w:p>
    <w:p w14:paraId="63488456" w14:textId="77777777" w:rsidR="0050081A" w:rsidRPr="00E869A4" w:rsidRDefault="0050081A" w:rsidP="00A35FF8">
      <w:pPr>
        <w:rPr>
          <w:rFonts w:ascii="Times New Roman" w:hAnsi="Times New Roman" w:cs="Times New Roman"/>
        </w:rPr>
      </w:pPr>
    </w:p>
    <w:p w14:paraId="5C7815DF" w14:textId="74CD030A" w:rsidR="00855EB2" w:rsidRPr="00E869A4" w:rsidRDefault="00E9231D" w:rsidP="005C449C">
      <w:pPr>
        <w:pStyle w:val="Heading3"/>
      </w:pPr>
      <w:bookmarkStart w:id="239" w:name="_Toc40436503"/>
      <w:r w:rsidRPr="00E869A4">
        <w:t>4</w:t>
      </w:r>
      <w:r w:rsidR="00E00818" w:rsidRPr="00E869A4">
        <w:t>.2.3     Key Definitions</w:t>
      </w:r>
      <w:bookmarkEnd w:id="239"/>
    </w:p>
    <w:p w14:paraId="05EC040D" w14:textId="77777777" w:rsidR="00D968A3" w:rsidRPr="00E869A4" w:rsidRDefault="00D968A3" w:rsidP="0051234F">
      <w:pPr>
        <w:pStyle w:val="112"/>
        <w:rPr>
          <w:color w:val="auto"/>
        </w:rPr>
      </w:pPr>
    </w:p>
    <w:p w14:paraId="4A6419C0" w14:textId="0DEEF83E" w:rsidR="00D968A3" w:rsidRPr="00E869A4" w:rsidRDefault="00855EB2" w:rsidP="00A35FF8">
      <w:pPr>
        <w:rPr>
          <w:rFonts w:ascii="Times New Roman" w:hAnsi="Times New Roman" w:cs="Times New Roman"/>
        </w:rPr>
      </w:pPr>
      <w:r w:rsidRPr="00E869A4">
        <w:rPr>
          <w:rFonts w:ascii="Times New Roman" w:hAnsi="Times New Roman" w:cs="Times New Roman"/>
        </w:rPr>
        <w:t xml:space="preserve">From my review of the literature, I have chosen to define care management strategies as </w:t>
      </w:r>
      <w:r w:rsidR="003D5012" w:rsidRPr="00E869A4">
        <w:rPr>
          <w:rFonts w:ascii="Times New Roman" w:hAnsi="Times New Roman" w:cs="Times New Roman"/>
          <w:i/>
        </w:rPr>
        <w:t>routini</w:t>
      </w:r>
      <w:r w:rsidR="00F0538B" w:rsidRPr="00E869A4">
        <w:rPr>
          <w:rFonts w:ascii="Times New Roman" w:hAnsi="Times New Roman" w:cs="Times New Roman"/>
          <w:i/>
        </w:rPr>
        <w:t>s</w:t>
      </w:r>
      <w:r w:rsidR="003D5012" w:rsidRPr="00E869A4">
        <w:rPr>
          <w:rFonts w:ascii="Times New Roman" w:hAnsi="Times New Roman" w:cs="Times New Roman"/>
          <w:i/>
        </w:rPr>
        <w:t>ed actions or behaviours</w:t>
      </w:r>
      <w:r w:rsidR="003D5012" w:rsidRPr="00E869A4">
        <w:rPr>
          <w:rFonts w:ascii="Times New Roman" w:hAnsi="Times New Roman" w:cs="Times New Roman"/>
        </w:rPr>
        <w:t xml:space="preserve"> </w:t>
      </w:r>
      <w:r w:rsidR="0050081A" w:rsidRPr="00E869A4">
        <w:rPr>
          <w:rFonts w:ascii="Times New Roman" w:hAnsi="Times New Roman" w:cs="Times New Roman"/>
        </w:rPr>
        <w:t>(Aldwin 2007; B</w:t>
      </w:r>
      <w:r w:rsidR="003D5012" w:rsidRPr="00E869A4">
        <w:rPr>
          <w:rFonts w:ascii="Times New Roman" w:hAnsi="Times New Roman" w:cs="Times New Roman"/>
        </w:rPr>
        <w:t>ury</w:t>
      </w:r>
      <w:r w:rsidR="0050081A" w:rsidRPr="00E869A4">
        <w:rPr>
          <w:rFonts w:ascii="Times New Roman" w:hAnsi="Times New Roman" w:cs="Times New Roman"/>
        </w:rPr>
        <w:t xml:space="preserve"> 1991</w:t>
      </w:r>
      <w:r w:rsidR="003D5012" w:rsidRPr="00E869A4">
        <w:rPr>
          <w:rFonts w:ascii="Times New Roman" w:hAnsi="Times New Roman" w:cs="Times New Roman"/>
        </w:rPr>
        <w:t xml:space="preserve">) or what some refer to as </w:t>
      </w:r>
      <w:r w:rsidR="003D5012" w:rsidRPr="00E869A4">
        <w:rPr>
          <w:rFonts w:ascii="Times New Roman" w:hAnsi="Times New Roman" w:cs="Times New Roman"/>
          <w:i/>
        </w:rPr>
        <w:t xml:space="preserve">external </w:t>
      </w:r>
      <w:r w:rsidR="00934743" w:rsidRPr="00E869A4">
        <w:rPr>
          <w:rFonts w:ascii="Times New Roman" w:hAnsi="Times New Roman" w:cs="Times New Roman"/>
          <w:i/>
        </w:rPr>
        <w:t>coping strategies</w:t>
      </w:r>
      <w:r w:rsidR="00934743" w:rsidRPr="00E869A4">
        <w:rPr>
          <w:rFonts w:ascii="Times New Roman" w:hAnsi="Times New Roman" w:cs="Times New Roman"/>
        </w:rPr>
        <w:t xml:space="preserve"> (Gitlin et al.</w:t>
      </w:r>
      <w:r w:rsidR="003D5012" w:rsidRPr="00E869A4">
        <w:rPr>
          <w:rFonts w:ascii="Times New Roman" w:hAnsi="Times New Roman" w:cs="Times New Roman"/>
        </w:rPr>
        <w:t xml:space="preserve"> 2002). It involves </w:t>
      </w:r>
      <w:r w:rsidR="0050081A" w:rsidRPr="00E869A4">
        <w:rPr>
          <w:rFonts w:ascii="Times New Roman" w:hAnsi="Times New Roman" w:cs="Times New Roman"/>
        </w:rPr>
        <w:t>“</w:t>
      </w:r>
      <w:r w:rsidR="003D5012" w:rsidRPr="00E869A4">
        <w:rPr>
          <w:rFonts w:ascii="Times New Roman" w:hAnsi="Times New Roman" w:cs="Times New Roman"/>
        </w:rPr>
        <w:t>identifying needs/demands and available resources, and manipulating resources to meet demands</w:t>
      </w:r>
      <w:r w:rsidR="001C25D1" w:rsidRPr="00E869A4">
        <w:rPr>
          <w:rFonts w:ascii="Times New Roman" w:hAnsi="Times New Roman" w:cs="Times New Roman"/>
        </w:rPr>
        <w:t>.</w:t>
      </w:r>
      <w:r w:rsidR="0050081A" w:rsidRPr="00E869A4">
        <w:rPr>
          <w:rFonts w:ascii="Times New Roman" w:hAnsi="Times New Roman" w:cs="Times New Roman"/>
        </w:rPr>
        <w:t>”</w:t>
      </w:r>
      <w:r w:rsidR="003D5012" w:rsidRPr="00E869A4">
        <w:rPr>
          <w:rFonts w:ascii="Times New Roman" w:hAnsi="Times New Roman" w:cs="Times New Roman"/>
        </w:rPr>
        <w:t xml:space="preserve"> (Wise et al</w:t>
      </w:r>
      <w:r w:rsidR="00934743" w:rsidRPr="00E869A4">
        <w:rPr>
          <w:rFonts w:ascii="Times New Roman" w:hAnsi="Times New Roman" w:cs="Times New Roman"/>
        </w:rPr>
        <w:t>.</w:t>
      </w:r>
      <w:r w:rsidR="003D5012" w:rsidRPr="00E869A4">
        <w:rPr>
          <w:rFonts w:ascii="Times New Roman" w:hAnsi="Times New Roman" w:cs="Times New Roman"/>
        </w:rPr>
        <w:t xml:space="preserve"> 2011</w:t>
      </w:r>
      <w:r w:rsidR="00BA5F1C" w:rsidRPr="00E869A4">
        <w:rPr>
          <w:rFonts w:ascii="Times New Roman" w:hAnsi="Times New Roman" w:cs="Times New Roman"/>
        </w:rPr>
        <w:t>)</w:t>
      </w:r>
      <w:r w:rsidRPr="00E869A4">
        <w:rPr>
          <w:rFonts w:ascii="Times New Roman" w:hAnsi="Times New Roman" w:cs="Times New Roman"/>
        </w:rPr>
        <w:t xml:space="preserve">.  Coping on the other hand, refers to </w:t>
      </w:r>
      <w:r w:rsidR="003D5012" w:rsidRPr="00E869A4">
        <w:rPr>
          <w:rFonts w:ascii="Times New Roman" w:hAnsi="Times New Roman" w:cs="Times New Roman"/>
          <w:i/>
        </w:rPr>
        <w:t xml:space="preserve">internal strategies </w:t>
      </w:r>
      <w:r w:rsidR="003D5012" w:rsidRPr="00E869A4">
        <w:rPr>
          <w:rFonts w:ascii="Times New Roman" w:hAnsi="Times New Roman" w:cs="Times New Roman"/>
        </w:rPr>
        <w:lastRenderedPageBreak/>
        <w:t>such as finding meaning through religious, spiritual or moral reasoning, humour, creativity, resourcefulness, assertiveness, confidence and perseverance (</w:t>
      </w:r>
      <w:r w:rsidR="00BA5F1C" w:rsidRPr="00E869A4">
        <w:rPr>
          <w:rFonts w:ascii="Times New Roman" w:hAnsi="Times New Roman" w:cs="Times New Roman"/>
        </w:rPr>
        <w:t xml:space="preserve">adapted from </w:t>
      </w:r>
      <w:r w:rsidR="003D5012" w:rsidRPr="00E869A4">
        <w:rPr>
          <w:rFonts w:ascii="Times New Roman" w:hAnsi="Times New Roman" w:cs="Times New Roman"/>
        </w:rPr>
        <w:t>Gitlin et al</w:t>
      </w:r>
      <w:r w:rsidR="00934743" w:rsidRPr="00E869A4">
        <w:rPr>
          <w:rFonts w:ascii="Times New Roman" w:hAnsi="Times New Roman" w:cs="Times New Roman"/>
        </w:rPr>
        <w:t>.</w:t>
      </w:r>
      <w:r w:rsidR="00B430F4" w:rsidRPr="00E869A4">
        <w:rPr>
          <w:rFonts w:ascii="Times New Roman" w:hAnsi="Times New Roman" w:cs="Times New Roman"/>
        </w:rPr>
        <w:t xml:space="preserve"> 2002</w:t>
      </w:r>
      <w:r w:rsidR="00DD5A28" w:rsidRPr="00E869A4">
        <w:rPr>
          <w:rFonts w:ascii="Times New Roman" w:hAnsi="Times New Roman" w:cs="Times New Roman"/>
        </w:rPr>
        <w:t xml:space="preserve">, p. </w:t>
      </w:r>
      <w:r w:rsidR="00BA5F1C" w:rsidRPr="00E869A4">
        <w:rPr>
          <w:rFonts w:ascii="Times New Roman" w:hAnsi="Times New Roman" w:cs="Times New Roman"/>
        </w:rPr>
        <w:t>61</w:t>
      </w:r>
      <w:r w:rsidR="00B430F4" w:rsidRPr="00E869A4">
        <w:rPr>
          <w:rFonts w:ascii="Times New Roman" w:hAnsi="Times New Roman" w:cs="Times New Roman"/>
        </w:rPr>
        <w:t>)</w:t>
      </w:r>
      <w:r w:rsidR="00DD5A28" w:rsidRPr="00E869A4">
        <w:rPr>
          <w:rFonts w:ascii="Times New Roman" w:hAnsi="Times New Roman" w:cs="Times New Roman"/>
        </w:rPr>
        <w:t>.</w:t>
      </w:r>
    </w:p>
    <w:p w14:paraId="7D3CA8F9" w14:textId="77777777" w:rsidR="00855EB2" w:rsidRPr="00E869A4" w:rsidRDefault="00855EB2" w:rsidP="00A35FF8">
      <w:pPr>
        <w:rPr>
          <w:rFonts w:ascii="Times New Roman" w:hAnsi="Times New Roman" w:cs="Times New Roman"/>
        </w:rPr>
      </w:pPr>
      <w:r w:rsidRPr="00E869A4">
        <w:rPr>
          <w:rFonts w:ascii="Times New Roman" w:hAnsi="Times New Roman" w:cs="Times New Roman"/>
        </w:rPr>
        <w:t xml:space="preserve"> </w:t>
      </w:r>
    </w:p>
    <w:p w14:paraId="1B2B4A93" w14:textId="6090E2E8" w:rsidR="00855EB2" w:rsidRPr="00E869A4" w:rsidRDefault="00E9231D" w:rsidP="00175C3E">
      <w:pPr>
        <w:pStyle w:val="Heading2"/>
      </w:pPr>
      <w:bookmarkStart w:id="240" w:name="_Toc40436504"/>
      <w:r w:rsidRPr="00E869A4">
        <w:t>4</w:t>
      </w:r>
      <w:r w:rsidR="00E00818" w:rsidRPr="00E869A4">
        <w:t>.</w:t>
      </w:r>
      <w:r w:rsidR="00804008" w:rsidRPr="00E869A4">
        <w:t xml:space="preserve">3 </w:t>
      </w:r>
      <w:r w:rsidR="00346437" w:rsidRPr="00E869A4">
        <w:t>CONCLUSION</w:t>
      </w:r>
      <w:bookmarkEnd w:id="240"/>
    </w:p>
    <w:p w14:paraId="66D8B574" w14:textId="77777777" w:rsidR="00D968A3" w:rsidRPr="00E869A4" w:rsidRDefault="00D968A3" w:rsidP="0051234F">
      <w:pPr>
        <w:pStyle w:val="112"/>
        <w:rPr>
          <w:color w:val="auto"/>
        </w:rPr>
      </w:pPr>
    </w:p>
    <w:p w14:paraId="22B60AFE" w14:textId="5AC46157" w:rsidR="00855EB2" w:rsidRPr="00E869A4" w:rsidRDefault="00855EB2" w:rsidP="00A35FF8">
      <w:pPr>
        <w:rPr>
          <w:rFonts w:ascii="Times New Roman" w:eastAsiaTheme="majorEastAsia" w:hAnsi="Times New Roman" w:cs="Times New Roman"/>
          <w:b/>
          <w:bCs/>
          <w:caps/>
          <w:sz w:val="28"/>
          <w:szCs w:val="28"/>
          <w:u w:val="single"/>
        </w:rPr>
      </w:pPr>
      <w:r w:rsidRPr="00E869A4">
        <w:rPr>
          <w:rFonts w:ascii="Times New Roman" w:hAnsi="Times New Roman" w:cs="Times New Roman"/>
        </w:rPr>
        <w:t>The conceptualisation of coping and care management is at times problematic given the multiple ways in which the concept has been defined by social scientists</w:t>
      </w:r>
      <w:r w:rsidR="00CE68D0" w:rsidRPr="00E869A4">
        <w:rPr>
          <w:rFonts w:ascii="Times New Roman" w:hAnsi="Times New Roman" w:cs="Times New Roman"/>
        </w:rPr>
        <w:t>,</w:t>
      </w:r>
      <w:r w:rsidRPr="00E869A4">
        <w:rPr>
          <w:rFonts w:ascii="Times New Roman" w:hAnsi="Times New Roman" w:cs="Times New Roman"/>
        </w:rPr>
        <w:t xml:space="preserve"> and </w:t>
      </w:r>
      <w:r w:rsidR="00CE68D0" w:rsidRPr="00E869A4">
        <w:rPr>
          <w:rFonts w:ascii="Times New Roman" w:hAnsi="Times New Roman" w:cs="Times New Roman"/>
        </w:rPr>
        <w:t xml:space="preserve">the </w:t>
      </w:r>
      <w:r w:rsidRPr="00E869A4">
        <w:rPr>
          <w:rFonts w:ascii="Times New Roman" w:hAnsi="Times New Roman" w:cs="Times New Roman"/>
        </w:rPr>
        <w:t>alternative terms that are commonly used. Nonetheless, there is a wealth of knowledge that can be obtained fr</w:t>
      </w:r>
      <w:r w:rsidR="00CE68D0" w:rsidRPr="00E869A4">
        <w:rPr>
          <w:rFonts w:ascii="Times New Roman" w:hAnsi="Times New Roman" w:cs="Times New Roman"/>
        </w:rPr>
        <w:t xml:space="preserve">om these debates on terminology. Strategies such as acceptance, finding meaning, humour, creativity, resourcefulness, assertiveness, confidence and </w:t>
      </w:r>
      <w:r w:rsidR="009E087D" w:rsidRPr="00E869A4">
        <w:rPr>
          <w:rFonts w:ascii="Times New Roman" w:hAnsi="Times New Roman" w:cs="Times New Roman"/>
        </w:rPr>
        <w:t>perseverance, which are used within other social science disciplines,</w:t>
      </w:r>
      <w:r w:rsidR="00CE68D0" w:rsidRPr="00E869A4">
        <w:rPr>
          <w:rFonts w:ascii="Times New Roman" w:hAnsi="Times New Roman" w:cs="Times New Roman"/>
        </w:rPr>
        <w:t xml:space="preserve"> are also beneficial to the </w:t>
      </w:r>
      <w:r w:rsidR="009E087D" w:rsidRPr="00E869A4">
        <w:rPr>
          <w:rFonts w:ascii="Times New Roman" w:hAnsi="Times New Roman" w:cs="Times New Roman"/>
        </w:rPr>
        <w:t>sociological discourse</w:t>
      </w:r>
      <w:r w:rsidR="00CE68D0" w:rsidRPr="00E869A4">
        <w:rPr>
          <w:rFonts w:ascii="Times New Roman" w:hAnsi="Times New Roman" w:cs="Times New Roman"/>
        </w:rPr>
        <w:t xml:space="preserve">. </w:t>
      </w:r>
      <w:r w:rsidRPr="00E869A4">
        <w:rPr>
          <w:rFonts w:ascii="Times New Roman" w:hAnsi="Times New Roman" w:cs="Times New Roman"/>
        </w:rPr>
        <w:t>At the same time, sociology has a distinct contribution that can be made to understanding coping and family care management. The ecological systems framework is particularly helpful in this regard</w:t>
      </w:r>
      <w:r w:rsidR="00CE68D0" w:rsidRPr="00E869A4">
        <w:rPr>
          <w:rFonts w:ascii="Times New Roman" w:hAnsi="Times New Roman" w:cs="Times New Roman"/>
        </w:rPr>
        <w:t>,</w:t>
      </w:r>
      <w:r w:rsidRPr="00E869A4">
        <w:rPr>
          <w:rFonts w:ascii="Times New Roman" w:hAnsi="Times New Roman" w:cs="Times New Roman"/>
        </w:rPr>
        <w:t xml:space="preserve"> as it allows for focused attention on the structural and interactional aspects of coping and care management at various levels of investigation i.e. the macro, meso and micro levels. </w:t>
      </w:r>
      <w:r w:rsidRPr="00E869A4">
        <w:rPr>
          <w:rFonts w:ascii="Times New Roman" w:hAnsi="Times New Roman" w:cs="Times New Roman"/>
        </w:rPr>
        <w:br w:type="page"/>
      </w:r>
    </w:p>
    <w:p w14:paraId="7583D87A" w14:textId="60E3F17D" w:rsidR="00A729AE" w:rsidRPr="00E869A4" w:rsidRDefault="00C03772" w:rsidP="00D20B2D">
      <w:pPr>
        <w:pStyle w:val="Heading1"/>
      </w:pPr>
      <w:bookmarkStart w:id="241" w:name="_Toc40436505"/>
      <w:r w:rsidRPr="00E869A4">
        <w:lastRenderedPageBreak/>
        <w:t xml:space="preserve">CHAPTER </w:t>
      </w:r>
      <w:r w:rsidR="007E0B8D" w:rsidRPr="00E869A4">
        <w:t>5</w:t>
      </w:r>
      <w:r w:rsidRPr="00E869A4">
        <w:t xml:space="preserve"> – METHODOLOGY</w:t>
      </w:r>
      <w:bookmarkStart w:id="242" w:name="_Toc508858739"/>
      <w:bookmarkEnd w:id="241"/>
    </w:p>
    <w:p w14:paraId="5E14B6A1" w14:textId="77777777" w:rsidR="00D968A3" w:rsidRPr="00E869A4" w:rsidRDefault="00D968A3" w:rsidP="00D968A3"/>
    <w:p w14:paraId="5BAF377F" w14:textId="78191922" w:rsidR="00C03772" w:rsidRPr="00E869A4" w:rsidRDefault="00E9231D" w:rsidP="00175C3E">
      <w:pPr>
        <w:pStyle w:val="Heading2"/>
      </w:pPr>
      <w:bookmarkStart w:id="243" w:name="_Toc40436506"/>
      <w:r w:rsidRPr="00E869A4">
        <w:t>5</w:t>
      </w:r>
      <w:r w:rsidR="00260EFE" w:rsidRPr="00E869A4">
        <w:t xml:space="preserve">.1 </w:t>
      </w:r>
      <w:r w:rsidR="00C03772" w:rsidRPr="00E869A4">
        <w:t>INTRODUCTION</w:t>
      </w:r>
      <w:bookmarkEnd w:id="242"/>
      <w:bookmarkEnd w:id="243"/>
    </w:p>
    <w:p w14:paraId="6BF0EA63" w14:textId="77777777" w:rsidR="00D968A3" w:rsidRPr="00E869A4" w:rsidRDefault="00D968A3" w:rsidP="0051234F">
      <w:pPr>
        <w:pStyle w:val="112"/>
        <w:rPr>
          <w:color w:val="auto"/>
        </w:rPr>
      </w:pPr>
    </w:p>
    <w:p w14:paraId="145CBD59" w14:textId="487364D6"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This study is based on a mixed methods approach. It was initially designed to be a within methods qualitative study with two distinct approaches to data collection. However, because of the numerous challenges that were experienced during the </w:t>
      </w:r>
      <w:r w:rsidR="000703DB" w:rsidRPr="00E869A4">
        <w:rPr>
          <w:rFonts w:ascii="Times New Roman" w:hAnsi="Times New Roman" w:cs="Times New Roman"/>
        </w:rPr>
        <w:t>fieldwork</w:t>
      </w:r>
      <w:r w:rsidRPr="00E869A4">
        <w:rPr>
          <w:rFonts w:ascii="Times New Roman" w:hAnsi="Times New Roman" w:cs="Times New Roman"/>
        </w:rPr>
        <w:t xml:space="preserve"> phase, I had to make several adjustments to my original plans. The need to make changes to studies that fall within the domain of exploratory research and qualitative investigation is not unusual in social science methodology (Harris &amp; Dyson 2001</w:t>
      </w:r>
      <w:r w:rsidR="009907C2" w:rsidRPr="00E869A4">
        <w:rPr>
          <w:rFonts w:ascii="Times New Roman" w:hAnsi="Times New Roman" w:cs="Times New Roman"/>
        </w:rPr>
        <w:t>; Mack et al. 2005</w:t>
      </w:r>
      <w:r w:rsidRPr="00E869A4">
        <w:rPr>
          <w:rFonts w:ascii="Times New Roman" w:hAnsi="Times New Roman" w:cs="Times New Roman"/>
        </w:rPr>
        <w:t xml:space="preserve">). Qualitative research is amenable to such changes given its epistemological and ontological underpinnings. </w:t>
      </w:r>
    </w:p>
    <w:p w14:paraId="44D8A9AB" w14:textId="77777777" w:rsidR="00D968A3" w:rsidRPr="00E869A4" w:rsidRDefault="00D968A3" w:rsidP="00A35FF8">
      <w:pPr>
        <w:rPr>
          <w:rFonts w:ascii="Times New Roman" w:hAnsi="Times New Roman" w:cs="Times New Roman"/>
        </w:rPr>
      </w:pPr>
    </w:p>
    <w:p w14:paraId="46F1D0A6" w14:textId="31789EC0"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Changes to the original plan included shifting from </w:t>
      </w:r>
      <w:r w:rsidR="0033091E" w:rsidRPr="00E869A4">
        <w:rPr>
          <w:rFonts w:ascii="Times New Roman" w:hAnsi="Times New Roman" w:cs="Times New Roman"/>
        </w:rPr>
        <w:t>restricting the sample to care</w:t>
      </w:r>
      <w:r w:rsidRPr="00E869A4">
        <w:rPr>
          <w:rFonts w:ascii="Times New Roman" w:hAnsi="Times New Roman" w:cs="Times New Roman"/>
        </w:rPr>
        <w:t xml:space="preserve"> dyads </w:t>
      </w:r>
      <w:r w:rsidR="0033091E" w:rsidRPr="00E869A4">
        <w:rPr>
          <w:rFonts w:ascii="Times New Roman" w:hAnsi="Times New Roman" w:cs="Times New Roman"/>
        </w:rPr>
        <w:t>only (i.e. initially both the</w:t>
      </w:r>
      <w:r w:rsidRPr="00E869A4">
        <w:rPr>
          <w:rFonts w:ascii="Times New Roman" w:hAnsi="Times New Roman" w:cs="Times New Roman"/>
        </w:rPr>
        <w:t xml:space="preserve"> primary family caregiver and their </w:t>
      </w:r>
      <w:r w:rsidR="009E2738" w:rsidRPr="00E869A4">
        <w:rPr>
          <w:rFonts w:ascii="Times New Roman" w:hAnsi="Times New Roman" w:cs="Times New Roman"/>
        </w:rPr>
        <w:t>care</w:t>
      </w:r>
      <w:r w:rsidR="0033091E" w:rsidRPr="00E869A4">
        <w:rPr>
          <w:rFonts w:ascii="Times New Roman" w:hAnsi="Times New Roman" w:cs="Times New Roman"/>
        </w:rPr>
        <w:t>d for relative had to agree to participate)</w:t>
      </w:r>
      <w:r w:rsidRPr="00E869A4">
        <w:rPr>
          <w:rFonts w:ascii="Times New Roman" w:hAnsi="Times New Roman" w:cs="Times New Roman"/>
        </w:rPr>
        <w:t xml:space="preserve"> for in-depth interviews in 2010, to </w:t>
      </w:r>
      <w:r w:rsidR="0033091E" w:rsidRPr="00E869A4">
        <w:rPr>
          <w:rFonts w:ascii="Times New Roman" w:hAnsi="Times New Roman" w:cs="Times New Roman"/>
        </w:rPr>
        <w:t>including caregivers whose older relative may have been too frail to be interviewed</w:t>
      </w:r>
      <w:r w:rsidRPr="00E869A4">
        <w:rPr>
          <w:rFonts w:ascii="Times New Roman" w:hAnsi="Times New Roman" w:cs="Times New Roman"/>
        </w:rPr>
        <w:t>. It also included reducing the number of meetings that were</w:t>
      </w:r>
      <w:r w:rsidR="0033091E" w:rsidRPr="00E869A4">
        <w:rPr>
          <w:rFonts w:ascii="Times New Roman" w:hAnsi="Times New Roman" w:cs="Times New Roman"/>
        </w:rPr>
        <w:t xml:space="preserve"> originally </w:t>
      </w:r>
      <w:r w:rsidRPr="00E869A4">
        <w:rPr>
          <w:rFonts w:ascii="Times New Roman" w:hAnsi="Times New Roman" w:cs="Times New Roman"/>
        </w:rPr>
        <w:t xml:space="preserve">assigned to each family represented, and adding a quantitative element to the study. These changes were made in order to ensure that the overall aim of the study was achieved, especially when it came to the inclusion of key stakeholders </w:t>
      </w:r>
      <w:r w:rsidR="00683B95" w:rsidRPr="00E869A4">
        <w:rPr>
          <w:rFonts w:ascii="Times New Roman" w:hAnsi="Times New Roman" w:cs="Times New Roman"/>
        </w:rPr>
        <w:t>who</w:t>
      </w:r>
      <w:r w:rsidRPr="00E869A4">
        <w:rPr>
          <w:rFonts w:ascii="Times New Roman" w:hAnsi="Times New Roman" w:cs="Times New Roman"/>
        </w:rPr>
        <w:t xml:space="preserve"> </w:t>
      </w:r>
      <w:r w:rsidR="0090527E" w:rsidRPr="00E869A4">
        <w:rPr>
          <w:rFonts w:ascii="Times New Roman" w:hAnsi="Times New Roman" w:cs="Times New Roman"/>
        </w:rPr>
        <w:t>we</w:t>
      </w:r>
      <w:r w:rsidRPr="00E869A4">
        <w:rPr>
          <w:rFonts w:ascii="Times New Roman" w:hAnsi="Times New Roman" w:cs="Times New Roman"/>
        </w:rPr>
        <w:t xml:space="preserve">re impacted by </w:t>
      </w:r>
      <w:r w:rsidR="000703DB" w:rsidRPr="00E869A4">
        <w:rPr>
          <w:rFonts w:ascii="Times New Roman" w:hAnsi="Times New Roman" w:cs="Times New Roman"/>
        </w:rPr>
        <w:t xml:space="preserve">and involved in elder </w:t>
      </w:r>
      <w:r w:rsidRPr="00E869A4">
        <w:rPr>
          <w:rFonts w:ascii="Times New Roman" w:hAnsi="Times New Roman" w:cs="Times New Roman"/>
        </w:rPr>
        <w:t>care policy development, while at the same time maintaining the integrity of the research project, especially given commitments that were still in effect with the main funding agency for this project</w:t>
      </w:r>
      <w:r w:rsidRPr="00E869A4">
        <w:rPr>
          <w:rStyle w:val="FootnoteReference"/>
          <w:rFonts w:ascii="Times New Roman" w:hAnsi="Times New Roman" w:cs="Times New Roman"/>
        </w:rPr>
        <w:footnoteReference w:id="43"/>
      </w:r>
      <w:r w:rsidRPr="00E869A4">
        <w:rPr>
          <w:rFonts w:ascii="Times New Roman" w:hAnsi="Times New Roman" w:cs="Times New Roman"/>
        </w:rPr>
        <w:t>.</w:t>
      </w:r>
    </w:p>
    <w:p w14:paraId="45DE4DBE" w14:textId="77777777" w:rsidR="00D968A3" w:rsidRPr="00E869A4" w:rsidRDefault="00D968A3" w:rsidP="00A35FF8">
      <w:pPr>
        <w:rPr>
          <w:rFonts w:ascii="Times New Roman" w:hAnsi="Times New Roman" w:cs="Times New Roman"/>
        </w:rPr>
      </w:pPr>
    </w:p>
    <w:p w14:paraId="7C5938E7" w14:textId="6BD7959C" w:rsidR="004E2181" w:rsidRPr="00E869A4" w:rsidRDefault="0033091E" w:rsidP="00A35FF8">
      <w:pPr>
        <w:rPr>
          <w:rFonts w:ascii="Times New Roman" w:hAnsi="Times New Roman" w:cs="Times New Roman"/>
        </w:rPr>
      </w:pPr>
      <w:r w:rsidRPr="00E869A4">
        <w:rPr>
          <w:rFonts w:ascii="Times New Roman" w:hAnsi="Times New Roman" w:cs="Times New Roman"/>
        </w:rPr>
        <w:t>In the sections that follow, I ha</w:t>
      </w:r>
      <w:r w:rsidR="00C03772" w:rsidRPr="00E869A4">
        <w:rPr>
          <w:rFonts w:ascii="Times New Roman" w:hAnsi="Times New Roman" w:cs="Times New Roman"/>
        </w:rPr>
        <w:t>ve provided details on the original design of the study and the adjustments that were made to compensate for the challenges encountered. The design rationale, ethical considerations and the data analysis approach</w:t>
      </w:r>
      <w:r w:rsidR="000703DB" w:rsidRPr="00E869A4">
        <w:rPr>
          <w:rFonts w:ascii="Times New Roman" w:hAnsi="Times New Roman" w:cs="Times New Roman"/>
        </w:rPr>
        <w:t>es</w:t>
      </w:r>
      <w:r w:rsidR="00C03772" w:rsidRPr="00E869A4">
        <w:rPr>
          <w:rFonts w:ascii="Times New Roman" w:hAnsi="Times New Roman" w:cs="Times New Roman"/>
        </w:rPr>
        <w:t xml:space="preserve"> are discussed. This account highlights some of the challenges faced when conducting research in developing country contexts</w:t>
      </w:r>
      <w:r w:rsidR="000703DB" w:rsidRPr="00E869A4">
        <w:rPr>
          <w:rFonts w:ascii="Times New Roman" w:hAnsi="Times New Roman" w:cs="Times New Roman"/>
        </w:rPr>
        <w:t>,</w:t>
      </w:r>
      <w:r w:rsidR="00C03772" w:rsidRPr="00E869A4">
        <w:rPr>
          <w:rFonts w:ascii="Times New Roman" w:hAnsi="Times New Roman" w:cs="Times New Roman"/>
        </w:rPr>
        <w:t xml:space="preserve"> and in multiple locations. While there are numerous benefits to research in these </w:t>
      </w:r>
      <w:r w:rsidR="000703DB" w:rsidRPr="00E869A4">
        <w:rPr>
          <w:rFonts w:ascii="Times New Roman" w:hAnsi="Times New Roman" w:cs="Times New Roman"/>
        </w:rPr>
        <w:t>situations</w:t>
      </w:r>
      <w:r w:rsidR="00C03772" w:rsidRPr="00E869A4">
        <w:rPr>
          <w:rFonts w:ascii="Times New Roman" w:hAnsi="Times New Roman" w:cs="Times New Roman"/>
        </w:rPr>
        <w:t xml:space="preserve">, it is important that the constraints </w:t>
      </w:r>
      <w:r w:rsidR="000703DB" w:rsidRPr="00E869A4">
        <w:rPr>
          <w:rFonts w:ascii="Times New Roman" w:hAnsi="Times New Roman" w:cs="Times New Roman"/>
        </w:rPr>
        <w:t>in</w:t>
      </w:r>
      <w:r w:rsidR="00C03772" w:rsidRPr="00E869A4">
        <w:rPr>
          <w:rFonts w:ascii="Times New Roman" w:hAnsi="Times New Roman" w:cs="Times New Roman"/>
        </w:rPr>
        <w:t xml:space="preserve"> doing </w:t>
      </w:r>
      <w:r w:rsidR="000703DB" w:rsidRPr="00E869A4">
        <w:rPr>
          <w:rFonts w:ascii="Times New Roman" w:hAnsi="Times New Roman" w:cs="Times New Roman"/>
        </w:rPr>
        <w:t xml:space="preserve">so </w:t>
      </w:r>
      <w:r w:rsidR="00C03772" w:rsidRPr="00E869A4">
        <w:rPr>
          <w:rFonts w:ascii="Times New Roman" w:hAnsi="Times New Roman" w:cs="Times New Roman"/>
        </w:rPr>
        <w:t xml:space="preserve">are not overlooked. </w:t>
      </w:r>
    </w:p>
    <w:p w14:paraId="27EEFB7D" w14:textId="166960A2" w:rsidR="00C03772" w:rsidRPr="00E869A4" w:rsidRDefault="00E9231D" w:rsidP="00175C3E">
      <w:pPr>
        <w:pStyle w:val="Heading2"/>
      </w:pPr>
      <w:bookmarkStart w:id="244" w:name="_Toc508858740"/>
      <w:bookmarkStart w:id="245" w:name="_Toc40436507"/>
      <w:r w:rsidRPr="00E869A4">
        <w:lastRenderedPageBreak/>
        <w:t>5</w:t>
      </w:r>
      <w:r w:rsidR="00260EFE" w:rsidRPr="00E869A4">
        <w:t xml:space="preserve">.2 </w:t>
      </w:r>
      <w:r w:rsidR="00C03772" w:rsidRPr="00E869A4">
        <w:t>INITIAL INTENTIONS</w:t>
      </w:r>
      <w:bookmarkEnd w:id="244"/>
      <w:bookmarkEnd w:id="245"/>
      <w:r w:rsidR="00C03772" w:rsidRPr="00E869A4">
        <w:t xml:space="preserve"> </w:t>
      </w:r>
    </w:p>
    <w:p w14:paraId="1632BAA9" w14:textId="77777777" w:rsidR="00D968A3" w:rsidRPr="00E869A4" w:rsidRDefault="00D968A3" w:rsidP="0051234F">
      <w:pPr>
        <w:pStyle w:val="112"/>
        <w:rPr>
          <w:color w:val="auto"/>
        </w:rPr>
      </w:pPr>
    </w:p>
    <w:p w14:paraId="332FAD7A" w14:textId="019E26F7"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I initially designed this study to follow a qualitative approach consisting of two phases: 1) in-depth </w:t>
      </w:r>
      <w:r w:rsidR="000703DB" w:rsidRPr="00E869A4">
        <w:rPr>
          <w:rFonts w:ascii="Times New Roman" w:hAnsi="Times New Roman" w:cs="Times New Roman"/>
        </w:rPr>
        <w:t>interviews, which</w:t>
      </w:r>
      <w:r w:rsidRPr="00E869A4">
        <w:rPr>
          <w:rFonts w:ascii="Times New Roman" w:hAnsi="Times New Roman" w:cs="Times New Roman"/>
        </w:rPr>
        <w:t xml:space="preserve"> were to involve both the primary family caregiver and their older </w:t>
      </w:r>
      <w:r w:rsidR="009E2738" w:rsidRPr="00E869A4">
        <w:rPr>
          <w:rFonts w:ascii="Times New Roman" w:hAnsi="Times New Roman" w:cs="Times New Roman"/>
        </w:rPr>
        <w:t>care recipient</w:t>
      </w:r>
      <w:r w:rsidRPr="00E869A4">
        <w:rPr>
          <w:rFonts w:ascii="Times New Roman" w:hAnsi="Times New Roman" w:cs="Times New Roman"/>
        </w:rPr>
        <w:t xml:space="preserve"> who would be engaged in a series of meetings</w:t>
      </w:r>
      <w:r w:rsidR="003E0DAE" w:rsidRPr="00E869A4">
        <w:rPr>
          <w:rFonts w:ascii="Times New Roman" w:hAnsi="Times New Roman" w:cs="Times New Roman"/>
        </w:rPr>
        <w:t xml:space="preserve">; </w:t>
      </w:r>
      <w:r w:rsidRPr="00E869A4">
        <w:rPr>
          <w:rFonts w:ascii="Times New Roman" w:hAnsi="Times New Roman" w:cs="Times New Roman"/>
        </w:rPr>
        <w:t>and</w:t>
      </w:r>
      <w:r w:rsidR="00C06BFA" w:rsidRPr="00E869A4">
        <w:rPr>
          <w:rFonts w:ascii="Times New Roman" w:hAnsi="Times New Roman" w:cs="Times New Roman"/>
        </w:rPr>
        <w:t>,</w:t>
      </w:r>
      <w:r w:rsidRPr="00E869A4">
        <w:rPr>
          <w:rFonts w:ascii="Times New Roman" w:hAnsi="Times New Roman" w:cs="Times New Roman"/>
        </w:rPr>
        <w:t xml:space="preserve"> 2) focus group sessions in the islands of </w:t>
      </w:r>
      <w:r w:rsidR="007A6B08" w:rsidRPr="00E869A4">
        <w:rPr>
          <w:rFonts w:ascii="Times New Roman" w:hAnsi="Times New Roman" w:cs="Times New Roman"/>
        </w:rPr>
        <w:t>T&amp;T</w:t>
      </w:r>
      <w:r w:rsidRPr="00E869A4">
        <w:rPr>
          <w:rFonts w:ascii="Times New Roman" w:hAnsi="Times New Roman" w:cs="Times New Roman"/>
        </w:rPr>
        <w:t>. Given the applied nature of the study</w:t>
      </w:r>
      <w:r w:rsidR="003E0DAE" w:rsidRPr="00E869A4">
        <w:rPr>
          <w:rFonts w:ascii="Times New Roman" w:hAnsi="Times New Roman" w:cs="Times New Roman"/>
        </w:rPr>
        <w:t>,</w:t>
      </w:r>
      <w:r w:rsidRPr="00E869A4">
        <w:rPr>
          <w:rFonts w:ascii="Times New Roman" w:hAnsi="Times New Roman" w:cs="Times New Roman"/>
        </w:rPr>
        <w:t xml:space="preserve"> for which a core objective was the generation of data that could be used to inform policy development efforts in </w:t>
      </w:r>
      <w:r w:rsidR="003E0DAE" w:rsidRPr="00E869A4">
        <w:rPr>
          <w:rFonts w:ascii="Times New Roman" w:hAnsi="Times New Roman" w:cs="Times New Roman"/>
        </w:rPr>
        <w:t>T&amp;T</w:t>
      </w:r>
      <w:r w:rsidRPr="00E869A4">
        <w:rPr>
          <w:rFonts w:ascii="Times New Roman" w:hAnsi="Times New Roman" w:cs="Times New Roman"/>
        </w:rPr>
        <w:t xml:space="preserve"> </w:t>
      </w:r>
      <w:r w:rsidRPr="00E869A4">
        <w:rPr>
          <w:rFonts w:ascii="Times New Roman" w:hAnsi="Times New Roman" w:cs="Times New Roman"/>
          <w:i/>
        </w:rPr>
        <w:t>vis à vis</w:t>
      </w:r>
      <w:r w:rsidRPr="00E869A4">
        <w:rPr>
          <w:rFonts w:ascii="Times New Roman" w:hAnsi="Times New Roman" w:cs="Times New Roman"/>
        </w:rPr>
        <w:t xml:space="preserve"> older people and their family carers, and the related research questions that this study addressed, I adopted a pragmatic approach to the study’s design.</w:t>
      </w:r>
    </w:p>
    <w:p w14:paraId="471EF11E" w14:textId="77777777" w:rsidR="00D968A3" w:rsidRPr="00E869A4" w:rsidRDefault="00D968A3" w:rsidP="00A35FF8">
      <w:pPr>
        <w:rPr>
          <w:rFonts w:ascii="Times New Roman" w:hAnsi="Times New Roman" w:cs="Times New Roman"/>
        </w:rPr>
      </w:pPr>
    </w:p>
    <w:p w14:paraId="0914F6E6" w14:textId="7CDE308B" w:rsidR="00C03772" w:rsidRPr="00E869A4" w:rsidRDefault="00E9231D" w:rsidP="005C449C">
      <w:pPr>
        <w:pStyle w:val="Heading3"/>
      </w:pPr>
      <w:bookmarkStart w:id="246" w:name="_Toc508858741"/>
      <w:bookmarkStart w:id="247" w:name="_Toc40436508"/>
      <w:r w:rsidRPr="00E869A4">
        <w:t>5</w:t>
      </w:r>
      <w:r w:rsidR="00F427B2" w:rsidRPr="00E869A4">
        <w:t xml:space="preserve">.2.1     </w:t>
      </w:r>
      <w:r w:rsidR="00C03772" w:rsidRPr="00E869A4">
        <w:t>Research Design Philosophy</w:t>
      </w:r>
      <w:bookmarkEnd w:id="246"/>
      <w:bookmarkEnd w:id="247"/>
    </w:p>
    <w:p w14:paraId="045097B8" w14:textId="77777777" w:rsidR="00D968A3" w:rsidRPr="00E869A4" w:rsidRDefault="00D968A3" w:rsidP="0051234F">
      <w:pPr>
        <w:pStyle w:val="112"/>
        <w:rPr>
          <w:color w:val="auto"/>
        </w:rPr>
      </w:pPr>
    </w:p>
    <w:p w14:paraId="22D9303B" w14:textId="1CCE47E1" w:rsidR="00C03772" w:rsidRPr="00E869A4" w:rsidRDefault="00C03772" w:rsidP="00A35FF8">
      <w:pPr>
        <w:rPr>
          <w:rFonts w:ascii="Times New Roman" w:hAnsi="Times New Roman" w:cs="Times New Roman"/>
        </w:rPr>
      </w:pPr>
      <w:r w:rsidRPr="00E869A4">
        <w:rPr>
          <w:rFonts w:ascii="Times New Roman" w:hAnsi="Times New Roman" w:cs="Times New Roman"/>
        </w:rPr>
        <w:t>The pragmatic school of thought espouses that the methods used in a study should be selected based on their appropriateness in addressing the research questions, rather than limiting method-selection to their epistemological foundations in the first instance (King 2010). As opposed to persons from the purist school of thought wh</w:t>
      </w:r>
      <w:r w:rsidR="003E0DAE" w:rsidRPr="00E869A4">
        <w:rPr>
          <w:rFonts w:ascii="Times New Roman" w:hAnsi="Times New Roman" w:cs="Times New Roman"/>
        </w:rPr>
        <w:t>o</w:t>
      </w:r>
      <w:r w:rsidRPr="00E869A4">
        <w:rPr>
          <w:rFonts w:ascii="Times New Roman" w:hAnsi="Times New Roman" w:cs="Times New Roman"/>
        </w:rPr>
        <w:t xml:space="preserve"> view qualitative and quantitative methods as being mutually exclusive, pragmatists assert </w:t>
      </w:r>
      <w:r w:rsidR="003E1786" w:rsidRPr="00E869A4">
        <w:rPr>
          <w:rFonts w:ascii="Times New Roman" w:hAnsi="Times New Roman" w:cs="Times New Roman"/>
        </w:rPr>
        <w:t>that,</w:t>
      </w:r>
      <w:r w:rsidRPr="00E869A4">
        <w:rPr>
          <w:rFonts w:ascii="Times New Roman" w:hAnsi="Times New Roman" w:cs="Times New Roman"/>
        </w:rPr>
        <w:t xml:space="preserve"> the alleged distinctions made by purists about the ontological and epistemological positions of these two approaches are exaggerated. Bryman (2006) presented numerous arguments in support of a pragmatist approach, contending that quantitative methods are not necessarily positivistic, and qualitative methods are not necessarily hermeneutic. Quantitative studies</w:t>
      </w:r>
      <w:r w:rsidR="003E0DAE" w:rsidRPr="00E869A4">
        <w:rPr>
          <w:rFonts w:ascii="Times New Roman" w:hAnsi="Times New Roman" w:cs="Times New Roman"/>
        </w:rPr>
        <w:t>,</w:t>
      </w:r>
      <w:r w:rsidRPr="00E869A4">
        <w:rPr>
          <w:rFonts w:ascii="Times New Roman" w:hAnsi="Times New Roman" w:cs="Times New Roman"/>
        </w:rPr>
        <w:t xml:space="preserve"> for example, may have open-ended questions that can lend themselves to strong qualitative insights. Thus, the arguments of the purists are deemed as promoting a false dichotomy between the two methods</w:t>
      </w:r>
      <w:r w:rsidR="0090527E" w:rsidRPr="00E869A4">
        <w:rPr>
          <w:rFonts w:ascii="Times New Roman" w:hAnsi="Times New Roman" w:cs="Times New Roman"/>
        </w:rPr>
        <w:t xml:space="preserve"> (Bryman 2008)</w:t>
      </w:r>
      <w:r w:rsidRPr="00E869A4">
        <w:rPr>
          <w:rFonts w:ascii="Times New Roman" w:hAnsi="Times New Roman" w:cs="Times New Roman"/>
        </w:rPr>
        <w:t xml:space="preserve">. </w:t>
      </w:r>
    </w:p>
    <w:p w14:paraId="011C1EBB" w14:textId="77777777" w:rsidR="00EB2193" w:rsidRPr="00E869A4" w:rsidRDefault="00EB2193" w:rsidP="00A35FF8">
      <w:pPr>
        <w:rPr>
          <w:rFonts w:ascii="Times New Roman" w:hAnsi="Times New Roman" w:cs="Times New Roman"/>
        </w:rPr>
      </w:pPr>
    </w:p>
    <w:p w14:paraId="2ED39080" w14:textId="7F458305"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In keeping with the pragmatists’ position that the research question should be the main factor for selecting methods, the current study was designed so that in-depth interviews would be used to obtain answers to some of the questions i.e. those on the determinants of care, </w:t>
      </w:r>
      <w:r w:rsidR="00155828" w:rsidRPr="00E869A4">
        <w:rPr>
          <w:rFonts w:ascii="Times New Roman" w:hAnsi="Times New Roman" w:cs="Times New Roman"/>
        </w:rPr>
        <w:t xml:space="preserve">experiences </w:t>
      </w:r>
      <w:r w:rsidRPr="00E869A4">
        <w:rPr>
          <w:rFonts w:ascii="Times New Roman" w:hAnsi="Times New Roman" w:cs="Times New Roman"/>
        </w:rPr>
        <w:t xml:space="preserve">of care and </w:t>
      </w:r>
      <w:r w:rsidR="003E1786" w:rsidRPr="00E869A4">
        <w:rPr>
          <w:rFonts w:ascii="Times New Roman" w:hAnsi="Times New Roman" w:cs="Times New Roman"/>
        </w:rPr>
        <w:t>coping/</w:t>
      </w:r>
      <w:r w:rsidRPr="00E869A4">
        <w:rPr>
          <w:rFonts w:ascii="Times New Roman" w:hAnsi="Times New Roman" w:cs="Times New Roman"/>
        </w:rPr>
        <w:t xml:space="preserve">care management strategies, while focus group interviews were to be used primarily to generate feedback for answering the research question on social policy solutions. The strong qualitative orientation of the study was deemed necessary given the exploratory nature of this research investigation </w:t>
      </w:r>
      <w:r w:rsidR="003E1786" w:rsidRPr="00E869A4">
        <w:rPr>
          <w:rFonts w:ascii="Times New Roman" w:hAnsi="Times New Roman" w:cs="Times New Roman"/>
        </w:rPr>
        <w:t xml:space="preserve">in T&amp;T, </w:t>
      </w:r>
      <w:r w:rsidRPr="00E869A4">
        <w:rPr>
          <w:rFonts w:ascii="Times New Roman" w:hAnsi="Times New Roman" w:cs="Times New Roman"/>
        </w:rPr>
        <w:t>and the population that it targeted. The latter included frail older people and their caregivers from different socio-economic</w:t>
      </w:r>
      <w:r w:rsidR="003E1786" w:rsidRPr="00E869A4">
        <w:rPr>
          <w:rFonts w:ascii="Times New Roman" w:hAnsi="Times New Roman" w:cs="Times New Roman"/>
        </w:rPr>
        <w:t xml:space="preserve"> </w:t>
      </w:r>
      <w:r w:rsidRPr="00E869A4">
        <w:rPr>
          <w:rFonts w:ascii="Times New Roman" w:hAnsi="Times New Roman" w:cs="Times New Roman"/>
        </w:rPr>
        <w:t>backgrounds, some of whom were limited in their ability to communicate in writing given their health or educational limitation</w:t>
      </w:r>
      <w:r w:rsidR="00261875" w:rsidRPr="00E869A4">
        <w:rPr>
          <w:rFonts w:ascii="Times New Roman" w:hAnsi="Times New Roman" w:cs="Times New Roman"/>
        </w:rPr>
        <w:t>s (Barbour &amp; Kitzinger</w:t>
      </w:r>
      <w:r w:rsidRPr="00E869A4">
        <w:rPr>
          <w:rFonts w:ascii="Times New Roman" w:hAnsi="Times New Roman" w:cs="Times New Roman"/>
        </w:rPr>
        <w:t xml:space="preserve"> 1999; Devine &amp; Heath</w:t>
      </w:r>
      <w:r w:rsidR="00261875" w:rsidRPr="00E869A4">
        <w:rPr>
          <w:rFonts w:ascii="Times New Roman" w:hAnsi="Times New Roman" w:cs="Times New Roman"/>
        </w:rPr>
        <w:t xml:space="preserve"> </w:t>
      </w:r>
      <w:r w:rsidRPr="00E869A4">
        <w:rPr>
          <w:rFonts w:ascii="Times New Roman" w:hAnsi="Times New Roman" w:cs="Times New Roman"/>
        </w:rPr>
        <w:t xml:space="preserve">1999).  Additionally, </w:t>
      </w:r>
      <w:r w:rsidRPr="00E869A4">
        <w:rPr>
          <w:rFonts w:ascii="Times New Roman" w:hAnsi="Times New Roman" w:cs="Times New Roman"/>
        </w:rPr>
        <w:lastRenderedPageBreak/>
        <w:t>while this study did not target women exclusively, but sought to include men as well, the possibility existed that most participants for the in-depth interviews would be female given international trends on gender and caregiving. Feminist researchers advocate that qualitative methods be used when studying women’s experiences of the family</w:t>
      </w:r>
      <w:r w:rsidR="003E1786" w:rsidRPr="00E869A4">
        <w:rPr>
          <w:rFonts w:ascii="Times New Roman" w:hAnsi="Times New Roman" w:cs="Times New Roman"/>
        </w:rPr>
        <w:t>,</w:t>
      </w:r>
      <w:r w:rsidRPr="00E869A4">
        <w:rPr>
          <w:rFonts w:ascii="Times New Roman" w:hAnsi="Times New Roman" w:cs="Times New Roman"/>
        </w:rPr>
        <w:t xml:space="preserve"> as it allows women to s</w:t>
      </w:r>
      <w:r w:rsidR="00261875" w:rsidRPr="00E869A4">
        <w:rPr>
          <w:rFonts w:ascii="Times New Roman" w:hAnsi="Times New Roman" w:cs="Times New Roman"/>
        </w:rPr>
        <w:t>peak out for themselves (Devine</w:t>
      </w:r>
      <w:r w:rsidRPr="00E869A4">
        <w:rPr>
          <w:rFonts w:ascii="Times New Roman" w:hAnsi="Times New Roman" w:cs="Times New Roman"/>
        </w:rPr>
        <w:t xml:space="preserve"> 1999).</w:t>
      </w:r>
    </w:p>
    <w:p w14:paraId="055B4A8F" w14:textId="77777777" w:rsidR="00D968A3" w:rsidRPr="00E869A4" w:rsidRDefault="00D968A3" w:rsidP="00A35FF8">
      <w:pPr>
        <w:rPr>
          <w:rFonts w:ascii="Times New Roman" w:hAnsi="Times New Roman" w:cs="Times New Roman"/>
        </w:rPr>
      </w:pPr>
    </w:p>
    <w:p w14:paraId="1A47F694" w14:textId="08F91EA1"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Inclusive data collection strategies are a key feature of social policy research in a democratic context. Popular among these </w:t>
      </w:r>
      <w:r w:rsidR="00261875" w:rsidRPr="00E869A4">
        <w:rPr>
          <w:rFonts w:ascii="Times New Roman" w:hAnsi="Times New Roman" w:cs="Times New Roman"/>
        </w:rPr>
        <w:t>is</w:t>
      </w:r>
      <w:r w:rsidRPr="00E869A4">
        <w:rPr>
          <w:rFonts w:ascii="Times New Roman" w:hAnsi="Times New Roman" w:cs="Times New Roman"/>
        </w:rPr>
        <w:t xml:space="preserve"> the use of focus groups. Focus groups are “a carefully planned series of discussions designed to obtain perceptions on a defined area of interest in a permissive, non-threatenin</w:t>
      </w:r>
      <w:r w:rsidR="00261875" w:rsidRPr="00E869A4">
        <w:rPr>
          <w:rFonts w:ascii="Times New Roman" w:hAnsi="Times New Roman" w:cs="Times New Roman"/>
        </w:rPr>
        <w:t>g environment</w:t>
      </w:r>
      <w:r w:rsidR="00C13A55" w:rsidRPr="00E869A4">
        <w:rPr>
          <w:rFonts w:ascii="Times New Roman" w:hAnsi="Times New Roman" w:cs="Times New Roman"/>
        </w:rPr>
        <w:t>.</w:t>
      </w:r>
      <w:r w:rsidR="00261875" w:rsidRPr="00E869A4">
        <w:rPr>
          <w:rFonts w:ascii="Times New Roman" w:hAnsi="Times New Roman" w:cs="Times New Roman"/>
        </w:rPr>
        <w:t>” (Krueger &amp; Casey</w:t>
      </w:r>
      <w:r w:rsidRPr="00E869A4">
        <w:rPr>
          <w:rFonts w:ascii="Times New Roman" w:hAnsi="Times New Roman" w:cs="Times New Roman"/>
        </w:rPr>
        <w:t xml:space="preserve"> 2000</w:t>
      </w:r>
      <w:r w:rsidR="00261875" w:rsidRPr="00E869A4">
        <w:rPr>
          <w:rFonts w:ascii="Times New Roman" w:hAnsi="Times New Roman" w:cs="Times New Roman"/>
        </w:rPr>
        <w:t>, p.</w:t>
      </w:r>
      <w:r w:rsidRPr="00E869A4">
        <w:rPr>
          <w:rFonts w:ascii="Times New Roman" w:hAnsi="Times New Roman" w:cs="Times New Roman"/>
        </w:rPr>
        <w:t xml:space="preserve"> 5). They allow for the study of group norms and the collection of concentrated and detailed information on a particular aspect of group life (Bloor et al</w:t>
      </w:r>
      <w:r w:rsidR="00261875" w:rsidRPr="00E869A4">
        <w:rPr>
          <w:rFonts w:ascii="Times New Roman" w:hAnsi="Times New Roman" w:cs="Times New Roman"/>
        </w:rPr>
        <w:t>.</w:t>
      </w:r>
      <w:r w:rsidRPr="00E869A4">
        <w:rPr>
          <w:rFonts w:ascii="Times New Roman" w:hAnsi="Times New Roman" w:cs="Times New Roman"/>
        </w:rPr>
        <w:t xml:space="preserve"> 2001). They are useful for interpreting survey results and complement other methods in a multi-method design</w:t>
      </w:r>
      <w:r w:rsidR="003E1786" w:rsidRPr="00E869A4">
        <w:rPr>
          <w:rFonts w:ascii="Times New Roman" w:hAnsi="Times New Roman" w:cs="Times New Roman"/>
        </w:rPr>
        <w:t>,</w:t>
      </w:r>
      <w:r w:rsidRPr="00E869A4">
        <w:rPr>
          <w:rFonts w:ascii="Times New Roman" w:hAnsi="Times New Roman" w:cs="Times New Roman"/>
        </w:rPr>
        <w:t xml:space="preserve"> by providing greater depth to the information from earlier approaches (Bloor et al</w:t>
      </w:r>
      <w:r w:rsidR="00261875" w:rsidRPr="00E869A4">
        <w:rPr>
          <w:rFonts w:ascii="Times New Roman" w:hAnsi="Times New Roman" w:cs="Times New Roman"/>
        </w:rPr>
        <w:t>.</w:t>
      </w:r>
      <w:r w:rsidRPr="00E869A4">
        <w:rPr>
          <w:rFonts w:ascii="Times New Roman" w:hAnsi="Times New Roman" w:cs="Times New Roman"/>
        </w:rPr>
        <w:t xml:space="preserve"> 2001)</w:t>
      </w:r>
      <w:r w:rsidRPr="00E869A4">
        <w:rPr>
          <w:rStyle w:val="FootnoteReference"/>
          <w:rFonts w:ascii="Times New Roman" w:hAnsi="Times New Roman" w:cs="Times New Roman"/>
        </w:rPr>
        <w:footnoteReference w:id="44"/>
      </w:r>
      <w:r w:rsidRPr="00E869A4">
        <w:rPr>
          <w:rFonts w:ascii="Times New Roman" w:hAnsi="Times New Roman" w:cs="Times New Roman"/>
        </w:rPr>
        <w:t xml:space="preserve">. </w:t>
      </w:r>
    </w:p>
    <w:p w14:paraId="55CB4473" w14:textId="77777777" w:rsidR="00D968A3" w:rsidRPr="00E869A4" w:rsidRDefault="00D968A3" w:rsidP="00A35FF8">
      <w:pPr>
        <w:rPr>
          <w:rFonts w:ascii="Times New Roman" w:hAnsi="Times New Roman" w:cs="Times New Roman"/>
        </w:rPr>
      </w:pPr>
    </w:p>
    <w:p w14:paraId="720DC634" w14:textId="6C005D4B"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In-depth interviews also have several advantages that </w:t>
      </w:r>
      <w:r w:rsidR="00442EA9" w:rsidRPr="00E869A4">
        <w:rPr>
          <w:rFonts w:ascii="Times New Roman" w:hAnsi="Times New Roman" w:cs="Times New Roman"/>
        </w:rPr>
        <w:t xml:space="preserve">have been </w:t>
      </w:r>
      <w:r w:rsidRPr="00E869A4">
        <w:rPr>
          <w:rFonts w:ascii="Times New Roman" w:hAnsi="Times New Roman" w:cs="Times New Roman"/>
        </w:rPr>
        <w:t xml:space="preserve">amenable to this particular research effort. They are useful for obtaining detailed and thorough information on a topic that usually could not be obtained from a survey. For some individuals, the interaction between </w:t>
      </w:r>
      <w:r w:rsidR="00415605" w:rsidRPr="00E869A4">
        <w:rPr>
          <w:rFonts w:ascii="Times New Roman" w:hAnsi="Times New Roman" w:cs="Times New Roman"/>
        </w:rPr>
        <w:t>one</w:t>
      </w:r>
      <w:r w:rsidRPr="00E869A4">
        <w:rPr>
          <w:rFonts w:ascii="Times New Roman" w:hAnsi="Times New Roman" w:cs="Times New Roman"/>
        </w:rPr>
        <w:t xml:space="preserve"> or </w:t>
      </w:r>
      <w:r w:rsidR="00415605" w:rsidRPr="00E869A4">
        <w:rPr>
          <w:rFonts w:ascii="Times New Roman" w:hAnsi="Times New Roman" w:cs="Times New Roman"/>
        </w:rPr>
        <w:t>two</w:t>
      </w:r>
      <w:r w:rsidRPr="00E869A4">
        <w:rPr>
          <w:rFonts w:ascii="Times New Roman" w:hAnsi="Times New Roman" w:cs="Times New Roman"/>
        </w:rPr>
        <w:t xml:space="preserve"> individuals is far less intimidating than discussions in a group setting (Adams &amp; Cox 2008). While focus groups are useful for gaining access to well-rehearsed ‘public knowledge’ and mutual experiences and identities, in-depth interviews can provide the researcher with the viewpoints of individuals who may be silenced in a group context where they may feel marginalised because of their social standin</w:t>
      </w:r>
      <w:r w:rsidR="00442EA9" w:rsidRPr="00E869A4">
        <w:rPr>
          <w:rFonts w:ascii="Times New Roman" w:hAnsi="Times New Roman" w:cs="Times New Roman"/>
        </w:rPr>
        <w:t>g or differing opinions (Michel</w:t>
      </w:r>
      <w:r w:rsidRPr="00E869A4">
        <w:rPr>
          <w:rFonts w:ascii="Times New Roman" w:hAnsi="Times New Roman" w:cs="Times New Roman"/>
        </w:rPr>
        <w:t xml:space="preserve"> 1999).  However, this is dependent on individual preferences as well as how the interview session is organised. </w:t>
      </w:r>
    </w:p>
    <w:p w14:paraId="5818CBF2" w14:textId="77777777" w:rsidR="00C13A55" w:rsidRPr="00E869A4" w:rsidRDefault="00C13A55" w:rsidP="003E1786">
      <w:pPr>
        <w:ind w:firstLine="0"/>
        <w:rPr>
          <w:rFonts w:ascii="Times New Roman" w:hAnsi="Times New Roman" w:cs="Times New Roman"/>
        </w:rPr>
      </w:pPr>
    </w:p>
    <w:p w14:paraId="5E01E541" w14:textId="36D63091" w:rsidR="00C03772" w:rsidRPr="00E869A4" w:rsidRDefault="00C03772" w:rsidP="00E75B4A">
      <w:pPr>
        <w:rPr>
          <w:rFonts w:ascii="Times New Roman" w:hAnsi="Times New Roman" w:cs="Times New Roman"/>
        </w:rPr>
      </w:pPr>
      <w:r w:rsidRPr="00E869A4">
        <w:rPr>
          <w:rFonts w:ascii="Times New Roman" w:hAnsi="Times New Roman" w:cs="Times New Roman"/>
        </w:rPr>
        <w:t>In-depth interviews and focus groups</w:t>
      </w:r>
      <w:r w:rsidR="00442EA9" w:rsidRPr="00E869A4">
        <w:rPr>
          <w:rFonts w:ascii="Times New Roman" w:hAnsi="Times New Roman" w:cs="Times New Roman"/>
        </w:rPr>
        <w:t>,</w:t>
      </w:r>
      <w:r w:rsidRPr="00E869A4">
        <w:rPr>
          <w:rFonts w:ascii="Times New Roman" w:hAnsi="Times New Roman" w:cs="Times New Roman"/>
        </w:rPr>
        <w:t xml:space="preserve"> when used in a mixed-methods study</w:t>
      </w:r>
      <w:r w:rsidR="00442EA9" w:rsidRPr="00E869A4">
        <w:rPr>
          <w:rFonts w:ascii="Times New Roman" w:hAnsi="Times New Roman" w:cs="Times New Roman"/>
        </w:rPr>
        <w:t>,</w:t>
      </w:r>
      <w:r w:rsidRPr="00E869A4">
        <w:rPr>
          <w:rFonts w:ascii="Times New Roman" w:hAnsi="Times New Roman" w:cs="Times New Roman"/>
        </w:rPr>
        <w:t xml:space="preserve"> provide an opportunity to capture the views of participants who may prefer one style over the other. Fraquhar and Das observed from their review of research on focus group methods that “people may be more, rather than less, likely to self-disclose or share personal experiences in group rather than dyadic settings</w:t>
      </w:r>
      <w:r w:rsidR="00C13A55" w:rsidRPr="00E869A4">
        <w:rPr>
          <w:rFonts w:ascii="Times New Roman" w:hAnsi="Times New Roman" w:cs="Times New Roman"/>
        </w:rPr>
        <w:t>.</w:t>
      </w:r>
      <w:r w:rsidRPr="00E869A4">
        <w:rPr>
          <w:rFonts w:ascii="Times New Roman" w:hAnsi="Times New Roman" w:cs="Times New Roman"/>
        </w:rPr>
        <w:t>”</w:t>
      </w:r>
      <w:r w:rsidR="00526FAB" w:rsidRPr="00E869A4">
        <w:rPr>
          <w:rFonts w:ascii="Times New Roman" w:hAnsi="Times New Roman" w:cs="Times New Roman"/>
        </w:rPr>
        <w:t xml:space="preserve"> (Fraquhar &amp; Das 1999, p. 47)</w:t>
      </w:r>
      <w:r w:rsidRPr="00E869A4">
        <w:rPr>
          <w:rFonts w:ascii="Times New Roman" w:hAnsi="Times New Roman" w:cs="Times New Roman"/>
        </w:rPr>
        <w:t>. Some people may feel relatively more empowered and supported in a group situation, surrounded by their peers or friends</w:t>
      </w:r>
      <w:r w:rsidR="003E1786" w:rsidRPr="00E869A4">
        <w:rPr>
          <w:rFonts w:ascii="Times New Roman" w:hAnsi="Times New Roman" w:cs="Times New Roman"/>
        </w:rPr>
        <w:t>,</w:t>
      </w:r>
      <w:r w:rsidRPr="00E869A4">
        <w:rPr>
          <w:rFonts w:ascii="Times New Roman" w:hAnsi="Times New Roman" w:cs="Times New Roman"/>
        </w:rPr>
        <w:t xml:space="preserve"> when compared to an interview session where they might feel intimidated by the </w:t>
      </w:r>
      <w:r w:rsidRPr="00E869A4">
        <w:rPr>
          <w:rFonts w:ascii="Times New Roman" w:hAnsi="Times New Roman" w:cs="Times New Roman"/>
        </w:rPr>
        <w:lastRenderedPageBreak/>
        <w:t>seeming power differential between themselves and the researcher</w:t>
      </w:r>
      <w:r w:rsidR="00442EA9" w:rsidRPr="00E869A4">
        <w:rPr>
          <w:rFonts w:ascii="Times New Roman" w:hAnsi="Times New Roman" w:cs="Times New Roman"/>
        </w:rPr>
        <w:t>.</w:t>
      </w:r>
      <w:r w:rsidRPr="00E869A4">
        <w:rPr>
          <w:rFonts w:ascii="Times New Roman" w:hAnsi="Times New Roman" w:cs="Times New Roman"/>
        </w:rPr>
        <w:t xml:space="preserve"> On the other hand, the opposite may also occur with persons who perceive themselves as being more marginalised among their peers, and may therefore prefer to share in an in-depth interview session rather than in a group (Michel 1999). Thus, given the strengths of both the in-depth interviews and focus groups in addressing specific research questions for this study, a mixed-methods approach was selected which was also commensurate with the ethos of inclusion and </w:t>
      </w:r>
      <w:r w:rsidR="00526FAB" w:rsidRPr="00E869A4">
        <w:rPr>
          <w:rFonts w:ascii="Times New Roman" w:hAnsi="Times New Roman" w:cs="Times New Roman"/>
        </w:rPr>
        <w:t>participation, which</w:t>
      </w:r>
      <w:r w:rsidRPr="00E869A4">
        <w:rPr>
          <w:rFonts w:ascii="Times New Roman" w:hAnsi="Times New Roman" w:cs="Times New Roman"/>
        </w:rPr>
        <w:t xml:space="preserve"> are key characteristics of applied social policy research (Bryman 2008). </w:t>
      </w:r>
    </w:p>
    <w:p w14:paraId="60B4B47F" w14:textId="77777777" w:rsidR="004E2181" w:rsidRPr="00E869A4" w:rsidRDefault="004E2181" w:rsidP="00BE6C9E">
      <w:pPr>
        <w:rPr>
          <w:b/>
          <w:i/>
          <w:u w:val="single"/>
        </w:rPr>
      </w:pPr>
      <w:bookmarkStart w:id="248" w:name="_Toc508858742"/>
    </w:p>
    <w:p w14:paraId="0F7D52B8" w14:textId="5C58009B" w:rsidR="00C03772" w:rsidRPr="00E869A4" w:rsidRDefault="00E9231D" w:rsidP="005C449C">
      <w:pPr>
        <w:pStyle w:val="Heading3"/>
      </w:pPr>
      <w:bookmarkStart w:id="249" w:name="_Toc40436509"/>
      <w:r w:rsidRPr="00E869A4">
        <w:t>5</w:t>
      </w:r>
      <w:r w:rsidR="00F427B2" w:rsidRPr="00E869A4">
        <w:t xml:space="preserve">.2.2     </w:t>
      </w:r>
      <w:r w:rsidR="00C03772" w:rsidRPr="00E869A4">
        <w:t>Sampling Procedure and Recruitment Strategy</w:t>
      </w:r>
      <w:bookmarkEnd w:id="248"/>
      <w:bookmarkEnd w:id="249"/>
    </w:p>
    <w:p w14:paraId="55DB0381" w14:textId="77777777" w:rsidR="00D968A3" w:rsidRPr="00E869A4" w:rsidRDefault="00D968A3" w:rsidP="0051234F">
      <w:pPr>
        <w:pStyle w:val="112"/>
        <w:rPr>
          <w:color w:val="auto"/>
        </w:rPr>
      </w:pPr>
    </w:p>
    <w:p w14:paraId="4E226193" w14:textId="1BAA6777"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As noted previously, older people in this study were defined as persons aged 60 years or older. Physically frail older people were identified as those who needed consistent care support </w:t>
      </w:r>
      <w:r w:rsidR="0030278F" w:rsidRPr="00E869A4">
        <w:rPr>
          <w:rFonts w:ascii="Times New Roman" w:hAnsi="Times New Roman" w:cs="Times New Roman"/>
        </w:rPr>
        <w:t xml:space="preserve">with an ADL or IADL </w:t>
      </w:r>
      <w:r w:rsidRPr="00E869A4">
        <w:rPr>
          <w:rFonts w:ascii="Times New Roman" w:hAnsi="Times New Roman" w:cs="Times New Roman"/>
        </w:rPr>
        <w:t>from a relative (or close friend). Family caregivers were relatives or friends who provided care support with the ADLs</w:t>
      </w:r>
      <w:r w:rsidR="00816B1E" w:rsidRPr="00E869A4">
        <w:rPr>
          <w:rFonts w:ascii="Times New Roman" w:hAnsi="Times New Roman" w:cs="Times New Roman"/>
        </w:rPr>
        <w:t xml:space="preserve"> and/or IADL</w:t>
      </w:r>
      <w:r w:rsidR="007A6B08" w:rsidRPr="00E869A4">
        <w:rPr>
          <w:rFonts w:ascii="Times New Roman" w:hAnsi="Times New Roman" w:cs="Times New Roman"/>
        </w:rPr>
        <w:t>s</w:t>
      </w:r>
      <w:r w:rsidRPr="00E869A4">
        <w:rPr>
          <w:rFonts w:ascii="Times New Roman" w:hAnsi="Times New Roman" w:cs="Times New Roman"/>
        </w:rPr>
        <w:t xml:space="preserve"> over a period of time. </w:t>
      </w:r>
    </w:p>
    <w:p w14:paraId="18062BF5" w14:textId="77777777" w:rsidR="00EB2193" w:rsidRPr="00E869A4" w:rsidRDefault="00EB2193" w:rsidP="00A35FF8">
      <w:pPr>
        <w:rPr>
          <w:rFonts w:ascii="Times New Roman" w:hAnsi="Times New Roman" w:cs="Times New Roman"/>
        </w:rPr>
      </w:pPr>
    </w:p>
    <w:p w14:paraId="3FD10A87" w14:textId="4BDA0D28" w:rsidR="00C03772" w:rsidRPr="00E869A4" w:rsidRDefault="00C03772" w:rsidP="00A35FF8">
      <w:pPr>
        <w:rPr>
          <w:rFonts w:ascii="Times New Roman" w:hAnsi="Times New Roman" w:cs="Times New Roman"/>
        </w:rPr>
      </w:pPr>
      <w:r w:rsidRPr="00E869A4">
        <w:rPr>
          <w:rFonts w:ascii="Times New Roman" w:hAnsi="Times New Roman" w:cs="Times New Roman"/>
        </w:rPr>
        <w:t>In their research on the challenges of recruiting and retaining participants, Feldman and colleagues (2008) recommended the use of a flexible-strategy as opposed to a ‘one-size fits all approach’. In light of this, a multi-pronged purposive sampling approach was adopted which for this study involved using a combination of purposive and snow-ball sampling (Given 2008; Flick et al</w:t>
      </w:r>
      <w:r w:rsidR="00402250" w:rsidRPr="00E869A4">
        <w:rPr>
          <w:rFonts w:ascii="Times New Roman" w:hAnsi="Times New Roman" w:cs="Times New Roman"/>
        </w:rPr>
        <w:t>.</w:t>
      </w:r>
      <w:r w:rsidRPr="00E869A4">
        <w:rPr>
          <w:rFonts w:ascii="Times New Roman" w:hAnsi="Times New Roman" w:cs="Times New Roman"/>
        </w:rPr>
        <w:t xml:space="preserve"> 2005). </w:t>
      </w:r>
    </w:p>
    <w:p w14:paraId="518DC38B" w14:textId="77777777" w:rsidR="00F427B2" w:rsidRPr="00E869A4" w:rsidRDefault="00F427B2" w:rsidP="00A35FF8">
      <w:pPr>
        <w:rPr>
          <w:rFonts w:ascii="Times New Roman" w:hAnsi="Times New Roman" w:cs="Times New Roman"/>
        </w:rPr>
      </w:pPr>
    </w:p>
    <w:p w14:paraId="469397EB" w14:textId="493343C2"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As was noted in the background chapter for this study, </w:t>
      </w:r>
      <w:r w:rsidR="007A6B08" w:rsidRPr="00E869A4">
        <w:rPr>
          <w:rFonts w:ascii="Times New Roman" w:hAnsi="Times New Roman" w:cs="Times New Roman"/>
        </w:rPr>
        <w:t>al</w:t>
      </w:r>
      <w:r w:rsidRPr="00E869A4">
        <w:rPr>
          <w:rFonts w:ascii="Times New Roman" w:hAnsi="Times New Roman" w:cs="Times New Roman"/>
        </w:rPr>
        <w:t xml:space="preserve">though the islands of </w:t>
      </w:r>
      <w:r w:rsidR="00EB2DA1" w:rsidRPr="00E869A4">
        <w:rPr>
          <w:rFonts w:ascii="Times New Roman" w:eastAsiaTheme="majorEastAsia" w:hAnsi="Times New Roman" w:cs="Times New Roman"/>
          <w:bCs/>
          <w:szCs w:val="26"/>
        </w:rPr>
        <w:t>T&amp;T</w:t>
      </w:r>
      <w:r w:rsidRPr="00E869A4">
        <w:rPr>
          <w:rFonts w:ascii="Times New Roman" w:hAnsi="Times New Roman" w:cs="Times New Roman"/>
        </w:rPr>
        <w:t xml:space="preserve"> are part of one nation, they have very distinct demographic and cultural features. Thus, I aimed to include participants from both islands in the in-depth interviews </w:t>
      </w:r>
      <w:r w:rsidR="007A6B08" w:rsidRPr="00E869A4">
        <w:rPr>
          <w:rFonts w:ascii="Times New Roman" w:hAnsi="Times New Roman" w:cs="Times New Roman"/>
        </w:rPr>
        <w:t>as well as</w:t>
      </w:r>
      <w:r w:rsidRPr="00E869A4">
        <w:rPr>
          <w:rFonts w:ascii="Times New Roman" w:hAnsi="Times New Roman" w:cs="Times New Roman"/>
        </w:rPr>
        <w:t xml:space="preserve"> the focus groups. For the in-depth interviews, I set out to recruit a minimum of 32 par</w:t>
      </w:r>
      <w:r w:rsidR="00DF7CEB" w:rsidRPr="00E869A4">
        <w:rPr>
          <w:rFonts w:ascii="Times New Roman" w:hAnsi="Times New Roman" w:cs="Times New Roman"/>
        </w:rPr>
        <w:t xml:space="preserve">ticipants consisting of 18 care </w:t>
      </w:r>
      <w:r w:rsidRPr="00E869A4">
        <w:rPr>
          <w:rFonts w:ascii="Times New Roman" w:hAnsi="Times New Roman" w:cs="Times New Roman"/>
        </w:rPr>
        <w:t xml:space="preserve">dyads. While the population of Tobago was only 5% of that in Trinidad, I planned on having 25% of the study sample i.e. at least 8 participants (4 care dyads) from Tobago. This was to ensure that I had representatives from both the relatively ‘urban’ South East part of the island (2 dyads) as well as the more ‘rural’ North West area (2 dyads). The other 24 Trinidadian participants (12 dyads) were to be recruited equally from North, Central and South Trinidad (i.e. 4 dyads for each area). </w:t>
      </w:r>
    </w:p>
    <w:p w14:paraId="2737E5D8" w14:textId="77777777" w:rsidR="00D968A3" w:rsidRPr="00E869A4" w:rsidRDefault="00D968A3" w:rsidP="00A35FF8">
      <w:pPr>
        <w:rPr>
          <w:rFonts w:ascii="Times New Roman" w:hAnsi="Times New Roman" w:cs="Times New Roman"/>
        </w:rPr>
      </w:pPr>
    </w:p>
    <w:p w14:paraId="26795049" w14:textId="66C19D23"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A total of two (2) focus group sessions were to be scheduled: one was to be held in Trinidad, and the other in Tobago. </w:t>
      </w:r>
      <w:r w:rsidR="007A6B08" w:rsidRPr="00E869A4">
        <w:rPr>
          <w:rFonts w:ascii="Times New Roman" w:hAnsi="Times New Roman" w:cs="Times New Roman"/>
        </w:rPr>
        <w:t>T</w:t>
      </w:r>
      <w:r w:rsidRPr="00E869A4">
        <w:rPr>
          <w:rFonts w:ascii="Times New Roman" w:hAnsi="Times New Roman" w:cs="Times New Roman"/>
        </w:rPr>
        <w:t>he most suitable size for a focus group is six to eight people,</w:t>
      </w:r>
      <w:r w:rsidR="007A6B08" w:rsidRPr="00E869A4">
        <w:rPr>
          <w:rFonts w:ascii="Times New Roman" w:hAnsi="Times New Roman" w:cs="Times New Roman"/>
        </w:rPr>
        <w:t xml:space="preserve"> however,</w:t>
      </w:r>
      <w:r w:rsidRPr="00E869A4">
        <w:rPr>
          <w:rFonts w:ascii="Times New Roman" w:hAnsi="Times New Roman" w:cs="Times New Roman"/>
        </w:rPr>
        <w:t xml:space="preserve"> I planned on </w:t>
      </w:r>
      <w:r w:rsidRPr="00E869A4">
        <w:rPr>
          <w:rFonts w:ascii="Times New Roman" w:hAnsi="Times New Roman" w:cs="Times New Roman"/>
        </w:rPr>
        <w:lastRenderedPageBreak/>
        <w:t xml:space="preserve">inviting about 10 participants to the </w:t>
      </w:r>
      <w:r w:rsidR="0012507C" w:rsidRPr="00E869A4">
        <w:rPr>
          <w:rFonts w:ascii="Times New Roman" w:hAnsi="Times New Roman" w:cs="Times New Roman"/>
        </w:rPr>
        <w:t>session, which</w:t>
      </w:r>
      <w:r w:rsidRPr="00E869A4">
        <w:rPr>
          <w:rFonts w:ascii="Times New Roman" w:hAnsi="Times New Roman" w:cs="Times New Roman"/>
        </w:rPr>
        <w:t xml:space="preserve"> is still a manageable size, but would ensure that there were sufficient participants</w:t>
      </w:r>
      <w:r w:rsidR="00DF7CEB" w:rsidRPr="00E869A4">
        <w:rPr>
          <w:rFonts w:ascii="Times New Roman" w:hAnsi="Times New Roman" w:cs="Times New Roman"/>
        </w:rPr>
        <w:t>,</w:t>
      </w:r>
      <w:r w:rsidRPr="00E869A4">
        <w:rPr>
          <w:rFonts w:ascii="Times New Roman" w:hAnsi="Times New Roman" w:cs="Times New Roman"/>
        </w:rPr>
        <w:t xml:space="preserve"> in the event that all invitees did not turn up on the day (Krueger &amp; Casey 2009).  In the original design of the study, the focus group sessions were to only consist of representatives from agencies involved in the family and elder care sector on both islands. More specifically, this sample of professionals was to be drawn from government agencies, community</w:t>
      </w:r>
      <w:r w:rsidR="007A6B08" w:rsidRPr="00E869A4">
        <w:rPr>
          <w:rFonts w:ascii="Times New Roman" w:hAnsi="Times New Roman" w:cs="Times New Roman"/>
        </w:rPr>
        <w:t>-</w:t>
      </w:r>
      <w:r w:rsidRPr="00E869A4">
        <w:rPr>
          <w:rFonts w:ascii="Times New Roman" w:hAnsi="Times New Roman" w:cs="Times New Roman"/>
        </w:rPr>
        <w:t xml:space="preserve">based organisations, faith-based organisations, the private sector and academic institutions. I also planned </w:t>
      </w:r>
      <w:r w:rsidR="0012507C" w:rsidRPr="00E869A4">
        <w:rPr>
          <w:rFonts w:ascii="Times New Roman" w:hAnsi="Times New Roman" w:cs="Times New Roman"/>
        </w:rPr>
        <w:t>to get</w:t>
      </w:r>
      <w:r w:rsidRPr="00E869A4">
        <w:rPr>
          <w:rFonts w:ascii="Times New Roman" w:hAnsi="Times New Roman" w:cs="Times New Roman"/>
        </w:rPr>
        <w:t xml:space="preserve"> an equal mix of male and female caregivers and older participants for both the in-depth interviews and focus groups.  </w:t>
      </w:r>
    </w:p>
    <w:p w14:paraId="1709B892" w14:textId="77777777" w:rsidR="005712E4" w:rsidRPr="00E869A4" w:rsidRDefault="005712E4" w:rsidP="00A35FF8">
      <w:pPr>
        <w:rPr>
          <w:rFonts w:ascii="Times New Roman" w:hAnsi="Times New Roman" w:cs="Times New Roman"/>
        </w:rPr>
      </w:pPr>
    </w:p>
    <w:p w14:paraId="6AFA676B" w14:textId="40402D23"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To achieve these targets, I prepared research flyers (Appendix </w:t>
      </w:r>
      <w:r w:rsidR="00D201F2" w:rsidRPr="00E869A4">
        <w:rPr>
          <w:rFonts w:ascii="Times New Roman" w:hAnsi="Times New Roman" w:cs="Times New Roman"/>
        </w:rPr>
        <w:t>6</w:t>
      </w:r>
      <w:r w:rsidRPr="00E869A4">
        <w:rPr>
          <w:rFonts w:ascii="Times New Roman" w:hAnsi="Times New Roman" w:cs="Times New Roman"/>
        </w:rPr>
        <w:t xml:space="preserve">) and information sheets (Appendix </w:t>
      </w:r>
      <w:r w:rsidR="00D201F2" w:rsidRPr="00E869A4">
        <w:rPr>
          <w:rFonts w:ascii="Times New Roman" w:hAnsi="Times New Roman" w:cs="Times New Roman"/>
        </w:rPr>
        <w:t>4</w:t>
      </w:r>
      <w:r w:rsidRPr="00E869A4">
        <w:rPr>
          <w:rFonts w:ascii="Times New Roman" w:hAnsi="Times New Roman" w:cs="Times New Roman"/>
        </w:rPr>
        <w:t xml:space="preserve">) which were to be distributed in hard and/or soft copy to various agencies and individuals. Large print versions were made available to persons who had visual limitations. Also, using information obtained online and from the Ministry of Social Development, I prepared a list of agencies from both islands that were involved in providing services to older people. I also solicited the assistance of family members, friends, former co-workers and acquaintances from social agencies. One challenge to this process was that, with the exception of the Alzheimer’s Association of </w:t>
      </w:r>
      <w:r w:rsidR="0090527E" w:rsidRPr="00E869A4">
        <w:rPr>
          <w:rFonts w:ascii="Times New Roman" w:hAnsi="Times New Roman" w:cs="Times New Roman"/>
        </w:rPr>
        <w:t>T&amp;T</w:t>
      </w:r>
      <w:r w:rsidRPr="00E869A4">
        <w:rPr>
          <w:rFonts w:ascii="Times New Roman" w:hAnsi="Times New Roman" w:cs="Times New Roman"/>
        </w:rPr>
        <w:t>, there were no agencies that were specifically organised to meet the needs of the family caregivers. Given this, my main strategy was to identify older people who met the criteria of the study</w:t>
      </w:r>
      <w:r w:rsidR="0012507C" w:rsidRPr="00E869A4">
        <w:rPr>
          <w:rFonts w:ascii="Times New Roman" w:hAnsi="Times New Roman" w:cs="Times New Roman"/>
        </w:rPr>
        <w:t>,</w:t>
      </w:r>
      <w:r w:rsidRPr="00E869A4">
        <w:rPr>
          <w:rFonts w:ascii="Times New Roman" w:hAnsi="Times New Roman" w:cs="Times New Roman"/>
        </w:rPr>
        <w:t xml:space="preserve"> and then ask them to refer me to their family caregiver so that I could discuss with both parties the possibility of participating as a care dyad. I was also sensitive to the possibility of encountering family caregivers in various spheres of </w:t>
      </w:r>
      <w:r w:rsidR="0012507C" w:rsidRPr="00E869A4">
        <w:rPr>
          <w:rFonts w:ascii="Times New Roman" w:hAnsi="Times New Roman" w:cs="Times New Roman"/>
        </w:rPr>
        <w:t xml:space="preserve">everyday </w:t>
      </w:r>
      <w:r w:rsidRPr="00E869A4">
        <w:rPr>
          <w:rFonts w:ascii="Times New Roman" w:hAnsi="Times New Roman" w:cs="Times New Roman"/>
        </w:rPr>
        <w:t>life</w:t>
      </w:r>
      <w:r w:rsidR="0012507C" w:rsidRPr="00E869A4">
        <w:rPr>
          <w:rFonts w:ascii="Times New Roman" w:hAnsi="Times New Roman" w:cs="Times New Roman"/>
        </w:rPr>
        <w:t>,</w:t>
      </w:r>
      <w:r w:rsidRPr="00E869A4">
        <w:rPr>
          <w:rFonts w:ascii="Times New Roman" w:hAnsi="Times New Roman" w:cs="Times New Roman"/>
        </w:rPr>
        <w:t xml:space="preserve"> and sought to keep a print or digital version of the recruitment documents with me when I was in the field</w:t>
      </w:r>
      <w:r w:rsidR="0012507C" w:rsidRPr="00E869A4">
        <w:rPr>
          <w:rFonts w:ascii="Times New Roman" w:hAnsi="Times New Roman" w:cs="Times New Roman"/>
        </w:rPr>
        <w:t>,</w:t>
      </w:r>
      <w:r w:rsidRPr="00E869A4">
        <w:rPr>
          <w:rFonts w:ascii="Times New Roman" w:hAnsi="Times New Roman" w:cs="Times New Roman"/>
        </w:rPr>
        <w:t xml:space="preserve"> or conducting business in my community</w:t>
      </w:r>
      <w:r w:rsidR="0012507C" w:rsidRPr="00E869A4">
        <w:rPr>
          <w:rFonts w:ascii="Times New Roman" w:hAnsi="Times New Roman" w:cs="Times New Roman"/>
        </w:rPr>
        <w:t>,</w:t>
      </w:r>
      <w:r w:rsidRPr="00E869A4">
        <w:rPr>
          <w:rFonts w:ascii="Times New Roman" w:hAnsi="Times New Roman" w:cs="Times New Roman"/>
        </w:rPr>
        <w:t xml:space="preserve"> </w:t>
      </w:r>
      <w:r w:rsidR="001B5A46" w:rsidRPr="00E869A4">
        <w:rPr>
          <w:rFonts w:ascii="Times New Roman" w:hAnsi="Times New Roman" w:cs="Times New Roman"/>
        </w:rPr>
        <w:t>should</w:t>
      </w:r>
      <w:r w:rsidRPr="00E869A4">
        <w:rPr>
          <w:rFonts w:ascii="Times New Roman" w:hAnsi="Times New Roman" w:cs="Times New Roman"/>
        </w:rPr>
        <w:t xml:space="preserve"> an opportunity ar</w:t>
      </w:r>
      <w:r w:rsidR="001B5A46" w:rsidRPr="00E869A4">
        <w:rPr>
          <w:rFonts w:ascii="Times New Roman" w:hAnsi="Times New Roman" w:cs="Times New Roman"/>
        </w:rPr>
        <w:t>i</w:t>
      </w:r>
      <w:r w:rsidRPr="00E869A4">
        <w:rPr>
          <w:rFonts w:ascii="Times New Roman" w:hAnsi="Times New Roman" w:cs="Times New Roman"/>
        </w:rPr>
        <w:t xml:space="preserve">se to discuss the study with an interested individual. </w:t>
      </w:r>
    </w:p>
    <w:p w14:paraId="235E5E6C" w14:textId="77777777" w:rsidR="00EB2193" w:rsidRPr="00E869A4" w:rsidRDefault="00EB2193" w:rsidP="00A35FF8">
      <w:pPr>
        <w:rPr>
          <w:rFonts w:ascii="Times New Roman" w:hAnsi="Times New Roman" w:cs="Times New Roman"/>
        </w:rPr>
      </w:pPr>
    </w:p>
    <w:p w14:paraId="76591419" w14:textId="4CB93668" w:rsidR="00C03772" w:rsidRPr="00E869A4" w:rsidRDefault="00E9231D" w:rsidP="005C449C">
      <w:pPr>
        <w:pStyle w:val="Heading3"/>
      </w:pPr>
      <w:bookmarkStart w:id="250" w:name="_Toc508858743"/>
      <w:bookmarkStart w:id="251" w:name="_Toc40436510"/>
      <w:r w:rsidRPr="00E869A4">
        <w:t>5</w:t>
      </w:r>
      <w:r w:rsidR="00F427B2" w:rsidRPr="00E869A4">
        <w:t xml:space="preserve">.2.3     </w:t>
      </w:r>
      <w:r w:rsidR="00C03772" w:rsidRPr="00E869A4">
        <w:t>Ethical Considerations &amp; Risk Management</w:t>
      </w:r>
      <w:bookmarkEnd w:id="250"/>
      <w:bookmarkEnd w:id="251"/>
      <w:r w:rsidR="00F427B2" w:rsidRPr="00E869A4">
        <w:t xml:space="preserve"> </w:t>
      </w:r>
    </w:p>
    <w:p w14:paraId="5264EC21" w14:textId="77777777" w:rsidR="00B3057B" w:rsidRPr="00E869A4" w:rsidRDefault="00B3057B" w:rsidP="0051234F">
      <w:pPr>
        <w:pStyle w:val="112"/>
        <w:rPr>
          <w:color w:val="auto"/>
        </w:rPr>
      </w:pPr>
    </w:p>
    <w:p w14:paraId="600FF5B7" w14:textId="57E0F48A" w:rsidR="005712E4" w:rsidRPr="00E869A4" w:rsidRDefault="00B3057B" w:rsidP="0051234F">
      <w:pPr>
        <w:pStyle w:val="112"/>
        <w:rPr>
          <w:color w:val="auto"/>
        </w:rPr>
      </w:pPr>
      <w:r w:rsidRPr="00E869A4">
        <w:rPr>
          <w:color w:val="auto"/>
        </w:rPr>
        <w:t>This section outlines the ethical considerations that informed the design of this study such as the informed consent process, use of incentives, approach to data management, as well as safe</w:t>
      </w:r>
      <w:r w:rsidR="0012507C" w:rsidRPr="00E869A4">
        <w:rPr>
          <w:color w:val="auto"/>
        </w:rPr>
        <w:t xml:space="preserve">ty and </w:t>
      </w:r>
      <w:r w:rsidRPr="00E869A4">
        <w:rPr>
          <w:color w:val="auto"/>
        </w:rPr>
        <w:t xml:space="preserve">risk considerations.  </w:t>
      </w:r>
    </w:p>
    <w:p w14:paraId="0FDF3189" w14:textId="77777777" w:rsidR="00E2225C" w:rsidRPr="00E869A4" w:rsidRDefault="00E2225C">
      <w:pPr>
        <w:rPr>
          <w:b/>
          <w:i/>
          <w:u w:val="single"/>
        </w:rPr>
      </w:pPr>
      <w:r w:rsidRPr="00E869A4">
        <w:br w:type="page"/>
      </w:r>
    </w:p>
    <w:p w14:paraId="41BA883C" w14:textId="5864034B" w:rsidR="00C03772" w:rsidRPr="00E869A4" w:rsidRDefault="00C03772" w:rsidP="004E2181">
      <w:pPr>
        <w:pStyle w:val="Heading4"/>
      </w:pPr>
      <w:r w:rsidRPr="00E869A4">
        <w:lastRenderedPageBreak/>
        <w:t>Research Ethics</w:t>
      </w:r>
    </w:p>
    <w:p w14:paraId="2C094089" w14:textId="77777777" w:rsidR="001A5AE0" w:rsidRPr="00E869A4" w:rsidRDefault="001A5AE0" w:rsidP="00A35FF8">
      <w:pPr>
        <w:rPr>
          <w:rFonts w:ascii="Times New Roman" w:hAnsi="Times New Roman" w:cs="Times New Roman"/>
        </w:rPr>
      </w:pPr>
    </w:p>
    <w:p w14:paraId="79FDA055" w14:textId="2CB626E0" w:rsidR="00C03772" w:rsidRPr="00E869A4" w:rsidRDefault="00C03772" w:rsidP="00A35FF8">
      <w:pPr>
        <w:rPr>
          <w:rFonts w:ascii="Times New Roman" w:hAnsi="Times New Roman" w:cs="Times New Roman"/>
        </w:rPr>
      </w:pPr>
      <w:r w:rsidRPr="00E869A4">
        <w:rPr>
          <w:rFonts w:ascii="Times New Roman" w:hAnsi="Times New Roman" w:cs="Times New Roman"/>
        </w:rPr>
        <w:t>This study received ethics approval from the University of Sheffield</w:t>
      </w:r>
      <w:r w:rsidR="00975170" w:rsidRPr="00E869A4">
        <w:rPr>
          <w:rFonts w:ascii="Times New Roman" w:hAnsi="Times New Roman" w:cs="Times New Roman"/>
        </w:rPr>
        <w:t xml:space="preserve"> (U</w:t>
      </w:r>
      <w:r w:rsidR="007A6B08" w:rsidRPr="00E869A4">
        <w:rPr>
          <w:rFonts w:ascii="Times New Roman" w:hAnsi="Times New Roman" w:cs="Times New Roman"/>
        </w:rPr>
        <w:t>O</w:t>
      </w:r>
      <w:r w:rsidR="00975170" w:rsidRPr="00E869A4">
        <w:rPr>
          <w:rFonts w:ascii="Times New Roman" w:hAnsi="Times New Roman" w:cs="Times New Roman"/>
        </w:rPr>
        <w:t>S)</w:t>
      </w:r>
      <w:r w:rsidRPr="00E869A4">
        <w:rPr>
          <w:rFonts w:ascii="Times New Roman" w:hAnsi="Times New Roman" w:cs="Times New Roman"/>
        </w:rPr>
        <w:t xml:space="preserve"> in 2009. In keeping with the University’s ethics policy and other ethical codes and declarations</w:t>
      </w:r>
      <w:r w:rsidRPr="00E869A4">
        <w:rPr>
          <w:rStyle w:val="FootnoteReference"/>
          <w:rFonts w:ascii="Times New Roman" w:hAnsi="Times New Roman" w:cs="Times New Roman"/>
        </w:rPr>
        <w:footnoteReference w:id="45"/>
      </w:r>
      <w:r w:rsidRPr="00E869A4">
        <w:rPr>
          <w:rFonts w:ascii="Times New Roman" w:hAnsi="Times New Roman" w:cs="Times New Roman"/>
        </w:rPr>
        <w:t xml:space="preserve">, this study recognised and respected the rights of participants to: consent, withdraw from, or refuse to take part in this study; confidentiality </w:t>
      </w:r>
      <w:r w:rsidR="00C762E7" w:rsidRPr="00E869A4">
        <w:rPr>
          <w:rFonts w:ascii="Times New Roman" w:hAnsi="Times New Roman" w:cs="Times New Roman"/>
        </w:rPr>
        <w:t>(</w:t>
      </w:r>
      <w:r w:rsidRPr="00E869A4">
        <w:rPr>
          <w:rFonts w:ascii="Times New Roman" w:hAnsi="Times New Roman" w:cs="Times New Roman"/>
        </w:rPr>
        <w:t>personal information or identifiable data was not disclosed without participants’ consent</w:t>
      </w:r>
      <w:r w:rsidR="00C762E7" w:rsidRPr="00E869A4">
        <w:rPr>
          <w:rFonts w:ascii="Times New Roman" w:hAnsi="Times New Roman" w:cs="Times New Roman"/>
        </w:rPr>
        <w:t>)</w:t>
      </w:r>
      <w:r w:rsidRPr="00E869A4">
        <w:rPr>
          <w:rFonts w:ascii="Times New Roman" w:hAnsi="Times New Roman" w:cs="Times New Roman"/>
        </w:rPr>
        <w:t xml:space="preserve">; security </w:t>
      </w:r>
      <w:r w:rsidR="00C762E7" w:rsidRPr="00E869A4">
        <w:rPr>
          <w:rFonts w:ascii="Times New Roman" w:hAnsi="Times New Roman" w:cs="Times New Roman"/>
        </w:rPr>
        <w:t>(</w:t>
      </w:r>
      <w:r w:rsidRPr="00E869A4">
        <w:rPr>
          <w:rFonts w:ascii="Times New Roman" w:hAnsi="Times New Roman" w:cs="Times New Roman"/>
        </w:rPr>
        <w:t>data collected was secured and anonymised where appropriate</w:t>
      </w:r>
      <w:r w:rsidR="00C762E7" w:rsidRPr="00E869A4">
        <w:rPr>
          <w:rFonts w:ascii="Times New Roman" w:hAnsi="Times New Roman" w:cs="Times New Roman"/>
        </w:rPr>
        <w:t>)</w:t>
      </w:r>
      <w:r w:rsidRPr="00E869A4">
        <w:rPr>
          <w:rFonts w:ascii="Times New Roman" w:hAnsi="Times New Roman" w:cs="Times New Roman"/>
        </w:rPr>
        <w:t xml:space="preserve">; and safety </w:t>
      </w:r>
      <w:r w:rsidR="00C762E7" w:rsidRPr="00E869A4">
        <w:rPr>
          <w:rFonts w:ascii="Times New Roman" w:hAnsi="Times New Roman" w:cs="Times New Roman"/>
        </w:rPr>
        <w:t>(</w:t>
      </w:r>
      <w:r w:rsidRPr="00E869A4">
        <w:rPr>
          <w:rFonts w:ascii="Times New Roman" w:hAnsi="Times New Roman" w:cs="Times New Roman"/>
        </w:rPr>
        <w:t>participants were not to be exposed to unnecessary or disproportionate levels of risk</w:t>
      </w:r>
      <w:r w:rsidR="00C762E7" w:rsidRPr="00E869A4">
        <w:rPr>
          <w:rFonts w:ascii="Times New Roman" w:hAnsi="Times New Roman" w:cs="Times New Roman"/>
        </w:rPr>
        <w:t>)</w:t>
      </w:r>
      <w:r w:rsidRPr="00E869A4">
        <w:rPr>
          <w:rFonts w:ascii="Times New Roman" w:hAnsi="Times New Roman" w:cs="Times New Roman"/>
        </w:rPr>
        <w:t xml:space="preserve">. </w:t>
      </w:r>
    </w:p>
    <w:p w14:paraId="11FCD18C" w14:textId="77777777" w:rsidR="005712E4" w:rsidRPr="00E869A4" w:rsidRDefault="005712E4" w:rsidP="00A35FF8">
      <w:pPr>
        <w:rPr>
          <w:rFonts w:ascii="Times New Roman" w:hAnsi="Times New Roman" w:cs="Times New Roman"/>
        </w:rPr>
      </w:pPr>
    </w:p>
    <w:p w14:paraId="2AFF944B" w14:textId="62FE2D13"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With respect to informed consent, the main guiding principles included choice (being fully aware of all alternatives), </w:t>
      </w:r>
      <w:r w:rsidR="00C762E7" w:rsidRPr="00E869A4">
        <w:rPr>
          <w:rFonts w:ascii="Times New Roman" w:hAnsi="Times New Roman" w:cs="Times New Roman"/>
        </w:rPr>
        <w:t>voluntariness (</w:t>
      </w:r>
      <w:r w:rsidRPr="00E869A4">
        <w:rPr>
          <w:rFonts w:ascii="Times New Roman" w:hAnsi="Times New Roman" w:cs="Times New Roman"/>
        </w:rPr>
        <w:t xml:space="preserve">this required the absence of any subtle coercion or manipulation by the researcher, including the withholding of information), and competence (this refers to </w:t>
      </w:r>
      <w:r w:rsidR="0078701E" w:rsidRPr="00E869A4">
        <w:rPr>
          <w:rFonts w:ascii="Times New Roman" w:hAnsi="Times New Roman" w:cs="Times New Roman"/>
        </w:rPr>
        <w:t xml:space="preserve">the </w:t>
      </w:r>
      <w:r w:rsidRPr="00E869A4">
        <w:rPr>
          <w:rFonts w:ascii="Times New Roman" w:hAnsi="Times New Roman" w:cs="Times New Roman"/>
        </w:rPr>
        <w:t>capacity of subjects to give consent with the knowledge that they are giving it and with an understanding of wh</w:t>
      </w:r>
      <w:r w:rsidR="001B5A46" w:rsidRPr="00E869A4">
        <w:rPr>
          <w:rFonts w:ascii="Times New Roman" w:hAnsi="Times New Roman" w:cs="Times New Roman"/>
        </w:rPr>
        <w:t>at it involves) (Harris &amp; Dyson</w:t>
      </w:r>
      <w:r w:rsidRPr="00E869A4">
        <w:rPr>
          <w:rFonts w:ascii="Times New Roman" w:hAnsi="Times New Roman" w:cs="Times New Roman"/>
        </w:rPr>
        <w:t xml:space="preserve"> 2001). These tenets were incorporated into the design of the study, and reflected in the information sheet and </w:t>
      </w:r>
      <w:r w:rsidR="00C762E7" w:rsidRPr="00E869A4">
        <w:rPr>
          <w:rFonts w:ascii="Times New Roman" w:hAnsi="Times New Roman" w:cs="Times New Roman"/>
        </w:rPr>
        <w:t>informed consent</w:t>
      </w:r>
      <w:r w:rsidRPr="00E869A4">
        <w:rPr>
          <w:rFonts w:ascii="Times New Roman" w:hAnsi="Times New Roman" w:cs="Times New Roman"/>
        </w:rPr>
        <w:t xml:space="preserve"> </w:t>
      </w:r>
      <w:r w:rsidR="00C762E7" w:rsidRPr="00E869A4">
        <w:rPr>
          <w:rFonts w:ascii="Times New Roman" w:hAnsi="Times New Roman" w:cs="Times New Roman"/>
        </w:rPr>
        <w:t>form, which</w:t>
      </w:r>
      <w:r w:rsidRPr="00E869A4">
        <w:rPr>
          <w:rFonts w:ascii="Times New Roman" w:hAnsi="Times New Roman" w:cs="Times New Roman"/>
        </w:rPr>
        <w:t xml:space="preserve"> were presented to participants before interviews commenced. Researcher safety and support is another important aspect of conducting ethical research and is discussed in a separate section below on risk management. </w:t>
      </w:r>
    </w:p>
    <w:p w14:paraId="62C6FC93" w14:textId="77777777" w:rsidR="00E75B4A" w:rsidRPr="00E869A4" w:rsidRDefault="00E75B4A" w:rsidP="00A35FF8">
      <w:pPr>
        <w:rPr>
          <w:rFonts w:ascii="Times New Roman" w:hAnsi="Times New Roman" w:cs="Times New Roman"/>
        </w:rPr>
      </w:pPr>
    </w:p>
    <w:p w14:paraId="63831FAC" w14:textId="5288BCC4"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On the issue of competence, I decided to limit the in-depth interviews to people who were physically frail rather than include those who lacked the cognitive capacity to participate. In so </w:t>
      </w:r>
      <w:r w:rsidR="00C762E7" w:rsidRPr="00E869A4">
        <w:rPr>
          <w:rFonts w:ascii="Times New Roman" w:hAnsi="Times New Roman" w:cs="Times New Roman"/>
        </w:rPr>
        <w:t>doing,</w:t>
      </w:r>
      <w:r w:rsidRPr="00E869A4">
        <w:rPr>
          <w:rFonts w:ascii="Times New Roman" w:hAnsi="Times New Roman" w:cs="Times New Roman"/>
        </w:rPr>
        <w:t xml:space="preserve"> I sought to achieve balance between the choice and competence criteria for informed consent. However, in order to ensure that the study included information on care for older people with cognitive frailty, I opted instead to obtain these insights from family carers of older persons with cognitive limitations in the focus group sessions. </w:t>
      </w:r>
      <w:r w:rsidR="00E93B1E" w:rsidRPr="00E869A4">
        <w:rPr>
          <w:rFonts w:ascii="Times New Roman" w:hAnsi="Times New Roman" w:cs="Times New Roman"/>
        </w:rPr>
        <w:t>Al</w:t>
      </w:r>
      <w:r w:rsidR="005C7E7C" w:rsidRPr="00E869A4">
        <w:rPr>
          <w:rFonts w:ascii="Times New Roman" w:hAnsi="Times New Roman" w:cs="Times New Roman"/>
        </w:rPr>
        <w:t>t</w:t>
      </w:r>
      <w:r w:rsidRPr="00E869A4">
        <w:rPr>
          <w:rFonts w:ascii="Times New Roman" w:hAnsi="Times New Roman" w:cs="Times New Roman"/>
        </w:rPr>
        <w:t>hough the use of a surrogate was not ideal as best practice suggests that as far as possible, marginalised groups that are within the research population should be included in research for which they are a part of the population, the in-depth interviews with older people in Trinidad and (the subsequently added) focus groups with elders in Tobago, compensated for this to some degree</w:t>
      </w:r>
      <w:r w:rsidR="005231AC" w:rsidRPr="00E869A4">
        <w:rPr>
          <w:rFonts w:ascii="Times New Roman" w:hAnsi="Times New Roman" w:cs="Times New Roman"/>
        </w:rPr>
        <w:t>, as they</w:t>
      </w:r>
      <w:r w:rsidRPr="00E869A4">
        <w:rPr>
          <w:rFonts w:ascii="Times New Roman" w:hAnsi="Times New Roman" w:cs="Times New Roman"/>
        </w:rPr>
        <w:t xml:space="preserve"> included older people of varying ages. </w:t>
      </w:r>
    </w:p>
    <w:p w14:paraId="4932A539" w14:textId="36ECC7E7" w:rsidR="00EB2193" w:rsidRPr="00E869A4" w:rsidRDefault="00C03772" w:rsidP="00A35FF8">
      <w:pPr>
        <w:rPr>
          <w:rFonts w:ascii="Times New Roman" w:hAnsi="Times New Roman" w:cs="Times New Roman"/>
        </w:rPr>
      </w:pPr>
      <w:r w:rsidRPr="00E869A4">
        <w:rPr>
          <w:rFonts w:ascii="Times New Roman" w:hAnsi="Times New Roman" w:cs="Times New Roman"/>
        </w:rPr>
        <w:lastRenderedPageBreak/>
        <w:t xml:space="preserve">With regards to determining the cognitive capacity of interview participants, the </w:t>
      </w:r>
      <w:r w:rsidR="00975170" w:rsidRPr="00E869A4">
        <w:rPr>
          <w:rFonts w:ascii="Times New Roman" w:hAnsi="Times New Roman" w:cs="Times New Roman"/>
        </w:rPr>
        <w:t>U</w:t>
      </w:r>
      <w:r w:rsidR="00E93B1E" w:rsidRPr="00E869A4">
        <w:rPr>
          <w:rFonts w:ascii="Times New Roman" w:hAnsi="Times New Roman" w:cs="Times New Roman"/>
        </w:rPr>
        <w:t>O</w:t>
      </w:r>
      <w:r w:rsidR="00975170" w:rsidRPr="00E869A4">
        <w:rPr>
          <w:rFonts w:ascii="Times New Roman" w:hAnsi="Times New Roman" w:cs="Times New Roman"/>
        </w:rPr>
        <w:t>S</w:t>
      </w:r>
      <w:r w:rsidRPr="00E869A4">
        <w:rPr>
          <w:rFonts w:ascii="Times New Roman" w:hAnsi="Times New Roman" w:cs="Times New Roman"/>
        </w:rPr>
        <w:t>’</w:t>
      </w:r>
      <w:r w:rsidR="00975170" w:rsidRPr="00E869A4">
        <w:rPr>
          <w:rFonts w:ascii="Times New Roman" w:hAnsi="Times New Roman" w:cs="Times New Roman"/>
        </w:rPr>
        <w:t xml:space="preserve"> </w:t>
      </w:r>
      <w:r w:rsidRPr="00E869A4">
        <w:rPr>
          <w:rFonts w:ascii="Times New Roman" w:hAnsi="Times New Roman" w:cs="Times New Roman"/>
        </w:rPr>
        <w:t xml:space="preserve">Research Ethics Committee stipulated that the first step in the process of seeking informed consent is determining whether a person has the necessary competence to participate.  To achieve this, some social researchers resort to using cognitive tests such as the Mini Mental State Examination (MMSE). However, as Hellstrӧm and colleagues (2007) and Harris and Dyson (2001) observed, such tools do not provide an accurate indication of whether or not an individual who may be diagnosed with a disease </w:t>
      </w:r>
      <w:r w:rsidR="004F314A" w:rsidRPr="00E869A4">
        <w:rPr>
          <w:rFonts w:ascii="Times New Roman" w:hAnsi="Times New Roman" w:cs="Times New Roman"/>
        </w:rPr>
        <w:t>such as</w:t>
      </w:r>
      <w:r w:rsidRPr="00E869A4">
        <w:rPr>
          <w:rFonts w:ascii="Times New Roman" w:hAnsi="Times New Roman" w:cs="Times New Roman"/>
        </w:rPr>
        <w:t xml:space="preserve"> dementia, can talk about their life experiences and needs. </w:t>
      </w:r>
    </w:p>
    <w:p w14:paraId="36F95A6B" w14:textId="77777777" w:rsidR="00EB2193" w:rsidRPr="00E869A4" w:rsidRDefault="00EB2193" w:rsidP="00A35FF8">
      <w:pPr>
        <w:rPr>
          <w:rFonts w:ascii="Times New Roman" w:hAnsi="Times New Roman" w:cs="Times New Roman"/>
        </w:rPr>
      </w:pPr>
    </w:p>
    <w:p w14:paraId="170E8521" w14:textId="7B4AF5E0" w:rsidR="00C03772" w:rsidRPr="00E869A4" w:rsidRDefault="00C03772" w:rsidP="00A35FF8">
      <w:pPr>
        <w:rPr>
          <w:rFonts w:ascii="Times New Roman" w:hAnsi="Times New Roman" w:cs="Times New Roman"/>
        </w:rPr>
      </w:pPr>
      <w:r w:rsidRPr="00E869A4">
        <w:rPr>
          <w:rFonts w:ascii="Times New Roman" w:hAnsi="Times New Roman" w:cs="Times New Roman"/>
        </w:rPr>
        <w:t>Annas et al</w:t>
      </w:r>
      <w:r w:rsidR="001B5A46" w:rsidRPr="00E869A4">
        <w:rPr>
          <w:rFonts w:ascii="Times New Roman" w:hAnsi="Times New Roman" w:cs="Times New Roman"/>
        </w:rPr>
        <w:t>.</w:t>
      </w:r>
      <w:r w:rsidRPr="00E869A4">
        <w:rPr>
          <w:rFonts w:ascii="Times New Roman" w:hAnsi="Times New Roman" w:cs="Times New Roman"/>
        </w:rPr>
        <w:t xml:space="preserve"> (2011) echoed this sentiment and noted that people who are diagnosed with a cognitive limitation may have varying degrees of competence which may fluctuate. Given these considerations, for the purpose of this study, instead of using cognitive tests, I chose instead to use a screening process that involved obtaining proxy information on the capacity of the older person from their family caregiver in the first instance, and triangulate this information with my own observations (the steps are specified below in the section on the original and actual study design). In so doing, I adhered to the </w:t>
      </w:r>
      <w:r w:rsidR="00975170" w:rsidRPr="00E869A4">
        <w:rPr>
          <w:rFonts w:ascii="Times New Roman" w:hAnsi="Times New Roman" w:cs="Times New Roman"/>
        </w:rPr>
        <w:t>U</w:t>
      </w:r>
      <w:r w:rsidR="00E93B1E" w:rsidRPr="00E869A4">
        <w:rPr>
          <w:rFonts w:ascii="Times New Roman" w:hAnsi="Times New Roman" w:cs="Times New Roman"/>
        </w:rPr>
        <w:t>O</w:t>
      </w:r>
      <w:r w:rsidR="00975170" w:rsidRPr="00E869A4">
        <w:rPr>
          <w:rFonts w:ascii="Times New Roman" w:hAnsi="Times New Roman" w:cs="Times New Roman"/>
        </w:rPr>
        <w:t>S</w:t>
      </w:r>
      <w:r w:rsidRPr="00E869A4">
        <w:rPr>
          <w:rFonts w:ascii="Times New Roman" w:hAnsi="Times New Roman" w:cs="Times New Roman"/>
        </w:rPr>
        <w:t>’ ethical guidelines in that I did not unquestioningly accept the view of the caregiver about the cognitive capacity of the</w:t>
      </w:r>
      <w:r w:rsidR="00E93B1E" w:rsidRPr="00E869A4">
        <w:rPr>
          <w:rFonts w:ascii="Times New Roman" w:hAnsi="Times New Roman" w:cs="Times New Roman"/>
        </w:rPr>
        <w:t xml:space="preserve"> care recipient</w:t>
      </w:r>
      <w:r w:rsidRPr="00E869A4">
        <w:rPr>
          <w:rFonts w:ascii="Times New Roman" w:hAnsi="Times New Roman" w:cs="Times New Roman"/>
        </w:rPr>
        <w:t>, but at the same time the caregiver was included in the screening process</w:t>
      </w:r>
      <w:r w:rsidR="00E93B1E" w:rsidRPr="00E869A4">
        <w:rPr>
          <w:rFonts w:ascii="Times New Roman" w:hAnsi="Times New Roman" w:cs="Times New Roman"/>
        </w:rPr>
        <w:t>,</w:t>
      </w:r>
      <w:r w:rsidRPr="00E869A4">
        <w:rPr>
          <w:rFonts w:ascii="Times New Roman" w:hAnsi="Times New Roman" w:cs="Times New Roman"/>
        </w:rPr>
        <w:t xml:space="preserve"> as they were a main gatekeeper from whom I needed to garner support in order to </w:t>
      </w:r>
      <w:r w:rsidR="005C7E7C" w:rsidRPr="00E869A4">
        <w:rPr>
          <w:rFonts w:ascii="Times New Roman" w:hAnsi="Times New Roman" w:cs="Times New Roman"/>
        </w:rPr>
        <w:t xml:space="preserve">obtain </w:t>
      </w:r>
      <w:r w:rsidR="00E93B1E" w:rsidRPr="00E869A4">
        <w:rPr>
          <w:rFonts w:ascii="Times New Roman" w:hAnsi="Times New Roman" w:cs="Times New Roman"/>
        </w:rPr>
        <w:t xml:space="preserve">access </w:t>
      </w:r>
      <w:r w:rsidR="005C7E7C" w:rsidRPr="00E869A4">
        <w:rPr>
          <w:rFonts w:ascii="Times New Roman" w:hAnsi="Times New Roman" w:cs="Times New Roman"/>
        </w:rPr>
        <w:t xml:space="preserve">to </w:t>
      </w:r>
      <w:r w:rsidR="00E93B1E" w:rsidRPr="00E869A4">
        <w:rPr>
          <w:rFonts w:ascii="Times New Roman" w:hAnsi="Times New Roman" w:cs="Times New Roman"/>
        </w:rPr>
        <w:t>the care recipient</w:t>
      </w:r>
      <w:r w:rsidR="005C7E7C" w:rsidRPr="00E869A4">
        <w:rPr>
          <w:rFonts w:ascii="Times New Roman" w:hAnsi="Times New Roman" w:cs="Times New Roman"/>
        </w:rPr>
        <w:t xml:space="preserve">.  </w:t>
      </w:r>
    </w:p>
    <w:p w14:paraId="2315F6B1" w14:textId="77777777" w:rsidR="005712E4" w:rsidRPr="00E869A4" w:rsidRDefault="005712E4" w:rsidP="00A35FF8">
      <w:pPr>
        <w:rPr>
          <w:rFonts w:ascii="Times New Roman" w:hAnsi="Times New Roman" w:cs="Times New Roman"/>
        </w:rPr>
      </w:pPr>
    </w:p>
    <w:p w14:paraId="1CA5A484" w14:textId="7213ACDE" w:rsidR="00C03772" w:rsidRPr="00E869A4" w:rsidRDefault="00C03772" w:rsidP="00A35FF8">
      <w:pPr>
        <w:rPr>
          <w:rFonts w:ascii="Times New Roman" w:hAnsi="Times New Roman" w:cs="Times New Roman"/>
        </w:rPr>
      </w:pPr>
      <w:r w:rsidRPr="00E869A4">
        <w:rPr>
          <w:rFonts w:ascii="Times New Roman" w:hAnsi="Times New Roman" w:cs="Times New Roman"/>
        </w:rPr>
        <w:t>In keeping with the recommendations of social researchers who specialised in studying vulnerable populations (e.g. Annas et al</w:t>
      </w:r>
      <w:r w:rsidR="004F314A" w:rsidRPr="00E869A4">
        <w:rPr>
          <w:rFonts w:ascii="Times New Roman" w:hAnsi="Times New Roman" w:cs="Times New Roman"/>
        </w:rPr>
        <w:t>.</w:t>
      </w:r>
      <w:r w:rsidRPr="00E869A4">
        <w:rPr>
          <w:rFonts w:ascii="Times New Roman" w:hAnsi="Times New Roman" w:cs="Times New Roman"/>
        </w:rPr>
        <w:t xml:space="preserve"> 2011; </w:t>
      </w:r>
      <w:r w:rsidR="004F314A" w:rsidRPr="00E869A4">
        <w:rPr>
          <w:rFonts w:ascii="Times New Roman" w:hAnsi="Times New Roman" w:cs="Times New Roman"/>
        </w:rPr>
        <w:t xml:space="preserve">Harris &amp; Dyson 2001; </w:t>
      </w:r>
      <w:r w:rsidRPr="00E869A4">
        <w:rPr>
          <w:rFonts w:ascii="Times New Roman" w:hAnsi="Times New Roman" w:cs="Times New Roman"/>
        </w:rPr>
        <w:t>Sessums</w:t>
      </w:r>
      <w:r w:rsidR="00012BFB" w:rsidRPr="00E869A4">
        <w:rPr>
          <w:rFonts w:ascii="Times New Roman" w:hAnsi="Times New Roman" w:cs="Times New Roman"/>
        </w:rPr>
        <w:t>,</w:t>
      </w:r>
      <w:r w:rsidR="00012BFB" w:rsidRPr="00E869A4">
        <w:rPr>
          <w:rFonts w:ascii="Times New Roman" w:eastAsia="Times New Roman" w:hAnsi="Times New Roman" w:cs="Times New Roman"/>
          <w:bCs/>
          <w:iCs/>
          <w:lang w:eastAsia="en-US"/>
        </w:rPr>
        <w:t xml:space="preserve"> Zembrzuska &amp; Jackson 2011</w:t>
      </w:r>
      <w:r w:rsidR="004F314A" w:rsidRPr="00E869A4">
        <w:rPr>
          <w:rFonts w:ascii="Times New Roman" w:hAnsi="Times New Roman" w:cs="Times New Roman"/>
        </w:rPr>
        <w:t>; Sudore et al. 2006</w:t>
      </w:r>
      <w:r w:rsidRPr="00E869A4">
        <w:rPr>
          <w:rFonts w:ascii="Times New Roman" w:hAnsi="Times New Roman" w:cs="Times New Roman"/>
        </w:rPr>
        <w:t>), the main approach for determining whether a person had the necessary capacity was based on the ‘</w:t>
      </w:r>
      <w:r w:rsidRPr="00E869A4">
        <w:rPr>
          <w:rFonts w:ascii="Times New Roman" w:hAnsi="Times New Roman" w:cs="Times New Roman"/>
          <w:i/>
        </w:rPr>
        <w:t>ethics as a process</w:t>
      </w:r>
      <w:r w:rsidRPr="00E869A4">
        <w:rPr>
          <w:rFonts w:ascii="Times New Roman" w:hAnsi="Times New Roman" w:cs="Times New Roman"/>
        </w:rPr>
        <w:t xml:space="preserve">’ framework depicted in the work of </w:t>
      </w:r>
      <w:r w:rsidR="00C75271" w:rsidRPr="00E869A4">
        <w:rPr>
          <w:rFonts w:ascii="Times New Roman" w:hAnsi="Times New Roman" w:cs="Times New Roman"/>
        </w:rPr>
        <w:t>(</w:t>
      </w:r>
      <w:r w:rsidRPr="00E869A4">
        <w:rPr>
          <w:rFonts w:ascii="Times New Roman" w:hAnsi="Times New Roman" w:cs="Times New Roman"/>
        </w:rPr>
        <w:t xml:space="preserve">Harris </w:t>
      </w:r>
      <w:r w:rsidR="00C75271" w:rsidRPr="00E869A4">
        <w:rPr>
          <w:rFonts w:ascii="Times New Roman" w:hAnsi="Times New Roman" w:cs="Times New Roman"/>
        </w:rPr>
        <w:t xml:space="preserve">&amp; Dyson </w:t>
      </w:r>
      <w:r w:rsidRPr="00E869A4">
        <w:rPr>
          <w:rFonts w:ascii="Times New Roman" w:hAnsi="Times New Roman" w:cs="Times New Roman"/>
        </w:rPr>
        <w:t>2001</w:t>
      </w:r>
      <w:r w:rsidR="005231AC" w:rsidRPr="00E869A4">
        <w:rPr>
          <w:rFonts w:ascii="Times New Roman" w:hAnsi="Times New Roman" w:cs="Times New Roman"/>
        </w:rPr>
        <w:t>). T</w:t>
      </w:r>
      <w:r w:rsidRPr="00E869A4">
        <w:rPr>
          <w:rFonts w:ascii="Times New Roman" w:hAnsi="Times New Roman" w:cs="Times New Roman"/>
        </w:rPr>
        <w:t xml:space="preserve">hey asserted that informed consent should be a dynamic and interactive </w:t>
      </w:r>
      <w:r w:rsidR="005231AC" w:rsidRPr="00E869A4">
        <w:rPr>
          <w:rFonts w:ascii="Times New Roman" w:hAnsi="Times New Roman" w:cs="Times New Roman"/>
        </w:rPr>
        <w:t>process that is “not an absolute state</w:t>
      </w:r>
      <w:r w:rsidRPr="00E869A4">
        <w:rPr>
          <w:rFonts w:ascii="Times New Roman" w:hAnsi="Times New Roman" w:cs="Times New Roman"/>
        </w:rPr>
        <w:t xml:space="preserve"> or just a process of getting a signature on a form</w:t>
      </w:r>
      <w:r w:rsidR="00E75B4A" w:rsidRPr="00E869A4">
        <w:rPr>
          <w:rFonts w:ascii="Times New Roman" w:hAnsi="Times New Roman" w:cs="Times New Roman"/>
        </w:rPr>
        <w:t>.</w:t>
      </w:r>
      <w:r w:rsidRPr="00E869A4">
        <w:rPr>
          <w:rFonts w:ascii="Times New Roman" w:hAnsi="Times New Roman" w:cs="Times New Roman"/>
        </w:rPr>
        <w:t>”</w:t>
      </w:r>
      <w:r w:rsidR="00C75271" w:rsidRPr="00E869A4">
        <w:rPr>
          <w:rFonts w:ascii="Times New Roman" w:hAnsi="Times New Roman" w:cs="Times New Roman"/>
        </w:rPr>
        <w:t xml:space="preserve"> (Harris &amp; Dyson 2001, p. 645).</w:t>
      </w:r>
      <w:r w:rsidRPr="00E869A4">
        <w:rPr>
          <w:rFonts w:ascii="Times New Roman" w:hAnsi="Times New Roman" w:cs="Times New Roman"/>
        </w:rPr>
        <w:t xml:space="preserve"> They proposed that this process should begin by explaining the project to the potential research participant, assessing their understanding by asking specific questions about the information that was provided about the research</w:t>
      </w:r>
      <w:r w:rsidR="005231AC" w:rsidRPr="00E869A4">
        <w:rPr>
          <w:rFonts w:ascii="Times New Roman" w:hAnsi="Times New Roman" w:cs="Times New Roman"/>
        </w:rPr>
        <w:t>,</w:t>
      </w:r>
      <w:r w:rsidRPr="00E869A4">
        <w:rPr>
          <w:rFonts w:ascii="Times New Roman" w:hAnsi="Times New Roman" w:cs="Times New Roman"/>
        </w:rPr>
        <w:t xml:space="preserve"> before asking the potential participant for their decision about whether or not they want to participate in the study. These are the basic principles that informed Sudore and colleagues’ </w:t>
      </w:r>
      <w:r w:rsidR="007C0F78" w:rsidRPr="00E869A4">
        <w:rPr>
          <w:rFonts w:ascii="Times New Roman" w:hAnsi="Times New Roman" w:cs="Times New Roman"/>
        </w:rPr>
        <w:t>‘</w:t>
      </w:r>
      <w:r w:rsidR="007C0F78" w:rsidRPr="00E869A4">
        <w:rPr>
          <w:rFonts w:ascii="Times New Roman" w:hAnsi="Times New Roman" w:cs="Times New Roman"/>
          <w:i/>
        </w:rPr>
        <w:t>teach-to-goal strategy’</w:t>
      </w:r>
      <w:r w:rsidRPr="00E869A4">
        <w:rPr>
          <w:rFonts w:ascii="Times New Roman" w:hAnsi="Times New Roman" w:cs="Times New Roman"/>
        </w:rPr>
        <w:t xml:space="preserve"> in which participants with cognitive challenges were presented with the informed consent information on at least two occasion</w:t>
      </w:r>
      <w:r w:rsidR="00BF05BC" w:rsidRPr="00E869A4">
        <w:rPr>
          <w:rFonts w:ascii="Times New Roman" w:hAnsi="Times New Roman" w:cs="Times New Roman"/>
        </w:rPr>
        <w:t>s</w:t>
      </w:r>
      <w:r w:rsidR="005231AC" w:rsidRPr="00E869A4">
        <w:rPr>
          <w:rFonts w:ascii="Times New Roman" w:hAnsi="Times New Roman" w:cs="Times New Roman"/>
        </w:rPr>
        <w:t>,</w:t>
      </w:r>
      <w:r w:rsidRPr="00E869A4">
        <w:rPr>
          <w:rFonts w:ascii="Times New Roman" w:hAnsi="Times New Roman" w:cs="Times New Roman"/>
        </w:rPr>
        <w:t xml:space="preserve"> and were engaged in discussions to ascertain the degree to which they understood the requirements of the </w:t>
      </w:r>
      <w:r w:rsidRPr="00E869A4">
        <w:rPr>
          <w:rFonts w:ascii="Times New Roman" w:hAnsi="Times New Roman" w:cs="Times New Roman"/>
        </w:rPr>
        <w:lastRenderedPageBreak/>
        <w:t>study, and provided with clarification where necessary</w:t>
      </w:r>
      <w:r w:rsidR="00C75271" w:rsidRPr="00E869A4">
        <w:rPr>
          <w:rFonts w:ascii="Times New Roman" w:hAnsi="Times New Roman" w:cs="Times New Roman"/>
        </w:rPr>
        <w:t xml:space="preserve"> (Sudore et al. 2006, p. 868)</w:t>
      </w:r>
      <w:r w:rsidRPr="00E869A4">
        <w:rPr>
          <w:rFonts w:ascii="Times New Roman" w:hAnsi="Times New Roman" w:cs="Times New Roman"/>
        </w:rPr>
        <w:t>. However, care had to be taken to ensure that respondents were not made to feel insulted by repea</w:t>
      </w:r>
      <w:r w:rsidR="007C0F78" w:rsidRPr="00E869A4">
        <w:rPr>
          <w:rFonts w:ascii="Times New Roman" w:hAnsi="Times New Roman" w:cs="Times New Roman"/>
        </w:rPr>
        <w:t>ted questioning (Harris &amp; Dyson</w:t>
      </w:r>
      <w:r w:rsidRPr="00E869A4">
        <w:rPr>
          <w:rFonts w:ascii="Times New Roman" w:hAnsi="Times New Roman" w:cs="Times New Roman"/>
        </w:rPr>
        <w:t xml:space="preserve"> 2001).  </w:t>
      </w:r>
    </w:p>
    <w:p w14:paraId="19A528FB" w14:textId="77777777" w:rsidR="005712E4" w:rsidRPr="00E869A4" w:rsidRDefault="005712E4" w:rsidP="00A35FF8">
      <w:pPr>
        <w:rPr>
          <w:rFonts w:ascii="Times New Roman" w:hAnsi="Times New Roman" w:cs="Times New Roman"/>
        </w:rPr>
      </w:pPr>
    </w:p>
    <w:p w14:paraId="70EB23FE" w14:textId="6055BC3A" w:rsidR="00597E9E" w:rsidRPr="00E869A4" w:rsidRDefault="00C03772" w:rsidP="00A35FF8">
      <w:pPr>
        <w:rPr>
          <w:rFonts w:ascii="Times New Roman" w:hAnsi="Times New Roman" w:cs="Times New Roman"/>
        </w:rPr>
      </w:pPr>
      <w:r w:rsidRPr="00E869A4">
        <w:rPr>
          <w:rFonts w:ascii="Times New Roman" w:hAnsi="Times New Roman" w:cs="Times New Roman"/>
        </w:rPr>
        <w:t xml:space="preserve">Harris and Dyson’s approach to assessing </w:t>
      </w:r>
      <w:r w:rsidR="00956052" w:rsidRPr="00E869A4">
        <w:rPr>
          <w:rFonts w:ascii="Times New Roman" w:hAnsi="Times New Roman" w:cs="Times New Roman"/>
        </w:rPr>
        <w:t xml:space="preserve">a </w:t>
      </w:r>
      <w:r w:rsidRPr="00E869A4">
        <w:rPr>
          <w:rFonts w:ascii="Times New Roman" w:hAnsi="Times New Roman" w:cs="Times New Roman"/>
        </w:rPr>
        <w:t>respondent’s capacity to engage in the research process was also instructive. Some of the cues they recommended researchers should give attention to</w:t>
      </w:r>
      <w:r w:rsidR="00956052" w:rsidRPr="00E869A4">
        <w:rPr>
          <w:rFonts w:ascii="Times New Roman" w:hAnsi="Times New Roman" w:cs="Times New Roman"/>
        </w:rPr>
        <w:t>,</w:t>
      </w:r>
      <w:r w:rsidRPr="00E869A4">
        <w:rPr>
          <w:rFonts w:ascii="Times New Roman" w:hAnsi="Times New Roman" w:cs="Times New Roman"/>
        </w:rPr>
        <w:t xml:space="preserve"> were whether the individual was able to concentrate and engage in what the researcher was saying</w:t>
      </w:r>
      <w:r w:rsidR="00956052" w:rsidRPr="00E869A4">
        <w:rPr>
          <w:rFonts w:ascii="Times New Roman" w:hAnsi="Times New Roman" w:cs="Times New Roman"/>
        </w:rPr>
        <w:t>,</w:t>
      </w:r>
      <w:r w:rsidRPr="00E869A4">
        <w:rPr>
          <w:rFonts w:ascii="Times New Roman" w:hAnsi="Times New Roman" w:cs="Times New Roman"/>
        </w:rPr>
        <w:t xml:space="preserve"> as evidenced by the appropriateness of the questions they asked</w:t>
      </w:r>
      <w:r w:rsidR="00597E9E" w:rsidRPr="00E869A4">
        <w:rPr>
          <w:rFonts w:ascii="Times New Roman" w:hAnsi="Times New Roman" w:cs="Times New Roman"/>
        </w:rPr>
        <w:t>,</w:t>
      </w:r>
      <w:r w:rsidRPr="00E869A4">
        <w:rPr>
          <w:rFonts w:ascii="Times New Roman" w:hAnsi="Times New Roman" w:cs="Times New Roman"/>
        </w:rPr>
        <w:t xml:space="preserve"> and their response to what was shared. Researchers should pay attention to any inconsistencies in what the individual said, and whether the respondent constantly went off tangent or</w:t>
      </w:r>
      <w:r w:rsidR="00597E9E" w:rsidRPr="00E869A4">
        <w:rPr>
          <w:rFonts w:ascii="Times New Roman" w:hAnsi="Times New Roman" w:cs="Times New Roman"/>
        </w:rPr>
        <w:t>,</w:t>
      </w:r>
      <w:r w:rsidRPr="00E869A4">
        <w:rPr>
          <w:rFonts w:ascii="Times New Roman" w:hAnsi="Times New Roman" w:cs="Times New Roman"/>
        </w:rPr>
        <w:t xml:space="preserve"> was preoccupied with another agenda. Researchers were also required to note whether the individual sought clarification if they appeared to not understand what was shared or if they denied not understanding even when it was obvious that they did not grasp the information. Particular attention must also be given to assessing whether the respondent understood the risks and benefits of participating in the study and the consequences of consenting or not consenting to participate (Harris &amp; Dyson 2001). </w:t>
      </w:r>
    </w:p>
    <w:p w14:paraId="6D5F3DA3" w14:textId="77777777" w:rsidR="00597E9E" w:rsidRPr="00E869A4" w:rsidRDefault="00597E9E" w:rsidP="00A35FF8">
      <w:pPr>
        <w:rPr>
          <w:rFonts w:ascii="Times New Roman" w:hAnsi="Times New Roman" w:cs="Times New Roman"/>
        </w:rPr>
      </w:pPr>
    </w:p>
    <w:p w14:paraId="7021F488" w14:textId="5422E1FF" w:rsidR="00C03772" w:rsidRPr="00E869A4" w:rsidRDefault="00C03772" w:rsidP="00A35FF8">
      <w:pPr>
        <w:rPr>
          <w:rFonts w:ascii="Times New Roman" w:hAnsi="Times New Roman" w:cs="Times New Roman"/>
        </w:rPr>
      </w:pPr>
      <w:r w:rsidRPr="00E869A4">
        <w:rPr>
          <w:rFonts w:ascii="Times New Roman" w:hAnsi="Times New Roman" w:cs="Times New Roman"/>
        </w:rPr>
        <w:t>Additionally, Hellstrӧm and colleagues’ recommendations for treating with dementia patients were also relevant for addressing the needs of all participants</w:t>
      </w:r>
      <w:r w:rsidR="007F128B" w:rsidRPr="00E869A4">
        <w:rPr>
          <w:rFonts w:ascii="Times New Roman" w:hAnsi="Times New Roman" w:cs="Times New Roman"/>
        </w:rPr>
        <w:t>,</w:t>
      </w:r>
      <w:r w:rsidRPr="00E869A4">
        <w:rPr>
          <w:rFonts w:ascii="Times New Roman" w:hAnsi="Times New Roman" w:cs="Times New Roman"/>
        </w:rPr>
        <w:t xml:space="preserve"> irrespective of whether or not they were diagnosed with a cognitive disability. These include</w:t>
      </w:r>
      <w:r w:rsidR="00597E9E" w:rsidRPr="00E869A4">
        <w:rPr>
          <w:rFonts w:ascii="Times New Roman" w:hAnsi="Times New Roman" w:cs="Times New Roman"/>
        </w:rPr>
        <w:t>d</w:t>
      </w:r>
      <w:r w:rsidRPr="00E869A4">
        <w:rPr>
          <w:rFonts w:ascii="Times New Roman" w:hAnsi="Times New Roman" w:cs="Times New Roman"/>
        </w:rPr>
        <w:t xml:space="preserve"> </w:t>
      </w:r>
      <w:r w:rsidRPr="00E869A4">
        <w:rPr>
          <w:rFonts w:ascii="Times New Roman" w:hAnsi="Times New Roman" w:cs="Times New Roman"/>
          <w:i/>
        </w:rPr>
        <w:t>inter alia</w:t>
      </w:r>
      <w:r w:rsidRPr="00E869A4">
        <w:rPr>
          <w:rFonts w:ascii="Times New Roman" w:hAnsi="Times New Roman" w:cs="Times New Roman"/>
        </w:rPr>
        <w:t>, providing a safe context, establishing good relationships based on trust, warmth and empathy, being sensitive to power inequalities, and finding a positive subject on which to conclude interviews (Hellstrӧm et al</w:t>
      </w:r>
      <w:r w:rsidR="007F128B" w:rsidRPr="00E869A4">
        <w:rPr>
          <w:rFonts w:ascii="Times New Roman" w:hAnsi="Times New Roman" w:cs="Times New Roman"/>
        </w:rPr>
        <w:t>.</w:t>
      </w:r>
      <w:r w:rsidRPr="00E869A4">
        <w:rPr>
          <w:rFonts w:ascii="Times New Roman" w:hAnsi="Times New Roman" w:cs="Times New Roman"/>
        </w:rPr>
        <w:t xml:space="preserve"> 2007). These principles were used to guide the design and implementation of the various phases of this study.  The steps for operationali</w:t>
      </w:r>
      <w:r w:rsidR="00597E9E" w:rsidRPr="00E869A4">
        <w:rPr>
          <w:rFonts w:ascii="Times New Roman" w:hAnsi="Times New Roman" w:cs="Times New Roman"/>
        </w:rPr>
        <w:t>s</w:t>
      </w:r>
      <w:r w:rsidRPr="00E869A4">
        <w:rPr>
          <w:rFonts w:ascii="Times New Roman" w:hAnsi="Times New Roman" w:cs="Times New Roman"/>
        </w:rPr>
        <w:t>ing these principles are presented in more detail in the sections that follow.</w:t>
      </w:r>
    </w:p>
    <w:p w14:paraId="2FF20328" w14:textId="77777777" w:rsidR="007F128B" w:rsidRPr="00E869A4" w:rsidRDefault="007F128B" w:rsidP="00A35FF8">
      <w:pPr>
        <w:rPr>
          <w:rFonts w:ascii="Times New Roman" w:hAnsi="Times New Roman" w:cs="Times New Roman"/>
        </w:rPr>
      </w:pPr>
    </w:p>
    <w:p w14:paraId="61AEECF5" w14:textId="77777777" w:rsidR="00C03772" w:rsidRPr="00E869A4" w:rsidRDefault="00C03772" w:rsidP="004E2181">
      <w:pPr>
        <w:pStyle w:val="Heading4"/>
      </w:pPr>
      <w:r w:rsidRPr="00E869A4">
        <w:t>Incentives for participants</w:t>
      </w:r>
    </w:p>
    <w:p w14:paraId="0EC54E0C" w14:textId="77777777" w:rsidR="005712E4" w:rsidRPr="00E869A4" w:rsidRDefault="005712E4" w:rsidP="0051234F">
      <w:pPr>
        <w:pStyle w:val="112"/>
        <w:rPr>
          <w:color w:val="auto"/>
        </w:rPr>
      </w:pPr>
    </w:p>
    <w:p w14:paraId="424FCA12" w14:textId="47A6F3EE" w:rsidR="00C03772" w:rsidRPr="00E869A4" w:rsidRDefault="00C03772" w:rsidP="00A35FF8">
      <w:pPr>
        <w:rPr>
          <w:rFonts w:ascii="Times New Roman" w:hAnsi="Times New Roman" w:cs="Times New Roman"/>
        </w:rPr>
      </w:pPr>
      <w:r w:rsidRPr="00E869A4">
        <w:rPr>
          <w:rFonts w:ascii="Times New Roman" w:hAnsi="Times New Roman" w:cs="Times New Roman"/>
        </w:rPr>
        <w:t>Another important ethical consideration</w:t>
      </w:r>
      <w:r w:rsidR="001728F0" w:rsidRPr="00E869A4">
        <w:rPr>
          <w:rFonts w:ascii="Times New Roman" w:hAnsi="Times New Roman" w:cs="Times New Roman"/>
        </w:rPr>
        <w:t>,</w:t>
      </w:r>
      <w:r w:rsidRPr="00E869A4">
        <w:rPr>
          <w:rFonts w:ascii="Times New Roman" w:hAnsi="Times New Roman" w:cs="Times New Roman"/>
        </w:rPr>
        <w:t xml:space="preserve"> was to ensure that participants benefitted in some way from the study either directly and/or indirectly</w:t>
      </w:r>
      <w:r w:rsidR="001728F0" w:rsidRPr="00E869A4">
        <w:rPr>
          <w:rFonts w:ascii="Times New Roman" w:hAnsi="Times New Roman" w:cs="Times New Roman"/>
        </w:rPr>
        <w:t>,</w:t>
      </w:r>
      <w:r w:rsidRPr="00E869A4">
        <w:rPr>
          <w:rFonts w:ascii="Times New Roman" w:hAnsi="Times New Roman" w:cs="Times New Roman"/>
        </w:rPr>
        <w:t xml:space="preserve"> given the time invested and the invaluable contributions that they provided (</w:t>
      </w:r>
      <w:r w:rsidR="007F128B" w:rsidRPr="00E869A4">
        <w:rPr>
          <w:rFonts w:ascii="Times New Roman" w:hAnsi="Times New Roman" w:cs="Times New Roman"/>
        </w:rPr>
        <w:t xml:space="preserve">Creswell 2013; </w:t>
      </w:r>
      <w:r w:rsidRPr="00E869A4">
        <w:rPr>
          <w:rFonts w:ascii="Times New Roman" w:hAnsi="Times New Roman" w:cs="Times New Roman"/>
        </w:rPr>
        <w:t xml:space="preserve">Jensen &amp; Laurie 2016). The information sheet specified some social incentives such as providing information that could be used to develop useful policies and services to help older people and their family caregivers. Also, participants were to be presented with a tangible token for </w:t>
      </w:r>
      <w:r w:rsidRPr="00E869A4">
        <w:rPr>
          <w:rFonts w:ascii="Times New Roman" w:hAnsi="Times New Roman" w:cs="Times New Roman"/>
        </w:rPr>
        <w:lastRenderedPageBreak/>
        <w:t xml:space="preserve">their participation which was valued at an average of </w:t>
      </w:r>
      <w:r w:rsidR="009902B0" w:rsidRPr="00E869A4">
        <w:rPr>
          <w:rFonts w:ascii="Times New Roman" w:hAnsi="Times New Roman" w:cs="Times New Roman"/>
        </w:rPr>
        <w:t>30</w:t>
      </w:r>
      <w:r w:rsidRPr="00E869A4">
        <w:rPr>
          <w:rFonts w:ascii="Times New Roman" w:hAnsi="Times New Roman" w:cs="Times New Roman"/>
        </w:rPr>
        <w:t xml:space="preserve"> </w:t>
      </w:r>
      <w:r w:rsidR="00EB2DA1" w:rsidRPr="00E869A4">
        <w:rPr>
          <w:rFonts w:ascii="Times New Roman" w:eastAsiaTheme="majorEastAsia" w:hAnsi="Times New Roman" w:cs="Times New Roman"/>
          <w:bCs/>
          <w:szCs w:val="26"/>
        </w:rPr>
        <w:t>T&amp;T</w:t>
      </w:r>
      <w:r w:rsidRPr="00E869A4">
        <w:rPr>
          <w:rFonts w:ascii="Times New Roman" w:hAnsi="Times New Roman" w:cs="Times New Roman"/>
        </w:rPr>
        <w:t xml:space="preserve"> dollars (</w:t>
      </w:r>
      <w:r w:rsidR="009902B0" w:rsidRPr="00E869A4">
        <w:rPr>
          <w:rFonts w:ascii="Times New Roman" w:hAnsi="Times New Roman" w:cs="Times New Roman"/>
        </w:rPr>
        <w:t xml:space="preserve">TTD) </w:t>
      </w:r>
      <w:r w:rsidRPr="00E869A4">
        <w:rPr>
          <w:rStyle w:val="CommentReference"/>
          <w:rFonts w:ascii="Times New Roman" w:hAnsi="Times New Roman" w:cs="Times New Roman"/>
          <w:sz w:val="24"/>
        </w:rPr>
        <w:t xml:space="preserve">which </w:t>
      </w:r>
      <w:r w:rsidR="000A24D3" w:rsidRPr="00E869A4">
        <w:rPr>
          <w:rStyle w:val="CommentReference"/>
          <w:rFonts w:ascii="Times New Roman" w:hAnsi="Times New Roman" w:cs="Times New Roman"/>
          <w:sz w:val="24"/>
        </w:rPr>
        <w:t>is</w:t>
      </w:r>
      <w:r w:rsidRPr="00E869A4">
        <w:rPr>
          <w:rStyle w:val="CommentReference"/>
          <w:rFonts w:ascii="Times New Roman" w:hAnsi="Times New Roman" w:cs="Times New Roman"/>
          <w:sz w:val="24"/>
        </w:rPr>
        <w:t xml:space="preserve"> equivalent to about </w:t>
      </w:r>
      <w:r w:rsidR="007F128B" w:rsidRPr="00E869A4">
        <w:rPr>
          <w:rStyle w:val="CommentReference"/>
          <w:rFonts w:ascii="Times New Roman" w:hAnsi="Times New Roman" w:cs="Times New Roman"/>
          <w:sz w:val="24"/>
        </w:rPr>
        <w:t>£</w:t>
      </w:r>
      <w:r w:rsidRPr="00E869A4">
        <w:rPr>
          <w:rFonts w:ascii="Times New Roman" w:hAnsi="Times New Roman" w:cs="Times New Roman"/>
        </w:rPr>
        <w:t>3) each. Tokens included non-monetary gifts such as stationery items and miniature daily living aids (e.g. grip tools, holders and writing tools</w:t>
      </w:r>
      <w:r w:rsidR="001728F0" w:rsidRPr="00E869A4">
        <w:rPr>
          <w:rFonts w:ascii="Times New Roman" w:hAnsi="Times New Roman" w:cs="Times New Roman"/>
        </w:rPr>
        <w:t>). These were given to</w:t>
      </w:r>
      <w:r w:rsidRPr="00E869A4">
        <w:rPr>
          <w:rFonts w:ascii="Times New Roman" w:hAnsi="Times New Roman" w:cs="Times New Roman"/>
        </w:rPr>
        <w:t xml:space="preserve"> both in-depth interview and focus group participants at the end of their (final) session. A meal and snack was also provided to focus group participants. Since most interview participants were interviewed in their own home, no meals or snacks were </w:t>
      </w:r>
      <w:r w:rsidR="001728F0" w:rsidRPr="00E869A4">
        <w:rPr>
          <w:rFonts w:ascii="Times New Roman" w:hAnsi="Times New Roman" w:cs="Times New Roman"/>
        </w:rPr>
        <w:t>provided</w:t>
      </w:r>
      <w:r w:rsidRPr="00E869A4">
        <w:rPr>
          <w:rFonts w:ascii="Times New Roman" w:hAnsi="Times New Roman" w:cs="Times New Roman"/>
        </w:rPr>
        <w:t xml:space="preserve">, except for those who were to be interviewed outside of their personal space, in which case they were offered a snack item. </w:t>
      </w:r>
    </w:p>
    <w:p w14:paraId="6EDD7F10" w14:textId="77777777" w:rsidR="00700596" w:rsidRPr="00E869A4" w:rsidRDefault="00700596" w:rsidP="00A35FF8">
      <w:pPr>
        <w:rPr>
          <w:rFonts w:ascii="Times New Roman" w:hAnsi="Times New Roman" w:cs="Times New Roman"/>
        </w:rPr>
      </w:pPr>
    </w:p>
    <w:p w14:paraId="426068F2" w14:textId="77777777" w:rsidR="001A5AE0" w:rsidRPr="00E869A4" w:rsidRDefault="00C03772" w:rsidP="004E2181">
      <w:pPr>
        <w:pStyle w:val="Heading4"/>
      </w:pPr>
      <w:r w:rsidRPr="00E869A4">
        <w:t>Recording of sessions</w:t>
      </w:r>
    </w:p>
    <w:p w14:paraId="46E72511" w14:textId="77777777" w:rsidR="00643394" w:rsidRPr="00E869A4" w:rsidRDefault="00643394" w:rsidP="00A35FF8">
      <w:pPr>
        <w:rPr>
          <w:rFonts w:ascii="Times New Roman" w:hAnsi="Times New Roman" w:cs="Times New Roman"/>
        </w:rPr>
      </w:pPr>
    </w:p>
    <w:p w14:paraId="07A6E78E" w14:textId="181E090F"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Participants were informed via the information sheet and during the briefing session that the interviews and focus groups were to be voice recorded. A small digital voice recorder and a cell phone were to be used at the interview and focus group sessions so as to increase the accuracy of the data obtained for analysis (Bell 2014). Voice recording the sessions facilitated a more natural interaction between the participants and the interviewer. It also allowed me to take note of non-verbal </w:t>
      </w:r>
      <w:r w:rsidR="001728F0" w:rsidRPr="00E869A4">
        <w:rPr>
          <w:rFonts w:ascii="Times New Roman" w:hAnsi="Times New Roman" w:cs="Times New Roman"/>
        </w:rPr>
        <w:t>expressions, which</w:t>
      </w:r>
      <w:r w:rsidRPr="00E869A4">
        <w:rPr>
          <w:rFonts w:ascii="Times New Roman" w:hAnsi="Times New Roman" w:cs="Times New Roman"/>
        </w:rPr>
        <w:t xml:space="preserve"> might suggest strong emotion (</w:t>
      </w:r>
      <w:r w:rsidR="009A10E9" w:rsidRPr="00E869A4">
        <w:rPr>
          <w:rFonts w:ascii="Times New Roman" w:hAnsi="Times New Roman" w:cs="Times New Roman"/>
        </w:rPr>
        <w:t>King &amp;</w:t>
      </w:r>
      <w:r w:rsidRPr="00E869A4">
        <w:rPr>
          <w:rFonts w:ascii="Times New Roman" w:hAnsi="Times New Roman" w:cs="Times New Roman"/>
        </w:rPr>
        <w:t xml:space="preserve"> Horrocks 2010). </w:t>
      </w:r>
    </w:p>
    <w:p w14:paraId="290DEBAF" w14:textId="77777777" w:rsidR="005712E4" w:rsidRPr="00E869A4" w:rsidRDefault="005712E4" w:rsidP="00A35FF8">
      <w:pPr>
        <w:rPr>
          <w:rFonts w:ascii="Times New Roman" w:hAnsi="Times New Roman" w:cs="Times New Roman"/>
        </w:rPr>
      </w:pPr>
    </w:p>
    <w:p w14:paraId="16175BCA" w14:textId="5E02E432" w:rsidR="00C03772" w:rsidRPr="00E869A4" w:rsidRDefault="00C03772" w:rsidP="00A35FF8">
      <w:pPr>
        <w:rPr>
          <w:rFonts w:ascii="Times New Roman" w:hAnsi="Times New Roman" w:cs="Times New Roman"/>
        </w:rPr>
      </w:pPr>
      <w:r w:rsidRPr="00E869A4">
        <w:rPr>
          <w:rFonts w:ascii="Times New Roman" w:hAnsi="Times New Roman" w:cs="Times New Roman"/>
        </w:rPr>
        <w:t>Participants were given the option of providing oral informed consent. Lloyd and colleagues (2008) note</w:t>
      </w:r>
      <w:r w:rsidR="00003DDC" w:rsidRPr="00E869A4">
        <w:rPr>
          <w:rFonts w:ascii="Times New Roman" w:hAnsi="Times New Roman" w:cs="Times New Roman"/>
        </w:rPr>
        <w:t>d</w:t>
      </w:r>
      <w:r w:rsidRPr="00E869A4">
        <w:rPr>
          <w:rFonts w:ascii="Times New Roman" w:hAnsi="Times New Roman" w:cs="Times New Roman"/>
        </w:rPr>
        <w:t xml:space="preserve"> that audio-recorded methods of obtaining informed consent are an acceptable alternative to written consent in study populations where literacy skills are variable. In addition, I was mindful of the need to allow participants the option of refusing to be voice recorded but allowing them to still particip</w:t>
      </w:r>
      <w:r w:rsidR="00452FB0" w:rsidRPr="00E869A4">
        <w:rPr>
          <w:rFonts w:ascii="Times New Roman" w:hAnsi="Times New Roman" w:cs="Times New Roman"/>
        </w:rPr>
        <w:t xml:space="preserve">ate in the study if they so </w:t>
      </w:r>
      <w:proofErr w:type="spellStart"/>
      <w:r w:rsidR="00AE194D" w:rsidRPr="00E869A4">
        <w:rPr>
          <w:rFonts w:ascii="Times New Roman" w:hAnsi="Times New Roman" w:cs="Times New Roman"/>
        </w:rPr>
        <w:t>chose</w:t>
      </w:r>
      <w:proofErr w:type="spellEnd"/>
      <w:r w:rsidRPr="00E869A4">
        <w:rPr>
          <w:rFonts w:ascii="Times New Roman" w:hAnsi="Times New Roman" w:cs="Times New Roman"/>
        </w:rPr>
        <w:t xml:space="preserve">, and to stop recording if they requested this during the session. The recording devices were stored in a secure space when not in use (i.e. a locked cabinet) and the recordings encrypted and stored on a computer that was password protected. </w:t>
      </w:r>
    </w:p>
    <w:p w14:paraId="1929053D" w14:textId="77777777" w:rsidR="005712E4" w:rsidRPr="00E869A4" w:rsidRDefault="005712E4" w:rsidP="00A35FF8">
      <w:pPr>
        <w:rPr>
          <w:rFonts w:ascii="Times New Roman" w:hAnsi="Times New Roman" w:cs="Times New Roman"/>
        </w:rPr>
      </w:pPr>
    </w:p>
    <w:p w14:paraId="55BAB91E" w14:textId="4CBBA38F"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Notes were taken either during or soon after the interview </w:t>
      </w:r>
      <w:r w:rsidR="00003DDC" w:rsidRPr="00E869A4">
        <w:rPr>
          <w:rFonts w:ascii="Times New Roman" w:hAnsi="Times New Roman" w:cs="Times New Roman"/>
        </w:rPr>
        <w:t>session, which supplemented the voice-</w:t>
      </w:r>
      <w:r w:rsidRPr="00E869A4">
        <w:rPr>
          <w:rFonts w:ascii="Times New Roman" w:hAnsi="Times New Roman" w:cs="Times New Roman"/>
        </w:rPr>
        <w:t>recorded notes</w:t>
      </w:r>
      <w:r w:rsidR="00003DDC" w:rsidRPr="00E869A4">
        <w:rPr>
          <w:rFonts w:ascii="Times New Roman" w:hAnsi="Times New Roman" w:cs="Times New Roman"/>
        </w:rPr>
        <w:t>,</w:t>
      </w:r>
      <w:r w:rsidRPr="00E869A4">
        <w:rPr>
          <w:rFonts w:ascii="Times New Roman" w:hAnsi="Times New Roman" w:cs="Times New Roman"/>
        </w:rPr>
        <w:t xml:space="preserve"> and could be used in the session as reference notes for follow-up questions. Written notes also served as a contingency feature of the study in the event that problems were encountered when voice recording the sessions. Transcripts were prepared from the recorded sessions. Additional information on the recording of the focus group and in-depth interview sessions and preparation of transcriptions are provided below. </w:t>
      </w:r>
    </w:p>
    <w:p w14:paraId="39034BCD" w14:textId="77777777" w:rsidR="00C03772" w:rsidRPr="00E869A4" w:rsidRDefault="00C03772" w:rsidP="004E2181">
      <w:pPr>
        <w:pStyle w:val="Heading4"/>
      </w:pPr>
      <w:r w:rsidRPr="00E869A4">
        <w:lastRenderedPageBreak/>
        <w:t>Safety and Risk Management</w:t>
      </w:r>
    </w:p>
    <w:p w14:paraId="4E7FCB77" w14:textId="77777777" w:rsidR="005712E4" w:rsidRPr="00E869A4" w:rsidRDefault="005712E4" w:rsidP="0051234F">
      <w:pPr>
        <w:pStyle w:val="112"/>
        <w:rPr>
          <w:color w:val="auto"/>
        </w:rPr>
      </w:pPr>
    </w:p>
    <w:p w14:paraId="17AD85D3" w14:textId="06C49F45" w:rsidR="00C03772" w:rsidRPr="00E869A4" w:rsidRDefault="00C03772" w:rsidP="00A35FF8">
      <w:pPr>
        <w:rPr>
          <w:rFonts w:ascii="Times New Roman" w:hAnsi="Times New Roman" w:cs="Times New Roman"/>
        </w:rPr>
      </w:pPr>
      <w:r w:rsidRPr="00E869A4">
        <w:rPr>
          <w:rFonts w:ascii="Times New Roman" w:hAnsi="Times New Roman" w:cs="Times New Roman"/>
        </w:rPr>
        <w:t>As Harris and Dyson (2001) noted, older people may be suspicious of research studies because of feelings of vulnerability or</w:t>
      </w:r>
      <w:r w:rsidR="00452FB0" w:rsidRPr="00E869A4">
        <w:rPr>
          <w:rFonts w:ascii="Times New Roman" w:hAnsi="Times New Roman" w:cs="Times New Roman"/>
        </w:rPr>
        <w:t xml:space="preserve"> prior</w:t>
      </w:r>
      <w:r w:rsidRPr="00E869A4">
        <w:rPr>
          <w:rFonts w:ascii="Times New Roman" w:hAnsi="Times New Roman" w:cs="Times New Roman"/>
        </w:rPr>
        <w:t xml:space="preserve"> bad experiences they may </w:t>
      </w:r>
      <w:r w:rsidR="00452FB0" w:rsidRPr="00E869A4">
        <w:rPr>
          <w:rFonts w:ascii="Times New Roman" w:hAnsi="Times New Roman" w:cs="Times New Roman"/>
        </w:rPr>
        <w:t xml:space="preserve">have </w:t>
      </w:r>
      <w:r w:rsidRPr="00E869A4">
        <w:rPr>
          <w:rFonts w:ascii="Times New Roman" w:hAnsi="Times New Roman" w:cs="Times New Roman"/>
        </w:rPr>
        <w:t>had with research or other data-gathering exercises. Allowing them to have another relative or friend of their choice present may help them to have a greater sense of security (Holroyd-Leduc et al</w:t>
      </w:r>
      <w:r w:rsidR="0089363A" w:rsidRPr="00E869A4">
        <w:rPr>
          <w:rFonts w:ascii="Times New Roman" w:hAnsi="Times New Roman" w:cs="Times New Roman"/>
        </w:rPr>
        <w:t>.</w:t>
      </w:r>
      <w:r w:rsidRPr="00E869A4">
        <w:rPr>
          <w:rFonts w:ascii="Times New Roman" w:hAnsi="Times New Roman" w:cs="Times New Roman"/>
        </w:rPr>
        <w:t xml:space="preserve"> 2016). Thus, the first two meetings (i.e. the briefing session and joint interview) were designed to be a joint session with both the caregiver and the care recipient present. For accountability purposes, older persons and caregivers were also provided with contact information for my supervisors in both the UK and at UWI on the information sheet. This was done to give participants recourse in the event that they were unhappy with any aspect of the study, and to help reduce the seeming disparity in power between myself and the participants. Another important proviso that was included in the information sheet was that, </w:t>
      </w:r>
      <w:r w:rsidR="00EF4568" w:rsidRPr="00E869A4">
        <w:rPr>
          <w:rFonts w:ascii="Times New Roman" w:hAnsi="Times New Roman" w:cs="Times New Roman"/>
        </w:rPr>
        <w:t xml:space="preserve">in the interest of good ethics, </w:t>
      </w:r>
      <w:r w:rsidRPr="00E869A4">
        <w:rPr>
          <w:rFonts w:ascii="Times New Roman" w:hAnsi="Times New Roman" w:cs="Times New Roman"/>
        </w:rPr>
        <w:t xml:space="preserve">whilst I respected participants’ need for confidentiality, I maintained the right to report any criminal practices or forms of abuse or neglect to the relevant local authorities. </w:t>
      </w:r>
    </w:p>
    <w:p w14:paraId="76F3B136" w14:textId="77777777" w:rsidR="00EB2193" w:rsidRPr="00E869A4" w:rsidRDefault="00EB2193" w:rsidP="00A35FF8">
      <w:pPr>
        <w:rPr>
          <w:rFonts w:ascii="Times New Roman" w:hAnsi="Times New Roman" w:cs="Times New Roman"/>
        </w:rPr>
      </w:pPr>
    </w:p>
    <w:p w14:paraId="70E3C260" w14:textId="1B7F9FA6" w:rsidR="00A555E2" w:rsidRPr="00E869A4" w:rsidRDefault="00C03772" w:rsidP="00A35FF8">
      <w:pPr>
        <w:rPr>
          <w:rFonts w:ascii="Times New Roman" w:hAnsi="Times New Roman" w:cs="Times New Roman"/>
        </w:rPr>
      </w:pPr>
      <w:r w:rsidRPr="00E869A4">
        <w:rPr>
          <w:rFonts w:ascii="Times New Roman" w:hAnsi="Times New Roman" w:cs="Times New Roman"/>
        </w:rPr>
        <w:t>Steps were also taken to ensure that the</w:t>
      </w:r>
      <w:r w:rsidR="0089363A" w:rsidRPr="00E869A4">
        <w:rPr>
          <w:rFonts w:ascii="Times New Roman" w:hAnsi="Times New Roman" w:cs="Times New Roman"/>
        </w:rPr>
        <w:t xml:space="preserve"> location of the interviews was</w:t>
      </w:r>
      <w:r w:rsidRPr="00E869A4">
        <w:rPr>
          <w:rFonts w:ascii="Times New Roman" w:hAnsi="Times New Roman" w:cs="Times New Roman"/>
        </w:rPr>
        <w:t xml:space="preserve"> conducive to the safety of all parties. Most of the in-depth interview sessions, in particular those with the older care recipients, were to be held in the home of participants. One-on-one sessions with family caregivers were to be held in a private office setting at a mutually agreed upon location, be it at the participant’s office or an enclosed office to which I had access. For these sessions, as well as the focus groups, I adhered to the guidelines provided by the </w:t>
      </w:r>
      <w:r w:rsidR="00975170" w:rsidRPr="00E869A4">
        <w:rPr>
          <w:rFonts w:ascii="Times New Roman" w:hAnsi="Times New Roman" w:cs="Times New Roman"/>
        </w:rPr>
        <w:t>U</w:t>
      </w:r>
      <w:r w:rsidR="00EF4568" w:rsidRPr="00E869A4">
        <w:rPr>
          <w:rFonts w:ascii="Times New Roman" w:hAnsi="Times New Roman" w:cs="Times New Roman"/>
        </w:rPr>
        <w:t>O</w:t>
      </w:r>
      <w:r w:rsidR="00975170" w:rsidRPr="00E869A4">
        <w:rPr>
          <w:rFonts w:ascii="Times New Roman" w:hAnsi="Times New Roman" w:cs="Times New Roman"/>
        </w:rPr>
        <w:t>S</w:t>
      </w:r>
      <w:r w:rsidRPr="00E869A4">
        <w:rPr>
          <w:rStyle w:val="FootnoteReference"/>
          <w:rFonts w:ascii="Times New Roman" w:hAnsi="Times New Roman" w:cs="Times New Roman"/>
        </w:rPr>
        <w:footnoteReference w:id="46"/>
      </w:r>
      <w:r w:rsidRPr="00E869A4">
        <w:rPr>
          <w:rFonts w:ascii="Times New Roman" w:hAnsi="Times New Roman" w:cs="Times New Roman"/>
        </w:rPr>
        <w:t xml:space="preserve"> for lone researchers which included designating a relative or friend as a safety contact, and having a reliable call-in system with that individual. </w:t>
      </w:r>
    </w:p>
    <w:p w14:paraId="6CA4D92E" w14:textId="77777777" w:rsidR="00A555E2" w:rsidRPr="00E869A4" w:rsidRDefault="00A555E2" w:rsidP="00A35FF8">
      <w:pPr>
        <w:rPr>
          <w:rFonts w:ascii="Times New Roman" w:hAnsi="Times New Roman" w:cs="Times New Roman"/>
        </w:rPr>
      </w:pPr>
    </w:p>
    <w:p w14:paraId="7EE58D2B" w14:textId="77777777" w:rsidR="005C3B03" w:rsidRPr="00E869A4" w:rsidRDefault="005C3B03" w:rsidP="00A35FF8">
      <w:pPr>
        <w:rPr>
          <w:rFonts w:ascii="Times New Roman" w:hAnsi="Times New Roman" w:cs="Times New Roman"/>
        </w:rPr>
      </w:pPr>
    </w:p>
    <w:p w14:paraId="4765A20F" w14:textId="77777777" w:rsidR="005C3B03" w:rsidRPr="00E869A4" w:rsidRDefault="005C3B03" w:rsidP="00A35FF8">
      <w:pPr>
        <w:rPr>
          <w:rFonts w:ascii="Times New Roman" w:hAnsi="Times New Roman" w:cs="Times New Roman"/>
        </w:rPr>
      </w:pPr>
    </w:p>
    <w:p w14:paraId="2106E19B" w14:textId="77777777" w:rsidR="005C3B03" w:rsidRPr="00E869A4" w:rsidRDefault="005C3B03" w:rsidP="00A35FF8">
      <w:pPr>
        <w:rPr>
          <w:rFonts w:ascii="Times New Roman" w:hAnsi="Times New Roman" w:cs="Times New Roman"/>
        </w:rPr>
      </w:pPr>
    </w:p>
    <w:p w14:paraId="2009CE14" w14:textId="77777777" w:rsidR="005C3B03" w:rsidRPr="00E869A4" w:rsidRDefault="005C3B03" w:rsidP="00A35FF8">
      <w:pPr>
        <w:rPr>
          <w:rFonts w:ascii="Times New Roman" w:hAnsi="Times New Roman" w:cs="Times New Roman"/>
        </w:rPr>
      </w:pPr>
    </w:p>
    <w:p w14:paraId="0B2CA0BE" w14:textId="7022AB1B" w:rsidR="00C03772" w:rsidRPr="00E869A4" w:rsidRDefault="00E9231D" w:rsidP="00BE6C9E">
      <w:pPr>
        <w:rPr>
          <w:b/>
          <w:i/>
          <w:u w:val="single"/>
        </w:rPr>
      </w:pPr>
      <w:bookmarkStart w:id="252" w:name="_Toc508858744"/>
      <w:r w:rsidRPr="00E869A4">
        <w:rPr>
          <w:b/>
          <w:i/>
          <w:u w:val="single"/>
        </w:rPr>
        <w:lastRenderedPageBreak/>
        <w:t>5</w:t>
      </w:r>
      <w:r w:rsidR="004941C5" w:rsidRPr="00E869A4">
        <w:rPr>
          <w:b/>
          <w:i/>
          <w:u w:val="single"/>
        </w:rPr>
        <w:t>.2.4     Original Design of In-Depth Interview Stages &amp; Rationale</w:t>
      </w:r>
      <w:bookmarkEnd w:id="252"/>
    </w:p>
    <w:p w14:paraId="4A1F4335" w14:textId="77777777" w:rsidR="005712E4" w:rsidRPr="00E869A4" w:rsidRDefault="005712E4" w:rsidP="0051234F">
      <w:pPr>
        <w:pStyle w:val="112"/>
        <w:rPr>
          <w:color w:val="auto"/>
        </w:rPr>
      </w:pPr>
    </w:p>
    <w:p w14:paraId="3116E0F5" w14:textId="53EE434A" w:rsidR="005712E4" w:rsidRPr="00E869A4" w:rsidRDefault="00C03772" w:rsidP="00A35FF8">
      <w:pPr>
        <w:rPr>
          <w:rFonts w:ascii="Times New Roman" w:hAnsi="Times New Roman" w:cs="Times New Roman"/>
        </w:rPr>
      </w:pPr>
      <w:r w:rsidRPr="00E869A4">
        <w:rPr>
          <w:rFonts w:ascii="Times New Roman" w:hAnsi="Times New Roman" w:cs="Times New Roman"/>
        </w:rPr>
        <w:t xml:space="preserve">Several key stages were incorporated in the original design of the in-depth interviews including: (M1) an introductory briefing session; (M2) joint session with both the caregiver and older person; (M3) individual session with </w:t>
      </w:r>
      <w:r w:rsidR="009E2738" w:rsidRPr="00E869A4">
        <w:rPr>
          <w:rFonts w:ascii="Times New Roman" w:hAnsi="Times New Roman" w:cs="Times New Roman"/>
        </w:rPr>
        <w:t>care recipient</w:t>
      </w:r>
      <w:r w:rsidRPr="00E869A4">
        <w:rPr>
          <w:rFonts w:ascii="Times New Roman" w:hAnsi="Times New Roman" w:cs="Times New Roman"/>
        </w:rPr>
        <w:t>; (M4) individual session with family caregiver</w:t>
      </w:r>
      <w:r w:rsidR="002B7F03" w:rsidRPr="00E869A4">
        <w:rPr>
          <w:rFonts w:ascii="Times New Roman" w:hAnsi="Times New Roman" w:cs="Times New Roman"/>
        </w:rPr>
        <w:t xml:space="preserve"> and</w:t>
      </w:r>
      <w:r w:rsidRPr="00E869A4">
        <w:rPr>
          <w:rFonts w:ascii="Times New Roman" w:hAnsi="Times New Roman" w:cs="Times New Roman"/>
        </w:rPr>
        <w:t xml:space="preserve">; (M5) closing session (see </w:t>
      </w:r>
      <w:r w:rsidR="00DC4E99" w:rsidRPr="00E869A4">
        <w:rPr>
          <w:rFonts w:ascii="Times New Roman" w:hAnsi="Times New Roman" w:cs="Times New Roman"/>
        </w:rPr>
        <w:t>Figure 5</w:t>
      </w:r>
      <w:r w:rsidRPr="00E869A4">
        <w:rPr>
          <w:rFonts w:ascii="Times New Roman" w:hAnsi="Times New Roman" w:cs="Times New Roman"/>
        </w:rPr>
        <w:t xml:space="preserve"> below). A decision was taken to use a mix of individual and joint interview sessions to capitalise on the advantages of both. The research literature is replete with arguments for and against individual and collaborative interviews. In addition to the safety considerations mentioned earlier, joint interviews were deemed to be beneficial in that respondents could corroborate and confirm care experiences, timelines and other details which could increase the valid</w:t>
      </w:r>
      <w:r w:rsidR="007526F5" w:rsidRPr="00E869A4">
        <w:rPr>
          <w:rFonts w:ascii="Times New Roman" w:hAnsi="Times New Roman" w:cs="Times New Roman"/>
        </w:rPr>
        <w:t xml:space="preserve">ity of the study </w:t>
      </w:r>
      <w:r w:rsidR="002B7F03" w:rsidRPr="00E869A4">
        <w:rPr>
          <w:rFonts w:ascii="Times New Roman" w:hAnsi="Times New Roman" w:cs="Times New Roman"/>
        </w:rPr>
        <w:t>(</w:t>
      </w:r>
      <w:r w:rsidR="007526F5" w:rsidRPr="00E869A4">
        <w:rPr>
          <w:rFonts w:ascii="Times New Roman" w:hAnsi="Times New Roman" w:cs="Times New Roman"/>
        </w:rPr>
        <w:t>Harris &amp; Dyson</w:t>
      </w:r>
      <w:r w:rsidRPr="00E869A4">
        <w:rPr>
          <w:rFonts w:ascii="Times New Roman" w:hAnsi="Times New Roman" w:cs="Times New Roman"/>
        </w:rPr>
        <w:t xml:space="preserve"> 2001; Laslett </w:t>
      </w:r>
      <w:r w:rsidR="007526F5" w:rsidRPr="00E869A4">
        <w:rPr>
          <w:rFonts w:ascii="Times New Roman" w:hAnsi="Times New Roman" w:cs="Times New Roman"/>
        </w:rPr>
        <w:t>&amp;</w:t>
      </w:r>
      <w:r w:rsidRPr="00E869A4">
        <w:rPr>
          <w:rFonts w:ascii="Times New Roman" w:hAnsi="Times New Roman" w:cs="Times New Roman"/>
        </w:rPr>
        <w:t xml:space="preserve"> Rapoport 1975)</w:t>
      </w:r>
      <w:r w:rsidRPr="00E869A4">
        <w:rPr>
          <w:rStyle w:val="EndnoteReference"/>
          <w:rFonts w:ascii="Times New Roman" w:hAnsi="Times New Roman" w:cs="Times New Roman"/>
        </w:rPr>
        <w:t xml:space="preserve"> </w:t>
      </w:r>
      <w:r w:rsidRPr="00E869A4">
        <w:rPr>
          <w:rFonts w:ascii="Times New Roman" w:hAnsi="Times New Roman" w:cs="Times New Roman"/>
        </w:rPr>
        <w:t xml:space="preserve">. However, co-presence may undermine the validity of participant responses as </w:t>
      </w:r>
      <w:r w:rsidR="002F253A" w:rsidRPr="00E869A4">
        <w:rPr>
          <w:rFonts w:ascii="Times New Roman" w:hAnsi="Times New Roman" w:cs="Times New Roman"/>
        </w:rPr>
        <w:t>participants</w:t>
      </w:r>
      <w:r w:rsidRPr="00E869A4">
        <w:rPr>
          <w:rFonts w:ascii="Times New Roman" w:hAnsi="Times New Roman" w:cs="Times New Roman"/>
        </w:rPr>
        <w:t xml:space="preserve"> are less open to shar</w:t>
      </w:r>
      <w:r w:rsidR="002B7F03" w:rsidRPr="00E869A4">
        <w:rPr>
          <w:rFonts w:ascii="Times New Roman" w:hAnsi="Times New Roman" w:cs="Times New Roman"/>
        </w:rPr>
        <w:t>ing</w:t>
      </w:r>
      <w:r w:rsidRPr="00E869A4">
        <w:rPr>
          <w:rFonts w:ascii="Times New Roman" w:hAnsi="Times New Roman" w:cs="Times New Roman"/>
        </w:rPr>
        <w:t xml:space="preserve"> opinions with which the other party may disagree (</w:t>
      </w:r>
      <w:r w:rsidR="007526F5" w:rsidRPr="00E869A4">
        <w:rPr>
          <w:rFonts w:ascii="Times New Roman" w:hAnsi="Times New Roman" w:cs="Times New Roman"/>
        </w:rPr>
        <w:t xml:space="preserve">Allan 1980; </w:t>
      </w:r>
      <w:r w:rsidRPr="00E869A4">
        <w:rPr>
          <w:rFonts w:ascii="Times New Roman" w:hAnsi="Times New Roman" w:cs="Times New Roman"/>
        </w:rPr>
        <w:t>Arksey 1996; Larossa</w:t>
      </w:r>
      <w:r w:rsidR="007526F5" w:rsidRPr="00E869A4">
        <w:rPr>
          <w:rFonts w:ascii="Times New Roman" w:hAnsi="Times New Roman" w:cs="Times New Roman"/>
        </w:rPr>
        <w:t>,</w:t>
      </w:r>
      <w:r w:rsidRPr="00E869A4">
        <w:rPr>
          <w:rFonts w:ascii="Times New Roman" w:hAnsi="Times New Roman" w:cs="Times New Roman"/>
        </w:rPr>
        <w:t xml:space="preserve"> </w:t>
      </w:r>
      <w:r w:rsidR="007526F5" w:rsidRPr="00E869A4">
        <w:rPr>
          <w:rFonts w:ascii="Times New Roman" w:hAnsi="Times New Roman" w:cs="Times New Roman"/>
        </w:rPr>
        <w:t xml:space="preserve">Bennett &amp; Gelles </w:t>
      </w:r>
      <w:r w:rsidRPr="00E869A4">
        <w:rPr>
          <w:rFonts w:ascii="Times New Roman" w:hAnsi="Times New Roman" w:cs="Times New Roman"/>
        </w:rPr>
        <w:t xml:space="preserve">1981; </w:t>
      </w:r>
      <w:r w:rsidR="007526F5" w:rsidRPr="00E869A4">
        <w:rPr>
          <w:rFonts w:ascii="Times New Roman" w:hAnsi="Times New Roman" w:cs="Times New Roman"/>
        </w:rPr>
        <w:t>Seale et al. 2008</w:t>
      </w:r>
      <w:r w:rsidRPr="00E869A4">
        <w:rPr>
          <w:rFonts w:ascii="Times New Roman" w:hAnsi="Times New Roman" w:cs="Times New Roman"/>
        </w:rPr>
        <w:t xml:space="preserve">). </w:t>
      </w:r>
    </w:p>
    <w:p w14:paraId="55C0F171" w14:textId="77777777" w:rsidR="005712E4" w:rsidRPr="00E869A4" w:rsidRDefault="005712E4" w:rsidP="00A35FF8">
      <w:pPr>
        <w:rPr>
          <w:rFonts w:ascii="Times New Roman" w:hAnsi="Times New Roman" w:cs="Times New Roman"/>
        </w:rPr>
      </w:pPr>
    </w:p>
    <w:p w14:paraId="3FC691FE" w14:textId="080F9045" w:rsidR="00E87535" w:rsidRPr="00E869A4" w:rsidRDefault="00C03772" w:rsidP="005712E4">
      <w:pPr>
        <w:rPr>
          <w:rFonts w:ascii="Times New Roman" w:hAnsi="Times New Roman" w:cs="Times New Roman"/>
        </w:rPr>
      </w:pPr>
      <w:r w:rsidRPr="00E869A4">
        <w:rPr>
          <w:rFonts w:ascii="Times New Roman" w:hAnsi="Times New Roman" w:cs="Times New Roman"/>
        </w:rPr>
        <w:t xml:space="preserve">Individual interviews may allow respondents to be more open about sensitive information that they may not feel comfortable sharing in the presence of another member of the care dyad. At the time that the study was designed, the literature was inconclusive about whether one approach was better than the </w:t>
      </w:r>
      <w:r w:rsidR="00F91CA0" w:rsidRPr="00E869A4">
        <w:rPr>
          <w:rFonts w:ascii="Times New Roman" w:hAnsi="Times New Roman" w:cs="Times New Roman"/>
        </w:rPr>
        <w:t>other,</w:t>
      </w:r>
      <w:r w:rsidRPr="00E869A4">
        <w:rPr>
          <w:rFonts w:ascii="Times New Roman" w:hAnsi="Times New Roman" w:cs="Times New Roman"/>
        </w:rPr>
        <w:t xml:space="preserve"> or which research studies are better suited to either approach. What was clear from earlier studies was that each approa</w:t>
      </w:r>
      <w:r w:rsidR="004E5417" w:rsidRPr="00E869A4">
        <w:rPr>
          <w:rFonts w:ascii="Times New Roman" w:hAnsi="Times New Roman" w:cs="Times New Roman"/>
        </w:rPr>
        <w:t xml:space="preserve">ch had strengths and weaknesses. </w:t>
      </w:r>
      <w:r w:rsidRPr="00E869A4">
        <w:rPr>
          <w:rFonts w:ascii="Times New Roman" w:hAnsi="Times New Roman" w:cs="Times New Roman"/>
        </w:rPr>
        <w:t>The closing interview (M5) was included in the original study design to facilitate the ongoing negotiation of consent between the researcher and participants. This strategy w</w:t>
      </w:r>
      <w:r w:rsidR="004E5417" w:rsidRPr="00E869A4">
        <w:rPr>
          <w:rFonts w:ascii="Times New Roman" w:hAnsi="Times New Roman" w:cs="Times New Roman"/>
        </w:rPr>
        <w:t>as recommended by Kaiser (2009</w:t>
      </w:r>
      <w:r w:rsidRPr="00E869A4">
        <w:rPr>
          <w:rFonts w:ascii="Times New Roman" w:hAnsi="Times New Roman" w:cs="Times New Roman"/>
        </w:rPr>
        <w:t xml:space="preserve">) to facilitate continued consultation between the researcher and participants as to how, what and to whom the information they provided was to be presented. The </w:t>
      </w:r>
      <w:r w:rsidR="004E5417" w:rsidRPr="00E869A4">
        <w:rPr>
          <w:rFonts w:ascii="Times New Roman" w:hAnsi="Times New Roman" w:cs="Times New Roman"/>
        </w:rPr>
        <w:t>p</w:t>
      </w:r>
      <w:r w:rsidRPr="00E869A4">
        <w:rPr>
          <w:rFonts w:ascii="Times New Roman" w:hAnsi="Times New Roman" w:cs="Times New Roman"/>
        </w:rPr>
        <w:t xml:space="preserve">ost-interview confidentiality form developed by Kaiser was incorporated into the informed consent package for this study (see Appendix </w:t>
      </w:r>
      <w:r w:rsidR="00F91CA0" w:rsidRPr="00E869A4">
        <w:rPr>
          <w:rFonts w:ascii="Times New Roman" w:hAnsi="Times New Roman" w:cs="Times New Roman"/>
        </w:rPr>
        <w:t>4), and discussed with potential participants during the briefing session,</w:t>
      </w:r>
      <w:r w:rsidRPr="00E869A4">
        <w:rPr>
          <w:rFonts w:ascii="Times New Roman" w:hAnsi="Times New Roman" w:cs="Times New Roman"/>
        </w:rPr>
        <w:t xml:space="preserve"> and completed during the closing interview. </w:t>
      </w:r>
      <w:bookmarkStart w:id="253" w:name="_Ref506892351"/>
    </w:p>
    <w:p w14:paraId="3FDBA44D" w14:textId="77777777" w:rsidR="005712E4" w:rsidRPr="00E869A4" w:rsidRDefault="005712E4" w:rsidP="005712E4">
      <w:pPr>
        <w:spacing w:line="276" w:lineRule="auto"/>
        <w:rPr>
          <w:rFonts w:ascii="Times New Roman" w:hAnsi="Times New Roman" w:cs="Times New Roman"/>
        </w:rPr>
      </w:pPr>
    </w:p>
    <w:p w14:paraId="7D0B186D" w14:textId="77777777" w:rsidR="00E9231D" w:rsidRPr="00E869A4" w:rsidRDefault="00E9231D" w:rsidP="005712E4">
      <w:pPr>
        <w:spacing w:line="276" w:lineRule="auto"/>
        <w:rPr>
          <w:rFonts w:ascii="Times New Roman" w:hAnsi="Times New Roman" w:cs="Times New Roman"/>
        </w:rPr>
      </w:pPr>
    </w:p>
    <w:bookmarkEnd w:id="253"/>
    <w:p w14:paraId="683AEE72" w14:textId="77777777" w:rsidR="00E53C79" w:rsidRPr="00E869A4" w:rsidRDefault="00E53C79">
      <w:pPr>
        <w:spacing w:line="276" w:lineRule="auto"/>
      </w:pPr>
      <w:r w:rsidRPr="00E869A4">
        <w:br w:type="page"/>
      </w:r>
    </w:p>
    <w:p w14:paraId="574343DF" w14:textId="5F1D6807" w:rsidR="00AC6FA4" w:rsidRPr="00E869A4" w:rsidRDefault="00AC6FA4" w:rsidP="00B264F7">
      <w:pPr>
        <w:pStyle w:val="Caption"/>
        <w:ind w:firstLine="0"/>
        <w:rPr>
          <w:b/>
          <w:i w:val="0"/>
          <w:sz w:val="24"/>
        </w:rPr>
      </w:pPr>
      <w:bookmarkStart w:id="254" w:name="_Toc40436635"/>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5</w:t>
      </w:r>
      <w:r w:rsidR="0026235F" w:rsidRPr="00E869A4">
        <w:rPr>
          <w:b/>
          <w:i w:val="0"/>
          <w:sz w:val="24"/>
        </w:rPr>
        <w:fldChar w:fldCharType="end"/>
      </w:r>
      <w:r w:rsidR="00347C4D" w:rsidRPr="00E869A4">
        <w:rPr>
          <w:b/>
          <w:i w:val="0"/>
          <w:sz w:val="24"/>
        </w:rPr>
        <w:t>:</w:t>
      </w:r>
      <w:r w:rsidRPr="00E869A4">
        <w:rPr>
          <w:b/>
          <w:i w:val="0"/>
          <w:sz w:val="24"/>
        </w:rPr>
        <w:t xml:space="preserve"> Flowchart Showing Original Meeting Sequence</w:t>
      </w:r>
      <w:bookmarkEnd w:id="254"/>
    </w:p>
    <w:p w14:paraId="38E7BCA5" w14:textId="77777777" w:rsidR="00AC6FA4" w:rsidRPr="00E869A4" w:rsidRDefault="00AC6FA4" w:rsidP="00B264F7">
      <w:pPr>
        <w:ind w:firstLine="0"/>
      </w:pPr>
    </w:p>
    <w:p w14:paraId="551B6951" w14:textId="77777777" w:rsidR="00C03772" w:rsidRPr="00E869A4" w:rsidRDefault="00C03772" w:rsidP="00B264F7">
      <w:pPr>
        <w:ind w:firstLine="0"/>
        <w:rPr>
          <w:rFonts w:ascii="Times New Roman" w:hAnsi="Times New Roman" w:cs="Times New Roman"/>
        </w:rPr>
      </w:pPr>
      <w:r w:rsidRPr="00E869A4">
        <w:rPr>
          <w:rFonts w:ascii="Times New Roman" w:hAnsi="Times New Roman" w:cs="Times New Roman"/>
          <w:noProof/>
        </w:rPr>
        <w:drawing>
          <wp:inline distT="0" distB="0" distL="0" distR="0" wp14:anchorId="61B003C1" wp14:editId="388CDCF4">
            <wp:extent cx="5911336" cy="7315200"/>
            <wp:effectExtent l="0" t="0" r="0" b="0"/>
            <wp:docPr id="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7A42663" w14:textId="77777777" w:rsidR="00E53C79" w:rsidRPr="00E869A4" w:rsidRDefault="00E53C79" w:rsidP="00B264F7">
      <w:pPr>
        <w:spacing w:line="276" w:lineRule="auto"/>
        <w:ind w:firstLine="0"/>
        <w:rPr>
          <w:rFonts w:ascii="Times New Roman" w:hAnsi="Times New Roman" w:cs="Times New Roman"/>
          <w:b/>
          <w:szCs w:val="24"/>
          <w:u w:val="single"/>
          <w:lang w:eastAsia="en-US"/>
        </w:rPr>
      </w:pPr>
      <w:bookmarkStart w:id="255" w:name="_Toc508858745"/>
      <w:r w:rsidRPr="00E869A4">
        <w:br w:type="page"/>
      </w:r>
    </w:p>
    <w:p w14:paraId="0F617544" w14:textId="6462B7BA" w:rsidR="00C03772" w:rsidRPr="00E869A4" w:rsidRDefault="00E9231D" w:rsidP="00EF359C">
      <w:pPr>
        <w:pStyle w:val="Heading2"/>
      </w:pPr>
      <w:bookmarkStart w:id="256" w:name="_Toc40436511"/>
      <w:r w:rsidRPr="00E869A4">
        <w:lastRenderedPageBreak/>
        <w:t>5</w:t>
      </w:r>
      <w:r w:rsidR="00356F4E" w:rsidRPr="00E869A4">
        <w:t>.3 HOW THE STUDY ACTUALLY UNFOLDED</w:t>
      </w:r>
      <w:bookmarkEnd w:id="255"/>
      <w:bookmarkEnd w:id="256"/>
    </w:p>
    <w:p w14:paraId="28DC6841" w14:textId="77777777" w:rsidR="00C03772" w:rsidRPr="00E869A4" w:rsidRDefault="00C03772" w:rsidP="00A35FF8">
      <w:pPr>
        <w:rPr>
          <w:rFonts w:ascii="Times New Roman" w:hAnsi="Times New Roman" w:cs="Times New Roman"/>
        </w:rPr>
      </w:pPr>
    </w:p>
    <w:p w14:paraId="2A984215" w14:textId="0A1C5356" w:rsidR="00C03772" w:rsidRPr="00E869A4" w:rsidRDefault="00C03772" w:rsidP="00A35FF8">
      <w:pPr>
        <w:rPr>
          <w:rFonts w:ascii="Times New Roman" w:hAnsi="Times New Roman" w:cs="Times New Roman"/>
        </w:rPr>
      </w:pPr>
      <w:r w:rsidRPr="00E869A4">
        <w:rPr>
          <w:rFonts w:ascii="Times New Roman" w:hAnsi="Times New Roman" w:cs="Times New Roman"/>
        </w:rPr>
        <w:t>As part of ensuring transparency and accountability about the dynamics of the research exercise, I begin this section by providing insights on some of the major challenges that necessitated a revised approach to my data-collection efforts. I then explain the ways in which I adapted the original research design to treat with these challenges whilst at the same time addressing the overall objectives of the study. It is important to note that unlike a quantitative research design, qualitative studies generally adopt an iterative approach</w:t>
      </w:r>
      <w:r w:rsidR="00871FE4" w:rsidRPr="00E869A4">
        <w:rPr>
          <w:rFonts w:ascii="Times New Roman" w:hAnsi="Times New Roman" w:cs="Times New Roman"/>
        </w:rPr>
        <w:t>,</w:t>
      </w:r>
      <w:r w:rsidRPr="00E869A4">
        <w:rPr>
          <w:rFonts w:ascii="Times New Roman" w:hAnsi="Times New Roman" w:cs="Times New Roman"/>
        </w:rPr>
        <w:t xml:space="preserve"> in that data collection and research questions are adjusted according to what is learned as the study progresses (Mack et al</w:t>
      </w:r>
      <w:r w:rsidR="006A3F9B" w:rsidRPr="00E869A4">
        <w:rPr>
          <w:rFonts w:ascii="Times New Roman" w:hAnsi="Times New Roman" w:cs="Times New Roman"/>
        </w:rPr>
        <w:t>.</w:t>
      </w:r>
      <w:r w:rsidRPr="00E869A4">
        <w:rPr>
          <w:rFonts w:ascii="Times New Roman" w:hAnsi="Times New Roman" w:cs="Times New Roman"/>
        </w:rPr>
        <w:t xml:space="preserve"> 2005). Since this study was primarily qualitative and based on a pragmatic research approach, the in-field adjustments made to the study’s design are not in and of themselves unusual. </w:t>
      </w:r>
    </w:p>
    <w:p w14:paraId="2E2BE982" w14:textId="77777777" w:rsidR="002B77B9" w:rsidRPr="00E869A4" w:rsidRDefault="002B77B9" w:rsidP="00A35FF8">
      <w:pPr>
        <w:rPr>
          <w:rFonts w:ascii="Times New Roman" w:hAnsi="Times New Roman" w:cs="Times New Roman"/>
        </w:rPr>
      </w:pPr>
    </w:p>
    <w:p w14:paraId="51AB2493" w14:textId="77777777" w:rsidR="00576BFB" w:rsidRPr="00E869A4" w:rsidRDefault="00576BFB" w:rsidP="00A35FF8">
      <w:pPr>
        <w:rPr>
          <w:rFonts w:ascii="Times New Roman" w:hAnsi="Times New Roman" w:cs="Times New Roman"/>
        </w:rPr>
      </w:pPr>
    </w:p>
    <w:p w14:paraId="65A9FDCF" w14:textId="44589F82" w:rsidR="00C03772" w:rsidRPr="00E869A4" w:rsidRDefault="00E9231D" w:rsidP="005C449C">
      <w:pPr>
        <w:pStyle w:val="Heading3"/>
      </w:pPr>
      <w:bookmarkStart w:id="257" w:name="_Toc508858746"/>
      <w:bookmarkStart w:id="258" w:name="_Toc40436512"/>
      <w:r w:rsidRPr="00E869A4">
        <w:t>5</w:t>
      </w:r>
      <w:r w:rsidR="00404229" w:rsidRPr="00E869A4">
        <w:t xml:space="preserve">.3.1     </w:t>
      </w:r>
      <w:r w:rsidR="00BB6C2E" w:rsidRPr="00E869A4">
        <w:t>Setbacks &amp; Mitigating Factors</w:t>
      </w:r>
      <w:bookmarkEnd w:id="257"/>
      <w:bookmarkEnd w:id="258"/>
    </w:p>
    <w:p w14:paraId="457AE962" w14:textId="77777777" w:rsidR="00C03772" w:rsidRPr="00E869A4" w:rsidRDefault="00C03772" w:rsidP="00A35FF8">
      <w:pPr>
        <w:rPr>
          <w:rFonts w:ascii="Times New Roman" w:hAnsi="Times New Roman" w:cs="Times New Roman"/>
        </w:rPr>
      </w:pPr>
    </w:p>
    <w:p w14:paraId="17581FC2" w14:textId="5D9182FD"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There were several factors that inhibited the full implementation of the original study design. These included a significant funding shortfall, the untimely death of the first UWI lecturer who was assigned to assist me with the research in </w:t>
      </w:r>
      <w:r w:rsidR="006A3F9B" w:rsidRPr="00E869A4">
        <w:rPr>
          <w:rFonts w:ascii="Times New Roman" w:hAnsi="Times New Roman" w:cs="Times New Roman"/>
        </w:rPr>
        <w:t>T&amp;T</w:t>
      </w:r>
      <w:r w:rsidRPr="00E869A4">
        <w:rPr>
          <w:rFonts w:ascii="Times New Roman" w:hAnsi="Times New Roman" w:cs="Times New Roman"/>
        </w:rPr>
        <w:t xml:space="preserve">, administrative challenges with respect to joint supervision arrangements in the UK and Trinidad, as well as a personal health challenge which limited my mobility and precluded my ability to engage in fieldwork within the original timelines. </w:t>
      </w:r>
    </w:p>
    <w:p w14:paraId="2AC71012" w14:textId="77777777" w:rsidR="00C03772" w:rsidRPr="00E869A4" w:rsidRDefault="00C03772" w:rsidP="00A35FF8">
      <w:pPr>
        <w:rPr>
          <w:rFonts w:ascii="Times New Roman" w:eastAsia="Cambria" w:hAnsi="Times New Roman" w:cs="Times New Roman"/>
          <w:b/>
        </w:rPr>
      </w:pPr>
    </w:p>
    <w:p w14:paraId="2DA6F3E5" w14:textId="77777777" w:rsidR="00576BFB" w:rsidRPr="00E869A4" w:rsidRDefault="00576BFB" w:rsidP="00A35FF8">
      <w:pPr>
        <w:rPr>
          <w:rFonts w:ascii="Times New Roman" w:eastAsia="Cambria" w:hAnsi="Times New Roman" w:cs="Times New Roman"/>
          <w:b/>
        </w:rPr>
      </w:pPr>
    </w:p>
    <w:p w14:paraId="31C05E07" w14:textId="42755A8D" w:rsidR="00C03772" w:rsidRPr="00E869A4" w:rsidRDefault="00C03772" w:rsidP="00E9231D">
      <w:pPr>
        <w:pStyle w:val="Heading4"/>
      </w:pPr>
      <w:bookmarkStart w:id="259" w:name="_Toc508858747"/>
      <w:r w:rsidRPr="00E869A4">
        <w:t>Research Funding &amp; Administrative Challenges</w:t>
      </w:r>
      <w:bookmarkEnd w:id="259"/>
    </w:p>
    <w:p w14:paraId="3BE40411" w14:textId="77777777" w:rsidR="00C03772" w:rsidRPr="00E869A4" w:rsidRDefault="00C03772" w:rsidP="00A35FF8">
      <w:pPr>
        <w:rPr>
          <w:rFonts w:ascii="Times New Roman" w:hAnsi="Times New Roman" w:cs="Times New Roman"/>
        </w:rPr>
      </w:pPr>
    </w:p>
    <w:p w14:paraId="357CCBA1" w14:textId="51A4D064"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From 2009 to </w:t>
      </w:r>
      <w:r w:rsidR="004B4F39" w:rsidRPr="00E869A4">
        <w:rPr>
          <w:rFonts w:ascii="Times New Roman" w:hAnsi="Times New Roman" w:cs="Times New Roman"/>
        </w:rPr>
        <w:t>2011,</w:t>
      </w:r>
      <w:r w:rsidRPr="00E869A4">
        <w:rPr>
          <w:rFonts w:ascii="Times New Roman" w:hAnsi="Times New Roman" w:cs="Times New Roman"/>
        </w:rPr>
        <w:t xml:space="preserve"> my PhD studies were to be funded by a Developmental Needs Scholarship from the </w:t>
      </w:r>
      <w:r w:rsidR="00964584" w:rsidRPr="00E869A4">
        <w:rPr>
          <w:rFonts w:ascii="Times New Roman" w:hAnsi="Times New Roman" w:cs="Times New Roman"/>
        </w:rPr>
        <w:t>GORTT</w:t>
      </w:r>
      <w:r w:rsidRPr="00E869A4">
        <w:rPr>
          <w:rFonts w:ascii="Times New Roman" w:hAnsi="Times New Roman" w:cs="Times New Roman"/>
        </w:rPr>
        <w:t xml:space="preserve">. However, when I returned to </w:t>
      </w:r>
      <w:r w:rsidR="00964584" w:rsidRPr="00E869A4">
        <w:rPr>
          <w:rFonts w:ascii="Times New Roman" w:hAnsi="Times New Roman" w:cs="Times New Roman"/>
        </w:rPr>
        <w:t>T&amp;T</w:t>
      </w:r>
      <w:r w:rsidRPr="00E869A4">
        <w:rPr>
          <w:rFonts w:ascii="Times New Roman" w:hAnsi="Times New Roman" w:cs="Times New Roman"/>
        </w:rPr>
        <w:t xml:space="preserve"> to commence fieldwork in 2010, I was informed that, despite the contracted amount for my Joint-Location studies, I would receive a more than 50% reduction in funding. The monthly stipend I received for that academic year equated to just under $2500 </w:t>
      </w:r>
      <w:r w:rsidR="009902B0" w:rsidRPr="00E869A4">
        <w:rPr>
          <w:rFonts w:ascii="Times New Roman" w:hAnsi="Times New Roman" w:cs="Times New Roman"/>
        </w:rPr>
        <w:t>TTD</w:t>
      </w:r>
      <w:r w:rsidR="004B4F39" w:rsidRPr="00E869A4">
        <w:rPr>
          <w:rFonts w:ascii="Times New Roman" w:hAnsi="Times New Roman" w:cs="Times New Roman"/>
        </w:rPr>
        <w:t>, which</w:t>
      </w:r>
      <w:r w:rsidRPr="00E869A4">
        <w:rPr>
          <w:rFonts w:ascii="Times New Roman" w:hAnsi="Times New Roman" w:cs="Times New Roman"/>
        </w:rPr>
        <w:t xml:space="preserve"> was approximately </w:t>
      </w:r>
      <w:r w:rsidR="008E4DF9" w:rsidRPr="00E869A4">
        <w:rPr>
          <w:rStyle w:val="CommentReference"/>
          <w:rFonts w:ascii="Times New Roman" w:hAnsi="Times New Roman" w:cs="Times New Roman"/>
          <w:sz w:val="24"/>
        </w:rPr>
        <w:t>£</w:t>
      </w:r>
      <w:r w:rsidR="008E4DF9" w:rsidRPr="00E869A4">
        <w:rPr>
          <w:rFonts w:ascii="Times New Roman" w:hAnsi="Times New Roman" w:cs="Times New Roman"/>
        </w:rPr>
        <w:t>250</w:t>
      </w:r>
      <w:r w:rsidR="009902B0" w:rsidRPr="00E869A4">
        <w:rPr>
          <w:rFonts w:ascii="Times New Roman" w:hAnsi="Times New Roman" w:cs="Times New Roman"/>
        </w:rPr>
        <w:t xml:space="preserve"> </w:t>
      </w:r>
      <w:r w:rsidRPr="00E869A4">
        <w:rPr>
          <w:rFonts w:ascii="Times New Roman" w:hAnsi="Times New Roman" w:cs="Times New Roman"/>
        </w:rPr>
        <w:t xml:space="preserve">a month. This amount was insufficient to meet the research costs or my living expenses. </w:t>
      </w:r>
    </w:p>
    <w:p w14:paraId="3A375F55" w14:textId="77777777" w:rsidR="008E4DF9" w:rsidRPr="00E869A4" w:rsidRDefault="008E4DF9" w:rsidP="00A35FF8">
      <w:pPr>
        <w:rPr>
          <w:rFonts w:ascii="Times New Roman" w:hAnsi="Times New Roman" w:cs="Times New Roman"/>
        </w:rPr>
      </w:pPr>
    </w:p>
    <w:p w14:paraId="0F9CB5F5" w14:textId="4D1B5417" w:rsidR="00C03772" w:rsidRPr="00E869A4" w:rsidRDefault="00C03772" w:rsidP="00A35FF8">
      <w:pPr>
        <w:rPr>
          <w:rFonts w:ascii="Times New Roman" w:hAnsi="Times New Roman" w:cs="Times New Roman"/>
        </w:rPr>
      </w:pPr>
      <w:r w:rsidRPr="00E869A4">
        <w:rPr>
          <w:rFonts w:ascii="Times New Roman" w:hAnsi="Times New Roman" w:cs="Times New Roman"/>
        </w:rPr>
        <w:lastRenderedPageBreak/>
        <w:t xml:space="preserve">To compensate for the shortfall in funding, I had to re-divert some of the time </w:t>
      </w:r>
      <w:r w:rsidR="00D04D46" w:rsidRPr="00E869A4">
        <w:rPr>
          <w:rFonts w:ascii="Times New Roman" w:hAnsi="Times New Roman" w:cs="Times New Roman"/>
        </w:rPr>
        <w:t xml:space="preserve">for conducting </w:t>
      </w:r>
      <w:r w:rsidRPr="00E869A4">
        <w:rPr>
          <w:rFonts w:ascii="Times New Roman" w:hAnsi="Times New Roman" w:cs="Times New Roman"/>
        </w:rPr>
        <w:t>the study to obtain additional finances for the research. This involved contacting private sector agencies to fund certain aspects of the study</w:t>
      </w:r>
      <w:r w:rsidR="004B4F39" w:rsidRPr="00E869A4">
        <w:rPr>
          <w:rFonts w:ascii="Times New Roman" w:hAnsi="Times New Roman" w:cs="Times New Roman"/>
        </w:rPr>
        <w:t>,</w:t>
      </w:r>
      <w:r w:rsidRPr="00E869A4">
        <w:rPr>
          <w:rFonts w:ascii="Times New Roman" w:hAnsi="Times New Roman" w:cs="Times New Roman"/>
        </w:rPr>
        <w:t xml:space="preserve"> such as the incentives for people to participate in the focus groups, as well as the survey that was added to the data collection effort (the rationale for including a survey is discussed in more detail below). </w:t>
      </w:r>
    </w:p>
    <w:p w14:paraId="09FD4303" w14:textId="77777777" w:rsidR="00E53C79" w:rsidRPr="00E869A4" w:rsidRDefault="00E53C79" w:rsidP="00A35FF8">
      <w:pPr>
        <w:rPr>
          <w:rFonts w:ascii="Times New Roman" w:hAnsi="Times New Roman" w:cs="Times New Roman"/>
        </w:rPr>
      </w:pPr>
    </w:p>
    <w:p w14:paraId="540076BF" w14:textId="38A0B2F3" w:rsidR="00C03772" w:rsidRPr="00E869A4" w:rsidRDefault="00C03772" w:rsidP="00A35FF8">
      <w:pPr>
        <w:rPr>
          <w:rFonts w:ascii="Times New Roman" w:hAnsi="Times New Roman" w:cs="Times New Roman"/>
        </w:rPr>
      </w:pPr>
      <w:r w:rsidRPr="00E869A4">
        <w:rPr>
          <w:rFonts w:ascii="Times New Roman" w:hAnsi="Times New Roman" w:cs="Times New Roman"/>
        </w:rPr>
        <w:t>The main costs covered by private sector agencies were for the meals and snacks for the two focus group sessions in Trinidad</w:t>
      </w:r>
      <w:r w:rsidRPr="00E869A4">
        <w:rPr>
          <w:rFonts w:ascii="Times New Roman" w:hAnsi="Times New Roman" w:cs="Times New Roman"/>
          <w:vertAlign w:val="superscript"/>
        </w:rPr>
        <w:footnoteReference w:id="47"/>
      </w:r>
      <w:r w:rsidRPr="00E869A4">
        <w:rPr>
          <w:rFonts w:ascii="Times New Roman" w:hAnsi="Times New Roman" w:cs="Times New Roman"/>
        </w:rPr>
        <w:t xml:space="preserve">.  Katrina Therapy Centre also provided one of the gift items for the online survey i.e. a hydrotherapy session. Other expenses for the study such as tokens for persons participating in the in-depth interviews, advertising, printing of flyers, information sheets and other documents, costs for a rapporteur and transcribers as well as travel throughout </w:t>
      </w:r>
      <w:r w:rsidR="001B3B25" w:rsidRPr="00E869A4">
        <w:rPr>
          <w:rFonts w:ascii="Times New Roman" w:hAnsi="Times New Roman" w:cs="Times New Roman"/>
        </w:rPr>
        <w:t>T&amp;T</w:t>
      </w:r>
      <w:r w:rsidR="001F5471" w:rsidRPr="00E869A4">
        <w:rPr>
          <w:rFonts w:ascii="Times New Roman" w:hAnsi="Times New Roman" w:cs="Times New Roman"/>
        </w:rPr>
        <w:t>,</w:t>
      </w:r>
      <w:r w:rsidR="001B3B25" w:rsidRPr="00E869A4">
        <w:rPr>
          <w:rFonts w:ascii="Times New Roman" w:hAnsi="Times New Roman" w:cs="Times New Roman"/>
        </w:rPr>
        <w:t xml:space="preserve"> </w:t>
      </w:r>
      <w:r w:rsidRPr="00E869A4">
        <w:rPr>
          <w:rFonts w:ascii="Times New Roman" w:hAnsi="Times New Roman" w:cs="Times New Roman"/>
        </w:rPr>
        <w:t>had to be paid for out-of-pocket. I had to obtain leave</w:t>
      </w:r>
      <w:r w:rsidR="001B3B25" w:rsidRPr="00E869A4">
        <w:rPr>
          <w:rFonts w:ascii="Times New Roman" w:hAnsi="Times New Roman" w:cs="Times New Roman"/>
        </w:rPr>
        <w:t>s</w:t>
      </w:r>
      <w:r w:rsidRPr="00E869A4">
        <w:rPr>
          <w:rFonts w:ascii="Times New Roman" w:hAnsi="Times New Roman" w:cs="Times New Roman"/>
        </w:rPr>
        <w:t xml:space="preserve"> of absence and</w:t>
      </w:r>
      <w:r w:rsidR="001F5471" w:rsidRPr="00E869A4">
        <w:rPr>
          <w:rFonts w:ascii="Times New Roman" w:hAnsi="Times New Roman" w:cs="Times New Roman"/>
        </w:rPr>
        <w:t>,</w:t>
      </w:r>
      <w:r w:rsidRPr="00E869A4">
        <w:rPr>
          <w:rFonts w:ascii="Times New Roman" w:hAnsi="Times New Roman" w:cs="Times New Roman"/>
        </w:rPr>
        <w:t xml:space="preserve"> time limit extensions</w:t>
      </w:r>
      <w:r w:rsidR="001F5471" w:rsidRPr="00E869A4">
        <w:rPr>
          <w:rFonts w:ascii="Times New Roman" w:hAnsi="Times New Roman" w:cs="Times New Roman"/>
        </w:rPr>
        <w:t>,</w:t>
      </w:r>
      <w:r w:rsidRPr="00E869A4">
        <w:rPr>
          <w:rFonts w:ascii="Times New Roman" w:hAnsi="Times New Roman" w:cs="Times New Roman"/>
        </w:rPr>
        <w:t xml:space="preserve"> so that I could work to obtain the additional finances to cover these expenses. The different phases in the study are also reflective of these changes in my student registration status.</w:t>
      </w:r>
    </w:p>
    <w:p w14:paraId="30D8611E" w14:textId="77777777" w:rsidR="00A00B82" w:rsidRPr="00E869A4" w:rsidRDefault="00A00B82" w:rsidP="00A35FF8">
      <w:pPr>
        <w:rPr>
          <w:rFonts w:ascii="Times New Roman" w:hAnsi="Times New Roman" w:cs="Times New Roman"/>
        </w:rPr>
      </w:pPr>
    </w:p>
    <w:p w14:paraId="78128CAB" w14:textId="1EBA5A0C" w:rsidR="00C03772" w:rsidRPr="00E869A4" w:rsidRDefault="00C03772" w:rsidP="00A35FF8">
      <w:pPr>
        <w:rPr>
          <w:rFonts w:ascii="Times New Roman" w:hAnsi="Times New Roman" w:cs="Times New Roman"/>
        </w:rPr>
      </w:pPr>
      <w:r w:rsidRPr="00E869A4">
        <w:rPr>
          <w:rFonts w:ascii="Times New Roman" w:hAnsi="Times New Roman" w:cs="Times New Roman"/>
        </w:rPr>
        <w:t>Another significant challenge I had</w:t>
      </w:r>
      <w:r w:rsidR="00B91BC8" w:rsidRPr="00E869A4">
        <w:rPr>
          <w:rFonts w:ascii="Times New Roman" w:hAnsi="Times New Roman" w:cs="Times New Roman"/>
        </w:rPr>
        <w:t>,</w:t>
      </w:r>
      <w:r w:rsidRPr="00E869A4">
        <w:rPr>
          <w:rFonts w:ascii="Times New Roman" w:hAnsi="Times New Roman" w:cs="Times New Roman"/>
        </w:rPr>
        <w:t xml:space="preserve"> was a delay in supervision and academic support from the </w:t>
      </w:r>
      <w:r w:rsidR="001B3B25" w:rsidRPr="00E869A4">
        <w:rPr>
          <w:rFonts w:ascii="Times New Roman" w:hAnsi="Times New Roman" w:cs="Times New Roman"/>
        </w:rPr>
        <w:t>UWI</w:t>
      </w:r>
      <w:r w:rsidRPr="00E869A4">
        <w:rPr>
          <w:rFonts w:ascii="Times New Roman" w:hAnsi="Times New Roman" w:cs="Times New Roman"/>
        </w:rPr>
        <w:t xml:space="preserve"> (St. Augustine) in </w:t>
      </w:r>
      <w:r w:rsidR="001B3B25" w:rsidRPr="00E869A4">
        <w:rPr>
          <w:rFonts w:ascii="Times New Roman" w:hAnsi="Times New Roman" w:cs="Times New Roman"/>
        </w:rPr>
        <w:t>T&amp;</w:t>
      </w:r>
      <w:r w:rsidR="00D85389" w:rsidRPr="00E869A4">
        <w:rPr>
          <w:rFonts w:ascii="Times New Roman" w:hAnsi="Times New Roman" w:cs="Times New Roman"/>
        </w:rPr>
        <w:t>T, which</w:t>
      </w:r>
      <w:r w:rsidRPr="00E869A4">
        <w:rPr>
          <w:rFonts w:ascii="Times New Roman" w:hAnsi="Times New Roman" w:cs="Times New Roman"/>
        </w:rPr>
        <w:t xml:space="preserve"> was part of the Joint-Location requirements for the </w:t>
      </w:r>
      <w:r w:rsidR="00E25518" w:rsidRPr="00E869A4">
        <w:rPr>
          <w:rFonts w:ascii="Times New Roman" w:hAnsi="Times New Roman" w:cs="Times New Roman"/>
        </w:rPr>
        <w:t>U</w:t>
      </w:r>
      <w:r w:rsidR="00B91BC8" w:rsidRPr="00E869A4">
        <w:rPr>
          <w:rFonts w:ascii="Times New Roman" w:hAnsi="Times New Roman" w:cs="Times New Roman"/>
        </w:rPr>
        <w:t>O</w:t>
      </w:r>
      <w:r w:rsidR="00975170" w:rsidRPr="00E869A4">
        <w:rPr>
          <w:rFonts w:ascii="Times New Roman" w:hAnsi="Times New Roman" w:cs="Times New Roman"/>
        </w:rPr>
        <w:t>S</w:t>
      </w:r>
      <w:r w:rsidRPr="00E869A4">
        <w:rPr>
          <w:rFonts w:ascii="Times New Roman" w:hAnsi="Times New Roman" w:cs="Times New Roman"/>
        </w:rPr>
        <w:t>. The delay resulted because of an additional requirement made by the Centre for Graduate Studies at UWI</w:t>
      </w:r>
      <w:r w:rsidR="00D85389" w:rsidRPr="00E869A4">
        <w:rPr>
          <w:rFonts w:ascii="Times New Roman" w:hAnsi="Times New Roman" w:cs="Times New Roman"/>
        </w:rPr>
        <w:t>,</w:t>
      </w:r>
      <w:r w:rsidRPr="00E869A4">
        <w:rPr>
          <w:rFonts w:ascii="Times New Roman" w:hAnsi="Times New Roman" w:cs="Times New Roman"/>
        </w:rPr>
        <w:t xml:space="preserve"> for a letter of acknowledgement to be provided to Dr. Brown for his role as my local supervisor. However, the then </w:t>
      </w:r>
      <w:r w:rsidR="001B3B25" w:rsidRPr="00E869A4">
        <w:rPr>
          <w:rFonts w:ascii="Times New Roman" w:hAnsi="Times New Roman" w:cs="Times New Roman"/>
        </w:rPr>
        <w:t>Director of Postgraduate Studies</w:t>
      </w:r>
      <w:r w:rsidRPr="00E869A4">
        <w:rPr>
          <w:rFonts w:ascii="Times New Roman" w:hAnsi="Times New Roman" w:cs="Times New Roman"/>
        </w:rPr>
        <w:t xml:space="preserve"> at the</w:t>
      </w:r>
      <w:r w:rsidR="00E25518" w:rsidRPr="00E869A4">
        <w:rPr>
          <w:rFonts w:ascii="Times New Roman" w:hAnsi="Times New Roman" w:cs="Times New Roman"/>
        </w:rPr>
        <w:t xml:space="preserve"> Department of Sociological Studies (U</w:t>
      </w:r>
      <w:r w:rsidR="00DF7E50" w:rsidRPr="00E869A4">
        <w:rPr>
          <w:rFonts w:ascii="Times New Roman" w:hAnsi="Times New Roman" w:cs="Times New Roman"/>
        </w:rPr>
        <w:t>O</w:t>
      </w:r>
      <w:r w:rsidR="00E25518" w:rsidRPr="00E869A4">
        <w:rPr>
          <w:rFonts w:ascii="Times New Roman" w:hAnsi="Times New Roman" w:cs="Times New Roman"/>
        </w:rPr>
        <w:t>S)</w:t>
      </w:r>
      <w:r w:rsidRPr="00E869A4">
        <w:rPr>
          <w:rFonts w:ascii="Times New Roman" w:hAnsi="Times New Roman" w:cs="Times New Roman"/>
        </w:rPr>
        <w:t xml:space="preserve"> refused to do so, and no resolution was obtained until over a year had passed</w:t>
      </w:r>
      <w:r w:rsidR="00D85389" w:rsidRPr="00E869A4">
        <w:rPr>
          <w:rFonts w:ascii="Times New Roman" w:hAnsi="Times New Roman" w:cs="Times New Roman"/>
        </w:rPr>
        <w:t>,</w:t>
      </w:r>
      <w:r w:rsidRPr="00E869A4">
        <w:rPr>
          <w:rFonts w:ascii="Times New Roman" w:hAnsi="Times New Roman" w:cs="Times New Roman"/>
        </w:rPr>
        <w:t xml:space="preserve"> and the S</w:t>
      </w:r>
      <w:r w:rsidR="00344125" w:rsidRPr="00E869A4">
        <w:rPr>
          <w:rFonts w:ascii="Times New Roman" w:hAnsi="Times New Roman" w:cs="Times New Roman"/>
        </w:rPr>
        <w:t>ATD</w:t>
      </w:r>
      <w:r w:rsidRPr="00E869A4">
        <w:rPr>
          <w:rFonts w:ascii="Times New Roman" w:hAnsi="Times New Roman" w:cs="Times New Roman"/>
        </w:rPr>
        <w:t xml:space="preserve"> intervened and solicited support from the International Affairs Office at UWI. </w:t>
      </w:r>
      <w:r w:rsidR="000B0657" w:rsidRPr="00E869A4">
        <w:rPr>
          <w:rFonts w:ascii="Times New Roman" w:hAnsi="Times New Roman" w:cs="Times New Roman"/>
        </w:rPr>
        <w:t>However</w:t>
      </w:r>
      <w:r w:rsidRPr="00E869A4">
        <w:rPr>
          <w:rFonts w:ascii="Times New Roman" w:hAnsi="Times New Roman" w:cs="Times New Roman"/>
        </w:rPr>
        <w:t>, these administrative challenges meant that I had no support from a local agency to help with snow-ball sampling and recruitment of participants in the early phases of recruitment. However, once a local supervisor was identified (very kindly, Dr. Innette Cambridge voluntarily provided this support) I was able to obtain an official letter endorsing the study from her office</w:t>
      </w:r>
      <w:r w:rsidR="00D85389" w:rsidRPr="00E869A4">
        <w:rPr>
          <w:rFonts w:ascii="Times New Roman" w:hAnsi="Times New Roman" w:cs="Times New Roman"/>
        </w:rPr>
        <w:t>,</w:t>
      </w:r>
      <w:r w:rsidRPr="00E869A4">
        <w:rPr>
          <w:rFonts w:ascii="Times New Roman" w:hAnsi="Times New Roman" w:cs="Times New Roman"/>
        </w:rPr>
        <w:t xml:space="preserve"> which helped with recruitment efforts. I also received some support with promoting the study from the D</w:t>
      </w:r>
      <w:r w:rsidR="00EC43CA" w:rsidRPr="00E869A4">
        <w:rPr>
          <w:rFonts w:ascii="Times New Roman" w:hAnsi="Times New Roman" w:cs="Times New Roman"/>
        </w:rPr>
        <w:t>O</w:t>
      </w:r>
      <w:r w:rsidRPr="00E869A4">
        <w:rPr>
          <w:rFonts w:ascii="Times New Roman" w:hAnsi="Times New Roman" w:cs="Times New Roman"/>
        </w:rPr>
        <w:t xml:space="preserve">A, which was based in the Ministry of Social Development. I was allowed to distribute flyers and information sheets at two events that they had i.e. the Elder Abuse Awareness Day Event </w:t>
      </w:r>
      <w:r w:rsidRPr="00E869A4">
        <w:rPr>
          <w:rFonts w:ascii="Times New Roman" w:hAnsi="Times New Roman" w:cs="Times New Roman"/>
        </w:rPr>
        <w:lastRenderedPageBreak/>
        <w:t>(2013) and</w:t>
      </w:r>
      <w:r w:rsidR="00BA0724">
        <w:rPr>
          <w:rFonts w:ascii="Times New Roman" w:hAnsi="Times New Roman" w:cs="Times New Roman"/>
        </w:rPr>
        <w:t>,</w:t>
      </w:r>
      <w:r w:rsidRPr="00E869A4">
        <w:rPr>
          <w:rFonts w:ascii="Times New Roman" w:hAnsi="Times New Roman" w:cs="Times New Roman"/>
        </w:rPr>
        <w:t xml:space="preserve"> a public consultation on the ‘Homes for Older Persons Act</w:t>
      </w:r>
      <w:r w:rsidR="00D85389" w:rsidRPr="00E869A4">
        <w:rPr>
          <w:rFonts w:ascii="Times New Roman" w:hAnsi="Times New Roman" w:cs="Times New Roman"/>
        </w:rPr>
        <w:t>’</w:t>
      </w:r>
      <w:r w:rsidRPr="00E869A4">
        <w:rPr>
          <w:rFonts w:ascii="Times New Roman" w:hAnsi="Times New Roman" w:cs="Times New Roman"/>
        </w:rPr>
        <w:t xml:space="preserve"> (2014). A flyer that was used during this phase is presented at Appendix </w:t>
      </w:r>
      <w:r w:rsidR="00D201F2" w:rsidRPr="00E869A4">
        <w:rPr>
          <w:rFonts w:ascii="Times New Roman" w:hAnsi="Times New Roman" w:cs="Times New Roman"/>
        </w:rPr>
        <w:t>6</w:t>
      </w:r>
      <w:r w:rsidRPr="00E869A4">
        <w:rPr>
          <w:rFonts w:ascii="Times New Roman" w:hAnsi="Times New Roman" w:cs="Times New Roman"/>
        </w:rPr>
        <w:t>.</w:t>
      </w:r>
    </w:p>
    <w:p w14:paraId="7AAB74FA" w14:textId="77777777" w:rsidR="00E53C79" w:rsidRPr="00E869A4" w:rsidRDefault="00E53C79" w:rsidP="00A35FF8">
      <w:pPr>
        <w:rPr>
          <w:rFonts w:ascii="Times New Roman" w:hAnsi="Times New Roman" w:cs="Times New Roman"/>
        </w:rPr>
      </w:pPr>
    </w:p>
    <w:p w14:paraId="1EB39A93" w14:textId="77777777"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Given the funding challenges, data-collection efforts were initially limited to Trinidad where I resided from 2010 to November 2013. In December 2013, I made my first attempt to obtain participants in Tobago. </w:t>
      </w:r>
    </w:p>
    <w:p w14:paraId="6B3DC7B3" w14:textId="77777777" w:rsidR="00E53C79" w:rsidRPr="00E869A4" w:rsidRDefault="00E53C79" w:rsidP="00A35FF8">
      <w:pPr>
        <w:rPr>
          <w:rFonts w:ascii="Times New Roman" w:hAnsi="Times New Roman" w:cs="Times New Roman"/>
        </w:rPr>
      </w:pPr>
    </w:p>
    <w:p w14:paraId="3C23171D" w14:textId="52A55070" w:rsidR="00C03772" w:rsidRPr="00E869A4" w:rsidRDefault="00C03772" w:rsidP="00E9231D">
      <w:pPr>
        <w:pStyle w:val="Heading4"/>
      </w:pPr>
      <w:bookmarkStart w:id="260" w:name="_Toc508858748"/>
      <w:r w:rsidRPr="00E869A4">
        <w:t>Personal Challenges and Revelations</w:t>
      </w:r>
      <w:bookmarkEnd w:id="260"/>
    </w:p>
    <w:p w14:paraId="293A7B65" w14:textId="77777777" w:rsidR="00C03772" w:rsidRPr="00E869A4" w:rsidRDefault="00C03772" w:rsidP="00A35FF8">
      <w:pPr>
        <w:rPr>
          <w:rFonts w:ascii="Times New Roman" w:hAnsi="Times New Roman" w:cs="Times New Roman"/>
        </w:rPr>
      </w:pPr>
    </w:p>
    <w:p w14:paraId="439C8C96" w14:textId="566842B2"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During the study period, I too became the cared-for and a carer. From September 2009 to 2010, I suffered from a serious case of tendonitis in my feet and </w:t>
      </w:r>
      <w:r w:rsidR="005C6994" w:rsidRPr="00E869A4">
        <w:rPr>
          <w:rFonts w:ascii="Times New Roman" w:hAnsi="Times New Roman" w:cs="Times New Roman"/>
        </w:rPr>
        <w:t>legs, which</w:t>
      </w:r>
      <w:r w:rsidRPr="00E869A4">
        <w:rPr>
          <w:rFonts w:ascii="Times New Roman" w:hAnsi="Times New Roman" w:cs="Times New Roman"/>
        </w:rPr>
        <w:t xml:space="preserve"> affected my mobility. I was forced to delay my entry into the field </w:t>
      </w:r>
      <w:r w:rsidR="005C6994" w:rsidRPr="00E869A4">
        <w:rPr>
          <w:rFonts w:ascii="Times New Roman" w:hAnsi="Times New Roman" w:cs="Times New Roman"/>
        </w:rPr>
        <w:t>because</w:t>
      </w:r>
      <w:r w:rsidRPr="00E869A4">
        <w:rPr>
          <w:rFonts w:ascii="Times New Roman" w:hAnsi="Times New Roman" w:cs="Times New Roman"/>
        </w:rPr>
        <w:t xml:space="preserve"> of this. </w:t>
      </w:r>
      <w:r w:rsidR="005C6994" w:rsidRPr="00E869A4">
        <w:rPr>
          <w:rFonts w:ascii="Times New Roman" w:hAnsi="Times New Roman" w:cs="Times New Roman"/>
        </w:rPr>
        <w:t>However</w:t>
      </w:r>
      <w:r w:rsidRPr="00E869A4">
        <w:rPr>
          <w:rFonts w:ascii="Times New Roman" w:hAnsi="Times New Roman" w:cs="Times New Roman"/>
        </w:rPr>
        <w:t xml:space="preserve">, this situation afforded me an opportunity to obtain first-hand experience on receiving care from both the public and private health care sector in Trinidad. </w:t>
      </w:r>
    </w:p>
    <w:p w14:paraId="67CA277D" w14:textId="77777777" w:rsidR="00E53C79" w:rsidRPr="00E869A4" w:rsidRDefault="00E53C79" w:rsidP="00A35FF8">
      <w:pPr>
        <w:rPr>
          <w:rFonts w:ascii="Times New Roman" w:hAnsi="Times New Roman" w:cs="Times New Roman"/>
        </w:rPr>
      </w:pPr>
    </w:p>
    <w:p w14:paraId="7D397183" w14:textId="041B5B3D" w:rsidR="00C03772" w:rsidRPr="00E869A4" w:rsidRDefault="00630938" w:rsidP="00E32857">
      <w:pPr>
        <w:rPr>
          <w:rFonts w:ascii="Times New Roman" w:hAnsi="Times New Roman" w:cs="Times New Roman"/>
        </w:rPr>
      </w:pPr>
      <w:r w:rsidRPr="00E869A4">
        <w:rPr>
          <w:rFonts w:ascii="Times New Roman" w:hAnsi="Times New Roman" w:cs="Times New Roman"/>
        </w:rPr>
        <w:t>From</w:t>
      </w:r>
      <w:r w:rsidR="00C03772" w:rsidRPr="00E869A4">
        <w:rPr>
          <w:rFonts w:ascii="Times New Roman" w:hAnsi="Times New Roman" w:cs="Times New Roman"/>
        </w:rPr>
        <w:t xml:space="preserve"> 2010, I became a family carer to my older parents who experienced different health challenges. This provided another opportunity to experience care in various </w:t>
      </w:r>
      <w:r w:rsidR="00E32857" w:rsidRPr="00E869A4">
        <w:rPr>
          <w:rFonts w:ascii="Times New Roman" w:hAnsi="Times New Roman" w:cs="Times New Roman"/>
        </w:rPr>
        <w:t>arenas</w:t>
      </w:r>
      <w:r w:rsidR="00C03772" w:rsidRPr="00E869A4">
        <w:rPr>
          <w:rFonts w:ascii="Times New Roman" w:hAnsi="Times New Roman" w:cs="Times New Roman"/>
        </w:rPr>
        <w:t xml:space="preserve"> in </w:t>
      </w:r>
      <w:r w:rsidR="00E32857" w:rsidRPr="00E869A4">
        <w:rPr>
          <w:rFonts w:ascii="Times New Roman" w:hAnsi="Times New Roman" w:cs="Times New Roman"/>
        </w:rPr>
        <w:t>T&amp;T</w:t>
      </w:r>
      <w:r w:rsidR="00C03772" w:rsidRPr="00E869A4">
        <w:rPr>
          <w:rFonts w:ascii="Times New Roman" w:hAnsi="Times New Roman" w:cs="Times New Roman"/>
        </w:rPr>
        <w:t xml:space="preserve">. My experience as a family caregiver also included </w:t>
      </w:r>
      <w:r w:rsidR="002B77B9" w:rsidRPr="00E869A4">
        <w:rPr>
          <w:rFonts w:ascii="Times New Roman" w:hAnsi="Times New Roman" w:cs="Times New Roman"/>
        </w:rPr>
        <w:t>engaging</w:t>
      </w:r>
      <w:r w:rsidR="00C03772" w:rsidRPr="00E869A4">
        <w:rPr>
          <w:rFonts w:ascii="Times New Roman" w:hAnsi="Times New Roman" w:cs="Times New Roman"/>
        </w:rPr>
        <w:t xml:space="preserve"> with health practitioners in both the private and public sector, as well as seeking paid care support services from privately run social service entities. With respect to the public health care system, I had the opportunity to </w:t>
      </w:r>
      <w:r w:rsidRPr="00E869A4">
        <w:rPr>
          <w:rFonts w:ascii="Times New Roman" w:hAnsi="Times New Roman" w:cs="Times New Roman"/>
        </w:rPr>
        <w:t xml:space="preserve">personally </w:t>
      </w:r>
      <w:r w:rsidR="00C03772" w:rsidRPr="00E869A4">
        <w:rPr>
          <w:rFonts w:ascii="Times New Roman" w:hAnsi="Times New Roman" w:cs="Times New Roman"/>
        </w:rPr>
        <w:t>engage with the health care system in various locations including North, East and South Trinidad</w:t>
      </w:r>
      <w:r w:rsidRPr="00E869A4">
        <w:rPr>
          <w:rFonts w:ascii="Times New Roman" w:hAnsi="Times New Roman" w:cs="Times New Roman"/>
        </w:rPr>
        <w:t>,</w:t>
      </w:r>
      <w:r w:rsidR="00C03772" w:rsidRPr="00E869A4">
        <w:rPr>
          <w:rFonts w:ascii="Times New Roman" w:hAnsi="Times New Roman" w:cs="Times New Roman"/>
        </w:rPr>
        <w:t xml:space="preserve"> as well as Tobago</w:t>
      </w:r>
      <w:r w:rsidR="00E32857" w:rsidRPr="00E869A4">
        <w:rPr>
          <w:rFonts w:ascii="Times New Roman" w:hAnsi="Times New Roman" w:cs="Times New Roman"/>
        </w:rPr>
        <w:t xml:space="preserve"> whilst caring for my parents. </w:t>
      </w:r>
      <w:r w:rsidRPr="00E869A4">
        <w:rPr>
          <w:rFonts w:ascii="Times New Roman" w:hAnsi="Times New Roman" w:cs="Times New Roman"/>
        </w:rPr>
        <w:t xml:space="preserve">Later on, I engaged in intense end-of-life care for my father while finalising this thesis for submission, which again involved direct interaction with the public and private health sector. </w:t>
      </w:r>
      <w:r w:rsidR="00C03772" w:rsidRPr="00E869A4">
        <w:rPr>
          <w:rFonts w:ascii="Times New Roman" w:hAnsi="Times New Roman" w:cs="Times New Roman"/>
        </w:rPr>
        <w:t>For ethical reasons, I am unable to divulge the specific details of these experiences. However, in keeping with the critical gerontological approach as well as the reflexive component of qualitative research studies, I thought it necessary to briefly share the aforementioned</w:t>
      </w:r>
      <w:r w:rsidRPr="00E869A4">
        <w:rPr>
          <w:rFonts w:ascii="Times New Roman" w:hAnsi="Times New Roman" w:cs="Times New Roman"/>
        </w:rPr>
        <w:t>,</w:t>
      </w:r>
      <w:r w:rsidR="00C03772" w:rsidRPr="00E869A4">
        <w:rPr>
          <w:rFonts w:ascii="Times New Roman" w:hAnsi="Times New Roman" w:cs="Times New Roman"/>
        </w:rPr>
        <w:t xml:space="preserve"> so as to identify some of the factors that may have influenced my perspective.  </w:t>
      </w:r>
    </w:p>
    <w:p w14:paraId="1FC49D56" w14:textId="77777777" w:rsidR="00C03772" w:rsidRPr="00E869A4" w:rsidRDefault="00C03772" w:rsidP="00A35FF8">
      <w:pPr>
        <w:rPr>
          <w:rFonts w:ascii="Times New Roman" w:eastAsia="Cambria" w:hAnsi="Times New Roman" w:cs="Times New Roman"/>
          <w:b/>
        </w:rPr>
      </w:pPr>
    </w:p>
    <w:p w14:paraId="54D4B1B3" w14:textId="66223169" w:rsidR="00C03772" w:rsidRPr="00E869A4" w:rsidRDefault="00E32857" w:rsidP="00A35FF8">
      <w:pPr>
        <w:rPr>
          <w:rFonts w:ascii="Times New Roman" w:hAnsi="Times New Roman" w:cs="Times New Roman"/>
        </w:rPr>
      </w:pPr>
      <w:r w:rsidRPr="00E869A4">
        <w:rPr>
          <w:rFonts w:ascii="Times New Roman" w:hAnsi="Times New Roman" w:cs="Times New Roman"/>
        </w:rPr>
        <w:t>Apart from</w:t>
      </w:r>
      <w:r w:rsidR="00C03772" w:rsidRPr="00E869A4">
        <w:rPr>
          <w:rFonts w:ascii="Times New Roman" w:hAnsi="Times New Roman" w:cs="Times New Roman"/>
        </w:rPr>
        <w:t xml:space="preserve"> f</w:t>
      </w:r>
      <w:r w:rsidR="00CB540E" w:rsidRPr="00E869A4">
        <w:rPr>
          <w:rFonts w:ascii="Times New Roman" w:hAnsi="Times New Roman" w:cs="Times New Roman"/>
        </w:rPr>
        <w:t>inancial and personal challenges</w:t>
      </w:r>
      <w:r w:rsidR="00C03772" w:rsidRPr="00E869A4">
        <w:rPr>
          <w:rFonts w:ascii="Times New Roman" w:hAnsi="Times New Roman" w:cs="Times New Roman"/>
        </w:rPr>
        <w:t xml:space="preserve">, the changes to the methodology were also deemed necessary given the slow uptake of family caregivers and older </w:t>
      </w:r>
      <w:r w:rsidR="009E2738" w:rsidRPr="00E869A4">
        <w:rPr>
          <w:rFonts w:ascii="Times New Roman" w:hAnsi="Times New Roman" w:cs="Times New Roman"/>
        </w:rPr>
        <w:t>care recipient</w:t>
      </w:r>
      <w:r w:rsidR="00C03772" w:rsidRPr="00E869A4">
        <w:rPr>
          <w:rFonts w:ascii="Times New Roman" w:hAnsi="Times New Roman" w:cs="Times New Roman"/>
        </w:rPr>
        <w:t>s to willingly agree to give</w:t>
      </w:r>
      <w:r w:rsidR="00CB540E" w:rsidRPr="00E869A4">
        <w:rPr>
          <w:rFonts w:ascii="Times New Roman" w:hAnsi="Times New Roman" w:cs="Times New Roman"/>
        </w:rPr>
        <w:t xml:space="preserve"> their</w:t>
      </w:r>
      <w:r w:rsidR="00C03772" w:rsidRPr="00E869A4">
        <w:rPr>
          <w:rFonts w:ascii="Times New Roman" w:hAnsi="Times New Roman" w:cs="Times New Roman"/>
        </w:rPr>
        <w:t xml:space="preserve"> informed, signed consent to participate. Several potential participants from both islands were willing to share details of their family caregiving experiences once I told them the purpose of the study. However, </w:t>
      </w:r>
      <w:r w:rsidR="00C03772" w:rsidRPr="00E869A4">
        <w:rPr>
          <w:rFonts w:ascii="Times New Roman" w:hAnsi="Times New Roman" w:cs="Times New Roman"/>
        </w:rPr>
        <w:lastRenderedPageBreak/>
        <w:t>they were unwilling to follow through with</w:t>
      </w:r>
      <w:r w:rsidR="00EC43CA" w:rsidRPr="00E869A4">
        <w:rPr>
          <w:rFonts w:ascii="Times New Roman" w:hAnsi="Times New Roman" w:cs="Times New Roman"/>
        </w:rPr>
        <w:t xml:space="preserve"> committing to a meeting or</w:t>
      </w:r>
      <w:r w:rsidR="00C03772" w:rsidRPr="00E869A4">
        <w:rPr>
          <w:rFonts w:ascii="Times New Roman" w:hAnsi="Times New Roman" w:cs="Times New Roman"/>
        </w:rPr>
        <w:t xml:space="preserve"> signing the consent form. Five persons (3 in Trinidad and 2 in Tobago) shared their family caregiving stories with me with full knowledge of the need for informed consent. Some of these persons even conversed with me sometimes for up to an hour after I introduced the study to them and explained the need for informed consent, yet they refused to sign the form or make a verbal commitment in keeping with the ethical requirements for the study.</w:t>
      </w:r>
    </w:p>
    <w:p w14:paraId="7EB20879" w14:textId="77777777" w:rsidR="00E53C79" w:rsidRPr="00E869A4" w:rsidRDefault="00E53C79" w:rsidP="00A35FF8">
      <w:pPr>
        <w:rPr>
          <w:rFonts w:ascii="Times New Roman" w:hAnsi="Times New Roman" w:cs="Times New Roman"/>
        </w:rPr>
      </w:pPr>
    </w:p>
    <w:p w14:paraId="0EFC121B" w14:textId="6DEC095C" w:rsidR="00C03772" w:rsidRPr="00E869A4" w:rsidRDefault="00C03772" w:rsidP="00A35FF8">
      <w:pPr>
        <w:rPr>
          <w:rFonts w:ascii="Times New Roman" w:hAnsi="Times New Roman" w:cs="Times New Roman"/>
        </w:rPr>
      </w:pPr>
      <w:r w:rsidRPr="00E869A4">
        <w:rPr>
          <w:rFonts w:ascii="Times New Roman" w:hAnsi="Times New Roman" w:cs="Times New Roman"/>
        </w:rPr>
        <w:t>All five of these potential participants (4 = female and 1 = male) were people I had not met prior to conducting this study</w:t>
      </w:r>
      <w:r w:rsidR="00EA0997" w:rsidRPr="00E869A4">
        <w:rPr>
          <w:rFonts w:ascii="Times New Roman" w:hAnsi="Times New Roman" w:cs="Times New Roman"/>
        </w:rPr>
        <w:t>,</w:t>
      </w:r>
      <w:r w:rsidRPr="00E869A4">
        <w:rPr>
          <w:rFonts w:ascii="Times New Roman" w:hAnsi="Times New Roman" w:cs="Times New Roman"/>
        </w:rPr>
        <w:t xml:space="preserve"> and were strangers to me at the time that they shared their stories. One of the potential Trinidadian participants chatted with me while I was waiting on my own medical appointment in 2009. The waiting time was long and she shared details of her caregiving experience during that time. I met another potential participant while on a long bus trip. The third potential Trinidadian participant contacted me by phone on more than one occasion in response to an advertisement I had in </w:t>
      </w:r>
      <w:r w:rsidR="0098638E" w:rsidRPr="00E869A4">
        <w:rPr>
          <w:rFonts w:ascii="Times New Roman" w:hAnsi="Times New Roman" w:cs="Times New Roman"/>
        </w:rPr>
        <w:t>a</w:t>
      </w:r>
      <w:r w:rsidRPr="00E869A4">
        <w:rPr>
          <w:rFonts w:ascii="Times New Roman" w:hAnsi="Times New Roman" w:cs="Times New Roman"/>
        </w:rPr>
        <w:t xml:space="preserve"> </w:t>
      </w:r>
      <w:r w:rsidR="0098638E" w:rsidRPr="00E869A4">
        <w:rPr>
          <w:rFonts w:ascii="Times New Roman" w:hAnsi="Times New Roman" w:cs="Times New Roman"/>
        </w:rPr>
        <w:t>news</w:t>
      </w:r>
      <w:r w:rsidRPr="00E869A4">
        <w:rPr>
          <w:rFonts w:ascii="Times New Roman" w:hAnsi="Times New Roman" w:cs="Times New Roman"/>
        </w:rPr>
        <w:t>paper. He was an older person who claimed to have worked extensively with a civil society agency that catered specifically to the needs of older people. While he was interested in chatting about the research project on the phone, he did not commit to meet</w:t>
      </w:r>
      <w:r w:rsidR="00EC43CA" w:rsidRPr="00E869A4">
        <w:rPr>
          <w:rFonts w:ascii="Times New Roman" w:hAnsi="Times New Roman" w:cs="Times New Roman"/>
        </w:rPr>
        <w:t>ing</w:t>
      </w:r>
      <w:r w:rsidRPr="00E869A4">
        <w:rPr>
          <w:rFonts w:ascii="Times New Roman" w:hAnsi="Times New Roman" w:cs="Times New Roman"/>
        </w:rPr>
        <w:t xml:space="preserve"> to discuss it further. </w:t>
      </w:r>
    </w:p>
    <w:p w14:paraId="774F4AEE" w14:textId="77777777" w:rsidR="00E53C79" w:rsidRPr="00E869A4" w:rsidRDefault="00E53C79" w:rsidP="00A35FF8">
      <w:pPr>
        <w:rPr>
          <w:rFonts w:ascii="Times New Roman" w:hAnsi="Times New Roman" w:cs="Times New Roman"/>
        </w:rPr>
      </w:pPr>
    </w:p>
    <w:p w14:paraId="37FA8459" w14:textId="56498A7F"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A similar pattern of events occurred on my first visit to Tobago in </w:t>
      </w:r>
      <w:r w:rsidR="00A33A2E" w:rsidRPr="00E869A4">
        <w:rPr>
          <w:rFonts w:ascii="Times New Roman" w:hAnsi="Times New Roman" w:cs="Times New Roman"/>
        </w:rPr>
        <w:t>December</w:t>
      </w:r>
      <w:r w:rsidRPr="00E869A4">
        <w:rPr>
          <w:rFonts w:ascii="Times New Roman" w:hAnsi="Times New Roman" w:cs="Times New Roman"/>
        </w:rPr>
        <w:t xml:space="preserve"> 2013 to seek out participants. The first potential participant inquired about the study and shared extensively about her care experiences</w:t>
      </w:r>
      <w:r w:rsidR="00A33A2E" w:rsidRPr="00E869A4">
        <w:rPr>
          <w:rFonts w:ascii="Times New Roman" w:hAnsi="Times New Roman" w:cs="Times New Roman"/>
        </w:rPr>
        <w:t>,</w:t>
      </w:r>
      <w:r w:rsidRPr="00E869A4">
        <w:rPr>
          <w:rFonts w:ascii="Times New Roman" w:hAnsi="Times New Roman" w:cs="Times New Roman"/>
        </w:rPr>
        <w:t xml:space="preserve"> but did not want to commit to giving consent. Another individual shared her personal experiences as a family caregiver</w:t>
      </w:r>
      <w:r w:rsidR="009464E0" w:rsidRPr="00E869A4">
        <w:rPr>
          <w:rFonts w:ascii="Times New Roman" w:hAnsi="Times New Roman" w:cs="Times New Roman"/>
        </w:rPr>
        <w:t>,</w:t>
      </w:r>
      <w:r w:rsidRPr="00E869A4">
        <w:rPr>
          <w:rFonts w:ascii="Times New Roman" w:hAnsi="Times New Roman" w:cs="Times New Roman"/>
        </w:rPr>
        <w:t xml:space="preserve"> but was unwilling to give signed</w:t>
      </w:r>
      <w:r w:rsidR="00D964C5" w:rsidRPr="00E869A4">
        <w:rPr>
          <w:rFonts w:ascii="Times New Roman" w:hAnsi="Times New Roman" w:cs="Times New Roman"/>
        </w:rPr>
        <w:t xml:space="preserve"> or verbally recorded consent. Alt</w:t>
      </w:r>
      <w:r w:rsidRPr="00E869A4">
        <w:rPr>
          <w:rFonts w:ascii="Times New Roman" w:hAnsi="Times New Roman" w:cs="Times New Roman"/>
        </w:rPr>
        <w:t>hough I stayed on the island for a week, the purposive-snowball sampling approach I used was not successful. I decided subsequently to limit data collection in Tobago to focus group sessions with older people, and in-depth interviews with service providers. Official permission to conduct data collection in Tobago was received on May 26</w:t>
      </w:r>
      <w:r w:rsidRPr="00E869A4">
        <w:rPr>
          <w:rFonts w:ascii="Times New Roman" w:hAnsi="Times New Roman" w:cs="Times New Roman"/>
          <w:vertAlign w:val="superscript"/>
        </w:rPr>
        <w:t>th</w:t>
      </w:r>
      <w:r w:rsidRPr="00E869A4">
        <w:rPr>
          <w:rFonts w:ascii="Times New Roman" w:hAnsi="Times New Roman" w:cs="Times New Roman"/>
        </w:rPr>
        <w:t xml:space="preserve"> 2014</w:t>
      </w:r>
      <w:r w:rsidR="009464E0" w:rsidRPr="00E869A4">
        <w:rPr>
          <w:rFonts w:ascii="Times New Roman" w:hAnsi="Times New Roman" w:cs="Times New Roman"/>
        </w:rPr>
        <w:t xml:space="preserve"> from the THA</w:t>
      </w:r>
      <w:r w:rsidRPr="00E869A4">
        <w:rPr>
          <w:rFonts w:ascii="Times New Roman" w:hAnsi="Times New Roman" w:cs="Times New Roman"/>
          <w:vertAlign w:val="superscript"/>
        </w:rPr>
        <w:footnoteReference w:id="48"/>
      </w:r>
      <w:r w:rsidRPr="00E869A4">
        <w:rPr>
          <w:rFonts w:ascii="Times New Roman" w:hAnsi="Times New Roman" w:cs="Times New Roman"/>
        </w:rPr>
        <w:t xml:space="preserve">. </w:t>
      </w:r>
    </w:p>
    <w:p w14:paraId="0D9DE698" w14:textId="77777777" w:rsidR="009464E0" w:rsidRPr="00E869A4" w:rsidRDefault="009464E0" w:rsidP="00A35FF8">
      <w:pPr>
        <w:rPr>
          <w:rFonts w:ascii="Times New Roman" w:hAnsi="Times New Roman" w:cs="Times New Roman"/>
        </w:rPr>
      </w:pPr>
    </w:p>
    <w:p w14:paraId="20B415C9" w14:textId="691DF95B"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The research literature notes that low response and retention rates may be attributed to factors such as greater age, recent illness or poor present health, high use of medical care, competing responsibilities, researcher skill, low educational status and/or literacy level, unemployed or low occupational status, low </w:t>
      </w:r>
      <w:r w:rsidRPr="00E869A4">
        <w:rPr>
          <w:rFonts w:ascii="Times New Roman" w:hAnsi="Times New Roman" w:cs="Times New Roman"/>
        </w:rPr>
        <w:lastRenderedPageBreak/>
        <w:t>family income, male gender, urban residence, general mistrust as well as participant preference</w:t>
      </w:r>
      <w:r w:rsidR="00CB540E" w:rsidRPr="00E869A4">
        <w:rPr>
          <w:rFonts w:ascii="Times New Roman" w:hAnsi="Times New Roman" w:cs="Times New Roman"/>
        </w:rPr>
        <w:t>s (Bryman</w:t>
      </w:r>
      <w:r w:rsidRPr="00E869A4">
        <w:rPr>
          <w:rFonts w:ascii="Times New Roman" w:hAnsi="Times New Roman" w:cs="Times New Roman"/>
        </w:rPr>
        <w:t xml:space="preserve"> 2016; Mody et al</w:t>
      </w:r>
      <w:r w:rsidR="00CB540E" w:rsidRPr="00E869A4">
        <w:rPr>
          <w:rFonts w:ascii="Times New Roman" w:hAnsi="Times New Roman" w:cs="Times New Roman"/>
        </w:rPr>
        <w:t>.</w:t>
      </w:r>
      <w:r w:rsidRPr="00E869A4">
        <w:rPr>
          <w:rFonts w:ascii="Times New Roman" w:hAnsi="Times New Roman" w:cs="Times New Roman"/>
        </w:rPr>
        <w:t xml:space="preserve"> 2008; Patel</w:t>
      </w:r>
      <w:r w:rsidR="00CB540E" w:rsidRPr="00E869A4">
        <w:rPr>
          <w:rFonts w:ascii="Times New Roman" w:hAnsi="Times New Roman" w:cs="Times New Roman"/>
        </w:rPr>
        <w:t>,</w:t>
      </w:r>
      <w:r w:rsidRPr="00E869A4">
        <w:rPr>
          <w:rFonts w:ascii="Times New Roman" w:hAnsi="Times New Roman" w:cs="Times New Roman"/>
        </w:rPr>
        <w:t xml:space="preserve"> </w:t>
      </w:r>
      <w:r w:rsidR="00CB540E" w:rsidRPr="00E869A4">
        <w:rPr>
          <w:rFonts w:ascii="Times New Roman" w:hAnsi="Times New Roman" w:cs="Times New Roman"/>
        </w:rPr>
        <w:t xml:space="preserve">Doku &amp; Tennakoon </w:t>
      </w:r>
      <w:r w:rsidRPr="00E869A4">
        <w:rPr>
          <w:rFonts w:ascii="Times New Roman" w:hAnsi="Times New Roman" w:cs="Times New Roman"/>
        </w:rPr>
        <w:t xml:space="preserve">2003). These are all possible factors that may have impacted on the response and retention rate in this study. </w:t>
      </w:r>
    </w:p>
    <w:p w14:paraId="277044DA" w14:textId="77777777" w:rsidR="00267754" w:rsidRPr="00E869A4" w:rsidRDefault="00267754" w:rsidP="00A35FF8">
      <w:pPr>
        <w:rPr>
          <w:rFonts w:ascii="Times New Roman" w:hAnsi="Times New Roman" w:cs="Times New Roman"/>
        </w:rPr>
      </w:pPr>
    </w:p>
    <w:p w14:paraId="25FE046A" w14:textId="3BF6F2F5" w:rsidR="00A00B82" w:rsidRPr="00E869A4" w:rsidRDefault="00C03772" w:rsidP="00A35FF8">
      <w:pPr>
        <w:rPr>
          <w:rFonts w:ascii="Times New Roman" w:hAnsi="Times New Roman" w:cs="Times New Roman"/>
        </w:rPr>
      </w:pPr>
      <w:r w:rsidRPr="00E869A4">
        <w:rPr>
          <w:rFonts w:ascii="Times New Roman" w:hAnsi="Times New Roman" w:cs="Times New Roman"/>
        </w:rPr>
        <w:t>Potential participants who spoke at length about their personal care experiences but did not commit to signing the consent form</w:t>
      </w:r>
      <w:r w:rsidR="005E7B1E" w:rsidRPr="00E869A4">
        <w:rPr>
          <w:rFonts w:ascii="Times New Roman" w:hAnsi="Times New Roman" w:cs="Times New Roman"/>
        </w:rPr>
        <w:t>,</w:t>
      </w:r>
      <w:r w:rsidRPr="00E869A4">
        <w:rPr>
          <w:rFonts w:ascii="Times New Roman" w:hAnsi="Times New Roman" w:cs="Times New Roman"/>
        </w:rPr>
        <w:t xml:space="preserve"> may have been more interested in having someone listen to them who seemed more like a familiar friend with a sympathetic ear, rather than participat</w:t>
      </w:r>
      <w:r w:rsidR="00405CD0" w:rsidRPr="00E869A4">
        <w:rPr>
          <w:rFonts w:ascii="Times New Roman" w:hAnsi="Times New Roman" w:cs="Times New Roman"/>
        </w:rPr>
        <w:t>ing</w:t>
      </w:r>
      <w:r w:rsidRPr="00E869A4">
        <w:rPr>
          <w:rFonts w:ascii="Times New Roman" w:hAnsi="Times New Roman" w:cs="Times New Roman"/>
        </w:rPr>
        <w:t xml:space="preserve"> in what may be deemed a ‘formal’ encounter where they were the ‘subject’ of study. It may be that signing the consent form made them loose the seeming security they had from a sense of what I term ‘</w:t>
      </w:r>
      <w:r w:rsidRPr="00E869A4">
        <w:rPr>
          <w:rFonts w:ascii="Times New Roman" w:hAnsi="Times New Roman" w:cs="Times New Roman"/>
          <w:i/>
        </w:rPr>
        <w:t>distant-familiarity</w:t>
      </w:r>
      <w:r w:rsidRPr="00E869A4">
        <w:rPr>
          <w:rFonts w:ascii="Times New Roman" w:hAnsi="Times New Roman" w:cs="Times New Roman"/>
        </w:rPr>
        <w:t xml:space="preserve">’ when speaking to someone they perceived to be an empathetic stranger. </w:t>
      </w:r>
    </w:p>
    <w:p w14:paraId="1CFC2988" w14:textId="77777777" w:rsidR="00A00B82" w:rsidRPr="00E869A4" w:rsidRDefault="00A00B82" w:rsidP="00A35FF8">
      <w:pPr>
        <w:rPr>
          <w:rFonts w:ascii="Times New Roman" w:hAnsi="Times New Roman" w:cs="Times New Roman"/>
        </w:rPr>
      </w:pPr>
    </w:p>
    <w:p w14:paraId="10D203C7" w14:textId="49E09613"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Tillman-Healy (2006) is a strong advocate of the </w:t>
      </w:r>
      <w:r w:rsidRPr="00E869A4">
        <w:rPr>
          <w:rFonts w:ascii="Times New Roman" w:hAnsi="Times New Roman" w:cs="Times New Roman"/>
          <w:i/>
        </w:rPr>
        <w:t>friendship as method</w:t>
      </w:r>
      <w:r w:rsidRPr="00E869A4">
        <w:rPr>
          <w:rFonts w:ascii="Times New Roman" w:hAnsi="Times New Roman" w:cs="Times New Roman"/>
        </w:rPr>
        <w:t xml:space="preserve"> approach in which research is conducted at the natural pace of friendship. The primary procedures used in her approach are based on the principles normally employed to build and sustain friendship (e.g. conversation, everyday involvement, compassion, giving, and vulnerability) in conjunction with traditional qualitative data gathering techniques such as systematic note-taking, formal and informal interviewing </w:t>
      </w:r>
      <w:r w:rsidR="00405CD0" w:rsidRPr="00E869A4">
        <w:rPr>
          <w:rFonts w:ascii="Times New Roman" w:hAnsi="Times New Roman" w:cs="Times New Roman"/>
        </w:rPr>
        <w:t>(</w:t>
      </w:r>
      <w:r w:rsidRPr="00E869A4">
        <w:rPr>
          <w:rFonts w:ascii="Times New Roman" w:hAnsi="Times New Roman" w:cs="Times New Roman"/>
        </w:rPr>
        <w:t xml:space="preserve">Tillman-Healy 2006). It is founded on a radical commitment to reciprocity and the principles of hope, caring, justice, and even love in which there is greater attention to the needs of the participant, so much so that maintaining true friendship in fieldwork relationships is </w:t>
      </w:r>
      <w:r w:rsidR="00405CD0" w:rsidRPr="00E869A4">
        <w:rPr>
          <w:rFonts w:ascii="Times New Roman" w:hAnsi="Times New Roman" w:cs="Times New Roman"/>
        </w:rPr>
        <w:t>o</w:t>
      </w:r>
      <w:r w:rsidRPr="00E869A4">
        <w:rPr>
          <w:rFonts w:ascii="Times New Roman" w:hAnsi="Times New Roman" w:cs="Times New Roman"/>
        </w:rPr>
        <w:t>n par with a project’s objectives, more so than in traditional qualitative inquiries. This she notes is an anthropological approach in which a “project’s issues emerge organically, in the ebb and flow of everyday life</w:t>
      </w:r>
      <w:r w:rsidR="00490395" w:rsidRPr="00E869A4">
        <w:rPr>
          <w:rFonts w:ascii="Times New Roman" w:hAnsi="Times New Roman" w:cs="Times New Roman"/>
        </w:rPr>
        <w:t>.</w:t>
      </w:r>
      <w:r w:rsidR="00D04D46" w:rsidRPr="00E869A4">
        <w:rPr>
          <w:rFonts w:ascii="Times New Roman" w:hAnsi="Times New Roman" w:cs="Times New Roman"/>
        </w:rPr>
        <w:t>” (Tillman-Healy</w:t>
      </w:r>
      <w:r w:rsidRPr="00E869A4">
        <w:rPr>
          <w:rFonts w:ascii="Times New Roman" w:hAnsi="Times New Roman" w:cs="Times New Roman"/>
        </w:rPr>
        <w:t xml:space="preserve"> 2006</w:t>
      </w:r>
      <w:r w:rsidR="00D04D46" w:rsidRPr="00E869A4">
        <w:rPr>
          <w:rFonts w:ascii="Times New Roman" w:hAnsi="Times New Roman" w:cs="Times New Roman"/>
        </w:rPr>
        <w:t>, p.</w:t>
      </w:r>
      <w:r w:rsidRPr="00E869A4">
        <w:rPr>
          <w:rFonts w:ascii="Times New Roman" w:hAnsi="Times New Roman" w:cs="Times New Roman"/>
        </w:rPr>
        <w:t xml:space="preserve"> 278). </w:t>
      </w:r>
    </w:p>
    <w:p w14:paraId="3BC68C8D" w14:textId="77777777" w:rsidR="005047FE" w:rsidRPr="00E869A4" w:rsidRDefault="005047FE" w:rsidP="00A35FF8">
      <w:pPr>
        <w:rPr>
          <w:rFonts w:ascii="Times New Roman" w:hAnsi="Times New Roman" w:cs="Times New Roman"/>
        </w:rPr>
      </w:pPr>
    </w:p>
    <w:p w14:paraId="71D4AD90" w14:textId="4FCBF5AB" w:rsidR="00490395" w:rsidRPr="00E869A4" w:rsidRDefault="00034B9C">
      <w:pPr>
        <w:rPr>
          <w:b/>
          <w:i/>
          <w:u w:val="single"/>
        </w:rPr>
      </w:pPr>
      <w:r w:rsidRPr="00E869A4">
        <w:rPr>
          <w:rFonts w:ascii="Times New Roman" w:hAnsi="Times New Roman" w:cs="Times New Roman"/>
        </w:rPr>
        <w:t>Even t</w:t>
      </w:r>
      <w:r w:rsidR="00C03772" w:rsidRPr="00E869A4">
        <w:rPr>
          <w:rFonts w:ascii="Times New Roman" w:hAnsi="Times New Roman" w:cs="Times New Roman"/>
        </w:rPr>
        <w:t xml:space="preserve">hough I had not initially set out to use the emergent </w:t>
      </w:r>
      <w:r w:rsidR="005047FE" w:rsidRPr="00E869A4">
        <w:rPr>
          <w:rFonts w:ascii="Times New Roman" w:hAnsi="Times New Roman" w:cs="Times New Roman"/>
        </w:rPr>
        <w:t>‘</w:t>
      </w:r>
      <w:r w:rsidR="00C03772" w:rsidRPr="00E869A4">
        <w:rPr>
          <w:rFonts w:ascii="Times New Roman" w:hAnsi="Times New Roman" w:cs="Times New Roman"/>
        </w:rPr>
        <w:t>friendship as method</w:t>
      </w:r>
      <w:r w:rsidR="005047FE" w:rsidRPr="00E869A4">
        <w:rPr>
          <w:rFonts w:ascii="Times New Roman" w:hAnsi="Times New Roman" w:cs="Times New Roman"/>
        </w:rPr>
        <w:t>’</w:t>
      </w:r>
      <w:r w:rsidR="00C03772" w:rsidRPr="00E869A4">
        <w:rPr>
          <w:rFonts w:ascii="Times New Roman" w:hAnsi="Times New Roman" w:cs="Times New Roman"/>
        </w:rPr>
        <w:t xml:space="preserve"> approach to qualitative data collection, the benefits of </w:t>
      </w:r>
      <w:r w:rsidR="00A00B82" w:rsidRPr="00E869A4">
        <w:rPr>
          <w:rFonts w:ascii="Times New Roman" w:hAnsi="Times New Roman" w:cs="Times New Roman"/>
        </w:rPr>
        <w:t>engaging</w:t>
      </w:r>
      <w:r w:rsidR="00C03772" w:rsidRPr="00E869A4">
        <w:rPr>
          <w:rFonts w:ascii="Times New Roman" w:hAnsi="Times New Roman" w:cs="Times New Roman"/>
        </w:rPr>
        <w:t xml:space="preserve"> participants in this manner seem particularly beneficial in hindsight. This is not to say that elements of the ‘friendship as method’ approach were not tacitly employed in this study. As Tillman-Healy (2006</w:t>
      </w:r>
      <w:r w:rsidR="005047FE" w:rsidRPr="00E869A4">
        <w:rPr>
          <w:rFonts w:ascii="Times New Roman" w:hAnsi="Times New Roman" w:cs="Times New Roman"/>
        </w:rPr>
        <w:t>, p.</w:t>
      </w:r>
      <w:r w:rsidR="00C03772" w:rsidRPr="00E869A4">
        <w:rPr>
          <w:rFonts w:ascii="Times New Roman" w:hAnsi="Times New Roman" w:cs="Times New Roman"/>
        </w:rPr>
        <w:t xml:space="preserve"> 290) explained, al</w:t>
      </w:r>
      <w:r w:rsidR="005047FE" w:rsidRPr="00E869A4">
        <w:rPr>
          <w:rFonts w:ascii="Times New Roman" w:hAnsi="Times New Roman" w:cs="Times New Roman"/>
        </w:rPr>
        <w:t xml:space="preserve">most any study involving human </w:t>
      </w:r>
      <w:r w:rsidR="00C03772" w:rsidRPr="00E869A4">
        <w:rPr>
          <w:rFonts w:ascii="Times New Roman" w:hAnsi="Times New Roman" w:cs="Times New Roman"/>
        </w:rPr>
        <w:t xml:space="preserve">subjects can incorporate some aspect of this approach. At the same time, Tillman-Healy’s </w:t>
      </w:r>
      <w:r w:rsidR="005047FE" w:rsidRPr="00E869A4">
        <w:rPr>
          <w:rFonts w:ascii="Times New Roman" w:hAnsi="Times New Roman" w:cs="Times New Roman"/>
        </w:rPr>
        <w:t>‘</w:t>
      </w:r>
      <w:r w:rsidR="00C03772" w:rsidRPr="00E869A4">
        <w:rPr>
          <w:rFonts w:ascii="Times New Roman" w:hAnsi="Times New Roman" w:cs="Times New Roman"/>
        </w:rPr>
        <w:t>friendship as method</w:t>
      </w:r>
      <w:r w:rsidR="005047FE" w:rsidRPr="00E869A4">
        <w:rPr>
          <w:rFonts w:ascii="Times New Roman" w:hAnsi="Times New Roman" w:cs="Times New Roman"/>
        </w:rPr>
        <w:t>’</w:t>
      </w:r>
      <w:r w:rsidR="00216637" w:rsidRPr="00E869A4">
        <w:rPr>
          <w:rFonts w:ascii="Times New Roman" w:hAnsi="Times New Roman" w:cs="Times New Roman"/>
        </w:rPr>
        <w:t xml:space="preserve"> strategy</w:t>
      </w:r>
      <w:r w:rsidR="00C03772" w:rsidRPr="00E869A4">
        <w:rPr>
          <w:rFonts w:ascii="Times New Roman" w:hAnsi="Times New Roman" w:cs="Times New Roman"/>
        </w:rPr>
        <w:t xml:space="preserve"> would have required a greater investment of time and other resources if I were to have adopted it in its entirety for this study. There are other risks associated with this </w:t>
      </w:r>
      <w:r w:rsidR="00DE5103" w:rsidRPr="00E869A4">
        <w:rPr>
          <w:rFonts w:ascii="Times New Roman" w:hAnsi="Times New Roman" w:cs="Times New Roman"/>
        </w:rPr>
        <w:t>approach, which</w:t>
      </w:r>
      <w:r w:rsidR="00C03772" w:rsidRPr="00E869A4">
        <w:rPr>
          <w:rFonts w:ascii="Times New Roman" w:hAnsi="Times New Roman" w:cs="Times New Roman"/>
        </w:rPr>
        <w:t xml:space="preserve"> Tillman-Healy outlined such as, the emotional demands, and that, as with friendships in everyday life, despite a researcher’s best efforts, a bond of friendship may not be developed or maintained. </w:t>
      </w:r>
      <w:bookmarkStart w:id="261" w:name="_Toc508858750"/>
      <w:r w:rsidR="00490395" w:rsidRPr="00E869A4">
        <w:br w:type="page"/>
      </w:r>
    </w:p>
    <w:p w14:paraId="761F07C7" w14:textId="2D8C9591" w:rsidR="00C03772" w:rsidRPr="00E869A4" w:rsidRDefault="00E9231D" w:rsidP="005C449C">
      <w:pPr>
        <w:pStyle w:val="Heading3"/>
      </w:pPr>
      <w:bookmarkStart w:id="262" w:name="_Toc40436513"/>
      <w:r w:rsidRPr="00E869A4">
        <w:lastRenderedPageBreak/>
        <w:t>5</w:t>
      </w:r>
      <w:r w:rsidR="00404229" w:rsidRPr="00E869A4">
        <w:t>.3.</w:t>
      </w:r>
      <w:r w:rsidRPr="00E869A4">
        <w:t>2</w:t>
      </w:r>
      <w:r w:rsidR="00404229" w:rsidRPr="00E869A4">
        <w:t xml:space="preserve">     Initial Efforts &amp; Revised Plans</w:t>
      </w:r>
      <w:bookmarkEnd w:id="261"/>
      <w:bookmarkEnd w:id="262"/>
    </w:p>
    <w:p w14:paraId="1F7A4AEA" w14:textId="77777777" w:rsidR="00C03772" w:rsidRPr="00E869A4" w:rsidRDefault="00C03772" w:rsidP="00A35FF8">
      <w:pPr>
        <w:rPr>
          <w:rFonts w:ascii="Times New Roman" w:hAnsi="Times New Roman" w:cs="Times New Roman"/>
        </w:rPr>
      </w:pPr>
    </w:p>
    <w:p w14:paraId="3198C2F5" w14:textId="77777777" w:rsidR="00C03772" w:rsidRPr="00E869A4" w:rsidRDefault="00C03772" w:rsidP="00A35FF8">
      <w:pPr>
        <w:rPr>
          <w:rFonts w:ascii="Times New Roman" w:hAnsi="Times New Roman" w:cs="Times New Roman"/>
        </w:rPr>
      </w:pPr>
      <w:r w:rsidRPr="00E869A4">
        <w:rPr>
          <w:rFonts w:ascii="Times New Roman" w:hAnsi="Times New Roman" w:cs="Times New Roman"/>
        </w:rPr>
        <w:t>The actual study followed the following phases:</w:t>
      </w:r>
    </w:p>
    <w:p w14:paraId="4C7C0393" w14:textId="77777777" w:rsidR="00A00B82" w:rsidRPr="00E869A4" w:rsidRDefault="00A00B82" w:rsidP="00A35FF8">
      <w:pPr>
        <w:rPr>
          <w:rFonts w:ascii="Times New Roman" w:hAnsi="Times New Roman" w:cs="Times New Roman"/>
        </w:rPr>
      </w:pPr>
    </w:p>
    <w:p w14:paraId="4CA1FEAF" w14:textId="0982EA3A" w:rsidR="00C03772" w:rsidRPr="00E869A4" w:rsidRDefault="00C03772" w:rsidP="009D4C5D">
      <w:pPr>
        <w:numPr>
          <w:ilvl w:val="0"/>
          <w:numId w:val="11"/>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Phase 1 (2011)</w:t>
      </w:r>
      <w:r w:rsidR="00DE5103" w:rsidRPr="00E869A4">
        <w:rPr>
          <w:rFonts w:ascii="Times New Roman" w:hAnsi="Times New Roman" w:cs="Times New Roman"/>
        </w:rPr>
        <w:t>,</w:t>
      </w:r>
      <w:r w:rsidRPr="00E869A4">
        <w:rPr>
          <w:rFonts w:ascii="Times New Roman" w:hAnsi="Times New Roman" w:cs="Times New Roman"/>
        </w:rPr>
        <w:t xml:space="preserve"> In-depth interviews in Trinidad with care dyads</w:t>
      </w:r>
      <w:r w:rsidR="00457CBA" w:rsidRPr="00E869A4">
        <w:rPr>
          <w:rFonts w:ascii="Times New Roman" w:hAnsi="Times New Roman" w:cs="Times New Roman"/>
        </w:rPr>
        <w:t>;</w:t>
      </w:r>
      <w:r w:rsidRPr="00E869A4">
        <w:rPr>
          <w:rFonts w:ascii="Times New Roman" w:hAnsi="Times New Roman" w:cs="Times New Roman"/>
        </w:rPr>
        <w:t xml:space="preserve"> </w:t>
      </w:r>
    </w:p>
    <w:p w14:paraId="7DB46912" w14:textId="51BE663F" w:rsidR="00C03772" w:rsidRPr="00E869A4" w:rsidRDefault="00C03772" w:rsidP="009D4C5D">
      <w:pPr>
        <w:numPr>
          <w:ilvl w:val="0"/>
          <w:numId w:val="11"/>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Phase 2 (2013)</w:t>
      </w:r>
      <w:r w:rsidR="00DE5103" w:rsidRPr="00E869A4">
        <w:rPr>
          <w:rFonts w:ascii="Times New Roman" w:hAnsi="Times New Roman" w:cs="Times New Roman"/>
        </w:rPr>
        <w:t>,</w:t>
      </w:r>
      <w:r w:rsidRPr="00E869A4">
        <w:rPr>
          <w:rFonts w:ascii="Times New Roman" w:hAnsi="Times New Roman" w:cs="Times New Roman"/>
        </w:rPr>
        <w:t xml:space="preserve"> Mixed Approach including In-depth interviews in Trinidad with care dyads as well as interviews with family caregivers alone and other interested persons who provided unique perspectives relevant to the study</w:t>
      </w:r>
      <w:r w:rsidR="00457CBA" w:rsidRPr="00E869A4">
        <w:rPr>
          <w:rFonts w:ascii="Times New Roman" w:hAnsi="Times New Roman" w:cs="Times New Roman"/>
        </w:rPr>
        <w:t>;</w:t>
      </w:r>
      <w:r w:rsidRPr="00E869A4">
        <w:rPr>
          <w:rFonts w:ascii="Times New Roman" w:hAnsi="Times New Roman" w:cs="Times New Roman"/>
        </w:rPr>
        <w:t xml:space="preserve"> </w:t>
      </w:r>
    </w:p>
    <w:p w14:paraId="0D2FCE27" w14:textId="3F5D6564" w:rsidR="00C03772" w:rsidRPr="00E869A4" w:rsidRDefault="00C03772" w:rsidP="009D4C5D">
      <w:pPr>
        <w:numPr>
          <w:ilvl w:val="0"/>
          <w:numId w:val="11"/>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Phase 3a</w:t>
      </w:r>
      <w:r w:rsidR="00DE5103" w:rsidRPr="00E869A4">
        <w:rPr>
          <w:rFonts w:ascii="Times New Roman" w:hAnsi="Times New Roman" w:cs="Times New Roman"/>
        </w:rPr>
        <w:t xml:space="preserve"> (</w:t>
      </w:r>
      <w:r w:rsidRPr="00E869A4">
        <w:rPr>
          <w:rFonts w:ascii="Times New Roman" w:hAnsi="Times New Roman" w:cs="Times New Roman"/>
        </w:rPr>
        <w:t>2014</w:t>
      </w:r>
      <w:r w:rsidR="00DE5103" w:rsidRPr="00E869A4">
        <w:rPr>
          <w:rFonts w:ascii="Times New Roman" w:hAnsi="Times New Roman" w:cs="Times New Roman"/>
        </w:rPr>
        <w:t>),</w:t>
      </w:r>
      <w:r w:rsidRPr="00E869A4">
        <w:rPr>
          <w:rFonts w:ascii="Times New Roman" w:hAnsi="Times New Roman" w:cs="Times New Roman"/>
        </w:rPr>
        <w:t xml:space="preserve"> Survey</w:t>
      </w:r>
      <w:r w:rsidR="00457CBA" w:rsidRPr="00E869A4">
        <w:rPr>
          <w:rFonts w:ascii="Times New Roman" w:hAnsi="Times New Roman" w:cs="Times New Roman"/>
        </w:rPr>
        <w:t>;</w:t>
      </w:r>
      <w:r w:rsidR="00173A9F" w:rsidRPr="00E869A4">
        <w:rPr>
          <w:rFonts w:ascii="Times New Roman" w:hAnsi="Times New Roman" w:cs="Times New Roman"/>
        </w:rPr>
        <w:t xml:space="preserve"> and</w:t>
      </w:r>
    </w:p>
    <w:p w14:paraId="7E047652" w14:textId="7E607527" w:rsidR="00C03772" w:rsidRPr="00E869A4" w:rsidRDefault="00DE5103" w:rsidP="009D4C5D">
      <w:pPr>
        <w:numPr>
          <w:ilvl w:val="0"/>
          <w:numId w:val="11"/>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Phase 3b (</w:t>
      </w:r>
      <w:r w:rsidR="00C03772" w:rsidRPr="00E869A4">
        <w:rPr>
          <w:rFonts w:ascii="Times New Roman" w:hAnsi="Times New Roman" w:cs="Times New Roman"/>
        </w:rPr>
        <w:t>2014</w:t>
      </w:r>
      <w:r w:rsidRPr="00E869A4">
        <w:rPr>
          <w:rFonts w:ascii="Times New Roman" w:hAnsi="Times New Roman" w:cs="Times New Roman"/>
        </w:rPr>
        <w:t>),</w:t>
      </w:r>
      <w:r w:rsidR="00C03772" w:rsidRPr="00E869A4">
        <w:rPr>
          <w:rFonts w:ascii="Times New Roman" w:hAnsi="Times New Roman" w:cs="Times New Roman"/>
        </w:rPr>
        <w:t xml:space="preserve"> (Mixed Approach) In-depth interviews with care dyad in Trinidad, individual family carer in Tobago, and public sector service providers in Tobago; Focus Groups in both </w:t>
      </w:r>
      <w:r w:rsidR="00173A9F" w:rsidRPr="00E869A4">
        <w:rPr>
          <w:rFonts w:ascii="Times New Roman" w:hAnsi="Times New Roman" w:cs="Times New Roman"/>
        </w:rPr>
        <w:t>T&amp;T</w:t>
      </w:r>
      <w:r w:rsidRPr="00E869A4">
        <w:rPr>
          <w:rFonts w:ascii="Times New Roman" w:hAnsi="Times New Roman" w:cs="Times New Roman"/>
        </w:rPr>
        <w:t>.</w:t>
      </w:r>
    </w:p>
    <w:p w14:paraId="0C3C24EC" w14:textId="77777777" w:rsidR="00C03772" w:rsidRPr="00E869A4" w:rsidRDefault="00C03772" w:rsidP="00A35FF8">
      <w:pPr>
        <w:rPr>
          <w:rFonts w:ascii="Times New Roman" w:hAnsi="Times New Roman" w:cs="Times New Roman"/>
        </w:rPr>
      </w:pPr>
    </w:p>
    <w:p w14:paraId="7A613265" w14:textId="4E5DAE63" w:rsidR="00E53C79" w:rsidRPr="00E869A4" w:rsidRDefault="00E53C79" w:rsidP="007A424E">
      <w:pPr>
        <w:spacing w:line="276" w:lineRule="auto"/>
        <w:ind w:firstLine="0"/>
        <w:rPr>
          <w:b/>
          <w:bCs/>
          <w:szCs w:val="28"/>
          <w:u w:val="single"/>
        </w:rPr>
      </w:pPr>
      <w:bookmarkStart w:id="263" w:name="_Toc508858751"/>
    </w:p>
    <w:p w14:paraId="7DD74386" w14:textId="77777777" w:rsidR="00C03772" w:rsidRPr="00E869A4" w:rsidRDefault="00404229" w:rsidP="004E2181">
      <w:pPr>
        <w:pStyle w:val="Heading4"/>
      </w:pPr>
      <w:r w:rsidRPr="00E869A4">
        <w:t>Phase 1 (2011)</w:t>
      </w:r>
      <w:bookmarkEnd w:id="263"/>
    </w:p>
    <w:p w14:paraId="46466F2E" w14:textId="77777777" w:rsidR="00E53C79" w:rsidRPr="00E869A4" w:rsidRDefault="00E53C79" w:rsidP="005F7706"/>
    <w:p w14:paraId="17240929" w14:textId="77777777" w:rsidR="00C03772" w:rsidRPr="00E869A4" w:rsidRDefault="00C03772" w:rsidP="0031040A">
      <w:pPr>
        <w:pStyle w:val="Heading5"/>
        <w:rPr>
          <w:color w:val="auto"/>
        </w:rPr>
      </w:pPr>
      <w:bookmarkStart w:id="264" w:name="_Toc508858752"/>
      <w:r w:rsidRPr="00E869A4">
        <w:rPr>
          <w:color w:val="auto"/>
        </w:rPr>
        <w:t xml:space="preserve">In-depth </w:t>
      </w:r>
      <w:r w:rsidR="004E2181" w:rsidRPr="00E869A4">
        <w:rPr>
          <w:color w:val="auto"/>
        </w:rPr>
        <w:t>i</w:t>
      </w:r>
      <w:r w:rsidRPr="00E869A4">
        <w:rPr>
          <w:color w:val="auto"/>
        </w:rPr>
        <w:t xml:space="preserve">nterviews with </w:t>
      </w:r>
      <w:r w:rsidR="004E2181" w:rsidRPr="00E869A4">
        <w:rPr>
          <w:color w:val="auto"/>
        </w:rPr>
        <w:t>c</w:t>
      </w:r>
      <w:r w:rsidRPr="00E869A4">
        <w:rPr>
          <w:color w:val="auto"/>
        </w:rPr>
        <w:t xml:space="preserve">are </w:t>
      </w:r>
      <w:r w:rsidR="004E2181" w:rsidRPr="00E869A4">
        <w:rPr>
          <w:color w:val="auto"/>
        </w:rPr>
        <w:t>d</w:t>
      </w:r>
      <w:r w:rsidRPr="00E869A4">
        <w:rPr>
          <w:color w:val="auto"/>
        </w:rPr>
        <w:t>yads</w:t>
      </w:r>
      <w:bookmarkEnd w:id="264"/>
    </w:p>
    <w:p w14:paraId="45E29ED3" w14:textId="77777777" w:rsidR="006D5AC7" w:rsidRPr="00E869A4" w:rsidRDefault="006D5AC7" w:rsidP="00A35FF8">
      <w:pPr>
        <w:rPr>
          <w:rFonts w:ascii="Times New Roman" w:hAnsi="Times New Roman" w:cs="Times New Roman"/>
        </w:rPr>
      </w:pPr>
    </w:p>
    <w:p w14:paraId="5C802E61" w14:textId="73BE5219" w:rsidR="00C03772" w:rsidRPr="00E869A4" w:rsidRDefault="00C03772" w:rsidP="00A35FF8">
      <w:pPr>
        <w:rPr>
          <w:rFonts w:ascii="Times New Roman" w:hAnsi="Times New Roman" w:cs="Times New Roman"/>
        </w:rPr>
      </w:pPr>
      <w:r w:rsidRPr="00E869A4">
        <w:rPr>
          <w:rFonts w:ascii="Times New Roman" w:hAnsi="Times New Roman" w:cs="Times New Roman"/>
        </w:rPr>
        <w:t>The recruitment strategy I used throughout this study was largely based on pur</w:t>
      </w:r>
      <w:r w:rsidR="00B20162" w:rsidRPr="00E869A4">
        <w:rPr>
          <w:rFonts w:ascii="Times New Roman" w:hAnsi="Times New Roman" w:cs="Times New Roman"/>
        </w:rPr>
        <w:t>posive snowball sampling.  Snow</w:t>
      </w:r>
      <w:r w:rsidRPr="00E869A4">
        <w:rPr>
          <w:rFonts w:ascii="Times New Roman" w:hAnsi="Times New Roman" w:cs="Times New Roman"/>
        </w:rPr>
        <w:t>ball sampling is a non-probability approach that is based on the assumption that an initial known subject is linked to others in the same target population (Flick et al</w:t>
      </w:r>
      <w:r w:rsidR="00B20162" w:rsidRPr="00E869A4">
        <w:rPr>
          <w:rFonts w:ascii="Times New Roman" w:hAnsi="Times New Roman" w:cs="Times New Roman"/>
        </w:rPr>
        <w:t>.</w:t>
      </w:r>
      <w:r w:rsidRPr="00E869A4">
        <w:rPr>
          <w:rFonts w:ascii="Times New Roman" w:hAnsi="Times New Roman" w:cs="Times New Roman"/>
        </w:rPr>
        <w:t xml:space="preserve"> 2005</w:t>
      </w:r>
      <w:r w:rsidR="00B20162" w:rsidRPr="00E869A4">
        <w:rPr>
          <w:rFonts w:ascii="Times New Roman" w:hAnsi="Times New Roman" w:cs="Times New Roman"/>
        </w:rPr>
        <w:t>; Given 2008</w:t>
      </w:r>
      <w:r w:rsidR="002B148A" w:rsidRPr="00E869A4">
        <w:rPr>
          <w:rFonts w:ascii="Times New Roman" w:hAnsi="Times New Roman" w:cs="Times New Roman"/>
        </w:rPr>
        <w:t xml:space="preserve">). </w:t>
      </w:r>
      <w:r w:rsidRPr="00E869A4">
        <w:rPr>
          <w:rFonts w:ascii="Times New Roman" w:hAnsi="Times New Roman" w:cs="Times New Roman"/>
        </w:rPr>
        <w:t>This sampling strategy is useful when the study population is considered to be rare, difficult to identify, or is broader and more heterogeneous than can be accessed through other research methods (Shaghaghi</w:t>
      </w:r>
      <w:r w:rsidR="00081C22" w:rsidRPr="00E869A4">
        <w:rPr>
          <w:rFonts w:ascii="Times New Roman" w:hAnsi="Times New Roman" w:cs="Times New Roman"/>
        </w:rPr>
        <w:t>,</w:t>
      </w:r>
      <w:r w:rsidRPr="00E869A4">
        <w:rPr>
          <w:rFonts w:ascii="Times New Roman" w:hAnsi="Times New Roman" w:cs="Times New Roman"/>
        </w:rPr>
        <w:t xml:space="preserve"> </w:t>
      </w:r>
      <w:r w:rsidR="00631A3E" w:rsidRPr="00E869A4">
        <w:rPr>
          <w:rFonts w:ascii="Times New Roman" w:eastAsia="Times New Roman" w:hAnsi="Times New Roman" w:cs="Times New Roman"/>
          <w:bCs/>
          <w:iCs/>
          <w:lang w:eastAsia="en-US"/>
        </w:rPr>
        <w:t xml:space="preserve">Bhopal &amp; Sheikh </w:t>
      </w:r>
      <w:r w:rsidRPr="00E869A4">
        <w:rPr>
          <w:rFonts w:ascii="Times New Roman" w:hAnsi="Times New Roman" w:cs="Times New Roman"/>
        </w:rPr>
        <w:t xml:space="preserve">2011). As noted in the literature review, in developing countries like </w:t>
      </w:r>
      <w:r w:rsidR="00B20162" w:rsidRPr="00E869A4">
        <w:rPr>
          <w:rFonts w:ascii="Times New Roman" w:hAnsi="Times New Roman" w:cs="Times New Roman"/>
        </w:rPr>
        <w:t>T&amp;T</w:t>
      </w:r>
      <w:r w:rsidRPr="00E869A4">
        <w:rPr>
          <w:rFonts w:ascii="Times New Roman" w:hAnsi="Times New Roman" w:cs="Times New Roman"/>
        </w:rPr>
        <w:t xml:space="preserve"> </w:t>
      </w:r>
      <w:r w:rsidR="00B7076F" w:rsidRPr="00E869A4">
        <w:rPr>
          <w:rFonts w:ascii="Times New Roman" w:hAnsi="Times New Roman" w:cs="Times New Roman"/>
        </w:rPr>
        <w:t>(</w:t>
      </w:r>
      <w:r w:rsidR="002225D8" w:rsidRPr="00E869A4">
        <w:rPr>
          <w:rFonts w:ascii="Times New Roman" w:hAnsi="Times New Roman" w:cs="Times New Roman"/>
          <w:szCs w:val="24"/>
        </w:rPr>
        <w:t>Ghosh, Capistrant &amp; Friedemann-Sãnchez</w:t>
      </w:r>
      <w:r w:rsidR="00B7076F" w:rsidRPr="00E869A4">
        <w:rPr>
          <w:rFonts w:ascii="Times New Roman" w:hAnsi="Times New Roman" w:cs="Times New Roman"/>
          <w:szCs w:val="24"/>
        </w:rPr>
        <w:t xml:space="preserve"> 2017) </w:t>
      </w:r>
      <w:r w:rsidR="00B7076F" w:rsidRPr="00E869A4">
        <w:rPr>
          <w:rFonts w:ascii="Times New Roman" w:hAnsi="Times New Roman" w:cs="Times New Roman"/>
        </w:rPr>
        <w:t xml:space="preserve">as well as more developed jurisdictions such as the </w:t>
      </w:r>
      <w:r w:rsidR="00173A9F" w:rsidRPr="00E869A4">
        <w:rPr>
          <w:rFonts w:ascii="Times New Roman" w:hAnsi="Times New Roman" w:cs="Times New Roman"/>
        </w:rPr>
        <w:t>US</w:t>
      </w:r>
      <w:r w:rsidR="00267754" w:rsidRPr="00E869A4">
        <w:rPr>
          <w:rFonts w:ascii="Times New Roman" w:hAnsi="Times New Roman" w:cs="Times New Roman"/>
        </w:rPr>
        <w:t>A</w:t>
      </w:r>
      <w:r w:rsidR="00B7076F" w:rsidRPr="00E869A4">
        <w:rPr>
          <w:rFonts w:ascii="Times New Roman" w:hAnsi="Times New Roman" w:cs="Times New Roman"/>
        </w:rPr>
        <w:t xml:space="preserve"> (O’Connor 2006)</w:t>
      </w:r>
      <w:r w:rsidR="00B20162" w:rsidRPr="00E869A4">
        <w:rPr>
          <w:rFonts w:ascii="Times New Roman" w:hAnsi="Times New Roman" w:cs="Times New Roman"/>
        </w:rPr>
        <w:t>,</w:t>
      </w:r>
      <w:r w:rsidR="00B7076F" w:rsidRPr="00E869A4">
        <w:rPr>
          <w:rFonts w:ascii="Times New Roman" w:hAnsi="Times New Roman" w:cs="Times New Roman"/>
        </w:rPr>
        <w:t xml:space="preserve"> </w:t>
      </w:r>
      <w:r w:rsidRPr="00E869A4">
        <w:rPr>
          <w:rFonts w:ascii="Times New Roman" w:hAnsi="Times New Roman" w:cs="Times New Roman"/>
        </w:rPr>
        <w:t xml:space="preserve">family caregivers of older persons do not often readily self-identify as such. Thus, the use of snowball sampling was deemed </w:t>
      </w:r>
      <w:r w:rsidR="006D5AC7" w:rsidRPr="00E869A4">
        <w:rPr>
          <w:rFonts w:ascii="Times New Roman" w:hAnsi="Times New Roman" w:cs="Times New Roman"/>
        </w:rPr>
        <w:t>appropriate</w:t>
      </w:r>
      <w:r w:rsidRPr="00E869A4">
        <w:rPr>
          <w:rFonts w:ascii="Times New Roman" w:hAnsi="Times New Roman" w:cs="Times New Roman"/>
        </w:rPr>
        <w:t xml:space="preserve"> for this study. </w:t>
      </w:r>
    </w:p>
    <w:p w14:paraId="3C8019D4" w14:textId="77777777" w:rsidR="00A00B82" w:rsidRPr="00E869A4" w:rsidRDefault="00A00B82" w:rsidP="00A35FF8">
      <w:pPr>
        <w:rPr>
          <w:rFonts w:ascii="Times New Roman" w:hAnsi="Times New Roman" w:cs="Times New Roman"/>
        </w:rPr>
      </w:pPr>
    </w:p>
    <w:p w14:paraId="196BA4A6" w14:textId="1ED4C5CE" w:rsidR="00C03772" w:rsidRPr="00E869A4" w:rsidRDefault="00C03772" w:rsidP="00A35FF8">
      <w:pPr>
        <w:rPr>
          <w:rFonts w:ascii="Times New Roman" w:hAnsi="Times New Roman" w:cs="Times New Roman"/>
        </w:rPr>
      </w:pPr>
      <w:r w:rsidRPr="00E869A4">
        <w:rPr>
          <w:rFonts w:ascii="Times New Roman" w:hAnsi="Times New Roman" w:cs="Times New Roman"/>
        </w:rPr>
        <w:t>During this initial phase of th</w:t>
      </w:r>
      <w:r w:rsidR="002B77B9" w:rsidRPr="00E869A4">
        <w:rPr>
          <w:rFonts w:ascii="Times New Roman" w:hAnsi="Times New Roman" w:cs="Times New Roman"/>
        </w:rPr>
        <w:t>e</w:t>
      </w:r>
      <w:r w:rsidRPr="00E869A4">
        <w:rPr>
          <w:rFonts w:ascii="Times New Roman" w:hAnsi="Times New Roman" w:cs="Times New Roman"/>
        </w:rPr>
        <w:t xml:space="preserve"> study, I began the snowball sampling process by sharing information about the study with friends and acquaintances. I also advertised the study on some course pages with </w:t>
      </w:r>
      <w:r w:rsidRPr="00E869A4">
        <w:rPr>
          <w:rFonts w:ascii="Times New Roman" w:hAnsi="Times New Roman" w:cs="Times New Roman"/>
        </w:rPr>
        <w:lastRenderedPageBreak/>
        <w:t>UWI’s Open campus. Five care dyads were successfully recruited using this approach</w:t>
      </w:r>
      <w:r w:rsidRPr="00E869A4">
        <w:rPr>
          <w:rFonts w:ascii="Times New Roman" w:hAnsi="Times New Roman" w:cs="Times New Roman"/>
          <w:vertAlign w:val="superscript"/>
        </w:rPr>
        <w:footnoteReference w:id="49"/>
      </w:r>
      <w:r w:rsidRPr="00E869A4">
        <w:rPr>
          <w:rFonts w:ascii="Times New Roman" w:hAnsi="Times New Roman" w:cs="Times New Roman"/>
        </w:rPr>
        <w:t>. Each dyad participated in about 3 to 4 meetings. The dyads consisted of two (2) daughters and mothers (Mother Freeda and Sheila; Ms. Kumar and Rebecca), one (1) father and daughter pair (Mr. Khan and Samantha), (1) one great-aunt and her niece/god</w:t>
      </w:r>
      <w:r w:rsidR="00D26831" w:rsidRPr="00E869A4">
        <w:rPr>
          <w:rFonts w:ascii="Times New Roman" w:hAnsi="Times New Roman" w:cs="Times New Roman"/>
        </w:rPr>
        <w:t xml:space="preserve">  </w:t>
      </w:r>
      <w:r w:rsidRPr="00E869A4">
        <w:rPr>
          <w:rFonts w:ascii="Times New Roman" w:hAnsi="Times New Roman" w:cs="Times New Roman"/>
        </w:rPr>
        <w:t>daughter (Tanty Edna and Adelina), one (1) older man and his friend (Uncle Wilton and Mr. Birch) (See Pen Portraits at Appendix</w:t>
      </w:r>
      <w:r w:rsidR="00ED5AB6" w:rsidRPr="00E869A4">
        <w:rPr>
          <w:rFonts w:ascii="Times New Roman" w:hAnsi="Times New Roman" w:cs="Times New Roman"/>
        </w:rPr>
        <w:t xml:space="preserve"> </w:t>
      </w:r>
      <w:r w:rsidR="00D201F2" w:rsidRPr="00E869A4">
        <w:rPr>
          <w:rFonts w:ascii="Times New Roman" w:hAnsi="Times New Roman" w:cs="Times New Roman"/>
        </w:rPr>
        <w:t>9</w:t>
      </w:r>
      <w:r w:rsidRPr="00E869A4">
        <w:rPr>
          <w:rStyle w:val="CommentReference"/>
          <w:rFonts w:ascii="Times New Roman" w:hAnsi="Times New Roman" w:cs="Times New Roman"/>
          <w:sz w:val="24"/>
        </w:rPr>
        <w:t>)</w:t>
      </w:r>
      <w:r w:rsidRPr="00E869A4">
        <w:rPr>
          <w:rStyle w:val="CommentReference"/>
          <w:rFonts w:ascii="Times New Roman" w:hAnsi="Times New Roman" w:cs="Times New Roman"/>
        </w:rPr>
        <w:t xml:space="preserve">. </w:t>
      </w:r>
      <w:r w:rsidRPr="00E869A4">
        <w:rPr>
          <w:rFonts w:ascii="Times New Roman" w:hAnsi="Times New Roman" w:cs="Times New Roman"/>
        </w:rPr>
        <w:t xml:space="preserve">In addition to these dyads there were other interested persons who had to be excluded from the study either after the introductory meeting(s) or when interviews commenced. Two main factors that affected the attrition rate of the study were: 1) death of older participant; 2) gate keepers and participants (both older care recipients and family caregivers) ignoring or reinterpreting the requirements of the study. </w:t>
      </w:r>
    </w:p>
    <w:p w14:paraId="5198247C" w14:textId="77777777" w:rsidR="00ED5AB6" w:rsidRPr="00E869A4" w:rsidRDefault="00ED5AB6" w:rsidP="00A35FF8">
      <w:pPr>
        <w:rPr>
          <w:rFonts w:ascii="Times New Roman" w:hAnsi="Times New Roman" w:cs="Times New Roman"/>
        </w:rPr>
      </w:pPr>
    </w:p>
    <w:p w14:paraId="54BC7B04" w14:textId="655A5FB7"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In one case, a care recipient and her friend had completed individual interviews but soon after the older </w:t>
      </w:r>
      <w:r w:rsidR="009E2738" w:rsidRPr="00E869A4">
        <w:rPr>
          <w:rFonts w:ascii="Times New Roman" w:hAnsi="Times New Roman" w:cs="Times New Roman"/>
        </w:rPr>
        <w:t>care recipient</w:t>
      </w:r>
      <w:r w:rsidRPr="00E869A4">
        <w:rPr>
          <w:rFonts w:ascii="Times New Roman" w:hAnsi="Times New Roman" w:cs="Times New Roman"/>
        </w:rPr>
        <w:t xml:space="preserve"> died. This was not the only time that a participant had died after the initial recruitment phase. With respect to gatekeepers ignoring or reinterpreting the selection criteria, one example of this was that of an older gentleman whose family caregiver (his niece) ignored the capacity requirements. I visited the gentleman on a couple of occasions but his carer kept missing the appointments. By the second visit, I observed that the older gentleman who was in his 90s was unable to recall key aspects of our discussion. When I shared my observations with his carer about his memory limitations</w:t>
      </w:r>
      <w:r w:rsidR="007A55AD" w:rsidRPr="00E869A4">
        <w:rPr>
          <w:rFonts w:ascii="Times New Roman" w:hAnsi="Times New Roman" w:cs="Times New Roman"/>
        </w:rPr>
        <w:t>,</w:t>
      </w:r>
      <w:r w:rsidRPr="00E869A4">
        <w:rPr>
          <w:rFonts w:ascii="Times New Roman" w:hAnsi="Times New Roman" w:cs="Times New Roman"/>
        </w:rPr>
        <w:t xml:space="preserve"> she admitted that she had noticed this but did not think it was an issue. In another related scenario, a son who was interested in participating in the study and wanted me to interview his older father</w:t>
      </w:r>
      <w:r w:rsidR="007A55AD" w:rsidRPr="00E869A4">
        <w:rPr>
          <w:rFonts w:ascii="Times New Roman" w:hAnsi="Times New Roman" w:cs="Times New Roman"/>
        </w:rPr>
        <w:t>,</w:t>
      </w:r>
      <w:r w:rsidRPr="00E869A4">
        <w:rPr>
          <w:rFonts w:ascii="Times New Roman" w:hAnsi="Times New Roman" w:cs="Times New Roman"/>
        </w:rPr>
        <w:t xml:space="preserve"> assured me that his dad met the cognitive capacity requirements of the study despite suffering from the effects of a stroke. However, when I first met with the older man, it was clear that he was unable to speak </w:t>
      </w:r>
      <w:r w:rsidR="007A55AD" w:rsidRPr="00E869A4">
        <w:rPr>
          <w:rFonts w:ascii="Times New Roman" w:hAnsi="Times New Roman" w:cs="Times New Roman"/>
        </w:rPr>
        <w:t>clearly,</w:t>
      </w:r>
      <w:r w:rsidRPr="00E869A4">
        <w:rPr>
          <w:rFonts w:ascii="Times New Roman" w:hAnsi="Times New Roman" w:cs="Times New Roman"/>
        </w:rPr>
        <w:t xml:space="preserve"> as his speech was distorted after the stroke. He was also unable to write</w:t>
      </w:r>
      <w:r w:rsidR="007A55AD" w:rsidRPr="00E869A4">
        <w:rPr>
          <w:rFonts w:ascii="Times New Roman" w:hAnsi="Times New Roman" w:cs="Times New Roman"/>
        </w:rPr>
        <w:t>,</w:t>
      </w:r>
      <w:r w:rsidRPr="00E869A4">
        <w:rPr>
          <w:rFonts w:ascii="Times New Roman" w:hAnsi="Times New Roman" w:cs="Times New Roman"/>
        </w:rPr>
        <w:t xml:space="preserve"> </w:t>
      </w:r>
      <w:r w:rsidR="00B20162" w:rsidRPr="00E869A4">
        <w:rPr>
          <w:rFonts w:ascii="Times New Roman" w:hAnsi="Times New Roman" w:cs="Times New Roman"/>
        </w:rPr>
        <w:t>which made it</w:t>
      </w:r>
      <w:r w:rsidRPr="00E869A4">
        <w:rPr>
          <w:rFonts w:ascii="Times New Roman" w:hAnsi="Times New Roman" w:cs="Times New Roman"/>
        </w:rPr>
        <w:t xml:space="preserve"> very difficult to get clear responses from him</w:t>
      </w:r>
      <w:r w:rsidR="00D26831" w:rsidRPr="00E869A4">
        <w:rPr>
          <w:rFonts w:ascii="Times New Roman" w:hAnsi="Times New Roman" w:cs="Times New Roman"/>
        </w:rPr>
        <w:t>.</w:t>
      </w:r>
      <w:r w:rsidRPr="00E869A4">
        <w:rPr>
          <w:rFonts w:ascii="Times New Roman" w:hAnsi="Times New Roman" w:cs="Times New Roman"/>
        </w:rPr>
        <w:t xml:space="preserve"> </w:t>
      </w:r>
      <w:r w:rsidR="00D26831" w:rsidRPr="00E869A4">
        <w:rPr>
          <w:rFonts w:ascii="Times New Roman" w:hAnsi="Times New Roman" w:cs="Times New Roman"/>
        </w:rPr>
        <w:t>There being</w:t>
      </w:r>
      <w:r w:rsidRPr="00E869A4">
        <w:rPr>
          <w:rFonts w:ascii="Times New Roman" w:hAnsi="Times New Roman" w:cs="Times New Roman"/>
        </w:rPr>
        <w:t xml:space="preserve"> no other means available by which we could communicate</w:t>
      </w:r>
      <w:r w:rsidR="00B55EF4" w:rsidRPr="00E869A4">
        <w:rPr>
          <w:rFonts w:ascii="Times New Roman" w:hAnsi="Times New Roman" w:cs="Times New Roman"/>
        </w:rPr>
        <w:t>,</w:t>
      </w:r>
      <w:r w:rsidRPr="00E869A4">
        <w:rPr>
          <w:rFonts w:ascii="Times New Roman" w:hAnsi="Times New Roman" w:cs="Times New Roman"/>
        </w:rPr>
        <w:t xml:space="preserve"> I was </w:t>
      </w:r>
      <w:r w:rsidR="00D26831" w:rsidRPr="00E869A4">
        <w:rPr>
          <w:rFonts w:ascii="Times New Roman" w:hAnsi="Times New Roman" w:cs="Times New Roman"/>
        </w:rPr>
        <w:t>obliged</w:t>
      </w:r>
      <w:r w:rsidRPr="00E869A4">
        <w:rPr>
          <w:rFonts w:ascii="Times New Roman" w:hAnsi="Times New Roman" w:cs="Times New Roman"/>
        </w:rPr>
        <w:t xml:space="preserve"> to </w:t>
      </w:r>
      <w:r w:rsidR="00D26831" w:rsidRPr="00E869A4">
        <w:rPr>
          <w:rFonts w:ascii="Times New Roman" w:hAnsi="Times New Roman" w:cs="Times New Roman"/>
        </w:rPr>
        <w:t>dis</w:t>
      </w:r>
      <w:r w:rsidRPr="00E869A4">
        <w:rPr>
          <w:rFonts w:ascii="Times New Roman" w:hAnsi="Times New Roman" w:cs="Times New Roman"/>
        </w:rPr>
        <w:t xml:space="preserve">continue his interview. In keeping with the commitments outlined in my information sheet, once an individual was no longer able to participate in </w:t>
      </w:r>
      <w:r w:rsidR="00B20162" w:rsidRPr="00E869A4">
        <w:rPr>
          <w:rFonts w:ascii="Times New Roman" w:hAnsi="Times New Roman" w:cs="Times New Roman"/>
        </w:rPr>
        <w:t>the</w:t>
      </w:r>
      <w:r w:rsidRPr="00E869A4">
        <w:rPr>
          <w:rFonts w:ascii="Times New Roman" w:hAnsi="Times New Roman" w:cs="Times New Roman"/>
        </w:rPr>
        <w:t xml:space="preserve"> study, their information was not used in the data analysis phase. </w:t>
      </w:r>
    </w:p>
    <w:p w14:paraId="5DC83DB7" w14:textId="77777777" w:rsidR="00E53C79" w:rsidRPr="00E869A4" w:rsidRDefault="00E53C79" w:rsidP="00A35FF8">
      <w:pPr>
        <w:rPr>
          <w:rFonts w:ascii="Times New Roman" w:hAnsi="Times New Roman" w:cs="Times New Roman"/>
        </w:rPr>
      </w:pPr>
    </w:p>
    <w:p w14:paraId="65F47995" w14:textId="55D23E47" w:rsidR="00C03772" w:rsidRPr="00E869A4" w:rsidRDefault="00C03772" w:rsidP="00A35FF8">
      <w:pPr>
        <w:rPr>
          <w:rFonts w:ascii="Times New Roman" w:hAnsi="Times New Roman" w:cs="Times New Roman"/>
        </w:rPr>
      </w:pPr>
      <w:r w:rsidRPr="00E869A4">
        <w:rPr>
          <w:rFonts w:ascii="Times New Roman" w:hAnsi="Times New Roman" w:cs="Times New Roman"/>
        </w:rPr>
        <w:t>In addition to the challenges encountered in recruiting participants, some of the older care recipients tended to view the in-depth interview experience as an opportunity to chronicle their life, proselytise</w:t>
      </w:r>
      <w:r w:rsidR="00A46DB8" w:rsidRPr="00E869A4">
        <w:rPr>
          <w:rFonts w:ascii="Times New Roman" w:hAnsi="Times New Roman" w:cs="Times New Roman"/>
        </w:rPr>
        <w:t>,</w:t>
      </w:r>
      <w:r w:rsidRPr="00E869A4">
        <w:rPr>
          <w:rFonts w:ascii="Times New Roman" w:hAnsi="Times New Roman" w:cs="Times New Roman"/>
        </w:rPr>
        <w:t xml:space="preserve"> or even request assistance with a challenge they may have encountered with obtaining assistance from a </w:t>
      </w:r>
      <w:r w:rsidR="00B55EF4" w:rsidRPr="00E869A4">
        <w:rPr>
          <w:rFonts w:ascii="Times New Roman" w:hAnsi="Times New Roman" w:cs="Times New Roman"/>
        </w:rPr>
        <w:t>s</w:t>
      </w:r>
      <w:r w:rsidR="00DD03CE" w:rsidRPr="00E869A4">
        <w:rPr>
          <w:rFonts w:ascii="Times New Roman" w:hAnsi="Times New Roman" w:cs="Times New Roman"/>
        </w:rPr>
        <w:t>tate</w:t>
      </w:r>
      <w:r w:rsidR="002946A0" w:rsidRPr="00E869A4">
        <w:rPr>
          <w:rFonts w:ascii="Times New Roman" w:hAnsi="Times New Roman" w:cs="Times New Roman"/>
        </w:rPr>
        <w:t xml:space="preserve"> </w:t>
      </w:r>
      <w:r w:rsidR="002946A0" w:rsidRPr="00E869A4">
        <w:rPr>
          <w:rFonts w:ascii="Times New Roman" w:hAnsi="Times New Roman" w:cs="Times New Roman"/>
        </w:rPr>
        <w:lastRenderedPageBreak/>
        <w:t>agency. Some caregivers</w:t>
      </w:r>
      <w:r w:rsidRPr="00E869A4">
        <w:rPr>
          <w:rFonts w:ascii="Times New Roman" w:hAnsi="Times New Roman" w:cs="Times New Roman"/>
        </w:rPr>
        <w:t xml:space="preserve"> ignored the specific requirements of the study as they saw it as an opportunity for their older relative to have some </w:t>
      </w:r>
      <w:r w:rsidR="00A737B9" w:rsidRPr="00E869A4">
        <w:rPr>
          <w:rFonts w:ascii="Times New Roman" w:hAnsi="Times New Roman" w:cs="Times New Roman"/>
        </w:rPr>
        <w:t>‘</w:t>
      </w:r>
      <w:r w:rsidRPr="00E869A4">
        <w:rPr>
          <w:rFonts w:ascii="Times New Roman" w:hAnsi="Times New Roman" w:cs="Times New Roman"/>
        </w:rPr>
        <w:t>company</w:t>
      </w:r>
      <w:r w:rsidR="00A737B9" w:rsidRPr="00E869A4">
        <w:rPr>
          <w:rFonts w:ascii="Times New Roman" w:hAnsi="Times New Roman" w:cs="Times New Roman"/>
        </w:rPr>
        <w:t>’</w:t>
      </w:r>
      <w:r w:rsidRPr="00E869A4">
        <w:rPr>
          <w:rFonts w:ascii="Times New Roman" w:hAnsi="Times New Roman" w:cs="Times New Roman"/>
        </w:rPr>
        <w:t xml:space="preserve"> and someone to talk to. </w:t>
      </w:r>
    </w:p>
    <w:p w14:paraId="6EE93CBE" w14:textId="77777777" w:rsidR="00E53C79" w:rsidRPr="00E869A4" w:rsidRDefault="00E53C79" w:rsidP="00A35FF8">
      <w:pPr>
        <w:rPr>
          <w:rFonts w:ascii="Times New Roman" w:hAnsi="Times New Roman" w:cs="Times New Roman"/>
        </w:rPr>
      </w:pPr>
    </w:p>
    <w:p w14:paraId="04CC2948" w14:textId="4E448ACB" w:rsidR="00C03772" w:rsidRPr="00E869A4" w:rsidRDefault="00C03772" w:rsidP="00A35FF8">
      <w:pPr>
        <w:rPr>
          <w:rFonts w:ascii="Times New Roman" w:hAnsi="Times New Roman" w:cs="Times New Roman"/>
        </w:rPr>
      </w:pPr>
      <w:r w:rsidRPr="00E869A4">
        <w:rPr>
          <w:rFonts w:ascii="Times New Roman" w:hAnsi="Times New Roman" w:cs="Times New Roman"/>
        </w:rPr>
        <w:t>These experiences illustrate the tendency of potential participants to reframe the study’s requirements</w:t>
      </w:r>
      <w:r w:rsidR="007A55AD" w:rsidRPr="00E869A4">
        <w:rPr>
          <w:rFonts w:ascii="Times New Roman" w:hAnsi="Times New Roman" w:cs="Times New Roman"/>
        </w:rPr>
        <w:t>,</w:t>
      </w:r>
      <w:r w:rsidRPr="00E869A4">
        <w:rPr>
          <w:rFonts w:ascii="Times New Roman" w:hAnsi="Times New Roman" w:cs="Times New Roman"/>
        </w:rPr>
        <w:t xml:space="preserve"> even after being informed of </w:t>
      </w:r>
      <w:r w:rsidR="00B20162" w:rsidRPr="00E869A4">
        <w:rPr>
          <w:rFonts w:ascii="Times New Roman" w:hAnsi="Times New Roman" w:cs="Times New Roman"/>
        </w:rPr>
        <w:t>them</w:t>
      </w:r>
      <w:r w:rsidRPr="00E869A4">
        <w:rPr>
          <w:rFonts w:ascii="Times New Roman" w:hAnsi="Times New Roman" w:cs="Times New Roman"/>
        </w:rPr>
        <w:t>. Wengraf (2001) for example, described reframing as the process by which the interviewee encodes whatever the researcher says and does</w:t>
      </w:r>
      <w:r w:rsidR="007A55AD" w:rsidRPr="00E869A4">
        <w:rPr>
          <w:rFonts w:ascii="Times New Roman" w:hAnsi="Times New Roman" w:cs="Times New Roman"/>
        </w:rPr>
        <w:t>,</w:t>
      </w:r>
      <w:r w:rsidRPr="00E869A4">
        <w:rPr>
          <w:rFonts w:ascii="Times New Roman" w:hAnsi="Times New Roman" w:cs="Times New Roman"/>
        </w:rPr>
        <w:t xml:space="preserve"> into a frame that determines how they understand and respond to the interview event. Wrong-framing can occur for a variety of reasons</w:t>
      </w:r>
      <w:r w:rsidR="00B712F2" w:rsidRPr="00E869A4">
        <w:rPr>
          <w:rFonts w:ascii="Times New Roman" w:hAnsi="Times New Roman" w:cs="Times New Roman"/>
        </w:rPr>
        <w:t>,</w:t>
      </w:r>
      <w:r w:rsidRPr="00E869A4">
        <w:rPr>
          <w:rFonts w:ascii="Times New Roman" w:hAnsi="Times New Roman" w:cs="Times New Roman"/>
        </w:rPr>
        <w:t xml:space="preserve"> including (perceived or actual) socio-economic background</w:t>
      </w:r>
      <w:r w:rsidR="00B712F2" w:rsidRPr="00E869A4">
        <w:rPr>
          <w:rFonts w:ascii="Times New Roman" w:hAnsi="Times New Roman" w:cs="Times New Roman"/>
        </w:rPr>
        <w:t>,</w:t>
      </w:r>
      <w:r w:rsidRPr="00E869A4">
        <w:rPr>
          <w:rFonts w:ascii="Times New Roman" w:hAnsi="Times New Roman" w:cs="Times New Roman"/>
        </w:rPr>
        <w:t xml:space="preserve"> and differences between the participant and researcher, past/future history (i.e. the feared, desired and expected futures which may affect the interview interaction), interactional goals and strategies (people’s official purposes may differ from unofficial purposes and may </w:t>
      </w:r>
      <w:r w:rsidR="0011568D" w:rsidRPr="00E869A4">
        <w:rPr>
          <w:rFonts w:ascii="Times New Roman" w:hAnsi="Times New Roman" w:cs="Times New Roman"/>
        </w:rPr>
        <w:t xml:space="preserve">be </w:t>
      </w:r>
      <w:r w:rsidRPr="00E869A4">
        <w:rPr>
          <w:rFonts w:ascii="Times New Roman" w:hAnsi="Times New Roman" w:cs="Times New Roman"/>
        </w:rPr>
        <w:t xml:space="preserve">reflected in participants’ hopes and fears for the process and its outcomes, which may vary over the course of the research interaction), issues of power-knowledge, domination and resistance. </w:t>
      </w:r>
    </w:p>
    <w:p w14:paraId="27586422" w14:textId="77777777" w:rsidR="00E53C79" w:rsidRPr="00E869A4" w:rsidRDefault="00E53C79" w:rsidP="00A35FF8">
      <w:pPr>
        <w:rPr>
          <w:rFonts w:ascii="Times New Roman" w:hAnsi="Times New Roman" w:cs="Times New Roman"/>
        </w:rPr>
      </w:pPr>
    </w:p>
    <w:p w14:paraId="05062FF1" w14:textId="48D01EA9"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The impact of some of these challenges may have been averted if I had been afforded the opportunity to conduct a pilot study prior to entering the field. There are mixed views in the literature about the benefits of pilot studies. Some have argued that in qualitative approaches, separate pilot studies are not necessary as the researcher can learn from each encounter with participants: they can consciously reflect on earlier sessions and use what they learned to improve on their execution of the study in future sessions (Holloway 1997). However, other social scientists argue that piloting provides the qualitative researcher with various advantages including testing of the research instrument, practising to interact with potential participants, and focusing the study so that the researcher can concentrate on collecting data on a narrow spectrum of projected analytical topics (Frankland &amp; Bloor 1999). This latter viewpoint is the more popular position expressed in the literature on pilot studies. But, </w:t>
      </w:r>
      <w:r w:rsidR="00D964C5" w:rsidRPr="00E869A4">
        <w:rPr>
          <w:rFonts w:ascii="Times New Roman" w:hAnsi="Times New Roman" w:cs="Times New Roman"/>
        </w:rPr>
        <w:t>while</w:t>
      </w:r>
      <w:r w:rsidRPr="00E869A4">
        <w:rPr>
          <w:rFonts w:ascii="Times New Roman" w:hAnsi="Times New Roman" w:cs="Times New Roman"/>
        </w:rPr>
        <w:t xml:space="preserve"> it is widely accepted that pilot studies can help identify and reduce potential obstacles in data gathering efforts, it is generally agreed that this is not a guaranteed solution for avoiding obstacles in data gathering efforts</w:t>
      </w:r>
      <w:r w:rsidR="0011568D" w:rsidRPr="00E869A4">
        <w:rPr>
          <w:rFonts w:ascii="Times New Roman" w:hAnsi="Times New Roman" w:cs="Times New Roman"/>
        </w:rPr>
        <w:t>,</w:t>
      </w:r>
      <w:r w:rsidRPr="00E869A4">
        <w:rPr>
          <w:rFonts w:ascii="Times New Roman" w:hAnsi="Times New Roman" w:cs="Times New Roman"/>
        </w:rPr>
        <w:t xml:space="preserve"> as the fieldwork context is in many respects different to what obtains under pilot-study conditions. Unfortunately, the uncertainty and other challenges associated with poor funding of this study meant that I had to make a trade-off between obtaining data within a specified timeframe</w:t>
      </w:r>
      <w:r w:rsidR="00F53F3D" w:rsidRPr="00E869A4">
        <w:rPr>
          <w:rFonts w:ascii="Times New Roman" w:hAnsi="Times New Roman" w:cs="Times New Roman"/>
        </w:rPr>
        <w:t>,</w:t>
      </w:r>
      <w:r w:rsidRPr="00E869A4">
        <w:rPr>
          <w:rFonts w:ascii="Times New Roman" w:hAnsi="Times New Roman" w:cs="Times New Roman"/>
        </w:rPr>
        <w:t xml:space="preserve"> and conducting the pilot study. I chose therefore to obtain data when possible, and use the knowledge and experience gained in earlier encounters in a developmental manner as the study progressed. </w:t>
      </w:r>
    </w:p>
    <w:p w14:paraId="4D71FCD2" w14:textId="7F77F70C" w:rsidR="00C03772" w:rsidRPr="00E869A4" w:rsidRDefault="00C03772" w:rsidP="00A35FF8">
      <w:pPr>
        <w:rPr>
          <w:rFonts w:ascii="Times New Roman" w:hAnsi="Times New Roman" w:cs="Times New Roman"/>
        </w:rPr>
      </w:pPr>
      <w:r w:rsidRPr="00E869A4">
        <w:rPr>
          <w:rFonts w:ascii="Times New Roman" w:hAnsi="Times New Roman" w:cs="Times New Roman"/>
        </w:rPr>
        <w:lastRenderedPageBreak/>
        <w:t xml:space="preserve">In addition to the challenges in the recruitment phase, I realised that my strategy of </w:t>
      </w:r>
      <w:r w:rsidR="005A0B26" w:rsidRPr="00E869A4">
        <w:rPr>
          <w:rFonts w:ascii="Times New Roman" w:hAnsi="Times New Roman" w:cs="Times New Roman"/>
        </w:rPr>
        <w:t>engaging</w:t>
      </w:r>
      <w:r w:rsidRPr="00E869A4">
        <w:rPr>
          <w:rFonts w:ascii="Times New Roman" w:hAnsi="Times New Roman" w:cs="Times New Roman"/>
        </w:rPr>
        <w:t xml:space="preserve"> with the members of the care dyads on multiple occasions was proving to be counter-productive. In 4 of the 5 dyad interviews, I was able to maintain the initial planned meeting approach whereby there were 3 to 4 meetings on different days i.e. one with both the carer and caregiver to review informed consent, two separate sessions with each pair, and a final session where an initial report was prepared and both parties were asked to verify and comment on its contents. However, by the fourth session, I realised that this approach was hindering my recruitment drive. One caregiver was reluctant to meet for a fourth time and others did not seem to be interested in the final review session. I decided therefore that in the second phase of the study</w:t>
      </w:r>
      <w:r w:rsidR="00445AE5" w:rsidRPr="00E869A4">
        <w:rPr>
          <w:rFonts w:ascii="Times New Roman" w:hAnsi="Times New Roman" w:cs="Times New Roman"/>
        </w:rPr>
        <w:t>,</w:t>
      </w:r>
      <w:r w:rsidRPr="00E869A4">
        <w:rPr>
          <w:rFonts w:ascii="Times New Roman" w:hAnsi="Times New Roman" w:cs="Times New Roman"/>
        </w:rPr>
        <w:t xml:space="preserve"> I would reduce the number of times I met with the participants. Time is usually a very limited resource for family caregivers who have to balance the demands of their caregiving responsibilities and other commitments (</w:t>
      </w:r>
      <w:r w:rsidR="00371741" w:rsidRPr="00E869A4">
        <w:rPr>
          <w:rFonts w:ascii="Times New Roman" w:hAnsi="Times New Roman" w:cs="Times New Roman"/>
        </w:rPr>
        <w:t xml:space="preserve">Gallagher-Thompson et al. 2003; </w:t>
      </w:r>
      <w:r w:rsidRPr="00E869A4">
        <w:rPr>
          <w:rFonts w:ascii="Times New Roman" w:hAnsi="Times New Roman" w:cs="Times New Roman"/>
        </w:rPr>
        <w:t>Holroyd-Leduc 2016; Whitebird et al</w:t>
      </w:r>
      <w:r w:rsidR="00371741" w:rsidRPr="00E869A4">
        <w:rPr>
          <w:rFonts w:ascii="Times New Roman" w:hAnsi="Times New Roman" w:cs="Times New Roman"/>
        </w:rPr>
        <w:t>.</w:t>
      </w:r>
      <w:r w:rsidRPr="00E869A4">
        <w:rPr>
          <w:rFonts w:ascii="Times New Roman" w:hAnsi="Times New Roman" w:cs="Times New Roman"/>
        </w:rPr>
        <w:t xml:space="preserve"> 2011). While I was aware of this prior to entering the field, I was still </w:t>
      </w:r>
      <w:r w:rsidR="00445AE5" w:rsidRPr="00E869A4">
        <w:rPr>
          <w:rFonts w:ascii="Times New Roman" w:hAnsi="Times New Roman" w:cs="Times New Roman"/>
        </w:rPr>
        <w:t>hoping to increase</w:t>
      </w:r>
      <w:r w:rsidRPr="00E869A4">
        <w:rPr>
          <w:rFonts w:ascii="Times New Roman" w:hAnsi="Times New Roman" w:cs="Times New Roman"/>
        </w:rPr>
        <w:t xml:space="preserve"> the validity of the study</w:t>
      </w:r>
      <w:r w:rsidR="00445AE5" w:rsidRPr="00E869A4">
        <w:rPr>
          <w:rFonts w:ascii="Times New Roman" w:hAnsi="Times New Roman" w:cs="Times New Roman"/>
        </w:rPr>
        <w:t>,</w:t>
      </w:r>
      <w:r w:rsidRPr="00E869A4">
        <w:rPr>
          <w:rFonts w:ascii="Times New Roman" w:hAnsi="Times New Roman" w:cs="Times New Roman"/>
        </w:rPr>
        <w:t xml:space="preserve"> by conducting multiple interviews. However, the low response rate to the study coupled with the resource and other challenges I faced</w:t>
      </w:r>
      <w:r w:rsidR="0011568D" w:rsidRPr="00E869A4">
        <w:rPr>
          <w:rFonts w:ascii="Times New Roman" w:hAnsi="Times New Roman" w:cs="Times New Roman"/>
        </w:rPr>
        <w:t>,</w:t>
      </w:r>
      <w:r w:rsidRPr="00E869A4">
        <w:rPr>
          <w:rFonts w:ascii="Times New Roman" w:hAnsi="Times New Roman" w:cs="Times New Roman"/>
        </w:rPr>
        <w:t xml:space="preserve"> made the need to adjust the number of interviews a priority for the continuity of the project. </w:t>
      </w:r>
    </w:p>
    <w:p w14:paraId="28FCD656" w14:textId="77777777" w:rsidR="00E53C79" w:rsidRPr="00E869A4" w:rsidRDefault="00E53C79" w:rsidP="00A35FF8">
      <w:pPr>
        <w:rPr>
          <w:rFonts w:ascii="Times New Roman" w:hAnsi="Times New Roman" w:cs="Times New Roman"/>
        </w:rPr>
      </w:pPr>
    </w:p>
    <w:p w14:paraId="06B7771D" w14:textId="69715552" w:rsidR="00C03772" w:rsidRPr="00E869A4" w:rsidRDefault="00C03772" w:rsidP="00A35FF8">
      <w:pPr>
        <w:rPr>
          <w:rFonts w:ascii="Times New Roman" w:hAnsi="Times New Roman" w:cs="Times New Roman"/>
        </w:rPr>
      </w:pPr>
      <w:r w:rsidRPr="00E869A4">
        <w:rPr>
          <w:rFonts w:ascii="Times New Roman" w:hAnsi="Times New Roman" w:cs="Times New Roman"/>
        </w:rPr>
        <w:t>The need to expand the study so that it was not limited to dyads also became evident during this phase of data collection. In the first year based on the original research design, I had to exclude about 12 older persons who were willing to participate in the study, but their family caregiver was unavailable or unwilling to do so. Since I had not met the quota during this initial phase and</w:t>
      </w:r>
      <w:r w:rsidR="005068E6" w:rsidRPr="00E869A4">
        <w:rPr>
          <w:rFonts w:ascii="Times New Roman" w:hAnsi="Times New Roman" w:cs="Times New Roman"/>
        </w:rPr>
        <w:t>,</w:t>
      </w:r>
      <w:r w:rsidRPr="00E869A4">
        <w:rPr>
          <w:rFonts w:ascii="Times New Roman" w:hAnsi="Times New Roman" w:cs="Times New Roman"/>
        </w:rPr>
        <w:t xml:space="preserve"> given the time constraints I had for data collection, by the end of this phase of the study, I decided to revise my recruitment approach to ensure that I had sufficient participants. I must underscore here that since this was a qualitative study, my intention was not to have a ‘generali</w:t>
      </w:r>
      <w:r w:rsidR="005068E6" w:rsidRPr="00E869A4">
        <w:rPr>
          <w:rFonts w:ascii="Times New Roman" w:hAnsi="Times New Roman" w:cs="Times New Roman"/>
        </w:rPr>
        <w:t>s</w:t>
      </w:r>
      <w:r w:rsidRPr="00E869A4">
        <w:rPr>
          <w:rFonts w:ascii="Times New Roman" w:hAnsi="Times New Roman" w:cs="Times New Roman"/>
        </w:rPr>
        <w:t>able’ sample but to have enough persons participate so that the study wo</w:t>
      </w:r>
      <w:r w:rsidR="00DE0219" w:rsidRPr="00E869A4">
        <w:rPr>
          <w:rFonts w:ascii="Times New Roman" w:hAnsi="Times New Roman" w:cs="Times New Roman"/>
        </w:rPr>
        <w:t>uld have adequate depth (Bryman</w:t>
      </w:r>
      <w:r w:rsidRPr="00E869A4">
        <w:rPr>
          <w:rFonts w:ascii="Times New Roman" w:hAnsi="Times New Roman" w:cs="Times New Roman"/>
        </w:rPr>
        <w:t xml:space="preserve"> 2008 &amp; 2016). </w:t>
      </w:r>
    </w:p>
    <w:p w14:paraId="47614D28" w14:textId="77777777" w:rsidR="00E53C79" w:rsidRPr="00E869A4" w:rsidRDefault="00E53C79" w:rsidP="00A35FF8">
      <w:pPr>
        <w:rPr>
          <w:rFonts w:ascii="Times New Roman" w:hAnsi="Times New Roman" w:cs="Times New Roman"/>
        </w:rPr>
      </w:pPr>
    </w:p>
    <w:p w14:paraId="7AD9C527" w14:textId="77777777" w:rsidR="00C03772" w:rsidRPr="00E869A4" w:rsidRDefault="00404229" w:rsidP="009212FA">
      <w:pPr>
        <w:pStyle w:val="Heading4"/>
        <w:spacing w:line="240" w:lineRule="auto"/>
      </w:pPr>
      <w:bookmarkStart w:id="265" w:name="_Toc508858753"/>
      <w:r w:rsidRPr="00E869A4">
        <w:t>Phase 2 (2013</w:t>
      </w:r>
      <w:bookmarkEnd w:id="265"/>
      <w:r w:rsidRPr="00E869A4">
        <w:t>)</w:t>
      </w:r>
    </w:p>
    <w:p w14:paraId="4E18CC25" w14:textId="77777777" w:rsidR="009212FA" w:rsidRPr="00E869A4" w:rsidRDefault="009212FA" w:rsidP="009212FA"/>
    <w:p w14:paraId="7478A75C" w14:textId="77777777" w:rsidR="00C03772" w:rsidRPr="00E869A4" w:rsidRDefault="004E2181" w:rsidP="0031040A">
      <w:pPr>
        <w:pStyle w:val="Heading5"/>
        <w:rPr>
          <w:color w:val="auto"/>
        </w:rPr>
      </w:pPr>
      <w:bookmarkStart w:id="266" w:name="_Toc508858754"/>
      <w:r w:rsidRPr="00E869A4">
        <w:rPr>
          <w:color w:val="auto"/>
        </w:rPr>
        <w:t>In-depth i</w:t>
      </w:r>
      <w:r w:rsidR="00C03772" w:rsidRPr="00E869A4">
        <w:rPr>
          <w:color w:val="auto"/>
        </w:rPr>
        <w:t xml:space="preserve">nterviews </w:t>
      </w:r>
      <w:bookmarkEnd w:id="266"/>
    </w:p>
    <w:p w14:paraId="53B95946" w14:textId="77777777" w:rsidR="004E2181" w:rsidRPr="00E869A4" w:rsidRDefault="004E2181" w:rsidP="00A35FF8">
      <w:pPr>
        <w:rPr>
          <w:rFonts w:ascii="Times New Roman" w:hAnsi="Times New Roman" w:cs="Times New Roman"/>
        </w:rPr>
      </w:pPr>
    </w:p>
    <w:p w14:paraId="08A2BF28" w14:textId="677D0A6F"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At this stage of data collection, I decided that in addition to interviewing care dyads, I would include individual representatives from a dyad, as well as other persons who were intimately involved in </w:t>
      </w:r>
      <w:r w:rsidR="00120486" w:rsidRPr="00E869A4">
        <w:rPr>
          <w:rFonts w:ascii="Times New Roman" w:hAnsi="Times New Roman" w:cs="Times New Roman"/>
        </w:rPr>
        <w:lastRenderedPageBreak/>
        <w:t xml:space="preserve">providing </w:t>
      </w:r>
      <w:r w:rsidRPr="00E869A4">
        <w:rPr>
          <w:rFonts w:ascii="Times New Roman" w:hAnsi="Times New Roman" w:cs="Times New Roman"/>
        </w:rPr>
        <w:t>family care</w:t>
      </w:r>
      <w:r w:rsidR="00371741" w:rsidRPr="00E869A4">
        <w:rPr>
          <w:rFonts w:ascii="Times New Roman" w:hAnsi="Times New Roman" w:cs="Times New Roman"/>
        </w:rPr>
        <w:t xml:space="preserve"> to an older relative. Two care </w:t>
      </w:r>
      <w:r w:rsidRPr="00E869A4">
        <w:rPr>
          <w:rFonts w:ascii="Times New Roman" w:hAnsi="Times New Roman" w:cs="Times New Roman"/>
        </w:rPr>
        <w:t>dyads were interviewed during this phase. One was a father and son (Mr</w:t>
      </w:r>
      <w:r w:rsidR="00120486" w:rsidRPr="00E869A4">
        <w:rPr>
          <w:rFonts w:ascii="Times New Roman" w:hAnsi="Times New Roman" w:cs="Times New Roman"/>
        </w:rPr>
        <w:t>.</w:t>
      </w:r>
      <w:r w:rsidRPr="00E869A4">
        <w:rPr>
          <w:rFonts w:ascii="Times New Roman" w:hAnsi="Times New Roman" w:cs="Times New Roman"/>
        </w:rPr>
        <w:t xml:space="preserve"> Druman and Timothy), and the other a husband and wife (Mr. and Mrs. Sanchez). I also interviewed an informal paid caregiver (Melissa) who worked for the father and son. In another case, I interviewed an older woman (Mrs. Flora) who was caring for her husband. I had initially planned to interview both Mr. and Mrs. Flora, but on </w:t>
      </w:r>
      <w:r w:rsidR="00984F06" w:rsidRPr="00E869A4">
        <w:rPr>
          <w:rFonts w:ascii="Times New Roman" w:hAnsi="Times New Roman" w:cs="Times New Roman"/>
        </w:rPr>
        <w:t>the day I visited their home, Mr. Flora</w:t>
      </w:r>
      <w:r w:rsidRPr="00E869A4">
        <w:rPr>
          <w:rFonts w:ascii="Times New Roman" w:hAnsi="Times New Roman" w:cs="Times New Roman"/>
        </w:rPr>
        <w:t xml:space="preserve"> was too ill to participate fully in the interview as he had heightened symptoms from the Parkinson’s disease from which he suffered. However, while </w:t>
      </w:r>
      <w:r w:rsidR="00D61CAF">
        <w:rPr>
          <w:rFonts w:ascii="Times New Roman" w:hAnsi="Times New Roman" w:cs="Times New Roman"/>
        </w:rPr>
        <w:t>Mrs. Flora</w:t>
      </w:r>
      <w:r w:rsidRPr="00E869A4">
        <w:rPr>
          <w:rFonts w:ascii="Times New Roman" w:hAnsi="Times New Roman" w:cs="Times New Roman"/>
        </w:rPr>
        <w:t xml:space="preserve"> was chatting with me on her porch, </w:t>
      </w:r>
      <w:r w:rsidR="00D61CAF">
        <w:rPr>
          <w:rFonts w:ascii="Times New Roman" w:hAnsi="Times New Roman" w:cs="Times New Roman"/>
        </w:rPr>
        <w:t>she</w:t>
      </w:r>
      <w:r w:rsidRPr="00E869A4">
        <w:rPr>
          <w:rFonts w:ascii="Times New Roman" w:hAnsi="Times New Roman" w:cs="Times New Roman"/>
        </w:rPr>
        <w:t xml:space="preserve"> would on occasion call out to him for an answer or clarification</w:t>
      </w:r>
      <w:r w:rsidR="00984F06" w:rsidRPr="00E869A4">
        <w:rPr>
          <w:rFonts w:ascii="Times New Roman" w:hAnsi="Times New Roman" w:cs="Times New Roman"/>
        </w:rPr>
        <w:t>,</w:t>
      </w:r>
      <w:r w:rsidRPr="00E869A4">
        <w:rPr>
          <w:rFonts w:ascii="Times New Roman" w:hAnsi="Times New Roman" w:cs="Times New Roman"/>
        </w:rPr>
        <w:t xml:space="preserve"> as he was </w:t>
      </w:r>
      <w:r w:rsidR="00984F06" w:rsidRPr="00E869A4">
        <w:rPr>
          <w:rFonts w:ascii="Times New Roman" w:hAnsi="Times New Roman" w:cs="Times New Roman"/>
        </w:rPr>
        <w:t>resting</w:t>
      </w:r>
      <w:r w:rsidRPr="00E869A4">
        <w:rPr>
          <w:rFonts w:ascii="Times New Roman" w:hAnsi="Times New Roman" w:cs="Times New Roman"/>
        </w:rPr>
        <w:t xml:space="preserve"> in a room nearby.  </w:t>
      </w:r>
    </w:p>
    <w:p w14:paraId="668C0425" w14:textId="77777777" w:rsidR="00E53C79" w:rsidRPr="00E869A4" w:rsidRDefault="00E53C79" w:rsidP="00A35FF8">
      <w:pPr>
        <w:rPr>
          <w:rFonts w:ascii="Times New Roman" w:hAnsi="Times New Roman" w:cs="Times New Roman"/>
        </w:rPr>
      </w:pPr>
    </w:p>
    <w:p w14:paraId="2487FC80" w14:textId="572B5FB9"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The other participants who were interviewed during this period were not family caregivers at the time, but their background suggested that they would be able to provide useful insights from their experience as prior caregivers or, as an older person who was in need of care and support. Susan Maharaj and Dyann fit the former category and Ms. Doreen the latter. </w:t>
      </w:r>
      <w:r w:rsidR="0011568D" w:rsidRPr="00E869A4">
        <w:rPr>
          <w:rFonts w:ascii="Times New Roman" w:hAnsi="Times New Roman" w:cs="Times New Roman"/>
        </w:rPr>
        <w:t>Susan</w:t>
      </w:r>
      <w:r w:rsidRPr="00E869A4">
        <w:rPr>
          <w:rFonts w:ascii="Times New Roman" w:hAnsi="Times New Roman" w:cs="Times New Roman"/>
        </w:rPr>
        <w:t xml:space="preserve"> had formerly cared for her mother as well as her two older sisters. Dyann was once a paid informal carer. Ms. Doreen was an older woman with a mobility challenge who lived with her son. Both Susan and Dyann contacted me after viewing the advertisement for the study in the local newspaper. Dyann was introduced to me by another person who knew about the study</w:t>
      </w:r>
      <w:r w:rsidR="00743123" w:rsidRPr="00E869A4">
        <w:rPr>
          <w:rFonts w:ascii="Times New Roman" w:hAnsi="Times New Roman" w:cs="Times New Roman"/>
        </w:rPr>
        <w:t>,</w:t>
      </w:r>
      <w:r w:rsidRPr="00E869A4">
        <w:rPr>
          <w:rFonts w:ascii="Times New Roman" w:hAnsi="Times New Roman" w:cs="Times New Roman"/>
        </w:rPr>
        <w:t xml:space="preserve"> </w:t>
      </w:r>
      <w:r w:rsidR="00743123" w:rsidRPr="00E869A4">
        <w:rPr>
          <w:rFonts w:ascii="Times New Roman" w:hAnsi="Times New Roman" w:cs="Times New Roman"/>
        </w:rPr>
        <w:t>and felt that Dyann</w:t>
      </w:r>
      <w:r w:rsidRPr="00E869A4">
        <w:rPr>
          <w:rFonts w:ascii="Times New Roman" w:hAnsi="Times New Roman" w:cs="Times New Roman"/>
        </w:rPr>
        <w:t xml:space="preserve"> would be able to provide useful insights even though she did not fit the exact requirements as advertised. Given the challenges associated with obtaining and maintaining participants using the initial criteria for the study, I decided to include Susan, Dyann and Ms. Doreen as participants. Individual participants who were not interviewed as part of a dyad were only interviewed in one session. Dyads were interviewed over the course of 2 to 3 sessions during this phase of the study. The interview guide</w:t>
      </w:r>
      <w:r w:rsidR="00743123" w:rsidRPr="00E869A4">
        <w:rPr>
          <w:rFonts w:ascii="Times New Roman" w:hAnsi="Times New Roman" w:cs="Times New Roman"/>
        </w:rPr>
        <w:t>s</w:t>
      </w:r>
      <w:r w:rsidRPr="00E869A4">
        <w:rPr>
          <w:rFonts w:ascii="Times New Roman" w:hAnsi="Times New Roman" w:cs="Times New Roman"/>
        </w:rPr>
        <w:t xml:space="preserve"> </w:t>
      </w:r>
      <w:r w:rsidR="00743123" w:rsidRPr="00E869A4">
        <w:rPr>
          <w:rFonts w:ascii="Times New Roman" w:hAnsi="Times New Roman" w:cs="Times New Roman"/>
        </w:rPr>
        <w:t>are</w:t>
      </w:r>
      <w:r w:rsidRPr="00E869A4">
        <w:rPr>
          <w:rFonts w:ascii="Times New Roman" w:hAnsi="Times New Roman" w:cs="Times New Roman"/>
        </w:rPr>
        <w:t xml:space="preserve"> presented at Appendix </w:t>
      </w:r>
      <w:r w:rsidR="00D201F2" w:rsidRPr="00E869A4">
        <w:rPr>
          <w:rFonts w:ascii="Times New Roman" w:hAnsi="Times New Roman" w:cs="Times New Roman"/>
        </w:rPr>
        <w:t>5</w:t>
      </w:r>
      <w:r w:rsidRPr="00E869A4">
        <w:rPr>
          <w:rFonts w:ascii="Times New Roman" w:hAnsi="Times New Roman" w:cs="Times New Roman"/>
        </w:rPr>
        <w:t xml:space="preserve">. </w:t>
      </w:r>
    </w:p>
    <w:p w14:paraId="5A402743" w14:textId="77777777" w:rsidR="009F7027" w:rsidRPr="00E869A4" w:rsidRDefault="009F7027" w:rsidP="00A35FF8">
      <w:pPr>
        <w:rPr>
          <w:rFonts w:ascii="Times New Roman" w:hAnsi="Times New Roman" w:cs="Times New Roman"/>
        </w:rPr>
      </w:pPr>
    </w:p>
    <w:p w14:paraId="49E6B704" w14:textId="3AC50ECE" w:rsidR="000F61AE" w:rsidRPr="00E869A4" w:rsidRDefault="009F7027" w:rsidP="002946A0">
      <w:pPr>
        <w:rPr>
          <w:rFonts w:ascii="Times New Roman" w:hAnsi="Times New Roman" w:cs="Times New Roman"/>
        </w:rPr>
      </w:pPr>
      <w:r w:rsidRPr="00E869A4">
        <w:rPr>
          <w:rFonts w:ascii="Times New Roman" w:hAnsi="Times New Roman" w:cs="Times New Roman"/>
        </w:rPr>
        <w:t xml:space="preserve">Table 4 below presents the number of persons interviewed in phases 1 and 2 of this study, and disaggregates this information by the gender of participants. </w:t>
      </w:r>
    </w:p>
    <w:p w14:paraId="34D5B7BF" w14:textId="77777777" w:rsidR="002946A0" w:rsidRPr="00E869A4" w:rsidRDefault="002946A0" w:rsidP="002946A0">
      <w:pPr>
        <w:rPr>
          <w:i/>
        </w:rPr>
      </w:pPr>
    </w:p>
    <w:p w14:paraId="14BECFEC" w14:textId="77777777" w:rsidR="007A424E" w:rsidRPr="00E869A4" w:rsidRDefault="007A424E">
      <w:pPr>
        <w:rPr>
          <w:b/>
          <w:iCs/>
        </w:rPr>
      </w:pPr>
      <w:r w:rsidRPr="00E869A4">
        <w:rPr>
          <w:b/>
          <w:i/>
        </w:rPr>
        <w:br w:type="page"/>
      </w:r>
    </w:p>
    <w:p w14:paraId="3307F94F" w14:textId="7AF7EFFE" w:rsidR="003D4CBA" w:rsidRPr="00E869A4" w:rsidRDefault="003D4CBA" w:rsidP="00B264F7">
      <w:pPr>
        <w:pStyle w:val="Caption"/>
        <w:ind w:firstLine="0"/>
        <w:rPr>
          <w:b/>
          <w:i w:val="0"/>
          <w:sz w:val="24"/>
        </w:rPr>
      </w:pPr>
      <w:bookmarkStart w:id="267" w:name="_Toc40436603"/>
      <w:r w:rsidRPr="00E869A4">
        <w:rPr>
          <w:b/>
          <w:i w:val="0"/>
          <w:sz w:val="24"/>
        </w:rPr>
        <w:lastRenderedPageBreak/>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4</w:t>
      </w:r>
      <w:r w:rsidR="00194F87" w:rsidRPr="00E869A4">
        <w:rPr>
          <w:b/>
          <w:i w:val="0"/>
          <w:sz w:val="24"/>
        </w:rPr>
        <w:fldChar w:fldCharType="end"/>
      </w:r>
      <w:r w:rsidRPr="00E869A4">
        <w:rPr>
          <w:b/>
          <w:i w:val="0"/>
          <w:sz w:val="24"/>
        </w:rPr>
        <w:t>: Total Participants Interviewed in Phase 1 and 2 of the Study</w:t>
      </w:r>
      <w:bookmarkEnd w:id="267"/>
    </w:p>
    <w:p w14:paraId="53F411E8" w14:textId="77777777" w:rsidR="00BC0D29" w:rsidRPr="00E869A4" w:rsidRDefault="00BC0D29" w:rsidP="00B264F7">
      <w:pPr>
        <w:ind w:firstLine="0"/>
      </w:pPr>
    </w:p>
    <w:tbl>
      <w:tblPr>
        <w:tblW w:w="9738"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55"/>
        <w:gridCol w:w="969"/>
        <w:gridCol w:w="985"/>
        <w:gridCol w:w="1444"/>
        <w:gridCol w:w="265"/>
        <w:gridCol w:w="851"/>
        <w:gridCol w:w="1133"/>
        <w:gridCol w:w="848"/>
        <w:gridCol w:w="854"/>
      </w:tblGrid>
      <w:tr w:rsidR="00C714D3" w:rsidRPr="00E869A4" w14:paraId="27823794" w14:textId="77777777" w:rsidTr="00ED7542">
        <w:trPr>
          <w:trHeight w:val="948"/>
          <w:jc w:val="center"/>
        </w:trPr>
        <w:tc>
          <w:tcPr>
            <w:tcW w:w="1134" w:type="dxa"/>
            <w:shd w:val="clear" w:color="auto" w:fill="auto"/>
            <w:vAlign w:val="center"/>
            <w:hideMark/>
          </w:tcPr>
          <w:p w14:paraId="582288DF" w14:textId="77777777"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Data Collection Activity</w:t>
            </w:r>
          </w:p>
        </w:tc>
        <w:tc>
          <w:tcPr>
            <w:tcW w:w="1255" w:type="dxa"/>
            <w:shd w:val="clear" w:color="auto" w:fill="auto"/>
            <w:vAlign w:val="center"/>
            <w:hideMark/>
          </w:tcPr>
          <w:p w14:paraId="3FE9B22C" w14:textId="77777777"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Format</w:t>
            </w:r>
          </w:p>
        </w:tc>
        <w:tc>
          <w:tcPr>
            <w:tcW w:w="969" w:type="dxa"/>
            <w:shd w:val="clear" w:color="auto" w:fill="auto"/>
            <w:vAlign w:val="center"/>
            <w:hideMark/>
          </w:tcPr>
          <w:p w14:paraId="03650FB0" w14:textId="690D78A3"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Phase 1</w:t>
            </w:r>
          </w:p>
          <w:p w14:paraId="57179446" w14:textId="77777777"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(2011)</w:t>
            </w:r>
          </w:p>
        </w:tc>
        <w:tc>
          <w:tcPr>
            <w:tcW w:w="985" w:type="dxa"/>
            <w:shd w:val="clear" w:color="auto" w:fill="auto"/>
            <w:vAlign w:val="center"/>
            <w:hideMark/>
          </w:tcPr>
          <w:p w14:paraId="3EA02A41" w14:textId="44DA0232"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Phase 2</w:t>
            </w:r>
          </w:p>
          <w:p w14:paraId="2181DDE0" w14:textId="77777777"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(2013)</w:t>
            </w:r>
          </w:p>
        </w:tc>
        <w:tc>
          <w:tcPr>
            <w:tcW w:w="1444" w:type="dxa"/>
            <w:vAlign w:val="center"/>
          </w:tcPr>
          <w:p w14:paraId="0E29A130" w14:textId="77777777"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Total Participants</w:t>
            </w:r>
            <w:r w:rsidRPr="00E869A4">
              <w:rPr>
                <w:rStyle w:val="FootnoteReference"/>
                <w:rFonts w:ascii="Times New Roman" w:hAnsi="Times New Roman" w:cs="Times New Roman"/>
                <w:i/>
                <w:sz w:val="22"/>
                <w:lang w:eastAsia="en-TT"/>
              </w:rPr>
              <w:footnoteReference w:id="50"/>
            </w:r>
          </w:p>
        </w:tc>
        <w:tc>
          <w:tcPr>
            <w:tcW w:w="265" w:type="dxa"/>
            <w:vMerge w:val="restart"/>
            <w:vAlign w:val="center"/>
          </w:tcPr>
          <w:p w14:paraId="6E195480" w14:textId="77777777" w:rsidR="00C03772" w:rsidRPr="00E869A4" w:rsidRDefault="00C03772" w:rsidP="00B264F7">
            <w:pPr>
              <w:spacing w:line="240" w:lineRule="auto"/>
              <w:ind w:firstLine="0"/>
              <w:jc w:val="center"/>
              <w:rPr>
                <w:rFonts w:ascii="Times New Roman" w:hAnsi="Times New Roman" w:cs="Times New Roman"/>
                <w:i/>
                <w:lang w:eastAsia="en-TT"/>
              </w:rPr>
            </w:pPr>
          </w:p>
        </w:tc>
        <w:tc>
          <w:tcPr>
            <w:tcW w:w="3686" w:type="dxa"/>
            <w:gridSpan w:val="4"/>
            <w:vAlign w:val="center"/>
          </w:tcPr>
          <w:p w14:paraId="5CCB96D4" w14:textId="77777777"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Gender</w:t>
            </w:r>
          </w:p>
          <w:p w14:paraId="09662540" w14:textId="77777777" w:rsidR="00C03772" w:rsidRPr="00E869A4" w:rsidRDefault="00C03772" w:rsidP="00B264F7">
            <w:pPr>
              <w:spacing w:line="240" w:lineRule="auto"/>
              <w:ind w:firstLine="0"/>
              <w:jc w:val="center"/>
              <w:rPr>
                <w:rFonts w:ascii="Times New Roman" w:hAnsi="Times New Roman" w:cs="Times New Roman"/>
                <w:i/>
                <w:lang w:eastAsia="en-TT"/>
              </w:rPr>
            </w:pPr>
          </w:p>
          <w:p w14:paraId="2EAFC0BF" w14:textId="77777777" w:rsidR="00C03772" w:rsidRPr="00E869A4" w:rsidRDefault="00C0377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F = female; M = male</w:t>
            </w:r>
          </w:p>
        </w:tc>
      </w:tr>
      <w:tr w:rsidR="00C714D3" w:rsidRPr="00E869A4" w14:paraId="6E6A5E9E" w14:textId="77777777" w:rsidTr="00ED7542">
        <w:trPr>
          <w:trHeight w:val="585"/>
          <w:jc w:val="center"/>
        </w:trPr>
        <w:tc>
          <w:tcPr>
            <w:tcW w:w="5787" w:type="dxa"/>
            <w:gridSpan w:val="5"/>
            <w:shd w:val="clear" w:color="auto" w:fill="D9D9D9" w:themeFill="background1" w:themeFillShade="D9"/>
            <w:vAlign w:val="center"/>
          </w:tcPr>
          <w:p w14:paraId="7993C7D4" w14:textId="77777777" w:rsidR="00F0711F" w:rsidRPr="00E869A4" w:rsidRDefault="00F0711F" w:rsidP="00B264F7">
            <w:pPr>
              <w:spacing w:line="240" w:lineRule="auto"/>
              <w:ind w:firstLine="0"/>
              <w:rPr>
                <w:rFonts w:ascii="Times New Roman" w:hAnsi="Times New Roman" w:cs="Times New Roman"/>
                <w:lang w:eastAsia="en-TT"/>
              </w:rPr>
            </w:pPr>
          </w:p>
        </w:tc>
        <w:tc>
          <w:tcPr>
            <w:tcW w:w="265" w:type="dxa"/>
            <w:vMerge/>
          </w:tcPr>
          <w:p w14:paraId="35661B62" w14:textId="77777777" w:rsidR="00F0711F" w:rsidRPr="00E869A4" w:rsidRDefault="00F0711F" w:rsidP="00B264F7">
            <w:pPr>
              <w:spacing w:line="240" w:lineRule="auto"/>
              <w:ind w:firstLine="0"/>
              <w:rPr>
                <w:rFonts w:ascii="Times New Roman" w:hAnsi="Times New Roman" w:cs="Times New Roman"/>
                <w:lang w:eastAsia="en-TT"/>
              </w:rPr>
            </w:pPr>
          </w:p>
        </w:tc>
        <w:tc>
          <w:tcPr>
            <w:tcW w:w="851" w:type="dxa"/>
            <w:tcBorders>
              <w:bottom w:val="single" w:sz="4" w:space="0" w:color="auto"/>
            </w:tcBorders>
            <w:vAlign w:val="center"/>
          </w:tcPr>
          <w:p w14:paraId="293552BF" w14:textId="77777777"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Family</w:t>
            </w:r>
          </w:p>
          <w:p w14:paraId="7DB4428C" w14:textId="77777777"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Carer</w:t>
            </w:r>
          </w:p>
        </w:tc>
        <w:tc>
          <w:tcPr>
            <w:tcW w:w="1133" w:type="dxa"/>
            <w:tcBorders>
              <w:bottom w:val="single" w:sz="4" w:space="0" w:color="auto"/>
            </w:tcBorders>
            <w:vAlign w:val="center"/>
          </w:tcPr>
          <w:p w14:paraId="0769FAE9" w14:textId="684FDF0D"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Family Care Recipient</w:t>
            </w:r>
          </w:p>
        </w:tc>
        <w:tc>
          <w:tcPr>
            <w:tcW w:w="848" w:type="dxa"/>
            <w:tcBorders>
              <w:bottom w:val="single" w:sz="4" w:space="0" w:color="auto"/>
            </w:tcBorders>
            <w:vAlign w:val="center"/>
          </w:tcPr>
          <w:p w14:paraId="07CB6E7A" w14:textId="77777777"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Paid Carer</w:t>
            </w:r>
          </w:p>
        </w:tc>
        <w:tc>
          <w:tcPr>
            <w:tcW w:w="854" w:type="dxa"/>
            <w:tcBorders>
              <w:bottom w:val="single" w:sz="4" w:space="0" w:color="auto"/>
            </w:tcBorders>
            <w:vAlign w:val="center"/>
          </w:tcPr>
          <w:p w14:paraId="2259E9C8" w14:textId="77777777"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Other</w:t>
            </w:r>
          </w:p>
        </w:tc>
      </w:tr>
      <w:tr w:rsidR="00C714D3" w:rsidRPr="00E869A4" w14:paraId="6685D694" w14:textId="77777777" w:rsidTr="00ED7542">
        <w:trPr>
          <w:trHeight w:val="612"/>
          <w:jc w:val="center"/>
        </w:trPr>
        <w:tc>
          <w:tcPr>
            <w:tcW w:w="1134" w:type="dxa"/>
            <w:vMerge w:val="restart"/>
            <w:shd w:val="clear" w:color="auto" w:fill="auto"/>
            <w:vAlign w:val="center"/>
            <w:hideMark/>
          </w:tcPr>
          <w:p w14:paraId="01BCBFC0" w14:textId="77777777" w:rsidR="00F0711F" w:rsidRPr="00E869A4" w:rsidRDefault="00F0711F"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sz w:val="22"/>
                <w:lang w:eastAsia="en-TT"/>
              </w:rPr>
              <w:t>In-Depth Interviews</w:t>
            </w:r>
          </w:p>
        </w:tc>
        <w:tc>
          <w:tcPr>
            <w:tcW w:w="1255" w:type="dxa"/>
            <w:shd w:val="clear" w:color="auto" w:fill="auto"/>
            <w:vAlign w:val="center"/>
            <w:hideMark/>
          </w:tcPr>
          <w:p w14:paraId="4114CF0A" w14:textId="77777777"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Dyads</w:t>
            </w:r>
          </w:p>
        </w:tc>
        <w:tc>
          <w:tcPr>
            <w:tcW w:w="969" w:type="dxa"/>
            <w:shd w:val="clear" w:color="auto" w:fill="auto"/>
            <w:vAlign w:val="center"/>
            <w:hideMark/>
          </w:tcPr>
          <w:p w14:paraId="56578581" w14:textId="77777777"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5</w:t>
            </w:r>
          </w:p>
        </w:tc>
        <w:tc>
          <w:tcPr>
            <w:tcW w:w="985" w:type="dxa"/>
            <w:shd w:val="clear" w:color="auto" w:fill="auto"/>
            <w:vAlign w:val="center"/>
            <w:hideMark/>
          </w:tcPr>
          <w:p w14:paraId="76A992A8" w14:textId="77777777"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2</w:t>
            </w:r>
          </w:p>
        </w:tc>
        <w:tc>
          <w:tcPr>
            <w:tcW w:w="1444" w:type="dxa"/>
            <w:vAlign w:val="center"/>
          </w:tcPr>
          <w:p w14:paraId="626C2D57" w14:textId="77777777" w:rsidR="00F0711F" w:rsidRPr="00E869A4" w:rsidRDefault="00F0711F"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14</w:t>
            </w:r>
          </w:p>
        </w:tc>
        <w:tc>
          <w:tcPr>
            <w:tcW w:w="265" w:type="dxa"/>
            <w:vMerge/>
            <w:shd w:val="clear" w:color="auto" w:fill="BFBFBF" w:themeFill="background1" w:themeFillShade="BF"/>
          </w:tcPr>
          <w:p w14:paraId="6B145B9D" w14:textId="77777777" w:rsidR="00F0711F" w:rsidRPr="00E869A4" w:rsidRDefault="00F0711F" w:rsidP="00B264F7">
            <w:pPr>
              <w:spacing w:line="240" w:lineRule="auto"/>
              <w:ind w:firstLine="0"/>
              <w:rPr>
                <w:rFonts w:ascii="Times New Roman" w:hAnsi="Times New Roman" w:cs="Times New Roman"/>
                <w:lang w:eastAsia="en-TT"/>
              </w:rPr>
            </w:pPr>
          </w:p>
        </w:tc>
        <w:tc>
          <w:tcPr>
            <w:tcW w:w="851" w:type="dxa"/>
            <w:shd w:val="clear" w:color="auto" w:fill="auto"/>
            <w:vAlign w:val="center"/>
          </w:tcPr>
          <w:p w14:paraId="070B7D4A" w14:textId="77777777" w:rsidR="00F0711F" w:rsidRPr="00E869A4" w:rsidRDefault="00F0711F" w:rsidP="00ED7542">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F = 5</w:t>
            </w:r>
          </w:p>
          <w:p w14:paraId="5ED23F0C" w14:textId="77777777" w:rsidR="00F0711F" w:rsidRPr="00E869A4" w:rsidRDefault="00F0711F" w:rsidP="00ED7542">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M = 2</w:t>
            </w:r>
          </w:p>
        </w:tc>
        <w:tc>
          <w:tcPr>
            <w:tcW w:w="1133" w:type="dxa"/>
            <w:shd w:val="clear" w:color="auto" w:fill="auto"/>
            <w:vAlign w:val="center"/>
          </w:tcPr>
          <w:p w14:paraId="42C98DEB" w14:textId="77777777" w:rsidR="00F0711F" w:rsidRPr="00E869A4" w:rsidRDefault="00F0711F" w:rsidP="00ED7542">
            <w:pPr>
              <w:spacing w:line="240" w:lineRule="auto"/>
              <w:ind w:left="97" w:firstLine="0"/>
              <w:jc w:val="center"/>
              <w:rPr>
                <w:rFonts w:ascii="Times New Roman" w:hAnsi="Times New Roman" w:cs="Times New Roman"/>
                <w:lang w:eastAsia="en-TT"/>
              </w:rPr>
            </w:pPr>
            <w:r w:rsidRPr="00E869A4">
              <w:rPr>
                <w:rFonts w:ascii="Times New Roman" w:hAnsi="Times New Roman" w:cs="Times New Roman"/>
                <w:sz w:val="22"/>
                <w:lang w:eastAsia="en-TT"/>
              </w:rPr>
              <w:t>F = 3</w:t>
            </w:r>
          </w:p>
          <w:p w14:paraId="4956530D" w14:textId="77777777" w:rsidR="00F0711F" w:rsidRPr="00E869A4" w:rsidRDefault="00F0711F" w:rsidP="00ED7542">
            <w:pPr>
              <w:spacing w:line="240" w:lineRule="auto"/>
              <w:ind w:left="97" w:firstLine="0"/>
              <w:jc w:val="center"/>
              <w:rPr>
                <w:rFonts w:ascii="Times New Roman" w:hAnsi="Times New Roman" w:cs="Times New Roman"/>
                <w:lang w:eastAsia="en-TT"/>
              </w:rPr>
            </w:pPr>
            <w:r w:rsidRPr="00E869A4">
              <w:rPr>
                <w:rFonts w:ascii="Times New Roman" w:hAnsi="Times New Roman" w:cs="Times New Roman"/>
                <w:sz w:val="22"/>
                <w:lang w:eastAsia="en-TT"/>
              </w:rPr>
              <w:t>M = 4</w:t>
            </w:r>
          </w:p>
        </w:tc>
        <w:tc>
          <w:tcPr>
            <w:tcW w:w="1702" w:type="dxa"/>
            <w:gridSpan w:val="2"/>
            <w:shd w:val="clear" w:color="auto" w:fill="D9D9D9" w:themeFill="background1" w:themeFillShade="D9"/>
          </w:tcPr>
          <w:p w14:paraId="601D7E5E" w14:textId="77777777" w:rsidR="00F0711F" w:rsidRPr="00E869A4" w:rsidRDefault="00F0711F" w:rsidP="00B264F7">
            <w:pPr>
              <w:spacing w:line="240" w:lineRule="auto"/>
              <w:ind w:firstLine="0"/>
              <w:rPr>
                <w:rFonts w:ascii="Times New Roman" w:hAnsi="Times New Roman" w:cs="Times New Roman"/>
                <w:lang w:eastAsia="en-TT"/>
              </w:rPr>
            </w:pPr>
          </w:p>
        </w:tc>
      </w:tr>
      <w:tr w:rsidR="00C714D3" w:rsidRPr="00E869A4" w14:paraId="38CF9CC3" w14:textId="77777777" w:rsidTr="00ED7542">
        <w:trPr>
          <w:trHeight w:val="324"/>
          <w:jc w:val="center"/>
        </w:trPr>
        <w:tc>
          <w:tcPr>
            <w:tcW w:w="1134" w:type="dxa"/>
            <w:vMerge/>
            <w:vAlign w:val="center"/>
            <w:hideMark/>
          </w:tcPr>
          <w:p w14:paraId="3785E453" w14:textId="77777777" w:rsidR="00C03772" w:rsidRPr="00E869A4" w:rsidRDefault="00C03772" w:rsidP="00B264F7">
            <w:pPr>
              <w:spacing w:line="240" w:lineRule="auto"/>
              <w:ind w:firstLine="0"/>
              <w:jc w:val="center"/>
              <w:rPr>
                <w:rFonts w:ascii="Times New Roman" w:hAnsi="Times New Roman" w:cs="Times New Roman"/>
                <w:lang w:eastAsia="en-TT"/>
              </w:rPr>
            </w:pPr>
          </w:p>
        </w:tc>
        <w:tc>
          <w:tcPr>
            <w:tcW w:w="1255" w:type="dxa"/>
            <w:shd w:val="clear" w:color="auto" w:fill="auto"/>
            <w:vAlign w:val="center"/>
            <w:hideMark/>
          </w:tcPr>
          <w:p w14:paraId="269527F5" w14:textId="77777777" w:rsidR="00C03772" w:rsidRPr="00E869A4" w:rsidRDefault="00C0377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Individual Participants</w:t>
            </w:r>
          </w:p>
        </w:tc>
        <w:tc>
          <w:tcPr>
            <w:tcW w:w="969" w:type="dxa"/>
            <w:shd w:val="clear" w:color="auto" w:fill="auto"/>
            <w:vAlign w:val="center"/>
            <w:hideMark/>
          </w:tcPr>
          <w:p w14:paraId="432AB9BF" w14:textId="49AC10CE" w:rsidR="00C03772" w:rsidRPr="00E869A4" w:rsidRDefault="00C03772" w:rsidP="00B264F7">
            <w:pPr>
              <w:spacing w:line="240" w:lineRule="auto"/>
              <w:ind w:firstLine="0"/>
              <w:jc w:val="center"/>
              <w:rPr>
                <w:rFonts w:ascii="Times New Roman" w:hAnsi="Times New Roman" w:cs="Times New Roman"/>
                <w:lang w:eastAsia="en-TT"/>
              </w:rPr>
            </w:pPr>
          </w:p>
        </w:tc>
        <w:tc>
          <w:tcPr>
            <w:tcW w:w="985" w:type="dxa"/>
            <w:shd w:val="clear" w:color="auto" w:fill="auto"/>
            <w:vAlign w:val="center"/>
            <w:hideMark/>
          </w:tcPr>
          <w:p w14:paraId="5924A2C3" w14:textId="77777777" w:rsidR="00C03772" w:rsidRPr="00E869A4" w:rsidRDefault="00C0377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5</w:t>
            </w:r>
          </w:p>
        </w:tc>
        <w:tc>
          <w:tcPr>
            <w:tcW w:w="1444" w:type="dxa"/>
            <w:vAlign w:val="center"/>
          </w:tcPr>
          <w:p w14:paraId="6D84EC87" w14:textId="77777777" w:rsidR="00C03772" w:rsidRPr="00E869A4" w:rsidRDefault="00C0377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5</w:t>
            </w:r>
          </w:p>
        </w:tc>
        <w:tc>
          <w:tcPr>
            <w:tcW w:w="265" w:type="dxa"/>
            <w:vMerge/>
            <w:shd w:val="clear" w:color="auto" w:fill="BFBFBF" w:themeFill="background1" w:themeFillShade="BF"/>
          </w:tcPr>
          <w:p w14:paraId="1F72E125" w14:textId="77777777" w:rsidR="00C03772" w:rsidRPr="00E869A4" w:rsidRDefault="00C03772" w:rsidP="00B264F7">
            <w:pPr>
              <w:spacing w:line="240" w:lineRule="auto"/>
              <w:ind w:firstLine="0"/>
              <w:rPr>
                <w:rFonts w:ascii="Times New Roman" w:hAnsi="Times New Roman" w:cs="Times New Roman"/>
                <w:lang w:eastAsia="en-TT"/>
              </w:rPr>
            </w:pPr>
          </w:p>
        </w:tc>
        <w:tc>
          <w:tcPr>
            <w:tcW w:w="851" w:type="dxa"/>
            <w:shd w:val="clear" w:color="auto" w:fill="auto"/>
            <w:vAlign w:val="center"/>
          </w:tcPr>
          <w:p w14:paraId="153403B6" w14:textId="5FE882D0" w:rsidR="00C03772" w:rsidRPr="00E869A4" w:rsidRDefault="00C03772" w:rsidP="00ED7542">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F</w:t>
            </w:r>
            <w:r w:rsidR="0031028B" w:rsidRPr="00E869A4">
              <w:rPr>
                <w:rFonts w:ascii="Times New Roman" w:hAnsi="Times New Roman" w:cs="Times New Roman"/>
                <w:sz w:val="22"/>
                <w:lang w:eastAsia="en-TT"/>
              </w:rPr>
              <w:t xml:space="preserve"> </w:t>
            </w:r>
            <w:r w:rsidRPr="00E869A4">
              <w:rPr>
                <w:rFonts w:ascii="Times New Roman" w:hAnsi="Times New Roman" w:cs="Times New Roman"/>
                <w:sz w:val="22"/>
                <w:lang w:eastAsia="en-TT"/>
              </w:rPr>
              <w:t>=</w:t>
            </w:r>
            <w:r w:rsidR="0031028B" w:rsidRPr="00E869A4">
              <w:rPr>
                <w:rFonts w:ascii="Times New Roman" w:hAnsi="Times New Roman" w:cs="Times New Roman"/>
                <w:sz w:val="22"/>
                <w:lang w:eastAsia="en-TT"/>
              </w:rPr>
              <w:t xml:space="preserve"> </w:t>
            </w:r>
            <w:r w:rsidRPr="00E869A4">
              <w:rPr>
                <w:rFonts w:ascii="Times New Roman" w:hAnsi="Times New Roman" w:cs="Times New Roman"/>
                <w:sz w:val="22"/>
                <w:lang w:eastAsia="en-TT"/>
              </w:rPr>
              <w:t>2</w:t>
            </w:r>
          </w:p>
          <w:p w14:paraId="077F2A99" w14:textId="77777777" w:rsidR="00C03772" w:rsidRPr="00E869A4" w:rsidRDefault="00C03772" w:rsidP="00ED7542">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M = 0</w:t>
            </w:r>
          </w:p>
        </w:tc>
        <w:tc>
          <w:tcPr>
            <w:tcW w:w="1133" w:type="dxa"/>
            <w:shd w:val="clear" w:color="auto" w:fill="D9D9D9" w:themeFill="background1" w:themeFillShade="D9"/>
          </w:tcPr>
          <w:p w14:paraId="3491DC04" w14:textId="77777777" w:rsidR="00C03772" w:rsidRPr="00E869A4" w:rsidRDefault="00C03772" w:rsidP="00B264F7">
            <w:pPr>
              <w:spacing w:line="240" w:lineRule="auto"/>
              <w:ind w:firstLine="0"/>
              <w:rPr>
                <w:rFonts w:ascii="Times New Roman" w:hAnsi="Times New Roman" w:cs="Times New Roman"/>
                <w:lang w:eastAsia="en-TT"/>
              </w:rPr>
            </w:pPr>
          </w:p>
        </w:tc>
        <w:tc>
          <w:tcPr>
            <w:tcW w:w="848" w:type="dxa"/>
            <w:shd w:val="clear" w:color="auto" w:fill="auto"/>
          </w:tcPr>
          <w:p w14:paraId="5AB25447" w14:textId="794002FB" w:rsidR="00C03772" w:rsidRPr="00E869A4" w:rsidRDefault="00C03772" w:rsidP="00ED7542">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F</w:t>
            </w:r>
            <w:r w:rsidR="0031028B" w:rsidRPr="00E869A4">
              <w:rPr>
                <w:rFonts w:ascii="Times New Roman" w:hAnsi="Times New Roman" w:cs="Times New Roman"/>
                <w:sz w:val="22"/>
                <w:lang w:eastAsia="en-TT"/>
              </w:rPr>
              <w:t xml:space="preserve"> </w:t>
            </w:r>
            <w:r w:rsidRPr="00E869A4">
              <w:rPr>
                <w:rFonts w:ascii="Times New Roman" w:hAnsi="Times New Roman" w:cs="Times New Roman"/>
                <w:sz w:val="22"/>
                <w:lang w:eastAsia="en-TT"/>
              </w:rPr>
              <w:t>=</w:t>
            </w:r>
            <w:r w:rsidR="0031028B" w:rsidRPr="00E869A4">
              <w:rPr>
                <w:rFonts w:ascii="Times New Roman" w:hAnsi="Times New Roman" w:cs="Times New Roman"/>
                <w:sz w:val="22"/>
                <w:lang w:eastAsia="en-TT"/>
              </w:rPr>
              <w:t xml:space="preserve"> </w:t>
            </w:r>
            <w:r w:rsidRPr="00E869A4">
              <w:rPr>
                <w:rFonts w:ascii="Times New Roman" w:hAnsi="Times New Roman" w:cs="Times New Roman"/>
                <w:sz w:val="22"/>
                <w:lang w:eastAsia="en-TT"/>
              </w:rPr>
              <w:t>2</w:t>
            </w:r>
          </w:p>
          <w:p w14:paraId="065804EF" w14:textId="77777777" w:rsidR="00C03772" w:rsidRPr="00E869A4" w:rsidRDefault="00C03772" w:rsidP="00ED7542">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M = 0</w:t>
            </w:r>
          </w:p>
        </w:tc>
        <w:tc>
          <w:tcPr>
            <w:tcW w:w="854" w:type="dxa"/>
            <w:shd w:val="clear" w:color="auto" w:fill="auto"/>
          </w:tcPr>
          <w:p w14:paraId="79C1EFD4" w14:textId="6F972498" w:rsidR="00C03772" w:rsidRPr="00E869A4" w:rsidRDefault="00C03772" w:rsidP="00ED7542">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F</w:t>
            </w:r>
            <w:r w:rsidR="0031028B" w:rsidRPr="00E869A4">
              <w:rPr>
                <w:rFonts w:ascii="Times New Roman" w:hAnsi="Times New Roman" w:cs="Times New Roman"/>
                <w:sz w:val="22"/>
                <w:lang w:eastAsia="en-TT"/>
              </w:rPr>
              <w:t xml:space="preserve"> </w:t>
            </w:r>
            <w:r w:rsidRPr="00E869A4">
              <w:rPr>
                <w:rFonts w:ascii="Times New Roman" w:hAnsi="Times New Roman" w:cs="Times New Roman"/>
                <w:sz w:val="22"/>
                <w:lang w:eastAsia="en-TT"/>
              </w:rPr>
              <w:t>=</w:t>
            </w:r>
            <w:r w:rsidR="0031028B" w:rsidRPr="00E869A4">
              <w:rPr>
                <w:rFonts w:ascii="Times New Roman" w:hAnsi="Times New Roman" w:cs="Times New Roman"/>
                <w:sz w:val="22"/>
                <w:lang w:eastAsia="en-TT"/>
              </w:rPr>
              <w:t xml:space="preserve"> </w:t>
            </w:r>
            <w:r w:rsidRPr="00E869A4">
              <w:rPr>
                <w:rFonts w:ascii="Times New Roman" w:hAnsi="Times New Roman" w:cs="Times New Roman"/>
                <w:sz w:val="22"/>
                <w:lang w:eastAsia="en-TT"/>
              </w:rPr>
              <w:t>1</w:t>
            </w:r>
          </w:p>
          <w:p w14:paraId="201AA243" w14:textId="77777777" w:rsidR="00C03772" w:rsidRPr="00E869A4" w:rsidRDefault="00C03772" w:rsidP="00ED7542">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M = 0</w:t>
            </w:r>
          </w:p>
        </w:tc>
      </w:tr>
      <w:tr w:rsidR="00C714D3" w:rsidRPr="00E869A4" w14:paraId="5479FD0F" w14:textId="77777777" w:rsidTr="00ED7542">
        <w:trPr>
          <w:trHeight w:val="324"/>
          <w:jc w:val="center"/>
        </w:trPr>
        <w:tc>
          <w:tcPr>
            <w:tcW w:w="4343" w:type="dxa"/>
            <w:gridSpan w:val="4"/>
            <w:shd w:val="clear" w:color="auto" w:fill="D9D9D9" w:themeFill="background1" w:themeFillShade="D9"/>
            <w:vAlign w:val="center"/>
          </w:tcPr>
          <w:p w14:paraId="0FBDB611" w14:textId="77777777" w:rsidR="00C03772" w:rsidRPr="00E869A4" w:rsidRDefault="00C03772" w:rsidP="00B264F7">
            <w:pPr>
              <w:spacing w:line="240" w:lineRule="auto"/>
              <w:ind w:firstLine="0"/>
              <w:jc w:val="center"/>
              <w:rPr>
                <w:rFonts w:ascii="Times New Roman" w:hAnsi="Times New Roman" w:cs="Times New Roman"/>
                <w:b/>
                <w:lang w:eastAsia="en-TT"/>
              </w:rPr>
            </w:pPr>
            <w:r w:rsidRPr="00E869A4">
              <w:rPr>
                <w:rFonts w:ascii="Times New Roman" w:hAnsi="Times New Roman" w:cs="Times New Roman"/>
                <w:b/>
                <w:sz w:val="22"/>
                <w:lang w:eastAsia="en-TT"/>
              </w:rPr>
              <w:t>TOTAL</w:t>
            </w:r>
          </w:p>
        </w:tc>
        <w:tc>
          <w:tcPr>
            <w:tcW w:w="1444" w:type="dxa"/>
            <w:vAlign w:val="center"/>
          </w:tcPr>
          <w:p w14:paraId="7BFE59C0" w14:textId="77777777" w:rsidR="00C03772" w:rsidRPr="00E869A4" w:rsidRDefault="00C0377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19</w:t>
            </w:r>
          </w:p>
        </w:tc>
        <w:tc>
          <w:tcPr>
            <w:tcW w:w="265" w:type="dxa"/>
            <w:vMerge/>
          </w:tcPr>
          <w:p w14:paraId="67C62810" w14:textId="77777777" w:rsidR="00C03772" w:rsidRPr="00E869A4" w:rsidRDefault="00C03772" w:rsidP="00B264F7">
            <w:pPr>
              <w:spacing w:line="240" w:lineRule="auto"/>
              <w:ind w:firstLine="0"/>
              <w:rPr>
                <w:rFonts w:ascii="Times New Roman" w:hAnsi="Times New Roman" w:cs="Times New Roman"/>
                <w:lang w:eastAsia="en-TT"/>
              </w:rPr>
            </w:pPr>
          </w:p>
        </w:tc>
        <w:tc>
          <w:tcPr>
            <w:tcW w:w="3686" w:type="dxa"/>
            <w:gridSpan w:val="4"/>
            <w:vAlign w:val="center"/>
          </w:tcPr>
          <w:p w14:paraId="37FBDDD5" w14:textId="77777777" w:rsidR="00C03772" w:rsidRPr="00E869A4" w:rsidRDefault="00C0377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sz w:val="22"/>
                <w:lang w:eastAsia="en-TT"/>
              </w:rPr>
              <w:t>F = 13; M = 6</w:t>
            </w:r>
          </w:p>
        </w:tc>
      </w:tr>
    </w:tbl>
    <w:p w14:paraId="6F31F929" w14:textId="358476D9" w:rsidR="002946A0" w:rsidRPr="00E869A4" w:rsidRDefault="002946A0" w:rsidP="00B264F7">
      <w:pPr>
        <w:ind w:firstLine="0"/>
      </w:pPr>
      <w:bookmarkStart w:id="268" w:name="_Toc508858755"/>
    </w:p>
    <w:p w14:paraId="25DFA88B" w14:textId="77777777" w:rsidR="00CA7B54" w:rsidRPr="00E869A4" w:rsidRDefault="00CA7B54" w:rsidP="0027318B">
      <w:pPr>
        <w:pStyle w:val="Heading4"/>
      </w:pPr>
    </w:p>
    <w:p w14:paraId="3C8F8443" w14:textId="773B52BE" w:rsidR="00C03772" w:rsidRPr="00E869A4" w:rsidRDefault="007C7214" w:rsidP="0027318B">
      <w:pPr>
        <w:pStyle w:val="Heading4"/>
      </w:pPr>
      <w:r w:rsidRPr="00E869A4">
        <w:t>Phase 3A (2014)</w:t>
      </w:r>
      <w:bookmarkEnd w:id="268"/>
    </w:p>
    <w:p w14:paraId="68D1CAEA" w14:textId="77777777" w:rsidR="00B12BB4" w:rsidRPr="00E869A4" w:rsidRDefault="00B12BB4" w:rsidP="00B12BB4"/>
    <w:p w14:paraId="53626546" w14:textId="106D9B77" w:rsidR="00A70B52" w:rsidRPr="00E869A4" w:rsidRDefault="00C03772" w:rsidP="0031040A">
      <w:pPr>
        <w:pStyle w:val="Heading5"/>
        <w:rPr>
          <w:color w:val="auto"/>
        </w:rPr>
      </w:pPr>
      <w:bookmarkStart w:id="269" w:name="_Toc508858756"/>
      <w:r w:rsidRPr="00E869A4">
        <w:rPr>
          <w:color w:val="auto"/>
        </w:rPr>
        <w:t>Survey (Self-</w:t>
      </w:r>
      <w:r w:rsidR="0027318B" w:rsidRPr="00E869A4">
        <w:rPr>
          <w:color w:val="auto"/>
        </w:rPr>
        <w:t>a</w:t>
      </w:r>
      <w:r w:rsidRPr="00E869A4">
        <w:rPr>
          <w:color w:val="auto"/>
        </w:rPr>
        <w:t xml:space="preserve">dministered </w:t>
      </w:r>
      <w:r w:rsidR="0027318B" w:rsidRPr="00E869A4">
        <w:rPr>
          <w:color w:val="auto"/>
        </w:rPr>
        <w:t>o</w:t>
      </w:r>
      <w:r w:rsidRPr="00E869A4">
        <w:rPr>
          <w:color w:val="auto"/>
        </w:rPr>
        <w:t xml:space="preserve">nline &amp; </w:t>
      </w:r>
      <w:r w:rsidR="0027318B" w:rsidRPr="00E869A4">
        <w:rPr>
          <w:color w:val="auto"/>
        </w:rPr>
        <w:t>p</w:t>
      </w:r>
      <w:r w:rsidRPr="00E869A4">
        <w:rPr>
          <w:color w:val="auto"/>
        </w:rPr>
        <w:t xml:space="preserve">rint </w:t>
      </w:r>
      <w:r w:rsidR="0027318B" w:rsidRPr="00E869A4">
        <w:rPr>
          <w:color w:val="auto"/>
        </w:rPr>
        <w:t>v</w:t>
      </w:r>
      <w:r w:rsidRPr="00E869A4">
        <w:rPr>
          <w:color w:val="auto"/>
        </w:rPr>
        <w:t>ersions</w:t>
      </w:r>
      <w:bookmarkEnd w:id="269"/>
      <w:r w:rsidR="0081051E" w:rsidRPr="00E869A4">
        <w:rPr>
          <w:color w:val="auto"/>
        </w:rPr>
        <w:t>)</w:t>
      </w:r>
    </w:p>
    <w:p w14:paraId="00D40859" w14:textId="77777777" w:rsidR="0027318B" w:rsidRPr="00E869A4" w:rsidRDefault="0027318B" w:rsidP="00A35FF8">
      <w:pPr>
        <w:rPr>
          <w:rFonts w:ascii="Times New Roman" w:hAnsi="Times New Roman" w:cs="Times New Roman"/>
        </w:rPr>
      </w:pPr>
    </w:p>
    <w:p w14:paraId="6150F09B" w14:textId="6A46C65F"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Given the recruitment challenges experienced with conducting the in-depth interviews, I decided to conduct an online survey to help obtain data that would still be relevant to addressing the research questions that the study set out to answer, </w:t>
      </w:r>
      <w:r w:rsidR="00E146C4" w:rsidRPr="00E869A4">
        <w:rPr>
          <w:rFonts w:ascii="Times New Roman" w:hAnsi="Times New Roman" w:cs="Times New Roman"/>
        </w:rPr>
        <w:t>while</w:t>
      </w:r>
      <w:r w:rsidRPr="00E869A4">
        <w:rPr>
          <w:rFonts w:ascii="Times New Roman" w:hAnsi="Times New Roman" w:cs="Times New Roman"/>
        </w:rPr>
        <w:t xml:space="preserve"> at the same time, explor</w:t>
      </w:r>
      <w:r w:rsidR="00E146C4" w:rsidRPr="00E869A4">
        <w:rPr>
          <w:rFonts w:ascii="Times New Roman" w:hAnsi="Times New Roman" w:cs="Times New Roman"/>
        </w:rPr>
        <w:t>ing</w:t>
      </w:r>
      <w:r w:rsidRPr="00E869A4">
        <w:rPr>
          <w:rFonts w:ascii="Times New Roman" w:hAnsi="Times New Roman" w:cs="Times New Roman"/>
        </w:rPr>
        <w:t xml:space="preserve"> other issues that emerged from the initial data collection efforts. Of particular concern was the need to obtain data that would help with answering the research question that focused on policy recommendations and solutions</w:t>
      </w:r>
      <w:r w:rsidRPr="00E869A4">
        <w:rPr>
          <w:rFonts w:ascii="Times New Roman" w:hAnsi="Times New Roman" w:cs="Times New Roman"/>
          <w:vertAlign w:val="superscript"/>
        </w:rPr>
        <w:footnoteReference w:id="51"/>
      </w:r>
      <w:r w:rsidRPr="00E869A4">
        <w:rPr>
          <w:rFonts w:ascii="Times New Roman" w:hAnsi="Times New Roman" w:cs="Times New Roman"/>
        </w:rPr>
        <w:t xml:space="preserve">. The in-depth interviews conducted in 2011 and 2013 did not seem to generate sufficient information from the participants about the programmes and services that were of policy interest at the time. Some of the participants seemed reluctant to answer policy and programme related questions. Possible reasons for this are provided below. </w:t>
      </w:r>
    </w:p>
    <w:p w14:paraId="4572CB10" w14:textId="77777777" w:rsidR="0081051E" w:rsidRPr="00E869A4" w:rsidRDefault="0081051E" w:rsidP="00A35FF8">
      <w:pPr>
        <w:rPr>
          <w:rFonts w:ascii="Times New Roman" w:hAnsi="Times New Roman" w:cs="Times New Roman"/>
        </w:rPr>
      </w:pPr>
    </w:p>
    <w:p w14:paraId="792B65F0" w14:textId="7D2C0572" w:rsidR="00C03772" w:rsidRPr="00E869A4" w:rsidRDefault="00A2644E" w:rsidP="00A35FF8">
      <w:pPr>
        <w:rPr>
          <w:rFonts w:ascii="Times New Roman" w:hAnsi="Times New Roman" w:cs="Times New Roman"/>
        </w:rPr>
      </w:pPr>
      <w:r w:rsidRPr="00E869A4">
        <w:rPr>
          <w:rFonts w:ascii="Times New Roman" w:hAnsi="Times New Roman" w:cs="Times New Roman"/>
        </w:rPr>
        <w:t>T</w:t>
      </w:r>
      <w:r w:rsidR="00C03772" w:rsidRPr="00E869A4">
        <w:rPr>
          <w:rFonts w:ascii="Times New Roman" w:hAnsi="Times New Roman" w:cs="Times New Roman"/>
        </w:rPr>
        <w:t>he limited number of participants that met the initial study criteria</w:t>
      </w:r>
      <w:r w:rsidR="004018DD" w:rsidRPr="00E869A4">
        <w:rPr>
          <w:rFonts w:ascii="Times New Roman" w:hAnsi="Times New Roman" w:cs="Times New Roman"/>
        </w:rPr>
        <w:t>, also contributed to my decision to do a survey</w:t>
      </w:r>
      <w:r w:rsidR="00C03772" w:rsidRPr="00E869A4">
        <w:rPr>
          <w:rFonts w:ascii="Times New Roman" w:hAnsi="Times New Roman" w:cs="Times New Roman"/>
        </w:rPr>
        <w:t xml:space="preserve"> (by the end of 2013, I had only interviewe</w:t>
      </w:r>
      <w:r w:rsidR="00371741" w:rsidRPr="00E869A4">
        <w:rPr>
          <w:rFonts w:ascii="Times New Roman" w:hAnsi="Times New Roman" w:cs="Times New Roman"/>
        </w:rPr>
        <w:t xml:space="preserve">d seven care </w:t>
      </w:r>
      <w:r w:rsidR="009B3B33" w:rsidRPr="00E869A4">
        <w:rPr>
          <w:rFonts w:ascii="Times New Roman" w:hAnsi="Times New Roman" w:cs="Times New Roman"/>
        </w:rPr>
        <w:t xml:space="preserve">dyads – see Table </w:t>
      </w:r>
      <w:r w:rsidR="00D9249D" w:rsidRPr="00E869A4">
        <w:rPr>
          <w:rFonts w:ascii="Times New Roman" w:hAnsi="Times New Roman" w:cs="Times New Roman"/>
        </w:rPr>
        <w:t>4</w:t>
      </w:r>
      <w:r w:rsidR="00C03772" w:rsidRPr="00E869A4">
        <w:rPr>
          <w:rFonts w:ascii="Times New Roman" w:hAnsi="Times New Roman" w:cs="Times New Roman"/>
        </w:rPr>
        <w:t xml:space="preserve"> above)</w:t>
      </w:r>
      <w:r w:rsidR="00D9249D" w:rsidRPr="00E869A4">
        <w:rPr>
          <w:rFonts w:ascii="Times New Roman" w:hAnsi="Times New Roman" w:cs="Times New Roman"/>
        </w:rPr>
        <w:t xml:space="preserve">. The </w:t>
      </w:r>
      <w:r w:rsidR="00D9249D" w:rsidRPr="00E869A4">
        <w:rPr>
          <w:rFonts w:ascii="Times New Roman" w:hAnsi="Times New Roman" w:cs="Times New Roman"/>
        </w:rPr>
        <w:lastRenderedPageBreak/>
        <w:t>survey</w:t>
      </w:r>
      <w:r w:rsidR="00C03772" w:rsidRPr="00E869A4">
        <w:rPr>
          <w:rFonts w:ascii="Times New Roman" w:hAnsi="Times New Roman" w:cs="Times New Roman"/>
        </w:rPr>
        <w:t xml:space="preserve"> would allow me to obtain feedback from family caregivers on issues pertaining to family elder care, with special attention to programmes, services and other policy matters. This data was necessary for the focus-group sessions which (according to the original research design</w:t>
      </w:r>
      <w:r w:rsidR="00C03772" w:rsidRPr="00E869A4">
        <w:rPr>
          <w:rStyle w:val="FootnoteReference"/>
          <w:rFonts w:ascii="Times New Roman" w:hAnsi="Times New Roman" w:cs="Times New Roman"/>
        </w:rPr>
        <w:footnoteReference w:id="52"/>
      </w:r>
      <w:r w:rsidR="00C03772" w:rsidRPr="00E869A4">
        <w:rPr>
          <w:rFonts w:ascii="Times New Roman" w:hAnsi="Times New Roman" w:cs="Times New Roman"/>
        </w:rPr>
        <w:t xml:space="preserve">) would inform how the focus group questions were structured, in particular those with the representatives from social sector agencies. </w:t>
      </w:r>
    </w:p>
    <w:p w14:paraId="10F2A89E" w14:textId="77777777" w:rsidR="00A00B82" w:rsidRPr="00E869A4" w:rsidRDefault="00A00B82" w:rsidP="00A35FF8">
      <w:pPr>
        <w:rPr>
          <w:rFonts w:ascii="Times New Roman" w:hAnsi="Times New Roman" w:cs="Times New Roman"/>
        </w:rPr>
      </w:pPr>
    </w:p>
    <w:p w14:paraId="483B75C3" w14:textId="3A707ABE" w:rsidR="00C03772" w:rsidRPr="00E869A4" w:rsidRDefault="00C03772" w:rsidP="00A35FF8">
      <w:pPr>
        <w:rPr>
          <w:rFonts w:ascii="Times New Roman" w:hAnsi="Times New Roman" w:cs="Times New Roman"/>
        </w:rPr>
      </w:pPr>
      <w:r w:rsidRPr="00E869A4">
        <w:rPr>
          <w:rFonts w:ascii="Times New Roman" w:hAnsi="Times New Roman" w:cs="Times New Roman"/>
        </w:rPr>
        <w:t>Bryman (2016) who is a strong advocate of both within-methods and between-methods approaches identified several advantages to the integration of methods whi</w:t>
      </w:r>
      <w:r w:rsidR="006B6CC2" w:rsidRPr="00E869A4">
        <w:rPr>
          <w:rFonts w:ascii="Times New Roman" w:hAnsi="Times New Roman" w:cs="Times New Roman"/>
        </w:rPr>
        <w:t xml:space="preserve">ch are applicable to this study. Obtaining </w:t>
      </w:r>
      <w:r w:rsidRPr="00E869A4">
        <w:rPr>
          <w:rFonts w:ascii="Times New Roman" w:hAnsi="Times New Roman" w:cs="Times New Roman"/>
        </w:rPr>
        <w:t xml:space="preserve">a more comprehensive account </w:t>
      </w:r>
      <w:r w:rsidR="006B6CC2" w:rsidRPr="00E869A4">
        <w:rPr>
          <w:rFonts w:ascii="Times New Roman" w:hAnsi="Times New Roman" w:cs="Times New Roman"/>
        </w:rPr>
        <w:t xml:space="preserve">of social phenomena is a key benefit that can be derived from an integrated approach. Combining both quantitative and qualitative approaches can help to offset the inherent weaknesses of each method. </w:t>
      </w:r>
      <w:r w:rsidR="001671CF" w:rsidRPr="00E869A4">
        <w:rPr>
          <w:rFonts w:ascii="Times New Roman" w:hAnsi="Times New Roman" w:cs="Times New Roman"/>
        </w:rPr>
        <w:t>One approach may be used to facilitate the sampling of respondents or cases</w:t>
      </w:r>
      <w:r w:rsidR="00190B4C" w:rsidRPr="00E869A4">
        <w:rPr>
          <w:rFonts w:ascii="Times New Roman" w:hAnsi="Times New Roman" w:cs="Times New Roman"/>
        </w:rPr>
        <w:t xml:space="preserve">, and </w:t>
      </w:r>
      <w:r w:rsidR="00BB4979">
        <w:rPr>
          <w:rFonts w:ascii="Times New Roman" w:hAnsi="Times New Roman" w:cs="Times New Roman"/>
        </w:rPr>
        <w:t xml:space="preserve">the </w:t>
      </w:r>
      <w:r w:rsidR="00190B4C" w:rsidRPr="00E869A4">
        <w:rPr>
          <w:rFonts w:ascii="Times New Roman" w:hAnsi="Times New Roman" w:cs="Times New Roman"/>
        </w:rPr>
        <w:t>d</w:t>
      </w:r>
      <w:r w:rsidR="006B6CC2" w:rsidRPr="00E869A4">
        <w:rPr>
          <w:rFonts w:ascii="Times New Roman" w:hAnsi="Times New Roman" w:cs="Times New Roman"/>
        </w:rPr>
        <w:t>ata obtained can be used to word questions for use in another method</w:t>
      </w:r>
      <w:r w:rsidR="001671CF" w:rsidRPr="00E869A4">
        <w:rPr>
          <w:rFonts w:ascii="Times New Roman" w:hAnsi="Times New Roman" w:cs="Times New Roman"/>
        </w:rPr>
        <w:t xml:space="preserve">. </w:t>
      </w:r>
      <w:r w:rsidR="006B6CC2" w:rsidRPr="00E869A4">
        <w:rPr>
          <w:rFonts w:ascii="Times New Roman" w:hAnsi="Times New Roman" w:cs="Times New Roman"/>
        </w:rPr>
        <w:t xml:space="preserve"> Qualitative research may be used to obtain contextual understanding</w:t>
      </w:r>
      <w:r w:rsidR="005B1ED0" w:rsidRPr="00E869A4">
        <w:rPr>
          <w:rFonts w:ascii="Times New Roman" w:hAnsi="Times New Roman" w:cs="Times New Roman"/>
        </w:rPr>
        <w:t>,</w:t>
      </w:r>
      <w:r w:rsidR="006B6CC2" w:rsidRPr="00E869A4">
        <w:rPr>
          <w:rFonts w:ascii="Times New Roman" w:hAnsi="Times New Roman" w:cs="Times New Roman"/>
        </w:rPr>
        <w:t xml:space="preserve"> coupled with either generali</w:t>
      </w:r>
      <w:r w:rsidR="005B1ED0" w:rsidRPr="00E869A4">
        <w:rPr>
          <w:rFonts w:ascii="Times New Roman" w:hAnsi="Times New Roman" w:cs="Times New Roman"/>
        </w:rPr>
        <w:t>s</w:t>
      </w:r>
      <w:r w:rsidR="006B6CC2" w:rsidRPr="00E869A4">
        <w:rPr>
          <w:rFonts w:ascii="Times New Roman" w:hAnsi="Times New Roman" w:cs="Times New Roman"/>
        </w:rPr>
        <w:t>able, externally valid findings or broad relationships among variables uncovered through a survey</w:t>
      </w:r>
      <w:r w:rsidR="005B1ED0" w:rsidRPr="00E869A4">
        <w:rPr>
          <w:rFonts w:ascii="Times New Roman" w:hAnsi="Times New Roman" w:cs="Times New Roman"/>
        </w:rPr>
        <w:t>,</w:t>
      </w:r>
      <w:r w:rsidR="006B6CC2" w:rsidRPr="00E869A4">
        <w:rPr>
          <w:rFonts w:ascii="Times New Roman" w:hAnsi="Times New Roman" w:cs="Times New Roman"/>
        </w:rPr>
        <w:t xml:space="preserve"> and qualitative data </w:t>
      </w:r>
      <w:r w:rsidR="005B1ED0" w:rsidRPr="00E869A4">
        <w:rPr>
          <w:rFonts w:ascii="Times New Roman" w:hAnsi="Times New Roman" w:cs="Times New Roman"/>
        </w:rPr>
        <w:t>could</w:t>
      </w:r>
      <w:r w:rsidR="006B6CC2" w:rsidRPr="00E869A4">
        <w:rPr>
          <w:rFonts w:ascii="Times New Roman" w:hAnsi="Times New Roman" w:cs="Times New Roman"/>
        </w:rPr>
        <w:t xml:space="preserve"> illustrate quantitative findings. </w:t>
      </w:r>
      <w:r w:rsidR="005B1ED0" w:rsidRPr="00E869A4">
        <w:rPr>
          <w:rFonts w:ascii="Times New Roman" w:hAnsi="Times New Roman" w:cs="Times New Roman"/>
        </w:rPr>
        <w:t>Additionally, o</w:t>
      </w:r>
      <w:r w:rsidR="006B6CC2" w:rsidRPr="00E869A4">
        <w:rPr>
          <w:rFonts w:ascii="Times New Roman" w:hAnsi="Times New Roman" w:cs="Times New Roman"/>
        </w:rPr>
        <w:t xml:space="preserve">ne of the two research methods may be used to help explain </w:t>
      </w:r>
      <w:r w:rsidR="0039103E" w:rsidRPr="00E869A4">
        <w:rPr>
          <w:rFonts w:ascii="Times New Roman" w:hAnsi="Times New Roman" w:cs="Times New Roman"/>
        </w:rPr>
        <w:t>findings generated by the other</w:t>
      </w:r>
      <w:r w:rsidR="00190B4C" w:rsidRPr="00E869A4">
        <w:rPr>
          <w:rFonts w:ascii="Times New Roman" w:hAnsi="Times New Roman" w:cs="Times New Roman"/>
        </w:rPr>
        <w:t xml:space="preserve">. For instance, the </w:t>
      </w:r>
      <w:r w:rsidR="006B6CC2" w:rsidRPr="00E869A4">
        <w:rPr>
          <w:rFonts w:ascii="Times New Roman" w:hAnsi="Times New Roman" w:cs="Times New Roman"/>
        </w:rPr>
        <w:t>relationships identified from quantitative studies may be further explained by the meanings obtained from qualitative</w:t>
      </w:r>
      <w:r w:rsidR="005C4232" w:rsidRPr="00E869A4">
        <w:rPr>
          <w:rFonts w:ascii="Times New Roman" w:hAnsi="Times New Roman" w:cs="Times New Roman"/>
        </w:rPr>
        <w:t xml:space="preserve"> inquiries.</w:t>
      </w:r>
      <w:r w:rsidR="006B6CC2" w:rsidRPr="00E869A4">
        <w:rPr>
          <w:rFonts w:ascii="Times New Roman" w:hAnsi="Times New Roman" w:cs="Times New Roman"/>
        </w:rPr>
        <w:t xml:space="preserve"> Thus e</w:t>
      </w:r>
      <w:r w:rsidRPr="00E869A4">
        <w:rPr>
          <w:rFonts w:ascii="Times New Roman" w:hAnsi="Times New Roman" w:cs="Times New Roman"/>
        </w:rPr>
        <w:t>mploying both approaches could enh</w:t>
      </w:r>
      <w:r w:rsidR="006B6CC2" w:rsidRPr="00E869A4">
        <w:rPr>
          <w:rFonts w:ascii="Times New Roman" w:hAnsi="Times New Roman" w:cs="Times New Roman"/>
        </w:rPr>
        <w:t xml:space="preserve">ance the integrity of findings. </w:t>
      </w:r>
      <w:r w:rsidRPr="00E869A4">
        <w:rPr>
          <w:rFonts w:ascii="Times New Roman" w:hAnsi="Times New Roman" w:cs="Times New Roman"/>
        </w:rPr>
        <w:t xml:space="preserve">A pragmatic </w:t>
      </w:r>
      <w:r w:rsidR="005B1ED0" w:rsidRPr="00E869A4">
        <w:rPr>
          <w:rFonts w:ascii="Times New Roman" w:hAnsi="Times New Roman" w:cs="Times New Roman"/>
        </w:rPr>
        <w:t>approach, which is also espoused by Bryman (2006 &amp; 2016),</w:t>
      </w:r>
      <w:r w:rsidRPr="00E869A4">
        <w:rPr>
          <w:rFonts w:ascii="Times New Roman" w:hAnsi="Times New Roman" w:cs="Times New Roman"/>
        </w:rPr>
        <w:t xml:space="preserve"> is partic</w:t>
      </w:r>
      <w:r w:rsidR="0039103E" w:rsidRPr="00E869A4">
        <w:rPr>
          <w:rFonts w:ascii="Times New Roman" w:hAnsi="Times New Roman" w:cs="Times New Roman"/>
        </w:rPr>
        <w:t xml:space="preserve">ularly amenable to the use of </w:t>
      </w:r>
      <w:r w:rsidRPr="00E869A4">
        <w:rPr>
          <w:rFonts w:ascii="Times New Roman" w:hAnsi="Times New Roman" w:cs="Times New Roman"/>
        </w:rPr>
        <w:t xml:space="preserve">mixed-methods research (King 2010). </w:t>
      </w:r>
    </w:p>
    <w:p w14:paraId="2C2194CE" w14:textId="77777777" w:rsidR="00533C98" w:rsidRPr="00E869A4" w:rsidRDefault="00533C98" w:rsidP="00A35FF8">
      <w:pPr>
        <w:rPr>
          <w:rFonts w:ascii="Times New Roman" w:hAnsi="Times New Roman" w:cs="Times New Roman"/>
        </w:rPr>
      </w:pPr>
    </w:p>
    <w:p w14:paraId="1F5669F2" w14:textId="344DD960"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A 50-item questionnaire was designed which had questions that addressed the following themes: 1) family caregiving experience; 2) institutionalisation; 3) services (preferences for family care and feedback on civil society and public services in </w:t>
      </w:r>
      <w:r w:rsidR="005C4232" w:rsidRPr="00E869A4">
        <w:rPr>
          <w:rFonts w:ascii="Times New Roman" w:hAnsi="Times New Roman" w:cs="Times New Roman"/>
        </w:rPr>
        <w:t>T&amp;T</w:t>
      </w:r>
      <w:r w:rsidRPr="00E869A4">
        <w:rPr>
          <w:rFonts w:ascii="Times New Roman" w:hAnsi="Times New Roman" w:cs="Times New Roman"/>
        </w:rPr>
        <w:t>); 4) background of older relative</w:t>
      </w:r>
      <w:r w:rsidR="005C3B03" w:rsidRPr="00E869A4">
        <w:rPr>
          <w:rFonts w:ascii="Times New Roman" w:hAnsi="Times New Roman" w:cs="Times New Roman"/>
        </w:rPr>
        <w:t>;</w:t>
      </w:r>
      <w:r w:rsidRPr="00E869A4">
        <w:rPr>
          <w:rFonts w:ascii="Times New Roman" w:hAnsi="Times New Roman" w:cs="Times New Roman"/>
        </w:rPr>
        <w:t xml:space="preserve"> and</w:t>
      </w:r>
      <w:r w:rsidR="005C3B03" w:rsidRPr="00E869A4">
        <w:rPr>
          <w:rFonts w:ascii="Times New Roman" w:hAnsi="Times New Roman" w:cs="Times New Roman"/>
        </w:rPr>
        <w:t>,</w:t>
      </w:r>
      <w:r w:rsidRPr="00E869A4">
        <w:rPr>
          <w:rFonts w:ascii="Times New Roman" w:hAnsi="Times New Roman" w:cs="Times New Roman"/>
        </w:rPr>
        <w:t xml:space="preserve"> 5) participant’s demographic information (see Appendix 7). A main issue that emerged from the interviews </w:t>
      </w:r>
      <w:r w:rsidR="00EB37D3" w:rsidRPr="00E869A4">
        <w:rPr>
          <w:rFonts w:ascii="Times New Roman" w:hAnsi="Times New Roman" w:cs="Times New Roman"/>
        </w:rPr>
        <w:t>which</w:t>
      </w:r>
      <w:r w:rsidRPr="00E869A4">
        <w:rPr>
          <w:rFonts w:ascii="Times New Roman" w:hAnsi="Times New Roman" w:cs="Times New Roman"/>
        </w:rPr>
        <w:t xml:space="preserve"> preceded the survey</w:t>
      </w:r>
      <w:r w:rsidR="002579A5" w:rsidRPr="00E869A4">
        <w:rPr>
          <w:rFonts w:ascii="Times New Roman" w:hAnsi="Times New Roman" w:cs="Times New Roman"/>
        </w:rPr>
        <w:t>,</w:t>
      </w:r>
      <w:r w:rsidRPr="00E869A4">
        <w:rPr>
          <w:rFonts w:ascii="Times New Roman" w:hAnsi="Times New Roman" w:cs="Times New Roman"/>
        </w:rPr>
        <w:t xml:space="preserve"> was the significant challenges involved in providing family care to older relatives in a developing country context</w:t>
      </w:r>
      <w:r w:rsidR="002579A5" w:rsidRPr="00E869A4">
        <w:rPr>
          <w:rFonts w:ascii="Times New Roman" w:hAnsi="Times New Roman" w:cs="Times New Roman"/>
        </w:rPr>
        <w:t>,</w:t>
      </w:r>
      <w:r w:rsidRPr="00E869A4">
        <w:rPr>
          <w:rFonts w:ascii="Times New Roman" w:hAnsi="Times New Roman" w:cs="Times New Roman"/>
        </w:rPr>
        <w:t xml:space="preserve"> where there were limited formal support systems. In light of my initial findings, and consistent with the original research questions on the determinants and </w:t>
      </w:r>
      <w:r w:rsidR="00155828" w:rsidRPr="00E869A4">
        <w:rPr>
          <w:rFonts w:ascii="Times New Roman" w:hAnsi="Times New Roman" w:cs="Times New Roman"/>
        </w:rPr>
        <w:t xml:space="preserve">experiences </w:t>
      </w:r>
      <w:r w:rsidRPr="00E869A4">
        <w:rPr>
          <w:rFonts w:ascii="Times New Roman" w:hAnsi="Times New Roman" w:cs="Times New Roman"/>
        </w:rPr>
        <w:t>of care</w:t>
      </w:r>
      <w:r w:rsidR="002579A5" w:rsidRPr="00E869A4">
        <w:rPr>
          <w:rFonts w:ascii="Times New Roman" w:hAnsi="Times New Roman" w:cs="Times New Roman"/>
        </w:rPr>
        <w:t>,</w:t>
      </w:r>
      <w:r w:rsidRPr="00E869A4">
        <w:rPr>
          <w:rFonts w:ascii="Times New Roman" w:hAnsi="Times New Roman" w:cs="Times New Roman"/>
        </w:rPr>
        <w:t xml:space="preserve"> as well as caregiver coping strategies, I sought to obtain greater clarity on the factors that may impact on a caregiver’s willingness to continue providing in-home family care</w:t>
      </w:r>
      <w:r w:rsidR="002579A5" w:rsidRPr="00E869A4">
        <w:rPr>
          <w:rFonts w:ascii="Times New Roman" w:hAnsi="Times New Roman" w:cs="Times New Roman"/>
        </w:rPr>
        <w:t>,</w:t>
      </w:r>
      <w:r w:rsidRPr="00E869A4">
        <w:rPr>
          <w:rFonts w:ascii="Times New Roman" w:hAnsi="Times New Roman" w:cs="Times New Roman"/>
        </w:rPr>
        <w:t xml:space="preserve"> and the conditions under which they would consider institutionalising their older relative.  </w:t>
      </w:r>
    </w:p>
    <w:p w14:paraId="2A55804A" w14:textId="3BA150AF" w:rsidR="0042616E" w:rsidRPr="00E869A4" w:rsidRDefault="00C03772" w:rsidP="00A35FF8">
      <w:pPr>
        <w:rPr>
          <w:rFonts w:ascii="Times New Roman" w:hAnsi="Times New Roman" w:cs="Times New Roman"/>
        </w:rPr>
      </w:pPr>
      <w:r w:rsidRPr="00E869A4">
        <w:rPr>
          <w:rFonts w:ascii="Times New Roman" w:hAnsi="Times New Roman" w:cs="Times New Roman"/>
        </w:rPr>
        <w:lastRenderedPageBreak/>
        <w:t>The inclusion criteria used for the survey were persons who cared for an older relative in their own home or</w:t>
      </w:r>
      <w:r w:rsidR="00DF504B" w:rsidRPr="00E869A4">
        <w:rPr>
          <w:rFonts w:ascii="Times New Roman" w:hAnsi="Times New Roman" w:cs="Times New Roman"/>
        </w:rPr>
        <w:t>,</w:t>
      </w:r>
      <w:r w:rsidRPr="00E869A4">
        <w:rPr>
          <w:rFonts w:ascii="Times New Roman" w:hAnsi="Times New Roman" w:cs="Times New Roman"/>
        </w:rPr>
        <w:t xml:space="preserve"> a private family residence. In addition to responding to the closed-ended questions, participants had the option of providing open-ended feedback for most of the questions. Many took the opportunity to do so, and several persons provided lengthy </w:t>
      </w:r>
      <w:r w:rsidR="00DF504B" w:rsidRPr="00E869A4">
        <w:rPr>
          <w:rFonts w:ascii="Times New Roman" w:hAnsi="Times New Roman" w:cs="Times New Roman"/>
        </w:rPr>
        <w:t>comments, which</w:t>
      </w:r>
      <w:r w:rsidRPr="00E869A4">
        <w:rPr>
          <w:rFonts w:ascii="Times New Roman" w:hAnsi="Times New Roman" w:cs="Times New Roman"/>
        </w:rPr>
        <w:t xml:space="preserve"> seemed to suggest that persons involved in elder care relationships in </w:t>
      </w:r>
      <w:r w:rsidR="00EB2DA1" w:rsidRPr="00E869A4">
        <w:rPr>
          <w:rFonts w:ascii="Times New Roman" w:eastAsiaTheme="majorEastAsia" w:hAnsi="Times New Roman" w:cs="Times New Roman"/>
          <w:bCs/>
          <w:szCs w:val="26"/>
        </w:rPr>
        <w:t>T&amp;T</w:t>
      </w:r>
      <w:r w:rsidRPr="00E869A4">
        <w:rPr>
          <w:rFonts w:ascii="Times New Roman" w:hAnsi="Times New Roman" w:cs="Times New Roman"/>
        </w:rPr>
        <w:t xml:space="preserve"> were eager to </w:t>
      </w:r>
      <w:r w:rsidR="00DF504B" w:rsidRPr="00E869A4">
        <w:rPr>
          <w:rFonts w:ascii="Times New Roman" w:hAnsi="Times New Roman" w:cs="Times New Roman"/>
        </w:rPr>
        <w:t>share their experiences,</w:t>
      </w:r>
      <w:r w:rsidRPr="00E869A4">
        <w:rPr>
          <w:rFonts w:ascii="Times New Roman" w:hAnsi="Times New Roman" w:cs="Times New Roman"/>
        </w:rPr>
        <w:t xml:space="preserve"> but preferred to express their opinions anonymously. I also gave survey participants the opportunity to indicate </w:t>
      </w:r>
      <w:r w:rsidR="00DF504B" w:rsidRPr="00E869A4">
        <w:rPr>
          <w:rFonts w:ascii="Times New Roman" w:hAnsi="Times New Roman" w:cs="Times New Roman"/>
        </w:rPr>
        <w:t>whether</w:t>
      </w:r>
      <w:r w:rsidRPr="00E869A4">
        <w:rPr>
          <w:rFonts w:ascii="Times New Roman" w:hAnsi="Times New Roman" w:cs="Times New Roman"/>
        </w:rPr>
        <w:t xml:space="preserve"> they were willing to take part in the focus group sessions. If they were interested in co-operating, they were required to provide contact information. The main inclusion criteria used to select survey participants for the focus group sessions were as follows: </w:t>
      </w:r>
    </w:p>
    <w:p w14:paraId="2D2760B1" w14:textId="77777777" w:rsidR="0042616E" w:rsidRPr="00E869A4" w:rsidRDefault="00C03772" w:rsidP="009D4C5D">
      <w:pPr>
        <w:pStyle w:val="ListParagraph"/>
        <w:numPr>
          <w:ilvl w:val="0"/>
          <w:numId w:val="53"/>
        </w:numPr>
        <w:contextualSpacing w:val="0"/>
        <w:rPr>
          <w:rFonts w:ascii="Times New Roman" w:hAnsi="Times New Roman" w:cs="Times New Roman"/>
        </w:rPr>
      </w:pPr>
      <w:r w:rsidRPr="00E869A4">
        <w:rPr>
          <w:rFonts w:ascii="Times New Roman" w:hAnsi="Times New Roman" w:cs="Times New Roman"/>
        </w:rPr>
        <w:t xml:space="preserve">survey respondent indicated an interest to participate in a follow-up session (n = 51 persons); </w:t>
      </w:r>
    </w:p>
    <w:p w14:paraId="5AB52431" w14:textId="77777777" w:rsidR="0042616E" w:rsidRPr="00E869A4" w:rsidRDefault="00C03772" w:rsidP="009D4C5D">
      <w:pPr>
        <w:pStyle w:val="ListParagraph"/>
        <w:numPr>
          <w:ilvl w:val="0"/>
          <w:numId w:val="53"/>
        </w:numPr>
        <w:contextualSpacing w:val="0"/>
        <w:rPr>
          <w:rFonts w:ascii="Times New Roman" w:hAnsi="Times New Roman" w:cs="Times New Roman"/>
        </w:rPr>
      </w:pPr>
      <w:r w:rsidRPr="00E869A4">
        <w:rPr>
          <w:rFonts w:ascii="Times New Roman" w:hAnsi="Times New Roman" w:cs="Times New Roman"/>
        </w:rPr>
        <w:t xml:space="preserve">respondent’s older relative was alive at the time they did the survey (n = 28 persons); </w:t>
      </w:r>
    </w:p>
    <w:p w14:paraId="723A46FC" w14:textId="77777777" w:rsidR="0042616E" w:rsidRPr="00E869A4" w:rsidRDefault="00C03772" w:rsidP="009D4C5D">
      <w:pPr>
        <w:pStyle w:val="ListParagraph"/>
        <w:numPr>
          <w:ilvl w:val="0"/>
          <w:numId w:val="53"/>
        </w:numPr>
        <w:contextualSpacing w:val="0"/>
        <w:rPr>
          <w:rFonts w:ascii="Times New Roman" w:hAnsi="Times New Roman" w:cs="Times New Roman"/>
        </w:rPr>
      </w:pPr>
      <w:r w:rsidRPr="00E869A4">
        <w:rPr>
          <w:rFonts w:ascii="Times New Roman" w:hAnsi="Times New Roman" w:cs="Times New Roman"/>
        </w:rPr>
        <w:t xml:space="preserve">respondent provided care to an older relative in the last 7 days when they completed the survey (n = 19 persons); </w:t>
      </w:r>
    </w:p>
    <w:p w14:paraId="40C233EC" w14:textId="77777777" w:rsidR="0042616E" w:rsidRPr="00E869A4" w:rsidRDefault="00C03772" w:rsidP="009D4C5D">
      <w:pPr>
        <w:pStyle w:val="ListParagraph"/>
        <w:numPr>
          <w:ilvl w:val="0"/>
          <w:numId w:val="53"/>
        </w:numPr>
        <w:contextualSpacing w:val="0"/>
        <w:rPr>
          <w:rFonts w:ascii="Times New Roman" w:hAnsi="Times New Roman" w:cs="Times New Roman"/>
        </w:rPr>
      </w:pPr>
      <w:r w:rsidRPr="00E869A4">
        <w:rPr>
          <w:rFonts w:ascii="Times New Roman" w:hAnsi="Times New Roman" w:cs="Times New Roman"/>
        </w:rPr>
        <w:t xml:space="preserve">respondent’s relative was moderately or severely dependent (n = 14 persons); </w:t>
      </w:r>
    </w:p>
    <w:p w14:paraId="754EC0AB" w14:textId="77777777" w:rsidR="0042616E" w:rsidRPr="00E869A4" w:rsidRDefault="00C03772" w:rsidP="009D4C5D">
      <w:pPr>
        <w:pStyle w:val="ListParagraph"/>
        <w:numPr>
          <w:ilvl w:val="0"/>
          <w:numId w:val="53"/>
        </w:numPr>
        <w:contextualSpacing w:val="0"/>
        <w:rPr>
          <w:rFonts w:ascii="Times New Roman" w:hAnsi="Times New Roman" w:cs="Times New Roman"/>
        </w:rPr>
      </w:pPr>
      <w:r w:rsidRPr="00E869A4">
        <w:rPr>
          <w:rFonts w:ascii="Times New Roman" w:hAnsi="Times New Roman" w:cs="Times New Roman"/>
        </w:rPr>
        <w:t xml:space="preserve">respondent provided care to an older relative for more than 3 hours a week (n = 11 persons); </w:t>
      </w:r>
    </w:p>
    <w:p w14:paraId="69425B73" w14:textId="5C0505B1" w:rsidR="0042616E" w:rsidRPr="00E869A4" w:rsidRDefault="00C03772" w:rsidP="009D4C5D">
      <w:pPr>
        <w:pStyle w:val="ListParagraph"/>
        <w:numPr>
          <w:ilvl w:val="0"/>
          <w:numId w:val="53"/>
        </w:numPr>
        <w:contextualSpacing w:val="0"/>
        <w:rPr>
          <w:rFonts w:ascii="Times New Roman" w:hAnsi="Times New Roman" w:cs="Times New Roman"/>
        </w:rPr>
      </w:pPr>
      <w:r w:rsidRPr="00E869A4">
        <w:rPr>
          <w:rFonts w:ascii="Times New Roman" w:hAnsi="Times New Roman" w:cs="Times New Roman"/>
        </w:rPr>
        <w:t xml:space="preserve">include male participants (n = 20 persons); </w:t>
      </w:r>
      <w:r w:rsidR="007F2026" w:rsidRPr="00E869A4">
        <w:rPr>
          <w:rFonts w:ascii="Times New Roman" w:hAnsi="Times New Roman" w:cs="Times New Roman"/>
        </w:rPr>
        <w:t>and</w:t>
      </w:r>
      <w:r w:rsidR="00DE2891" w:rsidRPr="00E869A4">
        <w:rPr>
          <w:rFonts w:ascii="Times New Roman" w:hAnsi="Times New Roman" w:cs="Times New Roman"/>
        </w:rPr>
        <w:t xml:space="preserve">  </w:t>
      </w:r>
    </w:p>
    <w:p w14:paraId="31BB4A62" w14:textId="7B08C46D" w:rsidR="00C03772" w:rsidRPr="00E869A4" w:rsidRDefault="00C03772" w:rsidP="009D4C5D">
      <w:pPr>
        <w:pStyle w:val="ListParagraph"/>
        <w:numPr>
          <w:ilvl w:val="0"/>
          <w:numId w:val="53"/>
        </w:numPr>
        <w:contextualSpacing w:val="0"/>
        <w:rPr>
          <w:rFonts w:ascii="Times New Roman" w:hAnsi="Times New Roman" w:cs="Times New Roman"/>
        </w:rPr>
      </w:pPr>
      <w:r w:rsidRPr="00E869A4">
        <w:rPr>
          <w:rFonts w:ascii="Times New Roman" w:hAnsi="Times New Roman" w:cs="Times New Roman"/>
        </w:rPr>
        <w:t>exclude names without contact information (number of invitations =16 persons)</w:t>
      </w:r>
      <w:r w:rsidR="00033EFB" w:rsidRPr="00E869A4">
        <w:rPr>
          <w:rFonts w:ascii="Times New Roman" w:hAnsi="Times New Roman" w:cs="Times New Roman"/>
        </w:rPr>
        <w:t>.</w:t>
      </w:r>
    </w:p>
    <w:p w14:paraId="792151E3" w14:textId="77777777" w:rsidR="00F57B00" w:rsidRPr="00E869A4" w:rsidRDefault="00F57B00" w:rsidP="00A35FF8">
      <w:pPr>
        <w:rPr>
          <w:rFonts w:ascii="Times New Roman" w:hAnsi="Times New Roman" w:cs="Times New Roman"/>
        </w:rPr>
      </w:pPr>
    </w:p>
    <w:p w14:paraId="0E4F6BD3" w14:textId="43F481B1"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Participants had the option of completing the questionnaire anonymously either in hard copy or online. The online version of the survey was administered via a free application at </w:t>
      </w:r>
      <w:hyperlink r:id="rId21">
        <w:r w:rsidRPr="00E869A4">
          <w:rPr>
            <w:rFonts w:ascii="Times New Roman" w:hAnsi="Times New Roman" w:cs="Times New Roman"/>
            <w:u w:val="single"/>
          </w:rPr>
          <w:t>https://eSurv.org</w:t>
        </w:r>
      </w:hyperlink>
      <w:r w:rsidRPr="00E869A4">
        <w:rPr>
          <w:rFonts w:ascii="Times New Roman" w:hAnsi="Times New Roman" w:cs="Times New Roman"/>
          <w:u w:val="single"/>
        </w:rPr>
        <w:t>.</w:t>
      </w:r>
      <w:r w:rsidRPr="00E869A4">
        <w:rPr>
          <w:rFonts w:ascii="Times New Roman" w:hAnsi="Times New Roman" w:cs="Times New Roman"/>
        </w:rPr>
        <w:t xml:space="preserve"> This application allowed for the real-time generation of descriptive statistics including bar graphs and line graphs of the data collected. It also had a </w:t>
      </w:r>
      <w:r w:rsidR="00025F45" w:rsidRPr="00E869A4">
        <w:rPr>
          <w:rFonts w:ascii="Times New Roman" w:hAnsi="Times New Roman" w:cs="Times New Roman"/>
        </w:rPr>
        <w:t>feature that</w:t>
      </w:r>
      <w:r w:rsidRPr="00E869A4">
        <w:rPr>
          <w:rFonts w:ascii="Times New Roman" w:hAnsi="Times New Roman" w:cs="Times New Roman"/>
        </w:rPr>
        <w:t xml:space="preserve"> limited repeat responses from the same email address</w:t>
      </w:r>
      <w:r w:rsidR="00025F45" w:rsidRPr="00E869A4">
        <w:rPr>
          <w:rFonts w:ascii="Times New Roman" w:hAnsi="Times New Roman" w:cs="Times New Roman"/>
        </w:rPr>
        <w:t>: this feature</w:t>
      </w:r>
      <w:r w:rsidRPr="00E869A4">
        <w:rPr>
          <w:rFonts w:ascii="Times New Roman" w:hAnsi="Times New Roman" w:cs="Times New Roman"/>
        </w:rPr>
        <w:t xml:space="preserve"> was activated for the duration of the data collection period.</w:t>
      </w:r>
    </w:p>
    <w:p w14:paraId="17E848F5" w14:textId="77777777" w:rsidR="00533C98" w:rsidRPr="00E869A4" w:rsidRDefault="00533C98" w:rsidP="00A35FF8">
      <w:pPr>
        <w:rPr>
          <w:rFonts w:ascii="Times New Roman" w:hAnsi="Times New Roman" w:cs="Times New Roman"/>
        </w:rPr>
      </w:pPr>
    </w:p>
    <w:p w14:paraId="4543A789" w14:textId="10AD540D" w:rsidR="00C03772" w:rsidRPr="00E869A4" w:rsidRDefault="00C03772" w:rsidP="00A35FF8">
      <w:pPr>
        <w:rPr>
          <w:rFonts w:ascii="Times New Roman" w:hAnsi="Times New Roman" w:cs="Times New Roman"/>
        </w:rPr>
      </w:pPr>
      <w:r w:rsidRPr="00E869A4">
        <w:rPr>
          <w:rFonts w:ascii="Times New Roman" w:hAnsi="Times New Roman" w:cs="Times New Roman"/>
        </w:rPr>
        <w:t>Invitations to participate in the survey were sent out via the eSurv application to the email addresses of potential participants. The letter of invitation to survey participants explained the ethical commitments of the study.  Participants were advised that they were free to skip any questions and withdraw from the survey at any time. Since the survey had minimal risk to participants, they were not required to provide signed consent: survey completion was considered to be an indication of consent (Fink 2017). The introduction to the survey questionnaire also assured potential participants that the</w:t>
      </w:r>
      <w:r w:rsidR="00033EFB" w:rsidRPr="00E869A4">
        <w:rPr>
          <w:rFonts w:ascii="Times New Roman" w:hAnsi="Times New Roman" w:cs="Times New Roman"/>
        </w:rPr>
        <w:t>ir</w:t>
      </w:r>
      <w:r w:rsidRPr="00E869A4">
        <w:rPr>
          <w:rFonts w:ascii="Times New Roman" w:hAnsi="Times New Roman" w:cs="Times New Roman"/>
        </w:rPr>
        <w:t xml:space="preserve"> responses were confidential</w:t>
      </w:r>
      <w:r w:rsidR="00F57B00" w:rsidRPr="00E869A4">
        <w:rPr>
          <w:rFonts w:ascii="Times New Roman" w:hAnsi="Times New Roman" w:cs="Times New Roman"/>
        </w:rPr>
        <w:t>.</w:t>
      </w:r>
      <w:r w:rsidRPr="00E869A4">
        <w:rPr>
          <w:rFonts w:ascii="Times New Roman" w:hAnsi="Times New Roman" w:cs="Times New Roman"/>
        </w:rPr>
        <w:t xml:space="preserve"> </w:t>
      </w:r>
      <w:r w:rsidR="00025F45" w:rsidRPr="00E869A4">
        <w:rPr>
          <w:rFonts w:ascii="Times New Roman" w:hAnsi="Times New Roman" w:cs="Times New Roman"/>
        </w:rPr>
        <w:t>In addition to this, t</w:t>
      </w:r>
      <w:r w:rsidR="00F57B00" w:rsidRPr="00E869A4">
        <w:rPr>
          <w:rFonts w:ascii="Times New Roman" w:hAnsi="Times New Roman" w:cs="Times New Roman"/>
        </w:rPr>
        <w:t>hey were provided with</w:t>
      </w:r>
      <w:r w:rsidRPr="00E869A4">
        <w:rPr>
          <w:rFonts w:ascii="Times New Roman" w:hAnsi="Times New Roman" w:cs="Times New Roman"/>
        </w:rPr>
        <w:t xml:space="preserve"> a link to the project website where they could get </w:t>
      </w:r>
      <w:r w:rsidRPr="00E869A4">
        <w:rPr>
          <w:rFonts w:ascii="Times New Roman" w:hAnsi="Times New Roman" w:cs="Times New Roman"/>
        </w:rPr>
        <w:lastRenderedPageBreak/>
        <w:t xml:space="preserve">further information on the study. To fulfil the survey’s ethical commitment to anonymity, I enabled a feature on the eSurv application that hid the participant’s email and IP address information.   </w:t>
      </w:r>
    </w:p>
    <w:p w14:paraId="4F7F0604" w14:textId="77777777" w:rsidR="00A00B82" w:rsidRPr="00E869A4" w:rsidRDefault="00A00B82" w:rsidP="00533C98">
      <w:pPr>
        <w:pStyle w:val="Caption"/>
        <w:spacing w:line="360" w:lineRule="auto"/>
        <w:jc w:val="left"/>
        <w:rPr>
          <w:i w:val="0"/>
          <w:sz w:val="24"/>
        </w:rPr>
      </w:pPr>
    </w:p>
    <w:p w14:paraId="5752902D" w14:textId="5A1980FD" w:rsidR="00033EFB" w:rsidRPr="00E869A4" w:rsidRDefault="00C03772" w:rsidP="007A424E">
      <w:pPr>
        <w:pStyle w:val="Caption"/>
        <w:spacing w:line="360" w:lineRule="auto"/>
        <w:jc w:val="left"/>
        <w:rPr>
          <w:i w:val="0"/>
          <w:sz w:val="24"/>
        </w:rPr>
      </w:pPr>
      <w:r w:rsidRPr="00E869A4">
        <w:rPr>
          <w:i w:val="0"/>
          <w:sz w:val="24"/>
        </w:rPr>
        <w:t xml:space="preserve">In total, I sent out approximately </w:t>
      </w:r>
      <w:r w:rsidR="00041DC2" w:rsidRPr="00E869A4">
        <w:rPr>
          <w:i w:val="0"/>
          <w:sz w:val="24"/>
        </w:rPr>
        <w:t>two thousand, one hundred and twenty four (</w:t>
      </w:r>
      <w:r w:rsidRPr="00E869A4">
        <w:rPr>
          <w:i w:val="0"/>
          <w:sz w:val="24"/>
        </w:rPr>
        <w:t>2124</w:t>
      </w:r>
      <w:r w:rsidR="00041DC2" w:rsidRPr="00E869A4">
        <w:rPr>
          <w:i w:val="0"/>
          <w:sz w:val="24"/>
        </w:rPr>
        <w:t>)</w:t>
      </w:r>
      <w:r w:rsidRPr="00E869A4">
        <w:rPr>
          <w:i w:val="0"/>
          <w:sz w:val="24"/>
        </w:rPr>
        <w:t xml:space="preserve"> email invitations and a total of </w:t>
      </w:r>
      <w:r w:rsidR="00041DC2" w:rsidRPr="00E869A4">
        <w:rPr>
          <w:i w:val="0"/>
          <w:sz w:val="24"/>
        </w:rPr>
        <w:t>two hundred and thirteen (</w:t>
      </w:r>
      <w:r w:rsidRPr="00E869A4">
        <w:rPr>
          <w:i w:val="0"/>
          <w:sz w:val="24"/>
        </w:rPr>
        <w:t>213</w:t>
      </w:r>
      <w:r w:rsidR="00041DC2" w:rsidRPr="00E869A4">
        <w:rPr>
          <w:i w:val="0"/>
          <w:sz w:val="24"/>
        </w:rPr>
        <w:t>)</w:t>
      </w:r>
      <w:r w:rsidRPr="00E869A4">
        <w:rPr>
          <w:i w:val="0"/>
          <w:sz w:val="24"/>
        </w:rPr>
        <w:t xml:space="preserve"> persons responded via email. Another </w:t>
      </w:r>
      <w:r w:rsidR="00041DC2" w:rsidRPr="00E869A4">
        <w:rPr>
          <w:i w:val="0"/>
          <w:sz w:val="24"/>
        </w:rPr>
        <w:t>twenty-eight (</w:t>
      </w:r>
      <w:r w:rsidRPr="00E869A4">
        <w:rPr>
          <w:i w:val="0"/>
          <w:sz w:val="24"/>
        </w:rPr>
        <w:t>28</w:t>
      </w:r>
      <w:r w:rsidR="00041DC2" w:rsidRPr="00E869A4">
        <w:rPr>
          <w:i w:val="0"/>
          <w:sz w:val="24"/>
        </w:rPr>
        <w:t>)</w:t>
      </w:r>
      <w:r w:rsidRPr="00E869A4">
        <w:rPr>
          <w:i w:val="0"/>
          <w:sz w:val="24"/>
        </w:rPr>
        <w:t xml:space="preserve"> persons completed the hard copy version of the questionnaire. Thus, overall, I received a total of </w:t>
      </w:r>
      <w:r w:rsidR="00041DC2" w:rsidRPr="00E869A4">
        <w:rPr>
          <w:i w:val="0"/>
          <w:sz w:val="24"/>
        </w:rPr>
        <w:t>two hundred and forty one (</w:t>
      </w:r>
      <w:r w:rsidRPr="00E869A4">
        <w:rPr>
          <w:i w:val="0"/>
          <w:sz w:val="24"/>
        </w:rPr>
        <w:t>241</w:t>
      </w:r>
      <w:r w:rsidR="00041DC2" w:rsidRPr="00E869A4">
        <w:rPr>
          <w:i w:val="0"/>
          <w:sz w:val="24"/>
        </w:rPr>
        <w:t>)</w:t>
      </w:r>
      <w:r w:rsidRPr="00E869A4">
        <w:rPr>
          <w:i w:val="0"/>
          <w:sz w:val="24"/>
        </w:rPr>
        <w:t xml:space="preserve"> compl</w:t>
      </w:r>
      <w:r w:rsidR="009B3B33" w:rsidRPr="00E869A4">
        <w:rPr>
          <w:i w:val="0"/>
          <w:sz w:val="24"/>
        </w:rPr>
        <w:t>eted questionnaires (see Table</w:t>
      </w:r>
      <w:r w:rsidR="000F61AE" w:rsidRPr="00E869A4">
        <w:rPr>
          <w:i w:val="0"/>
          <w:sz w:val="24"/>
        </w:rPr>
        <w:t xml:space="preserve"> </w:t>
      </w:r>
      <w:r w:rsidR="00025F45" w:rsidRPr="00E869A4">
        <w:rPr>
          <w:i w:val="0"/>
          <w:sz w:val="24"/>
        </w:rPr>
        <w:t>5</w:t>
      </w:r>
      <w:r w:rsidRPr="00E869A4">
        <w:rPr>
          <w:i w:val="0"/>
          <w:sz w:val="24"/>
        </w:rPr>
        <w:t xml:space="preserve"> below). As with the other data collection approaches, most of the respondents (78%) were female (see Table</w:t>
      </w:r>
      <w:r w:rsidR="00DA559A" w:rsidRPr="00E869A4">
        <w:rPr>
          <w:i w:val="0"/>
          <w:sz w:val="24"/>
        </w:rPr>
        <w:t xml:space="preserve"> </w:t>
      </w:r>
      <w:r w:rsidR="009B46D9" w:rsidRPr="00E869A4">
        <w:rPr>
          <w:i w:val="0"/>
          <w:sz w:val="24"/>
        </w:rPr>
        <w:t>6</w:t>
      </w:r>
      <w:r w:rsidRPr="00E869A4">
        <w:rPr>
          <w:i w:val="0"/>
          <w:sz w:val="24"/>
        </w:rPr>
        <w:t xml:space="preserve"> below). </w:t>
      </w:r>
      <w:bookmarkStart w:id="270" w:name="_Ref507924330"/>
    </w:p>
    <w:p w14:paraId="1F76404E" w14:textId="77777777" w:rsidR="007A424E" w:rsidRPr="00E869A4" w:rsidRDefault="007A424E" w:rsidP="00B264F7">
      <w:pPr>
        <w:ind w:firstLine="0"/>
      </w:pPr>
    </w:p>
    <w:p w14:paraId="37DAC8CE" w14:textId="0325AC60" w:rsidR="00E53C79" w:rsidRPr="00E869A4" w:rsidRDefault="00A4212A" w:rsidP="00B264F7">
      <w:pPr>
        <w:pStyle w:val="Caption"/>
        <w:ind w:firstLine="0"/>
        <w:rPr>
          <w:b/>
          <w:i w:val="0"/>
          <w:sz w:val="24"/>
        </w:rPr>
      </w:pPr>
      <w:bookmarkStart w:id="271" w:name="_Toc40436604"/>
      <w:r w:rsidRPr="00E869A4">
        <w:rPr>
          <w:b/>
          <w:i w:val="0"/>
          <w:sz w:val="24"/>
        </w:rPr>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5</w:t>
      </w:r>
      <w:r w:rsidR="00194F87" w:rsidRPr="00E869A4">
        <w:rPr>
          <w:b/>
          <w:i w:val="0"/>
          <w:sz w:val="24"/>
        </w:rPr>
        <w:fldChar w:fldCharType="end"/>
      </w:r>
      <w:r w:rsidR="0029395F" w:rsidRPr="00E869A4">
        <w:rPr>
          <w:b/>
          <w:i w:val="0"/>
          <w:sz w:val="24"/>
        </w:rPr>
        <w:t>: Number of Survey Respondents by Questionnaire Version</w:t>
      </w:r>
      <w:bookmarkEnd w:id="271"/>
    </w:p>
    <w:p w14:paraId="5F565596" w14:textId="77777777" w:rsidR="0029395F" w:rsidRPr="00E869A4" w:rsidRDefault="0029395F" w:rsidP="00B264F7">
      <w:pPr>
        <w:ind w:firstLine="0"/>
      </w:pP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3212"/>
        <w:gridCol w:w="2371"/>
        <w:gridCol w:w="2371"/>
      </w:tblGrid>
      <w:tr w:rsidR="00C714D3" w:rsidRPr="00E869A4" w14:paraId="10DCE8F9" w14:textId="5BB70E5A" w:rsidTr="005C54D2">
        <w:trPr>
          <w:trHeight w:val="324"/>
          <w:jc w:val="center"/>
        </w:trPr>
        <w:tc>
          <w:tcPr>
            <w:tcW w:w="3212" w:type="dxa"/>
            <w:shd w:val="clear" w:color="000000" w:fill="auto"/>
            <w:vAlign w:val="center"/>
          </w:tcPr>
          <w:bookmarkEnd w:id="270"/>
          <w:p w14:paraId="0E1E31AA" w14:textId="77777777" w:rsidR="005C54D2" w:rsidRPr="00E869A4" w:rsidRDefault="005C54D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lang w:eastAsia="en-TT"/>
              </w:rPr>
              <w:t>Questionnaire Version</w:t>
            </w:r>
          </w:p>
        </w:tc>
        <w:tc>
          <w:tcPr>
            <w:tcW w:w="2371" w:type="dxa"/>
            <w:shd w:val="clear" w:color="000000" w:fill="auto"/>
            <w:vAlign w:val="center"/>
          </w:tcPr>
          <w:p w14:paraId="3763F5E3" w14:textId="77777777" w:rsidR="005C54D2" w:rsidRPr="00E869A4" w:rsidRDefault="005C54D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lang w:eastAsia="en-TT"/>
              </w:rPr>
              <w:t># of Respondents</w:t>
            </w:r>
          </w:p>
        </w:tc>
        <w:tc>
          <w:tcPr>
            <w:tcW w:w="2371" w:type="dxa"/>
            <w:shd w:val="clear" w:color="000000" w:fill="auto"/>
          </w:tcPr>
          <w:p w14:paraId="18AE7694" w14:textId="3A12B6B6" w:rsidR="005C54D2" w:rsidRPr="00E869A4" w:rsidRDefault="005C54D2"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lang w:eastAsia="en-TT"/>
              </w:rPr>
              <w:t>% of Respondents</w:t>
            </w:r>
          </w:p>
        </w:tc>
      </w:tr>
      <w:tr w:rsidR="00C714D3" w:rsidRPr="00E869A4" w14:paraId="17B0F249" w14:textId="7807C41C" w:rsidTr="005C54D2">
        <w:trPr>
          <w:trHeight w:val="324"/>
          <w:jc w:val="center"/>
        </w:trPr>
        <w:tc>
          <w:tcPr>
            <w:tcW w:w="3212" w:type="dxa"/>
            <w:shd w:val="clear" w:color="000000" w:fill="auto"/>
            <w:vAlign w:val="center"/>
            <w:hideMark/>
          </w:tcPr>
          <w:p w14:paraId="05E25454" w14:textId="77777777" w:rsidR="005C54D2" w:rsidRPr="00E869A4" w:rsidRDefault="005C54D2" w:rsidP="0075751E">
            <w:pPr>
              <w:spacing w:line="240" w:lineRule="auto"/>
              <w:ind w:left="1021" w:firstLine="0"/>
              <w:rPr>
                <w:rFonts w:ascii="Times New Roman" w:hAnsi="Times New Roman" w:cs="Times New Roman"/>
                <w:lang w:eastAsia="en-TT"/>
              </w:rPr>
            </w:pPr>
            <w:r w:rsidRPr="00E869A4">
              <w:rPr>
                <w:rFonts w:ascii="Times New Roman" w:hAnsi="Times New Roman" w:cs="Times New Roman"/>
                <w:lang w:eastAsia="en-TT"/>
              </w:rPr>
              <w:t>Online</w:t>
            </w:r>
          </w:p>
        </w:tc>
        <w:tc>
          <w:tcPr>
            <w:tcW w:w="2371" w:type="dxa"/>
            <w:shd w:val="clear" w:color="000000" w:fill="auto"/>
            <w:vAlign w:val="center"/>
            <w:hideMark/>
          </w:tcPr>
          <w:p w14:paraId="56C9D303" w14:textId="0946B38E" w:rsidR="005C54D2" w:rsidRPr="00E869A4" w:rsidRDefault="005C54D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213</w:t>
            </w:r>
          </w:p>
        </w:tc>
        <w:tc>
          <w:tcPr>
            <w:tcW w:w="2371" w:type="dxa"/>
            <w:shd w:val="clear" w:color="000000" w:fill="auto"/>
          </w:tcPr>
          <w:p w14:paraId="5CFB56CA" w14:textId="55EDDC90" w:rsidR="005C54D2" w:rsidRPr="00E869A4" w:rsidRDefault="0075751E"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88</w:t>
            </w:r>
          </w:p>
        </w:tc>
      </w:tr>
      <w:tr w:rsidR="00C714D3" w:rsidRPr="00E869A4" w14:paraId="77CF0ADC" w14:textId="313D5D86" w:rsidTr="005C54D2">
        <w:trPr>
          <w:trHeight w:val="324"/>
          <w:jc w:val="center"/>
        </w:trPr>
        <w:tc>
          <w:tcPr>
            <w:tcW w:w="3212" w:type="dxa"/>
            <w:shd w:val="clear" w:color="000000" w:fill="auto"/>
            <w:vAlign w:val="center"/>
            <w:hideMark/>
          </w:tcPr>
          <w:p w14:paraId="7A4B85FA" w14:textId="77777777" w:rsidR="005C54D2" w:rsidRPr="00E869A4" w:rsidRDefault="005C54D2" w:rsidP="0075751E">
            <w:pPr>
              <w:spacing w:line="240" w:lineRule="auto"/>
              <w:ind w:left="1021" w:firstLine="0"/>
              <w:rPr>
                <w:rFonts w:ascii="Times New Roman" w:hAnsi="Times New Roman" w:cs="Times New Roman"/>
                <w:lang w:eastAsia="en-TT"/>
              </w:rPr>
            </w:pPr>
            <w:r w:rsidRPr="00E869A4">
              <w:rPr>
                <w:rFonts w:ascii="Times New Roman" w:hAnsi="Times New Roman" w:cs="Times New Roman"/>
                <w:lang w:eastAsia="en-TT"/>
              </w:rPr>
              <w:t>Hard Copy</w:t>
            </w:r>
          </w:p>
        </w:tc>
        <w:tc>
          <w:tcPr>
            <w:tcW w:w="2371" w:type="dxa"/>
            <w:shd w:val="clear" w:color="000000" w:fill="auto"/>
            <w:vAlign w:val="center"/>
            <w:hideMark/>
          </w:tcPr>
          <w:p w14:paraId="3E5FAF26" w14:textId="78630BF3" w:rsidR="005C54D2" w:rsidRPr="00E869A4" w:rsidRDefault="005C54D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28</w:t>
            </w:r>
          </w:p>
        </w:tc>
        <w:tc>
          <w:tcPr>
            <w:tcW w:w="2371" w:type="dxa"/>
            <w:shd w:val="clear" w:color="000000" w:fill="auto"/>
          </w:tcPr>
          <w:p w14:paraId="1A39A4DD" w14:textId="1D7F736F" w:rsidR="005C54D2" w:rsidRPr="00E869A4" w:rsidRDefault="005C54D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12</w:t>
            </w:r>
          </w:p>
        </w:tc>
      </w:tr>
      <w:tr w:rsidR="00C714D3" w:rsidRPr="00E869A4" w14:paraId="147BC709" w14:textId="30767B31" w:rsidTr="005C54D2">
        <w:trPr>
          <w:trHeight w:val="324"/>
          <w:jc w:val="center"/>
        </w:trPr>
        <w:tc>
          <w:tcPr>
            <w:tcW w:w="3212" w:type="dxa"/>
            <w:shd w:val="clear" w:color="000000" w:fill="auto"/>
            <w:vAlign w:val="center"/>
          </w:tcPr>
          <w:p w14:paraId="5CE093C1" w14:textId="77777777" w:rsidR="005C54D2" w:rsidRPr="00E869A4" w:rsidRDefault="005C54D2" w:rsidP="0075751E">
            <w:pPr>
              <w:spacing w:line="240" w:lineRule="auto"/>
              <w:ind w:left="1021" w:firstLine="0"/>
              <w:rPr>
                <w:rFonts w:ascii="Times New Roman" w:hAnsi="Times New Roman" w:cs="Times New Roman"/>
                <w:lang w:eastAsia="en-TT"/>
              </w:rPr>
            </w:pPr>
            <w:r w:rsidRPr="00E869A4">
              <w:rPr>
                <w:rFonts w:ascii="Times New Roman" w:hAnsi="Times New Roman" w:cs="Times New Roman"/>
                <w:lang w:eastAsia="en-TT"/>
              </w:rPr>
              <w:t>TOTAL</w:t>
            </w:r>
          </w:p>
        </w:tc>
        <w:tc>
          <w:tcPr>
            <w:tcW w:w="2371" w:type="dxa"/>
            <w:shd w:val="clear" w:color="000000" w:fill="auto"/>
            <w:vAlign w:val="center"/>
          </w:tcPr>
          <w:p w14:paraId="2E913A71" w14:textId="77777777" w:rsidR="005C54D2" w:rsidRPr="00E869A4" w:rsidRDefault="005C54D2" w:rsidP="00B264F7">
            <w:pPr>
              <w:spacing w:line="240" w:lineRule="auto"/>
              <w:ind w:firstLine="0"/>
              <w:jc w:val="center"/>
              <w:rPr>
                <w:rFonts w:ascii="Times New Roman" w:hAnsi="Times New Roman" w:cs="Times New Roman"/>
                <w:b/>
                <w:lang w:eastAsia="en-TT"/>
              </w:rPr>
            </w:pPr>
            <w:r w:rsidRPr="00E869A4">
              <w:rPr>
                <w:rFonts w:ascii="Times New Roman" w:hAnsi="Times New Roman" w:cs="Times New Roman"/>
                <w:b/>
                <w:lang w:eastAsia="en-TT"/>
              </w:rPr>
              <w:t>241</w:t>
            </w:r>
          </w:p>
        </w:tc>
        <w:tc>
          <w:tcPr>
            <w:tcW w:w="2371" w:type="dxa"/>
            <w:shd w:val="clear" w:color="000000" w:fill="auto"/>
          </w:tcPr>
          <w:p w14:paraId="4C60D686" w14:textId="21336C70" w:rsidR="005C54D2" w:rsidRPr="00E869A4" w:rsidRDefault="0075751E" w:rsidP="00B264F7">
            <w:pPr>
              <w:spacing w:line="240" w:lineRule="auto"/>
              <w:ind w:firstLine="0"/>
              <w:jc w:val="center"/>
              <w:rPr>
                <w:rFonts w:ascii="Times New Roman" w:hAnsi="Times New Roman" w:cs="Times New Roman"/>
                <w:b/>
                <w:lang w:eastAsia="en-TT"/>
              </w:rPr>
            </w:pPr>
            <w:r w:rsidRPr="00E869A4">
              <w:rPr>
                <w:rFonts w:ascii="Times New Roman" w:hAnsi="Times New Roman" w:cs="Times New Roman"/>
                <w:b/>
                <w:lang w:eastAsia="en-TT"/>
              </w:rPr>
              <w:t>100</w:t>
            </w:r>
          </w:p>
        </w:tc>
      </w:tr>
    </w:tbl>
    <w:p w14:paraId="6B8F70C5" w14:textId="77777777" w:rsidR="00C03772" w:rsidRPr="00E869A4" w:rsidRDefault="00C03772" w:rsidP="00B264F7">
      <w:pPr>
        <w:ind w:firstLine="0"/>
        <w:rPr>
          <w:rFonts w:ascii="Times New Roman" w:hAnsi="Times New Roman" w:cs="Times New Roman"/>
        </w:rPr>
      </w:pPr>
    </w:p>
    <w:p w14:paraId="78E620DC" w14:textId="77777777" w:rsidR="00E53C79" w:rsidRPr="00E869A4" w:rsidRDefault="0029395F" w:rsidP="00B264F7">
      <w:pPr>
        <w:pStyle w:val="Caption"/>
        <w:ind w:firstLine="0"/>
        <w:rPr>
          <w:b/>
          <w:i w:val="0"/>
          <w:sz w:val="24"/>
        </w:rPr>
      </w:pPr>
      <w:bookmarkStart w:id="272" w:name="_Toc40436605"/>
      <w:r w:rsidRPr="00E869A4">
        <w:rPr>
          <w:b/>
          <w:i w:val="0"/>
          <w:sz w:val="24"/>
        </w:rPr>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6</w:t>
      </w:r>
      <w:r w:rsidR="00194F87" w:rsidRPr="00E869A4">
        <w:rPr>
          <w:b/>
          <w:i w:val="0"/>
          <w:sz w:val="24"/>
        </w:rPr>
        <w:fldChar w:fldCharType="end"/>
      </w:r>
      <w:r w:rsidRPr="00E869A4">
        <w:rPr>
          <w:b/>
          <w:i w:val="0"/>
          <w:sz w:val="24"/>
        </w:rPr>
        <w:t>: Gender of Survey Respondents</w:t>
      </w:r>
      <w:bookmarkEnd w:id="272"/>
    </w:p>
    <w:p w14:paraId="2F879C52" w14:textId="77777777" w:rsidR="00CF3CAC" w:rsidRPr="00E869A4" w:rsidRDefault="00CF3CAC" w:rsidP="00B264F7">
      <w:pPr>
        <w:ind w:firstLine="0"/>
      </w:pPr>
    </w:p>
    <w:tbl>
      <w:tblPr>
        <w:tblW w:w="49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0"/>
        <w:gridCol w:w="1720"/>
        <w:gridCol w:w="1720"/>
      </w:tblGrid>
      <w:tr w:rsidR="00C714D3" w:rsidRPr="00E869A4" w14:paraId="3C042979" w14:textId="572A143A" w:rsidTr="0075751E">
        <w:trPr>
          <w:trHeight w:val="32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4CE22" w14:textId="4112B3DA" w:rsidR="0075751E" w:rsidRPr="00E869A4" w:rsidRDefault="0075751E"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lang w:eastAsia="en-TT"/>
              </w:rPr>
              <w:t> Gender</w:t>
            </w:r>
          </w:p>
        </w:tc>
        <w:tc>
          <w:tcPr>
            <w:tcW w:w="1720" w:type="dxa"/>
            <w:tcBorders>
              <w:left w:val="single" w:sz="4" w:space="0" w:color="auto"/>
            </w:tcBorders>
            <w:shd w:val="clear" w:color="auto" w:fill="auto"/>
            <w:vAlign w:val="center"/>
            <w:hideMark/>
          </w:tcPr>
          <w:p w14:paraId="01E4A7C0" w14:textId="77777777" w:rsidR="0075751E" w:rsidRPr="00E869A4" w:rsidRDefault="0075751E"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lang w:eastAsia="en-TT"/>
              </w:rPr>
              <w:t>Survey Respondents</w:t>
            </w:r>
          </w:p>
        </w:tc>
        <w:tc>
          <w:tcPr>
            <w:tcW w:w="1720" w:type="dxa"/>
          </w:tcPr>
          <w:p w14:paraId="0456D37C" w14:textId="0733FEAA" w:rsidR="0075751E" w:rsidRPr="00E869A4" w:rsidRDefault="0075751E" w:rsidP="00B264F7">
            <w:pPr>
              <w:spacing w:line="240" w:lineRule="auto"/>
              <w:ind w:firstLine="0"/>
              <w:jc w:val="center"/>
              <w:rPr>
                <w:rFonts w:ascii="Times New Roman" w:hAnsi="Times New Roman" w:cs="Times New Roman"/>
                <w:i/>
                <w:lang w:eastAsia="en-TT"/>
              </w:rPr>
            </w:pPr>
            <w:r w:rsidRPr="00E869A4">
              <w:rPr>
                <w:rFonts w:ascii="Times New Roman" w:hAnsi="Times New Roman" w:cs="Times New Roman"/>
                <w:i/>
                <w:lang w:eastAsia="en-TT"/>
              </w:rPr>
              <w:t>% of Respondents</w:t>
            </w:r>
          </w:p>
        </w:tc>
      </w:tr>
      <w:tr w:rsidR="00C714D3" w:rsidRPr="00E869A4" w14:paraId="11378044" w14:textId="7CBF6A84" w:rsidTr="005C54D2">
        <w:trPr>
          <w:trHeight w:val="324"/>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86B84" w14:textId="77777777" w:rsidR="005C54D2" w:rsidRPr="00E869A4" w:rsidRDefault="005C54D2" w:rsidP="0075751E">
            <w:pPr>
              <w:spacing w:line="240" w:lineRule="auto"/>
              <w:ind w:left="313" w:firstLine="0"/>
              <w:rPr>
                <w:rFonts w:ascii="Times New Roman" w:hAnsi="Times New Roman" w:cs="Times New Roman"/>
                <w:lang w:eastAsia="en-TT"/>
              </w:rPr>
            </w:pPr>
            <w:r w:rsidRPr="00E869A4">
              <w:rPr>
                <w:rFonts w:ascii="Times New Roman" w:hAnsi="Times New Roman" w:cs="Times New Roman"/>
                <w:lang w:eastAsia="en-TT"/>
              </w:rPr>
              <w:t>Female</w:t>
            </w:r>
          </w:p>
        </w:tc>
        <w:tc>
          <w:tcPr>
            <w:tcW w:w="1720" w:type="dxa"/>
            <w:tcBorders>
              <w:left w:val="single" w:sz="4" w:space="0" w:color="auto"/>
            </w:tcBorders>
            <w:shd w:val="clear" w:color="auto" w:fill="auto"/>
            <w:vAlign w:val="center"/>
            <w:hideMark/>
          </w:tcPr>
          <w:p w14:paraId="63C17F24" w14:textId="77777777" w:rsidR="005C54D2" w:rsidRPr="00E869A4" w:rsidRDefault="005C54D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188</w:t>
            </w:r>
          </w:p>
        </w:tc>
        <w:tc>
          <w:tcPr>
            <w:tcW w:w="1720" w:type="dxa"/>
          </w:tcPr>
          <w:p w14:paraId="56664B6E" w14:textId="742C64CB" w:rsidR="005C54D2" w:rsidRPr="00E869A4" w:rsidRDefault="005C54D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78</w:t>
            </w:r>
          </w:p>
        </w:tc>
      </w:tr>
      <w:tr w:rsidR="00C714D3" w:rsidRPr="00E869A4" w14:paraId="612D9F4F" w14:textId="2D689002" w:rsidTr="005C54D2">
        <w:trPr>
          <w:trHeight w:val="324"/>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071AB" w14:textId="77777777" w:rsidR="005C54D2" w:rsidRPr="00E869A4" w:rsidRDefault="005C54D2" w:rsidP="0075751E">
            <w:pPr>
              <w:spacing w:line="240" w:lineRule="auto"/>
              <w:ind w:left="313" w:firstLine="0"/>
              <w:rPr>
                <w:rFonts w:ascii="Times New Roman" w:hAnsi="Times New Roman" w:cs="Times New Roman"/>
                <w:lang w:eastAsia="en-TT"/>
              </w:rPr>
            </w:pPr>
            <w:r w:rsidRPr="00E869A4">
              <w:rPr>
                <w:rFonts w:ascii="Times New Roman" w:hAnsi="Times New Roman" w:cs="Times New Roman"/>
                <w:lang w:eastAsia="en-TT"/>
              </w:rPr>
              <w:t>Male</w:t>
            </w:r>
          </w:p>
        </w:tc>
        <w:tc>
          <w:tcPr>
            <w:tcW w:w="1720" w:type="dxa"/>
            <w:tcBorders>
              <w:left w:val="single" w:sz="4" w:space="0" w:color="auto"/>
            </w:tcBorders>
            <w:shd w:val="clear" w:color="auto" w:fill="auto"/>
            <w:vAlign w:val="center"/>
            <w:hideMark/>
          </w:tcPr>
          <w:p w14:paraId="5855731A" w14:textId="77777777" w:rsidR="005C54D2" w:rsidRPr="00E869A4" w:rsidRDefault="005C54D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53</w:t>
            </w:r>
          </w:p>
        </w:tc>
        <w:tc>
          <w:tcPr>
            <w:tcW w:w="1720" w:type="dxa"/>
          </w:tcPr>
          <w:p w14:paraId="1F69566C" w14:textId="6623A353" w:rsidR="005C54D2" w:rsidRPr="00E869A4" w:rsidRDefault="005C54D2" w:rsidP="00B264F7">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22</w:t>
            </w:r>
          </w:p>
        </w:tc>
      </w:tr>
      <w:tr w:rsidR="005C54D2" w:rsidRPr="00E869A4" w14:paraId="34B586C0" w14:textId="272541D5" w:rsidTr="005C54D2">
        <w:trPr>
          <w:trHeight w:val="324"/>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584FF" w14:textId="77777777" w:rsidR="005C54D2" w:rsidRPr="00E869A4" w:rsidRDefault="005C54D2" w:rsidP="0075751E">
            <w:pPr>
              <w:spacing w:line="240" w:lineRule="auto"/>
              <w:ind w:left="313" w:firstLine="0"/>
              <w:rPr>
                <w:rFonts w:ascii="Times New Roman" w:hAnsi="Times New Roman" w:cs="Times New Roman"/>
                <w:lang w:eastAsia="en-TT"/>
              </w:rPr>
            </w:pPr>
            <w:r w:rsidRPr="00E869A4">
              <w:rPr>
                <w:rFonts w:ascii="Times New Roman" w:hAnsi="Times New Roman" w:cs="Times New Roman"/>
                <w:lang w:eastAsia="en-TT"/>
              </w:rPr>
              <w:t>Total</w:t>
            </w:r>
          </w:p>
        </w:tc>
        <w:tc>
          <w:tcPr>
            <w:tcW w:w="1720" w:type="dxa"/>
            <w:tcBorders>
              <w:left w:val="single" w:sz="4" w:space="0" w:color="auto"/>
            </w:tcBorders>
            <w:shd w:val="clear" w:color="auto" w:fill="auto"/>
            <w:vAlign w:val="center"/>
            <w:hideMark/>
          </w:tcPr>
          <w:p w14:paraId="3C0C08AC" w14:textId="77777777" w:rsidR="005C54D2" w:rsidRPr="00E869A4" w:rsidRDefault="005C54D2" w:rsidP="00B264F7">
            <w:pPr>
              <w:spacing w:line="240" w:lineRule="auto"/>
              <w:ind w:firstLine="0"/>
              <w:jc w:val="center"/>
              <w:rPr>
                <w:rFonts w:ascii="Times New Roman" w:hAnsi="Times New Roman" w:cs="Times New Roman"/>
                <w:b/>
                <w:bCs/>
                <w:lang w:eastAsia="en-TT"/>
              </w:rPr>
            </w:pPr>
            <w:r w:rsidRPr="00E869A4">
              <w:rPr>
                <w:rFonts w:ascii="Times New Roman" w:hAnsi="Times New Roman" w:cs="Times New Roman"/>
                <w:b/>
                <w:bCs/>
                <w:lang w:eastAsia="en-TT"/>
              </w:rPr>
              <w:t>241</w:t>
            </w:r>
          </w:p>
        </w:tc>
        <w:tc>
          <w:tcPr>
            <w:tcW w:w="1720" w:type="dxa"/>
          </w:tcPr>
          <w:p w14:paraId="5B5B3EA0" w14:textId="003D906E" w:rsidR="005C54D2" w:rsidRPr="00E869A4" w:rsidRDefault="005C54D2" w:rsidP="00B264F7">
            <w:pPr>
              <w:spacing w:line="240" w:lineRule="auto"/>
              <w:ind w:firstLine="0"/>
              <w:jc w:val="center"/>
              <w:rPr>
                <w:rFonts w:ascii="Times New Roman" w:hAnsi="Times New Roman" w:cs="Times New Roman"/>
                <w:b/>
                <w:bCs/>
                <w:lang w:eastAsia="en-TT"/>
              </w:rPr>
            </w:pPr>
            <w:r w:rsidRPr="00E869A4">
              <w:rPr>
                <w:rFonts w:ascii="Times New Roman" w:hAnsi="Times New Roman" w:cs="Times New Roman"/>
                <w:b/>
                <w:bCs/>
                <w:lang w:eastAsia="en-TT"/>
              </w:rPr>
              <w:t>100</w:t>
            </w:r>
          </w:p>
        </w:tc>
      </w:tr>
    </w:tbl>
    <w:p w14:paraId="07282D57" w14:textId="77777777" w:rsidR="00CF3CAC" w:rsidRPr="00E869A4" w:rsidRDefault="00CF3CAC" w:rsidP="00A35FF8">
      <w:pPr>
        <w:rPr>
          <w:rFonts w:ascii="Times New Roman" w:hAnsi="Times New Roman" w:cs="Times New Roman"/>
        </w:rPr>
      </w:pPr>
    </w:p>
    <w:p w14:paraId="2B6028F7" w14:textId="086B4864" w:rsidR="00A00B82" w:rsidRPr="00E869A4" w:rsidRDefault="00C03772" w:rsidP="00A35FF8">
      <w:pPr>
        <w:rPr>
          <w:rFonts w:ascii="Times New Roman" w:hAnsi="Times New Roman" w:cs="Times New Roman"/>
        </w:rPr>
      </w:pPr>
      <w:r w:rsidRPr="00E869A4">
        <w:rPr>
          <w:rFonts w:ascii="Times New Roman" w:hAnsi="Times New Roman" w:cs="Times New Roman"/>
        </w:rPr>
        <w:t>Emails were obtained from my workplace directory as well as on the internet</w:t>
      </w:r>
      <w:r w:rsidR="00CC0EF8" w:rsidRPr="00E869A4">
        <w:rPr>
          <w:rFonts w:ascii="Times New Roman" w:hAnsi="Times New Roman" w:cs="Times New Roman"/>
        </w:rPr>
        <w:t>,</w:t>
      </w:r>
      <w:r w:rsidRPr="00E869A4">
        <w:rPr>
          <w:rFonts w:ascii="Times New Roman" w:hAnsi="Times New Roman" w:cs="Times New Roman"/>
        </w:rPr>
        <w:t xml:space="preserve"> where I used the Google search engine and Facebook</w:t>
      </w:r>
      <w:r w:rsidR="00CC0EF8" w:rsidRPr="00E869A4">
        <w:rPr>
          <w:rFonts w:ascii="Times New Roman" w:hAnsi="Times New Roman" w:cs="Times New Roman"/>
        </w:rPr>
        <w:t>,</w:t>
      </w:r>
      <w:r w:rsidRPr="00E869A4">
        <w:rPr>
          <w:rFonts w:ascii="Times New Roman" w:hAnsi="Times New Roman" w:cs="Times New Roman"/>
        </w:rPr>
        <w:t xml:space="preserve"> to obtain emails from </w:t>
      </w:r>
      <w:r w:rsidR="008750AF" w:rsidRPr="00E869A4">
        <w:rPr>
          <w:rFonts w:ascii="Times New Roman" w:hAnsi="Times New Roman" w:cs="Times New Roman"/>
        </w:rPr>
        <w:t xml:space="preserve">T&amp;T </w:t>
      </w:r>
      <w:r w:rsidRPr="00E869A4">
        <w:rPr>
          <w:rFonts w:ascii="Times New Roman" w:hAnsi="Times New Roman" w:cs="Times New Roman"/>
        </w:rPr>
        <w:t xml:space="preserve">web pages. In addition to the emails, </w:t>
      </w:r>
      <w:r w:rsidR="00532BDD" w:rsidRPr="00E869A4">
        <w:rPr>
          <w:rFonts w:ascii="Times New Roman" w:hAnsi="Times New Roman" w:cs="Times New Roman"/>
        </w:rPr>
        <w:t>i</w:t>
      </w:r>
      <w:r w:rsidR="007B02C1" w:rsidRPr="00E869A4">
        <w:rPr>
          <w:rFonts w:ascii="Times New Roman" w:hAnsi="Times New Roman" w:cs="Times New Roman"/>
        </w:rPr>
        <w:t xml:space="preserve">n 2013, </w:t>
      </w:r>
      <w:r w:rsidRPr="00E869A4">
        <w:rPr>
          <w:rFonts w:ascii="Times New Roman" w:hAnsi="Times New Roman" w:cs="Times New Roman"/>
        </w:rPr>
        <w:t>I advertised the study on a free community events page in a local newspaper</w:t>
      </w:r>
      <w:r w:rsidR="007B02C1" w:rsidRPr="00E869A4">
        <w:rPr>
          <w:rFonts w:ascii="Times New Roman" w:hAnsi="Times New Roman" w:cs="Times New Roman"/>
        </w:rPr>
        <w:t>.</w:t>
      </w:r>
      <w:r w:rsidRPr="00E869A4">
        <w:rPr>
          <w:rFonts w:ascii="Times New Roman" w:hAnsi="Times New Roman" w:cs="Times New Roman"/>
        </w:rPr>
        <w:t xml:space="preserve"> I also created an online website</w:t>
      </w:r>
      <w:r w:rsidRPr="00E869A4">
        <w:rPr>
          <w:rFonts w:ascii="Times New Roman" w:hAnsi="Times New Roman" w:cs="Times New Roman"/>
          <w:vertAlign w:val="superscript"/>
        </w:rPr>
        <w:footnoteReference w:id="53"/>
      </w:r>
      <w:r w:rsidRPr="00E869A4">
        <w:rPr>
          <w:rFonts w:ascii="Times New Roman" w:hAnsi="Times New Roman" w:cs="Times New Roman"/>
        </w:rPr>
        <w:t xml:space="preserve"> using </w:t>
      </w:r>
      <w:hyperlink r:id="rId22">
        <w:r w:rsidRPr="00E869A4">
          <w:rPr>
            <w:rFonts w:ascii="Times New Roman" w:hAnsi="Times New Roman" w:cs="Times New Roman"/>
            <w:u w:val="single"/>
          </w:rPr>
          <w:t>https://wordpress.com</w:t>
        </w:r>
      </w:hyperlink>
      <w:r w:rsidRPr="00E869A4">
        <w:rPr>
          <w:rFonts w:ascii="Times New Roman" w:hAnsi="Times New Roman" w:cs="Times New Roman"/>
        </w:rPr>
        <w:t xml:space="preserve">  to advertise the study. A Facebook page</w:t>
      </w:r>
      <w:r w:rsidRPr="00E869A4">
        <w:rPr>
          <w:rFonts w:ascii="Times New Roman" w:hAnsi="Times New Roman" w:cs="Times New Roman"/>
          <w:vertAlign w:val="superscript"/>
        </w:rPr>
        <w:footnoteReference w:id="54"/>
      </w:r>
      <w:r w:rsidRPr="00E869A4">
        <w:rPr>
          <w:rFonts w:ascii="Times New Roman" w:hAnsi="Times New Roman" w:cs="Times New Roman"/>
        </w:rPr>
        <w:t xml:space="preserve"> and twitter account were also created to promote this data gathering exercise. The Trinidad and Tobago Association of Retired Persons Limited (TTARP) emailed the survey and related promotional material to their membership for which they had email addresses. Dr. Innette Cambridge</w:t>
      </w:r>
      <w:r w:rsidR="00CC0EF8" w:rsidRPr="00E869A4">
        <w:rPr>
          <w:rFonts w:ascii="Times New Roman" w:hAnsi="Times New Roman" w:cs="Times New Roman"/>
        </w:rPr>
        <w:t>,</w:t>
      </w:r>
      <w:r w:rsidRPr="00E869A4">
        <w:rPr>
          <w:rFonts w:ascii="Times New Roman" w:hAnsi="Times New Roman" w:cs="Times New Roman"/>
        </w:rPr>
        <w:t xml:space="preserve"> who provided academic support </w:t>
      </w:r>
      <w:r w:rsidRPr="00E869A4">
        <w:rPr>
          <w:rFonts w:ascii="Times New Roman" w:hAnsi="Times New Roman" w:cs="Times New Roman"/>
        </w:rPr>
        <w:lastRenderedPageBreak/>
        <w:t xml:space="preserve">in </w:t>
      </w:r>
      <w:r w:rsidR="00EB2DA1" w:rsidRPr="00E869A4">
        <w:rPr>
          <w:rFonts w:ascii="Times New Roman" w:eastAsiaTheme="majorEastAsia" w:hAnsi="Times New Roman" w:cs="Times New Roman"/>
          <w:bCs/>
          <w:szCs w:val="26"/>
        </w:rPr>
        <w:t>T&amp;T</w:t>
      </w:r>
      <w:r w:rsidRPr="00E869A4">
        <w:rPr>
          <w:rFonts w:ascii="Times New Roman" w:hAnsi="Times New Roman" w:cs="Times New Roman"/>
        </w:rPr>
        <w:t xml:space="preserve">, advertised the study on the </w:t>
      </w:r>
      <w:r w:rsidR="00975170" w:rsidRPr="00E869A4">
        <w:rPr>
          <w:rFonts w:ascii="Times New Roman" w:hAnsi="Times New Roman" w:cs="Times New Roman"/>
        </w:rPr>
        <w:t>UWI</w:t>
      </w:r>
      <w:r w:rsidRPr="00E869A4">
        <w:rPr>
          <w:rFonts w:ascii="Times New Roman" w:hAnsi="Times New Roman" w:cs="Times New Roman"/>
        </w:rPr>
        <w:t xml:space="preserve"> (St Augustine) website (see Appendix </w:t>
      </w:r>
      <w:r w:rsidR="00766B01" w:rsidRPr="00E869A4">
        <w:rPr>
          <w:rFonts w:ascii="Times New Roman" w:hAnsi="Times New Roman" w:cs="Times New Roman"/>
        </w:rPr>
        <w:t>6</w:t>
      </w:r>
      <w:r w:rsidRPr="00E869A4">
        <w:rPr>
          <w:rFonts w:ascii="Times New Roman" w:hAnsi="Times New Roman" w:cs="Times New Roman"/>
        </w:rPr>
        <w:t>). Hardcopies of the questionnaire were also distributed in various locations</w:t>
      </w:r>
      <w:r w:rsidR="00CC0EF8" w:rsidRPr="00E869A4">
        <w:rPr>
          <w:rFonts w:ascii="Times New Roman" w:hAnsi="Times New Roman" w:cs="Times New Roman"/>
        </w:rPr>
        <w:t>,</w:t>
      </w:r>
      <w:r w:rsidRPr="00E869A4">
        <w:rPr>
          <w:rFonts w:ascii="Times New Roman" w:hAnsi="Times New Roman" w:cs="Times New Roman"/>
        </w:rPr>
        <w:t xml:space="preserve"> including the lobby of the Katrina Therapy Centre in Princes Town (</w:t>
      </w:r>
      <w:r w:rsidR="00532BDD" w:rsidRPr="00E869A4">
        <w:rPr>
          <w:rFonts w:ascii="Times New Roman" w:hAnsi="Times New Roman" w:cs="Times New Roman"/>
        </w:rPr>
        <w:t xml:space="preserve">South </w:t>
      </w:r>
      <w:r w:rsidRPr="00E869A4">
        <w:rPr>
          <w:rFonts w:ascii="Times New Roman" w:hAnsi="Times New Roman" w:cs="Times New Roman"/>
        </w:rPr>
        <w:t>Trinidad)</w:t>
      </w:r>
      <w:r w:rsidR="00CC0EF8" w:rsidRPr="00E869A4">
        <w:rPr>
          <w:rFonts w:ascii="Times New Roman" w:hAnsi="Times New Roman" w:cs="Times New Roman"/>
        </w:rPr>
        <w:t>,</w:t>
      </w:r>
      <w:r w:rsidRPr="00E869A4">
        <w:rPr>
          <w:rFonts w:ascii="Times New Roman" w:hAnsi="Times New Roman" w:cs="Times New Roman"/>
        </w:rPr>
        <w:t xml:space="preserve"> and were handed out to interested persons I met at various locations and events such as churches and other gatherings where older people and family elder caregivers were present. </w:t>
      </w:r>
    </w:p>
    <w:p w14:paraId="231054B6" w14:textId="77777777" w:rsidR="00A00B82" w:rsidRPr="00E869A4" w:rsidRDefault="00A00B82" w:rsidP="00A35FF8">
      <w:pPr>
        <w:rPr>
          <w:rFonts w:ascii="Times New Roman" w:hAnsi="Times New Roman" w:cs="Times New Roman"/>
        </w:rPr>
      </w:pPr>
    </w:p>
    <w:p w14:paraId="448EA0CF" w14:textId="7732DE10"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While the survey did not target older care recipients, it enabled me to collect meaningful data on policy issues from persons with experience as primary or secondary family carers of older people. </w:t>
      </w:r>
      <w:r w:rsidR="00A23A24" w:rsidRPr="00E869A4">
        <w:rPr>
          <w:rFonts w:ascii="Times New Roman" w:hAnsi="Times New Roman" w:cs="Times New Roman"/>
        </w:rPr>
        <w:t>Eighty-five percent (</w:t>
      </w:r>
      <w:r w:rsidR="007B02C1" w:rsidRPr="00E869A4">
        <w:rPr>
          <w:rFonts w:ascii="Times New Roman" w:hAnsi="Times New Roman" w:cs="Times New Roman"/>
        </w:rPr>
        <w:t>85%</w:t>
      </w:r>
      <w:r w:rsidR="00A23A24" w:rsidRPr="00E869A4">
        <w:rPr>
          <w:rFonts w:ascii="Times New Roman" w:hAnsi="Times New Roman" w:cs="Times New Roman"/>
        </w:rPr>
        <w:t>)</w:t>
      </w:r>
      <w:r w:rsidR="00F57B00" w:rsidRPr="00E869A4">
        <w:rPr>
          <w:rFonts w:ascii="Times New Roman" w:hAnsi="Times New Roman" w:cs="Times New Roman"/>
        </w:rPr>
        <w:t xml:space="preserve"> of the survey participants were between 18 and 59 years of age. Only 15% of survey respondents were aged 60 years and over. </w:t>
      </w:r>
      <w:r w:rsidRPr="00E869A4">
        <w:rPr>
          <w:rFonts w:ascii="Times New Roman" w:hAnsi="Times New Roman" w:cs="Times New Roman"/>
        </w:rPr>
        <w:t>A main limitation of the online version of the survey is that persons who were without internet access or</w:t>
      </w:r>
      <w:r w:rsidR="00F2593A" w:rsidRPr="00E869A4">
        <w:rPr>
          <w:rFonts w:ascii="Times New Roman" w:hAnsi="Times New Roman" w:cs="Times New Roman"/>
        </w:rPr>
        <w:t>,</w:t>
      </w:r>
      <w:r w:rsidRPr="00E869A4">
        <w:rPr>
          <w:rFonts w:ascii="Times New Roman" w:hAnsi="Times New Roman" w:cs="Times New Roman"/>
        </w:rPr>
        <w:t xml:space="preserve"> not internet savvy</w:t>
      </w:r>
      <w:r w:rsidR="00F2593A" w:rsidRPr="00E869A4">
        <w:rPr>
          <w:rFonts w:ascii="Times New Roman" w:hAnsi="Times New Roman" w:cs="Times New Roman"/>
        </w:rPr>
        <w:t>,</w:t>
      </w:r>
      <w:r w:rsidRPr="00E869A4">
        <w:rPr>
          <w:rFonts w:ascii="Times New Roman" w:hAnsi="Times New Roman" w:cs="Times New Roman"/>
        </w:rPr>
        <w:t xml:space="preserve"> could not participate. </w:t>
      </w:r>
    </w:p>
    <w:p w14:paraId="2EBC051C" w14:textId="77777777" w:rsidR="005A1EEA" w:rsidRPr="00E869A4" w:rsidRDefault="005A1EEA" w:rsidP="00A35FF8">
      <w:pPr>
        <w:rPr>
          <w:rFonts w:cs="Times New Roman"/>
        </w:rPr>
      </w:pPr>
      <w:bookmarkStart w:id="273" w:name="_Toc508858757"/>
    </w:p>
    <w:p w14:paraId="7E1CC9D3" w14:textId="77777777" w:rsidR="00C03772" w:rsidRPr="00E869A4" w:rsidRDefault="00394D82" w:rsidP="006208FB">
      <w:pPr>
        <w:pStyle w:val="Heading4"/>
        <w:spacing w:line="240" w:lineRule="auto"/>
      </w:pPr>
      <w:r w:rsidRPr="00E869A4">
        <w:t>Phase 3B (2014)</w:t>
      </w:r>
      <w:bookmarkEnd w:id="273"/>
    </w:p>
    <w:p w14:paraId="495E448F" w14:textId="77777777" w:rsidR="006208FB" w:rsidRPr="00E869A4" w:rsidRDefault="006208FB" w:rsidP="006208FB"/>
    <w:p w14:paraId="3177AEDF" w14:textId="77777777" w:rsidR="00C03772" w:rsidRPr="00E869A4" w:rsidRDefault="006550C4" w:rsidP="0031040A">
      <w:pPr>
        <w:pStyle w:val="Heading5"/>
        <w:rPr>
          <w:b/>
          <w:bCs/>
          <w:color w:val="auto"/>
          <w:szCs w:val="28"/>
        </w:rPr>
      </w:pPr>
      <w:r w:rsidRPr="00E869A4">
        <w:rPr>
          <w:color w:val="auto"/>
        </w:rPr>
        <w:t>In-</w:t>
      </w:r>
      <w:r w:rsidR="0027318B" w:rsidRPr="00E869A4">
        <w:rPr>
          <w:color w:val="auto"/>
        </w:rPr>
        <w:t>d</w:t>
      </w:r>
      <w:r w:rsidRPr="00E869A4">
        <w:rPr>
          <w:color w:val="auto"/>
        </w:rPr>
        <w:t xml:space="preserve">epth </w:t>
      </w:r>
      <w:r w:rsidR="0027318B" w:rsidRPr="00E869A4">
        <w:rPr>
          <w:color w:val="auto"/>
        </w:rPr>
        <w:t>interviews and f</w:t>
      </w:r>
      <w:r w:rsidRPr="00E869A4">
        <w:rPr>
          <w:color w:val="auto"/>
        </w:rPr>
        <w:t xml:space="preserve">ocus </w:t>
      </w:r>
      <w:r w:rsidR="0027318B" w:rsidRPr="00E869A4">
        <w:rPr>
          <w:color w:val="auto"/>
        </w:rPr>
        <w:t>g</w:t>
      </w:r>
      <w:r w:rsidRPr="00E869A4">
        <w:rPr>
          <w:color w:val="auto"/>
        </w:rPr>
        <w:t>roups</w:t>
      </w:r>
    </w:p>
    <w:p w14:paraId="577C675E" w14:textId="77777777" w:rsidR="006550C4" w:rsidRPr="00E869A4" w:rsidRDefault="006550C4" w:rsidP="00A35FF8">
      <w:pPr>
        <w:rPr>
          <w:rFonts w:ascii="Times New Roman" w:hAnsi="Times New Roman" w:cs="Times New Roman"/>
        </w:rPr>
      </w:pPr>
    </w:p>
    <w:p w14:paraId="5A96707E" w14:textId="15B5E93D" w:rsidR="001D432F" w:rsidRPr="00E869A4" w:rsidRDefault="00772809" w:rsidP="00A35FF8">
      <w:pPr>
        <w:rPr>
          <w:rFonts w:ascii="Times New Roman" w:hAnsi="Times New Roman" w:cs="Times New Roman"/>
        </w:rPr>
      </w:pPr>
      <w:r w:rsidRPr="00E869A4">
        <w:rPr>
          <w:rFonts w:ascii="Times New Roman" w:hAnsi="Times New Roman" w:cs="Times New Roman"/>
        </w:rPr>
        <w:t>In light of</w:t>
      </w:r>
      <w:r w:rsidR="00C03772" w:rsidRPr="00E869A4">
        <w:rPr>
          <w:rFonts w:ascii="Times New Roman" w:hAnsi="Times New Roman" w:cs="Times New Roman"/>
        </w:rPr>
        <w:t xml:space="preserve"> the constraints highlighted above, the focus group sample was expanded from service providers alone, to targeting family caregivers and</w:t>
      </w:r>
      <w:r w:rsidR="0006410D" w:rsidRPr="00E869A4">
        <w:rPr>
          <w:rFonts w:ascii="Times New Roman" w:hAnsi="Times New Roman" w:cs="Times New Roman"/>
        </w:rPr>
        <w:t>,</w:t>
      </w:r>
      <w:r w:rsidR="00C03772" w:rsidRPr="00E869A4">
        <w:rPr>
          <w:rFonts w:ascii="Times New Roman" w:hAnsi="Times New Roman" w:cs="Times New Roman"/>
        </w:rPr>
        <w:t xml:space="preserve"> service providers to older people and their caregivers. A total of five focus groups were conducted: </w:t>
      </w:r>
      <w:r w:rsidR="00AE5815" w:rsidRPr="00E869A4">
        <w:rPr>
          <w:rFonts w:ascii="Times New Roman" w:hAnsi="Times New Roman" w:cs="Times New Roman"/>
        </w:rPr>
        <w:t>two</w:t>
      </w:r>
      <w:r w:rsidR="00C03772" w:rsidRPr="00E869A4">
        <w:rPr>
          <w:rFonts w:ascii="Times New Roman" w:hAnsi="Times New Roman" w:cs="Times New Roman"/>
        </w:rPr>
        <w:t xml:space="preserve"> in Trinidad and </w:t>
      </w:r>
      <w:r w:rsidR="00AE5815" w:rsidRPr="00E869A4">
        <w:rPr>
          <w:rFonts w:ascii="Times New Roman" w:hAnsi="Times New Roman" w:cs="Times New Roman"/>
        </w:rPr>
        <w:t>three</w:t>
      </w:r>
      <w:r w:rsidR="00C03772" w:rsidRPr="00E869A4">
        <w:rPr>
          <w:rFonts w:ascii="Times New Roman" w:hAnsi="Times New Roman" w:cs="Times New Roman"/>
        </w:rPr>
        <w:t xml:space="preserve"> in Tobago. The interview sessions and interviews lasted between 1 and 2 hours. The Trinidad focus group sessions were conducted on July 4</w:t>
      </w:r>
      <w:r w:rsidR="00C03772" w:rsidRPr="00E869A4">
        <w:rPr>
          <w:rFonts w:ascii="Times New Roman" w:hAnsi="Times New Roman" w:cs="Times New Roman"/>
          <w:vertAlign w:val="superscript"/>
        </w:rPr>
        <w:t>th</w:t>
      </w:r>
      <w:r w:rsidR="00C03772" w:rsidRPr="00E869A4">
        <w:rPr>
          <w:rFonts w:ascii="Times New Roman" w:hAnsi="Times New Roman" w:cs="Times New Roman"/>
        </w:rPr>
        <w:t>, 2014. The Tobago sessions were done between the 8</w:t>
      </w:r>
      <w:r w:rsidR="00C03772" w:rsidRPr="00E869A4">
        <w:rPr>
          <w:rFonts w:ascii="Times New Roman" w:hAnsi="Times New Roman" w:cs="Times New Roman"/>
          <w:vertAlign w:val="superscript"/>
        </w:rPr>
        <w:t>th</w:t>
      </w:r>
      <w:r w:rsidR="00C03772" w:rsidRPr="00E869A4">
        <w:rPr>
          <w:rFonts w:ascii="Times New Roman" w:hAnsi="Times New Roman" w:cs="Times New Roman"/>
        </w:rPr>
        <w:t xml:space="preserve"> and 15</w:t>
      </w:r>
      <w:r w:rsidR="00C03772" w:rsidRPr="00E869A4">
        <w:rPr>
          <w:rFonts w:ascii="Times New Roman" w:hAnsi="Times New Roman" w:cs="Times New Roman"/>
          <w:vertAlign w:val="superscript"/>
        </w:rPr>
        <w:t>th</w:t>
      </w:r>
      <w:r w:rsidR="00C03772" w:rsidRPr="00E869A4">
        <w:rPr>
          <w:rFonts w:ascii="Times New Roman" w:hAnsi="Times New Roman" w:cs="Times New Roman"/>
        </w:rPr>
        <w:t xml:space="preserve"> of July, 2014</w:t>
      </w:r>
      <w:r w:rsidR="001D432F" w:rsidRPr="00E869A4">
        <w:rPr>
          <w:rFonts w:ascii="Times New Roman" w:hAnsi="Times New Roman" w:cs="Times New Roman"/>
        </w:rPr>
        <w:t xml:space="preserve">. </w:t>
      </w:r>
      <w:r w:rsidR="006208FB" w:rsidRPr="00E869A4">
        <w:rPr>
          <w:rFonts w:ascii="Times New Roman" w:hAnsi="Times New Roman" w:cs="Times New Roman"/>
        </w:rPr>
        <w:t xml:space="preserve">Table 7 below highlights the number of participants in each focus group: the information is disaggregated by gender. </w:t>
      </w:r>
    </w:p>
    <w:p w14:paraId="58666877" w14:textId="77777777" w:rsidR="001D432F" w:rsidRPr="00E869A4" w:rsidRDefault="00C03772" w:rsidP="00A35FF8">
      <w:pPr>
        <w:rPr>
          <w:rFonts w:ascii="Times New Roman" w:hAnsi="Times New Roman" w:cs="Times New Roman"/>
        </w:rPr>
      </w:pPr>
      <w:r w:rsidRPr="00E869A4">
        <w:rPr>
          <w:rFonts w:ascii="Times New Roman" w:hAnsi="Times New Roman" w:cs="Times New Roman"/>
        </w:rPr>
        <w:t xml:space="preserve"> </w:t>
      </w:r>
    </w:p>
    <w:p w14:paraId="6BC27D23" w14:textId="6B2FDD62" w:rsidR="001D432F" w:rsidRPr="00E869A4" w:rsidRDefault="001D432F" w:rsidP="001D432F">
      <w:r w:rsidRPr="00E869A4">
        <w:rPr>
          <w:rFonts w:ascii="Times New Roman" w:hAnsi="Times New Roman" w:cs="Times New Roman"/>
        </w:rPr>
        <w:t>The guidelines for the sessions are presented in Appendix 8. As with the interviews, participants were</w:t>
      </w:r>
      <w:r w:rsidR="00AE5815" w:rsidRPr="00E869A4">
        <w:rPr>
          <w:rFonts w:ascii="Times New Roman" w:hAnsi="Times New Roman" w:cs="Times New Roman"/>
        </w:rPr>
        <w:t>,</w:t>
      </w:r>
      <w:r w:rsidRPr="00E869A4">
        <w:rPr>
          <w:rFonts w:ascii="Times New Roman" w:hAnsi="Times New Roman" w:cs="Times New Roman"/>
        </w:rPr>
        <w:t xml:space="preserve"> for the most part</w:t>
      </w:r>
      <w:r w:rsidR="00AE5815" w:rsidRPr="00E869A4">
        <w:rPr>
          <w:rFonts w:ascii="Times New Roman" w:hAnsi="Times New Roman" w:cs="Times New Roman"/>
        </w:rPr>
        <w:t>,</w:t>
      </w:r>
      <w:r w:rsidRPr="00E869A4">
        <w:rPr>
          <w:rFonts w:ascii="Times New Roman" w:hAnsi="Times New Roman" w:cs="Times New Roman"/>
        </w:rPr>
        <w:t xml:space="preserve"> provided with the information sheet for the study before the session, which highlighted their right to withdraw from the session at any time and that their contributions were to be kept confidential and anonymous in the written report since actual names of individuals and agencies would not be included in the final write up. This information was repeated before the session began</w:t>
      </w:r>
      <w:r w:rsidR="0006410D" w:rsidRPr="00E869A4">
        <w:rPr>
          <w:rFonts w:ascii="Times New Roman" w:hAnsi="Times New Roman" w:cs="Times New Roman"/>
        </w:rPr>
        <w:t>,</w:t>
      </w:r>
      <w:r w:rsidRPr="00E869A4">
        <w:rPr>
          <w:rFonts w:ascii="Times New Roman" w:hAnsi="Times New Roman" w:cs="Times New Roman"/>
        </w:rPr>
        <w:t xml:space="preserve"> in the event that persons participating did not obtain or read the information sheet. Participants were advised prior to the session that it would be recorded but, if they wanted to say something off the record, the recording devices were turn</w:t>
      </w:r>
      <w:r w:rsidR="002E31D3" w:rsidRPr="00E869A4">
        <w:rPr>
          <w:rFonts w:ascii="Times New Roman" w:hAnsi="Times New Roman" w:cs="Times New Roman"/>
        </w:rPr>
        <w:t>ed off</w:t>
      </w:r>
      <w:r w:rsidRPr="00E869A4">
        <w:rPr>
          <w:rFonts w:ascii="Times New Roman" w:hAnsi="Times New Roman" w:cs="Times New Roman"/>
        </w:rPr>
        <w:t xml:space="preserve">. This occurred only once during the focus group session. </w:t>
      </w:r>
    </w:p>
    <w:p w14:paraId="63ED9BCF" w14:textId="77777777" w:rsidR="006208FB" w:rsidRPr="00E869A4" w:rsidRDefault="006208FB" w:rsidP="006208FB">
      <w:pPr>
        <w:pStyle w:val="Caption"/>
        <w:ind w:firstLine="0"/>
        <w:rPr>
          <w:b/>
          <w:i w:val="0"/>
          <w:sz w:val="24"/>
        </w:rPr>
      </w:pPr>
      <w:bookmarkStart w:id="274" w:name="_Ref507784184"/>
    </w:p>
    <w:p w14:paraId="4078FF16" w14:textId="77777777" w:rsidR="006208FB" w:rsidRPr="00E869A4" w:rsidRDefault="006208FB" w:rsidP="006208FB">
      <w:pPr>
        <w:pStyle w:val="Caption"/>
        <w:ind w:firstLine="0"/>
        <w:rPr>
          <w:b/>
          <w:i w:val="0"/>
          <w:sz w:val="24"/>
        </w:rPr>
      </w:pPr>
      <w:bookmarkStart w:id="275" w:name="_Toc40436606"/>
      <w:r w:rsidRPr="00E869A4">
        <w:rPr>
          <w:b/>
          <w:i w:val="0"/>
          <w:sz w:val="24"/>
        </w:rPr>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7</w:t>
      </w:r>
      <w:r w:rsidRPr="00E869A4">
        <w:rPr>
          <w:b/>
          <w:i w:val="0"/>
          <w:sz w:val="24"/>
        </w:rPr>
        <w:fldChar w:fldCharType="end"/>
      </w:r>
      <w:r w:rsidRPr="00E869A4">
        <w:rPr>
          <w:b/>
          <w:i w:val="0"/>
          <w:sz w:val="24"/>
        </w:rPr>
        <w:t>: Completed Focus Group Sessions in T&amp;T (2014)</w:t>
      </w:r>
      <w:bookmarkEnd w:id="275"/>
    </w:p>
    <w:p w14:paraId="7CDEC05C" w14:textId="77777777" w:rsidR="006208FB" w:rsidRPr="00E869A4" w:rsidRDefault="006208FB" w:rsidP="006208FB">
      <w:pPr>
        <w:ind w:firstLine="0"/>
      </w:pPr>
    </w:p>
    <w:tbl>
      <w:tblPr>
        <w:tblW w:w="9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64"/>
        <w:gridCol w:w="1985"/>
        <w:gridCol w:w="2361"/>
        <w:gridCol w:w="1942"/>
      </w:tblGrid>
      <w:tr w:rsidR="00C714D3" w:rsidRPr="00E869A4" w14:paraId="062B507A" w14:textId="77777777" w:rsidTr="000201A8">
        <w:trPr>
          <w:jc w:val="center"/>
        </w:trPr>
        <w:tc>
          <w:tcPr>
            <w:tcW w:w="1526" w:type="dxa"/>
          </w:tcPr>
          <w:p w14:paraId="088693AB" w14:textId="77777777" w:rsidR="006208FB" w:rsidRPr="00E869A4" w:rsidRDefault="006208FB" w:rsidP="000201A8">
            <w:pPr>
              <w:spacing w:line="240" w:lineRule="auto"/>
              <w:ind w:firstLine="0"/>
              <w:jc w:val="center"/>
              <w:rPr>
                <w:rFonts w:ascii="Times New Roman" w:hAnsi="Times New Roman" w:cs="Times New Roman"/>
                <w:i/>
              </w:rPr>
            </w:pPr>
            <w:r w:rsidRPr="00E869A4">
              <w:rPr>
                <w:rFonts w:ascii="Times New Roman" w:hAnsi="Times New Roman" w:cs="Times New Roman"/>
                <w:i/>
              </w:rPr>
              <w:t>Location</w:t>
            </w:r>
          </w:p>
        </w:tc>
        <w:tc>
          <w:tcPr>
            <w:tcW w:w="2164" w:type="dxa"/>
          </w:tcPr>
          <w:p w14:paraId="2DDBBF8B" w14:textId="77777777" w:rsidR="006208FB" w:rsidRPr="00E869A4" w:rsidRDefault="006208FB" w:rsidP="000201A8">
            <w:pPr>
              <w:spacing w:line="240" w:lineRule="auto"/>
              <w:ind w:firstLine="0"/>
              <w:jc w:val="center"/>
              <w:rPr>
                <w:rFonts w:ascii="Times New Roman" w:hAnsi="Times New Roman" w:cs="Times New Roman"/>
                <w:i/>
              </w:rPr>
            </w:pPr>
            <w:r w:rsidRPr="00E869A4">
              <w:rPr>
                <w:rFonts w:ascii="Times New Roman" w:hAnsi="Times New Roman" w:cs="Times New Roman"/>
                <w:i/>
              </w:rPr>
              <w:t>Participant Category</w:t>
            </w:r>
          </w:p>
        </w:tc>
        <w:tc>
          <w:tcPr>
            <w:tcW w:w="1985" w:type="dxa"/>
          </w:tcPr>
          <w:p w14:paraId="625008B7" w14:textId="77777777" w:rsidR="006208FB" w:rsidRPr="00E869A4" w:rsidRDefault="006208FB" w:rsidP="000201A8">
            <w:pPr>
              <w:spacing w:line="240" w:lineRule="auto"/>
              <w:ind w:firstLine="0"/>
              <w:jc w:val="center"/>
              <w:rPr>
                <w:rFonts w:ascii="Times New Roman" w:hAnsi="Times New Roman" w:cs="Times New Roman"/>
                <w:i/>
              </w:rPr>
            </w:pPr>
            <w:r w:rsidRPr="00E869A4">
              <w:rPr>
                <w:rFonts w:ascii="Times New Roman" w:hAnsi="Times New Roman" w:cs="Times New Roman"/>
                <w:i/>
              </w:rPr>
              <w:t>No. of Participants</w:t>
            </w:r>
          </w:p>
        </w:tc>
        <w:tc>
          <w:tcPr>
            <w:tcW w:w="2361" w:type="dxa"/>
          </w:tcPr>
          <w:p w14:paraId="336B50CA" w14:textId="77777777" w:rsidR="006208FB" w:rsidRPr="00E869A4" w:rsidRDefault="006208FB" w:rsidP="000201A8">
            <w:pPr>
              <w:spacing w:line="240" w:lineRule="auto"/>
              <w:ind w:firstLine="0"/>
              <w:jc w:val="center"/>
              <w:rPr>
                <w:rFonts w:ascii="Times New Roman" w:hAnsi="Times New Roman" w:cs="Times New Roman"/>
                <w:i/>
              </w:rPr>
            </w:pPr>
            <w:r w:rsidRPr="00E869A4">
              <w:rPr>
                <w:rFonts w:ascii="Times New Roman" w:hAnsi="Times New Roman" w:cs="Times New Roman"/>
                <w:i/>
              </w:rPr>
              <w:t>Gender</w:t>
            </w:r>
          </w:p>
        </w:tc>
        <w:tc>
          <w:tcPr>
            <w:tcW w:w="1942" w:type="dxa"/>
          </w:tcPr>
          <w:p w14:paraId="370715F9" w14:textId="77777777" w:rsidR="006208FB" w:rsidRPr="00E869A4" w:rsidRDefault="006208FB" w:rsidP="000201A8">
            <w:pPr>
              <w:spacing w:line="240" w:lineRule="auto"/>
              <w:ind w:firstLine="0"/>
              <w:jc w:val="center"/>
              <w:rPr>
                <w:rFonts w:ascii="Times New Roman" w:hAnsi="Times New Roman" w:cs="Times New Roman"/>
                <w:i/>
              </w:rPr>
            </w:pPr>
            <w:r w:rsidRPr="00E869A4">
              <w:rPr>
                <w:rFonts w:ascii="Times New Roman" w:hAnsi="Times New Roman" w:cs="Times New Roman"/>
                <w:i/>
              </w:rPr>
              <w:t>Dates</w:t>
            </w:r>
          </w:p>
          <w:p w14:paraId="25E2BAF7" w14:textId="77777777" w:rsidR="006208FB" w:rsidRPr="00E869A4" w:rsidRDefault="006208FB" w:rsidP="000201A8">
            <w:pPr>
              <w:spacing w:line="240" w:lineRule="auto"/>
              <w:ind w:firstLine="0"/>
              <w:jc w:val="center"/>
              <w:rPr>
                <w:rFonts w:ascii="Times New Roman" w:hAnsi="Times New Roman" w:cs="Times New Roman"/>
                <w:i/>
              </w:rPr>
            </w:pPr>
            <w:r w:rsidRPr="00E869A4">
              <w:rPr>
                <w:rFonts w:ascii="Times New Roman" w:hAnsi="Times New Roman" w:cs="Times New Roman"/>
                <w:i/>
              </w:rPr>
              <w:t>(2014)</w:t>
            </w:r>
          </w:p>
        </w:tc>
      </w:tr>
      <w:tr w:rsidR="00C714D3" w:rsidRPr="00E869A4" w14:paraId="58EE0D67" w14:textId="77777777" w:rsidTr="000201A8">
        <w:trPr>
          <w:jc w:val="center"/>
        </w:trPr>
        <w:tc>
          <w:tcPr>
            <w:tcW w:w="1526" w:type="dxa"/>
            <w:vMerge w:val="restart"/>
          </w:tcPr>
          <w:p w14:paraId="46BB1B62" w14:textId="77777777" w:rsidR="006208FB" w:rsidRPr="00E869A4" w:rsidRDefault="006208FB" w:rsidP="000201A8">
            <w:pPr>
              <w:spacing w:line="240" w:lineRule="auto"/>
              <w:ind w:firstLine="0"/>
              <w:rPr>
                <w:rFonts w:ascii="Times New Roman" w:hAnsi="Times New Roman" w:cs="Times New Roman"/>
                <w:i/>
              </w:rPr>
            </w:pPr>
            <w:r w:rsidRPr="00E869A4">
              <w:rPr>
                <w:rFonts w:ascii="Times New Roman" w:hAnsi="Times New Roman" w:cs="Times New Roman"/>
                <w:i/>
              </w:rPr>
              <w:t>Trinidad</w:t>
            </w:r>
          </w:p>
        </w:tc>
        <w:tc>
          <w:tcPr>
            <w:tcW w:w="2164" w:type="dxa"/>
          </w:tcPr>
          <w:p w14:paraId="131647E2"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Caregivers</w:t>
            </w:r>
          </w:p>
        </w:tc>
        <w:tc>
          <w:tcPr>
            <w:tcW w:w="1985" w:type="dxa"/>
          </w:tcPr>
          <w:p w14:paraId="58D0754D" w14:textId="77777777" w:rsidR="006208FB" w:rsidRPr="00E869A4" w:rsidRDefault="006208FB" w:rsidP="000201A8">
            <w:pPr>
              <w:spacing w:line="240" w:lineRule="auto"/>
              <w:ind w:left="33" w:firstLine="0"/>
              <w:jc w:val="center"/>
              <w:rPr>
                <w:rFonts w:ascii="Times New Roman" w:hAnsi="Times New Roman" w:cs="Times New Roman"/>
              </w:rPr>
            </w:pPr>
            <w:r w:rsidRPr="00E869A4">
              <w:rPr>
                <w:rFonts w:ascii="Times New Roman" w:hAnsi="Times New Roman" w:cs="Times New Roman"/>
              </w:rPr>
              <w:t>6</w:t>
            </w:r>
          </w:p>
        </w:tc>
        <w:tc>
          <w:tcPr>
            <w:tcW w:w="2361" w:type="dxa"/>
          </w:tcPr>
          <w:p w14:paraId="503100C2"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3 female; 3 male</w:t>
            </w:r>
          </w:p>
        </w:tc>
        <w:tc>
          <w:tcPr>
            <w:tcW w:w="1942" w:type="dxa"/>
          </w:tcPr>
          <w:p w14:paraId="02F70100"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July 4</w:t>
            </w:r>
            <w:r w:rsidRPr="00E869A4">
              <w:rPr>
                <w:rFonts w:ascii="Times New Roman" w:hAnsi="Times New Roman" w:cs="Times New Roman"/>
                <w:vertAlign w:val="superscript"/>
              </w:rPr>
              <w:t>th</w:t>
            </w:r>
            <w:r w:rsidRPr="00E869A4">
              <w:rPr>
                <w:rFonts w:ascii="Times New Roman" w:hAnsi="Times New Roman" w:cs="Times New Roman"/>
              </w:rPr>
              <w:t xml:space="preserve"> (am)</w:t>
            </w:r>
          </w:p>
        </w:tc>
      </w:tr>
      <w:tr w:rsidR="00C714D3" w:rsidRPr="00E869A4" w14:paraId="28F4180B" w14:textId="77777777" w:rsidTr="000201A8">
        <w:trPr>
          <w:jc w:val="center"/>
        </w:trPr>
        <w:tc>
          <w:tcPr>
            <w:tcW w:w="1526" w:type="dxa"/>
            <w:vMerge/>
          </w:tcPr>
          <w:p w14:paraId="3F850F4C" w14:textId="77777777" w:rsidR="006208FB" w:rsidRPr="00E869A4" w:rsidRDefault="006208FB" w:rsidP="000201A8">
            <w:pPr>
              <w:spacing w:line="240" w:lineRule="auto"/>
              <w:ind w:firstLine="0"/>
              <w:rPr>
                <w:rFonts w:ascii="Times New Roman" w:hAnsi="Times New Roman" w:cs="Times New Roman"/>
                <w:b/>
              </w:rPr>
            </w:pPr>
          </w:p>
        </w:tc>
        <w:tc>
          <w:tcPr>
            <w:tcW w:w="2164" w:type="dxa"/>
          </w:tcPr>
          <w:p w14:paraId="6EA8B025"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Service Providers</w:t>
            </w:r>
          </w:p>
        </w:tc>
        <w:tc>
          <w:tcPr>
            <w:tcW w:w="1985" w:type="dxa"/>
          </w:tcPr>
          <w:p w14:paraId="587A7DF7" w14:textId="77777777" w:rsidR="006208FB" w:rsidRPr="00E869A4" w:rsidRDefault="006208FB" w:rsidP="000201A8">
            <w:pPr>
              <w:spacing w:line="240" w:lineRule="auto"/>
              <w:ind w:left="33" w:firstLine="0"/>
              <w:jc w:val="center"/>
              <w:rPr>
                <w:rFonts w:ascii="Times New Roman" w:hAnsi="Times New Roman" w:cs="Times New Roman"/>
              </w:rPr>
            </w:pPr>
            <w:r w:rsidRPr="00E869A4">
              <w:rPr>
                <w:rFonts w:ascii="Times New Roman" w:hAnsi="Times New Roman" w:cs="Times New Roman"/>
              </w:rPr>
              <w:t>7</w:t>
            </w:r>
          </w:p>
        </w:tc>
        <w:tc>
          <w:tcPr>
            <w:tcW w:w="2361" w:type="dxa"/>
          </w:tcPr>
          <w:p w14:paraId="6E3F56C0"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All female</w:t>
            </w:r>
          </w:p>
        </w:tc>
        <w:tc>
          <w:tcPr>
            <w:tcW w:w="1942" w:type="dxa"/>
          </w:tcPr>
          <w:p w14:paraId="0EF004C8"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July 4</w:t>
            </w:r>
            <w:r w:rsidRPr="00E869A4">
              <w:rPr>
                <w:rFonts w:ascii="Times New Roman" w:hAnsi="Times New Roman" w:cs="Times New Roman"/>
                <w:vertAlign w:val="superscript"/>
              </w:rPr>
              <w:t>th</w:t>
            </w:r>
            <w:r w:rsidRPr="00E869A4">
              <w:rPr>
                <w:rFonts w:ascii="Times New Roman" w:hAnsi="Times New Roman" w:cs="Times New Roman"/>
              </w:rPr>
              <w:t xml:space="preserve"> (pm)</w:t>
            </w:r>
          </w:p>
        </w:tc>
      </w:tr>
      <w:tr w:rsidR="00C714D3" w:rsidRPr="00E869A4" w14:paraId="62AEBAE2" w14:textId="77777777" w:rsidTr="000201A8">
        <w:trPr>
          <w:jc w:val="center"/>
        </w:trPr>
        <w:tc>
          <w:tcPr>
            <w:tcW w:w="1526" w:type="dxa"/>
            <w:vMerge w:val="restart"/>
          </w:tcPr>
          <w:p w14:paraId="374B17FE" w14:textId="6F8E72A9" w:rsidR="006208FB" w:rsidRPr="00E869A4" w:rsidRDefault="006208FB" w:rsidP="00D45B51">
            <w:pPr>
              <w:spacing w:line="240" w:lineRule="auto"/>
              <w:ind w:firstLine="0"/>
              <w:rPr>
                <w:rFonts w:ascii="Times New Roman" w:hAnsi="Times New Roman" w:cs="Times New Roman"/>
                <w:b/>
              </w:rPr>
            </w:pPr>
            <w:r w:rsidRPr="00E869A4">
              <w:rPr>
                <w:rFonts w:ascii="Times New Roman" w:hAnsi="Times New Roman" w:cs="Times New Roman"/>
                <w:i/>
              </w:rPr>
              <w:t>Tobago SACs</w:t>
            </w:r>
          </w:p>
        </w:tc>
        <w:tc>
          <w:tcPr>
            <w:tcW w:w="2164" w:type="dxa"/>
          </w:tcPr>
          <w:p w14:paraId="56E43560"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North</w:t>
            </w:r>
          </w:p>
        </w:tc>
        <w:tc>
          <w:tcPr>
            <w:tcW w:w="1985" w:type="dxa"/>
          </w:tcPr>
          <w:p w14:paraId="0BE0965E" w14:textId="77777777" w:rsidR="006208FB" w:rsidRPr="00E869A4" w:rsidRDefault="006208FB" w:rsidP="000201A8">
            <w:pPr>
              <w:spacing w:line="240" w:lineRule="auto"/>
              <w:ind w:left="33" w:firstLine="0"/>
              <w:jc w:val="center"/>
              <w:rPr>
                <w:rFonts w:ascii="Times New Roman" w:hAnsi="Times New Roman" w:cs="Times New Roman"/>
              </w:rPr>
            </w:pPr>
            <w:r w:rsidRPr="00E869A4">
              <w:rPr>
                <w:rFonts w:ascii="Times New Roman" w:hAnsi="Times New Roman" w:cs="Times New Roman"/>
              </w:rPr>
              <w:t>6</w:t>
            </w:r>
          </w:p>
        </w:tc>
        <w:tc>
          <w:tcPr>
            <w:tcW w:w="2361" w:type="dxa"/>
          </w:tcPr>
          <w:p w14:paraId="41F55C9B"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All female</w:t>
            </w:r>
          </w:p>
        </w:tc>
        <w:tc>
          <w:tcPr>
            <w:tcW w:w="1942" w:type="dxa"/>
          </w:tcPr>
          <w:p w14:paraId="7CEE7295"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July 8</w:t>
            </w:r>
            <w:r w:rsidRPr="00E869A4">
              <w:rPr>
                <w:rFonts w:ascii="Times New Roman" w:hAnsi="Times New Roman" w:cs="Times New Roman"/>
                <w:vertAlign w:val="superscript"/>
              </w:rPr>
              <w:t>th</w:t>
            </w:r>
            <w:r w:rsidRPr="00E869A4">
              <w:rPr>
                <w:rFonts w:ascii="Times New Roman" w:hAnsi="Times New Roman" w:cs="Times New Roman"/>
              </w:rPr>
              <w:t xml:space="preserve"> (pm)</w:t>
            </w:r>
          </w:p>
        </w:tc>
      </w:tr>
      <w:tr w:rsidR="00C714D3" w:rsidRPr="00E869A4" w14:paraId="12632A18" w14:textId="77777777" w:rsidTr="000201A8">
        <w:trPr>
          <w:jc w:val="center"/>
        </w:trPr>
        <w:tc>
          <w:tcPr>
            <w:tcW w:w="1526" w:type="dxa"/>
            <w:vMerge/>
          </w:tcPr>
          <w:p w14:paraId="64445A93" w14:textId="77777777" w:rsidR="006208FB" w:rsidRPr="00E869A4" w:rsidRDefault="006208FB" w:rsidP="000201A8">
            <w:pPr>
              <w:spacing w:line="240" w:lineRule="auto"/>
              <w:ind w:firstLine="0"/>
              <w:rPr>
                <w:rFonts w:ascii="Times New Roman" w:hAnsi="Times New Roman" w:cs="Times New Roman"/>
              </w:rPr>
            </w:pPr>
          </w:p>
        </w:tc>
        <w:tc>
          <w:tcPr>
            <w:tcW w:w="2164" w:type="dxa"/>
          </w:tcPr>
          <w:p w14:paraId="2D539784"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East</w:t>
            </w:r>
          </w:p>
        </w:tc>
        <w:tc>
          <w:tcPr>
            <w:tcW w:w="1985" w:type="dxa"/>
          </w:tcPr>
          <w:p w14:paraId="7AE85BD2" w14:textId="77777777" w:rsidR="006208FB" w:rsidRPr="00E869A4" w:rsidRDefault="006208FB" w:rsidP="000201A8">
            <w:pPr>
              <w:spacing w:line="240" w:lineRule="auto"/>
              <w:ind w:left="33" w:firstLine="0"/>
              <w:jc w:val="center"/>
              <w:rPr>
                <w:rFonts w:ascii="Times New Roman" w:hAnsi="Times New Roman" w:cs="Times New Roman"/>
              </w:rPr>
            </w:pPr>
            <w:r w:rsidRPr="00E869A4">
              <w:rPr>
                <w:rFonts w:ascii="Times New Roman" w:hAnsi="Times New Roman" w:cs="Times New Roman"/>
              </w:rPr>
              <w:t>16</w:t>
            </w:r>
          </w:p>
        </w:tc>
        <w:tc>
          <w:tcPr>
            <w:tcW w:w="2361" w:type="dxa"/>
          </w:tcPr>
          <w:p w14:paraId="3F178252"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13 females; 3 males</w:t>
            </w:r>
          </w:p>
        </w:tc>
        <w:tc>
          <w:tcPr>
            <w:tcW w:w="1942" w:type="dxa"/>
          </w:tcPr>
          <w:p w14:paraId="03EF6786"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July 15</w:t>
            </w:r>
            <w:r w:rsidRPr="00E869A4">
              <w:rPr>
                <w:rFonts w:ascii="Times New Roman" w:hAnsi="Times New Roman" w:cs="Times New Roman"/>
                <w:vertAlign w:val="superscript"/>
              </w:rPr>
              <w:t>th</w:t>
            </w:r>
            <w:r w:rsidRPr="00E869A4">
              <w:rPr>
                <w:rFonts w:ascii="Times New Roman" w:hAnsi="Times New Roman" w:cs="Times New Roman"/>
              </w:rPr>
              <w:t xml:space="preserve"> (am)</w:t>
            </w:r>
          </w:p>
        </w:tc>
      </w:tr>
      <w:tr w:rsidR="00C714D3" w:rsidRPr="00E869A4" w14:paraId="4021FDBC" w14:textId="77777777" w:rsidTr="000201A8">
        <w:trPr>
          <w:jc w:val="center"/>
        </w:trPr>
        <w:tc>
          <w:tcPr>
            <w:tcW w:w="1526" w:type="dxa"/>
            <w:vMerge/>
          </w:tcPr>
          <w:p w14:paraId="015286DB" w14:textId="77777777" w:rsidR="006208FB" w:rsidRPr="00E869A4" w:rsidRDefault="006208FB" w:rsidP="000201A8">
            <w:pPr>
              <w:spacing w:line="240" w:lineRule="auto"/>
              <w:ind w:firstLine="0"/>
              <w:rPr>
                <w:rFonts w:ascii="Times New Roman" w:hAnsi="Times New Roman" w:cs="Times New Roman"/>
              </w:rPr>
            </w:pPr>
          </w:p>
        </w:tc>
        <w:tc>
          <w:tcPr>
            <w:tcW w:w="2164" w:type="dxa"/>
          </w:tcPr>
          <w:p w14:paraId="560C3282"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South</w:t>
            </w:r>
          </w:p>
        </w:tc>
        <w:tc>
          <w:tcPr>
            <w:tcW w:w="1985" w:type="dxa"/>
          </w:tcPr>
          <w:p w14:paraId="2CFA92D9" w14:textId="77777777" w:rsidR="006208FB" w:rsidRPr="00E869A4" w:rsidRDefault="006208FB" w:rsidP="000201A8">
            <w:pPr>
              <w:spacing w:line="240" w:lineRule="auto"/>
              <w:ind w:left="33" w:firstLine="0"/>
              <w:jc w:val="center"/>
              <w:rPr>
                <w:rFonts w:ascii="Times New Roman" w:hAnsi="Times New Roman" w:cs="Times New Roman"/>
              </w:rPr>
            </w:pPr>
            <w:r w:rsidRPr="00E869A4">
              <w:rPr>
                <w:rFonts w:ascii="Times New Roman" w:hAnsi="Times New Roman" w:cs="Times New Roman"/>
              </w:rPr>
              <w:t>16</w:t>
            </w:r>
          </w:p>
        </w:tc>
        <w:tc>
          <w:tcPr>
            <w:tcW w:w="2361" w:type="dxa"/>
          </w:tcPr>
          <w:p w14:paraId="23E06A2C"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15 females; 1 male</w:t>
            </w:r>
          </w:p>
        </w:tc>
        <w:tc>
          <w:tcPr>
            <w:tcW w:w="1942" w:type="dxa"/>
          </w:tcPr>
          <w:p w14:paraId="7355DD91"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July 10</w:t>
            </w:r>
            <w:r w:rsidRPr="00E869A4">
              <w:rPr>
                <w:rFonts w:ascii="Times New Roman" w:hAnsi="Times New Roman" w:cs="Times New Roman"/>
                <w:vertAlign w:val="superscript"/>
              </w:rPr>
              <w:t>th</w:t>
            </w:r>
            <w:r w:rsidRPr="00E869A4">
              <w:rPr>
                <w:rFonts w:ascii="Times New Roman" w:hAnsi="Times New Roman" w:cs="Times New Roman"/>
              </w:rPr>
              <w:t xml:space="preserve"> (am)</w:t>
            </w:r>
            <w:r w:rsidRPr="00E869A4">
              <w:rPr>
                <w:rFonts w:ascii="Times New Roman" w:hAnsi="Times New Roman" w:cs="Times New Roman"/>
                <w:vertAlign w:val="superscript"/>
              </w:rPr>
              <w:footnoteReference w:id="55"/>
            </w:r>
          </w:p>
        </w:tc>
      </w:tr>
      <w:tr w:rsidR="00C714D3" w:rsidRPr="00E869A4" w14:paraId="3DF1EF76" w14:textId="77777777" w:rsidTr="000201A8">
        <w:trPr>
          <w:jc w:val="center"/>
        </w:trPr>
        <w:tc>
          <w:tcPr>
            <w:tcW w:w="1526" w:type="dxa"/>
          </w:tcPr>
          <w:p w14:paraId="730FEB16" w14:textId="77777777" w:rsidR="006208FB" w:rsidRPr="00E869A4" w:rsidRDefault="006208FB" w:rsidP="000201A8">
            <w:pPr>
              <w:spacing w:line="240" w:lineRule="auto"/>
              <w:ind w:firstLine="0"/>
              <w:rPr>
                <w:rFonts w:ascii="Times New Roman" w:hAnsi="Times New Roman" w:cs="Times New Roman"/>
                <w:b/>
              </w:rPr>
            </w:pPr>
            <w:r w:rsidRPr="00E869A4">
              <w:rPr>
                <w:rFonts w:ascii="Times New Roman" w:hAnsi="Times New Roman" w:cs="Times New Roman"/>
                <w:b/>
              </w:rPr>
              <w:t>TOTAL</w:t>
            </w:r>
          </w:p>
        </w:tc>
        <w:tc>
          <w:tcPr>
            <w:tcW w:w="2164" w:type="dxa"/>
            <w:shd w:val="clear" w:color="auto" w:fill="A6A6A6" w:themeFill="background1" w:themeFillShade="A6"/>
          </w:tcPr>
          <w:p w14:paraId="44BAAA5F" w14:textId="77777777" w:rsidR="006208FB" w:rsidRPr="00E869A4" w:rsidRDefault="006208FB" w:rsidP="000201A8">
            <w:pPr>
              <w:spacing w:line="240" w:lineRule="auto"/>
              <w:ind w:firstLine="0"/>
              <w:rPr>
                <w:rFonts w:ascii="Times New Roman" w:hAnsi="Times New Roman" w:cs="Times New Roman"/>
              </w:rPr>
            </w:pPr>
          </w:p>
        </w:tc>
        <w:tc>
          <w:tcPr>
            <w:tcW w:w="1985" w:type="dxa"/>
          </w:tcPr>
          <w:p w14:paraId="4826D042" w14:textId="77777777" w:rsidR="006208FB" w:rsidRPr="00E869A4" w:rsidRDefault="006208FB" w:rsidP="000201A8">
            <w:pPr>
              <w:spacing w:line="240" w:lineRule="auto"/>
              <w:ind w:left="33" w:firstLine="0"/>
              <w:jc w:val="center"/>
              <w:rPr>
                <w:rFonts w:ascii="Times New Roman" w:hAnsi="Times New Roman" w:cs="Times New Roman"/>
                <w:b/>
              </w:rPr>
            </w:pPr>
            <w:r w:rsidRPr="00E869A4">
              <w:rPr>
                <w:rFonts w:ascii="Times New Roman" w:hAnsi="Times New Roman" w:cs="Times New Roman"/>
                <w:b/>
              </w:rPr>
              <w:t>51</w:t>
            </w:r>
          </w:p>
        </w:tc>
        <w:tc>
          <w:tcPr>
            <w:tcW w:w="2361" w:type="dxa"/>
          </w:tcPr>
          <w:p w14:paraId="14105456" w14:textId="77777777" w:rsidR="006208FB" w:rsidRPr="00E869A4" w:rsidRDefault="006208FB" w:rsidP="000201A8">
            <w:pPr>
              <w:spacing w:line="240" w:lineRule="auto"/>
              <w:ind w:firstLine="0"/>
              <w:rPr>
                <w:rFonts w:ascii="Times New Roman" w:hAnsi="Times New Roman" w:cs="Times New Roman"/>
              </w:rPr>
            </w:pPr>
            <w:r w:rsidRPr="00E869A4">
              <w:rPr>
                <w:rFonts w:ascii="Times New Roman" w:hAnsi="Times New Roman" w:cs="Times New Roman"/>
              </w:rPr>
              <w:t>44 females; 7 male</w:t>
            </w:r>
          </w:p>
        </w:tc>
        <w:tc>
          <w:tcPr>
            <w:tcW w:w="1942" w:type="dxa"/>
            <w:shd w:val="clear" w:color="auto" w:fill="A6A6A6" w:themeFill="background1" w:themeFillShade="A6"/>
          </w:tcPr>
          <w:p w14:paraId="51803158" w14:textId="77777777" w:rsidR="006208FB" w:rsidRPr="00E869A4" w:rsidRDefault="006208FB" w:rsidP="000201A8">
            <w:pPr>
              <w:spacing w:line="240" w:lineRule="auto"/>
              <w:ind w:firstLine="0"/>
              <w:rPr>
                <w:rFonts w:ascii="Times New Roman" w:hAnsi="Times New Roman" w:cs="Times New Roman"/>
              </w:rPr>
            </w:pPr>
          </w:p>
        </w:tc>
      </w:tr>
    </w:tbl>
    <w:p w14:paraId="057C4A54" w14:textId="77777777" w:rsidR="006208FB" w:rsidRPr="00E869A4" w:rsidRDefault="006208FB" w:rsidP="006208FB">
      <w:pPr>
        <w:ind w:left="567" w:firstLine="0"/>
      </w:pPr>
    </w:p>
    <w:p w14:paraId="5FCDCE41" w14:textId="77777777" w:rsidR="006208FB" w:rsidRPr="00E869A4" w:rsidRDefault="006208FB" w:rsidP="006208FB">
      <w:pPr>
        <w:rPr>
          <w:rFonts w:ascii="Times New Roman" w:hAnsi="Times New Roman" w:cs="Times New Roman"/>
        </w:rPr>
      </w:pPr>
      <w:r w:rsidRPr="00E869A4">
        <w:rPr>
          <w:rFonts w:ascii="Times New Roman" w:hAnsi="Times New Roman" w:cs="Times New Roman"/>
        </w:rPr>
        <w:t xml:space="preserve">I recruited participants for the Trinidad service provider focus group session from a contact list of agencies that I received from the Ministry of Social Development. As noted above, participants for the family caregiver focus group session in Trinidad were recruited from the online survey. For the Tobago focus group sessions, I targeted the senior activity centres (SACs) on the island. Contact information for these agencies was obtained from the Ageing Unit and Department of Health and Social Services in Tobago. </w:t>
      </w:r>
      <w:bookmarkStart w:id="276" w:name="_1ksv4uv" w:colFirst="0" w:colLast="0"/>
      <w:bookmarkEnd w:id="276"/>
    </w:p>
    <w:p w14:paraId="753A564D" w14:textId="77777777" w:rsidR="007A424E" w:rsidRPr="00E869A4" w:rsidRDefault="007A424E" w:rsidP="006208FB">
      <w:pPr>
        <w:spacing w:line="240" w:lineRule="auto"/>
        <w:rPr>
          <w:rFonts w:ascii="Times New Roman" w:hAnsi="Times New Roman" w:cs="Times New Roman"/>
          <w:iCs/>
          <w:szCs w:val="18"/>
        </w:rPr>
      </w:pPr>
    </w:p>
    <w:bookmarkEnd w:id="274"/>
    <w:p w14:paraId="425FBEA1" w14:textId="77777777" w:rsidR="000C6A16" w:rsidRPr="00E869A4" w:rsidRDefault="0027318B" w:rsidP="0031040A">
      <w:pPr>
        <w:pStyle w:val="Heading5"/>
        <w:rPr>
          <w:color w:val="auto"/>
        </w:rPr>
      </w:pPr>
      <w:r w:rsidRPr="00E869A4">
        <w:rPr>
          <w:color w:val="auto"/>
        </w:rPr>
        <w:t>Focus group s</w:t>
      </w:r>
      <w:r w:rsidR="00AB64AD" w:rsidRPr="00E869A4">
        <w:rPr>
          <w:color w:val="auto"/>
        </w:rPr>
        <w:t>essions</w:t>
      </w:r>
    </w:p>
    <w:p w14:paraId="6E20F5FC" w14:textId="77777777" w:rsidR="00AB64AD" w:rsidRPr="00E869A4" w:rsidRDefault="00AB64AD" w:rsidP="00A35FF8">
      <w:pPr>
        <w:rPr>
          <w:rFonts w:ascii="Times New Roman" w:hAnsi="Times New Roman" w:cs="Times New Roman"/>
        </w:rPr>
      </w:pPr>
    </w:p>
    <w:p w14:paraId="0189BA0A" w14:textId="5611E05C" w:rsidR="00C03772" w:rsidRPr="00E869A4" w:rsidRDefault="002B148A" w:rsidP="00A35FF8">
      <w:pPr>
        <w:rPr>
          <w:rFonts w:ascii="Times New Roman" w:hAnsi="Times New Roman" w:cs="Times New Roman"/>
        </w:rPr>
      </w:pPr>
      <w:r w:rsidRPr="00E869A4">
        <w:rPr>
          <w:rFonts w:ascii="Times New Roman" w:hAnsi="Times New Roman" w:cs="Times New Roman"/>
        </w:rPr>
        <w:t>Although</w:t>
      </w:r>
      <w:r w:rsidR="00C03772" w:rsidRPr="00E869A4">
        <w:rPr>
          <w:rFonts w:ascii="Times New Roman" w:hAnsi="Times New Roman" w:cs="Times New Roman"/>
        </w:rPr>
        <w:t xml:space="preserve"> I tried to ensure that the focus groups were homogenous, and had a manageable number of persons (between 6 to 8) I had to make adjustments in the Tobago sessions given the response of the gate keepers i.e. managers of SACs to my request. </w:t>
      </w:r>
      <w:r w:rsidR="00D964C5" w:rsidRPr="00E869A4">
        <w:rPr>
          <w:rFonts w:ascii="Times New Roman" w:hAnsi="Times New Roman" w:cs="Times New Roman"/>
        </w:rPr>
        <w:t>While</w:t>
      </w:r>
      <w:r w:rsidR="00C03772" w:rsidRPr="00E869A4">
        <w:rPr>
          <w:rFonts w:ascii="Times New Roman" w:hAnsi="Times New Roman" w:cs="Times New Roman"/>
        </w:rPr>
        <w:t xml:space="preserve"> phone and written communication were exchanged prior to the meeting in which I indicated the requirements for the session, on arrival, the managers at the different centres convened a group that did not meet with my specifications. At one of the SACs for example, I had called the manager and asked if we could meet to discuss in more detail what I had shared about the project. When I arrived, he insisted that I conduct the session right then and there with persons at the SAC since they had a good turnout that day. At another location, the manager called all persons in attendance including about 6 staff members. Since I did not have an assistant with me to facilitate a separate group</w:t>
      </w:r>
      <w:r w:rsidR="00C03772" w:rsidRPr="00E869A4">
        <w:rPr>
          <w:rFonts w:ascii="Times New Roman" w:hAnsi="Times New Roman" w:cs="Times New Roman"/>
          <w:vertAlign w:val="superscript"/>
        </w:rPr>
        <w:footnoteReference w:id="56"/>
      </w:r>
      <w:r w:rsidR="00C03772" w:rsidRPr="00E869A4">
        <w:rPr>
          <w:rFonts w:ascii="Times New Roman" w:hAnsi="Times New Roman" w:cs="Times New Roman"/>
        </w:rPr>
        <w:t xml:space="preserve">, I had to conduct the session with all persons in attendance, especially since I wanted to avoid offending the managers who arranged the session. It may be that managers, like some of the persons </w:t>
      </w:r>
      <w:r w:rsidR="00C03772" w:rsidRPr="00E869A4">
        <w:rPr>
          <w:rFonts w:ascii="Times New Roman" w:hAnsi="Times New Roman" w:cs="Times New Roman"/>
        </w:rPr>
        <w:lastRenderedPageBreak/>
        <w:t>who were interested in one-on-one interviews in Trinidad, reinterpreted the study design to fit their own priorities. Some of the managers may have thought it was more important to show large numbers of their members in attendance as this was a better indicator of the effectiveness of their agency. It may also be that managers reframed the session to be more in keeping with a town-meeting approach</w:t>
      </w:r>
      <w:r w:rsidR="00C03772" w:rsidRPr="00E869A4">
        <w:rPr>
          <w:rStyle w:val="FootnoteReference"/>
          <w:rFonts w:ascii="Times New Roman" w:hAnsi="Times New Roman" w:cs="Times New Roman"/>
        </w:rPr>
        <w:footnoteReference w:id="57"/>
      </w:r>
      <w:r w:rsidR="00C03772" w:rsidRPr="00E869A4">
        <w:rPr>
          <w:rFonts w:ascii="Times New Roman" w:hAnsi="Times New Roman" w:cs="Times New Roman"/>
        </w:rPr>
        <w:t xml:space="preserve"> given </w:t>
      </w:r>
      <w:r w:rsidR="00AF1647" w:rsidRPr="00E869A4">
        <w:rPr>
          <w:rFonts w:ascii="Times New Roman" w:hAnsi="Times New Roman" w:cs="Times New Roman"/>
        </w:rPr>
        <w:t>the study’s</w:t>
      </w:r>
      <w:r w:rsidR="00C03772" w:rsidRPr="00E869A4">
        <w:rPr>
          <w:rFonts w:ascii="Times New Roman" w:hAnsi="Times New Roman" w:cs="Times New Roman"/>
        </w:rPr>
        <w:t xml:space="preserve"> policy focus and wanted it to be as inclusive as possible for various reasons (Krueger &amp; Casey 2009). </w:t>
      </w:r>
    </w:p>
    <w:p w14:paraId="1BB2BDEB" w14:textId="77777777" w:rsidR="001D432F" w:rsidRPr="00E869A4" w:rsidRDefault="001D432F" w:rsidP="00A35FF8">
      <w:pPr>
        <w:rPr>
          <w:rFonts w:ascii="Times New Roman" w:hAnsi="Times New Roman" w:cs="Times New Roman"/>
        </w:rPr>
      </w:pPr>
    </w:p>
    <w:p w14:paraId="332CA143" w14:textId="619F04AE" w:rsidR="00C03772" w:rsidRPr="00E869A4" w:rsidRDefault="00C03772" w:rsidP="00A35FF8">
      <w:pPr>
        <w:rPr>
          <w:rFonts w:ascii="Times New Roman" w:hAnsi="Times New Roman" w:cs="Times New Roman"/>
        </w:rPr>
      </w:pPr>
      <w:r w:rsidRPr="00E869A4">
        <w:rPr>
          <w:rFonts w:ascii="Times New Roman" w:hAnsi="Times New Roman" w:cs="Times New Roman"/>
        </w:rPr>
        <w:t>In addition to their heterogeneity, another characteristic of these focus groups was that they were derived from a pre-existing group. There are pros and cons to such an arrangement. Homogenous groups have greater external validity than heterogeneous groups, but the latter are useful for obtaining insights from situated discourses</w:t>
      </w:r>
      <w:r w:rsidR="00BD37BF" w:rsidRPr="00E869A4">
        <w:rPr>
          <w:rFonts w:ascii="Times New Roman" w:hAnsi="Times New Roman" w:cs="Times New Roman"/>
        </w:rPr>
        <w:t>,</w:t>
      </w:r>
      <w:r w:rsidRPr="00E869A4">
        <w:rPr>
          <w:rFonts w:ascii="Times New Roman" w:hAnsi="Times New Roman" w:cs="Times New Roman"/>
        </w:rPr>
        <w:t xml:space="preserve"> rather than shared perceptions of the sample population (Gray 2014). Given this, and the limited control I had </w:t>
      </w:r>
      <w:r w:rsidR="00A12082" w:rsidRPr="00E869A4">
        <w:rPr>
          <w:rFonts w:ascii="Times New Roman" w:hAnsi="Times New Roman" w:cs="Times New Roman"/>
        </w:rPr>
        <w:t>over</w:t>
      </w:r>
      <w:r w:rsidRPr="00E869A4">
        <w:rPr>
          <w:rFonts w:ascii="Times New Roman" w:hAnsi="Times New Roman" w:cs="Times New Roman"/>
        </w:rPr>
        <w:t xml:space="preserve"> ensuring that the groups were homogenous, I decided that the best way forward was to adopt a contextual constructionist approach</w:t>
      </w:r>
      <w:r w:rsidR="00BD37BF" w:rsidRPr="00E869A4">
        <w:rPr>
          <w:rFonts w:ascii="Times New Roman" w:hAnsi="Times New Roman" w:cs="Times New Roman"/>
        </w:rPr>
        <w:t>,</w:t>
      </w:r>
      <w:r w:rsidRPr="00E869A4">
        <w:rPr>
          <w:rFonts w:ascii="Times New Roman" w:hAnsi="Times New Roman" w:cs="Times New Roman"/>
        </w:rPr>
        <w:t xml:space="preserve"> and ensure that the analysis of the data from the sessions focused on points of consensus as well as dissent. </w:t>
      </w:r>
    </w:p>
    <w:p w14:paraId="523351DB" w14:textId="77777777" w:rsidR="001D432F" w:rsidRPr="00E869A4" w:rsidRDefault="001D432F" w:rsidP="00A35FF8">
      <w:pPr>
        <w:rPr>
          <w:rFonts w:ascii="Times New Roman" w:hAnsi="Times New Roman" w:cs="Times New Roman"/>
        </w:rPr>
      </w:pPr>
    </w:p>
    <w:p w14:paraId="15D81DD5" w14:textId="3B1104EC"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In one session, the reticence of participants to respond was particularly evident when asked to share about any challenges they faced personally as older people on the island. Again, the managers/leaders at that SAC had insisted on being present, and a lot of the opening discussion was about how grateful they were for the support they received from a governing body on the island. The presence of the managers and their contributions which had a strong political element clearly contributed to this initial silence of the participants. I had to remind that particular group that I was an independent researcher and not a representative of that governing agency. I also reiterated the ethical responsibilities I had, and that an agency outside of </w:t>
      </w:r>
      <w:r w:rsidR="00EB2DA1" w:rsidRPr="00E869A4">
        <w:rPr>
          <w:rFonts w:ascii="Times New Roman" w:eastAsiaTheme="majorEastAsia" w:hAnsi="Times New Roman" w:cs="Times New Roman"/>
          <w:bCs/>
          <w:szCs w:val="26"/>
        </w:rPr>
        <w:t>T&amp;T</w:t>
      </w:r>
      <w:r w:rsidR="004344F0" w:rsidRPr="00E869A4">
        <w:rPr>
          <w:rFonts w:ascii="Times New Roman" w:eastAsiaTheme="majorEastAsia" w:hAnsi="Times New Roman" w:cs="Times New Roman"/>
          <w:bCs/>
          <w:szCs w:val="26"/>
        </w:rPr>
        <w:t>,</w:t>
      </w:r>
      <w:r w:rsidRPr="00E869A4">
        <w:rPr>
          <w:rFonts w:ascii="Times New Roman" w:hAnsi="Times New Roman" w:cs="Times New Roman"/>
        </w:rPr>
        <w:t xml:space="preserve"> i.e. the </w:t>
      </w:r>
      <w:r w:rsidR="00EB2DA1" w:rsidRPr="00E869A4">
        <w:rPr>
          <w:rFonts w:ascii="Times New Roman" w:hAnsi="Times New Roman" w:cs="Times New Roman"/>
        </w:rPr>
        <w:t>U</w:t>
      </w:r>
      <w:r w:rsidR="004344F0" w:rsidRPr="00E869A4">
        <w:rPr>
          <w:rFonts w:ascii="Times New Roman" w:hAnsi="Times New Roman" w:cs="Times New Roman"/>
        </w:rPr>
        <w:t>O</w:t>
      </w:r>
      <w:r w:rsidR="00EB2DA1" w:rsidRPr="00E869A4">
        <w:rPr>
          <w:rFonts w:ascii="Times New Roman" w:hAnsi="Times New Roman" w:cs="Times New Roman"/>
        </w:rPr>
        <w:t>S</w:t>
      </w:r>
      <w:r w:rsidRPr="00E869A4">
        <w:rPr>
          <w:rFonts w:ascii="Times New Roman" w:hAnsi="Times New Roman" w:cs="Times New Roman"/>
        </w:rPr>
        <w:t xml:space="preserve"> as well as the local </w:t>
      </w:r>
      <w:r w:rsidR="00EB2DA1" w:rsidRPr="00E869A4">
        <w:rPr>
          <w:rFonts w:ascii="Times New Roman" w:hAnsi="Times New Roman" w:cs="Times New Roman"/>
        </w:rPr>
        <w:t>UWI</w:t>
      </w:r>
      <w:r w:rsidRPr="00E869A4">
        <w:rPr>
          <w:rFonts w:ascii="Times New Roman" w:hAnsi="Times New Roman" w:cs="Times New Roman"/>
        </w:rPr>
        <w:t xml:space="preserve">, had supervisory oversight of the study. This seemed to </w:t>
      </w:r>
      <w:r w:rsidR="00AF1647" w:rsidRPr="00E869A4">
        <w:rPr>
          <w:rFonts w:ascii="Times New Roman" w:hAnsi="Times New Roman" w:cs="Times New Roman"/>
        </w:rPr>
        <w:t>‘</w:t>
      </w:r>
      <w:r w:rsidRPr="00E869A4">
        <w:rPr>
          <w:rFonts w:ascii="Times New Roman" w:hAnsi="Times New Roman" w:cs="Times New Roman"/>
        </w:rPr>
        <w:t>break the ice</w:t>
      </w:r>
      <w:r w:rsidR="00AF1647" w:rsidRPr="00E869A4">
        <w:rPr>
          <w:rFonts w:ascii="Times New Roman" w:hAnsi="Times New Roman" w:cs="Times New Roman"/>
        </w:rPr>
        <w:t>’</w:t>
      </w:r>
      <w:r w:rsidRPr="00E869A4">
        <w:rPr>
          <w:rFonts w:ascii="Times New Roman" w:hAnsi="Times New Roman" w:cs="Times New Roman"/>
        </w:rPr>
        <w:t xml:space="preserve"> and the conversation flowed thereafter. </w:t>
      </w:r>
    </w:p>
    <w:p w14:paraId="7336186F" w14:textId="77777777" w:rsidR="00D45B51" w:rsidRPr="00E869A4" w:rsidRDefault="00D45B51">
      <w:pPr>
        <w:rPr>
          <w:rFonts w:ascii="Times New Roman" w:eastAsiaTheme="majorEastAsia" w:hAnsi="Times New Roman" w:cs="Times New Roman"/>
          <w:i/>
          <w:u w:val="single"/>
        </w:rPr>
      </w:pPr>
      <w:r w:rsidRPr="00E869A4">
        <w:br w:type="page"/>
      </w:r>
    </w:p>
    <w:p w14:paraId="4154BA49" w14:textId="3682A716" w:rsidR="00C03772" w:rsidRPr="00E869A4" w:rsidRDefault="00C03772" w:rsidP="00A35FF8">
      <w:pPr>
        <w:rPr>
          <w:rFonts w:ascii="Times New Roman" w:hAnsi="Times New Roman" w:cs="Times New Roman"/>
        </w:rPr>
      </w:pPr>
      <w:r w:rsidRPr="00E869A4">
        <w:rPr>
          <w:rFonts w:ascii="Times New Roman" w:hAnsi="Times New Roman" w:cs="Times New Roman"/>
        </w:rPr>
        <w:lastRenderedPageBreak/>
        <w:t xml:space="preserve">In the Trinidad service provider session, participants were reluctant to provide feedback to questions emerging from the data that was previously collected. It was difficult obtaining straightforward answers to questions such as what their service needs were. To illustrate further, several participants in the interviews and online survey indicated that a particular public sector agency had no vehicles to conduct field </w:t>
      </w:r>
      <w:r w:rsidR="00305419" w:rsidRPr="00E869A4">
        <w:rPr>
          <w:rFonts w:ascii="Times New Roman" w:hAnsi="Times New Roman" w:cs="Times New Roman"/>
        </w:rPr>
        <w:t>visits, which</w:t>
      </w:r>
      <w:r w:rsidRPr="00E869A4">
        <w:rPr>
          <w:rFonts w:ascii="Times New Roman" w:hAnsi="Times New Roman" w:cs="Times New Roman"/>
        </w:rPr>
        <w:t xml:space="preserve"> was an important aspect of the service they provided. However, when a senior official from that agency was asked about service needs, on more than one occasion the individual did not provide this as an answer</w:t>
      </w:r>
      <w:r w:rsidR="00305419" w:rsidRPr="00E869A4">
        <w:rPr>
          <w:rFonts w:ascii="Times New Roman" w:hAnsi="Times New Roman" w:cs="Times New Roman"/>
        </w:rPr>
        <w:t>,</w:t>
      </w:r>
      <w:r w:rsidRPr="00E869A4">
        <w:rPr>
          <w:rFonts w:ascii="Times New Roman" w:hAnsi="Times New Roman" w:cs="Times New Roman"/>
        </w:rPr>
        <w:t xml:space="preserve"> and continued to minimise the challenges the agency experienced. After several attempts at getting a direct answer about challenges, I decided to specifically ask about the lack of a </w:t>
      </w:r>
      <w:r w:rsidR="00305419" w:rsidRPr="00E869A4">
        <w:rPr>
          <w:rFonts w:ascii="Times New Roman" w:hAnsi="Times New Roman" w:cs="Times New Roman"/>
        </w:rPr>
        <w:t>vehicle, which</w:t>
      </w:r>
      <w:r w:rsidRPr="00E869A4">
        <w:rPr>
          <w:rFonts w:ascii="Times New Roman" w:hAnsi="Times New Roman" w:cs="Times New Roman"/>
        </w:rPr>
        <w:t xml:space="preserve"> they admitted was indeed an issue. This type of response to the discussion was not unique to that individual but pervaded during the entire session, which was in stark contrast to the openness of the family caregivers in the earlier session. </w:t>
      </w:r>
    </w:p>
    <w:p w14:paraId="4A7F63D5" w14:textId="77777777" w:rsidR="003C22F2" w:rsidRPr="00E869A4" w:rsidRDefault="003C22F2" w:rsidP="00A35FF8">
      <w:pPr>
        <w:rPr>
          <w:rFonts w:ascii="Times New Roman" w:hAnsi="Times New Roman" w:cs="Times New Roman"/>
        </w:rPr>
      </w:pPr>
    </w:p>
    <w:p w14:paraId="6A7B479A" w14:textId="3379D09D" w:rsidR="00C03772" w:rsidRPr="00E869A4" w:rsidRDefault="00C03772" w:rsidP="00A35FF8">
      <w:pPr>
        <w:rPr>
          <w:rFonts w:ascii="Times New Roman" w:hAnsi="Times New Roman" w:cs="Times New Roman"/>
        </w:rPr>
      </w:pPr>
      <w:r w:rsidRPr="00E869A4">
        <w:rPr>
          <w:rFonts w:ascii="Times New Roman" w:hAnsi="Times New Roman" w:cs="Times New Roman"/>
        </w:rPr>
        <w:t>The constant deflection of the service providers in Trinidad from providing straightforward answers to the questions posed</w:t>
      </w:r>
      <w:r w:rsidR="00305419" w:rsidRPr="00E869A4">
        <w:rPr>
          <w:rFonts w:ascii="Times New Roman" w:hAnsi="Times New Roman" w:cs="Times New Roman"/>
        </w:rPr>
        <w:t>,</w:t>
      </w:r>
      <w:r w:rsidRPr="00E869A4">
        <w:rPr>
          <w:rFonts w:ascii="Times New Roman" w:hAnsi="Times New Roman" w:cs="Times New Roman"/>
        </w:rPr>
        <w:t xml:space="preserve"> may have occurred for various reasons. It may be that they were more eager to impress one another and were therefore unwilling to share about their service </w:t>
      </w:r>
      <w:r w:rsidR="00305419" w:rsidRPr="00E869A4">
        <w:rPr>
          <w:rFonts w:ascii="Times New Roman" w:hAnsi="Times New Roman" w:cs="Times New Roman"/>
        </w:rPr>
        <w:t>needs, which</w:t>
      </w:r>
      <w:r w:rsidRPr="00E869A4">
        <w:rPr>
          <w:rFonts w:ascii="Times New Roman" w:hAnsi="Times New Roman" w:cs="Times New Roman"/>
        </w:rPr>
        <w:t xml:space="preserve"> would have inadvertently indicated a shortcoming in the service provided (Adams &amp; Co</w:t>
      </w:r>
      <w:r w:rsidR="00ED6841" w:rsidRPr="00E869A4">
        <w:rPr>
          <w:rFonts w:ascii="Times New Roman" w:hAnsi="Times New Roman" w:cs="Times New Roman"/>
        </w:rPr>
        <w:t>x</w:t>
      </w:r>
      <w:r w:rsidRPr="00E869A4">
        <w:rPr>
          <w:rFonts w:ascii="Times New Roman" w:hAnsi="Times New Roman" w:cs="Times New Roman"/>
        </w:rPr>
        <w:t xml:space="preserve"> 2008). Another factor may have been the level of sensitivity ascribed by the participants to the questions asked. As Farquhar &amp; Das (1999) explained, sensitivity is a subjective term that is not ‘fixed’ but socially constructed. They provided a broad definition of sensitive research as</w:t>
      </w:r>
      <w:r w:rsidR="00305419" w:rsidRPr="00E869A4">
        <w:rPr>
          <w:rFonts w:ascii="Times New Roman" w:hAnsi="Times New Roman" w:cs="Times New Roman"/>
        </w:rPr>
        <w:t>,</w:t>
      </w:r>
      <w:r w:rsidRPr="00E869A4">
        <w:rPr>
          <w:rFonts w:ascii="Times New Roman" w:hAnsi="Times New Roman" w:cs="Times New Roman"/>
        </w:rPr>
        <w:t xml:space="preserve"> any research that raises strong feelings and opinions, or poses a threat to those involved. Also, groups may contain dominating as well as reticent members whose particular views and experiences may overwhelm that of other group members (Bloor et al</w:t>
      </w:r>
      <w:r w:rsidR="003C22F2" w:rsidRPr="00E869A4">
        <w:rPr>
          <w:rFonts w:ascii="Times New Roman" w:hAnsi="Times New Roman" w:cs="Times New Roman"/>
        </w:rPr>
        <w:t xml:space="preserve">. </w:t>
      </w:r>
      <w:r w:rsidRPr="00E869A4">
        <w:rPr>
          <w:rFonts w:ascii="Times New Roman" w:hAnsi="Times New Roman" w:cs="Times New Roman"/>
        </w:rPr>
        <w:t xml:space="preserve">2001). This particular session may have been impacted by these various factors. </w:t>
      </w:r>
    </w:p>
    <w:p w14:paraId="1676CAEB" w14:textId="77777777" w:rsidR="001D432F" w:rsidRPr="00E869A4" w:rsidRDefault="001D432F" w:rsidP="00A35FF8">
      <w:pPr>
        <w:rPr>
          <w:rFonts w:ascii="Times New Roman" w:hAnsi="Times New Roman" w:cs="Times New Roman"/>
        </w:rPr>
      </w:pPr>
    </w:p>
    <w:p w14:paraId="03E81AC0" w14:textId="77777777" w:rsidR="00FD25B8" w:rsidRPr="00E869A4" w:rsidRDefault="00C03772" w:rsidP="00FD25B8">
      <w:pPr>
        <w:rPr>
          <w:rFonts w:ascii="Times New Roman" w:hAnsi="Times New Roman" w:cs="Times New Roman"/>
        </w:rPr>
      </w:pPr>
      <w:r w:rsidRPr="00E869A4">
        <w:rPr>
          <w:rFonts w:ascii="Times New Roman" w:hAnsi="Times New Roman" w:cs="Times New Roman"/>
        </w:rPr>
        <w:t>A preventative strategy that could have been employed to reduce the impact of such challenges</w:t>
      </w:r>
      <w:r w:rsidR="00305419" w:rsidRPr="00E869A4">
        <w:rPr>
          <w:rFonts w:ascii="Times New Roman" w:hAnsi="Times New Roman" w:cs="Times New Roman"/>
        </w:rPr>
        <w:t>,</w:t>
      </w:r>
      <w:r w:rsidRPr="00E869A4">
        <w:rPr>
          <w:rFonts w:ascii="Times New Roman" w:hAnsi="Times New Roman" w:cs="Times New Roman"/>
        </w:rPr>
        <w:t xml:space="preserve"> was to conduct comparative focus group sessions and compare responses. This was achieved to a limited extent with the Trinidad caregiver focus group. However, that session was not fully comparable with the service provider group</w:t>
      </w:r>
      <w:r w:rsidR="00D41CDC" w:rsidRPr="00E869A4">
        <w:rPr>
          <w:rFonts w:ascii="Times New Roman" w:hAnsi="Times New Roman" w:cs="Times New Roman"/>
        </w:rPr>
        <w:t>,</w:t>
      </w:r>
      <w:r w:rsidRPr="00E869A4">
        <w:rPr>
          <w:rFonts w:ascii="Times New Roman" w:hAnsi="Times New Roman" w:cs="Times New Roman"/>
        </w:rPr>
        <w:t xml:space="preserve"> as the roles of the participants in the two groups had clear differences </w:t>
      </w:r>
      <w:r w:rsidRPr="00E869A4">
        <w:rPr>
          <w:rFonts w:ascii="Times New Roman" w:hAnsi="Times New Roman" w:cs="Times New Roman"/>
          <w:i/>
        </w:rPr>
        <w:t>vis à vis</w:t>
      </w:r>
      <w:r w:rsidRPr="00E869A4">
        <w:rPr>
          <w:rFonts w:ascii="Times New Roman" w:hAnsi="Times New Roman" w:cs="Times New Roman"/>
        </w:rPr>
        <w:t xml:space="preserve"> elder care provision. Resource constraints prevented me from convening another service provider session in Trinidad.  Another solution that is widely recommended in the literature for dealing with the aforementioned challenges</w:t>
      </w:r>
      <w:r w:rsidR="00305419" w:rsidRPr="00E869A4">
        <w:rPr>
          <w:rFonts w:ascii="Times New Roman" w:hAnsi="Times New Roman" w:cs="Times New Roman"/>
        </w:rPr>
        <w:t>,</w:t>
      </w:r>
      <w:r w:rsidRPr="00E869A4">
        <w:rPr>
          <w:rFonts w:ascii="Times New Roman" w:hAnsi="Times New Roman" w:cs="Times New Roman"/>
        </w:rPr>
        <w:t xml:space="preserve"> is to conduct separate in-depth interviews with individuals from the same </w:t>
      </w:r>
      <w:r w:rsidRPr="00E869A4">
        <w:rPr>
          <w:rFonts w:ascii="Times New Roman" w:hAnsi="Times New Roman" w:cs="Times New Roman"/>
        </w:rPr>
        <w:lastRenderedPageBreak/>
        <w:t>population (Bloor et al</w:t>
      </w:r>
      <w:r w:rsidR="003C22F2" w:rsidRPr="00E869A4">
        <w:rPr>
          <w:rFonts w:ascii="Times New Roman" w:hAnsi="Times New Roman" w:cs="Times New Roman"/>
        </w:rPr>
        <w:t>.</w:t>
      </w:r>
      <w:r w:rsidRPr="00E869A4">
        <w:rPr>
          <w:rFonts w:ascii="Times New Roman" w:hAnsi="Times New Roman" w:cs="Times New Roman"/>
        </w:rPr>
        <w:t xml:space="preserve"> 2001; Michel 1999). This is the solution I adopted for </w:t>
      </w:r>
      <w:r w:rsidR="003C22F2" w:rsidRPr="00E869A4">
        <w:rPr>
          <w:rFonts w:ascii="Times New Roman" w:hAnsi="Times New Roman" w:cs="Times New Roman"/>
        </w:rPr>
        <w:t>engaging</w:t>
      </w:r>
      <w:r w:rsidRPr="00E869A4">
        <w:rPr>
          <w:rFonts w:ascii="Times New Roman" w:hAnsi="Times New Roman" w:cs="Times New Roman"/>
        </w:rPr>
        <w:t xml:space="preserve"> the Tobago service providers. </w:t>
      </w:r>
      <w:bookmarkStart w:id="277" w:name="_Toc508858760"/>
    </w:p>
    <w:p w14:paraId="74AA54CF" w14:textId="77777777" w:rsidR="00FD25B8" w:rsidRPr="00E869A4" w:rsidRDefault="00FD25B8" w:rsidP="00FD25B8">
      <w:pPr>
        <w:spacing w:line="240" w:lineRule="auto"/>
        <w:rPr>
          <w:rFonts w:ascii="Times New Roman" w:hAnsi="Times New Roman" w:cs="Times New Roman"/>
        </w:rPr>
      </w:pPr>
    </w:p>
    <w:p w14:paraId="5EAAB098" w14:textId="7A56F2B7" w:rsidR="00C03772" w:rsidRPr="00E869A4" w:rsidRDefault="0027318B" w:rsidP="0031040A">
      <w:pPr>
        <w:pStyle w:val="Heading5"/>
        <w:rPr>
          <w:color w:val="auto"/>
        </w:rPr>
      </w:pPr>
      <w:r w:rsidRPr="00E869A4">
        <w:rPr>
          <w:color w:val="auto"/>
        </w:rPr>
        <w:t>In-d</w:t>
      </w:r>
      <w:r w:rsidR="00F57334" w:rsidRPr="00E869A4">
        <w:rPr>
          <w:color w:val="auto"/>
        </w:rPr>
        <w:t xml:space="preserve">epth </w:t>
      </w:r>
      <w:r w:rsidRPr="00E869A4">
        <w:rPr>
          <w:color w:val="auto"/>
        </w:rPr>
        <w:t>i</w:t>
      </w:r>
      <w:r w:rsidR="00F57334" w:rsidRPr="00E869A4">
        <w:rPr>
          <w:color w:val="auto"/>
        </w:rPr>
        <w:t xml:space="preserve">nterviews (2014) </w:t>
      </w:r>
      <w:bookmarkEnd w:id="277"/>
    </w:p>
    <w:p w14:paraId="5545A117" w14:textId="77777777" w:rsidR="00C03772" w:rsidRPr="00E869A4" w:rsidRDefault="00C03772" w:rsidP="00A35FF8">
      <w:pPr>
        <w:rPr>
          <w:rFonts w:ascii="Times New Roman" w:hAnsi="Times New Roman" w:cs="Times New Roman"/>
        </w:rPr>
      </w:pPr>
    </w:p>
    <w:p w14:paraId="2B280FFE" w14:textId="3D70624D" w:rsidR="007A424E" w:rsidRPr="00E869A4" w:rsidRDefault="00C03772">
      <w:pPr>
        <w:rPr>
          <w:rFonts w:ascii="Times New Roman" w:hAnsi="Times New Roman" w:cs="Times New Roman"/>
        </w:rPr>
      </w:pPr>
      <w:r w:rsidRPr="00E869A4">
        <w:rPr>
          <w:rFonts w:ascii="Times New Roman" w:hAnsi="Times New Roman" w:cs="Times New Roman"/>
        </w:rPr>
        <w:t>As indicated above, my aim</w:t>
      </w:r>
      <w:r w:rsidR="00D41CDC" w:rsidRPr="00E869A4">
        <w:rPr>
          <w:rFonts w:ascii="Times New Roman" w:hAnsi="Times New Roman" w:cs="Times New Roman"/>
        </w:rPr>
        <w:t xml:space="preserve"> in 2014,</w:t>
      </w:r>
      <w:r w:rsidRPr="00E869A4">
        <w:rPr>
          <w:rFonts w:ascii="Times New Roman" w:hAnsi="Times New Roman" w:cs="Times New Roman"/>
        </w:rPr>
        <w:t xml:space="preserve"> with respect to data collection was to conduct focus group sessions on both islands with family caregivers and service providers. However, quite unexpectedly, two sets of participants volunteered to participate in in-depth interviews during this period. One set of participants was a mother-daughter pair that was recommended to me by a member of an informal group of older persons</w:t>
      </w:r>
      <w:r w:rsidR="003423CE" w:rsidRPr="00E869A4">
        <w:rPr>
          <w:rFonts w:ascii="Times New Roman" w:hAnsi="Times New Roman" w:cs="Times New Roman"/>
        </w:rPr>
        <w:t>,</w:t>
      </w:r>
      <w:r w:rsidRPr="00E869A4">
        <w:rPr>
          <w:rFonts w:ascii="Times New Roman" w:hAnsi="Times New Roman" w:cs="Times New Roman"/>
        </w:rPr>
        <w:t xml:space="preserve"> who usually met for socials and outings. </w:t>
      </w:r>
      <w:r w:rsidR="00D41CDC" w:rsidRPr="00E869A4">
        <w:rPr>
          <w:rFonts w:ascii="Times New Roman" w:hAnsi="Times New Roman" w:cs="Times New Roman"/>
        </w:rPr>
        <w:t>Alt</w:t>
      </w:r>
      <w:r w:rsidRPr="00E869A4">
        <w:rPr>
          <w:rFonts w:ascii="Times New Roman" w:hAnsi="Times New Roman" w:cs="Times New Roman"/>
        </w:rPr>
        <w:t xml:space="preserve">hough I met with members of the group on more than one occasion in 2013, it was only in 2014 that I was referred by one of the members to a family who met the study criteria. They provided me with contact information </w:t>
      </w:r>
      <w:r w:rsidR="00295BDF" w:rsidRPr="00E869A4">
        <w:rPr>
          <w:rFonts w:ascii="Times New Roman" w:hAnsi="Times New Roman" w:cs="Times New Roman"/>
        </w:rPr>
        <w:t>for</w:t>
      </w:r>
      <w:r w:rsidRPr="00E869A4">
        <w:rPr>
          <w:rFonts w:ascii="Times New Roman" w:hAnsi="Times New Roman" w:cs="Times New Roman"/>
        </w:rPr>
        <w:t xml:space="preserve"> Ms. Violet and her daughter Marian. Ms. Violet was a centenarian and her daughter was an older woman. I had not planned to continue in-depth interviews in 2014, </w:t>
      </w:r>
      <w:r w:rsidR="00D41CDC" w:rsidRPr="00E869A4">
        <w:rPr>
          <w:rFonts w:ascii="Times New Roman" w:hAnsi="Times New Roman" w:cs="Times New Roman"/>
        </w:rPr>
        <w:t xml:space="preserve">but </w:t>
      </w:r>
      <w:r w:rsidRPr="00E869A4">
        <w:rPr>
          <w:rFonts w:ascii="Times New Roman" w:hAnsi="Times New Roman" w:cs="Times New Roman"/>
        </w:rPr>
        <w:t>I decided to take advantage of the opportunity</w:t>
      </w:r>
      <w:r w:rsidR="003423CE" w:rsidRPr="00E869A4">
        <w:rPr>
          <w:rFonts w:ascii="Times New Roman" w:hAnsi="Times New Roman" w:cs="Times New Roman"/>
        </w:rPr>
        <w:t>,</w:t>
      </w:r>
      <w:r w:rsidRPr="00E869A4">
        <w:rPr>
          <w:rFonts w:ascii="Times New Roman" w:hAnsi="Times New Roman" w:cs="Times New Roman"/>
        </w:rPr>
        <w:t xml:space="preserve"> since I felt it would allow me to obtain unique insights about the oldest-old in the country. Another opportunity emerged during my second visit to Tobago. A transnational Trinidadian carer (Professor Nurse) who was visiting the island from the USA, agreed to participate in the study. I also conducted in-depth interviews with </w:t>
      </w:r>
      <w:r w:rsidR="00AF1647" w:rsidRPr="00E869A4">
        <w:rPr>
          <w:rFonts w:ascii="Times New Roman" w:hAnsi="Times New Roman" w:cs="Times New Roman"/>
        </w:rPr>
        <w:t>three</w:t>
      </w:r>
      <w:r w:rsidRPr="00E869A4">
        <w:rPr>
          <w:rFonts w:ascii="Times New Roman" w:hAnsi="Times New Roman" w:cs="Times New Roman"/>
        </w:rPr>
        <w:t xml:space="preserve"> THA representatives in Tobago and with three representatives of a senior activity centre in North Trinidad who were unable to participate in the service provider session</w:t>
      </w:r>
      <w:r w:rsidR="00531781" w:rsidRPr="00E869A4">
        <w:rPr>
          <w:rFonts w:ascii="Times New Roman" w:hAnsi="Times New Roman" w:cs="Times New Roman"/>
        </w:rPr>
        <w:t xml:space="preserve"> that was scheduled</w:t>
      </w:r>
      <w:r w:rsidR="003423CE" w:rsidRPr="00E869A4">
        <w:rPr>
          <w:rFonts w:ascii="Times New Roman" w:hAnsi="Times New Roman" w:cs="Times New Roman"/>
        </w:rPr>
        <w:t>. Table 8 below summarises the number of in-depth interviews conducted in 2014, and the data is disaggregated by gender and island location</w:t>
      </w:r>
      <w:r w:rsidRPr="00E869A4">
        <w:rPr>
          <w:rFonts w:ascii="Times New Roman" w:hAnsi="Times New Roman" w:cs="Times New Roman"/>
        </w:rPr>
        <w:t xml:space="preserve">. </w:t>
      </w:r>
    </w:p>
    <w:p w14:paraId="5D169D0D" w14:textId="77777777" w:rsidR="00FD25B8" w:rsidRPr="00E869A4" w:rsidRDefault="00FD25B8">
      <w:pPr>
        <w:rPr>
          <w:b/>
          <w:iCs/>
        </w:rPr>
      </w:pPr>
    </w:p>
    <w:p w14:paraId="5F04D45C" w14:textId="3753F699" w:rsidR="004C5767" w:rsidRPr="00E869A4" w:rsidRDefault="004C5767" w:rsidP="002E78BA">
      <w:pPr>
        <w:pStyle w:val="Caption"/>
        <w:ind w:firstLine="0"/>
        <w:rPr>
          <w:b/>
          <w:i w:val="0"/>
          <w:sz w:val="24"/>
        </w:rPr>
      </w:pPr>
      <w:bookmarkStart w:id="278" w:name="_Toc40436607"/>
      <w:r w:rsidRPr="00E869A4">
        <w:rPr>
          <w:b/>
          <w:i w:val="0"/>
          <w:sz w:val="24"/>
        </w:rPr>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8</w:t>
      </w:r>
      <w:r w:rsidR="00194F87" w:rsidRPr="00E869A4">
        <w:rPr>
          <w:b/>
          <w:i w:val="0"/>
          <w:sz w:val="24"/>
        </w:rPr>
        <w:fldChar w:fldCharType="end"/>
      </w:r>
      <w:r w:rsidRPr="00E869A4">
        <w:rPr>
          <w:b/>
          <w:i w:val="0"/>
          <w:sz w:val="24"/>
        </w:rPr>
        <w:t>: In-Depth Interview Participants (2014)</w:t>
      </w:r>
      <w:bookmarkEnd w:id="278"/>
    </w:p>
    <w:p w14:paraId="5753ADC7" w14:textId="77777777" w:rsidR="006419CC" w:rsidRPr="00E869A4" w:rsidRDefault="006419CC" w:rsidP="002E78BA">
      <w:pPr>
        <w:ind w:firstLine="0"/>
        <w:rPr>
          <w:b/>
          <w:u w:val="single"/>
        </w:rPr>
      </w:pP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3429"/>
        <w:gridCol w:w="1429"/>
        <w:gridCol w:w="1351"/>
        <w:gridCol w:w="2276"/>
      </w:tblGrid>
      <w:tr w:rsidR="00C714D3" w:rsidRPr="00E869A4" w14:paraId="333E5737" w14:textId="77777777" w:rsidTr="00FD25B8">
        <w:trPr>
          <w:jc w:val="center"/>
        </w:trPr>
        <w:tc>
          <w:tcPr>
            <w:tcW w:w="1128" w:type="dxa"/>
          </w:tcPr>
          <w:p w14:paraId="403E9BC3" w14:textId="77777777" w:rsidR="00C03772" w:rsidRPr="00E869A4" w:rsidRDefault="00C03772" w:rsidP="002E78BA">
            <w:pPr>
              <w:spacing w:line="240" w:lineRule="auto"/>
              <w:ind w:firstLine="0"/>
              <w:jc w:val="center"/>
              <w:rPr>
                <w:rFonts w:ascii="Times New Roman" w:hAnsi="Times New Roman" w:cs="Times New Roman"/>
                <w:i/>
                <w:sz w:val="22"/>
              </w:rPr>
            </w:pPr>
            <w:r w:rsidRPr="00E869A4">
              <w:rPr>
                <w:rFonts w:ascii="Times New Roman" w:hAnsi="Times New Roman" w:cs="Times New Roman"/>
                <w:i/>
                <w:sz w:val="22"/>
              </w:rPr>
              <w:t>Location</w:t>
            </w:r>
          </w:p>
        </w:tc>
        <w:tc>
          <w:tcPr>
            <w:tcW w:w="3429" w:type="dxa"/>
          </w:tcPr>
          <w:p w14:paraId="3CEA53F8" w14:textId="77777777" w:rsidR="00C03772" w:rsidRPr="00E869A4" w:rsidRDefault="00C03772" w:rsidP="002E78BA">
            <w:pPr>
              <w:spacing w:line="240" w:lineRule="auto"/>
              <w:ind w:firstLine="0"/>
              <w:jc w:val="center"/>
              <w:rPr>
                <w:rFonts w:ascii="Times New Roman" w:hAnsi="Times New Roman" w:cs="Times New Roman"/>
                <w:i/>
                <w:sz w:val="22"/>
              </w:rPr>
            </w:pPr>
            <w:r w:rsidRPr="00E869A4">
              <w:rPr>
                <w:rFonts w:ascii="Times New Roman" w:hAnsi="Times New Roman" w:cs="Times New Roman"/>
                <w:i/>
                <w:sz w:val="22"/>
              </w:rPr>
              <w:t>Participant Category</w:t>
            </w:r>
          </w:p>
        </w:tc>
        <w:tc>
          <w:tcPr>
            <w:tcW w:w="1429" w:type="dxa"/>
          </w:tcPr>
          <w:p w14:paraId="04A4198E" w14:textId="4C475A11" w:rsidR="00C03772" w:rsidRPr="00E869A4" w:rsidRDefault="00C03772" w:rsidP="002E78BA">
            <w:pPr>
              <w:spacing w:line="240" w:lineRule="auto"/>
              <w:ind w:firstLine="0"/>
              <w:jc w:val="center"/>
              <w:rPr>
                <w:rFonts w:ascii="Times New Roman" w:hAnsi="Times New Roman" w:cs="Times New Roman"/>
                <w:i/>
                <w:sz w:val="22"/>
              </w:rPr>
            </w:pPr>
            <w:r w:rsidRPr="00E869A4">
              <w:rPr>
                <w:rFonts w:ascii="Times New Roman" w:hAnsi="Times New Roman" w:cs="Times New Roman"/>
                <w:i/>
                <w:sz w:val="22"/>
              </w:rPr>
              <w:t>N</w:t>
            </w:r>
            <w:r w:rsidR="00E76DDB" w:rsidRPr="00E869A4">
              <w:rPr>
                <w:rFonts w:ascii="Times New Roman" w:hAnsi="Times New Roman" w:cs="Times New Roman"/>
                <w:i/>
                <w:sz w:val="22"/>
              </w:rPr>
              <w:t>umber</w:t>
            </w:r>
            <w:r w:rsidRPr="00E869A4">
              <w:rPr>
                <w:rFonts w:ascii="Times New Roman" w:hAnsi="Times New Roman" w:cs="Times New Roman"/>
                <w:i/>
                <w:sz w:val="22"/>
              </w:rPr>
              <w:t xml:space="preserve"> of Participants</w:t>
            </w:r>
          </w:p>
        </w:tc>
        <w:tc>
          <w:tcPr>
            <w:tcW w:w="1351" w:type="dxa"/>
          </w:tcPr>
          <w:p w14:paraId="26750280" w14:textId="77777777" w:rsidR="00C03772" w:rsidRPr="00E869A4" w:rsidRDefault="00C03772" w:rsidP="002E78BA">
            <w:pPr>
              <w:spacing w:line="240" w:lineRule="auto"/>
              <w:ind w:firstLine="0"/>
              <w:jc w:val="center"/>
              <w:rPr>
                <w:rFonts w:ascii="Times New Roman" w:hAnsi="Times New Roman" w:cs="Times New Roman"/>
                <w:i/>
                <w:sz w:val="22"/>
              </w:rPr>
            </w:pPr>
            <w:r w:rsidRPr="00E869A4">
              <w:rPr>
                <w:rFonts w:ascii="Times New Roman" w:hAnsi="Times New Roman" w:cs="Times New Roman"/>
                <w:i/>
                <w:sz w:val="22"/>
              </w:rPr>
              <w:t>Gender</w:t>
            </w:r>
          </w:p>
        </w:tc>
        <w:tc>
          <w:tcPr>
            <w:tcW w:w="2276" w:type="dxa"/>
          </w:tcPr>
          <w:p w14:paraId="71EDBEE4" w14:textId="77777777" w:rsidR="00C03772" w:rsidRPr="00E869A4" w:rsidRDefault="00C03772" w:rsidP="002E78BA">
            <w:pPr>
              <w:spacing w:line="240" w:lineRule="auto"/>
              <w:ind w:firstLine="0"/>
              <w:jc w:val="center"/>
              <w:rPr>
                <w:rFonts w:ascii="Times New Roman" w:hAnsi="Times New Roman" w:cs="Times New Roman"/>
                <w:i/>
                <w:sz w:val="22"/>
              </w:rPr>
            </w:pPr>
            <w:r w:rsidRPr="00E869A4">
              <w:rPr>
                <w:rFonts w:ascii="Times New Roman" w:hAnsi="Times New Roman" w:cs="Times New Roman"/>
                <w:i/>
                <w:sz w:val="22"/>
              </w:rPr>
              <w:t>Dates</w:t>
            </w:r>
          </w:p>
          <w:p w14:paraId="48C11B3A" w14:textId="77777777" w:rsidR="00C03772" w:rsidRPr="00E869A4" w:rsidRDefault="00C03772" w:rsidP="002E78BA">
            <w:pPr>
              <w:spacing w:line="240" w:lineRule="auto"/>
              <w:ind w:firstLine="0"/>
              <w:jc w:val="center"/>
              <w:rPr>
                <w:rFonts w:ascii="Times New Roman" w:hAnsi="Times New Roman" w:cs="Times New Roman"/>
                <w:i/>
                <w:sz w:val="22"/>
              </w:rPr>
            </w:pPr>
            <w:r w:rsidRPr="00E869A4">
              <w:rPr>
                <w:rFonts w:ascii="Times New Roman" w:hAnsi="Times New Roman" w:cs="Times New Roman"/>
                <w:i/>
                <w:sz w:val="22"/>
              </w:rPr>
              <w:t>(2014)</w:t>
            </w:r>
          </w:p>
        </w:tc>
      </w:tr>
      <w:tr w:rsidR="00C714D3" w:rsidRPr="00E869A4" w14:paraId="09B8FAA9" w14:textId="77777777" w:rsidTr="00FD25B8">
        <w:trPr>
          <w:jc w:val="center"/>
        </w:trPr>
        <w:tc>
          <w:tcPr>
            <w:tcW w:w="1128" w:type="dxa"/>
            <w:vMerge w:val="restart"/>
          </w:tcPr>
          <w:p w14:paraId="79A495F8" w14:textId="77777777" w:rsidR="00C03772" w:rsidRPr="00E869A4" w:rsidRDefault="00C03772" w:rsidP="002E78BA">
            <w:pPr>
              <w:spacing w:line="240" w:lineRule="auto"/>
              <w:ind w:firstLine="0"/>
              <w:rPr>
                <w:rFonts w:ascii="Times New Roman" w:hAnsi="Times New Roman" w:cs="Times New Roman"/>
                <w:sz w:val="22"/>
              </w:rPr>
            </w:pPr>
            <w:r w:rsidRPr="00E869A4">
              <w:rPr>
                <w:rFonts w:ascii="Times New Roman" w:hAnsi="Times New Roman" w:cs="Times New Roman"/>
                <w:sz w:val="22"/>
              </w:rPr>
              <w:t>Trinidad</w:t>
            </w:r>
          </w:p>
          <w:p w14:paraId="3A1A45C1" w14:textId="77777777" w:rsidR="00C03772" w:rsidRPr="00E869A4" w:rsidRDefault="00C03772" w:rsidP="002E78BA">
            <w:pPr>
              <w:spacing w:line="240" w:lineRule="auto"/>
              <w:ind w:firstLine="0"/>
              <w:rPr>
                <w:rFonts w:ascii="Times New Roman" w:hAnsi="Times New Roman" w:cs="Times New Roman"/>
                <w:sz w:val="22"/>
              </w:rPr>
            </w:pPr>
          </w:p>
        </w:tc>
        <w:tc>
          <w:tcPr>
            <w:tcW w:w="3429" w:type="dxa"/>
          </w:tcPr>
          <w:p w14:paraId="1CF2BDEE" w14:textId="2C3C4470" w:rsidR="00C03772" w:rsidRPr="00E869A4" w:rsidRDefault="00C03772" w:rsidP="002E78BA">
            <w:pPr>
              <w:spacing w:line="240" w:lineRule="auto"/>
              <w:ind w:left="160" w:firstLine="0"/>
              <w:rPr>
                <w:rFonts w:ascii="Times New Roman" w:hAnsi="Times New Roman" w:cs="Times New Roman"/>
                <w:sz w:val="22"/>
              </w:rPr>
            </w:pPr>
            <w:r w:rsidRPr="00E869A4">
              <w:rPr>
                <w:rFonts w:ascii="Times New Roman" w:hAnsi="Times New Roman" w:cs="Times New Roman"/>
                <w:sz w:val="22"/>
              </w:rPr>
              <w:t xml:space="preserve">Caregiver &amp; </w:t>
            </w:r>
            <w:r w:rsidR="009E2738" w:rsidRPr="00E869A4">
              <w:rPr>
                <w:rFonts w:ascii="Times New Roman" w:hAnsi="Times New Roman" w:cs="Times New Roman"/>
                <w:sz w:val="22"/>
              </w:rPr>
              <w:t>Care recipient</w:t>
            </w:r>
            <w:r w:rsidRPr="00E869A4">
              <w:rPr>
                <w:rFonts w:ascii="Times New Roman" w:hAnsi="Times New Roman" w:cs="Times New Roman"/>
                <w:sz w:val="22"/>
              </w:rPr>
              <w:t xml:space="preserve"> Dyad</w:t>
            </w:r>
          </w:p>
        </w:tc>
        <w:tc>
          <w:tcPr>
            <w:tcW w:w="1429" w:type="dxa"/>
          </w:tcPr>
          <w:p w14:paraId="276D0B82"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2</w:t>
            </w:r>
          </w:p>
        </w:tc>
        <w:tc>
          <w:tcPr>
            <w:tcW w:w="1351" w:type="dxa"/>
          </w:tcPr>
          <w:p w14:paraId="1D5F4EF9"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Female</w:t>
            </w:r>
          </w:p>
        </w:tc>
        <w:tc>
          <w:tcPr>
            <w:tcW w:w="2276" w:type="dxa"/>
          </w:tcPr>
          <w:p w14:paraId="1D2BFA82" w14:textId="708D6326" w:rsidR="00BE3E01" w:rsidRPr="00E869A4" w:rsidRDefault="00BE3E01" w:rsidP="002E78BA">
            <w:pPr>
              <w:spacing w:line="240" w:lineRule="auto"/>
              <w:ind w:left="64" w:firstLine="0"/>
              <w:rPr>
                <w:rFonts w:ascii="Times New Roman" w:hAnsi="Times New Roman" w:cs="Times New Roman"/>
                <w:sz w:val="22"/>
              </w:rPr>
            </w:pPr>
            <w:r w:rsidRPr="00E869A4">
              <w:rPr>
                <w:rFonts w:ascii="Times New Roman" w:hAnsi="Times New Roman" w:cs="Times New Roman"/>
                <w:sz w:val="22"/>
              </w:rPr>
              <w:t>February 26</w:t>
            </w:r>
            <w:r w:rsidRPr="00E869A4">
              <w:rPr>
                <w:rFonts w:ascii="Times New Roman" w:hAnsi="Times New Roman" w:cs="Times New Roman"/>
                <w:sz w:val="22"/>
                <w:vertAlign w:val="superscript"/>
              </w:rPr>
              <w:t>th</w:t>
            </w:r>
            <w:r w:rsidRPr="00E869A4">
              <w:rPr>
                <w:rFonts w:ascii="Times New Roman" w:hAnsi="Times New Roman" w:cs="Times New Roman"/>
                <w:sz w:val="22"/>
              </w:rPr>
              <w:t xml:space="preserve"> (pm)</w:t>
            </w:r>
          </w:p>
          <w:p w14:paraId="6C656AA4" w14:textId="18981360" w:rsidR="00C03772" w:rsidRPr="00E869A4" w:rsidRDefault="00BE3E01" w:rsidP="002E78BA">
            <w:pPr>
              <w:spacing w:line="240" w:lineRule="auto"/>
              <w:ind w:left="64" w:firstLine="0"/>
              <w:rPr>
                <w:rFonts w:ascii="Times New Roman" w:hAnsi="Times New Roman" w:cs="Times New Roman"/>
                <w:sz w:val="22"/>
              </w:rPr>
            </w:pPr>
            <w:r w:rsidRPr="00E869A4">
              <w:rPr>
                <w:rFonts w:ascii="Times New Roman" w:hAnsi="Times New Roman" w:cs="Times New Roman"/>
                <w:sz w:val="22"/>
              </w:rPr>
              <w:t>March 17</w:t>
            </w:r>
            <w:r w:rsidRPr="00E869A4">
              <w:rPr>
                <w:rFonts w:ascii="Times New Roman" w:hAnsi="Times New Roman" w:cs="Times New Roman"/>
                <w:sz w:val="22"/>
                <w:vertAlign w:val="superscript"/>
              </w:rPr>
              <w:t>th</w:t>
            </w:r>
            <w:r w:rsidRPr="00E869A4">
              <w:rPr>
                <w:rFonts w:ascii="Times New Roman" w:hAnsi="Times New Roman" w:cs="Times New Roman"/>
                <w:sz w:val="22"/>
              </w:rPr>
              <w:t xml:space="preserve"> (am)</w:t>
            </w:r>
          </w:p>
        </w:tc>
      </w:tr>
      <w:tr w:rsidR="00C714D3" w:rsidRPr="00E869A4" w14:paraId="6E8F33C4" w14:textId="77777777" w:rsidTr="00FD25B8">
        <w:trPr>
          <w:jc w:val="center"/>
        </w:trPr>
        <w:tc>
          <w:tcPr>
            <w:tcW w:w="1128" w:type="dxa"/>
            <w:vMerge/>
          </w:tcPr>
          <w:p w14:paraId="1874DA39" w14:textId="77777777" w:rsidR="00C03772" w:rsidRPr="00E869A4" w:rsidRDefault="00C03772" w:rsidP="002E78BA">
            <w:pPr>
              <w:spacing w:line="240" w:lineRule="auto"/>
              <w:ind w:firstLine="0"/>
              <w:rPr>
                <w:rFonts w:ascii="Times New Roman" w:hAnsi="Times New Roman" w:cs="Times New Roman"/>
                <w:sz w:val="22"/>
              </w:rPr>
            </w:pPr>
          </w:p>
        </w:tc>
        <w:tc>
          <w:tcPr>
            <w:tcW w:w="3429" w:type="dxa"/>
          </w:tcPr>
          <w:p w14:paraId="55E4725B" w14:textId="77777777" w:rsidR="00C03772" w:rsidRPr="00E869A4" w:rsidRDefault="00C03772" w:rsidP="002E78BA">
            <w:pPr>
              <w:spacing w:line="240" w:lineRule="auto"/>
              <w:ind w:left="160" w:firstLine="0"/>
              <w:rPr>
                <w:rFonts w:ascii="Times New Roman" w:hAnsi="Times New Roman" w:cs="Times New Roman"/>
                <w:sz w:val="22"/>
              </w:rPr>
            </w:pPr>
            <w:r w:rsidRPr="00E869A4">
              <w:rPr>
                <w:rFonts w:ascii="Times New Roman" w:hAnsi="Times New Roman" w:cs="Times New Roman"/>
                <w:sz w:val="22"/>
              </w:rPr>
              <w:t>Service Provider (SAC)</w:t>
            </w:r>
          </w:p>
        </w:tc>
        <w:tc>
          <w:tcPr>
            <w:tcW w:w="1429" w:type="dxa"/>
          </w:tcPr>
          <w:p w14:paraId="3803E8FF"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3</w:t>
            </w:r>
          </w:p>
        </w:tc>
        <w:tc>
          <w:tcPr>
            <w:tcW w:w="1351" w:type="dxa"/>
          </w:tcPr>
          <w:p w14:paraId="090E539C"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Females</w:t>
            </w:r>
          </w:p>
        </w:tc>
        <w:tc>
          <w:tcPr>
            <w:tcW w:w="2276" w:type="dxa"/>
          </w:tcPr>
          <w:p w14:paraId="05AA3A67" w14:textId="11A99B04" w:rsidR="00C03772" w:rsidRPr="00E869A4" w:rsidRDefault="00C03772" w:rsidP="002E78BA">
            <w:pPr>
              <w:spacing w:line="240" w:lineRule="auto"/>
              <w:ind w:left="64" w:firstLine="0"/>
              <w:rPr>
                <w:rFonts w:ascii="Times New Roman" w:hAnsi="Times New Roman" w:cs="Times New Roman"/>
                <w:sz w:val="22"/>
              </w:rPr>
            </w:pPr>
            <w:r w:rsidRPr="00E869A4">
              <w:rPr>
                <w:rFonts w:ascii="Times New Roman" w:hAnsi="Times New Roman" w:cs="Times New Roman"/>
                <w:sz w:val="22"/>
              </w:rPr>
              <w:t xml:space="preserve">July </w:t>
            </w:r>
            <w:r w:rsidR="007E5C56" w:rsidRPr="00E869A4">
              <w:rPr>
                <w:rFonts w:ascii="Times New Roman" w:hAnsi="Times New Roman" w:cs="Times New Roman"/>
                <w:sz w:val="22"/>
              </w:rPr>
              <w:t>17</w:t>
            </w:r>
            <w:r w:rsidR="007E5C56" w:rsidRPr="00E869A4">
              <w:rPr>
                <w:rFonts w:ascii="Times New Roman" w:hAnsi="Times New Roman" w:cs="Times New Roman"/>
                <w:sz w:val="22"/>
                <w:vertAlign w:val="superscript"/>
              </w:rPr>
              <w:t>th</w:t>
            </w:r>
            <w:r w:rsidR="007E5C56" w:rsidRPr="00E869A4">
              <w:rPr>
                <w:rFonts w:ascii="Times New Roman" w:hAnsi="Times New Roman" w:cs="Times New Roman"/>
                <w:sz w:val="22"/>
              </w:rPr>
              <w:t xml:space="preserve"> (am)</w:t>
            </w:r>
          </w:p>
        </w:tc>
      </w:tr>
      <w:tr w:rsidR="00C714D3" w:rsidRPr="00E869A4" w14:paraId="1EFD5041" w14:textId="77777777" w:rsidTr="00FD25B8">
        <w:trPr>
          <w:jc w:val="center"/>
        </w:trPr>
        <w:tc>
          <w:tcPr>
            <w:tcW w:w="1128" w:type="dxa"/>
            <w:vMerge w:val="restart"/>
          </w:tcPr>
          <w:p w14:paraId="06C1E8CF" w14:textId="77777777" w:rsidR="00C03772" w:rsidRPr="00E869A4" w:rsidRDefault="00C03772" w:rsidP="002E78BA">
            <w:pPr>
              <w:spacing w:line="240" w:lineRule="auto"/>
              <w:ind w:firstLine="0"/>
              <w:rPr>
                <w:rFonts w:ascii="Times New Roman" w:hAnsi="Times New Roman" w:cs="Times New Roman"/>
                <w:sz w:val="22"/>
              </w:rPr>
            </w:pPr>
            <w:r w:rsidRPr="00E869A4">
              <w:rPr>
                <w:rFonts w:ascii="Times New Roman" w:hAnsi="Times New Roman" w:cs="Times New Roman"/>
                <w:sz w:val="22"/>
              </w:rPr>
              <w:t>Tobago</w:t>
            </w:r>
          </w:p>
          <w:p w14:paraId="580CF163" w14:textId="77777777" w:rsidR="00C03772" w:rsidRPr="00E869A4" w:rsidRDefault="00C03772" w:rsidP="002E78BA">
            <w:pPr>
              <w:spacing w:line="240" w:lineRule="auto"/>
              <w:ind w:firstLine="0"/>
              <w:rPr>
                <w:rFonts w:ascii="Times New Roman" w:hAnsi="Times New Roman" w:cs="Times New Roman"/>
                <w:sz w:val="22"/>
              </w:rPr>
            </w:pPr>
          </w:p>
        </w:tc>
        <w:tc>
          <w:tcPr>
            <w:tcW w:w="3429" w:type="dxa"/>
          </w:tcPr>
          <w:p w14:paraId="039558E8" w14:textId="77777777" w:rsidR="00C03772" w:rsidRPr="00E869A4" w:rsidRDefault="00C03772" w:rsidP="002E78BA">
            <w:pPr>
              <w:spacing w:line="240" w:lineRule="auto"/>
              <w:ind w:left="160" w:firstLine="0"/>
              <w:rPr>
                <w:rFonts w:ascii="Times New Roman" w:hAnsi="Times New Roman" w:cs="Times New Roman"/>
                <w:sz w:val="22"/>
              </w:rPr>
            </w:pPr>
            <w:r w:rsidRPr="00E869A4">
              <w:rPr>
                <w:rFonts w:ascii="Times New Roman" w:hAnsi="Times New Roman" w:cs="Times New Roman"/>
                <w:sz w:val="22"/>
              </w:rPr>
              <w:t>Transnational Caregiver</w:t>
            </w:r>
          </w:p>
        </w:tc>
        <w:tc>
          <w:tcPr>
            <w:tcW w:w="1429" w:type="dxa"/>
          </w:tcPr>
          <w:p w14:paraId="13806C03"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1</w:t>
            </w:r>
          </w:p>
        </w:tc>
        <w:tc>
          <w:tcPr>
            <w:tcW w:w="1351" w:type="dxa"/>
          </w:tcPr>
          <w:p w14:paraId="40BC7D9D"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Female</w:t>
            </w:r>
          </w:p>
        </w:tc>
        <w:tc>
          <w:tcPr>
            <w:tcW w:w="2276" w:type="dxa"/>
          </w:tcPr>
          <w:p w14:paraId="1A2BD7AA" w14:textId="44123DBD" w:rsidR="00C03772" w:rsidRPr="00E869A4" w:rsidRDefault="00C03772" w:rsidP="002E78BA">
            <w:pPr>
              <w:spacing w:line="240" w:lineRule="auto"/>
              <w:ind w:left="64" w:firstLine="0"/>
              <w:rPr>
                <w:rFonts w:ascii="Times New Roman" w:hAnsi="Times New Roman" w:cs="Times New Roman"/>
                <w:sz w:val="22"/>
              </w:rPr>
            </w:pPr>
            <w:r w:rsidRPr="00E869A4">
              <w:rPr>
                <w:rFonts w:ascii="Times New Roman" w:hAnsi="Times New Roman" w:cs="Times New Roman"/>
                <w:sz w:val="22"/>
              </w:rPr>
              <w:t xml:space="preserve">July </w:t>
            </w:r>
            <w:r w:rsidR="007E5C56" w:rsidRPr="00E869A4">
              <w:rPr>
                <w:rFonts w:ascii="Times New Roman" w:hAnsi="Times New Roman" w:cs="Times New Roman"/>
                <w:sz w:val="22"/>
              </w:rPr>
              <w:t>12</w:t>
            </w:r>
            <w:r w:rsidR="007E5C56" w:rsidRPr="00E869A4">
              <w:rPr>
                <w:rFonts w:ascii="Times New Roman" w:hAnsi="Times New Roman" w:cs="Times New Roman"/>
                <w:sz w:val="22"/>
                <w:vertAlign w:val="superscript"/>
              </w:rPr>
              <w:t>th</w:t>
            </w:r>
            <w:r w:rsidR="007E5C56" w:rsidRPr="00E869A4">
              <w:rPr>
                <w:rFonts w:ascii="Times New Roman" w:hAnsi="Times New Roman" w:cs="Times New Roman"/>
                <w:sz w:val="22"/>
              </w:rPr>
              <w:t xml:space="preserve"> (am)</w:t>
            </w:r>
          </w:p>
        </w:tc>
      </w:tr>
      <w:tr w:rsidR="00C714D3" w:rsidRPr="00E869A4" w14:paraId="282D131B" w14:textId="77777777" w:rsidTr="00FD25B8">
        <w:trPr>
          <w:jc w:val="center"/>
        </w:trPr>
        <w:tc>
          <w:tcPr>
            <w:tcW w:w="1128" w:type="dxa"/>
            <w:vMerge/>
          </w:tcPr>
          <w:p w14:paraId="76FC89A1" w14:textId="77777777" w:rsidR="00C03772" w:rsidRPr="00E869A4" w:rsidRDefault="00C03772" w:rsidP="002E78BA">
            <w:pPr>
              <w:spacing w:line="240" w:lineRule="auto"/>
              <w:ind w:firstLine="0"/>
              <w:rPr>
                <w:rFonts w:ascii="Times New Roman" w:hAnsi="Times New Roman" w:cs="Times New Roman"/>
                <w:sz w:val="22"/>
              </w:rPr>
            </w:pPr>
          </w:p>
        </w:tc>
        <w:tc>
          <w:tcPr>
            <w:tcW w:w="3429" w:type="dxa"/>
            <w:tcBorders>
              <w:bottom w:val="single" w:sz="4" w:space="0" w:color="000000"/>
            </w:tcBorders>
          </w:tcPr>
          <w:p w14:paraId="5138D249" w14:textId="77777777" w:rsidR="00C03772" w:rsidRPr="00E869A4" w:rsidRDefault="00C03772" w:rsidP="002E78BA">
            <w:pPr>
              <w:spacing w:line="240" w:lineRule="auto"/>
              <w:ind w:left="160" w:firstLine="0"/>
              <w:rPr>
                <w:rFonts w:ascii="Times New Roman" w:hAnsi="Times New Roman" w:cs="Times New Roman"/>
                <w:sz w:val="22"/>
              </w:rPr>
            </w:pPr>
            <w:r w:rsidRPr="00E869A4">
              <w:rPr>
                <w:rFonts w:ascii="Times New Roman" w:hAnsi="Times New Roman" w:cs="Times New Roman"/>
                <w:sz w:val="22"/>
              </w:rPr>
              <w:t>Public Sector Representatives</w:t>
            </w:r>
          </w:p>
        </w:tc>
        <w:tc>
          <w:tcPr>
            <w:tcW w:w="1429" w:type="dxa"/>
          </w:tcPr>
          <w:p w14:paraId="0BE80A79"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1</w:t>
            </w:r>
          </w:p>
          <w:p w14:paraId="5FE6702A"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2</w:t>
            </w:r>
          </w:p>
        </w:tc>
        <w:tc>
          <w:tcPr>
            <w:tcW w:w="1351" w:type="dxa"/>
            <w:tcBorders>
              <w:bottom w:val="single" w:sz="4" w:space="0" w:color="000000"/>
            </w:tcBorders>
          </w:tcPr>
          <w:p w14:paraId="2669DB8B" w14:textId="77777777" w:rsidR="00C03772" w:rsidRPr="00E869A4" w:rsidRDefault="00C03772" w:rsidP="002E78BA">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Female</w:t>
            </w:r>
          </w:p>
          <w:p w14:paraId="278EE51A" w14:textId="43787601" w:rsidR="00C03772" w:rsidRPr="00E869A4" w:rsidRDefault="00C03772" w:rsidP="00FD25B8">
            <w:pPr>
              <w:spacing w:line="240" w:lineRule="auto"/>
              <w:ind w:firstLine="0"/>
              <w:jc w:val="center"/>
              <w:rPr>
                <w:rFonts w:ascii="Times New Roman" w:hAnsi="Times New Roman" w:cs="Times New Roman"/>
                <w:sz w:val="22"/>
              </w:rPr>
            </w:pPr>
            <w:r w:rsidRPr="00E869A4">
              <w:rPr>
                <w:rFonts w:ascii="Times New Roman" w:hAnsi="Times New Roman" w:cs="Times New Roman"/>
                <w:sz w:val="22"/>
              </w:rPr>
              <w:t>Females</w:t>
            </w:r>
          </w:p>
        </w:tc>
        <w:tc>
          <w:tcPr>
            <w:tcW w:w="2276" w:type="dxa"/>
            <w:tcBorders>
              <w:bottom w:val="single" w:sz="4" w:space="0" w:color="000000"/>
            </w:tcBorders>
          </w:tcPr>
          <w:p w14:paraId="2FF7DE87" w14:textId="77777777" w:rsidR="00C03772" w:rsidRPr="00E869A4" w:rsidRDefault="00C03772" w:rsidP="002E78BA">
            <w:pPr>
              <w:spacing w:line="240" w:lineRule="auto"/>
              <w:ind w:left="64" w:firstLine="0"/>
              <w:rPr>
                <w:rFonts w:ascii="Times New Roman" w:hAnsi="Times New Roman" w:cs="Times New Roman"/>
                <w:sz w:val="22"/>
              </w:rPr>
            </w:pPr>
            <w:r w:rsidRPr="00E869A4">
              <w:rPr>
                <w:rFonts w:ascii="Times New Roman" w:hAnsi="Times New Roman" w:cs="Times New Roman"/>
                <w:sz w:val="22"/>
              </w:rPr>
              <w:t>July 10</w:t>
            </w:r>
            <w:r w:rsidRPr="00E869A4">
              <w:rPr>
                <w:rFonts w:ascii="Times New Roman" w:hAnsi="Times New Roman" w:cs="Times New Roman"/>
                <w:sz w:val="22"/>
                <w:vertAlign w:val="superscript"/>
              </w:rPr>
              <w:t xml:space="preserve">th </w:t>
            </w:r>
            <w:r w:rsidRPr="00E869A4">
              <w:rPr>
                <w:rFonts w:ascii="Times New Roman" w:hAnsi="Times New Roman" w:cs="Times New Roman"/>
                <w:sz w:val="22"/>
              </w:rPr>
              <w:t>(am)</w:t>
            </w:r>
          </w:p>
          <w:p w14:paraId="5320B0D7" w14:textId="77777777" w:rsidR="00C03772" w:rsidRPr="00E869A4" w:rsidRDefault="00C03772" w:rsidP="002E78BA">
            <w:pPr>
              <w:spacing w:line="240" w:lineRule="auto"/>
              <w:ind w:left="64" w:firstLine="0"/>
              <w:rPr>
                <w:rFonts w:ascii="Times New Roman" w:hAnsi="Times New Roman" w:cs="Times New Roman"/>
                <w:sz w:val="22"/>
              </w:rPr>
            </w:pPr>
            <w:r w:rsidRPr="00E869A4">
              <w:rPr>
                <w:rFonts w:ascii="Times New Roman" w:hAnsi="Times New Roman" w:cs="Times New Roman"/>
                <w:sz w:val="22"/>
              </w:rPr>
              <w:t>July 14</w:t>
            </w:r>
            <w:r w:rsidRPr="00E869A4">
              <w:rPr>
                <w:rFonts w:ascii="Times New Roman" w:hAnsi="Times New Roman" w:cs="Times New Roman"/>
                <w:sz w:val="22"/>
                <w:vertAlign w:val="superscript"/>
              </w:rPr>
              <w:t>th</w:t>
            </w:r>
            <w:r w:rsidRPr="00E869A4">
              <w:rPr>
                <w:rFonts w:ascii="Times New Roman" w:hAnsi="Times New Roman" w:cs="Times New Roman"/>
                <w:sz w:val="22"/>
              </w:rPr>
              <w:t xml:space="preserve"> (am &amp; pm)</w:t>
            </w:r>
          </w:p>
        </w:tc>
      </w:tr>
      <w:tr w:rsidR="00C714D3" w:rsidRPr="00E869A4" w14:paraId="246D337E" w14:textId="77777777" w:rsidTr="00FD25B8">
        <w:trPr>
          <w:jc w:val="center"/>
        </w:trPr>
        <w:tc>
          <w:tcPr>
            <w:tcW w:w="1128" w:type="dxa"/>
          </w:tcPr>
          <w:p w14:paraId="6442B4F8" w14:textId="77777777" w:rsidR="00C03772" w:rsidRPr="00E869A4" w:rsidRDefault="00C03772" w:rsidP="002E78BA">
            <w:pPr>
              <w:spacing w:line="240" w:lineRule="auto"/>
              <w:ind w:firstLine="0"/>
              <w:rPr>
                <w:rFonts w:ascii="Times New Roman" w:hAnsi="Times New Roman" w:cs="Times New Roman"/>
                <w:b/>
                <w:sz w:val="22"/>
              </w:rPr>
            </w:pPr>
            <w:r w:rsidRPr="00E869A4">
              <w:rPr>
                <w:rFonts w:ascii="Times New Roman" w:hAnsi="Times New Roman" w:cs="Times New Roman"/>
                <w:b/>
                <w:sz w:val="22"/>
              </w:rPr>
              <w:t>TOTAL</w:t>
            </w:r>
          </w:p>
        </w:tc>
        <w:tc>
          <w:tcPr>
            <w:tcW w:w="3429" w:type="dxa"/>
            <w:shd w:val="clear" w:color="auto" w:fill="A6A6A6" w:themeFill="background1" w:themeFillShade="A6"/>
          </w:tcPr>
          <w:p w14:paraId="6E2576D7" w14:textId="77777777" w:rsidR="00C03772" w:rsidRPr="00E869A4" w:rsidRDefault="00C03772" w:rsidP="002E78BA">
            <w:pPr>
              <w:spacing w:line="240" w:lineRule="auto"/>
              <w:ind w:firstLine="0"/>
              <w:rPr>
                <w:rFonts w:ascii="Times New Roman" w:hAnsi="Times New Roman" w:cs="Times New Roman"/>
                <w:sz w:val="22"/>
              </w:rPr>
            </w:pPr>
          </w:p>
        </w:tc>
        <w:tc>
          <w:tcPr>
            <w:tcW w:w="1429" w:type="dxa"/>
          </w:tcPr>
          <w:p w14:paraId="2E4D13C3" w14:textId="77777777" w:rsidR="00C03772" w:rsidRPr="00E869A4" w:rsidRDefault="00C03772" w:rsidP="002E78BA">
            <w:pPr>
              <w:spacing w:line="240" w:lineRule="auto"/>
              <w:ind w:firstLine="0"/>
              <w:jc w:val="center"/>
              <w:rPr>
                <w:rFonts w:ascii="Times New Roman" w:hAnsi="Times New Roman" w:cs="Times New Roman"/>
                <w:b/>
                <w:sz w:val="22"/>
              </w:rPr>
            </w:pPr>
            <w:r w:rsidRPr="00E869A4">
              <w:rPr>
                <w:rFonts w:ascii="Times New Roman" w:hAnsi="Times New Roman" w:cs="Times New Roman"/>
                <w:b/>
                <w:sz w:val="22"/>
              </w:rPr>
              <w:t>9</w:t>
            </w:r>
          </w:p>
        </w:tc>
        <w:tc>
          <w:tcPr>
            <w:tcW w:w="3627" w:type="dxa"/>
            <w:gridSpan w:val="2"/>
            <w:shd w:val="clear" w:color="auto" w:fill="A6A6A6" w:themeFill="background1" w:themeFillShade="A6"/>
          </w:tcPr>
          <w:p w14:paraId="5DFBEAD7" w14:textId="77777777" w:rsidR="00C03772" w:rsidRPr="00E869A4" w:rsidRDefault="00C03772" w:rsidP="002E78BA">
            <w:pPr>
              <w:spacing w:line="240" w:lineRule="auto"/>
              <w:ind w:firstLine="0"/>
              <w:rPr>
                <w:rFonts w:ascii="Times New Roman" w:hAnsi="Times New Roman" w:cs="Times New Roman"/>
                <w:sz w:val="22"/>
              </w:rPr>
            </w:pPr>
          </w:p>
        </w:tc>
      </w:tr>
    </w:tbl>
    <w:p w14:paraId="4FE49002" w14:textId="77777777" w:rsidR="006B299A" w:rsidRPr="00E869A4" w:rsidRDefault="006B299A" w:rsidP="0027318B">
      <w:pPr>
        <w:pStyle w:val="Heading4"/>
      </w:pPr>
    </w:p>
    <w:p w14:paraId="4E2A23B1" w14:textId="0E75845B" w:rsidR="00C03772" w:rsidRPr="00E869A4" w:rsidRDefault="006419CC" w:rsidP="0027318B">
      <w:pPr>
        <w:pStyle w:val="Heading4"/>
      </w:pPr>
      <w:r w:rsidRPr="00E869A4">
        <w:lastRenderedPageBreak/>
        <w:t>Total Sample</w:t>
      </w:r>
    </w:p>
    <w:p w14:paraId="41A80B9A" w14:textId="77777777" w:rsidR="008C529F" w:rsidRPr="00E869A4" w:rsidRDefault="008C529F" w:rsidP="00A35FF8"/>
    <w:p w14:paraId="65E52693" w14:textId="049CFBEC" w:rsidR="00C83765" w:rsidRPr="00E869A4" w:rsidRDefault="00C03772">
      <w:pPr>
        <w:rPr>
          <w:rFonts w:ascii="Times New Roman" w:hAnsi="Times New Roman" w:cs="Times New Roman"/>
        </w:rPr>
      </w:pPr>
      <w:r w:rsidRPr="00E869A4">
        <w:rPr>
          <w:rFonts w:ascii="Times New Roman" w:hAnsi="Times New Roman" w:cs="Times New Roman"/>
        </w:rPr>
        <w:t xml:space="preserve">A total of three hundred and twenty (320) persons participated in this study (see Table </w:t>
      </w:r>
      <w:r w:rsidR="00EF34A6" w:rsidRPr="00E869A4">
        <w:rPr>
          <w:rFonts w:ascii="Times New Roman" w:hAnsi="Times New Roman" w:cs="Times New Roman"/>
        </w:rPr>
        <w:t>9</w:t>
      </w:r>
      <w:r w:rsidR="00D41CDC" w:rsidRPr="00E869A4">
        <w:rPr>
          <w:rFonts w:ascii="Times New Roman" w:hAnsi="Times New Roman" w:cs="Times New Roman"/>
        </w:rPr>
        <w:t xml:space="preserve"> </w:t>
      </w:r>
      <w:r w:rsidRPr="00E869A4">
        <w:rPr>
          <w:rFonts w:ascii="Times New Roman" w:hAnsi="Times New Roman" w:cs="Times New Roman"/>
        </w:rPr>
        <w:t xml:space="preserve">below). </w:t>
      </w:r>
      <w:r w:rsidR="00EF34A6" w:rsidRPr="00E869A4">
        <w:rPr>
          <w:rFonts w:ascii="Times New Roman" w:hAnsi="Times New Roman" w:cs="Times New Roman"/>
        </w:rPr>
        <w:t>Seventy-five percent (</w:t>
      </w:r>
      <w:r w:rsidRPr="00E869A4">
        <w:rPr>
          <w:rFonts w:ascii="Times New Roman" w:hAnsi="Times New Roman" w:cs="Times New Roman"/>
        </w:rPr>
        <w:t>75%</w:t>
      </w:r>
      <w:r w:rsidR="00EF34A6" w:rsidRPr="00E869A4">
        <w:rPr>
          <w:rFonts w:ascii="Times New Roman" w:hAnsi="Times New Roman" w:cs="Times New Roman"/>
        </w:rPr>
        <w:t>)</w:t>
      </w:r>
      <w:r w:rsidRPr="00E869A4">
        <w:rPr>
          <w:rFonts w:ascii="Times New Roman" w:hAnsi="Times New Roman" w:cs="Times New Roman"/>
        </w:rPr>
        <w:t xml:space="preserve"> of the sample consisted of survey respondents, </w:t>
      </w:r>
      <w:r w:rsidR="00EF34A6" w:rsidRPr="00E869A4">
        <w:rPr>
          <w:rFonts w:ascii="Times New Roman" w:hAnsi="Times New Roman" w:cs="Times New Roman"/>
        </w:rPr>
        <w:t xml:space="preserve">sixteen percent (16%) </w:t>
      </w:r>
      <w:r w:rsidRPr="00E869A4">
        <w:rPr>
          <w:rFonts w:ascii="Times New Roman" w:hAnsi="Times New Roman" w:cs="Times New Roman"/>
        </w:rPr>
        <w:t>were focus group participants</w:t>
      </w:r>
      <w:r w:rsidR="00EF34A6" w:rsidRPr="00E869A4">
        <w:rPr>
          <w:rFonts w:ascii="Times New Roman" w:hAnsi="Times New Roman" w:cs="Times New Roman"/>
        </w:rPr>
        <w:t>,</w:t>
      </w:r>
      <w:r w:rsidRPr="00E869A4">
        <w:rPr>
          <w:rFonts w:ascii="Times New Roman" w:hAnsi="Times New Roman" w:cs="Times New Roman"/>
        </w:rPr>
        <w:t xml:space="preserve"> and </w:t>
      </w:r>
      <w:r w:rsidR="00EF34A6" w:rsidRPr="00E869A4">
        <w:rPr>
          <w:rFonts w:ascii="Times New Roman" w:hAnsi="Times New Roman" w:cs="Times New Roman"/>
        </w:rPr>
        <w:t>nine percent (</w:t>
      </w:r>
      <w:r w:rsidRPr="00E869A4">
        <w:rPr>
          <w:rFonts w:ascii="Times New Roman" w:hAnsi="Times New Roman" w:cs="Times New Roman"/>
        </w:rPr>
        <w:t>9%</w:t>
      </w:r>
      <w:r w:rsidR="00EF34A6" w:rsidRPr="00E869A4">
        <w:rPr>
          <w:rFonts w:ascii="Times New Roman" w:hAnsi="Times New Roman" w:cs="Times New Roman"/>
        </w:rPr>
        <w:t>) were</w:t>
      </w:r>
      <w:r w:rsidRPr="00E869A4">
        <w:rPr>
          <w:rFonts w:ascii="Times New Roman" w:hAnsi="Times New Roman" w:cs="Times New Roman"/>
        </w:rPr>
        <w:t xml:space="preserve"> in-depth interview</w:t>
      </w:r>
      <w:r w:rsidR="00EF34A6" w:rsidRPr="00E869A4">
        <w:rPr>
          <w:rFonts w:ascii="Times New Roman" w:hAnsi="Times New Roman" w:cs="Times New Roman"/>
        </w:rPr>
        <w:t xml:space="preserve"> participant</w:t>
      </w:r>
      <w:r w:rsidRPr="00E869A4">
        <w:rPr>
          <w:rFonts w:ascii="Times New Roman" w:hAnsi="Times New Roman" w:cs="Times New Roman"/>
        </w:rPr>
        <w:t>s. Most participants were female</w:t>
      </w:r>
      <w:r w:rsidR="00EF34A6" w:rsidRPr="00E869A4">
        <w:rPr>
          <w:rFonts w:ascii="Times New Roman" w:hAnsi="Times New Roman" w:cs="Times New Roman"/>
        </w:rPr>
        <w:t xml:space="preserve"> (80%)</w:t>
      </w:r>
      <w:r w:rsidRPr="00E869A4">
        <w:rPr>
          <w:rFonts w:ascii="Times New Roman" w:hAnsi="Times New Roman" w:cs="Times New Roman"/>
        </w:rPr>
        <w:t xml:space="preserve">, and </w:t>
      </w:r>
      <w:r w:rsidR="00EF34A6" w:rsidRPr="00E869A4">
        <w:rPr>
          <w:rFonts w:ascii="Times New Roman" w:hAnsi="Times New Roman" w:cs="Times New Roman"/>
        </w:rPr>
        <w:t>only twenty percent (</w:t>
      </w:r>
      <w:r w:rsidRPr="00E869A4">
        <w:rPr>
          <w:rFonts w:ascii="Times New Roman" w:hAnsi="Times New Roman" w:cs="Times New Roman"/>
        </w:rPr>
        <w:t>20%</w:t>
      </w:r>
      <w:r w:rsidR="00EF34A6" w:rsidRPr="00E869A4">
        <w:rPr>
          <w:rFonts w:ascii="Times New Roman" w:hAnsi="Times New Roman" w:cs="Times New Roman"/>
        </w:rPr>
        <w:t>)</w:t>
      </w:r>
      <w:r w:rsidRPr="00E869A4">
        <w:rPr>
          <w:rFonts w:ascii="Times New Roman" w:hAnsi="Times New Roman" w:cs="Times New Roman"/>
        </w:rPr>
        <w:t xml:space="preserve"> were male. </w:t>
      </w:r>
    </w:p>
    <w:p w14:paraId="157942C3" w14:textId="77777777" w:rsidR="007A424E" w:rsidRPr="00E869A4" w:rsidRDefault="007A424E">
      <w:pPr>
        <w:rPr>
          <w:iCs/>
        </w:rPr>
      </w:pPr>
    </w:p>
    <w:p w14:paraId="374D9014" w14:textId="347254CF" w:rsidR="006C2BA5" w:rsidRPr="00E869A4" w:rsidRDefault="006C2BA5" w:rsidP="006C2BA5">
      <w:pPr>
        <w:pStyle w:val="Caption"/>
        <w:rPr>
          <w:b/>
          <w:i w:val="0"/>
          <w:sz w:val="24"/>
        </w:rPr>
      </w:pPr>
      <w:bookmarkStart w:id="279" w:name="_Toc40436608"/>
      <w:r w:rsidRPr="00E869A4">
        <w:rPr>
          <w:b/>
          <w:i w:val="0"/>
          <w:sz w:val="24"/>
        </w:rPr>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9</w:t>
      </w:r>
      <w:r w:rsidR="00194F87" w:rsidRPr="00E869A4">
        <w:rPr>
          <w:b/>
          <w:i w:val="0"/>
          <w:sz w:val="24"/>
        </w:rPr>
        <w:fldChar w:fldCharType="end"/>
      </w:r>
      <w:r w:rsidRPr="00E869A4">
        <w:rPr>
          <w:b/>
          <w:i w:val="0"/>
          <w:sz w:val="24"/>
        </w:rPr>
        <w:t>: Number of Respondents Participating in Each Data Collection Approach</w:t>
      </w:r>
      <w:bookmarkEnd w:id="279"/>
    </w:p>
    <w:p w14:paraId="2305D29C" w14:textId="77777777" w:rsidR="00C83765" w:rsidRPr="00E869A4" w:rsidRDefault="00C83765" w:rsidP="00C83765"/>
    <w:tbl>
      <w:tblPr>
        <w:tblW w:w="8379" w:type="dxa"/>
        <w:jc w:val="center"/>
        <w:tblLook w:val="04A0" w:firstRow="1" w:lastRow="0" w:firstColumn="1" w:lastColumn="0" w:noHBand="0" w:noVBand="1"/>
      </w:tblPr>
      <w:tblGrid>
        <w:gridCol w:w="1518"/>
        <w:gridCol w:w="2642"/>
        <w:gridCol w:w="1707"/>
        <w:gridCol w:w="1455"/>
        <w:gridCol w:w="1057"/>
      </w:tblGrid>
      <w:tr w:rsidR="00C714D3" w:rsidRPr="00E869A4" w14:paraId="5642000A" w14:textId="77777777" w:rsidTr="00BF5DF3">
        <w:trPr>
          <w:trHeight w:val="312"/>
          <w:jc w:val="center"/>
        </w:trPr>
        <w:tc>
          <w:tcPr>
            <w:tcW w:w="1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9D2044" w14:textId="77777777" w:rsidR="00C03772" w:rsidRPr="00E869A4" w:rsidRDefault="00C03772" w:rsidP="007A424E">
            <w:pPr>
              <w:spacing w:line="240" w:lineRule="auto"/>
              <w:rPr>
                <w:rFonts w:ascii="Times New Roman" w:hAnsi="Times New Roman" w:cs="Times New Roman"/>
                <w:lang w:eastAsia="en-TT"/>
              </w:rPr>
            </w:pPr>
            <w:r w:rsidRPr="00E869A4">
              <w:rPr>
                <w:rFonts w:ascii="Times New Roman" w:hAnsi="Times New Roman" w:cs="Times New Roman"/>
                <w:lang w:eastAsia="en-TT"/>
              </w:rPr>
              <w:t> </w:t>
            </w:r>
          </w:p>
        </w:tc>
        <w:tc>
          <w:tcPr>
            <w:tcW w:w="2699" w:type="dxa"/>
            <w:tcBorders>
              <w:top w:val="single" w:sz="8" w:space="0" w:color="auto"/>
              <w:left w:val="nil"/>
              <w:bottom w:val="nil"/>
              <w:right w:val="single" w:sz="8" w:space="0" w:color="auto"/>
            </w:tcBorders>
            <w:shd w:val="clear" w:color="auto" w:fill="auto"/>
            <w:vAlign w:val="center"/>
            <w:hideMark/>
          </w:tcPr>
          <w:p w14:paraId="67EB91BD"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In-Depth Interviews</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42F2F9"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Survey Respondents</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702933"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Focus Group Participants</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E97533" w14:textId="148238AE" w:rsidR="00C03772" w:rsidRPr="00E869A4" w:rsidRDefault="007A7ACF"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b/>
                <w:lang w:eastAsia="en-TT"/>
              </w:rPr>
              <w:t>TOTAL</w:t>
            </w:r>
          </w:p>
        </w:tc>
      </w:tr>
      <w:tr w:rsidR="00C714D3" w:rsidRPr="00E869A4" w14:paraId="1F5219D1" w14:textId="77777777" w:rsidTr="00BF5DF3">
        <w:trPr>
          <w:trHeight w:val="324"/>
          <w:jc w:val="center"/>
        </w:trPr>
        <w:tc>
          <w:tcPr>
            <w:tcW w:w="1540" w:type="dxa"/>
            <w:vMerge/>
            <w:tcBorders>
              <w:top w:val="single" w:sz="8" w:space="0" w:color="auto"/>
              <w:left w:val="single" w:sz="8" w:space="0" w:color="auto"/>
              <w:bottom w:val="single" w:sz="8" w:space="0" w:color="000000"/>
              <w:right w:val="single" w:sz="8" w:space="0" w:color="auto"/>
            </w:tcBorders>
            <w:vAlign w:val="center"/>
            <w:hideMark/>
          </w:tcPr>
          <w:p w14:paraId="3D0869A8" w14:textId="77777777" w:rsidR="00C03772" w:rsidRPr="00E869A4" w:rsidRDefault="00C03772" w:rsidP="007A424E">
            <w:pPr>
              <w:spacing w:line="240" w:lineRule="auto"/>
              <w:rPr>
                <w:rFonts w:ascii="Times New Roman" w:hAnsi="Times New Roman" w:cs="Times New Roman"/>
                <w:lang w:eastAsia="en-TT"/>
              </w:rPr>
            </w:pPr>
          </w:p>
        </w:tc>
        <w:tc>
          <w:tcPr>
            <w:tcW w:w="2699" w:type="dxa"/>
            <w:tcBorders>
              <w:top w:val="nil"/>
              <w:left w:val="nil"/>
              <w:bottom w:val="single" w:sz="8" w:space="0" w:color="auto"/>
              <w:right w:val="single" w:sz="8" w:space="0" w:color="auto"/>
            </w:tcBorders>
            <w:shd w:val="clear" w:color="auto" w:fill="auto"/>
            <w:vAlign w:val="center"/>
            <w:hideMark/>
          </w:tcPr>
          <w:p w14:paraId="06CA2CB3" w14:textId="07DA9C74"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w:t>
            </w:r>
            <w:r w:rsidRPr="00E869A4">
              <w:rPr>
                <w:rFonts w:ascii="Times New Roman" w:hAnsi="Times New Roman" w:cs="Times New Roman"/>
                <w:i/>
                <w:lang w:eastAsia="en-TT"/>
              </w:rPr>
              <w:t>N</w:t>
            </w:r>
            <w:r w:rsidR="00BF5DF3" w:rsidRPr="00E869A4">
              <w:rPr>
                <w:rFonts w:ascii="Times New Roman" w:hAnsi="Times New Roman" w:cs="Times New Roman"/>
                <w:i/>
                <w:lang w:eastAsia="en-TT"/>
              </w:rPr>
              <w:t>umber</w:t>
            </w:r>
            <w:r w:rsidRPr="00E869A4">
              <w:rPr>
                <w:rFonts w:ascii="Times New Roman" w:hAnsi="Times New Roman" w:cs="Times New Roman"/>
                <w:i/>
                <w:lang w:eastAsia="en-TT"/>
              </w:rPr>
              <w:t xml:space="preserve"> of Participants</w:t>
            </w:r>
            <w:r w:rsidRPr="00E869A4">
              <w:rPr>
                <w:rFonts w:ascii="Times New Roman" w:hAnsi="Times New Roman" w:cs="Times New Roman"/>
                <w:lang w:eastAsia="en-TT"/>
              </w:rPr>
              <w:t>)</w:t>
            </w:r>
          </w:p>
        </w:tc>
        <w:tc>
          <w:tcPr>
            <w:tcW w:w="1720" w:type="dxa"/>
            <w:vMerge/>
            <w:tcBorders>
              <w:top w:val="single" w:sz="8" w:space="0" w:color="auto"/>
              <w:left w:val="single" w:sz="8" w:space="0" w:color="auto"/>
              <w:bottom w:val="single" w:sz="8" w:space="0" w:color="000000"/>
              <w:right w:val="single" w:sz="8" w:space="0" w:color="auto"/>
            </w:tcBorders>
            <w:vAlign w:val="center"/>
            <w:hideMark/>
          </w:tcPr>
          <w:p w14:paraId="15217A44" w14:textId="77777777" w:rsidR="00C03772" w:rsidRPr="00E869A4" w:rsidRDefault="00C03772" w:rsidP="007A424E">
            <w:pPr>
              <w:spacing w:line="240" w:lineRule="auto"/>
              <w:rPr>
                <w:rFonts w:ascii="Times New Roman" w:hAnsi="Times New Roman" w:cs="Times New Roman"/>
                <w:lang w:eastAsia="en-TT"/>
              </w:rPr>
            </w:pPr>
          </w:p>
        </w:tc>
        <w:tc>
          <w:tcPr>
            <w:tcW w:w="1460" w:type="dxa"/>
            <w:vMerge/>
            <w:tcBorders>
              <w:top w:val="single" w:sz="8" w:space="0" w:color="auto"/>
              <w:left w:val="single" w:sz="8" w:space="0" w:color="auto"/>
              <w:bottom w:val="single" w:sz="8" w:space="0" w:color="000000"/>
              <w:right w:val="single" w:sz="8" w:space="0" w:color="auto"/>
            </w:tcBorders>
            <w:vAlign w:val="center"/>
            <w:hideMark/>
          </w:tcPr>
          <w:p w14:paraId="405C2EC3" w14:textId="77777777" w:rsidR="00C03772" w:rsidRPr="00E869A4" w:rsidRDefault="00C03772" w:rsidP="007A424E">
            <w:pPr>
              <w:spacing w:line="240" w:lineRule="auto"/>
              <w:rPr>
                <w:rFonts w:ascii="Times New Roman" w:hAnsi="Times New Roman" w:cs="Times New Roman"/>
                <w:lang w:eastAsia="en-TT"/>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B7AC130" w14:textId="77777777" w:rsidR="00C03772" w:rsidRPr="00E869A4" w:rsidRDefault="00C03772" w:rsidP="007A424E">
            <w:pPr>
              <w:spacing w:line="240" w:lineRule="auto"/>
              <w:rPr>
                <w:rFonts w:ascii="Times New Roman" w:hAnsi="Times New Roman" w:cs="Times New Roman"/>
                <w:lang w:eastAsia="en-TT"/>
              </w:rPr>
            </w:pPr>
          </w:p>
        </w:tc>
      </w:tr>
      <w:tr w:rsidR="00C714D3" w:rsidRPr="00E869A4" w14:paraId="31D0C95F" w14:textId="77777777" w:rsidTr="00BF5DF3">
        <w:trPr>
          <w:trHeight w:val="324"/>
          <w:jc w:val="center"/>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2BB5366D" w14:textId="77777777" w:rsidR="00C03772" w:rsidRPr="00E869A4" w:rsidRDefault="00C03772" w:rsidP="007A424E">
            <w:pPr>
              <w:spacing w:line="240" w:lineRule="auto"/>
              <w:ind w:firstLine="0"/>
              <w:rPr>
                <w:rFonts w:ascii="Times New Roman" w:hAnsi="Times New Roman" w:cs="Times New Roman"/>
                <w:lang w:eastAsia="en-TT"/>
              </w:rPr>
            </w:pPr>
            <w:r w:rsidRPr="00E869A4">
              <w:rPr>
                <w:rFonts w:ascii="Times New Roman" w:hAnsi="Times New Roman" w:cs="Times New Roman"/>
                <w:lang w:eastAsia="en-TT"/>
              </w:rPr>
              <w:t>Female</w:t>
            </w:r>
          </w:p>
        </w:tc>
        <w:tc>
          <w:tcPr>
            <w:tcW w:w="2699" w:type="dxa"/>
            <w:tcBorders>
              <w:top w:val="nil"/>
              <w:left w:val="nil"/>
              <w:bottom w:val="single" w:sz="8" w:space="0" w:color="auto"/>
              <w:right w:val="single" w:sz="8" w:space="0" w:color="auto"/>
            </w:tcBorders>
            <w:shd w:val="clear" w:color="auto" w:fill="auto"/>
            <w:vAlign w:val="center"/>
            <w:hideMark/>
          </w:tcPr>
          <w:p w14:paraId="61F5C2B8"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23</w:t>
            </w:r>
          </w:p>
        </w:tc>
        <w:tc>
          <w:tcPr>
            <w:tcW w:w="1720" w:type="dxa"/>
            <w:tcBorders>
              <w:top w:val="nil"/>
              <w:left w:val="nil"/>
              <w:bottom w:val="single" w:sz="8" w:space="0" w:color="auto"/>
              <w:right w:val="single" w:sz="8" w:space="0" w:color="auto"/>
            </w:tcBorders>
            <w:shd w:val="clear" w:color="auto" w:fill="auto"/>
            <w:vAlign w:val="center"/>
            <w:hideMark/>
          </w:tcPr>
          <w:p w14:paraId="2C3C05DB"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188</w:t>
            </w:r>
          </w:p>
        </w:tc>
        <w:tc>
          <w:tcPr>
            <w:tcW w:w="1460" w:type="dxa"/>
            <w:tcBorders>
              <w:top w:val="nil"/>
              <w:left w:val="nil"/>
              <w:bottom w:val="single" w:sz="8" w:space="0" w:color="auto"/>
              <w:right w:val="single" w:sz="8" w:space="0" w:color="auto"/>
            </w:tcBorders>
            <w:shd w:val="clear" w:color="auto" w:fill="auto"/>
            <w:vAlign w:val="center"/>
            <w:hideMark/>
          </w:tcPr>
          <w:p w14:paraId="15B96373"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44</w:t>
            </w:r>
          </w:p>
        </w:tc>
        <w:tc>
          <w:tcPr>
            <w:tcW w:w="960" w:type="dxa"/>
            <w:tcBorders>
              <w:top w:val="nil"/>
              <w:left w:val="nil"/>
              <w:bottom w:val="single" w:sz="8" w:space="0" w:color="auto"/>
              <w:right w:val="single" w:sz="8" w:space="0" w:color="auto"/>
            </w:tcBorders>
            <w:shd w:val="clear" w:color="auto" w:fill="auto"/>
            <w:vAlign w:val="center"/>
            <w:hideMark/>
          </w:tcPr>
          <w:p w14:paraId="0428F1CC" w14:textId="77777777" w:rsidR="00C03772" w:rsidRPr="00E869A4" w:rsidRDefault="00C03772" w:rsidP="007A424E">
            <w:pPr>
              <w:spacing w:line="240" w:lineRule="auto"/>
              <w:ind w:firstLine="32"/>
              <w:jc w:val="center"/>
              <w:rPr>
                <w:rFonts w:ascii="Times New Roman" w:hAnsi="Times New Roman" w:cs="Times New Roman"/>
                <w:b/>
                <w:bCs/>
                <w:lang w:eastAsia="en-TT"/>
              </w:rPr>
            </w:pPr>
            <w:r w:rsidRPr="00E869A4">
              <w:rPr>
                <w:rFonts w:ascii="Times New Roman" w:hAnsi="Times New Roman" w:cs="Times New Roman"/>
                <w:b/>
                <w:bCs/>
                <w:lang w:eastAsia="en-TT"/>
              </w:rPr>
              <w:t>255</w:t>
            </w:r>
          </w:p>
        </w:tc>
      </w:tr>
      <w:tr w:rsidR="00C714D3" w:rsidRPr="00E869A4" w14:paraId="014725E6" w14:textId="77777777" w:rsidTr="00BF5DF3">
        <w:trPr>
          <w:trHeight w:val="324"/>
          <w:jc w:val="center"/>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31CA0613" w14:textId="77777777" w:rsidR="00C03772" w:rsidRPr="00E869A4" w:rsidRDefault="00C03772" w:rsidP="007A424E">
            <w:pPr>
              <w:spacing w:line="240" w:lineRule="auto"/>
              <w:ind w:firstLine="0"/>
              <w:rPr>
                <w:rFonts w:ascii="Times New Roman" w:hAnsi="Times New Roman" w:cs="Times New Roman"/>
                <w:lang w:eastAsia="en-TT"/>
              </w:rPr>
            </w:pPr>
            <w:r w:rsidRPr="00E869A4">
              <w:rPr>
                <w:rFonts w:ascii="Times New Roman" w:hAnsi="Times New Roman" w:cs="Times New Roman"/>
                <w:lang w:eastAsia="en-TT"/>
              </w:rPr>
              <w:t>Male</w:t>
            </w:r>
          </w:p>
        </w:tc>
        <w:tc>
          <w:tcPr>
            <w:tcW w:w="2699" w:type="dxa"/>
            <w:tcBorders>
              <w:top w:val="nil"/>
              <w:left w:val="nil"/>
              <w:bottom w:val="single" w:sz="8" w:space="0" w:color="auto"/>
              <w:right w:val="single" w:sz="8" w:space="0" w:color="auto"/>
            </w:tcBorders>
            <w:shd w:val="clear" w:color="auto" w:fill="auto"/>
            <w:vAlign w:val="center"/>
            <w:hideMark/>
          </w:tcPr>
          <w:p w14:paraId="2E57C219"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5</w:t>
            </w:r>
          </w:p>
        </w:tc>
        <w:tc>
          <w:tcPr>
            <w:tcW w:w="1720" w:type="dxa"/>
            <w:tcBorders>
              <w:top w:val="nil"/>
              <w:left w:val="nil"/>
              <w:bottom w:val="single" w:sz="8" w:space="0" w:color="auto"/>
              <w:right w:val="single" w:sz="8" w:space="0" w:color="auto"/>
            </w:tcBorders>
            <w:shd w:val="clear" w:color="auto" w:fill="auto"/>
            <w:vAlign w:val="center"/>
            <w:hideMark/>
          </w:tcPr>
          <w:p w14:paraId="77BDFF96"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53</w:t>
            </w:r>
          </w:p>
        </w:tc>
        <w:tc>
          <w:tcPr>
            <w:tcW w:w="1460" w:type="dxa"/>
            <w:tcBorders>
              <w:top w:val="nil"/>
              <w:left w:val="nil"/>
              <w:bottom w:val="single" w:sz="8" w:space="0" w:color="auto"/>
              <w:right w:val="single" w:sz="8" w:space="0" w:color="auto"/>
            </w:tcBorders>
            <w:shd w:val="clear" w:color="auto" w:fill="auto"/>
            <w:vAlign w:val="center"/>
            <w:hideMark/>
          </w:tcPr>
          <w:p w14:paraId="4F031AC6" w14:textId="77777777" w:rsidR="00C03772" w:rsidRPr="00E869A4" w:rsidRDefault="00C03772" w:rsidP="007A424E">
            <w:pPr>
              <w:spacing w:line="240" w:lineRule="auto"/>
              <w:ind w:firstLine="0"/>
              <w:jc w:val="center"/>
              <w:rPr>
                <w:rFonts w:ascii="Times New Roman" w:hAnsi="Times New Roman" w:cs="Times New Roman"/>
                <w:lang w:eastAsia="en-TT"/>
              </w:rPr>
            </w:pPr>
            <w:r w:rsidRPr="00E869A4">
              <w:rPr>
                <w:rFonts w:ascii="Times New Roman" w:hAnsi="Times New Roman" w:cs="Times New Roman"/>
                <w:lang w:eastAsia="en-TT"/>
              </w:rPr>
              <w:t>7</w:t>
            </w:r>
          </w:p>
        </w:tc>
        <w:tc>
          <w:tcPr>
            <w:tcW w:w="960" w:type="dxa"/>
            <w:tcBorders>
              <w:top w:val="nil"/>
              <w:left w:val="nil"/>
              <w:bottom w:val="single" w:sz="8" w:space="0" w:color="auto"/>
              <w:right w:val="single" w:sz="8" w:space="0" w:color="auto"/>
            </w:tcBorders>
            <w:shd w:val="clear" w:color="auto" w:fill="auto"/>
            <w:vAlign w:val="center"/>
            <w:hideMark/>
          </w:tcPr>
          <w:p w14:paraId="4526EC61" w14:textId="77777777" w:rsidR="00C03772" w:rsidRPr="00E869A4" w:rsidRDefault="00C03772" w:rsidP="007A424E">
            <w:pPr>
              <w:spacing w:line="240" w:lineRule="auto"/>
              <w:ind w:firstLine="32"/>
              <w:jc w:val="center"/>
              <w:rPr>
                <w:rFonts w:ascii="Times New Roman" w:hAnsi="Times New Roman" w:cs="Times New Roman"/>
                <w:b/>
                <w:bCs/>
                <w:lang w:eastAsia="en-TT"/>
              </w:rPr>
            </w:pPr>
            <w:r w:rsidRPr="00E869A4">
              <w:rPr>
                <w:rFonts w:ascii="Times New Roman" w:hAnsi="Times New Roman" w:cs="Times New Roman"/>
                <w:b/>
                <w:bCs/>
                <w:lang w:eastAsia="en-TT"/>
              </w:rPr>
              <w:t>65</w:t>
            </w:r>
          </w:p>
        </w:tc>
      </w:tr>
      <w:tr w:rsidR="00C03772" w:rsidRPr="00E869A4" w14:paraId="250BB67E" w14:textId="77777777" w:rsidTr="00BF5DF3">
        <w:trPr>
          <w:trHeight w:val="324"/>
          <w:jc w:val="center"/>
        </w:trPr>
        <w:tc>
          <w:tcPr>
            <w:tcW w:w="1540" w:type="dxa"/>
            <w:tcBorders>
              <w:top w:val="nil"/>
              <w:left w:val="single" w:sz="8" w:space="0" w:color="auto"/>
              <w:bottom w:val="single" w:sz="8" w:space="0" w:color="auto"/>
              <w:right w:val="single" w:sz="8" w:space="0" w:color="auto"/>
            </w:tcBorders>
            <w:shd w:val="clear" w:color="auto" w:fill="auto"/>
            <w:vAlign w:val="center"/>
            <w:hideMark/>
          </w:tcPr>
          <w:p w14:paraId="2185A82C" w14:textId="3FE24CE5" w:rsidR="00C03772" w:rsidRPr="00E869A4" w:rsidRDefault="00BF5DF3" w:rsidP="007A424E">
            <w:pPr>
              <w:spacing w:line="240" w:lineRule="auto"/>
              <w:ind w:firstLine="0"/>
              <w:rPr>
                <w:rFonts w:ascii="Times New Roman" w:hAnsi="Times New Roman" w:cs="Times New Roman"/>
                <w:b/>
                <w:lang w:eastAsia="en-TT"/>
              </w:rPr>
            </w:pPr>
            <w:r w:rsidRPr="00E869A4">
              <w:rPr>
                <w:rFonts w:ascii="Times New Roman" w:hAnsi="Times New Roman" w:cs="Times New Roman"/>
                <w:b/>
                <w:lang w:eastAsia="en-TT"/>
              </w:rPr>
              <w:t>TOTAL</w:t>
            </w:r>
          </w:p>
        </w:tc>
        <w:tc>
          <w:tcPr>
            <w:tcW w:w="2699" w:type="dxa"/>
            <w:tcBorders>
              <w:top w:val="nil"/>
              <w:left w:val="nil"/>
              <w:bottom w:val="single" w:sz="8" w:space="0" w:color="auto"/>
              <w:right w:val="single" w:sz="8" w:space="0" w:color="auto"/>
            </w:tcBorders>
            <w:shd w:val="clear" w:color="auto" w:fill="auto"/>
            <w:vAlign w:val="center"/>
            <w:hideMark/>
          </w:tcPr>
          <w:p w14:paraId="1F915BA1" w14:textId="77777777" w:rsidR="00C03772" w:rsidRPr="00E869A4" w:rsidRDefault="00C03772" w:rsidP="007A424E">
            <w:pPr>
              <w:spacing w:line="240" w:lineRule="auto"/>
              <w:ind w:firstLine="0"/>
              <w:jc w:val="center"/>
              <w:rPr>
                <w:rFonts w:ascii="Times New Roman" w:hAnsi="Times New Roman" w:cs="Times New Roman"/>
                <w:b/>
                <w:bCs/>
                <w:lang w:eastAsia="en-TT"/>
              </w:rPr>
            </w:pPr>
            <w:r w:rsidRPr="00E869A4">
              <w:rPr>
                <w:rFonts w:ascii="Times New Roman" w:hAnsi="Times New Roman" w:cs="Times New Roman"/>
                <w:b/>
                <w:bCs/>
                <w:lang w:eastAsia="en-TT"/>
              </w:rPr>
              <w:t>28</w:t>
            </w:r>
          </w:p>
        </w:tc>
        <w:tc>
          <w:tcPr>
            <w:tcW w:w="1720" w:type="dxa"/>
            <w:tcBorders>
              <w:top w:val="nil"/>
              <w:left w:val="nil"/>
              <w:bottom w:val="single" w:sz="8" w:space="0" w:color="auto"/>
              <w:right w:val="single" w:sz="8" w:space="0" w:color="auto"/>
            </w:tcBorders>
            <w:shd w:val="clear" w:color="auto" w:fill="auto"/>
            <w:vAlign w:val="center"/>
            <w:hideMark/>
          </w:tcPr>
          <w:p w14:paraId="267504F2" w14:textId="77777777" w:rsidR="00C03772" w:rsidRPr="00E869A4" w:rsidRDefault="00C03772" w:rsidP="007A424E">
            <w:pPr>
              <w:spacing w:line="240" w:lineRule="auto"/>
              <w:ind w:firstLine="0"/>
              <w:jc w:val="center"/>
              <w:rPr>
                <w:rFonts w:ascii="Times New Roman" w:hAnsi="Times New Roman" w:cs="Times New Roman"/>
                <w:b/>
                <w:bCs/>
                <w:lang w:eastAsia="en-TT"/>
              </w:rPr>
            </w:pPr>
            <w:r w:rsidRPr="00E869A4">
              <w:rPr>
                <w:rFonts w:ascii="Times New Roman" w:hAnsi="Times New Roman" w:cs="Times New Roman"/>
                <w:b/>
                <w:bCs/>
                <w:lang w:eastAsia="en-TT"/>
              </w:rPr>
              <w:t>241</w:t>
            </w:r>
          </w:p>
        </w:tc>
        <w:tc>
          <w:tcPr>
            <w:tcW w:w="1460" w:type="dxa"/>
            <w:tcBorders>
              <w:top w:val="nil"/>
              <w:left w:val="nil"/>
              <w:bottom w:val="single" w:sz="8" w:space="0" w:color="auto"/>
              <w:right w:val="single" w:sz="8" w:space="0" w:color="auto"/>
            </w:tcBorders>
            <w:shd w:val="clear" w:color="auto" w:fill="auto"/>
            <w:vAlign w:val="center"/>
            <w:hideMark/>
          </w:tcPr>
          <w:p w14:paraId="724B84C0" w14:textId="77777777" w:rsidR="00C03772" w:rsidRPr="00E869A4" w:rsidRDefault="00C03772" w:rsidP="007A424E">
            <w:pPr>
              <w:spacing w:line="240" w:lineRule="auto"/>
              <w:ind w:firstLine="0"/>
              <w:jc w:val="center"/>
              <w:rPr>
                <w:rFonts w:ascii="Times New Roman" w:hAnsi="Times New Roman" w:cs="Times New Roman"/>
                <w:b/>
                <w:bCs/>
                <w:lang w:eastAsia="en-TT"/>
              </w:rPr>
            </w:pPr>
            <w:r w:rsidRPr="00E869A4">
              <w:rPr>
                <w:rFonts w:ascii="Times New Roman" w:hAnsi="Times New Roman" w:cs="Times New Roman"/>
                <w:b/>
                <w:bCs/>
                <w:lang w:eastAsia="en-TT"/>
              </w:rPr>
              <w:t>51</w:t>
            </w:r>
          </w:p>
        </w:tc>
        <w:tc>
          <w:tcPr>
            <w:tcW w:w="960" w:type="dxa"/>
            <w:tcBorders>
              <w:top w:val="nil"/>
              <w:left w:val="nil"/>
              <w:bottom w:val="single" w:sz="8" w:space="0" w:color="auto"/>
              <w:right w:val="single" w:sz="8" w:space="0" w:color="auto"/>
            </w:tcBorders>
            <w:shd w:val="clear" w:color="auto" w:fill="auto"/>
            <w:vAlign w:val="center"/>
            <w:hideMark/>
          </w:tcPr>
          <w:p w14:paraId="5630B139" w14:textId="77777777" w:rsidR="00C03772" w:rsidRPr="00E869A4" w:rsidRDefault="00C03772" w:rsidP="007A424E">
            <w:pPr>
              <w:spacing w:line="240" w:lineRule="auto"/>
              <w:ind w:firstLine="32"/>
              <w:jc w:val="center"/>
              <w:rPr>
                <w:rFonts w:ascii="Times New Roman" w:hAnsi="Times New Roman" w:cs="Times New Roman"/>
                <w:b/>
                <w:bCs/>
                <w:lang w:eastAsia="en-TT"/>
              </w:rPr>
            </w:pPr>
            <w:r w:rsidRPr="00E869A4">
              <w:rPr>
                <w:rFonts w:ascii="Times New Roman" w:hAnsi="Times New Roman" w:cs="Times New Roman"/>
                <w:b/>
                <w:bCs/>
                <w:lang w:eastAsia="en-TT"/>
              </w:rPr>
              <w:t>320</w:t>
            </w:r>
          </w:p>
        </w:tc>
      </w:tr>
    </w:tbl>
    <w:p w14:paraId="62A1D72D" w14:textId="77777777" w:rsidR="007416FB" w:rsidRPr="00E869A4" w:rsidRDefault="007416FB" w:rsidP="004F2F74">
      <w:pPr>
        <w:rPr>
          <w:rFonts w:ascii="Times New Roman" w:hAnsi="Times New Roman" w:cs="Times New Roman"/>
        </w:rPr>
      </w:pPr>
    </w:p>
    <w:p w14:paraId="2FB29C95" w14:textId="2EF7C73C" w:rsidR="004F2F74" w:rsidRPr="00E869A4" w:rsidRDefault="00A66211" w:rsidP="004F2F74">
      <w:pPr>
        <w:rPr>
          <w:rFonts w:ascii="Times New Roman" w:hAnsi="Times New Roman" w:cs="Times New Roman"/>
        </w:rPr>
      </w:pPr>
      <w:r w:rsidRPr="00E869A4">
        <w:rPr>
          <w:rFonts w:ascii="Times New Roman" w:hAnsi="Times New Roman" w:cs="Times New Roman"/>
        </w:rPr>
        <w:t>O</w:t>
      </w:r>
      <w:r w:rsidR="004F2F74" w:rsidRPr="00E869A4">
        <w:rPr>
          <w:rFonts w:ascii="Times New Roman" w:hAnsi="Times New Roman" w:cs="Times New Roman"/>
        </w:rPr>
        <w:t>verall, most of the participants in this study (73%; n=234) were from the island of Trinidad. A smaller proportion (27%; n = 46) were from Tobago. As noted in the Background of this study, Tobago’s population is only 4.6% (n = 60,874) of the overall population of this Twin Island Republic (n = 1.3 million). Thus, the proportion of participants</w:t>
      </w:r>
      <w:r w:rsidR="00C83765" w:rsidRPr="00E869A4">
        <w:rPr>
          <w:rFonts w:ascii="Times New Roman" w:hAnsi="Times New Roman" w:cs="Times New Roman"/>
        </w:rPr>
        <w:t xml:space="preserve"> from Tobago</w:t>
      </w:r>
      <w:r w:rsidR="004F2F74" w:rsidRPr="00E869A4">
        <w:rPr>
          <w:rFonts w:ascii="Times New Roman" w:hAnsi="Times New Roman" w:cs="Times New Roman"/>
        </w:rPr>
        <w:t xml:space="preserve"> in this study significantly exceeded the total proportion of persons living in Tobago relative to Trinidad. </w:t>
      </w:r>
    </w:p>
    <w:p w14:paraId="722DC0B7" w14:textId="77777777" w:rsidR="0076644E" w:rsidRPr="00E869A4" w:rsidRDefault="0076644E" w:rsidP="0076644E">
      <w:pPr>
        <w:jc w:val="center"/>
        <w:rPr>
          <w:rFonts w:ascii="Times New Roman" w:hAnsi="Times New Roman" w:cs="Times New Roman"/>
        </w:rPr>
      </w:pPr>
    </w:p>
    <w:p w14:paraId="3965CDFC" w14:textId="0FD0FA42" w:rsidR="000D4CA7" w:rsidRPr="00E869A4" w:rsidRDefault="000D4CA7" w:rsidP="002E78BA">
      <w:pPr>
        <w:pStyle w:val="Caption"/>
        <w:ind w:firstLine="0"/>
        <w:rPr>
          <w:b/>
          <w:i w:val="0"/>
          <w:sz w:val="24"/>
        </w:rPr>
      </w:pPr>
      <w:bookmarkStart w:id="280" w:name="_Toc40436609"/>
      <w:r w:rsidRPr="00E869A4">
        <w:rPr>
          <w:b/>
          <w:i w:val="0"/>
          <w:sz w:val="24"/>
        </w:rPr>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10</w:t>
      </w:r>
      <w:r w:rsidRPr="00E869A4">
        <w:rPr>
          <w:b/>
          <w:i w:val="0"/>
          <w:sz w:val="24"/>
        </w:rPr>
        <w:fldChar w:fldCharType="end"/>
      </w:r>
      <w:r w:rsidR="00347C4D" w:rsidRPr="00E869A4">
        <w:rPr>
          <w:b/>
          <w:i w:val="0"/>
          <w:sz w:val="24"/>
        </w:rPr>
        <w:t>:</w:t>
      </w:r>
      <w:r w:rsidRPr="00E869A4">
        <w:rPr>
          <w:b/>
          <w:i w:val="0"/>
          <w:sz w:val="24"/>
        </w:rPr>
        <w:t xml:space="preserve"> Number of Participants by Island</w:t>
      </w:r>
      <w:bookmarkEnd w:id="280"/>
    </w:p>
    <w:p w14:paraId="3FC12EA1" w14:textId="77777777" w:rsidR="00BF5DF3" w:rsidRPr="00E869A4" w:rsidRDefault="00BF5DF3" w:rsidP="002E78BA">
      <w:pPr>
        <w:ind w:firstLine="0"/>
      </w:pPr>
    </w:p>
    <w:tbl>
      <w:tblPr>
        <w:tblStyle w:val="TableGrid"/>
        <w:tblW w:w="0" w:type="auto"/>
        <w:jc w:val="center"/>
        <w:tblLook w:val="04A0" w:firstRow="1" w:lastRow="0" w:firstColumn="1" w:lastColumn="0" w:noHBand="0" w:noVBand="1"/>
      </w:tblPr>
      <w:tblGrid>
        <w:gridCol w:w="2235"/>
        <w:gridCol w:w="1531"/>
        <w:gridCol w:w="1559"/>
        <w:gridCol w:w="1418"/>
        <w:gridCol w:w="1701"/>
      </w:tblGrid>
      <w:tr w:rsidR="00C714D3" w:rsidRPr="00E869A4" w14:paraId="0ABFF651" w14:textId="77777777" w:rsidTr="00C83765">
        <w:trPr>
          <w:jc w:val="center"/>
        </w:trPr>
        <w:tc>
          <w:tcPr>
            <w:tcW w:w="2235" w:type="dxa"/>
          </w:tcPr>
          <w:p w14:paraId="23176384" w14:textId="77777777" w:rsidR="0076644E" w:rsidRPr="00E869A4" w:rsidRDefault="0076644E" w:rsidP="002E78BA">
            <w:pPr>
              <w:ind w:firstLine="0"/>
              <w:rPr>
                <w:rFonts w:ascii="Times New Roman" w:hAnsi="Times New Roman" w:cs="Times New Roman"/>
                <w:iCs/>
                <w:szCs w:val="18"/>
              </w:rPr>
            </w:pPr>
          </w:p>
        </w:tc>
        <w:tc>
          <w:tcPr>
            <w:tcW w:w="1531" w:type="dxa"/>
          </w:tcPr>
          <w:p w14:paraId="535188FB" w14:textId="77777777" w:rsidR="0076644E" w:rsidRPr="00E869A4" w:rsidRDefault="0076644E" w:rsidP="002E78BA">
            <w:pPr>
              <w:ind w:firstLine="0"/>
              <w:jc w:val="center"/>
              <w:rPr>
                <w:rFonts w:ascii="Times New Roman" w:hAnsi="Times New Roman" w:cs="Times New Roman"/>
                <w:i/>
                <w:iCs/>
                <w:szCs w:val="18"/>
              </w:rPr>
            </w:pPr>
            <w:r w:rsidRPr="00E869A4">
              <w:rPr>
                <w:rFonts w:ascii="Times New Roman" w:hAnsi="Times New Roman" w:cs="Times New Roman"/>
                <w:i/>
                <w:iCs/>
                <w:szCs w:val="18"/>
              </w:rPr>
              <w:t>Trinidad</w:t>
            </w:r>
          </w:p>
        </w:tc>
        <w:tc>
          <w:tcPr>
            <w:tcW w:w="1559" w:type="dxa"/>
          </w:tcPr>
          <w:p w14:paraId="7A00F0B4" w14:textId="77777777" w:rsidR="0076644E" w:rsidRPr="00E869A4" w:rsidRDefault="0076644E" w:rsidP="002E78BA">
            <w:pPr>
              <w:ind w:firstLine="0"/>
              <w:jc w:val="center"/>
              <w:rPr>
                <w:rFonts w:ascii="Times New Roman" w:hAnsi="Times New Roman" w:cs="Times New Roman"/>
                <w:i/>
                <w:iCs/>
                <w:szCs w:val="18"/>
              </w:rPr>
            </w:pPr>
            <w:r w:rsidRPr="00E869A4">
              <w:rPr>
                <w:rFonts w:ascii="Times New Roman" w:hAnsi="Times New Roman" w:cs="Times New Roman"/>
                <w:i/>
                <w:iCs/>
                <w:szCs w:val="18"/>
              </w:rPr>
              <w:t>Tobago</w:t>
            </w:r>
          </w:p>
        </w:tc>
        <w:tc>
          <w:tcPr>
            <w:tcW w:w="1418" w:type="dxa"/>
          </w:tcPr>
          <w:p w14:paraId="111F1C55" w14:textId="77777777" w:rsidR="0076644E" w:rsidRPr="00E869A4" w:rsidRDefault="0076644E" w:rsidP="002E78BA">
            <w:pPr>
              <w:ind w:firstLine="0"/>
              <w:jc w:val="center"/>
              <w:rPr>
                <w:rFonts w:ascii="Times New Roman" w:hAnsi="Times New Roman" w:cs="Times New Roman"/>
                <w:i/>
                <w:iCs/>
                <w:szCs w:val="18"/>
              </w:rPr>
            </w:pPr>
            <w:r w:rsidRPr="00E869A4">
              <w:rPr>
                <w:rFonts w:ascii="Times New Roman" w:hAnsi="Times New Roman" w:cs="Times New Roman"/>
                <w:i/>
                <w:iCs/>
                <w:szCs w:val="18"/>
              </w:rPr>
              <w:t>Unknown</w:t>
            </w:r>
          </w:p>
        </w:tc>
        <w:tc>
          <w:tcPr>
            <w:tcW w:w="1701" w:type="dxa"/>
          </w:tcPr>
          <w:p w14:paraId="718EB4EE" w14:textId="2150B9BD" w:rsidR="0076644E" w:rsidRPr="00E869A4" w:rsidRDefault="0076644E" w:rsidP="002E78BA">
            <w:pPr>
              <w:ind w:firstLine="0"/>
              <w:jc w:val="center"/>
              <w:rPr>
                <w:rFonts w:ascii="Times New Roman" w:hAnsi="Times New Roman" w:cs="Times New Roman"/>
                <w:b/>
                <w:iCs/>
                <w:szCs w:val="18"/>
              </w:rPr>
            </w:pPr>
            <w:r w:rsidRPr="00E869A4">
              <w:rPr>
                <w:rFonts w:ascii="Times New Roman" w:hAnsi="Times New Roman" w:cs="Times New Roman"/>
                <w:b/>
                <w:iCs/>
                <w:szCs w:val="18"/>
              </w:rPr>
              <w:t>T</w:t>
            </w:r>
            <w:r w:rsidR="007A7ACF" w:rsidRPr="00E869A4">
              <w:rPr>
                <w:rFonts w:ascii="Times New Roman" w:hAnsi="Times New Roman" w:cs="Times New Roman"/>
                <w:b/>
                <w:iCs/>
                <w:szCs w:val="18"/>
              </w:rPr>
              <w:t>OTAL</w:t>
            </w:r>
          </w:p>
        </w:tc>
      </w:tr>
      <w:tr w:rsidR="00C714D3" w:rsidRPr="00E869A4" w14:paraId="125A73BC" w14:textId="77777777" w:rsidTr="00C83765">
        <w:trPr>
          <w:jc w:val="center"/>
        </w:trPr>
        <w:tc>
          <w:tcPr>
            <w:tcW w:w="2235" w:type="dxa"/>
          </w:tcPr>
          <w:p w14:paraId="01592B9D" w14:textId="77777777" w:rsidR="0076644E" w:rsidRPr="00E869A4" w:rsidRDefault="0076644E" w:rsidP="002E78BA">
            <w:pPr>
              <w:ind w:firstLine="0"/>
              <w:rPr>
                <w:rFonts w:ascii="Times New Roman" w:hAnsi="Times New Roman" w:cs="Times New Roman"/>
                <w:iCs/>
                <w:szCs w:val="18"/>
              </w:rPr>
            </w:pPr>
            <w:r w:rsidRPr="00E869A4">
              <w:rPr>
                <w:rFonts w:ascii="Times New Roman" w:hAnsi="Times New Roman" w:cs="Times New Roman"/>
                <w:iCs/>
                <w:szCs w:val="18"/>
              </w:rPr>
              <w:t>In-Depth Interviews</w:t>
            </w:r>
          </w:p>
        </w:tc>
        <w:tc>
          <w:tcPr>
            <w:tcW w:w="1531" w:type="dxa"/>
          </w:tcPr>
          <w:p w14:paraId="54EAE3A0" w14:textId="77777777" w:rsidR="0076644E" w:rsidRPr="00E869A4" w:rsidRDefault="0076644E" w:rsidP="002E78BA">
            <w:pPr>
              <w:ind w:firstLine="0"/>
              <w:jc w:val="center"/>
              <w:rPr>
                <w:rFonts w:ascii="Times New Roman" w:hAnsi="Times New Roman" w:cs="Times New Roman"/>
                <w:iCs/>
                <w:szCs w:val="18"/>
              </w:rPr>
            </w:pPr>
            <w:r w:rsidRPr="00E869A4">
              <w:rPr>
                <w:rFonts w:ascii="Times New Roman" w:hAnsi="Times New Roman" w:cs="Times New Roman"/>
                <w:iCs/>
                <w:szCs w:val="18"/>
              </w:rPr>
              <w:t>24</w:t>
            </w:r>
          </w:p>
        </w:tc>
        <w:tc>
          <w:tcPr>
            <w:tcW w:w="1559" w:type="dxa"/>
          </w:tcPr>
          <w:p w14:paraId="522B56CE" w14:textId="77777777" w:rsidR="0076644E" w:rsidRPr="00E869A4" w:rsidRDefault="0076644E" w:rsidP="002E78BA">
            <w:pPr>
              <w:ind w:firstLine="0"/>
              <w:jc w:val="center"/>
              <w:rPr>
                <w:rFonts w:ascii="Times New Roman" w:hAnsi="Times New Roman" w:cs="Times New Roman"/>
                <w:iCs/>
                <w:szCs w:val="18"/>
              </w:rPr>
            </w:pPr>
            <w:r w:rsidRPr="00E869A4">
              <w:rPr>
                <w:rFonts w:ascii="Times New Roman" w:hAnsi="Times New Roman" w:cs="Times New Roman"/>
                <w:iCs/>
                <w:szCs w:val="18"/>
              </w:rPr>
              <w:t>4</w:t>
            </w:r>
          </w:p>
        </w:tc>
        <w:tc>
          <w:tcPr>
            <w:tcW w:w="1418" w:type="dxa"/>
          </w:tcPr>
          <w:p w14:paraId="63ADEE6E" w14:textId="77777777" w:rsidR="0076644E" w:rsidRPr="00E869A4" w:rsidRDefault="0076644E" w:rsidP="002E78BA">
            <w:pPr>
              <w:ind w:firstLine="0"/>
              <w:jc w:val="center"/>
              <w:rPr>
                <w:rFonts w:ascii="Times New Roman" w:hAnsi="Times New Roman" w:cs="Times New Roman"/>
                <w:iCs/>
                <w:szCs w:val="18"/>
              </w:rPr>
            </w:pPr>
            <w:proofErr w:type="spellStart"/>
            <w:r w:rsidRPr="00E869A4">
              <w:rPr>
                <w:rFonts w:ascii="Times New Roman" w:hAnsi="Times New Roman" w:cs="Times New Roman"/>
                <w:iCs/>
                <w:szCs w:val="18"/>
              </w:rPr>
              <w:t>na</w:t>
            </w:r>
            <w:proofErr w:type="spellEnd"/>
          </w:p>
        </w:tc>
        <w:tc>
          <w:tcPr>
            <w:tcW w:w="1701" w:type="dxa"/>
          </w:tcPr>
          <w:p w14:paraId="22A0EABF" w14:textId="77777777" w:rsidR="0076644E" w:rsidRPr="00E869A4" w:rsidRDefault="0076644E" w:rsidP="002E78BA">
            <w:pPr>
              <w:ind w:firstLine="0"/>
              <w:jc w:val="center"/>
              <w:rPr>
                <w:rFonts w:ascii="Times New Roman" w:hAnsi="Times New Roman" w:cs="Times New Roman"/>
                <w:b/>
                <w:bCs/>
                <w:lang w:eastAsia="en-TT"/>
              </w:rPr>
            </w:pPr>
            <w:r w:rsidRPr="00E869A4">
              <w:rPr>
                <w:rFonts w:ascii="Times New Roman" w:hAnsi="Times New Roman" w:cs="Times New Roman"/>
                <w:b/>
                <w:bCs/>
                <w:lang w:eastAsia="en-TT"/>
              </w:rPr>
              <w:t>28</w:t>
            </w:r>
          </w:p>
        </w:tc>
      </w:tr>
      <w:tr w:rsidR="00C714D3" w:rsidRPr="00E869A4" w14:paraId="23CF2177" w14:textId="77777777" w:rsidTr="00C83765">
        <w:trPr>
          <w:jc w:val="center"/>
        </w:trPr>
        <w:tc>
          <w:tcPr>
            <w:tcW w:w="2235" w:type="dxa"/>
          </w:tcPr>
          <w:p w14:paraId="3316BEAD" w14:textId="77777777" w:rsidR="0076644E" w:rsidRPr="00E869A4" w:rsidRDefault="0076644E" w:rsidP="002E78BA">
            <w:pPr>
              <w:ind w:firstLine="0"/>
              <w:rPr>
                <w:rFonts w:ascii="Times New Roman" w:hAnsi="Times New Roman" w:cs="Times New Roman"/>
                <w:iCs/>
                <w:szCs w:val="18"/>
              </w:rPr>
            </w:pPr>
            <w:r w:rsidRPr="00E869A4">
              <w:rPr>
                <w:rFonts w:ascii="Times New Roman" w:hAnsi="Times New Roman" w:cs="Times New Roman"/>
                <w:iCs/>
                <w:szCs w:val="18"/>
              </w:rPr>
              <w:t>Online Survey</w:t>
            </w:r>
          </w:p>
        </w:tc>
        <w:tc>
          <w:tcPr>
            <w:tcW w:w="1531" w:type="dxa"/>
          </w:tcPr>
          <w:p w14:paraId="0A9DC25A" w14:textId="77777777" w:rsidR="0076644E" w:rsidRPr="00E869A4" w:rsidRDefault="0076644E" w:rsidP="002E78BA">
            <w:pPr>
              <w:ind w:firstLine="0"/>
              <w:jc w:val="center"/>
              <w:rPr>
                <w:rFonts w:ascii="Times New Roman" w:hAnsi="Times New Roman" w:cs="Times New Roman"/>
                <w:iCs/>
                <w:szCs w:val="18"/>
              </w:rPr>
            </w:pPr>
            <w:r w:rsidRPr="00E869A4">
              <w:rPr>
                <w:rFonts w:ascii="Times New Roman" w:hAnsi="Times New Roman" w:cs="Times New Roman"/>
                <w:iCs/>
                <w:szCs w:val="18"/>
              </w:rPr>
              <w:t>197</w:t>
            </w:r>
          </w:p>
        </w:tc>
        <w:tc>
          <w:tcPr>
            <w:tcW w:w="1559" w:type="dxa"/>
          </w:tcPr>
          <w:p w14:paraId="61359F74" w14:textId="77777777" w:rsidR="0076644E" w:rsidRPr="00E869A4" w:rsidRDefault="0076644E" w:rsidP="002E78BA">
            <w:pPr>
              <w:ind w:firstLine="0"/>
              <w:jc w:val="center"/>
              <w:rPr>
                <w:rFonts w:ascii="Times New Roman" w:hAnsi="Times New Roman" w:cs="Times New Roman"/>
                <w:iCs/>
                <w:szCs w:val="18"/>
              </w:rPr>
            </w:pPr>
            <w:r w:rsidRPr="00E869A4">
              <w:rPr>
                <w:rFonts w:ascii="Times New Roman" w:hAnsi="Times New Roman" w:cs="Times New Roman"/>
                <w:iCs/>
                <w:szCs w:val="18"/>
              </w:rPr>
              <w:t>4</w:t>
            </w:r>
          </w:p>
        </w:tc>
        <w:tc>
          <w:tcPr>
            <w:tcW w:w="1418" w:type="dxa"/>
          </w:tcPr>
          <w:p w14:paraId="61331E26" w14:textId="77777777" w:rsidR="0076644E" w:rsidRPr="00E869A4" w:rsidRDefault="0076644E" w:rsidP="002E78BA">
            <w:pPr>
              <w:ind w:firstLine="0"/>
              <w:jc w:val="center"/>
              <w:rPr>
                <w:rFonts w:ascii="Times New Roman" w:hAnsi="Times New Roman" w:cs="Times New Roman"/>
                <w:iCs/>
                <w:szCs w:val="18"/>
              </w:rPr>
            </w:pPr>
            <w:r w:rsidRPr="00E869A4">
              <w:rPr>
                <w:rFonts w:ascii="Times New Roman" w:hAnsi="Times New Roman" w:cs="Times New Roman"/>
                <w:iCs/>
                <w:szCs w:val="18"/>
              </w:rPr>
              <w:t>40</w:t>
            </w:r>
          </w:p>
        </w:tc>
        <w:tc>
          <w:tcPr>
            <w:tcW w:w="1701" w:type="dxa"/>
          </w:tcPr>
          <w:p w14:paraId="01187F0F" w14:textId="77777777" w:rsidR="0076644E" w:rsidRPr="00E869A4" w:rsidRDefault="0076644E" w:rsidP="002E78BA">
            <w:pPr>
              <w:ind w:firstLine="0"/>
              <w:jc w:val="center"/>
              <w:rPr>
                <w:rFonts w:ascii="Times New Roman" w:hAnsi="Times New Roman" w:cs="Times New Roman"/>
                <w:b/>
                <w:bCs/>
                <w:lang w:eastAsia="en-TT"/>
              </w:rPr>
            </w:pPr>
            <w:r w:rsidRPr="00E869A4">
              <w:rPr>
                <w:rFonts w:ascii="Times New Roman" w:hAnsi="Times New Roman" w:cs="Times New Roman"/>
                <w:b/>
                <w:bCs/>
                <w:lang w:eastAsia="en-TT"/>
              </w:rPr>
              <w:t>241</w:t>
            </w:r>
          </w:p>
        </w:tc>
      </w:tr>
      <w:tr w:rsidR="00C714D3" w:rsidRPr="00E869A4" w14:paraId="72937F49" w14:textId="77777777" w:rsidTr="00C83765">
        <w:trPr>
          <w:jc w:val="center"/>
        </w:trPr>
        <w:tc>
          <w:tcPr>
            <w:tcW w:w="2235" w:type="dxa"/>
          </w:tcPr>
          <w:p w14:paraId="5C43A2DA" w14:textId="77777777" w:rsidR="0076644E" w:rsidRPr="00E869A4" w:rsidRDefault="0076644E" w:rsidP="002E78BA">
            <w:pPr>
              <w:ind w:firstLine="0"/>
              <w:rPr>
                <w:rFonts w:ascii="Times New Roman" w:hAnsi="Times New Roman" w:cs="Times New Roman"/>
                <w:iCs/>
                <w:szCs w:val="18"/>
              </w:rPr>
            </w:pPr>
            <w:r w:rsidRPr="00E869A4">
              <w:rPr>
                <w:rFonts w:ascii="Times New Roman" w:hAnsi="Times New Roman" w:cs="Times New Roman"/>
                <w:iCs/>
                <w:szCs w:val="18"/>
              </w:rPr>
              <w:t>Focus Groups</w:t>
            </w:r>
          </w:p>
        </w:tc>
        <w:tc>
          <w:tcPr>
            <w:tcW w:w="1531" w:type="dxa"/>
          </w:tcPr>
          <w:p w14:paraId="29CB7B9F" w14:textId="77777777" w:rsidR="0076644E" w:rsidRPr="00E869A4" w:rsidRDefault="0076644E" w:rsidP="002E78BA">
            <w:pPr>
              <w:ind w:firstLine="0"/>
              <w:jc w:val="center"/>
              <w:rPr>
                <w:rFonts w:ascii="Times New Roman" w:hAnsi="Times New Roman" w:cs="Times New Roman"/>
                <w:iCs/>
                <w:szCs w:val="18"/>
              </w:rPr>
            </w:pPr>
            <w:r w:rsidRPr="00E869A4">
              <w:rPr>
                <w:rFonts w:ascii="Times New Roman" w:hAnsi="Times New Roman" w:cs="Times New Roman"/>
                <w:iCs/>
                <w:szCs w:val="18"/>
              </w:rPr>
              <w:t>13</w:t>
            </w:r>
          </w:p>
        </w:tc>
        <w:tc>
          <w:tcPr>
            <w:tcW w:w="1559" w:type="dxa"/>
          </w:tcPr>
          <w:p w14:paraId="7E524CA3" w14:textId="77777777" w:rsidR="0076644E" w:rsidRPr="00E869A4" w:rsidRDefault="0076644E" w:rsidP="002E78BA">
            <w:pPr>
              <w:ind w:firstLine="0"/>
              <w:jc w:val="center"/>
              <w:rPr>
                <w:rFonts w:ascii="Times New Roman" w:hAnsi="Times New Roman" w:cs="Times New Roman"/>
                <w:iCs/>
                <w:szCs w:val="18"/>
              </w:rPr>
            </w:pPr>
            <w:r w:rsidRPr="00E869A4">
              <w:rPr>
                <w:rFonts w:ascii="Times New Roman" w:hAnsi="Times New Roman" w:cs="Times New Roman"/>
                <w:iCs/>
                <w:szCs w:val="18"/>
              </w:rPr>
              <w:t>38</w:t>
            </w:r>
          </w:p>
        </w:tc>
        <w:tc>
          <w:tcPr>
            <w:tcW w:w="1418" w:type="dxa"/>
          </w:tcPr>
          <w:p w14:paraId="36530D2A" w14:textId="77777777" w:rsidR="0076644E" w:rsidRPr="00E869A4" w:rsidRDefault="0076644E" w:rsidP="002E78BA">
            <w:pPr>
              <w:ind w:firstLine="0"/>
              <w:jc w:val="center"/>
              <w:rPr>
                <w:rFonts w:ascii="Times New Roman" w:hAnsi="Times New Roman" w:cs="Times New Roman"/>
                <w:iCs/>
                <w:szCs w:val="18"/>
              </w:rPr>
            </w:pPr>
            <w:proofErr w:type="spellStart"/>
            <w:r w:rsidRPr="00E869A4">
              <w:rPr>
                <w:rFonts w:ascii="Times New Roman" w:hAnsi="Times New Roman" w:cs="Times New Roman"/>
                <w:iCs/>
                <w:szCs w:val="18"/>
              </w:rPr>
              <w:t>na</w:t>
            </w:r>
            <w:proofErr w:type="spellEnd"/>
          </w:p>
        </w:tc>
        <w:tc>
          <w:tcPr>
            <w:tcW w:w="1701" w:type="dxa"/>
          </w:tcPr>
          <w:p w14:paraId="2B2CD927" w14:textId="77777777" w:rsidR="0076644E" w:rsidRPr="00E869A4" w:rsidRDefault="0076644E" w:rsidP="002E78BA">
            <w:pPr>
              <w:ind w:firstLine="0"/>
              <w:jc w:val="center"/>
              <w:rPr>
                <w:rFonts w:ascii="Times New Roman" w:hAnsi="Times New Roman" w:cs="Times New Roman"/>
                <w:b/>
                <w:bCs/>
                <w:lang w:eastAsia="en-TT"/>
              </w:rPr>
            </w:pPr>
            <w:r w:rsidRPr="00E869A4">
              <w:rPr>
                <w:rFonts w:ascii="Times New Roman" w:hAnsi="Times New Roman" w:cs="Times New Roman"/>
                <w:b/>
                <w:bCs/>
                <w:lang w:eastAsia="en-TT"/>
              </w:rPr>
              <w:t>51</w:t>
            </w:r>
          </w:p>
        </w:tc>
      </w:tr>
      <w:tr w:rsidR="0076644E" w:rsidRPr="00E869A4" w14:paraId="773E5EE6" w14:textId="77777777" w:rsidTr="00C83765">
        <w:trPr>
          <w:jc w:val="center"/>
        </w:trPr>
        <w:tc>
          <w:tcPr>
            <w:tcW w:w="2235" w:type="dxa"/>
          </w:tcPr>
          <w:p w14:paraId="1F8716B9" w14:textId="00803437" w:rsidR="0076644E" w:rsidRPr="00E869A4" w:rsidRDefault="0076644E" w:rsidP="002E78BA">
            <w:pPr>
              <w:ind w:firstLine="0"/>
              <w:rPr>
                <w:rFonts w:ascii="Times New Roman" w:hAnsi="Times New Roman" w:cs="Times New Roman"/>
                <w:b/>
                <w:iCs/>
                <w:szCs w:val="18"/>
              </w:rPr>
            </w:pPr>
            <w:r w:rsidRPr="00E869A4">
              <w:rPr>
                <w:rFonts w:ascii="Times New Roman" w:hAnsi="Times New Roman" w:cs="Times New Roman"/>
                <w:b/>
                <w:iCs/>
                <w:szCs w:val="18"/>
              </w:rPr>
              <w:t>T</w:t>
            </w:r>
            <w:r w:rsidR="007A7ACF" w:rsidRPr="00E869A4">
              <w:rPr>
                <w:rFonts w:ascii="Times New Roman" w:hAnsi="Times New Roman" w:cs="Times New Roman"/>
                <w:b/>
                <w:iCs/>
                <w:szCs w:val="18"/>
              </w:rPr>
              <w:t>OTAL</w:t>
            </w:r>
          </w:p>
        </w:tc>
        <w:tc>
          <w:tcPr>
            <w:tcW w:w="1531" w:type="dxa"/>
          </w:tcPr>
          <w:p w14:paraId="1C7F6CC9" w14:textId="77777777" w:rsidR="0076644E" w:rsidRPr="00E869A4" w:rsidRDefault="0076644E" w:rsidP="002E78BA">
            <w:pPr>
              <w:ind w:firstLine="0"/>
              <w:jc w:val="center"/>
              <w:rPr>
                <w:rFonts w:ascii="Times New Roman" w:hAnsi="Times New Roman" w:cs="Times New Roman"/>
                <w:b/>
                <w:bCs/>
                <w:lang w:eastAsia="en-TT"/>
              </w:rPr>
            </w:pPr>
            <w:r w:rsidRPr="00E869A4">
              <w:rPr>
                <w:rFonts w:ascii="Times New Roman" w:hAnsi="Times New Roman" w:cs="Times New Roman"/>
                <w:b/>
                <w:bCs/>
                <w:lang w:eastAsia="en-TT"/>
              </w:rPr>
              <w:t>234</w:t>
            </w:r>
          </w:p>
        </w:tc>
        <w:tc>
          <w:tcPr>
            <w:tcW w:w="1559" w:type="dxa"/>
          </w:tcPr>
          <w:p w14:paraId="5F7D09A0" w14:textId="77777777" w:rsidR="0076644E" w:rsidRPr="00E869A4" w:rsidRDefault="0076644E" w:rsidP="002E78BA">
            <w:pPr>
              <w:ind w:firstLine="0"/>
              <w:jc w:val="center"/>
              <w:rPr>
                <w:rFonts w:ascii="Times New Roman" w:hAnsi="Times New Roman" w:cs="Times New Roman"/>
                <w:b/>
                <w:bCs/>
                <w:lang w:eastAsia="en-TT"/>
              </w:rPr>
            </w:pPr>
            <w:r w:rsidRPr="00E869A4">
              <w:rPr>
                <w:rFonts w:ascii="Times New Roman" w:hAnsi="Times New Roman" w:cs="Times New Roman"/>
                <w:b/>
                <w:bCs/>
                <w:lang w:eastAsia="en-TT"/>
              </w:rPr>
              <w:t>46</w:t>
            </w:r>
          </w:p>
        </w:tc>
        <w:tc>
          <w:tcPr>
            <w:tcW w:w="1418" w:type="dxa"/>
          </w:tcPr>
          <w:p w14:paraId="5AE71837" w14:textId="77777777" w:rsidR="0076644E" w:rsidRPr="00E869A4" w:rsidRDefault="0076644E" w:rsidP="002E78BA">
            <w:pPr>
              <w:ind w:firstLine="0"/>
              <w:jc w:val="center"/>
              <w:rPr>
                <w:rFonts w:ascii="Times New Roman" w:hAnsi="Times New Roman" w:cs="Times New Roman"/>
                <w:b/>
                <w:bCs/>
                <w:lang w:eastAsia="en-TT"/>
              </w:rPr>
            </w:pPr>
            <w:r w:rsidRPr="00E869A4">
              <w:rPr>
                <w:rFonts w:ascii="Times New Roman" w:hAnsi="Times New Roman" w:cs="Times New Roman"/>
                <w:b/>
                <w:bCs/>
                <w:lang w:eastAsia="en-TT"/>
              </w:rPr>
              <w:t>40</w:t>
            </w:r>
          </w:p>
        </w:tc>
        <w:tc>
          <w:tcPr>
            <w:tcW w:w="1701" w:type="dxa"/>
          </w:tcPr>
          <w:p w14:paraId="6E98CEB1" w14:textId="77777777" w:rsidR="0076644E" w:rsidRPr="00E869A4" w:rsidRDefault="0076644E" w:rsidP="002E78BA">
            <w:pPr>
              <w:ind w:firstLine="0"/>
              <w:jc w:val="center"/>
              <w:rPr>
                <w:rFonts w:ascii="Times New Roman" w:hAnsi="Times New Roman" w:cs="Times New Roman"/>
                <w:b/>
                <w:iCs/>
                <w:szCs w:val="18"/>
              </w:rPr>
            </w:pPr>
            <w:r w:rsidRPr="00E869A4">
              <w:rPr>
                <w:rFonts w:ascii="Times New Roman" w:hAnsi="Times New Roman" w:cs="Times New Roman"/>
                <w:b/>
                <w:iCs/>
                <w:szCs w:val="18"/>
              </w:rPr>
              <w:t>320</w:t>
            </w:r>
          </w:p>
        </w:tc>
      </w:tr>
    </w:tbl>
    <w:p w14:paraId="04D02260" w14:textId="77777777" w:rsidR="00A66211" w:rsidRPr="00E869A4" w:rsidRDefault="00A66211" w:rsidP="002E78BA">
      <w:pPr>
        <w:ind w:firstLine="0"/>
        <w:rPr>
          <w:rFonts w:ascii="Times New Roman" w:hAnsi="Times New Roman" w:cs="Times New Roman"/>
          <w:i/>
          <w:iCs/>
          <w:szCs w:val="18"/>
        </w:rPr>
      </w:pPr>
    </w:p>
    <w:p w14:paraId="3FC360EA" w14:textId="77777777" w:rsidR="00C03772" w:rsidRPr="00E869A4" w:rsidRDefault="006419CC" w:rsidP="0027318B">
      <w:pPr>
        <w:pStyle w:val="Heading4"/>
      </w:pPr>
      <w:bookmarkStart w:id="281" w:name="_Toc508858761"/>
      <w:r w:rsidRPr="00E869A4">
        <w:t>Recorded Sessions</w:t>
      </w:r>
      <w:bookmarkEnd w:id="281"/>
    </w:p>
    <w:p w14:paraId="4569D902" w14:textId="77777777" w:rsidR="00C03772" w:rsidRPr="00E869A4" w:rsidRDefault="00C03772" w:rsidP="00A35FF8">
      <w:pPr>
        <w:rPr>
          <w:rFonts w:ascii="Times New Roman" w:hAnsi="Times New Roman" w:cs="Times New Roman"/>
        </w:rPr>
      </w:pPr>
    </w:p>
    <w:p w14:paraId="14E2F63B" w14:textId="041BF977" w:rsidR="00F6301B" w:rsidRPr="00E869A4" w:rsidRDefault="00C03772">
      <w:pPr>
        <w:rPr>
          <w:rFonts w:ascii="Times New Roman" w:hAnsi="Times New Roman" w:cs="Times New Roman"/>
        </w:rPr>
      </w:pPr>
      <w:r w:rsidRPr="00E869A4">
        <w:rPr>
          <w:rFonts w:ascii="Times New Roman" w:hAnsi="Times New Roman" w:cs="Times New Roman"/>
        </w:rPr>
        <w:t xml:space="preserve">With the exception of the </w:t>
      </w:r>
      <w:r w:rsidR="00F6301B" w:rsidRPr="00E869A4">
        <w:rPr>
          <w:rFonts w:ascii="Times New Roman" w:hAnsi="Times New Roman" w:cs="Times New Roman"/>
        </w:rPr>
        <w:t>three (</w:t>
      </w:r>
      <w:r w:rsidRPr="00E869A4">
        <w:rPr>
          <w:rFonts w:ascii="Times New Roman" w:hAnsi="Times New Roman" w:cs="Times New Roman"/>
        </w:rPr>
        <w:t>3</w:t>
      </w:r>
      <w:r w:rsidR="00F6301B" w:rsidRPr="00E869A4">
        <w:rPr>
          <w:rFonts w:ascii="Times New Roman" w:hAnsi="Times New Roman" w:cs="Times New Roman"/>
        </w:rPr>
        <w:t>)</w:t>
      </w:r>
      <w:r w:rsidRPr="00E869A4">
        <w:rPr>
          <w:rFonts w:ascii="Times New Roman" w:hAnsi="Times New Roman" w:cs="Times New Roman"/>
        </w:rPr>
        <w:t xml:space="preserve"> in-depth interviews in Tobago, all of the interviews and focus group sessions were voice recorded. </w:t>
      </w:r>
      <w:r w:rsidR="00E17FD4" w:rsidRPr="00E869A4">
        <w:rPr>
          <w:rFonts w:ascii="Times New Roman" w:hAnsi="Times New Roman" w:cs="Times New Roman"/>
        </w:rPr>
        <w:t>Whilst</w:t>
      </w:r>
      <w:r w:rsidRPr="00E869A4">
        <w:rPr>
          <w:rFonts w:ascii="Times New Roman" w:hAnsi="Times New Roman" w:cs="Times New Roman"/>
        </w:rPr>
        <w:t xml:space="preserve"> I recorded the focus group sessions in Tobago, I decided </w:t>
      </w:r>
      <w:r w:rsidR="00225EA8" w:rsidRPr="00E869A4">
        <w:rPr>
          <w:rFonts w:ascii="Times New Roman" w:hAnsi="Times New Roman" w:cs="Times New Roman"/>
        </w:rPr>
        <w:t xml:space="preserve">not </w:t>
      </w:r>
      <w:r w:rsidRPr="00E869A4">
        <w:rPr>
          <w:rFonts w:ascii="Times New Roman" w:hAnsi="Times New Roman" w:cs="Times New Roman"/>
        </w:rPr>
        <w:lastRenderedPageBreak/>
        <w:t>to voice record the one-on-one sessions with service providers</w:t>
      </w:r>
      <w:r w:rsidR="00F6301B" w:rsidRPr="00E869A4">
        <w:rPr>
          <w:rFonts w:ascii="Times New Roman" w:hAnsi="Times New Roman" w:cs="Times New Roman"/>
        </w:rPr>
        <w:t>,</w:t>
      </w:r>
      <w:r w:rsidRPr="00E869A4">
        <w:rPr>
          <w:rFonts w:ascii="Times New Roman" w:hAnsi="Times New Roman" w:cs="Times New Roman"/>
        </w:rPr>
        <w:t xml:space="preserve"> given my concerns about participants (in particular social service providers) being unwilling to be candid in their responses. Handwritten notes were made during and immediately after each interview. </w:t>
      </w:r>
    </w:p>
    <w:p w14:paraId="403DFEAE" w14:textId="77777777" w:rsidR="005D5A6C" w:rsidRPr="00E869A4" w:rsidRDefault="005D5A6C">
      <w:pPr>
        <w:rPr>
          <w:rFonts w:ascii="Times New Roman" w:eastAsiaTheme="majorEastAsia" w:hAnsi="Times New Roman" w:cs="Times New Roman"/>
          <w:i/>
          <w:u w:val="single"/>
        </w:rPr>
      </w:pPr>
    </w:p>
    <w:p w14:paraId="23E9F02A" w14:textId="412072DA" w:rsidR="00C03772" w:rsidRPr="00E869A4" w:rsidRDefault="00C03772" w:rsidP="0031040A">
      <w:pPr>
        <w:pStyle w:val="Heading5"/>
        <w:rPr>
          <w:color w:val="auto"/>
        </w:rPr>
      </w:pPr>
      <w:r w:rsidRPr="00E869A4">
        <w:rPr>
          <w:color w:val="auto"/>
        </w:rPr>
        <w:t>Transcriptions</w:t>
      </w:r>
    </w:p>
    <w:p w14:paraId="60AF39AC" w14:textId="77777777" w:rsidR="006419CC" w:rsidRPr="00E869A4" w:rsidRDefault="006419CC" w:rsidP="00A35FF8">
      <w:pPr>
        <w:rPr>
          <w:rFonts w:ascii="Times New Roman" w:hAnsi="Times New Roman" w:cs="Times New Roman"/>
        </w:rPr>
      </w:pPr>
    </w:p>
    <w:p w14:paraId="3D446116" w14:textId="31971843" w:rsidR="00C03772" w:rsidRPr="00E869A4" w:rsidRDefault="00C03772" w:rsidP="00A35FF8">
      <w:pPr>
        <w:rPr>
          <w:rFonts w:ascii="Times New Roman" w:hAnsi="Times New Roman" w:cs="Times New Roman"/>
        </w:rPr>
      </w:pPr>
      <w:r w:rsidRPr="00E869A4">
        <w:rPr>
          <w:rFonts w:ascii="Times New Roman" w:hAnsi="Times New Roman" w:cs="Times New Roman"/>
        </w:rPr>
        <w:t xml:space="preserve">Transcripts of all recorded sessions were typed and stored on a </w:t>
      </w:r>
      <w:r w:rsidR="0015178D" w:rsidRPr="00E869A4">
        <w:rPr>
          <w:rFonts w:ascii="Times New Roman" w:hAnsi="Times New Roman" w:cs="Times New Roman"/>
        </w:rPr>
        <w:t>password-protected</w:t>
      </w:r>
      <w:r w:rsidRPr="00E869A4">
        <w:rPr>
          <w:rFonts w:ascii="Times New Roman" w:hAnsi="Times New Roman" w:cs="Times New Roman"/>
        </w:rPr>
        <w:t xml:space="preserve"> computer. The transcripts had both positivistic and interpretivistic features. While the positivist approach to transcription is based on the assumption that talk can be objectively presented, an interpretivist perspective views talk as representational</w:t>
      </w:r>
      <w:r w:rsidR="0015178D" w:rsidRPr="00E869A4">
        <w:rPr>
          <w:rFonts w:ascii="Times New Roman" w:hAnsi="Times New Roman" w:cs="Times New Roman"/>
        </w:rPr>
        <w:t>,</w:t>
      </w:r>
      <w:r w:rsidRPr="00E869A4">
        <w:rPr>
          <w:rFonts w:ascii="Times New Roman" w:hAnsi="Times New Roman" w:cs="Times New Roman"/>
        </w:rPr>
        <w:t xml:space="preserve"> with meanings and perceptions that construct reality. Thus, positivists tend to prepare transcripts that include as much detail as possible including idiosyncratic elements of speech such as involuntary vocalisations, stutters and pauses. This transcription appro</w:t>
      </w:r>
      <w:r w:rsidR="006D1958" w:rsidRPr="00E869A4">
        <w:rPr>
          <w:rFonts w:ascii="Times New Roman" w:hAnsi="Times New Roman" w:cs="Times New Roman"/>
        </w:rPr>
        <w:t xml:space="preserve">ach is also described as being </w:t>
      </w:r>
      <w:r w:rsidRPr="00E869A4">
        <w:rPr>
          <w:rFonts w:ascii="Times New Roman" w:hAnsi="Times New Roman" w:cs="Times New Roman"/>
          <w:i/>
        </w:rPr>
        <w:t>denaturalised</w:t>
      </w:r>
      <w:r w:rsidRPr="00E869A4">
        <w:rPr>
          <w:rFonts w:ascii="Times New Roman" w:hAnsi="Times New Roman" w:cs="Times New Roman"/>
        </w:rPr>
        <w:t xml:space="preserve"> as it is not consistent with how most written data is represented. Interpreti</w:t>
      </w:r>
      <w:r w:rsidR="006D1958" w:rsidRPr="00E869A4">
        <w:rPr>
          <w:rFonts w:ascii="Times New Roman" w:hAnsi="Times New Roman" w:cs="Times New Roman"/>
        </w:rPr>
        <w:t xml:space="preserve">vists are more likely to use a </w:t>
      </w:r>
      <w:r w:rsidRPr="00E869A4">
        <w:rPr>
          <w:rFonts w:ascii="Times New Roman" w:hAnsi="Times New Roman" w:cs="Times New Roman"/>
          <w:i/>
        </w:rPr>
        <w:t>naturalised</w:t>
      </w:r>
      <w:r w:rsidRPr="00E869A4">
        <w:rPr>
          <w:rFonts w:ascii="Times New Roman" w:hAnsi="Times New Roman" w:cs="Times New Roman"/>
        </w:rPr>
        <w:t xml:space="preserve"> approach to transcription which excludes these idiosyncratic elements and </w:t>
      </w:r>
      <w:r w:rsidR="00225EA8" w:rsidRPr="00E869A4">
        <w:rPr>
          <w:rFonts w:ascii="Times New Roman" w:hAnsi="Times New Roman" w:cs="Times New Roman"/>
        </w:rPr>
        <w:t>allows</w:t>
      </w:r>
      <w:r w:rsidRPr="00E869A4">
        <w:rPr>
          <w:rFonts w:ascii="Times New Roman" w:hAnsi="Times New Roman" w:cs="Times New Roman"/>
        </w:rPr>
        <w:t xml:space="preserve"> choices </w:t>
      </w:r>
      <w:r w:rsidR="00225EA8" w:rsidRPr="00E869A4">
        <w:rPr>
          <w:rFonts w:ascii="Times New Roman" w:hAnsi="Times New Roman" w:cs="Times New Roman"/>
        </w:rPr>
        <w:t xml:space="preserve">to be made </w:t>
      </w:r>
      <w:r w:rsidRPr="00E869A4">
        <w:rPr>
          <w:rFonts w:ascii="Times New Roman" w:hAnsi="Times New Roman" w:cs="Times New Roman"/>
        </w:rPr>
        <w:t xml:space="preserve">about what to record and how (Davidson 2009). Both naturalised and denaturalised approaches can be viewed as existing on a continuum and varying degrees of each approach may be incorporated in a research project. </w:t>
      </w:r>
    </w:p>
    <w:p w14:paraId="10011DDA" w14:textId="77777777" w:rsidR="001E5A7F" w:rsidRPr="00E869A4" w:rsidRDefault="001E5A7F" w:rsidP="00A35FF8">
      <w:pPr>
        <w:rPr>
          <w:rFonts w:ascii="Times New Roman" w:hAnsi="Times New Roman" w:cs="Times New Roman"/>
        </w:rPr>
      </w:pPr>
    </w:p>
    <w:p w14:paraId="6ED5C745" w14:textId="15E2F5C3" w:rsidR="0085074F" w:rsidRPr="00E869A4" w:rsidRDefault="00C03772" w:rsidP="00A35FF8">
      <w:pPr>
        <w:rPr>
          <w:rFonts w:ascii="Times New Roman" w:hAnsi="Times New Roman" w:cs="Times New Roman"/>
        </w:rPr>
      </w:pPr>
      <w:r w:rsidRPr="00E869A4">
        <w:rPr>
          <w:rFonts w:ascii="Times New Roman" w:hAnsi="Times New Roman" w:cs="Times New Roman"/>
        </w:rPr>
        <w:t xml:space="preserve">For this study, I chose to use a denaturalised approach </w:t>
      </w:r>
      <w:r w:rsidR="00FA4A19" w:rsidRPr="00E869A4">
        <w:rPr>
          <w:rFonts w:ascii="Times New Roman" w:hAnsi="Times New Roman" w:cs="Times New Roman"/>
        </w:rPr>
        <w:t>al</w:t>
      </w:r>
      <w:r w:rsidRPr="00E869A4">
        <w:rPr>
          <w:rFonts w:ascii="Times New Roman" w:hAnsi="Times New Roman" w:cs="Times New Roman"/>
        </w:rPr>
        <w:t xml:space="preserve">though some elements of naturalism informed the transcription process. </w:t>
      </w:r>
      <w:r w:rsidR="00FA4A19" w:rsidRPr="00E869A4">
        <w:rPr>
          <w:rFonts w:ascii="Times New Roman" w:hAnsi="Times New Roman" w:cs="Times New Roman"/>
        </w:rPr>
        <w:t>I found this</w:t>
      </w:r>
      <w:r w:rsidRPr="00E869A4">
        <w:rPr>
          <w:rFonts w:ascii="Times New Roman" w:hAnsi="Times New Roman" w:cs="Times New Roman"/>
        </w:rPr>
        <w:t xml:space="preserve"> approach was especially conducive to this study given the language used by the respondents. In </w:t>
      </w:r>
      <w:r w:rsidR="00EB2DA1" w:rsidRPr="00E869A4">
        <w:rPr>
          <w:rFonts w:ascii="Times New Roman" w:eastAsiaTheme="majorEastAsia" w:hAnsi="Times New Roman" w:cs="Times New Roman"/>
          <w:bCs/>
          <w:szCs w:val="26"/>
        </w:rPr>
        <w:t>T&amp;T</w:t>
      </w:r>
      <w:r w:rsidRPr="00E869A4">
        <w:rPr>
          <w:rFonts w:ascii="Times New Roman" w:hAnsi="Times New Roman" w:cs="Times New Roman"/>
        </w:rPr>
        <w:t xml:space="preserve">, </w:t>
      </w:r>
      <w:r w:rsidR="00E17FD4" w:rsidRPr="00E869A4">
        <w:rPr>
          <w:rFonts w:ascii="Times New Roman" w:hAnsi="Times New Roman" w:cs="Times New Roman"/>
        </w:rPr>
        <w:t xml:space="preserve">even </w:t>
      </w:r>
      <w:r w:rsidRPr="00E869A4">
        <w:rPr>
          <w:rFonts w:ascii="Times New Roman" w:hAnsi="Times New Roman" w:cs="Times New Roman"/>
        </w:rPr>
        <w:t xml:space="preserve">though English is the official language, English-creole with distinct African and French elements is generally used in everyday talk. While the original transcripts were prepared with as much detail as possible and some idiosyncratic elements were included (i.e. denaturalised elements), to ensure readability and understanding of the quotes used in documents prepared for readers who may be unfamiliar with the dialect of </w:t>
      </w:r>
      <w:r w:rsidR="00EB2DA1" w:rsidRPr="00E869A4">
        <w:rPr>
          <w:rFonts w:ascii="Times New Roman" w:eastAsiaTheme="majorEastAsia" w:hAnsi="Times New Roman" w:cs="Times New Roman"/>
          <w:bCs/>
          <w:szCs w:val="26"/>
        </w:rPr>
        <w:t>T&amp;T</w:t>
      </w:r>
      <w:r w:rsidRPr="00E869A4">
        <w:rPr>
          <w:rFonts w:ascii="Times New Roman" w:hAnsi="Times New Roman" w:cs="Times New Roman"/>
        </w:rPr>
        <w:t>, I decided to do some tidying of the information while endeavouring to maintain the original meaning of what was shared. In keeping with the recommendations of Gibbs (2008) for transcribing recordings of participants with a dialect or heavy accent, dialect words and regional grammatical expressions were retained</w:t>
      </w:r>
      <w:r w:rsidR="0085074F" w:rsidRPr="00E869A4">
        <w:rPr>
          <w:rFonts w:ascii="Times New Roman" w:hAnsi="Times New Roman" w:cs="Times New Roman"/>
        </w:rPr>
        <w:t>.</w:t>
      </w:r>
      <w:r w:rsidRPr="00E869A4">
        <w:rPr>
          <w:rFonts w:ascii="Times New Roman" w:hAnsi="Times New Roman" w:cs="Times New Roman"/>
        </w:rPr>
        <w:t xml:space="preserve"> I generally did not try to capture the actual sound of the accent</w:t>
      </w:r>
      <w:r w:rsidR="0085074F" w:rsidRPr="00E869A4">
        <w:rPr>
          <w:rFonts w:ascii="Times New Roman" w:hAnsi="Times New Roman" w:cs="Times New Roman"/>
        </w:rPr>
        <w:t xml:space="preserve"> but occasionally, </w:t>
      </w:r>
      <w:r w:rsidRPr="00E869A4">
        <w:rPr>
          <w:rFonts w:ascii="Times New Roman" w:hAnsi="Times New Roman" w:cs="Times New Roman"/>
        </w:rPr>
        <w:t xml:space="preserve">an exception was made to this </w:t>
      </w:r>
      <w:r w:rsidR="0085074F" w:rsidRPr="00E869A4">
        <w:rPr>
          <w:rFonts w:ascii="Times New Roman" w:hAnsi="Times New Roman" w:cs="Times New Roman"/>
        </w:rPr>
        <w:t xml:space="preserve">in order </w:t>
      </w:r>
      <w:r w:rsidRPr="00E869A4">
        <w:rPr>
          <w:rFonts w:ascii="Times New Roman" w:hAnsi="Times New Roman" w:cs="Times New Roman"/>
        </w:rPr>
        <w:t>to maintain the essence of what was shared</w:t>
      </w:r>
      <w:r w:rsidR="0085074F" w:rsidRPr="00E869A4">
        <w:rPr>
          <w:rFonts w:ascii="Times New Roman" w:hAnsi="Times New Roman" w:cs="Times New Roman"/>
        </w:rPr>
        <w:t>.</w:t>
      </w:r>
    </w:p>
    <w:p w14:paraId="0C8A9AD5" w14:textId="77777777" w:rsidR="006D1958" w:rsidRPr="00E869A4" w:rsidRDefault="006D1958" w:rsidP="00A35FF8">
      <w:pPr>
        <w:rPr>
          <w:rFonts w:ascii="Times New Roman" w:hAnsi="Times New Roman" w:cs="Times New Roman"/>
        </w:rPr>
      </w:pPr>
    </w:p>
    <w:p w14:paraId="4FF68865" w14:textId="7D982241" w:rsidR="00C03772" w:rsidRPr="00E869A4" w:rsidRDefault="00E9231D" w:rsidP="005C449C">
      <w:pPr>
        <w:pStyle w:val="Heading3"/>
      </w:pPr>
      <w:bookmarkStart w:id="282" w:name="_Toc40436514"/>
      <w:r w:rsidRPr="00E869A4">
        <w:lastRenderedPageBreak/>
        <w:t>5</w:t>
      </w:r>
      <w:r w:rsidR="00E779B5" w:rsidRPr="00E869A4">
        <w:t>.3.</w:t>
      </w:r>
      <w:r w:rsidRPr="00E869A4">
        <w:t>3</w:t>
      </w:r>
      <w:r w:rsidR="00E779B5" w:rsidRPr="00E869A4">
        <w:t xml:space="preserve">     Analysis Approach</w:t>
      </w:r>
      <w:bookmarkEnd w:id="282"/>
    </w:p>
    <w:p w14:paraId="3EFAEAD8" w14:textId="77777777" w:rsidR="001E5A7F" w:rsidRPr="00E869A4" w:rsidRDefault="001E5A7F" w:rsidP="001E5A7F"/>
    <w:p w14:paraId="1842B98D" w14:textId="57FD9267" w:rsidR="00E56270" w:rsidRPr="00E869A4" w:rsidRDefault="00E56270" w:rsidP="001E5A7F">
      <w:pPr>
        <w:pStyle w:val="Heading4"/>
      </w:pPr>
      <w:r w:rsidRPr="00E869A4">
        <w:t>Qualitative data analysis</w:t>
      </w:r>
    </w:p>
    <w:p w14:paraId="54770BF4" w14:textId="77777777" w:rsidR="00E56270" w:rsidRPr="00E869A4" w:rsidRDefault="00E56270" w:rsidP="00E56270">
      <w:pPr>
        <w:ind w:firstLine="0"/>
        <w:rPr>
          <w:rFonts w:ascii="Times New Roman" w:hAnsi="Times New Roman" w:cs="Times New Roman"/>
        </w:rPr>
      </w:pPr>
    </w:p>
    <w:p w14:paraId="5F1CA208" w14:textId="776DC190" w:rsidR="00C03772" w:rsidRPr="00E869A4" w:rsidRDefault="00C03772" w:rsidP="00A35FF8">
      <w:pPr>
        <w:rPr>
          <w:rFonts w:ascii="Times New Roman" w:hAnsi="Times New Roman" w:cs="Times New Roman"/>
        </w:rPr>
      </w:pPr>
      <w:r w:rsidRPr="00E869A4">
        <w:rPr>
          <w:rFonts w:ascii="Times New Roman" w:hAnsi="Times New Roman" w:cs="Times New Roman"/>
        </w:rPr>
        <w:t>Braun and Clarke’s (2006) six-phased approach to thematic analysis was used to analyse the qualitative data from the in-depth interviews and focus groups. These ‘</w:t>
      </w:r>
      <w:r w:rsidRPr="00E869A4">
        <w:rPr>
          <w:rFonts w:ascii="Times New Roman" w:hAnsi="Times New Roman" w:cs="Times New Roman"/>
          <w:i/>
        </w:rPr>
        <w:t>phases</w:t>
      </w:r>
      <w:r w:rsidRPr="00E869A4">
        <w:rPr>
          <w:rFonts w:ascii="Times New Roman" w:hAnsi="Times New Roman" w:cs="Times New Roman"/>
        </w:rPr>
        <w:t xml:space="preserve">’ were as follows: 1) </w:t>
      </w:r>
      <w:r w:rsidRPr="00E869A4">
        <w:rPr>
          <w:rFonts w:ascii="Times New Roman" w:hAnsi="Times New Roman" w:cs="Times New Roman"/>
          <w:i/>
        </w:rPr>
        <w:t>Familiarisation with the data</w:t>
      </w:r>
      <w:r w:rsidRPr="00E869A4">
        <w:rPr>
          <w:rFonts w:ascii="Times New Roman" w:hAnsi="Times New Roman" w:cs="Times New Roman"/>
        </w:rPr>
        <w:t xml:space="preserve"> – </w:t>
      </w:r>
      <w:r w:rsidR="00945551" w:rsidRPr="00E869A4">
        <w:rPr>
          <w:rFonts w:ascii="Times New Roman" w:hAnsi="Times New Roman" w:cs="Times New Roman"/>
        </w:rPr>
        <w:t xml:space="preserve">become familiar with the data by </w:t>
      </w:r>
      <w:r w:rsidRPr="00E869A4">
        <w:rPr>
          <w:rFonts w:ascii="Times New Roman" w:hAnsi="Times New Roman" w:cs="Times New Roman"/>
        </w:rPr>
        <w:t xml:space="preserve">reading and re-reading the </w:t>
      </w:r>
      <w:r w:rsidR="00945551" w:rsidRPr="00E869A4">
        <w:rPr>
          <w:rFonts w:ascii="Times New Roman" w:hAnsi="Times New Roman" w:cs="Times New Roman"/>
        </w:rPr>
        <w:t>material so as to</w:t>
      </w:r>
      <w:r w:rsidRPr="00E869A4">
        <w:rPr>
          <w:rFonts w:ascii="Times New Roman" w:hAnsi="Times New Roman" w:cs="Times New Roman"/>
        </w:rPr>
        <w:t xml:space="preserve"> become immersed and intimately familiar with its content; 2) </w:t>
      </w:r>
      <w:r w:rsidRPr="00E869A4">
        <w:rPr>
          <w:rFonts w:ascii="Times New Roman" w:hAnsi="Times New Roman" w:cs="Times New Roman"/>
          <w:i/>
        </w:rPr>
        <w:t xml:space="preserve">Coding </w:t>
      </w:r>
      <w:r w:rsidRPr="00E869A4">
        <w:rPr>
          <w:rFonts w:ascii="Times New Roman" w:hAnsi="Times New Roman" w:cs="Times New Roman"/>
        </w:rPr>
        <w:t xml:space="preserve">– </w:t>
      </w:r>
      <w:r w:rsidR="00945551" w:rsidRPr="00E869A4">
        <w:rPr>
          <w:rFonts w:ascii="Times New Roman" w:hAnsi="Times New Roman" w:cs="Times New Roman"/>
        </w:rPr>
        <w:t xml:space="preserve">generate initial </w:t>
      </w:r>
      <w:r w:rsidRPr="00E869A4">
        <w:rPr>
          <w:rFonts w:ascii="Times New Roman" w:hAnsi="Times New Roman" w:cs="Times New Roman"/>
        </w:rPr>
        <w:t>succinct labels (codes) that identify important features of the data that might be relevant to answering the research question,  coding the entire dataset, and collating all the codes and all relevant data extracts together</w:t>
      </w:r>
      <w:r w:rsidR="00E17FD4" w:rsidRPr="00E869A4">
        <w:rPr>
          <w:rFonts w:ascii="Times New Roman" w:hAnsi="Times New Roman" w:cs="Times New Roman"/>
        </w:rPr>
        <w:t>,</w:t>
      </w:r>
      <w:r w:rsidRPr="00E869A4">
        <w:rPr>
          <w:rFonts w:ascii="Times New Roman" w:hAnsi="Times New Roman" w:cs="Times New Roman"/>
        </w:rPr>
        <w:t xml:space="preserve"> for later stages of analysis; 3) </w:t>
      </w:r>
      <w:r w:rsidRPr="00E869A4">
        <w:rPr>
          <w:rFonts w:ascii="Times New Roman" w:hAnsi="Times New Roman" w:cs="Times New Roman"/>
          <w:i/>
        </w:rPr>
        <w:t>Searching for themes</w:t>
      </w:r>
      <w:r w:rsidRPr="00E869A4">
        <w:rPr>
          <w:rFonts w:ascii="Times New Roman" w:hAnsi="Times New Roman" w:cs="Times New Roman"/>
        </w:rPr>
        <w:t xml:space="preserve"> </w:t>
      </w:r>
      <w:r w:rsidR="0085074F" w:rsidRPr="00E869A4">
        <w:rPr>
          <w:rFonts w:ascii="Times New Roman" w:hAnsi="Times New Roman" w:cs="Times New Roman"/>
        </w:rPr>
        <w:t>–</w:t>
      </w:r>
      <w:r w:rsidRPr="00E869A4">
        <w:rPr>
          <w:rFonts w:ascii="Times New Roman" w:hAnsi="Times New Roman" w:cs="Times New Roman"/>
        </w:rPr>
        <w:t xml:space="preserve"> examining the codes and collated data to identify significant broader patterns of meaning (potential themes) and collating data relevant to each candidate theme; 4) </w:t>
      </w:r>
      <w:r w:rsidRPr="00E869A4">
        <w:rPr>
          <w:rFonts w:ascii="Times New Roman" w:hAnsi="Times New Roman" w:cs="Times New Roman"/>
          <w:i/>
        </w:rPr>
        <w:t>Reviewing themes</w:t>
      </w:r>
      <w:r w:rsidRPr="00E869A4">
        <w:rPr>
          <w:rFonts w:ascii="Times New Roman" w:hAnsi="Times New Roman" w:cs="Times New Roman"/>
        </w:rPr>
        <w:t xml:space="preserve"> </w:t>
      </w:r>
      <w:r w:rsidR="0085074F" w:rsidRPr="00E869A4">
        <w:rPr>
          <w:rFonts w:ascii="Times New Roman" w:hAnsi="Times New Roman" w:cs="Times New Roman"/>
        </w:rPr>
        <w:t>–</w:t>
      </w:r>
      <w:r w:rsidRPr="00E869A4">
        <w:rPr>
          <w:rFonts w:ascii="Times New Roman" w:hAnsi="Times New Roman" w:cs="Times New Roman"/>
        </w:rPr>
        <w:t xml:space="preserve"> check the candidate themes against the dataset, to determine that they tell a convincing story of the data, and one that answers the research question, and refining themes which sometimes involves them being split, combined, or discarded; 5) </w:t>
      </w:r>
      <w:r w:rsidRPr="00E869A4">
        <w:rPr>
          <w:rFonts w:ascii="Times New Roman" w:hAnsi="Times New Roman" w:cs="Times New Roman"/>
          <w:i/>
        </w:rPr>
        <w:t>Defining and naming themes</w:t>
      </w:r>
      <w:r w:rsidRPr="00E869A4">
        <w:rPr>
          <w:rFonts w:ascii="Times New Roman" w:hAnsi="Times New Roman" w:cs="Times New Roman"/>
        </w:rPr>
        <w:t xml:space="preserve"> </w:t>
      </w:r>
      <w:r w:rsidR="0085074F" w:rsidRPr="00E869A4">
        <w:rPr>
          <w:rFonts w:ascii="Times New Roman" w:hAnsi="Times New Roman" w:cs="Times New Roman"/>
        </w:rPr>
        <w:t>–</w:t>
      </w:r>
      <w:r w:rsidRPr="00E869A4">
        <w:rPr>
          <w:rFonts w:ascii="Times New Roman" w:hAnsi="Times New Roman" w:cs="Times New Roman"/>
        </w:rPr>
        <w:t xml:space="preserve"> develop a detailed analysis of each theme, working out the scope and focus of each theme, determining the ‘</w:t>
      </w:r>
      <w:r w:rsidRPr="00E869A4">
        <w:rPr>
          <w:rFonts w:ascii="Times New Roman" w:hAnsi="Times New Roman" w:cs="Times New Roman"/>
          <w:i/>
        </w:rPr>
        <w:t>story</w:t>
      </w:r>
      <w:r w:rsidRPr="00E869A4">
        <w:rPr>
          <w:rFonts w:ascii="Times New Roman" w:hAnsi="Times New Roman" w:cs="Times New Roman"/>
        </w:rPr>
        <w:t xml:space="preserve">’ of each and deciding on an informative name for each theme; and 6) </w:t>
      </w:r>
      <w:r w:rsidRPr="00E869A4">
        <w:rPr>
          <w:rFonts w:ascii="Times New Roman" w:hAnsi="Times New Roman" w:cs="Times New Roman"/>
          <w:i/>
        </w:rPr>
        <w:t>Writing up</w:t>
      </w:r>
      <w:r w:rsidRPr="00E869A4">
        <w:rPr>
          <w:rFonts w:ascii="Times New Roman" w:hAnsi="Times New Roman" w:cs="Times New Roman"/>
        </w:rPr>
        <w:t xml:space="preserve"> </w:t>
      </w:r>
      <w:r w:rsidR="0085074F" w:rsidRPr="00E869A4">
        <w:rPr>
          <w:rFonts w:ascii="Times New Roman" w:hAnsi="Times New Roman" w:cs="Times New Roman"/>
        </w:rPr>
        <w:t>–</w:t>
      </w:r>
      <w:r w:rsidRPr="00E869A4">
        <w:rPr>
          <w:rFonts w:ascii="Times New Roman" w:hAnsi="Times New Roman" w:cs="Times New Roman"/>
        </w:rPr>
        <w:t xml:space="preserve"> this final phase involves weaving together the analytic narrative and data extracts, and contextualising the analysis in relation to existing literature. As Braun and Clarke (2006)</w:t>
      </w:r>
      <w:r w:rsidRPr="00E869A4">
        <w:rPr>
          <w:rFonts w:ascii="Times New Roman" w:hAnsi="Times New Roman" w:cs="Times New Roman"/>
          <w:vertAlign w:val="superscript"/>
        </w:rPr>
        <w:t xml:space="preserve"> </w:t>
      </w:r>
      <w:r w:rsidRPr="00E869A4">
        <w:rPr>
          <w:rFonts w:ascii="Times New Roman" w:hAnsi="Times New Roman" w:cs="Times New Roman"/>
        </w:rPr>
        <w:t>noted, these phases are iterative and recursive in practice, with movement back and forth between each phase.</w:t>
      </w:r>
    </w:p>
    <w:p w14:paraId="68810564" w14:textId="77777777" w:rsidR="001D432F" w:rsidRPr="00E869A4" w:rsidRDefault="001D432F" w:rsidP="00A35FF8">
      <w:pPr>
        <w:rPr>
          <w:rFonts w:ascii="Times New Roman" w:hAnsi="Times New Roman" w:cs="Times New Roman"/>
        </w:rPr>
      </w:pPr>
    </w:p>
    <w:p w14:paraId="1F2CCB9E" w14:textId="77777777" w:rsidR="0085074F" w:rsidRPr="00E869A4" w:rsidRDefault="00C03772" w:rsidP="00A35FF8">
      <w:pPr>
        <w:rPr>
          <w:rFonts w:ascii="Times New Roman" w:hAnsi="Times New Roman" w:cs="Times New Roman"/>
        </w:rPr>
      </w:pPr>
      <w:r w:rsidRPr="00E869A4">
        <w:rPr>
          <w:rFonts w:ascii="Times New Roman" w:hAnsi="Times New Roman" w:cs="Times New Roman"/>
        </w:rPr>
        <w:t xml:space="preserve">The qualitative analysis approach </w:t>
      </w:r>
      <w:r w:rsidR="00284FD7" w:rsidRPr="00E869A4">
        <w:rPr>
          <w:rFonts w:ascii="Times New Roman" w:hAnsi="Times New Roman" w:cs="Times New Roman"/>
        </w:rPr>
        <w:t xml:space="preserve">used in this study </w:t>
      </w:r>
      <w:r w:rsidRPr="00E869A4">
        <w:rPr>
          <w:rFonts w:ascii="Times New Roman" w:hAnsi="Times New Roman" w:cs="Times New Roman"/>
        </w:rPr>
        <w:t>involved a combination of both the inductive and deductive thematic analysis process. Braun and Clarke (2006) maintained that an inductive approach to thematic analysis involve</w:t>
      </w:r>
      <w:r w:rsidR="0085074F" w:rsidRPr="00E869A4">
        <w:rPr>
          <w:rFonts w:ascii="Times New Roman" w:hAnsi="Times New Roman" w:cs="Times New Roman"/>
        </w:rPr>
        <w:t>d</w:t>
      </w:r>
      <w:r w:rsidRPr="00E869A4">
        <w:rPr>
          <w:rFonts w:ascii="Times New Roman" w:hAnsi="Times New Roman" w:cs="Times New Roman"/>
        </w:rPr>
        <w:t xml:space="preserve"> coding and theme development</w:t>
      </w:r>
      <w:r w:rsidR="0085074F" w:rsidRPr="00E869A4">
        <w:rPr>
          <w:rFonts w:ascii="Times New Roman" w:hAnsi="Times New Roman" w:cs="Times New Roman"/>
        </w:rPr>
        <w:t>,</w:t>
      </w:r>
      <w:r w:rsidRPr="00E869A4">
        <w:rPr>
          <w:rFonts w:ascii="Times New Roman" w:hAnsi="Times New Roman" w:cs="Times New Roman"/>
        </w:rPr>
        <w:t xml:space="preserve"> which is directed by the content of the data, whilst the deductive approach involves cod</w:t>
      </w:r>
      <w:r w:rsidR="00D9775D" w:rsidRPr="00E869A4">
        <w:rPr>
          <w:rFonts w:ascii="Times New Roman" w:hAnsi="Times New Roman" w:cs="Times New Roman"/>
        </w:rPr>
        <w:t>ing and theme development that is</w:t>
      </w:r>
      <w:r w:rsidRPr="00E869A4">
        <w:rPr>
          <w:rFonts w:ascii="Times New Roman" w:hAnsi="Times New Roman" w:cs="Times New Roman"/>
        </w:rPr>
        <w:t xml:space="preserve"> directed by existing concepts or ideas. As noted earlier, the initial research questions for this thesis were very broad, </w:t>
      </w:r>
      <w:r w:rsidR="00D9775D" w:rsidRPr="00E869A4">
        <w:rPr>
          <w:rFonts w:ascii="Times New Roman" w:hAnsi="Times New Roman" w:cs="Times New Roman"/>
        </w:rPr>
        <w:t>mainly</w:t>
      </w:r>
      <w:r w:rsidRPr="00E869A4">
        <w:rPr>
          <w:rFonts w:ascii="Times New Roman" w:hAnsi="Times New Roman" w:cs="Times New Roman"/>
        </w:rPr>
        <w:t xml:space="preserve"> because the study of family care of older persons in the specific country-context of </w:t>
      </w:r>
      <w:r w:rsidR="00D9775D" w:rsidRPr="00E869A4">
        <w:rPr>
          <w:rFonts w:ascii="Times New Roman" w:hAnsi="Times New Roman" w:cs="Times New Roman"/>
        </w:rPr>
        <w:t>T&amp;T</w:t>
      </w:r>
      <w:r w:rsidRPr="00E869A4">
        <w:rPr>
          <w:rFonts w:ascii="Times New Roman" w:hAnsi="Times New Roman" w:cs="Times New Roman"/>
        </w:rPr>
        <w:t xml:space="preserve"> was an under-researched area. Thus, </w:t>
      </w:r>
      <w:r w:rsidR="00284FD7" w:rsidRPr="00E869A4">
        <w:rPr>
          <w:rFonts w:ascii="Times New Roman" w:hAnsi="Times New Roman" w:cs="Times New Roman"/>
        </w:rPr>
        <w:t xml:space="preserve">this particular </w:t>
      </w:r>
      <w:r w:rsidRPr="00E869A4">
        <w:rPr>
          <w:rFonts w:ascii="Times New Roman" w:hAnsi="Times New Roman" w:cs="Times New Roman"/>
        </w:rPr>
        <w:t xml:space="preserve">study was deemed exploratory </w:t>
      </w:r>
      <w:r w:rsidR="00284FD7" w:rsidRPr="00E869A4">
        <w:rPr>
          <w:rFonts w:ascii="Times New Roman" w:hAnsi="Times New Roman" w:cs="Times New Roman"/>
        </w:rPr>
        <w:t xml:space="preserve">given the context in which it was conducted, </w:t>
      </w:r>
      <w:r w:rsidRPr="00E869A4">
        <w:rPr>
          <w:rFonts w:ascii="Times New Roman" w:hAnsi="Times New Roman" w:cs="Times New Roman"/>
        </w:rPr>
        <w:t xml:space="preserve">and a more inductive, qualitative approach was more appropriate. However, at the same time, the general study of older persons and family carers has been widely studied in MEDCs such as the UK and USA since the 1980s. </w:t>
      </w:r>
    </w:p>
    <w:p w14:paraId="077105E9" w14:textId="13E8C12C" w:rsidR="00CC6351" w:rsidRPr="00E869A4" w:rsidRDefault="0085074F" w:rsidP="00CC6351">
      <w:pPr>
        <w:rPr>
          <w:rFonts w:ascii="Times New Roman" w:hAnsi="Times New Roman" w:cs="Times New Roman"/>
        </w:rPr>
      </w:pPr>
      <w:r w:rsidRPr="00E869A4">
        <w:rPr>
          <w:rFonts w:ascii="Times New Roman" w:hAnsi="Times New Roman" w:cs="Times New Roman"/>
        </w:rPr>
        <w:lastRenderedPageBreak/>
        <w:t>T</w:t>
      </w:r>
      <w:r w:rsidR="00C03772" w:rsidRPr="00E869A4">
        <w:rPr>
          <w:rFonts w:ascii="Times New Roman" w:hAnsi="Times New Roman" w:cs="Times New Roman"/>
        </w:rPr>
        <w:t>he substantial literature on this subject</w:t>
      </w:r>
      <w:r w:rsidRPr="00E869A4">
        <w:rPr>
          <w:rFonts w:ascii="Times New Roman" w:hAnsi="Times New Roman" w:cs="Times New Roman"/>
        </w:rPr>
        <w:t xml:space="preserve"> </w:t>
      </w:r>
      <w:r w:rsidR="00C03772" w:rsidRPr="00E869A4">
        <w:rPr>
          <w:rFonts w:ascii="Times New Roman" w:hAnsi="Times New Roman" w:cs="Times New Roman"/>
        </w:rPr>
        <w:t>could not be ignored during the analysis</w:t>
      </w:r>
      <w:r w:rsidRPr="00E869A4">
        <w:rPr>
          <w:rFonts w:ascii="Times New Roman" w:hAnsi="Times New Roman" w:cs="Times New Roman"/>
        </w:rPr>
        <w:t>,</w:t>
      </w:r>
      <w:r w:rsidR="00C03772" w:rsidRPr="00E869A4">
        <w:rPr>
          <w:rFonts w:ascii="Times New Roman" w:hAnsi="Times New Roman" w:cs="Times New Roman"/>
        </w:rPr>
        <w:t xml:space="preserve"> but at the same time, the use of previous literature was guided by the data obtained from the interviews and focus groups. </w:t>
      </w:r>
      <w:r w:rsidRPr="00E869A4">
        <w:rPr>
          <w:rFonts w:ascii="Times New Roman" w:hAnsi="Times New Roman" w:cs="Times New Roman"/>
        </w:rPr>
        <w:t xml:space="preserve">Throughout the analysis process, codes and themes were created from what emerged from the data, and subsequently compared to the themes in the existing literature. </w:t>
      </w:r>
      <w:r w:rsidR="00C03772" w:rsidRPr="00E869A4">
        <w:rPr>
          <w:rFonts w:ascii="Times New Roman" w:hAnsi="Times New Roman" w:cs="Times New Roman"/>
        </w:rPr>
        <w:t xml:space="preserve">Even in instances where the development of codes and themes were inductive, once a literature search was conducted subsequently, these codes and themes were in many instances found to be consistent with concepts and terms used in previous research studies on family elder care. Thus, there was a continuous merging of inductive and deductive approaches throughout the analysis process. </w:t>
      </w:r>
      <w:r w:rsidRPr="00E869A4">
        <w:rPr>
          <w:rFonts w:ascii="Times New Roman" w:hAnsi="Times New Roman" w:cs="Times New Roman"/>
        </w:rPr>
        <w:t xml:space="preserve">Where the data did not correspond with the existing literature, new codes and themes were created. </w:t>
      </w:r>
      <w:r w:rsidR="000A13A3" w:rsidRPr="00E869A4">
        <w:rPr>
          <w:rFonts w:ascii="Times New Roman" w:hAnsi="Times New Roman" w:cs="Times New Roman"/>
        </w:rPr>
        <w:t xml:space="preserve">For </w:t>
      </w:r>
      <w:r w:rsidR="001330DF" w:rsidRPr="00E869A4">
        <w:rPr>
          <w:rFonts w:ascii="Times New Roman" w:hAnsi="Times New Roman" w:cs="Times New Roman"/>
        </w:rPr>
        <w:t>instance, the quote by Mr. Birch, “I will still do what I have to do for him an’ t’ing because he was always good to meh yuh know” was highlighted in a transcript as noteworthy during the ‘familiarisation with the data’ phase (step 1). An initial code was created i.e. “</w:t>
      </w:r>
      <w:r w:rsidR="001330DF" w:rsidRPr="00E869A4">
        <w:rPr>
          <w:rFonts w:ascii="Times New Roman" w:hAnsi="Times New Roman" w:cs="Times New Roman"/>
          <w:sz w:val="22"/>
        </w:rPr>
        <w:t>Quality of Pre-crisis Relationship</w:t>
      </w:r>
      <w:r w:rsidR="001330DF" w:rsidRPr="00E869A4">
        <w:rPr>
          <w:rFonts w:ascii="Times New Roman" w:hAnsi="Times New Roman" w:cs="Times New Roman"/>
        </w:rPr>
        <w:t xml:space="preserve">” using inductive reasoning (step 2). A subsequent reading of the literature resulted in this quote being categorised under the overarching theme of ‘reciprocity’. </w:t>
      </w:r>
      <w:r w:rsidR="006040B3" w:rsidRPr="00E869A4">
        <w:rPr>
          <w:rFonts w:ascii="Times New Roman" w:hAnsi="Times New Roman" w:cs="Times New Roman"/>
        </w:rPr>
        <w:t>When this information was compared with other quotes and initial codes generated during the ‘search for themes’</w:t>
      </w:r>
      <w:r w:rsidR="00CC6351" w:rsidRPr="00E869A4">
        <w:rPr>
          <w:rFonts w:ascii="Times New Roman" w:hAnsi="Times New Roman" w:cs="Times New Roman"/>
        </w:rPr>
        <w:t xml:space="preserve"> </w:t>
      </w:r>
      <w:r w:rsidR="006040B3" w:rsidRPr="00E869A4">
        <w:rPr>
          <w:rFonts w:ascii="Times New Roman" w:hAnsi="Times New Roman" w:cs="Times New Roman"/>
        </w:rPr>
        <w:t xml:space="preserve">(step 3), it was deemed as overlapping with a sense of duty to give care given the support provided by the care recipient (CR). </w:t>
      </w:r>
      <w:r w:rsidR="00CC6351" w:rsidRPr="00E869A4">
        <w:rPr>
          <w:rFonts w:ascii="Times New Roman" w:hAnsi="Times New Roman" w:cs="Times New Roman"/>
        </w:rPr>
        <w:t>Further reviews of the raw data resulted in this quote being linked to the emergent theme “willingness to care” (step 4). By the end of this process, a unique theme ‘requited care’ was created given this and other information obtained from partici</w:t>
      </w:r>
      <w:r w:rsidR="00B65F18" w:rsidRPr="00E869A4">
        <w:rPr>
          <w:rFonts w:ascii="Times New Roman" w:hAnsi="Times New Roman" w:cs="Times New Roman"/>
        </w:rPr>
        <w:t>pants (step 5). Table 11 below highlight</w:t>
      </w:r>
      <w:r w:rsidR="00CC6351" w:rsidRPr="00E869A4">
        <w:rPr>
          <w:rFonts w:ascii="Times New Roman" w:hAnsi="Times New Roman" w:cs="Times New Roman"/>
        </w:rPr>
        <w:t xml:space="preserve">s this and other examples </w:t>
      </w:r>
      <w:r w:rsidR="00FF1A69" w:rsidRPr="00E869A4">
        <w:rPr>
          <w:rFonts w:ascii="Times New Roman" w:hAnsi="Times New Roman" w:cs="Times New Roman"/>
        </w:rPr>
        <w:t xml:space="preserve">of </w:t>
      </w:r>
      <w:r w:rsidR="000A13A3" w:rsidRPr="00E869A4">
        <w:rPr>
          <w:rFonts w:ascii="Times New Roman" w:hAnsi="Times New Roman" w:cs="Times New Roman"/>
        </w:rPr>
        <w:t xml:space="preserve">the application of </w:t>
      </w:r>
      <w:r w:rsidR="00FF1A69" w:rsidRPr="00E869A4">
        <w:rPr>
          <w:rFonts w:ascii="Times New Roman" w:hAnsi="Times New Roman" w:cs="Times New Roman"/>
        </w:rPr>
        <w:t xml:space="preserve">Braun and Clarke’s </w:t>
      </w:r>
      <w:r w:rsidR="00CC6351" w:rsidRPr="00E869A4">
        <w:rPr>
          <w:rFonts w:ascii="Times New Roman" w:hAnsi="Times New Roman" w:cs="Times New Roman"/>
        </w:rPr>
        <w:t xml:space="preserve">thematic analysis </w:t>
      </w:r>
      <w:r w:rsidR="00FF1A69" w:rsidRPr="00E869A4">
        <w:rPr>
          <w:rFonts w:ascii="Times New Roman" w:hAnsi="Times New Roman" w:cs="Times New Roman"/>
        </w:rPr>
        <w:t>method</w:t>
      </w:r>
      <w:r w:rsidR="00CC6351" w:rsidRPr="00E869A4">
        <w:rPr>
          <w:rFonts w:ascii="Times New Roman" w:hAnsi="Times New Roman" w:cs="Times New Roman"/>
        </w:rPr>
        <w:t xml:space="preserve"> to the data collected.</w:t>
      </w:r>
      <w:r w:rsidR="00FF1A69" w:rsidRPr="00E869A4">
        <w:rPr>
          <w:rFonts w:ascii="Times New Roman" w:hAnsi="Times New Roman" w:cs="Times New Roman"/>
        </w:rPr>
        <w:t xml:space="preserve"> </w:t>
      </w:r>
      <w:r w:rsidR="00CC6351" w:rsidRPr="00E869A4">
        <w:rPr>
          <w:rFonts w:ascii="Times New Roman" w:hAnsi="Times New Roman" w:cs="Times New Roman"/>
        </w:rPr>
        <w:t xml:space="preserve"> </w:t>
      </w:r>
    </w:p>
    <w:p w14:paraId="0E09836A" w14:textId="77777777" w:rsidR="00CC6351" w:rsidRPr="00E869A4" w:rsidRDefault="00CC6351" w:rsidP="00CC6351">
      <w:pPr>
        <w:rPr>
          <w:rFonts w:ascii="Times New Roman" w:hAnsi="Times New Roman" w:cs="Times New Roman"/>
        </w:rPr>
      </w:pPr>
    </w:p>
    <w:p w14:paraId="529B9080" w14:textId="62FA3995" w:rsidR="00CC6351" w:rsidRPr="00E869A4" w:rsidRDefault="00CC6351" w:rsidP="00CC6351">
      <w:pPr>
        <w:rPr>
          <w:rFonts w:ascii="Times New Roman" w:hAnsi="Times New Roman" w:cs="Times New Roman"/>
        </w:rPr>
      </w:pPr>
      <w:r w:rsidRPr="00E869A4">
        <w:rPr>
          <w:rFonts w:ascii="Times New Roman" w:hAnsi="Times New Roman" w:cs="Times New Roman"/>
        </w:rPr>
        <w:t>Care was taken to ensure that the thematic analysis was not limited to merely summarising or organising the data obtained given the research questions and literature reviewed. Instead, I sought to transcend this by continuously reviewing the material to identify patterns that were interesting and important. Using Braun and Clarke’s approach, both semantic and latent themes were identified. Semantic themes are those “within the explicit or surface meanings of the data and the analyst is not looking for anything beyond what a participant has said or what has been written”</w:t>
      </w:r>
      <w:r w:rsidR="00DE4BA3">
        <w:rPr>
          <w:rFonts w:ascii="Times New Roman" w:hAnsi="Times New Roman" w:cs="Times New Roman"/>
        </w:rPr>
        <w:t xml:space="preserve"> (Braun &amp; Clarke 2006, p. 84). On the other hand, t</w:t>
      </w:r>
      <w:r w:rsidRPr="00E869A4">
        <w:rPr>
          <w:rFonts w:ascii="Times New Roman" w:hAnsi="Times New Roman" w:cs="Times New Roman"/>
        </w:rPr>
        <w:t>hemes at the latent level “identify or examine the underlying ideas, assumptions, and conceptualisations – and ideologies – that are theorised as shaping or informing the semantic content of the data (Braun &amp; Clarke 2006; Maguire &amp; Delahunt 2017).</w:t>
      </w:r>
    </w:p>
    <w:p w14:paraId="35035F62" w14:textId="77777777" w:rsidR="00CC6351" w:rsidRPr="00E869A4" w:rsidRDefault="00CC6351" w:rsidP="00CC6351">
      <w:pPr>
        <w:rPr>
          <w:rFonts w:ascii="Times New Roman" w:hAnsi="Times New Roman" w:cs="Times New Roman"/>
        </w:rPr>
      </w:pPr>
    </w:p>
    <w:p w14:paraId="5D6F071F" w14:textId="77777777" w:rsidR="00CC6351" w:rsidRPr="00E869A4" w:rsidRDefault="00CC6351" w:rsidP="00CC6351">
      <w:pPr>
        <w:rPr>
          <w:rFonts w:ascii="Times New Roman" w:hAnsi="Times New Roman" w:cs="Times New Roman"/>
        </w:rPr>
      </w:pPr>
      <w:r w:rsidRPr="00E869A4">
        <w:rPr>
          <w:rFonts w:ascii="Times New Roman" w:hAnsi="Times New Roman" w:cs="Times New Roman"/>
        </w:rPr>
        <w:lastRenderedPageBreak/>
        <w:t>Given the large quantity of data obtained over the three phases of qualitative data collection, the NVivo software was used to facilitate the analysis of the qualitative data.  The analysis also involved constant comparison between the focus group, interview and survey data.</w:t>
      </w:r>
    </w:p>
    <w:p w14:paraId="1F64E91F" w14:textId="73E5D14E" w:rsidR="00C03772" w:rsidRPr="00E869A4" w:rsidRDefault="00C03772" w:rsidP="00CC6351">
      <w:pPr>
        <w:rPr>
          <w:rFonts w:ascii="Times New Roman" w:hAnsi="Times New Roman" w:cs="Times New Roman"/>
        </w:rPr>
      </w:pPr>
    </w:p>
    <w:p w14:paraId="40EE5A9F" w14:textId="77777777" w:rsidR="008A25FF" w:rsidRPr="00E869A4" w:rsidRDefault="008A25FF" w:rsidP="008A25FF">
      <w:pPr>
        <w:pStyle w:val="Heading4"/>
      </w:pPr>
      <w:r w:rsidRPr="00E869A4">
        <w:t>Quantitative data analysis</w:t>
      </w:r>
    </w:p>
    <w:p w14:paraId="131766CC" w14:textId="77777777" w:rsidR="008A25FF" w:rsidRPr="00E869A4" w:rsidRDefault="008A25FF" w:rsidP="008A25FF">
      <w:pPr>
        <w:rPr>
          <w:rFonts w:ascii="Times New Roman" w:hAnsi="Times New Roman" w:cs="Times New Roman"/>
        </w:rPr>
      </w:pPr>
    </w:p>
    <w:p w14:paraId="03CF5C35" w14:textId="77777777" w:rsidR="008A25FF" w:rsidRPr="00E869A4" w:rsidRDefault="008A25FF" w:rsidP="008A25FF">
      <w:pPr>
        <w:rPr>
          <w:rFonts w:ascii="Times New Roman" w:hAnsi="Times New Roman" w:cs="Times New Roman"/>
        </w:rPr>
      </w:pPr>
      <w:r w:rsidRPr="00E869A4">
        <w:rPr>
          <w:rFonts w:ascii="Times New Roman" w:hAnsi="Times New Roman" w:cs="Times New Roman"/>
        </w:rPr>
        <w:t xml:space="preserve">With respect to the survey information, the analysis of the quantitative data was limited to non-probability statistics, since the survey sample was not randomly selected, but obtained via purposive and snowball sampling. Also, while the eSurv software provided instantaneous descriptive statistics, non-probability statistical analysis could not be conducted using that application. Thus, SPSS software was used to perform the non-probability statistics. This was made possible because both SPSS and eSurv are compatible with Microsoft Excel. The eSurv software generated an Excel version of the raw data, which was then imported into SPSS. Given the total number of survey participants (n = 241), the quantitative data could not be used to establish causation, but rather, it provided additional descriptive accounts to help answer the study’s research questions. </w:t>
      </w:r>
    </w:p>
    <w:p w14:paraId="7D501842" w14:textId="77777777" w:rsidR="00FF1A69" w:rsidRPr="00E869A4" w:rsidRDefault="00FF1A69" w:rsidP="00A35FF8">
      <w:pPr>
        <w:rPr>
          <w:rFonts w:ascii="Times New Roman" w:hAnsi="Times New Roman" w:cs="Times New Roman"/>
        </w:rPr>
      </w:pPr>
    </w:p>
    <w:p w14:paraId="04BF9F8E" w14:textId="77777777" w:rsidR="003C3E25" w:rsidRPr="00E869A4" w:rsidRDefault="003C3E25" w:rsidP="008509F6">
      <w:pPr>
        <w:pStyle w:val="Caption"/>
        <w:rPr>
          <w:rFonts w:ascii="Times New Roman" w:hAnsi="Times New Roman" w:cs="Times New Roman"/>
        </w:rPr>
        <w:sectPr w:rsidR="003C3E25" w:rsidRPr="00E869A4" w:rsidSect="00446CB8">
          <w:footerReference w:type="default" r:id="rId23"/>
          <w:type w:val="nextColumn"/>
          <w:pgSz w:w="12240" w:h="15840"/>
          <w:pgMar w:top="1440" w:right="851" w:bottom="1440" w:left="1134" w:header="720" w:footer="720" w:gutter="0"/>
          <w:cols w:space="720"/>
          <w:docGrid w:linePitch="360"/>
        </w:sectPr>
      </w:pPr>
    </w:p>
    <w:p w14:paraId="33ACDB72" w14:textId="7A764921" w:rsidR="00FF1A69" w:rsidRPr="00E869A4" w:rsidRDefault="008509F6" w:rsidP="002E78BA">
      <w:pPr>
        <w:pStyle w:val="Caption"/>
        <w:ind w:firstLine="0"/>
        <w:rPr>
          <w:b/>
          <w:i w:val="0"/>
          <w:sz w:val="24"/>
        </w:rPr>
      </w:pPr>
      <w:bookmarkStart w:id="283" w:name="_Toc40436610"/>
      <w:r w:rsidRPr="00E869A4">
        <w:rPr>
          <w:b/>
          <w:i w:val="0"/>
          <w:sz w:val="24"/>
        </w:rPr>
        <w:lastRenderedPageBreak/>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11</w:t>
      </w:r>
      <w:r w:rsidRPr="00E869A4">
        <w:rPr>
          <w:b/>
          <w:i w:val="0"/>
          <w:sz w:val="24"/>
        </w:rPr>
        <w:fldChar w:fldCharType="end"/>
      </w:r>
      <w:r w:rsidR="00347C4D" w:rsidRPr="00E869A4">
        <w:rPr>
          <w:b/>
          <w:i w:val="0"/>
          <w:sz w:val="24"/>
        </w:rPr>
        <w:t>:</w:t>
      </w:r>
      <w:r w:rsidRPr="00E869A4">
        <w:rPr>
          <w:b/>
          <w:i w:val="0"/>
          <w:sz w:val="24"/>
        </w:rPr>
        <w:t xml:space="preserve"> Examples of </w:t>
      </w:r>
      <w:r w:rsidR="00996D94" w:rsidRPr="00E869A4">
        <w:rPr>
          <w:b/>
          <w:i w:val="0"/>
          <w:sz w:val="24"/>
        </w:rPr>
        <w:t xml:space="preserve">the </w:t>
      </w:r>
      <w:r w:rsidRPr="00E869A4">
        <w:rPr>
          <w:b/>
          <w:i w:val="0"/>
          <w:sz w:val="24"/>
        </w:rPr>
        <w:t>Coding Process</w:t>
      </w:r>
      <w:bookmarkEnd w:id="283"/>
    </w:p>
    <w:p w14:paraId="3F989F19" w14:textId="77777777" w:rsidR="008509F6" w:rsidRPr="00E869A4" w:rsidRDefault="008509F6" w:rsidP="00FF1A69">
      <w:pPr>
        <w:jc w:val="center"/>
        <w:rPr>
          <w:rFonts w:ascii="Times New Roman" w:hAnsi="Times New Roman" w:cs="Times New Roman"/>
        </w:rPr>
      </w:pPr>
    </w:p>
    <w:tbl>
      <w:tblPr>
        <w:tblStyle w:val="LightShading"/>
        <w:tblW w:w="18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533"/>
        <w:gridCol w:w="2147"/>
        <w:gridCol w:w="3074"/>
        <w:gridCol w:w="1672"/>
        <w:gridCol w:w="1519"/>
        <w:gridCol w:w="1578"/>
        <w:gridCol w:w="2545"/>
        <w:gridCol w:w="2471"/>
      </w:tblGrid>
      <w:tr w:rsidR="00C714D3" w:rsidRPr="00E869A4" w14:paraId="19A4B756" w14:textId="77777777" w:rsidTr="009104B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4" w:type="dxa"/>
            <w:vMerge w:val="restart"/>
            <w:tcBorders>
              <w:top w:val="single" w:sz="4" w:space="0" w:color="auto"/>
              <w:left w:val="single" w:sz="4" w:space="0" w:color="auto"/>
              <w:right w:val="single" w:sz="4" w:space="0" w:color="auto"/>
            </w:tcBorders>
          </w:tcPr>
          <w:p w14:paraId="25A5CB66" w14:textId="77777777" w:rsidR="008509F6" w:rsidRPr="00E869A4" w:rsidRDefault="008509F6" w:rsidP="0052658B">
            <w:pPr>
              <w:rPr>
                <w:rFonts w:ascii="Times New Roman" w:hAnsi="Times New Roman" w:cs="Times New Roman"/>
                <w:color w:val="auto"/>
                <w:sz w:val="22"/>
              </w:rPr>
            </w:pPr>
          </w:p>
        </w:tc>
        <w:tc>
          <w:tcPr>
            <w:tcW w:w="2533" w:type="dxa"/>
            <w:vMerge w:val="restart"/>
            <w:tcBorders>
              <w:top w:val="single" w:sz="4" w:space="0" w:color="auto"/>
              <w:left w:val="single" w:sz="4" w:space="0" w:color="auto"/>
              <w:bottom w:val="single" w:sz="4" w:space="0" w:color="auto"/>
              <w:right w:val="single" w:sz="4" w:space="0" w:color="auto"/>
            </w:tcBorders>
          </w:tcPr>
          <w:p w14:paraId="5F9E19B4" w14:textId="77777777" w:rsidR="008509F6" w:rsidRPr="00E869A4" w:rsidRDefault="008509F6" w:rsidP="009D4C5D">
            <w:pPr>
              <w:pStyle w:val="ListParagraph"/>
              <w:numPr>
                <w:ilvl w:val="0"/>
                <w:numId w:val="60"/>
              </w:numPr>
              <w:spacing w:after="200"/>
              <w:ind w:left="154"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Familiarisation with Data</w:t>
            </w:r>
          </w:p>
          <w:p w14:paraId="6478C319" w14:textId="57642F5A" w:rsidR="001E7657" w:rsidRPr="00E869A4" w:rsidRDefault="001E7657" w:rsidP="001E7657">
            <w:pPr>
              <w:pStyle w:val="ListParagraph"/>
              <w:spacing w:after="200"/>
              <w:ind w:left="154"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E869A4">
              <w:rPr>
                <w:rFonts w:ascii="Times New Roman" w:hAnsi="Times New Roman" w:cs="Times New Roman"/>
                <w:b w:val="0"/>
                <w:color w:val="auto"/>
                <w:sz w:val="22"/>
              </w:rPr>
              <w:t>(</w:t>
            </w:r>
            <w:r w:rsidRPr="00E869A4">
              <w:rPr>
                <w:rFonts w:ascii="Times New Roman" w:hAnsi="Times New Roman" w:cs="Times New Roman"/>
                <w:b w:val="0"/>
                <w:i/>
                <w:color w:val="auto"/>
                <w:sz w:val="22"/>
              </w:rPr>
              <w:t>Transcript Quote</w:t>
            </w:r>
            <w:r w:rsidRPr="00E869A4">
              <w:rPr>
                <w:rFonts w:ascii="Times New Roman" w:hAnsi="Times New Roman" w:cs="Times New Roman"/>
                <w:b w:val="0"/>
                <w:color w:val="auto"/>
                <w:sz w:val="22"/>
              </w:rPr>
              <w:t>)</w:t>
            </w:r>
          </w:p>
        </w:tc>
        <w:tc>
          <w:tcPr>
            <w:tcW w:w="2147" w:type="dxa"/>
            <w:vMerge w:val="restart"/>
            <w:tcBorders>
              <w:top w:val="single" w:sz="4" w:space="0" w:color="auto"/>
              <w:left w:val="single" w:sz="4" w:space="0" w:color="auto"/>
              <w:bottom w:val="single" w:sz="4" w:space="0" w:color="auto"/>
              <w:right w:val="single" w:sz="4" w:space="0" w:color="auto"/>
            </w:tcBorders>
          </w:tcPr>
          <w:p w14:paraId="397967A9" w14:textId="77777777" w:rsidR="008509F6" w:rsidRPr="00E869A4" w:rsidRDefault="008509F6" w:rsidP="009D4C5D">
            <w:pPr>
              <w:pStyle w:val="ListParagraph"/>
              <w:numPr>
                <w:ilvl w:val="0"/>
                <w:numId w:val="60"/>
              </w:numPr>
              <w:ind w:left="3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Initial Coding</w:t>
            </w:r>
          </w:p>
          <w:p w14:paraId="51A92C09" w14:textId="77777777" w:rsidR="001E7657" w:rsidRPr="00E869A4" w:rsidRDefault="001E7657" w:rsidP="001E7657">
            <w:pPr>
              <w:ind w:firstLine="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7E17505" w14:textId="61210218" w:rsidR="001E7657" w:rsidRPr="00E869A4" w:rsidRDefault="001E7657" w:rsidP="001E7657">
            <w:pPr>
              <w:ind w:firstLine="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2"/>
              </w:rPr>
            </w:pPr>
            <w:r w:rsidRPr="00E869A4">
              <w:rPr>
                <w:rFonts w:ascii="Times New Roman" w:hAnsi="Times New Roman" w:cs="Times New Roman"/>
                <w:b w:val="0"/>
                <w:i/>
                <w:color w:val="auto"/>
                <w:sz w:val="22"/>
              </w:rPr>
              <w:t>(Recorded in NVivo)</w:t>
            </w:r>
          </w:p>
        </w:tc>
        <w:tc>
          <w:tcPr>
            <w:tcW w:w="7843" w:type="dxa"/>
            <w:gridSpan w:val="4"/>
            <w:tcBorders>
              <w:left w:val="single" w:sz="4" w:space="0" w:color="auto"/>
              <w:bottom w:val="single" w:sz="4" w:space="0" w:color="auto"/>
              <w:right w:val="single" w:sz="4" w:space="0" w:color="auto"/>
            </w:tcBorders>
          </w:tcPr>
          <w:p w14:paraId="6F52F99C" w14:textId="77777777" w:rsidR="008509F6" w:rsidRPr="00E869A4" w:rsidRDefault="008509F6" w:rsidP="009D4C5D">
            <w:pPr>
              <w:pStyle w:val="ListParagraph"/>
              <w:numPr>
                <w:ilvl w:val="0"/>
                <w:numId w:val="60"/>
              </w:numPr>
              <w:ind w:left="3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Search for Themes</w:t>
            </w:r>
          </w:p>
        </w:tc>
        <w:tc>
          <w:tcPr>
            <w:tcW w:w="2545" w:type="dxa"/>
            <w:vMerge w:val="restart"/>
            <w:tcBorders>
              <w:top w:val="single" w:sz="4" w:space="0" w:color="auto"/>
              <w:left w:val="single" w:sz="4" w:space="0" w:color="auto"/>
              <w:bottom w:val="single" w:sz="4" w:space="0" w:color="auto"/>
              <w:right w:val="single" w:sz="4" w:space="0" w:color="auto"/>
            </w:tcBorders>
          </w:tcPr>
          <w:p w14:paraId="5D3EC9BC" w14:textId="34667517" w:rsidR="008509F6" w:rsidRPr="00E869A4" w:rsidRDefault="008B6773" w:rsidP="008B6773">
            <w:pPr>
              <w:pStyle w:val="ListParagraph"/>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Pr>
                <w:rFonts w:ascii="Times New Roman" w:hAnsi="Times New Roman" w:cs="Times New Roman"/>
                <w:color w:val="auto"/>
                <w:sz w:val="22"/>
              </w:rPr>
              <w:t xml:space="preserve">4. </w:t>
            </w:r>
            <w:r w:rsidR="008509F6" w:rsidRPr="00E869A4">
              <w:rPr>
                <w:rFonts w:ascii="Times New Roman" w:hAnsi="Times New Roman" w:cs="Times New Roman"/>
                <w:color w:val="auto"/>
                <w:sz w:val="22"/>
              </w:rPr>
              <w:t>Reviewing themes</w:t>
            </w:r>
          </w:p>
        </w:tc>
        <w:tc>
          <w:tcPr>
            <w:tcW w:w="2471" w:type="dxa"/>
            <w:vMerge w:val="restart"/>
            <w:tcBorders>
              <w:top w:val="single" w:sz="4" w:space="0" w:color="auto"/>
              <w:left w:val="single" w:sz="4" w:space="0" w:color="auto"/>
              <w:bottom w:val="single" w:sz="4" w:space="0" w:color="auto"/>
              <w:right w:val="single" w:sz="4" w:space="0" w:color="auto"/>
            </w:tcBorders>
          </w:tcPr>
          <w:p w14:paraId="4CCE1912" w14:textId="00D988EC" w:rsidR="008509F6" w:rsidRPr="00E869A4" w:rsidRDefault="008B6773" w:rsidP="009D4C5D">
            <w:pPr>
              <w:pStyle w:val="ListParagraph"/>
              <w:numPr>
                <w:ilvl w:val="0"/>
                <w:numId w:val="60"/>
              </w:numPr>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Pr>
                <w:rFonts w:ascii="Times New Roman" w:hAnsi="Times New Roman" w:cs="Times New Roman"/>
                <w:color w:val="auto"/>
                <w:sz w:val="22"/>
              </w:rPr>
              <w:t xml:space="preserve">5. </w:t>
            </w:r>
            <w:r w:rsidR="008509F6" w:rsidRPr="00E869A4">
              <w:rPr>
                <w:rFonts w:ascii="Times New Roman" w:hAnsi="Times New Roman" w:cs="Times New Roman"/>
                <w:color w:val="auto"/>
                <w:sz w:val="22"/>
              </w:rPr>
              <w:t>Defining and Naming Themes</w:t>
            </w:r>
          </w:p>
        </w:tc>
      </w:tr>
      <w:tr w:rsidR="00C714D3" w:rsidRPr="00E869A4" w14:paraId="1AFBD750" w14:textId="77777777" w:rsidTr="009104B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34" w:type="dxa"/>
            <w:vMerge/>
            <w:tcBorders>
              <w:left w:val="single" w:sz="4" w:space="0" w:color="auto"/>
              <w:bottom w:val="single" w:sz="4" w:space="0" w:color="auto"/>
              <w:right w:val="single" w:sz="4" w:space="0" w:color="auto"/>
            </w:tcBorders>
          </w:tcPr>
          <w:p w14:paraId="5F1A1204" w14:textId="77777777" w:rsidR="008509F6" w:rsidRPr="00E869A4" w:rsidRDefault="008509F6" w:rsidP="0052658B">
            <w:pPr>
              <w:jc w:val="center"/>
              <w:rPr>
                <w:rFonts w:ascii="Times New Roman" w:hAnsi="Times New Roman" w:cs="Times New Roman"/>
                <w:b w:val="0"/>
                <w:color w:val="auto"/>
                <w:sz w:val="22"/>
              </w:rPr>
            </w:pPr>
          </w:p>
        </w:tc>
        <w:tc>
          <w:tcPr>
            <w:tcW w:w="2533" w:type="dxa"/>
            <w:vMerge/>
            <w:tcBorders>
              <w:top w:val="single" w:sz="4" w:space="0" w:color="auto"/>
              <w:left w:val="single" w:sz="4" w:space="0" w:color="auto"/>
              <w:bottom w:val="single" w:sz="4" w:space="0" w:color="auto"/>
              <w:right w:val="single" w:sz="4" w:space="0" w:color="auto"/>
            </w:tcBorders>
          </w:tcPr>
          <w:p w14:paraId="06321101" w14:textId="77777777" w:rsidR="008509F6" w:rsidRPr="00E869A4" w:rsidRDefault="008509F6" w:rsidP="00AB176E">
            <w:pPr>
              <w:ind w:left="154"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tc>
        <w:tc>
          <w:tcPr>
            <w:tcW w:w="2147" w:type="dxa"/>
            <w:vMerge/>
            <w:tcBorders>
              <w:top w:val="single" w:sz="4" w:space="0" w:color="auto"/>
              <w:left w:val="single" w:sz="4" w:space="0" w:color="auto"/>
              <w:bottom w:val="single" w:sz="4" w:space="0" w:color="auto"/>
              <w:right w:val="single" w:sz="4" w:space="0" w:color="auto"/>
            </w:tcBorders>
          </w:tcPr>
          <w:p w14:paraId="49C2F5E8" w14:textId="77777777" w:rsidR="008509F6" w:rsidRPr="00E869A4" w:rsidRDefault="008509F6" w:rsidP="005265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tc>
        <w:tc>
          <w:tcPr>
            <w:tcW w:w="3074" w:type="dxa"/>
            <w:tcBorders>
              <w:left w:val="single" w:sz="4" w:space="0" w:color="auto"/>
              <w:bottom w:val="single" w:sz="4" w:space="0" w:color="auto"/>
              <w:right w:val="single" w:sz="4" w:space="0" w:color="auto"/>
            </w:tcBorders>
          </w:tcPr>
          <w:p w14:paraId="57609501" w14:textId="77777777" w:rsidR="008509F6" w:rsidRPr="00E869A4" w:rsidRDefault="008509F6" w:rsidP="00236A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E869A4">
              <w:rPr>
                <w:rFonts w:ascii="Times New Roman" w:hAnsi="Times New Roman" w:cs="Times New Roman"/>
                <w:color w:val="auto"/>
                <w:sz w:val="22"/>
              </w:rPr>
              <w:t>Comparison of Code with Literature</w:t>
            </w:r>
            <w:r w:rsidRPr="00E869A4">
              <w:rPr>
                <w:rStyle w:val="FootnoteReference"/>
                <w:rFonts w:ascii="Times New Roman" w:hAnsi="Times New Roman" w:cs="Times New Roman"/>
                <w:color w:val="auto"/>
                <w:sz w:val="22"/>
              </w:rPr>
              <w:footnoteReference w:id="58"/>
            </w:r>
          </w:p>
        </w:tc>
        <w:tc>
          <w:tcPr>
            <w:tcW w:w="1672" w:type="dxa"/>
            <w:tcBorders>
              <w:left w:val="single" w:sz="4" w:space="0" w:color="auto"/>
              <w:bottom w:val="single" w:sz="4" w:space="0" w:color="auto"/>
              <w:right w:val="single" w:sz="4" w:space="0" w:color="auto"/>
            </w:tcBorders>
          </w:tcPr>
          <w:p w14:paraId="2F412B65" w14:textId="77777777" w:rsidR="008509F6" w:rsidRPr="00E869A4" w:rsidRDefault="008509F6" w:rsidP="00236A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Tertiary Theme</w:t>
            </w:r>
          </w:p>
        </w:tc>
        <w:tc>
          <w:tcPr>
            <w:tcW w:w="1519" w:type="dxa"/>
            <w:tcBorders>
              <w:left w:val="single" w:sz="4" w:space="0" w:color="auto"/>
              <w:bottom w:val="single" w:sz="4" w:space="0" w:color="auto"/>
              <w:right w:val="single" w:sz="4" w:space="0" w:color="auto"/>
            </w:tcBorders>
          </w:tcPr>
          <w:p w14:paraId="722A87F9" w14:textId="77777777" w:rsidR="008509F6" w:rsidRPr="00E869A4" w:rsidRDefault="008509F6" w:rsidP="00236A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Secondary Theme</w:t>
            </w:r>
          </w:p>
        </w:tc>
        <w:tc>
          <w:tcPr>
            <w:tcW w:w="1578" w:type="dxa"/>
            <w:tcBorders>
              <w:left w:val="single" w:sz="4" w:space="0" w:color="auto"/>
              <w:bottom w:val="single" w:sz="4" w:space="0" w:color="auto"/>
              <w:right w:val="single" w:sz="4" w:space="0" w:color="auto"/>
            </w:tcBorders>
          </w:tcPr>
          <w:p w14:paraId="64AF43D5" w14:textId="77777777" w:rsidR="008509F6" w:rsidRPr="00E869A4" w:rsidRDefault="008509F6" w:rsidP="00236A38">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r w:rsidRPr="00E869A4">
              <w:rPr>
                <w:rFonts w:ascii="Times New Roman" w:hAnsi="Times New Roman" w:cs="Times New Roman"/>
                <w:color w:val="auto"/>
                <w:sz w:val="22"/>
              </w:rPr>
              <w:t>Primary Theme</w:t>
            </w:r>
          </w:p>
        </w:tc>
        <w:tc>
          <w:tcPr>
            <w:tcW w:w="2545" w:type="dxa"/>
            <w:vMerge/>
            <w:tcBorders>
              <w:top w:val="single" w:sz="4" w:space="0" w:color="auto"/>
              <w:left w:val="single" w:sz="4" w:space="0" w:color="auto"/>
              <w:bottom w:val="single" w:sz="4" w:space="0" w:color="auto"/>
              <w:right w:val="single" w:sz="4" w:space="0" w:color="auto"/>
            </w:tcBorders>
          </w:tcPr>
          <w:p w14:paraId="32CA1D45" w14:textId="77777777" w:rsidR="008509F6" w:rsidRPr="00E869A4" w:rsidRDefault="008509F6" w:rsidP="005265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tc>
        <w:tc>
          <w:tcPr>
            <w:tcW w:w="2471" w:type="dxa"/>
            <w:vMerge/>
            <w:tcBorders>
              <w:top w:val="single" w:sz="4" w:space="0" w:color="auto"/>
              <w:left w:val="single" w:sz="4" w:space="0" w:color="auto"/>
              <w:bottom w:val="single" w:sz="4" w:space="0" w:color="auto"/>
              <w:right w:val="single" w:sz="4" w:space="0" w:color="auto"/>
            </w:tcBorders>
          </w:tcPr>
          <w:p w14:paraId="0ED1A035" w14:textId="77777777" w:rsidR="008509F6" w:rsidRPr="00E869A4" w:rsidRDefault="008509F6" w:rsidP="005265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
        </w:tc>
      </w:tr>
      <w:tr w:rsidR="00C714D3" w:rsidRPr="00E869A4" w14:paraId="3803E5EE" w14:textId="77777777" w:rsidTr="009104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 w:type="dxa"/>
            <w:tcBorders>
              <w:top w:val="single" w:sz="4" w:space="0" w:color="auto"/>
              <w:left w:val="single" w:sz="4" w:space="0" w:color="auto"/>
              <w:bottom w:val="single" w:sz="4" w:space="0" w:color="auto"/>
              <w:right w:val="single" w:sz="4" w:space="0" w:color="auto"/>
            </w:tcBorders>
          </w:tcPr>
          <w:p w14:paraId="4A7FEB88" w14:textId="77777777" w:rsidR="008509F6" w:rsidRPr="00E869A4" w:rsidRDefault="008509F6" w:rsidP="009D4C5D">
            <w:pPr>
              <w:pStyle w:val="ListParagraph"/>
              <w:numPr>
                <w:ilvl w:val="0"/>
                <w:numId w:val="61"/>
              </w:numPr>
              <w:ind w:left="0" w:hanging="24"/>
              <w:rPr>
                <w:rFonts w:ascii="Times New Roman" w:eastAsiaTheme="minorHAnsi" w:hAnsi="Courier New" w:cs="Courier New"/>
                <w:i/>
                <w:color w:val="auto"/>
                <w:sz w:val="22"/>
                <w:szCs w:val="24"/>
                <w:lang w:eastAsia="en-US"/>
              </w:rPr>
            </w:pPr>
          </w:p>
        </w:tc>
        <w:tc>
          <w:tcPr>
            <w:tcW w:w="2533" w:type="dxa"/>
            <w:tcBorders>
              <w:top w:val="single" w:sz="4" w:space="0" w:color="auto"/>
              <w:left w:val="single" w:sz="4" w:space="0" w:color="auto"/>
              <w:bottom w:val="single" w:sz="4" w:space="0" w:color="auto"/>
              <w:right w:val="single" w:sz="4" w:space="0" w:color="auto"/>
            </w:tcBorders>
          </w:tcPr>
          <w:p w14:paraId="287BA796" w14:textId="4AA0FCCD" w:rsidR="008509F6" w:rsidRPr="00E869A4" w:rsidRDefault="00CC6351" w:rsidP="00CC6351">
            <w:pPr>
              <w:ind w:left="154"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eastAsiaTheme="minorHAnsi" w:hAnsi="Courier New" w:cs="Courier New"/>
                <w:color w:val="auto"/>
                <w:sz w:val="22"/>
                <w:szCs w:val="24"/>
                <w:lang w:eastAsia="en-US"/>
              </w:rPr>
              <w:t>“</w:t>
            </w:r>
            <w:r w:rsidR="008509F6" w:rsidRPr="00E869A4">
              <w:rPr>
                <w:rFonts w:ascii="Times New Roman" w:eastAsiaTheme="minorHAnsi" w:hAnsi="Courier New" w:cs="Courier New"/>
                <w:color w:val="auto"/>
                <w:sz w:val="22"/>
                <w:szCs w:val="24"/>
                <w:lang w:eastAsia="en-US"/>
              </w:rPr>
              <w:t>I will still do what I have to do for him an</w:t>
            </w:r>
            <w:r w:rsidR="008509F6" w:rsidRPr="00E869A4">
              <w:rPr>
                <w:rFonts w:ascii="Times New Roman" w:eastAsia="Times New Roman" w:hAnsi="Times New Roman" w:cs="Courier New"/>
                <w:color w:val="auto"/>
                <w:sz w:val="22"/>
                <w:szCs w:val="24"/>
                <w:lang w:eastAsia="en-US"/>
              </w:rPr>
              <w:t>’ t’ing because he was always good to meh yuh know</w:t>
            </w:r>
            <w:r w:rsidRPr="00E869A4">
              <w:rPr>
                <w:rFonts w:ascii="Times New Roman" w:eastAsia="Times New Roman" w:hAnsi="Times New Roman" w:cs="Courier New"/>
                <w:color w:val="auto"/>
                <w:sz w:val="22"/>
                <w:szCs w:val="24"/>
                <w:lang w:eastAsia="en-US"/>
              </w:rPr>
              <w:t>”</w:t>
            </w:r>
            <w:r w:rsidR="008509F6" w:rsidRPr="00E869A4">
              <w:rPr>
                <w:rFonts w:ascii="Times New Roman" w:eastAsia="Times New Roman" w:hAnsi="Times New Roman" w:cs="Courier New"/>
                <w:color w:val="auto"/>
                <w:sz w:val="22"/>
                <w:szCs w:val="24"/>
                <w:lang w:eastAsia="en-US"/>
              </w:rPr>
              <w:t xml:space="preserve"> (FrCG </w:t>
            </w:r>
            <w:r w:rsidR="008509F6" w:rsidRPr="00E869A4">
              <w:rPr>
                <w:rFonts w:ascii="Times New Roman" w:eastAsiaTheme="minorHAnsi" w:hAnsi="Times New Roman" w:cs="Courier New"/>
                <w:color w:val="auto"/>
                <w:sz w:val="22"/>
                <w:szCs w:val="24"/>
                <w:lang w:eastAsia="en-US"/>
              </w:rPr>
              <w:t>Mr. Birch)</w:t>
            </w:r>
            <w:r w:rsidR="008509F6" w:rsidRPr="00E869A4">
              <w:rPr>
                <w:rFonts w:ascii="Times New Roman" w:hAnsi="Times New Roman" w:cs="Times New Roman"/>
                <w:color w:val="auto"/>
                <w:sz w:val="22"/>
              </w:rPr>
              <w:t xml:space="preserve"> </w:t>
            </w:r>
          </w:p>
        </w:tc>
        <w:tc>
          <w:tcPr>
            <w:tcW w:w="2147" w:type="dxa"/>
            <w:tcBorders>
              <w:top w:val="single" w:sz="4" w:space="0" w:color="auto"/>
              <w:left w:val="single" w:sz="4" w:space="0" w:color="auto"/>
              <w:bottom w:val="single" w:sz="4" w:space="0" w:color="auto"/>
              <w:right w:val="single" w:sz="4" w:space="0" w:color="auto"/>
            </w:tcBorders>
          </w:tcPr>
          <w:p w14:paraId="2AD8DD8A" w14:textId="77777777" w:rsidR="008509F6" w:rsidRPr="00E869A4" w:rsidRDefault="008509F6" w:rsidP="001E7657">
            <w:pPr>
              <w:ind w:firstLine="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Quality of Pre-crisis Relationship</w:t>
            </w:r>
          </w:p>
        </w:tc>
        <w:tc>
          <w:tcPr>
            <w:tcW w:w="3074" w:type="dxa"/>
            <w:tcBorders>
              <w:left w:val="single" w:sz="4" w:space="0" w:color="auto"/>
              <w:bottom w:val="single" w:sz="4" w:space="0" w:color="auto"/>
              <w:right w:val="single" w:sz="4" w:space="0" w:color="auto"/>
            </w:tcBorders>
          </w:tcPr>
          <w:p w14:paraId="5CB7CBE0" w14:textId="77777777" w:rsidR="008509F6" w:rsidRPr="00E869A4" w:rsidRDefault="008509F6" w:rsidP="001E765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2"/>
                <w:u w:val="single"/>
              </w:rPr>
            </w:pPr>
            <w:r w:rsidRPr="00E869A4">
              <w:rPr>
                <w:rFonts w:ascii="Times New Roman" w:hAnsi="Times New Roman" w:cs="Times New Roman"/>
                <w:b/>
                <w:color w:val="auto"/>
                <w:sz w:val="22"/>
                <w:u w:val="single"/>
              </w:rPr>
              <w:t>Reciprocity</w:t>
            </w:r>
          </w:p>
          <w:p w14:paraId="12153AED" w14:textId="6347762C" w:rsidR="008509F6" w:rsidRPr="00E869A4" w:rsidRDefault="008509F6" w:rsidP="00CC635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In an earlier study by Kietzman et al</w:t>
            </w:r>
            <w:r w:rsidR="00CF0B80" w:rsidRPr="00E869A4">
              <w:rPr>
                <w:rFonts w:ascii="Times New Roman" w:hAnsi="Times New Roman" w:cs="Times New Roman"/>
                <w:color w:val="auto"/>
                <w:sz w:val="22"/>
              </w:rPr>
              <w:t>.</w:t>
            </w:r>
            <w:r w:rsidRPr="00E869A4">
              <w:rPr>
                <w:rFonts w:ascii="Times New Roman" w:hAnsi="Times New Roman" w:cs="Times New Roman"/>
                <w:color w:val="auto"/>
                <w:sz w:val="22"/>
              </w:rPr>
              <w:t xml:space="preserve"> (2013</w:t>
            </w:r>
            <w:r w:rsidR="00CF0B80" w:rsidRPr="00E869A4">
              <w:rPr>
                <w:rFonts w:ascii="Times New Roman" w:hAnsi="Times New Roman" w:cs="Times New Roman"/>
                <w:color w:val="auto"/>
                <w:sz w:val="22"/>
              </w:rPr>
              <w:t>, p.</w:t>
            </w:r>
            <w:r w:rsidRPr="00E869A4">
              <w:rPr>
                <w:rFonts w:ascii="Times New Roman" w:hAnsi="Times New Roman" w:cs="Times New Roman"/>
                <w:color w:val="auto"/>
                <w:sz w:val="22"/>
              </w:rPr>
              <w:t xml:space="preserve">520) they observed from their literature </w:t>
            </w:r>
            <w:r w:rsidR="00EE7B68" w:rsidRPr="00E869A4">
              <w:rPr>
                <w:rFonts w:ascii="Times New Roman" w:hAnsi="Times New Roman" w:cs="Times New Roman"/>
                <w:color w:val="auto"/>
                <w:sz w:val="22"/>
              </w:rPr>
              <w:t xml:space="preserve">review </w:t>
            </w:r>
            <w:r w:rsidRPr="00E869A4">
              <w:rPr>
                <w:rFonts w:ascii="Times New Roman" w:hAnsi="Times New Roman" w:cs="Times New Roman"/>
                <w:color w:val="auto"/>
                <w:sz w:val="22"/>
              </w:rPr>
              <w:t xml:space="preserve">that family and friend caregivers </w:t>
            </w:r>
            <w:r w:rsidR="00EE7B68" w:rsidRPr="00E869A4">
              <w:rPr>
                <w:rFonts w:ascii="Times New Roman" w:hAnsi="Times New Roman" w:cs="Times New Roman"/>
                <w:color w:val="auto"/>
                <w:sz w:val="22"/>
              </w:rPr>
              <w:t>we</w:t>
            </w:r>
            <w:r w:rsidRPr="00E869A4">
              <w:rPr>
                <w:rFonts w:ascii="Times New Roman" w:hAnsi="Times New Roman" w:cs="Times New Roman"/>
                <w:color w:val="auto"/>
                <w:sz w:val="22"/>
              </w:rPr>
              <w:t xml:space="preserve">re influenced by various factors including ‘normative obligations of reciprocity’ which contribute to their decision to become caregivers. </w:t>
            </w:r>
          </w:p>
        </w:tc>
        <w:tc>
          <w:tcPr>
            <w:tcW w:w="1672" w:type="dxa"/>
            <w:tcBorders>
              <w:left w:val="single" w:sz="4" w:space="0" w:color="auto"/>
              <w:bottom w:val="single" w:sz="4" w:space="0" w:color="auto"/>
              <w:right w:val="single" w:sz="4" w:space="0" w:color="auto"/>
            </w:tcBorders>
          </w:tcPr>
          <w:p w14:paraId="538254D0" w14:textId="77777777" w:rsidR="008509F6" w:rsidRPr="00E869A4" w:rsidRDefault="008509F6" w:rsidP="001E765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Reciprocity </w:t>
            </w:r>
          </w:p>
        </w:tc>
        <w:tc>
          <w:tcPr>
            <w:tcW w:w="1519" w:type="dxa"/>
            <w:tcBorders>
              <w:left w:val="single" w:sz="4" w:space="0" w:color="auto"/>
              <w:bottom w:val="single" w:sz="4" w:space="0" w:color="auto"/>
              <w:right w:val="single" w:sz="4" w:space="0" w:color="auto"/>
            </w:tcBorders>
          </w:tcPr>
          <w:p w14:paraId="49FC8AAD" w14:textId="1EC299BC" w:rsidR="008509F6" w:rsidRPr="00E869A4" w:rsidRDefault="008509F6" w:rsidP="006040B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CG Role Acquisition &gt; </w:t>
            </w:r>
            <w:r w:rsidR="006040B3" w:rsidRPr="00E869A4">
              <w:rPr>
                <w:rFonts w:ascii="Times New Roman" w:hAnsi="Times New Roman" w:cs="Times New Roman"/>
                <w:color w:val="auto"/>
                <w:sz w:val="22"/>
              </w:rPr>
              <w:t>Duty</w:t>
            </w:r>
          </w:p>
        </w:tc>
        <w:tc>
          <w:tcPr>
            <w:tcW w:w="1578" w:type="dxa"/>
            <w:tcBorders>
              <w:left w:val="single" w:sz="4" w:space="0" w:color="auto"/>
              <w:bottom w:val="single" w:sz="4" w:space="0" w:color="auto"/>
              <w:right w:val="single" w:sz="4" w:space="0" w:color="auto"/>
            </w:tcBorders>
          </w:tcPr>
          <w:p w14:paraId="7860E3E3" w14:textId="77777777" w:rsidR="008509F6" w:rsidRPr="00E869A4" w:rsidRDefault="008509F6" w:rsidP="001E765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Determinants of Care</w:t>
            </w:r>
          </w:p>
          <w:p w14:paraId="381381E3" w14:textId="77777777" w:rsidR="008509F6" w:rsidRPr="00E869A4" w:rsidRDefault="008509F6" w:rsidP="001E765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p>
        </w:tc>
        <w:tc>
          <w:tcPr>
            <w:tcW w:w="2545" w:type="dxa"/>
            <w:tcBorders>
              <w:top w:val="single" w:sz="4" w:space="0" w:color="auto"/>
              <w:left w:val="single" w:sz="4" w:space="0" w:color="auto"/>
              <w:bottom w:val="single" w:sz="4" w:space="0" w:color="auto"/>
              <w:right w:val="single" w:sz="4" w:space="0" w:color="auto"/>
            </w:tcBorders>
          </w:tcPr>
          <w:p w14:paraId="5F6AB60F" w14:textId="77777777" w:rsidR="008509F6" w:rsidRPr="00E869A4" w:rsidRDefault="008509F6" w:rsidP="001E765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Linked to the emergent theme “willingness to [provide or continue] care” even when the caregiver finds it challenging (Mr. Birch for example shared that he is a ‘moody’ person and sometimes he doesn’t feel to be helpful or go the extra mile for Uncle Wilton. But generally, he still does what is needed given the nature of their relationship. Thus, reciprocity helps him to overcome the ambivalent feelings he experiences. </w:t>
            </w:r>
          </w:p>
        </w:tc>
        <w:tc>
          <w:tcPr>
            <w:tcW w:w="2471" w:type="dxa"/>
            <w:tcBorders>
              <w:top w:val="single" w:sz="4" w:space="0" w:color="auto"/>
              <w:left w:val="single" w:sz="4" w:space="0" w:color="auto"/>
              <w:bottom w:val="single" w:sz="4" w:space="0" w:color="auto"/>
              <w:right w:val="single" w:sz="4" w:space="0" w:color="auto"/>
            </w:tcBorders>
          </w:tcPr>
          <w:p w14:paraId="1BD73A10" w14:textId="77777777" w:rsidR="008509F6" w:rsidRPr="00E869A4" w:rsidRDefault="008509F6" w:rsidP="001E765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Requited Care: </w:t>
            </w:r>
          </w:p>
          <w:p w14:paraId="2ADB3EC5" w14:textId="77777777" w:rsidR="008509F6" w:rsidRPr="00E869A4" w:rsidRDefault="008509F6" w:rsidP="001E765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Family elder care that is based on a desire to reciprocate care that was previously provided by an older relative, and /or a sense of duty.  </w:t>
            </w:r>
          </w:p>
        </w:tc>
      </w:tr>
      <w:tr w:rsidR="00C714D3" w:rsidRPr="00E869A4" w14:paraId="7E8DD5CF" w14:textId="77777777" w:rsidTr="009104BE">
        <w:trPr>
          <w:jc w:val="center"/>
        </w:trPr>
        <w:tc>
          <w:tcPr>
            <w:cnfStyle w:val="001000000000" w:firstRow="0" w:lastRow="0" w:firstColumn="1" w:lastColumn="0" w:oddVBand="0" w:evenVBand="0" w:oddHBand="0" w:evenHBand="0" w:firstRowFirstColumn="0" w:firstRowLastColumn="0" w:lastRowFirstColumn="0" w:lastRowLastColumn="0"/>
            <w:tcW w:w="634" w:type="dxa"/>
            <w:tcBorders>
              <w:left w:val="single" w:sz="4" w:space="0" w:color="auto"/>
              <w:bottom w:val="single" w:sz="4" w:space="0" w:color="auto"/>
              <w:right w:val="single" w:sz="4" w:space="0" w:color="auto"/>
            </w:tcBorders>
          </w:tcPr>
          <w:p w14:paraId="304BD82D" w14:textId="77777777" w:rsidR="008509F6" w:rsidRPr="00E869A4" w:rsidRDefault="008509F6" w:rsidP="009D4C5D">
            <w:pPr>
              <w:pStyle w:val="ListParagraph"/>
              <w:numPr>
                <w:ilvl w:val="0"/>
                <w:numId w:val="61"/>
              </w:numPr>
              <w:ind w:left="0" w:hanging="24"/>
              <w:rPr>
                <w:rFonts w:ascii="Times New Roman" w:hAnsi="Times New Roman" w:cs="Times New Roman"/>
                <w:i/>
                <w:color w:val="auto"/>
                <w:sz w:val="22"/>
              </w:rPr>
            </w:pPr>
          </w:p>
        </w:tc>
        <w:tc>
          <w:tcPr>
            <w:tcW w:w="2533" w:type="dxa"/>
            <w:tcBorders>
              <w:left w:val="single" w:sz="4" w:space="0" w:color="auto"/>
              <w:bottom w:val="single" w:sz="4" w:space="0" w:color="auto"/>
              <w:right w:val="single" w:sz="4" w:space="0" w:color="auto"/>
            </w:tcBorders>
          </w:tcPr>
          <w:p w14:paraId="68B113B5" w14:textId="2EF3A1F4" w:rsidR="008509F6" w:rsidRPr="00E869A4" w:rsidRDefault="00CC6351" w:rsidP="00CC6351">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w:t>
            </w:r>
            <w:r w:rsidR="008509F6" w:rsidRPr="00E869A4">
              <w:rPr>
                <w:rFonts w:ascii="Times New Roman" w:hAnsi="Times New Roman" w:cs="Times New Roman"/>
                <w:color w:val="auto"/>
                <w:sz w:val="22"/>
              </w:rPr>
              <w:t xml:space="preserve">Every first Saturday in December there is a luncheon for retirees. They wanted to honour me but I declined because – to me it’s an embarrassment. To men who know me and knowing who I was to what I am now, it’s just </w:t>
            </w:r>
            <w:r w:rsidR="008509F6" w:rsidRPr="00E869A4">
              <w:rPr>
                <w:rFonts w:ascii="Times New Roman" w:hAnsi="Times New Roman" w:cs="Times New Roman"/>
                <w:color w:val="auto"/>
                <w:sz w:val="22"/>
              </w:rPr>
              <w:lastRenderedPageBreak/>
              <w:t>an embarrassment.</w:t>
            </w:r>
            <w:r w:rsidRPr="00E869A4">
              <w:rPr>
                <w:rFonts w:ascii="Times New Roman" w:hAnsi="Times New Roman" w:cs="Times New Roman"/>
                <w:color w:val="auto"/>
                <w:sz w:val="22"/>
              </w:rPr>
              <w:t>”</w:t>
            </w:r>
            <w:r w:rsidR="008509F6" w:rsidRPr="00E869A4">
              <w:rPr>
                <w:rFonts w:ascii="Times New Roman" w:hAnsi="Times New Roman" w:cs="Times New Roman"/>
                <w:color w:val="auto"/>
                <w:sz w:val="22"/>
              </w:rPr>
              <w:t xml:space="preserve"> (CR Mr. Sanchez)</w:t>
            </w:r>
          </w:p>
        </w:tc>
        <w:tc>
          <w:tcPr>
            <w:tcW w:w="2147" w:type="dxa"/>
            <w:tcBorders>
              <w:left w:val="single" w:sz="4" w:space="0" w:color="auto"/>
              <w:bottom w:val="single" w:sz="4" w:space="0" w:color="auto"/>
              <w:right w:val="single" w:sz="4" w:space="0" w:color="auto"/>
            </w:tcBorders>
          </w:tcPr>
          <w:p w14:paraId="6C4DED07" w14:textId="77777777"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lastRenderedPageBreak/>
              <w:t>Evasion / Withdrawal / Refusing social interaction / support</w:t>
            </w:r>
          </w:p>
        </w:tc>
        <w:tc>
          <w:tcPr>
            <w:tcW w:w="3074" w:type="dxa"/>
            <w:tcBorders>
              <w:left w:val="single" w:sz="4" w:space="0" w:color="auto"/>
              <w:bottom w:val="single" w:sz="4" w:space="0" w:color="auto"/>
              <w:right w:val="single" w:sz="4" w:space="0" w:color="auto"/>
            </w:tcBorders>
          </w:tcPr>
          <w:p w14:paraId="048B236D" w14:textId="77777777"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While the psychological literature explicitly identifies avoidant coping as one of several strategies that may be employed in response to stressful circumstances such as caregiving, there are few sociological studies which use this terminology. The sociology of health is an exception to this. </w:t>
            </w:r>
            <w:r w:rsidRPr="00E869A4">
              <w:rPr>
                <w:rFonts w:ascii="Times New Roman" w:hAnsi="Times New Roman" w:cs="Times New Roman"/>
                <w:color w:val="auto"/>
                <w:sz w:val="22"/>
              </w:rPr>
              <w:lastRenderedPageBreak/>
              <w:t>Link et al (1991, p. 312) observed that an avoidance- withdrawal orientation had significantly harmful effects on patients with a mental illness as evidenced by higher levels of demoralization and unemployment by those who employed this strategy</w:t>
            </w:r>
            <w:r w:rsidRPr="00E869A4">
              <w:rPr>
                <w:rStyle w:val="FootnoteReference"/>
                <w:rFonts w:ascii="Times New Roman" w:hAnsi="Times New Roman" w:cs="Times New Roman"/>
                <w:color w:val="auto"/>
                <w:sz w:val="22"/>
              </w:rPr>
              <w:footnoteReference w:id="59"/>
            </w:r>
            <w:r w:rsidRPr="00E869A4">
              <w:rPr>
                <w:rFonts w:ascii="Times New Roman" w:hAnsi="Times New Roman" w:cs="Times New Roman"/>
                <w:color w:val="auto"/>
                <w:sz w:val="22"/>
              </w:rPr>
              <w:t>.</w:t>
            </w:r>
          </w:p>
        </w:tc>
        <w:tc>
          <w:tcPr>
            <w:tcW w:w="1672" w:type="dxa"/>
            <w:tcBorders>
              <w:left w:val="single" w:sz="4" w:space="0" w:color="auto"/>
              <w:bottom w:val="single" w:sz="4" w:space="0" w:color="auto"/>
              <w:right w:val="single" w:sz="4" w:space="0" w:color="auto"/>
            </w:tcBorders>
          </w:tcPr>
          <w:p w14:paraId="68DAC611" w14:textId="77777777"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lastRenderedPageBreak/>
              <w:t>Avoidant coping strategies / Maladaptive coping / Sub-optimal coping</w:t>
            </w:r>
          </w:p>
        </w:tc>
        <w:tc>
          <w:tcPr>
            <w:tcW w:w="1519" w:type="dxa"/>
            <w:tcBorders>
              <w:left w:val="single" w:sz="4" w:space="0" w:color="auto"/>
              <w:bottom w:val="single" w:sz="4" w:space="0" w:color="auto"/>
              <w:right w:val="single" w:sz="4" w:space="0" w:color="auto"/>
            </w:tcBorders>
          </w:tcPr>
          <w:p w14:paraId="2BED603B" w14:textId="77777777"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Refusing-Care Strategies</w:t>
            </w:r>
          </w:p>
        </w:tc>
        <w:tc>
          <w:tcPr>
            <w:tcW w:w="1578" w:type="dxa"/>
            <w:tcBorders>
              <w:left w:val="single" w:sz="4" w:space="0" w:color="auto"/>
              <w:bottom w:val="single" w:sz="4" w:space="0" w:color="auto"/>
              <w:right w:val="single" w:sz="4" w:space="0" w:color="auto"/>
            </w:tcBorders>
          </w:tcPr>
          <w:p w14:paraId="4C917A0B" w14:textId="77777777"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Coping &amp; Care Management Strategies</w:t>
            </w:r>
          </w:p>
        </w:tc>
        <w:tc>
          <w:tcPr>
            <w:tcW w:w="2545" w:type="dxa"/>
            <w:tcBorders>
              <w:left w:val="single" w:sz="4" w:space="0" w:color="auto"/>
              <w:bottom w:val="single" w:sz="4" w:space="0" w:color="auto"/>
              <w:right w:val="single" w:sz="4" w:space="0" w:color="auto"/>
            </w:tcBorders>
          </w:tcPr>
          <w:p w14:paraId="0403E432" w14:textId="3939B3BD"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What distinguishes these two types of care is that refusing care has to do with avoidance and withdrawal and is a relatively passive response, while resisting care is more direct </w:t>
            </w:r>
            <w:r w:rsidR="00C21D8A" w:rsidRPr="00E869A4">
              <w:rPr>
                <w:rFonts w:ascii="Times New Roman" w:hAnsi="Times New Roman" w:cs="Times New Roman"/>
                <w:color w:val="auto"/>
                <w:sz w:val="22"/>
              </w:rPr>
              <w:t>and active</w:t>
            </w:r>
            <w:r w:rsidRPr="00E869A4">
              <w:rPr>
                <w:rFonts w:ascii="Times New Roman" w:hAnsi="Times New Roman" w:cs="Times New Roman"/>
                <w:color w:val="auto"/>
                <w:sz w:val="22"/>
              </w:rPr>
              <w:t>.</w:t>
            </w:r>
          </w:p>
        </w:tc>
        <w:tc>
          <w:tcPr>
            <w:tcW w:w="2471" w:type="dxa"/>
            <w:tcBorders>
              <w:left w:val="single" w:sz="4" w:space="0" w:color="auto"/>
              <w:bottom w:val="single" w:sz="4" w:space="0" w:color="auto"/>
              <w:right w:val="single" w:sz="4" w:space="0" w:color="auto"/>
            </w:tcBorders>
          </w:tcPr>
          <w:p w14:paraId="245610BB" w14:textId="77777777"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Refusing-care” refers to the overt rejection by the caregiver or cared-for person of a formal or informal service that was presented as a possible solution for meeting a care need.</w:t>
            </w:r>
          </w:p>
          <w:p w14:paraId="14CCA31D" w14:textId="77777777"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99A4676" w14:textId="77777777" w:rsidR="008509F6" w:rsidRPr="00E869A4" w:rsidRDefault="008509F6" w:rsidP="001E7657">
            <w:pPr>
              <w:ind w:firstLine="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Refusing care could be </w:t>
            </w:r>
            <w:r w:rsidRPr="00E869A4">
              <w:rPr>
                <w:rFonts w:ascii="Times New Roman" w:hAnsi="Times New Roman" w:cs="Times New Roman"/>
                <w:color w:val="auto"/>
                <w:sz w:val="22"/>
              </w:rPr>
              <w:lastRenderedPageBreak/>
              <w:t>considered to be an adaptive response of older persons to services that they deemed to be highly risky to them, or particularly undesirable.</w:t>
            </w:r>
          </w:p>
        </w:tc>
      </w:tr>
      <w:tr w:rsidR="00C714D3" w:rsidRPr="00E869A4" w14:paraId="03B02D41" w14:textId="77777777" w:rsidTr="009104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4" w:type="dxa"/>
            <w:tcBorders>
              <w:left w:val="single" w:sz="4" w:space="0" w:color="auto"/>
              <w:right w:val="single" w:sz="4" w:space="0" w:color="auto"/>
            </w:tcBorders>
          </w:tcPr>
          <w:p w14:paraId="22506834" w14:textId="77777777" w:rsidR="008509F6" w:rsidRPr="00E869A4" w:rsidRDefault="008509F6" w:rsidP="009D4C5D">
            <w:pPr>
              <w:pStyle w:val="ListParagraph"/>
              <w:numPr>
                <w:ilvl w:val="0"/>
                <w:numId w:val="61"/>
              </w:numPr>
              <w:ind w:left="0" w:hanging="24"/>
              <w:rPr>
                <w:rFonts w:ascii="Times New Roman" w:hAnsi="Times New Roman" w:cs="Times New Roman"/>
                <w:i/>
                <w:color w:val="auto"/>
                <w:sz w:val="22"/>
              </w:rPr>
            </w:pPr>
          </w:p>
        </w:tc>
        <w:tc>
          <w:tcPr>
            <w:tcW w:w="2533" w:type="dxa"/>
            <w:tcBorders>
              <w:left w:val="single" w:sz="4" w:space="0" w:color="auto"/>
              <w:right w:val="single" w:sz="4" w:space="0" w:color="auto"/>
            </w:tcBorders>
          </w:tcPr>
          <w:p w14:paraId="01BA4C11" w14:textId="6F79F7C6" w:rsidR="008509F6" w:rsidRPr="00E869A4" w:rsidRDefault="00C21D8A" w:rsidP="00C21D8A">
            <w:pPr>
              <w:ind w:firstLine="1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w:t>
            </w:r>
            <w:r w:rsidR="008509F6" w:rsidRPr="00E869A4">
              <w:rPr>
                <w:rFonts w:ascii="Times New Roman" w:hAnsi="Times New Roman" w:cs="Times New Roman"/>
                <w:color w:val="auto"/>
                <w:sz w:val="22"/>
              </w:rPr>
              <w:t>Sometime later</w:t>
            </w:r>
            <w:r w:rsidRPr="00E869A4">
              <w:rPr>
                <w:rFonts w:ascii="Times New Roman" w:hAnsi="Times New Roman" w:cs="Times New Roman"/>
                <w:color w:val="auto"/>
                <w:sz w:val="22"/>
              </w:rPr>
              <w:t xml:space="preserve"> </w:t>
            </w:r>
            <w:r w:rsidR="008509F6" w:rsidRPr="00E869A4">
              <w:rPr>
                <w:rFonts w:ascii="Times New Roman" w:hAnsi="Times New Roman" w:cs="Times New Roman"/>
                <w:color w:val="auto"/>
                <w:sz w:val="22"/>
              </w:rPr>
              <w:t>… the doctor called me and … she said</w:t>
            </w:r>
            <w:r w:rsidRPr="00E869A4">
              <w:rPr>
                <w:rFonts w:ascii="Times New Roman" w:hAnsi="Times New Roman" w:cs="Times New Roman"/>
                <w:color w:val="auto"/>
                <w:sz w:val="22"/>
              </w:rPr>
              <w:t xml:space="preserve"> </w:t>
            </w:r>
            <w:r w:rsidR="008509F6" w:rsidRPr="00E869A4">
              <w:rPr>
                <w:rFonts w:ascii="Times New Roman" w:hAnsi="Times New Roman" w:cs="Times New Roman"/>
                <w:color w:val="auto"/>
                <w:sz w:val="22"/>
              </w:rPr>
              <w:t>… “You know your mum could go home today”. I said “No! I am sorry but I have nobody to take her up the stairs”, which is a lie, but I came home and sat down by myself in a chair for three hours. I just sat down like this. And I did no</w:t>
            </w:r>
            <w:r w:rsidRPr="00E869A4">
              <w:rPr>
                <w:rFonts w:ascii="Times New Roman" w:hAnsi="Times New Roman" w:cs="Times New Roman"/>
                <w:color w:val="auto"/>
                <w:sz w:val="22"/>
              </w:rPr>
              <w:t>t put on the TV, radio, nothing</w:t>
            </w:r>
            <w:r w:rsidR="008509F6" w:rsidRPr="00E869A4">
              <w:rPr>
                <w:rFonts w:ascii="Times New Roman" w:hAnsi="Times New Roman" w:cs="Times New Roman"/>
                <w:color w:val="auto"/>
                <w:sz w:val="22"/>
              </w:rPr>
              <w:t xml:space="preserve"> …</w:t>
            </w:r>
            <w:r w:rsidRPr="00E869A4">
              <w:rPr>
                <w:rFonts w:ascii="Times New Roman" w:hAnsi="Times New Roman" w:cs="Times New Roman"/>
                <w:color w:val="auto"/>
                <w:sz w:val="22"/>
              </w:rPr>
              <w:t xml:space="preserve"> </w:t>
            </w:r>
            <w:r w:rsidR="008509F6" w:rsidRPr="00E869A4">
              <w:rPr>
                <w:rFonts w:ascii="Times New Roman" w:hAnsi="Times New Roman" w:cs="Times New Roman"/>
                <w:color w:val="auto"/>
                <w:sz w:val="22"/>
              </w:rPr>
              <w:t xml:space="preserve">I couldn’t cope, I said oh God this lady coming back </w:t>
            </w:r>
            <w:r w:rsidRPr="00E869A4">
              <w:rPr>
                <w:rFonts w:ascii="Times New Roman" w:hAnsi="Times New Roman" w:cs="Times New Roman"/>
                <w:color w:val="auto"/>
                <w:sz w:val="22"/>
              </w:rPr>
              <w:t>home today: Lord Jesus!” (TrFGC</w:t>
            </w:r>
            <w:r w:rsidR="008509F6" w:rsidRPr="00E869A4">
              <w:rPr>
                <w:rFonts w:ascii="Times New Roman" w:hAnsi="Times New Roman" w:cs="Times New Roman"/>
                <w:color w:val="auto"/>
                <w:sz w:val="22"/>
              </w:rPr>
              <w:t xml:space="preserve"> Omatee)  </w:t>
            </w:r>
          </w:p>
        </w:tc>
        <w:tc>
          <w:tcPr>
            <w:tcW w:w="2147" w:type="dxa"/>
            <w:tcBorders>
              <w:left w:val="single" w:sz="4" w:space="0" w:color="auto"/>
              <w:right w:val="single" w:sz="4" w:space="0" w:color="auto"/>
            </w:tcBorders>
          </w:tcPr>
          <w:p w14:paraId="6304CBFD" w14:textId="77777777" w:rsidR="008509F6" w:rsidRPr="00E869A4" w:rsidRDefault="008509F6" w:rsidP="001E7657">
            <w:pPr>
              <w:ind w:firstLine="1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Refusing to give care; CG self-preservation / controlled neglect / abandonment</w:t>
            </w:r>
          </w:p>
        </w:tc>
        <w:tc>
          <w:tcPr>
            <w:tcW w:w="3074" w:type="dxa"/>
            <w:tcBorders>
              <w:left w:val="single" w:sz="4" w:space="0" w:color="auto"/>
              <w:right w:val="single" w:sz="4" w:space="0" w:color="auto"/>
            </w:tcBorders>
          </w:tcPr>
          <w:p w14:paraId="41A9FBC8" w14:textId="35234976" w:rsidR="008509F6" w:rsidRPr="00E869A4" w:rsidRDefault="008509F6" w:rsidP="00C21D8A">
            <w:pPr>
              <w:ind w:firstLine="1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As noted in the literature review section on resilience and coping, Ungar (2016) conceptualised resilience as occurring to varying degrees in stressful situations i.e. from optimal to sub-optimal with the latter including avoidant and maladaptive responses to stressors. A study on elder abuse by Nhongo (2001) observed that in African countries such as Kenya, an alarming number of older persons are</w:t>
            </w:r>
            <w:r w:rsidR="00CC6351" w:rsidRPr="00E869A4">
              <w:rPr>
                <w:rFonts w:ascii="Times New Roman" w:hAnsi="Times New Roman" w:cs="Times New Roman"/>
                <w:color w:val="auto"/>
                <w:sz w:val="22"/>
              </w:rPr>
              <w:t xml:space="preserve"> </w:t>
            </w:r>
            <w:r w:rsidRPr="00E869A4">
              <w:rPr>
                <w:rFonts w:ascii="Times New Roman" w:hAnsi="Times New Roman" w:cs="Times New Roman"/>
                <w:color w:val="auto"/>
                <w:sz w:val="22"/>
              </w:rPr>
              <w:t xml:space="preserve">being abandoned in hospital without any family member responsible (p. 8). This they suggest is the result of the changing family structure and values in African countries such as Kenya. </w:t>
            </w:r>
          </w:p>
        </w:tc>
        <w:tc>
          <w:tcPr>
            <w:tcW w:w="1672" w:type="dxa"/>
            <w:tcBorders>
              <w:left w:val="single" w:sz="4" w:space="0" w:color="auto"/>
              <w:right w:val="single" w:sz="4" w:space="0" w:color="auto"/>
            </w:tcBorders>
          </w:tcPr>
          <w:p w14:paraId="312CFB5A" w14:textId="77777777" w:rsidR="008509F6" w:rsidRPr="00E869A4" w:rsidRDefault="008509F6" w:rsidP="0052658B">
            <w:pPr>
              <w:ind w:firstLine="1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Sub-optimal coping</w:t>
            </w:r>
          </w:p>
        </w:tc>
        <w:tc>
          <w:tcPr>
            <w:tcW w:w="1519" w:type="dxa"/>
            <w:tcBorders>
              <w:left w:val="single" w:sz="4" w:space="0" w:color="auto"/>
              <w:right w:val="single" w:sz="4" w:space="0" w:color="auto"/>
            </w:tcBorders>
          </w:tcPr>
          <w:p w14:paraId="25B3816A" w14:textId="77777777" w:rsidR="008509F6" w:rsidRPr="00E869A4" w:rsidRDefault="008509F6" w:rsidP="0052658B">
            <w:pPr>
              <w:ind w:firstLine="1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Resisting Care Strategies</w:t>
            </w:r>
          </w:p>
        </w:tc>
        <w:tc>
          <w:tcPr>
            <w:tcW w:w="1578" w:type="dxa"/>
            <w:tcBorders>
              <w:left w:val="single" w:sz="4" w:space="0" w:color="auto"/>
              <w:right w:val="single" w:sz="4" w:space="0" w:color="auto"/>
            </w:tcBorders>
          </w:tcPr>
          <w:p w14:paraId="7278918D" w14:textId="77777777" w:rsidR="008509F6" w:rsidRPr="00E869A4" w:rsidRDefault="008509F6" w:rsidP="0052658B">
            <w:pPr>
              <w:ind w:firstLine="1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Coping &amp; Care Management Strategies</w:t>
            </w:r>
          </w:p>
        </w:tc>
        <w:tc>
          <w:tcPr>
            <w:tcW w:w="2545" w:type="dxa"/>
            <w:tcBorders>
              <w:left w:val="single" w:sz="4" w:space="0" w:color="auto"/>
              <w:right w:val="single" w:sz="4" w:space="0" w:color="auto"/>
            </w:tcBorders>
          </w:tcPr>
          <w:p w14:paraId="1674CA75" w14:textId="77777777" w:rsidR="008509F6" w:rsidRPr="00E869A4" w:rsidRDefault="008509F6" w:rsidP="00C21D8A">
            <w:pPr>
              <w:ind w:firstLine="1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 xml:space="preserve">The issue of physical infrastructure at home and its impact on care provision and the wellbeing of older persons was highlighted in several interviews. This should be underscored as an important social policy issue. </w:t>
            </w:r>
          </w:p>
        </w:tc>
        <w:tc>
          <w:tcPr>
            <w:tcW w:w="2471" w:type="dxa"/>
            <w:tcBorders>
              <w:left w:val="single" w:sz="4" w:space="0" w:color="auto"/>
              <w:right w:val="single" w:sz="4" w:space="0" w:color="auto"/>
            </w:tcBorders>
          </w:tcPr>
          <w:p w14:paraId="1987A420" w14:textId="77777777" w:rsidR="008509F6" w:rsidRPr="00E869A4" w:rsidRDefault="008509F6" w:rsidP="00B65F18">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E869A4">
              <w:rPr>
                <w:rFonts w:ascii="Times New Roman" w:hAnsi="Times New Roman" w:cs="Times New Roman"/>
                <w:color w:val="auto"/>
                <w:sz w:val="22"/>
              </w:rPr>
              <w:t>“Resisting-care” is similar to refusing care in that it involved rejecting a particular service option or care solution but in a covert manner. It includes behaviours such as avoidance and in some instances withdrawal, while refusing care is more overt and direct.</w:t>
            </w:r>
          </w:p>
        </w:tc>
      </w:tr>
    </w:tbl>
    <w:p w14:paraId="096B7052" w14:textId="77777777" w:rsidR="00FA3568" w:rsidRPr="00E869A4" w:rsidRDefault="00FA3568" w:rsidP="00A35FF8">
      <w:pPr>
        <w:rPr>
          <w:rFonts w:ascii="Times New Roman" w:hAnsi="Times New Roman" w:cs="Times New Roman"/>
        </w:rPr>
      </w:pPr>
    </w:p>
    <w:p w14:paraId="79C0AD56" w14:textId="77777777" w:rsidR="003C3E25" w:rsidRPr="00E869A4" w:rsidRDefault="003C3E25" w:rsidP="00FA3568">
      <w:pPr>
        <w:rPr>
          <w:rFonts w:ascii="Times New Roman" w:hAnsi="Times New Roman" w:cs="Times New Roman"/>
        </w:rPr>
        <w:sectPr w:rsidR="003C3E25" w:rsidRPr="00E869A4" w:rsidSect="00446CB8">
          <w:type w:val="nextColumn"/>
          <w:pgSz w:w="20160" w:h="12240" w:orient="landscape" w:code="5"/>
          <w:pgMar w:top="1440" w:right="851" w:bottom="1440" w:left="1134" w:header="720" w:footer="720" w:gutter="0"/>
          <w:cols w:space="720"/>
          <w:docGrid w:linePitch="360"/>
        </w:sectPr>
      </w:pPr>
    </w:p>
    <w:p w14:paraId="55C11B9D" w14:textId="1BB0B9A1" w:rsidR="00C03772" w:rsidRPr="00E869A4" w:rsidRDefault="00E9231D" w:rsidP="00175C3E">
      <w:pPr>
        <w:pStyle w:val="Heading2"/>
      </w:pPr>
      <w:bookmarkStart w:id="284" w:name="_Toc40436515"/>
      <w:r w:rsidRPr="00E869A4">
        <w:lastRenderedPageBreak/>
        <w:t>5</w:t>
      </w:r>
      <w:r w:rsidR="00AD138D" w:rsidRPr="00E869A4">
        <w:t xml:space="preserve">.4 </w:t>
      </w:r>
      <w:r w:rsidR="00AD13CF" w:rsidRPr="00E869A4">
        <w:t>CONCLUSION</w:t>
      </w:r>
      <w:bookmarkEnd w:id="284"/>
    </w:p>
    <w:p w14:paraId="6C4D272E" w14:textId="77777777" w:rsidR="00C03772" w:rsidRPr="00E869A4" w:rsidRDefault="00C03772" w:rsidP="00A35FF8">
      <w:pPr>
        <w:rPr>
          <w:rFonts w:ascii="Times New Roman" w:hAnsi="Times New Roman" w:cs="Times New Roman"/>
        </w:rPr>
      </w:pPr>
    </w:p>
    <w:p w14:paraId="66E5050C" w14:textId="553A87A3" w:rsidR="00C03772" w:rsidRPr="00E869A4" w:rsidRDefault="004C713E" w:rsidP="00A35FF8">
      <w:pPr>
        <w:rPr>
          <w:rFonts w:ascii="Times New Roman" w:hAnsi="Times New Roman" w:cs="Times New Roman"/>
        </w:rPr>
      </w:pPr>
      <w:r>
        <w:rPr>
          <w:rFonts w:ascii="Times New Roman" w:hAnsi="Times New Roman" w:cs="Times New Roman"/>
        </w:rPr>
        <w:t xml:space="preserve">In this chapter, I </w:t>
      </w:r>
      <w:r w:rsidR="00C03772" w:rsidRPr="00E869A4">
        <w:rPr>
          <w:rFonts w:ascii="Times New Roman" w:hAnsi="Times New Roman" w:cs="Times New Roman"/>
        </w:rPr>
        <w:t xml:space="preserve">provided a descriptive and reflective account of the actual approach that was used in the data collection and analysis phases of this study. As is often articulated in textbooks and papers on social research methodology (e.g. </w:t>
      </w:r>
      <w:r w:rsidR="00D11186" w:rsidRPr="00E869A4">
        <w:rPr>
          <w:rFonts w:ascii="Times New Roman" w:hAnsi="Times New Roman" w:cs="Times New Roman"/>
        </w:rPr>
        <w:t xml:space="preserve">Harris &amp; Dyson 2001; </w:t>
      </w:r>
      <w:r w:rsidR="00C03772" w:rsidRPr="00E869A4">
        <w:rPr>
          <w:rFonts w:ascii="Times New Roman" w:hAnsi="Times New Roman" w:cs="Times New Roman"/>
        </w:rPr>
        <w:t>Mack et al</w:t>
      </w:r>
      <w:r w:rsidR="00D11186" w:rsidRPr="00E869A4">
        <w:rPr>
          <w:rFonts w:ascii="Times New Roman" w:hAnsi="Times New Roman" w:cs="Times New Roman"/>
        </w:rPr>
        <w:t>.</w:t>
      </w:r>
      <w:r w:rsidR="00C03772" w:rsidRPr="00E869A4">
        <w:rPr>
          <w:rFonts w:ascii="Times New Roman" w:hAnsi="Times New Roman" w:cs="Times New Roman"/>
        </w:rPr>
        <w:t xml:space="preserve"> 2005), </w:t>
      </w:r>
      <w:r w:rsidR="006B2300" w:rsidRPr="00E869A4">
        <w:rPr>
          <w:rFonts w:ascii="Times New Roman" w:hAnsi="Times New Roman" w:cs="Times New Roman"/>
        </w:rPr>
        <w:t>al</w:t>
      </w:r>
      <w:r w:rsidR="00C03772" w:rsidRPr="00E869A4">
        <w:rPr>
          <w:rFonts w:ascii="Times New Roman" w:hAnsi="Times New Roman" w:cs="Times New Roman"/>
        </w:rPr>
        <w:t>though different phases of the process are often described in a linear ma</w:t>
      </w:r>
      <w:r w:rsidR="00D11186" w:rsidRPr="00E869A4">
        <w:rPr>
          <w:rFonts w:ascii="Times New Roman" w:hAnsi="Times New Roman" w:cs="Times New Roman"/>
        </w:rPr>
        <w:t>nn</w:t>
      </w:r>
      <w:r w:rsidR="00C03772" w:rsidRPr="00E869A4">
        <w:rPr>
          <w:rFonts w:ascii="Times New Roman" w:hAnsi="Times New Roman" w:cs="Times New Roman"/>
        </w:rPr>
        <w:t>er, the process in practice is dynamic and i</w:t>
      </w:r>
      <w:r w:rsidR="00D53DF5" w:rsidRPr="00E869A4">
        <w:rPr>
          <w:rFonts w:ascii="Times New Roman" w:hAnsi="Times New Roman" w:cs="Times New Roman"/>
        </w:rPr>
        <w:t>terative</w:t>
      </w:r>
      <w:r w:rsidR="00C03772" w:rsidRPr="00E869A4">
        <w:rPr>
          <w:rFonts w:ascii="Times New Roman" w:hAnsi="Times New Roman" w:cs="Times New Roman"/>
        </w:rPr>
        <w:t>. Research, in particular</w:t>
      </w:r>
      <w:r w:rsidR="00D152C9" w:rsidRPr="00E869A4">
        <w:rPr>
          <w:rFonts w:ascii="Times New Roman" w:hAnsi="Times New Roman" w:cs="Times New Roman"/>
        </w:rPr>
        <w:t xml:space="preserve"> research</w:t>
      </w:r>
      <w:r w:rsidR="00C03772" w:rsidRPr="00E869A4">
        <w:rPr>
          <w:rFonts w:ascii="Times New Roman" w:hAnsi="Times New Roman" w:cs="Times New Roman"/>
        </w:rPr>
        <w:t xml:space="preserve"> with a strong qualitative </w:t>
      </w:r>
      <w:r w:rsidR="00066F71" w:rsidRPr="00E869A4">
        <w:rPr>
          <w:rFonts w:ascii="Times New Roman" w:hAnsi="Times New Roman" w:cs="Times New Roman"/>
        </w:rPr>
        <w:t>element</w:t>
      </w:r>
      <w:r w:rsidR="00C03772" w:rsidRPr="00E869A4">
        <w:rPr>
          <w:rFonts w:ascii="Times New Roman" w:hAnsi="Times New Roman" w:cs="Times New Roman"/>
        </w:rPr>
        <w:t>, is in reality a very messy business that requires constant negotiation and renegotiation to address the emergent and unexpected issues that often arise. A mixed methods approach</w:t>
      </w:r>
      <w:r w:rsidR="00066F71" w:rsidRPr="00E869A4">
        <w:rPr>
          <w:rFonts w:ascii="Times New Roman" w:hAnsi="Times New Roman" w:cs="Times New Roman"/>
        </w:rPr>
        <w:t>,</w:t>
      </w:r>
      <w:r w:rsidR="00C03772" w:rsidRPr="00E869A4">
        <w:rPr>
          <w:rFonts w:ascii="Times New Roman" w:hAnsi="Times New Roman" w:cs="Times New Roman"/>
        </w:rPr>
        <w:t xml:space="preserve"> grounded in a pragmatic social inquiry</w:t>
      </w:r>
      <w:r w:rsidR="00066F71" w:rsidRPr="00E869A4">
        <w:rPr>
          <w:rFonts w:ascii="Times New Roman" w:hAnsi="Times New Roman" w:cs="Times New Roman"/>
        </w:rPr>
        <w:t>,</w:t>
      </w:r>
      <w:r w:rsidR="00C03772" w:rsidRPr="00E869A4">
        <w:rPr>
          <w:rFonts w:ascii="Times New Roman" w:hAnsi="Times New Roman" w:cs="Times New Roman"/>
        </w:rPr>
        <w:t xml:space="preserve"> is one means of buffering the negative effects of an ever-changing research landscape. In the current study, despite the challenges and subsequent adaptations made to the original research plan, I was able to successfully obtain rich and meaningful information </w:t>
      </w:r>
      <w:r w:rsidR="006B2300" w:rsidRPr="00E869A4">
        <w:rPr>
          <w:rFonts w:ascii="Times New Roman" w:hAnsi="Times New Roman" w:cs="Times New Roman"/>
        </w:rPr>
        <w:t>which</w:t>
      </w:r>
      <w:r w:rsidR="00C03772" w:rsidRPr="00E869A4">
        <w:rPr>
          <w:rFonts w:ascii="Times New Roman" w:hAnsi="Times New Roman" w:cs="Times New Roman"/>
        </w:rPr>
        <w:t xml:space="preserve"> was pertinent to the research questions that I initially set out to answer. In the next </w:t>
      </w:r>
      <w:r w:rsidR="00482302">
        <w:rPr>
          <w:rFonts w:ascii="Times New Roman" w:hAnsi="Times New Roman" w:cs="Times New Roman"/>
        </w:rPr>
        <w:t xml:space="preserve">four </w:t>
      </w:r>
      <w:r w:rsidR="00C03772" w:rsidRPr="00E869A4">
        <w:rPr>
          <w:rFonts w:ascii="Times New Roman" w:hAnsi="Times New Roman" w:cs="Times New Roman"/>
        </w:rPr>
        <w:t>chapter</w:t>
      </w:r>
      <w:r w:rsidR="00482302">
        <w:rPr>
          <w:rFonts w:ascii="Times New Roman" w:hAnsi="Times New Roman" w:cs="Times New Roman"/>
        </w:rPr>
        <w:t>s</w:t>
      </w:r>
      <w:r w:rsidR="00C03772" w:rsidRPr="00E869A4">
        <w:rPr>
          <w:rFonts w:ascii="Times New Roman" w:hAnsi="Times New Roman" w:cs="Times New Roman"/>
        </w:rPr>
        <w:t xml:space="preserve">, the results of the various phases of this </w:t>
      </w:r>
      <w:r w:rsidR="00066F71" w:rsidRPr="00E869A4">
        <w:rPr>
          <w:rFonts w:ascii="Times New Roman" w:hAnsi="Times New Roman" w:cs="Times New Roman"/>
        </w:rPr>
        <w:t>data collection</w:t>
      </w:r>
      <w:r w:rsidR="00C03772" w:rsidRPr="00E869A4">
        <w:rPr>
          <w:rFonts w:ascii="Times New Roman" w:hAnsi="Times New Roman" w:cs="Times New Roman"/>
        </w:rPr>
        <w:t xml:space="preserve"> exercise are presented. </w:t>
      </w:r>
    </w:p>
    <w:p w14:paraId="7AFF8894" w14:textId="77777777" w:rsidR="005241F9" w:rsidRPr="00E869A4" w:rsidRDefault="005241F9" w:rsidP="00A35FF8">
      <w:pPr>
        <w:rPr>
          <w:rStyle w:val="IntenseEmphasis"/>
          <w:rFonts w:ascii="Times New Roman" w:eastAsiaTheme="majorEastAsia" w:hAnsi="Times New Roman" w:cs="Times New Roman"/>
          <w:i w:val="0"/>
          <w:iCs w:val="0"/>
          <w:color w:val="auto"/>
          <w:sz w:val="28"/>
          <w:szCs w:val="28"/>
        </w:rPr>
      </w:pPr>
      <w:r w:rsidRPr="00E869A4">
        <w:rPr>
          <w:rStyle w:val="IntenseEmphasis"/>
          <w:rFonts w:ascii="Times New Roman" w:hAnsi="Times New Roman" w:cs="Times New Roman"/>
          <w:b w:val="0"/>
          <w:bCs w:val="0"/>
          <w:i w:val="0"/>
          <w:iCs w:val="0"/>
          <w:color w:val="auto"/>
        </w:rPr>
        <w:br w:type="page"/>
      </w:r>
    </w:p>
    <w:p w14:paraId="3F8420A2" w14:textId="77777777" w:rsidR="002B35F1" w:rsidRPr="00E869A4" w:rsidRDefault="00534499" w:rsidP="00D20B2D">
      <w:pPr>
        <w:pStyle w:val="Heading1"/>
        <w:rPr>
          <w:lang w:val="en-GB"/>
        </w:rPr>
      </w:pPr>
      <w:bookmarkStart w:id="285" w:name="_Toc40436516"/>
      <w:r w:rsidRPr="00E869A4">
        <w:rPr>
          <w:lang w:val="en-GB"/>
        </w:rPr>
        <w:lastRenderedPageBreak/>
        <w:t xml:space="preserve">CHAPTER </w:t>
      </w:r>
      <w:r w:rsidR="007E0B8D" w:rsidRPr="00E869A4">
        <w:rPr>
          <w:lang w:val="en-GB"/>
        </w:rPr>
        <w:t>6</w:t>
      </w:r>
      <w:r w:rsidRPr="00E869A4">
        <w:rPr>
          <w:lang w:val="en-GB"/>
        </w:rPr>
        <w:t xml:space="preserve"> –</w:t>
      </w:r>
      <w:r w:rsidR="002B35F1" w:rsidRPr="00E869A4">
        <w:rPr>
          <w:lang w:val="en-GB"/>
        </w:rPr>
        <w:t xml:space="preserve"> </w:t>
      </w:r>
      <w:r w:rsidR="00526375" w:rsidRPr="00E869A4">
        <w:rPr>
          <w:lang w:val="en-GB"/>
        </w:rPr>
        <w:t>QUALITATIVE</w:t>
      </w:r>
      <w:r w:rsidR="00982397" w:rsidRPr="00E869A4">
        <w:rPr>
          <w:lang w:val="en-GB"/>
        </w:rPr>
        <w:t xml:space="preserve"> RESULTS</w:t>
      </w:r>
      <w:bookmarkEnd w:id="285"/>
    </w:p>
    <w:p w14:paraId="38279332" w14:textId="4AE4C842" w:rsidR="001807C3" w:rsidRPr="00E869A4" w:rsidRDefault="00982397" w:rsidP="00D20B2D">
      <w:pPr>
        <w:pStyle w:val="Heading1"/>
        <w:rPr>
          <w:lang w:val="en-GB"/>
        </w:rPr>
      </w:pPr>
      <w:r w:rsidRPr="00E869A4">
        <w:rPr>
          <w:lang w:val="en-GB"/>
        </w:rPr>
        <w:t xml:space="preserve"> </w:t>
      </w:r>
      <w:bookmarkStart w:id="286" w:name="_Toc40436517"/>
      <w:r w:rsidRPr="00E869A4">
        <w:rPr>
          <w:lang w:val="en-GB"/>
        </w:rPr>
        <w:t>DETERMINANTS OF CARE</w:t>
      </w:r>
      <w:bookmarkEnd w:id="286"/>
    </w:p>
    <w:p w14:paraId="6146C1B3" w14:textId="77777777" w:rsidR="00790E8F" w:rsidRPr="00E869A4" w:rsidRDefault="00790E8F" w:rsidP="00790E8F"/>
    <w:p w14:paraId="7281D660" w14:textId="2EC1804E" w:rsidR="00DD2837" w:rsidRPr="00E869A4" w:rsidRDefault="00E9231D" w:rsidP="00175C3E">
      <w:pPr>
        <w:pStyle w:val="Heading2"/>
      </w:pPr>
      <w:bookmarkStart w:id="287" w:name="_Toc40436518"/>
      <w:r w:rsidRPr="00E869A4">
        <w:t>6</w:t>
      </w:r>
      <w:r w:rsidR="00BD3496" w:rsidRPr="00E869A4">
        <w:t xml:space="preserve">.1 </w:t>
      </w:r>
      <w:r w:rsidR="00DD2837" w:rsidRPr="00E869A4">
        <w:t>INTRODUCTION</w:t>
      </w:r>
      <w:bookmarkEnd w:id="287"/>
    </w:p>
    <w:p w14:paraId="7A0A25B8" w14:textId="77777777" w:rsidR="00DD2837" w:rsidRPr="00E869A4" w:rsidRDefault="00DD2837" w:rsidP="00A35FF8">
      <w:pPr>
        <w:rPr>
          <w:rFonts w:ascii="Times New Roman" w:hAnsi="Times New Roman" w:cs="Times New Roman"/>
        </w:rPr>
      </w:pPr>
    </w:p>
    <w:p w14:paraId="725605FE" w14:textId="70579E6D" w:rsidR="00DD2837" w:rsidRPr="00E869A4" w:rsidRDefault="00DD2837" w:rsidP="00A35FF8">
      <w:pPr>
        <w:rPr>
          <w:rFonts w:ascii="Times New Roman" w:eastAsia="Times New Roman" w:hAnsi="Times New Roman" w:cs="Times New Roman"/>
          <w:szCs w:val="24"/>
          <w:lang w:eastAsia="en-TT"/>
        </w:rPr>
      </w:pPr>
      <w:r w:rsidRPr="00E869A4">
        <w:rPr>
          <w:rFonts w:ascii="Times New Roman" w:hAnsi="Times New Roman" w:cs="Times New Roman"/>
        </w:rPr>
        <w:t xml:space="preserve">This study sought answers to the following four distinct but interrelated research questions: 1) </w:t>
      </w:r>
      <w:r w:rsidRPr="00E869A4">
        <w:rPr>
          <w:rFonts w:ascii="Times New Roman" w:eastAsia="Times New Roman" w:hAnsi="Times New Roman" w:cs="Times New Roman"/>
          <w:i/>
          <w:szCs w:val="24"/>
          <w:lang w:eastAsia="en-TT"/>
        </w:rPr>
        <w:t>Determinants of caregiving</w:t>
      </w:r>
      <w:r w:rsidR="006B2300" w:rsidRPr="00E869A4">
        <w:rPr>
          <w:rFonts w:ascii="Times New Roman" w:eastAsia="Times New Roman" w:hAnsi="Times New Roman" w:cs="Times New Roman"/>
          <w:i/>
          <w:szCs w:val="24"/>
          <w:lang w:eastAsia="en-TT"/>
        </w:rPr>
        <w:t xml:space="preserve"> </w:t>
      </w:r>
      <w:r w:rsidR="006B2300" w:rsidRPr="00E869A4">
        <w:rPr>
          <w:rFonts w:ascii="Times New Roman" w:hAnsi="Times New Roman" w:cs="Times New Roman"/>
          <w:i/>
        </w:rPr>
        <w:t xml:space="preserve">– </w:t>
      </w:r>
      <w:r w:rsidRPr="00E869A4">
        <w:rPr>
          <w:rFonts w:ascii="Times New Roman" w:eastAsia="Times New Roman" w:hAnsi="Times New Roman" w:cs="Times New Roman"/>
          <w:szCs w:val="24"/>
          <w:lang w:eastAsia="en-TT"/>
        </w:rPr>
        <w:t xml:space="preserve">What are the factors contributing to a person adopting the role of family carer for a frail older person?; 2) </w:t>
      </w:r>
      <w:r w:rsidR="00155828" w:rsidRPr="00E869A4">
        <w:rPr>
          <w:rFonts w:ascii="Times New Roman" w:eastAsia="Times New Roman" w:hAnsi="Times New Roman" w:cs="Times New Roman"/>
          <w:i/>
          <w:szCs w:val="24"/>
          <w:lang w:eastAsia="en-TT"/>
        </w:rPr>
        <w:t xml:space="preserve">Experience </w:t>
      </w:r>
      <w:r w:rsidRPr="00E869A4">
        <w:rPr>
          <w:rFonts w:ascii="Times New Roman" w:eastAsia="Times New Roman" w:hAnsi="Times New Roman" w:cs="Times New Roman"/>
          <w:i/>
          <w:szCs w:val="24"/>
          <w:lang w:eastAsia="en-TT"/>
        </w:rPr>
        <w:t>of care</w:t>
      </w:r>
      <w:r w:rsidRPr="00E869A4">
        <w:rPr>
          <w:rFonts w:ascii="Times New Roman" w:eastAsia="Times New Roman" w:hAnsi="Times New Roman" w:cs="Times New Roman"/>
          <w:szCs w:val="24"/>
          <w:lang w:eastAsia="en-TT"/>
        </w:rPr>
        <w:t xml:space="preserve"> </w:t>
      </w:r>
      <w:r w:rsidR="006B2300" w:rsidRPr="00E869A4">
        <w:rPr>
          <w:rFonts w:ascii="Times New Roman" w:hAnsi="Times New Roman" w:cs="Times New Roman"/>
          <w:i/>
        </w:rPr>
        <w:t xml:space="preserve">– </w:t>
      </w:r>
      <w:r w:rsidRPr="00E869A4">
        <w:rPr>
          <w:rFonts w:ascii="Times New Roman" w:eastAsia="Times New Roman" w:hAnsi="Times New Roman" w:cs="Times New Roman"/>
          <w:szCs w:val="24"/>
          <w:lang w:eastAsia="en-TT"/>
        </w:rPr>
        <w:t xml:space="preserve">How do family carers and their frail older relatives experience the caring situation?; 3) </w:t>
      </w:r>
      <w:r w:rsidRPr="00E869A4">
        <w:rPr>
          <w:rFonts w:ascii="Times New Roman" w:eastAsia="Times New Roman" w:hAnsi="Times New Roman" w:cs="Times New Roman"/>
          <w:i/>
          <w:szCs w:val="24"/>
          <w:lang w:eastAsia="en-TT"/>
        </w:rPr>
        <w:t>Care Management Strategies</w:t>
      </w:r>
      <w:r w:rsidRPr="00E869A4">
        <w:rPr>
          <w:rFonts w:ascii="Times New Roman" w:eastAsia="Times New Roman" w:hAnsi="Times New Roman" w:cs="Times New Roman"/>
          <w:szCs w:val="24"/>
          <w:lang w:eastAsia="en-TT"/>
        </w:rPr>
        <w:t xml:space="preserve"> </w:t>
      </w:r>
      <w:r w:rsidR="00ED3C1B" w:rsidRPr="00E869A4">
        <w:rPr>
          <w:rFonts w:ascii="Times New Roman" w:hAnsi="Times New Roman" w:cs="Times New Roman"/>
          <w:i/>
        </w:rPr>
        <w:t xml:space="preserve">– </w:t>
      </w:r>
      <w:r w:rsidRPr="00E869A4">
        <w:rPr>
          <w:rFonts w:ascii="Times New Roman" w:eastAsia="Times New Roman" w:hAnsi="Times New Roman" w:cs="Times New Roman"/>
          <w:szCs w:val="24"/>
          <w:lang w:eastAsia="en-TT"/>
        </w:rPr>
        <w:t xml:space="preserve">What are the strategies used by family carers and their frail older relatives to manage and cope with the caring experience?; and 4) </w:t>
      </w:r>
      <w:r w:rsidRPr="00E869A4">
        <w:rPr>
          <w:rFonts w:ascii="Times New Roman" w:eastAsia="Times New Roman" w:hAnsi="Times New Roman" w:cs="Times New Roman"/>
          <w:i/>
          <w:szCs w:val="24"/>
          <w:lang w:eastAsia="en-TT"/>
        </w:rPr>
        <w:t>Social Policy Solutions</w:t>
      </w:r>
      <w:r w:rsidRPr="00E869A4">
        <w:rPr>
          <w:rFonts w:ascii="Times New Roman" w:eastAsia="Times New Roman" w:hAnsi="Times New Roman" w:cs="Times New Roman"/>
          <w:szCs w:val="24"/>
          <w:lang w:eastAsia="en-TT"/>
        </w:rPr>
        <w:t xml:space="preserve"> </w:t>
      </w:r>
      <w:bookmarkStart w:id="288" w:name="_Hlk27929793"/>
      <w:r w:rsidR="006B2300" w:rsidRPr="00E869A4">
        <w:rPr>
          <w:rFonts w:ascii="Times New Roman" w:hAnsi="Times New Roman" w:cs="Times New Roman"/>
          <w:i/>
        </w:rPr>
        <w:t xml:space="preserve">– </w:t>
      </w:r>
      <w:bookmarkEnd w:id="288"/>
      <w:r w:rsidRPr="00E869A4">
        <w:rPr>
          <w:rFonts w:ascii="Times New Roman" w:eastAsia="Times New Roman" w:hAnsi="Times New Roman" w:cs="Times New Roman"/>
          <w:szCs w:val="24"/>
          <w:lang w:eastAsia="en-TT"/>
        </w:rPr>
        <w:t xml:space="preserve">What are the social service needs of frail older persons and their family carers and what social policy solutions can be employed to address their needs? </w:t>
      </w:r>
      <w:r w:rsidR="00C86D22" w:rsidRPr="00C86D22">
        <w:rPr>
          <w:rFonts w:ascii="Times New Roman" w:eastAsia="Times New Roman" w:hAnsi="Times New Roman" w:cs="Times New Roman"/>
          <w:szCs w:val="24"/>
          <w:lang w:eastAsia="en-TT"/>
        </w:rPr>
        <w:t>In Chapters 6 to 8, I present the qualitative data obtained in the interviews and focus groups, while Chapter 9 sets out and analyses the quantitative findings. Chapter 10 presents the overall conclusions together w</w:t>
      </w:r>
      <w:r w:rsidR="00C86D22">
        <w:rPr>
          <w:rFonts w:ascii="Times New Roman" w:eastAsia="Times New Roman" w:hAnsi="Times New Roman" w:cs="Times New Roman"/>
          <w:szCs w:val="24"/>
          <w:lang w:eastAsia="en-TT"/>
        </w:rPr>
        <w:t>ith some policy recommendations</w:t>
      </w:r>
      <w:r w:rsidRPr="00E869A4">
        <w:rPr>
          <w:rFonts w:ascii="Times New Roman" w:eastAsia="Times New Roman" w:hAnsi="Times New Roman" w:cs="Times New Roman"/>
          <w:szCs w:val="24"/>
          <w:lang w:eastAsia="en-TT"/>
        </w:rPr>
        <w:t xml:space="preserve">. </w:t>
      </w:r>
      <w:r w:rsidR="00F15C60" w:rsidRPr="00E869A4">
        <w:rPr>
          <w:rFonts w:ascii="Times New Roman" w:eastAsia="Times New Roman" w:hAnsi="Times New Roman" w:cs="Times New Roman"/>
          <w:szCs w:val="24"/>
          <w:lang w:eastAsia="en-TT"/>
        </w:rPr>
        <w:t xml:space="preserve">What immediately follows is a presentation of the qualitative findings on the Determinants of Care. </w:t>
      </w:r>
    </w:p>
    <w:p w14:paraId="6930CEBE" w14:textId="77777777" w:rsidR="002D0032" w:rsidRPr="00E869A4" w:rsidRDefault="002D0032" w:rsidP="00A35FF8">
      <w:pPr>
        <w:rPr>
          <w:rFonts w:ascii="Times New Roman" w:eastAsiaTheme="majorEastAsia" w:hAnsi="Times New Roman" w:cs="Times New Roman"/>
          <w:b/>
          <w:bCs/>
          <w:szCs w:val="28"/>
        </w:rPr>
      </w:pPr>
    </w:p>
    <w:p w14:paraId="10783767" w14:textId="27DBDE0C" w:rsidR="00E42B8A" w:rsidRPr="00E869A4" w:rsidRDefault="00E9231D" w:rsidP="00175C3E">
      <w:pPr>
        <w:pStyle w:val="Heading2"/>
      </w:pPr>
      <w:bookmarkStart w:id="289" w:name="_Toc40436519"/>
      <w:r w:rsidRPr="00E869A4">
        <w:t>6</w:t>
      </w:r>
      <w:r w:rsidR="00BD3496" w:rsidRPr="00E869A4">
        <w:t xml:space="preserve">.2 </w:t>
      </w:r>
      <w:r w:rsidR="004C543A" w:rsidRPr="00E869A4">
        <w:t>D</w:t>
      </w:r>
      <w:r w:rsidR="00E42B8A" w:rsidRPr="00E869A4">
        <w:t>ETERMINANTS OF CARE</w:t>
      </w:r>
      <w:bookmarkEnd w:id="289"/>
    </w:p>
    <w:p w14:paraId="6EF21EDE" w14:textId="77777777" w:rsidR="00BD4A47" w:rsidRPr="00E869A4" w:rsidRDefault="00BD4A47" w:rsidP="00A35FF8">
      <w:pPr>
        <w:rPr>
          <w:rFonts w:ascii="Times New Roman" w:hAnsi="Times New Roman" w:cs="Times New Roman"/>
        </w:rPr>
      </w:pPr>
    </w:p>
    <w:p w14:paraId="59970A2E" w14:textId="77777777" w:rsidR="002F52E1" w:rsidRPr="00E869A4" w:rsidRDefault="002F52E1" w:rsidP="007274FB">
      <w:pPr>
        <w:ind w:firstLine="0"/>
      </w:pPr>
      <w:r w:rsidRPr="00E869A4">
        <w:t>Research Question 1:</w:t>
      </w:r>
    </w:p>
    <w:p w14:paraId="126E7755" w14:textId="77777777" w:rsidR="001F6915" w:rsidRPr="00E869A4" w:rsidRDefault="001F6915" w:rsidP="007274FB">
      <w:pPr>
        <w:ind w:firstLine="0"/>
        <w:rPr>
          <w:rFonts w:ascii="Times New Roman" w:hAnsi="Times New Roman" w:cs="Times New Roman"/>
          <w:i/>
        </w:rPr>
      </w:pPr>
    </w:p>
    <w:p w14:paraId="32E4AB95" w14:textId="3AA93372" w:rsidR="00DD2837" w:rsidRPr="00E869A4" w:rsidRDefault="002173FA" w:rsidP="00532299">
      <w:pPr>
        <w:ind w:firstLine="0"/>
        <w:rPr>
          <w:rFonts w:ascii="Times New Roman" w:hAnsi="Times New Roman" w:cs="Times New Roman"/>
        </w:rPr>
      </w:pPr>
      <w:r w:rsidRPr="00E869A4">
        <w:rPr>
          <w:rFonts w:ascii="Times New Roman" w:hAnsi="Times New Roman" w:cs="Times New Roman"/>
        </w:rPr>
        <w:t>“</w:t>
      </w:r>
      <w:r w:rsidR="00DD2837" w:rsidRPr="00E869A4">
        <w:rPr>
          <w:rFonts w:ascii="Times New Roman" w:hAnsi="Times New Roman" w:cs="Times New Roman"/>
        </w:rPr>
        <w:t xml:space="preserve">What are the factors contributing to a person adopting the role of family carer </w:t>
      </w:r>
      <w:r w:rsidR="00654EF0" w:rsidRPr="00E869A4">
        <w:rPr>
          <w:rFonts w:ascii="Times New Roman" w:hAnsi="Times New Roman" w:cs="Times New Roman"/>
        </w:rPr>
        <w:t xml:space="preserve">of </w:t>
      </w:r>
      <w:r w:rsidR="00DD2837" w:rsidRPr="00E869A4">
        <w:rPr>
          <w:rFonts w:ascii="Times New Roman" w:hAnsi="Times New Roman" w:cs="Times New Roman"/>
        </w:rPr>
        <w:t>a frail older person?</w:t>
      </w:r>
      <w:r w:rsidRPr="00E869A4">
        <w:rPr>
          <w:rFonts w:ascii="Times New Roman" w:hAnsi="Times New Roman" w:cs="Times New Roman"/>
        </w:rPr>
        <w:t>”</w:t>
      </w:r>
    </w:p>
    <w:p w14:paraId="09973359" w14:textId="77777777" w:rsidR="001F6915" w:rsidRPr="00E869A4" w:rsidRDefault="001F6915" w:rsidP="00A35FF8">
      <w:pPr>
        <w:rPr>
          <w:rFonts w:ascii="Times New Roman" w:hAnsi="Times New Roman" w:cs="Times New Roman"/>
        </w:rPr>
      </w:pPr>
    </w:p>
    <w:p w14:paraId="08998400" w14:textId="6B0B0CB5" w:rsidR="00DD2837" w:rsidRPr="00E869A4" w:rsidRDefault="00DD2837" w:rsidP="00A35FF8">
      <w:pPr>
        <w:rPr>
          <w:rFonts w:ascii="Times New Roman" w:hAnsi="Times New Roman" w:cs="Times New Roman"/>
        </w:rPr>
      </w:pPr>
      <w:r w:rsidRPr="00E869A4">
        <w:rPr>
          <w:rFonts w:ascii="Times New Roman" w:hAnsi="Times New Roman" w:cs="Times New Roman"/>
        </w:rPr>
        <w:t>To solicit the views of the participants on the main factors that influenced them to accept the role as a primary caregiver to an older relative, both the caregivers and care recipients were asked to describe when they first felt that their older relative needed help with care-related activities</w:t>
      </w:r>
      <w:r w:rsidR="00F15C60" w:rsidRPr="00E869A4">
        <w:rPr>
          <w:rFonts w:ascii="Times New Roman" w:hAnsi="Times New Roman" w:cs="Times New Roman"/>
        </w:rPr>
        <w:t xml:space="preserve">. They were also asked to share about </w:t>
      </w:r>
      <w:r w:rsidRPr="00E869A4">
        <w:rPr>
          <w:rFonts w:ascii="Times New Roman" w:hAnsi="Times New Roman" w:cs="Times New Roman"/>
        </w:rPr>
        <w:t xml:space="preserve">the factors that motivated them to look after their older relative. Based on the analysis of the data, three main themes or groups of determining factors emerged: 1) Required-care; 2) Requited-care; </w:t>
      </w:r>
      <w:r w:rsidR="00BC3DEC" w:rsidRPr="00E869A4">
        <w:rPr>
          <w:rFonts w:ascii="Times New Roman" w:hAnsi="Times New Roman" w:cs="Times New Roman"/>
        </w:rPr>
        <w:t>and 3) Inspired-care</w:t>
      </w:r>
      <w:r w:rsidRPr="00E869A4">
        <w:rPr>
          <w:rFonts w:ascii="Times New Roman" w:hAnsi="Times New Roman" w:cs="Times New Roman"/>
        </w:rPr>
        <w:t xml:space="preserve">. </w:t>
      </w:r>
    </w:p>
    <w:p w14:paraId="04699CFD" w14:textId="77777777" w:rsidR="00FA4031" w:rsidRPr="00E869A4" w:rsidRDefault="00FA4031" w:rsidP="00A35FF8">
      <w:pPr>
        <w:rPr>
          <w:rFonts w:ascii="Times New Roman" w:hAnsi="Times New Roman" w:cs="Times New Roman"/>
        </w:rPr>
      </w:pPr>
    </w:p>
    <w:p w14:paraId="62B85719" w14:textId="77C60202" w:rsidR="00DD2837" w:rsidRPr="00E869A4" w:rsidRDefault="00DD2837" w:rsidP="00A35FF8">
      <w:pPr>
        <w:rPr>
          <w:rFonts w:ascii="Times New Roman" w:hAnsi="Times New Roman" w:cs="Times New Roman"/>
        </w:rPr>
      </w:pPr>
      <w:r w:rsidRPr="00E869A4">
        <w:rPr>
          <w:rFonts w:ascii="Times New Roman" w:hAnsi="Times New Roman" w:cs="Times New Roman"/>
          <w:i/>
        </w:rPr>
        <w:lastRenderedPageBreak/>
        <w:t>Required care</w:t>
      </w:r>
      <w:r w:rsidRPr="00E869A4">
        <w:rPr>
          <w:rFonts w:ascii="Times New Roman" w:hAnsi="Times New Roman" w:cs="Times New Roman"/>
        </w:rPr>
        <w:t xml:space="preserve"> was conceptualised as care that should be provided as a matter of necessity</w:t>
      </w:r>
      <w:r w:rsidR="00BC3DEC" w:rsidRPr="00E869A4">
        <w:rPr>
          <w:rFonts w:ascii="Times New Roman" w:hAnsi="Times New Roman" w:cs="Times New Roman"/>
        </w:rPr>
        <w:t>,</w:t>
      </w:r>
      <w:r w:rsidRPr="00E869A4">
        <w:rPr>
          <w:rFonts w:ascii="Times New Roman" w:hAnsi="Times New Roman" w:cs="Times New Roman"/>
        </w:rPr>
        <w:t xml:space="preserve"> given the socio-economic circumstances of </w:t>
      </w:r>
      <w:r w:rsidR="00BC3DEC" w:rsidRPr="00E869A4">
        <w:rPr>
          <w:rFonts w:ascii="Times New Roman" w:hAnsi="Times New Roman" w:cs="Times New Roman"/>
        </w:rPr>
        <w:t>an</w:t>
      </w:r>
      <w:r w:rsidRPr="00E869A4">
        <w:rPr>
          <w:rFonts w:ascii="Times New Roman" w:hAnsi="Times New Roman" w:cs="Times New Roman"/>
        </w:rPr>
        <w:t xml:space="preserve"> older relative</w:t>
      </w:r>
      <w:r w:rsidR="00BC3DEC" w:rsidRPr="00E869A4">
        <w:rPr>
          <w:rFonts w:ascii="Times New Roman" w:hAnsi="Times New Roman" w:cs="Times New Roman"/>
        </w:rPr>
        <w:t>,</w:t>
      </w:r>
      <w:r w:rsidRPr="00E869A4">
        <w:rPr>
          <w:rFonts w:ascii="Times New Roman" w:hAnsi="Times New Roman" w:cs="Times New Roman"/>
        </w:rPr>
        <w:t xml:space="preserve"> </w:t>
      </w:r>
      <w:r w:rsidR="00BC3DEC" w:rsidRPr="00E869A4">
        <w:rPr>
          <w:rFonts w:ascii="Times New Roman" w:hAnsi="Times New Roman" w:cs="Times New Roman"/>
        </w:rPr>
        <w:t>and was also predicated on</w:t>
      </w:r>
      <w:r w:rsidRPr="00E869A4">
        <w:rPr>
          <w:rFonts w:ascii="Times New Roman" w:hAnsi="Times New Roman" w:cs="Times New Roman"/>
        </w:rPr>
        <w:t xml:space="preserve"> values such as a sense of duty or filial responsibility. The structural variables associated with this impetus to care included the health care needs and level of dependency of the older person, family composition, gender, geographical proximity of the potential caregiver, a</w:t>
      </w:r>
      <w:r w:rsidR="00BC3DEC" w:rsidRPr="00E869A4">
        <w:rPr>
          <w:rFonts w:ascii="Times New Roman" w:hAnsi="Times New Roman" w:cs="Times New Roman"/>
        </w:rPr>
        <w:t>s well as</w:t>
      </w:r>
      <w:r w:rsidRPr="00E869A4">
        <w:rPr>
          <w:rFonts w:ascii="Times New Roman" w:hAnsi="Times New Roman" w:cs="Times New Roman"/>
        </w:rPr>
        <w:t xml:space="preserve"> inadequate alternatives to informal family care. </w:t>
      </w:r>
    </w:p>
    <w:p w14:paraId="54F234F8" w14:textId="77777777" w:rsidR="00E53C79" w:rsidRPr="00E869A4" w:rsidRDefault="00E53C79" w:rsidP="00A35FF8">
      <w:pPr>
        <w:rPr>
          <w:rFonts w:ascii="Times New Roman" w:hAnsi="Times New Roman" w:cs="Times New Roman"/>
        </w:rPr>
      </w:pPr>
    </w:p>
    <w:p w14:paraId="3E88EB1F" w14:textId="6DDE5DFA" w:rsidR="00BC3DEC" w:rsidRPr="00E869A4" w:rsidRDefault="00DD2837" w:rsidP="00821747">
      <w:pPr>
        <w:rPr>
          <w:rFonts w:ascii="Times New Roman" w:hAnsi="Times New Roman" w:cs="Times New Roman"/>
        </w:rPr>
      </w:pPr>
      <w:r w:rsidRPr="00E869A4">
        <w:rPr>
          <w:rFonts w:ascii="Times New Roman" w:hAnsi="Times New Roman" w:cs="Times New Roman"/>
        </w:rPr>
        <w:t xml:space="preserve">Most participants emphasised the importance of reciprocity as a main motivating factor for them to provide primary </w:t>
      </w:r>
      <w:r w:rsidR="003356E2" w:rsidRPr="00E869A4">
        <w:rPr>
          <w:rFonts w:ascii="Times New Roman" w:hAnsi="Times New Roman" w:cs="Times New Roman"/>
        </w:rPr>
        <w:t xml:space="preserve">care. Given this, the category </w:t>
      </w:r>
      <w:r w:rsidRPr="00E869A4">
        <w:rPr>
          <w:rFonts w:ascii="Times New Roman" w:hAnsi="Times New Roman" w:cs="Times New Roman"/>
          <w:i/>
        </w:rPr>
        <w:t>requited care</w:t>
      </w:r>
      <w:r w:rsidRPr="00E869A4">
        <w:rPr>
          <w:rFonts w:ascii="Times New Roman" w:hAnsi="Times New Roman" w:cs="Times New Roman"/>
        </w:rPr>
        <w:t xml:space="preserve"> is presented as a separate category</w:t>
      </w:r>
      <w:r w:rsidR="00BC3DEC" w:rsidRPr="00E869A4">
        <w:rPr>
          <w:rFonts w:ascii="Times New Roman" w:hAnsi="Times New Roman" w:cs="Times New Roman"/>
        </w:rPr>
        <w:t xml:space="preserve"> that underscores this value</w:t>
      </w:r>
      <w:r w:rsidRPr="00E869A4">
        <w:rPr>
          <w:rFonts w:ascii="Times New Roman" w:hAnsi="Times New Roman" w:cs="Times New Roman"/>
        </w:rPr>
        <w:t xml:space="preserve">. However, it is a category that overlaps with both </w:t>
      </w:r>
      <w:r w:rsidRPr="00E869A4">
        <w:rPr>
          <w:rFonts w:ascii="Times New Roman" w:hAnsi="Times New Roman" w:cs="Times New Roman"/>
          <w:i/>
        </w:rPr>
        <w:t>required care</w:t>
      </w:r>
      <w:r w:rsidRPr="00E869A4">
        <w:rPr>
          <w:rFonts w:ascii="Times New Roman" w:hAnsi="Times New Roman" w:cs="Times New Roman"/>
        </w:rPr>
        <w:t xml:space="preserve"> and </w:t>
      </w:r>
      <w:r w:rsidRPr="00E869A4">
        <w:rPr>
          <w:rFonts w:ascii="Times New Roman" w:hAnsi="Times New Roman" w:cs="Times New Roman"/>
          <w:i/>
        </w:rPr>
        <w:t>inspired care</w:t>
      </w:r>
      <w:r w:rsidR="00BC3DEC" w:rsidRPr="00E869A4">
        <w:rPr>
          <w:rFonts w:ascii="Times New Roman" w:hAnsi="Times New Roman" w:cs="Times New Roman"/>
        </w:rPr>
        <w:t>,</w:t>
      </w:r>
      <w:r w:rsidRPr="00E869A4">
        <w:rPr>
          <w:rFonts w:ascii="Times New Roman" w:hAnsi="Times New Roman" w:cs="Times New Roman"/>
        </w:rPr>
        <w:t xml:space="preserve"> as an individual may desire to reciprocate care because they feel compelled to do so, or they </w:t>
      </w:r>
      <w:r w:rsidR="0021730C" w:rsidRPr="00E869A4">
        <w:rPr>
          <w:rFonts w:ascii="Times New Roman" w:hAnsi="Times New Roman" w:cs="Times New Roman"/>
        </w:rPr>
        <w:t>may feel</w:t>
      </w:r>
      <w:r w:rsidRPr="00E869A4">
        <w:rPr>
          <w:rFonts w:ascii="Times New Roman" w:hAnsi="Times New Roman" w:cs="Times New Roman"/>
        </w:rPr>
        <w:t xml:space="preserve"> inspired to provide care by the care that was demonstrated and provided to them by their older relative in previous times. </w:t>
      </w:r>
      <w:r w:rsidR="003356E2" w:rsidRPr="00E869A4">
        <w:rPr>
          <w:rFonts w:ascii="Times New Roman" w:hAnsi="Times New Roman" w:cs="Times New Roman"/>
        </w:rPr>
        <w:t>I</w:t>
      </w:r>
      <w:r w:rsidRPr="00E869A4">
        <w:rPr>
          <w:rFonts w:ascii="Times New Roman" w:hAnsi="Times New Roman" w:cs="Times New Roman"/>
        </w:rPr>
        <w:t>nspired care refer</w:t>
      </w:r>
      <w:r w:rsidR="00BC3DEC" w:rsidRPr="00E869A4">
        <w:rPr>
          <w:rFonts w:ascii="Times New Roman" w:hAnsi="Times New Roman" w:cs="Times New Roman"/>
        </w:rPr>
        <w:t>s</w:t>
      </w:r>
      <w:r w:rsidRPr="00E869A4">
        <w:rPr>
          <w:rFonts w:ascii="Times New Roman" w:hAnsi="Times New Roman" w:cs="Times New Roman"/>
        </w:rPr>
        <w:t xml:space="preserve"> to care that was driven by a willingness to provide support that transcended the needs of the individual, the limitations of their circumstances</w:t>
      </w:r>
      <w:r w:rsidR="00BC3DEC" w:rsidRPr="00E869A4">
        <w:rPr>
          <w:rFonts w:ascii="Times New Roman" w:hAnsi="Times New Roman" w:cs="Times New Roman"/>
        </w:rPr>
        <w:t>,</w:t>
      </w:r>
      <w:r w:rsidRPr="00E869A4">
        <w:rPr>
          <w:rFonts w:ascii="Times New Roman" w:hAnsi="Times New Roman" w:cs="Times New Roman"/>
        </w:rPr>
        <w:t xml:space="preserve"> or a desire to return favours previously obtained. </w:t>
      </w:r>
    </w:p>
    <w:p w14:paraId="0CA4645D" w14:textId="77777777" w:rsidR="00BC3DEC" w:rsidRPr="00E869A4" w:rsidRDefault="00BC3DEC" w:rsidP="00821747">
      <w:pPr>
        <w:rPr>
          <w:rFonts w:ascii="Times New Roman" w:hAnsi="Times New Roman" w:cs="Times New Roman"/>
        </w:rPr>
      </w:pPr>
    </w:p>
    <w:p w14:paraId="5B743B64" w14:textId="20F63790" w:rsidR="00347D17" w:rsidRPr="00E869A4" w:rsidRDefault="00DD2837">
      <w:pPr>
        <w:rPr>
          <w:rFonts w:ascii="Times New Roman" w:hAnsi="Times New Roman" w:cs="Times New Roman"/>
        </w:rPr>
      </w:pPr>
      <w:r w:rsidRPr="00E869A4">
        <w:rPr>
          <w:rFonts w:ascii="Times New Roman" w:hAnsi="Times New Roman" w:cs="Times New Roman"/>
        </w:rPr>
        <w:t>Most caregivers in this study were influenced by factors that fell under all three categories of care determinants to varying degrees. Requited care was very popular among this sample of participants.</w:t>
      </w:r>
      <w:r w:rsidR="00FA4031" w:rsidRPr="00E869A4">
        <w:rPr>
          <w:rFonts w:ascii="Times New Roman" w:hAnsi="Times New Roman" w:cs="Times New Roman"/>
        </w:rPr>
        <w:t xml:space="preserve"> Thus, these three categories of determining factors should be viewed as heuristic</w:t>
      </w:r>
      <w:r w:rsidR="0021730C" w:rsidRPr="00E869A4">
        <w:rPr>
          <w:rFonts w:ascii="Times New Roman" w:hAnsi="Times New Roman" w:cs="Times New Roman"/>
        </w:rPr>
        <w:t>,</w:t>
      </w:r>
      <w:r w:rsidR="00FA4031" w:rsidRPr="00E869A4">
        <w:rPr>
          <w:rFonts w:ascii="Times New Roman" w:hAnsi="Times New Roman" w:cs="Times New Roman"/>
        </w:rPr>
        <w:t xml:space="preserve"> </w:t>
      </w:r>
      <w:r w:rsidR="00821747" w:rsidRPr="00E869A4">
        <w:rPr>
          <w:rFonts w:ascii="Times New Roman" w:hAnsi="Times New Roman" w:cs="Times New Roman"/>
        </w:rPr>
        <w:t>since</w:t>
      </w:r>
      <w:r w:rsidR="00FA4031" w:rsidRPr="00E869A4">
        <w:rPr>
          <w:rFonts w:ascii="Times New Roman" w:hAnsi="Times New Roman" w:cs="Times New Roman"/>
        </w:rPr>
        <w:t xml:space="preserve"> in practice, </w:t>
      </w:r>
      <w:r w:rsidR="0021730C" w:rsidRPr="00E869A4">
        <w:rPr>
          <w:rFonts w:ascii="Times New Roman" w:hAnsi="Times New Roman" w:cs="Times New Roman"/>
        </w:rPr>
        <w:t xml:space="preserve">for </w:t>
      </w:r>
      <w:r w:rsidR="005B1F33" w:rsidRPr="00E869A4">
        <w:rPr>
          <w:rFonts w:ascii="Times New Roman" w:hAnsi="Times New Roman" w:cs="Times New Roman"/>
        </w:rPr>
        <w:t xml:space="preserve">all family caregivers, </w:t>
      </w:r>
      <w:r w:rsidR="00ED3C1B" w:rsidRPr="00E869A4">
        <w:rPr>
          <w:rFonts w:ascii="Times New Roman" w:hAnsi="Times New Roman" w:cs="Times New Roman"/>
        </w:rPr>
        <w:t>they</w:t>
      </w:r>
      <w:r w:rsidR="00821747" w:rsidRPr="00E869A4">
        <w:rPr>
          <w:rFonts w:ascii="Times New Roman" w:hAnsi="Times New Roman" w:cs="Times New Roman"/>
        </w:rPr>
        <w:t xml:space="preserve"> </w:t>
      </w:r>
      <w:r w:rsidR="0021730C" w:rsidRPr="00E869A4">
        <w:rPr>
          <w:rFonts w:ascii="Times New Roman" w:hAnsi="Times New Roman" w:cs="Times New Roman"/>
        </w:rPr>
        <w:t>each</w:t>
      </w:r>
      <w:r w:rsidR="00821747" w:rsidRPr="00E869A4">
        <w:rPr>
          <w:rFonts w:ascii="Times New Roman" w:hAnsi="Times New Roman" w:cs="Times New Roman"/>
        </w:rPr>
        <w:t xml:space="preserve"> </w:t>
      </w:r>
      <w:r w:rsidR="004A4972" w:rsidRPr="00E869A4">
        <w:rPr>
          <w:rFonts w:ascii="Times New Roman" w:hAnsi="Times New Roman" w:cs="Times New Roman"/>
        </w:rPr>
        <w:t>affected</w:t>
      </w:r>
      <w:r w:rsidR="00821747" w:rsidRPr="00E869A4">
        <w:rPr>
          <w:rFonts w:ascii="Times New Roman" w:hAnsi="Times New Roman" w:cs="Times New Roman"/>
        </w:rPr>
        <w:t xml:space="preserve"> the decision of most individuals in their decision to provide care. </w:t>
      </w:r>
      <w:r w:rsidR="00BA60CA" w:rsidRPr="00E869A4">
        <w:rPr>
          <w:rFonts w:ascii="Times New Roman" w:hAnsi="Times New Roman" w:cs="Times New Roman"/>
        </w:rPr>
        <w:t xml:space="preserve">The discussion that follows describes the qualitative data </w:t>
      </w:r>
      <w:r w:rsidR="00F67792" w:rsidRPr="00E869A4">
        <w:rPr>
          <w:rFonts w:ascii="Times New Roman" w:hAnsi="Times New Roman" w:cs="Times New Roman"/>
        </w:rPr>
        <w:t>collected, which</w:t>
      </w:r>
      <w:r w:rsidR="00BA60CA" w:rsidRPr="00E869A4">
        <w:rPr>
          <w:rFonts w:ascii="Times New Roman" w:hAnsi="Times New Roman" w:cs="Times New Roman"/>
        </w:rPr>
        <w:t xml:space="preserve"> illustrate how these three types of factors impacted on the decision of family members to adopt the role of caregiver to an older relative</w:t>
      </w:r>
      <w:r w:rsidR="0021730C" w:rsidRPr="00E869A4">
        <w:rPr>
          <w:rFonts w:ascii="Times New Roman" w:hAnsi="Times New Roman" w:cs="Times New Roman"/>
        </w:rPr>
        <w:t>.</w:t>
      </w:r>
      <w:r w:rsidR="00FA4031" w:rsidRPr="00E869A4">
        <w:rPr>
          <w:rFonts w:ascii="Times New Roman" w:hAnsi="Times New Roman" w:cs="Times New Roman"/>
        </w:rPr>
        <w:t xml:space="preserve"> </w:t>
      </w:r>
    </w:p>
    <w:p w14:paraId="20BE6063" w14:textId="77777777" w:rsidR="00974364" w:rsidRPr="00E869A4" w:rsidRDefault="00974364">
      <w:pPr>
        <w:rPr>
          <w:rFonts w:ascii="Times New Roman" w:eastAsiaTheme="majorEastAsia" w:hAnsi="Times New Roman" w:cs="Times New Roman"/>
          <w:b/>
          <w:bCs/>
          <w:szCs w:val="26"/>
          <w:u w:val="single"/>
        </w:rPr>
      </w:pPr>
    </w:p>
    <w:p w14:paraId="74B35FEB" w14:textId="5C72739F" w:rsidR="00DD2837" w:rsidRPr="00E869A4" w:rsidRDefault="00E9231D" w:rsidP="00175C3E">
      <w:pPr>
        <w:pStyle w:val="Heading2"/>
      </w:pPr>
      <w:bookmarkStart w:id="290" w:name="_Toc40436520"/>
      <w:r w:rsidRPr="00E869A4">
        <w:t>6</w:t>
      </w:r>
      <w:r w:rsidR="00BD3496" w:rsidRPr="00E869A4">
        <w:t>.3 REQUIRED CARE</w:t>
      </w:r>
      <w:bookmarkEnd w:id="290"/>
    </w:p>
    <w:p w14:paraId="2073BDDF" w14:textId="77777777" w:rsidR="00DD2837" w:rsidRPr="00E869A4" w:rsidRDefault="00DD2837" w:rsidP="00A35FF8">
      <w:pPr>
        <w:rPr>
          <w:rFonts w:ascii="Times New Roman" w:hAnsi="Times New Roman" w:cs="Times New Roman"/>
        </w:rPr>
      </w:pPr>
    </w:p>
    <w:p w14:paraId="1347E576" w14:textId="2F65AC12" w:rsidR="00BD3496" w:rsidRPr="00E869A4" w:rsidRDefault="006E66BA" w:rsidP="00A35FF8">
      <w:pPr>
        <w:rPr>
          <w:rFonts w:ascii="Times New Roman" w:hAnsi="Times New Roman" w:cs="Times New Roman"/>
        </w:rPr>
      </w:pPr>
      <w:r w:rsidRPr="00E869A4">
        <w:rPr>
          <w:rFonts w:ascii="Times New Roman" w:hAnsi="Times New Roman" w:cs="Times New Roman"/>
        </w:rPr>
        <w:t xml:space="preserve">This section discusses the effect of the following factors on the provision of required care by primary caregivers: care needs; loss of a primary carer; gender and geographical proximity; family composition; type of filial relationship; filial responsibility; education, training and occupational status; and economic and material factors. </w:t>
      </w:r>
    </w:p>
    <w:p w14:paraId="483AA45A" w14:textId="77777777" w:rsidR="00C473A3" w:rsidRPr="00E869A4" w:rsidRDefault="00C473A3" w:rsidP="00AF764D">
      <w:pPr>
        <w:rPr>
          <w:b/>
          <w:i/>
          <w:u w:val="single"/>
        </w:rPr>
      </w:pPr>
    </w:p>
    <w:p w14:paraId="6FE18249" w14:textId="77777777" w:rsidR="00974364" w:rsidRPr="00E869A4" w:rsidRDefault="00974364">
      <w:pPr>
        <w:rPr>
          <w:b/>
          <w:i/>
          <w:u w:val="single"/>
        </w:rPr>
      </w:pPr>
      <w:r w:rsidRPr="00E869A4">
        <w:br w:type="page"/>
      </w:r>
    </w:p>
    <w:p w14:paraId="0CBFEB49" w14:textId="64D7BC6F" w:rsidR="00DD2837" w:rsidRPr="00E869A4" w:rsidRDefault="00E9231D" w:rsidP="005C449C">
      <w:pPr>
        <w:pStyle w:val="Heading3"/>
      </w:pPr>
      <w:bookmarkStart w:id="291" w:name="_Toc40436521"/>
      <w:r w:rsidRPr="00E869A4">
        <w:lastRenderedPageBreak/>
        <w:t>6</w:t>
      </w:r>
      <w:r w:rsidR="00BD3496" w:rsidRPr="00E869A4">
        <w:t>.</w:t>
      </w:r>
      <w:r w:rsidRPr="00E869A4">
        <w:t>3</w:t>
      </w:r>
      <w:r w:rsidR="00BD3496" w:rsidRPr="00E869A4">
        <w:t xml:space="preserve">.1     </w:t>
      </w:r>
      <w:r w:rsidR="00DD2837" w:rsidRPr="00E869A4">
        <w:t>Care needs</w:t>
      </w:r>
      <w:bookmarkEnd w:id="291"/>
    </w:p>
    <w:p w14:paraId="6E74A0E5" w14:textId="77777777" w:rsidR="006E66BA" w:rsidRPr="00E869A4" w:rsidRDefault="006E66BA" w:rsidP="00A35FF8">
      <w:pPr>
        <w:rPr>
          <w:rFonts w:ascii="Times New Roman" w:hAnsi="Times New Roman" w:cs="Times New Roman"/>
        </w:rPr>
      </w:pPr>
    </w:p>
    <w:p w14:paraId="2B439C05" w14:textId="4DE2D137" w:rsidR="00DD2837" w:rsidRPr="00E869A4" w:rsidRDefault="007D6BF2" w:rsidP="00A35FF8">
      <w:pPr>
        <w:rPr>
          <w:rFonts w:ascii="Times New Roman" w:hAnsi="Times New Roman" w:cs="Times New Roman"/>
        </w:rPr>
      </w:pPr>
      <w:r w:rsidRPr="00E869A4">
        <w:rPr>
          <w:rFonts w:ascii="Times New Roman" w:hAnsi="Times New Roman" w:cs="Times New Roman"/>
        </w:rPr>
        <w:t>T</w:t>
      </w:r>
      <w:r w:rsidR="00DD2837" w:rsidRPr="00E869A4">
        <w:rPr>
          <w:rFonts w:ascii="Times New Roman" w:hAnsi="Times New Roman" w:cs="Times New Roman"/>
        </w:rPr>
        <w:t xml:space="preserve">he health </w:t>
      </w:r>
      <w:r w:rsidRPr="00E869A4">
        <w:rPr>
          <w:rFonts w:ascii="Times New Roman" w:hAnsi="Times New Roman" w:cs="Times New Roman"/>
        </w:rPr>
        <w:t>status of an older cared-for relative was</w:t>
      </w:r>
      <w:r w:rsidR="00DD2837" w:rsidRPr="00E869A4">
        <w:rPr>
          <w:rFonts w:ascii="Times New Roman" w:hAnsi="Times New Roman" w:cs="Times New Roman"/>
        </w:rPr>
        <w:t xml:space="preserve"> the main factor identified </w:t>
      </w:r>
      <w:r w:rsidRPr="00E869A4">
        <w:rPr>
          <w:rFonts w:ascii="Times New Roman" w:hAnsi="Times New Roman" w:cs="Times New Roman"/>
        </w:rPr>
        <w:t>by family caregivers as</w:t>
      </w:r>
      <w:r w:rsidR="00DD2837" w:rsidRPr="00E869A4">
        <w:rPr>
          <w:rFonts w:ascii="Times New Roman" w:hAnsi="Times New Roman" w:cs="Times New Roman"/>
        </w:rPr>
        <w:t xml:space="preserve"> precipitating their role as a caregiver. As Sheila explained</w:t>
      </w:r>
      <w:r w:rsidR="00CE7700" w:rsidRPr="00E869A4">
        <w:rPr>
          <w:rFonts w:ascii="Times New Roman" w:hAnsi="Times New Roman" w:cs="Times New Roman"/>
        </w:rPr>
        <w:t xml:space="preserve">, </w:t>
      </w:r>
      <w:r w:rsidR="002173FA" w:rsidRPr="00E869A4">
        <w:rPr>
          <w:rFonts w:ascii="Times New Roman" w:eastAsia="Times New Roman" w:hAnsi="Times New Roman" w:cs="Times New Roman"/>
          <w:szCs w:val="24"/>
        </w:rPr>
        <w:t>“</w:t>
      </w:r>
      <w:r w:rsidR="00DD2837" w:rsidRPr="00E869A4">
        <w:rPr>
          <w:rFonts w:ascii="Times New Roman" w:eastAsia="Times New Roman" w:hAnsi="Times New Roman" w:cs="Times New Roman"/>
          <w:szCs w:val="24"/>
        </w:rPr>
        <w:t>I think family, in the first instance have to recognise that [older relatives] … have special kinds of need</w:t>
      </w:r>
      <w:r w:rsidR="00E31418" w:rsidRPr="00E869A4">
        <w:rPr>
          <w:rFonts w:ascii="Times New Roman" w:eastAsia="Times New Roman" w:hAnsi="Times New Roman" w:cs="Times New Roman"/>
          <w:szCs w:val="24"/>
        </w:rPr>
        <w:t>s</w:t>
      </w:r>
      <w:r w:rsidR="00DD2837" w:rsidRPr="00E869A4">
        <w:rPr>
          <w:rFonts w:ascii="Times New Roman" w:eastAsia="Times New Roman" w:hAnsi="Times New Roman" w:cs="Times New Roman"/>
          <w:szCs w:val="24"/>
        </w:rPr>
        <w:t xml:space="preserve"> … and we have t</w:t>
      </w:r>
      <w:r w:rsidR="00CE7700" w:rsidRPr="00E869A4">
        <w:rPr>
          <w:rFonts w:ascii="Times New Roman" w:eastAsia="Times New Roman" w:hAnsi="Times New Roman" w:cs="Times New Roman"/>
          <w:szCs w:val="24"/>
        </w:rPr>
        <w:t>o be willing to make sacrifices</w:t>
      </w:r>
      <w:r w:rsidR="00A72BC7" w:rsidRPr="00E869A4">
        <w:rPr>
          <w:rFonts w:ascii="Times New Roman" w:eastAsia="Times New Roman" w:hAnsi="Times New Roman" w:cs="Times New Roman"/>
          <w:szCs w:val="24"/>
        </w:rPr>
        <w:t>.”</w:t>
      </w:r>
      <w:r w:rsidR="00CE7700" w:rsidRPr="00E869A4">
        <w:rPr>
          <w:rFonts w:ascii="Times New Roman" w:hAnsi="Times New Roman" w:cs="Times New Roman"/>
        </w:rPr>
        <w:t xml:space="preserve"> (FCG Sheila).</w:t>
      </w:r>
      <w:r w:rsidR="00B44437" w:rsidRPr="00E869A4">
        <w:rPr>
          <w:rFonts w:ascii="Times New Roman" w:hAnsi="Times New Roman" w:cs="Times New Roman"/>
        </w:rPr>
        <w:t xml:space="preserve"> </w:t>
      </w:r>
      <w:r w:rsidR="00DD2837" w:rsidRPr="00E869A4">
        <w:rPr>
          <w:rFonts w:ascii="Times New Roman" w:hAnsi="Times New Roman" w:cs="Times New Roman"/>
        </w:rPr>
        <w:t>The health care needs and level of dependency of older persons varied considerabl</w:t>
      </w:r>
      <w:r w:rsidR="00CB61B9" w:rsidRPr="00E869A4">
        <w:rPr>
          <w:rFonts w:ascii="Times New Roman" w:hAnsi="Times New Roman" w:cs="Times New Roman"/>
        </w:rPr>
        <w:t xml:space="preserve">y at the time </w:t>
      </w:r>
      <w:r w:rsidR="000F2CAC" w:rsidRPr="00E869A4">
        <w:rPr>
          <w:rFonts w:ascii="Times New Roman" w:hAnsi="Times New Roman" w:cs="Times New Roman"/>
        </w:rPr>
        <w:t>that the interviews were conducted</w:t>
      </w:r>
      <w:r w:rsidR="00CB61B9" w:rsidRPr="00E869A4">
        <w:rPr>
          <w:rFonts w:ascii="Times New Roman" w:hAnsi="Times New Roman" w:cs="Times New Roman"/>
        </w:rPr>
        <w:t xml:space="preserve">. Most of the older cared-for persons were either severely or moderately dependent (see Table </w:t>
      </w:r>
      <w:r w:rsidR="000F2CAC" w:rsidRPr="00E869A4">
        <w:rPr>
          <w:rFonts w:ascii="Times New Roman" w:hAnsi="Times New Roman" w:cs="Times New Roman"/>
        </w:rPr>
        <w:t>12</w:t>
      </w:r>
      <w:r w:rsidR="00CB61B9" w:rsidRPr="00E869A4">
        <w:rPr>
          <w:rFonts w:ascii="Times New Roman" w:hAnsi="Times New Roman" w:cs="Times New Roman"/>
        </w:rPr>
        <w:t xml:space="preserve"> below).</w:t>
      </w:r>
      <w:r w:rsidR="00DD2837" w:rsidRPr="00E869A4">
        <w:rPr>
          <w:rFonts w:ascii="Times New Roman" w:hAnsi="Times New Roman" w:cs="Times New Roman"/>
        </w:rPr>
        <w:t xml:space="preserve"> </w:t>
      </w:r>
    </w:p>
    <w:p w14:paraId="1468175A" w14:textId="77777777" w:rsidR="00740B6A" w:rsidRPr="00E869A4" w:rsidRDefault="00740B6A" w:rsidP="008D1C04">
      <w:pPr>
        <w:pStyle w:val="Caption"/>
      </w:pPr>
    </w:p>
    <w:p w14:paraId="5CE7DA1D" w14:textId="77777777" w:rsidR="00740B6A" w:rsidRPr="00E869A4" w:rsidRDefault="00740B6A" w:rsidP="00824315">
      <w:pPr>
        <w:pStyle w:val="Caption"/>
        <w:ind w:firstLine="0"/>
      </w:pPr>
    </w:p>
    <w:p w14:paraId="38AE1BDD" w14:textId="41196B46" w:rsidR="008D1C04" w:rsidRPr="00E869A4" w:rsidRDefault="008D1C04" w:rsidP="00824315">
      <w:pPr>
        <w:pStyle w:val="Caption"/>
        <w:ind w:firstLine="0"/>
        <w:rPr>
          <w:b/>
          <w:i w:val="0"/>
          <w:sz w:val="24"/>
        </w:rPr>
      </w:pPr>
      <w:bookmarkStart w:id="292" w:name="_Toc40436611"/>
      <w:r w:rsidRPr="00E869A4">
        <w:rPr>
          <w:b/>
          <w:i w:val="0"/>
          <w:sz w:val="24"/>
        </w:rPr>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12</w:t>
      </w:r>
      <w:r w:rsidR="00194F87" w:rsidRPr="00E869A4">
        <w:rPr>
          <w:b/>
          <w:i w:val="0"/>
          <w:sz w:val="24"/>
        </w:rPr>
        <w:fldChar w:fldCharType="end"/>
      </w:r>
      <w:r w:rsidRPr="00E869A4">
        <w:rPr>
          <w:b/>
          <w:i w:val="0"/>
          <w:sz w:val="24"/>
        </w:rPr>
        <w:t xml:space="preserve">: Level of Dependency of Older Family </w:t>
      </w:r>
      <w:r w:rsidR="009E2738" w:rsidRPr="00E869A4">
        <w:rPr>
          <w:b/>
          <w:i w:val="0"/>
          <w:sz w:val="24"/>
        </w:rPr>
        <w:t xml:space="preserve">Care </w:t>
      </w:r>
      <w:r w:rsidR="00CC3586">
        <w:rPr>
          <w:b/>
          <w:i w:val="0"/>
          <w:sz w:val="24"/>
        </w:rPr>
        <w:t>R</w:t>
      </w:r>
      <w:r w:rsidR="009E2738" w:rsidRPr="00E869A4">
        <w:rPr>
          <w:b/>
          <w:i w:val="0"/>
          <w:sz w:val="24"/>
        </w:rPr>
        <w:t>ecipient</w:t>
      </w:r>
      <w:r w:rsidRPr="00E869A4">
        <w:rPr>
          <w:b/>
          <w:i w:val="0"/>
          <w:sz w:val="24"/>
        </w:rPr>
        <w:t>s</w:t>
      </w:r>
      <w:bookmarkEnd w:id="292"/>
    </w:p>
    <w:p w14:paraId="0A6FBFA3" w14:textId="77777777" w:rsidR="00837836" w:rsidRPr="00E869A4" w:rsidRDefault="00837836" w:rsidP="00824315">
      <w:pPr>
        <w:ind w:firstLine="0"/>
      </w:pPr>
    </w:p>
    <w:tbl>
      <w:tblPr>
        <w:tblW w:w="0" w:type="auto"/>
        <w:jc w:val="center"/>
        <w:tblBorders>
          <w:top w:val="nil"/>
          <w:left w:val="nil"/>
          <w:right w:val="nil"/>
        </w:tblBorders>
        <w:tblLayout w:type="fixed"/>
        <w:tblCellMar>
          <w:left w:w="0" w:type="dxa"/>
          <w:right w:w="0" w:type="dxa"/>
        </w:tblCellMar>
        <w:tblLook w:val="0000" w:firstRow="0" w:lastRow="0" w:firstColumn="0" w:lastColumn="0" w:noHBand="0" w:noVBand="0"/>
      </w:tblPr>
      <w:tblGrid>
        <w:gridCol w:w="1985"/>
        <w:gridCol w:w="1276"/>
        <w:gridCol w:w="1559"/>
        <w:gridCol w:w="1559"/>
        <w:gridCol w:w="1418"/>
      </w:tblGrid>
      <w:tr w:rsidR="00C714D3" w:rsidRPr="00E869A4" w14:paraId="337DCB06" w14:textId="77777777" w:rsidTr="00DD2837">
        <w:trPr>
          <w:jc w:val="center"/>
        </w:trPr>
        <w:tc>
          <w:tcPr>
            <w:tcW w:w="6379" w:type="dxa"/>
            <w:gridSpan w:val="4"/>
            <w:tcBorders>
              <w:top w:val="single" w:sz="8" w:space="0" w:color="808080"/>
              <w:left w:val="single" w:sz="8" w:space="0" w:color="808080"/>
              <w:bottom w:val="single" w:sz="8" w:space="0" w:color="808080"/>
              <w:right w:val="single" w:sz="8" w:space="0" w:color="808080"/>
            </w:tcBorders>
          </w:tcPr>
          <w:p w14:paraId="7C17753A"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sz w:val="22"/>
                <w:szCs w:val="24"/>
              </w:rPr>
            </w:pPr>
            <w:r w:rsidRPr="00E869A4">
              <w:rPr>
                <w:rFonts w:ascii="Times New Roman" w:hAnsi="Times New Roman" w:cs="Times New Roman"/>
                <w:smallCaps/>
                <w:sz w:val="22"/>
                <w:szCs w:val="24"/>
              </w:rPr>
              <w:t>LEVEL OF DEPENDENCY</w:t>
            </w:r>
          </w:p>
        </w:tc>
        <w:tc>
          <w:tcPr>
            <w:tcW w:w="1418" w:type="dxa"/>
            <w:tcBorders>
              <w:top w:val="single" w:sz="8" w:space="0" w:color="808080"/>
              <w:left w:val="single" w:sz="8" w:space="0" w:color="808080"/>
              <w:bottom w:val="single" w:sz="8" w:space="0" w:color="808080"/>
              <w:right w:val="single" w:sz="8" w:space="0" w:color="808080"/>
            </w:tcBorders>
          </w:tcPr>
          <w:p w14:paraId="2AF927EF" w14:textId="01DEF340" w:rsidR="00DD2837" w:rsidRPr="00E869A4" w:rsidRDefault="00DD2837" w:rsidP="00303DC8">
            <w:pPr>
              <w:autoSpaceDE w:val="0"/>
              <w:autoSpaceDN w:val="0"/>
              <w:adjustRightInd w:val="0"/>
              <w:spacing w:line="240" w:lineRule="auto"/>
              <w:ind w:firstLine="0"/>
              <w:jc w:val="center"/>
              <w:rPr>
                <w:rFonts w:ascii="Times New Roman" w:hAnsi="Times New Roman" w:cs="Times New Roman"/>
                <w:b/>
                <w:sz w:val="22"/>
                <w:szCs w:val="24"/>
              </w:rPr>
            </w:pPr>
            <w:r w:rsidRPr="00E869A4">
              <w:rPr>
                <w:rFonts w:ascii="Times New Roman" w:hAnsi="Times New Roman" w:cs="Times New Roman"/>
                <w:b/>
                <w:sz w:val="22"/>
                <w:szCs w:val="24"/>
              </w:rPr>
              <w:t>T</w:t>
            </w:r>
            <w:r w:rsidR="00A72BC7" w:rsidRPr="00E869A4">
              <w:rPr>
                <w:rFonts w:ascii="Times New Roman" w:hAnsi="Times New Roman" w:cs="Times New Roman"/>
                <w:b/>
                <w:sz w:val="22"/>
                <w:szCs w:val="24"/>
              </w:rPr>
              <w:t>OTAL</w:t>
            </w:r>
          </w:p>
        </w:tc>
      </w:tr>
      <w:tr w:rsidR="00C714D3" w:rsidRPr="00E869A4" w14:paraId="27D2C01E" w14:textId="77777777" w:rsidTr="00DD2837">
        <w:tblPrEx>
          <w:tblBorders>
            <w:top w:val="none" w:sz="0" w:space="0" w:color="auto"/>
          </w:tblBorders>
        </w:tblPrEx>
        <w:trPr>
          <w:jc w:val="center"/>
        </w:trPr>
        <w:tc>
          <w:tcPr>
            <w:tcW w:w="1985" w:type="dxa"/>
            <w:tcBorders>
              <w:top w:val="single" w:sz="8" w:space="0" w:color="808080"/>
              <w:left w:val="single" w:sz="8" w:space="0" w:color="808080"/>
              <w:bottom w:val="single" w:sz="8" w:space="0" w:color="808080"/>
              <w:right w:val="single" w:sz="8" w:space="0" w:color="808080"/>
            </w:tcBorders>
          </w:tcPr>
          <w:p w14:paraId="7BE27ECA"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smallCaps/>
                <w:sz w:val="22"/>
                <w:szCs w:val="24"/>
              </w:rPr>
            </w:pPr>
            <w:r w:rsidRPr="00E869A4">
              <w:rPr>
                <w:rFonts w:ascii="Times New Roman" w:hAnsi="Times New Roman" w:cs="Times New Roman"/>
                <w:smallCaps/>
                <w:sz w:val="22"/>
                <w:szCs w:val="24"/>
              </w:rPr>
              <w:t>Level</w:t>
            </w:r>
          </w:p>
        </w:tc>
        <w:tc>
          <w:tcPr>
            <w:tcW w:w="1276" w:type="dxa"/>
            <w:tcBorders>
              <w:top w:val="single" w:sz="8" w:space="0" w:color="808080"/>
              <w:left w:val="single" w:sz="8" w:space="0" w:color="808080"/>
              <w:bottom w:val="single" w:sz="8" w:space="0" w:color="808080"/>
              <w:right w:val="single" w:sz="8" w:space="0" w:color="808080"/>
            </w:tcBorders>
          </w:tcPr>
          <w:p w14:paraId="3B2714E0"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i/>
                <w:sz w:val="22"/>
                <w:szCs w:val="24"/>
              </w:rPr>
            </w:pPr>
            <w:r w:rsidRPr="00E869A4">
              <w:rPr>
                <w:rFonts w:ascii="Times New Roman" w:hAnsi="Times New Roman" w:cs="Times New Roman"/>
                <w:i/>
                <w:sz w:val="22"/>
                <w:szCs w:val="24"/>
              </w:rPr>
              <w:t>Slight</w:t>
            </w:r>
          </w:p>
        </w:tc>
        <w:tc>
          <w:tcPr>
            <w:tcW w:w="1559" w:type="dxa"/>
            <w:tcBorders>
              <w:top w:val="single" w:sz="8" w:space="0" w:color="808080"/>
              <w:left w:val="single" w:sz="8" w:space="0" w:color="808080"/>
              <w:bottom w:val="single" w:sz="8" w:space="0" w:color="808080"/>
              <w:right w:val="single" w:sz="8" w:space="0" w:color="808080"/>
            </w:tcBorders>
          </w:tcPr>
          <w:p w14:paraId="6558BB33"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i/>
                <w:sz w:val="22"/>
                <w:szCs w:val="24"/>
              </w:rPr>
            </w:pPr>
            <w:r w:rsidRPr="00E869A4">
              <w:rPr>
                <w:rFonts w:ascii="Times New Roman" w:hAnsi="Times New Roman" w:cs="Times New Roman"/>
                <w:i/>
                <w:sz w:val="22"/>
                <w:szCs w:val="24"/>
              </w:rPr>
              <w:t>Moderate</w:t>
            </w:r>
          </w:p>
        </w:tc>
        <w:tc>
          <w:tcPr>
            <w:tcW w:w="1559" w:type="dxa"/>
            <w:tcBorders>
              <w:top w:val="single" w:sz="8" w:space="0" w:color="808080"/>
              <w:left w:val="single" w:sz="8" w:space="0" w:color="808080"/>
              <w:bottom w:val="single" w:sz="8" w:space="0" w:color="808080"/>
              <w:right w:val="single" w:sz="8" w:space="0" w:color="808080"/>
            </w:tcBorders>
          </w:tcPr>
          <w:p w14:paraId="18128DF7"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i/>
                <w:sz w:val="22"/>
                <w:szCs w:val="24"/>
              </w:rPr>
            </w:pPr>
            <w:r w:rsidRPr="00E869A4">
              <w:rPr>
                <w:rFonts w:ascii="Times New Roman" w:hAnsi="Times New Roman" w:cs="Times New Roman"/>
                <w:i/>
                <w:sz w:val="22"/>
                <w:szCs w:val="24"/>
              </w:rPr>
              <w:t>Severe</w:t>
            </w:r>
          </w:p>
        </w:tc>
        <w:tc>
          <w:tcPr>
            <w:tcW w:w="1418" w:type="dxa"/>
            <w:vMerge w:val="restart"/>
            <w:tcBorders>
              <w:top w:val="single" w:sz="8" w:space="0" w:color="808080"/>
              <w:left w:val="single" w:sz="8" w:space="0" w:color="808080"/>
              <w:right w:val="single" w:sz="8" w:space="0" w:color="808080"/>
            </w:tcBorders>
          </w:tcPr>
          <w:p w14:paraId="1ADCE891"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sz w:val="22"/>
                <w:szCs w:val="24"/>
              </w:rPr>
            </w:pPr>
          </w:p>
        </w:tc>
      </w:tr>
      <w:tr w:rsidR="00C714D3" w:rsidRPr="00E869A4" w14:paraId="684695A4" w14:textId="77777777" w:rsidTr="00DD2837">
        <w:tblPrEx>
          <w:tblBorders>
            <w:top w:val="none" w:sz="0" w:space="0" w:color="auto"/>
          </w:tblBorders>
        </w:tblPrEx>
        <w:trPr>
          <w:trHeight w:val="1104"/>
          <w:jc w:val="center"/>
        </w:trPr>
        <w:tc>
          <w:tcPr>
            <w:tcW w:w="1985" w:type="dxa"/>
            <w:tcBorders>
              <w:top w:val="single" w:sz="8" w:space="0" w:color="808080"/>
              <w:left w:val="single" w:sz="8" w:space="0" w:color="808080"/>
              <w:right w:val="single" w:sz="8" w:space="0" w:color="808080"/>
            </w:tcBorders>
          </w:tcPr>
          <w:p w14:paraId="5B2116A3" w14:textId="1A81277B" w:rsidR="00DD2837" w:rsidRPr="00E869A4" w:rsidRDefault="009E2738" w:rsidP="00303DC8">
            <w:pPr>
              <w:autoSpaceDE w:val="0"/>
              <w:autoSpaceDN w:val="0"/>
              <w:adjustRightInd w:val="0"/>
              <w:spacing w:line="240" w:lineRule="auto"/>
              <w:ind w:firstLine="0"/>
              <w:jc w:val="center"/>
              <w:rPr>
                <w:rFonts w:ascii="Times New Roman" w:hAnsi="Times New Roman" w:cs="Times New Roman"/>
                <w:i/>
                <w:sz w:val="22"/>
                <w:szCs w:val="24"/>
              </w:rPr>
            </w:pPr>
            <w:r w:rsidRPr="00E869A4">
              <w:rPr>
                <w:rFonts w:ascii="Times New Roman" w:hAnsi="Times New Roman" w:cs="Times New Roman"/>
                <w:i/>
                <w:sz w:val="22"/>
                <w:szCs w:val="24"/>
              </w:rPr>
              <w:t>Care recipient</w:t>
            </w:r>
          </w:p>
        </w:tc>
        <w:tc>
          <w:tcPr>
            <w:tcW w:w="1276" w:type="dxa"/>
            <w:tcBorders>
              <w:top w:val="single" w:sz="8" w:space="0" w:color="808080"/>
              <w:left w:val="single" w:sz="8" w:space="0" w:color="808080"/>
              <w:right w:val="single" w:sz="8" w:space="0" w:color="808080"/>
            </w:tcBorders>
          </w:tcPr>
          <w:p w14:paraId="1F6E5FF5" w14:textId="77777777" w:rsidR="00DD2837" w:rsidRPr="00E869A4" w:rsidRDefault="00DD2837" w:rsidP="00303DC8">
            <w:pPr>
              <w:autoSpaceDE w:val="0"/>
              <w:autoSpaceDN w:val="0"/>
              <w:adjustRightInd w:val="0"/>
              <w:spacing w:line="240" w:lineRule="auto"/>
              <w:ind w:left="69" w:firstLine="0"/>
              <w:rPr>
                <w:rFonts w:ascii="Times New Roman" w:hAnsi="Times New Roman" w:cs="Times New Roman"/>
                <w:sz w:val="22"/>
                <w:szCs w:val="24"/>
              </w:rPr>
            </w:pPr>
            <w:r w:rsidRPr="00E869A4">
              <w:rPr>
                <w:rFonts w:ascii="Times New Roman" w:hAnsi="Times New Roman" w:cs="Times New Roman"/>
                <w:sz w:val="22"/>
                <w:szCs w:val="24"/>
              </w:rPr>
              <w:t>Tanty Edna</w:t>
            </w:r>
          </w:p>
        </w:tc>
        <w:tc>
          <w:tcPr>
            <w:tcW w:w="1559" w:type="dxa"/>
            <w:tcBorders>
              <w:top w:val="single" w:sz="8" w:space="0" w:color="808080"/>
              <w:left w:val="single" w:sz="8" w:space="0" w:color="808080"/>
              <w:right w:val="single" w:sz="8" w:space="0" w:color="808080"/>
            </w:tcBorders>
          </w:tcPr>
          <w:p w14:paraId="6863ED54"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Mother Freeda</w:t>
            </w:r>
          </w:p>
          <w:p w14:paraId="5C94999D"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Mr. Flora</w:t>
            </w:r>
          </w:p>
          <w:p w14:paraId="4BD5FDAB"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Ms. Kumar</w:t>
            </w:r>
          </w:p>
          <w:p w14:paraId="6B715698"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Uncle Wilton</w:t>
            </w:r>
          </w:p>
        </w:tc>
        <w:tc>
          <w:tcPr>
            <w:tcW w:w="1559" w:type="dxa"/>
            <w:tcBorders>
              <w:top w:val="single" w:sz="8" w:space="0" w:color="808080"/>
              <w:left w:val="single" w:sz="8" w:space="0" w:color="808080"/>
              <w:right w:val="single" w:sz="8" w:space="0" w:color="808080"/>
            </w:tcBorders>
          </w:tcPr>
          <w:p w14:paraId="7613FE60"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Mr. Druman</w:t>
            </w:r>
          </w:p>
          <w:p w14:paraId="78129E22"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 xml:space="preserve">Ms. Indrani </w:t>
            </w:r>
          </w:p>
          <w:p w14:paraId="7D4988E4"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Mr. Khan</w:t>
            </w:r>
          </w:p>
          <w:p w14:paraId="09158D7D"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Mr. Sanchez</w:t>
            </w:r>
          </w:p>
          <w:p w14:paraId="1AE1B53A" w14:textId="77777777" w:rsidR="00DD2837" w:rsidRPr="00E869A4" w:rsidRDefault="00DD2837" w:rsidP="00303DC8">
            <w:pPr>
              <w:autoSpaceDE w:val="0"/>
              <w:autoSpaceDN w:val="0"/>
              <w:adjustRightInd w:val="0"/>
              <w:spacing w:line="240" w:lineRule="auto"/>
              <w:ind w:left="211" w:firstLine="0"/>
              <w:rPr>
                <w:rFonts w:ascii="Times New Roman" w:hAnsi="Times New Roman" w:cs="Times New Roman"/>
                <w:sz w:val="22"/>
                <w:szCs w:val="24"/>
              </w:rPr>
            </w:pPr>
            <w:r w:rsidRPr="00E869A4">
              <w:rPr>
                <w:rFonts w:ascii="Times New Roman" w:hAnsi="Times New Roman" w:cs="Times New Roman"/>
                <w:sz w:val="22"/>
                <w:szCs w:val="24"/>
              </w:rPr>
              <w:t>Ms. Violet</w:t>
            </w:r>
          </w:p>
        </w:tc>
        <w:tc>
          <w:tcPr>
            <w:tcW w:w="1418" w:type="dxa"/>
            <w:vMerge/>
            <w:tcBorders>
              <w:left w:val="single" w:sz="8" w:space="0" w:color="808080"/>
              <w:right w:val="single" w:sz="8" w:space="0" w:color="808080"/>
            </w:tcBorders>
          </w:tcPr>
          <w:p w14:paraId="5FF22A1D" w14:textId="77777777" w:rsidR="00DD2837" w:rsidRPr="00E869A4" w:rsidRDefault="00DD2837" w:rsidP="00303DC8">
            <w:pPr>
              <w:autoSpaceDE w:val="0"/>
              <w:autoSpaceDN w:val="0"/>
              <w:adjustRightInd w:val="0"/>
              <w:spacing w:line="240" w:lineRule="auto"/>
              <w:ind w:firstLine="0"/>
              <w:rPr>
                <w:rFonts w:ascii="Times New Roman" w:hAnsi="Times New Roman" w:cs="Times New Roman"/>
                <w:sz w:val="22"/>
                <w:szCs w:val="24"/>
              </w:rPr>
            </w:pPr>
          </w:p>
        </w:tc>
      </w:tr>
      <w:tr w:rsidR="00C714D3" w:rsidRPr="00E869A4" w14:paraId="0A6BFA68" w14:textId="77777777" w:rsidTr="00DD2837">
        <w:tblPrEx>
          <w:tblBorders>
            <w:top w:val="none" w:sz="0" w:space="0" w:color="auto"/>
            <w:bottom w:val="nil"/>
          </w:tblBorders>
        </w:tblPrEx>
        <w:trPr>
          <w:trHeight w:val="153"/>
          <w:jc w:val="center"/>
        </w:trPr>
        <w:tc>
          <w:tcPr>
            <w:tcW w:w="1985" w:type="dxa"/>
            <w:tcBorders>
              <w:top w:val="single" w:sz="8" w:space="0" w:color="808080"/>
              <w:left w:val="single" w:sz="8" w:space="0" w:color="808080"/>
              <w:bottom w:val="single" w:sz="8" w:space="0" w:color="808080"/>
              <w:right w:val="single" w:sz="8" w:space="0" w:color="808080"/>
            </w:tcBorders>
          </w:tcPr>
          <w:p w14:paraId="76E79F20"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i/>
                <w:sz w:val="22"/>
                <w:szCs w:val="24"/>
              </w:rPr>
            </w:pPr>
            <w:r w:rsidRPr="00E869A4">
              <w:rPr>
                <w:rFonts w:ascii="Times New Roman" w:hAnsi="Times New Roman" w:cs="Times New Roman"/>
                <w:i/>
                <w:sz w:val="22"/>
                <w:szCs w:val="24"/>
              </w:rPr>
              <w:t>Number</w:t>
            </w:r>
          </w:p>
        </w:tc>
        <w:tc>
          <w:tcPr>
            <w:tcW w:w="1276" w:type="dxa"/>
            <w:tcBorders>
              <w:top w:val="single" w:sz="8" w:space="0" w:color="808080"/>
              <w:left w:val="single" w:sz="8" w:space="0" w:color="808080"/>
              <w:bottom w:val="single" w:sz="8" w:space="0" w:color="808080"/>
              <w:right w:val="single" w:sz="8" w:space="0" w:color="808080"/>
            </w:tcBorders>
          </w:tcPr>
          <w:p w14:paraId="2ED073B4"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sz w:val="22"/>
                <w:szCs w:val="24"/>
              </w:rPr>
            </w:pPr>
            <w:r w:rsidRPr="00E869A4">
              <w:rPr>
                <w:rFonts w:ascii="Times New Roman" w:hAnsi="Times New Roman" w:cs="Times New Roman"/>
                <w:sz w:val="22"/>
                <w:szCs w:val="24"/>
              </w:rPr>
              <w:t>1</w:t>
            </w:r>
          </w:p>
        </w:tc>
        <w:tc>
          <w:tcPr>
            <w:tcW w:w="1559" w:type="dxa"/>
            <w:tcBorders>
              <w:top w:val="single" w:sz="8" w:space="0" w:color="808080"/>
              <w:left w:val="single" w:sz="8" w:space="0" w:color="808080"/>
              <w:bottom w:val="single" w:sz="8" w:space="0" w:color="808080"/>
              <w:right w:val="single" w:sz="8" w:space="0" w:color="808080"/>
            </w:tcBorders>
          </w:tcPr>
          <w:p w14:paraId="0DF39B95"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sz w:val="22"/>
                <w:szCs w:val="24"/>
              </w:rPr>
            </w:pPr>
            <w:r w:rsidRPr="00E869A4">
              <w:rPr>
                <w:rFonts w:ascii="Times New Roman" w:hAnsi="Times New Roman" w:cs="Times New Roman"/>
                <w:sz w:val="22"/>
                <w:szCs w:val="24"/>
              </w:rPr>
              <w:t>4</w:t>
            </w:r>
          </w:p>
        </w:tc>
        <w:tc>
          <w:tcPr>
            <w:tcW w:w="1559" w:type="dxa"/>
            <w:tcBorders>
              <w:top w:val="single" w:sz="8" w:space="0" w:color="808080"/>
              <w:left w:val="single" w:sz="8" w:space="0" w:color="808080"/>
              <w:bottom w:val="single" w:sz="8" w:space="0" w:color="808080"/>
              <w:right w:val="single" w:sz="8" w:space="0" w:color="808080"/>
            </w:tcBorders>
          </w:tcPr>
          <w:p w14:paraId="55A458C7"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sz w:val="22"/>
                <w:szCs w:val="24"/>
              </w:rPr>
            </w:pPr>
            <w:r w:rsidRPr="00E869A4">
              <w:rPr>
                <w:rFonts w:ascii="Times New Roman" w:hAnsi="Times New Roman" w:cs="Times New Roman"/>
                <w:sz w:val="22"/>
                <w:szCs w:val="24"/>
              </w:rPr>
              <w:t>5</w:t>
            </w:r>
          </w:p>
        </w:tc>
        <w:tc>
          <w:tcPr>
            <w:tcW w:w="1418" w:type="dxa"/>
            <w:tcBorders>
              <w:top w:val="single" w:sz="8" w:space="0" w:color="808080"/>
              <w:left w:val="single" w:sz="8" w:space="0" w:color="808080"/>
              <w:bottom w:val="single" w:sz="8" w:space="0" w:color="808080"/>
              <w:right w:val="single" w:sz="8" w:space="0" w:color="808080"/>
            </w:tcBorders>
          </w:tcPr>
          <w:p w14:paraId="1CEEA63C" w14:textId="77777777" w:rsidR="00DD2837" w:rsidRPr="00E869A4" w:rsidRDefault="00DD2837" w:rsidP="00303DC8">
            <w:pPr>
              <w:autoSpaceDE w:val="0"/>
              <w:autoSpaceDN w:val="0"/>
              <w:adjustRightInd w:val="0"/>
              <w:spacing w:line="240" w:lineRule="auto"/>
              <w:ind w:firstLine="0"/>
              <w:jc w:val="center"/>
              <w:rPr>
                <w:rFonts w:ascii="Times New Roman" w:hAnsi="Times New Roman" w:cs="Times New Roman"/>
                <w:b/>
                <w:sz w:val="22"/>
                <w:szCs w:val="24"/>
              </w:rPr>
            </w:pPr>
            <w:r w:rsidRPr="00E869A4">
              <w:rPr>
                <w:rFonts w:ascii="Times New Roman" w:hAnsi="Times New Roman" w:cs="Times New Roman"/>
                <w:b/>
                <w:sz w:val="22"/>
                <w:szCs w:val="24"/>
              </w:rPr>
              <w:t>10</w:t>
            </w:r>
          </w:p>
        </w:tc>
      </w:tr>
    </w:tbl>
    <w:p w14:paraId="612699D1" w14:textId="77777777" w:rsidR="00A72BC7" w:rsidRPr="00E869A4" w:rsidRDefault="00A72BC7" w:rsidP="00824315">
      <w:pPr>
        <w:ind w:firstLine="0"/>
        <w:rPr>
          <w:rFonts w:ascii="Times New Roman" w:hAnsi="Times New Roman" w:cs="Times New Roman"/>
        </w:rPr>
      </w:pPr>
    </w:p>
    <w:p w14:paraId="6277C205" w14:textId="1F7A28C1" w:rsidR="00CB61B9" w:rsidRPr="00E869A4" w:rsidRDefault="00CB61B9" w:rsidP="00CB61B9">
      <w:pPr>
        <w:rPr>
          <w:rFonts w:ascii="Times New Roman" w:hAnsi="Times New Roman" w:cs="Times New Roman"/>
        </w:rPr>
      </w:pPr>
      <w:r w:rsidRPr="00E869A4">
        <w:rPr>
          <w:rFonts w:ascii="Times New Roman" w:hAnsi="Times New Roman" w:cs="Times New Roman"/>
        </w:rPr>
        <w:t>Severely dependent persons included those that were unable to carry out ADLs and IADLs without help</w:t>
      </w:r>
      <w:r w:rsidR="0093494C" w:rsidRPr="00E869A4">
        <w:rPr>
          <w:rFonts w:ascii="Times New Roman" w:hAnsi="Times New Roman" w:cs="Times New Roman"/>
        </w:rPr>
        <w:t>, and were in need of round-the-</w:t>
      </w:r>
      <w:r w:rsidRPr="00E869A4">
        <w:rPr>
          <w:rFonts w:ascii="Times New Roman" w:hAnsi="Times New Roman" w:cs="Times New Roman"/>
        </w:rPr>
        <w:t xml:space="preserve">clock care support given their health challenges. Moderately dependent older persons were able to carry out some basic ADLs (e.g. walking, bathing, </w:t>
      </w:r>
      <w:r w:rsidR="0093494C" w:rsidRPr="00E869A4">
        <w:rPr>
          <w:rFonts w:ascii="Times New Roman" w:hAnsi="Times New Roman" w:cs="Times New Roman"/>
        </w:rPr>
        <w:t>and feeding</w:t>
      </w:r>
      <w:r w:rsidRPr="00E869A4">
        <w:rPr>
          <w:rFonts w:ascii="Times New Roman" w:hAnsi="Times New Roman" w:cs="Times New Roman"/>
        </w:rPr>
        <w:t xml:space="preserve">) without help on occasion, but were generally unable to carry out most IADLs by themselves (e.g. shopping, cooking, </w:t>
      </w:r>
      <w:r w:rsidR="0093494C" w:rsidRPr="00E869A4">
        <w:rPr>
          <w:rFonts w:ascii="Times New Roman" w:hAnsi="Times New Roman" w:cs="Times New Roman"/>
        </w:rPr>
        <w:t>and housework</w:t>
      </w:r>
      <w:r w:rsidRPr="00E869A4">
        <w:rPr>
          <w:rFonts w:ascii="Times New Roman" w:hAnsi="Times New Roman" w:cs="Times New Roman"/>
        </w:rPr>
        <w:t>). Only one participant (Tanty Edna) remained relatively independent: she was able to carry out most ADLs but required help with some IADLs (e.g. shopping, cooking, housework, etc.). However, she was included in this study on frail older persons as she had limited mobility</w:t>
      </w:r>
      <w:r w:rsidR="0093494C" w:rsidRPr="00E869A4">
        <w:rPr>
          <w:rFonts w:ascii="Times New Roman" w:hAnsi="Times New Roman" w:cs="Times New Roman"/>
        </w:rPr>
        <w:t>,</w:t>
      </w:r>
      <w:r w:rsidRPr="00E869A4">
        <w:rPr>
          <w:rFonts w:ascii="Times New Roman" w:hAnsi="Times New Roman" w:cs="Times New Roman"/>
        </w:rPr>
        <w:t xml:space="preserve"> and was in receipt of both formal care from the GAPP provided by the </w:t>
      </w:r>
      <w:r w:rsidR="00B44437" w:rsidRPr="00E869A4">
        <w:rPr>
          <w:rFonts w:ascii="Times New Roman" w:hAnsi="Times New Roman" w:cs="Times New Roman"/>
        </w:rPr>
        <w:t xml:space="preserve">then </w:t>
      </w:r>
      <w:r w:rsidRPr="00E869A4">
        <w:rPr>
          <w:rFonts w:ascii="Times New Roman" w:hAnsi="Times New Roman" w:cs="Times New Roman"/>
        </w:rPr>
        <w:t>Ministry of Community Development</w:t>
      </w:r>
      <w:r w:rsidR="00B44437" w:rsidRPr="00E869A4">
        <w:rPr>
          <w:rStyle w:val="FootnoteReference"/>
          <w:rFonts w:ascii="Times New Roman" w:hAnsi="Times New Roman" w:cs="Times New Roman"/>
        </w:rPr>
        <w:footnoteReference w:id="60"/>
      </w:r>
      <w:r w:rsidRPr="00E869A4">
        <w:rPr>
          <w:rFonts w:ascii="Times New Roman" w:hAnsi="Times New Roman" w:cs="Times New Roman"/>
        </w:rPr>
        <w:t xml:space="preserve">, as well as informal family care support from her niece Adelina. The level of dependency, health conditions and care needs of these older persons are presented in </w:t>
      </w:r>
      <w:r w:rsidRPr="00E869A4">
        <w:t>Table 1</w:t>
      </w:r>
      <w:r w:rsidR="0093494C" w:rsidRPr="00E869A4">
        <w:t>3</w:t>
      </w:r>
      <w:r w:rsidRPr="00E869A4">
        <w:t xml:space="preserve"> </w:t>
      </w:r>
      <w:r w:rsidRPr="00E869A4">
        <w:rPr>
          <w:rFonts w:ascii="Times New Roman" w:hAnsi="Times New Roman" w:cs="Times New Roman"/>
        </w:rPr>
        <w:t xml:space="preserve">below. </w:t>
      </w:r>
    </w:p>
    <w:p w14:paraId="136FC5F2" w14:textId="77777777" w:rsidR="00E53C79" w:rsidRPr="00E869A4" w:rsidRDefault="00E53C79" w:rsidP="00A35FF8">
      <w:pPr>
        <w:rPr>
          <w:rFonts w:ascii="Times New Roman" w:hAnsi="Times New Roman" w:cs="Times New Roman"/>
        </w:rPr>
      </w:pPr>
    </w:p>
    <w:p w14:paraId="031E31DE" w14:textId="77777777" w:rsidR="00DD2837" w:rsidRPr="00E869A4" w:rsidRDefault="00DD2837" w:rsidP="00A35FF8">
      <w:pPr>
        <w:rPr>
          <w:rFonts w:ascii="Times New Roman" w:hAnsi="Times New Roman" w:cs="Times New Roman"/>
        </w:rPr>
      </w:pPr>
    </w:p>
    <w:p w14:paraId="0660EB22" w14:textId="1F9DC4AC" w:rsidR="00AE1C42" w:rsidRPr="00E869A4" w:rsidRDefault="00AE1C42" w:rsidP="00AE1C42">
      <w:pPr>
        <w:pStyle w:val="Caption"/>
        <w:rPr>
          <w:b/>
          <w:i w:val="0"/>
          <w:sz w:val="24"/>
        </w:rPr>
      </w:pPr>
      <w:bookmarkStart w:id="293" w:name="_Toc40436612"/>
      <w:r w:rsidRPr="00E869A4">
        <w:rPr>
          <w:b/>
          <w:i w:val="0"/>
          <w:sz w:val="24"/>
        </w:rPr>
        <w:lastRenderedPageBreak/>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13</w:t>
      </w:r>
      <w:r w:rsidR="00194F87" w:rsidRPr="00E869A4">
        <w:rPr>
          <w:b/>
          <w:i w:val="0"/>
          <w:sz w:val="24"/>
        </w:rPr>
        <w:fldChar w:fldCharType="end"/>
      </w:r>
      <w:r w:rsidRPr="00E869A4">
        <w:rPr>
          <w:b/>
          <w:i w:val="0"/>
          <w:sz w:val="24"/>
        </w:rPr>
        <w:t xml:space="preserve">: Health Care Challenges and Needs of Older Family </w:t>
      </w:r>
      <w:r w:rsidR="009E2738" w:rsidRPr="00E869A4">
        <w:rPr>
          <w:b/>
          <w:i w:val="0"/>
          <w:sz w:val="24"/>
        </w:rPr>
        <w:t xml:space="preserve">Care </w:t>
      </w:r>
      <w:r w:rsidR="00CC3586">
        <w:rPr>
          <w:b/>
          <w:i w:val="0"/>
          <w:sz w:val="24"/>
        </w:rPr>
        <w:t>R</w:t>
      </w:r>
      <w:r w:rsidR="009E2738" w:rsidRPr="00E869A4">
        <w:rPr>
          <w:b/>
          <w:i w:val="0"/>
          <w:sz w:val="24"/>
        </w:rPr>
        <w:t>ecipient</w:t>
      </w:r>
      <w:r w:rsidRPr="00E869A4">
        <w:rPr>
          <w:b/>
          <w:i w:val="0"/>
          <w:sz w:val="24"/>
        </w:rPr>
        <w:t>s</w:t>
      </w:r>
      <w:bookmarkEnd w:id="293"/>
    </w:p>
    <w:p w14:paraId="4F2918FE" w14:textId="77777777" w:rsidR="00AE1C42" w:rsidRPr="00E869A4" w:rsidRDefault="00AE1C42" w:rsidP="00824315">
      <w:pPr>
        <w:ind w:firstLine="0"/>
      </w:pPr>
    </w:p>
    <w:tbl>
      <w:tblPr>
        <w:tblW w:w="9360" w:type="dxa"/>
        <w:jc w:val="center"/>
        <w:tblBorders>
          <w:top w:val="nil"/>
          <w:left w:val="nil"/>
          <w:right w:val="nil"/>
        </w:tblBorders>
        <w:tblLayout w:type="fixed"/>
        <w:tblCellMar>
          <w:left w:w="0" w:type="dxa"/>
          <w:right w:w="0" w:type="dxa"/>
        </w:tblCellMar>
        <w:tblLook w:val="0000" w:firstRow="0" w:lastRow="0" w:firstColumn="0" w:lastColumn="0" w:noHBand="0" w:noVBand="0"/>
      </w:tblPr>
      <w:tblGrid>
        <w:gridCol w:w="367"/>
        <w:gridCol w:w="1655"/>
        <w:gridCol w:w="1951"/>
        <w:gridCol w:w="2410"/>
        <w:gridCol w:w="1559"/>
        <w:gridCol w:w="1418"/>
      </w:tblGrid>
      <w:tr w:rsidR="00C714D3" w:rsidRPr="00E869A4" w14:paraId="2BE280BF" w14:textId="77777777" w:rsidTr="00303DC8">
        <w:trPr>
          <w:tblHeader/>
          <w:jc w:val="center"/>
        </w:trPr>
        <w:tc>
          <w:tcPr>
            <w:tcW w:w="367" w:type="dxa"/>
            <w:tcBorders>
              <w:top w:val="single" w:sz="8" w:space="0" w:color="808080"/>
              <w:left w:val="single" w:sz="8" w:space="0" w:color="808080"/>
              <w:bottom w:val="single" w:sz="8" w:space="0" w:color="808080"/>
              <w:right w:val="single" w:sz="8" w:space="0" w:color="808080"/>
            </w:tcBorders>
          </w:tcPr>
          <w:p w14:paraId="76B0B777" w14:textId="77777777" w:rsidR="00DD2837" w:rsidRPr="00E869A4" w:rsidRDefault="00AE1C42" w:rsidP="000A7AF7">
            <w:pPr>
              <w:autoSpaceDE w:val="0"/>
              <w:autoSpaceDN w:val="0"/>
              <w:adjustRightInd w:val="0"/>
              <w:spacing w:line="240" w:lineRule="auto"/>
              <w:jc w:val="center"/>
              <w:rPr>
                <w:rFonts w:ascii="Times New Roman" w:hAnsi="Times New Roman" w:cs="Times New Roman"/>
                <w:b/>
                <w:sz w:val="22"/>
              </w:rPr>
            </w:pPr>
            <w:r w:rsidRPr="00E869A4">
              <w:rPr>
                <w:rFonts w:ascii="Times New Roman" w:hAnsi="Times New Roman" w:cs="Times New Roman"/>
                <w:b/>
                <w:sz w:val="22"/>
              </w:rPr>
              <w:t>#</w:t>
            </w:r>
          </w:p>
        </w:tc>
        <w:tc>
          <w:tcPr>
            <w:tcW w:w="1655" w:type="dxa"/>
            <w:tcBorders>
              <w:top w:val="single" w:sz="8" w:space="0" w:color="808080"/>
              <w:left w:val="single" w:sz="8" w:space="0" w:color="808080"/>
              <w:bottom w:val="single" w:sz="8" w:space="0" w:color="808080"/>
              <w:right w:val="single" w:sz="8" w:space="0" w:color="808080"/>
            </w:tcBorders>
          </w:tcPr>
          <w:p w14:paraId="747B3F59" w14:textId="77777777" w:rsidR="00DD2837" w:rsidRPr="00E869A4" w:rsidRDefault="00DD2837" w:rsidP="000A7AF7">
            <w:pPr>
              <w:autoSpaceDE w:val="0"/>
              <w:autoSpaceDN w:val="0"/>
              <w:adjustRightInd w:val="0"/>
              <w:spacing w:line="240" w:lineRule="auto"/>
              <w:ind w:left="148" w:hanging="64"/>
              <w:jc w:val="center"/>
              <w:rPr>
                <w:rFonts w:ascii="Times New Roman" w:hAnsi="Times New Roman" w:cs="Times New Roman"/>
                <w:i/>
                <w:sz w:val="22"/>
              </w:rPr>
            </w:pPr>
            <w:r w:rsidRPr="00E869A4">
              <w:rPr>
                <w:rFonts w:ascii="Times New Roman" w:hAnsi="Times New Roman" w:cs="Times New Roman"/>
                <w:i/>
                <w:sz w:val="22"/>
              </w:rPr>
              <w:t>Care Recipient</w:t>
            </w:r>
          </w:p>
        </w:tc>
        <w:tc>
          <w:tcPr>
            <w:tcW w:w="1951" w:type="dxa"/>
            <w:tcBorders>
              <w:top w:val="single" w:sz="8" w:space="0" w:color="808080"/>
              <w:left w:val="single" w:sz="8" w:space="0" w:color="808080"/>
              <w:bottom w:val="single" w:sz="8" w:space="0" w:color="808080"/>
              <w:right w:val="single" w:sz="8" w:space="0" w:color="808080"/>
            </w:tcBorders>
          </w:tcPr>
          <w:p w14:paraId="373A218F" w14:textId="77777777" w:rsidR="00DD2837" w:rsidRPr="00E869A4" w:rsidRDefault="00DD2837" w:rsidP="000A7AF7">
            <w:pPr>
              <w:autoSpaceDE w:val="0"/>
              <w:autoSpaceDN w:val="0"/>
              <w:adjustRightInd w:val="0"/>
              <w:spacing w:line="240" w:lineRule="auto"/>
              <w:ind w:left="148" w:hanging="64"/>
              <w:jc w:val="center"/>
              <w:rPr>
                <w:rFonts w:ascii="Times New Roman" w:hAnsi="Times New Roman" w:cs="Times New Roman"/>
                <w:i/>
                <w:sz w:val="22"/>
              </w:rPr>
            </w:pPr>
            <w:r w:rsidRPr="00E869A4">
              <w:rPr>
                <w:rFonts w:ascii="Times New Roman" w:hAnsi="Times New Roman" w:cs="Times New Roman"/>
                <w:i/>
                <w:sz w:val="22"/>
              </w:rPr>
              <w:t>Main Health Issue(s)</w:t>
            </w:r>
          </w:p>
        </w:tc>
        <w:tc>
          <w:tcPr>
            <w:tcW w:w="2410" w:type="dxa"/>
            <w:tcBorders>
              <w:top w:val="single" w:sz="8" w:space="0" w:color="808080"/>
              <w:left w:val="single" w:sz="8" w:space="0" w:color="808080"/>
              <w:bottom w:val="single" w:sz="8" w:space="0" w:color="808080"/>
              <w:right w:val="single" w:sz="8" w:space="0" w:color="808080"/>
            </w:tcBorders>
          </w:tcPr>
          <w:p w14:paraId="4C2637E6" w14:textId="77777777" w:rsidR="00DD2837" w:rsidRPr="00E869A4" w:rsidRDefault="00DD2837" w:rsidP="000A7AF7">
            <w:pPr>
              <w:autoSpaceDE w:val="0"/>
              <w:autoSpaceDN w:val="0"/>
              <w:adjustRightInd w:val="0"/>
              <w:spacing w:line="240" w:lineRule="auto"/>
              <w:ind w:left="148" w:hanging="64"/>
              <w:jc w:val="center"/>
              <w:rPr>
                <w:rFonts w:ascii="Times New Roman" w:hAnsi="Times New Roman" w:cs="Times New Roman"/>
                <w:i/>
                <w:sz w:val="22"/>
              </w:rPr>
            </w:pPr>
            <w:r w:rsidRPr="00E869A4">
              <w:rPr>
                <w:rFonts w:ascii="Times New Roman" w:hAnsi="Times New Roman" w:cs="Times New Roman"/>
                <w:i/>
                <w:sz w:val="22"/>
              </w:rPr>
              <w:t>ADL Needs</w:t>
            </w:r>
          </w:p>
        </w:tc>
        <w:tc>
          <w:tcPr>
            <w:tcW w:w="1559" w:type="dxa"/>
            <w:tcBorders>
              <w:top w:val="single" w:sz="8" w:space="0" w:color="808080"/>
              <w:left w:val="single" w:sz="8" w:space="0" w:color="808080"/>
              <w:bottom w:val="single" w:sz="8" w:space="0" w:color="808080"/>
              <w:right w:val="single" w:sz="8" w:space="0" w:color="808080"/>
            </w:tcBorders>
          </w:tcPr>
          <w:p w14:paraId="713B614C" w14:textId="77777777" w:rsidR="00DD2837" w:rsidRPr="00E869A4" w:rsidRDefault="00DD2837" w:rsidP="000A7AF7">
            <w:pPr>
              <w:autoSpaceDE w:val="0"/>
              <w:autoSpaceDN w:val="0"/>
              <w:adjustRightInd w:val="0"/>
              <w:spacing w:line="240" w:lineRule="auto"/>
              <w:ind w:left="148" w:hanging="64"/>
              <w:jc w:val="center"/>
              <w:rPr>
                <w:rFonts w:ascii="Times New Roman" w:hAnsi="Times New Roman" w:cs="Times New Roman"/>
                <w:i/>
                <w:sz w:val="22"/>
              </w:rPr>
            </w:pPr>
            <w:r w:rsidRPr="00E869A4">
              <w:rPr>
                <w:rFonts w:ascii="Times New Roman" w:hAnsi="Times New Roman" w:cs="Times New Roman"/>
                <w:i/>
                <w:sz w:val="22"/>
              </w:rPr>
              <w:t>IADL Needs</w:t>
            </w:r>
          </w:p>
        </w:tc>
        <w:tc>
          <w:tcPr>
            <w:tcW w:w="1418" w:type="dxa"/>
            <w:tcBorders>
              <w:top w:val="single" w:sz="8" w:space="0" w:color="808080"/>
              <w:left w:val="single" w:sz="8" w:space="0" w:color="808080"/>
              <w:bottom w:val="single" w:sz="8" w:space="0" w:color="808080"/>
              <w:right w:val="single" w:sz="8" w:space="0" w:color="808080"/>
            </w:tcBorders>
          </w:tcPr>
          <w:p w14:paraId="0E108C49" w14:textId="77777777" w:rsidR="00DD2837" w:rsidRPr="00E869A4" w:rsidRDefault="00DD2837" w:rsidP="000A7AF7">
            <w:pPr>
              <w:autoSpaceDE w:val="0"/>
              <w:autoSpaceDN w:val="0"/>
              <w:adjustRightInd w:val="0"/>
              <w:spacing w:line="240" w:lineRule="auto"/>
              <w:ind w:left="148" w:hanging="64"/>
              <w:jc w:val="center"/>
              <w:rPr>
                <w:rFonts w:ascii="Times New Roman" w:hAnsi="Times New Roman" w:cs="Times New Roman"/>
                <w:i/>
                <w:sz w:val="22"/>
              </w:rPr>
            </w:pPr>
            <w:r w:rsidRPr="00E869A4">
              <w:rPr>
                <w:rFonts w:ascii="Times New Roman" w:hAnsi="Times New Roman" w:cs="Times New Roman"/>
                <w:i/>
                <w:sz w:val="22"/>
              </w:rPr>
              <w:t>Level of Dependency</w:t>
            </w:r>
          </w:p>
        </w:tc>
      </w:tr>
      <w:tr w:rsidR="00C714D3" w:rsidRPr="00E869A4" w14:paraId="08FF256C"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2B71EA04"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4C2B71FF"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Tanty Edna</w:t>
            </w:r>
          </w:p>
        </w:tc>
        <w:tc>
          <w:tcPr>
            <w:tcW w:w="1951" w:type="dxa"/>
            <w:tcBorders>
              <w:top w:val="single" w:sz="8" w:space="0" w:color="808080"/>
              <w:left w:val="single" w:sz="8" w:space="0" w:color="808080"/>
              <w:bottom w:val="single" w:sz="8" w:space="0" w:color="808080"/>
              <w:right w:val="single" w:sz="8" w:space="0" w:color="808080"/>
            </w:tcBorders>
          </w:tcPr>
          <w:p w14:paraId="39C1159C"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Controlled Diabetes</w:t>
            </w:r>
          </w:p>
        </w:tc>
        <w:tc>
          <w:tcPr>
            <w:tcW w:w="2410" w:type="dxa"/>
            <w:tcBorders>
              <w:top w:val="single" w:sz="8" w:space="0" w:color="808080"/>
              <w:left w:val="single" w:sz="8" w:space="0" w:color="808080"/>
              <w:bottom w:val="single" w:sz="8" w:space="0" w:color="808080"/>
              <w:right w:val="single" w:sz="8" w:space="0" w:color="808080"/>
            </w:tcBorders>
          </w:tcPr>
          <w:p w14:paraId="3F66D092"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Walking</w:t>
            </w:r>
          </w:p>
          <w:p w14:paraId="665C5524"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Climbing Stairs</w:t>
            </w:r>
          </w:p>
        </w:tc>
        <w:tc>
          <w:tcPr>
            <w:tcW w:w="1559" w:type="dxa"/>
            <w:tcBorders>
              <w:top w:val="single" w:sz="8" w:space="0" w:color="808080"/>
              <w:left w:val="single" w:sz="8" w:space="0" w:color="808080"/>
              <w:bottom w:val="single" w:sz="8" w:space="0" w:color="808080"/>
              <w:right w:val="single" w:sz="8" w:space="0" w:color="808080"/>
            </w:tcBorders>
          </w:tcPr>
          <w:p w14:paraId="7F3B39B0"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Shopping</w:t>
            </w:r>
          </w:p>
          <w:p w14:paraId="1E211F8F"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Transportation</w:t>
            </w:r>
          </w:p>
          <w:p w14:paraId="77C465EC" w14:textId="7B52CF1F" w:rsidR="00DD2837" w:rsidRPr="00E869A4" w:rsidRDefault="0098301C"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Managing</w:t>
            </w:r>
            <w:r w:rsidR="00DD2837" w:rsidRPr="00E869A4">
              <w:rPr>
                <w:rFonts w:ascii="Times New Roman" w:hAnsi="Times New Roman" w:cs="Times New Roman"/>
                <w:sz w:val="22"/>
              </w:rPr>
              <w:t xml:space="preserve"> Finances</w:t>
            </w:r>
          </w:p>
        </w:tc>
        <w:tc>
          <w:tcPr>
            <w:tcW w:w="1418" w:type="dxa"/>
            <w:tcBorders>
              <w:top w:val="single" w:sz="8" w:space="0" w:color="808080"/>
              <w:left w:val="single" w:sz="8" w:space="0" w:color="808080"/>
              <w:bottom w:val="single" w:sz="8" w:space="0" w:color="808080"/>
              <w:right w:val="single" w:sz="8" w:space="0" w:color="808080"/>
            </w:tcBorders>
          </w:tcPr>
          <w:p w14:paraId="4486F8AF"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Slight</w:t>
            </w:r>
          </w:p>
        </w:tc>
      </w:tr>
      <w:tr w:rsidR="00C714D3" w:rsidRPr="00E869A4" w14:paraId="45466B38"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3F4B5D87"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494FCDD9"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Uncle Wilton</w:t>
            </w:r>
          </w:p>
        </w:tc>
        <w:tc>
          <w:tcPr>
            <w:tcW w:w="1951" w:type="dxa"/>
            <w:tcBorders>
              <w:top w:val="single" w:sz="8" w:space="0" w:color="808080"/>
              <w:left w:val="single" w:sz="8" w:space="0" w:color="808080"/>
              <w:bottom w:val="single" w:sz="8" w:space="0" w:color="808080"/>
              <w:right w:val="single" w:sz="8" w:space="0" w:color="808080"/>
            </w:tcBorders>
          </w:tcPr>
          <w:p w14:paraId="1598D474"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Diabetes</w:t>
            </w:r>
          </w:p>
          <w:p w14:paraId="231B18B8"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Visually Impaired</w:t>
            </w:r>
          </w:p>
          <w:p w14:paraId="6190159F"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Hard of Hearing</w:t>
            </w:r>
          </w:p>
        </w:tc>
        <w:tc>
          <w:tcPr>
            <w:tcW w:w="2410" w:type="dxa"/>
            <w:tcBorders>
              <w:top w:val="single" w:sz="8" w:space="0" w:color="808080"/>
              <w:left w:val="single" w:sz="8" w:space="0" w:color="808080"/>
              <w:bottom w:val="single" w:sz="8" w:space="0" w:color="808080"/>
              <w:right w:val="single" w:sz="8" w:space="0" w:color="808080"/>
            </w:tcBorders>
          </w:tcPr>
          <w:p w14:paraId="6F9A593D"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Climbing stairs</w:t>
            </w:r>
          </w:p>
          <w:p w14:paraId="0F5E6942"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Walking (outside of home given vision impairment)</w:t>
            </w:r>
          </w:p>
          <w:p w14:paraId="33F8B243"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p>
        </w:tc>
        <w:tc>
          <w:tcPr>
            <w:tcW w:w="1559" w:type="dxa"/>
            <w:tcBorders>
              <w:top w:val="single" w:sz="8" w:space="0" w:color="808080"/>
              <w:left w:val="single" w:sz="8" w:space="0" w:color="808080"/>
              <w:bottom w:val="single" w:sz="8" w:space="0" w:color="808080"/>
              <w:right w:val="single" w:sz="8" w:space="0" w:color="808080"/>
            </w:tcBorders>
          </w:tcPr>
          <w:p w14:paraId="66DB9166"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p w14:paraId="1065E6D3"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(may partly be a function of gender)</w:t>
            </w:r>
          </w:p>
        </w:tc>
        <w:tc>
          <w:tcPr>
            <w:tcW w:w="1418" w:type="dxa"/>
            <w:tcBorders>
              <w:top w:val="single" w:sz="8" w:space="0" w:color="808080"/>
              <w:left w:val="single" w:sz="8" w:space="0" w:color="808080"/>
              <w:bottom w:val="single" w:sz="8" w:space="0" w:color="808080"/>
              <w:right w:val="single" w:sz="8" w:space="0" w:color="808080"/>
            </w:tcBorders>
          </w:tcPr>
          <w:p w14:paraId="3054EE4A"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Moderate</w:t>
            </w:r>
          </w:p>
        </w:tc>
      </w:tr>
      <w:tr w:rsidR="00C714D3" w:rsidRPr="00E869A4" w14:paraId="49F9AB6C"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398C111F"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4D799A91"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Mother Freeda</w:t>
            </w:r>
          </w:p>
        </w:tc>
        <w:tc>
          <w:tcPr>
            <w:tcW w:w="1951" w:type="dxa"/>
            <w:tcBorders>
              <w:top w:val="single" w:sz="8" w:space="0" w:color="808080"/>
              <w:left w:val="single" w:sz="8" w:space="0" w:color="808080"/>
              <w:bottom w:val="single" w:sz="8" w:space="0" w:color="808080"/>
              <w:right w:val="single" w:sz="8" w:space="0" w:color="808080"/>
            </w:tcBorders>
          </w:tcPr>
          <w:p w14:paraId="4D2B9161"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Diabetes</w:t>
            </w:r>
          </w:p>
          <w:p w14:paraId="1B7514E0"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Arthritis</w:t>
            </w:r>
          </w:p>
        </w:tc>
        <w:tc>
          <w:tcPr>
            <w:tcW w:w="2410" w:type="dxa"/>
            <w:tcBorders>
              <w:top w:val="single" w:sz="8" w:space="0" w:color="808080"/>
              <w:left w:val="single" w:sz="8" w:space="0" w:color="808080"/>
              <w:bottom w:val="single" w:sz="8" w:space="0" w:color="808080"/>
              <w:right w:val="single" w:sz="8" w:space="0" w:color="808080"/>
            </w:tcBorders>
          </w:tcPr>
          <w:p w14:paraId="75AE98A8"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Able to perform all but with some difficulty, especially given mobility challenges. Received occasional assistance with bathing and grooming</w:t>
            </w:r>
          </w:p>
        </w:tc>
        <w:tc>
          <w:tcPr>
            <w:tcW w:w="1559" w:type="dxa"/>
            <w:tcBorders>
              <w:top w:val="single" w:sz="8" w:space="0" w:color="808080"/>
              <w:left w:val="single" w:sz="8" w:space="0" w:color="808080"/>
              <w:bottom w:val="single" w:sz="8" w:space="0" w:color="808080"/>
              <w:right w:val="single" w:sz="8" w:space="0" w:color="808080"/>
            </w:tcBorders>
          </w:tcPr>
          <w:p w14:paraId="46236994"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p w14:paraId="5796390B"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(except cooking)</w:t>
            </w:r>
          </w:p>
        </w:tc>
        <w:tc>
          <w:tcPr>
            <w:tcW w:w="1418" w:type="dxa"/>
            <w:tcBorders>
              <w:top w:val="single" w:sz="8" w:space="0" w:color="808080"/>
              <w:left w:val="single" w:sz="8" w:space="0" w:color="808080"/>
              <w:bottom w:val="single" w:sz="8" w:space="0" w:color="808080"/>
              <w:right w:val="single" w:sz="8" w:space="0" w:color="808080"/>
            </w:tcBorders>
          </w:tcPr>
          <w:p w14:paraId="39173283"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Moderate</w:t>
            </w:r>
          </w:p>
        </w:tc>
      </w:tr>
      <w:tr w:rsidR="00C714D3" w:rsidRPr="00E869A4" w14:paraId="3F5DBB47"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0A32344A"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430CBD7F"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Mr. Flora</w:t>
            </w:r>
          </w:p>
        </w:tc>
        <w:tc>
          <w:tcPr>
            <w:tcW w:w="1951" w:type="dxa"/>
            <w:tcBorders>
              <w:top w:val="single" w:sz="8" w:space="0" w:color="808080"/>
              <w:left w:val="single" w:sz="8" w:space="0" w:color="808080"/>
              <w:bottom w:val="single" w:sz="8" w:space="0" w:color="808080"/>
              <w:right w:val="single" w:sz="8" w:space="0" w:color="808080"/>
            </w:tcBorders>
          </w:tcPr>
          <w:p w14:paraId="5ACE76F8"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Parkinson’s Disease</w:t>
            </w:r>
          </w:p>
        </w:tc>
        <w:tc>
          <w:tcPr>
            <w:tcW w:w="2410" w:type="dxa"/>
            <w:tcBorders>
              <w:top w:val="single" w:sz="8" w:space="0" w:color="808080"/>
              <w:left w:val="single" w:sz="8" w:space="0" w:color="808080"/>
              <w:bottom w:val="single" w:sz="8" w:space="0" w:color="808080"/>
              <w:right w:val="single" w:sz="8" w:space="0" w:color="808080"/>
            </w:tcBorders>
          </w:tcPr>
          <w:p w14:paraId="3DB6ED06"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Need help on days when medication is not effective</w:t>
            </w:r>
          </w:p>
        </w:tc>
        <w:tc>
          <w:tcPr>
            <w:tcW w:w="1559" w:type="dxa"/>
            <w:tcBorders>
              <w:top w:val="single" w:sz="8" w:space="0" w:color="808080"/>
              <w:left w:val="single" w:sz="8" w:space="0" w:color="808080"/>
              <w:bottom w:val="single" w:sz="8" w:space="0" w:color="808080"/>
              <w:right w:val="single" w:sz="8" w:space="0" w:color="808080"/>
            </w:tcBorders>
          </w:tcPr>
          <w:p w14:paraId="2DAFCC5B"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tc>
        <w:tc>
          <w:tcPr>
            <w:tcW w:w="1418" w:type="dxa"/>
            <w:tcBorders>
              <w:top w:val="single" w:sz="8" w:space="0" w:color="808080"/>
              <w:left w:val="single" w:sz="8" w:space="0" w:color="808080"/>
              <w:bottom w:val="single" w:sz="8" w:space="0" w:color="808080"/>
              <w:right w:val="single" w:sz="8" w:space="0" w:color="808080"/>
            </w:tcBorders>
          </w:tcPr>
          <w:p w14:paraId="4C3F9C58"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Moderate</w:t>
            </w:r>
          </w:p>
        </w:tc>
      </w:tr>
      <w:tr w:rsidR="00C714D3" w:rsidRPr="00E869A4" w14:paraId="001BB4BF"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09E66E6F"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6827516B"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Ms Kumar</w:t>
            </w:r>
          </w:p>
        </w:tc>
        <w:tc>
          <w:tcPr>
            <w:tcW w:w="1951" w:type="dxa"/>
            <w:tcBorders>
              <w:top w:val="single" w:sz="8" w:space="0" w:color="808080"/>
              <w:left w:val="single" w:sz="8" w:space="0" w:color="808080"/>
              <w:bottom w:val="single" w:sz="8" w:space="0" w:color="808080"/>
              <w:right w:val="single" w:sz="8" w:space="0" w:color="808080"/>
            </w:tcBorders>
          </w:tcPr>
          <w:p w14:paraId="476B5F72"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Heart condition; controlled diabetes; vision challenges.</w:t>
            </w:r>
          </w:p>
          <w:p w14:paraId="7D396FA1"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Generally frail</w:t>
            </w:r>
          </w:p>
        </w:tc>
        <w:tc>
          <w:tcPr>
            <w:tcW w:w="2410" w:type="dxa"/>
            <w:tcBorders>
              <w:top w:val="single" w:sz="8" w:space="0" w:color="808080"/>
              <w:left w:val="single" w:sz="8" w:space="0" w:color="808080"/>
              <w:bottom w:val="single" w:sz="8" w:space="0" w:color="808080"/>
              <w:right w:val="single" w:sz="8" w:space="0" w:color="808080"/>
            </w:tcBorders>
          </w:tcPr>
          <w:p w14:paraId="1F7C5DD0"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Able to perform some on occasion but generally received assistance  (except for eating)</w:t>
            </w:r>
          </w:p>
        </w:tc>
        <w:tc>
          <w:tcPr>
            <w:tcW w:w="1559" w:type="dxa"/>
            <w:tcBorders>
              <w:top w:val="single" w:sz="8" w:space="0" w:color="808080"/>
              <w:left w:val="single" w:sz="8" w:space="0" w:color="808080"/>
              <w:bottom w:val="single" w:sz="8" w:space="0" w:color="808080"/>
              <w:right w:val="single" w:sz="8" w:space="0" w:color="808080"/>
            </w:tcBorders>
          </w:tcPr>
          <w:p w14:paraId="0127C4D1"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tc>
        <w:tc>
          <w:tcPr>
            <w:tcW w:w="1418" w:type="dxa"/>
            <w:tcBorders>
              <w:top w:val="single" w:sz="8" w:space="0" w:color="808080"/>
              <w:left w:val="single" w:sz="8" w:space="0" w:color="808080"/>
              <w:bottom w:val="single" w:sz="8" w:space="0" w:color="808080"/>
              <w:right w:val="single" w:sz="8" w:space="0" w:color="808080"/>
            </w:tcBorders>
          </w:tcPr>
          <w:p w14:paraId="6DB627A4"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Moderate</w:t>
            </w:r>
          </w:p>
        </w:tc>
      </w:tr>
      <w:tr w:rsidR="00C714D3" w:rsidRPr="00E869A4" w14:paraId="792EEFC8"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41F1AD46"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6F911E82"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Mr. Druman</w:t>
            </w:r>
          </w:p>
        </w:tc>
        <w:tc>
          <w:tcPr>
            <w:tcW w:w="1951" w:type="dxa"/>
            <w:tcBorders>
              <w:top w:val="single" w:sz="8" w:space="0" w:color="808080"/>
              <w:left w:val="single" w:sz="8" w:space="0" w:color="808080"/>
              <w:bottom w:val="single" w:sz="8" w:space="0" w:color="808080"/>
              <w:right w:val="single" w:sz="8" w:space="0" w:color="808080"/>
            </w:tcBorders>
          </w:tcPr>
          <w:p w14:paraId="2D4C65C7"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Diabetes</w:t>
            </w:r>
          </w:p>
          <w:p w14:paraId="66E94334"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Hard of Hearing</w:t>
            </w:r>
          </w:p>
        </w:tc>
        <w:tc>
          <w:tcPr>
            <w:tcW w:w="2410" w:type="dxa"/>
            <w:tcBorders>
              <w:top w:val="single" w:sz="8" w:space="0" w:color="808080"/>
              <w:left w:val="single" w:sz="8" w:space="0" w:color="808080"/>
              <w:bottom w:val="single" w:sz="8" w:space="0" w:color="808080"/>
              <w:right w:val="single" w:sz="8" w:space="0" w:color="808080"/>
            </w:tcBorders>
          </w:tcPr>
          <w:p w14:paraId="1DC41FC6" w14:textId="77777777" w:rsidR="00DD2837" w:rsidRPr="00E869A4" w:rsidRDefault="00DD2837" w:rsidP="000A7AF7">
            <w:pPr>
              <w:autoSpaceDE w:val="0"/>
              <w:autoSpaceDN w:val="0"/>
              <w:adjustRightInd w:val="0"/>
              <w:spacing w:line="240" w:lineRule="auto"/>
              <w:ind w:left="130" w:right="146" w:hanging="46"/>
              <w:jc w:val="center"/>
              <w:rPr>
                <w:rFonts w:ascii="Times New Roman" w:hAnsi="Times New Roman" w:cs="Times New Roman"/>
                <w:sz w:val="22"/>
              </w:rPr>
            </w:pPr>
            <w:r w:rsidRPr="00E869A4">
              <w:rPr>
                <w:rFonts w:ascii="Times New Roman" w:hAnsi="Times New Roman" w:cs="Times New Roman"/>
                <w:sz w:val="22"/>
              </w:rPr>
              <w:t>All</w:t>
            </w:r>
          </w:p>
        </w:tc>
        <w:tc>
          <w:tcPr>
            <w:tcW w:w="1559" w:type="dxa"/>
            <w:tcBorders>
              <w:top w:val="single" w:sz="8" w:space="0" w:color="808080"/>
              <w:left w:val="single" w:sz="8" w:space="0" w:color="808080"/>
              <w:bottom w:val="single" w:sz="8" w:space="0" w:color="808080"/>
              <w:right w:val="single" w:sz="8" w:space="0" w:color="808080"/>
            </w:tcBorders>
          </w:tcPr>
          <w:p w14:paraId="0803A867"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tc>
        <w:tc>
          <w:tcPr>
            <w:tcW w:w="1418" w:type="dxa"/>
            <w:tcBorders>
              <w:top w:val="single" w:sz="8" w:space="0" w:color="808080"/>
              <w:left w:val="single" w:sz="8" w:space="0" w:color="808080"/>
              <w:bottom w:val="single" w:sz="8" w:space="0" w:color="808080"/>
              <w:right w:val="single" w:sz="8" w:space="0" w:color="808080"/>
            </w:tcBorders>
          </w:tcPr>
          <w:p w14:paraId="0F60371C"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Severe</w:t>
            </w:r>
          </w:p>
        </w:tc>
      </w:tr>
      <w:tr w:rsidR="00C714D3" w:rsidRPr="00E869A4" w14:paraId="2C59FE98"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18B1B7DB"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74E70B1F"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Mr. Khan</w:t>
            </w:r>
          </w:p>
        </w:tc>
        <w:tc>
          <w:tcPr>
            <w:tcW w:w="1951" w:type="dxa"/>
            <w:tcBorders>
              <w:top w:val="single" w:sz="8" w:space="0" w:color="808080"/>
              <w:left w:val="single" w:sz="8" w:space="0" w:color="808080"/>
              <w:bottom w:val="single" w:sz="8" w:space="0" w:color="808080"/>
              <w:right w:val="single" w:sz="8" w:space="0" w:color="808080"/>
            </w:tcBorders>
          </w:tcPr>
          <w:p w14:paraId="5EA297CD"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Kidney Failure (one functioning kidney)</w:t>
            </w:r>
          </w:p>
          <w:p w14:paraId="1EA670E9"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Hard of Hearing</w:t>
            </w:r>
          </w:p>
        </w:tc>
        <w:tc>
          <w:tcPr>
            <w:tcW w:w="2410" w:type="dxa"/>
            <w:tcBorders>
              <w:top w:val="single" w:sz="8" w:space="0" w:color="808080"/>
              <w:left w:val="single" w:sz="8" w:space="0" w:color="808080"/>
              <w:bottom w:val="single" w:sz="8" w:space="0" w:color="808080"/>
              <w:right w:val="single" w:sz="8" w:space="0" w:color="808080"/>
            </w:tcBorders>
          </w:tcPr>
          <w:p w14:paraId="72466186" w14:textId="77777777" w:rsidR="00DD2837" w:rsidRPr="00E869A4" w:rsidRDefault="00DD2837" w:rsidP="000A7AF7">
            <w:pPr>
              <w:autoSpaceDE w:val="0"/>
              <w:autoSpaceDN w:val="0"/>
              <w:adjustRightInd w:val="0"/>
              <w:spacing w:line="240" w:lineRule="auto"/>
              <w:ind w:left="130" w:right="146" w:hanging="46"/>
              <w:jc w:val="center"/>
              <w:rPr>
                <w:rFonts w:ascii="Times New Roman" w:hAnsi="Times New Roman" w:cs="Times New Roman"/>
                <w:sz w:val="22"/>
              </w:rPr>
            </w:pPr>
            <w:r w:rsidRPr="00E869A4">
              <w:rPr>
                <w:rFonts w:ascii="Times New Roman" w:hAnsi="Times New Roman" w:cs="Times New Roman"/>
                <w:sz w:val="22"/>
              </w:rPr>
              <w:t>All</w:t>
            </w:r>
          </w:p>
        </w:tc>
        <w:tc>
          <w:tcPr>
            <w:tcW w:w="1559" w:type="dxa"/>
            <w:tcBorders>
              <w:top w:val="single" w:sz="8" w:space="0" w:color="808080"/>
              <w:left w:val="single" w:sz="8" w:space="0" w:color="808080"/>
              <w:bottom w:val="single" w:sz="8" w:space="0" w:color="808080"/>
              <w:right w:val="single" w:sz="8" w:space="0" w:color="808080"/>
            </w:tcBorders>
          </w:tcPr>
          <w:p w14:paraId="11184B71"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tc>
        <w:tc>
          <w:tcPr>
            <w:tcW w:w="1418" w:type="dxa"/>
            <w:tcBorders>
              <w:top w:val="single" w:sz="8" w:space="0" w:color="808080"/>
              <w:left w:val="single" w:sz="8" w:space="0" w:color="808080"/>
              <w:bottom w:val="single" w:sz="8" w:space="0" w:color="808080"/>
              <w:right w:val="single" w:sz="8" w:space="0" w:color="808080"/>
            </w:tcBorders>
          </w:tcPr>
          <w:p w14:paraId="6C12E7F8"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Severe</w:t>
            </w:r>
          </w:p>
        </w:tc>
      </w:tr>
      <w:tr w:rsidR="00C714D3" w:rsidRPr="00E869A4" w14:paraId="4458B4F1"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1388DD78"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04A50CAE"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Ms. Indrani</w:t>
            </w:r>
          </w:p>
        </w:tc>
        <w:tc>
          <w:tcPr>
            <w:tcW w:w="1951" w:type="dxa"/>
            <w:tcBorders>
              <w:top w:val="single" w:sz="8" w:space="0" w:color="808080"/>
              <w:left w:val="single" w:sz="8" w:space="0" w:color="808080"/>
              <w:bottom w:val="single" w:sz="8" w:space="0" w:color="808080"/>
              <w:right w:val="single" w:sz="8" w:space="0" w:color="808080"/>
            </w:tcBorders>
          </w:tcPr>
          <w:p w14:paraId="4AE418A5"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Cancer</w:t>
            </w:r>
          </w:p>
        </w:tc>
        <w:tc>
          <w:tcPr>
            <w:tcW w:w="2410" w:type="dxa"/>
            <w:tcBorders>
              <w:top w:val="single" w:sz="8" w:space="0" w:color="808080"/>
              <w:left w:val="single" w:sz="8" w:space="0" w:color="808080"/>
              <w:bottom w:val="single" w:sz="8" w:space="0" w:color="808080"/>
              <w:right w:val="single" w:sz="8" w:space="0" w:color="808080"/>
            </w:tcBorders>
          </w:tcPr>
          <w:p w14:paraId="2B925CF1" w14:textId="77777777" w:rsidR="00DD2837" w:rsidRPr="00E869A4" w:rsidRDefault="00DD2837" w:rsidP="000A7AF7">
            <w:pPr>
              <w:autoSpaceDE w:val="0"/>
              <w:autoSpaceDN w:val="0"/>
              <w:adjustRightInd w:val="0"/>
              <w:spacing w:line="240" w:lineRule="auto"/>
              <w:ind w:left="130" w:right="146" w:hanging="46"/>
              <w:jc w:val="center"/>
              <w:rPr>
                <w:rFonts w:ascii="Times New Roman" w:hAnsi="Times New Roman" w:cs="Times New Roman"/>
                <w:sz w:val="22"/>
              </w:rPr>
            </w:pPr>
            <w:r w:rsidRPr="00E869A4">
              <w:rPr>
                <w:rFonts w:ascii="Times New Roman" w:hAnsi="Times New Roman" w:cs="Times New Roman"/>
                <w:sz w:val="22"/>
              </w:rPr>
              <w:t>All</w:t>
            </w:r>
          </w:p>
        </w:tc>
        <w:tc>
          <w:tcPr>
            <w:tcW w:w="1559" w:type="dxa"/>
            <w:tcBorders>
              <w:top w:val="single" w:sz="8" w:space="0" w:color="808080"/>
              <w:left w:val="single" w:sz="8" w:space="0" w:color="808080"/>
              <w:bottom w:val="single" w:sz="8" w:space="0" w:color="808080"/>
              <w:right w:val="single" w:sz="8" w:space="0" w:color="808080"/>
            </w:tcBorders>
          </w:tcPr>
          <w:p w14:paraId="29044BB7"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tc>
        <w:tc>
          <w:tcPr>
            <w:tcW w:w="1418" w:type="dxa"/>
            <w:tcBorders>
              <w:top w:val="single" w:sz="8" w:space="0" w:color="808080"/>
              <w:left w:val="single" w:sz="8" w:space="0" w:color="808080"/>
              <w:bottom w:val="single" w:sz="8" w:space="0" w:color="808080"/>
              <w:right w:val="single" w:sz="8" w:space="0" w:color="808080"/>
            </w:tcBorders>
          </w:tcPr>
          <w:p w14:paraId="24D96DDE"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Severe</w:t>
            </w:r>
          </w:p>
        </w:tc>
      </w:tr>
      <w:tr w:rsidR="00C714D3" w:rsidRPr="00E869A4" w14:paraId="4C4FFC8C"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1A224C7B" w14:textId="77777777" w:rsidR="00DD2837" w:rsidRPr="00E869A4" w:rsidRDefault="00DD2837" w:rsidP="000A7AF7">
            <w:pPr>
              <w:pStyle w:val="ListParagraph"/>
              <w:numPr>
                <w:ilvl w:val="0"/>
                <w:numId w:val="38"/>
              </w:numPr>
              <w:autoSpaceDE w:val="0"/>
              <w:autoSpaceDN w:val="0"/>
              <w:adjustRightInd w:val="0"/>
              <w:spacing w:line="240" w:lineRule="auto"/>
              <w:ind w:left="284" w:hanging="218"/>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30DCD6BD"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Mr. Sanchez</w:t>
            </w:r>
          </w:p>
        </w:tc>
        <w:tc>
          <w:tcPr>
            <w:tcW w:w="1951" w:type="dxa"/>
            <w:tcBorders>
              <w:top w:val="single" w:sz="8" w:space="0" w:color="808080"/>
              <w:left w:val="single" w:sz="8" w:space="0" w:color="808080"/>
              <w:bottom w:val="single" w:sz="8" w:space="0" w:color="808080"/>
              <w:right w:val="single" w:sz="8" w:space="0" w:color="808080"/>
            </w:tcBorders>
          </w:tcPr>
          <w:p w14:paraId="2326D226"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Diabetic amputee</w:t>
            </w:r>
          </w:p>
          <w:p w14:paraId="2358CC34"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Visually impaired</w:t>
            </w:r>
          </w:p>
          <w:p w14:paraId="209EBCE9"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Hearing impaired</w:t>
            </w:r>
          </w:p>
        </w:tc>
        <w:tc>
          <w:tcPr>
            <w:tcW w:w="2410" w:type="dxa"/>
            <w:tcBorders>
              <w:top w:val="single" w:sz="8" w:space="0" w:color="808080"/>
              <w:left w:val="single" w:sz="8" w:space="0" w:color="808080"/>
              <w:bottom w:val="single" w:sz="8" w:space="0" w:color="808080"/>
              <w:right w:val="single" w:sz="8" w:space="0" w:color="808080"/>
            </w:tcBorders>
          </w:tcPr>
          <w:p w14:paraId="04C1FE34" w14:textId="77777777" w:rsidR="00DD2837" w:rsidRPr="00E869A4" w:rsidRDefault="00DD2837" w:rsidP="000A7AF7">
            <w:pPr>
              <w:autoSpaceDE w:val="0"/>
              <w:autoSpaceDN w:val="0"/>
              <w:adjustRightInd w:val="0"/>
              <w:spacing w:line="240" w:lineRule="auto"/>
              <w:ind w:left="130" w:right="146" w:hanging="46"/>
              <w:jc w:val="center"/>
              <w:rPr>
                <w:rFonts w:ascii="Times New Roman" w:hAnsi="Times New Roman" w:cs="Times New Roman"/>
                <w:sz w:val="22"/>
              </w:rPr>
            </w:pPr>
            <w:r w:rsidRPr="00E869A4">
              <w:rPr>
                <w:rFonts w:ascii="Times New Roman" w:hAnsi="Times New Roman" w:cs="Times New Roman"/>
                <w:sz w:val="22"/>
              </w:rPr>
              <w:t>All</w:t>
            </w:r>
          </w:p>
        </w:tc>
        <w:tc>
          <w:tcPr>
            <w:tcW w:w="1559" w:type="dxa"/>
            <w:tcBorders>
              <w:top w:val="single" w:sz="8" w:space="0" w:color="808080"/>
              <w:left w:val="single" w:sz="8" w:space="0" w:color="808080"/>
              <w:bottom w:val="single" w:sz="8" w:space="0" w:color="808080"/>
              <w:right w:val="single" w:sz="8" w:space="0" w:color="808080"/>
            </w:tcBorders>
          </w:tcPr>
          <w:p w14:paraId="2141D647"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tc>
        <w:tc>
          <w:tcPr>
            <w:tcW w:w="1418" w:type="dxa"/>
            <w:tcBorders>
              <w:top w:val="single" w:sz="8" w:space="0" w:color="808080"/>
              <w:left w:val="single" w:sz="8" w:space="0" w:color="808080"/>
              <w:bottom w:val="single" w:sz="8" w:space="0" w:color="808080"/>
              <w:right w:val="single" w:sz="8" w:space="0" w:color="808080"/>
            </w:tcBorders>
          </w:tcPr>
          <w:p w14:paraId="75C61CE9"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Severe</w:t>
            </w:r>
          </w:p>
        </w:tc>
      </w:tr>
      <w:tr w:rsidR="00C714D3" w:rsidRPr="00E869A4" w14:paraId="5762FF3A" w14:textId="77777777" w:rsidTr="00303DC8">
        <w:tblPrEx>
          <w:tblBorders>
            <w:top w:val="none" w:sz="0" w:space="0" w:color="auto"/>
          </w:tblBorders>
        </w:tblPrEx>
        <w:trPr>
          <w:jc w:val="center"/>
        </w:trPr>
        <w:tc>
          <w:tcPr>
            <w:tcW w:w="367" w:type="dxa"/>
            <w:tcBorders>
              <w:top w:val="single" w:sz="8" w:space="0" w:color="808080"/>
              <w:left w:val="single" w:sz="8" w:space="0" w:color="808080"/>
              <w:bottom w:val="single" w:sz="8" w:space="0" w:color="808080"/>
              <w:right w:val="single" w:sz="8" w:space="0" w:color="808080"/>
            </w:tcBorders>
          </w:tcPr>
          <w:p w14:paraId="339861E6" w14:textId="77777777" w:rsidR="00DD2837" w:rsidRPr="00E869A4" w:rsidRDefault="00DD2837" w:rsidP="000A7AF7">
            <w:pPr>
              <w:pStyle w:val="ListParagraph"/>
              <w:numPr>
                <w:ilvl w:val="0"/>
                <w:numId w:val="38"/>
              </w:numPr>
              <w:tabs>
                <w:tab w:val="left" w:pos="498"/>
              </w:tabs>
              <w:autoSpaceDE w:val="0"/>
              <w:autoSpaceDN w:val="0"/>
              <w:adjustRightInd w:val="0"/>
              <w:spacing w:line="240" w:lineRule="auto"/>
              <w:ind w:left="85" w:hanging="19"/>
              <w:contextualSpacing w:val="0"/>
              <w:rPr>
                <w:rFonts w:ascii="Times New Roman" w:hAnsi="Times New Roman" w:cs="Times New Roman"/>
                <w:sz w:val="22"/>
              </w:rPr>
            </w:pPr>
          </w:p>
        </w:tc>
        <w:tc>
          <w:tcPr>
            <w:tcW w:w="1655" w:type="dxa"/>
            <w:tcBorders>
              <w:top w:val="single" w:sz="8" w:space="0" w:color="808080"/>
              <w:left w:val="single" w:sz="8" w:space="0" w:color="808080"/>
              <w:bottom w:val="single" w:sz="8" w:space="0" w:color="808080"/>
              <w:right w:val="single" w:sz="8" w:space="0" w:color="808080"/>
            </w:tcBorders>
          </w:tcPr>
          <w:p w14:paraId="77F082A0" w14:textId="77777777" w:rsidR="00DD2837" w:rsidRPr="00E869A4" w:rsidRDefault="00DD2837" w:rsidP="000A7AF7">
            <w:pPr>
              <w:autoSpaceDE w:val="0"/>
              <w:autoSpaceDN w:val="0"/>
              <w:adjustRightInd w:val="0"/>
              <w:spacing w:line="240" w:lineRule="auto"/>
              <w:ind w:left="148" w:right="146" w:hanging="64"/>
              <w:rPr>
                <w:rFonts w:ascii="Times New Roman" w:hAnsi="Times New Roman" w:cs="Times New Roman"/>
                <w:sz w:val="22"/>
              </w:rPr>
            </w:pPr>
            <w:r w:rsidRPr="00E869A4">
              <w:rPr>
                <w:rFonts w:ascii="Times New Roman" w:hAnsi="Times New Roman" w:cs="Times New Roman"/>
                <w:sz w:val="22"/>
              </w:rPr>
              <w:t>Ms. Violet</w:t>
            </w:r>
          </w:p>
        </w:tc>
        <w:tc>
          <w:tcPr>
            <w:tcW w:w="1951" w:type="dxa"/>
            <w:tcBorders>
              <w:top w:val="single" w:sz="8" w:space="0" w:color="808080"/>
              <w:left w:val="single" w:sz="8" w:space="0" w:color="808080"/>
              <w:bottom w:val="single" w:sz="8" w:space="0" w:color="808080"/>
              <w:right w:val="single" w:sz="8" w:space="0" w:color="808080"/>
            </w:tcBorders>
          </w:tcPr>
          <w:p w14:paraId="60D03EAA"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Incontinence</w:t>
            </w:r>
          </w:p>
          <w:p w14:paraId="3000FA6B" w14:textId="77777777" w:rsidR="00DD2837" w:rsidRPr="00E869A4" w:rsidRDefault="00DD2837" w:rsidP="000A7AF7">
            <w:pPr>
              <w:autoSpaceDE w:val="0"/>
              <w:autoSpaceDN w:val="0"/>
              <w:adjustRightInd w:val="0"/>
              <w:spacing w:line="240" w:lineRule="auto"/>
              <w:ind w:left="130" w:right="146" w:hanging="46"/>
              <w:rPr>
                <w:rFonts w:ascii="Times New Roman" w:hAnsi="Times New Roman" w:cs="Times New Roman"/>
                <w:sz w:val="22"/>
              </w:rPr>
            </w:pPr>
            <w:r w:rsidRPr="00E869A4">
              <w:rPr>
                <w:rFonts w:ascii="Times New Roman" w:hAnsi="Times New Roman" w:cs="Times New Roman"/>
                <w:sz w:val="22"/>
              </w:rPr>
              <w:t>(Generally frail; centenarian)</w:t>
            </w:r>
          </w:p>
        </w:tc>
        <w:tc>
          <w:tcPr>
            <w:tcW w:w="2410" w:type="dxa"/>
            <w:tcBorders>
              <w:top w:val="single" w:sz="8" w:space="0" w:color="808080"/>
              <w:left w:val="single" w:sz="8" w:space="0" w:color="808080"/>
              <w:bottom w:val="single" w:sz="8" w:space="0" w:color="808080"/>
              <w:right w:val="single" w:sz="8" w:space="0" w:color="808080"/>
            </w:tcBorders>
          </w:tcPr>
          <w:p w14:paraId="30939B9C" w14:textId="77777777" w:rsidR="00DD2837" w:rsidRPr="00E869A4" w:rsidRDefault="00DD2837" w:rsidP="000A7AF7">
            <w:pPr>
              <w:autoSpaceDE w:val="0"/>
              <w:autoSpaceDN w:val="0"/>
              <w:adjustRightInd w:val="0"/>
              <w:spacing w:line="240" w:lineRule="auto"/>
              <w:ind w:left="130" w:right="146" w:hanging="46"/>
              <w:jc w:val="center"/>
              <w:rPr>
                <w:rFonts w:ascii="Times New Roman" w:hAnsi="Times New Roman" w:cs="Times New Roman"/>
                <w:sz w:val="22"/>
              </w:rPr>
            </w:pPr>
            <w:r w:rsidRPr="00E869A4">
              <w:rPr>
                <w:rFonts w:ascii="Times New Roman" w:hAnsi="Times New Roman" w:cs="Times New Roman"/>
                <w:sz w:val="22"/>
              </w:rPr>
              <w:t>All</w:t>
            </w:r>
          </w:p>
        </w:tc>
        <w:tc>
          <w:tcPr>
            <w:tcW w:w="1559" w:type="dxa"/>
            <w:tcBorders>
              <w:top w:val="single" w:sz="8" w:space="0" w:color="808080"/>
              <w:left w:val="single" w:sz="8" w:space="0" w:color="808080"/>
              <w:bottom w:val="single" w:sz="8" w:space="0" w:color="808080"/>
              <w:right w:val="single" w:sz="8" w:space="0" w:color="808080"/>
            </w:tcBorders>
          </w:tcPr>
          <w:p w14:paraId="29C5871D"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All</w:t>
            </w:r>
          </w:p>
        </w:tc>
        <w:tc>
          <w:tcPr>
            <w:tcW w:w="1418" w:type="dxa"/>
            <w:tcBorders>
              <w:top w:val="single" w:sz="8" w:space="0" w:color="808080"/>
              <w:left w:val="single" w:sz="8" w:space="0" w:color="808080"/>
              <w:bottom w:val="single" w:sz="8" w:space="0" w:color="808080"/>
              <w:right w:val="single" w:sz="8" w:space="0" w:color="808080"/>
            </w:tcBorders>
          </w:tcPr>
          <w:p w14:paraId="19DD3C67" w14:textId="77777777" w:rsidR="00DD2837" w:rsidRPr="00E869A4" w:rsidRDefault="00DD2837" w:rsidP="000A7AF7">
            <w:pPr>
              <w:autoSpaceDE w:val="0"/>
              <w:autoSpaceDN w:val="0"/>
              <w:adjustRightInd w:val="0"/>
              <w:spacing w:line="240" w:lineRule="auto"/>
              <w:ind w:left="148" w:right="146" w:hanging="64"/>
              <w:jc w:val="center"/>
              <w:rPr>
                <w:rFonts w:ascii="Times New Roman" w:hAnsi="Times New Roman" w:cs="Times New Roman"/>
                <w:sz w:val="22"/>
              </w:rPr>
            </w:pPr>
            <w:r w:rsidRPr="00E869A4">
              <w:rPr>
                <w:rFonts w:ascii="Times New Roman" w:hAnsi="Times New Roman" w:cs="Times New Roman"/>
                <w:sz w:val="22"/>
              </w:rPr>
              <w:t>Severe</w:t>
            </w:r>
          </w:p>
        </w:tc>
      </w:tr>
    </w:tbl>
    <w:p w14:paraId="0BE63CAC" w14:textId="77777777" w:rsidR="00DD2837" w:rsidRPr="00E869A4" w:rsidRDefault="00DD2837" w:rsidP="00A35FF8">
      <w:pPr>
        <w:rPr>
          <w:rFonts w:ascii="Times New Roman" w:hAnsi="Times New Roman" w:cs="Times New Roman"/>
        </w:rPr>
      </w:pPr>
    </w:p>
    <w:p w14:paraId="52BD27CD" w14:textId="77777777" w:rsidR="00514ED3" w:rsidRPr="00E869A4" w:rsidRDefault="00514ED3" w:rsidP="00514ED3">
      <w:pPr>
        <w:rPr>
          <w:rFonts w:ascii="Times New Roman" w:hAnsi="Times New Roman" w:cs="Times New Roman"/>
        </w:rPr>
      </w:pPr>
      <w:r w:rsidRPr="00E869A4">
        <w:rPr>
          <w:rFonts w:ascii="Times New Roman" w:hAnsi="Times New Roman" w:cs="Times New Roman"/>
        </w:rPr>
        <w:t xml:space="preserve">The hospitalisation of an older relative after a serious health crisis was usually the starting point of the family caregiver role. However, it is important to note that, as was indicated in family care studies in </w:t>
      </w:r>
      <w:r w:rsidRPr="00E869A4">
        <w:rPr>
          <w:rFonts w:ascii="Times New Roman" w:hAnsi="Times New Roman" w:cs="Times New Roman"/>
        </w:rPr>
        <w:lastRenderedPageBreak/>
        <w:t xml:space="preserve">other countries (e.g. Kietzman 2013; Merrill 1997) the period of focused care to an older relative was usually preceded by sporadic assistance by the individual who eventually became the primary carer. </w:t>
      </w:r>
    </w:p>
    <w:p w14:paraId="216D4585" w14:textId="77777777" w:rsidR="004F011D" w:rsidRPr="00E869A4" w:rsidRDefault="004F011D" w:rsidP="00A35FF8">
      <w:pPr>
        <w:rPr>
          <w:rFonts w:ascii="Times New Roman" w:hAnsi="Times New Roman" w:cs="Times New Roman"/>
        </w:rPr>
      </w:pPr>
    </w:p>
    <w:p w14:paraId="1AB25BD7" w14:textId="0EDB085A" w:rsidR="00DD2837" w:rsidRPr="00E869A4" w:rsidRDefault="00E9231D" w:rsidP="005C449C">
      <w:pPr>
        <w:pStyle w:val="Heading3"/>
      </w:pPr>
      <w:bookmarkStart w:id="294" w:name="_Toc40436522"/>
      <w:r w:rsidRPr="00E869A4">
        <w:t>6</w:t>
      </w:r>
      <w:r w:rsidR="0052635E" w:rsidRPr="00E869A4">
        <w:t>.3.2</w:t>
      </w:r>
      <w:r w:rsidR="00DD2837" w:rsidRPr="00E869A4">
        <w:t xml:space="preserve"> </w:t>
      </w:r>
      <w:r w:rsidR="0052635E" w:rsidRPr="00E869A4">
        <w:t xml:space="preserve">    Loss </w:t>
      </w:r>
      <w:r w:rsidR="00DD2837" w:rsidRPr="00E869A4">
        <w:t>of a Primary Caregiver</w:t>
      </w:r>
      <w:bookmarkEnd w:id="294"/>
    </w:p>
    <w:p w14:paraId="477A1A47" w14:textId="77777777" w:rsidR="00837836" w:rsidRPr="00E869A4" w:rsidRDefault="00837836" w:rsidP="00A35FF8">
      <w:pPr>
        <w:rPr>
          <w:rFonts w:ascii="Times New Roman" w:hAnsi="Times New Roman" w:cs="Times New Roman"/>
        </w:rPr>
      </w:pPr>
    </w:p>
    <w:p w14:paraId="2CAB93F7" w14:textId="28CA2D2C" w:rsidR="004F011D" w:rsidRPr="00E869A4" w:rsidRDefault="00DD2837" w:rsidP="00185515">
      <w:pPr>
        <w:pStyle w:val="FootnoteText"/>
        <w:spacing w:line="360" w:lineRule="auto"/>
        <w:rPr>
          <w:sz w:val="24"/>
        </w:rPr>
      </w:pPr>
      <w:r w:rsidRPr="00E869A4">
        <w:rPr>
          <w:rFonts w:ascii="Times New Roman" w:hAnsi="Times New Roman" w:cs="Times New Roman"/>
          <w:sz w:val="24"/>
        </w:rPr>
        <w:t>Loss of a primary care</w:t>
      </w:r>
      <w:r w:rsidR="0093494C" w:rsidRPr="00E869A4">
        <w:rPr>
          <w:rFonts w:ascii="Times New Roman" w:hAnsi="Times New Roman" w:cs="Times New Roman"/>
          <w:sz w:val="24"/>
        </w:rPr>
        <w:t>give</w:t>
      </w:r>
      <w:r w:rsidRPr="00E869A4">
        <w:rPr>
          <w:rFonts w:ascii="Times New Roman" w:hAnsi="Times New Roman" w:cs="Times New Roman"/>
          <w:sz w:val="24"/>
        </w:rPr>
        <w:t>r was another major factor identified by some of the participants</w:t>
      </w:r>
      <w:r w:rsidR="00185515" w:rsidRPr="00E869A4">
        <w:rPr>
          <w:rFonts w:ascii="Times New Roman" w:hAnsi="Times New Roman" w:cs="Times New Roman"/>
          <w:sz w:val="24"/>
        </w:rPr>
        <w:t xml:space="preserve"> (i.e. Samantha, </w:t>
      </w:r>
      <w:r w:rsidR="00185515" w:rsidRPr="00E869A4">
        <w:rPr>
          <w:sz w:val="24"/>
        </w:rPr>
        <w:t xml:space="preserve">Timothy, Adelina, and Marian) </w:t>
      </w:r>
      <w:r w:rsidRPr="00E869A4">
        <w:rPr>
          <w:rFonts w:ascii="Times New Roman" w:hAnsi="Times New Roman" w:cs="Times New Roman"/>
          <w:sz w:val="24"/>
        </w:rPr>
        <w:t>as contributing to their decision to provide support as a primary family carer. These caregivers initially provided secondary care support</w:t>
      </w:r>
      <w:r w:rsidR="0093494C" w:rsidRPr="00E869A4">
        <w:rPr>
          <w:rFonts w:ascii="Times New Roman" w:hAnsi="Times New Roman" w:cs="Times New Roman"/>
          <w:sz w:val="24"/>
        </w:rPr>
        <w:t>,</w:t>
      </w:r>
      <w:r w:rsidRPr="00E869A4">
        <w:rPr>
          <w:rFonts w:ascii="Times New Roman" w:hAnsi="Times New Roman" w:cs="Times New Roman"/>
          <w:sz w:val="24"/>
        </w:rPr>
        <w:t xml:space="preserve"> and only became the main caregiver after the primary carer was n</w:t>
      </w:r>
      <w:r w:rsidR="007D6BF2" w:rsidRPr="00E869A4">
        <w:rPr>
          <w:rFonts w:ascii="Times New Roman" w:hAnsi="Times New Roman" w:cs="Times New Roman"/>
          <w:sz w:val="24"/>
        </w:rPr>
        <w:t>o longer available to do so. For two of the carers</w:t>
      </w:r>
      <w:r w:rsidRPr="00E869A4">
        <w:rPr>
          <w:rFonts w:ascii="Times New Roman" w:hAnsi="Times New Roman" w:cs="Times New Roman"/>
          <w:sz w:val="24"/>
        </w:rPr>
        <w:t xml:space="preserve"> (Timothy and Marian) the death of the primary caregiver was the main factor that launched them into the role of primary carer. In Samantha’s case, her role as a primary caregiver to her dad began in earnest after her mother died</w:t>
      </w:r>
      <w:r w:rsidR="0043322D" w:rsidRPr="00E869A4">
        <w:rPr>
          <w:rFonts w:ascii="Times New Roman" w:hAnsi="Times New Roman" w:cs="Times New Roman"/>
          <w:sz w:val="24"/>
        </w:rPr>
        <w:t>,</w:t>
      </w:r>
      <w:r w:rsidR="004822DD" w:rsidRPr="00E869A4">
        <w:rPr>
          <w:rFonts w:ascii="Times New Roman" w:hAnsi="Times New Roman" w:cs="Times New Roman"/>
          <w:sz w:val="24"/>
        </w:rPr>
        <w:t xml:space="preserve"> </w:t>
      </w:r>
      <w:r w:rsidRPr="00E869A4">
        <w:rPr>
          <w:rFonts w:ascii="Times New Roman" w:hAnsi="Times New Roman" w:cs="Times New Roman"/>
          <w:sz w:val="24"/>
        </w:rPr>
        <w:t xml:space="preserve">and her sister-in-law (Kalima) was reluctant to continue giving care support (this case is described in more detail below). The main starting point for Adelina’s care relationship was the migration of Tanty Edna’s </w:t>
      </w:r>
      <w:r w:rsidR="0043322D" w:rsidRPr="00E869A4">
        <w:rPr>
          <w:rFonts w:ascii="Times New Roman" w:hAnsi="Times New Roman" w:cs="Times New Roman"/>
          <w:sz w:val="24"/>
        </w:rPr>
        <w:t>granddaughter,</w:t>
      </w:r>
      <w:r w:rsidRPr="00E869A4">
        <w:rPr>
          <w:rFonts w:ascii="Times New Roman" w:hAnsi="Times New Roman" w:cs="Times New Roman"/>
          <w:sz w:val="24"/>
        </w:rPr>
        <w:t xml:space="preserve"> who had initially served as her primary carer</w:t>
      </w:r>
      <w:r w:rsidR="00185515" w:rsidRPr="00E869A4">
        <w:rPr>
          <w:rFonts w:ascii="Times New Roman" w:hAnsi="Times New Roman" w:cs="Times New Roman"/>
          <w:sz w:val="24"/>
        </w:rPr>
        <w:t>.</w:t>
      </w:r>
      <w:r w:rsidR="004F011D" w:rsidRPr="00E869A4">
        <w:rPr>
          <w:rFonts w:ascii="Times New Roman" w:hAnsi="Times New Roman" w:cs="Times New Roman"/>
          <w:sz w:val="24"/>
        </w:rPr>
        <w:t xml:space="preserve"> </w:t>
      </w:r>
    </w:p>
    <w:p w14:paraId="4EE69FBA" w14:textId="77777777" w:rsidR="004F011D" w:rsidRPr="00E869A4" w:rsidRDefault="004F011D" w:rsidP="00A35FF8">
      <w:pPr>
        <w:rPr>
          <w:rFonts w:ascii="Times New Roman" w:hAnsi="Times New Roman" w:cs="Times New Roman"/>
        </w:rPr>
      </w:pPr>
    </w:p>
    <w:p w14:paraId="5A5C497A" w14:textId="6F33CB1F" w:rsidR="00703AC8" w:rsidRPr="00E869A4" w:rsidRDefault="0043322D" w:rsidP="00A35FF8">
      <w:pPr>
        <w:rPr>
          <w:rFonts w:ascii="Times New Roman" w:hAnsi="Times New Roman" w:cs="Times New Roman"/>
        </w:rPr>
      </w:pPr>
      <w:r w:rsidRPr="00E869A4">
        <w:rPr>
          <w:rFonts w:ascii="Times New Roman" w:hAnsi="Times New Roman" w:cs="Times New Roman"/>
        </w:rPr>
        <w:t>I</w:t>
      </w:r>
      <w:r w:rsidR="00DD2837" w:rsidRPr="00E869A4">
        <w:rPr>
          <w:rFonts w:ascii="Times New Roman" w:hAnsi="Times New Roman" w:cs="Times New Roman"/>
        </w:rPr>
        <w:t xml:space="preserve">t </w:t>
      </w:r>
      <w:r w:rsidRPr="00E869A4">
        <w:rPr>
          <w:rFonts w:ascii="Times New Roman" w:hAnsi="Times New Roman" w:cs="Times New Roman"/>
        </w:rPr>
        <w:t>wa</w:t>
      </w:r>
      <w:r w:rsidR="00DD2837" w:rsidRPr="00E869A4">
        <w:rPr>
          <w:rFonts w:ascii="Times New Roman" w:hAnsi="Times New Roman" w:cs="Times New Roman"/>
        </w:rPr>
        <w:t>s sometimes difficult for caregivers to identify the specific trigger that initiated their care role. It may be that this is a reflection of the dialectical relationship between what Tronto (1993) referred to as ‘caring about’ someone and ‘taking care of’ them. In Adelina’s accounts</w:t>
      </w:r>
      <w:r w:rsidRPr="00E869A4">
        <w:rPr>
          <w:rFonts w:ascii="Times New Roman" w:hAnsi="Times New Roman" w:cs="Times New Roman"/>
        </w:rPr>
        <w:t>,</w:t>
      </w:r>
      <w:r w:rsidR="00DD2837" w:rsidRPr="00E869A4">
        <w:rPr>
          <w:rFonts w:ascii="Times New Roman" w:hAnsi="Times New Roman" w:cs="Times New Roman"/>
        </w:rPr>
        <w:t xml:space="preserve"> it was clear that the death of her mother increased her appreciation for Tanty who she valued as </w:t>
      </w:r>
      <w:r w:rsidRPr="00E869A4">
        <w:rPr>
          <w:rFonts w:ascii="Times New Roman" w:hAnsi="Times New Roman" w:cs="Times New Roman"/>
        </w:rPr>
        <w:t>“</w:t>
      </w:r>
      <w:r w:rsidR="00DD2837" w:rsidRPr="00E869A4">
        <w:rPr>
          <w:rFonts w:ascii="Times New Roman" w:hAnsi="Times New Roman" w:cs="Times New Roman"/>
        </w:rPr>
        <w:t>the last surviving relative</w:t>
      </w:r>
      <w:r w:rsidRPr="00E869A4">
        <w:rPr>
          <w:rFonts w:ascii="Times New Roman" w:hAnsi="Times New Roman" w:cs="Times New Roman"/>
        </w:rPr>
        <w:t xml:space="preserve">” </w:t>
      </w:r>
      <w:r w:rsidR="00DD2837" w:rsidRPr="00E869A4">
        <w:rPr>
          <w:rFonts w:ascii="Times New Roman" w:hAnsi="Times New Roman" w:cs="Times New Roman"/>
        </w:rPr>
        <w:t xml:space="preserve">from her mother’s generation.  Thus, her ‘caring about’ Tanty increased after her </w:t>
      </w:r>
      <w:r w:rsidR="002C4D52" w:rsidRPr="00E869A4">
        <w:rPr>
          <w:rFonts w:ascii="Times New Roman" w:eastAsia="Times New Roman" w:hAnsi="Times New Roman" w:cs="Times New Roman"/>
        </w:rPr>
        <w:t>mother</w:t>
      </w:r>
      <w:r w:rsidR="00DD2837" w:rsidRPr="00E869A4">
        <w:rPr>
          <w:rFonts w:ascii="Times New Roman" w:hAnsi="Times New Roman" w:cs="Times New Roman"/>
        </w:rPr>
        <w:t xml:space="preserve"> passed away. </w:t>
      </w:r>
      <w:r w:rsidRPr="00E869A4">
        <w:rPr>
          <w:rFonts w:ascii="Times New Roman" w:hAnsi="Times New Roman" w:cs="Times New Roman"/>
        </w:rPr>
        <w:t>However,</w:t>
      </w:r>
      <w:r w:rsidR="00DD2837" w:rsidRPr="00E869A4">
        <w:rPr>
          <w:rFonts w:ascii="Times New Roman" w:hAnsi="Times New Roman" w:cs="Times New Roman"/>
        </w:rPr>
        <w:t xml:space="preserve"> the actual ‘caring for’ began when Tanty</w:t>
      </w:r>
      <w:r w:rsidRPr="00E869A4">
        <w:rPr>
          <w:rFonts w:ascii="Times New Roman" w:hAnsi="Times New Roman" w:cs="Times New Roman"/>
        </w:rPr>
        <w:t>’s primary caregiver (her grand</w:t>
      </w:r>
      <w:r w:rsidR="00DD2837" w:rsidRPr="00E869A4">
        <w:rPr>
          <w:rFonts w:ascii="Times New Roman" w:hAnsi="Times New Roman" w:cs="Times New Roman"/>
        </w:rPr>
        <w:t xml:space="preserve">daughter Marlene) migrated. In another case, the caregiver </w:t>
      </w:r>
      <w:r w:rsidR="00F750D6" w:rsidRPr="00E869A4">
        <w:rPr>
          <w:rFonts w:ascii="Times New Roman" w:hAnsi="Times New Roman" w:cs="Times New Roman"/>
        </w:rPr>
        <w:t xml:space="preserve">(Mr. Birch) </w:t>
      </w:r>
      <w:r w:rsidR="00DD2837" w:rsidRPr="00E869A4">
        <w:rPr>
          <w:rFonts w:ascii="Times New Roman" w:hAnsi="Times New Roman" w:cs="Times New Roman"/>
        </w:rPr>
        <w:t>identified both the loss of the primary carer (Mrs. Wilton) and the declining health of the older cared-for person (Uncle Wilton)</w:t>
      </w:r>
      <w:r w:rsidR="00971601" w:rsidRPr="00E869A4">
        <w:rPr>
          <w:rFonts w:ascii="Times New Roman" w:hAnsi="Times New Roman" w:cs="Times New Roman"/>
        </w:rPr>
        <w:t>,</w:t>
      </w:r>
      <w:r w:rsidR="00DD2837" w:rsidRPr="00E869A4">
        <w:rPr>
          <w:rFonts w:ascii="Times New Roman" w:hAnsi="Times New Roman" w:cs="Times New Roman"/>
        </w:rPr>
        <w:t xml:space="preserve"> as the main factors that initiated their care response</w:t>
      </w:r>
      <w:r w:rsidR="00D93D89" w:rsidRPr="00E869A4">
        <w:rPr>
          <w:rFonts w:ascii="Times New Roman" w:hAnsi="Times New Roman" w:cs="Times New Roman"/>
        </w:rPr>
        <w:t>:</w:t>
      </w:r>
    </w:p>
    <w:p w14:paraId="300DB345" w14:textId="217BAD3B" w:rsidR="00DD2837" w:rsidRPr="00E869A4" w:rsidRDefault="00DD2837" w:rsidP="00E2225C">
      <w:pPr>
        <w:spacing w:line="240" w:lineRule="auto"/>
        <w:rPr>
          <w:rFonts w:ascii="Times New Roman" w:hAnsi="Times New Roman" w:cs="Times New Roman"/>
        </w:rPr>
      </w:pPr>
      <w:r w:rsidRPr="00E869A4">
        <w:rPr>
          <w:rFonts w:ascii="Times New Roman" w:hAnsi="Times New Roman" w:cs="Times New Roman"/>
        </w:rPr>
        <w:t xml:space="preserve"> </w:t>
      </w:r>
    </w:p>
    <w:p w14:paraId="18A3185D" w14:textId="452255B4" w:rsidR="00DD2837" w:rsidRPr="00E869A4" w:rsidRDefault="00DD2837" w:rsidP="00F750D6">
      <w:pPr>
        <w:spacing w:line="240" w:lineRule="auto"/>
        <w:ind w:left="567" w:firstLine="0"/>
        <w:rPr>
          <w:rFonts w:ascii="Times New Roman" w:hAnsi="Times New Roman" w:cs="Times New Roman"/>
        </w:rPr>
      </w:pPr>
      <w:r w:rsidRPr="00E869A4">
        <w:rPr>
          <w:rFonts w:ascii="Times New Roman" w:hAnsi="Times New Roman" w:cs="Times New Roman"/>
        </w:rPr>
        <w:t>I think is after his wife die</w:t>
      </w:r>
      <w:r w:rsidR="008700E7" w:rsidRPr="00E869A4">
        <w:rPr>
          <w:rFonts w:ascii="Times New Roman" w:hAnsi="Times New Roman" w:cs="Times New Roman"/>
        </w:rPr>
        <w:t xml:space="preserve"> </w:t>
      </w:r>
      <w:r w:rsidRPr="00E869A4">
        <w:rPr>
          <w:rFonts w:ascii="Times New Roman" w:hAnsi="Times New Roman" w:cs="Times New Roman"/>
        </w:rPr>
        <w:t>… about 10 years now yuh know</w:t>
      </w:r>
      <w:r w:rsidR="008700E7" w:rsidRPr="00E869A4">
        <w:rPr>
          <w:rFonts w:ascii="Times New Roman" w:hAnsi="Times New Roman" w:cs="Times New Roman"/>
        </w:rPr>
        <w:t xml:space="preserve"> </w:t>
      </w:r>
      <w:r w:rsidR="00AC43FB" w:rsidRPr="00E869A4">
        <w:rPr>
          <w:rFonts w:ascii="Times New Roman" w:hAnsi="Times New Roman" w:cs="Times New Roman"/>
        </w:rPr>
        <w:t>..</w:t>
      </w:r>
      <w:r w:rsidRPr="00E869A4">
        <w:rPr>
          <w:rFonts w:ascii="Times New Roman" w:hAnsi="Times New Roman" w:cs="Times New Roman"/>
        </w:rPr>
        <w:t>.</w:t>
      </w:r>
      <w:r w:rsidR="00971601" w:rsidRPr="00E869A4">
        <w:rPr>
          <w:rFonts w:ascii="Times New Roman" w:hAnsi="Times New Roman" w:cs="Times New Roman"/>
        </w:rPr>
        <w:t xml:space="preserve"> </w:t>
      </w:r>
      <w:r w:rsidRPr="00E869A4">
        <w:rPr>
          <w:rFonts w:ascii="Times New Roman" w:hAnsi="Times New Roman" w:cs="Times New Roman"/>
        </w:rPr>
        <w:t>[When his wife was alive] ... he was still drivin’ an’ t’ing yeah</w:t>
      </w:r>
      <w:r w:rsidR="008700E7" w:rsidRPr="00E869A4">
        <w:rPr>
          <w:rFonts w:ascii="Times New Roman" w:hAnsi="Times New Roman" w:cs="Times New Roman"/>
        </w:rPr>
        <w:t xml:space="preserve"> </w:t>
      </w:r>
      <w:r w:rsidRPr="00E869A4">
        <w:rPr>
          <w:rFonts w:ascii="Times New Roman" w:hAnsi="Times New Roman" w:cs="Times New Roman"/>
        </w:rPr>
        <w:t>… he was more strong ... So, he really didn’t need [much help]. Is only after his wife died he really started to …</w:t>
      </w:r>
      <w:r w:rsidR="00971601" w:rsidRPr="00E869A4">
        <w:rPr>
          <w:rFonts w:ascii="Times New Roman" w:hAnsi="Times New Roman" w:cs="Times New Roman"/>
        </w:rPr>
        <w:t xml:space="preserve"> </w:t>
      </w:r>
      <w:r w:rsidRPr="00E869A4">
        <w:rPr>
          <w:rFonts w:ascii="Times New Roman" w:hAnsi="Times New Roman" w:cs="Times New Roman"/>
        </w:rPr>
        <w:t>kinda suffer with de sugar an’ with de ah hypertension … [it] start to take over</w:t>
      </w:r>
      <w:r w:rsidR="004F011D" w:rsidRPr="00E869A4">
        <w:rPr>
          <w:rFonts w:ascii="Times New Roman" w:hAnsi="Times New Roman" w:cs="Times New Roman"/>
        </w:rPr>
        <w:t>.</w:t>
      </w:r>
      <w:r w:rsidRPr="00E869A4">
        <w:rPr>
          <w:rFonts w:ascii="Times New Roman" w:hAnsi="Times New Roman" w:cs="Times New Roman"/>
        </w:rPr>
        <w:t xml:space="preserve"> </w:t>
      </w:r>
    </w:p>
    <w:p w14:paraId="310451CF" w14:textId="77777777" w:rsidR="00185515" w:rsidRPr="00E869A4" w:rsidRDefault="00185515" w:rsidP="00185515">
      <w:pPr>
        <w:ind w:firstLine="0"/>
        <w:rPr>
          <w:rFonts w:ascii="Times New Roman" w:hAnsi="Times New Roman" w:cs="Times New Roman"/>
        </w:rPr>
      </w:pPr>
    </w:p>
    <w:p w14:paraId="540C205B" w14:textId="77777777" w:rsidR="00185515" w:rsidRPr="00E869A4" w:rsidRDefault="00185515" w:rsidP="00185515">
      <w:pPr>
        <w:ind w:firstLine="0"/>
        <w:rPr>
          <w:rFonts w:ascii="Times New Roman" w:hAnsi="Times New Roman" w:cs="Times New Roman"/>
        </w:rPr>
      </w:pPr>
      <w:r w:rsidRPr="00E869A4">
        <w:rPr>
          <w:rFonts w:ascii="Times New Roman" w:hAnsi="Times New Roman" w:cs="Times New Roman"/>
        </w:rPr>
        <w:t xml:space="preserve">Sheila also associated the intensification of her role as caregiver to her mother (Freeda) with the death of her spouse (Sheila’s father) and health related issues. </w:t>
      </w:r>
    </w:p>
    <w:p w14:paraId="0DC33B1C" w14:textId="53678CCD" w:rsidR="00185515" w:rsidRPr="00E869A4" w:rsidRDefault="00185515" w:rsidP="001B496C">
      <w:pPr>
        <w:spacing w:line="240" w:lineRule="auto"/>
        <w:ind w:left="567" w:firstLine="0"/>
        <w:rPr>
          <w:rFonts w:ascii="Times New Roman" w:hAnsi="Times New Roman" w:cs="Times New Roman"/>
        </w:rPr>
      </w:pPr>
      <w:r w:rsidRPr="00E869A4">
        <w:rPr>
          <w:rFonts w:ascii="Times New Roman" w:hAnsi="Times New Roman" w:cs="Times New Roman"/>
        </w:rPr>
        <w:lastRenderedPageBreak/>
        <w:t xml:space="preserve">There was a little crisis ... my dad had died [sometime aback so] she was home here more or less on her own … But then there was a time when her sugar escalated and … I think she actually left with the [neighbour] next door, and then when she got to the [private] doctor’s office then the doctor called me because I had to take her to the hospital … At that point, we felt that maybe she needed a little more support emotionally and otherwise in every way. And we felt that living alone here may not have been the best thing. </w:t>
      </w:r>
    </w:p>
    <w:p w14:paraId="77596D85" w14:textId="77777777" w:rsidR="00185515" w:rsidRPr="00E869A4" w:rsidRDefault="00185515" w:rsidP="00185515">
      <w:pPr>
        <w:spacing w:line="240" w:lineRule="auto"/>
        <w:rPr>
          <w:rFonts w:ascii="Times New Roman" w:hAnsi="Times New Roman" w:cs="Times New Roman"/>
        </w:rPr>
      </w:pPr>
    </w:p>
    <w:p w14:paraId="33E72493" w14:textId="17A7F0EC" w:rsidR="004F011D" w:rsidRPr="00E869A4" w:rsidRDefault="00DD2837" w:rsidP="001B496C">
      <w:pPr>
        <w:ind w:firstLine="720"/>
        <w:rPr>
          <w:rFonts w:ascii="Times New Roman" w:hAnsi="Times New Roman" w:cs="Times New Roman"/>
        </w:rPr>
      </w:pPr>
      <w:r w:rsidRPr="00E869A4">
        <w:rPr>
          <w:rFonts w:ascii="Times New Roman" w:hAnsi="Times New Roman" w:cs="Times New Roman"/>
        </w:rPr>
        <w:t xml:space="preserve">Thus, based on the reports of the caregivers, both the loss of a primary carer and care needs were key factors that contributed to care initiation for all of the caregivers, and these factors at times overlapped or coincided with each other. </w:t>
      </w:r>
      <w:r w:rsidR="008F31A4" w:rsidRPr="00E869A4">
        <w:rPr>
          <w:rFonts w:ascii="Times New Roman" w:hAnsi="Times New Roman" w:cs="Times New Roman"/>
        </w:rPr>
        <w:t>These findings are consistent with research done by Schrӧder -Butterfill &amp; Marianti (2006).</w:t>
      </w:r>
    </w:p>
    <w:p w14:paraId="31F339B0" w14:textId="77777777" w:rsidR="00557DC4" w:rsidRPr="00E869A4" w:rsidRDefault="00557DC4">
      <w:pPr>
        <w:rPr>
          <w:rFonts w:ascii="Times New Roman" w:hAnsi="Times New Roman" w:cs="Times New Roman"/>
        </w:rPr>
      </w:pPr>
    </w:p>
    <w:p w14:paraId="33911CC2" w14:textId="2F05313C" w:rsidR="00DD2837" w:rsidRPr="00E869A4" w:rsidRDefault="00E9231D" w:rsidP="005C449C">
      <w:pPr>
        <w:pStyle w:val="Heading3"/>
      </w:pPr>
      <w:bookmarkStart w:id="295" w:name="_Toc40436523"/>
      <w:r w:rsidRPr="00E869A4">
        <w:t>6</w:t>
      </w:r>
      <w:r w:rsidR="00A12E93" w:rsidRPr="00E869A4">
        <w:t xml:space="preserve">.3.3     </w:t>
      </w:r>
      <w:r w:rsidR="00DD2837" w:rsidRPr="00E869A4">
        <w:t>Gender and Geographical Proximity</w:t>
      </w:r>
      <w:bookmarkEnd w:id="295"/>
    </w:p>
    <w:p w14:paraId="61090F2C" w14:textId="77777777" w:rsidR="00DF441A" w:rsidRPr="00E869A4" w:rsidRDefault="00DF441A" w:rsidP="00A35FF8">
      <w:pPr>
        <w:rPr>
          <w:rFonts w:ascii="Times New Roman" w:hAnsi="Times New Roman" w:cs="Times New Roman"/>
        </w:rPr>
      </w:pPr>
    </w:p>
    <w:p w14:paraId="3397FCE0" w14:textId="153844AB" w:rsidR="00DD2837" w:rsidRPr="00E869A4" w:rsidRDefault="00971601" w:rsidP="00A35FF8">
      <w:pPr>
        <w:rPr>
          <w:rFonts w:ascii="Times New Roman" w:hAnsi="Times New Roman" w:cs="Times New Roman"/>
        </w:rPr>
      </w:pPr>
      <w:r w:rsidRPr="00E869A4">
        <w:rPr>
          <w:rFonts w:ascii="Times New Roman" w:hAnsi="Times New Roman" w:cs="Times New Roman"/>
        </w:rPr>
        <w:t>Only two participants (Samantha and Tanty Edna) identified gender as a key determining factor</w:t>
      </w:r>
      <w:r w:rsidR="00DD2837" w:rsidRPr="00E869A4">
        <w:rPr>
          <w:rFonts w:ascii="Times New Roman" w:hAnsi="Times New Roman" w:cs="Times New Roman"/>
        </w:rPr>
        <w:t>.</w:t>
      </w:r>
      <w:r w:rsidRPr="00E869A4">
        <w:rPr>
          <w:rFonts w:ascii="Times New Roman" w:hAnsi="Times New Roman" w:cs="Times New Roman"/>
        </w:rPr>
        <w:t xml:space="preserve"> This factor seemed to be taken-</w:t>
      </w:r>
      <w:r w:rsidR="00DD2837" w:rsidRPr="00E869A4">
        <w:rPr>
          <w:rFonts w:ascii="Times New Roman" w:hAnsi="Times New Roman" w:cs="Times New Roman"/>
        </w:rPr>
        <w:t>for</w:t>
      </w:r>
      <w:r w:rsidRPr="00E869A4">
        <w:rPr>
          <w:rFonts w:ascii="Times New Roman" w:hAnsi="Times New Roman" w:cs="Times New Roman"/>
        </w:rPr>
        <w:t>-</w:t>
      </w:r>
      <w:r w:rsidR="00DD2837" w:rsidRPr="00E869A4">
        <w:rPr>
          <w:rFonts w:ascii="Times New Roman" w:hAnsi="Times New Roman" w:cs="Times New Roman"/>
        </w:rPr>
        <w:t>granted by the participants</w:t>
      </w:r>
      <w:r w:rsidR="003F16BE" w:rsidRPr="00E869A4">
        <w:rPr>
          <w:rFonts w:ascii="Times New Roman" w:hAnsi="Times New Roman" w:cs="Times New Roman"/>
        </w:rPr>
        <w:t xml:space="preserve">. </w:t>
      </w:r>
      <w:r w:rsidR="00DD2837" w:rsidRPr="00E869A4">
        <w:rPr>
          <w:rFonts w:ascii="Times New Roman" w:hAnsi="Times New Roman" w:cs="Times New Roman"/>
        </w:rPr>
        <w:t xml:space="preserve"> While </w:t>
      </w:r>
      <w:r w:rsidR="007D6BF2" w:rsidRPr="00E869A4">
        <w:rPr>
          <w:rFonts w:ascii="Times New Roman" w:hAnsi="Times New Roman" w:cs="Times New Roman"/>
        </w:rPr>
        <w:t>most of the</w:t>
      </w:r>
      <w:r w:rsidR="00DD2837" w:rsidRPr="00E869A4">
        <w:rPr>
          <w:rFonts w:ascii="Times New Roman" w:hAnsi="Times New Roman" w:cs="Times New Roman"/>
        </w:rPr>
        <w:t xml:space="preserve"> caregivers were female</w:t>
      </w:r>
      <w:r w:rsidR="007D6BF2" w:rsidRPr="00E869A4">
        <w:rPr>
          <w:rStyle w:val="FootnoteReference"/>
          <w:rFonts w:ascii="Times New Roman" w:hAnsi="Times New Roman" w:cs="Times New Roman"/>
        </w:rPr>
        <w:footnoteReference w:id="61"/>
      </w:r>
      <w:r w:rsidR="00DD2837" w:rsidRPr="00E869A4">
        <w:rPr>
          <w:rFonts w:ascii="Times New Roman" w:hAnsi="Times New Roman" w:cs="Times New Roman"/>
        </w:rPr>
        <w:t>, only one (1) family caregiver (Samantha Khan) explicitly identified gender as an important aspect of her care role</w:t>
      </w:r>
      <w:r w:rsidR="002173FA" w:rsidRPr="00E869A4">
        <w:rPr>
          <w:rFonts w:ascii="Times New Roman" w:hAnsi="Times New Roman" w:cs="Times New Roman"/>
        </w:rPr>
        <w:t>:</w:t>
      </w:r>
      <w:r w:rsidR="00DD2837" w:rsidRPr="00E869A4">
        <w:rPr>
          <w:rFonts w:ascii="Times New Roman" w:hAnsi="Times New Roman" w:cs="Times New Roman"/>
        </w:rPr>
        <w:t xml:space="preserve"> </w:t>
      </w:r>
    </w:p>
    <w:p w14:paraId="68CCFACF" w14:textId="77777777" w:rsidR="00CB1549" w:rsidRPr="00E869A4" w:rsidRDefault="00CB1549" w:rsidP="00A35FF8">
      <w:pPr>
        <w:rPr>
          <w:rFonts w:ascii="Times New Roman" w:hAnsi="Times New Roman" w:cs="Times New Roman"/>
        </w:rPr>
      </w:pPr>
    </w:p>
    <w:p w14:paraId="1ABEC473" w14:textId="11D694DD" w:rsidR="00DD2837" w:rsidRPr="00E869A4" w:rsidRDefault="00DD2837" w:rsidP="00557DC4">
      <w:pPr>
        <w:spacing w:line="240" w:lineRule="auto"/>
        <w:ind w:left="567" w:firstLine="0"/>
        <w:rPr>
          <w:rFonts w:ascii="Times New Roman" w:hAnsi="Times New Roman" w:cs="Times New Roman"/>
        </w:rPr>
      </w:pPr>
      <w:r w:rsidRPr="00E869A4">
        <w:rPr>
          <w:rFonts w:ascii="Times New Roman" w:hAnsi="Times New Roman" w:cs="Times New Roman"/>
        </w:rPr>
        <w:t>Before [my mother] died she was ill for about three years, so I really had to fill in at that time ‘cause I’m the only girl. And you know for a mother, she would be more comf</w:t>
      </w:r>
      <w:r w:rsidR="00FC6FE3" w:rsidRPr="00E869A4">
        <w:rPr>
          <w:rFonts w:ascii="Times New Roman" w:hAnsi="Times New Roman" w:cs="Times New Roman"/>
        </w:rPr>
        <w:t>ortable with a girl helping her</w:t>
      </w:r>
      <w:r w:rsidRPr="00E869A4">
        <w:rPr>
          <w:rFonts w:ascii="Times New Roman" w:hAnsi="Times New Roman" w:cs="Times New Roman"/>
        </w:rPr>
        <w:t xml:space="preserve"> …</w:t>
      </w:r>
      <w:r w:rsidR="00FC6FE3" w:rsidRPr="00E869A4">
        <w:rPr>
          <w:rFonts w:ascii="Times New Roman" w:hAnsi="Times New Roman" w:cs="Times New Roman"/>
        </w:rPr>
        <w:t xml:space="preserve"> </w:t>
      </w:r>
      <w:r w:rsidRPr="00E869A4">
        <w:rPr>
          <w:rFonts w:ascii="Times New Roman" w:hAnsi="Times New Roman" w:cs="Times New Roman"/>
        </w:rPr>
        <w:t>I was [also] filling in for her [in taking care of dad]</w:t>
      </w:r>
      <w:r w:rsidR="00557DC4" w:rsidRPr="00E869A4">
        <w:rPr>
          <w:rFonts w:ascii="Times New Roman" w:hAnsi="Times New Roman" w:cs="Times New Roman"/>
        </w:rPr>
        <w:t>.</w:t>
      </w:r>
    </w:p>
    <w:p w14:paraId="2AAF23B2" w14:textId="77777777" w:rsidR="003F16BE" w:rsidRPr="00E869A4" w:rsidRDefault="003F16BE" w:rsidP="003F16BE">
      <w:pPr>
        <w:ind w:firstLine="0"/>
        <w:rPr>
          <w:rFonts w:ascii="Times New Roman" w:hAnsi="Times New Roman" w:cs="Times New Roman"/>
        </w:rPr>
      </w:pPr>
    </w:p>
    <w:p w14:paraId="77F51167" w14:textId="532F79A1" w:rsidR="00DD2837" w:rsidRPr="00E869A4" w:rsidRDefault="00201470" w:rsidP="00A35FF8">
      <w:pPr>
        <w:rPr>
          <w:rFonts w:ascii="Times New Roman" w:hAnsi="Times New Roman" w:cs="Times New Roman"/>
        </w:rPr>
      </w:pPr>
      <w:r w:rsidRPr="00E869A4">
        <w:rPr>
          <w:rFonts w:ascii="Times New Roman" w:hAnsi="Times New Roman" w:cs="Times New Roman"/>
        </w:rPr>
        <w:t>The sentiments expressed by Samantha about her mother’s preference for a same-sex carer is consistent with the literature on this subject. Henz (2009) refers to this as the ‘cross-sex’ taboo and noted that many studies have confirmed its existence. In this study, o</w:t>
      </w:r>
      <w:r w:rsidR="00DD2837" w:rsidRPr="00E869A4">
        <w:rPr>
          <w:rFonts w:ascii="Times New Roman" w:hAnsi="Times New Roman" w:cs="Times New Roman"/>
        </w:rPr>
        <w:t xml:space="preserve">nly one of the older care recipients (Tanty Edna) </w:t>
      </w:r>
      <w:r w:rsidRPr="00E869A4">
        <w:rPr>
          <w:rFonts w:ascii="Times New Roman" w:hAnsi="Times New Roman" w:cs="Times New Roman"/>
        </w:rPr>
        <w:t xml:space="preserve">explicitly </w:t>
      </w:r>
      <w:r w:rsidR="00DD2837" w:rsidRPr="00E869A4">
        <w:rPr>
          <w:rFonts w:ascii="Times New Roman" w:hAnsi="Times New Roman" w:cs="Times New Roman"/>
        </w:rPr>
        <w:t xml:space="preserve">identified female gender as a preferred trait for care provision. Her preference was also linked to the type of filial relationship i.e. a preference for care by an adult daughter. Unfortunately, </w:t>
      </w:r>
      <w:r w:rsidR="00971601" w:rsidRPr="00E869A4">
        <w:rPr>
          <w:rFonts w:ascii="Times New Roman" w:hAnsi="Times New Roman" w:cs="Times New Roman"/>
        </w:rPr>
        <w:t>because</w:t>
      </w:r>
      <w:r w:rsidR="00DD2837" w:rsidRPr="00E869A4">
        <w:rPr>
          <w:rFonts w:ascii="Times New Roman" w:hAnsi="Times New Roman" w:cs="Times New Roman"/>
        </w:rPr>
        <w:t xml:space="preserve"> of the estranged relationship that existed between Tanty and her daughter (Eleta), Tanty Edna was unable to have her preferred family care arrangement realised</w:t>
      </w:r>
      <w:r w:rsidR="00D93D89" w:rsidRPr="00E869A4">
        <w:rPr>
          <w:rFonts w:ascii="Times New Roman" w:hAnsi="Times New Roman" w:cs="Times New Roman"/>
        </w:rPr>
        <w:t>:</w:t>
      </w:r>
      <w:r w:rsidR="00DD2837" w:rsidRPr="00E869A4">
        <w:rPr>
          <w:rFonts w:ascii="Times New Roman" w:hAnsi="Times New Roman" w:cs="Times New Roman"/>
        </w:rPr>
        <w:t xml:space="preserve"> </w:t>
      </w:r>
    </w:p>
    <w:p w14:paraId="0FA9A551" w14:textId="77777777" w:rsidR="00CB1549" w:rsidRPr="00E869A4" w:rsidRDefault="00CB1549" w:rsidP="00E2225C">
      <w:pPr>
        <w:spacing w:line="240" w:lineRule="auto"/>
        <w:rPr>
          <w:rFonts w:ascii="Times New Roman" w:hAnsi="Times New Roman" w:cs="Times New Roman"/>
        </w:rPr>
      </w:pPr>
    </w:p>
    <w:p w14:paraId="7A37C281" w14:textId="70199CF4" w:rsidR="00DD2837" w:rsidRPr="00E869A4" w:rsidRDefault="00DD2837" w:rsidP="00557DC4">
      <w:pPr>
        <w:spacing w:line="240" w:lineRule="auto"/>
        <w:ind w:left="567" w:firstLine="0"/>
        <w:rPr>
          <w:rFonts w:ascii="Times New Roman" w:hAnsi="Times New Roman" w:cs="Times New Roman"/>
        </w:rPr>
      </w:pPr>
      <w:r w:rsidRPr="00E869A4">
        <w:rPr>
          <w:rFonts w:ascii="Times New Roman" w:hAnsi="Times New Roman" w:cs="Times New Roman"/>
        </w:rPr>
        <w:t xml:space="preserve">I fail having these two (2) children. Because de boy [tearful voice] on drugs, although now de </w:t>
      </w:r>
      <w:r w:rsidR="00CB1549" w:rsidRPr="00E869A4">
        <w:rPr>
          <w:rFonts w:ascii="Times New Roman" w:hAnsi="Times New Roman" w:cs="Times New Roman"/>
        </w:rPr>
        <w:t>Muslim</w:t>
      </w:r>
      <w:r w:rsidRPr="00E869A4">
        <w:rPr>
          <w:rFonts w:ascii="Times New Roman" w:hAnsi="Times New Roman" w:cs="Times New Roman"/>
        </w:rPr>
        <w:t xml:space="preserve"> take him over an’ he getting over it</w:t>
      </w:r>
      <w:r w:rsidR="00FC6FE3" w:rsidRPr="00E869A4">
        <w:rPr>
          <w:rFonts w:ascii="Times New Roman" w:hAnsi="Times New Roman" w:cs="Times New Roman"/>
        </w:rPr>
        <w:t xml:space="preserve"> </w:t>
      </w:r>
      <w:r w:rsidRPr="00E869A4">
        <w:rPr>
          <w:rFonts w:ascii="Times New Roman" w:hAnsi="Times New Roman" w:cs="Times New Roman"/>
        </w:rPr>
        <w:t>... but Eleta being as ah GIRL!</w:t>
      </w:r>
      <w:r w:rsidR="00971601" w:rsidRPr="00E869A4">
        <w:rPr>
          <w:rFonts w:ascii="Times New Roman" w:hAnsi="Times New Roman" w:cs="Times New Roman"/>
        </w:rPr>
        <w:t xml:space="preserve"> .</w:t>
      </w:r>
      <w:r w:rsidRPr="00E869A4">
        <w:rPr>
          <w:rFonts w:ascii="Times New Roman" w:hAnsi="Times New Roman" w:cs="Times New Roman"/>
        </w:rPr>
        <w:t>.. she shoulda be more close to me!</w:t>
      </w:r>
      <w:r w:rsidR="00FC6FE3" w:rsidRPr="00E869A4">
        <w:rPr>
          <w:rFonts w:ascii="Times New Roman" w:hAnsi="Times New Roman" w:cs="Times New Roman"/>
        </w:rPr>
        <w:t xml:space="preserve"> </w:t>
      </w:r>
      <w:r w:rsidRPr="00E869A4">
        <w:rPr>
          <w:rFonts w:ascii="Times New Roman" w:hAnsi="Times New Roman" w:cs="Times New Roman"/>
        </w:rPr>
        <w:t xml:space="preserve">… [Eleta] shoulda be de one to be here </w:t>
      </w:r>
      <w:proofErr w:type="spellStart"/>
      <w:r w:rsidRPr="00E869A4">
        <w:rPr>
          <w:rFonts w:ascii="Times New Roman" w:hAnsi="Times New Roman" w:cs="Times New Roman"/>
        </w:rPr>
        <w:t>wit</w:t>
      </w:r>
      <w:proofErr w:type="spellEnd"/>
      <w:r w:rsidRPr="00E869A4">
        <w:rPr>
          <w:rFonts w:ascii="Times New Roman" w:hAnsi="Times New Roman" w:cs="Times New Roman"/>
        </w:rPr>
        <w:t>’ me!</w:t>
      </w:r>
      <w:r w:rsidR="000B0133" w:rsidRPr="00E869A4">
        <w:rPr>
          <w:rFonts w:ascii="Times New Roman" w:hAnsi="Times New Roman" w:cs="Times New Roman"/>
        </w:rPr>
        <w:t xml:space="preserve"> </w:t>
      </w:r>
    </w:p>
    <w:p w14:paraId="1EC14445" w14:textId="20FCF006" w:rsidR="00DD2837" w:rsidRPr="00E869A4" w:rsidRDefault="00DD2837" w:rsidP="00A35FF8">
      <w:pPr>
        <w:rPr>
          <w:rFonts w:ascii="Times New Roman" w:hAnsi="Times New Roman" w:cs="Times New Roman"/>
        </w:rPr>
      </w:pPr>
      <w:r w:rsidRPr="00E869A4">
        <w:rPr>
          <w:rFonts w:ascii="Times New Roman" w:hAnsi="Times New Roman" w:cs="Times New Roman"/>
        </w:rPr>
        <w:lastRenderedPageBreak/>
        <w:t>Geographical proximity had a strong impact on the decision to provide care. Most of the older persons</w:t>
      </w:r>
      <w:r w:rsidR="002271E0" w:rsidRPr="00E869A4">
        <w:rPr>
          <w:rStyle w:val="FootnoteReference"/>
          <w:rFonts w:ascii="Times New Roman" w:hAnsi="Times New Roman" w:cs="Times New Roman"/>
        </w:rPr>
        <w:footnoteReference w:id="62"/>
      </w:r>
      <w:r w:rsidRPr="00E869A4">
        <w:rPr>
          <w:rFonts w:ascii="Times New Roman" w:hAnsi="Times New Roman" w:cs="Times New Roman"/>
        </w:rPr>
        <w:t xml:space="preserve"> had a family carer living in the same household or compound. This is consistent with the findings of Rawlins (1996) who observed that older Caribbean people in countries like </w:t>
      </w:r>
      <w:r w:rsidR="008C76CE" w:rsidRPr="00E869A4">
        <w:rPr>
          <w:rFonts w:ascii="Times New Roman" w:eastAsiaTheme="majorEastAsia" w:hAnsi="Times New Roman" w:cs="Times New Roman"/>
          <w:bCs/>
          <w:szCs w:val="26"/>
        </w:rPr>
        <w:t>T&amp;T</w:t>
      </w:r>
      <w:r w:rsidRPr="00E869A4">
        <w:rPr>
          <w:rFonts w:ascii="Times New Roman" w:hAnsi="Times New Roman" w:cs="Times New Roman"/>
        </w:rPr>
        <w:t xml:space="preserve"> were very likely to live in multi-generational households</w:t>
      </w:r>
      <w:r w:rsidR="007B0A27" w:rsidRPr="00E869A4">
        <w:rPr>
          <w:rFonts w:ascii="Times New Roman" w:hAnsi="Times New Roman" w:cs="Times New Roman"/>
        </w:rPr>
        <w:t>,</w:t>
      </w:r>
      <w:r w:rsidRPr="00E869A4">
        <w:rPr>
          <w:rFonts w:ascii="Times New Roman" w:hAnsi="Times New Roman" w:cs="Times New Roman"/>
        </w:rPr>
        <w:t xml:space="preserve"> or in close proximity to their relatives in later life. However, this did not preclude family members living outside of their older relative’s community from accepting the role of primary care provider (e.g. Sheila, Adelina and Timothy).</w:t>
      </w:r>
    </w:p>
    <w:p w14:paraId="7764CC40" w14:textId="77777777" w:rsidR="002C42EF" w:rsidRPr="00E869A4" w:rsidRDefault="002C42EF" w:rsidP="00A35FF8">
      <w:pPr>
        <w:rPr>
          <w:rFonts w:ascii="Times New Roman" w:hAnsi="Times New Roman" w:cs="Times New Roman"/>
        </w:rPr>
      </w:pPr>
    </w:p>
    <w:p w14:paraId="70FCB480" w14:textId="35E4A4F0" w:rsidR="00DD2837" w:rsidRPr="00E869A4" w:rsidRDefault="00E9231D" w:rsidP="005C449C">
      <w:pPr>
        <w:pStyle w:val="Heading3"/>
      </w:pPr>
      <w:bookmarkStart w:id="296" w:name="_Toc40436524"/>
      <w:r w:rsidRPr="00E869A4">
        <w:t>6</w:t>
      </w:r>
      <w:r w:rsidR="00A12E93" w:rsidRPr="00E869A4">
        <w:t xml:space="preserve">.3.4    </w:t>
      </w:r>
      <w:r w:rsidR="00BE40EF">
        <w:t xml:space="preserve"> </w:t>
      </w:r>
      <w:r w:rsidR="007B0A27" w:rsidRPr="00E869A4">
        <w:t xml:space="preserve">Family </w:t>
      </w:r>
      <w:r w:rsidR="00DD2837" w:rsidRPr="00E869A4">
        <w:t>Composition</w:t>
      </w:r>
      <w:bookmarkEnd w:id="296"/>
    </w:p>
    <w:p w14:paraId="29A57914" w14:textId="77777777" w:rsidR="00FF38C6" w:rsidRPr="00E869A4" w:rsidRDefault="00FF38C6" w:rsidP="00A35FF8">
      <w:pPr>
        <w:rPr>
          <w:rFonts w:ascii="Times New Roman" w:hAnsi="Times New Roman" w:cs="Times New Roman"/>
        </w:rPr>
      </w:pPr>
    </w:p>
    <w:p w14:paraId="4C22C15E" w14:textId="059B7135" w:rsidR="00DD2837" w:rsidRPr="00E869A4" w:rsidRDefault="00DD2837" w:rsidP="00A35FF8">
      <w:pPr>
        <w:rPr>
          <w:rFonts w:ascii="Times New Roman" w:hAnsi="Times New Roman" w:cs="Times New Roman"/>
        </w:rPr>
      </w:pPr>
      <w:r w:rsidRPr="00E869A4">
        <w:rPr>
          <w:rFonts w:ascii="Times New Roman" w:hAnsi="Times New Roman" w:cs="Times New Roman"/>
        </w:rPr>
        <w:t>Being the only child</w:t>
      </w:r>
      <w:r w:rsidR="002271E0" w:rsidRPr="00E869A4">
        <w:rPr>
          <w:rStyle w:val="FootnoteReference"/>
          <w:rFonts w:ascii="Times New Roman" w:hAnsi="Times New Roman" w:cs="Times New Roman"/>
        </w:rPr>
        <w:footnoteReference w:id="63"/>
      </w:r>
      <w:r w:rsidRPr="00E869A4">
        <w:rPr>
          <w:rFonts w:ascii="Times New Roman" w:hAnsi="Times New Roman" w:cs="Times New Roman"/>
        </w:rPr>
        <w:t xml:space="preserve"> or only daughter</w:t>
      </w:r>
      <w:r w:rsidR="002271E0" w:rsidRPr="00E869A4">
        <w:rPr>
          <w:rStyle w:val="FootnoteReference"/>
          <w:rFonts w:ascii="Times New Roman" w:hAnsi="Times New Roman" w:cs="Times New Roman"/>
        </w:rPr>
        <w:footnoteReference w:id="64"/>
      </w:r>
      <w:r w:rsidRPr="00E869A4">
        <w:rPr>
          <w:rFonts w:ascii="Times New Roman" w:hAnsi="Times New Roman" w:cs="Times New Roman"/>
        </w:rPr>
        <w:t xml:space="preserve"> was another </w:t>
      </w:r>
      <w:r w:rsidR="002271E0" w:rsidRPr="00E869A4">
        <w:rPr>
          <w:rFonts w:ascii="Times New Roman" w:hAnsi="Times New Roman" w:cs="Times New Roman"/>
        </w:rPr>
        <w:t>important</w:t>
      </w:r>
      <w:r w:rsidRPr="00E869A4">
        <w:rPr>
          <w:rFonts w:ascii="Times New Roman" w:hAnsi="Times New Roman" w:cs="Times New Roman"/>
        </w:rPr>
        <w:t xml:space="preserve"> factor that </w:t>
      </w:r>
      <w:r w:rsidR="007B0A27" w:rsidRPr="00E869A4">
        <w:rPr>
          <w:rFonts w:ascii="Times New Roman" w:hAnsi="Times New Roman" w:cs="Times New Roman"/>
        </w:rPr>
        <w:t>influenced</w:t>
      </w:r>
      <w:r w:rsidRPr="00E869A4">
        <w:rPr>
          <w:rFonts w:ascii="Times New Roman" w:hAnsi="Times New Roman" w:cs="Times New Roman"/>
        </w:rPr>
        <w:t xml:space="preserve"> the decision of some of the participants </w:t>
      </w:r>
      <w:r w:rsidR="000B2915" w:rsidRPr="00E869A4">
        <w:rPr>
          <w:rFonts w:ascii="Times New Roman" w:hAnsi="Times New Roman" w:cs="Times New Roman"/>
        </w:rPr>
        <w:t xml:space="preserve">(i.e. Rebecca, Marian, Timothy) </w:t>
      </w:r>
      <w:r w:rsidRPr="00E869A4">
        <w:rPr>
          <w:rFonts w:ascii="Times New Roman" w:hAnsi="Times New Roman" w:cs="Times New Roman"/>
        </w:rPr>
        <w:t xml:space="preserve">to become the main family carer.  Marian and Timothy each survived an only sister and both of them became primary caregivers after their sibling’s death. Rebecca never had a sibling and was her mother’s closest relative. Ms. Kumar’s common-law husband had died prior to her needing care, and so Rebecca was the most likely candidate to be her caregiver after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suffered a heart attack. </w:t>
      </w:r>
    </w:p>
    <w:p w14:paraId="08C16359" w14:textId="77777777" w:rsidR="00491284" w:rsidRPr="00E869A4" w:rsidRDefault="00491284" w:rsidP="00A35FF8">
      <w:pPr>
        <w:rPr>
          <w:rFonts w:ascii="Times New Roman" w:hAnsi="Times New Roman" w:cs="Times New Roman"/>
        </w:rPr>
      </w:pPr>
    </w:p>
    <w:p w14:paraId="61B4FDA9" w14:textId="53263252" w:rsidR="00DD2837" w:rsidRPr="00E869A4" w:rsidRDefault="00DD2837" w:rsidP="00A35FF8">
      <w:pPr>
        <w:rPr>
          <w:rFonts w:ascii="Times New Roman" w:hAnsi="Times New Roman" w:cs="Times New Roman"/>
        </w:rPr>
      </w:pPr>
      <w:r w:rsidRPr="00E869A4">
        <w:rPr>
          <w:rFonts w:ascii="Times New Roman" w:hAnsi="Times New Roman" w:cs="Times New Roman"/>
        </w:rPr>
        <w:t>Both Sheila and Samantha were the only daughter</w:t>
      </w:r>
      <w:r w:rsidR="006B099D" w:rsidRPr="00E869A4">
        <w:rPr>
          <w:rFonts w:ascii="Times New Roman" w:hAnsi="Times New Roman" w:cs="Times New Roman"/>
        </w:rPr>
        <w:t>s</w:t>
      </w:r>
      <w:r w:rsidRPr="00E869A4">
        <w:rPr>
          <w:rFonts w:ascii="Times New Roman" w:hAnsi="Times New Roman" w:cs="Times New Roman"/>
        </w:rPr>
        <w:t xml:space="preserve"> born to their respective parents. As noted above, Samantha felt that as the only daughter, she was required to give care support to her parents. Sheila on the other hand was the only child that permanently resided in Trinidad. She had two brothers but one had died several years before Mother Freeda needed care, and her other brother (</w:t>
      </w:r>
      <w:r w:rsidR="0011568A" w:rsidRPr="00E869A4">
        <w:rPr>
          <w:rFonts w:ascii="Times New Roman" w:hAnsi="Times New Roman" w:cs="Times New Roman"/>
        </w:rPr>
        <w:t>Winston</w:t>
      </w:r>
      <w:r w:rsidRPr="00E869A4">
        <w:rPr>
          <w:rFonts w:ascii="Times New Roman" w:hAnsi="Times New Roman" w:cs="Times New Roman"/>
        </w:rPr>
        <w:t xml:space="preserve">) lived abroad. In Sheila’s case being the only girl, in addition to her geographical proximity to her </w:t>
      </w:r>
      <w:r w:rsidR="002C4D52" w:rsidRPr="00E869A4">
        <w:rPr>
          <w:rFonts w:ascii="Times New Roman" w:eastAsia="Times New Roman" w:hAnsi="Times New Roman" w:cs="Times New Roman"/>
        </w:rPr>
        <w:t>mother</w:t>
      </w:r>
      <w:r w:rsidR="00DD26E3">
        <w:rPr>
          <w:rFonts w:ascii="Times New Roman" w:eastAsia="Times New Roman" w:hAnsi="Times New Roman" w:cs="Times New Roman"/>
        </w:rPr>
        <w:t>,</w:t>
      </w:r>
      <w:r w:rsidRPr="00E869A4">
        <w:rPr>
          <w:rFonts w:ascii="Times New Roman" w:hAnsi="Times New Roman" w:cs="Times New Roman"/>
        </w:rPr>
        <w:t xml:space="preserve"> were the main factors that precipitated her role as a primary carer. </w:t>
      </w:r>
      <w:r w:rsidR="000B2915" w:rsidRPr="00E869A4">
        <w:rPr>
          <w:rFonts w:ascii="Times New Roman" w:hAnsi="Times New Roman" w:cs="Times New Roman"/>
        </w:rPr>
        <w:t xml:space="preserve">These findings provide support for the hierarchy of preference that proponents like Cantor (1991 &amp; 2000) as well as Masuy (2011) and Merrill (1997) have highlighted in their research on caregiver role acquisition. </w:t>
      </w:r>
      <w:r w:rsidR="00371EDA" w:rsidRPr="00E869A4">
        <w:rPr>
          <w:rFonts w:ascii="Times New Roman" w:hAnsi="Times New Roman" w:cs="Times New Roman"/>
        </w:rPr>
        <w:t xml:space="preserve">Additional evidence in support of the HCT is noted below. </w:t>
      </w:r>
    </w:p>
    <w:p w14:paraId="3BBF4AE2" w14:textId="77777777" w:rsidR="00A12E93" w:rsidRPr="00E869A4" w:rsidRDefault="00A12E93" w:rsidP="00AF764D"/>
    <w:p w14:paraId="52B70473" w14:textId="77777777" w:rsidR="00491284" w:rsidRPr="00E869A4" w:rsidRDefault="00491284">
      <w:pPr>
        <w:rPr>
          <w:b/>
          <w:i/>
          <w:u w:val="single"/>
        </w:rPr>
      </w:pPr>
      <w:r w:rsidRPr="00E869A4">
        <w:br w:type="page"/>
      </w:r>
    </w:p>
    <w:p w14:paraId="34A893F3" w14:textId="7E0CF8F0" w:rsidR="00DD2837" w:rsidRPr="00E869A4" w:rsidRDefault="00E9231D" w:rsidP="005C449C">
      <w:pPr>
        <w:pStyle w:val="Heading3"/>
      </w:pPr>
      <w:bookmarkStart w:id="297" w:name="_Toc40436525"/>
      <w:r w:rsidRPr="00E869A4">
        <w:lastRenderedPageBreak/>
        <w:t>6</w:t>
      </w:r>
      <w:r w:rsidR="00A12E93" w:rsidRPr="00E869A4">
        <w:t xml:space="preserve">.3.5     </w:t>
      </w:r>
      <w:r w:rsidR="00AC4E6B" w:rsidRPr="00E869A4">
        <w:t>Partner</w:t>
      </w:r>
      <w:r w:rsidR="00DD2837" w:rsidRPr="00E869A4">
        <w:t>ship Status</w:t>
      </w:r>
      <w:bookmarkEnd w:id="297"/>
      <w:r w:rsidR="00DD2837" w:rsidRPr="00E869A4">
        <w:t xml:space="preserve"> </w:t>
      </w:r>
    </w:p>
    <w:p w14:paraId="42408E92" w14:textId="77777777" w:rsidR="00FF38C6" w:rsidRPr="00E869A4" w:rsidRDefault="00FF38C6" w:rsidP="00A35FF8">
      <w:pPr>
        <w:rPr>
          <w:rFonts w:ascii="Times New Roman" w:hAnsi="Times New Roman" w:cs="Times New Roman"/>
        </w:rPr>
      </w:pPr>
    </w:p>
    <w:p w14:paraId="41AA40D8" w14:textId="1F0E2B61" w:rsidR="00DD2837" w:rsidRPr="00E869A4" w:rsidRDefault="00AC4E6B" w:rsidP="00A35FF8">
      <w:pPr>
        <w:rPr>
          <w:rFonts w:ascii="Times New Roman" w:hAnsi="Times New Roman" w:cs="Times New Roman"/>
        </w:rPr>
      </w:pPr>
      <w:r w:rsidRPr="00E869A4">
        <w:rPr>
          <w:rFonts w:ascii="Times New Roman" w:hAnsi="Times New Roman" w:cs="Times New Roman"/>
        </w:rPr>
        <w:t>Partner</w:t>
      </w:r>
      <w:r w:rsidR="00DD2837" w:rsidRPr="00E869A4">
        <w:rPr>
          <w:rFonts w:ascii="Times New Roman" w:hAnsi="Times New Roman" w:cs="Times New Roman"/>
        </w:rPr>
        <w:t>ship status of the older person also appeared to be another key factor in caregiver role acquisition. Most of the older cared-for persons</w:t>
      </w:r>
      <w:r w:rsidR="002271E0" w:rsidRPr="00E869A4">
        <w:rPr>
          <w:rStyle w:val="FootnoteReference"/>
          <w:rFonts w:ascii="Times New Roman" w:hAnsi="Times New Roman" w:cs="Times New Roman"/>
        </w:rPr>
        <w:footnoteReference w:id="65"/>
      </w:r>
      <w:r w:rsidR="00DD2837" w:rsidRPr="00E869A4">
        <w:rPr>
          <w:rFonts w:ascii="Times New Roman" w:hAnsi="Times New Roman" w:cs="Times New Roman"/>
        </w:rPr>
        <w:t xml:space="preserve"> were single</w:t>
      </w:r>
      <w:r w:rsidR="00DD2837" w:rsidRPr="00E869A4">
        <w:rPr>
          <w:rStyle w:val="FootnoteReference"/>
          <w:rFonts w:ascii="Times New Roman" w:hAnsi="Times New Roman" w:cs="Times New Roman"/>
        </w:rPr>
        <w:footnoteReference w:id="66"/>
      </w:r>
      <w:r w:rsidR="00DD2837" w:rsidRPr="00E869A4">
        <w:rPr>
          <w:rFonts w:ascii="Times New Roman" w:hAnsi="Times New Roman" w:cs="Times New Roman"/>
        </w:rPr>
        <w:t xml:space="preserve"> or widowed</w:t>
      </w:r>
      <w:r w:rsidR="00DD2837" w:rsidRPr="00E869A4">
        <w:rPr>
          <w:rStyle w:val="FootnoteReference"/>
          <w:rFonts w:ascii="Times New Roman" w:hAnsi="Times New Roman" w:cs="Times New Roman"/>
        </w:rPr>
        <w:footnoteReference w:id="67"/>
      </w:r>
      <w:r w:rsidR="00DD2837" w:rsidRPr="00E869A4">
        <w:rPr>
          <w:rFonts w:ascii="Times New Roman" w:hAnsi="Times New Roman" w:cs="Times New Roman"/>
        </w:rPr>
        <w:t xml:space="preserve">: only two older persons were married at the time of the interviews (Mr. Sanchez and Mrs. Flora). </w:t>
      </w:r>
      <w:r w:rsidRPr="00E869A4">
        <w:rPr>
          <w:rFonts w:ascii="Times New Roman" w:hAnsi="Times New Roman" w:cs="Times New Roman"/>
        </w:rPr>
        <w:t>As noted previously, t</w:t>
      </w:r>
      <w:r w:rsidR="00DD2837" w:rsidRPr="00E869A4">
        <w:rPr>
          <w:rFonts w:ascii="Times New Roman" w:hAnsi="Times New Roman" w:cs="Times New Roman"/>
        </w:rPr>
        <w:t xml:space="preserve">wo of the caregivers (Uncle Wilton and Sheila) observed that their older relative’s health declined significantly after they were widowed, and indicated that their care and support to their relative increased subsequently. </w:t>
      </w:r>
      <w:r w:rsidR="004D5C73" w:rsidRPr="00E869A4">
        <w:rPr>
          <w:rFonts w:ascii="Times New Roman" w:hAnsi="Times New Roman" w:cs="Times New Roman"/>
        </w:rPr>
        <w:t>Death of a spouse and the concomitant effects of grief and the loss of a partner who may have contributed to one’s overall wellness may have escalated the deterioration of the surviving spouse’s health. This in addition to the health challenges associated with the increasing age of the survivor seemed to have increased the need for care support from younger relatives. This is not to say that older persons that were still in a long term relationship were not in need of family care from other family members. As the case of Mr</w:t>
      </w:r>
      <w:r w:rsidR="00917D53">
        <w:rPr>
          <w:rFonts w:ascii="Times New Roman" w:hAnsi="Times New Roman" w:cs="Times New Roman"/>
        </w:rPr>
        <w:t>.</w:t>
      </w:r>
      <w:r w:rsidR="004D5C73" w:rsidRPr="00E869A4">
        <w:rPr>
          <w:rFonts w:ascii="Times New Roman" w:hAnsi="Times New Roman" w:cs="Times New Roman"/>
        </w:rPr>
        <w:t xml:space="preserve"> and Mrs. Flora and also Mr. Druman when his wife was still alive, older married couples often require the assistance of their adult children (usually daughters). </w:t>
      </w:r>
      <w:r w:rsidR="00384688" w:rsidRPr="00E869A4">
        <w:rPr>
          <w:rFonts w:ascii="Times New Roman" w:hAnsi="Times New Roman" w:cs="Times New Roman"/>
        </w:rPr>
        <w:t xml:space="preserve">Cantor (1979 cited in Tolkacheva et al. </w:t>
      </w:r>
      <w:r w:rsidR="004D5C73" w:rsidRPr="00E869A4">
        <w:rPr>
          <w:rFonts w:ascii="Times New Roman" w:hAnsi="Times New Roman" w:cs="Times New Roman"/>
        </w:rPr>
        <w:t>2010)</w:t>
      </w:r>
      <w:r w:rsidR="00384688" w:rsidRPr="00E869A4">
        <w:rPr>
          <w:rFonts w:ascii="Times New Roman" w:hAnsi="Times New Roman" w:cs="Times New Roman"/>
        </w:rPr>
        <w:t xml:space="preserve"> found a similar pattern in his research.</w:t>
      </w:r>
    </w:p>
    <w:p w14:paraId="24EB9244" w14:textId="77777777" w:rsidR="00E402E8" w:rsidRPr="00E869A4" w:rsidRDefault="00E402E8" w:rsidP="00DC70AF">
      <w:pPr>
        <w:rPr>
          <w:rFonts w:ascii="Times New Roman" w:hAnsi="Times New Roman" w:cs="Times New Roman"/>
        </w:rPr>
      </w:pPr>
    </w:p>
    <w:p w14:paraId="3046A5EF" w14:textId="02E6BBBA" w:rsidR="00654EF0" w:rsidRPr="00E869A4" w:rsidRDefault="00AC4E6B" w:rsidP="00DC70AF">
      <w:pPr>
        <w:rPr>
          <w:rFonts w:ascii="Times New Roman" w:hAnsi="Times New Roman" w:cs="Times New Roman"/>
        </w:rPr>
      </w:pPr>
      <w:r w:rsidRPr="00E869A4">
        <w:rPr>
          <w:rFonts w:ascii="Times New Roman" w:hAnsi="Times New Roman" w:cs="Times New Roman"/>
        </w:rPr>
        <w:t>The partner</w:t>
      </w:r>
      <w:r w:rsidR="00DD2837" w:rsidRPr="00E869A4">
        <w:rPr>
          <w:rFonts w:ascii="Times New Roman" w:hAnsi="Times New Roman" w:cs="Times New Roman"/>
        </w:rPr>
        <w:t>ship status of family caregivers participating in this study was diverse</w:t>
      </w:r>
      <w:r w:rsidR="002271E0" w:rsidRPr="00E869A4">
        <w:rPr>
          <w:rStyle w:val="FootnoteReference"/>
          <w:rFonts w:ascii="Times New Roman" w:hAnsi="Times New Roman" w:cs="Times New Roman"/>
        </w:rPr>
        <w:footnoteReference w:id="68"/>
      </w:r>
      <w:r w:rsidR="002271E0" w:rsidRPr="00E869A4">
        <w:rPr>
          <w:rFonts w:ascii="Times New Roman" w:hAnsi="Times New Roman" w:cs="Times New Roman"/>
        </w:rPr>
        <w:t xml:space="preserve"> </w:t>
      </w:r>
      <w:r w:rsidR="00DD2837" w:rsidRPr="00E869A4">
        <w:rPr>
          <w:rFonts w:ascii="Times New Roman" w:hAnsi="Times New Roman" w:cs="Times New Roman"/>
        </w:rPr>
        <w:t xml:space="preserve"> and seemed to have less of an impact on their decision to care than did the relationship status of their relative. The carer’s relationship status seemed to </w:t>
      </w:r>
      <w:r w:rsidRPr="00E869A4">
        <w:rPr>
          <w:rFonts w:ascii="Times New Roman" w:hAnsi="Times New Roman" w:cs="Times New Roman"/>
        </w:rPr>
        <w:t>have more of an impact on</w:t>
      </w:r>
      <w:r w:rsidR="00DD2837" w:rsidRPr="00E869A4">
        <w:rPr>
          <w:rFonts w:ascii="Times New Roman" w:hAnsi="Times New Roman" w:cs="Times New Roman"/>
        </w:rPr>
        <w:t xml:space="preserve"> the type of care support they provided</w:t>
      </w:r>
      <w:r w:rsidR="00426C02" w:rsidRPr="00E869A4">
        <w:rPr>
          <w:rFonts w:ascii="Times New Roman" w:hAnsi="Times New Roman" w:cs="Times New Roman"/>
        </w:rPr>
        <w:t>,</w:t>
      </w:r>
      <w:r w:rsidR="00DD2837" w:rsidRPr="00E869A4">
        <w:rPr>
          <w:rFonts w:ascii="Times New Roman" w:hAnsi="Times New Roman" w:cs="Times New Roman"/>
        </w:rPr>
        <w:t xml:space="preserve"> rather than their decision to provide care. </w:t>
      </w:r>
    </w:p>
    <w:p w14:paraId="305D6C60" w14:textId="77777777" w:rsidR="00AC4E6B" w:rsidRPr="00E869A4" w:rsidRDefault="00AC4E6B" w:rsidP="005C449C">
      <w:pPr>
        <w:pStyle w:val="Heading3"/>
        <w:rPr>
          <w:b w:val="0"/>
          <w:i w:val="0"/>
          <w:u w:val="none"/>
        </w:rPr>
      </w:pPr>
    </w:p>
    <w:p w14:paraId="6DF66131" w14:textId="66CD4057" w:rsidR="00DD2837" w:rsidRPr="00E869A4" w:rsidRDefault="00E9231D" w:rsidP="005C449C">
      <w:pPr>
        <w:pStyle w:val="Heading3"/>
      </w:pPr>
      <w:bookmarkStart w:id="298" w:name="_Toc40436526"/>
      <w:r w:rsidRPr="00E869A4">
        <w:t>6</w:t>
      </w:r>
      <w:r w:rsidR="00B960EB" w:rsidRPr="00E869A4">
        <w:t xml:space="preserve">.3.6     </w:t>
      </w:r>
      <w:r w:rsidR="00DD2837" w:rsidRPr="00E869A4">
        <w:t>Type of Filial Relationship</w:t>
      </w:r>
      <w:bookmarkEnd w:id="298"/>
    </w:p>
    <w:p w14:paraId="1FFB7CCE" w14:textId="77777777" w:rsidR="00FF38C6" w:rsidRPr="00E869A4" w:rsidRDefault="00FF38C6" w:rsidP="00A35FF8">
      <w:pPr>
        <w:rPr>
          <w:rFonts w:ascii="Times New Roman" w:hAnsi="Times New Roman" w:cs="Times New Roman"/>
        </w:rPr>
      </w:pPr>
    </w:p>
    <w:p w14:paraId="0DEFA2D0" w14:textId="49D96EA6" w:rsidR="00DD2837" w:rsidRPr="00E869A4" w:rsidRDefault="00DD2837" w:rsidP="00A35FF8">
      <w:pPr>
        <w:rPr>
          <w:rFonts w:ascii="Times New Roman" w:hAnsi="Times New Roman" w:cs="Times New Roman"/>
        </w:rPr>
      </w:pPr>
      <w:r w:rsidRPr="00E869A4">
        <w:rPr>
          <w:rFonts w:ascii="Times New Roman" w:hAnsi="Times New Roman" w:cs="Times New Roman"/>
        </w:rPr>
        <w:t>The type of filial relationship that existed between the cared-for person and their older relative was another important factor that led to required-care. An initial assessment of the interview data seemed to suggest that a hierarchy of preferences consistent with Cantor’s (1991</w:t>
      </w:r>
      <w:r w:rsidR="009E7EE5" w:rsidRPr="00E869A4">
        <w:rPr>
          <w:rFonts w:ascii="Times New Roman" w:hAnsi="Times New Roman" w:cs="Times New Roman"/>
        </w:rPr>
        <w:t xml:space="preserve"> &amp;</w:t>
      </w:r>
      <w:r w:rsidRPr="00E869A4">
        <w:rPr>
          <w:rFonts w:ascii="Times New Roman" w:hAnsi="Times New Roman" w:cs="Times New Roman"/>
        </w:rPr>
        <w:t xml:space="preserve"> 2000) postulations informed family caregiver role acquisition. For older persons who were married and in need of care, their spouses </w:t>
      </w:r>
      <w:r w:rsidRPr="00E869A4">
        <w:rPr>
          <w:rFonts w:ascii="Times New Roman" w:hAnsi="Times New Roman" w:cs="Times New Roman"/>
        </w:rPr>
        <w:lastRenderedPageBreak/>
        <w:t xml:space="preserve">(in all cases wives) were their primary carer in the first instance (e.g. Mrs. Flora and Mrs. Sanchez). When no spouse was available to provide care support, an adult daughter usually became the main carer (e.g. Marian and Sheila). </w:t>
      </w:r>
      <w:r w:rsidR="00F37247" w:rsidRPr="00E869A4">
        <w:rPr>
          <w:rFonts w:ascii="Times New Roman" w:hAnsi="Times New Roman" w:cs="Times New Roman"/>
        </w:rPr>
        <w:t>However</w:t>
      </w:r>
      <w:r w:rsidRPr="00E869A4">
        <w:rPr>
          <w:rFonts w:ascii="Times New Roman" w:hAnsi="Times New Roman" w:cs="Times New Roman"/>
        </w:rPr>
        <w:t>, if no daughter was available</w:t>
      </w:r>
      <w:r w:rsidR="00F37247" w:rsidRPr="00E869A4">
        <w:rPr>
          <w:rFonts w:ascii="Times New Roman" w:hAnsi="Times New Roman" w:cs="Times New Roman"/>
        </w:rPr>
        <w:t>,</w:t>
      </w:r>
      <w:r w:rsidRPr="00E869A4">
        <w:rPr>
          <w:rFonts w:ascii="Times New Roman" w:hAnsi="Times New Roman" w:cs="Times New Roman"/>
        </w:rPr>
        <w:t xml:space="preserve"> then a son seemed to be the next likely relative to accept responsibility as the principal caregiver (e.g. Timothy). Nieces, who, in the case of this study were also the </w:t>
      </w:r>
      <w:r w:rsidR="00F37247" w:rsidRPr="00E869A4">
        <w:rPr>
          <w:rFonts w:ascii="Times New Roman" w:hAnsi="Times New Roman" w:cs="Times New Roman"/>
        </w:rPr>
        <w:t>goddaughter</w:t>
      </w:r>
      <w:r w:rsidRPr="00E869A4">
        <w:rPr>
          <w:rFonts w:ascii="Times New Roman" w:hAnsi="Times New Roman" w:cs="Times New Roman"/>
        </w:rPr>
        <w:t xml:space="preserve"> of their older relative (e.g. Adelina and Tricia) were next in line to adopt the role of family carer if no other relative was available or willing to do so. Friends (e.g. Mr. Birch) became an integral part of care provision when family members were not available to provide care support. </w:t>
      </w:r>
      <w:r w:rsidR="00E67163" w:rsidRPr="00E869A4">
        <w:rPr>
          <w:rFonts w:ascii="Times New Roman" w:hAnsi="Times New Roman" w:cs="Times New Roman"/>
        </w:rPr>
        <w:t>Daughters-in-law</w:t>
      </w:r>
      <w:r w:rsidRPr="00E869A4">
        <w:rPr>
          <w:rFonts w:ascii="Times New Roman" w:hAnsi="Times New Roman" w:cs="Times New Roman"/>
        </w:rPr>
        <w:t xml:space="preserve"> (e.g. Kalima Khan and Patricia Druman) may or may not be involved in providing care. </w:t>
      </w:r>
    </w:p>
    <w:p w14:paraId="3D45ACFA" w14:textId="77777777" w:rsidR="00CB1549" w:rsidRPr="00E869A4" w:rsidRDefault="00CB1549" w:rsidP="00A35FF8">
      <w:pPr>
        <w:rPr>
          <w:rFonts w:ascii="Times New Roman" w:hAnsi="Times New Roman" w:cs="Times New Roman"/>
        </w:rPr>
      </w:pPr>
    </w:p>
    <w:p w14:paraId="3509BB21" w14:textId="1DD95967" w:rsidR="00DD2837" w:rsidRPr="00E869A4" w:rsidRDefault="005E42C2" w:rsidP="00A35FF8">
      <w:pPr>
        <w:rPr>
          <w:rFonts w:ascii="Times New Roman" w:hAnsi="Times New Roman" w:cs="Times New Roman"/>
        </w:rPr>
      </w:pPr>
      <w:r w:rsidRPr="00E869A4">
        <w:rPr>
          <w:rFonts w:ascii="Times New Roman" w:hAnsi="Times New Roman" w:cs="Times New Roman"/>
        </w:rPr>
        <w:t>I</w:t>
      </w:r>
      <w:r w:rsidR="00DD2837" w:rsidRPr="00E869A4">
        <w:rPr>
          <w:rFonts w:ascii="Times New Roman" w:hAnsi="Times New Roman" w:cs="Times New Roman"/>
        </w:rPr>
        <w:t xml:space="preserve">n the two cases in which an older widowed man had a daughter-in-law living in relatively close proximity (i.e. Mr. Khan and Mr. Druman), their </w:t>
      </w:r>
      <w:r w:rsidR="00E67163" w:rsidRPr="00E869A4">
        <w:rPr>
          <w:rFonts w:ascii="Times New Roman" w:hAnsi="Times New Roman" w:cs="Times New Roman"/>
        </w:rPr>
        <w:t>daughters-in-law</w:t>
      </w:r>
      <w:r w:rsidR="00DD2837" w:rsidRPr="00E869A4">
        <w:rPr>
          <w:rFonts w:ascii="Times New Roman" w:hAnsi="Times New Roman" w:cs="Times New Roman"/>
        </w:rPr>
        <w:t xml:space="preserve"> seemed disinclined to provide primary family care. According to Timothy, his wife did not provide much care support since she had her own health care needs to address</w:t>
      </w:r>
      <w:r w:rsidRPr="00E869A4">
        <w:rPr>
          <w:rFonts w:ascii="Times New Roman" w:hAnsi="Times New Roman" w:cs="Times New Roman"/>
        </w:rPr>
        <w:t>,</w:t>
      </w:r>
      <w:r w:rsidR="00DD2837" w:rsidRPr="00E869A4">
        <w:rPr>
          <w:rFonts w:ascii="Times New Roman" w:hAnsi="Times New Roman" w:cs="Times New Roman"/>
        </w:rPr>
        <w:t xml:space="preserve"> and she </w:t>
      </w:r>
      <w:r w:rsidRPr="00E869A4">
        <w:rPr>
          <w:rFonts w:ascii="Times New Roman" w:hAnsi="Times New Roman" w:cs="Times New Roman"/>
        </w:rPr>
        <w:t>was</w:t>
      </w:r>
      <w:r w:rsidR="00DD2837" w:rsidRPr="00E869A4">
        <w:rPr>
          <w:rFonts w:ascii="Times New Roman" w:hAnsi="Times New Roman" w:cs="Times New Roman"/>
        </w:rPr>
        <w:t xml:space="preserve"> intimately involved in caring for their </w:t>
      </w:r>
      <w:r w:rsidRPr="00E869A4">
        <w:rPr>
          <w:rFonts w:ascii="Times New Roman" w:hAnsi="Times New Roman" w:cs="Times New Roman"/>
        </w:rPr>
        <w:t>granddaughter</w:t>
      </w:r>
      <w:r w:rsidR="00DD2837" w:rsidRPr="00E869A4">
        <w:rPr>
          <w:rFonts w:ascii="Times New Roman" w:hAnsi="Times New Roman" w:cs="Times New Roman"/>
        </w:rPr>
        <w:t xml:space="preserve"> who lived with them from Monday to Friday. Interestingly, after Timothy’s sister (Hazel) died, her widowed husband David continued to provide financial support to help with the cost of paid caregivers for Mr. Druman: this arrangement continued many years after Hazel passed away</w:t>
      </w:r>
      <w:r w:rsidRPr="00E869A4">
        <w:rPr>
          <w:rFonts w:ascii="Times New Roman" w:hAnsi="Times New Roman" w:cs="Times New Roman"/>
        </w:rPr>
        <w:t xml:space="preserve"> and is indicative of the unique contributions that in-laws might provide to older persons.</w:t>
      </w:r>
      <w:r w:rsidR="00DD2837" w:rsidRPr="00E869A4">
        <w:rPr>
          <w:rFonts w:ascii="Times New Roman" w:hAnsi="Times New Roman" w:cs="Times New Roman"/>
        </w:rPr>
        <w:t xml:space="preserve"> </w:t>
      </w:r>
    </w:p>
    <w:p w14:paraId="515C9F54" w14:textId="77777777" w:rsidR="00CB1549" w:rsidRPr="00E869A4" w:rsidRDefault="00CB1549" w:rsidP="00A35FF8">
      <w:pPr>
        <w:rPr>
          <w:rFonts w:ascii="Times New Roman" w:hAnsi="Times New Roman" w:cs="Times New Roman"/>
        </w:rPr>
      </w:pPr>
    </w:p>
    <w:p w14:paraId="69593826" w14:textId="15612893" w:rsidR="00DD2837" w:rsidRPr="00E869A4" w:rsidRDefault="00DD2837" w:rsidP="00A35FF8">
      <w:pPr>
        <w:rPr>
          <w:rFonts w:ascii="Times New Roman" w:hAnsi="Times New Roman" w:cs="Times New Roman"/>
        </w:rPr>
      </w:pPr>
      <w:r w:rsidRPr="00E869A4">
        <w:rPr>
          <w:rFonts w:ascii="Times New Roman" w:hAnsi="Times New Roman" w:cs="Times New Roman"/>
        </w:rPr>
        <w:t>In the case of the Khan family, Mr. Khan was initially cared for by his daughter-in-law Kalima after his wife died. However, she began to display considerable reluctance to provid</w:t>
      </w:r>
      <w:r w:rsidR="00C270D6" w:rsidRPr="00E869A4">
        <w:rPr>
          <w:rFonts w:ascii="Times New Roman" w:hAnsi="Times New Roman" w:cs="Times New Roman"/>
        </w:rPr>
        <w:t>e</w:t>
      </w:r>
      <w:r w:rsidRPr="00E869A4">
        <w:rPr>
          <w:rFonts w:ascii="Times New Roman" w:hAnsi="Times New Roman" w:cs="Times New Roman"/>
        </w:rPr>
        <w:t xml:space="preserve"> primary care support to him. This was a main factor that contributed to his daughter (Samantha) leaving her job as a nurse to become his full-time </w:t>
      </w:r>
      <w:proofErr w:type="spellStart"/>
      <w:r w:rsidR="00C73B1F" w:rsidRPr="00E869A4">
        <w:rPr>
          <w:rFonts w:ascii="Times New Roman" w:hAnsi="Times New Roman" w:cs="Times New Roman"/>
        </w:rPr>
        <w:t>carer</w:t>
      </w:r>
      <w:proofErr w:type="spellEnd"/>
      <w:r w:rsidR="00C73B1F" w:rsidRPr="00E869A4">
        <w:rPr>
          <w:rFonts w:ascii="Times New Roman" w:hAnsi="Times New Roman" w:cs="Times New Roman"/>
        </w:rPr>
        <w:t>,</w:t>
      </w:r>
      <w:r w:rsidR="0074096F" w:rsidRPr="00E869A4">
        <w:rPr>
          <w:rFonts w:ascii="Times New Roman" w:hAnsi="Times New Roman" w:cs="Times New Roman"/>
        </w:rPr>
        <w:t xml:space="preserve"> </w:t>
      </w:r>
      <w:r w:rsidRPr="00E869A4">
        <w:rPr>
          <w:rFonts w:ascii="Times New Roman" w:hAnsi="Times New Roman" w:cs="Times New Roman"/>
        </w:rPr>
        <w:t xml:space="preserve">(other factors are discussed in the section on inspired care below). Mr. Khan and Samantha surmised that Kalima’s reluctance to provide care </w:t>
      </w:r>
      <w:r w:rsidR="0074096F" w:rsidRPr="00E869A4">
        <w:rPr>
          <w:rFonts w:ascii="Times New Roman" w:hAnsi="Times New Roman" w:cs="Times New Roman"/>
        </w:rPr>
        <w:t>might</w:t>
      </w:r>
      <w:r w:rsidRPr="00E869A4">
        <w:rPr>
          <w:rFonts w:ascii="Times New Roman" w:hAnsi="Times New Roman" w:cs="Times New Roman"/>
        </w:rPr>
        <w:t xml:space="preserve"> have been </w:t>
      </w:r>
      <w:r w:rsidR="0074096F" w:rsidRPr="00E869A4">
        <w:rPr>
          <w:rFonts w:ascii="Times New Roman" w:hAnsi="Times New Roman" w:cs="Times New Roman"/>
        </w:rPr>
        <w:t>because</w:t>
      </w:r>
      <w:r w:rsidRPr="00E869A4">
        <w:rPr>
          <w:rFonts w:ascii="Times New Roman" w:hAnsi="Times New Roman" w:cs="Times New Roman"/>
        </w:rPr>
        <w:t xml:space="preserve"> of the other care responsibilities she had, such as attending to her three primary-school aged children</w:t>
      </w:r>
      <w:r w:rsidR="00402838" w:rsidRPr="00E869A4">
        <w:rPr>
          <w:rFonts w:ascii="Times New Roman" w:hAnsi="Times New Roman" w:cs="Times New Roman"/>
        </w:rPr>
        <w:t>. According to Samantha,</w:t>
      </w:r>
    </w:p>
    <w:p w14:paraId="215A043C" w14:textId="77777777" w:rsidR="00402838" w:rsidRPr="00E869A4" w:rsidRDefault="00402838" w:rsidP="00E2225C">
      <w:pPr>
        <w:spacing w:line="240" w:lineRule="auto"/>
        <w:rPr>
          <w:rFonts w:ascii="Times New Roman" w:hAnsi="Times New Roman" w:cs="Times New Roman"/>
        </w:rPr>
      </w:pPr>
    </w:p>
    <w:p w14:paraId="11478754" w14:textId="13DD27BC" w:rsidR="00DD2837" w:rsidRPr="00E869A4" w:rsidRDefault="00DD2837" w:rsidP="00402838">
      <w:pPr>
        <w:spacing w:line="240" w:lineRule="auto"/>
        <w:ind w:left="567" w:firstLine="0"/>
        <w:rPr>
          <w:rFonts w:ascii="Times New Roman" w:hAnsi="Times New Roman" w:cs="Times New Roman"/>
        </w:rPr>
      </w:pPr>
      <w:r w:rsidRPr="00E869A4">
        <w:rPr>
          <w:rFonts w:ascii="Times New Roman" w:hAnsi="Times New Roman" w:cs="Times New Roman"/>
        </w:rPr>
        <w:t>[Kalima] started to … say things</w:t>
      </w:r>
      <w:r w:rsidR="00B706C1" w:rsidRPr="00E869A4">
        <w:rPr>
          <w:rFonts w:ascii="Times New Roman" w:hAnsi="Times New Roman" w:cs="Times New Roman"/>
        </w:rPr>
        <w:t xml:space="preserve"> </w:t>
      </w:r>
      <w:r w:rsidRPr="00E869A4">
        <w:rPr>
          <w:rFonts w:ascii="Times New Roman" w:hAnsi="Times New Roman" w:cs="Times New Roman"/>
        </w:rPr>
        <w:t>… which was when I took the decision … to leave the job and see about him. ‘Cause it was affecting him and it was also affecting her family life: she was becoming a bit snappy.  So I [thought] ...</w:t>
      </w:r>
      <w:r w:rsidR="00B706C1" w:rsidRPr="00E869A4">
        <w:rPr>
          <w:rFonts w:ascii="Times New Roman" w:hAnsi="Times New Roman" w:cs="Times New Roman"/>
        </w:rPr>
        <w:t xml:space="preserve"> </w:t>
      </w:r>
      <w:r w:rsidRPr="00E869A4">
        <w:rPr>
          <w:rFonts w:ascii="Times New Roman" w:hAnsi="Times New Roman" w:cs="Times New Roman"/>
        </w:rPr>
        <w:t>it would have been best for everybody [that I took care of him], which it was</w:t>
      </w:r>
      <w:r w:rsidR="00B706C1" w:rsidRPr="00E869A4">
        <w:rPr>
          <w:rFonts w:ascii="Times New Roman" w:hAnsi="Times New Roman" w:cs="Times New Roman"/>
        </w:rPr>
        <w:t xml:space="preserve"> </w:t>
      </w:r>
      <w:r w:rsidR="00AC43FB" w:rsidRPr="00E869A4">
        <w:rPr>
          <w:rFonts w:ascii="Times New Roman" w:hAnsi="Times New Roman" w:cs="Times New Roman"/>
        </w:rPr>
        <w:t>…</w:t>
      </w:r>
      <w:r w:rsidRPr="00E869A4">
        <w:rPr>
          <w:rFonts w:ascii="Times New Roman" w:hAnsi="Times New Roman" w:cs="Times New Roman"/>
        </w:rPr>
        <w:t xml:space="preserve"> Then knowing that my sister-in-law like she was singularly getting tired of being here with him</w:t>
      </w:r>
      <w:r w:rsidR="00B706C1" w:rsidRPr="00E869A4">
        <w:rPr>
          <w:rFonts w:ascii="Times New Roman" w:hAnsi="Times New Roman" w:cs="Times New Roman"/>
        </w:rPr>
        <w:t xml:space="preserve"> </w:t>
      </w:r>
      <w:r w:rsidRPr="00E869A4">
        <w:rPr>
          <w:rFonts w:ascii="Times New Roman" w:hAnsi="Times New Roman" w:cs="Times New Roman"/>
        </w:rPr>
        <w:t>...</w:t>
      </w:r>
      <w:r w:rsidR="00B706C1" w:rsidRPr="00E869A4">
        <w:rPr>
          <w:rFonts w:ascii="Times New Roman" w:hAnsi="Times New Roman" w:cs="Times New Roman"/>
        </w:rPr>
        <w:t xml:space="preserve"> </w:t>
      </w:r>
      <w:r w:rsidRPr="00E869A4">
        <w:rPr>
          <w:rFonts w:ascii="Times New Roman" w:hAnsi="Times New Roman" w:cs="Times New Roman"/>
        </w:rPr>
        <w:t xml:space="preserve">although she didn’t really have anything to do, just to be there and look out for him, and he </w:t>
      </w:r>
      <w:r w:rsidRPr="00E869A4">
        <w:rPr>
          <w:rFonts w:ascii="Times New Roman" w:hAnsi="Times New Roman" w:cs="Times New Roman"/>
        </w:rPr>
        <w:lastRenderedPageBreak/>
        <w:t>was starting to pick up on it, knowing that she had a reluctance</w:t>
      </w:r>
      <w:r w:rsidR="00B706C1" w:rsidRPr="00E869A4">
        <w:rPr>
          <w:rFonts w:ascii="Times New Roman" w:hAnsi="Times New Roman" w:cs="Times New Roman"/>
        </w:rPr>
        <w:t xml:space="preserve"> </w:t>
      </w:r>
      <w:r w:rsidRPr="00E869A4">
        <w:rPr>
          <w:rFonts w:ascii="Times New Roman" w:hAnsi="Times New Roman" w:cs="Times New Roman"/>
        </w:rPr>
        <w:t xml:space="preserve">... </w:t>
      </w:r>
      <w:r w:rsidR="00A6180F" w:rsidRPr="00E869A4">
        <w:rPr>
          <w:rFonts w:ascii="Times New Roman" w:hAnsi="Times New Roman" w:cs="Times New Roman"/>
        </w:rPr>
        <w:t>s</w:t>
      </w:r>
      <w:r w:rsidRPr="00E869A4">
        <w:rPr>
          <w:rFonts w:ascii="Times New Roman" w:hAnsi="Times New Roman" w:cs="Times New Roman"/>
        </w:rPr>
        <w:t>o all those things I considered ...</w:t>
      </w:r>
      <w:r w:rsidR="00B706C1" w:rsidRPr="00E869A4">
        <w:rPr>
          <w:rFonts w:ascii="Times New Roman" w:hAnsi="Times New Roman" w:cs="Times New Roman"/>
        </w:rPr>
        <w:t xml:space="preserve"> </w:t>
      </w:r>
      <w:r w:rsidRPr="00E869A4">
        <w:rPr>
          <w:rFonts w:ascii="Times New Roman" w:hAnsi="Times New Roman" w:cs="Times New Roman"/>
        </w:rPr>
        <w:t>But … she still comes and helps</w:t>
      </w:r>
      <w:r w:rsidR="00402838" w:rsidRPr="00E869A4">
        <w:rPr>
          <w:rFonts w:ascii="Times New Roman" w:hAnsi="Times New Roman" w:cs="Times New Roman"/>
        </w:rPr>
        <w:t>.</w:t>
      </w:r>
      <w:r w:rsidR="00C83F3A" w:rsidRPr="00E869A4">
        <w:rPr>
          <w:rFonts w:ascii="Times New Roman" w:hAnsi="Times New Roman" w:cs="Times New Roman"/>
        </w:rPr>
        <w:t>”</w:t>
      </w:r>
      <w:r w:rsidR="000B0133" w:rsidRPr="00E869A4">
        <w:rPr>
          <w:rFonts w:ascii="Times New Roman" w:hAnsi="Times New Roman" w:cs="Times New Roman"/>
        </w:rPr>
        <w:t xml:space="preserve"> </w:t>
      </w:r>
    </w:p>
    <w:p w14:paraId="001F615C" w14:textId="77777777" w:rsidR="00A33AF2" w:rsidRPr="00E869A4" w:rsidRDefault="00A33AF2" w:rsidP="00E2225C">
      <w:pPr>
        <w:spacing w:line="240" w:lineRule="auto"/>
        <w:rPr>
          <w:rFonts w:ascii="Times New Roman" w:hAnsi="Times New Roman" w:cs="Times New Roman"/>
        </w:rPr>
      </w:pPr>
    </w:p>
    <w:p w14:paraId="4EE6B09B" w14:textId="140AB8A2" w:rsidR="00A33AF2" w:rsidRPr="00E869A4" w:rsidRDefault="00DD2837" w:rsidP="00D821F1">
      <w:pPr>
        <w:ind w:firstLine="0"/>
        <w:rPr>
          <w:rFonts w:ascii="Times New Roman" w:hAnsi="Times New Roman" w:cs="Times New Roman"/>
        </w:rPr>
      </w:pPr>
      <w:r w:rsidRPr="00E869A4">
        <w:rPr>
          <w:rFonts w:ascii="Times New Roman" w:hAnsi="Times New Roman" w:cs="Times New Roman"/>
        </w:rPr>
        <w:t xml:space="preserve">Kalima’s unwillingness to provide primary care is consistent with the findings of Merrill who found that </w:t>
      </w:r>
      <w:r w:rsidR="00E67163" w:rsidRPr="00E869A4">
        <w:rPr>
          <w:rFonts w:ascii="Times New Roman" w:hAnsi="Times New Roman" w:cs="Times New Roman"/>
        </w:rPr>
        <w:t>daughters-in-law</w:t>
      </w:r>
      <w:r w:rsidRPr="00E869A4">
        <w:rPr>
          <w:rFonts w:ascii="Times New Roman" w:hAnsi="Times New Roman" w:cs="Times New Roman"/>
        </w:rPr>
        <w:t xml:space="preserve"> seemed more willing to provide “back-up care to daughters” </w:t>
      </w:r>
      <w:r w:rsidR="00A30975" w:rsidRPr="00E869A4">
        <w:rPr>
          <w:rFonts w:ascii="Times New Roman" w:hAnsi="Times New Roman" w:cs="Times New Roman"/>
        </w:rPr>
        <w:t xml:space="preserve">(Merrill 1997, p. 114) </w:t>
      </w:r>
      <w:r w:rsidRPr="00E869A4">
        <w:rPr>
          <w:rFonts w:ascii="Times New Roman" w:hAnsi="Times New Roman" w:cs="Times New Roman"/>
        </w:rPr>
        <w:t xml:space="preserve">rather than primary care support. It is also reflective of Grahame’s (2006) findings on the shifting role of East Indian </w:t>
      </w:r>
      <w:r w:rsidR="00E67163" w:rsidRPr="00E869A4">
        <w:rPr>
          <w:rFonts w:ascii="Times New Roman" w:hAnsi="Times New Roman" w:cs="Times New Roman"/>
        </w:rPr>
        <w:t>daughters-in-law</w:t>
      </w:r>
      <w:r w:rsidRPr="00E869A4">
        <w:rPr>
          <w:rFonts w:ascii="Times New Roman" w:hAnsi="Times New Roman" w:cs="Times New Roman"/>
        </w:rPr>
        <w:t xml:space="preserve"> in the provision of elder care in </w:t>
      </w:r>
      <w:r w:rsidR="008C76CE" w:rsidRPr="00E869A4">
        <w:rPr>
          <w:rFonts w:ascii="Times New Roman" w:eastAsiaTheme="majorEastAsia" w:hAnsi="Times New Roman" w:cs="Times New Roman"/>
          <w:bCs/>
          <w:szCs w:val="26"/>
        </w:rPr>
        <w:t>T&amp;T</w:t>
      </w:r>
      <w:r w:rsidRPr="00E869A4">
        <w:rPr>
          <w:rFonts w:ascii="Times New Roman" w:hAnsi="Times New Roman" w:cs="Times New Roman"/>
        </w:rPr>
        <w:t xml:space="preserve">. </w:t>
      </w:r>
    </w:p>
    <w:p w14:paraId="03120E45" w14:textId="77777777" w:rsidR="00A33AF2" w:rsidRPr="00E869A4" w:rsidRDefault="00A33AF2" w:rsidP="00A35FF8">
      <w:pPr>
        <w:rPr>
          <w:rFonts w:ascii="Times New Roman" w:hAnsi="Times New Roman" w:cs="Times New Roman"/>
        </w:rPr>
      </w:pPr>
    </w:p>
    <w:p w14:paraId="66BA1467" w14:textId="26CB9610" w:rsidR="00DD2837" w:rsidRPr="00E869A4" w:rsidRDefault="00BD14C2" w:rsidP="00A35FF8">
      <w:pPr>
        <w:rPr>
          <w:rFonts w:ascii="Times New Roman" w:hAnsi="Times New Roman" w:cs="Times New Roman"/>
        </w:rPr>
      </w:pPr>
      <w:r w:rsidRPr="00E869A4">
        <w:rPr>
          <w:rFonts w:ascii="Times New Roman" w:hAnsi="Times New Roman" w:cs="Times New Roman"/>
        </w:rPr>
        <w:t>Although</w:t>
      </w:r>
      <w:r w:rsidR="00DD2837" w:rsidRPr="00E869A4">
        <w:rPr>
          <w:rFonts w:ascii="Times New Roman" w:hAnsi="Times New Roman" w:cs="Times New Roman"/>
        </w:rPr>
        <w:t xml:space="preserve"> Kalima lived on the same compound as Mr. Khan, she did not feel compelled to continue to provide care. Mr. Khan’s other </w:t>
      </w:r>
      <w:r w:rsidR="00E67163" w:rsidRPr="00E869A4">
        <w:rPr>
          <w:rFonts w:ascii="Times New Roman" w:hAnsi="Times New Roman" w:cs="Times New Roman"/>
        </w:rPr>
        <w:t>daughters-in-law</w:t>
      </w:r>
      <w:r w:rsidR="00DD2837" w:rsidRPr="00E869A4">
        <w:rPr>
          <w:rFonts w:ascii="Times New Roman" w:hAnsi="Times New Roman" w:cs="Times New Roman"/>
        </w:rPr>
        <w:t xml:space="preserve"> showed a similar reluctance. One even lived about a </w:t>
      </w:r>
      <w:r w:rsidRPr="00E869A4">
        <w:rPr>
          <w:rFonts w:ascii="Times New Roman" w:hAnsi="Times New Roman" w:cs="Times New Roman"/>
        </w:rPr>
        <w:t>five-minute</w:t>
      </w:r>
      <w:r w:rsidR="00DD2837" w:rsidRPr="00E869A4">
        <w:rPr>
          <w:rFonts w:ascii="Times New Roman" w:hAnsi="Times New Roman" w:cs="Times New Roman"/>
        </w:rPr>
        <w:t xml:space="preserve"> drive away from </w:t>
      </w:r>
      <w:r w:rsidR="007B4E03" w:rsidRPr="00E869A4">
        <w:rPr>
          <w:rFonts w:ascii="Times New Roman" w:hAnsi="Times New Roman" w:cs="Times New Roman"/>
        </w:rPr>
        <w:t>him</w:t>
      </w:r>
      <w:r w:rsidR="00DD2837" w:rsidRPr="00E869A4">
        <w:rPr>
          <w:rFonts w:ascii="Times New Roman" w:hAnsi="Times New Roman" w:cs="Times New Roman"/>
        </w:rPr>
        <w:t xml:space="preserve"> but she and his son rarely visited. Parveen, Morrison and Robinson (2011) also found similar re</w:t>
      </w:r>
      <w:r w:rsidRPr="00E869A4">
        <w:rPr>
          <w:rFonts w:ascii="Times New Roman" w:hAnsi="Times New Roman" w:cs="Times New Roman"/>
        </w:rPr>
        <w:t>sults in their study of British-</w:t>
      </w:r>
      <w:r w:rsidR="00DD2837" w:rsidRPr="00E869A4">
        <w:rPr>
          <w:rFonts w:ascii="Times New Roman" w:hAnsi="Times New Roman" w:cs="Times New Roman"/>
        </w:rPr>
        <w:t xml:space="preserve">Indian and British-Pakistani daughters and </w:t>
      </w:r>
      <w:r w:rsidR="00E67163" w:rsidRPr="00E869A4">
        <w:rPr>
          <w:rFonts w:ascii="Times New Roman" w:hAnsi="Times New Roman" w:cs="Times New Roman"/>
        </w:rPr>
        <w:t>daughters-in-law</w:t>
      </w:r>
      <w:r w:rsidR="002E6BD0" w:rsidRPr="00E869A4">
        <w:rPr>
          <w:rFonts w:ascii="Times New Roman" w:hAnsi="Times New Roman" w:cs="Times New Roman"/>
        </w:rPr>
        <w:t>,</w:t>
      </w:r>
      <w:r w:rsidR="00DD2837" w:rsidRPr="00E869A4">
        <w:rPr>
          <w:rFonts w:ascii="Times New Roman" w:hAnsi="Times New Roman" w:cs="Times New Roman"/>
        </w:rPr>
        <w:t xml:space="preserve"> in that there was disagreement over whose role it was to provide family elder care. One of the cases in that study close</w:t>
      </w:r>
      <w:r w:rsidR="002E6BD0" w:rsidRPr="00E869A4">
        <w:rPr>
          <w:rFonts w:ascii="Times New Roman" w:hAnsi="Times New Roman" w:cs="Times New Roman"/>
        </w:rPr>
        <w:t xml:space="preserve">ly resembled that of the Khan’s, as </w:t>
      </w:r>
      <w:r w:rsidR="00DD2837" w:rsidRPr="00E869A4">
        <w:rPr>
          <w:rFonts w:ascii="Times New Roman" w:hAnsi="Times New Roman" w:cs="Times New Roman"/>
        </w:rPr>
        <w:t>the daughter-in-law did not work outside the family home</w:t>
      </w:r>
      <w:r w:rsidR="002E6BD0" w:rsidRPr="00E869A4">
        <w:rPr>
          <w:rFonts w:ascii="Times New Roman" w:hAnsi="Times New Roman" w:cs="Times New Roman"/>
        </w:rPr>
        <w:t>,</w:t>
      </w:r>
      <w:r w:rsidR="00DD2837" w:rsidRPr="00E869A4">
        <w:rPr>
          <w:rFonts w:ascii="Times New Roman" w:hAnsi="Times New Roman" w:cs="Times New Roman"/>
        </w:rPr>
        <w:t xml:space="preserve"> </w:t>
      </w:r>
      <w:r w:rsidR="002E6BD0" w:rsidRPr="00E869A4">
        <w:rPr>
          <w:rFonts w:ascii="Times New Roman" w:hAnsi="Times New Roman" w:cs="Times New Roman"/>
        </w:rPr>
        <w:t>yet she</w:t>
      </w:r>
      <w:r w:rsidR="00DD2837" w:rsidRPr="00E869A4">
        <w:rPr>
          <w:rFonts w:ascii="Times New Roman" w:hAnsi="Times New Roman" w:cs="Times New Roman"/>
        </w:rPr>
        <w:t xml:space="preserve"> was unwilling to assist the daughter who had to take time off work to perform care duties</w:t>
      </w:r>
      <w:r w:rsidR="002E6BD0" w:rsidRPr="00E869A4">
        <w:rPr>
          <w:rFonts w:ascii="Times New Roman" w:hAnsi="Times New Roman" w:cs="Times New Roman"/>
        </w:rPr>
        <w:t>,</w:t>
      </w:r>
      <w:r w:rsidR="00DD2837" w:rsidRPr="00E869A4">
        <w:rPr>
          <w:rFonts w:ascii="Times New Roman" w:hAnsi="Times New Roman" w:cs="Times New Roman"/>
        </w:rPr>
        <w:t xml:space="preserve"> such as taking her parents to medical appointments. </w:t>
      </w:r>
    </w:p>
    <w:p w14:paraId="0BAD9B20" w14:textId="77777777" w:rsidR="00C473A3" w:rsidRPr="00E869A4" w:rsidRDefault="00C473A3" w:rsidP="00AF764D">
      <w:pPr>
        <w:rPr>
          <w:b/>
          <w:i/>
          <w:u w:val="single"/>
        </w:rPr>
      </w:pPr>
    </w:p>
    <w:p w14:paraId="1E24CDBA" w14:textId="4EE8ACAF" w:rsidR="00DD2837" w:rsidRPr="00E869A4" w:rsidRDefault="00E9231D" w:rsidP="005C449C">
      <w:pPr>
        <w:pStyle w:val="Heading3"/>
      </w:pPr>
      <w:bookmarkStart w:id="299" w:name="_Toc40436527"/>
      <w:r w:rsidRPr="00E869A4">
        <w:t>6</w:t>
      </w:r>
      <w:r w:rsidR="00B960EB" w:rsidRPr="00E869A4">
        <w:t xml:space="preserve">.3.7     </w:t>
      </w:r>
      <w:r w:rsidR="00DD2837" w:rsidRPr="00E869A4">
        <w:t>Filial Responsibility</w:t>
      </w:r>
      <w:bookmarkEnd w:id="299"/>
    </w:p>
    <w:p w14:paraId="04F52DC5" w14:textId="77777777" w:rsidR="00CB4659" w:rsidRPr="00E869A4" w:rsidRDefault="00CB4659" w:rsidP="00A35FF8">
      <w:pPr>
        <w:rPr>
          <w:rFonts w:ascii="Times New Roman" w:hAnsi="Times New Roman" w:cs="Times New Roman"/>
        </w:rPr>
      </w:pPr>
    </w:p>
    <w:p w14:paraId="4CE97FD6" w14:textId="0DDFE254" w:rsidR="00DD2837" w:rsidRPr="00E869A4" w:rsidRDefault="00DD2837" w:rsidP="00A35FF8">
      <w:pPr>
        <w:rPr>
          <w:rFonts w:ascii="Times New Roman" w:hAnsi="Times New Roman" w:cs="Times New Roman"/>
        </w:rPr>
      </w:pPr>
      <w:r w:rsidRPr="00E869A4">
        <w:rPr>
          <w:rFonts w:ascii="Times New Roman" w:hAnsi="Times New Roman" w:cs="Times New Roman"/>
        </w:rPr>
        <w:t>Filial responsibility also emerged as a form of required-care in the contributions of some of the participants.  Rebecca Kumar for example was motivated to care for her mother by a sense of filial responsibility as well as a sense of duty</w:t>
      </w:r>
      <w:r w:rsidR="00567322" w:rsidRPr="00E869A4">
        <w:rPr>
          <w:rFonts w:ascii="Times New Roman" w:hAnsi="Times New Roman" w:cs="Times New Roman"/>
        </w:rPr>
        <w:t>:</w:t>
      </w:r>
      <w:r w:rsidRPr="00E869A4">
        <w:rPr>
          <w:rFonts w:ascii="Times New Roman" w:hAnsi="Times New Roman" w:cs="Times New Roman"/>
        </w:rPr>
        <w:t xml:space="preserve"> </w:t>
      </w:r>
    </w:p>
    <w:p w14:paraId="34DA0118" w14:textId="77777777" w:rsidR="00A33AF2" w:rsidRPr="00E869A4" w:rsidRDefault="00A33AF2" w:rsidP="00AC43FB">
      <w:pPr>
        <w:spacing w:line="240" w:lineRule="auto"/>
        <w:rPr>
          <w:rFonts w:ascii="Times New Roman" w:hAnsi="Times New Roman" w:cs="Times New Roman"/>
        </w:rPr>
      </w:pPr>
    </w:p>
    <w:p w14:paraId="2A68D315" w14:textId="63F73E31" w:rsidR="00DD2837" w:rsidRPr="00E869A4" w:rsidRDefault="00DD2837" w:rsidP="00D821F1">
      <w:pPr>
        <w:spacing w:line="240" w:lineRule="auto"/>
        <w:ind w:left="567" w:firstLine="0"/>
        <w:rPr>
          <w:rFonts w:ascii="Times New Roman" w:hAnsi="Times New Roman" w:cs="Times New Roman"/>
        </w:rPr>
      </w:pPr>
      <w:r w:rsidRPr="00E869A4">
        <w:rPr>
          <w:rFonts w:ascii="Times New Roman" w:hAnsi="Times New Roman" w:cs="Times New Roman"/>
        </w:rPr>
        <w:t>Why do I look after my mum?</w:t>
      </w:r>
      <w:r w:rsidR="000D5741" w:rsidRPr="00E869A4">
        <w:rPr>
          <w:rFonts w:ascii="Times New Roman" w:hAnsi="Times New Roman" w:cs="Times New Roman"/>
        </w:rPr>
        <w:t xml:space="preserve"> </w:t>
      </w:r>
      <w:r w:rsidRPr="00E869A4">
        <w:rPr>
          <w:rFonts w:ascii="Times New Roman" w:hAnsi="Times New Roman" w:cs="Times New Roman"/>
        </w:rPr>
        <w:t>… She’s my mother</w:t>
      </w:r>
      <w:r w:rsidR="000B0133" w:rsidRPr="00E869A4">
        <w:rPr>
          <w:rFonts w:ascii="Times New Roman" w:hAnsi="Times New Roman" w:cs="Times New Roman"/>
        </w:rPr>
        <w:t xml:space="preserve"> </w:t>
      </w:r>
      <w:r w:rsidRPr="00E869A4">
        <w:rPr>
          <w:rFonts w:ascii="Times New Roman" w:hAnsi="Times New Roman" w:cs="Times New Roman"/>
        </w:rPr>
        <w:t>… Nobody can take de place of a mother</w:t>
      </w:r>
      <w:r w:rsidR="000B0133" w:rsidRPr="00E869A4">
        <w:rPr>
          <w:rFonts w:ascii="Times New Roman" w:hAnsi="Times New Roman" w:cs="Times New Roman"/>
        </w:rPr>
        <w:t xml:space="preserve"> </w:t>
      </w:r>
      <w:r w:rsidRPr="00E869A4">
        <w:rPr>
          <w:rFonts w:ascii="Times New Roman" w:hAnsi="Times New Roman" w:cs="Times New Roman"/>
        </w:rPr>
        <w:t xml:space="preserve">… she’s the one who brought me into the world, she looked after me, and I think is only fair now that I  give her back [t]hat soughta care. So </w:t>
      </w:r>
      <w:r w:rsidR="00A30975" w:rsidRPr="00E869A4">
        <w:rPr>
          <w:rFonts w:ascii="Times New Roman" w:hAnsi="Times New Roman" w:cs="Times New Roman"/>
        </w:rPr>
        <w:t xml:space="preserve">it’s </w:t>
      </w:r>
      <w:proofErr w:type="spellStart"/>
      <w:r w:rsidR="00A30975" w:rsidRPr="00E869A4">
        <w:rPr>
          <w:rFonts w:ascii="Times New Roman" w:hAnsi="Times New Roman" w:cs="Times New Roman"/>
        </w:rPr>
        <w:t>ah</w:t>
      </w:r>
      <w:proofErr w:type="spellEnd"/>
      <w:r w:rsidR="00A30975" w:rsidRPr="00E869A4">
        <w:rPr>
          <w:rFonts w:ascii="Times New Roman" w:hAnsi="Times New Roman" w:cs="Times New Roman"/>
        </w:rPr>
        <w:t xml:space="preserve"> matter of being dutiful.</w:t>
      </w:r>
    </w:p>
    <w:p w14:paraId="5AA8D65B" w14:textId="77777777" w:rsidR="00D821F1" w:rsidRPr="00E869A4" w:rsidRDefault="00D821F1" w:rsidP="00E2225C">
      <w:pPr>
        <w:spacing w:line="240" w:lineRule="auto"/>
        <w:rPr>
          <w:rFonts w:ascii="Times New Roman" w:hAnsi="Times New Roman" w:cs="Times New Roman"/>
        </w:rPr>
      </w:pPr>
    </w:p>
    <w:p w14:paraId="45C96925" w14:textId="01ED9FDD" w:rsidR="00DD2837" w:rsidRPr="00E869A4" w:rsidRDefault="00DD2837" w:rsidP="00A30975">
      <w:pPr>
        <w:ind w:firstLine="0"/>
        <w:rPr>
          <w:rFonts w:ascii="Times New Roman" w:eastAsia="Times New Roman" w:hAnsi="Times New Roman" w:cs="Times New Roman"/>
          <w:szCs w:val="24"/>
        </w:rPr>
      </w:pPr>
      <w:r w:rsidRPr="00E869A4">
        <w:rPr>
          <w:rFonts w:ascii="Times New Roman" w:hAnsi="Times New Roman" w:cs="Times New Roman"/>
        </w:rPr>
        <w:t>Her mother shared similar sentiments about the importance of filial responsibility as the basis for elder care provision</w:t>
      </w:r>
      <w:r w:rsidR="00A30975" w:rsidRPr="00E869A4">
        <w:rPr>
          <w:rFonts w:ascii="Times New Roman" w:hAnsi="Times New Roman" w:cs="Times New Roman"/>
        </w:rPr>
        <w:t xml:space="preserve">. She surmised that, </w:t>
      </w:r>
      <w:r w:rsidR="00BD14C2" w:rsidRPr="00E869A4">
        <w:rPr>
          <w:rFonts w:ascii="Times New Roman" w:hAnsi="Times New Roman" w:cs="Times New Roman"/>
        </w:rPr>
        <w:t>“</w:t>
      </w:r>
      <w:r w:rsidRPr="00E869A4">
        <w:rPr>
          <w:rFonts w:ascii="Times New Roman" w:hAnsi="Times New Roman" w:cs="Times New Roman"/>
        </w:rPr>
        <w:t>It’s a kinda strain – it’s very strenuous. But, I’m her mother and she has to make sacrifices along that line, yuh understand (CR Ms. Kumar)</w:t>
      </w:r>
      <w:r w:rsidR="00C75115" w:rsidRPr="00E869A4">
        <w:rPr>
          <w:rFonts w:ascii="Times New Roman" w:hAnsi="Times New Roman" w:cs="Times New Roman"/>
        </w:rPr>
        <w:t>.”</w:t>
      </w:r>
      <w:r w:rsidR="00A30975" w:rsidRPr="00E869A4">
        <w:rPr>
          <w:rFonts w:ascii="Times New Roman" w:hAnsi="Times New Roman" w:cs="Times New Roman"/>
        </w:rPr>
        <w:t xml:space="preserve"> </w:t>
      </w:r>
      <w:r w:rsidRPr="00E869A4">
        <w:rPr>
          <w:rFonts w:ascii="Times New Roman" w:eastAsia="Times New Roman" w:hAnsi="Times New Roman" w:cs="Times New Roman"/>
          <w:szCs w:val="24"/>
        </w:rPr>
        <w:t>Adelina was also motivated by a desire to care for her aunt who was the closest relative to her mother. Her sense of filial responsibility is reflected in the following quote:</w:t>
      </w:r>
    </w:p>
    <w:p w14:paraId="5AD38436" w14:textId="77777777" w:rsidR="00DD2837" w:rsidRPr="00E869A4" w:rsidRDefault="00DD2837" w:rsidP="00E2225C">
      <w:pPr>
        <w:spacing w:line="240" w:lineRule="auto"/>
        <w:rPr>
          <w:rFonts w:ascii="Times New Roman" w:hAnsi="Times New Roman" w:cs="Times New Roman"/>
        </w:rPr>
      </w:pPr>
    </w:p>
    <w:p w14:paraId="7F83E84D" w14:textId="6019B64F" w:rsidR="004E38F3" w:rsidRPr="00E869A4" w:rsidRDefault="00DD2837" w:rsidP="00C75115">
      <w:pPr>
        <w:spacing w:line="240" w:lineRule="auto"/>
        <w:ind w:left="567" w:firstLine="0"/>
        <w:rPr>
          <w:rFonts w:ascii="Times New Roman" w:hAnsi="Times New Roman" w:cs="Times New Roman"/>
        </w:rPr>
      </w:pPr>
      <w:r w:rsidRPr="00E869A4">
        <w:rPr>
          <w:rFonts w:ascii="Times New Roman" w:hAnsi="Times New Roman" w:cs="Times New Roman"/>
          <w:szCs w:val="24"/>
        </w:rPr>
        <w:lastRenderedPageBreak/>
        <w:t>Mummy is not there, Tanty is the only surviving person</w:t>
      </w:r>
      <w:r w:rsidR="000B0133" w:rsidRPr="00E869A4">
        <w:rPr>
          <w:rFonts w:ascii="Times New Roman" w:hAnsi="Times New Roman" w:cs="Times New Roman"/>
          <w:szCs w:val="24"/>
        </w:rPr>
        <w:t xml:space="preserve"> </w:t>
      </w:r>
      <w:r w:rsidRPr="00E869A4">
        <w:rPr>
          <w:rFonts w:ascii="Times New Roman" w:eastAsia="Times New Roman" w:hAnsi="Times New Roman" w:cs="Times New Roman"/>
          <w:szCs w:val="24"/>
        </w:rPr>
        <w:t>…</w:t>
      </w:r>
      <w:r w:rsidRPr="00E869A4">
        <w:rPr>
          <w:rFonts w:ascii="Times New Roman" w:hAnsi="Times New Roman" w:cs="Times New Roman"/>
          <w:szCs w:val="24"/>
        </w:rPr>
        <w:t xml:space="preserve"> her children will not do it, so … it has to get done. I mean to say, it</w:t>
      </w:r>
      <w:r w:rsidRPr="00E869A4">
        <w:rPr>
          <w:rFonts w:ascii="Times New Roman" w:eastAsia="Times New Roman" w:hAnsi="Times New Roman" w:cs="Times New Roman"/>
          <w:szCs w:val="24"/>
        </w:rPr>
        <w:t>’s not as though Tanty will be here forever</w:t>
      </w:r>
      <w:r w:rsidR="000B0133"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and, you just want to know that there is a sense of</w:t>
      </w:r>
      <w:r w:rsidR="00A30975" w:rsidRPr="00E869A4">
        <w:rPr>
          <w:rFonts w:ascii="Times New Roman" w:eastAsia="Times New Roman" w:hAnsi="Times New Roman" w:cs="Times New Roman"/>
          <w:szCs w:val="24"/>
        </w:rPr>
        <w:t xml:space="preserve"> comfort for her, that she’s ok</w:t>
      </w:r>
      <w:r w:rsidR="00C75115" w:rsidRPr="00E869A4">
        <w:rPr>
          <w:rFonts w:ascii="Times New Roman" w:eastAsia="Times New Roman" w:hAnsi="Times New Roman" w:cs="Times New Roman"/>
          <w:szCs w:val="24"/>
        </w:rPr>
        <w:t>.</w:t>
      </w:r>
    </w:p>
    <w:p w14:paraId="0273C644" w14:textId="77777777" w:rsidR="00A33AF2" w:rsidRPr="00E869A4" w:rsidRDefault="00A33AF2" w:rsidP="00E2225C">
      <w:pPr>
        <w:spacing w:line="240" w:lineRule="auto"/>
        <w:rPr>
          <w:rFonts w:ascii="Times New Roman" w:hAnsi="Times New Roman" w:cs="Times New Roman"/>
        </w:rPr>
      </w:pPr>
    </w:p>
    <w:p w14:paraId="696DEC97" w14:textId="5F944A4A" w:rsidR="00EE0EE9" w:rsidRPr="00E869A4" w:rsidRDefault="00DD2837" w:rsidP="00A30975">
      <w:pPr>
        <w:ind w:firstLine="0"/>
        <w:rPr>
          <w:rFonts w:ascii="Times New Roman" w:hAnsi="Times New Roman" w:cs="Times New Roman"/>
        </w:rPr>
      </w:pPr>
      <w:r w:rsidRPr="00E869A4">
        <w:rPr>
          <w:rFonts w:ascii="Times New Roman" w:hAnsi="Times New Roman" w:cs="Times New Roman"/>
        </w:rPr>
        <w:t>This sense of filial responsibility was also reflected in a quote by Tanty Edna noted earlier in which she opined that her daughter Eleta should have provided primary care to her.</w:t>
      </w:r>
    </w:p>
    <w:p w14:paraId="56F2E89A" w14:textId="77777777" w:rsidR="00A30975" w:rsidRPr="00E869A4" w:rsidRDefault="00A30975" w:rsidP="00A30975">
      <w:pPr>
        <w:ind w:firstLine="0"/>
        <w:rPr>
          <w:rFonts w:ascii="Times New Roman" w:hAnsi="Times New Roman" w:cs="Times New Roman"/>
        </w:rPr>
      </w:pPr>
    </w:p>
    <w:p w14:paraId="2954C53E" w14:textId="5486AA48" w:rsidR="00DD2837" w:rsidRPr="00E869A4" w:rsidRDefault="00E9231D" w:rsidP="005C449C">
      <w:pPr>
        <w:pStyle w:val="Heading3"/>
      </w:pPr>
      <w:bookmarkStart w:id="300" w:name="_Toc40436528"/>
      <w:r w:rsidRPr="00E869A4">
        <w:t>6</w:t>
      </w:r>
      <w:r w:rsidR="00B960EB" w:rsidRPr="00E869A4">
        <w:t xml:space="preserve">.3.8     </w:t>
      </w:r>
      <w:r w:rsidR="00DD2837" w:rsidRPr="00E869A4">
        <w:t>Education, Training and Occupational Status</w:t>
      </w:r>
      <w:bookmarkEnd w:id="300"/>
    </w:p>
    <w:p w14:paraId="72D790EC" w14:textId="77777777" w:rsidR="00567322" w:rsidRPr="00E869A4" w:rsidRDefault="00567322" w:rsidP="00A35FF8">
      <w:pPr>
        <w:rPr>
          <w:rFonts w:ascii="Times New Roman" w:hAnsi="Times New Roman" w:cs="Times New Roman"/>
        </w:rPr>
      </w:pPr>
    </w:p>
    <w:p w14:paraId="341FB510" w14:textId="4165767B" w:rsidR="00DD2837" w:rsidRPr="00E869A4" w:rsidRDefault="00DD2837" w:rsidP="00A35FF8">
      <w:pPr>
        <w:rPr>
          <w:rFonts w:ascii="Times New Roman" w:hAnsi="Times New Roman" w:cs="Times New Roman"/>
        </w:rPr>
      </w:pPr>
      <w:r w:rsidRPr="00E869A4">
        <w:rPr>
          <w:rFonts w:ascii="Times New Roman" w:hAnsi="Times New Roman" w:cs="Times New Roman"/>
        </w:rPr>
        <w:t>Educational status and training in elder care provision did not appear to be strong determining factors in this sample of family carers. The caregivers came from mixed educational backgrounds including primary, high school</w:t>
      </w:r>
      <w:r w:rsidR="002271E0" w:rsidRPr="00E869A4">
        <w:rPr>
          <w:rFonts w:ascii="Times New Roman" w:hAnsi="Times New Roman" w:cs="Times New Roman"/>
        </w:rPr>
        <w:t xml:space="preserve"> and professional/vocational training, </w:t>
      </w:r>
      <w:r w:rsidRPr="00E869A4">
        <w:rPr>
          <w:rFonts w:ascii="Times New Roman" w:hAnsi="Times New Roman" w:cs="Times New Roman"/>
        </w:rPr>
        <w:t>and tertiary education</w:t>
      </w:r>
      <w:r w:rsidR="002271E0" w:rsidRPr="00E869A4">
        <w:rPr>
          <w:rFonts w:ascii="Times New Roman" w:hAnsi="Times New Roman" w:cs="Times New Roman"/>
        </w:rPr>
        <w:t xml:space="preserve">. </w:t>
      </w:r>
      <w:r w:rsidRPr="00E869A4">
        <w:rPr>
          <w:rFonts w:ascii="Times New Roman" w:hAnsi="Times New Roman" w:cs="Times New Roman"/>
        </w:rPr>
        <w:t>Samantha Khan was the only family caregiver in this study that had special training in caregiving before committing to the role of primary family carer to her father. S</w:t>
      </w:r>
      <w:r w:rsidR="00390E41" w:rsidRPr="00E869A4">
        <w:rPr>
          <w:rFonts w:ascii="Times New Roman" w:hAnsi="Times New Roman" w:cs="Times New Roman"/>
        </w:rPr>
        <w:t>he</w:t>
      </w:r>
      <w:r w:rsidRPr="00E869A4">
        <w:rPr>
          <w:rFonts w:ascii="Times New Roman" w:hAnsi="Times New Roman" w:cs="Times New Roman"/>
        </w:rPr>
        <w:t xml:space="preserve"> was a trained nurse and geriatric care specialist and worked for a private hospital before leaving her job to care for her dad full time. While she did not explicitly identify her nursing background as a requirement for her providing primary family care to her father, she shared about her feelings of guilt in providing paid care to strangers while her father was at home and in need of care</w:t>
      </w:r>
      <w:r w:rsidR="00727771" w:rsidRPr="00E869A4">
        <w:rPr>
          <w:rFonts w:ascii="Times New Roman" w:hAnsi="Times New Roman" w:cs="Times New Roman"/>
        </w:rPr>
        <w:t>:</w:t>
      </w:r>
      <w:r w:rsidRPr="00E869A4">
        <w:rPr>
          <w:rFonts w:ascii="Times New Roman" w:hAnsi="Times New Roman" w:cs="Times New Roman"/>
        </w:rPr>
        <w:t xml:space="preserve"> </w:t>
      </w:r>
    </w:p>
    <w:p w14:paraId="3F7202FA" w14:textId="77777777" w:rsidR="004E38F3" w:rsidRPr="00E869A4" w:rsidRDefault="004E38F3" w:rsidP="00E2225C">
      <w:pPr>
        <w:spacing w:line="240" w:lineRule="auto"/>
        <w:rPr>
          <w:rFonts w:ascii="Times New Roman" w:hAnsi="Times New Roman" w:cs="Times New Roman"/>
        </w:rPr>
      </w:pPr>
    </w:p>
    <w:p w14:paraId="13E8F455" w14:textId="1DE4686F" w:rsidR="00DD2837" w:rsidRPr="00E869A4" w:rsidRDefault="00DD2837" w:rsidP="00C75115">
      <w:pPr>
        <w:spacing w:line="240" w:lineRule="auto"/>
        <w:ind w:left="567" w:firstLine="0"/>
        <w:rPr>
          <w:rFonts w:ascii="Times New Roman" w:hAnsi="Times New Roman" w:cs="Times New Roman"/>
        </w:rPr>
      </w:pPr>
      <w:r w:rsidRPr="00E869A4">
        <w:rPr>
          <w:rFonts w:ascii="Times New Roman" w:hAnsi="Times New Roman" w:cs="Times New Roman"/>
        </w:rPr>
        <w:t>I would step into a room with a patient and it would come back to me, ‘But you going and care for somebody and your Dad home?’  So for me doing it gives me peace of mind knowing that I’m taking care of him and I know that when I do it he is also happy [even though] I may no</w:t>
      </w:r>
      <w:r w:rsidR="00C75115" w:rsidRPr="00E869A4">
        <w:rPr>
          <w:rFonts w:ascii="Times New Roman" w:hAnsi="Times New Roman" w:cs="Times New Roman"/>
        </w:rPr>
        <w:t>t be getting monetary rewards.</w:t>
      </w:r>
    </w:p>
    <w:p w14:paraId="1168B1BB" w14:textId="77777777" w:rsidR="00AC43FB" w:rsidRPr="00E869A4" w:rsidRDefault="00AC43FB" w:rsidP="00D320FE">
      <w:pPr>
        <w:ind w:firstLine="0"/>
        <w:rPr>
          <w:rFonts w:ascii="Times New Roman" w:hAnsi="Times New Roman" w:cs="Times New Roman"/>
        </w:rPr>
      </w:pPr>
    </w:p>
    <w:p w14:paraId="6C7F264C" w14:textId="77777777" w:rsidR="00390E41" w:rsidRPr="00E869A4" w:rsidRDefault="00DD2837" w:rsidP="00D320FE">
      <w:pPr>
        <w:ind w:firstLine="0"/>
        <w:rPr>
          <w:rFonts w:ascii="Times New Roman" w:hAnsi="Times New Roman" w:cs="Times New Roman"/>
        </w:rPr>
      </w:pPr>
      <w:r w:rsidRPr="00E869A4">
        <w:rPr>
          <w:rFonts w:ascii="Times New Roman" w:hAnsi="Times New Roman" w:cs="Times New Roman"/>
        </w:rPr>
        <w:t xml:space="preserve">For Samantha, the peace of mind she got from caring for her father surpassed the monetary benefits she would have obtained from being employed outside of the home. </w:t>
      </w:r>
      <w:r w:rsidR="00727771" w:rsidRPr="00E869A4">
        <w:rPr>
          <w:rFonts w:ascii="Times New Roman" w:hAnsi="Times New Roman" w:cs="Times New Roman"/>
        </w:rPr>
        <w:t>Mynatt, Essa, and Rogers (2000</w:t>
      </w:r>
      <w:r w:rsidR="00696892" w:rsidRPr="00E869A4">
        <w:rPr>
          <w:rFonts w:ascii="Times New Roman" w:hAnsi="Times New Roman" w:cs="Times New Roman"/>
        </w:rPr>
        <w:t>) also highlighted the importance of ‘</w:t>
      </w:r>
      <w:r w:rsidR="00696892" w:rsidRPr="00E869A4">
        <w:rPr>
          <w:rFonts w:ascii="Times New Roman" w:hAnsi="Times New Roman" w:cs="Times New Roman"/>
          <w:i/>
        </w:rPr>
        <w:t>peace of mind</w:t>
      </w:r>
      <w:r w:rsidR="00696892" w:rsidRPr="00E869A4">
        <w:rPr>
          <w:rFonts w:ascii="Times New Roman" w:hAnsi="Times New Roman" w:cs="Times New Roman"/>
        </w:rPr>
        <w:t>’ to adult children caring for a widowed parent.</w:t>
      </w:r>
      <w:r w:rsidR="00D320FE" w:rsidRPr="00E869A4">
        <w:rPr>
          <w:rFonts w:ascii="Times New Roman" w:hAnsi="Times New Roman" w:cs="Times New Roman"/>
        </w:rPr>
        <w:t xml:space="preserve"> </w:t>
      </w:r>
    </w:p>
    <w:p w14:paraId="76417C7C" w14:textId="77777777" w:rsidR="00390E41" w:rsidRPr="00E869A4" w:rsidRDefault="00390E41" w:rsidP="00D320FE">
      <w:pPr>
        <w:ind w:firstLine="0"/>
        <w:rPr>
          <w:rFonts w:ascii="Times New Roman" w:hAnsi="Times New Roman" w:cs="Times New Roman"/>
        </w:rPr>
      </w:pPr>
    </w:p>
    <w:p w14:paraId="6F482D94" w14:textId="64ED14BD" w:rsidR="00DD2837" w:rsidRPr="00E869A4" w:rsidRDefault="00DD2837" w:rsidP="00390E41">
      <w:pPr>
        <w:rPr>
          <w:rFonts w:ascii="Times New Roman" w:hAnsi="Times New Roman" w:cs="Times New Roman"/>
        </w:rPr>
      </w:pPr>
      <w:r w:rsidRPr="00E869A4">
        <w:rPr>
          <w:rFonts w:ascii="Times New Roman" w:hAnsi="Times New Roman" w:cs="Times New Roman"/>
        </w:rPr>
        <w:t>Reshma Maharaj explicitly linked her work arrangements to her decision to become a carer to her mother Indrani. As she explained</w:t>
      </w:r>
      <w:r w:rsidR="00B850A7" w:rsidRPr="00E869A4">
        <w:rPr>
          <w:rFonts w:ascii="Times New Roman" w:hAnsi="Times New Roman" w:cs="Times New Roman"/>
        </w:rPr>
        <w:t>:</w:t>
      </w:r>
    </w:p>
    <w:p w14:paraId="3F09773C" w14:textId="77777777" w:rsidR="00A33AF2" w:rsidRPr="00E869A4" w:rsidRDefault="00A33AF2" w:rsidP="00E2225C">
      <w:pPr>
        <w:spacing w:line="240" w:lineRule="auto"/>
        <w:rPr>
          <w:rFonts w:ascii="Times New Roman" w:hAnsi="Times New Roman" w:cs="Times New Roman"/>
        </w:rPr>
      </w:pPr>
    </w:p>
    <w:p w14:paraId="693004FF" w14:textId="05FF8192" w:rsidR="00DD2837" w:rsidRPr="00E869A4" w:rsidRDefault="00DD2837" w:rsidP="00791E7E">
      <w:pPr>
        <w:spacing w:line="240" w:lineRule="auto"/>
        <w:ind w:left="567" w:firstLine="0"/>
        <w:rPr>
          <w:rFonts w:ascii="Times New Roman" w:hAnsi="Times New Roman" w:cs="Times New Roman"/>
        </w:rPr>
      </w:pPr>
      <w:r w:rsidRPr="00E869A4">
        <w:rPr>
          <w:rFonts w:ascii="Times New Roman" w:hAnsi="Times New Roman" w:cs="Times New Roman"/>
        </w:rPr>
        <w:t>I had a [s]hop at home</w:t>
      </w:r>
      <w:r w:rsidR="00D320FE" w:rsidRPr="00E869A4">
        <w:rPr>
          <w:rFonts w:ascii="Times New Roman" w:hAnsi="Times New Roman" w:cs="Times New Roman"/>
        </w:rPr>
        <w:t xml:space="preserve"> </w:t>
      </w:r>
      <w:r w:rsidRPr="00E869A4">
        <w:rPr>
          <w:rFonts w:ascii="Times New Roman" w:hAnsi="Times New Roman" w:cs="Times New Roman"/>
        </w:rPr>
        <w:t>… so it was easy for me to see about her. I was [t]he one to see about her the [most because] all [my siblings] is soldier and nurses and … on</w:t>
      </w:r>
      <w:r w:rsidR="00791E7E" w:rsidRPr="00E869A4">
        <w:rPr>
          <w:rFonts w:ascii="Times New Roman" w:hAnsi="Times New Roman" w:cs="Times New Roman"/>
        </w:rPr>
        <w:t>e of meh sisters was in England.</w:t>
      </w:r>
    </w:p>
    <w:p w14:paraId="723CA06C" w14:textId="77777777" w:rsidR="004E38F3" w:rsidRPr="00E869A4" w:rsidRDefault="004E38F3" w:rsidP="00E2225C">
      <w:pPr>
        <w:spacing w:line="240" w:lineRule="auto"/>
        <w:rPr>
          <w:rFonts w:ascii="Times New Roman" w:hAnsi="Times New Roman" w:cs="Times New Roman"/>
        </w:rPr>
      </w:pPr>
    </w:p>
    <w:p w14:paraId="43171D75" w14:textId="77777777" w:rsidR="00390E41" w:rsidRPr="00E869A4" w:rsidRDefault="00DD2837" w:rsidP="00E62AA6">
      <w:pPr>
        <w:ind w:firstLine="0"/>
        <w:rPr>
          <w:rFonts w:ascii="Times New Roman" w:hAnsi="Times New Roman" w:cs="Times New Roman"/>
        </w:rPr>
      </w:pPr>
      <w:r w:rsidRPr="00E869A4">
        <w:rPr>
          <w:rFonts w:ascii="Times New Roman" w:hAnsi="Times New Roman" w:cs="Times New Roman"/>
        </w:rPr>
        <w:lastRenderedPageBreak/>
        <w:t>Mr. Birch’s status as a retiree was identified by him as a contributing factor to his decision to provide care support to Uncle Wilton</w:t>
      </w:r>
      <w:r w:rsidR="00727771" w:rsidRPr="00E869A4">
        <w:rPr>
          <w:rFonts w:ascii="Times New Roman" w:hAnsi="Times New Roman" w:cs="Times New Roman"/>
        </w:rPr>
        <w:t>:</w:t>
      </w:r>
      <w:r w:rsidRPr="00E869A4">
        <w:rPr>
          <w:rFonts w:ascii="Times New Roman" w:hAnsi="Times New Roman" w:cs="Times New Roman"/>
        </w:rPr>
        <w:t xml:space="preserve"> </w:t>
      </w:r>
    </w:p>
    <w:p w14:paraId="18F8D0E6" w14:textId="0741D847" w:rsidR="00390E41" w:rsidRPr="00E869A4" w:rsidRDefault="00390E41" w:rsidP="00390E41">
      <w:pPr>
        <w:spacing w:line="240" w:lineRule="auto"/>
        <w:rPr>
          <w:rFonts w:ascii="Times New Roman" w:hAnsi="Times New Roman" w:cs="Times New Roman"/>
        </w:rPr>
      </w:pPr>
      <w:r w:rsidRPr="00E869A4">
        <w:rPr>
          <w:rFonts w:ascii="Times New Roman" w:hAnsi="Times New Roman" w:cs="Times New Roman"/>
        </w:rPr>
        <w:tab/>
      </w:r>
    </w:p>
    <w:p w14:paraId="0F9CDD7D" w14:textId="0C03F7E9" w:rsidR="00DD2837" w:rsidRPr="00E869A4" w:rsidRDefault="00DD2837" w:rsidP="00390E41">
      <w:pPr>
        <w:spacing w:line="240" w:lineRule="auto"/>
        <w:ind w:left="567" w:firstLine="0"/>
        <w:rPr>
          <w:rFonts w:ascii="Times New Roman" w:hAnsi="Times New Roman" w:cs="Times New Roman"/>
        </w:rPr>
      </w:pPr>
      <w:r w:rsidRPr="00E869A4">
        <w:rPr>
          <w:rFonts w:ascii="Times New Roman" w:hAnsi="Times New Roman" w:cs="Times New Roman"/>
        </w:rPr>
        <w:t>What I does really enjoy about it is that I helping somebody. He need the help yuh know and I around to help him</w:t>
      </w:r>
      <w:r w:rsidR="00390E41" w:rsidRPr="00E869A4">
        <w:rPr>
          <w:rFonts w:ascii="Times New Roman" w:hAnsi="Times New Roman" w:cs="Times New Roman"/>
        </w:rPr>
        <w:t xml:space="preserve"> </w:t>
      </w:r>
      <w:r w:rsidRPr="00E869A4">
        <w:rPr>
          <w:rFonts w:ascii="Times New Roman" w:hAnsi="Times New Roman" w:cs="Times New Roman"/>
        </w:rPr>
        <w:t>… It doh really hambug me</w:t>
      </w:r>
      <w:r w:rsidR="00D320FE" w:rsidRPr="00E869A4">
        <w:rPr>
          <w:rFonts w:ascii="Times New Roman" w:hAnsi="Times New Roman" w:cs="Times New Roman"/>
        </w:rPr>
        <w:t xml:space="preserve"> </w:t>
      </w:r>
      <w:r w:rsidRPr="00E869A4">
        <w:rPr>
          <w:rFonts w:ascii="Times New Roman" w:hAnsi="Times New Roman" w:cs="Times New Roman"/>
        </w:rPr>
        <w:t>…</w:t>
      </w:r>
      <w:r w:rsidR="00D320FE" w:rsidRPr="00E869A4">
        <w:rPr>
          <w:rFonts w:ascii="Times New Roman" w:hAnsi="Times New Roman" w:cs="Times New Roman"/>
        </w:rPr>
        <w:t xml:space="preserve"> </w:t>
      </w:r>
      <w:r w:rsidRPr="00E869A4">
        <w:rPr>
          <w:rFonts w:ascii="Times New Roman" w:hAnsi="Times New Roman" w:cs="Times New Roman"/>
        </w:rPr>
        <w:t>because right now I doh real</w:t>
      </w:r>
      <w:r w:rsidR="00D320FE" w:rsidRPr="00E869A4">
        <w:rPr>
          <w:rFonts w:ascii="Times New Roman" w:hAnsi="Times New Roman" w:cs="Times New Roman"/>
        </w:rPr>
        <w:t>ly have no set ah obligations …</w:t>
      </w:r>
      <w:r w:rsidRPr="00E869A4">
        <w:rPr>
          <w:rFonts w:ascii="Times New Roman" w:hAnsi="Times New Roman" w:cs="Times New Roman"/>
        </w:rPr>
        <w:t xml:space="preserve"> I ah retiree. Ah getting’ meh pension</w:t>
      </w:r>
      <w:r w:rsidR="00D320FE" w:rsidRPr="00E869A4">
        <w:rPr>
          <w:rFonts w:ascii="Times New Roman" w:hAnsi="Times New Roman" w:cs="Times New Roman"/>
        </w:rPr>
        <w:t xml:space="preserve"> </w:t>
      </w:r>
      <w:r w:rsidRPr="00E869A4">
        <w:rPr>
          <w:rFonts w:ascii="Times New Roman" w:hAnsi="Times New Roman" w:cs="Times New Roman"/>
        </w:rPr>
        <w:t>… national insurance, so, yuh would fine’ most times I home</w:t>
      </w:r>
      <w:r w:rsidR="00791E7E" w:rsidRPr="00E869A4">
        <w:rPr>
          <w:rFonts w:ascii="Times New Roman" w:hAnsi="Times New Roman" w:cs="Times New Roman"/>
        </w:rPr>
        <w:t>.</w:t>
      </w:r>
    </w:p>
    <w:p w14:paraId="0FE9C2D4" w14:textId="77777777" w:rsidR="00447809" w:rsidRPr="00E869A4" w:rsidRDefault="00447809" w:rsidP="00E2225C">
      <w:pPr>
        <w:spacing w:line="240" w:lineRule="auto"/>
        <w:rPr>
          <w:rFonts w:ascii="Times New Roman" w:hAnsi="Times New Roman" w:cs="Times New Roman"/>
        </w:rPr>
      </w:pPr>
    </w:p>
    <w:p w14:paraId="7A48D83E" w14:textId="7C2696A9" w:rsidR="009C6A35" w:rsidRPr="00E869A4" w:rsidRDefault="00D91615" w:rsidP="00E62AA6">
      <w:pPr>
        <w:ind w:firstLine="0"/>
        <w:rPr>
          <w:rFonts w:ascii="Times New Roman" w:hAnsi="Times New Roman" w:cs="Times New Roman"/>
        </w:rPr>
      </w:pPr>
      <w:r w:rsidRPr="00E869A4">
        <w:rPr>
          <w:rFonts w:ascii="Times New Roman" w:hAnsi="Times New Roman" w:cs="Times New Roman"/>
        </w:rPr>
        <w:t>However,</w:t>
      </w:r>
      <w:r w:rsidR="00DD2837" w:rsidRPr="00E869A4">
        <w:rPr>
          <w:rFonts w:ascii="Times New Roman" w:hAnsi="Times New Roman" w:cs="Times New Roman"/>
        </w:rPr>
        <w:t xml:space="preserve"> as is evident in this quote and others shared in the section</w:t>
      </w:r>
      <w:r w:rsidR="00E62AA6" w:rsidRPr="00E869A4">
        <w:rPr>
          <w:rFonts w:ascii="Times New Roman" w:hAnsi="Times New Roman" w:cs="Times New Roman"/>
        </w:rPr>
        <w:t>s</w:t>
      </w:r>
      <w:r w:rsidR="00DD2837" w:rsidRPr="00E869A4">
        <w:rPr>
          <w:rFonts w:ascii="Times New Roman" w:hAnsi="Times New Roman" w:cs="Times New Roman"/>
        </w:rPr>
        <w:t xml:space="preserve"> on </w:t>
      </w:r>
      <w:r w:rsidR="00E62AA6" w:rsidRPr="00E869A4">
        <w:rPr>
          <w:rFonts w:ascii="Times New Roman" w:hAnsi="Times New Roman" w:cs="Times New Roman"/>
        </w:rPr>
        <w:t xml:space="preserve">requited and </w:t>
      </w:r>
      <w:r w:rsidR="00DD2837" w:rsidRPr="00E869A4">
        <w:rPr>
          <w:rFonts w:ascii="Times New Roman" w:hAnsi="Times New Roman" w:cs="Times New Roman"/>
        </w:rPr>
        <w:t xml:space="preserve">inspired-care, Mr. Birch’s occupational status </w:t>
      </w:r>
      <w:r w:rsidR="00D964C5" w:rsidRPr="00E869A4">
        <w:rPr>
          <w:rFonts w:ascii="Times New Roman" w:hAnsi="Times New Roman" w:cs="Times New Roman"/>
        </w:rPr>
        <w:t xml:space="preserve">while </w:t>
      </w:r>
      <w:r w:rsidR="00DD2837" w:rsidRPr="00E869A4">
        <w:rPr>
          <w:rFonts w:ascii="Times New Roman" w:hAnsi="Times New Roman" w:cs="Times New Roman"/>
        </w:rPr>
        <w:t xml:space="preserve">important, was not a primary determining factor of his care relationship with Uncle Wilton. Rather, Uncle Wilton’s congenial and </w:t>
      </w:r>
      <w:r w:rsidR="00091B1F" w:rsidRPr="00E869A4">
        <w:rPr>
          <w:rFonts w:ascii="Times New Roman" w:hAnsi="Times New Roman" w:cs="Times New Roman"/>
        </w:rPr>
        <w:t>generous</w:t>
      </w:r>
      <w:r w:rsidR="00DD2837" w:rsidRPr="00E869A4">
        <w:rPr>
          <w:rFonts w:ascii="Times New Roman" w:hAnsi="Times New Roman" w:cs="Times New Roman"/>
        </w:rPr>
        <w:t xml:space="preserve"> behaviour that characterised their </w:t>
      </w:r>
      <w:r w:rsidRPr="00E869A4">
        <w:rPr>
          <w:rFonts w:ascii="Times New Roman" w:hAnsi="Times New Roman" w:cs="Times New Roman"/>
        </w:rPr>
        <w:t>long-standing</w:t>
      </w:r>
      <w:r w:rsidR="00DD2837" w:rsidRPr="00E869A4">
        <w:rPr>
          <w:rFonts w:ascii="Times New Roman" w:hAnsi="Times New Roman" w:cs="Times New Roman"/>
        </w:rPr>
        <w:t xml:space="preserve"> friendship as well as Mr. Birch’s civic</w:t>
      </w:r>
      <w:r w:rsidR="00A86B94" w:rsidRPr="00E869A4">
        <w:rPr>
          <w:rFonts w:ascii="Times New Roman" w:hAnsi="Times New Roman" w:cs="Times New Roman"/>
        </w:rPr>
        <w:t>-</w:t>
      </w:r>
      <w:r w:rsidR="00DD2837" w:rsidRPr="00E869A4">
        <w:rPr>
          <w:rFonts w:ascii="Times New Roman" w:hAnsi="Times New Roman" w:cs="Times New Roman"/>
        </w:rPr>
        <w:t xml:space="preserve">mindedness and desire to reciprocate support to him, were the main factors that contributed to his decision to provide care support. </w:t>
      </w:r>
    </w:p>
    <w:p w14:paraId="12F4AECE" w14:textId="77777777" w:rsidR="00791E7E" w:rsidRPr="00E869A4" w:rsidRDefault="00791E7E">
      <w:pPr>
        <w:rPr>
          <w:b/>
          <w:i/>
          <w:u w:val="single"/>
        </w:rPr>
      </w:pPr>
    </w:p>
    <w:p w14:paraId="5305E8A3" w14:textId="177A53CF" w:rsidR="00DD2837" w:rsidRPr="00E869A4" w:rsidRDefault="00E9231D" w:rsidP="005C449C">
      <w:pPr>
        <w:pStyle w:val="Heading3"/>
      </w:pPr>
      <w:bookmarkStart w:id="301" w:name="_Toc40436529"/>
      <w:r w:rsidRPr="00E869A4">
        <w:t>6</w:t>
      </w:r>
      <w:r w:rsidR="00630438" w:rsidRPr="00E869A4">
        <w:t xml:space="preserve">.3.9     </w:t>
      </w:r>
      <w:r w:rsidR="00DD2837" w:rsidRPr="00E869A4">
        <w:t>Economic and Material Factors</w:t>
      </w:r>
      <w:bookmarkEnd w:id="301"/>
    </w:p>
    <w:p w14:paraId="030291F3" w14:textId="77777777" w:rsidR="00B850A7" w:rsidRPr="00E869A4" w:rsidRDefault="00B850A7" w:rsidP="00A35FF8">
      <w:pPr>
        <w:autoSpaceDE w:val="0"/>
        <w:autoSpaceDN w:val="0"/>
        <w:adjustRightInd w:val="0"/>
        <w:rPr>
          <w:rFonts w:ascii="Times New Roman" w:eastAsia="Times New Roman" w:hAnsi="Times New Roman" w:cs="Times New Roman"/>
          <w:szCs w:val="24"/>
        </w:rPr>
      </w:pPr>
    </w:p>
    <w:p w14:paraId="731500AB" w14:textId="0AE71B43" w:rsidR="00DD2837" w:rsidRPr="00E869A4" w:rsidRDefault="00DD2837" w:rsidP="00AC43FB">
      <w:pPr>
        <w:autoSpaceDE w:val="0"/>
        <w:autoSpaceDN w:val="0"/>
        <w:adjustRightInd w:val="0"/>
        <w:rPr>
          <w:rFonts w:ascii="Times New Roman" w:eastAsia="Times New Roman" w:hAnsi="Times New Roman" w:cs="Times New Roman"/>
          <w:szCs w:val="24"/>
        </w:rPr>
      </w:pPr>
      <w:r w:rsidRPr="00E869A4">
        <w:rPr>
          <w:rFonts w:ascii="Times New Roman" w:eastAsia="Times New Roman" w:hAnsi="Times New Roman" w:cs="Times New Roman"/>
          <w:szCs w:val="24"/>
        </w:rPr>
        <w:t>Caregivers generally did not speak about material benefits as a determining factor in their decision to provide primary care. Mr. Birch was the only participant that shared about receiving some non-monetary gifts for the care he provided. However, he discussed this in context of his assessment of Uncle Wilton as a generous and considerate friend</w:t>
      </w:r>
      <w:r w:rsidR="00727771"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24287B" w:rsidRPr="00E869A4">
        <w:rPr>
          <w:rFonts w:ascii="Times New Roman" w:eastAsia="Times New Roman" w:hAnsi="Times New Roman" w:cs="Times New Roman"/>
          <w:szCs w:val="24"/>
        </w:rPr>
        <w:t>“</w:t>
      </w:r>
      <w:r w:rsidRPr="00E869A4">
        <w:rPr>
          <w:rFonts w:ascii="Times New Roman" w:hAnsi="Times New Roman" w:cs="Times New Roman"/>
        </w:rPr>
        <w:t xml:space="preserve">We have </w:t>
      </w:r>
      <w:r w:rsidR="00831872" w:rsidRPr="00E869A4">
        <w:rPr>
          <w:rFonts w:ascii="Times New Roman" w:hAnsi="Times New Roman" w:cs="Times New Roman"/>
        </w:rPr>
        <w:t xml:space="preserve">a very close, relationship eh … </w:t>
      </w:r>
      <w:r w:rsidRPr="00E869A4">
        <w:rPr>
          <w:rFonts w:ascii="Times New Roman" w:hAnsi="Times New Roman" w:cs="Times New Roman"/>
        </w:rPr>
        <w:t xml:space="preserve">For instance, I was goin’ to see about meh national insurance … he gimme money for </w:t>
      </w:r>
      <w:proofErr w:type="spellStart"/>
      <w:r w:rsidRPr="00E869A4">
        <w:rPr>
          <w:rFonts w:ascii="Times New Roman" w:hAnsi="Times New Roman" w:cs="Times New Roman"/>
        </w:rPr>
        <w:t>meh</w:t>
      </w:r>
      <w:proofErr w:type="spellEnd"/>
      <w:r w:rsidRPr="00E869A4">
        <w:rPr>
          <w:rFonts w:ascii="Times New Roman" w:hAnsi="Times New Roman" w:cs="Times New Roman"/>
        </w:rPr>
        <w:t xml:space="preserve"> to open ah bankin’ account</w:t>
      </w:r>
      <w:r w:rsidR="00831872" w:rsidRPr="00E869A4">
        <w:rPr>
          <w:rFonts w:ascii="Times New Roman" w:hAnsi="Times New Roman" w:cs="Times New Roman"/>
        </w:rPr>
        <w:t xml:space="preserve"> … All dem t’ing ah does watch</w:t>
      </w:r>
      <w:r w:rsidR="009E0A70" w:rsidRPr="00E869A4">
        <w:rPr>
          <w:rFonts w:ascii="Times New Roman" w:hAnsi="Times New Roman" w:cs="Times New Roman"/>
        </w:rPr>
        <w:t>.”</w:t>
      </w:r>
      <w:r w:rsidRPr="00E869A4">
        <w:rPr>
          <w:rFonts w:ascii="Times New Roman" w:hAnsi="Times New Roman" w:cs="Times New Roman"/>
        </w:rPr>
        <w:t xml:space="preserve"> (FCG Mr. Birch)</w:t>
      </w:r>
      <w:r w:rsidR="00831872" w:rsidRPr="00E869A4">
        <w:rPr>
          <w:rFonts w:ascii="Times New Roman" w:hAnsi="Times New Roman" w:cs="Times New Roman"/>
        </w:rPr>
        <w:t>.</w:t>
      </w:r>
      <w:r w:rsidR="00AC43FB" w:rsidRPr="00E869A4">
        <w:rPr>
          <w:rFonts w:ascii="Times New Roman" w:hAnsi="Times New Roman" w:cs="Times New Roman"/>
        </w:rPr>
        <w:t xml:space="preserve"> </w:t>
      </w:r>
      <w:r w:rsidR="00091B1F" w:rsidRPr="00E869A4">
        <w:rPr>
          <w:rFonts w:ascii="Times New Roman" w:eastAsia="Times New Roman" w:hAnsi="Times New Roman" w:cs="Times New Roman"/>
          <w:szCs w:val="24"/>
        </w:rPr>
        <w:t>A</w:t>
      </w:r>
      <w:r w:rsidRPr="00E869A4">
        <w:rPr>
          <w:rFonts w:ascii="Times New Roman" w:eastAsia="Times New Roman" w:hAnsi="Times New Roman" w:cs="Times New Roman"/>
          <w:szCs w:val="24"/>
        </w:rPr>
        <w:t>s Lewinter (2003) observed, such exchanges were more symbolic than quid-pro-quo</w:t>
      </w:r>
      <w:r w:rsidR="00581176" w:rsidRPr="00E869A4">
        <w:rPr>
          <w:rFonts w:ascii="Times New Roman" w:eastAsia="Times New Roman" w:hAnsi="Times New Roman" w:cs="Times New Roman"/>
          <w:szCs w:val="24"/>
        </w:rPr>
        <w:t xml:space="preserve"> behaviour,</w:t>
      </w:r>
      <w:r w:rsidRPr="00E869A4">
        <w:rPr>
          <w:rFonts w:ascii="Times New Roman" w:eastAsia="Times New Roman" w:hAnsi="Times New Roman" w:cs="Times New Roman"/>
          <w:szCs w:val="24"/>
        </w:rPr>
        <w:t xml:space="preserve"> and were valued not so much for their monetary worth but because they evinced appreciation and consideration for the caregiver. </w:t>
      </w:r>
    </w:p>
    <w:p w14:paraId="07C783EE" w14:textId="77777777" w:rsidR="00DD2837" w:rsidRPr="00E869A4" w:rsidRDefault="00DD2837" w:rsidP="00A35FF8">
      <w:pPr>
        <w:autoSpaceDE w:val="0"/>
        <w:autoSpaceDN w:val="0"/>
        <w:adjustRightInd w:val="0"/>
        <w:rPr>
          <w:rFonts w:ascii="Times New Roman" w:hAnsi="Times New Roman" w:cs="Times New Roman"/>
          <w:szCs w:val="24"/>
        </w:rPr>
      </w:pPr>
    </w:p>
    <w:p w14:paraId="0C1CF2D8" w14:textId="374920D3" w:rsidR="00DD2837" w:rsidRPr="00E869A4" w:rsidRDefault="00DD2837"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Uncle Wilton also shared about the financial arrangements he had with Mr. Birch and his niece Tricia</w:t>
      </w:r>
      <w:r w:rsidR="00B850A7" w:rsidRPr="00E869A4">
        <w:rPr>
          <w:rFonts w:ascii="Times New Roman" w:hAnsi="Times New Roman" w:cs="Times New Roman"/>
          <w:szCs w:val="24"/>
        </w:rPr>
        <w:t>:</w:t>
      </w:r>
      <w:r w:rsidRPr="00E869A4">
        <w:rPr>
          <w:rFonts w:ascii="Times New Roman" w:hAnsi="Times New Roman" w:cs="Times New Roman"/>
          <w:szCs w:val="24"/>
        </w:rPr>
        <w:t xml:space="preserve"> </w:t>
      </w:r>
    </w:p>
    <w:p w14:paraId="4D9CF07B"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18C27860" w14:textId="006A824B" w:rsidR="00DD2837" w:rsidRPr="00E869A4" w:rsidRDefault="00DD2837" w:rsidP="009E0A70">
      <w:pPr>
        <w:autoSpaceDE w:val="0"/>
        <w:autoSpaceDN w:val="0"/>
        <w:adjustRightInd w:val="0"/>
        <w:spacing w:line="240" w:lineRule="auto"/>
        <w:ind w:left="567" w:firstLine="0"/>
        <w:rPr>
          <w:rFonts w:ascii="Times New Roman" w:eastAsia="Times New Roman" w:hAnsi="Times New Roman" w:cs="Times New Roman"/>
          <w:szCs w:val="24"/>
        </w:rPr>
      </w:pPr>
      <w:r w:rsidRPr="00E869A4">
        <w:rPr>
          <w:rFonts w:ascii="Times New Roman" w:hAnsi="Times New Roman" w:cs="Times New Roman"/>
          <w:szCs w:val="24"/>
        </w:rPr>
        <w:t>Well I give my niece (Tricia) money because she see after me</w:t>
      </w:r>
      <w:r w:rsidR="00831872" w:rsidRPr="00E869A4">
        <w:rPr>
          <w:rFonts w:ascii="Times New Roman" w:hAnsi="Times New Roman" w:cs="Times New Roman"/>
          <w:szCs w:val="24"/>
        </w:rPr>
        <w:t xml:space="preserve"> </w:t>
      </w:r>
      <w:r w:rsidRPr="00E869A4">
        <w:rPr>
          <w:rFonts w:ascii="Times New Roman" w:hAnsi="Times New Roman" w:cs="Times New Roman"/>
          <w:szCs w:val="24"/>
        </w:rPr>
        <w:t>...</w:t>
      </w:r>
      <w:r w:rsidR="00831872" w:rsidRPr="00E869A4">
        <w:rPr>
          <w:rFonts w:ascii="Times New Roman" w:hAnsi="Times New Roman" w:cs="Times New Roman"/>
          <w:szCs w:val="24"/>
        </w:rPr>
        <w:t xml:space="preserve"> </w:t>
      </w:r>
      <w:r w:rsidRPr="00E869A4">
        <w:rPr>
          <w:rFonts w:ascii="Times New Roman" w:hAnsi="Times New Roman" w:cs="Times New Roman"/>
          <w:szCs w:val="24"/>
        </w:rPr>
        <w:t>I does give this next one (Mr. Birch) a few dollars</w:t>
      </w:r>
      <w:r w:rsidR="000C2020" w:rsidRPr="00E869A4">
        <w:rPr>
          <w:rFonts w:ascii="Times New Roman" w:hAnsi="Times New Roman" w:cs="Times New Roman"/>
          <w:szCs w:val="24"/>
        </w:rPr>
        <w:t xml:space="preserve"> </w:t>
      </w:r>
      <w:r w:rsidR="000C2020"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because he see after my medication: every month I give him. My niece</w:t>
      </w:r>
      <w:r w:rsidR="00831872"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she does draw my pension, she bring the money for me. I will give her so much to last out the month an’ I save back the balance in the bank: it on my name and her name</w:t>
      </w:r>
      <w:r w:rsidR="0021144E" w:rsidRPr="00E869A4">
        <w:rPr>
          <w:rFonts w:ascii="Times New Roman" w:eastAsia="Times New Roman" w:hAnsi="Times New Roman" w:cs="Times New Roman"/>
          <w:szCs w:val="24"/>
        </w:rPr>
        <w:t xml:space="preserve"> </w:t>
      </w:r>
      <w:r w:rsidR="00A86B94" w:rsidRPr="00E869A4">
        <w:rPr>
          <w:rFonts w:ascii="Times New Roman" w:hAnsi="Times New Roman" w:cs="Times New Roman"/>
        </w:rPr>
        <w:t xml:space="preserve">– </w:t>
      </w:r>
      <w:r w:rsidRPr="00E869A4">
        <w:rPr>
          <w:rFonts w:ascii="Times New Roman" w:eastAsia="Times New Roman" w:hAnsi="Times New Roman" w:cs="Times New Roman"/>
          <w:szCs w:val="24"/>
        </w:rPr>
        <w:t xml:space="preserve">ain’t no problem with that. </w:t>
      </w:r>
      <w:r w:rsidRPr="00E869A4">
        <w:rPr>
          <w:rFonts w:ascii="Times New Roman" w:hAnsi="Times New Roman" w:cs="Times New Roman"/>
          <w:szCs w:val="24"/>
        </w:rPr>
        <w:t>If she buy anything, she bring the receipt for me: I</w:t>
      </w:r>
      <w:r w:rsidRPr="00E869A4">
        <w:rPr>
          <w:rFonts w:ascii="Times New Roman" w:eastAsia="Times New Roman" w:hAnsi="Times New Roman" w:cs="Times New Roman"/>
          <w:szCs w:val="24"/>
        </w:rPr>
        <w:t>’m sure about that. I gave her yesterday to pay the phon</w:t>
      </w:r>
      <w:r w:rsidR="00950AF9" w:rsidRPr="00E869A4">
        <w:rPr>
          <w:rFonts w:ascii="Times New Roman" w:eastAsia="Times New Roman" w:hAnsi="Times New Roman" w:cs="Times New Roman"/>
          <w:szCs w:val="24"/>
        </w:rPr>
        <w:t>e bill</w:t>
      </w:r>
      <w:r w:rsidR="00831872" w:rsidRPr="00E869A4">
        <w:rPr>
          <w:rFonts w:ascii="Times New Roman" w:eastAsia="Times New Roman" w:hAnsi="Times New Roman" w:cs="Times New Roman"/>
          <w:szCs w:val="24"/>
        </w:rPr>
        <w:t xml:space="preserve"> ... she say, ‘</w:t>
      </w:r>
      <w:r w:rsidR="00950AF9" w:rsidRPr="00E869A4">
        <w:rPr>
          <w:rFonts w:ascii="Times New Roman" w:eastAsia="Times New Roman" w:hAnsi="Times New Roman" w:cs="Times New Roman"/>
          <w:szCs w:val="24"/>
        </w:rPr>
        <w:t>I owe you $4</w:t>
      </w:r>
      <w:r w:rsidR="00831872" w:rsidRPr="00E869A4">
        <w:rPr>
          <w:rFonts w:ascii="Times New Roman" w:eastAsia="Times New Roman" w:hAnsi="Times New Roman" w:cs="Times New Roman"/>
          <w:szCs w:val="24"/>
        </w:rPr>
        <w:t>’. I say, ‘</w:t>
      </w:r>
      <w:r w:rsidRPr="00E869A4">
        <w:rPr>
          <w:rFonts w:ascii="Times New Roman" w:eastAsia="Times New Roman" w:hAnsi="Times New Roman" w:cs="Times New Roman"/>
          <w:szCs w:val="24"/>
        </w:rPr>
        <w:t>You will bring back the $4?</w:t>
      </w:r>
      <w:r w:rsidR="009E0A70" w:rsidRPr="00E869A4">
        <w:rPr>
          <w:rFonts w:ascii="Times New Roman" w:eastAsia="Times New Roman" w:hAnsi="Times New Roman" w:cs="Times New Roman"/>
          <w:szCs w:val="24"/>
        </w:rPr>
        <w:t>’</w:t>
      </w:r>
      <w:r w:rsidR="002D4DE9" w:rsidRPr="00E869A4">
        <w:rPr>
          <w:rFonts w:ascii="Times New Roman" w:eastAsia="Times New Roman" w:hAnsi="Times New Roman" w:cs="Times New Roman"/>
          <w:szCs w:val="24"/>
        </w:rPr>
        <w:t xml:space="preserve"> (</w:t>
      </w:r>
      <w:r w:rsidR="002D4DE9" w:rsidRPr="00E869A4">
        <w:rPr>
          <w:rFonts w:ascii="Times New Roman" w:eastAsia="Times New Roman" w:hAnsi="Times New Roman" w:cs="Times New Roman"/>
          <w:i/>
          <w:szCs w:val="24"/>
        </w:rPr>
        <w:t>he said in astonishment</w:t>
      </w:r>
      <w:r w:rsidR="002D4DE9" w:rsidRPr="00E869A4">
        <w:rPr>
          <w:rFonts w:ascii="Times New Roman" w:eastAsia="Times New Roman" w:hAnsi="Times New Roman" w:cs="Times New Roman"/>
          <w:szCs w:val="24"/>
        </w:rPr>
        <w:t>).</w:t>
      </w:r>
    </w:p>
    <w:p w14:paraId="7790BE9B" w14:textId="77777777" w:rsidR="00DD2837" w:rsidRPr="00E869A4" w:rsidRDefault="00DD2837" w:rsidP="00144886">
      <w:pPr>
        <w:autoSpaceDE w:val="0"/>
        <w:autoSpaceDN w:val="0"/>
        <w:adjustRightInd w:val="0"/>
        <w:spacing w:line="240" w:lineRule="auto"/>
        <w:rPr>
          <w:rFonts w:ascii="Times New Roman" w:eastAsia="Times New Roman" w:hAnsi="Times New Roman" w:cs="Times New Roman"/>
          <w:szCs w:val="24"/>
        </w:rPr>
      </w:pPr>
      <w:r w:rsidRPr="00E869A4">
        <w:rPr>
          <w:rFonts w:ascii="Times New Roman" w:eastAsia="Times New Roman" w:hAnsi="Times New Roman" w:cs="Times New Roman"/>
          <w:szCs w:val="24"/>
        </w:rPr>
        <w:t xml:space="preserve"> </w:t>
      </w:r>
    </w:p>
    <w:p w14:paraId="06ED484F" w14:textId="19F65E4F" w:rsidR="00DD2837" w:rsidRPr="00E869A4" w:rsidRDefault="00DD2837" w:rsidP="000C2020">
      <w:pPr>
        <w:autoSpaceDE w:val="0"/>
        <w:autoSpaceDN w:val="0"/>
        <w:adjustRightInd w:val="0"/>
        <w:ind w:firstLine="0"/>
        <w:rPr>
          <w:rFonts w:ascii="Times New Roman" w:eastAsia="Times New Roman" w:hAnsi="Times New Roman" w:cs="Times New Roman"/>
          <w:szCs w:val="24"/>
        </w:rPr>
      </w:pPr>
      <w:r w:rsidRPr="00E869A4">
        <w:rPr>
          <w:rFonts w:ascii="Times New Roman" w:eastAsia="Times New Roman" w:hAnsi="Times New Roman" w:cs="Times New Roman"/>
          <w:szCs w:val="24"/>
        </w:rPr>
        <w:lastRenderedPageBreak/>
        <w:t xml:space="preserve">However, </w:t>
      </w:r>
      <w:r w:rsidR="00AC43FB" w:rsidRPr="00E869A4">
        <w:rPr>
          <w:rFonts w:ascii="Times New Roman" w:eastAsia="Times New Roman" w:hAnsi="Times New Roman" w:cs="Times New Roman"/>
          <w:szCs w:val="24"/>
        </w:rPr>
        <w:t>al</w:t>
      </w:r>
      <w:r w:rsidRPr="00E869A4">
        <w:rPr>
          <w:rFonts w:ascii="Times New Roman" w:eastAsia="Times New Roman" w:hAnsi="Times New Roman" w:cs="Times New Roman"/>
          <w:szCs w:val="24"/>
        </w:rPr>
        <w:t xml:space="preserve">though Uncle Wilton could entrust Tricia and Mr. Birch to conduct his financial affairs, he did not have the same trust in Ann, a woman he referred to as his </w:t>
      </w:r>
      <w:r w:rsidR="000C2020"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so-called-daughter</w:t>
      </w:r>
      <w:r w:rsidR="000C2020"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Uncle Wilton was convinced that Ann only </w:t>
      </w:r>
      <w:r w:rsidR="00581176" w:rsidRPr="00E869A4">
        <w:rPr>
          <w:rFonts w:ascii="Times New Roman" w:eastAsia="Times New Roman" w:hAnsi="Times New Roman" w:cs="Times New Roman"/>
          <w:szCs w:val="24"/>
        </w:rPr>
        <w:t>assisted</w:t>
      </w:r>
      <w:r w:rsidRPr="00E869A4">
        <w:rPr>
          <w:rFonts w:ascii="Times New Roman" w:eastAsia="Times New Roman" w:hAnsi="Times New Roman" w:cs="Times New Roman"/>
          <w:szCs w:val="24"/>
        </w:rPr>
        <w:t xml:space="preserve"> him </w:t>
      </w:r>
      <w:r w:rsidR="00581176" w:rsidRPr="00E869A4">
        <w:rPr>
          <w:rFonts w:ascii="Times New Roman" w:eastAsia="Times New Roman" w:hAnsi="Times New Roman" w:cs="Times New Roman"/>
          <w:szCs w:val="24"/>
        </w:rPr>
        <w:t>because</w:t>
      </w:r>
      <w:r w:rsidRPr="00E869A4">
        <w:rPr>
          <w:rFonts w:ascii="Times New Roman" w:eastAsia="Times New Roman" w:hAnsi="Times New Roman" w:cs="Times New Roman"/>
          <w:szCs w:val="24"/>
        </w:rPr>
        <w:t xml:space="preserve"> of a desire to inherit his property rather than </w:t>
      </w:r>
      <w:r w:rsidR="00A86B94" w:rsidRPr="00E869A4">
        <w:rPr>
          <w:rFonts w:ascii="Times New Roman" w:eastAsia="Times New Roman" w:hAnsi="Times New Roman" w:cs="Times New Roman"/>
          <w:szCs w:val="24"/>
        </w:rPr>
        <w:t xml:space="preserve">out of </w:t>
      </w:r>
      <w:r w:rsidRPr="00E869A4">
        <w:rPr>
          <w:rFonts w:ascii="Times New Roman" w:eastAsia="Times New Roman" w:hAnsi="Times New Roman" w:cs="Times New Roman"/>
          <w:szCs w:val="24"/>
        </w:rPr>
        <w:t>genuine concern for his wellbeing</w:t>
      </w:r>
      <w:r w:rsidR="00727771" w:rsidRPr="00E869A4">
        <w:rPr>
          <w:rFonts w:ascii="Times New Roman" w:eastAsia="Times New Roman" w:hAnsi="Times New Roman" w:cs="Times New Roman"/>
          <w:szCs w:val="24"/>
        </w:rPr>
        <w:t>:</w:t>
      </w:r>
    </w:p>
    <w:p w14:paraId="57FBA5E3"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6C17CF3A" w14:textId="72DE4526" w:rsidR="00DD2837" w:rsidRPr="00E869A4" w:rsidRDefault="00DD2837" w:rsidP="009E0A7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Well right now she (Ann) has her youngest daughter. [The young woman is twenty-one [years]. [Ann] brought her here. [</w:t>
      </w:r>
      <w:r w:rsidR="00581176" w:rsidRPr="00E869A4">
        <w:rPr>
          <w:rFonts w:ascii="Times New Roman" w:hAnsi="Times New Roman" w:cs="Times New Roman"/>
          <w:szCs w:val="24"/>
        </w:rPr>
        <w:t>Sometime</w:t>
      </w:r>
      <w:r w:rsidRPr="00E869A4">
        <w:rPr>
          <w:rFonts w:ascii="Times New Roman" w:hAnsi="Times New Roman" w:cs="Times New Roman"/>
          <w:szCs w:val="24"/>
        </w:rPr>
        <w:t xml:space="preserve"> after]</w:t>
      </w:r>
      <w:r w:rsidR="00F27B34">
        <w:rPr>
          <w:rFonts w:ascii="Times New Roman" w:hAnsi="Times New Roman" w:cs="Times New Roman"/>
          <w:szCs w:val="24"/>
        </w:rPr>
        <w:t xml:space="preserve"> </w:t>
      </w:r>
      <w:r w:rsidRPr="00E869A4">
        <w:rPr>
          <w:rFonts w:ascii="Times New Roman" w:hAnsi="Times New Roman" w:cs="Times New Roman"/>
          <w:szCs w:val="24"/>
        </w:rPr>
        <w:t xml:space="preserve">Ann tell me the girl pregnant. I tell her she right. I say, </w:t>
      </w:r>
      <w:r w:rsidR="00581176" w:rsidRPr="00E869A4">
        <w:rPr>
          <w:rFonts w:ascii="Times New Roman" w:eastAsia="Times New Roman" w:hAnsi="Times New Roman" w:cs="Times New Roman"/>
          <w:szCs w:val="24"/>
        </w:rPr>
        <w:t>‘The</w:t>
      </w:r>
      <w:r w:rsidRPr="00E869A4">
        <w:rPr>
          <w:rFonts w:ascii="Times New Roman" w:eastAsia="Times New Roman" w:hAnsi="Times New Roman" w:cs="Times New Roman"/>
          <w:szCs w:val="24"/>
        </w:rPr>
        <w:t xml:space="preserve"> only daughter you have yuh fightin’ for possession</w:t>
      </w:r>
      <w:r w:rsidR="00581176" w:rsidRPr="00E869A4">
        <w:rPr>
          <w:rFonts w:ascii="Times New Roman" w:eastAsia="Times New Roman" w:hAnsi="Times New Roman" w:cs="Times New Roman"/>
          <w:szCs w:val="24"/>
        </w:rPr>
        <w:t>’</w:t>
      </w:r>
      <w:r w:rsidR="000C2020" w:rsidRPr="00E869A4">
        <w:rPr>
          <w:rFonts w:ascii="Times New Roman" w:eastAsia="Times New Roman" w:hAnsi="Times New Roman" w:cs="Times New Roman"/>
          <w:szCs w:val="24"/>
        </w:rPr>
        <w:t>. I tell her jus’ so: ‘</w:t>
      </w:r>
      <w:r w:rsidRPr="00E869A4">
        <w:rPr>
          <w:rFonts w:ascii="Times New Roman" w:eastAsia="Times New Roman" w:hAnsi="Times New Roman" w:cs="Times New Roman"/>
          <w:szCs w:val="24"/>
        </w:rPr>
        <w:t>You let her go to the world</w:t>
      </w:r>
      <w:r w:rsidR="002D4DE9"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 you have 3 boys an’ </w:t>
      </w:r>
      <w:r w:rsidR="002D4DE9" w:rsidRPr="00E869A4">
        <w:rPr>
          <w:rFonts w:ascii="Times New Roman" w:eastAsia="Times New Roman" w:hAnsi="Times New Roman" w:cs="Times New Roman"/>
          <w:szCs w:val="24"/>
        </w:rPr>
        <w:t>one</w:t>
      </w:r>
      <w:r w:rsidRPr="00E869A4">
        <w:rPr>
          <w:rFonts w:ascii="Times New Roman" w:eastAsia="Times New Roman" w:hAnsi="Times New Roman" w:cs="Times New Roman"/>
          <w:szCs w:val="24"/>
        </w:rPr>
        <w:t xml:space="preserve"> daughter. You bring her an’ let her go here … what you expect?!</w:t>
      </w:r>
      <w:r w:rsidR="00E71F3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Well she shake her head. She say</w:t>
      </w:r>
      <w:r w:rsidR="00581176"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581176"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No</w:t>
      </w:r>
      <w:r w:rsidR="00581176"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But I know to myself she fightin’ for possession – yeah. Because she tell herself, if my niece (Tricia) could be downstairs there, she could be t</w:t>
      </w:r>
      <w:r w:rsidR="000C2020" w:rsidRPr="00E869A4">
        <w:rPr>
          <w:rFonts w:ascii="Times New Roman" w:eastAsia="Times New Roman" w:hAnsi="Times New Roman" w:cs="Times New Roman"/>
          <w:szCs w:val="24"/>
        </w:rPr>
        <w:t>here too whilst I’m still alive</w:t>
      </w:r>
      <w:r w:rsidR="009E0A70" w:rsidRPr="00E869A4">
        <w:rPr>
          <w:rFonts w:ascii="Times New Roman" w:eastAsia="Times New Roman" w:hAnsi="Times New Roman" w:cs="Times New Roman"/>
          <w:szCs w:val="24"/>
        </w:rPr>
        <w:t>.</w:t>
      </w:r>
    </w:p>
    <w:p w14:paraId="6875D523" w14:textId="77777777" w:rsidR="00DD2837" w:rsidRPr="00E869A4" w:rsidRDefault="00DD2837" w:rsidP="00144886">
      <w:pPr>
        <w:autoSpaceDE w:val="0"/>
        <w:autoSpaceDN w:val="0"/>
        <w:adjustRightInd w:val="0"/>
        <w:spacing w:line="240" w:lineRule="auto"/>
        <w:rPr>
          <w:rFonts w:ascii="Times New Roman" w:eastAsia="Times New Roman" w:hAnsi="Times New Roman" w:cs="Times New Roman"/>
          <w:szCs w:val="24"/>
          <w:lang w:eastAsia="en-TT"/>
        </w:rPr>
      </w:pPr>
    </w:p>
    <w:p w14:paraId="0B7E7D4E" w14:textId="662ACFC1" w:rsidR="00DD2837" w:rsidRPr="00E869A4" w:rsidRDefault="00DD2837" w:rsidP="00AC43FB">
      <w:pPr>
        <w:rPr>
          <w:rFonts w:ascii="Times New Roman" w:eastAsia="Times New Roman" w:hAnsi="Times New Roman" w:cs="Times New Roman"/>
          <w:szCs w:val="24"/>
          <w:lang w:eastAsia="en-TT"/>
        </w:rPr>
      </w:pPr>
      <w:r w:rsidRPr="00E869A4">
        <w:rPr>
          <w:rFonts w:ascii="Times New Roman" w:eastAsia="Times New Roman" w:hAnsi="Times New Roman" w:cs="Times New Roman"/>
          <w:szCs w:val="24"/>
          <w:lang w:eastAsia="en-TT"/>
        </w:rPr>
        <w:t xml:space="preserve">According to Uncle Wilton, Ann was the daughter of a woman who purported that he was </w:t>
      </w:r>
      <w:r w:rsidR="00DC42B2">
        <w:rPr>
          <w:rFonts w:ascii="Times New Roman" w:eastAsia="Times New Roman" w:hAnsi="Times New Roman" w:cs="Times New Roman"/>
          <w:szCs w:val="24"/>
          <w:lang w:eastAsia="en-TT"/>
        </w:rPr>
        <w:t>her</w:t>
      </w:r>
      <w:r w:rsidRPr="00E869A4">
        <w:rPr>
          <w:rFonts w:ascii="Times New Roman" w:eastAsia="Times New Roman" w:hAnsi="Times New Roman" w:cs="Times New Roman"/>
          <w:szCs w:val="24"/>
          <w:lang w:eastAsia="en-TT"/>
        </w:rPr>
        <w:t xml:space="preserve"> father. </w:t>
      </w:r>
      <w:r w:rsidR="00E71F3A" w:rsidRPr="00E869A4">
        <w:rPr>
          <w:rFonts w:ascii="Times New Roman" w:eastAsia="Times New Roman" w:hAnsi="Times New Roman" w:cs="Times New Roman"/>
          <w:szCs w:val="24"/>
          <w:lang w:eastAsia="en-TT"/>
        </w:rPr>
        <w:t>However</w:t>
      </w:r>
      <w:r w:rsidRPr="00E869A4">
        <w:rPr>
          <w:rFonts w:ascii="Times New Roman" w:eastAsia="Times New Roman" w:hAnsi="Times New Roman" w:cs="Times New Roman"/>
          <w:szCs w:val="24"/>
          <w:lang w:eastAsia="en-TT"/>
        </w:rPr>
        <w:t xml:space="preserve">, since he and his wife were childless, he felt strongly that he could not have fathered Ann with another woman. </w:t>
      </w:r>
      <w:r w:rsidR="009F43A8" w:rsidRPr="00E869A4">
        <w:rPr>
          <w:rFonts w:ascii="Times New Roman" w:eastAsia="Times New Roman" w:hAnsi="Times New Roman" w:cs="Times New Roman"/>
          <w:szCs w:val="24"/>
          <w:lang w:eastAsia="en-TT"/>
        </w:rPr>
        <w:t>Al</w:t>
      </w:r>
      <w:r w:rsidRPr="00E869A4">
        <w:rPr>
          <w:rFonts w:ascii="Times New Roman" w:eastAsia="Times New Roman" w:hAnsi="Times New Roman" w:cs="Times New Roman"/>
          <w:szCs w:val="24"/>
          <w:lang w:eastAsia="en-TT"/>
        </w:rPr>
        <w:t xml:space="preserve">though he was unwilling to accept that Ann was his daughter and </w:t>
      </w:r>
      <w:r w:rsidR="009F43A8" w:rsidRPr="00E869A4">
        <w:rPr>
          <w:rFonts w:ascii="Times New Roman" w:eastAsia="Times New Roman" w:hAnsi="Times New Roman" w:cs="Times New Roman"/>
          <w:szCs w:val="24"/>
          <w:lang w:eastAsia="en-TT"/>
        </w:rPr>
        <w:t>did not</w:t>
      </w:r>
      <w:r w:rsidRPr="00E869A4">
        <w:rPr>
          <w:rFonts w:ascii="Times New Roman" w:eastAsia="Times New Roman" w:hAnsi="Times New Roman" w:cs="Times New Roman"/>
          <w:szCs w:val="24"/>
          <w:lang w:eastAsia="en-TT"/>
        </w:rPr>
        <w:t xml:space="preserve"> trust her motives for helping him, he allowed her to assist him with his housekeeping. He had hoped that his niece-in-law Maria, who he and his wife raised as if she were their own daughter, would have helped with care provision. But, Maria did not reciprocate the care he and his wife provided. According to Uncle Wilton, whenever Maria displayed any interest in him, there always seemed to be an ulterior motive</w:t>
      </w:r>
      <w:r w:rsidR="00727771" w:rsidRPr="00E869A4">
        <w:rPr>
          <w:rFonts w:ascii="Times New Roman" w:eastAsia="Times New Roman" w:hAnsi="Times New Roman" w:cs="Times New Roman"/>
          <w:szCs w:val="24"/>
          <w:lang w:eastAsia="en-TT"/>
        </w:rPr>
        <w:t>:</w:t>
      </w:r>
      <w:r w:rsidRPr="00E869A4">
        <w:rPr>
          <w:rFonts w:ascii="Times New Roman" w:eastAsia="Times New Roman" w:hAnsi="Times New Roman" w:cs="Times New Roman"/>
          <w:szCs w:val="24"/>
          <w:lang w:eastAsia="en-TT"/>
        </w:rPr>
        <w:t> </w:t>
      </w:r>
    </w:p>
    <w:p w14:paraId="523293F5" w14:textId="77777777" w:rsidR="00491284" w:rsidRPr="00E869A4" w:rsidRDefault="00491284" w:rsidP="00491284">
      <w:pPr>
        <w:spacing w:line="240" w:lineRule="auto"/>
        <w:rPr>
          <w:rFonts w:ascii="Times New Roman" w:eastAsia="Times New Roman" w:hAnsi="Times New Roman" w:cs="Times New Roman"/>
          <w:szCs w:val="24"/>
          <w:lang w:eastAsia="en-TT"/>
        </w:rPr>
      </w:pPr>
    </w:p>
    <w:p w14:paraId="3C9281E6" w14:textId="3592B358" w:rsidR="00DD2837" w:rsidRPr="00E869A4" w:rsidRDefault="00DD2837" w:rsidP="0099543B">
      <w:pPr>
        <w:spacing w:line="240" w:lineRule="auto"/>
        <w:ind w:left="567" w:firstLine="0"/>
        <w:rPr>
          <w:rFonts w:ascii="Times New Roman" w:eastAsia="Times New Roman" w:hAnsi="Times New Roman" w:cs="Times New Roman"/>
          <w:szCs w:val="24"/>
          <w:lang w:eastAsia="en-TT"/>
        </w:rPr>
      </w:pPr>
      <w:r w:rsidRPr="00E869A4">
        <w:rPr>
          <w:rFonts w:ascii="Times New Roman" w:eastAsia="Times New Roman" w:hAnsi="Times New Roman" w:cs="Times New Roman"/>
          <w:szCs w:val="24"/>
          <w:lang w:eastAsia="en-TT"/>
        </w:rPr>
        <w:t xml:space="preserve">Sometimes [Maria visits] once a month, maybe twice a month, especially when she broken she call me </w:t>
      </w:r>
      <w:r w:rsidR="0021144E"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lang w:eastAsia="en-TT"/>
        </w:rPr>
        <w:t>she want a raise</w:t>
      </w:r>
      <w:r w:rsidR="00C24DC5" w:rsidRPr="00E869A4">
        <w:rPr>
          <w:rFonts w:ascii="Times New Roman" w:eastAsia="Times New Roman" w:hAnsi="Times New Roman" w:cs="Times New Roman"/>
          <w:szCs w:val="24"/>
          <w:lang w:eastAsia="en-TT"/>
        </w:rPr>
        <w:t xml:space="preserve"> </w:t>
      </w:r>
      <w:r w:rsidRPr="00E869A4">
        <w:rPr>
          <w:rFonts w:ascii="Times New Roman" w:eastAsia="Times New Roman" w:hAnsi="Times New Roman" w:cs="Times New Roman"/>
          <w:szCs w:val="24"/>
          <w:lang w:eastAsia="en-TT"/>
        </w:rPr>
        <w:t xml:space="preserve">…. After she get </w:t>
      </w:r>
      <w:r w:rsidR="009F43A8" w:rsidRPr="00E869A4">
        <w:rPr>
          <w:rFonts w:ascii="Times New Roman" w:eastAsia="Times New Roman" w:hAnsi="Times New Roman" w:cs="Times New Roman"/>
          <w:szCs w:val="24"/>
          <w:lang w:eastAsia="en-TT"/>
        </w:rPr>
        <w:t>married,</w:t>
      </w:r>
      <w:r w:rsidRPr="00E869A4">
        <w:rPr>
          <w:rFonts w:ascii="Times New Roman" w:eastAsia="Times New Roman" w:hAnsi="Times New Roman" w:cs="Times New Roman"/>
          <w:szCs w:val="24"/>
          <w:lang w:eastAsia="en-TT"/>
        </w:rPr>
        <w:t xml:space="preserve"> she hardly used to visit us</w:t>
      </w:r>
      <w:r w:rsidR="00C24DC5" w:rsidRPr="00E869A4">
        <w:rPr>
          <w:rFonts w:ascii="Times New Roman" w:eastAsia="Times New Roman" w:hAnsi="Times New Roman" w:cs="Times New Roman"/>
          <w:szCs w:val="24"/>
          <w:lang w:eastAsia="en-TT"/>
        </w:rPr>
        <w:t xml:space="preserve"> </w:t>
      </w:r>
      <w:r w:rsidRPr="00E869A4">
        <w:rPr>
          <w:rFonts w:ascii="Times New Roman" w:eastAsia="Times New Roman" w:hAnsi="Times New Roman" w:cs="Times New Roman"/>
          <w:szCs w:val="24"/>
          <w:lang w:eastAsia="en-TT"/>
        </w:rPr>
        <w:t>... haaaaaaardly. The only time we would see her is if she in trouble: she want money, she come up</w:t>
      </w:r>
      <w:r w:rsidR="00C24DC5" w:rsidRPr="00E869A4">
        <w:rPr>
          <w:rFonts w:ascii="Times New Roman" w:eastAsia="Times New Roman" w:hAnsi="Times New Roman" w:cs="Times New Roman"/>
          <w:szCs w:val="24"/>
          <w:lang w:eastAsia="en-TT"/>
        </w:rPr>
        <w:t xml:space="preserve"> </w:t>
      </w:r>
      <w:r w:rsidRPr="00E869A4">
        <w:rPr>
          <w:rFonts w:ascii="Times New Roman" w:eastAsia="Times New Roman" w:hAnsi="Times New Roman" w:cs="Times New Roman"/>
          <w:szCs w:val="24"/>
          <w:lang w:eastAsia="en-TT"/>
        </w:rPr>
        <w:t>... Since my wife die, she always calling me an’ begging me</w:t>
      </w:r>
      <w:r w:rsidR="00C24DC5" w:rsidRPr="00E869A4">
        <w:rPr>
          <w:rFonts w:ascii="Times New Roman" w:eastAsia="Times New Roman" w:hAnsi="Times New Roman" w:cs="Times New Roman"/>
          <w:szCs w:val="24"/>
          <w:lang w:eastAsia="en-TT"/>
        </w:rPr>
        <w:t xml:space="preserve"> </w:t>
      </w:r>
      <w:r w:rsidRPr="00E869A4">
        <w:rPr>
          <w:rFonts w:ascii="Times New Roman" w:eastAsia="Times New Roman" w:hAnsi="Times New Roman" w:cs="Times New Roman"/>
          <w:szCs w:val="24"/>
          <w:lang w:eastAsia="en-TT"/>
        </w:rPr>
        <w:t xml:space="preserve">... </w:t>
      </w:r>
      <w:r w:rsidR="0099543B" w:rsidRPr="00E869A4">
        <w:rPr>
          <w:rFonts w:ascii="Times New Roman" w:eastAsia="Times New Roman" w:hAnsi="Times New Roman" w:cs="Times New Roman"/>
          <w:szCs w:val="24"/>
          <w:lang w:eastAsia="en-TT"/>
        </w:rPr>
        <w:t>she does not do anything for me.</w:t>
      </w:r>
    </w:p>
    <w:p w14:paraId="5B8E3583"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79A7BE13" w14:textId="77777777" w:rsidR="00DD2837" w:rsidRPr="00E869A4" w:rsidRDefault="00DD2837" w:rsidP="00783432">
      <w:pPr>
        <w:autoSpaceDE w:val="0"/>
        <w:autoSpaceDN w:val="0"/>
        <w:adjustRightInd w:val="0"/>
        <w:ind w:firstLine="0"/>
        <w:rPr>
          <w:rFonts w:ascii="Times New Roman" w:eastAsia="Times New Roman" w:hAnsi="Times New Roman" w:cs="Times New Roman"/>
          <w:szCs w:val="24"/>
        </w:rPr>
      </w:pPr>
      <w:r w:rsidRPr="00E869A4">
        <w:rPr>
          <w:rFonts w:ascii="Times New Roman" w:eastAsia="Times New Roman" w:hAnsi="Times New Roman" w:cs="Times New Roman"/>
          <w:szCs w:val="24"/>
        </w:rPr>
        <w:t xml:space="preserve">This complex family situation led Uncle Wilton to ask his niece Tricia to move in to one of the other houses he owned nearby and assist him by providing his meals and attending to his financial affairs. Thus, the care arrangements he had were largely based on his assessment of whether or not his family members were willing to care for motives other than financial gain. </w:t>
      </w:r>
    </w:p>
    <w:p w14:paraId="5DF44016" w14:textId="77777777" w:rsidR="008E3A82" w:rsidRPr="00E869A4" w:rsidRDefault="008E3A82" w:rsidP="00A35FF8">
      <w:pPr>
        <w:autoSpaceDE w:val="0"/>
        <w:autoSpaceDN w:val="0"/>
        <w:adjustRightInd w:val="0"/>
        <w:rPr>
          <w:rFonts w:ascii="Times New Roman" w:eastAsia="Times New Roman" w:hAnsi="Times New Roman" w:cs="Times New Roman"/>
          <w:szCs w:val="24"/>
        </w:rPr>
      </w:pPr>
    </w:p>
    <w:p w14:paraId="3333D6CA" w14:textId="1EC9F5DE" w:rsidR="00DD2837" w:rsidRPr="00E869A4" w:rsidRDefault="00DD2837" w:rsidP="00A35FF8">
      <w:pPr>
        <w:autoSpaceDE w:val="0"/>
        <w:autoSpaceDN w:val="0"/>
        <w:adjustRightInd w:val="0"/>
        <w:rPr>
          <w:rFonts w:ascii="Times New Roman" w:eastAsia="Times New Roman" w:hAnsi="Times New Roman" w:cs="Times New Roman"/>
          <w:szCs w:val="24"/>
        </w:rPr>
      </w:pPr>
      <w:r w:rsidRPr="00E869A4">
        <w:rPr>
          <w:rFonts w:ascii="Times New Roman" w:eastAsia="Times New Roman" w:hAnsi="Times New Roman" w:cs="Times New Roman"/>
          <w:szCs w:val="24"/>
        </w:rPr>
        <w:t>Owning property and having his personal finances enabled Uncle Wilton to negotiate his care arrangements in a manner that was favourable to him, rather than be</w:t>
      </w:r>
      <w:r w:rsidR="003B6CEA" w:rsidRPr="00E869A4">
        <w:rPr>
          <w:rFonts w:ascii="Times New Roman" w:eastAsia="Times New Roman" w:hAnsi="Times New Roman" w:cs="Times New Roman"/>
          <w:szCs w:val="24"/>
        </w:rPr>
        <w:t>ing</w:t>
      </w:r>
      <w:r w:rsidRPr="00E869A4">
        <w:rPr>
          <w:rFonts w:ascii="Times New Roman" w:eastAsia="Times New Roman" w:hAnsi="Times New Roman" w:cs="Times New Roman"/>
          <w:szCs w:val="24"/>
        </w:rPr>
        <w:t xml:space="preserve"> dependent on relatives who were reluctant to provide support, or did so for seemingly nefarious reasons. His situation was reflective of the findings made by Rawlins (2014)</w:t>
      </w:r>
      <w:r w:rsidR="0021144E"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who observed that homeownership by older persons was an important resource for arranging suitable family care by relatives. </w:t>
      </w:r>
    </w:p>
    <w:p w14:paraId="00E2BE37" w14:textId="6329F510" w:rsidR="00DD2837" w:rsidRPr="00E869A4" w:rsidRDefault="00DD2837" w:rsidP="00A35FF8">
      <w:pPr>
        <w:autoSpaceDE w:val="0"/>
        <w:autoSpaceDN w:val="0"/>
        <w:adjustRightInd w:val="0"/>
        <w:rPr>
          <w:rFonts w:ascii="Times New Roman" w:hAnsi="Times New Roman" w:cs="Times New Roman"/>
          <w:szCs w:val="24"/>
        </w:rPr>
      </w:pPr>
      <w:r w:rsidRPr="00E869A4">
        <w:rPr>
          <w:rFonts w:ascii="Times New Roman" w:eastAsia="Times New Roman" w:hAnsi="Times New Roman" w:cs="Times New Roman"/>
          <w:szCs w:val="24"/>
        </w:rPr>
        <w:lastRenderedPageBreak/>
        <w:t xml:space="preserve">None of the other primary family caregivers from the in-depth interviews mentioned material benefits as a determinant of care provision. However, other participants in the interviews and focus groups raised concerns about persons who they suspected were only providing family care support in order to obtain material benefits. </w:t>
      </w:r>
      <w:r w:rsidRPr="00E869A4">
        <w:rPr>
          <w:rFonts w:ascii="Times New Roman" w:hAnsi="Times New Roman" w:cs="Times New Roman"/>
          <w:szCs w:val="24"/>
        </w:rPr>
        <w:t>Professor Brenda, a secondary family carer, believed that her mother was being financially abused by her Uncle who was providing primary care support while she was overseas</w:t>
      </w:r>
      <w:r w:rsidR="008E3A82" w:rsidRPr="00E869A4">
        <w:rPr>
          <w:rFonts w:ascii="Times New Roman" w:hAnsi="Times New Roman" w:cs="Times New Roman"/>
          <w:szCs w:val="24"/>
        </w:rPr>
        <w:t>:</w:t>
      </w:r>
      <w:r w:rsidRPr="00E869A4">
        <w:rPr>
          <w:rFonts w:ascii="Times New Roman" w:hAnsi="Times New Roman" w:cs="Times New Roman"/>
          <w:szCs w:val="24"/>
        </w:rPr>
        <w:t xml:space="preserve"> </w:t>
      </w:r>
    </w:p>
    <w:p w14:paraId="15A7E8A0"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6593EEC8" w14:textId="4BFA0A5B" w:rsidR="00DD2837" w:rsidRPr="00E869A4" w:rsidRDefault="00DD2837" w:rsidP="0099543B">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I have an uncle </w:t>
      </w:r>
      <w:r w:rsidR="00B82A2F" w:rsidRPr="00E869A4">
        <w:rPr>
          <w:rFonts w:ascii="Times New Roman" w:hAnsi="Times New Roman" w:cs="Times New Roman"/>
          <w:szCs w:val="24"/>
        </w:rPr>
        <w:t>…</w:t>
      </w:r>
      <w:r w:rsidRPr="00E869A4">
        <w:rPr>
          <w:rFonts w:ascii="Times New Roman" w:eastAsia="Times New Roman" w:hAnsi="Times New Roman" w:cs="Times New Roman"/>
          <w:szCs w:val="24"/>
        </w:rPr>
        <w:t xml:space="preserve"> he sees to her affairs</w:t>
      </w:r>
      <w:r w:rsidR="009B027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[S]he used to have money in the bank [but] when I came … all the money was gone</w:t>
      </w:r>
      <w:r w:rsidR="009B027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9B027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she get her pension</w:t>
      </w:r>
      <w:r w:rsidR="00821785"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she had money and sometime I send money. When I asked her what happen, you know what she said? She said, </w:t>
      </w:r>
      <w:r w:rsidR="00821785"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I don’t know: they take me to the bank, the teller comes out, I tell them what I want … and time I get home here I don’t know where the money gone</w:t>
      </w:r>
      <w:r w:rsidR="00821785"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she’s afraid to accuse anybody because these are the people that you’re depending on to take care of </w:t>
      </w:r>
      <w:r w:rsidR="009B0275" w:rsidRPr="00E869A4">
        <w:rPr>
          <w:rFonts w:ascii="Times New Roman" w:eastAsia="Times New Roman" w:hAnsi="Times New Roman" w:cs="Times New Roman"/>
          <w:szCs w:val="24"/>
        </w:rPr>
        <w:t>you. So it’s really … really hard</w:t>
      </w:r>
      <w:r w:rsidR="009B0275" w:rsidRPr="00E869A4">
        <w:rPr>
          <w:rFonts w:ascii="Times New Roman" w:hAnsi="Times New Roman" w:cs="Times New Roman"/>
          <w:szCs w:val="24"/>
        </w:rPr>
        <w:t>.</w:t>
      </w:r>
    </w:p>
    <w:p w14:paraId="773C5DE2"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61EAACEC" w14:textId="5BAB5841" w:rsidR="00DD2837" w:rsidRPr="00E869A4" w:rsidRDefault="00DD2837" w:rsidP="00E73A5C">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 xml:space="preserve">The issue of financial abuse of older persons by family members was also shared in the focus group sessions. One participant </w:t>
      </w:r>
      <w:r w:rsidR="0099543B" w:rsidRPr="00E869A4">
        <w:rPr>
          <w:rFonts w:ascii="Times New Roman" w:hAnsi="Times New Roman" w:cs="Times New Roman"/>
          <w:szCs w:val="24"/>
        </w:rPr>
        <w:t xml:space="preserve">(Gaitri) </w:t>
      </w:r>
      <w:r w:rsidRPr="00E869A4">
        <w:rPr>
          <w:rFonts w:ascii="Times New Roman" w:hAnsi="Times New Roman" w:cs="Times New Roman"/>
          <w:szCs w:val="24"/>
        </w:rPr>
        <w:t>in the Trinidad caregiver focus group indicated that after her brother inherited property from their mother, he stopped providing any care support but kept demanding other valuables</w:t>
      </w:r>
      <w:r w:rsidR="008E3A82" w:rsidRPr="00E869A4">
        <w:rPr>
          <w:rFonts w:ascii="Times New Roman" w:hAnsi="Times New Roman" w:cs="Times New Roman"/>
          <w:szCs w:val="24"/>
        </w:rPr>
        <w:t>:</w:t>
      </w:r>
    </w:p>
    <w:p w14:paraId="02F8C376"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1C6F44A9" w14:textId="7A3A4110" w:rsidR="00DD2837" w:rsidRPr="00E869A4" w:rsidRDefault="00DD2837" w:rsidP="009954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567" w:firstLine="0"/>
        <w:rPr>
          <w:rFonts w:ascii="Times New Roman" w:eastAsia="Times New Roman" w:hAnsi="Times New Roman" w:cs="Times New Roman"/>
          <w:szCs w:val="24"/>
        </w:rPr>
      </w:pPr>
      <w:r w:rsidRPr="00E869A4">
        <w:rPr>
          <w:rFonts w:ascii="Times New Roman" w:eastAsia="Times New Roman" w:hAnsi="Times New Roman" w:cs="Times New Roman"/>
          <w:szCs w:val="24"/>
        </w:rPr>
        <w:t>Well when my brother got what he had to get from my mother</w:t>
      </w:r>
      <w:r w:rsidR="009B027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9B027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he got land and he sold [it, then] he stop coming: he got what he wanted</w:t>
      </w:r>
      <w:r w:rsidR="009B027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[Some time afterwards] he came and quarrel for the jewellery and my mother said</w:t>
      </w:r>
      <w:r w:rsidR="000F07C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0F07C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No</w:t>
      </w:r>
      <w:r w:rsidR="009B027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 have a granddaughter</w:t>
      </w:r>
      <w:r w:rsidR="000F07C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[She was referring to] my daughter. He came and carry-on with his wife and my mother said</w:t>
      </w:r>
      <w:r w:rsidR="000F07C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0F07C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No. Sorry</w:t>
      </w:r>
      <w:r w:rsidR="009B0275" w:rsidRPr="00E869A4">
        <w:rPr>
          <w:rFonts w:ascii="Times New Roman" w:eastAsia="Times New Roman" w:hAnsi="Times New Roman" w:cs="Times New Roman"/>
          <w:szCs w:val="24"/>
        </w:rPr>
        <w:t>’</w:t>
      </w:r>
      <w:r w:rsidR="0099543B" w:rsidRPr="00E869A4">
        <w:rPr>
          <w:rFonts w:ascii="Times New Roman" w:eastAsia="Times New Roman" w:hAnsi="Times New Roman" w:cs="Times New Roman"/>
          <w:szCs w:val="24"/>
        </w:rPr>
        <w:t>.</w:t>
      </w:r>
    </w:p>
    <w:p w14:paraId="73A9C31D" w14:textId="77777777" w:rsidR="00C43D7B" w:rsidRPr="00E869A4" w:rsidRDefault="00C43D7B" w:rsidP="00A35FF8">
      <w:pPr>
        <w:rPr>
          <w:rFonts w:ascii="Times New Roman" w:hAnsi="Times New Roman" w:cs="Times New Roman"/>
        </w:rPr>
      </w:pPr>
    </w:p>
    <w:p w14:paraId="52AF1776" w14:textId="11A6FDF3" w:rsidR="00DD2837" w:rsidRPr="00E869A4" w:rsidRDefault="00DD2837" w:rsidP="00AC43FB">
      <w:pPr>
        <w:rPr>
          <w:rFonts w:ascii="Times New Roman" w:hAnsi="Times New Roman" w:cs="Times New Roman"/>
        </w:rPr>
      </w:pPr>
      <w:r w:rsidRPr="00E869A4">
        <w:rPr>
          <w:rFonts w:ascii="Times New Roman" w:hAnsi="Times New Roman" w:cs="Times New Roman"/>
        </w:rPr>
        <w:t xml:space="preserve">Another participant </w:t>
      </w:r>
      <w:r w:rsidR="003C7F38" w:rsidRPr="00E869A4">
        <w:rPr>
          <w:rFonts w:ascii="Times New Roman" w:hAnsi="Times New Roman" w:cs="Times New Roman"/>
        </w:rPr>
        <w:t xml:space="preserve">(Lakshmi) </w:t>
      </w:r>
      <w:r w:rsidRPr="00E869A4">
        <w:rPr>
          <w:rFonts w:ascii="Times New Roman" w:hAnsi="Times New Roman" w:cs="Times New Roman"/>
        </w:rPr>
        <w:t>from the focus group session in Tobago East (TEFG)</w:t>
      </w:r>
      <w:r w:rsidR="0001765D" w:rsidRPr="00E869A4">
        <w:rPr>
          <w:rFonts w:ascii="Times New Roman" w:hAnsi="Times New Roman" w:cs="Times New Roman"/>
        </w:rPr>
        <w:t>,</w:t>
      </w:r>
      <w:r w:rsidRPr="00E869A4">
        <w:rPr>
          <w:rFonts w:ascii="Times New Roman" w:hAnsi="Times New Roman" w:cs="Times New Roman"/>
        </w:rPr>
        <w:t xml:space="preserve"> shared about her sister’s desire to</w:t>
      </w:r>
      <w:r w:rsidR="00D3518B" w:rsidRPr="00E869A4">
        <w:rPr>
          <w:rFonts w:ascii="Times New Roman" w:hAnsi="Times New Roman" w:cs="Times New Roman"/>
        </w:rPr>
        <w:t xml:space="preserve"> inherit from their father but was reluctant </w:t>
      </w:r>
      <w:r w:rsidRPr="00E869A4">
        <w:rPr>
          <w:rFonts w:ascii="Times New Roman" w:hAnsi="Times New Roman" w:cs="Times New Roman"/>
        </w:rPr>
        <w:t>to provide family care</w:t>
      </w:r>
      <w:r w:rsidR="000F07C7" w:rsidRPr="00E869A4">
        <w:rPr>
          <w:rFonts w:ascii="Times New Roman" w:hAnsi="Times New Roman" w:cs="Times New Roman"/>
        </w:rPr>
        <w:t>:</w:t>
      </w:r>
      <w:r w:rsidRPr="00E869A4">
        <w:rPr>
          <w:rFonts w:ascii="Times New Roman" w:hAnsi="Times New Roman" w:cs="Times New Roman"/>
        </w:rPr>
        <w:t xml:space="preserve"> </w:t>
      </w:r>
    </w:p>
    <w:p w14:paraId="2223E150" w14:textId="77777777" w:rsidR="00A33AF2" w:rsidRPr="00E869A4" w:rsidRDefault="00A33AF2" w:rsidP="00144886">
      <w:pPr>
        <w:autoSpaceDE w:val="0"/>
        <w:autoSpaceDN w:val="0"/>
        <w:adjustRightInd w:val="0"/>
        <w:spacing w:line="240" w:lineRule="auto"/>
        <w:rPr>
          <w:rFonts w:ascii="Times New Roman" w:hAnsi="Times New Roman" w:cs="Times New Roman"/>
        </w:rPr>
      </w:pPr>
    </w:p>
    <w:p w14:paraId="55876C90" w14:textId="46DF5F56" w:rsidR="00DD2837" w:rsidRPr="00E869A4" w:rsidRDefault="00DD2837" w:rsidP="003C7F38">
      <w:pPr>
        <w:spacing w:line="240" w:lineRule="auto"/>
        <w:ind w:left="567" w:firstLine="0"/>
        <w:rPr>
          <w:rFonts w:ascii="Times New Roman" w:eastAsia="Times New Roman" w:hAnsi="Times New Roman" w:cs="Times New Roman"/>
          <w:szCs w:val="24"/>
        </w:rPr>
      </w:pPr>
      <w:r w:rsidRPr="00E869A4">
        <w:rPr>
          <w:rFonts w:ascii="Times New Roman" w:hAnsi="Times New Roman" w:cs="Times New Roman"/>
        </w:rPr>
        <w:t>When I go see my father [at his house in Trinidad]</w:t>
      </w:r>
      <w:r w:rsidR="00E73A5C" w:rsidRPr="00E869A4">
        <w:rPr>
          <w:rFonts w:ascii="Times New Roman" w:hAnsi="Times New Roman" w:cs="Times New Roman"/>
        </w:rPr>
        <w:t xml:space="preserve"> </w:t>
      </w:r>
      <w:r w:rsidRPr="00E869A4">
        <w:rPr>
          <w:rFonts w:ascii="Times New Roman" w:hAnsi="Times New Roman" w:cs="Times New Roman"/>
        </w:rPr>
        <w:t>… I know he like shrimp. I will buy a hundred dollars in shrimp. I’ll go an’ prepare it</w:t>
      </w:r>
      <w:r w:rsidR="00E73A5C" w:rsidRPr="00E869A4">
        <w:rPr>
          <w:rFonts w:ascii="Times New Roman" w:hAnsi="Times New Roman" w:cs="Times New Roman"/>
        </w:rPr>
        <w:t xml:space="preserve"> </w:t>
      </w:r>
      <w:r w:rsidRPr="00E869A4">
        <w:rPr>
          <w:rFonts w:ascii="Times New Roman" w:hAnsi="Times New Roman" w:cs="Times New Roman"/>
        </w:rPr>
        <w:t xml:space="preserve">… That is my duty as a chile: I </w:t>
      </w:r>
      <w:proofErr w:type="spellStart"/>
      <w:r w:rsidRPr="00E869A4">
        <w:rPr>
          <w:rFonts w:ascii="Times New Roman" w:hAnsi="Times New Roman" w:cs="Times New Roman"/>
        </w:rPr>
        <w:t>doh</w:t>
      </w:r>
      <w:proofErr w:type="spellEnd"/>
      <w:r w:rsidRPr="00E869A4">
        <w:rPr>
          <w:rFonts w:ascii="Times New Roman" w:hAnsi="Times New Roman" w:cs="Times New Roman"/>
        </w:rPr>
        <w:t xml:space="preserve"> want he to pay</w:t>
      </w:r>
      <w:r w:rsidR="00E73A5C" w:rsidRPr="00E869A4">
        <w:rPr>
          <w:rFonts w:ascii="Times New Roman" w:hAnsi="Times New Roman" w:cs="Times New Roman"/>
        </w:rPr>
        <w:t xml:space="preserve"> </w:t>
      </w:r>
      <w:r w:rsidRPr="00E869A4">
        <w:rPr>
          <w:rFonts w:ascii="Times New Roman" w:hAnsi="Times New Roman" w:cs="Times New Roman"/>
        </w:rPr>
        <w:t>… I know he like he juice, I go in de grocery I buy 2 gallon … That is what children ar</w:t>
      </w:r>
      <w:r w:rsidR="00E73A5C" w:rsidRPr="00E869A4">
        <w:rPr>
          <w:rFonts w:ascii="Times New Roman" w:hAnsi="Times New Roman" w:cs="Times New Roman"/>
        </w:rPr>
        <w:t>e for. Not to take from parents</w:t>
      </w:r>
      <w:r w:rsidRPr="00E869A4">
        <w:rPr>
          <w:rFonts w:ascii="Times New Roman" w:hAnsi="Times New Roman" w:cs="Times New Roman"/>
        </w:rPr>
        <w:t xml:space="preserve"> …</w:t>
      </w:r>
      <w:r w:rsidR="00E73A5C" w:rsidRPr="00E869A4">
        <w:rPr>
          <w:rFonts w:ascii="Times New Roman" w:hAnsi="Times New Roman" w:cs="Times New Roman"/>
        </w:rPr>
        <w:t xml:space="preserve"> </w:t>
      </w:r>
      <w:r w:rsidRPr="00E869A4">
        <w:rPr>
          <w:rFonts w:ascii="Times New Roman" w:hAnsi="Times New Roman" w:cs="Times New Roman"/>
        </w:rPr>
        <w:t>I have a sister living close [to my father], an’ when he get sick to go in de health centre (he said) “Call de one in Tobago” … but she comin’ an’ study (what he has) an’ that’s not fair</w:t>
      </w:r>
      <w:r w:rsidR="00E73A5C" w:rsidRPr="00E869A4">
        <w:rPr>
          <w:rFonts w:ascii="Times New Roman" w:hAnsi="Times New Roman" w:cs="Times New Roman"/>
        </w:rPr>
        <w:t xml:space="preserve"> </w:t>
      </w:r>
      <w:r w:rsidRPr="00E869A4">
        <w:rPr>
          <w:rFonts w:ascii="Times New Roman" w:hAnsi="Times New Roman" w:cs="Times New Roman"/>
        </w:rPr>
        <w:t xml:space="preserve">… He plant he lil tomato dey pickin’ an’ carryin’. He lil melongene, he lil pepper an’ t’ing: [they] fullin’ [dey] bag an’ gone but ain’t </w:t>
      </w:r>
      <w:r w:rsidR="00E73A5C" w:rsidRPr="00E869A4">
        <w:rPr>
          <w:rFonts w:ascii="Times New Roman" w:hAnsi="Times New Roman" w:cs="Times New Roman"/>
        </w:rPr>
        <w:t>bringin’ nothing [back for him]</w:t>
      </w:r>
      <w:r w:rsidRPr="00E869A4">
        <w:rPr>
          <w:rFonts w:ascii="Times New Roman" w:hAnsi="Times New Roman" w:cs="Times New Roman"/>
        </w:rPr>
        <w:t xml:space="preserve"> … [And yet] dey want to know w’en he dead, what [I] doin’ with he share. ‘Cause de day when [he] buy de land an’ we get de deed, he tell </w:t>
      </w:r>
      <w:proofErr w:type="spellStart"/>
      <w:r w:rsidRPr="00E869A4">
        <w:rPr>
          <w:rFonts w:ascii="Times New Roman" w:hAnsi="Times New Roman" w:cs="Times New Roman"/>
        </w:rPr>
        <w:t>meh</w:t>
      </w:r>
      <w:proofErr w:type="spellEnd"/>
      <w:r w:rsidRPr="00E869A4">
        <w:rPr>
          <w:rFonts w:ascii="Times New Roman" w:hAnsi="Times New Roman" w:cs="Times New Roman"/>
        </w:rPr>
        <w:t xml:space="preserve"> </w:t>
      </w:r>
      <w:r w:rsidR="00DD4199" w:rsidRPr="00E869A4">
        <w:rPr>
          <w:rFonts w:ascii="Times New Roman" w:hAnsi="Times New Roman" w:cs="Times New Roman"/>
        </w:rPr>
        <w:t>‘</w:t>
      </w:r>
      <w:r w:rsidRPr="00E869A4">
        <w:rPr>
          <w:rFonts w:ascii="Times New Roman" w:hAnsi="Times New Roman" w:cs="Times New Roman"/>
        </w:rPr>
        <w:t xml:space="preserve">Chile, you carry this to Tobago with you, because anything happen to </w:t>
      </w:r>
      <w:proofErr w:type="spellStart"/>
      <w:r w:rsidRPr="00E869A4">
        <w:rPr>
          <w:rFonts w:ascii="Times New Roman" w:hAnsi="Times New Roman" w:cs="Times New Roman"/>
        </w:rPr>
        <w:t>meh</w:t>
      </w:r>
      <w:proofErr w:type="spellEnd"/>
      <w:r w:rsidRPr="00E869A4">
        <w:rPr>
          <w:rFonts w:ascii="Times New Roman" w:hAnsi="Times New Roman" w:cs="Times New Roman"/>
        </w:rPr>
        <w:t xml:space="preserve"> they will take it</w:t>
      </w:r>
      <w:r w:rsidR="00DD4199" w:rsidRPr="00E869A4">
        <w:rPr>
          <w:rFonts w:ascii="Times New Roman" w:hAnsi="Times New Roman" w:cs="Times New Roman"/>
        </w:rPr>
        <w:t>’</w:t>
      </w:r>
      <w:r w:rsidRPr="00E869A4">
        <w:rPr>
          <w:rFonts w:ascii="Times New Roman" w:hAnsi="Times New Roman" w:cs="Times New Roman"/>
        </w:rPr>
        <w:t xml:space="preserve">. [My sister] gone an’ askin’ de ole’ man </w:t>
      </w:r>
      <w:r w:rsidR="000F07C7" w:rsidRPr="00E869A4">
        <w:rPr>
          <w:rFonts w:ascii="Times New Roman" w:hAnsi="Times New Roman" w:cs="Times New Roman"/>
        </w:rPr>
        <w:t>‘</w:t>
      </w:r>
      <w:r w:rsidRPr="00E869A4">
        <w:rPr>
          <w:rFonts w:ascii="Times New Roman" w:hAnsi="Times New Roman" w:cs="Times New Roman"/>
        </w:rPr>
        <w:t>How she could take de deed …?</w:t>
      </w:r>
      <w:r w:rsidR="000F07C7" w:rsidRPr="00E869A4">
        <w:rPr>
          <w:rFonts w:ascii="Times New Roman" w:hAnsi="Times New Roman" w:cs="Times New Roman"/>
        </w:rPr>
        <w:t>’</w:t>
      </w:r>
      <w:r w:rsidRPr="00E869A4">
        <w:rPr>
          <w:rFonts w:ascii="Times New Roman" w:hAnsi="Times New Roman" w:cs="Times New Roman"/>
        </w:rPr>
        <w:t xml:space="preserve"> [But], when de house was builin’, she ain’t put ah fart!’… [She even] sell [my father] van [for] $20,000. Dat is de ole man comfort!</w:t>
      </w:r>
    </w:p>
    <w:p w14:paraId="475CBA7C" w14:textId="77777777" w:rsidR="001E6A2C" w:rsidRPr="00E869A4" w:rsidRDefault="001E6A2C" w:rsidP="00144886">
      <w:pPr>
        <w:autoSpaceDE w:val="0"/>
        <w:autoSpaceDN w:val="0"/>
        <w:adjustRightInd w:val="0"/>
        <w:spacing w:line="240" w:lineRule="auto"/>
        <w:rPr>
          <w:rFonts w:ascii="Times New Roman" w:hAnsi="Times New Roman" w:cs="Times New Roman"/>
          <w:szCs w:val="24"/>
        </w:rPr>
      </w:pPr>
    </w:p>
    <w:p w14:paraId="4B6B0FA5" w14:textId="3BFE21F3" w:rsidR="00DD2837" w:rsidRPr="00E869A4" w:rsidRDefault="00DD2837" w:rsidP="00643883">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lastRenderedPageBreak/>
        <w:t>Lakshmi’s father was 93 years of age at the time of the interview. Despite his decision to provide her with an inheritance, Lakshmi maintained that it was her duty as his child to care for him</w:t>
      </w:r>
      <w:r w:rsidR="00DD4199" w:rsidRPr="00E869A4">
        <w:rPr>
          <w:rFonts w:ascii="Times New Roman" w:hAnsi="Times New Roman" w:cs="Times New Roman"/>
          <w:szCs w:val="24"/>
        </w:rPr>
        <w:t>,</w:t>
      </w:r>
      <w:r w:rsidRPr="00E869A4">
        <w:rPr>
          <w:rFonts w:ascii="Times New Roman" w:hAnsi="Times New Roman" w:cs="Times New Roman"/>
          <w:szCs w:val="24"/>
        </w:rPr>
        <w:t xml:space="preserve"> and was dismayed by the fact that her sister seemed more intent on obtaining his material resources than providing quality family care. </w:t>
      </w:r>
    </w:p>
    <w:p w14:paraId="65441CA8" w14:textId="77777777" w:rsidR="00C43D7B" w:rsidRPr="00E869A4" w:rsidRDefault="00C43D7B" w:rsidP="00A35FF8">
      <w:pPr>
        <w:autoSpaceDE w:val="0"/>
        <w:autoSpaceDN w:val="0"/>
        <w:adjustRightInd w:val="0"/>
        <w:rPr>
          <w:rFonts w:ascii="Times New Roman" w:hAnsi="Times New Roman" w:cs="Times New Roman"/>
          <w:szCs w:val="24"/>
        </w:rPr>
      </w:pPr>
    </w:p>
    <w:p w14:paraId="50C84FFA" w14:textId="77777777" w:rsidR="00DD2837" w:rsidRPr="00E869A4" w:rsidRDefault="00DD2837" w:rsidP="00C473A3">
      <w:pPr>
        <w:pStyle w:val="Heading4"/>
      </w:pPr>
      <w:r w:rsidRPr="00E869A4">
        <w:t>Moral / Religious Duty</w:t>
      </w:r>
    </w:p>
    <w:p w14:paraId="37978B53" w14:textId="77777777" w:rsidR="00A73A4D" w:rsidRPr="00E869A4" w:rsidRDefault="00A73A4D" w:rsidP="00A73A4D"/>
    <w:p w14:paraId="2FB118B7" w14:textId="2968B68F" w:rsidR="00DD2837" w:rsidRPr="00E869A4" w:rsidRDefault="00DD2837"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Some of the caregivers shared about their religious </w:t>
      </w:r>
      <w:r w:rsidR="00856C83" w:rsidRPr="00E869A4">
        <w:rPr>
          <w:rFonts w:ascii="Times New Roman" w:hAnsi="Times New Roman" w:cs="Times New Roman"/>
          <w:szCs w:val="24"/>
        </w:rPr>
        <w:t>beliefs, which</w:t>
      </w:r>
      <w:r w:rsidRPr="00E869A4">
        <w:rPr>
          <w:rFonts w:ascii="Times New Roman" w:hAnsi="Times New Roman" w:cs="Times New Roman"/>
          <w:szCs w:val="24"/>
        </w:rPr>
        <w:t xml:space="preserve"> served as a moral imperative for caregiving. According to Samantha Khan, </w:t>
      </w:r>
      <w:r w:rsidR="00643883" w:rsidRPr="00E869A4">
        <w:rPr>
          <w:rFonts w:ascii="Times New Roman" w:hAnsi="Times New Roman" w:cs="Times New Roman"/>
          <w:szCs w:val="24"/>
        </w:rPr>
        <w:t>“the bible says, you must honour your parents</w:t>
      </w:r>
      <w:r w:rsidR="00856C83" w:rsidRPr="00E869A4">
        <w:rPr>
          <w:rFonts w:ascii="Times New Roman" w:hAnsi="Times New Roman" w:cs="Times New Roman"/>
          <w:szCs w:val="24"/>
        </w:rPr>
        <w:t>”</w:t>
      </w:r>
      <w:r w:rsidRPr="00E869A4">
        <w:rPr>
          <w:rFonts w:ascii="Times New Roman" w:hAnsi="Times New Roman" w:cs="Times New Roman"/>
          <w:szCs w:val="24"/>
        </w:rPr>
        <w:t>.</w:t>
      </w:r>
      <w:r w:rsidRPr="00E869A4">
        <w:rPr>
          <w:rFonts w:ascii="Times New Roman" w:hAnsi="Times New Roman" w:cs="Times New Roman"/>
          <w:i/>
          <w:szCs w:val="24"/>
        </w:rPr>
        <w:t xml:space="preserve"> </w:t>
      </w:r>
      <w:r w:rsidRPr="00E869A4">
        <w:rPr>
          <w:rFonts w:ascii="Times New Roman" w:hAnsi="Times New Roman" w:cs="Times New Roman"/>
          <w:szCs w:val="24"/>
        </w:rPr>
        <w:t>Her belief in this religious tenet was one of the many reasons why she decided to provide primary care. Adelina shared a similar sentiment when she reflected on the estranged relationship between Tanty Edna and her children</w:t>
      </w:r>
      <w:r w:rsidR="006E61D6" w:rsidRPr="00E869A4">
        <w:rPr>
          <w:rFonts w:ascii="Times New Roman" w:hAnsi="Times New Roman" w:cs="Times New Roman"/>
          <w:szCs w:val="24"/>
        </w:rPr>
        <w:t>:</w:t>
      </w:r>
    </w:p>
    <w:p w14:paraId="380E0331"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0C9D390F" w14:textId="46646011" w:rsidR="00DD2837" w:rsidRPr="00E869A4" w:rsidRDefault="00DD2837" w:rsidP="003C7F38">
      <w:pPr>
        <w:spacing w:line="240" w:lineRule="auto"/>
        <w:ind w:left="567" w:firstLine="0"/>
        <w:rPr>
          <w:rFonts w:ascii="Times New Roman" w:hAnsi="Times New Roman" w:cs="Times New Roman"/>
        </w:rPr>
      </w:pPr>
      <w:r w:rsidRPr="00E869A4">
        <w:rPr>
          <w:rFonts w:ascii="Times New Roman" w:hAnsi="Times New Roman" w:cs="Times New Roman"/>
        </w:rPr>
        <w:t>But I can’t understand them and their thinking and attitude and behaviour because we grew up in an era where you respect your parents. You don’t tell them certain things, you don’t do certain things to your parent because it is dated back from the bible from the commandments …</w:t>
      </w:r>
      <w:r w:rsidR="006E61D6" w:rsidRPr="00E869A4">
        <w:rPr>
          <w:rFonts w:ascii="Times New Roman" w:hAnsi="Times New Roman" w:cs="Times New Roman"/>
        </w:rPr>
        <w:t xml:space="preserve"> ‘</w:t>
      </w:r>
      <w:r w:rsidRPr="00E869A4">
        <w:rPr>
          <w:rFonts w:ascii="Times New Roman" w:hAnsi="Times New Roman" w:cs="Times New Roman"/>
        </w:rPr>
        <w:t xml:space="preserve">honour they mother and thy father so that thy days shall be </w:t>
      </w:r>
      <w:r w:rsidR="006E61D6" w:rsidRPr="00E869A4">
        <w:rPr>
          <w:rFonts w:ascii="Times New Roman" w:hAnsi="Times New Roman" w:cs="Times New Roman"/>
        </w:rPr>
        <w:t>long the land of the living’</w:t>
      </w:r>
      <w:r w:rsidRPr="00E869A4">
        <w:rPr>
          <w:rFonts w:ascii="Times New Roman" w:hAnsi="Times New Roman" w:cs="Times New Roman"/>
        </w:rPr>
        <w:t>. And when you, curse yuh mother</w:t>
      </w:r>
      <w:r w:rsidR="00DF354B" w:rsidRPr="00E869A4">
        <w:rPr>
          <w:rFonts w:ascii="Times New Roman" w:hAnsi="Times New Roman" w:cs="Times New Roman"/>
        </w:rPr>
        <w:t xml:space="preserve"> </w:t>
      </w:r>
      <w:r w:rsidRPr="00E869A4">
        <w:rPr>
          <w:rFonts w:ascii="Times New Roman" w:hAnsi="Times New Roman" w:cs="Times New Roman"/>
        </w:rPr>
        <w:t>…</w:t>
      </w:r>
      <w:r w:rsidR="00DF354B" w:rsidRPr="00E869A4">
        <w:rPr>
          <w:rFonts w:ascii="Times New Roman" w:hAnsi="Times New Roman" w:cs="Times New Roman"/>
        </w:rPr>
        <w:t xml:space="preserve"> </w:t>
      </w:r>
      <w:r w:rsidRPr="00E869A4">
        <w:rPr>
          <w:rFonts w:ascii="Times New Roman" w:hAnsi="Times New Roman" w:cs="Times New Roman"/>
        </w:rPr>
        <w:t>you do your mother certain things</w:t>
      </w:r>
      <w:r w:rsidR="00DF354B" w:rsidRPr="00E869A4">
        <w:rPr>
          <w:rFonts w:ascii="Times New Roman" w:hAnsi="Times New Roman" w:cs="Times New Roman"/>
        </w:rPr>
        <w:t xml:space="preserve"> </w:t>
      </w:r>
      <w:r w:rsidRPr="00E869A4">
        <w:rPr>
          <w:rFonts w:ascii="Times New Roman" w:hAnsi="Times New Roman" w:cs="Times New Roman"/>
        </w:rPr>
        <w:t>… [it is unacceptable]</w:t>
      </w:r>
      <w:r w:rsidR="003C7F38" w:rsidRPr="00E869A4">
        <w:rPr>
          <w:rFonts w:ascii="Times New Roman" w:hAnsi="Times New Roman" w:cs="Times New Roman"/>
        </w:rPr>
        <w:t>.</w:t>
      </w:r>
    </w:p>
    <w:p w14:paraId="06A2A827" w14:textId="77777777" w:rsidR="001E6A2C" w:rsidRPr="00E869A4" w:rsidRDefault="001E6A2C" w:rsidP="00144886">
      <w:pPr>
        <w:autoSpaceDE w:val="0"/>
        <w:autoSpaceDN w:val="0"/>
        <w:adjustRightInd w:val="0"/>
        <w:spacing w:line="240" w:lineRule="auto"/>
        <w:rPr>
          <w:rFonts w:ascii="Times New Roman" w:hAnsi="Times New Roman" w:cs="Times New Roman"/>
        </w:rPr>
      </w:pPr>
    </w:p>
    <w:p w14:paraId="2919A062" w14:textId="0E742FBA" w:rsidR="00DD2837" w:rsidRPr="00E869A4" w:rsidRDefault="00DD2837" w:rsidP="00643883">
      <w:pPr>
        <w:ind w:firstLine="0"/>
        <w:rPr>
          <w:rFonts w:ascii="Times New Roman" w:hAnsi="Times New Roman" w:cs="Times New Roman"/>
        </w:rPr>
      </w:pPr>
      <w:r w:rsidRPr="00E869A4">
        <w:rPr>
          <w:rFonts w:ascii="Times New Roman" w:hAnsi="Times New Roman" w:cs="Times New Roman"/>
        </w:rPr>
        <w:t xml:space="preserve">Mrs. Flora’s religious values </w:t>
      </w:r>
      <w:r w:rsidR="009C66DA" w:rsidRPr="00E869A4">
        <w:rPr>
          <w:rFonts w:ascii="Times New Roman" w:hAnsi="Times New Roman" w:cs="Times New Roman"/>
        </w:rPr>
        <w:t xml:space="preserve">also </w:t>
      </w:r>
      <w:r w:rsidRPr="00E869A4">
        <w:rPr>
          <w:rFonts w:ascii="Times New Roman" w:hAnsi="Times New Roman" w:cs="Times New Roman"/>
        </w:rPr>
        <w:t>contributed to her views about family care provision</w:t>
      </w:r>
      <w:r w:rsidR="00A73A4D" w:rsidRPr="00E869A4">
        <w:rPr>
          <w:rFonts w:ascii="Times New Roman" w:hAnsi="Times New Roman" w:cs="Times New Roman"/>
        </w:rPr>
        <w:t>:</w:t>
      </w:r>
      <w:r w:rsidRPr="00E869A4">
        <w:rPr>
          <w:rFonts w:ascii="Times New Roman" w:hAnsi="Times New Roman" w:cs="Times New Roman"/>
        </w:rPr>
        <w:t xml:space="preserve"> </w:t>
      </w:r>
    </w:p>
    <w:p w14:paraId="572A9CA0" w14:textId="227FE4B4" w:rsidR="00DD2837" w:rsidRPr="00E869A4" w:rsidRDefault="00DD2837" w:rsidP="003C7F38">
      <w:pPr>
        <w:spacing w:line="240" w:lineRule="auto"/>
        <w:ind w:left="567" w:firstLine="0"/>
        <w:rPr>
          <w:rFonts w:ascii="Times New Roman" w:hAnsi="Times New Roman" w:cs="Times New Roman"/>
        </w:rPr>
      </w:pPr>
      <w:r w:rsidRPr="00E869A4">
        <w:rPr>
          <w:rFonts w:ascii="Times New Roman" w:hAnsi="Times New Roman" w:cs="Times New Roman"/>
        </w:rPr>
        <w:t>If anybody finds themself in the situation that I am in, I would advise them to do the best they could for their partner, even if the perso</w:t>
      </w:r>
      <w:r w:rsidR="00AC43FB" w:rsidRPr="00E869A4">
        <w:rPr>
          <w:rFonts w:ascii="Times New Roman" w:hAnsi="Times New Roman" w:cs="Times New Roman"/>
        </w:rPr>
        <w:t xml:space="preserve">n wasn’t good (she chuckles) … </w:t>
      </w:r>
      <w:r w:rsidRPr="00E869A4">
        <w:rPr>
          <w:rFonts w:ascii="Times New Roman" w:hAnsi="Times New Roman" w:cs="Times New Roman"/>
        </w:rPr>
        <w:t>But they should] just forget that and do wh</w:t>
      </w:r>
      <w:r w:rsidR="00643883" w:rsidRPr="00E869A4">
        <w:rPr>
          <w:rFonts w:ascii="Times New Roman" w:hAnsi="Times New Roman" w:cs="Times New Roman"/>
        </w:rPr>
        <w:t>at God says: do the right thing</w:t>
      </w:r>
      <w:r w:rsidRPr="00E869A4">
        <w:rPr>
          <w:rFonts w:ascii="Times New Roman" w:hAnsi="Times New Roman" w:cs="Times New Roman"/>
        </w:rPr>
        <w:t>.</w:t>
      </w:r>
    </w:p>
    <w:p w14:paraId="18C79BD7" w14:textId="77777777" w:rsidR="001E6A2C" w:rsidRPr="00E869A4" w:rsidRDefault="001E6A2C" w:rsidP="00A35FF8">
      <w:pPr>
        <w:rPr>
          <w:rFonts w:ascii="Times New Roman" w:hAnsi="Times New Roman" w:cs="Times New Roman"/>
        </w:rPr>
      </w:pPr>
    </w:p>
    <w:p w14:paraId="3CB2484B" w14:textId="77777777" w:rsidR="00DD2837" w:rsidRPr="00E869A4" w:rsidRDefault="00DD2837" w:rsidP="00856C83">
      <w:pPr>
        <w:ind w:firstLine="0"/>
        <w:rPr>
          <w:rFonts w:ascii="Times New Roman" w:hAnsi="Times New Roman" w:cs="Times New Roman"/>
        </w:rPr>
      </w:pPr>
      <w:r w:rsidRPr="00E869A4">
        <w:rPr>
          <w:rFonts w:ascii="Times New Roman" w:hAnsi="Times New Roman" w:cs="Times New Roman"/>
        </w:rPr>
        <w:t>These participants linked family care to a religious requirement, and applied this viewpoint to how they assessed and prescribed the family elder care relationships of others.</w:t>
      </w:r>
    </w:p>
    <w:p w14:paraId="1E8C4023" w14:textId="77777777" w:rsidR="00DD2837" w:rsidRPr="00E869A4" w:rsidRDefault="00DD2837" w:rsidP="00A35FF8">
      <w:pPr>
        <w:autoSpaceDE w:val="0"/>
        <w:autoSpaceDN w:val="0"/>
        <w:adjustRightInd w:val="0"/>
        <w:rPr>
          <w:rFonts w:ascii="Times New Roman" w:hAnsi="Times New Roman" w:cs="Times New Roman"/>
          <w:b/>
          <w:szCs w:val="24"/>
          <w:u w:val="single"/>
        </w:rPr>
      </w:pPr>
    </w:p>
    <w:p w14:paraId="05853EDB" w14:textId="77777777" w:rsidR="00DD2837" w:rsidRPr="00E869A4" w:rsidRDefault="00DD2837" w:rsidP="00C473A3">
      <w:pPr>
        <w:pStyle w:val="Heading4"/>
      </w:pPr>
      <w:r w:rsidRPr="00E869A4">
        <w:t>Inadequate Formal Care Services</w:t>
      </w:r>
    </w:p>
    <w:p w14:paraId="63157FD2" w14:textId="77777777" w:rsidR="003C0B12" w:rsidRPr="00E869A4" w:rsidRDefault="003C0B12" w:rsidP="003C0B12"/>
    <w:p w14:paraId="63C91D9D" w14:textId="4ED3ED08" w:rsidR="00DD2837" w:rsidRPr="00E869A4" w:rsidRDefault="00DD2837" w:rsidP="00A35FF8">
      <w:pPr>
        <w:rPr>
          <w:rFonts w:ascii="Times New Roman" w:hAnsi="Times New Roman" w:cs="Times New Roman"/>
        </w:rPr>
      </w:pPr>
      <w:r w:rsidRPr="00E869A4">
        <w:rPr>
          <w:rFonts w:ascii="Times New Roman" w:hAnsi="Times New Roman" w:cs="Times New Roman"/>
        </w:rPr>
        <w:t xml:space="preserve">Another key factor that contributed to the decision of family members to adopt the position of primary </w:t>
      </w:r>
      <w:r w:rsidR="00856C83" w:rsidRPr="00E869A4">
        <w:rPr>
          <w:rFonts w:ascii="Times New Roman" w:hAnsi="Times New Roman" w:cs="Times New Roman"/>
        </w:rPr>
        <w:t>caregiver</w:t>
      </w:r>
      <w:r w:rsidRPr="00E869A4">
        <w:rPr>
          <w:rFonts w:ascii="Times New Roman" w:hAnsi="Times New Roman" w:cs="Times New Roman"/>
        </w:rPr>
        <w:t xml:space="preserve"> was the unavailability of suitable alternatives to family elder care. Many shared about the inadequacies of institutions such as Homes for Older Persons and nursing homes in </w:t>
      </w:r>
      <w:r w:rsidR="008C76CE" w:rsidRPr="00E869A4">
        <w:rPr>
          <w:rFonts w:ascii="Times New Roman" w:eastAsiaTheme="majorEastAsia" w:hAnsi="Times New Roman" w:cs="Times New Roman"/>
          <w:bCs/>
          <w:szCs w:val="26"/>
        </w:rPr>
        <w:t>T&amp;T</w:t>
      </w:r>
      <w:r w:rsidR="00DF354B" w:rsidRPr="00E869A4">
        <w:rPr>
          <w:rFonts w:ascii="Times New Roman" w:eastAsiaTheme="majorEastAsia" w:hAnsi="Times New Roman" w:cs="Times New Roman"/>
          <w:bCs/>
          <w:szCs w:val="26"/>
        </w:rPr>
        <w:t>. (FCG) Rebecca for example, shared the following position</w:t>
      </w:r>
      <w:r w:rsidR="003C0B12" w:rsidRPr="00E869A4">
        <w:rPr>
          <w:rFonts w:ascii="Times New Roman" w:hAnsi="Times New Roman" w:cs="Times New Roman"/>
        </w:rPr>
        <w:t>:</w:t>
      </w:r>
      <w:r w:rsidRPr="00E869A4">
        <w:rPr>
          <w:rFonts w:ascii="Times New Roman" w:hAnsi="Times New Roman" w:cs="Times New Roman"/>
        </w:rPr>
        <w:t xml:space="preserve"> </w:t>
      </w:r>
    </w:p>
    <w:p w14:paraId="358209DF" w14:textId="77777777" w:rsidR="00A33AF2" w:rsidRPr="00E869A4" w:rsidRDefault="00A33AF2" w:rsidP="00144886">
      <w:pPr>
        <w:autoSpaceDE w:val="0"/>
        <w:autoSpaceDN w:val="0"/>
        <w:adjustRightInd w:val="0"/>
        <w:spacing w:line="240" w:lineRule="auto"/>
        <w:rPr>
          <w:rFonts w:ascii="Times New Roman" w:hAnsi="Times New Roman" w:cs="Times New Roman"/>
        </w:rPr>
      </w:pPr>
    </w:p>
    <w:p w14:paraId="58C170D3" w14:textId="1BBD7327" w:rsidR="00DD2837" w:rsidRPr="00E869A4" w:rsidRDefault="00DD2837" w:rsidP="00DF354B">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lastRenderedPageBreak/>
        <w:t xml:space="preserve">I think what is important is to get family members as much as possible involved because [older people] need to have people that they familiar with </w:t>
      </w:r>
      <w:r w:rsidRPr="00E869A4">
        <w:rPr>
          <w:rFonts w:ascii="Times New Roman" w:eastAsia="Times New Roman" w:hAnsi="Times New Roman" w:cs="Times New Roman"/>
          <w:szCs w:val="24"/>
        </w:rPr>
        <w:t>… a chile, a siblin’, a niece or somebody</w:t>
      </w:r>
      <w:r w:rsidR="00F47482"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and if you could care for them at home, I think they enjoy that environment better than goin’ like to [a] H</w:t>
      </w:r>
      <w:r w:rsidR="00DF354B" w:rsidRPr="00E869A4">
        <w:rPr>
          <w:rFonts w:ascii="Times New Roman" w:eastAsia="Times New Roman" w:hAnsi="Times New Roman" w:cs="Times New Roman"/>
          <w:szCs w:val="24"/>
        </w:rPr>
        <w:t>ome outside of [their] own home</w:t>
      </w:r>
      <w:r w:rsidRPr="00E869A4">
        <w:rPr>
          <w:rFonts w:ascii="Times New Roman" w:eastAsia="Times New Roman" w:hAnsi="Times New Roman" w:cs="Times New Roman"/>
          <w:szCs w:val="24"/>
        </w:rPr>
        <w:t xml:space="preserve"> …</w:t>
      </w:r>
      <w:r w:rsidR="00DF354B"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that warmth an’ that bond that they have with family members yuh wouldn’t get it from strangers, hardly likely yuh know. So … where it’s possible to care for them in their own environment</w:t>
      </w:r>
      <w:r w:rsidR="00DF354B"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their own comfort zone, somewhere that they familiar with … I would go that way</w:t>
      </w:r>
      <w:r w:rsidR="00DF354B"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[O]nly when that’s not possible … an’ there’s no other choice … take them</w:t>
      </w:r>
      <w:r w:rsidR="00DF354B" w:rsidRPr="00E869A4">
        <w:rPr>
          <w:rFonts w:ascii="Times New Roman" w:eastAsia="Times New Roman" w:hAnsi="Times New Roman" w:cs="Times New Roman"/>
          <w:szCs w:val="24"/>
        </w:rPr>
        <w:t xml:space="preserve"> to … another Home somewhere.</w:t>
      </w:r>
    </w:p>
    <w:p w14:paraId="10122D11"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2457938F" w14:textId="46C5E8B5" w:rsidR="00DD2837" w:rsidRPr="00E869A4" w:rsidRDefault="00DD2837" w:rsidP="00502D31">
      <w:pPr>
        <w:autoSpaceDE w:val="0"/>
        <w:autoSpaceDN w:val="0"/>
        <w:adjustRightInd w:val="0"/>
        <w:ind w:firstLine="0"/>
        <w:rPr>
          <w:rFonts w:ascii="Times New Roman" w:eastAsia="Times New Roman" w:hAnsi="Times New Roman" w:cs="Times New Roman"/>
          <w:szCs w:val="24"/>
        </w:rPr>
      </w:pPr>
      <w:r w:rsidRPr="00E869A4">
        <w:rPr>
          <w:rFonts w:ascii="Times New Roman" w:hAnsi="Times New Roman" w:cs="Times New Roman"/>
          <w:szCs w:val="24"/>
        </w:rPr>
        <w:t>In Marian</w:t>
      </w:r>
      <w:r w:rsidRPr="00E869A4">
        <w:rPr>
          <w:rFonts w:ascii="Times New Roman" w:eastAsia="Times New Roman" w:hAnsi="Times New Roman" w:cs="Times New Roman"/>
          <w:szCs w:val="24"/>
        </w:rPr>
        <w:t>’s case, her decision to provide care was also motivated by her mother’s expectation and desire to be cared for at home</w:t>
      </w:r>
      <w:r w:rsidR="003C0B12" w:rsidRPr="00E869A4">
        <w:rPr>
          <w:rFonts w:ascii="Times New Roman" w:eastAsia="Times New Roman" w:hAnsi="Times New Roman" w:cs="Times New Roman"/>
          <w:szCs w:val="24"/>
        </w:rPr>
        <w:t>:</w:t>
      </w:r>
    </w:p>
    <w:p w14:paraId="4EC49922"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6733926E" w14:textId="5BB31549" w:rsidR="00DD2837" w:rsidRPr="00E869A4" w:rsidRDefault="00DD2837" w:rsidP="00502D31">
      <w:pPr>
        <w:spacing w:line="240" w:lineRule="auto"/>
        <w:ind w:left="567" w:firstLine="0"/>
        <w:rPr>
          <w:rFonts w:ascii="Times New Roman" w:hAnsi="Times New Roman" w:cs="Times New Roman"/>
        </w:rPr>
      </w:pPr>
      <w:r w:rsidRPr="00E869A4">
        <w:rPr>
          <w:rFonts w:ascii="Times New Roman" w:hAnsi="Times New Roman" w:cs="Times New Roman"/>
        </w:rPr>
        <w:t>In Trinidad</w:t>
      </w:r>
      <w:r w:rsidR="00F47482" w:rsidRPr="00E869A4">
        <w:rPr>
          <w:rFonts w:ascii="Times New Roman" w:hAnsi="Times New Roman" w:cs="Times New Roman"/>
        </w:rPr>
        <w:t xml:space="preserve"> </w:t>
      </w:r>
      <w:r w:rsidRPr="00E869A4">
        <w:rPr>
          <w:rFonts w:ascii="Times New Roman" w:hAnsi="Times New Roman" w:cs="Times New Roman"/>
        </w:rPr>
        <w:t>… if you don’t have anyone to see about you, that’s the difficulty, especially where you see they d</w:t>
      </w:r>
      <w:r w:rsidR="00F47482" w:rsidRPr="00E869A4">
        <w:rPr>
          <w:rFonts w:ascii="Times New Roman" w:hAnsi="Times New Roman" w:cs="Times New Roman"/>
        </w:rPr>
        <w:t>ecide to put you in these Homes</w:t>
      </w:r>
      <w:r w:rsidRPr="00E869A4">
        <w:rPr>
          <w:rFonts w:ascii="Times New Roman" w:hAnsi="Times New Roman" w:cs="Times New Roman"/>
        </w:rPr>
        <w:t xml:space="preserve"> .</w:t>
      </w:r>
      <w:r w:rsidR="00856C83" w:rsidRPr="00E869A4">
        <w:rPr>
          <w:rFonts w:ascii="Times New Roman" w:hAnsi="Times New Roman" w:cs="Times New Roman"/>
        </w:rPr>
        <w:t>.</w:t>
      </w:r>
      <w:r w:rsidRPr="00E869A4">
        <w:rPr>
          <w:rFonts w:ascii="Times New Roman" w:hAnsi="Times New Roman" w:cs="Times New Roman"/>
        </w:rPr>
        <w:t xml:space="preserve">. </w:t>
      </w:r>
      <w:r w:rsidR="00856C83" w:rsidRPr="00E869A4">
        <w:rPr>
          <w:rFonts w:ascii="Times New Roman" w:hAnsi="Times New Roman" w:cs="Times New Roman"/>
        </w:rPr>
        <w:t>They</w:t>
      </w:r>
      <w:r w:rsidRPr="00E869A4">
        <w:rPr>
          <w:rFonts w:ascii="Times New Roman" w:hAnsi="Times New Roman" w:cs="Times New Roman"/>
        </w:rPr>
        <w:t xml:space="preserve"> don’t get the best treatment. My mother is fortunate and I guess it’s something she always wanted, never to be put in a Home. She always wanted to stay at home and she was</w:t>
      </w:r>
      <w:r w:rsidR="00F47482" w:rsidRPr="00E869A4">
        <w:rPr>
          <w:rFonts w:ascii="Times New Roman" w:hAnsi="Times New Roman" w:cs="Times New Roman"/>
        </w:rPr>
        <w:t xml:space="preserve"> able to get that.</w:t>
      </w:r>
    </w:p>
    <w:p w14:paraId="40856113" w14:textId="77777777" w:rsidR="00A33AF2" w:rsidRPr="00E869A4" w:rsidRDefault="00A33AF2" w:rsidP="00144886">
      <w:pPr>
        <w:autoSpaceDE w:val="0"/>
        <w:autoSpaceDN w:val="0"/>
        <w:adjustRightInd w:val="0"/>
        <w:spacing w:line="240" w:lineRule="auto"/>
        <w:rPr>
          <w:rFonts w:ascii="Times New Roman" w:hAnsi="Times New Roman" w:cs="Times New Roman"/>
        </w:rPr>
      </w:pPr>
    </w:p>
    <w:p w14:paraId="57E9EAF2" w14:textId="3FBBB2D2" w:rsidR="00DD2837" w:rsidRPr="00E869A4" w:rsidRDefault="00DD2837"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Negative beliefs associated with institutional care and fear of an older person dying prematurely if pla</w:t>
      </w:r>
      <w:r w:rsidR="006E61D6" w:rsidRPr="00E869A4">
        <w:rPr>
          <w:rFonts w:ascii="Times New Roman" w:hAnsi="Times New Roman" w:cs="Times New Roman"/>
          <w:szCs w:val="24"/>
        </w:rPr>
        <w:t>ced in a facility were</w:t>
      </w:r>
      <w:r w:rsidRPr="00E869A4">
        <w:rPr>
          <w:rFonts w:ascii="Times New Roman" w:hAnsi="Times New Roman" w:cs="Times New Roman"/>
          <w:szCs w:val="24"/>
        </w:rPr>
        <w:t xml:space="preserve"> expressed by several of the Trinidadian interviewees. According to Sheila, Mother Freeda was afraid of being placed in an institution</w:t>
      </w:r>
      <w:r w:rsidR="006E61D6" w:rsidRPr="00E869A4">
        <w:rPr>
          <w:rFonts w:ascii="Times New Roman" w:hAnsi="Times New Roman" w:cs="Times New Roman"/>
          <w:szCs w:val="24"/>
        </w:rPr>
        <w:t>:</w:t>
      </w:r>
      <w:r w:rsidRPr="00E869A4">
        <w:rPr>
          <w:rFonts w:ascii="Times New Roman" w:hAnsi="Times New Roman" w:cs="Times New Roman"/>
          <w:szCs w:val="24"/>
        </w:rPr>
        <w:t xml:space="preserve"> </w:t>
      </w:r>
    </w:p>
    <w:p w14:paraId="43E725F9"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15A8960E" w14:textId="6949829D" w:rsidR="00DD2837" w:rsidRPr="00E869A4" w:rsidRDefault="00DD2837" w:rsidP="00502D31">
      <w:pPr>
        <w:spacing w:line="240" w:lineRule="auto"/>
        <w:ind w:left="567" w:firstLine="0"/>
        <w:rPr>
          <w:rFonts w:ascii="Times New Roman" w:hAnsi="Times New Roman" w:cs="Times New Roman"/>
        </w:rPr>
      </w:pPr>
      <w:r w:rsidRPr="00E869A4">
        <w:rPr>
          <w:rFonts w:ascii="Times New Roman" w:hAnsi="Times New Roman" w:cs="Times New Roman"/>
        </w:rPr>
        <w:t>So mummy is always in fear that she might be discarded an’ we might put her in ah Home</w:t>
      </w:r>
      <w:r w:rsidR="00F47482" w:rsidRPr="00E869A4">
        <w:rPr>
          <w:rFonts w:ascii="Times New Roman" w:hAnsi="Times New Roman" w:cs="Times New Roman"/>
        </w:rPr>
        <w:t xml:space="preserve"> </w:t>
      </w:r>
      <w:r w:rsidRPr="00E869A4">
        <w:rPr>
          <w:rFonts w:ascii="Times New Roman" w:hAnsi="Times New Roman" w:cs="Times New Roman"/>
        </w:rPr>
        <w:t>... I think deep down older people have that fear. Especially in Trinidad, nobody wants to go in a Home to stay</w:t>
      </w:r>
      <w:r w:rsidR="00F47482" w:rsidRPr="00E869A4">
        <w:rPr>
          <w:rFonts w:ascii="Times New Roman" w:hAnsi="Times New Roman" w:cs="Times New Roman"/>
        </w:rPr>
        <w:t xml:space="preserve"> </w:t>
      </w:r>
      <w:r w:rsidRPr="00E869A4">
        <w:rPr>
          <w:rFonts w:ascii="Times New Roman" w:hAnsi="Times New Roman" w:cs="Times New Roman"/>
        </w:rPr>
        <w:t>… So as far as possible …</w:t>
      </w:r>
      <w:r w:rsidR="00F47482" w:rsidRPr="00E869A4">
        <w:rPr>
          <w:rFonts w:ascii="Times New Roman" w:hAnsi="Times New Roman" w:cs="Times New Roman"/>
        </w:rPr>
        <w:t xml:space="preserve"> </w:t>
      </w:r>
      <w:r w:rsidRPr="00E869A4">
        <w:rPr>
          <w:rFonts w:ascii="Times New Roman" w:hAnsi="Times New Roman" w:cs="Times New Roman"/>
        </w:rPr>
        <w:t>we would really make an’ effort to take care of her, even self it means bringing somebody in to spend a few days, an’ a few hours every day to do that</w:t>
      </w:r>
      <w:r w:rsidR="00502D31" w:rsidRPr="00E869A4">
        <w:rPr>
          <w:rFonts w:ascii="Times New Roman" w:hAnsi="Times New Roman" w:cs="Times New Roman"/>
        </w:rPr>
        <w:t>.</w:t>
      </w:r>
    </w:p>
    <w:p w14:paraId="7F914D55" w14:textId="77777777" w:rsidR="001E6A2C" w:rsidRPr="00E869A4" w:rsidRDefault="001E6A2C" w:rsidP="00144886">
      <w:pPr>
        <w:autoSpaceDE w:val="0"/>
        <w:autoSpaceDN w:val="0"/>
        <w:adjustRightInd w:val="0"/>
        <w:spacing w:line="240" w:lineRule="auto"/>
        <w:rPr>
          <w:rFonts w:ascii="Times New Roman" w:hAnsi="Times New Roman" w:cs="Times New Roman"/>
        </w:rPr>
      </w:pPr>
    </w:p>
    <w:p w14:paraId="6193B80E" w14:textId="743768F4" w:rsidR="00DD2837" w:rsidRPr="00E869A4" w:rsidRDefault="00DD2837" w:rsidP="00F47482">
      <w:pPr>
        <w:ind w:firstLine="0"/>
        <w:rPr>
          <w:rFonts w:ascii="Times New Roman" w:hAnsi="Times New Roman" w:cs="Times New Roman"/>
          <w:szCs w:val="24"/>
        </w:rPr>
      </w:pPr>
      <w:r w:rsidRPr="00E869A4">
        <w:rPr>
          <w:rFonts w:ascii="Times New Roman" w:hAnsi="Times New Roman" w:cs="Times New Roman"/>
        </w:rPr>
        <w:t>Adelina expressed a similar view and noted that Tanty Edna would not be able to stay in a Home for even a short period of time</w:t>
      </w:r>
      <w:r w:rsidR="003C0B12" w:rsidRPr="00E869A4">
        <w:rPr>
          <w:rFonts w:ascii="Times New Roman" w:hAnsi="Times New Roman" w:cs="Times New Roman"/>
        </w:rPr>
        <w:t>:</w:t>
      </w:r>
      <w:r w:rsidRPr="00E869A4">
        <w:rPr>
          <w:rFonts w:ascii="Times New Roman" w:hAnsi="Times New Roman" w:cs="Times New Roman"/>
        </w:rPr>
        <w:t xml:space="preserve"> </w:t>
      </w:r>
      <w:r w:rsidR="003C0B12" w:rsidRPr="00E869A4">
        <w:rPr>
          <w:rFonts w:ascii="Times New Roman" w:hAnsi="Times New Roman" w:cs="Times New Roman"/>
        </w:rPr>
        <w:t>“</w:t>
      </w:r>
      <w:r w:rsidRPr="00E869A4">
        <w:rPr>
          <w:rFonts w:ascii="Times New Roman" w:hAnsi="Times New Roman" w:cs="Times New Roman"/>
        </w:rPr>
        <w:t>Please, that that would just kill her</w:t>
      </w:r>
      <w:r w:rsidR="00502D31" w:rsidRPr="00E869A4">
        <w:rPr>
          <w:rFonts w:ascii="Times New Roman" w:hAnsi="Times New Roman" w:cs="Times New Roman"/>
        </w:rPr>
        <w:t>”.</w:t>
      </w:r>
      <w:r w:rsidR="00F47482" w:rsidRPr="00E869A4">
        <w:rPr>
          <w:rFonts w:ascii="Times New Roman" w:hAnsi="Times New Roman" w:cs="Times New Roman"/>
        </w:rPr>
        <w:t xml:space="preserve"> (FCG</w:t>
      </w:r>
      <w:r w:rsidRPr="00E869A4">
        <w:rPr>
          <w:rFonts w:ascii="Times New Roman" w:hAnsi="Times New Roman" w:cs="Times New Roman"/>
        </w:rPr>
        <w:t xml:space="preserve"> Adelina)</w:t>
      </w:r>
      <w:r w:rsidR="00502D31" w:rsidRPr="00E869A4">
        <w:rPr>
          <w:rFonts w:ascii="Times New Roman" w:hAnsi="Times New Roman" w:cs="Times New Roman"/>
        </w:rPr>
        <w:t>.</w:t>
      </w:r>
      <w:r w:rsidR="00F47482" w:rsidRPr="00E869A4">
        <w:rPr>
          <w:rFonts w:ascii="Times New Roman" w:hAnsi="Times New Roman" w:cs="Times New Roman"/>
        </w:rPr>
        <w:t xml:space="preserve"> </w:t>
      </w:r>
      <w:r w:rsidRPr="00E869A4">
        <w:rPr>
          <w:rFonts w:ascii="Times New Roman" w:hAnsi="Times New Roman" w:cs="Times New Roman"/>
          <w:szCs w:val="24"/>
        </w:rPr>
        <w:t xml:space="preserve">One of the </w:t>
      </w:r>
      <w:r w:rsidR="00D412D7" w:rsidRPr="00E869A4">
        <w:rPr>
          <w:rFonts w:ascii="Times New Roman" w:hAnsi="Times New Roman" w:cs="Times New Roman"/>
          <w:szCs w:val="24"/>
        </w:rPr>
        <w:t>TEFG</w:t>
      </w:r>
      <w:r w:rsidRPr="00E869A4">
        <w:rPr>
          <w:rFonts w:ascii="Times New Roman" w:hAnsi="Times New Roman" w:cs="Times New Roman"/>
          <w:szCs w:val="24"/>
        </w:rPr>
        <w:t xml:space="preserve"> participants </w:t>
      </w:r>
      <w:r w:rsidR="00502D31" w:rsidRPr="00E869A4">
        <w:rPr>
          <w:rFonts w:ascii="Times New Roman" w:hAnsi="Times New Roman" w:cs="Times New Roman"/>
          <w:szCs w:val="24"/>
        </w:rPr>
        <w:t xml:space="preserve">(Gwendolyn) </w:t>
      </w:r>
      <w:r w:rsidRPr="00E869A4">
        <w:rPr>
          <w:rFonts w:ascii="Times New Roman" w:hAnsi="Times New Roman" w:cs="Times New Roman"/>
          <w:szCs w:val="24"/>
        </w:rPr>
        <w:t>also felt that institutionalisation would lead to a significant deterioration in the health and wellbeing of older people in the country</w:t>
      </w:r>
      <w:r w:rsidR="003B6CEA" w:rsidRPr="00E869A4">
        <w:rPr>
          <w:rFonts w:ascii="Times New Roman" w:hAnsi="Times New Roman" w:cs="Times New Roman"/>
          <w:szCs w:val="24"/>
        </w:rPr>
        <w:t>:</w:t>
      </w:r>
      <w:r w:rsidRPr="00E869A4">
        <w:rPr>
          <w:rFonts w:ascii="Times New Roman" w:hAnsi="Times New Roman" w:cs="Times New Roman"/>
          <w:szCs w:val="24"/>
        </w:rPr>
        <w:t xml:space="preserve"> </w:t>
      </w:r>
    </w:p>
    <w:p w14:paraId="7B08ED64"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2087FC48" w14:textId="77A39407" w:rsidR="00DD2837" w:rsidRPr="00E869A4" w:rsidRDefault="00DD2837" w:rsidP="00806C26">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If you take them to ah </w:t>
      </w:r>
      <w:r w:rsidR="00856C83" w:rsidRPr="00E869A4">
        <w:rPr>
          <w:rFonts w:ascii="Times New Roman" w:hAnsi="Times New Roman" w:cs="Times New Roman"/>
          <w:szCs w:val="24"/>
        </w:rPr>
        <w:t>Home …</w:t>
      </w:r>
      <w:r w:rsidRPr="00E869A4">
        <w:rPr>
          <w:rFonts w:ascii="Times New Roman" w:hAnsi="Times New Roman" w:cs="Times New Roman"/>
          <w:szCs w:val="24"/>
        </w:rPr>
        <w:t xml:space="preserve"> they figure yuh take their house and they start to get more sick! But in their own environment, they feel they could lie down on their own bed, go watch their own TV and even, no matter wh</w:t>
      </w:r>
      <w:r w:rsidR="00502D31" w:rsidRPr="00E869A4">
        <w:rPr>
          <w:rFonts w:ascii="Times New Roman" w:hAnsi="Times New Roman" w:cs="Times New Roman"/>
          <w:szCs w:val="24"/>
        </w:rPr>
        <w:t>at</w:t>
      </w:r>
      <w:r w:rsidR="004D7710" w:rsidRPr="00E869A4">
        <w:rPr>
          <w:rFonts w:ascii="Times New Roman" w:hAnsi="Times New Roman" w:cs="Times New Roman"/>
          <w:szCs w:val="24"/>
        </w:rPr>
        <w:t>,</w:t>
      </w:r>
      <w:r w:rsidR="00502D31" w:rsidRPr="00E869A4">
        <w:rPr>
          <w:rFonts w:ascii="Times New Roman" w:hAnsi="Times New Roman" w:cs="Times New Roman"/>
          <w:szCs w:val="24"/>
        </w:rPr>
        <w:t xml:space="preserve"> it is their own environment.</w:t>
      </w:r>
    </w:p>
    <w:p w14:paraId="1BE61FD0"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665F373E" w14:textId="2571BEB1" w:rsidR="00DD2837" w:rsidRPr="00E869A4" w:rsidRDefault="00E24FAB" w:rsidP="00806C26">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Some</w:t>
      </w:r>
      <w:r w:rsidR="00DD2837" w:rsidRPr="00E869A4">
        <w:rPr>
          <w:rFonts w:ascii="Times New Roman" w:hAnsi="Times New Roman" w:cs="Times New Roman"/>
          <w:szCs w:val="24"/>
        </w:rPr>
        <w:t xml:space="preserve"> Tobagonia</w:t>
      </w:r>
      <w:r w:rsidR="00806C26" w:rsidRPr="00E869A4">
        <w:rPr>
          <w:rFonts w:ascii="Times New Roman" w:hAnsi="Times New Roman" w:cs="Times New Roman"/>
          <w:szCs w:val="24"/>
        </w:rPr>
        <w:t xml:space="preserve">n participants </w:t>
      </w:r>
      <w:r w:rsidR="00DD2837" w:rsidRPr="00E869A4">
        <w:rPr>
          <w:rFonts w:ascii="Times New Roman" w:hAnsi="Times New Roman" w:cs="Times New Roman"/>
          <w:szCs w:val="24"/>
        </w:rPr>
        <w:t>saw the placement of an older relative in a facility as a dereliction of one’s filial responsibilities</w:t>
      </w:r>
      <w:r w:rsidR="00806C26" w:rsidRPr="00E869A4">
        <w:rPr>
          <w:rFonts w:ascii="Times New Roman" w:hAnsi="Times New Roman" w:cs="Times New Roman"/>
          <w:szCs w:val="24"/>
        </w:rPr>
        <w:t xml:space="preserve">. Lakshmi for example shared the following experience: </w:t>
      </w:r>
    </w:p>
    <w:p w14:paraId="6DD726B4"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71F4B7C8" w14:textId="34A9F908" w:rsidR="00DD2837" w:rsidRPr="00E869A4" w:rsidRDefault="00DD2837" w:rsidP="00806C26">
      <w:pPr>
        <w:spacing w:line="240" w:lineRule="auto"/>
        <w:ind w:left="567" w:firstLine="0"/>
        <w:rPr>
          <w:rFonts w:ascii="Times New Roman" w:hAnsi="Times New Roman" w:cs="Times New Roman"/>
        </w:rPr>
      </w:pPr>
      <w:r w:rsidRPr="00E869A4">
        <w:rPr>
          <w:rFonts w:ascii="Times New Roman" w:hAnsi="Times New Roman" w:cs="Times New Roman"/>
        </w:rPr>
        <w:t>People have their chi’ren</w:t>
      </w:r>
      <w:r w:rsidR="00F47482" w:rsidRPr="00E869A4">
        <w:rPr>
          <w:rFonts w:ascii="Times New Roman" w:hAnsi="Times New Roman" w:cs="Times New Roman"/>
        </w:rPr>
        <w:t xml:space="preserve"> </w:t>
      </w:r>
      <w:r w:rsidRPr="00E869A4">
        <w:rPr>
          <w:rFonts w:ascii="Times New Roman" w:hAnsi="Times New Roman" w:cs="Times New Roman"/>
        </w:rPr>
        <w:t>…</w:t>
      </w:r>
      <w:r w:rsidR="00F47482" w:rsidRPr="00E869A4">
        <w:rPr>
          <w:rFonts w:ascii="Times New Roman" w:hAnsi="Times New Roman" w:cs="Times New Roman"/>
        </w:rPr>
        <w:t xml:space="preserve"> </w:t>
      </w:r>
      <w:r w:rsidRPr="00E869A4">
        <w:rPr>
          <w:rFonts w:ascii="Times New Roman" w:hAnsi="Times New Roman" w:cs="Times New Roman"/>
        </w:rPr>
        <w:t xml:space="preserve">Why they have to send their parents to a Home?! I had an aunt in ah Home in Trinidad. And me an’ my father went to visit … An’ yuh doh eat fry bake in de morning </w:t>
      </w:r>
      <w:r w:rsidRPr="00E869A4">
        <w:rPr>
          <w:rFonts w:ascii="Times New Roman" w:hAnsi="Times New Roman" w:cs="Times New Roman"/>
        </w:rPr>
        <w:lastRenderedPageBreak/>
        <w:t>an’ yuh have diabetes an’ that is what they givin’ yuh</w:t>
      </w:r>
      <w:r w:rsidR="00F47482" w:rsidRPr="00E869A4">
        <w:rPr>
          <w:rFonts w:ascii="Times New Roman" w:hAnsi="Times New Roman" w:cs="Times New Roman"/>
        </w:rPr>
        <w:t xml:space="preserve"> </w:t>
      </w:r>
      <w:r w:rsidRPr="00E869A4">
        <w:rPr>
          <w:rFonts w:ascii="Times New Roman" w:hAnsi="Times New Roman" w:cs="Times New Roman"/>
        </w:rPr>
        <w:t>… All she c</w:t>
      </w:r>
      <w:r w:rsidR="00806C26" w:rsidRPr="00E869A4">
        <w:rPr>
          <w:rFonts w:ascii="Times New Roman" w:hAnsi="Times New Roman" w:cs="Times New Roman"/>
        </w:rPr>
        <w:t>hi’ren is big-shot: Millionaire</w:t>
      </w:r>
      <w:r w:rsidR="003C2970" w:rsidRPr="00E869A4">
        <w:rPr>
          <w:rFonts w:ascii="Times New Roman" w:hAnsi="Times New Roman" w:cs="Times New Roman"/>
        </w:rPr>
        <w:t>! (</w:t>
      </w:r>
      <w:r w:rsidR="003C2970" w:rsidRPr="00E869A4">
        <w:rPr>
          <w:rFonts w:ascii="Times New Roman" w:hAnsi="Times New Roman" w:cs="Times New Roman"/>
          <w:i/>
        </w:rPr>
        <w:t>said in disbelief that they would leave their mother in that situation</w:t>
      </w:r>
      <w:r w:rsidR="003C2970" w:rsidRPr="00E869A4">
        <w:rPr>
          <w:rFonts w:ascii="Times New Roman" w:hAnsi="Times New Roman" w:cs="Times New Roman"/>
        </w:rPr>
        <w:t>)</w:t>
      </w:r>
    </w:p>
    <w:p w14:paraId="543B5F2D" w14:textId="77777777" w:rsidR="001E6A2C" w:rsidRPr="00E869A4" w:rsidRDefault="001E6A2C" w:rsidP="00144886">
      <w:pPr>
        <w:autoSpaceDE w:val="0"/>
        <w:autoSpaceDN w:val="0"/>
        <w:adjustRightInd w:val="0"/>
        <w:spacing w:line="240" w:lineRule="auto"/>
        <w:rPr>
          <w:rFonts w:ascii="Times New Roman" w:hAnsi="Times New Roman" w:cs="Times New Roman"/>
          <w:szCs w:val="24"/>
        </w:rPr>
      </w:pPr>
    </w:p>
    <w:p w14:paraId="04BF345E" w14:textId="33FA6C0D" w:rsidR="00DD2837" w:rsidRPr="00E869A4" w:rsidRDefault="00DD2837" w:rsidP="00E24FAB">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Another set of Tobago focus group participants were only amenable to institutionalising their relative if they were cognitively frail</w:t>
      </w:r>
      <w:r w:rsidR="009C1BBC" w:rsidRPr="00E869A4">
        <w:rPr>
          <w:rFonts w:ascii="Times New Roman" w:hAnsi="Times New Roman" w:cs="Times New Roman"/>
          <w:szCs w:val="24"/>
        </w:rPr>
        <w:t>. One respondent from the TNFG justified her position with the following example</w:t>
      </w:r>
      <w:r w:rsidR="00791B34" w:rsidRPr="00E869A4">
        <w:rPr>
          <w:rFonts w:ascii="Times New Roman" w:hAnsi="Times New Roman" w:cs="Times New Roman"/>
          <w:szCs w:val="24"/>
        </w:rPr>
        <w:t>:</w:t>
      </w:r>
      <w:r w:rsidRPr="00E869A4">
        <w:rPr>
          <w:rFonts w:ascii="Times New Roman" w:hAnsi="Times New Roman" w:cs="Times New Roman"/>
          <w:szCs w:val="24"/>
        </w:rPr>
        <w:t xml:space="preserve"> </w:t>
      </w:r>
    </w:p>
    <w:p w14:paraId="3648A6A8" w14:textId="77777777" w:rsidR="00DD2837" w:rsidRPr="00E869A4" w:rsidRDefault="00DD2837" w:rsidP="00144886">
      <w:pPr>
        <w:autoSpaceDE w:val="0"/>
        <w:autoSpaceDN w:val="0"/>
        <w:adjustRightInd w:val="0"/>
        <w:spacing w:line="240" w:lineRule="auto"/>
        <w:rPr>
          <w:rFonts w:ascii="Times New Roman" w:hAnsi="Times New Roman" w:cs="Times New Roman"/>
          <w:szCs w:val="24"/>
        </w:rPr>
      </w:pPr>
    </w:p>
    <w:p w14:paraId="1C2E50D4" w14:textId="4424B45A" w:rsidR="00DD2837" w:rsidRPr="00E869A4" w:rsidRDefault="00DD2837" w:rsidP="009C1BB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567" w:firstLine="0"/>
        <w:rPr>
          <w:rFonts w:ascii="Times New Roman" w:hAnsi="Times New Roman" w:cs="Times New Roman"/>
        </w:rPr>
      </w:pPr>
      <w:r w:rsidRPr="00E869A4">
        <w:rPr>
          <w:rFonts w:ascii="Times New Roman" w:hAnsi="Times New Roman" w:cs="Times New Roman"/>
        </w:rPr>
        <w:t xml:space="preserve">[My] cousin, sometimes she don’t want take </w:t>
      </w:r>
      <w:proofErr w:type="spellStart"/>
      <w:r w:rsidRPr="00E869A4">
        <w:rPr>
          <w:rFonts w:ascii="Times New Roman" w:hAnsi="Times New Roman" w:cs="Times New Roman"/>
        </w:rPr>
        <w:t>ah</w:t>
      </w:r>
      <w:proofErr w:type="spellEnd"/>
      <w:r w:rsidRPr="00E869A4">
        <w:rPr>
          <w:rFonts w:ascii="Times New Roman" w:hAnsi="Times New Roman" w:cs="Times New Roman"/>
        </w:rPr>
        <w:t xml:space="preserve"> shower. As you go give her a shower [she cries out]</w:t>
      </w:r>
      <w:r w:rsidR="00F47482" w:rsidRPr="00E869A4">
        <w:rPr>
          <w:rFonts w:ascii="Times New Roman" w:hAnsi="Times New Roman" w:cs="Times New Roman"/>
        </w:rPr>
        <w:t xml:space="preserve"> </w:t>
      </w:r>
      <w:r w:rsidRPr="00E869A4">
        <w:rPr>
          <w:rFonts w:ascii="Times New Roman" w:hAnsi="Times New Roman" w:cs="Times New Roman"/>
        </w:rPr>
        <w:t xml:space="preserve">... </w:t>
      </w:r>
      <w:r w:rsidR="00856C83" w:rsidRPr="00E869A4">
        <w:rPr>
          <w:rFonts w:ascii="Times New Roman" w:hAnsi="Times New Roman" w:cs="Times New Roman"/>
        </w:rPr>
        <w:t>‘</w:t>
      </w:r>
      <w:r w:rsidRPr="00E869A4">
        <w:rPr>
          <w:rFonts w:ascii="Times New Roman" w:hAnsi="Times New Roman" w:cs="Times New Roman"/>
        </w:rPr>
        <w:t>How dare you! Can I come to your house an’ try to give you ah shower?</w:t>
      </w:r>
      <w:r w:rsidR="00856C83" w:rsidRPr="00E869A4">
        <w:rPr>
          <w:rFonts w:ascii="Times New Roman" w:hAnsi="Times New Roman" w:cs="Times New Roman"/>
        </w:rPr>
        <w:t>’</w:t>
      </w:r>
      <w:r w:rsidRPr="00E869A4">
        <w:rPr>
          <w:rFonts w:ascii="Times New Roman" w:hAnsi="Times New Roman" w:cs="Times New Roman"/>
        </w:rPr>
        <w:t xml:space="preserve"> and she would go on like that … And they would even try to take things like take bed things, put it on the fire. They don’t know what they’re doing! So that’s why people need professional help to care for these Alzheimer’s people. I have a friend, she has been caring for an in-law like that. And she said she nearly l</w:t>
      </w:r>
      <w:r w:rsidR="009C1BBC" w:rsidRPr="00E869A4">
        <w:rPr>
          <w:rFonts w:ascii="Times New Roman" w:hAnsi="Times New Roman" w:cs="Times New Roman"/>
        </w:rPr>
        <w:t>ost it caring for the [person]</w:t>
      </w:r>
      <w:r w:rsidR="00F47482" w:rsidRPr="00E869A4">
        <w:rPr>
          <w:rFonts w:ascii="Times New Roman" w:hAnsi="Times New Roman" w:cs="Times New Roman"/>
        </w:rPr>
        <w:t>.</w:t>
      </w:r>
    </w:p>
    <w:p w14:paraId="37DF87AB" w14:textId="77777777" w:rsidR="001E6A2C" w:rsidRPr="00E869A4" w:rsidRDefault="001E6A2C" w:rsidP="00144886">
      <w:pPr>
        <w:autoSpaceDE w:val="0"/>
        <w:autoSpaceDN w:val="0"/>
        <w:adjustRightInd w:val="0"/>
        <w:spacing w:line="240" w:lineRule="auto"/>
        <w:rPr>
          <w:rFonts w:ascii="Times New Roman" w:hAnsi="Times New Roman" w:cs="Times New Roman"/>
          <w:szCs w:val="24"/>
        </w:rPr>
      </w:pPr>
    </w:p>
    <w:p w14:paraId="66C8F9AE" w14:textId="0295AD0A" w:rsidR="00DD2837" w:rsidRPr="00E869A4" w:rsidRDefault="00DD2837" w:rsidP="009C1BBC">
      <w:pPr>
        <w:autoSpaceDE w:val="0"/>
        <w:autoSpaceDN w:val="0"/>
        <w:adjustRightInd w:val="0"/>
        <w:ind w:firstLine="0"/>
        <w:rPr>
          <w:rFonts w:ascii="Times New Roman" w:hAnsi="Times New Roman" w:cs="Times New Roman"/>
          <w:i/>
        </w:rPr>
      </w:pPr>
      <w:r w:rsidRPr="00E869A4">
        <w:rPr>
          <w:rFonts w:ascii="Times New Roman" w:hAnsi="Times New Roman" w:cs="Times New Roman"/>
        </w:rPr>
        <w:t xml:space="preserve">The negative stigma of institutionalisation held by several of the participants seemed to reduce the possibility of institutionalisation being considered as an alternative to family care. This may in part be associated with how the original Homes for Older Persons were perceived, and the lingering effects of these perceptions. As two participants </w:t>
      </w:r>
      <w:r w:rsidR="00C0048D" w:rsidRPr="00E869A4">
        <w:rPr>
          <w:rFonts w:ascii="Times New Roman" w:hAnsi="Times New Roman" w:cs="Times New Roman"/>
        </w:rPr>
        <w:t xml:space="preserve">(Miriam and Judith) </w:t>
      </w:r>
      <w:r w:rsidRPr="00E869A4">
        <w:rPr>
          <w:rFonts w:ascii="Times New Roman" w:hAnsi="Times New Roman" w:cs="Times New Roman"/>
        </w:rPr>
        <w:t xml:space="preserve">shared in the Tobago South focus group </w:t>
      </w:r>
      <w:r w:rsidR="00A71B73" w:rsidRPr="00E869A4">
        <w:rPr>
          <w:rFonts w:ascii="Times New Roman" w:hAnsi="Times New Roman" w:cs="Times New Roman"/>
        </w:rPr>
        <w:t>(TSG)</w:t>
      </w:r>
      <w:r w:rsidR="00E24FAB" w:rsidRPr="00E869A4">
        <w:rPr>
          <w:rFonts w:ascii="Times New Roman" w:hAnsi="Times New Roman" w:cs="Times New Roman"/>
        </w:rPr>
        <w:t xml:space="preserve">, </w:t>
      </w:r>
      <w:r w:rsidR="00791B34" w:rsidRPr="00E869A4">
        <w:rPr>
          <w:rFonts w:ascii="Times New Roman" w:hAnsi="Times New Roman" w:cs="Times New Roman"/>
        </w:rPr>
        <w:t>“</w:t>
      </w:r>
      <w:r w:rsidRPr="00E869A4">
        <w:rPr>
          <w:rFonts w:ascii="Times New Roman" w:hAnsi="Times New Roman" w:cs="Times New Roman"/>
        </w:rPr>
        <w:t>Poor house was looked down on as a disgrace</w:t>
      </w:r>
      <w:r w:rsidR="00C30E96" w:rsidRPr="00E869A4">
        <w:rPr>
          <w:rFonts w:ascii="Times New Roman" w:hAnsi="Times New Roman" w:cs="Times New Roman"/>
        </w:rPr>
        <w:t xml:space="preserve"> </w:t>
      </w:r>
      <w:r w:rsidRPr="00E869A4">
        <w:rPr>
          <w:rFonts w:ascii="Times New Roman" w:hAnsi="Times New Roman" w:cs="Times New Roman"/>
        </w:rPr>
        <w:t>…</w:t>
      </w:r>
      <w:r w:rsidR="00C30E96" w:rsidRPr="00E869A4">
        <w:rPr>
          <w:rFonts w:ascii="Times New Roman" w:hAnsi="Times New Roman" w:cs="Times New Roman"/>
        </w:rPr>
        <w:t xml:space="preserve"> </w:t>
      </w:r>
      <w:r w:rsidRPr="00E869A4">
        <w:rPr>
          <w:rFonts w:ascii="Times New Roman" w:hAnsi="Times New Roman" w:cs="Times New Roman"/>
        </w:rPr>
        <w:t xml:space="preserve">you couldn’t </w:t>
      </w:r>
      <w:r w:rsidR="00E24FAB" w:rsidRPr="00E869A4">
        <w:rPr>
          <w:rFonts w:ascii="Times New Roman" w:hAnsi="Times New Roman" w:cs="Times New Roman"/>
        </w:rPr>
        <w:t>put your relative in poor house</w:t>
      </w:r>
      <w:r w:rsidR="009C1BBC" w:rsidRPr="00E869A4">
        <w:rPr>
          <w:rFonts w:ascii="Times New Roman" w:hAnsi="Times New Roman" w:cs="Times New Roman"/>
        </w:rPr>
        <w:t>.”</w:t>
      </w:r>
      <w:r w:rsidR="00E24FAB" w:rsidRPr="00E869A4">
        <w:rPr>
          <w:rFonts w:ascii="Times New Roman" w:hAnsi="Times New Roman" w:cs="Times New Roman"/>
        </w:rPr>
        <w:t xml:space="preserve"> (TSG</w:t>
      </w:r>
      <w:r w:rsidRPr="00E869A4">
        <w:rPr>
          <w:rFonts w:ascii="Times New Roman" w:hAnsi="Times New Roman" w:cs="Times New Roman"/>
        </w:rPr>
        <w:t xml:space="preserve"> Miriam)</w:t>
      </w:r>
      <w:r w:rsidR="00C0048D" w:rsidRPr="00E869A4">
        <w:rPr>
          <w:rFonts w:ascii="Times New Roman" w:hAnsi="Times New Roman" w:cs="Times New Roman"/>
        </w:rPr>
        <w:t>. According to Judith:</w:t>
      </w:r>
      <w:r w:rsidR="00E24FAB" w:rsidRPr="00E869A4">
        <w:rPr>
          <w:rFonts w:ascii="Times New Roman" w:hAnsi="Times New Roman" w:cs="Times New Roman"/>
        </w:rPr>
        <w:t xml:space="preserve"> </w:t>
      </w:r>
    </w:p>
    <w:p w14:paraId="471F7ADA" w14:textId="77777777" w:rsidR="001E6A2C" w:rsidRPr="00E869A4" w:rsidRDefault="001E6A2C" w:rsidP="00C30E96">
      <w:pPr>
        <w:spacing w:line="240" w:lineRule="auto"/>
        <w:ind w:left="720"/>
        <w:rPr>
          <w:rFonts w:ascii="Times New Roman" w:hAnsi="Times New Roman" w:cs="Times New Roman"/>
          <w:i/>
        </w:rPr>
      </w:pPr>
    </w:p>
    <w:p w14:paraId="1DB8D397" w14:textId="258DC569" w:rsidR="00DD2837" w:rsidRPr="00E869A4" w:rsidRDefault="00DD2837" w:rsidP="00A71B73">
      <w:pPr>
        <w:spacing w:line="240" w:lineRule="auto"/>
        <w:ind w:left="720" w:firstLine="0"/>
        <w:rPr>
          <w:rFonts w:ascii="Times New Roman" w:hAnsi="Times New Roman" w:cs="Times New Roman"/>
        </w:rPr>
      </w:pPr>
      <w:r w:rsidRPr="00E869A4">
        <w:rPr>
          <w:rFonts w:ascii="Times New Roman" w:hAnsi="Times New Roman" w:cs="Times New Roman"/>
        </w:rPr>
        <w:t>We had one poor house</w:t>
      </w:r>
      <w:r w:rsidR="00E24FAB" w:rsidRPr="00E869A4">
        <w:rPr>
          <w:rFonts w:ascii="Times New Roman" w:hAnsi="Times New Roman" w:cs="Times New Roman"/>
        </w:rPr>
        <w:t xml:space="preserve"> </w:t>
      </w:r>
      <w:r w:rsidRPr="00E869A4">
        <w:rPr>
          <w:rFonts w:ascii="Times New Roman" w:hAnsi="Times New Roman" w:cs="Times New Roman"/>
        </w:rPr>
        <w:t>… And it was a place where people who had no relatives at all [or] nobody to look after them [went]</w:t>
      </w:r>
      <w:r w:rsidR="00C0048D" w:rsidRPr="00E869A4">
        <w:rPr>
          <w:rFonts w:ascii="Times New Roman" w:hAnsi="Times New Roman" w:cs="Times New Roman"/>
        </w:rPr>
        <w:t xml:space="preserve"> </w:t>
      </w:r>
      <w:r w:rsidRPr="00E869A4">
        <w:rPr>
          <w:rFonts w:ascii="Times New Roman" w:hAnsi="Times New Roman" w:cs="Times New Roman"/>
        </w:rPr>
        <w:t>… It was not a place that people were glad to</w:t>
      </w:r>
      <w:r w:rsidR="00E24FAB" w:rsidRPr="00E869A4">
        <w:rPr>
          <w:rFonts w:ascii="Times New Roman" w:hAnsi="Times New Roman" w:cs="Times New Roman"/>
        </w:rPr>
        <w:t xml:space="preserve"> [go]. Old people used to say, ‘</w:t>
      </w:r>
      <w:r w:rsidRPr="00E869A4">
        <w:rPr>
          <w:rFonts w:ascii="Times New Roman" w:hAnsi="Times New Roman" w:cs="Times New Roman"/>
        </w:rPr>
        <w:t>Yuh see when I get old, I don’t want my childr</w:t>
      </w:r>
      <w:r w:rsidR="00E24FAB" w:rsidRPr="00E869A4">
        <w:rPr>
          <w:rFonts w:ascii="Times New Roman" w:hAnsi="Times New Roman" w:cs="Times New Roman"/>
        </w:rPr>
        <w:t xml:space="preserve">en to carry me to no poor house’ </w:t>
      </w:r>
      <w:r w:rsidRPr="00E869A4">
        <w:rPr>
          <w:rFonts w:ascii="Times New Roman" w:hAnsi="Times New Roman" w:cs="Times New Roman"/>
        </w:rPr>
        <w:t>…</w:t>
      </w:r>
      <w:r w:rsidR="00E24FAB" w:rsidRPr="00E869A4">
        <w:rPr>
          <w:rFonts w:ascii="Times New Roman" w:hAnsi="Times New Roman" w:cs="Times New Roman"/>
        </w:rPr>
        <w:t xml:space="preserve"> </w:t>
      </w:r>
      <w:r w:rsidRPr="00E869A4">
        <w:rPr>
          <w:rFonts w:ascii="Times New Roman" w:hAnsi="Times New Roman" w:cs="Times New Roman"/>
        </w:rPr>
        <w:t>It was kind of disgraceful: is not de treatment, it was a stigma to take your parents to de poor house. It was one place. Is not like there was plenty poor house all over</w:t>
      </w:r>
      <w:r w:rsidR="00C0048D" w:rsidRPr="00E869A4">
        <w:rPr>
          <w:rFonts w:ascii="Times New Roman" w:hAnsi="Times New Roman" w:cs="Times New Roman"/>
        </w:rPr>
        <w:t xml:space="preserve"> </w:t>
      </w:r>
      <w:r w:rsidRPr="00E869A4">
        <w:rPr>
          <w:rFonts w:ascii="Times New Roman" w:hAnsi="Times New Roman" w:cs="Times New Roman"/>
        </w:rPr>
        <w:t>…</w:t>
      </w:r>
      <w:r w:rsidR="00C30E96" w:rsidRPr="00E869A4">
        <w:rPr>
          <w:rFonts w:ascii="Times New Roman" w:hAnsi="Times New Roman" w:cs="Times New Roman"/>
        </w:rPr>
        <w:t xml:space="preserve"> </w:t>
      </w:r>
      <w:r w:rsidRPr="00E869A4">
        <w:rPr>
          <w:rFonts w:ascii="Times New Roman" w:hAnsi="Times New Roman" w:cs="Times New Roman"/>
        </w:rPr>
        <w:t>And then they close it down about 5 - 6 years ago, and they had the people in a little area of the</w:t>
      </w:r>
      <w:r w:rsidR="00E24FAB" w:rsidRPr="00E869A4">
        <w:rPr>
          <w:rFonts w:ascii="Times New Roman" w:hAnsi="Times New Roman" w:cs="Times New Roman"/>
        </w:rPr>
        <w:t xml:space="preserve"> hospital in the geriatric ward.</w:t>
      </w:r>
    </w:p>
    <w:p w14:paraId="04AD96DD" w14:textId="77777777" w:rsidR="00E16215" w:rsidRPr="00E869A4" w:rsidRDefault="00E16215" w:rsidP="00144886">
      <w:pPr>
        <w:autoSpaceDE w:val="0"/>
        <w:autoSpaceDN w:val="0"/>
        <w:adjustRightInd w:val="0"/>
        <w:spacing w:line="240" w:lineRule="auto"/>
        <w:rPr>
          <w:rFonts w:ascii="Times New Roman" w:hAnsi="Times New Roman" w:cs="Times New Roman"/>
        </w:rPr>
      </w:pPr>
    </w:p>
    <w:p w14:paraId="6F4F4F1B" w14:textId="3996AC33" w:rsidR="00C30E96" w:rsidRPr="00E869A4" w:rsidRDefault="00DD2837" w:rsidP="00C0048D">
      <w:pPr>
        <w:ind w:firstLine="0"/>
        <w:rPr>
          <w:rFonts w:ascii="Times New Roman" w:hAnsi="Times New Roman" w:cs="Times New Roman"/>
          <w:szCs w:val="24"/>
        </w:rPr>
      </w:pPr>
      <w:r w:rsidRPr="00E869A4">
        <w:rPr>
          <w:rFonts w:ascii="Times New Roman" w:hAnsi="Times New Roman" w:cs="Times New Roman"/>
        </w:rPr>
        <w:t xml:space="preserve">This negative stigma was also associated with the former </w:t>
      </w:r>
      <w:r w:rsidR="00791B34" w:rsidRPr="00E869A4">
        <w:rPr>
          <w:rFonts w:ascii="Times New Roman" w:hAnsi="Times New Roman" w:cs="Times New Roman"/>
          <w:i/>
        </w:rPr>
        <w:t>poor houses</w:t>
      </w:r>
      <w:r w:rsidR="00791B34" w:rsidRPr="00E869A4">
        <w:rPr>
          <w:rFonts w:ascii="Times New Roman" w:hAnsi="Times New Roman" w:cs="Times New Roman"/>
        </w:rPr>
        <w:t xml:space="preserve"> </w:t>
      </w:r>
      <w:r w:rsidRPr="00E869A4">
        <w:rPr>
          <w:rFonts w:ascii="Times New Roman" w:hAnsi="Times New Roman" w:cs="Times New Roman"/>
        </w:rPr>
        <w:t>in Trinidad (Blake 200</w:t>
      </w:r>
      <w:r w:rsidR="003A0DEB" w:rsidRPr="00E869A4">
        <w:rPr>
          <w:rFonts w:ascii="Times New Roman" w:hAnsi="Times New Roman" w:cs="Times New Roman"/>
        </w:rPr>
        <w:t>3</w:t>
      </w:r>
      <w:r w:rsidRPr="00E869A4">
        <w:rPr>
          <w:rFonts w:ascii="Times New Roman" w:hAnsi="Times New Roman" w:cs="Times New Roman"/>
        </w:rPr>
        <w:t xml:space="preserve">). </w:t>
      </w:r>
      <w:r w:rsidR="00D964C5" w:rsidRPr="00E869A4">
        <w:rPr>
          <w:rFonts w:ascii="Times New Roman" w:hAnsi="Times New Roman" w:cs="Times New Roman"/>
        </w:rPr>
        <w:t xml:space="preserve">Despite the fact that </w:t>
      </w:r>
      <w:r w:rsidRPr="00E869A4">
        <w:rPr>
          <w:rFonts w:ascii="Times New Roman" w:hAnsi="Times New Roman" w:cs="Times New Roman"/>
        </w:rPr>
        <w:t>the poor houses no longer exist (in Trinidad they were converted to what are now called Community Homes for the Aged), the negative stigma still seem</w:t>
      </w:r>
      <w:r w:rsidR="00791B34" w:rsidRPr="00E869A4">
        <w:rPr>
          <w:rFonts w:ascii="Times New Roman" w:hAnsi="Times New Roman" w:cs="Times New Roman"/>
        </w:rPr>
        <w:t>s</w:t>
      </w:r>
      <w:r w:rsidRPr="00E869A4">
        <w:rPr>
          <w:rFonts w:ascii="Times New Roman" w:hAnsi="Times New Roman" w:cs="Times New Roman"/>
        </w:rPr>
        <w:t xml:space="preserve"> to persist. </w:t>
      </w:r>
      <w:r w:rsidR="00A550DC" w:rsidRPr="00E869A4">
        <w:rPr>
          <w:rFonts w:ascii="Times New Roman" w:hAnsi="Times New Roman" w:cs="Times New Roman"/>
          <w:szCs w:val="24"/>
        </w:rPr>
        <w:t xml:space="preserve">Nevertheless, a few Tobagonian participants admitted to placing their older relative in a facility. </w:t>
      </w:r>
      <w:r w:rsidR="00C0048D" w:rsidRPr="00E869A4">
        <w:rPr>
          <w:rFonts w:ascii="Times New Roman" w:hAnsi="Times New Roman" w:cs="Times New Roman"/>
          <w:szCs w:val="24"/>
        </w:rPr>
        <w:t xml:space="preserve"> </w:t>
      </w:r>
    </w:p>
    <w:p w14:paraId="6458F69E" w14:textId="77777777" w:rsidR="00C0048D" w:rsidRPr="00E869A4" w:rsidRDefault="00C0048D" w:rsidP="00C0048D">
      <w:pPr>
        <w:ind w:firstLine="0"/>
        <w:rPr>
          <w:rFonts w:ascii="Times New Roman" w:eastAsiaTheme="majorEastAsia" w:hAnsi="Times New Roman" w:cs="Times New Roman"/>
          <w:b/>
          <w:bCs/>
          <w:szCs w:val="26"/>
          <w:u w:val="single"/>
        </w:rPr>
      </w:pPr>
    </w:p>
    <w:p w14:paraId="65B031E7" w14:textId="77777777" w:rsidR="00FD3960" w:rsidRPr="00E869A4" w:rsidRDefault="00FD3960">
      <w:pPr>
        <w:rPr>
          <w:rFonts w:ascii="Times New Roman" w:eastAsiaTheme="majorEastAsia" w:hAnsi="Times New Roman" w:cs="Times New Roman"/>
          <w:b/>
          <w:bCs/>
          <w:szCs w:val="26"/>
          <w:u w:val="single"/>
        </w:rPr>
      </w:pPr>
      <w:r w:rsidRPr="00E869A4">
        <w:br w:type="page"/>
      </w:r>
    </w:p>
    <w:p w14:paraId="0E295E63" w14:textId="4A637C9B" w:rsidR="00DD2837" w:rsidRPr="00E869A4" w:rsidRDefault="00E9231D" w:rsidP="00175C3E">
      <w:pPr>
        <w:pStyle w:val="Heading2"/>
      </w:pPr>
      <w:bookmarkStart w:id="302" w:name="_Toc40436530"/>
      <w:r w:rsidRPr="00E869A4">
        <w:lastRenderedPageBreak/>
        <w:t>6</w:t>
      </w:r>
      <w:r w:rsidR="00630438" w:rsidRPr="00E869A4">
        <w:t>.</w:t>
      </w:r>
      <w:r w:rsidR="005B67E1" w:rsidRPr="00E869A4">
        <w:t>4</w:t>
      </w:r>
      <w:r w:rsidR="008D2A43" w:rsidRPr="00E869A4">
        <w:t>.</w:t>
      </w:r>
      <w:r w:rsidR="00733353" w:rsidRPr="00E869A4">
        <w:t xml:space="preserve"> </w:t>
      </w:r>
      <w:r w:rsidR="008D2A43" w:rsidRPr="00E869A4">
        <w:t>REQUITED CARE</w:t>
      </w:r>
      <w:bookmarkEnd w:id="302"/>
    </w:p>
    <w:p w14:paraId="6416A4CD" w14:textId="77777777" w:rsidR="008D2A43" w:rsidRPr="00E869A4" w:rsidRDefault="008D2A43" w:rsidP="00B61191">
      <w:pPr>
        <w:ind w:left="567" w:firstLine="0"/>
      </w:pPr>
    </w:p>
    <w:p w14:paraId="1A6AFD20" w14:textId="5F231BE9" w:rsidR="00DD2837" w:rsidRPr="00E869A4" w:rsidRDefault="00DD2837" w:rsidP="00C73B1F">
      <w:pPr>
        <w:rPr>
          <w:rFonts w:ascii="Times New Roman" w:hAnsi="Times New Roman" w:cs="Times New Roman"/>
        </w:rPr>
      </w:pPr>
      <w:r w:rsidRPr="00E869A4">
        <w:rPr>
          <w:rFonts w:ascii="Times New Roman" w:hAnsi="Times New Roman" w:cs="Times New Roman"/>
        </w:rPr>
        <w:t xml:space="preserve">A desire to reciprocate </w:t>
      </w:r>
      <w:r w:rsidR="001F790E" w:rsidRPr="00E869A4">
        <w:rPr>
          <w:rFonts w:ascii="Times New Roman" w:hAnsi="Times New Roman" w:cs="Times New Roman"/>
        </w:rPr>
        <w:t>care</w:t>
      </w:r>
      <w:r w:rsidRPr="00E869A4">
        <w:rPr>
          <w:rFonts w:ascii="Times New Roman" w:hAnsi="Times New Roman" w:cs="Times New Roman"/>
        </w:rPr>
        <w:t xml:space="preserve"> emerged as a prevailing theme in the responses of most of the participants in the qualitative phase of this study. For Samantha Khan, reciprocating care was an important determining factor that influenced her decision to provide primary care to her father</w:t>
      </w:r>
      <w:r w:rsidR="005026DC" w:rsidRPr="00E869A4">
        <w:rPr>
          <w:rFonts w:ascii="Times New Roman" w:hAnsi="Times New Roman" w:cs="Times New Roman"/>
        </w:rPr>
        <w:t>:</w:t>
      </w:r>
      <w:r w:rsidRPr="00E869A4">
        <w:rPr>
          <w:rFonts w:ascii="Times New Roman" w:hAnsi="Times New Roman" w:cs="Times New Roman"/>
        </w:rPr>
        <w:t xml:space="preserve"> </w:t>
      </w:r>
    </w:p>
    <w:p w14:paraId="157D7404" w14:textId="77777777" w:rsidR="0003534A" w:rsidRPr="00E869A4" w:rsidRDefault="00DD2837" w:rsidP="00F95927">
      <w:pPr>
        <w:spacing w:line="240" w:lineRule="auto"/>
        <w:ind w:left="720"/>
        <w:rPr>
          <w:rFonts w:ascii="Times New Roman" w:hAnsi="Times New Roman" w:cs="Times New Roman"/>
        </w:rPr>
      </w:pPr>
      <w:r w:rsidRPr="00E869A4">
        <w:rPr>
          <w:rFonts w:ascii="Times New Roman" w:hAnsi="Times New Roman" w:cs="Times New Roman"/>
        </w:rPr>
        <w:t xml:space="preserve"> </w:t>
      </w:r>
    </w:p>
    <w:p w14:paraId="08D88A8F" w14:textId="622F0CC0" w:rsidR="00DD2837" w:rsidRPr="00E869A4" w:rsidRDefault="00DD2837" w:rsidP="00873CBE">
      <w:pPr>
        <w:spacing w:line="240" w:lineRule="auto"/>
        <w:ind w:left="567" w:firstLine="0"/>
        <w:rPr>
          <w:rFonts w:ascii="Times New Roman" w:hAnsi="Times New Roman" w:cs="Times New Roman"/>
        </w:rPr>
      </w:pPr>
      <w:r w:rsidRPr="00E869A4">
        <w:rPr>
          <w:rFonts w:ascii="Times New Roman" w:hAnsi="Times New Roman" w:cs="Times New Roman"/>
        </w:rPr>
        <w:t xml:space="preserve">Before he got sick it was like he is the one in charge, he’s the one that runs around and does everything.  Even our banking, I would just come home with my salary … and give it to him and he would do everything. And I’m the spoilt one, he’s doing everything.  If I need something he would run all over Trinidad to get it. But then, he started to get sick so the roles reversed. So </w:t>
      </w:r>
      <w:r w:rsidR="00A53317" w:rsidRPr="00E869A4">
        <w:rPr>
          <w:rFonts w:ascii="Times New Roman" w:hAnsi="Times New Roman" w:cs="Times New Roman"/>
        </w:rPr>
        <w:t>I don’t have a problem with it.</w:t>
      </w:r>
    </w:p>
    <w:p w14:paraId="76483FE6" w14:textId="77777777" w:rsidR="00467193" w:rsidRPr="00E869A4" w:rsidRDefault="00467193" w:rsidP="00144886">
      <w:pPr>
        <w:autoSpaceDE w:val="0"/>
        <w:autoSpaceDN w:val="0"/>
        <w:adjustRightInd w:val="0"/>
        <w:spacing w:line="240" w:lineRule="auto"/>
        <w:rPr>
          <w:rFonts w:ascii="Times New Roman" w:hAnsi="Times New Roman" w:cs="Times New Roman"/>
        </w:rPr>
      </w:pPr>
    </w:p>
    <w:p w14:paraId="4CC86459" w14:textId="2ABD4782" w:rsidR="00DD2837" w:rsidRPr="00E869A4" w:rsidRDefault="00DD2837" w:rsidP="00A53317">
      <w:pPr>
        <w:ind w:firstLine="0"/>
        <w:rPr>
          <w:rFonts w:ascii="Times New Roman" w:hAnsi="Times New Roman" w:cs="Times New Roman"/>
        </w:rPr>
      </w:pPr>
      <w:r w:rsidRPr="00E869A4">
        <w:rPr>
          <w:rFonts w:ascii="Times New Roman" w:hAnsi="Times New Roman" w:cs="Times New Roman"/>
        </w:rPr>
        <w:t>But, as was alluded</w:t>
      </w:r>
      <w:r w:rsidR="00F95927" w:rsidRPr="00E869A4">
        <w:rPr>
          <w:rFonts w:ascii="Times New Roman" w:hAnsi="Times New Roman" w:cs="Times New Roman"/>
        </w:rPr>
        <w:t xml:space="preserve"> to in the previous section on </w:t>
      </w:r>
      <w:r w:rsidRPr="00E869A4">
        <w:rPr>
          <w:rFonts w:ascii="Times New Roman" w:hAnsi="Times New Roman" w:cs="Times New Roman"/>
          <w:i/>
        </w:rPr>
        <w:t>required care</w:t>
      </w:r>
      <w:r w:rsidRPr="00E869A4">
        <w:rPr>
          <w:rFonts w:ascii="Times New Roman" w:hAnsi="Times New Roman" w:cs="Times New Roman"/>
        </w:rPr>
        <w:t xml:space="preserve"> this seemed to be a secondary rather than a primary influence as she remained as a secondary caregiver up until she was no longer satisfied with the care provided by her sister-in-law Kalima</w:t>
      </w:r>
      <w:r w:rsidRPr="00E869A4">
        <w:rPr>
          <w:rFonts w:ascii="Times New Roman" w:hAnsi="Times New Roman" w:cs="Times New Roman"/>
          <w:i/>
        </w:rPr>
        <w:t xml:space="preserve">. </w:t>
      </w:r>
    </w:p>
    <w:p w14:paraId="3EBE85AC" w14:textId="77777777" w:rsidR="00467193" w:rsidRPr="00E869A4" w:rsidRDefault="00467193" w:rsidP="00A35FF8">
      <w:pPr>
        <w:rPr>
          <w:rFonts w:ascii="Times New Roman" w:hAnsi="Times New Roman" w:cs="Times New Roman"/>
        </w:rPr>
      </w:pPr>
    </w:p>
    <w:p w14:paraId="2E1ADB12" w14:textId="53BFB3E0" w:rsidR="00DD2837" w:rsidRPr="00E869A4" w:rsidRDefault="00DD2837" w:rsidP="00A35FF8">
      <w:pPr>
        <w:rPr>
          <w:rFonts w:ascii="Times New Roman" w:hAnsi="Times New Roman" w:cs="Times New Roman"/>
        </w:rPr>
      </w:pPr>
      <w:r w:rsidRPr="00E869A4">
        <w:rPr>
          <w:rFonts w:ascii="Times New Roman" w:hAnsi="Times New Roman" w:cs="Times New Roman"/>
        </w:rPr>
        <w:t>Mrs. Flora’s decision to care for her husband was based on both her desire to reciprocate care to him</w:t>
      </w:r>
      <w:r w:rsidR="005026DC" w:rsidRPr="00E869A4">
        <w:rPr>
          <w:rFonts w:ascii="Times New Roman" w:hAnsi="Times New Roman" w:cs="Times New Roman"/>
        </w:rPr>
        <w:t xml:space="preserve"> and</w:t>
      </w:r>
      <w:r w:rsidR="00A53317" w:rsidRPr="00E869A4">
        <w:rPr>
          <w:rFonts w:ascii="Times New Roman" w:hAnsi="Times New Roman" w:cs="Times New Roman"/>
        </w:rPr>
        <w:t xml:space="preserve"> </w:t>
      </w:r>
      <w:r w:rsidR="00F53CA2" w:rsidRPr="00E869A4">
        <w:rPr>
          <w:rFonts w:ascii="Times New Roman" w:hAnsi="Times New Roman" w:cs="Times New Roman"/>
        </w:rPr>
        <w:t>her</w:t>
      </w:r>
      <w:r w:rsidRPr="00E869A4">
        <w:rPr>
          <w:rFonts w:ascii="Times New Roman" w:hAnsi="Times New Roman" w:cs="Times New Roman"/>
        </w:rPr>
        <w:t xml:space="preserve"> sense of duty</w:t>
      </w:r>
      <w:r w:rsidR="005026DC" w:rsidRPr="00E869A4">
        <w:rPr>
          <w:rFonts w:ascii="Times New Roman" w:hAnsi="Times New Roman" w:cs="Times New Roman"/>
        </w:rPr>
        <w:t>:</w:t>
      </w:r>
      <w:r w:rsidRPr="00E869A4">
        <w:rPr>
          <w:rFonts w:ascii="Times New Roman" w:hAnsi="Times New Roman" w:cs="Times New Roman"/>
        </w:rPr>
        <w:t xml:space="preserve"> </w:t>
      </w:r>
    </w:p>
    <w:p w14:paraId="5753153C" w14:textId="77777777" w:rsidR="0003534A" w:rsidRPr="00E869A4" w:rsidRDefault="0003534A" w:rsidP="00F95927">
      <w:pPr>
        <w:spacing w:line="240" w:lineRule="auto"/>
        <w:ind w:left="720"/>
        <w:rPr>
          <w:rFonts w:ascii="Times New Roman" w:hAnsi="Times New Roman" w:cs="Times New Roman"/>
        </w:rPr>
      </w:pPr>
    </w:p>
    <w:p w14:paraId="29627484" w14:textId="31356C74" w:rsidR="00DD2837" w:rsidRPr="00E869A4" w:rsidRDefault="00DD2837" w:rsidP="0017182D">
      <w:pPr>
        <w:spacing w:line="240" w:lineRule="auto"/>
        <w:ind w:left="567" w:firstLine="0"/>
        <w:rPr>
          <w:rFonts w:ascii="Times New Roman" w:hAnsi="Times New Roman" w:cs="Times New Roman"/>
        </w:rPr>
      </w:pPr>
      <w:r w:rsidRPr="00E869A4">
        <w:rPr>
          <w:rFonts w:ascii="Times New Roman" w:hAnsi="Times New Roman" w:cs="Times New Roman"/>
        </w:rPr>
        <w:t xml:space="preserve">Well, one, he was a good husband. Two, even if he wasn’t a good husband, I think it is my duty to take care of him because I made vows, and those vows were not vows that you should break. Those are vows that you should </w:t>
      </w:r>
      <w:r w:rsidR="00A53317" w:rsidRPr="00E869A4">
        <w:rPr>
          <w:rFonts w:ascii="Times New Roman" w:hAnsi="Times New Roman" w:cs="Times New Roman"/>
        </w:rPr>
        <w:t>keep…I will do what I should do</w:t>
      </w:r>
      <w:r w:rsidR="0017182D" w:rsidRPr="00E869A4">
        <w:rPr>
          <w:rFonts w:ascii="Times New Roman" w:hAnsi="Times New Roman" w:cs="Times New Roman"/>
        </w:rPr>
        <w:t>.</w:t>
      </w:r>
    </w:p>
    <w:p w14:paraId="109F75C2" w14:textId="77777777" w:rsidR="005026DC" w:rsidRPr="00E869A4" w:rsidRDefault="005026DC" w:rsidP="00F25A6D">
      <w:pPr>
        <w:autoSpaceDE w:val="0"/>
        <w:autoSpaceDN w:val="0"/>
        <w:adjustRightInd w:val="0"/>
        <w:spacing w:line="240" w:lineRule="auto"/>
        <w:rPr>
          <w:rFonts w:ascii="Times New Roman" w:hAnsi="Times New Roman" w:cs="Times New Roman"/>
        </w:rPr>
      </w:pPr>
    </w:p>
    <w:p w14:paraId="5CD495AB" w14:textId="77777777" w:rsidR="00F95927" w:rsidRPr="00E869A4" w:rsidRDefault="00DD2837" w:rsidP="00684D6A">
      <w:pPr>
        <w:ind w:firstLine="0"/>
        <w:rPr>
          <w:rFonts w:ascii="Times New Roman" w:hAnsi="Times New Roman" w:cs="Times New Roman"/>
        </w:rPr>
      </w:pPr>
      <w:r w:rsidRPr="00E869A4">
        <w:rPr>
          <w:rFonts w:ascii="Times New Roman" w:hAnsi="Times New Roman" w:cs="Times New Roman"/>
        </w:rPr>
        <w:t xml:space="preserve">This quote </w:t>
      </w:r>
      <w:r w:rsidR="002E51B7" w:rsidRPr="00E869A4">
        <w:rPr>
          <w:rFonts w:ascii="Times New Roman" w:hAnsi="Times New Roman" w:cs="Times New Roman"/>
        </w:rPr>
        <w:t xml:space="preserve">from Mrs. Flora </w:t>
      </w:r>
      <w:r w:rsidRPr="00E869A4">
        <w:rPr>
          <w:rFonts w:ascii="Times New Roman" w:hAnsi="Times New Roman" w:cs="Times New Roman"/>
        </w:rPr>
        <w:t xml:space="preserve">shows the interplay between </w:t>
      </w:r>
      <w:r w:rsidRPr="00E869A4">
        <w:rPr>
          <w:rFonts w:ascii="Times New Roman" w:hAnsi="Times New Roman" w:cs="Times New Roman"/>
          <w:i/>
        </w:rPr>
        <w:t>required care</w:t>
      </w:r>
      <w:r w:rsidRPr="00E869A4">
        <w:rPr>
          <w:rFonts w:ascii="Times New Roman" w:hAnsi="Times New Roman" w:cs="Times New Roman"/>
        </w:rPr>
        <w:t xml:space="preserve"> and </w:t>
      </w:r>
      <w:r w:rsidRPr="00E869A4">
        <w:rPr>
          <w:rFonts w:ascii="Times New Roman" w:hAnsi="Times New Roman" w:cs="Times New Roman"/>
          <w:i/>
        </w:rPr>
        <w:t>requited care</w:t>
      </w:r>
      <w:r w:rsidRPr="00E869A4">
        <w:rPr>
          <w:rFonts w:ascii="Times New Roman" w:hAnsi="Times New Roman" w:cs="Times New Roman"/>
        </w:rPr>
        <w:t xml:space="preserve">. </w:t>
      </w:r>
    </w:p>
    <w:p w14:paraId="704CB3A1" w14:textId="627EA5BF" w:rsidR="00DD2837" w:rsidRPr="00E869A4" w:rsidRDefault="00DD2837" w:rsidP="00684D6A">
      <w:pPr>
        <w:ind w:firstLine="0"/>
        <w:rPr>
          <w:rFonts w:ascii="Times New Roman" w:hAnsi="Times New Roman" w:cs="Times New Roman"/>
        </w:rPr>
      </w:pPr>
      <w:r w:rsidRPr="00E869A4">
        <w:rPr>
          <w:rFonts w:ascii="Times New Roman" w:hAnsi="Times New Roman" w:cs="Times New Roman"/>
        </w:rPr>
        <w:t>Adelina was also motivated by a desire to reciprocate care to her older relative</w:t>
      </w:r>
      <w:r w:rsidR="005026DC" w:rsidRPr="00E869A4">
        <w:rPr>
          <w:rFonts w:ascii="Times New Roman" w:hAnsi="Times New Roman" w:cs="Times New Roman"/>
        </w:rPr>
        <w:t>:</w:t>
      </w:r>
      <w:r w:rsidRPr="00E869A4">
        <w:rPr>
          <w:rFonts w:ascii="Times New Roman" w:hAnsi="Times New Roman" w:cs="Times New Roman"/>
        </w:rPr>
        <w:t xml:space="preserve"> </w:t>
      </w:r>
    </w:p>
    <w:p w14:paraId="49941B7A" w14:textId="77777777" w:rsidR="00A33AF2" w:rsidRPr="00E869A4" w:rsidRDefault="00A33AF2" w:rsidP="00F25A6D">
      <w:pPr>
        <w:autoSpaceDE w:val="0"/>
        <w:autoSpaceDN w:val="0"/>
        <w:adjustRightInd w:val="0"/>
        <w:spacing w:line="240" w:lineRule="auto"/>
        <w:rPr>
          <w:rFonts w:ascii="Times New Roman" w:hAnsi="Times New Roman" w:cs="Times New Roman"/>
        </w:rPr>
      </w:pPr>
    </w:p>
    <w:p w14:paraId="51EEF80D" w14:textId="3745D898" w:rsidR="00DD2837" w:rsidRPr="00E869A4" w:rsidRDefault="00DD2837" w:rsidP="00684D6A">
      <w:pPr>
        <w:spacing w:line="240" w:lineRule="auto"/>
        <w:ind w:left="567" w:firstLine="0"/>
        <w:rPr>
          <w:rFonts w:ascii="Times New Roman" w:hAnsi="Times New Roman" w:cs="Times New Roman"/>
        </w:rPr>
      </w:pPr>
      <w:r w:rsidRPr="00E869A4">
        <w:rPr>
          <w:rFonts w:ascii="Times New Roman" w:eastAsia="Times New Roman" w:hAnsi="Times New Roman" w:cs="Times New Roman"/>
          <w:szCs w:val="24"/>
        </w:rPr>
        <w:t>Tanty was the one who would do everything for the brothers and sisters. If one is ill she would make sure, get up whatever time, go and see the person</w:t>
      </w:r>
      <w:r w:rsidR="00F9592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like when my brother was sick in hospital, she leave home must be 3 in the morning or some kinda thing like that to go down to Port of Spain hospital to make sure he had a change of clothes and she change him. She was that type of person</w:t>
      </w:r>
      <w:r w:rsidR="00F9592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so it’s no big</w:t>
      </w:r>
      <w:r w:rsidR="002E51B7" w:rsidRPr="00E869A4">
        <w:rPr>
          <w:rFonts w:ascii="Times New Roman" w:eastAsia="Times New Roman" w:hAnsi="Times New Roman" w:cs="Times New Roman"/>
          <w:szCs w:val="24"/>
        </w:rPr>
        <w:t xml:space="preserve"> thing [for us to care for her</w:t>
      </w:r>
      <w:r w:rsidR="00F95927" w:rsidRPr="00E869A4">
        <w:rPr>
          <w:rFonts w:ascii="Times New Roman" w:eastAsia="Times New Roman" w:hAnsi="Times New Roman" w:cs="Times New Roman"/>
          <w:szCs w:val="24"/>
        </w:rPr>
        <w:t>]</w:t>
      </w:r>
      <w:r w:rsidR="00684D6A" w:rsidRPr="00E869A4">
        <w:rPr>
          <w:rFonts w:ascii="Times New Roman" w:hAnsi="Times New Roman" w:cs="Times New Roman"/>
        </w:rPr>
        <w:t>.</w:t>
      </w:r>
    </w:p>
    <w:p w14:paraId="57AEF7AB" w14:textId="77777777" w:rsidR="0003534A" w:rsidRPr="00E869A4" w:rsidRDefault="0003534A" w:rsidP="00F25A6D">
      <w:pPr>
        <w:autoSpaceDE w:val="0"/>
        <w:autoSpaceDN w:val="0"/>
        <w:adjustRightInd w:val="0"/>
        <w:spacing w:line="240" w:lineRule="auto"/>
        <w:rPr>
          <w:rFonts w:ascii="Times New Roman" w:hAnsi="Times New Roman" w:cs="Times New Roman"/>
        </w:rPr>
      </w:pPr>
    </w:p>
    <w:p w14:paraId="6E603901" w14:textId="17512576" w:rsidR="00DD2837" w:rsidRPr="00E869A4" w:rsidRDefault="00DD2837" w:rsidP="002E51B7">
      <w:pPr>
        <w:ind w:firstLine="0"/>
        <w:rPr>
          <w:rFonts w:ascii="Times New Roman" w:hAnsi="Times New Roman" w:cs="Times New Roman"/>
        </w:rPr>
      </w:pPr>
      <w:r w:rsidRPr="00E869A4">
        <w:rPr>
          <w:rFonts w:ascii="Times New Roman" w:hAnsi="Times New Roman" w:cs="Times New Roman"/>
        </w:rPr>
        <w:t xml:space="preserve">She like many of her family members directly benefited from Tanty’s care. At one point in time, Adelina lived with Tanty Edna for about a year so that </w:t>
      </w:r>
      <w:r w:rsidR="00C43D7B" w:rsidRPr="00E869A4">
        <w:rPr>
          <w:rFonts w:ascii="Times New Roman" w:hAnsi="Times New Roman" w:cs="Times New Roman"/>
        </w:rPr>
        <w:t xml:space="preserve">she </w:t>
      </w:r>
      <w:r w:rsidRPr="00E869A4">
        <w:rPr>
          <w:rFonts w:ascii="Times New Roman" w:hAnsi="Times New Roman" w:cs="Times New Roman"/>
        </w:rPr>
        <w:t>could receive Tanty’s support while she recovered from surgery. Tanty also took care of Adelina’s baby for an extended period: the child stayed with Tanty during the week</w:t>
      </w:r>
      <w:r w:rsidR="00A00E13" w:rsidRPr="00E869A4">
        <w:rPr>
          <w:rFonts w:ascii="Times New Roman" w:hAnsi="Times New Roman" w:cs="Times New Roman"/>
        </w:rPr>
        <w:t>,</w:t>
      </w:r>
      <w:r w:rsidRPr="00E869A4">
        <w:rPr>
          <w:rFonts w:ascii="Times New Roman" w:hAnsi="Times New Roman" w:cs="Times New Roman"/>
        </w:rPr>
        <w:t xml:space="preserve"> while Adelina was at work, but went home with Adelina on the weekend. </w:t>
      </w:r>
    </w:p>
    <w:p w14:paraId="6B4D51B6" w14:textId="77777777" w:rsidR="005026DC" w:rsidRPr="00E869A4" w:rsidRDefault="005026DC" w:rsidP="00A35FF8">
      <w:pPr>
        <w:rPr>
          <w:rFonts w:ascii="Times New Roman" w:hAnsi="Times New Roman" w:cs="Times New Roman"/>
        </w:rPr>
      </w:pPr>
    </w:p>
    <w:p w14:paraId="7C77CC0D" w14:textId="4ADBDB73" w:rsidR="00DD2837" w:rsidRPr="00E869A4" w:rsidRDefault="00DD2837" w:rsidP="00A35FF8">
      <w:pPr>
        <w:rPr>
          <w:rFonts w:ascii="Times New Roman" w:hAnsi="Times New Roman" w:cs="Times New Roman"/>
        </w:rPr>
      </w:pPr>
      <w:r w:rsidRPr="00E869A4">
        <w:rPr>
          <w:rFonts w:ascii="Times New Roman" w:hAnsi="Times New Roman" w:cs="Times New Roman"/>
        </w:rPr>
        <w:lastRenderedPageBreak/>
        <w:t xml:space="preserve">Mr. Birch shared consistently about the support he received from his friend Uncle Wilton over the years. He was strongly motivated to provide care support to him </w:t>
      </w:r>
      <w:r w:rsidR="00A00E13" w:rsidRPr="00E869A4">
        <w:rPr>
          <w:rFonts w:ascii="Times New Roman" w:hAnsi="Times New Roman" w:cs="Times New Roman"/>
        </w:rPr>
        <w:t>because</w:t>
      </w:r>
      <w:r w:rsidRPr="00E869A4">
        <w:rPr>
          <w:rFonts w:ascii="Times New Roman" w:hAnsi="Times New Roman" w:cs="Times New Roman"/>
        </w:rPr>
        <w:t xml:space="preserve"> of this</w:t>
      </w:r>
      <w:r w:rsidR="005026DC" w:rsidRPr="00E869A4">
        <w:rPr>
          <w:rFonts w:ascii="Times New Roman" w:hAnsi="Times New Roman" w:cs="Times New Roman"/>
        </w:rPr>
        <w:t>:</w:t>
      </w:r>
    </w:p>
    <w:p w14:paraId="1ADC161F" w14:textId="77777777" w:rsidR="0003534A" w:rsidRPr="00E869A4" w:rsidRDefault="0003534A" w:rsidP="00F25A6D">
      <w:pPr>
        <w:autoSpaceDE w:val="0"/>
        <w:autoSpaceDN w:val="0"/>
        <w:adjustRightInd w:val="0"/>
        <w:spacing w:line="240" w:lineRule="auto"/>
        <w:rPr>
          <w:rFonts w:ascii="Times New Roman" w:hAnsi="Times New Roman" w:cs="Times New Roman"/>
        </w:rPr>
      </w:pPr>
    </w:p>
    <w:p w14:paraId="01DED356" w14:textId="03777915" w:rsidR="00DD2837" w:rsidRPr="00E869A4" w:rsidRDefault="00DD2837" w:rsidP="00684D6A">
      <w:pPr>
        <w:autoSpaceDE w:val="0"/>
        <w:autoSpaceDN w:val="0"/>
        <w:adjustRightInd w:val="0"/>
        <w:spacing w:line="240" w:lineRule="auto"/>
        <w:ind w:left="567" w:firstLine="0"/>
        <w:rPr>
          <w:rFonts w:ascii="Times New Roman" w:hAnsi="Times New Roman" w:cs="Times New Roman"/>
        </w:rPr>
      </w:pPr>
      <w:r w:rsidRPr="00E869A4">
        <w:rPr>
          <w:rFonts w:ascii="Times New Roman" w:hAnsi="Times New Roman" w:cs="Times New Roman"/>
        </w:rPr>
        <w:t xml:space="preserve">If he [want me] to buy food [for him], he would tell me well buy two … that’s how it does be eh. Then when ah go in town, ah know he like </w:t>
      </w:r>
      <w:r w:rsidR="00A00E13" w:rsidRPr="00E869A4">
        <w:rPr>
          <w:rFonts w:ascii="Times New Roman" w:hAnsi="Times New Roman" w:cs="Times New Roman"/>
        </w:rPr>
        <w:t>pholourie</w:t>
      </w:r>
      <w:r w:rsidRPr="00E869A4">
        <w:rPr>
          <w:rStyle w:val="FootnoteReference"/>
          <w:rFonts w:ascii="Times New Roman" w:hAnsi="Times New Roman" w:cs="Times New Roman"/>
        </w:rPr>
        <w:footnoteReference w:id="69"/>
      </w:r>
      <w:r w:rsidRPr="00E869A4">
        <w:rPr>
          <w:rFonts w:ascii="Times New Roman" w:hAnsi="Times New Roman" w:cs="Times New Roman"/>
        </w:rPr>
        <w:t xml:space="preserve"> … I would buy some pholourie bring it for him an’ t’ing yuh know</w:t>
      </w:r>
      <w:r w:rsidR="00073D27" w:rsidRPr="00E869A4">
        <w:rPr>
          <w:rFonts w:ascii="Times New Roman" w:hAnsi="Times New Roman" w:cs="Times New Roman"/>
        </w:rPr>
        <w:t xml:space="preserve"> </w:t>
      </w:r>
      <w:r w:rsidR="00C30E96" w:rsidRPr="00E869A4">
        <w:rPr>
          <w:rFonts w:ascii="Times New Roman" w:hAnsi="Times New Roman" w:cs="Times New Roman"/>
        </w:rPr>
        <w:t>..</w:t>
      </w:r>
      <w:r w:rsidRPr="00E869A4">
        <w:rPr>
          <w:rFonts w:ascii="Times New Roman" w:hAnsi="Times New Roman" w:cs="Times New Roman"/>
        </w:rPr>
        <w:t>. daiz how we does move. And then if I cook</w:t>
      </w:r>
      <w:r w:rsidR="00684D6A" w:rsidRPr="00E869A4">
        <w:rPr>
          <w:rFonts w:ascii="Times New Roman" w:hAnsi="Times New Roman" w:cs="Times New Roman"/>
        </w:rPr>
        <w:t xml:space="preserve"> </w:t>
      </w:r>
      <w:r w:rsidRPr="00E869A4">
        <w:rPr>
          <w:rFonts w:ascii="Times New Roman" w:hAnsi="Times New Roman" w:cs="Times New Roman"/>
        </w:rPr>
        <w:t xml:space="preserve">… I tell him wha’ I cookin’. [If] he want [some of the </w:t>
      </w:r>
      <w:r w:rsidR="00073D27" w:rsidRPr="00E869A4">
        <w:rPr>
          <w:rFonts w:ascii="Times New Roman" w:hAnsi="Times New Roman" w:cs="Times New Roman"/>
        </w:rPr>
        <w:t>food</w:t>
      </w:r>
      <w:r w:rsidR="00684D6A" w:rsidRPr="00E869A4">
        <w:rPr>
          <w:rFonts w:ascii="Times New Roman" w:hAnsi="Times New Roman" w:cs="Times New Roman"/>
        </w:rPr>
        <w:t>], I would carry it for him</w:t>
      </w:r>
      <w:r w:rsidR="00073D27" w:rsidRPr="00E869A4">
        <w:rPr>
          <w:rFonts w:ascii="Times New Roman" w:hAnsi="Times New Roman" w:cs="Times New Roman"/>
        </w:rPr>
        <w:t>.</w:t>
      </w:r>
    </w:p>
    <w:p w14:paraId="5823CC80" w14:textId="77777777" w:rsidR="00F25A6D" w:rsidRPr="00E869A4" w:rsidRDefault="00F25A6D" w:rsidP="00684D6A">
      <w:pPr>
        <w:autoSpaceDE w:val="0"/>
        <w:autoSpaceDN w:val="0"/>
        <w:adjustRightInd w:val="0"/>
        <w:spacing w:line="240" w:lineRule="auto"/>
        <w:ind w:left="567" w:firstLine="0"/>
        <w:rPr>
          <w:rFonts w:ascii="Times New Roman" w:eastAsia="Times New Roman" w:hAnsi="Times New Roman" w:cs="Times New Roman"/>
          <w:szCs w:val="24"/>
        </w:rPr>
      </w:pPr>
    </w:p>
    <w:p w14:paraId="44D7273D" w14:textId="7E625105" w:rsidR="00F51724" w:rsidRPr="00E869A4" w:rsidRDefault="00DD2837" w:rsidP="002377BD">
      <w:pPr>
        <w:ind w:firstLine="0"/>
        <w:rPr>
          <w:rFonts w:ascii="Times New Roman" w:hAnsi="Times New Roman" w:cs="Times New Roman"/>
        </w:rPr>
      </w:pPr>
      <w:r w:rsidRPr="00E869A4">
        <w:rPr>
          <w:rFonts w:ascii="Times New Roman" w:hAnsi="Times New Roman" w:cs="Times New Roman"/>
        </w:rPr>
        <w:t xml:space="preserve">Mother Freeda (Sheila’s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w:t>
      </w:r>
      <w:r w:rsidR="002377BD" w:rsidRPr="00E869A4">
        <w:rPr>
          <w:rFonts w:ascii="Times New Roman" w:hAnsi="Times New Roman" w:cs="Times New Roman"/>
        </w:rPr>
        <w:t xml:space="preserve">also </w:t>
      </w:r>
      <w:r w:rsidRPr="00E869A4">
        <w:rPr>
          <w:rFonts w:ascii="Times New Roman" w:hAnsi="Times New Roman" w:cs="Times New Roman"/>
        </w:rPr>
        <w:t>identified reciprocity as an acceptable motive for family elder care provision by her children</w:t>
      </w:r>
      <w:r w:rsidR="002377BD" w:rsidRPr="00E869A4">
        <w:rPr>
          <w:rFonts w:ascii="Times New Roman" w:hAnsi="Times New Roman" w:cs="Times New Roman"/>
        </w:rPr>
        <w:t xml:space="preserve">: </w:t>
      </w:r>
      <w:r w:rsidR="005026DC" w:rsidRPr="00E869A4">
        <w:rPr>
          <w:rFonts w:ascii="Times New Roman" w:hAnsi="Times New Roman" w:cs="Times New Roman"/>
        </w:rPr>
        <w:t>“</w:t>
      </w:r>
      <w:r w:rsidRPr="00E869A4">
        <w:rPr>
          <w:rFonts w:ascii="Times New Roman" w:hAnsi="Times New Roman" w:cs="Times New Roman"/>
        </w:rPr>
        <w:t>Well</w:t>
      </w:r>
      <w:r w:rsidR="00C30E96" w:rsidRPr="00E869A4">
        <w:rPr>
          <w:rFonts w:ascii="Times New Roman" w:hAnsi="Times New Roman" w:cs="Times New Roman"/>
        </w:rPr>
        <w:t xml:space="preserve"> </w:t>
      </w:r>
      <w:r w:rsidRPr="00E869A4">
        <w:rPr>
          <w:rFonts w:ascii="Times New Roman" w:hAnsi="Times New Roman" w:cs="Times New Roman"/>
        </w:rPr>
        <w:t>…</w:t>
      </w:r>
      <w:r w:rsidR="00C30E96" w:rsidRPr="00E869A4">
        <w:rPr>
          <w:rFonts w:ascii="Times New Roman" w:hAnsi="Times New Roman" w:cs="Times New Roman"/>
        </w:rPr>
        <w:t xml:space="preserve"> </w:t>
      </w:r>
      <w:r w:rsidRPr="00E869A4">
        <w:rPr>
          <w:rFonts w:ascii="Times New Roman" w:hAnsi="Times New Roman" w:cs="Times New Roman"/>
        </w:rPr>
        <w:t>I took care of them, (laugh</w:t>
      </w:r>
      <w:r w:rsidR="005026DC" w:rsidRPr="00E869A4">
        <w:rPr>
          <w:rFonts w:ascii="Times New Roman" w:hAnsi="Times New Roman" w:cs="Times New Roman"/>
        </w:rPr>
        <w:t xml:space="preserve">s) and they </w:t>
      </w:r>
      <w:proofErr w:type="spellStart"/>
      <w:r w:rsidR="005026DC" w:rsidRPr="00E869A4">
        <w:rPr>
          <w:rFonts w:ascii="Times New Roman" w:hAnsi="Times New Roman" w:cs="Times New Roman"/>
        </w:rPr>
        <w:t>jus</w:t>
      </w:r>
      <w:proofErr w:type="spellEnd"/>
      <w:r w:rsidR="005026DC" w:rsidRPr="00E869A4">
        <w:rPr>
          <w:rFonts w:ascii="Times New Roman" w:hAnsi="Times New Roman" w:cs="Times New Roman"/>
        </w:rPr>
        <w:t>’ returning dat</w:t>
      </w:r>
      <w:r w:rsidR="00711D86" w:rsidRPr="00E869A4">
        <w:rPr>
          <w:rFonts w:ascii="Times New Roman" w:hAnsi="Times New Roman" w:cs="Times New Roman"/>
        </w:rPr>
        <w:t>.”</w:t>
      </w:r>
      <w:r w:rsidR="002377BD" w:rsidRPr="00E869A4">
        <w:rPr>
          <w:rFonts w:ascii="Times New Roman" w:hAnsi="Times New Roman" w:cs="Times New Roman"/>
        </w:rPr>
        <w:t xml:space="preserve"> (CR Mother Freeda)</w:t>
      </w:r>
      <w:r w:rsidR="00711D86" w:rsidRPr="00E869A4">
        <w:rPr>
          <w:rFonts w:ascii="Times New Roman" w:hAnsi="Times New Roman" w:cs="Times New Roman"/>
        </w:rPr>
        <w:t>.</w:t>
      </w:r>
    </w:p>
    <w:p w14:paraId="393D4DFB" w14:textId="77777777" w:rsidR="00C30E96" w:rsidRPr="00E869A4" w:rsidRDefault="00C30E96" w:rsidP="00F51724">
      <w:pPr>
        <w:rPr>
          <w:rFonts w:ascii="Times New Roman" w:hAnsi="Times New Roman" w:cs="Times New Roman"/>
        </w:rPr>
      </w:pPr>
    </w:p>
    <w:p w14:paraId="43B4CBDD" w14:textId="061E70F3" w:rsidR="00DD2837" w:rsidRPr="00E869A4" w:rsidRDefault="00E9231D" w:rsidP="00175C3E">
      <w:pPr>
        <w:pStyle w:val="Heading2"/>
      </w:pPr>
      <w:bookmarkStart w:id="303" w:name="_Toc40436531"/>
      <w:r w:rsidRPr="00E869A4">
        <w:t>6</w:t>
      </w:r>
      <w:r w:rsidR="00F51724" w:rsidRPr="00E869A4">
        <w:t>.</w:t>
      </w:r>
      <w:r w:rsidR="005B67E1" w:rsidRPr="00E869A4">
        <w:t>5</w:t>
      </w:r>
      <w:r w:rsidR="00733353" w:rsidRPr="00E869A4">
        <w:t xml:space="preserve"> </w:t>
      </w:r>
      <w:r w:rsidR="008D2A43" w:rsidRPr="00E869A4">
        <w:t>INSPIRED CARE</w:t>
      </w:r>
      <w:bookmarkEnd w:id="303"/>
    </w:p>
    <w:p w14:paraId="09FDB3C2" w14:textId="77777777" w:rsidR="00DD2837" w:rsidRPr="00E869A4" w:rsidRDefault="00DD2837" w:rsidP="00A35FF8">
      <w:pPr>
        <w:rPr>
          <w:rFonts w:ascii="Times New Roman" w:hAnsi="Times New Roman" w:cs="Times New Roman"/>
        </w:rPr>
      </w:pPr>
    </w:p>
    <w:p w14:paraId="5FB1DDE1" w14:textId="40B3CC66" w:rsidR="003F7E5F" w:rsidRPr="00E869A4" w:rsidRDefault="00944CF6">
      <w:pPr>
        <w:rPr>
          <w:rFonts w:ascii="Times New Roman" w:hAnsi="Times New Roman" w:cs="Times New Roman"/>
        </w:rPr>
      </w:pPr>
      <w:r w:rsidRPr="00E869A4">
        <w:rPr>
          <w:rFonts w:ascii="Times New Roman" w:hAnsi="Times New Roman" w:cs="Times New Roman"/>
        </w:rPr>
        <w:t>The main determinants of inspired care included divine or supernatural influences, socialisation, civic</w:t>
      </w:r>
      <w:r w:rsidR="00F53CA2" w:rsidRPr="00E869A4">
        <w:rPr>
          <w:rFonts w:ascii="Times New Roman" w:hAnsi="Times New Roman" w:cs="Times New Roman"/>
        </w:rPr>
        <w:t>-</w:t>
      </w:r>
      <w:r w:rsidRPr="00E869A4">
        <w:rPr>
          <w:rFonts w:ascii="Times New Roman" w:hAnsi="Times New Roman" w:cs="Times New Roman"/>
        </w:rPr>
        <w:t xml:space="preserve">mindedness, and love for the older person. </w:t>
      </w:r>
    </w:p>
    <w:p w14:paraId="4CB53A2C" w14:textId="77777777" w:rsidR="00FD3960" w:rsidRPr="00E869A4" w:rsidRDefault="00FD3960">
      <w:pPr>
        <w:rPr>
          <w:b/>
          <w:i/>
          <w:u w:val="single"/>
        </w:rPr>
      </w:pPr>
    </w:p>
    <w:p w14:paraId="64E5BE1D" w14:textId="526FD7A7" w:rsidR="00DD2837" w:rsidRPr="00E869A4" w:rsidRDefault="00E9231D" w:rsidP="005C449C">
      <w:pPr>
        <w:pStyle w:val="Heading3"/>
      </w:pPr>
      <w:bookmarkStart w:id="304" w:name="_Toc40436532"/>
      <w:r w:rsidRPr="00E869A4">
        <w:t>6</w:t>
      </w:r>
      <w:r w:rsidR="007B3714">
        <w:t>.5.1</w:t>
      </w:r>
      <w:r w:rsidR="007B3714" w:rsidRPr="00E869A4">
        <w:t xml:space="preserve">     </w:t>
      </w:r>
      <w:r w:rsidR="00DD2837" w:rsidRPr="00E869A4">
        <w:t>Divine or Supernatural Influences</w:t>
      </w:r>
      <w:bookmarkEnd w:id="304"/>
    </w:p>
    <w:p w14:paraId="5CBB57EB" w14:textId="77777777" w:rsidR="00F17A28" w:rsidRPr="00E869A4" w:rsidRDefault="00F17A28" w:rsidP="00A35FF8">
      <w:pPr>
        <w:rPr>
          <w:rFonts w:ascii="Times New Roman" w:hAnsi="Times New Roman" w:cs="Times New Roman"/>
        </w:rPr>
      </w:pPr>
    </w:p>
    <w:p w14:paraId="1A28B61A" w14:textId="2D469B7D" w:rsidR="00DD2837" w:rsidRPr="00E869A4" w:rsidRDefault="00DD2837" w:rsidP="00A35FF8">
      <w:pPr>
        <w:rPr>
          <w:rFonts w:ascii="Times New Roman" w:hAnsi="Times New Roman" w:cs="Times New Roman"/>
        </w:rPr>
      </w:pPr>
      <w:r w:rsidRPr="00E869A4">
        <w:rPr>
          <w:rFonts w:ascii="Times New Roman" w:hAnsi="Times New Roman" w:cs="Times New Roman"/>
        </w:rPr>
        <w:t>Unlike religious duty which may compel family members to provide care, spiritual or supernatural experiences can inspire a willingness to become a caregiver by generating a positive regard for care provision. Samantha Khan for example</w:t>
      </w:r>
      <w:r w:rsidR="00723A05" w:rsidRPr="00E869A4">
        <w:rPr>
          <w:rFonts w:ascii="Times New Roman" w:hAnsi="Times New Roman" w:cs="Times New Roman"/>
        </w:rPr>
        <w:t>,</w:t>
      </w:r>
      <w:r w:rsidRPr="00E869A4">
        <w:rPr>
          <w:rFonts w:ascii="Times New Roman" w:hAnsi="Times New Roman" w:cs="Times New Roman"/>
        </w:rPr>
        <w:t xml:space="preserve"> was inspired to care by a supernatural experience that her dying mother had</w:t>
      </w:r>
      <w:r w:rsidR="00723A05" w:rsidRPr="00E869A4">
        <w:rPr>
          <w:rFonts w:ascii="Times New Roman" w:hAnsi="Times New Roman" w:cs="Times New Roman"/>
        </w:rPr>
        <w:t>. That experience</w:t>
      </w:r>
      <w:r w:rsidRPr="00E869A4">
        <w:rPr>
          <w:rFonts w:ascii="Times New Roman" w:hAnsi="Times New Roman" w:cs="Times New Roman"/>
        </w:rPr>
        <w:t xml:space="preserve"> encouraged her to provide full time care to her father, even though it meant leaving her job as a nurse</w:t>
      </w:r>
      <w:r w:rsidR="00723A05" w:rsidRPr="00E869A4">
        <w:rPr>
          <w:rFonts w:ascii="Times New Roman" w:hAnsi="Times New Roman" w:cs="Times New Roman"/>
        </w:rPr>
        <w:t>,</w:t>
      </w:r>
      <w:r w:rsidRPr="00E869A4">
        <w:rPr>
          <w:rFonts w:ascii="Times New Roman" w:hAnsi="Times New Roman" w:cs="Times New Roman"/>
        </w:rPr>
        <w:t xml:space="preserve"> and giving up a scholarship she had to study nursing in the U</w:t>
      </w:r>
      <w:r w:rsidR="00DC42B4" w:rsidRPr="00E869A4">
        <w:rPr>
          <w:rFonts w:ascii="Times New Roman" w:hAnsi="Times New Roman" w:cs="Times New Roman"/>
        </w:rPr>
        <w:t>K:</w:t>
      </w:r>
    </w:p>
    <w:p w14:paraId="26DED438" w14:textId="77777777" w:rsidR="00DD2837" w:rsidRPr="00E869A4" w:rsidRDefault="00DD2837" w:rsidP="00F25A6D">
      <w:pPr>
        <w:autoSpaceDE w:val="0"/>
        <w:autoSpaceDN w:val="0"/>
        <w:adjustRightInd w:val="0"/>
        <w:spacing w:line="240" w:lineRule="auto"/>
        <w:ind w:left="567" w:firstLine="0"/>
        <w:rPr>
          <w:rFonts w:ascii="Times New Roman" w:hAnsi="Times New Roman" w:cs="Times New Roman"/>
        </w:rPr>
      </w:pPr>
    </w:p>
    <w:p w14:paraId="4D803AD7" w14:textId="62EDA374" w:rsidR="00DD2837" w:rsidRPr="00E869A4" w:rsidRDefault="00DD2837" w:rsidP="00711D86">
      <w:pPr>
        <w:spacing w:line="240" w:lineRule="auto"/>
        <w:ind w:left="567" w:firstLine="0"/>
        <w:rPr>
          <w:rFonts w:ascii="Times New Roman" w:hAnsi="Times New Roman" w:cs="Times New Roman"/>
        </w:rPr>
      </w:pPr>
      <w:r w:rsidRPr="00E869A4">
        <w:rPr>
          <w:rFonts w:ascii="Times New Roman" w:hAnsi="Times New Roman" w:cs="Times New Roman"/>
        </w:rPr>
        <w:t>It might be strange but, when my mom passed on, she had what the doctors called a near-death experience, where for like three days she was speaking to us about the things that she was seeing and that gave you a strength. We were there, present at her bedside, and it was at that point she asked me to look after him for her. It started off where she asked us … if we saw the brook with water. And then she would mention she seeing friends who had died before and [other] beautiful things, [she also saw] her mom who had died</w:t>
      </w:r>
      <w:r w:rsidR="00711D86" w:rsidRPr="00E869A4">
        <w:rPr>
          <w:rFonts w:ascii="Times New Roman" w:hAnsi="Times New Roman" w:cs="Times New Roman"/>
        </w:rPr>
        <w:t xml:space="preserve"> </w:t>
      </w:r>
      <w:r w:rsidR="00C30E96" w:rsidRPr="00E869A4">
        <w:rPr>
          <w:rFonts w:ascii="Times New Roman" w:hAnsi="Times New Roman" w:cs="Times New Roman"/>
        </w:rPr>
        <w:t>..</w:t>
      </w:r>
      <w:r w:rsidRPr="00E869A4">
        <w:rPr>
          <w:rFonts w:ascii="Times New Roman" w:hAnsi="Times New Roman" w:cs="Times New Roman"/>
        </w:rPr>
        <w:t xml:space="preserve">. They were waiting for her at a river bank, and they were singing … And there was an atmosphere around that was calm and peaceful and strengthening. </w:t>
      </w:r>
      <w:r w:rsidRPr="00E869A4">
        <w:rPr>
          <w:rFonts w:ascii="Times New Roman" w:hAnsi="Times New Roman" w:cs="Times New Roman"/>
        </w:rPr>
        <w:lastRenderedPageBreak/>
        <w:t>So, while it might have been hard</w:t>
      </w:r>
      <w:r w:rsidR="00711D86" w:rsidRPr="00E869A4">
        <w:rPr>
          <w:rFonts w:ascii="Times New Roman" w:hAnsi="Times New Roman" w:cs="Times New Roman"/>
        </w:rPr>
        <w:t xml:space="preserve"> </w:t>
      </w:r>
      <w:r w:rsidRPr="00E869A4">
        <w:rPr>
          <w:rFonts w:ascii="Times New Roman" w:hAnsi="Times New Roman" w:cs="Times New Roman"/>
        </w:rPr>
        <w:t>...</w:t>
      </w:r>
      <w:r w:rsidR="00711D86" w:rsidRPr="00E869A4">
        <w:rPr>
          <w:rFonts w:ascii="Times New Roman" w:hAnsi="Times New Roman" w:cs="Times New Roman"/>
        </w:rPr>
        <w:t xml:space="preserve"> </w:t>
      </w:r>
      <w:r w:rsidRPr="00E869A4">
        <w:rPr>
          <w:rFonts w:ascii="Times New Roman" w:hAnsi="Times New Roman" w:cs="Times New Roman"/>
        </w:rPr>
        <w:t>because seeing her pass on and to take care of him now … that strength that we got there</w:t>
      </w:r>
      <w:bookmarkStart w:id="305" w:name="_Hlk27935837"/>
      <w:r w:rsidR="00711D86" w:rsidRPr="00E869A4">
        <w:rPr>
          <w:rFonts w:ascii="Times New Roman" w:hAnsi="Times New Roman" w:cs="Times New Roman"/>
        </w:rPr>
        <w:t xml:space="preserve"> </w:t>
      </w:r>
      <w:bookmarkEnd w:id="305"/>
      <w:r w:rsidR="00711D86" w:rsidRPr="00E869A4">
        <w:rPr>
          <w:rFonts w:ascii="Times New Roman" w:eastAsia="Times New Roman" w:hAnsi="Times New Roman" w:cs="Times New Roman"/>
          <w:szCs w:val="24"/>
        </w:rPr>
        <w:t xml:space="preserve">– </w:t>
      </w:r>
      <w:r w:rsidR="00711D86" w:rsidRPr="00E869A4">
        <w:rPr>
          <w:rFonts w:ascii="Times New Roman" w:hAnsi="Times New Roman" w:cs="Times New Roman"/>
        </w:rPr>
        <w:t>keeps</w:t>
      </w:r>
      <w:r w:rsidRPr="00E869A4">
        <w:rPr>
          <w:rFonts w:ascii="Times New Roman" w:hAnsi="Times New Roman" w:cs="Times New Roman"/>
        </w:rPr>
        <w:t xml:space="preserve"> you going. </w:t>
      </w:r>
    </w:p>
    <w:p w14:paraId="4B5E236B" w14:textId="77777777" w:rsidR="00994595" w:rsidRPr="00E869A4" w:rsidRDefault="00994595" w:rsidP="00F25A6D">
      <w:pPr>
        <w:autoSpaceDE w:val="0"/>
        <w:autoSpaceDN w:val="0"/>
        <w:adjustRightInd w:val="0"/>
        <w:spacing w:line="240" w:lineRule="auto"/>
        <w:ind w:left="567" w:firstLine="0"/>
        <w:rPr>
          <w:rFonts w:ascii="Times New Roman" w:hAnsi="Times New Roman" w:cs="Times New Roman"/>
          <w:szCs w:val="24"/>
        </w:rPr>
      </w:pPr>
    </w:p>
    <w:p w14:paraId="3C78CE0F" w14:textId="2E62C745" w:rsidR="00DD2837" w:rsidRPr="00E869A4" w:rsidRDefault="00DD2837" w:rsidP="00711D86">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She emphasised that her decision to provide primary care to her dad was based more on a desire to achieve peace of mind than to obtain a spiritual blessing</w:t>
      </w:r>
      <w:r w:rsidR="00D42057" w:rsidRPr="00E869A4">
        <w:rPr>
          <w:rFonts w:ascii="Times New Roman" w:hAnsi="Times New Roman" w:cs="Times New Roman"/>
          <w:szCs w:val="24"/>
        </w:rPr>
        <w:t>:</w:t>
      </w:r>
      <w:r w:rsidRPr="00E869A4">
        <w:rPr>
          <w:rFonts w:ascii="Times New Roman" w:hAnsi="Times New Roman" w:cs="Times New Roman"/>
          <w:szCs w:val="24"/>
        </w:rPr>
        <w:t xml:space="preserve"> “[A] lot of people would say …</w:t>
      </w:r>
      <w:r w:rsidR="00DC42B4" w:rsidRPr="00E869A4">
        <w:rPr>
          <w:rFonts w:ascii="Times New Roman" w:hAnsi="Times New Roman" w:cs="Times New Roman"/>
          <w:szCs w:val="24"/>
        </w:rPr>
        <w:t xml:space="preserve"> ‘</w:t>
      </w:r>
      <w:r w:rsidRPr="00E869A4">
        <w:rPr>
          <w:rFonts w:ascii="Times New Roman" w:hAnsi="Times New Roman" w:cs="Times New Roman"/>
          <w:szCs w:val="24"/>
        </w:rPr>
        <w:t>You would be blessed.</w:t>
      </w:r>
      <w:r w:rsidR="00DC42B4" w:rsidRPr="00E869A4">
        <w:rPr>
          <w:rFonts w:ascii="Times New Roman" w:hAnsi="Times New Roman" w:cs="Times New Roman"/>
          <w:szCs w:val="24"/>
        </w:rPr>
        <w:t>’</w:t>
      </w:r>
      <w:r w:rsidRPr="00E869A4">
        <w:rPr>
          <w:rFonts w:ascii="Times New Roman" w:hAnsi="Times New Roman" w:cs="Times New Roman"/>
          <w:szCs w:val="24"/>
        </w:rPr>
        <w:t xml:space="preserve">  But I don’t really consider that (chuckles)</w:t>
      </w:r>
      <w:r w:rsidR="00C30E96" w:rsidRPr="00E869A4">
        <w:rPr>
          <w:rFonts w:ascii="Times New Roman" w:hAnsi="Times New Roman" w:cs="Times New Roman"/>
          <w:szCs w:val="24"/>
        </w:rPr>
        <w:t xml:space="preserve"> </w:t>
      </w:r>
      <w:r w:rsidRPr="00E869A4">
        <w:rPr>
          <w:rFonts w:ascii="Times New Roman" w:hAnsi="Times New Roman" w:cs="Times New Roman"/>
          <w:szCs w:val="24"/>
        </w:rPr>
        <w:t>… it give me peace of mind.</w:t>
      </w:r>
      <w:r w:rsidR="00711D86" w:rsidRPr="00E869A4">
        <w:rPr>
          <w:rFonts w:ascii="Times New Roman" w:hAnsi="Times New Roman" w:cs="Times New Roman"/>
          <w:szCs w:val="24"/>
        </w:rPr>
        <w:t>”</w:t>
      </w:r>
      <w:r w:rsidR="003424DE" w:rsidRPr="00E869A4">
        <w:rPr>
          <w:rFonts w:ascii="Times New Roman" w:hAnsi="Times New Roman" w:cs="Times New Roman"/>
          <w:szCs w:val="24"/>
        </w:rPr>
        <w:t xml:space="preserve"> (FCG</w:t>
      </w:r>
      <w:r w:rsidRPr="00E869A4">
        <w:rPr>
          <w:rFonts w:ascii="Times New Roman" w:hAnsi="Times New Roman" w:cs="Times New Roman"/>
          <w:szCs w:val="24"/>
        </w:rPr>
        <w:t xml:space="preserve"> Samantha)</w:t>
      </w:r>
      <w:r w:rsidR="00711D86" w:rsidRPr="00E869A4">
        <w:rPr>
          <w:rFonts w:ascii="Times New Roman" w:hAnsi="Times New Roman" w:cs="Times New Roman"/>
          <w:szCs w:val="24"/>
        </w:rPr>
        <w:t>.</w:t>
      </w:r>
    </w:p>
    <w:p w14:paraId="219B0897" w14:textId="4CEED5A8" w:rsidR="00711D86" w:rsidRPr="00E869A4" w:rsidRDefault="00711D86">
      <w:pPr>
        <w:rPr>
          <w:b/>
          <w:i/>
          <w:u w:val="single"/>
        </w:rPr>
      </w:pPr>
    </w:p>
    <w:p w14:paraId="5094CE09" w14:textId="01C03A28" w:rsidR="00DD2837" w:rsidRPr="00E869A4" w:rsidRDefault="00E9231D" w:rsidP="005C449C">
      <w:pPr>
        <w:pStyle w:val="Heading3"/>
      </w:pPr>
      <w:bookmarkStart w:id="306" w:name="_Toc40436533"/>
      <w:r w:rsidRPr="00E869A4">
        <w:t>6</w:t>
      </w:r>
      <w:r w:rsidR="007B3714">
        <w:t>.5.2</w:t>
      </w:r>
      <w:r w:rsidR="007B3714" w:rsidRPr="00E869A4">
        <w:t xml:space="preserve">     </w:t>
      </w:r>
      <w:r w:rsidR="00DD2837" w:rsidRPr="00E869A4">
        <w:t>Socialisation</w:t>
      </w:r>
      <w:bookmarkEnd w:id="306"/>
    </w:p>
    <w:p w14:paraId="77B108FE" w14:textId="77777777" w:rsidR="00A453ED" w:rsidRPr="00E869A4" w:rsidRDefault="00A453ED" w:rsidP="00A35FF8">
      <w:pPr>
        <w:rPr>
          <w:rFonts w:ascii="Times New Roman" w:hAnsi="Times New Roman" w:cs="Times New Roman"/>
        </w:rPr>
      </w:pPr>
    </w:p>
    <w:p w14:paraId="5DB2F900" w14:textId="127CCB51" w:rsidR="00DD2837" w:rsidRPr="00E869A4" w:rsidRDefault="00DD2837" w:rsidP="00A35FF8">
      <w:pPr>
        <w:rPr>
          <w:rFonts w:ascii="Times New Roman" w:hAnsi="Times New Roman" w:cs="Times New Roman"/>
        </w:rPr>
      </w:pPr>
      <w:r w:rsidRPr="00E869A4">
        <w:rPr>
          <w:rFonts w:ascii="Times New Roman" w:hAnsi="Times New Roman" w:cs="Times New Roman"/>
        </w:rPr>
        <w:t>Family care could also be inspired by the care that an individual observed another family member or ‘</w:t>
      </w:r>
      <w:r w:rsidRPr="00E869A4">
        <w:rPr>
          <w:rFonts w:ascii="Times New Roman" w:hAnsi="Times New Roman" w:cs="Times New Roman"/>
          <w:i/>
        </w:rPr>
        <w:t>significant other</w:t>
      </w:r>
      <w:r w:rsidRPr="00E869A4">
        <w:rPr>
          <w:rFonts w:ascii="Times New Roman" w:hAnsi="Times New Roman" w:cs="Times New Roman"/>
        </w:rPr>
        <w:t>’ provided to persons in need. Mrs. Flora was inspired by her mother’s example of caregiving. The training she received from her mother and</w:t>
      </w:r>
      <w:r w:rsidR="00D42057" w:rsidRPr="00E869A4">
        <w:rPr>
          <w:rFonts w:ascii="Times New Roman" w:hAnsi="Times New Roman" w:cs="Times New Roman"/>
        </w:rPr>
        <w:t>, the</w:t>
      </w:r>
      <w:r w:rsidRPr="00E869A4">
        <w:rPr>
          <w:rFonts w:ascii="Times New Roman" w:hAnsi="Times New Roman" w:cs="Times New Roman"/>
        </w:rPr>
        <w:t xml:space="preserve"> experience </w:t>
      </w:r>
      <w:r w:rsidR="00D42057" w:rsidRPr="00E869A4">
        <w:rPr>
          <w:rFonts w:ascii="Times New Roman" w:hAnsi="Times New Roman" w:cs="Times New Roman"/>
        </w:rPr>
        <w:t xml:space="preserve">she had </w:t>
      </w:r>
      <w:r w:rsidRPr="00E869A4">
        <w:rPr>
          <w:rFonts w:ascii="Times New Roman" w:hAnsi="Times New Roman" w:cs="Times New Roman"/>
        </w:rPr>
        <w:t>in giving care at a young age</w:t>
      </w:r>
      <w:r w:rsidR="00D42057" w:rsidRPr="00E869A4">
        <w:rPr>
          <w:rFonts w:ascii="Times New Roman" w:hAnsi="Times New Roman" w:cs="Times New Roman"/>
        </w:rPr>
        <w:t>,</w:t>
      </w:r>
      <w:r w:rsidRPr="00E869A4">
        <w:rPr>
          <w:rFonts w:ascii="Times New Roman" w:hAnsi="Times New Roman" w:cs="Times New Roman"/>
        </w:rPr>
        <w:t xml:space="preserve"> gave her the confidence to continue providing care, even in later life</w:t>
      </w:r>
      <w:r w:rsidR="00FE68A5" w:rsidRPr="00E869A4">
        <w:rPr>
          <w:rFonts w:ascii="Times New Roman" w:hAnsi="Times New Roman" w:cs="Times New Roman"/>
        </w:rPr>
        <w:t>:</w:t>
      </w:r>
    </w:p>
    <w:p w14:paraId="3607513D" w14:textId="77777777" w:rsidR="00994595" w:rsidRPr="00E869A4" w:rsidRDefault="00994595" w:rsidP="00FD3960">
      <w:pPr>
        <w:spacing w:line="240" w:lineRule="auto"/>
        <w:ind w:left="720"/>
        <w:rPr>
          <w:rFonts w:ascii="Times New Roman" w:hAnsi="Times New Roman" w:cs="Times New Roman"/>
        </w:rPr>
      </w:pPr>
    </w:p>
    <w:p w14:paraId="51C45BA3" w14:textId="50809D5E" w:rsidR="00DD2837" w:rsidRPr="00E869A4" w:rsidRDefault="00DD2837" w:rsidP="001F5997">
      <w:pPr>
        <w:spacing w:line="240" w:lineRule="auto"/>
        <w:ind w:left="567" w:firstLine="0"/>
        <w:rPr>
          <w:rFonts w:ascii="Times New Roman" w:hAnsi="Times New Roman" w:cs="Times New Roman"/>
        </w:rPr>
      </w:pPr>
      <w:r w:rsidRPr="00E869A4">
        <w:rPr>
          <w:rFonts w:ascii="Times New Roman" w:hAnsi="Times New Roman" w:cs="Times New Roman"/>
        </w:rPr>
        <w:t>When I used to go to high school, I used to run away every lunch time to care [for] an ole lady who was doing everything for herself. And the other children were like</w:t>
      </w:r>
      <w:r w:rsidR="00A17C69" w:rsidRPr="00E869A4">
        <w:rPr>
          <w:rFonts w:ascii="Times New Roman" w:hAnsi="Times New Roman" w:cs="Times New Roman"/>
        </w:rPr>
        <w:t>,</w:t>
      </w:r>
      <w:r w:rsidRPr="00E869A4">
        <w:rPr>
          <w:rFonts w:ascii="Times New Roman" w:hAnsi="Times New Roman" w:cs="Times New Roman"/>
        </w:rPr>
        <w:t xml:space="preserve"> </w:t>
      </w:r>
      <w:r w:rsidR="00A17C69" w:rsidRPr="00E869A4">
        <w:rPr>
          <w:rFonts w:ascii="Times New Roman" w:hAnsi="Times New Roman" w:cs="Times New Roman"/>
        </w:rPr>
        <w:t>‘</w:t>
      </w:r>
      <w:r w:rsidRPr="00E869A4">
        <w:rPr>
          <w:rFonts w:ascii="Times New Roman" w:hAnsi="Times New Roman" w:cs="Times New Roman"/>
        </w:rPr>
        <w:t>why you doing it and how yuh doing it?</w:t>
      </w:r>
      <w:r w:rsidR="00A17C69" w:rsidRPr="00E869A4">
        <w:rPr>
          <w:rFonts w:ascii="Times New Roman" w:hAnsi="Times New Roman" w:cs="Times New Roman"/>
        </w:rPr>
        <w:t>’</w:t>
      </w:r>
      <w:r w:rsidRPr="00E869A4">
        <w:rPr>
          <w:rFonts w:ascii="Times New Roman" w:hAnsi="Times New Roman" w:cs="Times New Roman"/>
        </w:rPr>
        <w:t xml:space="preserve"> And I said, ‘It’s because my mother show me how to do it</w:t>
      </w:r>
      <w:r w:rsidR="00A17C69" w:rsidRPr="00E869A4">
        <w:rPr>
          <w:rFonts w:ascii="Times New Roman" w:hAnsi="Times New Roman" w:cs="Times New Roman"/>
        </w:rPr>
        <w:t>’</w:t>
      </w:r>
      <w:r w:rsidR="00C30E96" w:rsidRPr="00E869A4">
        <w:rPr>
          <w:rFonts w:ascii="Times New Roman" w:hAnsi="Times New Roman" w:cs="Times New Roman"/>
        </w:rPr>
        <w:t xml:space="preserve"> </w:t>
      </w:r>
      <w:r w:rsidRPr="00E869A4">
        <w:rPr>
          <w:rFonts w:ascii="Times New Roman" w:hAnsi="Times New Roman" w:cs="Times New Roman"/>
        </w:rPr>
        <w:t>… And I used to go and change her, sponge her and put on something on her</w:t>
      </w:r>
      <w:r w:rsidR="002F5360" w:rsidRPr="00E869A4">
        <w:rPr>
          <w:rFonts w:ascii="Times New Roman" w:hAnsi="Times New Roman" w:cs="Times New Roman"/>
        </w:rPr>
        <w:t xml:space="preserve"> ..</w:t>
      </w:r>
      <w:r w:rsidRPr="00E869A4">
        <w:rPr>
          <w:rFonts w:ascii="Times New Roman" w:hAnsi="Times New Roman" w:cs="Times New Roman"/>
        </w:rPr>
        <w:t>. So, I am accustomed helping old people or anybody that sick</w:t>
      </w:r>
      <w:r w:rsidR="00C30E96" w:rsidRPr="00E869A4">
        <w:rPr>
          <w:rFonts w:ascii="Times New Roman" w:hAnsi="Times New Roman" w:cs="Times New Roman"/>
        </w:rPr>
        <w:t xml:space="preserve"> </w:t>
      </w:r>
      <w:r w:rsidR="00D42057" w:rsidRPr="00E869A4">
        <w:rPr>
          <w:rFonts w:ascii="Times New Roman" w:hAnsi="Times New Roman" w:cs="Times New Roman"/>
        </w:rPr>
        <w:t>… [</w:t>
      </w:r>
      <w:r w:rsidRPr="00E869A4">
        <w:rPr>
          <w:rFonts w:ascii="Times New Roman" w:hAnsi="Times New Roman" w:cs="Times New Roman"/>
        </w:rPr>
        <w:t>b]ecause of how I was brought up. My mother used to tell us</w:t>
      </w:r>
      <w:r w:rsidR="00A17C69" w:rsidRPr="00E869A4">
        <w:rPr>
          <w:rFonts w:ascii="Times New Roman" w:hAnsi="Times New Roman" w:cs="Times New Roman"/>
        </w:rPr>
        <w:t>,</w:t>
      </w:r>
      <w:r w:rsidRPr="00E869A4">
        <w:rPr>
          <w:rFonts w:ascii="Times New Roman" w:hAnsi="Times New Roman" w:cs="Times New Roman"/>
        </w:rPr>
        <w:t xml:space="preserve"> </w:t>
      </w:r>
      <w:r w:rsidR="00A17C69" w:rsidRPr="00E869A4">
        <w:rPr>
          <w:rFonts w:ascii="Times New Roman" w:hAnsi="Times New Roman" w:cs="Times New Roman"/>
        </w:rPr>
        <w:t>‘</w:t>
      </w:r>
      <w:r w:rsidRPr="00E869A4">
        <w:rPr>
          <w:rFonts w:ascii="Times New Roman" w:hAnsi="Times New Roman" w:cs="Times New Roman"/>
        </w:rPr>
        <w:t>help anybody who needs help</w:t>
      </w:r>
      <w:r w:rsidR="00A17C69" w:rsidRPr="00E869A4">
        <w:rPr>
          <w:rFonts w:ascii="Times New Roman" w:hAnsi="Times New Roman" w:cs="Times New Roman"/>
        </w:rPr>
        <w:t>’</w:t>
      </w:r>
      <w:r w:rsidR="001F5997" w:rsidRPr="00E869A4">
        <w:rPr>
          <w:rFonts w:ascii="Times New Roman" w:hAnsi="Times New Roman" w:cs="Times New Roman"/>
        </w:rPr>
        <w:t>.</w:t>
      </w:r>
    </w:p>
    <w:p w14:paraId="74FC6B2E" w14:textId="77777777" w:rsidR="00A15818" w:rsidRPr="00E869A4" w:rsidRDefault="00A15818" w:rsidP="00A35FF8">
      <w:pPr>
        <w:rPr>
          <w:rFonts w:ascii="Times New Roman" w:hAnsi="Times New Roman" w:cs="Times New Roman"/>
          <w:b/>
          <w:u w:val="single"/>
        </w:rPr>
      </w:pPr>
    </w:p>
    <w:p w14:paraId="12A8C44A" w14:textId="0F947C82" w:rsidR="00DD2837" w:rsidRPr="00E869A4" w:rsidRDefault="00E9231D" w:rsidP="005C449C">
      <w:pPr>
        <w:pStyle w:val="Heading3"/>
      </w:pPr>
      <w:bookmarkStart w:id="307" w:name="_Toc40436534"/>
      <w:r w:rsidRPr="00E869A4">
        <w:t>6</w:t>
      </w:r>
      <w:r w:rsidR="007B3714">
        <w:t>.5.3</w:t>
      </w:r>
      <w:r w:rsidR="007B3714" w:rsidRPr="00E869A4">
        <w:t xml:space="preserve">     </w:t>
      </w:r>
      <w:r w:rsidR="00DD2837" w:rsidRPr="00E869A4">
        <w:t>Civic Mindedness</w:t>
      </w:r>
      <w:bookmarkEnd w:id="307"/>
      <w:r w:rsidR="00DD2837" w:rsidRPr="00E869A4">
        <w:t xml:space="preserve"> </w:t>
      </w:r>
    </w:p>
    <w:p w14:paraId="6F7F1908" w14:textId="77777777" w:rsidR="007C0D54" w:rsidRPr="00E869A4" w:rsidRDefault="007C0D54" w:rsidP="00A35FF8">
      <w:pPr>
        <w:rPr>
          <w:rFonts w:ascii="Times New Roman" w:hAnsi="Times New Roman" w:cs="Times New Roman"/>
        </w:rPr>
      </w:pPr>
    </w:p>
    <w:p w14:paraId="79F0330D" w14:textId="17B2A7ED" w:rsidR="00DD2837" w:rsidRPr="00E869A4" w:rsidRDefault="00DD2837" w:rsidP="00A35FF8">
      <w:pPr>
        <w:rPr>
          <w:rFonts w:ascii="Times New Roman" w:hAnsi="Times New Roman" w:cs="Times New Roman"/>
        </w:rPr>
      </w:pPr>
      <w:r w:rsidRPr="00E869A4">
        <w:rPr>
          <w:rFonts w:ascii="Times New Roman" w:hAnsi="Times New Roman" w:cs="Times New Roman"/>
        </w:rPr>
        <w:t>A couple of the participants shared about the need to provide care as a way of fostering a health</w:t>
      </w:r>
      <w:r w:rsidR="00FD4D9D" w:rsidRPr="00E869A4">
        <w:rPr>
          <w:rFonts w:ascii="Times New Roman" w:hAnsi="Times New Roman" w:cs="Times New Roman"/>
        </w:rPr>
        <w:t>y</w:t>
      </w:r>
      <w:r w:rsidRPr="00E869A4">
        <w:rPr>
          <w:rFonts w:ascii="Times New Roman" w:hAnsi="Times New Roman" w:cs="Times New Roman"/>
        </w:rPr>
        <w:t xml:space="preserve"> community. Mr. Birch for example shared about the rise in crime and the need for people to be kind to each other in whatever way they can.  His sense of civic responsibility was another factor that contributed to his decision to provide care support. Adelina also shared her views about maintaining care and concern for others in the community. Her civic</w:t>
      </w:r>
      <w:r w:rsidR="009D2390" w:rsidRPr="00E869A4">
        <w:rPr>
          <w:rFonts w:ascii="Times New Roman" w:hAnsi="Times New Roman" w:cs="Times New Roman"/>
        </w:rPr>
        <w:t>-</w:t>
      </w:r>
      <w:r w:rsidRPr="00E869A4">
        <w:rPr>
          <w:rFonts w:ascii="Times New Roman" w:hAnsi="Times New Roman" w:cs="Times New Roman"/>
        </w:rPr>
        <w:t>mindedness was also informed by her religious values</w:t>
      </w:r>
      <w:r w:rsidR="00694082" w:rsidRPr="00E869A4">
        <w:rPr>
          <w:rFonts w:ascii="Times New Roman" w:hAnsi="Times New Roman" w:cs="Times New Roman"/>
        </w:rPr>
        <w:t>:</w:t>
      </w:r>
      <w:r w:rsidRPr="00E869A4">
        <w:rPr>
          <w:rFonts w:ascii="Times New Roman" w:hAnsi="Times New Roman" w:cs="Times New Roman"/>
        </w:rPr>
        <w:t xml:space="preserve"> </w:t>
      </w:r>
    </w:p>
    <w:p w14:paraId="31B7B38F" w14:textId="77777777" w:rsidR="00A2190D" w:rsidRPr="00E869A4" w:rsidRDefault="00A2190D" w:rsidP="00A2190D">
      <w:pPr>
        <w:spacing w:line="240" w:lineRule="auto"/>
        <w:rPr>
          <w:rFonts w:ascii="Times New Roman" w:hAnsi="Times New Roman" w:cs="Times New Roman"/>
        </w:rPr>
      </w:pPr>
    </w:p>
    <w:p w14:paraId="46595B66" w14:textId="72367F64" w:rsidR="00DD2837" w:rsidRPr="00E869A4" w:rsidRDefault="00DD2837" w:rsidP="001F5997">
      <w:pPr>
        <w:spacing w:line="240" w:lineRule="auto"/>
        <w:ind w:left="567" w:firstLine="0"/>
        <w:rPr>
          <w:rFonts w:ascii="Times New Roman" w:hAnsi="Times New Roman" w:cs="Times New Roman"/>
        </w:rPr>
      </w:pPr>
      <w:r w:rsidRPr="00E869A4">
        <w:rPr>
          <w:rFonts w:ascii="Times New Roman" w:hAnsi="Times New Roman" w:cs="Times New Roman"/>
        </w:rPr>
        <w:t>So is about all of us working together to help one another to make life better</w:t>
      </w:r>
      <w:r w:rsidR="001F5997" w:rsidRPr="00E869A4">
        <w:rPr>
          <w:rFonts w:ascii="Times New Roman" w:hAnsi="Times New Roman" w:cs="Times New Roman"/>
        </w:rPr>
        <w:t xml:space="preserve"> </w:t>
      </w:r>
      <w:r w:rsidRPr="00E869A4">
        <w:rPr>
          <w:rFonts w:ascii="Times New Roman" w:hAnsi="Times New Roman" w:cs="Times New Roman"/>
        </w:rPr>
        <w:t>… is important that we are there for one another</w:t>
      </w:r>
      <w:r w:rsidR="00E63C09" w:rsidRPr="00E869A4">
        <w:rPr>
          <w:rFonts w:ascii="Times New Roman" w:hAnsi="Times New Roman" w:cs="Times New Roman"/>
        </w:rPr>
        <w:t xml:space="preserve"> </w:t>
      </w:r>
      <w:r w:rsidRPr="00E869A4">
        <w:rPr>
          <w:rFonts w:ascii="Times New Roman" w:hAnsi="Times New Roman" w:cs="Times New Roman"/>
        </w:rPr>
        <w:t xml:space="preserve">… for our old folks because … we will need people to be there for us when we </w:t>
      </w:r>
      <w:r w:rsidR="001F5997" w:rsidRPr="00E869A4">
        <w:rPr>
          <w:rFonts w:ascii="Times New Roman" w:hAnsi="Times New Roman" w:cs="Times New Roman"/>
        </w:rPr>
        <w:t>become that age if God decides .</w:t>
      </w:r>
      <w:r w:rsidRPr="00E869A4">
        <w:rPr>
          <w:rFonts w:ascii="Times New Roman" w:hAnsi="Times New Roman" w:cs="Times New Roman"/>
        </w:rPr>
        <w:t>.. because you know it’s all in His hands</w:t>
      </w:r>
      <w:r w:rsidR="001F5997" w:rsidRPr="00E869A4">
        <w:rPr>
          <w:rFonts w:ascii="Times New Roman" w:hAnsi="Times New Roman" w:cs="Times New Roman"/>
        </w:rPr>
        <w:t xml:space="preserve"> </w:t>
      </w:r>
      <w:r w:rsidRPr="00E869A4">
        <w:rPr>
          <w:rFonts w:ascii="Times New Roman" w:hAnsi="Times New Roman" w:cs="Times New Roman"/>
        </w:rPr>
        <w:t>… it’s also about our soul salvation</w:t>
      </w:r>
      <w:r w:rsidR="00694082" w:rsidRPr="00E869A4">
        <w:rPr>
          <w:rFonts w:ascii="Times New Roman" w:hAnsi="Times New Roman" w:cs="Times New Roman"/>
        </w:rPr>
        <w:t>.</w:t>
      </w:r>
    </w:p>
    <w:p w14:paraId="1BE9D872" w14:textId="77777777" w:rsidR="00FE68A5" w:rsidRPr="00E869A4" w:rsidRDefault="00FE68A5" w:rsidP="00B61191">
      <w:pPr>
        <w:ind w:left="567" w:firstLine="0"/>
      </w:pPr>
    </w:p>
    <w:p w14:paraId="4B7DF2E1" w14:textId="77777777" w:rsidR="00FD3960" w:rsidRPr="00E869A4" w:rsidRDefault="00FD3960">
      <w:pPr>
        <w:rPr>
          <w:b/>
          <w:i/>
          <w:u w:val="single"/>
        </w:rPr>
      </w:pPr>
      <w:r w:rsidRPr="00E869A4">
        <w:br w:type="page"/>
      </w:r>
    </w:p>
    <w:p w14:paraId="3A55152B" w14:textId="46A09AD1" w:rsidR="00DD2837" w:rsidRPr="00E869A4" w:rsidRDefault="00E9231D" w:rsidP="005C449C">
      <w:pPr>
        <w:pStyle w:val="Heading3"/>
      </w:pPr>
      <w:bookmarkStart w:id="308" w:name="_Toc40436535"/>
      <w:r w:rsidRPr="00E869A4">
        <w:lastRenderedPageBreak/>
        <w:t>6</w:t>
      </w:r>
      <w:r w:rsidR="007B3714">
        <w:t>.5.4</w:t>
      </w:r>
      <w:r w:rsidR="007B3714" w:rsidRPr="00E869A4">
        <w:t xml:space="preserve">     </w:t>
      </w:r>
      <w:r w:rsidR="00DD2837" w:rsidRPr="00E869A4">
        <w:t>Relationship Quality and Love</w:t>
      </w:r>
      <w:bookmarkEnd w:id="308"/>
    </w:p>
    <w:p w14:paraId="6D19D53B" w14:textId="77777777" w:rsidR="007C0D54" w:rsidRPr="00E869A4" w:rsidRDefault="007C0D54" w:rsidP="00A35FF8">
      <w:pPr>
        <w:rPr>
          <w:rFonts w:ascii="Times New Roman" w:hAnsi="Times New Roman" w:cs="Times New Roman"/>
        </w:rPr>
      </w:pPr>
    </w:p>
    <w:p w14:paraId="2743EB0D" w14:textId="0F626BC1" w:rsidR="00DD2837" w:rsidRPr="00E869A4" w:rsidRDefault="00DD2837" w:rsidP="001F5997">
      <w:pPr>
        <w:rPr>
          <w:rFonts w:ascii="Times New Roman" w:hAnsi="Times New Roman" w:cs="Times New Roman"/>
          <w:i/>
        </w:rPr>
      </w:pPr>
      <w:r w:rsidRPr="00E869A4">
        <w:rPr>
          <w:rFonts w:ascii="Times New Roman" w:hAnsi="Times New Roman" w:cs="Times New Roman"/>
        </w:rPr>
        <w:t>Relationship quality prior to becoming engaged in elder care was mentioned by several participants as influencing them to accept the primary caregiver role. Sheila for instance, described Mother Freeda as</w:t>
      </w:r>
      <w:r w:rsidR="001F5997" w:rsidRPr="00E869A4">
        <w:rPr>
          <w:rFonts w:ascii="Times New Roman" w:hAnsi="Times New Roman" w:cs="Times New Roman"/>
        </w:rPr>
        <w:t xml:space="preserve"> </w:t>
      </w:r>
      <w:r w:rsidR="00FE68A5" w:rsidRPr="00E869A4">
        <w:rPr>
          <w:rFonts w:ascii="Times New Roman" w:eastAsia="Times New Roman" w:hAnsi="Times New Roman" w:cs="Times New Roman"/>
          <w:szCs w:val="24"/>
        </w:rPr>
        <w:t>“</w:t>
      </w:r>
      <w:r w:rsidRPr="00E869A4">
        <w:rPr>
          <w:rFonts w:ascii="Times New Roman" w:hAnsi="Times New Roman" w:cs="Times New Roman"/>
          <w:szCs w:val="24"/>
        </w:rPr>
        <w:t>always a sweet person, generous, kind, lookin</w:t>
      </w:r>
      <w:r w:rsidRPr="00E869A4">
        <w:rPr>
          <w:rFonts w:ascii="Times New Roman" w:eastAsia="Times New Roman" w:hAnsi="Times New Roman" w:cs="Times New Roman"/>
          <w:szCs w:val="24"/>
        </w:rPr>
        <w:t>’ out for her children, making sacrifices for them and so on, so she’s always been like that, to survive kind of way.</w:t>
      </w:r>
      <w:r w:rsidR="00FE68A5" w:rsidRPr="00E869A4">
        <w:rPr>
          <w:rFonts w:ascii="Times New Roman" w:hAnsi="Times New Roman" w:cs="Times New Roman"/>
          <w:szCs w:val="24"/>
        </w:rPr>
        <w:t>”</w:t>
      </w:r>
      <w:r w:rsidRPr="00E869A4">
        <w:rPr>
          <w:rFonts w:ascii="Times New Roman" w:hAnsi="Times New Roman" w:cs="Times New Roman"/>
          <w:szCs w:val="24"/>
        </w:rPr>
        <w:t xml:space="preserve"> </w:t>
      </w:r>
      <w:r w:rsidRPr="00E869A4">
        <w:rPr>
          <w:rFonts w:ascii="Times New Roman" w:hAnsi="Times New Roman" w:cs="Times New Roman"/>
        </w:rPr>
        <w:t>(</w:t>
      </w:r>
      <w:r w:rsidR="007D2EED" w:rsidRPr="00E869A4">
        <w:rPr>
          <w:rFonts w:ascii="Times New Roman" w:hAnsi="Times New Roman" w:cs="Times New Roman"/>
        </w:rPr>
        <w:t xml:space="preserve">FCG </w:t>
      </w:r>
      <w:r w:rsidRPr="00E869A4">
        <w:rPr>
          <w:rFonts w:ascii="Times New Roman" w:hAnsi="Times New Roman" w:cs="Times New Roman"/>
        </w:rPr>
        <w:t>Sheila)</w:t>
      </w:r>
      <w:r w:rsidR="001F5997" w:rsidRPr="00E869A4">
        <w:rPr>
          <w:rFonts w:ascii="Times New Roman" w:hAnsi="Times New Roman" w:cs="Times New Roman"/>
        </w:rPr>
        <w:t>.</w:t>
      </w:r>
    </w:p>
    <w:p w14:paraId="3D2E27F2" w14:textId="77777777" w:rsidR="00615982" w:rsidRPr="00E869A4" w:rsidRDefault="00615982" w:rsidP="00FE68A5">
      <w:pPr>
        <w:rPr>
          <w:rFonts w:ascii="Times New Roman" w:hAnsi="Times New Roman" w:cs="Times New Roman"/>
        </w:rPr>
      </w:pPr>
    </w:p>
    <w:p w14:paraId="39A84FE3" w14:textId="04A0399A" w:rsidR="00DD2837" w:rsidRPr="00E869A4" w:rsidRDefault="007502E4" w:rsidP="00FE68A5">
      <w:pPr>
        <w:rPr>
          <w:rFonts w:ascii="Times New Roman" w:hAnsi="Times New Roman" w:cs="Times New Roman"/>
        </w:rPr>
      </w:pPr>
      <w:r w:rsidRPr="00E869A4">
        <w:rPr>
          <w:rFonts w:ascii="Times New Roman" w:hAnsi="Times New Roman" w:cs="Times New Roman"/>
        </w:rPr>
        <w:t>However</w:t>
      </w:r>
      <w:r w:rsidR="00DD2837" w:rsidRPr="00E869A4">
        <w:rPr>
          <w:rFonts w:ascii="Times New Roman" w:hAnsi="Times New Roman" w:cs="Times New Roman"/>
        </w:rPr>
        <w:t>, ther</w:t>
      </w:r>
      <w:r w:rsidRPr="00E869A4">
        <w:rPr>
          <w:rFonts w:ascii="Times New Roman" w:hAnsi="Times New Roman" w:cs="Times New Roman"/>
        </w:rPr>
        <w:t xml:space="preserve">e were other family caregivers, </w:t>
      </w:r>
      <w:r w:rsidR="00DD2837" w:rsidRPr="00E869A4">
        <w:rPr>
          <w:rFonts w:ascii="Times New Roman" w:hAnsi="Times New Roman" w:cs="Times New Roman"/>
        </w:rPr>
        <w:t>Rebecca and Marian</w:t>
      </w:r>
      <w:r w:rsidRPr="00E869A4">
        <w:rPr>
          <w:rFonts w:ascii="Times New Roman" w:hAnsi="Times New Roman" w:cs="Times New Roman"/>
        </w:rPr>
        <w:t xml:space="preserve"> for example,</w:t>
      </w:r>
      <w:r w:rsidR="00DD2837" w:rsidRPr="00E869A4">
        <w:rPr>
          <w:rFonts w:ascii="Times New Roman" w:hAnsi="Times New Roman" w:cs="Times New Roman"/>
        </w:rPr>
        <w:t xml:space="preserve"> who provided care </w:t>
      </w:r>
      <w:r w:rsidR="00D964C5" w:rsidRPr="00E869A4">
        <w:rPr>
          <w:rFonts w:ascii="Times New Roman" w:hAnsi="Times New Roman" w:cs="Times New Roman"/>
        </w:rPr>
        <w:t>despite the fact that</w:t>
      </w:r>
      <w:r w:rsidR="00DD2837" w:rsidRPr="00E869A4">
        <w:rPr>
          <w:rFonts w:ascii="Times New Roman" w:hAnsi="Times New Roman" w:cs="Times New Roman"/>
        </w:rPr>
        <w:t xml:space="preserve"> the relationship quality with their cared-for per</w:t>
      </w:r>
      <w:r w:rsidR="00FE68A5" w:rsidRPr="00E869A4">
        <w:rPr>
          <w:rFonts w:ascii="Times New Roman" w:hAnsi="Times New Roman" w:cs="Times New Roman"/>
        </w:rPr>
        <w:t xml:space="preserve">son was fraught with conflict. </w:t>
      </w:r>
      <w:r w:rsidR="00DD2837" w:rsidRPr="00E869A4">
        <w:rPr>
          <w:rFonts w:ascii="Times New Roman" w:hAnsi="Times New Roman" w:cs="Times New Roman"/>
        </w:rPr>
        <w:t>Rebecca Kumar described her mother as having a very difficult personality</w:t>
      </w:r>
      <w:r w:rsidR="00FE68A5" w:rsidRPr="00E869A4">
        <w:rPr>
          <w:rFonts w:ascii="Times New Roman" w:hAnsi="Times New Roman" w:cs="Times New Roman"/>
        </w:rPr>
        <w:t>:</w:t>
      </w:r>
      <w:r w:rsidR="00DD2837" w:rsidRPr="00E869A4">
        <w:rPr>
          <w:rFonts w:ascii="Times New Roman" w:hAnsi="Times New Roman" w:cs="Times New Roman"/>
        </w:rPr>
        <w:t xml:space="preserve"> </w:t>
      </w:r>
    </w:p>
    <w:p w14:paraId="090D96ED" w14:textId="77777777" w:rsidR="00994595" w:rsidRPr="00E869A4" w:rsidRDefault="00994595" w:rsidP="006A0AF4">
      <w:pPr>
        <w:autoSpaceDE w:val="0"/>
        <w:autoSpaceDN w:val="0"/>
        <w:adjustRightInd w:val="0"/>
        <w:spacing w:line="240" w:lineRule="auto"/>
        <w:ind w:left="567" w:firstLine="0"/>
        <w:rPr>
          <w:rFonts w:ascii="Times New Roman" w:eastAsia="Times New Roman" w:hAnsi="Times New Roman" w:cs="Times New Roman"/>
          <w:szCs w:val="24"/>
        </w:rPr>
      </w:pPr>
    </w:p>
    <w:p w14:paraId="6963C54E" w14:textId="4343F5AB" w:rsidR="00DD2837" w:rsidRPr="00E869A4" w:rsidRDefault="00DD2837" w:rsidP="0092396D">
      <w:pPr>
        <w:spacing w:line="240" w:lineRule="auto"/>
        <w:ind w:left="567" w:firstLine="0"/>
        <w:rPr>
          <w:rFonts w:ascii="Times New Roman" w:hAnsi="Times New Roman" w:cs="Times New Roman"/>
        </w:rPr>
      </w:pPr>
      <w:r w:rsidRPr="00E869A4">
        <w:rPr>
          <w:rFonts w:ascii="Times New Roman" w:eastAsia="Times New Roman" w:hAnsi="Times New Roman" w:cs="Times New Roman"/>
          <w:szCs w:val="24"/>
        </w:rPr>
        <w:t>She’s ah very strong personality: very difficult to deal with. She’s always been over de years. She was a very strict disciplinarian</w:t>
      </w:r>
      <w:r w:rsidR="00615982"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615982"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In my case [it’s] just both of us alone ... Because remember I have no siblings. And then</w:t>
      </w:r>
      <w:r w:rsidR="007502E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have no children</w:t>
      </w:r>
      <w:r w:rsidR="00615982" w:rsidRPr="00E869A4">
        <w:rPr>
          <w:rFonts w:ascii="Times New Roman" w:eastAsia="Times New Roman" w:hAnsi="Times New Roman" w:cs="Times New Roman"/>
          <w:szCs w:val="24"/>
        </w:rPr>
        <w:t xml:space="preserve"> </w:t>
      </w:r>
      <w:r w:rsidR="007502E4" w:rsidRPr="00E869A4">
        <w:rPr>
          <w:rFonts w:ascii="Times New Roman" w:eastAsia="Times New Roman" w:hAnsi="Times New Roman" w:cs="Times New Roman"/>
          <w:szCs w:val="24"/>
        </w:rPr>
        <w:t>…</w:t>
      </w:r>
      <w:r w:rsidR="00615982"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I got married and then my husband just die! So at the end, when she goes, that’s it in terms of close blood relatives</w:t>
      </w:r>
      <w:r w:rsidR="0092396D" w:rsidRPr="00E869A4">
        <w:rPr>
          <w:rFonts w:ascii="Times New Roman" w:eastAsia="Times New Roman" w:hAnsi="Times New Roman" w:cs="Times New Roman"/>
          <w:szCs w:val="24"/>
        </w:rPr>
        <w:t>.</w:t>
      </w:r>
    </w:p>
    <w:p w14:paraId="33953EEB" w14:textId="77777777" w:rsidR="00994595" w:rsidRPr="00E869A4" w:rsidRDefault="00994595" w:rsidP="006A0AF4">
      <w:pPr>
        <w:autoSpaceDE w:val="0"/>
        <w:autoSpaceDN w:val="0"/>
        <w:adjustRightInd w:val="0"/>
        <w:spacing w:line="240" w:lineRule="auto"/>
        <w:ind w:left="567" w:firstLine="0"/>
        <w:rPr>
          <w:rFonts w:ascii="Times New Roman" w:hAnsi="Times New Roman" w:cs="Times New Roman"/>
        </w:rPr>
      </w:pPr>
    </w:p>
    <w:p w14:paraId="7F9B8154" w14:textId="77777777" w:rsidR="00DD2837" w:rsidRPr="00E869A4" w:rsidRDefault="00DD2837" w:rsidP="00FE68A5">
      <w:pPr>
        <w:ind w:firstLine="0"/>
        <w:rPr>
          <w:rFonts w:ascii="Times New Roman" w:eastAsia="Times New Roman" w:hAnsi="Times New Roman" w:cs="Times New Roman"/>
          <w:szCs w:val="24"/>
        </w:rPr>
      </w:pPr>
      <w:r w:rsidRPr="00E869A4">
        <w:rPr>
          <w:rFonts w:ascii="Times New Roman" w:hAnsi="Times New Roman" w:cs="Times New Roman"/>
        </w:rPr>
        <w:t>Marian shared a similar view of her mother who she described as “</w:t>
      </w:r>
      <w:r w:rsidRPr="00E869A4">
        <w:rPr>
          <w:rFonts w:ascii="Times New Roman" w:hAnsi="Times New Roman" w:cs="Times New Roman"/>
          <w:szCs w:val="24"/>
        </w:rPr>
        <w:t xml:space="preserve">not easy to deal with”. But despite the challenges experienced, these women accepted the responsibility to provide elder care. </w:t>
      </w:r>
    </w:p>
    <w:p w14:paraId="0BBD6A0E" w14:textId="77777777" w:rsidR="00994595" w:rsidRPr="00E869A4" w:rsidRDefault="00994595" w:rsidP="00A35FF8">
      <w:pPr>
        <w:autoSpaceDE w:val="0"/>
        <w:autoSpaceDN w:val="0"/>
        <w:adjustRightInd w:val="0"/>
        <w:rPr>
          <w:rFonts w:ascii="Times New Roman" w:eastAsia="Times New Roman" w:hAnsi="Times New Roman" w:cs="Times New Roman"/>
          <w:szCs w:val="24"/>
        </w:rPr>
      </w:pPr>
    </w:p>
    <w:p w14:paraId="7C9A5C58" w14:textId="36901B84" w:rsidR="00DD2837" w:rsidRPr="00E869A4" w:rsidRDefault="00DD2837" w:rsidP="00A35FF8">
      <w:pPr>
        <w:autoSpaceDE w:val="0"/>
        <w:autoSpaceDN w:val="0"/>
        <w:adjustRightInd w:val="0"/>
        <w:rPr>
          <w:rFonts w:ascii="Times New Roman" w:eastAsia="Times New Roman" w:hAnsi="Times New Roman" w:cs="Times New Roman"/>
          <w:szCs w:val="24"/>
        </w:rPr>
      </w:pPr>
      <w:r w:rsidRPr="00E869A4">
        <w:rPr>
          <w:rFonts w:ascii="Times New Roman" w:eastAsia="Times New Roman" w:hAnsi="Times New Roman" w:cs="Times New Roman"/>
          <w:szCs w:val="24"/>
        </w:rPr>
        <w:t xml:space="preserve">However, </w:t>
      </w:r>
      <w:r w:rsidR="001D5E0E" w:rsidRPr="00E869A4">
        <w:rPr>
          <w:rFonts w:ascii="Times New Roman" w:eastAsia="Times New Roman" w:hAnsi="Times New Roman" w:cs="Times New Roman"/>
          <w:szCs w:val="24"/>
        </w:rPr>
        <w:t xml:space="preserve">while </w:t>
      </w:r>
      <w:r w:rsidRPr="00E869A4">
        <w:rPr>
          <w:rFonts w:ascii="Times New Roman" w:eastAsia="Times New Roman" w:hAnsi="Times New Roman" w:cs="Times New Roman"/>
          <w:szCs w:val="24"/>
        </w:rPr>
        <w:t>relationship quality did not prohibit these participants from becoming primary family carers, it was a major factor in Tanty Edna’s care arrangemen</w:t>
      </w:r>
      <w:r w:rsidR="00D964C5" w:rsidRPr="00E869A4">
        <w:rPr>
          <w:rFonts w:ascii="Times New Roman" w:eastAsia="Times New Roman" w:hAnsi="Times New Roman" w:cs="Times New Roman"/>
          <w:szCs w:val="24"/>
        </w:rPr>
        <w:t>t. Alt</w:t>
      </w:r>
      <w:r w:rsidRPr="00E869A4">
        <w:rPr>
          <w:rFonts w:ascii="Times New Roman" w:eastAsia="Times New Roman" w:hAnsi="Times New Roman" w:cs="Times New Roman"/>
          <w:szCs w:val="24"/>
        </w:rPr>
        <w:t>hough Tanty had a positive relationship with her nieces and nephew who reciprocated care to her, she was estranged from her daughter after a family conflict about finances</w:t>
      </w:r>
      <w:r w:rsidR="00397A56"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p>
    <w:p w14:paraId="48D5A430" w14:textId="77777777" w:rsidR="00DD2837" w:rsidRPr="00E869A4" w:rsidRDefault="00DD2837" w:rsidP="006A0AF4">
      <w:pPr>
        <w:autoSpaceDE w:val="0"/>
        <w:autoSpaceDN w:val="0"/>
        <w:adjustRightInd w:val="0"/>
        <w:spacing w:line="240" w:lineRule="auto"/>
        <w:ind w:left="567" w:firstLine="0"/>
        <w:rPr>
          <w:rFonts w:ascii="Times New Roman" w:eastAsia="Times New Roman" w:hAnsi="Times New Roman" w:cs="Times New Roman"/>
          <w:szCs w:val="24"/>
        </w:rPr>
      </w:pPr>
    </w:p>
    <w:p w14:paraId="5FA68702" w14:textId="388961AA" w:rsidR="00615982" w:rsidRPr="00E869A4" w:rsidRDefault="00DD2837" w:rsidP="00AD2D75">
      <w:pPr>
        <w:spacing w:line="240" w:lineRule="auto"/>
        <w:ind w:left="567" w:firstLine="0"/>
        <w:rPr>
          <w:rFonts w:ascii="Times New Roman" w:hAnsi="Times New Roman" w:cs="Times New Roman"/>
        </w:rPr>
      </w:pPr>
      <w:r w:rsidRPr="00E869A4">
        <w:rPr>
          <w:rFonts w:ascii="Times New Roman" w:hAnsi="Times New Roman" w:cs="Times New Roman"/>
        </w:rPr>
        <w:t xml:space="preserve">An’ from DAT [claps hands together] de livin’ </w:t>
      </w:r>
      <w:r w:rsidR="00397A56" w:rsidRPr="00E869A4">
        <w:rPr>
          <w:rFonts w:ascii="Times New Roman" w:hAnsi="Times New Roman" w:cs="Times New Roman"/>
        </w:rPr>
        <w:t>never come back as normal … No ‘</w:t>
      </w:r>
      <w:r w:rsidRPr="00E869A4">
        <w:rPr>
          <w:rFonts w:ascii="Times New Roman" w:hAnsi="Times New Roman" w:cs="Times New Roman"/>
        </w:rPr>
        <w:t>morning</w:t>
      </w:r>
      <w:r w:rsidR="00397A56" w:rsidRPr="00E869A4">
        <w:rPr>
          <w:rFonts w:ascii="Times New Roman" w:hAnsi="Times New Roman" w:cs="Times New Roman"/>
        </w:rPr>
        <w:t>’</w:t>
      </w:r>
      <w:r w:rsidRPr="00E869A4">
        <w:rPr>
          <w:rFonts w:ascii="Times New Roman" w:hAnsi="Times New Roman" w:cs="Times New Roman"/>
        </w:rPr>
        <w:t xml:space="preserve"> … no conversation … no speech, no nothen to me. Ah livin’ here like ah dead enemy. An’ I use to cry everyday an’ ask God why it should be like dat: bring </w:t>
      </w:r>
      <w:r w:rsidR="0092396D" w:rsidRPr="00E869A4">
        <w:rPr>
          <w:rFonts w:ascii="Times New Roman" w:hAnsi="Times New Roman" w:cs="Times New Roman"/>
        </w:rPr>
        <w:t>it back like how it was before!</w:t>
      </w:r>
      <w:r w:rsidR="00615982" w:rsidRPr="00E869A4">
        <w:rPr>
          <w:rFonts w:ascii="Times New Roman" w:hAnsi="Times New Roman" w:cs="Times New Roman"/>
        </w:rPr>
        <w:t xml:space="preserve"> </w:t>
      </w:r>
      <w:r w:rsidRPr="00E869A4">
        <w:rPr>
          <w:rFonts w:ascii="Times New Roman" w:hAnsi="Times New Roman" w:cs="Times New Roman"/>
        </w:rPr>
        <w:t>… [</w:t>
      </w:r>
      <w:r w:rsidR="007502E4" w:rsidRPr="00E869A4">
        <w:rPr>
          <w:rFonts w:ascii="Times New Roman" w:hAnsi="Times New Roman" w:cs="Times New Roman"/>
        </w:rPr>
        <w:t>Elena</w:t>
      </w:r>
      <w:r w:rsidRPr="00E869A4">
        <w:rPr>
          <w:rFonts w:ascii="Times New Roman" w:hAnsi="Times New Roman" w:cs="Times New Roman"/>
        </w:rPr>
        <w:t xml:space="preserve"> eventually] get a work to mine </w:t>
      </w:r>
      <w:proofErr w:type="spellStart"/>
      <w:r w:rsidRPr="00E869A4">
        <w:rPr>
          <w:rFonts w:ascii="Times New Roman" w:hAnsi="Times New Roman" w:cs="Times New Roman"/>
        </w:rPr>
        <w:t>ah ole</w:t>
      </w:r>
      <w:proofErr w:type="spellEnd"/>
      <w:r w:rsidRPr="00E869A4">
        <w:rPr>
          <w:rFonts w:ascii="Times New Roman" w:hAnsi="Times New Roman" w:cs="Times New Roman"/>
        </w:rPr>
        <w:t xml:space="preserve"> lady, sleepin </w:t>
      </w:r>
      <w:r w:rsidR="001D5E0E" w:rsidRPr="00E869A4">
        <w:rPr>
          <w:rFonts w:ascii="Times New Roman" w:hAnsi="Times New Roman" w:cs="Times New Roman"/>
        </w:rPr>
        <w:t>–</w:t>
      </w:r>
      <w:r w:rsidRPr="00E869A4">
        <w:rPr>
          <w:rFonts w:ascii="Times New Roman" w:hAnsi="Times New Roman" w:cs="Times New Roman"/>
        </w:rPr>
        <w:t xml:space="preserve"> in</w:t>
      </w:r>
      <w:r w:rsidR="0092396D" w:rsidRPr="00E869A4">
        <w:rPr>
          <w:rFonts w:ascii="Times New Roman" w:hAnsi="Times New Roman" w:cs="Times New Roman"/>
        </w:rPr>
        <w:t xml:space="preserve"> </w:t>
      </w:r>
      <w:r w:rsidR="001D5E0E" w:rsidRPr="00E869A4">
        <w:rPr>
          <w:rFonts w:ascii="Times New Roman" w:hAnsi="Times New Roman" w:cs="Times New Roman"/>
        </w:rPr>
        <w:t>…</w:t>
      </w:r>
      <w:r w:rsidRPr="00E869A4">
        <w:rPr>
          <w:rFonts w:ascii="Times New Roman" w:hAnsi="Times New Roman" w:cs="Times New Roman"/>
        </w:rPr>
        <w:t xml:space="preserve"> an’ she </w:t>
      </w:r>
      <w:r w:rsidR="0092396D" w:rsidRPr="00E869A4">
        <w:rPr>
          <w:rFonts w:ascii="Times New Roman" w:hAnsi="Times New Roman" w:cs="Times New Roman"/>
        </w:rPr>
        <w:t>gone.</w:t>
      </w:r>
      <w:r w:rsidR="00AD2D75" w:rsidRPr="00E869A4">
        <w:rPr>
          <w:rFonts w:ascii="Times New Roman" w:hAnsi="Times New Roman" w:cs="Times New Roman"/>
        </w:rPr>
        <w:t xml:space="preserve"> </w:t>
      </w:r>
    </w:p>
    <w:p w14:paraId="23F2B4EE" w14:textId="77777777" w:rsidR="00AD2D75" w:rsidRPr="00E869A4" w:rsidRDefault="00AD2D75" w:rsidP="00AD2D75">
      <w:pPr>
        <w:ind w:left="567" w:firstLine="0"/>
      </w:pPr>
    </w:p>
    <w:p w14:paraId="0FE12783" w14:textId="7EC17B5C" w:rsidR="00DD2837" w:rsidRPr="00E869A4" w:rsidRDefault="00DD2837" w:rsidP="005B67E1">
      <w:pPr>
        <w:pStyle w:val="Heading4"/>
      </w:pPr>
      <w:r w:rsidRPr="00E869A4">
        <w:t xml:space="preserve">Love </w:t>
      </w:r>
    </w:p>
    <w:p w14:paraId="4BB57F77" w14:textId="77777777" w:rsidR="00DD2837" w:rsidRPr="00E869A4" w:rsidRDefault="00DD2837" w:rsidP="00A35FF8">
      <w:pPr>
        <w:autoSpaceDE w:val="0"/>
        <w:autoSpaceDN w:val="0"/>
        <w:adjustRightInd w:val="0"/>
        <w:rPr>
          <w:rFonts w:ascii="Times New Roman" w:hAnsi="Times New Roman" w:cs="Times New Roman"/>
        </w:rPr>
      </w:pPr>
    </w:p>
    <w:p w14:paraId="57CBE97E" w14:textId="37C7A73D" w:rsidR="00DD2837" w:rsidRPr="00E869A4" w:rsidRDefault="00DD2837" w:rsidP="003D1396">
      <w:pPr>
        <w:autoSpaceDE w:val="0"/>
        <w:autoSpaceDN w:val="0"/>
        <w:adjustRightInd w:val="0"/>
        <w:rPr>
          <w:rFonts w:ascii="Times New Roman" w:hAnsi="Times New Roman" w:cs="Times New Roman"/>
        </w:rPr>
      </w:pPr>
      <w:r w:rsidRPr="00E869A4">
        <w:rPr>
          <w:rFonts w:ascii="Times New Roman" w:hAnsi="Times New Roman" w:cs="Times New Roman"/>
        </w:rPr>
        <w:t>Only one int</w:t>
      </w:r>
      <w:r w:rsidR="007502E4" w:rsidRPr="00E869A4">
        <w:rPr>
          <w:rFonts w:ascii="Times New Roman" w:hAnsi="Times New Roman" w:cs="Times New Roman"/>
        </w:rPr>
        <w:t>erviewee explicitly identified ‘</w:t>
      </w:r>
      <w:r w:rsidRPr="00E869A4">
        <w:rPr>
          <w:rFonts w:ascii="Times New Roman" w:hAnsi="Times New Roman" w:cs="Times New Roman"/>
          <w:i/>
        </w:rPr>
        <w:t>love</w:t>
      </w:r>
      <w:r w:rsidR="007502E4" w:rsidRPr="00E869A4">
        <w:rPr>
          <w:rFonts w:ascii="Times New Roman" w:hAnsi="Times New Roman" w:cs="Times New Roman"/>
        </w:rPr>
        <w:t>’</w:t>
      </w:r>
      <w:r w:rsidRPr="00E869A4">
        <w:rPr>
          <w:rFonts w:ascii="Times New Roman" w:hAnsi="Times New Roman" w:cs="Times New Roman"/>
        </w:rPr>
        <w:t xml:space="preserve"> as the basis for providing care. In response to the question, “</w:t>
      </w:r>
      <w:r w:rsidR="007502E4" w:rsidRPr="00E869A4">
        <w:rPr>
          <w:rFonts w:ascii="Times New Roman" w:hAnsi="Times New Roman" w:cs="Times New Roman"/>
        </w:rPr>
        <w:t>W</w:t>
      </w:r>
      <w:r w:rsidRPr="00E869A4">
        <w:rPr>
          <w:rFonts w:ascii="Times New Roman" w:hAnsi="Times New Roman" w:cs="Times New Roman"/>
        </w:rPr>
        <w:t>hy do you help your mother in the way you do?” Sheila emphatically stated</w:t>
      </w:r>
      <w:r w:rsidR="003D1396" w:rsidRPr="00E869A4">
        <w:rPr>
          <w:rFonts w:ascii="Times New Roman" w:hAnsi="Times New Roman" w:cs="Times New Roman"/>
        </w:rPr>
        <w:t xml:space="preserve">, </w:t>
      </w:r>
      <w:r w:rsidR="00397A56" w:rsidRPr="00E869A4">
        <w:rPr>
          <w:rFonts w:ascii="Times New Roman" w:hAnsi="Times New Roman" w:cs="Times New Roman"/>
        </w:rPr>
        <w:t>“</w:t>
      </w:r>
      <w:r w:rsidR="007D2EED" w:rsidRPr="00E869A4">
        <w:rPr>
          <w:rFonts w:ascii="Times New Roman" w:hAnsi="Times New Roman" w:cs="Times New Roman"/>
        </w:rPr>
        <w:t>Love for her!</w:t>
      </w:r>
      <w:r w:rsidRPr="00E869A4">
        <w:rPr>
          <w:rFonts w:ascii="Times New Roman" w:hAnsi="Times New Roman" w:cs="Times New Roman"/>
        </w:rPr>
        <w:t xml:space="preserve"> I wish she could live 200 years (laughs) forever! … I think I appreciate her so much more now</w:t>
      </w:r>
      <w:r w:rsidR="007502E4" w:rsidRPr="00E869A4">
        <w:rPr>
          <w:rFonts w:ascii="Times New Roman" w:hAnsi="Times New Roman" w:cs="Times New Roman"/>
        </w:rPr>
        <w:t>,</w:t>
      </w:r>
      <w:r w:rsidRPr="00E869A4">
        <w:rPr>
          <w:rFonts w:ascii="Times New Roman" w:hAnsi="Times New Roman" w:cs="Times New Roman"/>
        </w:rPr>
        <w:t xml:space="preserve"> that really</w:t>
      </w:r>
      <w:r w:rsidR="007502E4" w:rsidRPr="00E869A4">
        <w:rPr>
          <w:rFonts w:ascii="Times New Roman" w:hAnsi="Times New Roman" w:cs="Times New Roman"/>
        </w:rPr>
        <w:t>,</w:t>
      </w:r>
      <w:r w:rsidRPr="00E869A4">
        <w:rPr>
          <w:rFonts w:ascii="Times New Roman" w:hAnsi="Times New Roman" w:cs="Times New Roman"/>
        </w:rPr>
        <w:t xml:space="preserve"> </w:t>
      </w:r>
      <w:r w:rsidRPr="00E869A4">
        <w:rPr>
          <w:rFonts w:ascii="Times New Roman" w:hAnsi="Times New Roman" w:cs="Times New Roman"/>
        </w:rPr>
        <w:lastRenderedPageBreak/>
        <w:t>that’d be fine.</w:t>
      </w:r>
      <w:r w:rsidR="00397A56" w:rsidRPr="00E869A4">
        <w:rPr>
          <w:rFonts w:ascii="Times New Roman" w:hAnsi="Times New Roman" w:cs="Times New Roman"/>
        </w:rPr>
        <w:t>”</w:t>
      </w:r>
      <w:r w:rsidRPr="00E869A4">
        <w:rPr>
          <w:rFonts w:ascii="Times New Roman" w:hAnsi="Times New Roman" w:cs="Times New Roman"/>
        </w:rPr>
        <w:t xml:space="preserve"> (</w:t>
      </w:r>
      <w:r w:rsidR="007D2EED" w:rsidRPr="00E869A4">
        <w:rPr>
          <w:rFonts w:ascii="Times New Roman" w:hAnsi="Times New Roman" w:cs="Times New Roman"/>
        </w:rPr>
        <w:t xml:space="preserve">FCG </w:t>
      </w:r>
      <w:r w:rsidRPr="00E869A4">
        <w:rPr>
          <w:rFonts w:ascii="Times New Roman" w:hAnsi="Times New Roman" w:cs="Times New Roman"/>
        </w:rPr>
        <w:t>Sheila)</w:t>
      </w:r>
      <w:r w:rsidR="003D1396" w:rsidRPr="00E869A4">
        <w:rPr>
          <w:rFonts w:ascii="Times New Roman" w:hAnsi="Times New Roman" w:cs="Times New Roman"/>
        </w:rPr>
        <w:t xml:space="preserve">. </w:t>
      </w:r>
      <w:r w:rsidRPr="00E869A4">
        <w:rPr>
          <w:rFonts w:ascii="Times New Roman" w:hAnsi="Times New Roman" w:cs="Times New Roman"/>
        </w:rPr>
        <w:t>While love was her principal motive, Sheila also identified a sense of duty and the need to reciprocate care as significant factors that motivate</w:t>
      </w:r>
      <w:r w:rsidR="00310B8A" w:rsidRPr="00E869A4">
        <w:rPr>
          <w:rFonts w:ascii="Times New Roman" w:hAnsi="Times New Roman" w:cs="Times New Roman"/>
        </w:rPr>
        <w:t>d</w:t>
      </w:r>
      <w:r w:rsidRPr="00E869A4">
        <w:rPr>
          <w:rFonts w:ascii="Times New Roman" w:hAnsi="Times New Roman" w:cs="Times New Roman"/>
        </w:rPr>
        <w:t xml:space="preserve"> </w:t>
      </w:r>
      <w:r w:rsidR="007502E4" w:rsidRPr="00E869A4">
        <w:rPr>
          <w:rFonts w:ascii="Times New Roman" w:hAnsi="Times New Roman" w:cs="Times New Roman"/>
        </w:rPr>
        <w:t>her support</w:t>
      </w:r>
      <w:r w:rsidR="00397A56" w:rsidRPr="00E869A4">
        <w:rPr>
          <w:rFonts w:ascii="Times New Roman" w:hAnsi="Times New Roman" w:cs="Times New Roman"/>
        </w:rPr>
        <w:t>:</w:t>
      </w:r>
      <w:r w:rsidRPr="00E869A4">
        <w:rPr>
          <w:rFonts w:ascii="Times New Roman" w:hAnsi="Times New Roman" w:cs="Times New Roman"/>
        </w:rPr>
        <w:t xml:space="preserve">  </w:t>
      </w:r>
    </w:p>
    <w:p w14:paraId="44C958AC" w14:textId="77777777" w:rsidR="00A33AF2" w:rsidRPr="00E869A4" w:rsidRDefault="00A33AF2" w:rsidP="006A0AF4">
      <w:pPr>
        <w:autoSpaceDE w:val="0"/>
        <w:autoSpaceDN w:val="0"/>
        <w:adjustRightInd w:val="0"/>
        <w:spacing w:line="240" w:lineRule="auto"/>
        <w:ind w:left="567" w:firstLine="0"/>
        <w:rPr>
          <w:rFonts w:ascii="Times New Roman" w:hAnsi="Times New Roman" w:cs="Times New Roman"/>
        </w:rPr>
      </w:pPr>
    </w:p>
    <w:p w14:paraId="7B5B866A" w14:textId="015FCA64" w:rsidR="00DD2837" w:rsidRPr="00E869A4" w:rsidRDefault="00DD2837" w:rsidP="003D1396">
      <w:pPr>
        <w:spacing w:line="240" w:lineRule="auto"/>
        <w:ind w:left="720" w:firstLine="0"/>
        <w:rPr>
          <w:rFonts w:ascii="Times New Roman" w:hAnsi="Times New Roman" w:cs="Times New Roman"/>
        </w:rPr>
      </w:pPr>
      <w:r w:rsidRPr="00E869A4">
        <w:rPr>
          <w:rFonts w:ascii="Times New Roman" w:hAnsi="Times New Roman" w:cs="Times New Roman"/>
          <w:i/>
        </w:rPr>
        <w:t>Hyacinth</w:t>
      </w:r>
      <w:r w:rsidRPr="00E869A4">
        <w:rPr>
          <w:rFonts w:ascii="Times New Roman" w:hAnsi="Times New Roman" w:cs="Times New Roman"/>
        </w:rPr>
        <w:t>:</w:t>
      </w:r>
      <w:r w:rsidR="007502E4" w:rsidRPr="00E869A4">
        <w:rPr>
          <w:rFonts w:ascii="Times New Roman" w:hAnsi="Times New Roman" w:cs="Times New Roman"/>
        </w:rPr>
        <w:t xml:space="preserve"> “</w:t>
      </w:r>
      <w:r w:rsidRPr="00E869A4">
        <w:rPr>
          <w:rFonts w:ascii="Times New Roman" w:hAnsi="Times New Roman" w:cs="Times New Roman"/>
        </w:rPr>
        <w:t>[What] do you think the role of the family should be i</w:t>
      </w:r>
      <w:r w:rsidR="00310B8A" w:rsidRPr="00E869A4">
        <w:rPr>
          <w:rFonts w:ascii="Times New Roman" w:hAnsi="Times New Roman" w:cs="Times New Roman"/>
        </w:rPr>
        <w:t>n terms of caring for seniors?</w:t>
      </w:r>
      <w:r w:rsidR="00397A56" w:rsidRPr="00E869A4">
        <w:rPr>
          <w:rFonts w:ascii="Times New Roman" w:hAnsi="Times New Roman" w:cs="Times New Roman"/>
        </w:rPr>
        <w:t>”</w:t>
      </w:r>
    </w:p>
    <w:p w14:paraId="15078913" w14:textId="77777777" w:rsidR="003D1396" w:rsidRPr="00E869A4" w:rsidRDefault="003D1396" w:rsidP="003D1396">
      <w:pPr>
        <w:spacing w:line="240" w:lineRule="auto"/>
        <w:ind w:left="720" w:firstLine="0"/>
        <w:rPr>
          <w:rFonts w:ascii="Times New Roman" w:hAnsi="Times New Roman" w:cs="Times New Roman"/>
        </w:rPr>
      </w:pPr>
    </w:p>
    <w:p w14:paraId="014078BD" w14:textId="58A831AB" w:rsidR="00DD2837" w:rsidRPr="00E869A4" w:rsidRDefault="00DD2837" w:rsidP="003D1396">
      <w:pPr>
        <w:spacing w:line="240" w:lineRule="auto"/>
        <w:ind w:left="720" w:firstLine="0"/>
        <w:rPr>
          <w:rFonts w:ascii="Times New Roman" w:hAnsi="Times New Roman" w:cs="Times New Roman"/>
        </w:rPr>
      </w:pPr>
      <w:r w:rsidRPr="00E869A4">
        <w:rPr>
          <w:rFonts w:ascii="Times New Roman" w:hAnsi="Times New Roman" w:cs="Times New Roman"/>
          <w:i/>
        </w:rPr>
        <w:t>Sheila</w:t>
      </w:r>
      <w:r w:rsidRPr="00E869A4">
        <w:rPr>
          <w:rFonts w:ascii="Times New Roman" w:hAnsi="Times New Roman" w:cs="Times New Roman"/>
        </w:rPr>
        <w:t xml:space="preserve">: </w:t>
      </w:r>
      <w:r w:rsidR="00397A56" w:rsidRPr="00E869A4">
        <w:rPr>
          <w:rFonts w:ascii="Times New Roman" w:hAnsi="Times New Roman" w:cs="Times New Roman"/>
        </w:rPr>
        <w:t>“</w:t>
      </w:r>
      <w:r w:rsidRPr="00E869A4">
        <w:rPr>
          <w:rFonts w:ascii="Times New Roman" w:hAnsi="Times New Roman" w:cs="Times New Roman"/>
        </w:rPr>
        <w:t>I think they should view it as a duty, as an obligation. They should feel obligated to their parents</w:t>
      </w:r>
      <w:r w:rsidR="00310B8A" w:rsidRPr="00E869A4">
        <w:rPr>
          <w:rFonts w:ascii="Times New Roman" w:hAnsi="Times New Roman" w:cs="Times New Roman"/>
        </w:rPr>
        <w:t xml:space="preserve"> </w:t>
      </w:r>
      <w:r w:rsidRPr="00E869A4">
        <w:rPr>
          <w:rFonts w:ascii="Times New Roman" w:hAnsi="Times New Roman" w:cs="Times New Roman"/>
        </w:rPr>
        <w:t>…</w:t>
      </w:r>
      <w:r w:rsidR="00310B8A" w:rsidRPr="00E869A4">
        <w:rPr>
          <w:rFonts w:ascii="Times New Roman" w:hAnsi="Times New Roman" w:cs="Times New Roman"/>
        </w:rPr>
        <w:t xml:space="preserve"> </w:t>
      </w:r>
      <w:r w:rsidRPr="00E869A4">
        <w:rPr>
          <w:rFonts w:ascii="Times New Roman" w:hAnsi="Times New Roman" w:cs="Times New Roman"/>
        </w:rPr>
        <w:t>not because the parents have gotten old they should be discarded in a corner [as if]  their needs don’t matter</w:t>
      </w:r>
      <w:r w:rsidR="00310B8A" w:rsidRPr="00E869A4">
        <w:rPr>
          <w:rFonts w:ascii="Times New Roman" w:hAnsi="Times New Roman" w:cs="Times New Roman"/>
        </w:rPr>
        <w:t xml:space="preserve"> … </w:t>
      </w:r>
      <w:r w:rsidR="007502E4" w:rsidRPr="00E869A4">
        <w:rPr>
          <w:rFonts w:ascii="Times New Roman" w:hAnsi="Times New Roman" w:cs="Times New Roman"/>
        </w:rPr>
        <w:t>W</w:t>
      </w:r>
      <w:r w:rsidRPr="00E869A4">
        <w:rPr>
          <w:rFonts w:ascii="Times New Roman" w:hAnsi="Times New Roman" w:cs="Times New Roman"/>
        </w:rPr>
        <w:t>hen we think about the end result and the fact that we givin’ an’ we makin’ dem happy, that really should be the motivating thing. An’ when we think of how much they have done for us over the years, [and] where you are [and]</w:t>
      </w:r>
      <w:r w:rsidR="00310B8A" w:rsidRPr="00E869A4">
        <w:rPr>
          <w:rFonts w:ascii="Times New Roman" w:hAnsi="Times New Roman" w:cs="Times New Roman"/>
        </w:rPr>
        <w:t xml:space="preserve"> </w:t>
      </w:r>
      <w:r w:rsidR="002B148A" w:rsidRPr="00E869A4">
        <w:rPr>
          <w:rFonts w:ascii="Times New Roman" w:hAnsi="Times New Roman" w:cs="Times New Roman"/>
        </w:rPr>
        <w:t xml:space="preserve">… </w:t>
      </w:r>
      <w:r w:rsidRPr="00E869A4">
        <w:rPr>
          <w:rFonts w:ascii="Times New Roman" w:hAnsi="Times New Roman" w:cs="Times New Roman"/>
        </w:rPr>
        <w:t>where [you] would have been if they did not care for you at that time … it really is more a sense of love. But, even self yuh figure yuh can’t find de love, [then do so] out of a sense of duty at least.</w:t>
      </w:r>
      <w:r w:rsidR="00397A56" w:rsidRPr="00E869A4">
        <w:rPr>
          <w:rFonts w:ascii="Times New Roman" w:hAnsi="Times New Roman" w:cs="Times New Roman"/>
        </w:rPr>
        <w:t>”</w:t>
      </w:r>
      <w:r w:rsidRPr="00E869A4">
        <w:rPr>
          <w:rFonts w:ascii="Times New Roman" w:hAnsi="Times New Roman" w:cs="Times New Roman"/>
        </w:rPr>
        <w:t xml:space="preserve"> </w:t>
      </w:r>
    </w:p>
    <w:p w14:paraId="21649140" w14:textId="77777777" w:rsidR="00994595" w:rsidRPr="00E869A4" w:rsidRDefault="00994595" w:rsidP="006A0AF4">
      <w:pPr>
        <w:autoSpaceDE w:val="0"/>
        <w:autoSpaceDN w:val="0"/>
        <w:adjustRightInd w:val="0"/>
        <w:spacing w:line="240" w:lineRule="auto"/>
        <w:ind w:left="567" w:firstLine="0"/>
        <w:rPr>
          <w:rFonts w:ascii="Times New Roman" w:hAnsi="Times New Roman" w:cs="Times New Roman"/>
          <w:szCs w:val="24"/>
        </w:rPr>
      </w:pPr>
    </w:p>
    <w:p w14:paraId="2A250CA2" w14:textId="77777777" w:rsidR="007F0F45" w:rsidRPr="00E869A4" w:rsidRDefault="00DD2837" w:rsidP="003D1396">
      <w:pPr>
        <w:autoSpaceDE w:val="0"/>
        <w:autoSpaceDN w:val="0"/>
        <w:adjustRightInd w:val="0"/>
        <w:ind w:firstLine="0"/>
      </w:pPr>
      <w:r w:rsidRPr="00E869A4">
        <w:rPr>
          <w:rFonts w:ascii="Times New Roman" w:hAnsi="Times New Roman" w:cs="Times New Roman"/>
          <w:szCs w:val="24"/>
        </w:rPr>
        <w:t>Thus, based on her response, inspired-care was ideal but required-care would suffice in its absence.</w:t>
      </w:r>
    </w:p>
    <w:p w14:paraId="6A6273A9" w14:textId="77777777" w:rsidR="006628F9" w:rsidRPr="00E869A4" w:rsidRDefault="006628F9" w:rsidP="00B61191">
      <w:pPr>
        <w:ind w:left="567" w:firstLine="0"/>
      </w:pPr>
    </w:p>
    <w:p w14:paraId="282148FC" w14:textId="3DB805F4" w:rsidR="00DD2837" w:rsidRPr="00E869A4" w:rsidRDefault="00E9231D" w:rsidP="00175C3E">
      <w:pPr>
        <w:pStyle w:val="Heading2"/>
      </w:pPr>
      <w:bookmarkStart w:id="309" w:name="_Toc40436536"/>
      <w:r w:rsidRPr="00E869A4">
        <w:t>6</w:t>
      </w:r>
      <w:r w:rsidR="00505EEC" w:rsidRPr="00E869A4">
        <w:t>.</w:t>
      </w:r>
      <w:r w:rsidR="0051481F" w:rsidRPr="00E869A4">
        <w:t>6</w:t>
      </w:r>
      <w:r w:rsidR="00505EEC" w:rsidRPr="00E869A4">
        <w:t xml:space="preserve"> </w:t>
      </w:r>
      <w:r w:rsidR="009B2814" w:rsidRPr="00E869A4">
        <w:t>CONCLUSION</w:t>
      </w:r>
      <w:bookmarkEnd w:id="309"/>
    </w:p>
    <w:p w14:paraId="1FF9C2B1" w14:textId="77777777" w:rsidR="00505EEC" w:rsidRPr="00E869A4" w:rsidRDefault="00505EEC" w:rsidP="00A35FF8">
      <w:pPr>
        <w:rPr>
          <w:rFonts w:ascii="Times New Roman" w:hAnsi="Times New Roman" w:cs="Times New Roman"/>
        </w:rPr>
      </w:pPr>
    </w:p>
    <w:p w14:paraId="4BAEBD4B" w14:textId="0C0E2015" w:rsidR="00DD2837" w:rsidRPr="00E869A4" w:rsidRDefault="00DD2837" w:rsidP="00A35FF8">
      <w:pPr>
        <w:rPr>
          <w:rFonts w:ascii="Times New Roman" w:hAnsi="Times New Roman" w:cs="Times New Roman"/>
        </w:rPr>
      </w:pPr>
      <w:r w:rsidRPr="00E869A4">
        <w:rPr>
          <w:rFonts w:ascii="Times New Roman" w:hAnsi="Times New Roman" w:cs="Times New Roman"/>
        </w:rPr>
        <w:t xml:space="preserve">In this </w:t>
      </w:r>
      <w:r w:rsidR="001306BC" w:rsidRPr="00E869A4">
        <w:rPr>
          <w:rFonts w:ascii="Times New Roman" w:hAnsi="Times New Roman" w:cs="Times New Roman"/>
        </w:rPr>
        <w:t>section,</w:t>
      </w:r>
      <w:r w:rsidRPr="00E869A4">
        <w:rPr>
          <w:rFonts w:ascii="Times New Roman" w:hAnsi="Times New Roman" w:cs="Times New Roman"/>
        </w:rPr>
        <w:t xml:space="preserve"> I presented the qualitative findings on the factors contributing to a person adopting the role of family carer of a frail older person in </w:t>
      </w:r>
      <w:r w:rsidR="008C76CE" w:rsidRPr="00E869A4">
        <w:rPr>
          <w:rFonts w:ascii="Times New Roman" w:eastAsiaTheme="majorEastAsia" w:hAnsi="Times New Roman" w:cs="Times New Roman"/>
          <w:bCs/>
          <w:szCs w:val="26"/>
        </w:rPr>
        <w:t>T&amp;T</w:t>
      </w:r>
      <w:r w:rsidRPr="00E869A4">
        <w:rPr>
          <w:rFonts w:ascii="Times New Roman" w:hAnsi="Times New Roman" w:cs="Times New Roman"/>
        </w:rPr>
        <w:t xml:space="preserve">. </w:t>
      </w:r>
      <w:r w:rsidR="007502E4" w:rsidRPr="00E869A4">
        <w:rPr>
          <w:rFonts w:ascii="Times New Roman" w:hAnsi="Times New Roman" w:cs="Times New Roman"/>
        </w:rPr>
        <w:t>The</w:t>
      </w:r>
      <w:r w:rsidRPr="00E869A4">
        <w:rPr>
          <w:rFonts w:ascii="Times New Roman" w:hAnsi="Times New Roman" w:cs="Times New Roman"/>
        </w:rPr>
        <w:t xml:space="preserve"> determining factors </w:t>
      </w:r>
      <w:r w:rsidR="007502E4" w:rsidRPr="00E869A4">
        <w:rPr>
          <w:rFonts w:ascii="Times New Roman" w:hAnsi="Times New Roman" w:cs="Times New Roman"/>
        </w:rPr>
        <w:t xml:space="preserve">that </w:t>
      </w:r>
      <w:r w:rsidRPr="00E869A4">
        <w:rPr>
          <w:rFonts w:ascii="Times New Roman" w:hAnsi="Times New Roman" w:cs="Times New Roman"/>
        </w:rPr>
        <w:t>emerged from this study</w:t>
      </w:r>
      <w:r w:rsidR="007502E4" w:rsidRPr="00E869A4">
        <w:rPr>
          <w:rFonts w:ascii="Times New Roman" w:hAnsi="Times New Roman" w:cs="Times New Roman"/>
        </w:rPr>
        <w:t xml:space="preserve"> were linked to specific types of care</w:t>
      </w:r>
      <w:r w:rsidRPr="00E869A4">
        <w:rPr>
          <w:rFonts w:ascii="Times New Roman" w:hAnsi="Times New Roman" w:cs="Times New Roman"/>
        </w:rPr>
        <w:t>: 1) required-care factors; 2) requited-care factors; and 3) inspired-care factors. Required-care factors were based on the belief that care must be provided out of a sense of duty, obligation or necessity. The health care needs of the older person and the loss of a primary caregiver by death or migration were the two main variables that triggered caregiver</w:t>
      </w:r>
      <w:r w:rsidR="003E5533" w:rsidRPr="00E869A4">
        <w:rPr>
          <w:rFonts w:ascii="Times New Roman" w:hAnsi="Times New Roman" w:cs="Times New Roman"/>
        </w:rPr>
        <w:t xml:space="preserve"> </w:t>
      </w:r>
      <w:r w:rsidRPr="00E869A4">
        <w:rPr>
          <w:rFonts w:ascii="Times New Roman" w:hAnsi="Times New Roman" w:cs="Times New Roman"/>
        </w:rPr>
        <w:t>role acquisition in the form of required care. Gender, in particular being female, was anothe</w:t>
      </w:r>
      <w:r w:rsidR="007C4462" w:rsidRPr="00E869A4">
        <w:rPr>
          <w:rFonts w:ascii="Times New Roman" w:hAnsi="Times New Roman" w:cs="Times New Roman"/>
        </w:rPr>
        <w:t>r strong factor that contributed to caregiver role acquisition</w:t>
      </w:r>
      <w:r w:rsidRPr="00E869A4">
        <w:rPr>
          <w:rFonts w:ascii="Times New Roman" w:hAnsi="Times New Roman" w:cs="Times New Roman"/>
        </w:rPr>
        <w:t xml:space="preserve">.  </w:t>
      </w:r>
      <w:r w:rsidR="007502E4" w:rsidRPr="00E869A4">
        <w:rPr>
          <w:rFonts w:ascii="Times New Roman" w:hAnsi="Times New Roman" w:cs="Times New Roman"/>
        </w:rPr>
        <w:t>R</w:t>
      </w:r>
      <w:r w:rsidRPr="00E869A4">
        <w:rPr>
          <w:rFonts w:ascii="Times New Roman" w:hAnsi="Times New Roman" w:cs="Times New Roman"/>
        </w:rPr>
        <w:t xml:space="preserve">elated factors </w:t>
      </w:r>
      <w:r w:rsidR="007502E4" w:rsidRPr="00E869A4">
        <w:rPr>
          <w:rFonts w:ascii="Times New Roman" w:hAnsi="Times New Roman" w:cs="Times New Roman"/>
        </w:rPr>
        <w:t>included</w:t>
      </w:r>
      <w:r w:rsidRPr="00E869A4">
        <w:rPr>
          <w:rFonts w:ascii="Times New Roman" w:hAnsi="Times New Roman" w:cs="Times New Roman"/>
        </w:rPr>
        <w:t xml:space="preserve"> family composition and type of filial relationship</w:t>
      </w:r>
      <w:r w:rsidR="007502E4" w:rsidRPr="00E869A4">
        <w:rPr>
          <w:rFonts w:ascii="Times New Roman" w:hAnsi="Times New Roman" w:cs="Times New Roman"/>
        </w:rPr>
        <w:t>,</w:t>
      </w:r>
      <w:r w:rsidRPr="00E869A4">
        <w:rPr>
          <w:rFonts w:ascii="Times New Roman" w:hAnsi="Times New Roman" w:cs="Times New Roman"/>
        </w:rPr>
        <w:t xml:space="preserve"> such as being a wife, an only daughter</w:t>
      </w:r>
      <w:r w:rsidR="007502E4" w:rsidRPr="00E869A4">
        <w:rPr>
          <w:rFonts w:ascii="Times New Roman" w:hAnsi="Times New Roman" w:cs="Times New Roman"/>
        </w:rPr>
        <w:t>,</w:t>
      </w:r>
      <w:r w:rsidRPr="00E869A4">
        <w:rPr>
          <w:rFonts w:ascii="Times New Roman" w:hAnsi="Times New Roman" w:cs="Times New Roman"/>
        </w:rPr>
        <w:t xml:space="preserve"> or adult</w:t>
      </w:r>
      <w:r w:rsidR="00630A4F" w:rsidRPr="00E869A4">
        <w:rPr>
          <w:rFonts w:ascii="Times New Roman" w:hAnsi="Times New Roman" w:cs="Times New Roman"/>
        </w:rPr>
        <w:t xml:space="preserve"> </w:t>
      </w:r>
      <w:r w:rsidRPr="00E869A4">
        <w:rPr>
          <w:rFonts w:ascii="Times New Roman" w:hAnsi="Times New Roman" w:cs="Times New Roman"/>
        </w:rPr>
        <w:t xml:space="preserve">child in </w:t>
      </w:r>
      <w:r w:rsidR="008C76CE" w:rsidRPr="00E869A4">
        <w:rPr>
          <w:rFonts w:ascii="Times New Roman" w:eastAsiaTheme="majorEastAsia" w:hAnsi="Times New Roman" w:cs="Times New Roman"/>
          <w:bCs/>
          <w:szCs w:val="26"/>
        </w:rPr>
        <w:t>T&amp;T</w:t>
      </w:r>
      <w:r w:rsidRPr="00E869A4">
        <w:rPr>
          <w:rFonts w:ascii="Times New Roman" w:hAnsi="Times New Roman" w:cs="Times New Roman"/>
        </w:rPr>
        <w:t xml:space="preserve">. </w:t>
      </w:r>
    </w:p>
    <w:p w14:paraId="09A0BA8B" w14:textId="77777777" w:rsidR="00994595" w:rsidRPr="00E869A4" w:rsidRDefault="00994595" w:rsidP="00A35FF8">
      <w:pPr>
        <w:rPr>
          <w:rFonts w:ascii="Times New Roman" w:hAnsi="Times New Roman" w:cs="Times New Roman"/>
        </w:rPr>
      </w:pPr>
    </w:p>
    <w:p w14:paraId="7621273B" w14:textId="56DB2731" w:rsidR="00DD2837" w:rsidRPr="00E869A4" w:rsidRDefault="00DD2837" w:rsidP="00A35FF8">
      <w:pPr>
        <w:rPr>
          <w:rFonts w:ascii="Times New Roman" w:hAnsi="Times New Roman" w:cs="Times New Roman"/>
        </w:rPr>
      </w:pPr>
      <w:r w:rsidRPr="00E869A4">
        <w:rPr>
          <w:rFonts w:ascii="Times New Roman" w:hAnsi="Times New Roman" w:cs="Times New Roman"/>
        </w:rPr>
        <w:t>Geographical proximity was another key variable that served as an impetus for required-care. Migration of a potential caregiver had a significant impact on the care arrangements of s</w:t>
      </w:r>
      <w:r w:rsidR="002641CA" w:rsidRPr="00E869A4">
        <w:rPr>
          <w:rFonts w:ascii="Times New Roman" w:hAnsi="Times New Roman" w:cs="Times New Roman"/>
        </w:rPr>
        <w:t>ome</w:t>
      </w:r>
      <w:r w:rsidRPr="00E869A4">
        <w:rPr>
          <w:rFonts w:ascii="Times New Roman" w:hAnsi="Times New Roman" w:cs="Times New Roman"/>
        </w:rPr>
        <w:t xml:space="preserve"> of the families represented in this study.  Relationship status of the older person such as being single or widowed had a stronger influence on required-care than the relationship status of the caregiver</w:t>
      </w:r>
      <w:r w:rsidR="007502E4" w:rsidRPr="00E869A4">
        <w:rPr>
          <w:rFonts w:ascii="Times New Roman" w:hAnsi="Times New Roman" w:cs="Times New Roman"/>
        </w:rPr>
        <w:t xml:space="preserve"> based on the data from this sample</w:t>
      </w:r>
      <w:r w:rsidRPr="00E869A4">
        <w:rPr>
          <w:rFonts w:ascii="Times New Roman" w:hAnsi="Times New Roman" w:cs="Times New Roman"/>
        </w:rPr>
        <w:t xml:space="preserve">. Some family carers also felt that care must be provided </w:t>
      </w:r>
      <w:r w:rsidR="007502E4" w:rsidRPr="00E869A4">
        <w:rPr>
          <w:rFonts w:ascii="Times New Roman" w:hAnsi="Times New Roman" w:cs="Times New Roman"/>
        </w:rPr>
        <w:t>because</w:t>
      </w:r>
      <w:r w:rsidRPr="00E869A4">
        <w:rPr>
          <w:rFonts w:ascii="Times New Roman" w:hAnsi="Times New Roman" w:cs="Times New Roman"/>
        </w:rPr>
        <w:t xml:space="preserve"> of </w:t>
      </w:r>
      <w:r w:rsidR="007502E4" w:rsidRPr="00E869A4">
        <w:rPr>
          <w:rFonts w:ascii="Times New Roman" w:hAnsi="Times New Roman" w:cs="Times New Roman"/>
        </w:rPr>
        <w:t xml:space="preserve">their </w:t>
      </w:r>
      <w:r w:rsidRPr="00E869A4">
        <w:rPr>
          <w:rFonts w:ascii="Times New Roman" w:hAnsi="Times New Roman" w:cs="Times New Roman"/>
        </w:rPr>
        <w:t xml:space="preserve">religious values and beliefs about providing help and support to parents and spouses. </w:t>
      </w:r>
    </w:p>
    <w:p w14:paraId="0274FD1B" w14:textId="07A0B120" w:rsidR="00DD2837" w:rsidRPr="00E869A4" w:rsidRDefault="00DD2837" w:rsidP="00A35FF8">
      <w:pPr>
        <w:rPr>
          <w:rFonts w:ascii="Times New Roman" w:hAnsi="Times New Roman" w:cs="Times New Roman"/>
        </w:rPr>
      </w:pPr>
      <w:r w:rsidRPr="00E869A4">
        <w:rPr>
          <w:rFonts w:ascii="Times New Roman" w:hAnsi="Times New Roman" w:cs="Times New Roman"/>
        </w:rPr>
        <w:lastRenderedPageBreak/>
        <w:t>Required-care was slightly related to the education, training and occupational status of the family carer</w:t>
      </w:r>
      <w:r w:rsidR="007502E4" w:rsidRPr="00E869A4">
        <w:rPr>
          <w:rFonts w:ascii="Times New Roman" w:hAnsi="Times New Roman" w:cs="Times New Roman"/>
        </w:rPr>
        <w:t>,</w:t>
      </w:r>
      <w:r w:rsidRPr="00E869A4">
        <w:rPr>
          <w:rFonts w:ascii="Times New Roman" w:hAnsi="Times New Roman" w:cs="Times New Roman"/>
        </w:rPr>
        <w:t xml:space="preserve"> however this may have been an effect of the small non-random sampl</w:t>
      </w:r>
      <w:r w:rsidR="002641CA" w:rsidRPr="00E869A4">
        <w:rPr>
          <w:rFonts w:ascii="Times New Roman" w:hAnsi="Times New Roman" w:cs="Times New Roman"/>
        </w:rPr>
        <w:t>e</w:t>
      </w:r>
      <w:r w:rsidRPr="00E869A4">
        <w:rPr>
          <w:rFonts w:ascii="Times New Roman" w:hAnsi="Times New Roman" w:cs="Times New Roman"/>
        </w:rPr>
        <w:t xml:space="preserve"> that was studied. Economic and material factors were highlighted by several participants as an issue that may have motivated persons to provide care</w:t>
      </w:r>
      <w:r w:rsidR="009800E0" w:rsidRPr="00E869A4">
        <w:rPr>
          <w:rFonts w:ascii="Times New Roman" w:hAnsi="Times New Roman" w:cs="Times New Roman"/>
        </w:rPr>
        <w:t>,</w:t>
      </w:r>
      <w:r w:rsidRPr="00E869A4">
        <w:rPr>
          <w:rFonts w:ascii="Times New Roman" w:hAnsi="Times New Roman" w:cs="Times New Roman"/>
        </w:rPr>
        <w:t xml:space="preserve"> but usually this was shared in connection with concerns about the (potential or perceived) financial abuse of older persons. Generally, caregivers did not identify material gain as a main reason for providing care. This may in part be because this was viewed as an undesirable reason for providing care</w:t>
      </w:r>
      <w:r w:rsidR="009800E0" w:rsidRPr="00E869A4">
        <w:rPr>
          <w:rFonts w:ascii="Times New Roman" w:hAnsi="Times New Roman" w:cs="Times New Roman"/>
        </w:rPr>
        <w:t>: persons may have been reluctant to admit to this if they were in fact motivated by material factors</w:t>
      </w:r>
      <w:r w:rsidRPr="00E869A4">
        <w:rPr>
          <w:rFonts w:ascii="Times New Roman" w:hAnsi="Times New Roman" w:cs="Times New Roman"/>
        </w:rPr>
        <w:t xml:space="preserve">. The lack of adequate formal care services was also identified by several participants as an important factor that made providing family care a necessity. </w:t>
      </w:r>
    </w:p>
    <w:p w14:paraId="5D1E994C" w14:textId="77777777" w:rsidR="00994595" w:rsidRPr="00E869A4" w:rsidRDefault="00994595" w:rsidP="00A35FF8">
      <w:pPr>
        <w:rPr>
          <w:rFonts w:ascii="Times New Roman" w:hAnsi="Times New Roman" w:cs="Times New Roman"/>
        </w:rPr>
      </w:pPr>
    </w:p>
    <w:p w14:paraId="2B3E5CC5" w14:textId="4EA7FA4A" w:rsidR="00DD2837" w:rsidRPr="00E869A4" w:rsidRDefault="00DD2837" w:rsidP="003D1396">
      <w:pPr>
        <w:rPr>
          <w:rFonts w:ascii="Times New Roman" w:hAnsi="Times New Roman" w:cs="Times New Roman"/>
        </w:rPr>
      </w:pPr>
      <w:r w:rsidRPr="00E869A4">
        <w:rPr>
          <w:rFonts w:ascii="Times New Roman" w:hAnsi="Times New Roman" w:cs="Times New Roman"/>
        </w:rPr>
        <w:t>Almost all participants shared about benefitting from care provided to them by their older relative before they became frail</w:t>
      </w:r>
      <w:r w:rsidR="009800E0" w:rsidRPr="00E869A4">
        <w:rPr>
          <w:rFonts w:ascii="Times New Roman" w:hAnsi="Times New Roman" w:cs="Times New Roman"/>
        </w:rPr>
        <w:t>,</w:t>
      </w:r>
      <w:r w:rsidRPr="00E869A4">
        <w:rPr>
          <w:rFonts w:ascii="Times New Roman" w:hAnsi="Times New Roman" w:cs="Times New Roman"/>
        </w:rPr>
        <w:t xml:space="preserve"> and emphasise</w:t>
      </w:r>
      <w:r w:rsidR="001306BC" w:rsidRPr="00E869A4">
        <w:rPr>
          <w:rFonts w:ascii="Times New Roman" w:hAnsi="Times New Roman" w:cs="Times New Roman"/>
        </w:rPr>
        <w:t>d</w:t>
      </w:r>
      <w:r w:rsidRPr="00E869A4">
        <w:rPr>
          <w:rFonts w:ascii="Times New Roman" w:hAnsi="Times New Roman" w:cs="Times New Roman"/>
        </w:rPr>
        <w:t xml:space="preserve"> the importance of reciprocating care to them now that they were older and in need of support. This ‘</w:t>
      </w:r>
      <w:r w:rsidRPr="00E869A4">
        <w:rPr>
          <w:rFonts w:ascii="Times New Roman" w:hAnsi="Times New Roman" w:cs="Times New Roman"/>
          <w:i/>
        </w:rPr>
        <w:t>requited</w:t>
      </w:r>
      <w:r w:rsidRPr="00E869A4">
        <w:rPr>
          <w:rFonts w:ascii="Times New Roman" w:hAnsi="Times New Roman" w:cs="Times New Roman"/>
        </w:rPr>
        <w:t>’ care was generally viewed as c</w:t>
      </w:r>
      <w:r w:rsidR="003D1396" w:rsidRPr="00E869A4">
        <w:rPr>
          <w:rFonts w:ascii="Times New Roman" w:hAnsi="Times New Roman" w:cs="Times New Roman"/>
        </w:rPr>
        <w:t xml:space="preserve">are that should be provided. </w:t>
      </w:r>
      <w:r w:rsidRPr="00E869A4">
        <w:rPr>
          <w:rFonts w:ascii="Times New Roman" w:hAnsi="Times New Roman" w:cs="Times New Roman"/>
        </w:rPr>
        <w:t xml:space="preserve">Some participants were inspired to care as a result of </w:t>
      </w:r>
      <w:r w:rsidR="009800E0" w:rsidRPr="00E869A4">
        <w:rPr>
          <w:rFonts w:ascii="Times New Roman" w:hAnsi="Times New Roman" w:cs="Times New Roman"/>
        </w:rPr>
        <w:t xml:space="preserve">either </w:t>
      </w:r>
      <w:r w:rsidRPr="00E869A4">
        <w:rPr>
          <w:rFonts w:ascii="Times New Roman" w:hAnsi="Times New Roman" w:cs="Times New Roman"/>
        </w:rPr>
        <w:t xml:space="preserve">divine or supernatural influences, the effects of socialisation in which they were motivated by the care they observed </w:t>
      </w:r>
      <w:r w:rsidR="00467193" w:rsidRPr="00E869A4">
        <w:rPr>
          <w:rFonts w:ascii="Times New Roman" w:hAnsi="Times New Roman" w:cs="Times New Roman"/>
        </w:rPr>
        <w:t>another</w:t>
      </w:r>
      <w:r w:rsidRPr="00E869A4">
        <w:rPr>
          <w:rFonts w:ascii="Times New Roman" w:hAnsi="Times New Roman" w:cs="Times New Roman"/>
        </w:rPr>
        <w:t xml:space="preserve"> significant family member </w:t>
      </w:r>
      <w:r w:rsidR="00467193" w:rsidRPr="00E869A4">
        <w:rPr>
          <w:rFonts w:ascii="Times New Roman" w:hAnsi="Times New Roman" w:cs="Times New Roman"/>
        </w:rPr>
        <w:t xml:space="preserve">providing </w:t>
      </w:r>
      <w:r w:rsidRPr="00E869A4">
        <w:rPr>
          <w:rFonts w:ascii="Times New Roman" w:hAnsi="Times New Roman" w:cs="Times New Roman"/>
        </w:rPr>
        <w:t xml:space="preserve">to other persons, </w:t>
      </w:r>
      <w:r w:rsidR="001306BC" w:rsidRPr="00E869A4">
        <w:rPr>
          <w:rFonts w:ascii="Times New Roman" w:hAnsi="Times New Roman" w:cs="Times New Roman"/>
        </w:rPr>
        <w:t>and/</w:t>
      </w:r>
      <w:r w:rsidR="00467193" w:rsidRPr="00E869A4">
        <w:rPr>
          <w:rFonts w:ascii="Times New Roman" w:hAnsi="Times New Roman" w:cs="Times New Roman"/>
        </w:rPr>
        <w:t>or</w:t>
      </w:r>
      <w:r w:rsidRPr="00E869A4">
        <w:rPr>
          <w:rFonts w:ascii="Times New Roman" w:hAnsi="Times New Roman" w:cs="Times New Roman"/>
        </w:rPr>
        <w:t xml:space="preserve"> by a sense of civic</w:t>
      </w:r>
      <w:r w:rsidR="00630A4F" w:rsidRPr="00E869A4">
        <w:rPr>
          <w:rFonts w:ascii="Times New Roman" w:hAnsi="Times New Roman" w:cs="Times New Roman"/>
        </w:rPr>
        <w:t>-</w:t>
      </w:r>
      <w:r w:rsidRPr="00E869A4">
        <w:rPr>
          <w:rFonts w:ascii="Times New Roman" w:hAnsi="Times New Roman" w:cs="Times New Roman"/>
        </w:rPr>
        <w:t xml:space="preserve"> min</w:t>
      </w:r>
      <w:r w:rsidR="009800E0" w:rsidRPr="00E869A4">
        <w:rPr>
          <w:rFonts w:ascii="Times New Roman" w:hAnsi="Times New Roman" w:cs="Times New Roman"/>
        </w:rPr>
        <w:t xml:space="preserve">dedness. Only one interview participant </w:t>
      </w:r>
      <w:r w:rsidRPr="00E869A4">
        <w:rPr>
          <w:rFonts w:ascii="Times New Roman" w:hAnsi="Times New Roman" w:cs="Times New Roman"/>
        </w:rPr>
        <w:t xml:space="preserve">explicitly indicated that </w:t>
      </w:r>
      <w:r w:rsidR="009800E0" w:rsidRPr="00E869A4">
        <w:rPr>
          <w:rFonts w:ascii="Times New Roman" w:hAnsi="Times New Roman" w:cs="Times New Roman"/>
        </w:rPr>
        <w:t xml:space="preserve">she was </w:t>
      </w:r>
      <w:r w:rsidRPr="00E869A4">
        <w:rPr>
          <w:rFonts w:ascii="Times New Roman" w:hAnsi="Times New Roman" w:cs="Times New Roman"/>
        </w:rPr>
        <w:t xml:space="preserve">inspired by love to provide family care to </w:t>
      </w:r>
      <w:r w:rsidR="009800E0" w:rsidRPr="00E869A4">
        <w:rPr>
          <w:rFonts w:ascii="Times New Roman" w:hAnsi="Times New Roman" w:cs="Times New Roman"/>
        </w:rPr>
        <w:t>he</w:t>
      </w:r>
      <w:r w:rsidRPr="00E869A4">
        <w:rPr>
          <w:rFonts w:ascii="Times New Roman" w:hAnsi="Times New Roman" w:cs="Times New Roman"/>
        </w:rPr>
        <w:t xml:space="preserve">r older relative. </w:t>
      </w:r>
    </w:p>
    <w:p w14:paraId="37F13E0C" w14:textId="77777777" w:rsidR="00300306" w:rsidRPr="00E869A4" w:rsidRDefault="00300306" w:rsidP="00F4686C">
      <w:pPr>
        <w:rPr>
          <w:rFonts w:ascii="Times New Roman" w:hAnsi="Times New Roman" w:cs="Times New Roman"/>
        </w:rPr>
      </w:pPr>
    </w:p>
    <w:p w14:paraId="59001462" w14:textId="77777777" w:rsidR="00F4686C" w:rsidRPr="00E869A4" w:rsidRDefault="00CD20B7" w:rsidP="00F4686C">
      <w:pPr>
        <w:rPr>
          <w:rFonts w:ascii="Times New Roman" w:hAnsi="Times New Roman" w:cs="Times New Roman"/>
        </w:rPr>
      </w:pPr>
      <w:r w:rsidRPr="00E869A4">
        <w:rPr>
          <w:rFonts w:ascii="Times New Roman" w:hAnsi="Times New Roman" w:cs="Times New Roman"/>
        </w:rPr>
        <w:t>Table 1</w:t>
      </w:r>
      <w:r w:rsidR="009800E0" w:rsidRPr="00E869A4">
        <w:rPr>
          <w:rFonts w:ascii="Times New Roman" w:hAnsi="Times New Roman" w:cs="Times New Roman"/>
        </w:rPr>
        <w:t>4</w:t>
      </w:r>
      <w:r w:rsidR="00DD2837" w:rsidRPr="00E869A4">
        <w:rPr>
          <w:rFonts w:ascii="Times New Roman" w:hAnsi="Times New Roman" w:cs="Times New Roman"/>
        </w:rPr>
        <w:t xml:space="preserve"> below summarises the main features of the three categories of care determinants that emerged from the qualitative data collected. </w:t>
      </w:r>
      <w:r w:rsidR="004F5829" w:rsidRPr="00E869A4">
        <w:rPr>
          <w:rFonts w:ascii="Times New Roman" w:hAnsi="Times New Roman" w:cs="Times New Roman"/>
        </w:rPr>
        <w:t xml:space="preserve">As is evident from the table, the three main categories of care are all different manifestations of an underlying commitment to care as a result of a sense of duty. </w:t>
      </w:r>
      <w:r w:rsidR="00F4686C" w:rsidRPr="00E869A4">
        <w:rPr>
          <w:rFonts w:ascii="Times New Roman" w:hAnsi="Times New Roman" w:cs="Times New Roman"/>
        </w:rPr>
        <w:t xml:space="preserve">However, duty is strongest in the required care category. In this table, the relationship between the determinants of care, experiences of care and the coping and care management strategies employed by caregivers and care recipients is also taken into consideration. As with the prevalence of duty as a crosscutting theme </w:t>
      </w:r>
      <w:r w:rsidR="00F4686C" w:rsidRPr="00E869A4">
        <w:rPr>
          <w:rFonts w:ascii="Times New Roman" w:hAnsi="Times New Roman" w:cs="Times New Roman"/>
          <w:i/>
        </w:rPr>
        <w:t>vis à vis</w:t>
      </w:r>
      <w:r w:rsidR="00F4686C" w:rsidRPr="00E869A4">
        <w:rPr>
          <w:rFonts w:ascii="Times New Roman" w:hAnsi="Times New Roman" w:cs="Times New Roman"/>
        </w:rPr>
        <w:t xml:space="preserve"> the decision to provide care, ambivalence was a pervasive theme that transects the participant’s experience of care. These interrelationships will be further examined in the sections that follow. </w:t>
      </w:r>
    </w:p>
    <w:p w14:paraId="0C13588A" w14:textId="063922FE" w:rsidR="000D483D" w:rsidRPr="00E869A4" w:rsidRDefault="000D483D" w:rsidP="00F4686C">
      <w:pPr>
        <w:rPr>
          <w:b/>
          <w:iCs/>
        </w:rPr>
      </w:pPr>
    </w:p>
    <w:p w14:paraId="09C40401" w14:textId="77777777" w:rsidR="00F4686C" w:rsidRPr="00E869A4" w:rsidRDefault="00F4686C" w:rsidP="00F4686C">
      <w:pPr>
        <w:rPr>
          <w:rFonts w:ascii="Times New Roman" w:hAnsi="Times New Roman" w:cs="Times New Roman"/>
        </w:rPr>
      </w:pPr>
      <w:r w:rsidRPr="00E869A4">
        <w:rPr>
          <w:rFonts w:ascii="Times New Roman" w:hAnsi="Times New Roman" w:cs="Times New Roman"/>
        </w:rPr>
        <w:t xml:space="preserve">Definitive statements could not be made about the impact of ethnicity as a determinant of family care as most of the persons participating in the interviews and focus groups were African Trinbagonians. However, there were a few participants of East Indian decent in the interview sessions (Mr. Khan and </w:t>
      </w:r>
      <w:r w:rsidRPr="00E869A4">
        <w:rPr>
          <w:rFonts w:ascii="Times New Roman" w:hAnsi="Times New Roman" w:cs="Times New Roman"/>
        </w:rPr>
        <w:lastRenderedPageBreak/>
        <w:t xml:space="preserve">Samantha, Ms. Kumar and Rebecca, as well as Susan Maharaj) and a few persons who described themselves as mixed (Mr. Sanchez and Mrs. Flora). What was clear from the responses of these and other participants was that all caregivers, irrespective of the ethnic background of their members, were influenced by similar factors with regards to caregiver role acquisition, such as the gendered nature of care and the significance of geographical proximity in family care arrangements. On the issue of the gendered nature of care, even though some persons seemed to expect that caregiving should be performed primarily by females, the cases with Lakshmi (Tobago focus group participant) Tanty Edna (Eleta’s mother), and Kalima (Mr. Khan’s daughter-in-law) showed that not all females are necessarily good caregivers nor are they always willing to provide elder care. Of particular note was the shifting role of the East-Indian daughter-in-law that was described by Grahame (2006) and reflected in the experiences of the Khan family. </w:t>
      </w:r>
    </w:p>
    <w:p w14:paraId="3FDA48D2" w14:textId="77777777" w:rsidR="00F4686C" w:rsidRPr="00E869A4" w:rsidRDefault="00F4686C" w:rsidP="00F4686C">
      <w:pPr>
        <w:rPr>
          <w:rFonts w:ascii="Times New Roman" w:hAnsi="Times New Roman" w:cs="Times New Roman"/>
        </w:rPr>
      </w:pPr>
    </w:p>
    <w:p w14:paraId="34286B71" w14:textId="77777777" w:rsidR="00F4686C" w:rsidRPr="00E869A4" w:rsidRDefault="00F4686C" w:rsidP="00F4686C">
      <w:pPr>
        <w:rPr>
          <w:b/>
          <w:iCs/>
        </w:rPr>
      </w:pPr>
      <w:r w:rsidRPr="00E869A4">
        <w:rPr>
          <w:rFonts w:ascii="Times New Roman" w:hAnsi="Times New Roman" w:cs="Times New Roman"/>
        </w:rPr>
        <w:t xml:space="preserve">An interesting finding in this study was the importance of goddaughters in the provision of care. There were three separate reports of a goddaughter serving as a main caregiver. Future research should be conducted to explore their role in family elder care in more detail. It is also important to note that both the caregivers and care recipients did not view care provided out of a sense of duty, filial responsibility or a desire to reciprocate care, as negative motives for care provision. In the Chapter that follows, the qualitative results on how participants experience care are presented. </w:t>
      </w:r>
    </w:p>
    <w:p w14:paraId="29796EC5" w14:textId="77777777" w:rsidR="00F4686C" w:rsidRPr="00E869A4" w:rsidRDefault="00F4686C" w:rsidP="00F4686C">
      <w:pPr>
        <w:rPr>
          <w:b/>
          <w:iCs/>
        </w:rPr>
        <w:sectPr w:rsidR="00F4686C" w:rsidRPr="00E869A4" w:rsidSect="00446CB8">
          <w:footerReference w:type="default" r:id="rId24"/>
          <w:type w:val="nextColumn"/>
          <w:pgSz w:w="12240" w:h="15840"/>
          <w:pgMar w:top="1440" w:right="851" w:bottom="1440" w:left="1134" w:header="720" w:footer="720" w:gutter="0"/>
          <w:cols w:space="720"/>
        </w:sectPr>
      </w:pPr>
    </w:p>
    <w:p w14:paraId="0CF978C9" w14:textId="79ECCA21" w:rsidR="00CD20B7" w:rsidRPr="00E869A4" w:rsidRDefault="00CD20B7" w:rsidP="000D483D">
      <w:pPr>
        <w:ind w:firstLine="0"/>
        <w:jc w:val="center"/>
        <w:rPr>
          <w:b/>
        </w:rPr>
      </w:pPr>
      <w:bookmarkStart w:id="310" w:name="_Toc40436613"/>
      <w:r w:rsidRPr="00E869A4">
        <w:rPr>
          <w:b/>
        </w:rPr>
        <w:lastRenderedPageBreak/>
        <w:t xml:space="preserve">Table </w:t>
      </w:r>
      <w:r w:rsidR="00194F87" w:rsidRPr="00E869A4">
        <w:rPr>
          <w:b/>
        </w:rPr>
        <w:fldChar w:fldCharType="begin"/>
      </w:r>
      <w:r w:rsidR="00194F87" w:rsidRPr="00E869A4">
        <w:rPr>
          <w:b/>
        </w:rPr>
        <w:instrText xml:space="preserve"> SEQ Table \* ARABIC </w:instrText>
      </w:r>
      <w:r w:rsidR="00194F87" w:rsidRPr="00E869A4">
        <w:rPr>
          <w:b/>
        </w:rPr>
        <w:fldChar w:fldCharType="separate"/>
      </w:r>
      <w:r w:rsidR="00D7239F">
        <w:rPr>
          <w:b/>
          <w:noProof/>
        </w:rPr>
        <w:t>14</w:t>
      </w:r>
      <w:r w:rsidR="00194F87" w:rsidRPr="00E869A4">
        <w:rPr>
          <w:b/>
        </w:rPr>
        <w:fldChar w:fldCharType="end"/>
      </w:r>
      <w:r w:rsidRPr="00E869A4">
        <w:rPr>
          <w:b/>
        </w:rPr>
        <w:t>: Factors Associated with Caregiver Role Acquisition</w:t>
      </w:r>
      <w:bookmarkEnd w:id="310"/>
    </w:p>
    <w:p w14:paraId="73EBB4FE" w14:textId="77777777" w:rsidR="00CF0B80" w:rsidRPr="00E869A4" w:rsidRDefault="00CF0B80" w:rsidP="00384458">
      <w:pPr>
        <w:ind w:firstLine="0"/>
      </w:pPr>
    </w:p>
    <w:tbl>
      <w:tblPr>
        <w:tblStyle w:val="TableGrid"/>
        <w:tblW w:w="11341" w:type="dxa"/>
        <w:jc w:val="center"/>
        <w:tblLook w:val="04A0" w:firstRow="1" w:lastRow="0" w:firstColumn="1" w:lastColumn="0" w:noHBand="0" w:noVBand="1"/>
      </w:tblPr>
      <w:tblGrid>
        <w:gridCol w:w="2544"/>
        <w:gridCol w:w="2990"/>
        <w:gridCol w:w="2987"/>
        <w:gridCol w:w="2820"/>
      </w:tblGrid>
      <w:tr w:rsidR="00C714D3" w:rsidRPr="00E869A4" w14:paraId="4D9F6559" w14:textId="77777777" w:rsidTr="00DD2837">
        <w:trPr>
          <w:tblHeader/>
          <w:jc w:val="center"/>
        </w:trPr>
        <w:tc>
          <w:tcPr>
            <w:tcW w:w="2544" w:type="dxa"/>
          </w:tcPr>
          <w:p w14:paraId="599B6639" w14:textId="77777777" w:rsidR="00DD2837" w:rsidRPr="00E869A4" w:rsidRDefault="00121D9F" w:rsidP="00384458">
            <w:pPr>
              <w:ind w:firstLine="0"/>
              <w:rPr>
                <w:rFonts w:ascii="Times New Roman" w:hAnsi="Times New Roman" w:cs="Times New Roman"/>
                <w:b/>
                <w:sz w:val="21"/>
                <w:szCs w:val="21"/>
              </w:rPr>
            </w:pPr>
            <w:r w:rsidRPr="00E869A4">
              <w:rPr>
                <w:rFonts w:ascii="Times New Roman" w:hAnsi="Times New Roman" w:cs="Times New Roman"/>
                <w:b/>
                <w:sz w:val="21"/>
                <w:szCs w:val="21"/>
              </w:rPr>
              <w:t>Dimensions</w:t>
            </w:r>
          </w:p>
        </w:tc>
        <w:tc>
          <w:tcPr>
            <w:tcW w:w="2990" w:type="dxa"/>
          </w:tcPr>
          <w:p w14:paraId="39AD832E" w14:textId="77777777" w:rsidR="00DD2837" w:rsidRPr="00E869A4" w:rsidRDefault="00DD2837" w:rsidP="00384458">
            <w:pPr>
              <w:ind w:firstLine="0"/>
              <w:jc w:val="center"/>
              <w:rPr>
                <w:rFonts w:ascii="Times New Roman" w:hAnsi="Times New Roman" w:cs="Times New Roman"/>
                <w:b/>
                <w:smallCaps/>
                <w:sz w:val="21"/>
                <w:szCs w:val="21"/>
              </w:rPr>
            </w:pPr>
            <w:r w:rsidRPr="00E869A4">
              <w:rPr>
                <w:rFonts w:ascii="Times New Roman" w:hAnsi="Times New Roman" w:cs="Times New Roman"/>
                <w:b/>
                <w:smallCaps/>
                <w:sz w:val="21"/>
                <w:szCs w:val="21"/>
              </w:rPr>
              <w:t>REQUIRED CARE</w:t>
            </w:r>
          </w:p>
        </w:tc>
        <w:tc>
          <w:tcPr>
            <w:tcW w:w="2987" w:type="dxa"/>
          </w:tcPr>
          <w:p w14:paraId="508E59D2" w14:textId="77777777" w:rsidR="00DD2837" w:rsidRPr="00E869A4" w:rsidRDefault="00DD2837" w:rsidP="00384458">
            <w:pPr>
              <w:ind w:firstLine="0"/>
              <w:jc w:val="center"/>
              <w:rPr>
                <w:rFonts w:ascii="Times New Roman" w:hAnsi="Times New Roman" w:cs="Times New Roman"/>
                <w:b/>
                <w:smallCaps/>
                <w:sz w:val="21"/>
                <w:szCs w:val="21"/>
              </w:rPr>
            </w:pPr>
            <w:r w:rsidRPr="00E869A4">
              <w:rPr>
                <w:rFonts w:ascii="Times New Roman" w:hAnsi="Times New Roman" w:cs="Times New Roman"/>
                <w:b/>
                <w:smallCaps/>
                <w:sz w:val="21"/>
                <w:szCs w:val="21"/>
              </w:rPr>
              <w:t>REQUITED CARE</w:t>
            </w:r>
          </w:p>
        </w:tc>
        <w:tc>
          <w:tcPr>
            <w:tcW w:w="2820" w:type="dxa"/>
          </w:tcPr>
          <w:p w14:paraId="0018AC87" w14:textId="77777777" w:rsidR="00DD2837" w:rsidRPr="00E869A4" w:rsidRDefault="00DD2837" w:rsidP="00384458">
            <w:pPr>
              <w:ind w:firstLine="0"/>
              <w:jc w:val="center"/>
              <w:rPr>
                <w:rFonts w:ascii="Times New Roman" w:hAnsi="Times New Roman" w:cs="Times New Roman"/>
                <w:b/>
                <w:smallCaps/>
                <w:sz w:val="21"/>
                <w:szCs w:val="21"/>
              </w:rPr>
            </w:pPr>
            <w:r w:rsidRPr="00E869A4">
              <w:rPr>
                <w:rFonts w:ascii="Times New Roman" w:hAnsi="Times New Roman" w:cs="Times New Roman"/>
                <w:b/>
                <w:smallCaps/>
                <w:sz w:val="21"/>
                <w:szCs w:val="21"/>
              </w:rPr>
              <w:t>INSPIRED CARE</w:t>
            </w:r>
          </w:p>
        </w:tc>
      </w:tr>
      <w:tr w:rsidR="00C714D3" w:rsidRPr="00E869A4" w14:paraId="196E8E07" w14:textId="77777777" w:rsidTr="00121D9F">
        <w:trPr>
          <w:jc w:val="center"/>
        </w:trPr>
        <w:tc>
          <w:tcPr>
            <w:tcW w:w="2544" w:type="dxa"/>
            <w:vMerge w:val="restart"/>
            <w:vAlign w:val="center"/>
          </w:tcPr>
          <w:p w14:paraId="76FFEAE9" w14:textId="77777777" w:rsidR="00121D9F" w:rsidRPr="00E869A4" w:rsidRDefault="00121D9F" w:rsidP="00384458">
            <w:pPr>
              <w:ind w:firstLine="0"/>
              <w:rPr>
                <w:rFonts w:ascii="Times New Roman" w:hAnsi="Times New Roman" w:cs="Times New Roman"/>
                <w:b/>
                <w:sz w:val="21"/>
                <w:szCs w:val="21"/>
              </w:rPr>
            </w:pPr>
            <w:r w:rsidRPr="00E869A4">
              <w:rPr>
                <w:rFonts w:ascii="Times New Roman" w:hAnsi="Times New Roman" w:cs="Times New Roman"/>
                <w:b/>
                <w:sz w:val="21"/>
                <w:szCs w:val="21"/>
              </w:rPr>
              <w:t>RATIONALE</w:t>
            </w:r>
          </w:p>
          <w:p w14:paraId="52E3E37B"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sz w:val="21"/>
                <w:szCs w:val="21"/>
              </w:rPr>
              <w:t>(Reason for providing  / family care)</w:t>
            </w:r>
          </w:p>
        </w:tc>
        <w:tc>
          <w:tcPr>
            <w:tcW w:w="2990" w:type="dxa"/>
          </w:tcPr>
          <w:p w14:paraId="0B9AC2D3" w14:textId="5C48CD7B" w:rsidR="00121D9F" w:rsidRPr="00E869A4" w:rsidRDefault="008E7ABB" w:rsidP="00384458">
            <w:pPr>
              <w:ind w:firstLine="0"/>
              <w:rPr>
                <w:rFonts w:ascii="Times New Roman" w:hAnsi="Times New Roman" w:cs="Times New Roman"/>
                <w:sz w:val="21"/>
                <w:szCs w:val="21"/>
              </w:rPr>
            </w:pPr>
            <w:r w:rsidRPr="00E869A4">
              <w:rPr>
                <w:rFonts w:ascii="Times New Roman" w:hAnsi="Times New Roman" w:cs="Times New Roman"/>
                <w:sz w:val="21"/>
                <w:szCs w:val="21"/>
              </w:rPr>
              <w:t xml:space="preserve">I </w:t>
            </w:r>
            <w:r w:rsidRPr="00E869A4">
              <w:rPr>
                <w:rFonts w:ascii="Times New Roman" w:hAnsi="Times New Roman" w:cs="Times New Roman"/>
                <w:b/>
                <w:sz w:val="21"/>
                <w:szCs w:val="21"/>
              </w:rPr>
              <w:t>must/have to</w:t>
            </w:r>
            <w:r w:rsidRPr="00E869A4">
              <w:rPr>
                <w:rFonts w:ascii="Times New Roman" w:hAnsi="Times New Roman" w:cs="Times New Roman"/>
                <w:sz w:val="21"/>
                <w:szCs w:val="21"/>
              </w:rPr>
              <w:t xml:space="preserve"> provide</w:t>
            </w:r>
          </w:p>
          <w:p w14:paraId="4B30C3A9"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sz w:val="21"/>
                <w:szCs w:val="21"/>
              </w:rPr>
              <w:t>Prompted by: elder’s care needs; limited caregiver options; societal expectations from peer, family, religion or community; socio-economic constraints that pushes the individual to provide care.</w:t>
            </w:r>
          </w:p>
        </w:tc>
        <w:tc>
          <w:tcPr>
            <w:tcW w:w="2987" w:type="dxa"/>
          </w:tcPr>
          <w:p w14:paraId="28CF0E47"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sz w:val="21"/>
                <w:szCs w:val="21"/>
              </w:rPr>
              <w:t xml:space="preserve">I </w:t>
            </w:r>
            <w:r w:rsidRPr="00E869A4">
              <w:rPr>
                <w:rFonts w:ascii="Times New Roman" w:hAnsi="Times New Roman" w:cs="Times New Roman"/>
                <w:b/>
                <w:sz w:val="21"/>
                <w:szCs w:val="21"/>
              </w:rPr>
              <w:t>should/ought to</w:t>
            </w:r>
            <w:r w:rsidRPr="00E869A4">
              <w:rPr>
                <w:rFonts w:ascii="Times New Roman" w:hAnsi="Times New Roman" w:cs="Times New Roman"/>
                <w:sz w:val="21"/>
                <w:szCs w:val="21"/>
              </w:rPr>
              <w:t xml:space="preserve"> provide care</w:t>
            </w:r>
          </w:p>
          <w:p w14:paraId="2A637224" w14:textId="77777777" w:rsidR="00121D9F" w:rsidRPr="00E869A4" w:rsidRDefault="00121D9F" w:rsidP="00384458">
            <w:pPr>
              <w:ind w:firstLine="0"/>
              <w:rPr>
                <w:rFonts w:ascii="Times New Roman" w:hAnsi="Times New Roman" w:cs="Times New Roman"/>
                <w:sz w:val="21"/>
                <w:szCs w:val="21"/>
              </w:rPr>
            </w:pPr>
          </w:p>
          <w:p w14:paraId="441E9955"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sz w:val="21"/>
                <w:szCs w:val="21"/>
              </w:rPr>
              <w:t xml:space="preserve">Family elder care that is based on a desire to reciprocate care that was previously provided by an older relative, and /or a sense of duty  </w:t>
            </w:r>
          </w:p>
        </w:tc>
        <w:tc>
          <w:tcPr>
            <w:tcW w:w="2820" w:type="dxa"/>
          </w:tcPr>
          <w:p w14:paraId="64ED2BF1"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sz w:val="21"/>
                <w:szCs w:val="21"/>
              </w:rPr>
              <w:t xml:space="preserve">I </w:t>
            </w:r>
            <w:r w:rsidRPr="00E869A4">
              <w:rPr>
                <w:rFonts w:ascii="Times New Roman" w:hAnsi="Times New Roman" w:cs="Times New Roman"/>
                <w:b/>
                <w:sz w:val="21"/>
                <w:szCs w:val="21"/>
              </w:rPr>
              <w:t>want</w:t>
            </w:r>
            <w:r w:rsidRPr="00E869A4">
              <w:rPr>
                <w:rFonts w:ascii="Times New Roman" w:hAnsi="Times New Roman" w:cs="Times New Roman"/>
                <w:sz w:val="21"/>
                <w:szCs w:val="21"/>
              </w:rPr>
              <w:t xml:space="preserve"> to provide  care</w:t>
            </w:r>
          </w:p>
          <w:p w14:paraId="79BBA320" w14:textId="77777777" w:rsidR="00121D9F" w:rsidRPr="00E869A4" w:rsidRDefault="00121D9F" w:rsidP="00384458">
            <w:pPr>
              <w:ind w:firstLine="0"/>
              <w:rPr>
                <w:rFonts w:ascii="Times New Roman" w:hAnsi="Times New Roman" w:cs="Times New Roman"/>
                <w:sz w:val="21"/>
                <w:szCs w:val="21"/>
              </w:rPr>
            </w:pPr>
          </w:p>
          <w:p w14:paraId="2E6DF604"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sz w:val="21"/>
                <w:szCs w:val="21"/>
              </w:rPr>
              <w:t>Propelled by: the good example of others; divine or supernatural influence or other ethical beliefs or values which created and / or fuelled the desire to make a positive contribution to the life of the cared-for individual; positive regard for the individual; a desire to reciprocate care</w:t>
            </w:r>
          </w:p>
          <w:p w14:paraId="4B83C6CD" w14:textId="77777777" w:rsidR="00121D9F" w:rsidRPr="00E869A4" w:rsidRDefault="00121D9F" w:rsidP="00384458">
            <w:pPr>
              <w:ind w:firstLine="0"/>
              <w:rPr>
                <w:rFonts w:ascii="Times New Roman" w:hAnsi="Times New Roman" w:cs="Times New Roman"/>
                <w:sz w:val="21"/>
                <w:szCs w:val="21"/>
              </w:rPr>
            </w:pPr>
          </w:p>
        </w:tc>
      </w:tr>
      <w:tr w:rsidR="00C714D3" w:rsidRPr="00E869A4" w14:paraId="07119246" w14:textId="77777777" w:rsidTr="00121D9F">
        <w:trPr>
          <w:jc w:val="center"/>
        </w:trPr>
        <w:tc>
          <w:tcPr>
            <w:tcW w:w="2544" w:type="dxa"/>
            <w:vMerge/>
            <w:tcBorders>
              <w:bottom w:val="single" w:sz="4" w:space="0" w:color="auto"/>
            </w:tcBorders>
          </w:tcPr>
          <w:p w14:paraId="414B5711" w14:textId="77777777" w:rsidR="00121D9F" w:rsidRPr="00E869A4" w:rsidRDefault="00121D9F" w:rsidP="00384458">
            <w:pPr>
              <w:ind w:firstLine="0"/>
              <w:rPr>
                <w:rFonts w:ascii="Times New Roman" w:hAnsi="Times New Roman" w:cs="Times New Roman"/>
                <w:b/>
                <w:sz w:val="21"/>
                <w:szCs w:val="21"/>
              </w:rPr>
            </w:pPr>
          </w:p>
        </w:tc>
        <w:tc>
          <w:tcPr>
            <w:tcW w:w="8797" w:type="dxa"/>
            <w:gridSpan w:val="3"/>
            <w:tcBorders>
              <w:bottom w:val="single" w:sz="4" w:space="0" w:color="auto"/>
            </w:tcBorders>
          </w:tcPr>
          <w:p w14:paraId="02580DAF" w14:textId="77777777" w:rsidR="00121D9F" w:rsidRPr="00E869A4" w:rsidRDefault="00121D9F" w:rsidP="00384458">
            <w:pPr>
              <w:ind w:left="360" w:firstLine="0"/>
              <w:jc w:val="center"/>
              <w:rPr>
                <w:rFonts w:ascii="Times New Roman" w:hAnsi="Times New Roman" w:cs="Times New Roman"/>
                <w:b/>
                <w:sz w:val="21"/>
                <w:szCs w:val="21"/>
              </w:rPr>
            </w:pPr>
            <w:r w:rsidRPr="00E869A4">
              <w:rPr>
                <w:rFonts w:ascii="Times New Roman" w:hAnsi="Times New Roman" w:cs="Times New Roman"/>
                <w:b/>
                <w:sz w:val="21"/>
                <w:szCs w:val="21"/>
              </w:rPr>
              <w:t>DUTY</w:t>
            </w:r>
          </w:p>
        </w:tc>
      </w:tr>
      <w:tr w:rsidR="00C714D3" w:rsidRPr="00E869A4" w14:paraId="565D69F0" w14:textId="77777777" w:rsidTr="00121D9F">
        <w:trPr>
          <w:jc w:val="center"/>
        </w:trPr>
        <w:tc>
          <w:tcPr>
            <w:tcW w:w="11341" w:type="dxa"/>
            <w:gridSpan w:val="4"/>
            <w:shd w:val="clear" w:color="auto" w:fill="A6A6A6" w:themeFill="background1" w:themeFillShade="A6"/>
          </w:tcPr>
          <w:p w14:paraId="4825348A" w14:textId="77777777" w:rsidR="00121D9F" w:rsidRPr="00E869A4" w:rsidRDefault="00121D9F" w:rsidP="00384458">
            <w:pPr>
              <w:ind w:left="360" w:firstLine="0"/>
              <w:rPr>
                <w:rFonts w:ascii="Times New Roman" w:hAnsi="Times New Roman" w:cs="Times New Roman"/>
                <w:sz w:val="21"/>
                <w:szCs w:val="21"/>
              </w:rPr>
            </w:pPr>
          </w:p>
        </w:tc>
      </w:tr>
      <w:tr w:rsidR="00C714D3" w:rsidRPr="00E869A4" w14:paraId="6720C886" w14:textId="77777777" w:rsidTr="00121D9F">
        <w:trPr>
          <w:jc w:val="center"/>
        </w:trPr>
        <w:tc>
          <w:tcPr>
            <w:tcW w:w="2544" w:type="dxa"/>
            <w:tcBorders>
              <w:bottom w:val="single" w:sz="4" w:space="0" w:color="auto"/>
            </w:tcBorders>
          </w:tcPr>
          <w:p w14:paraId="58B6089C" w14:textId="77777777" w:rsidR="002C2798" w:rsidRPr="00E869A4" w:rsidRDefault="002C2798" w:rsidP="00384458">
            <w:pPr>
              <w:ind w:firstLine="0"/>
              <w:rPr>
                <w:rFonts w:ascii="Times New Roman" w:hAnsi="Times New Roman" w:cs="Times New Roman"/>
                <w:b/>
                <w:sz w:val="21"/>
                <w:szCs w:val="21"/>
              </w:rPr>
            </w:pPr>
            <w:r w:rsidRPr="00E869A4">
              <w:rPr>
                <w:rFonts w:ascii="Times New Roman" w:hAnsi="Times New Roman" w:cs="Times New Roman"/>
                <w:b/>
                <w:sz w:val="21"/>
                <w:szCs w:val="21"/>
              </w:rPr>
              <w:t>IMPERATIVES</w:t>
            </w:r>
          </w:p>
          <w:p w14:paraId="5A751C24" w14:textId="77777777" w:rsidR="00DD2837" w:rsidRPr="00E869A4" w:rsidRDefault="00DD2837" w:rsidP="00384458">
            <w:pPr>
              <w:ind w:firstLine="0"/>
              <w:rPr>
                <w:rFonts w:ascii="Times New Roman" w:hAnsi="Times New Roman" w:cs="Times New Roman"/>
                <w:sz w:val="21"/>
                <w:szCs w:val="21"/>
              </w:rPr>
            </w:pPr>
            <w:r w:rsidRPr="00E869A4">
              <w:rPr>
                <w:rFonts w:ascii="Times New Roman" w:hAnsi="Times New Roman" w:cs="Times New Roman"/>
                <w:sz w:val="21"/>
                <w:szCs w:val="21"/>
              </w:rPr>
              <w:t>Examples of variables impacting on the decision to care</w:t>
            </w:r>
          </w:p>
        </w:tc>
        <w:tc>
          <w:tcPr>
            <w:tcW w:w="2990" w:type="dxa"/>
            <w:tcBorders>
              <w:bottom w:val="single" w:sz="4" w:space="0" w:color="auto"/>
            </w:tcBorders>
          </w:tcPr>
          <w:p w14:paraId="59C57841"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Economic situation &amp; material factors (inheritance issues)</w:t>
            </w:r>
          </w:p>
          <w:p w14:paraId="07A33407"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Education &amp; training</w:t>
            </w:r>
          </w:p>
          <w:p w14:paraId="1B0F9EED"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Filial Responsibility</w:t>
            </w:r>
          </w:p>
          <w:p w14:paraId="4150AE48"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 xml:space="preserve">Gender </w:t>
            </w:r>
          </w:p>
          <w:p w14:paraId="4F3AE53C"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Geographical proximity</w:t>
            </w:r>
          </w:p>
          <w:p w14:paraId="217909E9"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Health care needs</w:t>
            </w:r>
          </w:p>
          <w:p w14:paraId="3B7E04B0"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Inadequate formal care services</w:t>
            </w:r>
          </w:p>
          <w:p w14:paraId="6C86B3FE"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Loss of a primary caregiver</w:t>
            </w:r>
          </w:p>
          <w:p w14:paraId="06B4123C" w14:textId="15DBDA62" w:rsidR="00DD2837" w:rsidRPr="00E869A4" w:rsidRDefault="008E7ABB"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Moral</w:t>
            </w:r>
            <w:r w:rsidR="00DD2837" w:rsidRPr="00E869A4">
              <w:rPr>
                <w:rFonts w:ascii="Times New Roman" w:hAnsi="Times New Roman" w:cs="Times New Roman"/>
                <w:sz w:val="21"/>
                <w:szCs w:val="21"/>
              </w:rPr>
              <w:t>/Religious Duty</w:t>
            </w:r>
          </w:p>
          <w:p w14:paraId="452C3E1F"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Number of (de-facto) children</w:t>
            </w:r>
          </w:p>
          <w:p w14:paraId="4D57F930"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Occupational status</w:t>
            </w:r>
          </w:p>
          <w:p w14:paraId="42FF7CAE"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Partnership status of CR</w:t>
            </w:r>
          </w:p>
          <w:p w14:paraId="5E5EFBAC" w14:textId="77777777" w:rsidR="00DD2837" w:rsidRPr="00E869A4" w:rsidRDefault="00DD2837" w:rsidP="009D4C5D">
            <w:pPr>
              <w:pStyle w:val="ListParagraph"/>
              <w:numPr>
                <w:ilvl w:val="0"/>
                <w:numId w:val="37"/>
              </w:numPr>
              <w:ind w:left="585" w:hanging="284"/>
              <w:contextualSpacing w:val="0"/>
              <w:rPr>
                <w:rFonts w:ascii="Times New Roman" w:hAnsi="Times New Roman" w:cs="Times New Roman"/>
                <w:sz w:val="21"/>
                <w:szCs w:val="21"/>
              </w:rPr>
            </w:pPr>
            <w:r w:rsidRPr="00E869A4">
              <w:rPr>
                <w:rFonts w:ascii="Times New Roman" w:hAnsi="Times New Roman" w:cs="Times New Roman"/>
                <w:sz w:val="21"/>
                <w:szCs w:val="21"/>
              </w:rPr>
              <w:t>Type of filial relationship</w:t>
            </w:r>
          </w:p>
        </w:tc>
        <w:tc>
          <w:tcPr>
            <w:tcW w:w="2987" w:type="dxa"/>
            <w:tcBorders>
              <w:bottom w:val="single" w:sz="4" w:space="0" w:color="auto"/>
            </w:tcBorders>
          </w:tcPr>
          <w:p w14:paraId="7CE9D4DD" w14:textId="77777777" w:rsidR="00DD2837" w:rsidRPr="00E869A4" w:rsidRDefault="00F52344" w:rsidP="009D4C5D">
            <w:pPr>
              <w:pStyle w:val="ListParagraph"/>
              <w:numPr>
                <w:ilvl w:val="0"/>
                <w:numId w:val="37"/>
              </w:numPr>
              <w:ind w:left="419" w:hanging="284"/>
              <w:contextualSpacing w:val="0"/>
              <w:rPr>
                <w:rFonts w:ascii="Times New Roman" w:hAnsi="Times New Roman" w:cs="Times New Roman"/>
                <w:sz w:val="21"/>
                <w:szCs w:val="21"/>
              </w:rPr>
            </w:pPr>
            <w:r w:rsidRPr="00E869A4">
              <w:rPr>
                <w:rFonts w:ascii="Times New Roman" w:hAnsi="Times New Roman" w:cs="Times New Roman"/>
                <w:sz w:val="21"/>
                <w:szCs w:val="21"/>
              </w:rPr>
              <w:t xml:space="preserve">Reciprocity: </w:t>
            </w:r>
            <w:r w:rsidR="00DD2837" w:rsidRPr="00E869A4">
              <w:rPr>
                <w:rFonts w:ascii="Times New Roman" w:hAnsi="Times New Roman" w:cs="Times New Roman"/>
                <w:sz w:val="21"/>
                <w:szCs w:val="21"/>
              </w:rPr>
              <w:t>History of mutual sharing and exchange of resources</w:t>
            </w:r>
            <w:r w:rsidRPr="00E869A4">
              <w:rPr>
                <w:rFonts w:ascii="Times New Roman" w:hAnsi="Times New Roman" w:cs="Times New Roman"/>
                <w:sz w:val="21"/>
                <w:szCs w:val="21"/>
              </w:rPr>
              <w:t xml:space="preserve"> </w:t>
            </w:r>
          </w:p>
          <w:p w14:paraId="31982B41" w14:textId="77777777" w:rsidR="00DD2837" w:rsidRPr="00E869A4" w:rsidRDefault="00DD2837" w:rsidP="00384458">
            <w:pPr>
              <w:pStyle w:val="ListParagraph"/>
              <w:ind w:left="584" w:firstLine="0"/>
              <w:contextualSpacing w:val="0"/>
              <w:rPr>
                <w:rFonts w:ascii="Times New Roman" w:hAnsi="Times New Roman" w:cs="Times New Roman"/>
                <w:sz w:val="21"/>
                <w:szCs w:val="21"/>
              </w:rPr>
            </w:pPr>
          </w:p>
        </w:tc>
        <w:tc>
          <w:tcPr>
            <w:tcW w:w="2820" w:type="dxa"/>
            <w:tcBorders>
              <w:bottom w:val="single" w:sz="4" w:space="0" w:color="auto"/>
            </w:tcBorders>
          </w:tcPr>
          <w:p w14:paraId="35C037F4" w14:textId="77777777" w:rsidR="00DD2837" w:rsidRPr="00E869A4" w:rsidRDefault="00DD2837" w:rsidP="009D4C5D">
            <w:pPr>
              <w:pStyle w:val="ListParagraph"/>
              <w:numPr>
                <w:ilvl w:val="0"/>
                <w:numId w:val="37"/>
              </w:numPr>
              <w:ind w:left="419" w:hanging="284"/>
              <w:contextualSpacing w:val="0"/>
              <w:rPr>
                <w:rFonts w:ascii="Times New Roman" w:hAnsi="Times New Roman" w:cs="Times New Roman"/>
                <w:sz w:val="21"/>
                <w:szCs w:val="21"/>
              </w:rPr>
            </w:pPr>
            <w:r w:rsidRPr="00E869A4">
              <w:rPr>
                <w:rFonts w:ascii="Times New Roman" w:hAnsi="Times New Roman" w:cs="Times New Roman"/>
                <w:sz w:val="21"/>
                <w:szCs w:val="21"/>
              </w:rPr>
              <w:t>Divine or supernatural influences</w:t>
            </w:r>
          </w:p>
          <w:p w14:paraId="2A2F4F3A" w14:textId="77777777" w:rsidR="00DD2837" w:rsidRPr="00E869A4" w:rsidRDefault="00DD2837" w:rsidP="009D4C5D">
            <w:pPr>
              <w:pStyle w:val="ListParagraph"/>
              <w:numPr>
                <w:ilvl w:val="0"/>
                <w:numId w:val="37"/>
              </w:numPr>
              <w:ind w:left="419" w:hanging="284"/>
              <w:contextualSpacing w:val="0"/>
              <w:rPr>
                <w:rFonts w:ascii="Times New Roman" w:hAnsi="Times New Roman" w:cs="Times New Roman"/>
                <w:sz w:val="21"/>
                <w:szCs w:val="21"/>
              </w:rPr>
            </w:pPr>
            <w:r w:rsidRPr="00E869A4">
              <w:rPr>
                <w:rFonts w:ascii="Times New Roman" w:hAnsi="Times New Roman" w:cs="Times New Roman"/>
                <w:sz w:val="21"/>
                <w:szCs w:val="21"/>
              </w:rPr>
              <w:t xml:space="preserve">Care provided by a person other than the cared-for person (socialising influence) </w:t>
            </w:r>
          </w:p>
          <w:p w14:paraId="73FF37C3" w14:textId="77777777" w:rsidR="00DD2837" w:rsidRPr="00E869A4" w:rsidRDefault="00DD2837" w:rsidP="009D4C5D">
            <w:pPr>
              <w:pStyle w:val="ListParagraph"/>
              <w:numPr>
                <w:ilvl w:val="0"/>
                <w:numId w:val="37"/>
              </w:numPr>
              <w:ind w:left="419" w:hanging="284"/>
              <w:contextualSpacing w:val="0"/>
              <w:rPr>
                <w:rFonts w:ascii="Times New Roman" w:hAnsi="Times New Roman" w:cs="Times New Roman"/>
                <w:sz w:val="21"/>
                <w:szCs w:val="21"/>
              </w:rPr>
            </w:pPr>
            <w:r w:rsidRPr="00E869A4">
              <w:rPr>
                <w:rFonts w:ascii="Times New Roman" w:hAnsi="Times New Roman" w:cs="Times New Roman"/>
                <w:sz w:val="21"/>
                <w:szCs w:val="21"/>
              </w:rPr>
              <w:t>Care motivated by a sense of civic mindedness</w:t>
            </w:r>
          </w:p>
          <w:p w14:paraId="210B2FEC" w14:textId="77777777" w:rsidR="00DD2837" w:rsidRPr="00E869A4" w:rsidRDefault="00DD2837" w:rsidP="009D4C5D">
            <w:pPr>
              <w:pStyle w:val="ListParagraph"/>
              <w:numPr>
                <w:ilvl w:val="0"/>
                <w:numId w:val="37"/>
              </w:numPr>
              <w:ind w:left="419" w:hanging="284"/>
              <w:contextualSpacing w:val="0"/>
              <w:rPr>
                <w:rFonts w:ascii="Times New Roman" w:hAnsi="Times New Roman" w:cs="Times New Roman"/>
                <w:sz w:val="21"/>
                <w:szCs w:val="21"/>
              </w:rPr>
            </w:pPr>
            <w:r w:rsidRPr="00E869A4">
              <w:rPr>
                <w:rFonts w:ascii="Times New Roman" w:hAnsi="Times New Roman" w:cs="Times New Roman"/>
                <w:sz w:val="21"/>
                <w:szCs w:val="21"/>
              </w:rPr>
              <w:t xml:space="preserve">Care based on love and affection for an older relative </w:t>
            </w:r>
          </w:p>
          <w:p w14:paraId="453A42C8" w14:textId="77777777" w:rsidR="00DD2837" w:rsidRPr="00E869A4" w:rsidRDefault="00DD2837" w:rsidP="00384458">
            <w:pPr>
              <w:pStyle w:val="ListParagraph"/>
              <w:ind w:firstLine="0"/>
              <w:contextualSpacing w:val="0"/>
              <w:rPr>
                <w:rFonts w:ascii="Times New Roman" w:hAnsi="Times New Roman" w:cs="Times New Roman"/>
                <w:sz w:val="21"/>
                <w:szCs w:val="21"/>
              </w:rPr>
            </w:pPr>
          </w:p>
        </w:tc>
      </w:tr>
      <w:tr w:rsidR="00C714D3" w:rsidRPr="00E869A4" w14:paraId="2D0CB08A" w14:textId="77777777" w:rsidTr="00121D9F">
        <w:trPr>
          <w:jc w:val="center"/>
        </w:trPr>
        <w:tc>
          <w:tcPr>
            <w:tcW w:w="2544" w:type="dxa"/>
            <w:tcBorders>
              <w:right w:val="nil"/>
            </w:tcBorders>
            <w:shd w:val="clear" w:color="auto" w:fill="A6A6A6" w:themeFill="background1" w:themeFillShade="A6"/>
          </w:tcPr>
          <w:p w14:paraId="6FB99CA9" w14:textId="77777777" w:rsidR="00121D9F" w:rsidRPr="00E869A4" w:rsidRDefault="00121D9F" w:rsidP="00384458">
            <w:pPr>
              <w:ind w:firstLine="0"/>
              <w:rPr>
                <w:rFonts w:ascii="Times New Roman" w:hAnsi="Times New Roman" w:cs="Times New Roman"/>
                <w:b/>
                <w:sz w:val="21"/>
                <w:szCs w:val="21"/>
              </w:rPr>
            </w:pPr>
          </w:p>
        </w:tc>
        <w:tc>
          <w:tcPr>
            <w:tcW w:w="2990" w:type="dxa"/>
            <w:tcBorders>
              <w:left w:val="nil"/>
              <w:right w:val="nil"/>
            </w:tcBorders>
            <w:shd w:val="clear" w:color="auto" w:fill="A6A6A6" w:themeFill="background1" w:themeFillShade="A6"/>
          </w:tcPr>
          <w:p w14:paraId="3EBBF362" w14:textId="77777777" w:rsidR="00121D9F" w:rsidRPr="00E869A4" w:rsidRDefault="00121D9F" w:rsidP="00384458">
            <w:pPr>
              <w:ind w:firstLine="0"/>
              <w:rPr>
                <w:rFonts w:ascii="Times New Roman" w:hAnsi="Times New Roman" w:cs="Times New Roman"/>
                <w:b/>
                <w:sz w:val="21"/>
                <w:szCs w:val="21"/>
              </w:rPr>
            </w:pPr>
          </w:p>
        </w:tc>
        <w:tc>
          <w:tcPr>
            <w:tcW w:w="2987" w:type="dxa"/>
            <w:tcBorders>
              <w:left w:val="nil"/>
              <w:right w:val="nil"/>
            </w:tcBorders>
            <w:shd w:val="clear" w:color="auto" w:fill="A6A6A6" w:themeFill="background1" w:themeFillShade="A6"/>
          </w:tcPr>
          <w:p w14:paraId="4B74D755" w14:textId="77777777" w:rsidR="00121D9F" w:rsidRPr="00E869A4" w:rsidRDefault="00121D9F" w:rsidP="00384458">
            <w:pPr>
              <w:ind w:firstLine="0"/>
              <w:rPr>
                <w:rFonts w:ascii="Times New Roman" w:hAnsi="Times New Roman" w:cs="Times New Roman"/>
                <w:b/>
                <w:sz w:val="21"/>
                <w:szCs w:val="21"/>
              </w:rPr>
            </w:pPr>
          </w:p>
        </w:tc>
        <w:tc>
          <w:tcPr>
            <w:tcW w:w="2820" w:type="dxa"/>
            <w:tcBorders>
              <w:left w:val="nil"/>
            </w:tcBorders>
            <w:shd w:val="clear" w:color="auto" w:fill="A6A6A6" w:themeFill="background1" w:themeFillShade="A6"/>
          </w:tcPr>
          <w:p w14:paraId="5C75C4D3" w14:textId="77777777" w:rsidR="00121D9F" w:rsidRPr="00E869A4" w:rsidRDefault="00121D9F" w:rsidP="00384458">
            <w:pPr>
              <w:ind w:firstLine="0"/>
              <w:rPr>
                <w:rFonts w:ascii="Times New Roman" w:hAnsi="Times New Roman" w:cs="Times New Roman"/>
                <w:b/>
                <w:sz w:val="21"/>
                <w:szCs w:val="21"/>
              </w:rPr>
            </w:pPr>
          </w:p>
        </w:tc>
      </w:tr>
      <w:tr w:rsidR="00C714D3" w:rsidRPr="00E869A4" w14:paraId="09C44A5E" w14:textId="77777777" w:rsidTr="00121D9F">
        <w:trPr>
          <w:jc w:val="center"/>
        </w:trPr>
        <w:tc>
          <w:tcPr>
            <w:tcW w:w="2544" w:type="dxa"/>
            <w:vMerge w:val="restart"/>
            <w:vAlign w:val="center"/>
          </w:tcPr>
          <w:p w14:paraId="5ADD6876" w14:textId="77777777" w:rsidR="00121D9F" w:rsidRPr="00E869A4" w:rsidRDefault="00121D9F" w:rsidP="00384458">
            <w:pPr>
              <w:ind w:firstLine="0"/>
              <w:rPr>
                <w:rFonts w:ascii="Times New Roman" w:hAnsi="Times New Roman" w:cs="Times New Roman"/>
                <w:b/>
                <w:sz w:val="21"/>
                <w:szCs w:val="21"/>
              </w:rPr>
            </w:pPr>
            <w:r w:rsidRPr="00E869A4">
              <w:rPr>
                <w:rFonts w:ascii="Times New Roman" w:hAnsi="Times New Roman" w:cs="Times New Roman"/>
                <w:b/>
                <w:sz w:val="21"/>
                <w:szCs w:val="21"/>
              </w:rPr>
              <w:t>APPRAISAL</w:t>
            </w:r>
          </w:p>
          <w:p w14:paraId="7AFD57E5" w14:textId="3F285763" w:rsidR="00121D9F" w:rsidRPr="00E869A4" w:rsidRDefault="00121D9F" w:rsidP="0068505F">
            <w:pPr>
              <w:ind w:firstLine="0"/>
              <w:rPr>
                <w:rFonts w:ascii="Times New Roman" w:hAnsi="Times New Roman" w:cs="Times New Roman"/>
                <w:sz w:val="21"/>
                <w:szCs w:val="21"/>
              </w:rPr>
            </w:pPr>
            <w:r w:rsidRPr="00E869A4">
              <w:rPr>
                <w:rFonts w:ascii="Times New Roman" w:hAnsi="Times New Roman" w:cs="Times New Roman"/>
                <w:sz w:val="21"/>
                <w:szCs w:val="21"/>
              </w:rPr>
              <w:t>Associated feelings</w:t>
            </w:r>
            <w:r w:rsidR="00155828" w:rsidRPr="00E869A4">
              <w:rPr>
                <w:rFonts w:ascii="Times New Roman" w:hAnsi="Times New Roman" w:cs="Times New Roman"/>
                <w:sz w:val="21"/>
                <w:szCs w:val="21"/>
              </w:rPr>
              <w:t xml:space="preserve"> and sentiments</w:t>
            </w:r>
            <w:r w:rsidRPr="00E869A4">
              <w:rPr>
                <w:rFonts w:ascii="Times New Roman" w:hAnsi="Times New Roman" w:cs="Times New Roman"/>
                <w:sz w:val="21"/>
                <w:szCs w:val="21"/>
              </w:rPr>
              <w:t xml:space="preserve"> (care</w:t>
            </w:r>
            <w:r w:rsidR="0068505F" w:rsidRPr="00E869A4">
              <w:rPr>
                <w:rFonts w:ascii="Times New Roman" w:hAnsi="Times New Roman" w:cs="Times New Roman"/>
                <w:sz w:val="21"/>
                <w:szCs w:val="21"/>
              </w:rPr>
              <w:t xml:space="preserve"> </w:t>
            </w:r>
            <w:r w:rsidR="000D483D" w:rsidRPr="00E869A4">
              <w:rPr>
                <w:rFonts w:ascii="Times New Roman" w:hAnsi="Times New Roman" w:cs="Times New Roman"/>
                <w:sz w:val="21"/>
                <w:szCs w:val="21"/>
              </w:rPr>
              <w:t>experience</w:t>
            </w:r>
            <w:r w:rsidRPr="00E869A4">
              <w:rPr>
                <w:rFonts w:ascii="Times New Roman" w:hAnsi="Times New Roman" w:cs="Times New Roman"/>
                <w:sz w:val="21"/>
                <w:szCs w:val="21"/>
              </w:rPr>
              <w:t xml:space="preserve">) and </w:t>
            </w:r>
            <w:r w:rsidR="00155828" w:rsidRPr="00E869A4">
              <w:rPr>
                <w:rFonts w:ascii="Times New Roman" w:hAnsi="Times New Roman" w:cs="Times New Roman"/>
                <w:sz w:val="21"/>
                <w:szCs w:val="21"/>
              </w:rPr>
              <w:t xml:space="preserve">concomitant </w:t>
            </w:r>
            <w:r w:rsidRPr="00E869A4">
              <w:rPr>
                <w:rFonts w:ascii="Times New Roman" w:hAnsi="Times New Roman" w:cs="Times New Roman"/>
                <w:sz w:val="21"/>
                <w:szCs w:val="21"/>
              </w:rPr>
              <w:t>caregiving behaviour (coping / care management response)</w:t>
            </w:r>
          </w:p>
        </w:tc>
        <w:tc>
          <w:tcPr>
            <w:tcW w:w="2990" w:type="dxa"/>
          </w:tcPr>
          <w:p w14:paraId="6421F502"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b/>
                <w:sz w:val="21"/>
                <w:szCs w:val="21"/>
              </w:rPr>
              <w:t>Mixed</w:t>
            </w:r>
            <w:r w:rsidRPr="00E869A4">
              <w:rPr>
                <w:rFonts w:ascii="Times New Roman" w:hAnsi="Times New Roman" w:cs="Times New Roman"/>
                <w:sz w:val="21"/>
                <w:szCs w:val="21"/>
              </w:rPr>
              <w:t xml:space="preserve">: May display forbearance and temperance despite the challenges experienced in providing care support; may feel ambivalent about care provision or merely tolerate the experience; </w:t>
            </w:r>
          </w:p>
          <w:p w14:paraId="05C141A5" w14:textId="77777777" w:rsidR="00121D9F" w:rsidRPr="00E869A4" w:rsidRDefault="00121D9F" w:rsidP="00384458">
            <w:pPr>
              <w:ind w:firstLine="0"/>
              <w:rPr>
                <w:rFonts w:ascii="Times New Roman" w:hAnsi="Times New Roman" w:cs="Times New Roman"/>
                <w:sz w:val="21"/>
                <w:szCs w:val="21"/>
              </w:rPr>
            </w:pPr>
          </w:p>
          <w:p w14:paraId="62000A57" w14:textId="77777777" w:rsidR="00121D9F" w:rsidRPr="00E869A4" w:rsidRDefault="00121D9F" w:rsidP="00384458">
            <w:pPr>
              <w:ind w:firstLine="0"/>
              <w:rPr>
                <w:rFonts w:ascii="Times New Roman" w:hAnsi="Times New Roman" w:cs="Times New Roman"/>
                <w:sz w:val="21"/>
                <w:szCs w:val="21"/>
              </w:rPr>
            </w:pPr>
          </w:p>
          <w:p w14:paraId="36999CAC"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b/>
                <w:sz w:val="21"/>
                <w:szCs w:val="21"/>
              </w:rPr>
              <w:t>Neutral</w:t>
            </w:r>
            <w:r w:rsidRPr="00E869A4">
              <w:rPr>
                <w:rFonts w:ascii="Times New Roman" w:hAnsi="Times New Roman" w:cs="Times New Roman"/>
                <w:sz w:val="21"/>
                <w:szCs w:val="21"/>
              </w:rPr>
              <w:t>: may view family elder care as neither positive nor negative but rather as a matter of course.</w:t>
            </w:r>
          </w:p>
          <w:p w14:paraId="3E1C4FFF" w14:textId="77777777" w:rsidR="00121D9F" w:rsidRPr="00E869A4" w:rsidRDefault="00121D9F" w:rsidP="00384458">
            <w:pPr>
              <w:ind w:firstLine="0"/>
              <w:rPr>
                <w:rFonts w:ascii="Times New Roman" w:hAnsi="Times New Roman" w:cs="Times New Roman"/>
                <w:sz w:val="21"/>
                <w:szCs w:val="21"/>
              </w:rPr>
            </w:pPr>
          </w:p>
          <w:p w14:paraId="5F35B77C"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b/>
                <w:sz w:val="21"/>
                <w:szCs w:val="21"/>
              </w:rPr>
              <w:t>Negative</w:t>
            </w:r>
            <w:r w:rsidRPr="00E869A4">
              <w:rPr>
                <w:rFonts w:ascii="Times New Roman" w:hAnsi="Times New Roman" w:cs="Times New Roman"/>
                <w:sz w:val="21"/>
                <w:szCs w:val="21"/>
              </w:rPr>
              <w:t>: Compelled to care by their circumstances and/or a desire to obtain material benefits; the caregiver may appear unenthusiastic and reluctant about providing care; may feel entrapped and seek opportunities to resist or escape caregiving or avoid providing care altogether.</w:t>
            </w:r>
          </w:p>
        </w:tc>
        <w:tc>
          <w:tcPr>
            <w:tcW w:w="2987" w:type="dxa"/>
          </w:tcPr>
          <w:p w14:paraId="2ACD05B0"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b/>
                <w:sz w:val="21"/>
                <w:szCs w:val="21"/>
              </w:rPr>
              <w:t>Mixed</w:t>
            </w:r>
            <w:r w:rsidRPr="00E869A4">
              <w:rPr>
                <w:rFonts w:ascii="Times New Roman" w:hAnsi="Times New Roman" w:cs="Times New Roman"/>
                <w:sz w:val="21"/>
                <w:szCs w:val="21"/>
              </w:rPr>
              <w:t xml:space="preserve">: May display forbearance and temperance despite the challenges experienced in providing care support; may feel ambivalent about care provision or merely tolerate the experience; </w:t>
            </w:r>
          </w:p>
          <w:p w14:paraId="165FEB29" w14:textId="77777777" w:rsidR="00121D9F" w:rsidRPr="00E869A4" w:rsidRDefault="00121D9F" w:rsidP="00384458">
            <w:pPr>
              <w:ind w:firstLine="0"/>
              <w:rPr>
                <w:rFonts w:ascii="Times New Roman" w:hAnsi="Times New Roman" w:cs="Times New Roman"/>
                <w:sz w:val="21"/>
                <w:szCs w:val="21"/>
              </w:rPr>
            </w:pPr>
          </w:p>
          <w:p w14:paraId="78CD3C8A" w14:textId="77777777" w:rsidR="00121D9F" w:rsidRPr="00E869A4" w:rsidRDefault="00121D9F" w:rsidP="00384458">
            <w:pPr>
              <w:ind w:firstLine="0"/>
              <w:rPr>
                <w:rFonts w:ascii="Times New Roman" w:hAnsi="Times New Roman" w:cs="Times New Roman"/>
                <w:sz w:val="21"/>
                <w:szCs w:val="21"/>
              </w:rPr>
            </w:pPr>
          </w:p>
          <w:p w14:paraId="74986042"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b/>
                <w:sz w:val="21"/>
                <w:szCs w:val="21"/>
              </w:rPr>
              <w:t>Neutral</w:t>
            </w:r>
            <w:r w:rsidRPr="00E869A4">
              <w:rPr>
                <w:rFonts w:ascii="Times New Roman" w:hAnsi="Times New Roman" w:cs="Times New Roman"/>
                <w:sz w:val="21"/>
                <w:szCs w:val="21"/>
              </w:rPr>
              <w:t>: may view family elder care as neither positive nor negative but rather as a matter of course.</w:t>
            </w:r>
          </w:p>
        </w:tc>
        <w:tc>
          <w:tcPr>
            <w:tcW w:w="2820" w:type="dxa"/>
          </w:tcPr>
          <w:p w14:paraId="14B1B3FF"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b/>
                <w:sz w:val="21"/>
                <w:szCs w:val="21"/>
              </w:rPr>
              <w:t>Mixed:</w:t>
            </w:r>
            <w:r w:rsidRPr="00E869A4">
              <w:rPr>
                <w:rFonts w:ascii="Times New Roman" w:hAnsi="Times New Roman" w:cs="Times New Roman"/>
                <w:sz w:val="21"/>
                <w:szCs w:val="21"/>
              </w:rPr>
              <w:t xml:space="preserve"> May display forbearance and temperance despite the challenges experienced in providing care support; may feel ambivalent about care provision or merely tolerate the experience; </w:t>
            </w:r>
          </w:p>
          <w:p w14:paraId="00530665" w14:textId="77777777" w:rsidR="00121D9F" w:rsidRPr="00E869A4" w:rsidRDefault="00121D9F" w:rsidP="00384458">
            <w:pPr>
              <w:ind w:firstLine="0"/>
              <w:rPr>
                <w:rFonts w:ascii="Times New Roman" w:hAnsi="Times New Roman" w:cs="Times New Roman"/>
                <w:sz w:val="21"/>
                <w:szCs w:val="21"/>
              </w:rPr>
            </w:pPr>
          </w:p>
          <w:p w14:paraId="55A84BC4" w14:textId="77777777" w:rsidR="000D483D" w:rsidRPr="00E869A4" w:rsidRDefault="000D483D" w:rsidP="00384458">
            <w:pPr>
              <w:ind w:firstLine="0"/>
              <w:rPr>
                <w:rFonts w:ascii="Times New Roman" w:hAnsi="Times New Roman" w:cs="Times New Roman"/>
                <w:b/>
                <w:sz w:val="21"/>
                <w:szCs w:val="21"/>
              </w:rPr>
            </w:pPr>
          </w:p>
          <w:p w14:paraId="0C29127B" w14:textId="77777777" w:rsidR="00121D9F" w:rsidRPr="00E869A4" w:rsidRDefault="00121D9F" w:rsidP="00384458">
            <w:pPr>
              <w:ind w:firstLine="0"/>
              <w:rPr>
                <w:rFonts w:ascii="Times New Roman" w:hAnsi="Times New Roman" w:cs="Times New Roman"/>
                <w:b/>
                <w:sz w:val="21"/>
                <w:szCs w:val="21"/>
              </w:rPr>
            </w:pPr>
            <w:r w:rsidRPr="00E869A4">
              <w:rPr>
                <w:rFonts w:ascii="Times New Roman" w:hAnsi="Times New Roman" w:cs="Times New Roman"/>
                <w:b/>
                <w:sz w:val="21"/>
                <w:szCs w:val="21"/>
              </w:rPr>
              <w:t>Neutral</w:t>
            </w:r>
            <w:r w:rsidRPr="00E869A4">
              <w:rPr>
                <w:rFonts w:ascii="Times New Roman" w:hAnsi="Times New Roman" w:cs="Times New Roman"/>
                <w:sz w:val="21"/>
                <w:szCs w:val="21"/>
              </w:rPr>
              <w:t>: may view family elder care as neither positive nor negative but rather as a matter of course.</w:t>
            </w:r>
          </w:p>
          <w:p w14:paraId="1EB6BE98" w14:textId="77777777" w:rsidR="00121D9F" w:rsidRPr="00E869A4" w:rsidRDefault="00121D9F" w:rsidP="00384458">
            <w:pPr>
              <w:ind w:firstLine="0"/>
              <w:rPr>
                <w:rFonts w:ascii="Times New Roman" w:hAnsi="Times New Roman" w:cs="Times New Roman"/>
                <w:b/>
                <w:sz w:val="21"/>
                <w:szCs w:val="21"/>
              </w:rPr>
            </w:pPr>
          </w:p>
          <w:p w14:paraId="63BAA121" w14:textId="77777777" w:rsidR="00121D9F" w:rsidRPr="00E869A4" w:rsidRDefault="00121D9F" w:rsidP="00384458">
            <w:pPr>
              <w:ind w:firstLine="0"/>
              <w:rPr>
                <w:rFonts w:ascii="Times New Roman" w:hAnsi="Times New Roman" w:cs="Times New Roman"/>
                <w:sz w:val="21"/>
                <w:szCs w:val="21"/>
              </w:rPr>
            </w:pPr>
            <w:r w:rsidRPr="00E869A4">
              <w:rPr>
                <w:rFonts w:ascii="Times New Roman" w:hAnsi="Times New Roman" w:cs="Times New Roman"/>
                <w:b/>
                <w:sz w:val="21"/>
                <w:szCs w:val="21"/>
              </w:rPr>
              <w:t>Positive</w:t>
            </w:r>
            <w:r w:rsidRPr="00E869A4">
              <w:rPr>
                <w:rFonts w:ascii="Times New Roman" w:hAnsi="Times New Roman" w:cs="Times New Roman"/>
                <w:sz w:val="21"/>
                <w:szCs w:val="21"/>
              </w:rPr>
              <w:t xml:space="preserve">: Feels enthusiastic about providing care; provides care out of feelings of goodwill (i.e. a disposition of kindness, compassion and empathy); the caregiver is committed to giving family care support for as long as possible. </w:t>
            </w:r>
          </w:p>
        </w:tc>
      </w:tr>
      <w:tr w:rsidR="00121D9F" w:rsidRPr="00E869A4" w14:paraId="231D7EF4" w14:textId="77777777" w:rsidTr="00821747">
        <w:trPr>
          <w:jc w:val="center"/>
        </w:trPr>
        <w:tc>
          <w:tcPr>
            <w:tcW w:w="2544" w:type="dxa"/>
            <w:vMerge/>
          </w:tcPr>
          <w:p w14:paraId="4A65AC00" w14:textId="77777777" w:rsidR="00121D9F" w:rsidRPr="00E869A4" w:rsidRDefault="00121D9F" w:rsidP="00A35FF8">
            <w:pPr>
              <w:rPr>
                <w:rFonts w:ascii="Times New Roman" w:hAnsi="Times New Roman" w:cs="Times New Roman"/>
                <w:b/>
                <w:sz w:val="21"/>
                <w:szCs w:val="21"/>
              </w:rPr>
            </w:pPr>
          </w:p>
        </w:tc>
        <w:tc>
          <w:tcPr>
            <w:tcW w:w="8797" w:type="dxa"/>
            <w:gridSpan w:val="3"/>
          </w:tcPr>
          <w:p w14:paraId="39844A27" w14:textId="77777777" w:rsidR="00121D9F" w:rsidRPr="00E869A4" w:rsidRDefault="00121D9F" w:rsidP="00121D9F">
            <w:pPr>
              <w:jc w:val="center"/>
              <w:rPr>
                <w:rFonts w:ascii="Times New Roman" w:hAnsi="Times New Roman" w:cs="Times New Roman"/>
                <w:b/>
                <w:sz w:val="21"/>
                <w:szCs w:val="21"/>
              </w:rPr>
            </w:pPr>
            <w:r w:rsidRPr="00E869A4">
              <w:rPr>
                <w:rFonts w:ascii="Times New Roman" w:hAnsi="Times New Roman" w:cs="Times New Roman"/>
                <w:b/>
                <w:sz w:val="21"/>
                <w:szCs w:val="21"/>
              </w:rPr>
              <w:t>AMBIVALENCE</w:t>
            </w:r>
          </w:p>
        </w:tc>
      </w:tr>
    </w:tbl>
    <w:p w14:paraId="3D9C26BD" w14:textId="77777777" w:rsidR="00DD2837" w:rsidRPr="00E869A4" w:rsidRDefault="00DD2837" w:rsidP="00A35FF8">
      <w:pPr>
        <w:rPr>
          <w:rFonts w:ascii="Times New Roman" w:hAnsi="Times New Roman" w:cs="Times New Roman"/>
        </w:rPr>
      </w:pPr>
    </w:p>
    <w:p w14:paraId="3CA601FE" w14:textId="77777777" w:rsidR="000D483D" w:rsidRPr="00E869A4" w:rsidRDefault="000D483D" w:rsidP="00F52D45">
      <w:pPr>
        <w:rPr>
          <w:rFonts w:ascii="Times New Roman" w:hAnsi="Times New Roman" w:cs="Times New Roman"/>
        </w:rPr>
        <w:sectPr w:rsidR="000D483D" w:rsidRPr="00E869A4" w:rsidSect="000D483D">
          <w:pgSz w:w="12240" w:h="20160" w:code="5"/>
          <w:pgMar w:top="1440" w:right="851" w:bottom="1440" w:left="1134" w:header="720" w:footer="720" w:gutter="0"/>
          <w:cols w:space="720"/>
          <w:docGrid w:linePitch="326"/>
        </w:sectPr>
      </w:pPr>
    </w:p>
    <w:p w14:paraId="57286121" w14:textId="77777777" w:rsidR="002B35F1" w:rsidRPr="00E869A4" w:rsidRDefault="00E75BAF" w:rsidP="00D20B2D">
      <w:pPr>
        <w:pStyle w:val="Heading1"/>
        <w:rPr>
          <w:lang w:val="en-GB"/>
        </w:rPr>
      </w:pPr>
      <w:bookmarkStart w:id="311" w:name="_Toc40436537"/>
      <w:r w:rsidRPr="00E869A4">
        <w:rPr>
          <w:lang w:val="en-GB"/>
        </w:rPr>
        <w:lastRenderedPageBreak/>
        <w:t xml:space="preserve">CHAPTER </w:t>
      </w:r>
      <w:r w:rsidR="007E0B8D" w:rsidRPr="00E869A4">
        <w:rPr>
          <w:lang w:val="en-GB"/>
        </w:rPr>
        <w:t>7</w:t>
      </w:r>
      <w:r w:rsidR="002B35F1" w:rsidRPr="00E869A4">
        <w:rPr>
          <w:lang w:val="en-GB"/>
        </w:rPr>
        <w:t xml:space="preserve"> – </w:t>
      </w:r>
      <w:r w:rsidR="00471E72" w:rsidRPr="00E869A4">
        <w:rPr>
          <w:lang w:val="en-GB"/>
        </w:rPr>
        <w:t xml:space="preserve">QUALITATIVE </w:t>
      </w:r>
      <w:r w:rsidRPr="00E869A4">
        <w:rPr>
          <w:lang w:val="en-GB"/>
        </w:rPr>
        <w:t>RESULTS</w:t>
      </w:r>
      <w:bookmarkEnd w:id="311"/>
    </w:p>
    <w:p w14:paraId="56C35810" w14:textId="35D6937E" w:rsidR="00725205" w:rsidRPr="00E869A4" w:rsidRDefault="00155828" w:rsidP="00D20B2D">
      <w:pPr>
        <w:pStyle w:val="Heading1"/>
        <w:rPr>
          <w:lang w:val="en-GB"/>
        </w:rPr>
      </w:pPr>
      <w:bookmarkStart w:id="312" w:name="_Toc40436538"/>
      <w:r w:rsidRPr="00E869A4">
        <w:rPr>
          <w:lang w:val="en-GB"/>
        </w:rPr>
        <w:t xml:space="preserve">EXPERIENCES </w:t>
      </w:r>
      <w:r w:rsidR="00725205" w:rsidRPr="00E869A4">
        <w:rPr>
          <w:lang w:val="en-GB"/>
        </w:rPr>
        <w:t>OF CARE</w:t>
      </w:r>
      <w:bookmarkEnd w:id="312"/>
    </w:p>
    <w:p w14:paraId="1F163302" w14:textId="77777777" w:rsidR="00725205" w:rsidRPr="00E869A4" w:rsidRDefault="00725205" w:rsidP="00A35FF8">
      <w:pPr>
        <w:autoSpaceDE w:val="0"/>
        <w:autoSpaceDN w:val="0"/>
        <w:adjustRightInd w:val="0"/>
        <w:rPr>
          <w:rFonts w:ascii="Times New Roman" w:hAnsi="Times New Roman" w:cs="Times New Roman"/>
          <w:b/>
          <w:szCs w:val="24"/>
        </w:rPr>
      </w:pPr>
    </w:p>
    <w:p w14:paraId="31AF9B5C" w14:textId="77777777" w:rsidR="00725205" w:rsidRPr="00E869A4" w:rsidRDefault="00725205" w:rsidP="00483F2F">
      <w:pPr>
        <w:ind w:firstLine="0"/>
      </w:pPr>
      <w:r w:rsidRPr="00E869A4">
        <w:t>Research Question 2:</w:t>
      </w:r>
    </w:p>
    <w:p w14:paraId="3C2940EA" w14:textId="77777777" w:rsidR="009800E0" w:rsidRPr="00E869A4" w:rsidRDefault="009800E0" w:rsidP="00483F2F">
      <w:pPr>
        <w:autoSpaceDE w:val="0"/>
        <w:autoSpaceDN w:val="0"/>
        <w:adjustRightInd w:val="0"/>
        <w:ind w:firstLine="0"/>
        <w:rPr>
          <w:rFonts w:ascii="Times New Roman" w:hAnsi="Times New Roman" w:cs="Times New Roman"/>
          <w:i/>
          <w:szCs w:val="24"/>
        </w:rPr>
      </w:pPr>
    </w:p>
    <w:p w14:paraId="38E7E4C6" w14:textId="1C523AF0" w:rsidR="00725205" w:rsidRPr="00E869A4" w:rsidRDefault="00725205" w:rsidP="000D46EC">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How do family carers and their frail older relatives e</w:t>
      </w:r>
      <w:r w:rsidR="000D46EC" w:rsidRPr="00E869A4">
        <w:rPr>
          <w:rFonts w:ascii="Times New Roman" w:hAnsi="Times New Roman" w:cs="Times New Roman"/>
          <w:szCs w:val="24"/>
        </w:rPr>
        <w:t>xperience the caring situation?</w:t>
      </w:r>
      <w:r w:rsidR="00532299" w:rsidRPr="00E869A4">
        <w:rPr>
          <w:rFonts w:ascii="Times New Roman" w:hAnsi="Times New Roman" w:cs="Times New Roman"/>
          <w:szCs w:val="24"/>
        </w:rPr>
        <w:t xml:space="preserve"> (</w:t>
      </w:r>
      <w:r w:rsidRPr="00E869A4">
        <w:rPr>
          <w:rFonts w:ascii="Times New Roman" w:hAnsi="Times New Roman" w:cs="Times New Roman"/>
          <w:szCs w:val="24"/>
        </w:rPr>
        <w:t>What are the benefits and challenges of providing or receiving care?</w:t>
      </w:r>
      <w:r w:rsidR="00532299" w:rsidRPr="00E869A4">
        <w:rPr>
          <w:rFonts w:ascii="Times New Roman" w:hAnsi="Times New Roman" w:cs="Times New Roman"/>
          <w:szCs w:val="24"/>
        </w:rPr>
        <w:t>)</w:t>
      </w:r>
    </w:p>
    <w:p w14:paraId="33405D4B" w14:textId="77777777" w:rsidR="00725205" w:rsidRPr="00E869A4" w:rsidRDefault="00725205" w:rsidP="000D46EC">
      <w:pPr>
        <w:autoSpaceDE w:val="0"/>
        <w:autoSpaceDN w:val="0"/>
        <w:adjustRightInd w:val="0"/>
        <w:rPr>
          <w:rFonts w:ascii="Times New Roman" w:hAnsi="Times New Roman" w:cs="Times New Roman"/>
          <w:szCs w:val="24"/>
        </w:rPr>
      </w:pPr>
    </w:p>
    <w:p w14:paraId="4747C629" w14:textId="2F497E6D" w:rsidR="00725205" w:rsidRPr="00E869A4" w:rsidRDefault="00D77F0B" w:rsidP="00175C3E">
      <w:pPr>
        <w:pStyle w:val="Heading2"/>
      </w:pPr>
      <w:bookmarkStart w:id="313" w:name="_Toc40436539"/>
      <w:r w:rsidRPr="00E869A4">
        <w:t>7</w:t>
      </w:r>
      <w:r w:rsidR="003E3699" w:rsidRPr="00E869A4">
        <w:t>.1 INTRODUCTION</w:t>
      </w:r>
      <w:bookmarkEnd w:id="313"/>
    </w:p>
    <w:p w14:paraId="2789EA6A" w14:textId="77777777" w:rsidR="00725205" w:rsidRPr="00E869A4" w:rsidRDefault="00725205" w:rsidP="00B61191">
      <w:pPr>
        <w:ind w:left="567" w:firstLine="0"/>
      </w:pPr>
    </w:p>
    <w:p w14:paraId="70F29DFA" w14:textId="6E9AAA49"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In the previous </w:t>
      </w:r>
      <w:r w:rsidR="0081021A" w:rsidRPr="00E869A4">
        <w:rPr>
          <w:rFonts w:ascii="Times New Roman" w:hAnsi="Times New Roman" w:cs="Times New Roman"/>
          <w:szCs w:val="24"/>
        </w:rPr>
        <w:t>chapter,</w:t>
      </w:r>
      <w:r w:rsidRPr="00E869A4">
        <w:rPr>
          <w:rFonts w:ascii="Times New Roman" w:hAnsi="Times New Roman" w:cs="Times New Roman"/>
          <w:szCs w:val="24"/>
        </w:rPr>
        <w:t xml:space="preserve"> I presented the main factors that contributed to caregiver </w:t>
      </w:r>
      <w:r w:rsidR="00970EBC" w:rsidRPr="00E869A4">
        <w:rPr>
          <w:rFonts w:ascii="Times New Roman" w:hAnsi="Times New Roman" w:cs="Times New Roman"/>
          <w:szCs w:val="24"/>
        </w:rPr>
        <w:t xml:space="preserve">role </w:t>
      </w:r>
      <w:r w:rsidR="0081021A" w:rsidRPr="00E869A4">
        <w:rPr>
          <w:rFonts w:ascii="Times New Roman" w:hAnsi="Times New Roman" w:cs="Times New Roman"/>
          <w:szCs w:val="24"/>
        </w:rPr>
        <w:t>acquisition, which emerged</w:t>
      </w:r>
      <w:r w:rsidRPr="00E869A4">
        <w:rPr>
          <w:rFonts w:ascii="Times New Roman" w:hAnsi="Times New Roman" w:cs="Times New Roman"/>
          <w:szCs w:val="24"/>
        </w:rPr>
        <w:t xml:space="preserve"> from the interviews and focus groups. Three main categories of determinants were identified which were generally associated with a particular type of care, namely: </w:t>
      </w:r>
      <w:r w:rsidRPr="00E869A4">
        <w:rPr>
          <w:rFonts w:ascii="Times New Roman" w:hAnsi="Times New Roman" w:cs="Times New Roman"/>
          <w:i/>
          <w:szCs w:val="24"/>
        </w:rPr>
        <w:t>required care, requited care</w:t>
      </w:r>
      <w:r w:rsidRPr="00E869A4">
        <w:rPr>
          <w:rFonts w:ascii="Times New Roman" w:hAnsi="Times New Roman" w:cs="Times New Roman"/>
          <w:szCs w:val="24"/>
        </w:rPr>
        <w:t xml:space="preserve"> and </w:t>
      </w:r>
      <w:r w:rsidRPr="00E869A4">
        <w:rPr>
          <w:rFonts w:ascii="Times New Roman" w:hAnsi="Times New Roman" w:cs="Times New Roman"/>
          <w:i/>
          <w:szCs w:val="24"/>
        </w:rPr>
        <w:t>inspired care</w:t>
      </w:r>
      <w:r w:rsidRPr="00E869A4">
        <w:rPr>
          <w:rFonts w:ascii="Times New Roman" w:hAnsi="Times New Roman" w:cs="Times New Roman"/>
          <w:szCs w:val="24"/>
        </w:rPr>
        <w:t xml:space="preserve">. I also </w:t>
      </w:r>
      <w:r w:rsidR="0081021A" w:rsidRPr="00E869A4">
        <w:rPr>
          <w:rFonts w:ascii="Times New Roman" w:hAnsi="Times New Roman" w:cs="Times New Roman"/>
          <w:szCs w:val="24"/>
        </w:rPr>
        <w:t>presented</w:t>
      </w:r>
      <w:r w:rsidRPr="00E869A4">
        <w:rPr>
          <w:rFonts w:ascii="Times New Roman" w:hAnsi="Times New Roman" w:cs="Times New Roman"/>
          <w:szCs w:val="24"/>
        </w:rPr>
        <w:t xml:space="preserve"> some initial observations about how these groups of determining factors may</w:t>
      </w:r>
      <w:r w:rsidR="00970EBC" w:rsidRPr="00E869A4">
        <w:rPr>
          <w:rFonts w:ascii="Times New Roman" w:hAnsi="Times New Roman" w:cs="Times New Roman"/>
          <w:szCs w:val="24"/>
        </w:rPr>
        <w:t xml:space="preserve"> be linked to the family car</w:t>
      </w:r>
      <w:r w:rsidRPr="00E869A4">
        <w:rPr>
          <w:rFonts w:ascii="Times New Roman" w:hAnsi="Times New Roman" w:cs="Times New Roman"/>
          <w:szCs w:val="24"/>
        </w:rPr>
        <w:t xml:space="preserve">er’s </w:t>
      </w:r>
      <w:r w:rsidR="00155828" w:rsidRPr="00E869A4">
        <w:rPr>
          <w:rFonts w:ascii="Times New Roman" w:hAnsi="Times New Roman" w:cs="Times New Roman"/>
          <w:szCs w:val="24"/>
        </w:rPr>
        <w:t xml:space="preserve">experience </w:t>
      </w:r>
      <w:r w:rsidRPr="00E869A4">
        <w:rPr>
          <w:rFonts w:ascii="Times New Roman" w:hAnsi="Times New Roman" w:cs="Times New Roman"/>
          <w:szCs w:val="24"/>
        </w:rPr>
        <w:t xml:space="preserve">of care. In this </w:t>
      </w:r>
      <w:r w:rsidR="0081021A" w:rsidRPr="00E869A4">
        <w:rPr>
          <w:rFonts w:ascii="Times New Roman" w:hAnsi="Times New Roman" w:cs="Times New Roman"/>
          <w:szCs w:val="24"/>
        </w:rPr>
        <w:t>chapter,</w:t>
      </w:r>
      <w:r w:rsidRPr="00E869A4">
        <w:rPr>
          <w:rFonts w:ascii="Times New Roman" w:hAnsi="Times New Roman" w:cs="Times New Roman"/>
          <w:szCs w:val="24"/>
        </w:rPr>
        <w:t xml:space="preserve"> I elaborate on those connections. </w:t>
      </w:r>
    </w:p>
    <w:p w14:paraId="26A365E0" w14:textId="77777777" w:rsidR="00725205" w:rsidRPr="00E869A4" w:rsidRDefault="00725205" w:rsidP="00A35FF8">
      <w:pPr>
        <w:autoSpaceDE w:val="0"/>
        <w:autoSpaceDN w:val="0"/>
        <w:adjustRightInd w:val="0"/>
        <w:rPr>
          <w:rFonts w:ascii="Times New Roman" w:hAnsi="Times New Roman" w:cs="Times New Roman"/>
          <w:szCs w:val="24"/>
        </w:rPr>
      </w:pPr>
    </w:p>
    <w:p w14:paraId="70A6FFD2" w14:textId="2A270F5F" w:rsidR="00CF6283" w:rsidRPr="00E869A4" w:rsidRDefault="00725205" w:rsidP="001D2CE3">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The main focus of the present chapter is to describe how participants (older </w:t>
      </w:r>
      <w:r w:rsidR="00017799" w:rsidRPr="00E869A4">
        <w:rPr>
          <w:rFonts w:ascii="Times New Roman" w:hAnsi="Times New Roman" w:cs="Times New Roman"/>
          <w:szCs w:val="24"/>
        </w:rPr>
        <w:t>care recipient</w:t>
      </w:r>
      <w:r w:rsidRPr="00E869A4">
        <w:rPr>
          <w:rFonts w:ascii="Times New Roman" w:hAnsi="Times New Roman" w:cs="Times New Roman"/>
          <w:szCs w:val="24"/>
        </w:rPr>
        <w:t xml:space="preserve">s, family caregivers as well as paid </w:t>
      </w:r>
      <w:r w:rsidR="003957F8" w:rsidRPr="00E869A4">
        <w:rPr>
          <w:rFonts w:ascii="Times New Roman" w:hAnsi="Times New Roman" w:cs="Times New Roman"/>
          <w:szCs w:val="24"/>
        </w:rPr>
        <w:t>care worker</w:t>
      </w:r>
      <w:r w:rsidRPr="00E869A4">
        <w:rPr>
          <w:rFonts w:ascii="Times New Roman" w:hAnsi="Times New Roman" w:cs="Times New Roman"/>
          <w:szCs w:val="24"/>
        </w:rPr>
        <w:t xml:space="preserve">s) experienced elder care. With respect to the family and paid caregivers, positive aspects of care were either: a) </w:t>
      </w:r>
      <w:r w:rsidRPr="00E869A4">
        <w:rPr>
          <w:rFonts w:ascii="Times New Roman" w:hAnsi="Times New Roman" w:cs="Times New Roman"/>
          <w:i/>
          <w:szCs w:val="24"/>
        </w:rPr>
        <w:t>self-oriented</w:t>
      </w:r>
      <w:r w:rsidRPr="00E869A4">
        <w:rPr>
          <w:rFonts w:ascii="Times New Roman" w:hAnsi="Times New Roman" w:cs="Times New Roman"/>
          <w:szCs w:val="24"/>
        </w:rPr>
        <w:t xml:space="preserve"> (based on the caregiver’s response to their care circumstances and the changes they noticed in themselves) or; b) </w:t>
      </w:r>
      <w:r w:rsidRPr="00E869A4">
        <w:rPr>
          <w:rFonts w:ascii="Times New Roman" w:hAnsi="Times New Roman" w:cs="Times New Roman"/>
          <w:i/>
          <w:szCs w:val="24"/>
        </w:rPr>
        <w:t>other-oriented</w:t>
      </w:r>
      <w:r w:rsidRPr="00E869A4">
        <w:rPr>
          <w:rFonts w:ascii="Times New Roman" w:hAnsi="Times New Roman" w:cs="Times New Roman"/>
          <w:szCs w:val="24"/>
        </w:rPr>
        <w:t xml:space="preserve"> (based on the response of others to their care work). </w:t>
      </w:r>
      <w:r w:rsidR="00BF5D24" w:rsidRPr="00E869A4">
        <w:rPr>
          <w:rFonts w:ascii="Times New Roman" w:hAnsi="Times New Roman" w:cs="Times New Roman"/>
          <w:szCs w:val="24"/>
        </w:rPr>
        <w:t>Whether o</w:t>
      </w:r>
      <w:r w:rsidRPr="00E869A4">
        <w:rPr>
          <w:rFonts w:ascii="Times New Roman" w:hAnsi="Times New Roman" w:cs="Times New Roman"/>
          <w:szCs w:val="24"/>
        </w:rPr>
        <w:t xml:space="preserve">lder persons </w:t>
      </w:r>
      <w:r w:rsidR="00155828" w:rsidRPr="00E869A4">
        <w:rPr>
          <w:rFonts w:ascii="Times New Roman" w:hAnsi="Times New Roman" w:cs="Times New Roman"/>
          <w:szCs w:val="24"/>
        </w:rPr>
        <w:t>experienced care</w:t>
      </w:r>
      <w:r w:rsidRPr="00E869A4">
        <w:rPr>
          <w:rFonts w:ascii="Times New Roman" w:hAnsi="Times New Roman" w:cs="Times New Roman"/>
          <w:szCs w:val="24"/>
        </w:rPr>
        <w:t xml:space="preserve"> as either positive, negative</w:t>
      </w:r>
      <w:r w:rsidR="008263E8" w:rsidRPr="00E869A4">
        <w:rPr>
          <w:rFonts w:ascii="Times New Roman" w:hAnsi="Times New Roman" w:cs="Times New Roman"/>
          <w:szCs w:val="24"/>
        </w:rPr>
        <w:t>,</w:t>
      </w:r>
      <w:r w:rsidRPr="00E869A4">
        <w:rPr>
          <w:rFonts w:ascii="Times New Roman" w:hAnsi="Times New Roman" w:cs="Times New Roman"/>
          <w:szCs w:val="24"/>
        </w:rPr>
        <w:t xml:space="preserve"> mixed or neutral was largely centred around five key caregive</w:t>
      </w:r>
      <w:r w:rsidR="00970EBC" w:rsidRPr="00E869A4">
        <w:rPr>
          <w:rFonts w:ascii="Times New Roman" w:hAnsi="Times New Roman" w:cs="Times New Roman"/>
          <w:szCs w:val="24"/>
        </w:rPr>
        <w:t>r characteristics, namely:  1) c</w:t>
      </w:r>
      <w:r w:rsidRPr="00E869A4">
        <w:rPr>
          <w:rFonts w:ascii="Times New Roman" w:hAnsi="Times New Roman" w:cs="Times New Roman"/>
          <w:szCs w:val="24"/>
        </w:rPr>
        <w:t xml:space="preserve">ompatibility; 2) </w:t>
      </w:r>
      <w:r w:rsidR="00970EBC" w:rsidRPr="00E869A4">
        <w:rPr>
          <w:rFonts w:ascii="Times New Roman" w:hAnsi="Times New Roman" w:cs="Times New Roman"/>
          <w:szCs w:val="24"/>
        </w:rPr>
        <w:t>w</w:t>
      </w:r>
      <w:r w:rsidRPr="00E869A4">
        <w:rPr>
          <w:rFonts w:ascii="Times New Roman" w:hAnsi="Times New Roman" w:cs="Times New Roman"/>
          <w:szCs w:val="24"/>
        </w:rPr>
        <w:t xml:space="preserve">illingness; 3) </w:t>
      </w:r>
      <w:r w:rsidR="00970EBC" w:rsidRPr="00E869A4">
        <w:rPr>
          <w:rFonts w:ascii="Times New Roman" w:hAnsi="Times New Roman" w:cs="Times New Roman"/>
          <w:szCs w:val="24"/>
        </w:rPr>
        <w:t>a</w:t>
      </w:r>
      <w:r w:rsidRPr="00E869A4">
        <w:rPr>
          <w:rFonts w:ascii="Times New Roman" w:hAnsi="Times New Roman" w:cs="Times New Roman"/>
          <w:szCs w:val="24"/>
        </w:rPr>
        <w:t>vailability</w:t>
      </w:r>
      <w:r w:rsidR="008263E8" w:rsidRPr="00E869A4">
        <w:rPr>
          <w:rFonts w:ascii="Times New Roman" w:hAnsi="Times New Roman" w:cs="Times New Roman"/>
          <w:szCs w:val="24"/>
        </w:rPr>
        <w:t>;</w:t>
      </w:r>
      <w:r w:rsidRPr="00E869A4">
        <w:rPr>
          <w:rFonts w:ascii="Times New Roman" w:hAnsi="Times New Roman" w:cs="Times New Roman"/>
          <w:szCs w:val="24"/>
        </w:rPr>
        <w:t xml:space="preserve"> 4) </w:t>
      </w:r>
      <w:r w:rsidR="00970EBC" w:rsidRPr="00E869A4">
        <w:rPr>
          <w:rFonts w:ascii="Times New Roman" w:hAnsi="Times New Roman" w:cs="Times New Roman"/>
          <w:szCs w:val="24"/>
        </w:rPr>
        <w:t>a</w:t>
      </w:r>
      <w:r w:rsidRPr="00E869A4">
        <w:rPr>
          <w:rFonts w:ascii="Times New Roman" w:hAnsi="Times New Roman" w:cs="Times New Roman"/>
          <w:szCs w:val="24"/>
        </w:rPr>
        <w:t>bility</w:t>
      </w:r>
      <w:r w:rsidR="00970EBC" w:rsidRPr="00E869A4">
        <w:rPr>
          <w:rFonts w:ascii="Times New Roman" w:hAnsi="Times New Roman" w:cs="Times New Roman"/>
          <w:szCs w:val="24"/>
        </w:rPr>
        <w:t>;</w:t>
      </w:r>
      <w:r w:rsidRPr="00E869A4">
        <w:rPr>
          <w:rFonts w:ascii="Times New Roman" w:hAnsi="Times New Roman" w:cs="Times New Roman"/>
          <w:szCs w:val="24"/>
        </w:rPr>
        <w:t xml:space="preserve"> and</w:t>
      </w:r>
      <w:r w:rsidR="00970EBC" w:rsidRPr="00E869A4">
        <w:rPr>
          <w:rFonts w:ascii="Times New Roman" w:hAnsi="Times New Roman" w:cs="Times New Roman"/>
          <w:szCs w:val="24"/>
        </w:rPr>
        <w:t>, 5) c</w:t>
      </w:r>
      <w:r w:rsidRPr="00E869A4">
        <w:rPr>
          <w:rFonts w:ascii="Times New Roman" w:hAnsi="Times New Roman" w:cs="Times New Roman"/>
          <w:szCs w:val="24"/>
        </w:rPr>
        <w:t xml:space="preserve">aregiver </w:t>
      </w:r>
      <w:r w:rsidR="00970EBC" w:rsidRPr="00E869A4">
        <w:rPr>
          <w:rFonts w:ascii="Times New Roman" w:hAnsi="Times New Roman" w:cs="Times New Roman"/>
          <w:szCs w:val="24"/>
        </w:rPr>
        <w:t>i</w:t>
      </w:r>
      <w:r w:rsidRPr="00E869A4">
        <w:rPr>
          <w:rFonts w:ascii="Times New Roman" w:hAnsi="Times New Roman" w:cs="Times New Roman"/>
          <w:szCs w:val="24"/>
        </w:rPr>
        <w:t>ntegr</w:t>
      </w:r>
      <w:r w:rsidR="00BF5D24" w:rsidRPr="00E869A4">
        <w:rPr>
          <w:rFonts w:ascii="Times New Roman" w:hAnsi="Times New Roman" w:cs="Times New Roman"/>
          <w:szCs w:val="24"/>
        </w:rPr>
        <w:t>ity/</w:t>
      </w:r>
      <w:r w:rsidR="00970EBC" w:rsidRPr="00E869A4">
        <w:rPr>
          <w:rFonts w:ascii="Times New Roman" w:hAnsi="Times New Roman" w:cs="Times New Roman"/>
          <w:szCs w:val="24"/>
        </w:rPr>
        <w:t>m</w:t>
      </w:r>
      <w:r w:rsidRPr="00E869A4">
        <w:rPr>
          <w:rFonts w:ascii="Times New Roman" w:hAnsi="Times New Roman" w:cs="Times New Roman"/>
          <w:szCs w:val="24"/>
        </w:rPr>
        <w:t xml:space="preserve">otive. </w:t>
      </w:r>
    </w:p>
    <w:p w14:paraId="37857E43" w14:textId="77777777" w:rsidR="001D2CE3" w:rsidRPr="00E869A4" w:rsidRDefault="001D2CE3" w:rsidP="001D2CE3">
      <w:pPr>
        <w:autoSpaceDE w:val="0"/>
        <w:autoSpaceDN w:val="0"/>
        <w:adjustRightInd w:val="0"/>
        <w:rPr>
          <w:rFonts w:ascii="Times New Roman" w:hAnsi="Times New Roman" w:cs="Times New Roman"/>
          <w:szCs w:val="24"/>
        </w:rPr>
      </w:pPr>
    </w:p>
    <w:p w14:paraId="18AA5AF4" w14:textId="7F859EB7" w:rsidR="00725205" w:rsidRPr="00E869A4" w:rsidRDefault="00D77F0B" w:rsidP="00175C3E">
      <w:pPr>
        <w:pStyle w:val="Heading2"/>
      </w:pPr>
      <w:bookmarkStart w:id="314" w:name="_Toc40436540"/>
      <w:r w:rsidRPr="00E869A4">
        <w:rPr>
          <w:rStyle w:val="Heading111Char"/>
          <w:rFonts w:eastAsiaTheme="majorEastAsia"/>
          <w:b/>
          <w:bCs/>
          <w:iCs w:val="0"/>
          <w:color w:val="auto"/>
          <w:szCs w:val="26"/>
        </w:rPr>
        <w:t>7</w:t>
      </w:r>
      <w:r w:rsidR="003E3699" w:rsidRPr="00E869A4">
        <w:rPr>
          <w:rStyle w:val="Heading111Char"/>
          <w:rFonts w:eastAsiaTheme="majorEastAsia"/>
          <w:b/>
          <w:bCs/>
          <w:iCs w:val="0"/>
          <w:color w:val="auto"/>
          <w:szCs w:val="26"/>
        </w:rPr>
        <w:t>.2 CAREGIVER</w:t>
      </w:r>
      <w:r w:rsidR="00A865BA" w:rsidRPr="00E869A4">
        <w:rPr>
          <w:rStyle w:val="Heading111Char"/>
          <w:rFonts w:eastAsiaTheme="majorEastAsia"/>
          <w:b/>
          <w:bCs/>
          <w:iCs w:val="0"/>
          <w:color w:val="auto"/>
          <w:szCs w:val="26"/>
        </w:rPr>
        <w:t xml:space="preserve"> EXPERIENCES</w:t>
      </w:r>
      <w:bookmarkEnd w:id="314"/>
      <w:r w:rsidR="00181C92" w:rsidRPr="00E869A4">
        <w:t xml:space="preserve"> </w:t>
      </w:r>
    </w:p>
    <w:p w14:paraId="5A6FF8BD" w14:textId="77777777" w:rsidR="00725205" w:rsidRPr="00E869A4" w:rsidRDefault="00725205" w:rsidP="00A35FF8">
      <w:pPr>
        <w:rPr>
          <w:rFonts w:ascii="Times New Roman" w:hAnsi="Times New Roman" w:cs="Times New Roman"/>
          <w:b/>
        </w:rPr>
      </w:pPr>
    </w:p>
    <w:p w14:paraId="41F79221" w14:textId="5F8C9948" w:rsidR="0081021A" w:rsidRPr="00E869A4" w:rsidRDefault="001D2CE3" w:rsidP="00A35FF8">
      <w:pPr>
        <w:rPr>
          <w:rFonts w:ascii="Times New Roman" w:hAnsi="Times New Roman" w:cs="Times New Roman"/>
          <w:szCs w:val="24"/>
        </w:rPr>
      </w:pPr>
      <w:r w:rsidRPr="00E869A4">
        <w:rPr>
          <w:rFonts w:ascii="Times New Roman" w:hAnsi="Times New Roman" w:cs="Times New Roman"/>
          <w:szCs w:val="24"/>
        </w:rPr>
        <w:t>T</w:t>
      </w:r>
      <w:r w:rsidR="00AD14ED" w:rsidRPr="00E869A4">
        <w:rPr>
          <w:rFonts w:ascii="Times New Roman" w:hAnsi="Times New Roman" w:cs="Times New Roman"/>
          <w:szCs w:val="24"/>
        </w:rPr>
        <w:t xml:space="preserve">he </w:t>
      </w:r>
      <w:r w:rsidRPr="00E869A4">
        <w:rPr>
          <w:rFonts w:ascii="Times New Roman" w:hAnsi="Times New Roman" w:cs="Times New Roman"/>
          <w:szCs w:val="24"/>
        </w:rPr>
        <w:t xml:space="preserve">care experience of </w:t>
      </w:r>
      <w:r w:rsidR="00AD14ED" w:rsidRPr="00E869A4">
        <w:rPr>
          <w:rFonts w:ascii="Times New Roman" w:hAnsi="Times New Roman" w:cs="Times New Roman"/>
          <w:szCs w:val="24"/>
        </w:rPr>
        <w:t xml:space="preserve">caregivers and care workers </w:t>
      </w:r>
      <w:r w:rsidRPr="00E869A4">
        <w:rPr>
          <w:rFonts w:ascii="Times New Roman" w:hAnsi="Times New Roman" w:cs="Times New Roman"/>
          <w:szCs w:val="24"/>
        </w:rPr>
        <w:t>was consistent with the findings of other studies on this subject. Their responses were</w:t>
      </w:r>
      <w:r w:rsidR="00AD14ED" w:rsidRPr="00E869A4">
        <w:rPr>
          <w:rFonts w:ascii="Times New Roman" w:hAnsi="Times New Roman" w:cs="Times New Roman"/>
          <w:szCs w:val="24"/>
        </w:rPr>
        <w:t xml:space="preserve"> generally categorised as positive, negative, mixed or neutral.</w:t>
      </w:r>
    </w:p>
    <w:p w14:paraId="14A64A0C" w14:textId="2A3A037A" w:rsidR="00725205" w:rsidRPr="00E869A4" w:rsidRDefault="00D77F0B" w:rsidP="005C449C">
      <w:pPr>
        <w:pStyle w:val="Heading3"/>
      </w:pPr>
      <w:bookmarkStart w:id="315" w:name="_Toc40436541"/>
      <w:r w:rsidRPr="00E869A4">
        <w:lastRenderedPageBreak/>
        <w:t>7</w:t>
      </w:r>
      <w:r w:rsidR="001515C1" w:rsidRPr="00E869A4">
        <w:t>.2.1</w:t>
      </w:r>
      <w:r w:rsidR="007B3714" w:rsidRPr="00E869A4">
        <w:t xml:space="preserve">     </w:t>
      </w:r>
      <w:r w:rsidR="00E04386">
        <w:t>Benefits o</w:t>
      </w:r>
      <w:r w:rsidR="00617CD9" w:rsidRPr="00E869A4">
        <w:t>f Caregiving</w:t>
      </w:r>
      <w:bookmarkEnd w:id="315"/>
    </w:p>
    <w:p w14:paraId="4A736A9A" w14:textId="77777777" w:rsidR="00725205" w:rsidRPr="00E869A4" w:rsidRDefault="00725205" w:rsidP="00A35FF8">
      <w:pPr>
        <w:autoSpaceDE w:val="0"/>
        <w:autoSpaceDN w:val="0"/>
        <w:adjustRightInd w:val="0"/>
        <w:rPr>
          <w:rFonts w:ascii="Times New Roman" w:hAnsi="Times New Roman" w:cs="Times New Roman"/>
          <w:szCs w:val="24"/>
        </w:rPr>
      </w:pPr>
    </w:p>
    <w:p w14:paraId="48CD7148" w14:textId="390D7A1F"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Most of the caregivers and careworkers that participated in this study were able to identify positive gains that they derived from their care experience. This was similar to the results of the qualitative research conducted by Parveen, Morrison and Robinson (2011) in which one of the issues they investigated was the experience of the caregiving role by persons from different ethnic backgrounds in the UK. In this current study, these benefits were classified as self-oriented benefits and other-oriented benefits</w:t>
      </w:r>
      <w:r w:rsidR="00AD14ED" w:rsidRPr="00E869A4">
        <w:rPr>
          <w:rFonts w:ascii="Times New Roman" w:hAnsi="Times New Roman" w:cs="Times New Roman"/>
          <w:szCs w:val="24"/>
        </w:rPr>
        <w:t>,</w:t>
      </w:r>
      <w:r w:rsidRPr="00E869A4">
        <w:rPr>
          <w:rFonts w:ascii="Times New Roman" w:hAnsi="Times New Roman" w:cs="Times New Roman"/>
          <w:szCs w:val="24"/>
        </w:rPr>
        <w:t xml:space="preserve"> to distinguish between the main triggers </w:t>
      </w:r>
      <w:r w:rsidR="00181C92" w:rsidRPr="00E869A4">
        <w:rPr>
          <w:rFonts w:ascii="Times New Roman" w:hAnsi="Times New Roman" w:cs="Times New Roman"/>
          <w:szCs w:val="24"/>
        </w:rPr>
        <w:t xml:space="preserve">that contribute to the </w:t>
      </w:r>
      <w:r w:rsidRPr="00E869A4">
        <w:rPr>
          <w:rFonts w:ascii="Times New Roman" w:hAnsi="Times New Roman" w:cs="Times New Roman"/>
          <w:szCs w:val="24"/>
        </w:rPr>
        <w:t xml:space="preserve">caregiver’s </w:t>
      </w:r>
      <w:r w:rsidR="00181C92" w:rsidRPr="00E869A4">
        <w:rPr>
          <w:rFonts w:ascii="Times New Roman" w:hAnsi="Times New Roman" w:cs="Times New Roman"/>
          <w:szCs w:val="24"/>
        </w:rPr>
        <w:t xml:space="preserve">assessment </w:t>
      </w:r>
      <w:r w:rsidRPr="00E869A4">
        <w:rPr>
          <w:rFonts w:ascii="Times New Roman" w:hAnsi="Times New Roman" w:cs="Times New Roman"/>
          <w:szCs w:val="24"/>
        </w:rPr>
        <w:t xml:space="preserve">of </w:t>
      </w:r>
      <w:r w:rsidR="00181C92" w:rsidRPr="00E869A4">
        <w:rPr>
          <w:rFonts w:ascii="Times New Roman" w:hAnsi="Times New Roman" w:cs="Times New Roman"/>
          <w:szCs w:val="24"/>
        </w:rPr>
        <w:t xml:space="preserve">their </w:t>
      </w:r>
      <w:r w:rsidRPr="00E869A4">
        <w:rPr>
          <w:rFonts w:ascii="Times New Roman" w:hAnsi="Times New Roman" w:cs="Times New Roman"/>
          <w:szCs w:val="24"/>
        </w:rPr>
        <w:t>care</w:t>
      </w:r>
      <w:r w:rsidR="00181C92" w:rsidRPr="00E869A4">
        <w:rPr>
          <w:rFonts w:ascii="Times New Roman" w:hAnsi="Times New Roman" w:cs="Times New Roman"/>
          <w:szCs w:val="24"/>
        </w:rPr>
        <w:t xml:space="preserve"> experience</w:t>
      </w:r>
      <w:r w:rsidRPr="00E869A4">
        <w:rPr>
          <w:rFonts w:ascii="Times New Roman" w:hAnsi="Times New Roman" w:cs="Times New Roman"/>
          <w:szCs w:val="24"/>
        </w:rPr>
        <w:t>.</w:t>
      </w:r>
    </w:p>
    <w:p w14:paraId="0C7FC11C" w14:textId="77777777" w:rsidR="00725205" w:rsidRPr="00E869A4" w:rsidRDefault="00725205" w:rsidP="00A35FF8">
      <w:pPr>
        <w:autoSpaceDE w:val="0"/>
        <w:autoSpaceDN w:val="0"/>
        <w:adjustRightInd w:val="0"/>
        <w:rPr>
          <w:rFonts w:ascii="Times New Roman" w:hAnsi="Times New Roman" w:cs="Times New Roman"/>
          <w:szCs w:val="24"/>
        </w:rPr>
      </w:pPr>
    </w:p>
    <w:p w14:paraId="1C1FFC82" w14:textId="7CD8C765" w:rsidR="00725205" w:rsidRPr="00E869A4" w:rsidRDefault="00725205" w:rsidP="00BF5D24">
      <w:pPr>
        <w:autoSpaceDE w:val="0"/>
        <w:autoSpaceDN w:val="0"/>
        <w:adjustRightInd w:val="0"/>
        <w:rPr>
          <w:rFonts w:ascii="Times New Roman" w:eastAsia="Times New Roman" w:hAnsi="Times New Roman" w:cs="Times New Roman"/>
          <w:szCs w:val="24"/>
        </w:rPr>
      </w:pPr>
      <w:r w:rsidRPr="00E869A4">
        <w:rPr>
          <w:rFonts w:ascii="Times New Roman" w:hAnsi="Times New Roman" w:cs="Times New Roman"/>
          <w:bCs/>
          <w:i/>
          <w:szCs w:val="24"/>
        </w:rPr>
        <w:t>Self-oriented</w:t>
      </w:r>
      <w:r w:rsidRPr="00E869A4">
        <w:rPr>
          <w:rFonts w:ascii="Times New Roman" w:hAnsi="Times New Roman" w:cs="Times New Roman"/>
          <w:szCs w:val="24"/>
        </w:rPr>
        <w:t xml:space="preserve"> benefits were those directly associated with positive changes that the family caregiver</w:t>
      </w:r>
      <w:r w:rsidRPr="00E869A4">
        <w:rPr>
          <w:rFonts w:ascii="Times New Roman" w:eastAsia="Times New Roman" w:hAnsi="Times New Roman" w:cs="Times New Roman"/>
          <w:szCs w:val="24"/>
        </w:rPr>
        <w:t xml:space="preserve">s and </w:t>
      </w:r>
      <w:r w:rsidR="003957F8" w:rsidRPr="00E869A4">
        <w:rPr>
          <w:rFonts w:ascii="Times New Roman" w:eastAsia="Times New Roman" w:hAnsi="Times New Roman" w:cs="Times New Roman"/>
          <w:szCs w:val="24"/>
        </w:rPr>
        <w:t>care worker</w:t>
      </w:r>
      <w:r w:rsidRPr="00E869A4">
        <w:rPr>
          <w:rFonts w:ascii="Times New Roman" w:eastAsia="Times New Roman" w:hAnsi="Times New Roman" w:cs="Times New Roman"/>
          <w:szCs w:val="24"/>
        </w:rPr>
        <w:t xml:space="preserve">s perceived within themselves. These included: </w:t>
      </w:r>
      <w:r w:rsidR="00AD14ED" w:rsidRPr="00E869A4">
        <w:rPr>
          <w:rFonts w:ascii="Times New Roman" w:eastAsia="Times New Roman" w:hAnsi="Times New Roman" w:cs="Times New Roman"/>
          <w:szCs w:val="24"/>
        </w:rPr>
        <w:t>1</w:t>
      </w:r>
      <w:r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i/>
          <w:szCs w:val="24"/>
        </w:rPr>
        <w:t>Personal Growth</w:t>
      </w:r>
      <w:r w:rsidRPr="00E869A4">
        <w:rPr>
          <w:rFonts w:ascii="Times New Roman" w:eastAsia="Times New Roman" w:hAnsi="Times New Roman" w:cs="Times New Roman"/>
          <w:szCs w:val="24"/>
        </w:rPr>
        <w:t xml:space="preserve"> (self-efficacy) </w:t>
      </w:r>
      <w:r w:rsidR="00AD14ED"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feeling good about their own personal </w:t>
      </w:r>
      <w:r w:rsidR="00AD14ED" w:rsidRPr="00E869A4">
        <w:rPr>
          <w:rFonts w:ascii="Times New Roman" w:eastAsia="Times New Roman" w:hAnsi="Times New Roman" w:cs="Times New Roman"/>
          <w:szCs w:val="24"/>
        </w:rPr>
        <w:t>development</w:t>
      </w:r>
      <w:r w:rsidRPr="00E869A4">
        <w:rPr>
          <w:rFonts w:ascii="Times New Roman" w:eastAsia="Times New Roman" w:hAnsi="Times New Roman" w:cs="Times New Roman"/>
          <w:szCs w:val="24"/>
        </w:rPr>
        <w:t xml:space="preserve"> including the practical caregiving skills they </w:t>
      </w:r>
      <w:r w:rsidR="00AD14ED" w:rsidRPr="00E869A4">
        <w:rPr>
          <w:rFonts w:ascii="Times New Roman" w:eastAsia="Times New Roman" w:hAnsi="Times New Roman" w:cs="Times New Roman"/>
          <w:szCs w:val="24"/>
        </w:rPr>
        <w:t>learned</w:t>
      </w:r>
      <w:r w:rsidRPr="00E869A4">
        <w:rPr>
          <w:rFonts w:ascii="Times New Roman" w:eastAsia="Times New Roman" w:hAnsi="Times New Roman" w:cs="Times New Roman"/>
          <w:szCs w:val="24"/>
        </w:rPr>
        <w:t xml:space="preserve"> and the knowledge gained about ageing and caregiving, as well as their character development as evidenced by increased patience, compassion and peace of mind; </w:t>
      </w:r>
      <w:r w:rsidR="00AD14ED" w:rsidRPr="00E869A4">
        <w:rPr>
          <w:rFonts w:ascii="Times New Roman" w:eastAsia="Times New Roman" w:hAnsi="Times New Roman" w:cs="Times New Roman"/>
          <w:szCs w:val="24"/>
        </w:rPr>
        <w:t>2</w:t>
      </w:r>
      <w:r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i/>
          <w:szCs w:val="24"/>
        </w:rPr>
        <w:t>Enhanced Care Relationship</w:t>
      </w:r>
      <w:r w:rsidRPr="00E869A4">
        <w:rPr>
          <w:rFonts w:ascii="Times New Roman" w:eastAsia="Times New Roman" w:hAnsi="Times New Roman" w:cs="Times New Roman"/>
          <w:szCs w:val="24"/>
        </w:rPr>
        <w:t xml:space="preserve"> </w:t>
      </w:r>
      <w:r w:rsidR="00AD14E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the development of a closer emotional bond with their cared-for relative; and</w:t>
      </w:r>
      <w:r w:rsidR="00802328"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AD14ED" w:rsidRPr="00E869A4">
        <w:rPr>
          <w:rFonts w:ascii="Times New Roman" w:eastAsia="Times New Roman" w:hAnsi="Times New Roman" w:cs="Times New Roman"/>
          <w:szCs w:val="24"/>
        </w:rPr>
        <w:t>3</w:t>
      </w:r>
      <w:r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i/>
          <w:szCs w:val="24"/>
        </w:rPr>
        <w:t>Religious/Spiritual Blessings</w:t>
      </w:r>
      <w:r w:rsidRPr="00E869A4">
        <w:rPr>
          <w:rFonts w:ascii="Times New Roman" w:eastAsia="Times New Roman" w:hAnsi="Times New Roman" w:cs="Times New Roman"/>
          <w:szCs w:val="24"/>
        </w:rPr>
        <w:t xml:space="preserve"> – acquiring what the caregivers considered to be spiritual blessings from fulfilling the tenets of their religious/spiritual faith on providing care. </w:t>
      </w:r>
    </w:p>
    <w:p w14:paraId="1226B696" w14:textId="77777777" w:rsidR="00725205" w:rsidRPr="00E869A4" w:rsidRDefault="00725205" w:rsidP="00BF5D24">
      <w:pPr>
        <w:autoSpaceDE w:val="0"/>
        <w:autoSpaceDN w:val="0"/>
        <w:adjustRightInd w:val="0"/>
        <w:rPr>
          <w:rFonts w:ascii="Times New Roman" w:eastAsia="Times New Roman" w:hAnsi="Times New Roman" w:cs="Times New Roman"/>
          <w:szCs w:val="24"/>
        </w:rPr>
      </w:pPr>
    </w:p>
    <w:p w14:paraId="7237442C" w14:textId="07BCC5B9" w:rsidR="00725205" w:rsidRPr="00E869A4" w:rsidRDefault="00725205" w:rsidP="00BF5D24">
      <w:pPr>
        <w:autoSpaceDE w:val="0"/>
        <w:autoSpaceDN w:val="0"/>
        <w:adjustRightInd w:val="0"/>
        <w:rPr>
          <w:rFonts w:ascii="Times New Roman" w:eastAsia="Times New Roman" w:hAnsi="Times New Roman" w:cs="Times New Roman"/>
          <w:szCs w:val="24"/>
        </w:rPr>
      </w:pPr>
      <w:r w:rsidRPr="00E869A4">
        <w:rPr>
          <w:rFonts w:ascii="Times New Roman" w:hAnsi="Times New Roman" w:cs="Times New Roman"/>
          <w:bCs/>
          <w:i/>
          <w:szCs w:val="24"/>
        </w:rPr>
        <w:t>Other</w:t>
      </w:r>
      <w:r w:rsidRPr="00E869A4">
        <w:rPr>
          <w:rFonts w:ascii="Times New Roman" w:hAnsi="Times New Roman" w:cs="Times New Roman"/>
          <w:b/>
          <w:i/>
          <w:szCs w:val="24"/>
        </w:rPr>
        <w:t>-</w:t>
      </w:r>
      <w:r w:rsidRPr="00E869A4">
        <w:rPr>
          <w:rFonts w:ascii="Times New Roman" w:hAnsi="Times New Roman" w:cs="Times New Roman"/>
          <w:bCs/>
          <w:i/>
          <w:szCs w:val="24"/>
        </w:rPr>
        <w:t>oriented</w:t>
      </w:r>
      <w:r w:rsidRPr="00E869A4">
        <w:rPr>
          <w:rFonts w:ascii="Times New Roman" w:hAnsi="Times New Roman" w:cs="Times New Roman"/>
          <w:szCs w:val="24"/>
        </w:rPr>
        <w:t xml:space="preserve"> benefits were those based on the response of others to the support provided by the family carers and paid careworkers. These included: </w:t>
      </w:r>
      <w:r w:rsidR="00AD14ED" w:rsidRPr="00E869A4">
        <w:rPr>
          <w:rFonts w:ascii="Times New Roman" w:hAnsi="Times New Roman" w:cs="Times New Roman"/>
          <w:szCs w:val="24"/>
        </w:rPr>
        <w:t>1</w:t>
      </w:r>
      <w:r w:rsidRPr="00E869A4">
        <w:rPr>
          <w:rFonts w:ascii="Times New Roman" w:hAnsi="Times New Roman" w:cs="Times New Roman"/>
          <w:szCs w:val="24"/>
        </w:rPr>
        <w:t xml:space="preserve">) </w:t>
      </w:r>
      <w:r w:rsidRPr="00E869A4">
        <w:rPr>
          <w:rFonts w:ascii="Times New Roman" w:hAnsi="Times New Roman" w:cs="Times New Roman"/>
          <w:i/>
          <w:szCs w:val="24"/>
        </w:rPr>
        <w:t>Appreciation from Others</w:t>
      </w:r>
      <w:r w:rsidRPr="00E869A4">
        <w:rPr>
          <w:rFonts w:ascii="Times New Roman" w:hAnsi="Times New Roman" w:cs="Times New Roman"/>
          <w:szCs w:val="24"/>
        </w:rPr>
        <w:t xml:space="preserve"> </w:t>
      </w:r>
      <w:r w:rsidR="00651FE1" w:rsidRPr="00E869A4">
        <w:rPr>
          <w:rFonts w:ascii="Times New Roman" w:eastAsia="Times New Roman" w:hAnsi="Times New Roman" w:cs="Times New Roman"/>
          <w:szCs w:val="24"/>
        </w:rPr>
        <w:t xml:space="preserve">– </w:t>
      </w:r>
      <w:r w:rsidRPr="00E869A4">
        <w:rPr>
          <w:rFonts w:ascii="Times New Roman" w:hAnsi="Times New Roman" w:cs="Times New Roman"/>
          <w:szCs w:val="24"/>
        </w:rPr>
        <w:t xml:space="preserve">the expressions of gratitude from the older cared-for person as well as other relatives and members of the community for the care provided; </w:t>
      </w:r>
      <w:r w:rsidR="00AD14ED" w:rsidRPr="00E869A4">
        <w:rPr>
          <w:rFonts w:ascii="Times New Roman" w:hAnsi="Times New Roman" w:cs="Times New Roman"/>
          <w:szCs w:val="24"/>
        </w:rPr>
        <w:t>2</w:t>
      </w:r>
      <w:r w:rsidRPr="00E869A4">
        <w:rPr>
          <w:rFonts w:ascii="Times New Roman" w:hAnsi="Times New Roman" w:cs="Times New Roman"/>
          <w:szCs w:val="24"/>
        </w:rPr>
        <w:t xml:space="preserve">) </w:t>
      </w:r>
      <w:r w:rsidRPr="00E869A4">
        <w:rPr>
          <w:rFonts w:ascii="Times New Roman" w:hAnsi="Times New Roman" w:cs="Times New Roman"/>
          <w:i/>
          <w:szCs w:val="24"/>
        </w:rPr>
        <w:t>Wellbeing of Others</w:t>
      </w:r>
      <w:r w:rsidRPr="00E869A4">
        <w:rPr>
          <w:rFonts w:ascii="Times New Roman" w:hAnsi="Times New Roman" w:cs="Times New Roman"/>
          <w:szCs w:val="24"/>
        </w:rPr>
        <w:t xml:space="preserve"> </w:t>
      </w:r>
      <w:r w:rsidR="00651FE1" w:rsidRPr="00E869A4">
        <w:rPr>
          <w:rFonts w:ascii="Times New Roman" w:eastAsia="Times New Roman" w:hAnsi="Times New Roman" w:cs="Times New Roman"/>
          <w:szCs w:val="24"/>
        </w:rPr>
        <w:t xml:space="preserve">– </w:t>
      </w:r>
      <w:r w:rsidRPr="00E869A4">
        <w:rPr>
          <w:rFonts w:ascii="Times New Roman" w:hAnsi="Times New Roman" w:cs="Times New Roman"/>
          <w:szCs w:val="24"/>
        </w:rPr>
        <w:t>the improvements observed in their relative</w:t>
      </w:r>
      <w:r w:rsidRPr="00E869A4">
        <w:rPr>
          <w:rFonts w:ascii="Times New Roman" w:eastAsia="Times New Roman" w:hAnsi="Times New Roman" w:cs="Times New Roman"/>
          <w:szCs w:val="24"/>
        </w:rPr>
        <w:t xml:space="preserve">’s emotional, social or physical wellbeing as well as others who may be directly impacted by the care they provided; </w:t>
      </w:r>
      <w:r w:rsidR="00AD14ED" w:rsidRPr="00E869A4">
        <w:rPr>
          <w:rFonts w:ascii="Times New Roman" w:eastAsia="Times New Roman" w:hAnsi="Times New Roman" w:cs="Times New Roman"/>
          <w:szCs w:val="24"/>
        </w:rPr>
        <w:t>3</w:t>
      </w:r>
      <w:r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i/>
          <w:szCs w:val="24"/>
        </w:rPr>
        <w:t>Support from Others</w:t>
      </w:r>
      <w:r w:rsidRPr="00E869A4">
        <w:rPr>
          <w:rFonts w:ascii="Times New Roman" w:eastAsia="Times New Roman" w:hAnsi="Times New Roman" w:cs="Times New Roman"/>
          <w:szCs w:val="24"/>
        </w:rPr>
        <w:t xml:space="preserve"> </w:t>
      </w:r>
      <w:r w:rsidR="00651FE1"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the emotional, spiritual or material support received from the older cared-for person and the caregiver</w:t>
      </w:r>
      <w:r w:rsidR="00651FE1"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s social network.</w:t>
      </w:r>
    </w:p>
    <w:p w14:paraId="74962A9E" w14:textId="77777777" w:rsidR="00B80FF2" w:rsidRPr="00E869A4" w:rsidRDefault="00B80FF2" w:rsidP="008A0DE7">
      <w:pPr>
        <w:autoSpaceDE w:val="0"/>
        <w:autoSpaceDN w:val="0"/>
        <w:adjustRightInd w:val="0"/>
        <w:rPr>
          <w:rFonts w:ascii="Times New Roman" w:hAnsi="Times New Roman" w:cs="Times New Roman"/>
          <w:szCs w:val="24"/>
        </w:rPr>
      </w:pPr>
    </w:p>
    <w:p w14:paraId="4D3F4837" w14:textId="1FBBEA96" w:rsidR="00E53C79" w:rsidRPr="00E869A4" w:rsidRDefault="00725205" w:rsidP="008A0DE7">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Altogether, three (3) self-oriented benefits and three (3) other-oriented benefits emerged from the contributions of the family caregivers and care workers</w:t>
      </w:r>
      <w:r w:rsidR="00AD14ED" w:rsidRPr="00E869A4">
        <w:rPr>
          <w:rFonts w:ascii="Times New Roman" w:hAnsi="Times New Roman" w:cs="Times New Roman"/>
          <w:szCs w:val="24"/>
        </w:rPr>
        <w:t>,</w:t>
      </w:r>
      <w:r w:rsidRPr="00E869A4">
        <w:rPr>
          <w:rFonts w:ascii="Times New Roman" w:hAnsi="Times New Roman" w:cs="Times New Roman"/>
          <w:szCs w:val="24"/>
        </w:rPr>
        <w:t xml:space="preserve"> for a total of six (6) inter-related positive outcomes of providing care. Each of these positive aspects of caregiving are discussed in the sections that immediately follow.  </w:t>
      </w:r>
    </w:p>
    <w:p w14:paraId="2B08A219" w14:textId="77777777" w:rsidR="00C637DF" w:rsidRPr="00E869A4" w:rsidRDefault="00C637DF" w:rsidP="00CF6283">
      <w:pPr>
        <w:pStyle w:val="Caption"/>
        <w:ind w:firstLine="0"/>
        <w:rPr>
          <w:b/>
          <w:i w:val="0"/>
          <w:sz w:val="24"/>
        </w:rPr>
      </w:pPr>
      <w:bookmarkStart w:id="316" w:name="_Toc40436614"/>
      <w:r w:rsidRPr="00E869A4">
        <w:rPr>
          <w:b/>
          <w:i w:val="0"/>
          <w:sz w:val="24"/>
        </w:rPr>
        <w:lastRenderedPageBreak/>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15</w:t>
      </w:r>
      <w:r w:rsidR="00194F87" w:rsidRPr="00E869A4">
        <w:rPr>
          <w:b/>
          <w:i w:val="0"/>
          <w:sz w:val="24"/>
        </w:rPr>
        <w:fldChar w:fldCharType="end"/>
      </w:r>
      <w:r w:rsidRPr="00E869A4">
        <w:rPr>
          <w:b/>
          <w:i w:val="0"/>
          <w:sz w:val="24"/>
        </w:rPr>
        <w:t xml:space="preserve">: Themes Associated with </w:t>
      </w:r>
      <w:r w:rsidR="00181C92" w:rsidRPr="00E869A4">
        <w:rPr>
          <w:b/>
          <w:i w:val="0"/>
          <w:sz w:val="24"/>
        </w:rPr>
        <w:t xml:space="preserve">Experiences </w:t>
      </w:r>
      <w:r w:rsidRPr="00E869A4">
        <w:rPr>
          <w:b/>
          <w:i w:val="0"/>
          <w:sz w:val="24"/>
        </w:rPr>
        <w:t>of Care</w:t>
      </w:r>
      <w:bookmarkEnd w:id="316"/>
    </w:p>
    <w:p w14:paraId="053F7194" w14:textId="77777777" w:rsidR="00725205" w:rsidRPr="00E869A4" w:rsidRDefault="00725205" w:rsidP="00CF6283">
      <w:pPr>
        <w:autoSpaceDE w:val="0"/>
        <w:autoSpaceDN w:val="0"/>
        <w:adjustRightInd w:val="0"/>
        <w:ind w:firstLine="0"/>
        <w:rPr>
          <w:rFonts w:ascii="Times New Roman" w:hAnsi="Times New Roman" w:cs="Times New Roman"/>
          <w:szCs w:val="24"/>
        </w:rPr>
      </w:pPr>
    </w:p>
    <w:tbl>
      <w:tblPr>
        <w:tblStyle w:val="TableGrid"/>
        <w:tblW w:w="0" w:type="auto"/>
        <w:jc w:val="center"/>
        <w:tblLook w:val="04A0" w:firstRow="1" w:lastRow="0" w:firstColumn="1" w:lastColumn="0" w:noHBand="0" w:noVBand="1"/>
      </w:tblPr>
      <w:tblGrid>
        <w:gridCol w:w="4254"/>
        <w:gridCol w:w="3542"/>
      </w:tblGrid>
      <w:tr w:rsidR="00C714D3" w:rsidRPr="00E869A4" w14:paraId="0F5936A3" w14:textId="77777777" w:rsidTr="00C145A7">
        <w:trPr>
          <w:jc w:val="center"/>
        </w:trPr>
        <w:tc>
          <w:tcPr>
            <w:tcW w:w="4254" w:type="dxa"/>
          </w:tcPr>
          <w:p w14:paraId="6DF4DBBB" w14:textId="77777777" w:rsidR="00725205" w:rsidRPr="00E869A4" w:rsidRDefault="00725205" w:rsidP="00CF6283">
            <w:pPr>
              <w:autoSpaceDE w:val="0"/>
              <w:autoSpaceDN w:val="0"/>
              <w:adjustRightInd w:val="0"/>
              <w:ind w:firstLine="0"/>
              <w:rPr>
                <w:rFonts w:ascii="Times New Roman" w:hAnsi="Times New Roman" w:cs="Times New Roman"/>
                <w:i/>
                <w:szCs w:val="24"/>
              </w:rPr>
            </w:pPr>
            <w:r w:rsidRPr="00E869A4">
              <w:rPr>
                <w:rFonts w:ascii="Times New Roman" w:hAnsi="Times New Roman" w:cs="Times New Roman"/>
                <w:i/>
                <w:szCs w:val="24"/>
              </w:rPr>
              <w:t>Self-Oriented Benefits</w:t>
            </w:r>
          </w:p>
        </w:tc>
        <w:tc>
          <w:tcPr>
            <w:tcW w:w="3542" w:type="dxa"/>
          </w:tcPr>
          <w:p w14:paraId="659E9223" w14:textId="77777777" w:rsidR="00725205" w:rsidRPr="00E869A4" w:rsidRDefault="00725205" w:rsidP="00CF6283">
            <w:pPr>
              <w:autoSpaceDE w:val="0"/>
              <w:autoSpaceDN w:val="0"/>
              <w:adjustRightInd w:val="0"/>
              <w:ind w:firstLine="0"/>
              <w:rPr>
                <w:rFonts w:ascii="Times New Roman" w:hAnsi="Times New Roman" w:cs="Times New Roman"/>
                <w:i/>
                <w:szCs w:val="24"/>
              </w:rPr>
            </w:pPr>
            <w:r w:rsidRPr="00E869A4">
              <w:rPr>
                <w:rFonts w:ascii="Times New Roman" w:hAnsi="Times New Roman" w:cs="Times New Roman"/>
                <w:i/>
                <w:szCs w:val="24"/>
              </w:rPr>
              <w:t>Other-Oriented Benefits</w:t>
            </w:r>
          </w:p>
        </w:tc>
      </w:tr>
      <w:tr w:rsidR="00725205" w:rsidRPr="00E869A4" w14:paraId="3DF3B3D1" w14:textId="77777777" w:rsidTr="00C145A7">
        <w:trPr>
          <w:jc w:val="center"/>
        </w:trPr>
        <w:tc>
          <w:tcPr>
            <w:tcW w:w="4254" w:type="dxa"/>
          </w:tcPr>
          <w:p w14:paraId="6C91D099" w14:textId="77777777" w:rsidR="00725205" w:rsidRPr="00E869A4" w:rsidRDefault="00725205" w:rsidP="00CF6283">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Personal Growth (Self Efficacy)</w:t>
            </w:r>
          </w:p>
          <w:p w14:paraId="30FC5F11" w14:textId="77777777" w:rsidR="00725205" w:rsidRPr="00E869A4" w:rsidRDefault="00725205" w:rsidP="00CF6283">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Enhanced Care Relationship</w:t>
            </w:r>
          </w:p>
          <w:p w14:paraId="5CD7CECA" w14:textId="77777777" w:rsidR="00725205" w:rsidRPr="00E869A4" w:rsidRDefault="00725205" w:rsidP="00CF6283">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Spiritual / Religious Blessings</w:t>
            </w:r>
          </w:p>
        </w:tc>
        <w:tc>
          <w:tcPr>
            <w:tcW w:w="3542" w:type="dxa"/>
          </w:tcPr>
          <w:p w14:paraId="5E24FD63" w14:textId="77777777" w:rsidR="00725205" w:rsidRPr="00E869A4" w:rsidRDefault="00725205" w:rsidP="00CF6283">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Appreciation from Others</w:t>
            </w:r>
          </w:p>
          <w:p w14:paraId="4C19AF48" w14:textId="77777777" w:rsidR="00725205" w:rsidRPr="00E869A4" w:rsidRDefault="00725205" w:rsidP="00CF6283">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Wellbeing of Others</w:t>
            </w:r>
          </w:p>
          <w:p w14:paraId="106641B7" w14:textId="77777777" w:rsidR="00725205" w:rsidRPr="00E869A4" w:rsidRDefault="00725205" w:rsidP="00CF6283">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 xml:space="preserve">Support from Others </w:t>
            </w:r>
          </w:p>
        </w:tc>
      </w:tr>
    </w:tbl>
    <w:p w14:paraId="49462474" w14:textId="77777777" w:rsidR="00725205" w:rsidRPr="00E869A4" w:rsidRDefault="00725205" w:rsidP="00CF6283">
      <w:pPr>
        <w:autoSpaceDE w:val="0"/>
        <w:autoSpaceDN w:val="0"/>
        <w:adjustRightInd w:val="0"/>
        <w:ind w:firstLine="0"/>
        <w:rPr>
          <w:rFonts w:ascii="Times New Roman" w:hAnsi="Times New Roman" w:cs="Times New Roman"/>
          <w:szCs w:val="24"/>
        </w:rPr>
      </w:pPr>
    </w:p>
    <w:p w14:paraId="22F15394" w14:textId="77777777" w:rsidR="003A3042" w:rsidRPr="00E869A4" w:rsidRDefault="003A3042" w:rsidP="00CF6283">
      <w:pPr>
        <w:ind w:firstLine="0"/>
      </w:pPr>
    </w:p>
    <w:p w14:paraId="1F201BA6" w14:textId="77777777" w:rsidR="00725205" w:rsidRPr="00E869A4" w:rsidRDefault="00E76E94" w:rsidP="008C3EFC">
      <w:pPr>
        <w:pStyle w:val="Heading4"/>
      </w:pPr>
      <w:r w:rsidRPr="00E869A4">
        <w:t>Self-Oriented Benefits</w:t>
      </w:r>
    </w:p>
    <w:p w14:paraId="2DD182B4" w14:textId="77777777" w:rsidR="008A0DE7" w:rsidRPr="00E869A4" w:rsidRDefault="008A0DE7" w:rsidP="00B61191">
      <w:pPr>
        <w:ind w:left="567" w:firstLine="0"/>
      </w:pPr>
    </w:p>
    <w:p w14:paraId="598FED3C" w14:textId="77777777" w:rsidR="00725205" w:rsidRPr="00E869A4" w:rsidRDefault="00725205" w:rsidP="0031040A">
      <w:pPr>
        <w:pStyle w:val="Heading5"/>
        <w:rPr>
          <w:color w:val="auto"/>
        </w:rPr>
      </w:pPr>
      <w:r w:rsidRPr="00E869A4">
        <w:rPr>
          <w:color w:val="auto"/>
        </w:rPr>
        <w:t xml:space="preserve">Personal </w:t>
      </w:r>
      <w:r w:rsidR="00023BA2" w:rsidRPr="00E869A4">
        <w:rPr>
          <w:color w:val="auto"/>
        </w:rPr>
        <w:t>g</w:t>
      </w:r>
      <w:r w:rsidRPr="00E869A4">
        <w:rPr>
          <w:color w:val="auto"/>
        </w:rPr>
        <w:t xml:space="preserve">rowth </w:t>
      </w:r>
    </w:p>
    <w:p w14:paraId="018CF955" w14:textId="77777777" w:rsidR="00725205" w:rsidRPr="00E869A4" w:rsidRDefault="00725205" w:rsidP="00A35FF8">
      <w:pPr>
        <w:autoSpaceDE w:val="0"/>
        <w:autoSpaceDN w:val="0"/>
        <w:adjustRightInd w:val="0"/>
        <w:rPr>
          <w:rFonts w:ascii="Times New Roman" w:hAnsi="Times New Roman" w:cs="Times New Roman"/>
          <w:szCs w:val="24"/>
        </w:rPr>
      </w:pPr>
    </w:p>
    <w:p w14:paraId="1845DFE3" w14:textId="7810FBE7"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The family caregivers and paid care workers spoke positively about the growth they perceived in themselves as a benefit of care provision. Some shared about the knowledge and skills they gained</w:t>
      </w:r>
      <w:r w:rsidR="00AD14ED" w:rsidRPr="00E869A4">
        <w:rPr>
          <w:rFonts w:ascii="Times New Roman" w:hAnsi="Times New Roman" w:cs="Times New Roman"/>
          <w:szCs w:val="24"/>
        </w:rPr>
        <w:t>,</w:t>
      </w:r>
      <w:r w:rsidRPr="00E869A4">
        <w:rPr>
          <w:rFonts w:ascii="Times New Roman" w:hAnsi="Times New Roman" w:cs="Times New Roman"/>
          <w:szCs w:val="24"/>
        </w:rPr>
        <w:t xml:space="preserve"> and how their confidence to care for other people increased. This is consistent with the findings of several studies on the benefits of caregiving (e.g. </w:t>
      </w:r>
      <w:r w:rsidR="00B80FF2" w:rsidRPr="00E869A4">
        <w:rPr>
          <w:rFonts w:ascii="Times New Roman" w:hAnsi="Times New Roman" w:cs="Times New Roman"/>
          <w:szCs w:val="24"/>
        </w:rPr>
        <w:t>Farran et al. 1991</w:t>
      </w:r>
      <w:r w:rsidR="00D51955" w:rsidRPr="00E869A4">
        <w:rPr>
          <w:rFonts w:ascii="Times New Roman" w:hAnsi="Times New Roman" w:cs="Times New Roman"/>
          <w:szCs w:val="24"/>
        </w:rPr>
        <w:t>;</w:t>
      </w:r>
      <w:r w:rsidR="00B80FF2" w:rsidRPr="00E869A4">
        <w:rPr>
          <w:rFonts w:ascii="Times New Roman" w:hAnsi="Times New Roman" w:cs="Times New Roman"/>
          <w:szCs w:val="24"/>
        </w:rPr>
        <w:t xml:space="preserve"> Farran 1997; </w:t>
      </w:r>
      <w:r w:rsidRPr="00E869A4">
        <w:rPr>
          <w:rFonts w:ascii="Times New Roman" w:hAnsi="Times New Roman" w:cs="Times New Roman"/>
          <w:szCs w:val="24"/>
        </w:rPr>
        <w:t>Parveen, M</w:t>
      </w:r>
      <w:r w:rsidR="00B80FF2" w:rsidRPr="00E869A4">
        <w:rPr>
          <w:rFonts w:ascii="Times New Roman" w:hAnsi="Times New Roman" w:cs="Times New Roman"/>
          <w:szCs w:val="24"/>
        </w:rPr>
        <w:t>orrison and &amp; Robinson 2011</w:t>
      </w:r>
      <w:r w:rsidR="00014013" w:rsidRPr="00E869A4">
        <w:rPr>
          <w:rFonts w:ascii="Times New Roman" w:hAnsi="Times New Roman" w:cs="Times New Roman"/>
          <w:szCs w:val="24"/>
        </w:rPr>
        <w:t>).</w:t>
      </w:r>
    </w:p>
    <w:p w14:paraId="4BAACF2C" w14:textId="77777777" w:rsidR="00725205" w:rsidRPr="00E869A4" w:rsidRDefault="00725205" w:rsidP="00A35FF8">
      <w:pPr>
        <w:autoSpaceDE w:val="0"/>
        <w:autoSpaceDN w:val="0"/>
        <w:adjustRightInd w:val="0"/>
        <w:rPr>
          <w:rFonts w:ascii="Times New Roman" w:hAnsi="Times New Roman" w:cs="Times New Roman"/>
          <w:szCs w:val="24"/>
        </w:rPr>
      </w:pPr>
    </w:p>
    <w:p w14:paraId="72DAA9CE" w14:textId="7041143C"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Samantha Khan</w:t>
      </w:r>
      <w:r w:rsidR="00AD14ED" w:rsidRPr="00E869A4">
        <w:rPr>
          <w:rFonts w:ascii="Times New Roman" w:hAnsi="Times New Roman" w:cs="Times New Roman"/>
          <w:szCs w:val="24"/>
        </w:rPr>
        <w:t>,</w:t>
      </w:r>
      <w:r w:rsidRPr="00E869A4">
        <w:rPr>
          <w:rFonts w:ascii="Times New Roman" w:hAnsi="Times New Roman" w:cs="Times New Roman"/>
          <w:szCs w:val="24"/>
        </w:rPr>
        <w:t xml:space="preserve"> who was a trained geriatric nurse prior to caring for her father full time, saw her family care work as providing her with ample opportunity to gain useful experience that she could use in the formal health sector. She was confident that the nursing skills she used at home with her father were transferrable to </w:t>
      </w:r>
      <w:r w:rsidR="00014013" w:rsidRPr="00E869A4">
        <w:rPr>
          <w:rFonts w:ascii="Times New Roman" w:hAnsi="Times New Roman" w:cs="Times New Roman"/>
          <w:szCs w:val="24"/>
        </w:rPr>
        <w:t>more formal work contexts:</w:t>
      </w:r>
      <w:r w:rsidRPr="00E869A4">
        <w:rPr>
          <w:rFonts w:ascii="Times New Roman" w:hAnsi="Times New Roman" w:cs="Times New Roman"/>
          <w:szCs w:val="24"/>
        </w:rPr>
        <w:t xml:space="preserve"> </w:t>
      </w:r>
    </w:p>
    <w:p w14:paraId="49B12BB0" w14:textId="77777777" w:rsidR="00725205" w:rsidRPr="00E869A4" w:rsidRDefault="00725205" w:rsidP="00A35FF8">
      <w:pPr>
        <w:autoSpaceDE w:val="0"/>
        <w:autoSpaceDN w:val="0"/>
        <w:adjustRightInd w:val="0"/>
        <w:rPr>
          <w:rFonts w:ascii="Times New Roman" w:hAnsi="Times New Roman" w:cs="Times New Roman"/>
          <w:szCs w:val="24"/>
        </w:rPr>
      </w:pPr>
    </w:p>
    <w:p w14:paraId="0755AC01" w14:textId="7292EF6C" w:rsidR="00725205" w:rsidRPr="00E869A4" w:rsidRDefault="00725205" w:rsidP="00D51955">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I know that a lot of places do look for experience and they would see a gap in your CV and ask well, </w:t>
      </w:r>
      <w:r w:rsidRPr="00E869A4">
        <w:rPr>
          <w:rFonts w:ascii="Times New Roman" w:eastAsia="Times New Roman" w:hAnsi="Times New Roman" w:cs="Times New Roman"/>
          <w:szCs w:val="24"/>
        </w:rPr>
        <w:t>‘Why from this period to this period you wasn’t in an institution?’ But the way I see it</w:t>
      </w:r>
      <w:r w:rsidR="001D2CE3"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1D2CE3"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you don’t have to be in an institution to do nursing, and the nursing that I’m doing at home, a lot of nurses [are] not doing it in an institution. So all I have to do is fill in my CV with what I was doing here</w:t>
      </w:r>
      <w:r w:rsidR="00D51955" w:rsidRPr="00E869A4">
        <w:rPr>
          <w:rFonts w:ascii="Times New Roman" w:eastAsia="Times New Roman" w:hAnsi="Times New Roman" w:cs="Times New Roman"/>
          <w:szCs w:val="24"/>
        </w:rPr>
        <w:t>.</w:t>
      </w:r>
    </w:p>
    <w:p w14:paraId="77BE79B2" w14:textId="77777777" w:rsidR="00014013" w:rsidRPr="00E869A4" w:rsidRDefault="00014013" w:rsidP="001D2CE3">
      <w:pPr>
        <w:autoSpaceDE w:val="0"/>
        <w:autoSpaceDN w:val="0"/>
        <w:adjustRightInd w:val="0"/>
        <w:spacing w:line="240" w:lineRule="auto"/>
        <w:ind w:left="567"/>
        <w:rPr>
          <w:rFonts w:ascii="Times New Roman" w:hAnsi="Times New Roman" w:cs="Times New Roman"/>
          <w:szCs w:val="24"/>
        </w:rPr>
      </w:pPr>
    </w:p>
    <w:p w14:paraId="7CB461AD" w14:textId="265898F1"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Timothy Druman shared about the practical caregiving and age-related life skills that he gained from providing support to his older parents. In Timothy</w:t>
      </w:r>
      <w:r w:rsidRPr="00E869A4">
        <w:rPr>
          <w:rFonts w:ascii="Times New Roman" w:eastAsia="Times New Roman" w:hAnsi="Times New Roman" w:cs="Times New Roman"/>
          <w:szCs w:val="24"/>
        </w:rPr>
        <w:t>’s view, providing care to an older relative was an extremely beneficial experience since the lessons learned could be used by the caregiver to better prepare for and manage their own ageing process</w:t>
      </w:r>
      <w:r w:rsidR="00014013"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p>
    <w:p w14:paraId="2F141658" w14:textId="77777777" w:rsidR="00725205" w:rsidRPr="00E869A4" w:rsidRDefault="00725205" w:rsidP="001D2CE3">
      <w:pPr>
        <w:autoSpaceDE w:val="0"/>
        <w:autoSpaceDN w:val="0"/>
        <w:adjustRightInd w:val="0"/>
        <w:spacing w:line="240" w:lineRule="auto"/>
        <w:ind w:left="567"/>
        <w:rPr>
          <w:rFonts w:ascii="Times New Roman" w:hAnsi="Times New Roman" w:cs="Times New Roman"/>
          <w:szCs w:val="24"/>
        </w:rPr>
      </w:pPr>
    </w:p>
    <w:p w14:paraId="30AA0869" w14:textId="7A46B79F" w:rsidR="00725205" w:rsidRPr="00E869A4" w:rsidRDefault="00725205" w:rsidP="00D51955">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lastRenderedPageBreak/>
        <w:t xml:space="preserve">I remember telling someone just recently </w:t>
      </w:r>
      <w:r w:rsidRPr="00E869A4">
        <w:rPr>
          <w:rFonts w:ascii="Times New Roman" w:eastAsia="Times New Roman" w:hAnsi="Times New Roman" w:cs="Times New Roman"/>
          <w:szCs w:val="24"/>
        </w:rPr>
        <w:t>…</w:t>
      </w:r>
      <w:r w:rsidR="001D2CE3"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that taking care of your parents is a necessary step for you dealing properly with ageing. I mean</w:t>
      </w:r>
      <w:r w:rsidR="00AD14E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if you do it well it will be very good for you</w:t>
      </w:r>
      <w:r w:rsidR="00AD14E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because you learn a lot …</w:t>
      </w:r>
      <w:r w:rsidR="001D2CE3"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I think it is a healthy process</w:t>
      </w:r>
      <w:r w:rsidR="00DC2307" w:rsidRPr="00E869A4">
        <w:rPr>
          <w:rFonts w:ascii="Times New Roman" w:eastAsia="Times New Roman" w:hAnsi="Times New Roman" w:cs="Times New Roman"/>
          <w:szCs w:val="24"/>
        </w:rPr>
        <w:t>.</w:t>
      </w:r>
    </w:p>
    <w:p w14:paraId="061160D7" w14:textId="77777777" w:rsidR="00725205" w:rsidRPr="00E869A4" w:rsidRDefault="00725205" w:rsidP="004D4ADB">
      <w:pPr>
        <w:autoSpaceDE w:val="0"/>
        <w:autoSpaceDN w:val="0"/>
        <w:adjustRightInd w:val="0"/>
        <w:spacing w:line="240" w:lineRule="auto"/>
        <w:ind w:left="567" w:firstLine="0"/>
        <w:rPr>
          <w:rFonts w:ascii="Times New Roman" w:hAnsi="Times New Roman" w:cs="Times New Roman"/>
        </w:rPr>
      </w:pPr>
    </w:p>
    <w:p w14:paraId="63BCD086" w14:textId="3AC9D142" w:rsidR="00725205" w:rsidRPr="00E869A4" w:rsidRDefault="00725205" w:rsidP="004D4ADB">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In addition to life</w:t>
      </w:r>
      <w:r w:rsidR="00DC2307" w:rsidRPr="00E869A4">
        <w:rPr>
          <w:rFonts w:ascii="Times New Roman" w:hAnsi="Times New Roman" w:cs="Times New Roman"/>
          <w:szCs w:val="24"/>
        </w:rPr>
        <w:t xml:space="preserve"> </w:t>
      </w:r>
      <w:r w:rsidRPr="00E869A4">
        <w:rPr>
          <w:rFonts w:ascii="Times New Roman" w:hAnsi="Times New Roman" w:cs="Times New Roman"/>
          <w:szCs w:val="24"/>
        </w:rPr>
        <w:t>skills, Timothy learned technical care skills from other trained individuals</w:t>
      </w:r>
      <w:r w:rsidR="00014013" w:rsidRPr="00E869A4">
        <w:rPr>
          <w:rFonts w:ascii="Times New Roman" w:hAnsi="Times New Roman" w:cs="Times New Roman"/>
          <w:szCs w:val="24"/>
        </w:rPr>
        <w:t>:</w:t>
      </w:r>
      <w:r w:rsidRPr="00E869A4">
        <w:rPr>
          <w:rFonts w:ascii="Times New Roman" w:hAnsi="Times New Roman" w:cs="Times New Roman"/>
          <w:szCs w:val="24"/>
        </w:rPr>
        <w:t xml:space="preserve"> </w:t>
      </w:r>
    </w:p>
    <w:p w14:paraId="5D989C44" w14:textId="77777777" w:rsidR="00725205" w:rsidRPr="00E869A4" w:rsidRDefault="00725205" w:rsidP="004D4ADB">
      <w:pPr>
        <w:autoSpaceDE w:val="0"/>
        <w:autoSpaceDN w:val="0"/>
        <w:adjustRightInd w:val="0"/>
        <w:spacing w:line="240" w:lineRule="auto"/>
        <w:ind w:left="567" w:firstLine="0"/>
        <w:rPr>
          <w:rFonts w:ascii="Times New Roman" w:hAnsi="Times New Roman" w:cs="Times New Roman"/>
          <w:szCs w:val="24"/>
        </w:rPr>
      </w:pPr>
    </w:p>
    <w:p w14:paraId="42AFB2A5" w14:textId="69198747" w:rsidR="00725205" w:rsidRPr="00E869A4" w:rsidRDefault="00725205" w:rsidP="00235734">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Well, some of the things that I learned was from the emergency people who come when we called them: by just watching what they do. Some of it had to do with people we had come to assist, who had training. At one time … we had a nurse: she would come and help in the day</w:t>
      </w:r>
      <w:r w:rsidR="00AD14ED" w:rsidRPr="00E869A4">
        <w:rPr>
          <w:rFonts w:ascii="Times New Roman" w:hAnsi="Times New Roman" w:cs="Times New Roman"/>
          <w:szCs w:val="24"/>
        </w:rPr>
        <w:t>,</w:t>
      </w:r>
      <w:r w:rsidRPr="00E869A4">
        <w:rPr>
          <w:rFonts w:ascii="Times New Roman" w:hAnsi="Times New Roman" w:cs="Times New Roman"/>
          <w:szCs w:val="24"/>
        </w:rPr>
        <w:t xml:space="preserve"> so I would learn some stuff … The 2 ladies who do the night have training</w:t>
      </w:r>
      <w:r w:rsidR="00014013" w:rsidRPr="00E869A4">
        <w:rPr>
          <w:rFonts w:ascii="Times New Roman" w:hAnsi="Times New Roman" w:cs="Times New Roman"/>
          <w:szCs w:val="24"/>
        </w:rPr>
        <w:t>.</w:t>
      </w:r>
    </w:p>
    <w:p w14:paraId="69654AE4" w14:textId="77777777" w:rsidR="00725205" w:rsidRPr="00E869A4" w:rsidRDefault="00725205" w:rsidP="004D4ADB">
      <w:pPr>
        <w:autoSpaceDE w:val="0"/>
        <w:autoSpaceDN w:val="0"/>
        <w:adjustRightInd w:val="0"/>
        <w:spacing w:line="240" w:lineRule="auto"/>
        <w:ind w:left="567" w:firstLine="0"/>
        <w:rPr>
          <w:rFonts w:ascii="Times New Roman" w:hAnsi="Times New Roman" w:cs="Times New Roman"/>
          <w:szCs w:val="24"/>
        </w:rPr>
      </w:pPr>
    </w:p>
    <w:p w14:paraId="6DF6FCB2" w14:textId="6C97A115"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Melissa, one of the paid informal </w:t>
      </w:r>
      <w:r w:rsidR="003957F8" w:rsidRPr="00E869A4">
        <w:rPr>
          <w:rFonts w:ascii="Times New Roman" w:hAnsi="Times New Roman" w:cs="Times New Roman"/>
          <w:szCs w:val="24"/>
        </w:rPr>
        <w:t>care worker</w:t>
      </w:r>
      <w:r w:rsidRPr="00E869A4">
        <w:rPr>
          <w:rFonts w:ascii="Times New Roman" w:hAnsi="Times New Roman" w:cs="Times New Roman"/>
          <w:szCs w:val="24"/>
        </w:rPr>
        <w:t>s who helped to care for Mr. Druman</w:t>
      </w:r>
      <w:r w:rsidR="00AD14ED" w:rsidRPr="00E869A4">
        <w:rPr>
          <w:rFonts w:ascii="Times New Roman" w:hAnsi="Times New Roman" w:cs="Times New Roman"/>
          <w:szCs w:val="24"/>
        </w:rPr>
        <w:t>,</w:t>
      </w:r>
      <w:r w:rsidRPr="00E869A4">
        <w:rPr>
          <w:rFonts w:ascii="Times New Roman" w:hAnsi="Times New Roman" w:cs="Times New Roman"/>
          <w:szCs w:val="24"/>
        </w:rPr>
        <w:t xml:space="preserve"> also shared about learning technical care skills from Timothy and the other paid </w:t>
      </w:r>
      <w:r w:rsidR="003957F8" w:rsidRPr="00E869A4">
        <w:rPr>
          <w:rFonts w:ascii="Times New Roman" w:hAnsi="Times New Roman" w:cs="Times New Roman"/>
          <w:szCs w:val="24"/>
        </w:rPr>
        <w:t>care worker</w:t>
      </w:r>
      <w:r w:rsidRPr="00E869A4">
        <w:rPr>
          <w:rFonts w:ascii="Times New Roman" w:hAnsi="Times New Roman" w:cs="Times New Roman"/>
          <w:szCs w:val="24"/>
        </w:rPr>
        <w:t>s. One skill she learned was how to give Mr. Druman insulin injections. She also shared about the increased appreciation for life that she gained as a result of the elder care-work she provided</w:t>
      </w:r>
      <w:r w:rsidR="00014013" w:rsidRPr="00E869A4">
        <w:rPr>
          <w:rFonts w:ascii="Times New Roman" w:hAnsi="Times New Roman" w:cs="Times New Roman"/>
          <w:szCs w:val="24"/>
        </w:rPr>
        <w:t>:</w:t>
      </w:r>
      <w:r w:rsidRPr="00E869A4">
        <w:rPr>
          <w:rFonts w:ascii="Times New Roman" w:hAnsi="Times New Roman" w:cs="Times New Roman"/>
          <w:szCs w:val="24"/>
        </w:rPr>
        <w:t xml:space="preserve"> </w:t>
      </w:r>
    </w:p>
    <w:p w14:paraId="76299EA5" w14:textId="77777777" w:rsidR="00235734" w:rsidRPr="00E869A4" w:rsidRDefault="00235734" w:rsidP="00802328">
      <w:pPr>
        <w:autoSpaceDE w:val="0"/>
        <w:autoSpaceDN w:val="0"/>
        <w:adjustRightInd w:val="0"/>
        <w:spacing w:line="240" w:lineRule="auto"/>
        <w:rPr>
          <w:rFonts w:ascii="Times New Roman" w:hAnsi="Times New Roman" w:cs="Times New Roman"/>
          <w:szCs w:val="24"/>
        </w:rPr>
      </w:pPr>
    </w:p>
    <w:p w14:paraId="0A6E83FE" w14:textId="6FE92722" w:rsidR="00725205" w:rsidRPr="00E869A4" w:rsidRDefault="00725205" w:rsidP="00235734">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It makes you </w:t>
      </w:r>
      <w:r w:rsidRPr="00E869A4">
        <w:rPr>
          <w:rFonts w:ascii="Times New Roman" w:eastAsia="Times New Roman" w:hAnsi="Times New Roman" w:cs="Times New Roman"/>
          <w:szCs w:val="24"/>
        </w:rPr>
        <w:t>… take life less for granted. Because … when you see it taking somebody 20 minutes to just get up and reach for something, it causes you to feel a little more thankful and grateful for all that you can do and … to think more about life and using your time wisely while you have it</w:t>
      </w:r>
      <w:r w:rsidR="00235734" w:rsidRPr="00E869A4">
        <w:rPr>
          <w:rFonts w:ascii="Times New Roman" w:eastAsia="Times New Roman" w:hAnsi="Times New Roman" w:cs="Times New Roman"/>
          <w:szCs w:val="24"/>
        </w:rPr>
        <w:t>.</w:t>
      </w:r>
    </w:p>
    <w:p w14:paraId="4CCA708E" w14:textId="77777777" w:rsidR="003A3042" w:rsidRPr="00E869A4" w:rsidRDefault="003A3042" w:rsidP="004D4ADB">
      <w:pPr>
        <w:autoSpaceDE w:val="0"/>
        <w:autoSpaceDN w:val="0"/>
        <w:adjustRightInd w:val="0"/>
        <w:spacing w:line="240" w:lineRule="auto"/>
        <w:ind w:left="567" w:firstLine="0"/>
        <w:rPr>
          <w:rFonts w:ascii="Times New Roman" w:hAnsi="Times New Roman" w:cs="Times New Roman"/>
          <w:szCs w:val="24"/>
        </w:rPr>
      </w:pPr>
    </w:p>
    <w:p w14:paraId="0D4CC3CB" w14:textId="673D251D" w:rsidR="00725205" w:rsidRPr="00E869A4" w:rsidRDefault="00725205" w:rsidP="004F5D6F">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Mastering new skills ha</w:t>
      </w:r>
      <w:r w:rsidR="00FC442B" w:rsidRPr="00E869A4">
        <w:rPr>
          <w:rFonts w:ascii="Times New Roman" w:hAnsi="Times New Roman" w:cs="Times New Roman"/>
          <w:szCs w:val="24"/>
        </w:rPr>
        <w:t>s</w:t>
      </w:r>
      <w:r w:rsidRPr="00E869A4">
        <w:rPr>
          <w:rFonts w:ascii="Times New Roman" w:hAnsi="Times New Roman" w:cs="Times New Roman"/>
          <w:szCs w:val="24"/>
        </w:rPr>
        <w:t xml:space="preserve"> been highlighted in several studies in which caregivers described gaining a sense of competency as a positive aspect of caregiving (</w:t>
      </w:r>
      <w:r w:rsidR="000F598F" w:rsidRPr="00E869A4">
        <w:rPr>
          <w:rFonts w:ascii="Times New Roman" w:hAnsi="Times New Roman" w:cs="Times New Roman"/>
        </w:rPr>
        <w:t xml:space="preserve">Lloyd, Patterson </w:t>
      </w:r>
      <w:r w:rsidR="005B0556" w:rsidRPr="00E869A4">
        <w:rPr>
          <w:rFonts w:ascii="Times New Roman" w:hAnsi="Times New Roman" w:cs="Times New Roman"/>
        </w:rPr>
        <w:t>&amp;</w:t>
      </w:r>
      <w:r w:rsidR="000F598F" w:rsidRPr="00E869A4">
        <w:rPr>
          <w:rFonts w:ascii="Times New Roman" w:hAnsi="Times New Roman" w:cs="Times New Roman"/>
        </w:rPr>
        <w:t xml:space="preserve"> Muers </w:t>
      </w:r>
      <w:r w:rsidRPr="00E869A4">
        <w:rPr>
          <w:rFonts w:ascii="Times New Roman" w:hAnsi="Times New Roman" w:cs="Times New Roman"/>
          <w:szCs w:val="24"/>
        </w:rPr>
        <w:t>2016</w:t>
      </w:r>
      <w:r w:rsidR="005B0556" w:rsidRPr="00E869A4">
        <w:rPr>
          <w:rFonts w:ascii="Times New Roman" w:hAnsi="Times New Roman" w:cs="Times New Roman"/>
          <w:szCs w:val="24"/>
        </w:rPr>
        <w:t>; Peacock et al. 2017</w:t>
      </w:r>
      <w:r w:rsidRPr="00E869A4">
        <w:rPr>
          <w:rFonts w:ascii="Times New Roman" w:hAnsi="Times New Roman" w:cs="Times New Roman"/>
          <w:szCs w:val="24"/>
        </w:rPr>
        <w:t>).</w:t>
      </w:r>
    </w:p>
    <w:p w14:paraId="54FFEBCE" w14:textId="77777777" w:rsidR="00725205" w:rsidRPr="00E869A4" w:rsidRDefault="00725205" w:rsidP="00802328">
      <w:pPr>
        <w:autoSpaceDE w:val="0"/>
        <w:autoSpaceDN w:val="0"/>
        <w:adjustRightInd w:val="0"/>
        <w:spacing w:line="240" w:lineRule="auto"/>
        <w:rPr>
          <w:rFonts w:ascii="Times New Roman" w:hAnsi="Times New Roman" w:cs="Times New Roman"/>
          <w:szCs w:val="24"/>
        </w:rPr>
      </w:pPr>
    </w:p>
    <w:p w14:paraId="79062C5A" w14:textId="31E036ED" w:rsidR="00725205"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Melissa was a University student who provided part-time elder care support on a weekend. She was also the youngest interviewee that participated in this study. She admitted that providing elder care was at times challenging, especially when she first started doing paid care work. However, she valued the increased patience and understanding that she developed over time</w:t>
      </w:r>
      <w:r w:rsidR="00576F74" w:rsidRPr="00E869A4">
        <w:rPr>
          <w:rFonts w:ascii="Times New Roman" w:hAnsi="Times New Roman" w:cs="Times New Roman"/>
          <w:szCs w:val="24"/>
        </w:rPr>
        <w:t>:</w:t>
      </w:r>
    </w:p>
    <w:p w14:paraId="6F8E4AD0" w14:textId="77777777" w:rsidR="00D86E6E" w:rsidRPr="00E869A4" w:rsidRDefault="00D86E6E" w:rsidP="00A35FF8">
      <w:pPr>
        <w:autoSpaceDE w:val="0"/>
        <w:autoSpaceDN w:val="0"/>
        <w:adjustRightInd w:val="0"/>
        <w:rPr>
          <w:rFonts w:ascii="Times New Roman" w:hAnsi="Times New Roman" w:cs="Times New Roman"/>
          <w:szCs w:val="24"/>
        </w:rPr>
      </w:pPr>
    </w:p>
    <w:p w14:paraId="4A1506AE" w14:textId="56EACABB" w:rsidR="00725205" w:rsidRPr="00E869A4" w:rsidRDefault="00725205" w:rsidP="00BE4894">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I think it is a very valuable experience. [I]t is really difficult at first because you have to learn to be humble </w:t>
      </w:r>
      <w:r w:rsidR="004F5D6F"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to have patience and be accommodating</w:t>
      </w:r>
      <w:r w:rsidR="00BE4894" w:rsidRPr="00E869A4">
        <w:rPr>
          <w:rFonts w:ascii="Times New Roman" w:eastAsia="Times New Roman" w:hAnsi="Times New Roman" w:cs="Times New Roman"/>
          <w:szCs w:val="24"/>
        </w:rPr>
        <w:t xml:space="preserve"> </w:t>
      </w:r>
      <w:r w:rsidR="004F5D6F"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you just have to learn to swallow your pride and say yes, the food is too hot even though you know it’s not and let it cool</w:t>
      </w:r>
      <w:r w:rsidR="00FC442B"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you know it’s just right and the person can eat it but … yuh just say yes</w:t>
      </w:r>
      <w:r w:rsidR="00BE4894" w:rsidRPr="00E869A4">
        <w:rPr>
          <w:rFonts w:ascii="Times New Roman" w:eastAsia="Times New Roman" w:hAnsi="Times New Roman" w:cs="Times New Roman"/>
          <w:szCs w:val="24"/>
        </w:rPr>
        <w:t xml:space="preserve"> </w:t>
      </w:r>
      <w:r w:rsidR="004F5D6F" w:rsidRPr="00E869A4">
        <w:rPr>
          <w:rFonts w:ascii="Times New Roman" w:eastAsia="Times New Roman" w:hAnsi="Times New Roman" w:cs="Times New Roman"/>
          <w:szCs w:val="24"/>
        </w:rPr>
        <w:t>…</w:t>
      </w:r>
      <w:r w:rsidR="00BE4894"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I have become a LOT more patien</w:t>
      </w:r>
      <w:r w:rsidR="007E622C" w:rsidRPr="00E869A4">
        <w:rPr>
          <w:rFonts w:ascii="Times New Roman" w:eastAsia="Times New Roman" w:hAnsi="Times New Roman" w:cs="Times New Roman"/>
          <w:szCs w:val="24"/>
        </w:rPr>
        <w:t>t</w:t>
      </w:r>
      <w:r w:rsidRPr="00E869A4">
        <w:rPr>
          <w:rFonts w:ascii="Times New Roman" w:eastAsia="Times New Roman" w:hAnsi="Times New Roman" w:cs="Times New Roman"/>
          <w:szCs w:val="24"/>
        </w:rPr>
        <w:t xml:space="preserve"> than when I started, ‘cause that’s the only way: there’s no alternative</w:t>
      </w:r>
      <w:r w:rsidR="00BE4894" w:rsidRPr="00E869A4">
        <w:rPr>
          <w:rFonts w:ascii="Times New Roman" w:eastAsia="Times New Roman" w:hAnsi="Times New Roman" w:cs="Times New Roman"/>
          <w:szCs w:val="24"/>
        </w:rPr>
        <w:t>.</w:t>
      </w:r>
    </w:p>
    <w:p w14:paraId="23AE11C3" w14:textId="77777777" w:rsidR="00725205" w:rsidRPr="00E869A4" w:rsidRDefault="00725205" w:rsidP="004D4ADB">
      <w:pPr>
        <w:autoSpaceDE w:val="0"/>
        <w:autoSpaceDN w:val="0"/>
        <w:adjustRightInd w:val="0"/>
        <w:spacing w:line="240" w:lineRule="auto"/>
        <w:ind w:left="567" w:firstLine="0"/>
        <w:rPr>
          <w:rFonts w:ascii="Times New Roman" w:hAnsi="Times New Roman" w:cs="Times New Roman"/>
          <w:szCs w:val="24"/>
        </w:rPr>
      </w:pPr>
    </w:p>
    <w:p w14:paraId="5C7611B6" w14:textId="6650EE73" w:rsidR="00725205" w:rsidRPr="00E869A4" w:rsidRDefault="00725205" w:rsidP="007B7C06">
      <w:pPr>
        <w:autoSpaceDE w:val="0"/>
        <w:autoSpaceDN w:val="0"/>
        <w:adjustRightInd w:val="0"/>
        <w:rPr>
          <w:rFonts w:ascii="Times New Roman" w:hAnsi="Times New Roman" w:cs="Times New Roman"/>
          <w:i/>
          <w:szCs w:val="24"/>
        </w:rPr>
      </w:pPr>
      <w:r w:rsidRPr="00E869A4">
        <w:rPr>
          <w:rFonts w:ascii="Times New Roman" w:hAnsi="Times New Roman" w:cs="Times New Roman"/>
          <w:szCs w:val="24"/>
        </w:rPr>
        <w:t xml:space="preserve">An increased sense of empathy and compassion was another self-oriented benefit of providing care. Reshma Maharaj identified this as a positive outcome of the care she provided </w:t>
      </w:r>
      <w:r w:rsidR="00576F74" w:rsidRPr="00E869A4">
        <w:rPr>
          <w:rFonts w:ascii="Times New Roman" w:hAnsi="Times New Roman" w:cs="Times New Roman"/>
          <w:szCs w:val="24"/>
        </w:rPr>
        <w:t>to her older mother and sisters:</w:t>
      </w:r>
      <w:r w:rsidRPr="00E869A4">
        <w:rPr>
          <w:rFonts w:ascii="Times New Roman" w:hAnsi="Times New Roman" w:cs="Times New Roman"/>
          <w:szCs w:val="24"/>
        </w:rPr>
        <w:t xml:space="preserve"> </w:t>
      </w:r>
      <w:r w:rsidRPr="00E869A4">
        <w:rPr>
          <w:rFonts w:ascii="Times New Roman" w:eastAsia="Times New Roman" w:hAnsi="Times New Roman" w:cs="Times New Roman"/>
          <w:szCs w:val="24"/>
        </w:rPr>
        <w:t>“</w:t>
      </w:r>
      <w:r w:rsidRPr="00E869A4">
        <w:rPr>
          <w:rFonts w:ascii="Times New Roman" w:hAnsi="Times New Roman" w:cs="Times New Roman"/>
          <w:szCs w:val="24"/>
        </w:rPr>
        <w:t>It gives you [an] opportunity [to] see people out there and know what they going through, and you will have a heart for them</w:t>
      </w:r>
      <w:r w:rsidR="00A10EA4" w:rsidRPr="00E869A4">
        <w:rPr>
          <w:rFonts w:ascii="Times New Roman" w:hAnsi="Times New Roman" w:cs="Times New Roman"/>
          <w:szCs w:val="24"/>
        </w:rPr>
        <w:t>.</w:t>
      </w:r>
      <w:r w:rsidRPr="00E869A4">
        <w:rPr>
          <w:rFonts w:ascii="Times New Roman" w:eastAsia="Times New Roman" w:hAnsi="Times New Roman" w:cs="Times New Roman"/>
          <w:szCs w:val="24"/>
        </w:rPr>
        <w:t xml:space="preserve">” (FCG: </w:t>
      </w:r>
      <w:r w:rsidRPr="00E869A4">
        <w:rPr>
          <w:rFonts w:ascii="Times New Roman" w:hAnsi="Times New Roman" w:cs="Times New Roman"/>
          <w:szCs w:val="24"/>
        </w:rPr>
        <w:t>Reshma)</w:t>
      </w:r>
      <w:r w:rsidR="007B7C06" w:rsidRPr="00E869A4">
        <w:rPr>
          <w:rFonts w:ascii="Times New Roman" w:hAnsi="Times New Roman" w:cs="Times New Roman"/>
          <w:szCs w:val="24"/>
        </w:rPr>
        <w:t>.</w:t>
      </w:r>
    </w:p>
    <w:p w14:paraId="5FB623A4" w14:textId="1EB908EB"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lastRenderedPageBreak/>
        <w:t>A related benefit of providing care was reduced anxiety and peace</w:t>
      </w:r>
      <w:r w:rsidR="00576F74" w:rsidRPr="00E869A4">
        <w:rPr>
          <w:rFonts w:ascii="Times New Roman" w:hAnsi="Times New Roman" w:cs="Times New Roman"/>
          <w:szCs w:val="24"/>
        </w:rPr>
        <w:t xml:space="preserve"> </w:t>
      </w:r>
      <w:r w:rsidRPr="00E869A4">
        <w:rPr>
          <w:rFonts w:ascii="Times New Roman" w:hAnsi="Times New Roman" w:cs="Times New Roman"/>
          <w:szCs w:val="24"/>
        </w:rPr>
        <w:t>of</w:t>
      </w:r>
      <w:r w:rsidR="00576F74" w:rsidRPr="00E869A4">
        <w:rPr>
          <w:rFonts w:ascii="Times New Roman" w:hAnsi="Times New Roman" w:cs="Times New Roman"/>
          <w:szCs w:val="24"/>
        </w:rPr>
        <w:t xml:space="preserve"> </w:t>
      </w:r>
      <w:r w:rsidRPr="00E869A4">
        <w:rPr>
          <w:rFonts w:ascii="Times New Roman" w:hAnsi="Times New Roman" w:cs="Times New Roman"/>
          <w:szCs w:val="24"/>
        </w:rPr>
        <w:t>mind. As discussed in the last chapter, Samantha Khan shared about the peace</w:t>
      </w:r>
      <w:r w:rsidR="00576F74" w:rsidRPr="00E869A4">
        <w:rPr>
          <w:rFonts w:ascii="Times New Roman" w:hAnsi="Times New Roman" w:cs="Times New Roman"/>
          <w:szCs w:val="24"/>
        </w:rPr>
        <w:t xml:space="preserve"> </w:t>
      </w:r>
      <w:r w:rsidRPr="00E869A4">
        <w:rPr>
          <w:rFonts w:ascii="Times New Roman" w:hAnsi="Times New Roman" w:cs="Times New Roman"/>
          <w:szCs w:val="24"/>
        </w:rPr>
        <w:t>of</w:t>
      </w:r>
      <w:r w:rsidR="00576F74" w:rsidRPr="00E869A4">
        <w:rPr>
          <w:rFonts w:ascii="Times New Roman" w:hAnsi="Times New Roman" w:cs="Times New Roman"/>
          <w:szCs w:val="24"/>
        </w:rPr>
        <w:t xml:space="preserve"> </w:t>
      </w:r>
      <w:r w:rsidRPr="00E869A4">
        <w:rPr>
          <w:rFonts w:ascii="Times New Roman" w:hAnsi="Times New Roman" w:cs="Times New Roman"/>
          <w:szCs w:val="24"/>
        </w:rPr>
        <w:t xml:space="preserve">mind she experienced from caring for her father. Her emotional wellbeing improved when she decided to become a full time </w:t>
      </w:r>
      <w:proofErr w:type="spellStart"/>
      <w:r w:rsidRPr="00E869A4">
        <w:rPr>
          <w:rFonts w:ascii="Times New Roman" w:hAnsi="Times New Roman" w:cs="Times New Roman"/>
          <w:szCs w:val="24"/>
        </w:rPr>
        <w:t>carer</w:t>
      </w:r>
      <w:proofErr w:type="spellEnd"/>
      <w:r w:rsidR="005E37FF" w:rsidRPr="00E869A4">
        <w:rPr>
          <w:rFonts w:ascii="Times New Roman" w:hAnsi="Times New Roman" w:cs="Times New Roman"/>
          <w:szCs w:val="24"/>
        </w:rPr>
        <w:t>,</w:t>
      </w:r>
      <w:r w:rsidRPr="00E869A4">
        <w:rPr>
          <w:rFonts w:ascii="Times New Roman" w:hAnsi="Times New Roman" w:cs="Times New Roman"/>
          <w:szCs w:val="24"/>
        </w:rPr>
        <w:t xml:space="preserve"> </w:t>
      </w:r>
      <w:r w:rsidR="005E37FF" w:rsidRPr="00E869A4">
        <w:rPr>
          <w:rFonts w:ascii="Times New Roman" w:hAnsi="Times New Roman" w:cs="Times New Roman"/>
          <w:szCs w:val="24"/>
        </w:rPr>
        <w:t>as her commitment to doing so</w:t>
      </w:r>
      <w:r w:rsidRPr="00E869A4">
        <w:rPr>
          <w:rFonts w:ascii="Times New Roman" w:hAnsi="Times New Roman" w:cs="Times New Roman"/>
          <w:szCs w:val="24"/>
        </w:rPr>
        <w:t xml:space="preserve"> removed the anxiety she had about the care provided by her sister-in-law</w:t>
      </w:r>
      <w:r w:rsidR="005E37FF" w:rsidRPr="00E869A4">
        <w:rPr>
          <w:rFonts w:ascii="Times New Roman" w:hAnsi="Times New Roman" w:cs="Times New Roman"/>
          <w:szCs w:val="24"/>
        </w:rPr>
        <w:t>,</w:t>
      </w:r>
      <w:r w:rsidRPr="00E869A4">
        <w:rPr>
          <w:rFonts w:ascii="Times New Roman" w:hAnsi="Times New Roman" w:cs="Times New Roman"/>
          <w:szCs w:val="24"/>
        </w:rPr>
        <w:t xml:space="preserve"> and any guilt she might have felt if she did not fulfil her mother</w:t>
      </w:r>
      <w:r w:rsidRPr="00E869A4">
        <w:rPr>
          <w:rFonts w:ascii="Times New Roman" w:eastAsia="Times New Roman" w:hAnsi="Times New Roman" w:cs="Times New Roman"/>
          <w:szCs w:val="24"/>
        </w:rPr>
        <w:t xml:space="preserve">’s dying wish, that she take care of her </w:t>
      </w:r>
      <w:r w:rsidR="005E37FF" w:rsidRPr="00E869A4">
        <w:rPr>
          <w:rFonts w:ascii="Times New Roman" w:eastAsia="Times New Roman" w:hAnsi="Times New Roman" w:cs="Times New Roman"/>
          <w:szCs w:val="24"/>
        </w:rPr>
        <w:t>father</w:t>
      </w:r>
      <w:r w:rsidRPr="00E869A4">
        <w:rPr>
          <w:rFonts w:ascii="Times New Roman" w:eastAsia="Times New Roman" w:hAnsi="Times New Roman" w:cs="Times New Roman"/>
          <w:szCs w:val="24"/>
        </w:rPr>
        <w:t>.</w:t>
      </w:r>
    </w:p>
    <w:p w14:paraId="3B97E6A1" w14:textId="77777777" w:rsidR="005E37FF" w:rsidRPr="00E869A4" w:rsidRDefault="005E37FF" w:rsidP="00CE4386">
      <w:pPr>
        <w:spacing w:line="240" w:lineRule="auto"/>
        <w:ind w:left="567" w:firstLine="0"/>
      </w:pPr>
    </w:p>
    <w:p w14:paraId="4179A602" w14:textId="77777777" w:rsidR="00725205" w:rsidRPr="00E869A4" w:rsidRDefault="00725205" w:rsidP="0031040A">
      <w:pPr>
        <w:pStyle w:val="Heading5"/>
        <w:rPr>
          <w:color w:val="auto"/>
        </w:rPr>
      </w:pPr>
      <w:r w:rsidRPr="00E869A4">
        <w:rPr>
          <w:color w:val="auto"/>
        </w:rPr>
        <w:t xml:space="preserve">Enhanced </w:t>
      </w:r>
      <w:r w:rsidR="00023BA2" w:rsidRPr="00E869A4">
        <w:rPr>
          <w:color w:val="auto"/>
        </w:rPr>
        <w:t>r</w:t>
      </w:r>
      <w:r w:rsidRPr="00E869A4">
        <w:rPr>
          <w:color w:val="auto"/>
        </w:rPr>
        <w:t>elationships</w:t>
      </w:r>
    </w:p>
    <w:p w14:paraId="72E270AB" w14:textId="77777777" w:rsidR="00725205" w:rsidRPr="00E869A4" w:rsidRDefault="00725205" w:rsidP="00A35FF8">
      <w:pPr>
        <w:autoSpaceDE w:val="0"/>
        <w:autoSpaceDN w:val="0"/>
        <w:adjustRightInd w:val="0"/>
        <w:rPr>
          <w:rFonts w:ascii="Times New Roman" w:hAnsi="Times New Roman" w:cs="Times New Roman"/>
          <w:szCs w:val="24"/>
        </w:rPr>
      </w:pPr>
    </w:p>
    <w:p w14:paraId="74093712" w14:textId="163FA139"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Some of the caregivers identified an improvement in the quality of their relationship with their older relative. Samantha Khan stated</w:t>
      </w:r>
      <w:r w:rsidR="009E7B93" w:rsidRPr="00E869A4">
        <w:rPr>
          <w:rFonts w:ascii="Times New Roman" w:hAnsi="Times New Roman" w:cs="Times New Roman"/>
          <w:szCs w:val="24"/>
        </w:rPr>
        <w:t>:</w:t>
      </w:r>
    </w:p>
    <w:p w14:paraId="20929D8F" w14:textId="77777777" w:rsidR="00725205" w:rsidRPr="00E869A4" w:rsidRDefault="00725205" w:rsidP="004D4ADB">
      <w:pPr>
        <w:autoSpaceDE w:val="0"/>
        <w:autoSpaceDN w:val="0"/>
        <w:adjustRightInd w:val="0"/>
        <w:spacing w:line="240" w:lineRule="auto"/>
        <w:ind w:left="567" w:firstLine="0"/>
        <w:rPr>
          <w:rFonts w:ascii="Times New Roman" w:hAnsi="Times New Roman" w:cs="Times New Roman"/>
          <w:szCs w:val="24"/>
        </w:rPr>
      </w:pPr>
    </w:p>
    <w:p w14:paraId="33B33FB5" w14:textId="3F1E3F4D" w:rsidR="00725205" w:rsidRPr="00E869A4" w:rsidRDefault="00725205" w:rsidP="004A13A8">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I feel maybe we got closer because I</w:t>
      </w:r>
      <w:r w:rsidRPr="00E869A4">
        <w:rPr>
          <w:rFonts w:ascii="Times New Roman" w:eastAsia="Times New Roman" w:hAnsi="Times New Roman" w:cs="Times New Roman"/>
          <w:szCs w:val="24"/>
        </w:rPr>
        <w:t>’m caring for him now. Before … you’re not thinking about the sacrifices [they made]. But now that you are doing it you realise what a great sacrifice they made</w:t>
      </w:r>
      <w:r w:rsidR="00CA4098"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CA4098"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for you</w:t>
      </w:r>
      <w:r w:rsidRPr="00E869A4">
        <w:rPr>
          <w:rFonts w:ascii="Times New Roman" w:hAnsi="Times New Roman" w:cs="Times New Roman"/>
          <w:szCs w:val="24"/>
        </w:rPr>
        <w:t>.</w:t>
      </w:r>
    </w:p>
    <w:p w14:paraId="7E9FC48A" w14:textId="77777777" w:rsidR="00725205" w:rsidRPr="00E869A4" w:rsidRDefault="00725205" w:rsidP="004D4ADB">
      <w:pPr>
        <w:autoSpaceDE w:val="0"/>
        <w:autoSpaceDN w:val="0"/>
        <w:adjustRightInd w:val="0"/>
        <w:spacing w:line="240" w:lineRule="auto"/>
        <w:ind w:left="567" w:firstLine="0"/>
        <w:rPr>
          <w:rFonts w:ascii="Times New Roman" w:hAnsi="Times New Roman" w:cs="Times New Roman"/>
          <w:szCs w:val="24"/>
        </w:rPr>
      </w:pPr>
    </w:p>
    <w:p w14:paraId="5243CE67" w14:textId="05456D12" w:rsidR="00725205" w:rsidRPr="00E869A4" w:rsidRDefault="00725205" w:rsidP="004A13A8">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Sheila shared a similar view</w:t>
      </w:r>
      <w:r w:rsidR="001E4754" w:rsidRPr="00E869A4">
        <w:rPr>
          <w:rFonts w:ascii="Times New Roman" w:hAnsi="Times New Roman" w:cs="Times New Roman"/>
          <w:szCs w:val="24"/>
        </w:rPr>
        <w:t>:</w:t>
      </w:r>
    </w:p>
    <w:p w14:paraId="11723623" w14:textId="77777777" w:rsidR="007B2B49" w:rsidRPr="00E869A4" w:rsidRDefault="007B2B49" w:rsidP="007B2B49">
      <w:pPr>
        <w:autoSpaceDE w:val="0"/>
        <w:autoSpaceDN w:val="0"/>
        <w:adjustRightInd w:val="0"/>
        <w:spacing w:line="240" w:lineRule="auto"/>
        <w:ind w:left="567" w:firstLine="0"/>
        <w:rPr>
          <w:rFonts w:ascii="Times New Roman" w:hAnsi="Times New Roman" w:cs="Times New Roman"/>
          <w:szCs w:val="24"/>
        </w:rPr>
      </w:pPr>
    </w:p>
    <w:p w14:paraId="023D995B" w14:textId="114BE4E0" w:rsidR="00725205" w:rsidRPr="00E869A4" w:rsidRDefault="00725205" w:rsidP="00FE2B1E">
      <w:pPr>
        <w:autoSpaceDE w:val="0"/>
        <w:autoSpaceDN w:val="0"/>
        <w:adjustRightInd w:val="0"/>
        <w:spacing w:line="240" w:lineRule="auto"/>
        <w:ind w:left="567" w:firstLine="0"/>
        <w:rPr>
          <w:rFonts w:ascii="Times New Roman" w:eastAsia="Times New Roman" w:hAnsi="Times New Roman" w:cs="Times New Roman"/>
          <w:szCs w:val="24"/>
        </w:rPr>
      </w:pPr>
      <w:r w:rsidRPr="00E869A4">
        <w:rPr>
          <w:rFonts w:ascii="Times New Roman" w:eastAsia="Times New Roman" w:hAnsi="Times New Roman" w:cs="Times New Roman"/>
          <w:szCs w:val="24"/>
        </w:rPr>
        <w:t>I know her a lot more now than I would have before. I think that [caring for her] has brought us closer</w:t>
      </w:r>
      <w:r w:rsidR="00CA4098"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CA4098"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I think I understand her feelings, her emotional needs more than ever because to me, before, parents are always strong, always formidable and they can do everything and anything. But then you also recognise that they are also vulnerable</w:t>
      </w:r>
      <w:r w:rsidR="00833442"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they need your support and she needs me, maybe as much as when I was growing up needed her</w:t>
      </w:r>
      <w:r w:rsidR="001E4754" w:rsidRPr="00E869A4">
        <w:rPr>
          <w:rFonts w:ascii="Times New Roman" w:eastAsia="Times New Roman" w:hAnsi="Times New Roman" w:cs="Times New Roman"/>
          <w:szCs w:val="24"/>
        </w:rPr>
        <w:t>.</w:t>
      </w:r>
    </w:p>
    <w:p w14:paraId="27981CE6" w14:textId="77777777" w:rsidR="00CA4098" w:rsidRPr="00E869A4" w:rsidRDefault="00CA4098" w:rsidP="00FE2B1E">
      <w:pPr>
        <w:autoSpaceDE w:val="0"/>
        <w:autoSpaceDN w:val="0"/>
        <w:adjustRightInd w:val="0"/>
        <w:spacing w:line="240" w:lineRule="auto"/>
        <w:ind w:left="567" w:firstLine="0"/>
        <w:rPr>
          <w:rFonts w:ascii="Times New Roman" w:hAnsi="Times New Roman" w:cs="Times New Roman"/>
          <w:szCs w:val="24"/>
        </w:rPr>
      </w:pPr>
    </w:p>
    <w:p w14:paraId="3FBD38F6" w14:textId="22E569A3"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Thus, the experience of caregiving provided these daughters with an increased awareness of the sacrifices their parents made to care for them, and this in turn strengthened the connection between them and their parent. However, in other studies</w:t>
      </w:r>
      <w:r w:rsidR="00CA2652" w:rsidRPr="00E869A4">
        <w:rPr>
          <w:rFonts w:ascii="Times New Roman" w:hAnsi="Times New Roman" w:cs="Times New Roman"/>
          <w:szCs w:val="24"/>
        </w:rPr>
        <w:t>,</w:t>
      </w:r>
      <w:r w:rsidRPr="00E869A4">
        <w:rPr>
          <w:rFonts w:ascii="Times New Roman" w:hAnsi="Times New Roman" w:cs="Times New Roman"/>
          <w:szCs w:val="24"/>
        </w:rPr>
        <w:t xml:space="preserve"> role-reversal between the cared-for person and their family caregiver was often viewed as contributing to increased physical and emotional strain on both parties (</w:t>
      </w:r>
      <w:r w:rsidR="001E4754" w:rsidRPr="00E869A4">
        <w:rPr>
          <w:rFonts w:ascii="Times New Roman" w:hAnsi="Times New Roman" w:cs="Times New Roman"/>
          <w:szCs w:val="24"/>
        </w:rPr>
        <w:t xml:space="preserve">Dellmann et al. 2000; </w:t>
      </w:r>
      <w:r w:rsidRPr="00E869A4">
        <w:rPr>
          <w:rFonts w:ascii="Times New Roman" w:hAnsi="Times New Roman" w:cs="Times New Roman"/>
          <w:szCs w:val="24"/>
        </w:rPr>
        <w:t>Emami et al</w:t>
      </w:r>
      <w:r w:rsidR="001E4754" w:rsidRPr="00E869A4">
        <w:rPr>
          <w:rFonts w:ascii="Times New Roman" w:hAnsi="Times New Roman" w:cs="Times New Roman"/>
          <w:szCs w:val="24"/>
        </w:rPr>
        <w:t>.</w:t>
      </w:r>
      <w:r w:rsidRPr="00E869A4">
        <w:rPr>
          <w:rFonts w:ascii="Times New Roman" w:hAnsi="Times New Roman" w:cs="Times New Roman"/>
          <w:szCs w:val="24"/>
        </w:rPr>
        <w:t xml:space="preserve"> 2000; </w:t>
      </w:r>
      <w:r w:rsidR="001E4754" w:rsidRPr="00E869A4">
        <w:rPr>
          <w:rFonts w:ascii="Times New Roman" w:hAnsi="Times New Roman" w:cs="Times New Roman"/>
          <w:szCs w:val="24"/>
        </w:rPr>
        <w:t xml:space="preserve">Parsons 1997; </w:t>
      </w:r>
      <w:r w:rsidRPr="00E869A4">
        <w:rPr>
          <w:rFonts w:ascii="Times New Roman" w:hAnsi="Times New Roman" w:cs="Times New Roman"/>
          <w:szCs w:val="24"/>
        </w:rPr>
        <w:t>Silverstein et al</w:t>
      </w:r>
      <w:r w:rsidR="001E4754" w:rsidRPr="00E869A4">
        <w:rPr>
          <w:rFonts w:ascii="Times New Roman" w:hAnsi="Times New Roman" w:cs="Times New Roman"/>
          <w:szCs w:val="24"/>
        </w:rPr>
        <w:t>. 1996</w:t>
      </w:r>
      <w:r w:rsidRPr="00E869A4">
        <w:rPr>
          <w:rFonts w:ascii="Times New Roman" w:hAnsi="Times New Roman" w:cs="Times New Roman"/>
          <w:szCs w:val="24"/>
        </w:rPr>
        <w:t>). The issue of role-reversal between persons who eventually became caregivers and cared-for older relatives is a long-standing theme in the discourse on family caregiving (</w:t>
      </w:r>
      <w:r w:rsidR="001E4754" w:rsidRPr="00E869A4">
        <w:rPr>
          <w:rFonts w:ascii="Times New Roman" w:hAnsi="Times New Roman" w:cs="Times New Roman"/>
          <w:szCs w:val="24"/>
        </w:rPr>
        <w:t xml:space="preserve">Cantor 1983; Hooyman, Gonyea and Montgomery, 1985; </w:t>
      </w:r>
      <w:r w:rsidRPr="00E869A4">
        <w:rPr>
          <w:rFonts w:ascii="Times New Roman" w:hAnsi="Times New Roman" w:cs="Times New Roman"/>
          <w:szCs w:val="24"/>
        </w:rPr>
        <w:t>McGrew 1998; Stone,</w:t>
      </w:r>
      <w:r w:rsidRPr="00E869A4">
        <w:rPr>
          <w:rFonts w:ascii="Times New Roman" w:hAnsi="Times New Roman" w:cs="Times New Roman"/>
        </w:rPr>
        <w:t xml:space="preserve"> </w:t>
      </w:r>
      <w:r w:rsidR="001E4754" w:rsidRPr="00E869A4">
        <w:rPr>
          <w:rFonts w:ascii="Times New Roman" w:hAnsi="Times New Roman" w:cs="Times New Roman"/>
          <w:szCs w:val="24"/>
        </w:rPr>
        <w:t>Cafferata &amp; Sangl 1987</w:t>
      </w:r>
      <w:r w:rsidRPr="00E869A4">
        <w:rPr>
          <w:rFonts w:ascii="Times New Roman" w:hAnsi="Times New Roman" w:cs="Times New Roman"/>
          <w:szCs w:val="24"/>
        </w:rPr>
        <w:t>).</w:t>
      </w:r>
    </w:p>
    <w:p w14:paraId="593F0FE1" w14:textId="77777777" w:rsidR="00725205" w:rsidRPr="00E869A4" w:rsidRDefault="00725205" w:rsidP="00A35FF8">
      <w:pPr>
        <w:autoSpaceDE w:val="0"/>
        <w:autoSpaceDN w:val="0"/>
        <w:adjustRightInd w:val="0"/>
        <w:rPr>
          <w:rFonts w:ascii="Times New Roman" w:hAnsi="Times New Roman" w:cs="Times New Roman"/>
          <w:szCs w:val="24"/>
        </w:rPr>
      </w:pPr>
    </w:p>
    <w:p w14:paraId="635114C3" w14:textId="11996DE3" w:rsidR="00725205" w:rsidRPr="00E869A4" w:rsidRDefault="00725205" w:rsidP="00A35FF8">
      <w:pPr>
        <w:autoSpaceDE w:val="0"/>
        <w:autoSpaceDN w:val="0"/>
        <w:adjustRightInd w:val="0"/>
        <w:rPr>
          <w:rFonts w:ascii="Times New Roman" w:eastAsia="Times New Roman" w:hAnsi="Times New Roman" w:cs="Times New Roman"/>
          <w:szCs w:val="24"/>
        </w:rPr>
      </w:pPr>
      <w:r w:rsidRPr="00E869A4">
        <w:rPr>
          <w:rFonts w:ascii="Times New Roman" w:hAnsi="Times New Roman" w:cs="Times New Roman"/>
          <w:szCs w:val="24"/>
        </w:rPr>
        <w:t xml:space="preserve">For Timothy, </w:t>
      </w:r>
      <w:r w:rsidR="00CA2652" w:rsidRPr="00E869A4">
        <w:rPr>
          <w:rFonts w:ascii="Times New Roman" w:hAnsi="Times New Roman" w:cs="Times New Roman"/>
          <w:szCs w:val="24"/>
        </w:rPr>
        <w:t>a</w:t>
      </w:r>
      <w:r w:rsidRPr="00E869A4">
        <w:rPr>
          <w:rFonts w:ascii="Times New Roman" w:hAnsi="Times New Roman" w:cs="Times New Roman"/>
          <w:szCs w:val="24"/>
        </w:rPr>
        <w:t xml:space="preserve"> close bond emerged from </w:t>
      </w:r>
      <w:r w:rsidR="00CA4098" w:rsidRPr="00E869A4">
        <w:rPr>
          <w:rFonts w:ascii="Times New Roman" w:hAnsi="Times New Roman" w:cs="Times New Roman"/>
          <w:szCs w:val="24"/>
        </w:rPr>
        <w:t xml:space="preserve">the </w:t>
      </w:r>
      <w:r w:rsidRPr="00E869A4">
        <w:rPr>
          <w:rFonts w:ascii="Times New Roman" w:hAnsi="Times New Roman" w:cs="Times New Roman"/>
          <w:szCs w:val="24"/>
        </w:rPr>
        <w:t xml:space="preserve">quality time that he spent with his father. </w:t>
      </w:r>
      <w:r w:rsidR="00CA2652" w:rsidRPr="00E869A4">
        <w:rPr>
          <w:rFonts w:ascii="Times New Roman" w:hAnsi="Times New Roman" w:cs="Times New Roman"/>
          <w:szCs w:val="24"/>
        </w:rPr>
        <w:t>H</w:t>
      </w:r>
      <w:r w:rsidRPr="00E869A4">
        <w:rPr>
          <w:rFonts w:ascii="Times New Roman" w:eastAsia="Times New Roman" w:hAnsi="Times New Roman" w:cs="Times New Roman"/>
          <w:szCs w:val="24"/>
        </w:rPr>
        <w:t xml:space="preserve">e was able to listen to music that emerged when his father was a young </w:t>
      </w:r>
      <w:r w:rsidR="00CA2652" w:rsidRPr="00E869A4">
        <w:rPr>
          <w:rFonts w:ascii="Times New Roman" w:eastAsia="Times New Roman" w:hAnsi="Times New Roman" w:cs="Times New Roman"/>
          <w:szCs w:val="24"/>
        </w:rPr>
        <w:t>man, relax,</w:t>
      </w:r>
      <w:r w:rsidRPr="00E869A4">
        <w:rPr>
          <w:rFonts w:ascii="Times New Roman" w:eastAsia="Times New Roman" w:hAnsi="Times New Roman" w:cs="Times New Roman"/>
          <w:szCs w:val="24"/>
        </w:rPr>
        <w:t xml:space="preserve"> and unwind at his </w:t>
      </w:r>
      <w:r w:rsidR="00CA2652" w:rsidRPr="00E869A4">
        <w:rPr>
          <w:rFonts w:ascii="Times New Roman" w:eastAsia="Times New Roman" w:hAnsi="Times New Roman" w:cs="Times New Roman"/>
          <w:szCs w:val="24"/>
        </w:rPr>
        <w:t>father’</w:t>
      </w:r>
      <w:r w:rsidRPr="00E869A4">
        <w:rPr>
          <w:rFonts w:ascii="Times New Roman" w:eastAsia="Times New Roman" w:hAnsi="Times New Roman" w:cs="Times New Roman"/>
          <w:szCs w:val="24"/>
        </w:rPr>
        <w:t>s house on the weekends that he stayed over</w:t>
      </w:r>
      <w:r w:rsidR="001E4754" w:rsidRPr="00E869A4">
        <w:rPr>
          <w:rFonts w:ascii="Times New Roman" w:eastAsia="Times New Roman" w:hAnsi="Times New Roman" w:cs="Times New Roman"/>
          <w:szCs w:val="24"/>
        </w:rPr>
        <w:t>:</w:t>
      </w:r>
    </w:p>
    <w:p w14:paraId="7AA7C175" w14:textId="5A44D380" w:rsidR="00725205" w:rsidRPr="00E869A4" w:rsidRDefault="00725205" w:rsidP="00FE2B1E">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lastRenderedPageBreak/>
        <w:t>To be honest</w:t>
      </w:r>
      <w:r w:rsidR="00CA2652" w:rsidRPr="00E869A4">
        <w:rPr>
          <w:rFonts w:ascii="Times New Roman" w:hAnsi="Times New Roman" w:cs="Times New Roman"/>
          <w:szCs w:val="24"/>
        </w:rPr>
        <w:t>,</w:t>
      </w:r>
      <w:r w:rsidRPr="00E869A4">
        <w:rPr>
          <w:rFonts w:ascii="Times New Roman" w:hAnsi="Times New Roman" w:cs="Times New Roman"/>
          <w:szCs w:val="24"/>
        </w:rPr>
        <w:t xml:space="preserve"> I can</w:t>
      </w:r>
      <w:r w:rsidRPr="00E869A4">
        <w:rPr>
          <w:rFonts w:ascii="Times New Roman" w:eastAsia="Times New Roman" w:hAnsi="Times New Roman" w:cs="Times New Roman"/>
          <w:szCs w:val="24"/>
        </w:rPr>
        <w:t xml:space="preserve">’t say that I mind taking care of [my </w:t>
      </w:r>
      <w:r w:rsidR="00CA2652" w:rsidRPr="00E869A4">
        <w:rPr>
          <w:rFonts w:ascii="Times New Roman" w:eastAsia="Times New Roman" w:hAnsi="Times New Roman" w:cs="Times New Roman"/>
          <w:szCs w:val="24"/>
        </w:rPr>
        <w:t>father</w:t>
      </w:r>
      <w:r w:rsidRPr="00E869A4">
        <w:rPr>
          <w:rFonts w:ascii="Times New Roman" w:eastAsia="Times New Roman" w:hAnsi="Times New Roman" w:cs="Times New Roman"/>
          <w:szCs w:val="24"/>
        </w:rPr>
        <w:t>] … ‘Cause right now … very often when I go home by my dad, it’s some of the most relaxing periods that I have. I play through his stack of records – Jim Reeves, and all these things (</w:t>
      </w:r>
      <w:r w:rsidR="00C64ED6" w:rsidRPr="00E869A4">
        <w:rPr>
          <w:rFonts w:ascii="Times New Roman" w:eastAsia="Times New Roman" w:hAnsi="Times New Roman" w:cs="Times New Roman"/>
          <w:szCs w:val="24"/>
        </w:rPr>
        <w:t xml:space="preserve">said </w:t>
      </w:r>
      <w:r w:rsidRPr="00E869A4">
        <w:rPr>
          <w:rFonts w:ascii="Times New Roman" w:eastAsia="Times New Roman" w:hAnsi="Times New Roman" w:cs="Times New Roman"/>
          <w:szCs w:val="24"/>
        </w:rPr>
        <w:t>laughingly), and listen to records. We sit down in the gallery … and I sleep</w:t>
      </w:r>
      <w:r w:rsidR="00C64ED6" w:rsidRPr="00E869A4">
        <w:rPr>
          <w:rFonts w:ascii="Times New Roman" w:eastAsia="Times New Roman" w:hAnsi="Times New Roman" w:cs="Times New Roman"/>
          <w:szCs w:val="24"/>
        </w:rPr>
        <w:t xml:space="preserve"> </w:t>
      </w:r>
      <w:r w:rsidRPr="00E869A4">
        <w:rPr>
          <w:rFonts w:ascii="Times New Roman" w:hAnsi="Times New Roman" w:cs="Times New Roman"/>
          <w:szCs w:val="24"/>
        </w:rPr>
        <w:t>...</w:t>
      </w:r>
      <w:r w:rsidR="00C64ED6" w:rsidRPr="00E869A4">
        <w:rPr>
          <w:rFonts w:ascii="Times New Roman" w:hAnsi="Times New Roman" w:cs="Times New Roman"/>
          <w:szCs w:val="24"/>
        </w:rPr>
        <w:t xml:space="preserve"> </w:t>
      </w:r>
      <w:r w:rsidRPr="00E869A4">
        <w:rPr>
          <w:rFonts w:ascii="Times New Roman" w:hAnsi="Times New Roman" w:cs="Times New Roman"/>
          <w:szCs w:val="24"/>
        </w:rPr>
        <w:t>so it</w:t>
      </w:r>
      <w:r w:rsidR="00C64ED6" w:rsidRPr="00E869A4">
        <w:rPr>
          <w:rFonts w:ascii="Times New Roman" w:eastAsia="Times New Roman" w:hAnsi="Times New Roman" w:cs="Times New Roman"/>
          <w:szCs w:val="24"/>
        </w:rPr>
        <w:t>’s not as if it’s stressful</w:t>
      </w:r>
      <w:r w:rsidRPr="00E869A4">
        <w:rPr>
          <w:rFonts w:ascii="Times New Roman" w:eastAsia="Times New Roman" w:hAnsi="Times New Roman" w:cs="Times New Roman"/>
          <w:szCs w:val="24"/>
        </w:rPr>
        <w:t xml:space="preserve"> … the only thing that’s stressful about it is that I still have responsibility that I can’t relinquish</w:t>
      </w:r>
      <w:r w:rsidR="00C64ED6" w:rsidRPr="00E869A4">
        <w:rPr>
          <w:rFonts w:ascii="Times New Roman" w:eastAsia="Times New Roman" w:hAnsi="Times New Roman" w:cs="Times New Roman"/>
          <w:szCs w:val="24"/>
        </w:rPr>
        <w:t xml:space="preserve"> </w:t>
      </w:r>
      <w:r w:rsidR="000C15E9"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in terms of church and these other functions</w:t>
      </w:r>
      <w:r w:rsidR="00FE2B1E" w:rsidRPr="00E869A4">
        <w:rPr>
          <w:rFonts w:ascii="Times New Roman" w:eastAsia="Times New Roman" w:hAnsi="Times New Roman" w:cs="Times New Roman"/>
          <w:szCs w:val="24"/>
        </w:rPr>
        <w:t>.</w:t>
      </w:r>
    </w:p>
    <w:p w14:paraId="10B59E4B" w14:textId="77777777" w:rsidR="00725205" w:rsidRPr="00E869A4" w:rsidRDefault="00725205" w:rsidP="00DE3E8F">
      <w:pPr>
        <w:autoSpaceDE w:val="0"/>
        <w:autoSpaceDN w:val="0"/>
        <w:adjustRightInd w:val="0"/>
        <w:spacing w:line="240" w:lineRule="auto"/>
        <w:ind w:left="567" w:firstLine="0"/>
        <w:rPr>
          <w:rFonts w:ascii="Times New Roman" w:hAnsi="Times New Roman" w:cs="Times New Roman"/>
          <w:szCs w:val="24"/>
        </w:rPr>
      </w:pPr>
    </w:p>
    <w:p w14:paraId="5CDADC0F" w14:textId="4C7A324E" w:rsidR="00725205" w:rsidRPr="00E869A4" w:rsidRDefault="00725205" w:rsidP="00FE2B1E">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Some of the caregivers were sensitive to the fact that their older relative was the only family member they had from an earlier generation, and therefore considered the time spent caring for them to be especially precious. In Rebecca</w:t>
      </w:r>
      <w:r w:rsidRPr="00E869A4">
        <w:rPr>
          <w:rFonts w:ascii="Times New Roman" w:eastAsia="Times New Roman" w:hAnsi="Times New Roman" w:cs="Times New Roman"/>
          <w:szCs w:val="24"/>
        </w:rPr>
        <w:t xml:space="preserve">’s case, her mother was her closest family </w:t>
      </w:r>
      <w:r w:rsidR="00FE2B1E" w:rsidRPr="00E869A4">
        <w:rPr>
          <w:rFonts w:ascii="Times New Roman" w:eastAsia="Times New Roman" w:hAnsi="Times New Roman" w:cs="Times New Roman"/>
          <w:szCs w:val="24"/>
        </w:rPr>
        <w:t>member:</w:t>
      </w:r>
      <w:r w:rsidR="00FE2B1E" w:rsidRPr="00E869A4">
        <w:rPr>
          <w:rFonts w:ascii="Times New Roman" w:eastAsia="Times New Roman" w:hAnsi="Times New Roman" w:cs="Times New Roman"/>
          <w:i/>
          <w:szCs w:val="24"/>
        </w:rPr>
        <w:t xml:space="preserve"> </w:t>
      </w:r>
      <w:r w:rsidR="00FE2B1E" w:rsidRPr="00E869A4">
        <w:rPr>
          <w:rFonts w:ascii="Times New Roman" w:eastAsia="Times New Roman" w:hAnsi="Times New Roman" w:cs="Times New Roman"/>
          <w:szCs w:val="24"/>
        </w:rPr>
        <w:t>“So</w:t>
      </w:r>
      <w:r w:rsidRPr="00E869A4">
        <w:rPr>
          <w:rFonts w:ascii="Times New Roman" w:eastAsia="Times New Roman" w:hAnsi="Times New Roman" w:cs="Times New Roman"/>
          <w:szCs w:val="24"/>
        </w:rPr>
        <w:t xml:space="preserve"> at the end, when she goes, that’s it in</w:t>
      </w:r>
      <w:r w:rsidR="00802328" w:rsidRPr="00E869A4">
        <w:rPr>
          <w:rFonts w:ascii="Times New Roman" w:eastAsia="Times New Roman" w:hAnsi="Times New Roman" w:cs="Times New Roman"/>
          <w:szCs w:val="24"/>
        </w:rPr>
        <w:t xml:space="preserve"> terms of close blood relative.</w:t>
      </w:r>
      <w:r w:rsidR="00A10EA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3424DE" w:rsidRPr="00E869A4">
        <w:rPr>
          <w:rFonts w:ascii="Times New Roman" w:hAnsi="Times New Roman" w:cs="Times New Roman"/>
          <w:szCs w:val="24"/>
        </w:rPr>
        <w:t>(FCG</w:t>
      </w:r>
      <w:r w:rsidRPr="00E869A4">
        <w:rPr>
          <w:rFonts w:ascii="Times New Roman" w:hAnsi="Times New Roman" w:cs="Times New Roman"/>
          <w:szCs w:val="24"/>
        </w:rPr>
        <w:t xml:space="preserve"> Rebecca)</w:t>
      </w:r>
      <w:r w:rsidR="00FE2B1E" w:rsidRPr="00E869A4">
        <w:rPr>
          <w:rFonts w:ascii="Times New Roman" w:hAnsi="Times New Roman" w:cs="Times New Roman"/>
          <w:szCs w:val="24"/>
        </w:rPr>
        <w:t>.</w:t>
      </w:r>
    </w:p>
    <w:p w14:paraId="533920F0" w14:textId="77777777" w:rsidR="00725205" w:rsidRPr="00E869A4" w:rsidRDefault="00725205" w:rsidP="00A35FF8">
      <w:pPr>
        <w:tabs>
          <w:tab w:val="left" w:pos="240"/>
          <w:tab w:val="left" w:pos="720"/>
        </w:tabs>
        <w:autoSpaceDE w:val="0"/>
        <w:autoSpaceDN w:val="0"/>
        <w:adjustRightInd w:val="0"/>
        <w:ind w:left="720" w:hanging="720"/>
        <w:rPr>
          <w:rFonts w:ascii="Times New Roman" w:hAnsi="Times New Roman" w:cs="Times New Roman"/>
          <w:szCs w:val="24"/>
        </w:rPr>
      </w:pPr>
    </w:p>
    <w:p w14:paraId="72DE5286" w14:textId="3EA0878E" w:rsidR="00DE3E8F" w:rsidRPr="00E869A4" w:rsidRDefault="00725205" w:rsidP="00C21CCA">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For Adelina, Tanty Edna provided her with a tangible connection to someone from her mother</w:t>
      </w:r>
      <w:r w:rsidRPr="00E869A4">
        <w:rPr>
          <w:rFonts w:ascii="Times New Roman" w:eastAsia="Times New Roman" w:hAnsi="Times New Roman" w:cs="Times New Roman"/>
          <w:szCs w:val="24"/>
        </w:rPr>
        <w:t>’s generation. It may even be argued that caring for Tanty helped Adelina to preserve her mother’s memory</w:t>
      </w:r>
      <w:r w:rsidR="00BE0FE3"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BE0FE3" w:rsidRPr="00E869A4">
        <w:rPr>
          <w:rFonts w:ascii="Times New Roman" w:hAnsi="Times New Roman" w:cs="Times New Roman"/>
          <w:szCs w:val="24"/>
        </w:rPr>
        <w:t>“</w:t>
      </w:r>
      <w:r w:rsidRPr="00E869A4">
        <w:rPr>
          <w:rFonts w:ascii="Times New Roman" w:hAnsi="Times New Roman" w:cs="Times New Roman"/>
          <w:szCs w:val="24"/>
        </w:rPr>
        <w:t xml:space="preserve">My siblings </w:t>
      </w:r>
      <w:r w:rsidRPr="00E869A4">
        <w:rPr>
          <w:rFonts w:ascii="Times New Roman" w:eastAsia="Times New Roman" w:hAnsi="Times New Roman" w:cs="Times New Roman"/>
          <w:szCs w:val="24"/>
        </w:rPr>
        <w:t>… the same way I feel is the same way they feel: this is our only surviving aunt. Mummy’s no longer around and before, Tanty was th</w:t>
      </w:r>
      <w:r w:rsidR="00BE0FE3" w:rsidRPr="00E869A4">
        <w:rPr>
          <w:rFonts w:ascii="Times New Roman" w:eastAsia="Times New Roman" w:hAnsi="Times New Roman" w:cs="Times New Roman"/>
          <w:szCs w:val="24"/>
        </w:rPr>
        <w:t>e one who would do everything</w:t>
      </w:r>
      <w:r w:rsidR="00C21CCA" w:rsidRPr="00E869A4">
        <w:rPr>
          <w:rFonts w:ascii="Times New Roman" w:eastAsia="Times New Roman" w:hAnsi="Times New Roman" w:cs="Times New Roman"/>
          <w:szCs w:val="24"/>
        </w:rPr>
        <w:t>.</w:t>
      </w:r>
      <w:r w:rsidR="00BE0FE3"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(FCG </w:t>
      </w:r>
      <w:r w:rsidRPr="00E869A4">
        <w:rPr>
          <w:rFonts w:ascii="Times New Roman" w:hAnsi="Times New Roman" w:cs="Times New Roman"/>
          <w:szCs w:val="24"/>
        </w:rPr>
        <w:t>Adelina)</w:t>
      </w:r>
      <w:r w:rsidR="00D978FE" w:rsidRPr="00E869A4">
        <w:rPr>
          <w:rFonts w:ascii="Times New Roman" w:hAnsi="Times New Roman" w:cs="Times New Roman"/>
          <w:szCs w:val="24"/>
        </w:rPr>
        <w:t>.</w:t>
      </w:r>
    </w:p>
    <w:p w14:paraId="2F7D386A" w14:textId="77777777" w:rsidR="00C21CCA" w:rsidRPr="00E869A4" w:rsidRDefault="00C21CCA" w:rsidP="00C21CCA">
      <w:pPr>
        <w:autoSpaceDE w:val="0"/>
        <w:autoSpaceDN w:val="0"/>
        <w:adjustRightInd w:val="0"/>
        <w:rPr>
          <w:rFonts w:ascii="Times New Roman" w:eastAsiaTheme="majorEastAsia" w:hAnsi="Times New Roman" w:cs="Times New Roman"/>
          <w:i/>
          <w:u w:val="single"/>
        </w:rPr>
      </w:pPr>
    </w:p>
    <w:p w14:paraId="410BA578" w14:textId="23CC6228" w:rsidR="00725205" w:rsidRPr="00E869A4" w:rsidRDefault="00725205" w:rsidP="0031040A">
      <w:pPr>
        <w:pStyle w:val="Heading5"/>
        <w:rPr>
          <w:color w:val="auto"/>
        </w:rPr>
      </w:pPr>
      <w:r w:rsidRPr="00E869A4">
        <w:rPr>
          <w:color w:val="auto"/>
        </w:rPr>
        <w:t xml:space="preserve">Spiritual/Religious </w:t>
      </w:r>
      <w:r w:rsidR="0026766A" w:rsidRPr="00E869A4">
        <w:rPr>
          <w:color w:val="auto"/>
        </w:rPr>
        <w:t>B</w:t>
      </w:r>
      <w:r w:rsidRPr="00E869A4">
        <w:rPr>
          <w:color w:val="auto"/>
        </w:rPr>
        <w:t>lessings</w:t>
      </w:r>
    </w:p>
    <w:p w14:paraId="76D7B319" w14:textId="77777777" w:rsidR="00725205" w:rsidRPr="00E869A4" w:rsidRDefault="00725205" w:rsidP="00A35FF8">
      <w:pPr>
        <w:autoSpaceDE w:val="0"/>
        <w:autoSpaceDN w:val="0"/>
        <w:adjustRightInd w:val="0"/>
        <w:rPr>
          <w:rFonts w:ascii="Times New Roman" w:hAnsi="Times New Roman" w:cs="Times New Roman"/>
          <w:szCs w:val="24"/>
        </w:rPr>
      </w:pPr>
    </w:p>
    <w:p w14:paraId="4BFEC35D" w14:textId="18C66A4F"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Some participants either directly or indirectly spoke of the religious/spiritual blessings that they believed </w:t>
      </w:r>
      <w:r w:rsidR="00A10EA4" w:rsidRPr="00E869A4">
        <w:rPr>
          <w:rFonts w:ascii="Times New Roman" w:hAnsi="Times New Roman" w:cs="Times New Roman"/>
          <w:szCs w:val="24"/>
        </w:rPr>
        <w:t>were</w:t>
      </w:r>
      <w:r w:rsidRPr="00E869A4">
        <w:rPr>
          <w:rFonts w:ascii="Times New Roman" w:hAnsi="Times New Roman" w:cs="Times New Roman"/>
          <w:szCs w:val="24"/>
        </w:rPr>
        <w:t xml:space="preserve"> a benefit of providing care. This </w:t>
      </w:r>
      <w:r w:rsidR="00C21CCA" w:rsidRPr="00E869A4">
        <w:rPr>
          <w:rFonts w:ascii="Times New Roman" w:hAnsi="Times New Roman" w:cs="Times New Roman"/>
          <w:szCs w:val="24"/>
        </w:rPr>
        <w:t>was alluded to in the previous c</w:t>
      </w:r>
      <w:r w:rsidRPr="00E869A4">
        <w:rPr>
          <w:rFonts w:ascii="Times New Roman" w:hAnsi="Times New Roman" w:cs="Times New Roman"/>
          <w:szCs w:val="24"/>
        </w:rPr>
        <w:t xml:space="preserve">hapter where inspired-care was discussed. Adelina and Sheila for example, shared </w:t>
      </w:r>
      <w:r w:rsidR="00BE0FE3" w:rsidRPr="00E869A4">
        <w:rPr>
          <w:rFonts w:ascii="Times New Roman" w:hAnsi="Times New Roman" w:cs="Times New Roman"/>
          <w:szCs w:val="24"/>
        </w:rPr>
        <w:t>that the</w:t>
      </w:r>
      <w:r w:rsidRPr="00E869A4">
        <w:rPr>
          <w:rFonts w:ascii="Times New Roman" w:hAnsi="Times New Roman" w:cs="Times New Roman"/>
          <w:szCs w:val="24"/>
        </w:rPr>
        <w:t xml:space="preserve"> popular biblical commandment about honouring parents was linked to the benefits of providing care. Such associations were highlighted in other research studies such as Parve</w:t>
      </w:r>
      <w:r w:rsidR="00BE0FE3" w:rsidRPr="00E869A4">
        <w:rPr>
          <w:rFonts w:ascii="Times New Roman" w:hAnsi="Times New Roman" w:cs="Times New Roman"/>
          <w:szCs w:val="24"/>
        </w:rPr>
        <w:t>en, Morrison and Robinson (2011</w:t>
      </w:r>
      <w:r w:rsidRPr="00E869A4">
        <w:rPr>
          <w:rFonts w:ascii="Times New Roman" w:hAnsi="Times New Roman" w:cs="Times New Roman"/>
          <w:szCs w:val="24"/>
        </w:rPr>
        <w:t>) who found that British-Bangladeshi, British-Indian and Britis</w:t>
      </w:r>
      <w:r w:rsidR="00BE0FE3" w:rsidRPr="00E869A4">
        <w:rPr>
          <w:rFonts w:ascii="Times New Roman" w:hAnsi="Times New Roman" w:cs="Times New Roman"/>
          <w:szCs w:val="24"/>
        </w:rPr>
        <w:t xml:space="preserve">h-Pakistani caregivers </w:t>
      </w:r>
      <w:r w:rsidRPr="00E869A4">
        <w:rPr>
          <w:rFonts w:ascii="Times New Roman" w:hAnsi="Times New Roman" w:cs="Times New Roman"/>
          <w:szCs w:val="24"/>
        </w:rPr>
        <w:t xml:space="preserve">saw gaining blessings from God and from the </w:t>
      </w:r>
      <w:r w:rsidR="009E2738" w:rsidRPr="00E869A4">
        <w:rPr>
          <w:rFonts w:ascii="Times New Roman" w:hAnsi="Times New Roman" w:cs="Times New Roman"/>
          <w:szCs w:val="24"/>
        </w:rPr>
        <w:t>care recipient</w:t>
      </w:r>
      <w:r w:rsidR="0026766A" w:rsidRPr="00E869A4">
        <w:rPr>
          <w:rFonts w:ascii="Times New Roman" w:hAnsi="Times New Roman" w:cs="Times New Roman"/>
          <w:szCs w:val="24"/>
        </w:rPr>
        <w:t>,</w:t>
      </w:r>
      <w:r w:rsidRPr="00E869A4">
        <w:rPr>
          <w:rFonts w:ascii="Times New Roman" w:hAnsi="Times New Roman" w:cs="Times New Roman"/>
          <w:szCs w:val="24"/>
        </w:rPr>
        <w:t xml:space="preserve"> as positive outcomes of caregiving. However, </w:t>
      </w:r>
      <w:r w:rsidR="00E3160D" w:rsidRPr="00E869A4">
        <w:rPr>
          <w:rFonts w:ascii="Times New Roman" w:hAnsi="Times New Roman" w:cs="Times New Roman"/>
          <w:szCs w:val="24"/>
        </w:rPr>
        <w:t>al</w:t>
      </w:r>
      <w:r w:rsidRPr="00E869A4">
        <w:rPr>
          <w:rFonts w:ascii="Times New Roman" w:hAnsi="Times New Roman" w:cs="Times New Roman"/>
          <w:szCs w:val="24"/>
        </w:rPr>
        <w:t>though strongly implied, the participants in this study did not explicitly identify receiving a spiritual blessing as a positive benefit of them providing care. It may be that like Samantha who focused on the peace of mind she received f</w:t>
      </w:r>
      <w:r w:rsidR="00913A65">
        <w:rPr>
          <w:rFonts w:ascii="Times New Roman" w:hAnsi="Times New Roman" w:cs="Times New Roman"/>
          <w:szCs w:val="24"/>
        </w:rPr>
        <w:t>rom</w:t>
      </w:r>
      <w:r w:rsidRPr="00E869A4">
        <w:rPr>
          <w:rFonts w:ascii="Times New Roman" w:hAnsi="Times New Roman" w:cs="Times New Roman"/>
          <w:szCs w:val="24"/>
        </w:rPr>
        <w:t xml:space="preserve"> caring for her father rather than on being blessed, the</w:t>
      </w:r>
      <w:r w:rsidR="0089703E" w:rsidRPr="00E869A4">
        <w:rPr>
          <w:rFonts w:ascii="Times New Roman" w:hAnsi="Times New Roman" w:cs="Times New Roman"/>
          <w:szCs w:val="24"/>
        </w:rPr>
        <w:t>se caregivers</w:t>
      </w:r>
      <w:r w:rsidRPr="00E869A4">
        <w:rPr>
          <w:rFonts w:ascii="Times New Roman" w:hAnsi="Times New Roman" w:cs="Times New Roman"/>
          <w:szCs w:val="24"/>
        </w:rPr>
        <w:t xml:space="preserve"> </w:t>
      </w:r>
      <w:r w:rsidR="00CE4301" w:rsidRPr="00E869A4">
        <w:rPr>
          <w:rFonts w:ascii="Times New Roman" w:hAnsi="Times New Roman" w:cs="Times New Roman"/>
          <w:szCs w:val="24"/>
        </w:rPr>
        <w:t xml:space="preserve">also </w:t>
      </w:r>
      <w:r w:rsidRPr="00E869A4">
        <w:rPr>
          <w:rFonts w:ascii="Times New Roman" w:hAnsi="Times New Roman" w:cs="Times New Roman"/>
          <w:szCs w:val="24"/>
        </w:rPr>
        <w:t>believed that they would receive a spiritual blessing for providing care</w:t>
      </w:r>
      <w:r w:rsidR="00C21CCA" w:rsidRPr="00E869A4">
        <w:rPr>
          <w:rFonts w:ascii="Times New Roman" w:hAnsi="Times New Roman" w:cs="Times New Roman"/>
          <w:szCs w:val="24"/>
        </w:rPr>
        <w:t>. H</w:t>
      </w:r>
      <w:r w:rsidR="00CE4301" w:rsidRPr="00E869A4">
        <w:rPr>
          <w:rFonts w:ascii="Times New Roman" w:hAnsi="Times New Roman" w:cs="Times New Roman"/>
          <w:szCs w:val="24"/>
        </w:rPr>
        <w:t xml:space="preserve">owever, </w:t>
      </w:r>
      <w:r w:rsidRPr="00E869A4">
        <w:rPr>
          <w:rFonts w:ascii="Times New Roman" w:hAnsi="Times New Roman" w:cs="Times New Roman"/>
          <w:szCs w:val="24"/>
        </w:rPr>
        <w:t>this was not the main reason why they were motivated to care</w:t>
      </w:r>
      <w:r w:rsidR="00C21CCA" w:rsidRPr="00E869A4">
        <w:rPr>
          <w:rFonts w:ascii="Times New Roman" w:hAnsi="Times New Roman" w:cs="Times New Roman"/>
          <w:szCs w:val="24"/>
        </w:rPr>
        <w:t>, which</w:t>
      </w:r>
      <w:r w:rsidR="0089703E" w:rsidRPr="00E869A4">
        <w:rPr>
          <w:rFonts w:ascii="Times New Roman" w:hAnsi="Times New Roman" w:cs="Times New Roman"/>
          <w:szCs w:val="24"/>
        </w:rPr>
        <w:t xml:space="preserve"> might explain</w:t>
      </w:r>
      <w:r w:rsidRPr="00E869A4">
        <w:rPr>
          <w:rFonts w:ascii="Times New Roman" w:hAnsi="Times New Roman" w:cs="Times New Roman"/>
          <w:szCs w:val="24"/>
        </w:rPr>
        <w:t xml:space="preserve"> their limited articulation of this benefit. Also, a focus on doing the right thing for its own sake may be associated with a sense of spiritual maturity</w:t>
      </w:r>
      <w:r w:rsidR="0089703E" w:rsidRPr="00E869A4">
        <w:rPr>
          <w:rFonts w:ascii="Times New Roman" w:hAnsi="Times New Roman" w:cs="Times New Roman"/>
          <w:szCs w:val="24"/>
        </w:rPr>
        <w:t>,</w:t>
      </w:r>
      <w:r w:rsidRPr="00E869A4">
        <w:rPr>
          <w:rFonts w:ascii="Times New Roman" w:hAnsi="Times New Roman" w:cs="Times New Roman"/>
          <w:szCs w:val="24"/>
        </w:rPr>
        <w:t xml:space="preserve"> which goes beyond the ritualistic performance of religious duty (Pargament et al</w:t>
      </w:r>
      <w:r w:rsidR="00BE0FE3" w:rsidRPr="00E869A4">
        <w:rPr>
          <w:rFonts w:ascii="Times New Roman" w:hAnsi="Times New Roman" w:cs="Times New Roman"/>
          <w:szCs w:val="24"/>
        </w:rPr>
        <w:t>.</w:t>
      </w:r>
      <w:r w:rsidRPr="00E869A4">
        <w:rPr>
          <w:rFonts w:ascii="Times New Roman" w:hAnsi="Times New Roman" w:cs="Times New Roman"/>
          <w:szCs w:val="24"/>
        </w:rPr>
        <w:t xml:space="preserve"> 19</w:t>
      </w:r>
      <w:r w:rsidR="00BE0FE3" w:rsidRPr="00E869A4">
        <w:rPr>
          <w:rFonts w:ascii="Times New Roman" w:hAnsi="Times New Roman" w:cs="Times New Roman"/>
          <w:szCs w:val="24"/>
        </w:rPr>
        <w:t>9</w:t>
      </w:r>
      <w:r w:rsidRPr="00E869A4">
        <w:rPr>
          <w:rFonts w:ascii="Times New Roman" w:hAnsi="Times New Roman" w:cs="Times New Roman"/>
          <w:szCs w:val="24"/>
        </w:rPr>
        <w:t xml:space="preserve">8).  </w:t>
      </w:r>
    </w:p>
    <w:p w14:paraId="29FEFF75" w14:textId="77777777" w:rsidR="00725205" w:rsidRPr="00E869A4" w:rsidRDefault="00E76E94" w:rsidP="008C3EFC">
      <w:pPr>
        <w:pStyle w:val="Heading4"/>
      </w:pPr>
      <w:r w:rsidRPr="00E869A4">
        <w:lastRenderedPageBreak/>
        <w:t>Other-Oriented Benefits</w:t>
      </w:r>
    </w:p>
    <w:p w14:paraId="3EE16038" w14:textId="77777777" w:rsidR="00704DD9" w:rsidRPr="00E869A4" w:rsidRDefault="00704DD9" w:rsidP="00704DD9"/>
    <w:p w14:paraId="703ABFE7" w14:textId="77777777" w:rsidR="00725205" w:rsidRPr="00E869A4" w:rsidRDefault="00725205" w:rsidP="0031040A">
      <w:pPr>
        <w:pStyle w:val="Heading5"/>
        <w:rPr>
          <w:color w:val="auto"/>
        </w:rPr>
      </w:pPr>
      <w:r w:rsidRPr="00E869A4">
        <w:rPr>
          <w:color w:val="auto"/>
        </w:rPr>
        <w:t xml:space="preserve">Appreciation from </w:t>
      </w:r>
      <w:r w:rsidR="008C3EFC" w:rsidRPr="00E869A4">
        <w:rPr>
          <w:color w:val="auto"/>
        </w:rPr>
        <w:t>o</w:t>
      </w:r>
      <w:r w:rsidRPr="00E869A4">
        <w:rPr>
          <w:color w:val="auto"/>
        </w:rPr>
        <w:t>thers</w:t>
      </w:r>
    </w:p>
    <w:p w14:paraId="18E0F13D" w14:textId="77777777" w:rsidR="00725205" w:rsidRPr="00E869A4" w:rsidRDefault="00725205" w:rsidP="00B61191">
      <w:pPr>
        <w:ind w:left="567" w:firstLine="0"/>
      </w:pPr>
    </w:p>
    <w:p w14:paraId="568031E8" w14:textId="3301724B"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Another benefit that was derived by several of the participants from their caregiving</w:t>
      </w:r>
      <w:r w:rsidR="0089703E" w:rsidRPr="00E869A4">
        <w:rPr>
          <w:rFonts w:ascii="Times New Roman" w:hAnsi="Times New Roman" w:cs="Times New Roman"/>
          <w:szCs w:val="24"/>
        </w:rPr>
        <w:t>,</w:t>
      </w:r>
      <w:r w:rsidRPr="00E869A4">
        <w:rPr>
          <w:rFonts w:ascii="Times New Roman" w:hAnsi="Times New Roman" w:cs="Times New Roman"/>
          <w:szCs w:val="24"/>
        </w:rPr>
        <w:t xml:space="preserve"> was </w:t>
      </w:r>
      <w:r w:rsidRPr="00E869A4">
        <w:rPr>
          <w:rFonts w:ascii="Times New Roman" w:eastAsia="Times New Roman" w:hAnsi="Times New Roman" w:cs="Times New Roman"/>
          <w:szCs w:val="24"/>
        </w:rPr>
        <w:t xml:space="preserve">feeling appreciated by their older relative. </w:t>
      </w:r>
      <w:r w:rsidRPr="00E869A4">
        <w:rPr>
          <w:rFonts w:ascii="Times New Roman" w:hAnsi="Times New Roman" w:cs="Times New Roman"/>
          <w:szCs w:val="24"/>
        </w:rPr>
        <w:t>Adelina for example, knew that without a doubt, Tanty Edna appreciated the care and support she and her siblings provided</w:t>
      </w:r>
      <w:r w:rsidR="000E0532" w:rsidRPr="00E869A4">
        <w:rPr>
          <w:rFonts w:ascii="Times New Roman" w:hAnsi="Times New Roman" w:cs="Times New Roman"/>
          <w:szCs w:val="24"/>
        </w:rPr>
        <w:t>:</w:t>
      </w:r>
      <w:r w:rsidRPr="00E869A4">
        <w:rPr>
          <w:rFonts w:ascii="Times New Roman" w:hAnsi="Times New Roman" w:cs="Times New Roman"/>
          <w:szCs w:val="24"/>
        </w:rPr>
        <w:t xml:space="preserve"> </w:t>
      </w:r>
      <w:r w:rsidR="000E0532" w:rsidRPr="00E869A4">
        <w:rPr>
          <w:rFonts w:ascii="Times New Roman" w:hAnsi="Times New Roman" w:cs="Times New Roman"/>
          <w:szCs w:val="24"/>
        </w:rPr>
        <w:t>“</w:t>
      </w:r>
      <w:r w:rsidRPr="00E869A4">
        <w:rPr>
          <w:rFonts w:ascii="Times New Roman" w:hAnsi="Times New Roman" w:cs="Times New Roman"/>
          <w:szCs w:val="24"/>
        </w:rPr>
        <w:t>If is one thing (laughs) Tanty appreciates us quite a lot.</w:t>
      </w:r>
      <w:r w:rsidR="000E0532" w:rsidRPr="00E869A4">
        <w:rPr>
          <w:rFonts w:ascii="Times New Roman" w:hAnsi="Times New Roman" w:cs="Times New Roman"/>
          <w:szCs w:val="24"/>
        </w:rPr>
        <w:t>”</w:t>
      </w:r>
      <w:r w:rsidRPr="00E869A4">
        <w:rPr>
          <w:rFonts w:ascii="Times New Roman" w:hAnsi="Times New Roman" w:cs="Times New Roman"/>
          <w:szCs w:val="24"/>
        </w:rPr>
        <w:t xml:space="preserve"> (FCG Adelina)</w:t>
      </w:r>
      <w:r w:rsidR="00795CF5" w:rsidRPr="00E869A4">
        <w:rPr>
          <w:rFonts w:ascii="Times New Roman" w:hAnsi="Times New Roman" w:cs="Times New Roman"/>
          <w:szCs w:val="24"/>
        </w:rPr>
        <w:t>.</w:t>
      </w:r>
      <w:r w:rsidR="00C21CCA" w:rsidRPr="00E869A4">
        <w:rPr>
          <w:rFonts w:ascii="Times New Roman" w:hAnsi="Times New Roman" w:cs="Times New Roman"/>
          <w:szCs w:val="24"/>
        </w:rPr>
        <w:t xml:space="preserve"> </w:t>
      </w:r>
      <w:r w:rsidRPr="00E869A4">
        <w:rPr>
          <w:rFonts w:ascii="Times New Roman" w:hAnsi="Times New Roman" w:cs="Times New Roman"/>
          <w:szCs w:val="24"/>
        </w:rPr>
        <w:t>Mr. Birch spoke positively about the appreciation he received from his old friend Uncle Wilton. This in addition to the trust that Uncle Wilton had in him</w:t>
      </w:r>
      <w:r w:rsidR="00276F6D" w:rsidRPr="00E869A4">
        <w:rPr>
          <w:rFonts w:ascii="Times New Roman" w:hAnsi="Times New Roman" w:cs="Times New Roman"/>
          <w:szCs w:val="24"/>
        </w:rPr>
        <w:t>,</w:t>
      </w:r>
      <w:r w:rsidRPr="00E869A4">
        <w:rPr>
          <w:rFonts w:ascii="Times New Roman" w:hAnsi="Times New Roman" w:cs="Times New Roman"/>
          <w:szCs w:val="24"/>
        </w:rPr>
        <w:t xml:space="preserve"> helped bolster his sense of self</w:t>
      </w:r>
      <w:r w:rsidR="00623578" w:rsidRPr="00E869A4">
        <w:rPr>
          <w:rFonts w:ascii="Times New Roman" w:hAnsi="Times New Roman" w:cs="Times New Roman"/>
          <w:szCs w:val="24"/>
        </w:rPr>
        <w:t>:</w:t>
      </w:r>
      <w:r w:rsidRPr="00E869A4">
        <w:rPr>
          <w:rFonts w:ascii="Times New Roman" w:hAnsi="Times New Roman" w:cs="Times New Roman"/>
          <w:szCs w:val="24"/>
        </w:rPr>
        <w:t xml:space="preserve"> </w:t>
      </w:r>
    </w:p>
    <w:p w14:paraId="6961A13E" w14:textId="77777777" w:rsidR="00B95A46" w:rsidRPr="00E869A4" w:rsidRDefault="00B95A46" w:rsidP="00704DD9">
      <w:pPr>
        <w:autoSpaceDE w:val="0"/>
        <w:autoSpaceDN w:val="0"/>
        <w:adjustRightInd w:val="0"/>
        <w:spacing w:line="240" w:lineRule="auto"/>
        <w:ind w:left="567"/>
        <w:rPr>
          <w:rFonts w:ascii="Times New Roman" w:hAnsi="Times New Roman" w:cs="Times New Roman"/>
          <w:szCs w:val="24"/>
        </w:rPr>
      </w:pPr>
    </w:p>
    <w:p w14:paraId="2C576268" w14:textId="0315AAF7" w:rsidR="00725205" w:rsidRPr="00E869A4" w:rsidRDefault="00725205" w:rsidP="00C8156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He does move good with meh an</w:t>
      </w:r>
      <w:r w:rsidRPr="00E869A4">
        <w:rPr>
          <w:rFonts w:ascii="Times New Roman" w:eastAsia="Times New Roman" w:hAnsi="Times New Roman" w:cs="Times New Roman"/>
          <w:szCs w:val="24"/>
        </w:rPr>
        <w:t xml:space="preserve">’ t’ing: always thanking meh yuh know. He’ll trust </w:t>
      </w:r>
      <w:proofErr w:type="spellStart"/>
      <w:r w:rsidRPr="00E869A4">
        <w:rPr>
          <w:rFonts w:ascii="Times New Roman" w:eastAsia="Times New Roman" w:hAnsi="Times New Roman" w:cs="Times New Roman"/>
          <w:szCs w:val="24"/>
        </w:rPr>
        <w:t>meh</w:t>
      </w:r>
      <w:proofErr w:type="spellEnd"/>
      <w:r w:rsidRPr="00E869A4">
        <w:rPr>
          <w:rFonts w:ascii="Times New Roman" w:eastAsia="Times New Roman" w:hAnsi="Times New Roman" w:cs="Times New Roman"/>
          <w:szCs w:val="24"/>
        </w:rPr>
        <w:t xml:space="preserve"> if I have to go an’ buy anything for him. One thing ah does do too is make sure an’ bring he receipt (said smilingly). So, he have ah lot of trust in meh … He would send </w:t>
      </w:r>
      <w:proofErr w:type="spellStart"/>
      <w:r w:rsidRPr="00E869A4">
        <w:rPr>
          <w:rFonts w:ascii="Times New Roman" w:eastAsia="Times New Roman" w:hAnsi="Times New Roman" w:cs="Times New Roman"/>
          <w:szCs w:val="24"/>
        </w:rPr>
        <w:t>meh</w:t>
      </w:r>
      <w:proofErr w:type="spellEnd"/>
      <w:r w:rsidRPr="00E869A4">
        <w:rPr>
          <w:rFonts w:ascii="Times New Roman" w:eastAsia="Times New Roman" w:hAnsi="Times New Roman" w:cs="Times New Roman"/>
          <w:szCs w:val="24"/>
        </w:rPr>
        <w:t xml:space="preserve"> in </w:t>
      </w:r>
      <w:proofErr w:type="spellStart"/>
      <w:r w:rsidRPr="00E869A4">
        <w:rPr>
          <w:rFonts w:ascii="Times New Roman" w:eastAsia="Times New Roman" w:hAnsi="Times New Roman" w:cs="Times New Roman"/>
          <w:szCs w:val="24"/>
        </w:rPr>
        <w:t>he</w:t>
      </w:r>
      <w:proofErr w:type="spellEnd"/>
      <w:r w:rsidRPr="00E869A4">
        <w:rPr>
          <w:rFonts w:ascii="Times New Roman" w:eastAsia="Times New Roman" w:hAnsi="Times New Roman" w:cs="Times New Roman"/>
          <w:szCs w:val="24"/>
        </w:rPr>
        <w:t xml:space="preserve"> drawer to take out money an’ all dat.</w:t>
      </w:r>
    </w:p>
    <w:p w14:paraId="2F6700B5"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1D92D9D3" w14:textId="48A6D7B2"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Mr. Birch felt that the accountability he practised with the finances entrusted to him by Uncle Wilton</w:t>
      </w:r>
      <w:r w:rsidR="00276F6D" w:rsidRPr="00E869A4">
        <w:rPr>
          <w:rFonts w:ascii="Times New Roman" w:hAnsi="Times New Roman" w:cs="Times New Roman"/>
          <w:szCs w:val="24"/>
        </w:rPr>
        <w:t xml:space="preserve">, </w:t>
      </w:r>
      <w:r w:rsidRPr="00E869A4">
        <w:rPr>
          <w:rFonts w:ascii="Times New Roman" w:hAnsi="Times New Roman" w:cs="Times New Roman"/>
          <w:szCs w:val="24"/>
        </w:rPr>
        <w:t xml:space="preserve">helped build and preserve the trust he received. Trust could be seen as an intangible </w:t>
      </w:r>
      <w:r w:rsidR="00276F6D" w:rsidRPr="00E869A4">
        <w:rPr>
          <w:rFonts w:ascii="Times New Roman" w:hAnsi="Times New Roman" w:cs="Times New Roman"/>
          <w:szCs w:val="24"/>
        </w:rPr>
        <w:t>currency, which</w:t>
      </w:r>
      <w:r w:rsidRPr="00E869A4">
        <w:rPr>
          <w:rFonts w:ascii="Times New Roman" w:hAnsi="Times New Roman" w:cs="Times New Roman"/>
          <w:szCs w:val="24"/>
        </w:rPr>
        <w:t xml:space="preserve"> motivated him to continue providing support by way of purchases and other monetary exchanges for Uncle Wilton. It may be another manifestation of symbolic reciprocity as conceptualised by Lewinter (2003).</w:t>
      </w:r>
    </w:p>
    <w:p w14:paraId="14F4198F" w14:textId="77777777" w:rsidR="007D34AD" w:rsidRDefault="007D34AD" w:rsidP="00A35FF8">
      <w:pPr>
        <w:autoSpaceDE w:val="0"/>
        <w:autoSpaceDN w:val="0"/>
        <w:adjustRightInd w:val="0"/>
        <w:rPr>
          <w:rFonts w:ascii="Times New Roman" w:hAnsi="Times New Roman" w:cs="Times New Roman"/>
          <w:szCs w:val="24"/>
        </w:rPr>
      </w:pPr>
    </w:p>
    <w:p w14:paraId="1C485B94" w14:textId="3F730B45" w:rsidR="00725205" w:rsidRPr="00E869A4" w:rsidRDefault="00CE4301"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Samantha acknowledged that her father praised her </w:t>
      </w:r>
      <w:r w:rsidR="00725205" w:rsidRPr="00E869A4">
        <w:rPr>
          <w:rFonts w:ascii="Times New Roman" w:hAnsi="Times New Roman" w:cs="Times New Roman"/>
          <w:szCs w:val="24"/>
        </w:rPr>
        <w:t>regularly</w:t>
      </w:r>
      <w:r w:rsidRPr="00E869A4">
        <w:rPr>
          <w:rFonts w:ascii="Times New Roman" w:hAnsi="Times New Roman" w:cs="Times New Roman"/>
          <w:szCs w:val="24"/>
        </w:rPr>
        <w:t xml:space="preserve"> for the care she provided, but was shy about his public compliments</w:t>
      </w:r>
      <w:r w:rsidR="00801787" w:rsidRPr="00E869A4">
        <w:rPr>
          <w:rFonts w:ascii="Times New Roman" w:hAnsi="Times New Roman" w:cs="Times New Roman"/>
          <w:szCs w:val="24"/>
        </w:rPr>
        <w:t>:</w:t>
      </w:r>
    </w:p>
    <w:p w14:paraId="1EEE0599"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2C598757" w14:textId="3703BB4D" w:rsidR="00725205" w:rsidRPr="00E869A4" w:rsidRDefault="00725205" w:rsidP="00801787">
      <w:pPr>
        <w:autoSpaceDE w:val="0"/>
        <w:autoSpaceDN w:val="0"/>
        <w:adjustRightInd w:val="0"/>
        <w:spacing w:line="240" w:lineRule="auto"/>
        <w:ind w:left="720" w:firstLine="0"/>
        <w:rPr>
          <w:rFonts w:ascii="Times New Roman" w:hAnsi="Times New Roman" w:cs="Times New Roman"/>
          <w:szCs w:val="24"/>
        </w:rPr>
      </w:pPr>
      <w:r w:rsidRPr="00E869A4">
        <w:rPr>
          <w:rFonts w:ascii="Times New Roman" w:hAnsi="Times New Roman" w:cs="Times New Roman"/>
          <w:szCs w:val="24"/>
        </w:rPr>
        <w:t xml:space="preserve">a lot of people would ask him, </w:t>
      </w:r>
      <w:r w:rsidR="00A10EA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how do you make out with so and so?</w:t>
      </w:r>
      <w:r w:rsidR="00A10EA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he would go on and on about, </w:t>
      </w:r>
      <w:r w:rsidR="0007763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Oh my daughter and my daughter</w:t>
      </w:r>
      <w:r w:rsidR="00801787" w:rsidRPr="00E869A4">
        <w:rPr>
          <w:rFonts w:ascii="Times New Roman" w:eastAsia="Times New Roman" w:hAnsi="Times New Roman" w:cs="Times New Roman"/>
          <w:szCs w:val="24"/>
        </w:rPr>
        <w:t xml:space="preserve"> </w:t>
      </w:r>
      <w:r w:rsidR="0041319D" w:rsidRPr="00E869A4">
        <w:rPr>
          <w:rFonts w:ascii="Times New Roman" w:eastAsia="Times New Roman" w:hAnsi="Times New Roman" w:cs="Times New Roman"/>
          <w:szCs w:val="24"/>
        </w:rPr>
        <w:t>…</w:t>
      </w:r>
      <w:r w:rsidR="0007763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Until sometimes I say, </w:t>
      </w:r>
      <w:r w:rsidR="0007763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Dad y</w:t>
      </w:r>
      <w:r w:rsidR="0007763D" w:rsidRPr="00E869A4">
        <w:rPr>
          <w:rFonts w:ascii="Times New Roman" w:eastAsia="Times New Roman" w:hAnsi="Times New Roman" w:cs="Times New Roman"/>
          <w:szCs w:val="24"/>
        </w:rPr>
        <w:t>ou’re acting like the ‘Miller.’</w:t>
      </w:r>
      <w:r w:rsidRPr="00E869A4">
        <w:rPr>
          <w:rFonts w:ascii="Times New Roman" w:eastAsia="Times New Roman" w:hAnsi="Times New Roman" w:cs="Times New Roman"/>
          <w:szCs w:val="24"/>
        </w:rPr>
        <w:t xml:space="preserve"> (Lau</w:t>
      </w:r>
      <w:r w:rsidR="0041319D" w:rsidRPr="00E869A4">
        <w:rPr>
          <w:rFonts w:ascii="Times New Roman" w:eastAsia="Times New Roman" w:hAnsi="Times New Roman" w:cs="Times New Roman"/>
          <w:szCs w:val="24"/>
        </w:rPr>
        <w:t xml:space="preserve">ghter).  You know that story? … </w:t>
      </w:r>
      <w:r w:rsidRPr="00E869A4">
        <w:rPr>
          <w:rFonts w:ascii="Times New Roman" w:eastAsia="Times New Roman" w:hAnsi="Times New Roman" w:cs="Times New Roman"/>
          <w:szCs w:val="24"/>
        </w:rPr>
        <w:t>Well, this Miller had a daughter and he went boasting and boasting how many things she could do (chuckling)</w:t>
      </w:r>
      <w:r w:rsidR="0080178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41319D"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when she couldn’t (laughs)</w:t>
      </w:r>
      <w:r w:rsidR="00E71501" w:rsidRPr="00E869A4">
        <w:rPr>
          <w:rFonts w:ascii="Times New Roman" w:eastAsia="Times New Roman" w:hAnsi="Times New Roman" w:cs="Times New Roman"/>
          <w:szCs w:val="24"/>
        </w:rPr>
        <w:t>.</w:t>
      </w:r>
    </w:p>
    <w:p w14:paraId="01A9D666"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42A1BF81" w14:textId="051F4B00" w:rsidR="0007763D" w:rsidRPr="00E869A4" w:rsidRDefault="00CE4301" w:rsidP="00801787">
      <w:pPr>
        <w:autoSpaceDE w:val="0"/>
        <w:autoSpaceDN w:val="0"/>
        <w:adjustRightInd w:val="0"/>
        <w:ind w:firstLine="0"/>
        <w:rPr>
          <w:rFonts w:ascii="Times New Roman" w:eastAsia="Times New Roman" w:hAnsi="Times New Roman" w:cs="Times New Roman"/>
          <w:szCs w:val="24"/>
        </w:rPr>
      </w:pPr>
      <w:r w:rsidRPr="00E869A4">
        <w:rPr>
          <w:rFonts w:ascii="Times New Roman" w:eastAsia="Times New Roman" w:hAnsi="Times New Roman" w:cs="Times New Roman"/>
          <w:szCs w:val="24"/>
        </w:rPr>
        <w:t>Despite the discomfort she felt about being praised, b</w:t>
      </w:r>
      <w:r w:rsidR="00725205" w:rsidRPr="00E869A4">
        <w:rPr>
          <w:rFonts w:ascii="Times New Roman" w:eastAsia="Times New Roman" w:hAnsi="Times New Roman" w:cs="Times New Roman"/>
          <w:szCs w:val="24"/>
        </w:rPr>
        <w:t xml:space="preserve">eing thanked for the care provided may have helped to alleviate or even mitigate some of the stress associated with caregiving. This in turn may have served as motivation for </w:t>
      </w:r>
      <w:r w:rsidRPr="00E869A4">
        <w:rPr>
          <w:rFonts w:ascii="Times New Roman" w:eastAsia="Times New Roman" w:hAnsi="Times New Roman" w:cs="Times New Roman"/>
          <w:szCs w:val="24"/>
        </w:rPr>
        <w:t>Samantha and other</w:t>
      </w:r>
      <w:r w:rsidR="00725205" w:rsidRPr="00E869A4">
        <w:rPr>
          <w:rFonts w:ascii="Times New Roman" w:eastAsia="Times New Roman" w:hAnsi="Times New Roman" w:cs="Times New Roman"/>
          <w:szCs w:val="24"/>
        </w:rPr>
        <w:t xml:space="preserve"> caregiver</w:t>
      </w:r>
      <w:r w:rsidRPr="00E869A4">
        <w:rPr>
          <w:rFonts w:ascii="Times New Roman" w:eastAsia="Times New Roman" w:hAnsi="Times New Roman" w:cs="Times New Roman"/>
          <w:szCs w:val="24"/>
        </w:rPr>
        <w:t xml:space="preserve">s </w:t>
      </w:r>
      <w:r w:rsidR="00725205" w:rsidRPr="00E869A4">
        <w:rPr>
          <w:rFonts w:ascii="Times New Roman" w:eastAsia="Times New Roman" w:hAnsi="Times New Roman" w:cs="Times New Roman"/>
          <w:szCs w:val="24"/>
        </w:rPr>
        <w:t>to continue helping the</w:t>
      </w:r>
      <w:r w:rsidRPr="00E869A4">
        <w:rPr>
          <w:rFonts w:ascii="Times New Roman" w:eastAsia="Times New Roman" w:hAnsi="Times New Roman" w:cs="Times New Roman"/>
          <w:szCs w:val="24"/>
        </w:rPr>
        <w:t>ir</w:t>
      </w:r>
      <w:r w:rsidR="00725205" w:rsidRPr="00E869A4">
        <w:rPr>
          <w:rFonts w:ascii="Times New Roman" w:eastAsia="Times New Roman" w:hAnsi="Times New Roman" w:cs="Times New Roman"/>
          <w:szCs w:val="24"/>
        </w:rPr>
        <w:t xml:space="preserve"> older </w:t>
      </w:r>
      <w:r w:rsidRPr="00E869A4">
        <w:rPr>
          <w:rFonts w:ascii="Times New Roman" w:eastAsia="Times New Roman" w:hAnsi="Times New Roman" w:cs="Times New Roman"/>
          <w:szCs w:val="24"/>
        </w:rPr>
        <w:t>relative</w:t>
      </w:r>
      <w:r w:rsidR="00725205" w:rsidRPr="00E869A4">
        <w:rPr>
          <w:rFonts w:ascii="Times New Roman" w:eastAsia="Times New Roman" w:hAnsi="Times New Roman" w:cs="Times New Roman"/>
          <w:szCs w:val="24"/>
        </w:rPr>
        <w:t xml:space="preserve"> (Lewinter 2003).</w:t>
      </w:r>
    </w:p>
    <w:p w14:paraId="0677F87A" w14:textId="77777777" w:rsidR="00801787" w:rsidRPr="00E869A4" w:rsidRDefault="00801787" w:rsidP="00801787">
      <w:pPr>
        <w:autoSpaceDE w:val="0"/>
        <w:autoSpaceDN w:val="0"/>
        <w:adjustRightInd w:val="0"/>
        <w:ind w:firstLine="0"/>
        <w:rPr>
          <w:rFonts w:ascii="Times New Roman" w:eastAsiaTheme="majorEastAsia" w:hAnsi="Times New Roman" w:cs="Times New Roman"/>
          <w:i/>
          <w:u w:val="single"/>
        </w:rPr>
      </w:pPr>
    </w:p>
    <w:p w14:paraId="446A1A9C" w14:textId="19C8AD01" w:rsidR="00725205" w:rsidRPr="00E869A4" w:rsidRDefault="00725205" w:rsidP="0031040A">
      <w:pPr>
        <w:pStyle w:val="Heading5"/>
        <w:rPr>
          <w:color w:val="auto"/>
        </w:rPr>
      </w:pPr>
      <w:r w:rsidRPr="00E869A4">
        <w:rPr>
          <w:color w:val="auto"/>
        </w:rPr>
        <w:lastRenderedPageBreak/>
        <w:t xml:space="preserve">Wellbeing of </w:t>
      </w:r>
      <w:r w:rsidR="008C3EFC" w:rsidRPr="00E869A4">
        <w:rPr>
          <w:color w:val="auto"/>
        </w:rPr>
        <w:t>o</w:t>
      </w:r>
      <w:r w:rsidRPr="00E869A4">
        <w:rPr>
          <w:color w:val="auto"/>
        </w:rPr>
        <w:t>thers</w:t>
      </w:r>
    </w:p>
    <w:p w14:paraId="358BA8EA" w14:textId="77777777" w:rsidR="00725205" w:rsidRPr="00E869A4" w:rsidRDefault="00725205" w:rsidP="00A35FF8">
      <w:pPr>
        <w:rPr>
          <w:rFonts w:ascii="Times New Roman" w:hAnsi="Times New Roman" w:cs="Times New Roman"/>
        </w:rPr>
      </w:pPr>
    </w:p>
    <w:p w14:paraId="49DBF578" w14:textId="43841B97"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For most of the caregivers, knowing that they were doing what they considered to be the right thing for another person</w:t>
      </w:r>
      <w:r w:rsidR="00AD7537" w:rsidRPr="00E869A4">
        <w:rPr>
          <w:rFonts w:ascii="Times New Roman" w:hAnsi="Times New Roman" w:cs="Times New Roman"/>
          <w:szCs w:val="24"/>
        </w:rPr>
        <w:t>,</w:t>
      </w:r>
      <w:r w:rsidRPr="00E869A4">
        <w:rPr>
          <w:rFonts w:ascii="Times New Roman" w:hAnsi="Times New Roman" w:cs="Times New Roman"/>
          <w:szCs w:val="24"/>
        </w:rPr>
        <w:t xml:space="preserve"> and making a positive difference in their older relative</w:t>
      </w:r>
      <w:r w:rsidRPr="00E869A4">
        <w:rPr>
          <w:rFonts w:ascii="Times New Roman" w:eastAsia="Times New Roman" w:hAnsi="Times New Roman" w:cs="Times New Roman"/>
          <w:szCs w:val="24"/>
        </w:rPr>
        <w:t>’s life</w:t>
      </w:r>
      <w:r w:rsidR="00AD753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was an important benefit of providing care. In return, they themselves experienced happiness and a sense of fulfilment</w:t>
      </w:r>
      <w:r w:rsidR="00E71501" w:rsidRPr="00E869A4">
        <w:rPr>
          <w:rFonts w:ascii="Times New Roman" w:eastAsia="Times New Roman" w:hAnsi="Times New Roman" w:cs="Times New Roman"/>
          <w:szCs w:val="24"/>
        </w:rPr>
        <w:t>:</w:t>
      </w:r>
      <w:r w:rsidR="00801787" w:rsidRPr="00E869A4">
        <w:rPr>
          <w:rFonts w:ascii="Times New Roman" w:eastAsia="Times New Roman" w:hAnsi="Times New Roman" w:cs="Times New Roman"/>
          <w:szCs w:val="24"/>
        </w:rPr>
        <w:t xml:space="preserve"> </w:t>
      </w:r>
    </w:p>
    <w:p w14:paraId="1664DBFB" w14:textId="77777777" w:rsidR="00725205" w:rsidRPr="00E869A4" w:rsidRDefault="00725205" w:rsidP="00A35FF8">
      <w:pPr>
        <w:autoSpaceDE w:val="0"/>
        <w:autoSpaceDN w:val="0"/>
        <w:adjustRightInd w:val="0"/>
        <w:rPr>
          <w:rFonts w:ascii="Times New Roman" w:hAnsi="Times New Roman" w:cs="Times New Roman"/>
          <w:szCs w:val="24"/>
        </w:rPr>
      </w:pPr>
    </w:p>
    <w:p w14:paraId="3657E86D" w14:textId="64C49948" w:rsidR="00725205" w:rsidRPr="00E869A4" w:rsidRDefault="00E71501" w:rsidP="00490957">
      <w:pPr>
        <w:autoSpaceDE w:val="0"/>
        <w:autoSpaceDN w:val="0"/>
        <w:adjustRightInd w:val="0"/>
        <w:spacing w:line="240" w:lineRule="auto"/>
        <w:ind w:left="524" w:firstLine="0"/>
        <w:rPr>
          <w:rFonts w:ascii="Times New Roman" w:hAnsi="Times New Roman" w:cs="Times New Roman"/>
          <w:szCs w:val="24"/>
        </w:rPr>
      </w:pPr>
      <w:r w:rsidRPr="00E869A4">
        <w:rPr>
          <w:rFonts w:ascii="Times New Roman" w:hAnsi="Times New Roman" w:cs="Times New Roman"/>
          <w:szCs w:val="24"/>
        </w:rPr>
        <w:t>“</w:t>
      </w:r>
      <w:r w:rsidR="00725205" w:rsidRPr="00E869A4">
        <w:rPr>
          <w:rFonts w:ascii="Times New Roman" w:hAnsi="Times New Roman" w:cs="Times New Roman"/>
          <w:szCs w:val="24"/>
        </w:rPr>
        <w:t>I</w:t>
      </w:r>
      <w:r w:rsidR="00725205" w:rsidRPr="00E869A4">
        <w:rPr>
          <w:rFonts w:ascii="Times New Roman" w:eastAsia="Times New Roman" w:hAnsi="Times New Roman" w:cs="Times New Roman"/>
          <w:szCs w:val="24"/>
        </w:rPr>
        <w:t xml:space="preserve">’m </w:t>
      </w:r>
      <w:proofErr w:type="spellStart"/>
      <w:r w:rsidR="00725205" w:rsidRPr="00E869A4">
        <w:rPr>
          <w:rFonts w:ascii="Times New Roman" w:eastAsia="Times New Roman" w:hAnsi="Times New Roman" w:cs="Times New Roman"/>
          <w:szCs w:val="24"/>
        </w:rPr>
        <w:t>jus</w:t>
      </w:r>
      <w:proofErr w:type="spellEnd"/>
      <w:r w:rsidR="00725205" w:rsidRPr="00E869A4">
        <w:rPr>
          <w:rFonts w:ascii="Times New Roman" w:eastAsia="Times New Roman" w:hAnsi="Times New Roman" w:cs="Times New Roman"/>
          <w:szCs w:val="24"/>
        </w:rPr>
        <w:t>’ happy knowing I’m doing my best for her. An’ makin’ her comfortable as possible</w:t>
      </w:r>
      <w:r w:rsidRPr="00E869A4">
        <w:rPr>
          <w:rFonts w:ascii="Times New Roman" w:eastAsia="Times New Roman" w:hAnsi="Times New Roman" w:cs="Times New Roman"/>
          <w:szCs w:val="24"/>
        </w:rPr>
        <w:t>.”</w:t>
      </w:r>
      <w:r w:rsidR="00725205" w:rsidRPr="00E869A4">
        <w:rPr>
          <w:rFonts w:ascii="Times New Roman" w:eastAsia="Times New Roman" w:hAnsi="Times New Roman" w:cs="Times New Roman"/>
          <w:szCs w:val="24"/>
        </w:rPr>
        <w:t xml:space="preserve"> </w:t>
      </w:r>
      <w:r w:rsidR="00035BD6" w:rsidRPr="00E869A4">
        <w:rPr>
          <w:rFonts w:ascii="Times New Roman" w:hAnsi="Times New Roman" w:cs="Times New Roman"/>
          <w:szCs w:val="24"/>
        </w:rPr>
        <w:t>(FCG</w:t>
      </w:r>
      <w:r w:rsidR="00725205" w:rsidRPr="00E869A4">
        <w:rPr>
          <w:rFonts w:ascii="Times New Roman" w:hAnsi="Times New Roman" w:cs="Times New Roman"/>
          <w:szCs w:val="24"/>
        </w:rPr>
        <w:t xml:space="preserve"> Rebecca)</w:t>
      </w:r>
    </w:p>
    <w:p w14:paraId="657C78EF" w14:textId="77777777" w:rsidR="00725205" w:rsidRPr="00E869A4" w:rsidRDefault="00725205" w:rsidP="00490957">
      <w:pPr>
        <w:autoSpaceDE w:val="0"/>
        <w:autoSpaceDN w:val="0"/>
        <w:adjustRightInd w:val="0"/>
        <w:spacing w:line="240" w:lineRule="auto"/>
        <w:ind w:left="1418" w:firstLine="0"/>
        <w:rPr>
          <w:rFonts w:ascii="Times New Roman" w:hAnsi="Times New Roman" w:cs="Times New Roman"/>
          <w:szCs w:val="24"/>
        </w:rPr>
      </w:pPr>
    </w:p>
    <w:p w14:paraId="733852C5" w14:textId="6470E513" w:rsidR="00725205" w:rsidRPr="00E869A4" w:rsidRDefault="00E71501" w:rsidP="00490957">
      <w:pPr>
        <w:autoSpaceDE w:val="0"/>
        <w:autoSpaceDN w:val="0"/>
        <w:adjustRightInd w:val="0"/>
        <w:spacing w:line="240" w:lineRule="auto"/>
        <w:ind w:left="491" w:firstLine="0"/>
        <w:rPr>
          <w:rFonts w:ascii="Times New Roman" w:hAnsi="Times New Roman" w:cs="Times New Roman"/>
          <w:szCs w:val="24"/>
        </w:rPr>
      </w:pPr>
      <w:r w:rsidRPr="00E869A4">
        <w:rPr>
          <w:rFonts w:ascii="Times New Roman" w:hAnsi="Times New Roman" w:cs="Times New Roman"/>
          <w:szCs w:val="24"/>
        </w:rPr>
        <w:t>“</w:t>
      </w:r>
      <w:r w:rsidR="00725205" w:rsidRPr="00E869A4">
        <w:rPr>
          <w:rFonts w:ascii="Times New Roman" w:hAnsi="Times New Roman" w:cs="Times New Roman"/>
          <w:szCs w:val="24"/>
        </w:rPr>
        <w:t>What I does really enjoy about it is that I helping somebody. He need the help yuh know and I around to help him.</w:t>
      </w:r>
      <w:r w:rsidRPr="00E869A4">
        <w:rPr>
          <w:rFonts w:ascii="Times New Roman" w:hAnsi="Times New Roman" w:cs="Times New Roman"/>
          <w:szCs w:val="24"/>
        </w:rPr>
        <w:t>”</w:t>
      </w:r>
      <w:r w:rsidR="00035BD6" w:rsidRPr="00E869A4">
        <w:rPr>
          <w:rFonts w:ascii="Times New Roman" w:hAnsi="Times New Roman" w:cs="Times New Roman"/>
          <w:szCs w:val="24"/>
        </w:rPr>
        <w:t xml:space="preserve"> (FCG</w:t>
      </w:r>
      <w:r w:rsidR="00725205" w:rsidRPr="00E869A4">
        <w:rPr>
          <w:rFonts w:ascii="Times New Roman" w:hAnsi="Times New Roman" w:cs="Times New Roman"/>
          <w:szCs w:val="24"/>
        </w:rPr>
        <w:t xml:space="preserve"> Mr. Birch)</w:t>
      </w:r>
    </w:p>
    <w:p w14:paraId="52CC49A0" w14:textId="77777777" w:rsidR="00725205" w:rsidRPr="00E869A4" w:rsidRDefault="00725205" w:rsidP="00490957">
      <w:pPr>
        <w:autoSpaceDE w:val="0"/>
        <w:autoSpaceDN w:val="0"/>
        <w:adjustRightInd w:val="0"/>
        <w:spacing w:line="240" w:lineRule="auto"/>
        <w:ind w:left="1418" w:firstLine="0"/>
        <w:rPr>
          <w:rFonts w:ascii="Times New Roman" w:hAnsi="Times New Roman" w:cs="Times New Roman"/>
          <w:szCs w:val="24"/>
        </w:rPr>
      </w:pPr>
    </w:p>
    <w:p w14:paraId="023154EC" w14:textId="59870D72" w:rsidR="00725205" w:rsidRPr="00E869A4" w:rsidRDefault="00E71501" w:rsidP="00490957">
      <w:pPr>
        <w:autoSpaceDE w:val="0"/>
        <w:autoSpaceDN w:val="0"/>
        <w:adjustRightInd w:val="0"/>
        <w:spacing w:line="240" w:lineRule="auto"/>
        <w:ind w:left="491" w:firstLine="0"/>
        <w:rPr>
          <w:rFonts w:ascii="Times New Roman" w:hAnsi="Times New Roman" w:cs="Times New Roman"/>
          <w:szCs w:val="24"/>
        </w:rPr>
      </w:pPr>
      <w:r w:rsidRPr="00E869A4">
        <w:rPr>
          <w:rFonts w:ascii="Times New Roman" w:hAnsi="Times New Roman" w:cs="Times New Roman"/>
          <w:szCs w:val="24"/>
        </w:rPr>
        <w:t>“</w:t>
      </w:r>
      <w:r w:rsidR="00725205" w:rsidRPr="00E869A4">
        <w:rPr>
          <w:rFonts w:ascii="Times New Roman" w:hAnsi="Times New Roman" w:cs="Times New Roman"/>
          <w:szCs w:val="24"/>
        </w:rPr>
        <w:t>It</w:t>
      </w:r>
      <w:r w:rsidR="00725205" w:rsidRPr="00E869A4">
        <w:rPr>
          <w:rFonts w:ascii="Times New Roman" w:eastAsia="Times New Roman" w:hAnsi="Times New Roman" w:cs="Times New Roman"/>
          <w:szCs w:val="24"/>
        </w:rPr>
        <w:t>’s having an opportunity to do the right things, and just basically enjoy life too</w:t>
      </w:r>
      <w:r w:rsidRPr="00E869A4">
        <w:rPr>
          <w:rFonts w:ascii="Times New Roman" w:eastAsia="Times New Roman" w:hAnsi="Times New Roman" w:cs="Times New Roman"/>
          <w:szCs w:val="24"/>
        </w:rPr>
        <w:t>.</w:t>
      </w:r>
      <w:r w:rsidR="00725205" w:rsidRPr="00E869A4">
        <w:rPr>
          <w:rFonts w:ascii="Times New Roman" w:eastAsia="Times New Roman" w:hAnsi="Times New Roman" w:cs="Times New Roman"/>
          <w:szCs w:val="24"/>
        </w:rPr>
        <w:t xml:space="preserve">” </w:t>
      </w:r>
      <w:r w:rsidR="00035BD6" w:rsidRPr="00E869A4">
        <w:rPr>
          <w:rFonts w:ascii="Times New Roman" w:eastAsia="Times New Roman" w:hAnsi="Times New Roman" w:cs="Times New Roman"/>
          <w:szCs w:val="24"/>
        </w:rPr>
        <w:t>(FCG</w:t>
      </w:r>
      <w:r w:rsidR="00725205" w:rsidRPr="00E869A4">
        <w:rPr>
          <w:rFonts w:ascii="Times New Roman" w:eastAsia="Times New Roman" w:hAnsi="Times New Roman" w:cs="Times New Roman"/>
          <w:szCs w:val="24"/>
        </w:rPr>
        <w:t xml:space="preserve"> </w:t>
      </w:r>
      <w:r w:rsidR="00725205" w:rsidRPr="00E869A4">
        <w:rPr>
          <w:rFonts w:ascii="Times New Roman" w:hAnsi="Times New Roman" w:cs="Times New Roman"/>
          <w:szCs w:val="24"/>
        </w:rPr>
        <w:t>Adelina)</w:t>
      </w:r>
    </w:p>
    <w:p w14:paraId="39939463" w14:textId="77777777" w:rsidR="00725205" w:rsidRPr="00E869A4" w:rsidRDefault="00725205" w:rsidP="00490957">
      <w:pPr>
        <w:autoSpaceDE w:val="0"/>
        <w:autoSpaceDN w:val="0"/>
        <w:adjustRightInd w:val="0"/>
        <w:spacing w:line="240" w:lineRule="auto"/>
        <w:ind w:left="1418" w:firstLine="0"/>
        <w:rPr>
          <w:rFonts w:ascii="Times New Roman" w:hAnsi="Times New Roman" w:cs="Times New Roman"/>
          <w:szCs w:val="24"/>
        </w:rPr>
      </w:pPr>
    </w:p>
    <w:p w14:paraId="6DB06BB6" w14:textId="1C76B03B" w:rsidR="00725205" w:rsidRPr="00E869A4" w:rsidRDefault="00E71501" w:rsidP="00490957">
      <w:pPr>
        <w:autoSpaceDE w:val="0"/>
        <w:autoSpaceDN w:val="0"/>
        <w:adjustRightInd w:val="0"/>
        <w:ind w:left="491" w:firstLine="0"/>
        <w:rPr>
          <w:rFonts w:ascii="Times New Roman" w:hAnsi="Times New Roman" w:cs="Times New Roman"/>
          <w:szCs w:val="24"/>
        </w:rPr>
      </w:pPr>
      <w:r w:rsidRPr="00E869A4">
        <w:rPr>
          <w:rFonts w:ascii="Times New Roman" w:hAnsi="Times New Roman" w:cs="Times New Roman"/>
          <w:szCs w:val="24"/>
        </w:rPr>
        <w:t>“</w:t>
      </w:r>
      <w:r w:rsidR="00725205" w:rsidRPr="00E869A4">
        <w:rPr>
          <w:rFonts w:ascii="Times New Roman" w:hAnsi="Times New Roman" w:cs="Times New Roman"/>
          <w:szCs w:val="24"/>
        </w:rPr>
        <w:t>I’m taking care of him and I know that when I do it he is also happy</w:t>
      </w:r>
      <w:r w:rsidRPr="00E869A4">
        <w:rPr>
          <w:rFonts w:ascii="Times New Roman" w:hAnsi="Times New Roman" w:cs="Times New Roman"/>
          <w:szCs w:val="24"/>
        </w:rPr>
        <w:t>.”</w:t>
      </w:r>
      <w:r w:rsidR="00035BD6" w:rsidRPr="00E869A4">
        <w:rPr>
          <w:rFonts w:ascii="Times New Roman" w:hAnsi="Times New Roman" w:cs="Times New Roman"/>
          <w:szCs w:val="24"/>
        </w:rPr>
        <w:t xml:space="preserve"> (FCG</w:t>
      </w:r>
      <w:r w:rsidR="00725205" w:rsidRPr="00E869A4">
        <w:rPr>
          <w:rFonts w:ascii="Times New Roman" w:hAnsi="Times New Roman" w:cs="Times New Roman"/>
          <w:szCs w:val="24"/>
        </w:rPr>
        <w:t xml:space="preserve"> Samantha)  </w:t>
      </w:r>
    </w:p>
    <w:p w14:paraId="24211C7B" w14:textId="77777777" w:rsidR="00725205" w:rsidRPr="00E869A4" w:rsidRDefault="00725205" w:rsidP="00A35FF8">
      <w:pPr>
        <w:autoSpaceDE w:val="0"/>
        <w:autoSpaceDN w:val="0"/>
        <w:adjustRightInd w:val="0"/>
        <w:rPr>
          <w:rFonts w:ascii="Times New Roman" w:hAnsi="Times New Roman" w:cs="Times New Roman"/>
          <w:szCs w:val="24"/>
        </w:rPr>
      </w:pPr>
    </w:p>
    <w:p w14:paraId="254E5BCC" w14:textId="6E239E5B" w:rsidR="00725205" w:rsidRPr="00E869A4" w:rsidRDefault="00725205" w:rsidP="00CD4195">
      <w:pPr>
        <w:autoSpaceDE w:val="0"/>
        <w:autoSpaceDN w:val="0"/>
        <w:adjustRightInd w:val="0"/>
        <w:ind w:firstLine="491"/>
        <w:rPr>
          <w:rFonts w:ascii="Times New Roman" w:hAnsi="Times New Roman" w:cs="Times New Roman"/>
          <w:szCs w:val="24"/>
        </w:rPr>
      </w:pPr>
      <w:r w:rsidRPr="00E869A4">
        <w:rPr>
          <w:rFonts w:ascii="Times New Roman" w:hAnsi="Times New Roman" w:cs="Times New Roman"/>
          <w:szCs w:val="24"/>
        </w:rPr>
        <w:t>In Marian</w:t>
      </w:r>
      <w:r w:rsidRPr="00E869A4">
        <w:rPr>
          <w:rFonts w:ascii="Times New Roman" w:eastAsia="Times New Roman" w:hAnsi="Times New Roman" w:cs="Times New Roman"/>
          <w:szCs w:val="24"/>
        </w:rPr>
        <w:t xml:space="preserve">’s case, ensuring that her mother was happy and comfortable in later life was an important benefit that she derived from being a caregiver, even though it meant that she sacrificed returning to the USA to receive medical treatment for herself. </w:t>
      </w:r>
    </w:p>
    <w:p w14:paraId="4A247507"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73AA782A" w14:textId="677EF0D5" w:rsidR="00725205" w:rsidRPr="00E869A4" w:rsidRDefault="00725205" w:rsidP="005C493A">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And yuh know that</w:t>
      </w:r>
      <w:r w:rsidRPr="00E869A4">
        <w:rPr>
          <w:rFonts w:ascii="Times New Roman" w:eastAsia="Times New Roman" w:hAnsi="Times New Roman" w:cs="Times New Roman"/>
          <w:szCs w:val="24"/>
        </w:rPr>
        <w:t>’s why I stay because</w:t>
      </w:r>
      <w:r w:rsidR="00CD419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it rewarding to me to know that … at least, she might get up tomorrow and she might be gone but at least she was happy that she was at home in her bed, she has somebody</w:t>
      </w:r>
      <w:r w:rsidR="00E71501" w:rsidRPr="00E869A4">
        <w:rPr>
          <w:rFonts w:ascii="Times New Roman" w:eastAsia="Times New Roman" w:hAnsi="Times New Roman" w:cs="Times New Roman"/>
          <w:szCs w:val="24"/>
        </w:rPr>
        <w:t>.</w:t>
      </w:r>
    </w:p>
    <w:p w14:paraId="6DD0CF4D"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7EADBA79" w14:textId="0BEA0B40" w:rsidR="00725205" w:rsidRPr="00E869A4" w:rsidRDefault="00725205" w:rsidP="005C493A">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Similarly, Sheila was very happy to see that the support she provided to help Mother Freeda live independent</w:t>
      </w:r>
      <w:r w:rsidR="0007055D" w:rsidRPr="00E869A4">
        <w:rPr>
          <w:rFonts w:ascii="Times New Roman" w:hAnsi="Times New Roman" w:cs="Times New Roman"/>
          <w:szCs w:val="24"/>
        </w:rPr>
        <w:t>ly</w:t>
      </w:r>
      <w:r w:rsidRPr="00E869A4">
        <w:rPr>
          <w:rFonts w:ascii="Times New Roman" w:hAnsi="Times New Roman" w:cs="Times New Roman"/>
          <w:szCs w:val="24"/>
        </w:rPr>
        <w:t xml:space="preserve"> in her own home had helped improve her mother’s overall wellbeing. According to Sheila, one of the indicators of Mother Freeda’s improved wellbeing was when she was attentive to her appearance. Sheila first noticed that her mother had some hygiene challenges when she became a widow and her health challenges escalated. Sheila took several steps to address this such as tactfully hiring a nurse to visit her mother once a week and give her a thorough bath and massage. This, in addition to the other support she provided to Mother Freeda seemed to contribute to an overall improvement in her </w:t>
      </w:r>
      <w:r w:rsidR="0007055D" w:rsidRPr="00E869A4">
        <w:rPr>
          <w:rFonts w:ascii="Times New Roman" w:hAnsi="Times New Roman" w:cs="Times New Roman"/>
          <w:szCs w:val="24"/>
        </w:rPr>
        <w:t>m</w:t>
      </w:r>
      <w:r w:rsidRPr="00E869A4">
        <w:rPr>
          <w:rFonts w:ascii="Times New Roman" w:hAnsi="Times New Roman" w:cs="Times New Roman"/>
          <w:szCs w:val="24"/>
        </w:rPr>
        <w:t>other’s quality of life</w:t>
      </w:r>
      <w:r w:rsidR="00771FF8" w:rsidRPr="00E869A4">
        <w:rPr>
          <w:rFonts w:ascii="Times New Roman" w:hAnsi="Times New Roman" w:cs="Times New Roman"/>
          <w:szCs w:val="24"/>
        </w:rPr>
        <w:t>:</w:t>
      </w:r>
    </w:p>
    <w:p w14:paraId="69D7BDBF"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14974A17" w14:textId="6197CD5F" w:rsidR="00725205" w:rsidRPr="00E869A4" w:rsidRDefault="00725205" w:rsidP="005C493A">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Yesterday she went home with us: somebody invited her out to lunch an’ she all dressed up an’ lookin’ really very nice, yuh know</w:t>
      </w:r>
      <w:r w:rsidR="000A594B" w:rsidRPr="00E869A4">
        <w:rPr>
          <w:rFonts w:ascii="Times New Roman" w:hAnsi="Times New Roman" w:cs="Times New Roman"/>
          <w:szCs w:val="24"/>
        </w:rPr>
        <w:t>.</w:t>
      </w:r>
      <w:r w:rsidRPr="00E869A4">
        <w:rPr>
          <w:rFonts w:ascii="Times New Roman" w:hAnsi="Times New Roman" w:cs="Times New Roman"/>
          <w:szCs w:val="24"/>
        </w:rPr>
        <w:t xml:space="preserve"> I feel happy when I see her do that. When she dresses herself it shows how she feels about herself. That is what I appreciate.</w:t>
      </w:r>
    </w:p>
    <w:p w14:paraId="6A5D4C3E" w14:textId="77777777" w:rsidR="00725205" w:rsidRPr="00E869A4" w:rsidRDefault="00725205" w:rsidP="005C493A">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lastRenderedPageBreak/>
        <w:t xml:space="preserve">The other forms of support that Sheila provided are discussed in the chapter that follows on coping and care management strategies. </w:t>
      </w:r>
    </w:p>
    <w:p w14:paraId="1842E29C" w14:textId="77777777" w:rsidR="00725205" w:rsidRPr="00E869A4" w:rsidRDefault="00725205" w:rsidP="00A35FF8">
      <w:pPr>
        <w:autoSpaceDE w:val="0"/>
        <w:autoSpaceDN w:val="0"/>
        <w:adjustRightInd w:val="0"/>
        <w:rPr>
          <w:rFonts w:ascii="Times New Roman" w:hAnsi="Times New Roman" w:cs="Times New Roman"/>
          <w:szCs w:val="24"/>
        </w:rPr>
      </w:pPr>
    </w:p>
    <w:p w14:paraId="58FC265B" w14:textId="77777777" w:rsidR="00725205" w:rsidRPr="00E869A4" w:rsidRDefault="00725205" w:rsidP="0031040A">
      <w:pPr>
        <w:pStyle w:val="Heading5"/>
        <w:rPr>
          <w:color w:val="auto"/>
        </w:rPr>
      </w:pPr>
      <w:r w:rsidRPr="00E869A4">
        <w:rPr>
          <w:color w:val="auto"/>
        </w:rPr>
        <w:t xml:space="preserve">Support from </w:t>
      </w:r>
      <w:r w:rsidR="00023BA2" w:rsidRPr="00E869A4">
        <w:rPr>
          <w:color w:val="auto"/>
        </w:rPr>
        <w:t>o</w:t>
      </w:r>
      <w:r w:rsidRPr="00E869A4">
        <w:rPr>
          <w:color w:val="auto"/>
        </w:rPr>
        <w:t>thers</w:t>
      </w:r>
    </w:p>
    <w:p w14:paraId="5C5846ED" w14:textId="77777777" w:rsidR="00725205" w:rsidRPr="00E869A4" w:rsidRDefault="00725205" w:rsidP="00B61191">
      <w:pPr>
        <w:ind w:left="567" w:firstLine="0"/>
      </w:pPr>
    </w:p>
    <w:p w14:paraId="41A5D215" w14:textId="6D15BE73" w:rsidR="00725205" w:rsidRPr="00E869A4" w:rsidRDefault="00725205" w:rsidP="00A35FF8">
      <w:pPr>
        <w:autoSpaceDE w:val="0"/>
        <w:autoSpaceDN w:val="0"/>
        <w:adjustRightInd w:val="0"/>
        <w:rPr>
          <w:rFonts w:ascii="Times New Roman" w:eastAsia="Times New Roman" w:hAnsi="Times New Roman" w:cs="Times New Roman"/>
          <w:szCs w:val="24"/>
        </w:rPr>
      </w:pPr>
      <w:r w:rsidRPr="00E869A4">
        <w:rPr>
          <w:rFonts w:ascii="Times New Roman" w:hAnsi="Times New Roman" w:cs="Times New Roman"/>
          <w:szCs w:val="24"/>
        </w:rPr>
        <w:t>Several caregivers shared about the spiritual and emotional support they received from their older cared-for relative. This was particularly meaningful to Rebecca who was a widow and the only child of her mother. At the time of the interview, Rebecca was still grieving over the loss of her husband and another close relative. Her mother</w:t>
      </w:r>
      <w:r w:rsidRPr="00E869A4">
        <w:rPr>
          <w:rFonts w:ascii="Times New Roman" w:eastAsia="Times New Roman" w:hAnsi="Times New Roman" w:cs="Times New Roman"/>
          <w:szCs w:val="24"/>
        </w:rPr>
        <w:t>’s support helped her to be positive about the future</w:t>
      </w:r>
      <w:r w:rsidR="00771FF8"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p>
    <w:p w14:paraId="1AEA3D1F" w14:textId="77777777" w:rsidR="000A594B" w:rsidRPr="00E869A4" w:rsidRDefault="000A594B" w:rsidP="007B2B49">
      <w:pPr>
        <w:autoSpaceDE w:val="0"/>
        <w:autoSpaceDN w:val="0"/>
        <w:adjustRightInd w:val="0"/>
        <w:spacing w:line="240" w:lineRule="auto"/>
        <w:ind w:left="567" w:firstLine="0"/>
        <w:rPr>
          <w:rFonts w:ascii="Times New Roman" w:hAnsi="Times New Roman" w:cs="Times New Roman"/>
          <w:szCs w:val="24"/>
        </w:rPr>
      </w:pPr>
    </w:p>
    <w:p w14:paraId="11793D42" w14:textId="22D5FB0A" w:rsidR="00725205" w:rsidRPr="00E869A4" w:rsidRDefault="00725205" w:rsidP="005C493A">
      <w:pPr>
        <w:autoSpaceDE w:val="0"/>
        <w:autoSpaceDN w:val="0"/>
        <w:adjustRightInd w:val="0"/>
        <w:spacing w:line="240" w:lineRule="auto"/>
        <w:ind w:left="567" w:firstLine="0"/>
        <w:rPr>
          <w:rFonts w:ascii="Times New Roman" w:hAnsi="Times New Roman" w:cs="Times New Roman"/>
          <w:szCs w:val="24"/>
        </w:rPr>
      </w:pPr>
      <w:r w:rsidRPr="00E869A4">
        <w:rPr>
          <w:rFonts w:ascii="Times New Roman" w:eastAsia="Times New Roman" w:hAnsi="Times New Roman" w:cs="Times New Roman"/>
          <w:szCs w:val="24"/>
        </w:rPr>
        <w:t>Bein’ here she’s been a pillar of support. Emotionally yes</w:t>
      </w:r>
      <w:r w:rsidR="005C493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sometimes when I feel down</w:t>
      </w:r>
      <w:r w:rsidR="005C493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5C493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she’s very prayerful, very spiritual so she pray for me all the time</w:t>
      </w:r>
      <w:r w:rsidR="005C493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she has been a pillar of strength for me. She’s an optimist, …</w:t>
      </w:r>
      <w:r w:rsidR="000A594B"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Sometimes I get in a mood …</w:t>
      </w:r>
      <w:r w:rsidR="005C493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because … when I think about my future, it’s intimidatin’, it’s frightening. But she would reassure me an’ give me that assurance an’ …</w:t>
      </w:r>
      <w:r w:rsidR="005C493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she’s very positive … jus</w:t>
      </w:r>
      <w:r w:rsidR="00CD4195" w:rsidRPr="00E869A4">
        <w:rPr>
          <w:rFonts w:ascii="Times New Roman" w:eastAsia="Times New Roman" w:hAnsi="Times New Roman" w:cs="Times New Roman"/>
          <w:szCs w:val="24"/>
        </w:rPr>
        <w:t>’ being aroun’ her presence, … [having]</w:t>
      </w:r>
      <w:r w:rsidRPr="00E869A4">
        <w:rPr>
          <w:rFonts w:ascii="Times New Roman" w:eastAsia="Times New Roman" w:hAnsi="Times New Roman" w:cs="Times New Roman"/>
          <w:szCs w:val="24"/>
        </w:rPr>
        <w:t xml:space="preserve"> somebody in the house </w:t>
      </w:r>
      <w:r w:rsidR="00CD4195"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[I’m] jus’ thankful that she’s [still here]</w:t>
      </w:r>
      <w:r w:rsidR="005C493A" w:rsidRPr="00E869A4">
        <w:rPr>
          <w:rFonts w:ascii="Times New Roman" w:eastAsia="Times New Roman" w:hAnsi="Times New Roman" w:cs="Times New Roman"/>
          <w:szCs w:val="24"/>
        </w:rPr>
        <w:t>.</w:t>
      </w:r>
    </w:p>
    <w:p w14:paraId="732FC758"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0AFF67EB" w14:textId="15B2F26D"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Mother Freeda was another </w:t>
      </w:r>
      <w:r w:rsidR="009E2738" w:rsidRPr="00E869A4">
        <w:rPr>
          <w:rFonts w:ascii="Times New Roman" w:hAnsi="Times New Roman" w:cs="Times New Roman"/>
          <w:szCs w:val="24"/>
        </w:rPr>
        <w:t>care recipient</w:t>
      </w:r>
      <w:r w:rsidRPr="00E869A4">
        <w:rPr>
          <w:rFonts w:ascii="Times New Roman" w:hAnsi="Times New Roman" w:cs="Times New Roman"/>
          <w:szCs w:val="24"/>
        </w:rPr>
        <w:t xml:space="preserve"> who provided spiritual support to her children. She also made a conscientious effort to encourage</w:t>
      </w:r>
      <w:r w:rsidR="00771FF8" w:rsidRPr="00E869A4">
        <w:rPr>
          <w:rFonts w:ascii="Times New Roman" w:hAnsi="Times New Roman" w:cs="Times New Roman"/>
          <w:szCs w:val="24"/>
        </w:rPr>
        <w:t xml:space="preserve"> them to live </w:t>
      </w:r>
      <w:r w:rsidR="00627C69" w:rsidRPr="00E869A4">
        <w:rPr>
          <w:rFonts w:ascii="Times New Roman" w:hAnsi="Times New Roman" w:cs="Times New Roman"/>
          <w:szCs w:val="24"/>
        </w:rPr>
        <w:t xml:space="preserve">a </w:t>
      </w:r>
      <w:r w:rsidR="00771FF8" w:rsidRPr="00E869A4">
        <w:rPr>
          <w:rFonts w:ascii="Times New Roman" w:hAnsi="Times New Roman" w:cs="Times New Roman"/>
          <w:szCs w:val="24"/>
        </w:rPr>
        <w:t>healthy lifestyle:</w:t>
      </w:r>
    </w:p>
    <w:p w14:paraId="03425A0C"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23853044" w14:textId="527D9D8B" w:rsidR="00725205" w:rsidRPr="00E869A4" w:rsidRDefault="00725205" w:rsidP="00E13141">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Well I does help them spiritually because I always tell them they must pray and always remember that there is a God</w:t>
      </w:r>
      <w:r w:rsidR="00EC37DD" w:rsidRPr="00E869A4">
        <w:rPr>
          <w:rFonts w:ascii="Times New Roman" w:hAnsi="Times New Roman" w:cs="Times New Roman"/>
          <w:szCs w:val="24"/>
        </w:rPr>
        <w:t xml:space="preserve"> </w:t>
      </w:r>
      <w:r w:rsidR="00EC37D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tell them go an’ check de doctor</w:t>
      </w:r>
      <w:r w:rsidR="00EC37DD"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E13141"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test the pressure an’ de sugar because I have sugar, an’ yuh daddy die with it …</w:t>
      </w:r>
      <w:r w:rsidR="00E13141"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it runs in de family… Prevention is better than cure. I tell them keep active and exercise and always go an’ take a check-up.</w:t>
      </w:r>
      <w:r w:rsidRPr="00E869A4">
        <w:rPr>
          <w:rFonts w:ascii="Times New Roman" w:hAnsi="Times New Roman" w:cs="Times New Roman"/>
          <w:szCs w:val="24"/>
        </w:rPr>
        <w:t xml:space="preserve"> </w:t>
      </w:r>
    </w:p>
    <w:p w14:paraId="47995322"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22B2290E" w14:textId="1073D58C" w:rsidR="00725205" w:rsidRPr="00E869A4" w:rsidRDefault="00177EF8" w:rsidP="00EC37DD">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However, she</w:t>
      </w:r>
      <w:r w:rsidR="00725205" w:rsidRPr="00E869A4">
        <w:rPr>
          <w:rFonts w:ascii="Times New Roman" w:hAnsi="Times New Roman" w:cs="Times New Roman"/>
          <w:szCs w:val="24"/>
        </w:rPr>
        <w:t xml:space="preserve"> was careful to not pressure her relatives into adopting her specific form of religion</w:t>
      </w:r>
      <w:r w:rsidR="00274A79">
        <w:rPr>
          <w:rFonts w:ascii="Times New Roman" w:hAnsi="Times New Roman" w:cs="Times New Roman"/>
          <w:szCs w:val="24"/>
        </w:rPr>
        <w:t xml:space="preserve">, especially </w:t>
      </w:r>
      <w:r w:rsidRPr="00E869A4">
        <w:rPr>
          <w:rFonts w:ascii="Times New Roman" w:hAnsi="Times New Roman" w:cs="Times New Roman"/>
          <w:szCs w:val="24"/>
        </w:rPr>
        <w:t xml:space="preserve">her son </w:t>
      </w:r>
      <w:r w:rsidR="0011568A" w:rsidRPr="00E869A4">
        <w:rPr>
          <w:rFonts w:ascii="Times New Roman" w:hAnsi="Times New Roman" w:cs="Times New Roman"/>
          <w:szCs w:val="24"/>
        </w:rPr>
        <w:t>Winston</w:t>
      </w:r>
      <w:r w:rsidRPr="00E869A4">
        <w:rPr>
          <w:rFonts w:ascii="Times New Roman" w:hAnsi="Times New Roman" w:cs="Times New Roman"/>
          <w:szCs w:val="24"/>
        </w:rPr>
        <w:t xml:space="preserve"> who w</w:t>
      </w:r>
      <w:r w:rsidR="00725205" w:rsidRPr="00E869A4">
        <w:rPr>
          <w:rFonts w:ascii="Times New Roman" w:hAnsi="Times New Roman" w:cs="Times New Roman"/>
          <w:szCs w:val="24"/>
        </w:rPr>
        <w:t xml:space="preserve">as a member of a different religion </w:t>
      </w:r>
      <w:r w:rsidRPr="00E869A4">
        <w:rPr>
          <w:rFonts w:ascii="Times New Roman" w:hAnsi="Times New Roman" w:cs="Times New Roman"/>
          <w:szCs w:val="24"/>
        </w:rPr>
        <w:t>to hers</w:t>
      </w:r>
      <w:r w:rsidR="0007055D" w:rsidRPr="00E869A4">
        <w:rPr>
          <w:rFonts w:ascii="Times New Roman" w:hAnsi="Times New Roman" w:cs="Times New Roman"/>
          <w:szCs w:val="24"/>
        </w:rPr>
        <w:t>:</w:t>
      </w:r>
      <w:r w:rsidR="00E13141" w:rsidRPr="00E869A4">
        <w:rPr>
          <w:rFonts w:ascii="Times New Roman" w:hAnsi="Times New Roman" w:cs="Times New Roman"/>
          <w:szCs w:val="24"/>
        </w:rPr>
        <w:t xml:space="preserve"> </w:t>
      </w:r>
      <w:r w:rsidR="00771FF8" w:rsidRPr="00E869A4">
        <w:rPr>
          <w:rFonts w:ascii="Times New Roman" w:eastAsia="Times New Roman" w:hAnsi="Times New Roman" w:cs="Times New Roman"/>
          <w:szCs w:val="24"/>
        </w:rPr>
        <w:t>“</w:t>
      </w:r>
      <w:r w:rsidR="00725205" w:rsidRPr="00E869A4">
        <w:rPr>
          <w:rFonts w:ascii="Times New Roman" w:eastAsia="Times New Roman" w:hAnsi="Times New Roman" w:cs="Times New Roman"/>
          <w:szCs w:val="24"/>
        </w:rPr>
        <w:t>I don’t force my religion on them.</w:t>
      </w:r>
      <w:r w:rsidR="00771FF8" w:rsidRPr="00E869A4">
        <w:rPr>
          <w:rFonts w:ascii="Times New Roman" w:eastAsia="Times New Roman" w:hAnsi="Times New Roman" w:cs="Times New Roman"/>
          <w:szCs w:val="24"/>
        </w:rPr>
        <w:t>”</w:t>
      </w:r>
      <w:r w:rsidR="00725205" w:rsidRPr="00E869A4">
        <w:rPr>
          <w:rFonts w:ascii="Times New Roman" w:eastAsia="Times New Roman" w:hAnsi="Times New Roman" w:cs="Times New Roman"/>
          <w:szCs w:val="24"/>
        </w:rPr>
        <w:t xml:space="preserve"> </w:t>
      </w:r>
      <w:r w:rsidR="00725205" w:rsidRPr="00E869A4">
        <w:rPr>
          <w:rFonts w:ascii="Times New Roman" w:hAnsi="Times New Roman" w:cs="Times New Roman"/>
          <w:szCs w:val="24"/>
        </w:rPr>
        <w:t>(CR: Mother Freeda)</w:t>
      </w:r>
      <w:r w:rsidR="00E13141" w:rsidRPr="00E869A4">
        <w:rPr>
          <w:rFonts w:ascii="Times New Roman" w:hAnsi="Times New Roman" w:cs="Times New Roman"/>
          <w:szCs w:val="24"/>
        </w:rPr>
        <w:t>.</w:t>
      </w:r>
      <w:r w:rsidR="00307074" w:rsidRPr="00E869A4">
        <w:rPr>
          <w:rFonts w:ascii="Times New Roman" w:hAnsi="Times New Roman" w:cs="Times New Roman"/>
          <w:szCs w:val="24"/>
        </w:rPr>
        <w:t xml:space="preserve"> </w:t>
      </w:r>
      <w:r w:rsidR="00725205" w:rsidRPr="00E869A4">
        <w:rPr>
          <w:rFonts w:ascii="Times New Roman" w:hAnsi="Times New Roman" w:cs="Times New Roman"/>
          <w:szCs w:val="24"/>
        </w:rPr>
        <w:t xml:space="preserve">Marian also received spiritual encouragement and support from her mother (Ms. Violet). </w:t>
      </w:r>
      <w:r w:rsidR="0022229C" w:rsidRPr="00E869A4">
        <w:rPr>
          <w:rFonts w:ascii="Times New Roman" w:hAnsi="Times New Roman" w:cs="Times New Roman"/>
          <w:szCs w:val="24"/>
        </w:rPr>
        <w:t>However,</w:t>
      </w:r>
      <w:r w:rsidR="00725205" w:rsidRPr="00E869A4">
        <w:rPr>
          <w:rFonts w:ascii="Times New Roman" w:hAnsi="Times New Roman" w:cs="Times New Roman"/>
          <w:szCs w:val="24"/>
        </w:rPr>
        <w:t xml:space="preserve"> for Marian, </w:t>
      </w:r>
      <w:r w:rsidR="003A3042" w:rsidRPr="00E869A4">
        <w:rPr>
          <w:rFonts w:ascii="Times New Roman" w:hAnsi="Times New Roman" w:cs="Times New Roman"/>
          <w:szCs w:val="24"/>
        </w:rPr>
        <w:t>engaging</w:t>
      </w:r>
      <w:r w:rsidR="00725205" w:rsidRPr="00E869A4">
        <w:rPr>
          <w:rFonts w:ascii="Times New Roman" w:hAnsi="Times New Roman" w:cs="Times New Roman"/>
          <w:szCs w:val="24"/>
        </w:rPr>
        <w:t xml:space="preserve"> in religious practises at home with her mother was at times challenging since she had a different belief system that was sometimes at odds with her mother</w:t>
      </w:r>
      <w:r w:rsidR="00725205" w:rsidRPr="00E869A4">
        <w:rPr>
          <w:rFonts w:ascii="Times New Roman" w:eastAsia="Times New Roman" w:hAnsi="Times New Roman" w:cs="Times New Roman"/>
          <w:szCs w:val="24"/>
        </w:rPr>
        <w:t>’s religious practises. This is discussed in more detail in the next chapter.</w:t>
      </w:r>
    </w:p>
    <w:p w14:paraId="27DDC4BF" w14:textId="77777777" w:rsidR="00725205" w:rsidRPr="00E869A4" w:rsidRDefault="00725205" w:rsidP="00A35FF8">
      <w:pPr>
        <w:autoSpaceDE w:val="0"/>
        <w:autoSpaceDN w:val="0"/>
        <w:adjustRightInd w:val="0"/>
        <w:rPr>
          <w:rFonts w:ascii="Times New Roman" w:hAnsi="Times New Roman" w:cs="Times New Roman"/>
          <w:szCs w:val="24"/>
        </w:rPr>
      </w:pPr>
    </w:p>
    <w:p w14:paraId="01D191E2" w14:textId="4CDB43C8" w:rsidR="00725205" w:rsidRPr="00E869A4" w:rsidRDefault="00725205" w:rsidP="00A35FF8">
      <w:pPr>
        <w:autoSpaceDE w:val="0"/>
        <w:autoSpaceDN w:val="0"/>
        <w:adjustRightInd w:val="0"/>
        <w:rPr>
          <w:rFonts w:ascii="Times New Roman" w:hAnsi="Times New Roman" w:cs="Times New Roman"/>
        </w:rPr>
      </w:pPr>
      <w:r w:rsidRPr="00E869A4">
        <w:rPr>
          <w:rFonts w:ascii="Times New Roman" w:hAnsi="Times New Roman" w:cs="Times New Roman"/>
          <w:szCs w:val="24"/>
        </w:rPr>
        <w:t xml:space="preserve">A few participants shared about the material support they received from their older cared-for relative. </w:t>
      </w:r>
      <w:r w:rsidRPr="00E869A4">
        <w:rPr>
          <w:rFonts w:ascii="Times New Roman" w:hAnsi="Times New Roman" w:cs="Times New Roman"/>
        </w:rPr>
        <w:t xml:space="preserve">As was noted in the discussion on material motives in the previous chapter on Determinants of Care, only Mr. Birch spoke explicitly about some of the gifts he received for the care he provided to Uncle </w:t>
      </w:r>
      <w:r w:rsidRPr="00E869A4">
        <w:rPr>
          <w:rFonts w:ascii="Times New Roman" w:hAnsi="Times New Roman" w:cs="Times New Roman"/>
        </w:rPr>
        <w:lastRenderedPageBreak/>
        <w:t>Wilton. His candidness about this may be partly explained by the relationship they shared. Mr. Birch was a friend and not a blood relative. It may have seemed more acceptable to discuss the material benefits that he obtained</w:t>
      </w:r>
      <w:r w:rsidR="0022229C" w:rsidRPr="00E869A4">
        <w:rPr>
          <w:rFonts w:ascii="Times New Roman" w:hAnsi="Times New Roman" w:cs="Times New Roman"/>
        </w:rPr>
        <w:t xml:space="preserve"> given this</w:t>
      </w:r>
      <w:r w:rsidRPr="00E869A4">
        <w:rPr>
          <w:rFonts w:ascii="Times New Roman" w:hAnsi="Times New Roman" w:cs="Times New Roman"/>
        </w:rPr>
        <w:t xml:space="preserve">. </w:t>
      </w:r>
    </w:p>
    <w:p w14:paraId="5FD62AF2" w14:textId="77777777" w:rsidR="00725205" w:rsidRPr="00E869A4" w:rsidRDefault="00725205" w:rsidP="00A35FF8">
      <w:pPr>
        <w:autoSpaceDE w:val="0"/>
        <w:autoSpaceDN w:val="0"/>
        <w:adjustRightInd w:val="0"/>
        <w:rPr>
          <w:rFonts w:ascii="Times New Roman" w:hAnsi="Times New Roman" w:cs="Times New Roman"/>
        </w:rPr>
      </w:pPr>
    </w:p>
    <w:p w14:paraId="363A6753" w14:textId="59F2191D" w:rsidR="00725205" w:rsidRPr="00E869A4" w:rsidRDefault="00725205" w:rsidP="00A35FF8">
      <w:pPr>
        <w:autoSpaceDE w:val="0"/>
        <w:autoSpaceDN w:val="0"/>
        <w:adjustRightInd w:val="0"/>
        <w:rPr>
          <w:rFonts w:ascii="Times New Roman" w:hAnsi="Times New Roman" w:cs="Times New Roman"/>
        </w:rPr>
      </w:pPr>
      <w:r w:rsidRPr="00E869A4">
        <w:rPr>
          <w:rFonts w:ascii="Times New Roman" w:hAnsi="Times New Roman" w:cs="Times New Roman"/>
        </w:rPr>
        <w:t xml:space="preserve">Some caregivers were </w:t>
      </w:r>
      <w:r w:rsidR="0022229C" w:rsidRPr="00E869A4">
        <w:rPr>
          <w:rFonts w:ascii="Times New Roman" w:hAnsi="Times New Roman" w:cs="Times New Roman"/>
        </w:rPr>
        <w:t>identified by their older relative to be the beneficiaries of their estate after they passed away</w:t>
      </w:r>
      <w:r w:rsidRPr="00E869A4">
        <w:rPr>
          <w:rFonts w:ascii="Times New Roman" w:hAnsi="Times New Roman" w:cs="Times New Roman"/>
        </w:rPr>
        <w:t xml:space="preserve">. Uncle Wilton for example </w:t>
      </w:r>
      <w:r w:rsidR="0022229C" w:rsidRPr="00E869A4">
        <w:rPr>
          <w:rFonts w:ascii="Times New Roman" w:hAnsi="Times New Roman" w:cs="Times New Roman"/>
        </w:rPr>
        <w:t>arranged</w:t>
      </w:r>
      <w:r w:rsidRPr="00E869A4">
        <w:rPr>
          <w:rFonts w:ascii="Times New Roman" w:hAnsi="Times New Roman" w:cs="Times New Roman"/>
        </w:rPr>
        <w:t xml:space="preserve"> for his niece Tricia to inherit the second house he owned. When she commenced her role as his family caregiver, he asked her to live in the </w:t>
      </w:r>
      <w:r w:rsidR="0022229C" w:rsidRPr="00E869A4">
        <w:rPr>
          <w:rFonts w:ascii="Times New Roman" w:hAnsi="Times New Roman" w:cs="Times New Roman"/>
        </w:rPr>
        <w:t>house, which</w:t>
      </w:r>
      <w:r w:rsidRPr="00E869A4">
        <w:rPr>
          <w:rFonts w:ascii="Times New Roman" w:hAnsi="Times New Roman" w:cs="Times New Roman"/>
        </w:rPr>
        <w:t xml:space="preserve"> was a short distance from his. Tanty Edna’s </w:t>
      </w:r>
      <w:r w:rsidR="00DF1CEC" w:rsidRPr="00E869A4">
        <w:rPr>
          <w:rFonts w:ascii="Times New Roman" w:hAnsi="Times New Roman" w:cs="Times New Roman"/>
        </w:rPr>
        <w:t>granddaughter</w:t>
      </w:r>
      <w:r w:rsidRPr="00E869A4">
        <w:rPr>
          <w:rFonts w:ascii="Times New Roman" w:hAnsi="Times New Roman" w:cs="Times New Roman"/>
        </w:rPr>
        <w:t xml:space="preserve"> (Marlene) was to be the beneficiary of her home in the event of her death. Tanty and Marlene shared a close relationship, even after Marlene migrated.</w:t>
      </w:r>
      <w:r w:rsidR="00307074" w:rsidRPr="00E869A4">
        <w:rPr>
          <w:rFonts w:ascii="Times New Roman" w:hAnsi="Times New Roman" w:cs="Times New Roman"/>
        </w:rPr>
        <w:t xml:space="preserve"> </w:t>
      </w:r>
      <w:r w:rsidRPr="00E869A4">
        <w:rPr>
          <w:rFonts w:ascii="Times New Roman" w:hAnsi="Times New Roman" w:cs="Times New Roman"/>
        </w:rPr>
        <w:t xml:space="preserve">Tanty put the house in her name after the dispute she had with her daughter Eleta. </w:t>
      </w:r>
    </w:p>
    <w:p w14:paraId="799AAAB9" w14:textId="77777777" w:rsidR="00725205" w:rsidRPr="00E869A4" w:rsidRDefault="00725205" w:rsidP="00A35FF8">
      <w:pPr>
        <w:autoSpaceDE w:val="0"/>
        <w:autoSpaceDN w:val="0"/>
        <w:adjustRightInd w:val="0"/>
        <w:rPr>
          <w:rFonts w:ascii="Times New Roman" w:hAnsi="Times New Roman" w:cs="Times New Roman"/>
        </w:rPr>
      </w:pPr>
    </w:p>
    <w:p w14:paraId="3D9477AA" w14:textId="3811B8FC" w:rsidR="00725205" w:rsidRPr="00E869A4" w:rsidRDefault="00725205" w:rsidP="00A35FF8">
      <w:pPr>
        <w:rPr>
          <w:rFonts w:ascii="Times New Roman" w:hAnsi="Times New Roman" w:cs="Times New Roman"/>
        </w:rPr>
      </w:pPr>
      <w:r w:rsidRPr="00E869A4">
        <w:rPr>
          <w:rFonts w:ascii="Times New Roman" w:hAnsi="Times New Roman" w:cs="Times New Roman"/>
        </w:rPr>
        <w:t>Mrs. Sanchez</w:t>
      </w:r>
      <w:r w:rsidR="00DF1CEC" w:rsidRPr="00E869A4">
        <w:rPr>
          <w:rFonts w:ascii="Times New Roman" w:hAnsi="Times New Roman" w:cs="Times New Roman"/>
        </w:rPr>
        <w:t>’s</w:t>
      </w:r>
      <w:r w:rsidRPr="00E869A4">
        <w:rPr>
          <w:rFonts w:ascii="Times New Roman" w:hAnsi="Times New Roman" w:cs="Times New Roman"/>
        </w:rPr>
        <w:t xml:space="preserve"> account included some indirect discussion of material benefits. Caring for her husband allowed her to continue to access some of the normal benefits of marriage such as sharing a house and living expenses. But, during her interview she emphasised the precarious nature of her situation. Because her husband had significant care needs and no house of his own, it was unlikely that she would have a place to stay or any finances to inherit from him when he died. Thus, the material benefits she received from the care relationship were contingent on him remaining alive. However, while being able to live in the Sanchez family home was a benefit in the short term, the threat of homelessness that she battled </w:t>
      </w:r>
      <w:r w:rsidR="0022229C" w:rsidRPr="00E869A4">
        <w:rPr>
          <w:rFonts w:ascii="Times New Roman" w:hAnsi="Times New Roman" w:cs="Times New Roman"/>
        </w:rPr>
        <w:t>with</w:t>
      </w:r>
      <w:r w:rsidRPr="00E869A4">
        <w:rPr>
          <w:rFonts w:ascii="Times New Roman" w:hAnsi="Times New Roman" w:cs="Times New Roman"/>
        </w:rPr>
        <w:t xml:space="preserve"> made it appear to be more of a burden in the long run. </w:t>
      </w:r>
    </w:p>
    <w:p w14:paraId="46ED60FD" w14:textId="77777777" w:rsidR="00AF7C1B" w:rsidRDefault="00AF7C1B" w:rsidP="0081021A">
      <w:pPr>
        <w:pStyle w:val="Heading3"/>
      </w:pPr>
    </w:p>
    <w:p w14:paraId="651F28A7" w14:textId="097C984E" w:rsidR="00725205" w:rsidRPr="00E869A4" w:rsidRDefault="00D77F0B" w:rsidP="0081021A">
      <w:pPr>
        <w:pStyle w:val="Heading3"/>
      </w:pPr>
      <w:bookmarkStart w:id="317" w:name="_Toc40436542"/>
      <w:r w:rsidRPr="00E869A4">
        <w:t>7</w:t>
      </w:r>
      <w:r w:rsidR="007B3714">
        <w:t>.2.2</w:t>
      </w:r>
      <w:r w:rsidR="007B3714" w:rsidRPr="00E869A4">
        <w:t xml:space="preserve">     </w:t>
      </w:r>
      <w:r w:rsidR="00E04386">
        <w:t>Challenges o</w:t>
      </w:r>
      <w:r w:rsidR="00927652" w:rsidRPr="00E869A4">
        <w:t>f Caregiving</w:t>
      </w:r>
      <w:bookmarkEnd w:id="317"/>
    </w:p>
    <w:p w14:paraId="77676C66" w14:textId="77777777" w:rsidR="00725205" w:rsidRPr="00E869A4" w:rsidRDefault="00725205" w:rsidP="00A35FF8">
      <w:pPr>
        <w:autoSpaceDE w:val="0"/>
        <w:autoSpaceDN w:val="0"/>
        <w:adjustRightInd w:val="0"/>
        <w:rPr>
          <w:rFonts w:ascii="Times New Roman" w:hAnsi="Times New Roman" w:cs="Times New Roman"/>
          <w:szCs w:val="24"/>
        </w:rPr>
      </w:pPr>
    </w:p>
    <w:p w14:paraId="4F675EB7" w14:textId="6B244AF9" w:rsidR="00307074" w:rsidRPr="00E869A4" w:rsidRDefault="00725205" w:rsidP="007B2B49">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The main challenges shared by the caregivers were as follows: </w:t>
      </w:r>
      <w:r w:rsidR="0022229C" w:rsidRPr="00E869A4">
        <w:rPr>
          <w:rFonts w:ascii="Times New Roman" w:hAnsi="Times New Roman" w:cs="Times New Roman"/>
          <w:szCs w:val="24"/>
        </w:rPr>
        <w:t>1</w:t>
      </w:r>
      <w:r w:rsidRPr="00E869A4">
        <w:rPr>
          <w:rFonts w:ascii="Times New Roman" w:hAnsi="Times New Roman" w:cs="Times New Roman"/>
          <w:szCs w:val="24"/>
        </w:rPr>
        <w:t xml:space="preserve">) lack of knowledge about the process of ageing and the health care needs of their older relative; </w:t>
      </w:r>
      <w:r w:rsidR="0022229C" w:rsidRPr="00E869A4">
        <w:rPr>
          <w:rFonts w:ascii="Times New Roman" w:hAnsi="Times New Roman" w:cs="Times New Roman"/>
          <w:szCs w:val="24"/>
        </w:rPr>
        <w:t>2</w:t>
      </w:r>
      <w:r w:rsidRPr="00E869A4">
        <w:rPr>
          <w:rFonts w:ascii="Times New Roman" w:hAnsi="Times New Roman" w:cs="Times New Roman"/>
          <w:szCs w:val="24"/>
        </w:rPr>
        <w:t xml:space="preserve">) problematic behaviour of their cared-for relative; </w:t>
      </w:r>
      <w:r w:rsidR="0022229C" w:rsidRPr="00E869A4">
        <w:rPr>
          <w:rFonts w:ascii="Times New Roman" w:hAnsi="Times New Roman" w:cs="Times New Roman"/>
          <w:szCs w:val="24"/>
        </w:rPr>
        <w:t>3</w:t>
      </w:r>
      <w:r w:rsidRPr="00E869A4">
        <w:rPr>
          <w:rFonts w:ascii="Times New Roman" w:hAnsi="Times New Roman" w:cs="Times New Roman"/>
          <w:szCs w:val="24"/>
        </w:rPr>
        <w:t>) financial cost of care</w:t>
      </w:r>
      <w:r w:rsidRPr="00E869A4">
        <w:rPr>
          <w:rFonts w:ascii="Times New Roman" w:eastAsia="Times New Roman" w:hAnsi="Times New Roman" w:cs="Times New Roman"/>
          <w:szCs w:val="24"/>
        </w:rPr>
        <w:t xml:space="preserve">; </w:t>
      </w:r>
      <w:r w:rsidR="0022229C" w:rsidRPr="00E869A4">
        <w:rPr>
          <w:rFonts w:ascii="Times New Roman" w:eastAsia="Times New Roman" w:hAnsi="Times New Roman" w:cs="Times New Roman"/>
          <w:szCs w:val="24"/>
        </w:rPr>
        <w:t>4</w:t>
      </w:r>
      <w:r w:rsidRPr="00E869A4">
        <w:rPr>
          <w:rFonts w:ascii="Times New Roman" w:eastAsia="Times New Roman" w:hAnsi="Times New Roman" w:cs="Times New Roman"/>
          <w:szCs w:val="24"/>
        </w:rPr>
        <w:t>) f</w:t>
      </w:r>
      <w:r w:rsidRPr="00E869A4">
        <w:rPr>
          <w:rFonts w:ascii="Times New Roman" w:hAnsi="Times New Roman" w:cs="Times New Roman"/>
          <w:szCs w:val="24"/>
        </w:rPr>
        <w:t xml:space="preserve">inding suitable paid home care staff; </w:t>
      </w:r>
      <w:r w:rsidR="0022229C" w:rsidRPr="00E869A4">
        <w:rPr>
          <w:rFonts w:ascii="Times New Roman" w:hAnsi="Times New Roman" w:cs="Times New Roman"/>
          <w:szCs w:val="24"/>
        </w:rPr>
        <w:t>5</w:t>
      </w:r>
      <w:r w:rsidRPr="00E869A4">
        <w:rPr>
          <w:rFonts w:ascii="Times New Roman" w:hAnsi="Times New Roman" w:cs="Times New Roman"/>
          <w:szCs w:val="24"/>
        </w:rPr>
        <w:t xml:space="preserve">) accessing health care for their older relative; </w:t>
      </w:r>
      <w:r w:rsidR="0022229C" w:rsidRPr="00E869A4">
        <w:rPr>
          <w:rFonts w:ascii="Times New Roman" w:hAnsi="Times New Roman" w:cs="Times New Roman"/>
          <w:szCs w:val="24"/>
        </w:rPr>
        <w:t xml:space="preserve">6) </w:t>
      </w:r>
      <w:r w:rsidRPr="00E869A4">
        <w:rPr>
          <w:rFonts w:ascii="Times New Roman" w:hAnsi="Times New Roman" w:cs="Times New Roman"/>
          <w:szCs w:val="24"/>
        </w:rPr>
        <w:t xml:space="preserve">competing interests including self-care, work, study and other family responsibilities; </w:t>
      </w:r>
      <w:r w:rsidR="0022229C" w:rsidRPr="00E869A4">
        <w:rPr>
          <w:rFonts w:ascii="Times New Roman" w:hAnsi="Times New Roman" w:cs="Times New Roman"/>
          <w:szCs w:val="24"/>
        </w:rPr>
        <w:t xml:space="preserve">7) </w:t>
      </w:r>
      <w:r w:rsidRPr="00E869A4">
        <w:rPr>
          <w:rFonts w:ascii="Times New Roman" w:hAnsi="Times New Roman" w:cs="Times New Roman"/>
          <w:szCs w:val="24"/>
        </w:rPr>
        <w:t>poor health of</w:t>
      </w:r>
      <w:r w:rsidR="00B23A30" w:rsidRPr="00E869A4">
        <w:rPr>
          <w:rFonts w:ascii="Times New Roman" w:hAnsi="Times New Roman" w:cs="Times New Roman"/>
          <w:szCs w:val="24"/>
        </w:rPr>
        <w:t xml:space="preserve"> the</w:t>
      </w:r>
      <w:r w:rsidRPr="00E869A4">
        <w:rPr>
          <w:rFonts w:ascii="Times New Roman" w:hAnsi="Times New Roman" w:cs="Times New Roman"/>
          <w:szCs w:val="24"/>
        </w:rPr>
        <w:t xml:space="preserve"> caregiver; </w:t>
      </w:r>
      <w:r w:rsidR="0022229C" w:rsidRPr="00E869A4">
        <w:rPr>
          <w:rFonts w:ascii="Times New Roman" w:hAnsi="Times New Roman" w:cs="Times New Roman"/>
          <w:szCs w:val="24"/>
        </w:rPr>
        <w:t xml:space="preserve">8) </w:t>
      </w:r>
      <w:r w:rsidRPr="00E869A4">
        <w:rPr>
          <w:rFonts w:ascii="Times New Roman" w:hAnsi="Times New Roman" w:cs="Times New Roman"/>
          <w:szCs w:val="24"/>
        </w:rPr>
        <w:t>lack of care-support from other relatives who they perceived should be more involved in care provision; and</w:t>
      </w:r>
      <w:r w:rsidR="00307074" w:rsidRPr="00E869A4">
        <w:rPr>
          <w:rFonts w:ascii="Times New Roman" w:hAnsi="Times New Roman" w:cs="Times New Roman"/>
          <w:szCs w:val="24"/>
        </w:rPr>
        <w:t>,</w:t>
      </w:r>
      <w:r w:rsidRPr="00E869A4">
        <w:rPr>
          <w:rFonts w:ascii="Times New Roman" w:hAnsi="Times New Roman" w:cs="Times New Roman"/>
          <w:szCs w:val="24"/>
        </w:rPr>
        <w:t xml:space="preserve"> </w:t>
      </w:r>
      <w:r w:rsidR="0022229C" w:rsidRPr="00E869A4">
        <w:rPr>
          <w:rFonts w:ascii="Times New Roman" w:hAnsi="Times New Roman" w:cs="Times New Roman"/>
          <w:szCs w:val="24"/>
        </w:rPr>
        <w:t xml:space="preserve">9) </w:t>
      </w:r>
      <w:r w:rsidRPr="00E869A4">
        <w:rPr>
          <w:rFonts w:ascii="Times New Roman" w:hAnsi="Times New Roman" w:cs="Times New Roman"/>
          <w:szCs w:val="24"/>
        </w:rPr>
        <w:t>anticipatory grief.</w:t>
      </w:r>
      <w:r w:rsidR="007B2B49" w:rsidRPr="00E869A4">
        <w:rPr>
          <w:rFonts w:ascii="Times New Roman" w:hAnsi="Times New Roman" w:cs="Times New Roman"/>
          <w:szCs w:val="24"/>
        </w:rPr>
        <w:t xml:space="preserve"> </w:t>
      </w:r>
    </w:p>
    <w:p w14:paraId="7EC1C80B" w14:textId="77777777" w:rsidR="00B23A30" w:rsidRPr="00E869A4" w:rsidRDefault="00B23A30" w:rsidP="007B2B49">
      <w:pPr>
        <w:autoSpaceDE w:val="0"/>
        <w:autoSpaceDN w:val="0"/>
        <w:adjustRightInd w:val="0"/>
        <w:rPr>
          <w:rFonts w:ascii="Times New Roman" w:eastAsiaTheme="majorEastAsia" w:hAnsi="Times New Roman" w:cs="Times New Roman"/>
          <w:i/>
          <w:u w:val="single"/>
        </w:rPr>
      </w:pPr>
    </w:p>
    <w:p w14:paraId="5645C584" w14:textId="77777777" w:rsidR="000D2B28" w:rsidRDefault="000D2B28">
      <w:pPr>
        <w:rPr>
          <w:rFonts w:ascii="Times New Roman" w:eastAsiaTheme="majorEastAsia" w:hAnsi="Times New Roman" w:cs="Times New Roman"/>
          <w:i/>
          <w:u w:val="single"/>
        </w:rPr>
      </w:pPr>
      <w:r>
        <w:br w:type="page"/>
      </w:r>
    </w:p>
    <w:p w14:paraId="5B83E06C" w14:textId="568C0FC4" w:rsidR="00725205" w:rsidRPr="00E869A4" w:rsidRDefault="00725205" w:rsidP="0031040A">
      <w:pPr>
        <w:pStyle w:val="Heading5"/>
        <w:rPr>
          <w:color w:val="auto"/>
        </w:rPr>
      </w:pPr>
      <w:r w:rsidRPr="00E869A4">
        <w:rPr>
          <w:color w:val="auto"/>
        </w:rPr>
        <w:lastRenderedPageBreak/>
        <w:t xml:space="preserve">Lack of </w:t>
      </w:r>
      <w:r w:rsidR="00023BA2" w:rsidRPr="00E869A4">
        <w:rPr>
          <w:color w:val="auto"/>
        </w:rPr>
        <w:t>k</w:t>
      </w:r>
      <w:r w:rsidRPr="00E869A4">
        <w:rPr>
          <w:color w:val="auto"/>
        </w:rPr>
        <w:t>nowledge</w:t>
      </w:r>
    </w:p>
    <w:p w14:paraId="6D4581CC" w14:textId="77777777" w:rsidR="00725205" w:rsidRPr="00E869A4" w:rsidRDefault="00725205" w:rsidP="00B61191">
      <w:pPr>
        <w:ind w:left="567" w:firstLine="0"/>
      </w:pPr>
    </w:p>
    <w:p w14:paraId="1E9164E6" w14:textId="50499FFE"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Timothy was one of the caregivers who identified lack of knowledge on ageing as a major challenge in providing family care. As noted previously, </w:t>
      </w:r>
      <w:r w:rsidR="00B54615" w:rsidRPr="00E869A4">
        <w:rPr>
          <w:rFonts w:ascii="Times New Roman" w:hAnsi="Times New Roman" w:cs="Times New Roman"/>
          <w:szCs w:val="24"/>
        </w:rPr>
        <w:t>much</w:t>
      </w:r>
      <w:r w:rsidRPr="00E869A4">
        <w:rPr>
          <w:rFonts w:ascii="Times New Roman" w:hAnsi="Times New Roman" w:cs="Times New Roman"/>
          <w:szCs w:val="24"/>
        </w:rPr>
        <w:t xml:space="preserve"> of what he practised as a family caregiver was what he learned by trial and error</w:t>
      </w:r>
      <w:r w:rsidR="00B54615" w:rsidRPr="00E869A4">
        <w:rPr>
          <w:rFonts w:ascii="Times New Roman" w:hAnsi="Times New Roman" w:cs="Times New Roman"/>
          <w:szCs w:val="24"/>
        </w:rPr>
        <w:t>. However,</w:t>
      </w:r>
      <w:r w:rsidRPr="00E869A4">
        <w:rPr>
          <w:rFonts w:ascii="Times New Roman" w:hAnsi="Times New Roman" w:cs="Times New Roman"/>
          <w:szCs w:val="24"/>
        </w:rPr>
        <w:t xml:space="preserve"> once he mastered a skill</w:t>
      </w:r>
      <w:r w:rsidR="00B54615" w:rsidRPr="00E869A4">
        <w:rPr>
          <w:rFonts w:ascii="Times New Roman" w:hAnsi="Times New Roman" w:cs="Times New Roman"/>
          <w:szCs w:val="24"/>
        </w:rPr>
        <w:t>,</w:t>
      </w:r>
      <w:r w:rsidRPr="00E869A4">
        <w:rPr>
          <w:rFonts w:ascii="Times New Roman" w:hAnsi="Times New Roman" w:cs="Times New Roman"/>
          <w:szCs w:val="24"/>
        </w:rPr>
        <w:t xml:space="preserve"> it boosted his confidence to continue providing care</w:t>
      </w:r>
      <w:r w:rsidR="00DF1CEC" w:rsidRPr="00E869A4">
        <w:rPr>
          <w:rFonts w:ascii="Times New Roman" w:hAnsi="Times New Roman" w:cs="Times New Roman"/>
          <w:szCs w:val="24"/>
        </w:rPr>
        <w:t>:</w:t>
      </w:r>
    </w:p>
    <w:p w14:paraId="4AD893B6"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71A783E2" w14:textId="0695DC9F" w:rsidR="00725205" w:rsidRPr="00E869A4" w:rsidRDefault="00725205" w:rsidP="00B968FC">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I could remember</w:t>
      </w:r>
      <w:r w:rsidR="00822F78" w:rsidRPr="00E869A4">
        <w:rPr>
          <w:rFonts w:ascii="Times New Roman" w:hAnsi="Times New Roman" w:cs="Times New Roman"/>
          <w:szCs w:val="24"/>
        </w:rPr>
        <w:t xml:space="preserve"> …</w:t>
      </w:r>
      <w:r w:rsidRPr="00E869A4">
        <w:rPr>
          <w:rFonts w:ascii="Times New Roman" w:hAnsi="Times New Roman" w:cs="Times New Roman"/>
          <w:szCs w:val="24"/>
        </w:rPr>
        <w:t xml:space="preserve"> a number of years ago </w:t>
      </w:r>
      <w:r w:rsidR="006D351E" w:rsidRPr="00E869A4">
        <w:rPr>
          <w:rFonts w:ascii="Times New Roman" w:hAnsi="Times New Roman" w:cs="Times New Roman"/>
          <w:szCs w:val="24"/>
        </w:rPr>
        <w:t>…</w:t>
      </w:r>
      <w:r w:rsidRPr="00E869A4">
        <w:rPr>
          <w:rFonts w:ascii="Times New Roman" w:hAnsi="Times New Roman" w:cs="Times New Roman"/>
          <w:szCs w:val="24"/>
        </w:rPr>
        <w:t xml:space="preserve"> my wife had a sister who was diabetic</w:t>
      </w:r>
      <w:r w:rsidR="006D351E" w:rsidRPr="00E869A4">
        <w:rPr>
          <w:rFonts w:ascii="Times New Roman" w:hAnsi="Times New Roman" w:cs="Times New Roman"/>
          <w:szCs w:val="24"/>
        </w:rPr>
        <w:t>,</w:t>
      </w:r>
      <w:r w:rsidRPr="00E869A4">
        <w:rPr>
          <w:rFonts w:ascii="Times New Roman" w:hAnsi="Times New Roman" w:cs="Times New Roman"/>
          <w:szCs w:val="24"/>
        </w:rPr>
        <w:t xml:space="preserve"> and everybody at home was very reluctant to give her injections and they were asking me to do it (laughing) I said to myself</w:t>
      </w:r>
      <w:r w:rsidR="006D351E" w:rsidRPr="00E869A4">
        <w:rPr>
          <w:rFonts w:ascii="Times New Roman" w:hAnsi="Times New Roman" w:cs="Times New Roman"/>
          <w:szCs w:val="24"/>
        </w:rPr>
        <w:t>,</w:t>
      </w:r>
      <w:r w:rsidRPr="00E869A4">
        <w:rPr>
          <w:rFonts w:ascii="Times New Roman" w:hAnsi="Times New Roman" w:cs="Times New Roman"/>
          <w:szCs w:val="24"/>
        </w:rPr>
        <w:t xml:space="preserve"> </w:t>
      </w:r>
      <w:r w:rsidR="006D351E" w:rsidRPr="00E869A4">
        <w:rPr>
          <w:rFonts w:ascii="Times New Roman" w:hAnsi="Times New Roman" w:cs="Times New Roman"/>
          <w:szCs w:val="24"/>
        </w:rPr>
        <w:t>‘</w:t>
      </w:r>
      <w:r w:rsidRPr="00E869A4">
        <w:rPr>
          <w:rFonts w:ascii="Times New Roman" w:hAnsi="Times New Roman" w:cs="Times New Roman"/>
          <w:szCs w:val="24"/>
        </w:rPr>
        <w:t>I</w:t>
      </w:r>
      <w:r w:rsidRPr="00E869A4">
        <w:rPr>
          <w:rFonts w:ascii="Times New Roman" w:eastAsia="Times New Roman" w:hAnsi="Times New Roman" w:cs="Times New Roman"/>
          <w:szCs w:val="24"/>
        </w:rPr>
        <w:t>’ve never given anybody diabetic injections</w:t>
      </w:r>
      <w:r w:rsidR="006D351E"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But now, it’s not a problem.</w:t>
      </w:r>
    </w:p>
    <w:p w14:paraId="09733551" w14:textId="77777777" w:rsidR="00DF1CEC" w:rsidRPr="00E869A4" w:rsidRDefault="00DF1CEC" w:rsidP="007B2B49">
      <w:pPr>
        <w:autoSpaceDE w:val="0"/>
        <w:autoSpaceDN w:val="0"/>
        <w:adjustRightInd w:val="0"/>
        <w:spacing w:line="240" w:lineRule="auto"/>
        <w:ind w:left="567" w:firstLine="0"/>
        <w:rPr>
          <w:rFonts w:ascii="Times New Roman" w:hAnsi="Times New Roman" w:cs="Times New Roman"/>
          <w:szCs w:val="24"/>
        </w:rPr>
      </w:pPr>
    </w:p>
    <w:p w14:paraId="209B4DF2" w14:textId="77777777" w:rsidR="00725205" w:rsidRPr="00E869A4" w:rsidRDefault="00725205" w:rsidP="0031040A">
      <w:pPr>
        <w:pStyle w:val="Heading5"/>
        <w:rPr>
          <w:color w:val="auto"/>
        </w:rPr>
      </w:pPr>
      <w:r w:rsidRPr="00E869A4">
        <w:rPr>
          <w:color w:val="auto"/>
        </w:rPr>
        <w:t xml:space="preserve">Problematic </w:t>
      </w:r>
      <w:r w:rsidR="00023BA2" w:rsidRPr="00E869A4">
        <w:rPr>
          <w:color w:val="auto"/>
        </w:rPr>
        <w:t>b</w:t>
      </w:r>
      <w:r w:rsidRPr="00E869A4">
        <w:rPr>
          <w:color w:val="auto"/>
        </w:rPr>
        <w:t>ehaviour</w:t>
      </w:r>
    </w:p>
    <w:p w14:paraId="0109FB7C" w14:textId="77777777" w:rsidR="00725205" w:rsidRPr="00E869A4" w:rsidRDefault="00725205" w:rsidP="00B61191">
      <w:pPr>
        <w:ind w:left="567" w:firstLine="0"/>
      </w:pPr>
    </w:p>
    <w:p w14:paraId="77016ADB" w14:textId="4DC2CE18"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Several of the participants shared experiences about the problematic behaviour their older </w:t>
      </w:r>
      <w:r w:rsidR="002035FC" w:rsidRPr="00E869A4">
        <w:rPr>
          <w:rFonts w:ascii="Times New Roman" w:hAnsi="Times New Roman" w:cs="Times New Roman"/>
          <w:szCs w:val="24"/>
        </w:rPr>
        <w:t>care recipient</w:t>
      </w:r>
      <w:r w:rsidRPr="00E869A4">
        <w:rPr>
          <w:rFonts w:ascii="Times New Roman" w:hAnsi="Times New Roman" w:cs="Times New Roman"/>
          <w:szCs w:val="24"/>
        </w:rPr>
        <w:t>s displayed</w:t>
      </w:r>
      <w:r w:rsidR="002035FC" w:rsidRPr="00E869A4">
        <w:rPr>
          <w:rFonts w:ascii="Times New Roman" w:hAnsi="Times New Roman" w:cs="Times New Roman"/>
          <w:szCs w:val="24"/>
        </w:rPr>
        <w:t>,</w:t>
      </w:r>
      <w:r w:rsidRPr="00E869A4">
        <w:rPr>
          <w:rFonts w:ascii="Times New Roman" w:hAnsi="Times New Roman" w:cs="Times New Roman"/>
          <w:szCs w:val="24"/>
        </w:rPr>
        <w:t xml:space="preserve"> that made providing care to them challenging. Some found that their </w:t>
      </w:r>
      <w:r w:rsidR="00082BC5" w:rsidRPr="00E869A4">
        <w:rPr>
          <w:rFonts w:ascii="Times New Roman" w:hAnsi="Times New Roman" w:cs="Times New Roman"/>
          <w:szCs w:val="24"/>
        </w:rPr>
        <w:t>relative’s</w:t>
      </w:r>
      <w:r w:rsidRPr="00E869A4">
        <w:rPr>
          <w:rFonts w:ascii="Times New Roman" w:hAnsi="Times New Roman" w:cs="Times New Roman"/>
          <w:szCs w:val="24"/>
        </w:rPr>
        <w:t xml:space="preserve"> difficult personality was made worse by the health and other challenges they experienced as they aged. Rebecca, for example perceived her mother’s</w:t>
      </w:r>
      <w:r w:rsidRPr="00E869A4">
        <w:rPr>
          <w:rFonts w:ascii="Times New Roman" w:eastAsia="Times New Roman" w:hAnsi="Times New Roman" w:cs="Times New Roman"/>
          <w:szCs w:val="24"/>
        </w:rPr>
        <w:t xml:space="preserve"> difficult behaviour as stemming from some of her negative personality traits</w:t>
      </w:r>
      <w:r w:rsidR="00CA1DE8"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p>
    <w:p w14:paraId="0C6D5736"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 </w:t>
      </w:r>
    </w:p>
    <w:p w14:paraId="59B7772D" w14:textId="6896EACE" w:rsidR="00725205" w:rsidRPr="00E869A4" w:rsidRDefault="00725205" w:rsidP="00B968FC">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She’s</w:t>
      </w:r>
      <w:r w:rsidRPr="00E869A4">
        <w:rPr>
          <w:rFonts w:ascii="Times New Roman" w:eastAsia="Times New Roman" w:hAnsi="Times New Roman" w:cs="Times New Roman"/>
          <w:szCs w:val="24"/>
        </w:rPr>
        <w:t xml:space="preserve"> a very strong personality, very difficult to deal with: </w:t>
      </w:r>
      <w:r w:rsidR="009D4EBB" w:rsidRPr="00E869A4">
        <w:rPr>
          <w:rFonts w:ascii="Times New Roman" w:eastAsia="Times New Roman" w:hAnsi="Times New Roman" w:cs="Times New Roman"/>
          <w:szCs w:val="24"/>
        </w:rPr>
        <w:t>she’s always been over de years</w:t>
      </w:r>
      <w:r w:rsidR="002035FC"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and at this age they like to have things their way. Sometimes it might not be de best way. But yuh know, over de years yuh learn to deal with it, to deal with her. She could be … very demanding, even with de caregivers. She would tell Ms. Sita, go do dis in de kitchen. Before Ms. Sita could take 2 steps [mom is like] ‘Come back’ – calling her again to do something else yuh know. But I suppose daiz de age, de illness an’ all dat is expected … so yuh really have to … exercise ah lot of patience with old people</w:t>
      </w:r>
      <w:r w:rsidRPr="00E869A4">
        <w:rPr>
          <w:rFonts w:ascii="Times New Roman" w:hAnsi="Times New Roman" w:cs="Times New Roman"/>
          <w:szCs w:val="24"/>
        </w:rPr>
        <w:t>.</w:t>
      </w:r>
    </w:p>
    <w:p w14:paraId="6E63DAE7"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07D1BCCB" w14:textId="62105DDC"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Marian</w:t>
      </w:r>
      <w:r w:rsidRPr="00E869A4">
        <w:rPr>
          <w:rFonts w:ascii="Times New Roman" w:eastAsia="Times New Roman" w:hAnsi="Times New Roman" w:cs="Times New Roman"/>
          <w:szCs w:val="24"/>
        </w:rPr>
        <w:t xml:space="preserve"> also shared about the negative behaviour her mother displayed towards herself and the paid </w:t>
      </w:r>
      <w:r w:rsidR="003957F8" w:rsidRPr="00E869A4">
        <w:rPr>
          <w:rFonts w:ascii="Times New Roman" w:eastAsia="Times New Roman" w:hAnsi="Times New Roman" w:cs="Times New Roman"/>
          <w:szCs w:val="24"/>
        </w:rPr>
        <w:t>care worker</w:t>
      </w:r>
      <w:r w:rsidRPr="00E869A4">
        <w:rPr>
          <w:rFonts w:ascii="Times New Roman" w:eastAsia="Times New Roman" w:hAnsi="Times New Roman" w:cs="Times New Roman"/>
          <w:szCs w:val="24"/>
        </w:rPr>
        <w:t>s</w:t>
      </w:r>
      <w:r w:rsidR="00CA1DE8"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p>
    <w:p w14:paraId="14446861"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1F65004C" w14:textId="021869FB" w:rsidR="00725205" w:rsidRPr="00E869A4" w:rsidRDefault="00725205" w:rsidP="008164FC">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My mother not easy to deal with. Sometimes she gets annoyed and she would tell [Imani, the African refugee I hired as a caregiver] [hurtful] things</w:t>
      </w:r>
      <w:r w:rsidRPr="00E869A4">
        <w:rPr>
          <w:rFonts w:ascii="Times New Roman" w:eastAsia="Times New Roman" w:hAnsi="Times New Roman" w:cs="Times New Roman"/>
          <w:szCs w:val="24"/>
        </w:rPr>
        <w:t>…</w:t>
      </w:r>
      <w:r w:rsidR="00CA1DE8"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2035FC" w:rsidRPr="00E869A4">
        <w:rPr>
          <w:rFonts w:ascii="Times New Roman" w:eastAsia="Times New Roman" w:hAnsi="Times New Roman" w:cs="Times New Roman"/>
          <w:szCs w:val="24"/>
        </w:rPr>
        <w:t>She</w:t>
      </w:r>
      <w:r w:rsidRPr="00E869A4">
        <w:rPr>
          <w:rFonts w:ascii="Times New Roman" w:eastAsia="Times New Roman" w:hAnsi="Times New Roman" w:cs="Times New Roman"/>
          <w:szCs w:val="24"/>
        </w:rPr>
        <w:t xml:space="preserve"> would even say negative things about me!] There was a time while I was there</w:t>
      </w:r>
      <w:r w:rsidR="002035FC"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would open the front door. So when I left, Imani and Zihna were leaving the front door open so Mammy said, </w:t>
      </w:r>
      <w:r w:rsidR="00CA1DE8"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I don’t leave the front door open</w:t>
      </w:r>
      <w:r w:rsidR="00CA1DE8"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So they turned and said, </w:t>
      </w:r>
      <w:r w:rsidR="002035FC"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Well yuh know Marian [does] leave the [door open]”</w:t>
      </w:r>
      <w:r w:rsidR="002035FC"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She said, </w:t>
      </w:r>
      <w:r w:rsidR="00CA1DE8"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Doh tell me anything about Marian, she have nowhere to live, this is not her house</w:t>
      </w:r>
      <w:r w:rsidR="00CA1DE8"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Sometimes she would yell at Zihna</w:t>
      </w:r>
      <w:r w:rsidR="008164FC" w:rsidRPr="00E869A4">
        <w:rPr>
          <w:rFonts w:ascii="Times New Roman" w:eastAsia="Times New Roman" w:hAnsi="Times New Roman" w:cs="Times New Roman"/>
          <w:szCs w:val="24"/>
        </w:rPr>
        <w:t>.</w:t>
      </w:r>
    </w:p>
    <w:p w14:paraId="3DEEF402" w14:textId="2188D092" w:rsidR="00725205" w:rsidRPr="00E869A4" w:rsidRDefault="009D4EBB"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lastRenderedPageBreak/>
        <w:t>One</w:t>
      </w:r>
      <w:r w:rsidR="00725205" w:rsidRPr="00E869A4">
        <w:rPr>
          <w:rFonts w:ascii="Times New Roman" w:hAnsi="Times New Roman" w:cs="Times New Roman"/>
          <w:szCs w:val="24"/>
        </w:rPr>
        <w:t xml:space="preserve"> caregiver</w:t>
      </w:r>
      <w:r w:rsidRPr="00E869A4">
        <w:rPr>
          <w:rFonts w:ascii="Times New Roman" w:hAnsi="Times New Roman" w:cs="Times New Roman"/>
          <w:szCs w:val="24"/>
        </w:rPr>
        <w:t xml:space="preserve"> (Samantha Khan)</w:t>
      </w:r>
      <w:r w:rsidR="00725205" w:rsidRPr="00E869A4">
        <w:rPr>
          <w:rFonts w:ascii="Times New Roman" w:hAnsi="Times New Roman" w:cs="Times New Roman"/>
          <w:szCs w:val="24"/>
        </w:rPr>
        <w:t xml:space="preserve"> assessed </w:t>
      </w:r>
      <w:r w:rsidRPr="00E869A4">
        <w:rPr>
          <w:rFonts w:ascii="Times New Roman" w:hAnsi="Times New Roman" w:cs="Times New Roman"/>
          <w:szCs w:val="24"/>
        </w:rPr>
        <w:t>her father’s</w:t>
      </w:r>
      <w:r w:rsidR="00725205" w:rsidRPr="00E869A4">
        <w:rPr>
          <w:rFonts w:ascii="Times New Roman" w:hAnsi="Times New Roman" w:cs="Times New Roman"/>
          <w:szCs w:val="24"/>
        </w:rPr>
        <w:t xml:space="preserve"> difficult behaviour as being a by-product of </w:t>
      </w:r>
      <w:r w:rsidRPr="00E869A4">
        <w:rPr>
          <w:rFonts w:ascii="Times New Roman" w:hAnsi="Times New Roman" w:cs="Times New Roman"/>
          <w:szCs w:val="24"/>
        </w:rPr>
        <w:t>his</w:t>
      </w:r>
      <w:r w:rsidR="00725205" w:rsidRPr="00E869A4">
        <w:rPr>
          <w:rFonts w:ascii="Times New Roman" w:hAnsi="Times New Roman" w:cs="Times New Roman"/>
          <w:szCs w:val="24"/>
        </w:rPr>
        <w:t xml:space="preserve"> medical condition more so than it being a result of </w:t>
      </w:r>
      <w:r w:rsidR="00615C9C">
        <w:rPr>
          <w:rFonts w:ascii="Times New Roman" w:hAnsi="Times New Roman" w:cs="Times New Roman"/>
          <w:szCs w:val="24"/>
        </w:rPr>
        <w:t>hi</w:t>
      </w:r>
      <w:r w:rsidR="00725205" w:rsidRPr="00E869A4">
        <w:rPr>
          <w:rFonts w:ascii="Times New Roman" w:hAnsi="Times New Roman" w:cs="Times New Roman"/>
          <w:szCs w:val="24"/>
        </w:rPr>
        <w:t>m being difficult as a matter of course</w:t>
      </w:r>
      <w:r w:rsidR="00CA1DE8" w:rsidRPr="00E869A4">
        <w:rPr>
          <w:rFonts w:ascii="Times New Roman" w:hAnsi="Times New Roman" w:cs="Times New Roman"/>
          <w:szCs w:val="24"/>
        </w:rPr>
        <w:t>:</w:t>
      </w:r>
      <w:r w:rsidR="00725205" w:rsidRPr="00E869A4">
        <w:rPr>
          <w:rFonts w:ascii="Times New Roman" w:hAnsi="Times New Roman" w:cs="Times New Roman"/>
          <w:szCs w:val="24"/>
        </w:rPr>
        <w:t xml:space="preserve"> </w:t>
      </w:r>
    </w:p>
    <w:p w14:paraId="1313CF37"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7A0131CA" w14:textId="3816C6FB" w:rsidR="00725205" w:rsidRPr="00E869A4" w:rsidRDefault="00725205" w:rsidP="007B25FA">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There was a point where, before he started dialysing</w:t>
      </w:r>
      <w:r w:rsidR="007B25FA" w:rsidRPr="00E869A4">
        <w:rPr>
          <w:rFonts w:ascii="Times New Roman" w:hAnsi="Times New Roman" w:cs="Times New Roman"/>
          <w:szCs w:val="24"/>
        </w:rPr>
        <w:t xml:space="preserve"> </w:t>
      </w:r>
      <w:r w:rsidRPr="00E869A4">
        <w:rPr>
          <w:rFonts w:ascii="Times New Roman" w:hAnsi="Times New Roman" w:cs="Times New Roman"/>
          <w:szCs w:val="24"/>
        </w:rPr>
        <w:t>... he was starting to get violent</w:t>
      </w:r>
      <w:r w:rsidR="007B25FA" w:rsidRPr="00E869A4">
        <w:rPr>
          <w:rFonts w:ascii="Times New Roman" w:hAnsi="Times New Roman" w:cs="Times New Roman"/>
          <w:szCs w:val="24"/>
        </w:rPr>
        <w:t xml:space="preserve"> </w:t>
      </w:r>
      <w:r w:rsidRPr="00E869A4">
        <w:rPr>
          <w:rFonts w:ascii="Times New Roman" w:hAnsi="Times New Roman" w:cs="Times New Roman"/>
          <w:szCs w:val="24"/>
        </w:rPr>
        <w:t>... he would lash, hit you for nothing.  You would pass near him and he would lash out</w:t>
      </w:r>
      <w:r w:rsidR="007B25FA" w:rsidRPr="00E869A4">
        <w:rPr>
          <w:rFonts w:ascii="Times New Roman" w:hAnsi="Times New Roman" w:cs="Times New Roman"/>
          <w:szCs w:val="24"/>
        </w:rPr>
        <w:t xml:space="preserve"> </w:t>
      </w:r>
      <w:r w:rsidRPr="00E869A4">
        <w:rPr>
          <w:rFonts w:ascii="Times New Roman" w:hAnsi="Times New Roman" w:cs="Times New Roman"/>
          <w:szCs w:val="24"/>
        </w:rPr>
        <w:t>... or you might tell him something innocently and he would get mad and start shouting.  You would give him something to eat and he would throw it away</w:t>
      </w:r>
      <w:r w:rsidR="007B25FA" w:rsidRPr="00E869A4">
        <w:rPr>
          <w:rFonts w:ascii="Times New Roman" w:hAnsi="Times New Roman" w:cs="Times New Roman"/>
          <w:szCs w:val="24"/>
        </w:rPr>
        <w:t xml:space="preserve"> </w:t>
      </w:r>
      <w:r w:rsidR="009D4EBB" w:rsidRPr="00E869A4">
        <w:rPr>
          <w:rFonts w:ascii="Times New Roman" w:hAnsi="Times New Roman" w:cs="Times New Roman"/>
          <w:szCs w:val="24"/>
        </w:rPr>
        <w:t>..</w:t>
      </w:r>
      <w:r w:rsidRPr="00E869A4">
        <w:rPr>
          <w:rFonts w:ascii="Times New Roman" w:eastAsia="Times New Roman" w:hAnsi="Times New Roman" w:cs="Times New Roman"/>
          <w:szCs w:val="24"/>
        </w:rPr>
        <w:t>.</w:t>
      </w:r>
      <w:r w:rsidR="007B25F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But then I noticed that after he started dialysing it kinda broke off. So then </w:t>
      </w:r>
      <w:r w:rsidR="003B4301"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thought that maybe the toxin was probably affecting the brain</w:t>
      </w:r>
      <w:r w:rsidR="007B25FA" w:rsidRPr="00E869A4">
        <w:rPr>
          <w:rFonts w:ascii="Times New Roman" w:eastAsia="Times New Roman" w:hAnsi="Times New Roman" w:cs="Times New Roman"/>
          <w:szCs w:val="24"/>
        </w:rPr>
        <w:t>.</w:t>
      </w:r>
    </w:p>
    <w:p w14:paraId="1AE01729"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21E52E47" w14:textId="0DC06CFE" w:rsidR="00725205" w:rsidRPr="00E869A4" w:rsidRDefault="00725205" w:rsidP="009D4EBB">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 xml:space="preserve">Generally however, Samantha described her father as being a good </w:t>
      </w:r>
      <w:r w:rsidRPr="00E869A4">
        <w:rPr>
          <w:rFonts w:ascii="Times New Roman" w:hAnsi="Times New Roman" w:cs="Times New Roman"/>
          <w:i/>
          <w:szCs w:val="24"/>
        </w:rPr>
        <w:t>patient</w:t>
      </w:r>
      <w:r w:rsidRPr="00E869A4">
        <w:rPr>
          <w:rFonts w:ascii="Times New Roman" w:hAnsi="Times New Roman" w:cs="Times New Roman"/>
          <w:szCs w:val="24"/>
        </w:rPr>
        <w:t>. Sheila also perceived her mother to be a good-natured, kind and generous person. However, they had some disagreements on how to manage her diet given Mother Freeda’s diabetic condition</w:t>
      </w:r>
      <w:r w:rsidR="00DC15C9" w:rsidRPr="00E869A4">
        <w:rPr>
          <w:rFonts w:ascii="Times New Roman" w:hAnsi="Times New Roman" w:cs="Times New Roman"/>
          <w:szCs w:val="24"/>
        </w:rPr>
        <w:t>:</w:t>
      </w:r>
      <w:r w:rsidRPr="00E869A4">
        <w:rPr>
          <w:rFonts w:ascii="Times New Roman" w:hAnsi="Times New Roman" w:cs="Times New Roman"/>
          <w:szCs w:val="24"/>
        </w:rPr>
        <w:t xml:space="preserve"> </w:t>
      </w:r>
    </w:p>
    <w:p w14:paraId="702D1DFA"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0DE3E4E7" w14:textId="30F6A0D6" w:rsidR="00725205" w:rsidRPr="00E869A4" w:rsidRDefault="00725205" w:rsidP="007B25FA">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So we disagreed on diet plan</w:t>
      </w:r>
      <w:r w:rsidR="009D4EBB" w:rsidRPr="00E869A4">
        <w:rPr>
          <w:rFonts w:ascii="Times New Roman" w:hAnsi="Times New Roman" w:cs="Times New Roman"/>
          <w:szCs w:val="24"/>
        </w:rPr>
        <w:t xml:space="preserve"> </w:t>
      </w:r>
      <w:r w:rsidRPr="00E869A4">
        <w:rPr>
          <w:rFonts w:ascii="Times New Roman" w:hAnsi="Times New Roman" w:cs="Times New Roman"/>
          <w:szCs w:val="24"/>
        </w:rPr>
        <w:t>…</w:t>
      </w:r>
      <w:r w:rsidR="009D4EBB" w:rsidRPr="00E869A4">
        <w:rPr>
          <w:rFonts w:ascii="Times New Roman" w:hAnsi="Times New Roman" w:cs="Times New Roman"/>
          <w:szCs w:val="24"/>
        </w:rPr>
        <w:t xml:space="preserve"> </w:t>
      </w:r>
      <w:r w:rsidRPr="00E869A4">
        <w:rPr>
          <w:rFonts w:ascii="Times New Roman" w:hAnsi="Times New Roman" w:cs="Times New Roman"/>
          <w:szCs w:val="24"/>
        </w:rPr>
        <w:t>I insisted that she don’t have [certain food items] an’ … when she was home with me</w:t>
      </w:r>
      <w:r w:rsidR="003B4301" w:rsidRPr="00E869A4">
        <w:rPr>
          <w:rFonts w:ascii="Times New Roman" w:hAnsi="Times New Roman" w:cs="Times New Roman"/>
          <w:szCs w:val="24"/>
        </w:rPr>
        <w:t>,</w:t>
      </w:r>
      <w:r w:rsidRPr="00E869A4">
        <w:rPr>
          <w:rFonts w:ascii="Times New Roman" w:hAnsi="Times New Roman" w:cs="Times New Roman"/>
          <w:szCs w:val="24"/>
        </w:rPr>
        <w:t xml:space="preserve"> she used to take de salt an’ hide it </w:t>
      </w:r>
      <w:r w:rsidR="003B4301" w:rsidRPr="00E869A4">
        <w:rPr>
          <w:rFonts w:ascii="Times New Roman" w:hAnsi="Times New Roman" w:cs="Times New Roman"/>
          <w:szCs w:val="24"/>
        </w:rPr>
        <w:t>somewhere (</w:t>
      </w:r>
      <w:r w:rsidRPr="00E869A4">
        <w:rPr>
          <w:rFonts w:ascii="Times New Roman" w:hAnsi="Times New Roman" w:cs="Times New Roman"/>
          <w:szCs w:val="24"/>
        </w:rPr>
        <w:t>laughs)</w:t>
      </w:r>
      <w:r w:rsidR="009D4EBB" w:rsidRPr="00E869A4">
        <w:rPr>
          <w:rFonts w:ascii="Times New Roman" w:hAnsi="Times New Roman" w:cs="Times New Roman"/>
          <w:szCs w:val="24"/>
        </w:rPr>
        <w:t xml:space="preserve"> </w:t>
      </w:r>
      <w:r w:rsidRPr="00E869A4">
        <w:rPr>
          <w:rFonts w:ascii="Times New Roman" w:hAnsi="Times New Roman" w:cs="Times New Roman"/>
          <w:szCs w:val="24"/>
        </w:rPr>
        <w:t>… she used to still buy her lil oil an’ hide it (laughs) I knew all dat</w:t>
      </w:r>
      <w:r w:rsidR="009D4EBB" w:rsidRPr="00E869A4">
        <w:rPr>
          <w:rFonts w:ascii="Times New Roman" w:hAnsi="Times New Roman" w:cs="Times New Roman"/>
          <w:szCs w:val="24"/>
        </w:rPr>
        <w:t xml:space="preserve"> </w:t>
      </w:r>
      <w:r w:rsidRPr="00E869A4">
        <w:rPr>
          <w:rFonts w:ascii="Times New Roman" w:hAnsi="Times New Roman" w:cs="Times New Roman"/>
          <w:szCs w:val="24"/>
        </w:rPr>
        <w:t>…</w:t>
      </w:r>
      <w:r w:rsidR="009D4EBB" w:rsidRPr="00E869A4">
        <w:rPr>
          <w:rFonts w:ascii="Times New Roman" w:hAnsi="Times New Roman" w:cs="Times New Roman"/>
          <w:szCs w:val="24"/>
        </w:rPr>
        <w:t xml:space="preserve"> </w:t>
      </w:r>
      <w:r w:rsidRPr="00E869A4">
        <w:rPr>
          <w:rFonts w:ascii="Times New Roman" w:hAnsi="Times New Roman" w:cs="Times New Roman"/>
          <w:szCs w:val="24"/>
        </w:rPr>
        <w:t>But den, my husband use to always remind me: ‘Well yuh have to balance it yuh know because remember is de qua</w:t>
      </w:r>
      <w:r w:rsidR="00DC15C9" w:rsidRPr="00E869A4">
        <w:rPr>
          <w:rFonts w:ascii="Times New Roman" w:hAnsi="Times New Roman" w:cs="Times New Roman"/>
          <w:szCs w:val="24"/>
        </w:rPr>
        <w:t>lity of life.</w:t>
      </w:r>
      <w:r w:rsidRPr="00E869A4">
        <w:rPr>
          <w:rFonts w:ascii="Times New Roman" w:hAnsi="Times New Roman" w:cs="Times New Roman"/>
          <w:szCs w:val="24"/>
        </w:rPr>
        <w:t xml:space="preserve"> </w:t>
      </w:r>
      <w:r w:rsidR="00DC15C9" w:rsidRPr="00E869A4">
        <w:rPr>
          <w:rFonts w:ascii="Times New Roman" w:hAnsi="Times New Roman" w:cs="Times New Roman"/>
          <w:szCs w:val="24"/>
        </w:rPr>
        <w:t>L</w:t>
      </w:r>
      <w:r w:rsidRPr="00E869A4">
        <w:rPr>
          <w:rFonts w:ascii="Times New Roman" w:hAnsi="Times New Roman" w:cs="Times New Roman"/>
          <w:szCs w:val="24"/>
        </w:rPr>
        <w:t>et de lady eat nah</w:t>
      </w:r>
      <w:r w:rsidR="00DC15C9" w:rsidRPr="00E869A4">
        <w:rPr>
          <w:rFonts w:ascii="Times New Roman" w:hAnsi="Times New Roman" w:cs="Times New Roman"/>
          <w:szCs w:val="24"/>
        </w:rPr>
        <w:t>’.</w:t>
      </w:r>
      <w:r w:rsidR="007B25FA" w:rsidRPr="00E869A4">
        <w:rPr>
          <w:rFonts w:ascii="Times New Roman" w:hAnsi="Times New Roman" w:cs="Times New Roman"/>
          <w:szCs w:val="24"/>
        </w:rPr>
        <w:t xml:space="preserve"> (laughs).</w:t>
      </w:r>
    </w:p>
    <w:p w14:paraId="7AD126BD"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4F4873E6" w14:textId="4559FED5" w:rsidR="00725205" w:rsidRPr="00E869A4" w:rsidRDefault="00725205" w:rsidP="00750B3F">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Timothy</w:t>
      </w:r>
      <w:r w:rsidRPr="00E869A4">
        <w:rPr>
          <w:rFonts w:ascii="Times New Roman" w:eastAsia="Times New Roman" w:hAnsi="Times New Roman" w:cs="Times New Roman"/>
          <w:szCs w:val="24"/>
        </w:rPr>
        <w:t xml:space="preserve"> described his mother’s behaviour as very challenging. At first, he interpreted her resistance to receiving care as being personality based</w:t>
      </w:r>
      <w:r w:rsidR="00DC15C9"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750B3F" w:rsidRPr="00E869A4">
        <w:rPr>
          <w:rFonts w:ascii="Times New Roman" w:hAnsi="Times New Roman" w:cs="Times New Roman"/>
          <w:szCs w:val="24"/>
        </w:rPr>
        <w:t>“</w:t>
      </w:r>
      <w:r w:rsidRPr="00E869A4">
        <w:rPr>
          <w:rFonts w:ascii="Times New Roman" w:eastAsia="Times New Roman" w:hAnsi="Times New Roman" w:cs="Times New Roman"/>
          <w:szCs w:val="24"/>
        </w:rPr>
        <w:t>She did not take ageing very easy. Some people are like that</w:t>
      </w:r>
      <w:r w:rsidR="00750B3F" w:rsidRPr="00E869A4">
        <w:rPr>
          <w:rFonts w:ascii="Times New Roman" w:hAnsi="Times New Roman" w:cs="Times New Roman"/>
          <w:szCs w:val="24"/>
        </w:rPr>
        <w:t xml:space="preserve">.” (FCG Timothy). </w:t>
      </w:r>
      <w:r w:rsidRPr="00E869A4">
        <w:rPr>
          <w:rFonts w:ascii="Times New Roman" w:hAnsi="Times New Roman" w:cs="Times New Roman"/>
          <w:szCs w:val="24"/>
        </w:rPr>
        <w:t>It was only much later in his care experience that Timothy considered the possibility that her behaviour was in part a result of the onset of dementia</w:t>
      </w:r>
      <w:r w:rsidR="00C305D5" w:rsidRPr="00E869A4">
        <w:rPr>
          <w:rFonts w:ascii="Times New Roman" w:hAnsi="Times New Roman" w:cs="Times New Roman"/>
          <w:szCs w:val="24"/>
        </w:rPr>
        <w:t>:</w:t>
      </w:r>
      <w:r w:rsidRPr="00E869A4">
        <w:rPr>
          <w:rFonts w:ascii="Times New Roman" w:hAnsi="Times New Roman" w:cs="Times New Roman"/>
          <w:szCs w:val="24"/>
        </w:rPr>
        <w:t xml:space="preserve"> </w:t>
      </w:r>
    </w:p>
    <w:p w14:paraId="3BE17984" w14:textId="77777777" w:rsidR="007B2B49" w:rsidRPr="00E869A4" w:rsidRDefault="007B2B49" w:rsidP="007B2B49">
      <w:pPr>
        <w:autoSpaceDE w:val="0"/>
        <w:autoSpaceDN w:val="0"/>
        <w:adjustRightInd w:val="0"/>
        <w:spacing w:line="240" w:lineRule="auto"/>
        <w:ind w:left="567" w:firstLine="0"/>
        <w:rPr>
          <w:rFonts w:ascii="Times New Roman" w:hAnsi="Times New Roman" w:cs="Times New Roman"/>
          <w:szCs w:val="24"/>
        </w:rPr>
      </w:pPr>
    </w:p>
    <w:p w14:paraId="0C82FC33" w14:textId="407FA43E" w:rsidR="00725205" w:rsidRPr="00E869A4" w:rsidRDefault="00725205" w:rsidP="003B0601">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Mom became very paranoid as far as dealing with caregivers </w:t>
      </w:r>
      <w:r w:rsidRPr="00E869A4">
        <w:rPr>
          <w:rFonts w:ascii="Times New Roman" w:eastAsia="Times New Roman" w:hAnsi="Times New Roman" w:cs="Times New Roman"/>
          <w:szCs w:val="24"/>
        </w:rPr>
        <w:t>… accusing them of stealing stuff [but] she [kept showing] them everything she has … It was ridiculous. Dad would complain to her</w:t>
      </w:r>
      <w:r w:rsidR="003B0601"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Hazel would complain, I even would complain and she would do it again and again. But … maybe there was a bit of dementia [from] an earlier age and we didn’t realise it. We probably just thought she was eccentric. But … these types of things were happening and gradually it just meant more and more involvement.</w:t>
      </w:r>
    </w:p>
    <w:p w14:paraId="1811F983"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06217F6C" w14:textId="46EA6573" w:rsidR="007B2B49" w:rsidRPr="00E869A4" w:rsidRDefault="00725205" w:rsidP="009A2354">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Difficult behaviour from an older person made it very challenging to retain paid care staff, a situation which was further compounded by the limited pool of affordable informal caregivers in the country. </w:t>
      </w:r>
    </w:p>
    <w:p w14:paraId="2942CADA" w14:textId="77777777" w:rsidR="009A2354" w:rsidRPr="00E869A4" w:rsidRDefault="009A2354" w:rsidP="009A2354">
      <w:pPr>
        <w:autoSpaceDE w:val="0"/>
        <w:autoSpaceDN w:val="0"/>
        <w:adjustRightInd w:val="0"/>
        <w:rPr>
          <w:rFonts w:ascii="Times New Roman" w:eastAsiaTheme="majorEastAsia" w:hAnsi="Times New Roman" w:cs="Times New Roman"/>
          <w:i/>
          <w:u w:val="single"/>
        </w:rPr>
      </w:pPr>
    </w:p>
    <w:p w14:paraId="0B466357" w14:textId="77777777" w:rsidR="000D2B28" w:rsidRDefault="000D2B28">
      <w:pPr>
        <w:rPr>
          <w:rFonts w:ascii="Times New Roman" w:eastAsiaTheme="majorEastAsia" w:hAnsi="Times New Roman" w:cs="Times New Roman"/>
          <w:i/>
          <w:u w:val="single"/>
        </w:rPr>
      </w:pPr>
      <w:r>
        <w:br w:type="page"/>
      </w:r>
    </w:p>
    <w:p w14:paraId="740861D0" w14:textId="4DB747B2" w:rsidR="00725205" w:rsidRPr="00E869A4" w:rsidRDefault="00725205" w:rsidP="0031040A">
      <w:pPr>
        <w:pStyle w:val="Heading5"/>
        <w:rPr>
          <w:color w:val="auto"/>
        </w:rPr>
      </w:pPr>
      <w:r w:rsidRPr="00E869A4">
        <w:rPr>
          <w:color w:val="auto"/>
        </w:rPr>
        <w:lastRenderedPageBreak/>
        <w:t xml:space="preserve">Financial </w:t>
      </w:r>
      <w:r w:rsidR="00023BA2" w:rsidRPr="00E869A4">
        <w:rPr>
          <w:color w:val="auto"/>
        </w:rPr>
        <w:t>c</w:t>
      </w:r>
      <w:r w:rsidRPr="00E869A4">
        <w:rPr>
          <w:color w:val="auto"/>
        </w:rPr>
        <w:t xml:space="preserve">ost of </w:t>
      </w:r>
      <w:r w:rsidR="00023BA2" w:rsidRPr="00E869A4">
        <w:rPr>
          <w:color w:val="auto"/>
        </w:rPr>
        <w:t>c</w:t>
      </w:r>
      <w:r w:rsidRPr="00E869A4">
        <w:rPr>
          <w:color w:val="auto"/>
        </w:rPr>
        <w:t>are</w:t>
      </w:r>
    </w:p>
    <w:p w14:paraId="009D4D6C" w14:textId="77777777" w:rsidR="00725205" w:rsidRPr="00E869A4" w:rsidRDefault="00725205" w:rsidP="00B61191">
      <w:pPr>
        <w:ind w:left="567" w:firstLine="0"/>
      </w:pPr>
    </w:p>
    <w:p w14:paraId="2DAFC83B" w14:textId="7331EA68"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The </w:t>
      </w:r>
      <w:r w:rsidR="00016517" w:rsidRPr="00E869A4">
        <w:rPr>
          <w:rFonts w:ascii="Times New Roman" w:hAnsi="Times New Roman" w:cs="Times New Roman"/>
          <w:szCs w:val="24"/>
        </w:rPr>
        <w:t>members of the more financially endowed families such as the Druman’s and the Kumar’s explicitly highlighted the fina</w:t>
      </w:r>
      <w:r w:rsidR="00367512">
        <w:rPr>
          <w:rFonts w:ascii="Times New Roman" w:hAnsi="Times New Roman" w:cs="Times New Roman"/>
          <w:szCs w:val="24"/>
        </w:rPr>
        <w:t>ncia</w:t>
      </w:r>
      <w:r w:rsidR="00016517" w:rsidRPr="00E869A4">
        <w:rPr>
          <w:rFonts w:ascii="Times New Roman" w:hAnsi="Times New Roman" w:cs="Times New Roman"/>
          <w:szCs w:val="24"/>
        </w:rPr>
        <w:t>l cost of care as a challenge</w:t>
      </w:r>
      <w:r w:rsidRPr="00E869A4">
        <w:rPr>
          <w:rFonts w:ascii="Times New Roman" w:hAnsi="Times New Roman" w:cs="Times New Roman"/>
          <w:szCs w:val="24"/>
        </w:rPr>
        <w:t xml:space="preserve">. The health care needs of the older person in addition to other factors such as their financial management practices had a moderating influence on this particular issue. For some caregivers, not having the resources necessary to meet their own basic needs negatively </w:t>
      </w:r>
      <w:r w:rsidR="00016517" w:rsidRPr="00E869A4">
        <w:rPr>
          <w:rFonts w:ascii="Times New Roman" w:hAnsi="Times New Roman" w:cs="Times New Roman"/>
          <w:szCs w:val="24"/>
        </w:rPr>
        <w:t>affected</w:t>
      </w:r>
      <w:r w:rsidRPr="00E869A4">
        <w:rPr>
          <w:rFonts w:ascii="Times New Roman" w:hAnsi="Times New Roman" w:cs="Times New Roman"/>
          <w:szCs w:val="24"/>
        </w:rPr>
        <w:t xml:space="preserve"> their ability to provide care. Mrs. Sanchez for example, struggled with the fact that she did not have a permanent and suitable place to call home. This was a constant source of worry for her</w:t>
      </w:r>
      <w:r w:rsidR="00C305D5" w:rsidRPr="00E869A4">
        <w:rPr>
          <w:rFonts w:ascii="Times New Roman" w:hAnsi="Times New Roman" w:cs="Times New Roman"/>
          <w:szCs w:val="24"/>
        </w:rPr>
        <w:t>:</w:t>
      </w:r>
    </w:p>
    <w:p w14:paraId="77A6B302" w14:textId="77777777" w:rsidR="00C305D5" w:rsidRPr="00E869A4" w:rsidRDefault="00C305D5" w:rsidP="007B2B49">
      <w:pPr>
        <w:autoSpaceDE w:val="0"/>
        <w:autoSpaceDN w:val="0"/>
        <w:adjustRightInd w:val="0"/>
        <w:spacing w:line="240" w:lineRule="auto"/>
        <w:ind w:left="567" w:firstLine="0"/>
        <w:rPr>
          <w:rFonts w:ascii="Times New Roman" w:hAnsi="Times New Roman" w:cs="Times New Roman"/>
          <w:szCs w:val="24"/>
        </w:rPr>
      </w:pPr>
    </w:p>
    <w:p w14:paraId="4BA1486A" w14:textId="6E196832" w:rsidR="00725205" w:rsidRPr="00E869A4" w:rsidRDefault="00725205" w:rsidP="003B0601">
      <w:pPr>
        <w:autoSpaceDE w:val="0"/>
        <w:autoSpaceDN w:val="0"/>
        <w:adjustRightInd w:val="0"/>
        <w:spacing w:line="240" w:lineRule="auto"/>
        <w:ind w:firstLine="720"/>
        <w:rPr>
          <w:rFonts w:ascii="Times New Roman" w:hAnsi="Times New Roman" w:cs="Times New Roman"/>
          <w:szCs w:val="24"/>
        </w:rPr>
      </w:pPr>
      <w:r w:rsidRPr="00E869A4">
        <w:rPr>
          <w:rFonts w:ascii="Times New Roman" w:hAnsi="Times New Roman" w:cs="Times New Roman"/>
          <w:i/>
          <w:szCs w:val="24"/>
        </w:rPr>
        <w:t>Mrs. Sanchez</w:t>
      </w:r>
      <w:r w:rsidRPr="00E869A4">
        <w:rPr>
          <w:rFonts w:ascii="Times New Roman" w:hAnsi="Times New Roman" w:cs="Times New Roman"/>
          <w:szCs w:val="24"/>
        </w:rPr>
        <w:t>:</w:t>
      </w:r>
      <w:r w:rsidR="00016517" w:rsidRPr="00E869A4">
        <w:rPr>
          <w:rFonts w:ascii="Times New Roman" w:hAnsi="Times New Roman" w:cs="Times New Roman"/>
          <w:szCs w:val="24"/>
        </w:rPr>
        <w:t xml:space="preserve"> “</w:t>
      </w:r>
      <w:r w:rsidRPr="00E869A4">
        <w:rPr>
          <w:rFonts w:ascii="Times New Roman" w:hAnsi="Times New Roman" w:cs="Times New Roman"/>
          <w:szCs w:val="24"/>
        </w:rPr>
        <w:t>the property is supposed to be a family house after the mother died. It was always family lived here. And the agreement was he would live in the house and do all the lil repairs. But then he became sick. We did do some repairs: change the roof and do some other work but I can</w:t>
      </w:r>
      <w:r w:rsidRPr="00E869A4">
        <w:rPr>
          <w:rFonts w:ascii="Times New Roman" w:eastAsia="Times New Roman" w:hAnsi="Times New Roman" w:cs="Times New Roman"/>
          <w:szCs w:val="24"/>
        </w:rPr>
        <w:t>’t do anything. I can’t spend X amount of money on the house and then when he goes I goes too</w:t>
      </w:r>
      <w:r w:rsidR="00712764"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with nothing because I have nothing. He has no house he have no house, nothing.</w:t>
      </w:r>
      <w:r w:rsidR="00C305D5" w:rsidRPr="00E869A4">
        <w:rPr>
          <w:rFonts w:ascii="Times New Roman" w:eastAsia="Times New Roman" w:hAnsi="Times New Roman" w:cs="Times New Roman"/>
          <w:szCs w:val="24"/>
        </w:rPr>
        <w:t>”</w:t>
      </w:r>
    </w:p>
    <w:p w14:paraId="1F30A57E" w14:textId="77777777" w:rsidR="003B0601" w:rsidRPr="00E869A4" w:rsidRDefault="003B0601" w:rsidP="003B0601">
      <w:pPr>
        <w:autoSpaceDE w:val="0"/>
        <w:autoSpaceDN w:val="0"/>
        <w:adjustRightInd w:val="0"/>
        <w:spacing w:line="240" w:lineRule="auto"/>
        <w:ind w:firstLine="720"/>
        <w:rPr>
          <w:rFonts w:ascii="Times New Roman" w:hAnsi="Times New Roman" w:cs="Times New Roman"/>
          <w:b/>
          <w:szCs w:val="24"/>
        </w:rPr>
      </w:pPr>
    </w:p>
    <w:p w14:paraId="0563ECB5" w14:textId="62337F6B" w:rsidR="00725205" w:rsidRPr="00E869A4" w:rsidRDefault="00725205" w:rsidP="003B0601">
      <w:pPr>
        <w:autoSpaceDE w:val="0"/>
        <w:autoSpaceDN w:val="0"/>
        <w:adjustRightInd w:val="0"/>
        <w:spacing w:line="240" w:lineRule="auto"/>
        <w:ind w:firstLine="720"/>
        <w:rPr>
          <w:rFonts w:ascii="Times New Roman" w:hAnsi="Times New Roman" w:cs="Times New Roman"/>
          <w:szCs w:val="24"/>
        </w:rPr>
      </w:pPr>
      <w:r w:rsidRPr="00E869A4">
        <w:rPr>
          <w:rFonts w:ascii="Times New Roman" w:hAnsi="Times New Roman" w:cs="Times New Roman"/>
          <w:i/>
          <w:szCs w:val="24"/>
        </w:rPr>
        <w:t>Hyacinth</w:t>
      </w:r>
      <w:r w:rsidRPr="00E869A4">
        <w:rPr>
          <w:rFonts w:ascii="Times New Roman" w:hAnsi="Times New Roman" w:cs="Times New Roman"/>
          <w:szCs w:val="24"/>
        </w:rPr>
        <w:t xml:space="preserve">: </w:t>
      </w:r>
      <w:r w:rsidR="00C305D5" w:rsidRPr="00E869A4">
        <w:rPr>
          <w:rFonts w:ascii="Times New Roman" w:hAnsi="Times New Roman" w:cs="Times New Roman"/>
          <w:szCs w:val="24"/>
        </w:rPr>
        <w:t>“</w:t>
      </w:r>
      <w:r w:rsidRPr="00E869A4">
        <w:rPr>
          <w:rFonts w:ascii="Times New Roman" w:hAnsi="Times New Roman" w:cs="Times New Roman"/>
          <w:szCs w:val="24"/>
        </w:rPr>
        <w:t>But what is happening with his pension though?</w:t>
      </w:r>
      <w:r w:rsidR="00C305D5" w:rsidRPr="00E869A4">
        <w:rPr>
          <w:rFonts w:ascii="Times New Roman" w:hAnsi="Times New Roman" w:cs="Times New Roman"/>
          <w:szCs w:val="24"/>
        </w:rPr>
        <w:t>”</w:t>
      </w:r>
      <w:r w:rsidRPr="00E869A4">
        <w:rPr>
          <w:rFonts w:ascii="Times New Roman" w:hAnsi="Times New Roman" w:cs="Times New Roman"/>
          <w:szCs w:val="24"/>
        </w:rPr>
        <w:t xml:space="preserve"> </w:t>
      </w:r>
    </w:p>
    <w:p w14:paraId="2849A100" w14:textId="77777777" w:rsidR="003B0601" w:rsidRPr="00E869A4" w:rsidRDefault="003B0601" w:rsidP="003B0601">
      <w:pPr>
        <w:autoSpaceDE w:val="0"/>
        <w:autoSpaceDN w:val="0"/>
        <w:adjustRightInd w:val="0"/>
        <w:spacing w:line="240" w:lineRule="auto"/>
        <w:ind w:firstLine="720"/>
        <w:rPr>
          <w:rFonts w:ascii="Times New Roman" w:hAnsi="Times New Roman" w:cs="Times New Roman"/>
          <w:b/>
          <w:szCs w:val="24"/>
        </w:rPr>
      </w:pPr>
    </w:p>
    <w:p w14:paraId="657C7D9F" w14:textId="3D8D5B42" w:rsidR="00725205" w:rsidRPr="00E869A4" w:rsidRDefault="00725205" w:rsidP="00B82B3B">
      <w:pPr>
        <w:autoSpaceDE w:val="0"/>
        <w:autoSpaceDN w:val="0"/>
        <w:adjustRightInd w:val="0"/>
        <w:spacing w:line="240" w:lineRule="auto"/>
        <w:ind w:left="720" w:firstLine="0"/>
        <w:rPr>
          <w:rFonts w:ascii="Times New Roman" w:hAnsi="Times New Roman" w:cs="Times New Roman"/>
          <w:szCs w:val="24"/>
        </w:rPr>
      </w:pPr>
      <w:r w:rsidRPr="00E869A4">
        <w:rPr>
          <w:rFonts w:ascii="Times New Roman" w:hAnsi="Times New Roman" w:cs="Times New Roman"/>
          <w:i/>
          <w:szCs w:val="24"/>
        </w:rPr>
        <w:t>Mrs. Sanchez</w:t>
      </w:r>
      <w:r w:rsidRPr="00E869A4">
        <w:rPr>
          <w:rFonts w:ascii="Times New Roman" w:hAnsi="Times New Roman" w:cs="Times New Roman"/>
          <w:szCs w:val="24"/>
        </w:rPr>
        <w:t xml:space="preserve">: </w:t>
      </w:r>
      <w:r w:rsidR="00C305D5" w:rsidRPr="00E869A4">
        <w:rPr>
          <w:rFonts w:ascii="Times New Roman" w:hAnsi="Times New Roman" w:cs="Times New Roman"/>
          <w:szCs w:val="24"/>
        </w:rPr>
        <w:t>“</w:t>
      </w:r>
      <w:r w:rsidRPr="00E869A4">
        <w:rPr>
          <w:rFonts w:ascii="Times New Roman" w:hAnsi="Times New Roman" w:cs="Times New Roman"/>
          <w:szCs w:val="24"/>
        </w:rPr>
        <w:t>Well that</w:t>
      </w:r>
      <w:r w:rsidRPr="00E869A4">
        <w:rPr>
          <w:rFonts w:ascii="Times New Roman" w:eastAsia="Times New Roman" w:hAnsi="Times New Roman" w:cs="Times New Roman"/>
          <w:szCs w:val="24"/>
        </w:rPr>
        <w:t>’s what he surviving on. Now that is what I pay the bills I buy the food and the lil change that I get I’m trying to save something to see if we could get a house</w:t>
      </w:r>
      <w:r w:rsidRPr="00E869A4">
        <w:rPr>
          <w:rFonts w:ascii="Times New Roman" w:hAnsi="Times New Roman" w:cs="Times New Roman"/>
          <w:szCs w:val="24"/>
        </w:rPr>
        <w:t>.</w:t>
      </w:r>
      <w:r w:rsidR="00C305D5" w:rsidRPr="00E869A4">
        <w:rPr>
          <w:rFonts w:ascii="Times New Roman" w:hAnsi="Times New Roman" w:cs="Times New Roman"/>
          <w:szCs w:val="24"/>
        </w:rPr>
        <w:t>”</w:t>
      </w:r>
    </w:p>
    <w:p w14:paraId="3C9DF2E2" w14:textId="77777777" w:rsidR="0052125A" w:rsidRPr="00E869A4" w:rsidRDefault="0052125A" w:rsidP="00A35FF8">
      <w:pPr>
        <w:autoSpaceDE w:val="0"/>
        <w:autoSpaceDN w:val="0"/>
        <w:adjustRightInd w:val="0"/>
        <w:rPr>
          <w:rFonts w:ascii="Times New Roman" w:hAnsi="Times New Roman" w:cs="Times New Roman"/>
          <w:szCs w:val="24"/>
        </w:rPr>
      </w:pPr>
    </w:p>
    <w:p w14:paraId="43C15CE4" w14:textId="641FBC6F" w:rsidR="00725205" w:rsidRPr="00E869A4" w:rsidRDefault="00CE4301"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Alt</w:t>
      </w:r>
      <w:r w:rsidR="00725205" w:rsidRPr="00E869A4">
        <w:rPr>
          <w:rFonts w:ascii="Times New Roman" w:hAnsi="Times New Roman" w:cs="Times New Roman"/>
          <w:szCs w:val="24"/>
        </w:rPr>
        <w:t>hough other families like the Kumar</w:t>
      </w:r>
      <w:r w:rsidR="00725205" w:rsidRPr="00E869A4">
        <w:rPr>
          <w:rFonts w:ascii="Times New Roman" w:eastAsia="Times New Roman" w:hAnsi="Times New Roman" w:cs="Times New Roman"/>
          <w:szCs w:val="24"/>
        </w:rPr>
        <w:t>s seemed to be in a more financially stable situation, meeting care needs adequately was still very challenging</w:t>
      </w:r>
      <w:r w:rsidR="00C305D5" w:rsidRPr="00E869A4">
        <w:rPr>
          <w:rFonts w:ascii="Times New Roman" w:eastAsia="Times New Roman" w:hAnsi="Times New Roman" w:cs="Times New Roman"/>
          <w:szCs w:val="24"/>
        </w:rPr>
        <w:t>:</w:t>
      </w:r>
      <w:r w:rsidR="00725205" w:rsidRPr="00E869A4">
        <w:rPr>
          <w:rFonts w:ascii="Times New Roman" w:eastAsia="Times New Roman" w:hAnsi="Times New Roman" w:cs="Times New Roman"/>
          <w:szCs w:val="24"/>
        </w:rPr>
        <w:t xml:space="preserve"> </w:t>
      </w:r>
    </w:p>
    <w:p w14:paraId="1E226BBA" w14:textId="77777777" w:rsidR="003B0601" w:rsidRPr="00E869A4" w:rsidRDefault="003B0601" w:rsidP="003B0601">
      <w:pPr>
        <w:autoSpaceDE w:val="0"/>
        <w:autoSpaceDN w:val="0"/>
        <w:adjustRightInd w:val="0"/>
        <w:spacing w:line="240" w:lineRule="auto"/>
        <w:ind w:left="567" w:firstLine="0"/>
        <w:rPr>
          <w:rFonts w:ascii="Times New Roman" w:hAnsi="Times New Roman" w:cs="Times New Roman"/>
          <w:b/>
          <w:szCs w:val="24"/>
        </w:rPr>
      </w:pPr>
    </w:p>
    <w:p w14:paraId="0FE606E5" w14:textId="0784A7CD" w:rsidR="00725205" w:rsidRPr="00E869A4" w:rsidRDefault="00725205" w:rsidP="003B0601">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i/>
          <w:szCs w:val="24"/>
        </w:rPr>
        <w:t>Ms. Kumar</w:t>
      </w:r>
      <w:r w:rsidRPr="00E869A4">
        <w:rPr>
          <w:rFonts w:ascii="Times New Roman" w:hAnsi="Times New Roman" w:cs="Times New Roman"/>
          <w:szCs w:val="24"/>
        </w:rPr>
        <w:t xml:space="preserve">: </w:t>
      </w:r>
      <w:r w:rsidR="00C305D5" w:rsidRPr="00E869A4">
        <w:rPr>
          <w:rFonts w:ascii="Times New Roman" w:hAnsi="Times New Roman" w:cs="Times New Roman"/>
          <w:szCs w:val="24"/>
        </w:rPr>
        <w:t>“</w:t>
      </w:r>
      <w:r w:rsidRPr="00E869A4">
        <w:rPr>
          <w:rFonts w:ascii="Times New Roman" w:hAnsi="Times New Roman" w:cs="Times New Roman"/>
          <w:szCs w:val="24"/>
        </w:rPr>
        <w:t>Well my medical bill is exorbitant. Ask (my daughter) Becky</w:t>
      </w:r>
      <w:r w:rsidR="00082BC5" w:rsidRPr="00E869A4">
        <w:rPr>
          <w:rFonts w:ascii="Times New Roman" w:hAnsi="Times New Roman" w:cs="Times New Roman"/>
          <w:szCs w:val="24"/>
        </w:rPr>
        <w:t>.</w:t>
      </w:r>
      <w:r w:rsidR="00C305D5" w:rsidRPr="00E869A4">
        <w:rPr>
          <w:rFonts w:ascii="Times New Roman" w:hAnsi="Times New Roman" w:cs="Times New Roman"/>
          <w:szCs w:val="24"/>
        </w:rPr>
        <w:t>”</w:t>
      </w:r>
    </w:p>
    <w:p w14:paraId="298B8587" w14:textId="77777777" w:rsidR="003B0601" w:rsidRPr="00E869A4" w:rsidRDefault="003B0601" w:rsidP="003B0601">
      <w:pPr>
        <w:autoSpaceDE w:val="0"/>
        <w:autoSpaceDN w:val="0"/>
        <w:adjustRightInd w:val="0"/>
        <w:spacing w:line="240" w:lineRule="auto"/>
        <w:ind w:left="567" w:firstLine="0"/>
        <w:rPr>
          <w:rFonts w:ascii="Times New Roman" w:hAnsi="Times New Roman" w:cs="Times New Roman"/>
          <w:b/>
          <w:szCs w:val="24"/>
        </w:rPr>
      </w:pPr>
    </w:p>
    <w:p w14:paraId="06A34B8C" w14:textId="0726220B" w:rsidR="00725205" w:rsidRPr="00E869A4" w:rsidRDefault="00725205" w:rsidP="003B0601">
      <w:pPr>
        <w:autoSpaceDE w:val="0"/>
        <w:autoSpaceDN w:val="0"/>
        <w:adjustRightInd w:val="0"/>
        <w:spacing w:line="240" w:lineRule="auto"/>
        <w:ind w:left="567" w:firstLine="0"/>
        <w:rPr>
          <w:rFonts w:ascii="Times New Roman" w:eastAsia="Times New Roman" w:hAnsi="Times New Roman" w:cs="Times New Roman"/>
          <w:szCs w:val="24"/>
        </w:rPr>
      </w:pPr>
      <w:r w:rsidRPr="00E869A4">
        <w:rPr>
          <w:rFonts w:ascii="Times New Roman" w:hAnsi="Times New Roman" w:cs="Times New Roman"/>
          <w:i/>
          <w:szCs w:val="24"/>
        </w:rPr>
        <w:t>Rebecca</w:t>
      </w:r>
      <w:r w:rsidRPr="00E869A4">
        <w:rPr>
          <w:rFonts w:ascii="Times New Roman" w:hAnsi="Times New Roman" w:cs="Times New Roman"/>
          <w:szCs w:val="24"/>
        </w:rPr>
        <w:t xml:space="preserve">: </w:t>
      </w:r>
      <w:r w:rsidR="00C305D5" w:rsidRPr="00E869A4">
        <w:rPr>
          <w:rFonts w:ascii="Times New Roman" w:hAnsi="Times New Roman" w:cs="Times New Roman"/>
          <w:szCs w:val="24"/>
        </w:rPr>
        <w:t>“</w:t>
      </w:r>
      <w:r w:rsidRPr="00E869A4">
        <w:rPr>
          <w:rFonts w:ascii="Times New Roman" w:hAnsi="Times New Roman" w:cs="Times New Roman"/>
          <w:szCs w:val="24"/>
        </w:rPr>
        <w:t>That</w:t>
      </w:r>
      <w:r w:rsidRPr="00E869A4">
        <w:rPr>
          <w:rFonts w:ascii="Times New Roman" w:eastAsia="Times New Roman" w:hAnsi="Times New Roman" w:cs="Times New Roman"/>
          <w:szCs w:val="24"/>
        </w:rPr>
        <w:t>’s the only thing</w:t>
      </w:r>
      <w:r w:rsidR="00082BC5" w:rsidRPr="00E869A4">
        <w:rPr>
          <w:rFonts w:ascii="Times New Roman" w:eastAsia="Times New Roman" w:hAnsi="Times New Roman" w:cs="Times New Roman"/>
          <w:szCs w:val="24"/>
        </w:rPr>
        <w:t>.</w:t>
      </w:r>
      <w:r w:rsidR="00C305D5" w:rsidRPr="00E869A4">
        <w:rPr>
          <w:rFonts w:ascii="Times New Roman" w:eastAsia="Times New Roman" w:hAnsi="Times New Roman" w:cs="Times New Roman"/>
          <w:szCs w:val="24"/>
        </w:rPr>
        <w:t>”</w:t>
      </w:r>
    </w:p>
    <w:p w14:paraId="4195F0DB" w14:textId="5CF4A6CF" w:rsidR="00725205" w:rsidRPr="00E869A4" w:rsidRDefault="00725205" w:rsidP="0014064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i/>
          <w:szCs w:val="24"/>
        </w:rPr>
        <w:t>Ms. Kumar</w:t>
      </w:r>
      <w:r w:rsidRPr="00E869A4">
        <w:rPr>
          <w:rFonts w:ascii="Times New Roman" w:hAnsi="Times New Roman" w:cs="Times New Roman"/>
          <w:szCs w:val="24"/>
        </w:rPr>
        <w:t xml:space="preserve">: </w:t>
      </w:r>
      <w:r w:rsidR="00C305D5" w:rsidRPr="00E869A4">
        <w:rPr>
          <w:rFonts w:ascii="Times New Roman" w:hAnsi="Times New Roman" w:cs="Times New Roman"/>
          <w:szCs w:val="24"/>
        </w:rPr>
        <w:t>“</w:t>
      </w:r>
      <w:r w:rsidRPr="00E869A4">
        <w:rPr>
          <w:rFonts w:ascii="Times New Roman" w:hAnsi="Times New Roman" w:cs="Times New Roman"/>
          <w:szCs w:val="24"/>
        </w:rPr>
        <w:t>Thousands of dollars</w:t>
      </w:r>
      <w:r w:rsidR="00082BC5" w:rsidRPr="00E869A4">
        <w:rPr>
          <w:rFonts w:ascii="Times New Roman" w:hAnsi="Times New Roman" w:cs="Times New Roman"/>
          <w:szCs w:val="24"/>
        </w:rPr>
        <w:t>.</w:t>
      </w:r>
      <w:r w:rsidR="00C305D5" w:rsidRPr="00E869A4">
        <w:rPr>
          <w:rFonts w:ascii="Times New Roman" w:hAnsi="Times New Roman" w:cs="Times New Roman"/>
          <w:szCs w:val="24"/>
        </w:rPr>
        <w:t>”</w:t>
      </w:r>
    </w:p>
    <w:p w14:paraId="688E6668" w14:textId="77777777" w:rsidR="003B0601" w:rsidRPr="00E869A4" w:rsidRDefault="003B0601" w:rsidP="00140649">
      <w:pPr>
        <w:autoSpaceDE w:val="0"/>
        <w:autoSpaceDN w:val="0"/>
        <w:adjustRightInd w:val="0"/>
        <w:spacing w:line="240" w:lineRule="auto"/>
        <w:ind w:left="567" w:firstLine="0"/>
        <w:rPr>
          <w:rFonts w:ascii="Times New Roman" w:hAnsi="Times New Roman" w:cs="Times New Roman"/>
          <w:b/>
          <w:szCs w:val="24"/>
        </w:rPr>
      </w:pPr>
    </w:p>
    <w:p w14:paraId="3045E7D6" w14:textId="2B66D0BB" w:rsidR="00725205" w:rsidRPr="00E869A4" w:rsidRDefault="00725205" w:rsidP="0014064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i/>
          <w:szCs w:val="24"/>
        </w:rPr>
        <w:t>Rebecca</w:t>
      </w:r>
      <w:r w:rsidRPr="00E869A4">
        <w:rPr>
          <w:rFonts w:ascii="Times New Roman" w:hAnsi="Times New Roman" w:cs="Times New Roman"/>
          <w:szCs w:val="24"/>
        </w:rPr>
        <w:t xml:space="preserve">: </w:t>
      </w:r>
      <w:r w:rsidR="00C305D5" w:rsidRPr="00E869A4">
        <w:rPr>
          <w:rFonts w:ascii="Times New Roman" w:hAnsi="Times New Roman" w:cs="Times New Roman"/>
          <w:szCs w:val="24"/>
        </w:rPr>
        <w:t>“</w:t>
      </w:r>
      <w:r w:rsidRPr="00E869A4">
        <w:rPr>
          <w:rFonts w:ascii="Times New Roman" w:hAnsi="Times New Roman" w:cs="Times New Roman"/>
          <w:szCs w:val="24"/>
        </w:rPr>
        <w:t>I mean I spend my own</w:t>
      </w:r>
      <w:r w:rsidR="00704DD9" w:rsidRPr="00E869A4">
        <w:rPr>
          <w:rFonts w:ascii="Times New Roman" w:hAnsi="Times New Roman" w:cs="Times New Roman"/>
          <w:szCs w:val="24"/>
        </w:rPr>
        <w:t xml:space="preserve"> money to finance the medication.</w:t>
      </w:r>
      <w:r w:rsidR="00C305D5"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p>
    <w:p w14:paraId="7AA5C390" w14:textId="77777777" w:rsidR="003B0601" w:rsidRPr="00E869A4" w:rsidRDefault="003B0601" w:rsidP="00140649">
      <w:pPr>
        <w:autoSpaceDE w:val="0"/>
        <w:autoSpaceDN w:val="0"/>
        <w:adjustRightInd w:val="0"/>
        <w:spacing w:line="240" w:lineRule="auto"/>
        <w:ind w:left="567" w:firstLine="0"/>
        <w:rPr>
          <w:rFonts w:ascii="Times New Roman" w:hAnsi="Times New Roman" w:cs="Times New Roman"/>
          <w:b/>
          <w:szCs w:val="24"/>
        </w:rPr>
      </w:pPr>
    </w:p>
    <w:p w14:paraId="04DBD443" w14:textId="145335AB" w:rsidR="00725205" w:rsidRPr="00E869A4" w:rsidRDefault="00725205" w:rsidP="0014064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i/>
          <w:szCs w:val="24"/>
        </w:rPr>
        <w:t>Ms. Kumar</w:t>
      </w:r>
      <w:r w:rsidRPr="00E869A4">
        <w:rPr>
          <w:rFonts w:ascii="Times New Roman" w:hAnsi="Times New Roman" w:cs="Times New Roman"/>
          <w:szCs w:val="24"/>
        </w:rPr>
        <w:t xml:space="preserve">: </w:t>
      </w:r>
      <w:r w:rsidR="00C305D5" w:rsidRPr="00E869A4">
        <w:rPr>
          <w:rFonts w:ascii="Times New Roman" w:hAnsi="Times New Roman" w:cs="Times New Roman"/>
          <w:szCs w:val="24"/>
        </w:rPr>
        <w:t>“</w:t>
      </w:r>
      <w:r w:rsidRPr="00E869A4">
        <w:rPr>
          <w:rFonts w:ascii="Times New Roman" w:hAnsi="Times New Roman" w:cs="Times New Roman"/>
          <w:szCs w:val="24"/>
        </w:rPr>
        <w:t>I tried the am CDAP</w:t>
      </w:r>
      <w:r w:rsidR="0052125A" w:rsidRPr="00E869A4">
        <w:rPr>
          <w:rFonts w:ascii="Times New Roman" w:hAnsi="Times New Roman" w:cs="Times New Roman"/>
          <w:szCs w:val="24"/>
        </w:rPr>
        <w:t xml:space="preserve"> </w:t>
      </w:r>
      <w:r w:rsidRPr="00E869A4">
        <w:rPr>
          <w:rFonts w:ascii="Times New Roman" w:eastAsia="Times New Roman" w:hAnsi="Times New Roman" w:cs="Times New Roman"/>
          <w:szCs w:val="24"/>
        </w:rPr>
        <w:t>… [but that programme] don’t provide the medication that I want, so I have to buy it over the counter. That is a concern because it costs a lot o</w:t>
      </w:r>
      <w:r w:rsidR="0052125A" w:rsidRPr="00E869A4">
        <w:rPr>
          <w:rFonts w:ascii="Times New Roman" w:eastAsia="Times New Roman" w:hAnsi="Times New Roman" w:cs="Times New Roman"/>
          <w:szCs w:val="24"/>
        </w:rPr>
        <w:t>f money: it costs me ah fortune.</w:t>
      </w:r>
      <w:r w:rsidR="00C305D5" w:rsidRPr="00E869A4">
        <w:rPr>
          <w:rFonts w:ascii="Times New Roman" w:hAnsi="Times New Roman" w:cs="Times New Roman"/>
          <w:szCs w:val="24"/>
        </w:rPr>
        <w:t>”</w:t>
      </w:r>
    </w:p>
    <w:p w14:paraId="444C6C6A" w14:textId="77777777" w:rsidR="003B0601" w:rsidRPr="00E869A4" w:rsidRDefault="003B0601" w:rsidP="00140649">
      <w:pPr>
        <w:autoSpaceDE w:val="0"/>
        <w:autoSpaceDN w:val="0"/>
        <w:adjustRightInd w:val="0"/>
        <w:spacing w:line="240" w:lineRule="auto"/>
        <w:ind w:left="567" w:firstLine="0"/>
        <w:rPr>
          <w:rFonts w:ascii="Times New Roman" w:hAnsi="Times New Roman" w:cs="Times New Roman"/>
          <w:b/>
          <w:szCs w:val="24"/>
        </w:rPr>
      </w:pPr>
    </w:p>
    <w:p w14:paraId="006AC7D0" w14:textId="41D76412" w:rsidR="00725205" w:rsidRPr="00E869A4" w:rsidRDefault="00725205" w:rsidP="0014064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i/>
          <w:szCs w:val="24"/>
        </w:rPr>
        <w:t>Rebecca</w:t>
      </w:r>
      <w:r w:rsidRPr="00E869A4">
        <w:rPr>
          <w:rFonts w:ascii="Times New Roman" w:hAnsi="Times New Roman" w:cs="Times New Roman"/>
          <w:szCs w:val="24"/>
        </w:rPr>
        <w:t xml:space="preserve">: </w:t>
      </w:r>
      <w:r w:rsidR="00C305D5" w:rsidRPr="00E869A4">
        <w:rPr>
          <w:rFonts w:ascii="Times New Roman" w:hAnsi="Times New Roman" w:cs="Times New Roman"/>
          <w:szCs w:val="24"/>
        </w:rPr>
        <w:t>“</w:t>
      </w:r>
      <w:r w:rsidRPr="00E869A4">
        <w:rPr>
          <w:rFonts w:ascii="Times New Roman" w:eastAsia="Times New Roman" w:hAnsi="Times New Roman" w:cs="Times New Roman"/>
          <w:szCs w:val="24"/>
        </w:rPr>
        <w:t>… every time I full ah supply which is about every month … it costs me about $1200 TT</w:t>
      </w:r>
      <w:r w:rsidR="00950AF9" w:rsidRPr="00E869A4">
        <w:rPr>
          <w:rFonts w:ascii="Times New Roman" w:eastAsia="Times New Roman" w:hAnsi="Times New Roman" w:cs="Times New Roman"/>
          <w:szCs w:val="24"/>
        </w:rPr>
        <w:t>D</w:t>
      </w:r>
      <w:r w:rsidR="00712764"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0D70DA"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(i.e. about </w:t>
      </w:r>
      <w:r w:rsidR="000D70DA"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120)</w:t>
      </w:r>
      <w:r w:rsidR="00C305D5" w:rsidRPr="00E869A4">
        <w:rPr>
          <w:rFonts w:ascii="Times New Roman" w:eastAsia="Times New Roman" w:hAnsi="Times New Roman" w:cs="Times New Roman"/>
          <w:szCs w:val="24"/>
        </w:rPr>
        <w:t>.”</w:t>
      </w:r>
    </w:p>
    <w:p w14:paraId="1B803641" w14:textId="77777777" w:rsidR="00725205" w:rsidRPr="00E869A4" w:rsidRDefault="00725205" w:rsidP="007B2B49">
      <w:pPr>
        <w:autoSpaceDE w:val="0"/>
        <w:autoSpaceDN w:val="0"/>
        <w:adjustRightInd w:val="0"/>
        <w:spacing w:line="240" w:lineRule="auto"/>
        <w:ind w:left="567" w:firstLine="0"/>
        <w:rPr>
          <w:rFonts w:ascii="Times New Roman" w:hAnsi="Times New Roman" w:cs="Times New Roman"/>
          <w:szCs w:val="24"/>
        </w:rPr>
      </w:pPr>
    </w:p>
    <w:p w14:paraId="20AE1E3A" w14:textId="01E8752F"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The Druman family seemed to be able to manage the cost of care provision until an unfortunate series of events occurred in which Mr. Druman mismanaged his life’s savings</w:t>
      </w:r>
      <w:r w:rsidR="004326E1" w:rsidRPr="00E869A4">
        <w:rPr>
          <w:rFonts w:ascii="Times New Roman" w:hAnsi="Times New Roman" w:cs="Times New Roman"/>
          <w:szCs w:val="24"/>
        </w:rPr>
        <w:t>. (FCG) Timothy explained:</w:t>
      </w:r>
      <w:r w:rsidRPr="00E869A4">
        <w:rPr>
          <w:rFonts w:ascii="Times New Roman" w:hAnsi="Times New Roman" w:cs="Times New Roman"/>
          <w:szCs w:val="24"/>
        </w:rPr>
        <w:t xml:space="preserve"> </w:t>
      </w:r>
    </w:p>
    <w:p w14:paraId="3A142AFF" w14:textId="68B2420A" w:rsidR="00725205" w:rsidRPr="00E869A4" w:rsidRDefault="00725205" w:rsidP="0014064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lastRenderedPageBreak/>
        <w:t>Well that is a touchy area. I just went through a lil crisis with him. He complain about my handling his finances so I left it to him and he end up giving away all his money</w:t>
      </w:r>
      <w:r w:rsidR="00140649" w:rsidRPr="00E869A4">
        <w:rPr>
          <w:rFonts w:ascii="Times New Roman" w:hAnsi="Times New Roman" w:cs="Times New Roman"/>
          <w:szCs w:val="24"/>
        </w:rPr>
        <w:t xml:space="preserve"> </w:t>
      </w:r>
      <w:r w:rsidRPr="00E869A4">
        <w:rPr>
          <w:rFonts w:ascii="Times New Roman" w:eastAsia="Times New Roman" w:hAnsi="Times New Roman" w:cs="Times New Roman"/>
          <w:szCs w:val="24"/>
        </w:rPr>
        <w:t xml:space="preserve">… I never argue with him yuh know … He called me and told me he want me to help him. So I say, </w:t>
      </w:r>
      <w:r w:rsidR="000D70DA"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Well ok, well let me go and see what happened</w:t>
      </w:r>
      <w:r w:rsidR="000D70DA"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checked all the accounts and I say, </w:t>
      </w:r>
      <w:r w:rsidR="00C305D5"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You realise it’s all gone? … So, you ok if I take back charge of it?</w:t>
      </w:r>
      <w:r w:rsidR="00C305D5"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He say </w:t>
      </w:r>
      <w:r w:rsidR="000D70DA"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Yes</w:t>
      </w:r>
      <w:r w:rsidR="000D70DA" w:rsidRPr="00E869A4">
        <w:rPr>
          <w:rFonts w:ascii="Times New Roman" w:eastAsia="Times New Roman" w:hAnsi="Times New Roman" w:cs="Times New Roman"/>
          <w:szCs w:val="24"/>
        </w:rPr>
        <w:t>’</w:t>
      </w:r>
      <w:r w:rsidR="004326E1" w:rsidRPr="00E869A4">
        <w:rPr>
          <w:rFonts w:ascii="Times New Roman" w:eastAsia="Times New Roman" w:hAnsi="Times New Roman" w:cs="Times New Roman"/>
          <w:szCs w:val="24"/>
        </w:rPr>
        <w:t>.</w:t>
      </w:r>
      <w:r w:rsidR="00C305D5" w:rsidRPr="00E869A4">
        <w:rPr>
          <w:rFonts w:ascii="Times New Roman" w:eastAsia="Times New Roman" w:hAnsi="Times New Roman" w:cs="Times New Roman"/>
          <w:szCs w:val="24"/>
        </w:rPr>
        <w:t xml:space="preserve"> </w:t>
      </w:r>
    </w:p>
    <w:p w14:paraId="32C24643"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 </w:t>
      </w:r>
    </w:p>
    <w:p w14:paraId="620E5912" w14:textId="7E5CC97A"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Thankfully, Mr. Druman was in receipt of a monthly pension and Timothy still received some financial support from his brother-in-law (Winston). Winston contributed to Mr. Druman</w:t>
      </w:r>
      <w:r w:rsidRPr="00E869A4">
        <w:rPr>
          <w:rFonts w:ascii="Times New Roman" w:eastAsia="Times New Roman" w:hAnsi="Times New Roman" w:cs="Times New Roman"/>
          <w:szCs w:val="24"/>
        </w:rPr>
        <w:t>’s care even though his wife (Mr. Druman’s daughter) Hazel died. But despite Winston’s support and Timothy’s efforts, one of the Druman’s paid care workers (Mel</w:t>
      </w:r>
      <w:r w:rsidR="00B446E6" w:rsidRPr="00E869A4">
        <w:rPr>
          <w:rFonts w:ascii="Times New Roman" w:eastAsia="Times New Roman" w:hAnsi="Times New Roman" w:cs="Times New Roman"/>
          <w:szCs w:val="24"/>
        </w:rPr>
        <w:t>issa) suspected that the Druman</w:t>
      </w:r>
      <w:r w:rsidRPr="00E869A4">
        <w:rPr>
          <w:rFonts w:ascii="Times New Roman" w:eastAsia="Times New Roman" w:hAnsi="Times New Roman" w:cs="Times New Roman"/>
          <w:szCs w:val="24"/>
        </w:rPr>
        <w:t>s still struggled to cope financially</w:t>
      </w:r>
      <w:r w:rsidR="00B446E6" w:rsidRPr="00E869A4">
        <w:rPr>
          <w:rFonts w:ascii="Times New Roman" w:eastAsia="Times New Roman" w:hAnsi="Times New Roman" w:cs="Times New Roman"/>
          <w:szCs w:val="24"/>
        </w:rPr>
        <w:t>:</w:t>
      </w:r>
    </w:p>
    <w:p w14:paraId="5B7BF47C"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3D5F16EF" w14:textId="14E2BEA8" w:rsidR="00725205" w:rsidRPr="00E869A4" w:rsidRDefault="00725205" w:rsidP="004326E1">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I think that he [Timothy] might be trying to save money and I have volunteered to [provide care] for no money. But I feel like it</w:t>
      </w:r>
      <w:r w:rsidRPr="00E869A4">
        <w:rPr>
          <w:rFonts w:ascii="Times New Roman" w:eastAsia="Times New Roman" w:hAnsi="Times New Roman" w:cs="Times New Roman"/>
          <w:szCs w:val="24"/>
        </w:rPr>
        <w:t>’s one of those situations where even though you volunteer and the person say yes, they feel bad to not pay you</w:t>
      </w:r>
      <w:r w:rsidR="000D70DA"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so they always end up paying you. So then, I’m always ending up causing him not to save</w:t>
      </w:r>
      <w:r w:rsidR="000D70DA"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because even though I volunteer</w:t>
      </w:r>
      <w:r w:rsidR="000D70DA"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he feels he has to pay me … there’s this cycle so I’m like</w:t>
      </w:r>
      <w:r w:rsidR="004326E1"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 let me let it be, and let him save money, and if he really </w:t>
      </w:r>
      <w:proofErr w:type="spellStart"/>
      <w:r w:rsidRPr="00E869A4">
        <w:rPr>
          <w:rFonts w:ascii="Times New Roman" w:eastAsia="Times New Roman" w:hAnsi="Times New Roman" w:cs="Times New Roman"/>
          <w:szCs w:val="24"/>
        </w:rPr>
        <w:t>really</w:t>
      </w:r>
      <w:proofErr w:type="spellEnd"/>
      <w:r w:rsidRPr="00E869A4">
        <w:rPr>
          <w:rFonts w:ascii="Times New Roman" w:eastAsia="Times New Roman" w:hAnsi="Times New Roman" w:cs="Times New Roman"/>
          <w:szCs w:val="24"/>
        </w:rPr>
        <w:t xml:space="preserve"> needs me, he knows that he can call me</w:t>
      </w:r>
      <w:r w:rsidR="000D70DA" w:rsidRPr="00E869A4">
        <w:rPr>
          <w:rFonts w:ascii="Times New Roman" w:eastAsia="Times New Roman" w:hAnsi="Times New Roman" w:cs="Times New Roman"/>
          <w:szCs w:val="24"/>
        </w:rPr>
        <w:t>.</w:t>
      </w:r>
    </w:p>
    <w:p w14:paraId="03FF9928"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7FA34E32" w14:textId="3EF7F545" w:rsidR="00725205" w:rsidRPr="00E869A4" w:rsidRDefault="00725205" w:rsidP="0031040A">
      <w:pPr>
        <w:pStyle w:val="Heading5"/>
        <w:rPr>
          <w:color w:val="auto"/>
        </w:rPr>
      </w:pPr>
      <w:r w:rsidRPr="00E869A4">
        <w:rPr>
          <w:color w:val="auto"/>
        </w:rPr>
        <w:t xml:space="preserve">Finding </w:t>
      </w:r>
      <w:r w:rsidR="00023BA2" w:rsidRPr="00E869A4">
        <w:rPr>
          <w:color w:val="auto"/>
        </w:rPr>
        <w:t>s</w:t>
      </w:r>
      <w:r w:rsidRPr="00E869A4">
        <w:rPr>
          <w:color w:val="auto"/>
        </w:rPr>
        <w:t xml:space="preserve">uitable </w:t>
      </w:r>
      <w:r w:rsidR="00023BA2" w:rsidRPr="00E869A4">
        <w:rPr>
          <w:color w:val="auto"/>
        </w:rPr>
        <w:t>p</w:t>
      </w:r>
      <w:r w:rsidRPr="00E869A4">
        <w:rPr>
          <w:color w:val="auto"/>
        </w:rPr>
        <w:t xml:space="preserve">aid </w:t>
      </w:r>
      <w:r w:rsidR="003957F8" w:rsidRPr="00E869A4">
        <w:rPr>
          <w:color w:val="auto"/>
        </w:rPr>
        <w:t>care worker</w:t>
      </w:r>
      <w:r w:rsidRPr="00E869A4">
        <w:rPr>
          <w:color w:val="auto"/>
        </w:rPr>
        <w:t>s</w:t>
      </w:r>
    </w:p>
    <w:p w14:paraId="36FBDCFC" w14:textId="77777777" w:rsidR="00725205" w:rsidRPr="00E869A4" w:rsidRDefault="00725205" w:rsidP="00B61191">
      <w:pPr>
        <w:ind w:left="567" w:firstLine="0"/>
      </w:pPr>
    </w:p>
    <w:p w14:paraId="77597D18" w14:textId="36A8532F" w:rsidR="00725205" w:rsidRPr="00E869A4" w:rsidRDefault="00725205" w:rsidP="00A35FF8">
      <w:pPr>
        <w:autoSpaceDE w:val="0"/>
        <w:autoSpaceDN w:val="0"/>
        <w:adjustRightInd w:val="0"/>
        <w:rPr>
          <w:rFonts w:ascii="Times New Roman" w:eastAsia="Times New Roman" w:hAnsi="Times New Roman" w:cs="Times New Roman"/>
          <w:szCs w:val="24"/>
        </w:rPr>
      </w:pPr>
      <w:r w:rsidRPr="00E869A4">
        <w:rPr>
          <w:rFonts w:ascii="Times New Roman" w:hAnsi="Times New Roman" w:cs="Times New Roman"/>
          <w:szCs w:val="24"/>
        </w:rPr>
        <w:t xml:space="preserve">In </w:t>
      </w:r>
      <w:r w:rsidR="008C76CE" w:rsidRPr="00E869A4">
        <w:rPr>
          <w:rFonts w:ascii="Times New Roman" w:eastAsiaTheme="majorEastAsia" w:hAnsi="Times New Roman" w:cs="Times New Roman"/>
          <w:bCs/>
          <w:szCs w:val="26"/>
        </w:rPr>
        <w:t>T&amp;T</w:t>
      </w:r>
      <w:r w:rsidRPr="00E869A4">
        <w:rPr>
          <w:rFonts w:ascii="Times New Roman" w:hAnsi="Times New Roman" w:cs="Times New Roman"/>
          <w:szCs w:val="24"/>
        </w:rPr>
        <w:t>, apart from a few private nursing agencies, the government</w:t>
      </w:r>
      <w:r w:rsidRPr="00E869A4">
        <w:rPr>
          <w:rFonts w:ascii="Times New Roman" w:eastAsia="Times New Roman" w:hAnsi="Times New Roman" w:cs="Times New Roman"/>
          <w:szCs w:val="24"/>
        </w:rPr>
        <w:t>’s GAPP</w:t>
      </w:r>
      <w:r w:rsidR="006B4E9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and the </w:t>
      </w:r>
      <w:r w:rsidR="008A58F8" w:rsidRPr="00E869A4">
        <w:rPr>
          <w:rFonts w:ascii="Times New Roman" w:eastAsia="Times New Roman" w:hAnsi="Times New Roman" w:cs="Times New Roman"/>
          <w:szCs w:val="24"/>
        </w:rPr>
        <w:t>THA</w:t>
      </w:r>
      <w:r w:rsidRPr="00E869A4">
        <w:rPr>
          <w:rFonts w:ascii="Times New Roman" w:eastAsia="Times New Roman" w:hAnsi="Times New Roman" w:cs="Times New Roman"/>
          <w:szCs w:val="24"/>
        </w:rPr>
        <w:t xml:space="preserve">’s </w:t>
      </w:r>
      <w:r w:rsidR="006B4E9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Golden Apple Partnership Programme</w:t>
      </w:r>
      <w:r w:rsidR="006B4E9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there is no system in place for recruiting and sourcing in-home care workers for older persons. Families either take care of their older relatives themselves, or hire persons in their community who may or may not be trained in geriatric care. This was a considerable challenge to the families who needed this kind of support.</w:t>
      </w:r>
    </w:p>
    <w:p w14:paraId="3F2101D9" w14:textId="77777777"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eastAsia="Times New Roman" w:hAnsi="Times New Roman" w:cs="Times New Roman"/>
          <w:szCs w:val="24"/>
        </w:rPr>
        <w:t xml:space="preserve"> </w:t>
      </w:r>
    </w:p>
    <w:p w14:paraId="7050ACAF" w14:textId="55014C3E"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As noted in the background to this study, the </w:t>
      </w:r>
      <w:r w:rsidR="00082BC5" w:rsidRPr="00E869A4">
        <w:rPr>
          <w:rFonts w:ascii="Times New Roman" w:hAnsi="Times New Roman" w:cs="Times New Roman"/>
          <w:szCs w:val="24"/>
        </w:rPr>
        <w:t>s</w:t>
      </w:r>
      <w:r w:rsidR="00DD03CE" w:rsidRPr="00E869A4">
        <w:rPr>
          <w:rFonts w:ascii="Times New Roman" w:hAnsi="Times New Roman" w:cs="Times New Roman"/>
          <w:szCs w:val="24"/>
        </w:rPr>
        <w:t>tate</w:t>
      </w:r>
      <w:r w:rsidRPr="00E869A4">
        <w:rPr>
          <w:rFonts w:ascii="Times New Roman" w:hAnsi="Times New Roman" w:cs="Times New Roman"/>
          <w:szCs w:val="24"/>
        </w:rPr>
        <w:t xml:space="preserve"> services were gen</w:t>
      </w:r>
      <w:r w:rsidR="004D1B0C" w:rsidRPr="00E869A4">
        <w:rPr>
          <w:rFonts w:ascii="Times New Roman" w:hAnsi="Times New Roman" w:cs="Times New Roman"/>
          <w:szCs w:val="24"/>
        </w:rPr>
        <w:t>erally under-resourced and had</w:t>
      </w:r>
      <w:r w:rsidRPr="00E869A4">
        <w:rPr>
          <w:rFonts w:ascii="Times New Roman" w:hAnsi="Times New Roman" w:cs="Times New Roman"/>
          <w:szCs w:val="24"/>
        </w:rPr>
        <w:t xml:space="preserve"> long waiting list</w:t>
      </w:r>
      <w:r w:rsidR="004D1B0C" w:rsidRPr="00E869A4">
        <w:rPr>
          <w:rFonts w:ascii="Times New Roman" w:hAnsi="Times New Roman" w:cs="Times New Roman"/>
          <w:szCs w:val="24"/>
        </w:rPr>
        <w:t>s</w:t>
      </w:r>
      <w:r w:rsidRPr="00E869A4">
        <w:rPr>
          <w:rFonts w:ascii="Times New Roman" w:hAnsi="Times New Roman" w:cs="Times New Roman"/>
          <w:szCs w:val="24"/>
        </w:rPr>
        <w:t>. The procedure for applying for the service and the method used to a</w:t>
      </w:r>
      <w:r w:rsidR="004D1B0C" w:rsidRPr="00E869A4">
        <w:rPr>
          <w:rFonts w:ascii="Times New Roman" w:hAnsi="Times New Roman" w:cs="Times New Roman"/>
          <w:szCs w:val="24"/>
        </w:rPr>
        <w:t>ssign caregivers to families were</w:t>
      </w:r>
      <w:r w:rsidRPr="00E869A4">
        <w:rPr>
          <w:rFonts w:ascii="Times New Roman" w:hAnsi="Times New Roman" w:cs="Times New Roman"/>
          <w:szCs w:val="24"/>
        </w:rPr>
        <w:t xml:space="preserve">, according to participants in this study and focus groups conducted by Cloos (2014) inconsistent and lacked transparency. Furthermore, GAPP </w:t>
      </w:r>
      <w:r w:rsidR="004D1B0C" w:rsidRPr="00E869A4">
        <w:rPr>
          <w:rFonts w:ascii="Times New Roman" w:hAnsi="Times New Roman" w:cs="Times New Roman"/>
          <w:szCs w:val="24"/>
        </w:rPr>
        <w:t>caregivers</w:t>
      </w:r>
      <w:r w:rsidRPr="00E869A4">
        <w:rPr>
          <w:rFonts w:ascii="Times New Roman" w:hAnsi="Times New Roman" w:cs="Times New Roman"/>
          <w:szCs w:val="24"/>
        </w:rPr>
        <w:t xml:space="preserve"> only worked during the </w:t>
      </w:r>
      <w:r w:rsidR="004D1B0C" w:rsidRPr="00E869A4">
        <w:rPr>
          <w:rFonts w:ascii="Times New Roman" w:hAnsi="Times New Roman" w:cs="Times New Roman"/>
          <w:szCs w:val="24"/>
        </w:rPr>
        <w:t>daytime</w:t>
      </w:r>
      <w:r w:rsidR="00082BC5" w:rsidRPr="00E869A4">
        <w:rPr>
          <w:rFonts w:ascii="Times New Roman" w:hAnsi="Times New Roman" w:cs="Times New Roman"/>
          <w:szCs w:val="24"/>
        </w:rPr>
        <w:t>,</w:t>
      </w:r>
      <w:r w:rsidRPr="00E869A4">
        <w:rPr>
          <w:rFonts w:ascii="Times New Roman" w:hAnsi="Times New Roman" w:cs="Times New Roman"/>
          <w:szCs w:val="24"/>
        </w:rPr>
        <w:t xml:space="preserve"> i.e. from 9am to 3pm. This did not suit the needs of some family caregivers (e.g. Mrs. Sanchez and Sheila) who were more interested in having paid in-home care support in the evening and/or </w:t>
      </w:r>
      <w:r w:rsidR="004D1B0C" w:rsidRPr="00E869A4">
        <w:rPr>
          <w:rFonts w:ascii="Times New Roman" w:hAnsi="Times New Roman" w:cs="Times New Roman"/>
          <w:szCs w:val="24"/>
        </w:rPr>
        <w:t>night</w:t>
      </w:r>
      <w:r w:rsidR="00A21D00" w:rsidRPr="00E869A4">
        <w:rPr>
          <w:rFonts w:ascii="Times New Roman" w:hAnsi="Times New Roman" w:cs="Times New Roman"/>
          <w:szCs w:val="24"/>
        </w:rPr>
        <w:t>-</w:t>
      </w:r>
      <w:r w:rsidR="004D1B0C" w:rsidRPr="00E869A4">
        <w:rPr>
          <w:rFonts w:ascii="Times New Roman" w:hAnsi="Times New Roman" w:cs="Times New Roman"/>
          <w:szCs w:val="24"/>
        </w:rPr>
        <w:t>time</w:t>
      </w:r>
      <w:r w:rsidRPr="00E869A4">
        <w:rPr>
          <w:rFonts w:ascii="Times New Roman" w:hAnsi="Times New Roman" w:cs="Times New Roman"/>
          <w:szCs w:val="24"/>
        </w:rPr>
        <w:t xml:space="preserve">. </w:t>
      </w:r>
    </w:p>
    <w:p w14:paraId="61FDA105" w14:textId="77777777" w:rsidR="00626B9C" w:rsidRPr="00E869A4" w:rsidRDefault="00626B9C" w:rsidP="00A35FF8">
      <w:pPr>
        <w:autoSpaceDE w:val="0"/>
        <w:autoSpaceDN w:val="0"/>
        <w:adjustRightInd w:val="0"/>
        <w:rPr>
          <w:rFonts w:ascii="Times New Roman" w:hAnsi="Times New Roman" w:cs="Times New Roman"/>
          <w:szCs w:val="24"/>
        </w:rPr>
      </w:pPr>
    </w:p>
    <w:p w14:paraId="5A1728F0" w14:textId="77777777" w:rsidR="00725205" w:rsidRPr="00E869A4" w:rsidRDefault="00725205" w:rsidP="00A35FF8">
      <w:pPr>
        <w:autoSpaceDE w:val="0"/>
        <w:autoSpaceDN w:val="0"/>
        <w:adjustRightInd w:val="0"/>
        <w:rPr>
          <w:rFonts w:ascii="Times New Roman" w:eastAsia="Times New Roman" w:hAnsi="Times New Roman" w:cs="Times New Roman"/>
          <w:szCs w:val="24"/>
        </w:rPr>
      </w:pPr>
      <w:r w:rsidRPr="00E869A4">
        <w:rPr>
          <w:rFonts w:ascii="Times New Roman" w:hAnsi="Times New Roman" w:cs="Times New Roman"/>
          <w:szCs w:val="24"/>
        </w:rPr>
        <w:lastRenderedPageBreak/>
        <w:t>Only Tanty Edna and Ms. Violet had a GAPP caregiver. Tanty Edna was able to obtain a caregiver and even switch caregivers, even though it was apparent that she was less dependent than other persons who were in greater need of the service. Her success in obtaining a GAPP caregiver was in large part due to the assistance Adelina obtained from one of her clients who worked in the GAPP agency. The person helped fast track Tanty</w:t>
      </w:r>
      <w:r w:rsidRPr="00E869A4">
        <w:rPr>
          <w:rFonts w:ascii="Times New Roman" w:eastAsia="Times New Roman" w:hAnsi="Times New Roman" w:cs="Times New Roman"/>
          <w:szCs w:val="24"/>
        </w:rPr>
        <w:t>’s application so that the waiting time was significantly less than what applicants like Timothy had to endure. Timothy shared the following experience:</w:t>
      </w:r>
    </w:p>
    <w:p w14:paraId="458A5D26" w14:textId="77777777" w:rsidR="00725205" w:rsidRPr="00E869A4" w:rsidRDefault="00725205" w:rsidP="00365FB9">
      <w:pPr>
        <w:autoSpaceDE w:val="0"/>
        <w:autoSpaceDN w:val="0"/>
        <w:adjustRightInd w:val="0"/>
        <w:spacing w:line="240" w:lineRule="auto"/>
        <w:ind w:left="567" w:firstLine="0"/>
        <w:rPr>
          <w:rFonts w:ascii="Times New Roman" w:eastAsia="Times New Roman" w:hAnsi="Times New Roman" w:cs="Times New Roman"/>
          <w:szCs w:val="24"/>
        </w:rPr>
      </w:pPr>
    </w:p>
    <w:p w14:paraId="68244C1A" w14:textId="0BF463B9" w:rsidR="00725205" w:rsidRPr="00E869A4" w:rsidRDefault="00725205" w:rsidP="00223EDF">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I</w:t>
      </w:r>
      <w:r w:rsidRPr="00E869A4">
        <w:rPr>
          <w:rFonts w:ascii="Times New Roman" w:eastAsia="Times New Roman" w:hAnsi="Times New Roman" w:cs="Times New Roman"/>
          <w:szCs w:val="24"/>
        </w:rPr>
        <w:t>’ve found where government helps in these scenarios</w:t>
      </w:r>
      <w:r w:rsidRPr="00E869A4">
        <w:rPr>
          <w:rFonts w:ascii="Times New Roman" w:hAnsi="Times New Roman" w:cs="Times New Roman"/>
          <w:szCs w:val="24"/>
        </w:rPr>
        <w:t xml:space="preserve"> </w:t>
      </w:r>
      <w:r w:rsidRPr="00E869A4">
        <w:rPr>
          <w:rFonts w:ascii="Times New Roman" w:eastAsia="Times New Roman" w:hAnsi="Times New Roman" w:cs="Times New Roman"/>
          <w:szCs w:val="24"/>
        </w:rPr>
        <w:t>…</w:t>
      </w:r>
      <w:r w:rsidRPr="00E869A4">
        <w:rPr>
          <w:rFonts w:ascii="Times New Roman" w:hAnsi="Times New Roman" w:cs="Times New Roman"/>
          <w:szCs w:val="24"/>
        </w:rPr>
        <w:t xml:space="preserve"> it</w:t>
      </w:r>
      <w:r w:rsidRPr="00E869A4">
        <w:rPr>
          <w:rFonts w:ascii="Times New Roman" w:eastAsia="Times New Roman" w:hAnsi="Times New Roman" w:cs="Times New Roman"/>
          <w:szCs w:val="24"/>
        </w:rPr>
        <w:t xml:space="preserve">’s almost like a friend and acquaintance thing yuh know. You have to really harass them </w:t>
      </w:r>
      <w:r w:rsidR="00F051A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to be banging on the door all the time</w:t>
      </w:r>
      <w:r w:rsidR="00F051A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you’re only going to do that if you’re desperate</w:t>
      </w:r>
      <w:r w:rsidRPr="00E869A4">
        <w:rPr>
          <w:rFonts w:ascii="Times New Roman" w:hAnsi="Times New Roman" w:cs="Times New Roman"/>
          <w:szCs w:val="24"/>
        </w:rPr>
        <w:t xml:space="preserve"> </w:t>
      </w:r>
      <w:r w:rsidRPr="00E869A4">
        <w:rPr>
          <w:rFonts w:ascii="Times New Roman" w:eastAsia="Times New Roman" w:hAnsi="Times New Roman" w:cs="Times New Roman"/>
          <w:szCs w:val="24"/>
        </w:rPr>
        <w:t>…</w:t>
      </w:r>
      <w:r w:rsidRPr="00E869A4">
        <w:rPr>
          <w:rFonts w:ascii="Times New Roman" w:hAnsi="Times New Roman" w:cs="Times New Roman"/>
          <w:szCs w:val="24"/>
        </w:rPr>
        <w:t xml:space="preserve"> I wasn</w:t>
      </w:r>
      <w:r w:rsidRPr="00E869A4">
        <w:rPr>
          <w:rFonts w:ascii="Times New Roman" w:eastAsia="Times New Roman" w:hAnsi="Times New Roman" w:cs="Times New Roman"/>
          <w:szCs w:val="24"/>
        </w:rPr>
        <w:t>’t desperate. So I went once, twice, and then I stop going</w:t>
      </w:r>
      <w:r w:rsidRPr="00E869A4">
        <w:rPr>
          <w:rFonts w:ascii="Times New Roman" w:hAnsi="Times New Roman" w:cs="Times New Roman"/>
          <w:szCs w:val="24"/>
        </w:rPr>
        <w:t xml:space="preserve"> </w:t>
      </w:r>
      <w:r w:rsidRPr="00E869A4">
        <w:rPr>
          <w:rFonts w:ascii="Times New Roman" w:eastAsia="Times New Roman" w:hAnsi="Times New Roman" w:cs="Times New Roman"/>
          <w:szCs w:val="24"/>
        </w:rPr>
        <w:t>… Well</w:t>
      </w:r>
      <w:r w:rsidR="00F051A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met the lady and I full out the form and submitted it</w:t>
      </w:r>
      <w:r w:rsidR="00F051A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I’ve never heard from them. But everybody told me you have to call them and go back and sit down and wait … </w:t>
      </w:r>
      <w:r w:rsidR="00F051A4" w:rsidRPr="00E869A4">
        <w:rPr>
          <w:rFonts w:ascii="Times New Roman" w:eastAsia="Times New Roman" w:hAnsi="Times New Roman" w:cs="Times New Roman"/>
          <w:szCs w:val="24"/>
        </w:rPr>
        <w:t>and so on … O</w:t>
      </w:r>
      <w:r w:rsidRPr="00E869A4">
        <w:rPr>
          <w:rFonts w:ascii="Times New Roman" w:eastAsia="Times New Roman" w:hAnsi="Times New Roman" w:cs="Times New Roman"/>
          <w:szCs w:val="24"/>
        </w:rPr>
        <w:t>ne of the risks you run with taking people from there is that you take what you get</w:t>
      </w:r>
      <w:r w:rsidR="00F051A4" w:rsidRPr="00E869A4">
        <w:rPr>
          <w:rFonts w:ascii="Times New Roman" w:eastAsia="Times New Roman" w:hAnsi="Times New Roman" w:cs="Times New Roman"/>
          <w:szCs w:val="24"/>
        </w:rPr>
        <w:t xml:space="preserve"> right</w:t>
      </w:r>
      <w:r w:rsidRPr="00E869A4">
        <w:rPr>
          <w:rFonts w:ascii="Times New Roman" w:eastAsia="Times New Roman" w:hAnsi="Times New Roman" w:cs="Times New Roman"/>
          <w:szCs w:val="24"/>
        </w:rPr>
        <w:t>, and then there’s always a story about what the people do and what they don’t do. But these ladies [I hired from my personal network]</w:t>
      </w:r>
      <w:r w:rsidR="00F051A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trust them ... I don’t worry about them. I’m comfortable: I’m willing to pay for that</w:t>
      </w:r>
      <w:r w:rsidR="00223EDF" w:rsidRPr="00E869A4">
        <w:rPr>
          <w:rFonts w:ascii="Times New Roman" w:eastAsia="Times New Roman" w:hAnsi="Times New Roman" w:cs="Times New Roman"/>
          <w:szCs w:val="24"/>
        </w:rPr>
        <w:t>.</w:t>
      </w:r>
    </w:p>
    <w:p w14:paraId="53885E5B" w14:textId="77777777" w:rsidR="00725205" w:rsidRPr="00E869A4" w:rsidRDefault="00725205" w:rsidP="00365FB9">
      <w:pPr>
        <w:autoSpaceDE w:val="0"/>
        <w:autoSpaceDN w:val="0"/>
        <w:adjustRightInd w:val="0"/>
        <w:spacing w:line="240" w:lineRule="auto"/>
        <w:ind w:left="567" w:firstLine="0"/>
        <w:rPr>
          <w:rFonts w:ascii="Times New Roman" w:eastAsia="Times New Roman" w:hAnsi="Times New Roman" w:cs="Times New Roman"/>
          <w:szCs w:val="24"/>
        </w:rPr>
      </w:pPr>
    </w:p>
    <w:p w14:paraId="3198ABE4" w14:textId="59D01453" w:rsidR="00725205" w:rsidRPr="00E869A4" w:rsidRDefault="00725205" w:rsidP="00A35FF8">
      <w:pPr>
        <w:autoSpaceDE w:val="0"/>
        <w:autoSpaceDN w:val="0"/>
        <w:adjustRightInd w:val="0"/>
        <w:rPr>
          <w:rFonts w:ascii="Times New Roman" w:eastAsia="Times New Roman" w:hAnsi="Times New Roman" w:cs="Times New Roman"/>
          <w:szCs w:val="24"/>
        </w:rPr>
      </w:pPr>
      <w:r w:rsidRPr="00E869A4">
        <w:rPr>
          <w:rFonts w:ascii="Times New Roman" w:eastAsia="Times New Roman" w:hAnsi="Times New Roman" w:cs="Times New Roman"/>
          <w:szCs w:val="24"/>
        </w:rPr>
        <w:t xml:space="preserve">Tanty </w:t>
      </w:r>
      <w:r w:rsidR="00D21DD4" w:rsidRPr="00E869A4">
        <w:rPr>
          <w:rFonts w:ascii="Times New Roman" w:eastAsia="Times New Roman" w:hAnsi="Times New Roman" w:cs="Times New Roman"/>
          <w:szCs w:val="24"/>
        </w:rPr>
        <w:t xml:space="preserve">Edna </w:t>
      </w:r>
      <w:r w:rsidRPr="00E869A4">
        <w:rPr>
          <w:rFonts w:ascii="Times New Roman" w:eastAsia="Times New Roman" w:hAnsi="Times New Roman" w:cs="Times New Roman"/>
          <w:szCs w:val="24"/>
        </w:rPr>
        <w:t xml:space="preserve">wasn’t satisfied with the work ethic of any of the GAPP caregivers she had. </w:t>
      </w:r>
      <w:r w:rsidR="00D21DD4" w:rsidRPr="00E869A4">
        <w:rPr>
          <w:rFonts w:ascii="Times New Roman" w:eastAsia="Times New Roman" w:hAnsi="Times New Roman" w:cs="Times New Roman"/>
          <w:szCs w:val="24"/>
        </w:rPr>
        <w:t xml:space="preserve">Her views corroborated Timothy’s sentiments. </w:t>
      </w:r>
      <w:r w:rsidR="00307803">
        <w:rPr>
          <w:rFonts w:ascii="Times New Roman" w:eastAsia="Times New Roman" w:hAnsi="Times New Roman" w:cs="Times New Roman"/>
          <w:szCs w:val="24"/>
        </w:rPr>
        <w:t>She</w:t>
      </w:r>
      <w:r w:rsidRPr="00E869A4">
        <w:rPr>
          <w:rFonts w:ascii="Times New Roman" w:eastAsia="Times New Roman" w:hAnsi="Times New Roman" w:cs="Times New Roman"/>
          <w:szCs w:val="24"/>
        </w:rPr>
        <w:t xml:space="preserve"> complained that </w:t>
      </w:r>
      <w:r w:rsidR="0010747D" w:rsidRPr="00E869A4">
        <w:rPr>
          <w:rFonts w:ascii="Times New Roman" w:eastAsia="Times New Roman" w:hAnsi="Times New Roman" w:cs="Times New Roman"/>
          <w:szCs w:val="24"/>
        </w:rPr>
        <w:t>al</w:t>
      </w:r>
      <w:r w:rsidRPr="00E869A4">
        <w:rPr>
          <w:rFonts w:ascii="Times New Roman" w:eastAsia="Times New Roman" w:hAnsi="Times New Roman" w:cs="Times New Roman"/>
          <w:szCs w:val="24"/>
        </w:rPr>
        <w:t xml:space="preserve">though </w:t>
      </w:r>
      <w:r w:rsidR="00D21DD4" w:rsidRPr="00E869A4">
        <w:rPr>
          <w:rFonts w:ascii="Times New Roman" w:eastAsia="Times New Roman" w:hAnsi="Times New Roman" w:cs="Times New Roman"/>
          <w:szCs w:val="24"/>
        </w:rPr>
        <w:t xml:space="preserve">her GAPP caregiver </w:t>
      </w:r>
      <w:r w:rsidRPr="00E869A4">
        <w:rPr>
          <w:rFonts w:ascii="Times New Roman" w:eastAsia="Times New Roman" w:hAnsi="Times New Roman" w:cs="Times New Roman"/>
          <w:szCs w:val="24"/>
        </w:rPr>
        <w:t xml:space="preserve">Kasey had a relatively light workload </w:t>
      </w:r>
      <w:r w:rsidR="00D21DD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she didn’t have to help Tanty with personal care but only had to help her with light housework such as washing, sweeping and purchasing items in the shop nearby</w:t>
      </w:r>
      <w:r w:rsidR="00D21DD4" w:rsidRPr="00E869A4">
        <w:rPr>
          <w:rFonts w:ascii="Times New Roman" w:eastAsia="Times New Roman" w:hAnsi="Times New Roman" w:cs="Times New Roman"/>
          <w:szCs w:val="24"/>
        </w:rPr>
        <w:t>)</w:t>
      </w:r>
      <w:r w:rsidR="0010747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Kasey usually arrived late and left early with</w:t>
      </w:r>
      <w:r w:rsidR="00DB417F" w:rsidRPr="00E869A4">
        <w:rPr>
          <w:rFonts w:ascii="Times New Roman" w:eastAsia="Times New Roman" w:hAnsi="Times New Roman" w:cs="Times New Roman"/>
          <w:szCs w:val="24"/>
        </w:rPr>
        <w:t>out</w:t>
      </w:r>
      <w:r w:rsidRPr="00E869A4">
        <w:rPr>
          <w:rFonts w:ascii="Times New Roman" w:eastAsia="Times New Roman" w:hAnsi="Times New Roman" w:cs="Times New Roman"/>
          <w:szCs w:val="24"/>
        </w:rPr>
        <w:t xml:space="preserve"> completing her duties. </w:t>
      </w:r>
      <w:r w:rsidRPr="00E869A4">
        <w:rPr>
          <w:rFonts w:ascii="Times New Roman" w:hAnsi="Times New Roman" w:cs="Times New Roman"/>
          <w:szCs w:val="24"/>
        </w:rPr>
        <w:t xml:space="preserve">The previous </w:t>
      </w:r>
      <w:r w:rsidR="00D21DD4" w:rsidRPr="00E869A4">
        <w:rPr>
          <w:rFonts w:ascii="Times New Roman" w:hAnsi="Times New Roman" w:cs="Times New Roman"/>
          <w:szCs w:val="24"/>
        </w:rPr>
        <w:t xml:space="preserve">GAPP </w:t>
      </w:r>
      <w:r w:rsidRPr="00E869A4">
        <w:rPr>
          <w:rFonts w:ascii="Times New Roman" w:hAnsi="Times New Roman" w:cs="Times New Roman"/>
          <w:szCs w:val="24"/>
        </w:rPr>
        <w:t xml:space="preserve">caregiver (Patricia) would also leave early, and told Tanty that she did so because she had another job to go to. Tanty reported </w:t>
      </w:r>
      <w:r w:rsidR="00D21DD4" w:rsidRPr="00E869A4">
        <w:rPr>
          <w:rFonts w:ascii="Times New Roman" w:hAnsi="Times New Roman" w:cs="Times New Roman"/>
          <w:szCs w:val="24"/>
        </w:rPr>
        <w:t>Patricia’s</w:t>
      </w:r>
      <w:r w:rsidRPr="00E869A4">
        <w:rPr>
          <w:rFonts w:ascii="Times New Roman" w:hAnsi="Times New Roman" w:cs="Times New Roman"/>
          <w:szCs w:val="24"/>
        </w:rPr>
        <w:t xml:space="preserve"> behaviour to the GAPP field supervisor who confronted </w:t>
      </w:r>
      <w:r w:rsidR="00D21DD4" w:rsidRPr="00E869A4">
        <w:rPr>
          <w:rFonts w:ascii="Times New Roman" w:hAnsi="Times New Roman" w:cs="Times New Roman"/>
          <w:szCs w:val="24"/>
        </w:rPr>
        <w:t>Patricia</w:t>
      </w:r>
      <w:r w:rsidRPr="00E869A4">
        <w:rPr>
          <w:rFonts w:ascii="Times New Roman" w:hAnsi="Times New Roman" w:cs="Times New Roman"/>
          <w:szCs w:val="24"/>
        </w:rPr>
        <w:t xml:space="preserve"> and informed her that her salary would be halved as a result. Patricia was eventually replaced with Kasey. </w:t>
      </w:r>
      <w:r w:rsidR="00D21DD4" w:rsidRPr="00E869A4">
        <w:rPr>
          <w:rFonts w:ascii="Times New Roman" w:hAnsi="Times New Roman" w:cs="Times New Roman"/>
          <w:szCs w:val="24"/>
        </w:rPr>
        <w:t xml:space="preserve"> </w:t>
      </w:r>
      <w:r w:rsidRPr="00E869A4">
        <w:rPr>
          <w:rFonts w:ascii="Times New Roman" w:eastAsia="Times New Roman" w:hAnsi="Times New Roman" w:cs="Times New Roman"/>
          <w:szCs w:val="24"/>
        </w:rPr>
        <w:t xml:space="preserve">It is because of these inefficiencies that </w:t>
      </w:r>
      <w:r w:rsidR="00D21DD4" w:rsidRPr="00E869A4">
        <w:rPr>
          <w:rFonts w:ascii="Times New Roman" w:eastAsia="Times New Roman" w:hAnsi="Times New Roman" w:cs="Times New Roman"/>
          <w:szCs w:val="24"/>
        </w:rPr>
        <w:t xml:space="preserve">families like the Drumans, were reluctant to use this </w:t>
      </w:r>
      <w:r w:rsidR="0010747D" w:rsidRPr="00E869A4">
        <w:rPr>
          <w:rFonts w:ascii="Times New Roman" w:eastAsia="Times New Roman" w:hAnsi="Times New Roman" w:cs="Times New Roman"/>
          <w:szCs w:val="24"/>
        </w:rPr>
        <w:t>s</w:t>
      </w:r>
      <w:r w:rsidR="00D21DD4" w:rsidRPr="00E869A4">
        <w:rPr>
          <w:rFonts w:ascii="Times New Roman" w:eastAsia="Times New Roman" w:hAnsi="Times New Roman" w:cs="Times New Roman"/>
          <w:szCs w:val="24"/>
        </w:rPr>
        <w:t xml:space="preserve">tate service, and resorted to making </w:t>
      </w:r>
      <w:r w:rsidR="00D21DD4" w:rsidRPr="00E869A4">
        <w:rPr>
          <w:rFonts w:ascii="Times New Roman" w:eastAsia="Times New Roman" w:hAnsi="Times New Roman" w:cs="Times New Roman"/>
          <w:i/>
          <w:szCs w:val="24"/>
        </w:rPr>
        <w:t>ad hoc</w:t>
      </w:r>
      <w:r w:rsidR="00D21DD4" w:rsidRPr="00E869A4">
        <w:rPr>
          <w:rFonts w:ascii="Times New Roman" w:eastAsia="Times New Roman" w:hAnsi="Times New Roman" w:cs="Times New Roman"/>
          <w:szCs w:val="24"/>
        </w:rPr>
        <w:t xml:space="preserve"> </w:t>
      </w:r>
      <w:r w:rsidR="000F5489" w:rsidRPr="00E869A4">
        <w:rPr>
          <w:rFonts w:ascii="Times New Roman" w:eastAsia="Times New Roman" w:hAnsi="Times New Roman" w:cs="Times New Roman"/>
          <w:szCs w:val="24"/>
        </w:rPr>
        <w:t xml:space="preserve">care </w:t>
      </w:r>
      <w:r w:rsidR="00D21DD4" w:rsidRPr="00E869A4">
        <w:rPr>
          <w:rFonts w:ascii="Times New Roman" w:eastAsia="Times New Roman" w:hAnsi="Times New Roman" w:cs="Times New Roman"/>
          <w:szCs w:val="24"/>
        </w:rPr>
        <w:t xml:space="preserve">arrangements privately. </w:t>
      </w:r>
    </w:p>
    <w:p w14:paraId="490713B5" w14:textId="77777777" w:rsidR="00725205" w:rsidRPr="00E869A4" w:rsidRDefault="00725205" w:rsidP="00A35FF8">
      <w:pPr>
        <w:autoSpaceDE w:val="0"/>
        <w:autoSpaceDN w:val="0"/>
        <w:adjustRightInd w:val="0"/>
        <w:rPr>
          <w:rFonts w:ascii="Times New Roman" w:hAnsi="Times New Roman" w:cs="Times New Roman"/>
          <w:szCs w:val="24"/>
        </w:rPr>
      </w:pPr>
    </w:p>
    <w:p w14:paraId="2F8BE457" w14:textId="4EAB3AE9" w:rsidR="00725205" w:rsidRPr="00E869A4" w:rsidRDefault="006A5FDB"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However,</w:t>
      </w:r>
      <w:r w:rsidR="00725205" w:rsidRPr="00E869A4">
        <w:rPr>
          <w:rFonts w:ascii="Times New Roman" w:hAnsi="Times New Roman" w:cs="Times New Roman"/>
          <w:szCs w:val="24"/>
        </w:rPr>
        <w:t xml:space="preserve"> not all GAPP caregivers provided poor service. Like Tanty, Ms. Violet received help fr</w:t>
      </w:r>
      <w:r w:rsidRPr="00E869A4">
        <w:rPr>
          <w:rFonts w:ascii="Times New Roman" w:hAnsi="Times New Roman" w:cs="Times New Roman"/>
          <w:szCs w:val="24"/>
        </w:rPr>
        <w:t xml:space="preserve">om a GAPP caregiver (Lisa). Ms. Violet </w:t>
      </w:r>
      <w:r w:rsidR="00725205" w:rsidRPr="00E869A4">
        <w:rPr>
          <w:rFonts w:ascii="Times New Roman" w:hAnsi="Times New Roman" w:cs="Times New Roman"/>
          <w:szCs w:val="24"/>
        </w:rPr>
        <w:t>became eligible for this service when she became a centenarian. Marian (Ms. Violet</w:t>
      </w:r>
      <w:r w:rsidR="00725205" w:rsidRPr="00E869A4">
        <w:rPr>
          <w:rFonts w:ascii="Times New Roman" w:eastAsia="Times New Roman" w:hAnsi="Times New Roman" w:cs="Times New Roman"/>
          <w:szCs w:val="24"/>
        </w:rPr>
        <w:t>’s primary family caregiver) was very pleased with Lisa’s work ethic</w:t>
      </w:r>
      <w:r w:rsidRPr="00E869A4">
        <w:rPr>
          <w:rFonts w:ascii="Times New Roman" w:eastAsia="Times New Roman" w:hAnsi="Times New Roman" w:cs="Times New Roman"/>
          <w:szCs w:val="24"/>
        </w:rPr>
        <w:t>,</w:t>
      </w:r>
      <w:r w:rsidR="00725205" w:rsidRPr="00E869A4">
        <w:rPr>
          <w:rFonts w:ascii="Times New Roman" w:eastAsia="Times New Roman" w:hAnsi="Times New Roman" w:cs="Times New Roman"/>
          <w:szCs w:val="24"/>
        </w:rPr>
        <w:t xml:space="preserve"> but was unhappy with the service she received from her informal care</w:t>
      </w:r>
      <w:r w:rsidR="00DE0E82"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worker</w:t>
      </w:r>
      <w:r w:rsidR="00725205" w:rsidRPr="00E869A4">
        <w:rPr>
          <w:rFonts w:ascii="Times New Roman" w:eastAsia="Times New Roman" w:hAnsi="Times New Roman" w:cs="Times New Roman"/>
          <w:szCs w:val="24"/>
        </w:rPr>
        <w:t xml:space="preserve"> Onella. This was because the care provided by Onella was inconsistent</w:t>
      </w:r>
      <w:r w:rsidRPr="00E869A4">
        <w:rPr>
          <w:rFonts w:ascii="Times New Roman" w:eastAsia="Times New Roman" w:hAnsi="Times New Roman" w:cs="Times New Roman"/>
          <w:szCs w:val="24"/>
        </w:rPr>
        <w:t>,</w:t>
      </w:r>
      <w:r w:rsidR="00725205" w:rsidRPr="00E869A4">
        <w:rPr>
          <w:rFonts w:ascii="Times New Roman" w:eastAsia="Times New Roman" w:hAnsi="Times New Roman" w:cs="Times New Roman"/>
          <w:szCs w:val="24"/>
        </w:rPr>
        <w:t xml:space="preserve"> and her relationship with Marian was fraught with conflict and intrigue. </w:t>
      </w:r>
    </w:p>
    <w:p w14:paraId="24C3B26D" w14:textId="77777777" w:rsidR="00725205" w:rsidRPr="00E869A4" w:rsidRDefault="00725205" w:rsidP="00A35FF8">
      <w:pPr>
        <w:autoSpaceDE w:val="0"/>
        <w:autoSpaceDN w:val="0"/>
        <w:adjustRightInd w:val="0"/>
        <w:rPr>
          <w:rFonts w:ascii="Times New Roman" w:hAnsi="Times New Roman" w:cs="Times New Roman"/>
          <w:szCs w:val="24"/>
        </w:rPr>
      </w:pPr>
    </w:p>
    <w:p w14:paraId="02A0CAC1" w14:textId="3E7D12C6" w:rsidR="00725205" w:rsidRPr="00E869A4" w:rsidRDefault="00725205" w:rsidP="00A35FF8">
      <w:pPr>
        <w:autoSpaceDE w:val="0"/>
        <w:autoSpaceDN w:val="0"/>
        <w:adjustRightInd w:val="0"/>
        <w:rPr>
          <w:rFonts w:ascii="Times New Roman" w:eastAsia="Times New Roman" w:hAnsi="Times New Roman" w:cs="Times New Roman"/>
          <w:szCs w:val="24"/>
        </w:rPr>
      </w:pPr>
      <w:r w:rsidRPr="00E869A4">
        <w:rPr>
          <w:rFonts w:ascii="Times New Roman" w:hAnsi="Times New Roman" w:cs="Times New Roman"/>
          <w:szCs w:val="24"/>
        </w:rPr>
        <w:lastRenderedPageBreak/>
        <w:t xml:space="preserve">Onella was referred to the family by a mutual acquaintance. She was a migrant caregiver who came from another Caribbean country. Initially, she provided what Marian believed was excellent care to Ms. Violet. But eventually, Marian found her to be less diligent and the relationship between them became increasingly tense. </w:t>
      </w:r>
      <w:r w:rsidR="008156FD" w:rsidRPr="00E869A4">
        <w:rPr>
          <w:rFonts w:ascii="Times New Roman" w:hAnsi="Times New Roman" w:cs="Times New Roman"/>
          <w:szCs w:val="24"/>
        </w:rPr>
        <w:t>Alt</w:t>
      </w:r>
      <w:r w:rsidRPr="00E869A4">
        <w:rPr>
          <w:rFonts w:ascii="Times New Roman" w:hAnsi="Times New Roman" w:cs="Times New Roman"/>
          <w:szCs w:val="24"/>
        </w:rPr>
        <w:t>hough she was very dissatisfied wit</w:t>
      </w:r>
      <w:r w:rsidR="008156FD" w:rsidRPr="00E869A4">
        <w:rPr>
          <w:rFonts w:ascii="Times New Roman" w:hAnsi="Times New Roman" w:cs="Times New Roman"/>
          <w:szCs w:val="24"/>
        </w:rPr>
        <w:t xml:space="preserve">h Onella’s performance, it was </w:t>
      </w:r>
      <w:r w:rsidRPr="00E869A4">
        <w:rPr>
          <w:rFonts w:ascii="Times New Roman" w:hAnsi="Times New Roman" w:cs="Times New Roman"/>
          <w:szCs w:val="24"/>
        </w:rPr>
        <w:t>difficult for Marian to terminate Onella</w:t>
      </w:r>
      <w:r w:rsidRPr="00E869A4">
        <w:rPr>
          <w:rFonts w:ascii="Times New Roman" w:eastAsia="Times New Roman" w:hAnsi="Times New Roman" w:cs="Times New Roman"/>
          <w:szCs w:val="24"/>
        </w:rPr>
        <w:t xml:space="preserve">’s services as she had become very involved in Onella’s life. Marian helped care for Onella’s </w:t>
      </w:r>
      <w:r w:rsidR="008156FD" w:rsidRPr="00E869A4">
        <w:rPr>
          <w:rFonts w:ascii="Times New Roman" w:eastAsia="Times New Roman" w:hAnsi="Times New Roman" w:cs="Times New Roman"/>
          <w:szCs w:val="24"/>
        </w:rPr>
        <w:t>8-year-old</w:t>
      </w:r>
      <w:r w:rsidRPr="00E869A4">
        <w:rPr>
          <w:rFonts w:ascii="Times New Roman" w:eastAsia="Times New Roman" w:hAnsi="Times New Roman" w:cs="Times New Roman"/>
          <w:szCs w:val="24"/>
        </w:rPr>
        <w:t xml:space="preserve"> daughter</w:t>
      </w:r>
      <w:r w:rsidR="0010747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Naila</w:t>
      </w:r>
      <w:r w:rsidR="008156F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who was treated like a member of the family by both herself and Ms. Violet. Onella was also treated in like manner. The complexities that characterised these relationships </w:t>
      </w:r>
      <w:r w:rsidR="0010747D" w:rsidRPr="00E869A4">
        <w:rPr>
          <w:rFonts w:ascii="Times New Roman" w:eastAsia="Times New Roman" w:hAnsi="Times New Roman" w:cs="Times New Roman"/>
          <w:szCs w:val="24"/>
        </w:rPr>
        <w:t>rendered it</w:t>
      </w:r>
      <w:r w:rsidRPr="00E869A4">
        <w:rPr>
          <w:rFonts w:ascii="Times New Roman" w:eastAsia="Times New Roman" w:hAnsi="Times New Roman" w:cs="Times New Roman"/>
          <w:szCs w:val="24"/>
        </w:rPr>
        <w:t xml:space="preserve"> very difficult for Maria</w:t>
      </w:r>
      <w:r w:rsidR="008156FD" w:rsidRPr="00E869A4">
        <w:rPr>
          <w:rFonts w:ascii="Times New Roman" w:eastAsia="Times New Roman" w:hAnsi="Times New Roman" w:cs="Times New Roman"/>
          <w:szCs w:val="24"/>
        </w:rPr>
        <w:t>n to extricate herself from them</w:t>
      </w:r>
      <w:r w:rsidRPr="00E869A4">
        <w:rPr>
          <w:rFonts w:ascii="Times New Roman" w:eastAsia="Times New Roman" w:hAnsi="Times New Roman" w:cs="Times New Roman"/>
          <w:szCs w:val="24"/>
        </w:rPr>
        <w:t xml:space="preserve"> even though she strongly considered doing so. </w:t>
      </w:r>
    </w:p>
    <w:p w14:paraId="6D8F08B4" w14:textId="77777777" w:rsidR="00725205" w:rsidRPr="00E869A4" w:rsidRDefault="00725205" w:rsidP="00A35FF8">
      <w:pPr>
        <w:autoSpaceDE w:val="0"/>
        <w:autoSpaceDN w:val="0"/>
        <w:adjustRightInd w:val="0"/>
        <w:rPr>
          <w:rFonts w:ascii="Times New Roman" w:hAnsi="Times New Roman" w:cs="Times New Roman"/>
          <w:szCs w:val="24"/>
        </w:rPr>
      </w:pPr>
    </w:p>
    <w:p w14:paraId="234DE33F" w14:textId="398318C9"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The blurring of the role of the informal caregiver </w:t>
      </w:r>
      <w:r w:rsidRPr="00E869A4">
        <w:rPr>
          <w:rFonts w:ascii="Times New Roman" w:hAnsi="Times New Roman" w:cs="Times New Roman"/>
          <w:i/>
          <w:szCs w:val="24"/>
        </w:rPr>
        <w:t>vis à vis</w:t>
      </w:r>
      <w:r w:rsidRPr="00E869A4">
        <w:rPr>
          <w:rFonts w:ascii="Times New Roman" w:hAnsi="Times New Roman" w:cs="Times New Roman"/>
          <w:szCs w:val="24"/>
        </w:rPr>
        <w:t xml:space="preserve"> that of other blood relatives was also highlighted by Sheila</w:t>
      </w:r>
      <w:r w:rsidR="000D306B" w:rsidRPr="00E869A4">
        <w:rPr>
          <w:rFonts w:ascii="Times New Roman" w:hAnsi="Times New Roman" w:cs="Times New Roman"/>
          <w:szCs w:val="24"/>
        </w:rPr>
        <w:t>:</w:t>
      </w:r>
      <w:r w:rsidRPr="00E869A4">
        <w:rPr>
          <w:rFonts w:ascii="Times New Roman" w:hAnsi="Times New Roman" w:cs="Times New Roman"/>
          <w:szCs w:val="24"/>
        </w:rPr>
        <w:t xml:space="preserve"> </w:t>
      </w:r>
    </w:p>
    <w:p w14:paraId="7E13AA0C" w14:textId="77777777" w:rsidR="00725205" w:rsidRPr="00E869A4" w:rsidRDefault="00725205" w:rsidP="00AD0FAE">
      <w:pPr>
        <w:autoSpaceDE w:val="0"/>
        <w:autoSpaceDN w:val="0"/>
        <w:adjustRightInd w:val="0"/>
        <w:spacing w:line="240" w:lineRule="auto"/>
        <w:rPr>
          <w:rFonts w:ascii="Times New Roman" w:hAnsi="Times New Roman" w:cs="Times New Roman"/>
          <w:szCs w:val="24"/>
        </w:rPr>
      </w:pPr>
    </w:p>
    <w:p w14:paraId="536F771C" w14:textId="7969A6F5" w:rsidR="00725205" w:rsidRPr="00E869A4" w:rsidRDefault="00725205" w:rsidP="00223EDF">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Because of Mammy independence</w:t>
      </w:r>
      <w:r w:rsidR="00223EDF" w:rsidRPr="00E869A4">
        <w:rPr>
          <w:rFonts w:ascii="Times New Roman" w:hAnsi="Times New Roman" w:cs="Times New Roman"/>
          <w:szCs w:val="24"/>
        </w:rPr>
        <w:t xml:space="preserve"> </w:t>
      </w:r>
      <w:r w:rsidRPr="00E869A4">
        <w:rPr>
          <w:rFonts w:ascii="Times New Roman" w:eastAsia="Times New Roman" w:hAnsi="Times New Roman" w:cs="Times New Roman"/>
          <w:szCs w:val="24"/>
        </w:rPr>
        <w:t>…</w:t>
      </w:r>
      <w:r w:rsidR="00223EDF" w:rsidRPr="00E869A4">
        <w:rPr>
          <w:rFonts w:ascii="Times New Roman" w:eastAsia="Times New Roman" w:hAnsi="Times New Roman" w:cs="Times New Roman"/>
          <w:szCs w:val="24"/>
        </w:rPr>
        <w:t xml:space="preserve"> </w:t>
      </w:r>
      <w:r w:rsidRPr="00E869A4">
        <w:rPr>
          <w:rFonts w:ascii="Times New Roman" w:hAnsi="Times New Roman" w:cs="Times New Roman"/>
          <w:szCs w:val="24"/>
        </w:rPr>
        <w:t>she used to take care of de girl yes to tell you de truth (said laughingly). Mummy, she so soft hearted she would be willing to take care of others</w:t>
      </w:r>
      <w:r w:rsidR="00AD0FAE" w:rsidRPr="00E869A4">
        <w:rPr>
          <w:rFonts w:ascii="Times New Roman" w:hAnsi="Times New Roman" w:cs="Times New Roman"/>
          <w:szCs w:val="24"/>
        </w:rPr>
        <w:t xml:space="preserve"> </w:t>
      </w:r>
      <w:r w:rsidRPr="00E869A4">
        <w:rPr>
          <w:rFonts w:ascii="Times New Roman" w:eastAsia="Times New Roman" w:hAnsi="Times New Roman" w:cs="Times New Roman"/>
          <w:szCs w:val="24"/>
        </w:rPr>
        <w:t xml:space="preserve">… </w:t>
      </w:r>
      <w:r w:rsidRPr="00E869A4">
        <w:rPr>
          <w:rFonts w:ascii="Times New Roman" w:hAnsi="Times New Roman" w:cs="Times New Roman"/>
          <w:szCs w:val="24"/>
        </w:rPr>
        <w:t>she would see about her, like company. [Ms. James was a mature lady and she] used to work [s]hift. But she used to come home to stay with mom [as I didn</w:t>
      </w:r>
      <w:r w:rsidR="00223EDF" w:rsidRPr="00E869A4">
        <w:rPr>
          <w:rFonts w:ascii="Times New Roman" w:hAnsi="Times New Roman" w:cs="Times New Roman"/>
          <w:szCs w:val="24"/>
        </w:rPr>
        <w:t>’t want her alone in the night]</w:t>
      </w:r>
      <w:r w:rsidRPr="00E869A4">
        <w:rPr>
          <w:rFonts w:ascii="Times New Roman" w:eastAsia="Times New Roman" w:hAnsi="Times New Roman" w:cs="Times New Roman"/>
          <w:szCs w:val="24"/>
        </w:rPr>
        <w:t xml:space="preserve">… But mummy used to more take care of </w:t>
      </w:r>
      <w:r w:rsidRPr="00E869A4">
        <w:rPr>
          <w:rFonts w:ascii="Times New Roman" w:hAnsi="Times New Roman" w:cs="Times New Roman"/>
          <w:szCs w:val="24"/>
        </w:rPr>
        <w:t xml:space="preserve">[her]. </w:t>
      </w:r>
    </w:p>
    <w:p w14:paraId="4762F33C" w14:textId="77777777" w:rsidR="000D306B" w:rsidRPr="00E869A4" w:rsidRDefault="000D306B" w:rsidP="00365FB9">
      <w:pPr>
        <w:autoSpaceDE w:val="0"/>
        <w:autoSpaceDN w:val="0"/>
        <w:adjustRightInd w:val="0"/>
        <w:spacing w:line="240" w:lineRule="auto"/>
        <w:ind w:left="567" w:firstLine="0"/>
        <w:rPr>
          <w:rFonts w:ascii="Times New Roman" w:hAnsi="Times New Roman" w:cs="Times New Roman"/>
          <w:szCs w:val="24"/>
        </w:rPr>
      </w:pPr>
    </w:p>
    <w:p w14:paraId="7639449C" w14:textId="6179CA17"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Only one of the families in this study (the Kumars) hired a caregiver through an agency that specialised in providing private nursing assistants. </w:t>
      </w:r>
      <w:r w:rsidR="008156FD" w:rsidRPr="00E869A4">
        <w:rPr>
          <w:rFonts w:ascii="Times New Roman" w:hAnsi="Times New Roman" w:cs="Times New Roman"/>
          <w:szCs w:val="24"/>
        </w:rPr>
        <w:t>However</w:t>
      </w:r>
      <w:r w:rsidRPr="00E869A4">
        <w:rPr>
          <w:rFonts w:ascii="Times New Roman" w:hAnsi="Times New Roman" w:cs="Times New Roman"/>
          <w:szCs w:val="24"/>
        </w:rPr>
        <w:t>, that arrangement was short</w:t>
      </w:r>
      <w:r w:rsidR="004764D7" w:rsidRPr="00E869A4">
        <w:rPr>
          <w:rFonts w:ascii="Times New Roman" w:hAnsi="Times New Roman" w:cs="Times New Roman"/>
          <w:szCs w:val="24"/>
        </w:rPr>
        <w:t>-</w:t>
      </w:r>
      <w:r w:rsidRPr="00E869A4">
        <w:rPr>
          <w:rFonts w:ascii="Times New Roman" w:hAnsi="Times New Roman" w:cs="Times New Roman"/>
          <w:szCs w:val="24"/>
        </w:rPr>
        <w:t xml:space="preserve"> lived as the Kumars were dissatisfied with the service</w:t>
      </w:r>
      <w:r w:rsidR="000D306B" w:rsidRPr="00E869A4">
        <w:rPr>
          <w:rFonts w:ascii="Times New Roman" w:hAnsi="Times New Roman" w:cs="Times New Roman"/>
          <w:szCs w:val="24"/>
        </w:rPr>
        <w:t>:</w:t>
      </w:r>
      <w:r w:rsidRPr="00E869A4">
        <w:rPr>
          <w:rFonts w:ascii="Times New Roman" w:hAnsi="Times New Roman" w:cs="Times New Roman"/>
          <w:szCs w:val="24"/>
        </w:rPr>
        <w:t xml:space="preserve"> </w:t>
      </w:r>
    </w:p>
    <w:p w14:paraId="0E0A13E7" w14:textId="77777777" w:rsidR="00626B9C" w:rsidRPr="00E869A4" w:rsidRDefault="00626B9C" w:rsidP="00365FB9">
      <w:pPr>
        <w:autoSpaceDE w:val="0"/>
        <w:autoSpaceDN w:val="0"/>
        <w:adjustRightInd w:val="0"/>
        <w:spacing w:line="240" w:lineRule="auto"/>
        <w:ind w:left="567" w:firstLine="0"/>
        <w:rPr>
          <w:rFonts w:ascii="Times New Roman" w:hAnsi="Times New Roman" w:cs="Times New Roman"/>
          <w:szCs w:val="24"/>
        </w:rPr>
      </w:pPr>
    </w:p>
    <w:p w14:paraId="33AA48E1" w14:textId="7A5463F6" w:rsidR="00725205" w:rsidRPr="00E869A4" w:rsidRDefault="00725205" w:rsidP="00CD6A7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It was very difficult </w:t>
      </w:r>
      <w:r w:rsidR="00085AB7" w:rsidRPr="00E869A4">
        <w:rPr>
          <w:rFonts w:ascii="Times New Roman" w:eastAsia="Times New Roman" w:hAnsi="Times New Roman" w:cs="Times New Roman"/>
          <w:szCs w:val="24"/>
        </w:rPr>
        <w:t xml:space="preserve">– </w:t>
      </w:r>
      <w:r w:rsidRPr="00E869A4">
        <w:rPr>
          <w:rFonts w:ascii="Times New Roman" w:hAnsi="Times New Roman" w:cs="Times New Roman"/>
          <w:szCs w:val="24"/>
        </w:rPr>
        <w:t>expensive</w:t>
      </w:r>
      <w:r w:rsidR="00CD6A70" w:rsidRPr="00E869A4">
        <w:rPr>
          <w:rFonts w:ascii="Times New Roman" w:hAnsi="Times New Roman" w:cs="Times New Roman"/>
          <w:szCs w:val="24"/>
        </w:rPr>
        <w:t xml:space="preserve"> </w:t>
      </w:r>
      <w:r w:rsidRPr="00E869A4">
        <w:rPr>
          <w:rFonts w:ascii="Times New Roman" w:eastAsia="Times New Roman" w:hAnsi="Times New Roman" w:cs="Times New Roman"/>
          <w:szCs w:val="24"/>
        </w:rPr>
        <w:t>…</w:t>
      </w:r>
      <w:r w:rsidR="00CD6A7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they wanted to charge something like $25 an </w:t>
      </w:r>
      <w:r w:rsidR="00AD0FAE" w:rsidRPr="00E869A4">
        <w:rPr>
          <w:rFonts w:ascii="Times New Roman" w:eastAsia="Times New Roman" w:hAnsi="Times New Roman" w:cs="Times New Roman"/>
          <w:szCs w:val="24"/>
        </w:rPr>
        <w:t xml:space="preserve">hour and I couldn’t afford that </w:t>
      </w:r>
      <w:r w:rsidRPr="00E869A4">
        <w:rPr>
          <w:rFonts w:ascii="Times New Roman" w:eastAsia="Times New Roman" w:hAnsi="Times New Roman" w:cs="Times New Roman"/>
          <w:szCs w:val="24"/>
        </w:rPr>
        <w:t>… In fact we did have a girl come … Mummy didn’t like her approach. She was cold and nothing like what mummy wanted somebody like that to be. She was a young person</w:t>
      </w:r>
      <w:r w:rsidR="00CD6A7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CD6A7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she worked 2 nights and I told her it’s ok, I’m getting a family member</w:t>
      </w:r>
      <w:r w:rsidR="000D306B" w:rsidRPr="00E869A4">
        <w:rPr>
          <w:rFonts w:ascii="Times New Roman" w:eastAsia="Times New Roman" w:hAnsi="Times New Roman" w:cs="Times New Roman"/>
          <w:szCs w:val="24"/>
        </w:rPr>
        <w:t>.</w:t>
      </w:r>
    </w:p>
    <w:p w14:paraId="26BAAFEA"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62FB651E" w14:textId="61A3446B"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Rebecca opted instead to hire a housekeeper (</w:t>
      </w:r>
      <w:r w:rsidR="00EE31C2" w:rsidRPr="00E869A4">
        <w:rPr>
          <w:rFonts w:ascii="Times New Roman" w:hAnsi="Times New Roman" w:cs="Times New Roman"/>
          <w:szCs w:val="24"/>
        </w:rPr>
        <w:t>Nadia</w:t>
      </w:r>
      <w:r w:rsidRPr="00E869A4">
        <w:rPr>
          <w:rFonts w:ascii="Times New Roman" w:hAnsi="Times New Roman" w:cs="Times New Roman"/>
          <w:szCs w:val="24"/>
        </w:rPr>
        <w:t>) to work in the day</w:t>
      </w:r>
      <w:r w:rsidR="008156FD" w:rsidRPr="00E869A4">
        <w:rPr>
          <w:rFonts w:ascii="Times New Roman" w:hAnsi="Times New Roman" w:cs="Times New Roman"/>
          <w:szCs w:val="24"/>
        </w:rPr>
        <w:t xml:space="preserve">. </w:t>
      </w:r>
      <w:r w:rsidR="00EE31C2" w:rsidRPr="00E869A4">
        <w:rPr>
          <w:rFonts w:ascii="Times New Roman" w:hAnsi="Times New Roman" w:cs="Times New Roman"/>
          <w:szCs w:val="24"/>
        </w:rPr>
        <w:t>Nadia</w:t>
      </w:r>
      <w:r w:rsidRPr="00E869A4">
        <w:rPr>
          <w:rFonts w:ascii="Times New Roman" w:hAnsi="Times New Roman" w:cs="Times New Roman"/>
          <w:szCs w:val="24"/>
        </w:rPr>
        <w:t xml:space="preserve"> also helped monitor her mother. The cost for </w:t>
      </w:r>
      <w:r w:rsidR="00EE31C2" w:rsidRPr="00E869A4">
        <w:rPr>
          <w:rFonts w:ascii="Times New Roman" w:hAnsi="Times New Roman" w:cs="Times New Roman"/>
          <w:szCs w:val="24"/>
        </w:rPr>
        <w:t>Nadia</w:t>
      </w:r>
      <w:r w:rsidRPr="00E869A4">
        <w:rPr>
          <w:rFonts w:ascii="Times New Roman" w:eastAsia="Times New Roman" w:hAnsi="Times New Roman" w:cs="Times New Roman"/>
          <w:szCs w:val="24"/>
        </w:rPr>
        <w:t>’s labour was half the price of the trained nurse and Ms. Kumar found her personality to be more agreeable. Thus, this arrangement was suitable in terms of its affordability and ability to meet the practical care needs of the family. Rebecca also hired Ms. Sita who provided care support in the night for less than minimum wage (</w:t>
      </w:r>
      <w:r w:rsidRPr="00E869A4">
        <w:rPr>
          <w:rFonts w:ascii="Times New Roman" w:eastAsia="Times New Roman" w:hAnsi="Times New Roman" w:cs="Times New Roman"/>
          <w:iCs/>
          <w:szCs w:val="24"/>
        </w:rPr>
        <w:t>these</w:t>
      </w:r>
      <w:r w:rsidRPr="00E869A4">
        <w:rPr>
          <w:rFonts w:ascii="Times New Roman" w:eastAsia="Times New Roman" w:hAnsi="Times New Roman" w:cs="Times New Roman"/>
          <w:i/>
          <w:szCs w:val="24"/>
        </w:rPr>
        <w:t xml:space="preserve"> </w:t>
      </w:r>
      <w:r w:rsidRPr="00E869A4">
        <w:rPr>
          <w:rFonts w:ascii="Times New Roman" w:eastAsia="Times New Roman" w:hAnsi="Times New Roman" w:cs="Times New Roman"/>
          <w:iCs/>
          <w:szCs w:val="24"/>
        </w:rPr>
        <w:t>care</w:t>
      </w:r>
      <w:r w:rsidRPr="00E869A4">
        <w:rPr>
          <w:rFonts w:ascii="Times New Roman" w:eastAsia="Times New Roman" w:hAnsi="Times New Roman" w:cs="Times New Roman"/>
          <w:i/>
          <w:szCs w:val="24"/>
        </w:rPr>
        <w:t xml:space="preserve"> </w:t>
      </w:r>
      <w:r w:rsidRPr="00E869A4">
        <w:rPr>
          <w:rFonts w:ascii="Times New Roman" w:eastAsia="Times New Roman" w:hAnsi="Times New Roman" w:cs="Times New Roman"/>
          <w:iCs/>
          <w:szCs w:val="24"/>
        </w:rPr>
        <w:t>arrangements</w:t>
      </w:r>
      <w:r w:rsidRPr="00E869A4">
        <w:rPr>
          <w:rFonts w:ascii="Times New Roman" w:eastAsia="Times New Roman" w:hAnsi="Times New Roman" w:cs="Times New Roman"/>
          <w:i/>
          <w:szCs w:val="24"/>
        </w:rPr>
        <w:t xml:space="preserve"> </w:t>
      </w:r>
      <w:r w:rsidRPr="00E869A4">
        <w:rPr>
          <w:rFonts w:ascii="Times New Roman" w:eastAsia="Times New Roman" w:hAnsi="Times New Roman" w:cs="Times New Roman"/>
          <w:iCs/>
          <w:szCs w:val="24"/>
        </w:rPr>
        <w:t>are</w:t>
      </w:r>
      <w:r w:rsidRPr="00E869A4">
        <w:rPr>
          <w:rFonts w:ascii="Times New Roman" w:eastAsia="Times New Roman" w:hAnsi="Times New Roman" w:cs="Times New Roman"/>
          <w:i/>
          <w:szCs w:val="24"/>
        </w:rPr>
        <w:t xml:space="preserve"> </w:t>
      </w:r>
      <w:r w:rsidRPr="00E869A4">
        <w:rPr>
          <w:rFonts w:ascii="Times New Roman" w:eastAsia="Times New Roman" w:hAnsi="Times New Roman" w:cs="Times New Roman"/>
          <w:iCs/>
          <w:szCs w:val="24"/>
        </w:rPr>
        <w:t>discussed</w:t>
      </w:r>
      <w:r w:rsidRPr="00E869A4">
        <w:rPr>
          <w:rFonts w:ascii="Times New Roman" w:eastAsia="Times New Roman" w:hAnsi="Times New Roman" w:cs="Times New Roman"/>
          <w:i/>
          <w:szCs w:val="24"/>
        </w:rPr>
        <w:t xml:space="preserve"> </w:t>
      </w:r>
      <w:r w:rsidRPr="00E869A4">
        <w:rPr>
          <w:rFonts w:ascii="Times New Roman" w:eastAsia="Times New Roman" w:hAnsi="Times New Roman" w:cs="Times New Roman"/>
          <w:iCs/>
          <w:szCs w:val="24"/>
        </w:rPr>
        <w:t>in more detail in later chapters</w:t>
      </w:r>
      <w:r w:rsidRPr="00E869A4">
        <w:rPr>
          <w:rFonts w:ascii="Times New Roman" w:eastAsia="Times New Roman" w:hAnsi="Times New Roman" w:cs="Times New Roman"/>
          <w:szCs w:val="24"/>
        </w:rPr>
        <w:t>). Generally, the price for in-home nursing services was beyond the reach of many families.</w:t>
      </w:r>
    </w:p>
    <w:p w14:paraId="61632A2E" w14:textId="77777777" w:rsidR="00725205" w:rsidRPr="00E869A4" w:rsidRDefault="00725205" w:rsidP="00A35FF8">
      <w:pPr>
        <w:autoSpaceDE w:val="0"/>
        <w:autoSpaceDN w:val="0"/>
        <w:adjustRightInd w:val="0"/>
        <w:ind w:firstLine="720"/>
        <w:rPr>
          <w:rFonts w:ascii="Times New Roman" w:hAnsi="Times New Roman" w:cs="Times New Roman"/>
          <w:szCs w:val="24"/>
        </w:rPr>
      </w:pPr>
    </w:p>
    <w:p w14:paraId="34561156" w14:textId="77777777" w:rsidR="00725205" w:rsidRPr="00E869A4" w:rsidRDefault="00725205" w:rsidP="0031040A">
      <w:pPr>
        <w:pStyle w:val="Heading5"/>
        <w:rPr>
          <w:color w:val="auto"/>
        </w:rPr>
      </w:pPr>
      <w:r w:rsidRPr="00E869A4">
        <w:rPr>
          <w:color w:val="auto"/>
        </w:rPr>
        <w:lastRenderedPageBreak/>
        <w:t xml:space="preserve">Adequate and </w:t>
      </w:r>
      <w:r w:rsidR="00023BA2" w:rsidRPr="00E869A4">
        <w:rPr>
          <w:color w:val="auto"/>
        </w:rPr>
        <w:t>a</w:t>
      </w:r>
      <w:r w:rsidRPr="00E869A4">
        <w:rPr>
          <w:color w:val="auto"/>
        </w:rPr>
        <w:t xml:space="preserve">ffordable </w:t>
      </w:r>
      <w:r w:rsidR="00023BA2" w:rsidRPr="00E869A4">
        <w:rPr>
          <w:color w:val="auto"/>
        </w:rPr>
        <w:t>h</w:t>
      </w:r>
      <w:r w:rsidRPr="00E869A4">
        <w:rPr>
          <w:color w:val="auto"/>
        </w:rPr>
        <w:t xml:space="preserve">ealth </w:t>
      </w:r>
      <w:r w:rsidR="00023BA2" w:rsidRPr="00E869A4">
        <w:rPr>
          <w:color w:val="auto"/>
        </w:rPr>
        <w:t>c</w:t>
      </w:r>
      <w:r w:rsidRPr="00E869A4">
        <w:rPr>
          <w:color w:val="auto"/>
        </w:rPr>
        <w:t>are</w:t>
      </w:r>
    </w:p>
    <w:p w14:paraId="64E3D5EC" w14:textId="77777777" w:rsidR="00725205" w:rsidRPr="00E869A4" w:rsidRDefault="00725205" w:rsidP="00B61191">
      <w:pPr>
        <w:ind w:left="567" w:firstLine="0"/>
      </w:pPr>
    </w:p>
    <w:p w14:paraId="1392BC18" w14:textId="2F23E71F"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As with obtaining in-home care workers, it was also challenging for the caregivers to access affordable and good quality health care. Some family carers </w:t>
      </w:r>
      <w:r w:rsidR="00AB2FEC" w:rsidRPr="00E869A4">
        <w:rPr>
          <w:rFonts w:ascii="Times New Roman" w:hAnsi="Times New Roman" w:cs="Times New Roman"/>
          <w:szCs w:val="24"/>
        </w:rPr>
        <w:t xml:space="preserve">(e.g. Sheila) </w:t>
      </w:r>
      <w:r w:rsidRPr="00E869A4">
        <w:rPr>
          <w:rFonts w:ascii="Times New Roman" w:hAnsi="Times New Roman" w:cs="Times New Roman"/>
          <w:szCs w:val="24"/>
        </w:rPr>
        <w:t xml:space="preserve">preferred to obtain private health care for their older relative </w:t>
      </w:r>
      <w:r w:rsidR="000B19A7" w:rsidRPr="00E869A4">
        <w:rPr>
          <w:rFonts w:ascii="Times New Roman" w:hAnsi="Times New Roman" w:cs="Times New Roman"/>
          <w:szCs w:val="24"/>
        </w:rPr>
        <w:t>to</w:t>
      </w:r>
      <w:r w:rsidRPr="00E869A4">
        <w:rPr>
          <w:rFonts w:ascii="Times New Roman" w:hAnsi="Times New Roman" w:cs="Times New Roman"/>
          <w:szCs w:val="24"/>
        </w:rPr>
        <w:t xml:space="preserve"> avert the long waiting times and the poor service they received from public health facilities</w:t>
      </w:r>
      <w:r w:rsidR="00D26E24" w:rsidRPr="00E869A4">
        <w:rPr>
          <w:rFonts w:ascii="Times New Roman" w:hAnsi="Times New Roman" w:cs="Times New Roman"/>
          <w:szCs w:val="24"/>
        </w:rPr>
        <w:t>:</w:t>
      </w:r>
      <w:r w:rsidRPr="00E869A4">
        <w:rPr>
          <w:rFonts w:ascii="Times New Roman" w:hAnsi="Times New Roman" w:cs="Times New Roman"/>
          <w:szCs w:val="24"/>
        </w:rPr>
        <w:t xml:space="preserve"> </w:t>
      </w:r>
    </w:p>
    <w:p w14:paraId="7F4693C5"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519FEF77" w14:textId="1B5A2053" w:rsidR="00725205" w:rsidRPr="00E869A4" w:rsidRDefault="00AD0FAE" w:rsidP="00CD6A70">
      <w:pPr>
        <w:autoSpaceDE w:val="0"/>
        <w:autoSpaceDN w:val="0"/>
        <w:adjustRightInd w:val="0"/>
        <w:spacing w:line="240" w:lineRule="auto"/>
        <w:ind w:left="567" w:firstLine="0"/>
        <w:rPr>
          <w:rFonts w:ascii="Times New Roman" w:eastAsia="Times New Roman" w:hAnsi="Times New Roman" w:cs="Times New Roman"/>
          <w:szCs w:val="24"/>
        </w:rPr>
      </w:pPr>
      <w:r w:rsidRPr="00E869A4">
        <w:rPr>
          <w:rFonts w:ascii="Times New Roman" w:eastAsia="Times New Roman" w:hAnsi="Times New Roman" w:cs="Times New Roman"/>
          <w:szCs w:val="24"/>
        </w:rPr>
        <w:t>You</w:t>
      </w:r>
      <w:r w:rsidR="00725205" w:rsidRPr="00E869A4">
        <w:rPr>
          <w:rFonts w:ascii="Times New Roman" w:eastAsia="Times New Roman" w:hAnsi="Times New Roman" w:cs="Times New Roman"/>
          <w:szCs w:val="24"/>
        </w:rPr>
        <w:t xml:space="preserve"> take 2 years for an appointment [with the public hospital]</w:t>
      </w:r>
      <w:r w:rsidRPr="00E869A4">
        <w:rPr>
          <w:rFonts w:ascii="Times New Roman" w:eastAsia="Times New Roman" w:hAnsi="Times New Roman" w:cs="Times New Roman"/>
          <w:szCs w:val="24"/>
        </w:rPr>
        <w:t xml:space="preserve"> </w:t>
      </w:r>
      <w:r w:rsidR="00725205" w:rsidRPr="00E869A4">
        <w:rPr>
          <w:rFonts w:ascii="Times New Roman" w:eastAsia="Times New Roman" w:hAnsi="Times New Roman" w:cs="Times New Roman"/>
          <w:szCs w:val="24"/>
        </w:rPr>
        <w:t xml:space="preserve">… even the tests they assign for me to do for her I have to do it privately which is costly… </w:t>
      </w:r>
      <w:r w:rsidR="000B19A7" w:rsidRPr="00E869A4">
        <w:rPr>
          <w:rFonts w:ascii="Times New Roman" w:eastAsia="Times New Roman" w:hAnsi="Times New Roman" w:cs="Times New Roman"/>
          <w:szCs w:val="24"/>
        </w:rPr>
        <w:t>B</w:t>
      </w:r>
      <w:r w:rsidR="00725205" w:rsidRPr="00E869A4">
        <w:rPr>
          <w:rFonts w:ascii="Times New Roman" w:eastAsia="Times New Roman" w:hAnsi="Times New Roman" w:cs="Times New Roman"/>
          <w:szCs w:val="24"/>
        </w:rPr>
        <w:t xml:space="preserve">ut we still have to … </w:t>
      </w:r>
      <w:r w:rsidR="000B19A7" w:rsidRPr="00E869A4">
        <w:rPr>
          <w:rFonts w:ascii="Times New Roman" w:eastAsia="Times New Roman" w:hAnsi="Times New Roman" w:cs="Times New Roman"/>
          <w:szCs w:val="24"/>
        </w:rPr>
        <w:t>B</w:t>
      </w:r>
      <w:r w:rsidR="00725205" w:rsidRPr="00E869A4">
        <w:rPr>
          <w:rFonts w:ascii="Times New Roman" w:eastAsia="Times New Roman" w:hAnsi="Times New Roman" w:cs="Times New Roman"/>
          <w:szCs w:val="24"/>
        </w:rPr>
        <w:t xml:space="preserve">ecause of the slowness of the system … </w:t>
      </w:r>
      <w:r w:rsidR="000B19A7" w:rsidRPr="00E869A4">
        <w:rPr>
          <w:rFonts w:ascii="Times New Roman" w:eastAsia="Times New Roman" w:hAnsi="Times New Roman" w:cs="Times New Roman"/>
          <w:szCs w:val="24"/>
        </w:rPr>
        <w:t>a</w:t>
      </w:r>
      <w:r w:rsidR="00725205" w:rsidRPr="00E869A4">
        <w:rPr>
          <w:rFonts w:ascii="Times New Roman" w:eastAsia="Times New Roman" w:hAnsi="Times New Roman" w:cs="Times New Roman"/>
          <w:szCs w:val="24"/>
        </w:rPr>
        <w:t xml:space="preserve">nd then they might tell me [she] has to wait another year for the operation </w:t>
      </w:r>
      <w:bookmarkStart w:id="318" w:name="_Hlk27941283"/>
      <w:r w:rsidR="00725205" w:rsidRPr="00E869A4">
        <w:rPr>
          <w:rFonts w:ascii="Times New Roman" w:eastAsia="Times New Roman" w:hAnsi="Times New Roman" w:cs="Times New Roman"/>
          <w:szCs w:val="24"/>
        </w:rPr>
        <w:t xml:space="preserve">– </w:t>
      </w:r>
      <w:bookmarkEnd w:id="318"/>
      <w:r w:rsidR="00725205" w:rsidRPr="00E869A4">
        <w:rPr>
          <w:rFonts w:ascii="Times New Roman" w:eastAsia="Times New Roman" w:hAnsi="Times New Roman" w:cs="Times New Roman"/>
          <w:szCs w:val="24"/>
        </w:rPr>
        <w:t>that’s unacceptable. So it’s quite likely we will do it [privately] once the doctor is available to do that operation</w:t>
      </w:r>
      <w:r w:rsidR="00CD6A70" w:rsidRPr="00E869A4">
        <w:rPr>
          <w:rFonts w:ascii="Times New Roman" w:eastAsia="Times New Roman" w:hAnsi="Times New Roman" w:cs="Times New Roman"/>
          <w:szCs w:val="24"/>
        </w:rPr>
        <w:t>.</w:t>
      </w:r>
    </w:p>
    <w:p w14:paraId="65CE142D" w14:textId="77777777" w:rsidR="00CD6A70" w:rsidRPr="00E869A4" w:rsidRDefault="00CD6A70" w:rsidP="00365FB9">
      <w:pPr>
        <w:autoSpaceDE w:val="0"/>
        <w:autoSpaceDN w:val="0"/>
        <w:adjustRightInd w:val="0"/>
        <w:spacing w:line="240" w:lineRule="auto"/>
        <w:ind w:left="567" w:firstLine="0"/>
        <w:rPr>
          <w:rFonts w:ascii="Times New Roman" w:hAnsi="Times New Roman" w:cs="Times New Roman"/>
          <w:szCs w:val="24"/>
        </w:rPr>
      </w:pPr>
    </w:p>
    <w:p w14:paraId="0017A87D" w14:textId="76754DDF"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Rebecca also preferred to obtain private health care for her mother (Ms. Kumar) given the bad experience they had with public health care. They still had to navigate long waiting periods to get appointments with private practitioners. But, because of her social connections, Rebecca was able to get her mother moved up on the list quickly</w:t>
      </w:r>
      <w:r w:rsidR="00D26E24" w:rsidRPr="00E869A4">
        <w:rPr>
          <w:rFonts w:ascii="Times New Roman" w:hAnsi="Times New Roman" w:cs="Times New Roman"/>
          <w:szCs w:val="24"/>
        </w:rPr>
        <w:t>:</w:t>
      </w:r>
    </w:p>
    <w:p w14:paraId="5DA3BC3D" w14:textId="77777777" w:rsidR="00365FB9" w:rsidRPr="00E869A4" w:rsidRDefault="00365FB9" w:rsidP="00365FB9">
      <w:pPr>
        <w:autoSpaceDE w:val="0"/>
        <w:autoSpaceDN w:val="0"/>
        <w:adjustRightInd w:val="0"/>
        <w:spacing w:line="240" w:lineRule="auto"/>
        <w:ind w:left="567" w:firstLine="0"/>
        <w:rPr>
          <w:rFonts w:ascii="Times New Roman" w:hAnsi="Times New Roman" w:cs="Times New Roman"/>
          <w:szCs w:val="24"/>
        </w:rPr>
      </w:pPr>
    </w:p>
    <w:p w14:paraId="013837C3" w14:textId="329830EF" w:rsidR="00725205" w:rsidRPr="00E869A4" w:rsidRDefault="00725205" w:rsidP="00CD6A7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Now when you go to [public] hospital</w:t>
      </w:r>
      <w:r w:rsidR="000B19A7" w:rsidRPr="00E869A4">
        <w:rPr>
          <w:rFonts w:ascii="Times New Roman" w:hAnsi="Times New Roman" w:cs="Times New Roman"/>
          <w:szCs w:val="24"/>
        </w:rPr>
        <w:t>,</w:t>
      </w:r>
      <w:r w:rsidRPr="00E869A4">
        <w:rPr>
          <w:rFonts w:ascii="Times New Roman" w:hAnsi="Times New Roman" w:cs="Times New Roman"/>
          <w:szCs w:val="24"/>
        </w:rPr>
        <w:t xml:space="preserve"> is a big fiasco</w:t>
      </w:r>
      <w:r w:rsidR="00CD6A70" w:rsidRPr="00E869A4">
        <w:rPr>
          <w:rFonts w:ascii="Times New Roman" w:hAnsi="Times New Roman" w:cs="Times New Roman"/>
          <w:szCs w:val="24"/>
        </w:rPr>
        <w:t xml:space="preserve"> </w:t>
      </w:r>
      <w:r w:rsidRPr="00E869A4">
        <w:rPr>
          <w:rFonts w:ascii="Times New Roman" w:eastAsia="Times New Roman" w:hAnsi="Times New Roman" w:cs="Times New Roman"/>
          <w:szCs w:val="24"/>
        </w:rPr>
        <w:t xml:space="preserve">… you’re waiting like for hours. And she had nobody attending to her. Then de clerk saw that she was almost [ready] to faint! … </w:t>
      </w:r>
      <w:r w:rsidR="000B19A7" w:rsidRPr="00E869A4">
        <w:rPr>
          <w:rFonts w:ascii="Times New Roman" w:eastAsia="Times New Roman" w:hAnsi="Times New Roman" w:cs="Times New Roman"/>
          <w:szCs w:val="24"/>
        </w:rPr>
        <w:t>There</w:t>
      </w:r>
      <w:r w:rsidRPr="00E869A4">
        <w:rPr>
          <w:rFonts w:ascii="Times New Roman" w:eastAsia="Times New Roman" w:hAnsi="Times New Roman" w:cs="Times New Roman"/>
          <w:szCs w:val="24"/>
        </w:rPr>
        <w:t xml:space="preserve"> was no bed av</w:t>
      </w:r>
      <w:r w:rsidR="00704DD9" w:rsidRPr="00E869A4">
        <w:rPr>
          <w:rFonts w:ascii="Times New Roman" w:eastAsia="Times New Roman" w:hAnsi="Times New Roman" w:cs="Times New Roman"/>
          <w:szCs w:val="24"/>
        </w:rPr>
        <w:t>ailable inside de casualty part</w:t>
      </w:r>
      <w:r w:rsidRPr="00E869A4">
        <w:rPr>
          <w:rFonts w:ascii="Times New Roman" w:eastAsia="Times New Roman" w:hAnsi="Times New Roman" w:cs="Times New Roman"/>
          <w:szCs w:val="24"/>
        </w:rPr>
        <w:t xml:space="preserve"> …</w:t>
      </w:r>
      <w:r w:rsidR="00CD6A7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An’ [the clerk] ask a nurse to get a bed for me</w:t>
      </w:r>
      <w:r w:rsidR="000B19A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then she took her in there an’ when we went</w:t>
      </w:r>
      <w:r w:rsidR="000B19A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there were like 50 persons in front of us [to see the doctor]</w:t>
      </w:r>
      <w:r w:rsidR="00CD6A7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 I said </w:t>
      </w:r>
      <w:r w:rsidR="00D26E2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Yuh know what … I can’t let mummy undergo such pressure</w:t>
      </w:r>
      <w:r w:rsidR="00D26E24"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So I took her out right away. I made a decision to take her privately</w:t>
      </w:r>
      <w:r w:rsidR="000B19A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0B19A7" w:rsidRPr="00E869A4">
        <w:rPr>
          <w:rFonts w:ascii="Times New Roman" w:eastAsia="Times New Roman" w:hAnsi="Times New Roman" w:cs="Times New Roman"/>
          <w:szCs w:val="24"/>
        </w:rPr>
        <w:t>a</w:t>
      </w:r>
      <w:r w:rsidRPr="00E869A4">
        <w:rPr>
          <w:rFonts w:ascii="Times New Roman" w:eastAsia="Times New Roman" w:hAnsi="Times New Roman" w:cs="Times New Roman"/>
          <w:szCs w:val="24"/>
        </w:rPr>
        <w:t xml:space="preserve">nd I took her right then. We went to [a private hospital], an’ she spen’ 5 days there! … </w:t>
      </w:r>
      <w:r w:rsidR="000B19A7" w:rsidRPr="00E869A4">
        <w:rPr>
          <w:rFonts w:ascii="Times New Roman" w:eastAsia="Times New Roman" w:hAnsi="Times New Roman" w:cs="Times New Roman"/>
          <w:szCs w:val="24"/>
        </w:rPr>
        <w:t>From</w:t>
      </w:r>
      <w:r w:rsidRPr="00E869A4">
        <w:rPr>
          <w:rFonts w:ascii="Times New Roman" w:eastAsia="Times New Roman" w:hAnsi="Times New Roman" w:cs="Times New Roman"/>
          <w:szCs w:val="24"/>
        </w:rPr>
        <w:t xml:space="preserve"> there</w:t>
      </w:r>
      <w:r w:rsidR="000B19A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 I had to go to ah heart specialist. So through ah friend of mine I got in contact with one of the best cardiologist in Trinidad</w:t>
      </w:r>
      <w:r w:rsidR="00CD6A7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I’d normally have to wait months to see him, but [because it was] through somebody I knew [she got to see him quickly] an’ de res’ is history.</w:t>
      </w:r>
    </w:p>
    <w:p w14:paraId="64BFF4CD"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331F48D2" w14:textId="3C76598F"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But not all families could afford to use private health care alone. Generally, most individuals tended to use a mix of both private and public health care. This is consistent with the findings of Cloos (2014</w:t>
      </w:r>
      <w:r w:rsidR="00D26E24" w:rsidRPr="00E869A4">
        <w:rPr>
          <w:rFonts w:ascii="Times New Roman" w:hAnsi="Times New Roman" w:cs="Times New Roman"/>
          <w:szCs w:val="24"/>
        </w:rPr>
        <w:t xml:space="preserve"> p.</w:t>
      </w:r>
      <w:r w:rsidRPr="00E869A4">
        <w:rPr>
          <w:rFonts w:ascii="Times New Roman" w:hAnsi="Times New Roman" w:cs="Times New Roman"/>
          <w:szCs w:val="24"/>
        </w:rPr>
        <w:t xml:space="preserve"> 35) about access to health care in </w:t>
      </w:r>
      <w:r w:rsidR="008C76CE" w:rsidRPr="00E869A4">
        <w:rPr>
          <w:rFonts w:ascii="Times New Roman" w:eastAsiaTheme="majorEastAsia" w:hAnsi="Times New Roman" w:cs="Times New Roman"/>
          <w:bCs/>
          <w:szCs w:val="26"/>
        </w:rPr>
        <w:t>T&amp;T</w:t>
      </w:r>
      <w:r w:rsidRPr="00E869A4">
        <w:rPr>
          <w:rFonts w:ascii="Times New Roman" w:hAnsi="Times New Roman" w:cs="Times New Roman"/>
          <w:szCs w:val="24"/>
        </w:rPr>
        <w:t>. The Ma</w:t>
      </w:r>
      <w:r w:rsidR="00CE4301" w:rsidRPr="00E869A4">
        <w:rPr>
          <w:rFonts w:ascii="Times New Roman" w:hAnsi="Times New Roman" w:cs="Times New Roman"/>
          <w:szCs w:val="24"/>
        </w:rPr>
        <w:t>raj family is a case in point. Alt</w:t>
      </w:r>
      <w:r w:rsidRPr="00E869A4">
        <w:rPr>
          <w:rFonts w:ascii="Times New Roman" w:hAnsi="Times New Roman" w:cs="Times New Roman"/>
          <w:szCs w:val="24"/>
        </w:rPr>
        <w:t>hough Reshma and her family disliked using public health care, there were occasions when they had no choice but to seek attention at the state-funded facilities</w:t>
      </w:r>
      <w:r w:rsidR="00D26E24" w:rsidRPr="00E869A4">
        <w:rPr>
          <w:rFonts w:ascii="Times New Roman" w:hAnsi="Times New Roman" w:cs="Times New Roman"/>
          <w:szCs w:val="24"/>
        </w:rPr>
        <w:t>:</w:t>
      </w:r>
      <w:r w:rsidRPr="00E869A4">
        <w:rPr>
          <w:rFonts w:ascii="Times New Roman" w:hAnsi="Times New Roman" w:cs="Times New Roman"/>
          <w:szCs w:val="24"/>
        </w:rPr>
        <w:t xml:space="preserve">  </w:t>
      </w:r>
    </w:p>
    <w:p w14:paraId="52397841"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01C738E6" w14:textId="6684FB3F" w:rsidR="00725205" w:rsidRPr="00E869A4" w:rsidRDefault="00725205" w:rsidP="00CD6A7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O my God. Public is horrible! If you </w:t>
      </w:r>
      <w:r w:rsidRPr="00E869A4">
        <w:rPr>
          <w:rFonts w:ascii="Times New Roman" w:eastAsia="Times New Roman" w:hAnsi="Times New Roman" w:cs="Times New Roman"/>
          <w:szCs w:val="24"/>
        </w:rPr>
        <w:t xml:space="preserve">… who carrying the patient does get </w:t>
      </w:r>
      <w:r w:rsidR="000B19A7" w:rsidRPr="00E869A4">
        <w:rPr>
          <w:rFonts w:ascii="Times New Roman" w:eastAsia="Times New Roman" w:hAnsi="Times New Roman" w:cs="Times New Roman"/>
          <w:szCs w:val="24"/>
        </w:rPr>
        <w:t>fed-up</w:t>
      </w:r>
      <w:r w:rsidRPr="00E869A4">
        <w:rPr>
          <w:rFonts w:ascii="Times New Roman" w:eastAsia="Times New Roman" w:hAnsi="Times New Roman" w:cs="Times New Roman"/>
          <w:szCs w:val="24"/>
        </w:rPr>
        <w:t>, you could imagine the patient who cannot move. And yuh have to wait there long. No matter what pain …</w:t>
      </w:r>
      <w:r w:rsidR="00CD6A70" w:rsidRPr="00E869A4">
        <w:rPr>
          <w:rFonts w:ascii="Times New Roman" w:eastAsia="Times New Roman" w:hAnsi="Times New Roman" w:cs="Times New Roman"/>
          <w:szCs w:val="24"/>
        </w:rPr>
        <w:t xml:space="preserve"> </w:t>
      </w:r>
      <w:r w:rsidRPr="00E869A4">
        <w:rPr>
          <w:rFonts w:ascii="Times New Roman" w:hAnsi="Times New Roman" w:cs="Times New Roman"/>
          <w:szCs w:val="24"/>
        </w:rPr>
        <w:t xml:space="preserve">you have to wait </w:t>
      </w:r>
      <w:r w:rsidRPr="00E869A4">
        <w:rPr>
          <w:rFonts w:ascii="Times New Roman" w:eastAsia="Times New Roman" w:hAnsi="Times New Roman" w:cs="Times New Roman"/>
          <w:szCs w:val="24"/>
        </w:rPr>
        <w:t>…</w:t>
      </w:r>
      <w:r w:rsidRPr="00E869A4">
        <w:rPr>
          <w:rFonts w:ascii="Times New Roman" w:hAnsi="Times New Roman" w:cs="Times New Roman"/>
          <w:szCs w:val="24"/>
        </w:rPr>
        <w:t xml:space="preserve"> and nobody tells you anything. And if you do ask you get kind of rough up too</w:t>
      </w:r>
      <w:r w:rsidR="000B19A7" w:rsidRPr="00E869A4">
        <w:rPr>
          <w:rFonts w:ascii="Times New Roman" w:eastAsia="Times New Roman" w:hAnsi="Times New Roman" w:cs="Times New Roman"/>
          <w:szCs w:val="24"/>
        </w:rPr>
        <w:t xml:space="preserve"> ... [</w:t>
      </w:r>
      <w:r w:rsidRPr="00E869A4">
        <w:rPr>
          <w:rFonts w:ascii="Times New Roman" w:eastAsia="Times New Roman" w:hAnsi="Times New Roman" w:cs="Times New Roman"/>
          <w:szCs w:val="24"/>
        </w:rPr>
        <w:t xml:space="preserve">When they had appointments], </w:t>
      </w:r>
      <w:r w:rsidRPr="00E869A4">
        <w:rPr>
          <w:rFonts w:ascii="Times New Roman" w:hAnsi="Times New Roman" w:cs="Times New Roman"/>
          <w:szCs w:val="24"/>
        </w:rPr>
        <w:t>I used to get up like 5am. So that by about 5:45am or so we leave the house</w:t>
      </w:r>
      <w:r w:rsidR="000B19A7" w:rsidRPr="00E869A4">
        <w:rPr>
          <w:rFonts w:ascii="Times New Roman" w:hAnsi="Times New Roman" w:cs="Times New Roman"/>
          <w:szCs w:val="24"/>
        </w:rPr>
        <w:t xml:space="preserve"> </w:t>
      </w:r>
      <w:r w:rsidRPr="00E869A4">
        <w:rPr>
          <w:rFonts w:ascii="Times New Roman" w:eastAsia="Times New Roman" w:hAnsi="Times New Roman" w:cs="Times New Roman"/>
          <w:szCs w:val="24"/>
        </w:rPr>
        <w:lastRenderedPageBreak/>
        <w:t>…</w:t>
      </w:r>
      <w:r w:rsidRPr="00E869A4">
        <w:rPr>
          <w:rFonts w:ascii="Times New Roman" w:hAnsi="Times New Roman" w:cs="Times New Roman"/>
          <w:szCs w:val="24"/>
        </w:rPr>
        <w:t xml:space="preserve"> It had a time we had to do it for 3 months, everyday</w:t>
      </w:r>
      <w:r w:rsidRPr="00E869A4">
        <w:rPr>
          <w:rFonts w:ascii="Times New Roman" w:eastAsia="Times New Roman" w:hAnsi="Times New Roman" w:cs="Times New Roman"/>
          <w:szCs w:val="24"/>
        </w:rPr>
        <w:t>…</w:t>
      </w:r>
      <w:r w:rsidR="00CD6A7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[As for private health care] … if someone said they went to that doctor and they see a little improvement, we would try like that.</w:t>
      </w:r>
    </w:p>
    <w:p w14:paraId="3419369D" w14:textId="77777777" w:rsidR="00D26E24" w:rsidRPr="00E869A4" w:rsidRDefault="00D26E24" w:rsidP="00365FB9">
      <w:pPr>
        <w:autoSpaceDE w:val="0"/>
        <w:autoSpaceDN w:val="0"/>
        <w:adjustRightInd w:val="0"/>
        <w:spacing w:line="240" w:lineRule="auto"/>
        <w:ind w:left="567" w:firstLine="0"/>
        <w:rPr>
          <w:rFonts w:ascii="Times New Roman" w:hAnsi="Times New Roman" w:cs="Times New Roman"/>
          <w:szCs w:val="24"/>
        </w:rPr>
      </w:pPr>
    </w:p>
    <w:p w14:paraId="52DE7684" w14:textId="786D8423"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Other participants like Mr. Khan</w:t>
      </w:r>
      <w:r w:rsidR="000B19A7" w:rsidRPr="00E869A4">
        <w:rPr>
          <w:rFonts w:ascii="Times New Roman" w:hAnsi="Times New Roman" w:cs="Times New Roman"/>
          <w:szCs w:val="24"/>
        </w:rPr>
        <w:t>,</w:t>
      </w:r>
      <w:r w:rsidRPr="00E869A4">
        <w:rPr>
          <w:rFonts w:ascii="Times New Roman" w:hAnsi="Times New Roman" w:cs="Times New Roman"/>
          <w:szCs w:val="24"/>
        </w:rPr>
        <w:t xml:space="preserve"> had greater faith in the public health care system after experiencing negligence from private health care practitioners</w:t>
      </w:r>
      <w:r w:rsidR="00D26E24" w:rsidRPr="00E869A4">
        <w:rPr>
          <w:rFonts w:ascii="Times New Roman" w:hAnsi="Times New Roman" w:cs="Times New Roman"/>
          <w:szCs w:val="24"/>
        </w:rPr>
        <w:t>:</w:t>
      </w:r>
      <w:r w:rsidRPr="00E869A4">
        <w:rPr>
          <w:rFonts w:ascii="Times New Roman" w:hAnsi="Times New Roman" w:cs="Times New Roman"/>
          <w:szCs w:val="24"/>
        </w:rPr>
        <w:t xml:space="preserve"> </w:t>
      </w:r>
    </w:p>
    <w:p w14:paraId="3B75912E"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284F596B" w14:textId="321043B3" w:rsidR="00725205" w:rsidRPr="00E869A4" w:rsidRDefault="00725205" w:rsidP="00CD6A7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[My wife] she was not ill. Only when she complain about having ah pain in her knee. And for 2 years and more, we keep running by different [private] doctors. And everybody saying she have arthritis in the knee. And whatever they recommended, I was doing it: paying, and doing it</w:t>
      </w:r>
      <w:r w:rsidR="00CD6A70" w:rsidRPr="00E869A4">
        <w:rPr>
          <w:rFonts w:ascii="Times New Roman" w:hAnsi="Times New Roman" w:cs="Times New Roman"/>
          <w:szCs w:val="24"/>
        </w:rPr>
        <w:t xml:space="preserve"> </w:t>
      </w:r>
      <w:r w:rsidRPr="00E869A4">
        <w:rPr>
          <w:rFonts w:ascii="Times New Roman" w:eastAsia="Times New Roman" w:hAnsi="Times New Roman" w:cs="Times New Roman"/>
          <w:szCs w:val="24"/>
        </w:rPr>
        <w:t xml:space="preserve">… </w:t>
      </w:r>
      <w:r w:rsidRPr="00E869A4">
        <w:rPr>
          <w:rFonts w:ascii="Times New Roman" w:hAnsi="Times New Roman" w:cs="Times New Roman"/>
          <w:szCs w:val="24"/>
        </w:rPr>
        <w:t xml:space="preserve">blood test every 2 weeks! 2 [to] 3 blood test. And only when she collapse after all those years and she went in the hospital, is then they diagnose that she was suffering from leukaemia, and NOT arthritis. And the doctor told me </w:t>
      </w:r>
      <w:r w:rsidRPr="00E869A4">
        <w:rPr>
          <w:rFonts w:ascii="Times New Roman" w:eastAsia="Times New Roman" w:hAnsi="Times New Roman" w:cs="Times New Roman"/>
          <w:szCs w:val="24"/>
        </w:rPr>
        <w:t>her chances of recovering from that, is nil. Well</w:t>
      </w:r>
      <w:r w:rsidR="00CD6A7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CD6A70" w:rsidRPr="00E869A4">
        <w:rPr>
          <w:rFonts w:ascii="Times New Roman" w:eastAsia="Times New Roman" w:hAnsi="Times New Roman" w:cs="Times New Roman"/>
          <w:szCs w:val="24"/>
        </w:rPr>
        <w:t xml:space="preserve"> </w:t>
      </w:r>
      <w:r w:rsidRPr="00E869A4">
        <w:rPr>
          <w:rFonts w:ascii="Times New Roman" w:hAnsi="Times New Roman" w:cs="Times New Roman"/>
          <w:szCs w:val="24"/>
        </w:rPr>
        <w:t>I know what he meant ... and then he tell me that in Trinidad here, they don</w:t>
      </w:r>
      <w:r w:rsidRPr="00E869A4">
        <w:rPr>
          <w:rFonts w:ascii="Times New Roman" w:eastAsia="Times New Roman" w:hAnsi="Times New Roman" w:cs="Times New Roman"/>
          <w:szCs w:val="24"/>
        </w:rPr>
        <w:t xml:space="preserve">’t have the kind of accommodation </w:t>
      </w:r>
      <w:r w:rsidRPr="00E869A4">
        <w:rPr>
          <w:rFonts w:ascii="Times New Roman" w:hAnsi="Times New Roman" w:cs="Times New Roman"/>
          <w:szCs w:val="24"/>
        </w:rPr>
        <w:t xml:space="preserve">[to] treat [it]. He say in the States they have, and if I </w:t>
      </w:r>
      <w:r w:rsidR="000B19A7" w:rsidRPr="00E869A4">
        <w:rPr>
          <w:rFonts w:ascii="Times New Roman" w:hAnsi="Times New Roman" w:cs="Times New Roman"/>
          <w:szCs w:val="24"/>
        </w:rPr>
        <w:t>want,</w:t>
      </w:r>
      <w:r w:rsidRPr="00E869A4">
        <w:rPr>
          <w:rFonts w:ascii="Times New Roman" w:hAnsi="Times New Roman" w:cs="Times New Roman"/>
          <w:szCs w:val="24"/>
        </w:rPr>
        <w:t xml:space="preserve"> I could go in the States. But then </w:t>
      </w:r>
      <w:r w:rsidRPr="00E869A4">
        <w:rPr>
          <w:rFonts w:ascii="Times New Roman" w:eastAsia="Times New Roman" w:hAnsi="Times New Roman" w:cs="Times New Roman"/>
          <w:szCs w:val="24"/>
        </w:rPr>
        <w:t xml:space="preserve">… </w:t>
      </w:r>
      <w:r w:rsidRPr="00E869A4">
        <w:rPr>
          <w:rFonts w:ascii="Times New Roman" w:hAnsi="Times New Roman" w:cs="Times New Roman"/>
          <w:szCs w:val="24"/>
        </w:rPr>
        <w:t>we had no passport ready, we had no Visa, we had nothing. So I tell the doctor do the treatment right here</w:t>
      </w:r>
      <w:r w:rsidR="00CD6A70" w:rsidRPr="00E869A4">
        <w:rPr>
          <w:rFonts w:ascii="Times New Roman" w:hAnsi="Times New Roman" w:cs="Times New Roman"/>
          <w:szCs w:val="24"/>
        </w:rPr>
        <w:t>.</w:t>
      </w:r>
    </w:p>
    <w:p w14:paraId="536C2187" w14:textId="77777777" w:rsidR="00324877" w:rsidRPr="00E869A4" w:rsidRDefault="00324877" w:rsidP="00365FB9">
      <w:pPr>
        <w:autoSpaceDE w:val="0"/>
        <w:autoSpaceDN w:val="0"/>
        <w:adjustRightInd w:val="0"/>
        <w:spacing w:line="240" w:lineRule="auto"/>
        <w:ind w:left="567" w:firstLine="0"/>
        <w:rPr>
          <w:rFonts w:ascii="Times New Roman" w:hAnsi="Times New Roman" w:cs="Times New Roman"/>
          <w:szCs w:val="24"/>
        </w:rPr>
      </w:pPr>
    </w:p>
    <w:p w14:paraId="5F39FE0A" w14:textId="512799D8" w:rsidR="00725205" w:rsidRPr="00E869A4" w:rsidRDefault="00725205" w:rsidP="00324877">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Unfortunately, this type of health care experience was not dissimilar to what was described in reports prepared by Cloos (2014), Sancho, (1997)</w:t>
      </w:r>
      <w:r w:rsidR="00D26E24" w:rsidRPr="00E869A4">
        <w:rPr>
          <w:rFonts w:ascii="Times New Roman" w:hAnsi="Times New Roman" w:cs="Times New Roman"/>
          <w:szCs w:val="24"/>
        </w:rPr>
        <w:t>, Welch and colleagues (2016)</w:t>
      </w:r>
      <w:r w:rsidR="000B19A7" w:rsidRPr="00E869A4">
        <w:rPr>
          <w:rFonts w:ascii="Times New Roman" w:hAnsi="Times New Roman" w:cs="Times New Roman"/>
          <w:szCs w:val="24"/>
        </w:rPr>
        <w:t>, and</w:t>
      </w:r>
      <w:r w:rsidRPr="00E869A4">
        <w:rPr>
          <w:rFonts w:ascii="Times New Roman" w:hAnsi="Times New Roman" w:cs="Times New Roman"/>
          <w:szCs w:val="24"/>
        </w:rPr>
        <w:t xml:space="preserve"> the World Bank (1995</w:t>
      </w:r>
      <w:r w:rsidR="00D26E24" w:rsidRPr="00E869A4">
        <w:rPr>
          <w:rFonts w:ascii="Times New Roman" w:hAnsi="Times New Roman" w:cs="Times New Roman"/>
          <w:szCs w:val="24"/>
        </w:rPr>
        <w:t xml:space="preserve">) </w:t>
      </w:r>
      <w:r w:rsidRPr="00E869A4">
        <w:rPr>
          <w:rFonts w:ascii="Times New Roman" w:hAnsi="Times New Roman" w:cs="Times New Roman"/>
          <w:szCs w:val="24"/>
        </w:rPr>
        <w:t xml:space="preserve">on the quality of public and private health care provision in </w:t>
      </w:r>
      <w:r w:rsidR="008C76CE" w:rsidRPr="00E869A4">
        <w:rPr>
          <w:rFonts w:ascii="Times New Roman" w:eastAsiaTheme="majorEastAsia" w:hAnsi="Times New Roman" w:cs="Times New Roman"/>
          <w:bCs/>
          <w:szCs w:val="26"/>
        </w:rPr>
        <w:t>T&amp;T</w:t>
      </w:r>
      <w:r w:rsidRPr="00E869A4">
        <w:rPr>
          <w:rFonts w:ascii="Times New Roman" w:hAnsi="Times New Roman" w:cs="Times New Roman"/>
          <w:szCs w:val="24"/>
        </w:rPr>
        <w:t>.</w:t>
      </w:r>
    </w:p>
    <w:p w14:paraId="4ED3AC49" w14:textId="77777777" w:rsidR="00725205" w:rsidRPr="00E869A4" w:rsidRDefault="00725205" w:rsidP="00A35FF8">
      <w:pPr>
        <w:autoSpaceDE w:val="0"/>
        <w:autoSpaceDN w:val="0"/>
        <w:adjustRightInd w:val="0"/>
        <w:rPr>
          <w:rFonts w:ascii="Times New Roman" w:hAnsi="Times New Roman" w:cs="Times New Roman"/>
          <w:szCs w:val="24"/>
        </w:rPr>
      </w:pPr>
    </w:p>
    <w:p w14:paraId="29854084" w14:textId="257F2851"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The </w:t>
      </w:r>
      <w:r w:rsidR="000B19A7" w:rsidRPr="00E869A4">
        <w:rPr>
          <w:rFonts w:ascii="Times New Roman" w:hAnsi="Times New Roman" w:cs="Times New Roman"/>
          <w:szCs w:val="24"/>
        </w:rPr>
        <w:t>difficulties associated with getting a health care practitioner to visit the private home</w:t>
      </w:r>
      <w:r w:rsidR="00696671" w:rsidRPr="00E869A4">
        <w:rPr>
          <w:rFonts w:ascii="Times New Roman" w:hAnsi="Times New Roman" w:cs="Times New Roman"/>
          <w:szCs w:val="24"/>
        </w:rPr>
        <w:t>s</w:t>
      </w:r>
      <w:r w:rsidR="000B19A7" w:rsidRPr="00E869A4">
        <w:rPr>
          <w:rFonts w:ascii="Times New Roman" w:hAnsi="Times New Roman" w:cs="Times New Roman"/>
          <w:szCs w:val="24"/>
        </w:rPr>
        <w:t xml:space="preserve"> of older persons were</w:t>
      </w:r>
      <w:r w:rsidRPr="00E869A4">
        <w:rPr>
          <w:rFonts w:ascii="Times New Roman" w:hAnsi="Times New Roman" w:cs="Times New Roman"/>
          <w:szCs w:val="24"/>
        </w:rPr>
        <w:t xml:space="preserve"> also highlighted by some participants. Older persons with mobility issues and transportation constraints found accessing health care services to be a daunting task. For Mrs. Sanchez, getting her husband up and down the stairs to their house and in and out of a vehicle with his wheelchair was very difficult. It was also expensive to hire a taxi to meet them in front their house so that they could get to a clinic</w:t>
      </w:r>
      <w:r w:rsidR="000B19A7" w:rsidRPr="00E869A4">
        <w:rPr>
          <w:rFonts w:ascii="Times New Roman" w:hAnsi="Times New Roman" w:cs="Times New Roman"/>
          <w:szCs w:val="24"/>
        </w:rPr>
        <w:t xml:space="preserve"> as they lived away from the main road</w:t>
      </w:r>
      <w:r w:rsidRPr="00E869A4">
        <w:rPr>
          <w:rFonts w:ascii="Times New Roman" w:hAnsi="Times New Roman" w:cs="Times New Roman"/>
          <w:szCs w:val="24"/>
        </w:rPr>
        <w:t>. But it was almost impossible for her to get a visiting health practitioner from the public health centre to see her husband, and too costly for her to pay a private doctor to see him given the other financial constraints she faced. Mr. Sanchez rarely had medical check-ups</w:t>
      </w:r>
      <w:r w:rsidR="00D26E24" w:rsidRPr="00E869A4">
        <w:rPr>
          <w:rFonts w:ascii="Times New Roman" w:hAnsi="Times New Roman" w:cs="Times New Roman"/>
          <w:szCs w:val="24"/>
        </w:rPr>
        <w:t>:</w:t>
      </w:r>
      <w:r w:rsidRPr="00E869A4">
        <w:rPr>
          <w:rFonts w:ascii="Times New Roman" w:hAnsi="Times New Roman" w:cs="Times New Roman"/>
          <w:szCs w:val="24"/>
        </w:rPr>
        <w:t xml:space="preserve"> </w:t>
      </w:r>
    </w:p>
    <w:p w14:paraId="7808D32E" w14:textId="77777777" w:rsidR="00725205" w:rsidRPr="00E869A4" w:rsidRDefault="00725205" w:rsidP="0052125A">
      <w:pPr>
        <w:tabs>
          <w:tab w:val="left" w:pos="240"/>
          <w:tab w:val="left" w:pos="720"/>
        </w:tabs>
        <w:autoSpaceDE w:val="0"/>
        <w:autoSpaceDN w:val="0"/>
        <w:adjustRightInd w:val="0"/>
        <w:spacing w:line="240" w:lineRule="auto"/>
        <w:ind w:left="720" w:hanging="720"/>
        <w:rPr>
          <w:rFonts w:ascii="Times New Roman" w:hAnsi="Times New Roman" w:cs="Times New Roman"/>
          <w:szCs w:val="24"/>
        </w:rPr>
      </w:pPr>
      <w:r w:rsidRPr="00E869A4">
        <w:rPr>
          <w:rFonts w:ascii="Times New Roman" w:hAnsi="Times New Roman" w:cs="Times New Roman"/>
          <w:szCs w:val="24"/>
        </w:rPr>
        <w:tab/>
      </w:r>
    </w:p>
    <w:p w14:paraId="059A73A4" w14:textId="689053A6" w:rsidR="00725205" w:rsidRPr="00E869A4" w:rsidRDefault="00725205" w:rsidP="00324877">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He hasn</w:t>
      </w:r>
      <w:r w:rsidRPr="00E869A4">
        <w:rPr>
          <w:rFonts w:ascii="Times New Roman" w:eastAsia="Times New Roman" w:hAnsi="Times New Roman" w:cs="Times New Roman"/>
          <w:szCs w:val="24"/>
        </w:rPr>
        <w:t>’t been to the doctor for a while. That is why we spoke to (Minster of the People and Social Development). I hope they mention it in the letter that he needs to see a medical doctor … I went back to the health centre …</w:t>
      </w:r>
      <w:r w:rsidRPr="00E869A4">
        <w:rPr>
          <w:rFonts w:ascii="Times New Roman" w:hAnsi="Times New Roman" w:cs="Times New Roman"/>
          <w:szCs w:val="24"/>
        </w:rPr>
        <w:t xml:space="preserve"> and I spoke to the Head Nurse</w:t>
      </w:r>
      <w:r w:rsidR="00324877" w:rsidRPr="00E869A4">
        <w:rPr>
          <w:rFonts w:ascii="Times New Roman" w:hAnsi="Times New Roman" w:cs="Times New Roman"/>
          <w:szCs w:val="24"/>
        </w:rPr>
        <w:t xml:space="preserve"> </w:t>
      </w:r>
      <w:r w:rsidRPr="00E869A4">
        <w:rPr>
          <w:rFonts w:ascii="Times New Roman" w:eastAsia="Times New Roman" w:hAnsi="Times New Roman" w:cs="Times New Roman"/>
          <w:szCs w:val="24"/>
        </w:rPr>
        <w:t>… and she said that she alone does the home visiting and she has a lot of patients and is like she have no time to come. Is like they pick and choose who they go to visit. So she hasn’t been here as yet</w:t>
      </w:r>
      <w:r w:rsidR="0032487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 don’t know when she’s going to come</w:t>
      </w:r>
      <w:r w:rsidR="00324877" w:rsidRPr="00E869A4">
        <w:rPr>
          <w:rFonts w:ascii="Times New Roman" w:hAnsi="Times New Roman" w:cs="Times New Roman"/>
          <w:szCs w:val="24"/>
        </w:rPr>
        <w:t>.</w:t>
      </w:r>
      <w:r w:rsidRPr="00E869A4">
        <w:rPr>
          <w:rFonts w:ascii="Times New Roman" w:hAnsi="Times New Roman" w:cs="Times New Roman"/>
          <w:szCs w:val="24"/>
        </w:rPr>
        <w:t xml:space="preserve"> </w:t>
      </w:r>
    </w:p>
    <w:p w14:paraId="11530BA9" w14:textId="77777777" w:rsidR="00725205" w:rsidRPr="00E869A4" w:rsidRDefault="00725205" w:rsidP="00A35FF8">
      <w:pPr>
        <w:tabs>
          <w:tab w:val="left" w:pos="240"/>
          <w:tab w:val="left" w:pos="720"/>
        </w:tabs>
        <w:autoSpaceDE w:val="0"/>
        <w:autoSpaceDN w:val="0"/>
        <w:adjustRightInd w:val="0"/>
        <w:ind w:left="720" w:hanging="720"/>
        <w:rPr>
          <w:rFonts w:ascii="Times New Roman" w:hAnsi="Times New Roman" w:cs="Times New Roman"/>
          <w:szCs w:val="24"/>
        </w:rPr>
      </w:pPr>
    </w:p>
    <w:p w14:paraId="39F304E6" w14:textId="0F004B3E" w:rsidR="00725205" w:rsidRPr="00E869A4" w:rsidRDefault="00324877" w:rsidP="00324877">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Mrs. Sanchez</w:t>
      </w:r>
      <w:r w:rsidR="00725205" w:rsidRPr="00E869A4">
        <w:rPr>
          <w:rFonts w:ascii="Times New Roman" w:hAnsi="Times New Roman" w:cs="Times New Roman"/>
          <w:szCs w:val="24"/>
        </w:rPr>
        <w:t xml:space="preserve"> was also disillusioned with private health care services and felt that they did not provide value for money</w:t>
      </w:r>
      <w:r w:rsidR="00EE34E4" w:rsidRPr="00E869A4">
        <w:rPr>
          <w:rFonts w:ascii="Times New Roman" w:hAnsi="Times New Roman" w:cs="Times New Roman"/>
          <w:szCs w:val="24"/>
        </w:rPr>
        <w:t>:</w:t>
      </w:r>
    </w:p>
    <w:p w14:paraId="63C76B62" w14:textId="27EDCAF8" w:rsidR="00725205" w:rsidRPr="00E869A4" w:rsidRDefault="00725205" w:rsidP="00324877">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lastRenderedPageBreak/>
        <w:t>[Doctor</w:t>
      </w:r>
      <w:r w:rsidRPr="00E869A4">
        <w:rPr>
          <w:rFonts w:ascii="Times New Roman" w:eastAsia="Times New Roman" w:hAnsi="Times New Roman" w:cs="Times New Roman"/>
          <w:szCs w:val="24"/>
        </w:rPr>
        <w:t>’s] don’t care</w:t>
      </w:r>
      <w:r w:rsidR="0032487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 one came here to get the paper to send him to DRETCHI [for his hearing aid] $300. He didn’t do the heart </w:t>
      </w:r>
      <w:r w:rsidR="000B19A7" w:rsidRPr="00E869A4">
        <w:rPr>
          <w:rFonts w:ascii="Times New Roman" w:eastAsia="Times New Roman" w:hAnsi="Times New Roman" w:cs="Times New Roman"/>
          <w:szCs w:val="24"/>
        </w:rPr>
        <w:t>test</w:t>
      </w:r>
      <w:r w:rsidR="00324877" w:rsidRPr="00E869A4">
        <w:rPr>
          <w:rFonts w:ascii="Times New Roman" w:eastAsia="Times New Roman" w:hAnsi="Times New Roman" w:cs="Times New Roman"/>
          <w:szCs w:val="24"/>
        </w:rPr>
        <w:t xml:space="preserve"> </w:t>
      </w:r>
      <w:r w:rsidR="000B19A7" w:rsidRPr="00E869A4">
        <w:rPr>
          <w:rFonts w:ascii="Times New Roman" w:eastAsia="Times New Roman" w:hAnsi="Times New Roman" w:cs="Times New Roman"/>
          <w:szCs w:val="24"/>
        </w:rPr>
        <w:t>… A</w:t>
      </w:r>
      <w:r w:rsidRPr="00E869A4">
        <w:rPr>
          <w:rFonts w:ascii="Times New Roman" w:eastAsia="Times New Roman" w:hAnsi="Times New Roman" w:cs="Times New Roman"/>
          <w:szCs w:val="24"/>
        </w:rPr>
        <w:t>ll he did was take the pressure … I told him well check the diabetes nah. He telling me I could wait. But you come to do a house visit: do a thorough [examination]</w:t>
      </w:r>
      <w:r w:rsidR="000B19A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[He] </w:t>
      </w:r>
      <w:proofErr w:type="spellStart"/>
      <w:r w:rsidRPr="00E869A4">
        <w:rPr>
          <w:rFonts w:ascii="Times New Roman" w:eastAsia="Times New Roman" w:hAnsi="Times New Roman" w:cs="Times New Roman"/>
          <w:szCs w:val="24"/>
        </w:rPr>
        <w:t>jus</w:t>
      </w:r>
      <w:proofErr w:type="spellEnd"/>
      <w:r w:rsidRPr="00E869A4">
        <w:rPr>
          <w:rFonts w:ascii="Times New Roman" w:eastAsia="Times New Roman" w:hAnsi="Times New Roman" w:cs="Times New Roman"/>
          <w:szCs w:val="24"/>
        </w:rPr>
        <w:t xml:space="preserve"> write out that and test the pressure an</w:t>
      </w:r>
      <w:r w:rsidR="000B19A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he gone. $300 jump out jus</w:t>
      </w:r>
      <w:r w:rsidR="000B19A7"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so. That is why I so reluctant to go try to get a house doctor for him</w:t>
      </w:r>
      <w:r w:rsidR="00324877" w:rsidRPr="00E869A4">
        <w:rPr>
          <w:rFonts w:ascii="Times New Roman" w:hAnsi="Times New Roman" w:cs="Times New Roman"/>
          <w:szCs w:val="24"/>
        </w:rPr>
        <w:t>.</w:t>
      </w:r>
    </w:p>
    <w:p w14:paraId="746F7E51"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744DE2F5" w14:textId="77777777" w:rsidR="00725205" w:rsidRPr="00E869A4" w:rsidRDefault="00023BA2" w:rsidP="0031040A">
      <w:pPr>
        <w:pStyle w:val="Heading5"/>
        <w:rPr>
          <w:color w:val="auto"/>
        </w:rPr>
      </w:pPr>
      <w:r w:rsidRPr="00E869A4">
        <w:rPr>
          <w:color w:val="auto"/>
        </w:rPr>
        <w:t>Competing i</w:t>
      </w:r>
      <w:r w:rsidR="00725205" w:rsidRPr="00E869A4">
        <w:rPr>
          <w:color w:val="auto"/>
        </w:rPr>
        <w:t>nterests</w:t>
      </w:r>
    </w:p>
    <w:p w14:paraId="6B08C2D1" w14:textId="77777777" w:rsidR="00725205" w:rsidRPr="00E869A4" w:rsidRDefault="00725205" w:rsidP="00B61191">
      <w:pPr>
        <w:ind w:left="567" w:firstLine="0"/>
      </w:pPr>
    </w:p>
    <w:p w14:paraId="4A26C8D5" w14:textId="57C1C6DA"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ab/>
        <w:t xml:space="preserve">Consistent with the literature on caregiver burden (e.g. </w:t>
      </w:r>
      <w:r w:rsidR="007356D6" w:rsidRPr="00E869A4">
        <w:rPr>
          <w:rFonts w:ascii="Times New Roman" w:hAnsi="Times New Roman" w:cs="Times New Roman"/>
          <w:szCs w:val="24"/>
        </w:rPr>
        <w:t xml:space="preserve">Hooyman, Gonyea &amp; Montgomery 1985; Kramer 1995; </w:t>
      </w:r>
      <w:r w:rsidRPr="00E869A4">
        <w:rPr>
          <w:rFonts w:ascii="Times New Roman" w:hAnsi="Times New Roman" w:cs="Times New Roman"/>
          <w:szCs w:val="24"/>
        </w:rPr>
        <w:t xml:space="preserve">Neal </w:t>
      </w:r>
      <w:r w:rsidR="007356D6" w:rsidRPr="00E869A4">
        <w:rPr>
          <w:rFonts w:ascii="Times New Roman" w:hAnsi="Times New Roman" w:cs="Times New Roman"/>
          <w:szCs w:val="24"/>
        </w:rPr>
        <w:t>&amp;</w:t>
      </w:r>
      <w:r w:rsidRPr="00E869A4">
        <w:rPr>
          <w:rFonts w:ascii="Times New Roman" w:hAnsi="Times New Roman" w:cs="Times New Roman"/>
          <w:szCs w:val="24"/>
        </w:rPr>
        <w:t xml:space="preserve"> Hammer 2017; Starrels</w:t>
      </w:r>
      <w:r w:rsidR="007356D6" w:rsidRPr="00E869A4">
        <w:rPr>
          <w:rFonts w:ascii="Times New Roman" w:hAnsi="Times New Roman" w:cs="Times New Roman"/>
          <w:szCs w:val="24"/>
        </w:rPr>
        <w:t xml:space="preserve"> 1997</w:t>
      </w:r>
      <w:r w:rsidRPr="00E869A4">
        <w:rPr>
          <w:rFonts w:ascii="Times New Roman" w:hAnsi="Times New Roman" w:cs="Times New Roman"/>
          <w:szCs w:val="24"/>
        </w:rPr>
        <w:t>) several of the caregivers discussed the challenges of juggling caregiving with their other responsibilities. Rebecca found it challenging to cope with being a full-time employee and a part-time graduate student whilst caring for her mo</w:t>
      </w:r>
      <w:r w:rsidR="00D24A41" w:rsidRPr="00E869A4">
        <w:rPr>
          <w:rFonts w:ascii="Times New Roman" w:hAnsi="Times New Roman" w:cs="Times New Roman"/>
          <w:szCs w:val="24"/>
        </w:rPr>
        <w:t>ther:</w:t>
      </w:r>
      <w:r w:rsidRPr="00E869A4">
        <w:rPr>
          <w:rFonts w:ascii="Times New Roman" w:hAnsi="Times New Roman" w:cs="Times New Roman"/>
          <w:szCs w:val="24"/>
        </w:rPr>
        <w:t xml:space="preserve"> </w:t>
      </w:r>
    </w:p>
    <w:p w14:paraId="4CF3656D"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3086DC77" w14:textId="257E59CF" w:rsidR="00725205" w:rsidRPr="00E869A4" w:rsidRDefault="00725205" w:rsidP="00324877">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When she first got sick, in de night</w:t>
      </w:r>
      <w:r w:rsidR="00DD6B30" w:rsidRPr="00E869A4">
        <w:rPr>
          <w:rFonts w:ascii="Times New Roman" w:hAnsi="Times New Roman" w:cs="Times New Roman"/>
          <w:szCs w:val="24"/>
        </w:rPr>
        <w:t>,</w:t>
      </w:r>
      <w:r w:rsidRPr="00E869A4">
        <w:rPr>
          <w:rFonts w:ascii="Times New Roman" w:hAnsi="Times New Roman" w:cs="Times New Roman"/>
          <w:szCs w:val="24"/>
        </w:rPr>
        <w:t xml:space="preserve"> she would get up in pain an</w:t>
      </w:r>
      <w:r w:rsidRPr="00E869A4">
        <w:rPr>
          <w:rFonts w:ascii="Times New Roman" w:eastAsia="Times New Roman" w:hAnsi="Times New Roman" w:cs="Times New Roman"/>
          <w:szCs w:val="24"/>
        </w:rPr>
        <w:t xml:space="preserve">’ I would have to go every minute </w:t>
      </w:r>
      <w:r w:rsidR="00DD6B30" w:rsidRPr="00E869A4">
        <w:rPr>
          <w:rFonts w:ascii="Times New Roman" w:eastAsia="Times New Roman" w:hAnsi="Times New Roman" w:cs="Times New Roman"/>
          <w:szCs w:val="24"/>
        </w:rPr>
        <w:t xml:space="preserve">[to] </w:t>
      </w:r>
      <w:r w:rsidRPr="00E869A4">
        <w:rPr>
          <w:rFonts w:ascii="Times New Roman" w:eastAsia="Times New Roman" w:hAnsi="Times New Roman" w:cs="Times New Roman"/>
          <w:szCs w:val="24"/>
        </w:rPr>
        <w:t>see what wrong with her. It would break my sleep an’ remember I would have to work ... An’ de nex’ day ah can’t function properly</w:t>
      </w:r>
      <w:r w:rsidR="00DD6B30"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because I didn’t sleep well at night. So dat was de hardest part of dat scenario for me</w:t>
      </w:r>
      <w:r w:rsidR="004E6C58"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4E6C58"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So that’s why de night person, [Ms. Sita], I’m so grateful for her</w:t>
      </w:r>
      <w:r w:rsidR="00324877" w:rsidRPr="00E869A4">
        <w:rPr>
          <w:rFonts w:ascii="Times New Roman" w:eastAsia="Times New Roman" w:hAnsi="Times New Roman" w:cs="Times New Roman"/>
          <w:szCs w:val="24"/>
        </w:rPr>
        <w:t>.</w:t>
      </w:r>
    </w:p>
    <w:p w14:paraId="40C4A137"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 </w:t>
      </w:r>
    </w:p>
    <w:p w14:paraId="5269889B" w14:textId="74B1BD27"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Even Timothy who was retired and had several in-home care workers assisting him with his father, found it hard to balance caring for his dad with his other responsibilities at his church. Like so many other caregivers, he found it challenging to keep his responsibilities on an even keel</w:t>
      </w:r>
      <w:r w:rsidR="00D24A41" w:rsidRPr="00E869A4">
        <w:rPr>
          <w:rFonts w:ascii="Times New Roman" w:hAnsi="Times New Roman" w:cs="Times New Roman"/>
          <w:szCs w:val="24"/>
        </w:rPr>
        <w:t>:</w:t>
      </w:r>
    </w:p>
    <w:p w14:paraId="35AA830B" w14:textId="77777777" w:rsidR="008A0DE7" w:rsidRPr="00E869A4" w:rsidRDefault="008A0DE7" w:rsidP="00365FB9">
      <w:pPr>
        <w:autoSpaceDE w:val="0"/>
        <w:autoSpaceDN w:val="0"/>
        <w:adjustRightInd w:val="0"/>
        <w:spacing w:line="240" w:lineRule="auto"/>
        <w:ind w:left="567" w:firstLine="0"/>
        <w:rPr>
          <w:rFonts w:ascii="Times New Roman" w:hAnsi="Times New Roman" w:cs="Times New Roman"/>
          <w:szCs w:val="24"/>
        </w:rPr>
      </w:pPr>
    </w:p>
    <w:p w14:paraId="69720394" w14:textId="02DA8B94" w:rsidR="00725205" w:rsidRPr="00E869A4" w:rsidRDefault="00725205" w:rsidP="00324877">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The only thing that</w:t>
      </w:r>
      <w:r w:rsidRPr="00E869A4">
        <w:rPr>
          <w:rFonts w:ascii="Times New Roman" w:eastAsia="Times New Roman" w:hAnsi="Times New Roman" w:cs="Times New Roman"/>
          <w:szCs w:val="24"/>
        </w:rPr>
        <w:t>’s stressful about it is that I still have responsibility</w:t>
      </w:r>
      <w:r w:rsidR="000F1A6F"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I’m trying to relinquish them but I’m kind of betwixt and between at the moment</w:t>
      </w:r>
      <w:r w:rsidR="00324877" w:rsidRPr="00E869A4">
        <w:rPr>
          <w:rFonts w:ascii="Times New Roman" w:eastAsia="Times New Roman" w:hAnsi="Times New Roman" w:cs="Times New Roman"/>
          <w:szCs w:val="24"/>
        </w:rPr>
        <w:t xml:space="preserve"> </w:t>
      </w:r>
      <w:r w:rsidR="0052125A"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w:t>
      </w:r>
      <w:r w:rsidR="0032487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Once I get into things I find it very difficult to get out [when it comes to] church and these other functions. [But] I need to come out because I’m feeling a lil bit stressed now from the simple fact that I don’t have the disposable time that I used to have before … I used to build and repair computers and I find it very difficult to do that now because </w:t>
      </w:r>
      <w:r w:rsidR="00DD6B30" w:rsidRPr="00E869A4">
        <w:rPr>
          <w:rFonts w:ascii="Times New Roman" w:eastAsia="Times New Roman" w:hAnsi="Times New Roman" w:cs="Times New Roman"/>
          <w:szCs w:val="24"/>
        </w:rPr>
        <w:t>…</w:t>
      </w:r>
      <w:r w:rsidR="00324877" w:rsidRPr="00E869A4">
        <w:rPr>
          <w:rFonts w:ascii="Times New Roman" w:eastAsia="Times New Roman" w:hAnsi="Times New Roman" w:cs="Times New Roman"/>
          <w:szCs w:val="24"/>
        </w:rPr>
        <w:t xml:space="preserve"> </w:t>
      </w:r>
      <w:r w:rsidR="00DD6B30" w:rsidRPr="00E869A4">
        <w:rPr>
          <w:rFonts w:ascii="Times New Roman" w:eastAsia="Times New Roman" w:hAnsi="Times New Roman" w:cs="Times New Roman"/>
          <w:szCs w:val="24"/>
        </w:rPr>
        <w:t>just</w:t>
      </w:r>
      <w:r w:rsidRPr="00E869A4">
        <w:rPr>
          <w:rFonts w:ascii="Times New Roman" w:eastAsia="Times New Roman" w:hAnsi="Times New Roman" w:cs="Times New Roman"/>
          <w:szCs w:val="24"/>
        </w:rPr>
        <w:t xml:space="preserve"> like today, I went and started to do work and next thing I catch myself I had a 10 o’clock meeting … Because I’m with dad Friday, Saturday, Sunday and I’m in church doing church stuff on Monday</w:t>
      </w:r>
      <w:r w:rsidR="000F1A6F"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 really don’t have a rest day</w:t>
      </w:r>
      <w:r w:rsidR="000F1A6F"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32487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to say that I have a day </w:t>
      </w:r>
      <w:r w:rsidR="00324877" w:rsidRPr="00E869A4">
        <w:rPr>
          <w:rFonts w:ascii="Times New Roman" w:eastAsia="Times New Roman" w:hAnsi="Times New Roman" w:cs="Times New Roman"/>
          <w:szCs w:val="24"/>
        </w:rPr>
        <w:t>[that is</w:t>
      </w:r>
      <w:r w:rsidR="00DD6B30" w:rsidRPr="00E869A4">
        <w:rPr>
          <w:rFonts w:ascii="Times New Roman" w:eastAsia="Times New Roman" w:hAnsi="Times New Roman" w:cs="Times New Roman"/>
          <w:szCs w:val="24"/>
        </w:rPr>
        <w:t>]</w:t>
      </w:r>
      <w:r w:rsidR="0032487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really mine and I don’t have any commitments, I don’t have that anymore and I need that</w:t>
      </w:r>
      <w:r w:rsidR="00324877" w:rsidRPr="00E869A4">
        <w:rPr>
          <w:rFonts w:ascii="Times New Roman" w:eastAsia="Times New Roman" w:hAnsi="Times New Roman" w:cs="Times New Roman"/>
          <w:szCs w:val="24"/>
        </w:rPr>
        <w:t>.</w:t>
      </w:r>
    </w:p>
    <w:p w14:paraId="560022A6"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 </w:t>
      </w:r>
    </w:p>
    <w:p w14:paraId="5E3E2AFF" w14:textId="64A78262" w:rsidR="00725205" w:rsidRPr="00E869A4" w:rsidRDefault="00725205" w:rsidP="000F1A6F">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Timothy</w:t>
      </w:r>
      <w:r w:rsidRPr="00E869A4">
        <w:rPr>
          <w:rFonts w:ascii="Times New Roman" w:eastAsia="Times New Roman" w:hAnsi="Times New Roman" w:cs="Times New Roman"/>
          <w:szCs w:val="24"/>
        </w:rPr>
        <w:t>’s need for respite was not unusual. Even caregivers with seemingly less responsibilities like Mr. Birch who was also retired</w:t>
      </w:r>
      <w:r w:rsidR="007D5EF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had moments when he wanted time for himself</w:t>
      </w:r>
      <w:r w:rsidR="00D24A41" w:rsidRPr="00E869A4">
        <w:rPr>
          <w:rFonts w:ascii="Times New Roman" w:eastAsia="Times New Roman" w:hAnsi="Times New Roman" w:cs="Times New Roman"/>
          <w:szCs w:val="24"/>
        </w:rPr>
        <w:t>:</w:t>
      </w:r>
    </w:p>
    <w:p w14:paraId="120459AC" w14:textId="77777777" w:rsidR="00725205" w:rsidRPr="00E869A4" w:rsidRDefault="00725205" w:rsidP="0052125A">
      <w:pPr>
        <w:autoSpaceDE w:val="0"/>
        <w:autoSpaceDN w:val="0"/>
        <w:adjustRightInd w:val="0"/>
        <w:spacing w:line="240" w:lineRule="auto"/>
        <w:rPr>
          <w:rFonts w:ascii="Times New Roman" w:hAnsi="Times New Roman" w:cs="Times New Roman"/>
          <w:szCs w:val="24"/>
        </w:rPr>
      </w:pPr>
    </w:p>
    <w:p w14:paraId="4BF0D794" w14:textId="3709DF82" w:rsidR="00725205" w:rsidRPr="00E869A4" w:rsidRDefault="00725205" w:rsidP="000F1A6F">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It doesn</w:t>
      </w:r>
      <w:r w:rsidRPr="00E869A4">
        <w:rPr>
          <w:rFonts w:ascii="Times New Roman" w:eastAsia="Times New Roman" w:hAnsi="Times New Roman" w:cs="Times New Roman"/>
          <w:szCs w:val="24"/>
        </w:rPr>
        <w:t xml:space="preserve">’t really be ah problem. Except you know sometimes, [I’m not in] de mood. But </w:t>
      </w:r>
      <w:r w:rsidR="007D5EFD"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wouldn’t show no kinda [bad] face: I will still do what I have to do for him an’ t’ing because he was always good to meh yuh know</w:t>
      </w:r>
      <w:r w:rsidR="000F1A6F" w:rsidRPr="00E869A4">
        <w:rPr>
          <w:rFonts w:ascii="Times New Roman" w:eastAsia="Times New Roman" w:hAnsi="Times New Roman" w:cs="Times New Roman"/>
          <w:szCs w:val="24"/>
        </w:rPr>
        <w:t>.</w:t>
      </w:r>
    </w:p>
    <w:p w14:paraId="718B162A"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b/>
          <w:szCs w:val="24"/>
        </w:rPr>
      </w:pPr>
    </w:p>
    <w:p w14:paraId="7FDE3B72" w14:textId="77777777" w:rsidR="00725205" w:rsidRPr="00E869A4" w:rsidRDefault="00725205" w:rsidP="0031040A">
      <w:pPr>
        <w:pStyle w:val="Heading5"/>
        <w:rPr>
          <w:color w:val="auto"/>
        </w:rPr>
      </w:pPr>
      <w:r w:rsidRPr="00E869A4">
        <w:rPr>
          <w:color w:val="auto"/>
        </w:rPr>
        <w:lastRenderedPageBreak/>
        <w:t xml:space="preserve">Poor </w:t>
      </w:r>
      <w:r w:rsidR="00CB606E" w:rsidRPr="00E869A4">
        <w:rPr>
          <w:color w:val="auto"/>
        </w:rPr>
        <w:t>h</w:t>
      </w:r>
      <w:r w:rsidRPr="00E869A4">
        <w:rPr>
          <w:color w:val="auto"/>
        </w:rPr>
        <w:t xml:space="preserve">ealth of </w:t>
      </w:r>
      <w:r w:rsidR="00CB606E" w:rsidRPr="00E869A4">
        <w:rPr>
          <w:color w:val="auto"/>
        </w:rPr>
        <w:t>c</w:t>
      </w:r>
      <w:r w:rsidRPr="00E869A4">
        <w:rPr>
          <w:color w:val="auto"/>
        </w:rPr>
        <w:t>aregiver</w:t>
      </w:r>
    </w:p>
    <w:p w14:paraId="0B9B7DBA" w14:textId="77777777" w:rsidR="00725205" w:rsidRPr="00E869A4" w:rsidRDefault="00725205" w:rsidP="00B61191">
      <w:pPr>
        <w:ind w:left="567" w:firstLine="0"/>
      </w:pPr>
    </w:p>
    <w:p w14:paraId="6732FF0B" w14:textId="558DB723"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Some of the caregivers had health </w:t>
      </w:r>
      <w:r w:rsidR="007D5EFD" w:rsidRPr="00E869A4">
        <w:rPr>
          <w:rFonts w:ascii="Times New Roman" w:hAnsi="Times New Roman" w:cs="Times New Roman"/>
          <w:szCs w:val="24"/>
        </w:rPr>
        <w:t>challenges, which</w:t>
      </w:r>
      <w:r w:rsidRPr="00E869A4">
        <w:rPr>
          <w:rFonts w:ascii="Times New Roman" w:hAnsi="Times New Roman" w:cs="Times New Roman"/>
          <w:szCs w:val="24"/>
        </w:rPr>
        <w:t xml:space="preserve"> made providing care especially difficult. In Mrs. Sanchez</w:t>
      </w:r>
      <w:r w:rsidRPr="00E869A4">
        <w:rPr>
          <w:rFonts w:ascii="Times New Roman" w:eastAsia="Times New Roman" w:hAnsi="Times New Roman" w:cs="Times New Roman"/>
          <w:szCs w:val="24"/>
        </w:rPr>
        <w:t xml:space="preserve">’s case, </w:t>
      </w:r>
      <w:r w:rsidR="007D5EFD" w:rsidRPr="00E869A4">
        <w:rPr>
          <w:rFonts w:ascii="Times New Roman" w:eastAsia="Times New Roman" w:hAnsi="Times New Roman" w:cs="Times New Roman"/>
          <w:szCs w:val="24"/>
        </w:rPr>
        <w:t>her health problems may</w:t>
      </w:r>
      <w:r w:rsidRPr="00E869A4">
        <w:rPr>
          <w:rFonts w:ascii="Times New Roman" w:eastAsia="Times New Roman" w:hAnsi="Times New Roman" w:cs="Times New Roman"/>
          <w:szCs w:val="24"/>
        </w:rPr>
        <w:t xml:space="preserve"> have been related to the strain of caregiving</w:t>
      </w:r>
      <w:r w:rsidR="00D24A41" w:rsidRPr="00E869A4">
        <w:rPr>
          <w:rFonts w:ascii="Times New Roman" w:eastAsia="Times New Roman" w:hAnsi="Times New Roman" w:cs="Times New Roman"/>
          <w:szCs w:val="24"/>
        </w:rPr>
        <w:t>:</w:t>
      </w:r>
    </w:p>
    <w:p w14:paraId="2A6F24DC"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04E5D9ED" w14:textId="1BAAF930" w:rsidR="00725205" w:rsidRPr="00E869A4" w:rsidRDefault="00725205" w:rsidP="000F1A6F">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I got up one morning I had a headache</w:t>
      </w:r>
      <w:r w:rsidR="000F1A6F" w:rsidRPr="00E869A4">
        <w:rPr>
          <w:rFonts w:ascii="Times New Roman" w:hAnsi="Times New Roman" w:cs="Times New Roman"/>
          <w:szCs w:val="24"/>
        </w:rPr>
        <w:t xml:space="preserve"> </w:t>
      </w:r>
      <w:r w:rsidRPr="00E869A4">
        <w:rPr>
          <w:rFonts w:ascii="Times New Roman" w:eastAsia="Times New Roman" w:hAnsi="Times New Roman" w:cs="Times New Roman"/>
          <w:szCs w:val="24"/>
        </w:rPr>
        <w:t>…</w:t>
      </w:r>
      <w:r w:rsidR="000F1A6F"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With that pain I started vomiting so I went to the hospital and a nurse saw me. 12 hours in casualty and they can’t get a bed</w:t>
      </w:r>
      <w:r w:rsidR="000F1A6F"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0F1A6F"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And then the doctor was telling me [I] have migraine headache: but I never had that kind of [headache</w:t>
      </w:r>
      <w:r w:rsidR="0093219A" w:rsidRPr="00E869A4">
        <w:rPr>
          <w:rFonts w:ascii="Times New Roman" w:eastAsia="Times New Roman" w:hAnsi="Times New Roman" w:cs="Times New Roman"/>
          <w:szCs w:val="24"/>
        </w:rPr>
        <w:t xml:space="preserve"> before</w:t>
      </w:r>
      <w:r w:rsidRPr="00E869A4">
        <w:rPr>
          <w:rFonts w:ascii="Times New Roman" w:eastAsia="Times New Roman" w:hAnsi="Times New Roman" w:cs="Times New Roman"/>
          <w:szCs w:val="24"/>
        </w:rPr>
        <w:t>]</w:t>
      </w:r>
      <w:r w:rsidR="00D24A41" w:rsidRPr="00E869A4">
        <w:rPr>
          <w:rFonts w:ascii="Times New Roman" w:eastAsia="Times New Roman" w:hAnsi="Times New Roman" w:cs="Times New Roman"/>
          <w:szCs w:val="24"/>
        </w:rPr>
        <w:t>.</w:t>
      </w:r>
    </w:p>
    <w:p w14:paraId="00E60FF3"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14FE8F42" w14:textId="4DC6AE24"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Marian on the other hand</w:t>
      </w:r>
      <w:r w:rsidR="00696671" w:rsidRPr="00E869A4">
        <w:rPr>
          <w:rFonts w:ascii="Times New Roman" w:hAnsi="Times New Roman" w:cs="Times New Roman"/>
          <w:szCs w:val="24"/>
        </w:rPr>
        <w:t>,</w:t>
      </w:r>
      <w:r w:rsidRPr="00E869A4">
        <w:rPr>
          <w:rFonts w:ascii="Times New Roman" w:hAnsi="Times New Roman" w:cs="Times New Roman"/>
          <w:szCs w:val="24"/>
        </w:rPr>
        <w:t xml:space="preserve"> had a health issue that wasn</w:t>
      </w:r>
      <w:r w:rsidRPr="00E869A4">
        <w:rPr>
          <w:rFonts w:ascii="Times New Roman" w:eastAsia="Times New Roman" w:hAnsi="Times New Roman" w:cs="Times New Roman"/>
          <w:szCs w:val="24"/>
        </w:rPr>
        <w:t>’t caused by caregiving, but was exacerbated as a result of her care situation. She had to go to the USA to undergo hip-replacement surgery, but, because she could not make suitable care arrangements for her mother, she kept postponing the trip. As a result of this, she continued to suffer with pain on a daily basis</w:t>
      </w:r>
      <w:r w:rsidR="007750AB" w:rsidRPr="00E869A4">
        <w:rPr>
          <w:rFonts w:ascii="Times New Roman" w:eastAsia="Times New Roman" w:hAnsi="Times New Roman" w:cs="Times New Roman"/>
          <w:szCs w:val="24"/>
        </w:rPr>
        <w:t>:</w:t>
      </w:r>
    </w:p>
    <w:p w14:paraId="04CA9060"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6A117718" w14:textId="304FBEB8" w:rsidR="00725205" w:rsidRPr="00E869A4" w:rsidRDefault="00725205" w:rsidP="000F1A6F">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I need to go. Because my sons want me up there yesterday to do the surgery. But I</w:t>
      </w:r>
      <w:r w:rsidRPr="00E869A4">
        <w:rPr>
          <w:rFonts w:ascii="Times New Roman" w:eastAsia="Times New Roman" w:hAnsi="Times New Roman" w:cs="Times New Roman"/>
          <w:szCs w:val="24"/>
        </w:rPr>
        <w:t>’m like …</w:t>
      </w:r>
      <w:r w:rsidR="000F1A6F"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I can’t leave my mother. I say maybe I should just pack up her bag and baggage and take her but who’s going to take care of her?</w:t>
      </w:r>
    </w:p>
    <w:p w14:paraId="5558EF50" w14:textId="77777777" w:rsidR="0093219A" w:rsidRPr="00E869A4" w:rsidRDefault="0093219A" w:rsidP="00365FB9">
      <w:pPr>
        <w:autoSpaceDE w:val="0"/>
        <w:autoSpaceDN w:val="0"/>
        <w:adjustRightInd w:val="0"/>
        <w:spacing w:line="240" w:lineRule="auto"/>
        <w:ind w:left="567" w:firstLine="0"/>
        <w:rPr>
          <w:rFonts w:ascii="Times New Roman" w:hAnsi="Times New Roman" w:cs="Times New Roman"/>
          <w:szCs w:val="24"/>
        </w:rPr>
      </w:pPr>
    </w:p>
    <w:p w14:paraId="572326CD" w14:textId="77777777" w:rsidR="0093219A" w:rsidRPr="00E869A4" w:rsidRDefault="0093219A" w:rsidP="0093219A">
      <w:pPr>
        <w:autoSpaceDE w:val="0"/>
        <w:autoSpaceDN w:val="0"/>
        <w:adjustRightInd w:val="0"/>
        <w:ind w:firstLine="0"/>
        <w:rPr>
          <w:rFonts w:ascii="Times New Roman" w:eastAsia="Times New Roman" w:hAnsi="Times New Roman" w:cs="Times New Roman"/>
          <w:szCs w:val="24"/>
        </w:rPr>
      </w:pPr>
      <w:r w:rsidRPr="00E869A4">
        <w:rPr>
          <w:rFonts w:ascii="Times New Roman" w:eastAsia="Times New Roman" w:hAnsi="Times New Roman" w:cs="Times New Roman"/>
          <w:szCs w:val="24"/>
        </w:rPr>
        <w:t xml:space="preserve">The worsening of family carer’s health has been widely researched in context of caregiver burden and quality of life outcomes (e.g. Morimoto, Schreiner, and Asano, 2003; Edwards et al, 2002; Hughes et al, 1999).  </w:t>
      </w:r>
    </w:p>
    <w:p w14:paraId="29EF1DDA" w14:textId="77777777" w:rsidR="0093219A" w:rsidRPr="00E869A4" w:rsidRDefault="0093219A" w:rsidP="00A35FF8">
      <w:pPr>
        <w:autoSpaceDE w:val="0"/>
        <w:autoSpaceDN w:val="0"/>
        <w:adjustRightInd w:val="0"/>
        <w:rPr>
          <w:rFonts w:ascii="Times New Roman" w:eastAsia="Times New Roman" w:hAnsi="Times New Roman" w:cs="Times New Roman"/>
          <w:szCs w:val="24"/>
        </w:rPr>
      </w:pPr>
    </w:p>
    <w:p w14:paraId="5BADCE10" w14:textId="270A28E7"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Marian and Mrs. Flora were the two oldest family caregivers that were interviewed and had shared openly about how their health challenges limited their ability to provide care support to their older relative.  Mrs. Flora suffered from rheumatoid arthritis and found caring for herself and her husband to be especially difficult on the days when her symptoms were heightened. Thankfully, she received some support from her daughter who lived in a house on the same premises, as well as her other daughter who lived about a </w:t>
      </w:r>
      <w:r w:rsidR="0030681A" w:rsidRPr="00E869A4">
        <w:rPr>
          <w:rFonts w:ascii="Times New Roman" w:hAnsi="Times New Roman" w:cs="Times New Roman"/>
          <w:szCs w:val="24"/>
        </w:rPr>
        <w:t>twenty-minute</w:t>
      </w:r>
      <w:r w:rsidRPr="00E869A4">
        <w:rPr>
          <w:rFonts w:ascii="Times New Roman" w:hAnsi="Times New Roman" w:cs="Times New Roman"/>
          <w:szCs w:val="24"/>
        </w:rPr>
        <w:t xml:space="preserve"> drive from her</w:t>
      </w:r>
      <w:r w:rsidR="007750AB" w:rsidRPr="00E869A4">
        <w:rPr>
          <w:rFonts w:ascii="Times New Roman" w:hAnsi="Times New Roman" w:cs="Times New Roman"/>
          <w:szCs w:val="24"/>
        </w:rPr>
        <w:t>:</w:t>
      </w:r>
    </w:p>
    <w:p w14:paraId="35C720BE"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333FE633" w14:textId="4170E715" w:rsidR="00725205" w:rsidRPr="00E869A4" w:rsidRDefault="00725205" w:rsidP="005C0297">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He can’t go to the bank</w:t>
      </w:r>
      <w:r w:rsidR="005C0297" w:rsidRPr="00E869A4">
        <w:rPr>
          <w:rFonts w:ascii="Times New Roman" w:hAnsi="Times New Roman" w:cs="Times New Roman"/>
          <w:szCs w:val="24"/>
        </w:rPr>
        <w:t xml:space="preserve"> </w:t>
      </w:r>
      <w:r w:rsidRPr="00E869A4">
        <w:rPr>
          <w:rFonts w:ascii="Times New Roman" w:hAnsi="Times New Roman" w:cs="Times New Roman"/>
          <w:szCs w:val="24"/>
        </w:rPr>
        <w:t>…</w:t>
      </w:r>
      <w:r w:rsidR="005C0297" w:rsidRPr="00E869A4">
        <w:rPr>
          <w:rFonts w:ascii="Times New Roman" w:hAnsi="Times New Roman" w:cs="Times New Roman"/>
          <w:szCs w:val="24"/>
        </w:rPr>
        <w:t xml:space="preserve"> </w:t>
      </w:r>
      <w:r w:rsidR="004E6C58" w:rsidRPr="00E869A4">
        <w:rPr>
          <w:rFonts w:ascii="Times New Roman" w:hAnsi="Times New Roman" w:cs="Times New Roman"/>
          <w:szCs w:val="24"/>
        </w:rPr>
        <w:t xml:space="preserve">I get up on mornings … </w:t>
      </w:r>
      <w:r w:rsidRPr="00E869A4">
        <w:rPr>
          <w:rFonts w:ascii="Times New Roman" w:hAnsi="Times New Roman" w:cs="Times New Roman"/>
          <w:szCs w:val="24"/>
        </w:rPr>
        <w:t>bathe if I feel good and go</w:t>
      </w:r>
      <w:r w:rsidR="004E6C58" w:rsidRPr="00E869A4">
        <w:rPr>
          <w:rFonts w:ascii="Times New Roman" w:hAnsi="Times New Roman" w:cs="Times New Roman"/>
          <w:szCs w:val="24"/>
        </w:rPr>
        <w:t xml:space="preserve"> </w:t>
      </w:r>
      <w:r w:rsidR="00C36696" w:rsidRPr="00E869A4">
        <w:rPr>
          <w:rFonts w:ascii="Times New Roman" w:hAnsi="Times New Roman" w:cs="Times New Roman"/>
          <w:szCs w:val="24"/>
        </w:rPr>
        <w:t>…</w:t>
      </w:r>
      <w:r w:rsidR="005C0297" w:rsidRPr="00E869A4">
        <w:rPr>
          <w:rFonts w:ascii="Times New Roman" w:hAnsi="Times New Roman" w:cs="Times New Roman"/>
          <w:szCs w:val="24"/>
        </w:rPr>
        <w:t xml:space="preserve"> </w:t>
      </w:r>
      <w:r w:rsidRPr="00E869A4">
        <w:rPr>
          <w:rFonts w:ascii="Times New Roman" w:hAnsi="Times New Roman" w:cs="Times New Roman"/>
          <w:szCs w:val="24"/>
        </w:rPr>
        <w:t>[Housekeeping and laundry] … I could do all those things if I get up and the stiffness off of me</w:t>
      </w:r>
      <w:r w:rsidR="004E6C58" w:rsidRPr="00E869A4">
        <w:rPr>
          <w:rFonts w:ascii="Times New Roman" w:hAnsi="Times New Roman" w:cs="Times New Roman"/>
          <w:szCs w:val="24"/>
        </w:rPr>
        <w:t xml:space="preserve"> …</w:t>
      </w:r>
      <w:r w:rsidRPr="00E869A4">
        <w:rPr>
          <w:rFonts w:ascii="Times New Roman" w:hAnsi="Times New Roman" w:cs="Times New Roman"/>
          <w:szCs w:val="24"/>
        </w:rPr>
        <w:t xml:space="preserve"> My both daughters … they more help me to go for the grocery and sometimes for medication. If I have to bring plenty groceries, well they would go. If it’s a minor thing like a pack of rice and a lil bit of something, I can go</w:t>
      </w:r>
      <w:r w:rsidR="004E6C58" w:rsidRPr="00E869A4">
        <w:rPr>
          <w:rFonts w:ascii="Times New Roman" w:hAnsi="Times New Roman" w:cs="Times New Roman"/>
          <w:szCs w:val="24"/>
        </w:rPr>
        <w:t xml:space="preserve"> </w:t>
      </w:r>
      <w:r w:rsidRPr="00E869A4">
        <w:rPr>
          <w:rFonts w:ascii="Times New Roman" w:hAnsi="Times New Roman" w:cs="Times New Roman"/>
          <w:szCs w:val="24"/>
        </w:rPr>
        <w:t>…</w:t>
      </w:r>
      <w:r w:rsidRPr="00E869A4">
        <w:rPr>
          <w:rFonts w:ascii="Times New Roman" w:hAnsi="Times New Roman" w:cs="Times New Roman"/>
        </w:rPr>
        <w:t xml:space="preserve"> we have a lil supermarket near us [so] </w:t>
      </w:r>
      <w:r w:rsidRPr="00E869A4">
        <w:rPr>
          <w:rFonts w:ascii="Times New Roman" w:hAnsi="Times New Roman" w:cs="Times New Roman"/>
          <w:szCs w:val="24"/>
        </w:rPr>
        <w:t>I walk. Sometimes I don’t feel to walk but … the exercise is good for me</w:t>
      </w:r>
      <w:r w:rsidR="005C0297" w:rsidRPr="00E869A4">
        <w:rPr>
          <w:rFonts w:ascii="Times New Roman" w:hAnsi="Times New Roman" w:cs="Times New Roman"/>
          <w:szCs w:val="24"/>
        </w:rPr>
        <w:t xml:space="preserve"> </w:t>
      </w:r>
      <w:r w:rsidR="00C36696" w:rsidRPr="00E869A4">
        <w:rPr>
          <w:rFonts w:ascii="Times New Roman" w:hAnsi="Times New Roman" w:cs="Times New Roman"/>
          <w:szCs w:val="24"/>
        </w:rPr>
        <w:t>…</w:t>
      </w:r>
      <w:r w:rsidRPr="00E869A4">
        <w:rPr>
          <w:rFonts w:ascii="Times New Roman" w:hAnsi="Times New Roman" w:cs="Times New Roman"/>
          <w:szCs w:val="24"/>
        </w:rPr>
        <w:t xml:space="preserve"> Lots of people offer to drop me all the time.</w:t>
      </w:r>
    </w:p>
    <w:p w14:paraId="5447FABC" w14:textId="77777777" w:rsidR="007750AB" w:rsidRPr="00E869A4" w:rsidRDefault="007750AB" w:rsidP="00D77F0B">
      <w:pPr>
        <w:autoSpaceDE w:val="0"/>
        <w:autoSpaceDN w:val="0"/>
        <w:adjustRightInd w:val="0"/>
        <w:spacing w:line="240" w:lineRule="auto"/>
        <w:ind w:left="567"/>
        <w:rPr>
          <w:rFonts w:ascii="Times New Roman" w:hAnsi="Times New Roman" w:cs="Times New Roman"/>
          <w:szCs w:val="24"/>
        </w:rPr>
      </w:pPr>
    </w:p>
    <w:p w14:paraId="356F0FD0" w14:textId="21C5B6E7" w:rsidR="00725205" w:rsidRPr="00E869A4" w:rsidRDefault="00725205" w:rsidP="0031040A">
      <w:pPr>
        <w:pStyle w:val="Heading5"/>
        <w:rPr>
          <w:color w:val="auto"/>
        </w:rPr>
      </w:pPr>
      <w:r w:rsidRPr="00E869A4">
        <w:rPr>
          <w:color w:val="auto"/>
        </w:rPr>
        <w:lastRenderedPageBreak/>
        <w:t xml:space="preserve">Support from </w:t>
      </w:r>
      <w:r w:rsidR="00CB606E" w:rsidRPr="00E869A4">
        <w:rPr>
          <w:color w:val="auto"/>
        </w:rPr>
        <w:t>o</w:t>
      </w:r>
      <w:r w:rsidRPr="00E869A4">
        <w:rPr>
          <w:color w:val="auto"/>
        </w:rPr>
        <w:t xml:space="preserve">ther </w:t>
      </w:r>
      <w:r w:rsidR="00CB606E" w:rsidRPr="00E869A4">
        <w:rPr>
          <w:color w:val="auto"/>
        </w:rPr>
        <w:t>r</w:t>
      </w:r>
      <w:r w:rsidRPr="00E869A4">
        <w:rPr>
          <w:color w:val="auto"/>
        </w:rPr>
        <w:t>elatives</w:t>
      </w:r>
    </w:p>
    <w:p w14:paraId="00BE7DE0" w14:textId="77777777" w:rsidR="00725205" w:rsidRPr="00E869A4" w:rsidRDefault="00725205" w:rsidP="00A35FF8">
      <w:pPr>
        <w:tabs>
          <w:tab w:val="left" w:pos="240"/>
          <w:tab w:val="left" w:pos="720"/>
        </w:tabs>
        <w:autoSpaceDE w:val="0"/>
        <w:autoSpaceDN w:val="0"/>
        <w:adjustRightInd w:val="0"/>
        <w:ind w:left="720" w:hanging="720"/>
        <w:rPr>
          <w:rFonts w:ascii="Times New Roman" w:hAnsi="Times New Roman" w:cs="Times New Roman"/>
          <w:szCs w:val="24"/>
        </w:rPr>
      </w:pPr>
    </w:p>
    <w:p w14:paraId="26EFAFA7" w14:textId="31C20823"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ab/>
        <w:t>The stress of providing care was made more difficult for those primary caregivers who had little to no support from relatives and friends. This was especially true of Mr. and Mrs. Sanchez</w:t>
      </w:r>
      <w:r w:rsidR="003C3E34" w:rsidRPr="00E869A4">
        <w:rPr>
          <w:rFonts w:ascii="Times New Roman" w:hAnsi="Times New Roman" w:cs="Times New Roman"/>
          <w:szCs w:val="24"/>
        </w:rPr>
        <w:t>. Mrs. Sanchez opined</w:t>
      </w:r>
      <w:r w:rsidR="000B7B2F" w:rsidRPr="00E869A4">
        <w:rPr>
          <w:rFonts w:ascii="Times New Roman" w:hAnsi="Times New Roman" w:cs="Times New Roman"/>
          <w:szCs w:val="24"/>
        </w:rPr>
        <w:t>:</w:t>
      </w:r>
      <w:r w:rsidRPr="00E869A4">
        <w:rPr>
          <w:rFonts w:ascii="Times New Roman" w:hAnsi="Times New Roman" w:cs="Times New Roman"/>
          <w:szCs w:val="24"/>
        </w:rPr>
        <w:tab/>
      </w:r>
    </w:p>
    <w:p w14:paraId="543252C3"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299DF7EB" w14:textId="5F44DC1D" w:rsidR="00725205" w:rsidRPr="00E869A4" w:rsidRDefault="00725205" w:rsidP="003C3E34">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Everybody have their own life to live. Nobody calls him, nobody comes, nobody asks a question, nobody come here to say ok, let me spend an hour or two with him or half day</w:t>
      </w:r>
      <w:r w:rsidR="00C74541" w:rsidRPr="00E869A4">
        <w:rPr>
          <w:rFonts w:ascii="Times New Roman" w:hAnsi="Times New Roman" w:cs="Times New Roman"/>
          <w:szCs w:val="24"/>
        </w:rPr>
        <w:t>,</w:t>
      </w:r>
      <w:r w:rsidRPr="00E869A4">
        <w:rPr>
          <w:rFonts w:ascii="Times New Roman" w:hAnsi="Times New Roman" w:cs="Times New Roman"/>
          <w:szCs w:val="24"/>
        </w:rPr>
        <w:t xml:space="preserve"> or a day so you could go and have some time for yourself </w:t>
      </w:r>
      <w:r w:rsidR="00014F43" w:rsidRPr="00E869A4">
        <w:rPr>
          <w:rFonts w:ascii="Times New Roman" w:hAnsi="Times New Roman" w:cs="Times New Roman"/>
          <w:szCs w:val="24"/>
        </w:rPr>
        <w:t>…</w:t>
      </w:r>
      <w:r w:rsidRPr="00E869A4">
        <w:rPr>
          <w:rFonts w:ascii="Times New Roman" w:hAnsi="Times New Roman" w:cs="Times New Roman"/>
          <w:szCs w:val="24"/>
        </w:rPr>
        <w:t xml:space="preserve"> No friend, no family, wha</w:t>
      </w:r>
      <w:r w:rsidRPr="00E869A4">
        <w:rPr>
          <w:rFonts w:ascii="Times New Roman" w:eastAsia="Times New Roman" w:hAnsi="Times New Roman" w:cs="Times New Roman"/>
          <w:szCs w:val="24"/>
        </w:rPr>
        <w:t>’…</w:t>
      </w:r>
      <w:r w:rsidR="003C3E34"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Practically he send half of [his siblings] to school. One in America, [and] the one up the road who was a Principal … People just don’t care. That one [who lives nearby], if somebody ask a question</w:t>
      </w:r>
      <w:r w:rsidR="00C74541" w:rsidRPr="00E869A4">
        <w:rPr>
          <w:rFonts w:ascii="Times New Roman" w:eastAsia="Times New Roman" w:hAnsi="Times New Roman" w:cs="Times New Roman"/>
          <w:szCs w:val="24"/>
        </w:rPr>
        <w:t xml:space="preserve"> [about him],</w:t>
      </w:r>
      <w:r w:rsidRPr="00E869A4">
        <w:rPr>
          <w:rFonts w:ascii="Times New Roman" w:eastAsia="Times New Roman" w:hAnsi="Times New Roman" w:cs="Times New Roman"/>
          <w:szCs w:val="24"/>
        </w:rPr>
        <w:t xml:space="preserve"> she would call [but] that’s it. Christmas coming, then they will know that he living and he in need. So they will only come at that time and for his birthday [to find out] what he need, what he want. So the rest of the year he hibernates.</w:t>
      </w:r>
    </w:p>
    <w:p w14:paraId="2C3CB1E9"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2F8212AF" w14:textId="7B68B798" w:rsidR="00725205" w:rsidRPr="00E869A4" w:rsidRDefault="00725205" w:rsidP="00ED4CD0">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Others like Ms. Marian could depend on relatives to provide material assistance, but suffered from not having emotional support</w:t>
      </w:r>
      <w:r w:rsidR="000B7B2F" w:rsidRPr="00E869A4">
        <w:rPr>
          <w:rFonts w:ascii="Times New Roman" w:hAnsi="Times New Roman" w:cs="Times New Roman"/>
          <w:szCs w:val="24"/>
        </w:rPr>
        <w:t>:</w:t>
      </w:r>
    </w:p>
    <w:p w14:paraId="2C1391A7"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05C7717D" w14:textId="00BA49B3" w:rsidR="00725205" w:rsidRDefault="00725205" w:rsidP="00ED4CD0">
      <w:pPr>
        <w:autoSpaceDE w:val="0"/>
        <w:autoSpaceDN w:val="0"/>
        <w:adjustRightInd w:val="0"/>
        <w:spacing w:line="240" w:lineRule="auto"/>
        <w:ind w:left="567" w:firstLine="0"/>
        <w:rPr>
          <w:rFonts w:ascii="Times New Roman" w:eastAsia="Times New Roman" w:hAnsi="Times New Roman" w:cs="Times New Roman"/>
          <w:szCs w:val="24"/>
        </w:rPr>
      </w:pPr>
      <w:r w:rsidRPr="00E869A4">
        <w:rPr>
          <w:rFonts w:ascii="Times New Roman" w:hAnsi="Times New Roman" w:cs="Times New Roman"/>
          <w:szCs w:val="24"/>
        </w:rPr>
        <w:t>Everybody needs somebody to talk to. I have nobody. [Sometimes] I talk to my neighbour opposite. And there is [a lady at] the church. I know that I can talk to her and she wouldn</w:t>
      </w:r>
      <w:r w:rsidRPr="00E869A4">
        <w:rPr>
          <w:rFonts w:ascii="Times New Roman" w:eastAsia="Times New Roman" w:hAnsi="Times New Roman" w:cs="Times New Roman"/>
          <w:szCs w:val="24"/>
        </w:rPr>
        <w:t>’t tell anybody either. I could tell her certain things like what would be bothering me with Onella and what she’s doing. But when it comes to financial stuff, I really have nobody to talk to like, if I need anything all I have to do is text my sons. Don’t call them yuh know: text them</w:t>
      </w:r>
      <w:r w:rsidR="00014F43" w:rsidRPr="00E869A4">
        <w:rPr>
          <w:rFonts w:ascii="Times New Roman" w:eastAsia="Times New Roman" w:hAnsi="Times New Roman" w:cs="Times New Roman"/>
          <w:szCs w:val="24"/>
        </w:rPr>
        <w:t xml:space="preserve"> </w:t>
      </w:r>
      <w:r w:rsidR="00014F43" w:rsidRPr="00E869A4">
        <w:rPr>
          <w:rFonts w:ascii="Times New Roman" w:hAnsi="Times New Roman" w:cs="Times New Roman"/>
          <w:szCs w:val="24"/>
        </w:rPr>
        <w:t>…</w:t>
      </w:r>
      <w:r w:rsidR="00014F43"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because, boys are different than girls. Now my last boy, I notice he calls [mammy] </w:t>
      </w:r>
      <w:proofErr w:type="spellStart"/>
      <w:r w:rsidRPr="00E869A4">
        <w:rPr>
          <w:rFonts w:ascii="Times New Roman" w:eastAsia="Times New Roman" w:hAnsi="Times New Roman" w:cs="Times New Roman"/>
          <w:szCs w:val="24"/>
        </w:rPr>
        <w:t>everyday</w:t>
      </w:r>
      <w:proofErr w:type="spellEnd"/>
      <w:r w:rsidRPr="00E869A4">
        <w:rPr>
          <w:rFonts w:ascii="Times New Roman" w:eastAsia="Times New Roman" w:hAnsi="Times New Roman" w:cs="Times New Roman"/>
          <w:szCs w:val="24"/>
        </w:rPr>
        <w:t xml:space="preserve"> now. But the other </w:t>
      </w:r>
      <w:r w:rsidR="000B7B2F" w:rsidRPr="00E869A4">
        <w:rPr>
          <w:rFonts w:ascii="Times New Roman" w:eastAsia="Times New Roman" w:hAnsi="Times New Roman" w:cs="Times New Roman"/>
          <w:szCs w:val="24"/>
        </w:rPr>
        <w:t>two</w:t>
      </w:r>
      <w:r w:rsidRPr="00E869A4">
        <w:rPr>
          <w:rFonts w:ascii="Times New Roman" w:eastAsia="Times New Roman" w:hAnsi="Times New Roman" w:cs="Times New Roman"/>
          <w:szCs w:val="24"/>
        </w:rPr>
        <w:t>, whatever she wants they would give her, but they won’t call</w:t>
      </w:r>
      <w:r w:rsidR="00ED4CD0" w:rsidRPr="00E869A4">
        <w:rPr>
          <w:rFonts w:ascii="Times New Roman" w:eastAsia="Times New Roman" w:hAnsi="Times New Roman" w:cs="Times New Roman"/>
          <w:szCs w:val="24"/>
        </w:rPr>
        <w:t>.</w:t>
      </w:r>
    </w:p>
    <w:p w14:paraId="0D579203" w14:textId="77777777" w:rsidR="00371659" w:rsidRPr="00E869A4" w:rsidRDefault="00371659" w:rsidP="00ED4CD0">
      <w:pPr>
        <w:autoSpaceDE w:val="0"/>
        <w:autoSpaceDN w:val="0"/>
        <w:adjustRightInd w:val="0"/>
        <w:spacing w:line="240" w:lineRule="auto"/>
        <w:ind w:left="567" w:firstLine="0"/>
        <w:rPr>
          <w:rFonts w:ascii="Times New Roman" w:eastAsia="Times New Roman" w:hAnsi="Times New Roman" w:cs="Times New Roman"/>
          <w:szCs w:val="24"/>
        </w:rPr>
      </w:pPr>
    </w:p>
    <w:p w14:paraId="2B82C02D" w14:textId="076F1876" w:rsidR="00725205" w:rsidRPr="00E869A4" w:rsidRDefault="00725205" w:rsidP="00A35FF8">
      <w:pPr>
        <w:autoSpaceDE w:val="0"/>
        <w:autoSpaceDN w:val="0"/>
        <w:adjustRightInd w:val="0"/>
        <w:rPr>
          <w:rFonts w:ascii="Times New Roman" w:eastAsia="Times New Roman" w:hAnsi="Times New Roman" w:cs="Times New Roman"/>
          <w:szCs w:val="24"/>
        </w:rPr>
      </w:pPr>
      <w:r w:rsidRPr="00E869A4">
        <w:rPr>
          <w:rFonts w:ascii="Times New Roman" w:eastAsia="Times New Roman" w:hAnsi="Times New Roman" w:cs="Times New Roman"/>
          <w:szCs w:val="24"/>
        </w:rPr>
        <w:t>Samantha Khan also shared about the limited support she received from her brothers who lived</w:t>
      </w:r>
      <w:r w:rsidR="00B466C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in Trinidad and overseas</w:t>
      </w:r>
      <w:r w:rsidR="000B7B2F"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0B7B2F" w:rsidRPr="00E869A4">
        <w:rPr>
          <w:rFonts w:ascii="Times New Roman" w:hAnsi="Times New Roman" w:cs="Times New Roman"/>
          <w:szCs w:val="24"/>
        </w:rPr>
        <w:t>“</w:t>
      </w:r>
      <w:r w:rsidRPr="00E869A4">
        <w:rPr>
          <w:rFonts w:ascii="Times New Roman" w:hAnsi="Times New Roman" w:cs="Times New Roman"/>
          <w:szCs w:val="24"/>
        </w:rPr>
        <w:t>Generally is one of them who really helps. The others, well they would pass from time to time but you really can</w:t>
      </w:r>
      <w:r w:rsidRPr="00E869A4">
        <w:rPr>
          <w:rFonts w:ascii="Times New Roman" w:eastAsia="Times New Roman" w:hAnsi="Times New Roman" w:cs="Times New Roman"/>
          <w:szCs w:val="24"/>
        </w:rPr>
        <w:t>’t depend on them. And then it have two of them in the States.</w:t>
      </w:r>
      <w:r w:rsidR="000B7B2F"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 </w:t>
      </w:r>
      <w:r w:rsidRPr="00E869A4">
        <w:rPr>
          <w:rFonts w:ascii="Times New Roman" w:hAnsi="Times New Roman" w:cs="Times New Roman"/>
          <w:szCs w:val="24"/>
        </w:rPr>
        <w:t>(FCG: Samantha)</w:t>
      </w:r>
      <w:r w:rsidR="00ED4CD0" w:rsidRPr="00E869A4">
        <w:rPr>
          <w:rFonts w:ascii="Times New Roman" w:hAnsi="Times New Roman" w:cs="Times New Roman"/>
          <w:szCs w:val="24"/>
        </w:rPr>
        <w:t>.</w:t>
      </w:r>
      <w:r w:rsidR="00A301F6" w:rsidRPr="00E869A4">
        <w:rPr>
          <w:rFonts w:ascii="Times New Roman" w:hAnsi="Times New Roman" w:cs="Times New Roman"/>
          <w:szCs w:val="24"/>
        </w:rPr>
        <w:t xml:space="preserve"> </w:t>
      </w:r>
      <w:r w:rsidRPr="00E869A4">
        <w:rPr>
          <w:rFonts w:ascii="Times New Roman" w:hAnsi="Times New Roman" w:cs="Times New Roman"/>
          <w:szCs w:val="24"/>
        </w:rPr>
        <w:t>In Sheila</w:t>
      </w:r>
      <w:r w:rsidRPr="00E869A4">
        <w:rPr>
          <w:rFonts w:ascii="Times New Roman" w:eastAsia="Times New Roman" w:hAnsi="Times New Roman" w:cs="Times New Roman"/>
          <w:szCs w:val="24"/>
        </w:rPr>
        <w:t xml:space="preserve">’s case, </w:t>
      </w:r>
      <w:r w:rsidR="00A24D2A" w:rsidRPr="00E869A4">
        <w:rPr>
          <w:rFonts w:ascii="Times New Roman" w:eastAsia="Times New Roman" w:hAnsi="Times New Roman" w:cs="Times New Roman"/>
          <w:szCs w:val="24"/>
        </w:rPr>
        <w:t xml:space="preserve">while </w:t>
      </w:r>
      <w:r w:rsidRPr="00E869A4">
        <w:rPr>
          <w:rFonts w:ascii="Times New Roman" w:eastAsia="Times New Roman" w:hAnsi="Times New Roman" w:cs="Times New Roman"/>
          <w:szCs w:val="24"/>
        </w:rPr>
        <w:t xml:space="preserve">she received excellent support from her brother </w:t>
      </w:r>
      <w:r w:rsidR="0011568A" w:rsidRPr="00E869A4">
        <w:rPr>
          <w:rFonts w:ascii="Times New Roman" w:eastAsia="Times New Roman" w:hAnsi="Times New Roman" w:cs="Times New Roman"/>
          <w:szCs w:val="24"/>
        </w:rPr>
        <w:t>Winston</w:t>
      </w:r>
      <w:r w:rsidRPr="00E869A4">
        <w:rPr>
          <w:rFonts w:ascii="Times New Roman" w:eastAsia="Times New Roman" w:hAnsi="Times New Roman" w:cs="Times New Roman"/>
          <w:szCs w:val="24"/>
        </w:rPr>
        <w:t xml:space="preserve"> who lived abroad, she could not depend on her son Brandon to fully support his grandmother even though he lived in the same house with Mother Freeda. Brandon would help with tasks when asked, </w:t>
      </w:r>
      <w:r w:rsidR="00CE4301" w:rsidRPr="00E869A4">
        <w:rPr>
          <w:rFonts w:ascii="Times New Roman" w:eastAsia="Times New Roman" w:hAnsi="Times New Roman" w:cs="Times New Roman"/>
          <w:szCs w:val="24"/>
        </w:rPr>
        <w:t xml:space="preserve">but </w:t>
      </w:r>
      <w:r w:rsidRPr="00E869A4">
        <w:rPr>
          <w:rFonts w:ascii="Times New Roman" w:eastAsia="Times New Roman" w:hAnsi="Times New Roman" w:cs="Times New Roman"/>
          <w:szCs w:val="24"/>
        </w:rPr>
        <w:t>he did not show much initiative in attending to Mother Freeda’s needs. Sheila believed his age and level of maturity</w:t>
      </w:r>
      <w:r w:rsidR="00866983" w:rsidRPr="00E869A4">
        <w:rPr>
          <w:rFonts w:ascii="Times New Roman" w:eastAsia="Times New Roman" w:hAnsi="Times New Roman" w:cs="Times New Roman"/>
          <w:szCs w:val="24"/>
        </w:rPr>
        <w:t xml:space="preserve"> partly explained his limited attentiveness</w:t>
      </w:r>
      <w:r w:rsidR="0061296E"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p>
    <w:p w14:paraId="55D45F86" w14:textId="77777777" w:rsidR="00D77F0B" w:rsidRPr="00E869A4" w:rsidRDefault="00D77F0B" w:rsidP="00D77F0B">
      <w:pPr>
        <w:autoSpaceDE w:val="0"/>
        <w:autoSpaceDN w:val="0"/>
        <w:adjustRightInd w:val="0"/>
        <w:spacing w:line="240" w:lineRule="auto"/>
        <w:rPr>
          <w:rFonts w:ascii="Times New Roman" w:hAnsi="Times New Roman" w:cs="Times New Roman"/>
          <w:szCs w:val="24"/>
        </w:rPr>
      </w:pPr>
    </w:p>
    <w:p w14:paraId="486ABACB" w14:textId="1217FF0C" w:rsidR="00725205" w:rsidRPr="00E869A4" w:rsidRDefault="00725205" w:rsidP="0045516F">
      <w:pPr>
        <w:autoSpaceDE w:val="0"/>
        <w:autoSpaceDN w:val="0"/>
        <w:adjustRightInd w:val="0"/>
        <w:spacing w:line="240" w:lineRule="auto"/>
        <w:ind w:left="567" w:firstLine="0"/>
        <w:rPr>
          <w:rFonts w:ascii="Times New Roman" w:hAnsi="Times New Roman" w:cs="Times New Roman"/>
          <w:szCs w:val="24"/>
        </w:rPr>
      </w:pPr>
      <w:r w:rsidRPr="00E869A4">
        <w:rPr>
          <w:rFonts w:ascii="Times New Roman" w:eastAsia="Times New Roman" w:hAnsi="Times New Roman" w:cs="Times New Roman"/>
          <w:szCs w:val="24"/>
        </w:rPr>
        <w:t xml:space="preserve">Is </w:t>
      </w:r>
      <w:proofErr w:type="spellStart"/>
      <w:r w:rsidRPr="00E869A4">
        <w:rPr>
          <w:rFonts w:ascii="Times New Roman" w:eastAsia="Times New Roman" w:hAnsi="Times New Roman" w:cs="Times New Roman"/>
          <w:szCs w:val="24"/>
        </w:rPr>
        <w:t>ah</w:t>
      </w:r>
      <w:proofErr w:type="spellEnd"/>
      <w:r w:rsidRPr="00E869A4">
        <w:rPr>
          <w:rFonts w:ascii="Times New Roman" w:eastAsia="Times New Roman" w:hAnsi="Times New Roman" w:cs="Times New Roman"/>
          <w:szCs w:val="24"/>
        </w:rPr>
        <w:t xml:space="preserve"> age – is amazing! People mature at different ages … If she ask</w:t>
      </w:r>
      <w:r w:rsidR="00354B62"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he would go an’ rub her foot. If she wants ah cup of tea</w:t>
      </w:r>
      <w:r w:rsidR="00354B62"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he would bring it. She wants water he would do it. If she has to call anybody</w:t>
      </w:r>
      <w:r w:rsidR="00354B62"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he would do that too. But to say, on </w:t>
      </w:r>
      <w:proofErr w:type="spellStart"/>
      <w:r w:rsidRPr="00E869A4">
        <w:rPr>
          <w:rFonts w:ascii="Times New Roman" w:eastAsia="Times New Roman" w:hAnsi="Times New Roman" w:cs="Times New Roman"/>
          <w:szCs w:val="24"/>
        </w:rPr>
        <w:t>ah</w:t>
      </w:r>
      <w:proofErr w:type="spellEnd"/>
      <w:r w:rsidRPr="00E869A4">
        <w:rPr>
          <w:rFonts w:ascii="Times New Roman" w:eastAsia="Times New Roman" w:hAnsi="Times New Roman" w:cs="Times New Roman"/>
          <w:szCs w:val="24"/>
        </w:rPr>
        <w:t xml:space="preserve"> regular basis he comes in an’ sees what her needs are</w:t>
      </w:r>
      <w:r w:rsidR="004E6C58"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 we’re working on that. Yuh know, once she’s not flat in bed an’ mummy passes in (said </w:t>
      </w:r>
      <w:r w:rsidRPr="00E869A4">
        <w:rPr>
          <w:rFonts w:ascii="Times New Roman" w:eastAsia="Times New Roman" w:hAnsi="Times New Roman" w:cs="Times New Roman"/>
          <w:szCs w:val="24"/>
        </w:rPr>
        <w:lastRenderedPageBreak/>
        <w:t>laughingly) Cool! It’s absolutely amazing</w:t>
      </w:r>
      <w:r w:rsidR="00ED4CD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 think it’s a way of blocking off the reality too because, I recognise that a lot of young people – and he seem to be one of them – don’t like to face facts. And that’s a fact o</w:t>
      </w:r>
      <w:r w:rsidR="004E6C58" w:rsidRPr="00E869A4">
        <w:rPr>
          <w:rFonts w:ascii="Times New Roman" w:eastAsia="Times New Roman" w:hAnsi="Times New Roman" w:cs="Times New Roman"/>
          <w:szCs w:val="24"/>
        </w:rPr>
        <w:t>f life that you gonna get old …</w:t>
      </w:r>
      <w:r w:rsidRPr="00E869A4">
        <w:rPr>
          <w:rFonts w:ascii="Times New Roman" w:eastAsia="Times New Roman" w:hAnsi="Times New Roman" w:cs="Times New Roman"/>
          <w:szCs w:val="24"/>
        </w:rPr>
        <w:t xml:space="preserve"> To face that is as though it’s too much - I recognise that with him</w:t>
      </w:r>
      <w:r w:rsidR="0061296E" w:rsidRPr="00E869A4">
        <w:rPr>
          <w:rFonts w:ascii="Times New Roman" w:eastAsia="Times New Roman" w:hAnsi="Times New Roman" w:cs="Times New Roman"/>
          <w:szCs w:val="24"/>
        </w:rPr>
        <w:t>.</w:t>
      </w:r>
    </w:p>
    <w:p w14:paraId="418CE359" w14:textId="77777777" w:rsidR="00567B5B" w:rsidRPr="00E869A4" w:rsidRDefault="00567B5B" w:rsidP="0045516F">
      <w:pPr>
        <w:autoSpaceDE w:val="0"/>
        <w:autoSpaceDN w:val="0"/>
        <w:adjustRightInd w:val="0"/>
        <w:spacing w:line="240" w:lineRule="auto"/>
        <w:ind w:left="567" w:firstLine="0"/>
      </w:pPr>
    </w:p>
    <w:p w14:paraId="4598AF91" w14:textId="4C0A0B48" w:rsidR="004E6C58" w:rsidRPr="00E869A4" w:rsidRDefault="004E6C58" w:rsidP="0045516F">
      <w:pPr>
        <w:spacing w:line="240" w:lineRule="auto"/>
        <w:rPr>
          <w:i/>
          <w:u w:val="single"/>
        </w:rPr>
      </w:pPr>
    </w:p>
    <w:p w14:paraId="54FAB2DC" w14:textId="3DA03186" w:rsidR="00725205" w:rsidRPr="00E869A4" w:rsidRDefault="00725205" w:rsidP="00CB606E">
      <w:pPr>
        <w:pStyle w:val="Heading4"/>
        <w:rPr>
          <w:b w:val="0"/>
        </w:rPr>
      </w:pPr>
      <w:r w:rsidRPr="00E869A4">
        <w:rPr>
          <w:b w:val="0"/>
        </w:rPr>
        <w:t>Grief (Anticipatory and Cumulative)</w:t>
      </w:r>
    </w:p>
    <w:p w14:paraId="30AC807C" w14:textId="77777777" w:rsidR="00725205" w:rsidRPr="00E869A4" w:rsidRDefault="00725205" w:rsidP="00A35FF8">
      <w:pPr>
        <w:autoSpaceDE w:val="0"/>
        <w:autoSpaceDN w:val="0"/>
        <w:adjustRightInd w:val="0"/>
        <w:rPr>
          <w:rFonts w:ascii="Times New Roman" w:hAnsi="Times New Roman" w:cs="Times New Roman"/>
          <w:szCs w:val="24"/>
        </w:rPr>
      </w:pPr>
    </w:p>
    <w:p w14:paraId="64C9D15D" w14:textId="29C75B1B"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Two of the participants (Rebecca and Reshma) were still struggling with grief at the time that they were interviewed. Rebecca, more than the other family caregivers, appeared to be challenged by anticipatory grief. The burden of providing intense care to her terminally ill husband followed by caring for </w:t>
      </w:r>
      <w:r w:rsidR="0061296E" w:rsidRPr="00E869A4">
        <w:rPr>
          <w:rFonts w:ascii="Times New Roman" w:hAnsi="Times New Roman" w:cs="Times New Roman"/>
          <w:szCs w:val="24"/>
        </w:rPr>
        <w:t xml:space="preserve">her mother </w:t>
      </w:r>
      <w:r w:rsidRPr="00E869A4">
        <w:rPr>
          <w:rFonts w:ascii="Times New Roman" w:hAnsi="Times New Roman" w:cs="Times New Roman"/>
          <w:szCs w:val="24"/>
        </w:rPr>
        <w:t>Ms. Kumar, caused her significant emotional strain</w:t>
      </w:r>
      <w:r w:rsidR="0061296E" w:rsidRPr="00E869A4">
        <w:rPr>
          <w:rFonts w:ascii="Times New Roman" w:hAnsi="Times New Roman" w:cs="Times New Roman"/>
          <w:szCs w:val="24"/>
        </w:rPr>
        <w:t>:</w:t>
      </w:r>
      <w:r w:rsidRPr="00E869A4">
        <w:rPr>
          <w:rFonts w:ascii="Times New Roman" w:hAnsi="Times New Roman" w:cs="Times New Roman"/>
          <w:szCs w:val="24"/>
        </w:rPr>
        <w:t xml:space="preserve"> </w:t>
      </w:r>
    </w:p>
    <w:p w14:paraId="2D71BF18"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7FBCBB2E" w14:textId="2731F782" w:rsidR="00725205" w:rsidRPr="00E869A4" w:rsidRDefault="00725205" w:rsidP="00ED4CD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Remember I went through 4 years of my husband ailin</w:t>
      </w:r>
      <w:r w:rsidRPr="00E869A4">
        <w:rPr>
          <w:rFonts w:ascii="Times New Roman" w:eastAsia="Times New Roman" w:hAnsi="Times New Roman" w:cs="Times New Roman"/>
          <w:szCs w:val="24"/>
        </w:rPr>
        <w:t xml:space="preserve">’ with cancer – up an’ down an’ </w:t>
      </w:r>
      <w:r w:rsidR="00D176D2" w:rsidRPr="00E869A4">
        <w:rPr>
          <w:rFonts w:ascii="Times New Roman" w:eastAsia="Times New Roman" w:hAnsi="Times New Roman" w:cs="Times New Roman"/>
          <w:szCs w:val="24"/>
        </w:rPr>
        <w:t>it’s</w:t>
      </w:r>
      <w:r w:rsidRPr="00E869A4">
        <w:rPr>
          <w:rFonts w:ascii="Times New Roman" w:eastAsia="Times New Roman" w:hAnsi="Times New Roman" w:cs="Times New Roman"/>
          <w:szCs w:val="24"/>
        </w:rPr>
        <w:t xml:space="preserve"> taken a lot from me emotionally. So I’m </w:t>
      </w:r>
      <w:proofErr w:type="spellStart"/>
      <w:r w:rsidRPr="00E869A4">
        <w:rPr>
          <w:rFonts w:ascii="Times New Roman" w:eastAsia="Times New Roman" w:hAnsi="Times New Roman" w:cs="Times New Roman"/>
          <w:szCs w:val="24"/>
        </w:rPr>
        <w:t>jus</w:t>
      </w:r>
      <w:proofErr w:type="spellEnd"/>
      <w:r w:rsidRPr="00E869A4">
        <w:rPr>
          <w:rFonts w:ascii="Times New Roman" w:eastAsia="Times New Roman" w:hAnsi="Times New Roman" w:cs="Times New Roman"/>
          <w:szCs w:val="24"/>
        </w:rPr>
        <w:t xml:space="preserve">’ bracin’ myself for dat … I’m </w:t>
      </w:r>
      <w:proofErr w:type="spellStart"/>
      <w:r w:rsidRPr="00E869A4">
        <w:rPr>
          <w:rFonts w:ascii="Times New Roman" w:eastAsia="Times New Roman" w:hAnsi="Times New Roman" w:cs="Times New Roman"/>
          <w:szCs w:val="24"/>
        </w:rPr>
        <w:t>jus</w:t>
      </w:r>
      <w:proofErr w:type="spellEnd"/>
      <w:r w:rsidRPr="00E869A4">
        <w:rPr>
          <w:rFonts w:ascii="Times New Roman" w:eastAsia="Times New Roman" w:hAnsi="Times New Roman" w:cs="Times New Roman"/>
          <w:szCs w:val="24"/>
        </w:rPr>
        <w:t xml:space="preserve">’ numb when comin’ to dat now. I </w:t>
      </w:r>
      <w:proofErr w:type="spellStart"/>
      <w:r w:rsidRPr="00E869A4">
        <w:rPr>
          <w:rFonts w:ascii="Times New Roman" w:eastAsia="Times New Roman" w:hAnsi="Times New Roman" w:cs="Times New Roman"/>
          <w:szCs w:val="24"/>
        </w:rPr>
        <w:t>jus</w:t>
      </w:r>
      <w:proofErr w:type="spellEnd"/>
      <w:r w:rsidRPr="00E869A4">
        <w:rPr>
          <w:rFonts w:ascii="Times New Roman" w:eastAsia="Times New Roman" w:hAnsi="Times New Roman" w:cs="Times New Roman"/>
          <w:szCs w:val="24"/>
        </w:rPr>
        <w:t xml:space="preserve">’ t’ink I’m loosin’ all my feelin’s. </w:t>
      </w:r>
      <w:r w:rsidR="00D176D2" w:rsidRPr="00E869A4">
        <w:rPr>
          <w:rFonts w:ascii="Times New Roman" w:eastAsia="Times New Roman" w:hAnsi="Times New Roman" w:cs="Times New Roman"/>
          <w:szCs w:val="24"/>
        </w:rPr>
        <w:t>So</w:t>
      </w:r>
      <w:r w:rsidRPr="00E869A4">
        <w:rPr>
          <w:rFonts w:ascii="Times New Roman" w:eastAsia="Times New Roman" w:hAnsi="Times New Roman" w:cs="Times New Roman"/>
          <w:szCs w:val="24"/>
        </w:rPr>
        <w:t xml:space="preserve"> I mean I care, de concern is dere but I </w:t>
      </w:r>
      <w:proofErr w:type="spellStart"/>
      <w:r w:rsidRPr="00E869A4">
        <w:rPr>
          <w:rFonts w:ascii="Times New Roman" w:eastAsia="Times New Roman" w:hAnsi="Times New Roman" w:cs="Times New Roman"/>
          <w:szCs w:val="24"/>
        </w:rPr>
        <w:t>jus</w:t>
      </w:r>
      <w:proofErr w:type="spellEnd"/>
      <w:r w:rsidRPr="00E869A4">
        <w:rPr>
          <w:rFonts w:ascii="Times New Roman" w:eastAsia="Times New Roman" w:hAnsi="Times New Roman" w:cs="Times New Roman"/>
          <w:szCs w:val="24"/>
        </w:rPr>
        <w:t>’ doh wanna get too much emotionally [involved with providing direct care to mom] … I’ve had too much of dat over de las’ 4 years. In order for me to keep my sanity an’… I still have my job to go to, I still have to look after myself, so … I try to</w:t>
      </w:r>
      <w:r w:rsidR="00923436"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keep ah distance ‘cause I know I don’t want to get too involve’ because ah mean if anythin’ happen ah doh want to be shattered</w:t>
      </w:r>
      <w:r w:rsidRPr="00E869A4">
        <w:rPr>
          <w:rFonts w:ascii="Times New Roman" w:hAnsi="Times New Roman" w:cs="Times New Roman"/>
          <w:szCs w:val="24"/>
        </w:rPr>
        <w:t>.</w:t>
      </w:r>
    </w:p>
    <w:p w14:paraId="0665CE26" w14:textId="77777777" w:rsidR="00725205" w:rsidRPr="00E869A4" w:rsidRDefault="00725205" w:rsidP="00365FB9">
      <w:pPr>
        <w:autoSpaceDE w:val="0"/>
        <w:autoSpaceDN w:val="0"/>
        <w:adjustRightInd w:val="0"/>
        <w:spacing w:line="240" w:lineRule="auto"/>
        <w:ind w:left="567" w:firstLine="0"/>
        <w:rPr>
          <w:rFonts w:ascii="Times New Roman" w:hAnsi="Times New Roman" w:cs="Times New Roman"/>
          <w:szCs w:val="24"/>
        </w:rPr>
      </w:pPr>
    </w:p>
    <w:p w14:paraId="3EE5D3F9" w14:textId="42F0FBE9" w:rsidR="00365FB9" w:rsidRPr="00E869A4" w:rsidRDefault="00725205" w:rsidP="00867D3C">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 xml:space="preserve">Reshma also seemed to struggle with the grief of losing her mother and two of her sisters who each succumbed to a terminal illness. After caring intensely for three family members, it seemed that she did not have the opportunity to share the emotional strain of losing them with anyone. In response to the advertisement in the newspaper, Reshma voluntarily decided to participate in the study. At one point in the </w:t>
      </w:r>
      <w:r w:rsidR="00A47273" w:rsidRPr="00E869A4">
        <w:rPr>
          <w:rFonts w:ascii="Times New Roman" w:hAnsi="Times New Roman" w:cs="Times New Roman"/>
          <w:szCs w:val="24"/>
        </w:rPr>
        <w:t>interview,</w:t>
      </w:r>
      <w:r w:rsidRPr="00E869A4">
        <w:rPr>
          <w:rFonts w:ascii="Times New Roman" w:hAnsi="Times New Roman" w:cs="Times New Roman"/>
          <w:szCs w:val="24"/>
        </w:rPr>
        <w:t xml:space="preserve"> she cried uncontrollably when she recounted her experience as a family caregiver. Her participation seemed to have provided her with an outlet to do so. But, unlike Rebecca who was very reluctant to provide direct care after her experience with her husband, Reshma insisted that she would be willing to provide direct care again in the future. It was clear that she, like Rebecca, needed support to help cope with grief. </w:t>
      </w:r>
    </w:p>
    <w:p w14:paraId="31FCF0A3" w14:textId="77777777" w:rsidR="00923436" w:rsidRPr="00E869A4" w:rsidRDefault="00923436" w:rsidP="00867D3C">
      <w:pPr>
        <w:autoSpaceDE w:val="0"/>
        <w:autoSpaceDN w:val="0"/>
        <w:adjustRightInd w:val="0"/>
        <w:ind w:firstLine="0"/>
        <w:rPr>
          <w:rStyle w:val="Heading111Char"/>
          <w:rFonts w:eastAsiaTheme="majorEastAsia"/>
          <w:iCs w:val="0"/>
          <w:color w:val="auto"/>
          <w:szCs w:val="26"/>
        </w:rPr>
      </w:pPr>
    </w:p>
    <w:p w14:paraId="042FE358" w14:textId="3CB5ECA2" w:rsidR="00725205" w:rsidRPr="00E869A4" w:rsidRDefault="00D77F0B" w:rsidP="00175C3E">
      <w:pPr>
        <w:pStyle w:val="Heading2"/>
        <w:rPr>
          <w:rStyle w:val="Heading111Char"/>
          <w:rFonts w:eastAsiaTheme="majorEastAsia"/>
          <w:b/>
          <w:bCs/>
          <w:iCs w:val="0"/>
          <w:color w:val="auto"/>
          <w:szCs w:val="26"/>
        </w:rPr>
      </w:pPr>
      <w:bookmarkStart w:id="319" w:name="_Toc40436543"/>
      <w:r w:rsidRPr="00E869A4">
        <w:rPr>
          <w:rStyle w:val="Heading111Char"/>
          <w:rFonts w:eastAsiaTheme="majorEastAsia"/>
          <w:b/>
          <w:bCs/>
          <w:iCs w:val="0"/>
          <w:color w:val="auto"/>
          <w:szCs w:val="26"/>
        </w:rPr>
        <w:t>7</w:t>
      </w:r>
      <w:r w:rsidR="001012E8" w:rsidRPr="00E869A4">
        <w:rPr>
          <w:rStyle w:val="Heading111Char"/>
          <w:rFonts w:eastAsiaTheme="majorEastAsia"/>
          <w:b/>
          <w:bCs/>
          <w:iCs w:val="0"/>
          <w:color w:val="auto"/>
          <w:szCs w:val="26"/>
        </w:rPr>
        <w:t>.</w:t>
      </w:r>
      <w:r w:rsidR="00FC15FD" w:rsidRPr="00E869A4">
        <w:rPr>
          <w:rStyle w:val="Heading111Char"/>
          <w:rFonts w:eastAsiaTheme="majorEastAsia"/>
          <w:b/>
          <w:bCs/>
          <w:iCs w:val="0"/>
          <w:color w:val="auto"/>
          <w:szCs w:val="26"/>
        </w:rPr>
        <w:t>3</w:t>
      </w:r>
      <w:r w:rsidR="00A865BA" w:rsidRPr="00E869A4">
        <w:rPr>
          <w:rStyle w:val="Heading111Char"/>
          <w:rFonts w:eastAsiaTheme="majorEastAsia"/>
          <w:b/>
          <w:bCs/>
          <w:iCs w:val="0"/>
          <w:color w:val="auto"/>
          <w:szCs w:val="26"/>
        </w:rPr>
        <w:t xml:space="preserve"> </w:t>
      </w:r>
      <w:r w:rsidR="009E2738" w:rsidRPr="00E869A4">
        <w:rPr>
          <w:rStyle w:val="Heading111Char"/>
          <w:rFonts w:eastAsiaTheme="majorEastAsia"/>
          <w:b/>
          <w:bCs/>
          <w:iCs w:val="0"/>
          <w:color w:val="auto"/>
          <w:szCs w:val="26"/>
        </w:rPr>
        <w:t>CARE RECIPIENT</w:t>
      </w:r>
      <w:r w:rsidR="00175C3E" w:rsidRPr="00E869A4">
        <w:rPr>
          <w:rStyle w:val="Heading111Char"/>
          <w:rFonts w:eastAsiaTheme="majorEastAsia"/>
          <w:b/>
          <w:bCs/>
          <w:iCs w:val="0"/>
          <w:color w:val="auto"/>
          <w:szCs w:val="26"/>
        </w:rPr>
        <w:t xml:space="preserve"> EXPERIENCES</w:t>
      </w:r>
      <w:bookmarkEnd w:id="319"/>
    </w:p>
    <w:p w14:paraId="3C314FBB" w14:textId="77777777" w:rsidR="00725205" w:rsidRPr="00E869A4" w:rsidRDefault="00725205" w:rsidP="00A35FF8">
      <w:pPr>
        <w:autoSpaceDE w:val="0"/>
        <w:autoSpaceDN w:val="0"/>
        <w:adjustRightInd w:val="0"/>
        <w:rPr>
          <w:rFonts w:ascii="Times New Roman" w:hAnsi="Times New Roman" w:cs="Times New Roman"/>
          <w:szCs w:val="24"/>
        </w:rPr>
      </w:pPr>
    </w:p>
    <w:p w14:paraId="4ACC8B94" w14:textId="009CD85B"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As noted in the methodology it was very difficult to obtain direct answers to questions from the older care </w:t>
      </w:r>
      <w:r w:rsidR="00764E63" w:rsidRPr="00E869A4">
        <w:rPr>
          <w:rFonts w:ascii="Times New Roman" w:hAnsi="Times New Roman" w:cs="Times New Roman"/>
          <w:szCs w:val="24"/>
        </w:rPr>
        <w:t>recipients</w:t>
      </w:r>
      <w:r w:rsidRPr="00E869A4">
        <w:rPr>
          <w:rFonts w:ascii="Times New Roman" w:hAnsi="Times New Roman" w:cs="Times New Roman"/>
          <w:szCs w:val="24"/>
        </w:rPr>
        <w:t xml:space="preserve"> on this subject. Their </w:t>
      </w:r>
      <w:r w:rsidR="00181C92" w:rsidRPr="00E869A4">
        <w:rPr>
          <w:rFonts w:ascii="Times New Roman" w:hAnsi="Times New Roman" w:cs="Times New Roman"/>
          <w:szCs w:val="24"/>
        </w:rPr>
        <w:t xml:space="preserve">assessment </w:t>
      </w:r>
      <w:r w:rsidRPr="00E869A4">
        <w:rPr>
          <w:rFonts w:ascii="Times New Roman" w:hAnsi="Times New Roman" w:cs="Times New Roman"/>
          <w:szCs w:val="24"/>
        </w:rPr>
        <w:t xml:space="preserve">of </w:t>
      </w:r>
      <w:r w:rsidR="00181C92" w:rsidRPr="00E869A4">
        <w:rPr>
          <w:rFonts w:ascii="Times New Roman" w:hAnsi="Times New Roman" w:cs="Times New Roman"/>
          <w:szCs w:val="24"/>
        </w:rPr>
        <w:t xml:space="preserve">their </w:t>
      </w:r>
      <w:r w:rsidRPr="00E869A4">
        <w:rPr>
          <w:rFonts w:ascii="Times New Roman" w:hAnsi="Times New Roman" w:cs="Times New Roman"/>
          <w:szCs w:val="24"/>
        </w:rPr>
        <w:t xml:space="preserve">care </w:t>
      </w:r>
      <w:r w:rsidR="00181C92" w:rsidRPr="00E869A4">
        <w:rPr>
          <w:rFonts w:ascii="Times New Roman" w:hAnsi="Times New Roman" w:cs="Times New Roman"/>
          <w:szCs w:val="24"/>
        </w:rPr>
        <w:t xml:space="preserve">experience </w:t>
      </w:r>
      <w:r w:rsidRPr="00E869A4">
        <w:rPr>
          <w:rFonts w:ascii="Times New Roman" w:hAnsi="Times New Roman" w:cs="Times New Roman"/>
          <w:szCs w:val="24"/>
        </w:rPr>
        <w:t xml:space="preserve">had to be excavated from </w:t>
      </w:r>
      <w:r w:rsidRPr="00E869A4">
        <w:rPr>
          <w:rFonts w:ascii="Times New Roman" w:hAnsi="Times New Roman" w:cs="Times New Roman"/>
          <w:szCs w:val="24"/>
        </w:rPr>
        <w:lastRenderedPageBreak/>
        <w:t xml:space="preserve">their accounts and the insights provided by their caregivers. The level of satisfaction of the older persons that emerged was in large part a function of several key characteristics of the family carer. Whilst all of the older persons were grateful for the care provided by the family member interviewed as part of this study, all experienced some degree of dissatisfaction with their family care experience at one point or another, whether as a result of the actions or inaction of </w:t>
      </w:r>
      <w:r w:rsidR="00764E63" w:rsidRPr="00E869A4">
        <w:rPr>
          <w:rFonts w:ascii="Times New Roman" w:hAnsi="Times New Roman" w:cs="Times New Roman"/>
          <w:szCs w:val="24"/>
        </w:rPr>
        <w:t xml:space="preserve">their primary family carer, </w:t>
      </w:r>
      <w:r w:rsidRPr="00E869A4">
        <w:rPr>
          <w:rFonts w:ascii="Times New Roman" w:hAnsi="Times New Roman" w:cs="Times New Roman"/>
          <w:szCs w:val="24"/>
        </w:rPr>
        <w:t xml:space="preserve">or that of other relatives from whom they expected or received support. The main attributes of the family carer </w:t>
      </w:r>
      <w:r w:rsidR="00A24D2A" w:rsidRPr="00E869A4">
        <w:rPr>
          <w:rFonts w:ascii="Times New Roman" w:hAnsi="Times New Roman" w:cs="Times New Roman"/>
          <w:szCs w:val="24"/>
        </w:rPr>
        <w:t>which</w:t>
      </w:r>
      <w:r w:rsidRPr="00E869A4">
        <w:rPr>
          <w:rFonts w:ascii="Times New Roman" w:hAnsi="Times New Roman" w:cs="Times New Roman"/>
          <w:szCs w:val="24"/>
        </w:rPr>
        <w:t xml:space="preserve"> contributed to older persons’ </w:t>
      </w:r>
      <w:r w:rsidR="00764E63" w:rsidRPr="00E869A4">
        <w:rPr>
          <w:rFonts w:ascii="Times New Roman" w:hAnsi="Times New Roman" w:cs="Times New Roman"/>
          <w:szCs w:val="24"/>
        </w:rPr>
        <w:t>dissatisfaction</w:t>
      </w:r>
      <w:r w:rsidRPr="00E869A4">
        <w:rPr>
          <w:rFonts w:ascii="Times New Roman" w:hAnsi="Times New Roman" w:cs="Times New Roman"/>
          <w:szCs w:val="24"/>
        </w:rPr>
        <w:t xml:space="preserve"> were as follows: </w:t>
      </w:r>
    </w:p>
    <w:p w14:paraId="24139405" w14:textId="77777777" w:rsidR="00725205" w:rsidRPr="00E869A4" w:rsidRDefault="00725205" w:rsidP="00A35FF8">
      <w:pPr>
        <w:tabs>
          <w:tab w:val="left" w:pos="720"/>
        </w:tabs>
        <w:autoSpaceDE w:val="0"/>
        <w:autoSpaceDN w:val="0"/>
        <w:adjustRightInd w:val="0"/>
        <w:rPr>
          <w:rFonts w:ascii="Times New Roman" w:hAnsi="Times New Roman" w:cs="Times New Roman"/>
          <w:szCs w:val="24"/>
        </w:rPr>
      </w:pPr>
    </w:p>
    <w:p w14:paraId="1E2242D5" w14:textId="77777777" w:rsidR="00725205" w:rsidRPr="00E869A4" w:rsidRDefault="00725205" w:rsidP="009D4C5D">
      <w:pPr>
        <w:pStyle w:val="ListParagraph"/>
        <w:numPr>
          <w:ilvl w:val="0"/>
          <w:numId w:val="39"/>
        </w:numPr>
        <w:tabs>
          <w:tab w:val="left" w:pos="720"/>
        </w:tabs>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b/>
          <w:i/>
          <w:szCs w:val="24"/>
        </w:rPr>
        <w:t>Caregiver Compatibility</w:t>
      </w:r>
      <w:r w:rsidRPr="00E869A4">
        <w:rPr>
          <w:rFonts w:ascii="Times New Roman" w:hAnsi="Times New Roman" w:cs="Times New Roman"/>
          <w:szCs w:val="24"/>
        </w:rPr>
        <w:t>: The primary family caregiver was not the older person’s preferred choice for a carer;</w:t>
      </w:r>
    </w:p>
    <w:p w14:paraId="236AB601" w14:textId="77777777" w:rsidR="00725205" w:rsidRPr="00E869A4" w:rsidRDefault="00725205" w:rsidP="009D4C5D">
      <w:pPr>
        <w:pStyle w:val="ListParagraph"/>
        <w:numPr>
          <w:ilvl w:val="0"/>
          <w:numId w:val="39"/>
        </w:numPr>
        <w:tabs>
          <w:tab w:val="left" w:pos="720"/>
        </w:tabs>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b/>
          <w:i/>
          <w:szCs w:val="24"/>
        </w:rPr>
        <w:t>Caregiver Willingness</w:t>
      </w:r>
      <w:r w:rsidRPr="00E869A4">
        <w:rPr>
          <w:rFonts w:ascii="Times New Roman" w:hAnsi="Times New Roman" w:cs="Times New Roman"/>
          <w:szCs w:val="24"/>
        </w:rPr>
        <w:t>: The family caregiver displayed reluctance to provide care support;</w:t>
      </w:r>
    </w:p>
    <w:p w14:paraId="4FD508EC" w14:textId="77777777" w:rsidR="00725205" w:rsidRPr="00E869A4" w:rsidRDefault="00725205" w:rsidP="009D4C5D">
      <w:pPr>
        <w:pStyle w:val="ListParagraph"/>
        <w:numPr>
          <w:ilvl w:val="0"/>
          <w:numId w:val="39"/>
        </w:numPr>
        <w:tabs>
          <w:tab w:val="left" w:pos="720"/>
        </w:tabs>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b/>
          <w:i/>
          <w:szCs w:val="24"/>
        </w:rPr>
        <w:t>Caregiver Ability</w:t>
      </w:r>
      <w:r w:rsidRPr="00E869A4">
        <w:rPr>
          <w:rFonts w:ascii="Times New Roman" w:hAnsi="Times New Roman" w:cs="Times New Roman"/>
          <w:szCs w:val="24"/>
        </w:rPr>
        <w:t>: The family caregiver lacked the knowledge or skill to provide quality care;</w:t>
      </w:r>
    </w:p>
    <w:p w14:paraId="3AC4274B" w14:textId="77777777" w:rsidR="00725205" w:rsidRPr="00E869A4" w:rsidRDefault="00725205" w:rsidP="009D4C5D">
      <w:pPr>
        <w:pStyle w:val="ListParagraph"/>
        <w:numPr>
          <w:ilvl w:val="0"/>
          <w:numId w:val="39"/>
        </w:numPr>
        <w:tabs>
          <w:tab w:val="left" w:pos="720"/>
        </w:tabs>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b/>
          <w:i/>
          <w:szCs w:val="24"/>
        </w:rPr>
        <w:t>Caregiver Availability</w:t>
      </w:r>
      <w:r w:rsidRPr="00E869A4">
        <w:rPr>
          <w:rFonts w:ascii="Times New Roman" w:hAnsi="Times New Roman" w:cs="Times New Roman"/>
          <w:szCs w:val="24"/>
        </w:rPr>
        <w:t>: The family caregiver had limited time to provide the care support that the older person desired;</w:t>
      </w:r>
    </w:p>
    <w:p w14:paraId="12242EC2" w14:textId="2D8D1B27" w:rsidR="00725205" w:rsidRPr="00E869A4" w:rsidRDefault="0061296E" w:rsidP="009D4C5D">
      <w:pPr>
        <w:pStyle w:val="ListParagraph"/>
        <w:numPr>
          <w:ilvl w:val="0"/>
          <w:numId w:val="39"/>
        </w:numPr>
        <w:tabs>
          <w:tab w:val="left" w:pos="720"/>
        </w:tabs>
        <w:autoSpaceDE w:val="0"/>
        <w:autoSpaceDN w:val="0"/>
        <w:adjustRightInd w:val="0"/>
        <w:contextualSpacing w:val="0"/>
        <w:rPr>
          <w:rFonts w:ascii="Times New Roman" w:hAnsi="Times New Roman" w:cs="Times New Roman"/>
          <w:szCs w:val="24"/>
        </w:rPr>
      </w:pPr>
      <w:r w:rsidRPr="00E869A4">
        <w:rPr>
          <w:rFonts w:ascii="Times New Roman" w:hAnsi="Times New Roman" w:cs="Times New Roman"/>
          <w:b/>
          <w:i/>
          <w:szCs w:val="24"/>
        </w:rPr>
        <w:t>Caregiver Integrity /</w:t>
      </w:r>
      <w:r w:rsidR="00725205" w:rsidRPr="00E869A4">
        <w:rPr>
          <w:rFonts w:ascii="Times New Roman" w:hAnsi="Times New Roman" w:cs="Times New Roman"/>
          <w:b/>
          <w:i/>
          <w:szCs w:val="24"/>
        </w:rPr>
        <w:t>Motive</w:t>
      </w:r>
      <w:r w:rsidR="00725205" w:rsidRPr="00E869A4">
        <w:rPr>
          <w:rFonts w:ascii="Times New Roman" w:hAnsi="Times New Roman" w:cs="Times New Roman"/>
          <w:szCs w:val="24"/>
        </w:rPr>
        <w:t xml:space="preserve">: The family caregiver provided care for selfish motives such as a desire to obtain material benefits from the older person and may have even been willing to take advantage of them financially. </w:t>
      </w:r>
    </w:p>
    <w:p w14:paraId="59031698" w14:textId="77777777" w:rsidR="00764E63" w:rsidRPr="00E869A4" w:rsidRDefault="00764E63" w:rsidP="00764E63">
      <w:pPr>
        <w:tabs>
          <w:tab w:val="left" w:pos="720"/>
        </w:tabs>
        <w:autoSpaceDE w:val="0"/>
        <w:autoSpaceDN w:val="0"/>
        <w:adjustRightInd w:val="0"/>
        <w:ind w:firstLine="0"/>
        <w:rPr>
          <w:rFonts w:ascii="Times New Roman" w:hAnsi="Times New Roman" w:cs="Times New Roman"/>
          <w:szCs w:val="24"/>
        </w:rPr>
      </w:pPr>
    </w:p>
    <w:p w14:paraId="7AB96B02" w14:textId="4146A686" w:rsidR="00764E63" w:rsidRPr="00E869A4" w:rsidRDefault="00764E63" w:rsidP="00764E63">
      <w:pPr>
        <w:tabs>
          <w:tab w:val="left" w:pos="720"/>
        </w:tabs>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 xml:space="preserve">These characteristics are very similar to Tronto’s (1995) findings of what ‘good care’ consists of, which were discussed above in the literature review. Tronto’s ‘good care’ characteristics (i.e. attentiveness, responsibility, competence, and responsiveness), are very similar to the preferred caregiver characteristics that emerged in this study. More specifically, </w:t>
      </w:r>
      <w:r w:rsidRPr="00E869A4">
        <w:rPr>
          <w:rFonts w:ascii="Times New Roman" w:hAnsi="Times New Roman" w:cs="Times New Roman"/>
          <w:i/>
          <w:szCs w:val="24"/>
        </w:rPr>
        <w:t>attentiveness</w:t>
      </w:r>
      <w:r w:rsidRPr="00E869A4">
        <w:rPr>
          <w:rFonts w:ascii="Times New Roman" w:hAnsi="Times New Roman" w:cs="Times New Roman"/>
          <w:szCs w:val="24"/>
        </w:rPr>
        <w:t xml:space="preserve"> and </w:t>
      </w:r>
      <w:r w:rsidRPr="00E869A4">
        <w:rPr>
          <w:rFonts w:ascii="Times New Roman" w:hAnsi="Times New Roman" w:cs="Times New Roman"/>
          <w:i/>
          <w:szCs w:val="24"/>
        </w:rPr>
        <w:t>competence</w:t>
      </w:r>
      <w:r w:rsidRPr="00E869A4">
        <w:rPr>
          <w:rFonts w:ascii="Times New Roman" w:hAnsi="Times New Roman" w:cs="Times New Roman"/>
          <w:szCs w:val="24"/>
        </w:rPr>
        <w:t xml:space="preserve"> as identified by Tronto, are directly aligned to caregiver </w:t>
      </w:r>
      <w:r w:rsidRPr="00E869A4">
        <w:rPr>
          <w:rFonts w:ascii="Times New Roman" w:hAnsi="Times New Roman" w:cs="Times New Roman"/>
          <w:i/>
          <w:szCs w:val="24"/>
        </w:rPr>
        <w:t>willingness</w:t>
      </w:r>
      <w:r w:rsidRPr="00E869A4">
        <w:rPr>
          <w:rFonts w:ascii="Times New Roman" w:hAnsi="Times New Roman" w:cs="Times New Roman"/>
          <w:szCs w:val="24"/>
        </w:rPr>
        <w:t xml:space="preserve"> and </w:t>
      </w:r>
      <w:r w:rsidRPr="00E869A4">
        <w:rPr>
          <w:rFonts w:ascii="Times New Roman" w:hAnsi="Times New Roman" w:cs="Times New Roman"/>
          <w:i/>
          <w:szCs w:val="24"/>
        </w:rPr>
        <w:t>ability</w:t>
      </w:r>
      <w:r w:rsidRPr="00E869A4">
        <w:rPr>
          <w:rFonts w:ascii="Times New Roman" w:hAnsi="Times New Roman" w:cs="Times New Roman"/>
          <w:szCs w:val="24"/>
        </w:rPr>
        <w:t xml:space="preserve"> in this study. However, the other characteristics are </w:t>
      </w:r>
      <w:r w:rsidR="00C62657" w:rsidRPr="00E869A4">
        <w:rPr>
          <w:rFonts w:ascii="Times New Roman" w:hAnsi="Times New Roman" w:cs="Times New Roman"/>
          <w:szCs w:val="24"/>
        </w:rPr>
        <w:t>distinct from Tronto’s conceptualisations</w:t>
      </w:r>
      <w:r w:rsidRPr="00E869A4">
        <w:rPr>
          <w:rFonts w:ascii="Times New Roman" w:hAnsi="Times New Roman" w:cs="Times New Roman"/>
          <w:szCs w:val="24"/>
        </w:rPr>
        <w:t xml:space="preserve">. </w:t>
      </w:r>
    </w:p>
    <w:p w14:paraId="11227909" w14:textId="77777777" w:rsidR="00725205" w:rsidRPr="00E869A4" w:rsidRDefault="00725205" w:rsidP="00A35FF8">
      <w:pPr>
        <w:autoSpaceDE w:val="0"/>
        <w:autoSpaceDN w:val="0"/>
        <w:adjustRightInd w:val="0"/>
        <w:ind w:firstLine="720"/>
        <w:rPr>
          <w:rFonts w:ascii="Times New Roman" w:hAnsi="Times New Roman" w:cs="Times New Roman"/>
          <w:szCs w:val="24"/>
        </w:rPr>
      </w:pPr>
    </w:p>
    <w:p w14:paraId="7289F65A" w14:textId="087EE397" w:rsidR="00725205" w:rsidRPr="00E869A4" w:rsidRDefault="00D77F0B" w:rsidP="005C449C">
      <w:pPr>
        <w:pStyle w:val="Heading3"/>
      </w:pPr>
      <w:bookmarkStart w:id="320" w:name="_Toc40436544"/>
      <w:r w:rsidRPr="00E869A4">
        <w:t>7</w:t>
      </w:r>
      <w:r w:rsidR="00890261" w:rsidRPr="00E869A4">
        <w:t>.</w:t>
      </w:r>
      <w:r w:rsidR="00FC15FD" w:rsidRPr="00E869A4">
        <w:t>3</w:t>
      </w:r>
      <w:r w:rsidR="00890261" w:rsidRPr="00E869A4">
        <w:t xml:space="preserve">.1     </w:t>
      </w:r>
      <w:r w:rsidR="00725205" w:rsidRPr="00E869A4">
        <w:t>Caregiver Compatibility</w:t>
      </w:r>
      <w:bookmarkEnd w:id="320"/>
    </w:p>
    <w:p w14:paraId="31BCE1B8" w14:textId="77777777" w:rsidR="00725205" w:rsidRPr="00E869A4" w:rsidRDefault="00725205" w:rsidP="00A35FF8">
      <w:pPr>
        <w:autoSpaceDE w:val="0"/>
        <w:autoSpaceDN w:val="0"/>
        <w:adjustRightInd w:val="0"/>
        <w:rPr>
          <w:rFonts w:ascii="Times New Roman" w:hAnsi="Times New Roman" w:cs="Times New Roman"/>
          <w:szCs w:val="24"/>
        </w:rPr>
      </w:pPr>
    </w:p>
    <w:p w14:paraId="5D42E9A8" w14:textId="4E6F39AC" w:rsidR="003845E0"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As noted in the previous chapter on the Determinants of Care, the older person</w:t>
      </w:r>
      <w:r w:rsidRPr="00E869A4">
        <w:rPr>
          <w:rFonts w:ascii="Times New Roman" w:eastAsia="Times New Roman" w:hAnsi="Times New Roman" w:cs="Times New Roman"/>
          <w:szCs w:val="24"/>
        </w:rPr>
        <w:t xml:space="preserve">’s comfort level with receiving care from a family member was in part a function of: </w:t>
      </w:r>
      <w:r w:rsidR="003845E0" w:rsidRPr="00E869A4">
        <w:rPr>
          <w:rFonts w:ascii="Times New Roman" w:eastAsia="Times New Roman" w:hAnsi="Times New Roman" w:cs="Times New Roman"/>
          <w:szCs w:val="24"/>
        </w:rPr>
        <w:t>1</w:t>
      </w:r>
      <w:r w:rsidRPr="00E869A4">
        <w:rPr>
          <w:rFonts w:ascii="Times New Roman" w:eastAsia="Times New Roman" w:hAnsi="Times New Roman" w:cs="Times New Roman"/>
          <w:szCs w:val="24"/>
        </w:rPr>
        <w:t xml:space="preserve">) </w:t>
      </w:r>
      <w:r w:rsidRPr="00E869A4">
        <w:rPr>
          <w:rFonts w:ascii="Times New Roman" w:hAnsi="Times New Roman" w:cs="Times New Roman"/>
          <w:i/>
          <w:szCs w:val="24"/>
        </w:rPr>
        <w:t>Type of family relationship</w:t>
      </w:r>
      <w:r w:rsidRPr="00E869A4">
        <w:rPr>
          <w:rFonts w:ascii="Times New Roman" w:hAnsi="Times New Roman" w:cs="Times New Roman"/>
          <w:szCs w:val="24"/>
        </w:rPr>
        <w:t xml:space="preserve">: older persons in this study seemed to prefer primary family care from a close female relative, in particular a wife or an adult daughter; </w:t>
      </w:r>
      <w:r w:rsidR="003845E0" w:rsidRPr="00E869A4">
        <w:rPr>
          <w:rFonts w:ascii="Times New Roman" w:hAnsi="Times New Roman" w:cs="Times New Roman"/>
          <w:szCs w:val="24"/>
        </w:rPr>
        <w:t>2</w:t>
      </w:r>
      <w:r w:rsidRPr="00E869A4">
        <w:rPr>
          <w:rFonts w:ascii="Times New Roman" w:hAnsi="Times New Roman" w:cs="Times New Roman"/>
          <w:szCs w:val="24"/>
        </w:rPr>
        <w:t xml:space="preserve">) </w:t>
      </w:r>
      <w:r w:rsidRPr="00E869A4">
        <w:rPr>
          <w:rFonts w:ascii="Times New Roman" w:hAnsi="Times New Roman" w:cs="Times New Roman"/>
          <w:i/>
          <w:szCs w:val="24"/>
        </w:rPr>
        <w:t>Quality of the pre-crisis relationship</w:t>
      </w:r>
      <w:r w:rsidRPr="00E869A4">
        <w:rPr>
          <w:rFonts w:ascii="Times New Roman" w:hAnsi="Times New Roman" w:cs="Times New Roman"/>
          <w:szCs w:val="24"/>
        </w:rPr>
        <w:t xml:space="preserve"> i.e. how close the bond was between the </w:t>
      </w:r>
      <w:r w:rsidRPr="00E869A4">
        <w:rPr>
          <w:rFonts w:ascii="Times New Roman" w:hAnsi="Times New Roman" w:cs="Times New Roman"/>
          <w:szCs w:val="24"/>
        </w:rPr>
        <w:lastRenderedPageBreak/>
        <w:t>older person and the caregiver before focused family care commenced; and</w:t>
      </w:r>
      <w:r w:rsidR="00C62657" w:rsidRPr="00E869A4">
        <w:rPr>
          <w:rFonts w:ascii="Times New Roman" w:hAnsi="Times New Roman" w:cs="Times New Roman"/>
          <w:szCs w:val="24"/>
        </w:rPr>
        <w:t>,</w:t>
      </w:r>
      <w:r w:rsidRPr="00E869A4">
        <w:rPr>
          <w:rFonts w:ascii="Times New Roman" w:hAnsi="Times New Roman" w:cs="Times New Roman"/>
          <w:szCs w:val="24"/>
        </w:rPr>
        <w:t xml:space="preserve"> </w:t>
      </w:r>
      <w:r w:rsidR="003845E0" w:rsidRPr="00E869A4">
        <w:rPr>
          <w:rFonts w:ascii="Times New Roman" w:hAnsi="Times New Roman" w:cs="Times New Roman"/>
          <w:szCs w:val="24"/>
        </w:rPr>
        <w:t>3</w:t>
      </w:r>
      <w:r w:rsidRPr="00E869A4">
        <w:rPr>
          <w:rFonts w:ascii="Times New Roman" w:hAnsi="Times New Roman" w:cs="Times New Roman"/>
          <w:szCs w:val="24"/>
        </w:rPr>
        <w:t xml:space="preserve">) </w:t>
      </w:r>
      <w:r w:rsidRPr="00E869A4">
        <w:rPr>
          <w:rFonts w:ascii="Times New Roman" w:hAnsi="Times New Roman" w:cs="Times New Roman"/>
          <w:i/>
          <w:szCs w:val="24"/>
        </w:rPr>
        <w:t>Perceived motive</w:t>
      </w:r>
      <w:r w:rsidRPr="00E869A4">
        <w:rPr>
          <w:rFonts w:ascii="Times New Roman" w:hAnsi="Times New Roman" w:cs="Times New Roman"/>
          <w:szCs w:val="24"/>
        </w:rPr>
        <w:t xml:space="preserve"> of the family member providing care. </w:t>
      </w:r>
    </w:p>
    <w:p w14:paraId="151128EF" w14:textId="77777777" w:rsidR="003845E0" w:rsidRPr="00E869A4" w:rsidRDefault="003845E0" w:rsidP="00A35FF8">
      <w:pPr>
        <w:autoSpaceDE w:val="0"/>
        <w:autoSpaceDN w:val="0"/>
        <w:adjustRightInd w:val="0"/>
        <w:rPr>
          <w:rFonts w:ascii="Times New Roman" w:hAnsi="Times New Roman" w:cs="Times New Roman"/>
          <w:szCs w:val="24"/>
        </w:rPr>
      </w:pPr>
    </w:p>
    <w:p w14:paraId="56D7920A" w14:textId="4E347F8D" w:rsidR="00725205" w:rsidRPr="00E869A4" w:rsidRDefault="003845E0"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It is important to note that s</w:t>
      </w:r>
      <w:r w:rsidR="00725205" w:rsidRPr="00E869A4">
        <w:rPr>
          <w:rFonts w:ascii="Times New Roman" w:hAnsi="Times New Roman" w:cs="Times New Roman"/>
          <w:szCs w:val="24"/>
        </w:rPr>
        <w:t>everal older persons</w:t>
      </w:r>
      <w:r w:rsidRPr="00E869A4">
        <w:rPr>
          <w:rFonts w:ascii="Times New Roman" w:hAnsi="Times New Roman" w:cs="Times New Roman"/>
          <w:szCs w:val="24"/>
        </w:rPr>
        <w:t xml:space="preserve"> in this study</w:t>
      </w:r>
      <w:r w:rsidR="00725205" w:rsidRPr="00E869A4">
        <w:rPr>
          <w:rFonts w:ascii="Times New Roman" w:hAnsi="Times New Roman" w:cs="Times New Roman"/>
          <w:szCs w:val="24"/>
        </w:rPr>
        <w:t xml:space="preserve"> did not have an adult daughter to care for them because either:</w:t>
      </w:r>
      <w:r w:rsidR="00ED0A45" w:rsidRPr="00E869A4">
        <w:rPr>
          <w:rFonts w:ascii="Times New Roman" w:hAnsi="Times New Roman" w:cs="Times New Roman"/>
          <w:szCs w:val="24"/>
        </w:rPr>
        <w:t xml:space="preserve"> t</w:t>
      </w:r>
      <w:r w:rsidR="00725205" w:rsidRPr="00E869A4">
        <w:rPr>
          <w:rFonts w:ascii="Times New Roman" w:hAnsi="Times New Roman" w:cs="Times New Roman"/>
          <w:szCs w:val="24"/>
        </w:rPr>
        <w:t>hey had no children (e.g. Uncle Wilton)</w:t>
      </w:r>
      <w:r w:rsidR="0061296E" w:rsidRPr="00E869A4">
        <w:rPr>
          <w:rFonts w:ascii="Times New Roman" w:hAnsi="Times New Roman" w:cs="Times New Roman"/>
          <w:szCs w:val="24"/>
        </w:rPr>
        <w:t>;</w:t>
      </w:r>
      <w:r w:rsidR="00ED0A45" w:rsidRPr="00E869A4">
        <w:rPr>
          <w:rFonts w:ascii="Times New Roman" w:hAnsi="Times New Roman" w:cs="Times New Roman"/>
          <w:szCs w:val="24"/>
        </w:rPr>
        <w:t xml:space="preserve"> t</w:t>
      </w:r>
      <w:r w:rsidR="00725205" w:rsidRPr="00E869A4">
        <w:rPr>
          <w:rFonts w:ascii="Times New Roman" w:hAnsi="Times New Roman" w:cs="Times New Roman"/>
          <w:szCs w:val="24"/>
        </w:rPr>
        <w:t xml:space="preserve">he daughter who cared for them </w:t>
      </w:r>
      <w:r w:rsidR="0061296E" w:rsidRPr="00E869A4">
        <w:rPr>
          <w:rFonts w:ascii="Times New Roman" w:hAnsi="Times New Roman" w:cs="Times New Roman"/>
          <w:szCs w:val="24"/>
        </w:rPr>
        <w:t xml:space="preserve">had </w:t>
      </w:r>
      <w:r w:rsidR="00725205" w:rsidRPr="00E869A4">
        <w:rPr>
          <w:rFonts w:ascii="Times New Roman" w:hAnsi="Times New Roman" w:cs="Times New Roman"/>
          <w:szCs w:val="24"/>
        </w:rPr>
        <w:t>died (e.g. Mr. Druman); or</w:t>
      </w:r>
      <w:r w:rsidR="00ED0A45" w:rsidRPr="00E869A4">
        <w:rPr>
          <w:rFonts w:ascii="Times New Roman" w:hAnsi="Times New Roman" w:cs="Times New Roman"/>
          <w:szCs w:val="24"/>
        </w:rPr>
        <w:t>, t</w:t>
      </w:r>
      <w:r w:rsidR="00725205" w:rsidRPr="00E869A4">
        <w:rPr>
          <w:rFonts w:ascii="Times New Roman" w:hAnsi="Times New Roman" w:cs="Times New Roman"/>
          <w:szCs w:val="24"/>
        </w:rPr>
        <w:t>hey had an estranged relationship with their daughter</w:t>
      </w:r>
      <w:r w:rsidR="00A571D8" w:rsidRPr="00E869A4">
        <w:rPr>
          <w:rFonts w:ascii="Times New Roman" w:hAnsi="Times New Roman" w:cs="Times New Roman"/>
          <w:szCs w:val="24"/>
        </w:rPr>
        <w:t>(s)</w:t>
      </w:r>
      <w:r w:rsidR="00725205" w:rsidRPr="00E869A4">
        <w:rPr>
          <w:rFonts w:ascii="Times New Roman" w:hAnsi="Times New Roman" w:cs="Times New Roman"/>
          <w:szCs w:val="24"/>
        </w:rPr>
        <w:t xml:space="preserve"> (e.g. Tanty Edna and Mr. Sanchez)</w:t>
      </w:r>
      <w:r w:rsidR="0061296E" w:rsidRPr="00E869A4">
        <w:rPr>
          <w:rFonts w:ascii="Times New Roman" w:hAnsi="Times New Roman" w:cs="Times New Roman"/>
          <w:szCs w:val="24"/>
        </w:rPr>
        <w:t>.</w:t>
      </w:r>
      <w:r w:rsidR="00ED0A45" w:rsidRPr="00E869A4">
        <w:rPr>
          <w:rFonts w:ascii="Times New Roman" w:hAnsi="Times New Roman" w:cs="Times New Roman"/>
          <w:szCs w:val="24"/>
        </w:rPr>
        <w:t xml:space="preserve"> </w:t>
      </w:r>
      <w:r w:rsidR="00725205" w:rsidRPr="00E869A4">
        <w:rPr>
          <w:rFonts w:ascii="Times New Roman" w:hAnsi="Times New Roman" w:cs="Times New Roman"/>
          <w:szCs w:val="24"/>
        </w:rPr>
        <w:t xml:space="preserve">Thus, the possibility of finding a preferred family caregiver </w:t>
      </w:r>
      <w:r w:rsidR="00FF531C" w:rsidRPr="00E869A4">
        <w:rPr>
          <w:rFonts w:ascii="Times New Roman" w:hAnsi="Times New Roman" w:cs="Times New Roman"/>
          <w:szCs w:val="24"/>
        </w:rPr>
        <w:t>who</w:t>
      </w:r>
      <w:r w:rsidR="00725205" w:rsidRPr="00E869A4">
        <w:rPr>
          <w:rFonts w:ascii="Times New Roman" w:hAnsi="Times New Roman" w:cs="Times New Roman"/>
          <w:szCs w:val="24"/>
        </w:rPr>
        <w:t xml:space="preserve"> was compatible with the preferences of the older person was particularly difficult for these </w:t>
      </w:r>
      <w:r w:rsidR="009E2738" w:rsidRPr="00E869A4">
        <w:rPr>
          <w:rFonts w:ascii="Times New Roman" w:hAnsi="Times New Roman" w:cs="Times New Roman"/>
          <w:szCs w:val="24"/>
        </w:rPr>
        <w:t>care recipient</w:t>
      </w:r>
      <w:r w:rsidR="00725205" w:rsidRPr="00E869A4">
        <w:rPr>
          <w:rFonts w:ascii="Times New Roman" w:hAnsi="Times New Roman" w:cs="Times New Roman"/>
          <w:szCs w:val="24"/>
        </w:rPr>
        <w:t xml:space="preserve">s. Finding an alternative family caregiver also proved to be problematic for some of the </w:t>
      </w:r>
      <w:r w:rsidR="009E2738" w:rsidRPr="00E869A4">
        <w:rPr>
          <w:rFonts w:ascii="Times New Roman" w:hAnsi="Times New Roman" w:cs="Times New Roman"/>
          <w:szCs w:val="24"/>
        </w:rPr>
        <w:t>care recipient</w:t>
      </w:r>
      <w:r w:rsidRPr="00E869A4">
        <w:rPr>
          <w:rFonts w:ascii="Times New Roman" w:hAnsi="Times New Roman" w:cs="Times New Roman"/>
          <w:szCs w:val="24"/>
        </w:rPr>
        <w:t>s</w:t>
      </w:r>
      <w:r w:rsidR="00725205" w:rsidRPr="00E869A4">
        <w:rPr>
          <w:rFonts w:ascii="Times New Roman" w:hAnsi="Times New Roman" w:cs="Times New Roman"/>
          <w:szCs w:val="24"/>
        </w:rPr>
        <w:t xml:space="preserve">. Tanty Edna is a case in point. Whilst she was grateful for the care she received from her niece Adelina and other extended family members, she experienced considerable emotional distress </w:t>
      </w:r>
      <w:r w:rsidRPr="00E869A4">
        <w:rPr>
          <w:rFonts w:ascii="Times New Roman" w:hAnsi="Times New Roman" w:cs="Times New Roman"/>
          <w:szCs w:val="24"/>
        </w:rPr>
        <w:t>because</w:t>
      </w:r>
      <w:r w:rsidR="00725205" w:rsidRPr="00E869A4">
        <w:rPr>
          <w:rFonts w:ascii="Times New Roman" w:hAnsi="Times New Roman" w:cs="Times New Roman"/>
          <w:szCs w:val="24"/>
        </w:rPr>
        <w:t xml:space="preserve"> of the lack of care support from her children</w:t>
      </w:r>
      <w:r w:rsidR="0061296E" w:rsidRPr="00E869A4">
        <w:rPr>
          <w:rFonts w:ascii="Times New Roman" w:hAnsi="Times New Roman" w:cs="Times New Roman"/>
          <w:szCs w:val="24"/>
        </w:rPr>
        <w:t>:</w:t>
      </w:r>
    </w:p>
    <w:p w14:paraId="270A790E" w14:textId="77777777" w:rsidR="00725205" w:rsidRPr="00E869A4" w:rsidRDefault="00725205" w:rsidP="00B94289">
      <w:pPr>
        <w:autoSpaceDE w:val="0"/>
        <w:autoSpaceDN w:val="0"/>
        <w:adjustRightInd w:val="0"/>
        <w:spacing w:line="240" w:lineRule="auto"/>
        <w:rPr>
          <w:rFonts w:ascii="Times New Roman" w:hAnsi="Times New Roman" w:cs="Times New Roman"/>
          <w:szCs w:val="24"/>
        </w:rPr>
      </w:pPr>
    </w:p>
    <w:p w14:paraId="57D2C562" w14:textId="7AA03FA6" w:rsidR="00725205" w:rsidRPr="00E869A4" w:rsidRDefault="00725205" w:rsidP="00ED4CD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[Eleta] shoulda be de one to .</w:t>
      </w:r>
      <w:r w:rsidR="005426CB" w:rsidRPr="00E869A4">
        <w:rPr>
          <w:rFonts w:ascii="Times New Roman" w:hAnsi="Times New Roman" w:cs="Times New Roman"/>
          <w:szCs w:val="24"/>
        </w:rPr>
        <w:t>.</w:t>
      </w:r>
      <w:r w:rsidRPr="00E869A4">
        <w:rPr>
          <w:rFonts w:ascii="Times New Roman" w:hAnsi="Times New Roman" w:cs="Times New Roman"/>
          <w:szCs w:val="24"/>
        </w:rPr>
        <w:t xml:space="preserve">. be here </w:t>
      </w:r>
      <w:proofErr w:type="spellStart"/>
      <w:r w:rsidRPr="00E869A4">
        <w:rPr>
          <w:rFonts w:ascii="Times New Roman" w:hAnsi="Times New Roman" w:cs="Times New Roman"/>
          <w:szCs w:val="24"/>
        </w:rPr>
        <w:t>wit</w:t>
      </w:r>
      <w:proofErr w:type="spellEnd"/>
      <w:r w:rsidRPr="00E869A4">
        <w:rPr>
          <w:rFonts w:ascii="Times New Roman" w:eastAsia="Times New Roman" w:hAnsi="Times New Roman" w:cs="Times New Roman"/>
          <w:szCs w:val="24"/>
        </w:rPr>
        <w:t>’ me! I shouldn’t have Kasey coming here to do anything for me. She’s de one should ah handle my money, an</w:t>
      </w:r>
      <w:r w:rsidR="005426CB"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doin' whatever </w:t>
      </w:r>
      <w:r w:rsidR="00BB0BE2"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I ain’t get it from her at all! … She [shoulda] say</w:t>
      </w:r>
      <w:r w:rsidR="005426CB"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5426CB"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Listen, ah can’t go back and work now because Mummy reach to ah stage: she can’t walk, she having this problem with her foot … so ah have to stay home to mind meh mother</w:t>
      </w:r>
      <w:r w:rsidR="00C62657"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 Mammy is 79 an’ den yuh doh know how long Mummy might live for. I will do whatever</w:t>
      </w:r>
      <w:r w:rsidR="005426CB"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 So, my nieces an’ them when dey see de tragedy I go through, dey keep close to me! Not because to take my money or whaeva but, dey give me comfort (tearful voice) yuh know! </w:t>
      </w:r>
      <w:r w:rsidR="00C62657" w:rsidRPr="00E869A4">
        <w:rPr>
          <w:rFonts w:ascii="Times New Roman" w:eastAsia="Times New Roman" w:hAnsi="Times New Roman" w:cs="Times New Roman"/>
          <w:szCs w:val="24"/>
        </w:rPr>
        <w:t>…</w:t>
      </w:r>
      <w:r w:rsidR="00ED4CD0" w:rsidRPr="00E869A4">
        <w:rPr>
          <w:rFonts w:ascii="Times New Roman" w:eastAsia="Times New Roman" w:hAnsi="Times New Roman" w:cs="Times New Roman"/>
          <w:szCs w:val="24"/>
        </w:rPr>
        <w:t xml:space="preserve"> I need dat</w:t>
      </w:r>
      <w:r w:rsidR="00ED0A45"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love, an’ comfort</w:t>
      </w:r>
      <w:r w:rsidR="00ED4CD0" w:rsidRPr="00E869A4">
        <w:rPr>
          <w:rFonts w:ascii="Times New Roman" w:eastAsia="Times New Roman" w:hAnsi="Times New Roman" w:cs="Times New Roman"/>
          <w:szCs w:val="24"/>
        </w:rPr>
        <w:t>.</w:t>
      </w:r>
    </w:p>
    <w:p w14:paraId="4BEB1C63" w14:textId="77777777" w:rsidR="00725205" w:rsidRPr="00E869A4" w:rsidRDefault="00725205" w:rsidP="00B94289">
      <w:pPr>
        <w:autoSpaceDE w:val="0"/>
        <w:autoSpaceDN w:val="0"/>
        <w:adjustRightInd w:val="0"/>
        <w:spacing w:line="240" w:lineRule="auto"/>
        <w:rPr>
          <w:rFonts w:ascii="Times New Roman" w:hAnsi="Times New Roman" w:cs="Times New Roman"/>
          <w:szCs w:val="24"/>
        </w:rPr>
      </w:pPr>
    </w:p>
    <w:p w14:paraId="15ACEF5D" w14:textId="342613A3" w:rsidR="00725205" w:rsidRPr="00E869A4" w:rsidRDefault="00CE4301" w:rsidP="005426CB">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 xml:space="preserve">Despite </w:t>
      </w:r>
      <w:r w:rsidR="00725205" w:rsidRPr="00E869A4">
        <w:rPr>
          <w:rFonts w:ascii="Times New Roman" w:hAnsi="Times New Roman" w:cs="Times New Roman"/>
          <w:szCs w:val="24"/>
        </w:rPr>
        <w:t>Tanty</w:t>
      </w:r>
      <w:r w:rsidRPr="00E869A4">
        <w:rPr>
          <w:rFonts w:ascii="Times New Roman" w:hAnsi="Times New Roman" w:cs="Times New Roman"/>
          <w:szCs w:val="24"/>
        </w:rPr>
        <w:t>’s</w:t>
      </w:r>
      <w:r w:rsidR="00725205" w:rsidRPr="00E869A4">
        <w:rPr>
          <w:rFonts w:ascii="Times New Roman" w:hAnsi="Times New Roman" w:cs="Times New Roman"/>
          <w:szCs w:val="24"/>
        </w:rPr>
        <w:t xml:space="preserve"> positive relationship with her nieces and nephew, their provision of care did not fit her ideal of how care should be provided in later life. </w:t>
      </w:r>
    </w:p>
    <w:p w14:paraId="747DD51B" w14:textId="77777777" w:rsidR="00F83556" w:rsidRPr="00E869A4" w:rsidRDefault="00F83556" w:rsidP="00ED4CD0">
      <w:pPr>
        <w:autoSpaceDE w:val="0"/>
        <w:autoSpaceDN w:val="0"/>
        <w:adjustRightInd w:val="0"/>
        <w:rPr>
          <w:rFonts w:ascii="Times New Roman" w:hAnsi="Times New Roman" w:cs="Times New Roman"/>
          <w:szCs w:val="24"/>
        </w:rPr>
      </w:pPr>
    </w:p>
    <w:p w14:paraId="00C31171" w14:textId="7570D193"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In Mr. Druman’s case, his son Timothy became his primary caregiver after </w:t>
      </w:r>
      <w:r w:rsidR="0061296E" w:rsidRPr="00E869A4">
        <w:rPr>
          <w:rFonts w:ascii="Times New Roman" w:hAnsi="Times New Roman" w:cs="Times New Roman"/>
          <w:szCs w:val="24"/>
        </w:rPr>
        <w:t xml:space="preserve">the death of </w:t>
      </w:r>
      <w:r w:rsidRPr="00E869A4">
        <w:rPr>
          <w:rFonts w:ascii="Times New Roman" w:hAnsi="Times New Roman" w:cs="Times New Roman"/>
          <w:szCs w:val="24"/>
        </w:rPr>
        <w:t xml:space="preserve">his only daughter Hazel. </w:t>
      </w:r>
      <w:r w:rsidRPr="00E869A4">
        <w:rPr>
          <w:rFonts w:ascii="Times New Roman" w:eastAsia="Times New Roman" w:hAnsi="Times New Roman" w:cs="Times New Roman"/>
          <w:szCs w:val="24"/>
        </w:rPr>
        <w:t xml:space="preserve">Hazel was much more compatible as a caregiver to him than his son </w:t>
      </w:r>
      <w:r w:rsidR="00EE38E8" w:rsidRPr="00E869A4">
        <w:rPr>
          <w:rFonts w:ascii="Times New Roman" w:eastAsia="Times New Roman" w:hAnsi="Times New Roman" w:cs="Times New Roman"/>
          <w:szCs w:val="24"/>
        </w:rPr>
        <w:t>Timothy</w:t>
      </w:r>
      <w:r w:rsidRPr="00E869A4">
        <w:rPr>
          <w:rFonts w:ascii="Times New Roman" w:eastAsia="Times New Roman" w:hAnsi="Times New Roman" w:cs="Times New Roman"/>
          <w:szCs w:val="24"/>
        </w:rPr>
        <w:t xml:space="preserve">. As Mr. Druman explained: </w:t>
      </w:r>
      <w:r w:rsidR="0061296E" w:rsidRPr="00E869A4">
        <w:rPr>
          <w:rFonts w:ascii="Times New Roman" w:hAnsi="Times New Roman" w:cs="Times New Roman"/>
          <w:szCs w:val="24"/>
        </w:rPr>
        <w:t>“</w:t>
      </w:r>
      <w:r w:rsidRPr="00E869A4">
        <w:rPr>
          <w:rFonts w:ascii="Times New Roman" w:hAnsi="Times New Roman" w:cs="Times New Roman"/>
          <w:szCs w:val="24"/>
        </w:rPr>
        <w:t xml:space="preserve">Hazel, we were very </w:t>
      </w:r>
      <w:proofErr w:type="spellStart"/>
      <w:r w:rsidRPr="00E869A4">
        <w:rPr>
          <w:rFonts w:ascii="Times New Roman" w:hAnsi="Times New Roman" w:cs="Times New Roman"/>
          <w:szCs w:val="24"/>
        </w:rPr>
        <w:t>very</w:t>
      </w:r>
      <w:proofErr w:type="spellEnd"/>
      <w:r w:rsidRPr="00E869A4">
        <w:rPr>
          <w:rFonts w:ascii="Times New Roman" w:hAnsi="Times New Roman" w:cs="Times New Roman"/>
          <w:szCs w:val="24"/>
        </w:rPr>
        <w:t xml:space="preserve"> close. I could have discussed anything with my daughter. My son is not a talker. He doesn</w:t>
      </w:r>
      <w:r w:rsidRPr="00E869A4">
        <w:rPr>
          <w:rFonts w:ascii="Times New Roman" w:eastAsia="Times New Roman" w:hAnsi="Times New Roman" w:cs="Times New Roman"/>
          <w:szCs w:val="24"/>
        </w:rPr>
        <w:t>’t talk much.</w:t>
      </w:r>
      <w:r w:rsidR="0061296E" w:rsidRPr="00E869A4">
        <w:rPr>
          <w:rFonts w:ascii="Times New Roman" w:eastAsia="Times New Roman" w:hAnsi="Times New Roman" w:cs="Times New Roman"/>
          <w:szCs w:val="24"/>
        </w:rPr>
        <w:t>”</w:t>
      </w:r>
      <w:r w:rsidR="003424DE" w:rsidRPr="00E869A4">
        <w:rPr>
          <w:rFonts w:ascii="Times New Roman" w:eastAsia="Times New Roman" w:hAnsi="Times New Roman" w:cs="Times New Roman"/>
          <w:szCs w:val="24"/>
        </w:rPr>
        <w:t xml:space="preserve"> (CR</w:t>
      </w:r>
      <w:r w:rsidRPr="00E869A4">
        <w:rPr>
          <w:rFonts w:ascii="Times New Roman" w:eastAsia="Times New Roman" w:hAnsi="Times New Roman" w:cs="Times New Roman"/>
          <w:szCs w:val="24"/>
        </w:rPr>
        <w:t xml:space="preserve"> </w:t>
      </w:r>
      <w:r w:rsidRPr="00E869A4">
        <w:rPr>
          <w:rFonts w:ascii="Times New Roman" w:hAnsi="Times New Roman" w:cs="Times New Roman"/>
          <w:szCs w:val="24"/>
        </w:rPr>
        <w:t>Mr. Druman)</w:t>
      </w:r>
      <w:r w:rsidR="00ED4CD0" w:rsidRPr="00E869A4">
        <w:rPr>
          <w:rFonts w:ascii="Times New Roman" w:hAnsi="Times New Roman" w:cs="Times New Roman"/>
          <w:szCs w:val="24"/>
        </w:rPr>
        <w:t>.</w:t>
      </w:r>
      <w:r w:rsidR="00E077C3" w:rsidRPr="00E869A4">
        <w:rPr>
          <w:rFonts w:ascii="Times New Roman" w:hAnsi="Times New Roman" w:cs="Times New Roman"/>
          <w:szCs w:val="24"/>
        </w:rPr>
        <w:t xml:space="preserve"> </w:t>
      </w:r>
      <w:r w:rsidRPr="00E869A4">
        <w:rPr>
          <w:rFonts w:ascii="Times New Roman" w:hAnsi="Times New Roman" w:cs="Times New Roman"/>
          <w:szCs w:val="24"/>
        </w:rPr>
        <w:t>Timothy also alluded to the close relationship that his father shared with his sister, and was happy that he was able to find a paid caregiver who had similar traits to Hazel</w:t>
      </w:r>
      <w:r w:rsidR="0061296E" w:rsidRPr="00E869A4">
        <w:rPr>
          <w:rFonts w:ascii="Times New Roman" w:hAnsi="Times New Roman" w:cs="Times New Roman"/>
          <w:szCs w:val="24"/>
        </w:rPr>
        <w:t>:</w:t>
      </w:r>
      <w:r w:rsidRPr="00E869A4">
        <w:rPr>
          <w:rFonts w:ascii="Times New Roman" w:hAnsi="Times New Roman" w:cs="Times New Roman"/>
          <w:szCs w:val="24"/>
        </w:rPr>
        <w:t xml:space="preserve"> </w:t>
      </w:r>
    </w:p>
    <w:p w14:paraId="5680CE54" w14:textId="77777777" w:rsidR="00725205" w:rsidRPr="00E869A4" w:rsidRDefault="00725205" w:rsidP="00B94289">
      <w:pPr>
        <w:autoSpaceDE w:val="0"/>
        <w:autoSpaceDN w:val="0"/>
        <w:adjustRightInd w:val="0"/>
        <w:spacing w:line="240" w:lineRule="auto"/>
        <w:rPr>
          <w:rFonts w:ascii="Times New Roman" w:hAnsi="Times New Roman" w:cs="Times New Roman"/>
          <w:szCs w:val="24"/>
        </w:rPr>
      </w:pPr>
    </w:p>
    <w:p w14:paraId="267841C9" w14:textId="183336C8" w:rsidR="00725205" w:rsidRPr="00E869A4" w:rsidRDefault="00E077C3" w:rsidP="00ED4CD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eastAsia="Times New Roman" w:hAnsi="Times New Roman" w:cs="Times New Roman"/>
          <w:szCs w:val="24"/>
        </w:rPr>
        <w:t>W</w:t>
      </w:r>
      <w:r w:rsidR="00725205" w:rsidRPr="00E869A4">
        <w:rPr>
          <w:rFonts w:ascii="Times New Roman" w:eastAsia="Times New Roman" w:hAnsi="Times New Roman" w:cs="Times New Roman"/>
          <w:szCs w:val="24"/>
        </w:rPr>
        <w:t>hat is weird is that one of the ladies who comes in the night with him …</w:t>
      </w:r>
      <w:r w:rsidR="00ED0A45" w:rsidRPr="00E869A4">
        <w:rPr>
          <w:rFonts w:ascii="Times New Roman" w:eastAsia="Times New Roman" w:hAnsi="Times New Roman" w:cs="Times New Roman"/>
          <w:szCs w:val="24"/>
        </w:rPr>
        <w:t xml:space="preserve"> </w:t>
      </w:r>
      <w:r w:rsidR="00725205" w:rsidRPr="00E869A4">
        <w:rPr>
          <w:rFonts w:ascii="Times New Roman" w:eastAsia="Times New Roman" w:hAnsi="Times New Roman" w:cs="Times New Roman"/>
          <w:szCs w:val="24"/>
        </w:rPr>
        <w:t xml:space="preserve">she treats dad just like Hazel used to treat him … Kind of firm (chuckles) … He does always tell her … ‘You remind me of </w:t>
      </w:r>
      <w:proofErr w:type="spellStart"/>
      <w:r w:rsidR="00725205" w:rsidRPr="00E869A4">
        <w:rPr>
          <w:rFonts w:ascii="Times New Roman" w:eastAsia="Times New Roman" w:hAnsi="Times New Roman" w:cs="Times New Roman"/>
          <w:szCs w:val="24"/>
        </w:rPr>
        <w:t>ma</w:t>
      </w:r>
      <w:proofErr w:type="spellEnd"/>
      <w:r w:rsidR="00725205" w:rsidRPr="00E869A4">
        <w:rPr>
          <w:rFonts w:ascii="Times New Roman" w:eastAsia="Times New Roman" w:hAnsi="Times New Roman" w:cs="Times New Roman"/>
          <w:szCs w:val="24"/>
        </w:rPr>
        <w:t xml:space="preserve"> daughter’, because she have a kind of relationship like Hazel used to have</w:t>
      </w:r>
      <w:r w:rsidR="00725205" w:rsidRPr="00E869A4">
        <w:rPr>
          <w:rFonts w:ascii="Times New Roman" w:hAnsi="Times New Roman" w:cs="Times New Roman"/>
          <w:szCs w:val="24"/>
        </w:rPr>
        <w:t xml:space="preserve"> [with him</w:t>
      </w:r>
      <w:r w:rsidR="00ED4CD0" w:rsidRPr="00E869A4">
        <w:rPr>
          <w:rFonts w:ascii="Times New Roman" w:hAnsi="Times New Roman" w:cs="Times New Roman"/>
          <w:szCs w:val="24"/>
        </w:rPr>
        <w:t>].</w:t>
      </w:r>
    </w:p>
    <w:p w14:paraId="560A8A34" w14:textId="45611754" w:rsidR="00725205" w:rsidRPr="00E869A4" w:rsidRDefault="00725205" w:rsidP="00ED4CD0">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lastRenderedPageBreak/>
        <w:t xml:space="preserve">Since Hazel was Timothy’s only sibling and his mother </w:t>
      </w:r>
      <w:r w:rsidR="00EE38E8" w:rsidRPr="00E869A4">
        <w:rPr>
          <w:rFonts w:ascii="Times New Roman" w:hAnsi="Times New Roman" w:cs="Times New Roman"/>
          <w:szCs w:val="24"/>
        </w:rPr>
        <w:t>had</w:t>
      </w:r>
      <w:r w:rsidRPr="00E869A4">
        <w:rPr>
          <w:rFonts w:ascii="Times New Roman" w:hAnsi="Times New Roman" w:cs="Times New Roman"/>
          <w:szCs w:val="24"/>
        </w:rPr>
        <w:t xml:space="preserve"> passed away, there were no other close relatives to assist him with his father’s care. </w:t>
      </w:r>
    </w:p>
    <w:p w14:paraId="6D64E05A" w14:textId="77777777" w:rsidR="00725205" w:rsidRPr="00E869A4" w:rsidRDefault="00725205" w:rsidP="00A35FF8">
      <w:pPr>
        <w:autoSpaceDE w:val="0"/>
        <w:autoSpaceDN w:val="0"/>
        <w:adjustRightInd w:val="0"/>
        <w:rPr>
          <w:rFonts w:ascii="Times New Roman" w:hAnsi="Times New Roman" w:cs="Times New Roman"/>
          <w:szCs w:val="24"/>
        </w:rPr>
      </w:pPr>
    </w:p>
    <w:p w14:paraId="51FFD960" w14:textId="1E1A0DF1"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Ms. Violet also seemed to struggle with the change in her primary family carer. She seemed to have had a closer relationship with her daughter </w:t>
      </w:r>
      <w:r w:rsidR="00EE38E8" w:rsidRPr="00E869A4">
        <w:rPr>
          <w:rFonts w:ascii="Times New Roman" w:hAnsi="Times New Roman" w:cs="Times New Roman"/>
          <w:szCs w:val="24"/>
        </w:rPr>
        <w:t>Avalon</w:t>
      </w:r>
      <w:r w:rsidRPr="00E869A4">
        <w:rPr>
          <w:rFonts w:ascii="Times New Roman" w:hAnsi="Times New Roman" w:cs="Times New Roman"/>
          <w:szCs w:val="24"/>
        </w:rPr>
        <w:t xml:space="preserve"> who died, than with her other daughter Marian who took over the primary caregiver role</w:t>
      </w:r>
      <w:r w:rsidRPr="00E869A4">
        <w:rPr>
          <w:rFonts w:ascii="Times New Roman" w:eastAsia="Times New Roman" w:hAnsi="Times New Roman" w:cs="Times New Roman"/>
          <w:szCs w:val="24"/>
        </w:rPr>
        <w:t>. As noted above, there were times when Ms. Violet was unkind to Marian: this may have been in part a result of the incompatibility that existed between them.</w:t>
      </w:r>
    </w:p>
    <w:p w14:paraId="5F431B4E" w14:textId="77777777" w:rsidR="00CB606E" w:rsidRPr="00E869A4" w:rsidRDefault="00CB606E" w:rsidP="00B61191">
      <w:pPr>
        <w:ind w:left="567" w:firstLine="0"/>
      </w:pPr>
    </w:p>
    <w:p w14:paraId="2C7B5A9A" w14:textId="69B2C3AA" w:rsidR="00725205" w:rsidRPr="00E869A4" w:rsidRDefault="00D77F0B" w:rsidP="005C449C">
      <w:pPr>
        <w:pStyle w:val="Heading3"/>
      </w:pPr>
      <w:bookmarkStart w:id="321" w:name="_Toc40436545"/>
      <w:r w:rsidRPr="00E869A4">
        <w:t>7</w:t>
      </w:r>
      <w:r w:rsidR="003320B7" w:rsidRPr="00E869A4">
        <w:t>.</w:t>
      </w:r>
      <w:r w:rsidR="00FC15FD" w:rsidRPr="00E869A4">
        <w:t>3</w:t>
      </w:r>
      <w:r w:rsidR="003320B7" w:rsidRPr="00E869A4">
        <w:t xml:space="preserve">.2     </w:t>
      </w:r>
      <w:r w:rsidR="00725205" w:rsidRPr="00E869A4">
        <w:t>Caregiver Willingness</w:t>
      </w:r>
      <w:bookmarkEnd w:id="321"/>
    </w:p>
    <w:p w14:paraId="134F8291" w14:textId="77777777" w:rsidR="00725205" w:rsidRPr="00E869A4" w:rsidRDefault="00725205" w:rsidP="00A35FF8">
      <w:pPr>
        <w:rPr>
          <w:rFonts w:ascii="Times New Roman" w:hAnsi="Times New Roman" w:cs="Times New Roman"/>
        </w:rPr>
      </w:pPr>
    </w:p>
    <w:p w14:paraId="6C50A620" w14:textId="24732ED5" w:rsidR="00725205" w:rsidRPr="00E869A4" w:rsidRDefault="00725205" w:rsidP="00A35FF8">
      <w:pPr>
        <w:autoSpaceDE w:val="0"/>
        <w:autoSpaceDN w:val="0"/>
        <w:adjustRightInd w:val="0"/>
        <w:rPr>
          <w:rFonts w:ascii="Times New Roman" w:eastAsia="Times New Roman" w:hAnsi="Times New Roman" w:cs="Times New Roman"/>
          <w:szCs w:val="24"/>
        </w:rPr>
      </w:pPr>
      <w:r w:rsidRPr="00E869A4">
        <w:rPr>
          <w:rFonts w:ascii="Times New Roman" w:hAnsi="Times New Roman" w:cs="Times New Roman"/>
          <w:szCs w:val="24"/>
        </w:rPr>
        <w:t xml:space="preserve">Perceived reluctance of a family caregiver to provide care support is another factor that proved challenging to older persons receiving family care. It is distinct from the outright refusal of a relative. In such situations, care </w:t>
      </w:r>
      <w:r w:rsidR="00EA02E9" w:rsidRPr="00E869A4">
        <w:rPr>
          <w:rFonts w:ascii="Times New Roman" w:hAnsi="Times New Roman" w:cs="Times New Roman"/>
          <w:szCs w:val="24"/>
        </w:rPr>
        <w:t>wa</w:t>
      </w:r>
      <w:r w:rsidRPr="00E869A4">
        <w:rPr>
          <w:rFonts w:ascii="Times New Roman" w:hAnsi="Times New Roman" w:cs="Times New Roman"/>
          <w:szCs w:val="24"/>
        </w:rPr>
        <w:t>s provided but the older person perceive</w:t>
      </w:r>
      <w:r w:rsidR="00EA02E9" w:rsidRPr="00E869A4">
        <w:rPr>
          <w:rFonts w:ascii="Times New Roman" w:hAnsi="Times New Roman" w:cs="Times New Roman"/>
          <w:szCs w:val="24"/>
        </w:rPr>
        <w:t>d</w:t>
      </w:r>
      <w:r w:rsidRPr="00E869A4">
        <w:rPr>
          <w:rFonts w:ascii="Times New Roman" w:hAnsi="Times New Roman" w:cs="Times New Roman"/>
          <w:szCs w:val="24"/>
        </w:rPr>
        <w:t xml:space="preserve"> it as being done half-heartedly or grudgingly. Mr. Khan experienced this when his daughter-in-law Kalima cared for him in the aftermath of his wife</w:t>
      </w:r>
      <w:r w:rsidRPr="00E869A4">
        <w:rPr>
          <w:rFonts w:ascii="Times New Roman" w:eastAsia="Times New Roman" w:hAnsi="Times New Roman" w:cs="Times New Roman"/>
          <w:szCs w:val="24"/>
        </w:rPr>
        <w:t xml:space="preserve">’s death (their situation was highlighted in the previous Chapter on the Determinants of Care). </w:t>
      </w:r>
    </w:p>
    <w:p w14:paraId="6D021554" w14:textId="77777777" w:rsidR="00725205" w:rsidRPr="00E869A4" w:rsidRDefault="00725205" w:rsidP="00A35FF8">
      <w:pPr>
        <w:autoSpaceDE w:val="0"/>
        <w:autoSpaceDN w:val="0"/>
        <w:adjustRightInd w:val="0"/>
        <w:rPr>
          <w:rFonts w:ascii="Times New Roman" w:eastAsia="Times New Roman" w:hAnsi="Times New Roman" w:cs="Times New Roman"/>
          <w:szCs w:val="24"/>
        </w:rPr>
      </w:pPr>
    </w:p>
    <w:p w14:paraId="7D87DA55" w14:textId="22304222" w:rsidR="00725205" w:rsidRPr="00E869A4" w:rsidRDefault="00725205" w:rsidP="00ED4CD0">
      <w:pPr>
        <w:autoSpaceDE w:val="0"/>
        <w:autoSpaceDN w:val="0"/>
        <w:adjustRightInd w:val="0"/>
        <w:rPr>
          <w:rFonts w:ascii="Times New Roman" w:eastAsia="Times New Roman" w:hAnsi="Times New Roman" w:cs="Times New Roman"/>
          <w:i/>
          <w:szCs w:val="24"/>
        </w:rPr>
      </w:pPr>
      <w:r w:rsidRPr="00E869A4">
        <w:rPr>
          <w:rFonts w:ascii="Times New Roman" w:eastAsia="Times New Roman" w:hAnsi="Times New Roman" w:cs="Times New Roman"/>
          <w:szCs w:val="24"/>
        </w:rPr>
        <w:t>Mrs. Sanchez also seemed to be reluctant to provide care to her husband</w:t>
      </w:r>
      <w:r w:rsidR="00252474" w:rsidRPr="00E869A4">
        <w:rPr>
          <w:rFonts w:ascii="Times New Roman" w:eastAsia="Times New Roman" w:hAnsi="Times New Roman" w:cs="Times New Roman"/>
          <w:szCs w:val="24"/>
        </w:rPr>
        <w:t xml:space="preserve"> on a consistent basis</w:t>
      </w:r>
      <w:r w:rsidRPr="00E869A4">
        <w:rPr>
          <w:rFonts w:ascii="Times New Roman" w:eastAsia="Times New Roman" w:hAnsi="Times New Roman" w:cs="Times New Roman"/>
          <w:szCs w:val="24"/>
        </w:rPr>
        <w:t>. As indicated in an earlier section of this chapter, she shared about the negative effect providing intense care to him seemed to be having on her health</w:t>
      </w:r>
      <w:r w:rsidR="00EA02E9"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and complained about the limited support she </w:t>
      </w:r>
      <w:r w:rsidR="00CE4301" w:rsidRPr="00E869A4">
        <w:rPr>
          <w:rFonts w:ascii="Times New Roman" w:eastAsia="Times New Roman" w:hAnsi="Times New Roman" w:cs="Times New Roman"/>
          <w:szCs w:val="24"/>
        </w:rPr>
        <w:t>got from other family members. Even t</w:t>
      </w:r>
      <w:r w:rsidRPr="00E869A4">
        <w:rPr>
          <w:rFonts w:ascii="Times New Roman" w:eastAsia="Times New Roman" w:hAnsi="Times New Roman" w:cs="Times New Roman"/>
          <w:szCs w:val="24"/>
        </w:rPr>
        <w:t xml:space="preserve">hough he was blind, hard-of-hearing and had limited mobility as a result of leg amputation, she would leave him unattended to work part-time in a restaurant about </w:t>
      </w:r>
      <w:r w:rsidR="00EA02E9" w:rsidRPr="00E869A4">
        <w:rPr>
          <w:rFonts w:ascii="Times New Roman" w:eastAsia="Times New Roman" w:hAnsi="Times New Roman" w:cs="Times New Roman"/>
          <w:szCs w:val="24"/>
        </w:rPr>
        <w:t>a five</w:t>
      </w:r>
      <w:r w:rsidRPr="00E869A4">
        <w:rPr>
          <w:rFonts w:ascii="Times New Roman" w:eastAsia="Times New Roman" w:hAnsi="Times New Roman" w:cs="Times New Roman"/>
          <w:szCs w:val="24"/>
        </w:rPr>
        <w:t xml:space="preserve"> minute walk from the house. The job</w:t>
      </w:r>
      <w:r w:rsidR="00EA02E9"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she claimed</w:t>
      </w:r>
      <w:r w:rsidR="00EA02E9"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provided her with money to save towards a downpayment for a house. She also saw it as a form of respite for her from having to attend to him on a continuous basis. But, this situation placed Mr. Sanchez at risk during the time that he was left unattended. </w:t>
      </w:r>
      <w:r w:rsidR="00FF531C" w:rsidRPr="00E869A4">
        <w:rPr>
          <w:rFonts w:ascii="Times New Roman" w:eastAsia="Times New Roman" w:hAnsi="Times New Roman" w:cs="Times New Roman"/>
          <w:szCs w:val="24"/>
        </w:rPr>
        <w:t>Alt</w:t>
      </w:r>
      <w:r w:rsidRPr="00E869A4">
        <w:rPr>
          <w:rFonts w:ascii="Times New Roman" w:eastAsia="Times New Roman" w:hAnsi="Times New Roman" w:cs="Times New Roman"/>
          <w:szCs w:val="24"/>
        </w:rPr>
        <w:t xml:space="preserve">hough some of his neighbours who lived next door would sometimes check on him, that was only a tentative arrangement. One neighbour complained that Mrs. Sanchez should not leave her husband unattended as he was in receipt of a comfortable pension from working as a senior public official. However, Mrs. Sanchez admitted that she saved part of the money from his pension for a downpayment for a </w:t>
      </w:r>
      <w:r w:rsidR="00EA02E9" w:rsidRPr="00E869A4">
        <w:rPr>
          <w:rFonts w:ascii="Times New Roman" w:eastAsia="Times New Roman" w:hAnsi="Times New Roman" w:cs="Times New Roman"/>
          <w:szCs w:val="24"/>
        </w:rPr>
        <w:t>house,</w:t>
      </w:r>
      <w:r w:rsidRPr="00E869A4">
        <w:rPr>
          <w:rFonts w:ascii="Times New Roman" w:eastAsia="Times New Roman" w:hAnsi="Times New Roman" w:cs="Times New Roman"/>
          <w:szCs w:val="24"/>
        </w:rPr>
        <w:t xml:space="preserve"> as she was not sure that she could live in the family home where they resided after he died. Despite this troubling care situation, Mr. Sanchez was very satisfied with the care provided by his wife</w:t>
      </w:r>
      <w:r w:rsidR="0061296E" w:rsidRPr="00E869A4">
        <w:rPr>
          <w:rFonts w:ascii="Times New Roman" w:eastAsia="Times New Roman" w:hAnsi="Times New Roman" w:cs="Times New Roman"/>
          <w:szCs w:val="24"/>
        </w:rPr>
        <w:t>:</w:t>
      </w:r>
      <w:r w:rsidR="00ED4CD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xml:space="preserve">And I am fortunate: there </w:t>
      </w:r>
      <w:r w:rsidRPr="00E869A4">
        <w:rPr>
          <w:rFonts w:ascii="Times New Roman" w:eastAsia="Times New Roman" w:hAnsi="Times New Roman" w:cs="Times New Roman"/>
          <w:szCs w:val="24"/>
        </w:rPr>
        <w:lastRenderedPageBreak/>
        <w:t xml:space="preserve">are some people who are fortunate to go to a </w:t>
      </w:r>
      <w:r w:rsidR="002459BF" w:rsidRPr="00E869A4">
        <w:rPr>
          <w:rFonts w:ascii="Times New Roman" w:eastAsia="Times New Roman" w:hAnsi="Times New Roman" w:cs="Times New Roman"/>
          <w:szCs w:val="24"/>
        </w:rPr>
        <w:t>Home</w:t>
      </w:r>
      <w:r w:rsidRPr="00E869A4">
        <w:rPr>
          <w:rFonts w:ascii="Times New Roman" w:eastAsia="Times New Roman" w:hAnsi="Times New Roman" w:cs="Times New Roman"/>
          <w:szCs w:val="24"/>
        </w:rPr>
        <w:t xml:space="preserve">, I am fortunate ‘cause I have a wife who is looking after my needs. </w:t>
      </w:r>
      <w:r w:rsidR="004165F0" w:rsidRPr="00E869A4">
        <w:rPr>
          <w:rFonts w:ascii="Times New Roman" w:eastAsia="Times New Roman" w:hAnsi="Times New Roman" w:cs="Times New Roman"/>
          <w:szCs w:val="24"/>
        </w:rPr>
        <w:t>I have no complaints about that.</w:t>
      </w:r>
      <w:r w:rsidR="0061296E" w:rsidRPr="00E869A4">
        <w:rPr>
          <w:rFonts w:ascii="Times New Roman" w:eastAsia="Times New Roman" w:hAnsi="Times New Roman" w:cs="Times New Roman"/>
          <w:szCs w:val="24"/>
        </w:rPr>
        <w:t xml:space="preserve">”  </w:t>
      </w:r>
      <w:r w:rsidR="003424DE" w:rsidRPr="00E869A4">
        <w:rPr>
          <w:rFonts w:ascii="Times New Roman" w:eastAsia="Times New Roman" w:hAnsi="Times New Roman" w:cs="Times New Roman"/>
          <w:szCs w:val="24"/>
        </w:rPr>
        <w:t>(CR</w:t>
      </w:r>
      <w:r w:rsidRPr="00E869A4">
        <w:rPr>
          <w:rFonts w:ascii="Times New Roman" w:eastAsia="Times New Roman" w:hAnsi="Times New Roman" w:cs="Times New Roman"/>
          <w:szCs w:val="24"/>
        </w:rPr>
        <w:t xml:space="preserve"> Mr. Sanchez)</w:t>
      </w:r>
      <w:r w:rsidR="00ED4CD0" w:rsidRPr="00E869A4">
        <w:rPr>
          <w:rFonts w:ascii="Times New Roman" w:eastAsia="Times New Roman" w:hAnsi="Times New Roman" w:cs="Times New Roman"/>
          <w:szCs w:val="24"/>
        </w:rPr>
        <w:t>.</w:t>
      </w:r>
    </w:p>
    <w:p w14:paraId="5FCFF0BA" w14:textId="77777777" w:rsidR="00725205" w:rsidRPr="00E869A4" w:rsidRDefault="00725205" w:rsidP="00A35FF8">
      <w:pPr>
        <w:autoSpaceDE w:val="0"/>
        <w:autoSpaceDN w:val="0"/>
        <w:adjustRightInd w:val="0"/>
        <w:rPr>
          <w:rFonts w:ascii="Times New Roman" w:hAnsi="Times New Roman" w:cs="Times New Roman"/>
          <w:szCs w:val="24"/>
        </w:rPr>
      </w:pPr>
    </w:p>
    <w:p w14:paraId="47530788" w14:textId="1EC20997" w:rsidR="00725205" w:rsidRPr="00E869A4" w:rsidRDefault="00D77F0B" w:rsidP="005C449C">
      <w:pPr>
        <w:pStyle w:val="Heading3"/>
      </w:pPr>
      <w:bookmarkStart w:id="322" w:name="_Toc40436546"/>
      <w:r w:rsidRPr="00E869A4">
        <w:t>7</w:t>
      </w:r>
      <w:r w:rsidR="00985308" w:rsidRPr="00E869A4">
        <w:t>.</w:t>
      </w:r>
      <w:r w:rsidR="00FC15FD" w:rsidRPr="00E869A4">
        <w:t>3</w:t>
      </w:r>
      <w:r w:rsidR="00985308" w:rsidRPr="00E869A4">
        <w:t xml:space="preserve">.3     </w:t>
      </w:r>
      <w:r w:rsidR="00725205" w:rsidRPr="00E869A4">
        <w:t>Caregiver Ability</w:t>
      </w:r>
      <w:bookmarkEnd w:id="322"/>
    </w:p>
    <w:p w14:paraId="5754BED4" w14:textId="77777777" w:rsidR="00725205" w:rsidRPr="00E869A4" w:rsidRDefault="00725205" w:rsidP="00A35FF8">
      <w:pPr>
        <w:tabs>
          <w:tab w:val="left" w:pos="240"/>
          <w:tab w:val="left" w:pos="720"/>
        </w:tabs>
        <w:autoSpaceDE w:val="0"/>
        <w:autoSpaceDN w:val="0"/>
        <w:adjustRightInd w:val="0"/>
        <w:ind w:left="720" w:hanging="720"/>
        <w:rPr>
          <w:rFonts w:ascii="Times New Roman" w:hAnsi="Times New Roman" w:cs="Times New Roman"/>
          <w:szCs w:val="24"/>
        </w:rPr>
      </w:pPr>
    </w:p>
    <w:p w14:paraId="69299D5C" w14:textId="0FDAAE95"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Another challenge experienced by some care rec</w:t>
      </w:r>
      <w:r w:rsidR="0061296E" w:rsidRPr="00E869A4">
        <w:rPr>
          <w:rFonts w:ascii="Times New Roman" w:hAnsi="Times New Roman" w:cs="Times New Roman"/>
          <w:szCs w:val="24"/>
        </w:rPr>
        <w:t>ipients</w:t>
      </w:r>
      <w:r w:rsidRPr="00E869A4">
        <w:rPr>
          <w:rFonts w:ascii="Times New Roman" w:hAnsi="Times New Roman" w:cs="Times New Roman"/>
          <w:szCs w:val="24"/>
        </w:rPr>
        <w:t xml:space="preserve"> was having a family caregiver who did not have the requisite skill needed to meet their particular care needs. </w:t>
      </w:r>
      <w:r w:rsidR="00B032F2" w:rsidRPr="00E869A4">
        <w:rPr>
          <w:rFonts w:ascii="Times New Roman" w:hAnsi="Times New Roman" w:cs="Times New Roman"/>
          <w:szCs w:val="24"/>
        </w:rPr>
        <w:t>The</w:t>
      </w:r>
      <w:r w:rsidRPr="00E869A4">
        <w:rPr>
          <w:rFonts w:ascii="Times New Roman" w:hAnsi="Times New Roman" w:cs="Times New Roman"/>
          <w:szCs w:val="24"/>
        </w:rPr>
        <w:t xml:space="preserve"> older persons who received paid in-home care support</w:t>
      </w:r>
      <w:r w:rsidR="00B032F2" w:rsidRPr="00E869A4">
        <w:rPr>
          <w:rFonts w:ascii="Times New Roman" w:hAnsi="Times New Roman" w:cs="Times New Roman"/>
          <w:szCs w:val="24"/>
        </w:rPr>
        <w:t xml:space="preserve"> had different opinions </w:t>
      </w:r>
      <w:r w:rsidR="00736356" w:rsidRPr="00E869A4">
        <w:rPr>
          <w:rFonts w:ascii="Times New Roman" w:hAnsi="Times New Roman" w:cs="Times New Roman"/>
          <w:szCs w:val="24"/>
        </w:rPr>
        <w:t>about</w:t>
      </w:r>
      <w:r w:rsidR="00B032F2" w:rsidRPr="00E869A4">
        <w:rPr>
          <w:rFonts w:ascii="Times New Roman" w:hAnsi="Times New Roman" w:cs="Times New Roman"/>
          <w:szCs w:val="24"/>
        </w:rPr>
        <w:t xml:space="preserve"> </w:t>
      </w:r>
      <w:r w:rsidRPr="00E869A4">
        <w:rPr>
          <w:rFonts w:ascii="Times New Roman" w:hAnsi="Times New Roman" w:cs="Times New Roman"/>
          <w:szCs w:val="24"/>
        </w:rPr>
        <w:t xml:space="preserve">how care tasks </w:t>
      </w:r>
      <w:r w:rsidR="00B032F2" w:rsidRPr="00E869A4">
        <w:rPr>
          <w:rFonts w:ascii="Times New Roman" w:hAnsi="Times New Roman" w:cs="Times New Roman"/>
          <w:szCs w:val="24"/>
        </w:rPr>
        <w:t xml:space="preserve">should be </w:t>
      </w:r>
      <w:r w:rsidRPr="00E869A4">
        <w:rPr>
          <w:rFonts w:ascii="Times New Roman" w:hAnsi="Times New Roman" w:cs="Times New Roman"/>
          <w:szCs w:val="24"/>
        </w:rPr>
        <w:t xml:space="preserve">assigned between their relative and </w:t>
      </w:r>
      <w:r w:rsidR="00736356" w:rsidRPr="00E869A4">
        <w:rPr>
          <w:rFonts w:ascii="Times New Roman" w:hAnsi="Times New Roman" w:cs="Times New Roman"/>
          <w:szCs w:val="24"/>
        </w:rPr>
        <w:t>the</w:t>
      </w:r>
      <w:r w:rsidRPr="00E869A4">
        <w:rPr>
          <w:rFonts w:ascii="Times New Roman" w:hAnsi="Times New Roman" w:cs="Times New Roman"/>
          <w:szCs w:val="24"/>
        </w:rPr>
        <w:t xml:space="preserve"> paid home-care workers. Whilst some older persons willingly received personal care support from non-family members (e.g. Ms. Violet), others were averse to this and preferred to receive direct care from their close relative (e.g. Ms. Kumar). Ms. Violet had greater faith in her paid caregiver Onella</w:t>
      </w:r>
      <w:r w:rsidRPr="00E869A4">
        <w:rPr>
          <w:rFonts w:ascii="Times New Roman" w:eastAsia="Times New Roman" w:hAnsi="Times New Roman" w:cs="Times New Roman"/>
          <w:szCs w:val="24"/>
        </w:rPr>
        <w:t xml:space="preserve">’s ability to provide hands-on care to her than her daughter Marian. This situation was triggered by an incident where Marian unwittingly mishandled her whilst helping to move </w:t>
      </w:r>
      <w:r w:rsidR="00B032F2" w:rsidRPr="00E869A4">
        <w:rPr>
          <w:rFonts w:ascii="Times New Roman" w:eastAsia="Times New Roman" w:hAnsi="Times New Roman" w:cs="Times New Roman"/>
          <w:szCs w:val="24"/>
        </w:rPr>
        <w:t xml:space="preserve">her </w:t>
      </w:r>
      <w:r w:rsidRPr="00E869A4">
        <w:rPr>
          <w:rFonts w:ascii="Times New Roman" w:eastAsia="Times New Roman" w:hAnsi="Times New Roman" w:cs="Times New Roman"/>
          <w:szCs w:val="24"/>
        </w:rPr>
        <w:t>from one position to another</w:t>
      </w:r>
      <w:r w:rsidR="0061296E" w:rsidRPr="00E869A4">
        <w:rPr>
          <w:rFonts w:ascii="Times New Roman" w:eastAsia="Times New Roman" w:hAnsi="Times New Roman" w:cs="Times New Roman"/>
          <w:szCs w:val="24"/>
        </w:rPr>
        <w:t>:</w:t>
      </w:r>
    </w:p>
    <w:p w14:paraId="7C86C429" w14:textId="77777777" w:rsidR="00725205" w:rsidRPr="00E869A4" w:rsidRDefault="00725205" w:rsidP="00B94289">
      <w:pPr>
        <w:autoSpaceDE w:val="0"/>
        <w:autoSpaceDN w:val="0"/>
        <w:adjustRightInd w:val="0"/>
        <w:spacing w:line="240" w:lineRule="auto"/>
        <w:rPr>
          <w:rFonts w:ascii="Times New Roman" w:hAnsi="Times New Roman" w:cs="Times New Roman"/>
          <w:szCs w:val="24"/>
        </w:rPr>
      </w:pPr>
    </w:p>
    <w:p w14:paraId="59204EC1" w14:textId="054342B7" w:rsidR="00725205" w:rsidRPr="00E869A4" w:rsidRDefault="00725205" w:rsidP="00ED4CD0">
      <w:pPr>
        <w:autoSpaceDE w:val="0"/>
        <w:autoSpaceDN w:val="0"/>
        <w:adjustRightInd w:val="0"/>
        <w:spacing w:line="240" w:lineRule="auto"/>
        <w:ind w:left="567" w:firstLine="0"/>
        <w:rPr>
          <w:rFonts w:ascii="Times New Roman" w:hAnsi="Times New Roman" w:cs="Times New Roman"/>
          <w:szCs w:val="24"/>
        </w:rPr>
      </w:pPr>
      <w:r w:rsidRPr="00E869A4">
        <w:rPr>
          <w:rFonts w:ascii="Times New Roman" w:hAnsi="Times New Roman" w:cs="Times New Roman"/>
          <w:szCs w:val="24"/>
        </w:rPr>
        <w:t>She does</w:t>
      </w:r>
      <w:r w:rsidR="00736356" w:rsidRPr="00E869A4">
        <w:rPr>
          <w:rFonts w:ascii="Times New Roman" w:hAnsi="Times New Roman" w:cs="Times New Roman"/>
          <w:szCs w:val="24"/>
        </w:rPr>
        <w:t xml:space="preserve"> </w:t>
      </w:r>
      <w:r w:rsidRPr="00E869A4">
        <w:rPr>
          <w:rFonts w:ascii="Times New Roman" w:hAnsi="Times New Roman" w:cs="Times New Roman"/>
          <w:szCs w:val="24"/>
        </w:rPr>
        <w:t>not</w:t>
      </w:r>
      <w:r w:rsidR="00736356" w:rsidRPr="00E869A4">
        <w:rPr>
          <w:rFonts w:ascii="Times New Roman" w:hAnsi="Times New Roman" w:cs="Times New Roman"/>
          <w:szCs w:val="24"/>
        </w:rPr>
        <w:t xml:space="preserve"> </w:t>
      </w:r>
      <w:r w:rsidRPr="00E869A4">
        <w:rPr>
          <w:rFonts w:ascii="Times New Roman" w:hAnsi="Times New Roman" w:cs="Times New Roman"/>
          <w:szCs w:val="24"/>
        </w:rPr>
        <w:t>trust</w:t>
      </w:r>
      <w:r w:rsidR="00736356" w:rsidRPr="00E869A4">
        <w:rPr>
          <w:rFonts w:ascii="Times New Roman" w:hAnsi="Times New Roman" w:cs="Times New Roman"/>
          <w:szCs w:val="24"/>
        </w:rPr>
        <w:t xml:space="preserve"> </w:t>
      </w:r>
      <w:r w:rsidRPr="00E869A4">
        <w:rPr>
          <w:rFonts w:ascii="Times New Roman" w:hAnsi="Times New Roman" w:cs="Times New Roman"/>
          <w:szCs w:val="24"/>
        </w:rPr>
        <w:t>me. She call Onella an</w:t>
      </w:r>
      <w:r w:rsidRPr="00E869A4">
        <w:rPr>
          <w:rFonts w:ascii="Times New Roman" w:eastAsia="Times New Roman" w:hAnsi="Times New Roman" w:cs="Times New Roman"/>
          <w:szCs w:val="24"/>
        </w:rPr>
        <w:t xml:space="preserve">’ dem </w:t>
      </w:r>
      <w:r w:rsidR="00B032F2"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come</w:t>
      </w:r>
      <w:r w:rsidR="00B032F2"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There was one particular </w:t>
      </w:r>
      <w:r w:rsidR="00514ADB" w:rsidRPr="00E869A4">
        <w:rPr>
          <w:rFonts w:ascii="Times New Roman" w:eastAsia="Times New Roman" w:hAnsi="Times New Roman" w:cs="Times New Roman"/>
          <w:szCs w:val="24"/>
        </w:rPr>
        <w:t>time … Onella</w:t>
      </w:r>
      <w:r w:rsidRPr="00E869A4">
        <w:rPr>
          <w:rFonts w:ascii="Times New Roman" w:eastAsia="Times New Roman" w:hAnsi="Times New Roman" w:cs="Times New Roman"/>
          <w:szCs w:val="24"/>
        </w:rPr>
        <w:t xml:space="preserve"> was having ah bar-b-que out there. I  really was taken up with the bar-b-que. I wasn’t [in] the right position. An’ she told me </w:t>
      </w:r>
      <w:r w:rsidR="00514ADB"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de knees</w:t>
      </w:r>
      <w:r w:rsidR="00514ADB"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w:t>
      </w:r>
      <w:r w:rsidR="00514ADB" w:rsidRPr="00E869A4">
        <w:rPr>
          <w:rFonts w:ascii="Times New Roman" w:eastAsia="Times New Roman" w:hAnsi="Times New Roman" w:cs="Times New Roman"/>
          <w:szCs w:val="24"/>
        </w:rPr>
        <w:t>She</w:t>
      </w:r>
      <w:r w:rsidRPr="00E869A4">
        <w:rPr>
          <w:rFonts w:ascii="Times New Roman" w:eastAsia="Times New Roman" w:hAnsi="Times New Roman" w:cs="Times New Roman"/>
          <w:szCs w:val="24"/>
        </w:rPr>
        <w:t xml:space="preserve"> was goin’ down</w:t>
      </w:r>
      <w:r w:rsidR="00ED4CD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 was in front but not in position</w:t>
      </w:r>
      <w:r w:rsidR="00ED4CD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w:t>
      </w:r>
      <w:r w:rsidR="00ED4CD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she used to walk with a walker at that time</w:t>
      </w:r>
      <w:r w:rsidR="00514ADB" w:rsidRPr="00E869A4">
        <w:rPr>
          <w:rFonts w:ascii="Times New Roman" w:eastAsia="Times New Roman" w:hAnsi="Times New Roman" w:cs="Times New Roman"/>
          <w:szCs w:val="24"/>
        </w:rPr>
        <w:t>, an’</w:t>
      </w:r>
      <w:r w:rsidRPr="00E869A4">
        <w:rPr>
          <w:rFonts w:ascii="Times New Roman" w:eastAsia="Times New Roman" w:hAnsi="Times New Roman" w:cs="Times New Roman"/>
          <w:szCs w:val="24"/>
        </w:rPr>
        <w:t xml:space="preserve"> she went down</w:t>
      </w:r>
      <w:r w:rsidR="00514ADB"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an’ de wheel for the walker punctured her. So by the time Onella came in an’ she check her out’… she had a deep puncture on her leg. Water</w:t>
      </w:r>
      <w:r w:rsidR="00514ADB"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I never see anybody bleed water</w:t>
      </w:r>
      <w:r w:rsidR="00ED4CD0" w:rsidRPr="00E869A4">
        <w:rPr>
          <w:rFonts w:ascii="Times New Roman" w:eastAsia="Times New Roman" w:hAnsi="Times New Roman" w:cs="Times New Roman"/>
          <w:szCs w:val="24"/>
        </w:rPr>
        <w:t xml:space="preserve"> </w:t>
      </w:r>
      <w:r w:rsidRPr="00E869A4">
        <w:rPr>
          <w:rFonts w:ascii="Times New Roman" w:eastAsia="Times New Roman" w:hAnsi="Times New Roman" w:cs="Times New Roman"/>
          <w:szCs w:val="24"/>
        </w:rPr>
        <w:t>… So I called the ambulance</w:t>
      </w:r>
      <w:r w:rsidR="00ED4CD0" w:rsidRPr="00E869A4">
        <w:rPr>
          <w:rFonts w:ascii="Times New Roman" w:eastAsia="Times New Roman" w:hAnsi="Times New Roman" w:cs="Times New Roman"/>
          <w:szCs w:val="24"/>
        </w:rPr>
        <w:t>.</w:t>
      </w:r>
    </w:p>
    <w:p w14:paraId="7F0CBB67" w14:textId="77777777" w:rsidR="00B032F2" w:rsidRPr="00E869A4" w:rsidRDefault="00B032F2" w:rsidP="00B94289">
      <w:pPr>
        <w:autoSpaceDE w:val="0"/>
        <w:autoSpaceDN w:val="0"/>
        <w:adjustRightInd w:val="0"/>
        <w:spacing w:line="240" w:lineRule="auto"/>
        <w:rPr>
          <w:rFonts w:ascii="Times New Roman" w:hAnsi="Times New Roman" w:cs="Times New Roman"/>
          <w:szCs w:val="24"/>
        </w:rPr>
      </w:pPr>
    </w:p>
    <w:p w14:paraId="477A37AD" w14:textId="49AEED72" w:rsidR="00725205" w:rsidRPr="00E869A4" w:rsidRDefault="00725205" w:rsidP="00B032F2">
      <w:pPr>
        <w:autoSpaceDE w:val="0"/>
        <w:autoSpaceDN w:val="0"/>
        <w:adjustRightInd w:val="0"/>
        <w:ind w:firstLine="0"/>
        <w:rPr>
          <w:rFonts w:ascii="Times New Roman" w:hAnsi="Times New Roman" w:cs="Times New Roman"/>
          <w:szCs w:val="24"/>
        </w:rPr>
      </w:pPr>
      <w:r w:rsidRPr="00E869A4">
        <w:rPr>
          <w:rFonts w:ascii="Times New Roman" w:hAnsi="Times New Roman" w:cs="Times New Roman"/>
          <w:szCs w:val="24"/>
        </w:rPr>
        <w:t xml:space="preserve">Onella was physically stronger than </w:t>
      </w:r>
      <w:r w:rsidR="00514ADB" w:rsidRPr="00E869A4">
        <w:rPr>
          <w:rFonts w:ascii="Times New Roman" w:hAnsi="Times New Roman" w:cs="Times New Roman"/>
          <w:szCs w:val="24"/>
        </w:rPr>
        <w:t>Marian was</w:t>
      </w:r>
      <w:r w:rsidRPr="00E869A4">
        <w:rPr>
          <w:rFonts w:ascii="Times New Roman" w:hAnsi="Times New Roman" w:cs="Times New Roman"/>
          <w:szCs w:val="24"/>
        </w:rPr>
        <w:t xml:space="preserve"> and therefore better able to provide physical care to Ms. Violet. Marian was not trained in providing elder care and, as an older person herself</w:t>
      </w:r>
      <w:r w:rsidR="00514ADB" w:rsidRPr="00E869A4">
        <w:rPr>
          <w:rFonts w:ascii="Times New Roman" w:hAnsi="Times New Roman" w:cs="Times New Roman"/>
          <w:szCs w:val="24"/>
        </w:rPr>
        <w:t>, she</w:t>
      </w:r>
      <w:r w:rsidRPr="00E869A4">
        <w:rPr>
          <w:rFonts w:ascii="Times New Roman" w:hAnsi="Times New Roman" w:cs="Times New Roman"/>
          <w:szCs w:val="24"/>
        </w:rPr>
        <w:t xml:space="preserve"> found it difficult to physically assist her mother. </w:t>
      </w:r>
    </w:p>
    <w:p w14:paraId="36B6C176" w14:textId="77777777" w:rsidR="00725205" w:rsidRPr="00E869A4" w:rsidRDefault="00725205" w:rsidP="00B94289">
      <w:pPr>
        <w:autoSpaceDE w:val="0"/>
        <w:autoSpaceDN w:val="0"/>
        <w:adjustRightInd w:val="0"/>
        <w:spacing w:line="240" w:lineRule="auto"/>
        <w:rPr>
          <w:rFonts w:ascii="Times New Roman" w:hAnsi="Times New Roman" w:cs="Times New Roman"/>
          <w:szCs w:val="24"/>
        </w:rPr>
      </w:pPr>
    </w:p>
    <w:p w14:paraId="1C28AF00" w14:textId="554AEDB2" w:rsidR="00725205" w:rsidRPr="00E869A4" w:rsidRDefault="00D77F0B" w:rsidP="005C449C">
      <w:pPr>
        <w:pStyle w:val="Heading3"/>
      </w:pPr>
      <w:bookmarkStart w:id="323" w:name="_Toc40436547"/>
      <w:r w:rsidRPr="00E869A4">
        <w:t>7</w:t>
      </w:r>
      <w:r w:rsidR="00985308" w:rsidRPr="00E869A4">
        <w:t>.</w:t>
      </w:r>
      <w:r w:rsidR="00BA7823" w:rsidRPr="00E869A4">
        <w:t>3</w:t>
      </w:r>
      <w:r w:rsidR="00985308" w:rsidRPr="00E869A4">
        <w:t xml:space="preserve">.4     </w:t>
      </w:r>
      <w:r w:rsidR="00725205" w:rsidRPr="00E869A4">
        <w:t>Caregiver Availability</w:t>
      </w:r>
      <w:bookmarkEnd w:id="323"/>
    </w:p>
    <w:p w14:paraId="5FCE5263" w14:textId="77777777" w:rsidR="00725205" w:rsidRPr="00E869A4" w:rsidRDefault="00725205" w:rsidP="00A35FF8">
      <w:pPr>
        <w:autoSpaceDE w:val="0"/>
        <w:autoSpaceDN w:val="0"/>
        <w:adjustRightInd w:val="0"/>
        <w:rPr>
          <w:rFonts w:ascii="Times New Roman" w:hAnsi="Times New Roman" w:cs="Times New Roman"/>
          <w:szCs w:val="24"/>
        </w:rPr>
      </w:pPr>
    </w:p>
    <w:p w14:paraId="63845A12" w14:textId="22364365" w:rsidR="00725205" w:rsidRPr="00E869A4" w:rsidRDefault="00725205" w:rsidP="00A35FF8">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Unlike Ms. Violet who preferred to receive personal care from her paid caregiver, Ms. Kumar was unhappy that her daughter Rebecca did not provide direct care to her</w:t>
      </w:r>
      <w:r w:rsidR="00735DD0" w:rsidRPr="00E869A4">
        <w:rPr>
          <w:rFonts w:ascii="Times New Roman" w:hAnsi="Times New Roman" w:cs="Times New Roman"/>
          <w:szCs w:val="24"/>
        </w:rPr>
        <w:t>,</w:t>
      </w:r>
      <w:r w:rsidRPr="00E869A4">
        <w:rPr>
          <w:rFonts w:ascii="Times New Roman" w:hAnsi="Times New Roman" w:cs="Times New Roman"/>
          <w:szCs w:val="24"/>
        </w:rPr>
        <w:t xml:space="preserve"> but chose instead to hire a caregiver to assist with this</w:t>
      </w:r>
      <w:r w:rsidR="0049658D" w:rsidRPr="00E869A4">
        <w:rPr>
          <w:rFonts w:ascii="Times New Roman" w:hAnsi="Times New Roman" w:cs="Times New Roman"/>
          <w:szCs w:val="24"/>
        </w:rPr>
        <w:t>:</w:t>
      </w:r>
      <w:r w:rsidRPr="00E869A4">
        <w:rPr>
          <w:rFonts w:ascii="Times New Roman" w:hAnsi="Times New Roman" w:cs="Times New Roman"/>
          <w:szCs w:val="24"/>
        </w:rPr>
        <w:t xml:space="preserve"> </w:t>
      </w:r>
      <w:r w:rsidR="0049658D" w:rsidRPr="00E869A4">
        <w:rPr>
          <w:rFonts w:ascii="Times New Roman" w:hAnsi="Times New Roman" w:cs="Times New Roman"/>
          <w:szCs w:val="24"/>
        </w:rPr>
        <w:t>“</w:t>
      </w:r>
      <w:r w:rsidRPr="00E869A4">
        <w:rPr>
          <w:rFonts w:ascii="Times New Roman" w:hAnsi="Times New Roman" w:cs="Times New Roman"/>
          <w:szCs w:val="24"/>
        </w:rPr>
        <w:t xml:space="preserve">Not everybody like to take care of ole people. My daughter, my daughter for one. She cah handle ole people </w:t>
      </w:r>
      <w:proofErr w:type="spellStart"/>
      <w:r w:rsidRPr="00E869A4">
        <w:rPr>
          <w:rFonts w:ascii="Times New Roman" w:hAnsi="Times New Roman" w:cs="Times New Roman"/>
          <w:szCs w:val="24"/>
        </w:rPr>
        <w:t>wit</w:t>
      </w:r>
      <w:proofErr w:type="spellEnd"/>
      <w:r w:rsidRPr="00E869A4">
        <w:rPr>
          <w:rFonts w:ascii="Times New Roman" w:eastAsia="Times New Roman" w:hAnsi="Times New Roman" w:cs="Times New Roman"/>
          <w:szCs w:val="24"/>
        </w:rPr>
        <w:t>’ illness. Daiz why she have somebody taking care of me</w:t>
      </w:r>
      <w:r w:rsidR="00F83556" w:rsidRPr="00E869A4">
        <w:rPr>
          <w:rFonts w:ascii="Times New Roman" w:hAnsi="Times New Roman" w:cs="Times New Roman"/>
          <w:b/>
          <w:szCs w:val="24"/>
        </w:rPr>
        <w:t>.</w:t>
      </w:r>
      <w:r w:rsidR="0049658D" w:rsidRPr="00E869A4">
        <w:rPr>
          <w:rFonts w:ascii="Times New Roman" w:eastAsia="Times New Roman" w:hAnsi="Times New Roman" w:cs="Times New Roman"/>
          <w:b/>
          <w:szCs w:val="24"/>
        </w:rPr>
        <w:t xml:space="preserve">” </w:t>
      </w:r>
      <w:r w:rsidR="00F83556" w:rsidRPr="00E869A4">
        <w:rPr>
          <w:rFonts w:ascii="Times New Roman" w:hAnsi="Times New Roman" w:cs="Times New Roman"/>
          <w:szCs w:val="24"/>
        </w:rPr>
        <w:t>(CG</w:t>
      </w:r>
      <w:r w:rsidRPr="00E869A4">
        <w:rPr>
          <w:rFonts w:ascii="Times New Roman" w:hAnsi="Times New Roman" w:cs="Times New Roman"/>
          <w:szCs w:val="24"/>
        </w:rPr>
        <w:t xml:space="preserve"> Ms. Kumar)</w:t>
      </w:r>
      <w:r w:rsidR="00ED4CD0" w:rsidRPr="00E869A4">
        <w:rPr>
          <w:rFonts w:ascii="Times New Roman" w:hAnsi="Times New Roman" w:cs="Times New Roman"/>
          <w:szCs w:val="24"/>
        </w:rPr>
        <w:t>.</w:t>
      </w:r>
      <w:r w:rsidR="004165F0" w:rsidRPr="00E869A4">
        <w:rPr>
          <w:rFonts w:ascii="Times New Roman" w:hAnsi="Times New Roman" w:cs="Times New Roman"/>
          <w:szCs w:val="24"/>
        </w:rPr>
        <w:t xml:space="preserve"> </w:t>
      </w:r>
      <w:r w:rsidRPr="00E869A4">
        <w:rPr>
          <w:rFonts w:ascii="Times New Roman" w:hAnsi="Times New Roman" w:cs="Times New Roman"/>
          <w:szCs w:val="24"/>
        </w:rPr>
        <w:t>Ms. Kumar</w:t>
      </w:r>
      <w:r w:rsidRPr="00E869A4">
        <w:rPr>
          <w:rFonts w:ascii="Times New Roman" w:eastAsia="Times New Roman" w:hAnsi="Times New Roman" w:cs="Times New Roman"/>
          <w:szCs w:val="24"/>
        </w:rPr>
        <w:t>’s interpretation of her daughter’s decision to obtain a paid carer for her</w:t>
      </w:r>
      <w:r w:rsidR="00735DD0" w:rsidRPr="00E869A4">
        <w:rPr>
          <w:rFonts w:ascii="Times New Roman" w:eastAsia="Times New Roman" w:hAnsi="Times New Roman" w:cs="Times New Roman"/>
          <w:szCs w:val="24"/>
        </w:rPr>
        <w:t>,</w:t>
      </w:r>
      <w:r w:rsidRPr="00E869A4">
        <w:rPr>
          <w:rFonts w:ascii="Times New Roman" w:eastAsia="Times New Roman" w:hAnsi="Times New Roman" w:cs="Times New Roman"/>
          <w:szCs w:val="24"/>
        </w:rPr>
        <w:t xml:space="preserve"> differed from that shared by Rebecca who, as noted above, decided to pay for home care so as to alleviate the emotional strain of caring that she struggled with after the death of her husband. Also, Rebecca was an only child </w:t>
      </w:r>
      <w:r w:rsidRPr="00E869A4">
        <w:rPr>
          <w:rFonts w:ascii="Times New Roman" w:eastAsia="Times New Roman" w:hAnsi="Times New Roman" w:cs="Times New Roman"/>
          <w:szCs w:val="24"/>
        </w:rPr>
        <w:lastRenderedPageBreak/>
        <w:t xml:space="preserve">and had no other siblings to help with providing family care. </w:t>
      </w:r>
      <w:r w:rsidR="00252474" w:rsidRPr="00E869A4">
        <w:rPr>
          <w:rFonts w:ascii="Times New Roman" w:eastAsia="Times New Roman" w:hAnsi="Times New Roman" w:cs="Times New Roman"/>
          <w:szCs w:val="24"/>
        </w:rPr>
        <w:t xml:space="preserve">So although Rebecca was willing to provide care to her mom, she was not available to provide personal care given the challenges that caregiving posed to her emotionally. Rebecca’s time was also limited due to her academic and career pursuits. </w:t>
      </w:r>
    </w:p>
    <w:p w14:paraId="678062CB" w14:textId="77777777" w:rsidR="00725205" w:rsidRPr="00E869A4" w:rsidRDefault="00725205" w:rsidP="00A35FF8">
      <w:pPr>
        <w:autoSpaceDE w:val="0"/>
        <w:autoSpaceDN w:val="0"/>
        <w:adjustRightInd w:val="0"/>
        <w:rPr>
          <w:rFonts w:ascii="Times New Roman" w:hAnsi="Times New Roman" w:cs="Times New Roman"/>
          <w:szCs w:val="24"/>
        </w:rPr>
      </w:pPr>
    </w:p>
    <w:p w14:paraId="435AE20F" w14:textId="71389486" w:rsidR="00725205" w:rsidRPr="00E869A4" w:rsidRDefault="00D77F0B" w:rsidP="005C449C">
      <w:pPr>
        <w:pStyle w:val="Heading3"/>
      </w:pPr>
      <w:bookmarkStart w:id="324" w:name="_Toc40436548"/>
      <w:r w:rsidRPr="00E869A4">
        <w:t>7</w:t>
      </w:r>
      <w:r w:rsidR="00985308" w:rsidRPr="00E869A4">
        <w:t>.</w:t>
      </w:r>
      <w:r w:rsidR="00BA7823" w:rsidRPr="00E869A4">
        <w:t>3</w:t>
      </w:r>
      <w:r w:rsidR="00985308" w:rsidRPr="00E869A4">
        <w:t xml:space="preserve">.5     </w:t>
      </w:r>
      <w:r w:rsidR="00725205" w:rsidRPr="00E869A4">
        <w:t>Caregiver Motive</w:t>
      </w:r>
      <w:bookmarkEnd w:id="324"/>
    </w:p>
    <w:p w14:paraId="109F2AE6" w14:textId="77777777" w:rsidR="00725205" w:rsidRPr="00E869A4" w:rsidRDefault="00725205" w:rsidP="00A35FF8">
      <w:pPr>
        <w:autoSpaceDE w:val="0"/>
        <w:autoSpaceDN w:val="0"/>
        <w:adjustRightInd w:val="0"/>
        <w:rPr>
          <w:rFonts w:ascii="Times New Roman" w:hAnsi="Times New Roman" w:cs="Times New Roman"/>
          <w:szCs w:val="24"/>
        </w:rPr>
      </w:pPr>
    </w:p>
    <w:p w14:paraId="3F59ABA8" w14:textId="00631DB5" w:rsidR="008102E4" w:rsidRPr="00E869A4" w:rsidRDefault="00725205" w:rsidP="00417B64">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An individual’s motive for providing care was also a factor that </w:t>
      </w:r>
      <w:r w:rsidR="004F58EB" w:rsidRPr="00E869A4">
        <w:rPr>
          <w:rFonts w:ascii="Times New Roman" w:hAnsi="Times New Roman" w:cs="Times New Roman"/>
          <w:szCs w:val="24"/>
        </w:rPr>
        <w:t>affected</w:t>
      </w:r>
      <w:r w:rsidRPr="00E869A4">
        <w:rPr>
          <w:rFonts w:ascii="Times New Roman" w:hAnsi="Times New Roman" w:cs="Times New Roman"/>
          <w:szCs w:val="24"/>
        </w:rPr>
        <w:t xml:space="preserve"> whether or not an older person perceived the family care they received as positive or negative. As noted in the previous chapter on the Determinants of Care, Uncle Wilton was very suspicious of his </w:t>
      </w:r>
      <w:r w:rsidRPr="00E869A4">
        <w:rPr>
          <w:rFonts w:ascii="Times New Roman" w:hAnsi="Times New Roman" w:cs="Times New Roman"/>
          <w:i/>
          <w:szCs w:val="24"/>
        </w:rPr>
        <w:t xml:space="preserve">so-called </w:t>
      </w:r>
      <w:r w:rsidRPr="00E869A4">
        <w:rPr>
          <w:rFonts w:ascii="Times New Roman" w:hAnsi="Times New Roman" w:cs="Times New Roman"/>
          <w:iCs/>
          <w:szCs w:val="24"/>
        </w:rPr>
        <w:t>daughter’s</w:t>
      </w:r>
      <w:r w:rsidRPr="00E869A4">
        <w:rPr>
          <w:rFonts w:ascii="Times New Roman" w:hAnsi="Times New Roman" w:cs="Times New Roman"/>
          <w:szCs w:val="24"/>
        </w:rPr>
        <w:t xml:space="preserve"> (Ann</w:t>
      </w:r>
      <w:r w:rsidRPr="00E869A4">
        <w:rPr>
          <w:rFonts w:ascii="Times New Roman" w:eastAsia="Times New Roman" w:hAnsi="Times New Roman" w:cs="Times New Roman"/>
          <w:szCs w:val="24"/>
        </w:rPr>
        <w:t>) motive for helping him. He felt that Ann only pretended to care for him in order to obtain his material possessions for herself and her children. He held a similar view of his niece-in-law (</w:t>
      </w:r>
      <w:r w:rsidRPr="00E869A4">
        <w:rPr>
          <w:rFonts w:ascii="Times New Roman" w:hAnsi="Times New Roman" w:cs="Times New Roman"/>
          <w:szCs w:val="24"/>
        </w:rPr>
        <w:t xml:space="preserve">Maria) who </w:t>
      </w:r>
      <w:r w:rsidR="004F58EB" w:rsidRPr="00E869A4">
        <w:rPr>
          <w:rFonts w:ascii="Times New Roman" w:hAnsi="Times New Roman" w:cs="Times New Roman"/>
          <w:szCs w:val="24"/>
        </w:rPr>
        <w:t>was</w:t>
      </w:r>
      <w:r w:rsidRPr="00E869A4">
        <w:rPr>
          <w:rFonts w:ascii="Times New Roman" w:hAnsi="Times New Roman" w:cs="Times New Roman"/>
          <w:szCs w:val="24"/>
        </w:rPr>
        <w:t xml:space="preserve"> raised as if she were his daughter, </w:t>
      </w:r>
      <w:r w:rsidR="004F58EB" w:rsidRPr="00E869A4">
        <w:rPr>
          <w:rFonts w:ascii="Times New Roman" w:hAnsi="Times New Roman" w:cs="Times New Roman"/>
          <w:szCs w:val="24"/>
        </w:rPr>
        <w:t xml:space="preserve">but </w:t>
      </w:r>
      <w:r w:rsidRPr="00E869A4">
        <w:rPr>
          <w:rFonts w:ascii="Times New Roman" w:hAnsi="Times New Roman" w:cs="Times New Roman"/>
          <w:szCs w:val="24"/>
        </w:rPr>
        <w:t xml:space="preserve">did not reciprocate the care that he and his wife provided to her. </w:t>
      </w:r>
      <w:r w:rsidR="004F58EB" w:rsidRPr="00E869A4">
        <w:rPr>
          <w:rFonts w:ascii="Times New Roman" w:hAnsi="Times New Roman" w:cs="Times New Roman"/>
          <w:szCs w:val="24"/>
        </w:rPr>
        <w:t xml:space="preserve">Given this situation, </w:t>
      </w:r>
      <w:r w:rsidRPr="00E869A4">
        <w:rPr>
          <w:rFonts w:ascii="Times New Roman" w:hAnsi="Times New Roman" w:cs="Times New Roman"/>
          <w:szCs w:val="24"/>
        </w:rPr>
        <w:t xml:space="preserve">Uncle Wilton chose to obtain primary care support from his niece Tricia (who was also his </w:t>
      </w:r>
      <w:r w:rsidR="0049658D" w:rsidRPr="00E869A4">
        <w:rPr>
          <w:rFonts w:ascii="Times New Roman" w:hAnsi="Times New Roman" w:cs="Times New Roman"/>
          <w:szCs w:val="24"/>
        </w:rPr>
        <w:t>goddaughter</w:t>
      </w:r>
      <w:r w:rsidRPr="00E869A4">
        <w:rPr>
          <w:rFonts w:ascii="Times New Roman" w:hAnsi="Times New Roman" w:cs="Times New Roman"/>
          <w:szCs w:val="24"/>
        </w:rPr>
        <w:t xml:space="preserve">) and his neighbour and long-time friend Mr. Birch. </w:t>
      </w:r>
    </w:p>
    <w:p w14:paraId="75775735" w14:textId="77777777" w:rsidR="004165F0" w:rsidRPr="00E869A4" w:rsidRDefault="004165F0" w:rsidP="00417B64">
      <w:pPr>
        <w:autoSpaceDE w:val="0"/>
        <w:autoSpaceDN w:val="0"/>
        <w:adjustRightInd w:val="0"/>
        <w:rPr>
          <w:rFonts w:ascii="Times New Roman" w:eastAsiaTheme="majorEastAsia" w:hAnsi="Times New Roman" w:cs="Times New Roman"/>
          <w:b/>
          <w:bCs/>
          <w:szCs w:val="26"/>
          <w:u w:val="single"/>
        </w:rPr>
      </w:pPr>
    </w:p>
    <w:p w14:paraId="55F5F556" w14:textId="768A7FE2" w:rsidR="0008491F" w:rsidRPr="00E869A4" w:rsidRDefault="00D77F0B" w:rsidP="00175C3E">
      <w:pPr>
        <w:pStyle w:val="Heading2"/>
      </w:pPr>
      <w:bookmarkStart w:id="325" w:name="_Toc40436549"/>
      <w:r w:rsidRPr="00E869A4">
        <w:t>7</w:t>
      </w:r>
      <w:r w:rsidR="000C154B" w:rsidRPr="00E869A4">
        <w:t>.</w:t>
      </w:r>
      <w:r w:rsidR="00BA7823" w:rsidRPr="00E869A4">
        <w:t>4</w:t>
      </w:r>
      <w:r w:rsidR="000C154B" w:rsidRPr="00E869A4">
        <w:t xml:space="preserve"> </w:t>
      </w:r>
      <w:r w:rsidR="009B2814" w:rsidRPr="00E869A4">
        <w:t>CONCLUSION</w:t>
      </w:r>
      <w:bookmarkEnd w:id="325"/>
      <w:r w:rsidR="000C154B" w:rsidRPr="00E869A4">
        <w:t xml:space="preserve"> </w:t>
      </w:r>
    </w:p>
    <w:p w14:paraId="57D1BAC9" w14:textId="77777777" w:rsidR="000C154B" w:rsidRPr="00E869A4" w:rsidRDefault="000C154B" w:rsidP="000C154B">
      <w:pPr>
        <w:autoSpaceDE w:val="0"/>
        <w:autoSpaceDN w:val="0"/>
        <w:adjustRightInd w:val="0"/>
        <w:rPr>
          <w:rFonts w:ascii="Times New Roman" w:hAnsi="Times New Roman" w:cs="Times New Roman"/>
          <w:szCs w:val="24"/>
        </w:rPr>
      </w:pPr>
    </w:p>
    <w:p w14:paraId="23F782FE" w14:textId="049BAA55" w:rsidR="000C154B" w:rsidRPr="00E869A4" w:rsidRDefault="000C154B" w:rsidP="000C154B">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t xml:space="preserve">In this study, the family care experience was generally perceived as being a mix of benefits and challenges. The perceived benefits of care fit into two main categories: </w:t>
      </w:r>
      <w:r w:rsidRPr="00813E02">
        <w:rPr>
          <w:rFonts w:ascii="Times New Roman" w:hAnsi="Times New Roman" w:cs="Times New Roman"/>
          <w:i/>
          <w:szCs w:val="24"/>
        </w:rPr>
        <w:t>self-oriented benefits</w:t>
      </w:r>
      <w:r w:rsidRPr="00E869A4">
        <w:rPr>
          <w:rFonts w:ascii="Times New Roman" w:hAnsi="Times New Roman" w:cs="Times New Roman"/>
          <w:szCs w:val="24"/>
        </w:rPr>
        <w:t xml:space="preserve"> and </w:t>
      </w:r>
      <w:r w:rsidRPr="00813E02">
        <w:rPr>
          <w:rFonts w:ascii="Times New Roman" w:hAnsi="Times New Roman" w:cs="Times New Roman"/>
          <w:i/>
          <w:szCs w:val="24"/>
        </w:rPr>
        <w:t>other-oriented benefits</w:t>
      </w:r>
      <w:r w:rsidRPr="00E869A4">
        <w:rPr>
          <w:rFonts w:ascii="Times New Roman" w:hAnsi="Times New Roman" w:cs="Times New Roman"/>
          <w:szCs w:val="24"/>
        </w:rPr>
        <w:t xml:space="preserve">. The benefits that the family carers perceived as positive </w:t>
      </w:r>
      <w:r w:rsidR="00826E96" w:rsidRPr="00E869A4">
        <w:rPr>
          <w:rFonts w:ascii="Times New Roman" w:hAnsi="Times New Roman" w:cs="Times New Roman"/>
          <w:szCs w:val="24"/>
        </w:rPr>
        <w:t xml:space="preserve">were </w:t>
      </w:r>
      <w:r w:rsidRPr="00E869A4">
        <w:rPr>
          <w:rFonts w:ascii="Times New Roman" w:hAnsi="Times New Roman" w:cs="Times New Roman"/>
          <w:szCs w:val="24"/>
        </w:rPr>
        <w:t xml:space="preserve">gains that they observed within themselves </w:t>
      </w:r>
      <w:r w:rsidR="00826E96" w:rsidRPr="00E869A4">
        <w:rPr>
          <w:rFonts w:ascii="Times New Roman" w:hAnsi="Times New Roman" w:cs="Times New Roman"/>
          <w:szCs w:val="24"/>
        </w:rPr>
        <w:t xml:space="preserve">and </w:t>
      </w:r>
      <w:r w:rsidRPr="00E869A4">
        <w:rPr>
          <w:rFonts w:ascii="Times New Roman" w:hAnsi="Times New Roman" w:cs="Times New Roman"/>
          <w:szCs w:val="24"/>
        </w:rPr>
        <w:t>included personal growth, a stronger emotional bond between themselves and their older cared-for relative</w:t>
      </w:r>
      <w:r w:rsidR="0049658D" w:rsidRPr="00E869A4">
        <w:rPr>
          <w:rFonts w:ascii="Times New Roman" w:hAnsi="Times New Roman" w:cs="Times New Roman"/>
          <w:szCs w:val="24"/>
        </w:rPr>
        <w:t>,</w:t>
      </w:r>
      <w:r w:rsidRPr="00E869A4">
        <w:rPr>
          <w:rFonts w:ascii="Times New Roman" w:hAnsi="Times New Roman" w:cs="Times New Roman"/>
          <w:szCs w:val="24"/>
        </w:rPr>
        <w:t xml:space="preserve"> as well as </w:t>
      </w:r>
      <w:r w:rsidR="0049658D" w:rsidRPr="00E869A4">
        <w:rPr>
          <w:rFonts w:ascii="Times New Roman" w:hAnsi="Times New Roman" w:cs="Times New Roman"/>
          <w:szCs w:val="24"/>
        </w:rPr>
        <w:t xml:space="preserve">any </w:t>
      </w:r>
      <w:r w:rsidRPr="00E869A4">
        <w:rPr>
          <w:rFonts w:ascii="Times New Roman" w:hAnsi="Times New Roman" w:cs="Times New Roman"/>
          <w:szCs w:val="24"/>
        </w:rPr>
        <w:t xml:space="preserve">anticipated religious and spiritual </w:t>
      </w:r>
      <w:r w:rsidR="00826E96" w:rsidRPr="00E869A4">
        <w:rPr>
          <w:rFonts w:ascii="Times New Roman" w:hAnsi="Times New Roman" w:cs="Times New Roman"/>
          <w:szCs w:val="24"/>
        </w:rPr>
        <w:t>blessings, which</w:t>
      </w:r>
      <w:r w:rsidRPr="00E869A4">
        <w:rPr>
          <w:rFonts w:ascii="Times New Roman" w:hAnsi="Times New Roman" w:cs="Times New Roman"/>
          <w:szCs w:val="24"/>
        </w:rPr>
        <w:t xml:space="preserve"> may or may not be a tangible benefit. The benefits that they saw reflected in others included expressions of gratitude and appreciation from their older relative and other individuals, improvemen</w:t>
      </w:r>
      <w:r w:rsidR="0049658D" w:rsidRPr="00E869A4">
        <w:rPr>
          <w:rFonts w:ascii="Times New Roman" w:hAnsi="Times New Roman" w:cs="Times New Roman"/>
          <w:szCs w:val="24"/>
        </w:rPr>
        <w:t xml:space="preserve">ts in the wellbeing and quality </w:t>
      </w:r>
      <w:r w:rsidRPr="00E869A4">
        <w:rPr>
          <w:rFonts w:ascii="Times New Roman" w:hAnsi="Times New Roman" w:cs="Times New Roman"/>
          <w:szCs w:val="24"/>
        </w:rPr>
        <w:t>of</w:t>
      </w:r>
      <w:r w:rsidR="0049658D" w:rsidRPr="00E869A4">
        <w:rPr>
          <w:rFonts w:ascii="Times New Roman" w:hAnsi="Times New Roman" w:cs="Times New Roman"/>
          <w:szCs w:val="24"/>
        </w:rPr>
        <w:t xml:space="preserve"> </w:t>
      </w:r>
      <w:r w:rsidRPr="00E869A4">
        <w:rPr>
          <w:rFonts w:ascii="Times New Roman" w:hAnsi="Times New Roman" w:cs="Times New Roman"/>
          <w:szCs w:val="24"/>
        </w:rPr>
        <w:t>life of their older relative, and the receipt of (intangible) spiritual, emotional</w:t>
      </w:r>
      <w:r w:rsidR="00826E96" w:rsidRPr="00E869A4">
        <w:rPr>
          <w:rFonts w:ascii="Times New Roman" w:hAnsi="Times New Roman" w:cs="Times New Roman"/>
          <w:szCs w:val="24"/>
        </w:rPr>
        <w:t>,</w:t>
      </w:r>
      <w:r w:rsidRPr="00E869A4">
        <w:rPr>
          <w:rFonts w:ascii="Times New Roman" w:hAnsi="Times New Roman" w:cs="Times New Roman"/>
          <w:szCs w:val="24"/>
        </w:rPr>
        <w:t xml:space="preserve"> and (tangible) material support from their cared-for relative. These benefits are important outcomes of the care experience as they positively affect the quality of the care provided</w:t>
      </w:r>
      <w:r w:rsidR="00826E96" w:rsidRPr="00E869A4">
        <w:rPr>
          <w:rFonts w:ascii="Times New Roman" w:hAnsi="Times New Roman" w:cs="Times New Roman"/>
          <w:szCs w:val="24"/>
        </w:rPr>
        <w:t>,</w:t>
      </w:r>
      <w:r w:rsidRPr="00E869A4">
        <w:rPr>
          <w:rFonts w:ascii="Times New Roman" w:hAnsi="Times New Roman" w:cs="Times New Roman"/>
          <w:szCs w:val="24"/>
        </w:rPr>
        <w:t xml:space="preserve"> and contribute to whether or not the caregiver </w:t>
      </w:r>
      <w:r w:rsidR="00621266" w:rsidRPr="00E869A4">
        <w:rPr>
          <w:rFonts w:ascii="Times New Roman" w:hAnsi="Times New Roman" w:cs="Times New Roman"/>
          <w:szCs w:val="24"/>
        </w:rPr>
        <w:t>is</w:t>
      </w:r>
      <w:r w:rsidRPr="00E869A4">
        <w:rPr>
          <w:rFonts w:ascii="Times New Roman" w:hAnsi="Times New Roman" w:cs="Times New Roman"/>
          <w:szCs w:val="24"/>
        </w:rPr>
        <w:t xml:space="preserve"> willing to continue providing care. </w:t>
      </w:r>
    </w:p>
    <w:p w14:paraId="6969192C" w14:textId="77777777" w:rsidR="000C154B" w:rsidRPr="00E869A4" w:rsidRDefault="000C154B" w:rsidP="000C154B">
      <w:pPr>
        <w:autoSpaceDE w:val="0"/>
        <w:autoSpaceDN w:val="0"/>
        <w:adjustRightInd w:val="0"/>
        <w:rPr>
          <w:rFonts w:ascii="Times New Roman" w:hAnsi="Times New Roman" w:cs="Times New Roman"/>
          <w:szCs w:val="24"/>
        </w:rPr>
      </w:pPr>
    </w:p>
    <w:p w14:paraId="05A8A339" w14:textId="77777777" w:rsidR="0045516F" w:rsidRPr="00E869A4" w:rsidRDefault="000C154B" w:rsidP="0045516F">
      <w:pPr>
        <w:autoSpaceDE w:val="0"/>
        <w:autoSpaceDN w:val="0"/>
        <w:adjustRightInd w:val="0"/>
        <w:rPr>
          <w:rFonts w:ascii="Times New Roman" w:hAnsi="Times New Roman" w:cs="Times New Roman"/>
          <w:szCs w:val="24"/>
        </w:rPr>
      </w:pPr>
      <w:r w:rsidRPr="00E869A4">
        <w:rPr>
          <w:rFonts w:ascii="Times New Roman" w:hAnsi="Times New Roman" w:cs="Times New Roman"/>
          <w:szCs w:val="24"/>
        </w:rPr>
        <w:lastRenderedPageBreak/>
        <w:t xml:space="preserve">Several challenges of care provision were identified in this study. These included: lack of knowledge about providing care; problematic behaviour of the older person; the financial cost of care; finding suitable paid </w:t>
      </w:r>
      <w:r w:rsidR="003957F8" w:rsidRPr="00E869A4">
        <w:rPr>
          <w:rFonts w:ascii="Times New Roman" w:hAnsi="Times New Roman" w:cs="Times New Roman"/>
          <w:szCs w:val="24"/>
        </w:rPr>
        <w:t>care worker</w:t>
      </w:r>
      <w:r w:rsidRPr="00E869A4">
        <w:rPr>
          <w:rFonts w:ascii="Times New Roman" w:hAnsi="Times New Roman" w:cs="Times New Roman"/>
          <w:szCs w:val="24"/>
        </w:rPr>
        <w:t>s; accessing adequate and affordable health care</w:t>
      </w:r>
      <w:r w:rsidR="00417B64" w:rsidRPr="00E869A4">
        <w:rPr>
          <w:rFonts w:ascii="Times New Roman" w:hAnsi="Times New Roman" w:cs="Times New Roman"/>
          <w:szCs w:val="24"/>
        </w:rPr>
        <w:t>; balancing competing interests</w:t>
      </w:r>
      <w:r w:rsidRPr="00E869A4">
        <w:rPr>
          <w:rFonts w:ascii="Times New Roman" w:hAnsi="Times New Roman" w:cs="Times New Roman"/>
          <w:szCs w:val="24"/>
        </w:rPr>
        <w:t>; managing their own health challenges; lack of support from other relatives</w:t>
      </w:r>
      <w:r w:rsidR="004165F0" w:rsidRPr="00E869A4">
        <w:rPr>
          <w:rFonts w:ascii="Times New Roman" w:hAnsi="Times New Roman" w:cs="Times New Roman"/>
          <w:szCs w:val="24"/>
        </w:rPr>
        <w:t>;</w:t>
      </w:r>
      <w:r w:rsidR="00621266" w:rsidRPr="00E869A4">
        <w:rPr>
          <w:rFonts w:ascii="Times New Roman" w:hAnsi="Times New Roman" w:cs="Times New Roman"/>
          <w:szCs w:val="24"/>
        </w:rPr>
        <w:t xml:space="preserve"> and</w:t>
      </w:r>
      <w:r w:rsidR="004165F0" w:rsidRPr="00E869A4">
        <w:rPr>
          <w:rFonts w:ascii="Times New Roman" w:hAnsi="Times New Roman" w:cs="Times New Roman"/>
          <w:szCs w:val="24"/>
        </w:rPr>
        <w:t>,</w:t>
      </w:r>
      <w:r w:rsidRPr="00E869A4">
        <w:rPr>
          <w:rFonts w:ascii="Times New Roman" w:hAnsi="Times New Roman" w:cs="Times New Roman"/>
          <w:szCs w:val="24"/>
        </w:rPr>
        <w:t xml:space="preserve"> coping with anticipatory and cumulative grief. The need for respite care was a critical issue that emerged from </w:t>
      </w:r>
      <w:r w:rsidR="00826E96" w:rsidRPr="00E869A4">
        <w:rPr>
          <w:rFonts w:ascii="Times New Roman" w:hAnsi="Times New Roman" w:cs="Times New Roman"/>
          <w:szCs w:val="24"/>
        </w:rPr>
        <w:t>caregivers’</w:t>
      </w:r>
      <w:r w:rsidRPr="00E869A4">
        <w:rPr>
          <w:rFonts w:ascii="Times New Roman" w:hAnsi="Times New Roman" w:cs="Times New Roman"/>
          <w:szCs w:val="24"/>
        </w:rPr>
        <w:t xml:space="preserve"> responses. While the </w:t>
      </w:r>
      <w:r w:rsidR="00017799" w:rsidRPr="00E869A4">
        <w:rPr>
          <w:rFonts w:ascii="Times New Roman" w:hAnsi="Times New Roman" w:cs="Times New Roman"/>
          <w:szCs w:val="24"/>
        </w:rPr>
        <w:t>care recipient</w:t>
      </w:r>
      <w:r w:rsidRPr="00E869A4">
        <w:rPr>
          <w:rFonts w:ascii="Times New Roman" w:hAnsi="Times New Roman" w:cs="Times New Roman"/>
          <w:szCs w:val="24"/>
        </w:rPr>
        <w:t>s were also affected by most of the aforementioned challenges, they were significantly impacted by certain characteristics of their family carer</w:t>
      </w:r>
      <w:r w:rsidR="00826E96" w:rsidRPr="00E869A4">
        <w:rPr>
          <w:rFonts w:ascii="Times New Roman" w:hAnsi="Times New Roman" w:cs="Times New Roman"/>
          <w:szCs w:val="24"/>
        </w:rPr>
        <w:t>,</w:t>
      </w:r>
      <w:r w:rsidRPr="00E869A4">
        <w:rPr>
          <w:rFonts w:ascii="Times New Roman" w:hAnsi="Times New Roman" w:cs="Times New Roman"/>
          <w:szCs w:val="24"/>
        </w:rPr>
        <w:t xml:space="preserve"> including their compatibility with the family member who provided care, the willingness and motive of the caregiver for providing support, in addition to</w:t>
      </w:r>
      <w:r w:rsidR="00F2566D" w:rsidRPr="00E869A4">
        <w:rPr>
          <w:rFonts w:ascii="Times New Roman" w:hAnsi="Times New Roman" w:cs="Times New Roman"/>
          <w:szCs w:val="24"/>
        </w:rPr>
        <w:t xml:space="preserve"> their availability and ability to provide suitable care. Trust was emphasised in some of the responses of caregivers and care recipients. </w:t>
      </w:r>
      <w:r w:rsidR="00826E96" w:rsidRPr="00E869A4">
        <w:rPr>
          <w:rFonts w:ascii="Times New Roman" w:hAnsi="Times New Roman" w:cs="Times New Roman"/>
          <w:szCs w:val="24"/>
        </w:rPr>
        <w:t xml:space="preserve">Table 16 below summaries these key themes. </w:t>
      </w:r>
      <w:r w:rsidR="0045516F" w:rsidRPr="00E869A4">
        <w:rPr>
          <w:rFonts w:ascii="Times New Roman" w:hAnsi="Times New Roman" w:cs="Times New Roman"/>
          <w:szCs w:val="24"/>
        </w:rPr>
        <w:t>T</w:t>
      </w:r>
      <w:r w:rsidR="0045516F" w:rsidRPr="00E869A4">
        <w:rPr>
          <w:rFonts w:ascii="Times New Roman" w:hAnsi="Times New Roman" w:cs="Times New Roman"/>
        </w:rPr>
        <w:t>he chapter that follows provides more focused analysis on the coping and care management strategies employed by the caregivers and the care recipients to address these various challenges.</w:t>
      </w:r>
    </w:p>
    <w:p w14:paraId="37C8F44A" w14:textId="77777777" w:rsidR="00A22E97" w:rsidRPr="00E869A4" w:rsidRDefault="00A22E97" w:rsidP="00F2566D">
      <w:pPr>
        <w:autoSpaceDE w:val="0"/>
        <w:autoSpaceDN w:val="0"/>
        <w:adjustRightInd w:val="0"/>
        <w:rPr>
          <w:rFonts w:ascii="Times New Roman" w:hAnsi="Times New Roman" w:cs="Times New Roman"/>
          <w:szCs w:val="24"/>
        </w:rPr>
      </w:pPr>
    </w:p>
    <w:p w14:paraId="36E1F167" w14:textId="5F8E3B01" w:rsidR="00DD25A3" w:rsidRPr="00E869A4" w:rsidRDefault="00DD25A3" w:rsidP="00CF0B80">
      <w:pPr>
        <w:pStyle w:val="Caption"/>
        <w:rPr>
          <w:b/>
          <w:i w:val="0"/>
          <w:sz w:val="24"/>
        </w:rPr>
      </w:pPr>
      <w:bookmarkStart w:id="326" w:name="_Toc40436615"/>
      <w:r w:rsidRPr="00E869A4">
        <w:rPr>
          <w:b/>
          <w:i w:val="0"/>
          <w:sz w:val="24"/>
        </w:rPr>
        <w:t xml:space="preserve">Table </w:t>
      </w:r>
      <w:r w:rsidR="00194F87" w:rsidRPr="00E869A4">
        <w:rPr>
          <w:b/>
          <w:i w:val="0"/>
          <w:sz w:val="24"/>
        </w:rPr>
        <w:fldChar w:fldCharType="begin"/>
      </w:r>
      <w:r w:rsidR="00194F87" w:rsidRPr="00E869A4">
        <w:rPr>
          <w:b/>
          <w:i w:val="0"/>
          <w:sz w:val="24"/>
        </w:rPr>
        <w:instrText xml:space="preserve"> SEQ Table \* ARABIC </w:instrText>
      </w:r>
      <w:r w:rsidR="00194F87" w:rsidRPr="00E869A4">
        <w:rPr>
          <w:b/>
          <w:i w:val="0"/>
          <w:sz w:val="24"/>
        </w:rPr>
        <w:fldChar w:fldCharType="separate"/>
      </w:r>
      <w:r w:rsidR="00D7239F">
        <w:rPr>
          <w:b/>
          <w:i w:val="0"/>
          <w:noProof/>
          <w:sz w:val="24"/>
        </w:rPr>
        <w:t>16</w:t>
      </w:r>
      <w:r w:rsidR="00194F87" w:rsidRPr="00E869A4">
        <w:rPr>
          <w:b/>
          <w:i w:val="0"/>
          <w:sz w:val="24"/>
        </w:rPr>
        <w:fldChar w:fldCharType="end"/>
      </w:r>
      <w:r w:rsidRPr="00E869A4">
        <w:rPr>
          <w:b/>
          <w:i w:val="0"/>
          <w:sz w:val="24"/>
        </w:rPr>
        <w:t xml:space="preserve">: Main Themes for Caregiver &amp; </w:t>
      </w:r>
      <w:r w:rsidR="00017799" w:rsidRPr="00E869A4">
        <w:rPr>
          <w:b/>
          <w:i w:val="0"/>
          <w:sz w:val="24"/>
        </w:rPr>
        <w:t xml:space="preserve">Care </w:t>
      </w:r>
      <w:r w:rsidR="00CC3586">
        <w:rPr>
          <w:b/>
          <w:i w:val="0"/>
          <w:sz w:val="24"/>
        </w:rPr>
        <w:t>R</w:t>
      </w:r>
      <w:r w:rsidR="00017799" w:rsidRPr="00E869A4">
        <w:rPr>
          <w:b/>
          <w:i w:val="0"/>
          <w:sz w:val="24"/>
        </w:rPr>
        <w:t>ecipient</w:t>
      </w:r>
      <w:r w:rsidRPr="00E869A4">
        <w:rPr>
          <w:b/>
          <w:i w:val="0"/>
          <w:sz w:val="24"/>
        </w:rPr>
        <w:t xml:space="preserve"> </w:t>
      </w:r>
      <w:r w:rsidR="00181C92" w:rsidRPr="00E869A4">
        <w:rPr>
          <w:b/>
          <w:i w:val="0"/>
          <w:sz w:val="24"/>
        </w:rPr>
        <w:t xml:space="preserve">Experiences </w:t>
      </w:r>
      <w:r w:rsidRPr="00E869A4">
        <w:rPr>
          <w:b/>
          <w:i w:val="0"/>
          <w:sz w:val="24"/>
        </w:rPr>
        <w:t>of Family Care</w:t>
      </w:r>
      <w:bookmarkEnd w:id="326"/>
    </w:p>
    <w:p w14:paraId="14F6D8CF" w14:textId="77777777" w:rsidR="00DD25A3" w:rsidRPr="00E869A4" w:rsidRDefault="00DD25A3" w:rsidP="00DD25A3"/>
    <w:tbl>
      <w:tblPr>
        <w:tblStyle w:val="TableGrid"/>
        <w:tblW w:w="9072" w:type="dxa"/>
        <w:jc w:val="center"/>
        <w:tblLook w:val="04A0" w:firstRow="1" w:lastRow="0" w:firstColumn="1" w:lastColumn="0" w:noHBand="0" w:noVBand="1"/>
      </w:tblPr>
      <w:tblGrid>
        <w:gridCol w:w="3827"/>
        <w:gridCol w:w="5245"/>
      </w:tblGrid>
      <w:tr w:rsidR="00C714D3" w:rsidRPr="00E869A4" w14:paraId="526990FA" w14:textId="77777777" w:rsidTr="00F2566D">
        <w:trPr>
          <w:jc w:val="center"/>
        </w:trPr>
        <w:tc>
          <w:tcPr>
            <w:tcW w:w="9072" w:type="dxa"/>
            <w:gridSpan w:val="2"/>
          </w:tcPr>
          <w:p w14:paraId="5CE82F40" w14:textId="77777777" w:rsidR="00725205" w:rsidRPr="00E869A4" w:rsidRDefault="00725205" w:rsidP="003A3354">
            <w:pPr>
              <w:autoSpaceDE w:val="0"/>
              <w:autoSpaceDN w:val="0"/>
              <w:adjustRightInd w:val="0"/>
              <w:jc w:val="center"/>
              <w:rPr>
                <w:rFonts w:ascii="Times New Roman" w:hAnsi="Times New Roman" w:cs="Times New Roman"/>
                <w:b/>
                <w:sz w:val="22"/>
                <w:szCs w:val="24"/>
              </w:rPr>
            </w:pPr>
            <w:r w:rsidRPr="00E869A4">
              <w:rPr>
                <w:rFonts w:ascii="Times New Roman" w:hAnsi="Times New Roman" w:cs="Times New Roman"/>
                <w:b/>
                <w:sz w:val="22"/>
                <w:szCs w:val="24"/>
              </w:rPr>
              <w:t>Benefits</w:t>
            </w:r>
          </w:p>
        </w:tc>
      </w:tr>
      <w:tr w:rsidR="00C714D3" w:rsidRPr="00E869A4" w14:paraId="69631634" w14:textId="77777777" w:rsidTr="00F2566D">
        <w:trPr>
          <w:jc w:val="center"/>
        </w:trPr>
        <w:tc>
          <w:tcPr>
            <w:tcW w:w="3827" w:type="dxa"/>
          </w:tcPr>
          <w:p w14:paraId="36EBA1C9" w14:textId="77777777" w:rsidR="00725205" w:rsidRPr="00E869A4" w:rsidRDefault="00725205" w:rsidP="00A35FF8">
            <w:pPr>
              <w:autoSpaceDE w:val="0"/>
              <w:autoSpaceDN w:val="0"/>
              <w:adjustRightInd w:val="0"/>
              <w:rPr>
                <w:rFonts w:ascii="Times New Roman" w:hAnsi="Times New Roman" w:cs="Times New Roman"/>
                <w:i/>
                <w:sz w:val="22"/>
                <w:szCs w:val="24"/>
              </w:rPr>
            </w:pPr>
            <w:r w:rsidRPr="00E869A4">
              <w:rPr>
                <w:rFonts w:ascii="Times New Roman" w:hAnsi="Times New Roman" w:cs="Times New Roman"/>
                <w:i/>
                <w:sz w:val="22"/>
                <w:szCs w:val="24"/>
              </w:rPr>
              <w:t>Self-Oriented Benefits</w:t>
            </w:r>
          </w:p>
        </w:tc>
        <w:tc>
          <w:tcPr>
            <w:tcW w:w="5245" w:type="dxa"/>
          </w:tcPr>
          <w:p w14:paraId="08AA6321" w14:textId="77777777" w:rsidR="00725205" w:rsidRPr="00E869A4" w:rsidRDefault="00725205" w:rsidP="009D4C5D">
            <w:pPr>
              <w:pStyle w:val="ListParagraph"/>
              <w:numPr>
                <w:ilvl w:val="0"/>
                <w:numId w:val="42"/>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Personal Growth (Self Efficacy)</w:t>
            </w:r>
          </w:p>
          <w:p w14:paraId="0BA9AAEE" w14:textId="77777777" w:rsidR="00725205" w:rsidRPr="00E869A4" w:rsidRDefault="00725205" w:rsidP="009D4C5D">
            <w:pPr>
              <w:pStyle w:val="ListParagraph"/>
              <w:numPr>
                <w:ilvl w:val="0"/>
                <w:numId w:val="42"/>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Enhanced Care Relationship</w:t>
            </w:r>
          </w:p>
          <w:p w14:paraId="070F19F2" w14:textId="77777777" w:rsidR="00725205" w:rsidRPr="00E869A4" w:rsidRDefault="00725205" w:rsidP="009D4C5D">
            <w:pPr>
              <w:pStyle w:val="ListParagraph"/>
              <w:numPr>
                <w:ilvl w:val="0"/>
                <w:numId w:val="42"/>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Spiritual / Religious Blessings</w:t>
            </w:r>
          </w:p>
        </w:tc>
      </w:tr>
      <w:tr w:rsidR="00C714D3" w:rsidRPr="00E869A4" w14:paraId="07741A55" w14:textId="77777777" w:rsidTr="00F2566D">
        <w:trPr>
          <w:jc w:val="center"/>
        </w:trPr>
        <w:tc>
          <w:tcPr>
            <w:tcW w:w="3827" w:type="dxa"/>
          </w:tcPr>
          <w:p w14:paraId="1957B910" w14:textId="77777777" w:rsidR="00725205" w:rsidRPr="00E869A4" w:rsidRDefault="00725205" w:rsidP="00A35FF8">
            <w:pPr>
              <w:autoSpaceDE w:val="0"/>
              <w:autoSpaceDN w:val="0"/>
              <w:adjustRightInd w:val="0"/>
              <w:rPr>
                <w:rFonts w:ascii="Times New Roman" w:hAnsi="Times New Roman" w:cs="Times New Roman"/>
                <w:i/>
                <w:sz w:val="22"/>
                <w:szCs w:val="24"/>
              </w:rPr>
            </w:pPr>
            <w:r w:rsidRPr="00E869A4">
              <w:rPr>
                <w:rFonts w:ascii="Times New Roman" w:hAnsi="Times New Roman" w:cs="Times New Roman"/>
                <w:i/>
                <w:sz w:val="22"/>
                <w:szCs w:val="24"/>
              </w:rPr>
              <w:t>Other-Oriented Benefits</w:t>
            </w:r>
          </w:p>
        </w:tc>
        <w:tc>
          <w:tcPr>
            <w:tcW w:w="5245" w:type="dxa"/>
          </w:tcPr>
          <w:p w14:paraId="55634B11" w14:textId="77777777" w:rsidR="00725205" w:rsidRPr="00E869A4" w:rsidRDefault="00725205" w:rsidP="009D4C5D">
            <w:pPr>
              <w:pStyle w:val="ListParagraph"/>
              <w:numPr>
                <w:ilvl w:val="0"/>
                <w:numId w:val="43"/>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Appreciation from Others</w:t>
            </w:r>
          </w:p>
          <w:p w14:paraId="5D43A41D" w14:textId="77777777" w:rsidR="00725205" w:rsidRPr="00E869A4" w:rsidRDefault="00725205" w:rsidP="009D4C5D">
            <w:pPr>
              <w:pStyle w:val="ListParagraph"/>
              <w:numPr>
                <w:ilvl w:val="0"/>
                <w:numId w:val="43"/>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Wellbeing of Others</w:t>
            </w:r>
          </w:p>
          <w:p w14:paraId="06FBDDAE" w14:textId="77777777" w:rsidR="00725205" w:rsidRPr="00E869A4" w:rsidRDefault="00725205" w:rsidP="009D4C5D">
            <w:pPr>
              <w:pStyle w:val="ListParagraph"/>
              <w:numPr>
                <w:ilvl w:val="0"/>
                <w:numId w:val="43"/>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Support from Others</w:t>
            </w:r>
          </w:p>
        </w:tc>
      </w:tr>
      <w:tr w:rsidR="00C714D3" w:rsidRPr="00E869A4" w14:paraId="2EE88A89" w14:textId="77777777" w:rsidTr="00F2566D">
        <w:trPr>
          <w:trHeight w:val="239"/>
          <w:jc w:val="center"/>
        </w:trPr>
        <w:tc>
          <w:tcPr>
            <w:tcW w:w="9072" w:type="dxa"/>
            <w:gridSpan w:val="2"/>
            <w:shd w:val="pct10" w:color="auto" w:fill="auto"/>
          </w:tcPr>
          <w:p w14:paraId="0C22D240" w14:textId="77777777" w:rsidR="00725205" w:rsidRPr="00E869A4" w:rsidRDefault="00725205" w:rsidP="00A35FF8">
            <w:pPr>
              <w:autoSpaceDE w:val="0"/>
              <w:autoSpaceDN w:val="0"/>
              <w:adjustRightInd w:val="0"/>
              <w:rPr>
                <w:rFonts w:ascii="Times New Roman" w:hAnsi="Times New Roman" w:cs="Times New Roman"/>
                <w:sz w:val="22"/>
                <w:szCs w:val="24"/>
              </w:rPr>
            </w:pPr>
          </w:p>
        </w:tc>
      </w:tr>
      <w:tr w:rsidR="00C714D3" w:rsidRPr="00E869A4" w14:paraId="639C63C8" w14:textId="77777777" w:rsidTr="00F2566D">
        <w:trPr>
          <w:jc w:val="center"/>
        </w:trPr>
        <w:tc>
          <w:tcPr>
            <w:tcW w:w="9072" w:type="dxa"/>
            <w:gridSpan w:val="2"/>
          </w:tcPr>
          <w:p w14:paraId="2A1786D5" w14:textId="77777777" w:rsidR="00725205" w:rsidRPr="00E869A4" w:rsidRDefault="00725205" w:rsidP="003A3354">
            <w:pPr>
              <w:autoSpaceDE w:val="0"/>
              <w:autoSpaceDN w:val="0"/>
              <w:adjustRightInd w:val="0"/>
              <w:jc w:val="center"/>
              <w:rPr>
                <w:rFonts w:ascii="Times New Roman" w:hAnsi="Times New Roman" w:cs="Times New Roman"/>
                <w:b/>
                <w:sz w:val="22"/>
                <w:szCs w:val="24"/>
              </w:rPr>
            </w:pPr>
            <w:r w:rsidRPr="00E869A4">
              <w:rPr>
                <w:rFonts w:ascii="Times New Roman" w:hAnsi="Times New Roman" w:cs="Times New Roman"/>
                <w:b/>
                <w:sz w:val="22"/>
                <w:szCs w:val="24"/>
              </w:rPr>
              <w:t>Challenges</w:t>
            </w:r>
          </w:p>
        </w:tc>
      </w:tr>
      <w:tr w:rsidR="00C714D3" w:rsidRPr="00E869A4" w14:paraId="726C12F0" w14:textId="77777777" w:rsidTr="00F2566D">
        <w:trPr>
          <w:jc w:val="center"/>
        </w:trPr>
        <w:tc>
          <w:tcPr>
            <w:tcW w:w="3827" w:type="dxa"/>
          </w:tcPr>
          <w:p w14:paraId="5EDA265D" w14:textId="77777777" w:rsidR="00725205" w:rsidRPr="00E869A4" w:rsidRDefault="00725205" w:rsidP="00181C92">
            <w:pPr>
              <w:autoSpaceDE w:val="0"/>
              <w:autoSpaceDN w:val="0"/>
              <w:adjustRightInd w:val="0"/>
              <w:rPr>
                <w:rFonts w:ascii="Times New Roman" w:hAnsi="Times New Roman" w:cs="Times New Roman"/>
                <w:i/>
                <w:sz w:val="22"/>
                <w:szCs w:val="24"/>
              </w:rPr>
            </w:pPr>
            <w:r w:rsidRPr="00E869A4">
              <w:rPr>
                <w:rFonts w:ascii="Times New Roman" w:hAnsi="Times New Roman" w:cs="Times New Roman"/>
                <w:i/>
                <w:sz w:val="22"/>
                <w:szCs w:val="24"/>
              </w:rPr>
              <w:t xml:space="preserve">Caregiver </w:t>
            </w:r>
            <w:r w:rsidR="00181C92" w:rsidRPr="00E869A4">
              <w:rPr>
                <w:rFonts w:ascii="Times New Roman" w:hAnsi="Times New Roman" w:cs="Times New Roman"/>
                <w:i/>
                <w:sz w:val="22"/>
                <w:szCs w:val="24"/>
              </w:rPr>
              <w:t>Experiences</w:t>
            </w:r>
          </w:p>
        </w:tc>
        <w:tc>
          <w:tcPr>
            <w:tcW w:w="5245" w:type="dxa"/>
          </w:tcPr>
          <w:p w14:paraId="52FCB068" w14:textId="77777777"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Lack of Knowledge</w:t>
            </w:r>
            <w:r w:rsidRPr="00E869A4">
              <w:rPr>
                <w:rFonts w:ascii="Times New Roman" w:hAnsi="Times New Roman" w:cs="Times New Roman"/>
                <w:sz w:val="22"/>
                <w:szCs w:val="24"/>
              </w:rPr>
              <w:tab/>
            </w:r>
          </w:p>
          <w:p w14:paraId="4308616B" w14:textId="77777777"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Problematic Behaviour</w:t>
            </w:r>
            <w:r w:rsidRPr="00E869A4">
              <w:rPr>
                <w:rFonts w:ascii="Times New Roman" w:hAnsi="Times New Roman" w:cs="Times New Roman"/>
                <w:sz w:val="22"/>
                <w:szCs w:val="24"/>
              </w:rPr>
              <w:tab/>
            </w:r>
          </w:p>
          <w:p w14:paraId="338E2555" w14:textId="77777777"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Financial Cost of Care</w:t>
            </w:r>
            <w:r w:rsidRPr="00E869A4">
              <w:rPr>
                <w:rFonts w:ascii="Times New Roman" w:hAnsi="Times New Roman" w:cs="Times New Roman"/>
                <w:sz w:val="22"/>
                <w:szCs w:val="24"/>
              </w:rPr>
              <w:tab/>
            </w:r>
          </w:p>
          <w:p w14:paraId="6F3AF116" w14:textId="48E4124B"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 xml:space="preserve">Finding Suitable Paid </w:t>
            </w:r>
            <w:r w:rsidR="003957F8" w:rsidRPr="00E869A4">
              <w:rPr>
                <w:rFonts w:ascii="Times New Roman" w:hAnsi="Times New Roman" w:cs="Times New Roman"/>
                <w:sz w:val="22"/>
                <w:szCs w:val="24"/>
              </w:rPr>
              <w:t>Care worker</w:t>
            </w:r>
            <w:r w:rsidRPr="00E869A4">
              <w:rPr>
                <w:rFonts w:ascii="Times New Roman" w:hAnsi="Times New Roman" w:cs="Times New Roman"/>
                <w:sz w:val="22"/>
                <w:szCs w:val="24"/>
              </w:rPr>
              <w:t>s</w:t>
            </w:r>
          </w:p>
          <w:p w14:paraId="433FD692" w14:textId="77777777"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Adequate and Affordable Health Care</w:t>
            </w:r>
          </w:p>
          <w:p w14:paraId="0317895E" w14:textId="77777777"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Competing Interests</w:t>
            </w:r>
            <w:r w:rsidRPr="00E869A4">
              <w:rPr>
                <w:rFonts w:ascii="Times New Roman" w:hAnsi="Times New Roman" w:cs="Times New Roman"/>
                <w:sz w:val="22"/>
                <w:szCs w:val="24"/>
              </w:rPr>
              <w:tab/>
            </w:r>
          </w:p>
          <w:p w14:paraId="38FD84F6" w14:textId="77777777"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Poor Health of Caregiver</w:t>
            </w:r>
            <w:r w:rsidRPr="00E869A4">
              <w:rPr>
                <w:rFonts w:ascii="Times New Roman" w:hAnsi="Times New Roman" w:cs="Times New Roman"/>
                <w:sz w:val="22"/>
                <w:szCs w:val="24"/>
              </w:rPr>
              <w:tab/>
            </w:r>
          </w:p>
          <w:p w14:paraId="70E2927B" w14:textId="77777777"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Support from Other Relatives</w:t>
            </w:r>
            <w:r w:rsidRPr="00E869A4">
              <w:rPr>
                <w:rFonts w:ascii="Times New Roman" w:hAnsi="Times New Roman" w:cs="Times New Roman"/>
                <w:sz w:val="22"/>
                <w:szCs w:val="24"/>
              </w:rPr>
              <w:tab/>
            </w:r>
          </w:p>
          <w:p w14:paraId="3F1A639B" w14:textId="77777777" w:rsidR="00725205" w:rsidRPr="00E869A4" w:rsidRDefault="00725205" w:rsidP="009D4C5D">
            <w:pPr>
              <w:pStyle w:val="ListParagraph"/>
              <w:numPr>
                <w:ilvl w:val="0"/>
                <w:numId w:val="40"/>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Grief (Anticipatory and Cumulative)</w:t>
            </w:r>
            <w:r w:rsidRPr="00E869A4">
              <w:rPr>
                <w:rFonts w:ascii="Times New Roman" w:hAnsi="Times New Roman" w:cs="Times New Roman"/>
                <w:sz w:val="22"/>
                <w:szCs w:val="24"/>
              </w:rPr>
              <w:tab/>
            </w:r>
          </w:p>
        </w:tc>
      </w:tr>
      <w:tr w:rsidR="00725205" w:rsidRPr="00E869A4" w14:paraId="280AC185" w14:textId="77777777" w:rsidTr="00F2566D">
        <w:trPr>
          <w:jc w:val="center"/>
        </w:trPr>
        <w:tc>
          <w:tcPr>
            <w:tcW w:w="3827" w:type="dxa"/>
          </w:tcPr>
          <w:p w14:paraId="4CD9607D" w14:textId="197B2517" w:rsidR="00725205" w:rsidRPr="00E869A4" w:rsidRDefault="00017799" w:rsidP="00181C92">
            <w:pPr>
              <w:autoSpaceDE w:val="0"/>
              <w:autoSpaceDN w:val="0"/>
              <w:adjustRightInd w:val="0"/>
              <w:rPr>
                <w:rFonts w:ascii="Times New Roman" w:hAnsi="Times New Roman" w:cs="Times New Roman"/>
                <w:i/>
                <w:sz w:val="22"/>
                <w:szCs w:val="24"/>
              </w:rPr>
            </w:pPr>
            <w:r w:rsidRPr="00E869A4">
              <w:rPr>
                <w:rFonts w:ascii="Times New Roman" w:hAnsi="Times New Roman" w:cs="Times New Roman"/>
                <w:i/>
                <w:sz w:val="22"/>
                <w:szCs w:val="24"/>
              </w:rPr>
              <w:t>Care recipient</w:t>
            </w:r>
            <w:r w:rsidR="00725205" w:rsidRPr="00E869A4">
              <w:rPr>
                <w:rFonts w:ascii="Times New Roman" w:hAnsi="Times New Roman" w:cs="Times New Roman"/>
                <w:i/>
                <w:sz w:val="22"/>
                <w:szCs w:val="24"/>
              </w:rPr>
              <w:t xml:space="preserve"> </w:t>
            </w:r>
            <w:r w:rsidR="00181C92" w:rsidRPr="00E869A4">
              <w:rPr>
                <w:rFonts w:ascii="Times New Roman" w:hAnsi="Times New Roman" w:cs="Times New Roman"/>
                <w:i/>
                <w:sz w:val="22"/>
                <w:szCs w:val="24"/>
              </w:rPr>
              <w:t>Experiences</w:t>
            </w:r>
          </w:p>
        </w:tc>
        <w:tc>
          <w:tcPr>
            <w:tcW w:w="5245" w:type="dxa"/>
          </w:tcPr>
          <w:p w14:paraId="18AA04E1" w14:textId="77777777" w:rsidR="00725205" w:rsidRPr="00E869A4" w:rsidRDefault="00725205" w:rsidP="009D4C5D">
            <w:pPr>
              <w:pStyle w:val="ListParagraph"/>
              <w:numPr>
                <w:ilvl w:val="0"/>
                <w:numId w:val="41"/>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Caregiver Compatibility</w:t>
            </w:r>
            <w:r w:rsidRPr="00E869A4">
              <w:rPr>
                <w:rFonts w:ascii="Times New Roman" w:hAnsi="Times New Roman" w:cs="Times New Roman"/>
                <w:sz w:val="22"/>
                <w:szCs w:val="24"/>
              </w:rPr>
              <w:tab/>
            </w:r>
          </w:p>
          <w:p w14:paraId="4D89FDDC" w14:textId="77777777" w:rsidR="00725205" w:rsidRPr="00E869A4" w:rsidRDefault="00725205" w:rsidP="009D4C5D">
            <w:pPr>
              <w:pStyle w:val="ListParagraph"/>
              <w:numPr>
                <w:ilvl w:val="0"/>
                <w:numId w:val="41"/>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Caregiver Willingness</w:t>
            </w:r>
            <w:r w:rsidRPr="00E869A4">
              <w:rPr>
                <w:rFonts w:ascii="Times New Roman" w:hAnsi="Times New Roman" w:cs="Times New Roman"/>
                <w:sz w:val="22"/>
                <w:szCs w:val="24"/>
              </w:rPr>
              <w:tab/>
            </w:r>
          </w:p>
          <w:p w14:paraId="41DCBDC2" w14:textId="77777777" w:rsidR="00725205" w:rsidRPr="00E869A4" w:rsidRDefault="00725205" w:rsidP="009D4C5D">
            <w:pPr>
              <w:pStyle w:val="ListParagraph"/>
              <w:numPr>
                <w:ilvl w:val="0"/>
                <w:numId w:val="41"/>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Caregiver Ability</w:t>
            </w:r>
            <w:r w:rsidRPr="00E869A4">
              <w:rPr>
                <w:rFonts w:ascii="Times New Roman" w:hAnsi="Times New Roman" w:cs="Times New Roman"/>
                <w:sz w:val="22"/>
                <w:szCs w:val="24"/>
              </w:rPr>
              <w:tab/>
            </w:r>
          </w:p>
          <w:p w14:paraId="4C689757" w14:textId="77777777" w:rsidR="00725205" w:rsidRPr="00E869A4" w:rsidRDefault="00725205" w:rsidP="009D4C5D">
            <w:pPr>
              <w:pStyle w:val="ListParagraph"/>
              <w:numPr>
                <w:ilvl w:val="0"/>
                <w:numId w:val="41"/>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Caregiver Availability</w:t>
            </w:r>
            <w:r w:rsidRPr="00E869A4">
              <w:rPr>
                <w:rFonts w:ascii="Times New Roman" w:hAnsi="Times New Roman" w:cs="Times New Roman"/>
                <w:sz w:val="22"/>
                <w:szCs w:val="24"/>
              </w:rPr>
              <w:tab/>
            </w:r>
          </w:p>
          <w:p w14:paraId="6382B29B" w14:textId="77777777" w:rsidR="00725205" w:rsidRPr="00E869A4" w:rsidRDefault="00725205" w:rsidP="009D4C5D">
            <w:pPr>
              <w:pStyle w:val="ListParagraph"/>
              <w:numPr>
                <w:ilvl w:val="0"/>
                <w:numId w:val="41"/>
              </w:numPr>
              <w:autoSpaceDE w:val="0"/>
              <w:autoSpaceDN w:val="0"/>
              <w:adjustRightInd w:val="0"/>
              <w:contextualSpacing w:val="0"/>
              <w:rPr>
                <w:rFonts w:ascii="Times New Roman" w:hAnsi="Times New Roman" w:cs="Times New Roman"/>
                <w:sz w:val="22"/>
                <w:szCs w:val="24"/>
              </w:rPr>
            </w:pPr>
            <w:r w:rsidRPr="00E869A4">
              <w:rPr>
                <w:rFonts w:ascii="Times New Roman" w:hAnsi="Times New Roman" w:cs="Times New Roman"/>
                <w:sz w:val="22"/>
                <w:szCs w:val="24"/>
              </w:rPr>
              <w:t>Caregiver Motive</w:t>
            </w:r>
          </w:p>
        </w:tc>
      </w:tr>
    </w:tbl>
    <w:p w14:paraId="0705580F" w14:textId="156493CA" w:rsidR="009B2814" w:rsidRPr="00E869A4" w:rsidRDefault="00782078" w:rsidP="00D20B2D">
      <w:pPr>
        <w:pStyle w:val="Heading1"/>
        <w:rPr>
          <w:lang w:val="en-TT"/>
        </w:rPr>
      </w:pPr>
      <w:bookmarkStart w:id="327" w:name="_Toc40436550"/>
      <w:r w:rsidRPr="00E869A4">
        <w:rPr>
          <w:lang w:val="en-TT"/>
        </w:rPr>
        <w:lastRenderedPageBreak/>
        <w:t xml:space="preserve">CHAPTER </w:t>
      </w:r>
      <w:r w:rsidR="00BC627F" w:rsidRPr="00E869A4">
        <w:rPr>
          <w:lang w:val="en-TT"/>
        </w:rPr>
        <w:t xml:space="preserve">8 – </w:t>
      </w:r>
      <w:r w:rsidR="00C43FBE" w:rsidRPr="00E869A4">
        <w:rPr>
          <w:lang w:val="en-TT"/>
        </w:rPr>
        <w:t xml:space="preserve">QUALITATIVE </w:t>
      </w:r>
      <w:r w:rsidRPr="00E869A4">
        <w:rPr>
          <w:lang w:val="en-TT"/>
        </w:rPr>
        <w:t>RESULTS</w:t>
      </w:r>
      <w:bookmarkEnd w:id="327"/>
      <w:r w:rsidRPr="00E869A4">
        <w:rPr>
          <w:lang w:val="en-TT"/>
        </w:rPr>
        <w:t xml:space="preserve"> </w:t>
      </w:r>
    </w:p>
    <w:p w14:paraId="03C240E9" w14:textId="730FEA06" w:rsidR="00E53916" w:rsidRPr="00E869A4" w:rsidRDefault="009C6F03" w:rsidP="00D20B2D">
      <w:pPr>
        <w:pStyle w:val="Heading1"/>
        <w:rPr>
          <w:lang w:val="en-GB"/>
        </w:rPr>
      </w:pPr>
      <w:bookmarkStart w:id="328" w:name="_Toc40436551"/>
      <w:r w:rsidRPr="00E869A4">
        <w:rPr>
          <w:lang w:val="en-GB"/>
        </w:rPr>
        <w:t>COPING &amp; CARE MANAGEMENT STRATEGIES</w:t>
      </w:r>
      <w:bookmarkEnd w:id="328"/>
    </w:p>
    <w:p w14:paraId="4E40E636" w14:textId="77777777" w:rsidR="00AA1191" w:rsidRPr="00E869A4" w:rsidRDefault="00AA1191" w:rsidP="00AA1191"/>
    <w:p w14:paraId="6A5DC24D" w14:textId="77777777" w:rsidR="00612E63" w:rsidRPr="00E869A4" w:rsidRDefault="00431380" w:rsidP="00612E63">
      <w:pPr>
        <w:ind w:firstLine="0"/>
        <w:rPr>
          <w:rFonts w:ascii="Times New Roman" w:hAnsi="Times New Roman" w:cs="Times New Roman"/>
        </w:rPr>
      </w:pPr>
      <w:r w:rsidRPr="00E869A4">
        <w:rPr>
          <w:rFonts w:ascii="Times New Roman" w:hAnsi="Times New Roman" w:cs="Times New Roman"/>
        </w:rPr>
        <w:t>Research Question</w:t>
      </w:r>
      <w:r w:rsidR="00612E63" w:rsidRPr="00E869A4">
        <w:rPr>
          <w:rFonts w:ascii="Times New Roman" w:hAnsi="Times New Roman" w:cs="Times New Roman"/>
        </w:rPr>
        <w:t xml:space="preserve"> 3</w:t>
      </w:r>
      <w:r w:rsidRPr="00E869A4">
        <w:rPr>
          <w:rFonts w:ascii="Times New Roman" w:hAnsi="Times New Roman" w:cs="Times New Roman"/>
        </w:rPr>
        <w:t xml:space="preserve">: </w:t>
      </w:r>
    </w:p>
    <w:p w14:paraId="0DEA16AC" w14:textId="77777777" w:rsidR="00612E63" w:rsidRPr="00E869A4" w:rsidRDefault="00612E63" w:rsidP="00612E63">
      <w:pPr>
        <w:ind w:firstLine="0"/>
        <w:rPr>
          <w:rFonts w:ascii="Times New Roman" w:hAnsi="Times New Roman" w:cs="Times New Roman"/>
        </w:rPr>
      </w:pPr>
    </w:p>
    <w:p w14:paraId="2ACC8EF8" w14:textId="29F3ED79" w:rsidR="00431380" w:rsidRPr="00E869A4" w:rsidRDefault="00431380" w:rsidP="000D46EC">
      <w:pPr>
        <w:ind w:firstLine="0"/>
        <w:rPr>
          <w:rFonts w:ascii="Times New Roman" w:hAnsi="Times New Roman" w:cs="Times New Roman"/>
        </w:rPr>
      </w:pPr>
      <w:r w:rsidRPr="00E869A4">
        <w:rPr>
          <w:rFonts w:ascii="Times New Roman" w:hAnsi="Times New Roman" w:cs="Times New Roman"/>
        </w:rPr>
        <w:t>What are the strategies used by family caregivers and their frail older relatives to manage their caring experience?</w:t>
      </w:r>
    </w:p>
    <w:p w14:paraId="04958269" w14:textId="77777777" w:rsidR="00AA1191" w:rsidRPr="00E869A4" w:rsidRDefault="00AA1191" w:rsidP="00A35FF8">
      <w:pPr>
        <w:jc w:val="center"/>
        <w:rPr>
          <w:rFonts w:ascii="Times New Roman" w:hAnsi="Times New Roman" w:cs="Times New Roman"/>
        </w:rPr>
      </w:pPr>
    </w:p>
    <w:p w14:paraId="0B80D9D4" w14:textId="57F2A96B" w:rsidR="00744EFC" w:rsidRPr="00E869A4" w:rsidRDefault="00463753" w:rsidP="00417B64">
      <w:pPr>
        <w:pStyle w:val="Heading2"/>
        <w:rPr>
          <w:rFonts w:eastAsia="Times New Roman"/>
        </w:rPr>
      </w:pPr>
      <w:bookmarkStart w:id="329" w:name="_Toc40436552"/>
      <w:r w:rsidRPr="00E869A4">
        <w:rPr>
          <w:rFonts w:eastAsia="Times New Roman"/>
        </w:rPr>
        <w:t>8</w:t>
      </w:r>
      <w:r w:rsidR="00744EFC" w:rsidRPr="00E869A4">
        <w:rPr>
          <w:rFonts w:eastAsia="Times New Roman"/>
        </w:rPr>
        <w:t>.1 INTRODUCTION</w:t>
      </w:r>
      <w:bookmarkEnd w:id="329"/>
    </w:p>
    <w:p w14:paraId="69315488" w14:textId="77777777" w:rsidR="00744EFC" w:rsidRPr="00E869A4" w:rsidRDefault="00744EFC" w:rsidP="00417B64">
      <w:pPr>
        <w:rPr>
          <w:rFonts w:ascii="Times New Roman" w:eastAsia="Times New Roman" w:hAnsi="Times New Roman" w:cs="Times New Roman"/>
        </w:rPr>
      </w:pPr>
    </w:p>
    <w:p w14:paraId="2484E04A" w14:textId="5DC3B29B"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t>The participants in this study used various coping and care management strategies to meet their family care needs. As was noted in the literature review, coping and care management are the actions and cognitions employed by individuals to resolve a problem and reduce stress. Coping in this study refers to internal strategies such as finding meaning through religious, spiritual or moral reasoning, humour, creativity, resourcefulness, assertiveness, confidence and perseverance (Gitlin et al</w:t>
      </w:r>
      <w:r w:rsidR="00934743" w:rsidRPr="00E869A4">
        <w:rPr>
          <w:rFonts w:ascii="Times New Roman" w:eastAsia="Times New Roman" w:hAnsi="Times New Roman" w:cs="Times New Roman"/>
        </w:rPr>
        <w:t>.</w:t>
      </w:r>
      <w:r w:rsidRPr="00E869A4">
        <w:rPr>
          <w:rFonts w:ascii="Times New Roman" w:eastAsia="Times New Roman" w:hAnsi="Times New Roman" w:cs="Times New Roman"/>
        </w:rPr>
        <w:t xml:space="preserve"> 2002). Care management strategies refer to routini</w:t>
      </w:r>
      <w:r w:rsidR="00724B2D" w:rsidRPr="00E869A4">
        <w:rPr>
          <w:rFonts w:ascii="Times New Roman" w:eastAsia="Times New Roman" w:hAnsi="Times New Roman" w:cs="Times New Roman"/>
        </w:rPr>
        <w:t>s</w:t>
      </w:r>
      <w:r w:rsidRPr="00E869A4">
        <w:rPr>
          <w:rFonts w:ascii="Times New Roman" w:eastAsia="Times New Roman" w:hAnsi="Times New Roman" w:cs="Times New Roman"/>
        </w:rPr>
        <w:t>ed actions or behaviours (Aldwin 2007</w:t>
      </w:r>
      <w:r w:rsidR="002A7F28" w:rsidRPr="00E869A4">
        <w:rPr>
          <w:rFonts w:ascii="Times New Roman" w:eastAsia="Times New Roman" w:hAnsi="Times New Roman" w:cs="Times New Roman"/>
        </w:rPr>
        <w:t>; Bury 1991</w:t>
      </w:r>
      <w:r w:rsidRPr="00E869A4">
        <w:rPr>
          <w:rFonts w:ascii="Times New Roman" w:eastAsia="Times New Roman" w:hAnsi="Times New Roman" w:cs="Times New Roman"/>
        </w:rPr>
        <w:t>) or what some refer to as external coping strategies (Gitlin et al</w:t>
      </w:r>
      <w:r w:rsidR="00934743" w:rsidRPr="00E869A4">
        <w:rPr>
          <w:rFonts w:ascii="Times New Roman" w:eastAsia="Times New Roman" w:hAnsi="Times New Roman" w:cs="Times New Roman"/>
        </w:rPr>
        <w:t>.</w:t>
      </w:r>
      <w:r w:rsidRPr="00E869A4">
        <w:rPr>
          <w:rFonts w:ascii="Times New Roman" w:eastAsia="Times New Roman" w:hAnsi="Times New Roman" w:cs="Times New Roman"/>
        </w:rPr>
        <w:t xml:space="preserve"> 2002). </w:t>
      </w:r>
      <w:r w:rsidR="000C126C" w:rsidRPr="00E869A4">
        <w:rPr>
          <w:rFonts w:ascii="Times New Roman" w:eastAsia="Times New Roman" w:hAnsi="Times New Roman" w:cs="Times New Roman"/>
        </w:rPr>
        <w:t>They</w:t>
      </w:r>
      <w:r w:rsidRPr="00E869A4">
        <w:rPr>
          <w:rFonts w:ascii="Times New Roman" w:eastAsia="Times New Roman" w:hAnsi="Times New Roman" w:cs="Times New Roman"/>
        </w:rPr>
        <w:t xml:space="preserve"> involve </w:t>
      </w:r>
      <w:r w:rsidR="002A7F28" w:rsidRPr="00E869A4">
        <w:rPr>
          <w:rFonts w:ascii="Times New Roman" w:eastAsia="Times New Roman" w:hAnsi="Times New Roman" w:cs="Times New Roman"/>
        </w:rPr>
        <w:t>identifying needs</w:t>
      </w:r>
      <w:r w:rsidRPr="00E869A4">
        <w:rPr>
          <w:rFonts w:ascii="Times New Roman" w:eastAsia="Times New Roman" w:hAnsi="Times New Roman" w:cs="Times New Roman"/>
        </w:rPr>
        <w:t>/demands and available resources, and manipulating resources to meet demands (Wise et al</w:t>
      </w:r>
      <w:r w:rsidR="002A7F28" w:rsidRPr="00E869A4">
        <w:rPr>
          <w:rFonts w:ascii="Times New Roman" w:eastAsia="Times New Roman" w:hAnsi="Times New Roman" w:cs="Times New Roman"/>
        </w:rPr>
        <w:t>.</w:t>
      </w:r>
      <w:r w:rsidRPr="00E869A4">
        <w:rPr>
          <w:rFonts w:ascii="Times New Roman" w:eastAsia="Times New Roman" w:hAnsi="Times New Roman" w:cs="Times New Roman"/>
        </w:rPr>
        <w:t xml:space="preserve"> 2011).</w:t>
      </w:r>
    </w:p>
    <w:p w14:paraId="189D4C87" w14:textId="77777777" w:rsidR="00744EFC" w:rsidRPr="00E869A4" w:rsidRDefault="00744EFC" w:rsidP="00417B64">
      <w:pPr>
        <w:rPr>
          <w:rFonts w:ascii="Times New Roman" w:eastAsia="Times New Roman" w:hAnsi="Times New Roman" w:cs="Times New Roman"/>
        </w:rPr>
      </w:pPr>
    </w:p>
    <w:p w14:paraId="658DA21F" w14:textId="1374EECD"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t xml:space="preserve">As was </w:t>
      </w:r>
      <w:r w:rsidR="00F80855" w:rsidRPr="00E869A4">
        <w:rPr>
          <w:rFonts w:ascii="Times New Roman" w:eastAsia="Times New Roman" w:hAnsi="Times New Roman" w:cs="Times New Roman"/>
        </w:rPr>
        <w:t>highlighted</w:t>
      </w:r>
      <w:r w:rsidRPr="00E869A4">
        <w:rPr>
          <w:rFonts w:ascii="Times New Roman" w:eastAsia="Times New Roman" w:hAnsi="Times New Roman" w:cs="Times New Roman"/>
        </w:rPr>
        <w:t xml:space="preserve"> in the previous section, both family caregivers and older persons experienced a range of challenges.  These challenges included context-related factors such as access to health and social services to meet the needs of the older person and their family carer, as well as perceived support from other family members and persons who were part of their social network. Older persons and family carers also identified certain behaviours and characteristics of each other that were problematic. Some caregivers described their older relative as having a difficult personality long before they needed family elder care. Older persons on the other hand alluded to several characteristics of past, present and potential family caregivers that made their care experience uncomfortable or unpleasant. In light of these challenges and difficulties, different coping and care management strategies were employed by particip</w:t>
      </w:r>
      <w:r w:rsidR="000C126C" w:rsidRPr="00E869A4">
        <w:rPr>
          <w:rFonts w:ascii="Times New Roman" w:eastAsia="Times New Roman" w:hAnsi="Times New Roman" w:cs="Times New Roman"/>
        </w:rPr>
        <w:t>ants in order to overcome and/</w:t>
      </w:r>
      <w:r w:rsidRPr="00E869A4">
        <w:rPr>
          <w:rFonts w:ascii="Times New Roman" w:eastAsia="Times New Roman" w:hAnsi="Times New Roman" w:cs="Times New Roman"/>
        </w:rPr>
        <w:t xml:space="preserve">or withstand the negative effects of these experiences on their wellbeing. </w:t>
      </w:r>
    </w:p>
    <w:p w14:paraId="3419CBDC" w14:textId="2D772EEE"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lastRenderedPageBreak/>
        <w:t xml:space="preserve">The thematic analysis revealed different coping strategies that were adopted by family caregivers and older persons. The care management strategies employed by older persons </w:t>
      </w:r>
      <w:r w:rsidR="00724B2D" w:rsidRPr="00E869A4">
        <w:rPr>
          <w:rFonts w:ascii="Times New Roman" w:eastAsia="Times New Roman" w:hAnsi="Times New Roman" w:cs="Times New Roman"/>
        </w:rPr>
        <w:t xml:space="preserve">were </w:t>
      </w:r>
      <w:r w:rsidR="00553746" w:rsidRPr="00E869A4">
        <w:rPr>
          <w:rFonts w:ascii="Times New Roman" w:eastAsia="Times New Roman" w:hAnsi="Times New Roman" w:cs="Times New Roman"/>
        </w:rPr>
        <w:t>broadl</w:t>
      </w:r>
      <w:r w:rsidR="00724B2D" w:rsidRPr="00E869A4">
        <w:rPr>
          <w:rFonts w:ascii="Times New Roman" w:eastAsia="Times New Roman" w:hAnsi="Times New Roman" w:cs="Times New Roman"/>
        </w:rPr>
        <w:t xml:space="preserve">y </w:t>
      </w:r>
      <w:r w:rsidRPr="00E869A4">
        <w:rPr>
          <w:rFonts w:ascii="Times New Roman" w:eastAsia="Times New Roman" w:hAnsi="Times New Roman" w:cs="Times New Roman"/>
        </w:rPr>
        <w:t>categorised as</w:t>
      </w:r>
      <w:r w:rsidR="00F80855" w:rsidRPr="00E869A4">
        <w:rPr>
          <w:rFonts w:ascii="Times New Roman" w:eastAsia="Times New Roman" w:hAnsi="Times New Roman" w:cs="Times New Roman"/>
        </w:rPr>
        <w:t xml:space="preserve"> </w:t>
      </w:r>
      <w:r w:rsidRPr="00E869A4">
        <w:rPr>
          <w:rFonts w:ascii="Times New Roman" w:eastAsia="Times New Roman" w:hAnsi="Times New Roman" w:cs="Times New Roman"/>
          <w:i/>
        </w:rPr>
        <w:t>accepting care</w:t>
      </w:r>
      <w:r w:rsidR="00F80855" w:rsidRPr="00E869A4">
        <w:rPr>
          <w:rFonts w:ascii="Times New Roman" w:eastAsia="Times New Roman" w:hAnsi="Times New Roman" w:cs="Times New Roman"/>
        </w:rPr>
        <w:t xml:space="preserve"> or </w:t>
      </w:r>
      <w:r w:rsidRPr="00E869A4">
        <w:rPr>
          <w:rFonts w:ascii="Times New Roman" w:eastAsia="Times New Roman" w:hAnsi="Times New Roman" w:cs="Times New Roman"/>
          <w:i/>
        </w:rPr>
        <w:t>rejecting care</w:t>
      </w:r>
      <w:r w:rsidRPr="00E869A4">
        <w:rPr>
          <w:rFonts w:ascii="Times New Roman" w:eastAsia="Times New Roman" w:hAnsi="Times New Roman" w:cs="Times New Roman"/>
        </w:rPr>
        <w:t>. An individual might accept (receive care) either willingly (</w:t>
      </w:r>
      <w:r w:rsidRPr="00E869A4">
        <w:rPr>
          <w:rFonts w:ascii="Times New Roman" w:eastAsia="Times New Roman" w:hAnsi="Times New Roman" w:cs="Times New Roman"/>
          <w:i/>
        </w:rPr>
        <w:t>ardent acceptance</w:t>
      </w:r>
      <w:r w:rsidRPr="00E869A4">
        <w:rPr>
          <w:rFonts w:ascii="Times New Roman" w:eastAsia="Times New Roman" w:hAnsi="Times New Roman" w:cs="Times New Roman"/>
        </w:rPr>
        <w:t>) or unwillingly (</w:t>
      </w:r>
      <w:r w:rsidRPr="00E869A4">
        <w:rPr>
          <w:rFonts w:ascii="Times New Roman" w:eastAsia="Times New Roman" w:hAnsi="Times New Roman" w:cs="Times New Roman"/>
          <w:i/>
          <w:iCs/>
        </w:rPr>
        <w:t>reserved</w:t>
      </w:r>
      <w:r w:rsidRPr="00E869A4">
        <w:rPr>
          <w:rFonts w:ascii="Times New Roman" w:eastAsia="Times New Roman" w:hAnsi="Times New Roman" w:cs="Times New Roman"/>
        </w:rPr>
        <w:t xml:space="preserve"> or </w:t>
      </w:r>
      <w:r w:rsidRPr="00E869A4">
        <w:rPr>
          <w:rFonts w:ascii="Times New Roman" w:eastAsia="Times New Roman" w:hAnsi="Times New Roman" w:cs="Times New Roman"/>
          <w:i/>
          <w:iCs/>
        </w:rPr>
        <w:t>capitulated</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i/>
          <w:iCs/>
        </w:rPr>
        <w:t>acceptance</w:t>
      </w:r>
      <w:r w:rsidRPr="00E869A4">
        <w:rPr>
          <w:rFonts w:ascii="Times New Roman" w:eastAsia="Times New Roman" w:hAnsi="Times New Roman" w:cs="Times New Roman"/>
        </w:rPr>
        <w:t xml:space="preserve">). Conversely, an older person might reject care i.e. they do not receive the care on offer or presented. Rejecting care might take the form of </w:t>
      </w:r>
      <w:r w:rsidRPr="00E869A4">
        <w:rPr>
          <w:rFonts w:ascii="Times New Roman" w:eastAsia="Times New Roman" w:hAnsi="Times New Roman" w:cs="Times New Roman"/>
          <w:i/>
        </w:rPr>
        <w:t>refusing or resisting</w:t>
      </w:r>
      <w:r w:rsidRPr="00E869A4">
        <w:rPr>
          <w:rFonts w:ascii="Times New Roman" w:eastAsia="Times New Roman" w:hAnsi="Times New Roman" w:cs="Times New Roman"/>
        </w:rPr>
        <w:t xml:space="preserve"> care. Refusing care involves declining a request or demand while resisting care refers to attempts to counter the actions or effects of care provided. Refusing care </w:t>
      </w:r>
      <w:r w:rsidR="00F80855" w:rsidRPr="00E869A4">
        <w:rPr>
          <w:rFonts w:ascii="Times New Roman" w:eastAsia="Times New Roman" w:hAnsi="Times New Roman" w:cs="Times New Roman"/>
        </w:rPr>
        <w:t>behaviours were</w:t>
      </w:r>
      <w:r w:rsidRPr="00E869A4">
        <w:rPr>
          <w:rFonts w:ascii="Times New Roman" w:eastAsia="Times New Roman" w:hAnsi="Times New Roman" w:cs="Times New Roman"/>
        </w:rPr>
        <w:t xml:space="preserve"> overt </w:t>
      </w:r>
      <w:r w:rsidR="00F80855" w:rsidRPr="00E869A4">
        <w:rPr>
          <w:rFonts w:ascii="Times New Roman" w:eastAsia="Times New Roman" w:hAnsi="Times New Roman" w:cs="Times New Roman"/>
        </w:rPr>
        <w:t xml:space="preserve">and </w:t>
      </w:r>
      <w:r w:rsidRPr="00E869A4">
        <w:rPr>
          <w:rFonts w:ascii="Times New Roman" w:eastAsia="Times New Roman" w:hAnsi="Times New Roman" w:cs="Times New Roman"/>
        </w:rPr>
        <w:t xml:space="preserve">assertive, while resisting care </w:t>
      </w:r>
      <w:r w:rsidR="00F80855" w:rsidRPr="00E869A4">
        <w:rPr>
          <w:rFonts w:ascii="Times New Roman" w:eastAsia="Times New Roman" w:hAnsi="Times New Roman" w:cs="Times New Roman"/>
        </w:rPr>
        <w:t>behaviour were</w:t>
      </w:r>
      <w:r w:rsidRPr="00E869A4">
        <w:rPr>
          <w:rFonts w:ascii="Times New Roman" w:eastAsia="Times New Roman" w:hAnsi="Times New Roman" w:cs="Times New Roman"/>
        </w:rPr>
        <w:t xml:space="preserve"> either overt </w:t>
      </w:r>
      <w:r w:rsidR="00F80855" w:rsidRPr="00E869A4">
        <w:rPr>
          <w:rFonts w:ascii="Times New Roman" w:eastAsia="Times New Roman" w:hAnsi="Times New Roman" w:cs="Times New Roman"/>
        </w:rPr>
        <w:t xml:space="preserve">and </w:t>
      </w:r>
      <w:r w:rsidRPr="00E869A4">
        <w:rPr>
          <w:rFonts w:ascii="Times New Roman" w:eastAsia="Times New Roman" w:hAnsi="Times New Roman" w:cs="Times New Roman"/>
        </w:rPr>
        <w:t>aggressive or</w:t>
      </w:r>
      <w:r w:rsidR="00F80855" w:rsidRPr="00E869A4">
        <w:rPr>
          <w:rFonts w:ascii="Times New Roman" w:eastAsia="Times New Roman" w:hAnsi="Times New Roman" w:cs="Times New Roman"/>
        </w:rPr>
        <w:t>,</w:t>
      </w:r>
      <w:r w:rsidRPr="00E869A4">
        <w:rPr>
          <w:rFonts w:ascii="Times New Roman" w:eastAsia="Times New Roman" w:hAnsi="Times New Roman" w:cs="Times New Roman"/>
        </w:rPr>
        <w:t xml:space="preserve"> covert passive behaviour that may or may not be aggressive in nature. Refusing or resisting care is in large part a function of how insistent or demanding the caregiver is with respect to providing care that is inconsistent with the preference or desire of the older person. It is also a reflection of the communication style that the older person is most comfortable </w:t>
      </w:r>
      <w:r w:rsidR="000C126C" w:rsidRPr="00E869A4">
        <w:rPr>
          <w:rFonts w:ascii="Times New Roman" w:eastAsia="Times New Roman" w:hAnsi="Times New Roman" w:cs="Times New Roman"/>
        </w:rPr>
        <w:t>with using</w:t>
      </w:r>
      <w:r w:rsidRPr="00E869A4">
        <w:rPr>
          <w:rFonts w:ascii="Times New Roman" w:eastAsia="Times New Roman" w:hAnsi="Times New Roman" w:cs="Times New Roman"/>
        </w:rPr>
        <w:t xml:space="preserve"> in </w:t>
      </w:r>
      <w:r w:rsidR="00F80855" w:rsidRPr="00E869A4">
        <w:rPr>
          <w:rFonts w:ascii="Times New Roman" w:eastAsia="Times New Roman" w:hAnsi="Times New Roman" w:cs="Times New Roman"/>
        </w:rPr>
        <w:t>a</w:t>
      </w:r>
      <w:r w:rsidRPr="00E869A4">
        <w:rPr>
          <w:rFonts w:ascii="Times New Roman" w:eastAsia="Times New Roman" w:hAnsi="Times New Roman" w:cs="Times New Roman"/>
        </w:rPr>
        <w:t xml:space="preserve"> particular care context. </w:t>
      </w:r>
    </w:p>
    <w:p w14:paraId="5CAE8811" w14:textId="77777777" w:rsidR="00744EFC" w:rsidRPr="00E869A4" w:rsidRDefault="00744EFC" w:rsidP="00417B64">
      <w:pPr>
        <w:rPr>
          <w:rFonts w:ascii="Times New Roman" w:eastAsia="Times New Roman" w:hAnsi="Times New Roman" w:cs="Times New Roman"/>
        </w:rPr>
      </w:pPr>
    </w:p>
    <w:p w14:paraId="2EA6E984" w14:textId="4F859DA6"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t xml:space="preserve">The care management strategies employed by caregivers </w:t>
      </w:r>
      <w:r w:rsidR="00553746" w:rsidRPr="00E869A4">
        <w:rPr>
          <w:rFonts w:ascii="Times New Roman" w:eastAsia="Times New Roman" w:hAnsi="Times New Roman" w:cs="Times New Roman"/>
        </w:rPr>
        <w:t>were</w:t>
      </w:r>
      <w:r w:rsidRPr="00E869A4">
        <w:rPr>
          <w:rFonts w:ascii="Times New Roman" w:eastAsia="Times New Roman" w:hAnsi="Times New Roman" w:cs="Times New Roman"/>
        </w:rPr>
        <w:t xml:space="preserve"> disaggregated into three main categories: a) </w:t>
      </w:r>
      <w:r w:rsidRPr="0078543F">
        <w:rPr>
          <w:rFonts w:ascii="Times New Roman" w:eastAsia="Times New Roman" w:hAnsi="Times New Roman" w:cs="Times New Roman"/>
          <w:i/>
        </w:rPr>
        <w:t>accepting caregiving responsibility</w:t>
      </w:r>
      <w:r w:rsidRPr="00E869A4">
        <w:rPr>
          <w:rFonts w:ascii="Times New Roman" w:eastAsia="Times New Roman" w:hAnsi="Times New Roman" w:cs="Times New Roman"/>
        </w:rPr>
        <w:t xml:space="preserve">; b) </w:t>
      </w:r>
      <w:r w:rsidRPr="0078543F">
        <w:rPr>
          <w:rFonts w:ascii="Times New Roman" w:eastAsia="Times New Roman" w:hAnsi="Times New Roman" w:cs="Times New Roman"/>
          <w:i/>
        </w:rPr>
        <w:t>rejecting caregiving responsibility</w:t>
      </w:r>
      <w:r w:rsidR="00F80855" w:rsidRPr="00E869A4">
        <w:rPr>
          <w:rFonts w:ascii="Times New Roman" w:eastAsia="Times New Roman" w:hAnsi="Times New Roman" w:cs="Times New Roman"/>
        </w:rPr>
        <w:t>; and,</w:t>
      </w:r>
      <w:r w:rsidRPr="00E869A4">
        <w:rPr>
          <w:rFonts w:ascii="Times New Roman" w:eastAsia="Times New Roman" w:hAnsi="Times New Roman" w:cs="Times New Roman"/>
        </w:rPr>
        <w:t xml:space="preserve"> c) </w:t>
      </w:r>
      <w:r w:rsidRPr="0078543F">
        <w:rPr>
          <w:rFonts w:ascii="Times New Roman" w:eastAsia="Times New Roman" w:hAnsi="Times New Roman" w:cs="Times New Roman"/>
          <w:i/>
        </w:rPr>
        <w:t>restricting caregiving responsibilities</w:t>
      </w:r>
      <w:r w:rsidRPr="00E869A4">
        <w:rPr>
          <w:rFonts w:ascii="Times New Roman" w:eastAsia="Times New Roman" w:hAnsi="Times New Roman" w:cs="Times New Roman"/>
        </w:rPr>
        <w:t>. These three care management strategies were further subdivided into a total of ten (10) secondary strategies. Accepting care strategies included: 1) amenable care; 2) surreptitious care; 3) enforced care; 4) emergent care</w:t>
      </w:r>
      <w:r w:rsidR="00F80855"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w:t>
      </w:r>
      <w:r w:rsidR="00F80855" w:rsidRPr="00E869A4">
        <w:rPr>
          <w:rFonts w:ascii="Times New Roman" w:eastAsia="Times New Roman" w:hAnsi="Times New Roman" w:cs="Times New Roman"/>
        </w:rPr>
        <w:t>,</w:t>
      </w:r>
      <w:r w:rsidRPr="00E869A4">
        <w:rPr>
          <w:rFonts w:ascii="Times New Roman" w:eastAsia="Times New Roman" w:hAnsi="Times New Roman" w:cs="Times New Roman"/>
        </w:rPr>
        <w:t xml:space="preserve"> 5) enduring care. Rejecting care responsibilities involved either: 1) avoiding care; or</w:t>
      </w:r>
      <w:r w:rsidR="00F80855" w:rsidRPr="00E869A4">
        <w:rPr>
          <w:rFonts w:ascii="Times New Roman" w:eastAsia="Times New Roman" w:hAnsi="Times New Roman" w:cs="Times New Roman"/>
        </w:rPr>
        <w:t>,</w:t>
      </w:r>
      <w:r w:rsidRPr="00E869A4">
        <w:rPr>
          <w:rFonts w:ascii="Times New Roman" w:eastAsia="Times New Roman" w:hAnsi="Times New Roman" w:cs="Times New Roman"/>
        </w:rPr>
        <w:t xml:space="preserve"> 2) evading care. Restricting care took various forms including: 1) selective care; 2) restrained care; </w:t>
      </w:r>
      <w:r w:rsidR="00F80855" w:rsidRPr="00E869A4">
        <w:rPr>
          <w:rFonts w:ascii="Times New Roman" w:eastAsia="Times New Roman" w:hAnsi="Times New Roman" w:cs="Times New Roman"/>
        </w:rPr>
        <w:t>and,</w:t>
      </w:r>
      <w:r w:rsidRPr="00E869A4">
        <w:rPr>
          <w:rFonts w:ascii="Times New Roman" w:eastAsia="Times New Roman" w:hAnsi="Times New Roman" w:cs="Times New Roman"/>
        </w:rPr>
        <w:t xml:space="preserve"> 3) deferred care. The decision to accept, reject or restrict responsibility for a particular care need of an older relative was predicated on the family caregiver’s acknowledgement that a need actually existed.</w:t>
      </w:r>
    </w:p>
    <w:p w14:paraId="545931A9" w14:textId="77777777" w:rsidR="00744EFC" w:rsidRPr="00E869A4" w:rsidRDefault="00744EFC" w:rsidP="00417B64">
      <w:pPr>
        <w:rPr>
          <w:rFonts w:ascii="Times New Roman" w:eastAsia="Times New Roman" w:hAnsi="Times New Roman" w:cs="Times New Roman"/>
        </w:rPr>
      </w:pPr>
    </w:p>
    <w:p w14:paraId="13347B64" w14:textId="77777777" w:rsidR="00BE7983"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t xml:space="preserve">An important aspect of the care relationship that </w:t>
      </w:r>
      <w:r w:rsidR="00CC0283" w:rsidRPr="00E869A4">
        <w:rPr>
          <w:rFonts w:ascii="Times New Roman" w:eastAsia="Times New Roman" w:hAnsi="Times New Roman" w:cs="Times New Roman"/>
        </w:rPr>
        <w:t>influenced</w:t>
      </w:r>
      <w:r w:rsidRPr="00E869A4">
        <w:rPr>
          <w:rFonts w:ascii="Times New Roman" w:eastAsia="Times New Roman" w:hAnsi="Times New Roman" w:cs="Times New Roman"/>
        </w:rPr>
        <w:t xml:space="preserve"> the care management practices used by both older persons and the family caregivers, is whether or not they are both in agreement with the care strategy used. Two key themes are used to depict this: a) a congruent care dynamic and; b) an incongruent care dynamic. Two main variables are used to identify congruence in this study: i) </w:t>
      </w:r>
      <w:r w:rsidR="002107D8" w:rsidRPr="00E869A4">
        <w:rPr>
          <w:rFonts w:ascii="Times New Roman" w:eastAsia="Times New Roman" w:hAnsi="Times New Roman" w:cs="Times New Roman"/>
          <w:i/>
        </w:rPr>
        <w:t>w</w:t>
      </w:r>
      <w:r w:rsidRPr="00E869A4">
        <w:rPr>
          <w:rFonts w:ascii="Times New Roman" w:eastAsia="Times New Roman" w:hAnsi="Times New Roman" w:cs="Times New Roman"/>
          <w:i/>
        </w:rPr>
        <w:t>illingness</w:t>
      </w:r>
      <w:r w:rsidRPr="00E869A4">
        <w:rPr>
          <w:rFonts w:ascii="Times New Roman" w:eastAsia="Times New Roman" w:hAnsi="Times New Roman" w:cs="Times New Roman"/>
        </w:rPr>
        <w:t xml:space="preserve"> i.e. the willingness of the older person to receive care from a particular family member and the willingness of the caregiver to provide care to the older person</w:t>
      </w:r>
      <w:r w:rsidR="003C4A90" w:rsidRPr="00E869A4">
        <w:rPr>
          <w:rFonts w:ascii="Times New Roman" w:eastAsia="Times New Roman" w:hAnsi="Times New Roman" w:cs="Times New Roman"/>
        </w:rPr>
        <w:t xml:space="preserve"> and</w:t>
      </w:r>
      <w:r w:rsidRPr="00E869A4">
        <w:rPr>
          <w:rFonts w:ascii="Times New Roman" w:eastAsia="Times New Roman" w:hAnsi="Times New Roman" w:cs="Times New Roman"/>
        </w:rPr>
        <w:t xml:space="preserve">; ii) </w:t>
      </w:r>
      <w:r w:rsidR="002107D8" w:rsidRPr="00E869A4">
        <w:rPr>
          <w:rFonts w:ascii="Times New Roman" w:eastAsia="Times New Roman" w:hAnsi="Times New Roman" w:cs="Times New Roman"/>
          <w:i/>
        </w:rPr>
        <w:t>a</w:t>
      </w:r>
      <w:r w:rsidRPr="00E869A4">
        <w:rPr>
          <w:rFonts w:ascii="Times New Roman" w:eastAsia="Times New Roman" w:hAnsi="Times New Roman" w:cs="Times New Roman"/>
          <w:i/>
        </w:rPr>
        <w:t xml:space="preserve">greement </w:t>
      </w:r>
      <w:r w:rsidRPr="00E869A4">
        <w:rPr>
          <w:rFonts w:ascii="Times New Roman" w:eastAsia="Times New Roman" w:hAnsi="Times New Roman" w:cs="Times New Roman"/>
        </w:rPr>
        <w:t xml:space="preserve">with the care tasks i.e. the proposed care responsibilities of the family carer and the care expectations and requests of the older person. A congruent care dynamic refers to a situation where both the caregiver and care recipient are satisfied that the care on </w:t>
      </w:r>
      <w:r w:rsidRPr="00E869A4">
        <w:rPr>
          <w:rFonts w:ascii="Times New Roman" w:eastAsia="Times New Roman" w:hAnsi="Times New Roman" w:cs="Times New Roman"/>
        </w:rPr>
        <w:lastRenderedPageBreak/>
        <w:t>offer is suitable, and both the family caregiver and older person willingly give and receive elder care respectively. Incongruent care is the opposite and refers to a situation where the proposed care exchange does not have the agreement of both members of the care dyad. It also reflects the unwillingness of the older person to receive care from that particular relative, or, of the family member to provide care. It is important to note that in the ensuing discussion, this concept of congruity refers to what obtains at the decision making stage of a particular care experience. In practice</w:t>
      </w:r>
      <w:r w:rsidR="003C4A90" w:rsidRPr="00E869A4">
        <w:rPr>
          <w:rFonts w:ascii="Times New Roman" w:eastAsia="Times New Roman" w:hAnsi="Times New Roman" w:cs="Times New Roman"/>
        </w:rPr>
        <w:t>,</w:t>
      </w:r>
      <w:r w:rsidRPr="00E869A4">
        <w:rPr>
          <w:rFonts w:ascii="Times New Roman" w:eastAsia="Times New Roman" w:hAnsi="Times New Roman" w:cs="Times New Roman"/>
        </w:rPr>
        <w:t xml:space="preserve"> however, the degree of congruence can change once the proposed care is actually provided. In addition to the willingness or degree of congruence, another distinguishing feature of the care management strategy used was the determinability or degree of certainty or uncertainty associated with the identification and use of a particular care strategy.   </w:t>
      </w:r>
    </w:p>
    <w:p w14:paraId="28EFCE3C" w14:textId="77777777" w:rsidR="00BE7983" w:rsidRDefault="00BE7983" w:rsidP="00417B64">
      <w:pPr>
        <w:rPr>
          <w:rFonts w:ascii="Times New Roman" w:eastAsia="Times New Roman" w:hAnsi="Times New Roman" w:cs="Times New Roman"/>
        </w:rPr>
      </w:pPr>
    </w:p>
    <w:p w14:paraId="5A9A495C" w14:textId="12C78B9F"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t xml:space="preserve">The coping strategies </w:t>
      </w:r>
      <w:r w:rsidR="00BE7983">
        <w:rPr>
          <w:rFonts w:ascii="Times New Roman" w:eastAsia="Times New Roman" w:hAnsi="Times New Roman" w:cs="Times New Roman"/>
        </w:rPr>
        <w:t xml:space="preserve">that emerged in this study </w:t>
      </w:r>
      <w:r w:rsidRPr="00E869A4">
        <w:rPr>
          <w:rFonts w:ascii="Times New Roman" w:eastAsia="Times New Roman" w:hAnsi="Times New Roman" w:cs="Times New Roman"/>
        </w:rPr>
        <w:t>are highlighted within the discussion of the care manageme</w:t>
      </w:r>
      <w:r w:rsidR="000C126C" w:rsidRPr="00E869A4">
        <w:rPr>
          <w:rFonts w:ascii="Times New Roman" w:eastAsia="Times New Roman" w:hAnsi="Times New Roman" w:cs="Times New Roman"/>
        </w:rPr>
        <w:t>nt strategies as they are inter</w:t>
      </w:r>
      <w:r w:rsidRPr="00E869A4">
        <w:rPr>
          <w:rFonts w:ascii="Times New Roman" w:eastAsia="Times New Roman" w:hAnsi="Times New Roman" w:cs="Times New Roman"/>
        </w:rPr>
        <w:t>related.</w:t>
      </w:r>
      <w:r w:rsidR="00582295" w:rsidRPr="00E869A4">
        <w:rPr>
          <w:rFonts w:ascii="Times New Roman" w:eastAsia="Times New Roman" w:hAnsi="Times New Roman" w:cs="Times New Roman"/>
        </w:rPr>
        <w:t xml:space="preserve"> </w:t>
      </w:r>
      <w:r w:rsidRPr="00E869A4">
        <w:rPr>
          <w:rFonts w:ascii="Times New Roman" w:eastAsia="Times New Roman" w:hAnsi="Times New Roman" w:cs="Times New Roman"/>
        </w:rPr>
        <w:t>The chapter is organised according to care management strategies rather than coping techniques as the coping strateg</w:t>
      </w:r>
      <w:r w:rsidR="000C126C" w:rsidRPr="00E869A4">
        <w:rPr>
          <w:rFonts w:ascii="Times New Roman" w:eastAsia="Times New Roman" w:hAnsi="Times New Roman" w:cs="Times New Roman"/>
        </w:rPr>
        <w:t>ies</w:t>
      </w:r>
      <w:r w:rsidRPr="00E869A4">
        <w:rPr>
          <w:rFonts w:ascii="Times New Roman" w:eastAsia="Times New Roman" w:hAnsi="Times New Roman" w:cs="Times New Roman"/>
        </w:rPr>
        <w:t xml:space="preserve"> often transect multiple care management strategies. Thus, the discussion of the coping techniques are subsumed within the overall discussion on the care management strategies.  More specifically, the chapter is divided into three main subsections i.e. accepting, rejecting or restricting. The strategies used by older care recipients are discussed first</w:t>
      </w:r>
      <w:r w:rsidR="000C126C" w:rsidRPr="00E869A4">
        <w:rPr>
          <w:rFonts w:ascii="Times New Roman" w:eastAsia="Times New Roman" w:hAnsi="Times New Roman" w:cs="Times New Roman"/>
        </w:rPr>
        <w:t>,</w:t>
      </w:r>
      <w:r w:rsidRPr="00E869A4">
        <w:rPr>
          <w:rFonts w:ascii="Times New Roman" w:eastAsia="Times New Roman" w:hAnsi="Times New Roman" w:cs="Times New Roman"/>
        </w:rPr>
        <w:t xml:space="preserve"> followed by those used by the family caregivers. However, there are occasions when the strategies used by caregivers and older persons are discussed simultaneously </w:t>
      </w:r>
      <w:r w:rsidR="003C4A90" w:rsidRPr="00E869A4">
        <w:rPr>
          <w:rFonts w:ascii="Times New Roman" w:eastAsia="Times New Roman" w:hAnsi="Times New Roman" w:cs="Times New Roman"/>
        </w:rPr>
        <w:t>where they</w:t>
      </w:r>
      <w:r w:rsidR="00582295" w:rsidRPr="00E869A4">
        <w:rPr>
          <w:rFonts w:ascii="Times New Roman" w:eastAsia="Times New Roman" w:hAnsi="Times New Roman" w:cs="Times New Roman"/>
        </w:rPr>
        <w:t xml:space="preserve"> overlap</w:t>
      </w:r>
      <w:r w:rsidRPr="00E869A4">
        <w:rPr>
          <w:rFonts w:ascii="Times New Roman" w:eastAsia="Times New Roman" w:hAnsi="Times New Roman" w:cs="Times New Roman"/>
        </w:rPr>
        <w:t xml:space="preserve">. </w:t>
      </w:r>
    </w:p>
    <w:p w14:paraId="6BFD4674" w14:textId="77777777" w:rsidR="00744EFC" w:rsidRPr="00E869A4" w:rsidRDefault="00744EFC" w:rsidP="00417B64">
      <w:pPr>
        <w:rPr>
          <w:rFonts w:ascii="Times New Roman" w:eastAsia="Times New Roman" w:hAnsi="Times New Roman" w:cs="Times New Roman"/>
        </w:rPr>
      </w:pPr>
    </w:p>
    <w:p w14:paraId="6E84CFE4" w14:textId="74717ECB"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t xml:space="preserve">As noted in the various theoretical and conceptual approaches on coping and care management outlined in the literature review (see Chapter </w:t>
      </w:r>
      <w:r w:rsidR="00582295" w:rsidRPr="00E869A4">
        <w:rPr>
          <w:rFonts w:ascii="Times New Roman" w:eastAsia="Times New Roman" w:hAnsi="Times New Roman" w:cs="Times New Roman"/>
        </w:rPr>
        <w:t>4</w:t>
      </w:r>
      <w:r w:rsidRPr="00E869A4">
        <w:rPr>
          <w:rFonts w:ascii="Times New Roman" w:eastAsia="Times New Roman" w:hAnsi="Times New Roman" w:cs="Times New Roman"/>
        </w:rPr>
        <w:t>), access to resources is an important consideration in discussions and assessments of the strategies employed by an individual to overcome stressful and challenging circumstances. I begin this chapter by describing the resource systems that characterised the older persons represented by this sample of respondent</w:t>
      </w:r>
      <w:r w:rsidR="000C126C" w:rsidRPr="00E869A4">
        <w:rPr>
          <w:rFonts w:ascii="Times New Roman" w:eastAsia="Times New Roman" w:hAnsi="Times New Roman" w:cs="Times New Roman"/>
        </w:rPr>
        <w:t>s. I then describe the coping/</w:t>
      </w:r>
      <w:r w:rsidRPr="00E869A4">
        <w:rPr>
          <w:rFonts w:ascii="Times New Roman" w:eastAsia="Times New Roman" w:hAnsi="Times New Roman" w:cs="Times New Roman"/>
        </w:rPr>
        <w:t xml:space="preserve">care management strategies of </w:t>
      </w:r>
      <w:r w:rsidR="009E2738" w:rsidRPr="00E869A4">
        <w:rPr>
          <w:rFonts w:ascii="Times New Roman" w:eastAsia="Times New Roman" w:hAnsi="Times New Roman" w:cs="Times New Roman"/>
        </w:rPr>
        <w:t>care recipient</w:t>
      </w:r>
      <w:r w:rsidRPr="00E869A4">
        <w:rPr>
          <w:rFonts w:ascii="Times New Roman" w:eastAsia="Times New Roman" w:hAnsi="Times New Roman" w:cs="Times New Roman"/>
        </w:rPr>
        <w:t xml:space="preserve">s, followed by a description of those used by family caregivers. </w:t>
      </w:r>
    </w:p>
    <w:p w14:paraId="7828527D" w14:textId="77777777" w:rsidR="00744EFC" w:rsidRPr="00E869A4" w:rsidRDefault="00744EFC" w:rsidP="00417B64">
      <w:pPr>
        <w:pBdr>
          <w:top w:val="nil"/>
          <w:left w:val="nil"/>
          <w:bottom w:val="nil"/>
          <w:right w:val="nil"/>
          <w:between w:val="nil"/>
        </w:pBdr>
        <w:spacing w:line="240" w:lineRule="auto"/>
        <w:rPr>
          <w:rFonts w:ascii="Times New Roman" w:eastAsia="Times New Roman" w:hAnsi="Times New Roman" w:cs="Times New Roman"/>
          <w:b/>
          <w:u w:val="single"/>
        </w:rPr>
      </w:pPr>
      <w:bookmarkStart w:id="330" w:name="_gjdgxs" w:colFirst="0" w:colLast="0"/>
      <w:bookmarkEnd w:id="330"/>
    </w:p>
    <w:p w14:paraId="3DF17E92" w14:textId="77777777" w:rsidR="00744EFC" w:rsidRPr="00E869A4" w:rsidRDefault="00744EFC" w:rsidP="00417B64">
      <w:pPr>
        <w:pBdr>
          <w:top w:val="nil"/>
          <w:left w:val="nil"/>
          <w:bottom w:val="nil"/>
          <w:right w:val="nil"/>
          <w:between w:val="nil"/>
        </w:pBdr>
        <w:spacing w:line="240" w:lineRule="auto"/>
        <w:rPr>
          <w:rFonts w:ascii="Times New Roman" w:eastAsia="Times New Roman" w:hAnsi="Times New Roman" w:cs="Times New Roman"/>
          <w:b/>
          <w:u w:val="single"/>
        </w:rPr>
      </w:pPr>
    </w:p>
    <w:p w14:paraId="0B665C4C" w14:textId="411A3638" w:rsidR="00744EFC" w:rsidRPr="00E869A4" w:rsidRDefault="00463753" w:rsidP="00417B64">
      <w:pPr>
        <w:pStyle w:val="Heading2"/>
        <w:rPr>
          <w:rFonts w:eastAsia="Times New Roman"/>
        </w:rPr>
      </w:pPr>
      <w:bookmarkStart w:id="331" w:name="_Toc40436553"/>
      <w:r w:rsidRPr="00E869A4">
        <w:rPr>
          <w:rFonts w:eastAsia="Times New Roman"/>
        </w:rPr>
        <w:t>8</w:t>
      </w:r>
      <w:r w:rsidR="00744EFC" w:rsidRPr="00E869A4">
        <w:rPr>
          <w:rFonts w:eastAsia="Times New Roman"/>
        </w:rPr>
        <w:t>.2 CARE RESOURCE SYSTEMS OF OLDER PERSONS</w:t>
      </w:r>
      <w:bookmarkEnd w:id="331"/>
    </w:p>
    <w:p w14:paraId="70EF767F" w14:textId="77777777" w:rsidR="00744EFC" w:rsidRPr="00E869A4" w:rsidRDefault="00744EFC" w:rsidP="00417B64">
      <w:pPr>
        <w:rPr>
          <w:rFonts w:ascii="Times New Roman" w:eastAsia="Times New Roman" w:hAnsi="Times New Roman" w:cs="Times New Roman"/>
          <w:b/>
          <w:smallCaps/>
          <w:u w:val="single"/>
        </w:rPr>
      </w:pPr>
    </w:p>
    <w:p w14:paraId="32DE39AB" w14:textId="01A21DC8"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t xml:space="preserve">In order to assess how structural factors such as socio-economic background affected the care management strategies used by participants, the older cared-for persons were classified into three types of </w:t>
      </w:r>
      <w:r w:rsidRPr="00E869A4">
        <w:rPr>
          <w:rFonts w:ascii="Times New Roman" w:eastAsia="Times New Roman" w:hAnsi="Times New Roman" w:cs="Times New Roman"/>
        </w:rPr>
        <w:lastRenderedPageBreak/>
        <w:t>care resource systems: under-resourced, moderately-resourced and highly-resourced.</w:t>
      </w:r>
      <w:r w:rsidR="00582295" w:rsidRPr="00E869A4">
        <w:rPr>
          <w:rFonts w:ascii="Times New Roman" w:eastAsia="Times New Roman" w:hAnsi="Times New Roman" w:cs="Times New Roman"/>
        </w:rPr>
        <w:t xml:space="preserve"> </w:t>
      </w:r>
      <w:r w:rsidRPr="00E869A4">
        <w:rPr>
          <w:rFonts w:ascii="Times New Roman" w:eastAsia="Times New Roman" w:hAnsi="Times New Roman" w:cs="Times New Roman"/>
        </w:rPr>
        <w:t>Five main factors emerged from the data that were used to distinguish between these types of care resource systems: 1) housing, which in</w:t>
      </w:r>
      <w:r w:rsidR="000C126C" w:rsidRPr="00E869A4">
        <w:rPr>
          <w:rFonts w:ascii="Times New Roman" w:eastAsia="Times New Roman" w:hAnsi="Times New Roman" w:cs="Times New Roman"/>
        </w:rPr>
        <w:t xml:space="preserve">cludes consideration of home </w:t>
      </w:r>
      <w:r w:rsidR="00582295" w:rsidRPr="00E869A4">
        <w:rPr>
          <w:rFonts w:ascii="Times New Roman" w:eastAsia="Times New Roman" w:hAnsi="Times New Roman" w:cs="Times New Roman"/>
        </w:rPr>
        <w:t xml:space="preserve">ownership, </w:t>
      </w:r>
      <w:r w:rsidRPr="00E869A4">
        <w:rPr>
          <w:rFonts w:ascii="Times New Roman" w:eastAsia="Times New Roman" w:hAnsi="Times New Roman" w:cs="Times New Roman"/>
        </w:rPr>
        <w:t>area of residence</w:t>
      </w:r>
      <w:r w:rsidR="00582295"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 quality of housing; 2) ability to afford private hospitalisation; 3) whether or not they had access to multiple sources of income; 4) access to transport; and</w:t>
      </w:r>
      <w:r w:rsidR="00582295" w:rsidRPr="00E869A4">
        <w:rPr>
          <w:rFonts w:ascii="Times New Roman" w:eastAsia="Times New Roman" w:hAnsi="Times New Roman" w:cs="Times New Roman"/>
        </w:rPr>
        <w:t>,</w:t>
      </w:r>
      <w:r w:rsidRPr="00E869A4">
        <w:rPr>
          <w:rFonts w:ascii="Times New Roman" w:eastAsia="Times New Roman" w:hAnsi="Times New Roman" w:cs="Times New Roman"/>
        </w:rPr>
        <w:t xml:space="preserve"> 5) social support network. Using these indic</w:t>
      </w:r>
      <w:r w:rsidR="000E358E" w:rsidRPr="00E869A4">
        <w:rPr>
          <w:rFonts w:ascii="Times New Roman" w:eastAsia="Times New Roman" w:hAnsi="Times New Roman" w:cs="Times New Roman"/>
        </w:rPr>
        <w:t>a</w:t>
      </w:r>
      <w:r w:rsidRPr="00E869A4">
        <w:rPr>
          <w:rFonts w:ascii="Times New Roman" w:eastAsia="Times New Roman" w:hAnsi="Times New Roman" w:cs="Times New Roman"/>
        </w:rPr>
        <w:t>tors, older participants were classified as being members of one of the three types of resource systems (see Table 1</w:t>
      </w:r>
      <w:r w:rsidR="00CC0283" w:rsidRPr="00E869A4">
        <w:rPr>
          <w:rFonts w:ascii="Times New Roman" w:eastAsia="Times New Roman" w:hAnsi="Times New Roman" w:cs="Times New Roman"/>
        </w:rPr>
        <w:t>7</w:t>
      </w:r>
      <w:r w:rsidRPr="00E869A4">
        <w:rPr>
          <w:rFonts w:ascii="Times New Roman" w:eastAsia="Times New Roman" w:hAnsi="Times New Roman" w:cs="Times New Roman"/>
        </w:rPr>
        <w:t xml:space="preserve"> below). The caregivers were not classified as such, but were considered as contributing to the resources of the older person</w:t>
      </w:r>
      <w:r w:rsidR="000E358E" w:rsidRPr="00E869A4">
        <w:rPr>
          <w:rFonts w:ascii="Times New Roman" w:eastAsia="Times New Roman" w:hAnsi="Times New Roman" w:cs="Times New Roman"/>
        </w:rPr>
        <w:t>,</w:t>
      </w:r>
      <w:r w:rsidRPr="00E869A4">
        <w:rPr>
          <w:rFonts w:ascii="Times New Roman" w:eastAsia="Times New Roman" w:hAnsi="Times New Roman" w:cs="Times New Roman"/>
        </w:rPr>
        <w:t xml:space="preserve"> i.e. as a key feature of the resource system of the older person. </w:t>
      </w:r>
    </w:p>
    <w:p w14:paraId="125718B6" w14:textId="77777777" w:rsidR="00744EFC" w:rsidRPr="00E869A4" w:rsidRDefault="00744EFC" w:rsidP="00417B64">
      <w:pPr>
        <w:rPr>
          <w:rFonts w:ascii="Times New Roman" w:eastAsia="Times New Roman" w:hAnsi="Times New Roman" w:cs="Times New Roman"/>
        </w:rPr>
      </w:pPr>
    </w:p>
    <w:p w14:paraId="325BAB73" w14:textId="175E0D4F" w:rsidR="00744EFC" w:rsidRPr="00E869A4" w:rsidRDefault="00463753" w:rsidP="00417B64">
      <w:pPr>
        <w:pStyle w:val="Heading3"/>
        <w:rPr>
          <w:rFonts w:eastAsia="Times New Roman"/>
        </w:rPr>
      </w:pPr>
      <w:bookmarkStart w:id="332" w:name="_Toc40436554"/>
      <w:r w:rsidRPr="00E869A4">
        <w:rPr>
          <w:rFonts w:eastAsia="Times New Roman"/>
        </w:rPr>
        <w:t>8</w:t>
      </w:r>
      <w:r w:rsidR="00744EFC" w:rsidRPr="00E869A4">
        <w:rPr>
          <w:rFonts w:eastAsia="Times New Roman"/>
        </w:rPr>
        <w:t>.2.</w:t>
      </w:r>
      <w:r w:rsidR="00532407" w:rsidRPr="00E869A4">
        <w:rPr>
          <w:rFonts w:eastAsia="Times New Roman"/>
        </w:rPr>
        <w:t>1</w:t>
      </w:r>
      <w:r w:rsidR="00D03C01" w:rsidRPr="00E869A4">
        <w:t xml:space="preserve">     </w:t>
      </w:r>
      <w:r w:rsidR="00744EFC" w:rsidRPr="00E869A4">
        <w:rPr>
          <w:rFonts w:eastAsia="Times New Roman"/>
        </w:rPr>
        <w:t>Housing</w:t>
      </w:r>
      <w:bookmarkEnd w:id="332"/>
    </w:p>
    <w:p w14:paraId="01CD3080" w14:textId="77777777" w:rsidR="00744EFC" w:rsidRPr="00E869A4" w:rsidRDefault="00744EFC" w:rsidP="00417B64">
      <w:pPr>
        <w:rPr>
          <w:rFonts w:ascii="Times New Roman" w:eastAsia="Times New Roman" w:hAnsi="Times New Roman" w:cs="Times New Roman"/>
          <w:i/>
        </w:rPr>
      </w:pPr>
    </w:p>
    <w:p w14:paraId="411F8E8A" w14:textId="6356BE4C" w:rsidR="00744EFC" w:rsidRPr="00E869A4" w:rsidRDefault="000C126C" w:rsidP="00417B64">
      <w:pPr>
        <w:rPr>
          <w:rFonts w:ascii="Times New Roman" w:eastAsia="Times New Roman" w:hAnsi="Times New Roman" w:cs="Times New Roman"/>
        </w:rPr>
      </w:pPr>
      <w:r w:rsidRPr="00E869A4">
        <w:rPr>
          <w:rFonts w:ascii="Times New Roman" w:eastAsia="Times New Roman" w:hAnsi="Times New Roman" w:cs="Times New Roman"/>
        </w:rPr>
        <w:t xml:space="preserve">Home </w:t>
      </w:r>
      <w:r w:rsidR="00744EFC" w:rsidRPr="00E869A4">
        <w:rPr>
          <w:rFonts w:ascii="Times New Roman" w:eastAsia="Times New Roman" w:hAnsi="Times New Roman" w:cs="Times New Roman"/>
        </w:rPr>
        <w:t xml:space="preserve">ownership appeared as a main factor that </w:t>
      </w:r>
      <w:r w:rsidR="00804C59" w:rsidRPr="00E869A4">
        <w:rPr>
          <w:rFonts w:ascii="Times New Roman" w:eastAsia="Times New Roman" w:hAnsi="Times New Roman" w:cs="Times New Roman"/>
        </w:rPr>
        <w:t>affected</w:t>
      </w:r>
      <w:r w:rsidR="00744EFC" w:rsidRPr="00E869A4">
        <w:rPr>
          <w:rFonts w:ascii="Times New Roman" w:eastAsia="Times New Roman" w:hAnsi="Times New Roman" w:cs="Times New Roman"/>
        </w:rPr>
        <w:t xml:space="preserve"> the quality of life of the older participants. As noted in the previous sections on determinants and perceptions of care, some participants like Uncle Wilton were able to use their position as homeowners to negotiate the terms for family care provision. This is consistent with the findings of Caribbean researchers such as Rawlin</w:t>
      </w:r>
      <w:r w:rsidRPr="00E869A4">
        <w:rPr>
          <w:rFonts w:ascii="Times New Roman" w:eastAsia="Times New Roman" w:hAnsi="Times New Roman" w:cs="Times New Roman"/>
        </w:rPr>
        <w:t xml:space="preserve">s (2014) who observed that home </w:t>
      </w:r>
      <w:r w:rsidR="00744EFC" w:rsidRPr="00E869A4">
        <w:rPr>
          <w:rFonts w:ascii="Times New Roman" w:eastAsia="Times New Roman" w:hAnsi="Times New Roman" w:cs="Times New Roman"/>
        </w:rPr>
        <w:t xml:space="preserve">ownership was an important asset that older persons used to leverage the conditions of their care, and generate additional income as </w:t>
      </w:r>
      <w:r w:rsidR="001F4E4D" w:rsidRPr="00E869A4">
        <w:rPr>
          <w:rFonts w:ascii="Times New Roman" w:eastAsia="Times New Roman" w:hAnsi="Times New Roman" w:cs="Times New Roman"/>
        </w:rPr>
        <w:t xml:space="preserve">their </w:t>
      </w:r>
      <w:r w:rsidR="00744EFC" w:rsidRPr="00E869A4">
        <w:rPr>
          <w:rFonts w:ascii="Times New Roman" w:eastAsia="Times New Roman" w:hAnsi="Times New Roman" w:cs="Times New Roman"/>
        </w:rPr>
        <w:t xml:space="preserve">property could be rented. Both Ms. Kumar and Uncle Wilton rented part of the property they owned for this purpose. Ms. Kumar was categorised as </w:t>
      </w:r>
      <w:r w:rsidR="00744EFC" w:rsidRPr="00E869A4">
        <w:rPr>
          <w:rFonts w:ascii="Times New Roman" w:eastAsia="Times New Roman" w:hAnsi="Times New Roman" w:cs="Times New Roman"/>
          <w:i/>
        </w:rPr>
        <w:t>well-resourced</w:t>
      </w:r>
      <w:r w:rsidR="00744EFC" w:rsidRPr="00E869A4">
        <w:rPr>
          <w:rFonts w:ascii="Times New Roman" w:eastAsia="Times New Roman" w:hAnsi="Times New Roman" w:cs="Times New Roman"/>
        </w:rPr>
        <w:t xml:space="preserve"> as she lived in an upper middle class area</w:t>
      </w:r>
      <w:r w:rsidR="003B65A3"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while Uncle Wilton was described as </w:t>
      </w:r>
      <w:r w:rsidR="00744EFC" w:rsidRPr="00E869A4">
        <w:rPr>
          <w:rFonts w:ascii="Times New Roman" w:eastAsia="Times New Roman" w:hAnsi="Times New Roman" w:cs="Times New Roman"/>
          <w:i/>
        </w:rPr>
        <w:t>moderately</w:t>
      </w:r>
      <w:r w:rsidR="00C761BC" w:rsidRPr="00E869A4">
        <w:rPr>
          <w:rFonts w:ascii="Times New Roman" w:eastAsia="Times New Roman" w:hAnsi="Times New Roman" w:cs="Times New Roman"/>
          <w:i/>
        </w:rPr>
        <w:t>-</w:t>
      </w:r>
      <w:r w:rsidR="00744EFC" w:rsidRPr="00E869A4">
        <w:rPr>
          <w:rFonts w:ascii="Times New Roman" w:eastAsia="Times New Roman" w:hAnsi="Times New Roman" w:cs="Times New Roman"/>
          <w:i/>
        </w:rPr>
        <w:t xml:space="preserve">resourced </w:t>
      </w:r>
      <w:r w:rsidR="00744EFC" w:rsidRPr="00E869A4">
        <w:rPr>
          <w:rFonts w:ascii="Times New Roman" w:eastAsia="Times New Roman" w:hAnsi="Times New Roman" w:cs="Times New Roman"/>
        </w:rPr>
        <w:t>because he owned more than one property, but lived in a lower-income community.  He</w:t>
      </w:r>
      <w:r w:rsidR="000E358E"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however</w:t>
      </w:r>
      <w:r w:rsidR="000E358E"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had a better housing situation than Tanty Edna. Tanty Edna was a landlady </w:t>
      </w:r>
      <w:r w:rsidR="003B65A3" w:rsidRPr="00E869A4">
        <w:rPr>
          <w:rFonts w:ascii="Times New Roman" w:eastAsia="Times New Roman" w:hAnsi="Times New Roman" w:cs="Times New Roman"/>
        </w:rPr>
        <w:t>but</w:t>
      </w:r>
      <w:r w:rsidR="00744EFC" w:rsidRPr="00E869A4">
        <w:rPr>
          <w:rFonts w:ascii="Times New Roman" w:eastAsia="Times New Roman" w:hAnsi="Times New Roman" w:cs="Times New Roman"/>
        </w:rPr>
        <w:t xml:space="preserve"> she was still paying the mortgage on her </w:t>
      </w:r>
      <w:r w:rsidR="003B65A3" w:rsidRPr="00E869A4">
        <w:rPr>
          <w:rFonts w:ascii="Times New Roman" w:eastAsia="Times New Roman" w:hAnsi="Times New Roman" w:cs="Times New Roman"/>
        </w:rPr>
        <w:t>house, which</w:t>
      </w:r>
      <w:r w:rsidR="00744EFC" w:rsidRPr="00E869A4">
        <w:rPr>
          <w:rFonts w:ascii="Times New Roman" w:eastAsia="Times New Roman" w:hAnsi="Times New Roman" w:cs="Times New Roman"/>
        </w:rPr>
        <w:t xml:space="preserve"> was causing her great concern. The roof of her hous</w:t>
      </w:r>
      <w:r w:rsidR="003B65A3" w:rsidRPr="00E869A4">
        <w:rPr>
          <w:rFonts w:ascii="Times New Roman" w:eastAsia="Times New Roman" w:hAnsi="Times New Roman" w:cs="Times New Roman"/>
        </w:rPr>
        <w:t>e needed to be repaired, and she</w:t>
      </w:r>
      <w:r w:rsidR="00744EFC" w:rsidRPr="00E869A4">
        <w:rPr>
          <w:rFonts w:ascii="Times New Roman" w:eastAsia="Times New Roman" w:hAnsi="Times New Roman" w:cs="Times New Roman"/>
        </w:rPr>
        <w:t xml:space="preserve"> worried about whether she would be able to meet the financial costs </w:t>
      </w:r>
      <w:r w:rsidRPr="00E869A4">
        <w:rPr>
          <w:rFonts w:ascii="Times New Roman" w:eastAsia="Times New Roman" w:hAnsi="Times New Roman" w:cs="Times New Roman"/>
        </w:rPr>
        <w:t>of fixing</w:t>
      </w:r>
      <w:r w:rsidR="00744EFC" w:rsidRPr="00E869A4">
        <w:rPr>
          <w:rFonts w:ascii="Times New Roman" w:eastAsia="Times New Roman" w:hAnsi="Times New Roman" w:cs="Times New Roman"/>
        </w:rPr>
        <w:t xml:space="preserve"> the leaks. Given this, Tanty Edna was categorised as under-resourced. </w:t>
      </w:r>
    </w:p>
    <w:p w14:paraId="72AC08B0" w14:textId="77777777" w:rsidR="00744EFC" w:rsidRPr="00E869A4" w:rsidRDefault="00744EFC" w:rsidP="00417B64">
      <w:pPr>
        <w:rPr>
          <w:rFonts w:ascii="Times New Roman" w:eastAsia="Times New Roman" w:hAnsi="Times New Roman" w:cs="Times New Roman"/>
        </w:rPr>
      </w:pPr>
    </w:p>
    <w:p w14:paraId="4CD64FDB" w14:textId="5CDBE514"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t xml:space="preserve">Mr. Sanchez was </w:t>
      </w:r>
      <w:r w:rsidR="003B65A3" w:rsidRPr="00E869A4">
        <w:rPr>
          <w:rFonts w:ascii="Times New Roman" w:eastAsia="Times New Roman" w:hAnsi="Times New Roman" w:cs="Times New Roman"/>
        </w:rPr>
        <w:t xml:space="preserve">categorised as </w:t>
      </w:r>
      <w:r w:rsidR="003B65A3" w:rsidRPr="00E869A4">
        <w:rPr>
          <w:rFonts w:ascii="Times New Roman" w:eastAsia="Times New Roman" w:hAnsi="Times New Roman" w:cs="Times New Roman"/>
          <w:i/>
        </w:rPr>
        <w:t>under-</w:t>
      </w:r>
      <w:r w:rsidRPr="00E869A4">
        <w:rPr>
          <w:rFonts w:ascii="Times New Roman" w:eastAsia="Times New Roman" w:hAnsi="Times New Roman" w:cs="Times New Roman"/>
          <w:i/>
        </w:rPr>
        <w:t>resourced</w:t>
      </w:r>
      <w:r w:rsidRPr="00E869A4">
        <w:rPr>
          <w:rFonts w:ascii="Times New Roman" w:eastAsia="Times New Roman" w:hAnsi="Times New Roman" w:cs="Times New Roman"/>
        </w:rPr>
        <w:t xml:space="preserve"> on this </w:t>
      </w:r>
      <w:r w:rsidR="00C761BC" w:rsidRPr="00E869A4">
        <w:rPr>
          <w:rFonts w:ascii="Times New Roman" w:eastAsia="Times New Roman" w:hAnsi="Times New Roman" w:cs="Times New Roman"/>
        </w:rPr>
        <w:t>front</w:t>
      </w:r>
      <w:r w:rsidR="003B65A3" w:rsidRPr="00E869A4">
        <w:rPr>
          <w:rFonts w:ascii="Times New Roman" w:eastAsia="Times New Roman" w:hAnsi="Times New Roman" w:cs="Times New Roman"/>
        </w:rPr>
        <w:t>,</w:t>
      </w:r>
      <w:r w:rsidRPr="00E869A4">
        <w:rPr>
          <w:rFonts w:ascii="Times New Roman" w:eastAsia="Times New Roman" w:hAnsi="Times New Roman" w:cs="Times New Roman"/>
        </w:rPr>
        <w:t xml:space="preserve"> as his home had significant structural weaknesses. The floor was broken, the roof leaked, and there were stairs that restricted his ability as a double amputee to get in and out of his home </w:t>
      </w:r>
      <w:r w:rsidR="003B65A3" w:rsidRPr="00E869A4">
        <w:rPr>
          <w:rFonts w:ascii="Times New Roman" w:eastAsia="Times New Roman" w:hAnsi="Times New Roman" w:cs="Times New Roman"/>
        </w:rPr>
        <w:t>or use his wheelchair</w:t>
      </w:r>
      <w:r w:rsidRPr="00E869A4">
        <w:rPr>
          <w:rFonts w:ascii="Times New Roman" w:eastAsia="Times New Roman" w:hAnsi="Times New Roman" w:cs="Times New Roman"/>
        </w:rPr>
        <w:t xml:space="preserve">. Furthermore, Mr. Sanchez did not own his home: it was a family property owned by him and his siblings. </w:t>
      </w:r>
      <w:r w:rsidR="000E358E" w:rsidRPr="00E869A4">
        <w:rPr>
          <w:rFonts w:ascii="Times New Roman" w:eastAsia="Times New Roman" w:hAnsi="Times New Roman" w:cs="Times New Roman"/>
        </w:rPr>
        <w:t>H</w:t>
      </w:r>
      <w:r w:rsidRPr="00E869A4">
        <w:rPr>
          <w:rFonts w:ascii="Times New Roman" w:eastAsia="Times New Roman" w:hAnsi="Times New Roman" w:cs="Times New Roman"/>
        </w:rPr>
        <w:t xml:space="preserve">e could not </w:t>
      </w:r>
      <w:r w:rsidR="000E358E" w:rsidRPr="00E869A4">
        <w:rPr>
          <w:rFonts w:ascii="Times New Roman" w:eastAsia="Times New Roman" w:hAnsi="Times New Roman" w:cs="Times New Roman"/>
        </w:rPr>
        <w:t xml:space="preserve">as such </w:t>
      </w:r>
      <w:r w:rsidRPr="00E869A4">
        <w:rPr>
          <w:rFonts w:ascii="Times New Roman" w:eastAsia="Times New Roman" w:hAnsi="Times New Roman" w:cs="Times New Roman"/>
        </w:rPr>
        <w:t>transfer the property to his wife</w:t>
      </w:r>
      <w:r w:rsidR="000C126C" w:rsidRPr="00E869A4">
        <w:rPr>
          <w:rFonts w:ascii="Times New Roman" w:eastAsia="Times New Roman" w:hAnsi="Times New Roman" w:cs="Times New Roman"/>
        </w:rPr>
        <w:t>, who</w:t>
      </w:r>
      <w:r w:rsidRPr="00E869A4">
        <w:rPr>
          <w:rFonts w:ascii="Times New Roman" w:eastAsia="Times New Roman" w:hAnsi="Times New Roman" w:cs="Times New Roman"/>
        </w:rPr>
        <w:t xml:space="preserve"> was very anxious about this situation</w:t>
      </w:r>
      <w:r w:rsidR="00B2381A"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 feared that she would have nowhere to live if her husband (who was about 30 years older than </w:t>
      </w:r>
      <w:r w:rsidR="00B2381A" w:rsidRPr="00E869A4">
        <w:rPr>
          <w:rFonts w:ascii="Times New Roman" w:eastAsia="Times New Roman" w:hAnsi="Times New Roman" w:cs="Times New Roman"/>
        </w:rPr>
        <w:t>she was</w:t>
      </w:r>
      <w:r w:rsidRPr="00E869A4">
        <w:rPr>
          <w:rFonts w:ascii="Times New Roman" w:eastAsia="Times New Roman" w:hAnsi="Times New Roman" w:cs="Times New Roman"/>
        </w:rPr>
        <w:t xml:space="preserve">) died before she did.  </w:t>
      </w:r>
    </w:p>
    <w:p w14:paraId="428C1F9F" w14:textId="19014D04" w:rsidR="00744EFC" w:rsidRPr="00E869A4" w:rsidRDefault="00744EFC" w:rsidP="00417B64">
      <w:pPr>
        <w:rPr>
          <w:rFonts w:ascii="Times New Roman" w:eastAsia="Times New Roman" w:hAnsi="Times New Roman" w:cs="Times New Roman"/>
        </w:rPr>
      </w:pPr>
      <w:r w:rsidRPr="00E869A4">
        <w:rPr>
          <w:rFonts w:ascii="Times New Roman" w:eastAsia="Times New Roman" w:hAnsi="Times New Roman" w:cs="Times New Roman"/>
        </w:rPr>
        <w:lastRenderedPageBreak/>
        <w:t>Area of residence was also reflective of the socio-economic background of the older person. Persons from middle-income communities such as Ms. Kumar and Mother Freeda seemed to have access to substantially more options for care management than participants such as Tanty Edna who lived in an ar</w:t>
      </w:r>
      <w:r w:rsidR="00813C54" w:rsidRPr="00E869A4">
        <w:rPr>
          <w:rFonts w:ascii="Times New Roman" w:eastAsia="Times New Roman" w:hAnsi="Times New Roman" w:cs="Times New Roman"/>
        </w:rPr>
        <w:t xml:space="preserve">ea that was considered to be a </w:t>
      </w:r>
      <w:r w:rsidRPr="00E869A4">
        <w:rPr>
          <w:rFonts w:ascii="Times New Roman" w:eastAsia="Times New Roman" w:hAnsi="Times New Roman" w:cs="Times New Roman"/>
        </w:rPr>
        <w:t>lower-income community in Trinidad.</w:t>
      </w:r>
    </w:p>
    <w:p w14:paraId="14A5DCF9" w14:textId="77777777" w:rsidR="00744EFC" w:rsidRPr="00E869A4" w:rsidRDefault="00744EFC" w:rsidP="00417B64">
      <w:pPr>
        <w:rPr>
          <w:rFonts w:ascii="Times New Roman" w:eastAsia="Times New Roman" w:hAnsi="Times New Roman" w:cs="Times New Roman"/>
        </w:rPr>
      </w:pPr>
    </w:p>
    <w:p w14:paraId="3795C86F" w14:textId="16494039" w:rsidR="00744EFC" w:rsidRPr="00E869A4" w:rsidRDefault="00463753" w:rsidP="005C449C">
      <w:pPr>
        <w:pStyle w:val="Heading3"/>
        <w:rPr>
          <w:rFonts w:eastAsia="Times New Roman"/>
        </w:rPr>
      </w:pPr>
      <w:bookmarkStart w:id="333" w:name="_Toc40436555"/>
      <w:r w:rsidRPr="00E869A4">
        <w:rPr>
          <w:rFonts w:eastAsia="Times New Roman"/>
        </w:rPr>
        <w:t>8</w:t>
      </w:r>
      <w:r w:rsidR="00744EFC" w:rsidRPr="00E869A4">
        <w:rPr>
          <w:rFonts w:eastAsia="Times New Roman"/>
        </w:rPr>
        <w:t>.2.2</w:t>
      </w:r>
      <w:r w:rsidR="00744EFC" w:rsidRPr="00E869A4">
        <w:t xml:space="preserve">     </w:t>
      </w:r>
      <w:r w:rsidR="00744EFC" w:rsidRPr="00E869A4">
        <w:rPr>
          <w:rFonts w:eastAsia="Times New Roman"/>
        </w:rPr>
        <w:t>Private Hospitalisation</w:t>
      </w:r>
      <w:bookmarkEnd w:id="333"/>
    </w:p>
    <w:p w14:paraId="0837297D" w14:textId="77777777" w:rsidR="00744EFC" w:rsidRPr="00E869A4" w:rsidRDefault="00744EFC" w:rsidP="00744EFC">
      <w:pPr>
        <w:rPr>
          <w:rFonts w:ascii="Times New Roman" w:eastAsia="Times New Roman" w:hAnsi="Times New Roman" w:cs="Times New Roman"/>
        </w:rPr>
      </w:pPr>
    </w:p>
    <w:p w14:paraId="473F47BF" w14:textId="435D3009"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Since all the older participants used a mix of private and public health care, this could not be used as a main factor to distinguish between persons from lower, middle and upper-income groups. As noted in the background to this study, ‘free’ public health care is available to the citizens of </w:t>
      </w:r>
      <w:r w:rsidR="008C76CE" w:rsidRPr="00E869A4">
        <w:rPr>
          <w:rFonts w:ascii="Times New Roman" w:eastAsiaTheme="majorEastAsia" w:hAnsi="Times New Roman" w:cs="Times New Roman"/>
          <w:bCs/>
          <w:szCs w:val="26"/>
        </w:rPr>
        <w:t>T&amp;T</w:t>
      </w:r>
      <w:r w:rsidRPr="00E869A4">
        <w:rPr>
          <w:rFonts w:ascii="Times New Roman" w:eastAsia="Times New Roman" w:hAnsi="Times New Roman" w:cs="Times New Roman"/>
        </w:rPr>
        <w:t>, but many persons also make use of the private health care system</w:t>
      </w:r>
      <w:r w:rsidR="00C761BC" w:rsidRPr="00E869A4">
        <w:rPr>
          <w:rFonts w:ascii="Times New Roman" w:eastAsia="Times New Roman" w:hAnsi="Times New Roman" w:cs="Times New Roman"/>
        </w:rPr>
        <w:t>,</w:t>
      </w:r>
      <w:r w:rsidRPr="00E869A4">
        <w:rPr>
          <w:rFonts w:ascii="Times New Roman" w:eastAsia="Times New Roman" w:hAnsi="Times New Roman" w:cs="Times New Roman"/>
        </w:rPr>
        <w:t xml:space="preserve"> given the shorter waiting times and perceived difference in quality of care. At times, public health care institutions refer patients to private facilities for services such as medical tests that they are unable to provide. Thus, a stronger indicator of the older participant’s resource system was </w:t>
      </w:r>
      <w:r w:rsidR="00E65866" w:rsidRPr="00E869A4">
        <w:rPr>
          <w:rFonts w:ascii="Times New Roman" w:eastAsia="Times New Roman" w:hAnsi="Times New Roman" w:cs="Times New Roman"/>
        </w:rPr>
        <w:t>whether</w:t>
      </w:r>
      <w:r w:rsidRPr="00E869A4">
        <w:rPr>
          <w:rFonts w:ascii="Times New Roman" w:eastAsia="Times New Roman" w:hAnsi="Times New Roman" w:cs="Times New Roman"/>
        </w:rPr>
        <w:t xml:space="preserve"> an individual could afford to be hospitalised or receive surgery in a </w:t>
      </w:r>
      <w:r w:rsidR="00813C54" w:rsidRPr="00E869A4">
        <w:rPr>
          <w:rFonts w:ascii="Times New Roman" w:eastAsia="Times New Roman" w:hAnsi="Times New Roman" w:cs="Times New Roman"/>
        </w:rPr>
        <w:t xml:space="preserve">private institution, as </w:t>
      </w:r>
      <w:r w:rsidR="00C761BC" w:rsidRPr="00E869A4">
        <w:rPr>
          <w:rFonts w:ascii="Times New Roman" w:eastAsia="Times New Roman" w:hAnsi="Times New Roman" w:cs="Times New Roman"/>
        </w:rPr>
        <w:t>such</w:t>
      </w:r>
      <w:r w:rsidR="00E65866" w:rsidRPr="00E869A4">
        <w:rPr>
          <w:rFonts w:ascii="Times New Roman" w:eastAsia="Times New Roman" w:hAnsi="Times New Roman" w:cs="Times New Roman"/>
        </w:rPr>
        <w:t xml:space="preserve"> high-end </w:t>
      </w:r>
      <w:r w:rsidR="00813C54" w:rsidRPr="00E869A4">
        <w:rPr>
          <w:rFonts w:ascii="Times New Roman" w:eastAsia="Times New Roman" w:hAnsi="Times New Roman" w:cs="Times New Roman"/>
        </w:rPr>
        <w:t xml:space="preserve">private </w:t>
      </w:r>
      <w:r w:rsidRPr="00E869A4">
        <w:rPr>
          <w:rFonts w:ascii="Times New Roman" w:eastAsia="Times New Roman" w:hAnsi="Times New Roman" w:cs="Times New Roman"/>
        </w:rPr>
        <w:t xml:space="preserve">hospital care was particularly costly and </w:t>
      </w:r>
      <w:r w:rsidR="00C761BC" w:rsidRPr="00E869A4">
        <w:rPr>
          <w:rFonts w:ascii="Times New Roman" w:eastAsia="Times New Roman" w:hAnsi="Times New Roman" w:cs="Times New Roman"/>
        </w:rPr>
        <w:t>could mainly be accessed by</w:t>
      </w:r>
      <w:r w:rsidRPr="00E869A4">
        <w:rPr>
          <w:rFonts w:ascii="Times New Roman" w:eastAsia="Times New Roman" w:hAnsi="Times New Roman" w:cs="Times New Roman"/>
        </w:rPr>
        <w:t xml:space="preserve"> persons from midd</w:t>
      </w:r>
      <w:r w:rsidR="00E65866" w:rsidRPr="00E869A4">
        <w:rPr>
          <w:rFonts w:ascii="Times New Roman" w:eastAsia="Times New Roman" w:hAnsi="Times New Roman" w:cs="Times New Roman"/>
        </w:rPr>
        <w:t>le and upper income backgrounds</w:t>
      </w:r>
      <w:r w:rsidRPr="00E869A4">
        <w:rPr>
          <w:rFonts w:ascii="Times New Roman" w:eastAsia="Times New Roman" w:hAnsi="Times New Roman" w:cs="Times New Roman"/>
        </w:rPr>
        <w:t xml:space="preserve">. This trend is consistent with the research done by Cloos (2014) on health care </w:t>
      </w:r>
      <w:r w:rsidR="00DC240E" w:rsidRPr="00E869A4">
        <w:rPr>
          <w:rFonts w:ascii="Times New Roman" w:eastAsia="Times New Roman" w:hAnsi="Times New Roman" w:cs="Times New Roman"/>
        </w:rPr>
        <w:t>i</w:t>
      </w:r>
      <w:r w:rsidRPr="00E869A4">
        <w:rPr>
          <w:rFonts w:ascii="Times New Roman" w:eastAsia="Times New Roman" w:hAnsi="Times New Roman" w:cs="Times New Roman"/>
        </w:rPr>
        <w:t xml:space="preserve">n Trinidad. </w:t>
      </w:r>
    </w:p>
    <w:p w14:paraId="700A0D61" w14:textId="77777777" w:rsidR="00813C54" w:rsidRPr="00E869A4" w:rsidRDefault="00813C54" w:rsidP="00744EFC">
      <w:pPr>
        <w:rPr>
          <w:rFonts w:ascii="Times New Roman" w:eastAsia="Times New Roman" w:hAnsi="Times New Roman" w:cs="Times New Roman"/>
        </w:rPr>
      </w:pPr>
    </w:p>
    <w:p w14:paraId="61B05216" w14:textId="72DF0A3B"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Ms. Kumar, Ms. Violet and Mother Freeda belonged to well-resourced systems as</w:t>
      </w:r>
      <w:r w:rsidR="00677E2A"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evidenced by their ability to afford the cost of private hospitalisation. </w:t>
      </w:r>
      <w:r w:rsidR="00C761BC" w:rsidRPr="00E869A4">
        <w:rPr>
          <w:rFonts w:ascii="Times New Roman" w:eastAsia="Times New Roman" w:hAnsi="Times New Roman" w:cs="Times New Roman"/>
        </w:rPr>
        <w:t>Alt</w:t>
      </w:r>
      <w:r w:rsidRPr="00E869A4">
        <w:rPr>
          <w:rFonts w:ascii="Times New Roman" w:eastAsia="Times New Roman" w:hAnsi="Times New Roman" w:cs="Times New Roman"/>
        </w:rPr>
        <w:t>hough they</w:t>
      </w:r>
      <w:r w:rsidR="00677E2A"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could not </w:t>
      </w:r>
      <w:r w:rsidR="00C761BC" w:rsidRPr="00E869A4">
        <w:rPr>
          <w:rFonts w:ascii="Times New Roman" w:eastAsia="Times New Roman" w:hAnsi="Times New Roman" w:cs="Times New Roman"/>
        </w:rPr>
        <w:t xml:space="preserve">personally </w:t>
      </w:r>
      <w:r w:rsidRPr="00E869A4">
        <w:rPr>
          <w:rFonts w:ascii="Times New Roman" w:eastAsia="Times New Roman" w:hAnsi="Times New Roman" w:cs="Times New Roman"/>
        </w:rPr>
        <w:t>fund the full cost of their hospitalisation in private institutions, the remittances and other forms of financial support they received from their relatives enabled them to access private hospital care. Other older persons like Uncle Wilton, went to the public hospital each t</w:t>
      </w:r>
      <w:r w:rsidR="00BB0863" w:rsidRPr="00E869A4">
        <w:rPr>
          <w:rFonts w:ascii="Times New Roman" w:eastAsia="Times New Roman" w:hAnsi="Times New Roman" w:cs="Times New Roman"/>
        </w:rPr>
        <w:t xml:space="preserve">ime </w:t>
      </w:r>
      <w:r w:rsidRPr="00E869A4">
        <w:rPr>
          <w:rFonts w:ascii="Times New Roman" w:eastAsia="Times New Roman" w:hAnsi="Times New Roman" w:cs="Times New Roman"/>
        </w:rPr>
        <w:t xml:space="preserve">they had a serious medical issue. Mr. Khan was the only participant that preferred public rather than private hospitals given the bad experiences he had using private </w:t>
      </w:r>
      <w:r w:rsidR="00F66FCF" w:rsidRPr="00E869A4">
        <w:rPr>
          <w:rFonts w:ascii="Times New Roman" w:eastAsia="Times New Roman" w:hAnsi="Times New Roman" w:cs="Times New Roman"/>
        </w:rPr>
        <w:t>medical services</w:t>
      </w:r>
      <w:r w:rsidRPr="00E869A4">
        <w:rPr>
          <w:rFonts w:ascii="Times New Roman" w:eastAsia="Times New Roman" w:hAnsi="Times New Roman" w:cs="Times New Roman"/>
        </w:rPr>
        <w:t xml:space="preserve"> whilst caring for his wife, who was deceased at the time of the interviews. He believed that the private institutions contributed to her untimely demise. His situation was unique because his daughter Samantha was a trained geriatric nurse </w:t>
      </w:r>
      <w:r w:rsidR="005C2FA3" w:rsidRPr="00E869A4">
        <w:rPr>
          <w:rFonts w:ascii="Times New Roman" w:eastAsia="Times New Roman" w:hAnsi="Times New Roman" w:cs="Times New Roman"/>
        </w:rPr>
        <w:t>who had</w:t>
      </w:r>
      <w:r w:rsidRPr="00E869A4">
        <w:rPr>
          <w:rFonts w:ascii="Times New Roman" w:eastAsia="Times New Roman" w:hAnsi="Times New Roman" w:cs="Times New Roman"/>
        </w:rPr>
        <w:t xml:space="preserve"> strong technical skills to facilitate caring for him at home. Samantha’s care significantly supplemented the services he obtained at public </w:t>
      </w:r>
      <w:r w:rsidR="00813C54" w:rsidRPr="00E869A4">
        <w:rPr>
          <w:rFonts w:ascii="Times New Roman" w:eastAsia="Times New Roman" w:hAnsi="Times New Roman" w:cs="Times New Roman"/>
        </w:rPr>
        <w:t>health facilities</w:t>
      </w:r>
      <w:r w:rsidRPr="00E869A4">
        <w:rPr>
          <w:rFonts w:ascii="Times New Roman" w:eastAsia="Times New Roman" w:hAnsi="Times New Roman" w:cs="Times New Roman"/>
        </w:rPr>
        <w:t>.</w:t>
      </w:r>
    </w:p>
    <w:p w14:paraId="4449FED1" w14:textId="7777777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 </w:t>
      </w:r>
    </w:p>
    <w:p w14:paraId="2735D860" w14:textId="77777777" w:rsidR="00E61FFF" w:rsidRDefault="00E61FFF">
      <w:pPr>
        <w:rPr>
          <w:rFonts w:eastAsia="Times New Roman"/>
          <w:b/>
          <w:i/>
          <w:u w:val="single"/>
        </w:rPr>
      </w:pPr>
      <w:r>
        <w:rPr>
          <w:rFonts w:eastAsia="Times New Roman"/>
        </w:rPr>
        <w:br w:type="page"/>
      </w:r>
    </w:p>
    <w:p w14:paraId="65C1762F" w14:textId="3252A2A1" w:rsidR="00744EFC" w:rsidRPr="00E869A4" w:rsidRDefault="00463753" w:rsidP="005C449C">
      <w:pPr>
        <w:pStyle w:val="Heading3"/>
        <w:rPr>
          <w:rFonts w:eastAsia="Times New Roman"/>
        </w:rPr>
      </w:pPr>
      <w:bookmarkStart w:id="334" w:name="_Toc40436556"/>
      <w:r w:rsidRPr="00E869A4">
        <w:rPr>
          <w:rFonts w:eastAsia="Times New Roman"/>
        </w:rPr>
        <w:lastRenderedPageBreak/>
        <w:t>8</w:t>
      </w:r>
      <w:r w:rsidR="00744EFC" w:rsidRPr="00E869A4">
        <w:rPr>
          <w:rFonts w:eastAsia="Times New Roman"/>
        </w:rPr>
        <w:t>.2.3</w:t>
      </w:r>
      <w:r w:rsidR="00744EFC" w:rsidRPr="00E869A4">
        <w:t xml:space="preserve">     </w:t>
      </w:r>
      <w:r w:rsidR="00744EFC" w:rsidRPr="00E869A4">
        <w:rPr>
          <w:rFonts w:eastAsia="Times New Roman"/>
        </w:rPr>
        <w:t>Income Streams</w:t>
      </w:r>
      <w:bookmarkEnd w:id="334"/>
    </w:p>
    <w:p w14:paraId="49DFD63F" w14:textId="77777777" w:rsidR="00744EFC" w:rsidRPr="00E869A4" w:rsidRDefault="00744EFC" w:rsidP="00744EFC">
      <w:pPr>
        <w:jc w:val="both"/>
        <w:rPr>
          <w:rFonts w:ascii="Times New Roman" w:eastAsia="Times New Roman" w:hAnsi="Times New Roman" w:cs="Times New Roman"/>
        </w:rPr>
      </w:pPr>
    </w:p>
    <w:p w14:paraId="2B2AFB51" w14:textId="7777777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Having access to multiple income streams in later life was another important indicator of the type of care resources that older persons could access. As noted above, some older persons supplemented their income by renting property. Others like Ms. Violet and Mother Freeda received substantial financial support from relatives who lived overseas to help offset the cost of care. </w:t>
      </w:r>
    </w:p>
    <w:p w14:paraId="2AF81065" w14:textId="77777777" w:rsidR="00744EFC" w:rsidRPr="00E869A4" w:rsidRDefault="00744EFC" w:rsidP="00744EFC">
      <w:pPr>
        <w:jc w:val="both"/>
        <w:rPr>
          <w:rFonts w:ascii="Times New Roman" w:eastAsia="Times New Roman" w:hAnsi="Times New Roman" w:cs="Times New Roman"/>
        </w:rPr>
      </w:pPr>
    </w:p>
    <w:p w14:paraId="0999AE7D" w14:textId="719871EA"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It is also important not </w:t>
      </w:r>
      <w:r w:rsidR="00702B2A" w:rsidRPr="00E869A4">
        <w:rPr>
          <w:rFonts w:ascii="Times New Roman" w:eastAsia="Times New Roman" w:hAnsi="Times New Roman" w:cs="Times New Roman"/>
        </w:rPr>
        <w:t xml:space="preserve">to </w:t>
      </w:r>
      <w:r w:rsidRPr="00E869A4">
        <w:rPr>
          <w:rFonts w:ascii="Times New Roman" w:eastAsia="Times New Roman" w:hAnsi="Times New Roman" w:cs="Times New Roman"/>
        </w:rPr>
        <w:t>limit an assessment of the resource system of an older person to their occupational background as some of the older persons who worked in blue-collar jobs such as Mother Freeda and Uncle Wilton</w:t>
      </w:r>
      <w:r w:rsidR="00EB1AAF" w:rsidRPr="00E869A4">
        <w:rPr>
          <w:rFonts w:ascii="Times New Roman" w:eastAsia="Times New Roman" w:hAnsi="Times New Roman" w:cs="Times New Roman"/>
        </w:rPr>
        <w:t>,</w:t>
      </w:r>
      <w:r w:rsidRPr="00E869A4">
        <w:rPr>
          <w:rFonts w:ascii="Times New Roman" w:eastAsia="Times New Roman" w:hAnsi="Times New Roman" w:cs="Times New Roman"/>
        </w:rPr>
        <w:t xml:space="preserve"> had access to substantial assets in later life. Furthermore, working in a </w:t>
      </w:r>
      <w:r w:rsidR="003664B7" w:rsidRPr="00E869A4">
        <w:rPr>
          <w:rFonts w:ascii="Times New Roman" w:eastAsia="Times New Roman" w:hAnsi="Times New Roman" w:cs="Times New Roman"/>
        </w:rPr>
        <w:t>white-collar</w:t>
      </w:r>
      <w:r w:rsidRPr="00E869A4">
        <w:rPr>
          <w:rFonts w:ascii="Times New Roman" w:eastAsia="Times New Roman" w:hAnsi="Times New Roman" w:cs="Times New Roman"/>
        </w:rPr>
        <w:t xml:space="preserve"> job did not automatically guarantee that an individual would have sufficient income when they retired to meet their care needs. Mr. Sanchez’s situation is indicative of this: </w:t>
      </w:r>
      <w:r w:rsidR="00702B2A" w:rsidRPr="00E869A4">
        <w:rPr>
          <w:rFonts w:ascii="Times New Roman" w:eastAsia="Times New Roman" w:hAnsi="Times New Roman" w:cs="Times New Roman"/>
        </w:rPr>
        <w:t>despite being</w:t>
      </w:r>
      <w:r w:rsidRPr="00E869A4">
        <w:rPr>
          <w:rFonts w:ascii="Times New Roman" w:eastAsia="Times New Roman" w:hAnsi="Times New Roman" w:cs="Times New Roman"/>
        </w:rPr>
        <w:t xml:space="preserve"> a retired senior public official, he was in dire need of having a suitable place to live. Given the uncertainty of his financial situation, his wife opted to work part-time, but because she had no one to assist with his care, he was left unattended at home while she worked a couple of blocks away from the house.  </w:t>
      </w:r>
    </w:p>
    <w:p w14:paraId="67C7A2F0" w14:textId="77777777" w:rsidR="00744EFC" w:rsidRPr="00E869A4" w:rsidRDefault="00744EFC" w:rsidP="00744EFC">
      <w:pPr>
        <w:rPr>
          <w:rFonts w:ascii="Times New Roman" w:eastAsia="Times New Roman" w:hAnsi="Times New Roman" w:cs="Times New Roman"/>
        </w:rPr>
      </w:pPr>
    </w:p>
    <w:p w14:paraId="70C2AD7F" w14:textId="1BB899AD" w:rsidR="00744EFC" w:rsidRPr="00E869A4" w:rsidRDefault="00463753" w:rsidP="005C449C">
      <w:pPr>
        <w:pStyle w:val="Heading3"/>
        <w:rPr>
          <w:rFonts w:eastAsia="Times New Roman"/>
        </w:rPr>
      </w:pPr>
      <w:bookmarkStart w:id="335" w:name="_Toc40436557"/>
      <w:r w:rsidRPr="00E869A4">
        <w:rPr>
          <w:rFonts w:eastAsia="Times New Roman"/>
        </w:rPr>
        <w:t>8</w:t>
      </w:r>
      <w:r w:rsidR="00744EFC" w:rsidRPr="00E869A4">
        <w:rPr>
          <w:rFonts w:eastAsia="Times New Roman"/>
        </w:rPr>
        <w:t>.2.4</w:t>
      </w:r>
      <w:r w:rsidR="00744EFC" w:rsidRPr="00E869A4">
        <w:t xml:space="preserve">     </w:t>
      </w:r>
      <w:r w:rsidR="00744EFC" w:rsidRPr="00E869A4">
        <w:rPr>
          <w:rFonts w:eastAsia="Times New Roman"/>
        </w:rPr>
        <w:t>Access to Transport</w:t>
      </w:r>
      <w:bookmarkEnd w:id="335"/>
    </w:p>
    <w:p w14:paraId="7786D8F2" w14:textId="77777777" w:rsidR="00744EFC" w:rsidRPr="00E869A4" w:rsidRDefault="00744EFC" w:rsidP="00744EFC">
      <w:pPr>
        <w:rPr>
          <w:rFonts w:ascii="Times New Roman" w:eastAsia="Times New Roman" w:hAnsi="Times New Roman" w:cs="Times New Roman"/>
        </w:rPr>
      </w:pPr>
    </w:p>
    <w:p w14:paraId="0B3DA6D7" w14:textId="55AC7E83"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Another main distinguishing feature of the resource system of older persons was their access to transportation. Access to transportation could be described as limited, moderate or high, given ease of access to and dependability of public and private transportation systems. This in turn was related to the topography of the neighbourhood in which the older person lived (e.g. whether hilly or flat), the type of road (e.g. paved or unpaved), access from the older person’s house to the vehicle (e.g. </w:t>
      </w:r>
      <w:r w:rsidR="00EB1AAF" w:rsidRPr="00E869A4">
        <w:rPr>
          <w:rFonts w:ascii="Times New Roman" w:eastAsia="Times New Roman" w:hAnsi="Times New Roman" w:cs="Times New Roman"/>
        </w:rPr>
        <w:t>whether</w:t>
      </w:r>
      <w:r w:rsidRPr="00E869A4">
        <w:rPr>
          <w:rFonts w:ascii="Times New Roman" w:eastAsia="Times New Roman" w:hAnsi="Times New Roman" w:cs="Times New Roman"/>
        </w:rPr>
        <w:t xml:space="preserve"> their mobility</w:t>
      </w:r>
      <w:r w:rsidR="00EB1AAF" w:rsidRPr="00E869A4">
        <w:rPr>
          <w:rFonts w:ascii="Times New Roman" w:eastAsia="Times New Roman" w:hAnsi="Times New Roman" w:cs="Times New Roman"/>
        </w:rPr>
        <w:t xml:space="preserve"> was</w:t>
      </w:r>
      <w:r w:rsidRPr="00E869A4">
        <w:rPr>
          <w:rFonts w:ascii="Times New Roman" w:eastAsia="Times New Roman" w:hAnsi="Times New Roman" w:cs="Times New Roman"/>
        </w:rPr>
        <w:t xml:space="preserve"> inhibited by s</w:t>
      </w:r>
      <w:r w:rsidR="00813C54" w:rsidRPr="00E869A4">
        <w:rPr>
          <w:rFonts w:ascii="Times New Roman" w:eastAsia="Times New Roman" w:hAnsi="Times New Roman" w:cs="Times New Roman"/>
        </w:rPr>
        <w:t>tairs etc.</w:t>
      </w:r>
      <w:r w:rsidR="00EB1AAF" w:rsidRPr="00E869A4">
        <w:rPr>
          <w:rFonts w:ascii="Times New Roman" w:eastAsia="Times New Roman" w:hAnsi="Times New Roman" w:cs="Times New Roman"/>
        </w:rPr>
        <w:t xml:space="preserve"> before reaching the vehicle</w:t>
      </w:r>
      <w:r w:rsidR="00813C54" w:rsidRPr="00E869A4">
        <w:rPr>
          <w:rFonts w:ascii="Times New Roman" w:eastAsia="Times New Roman" w:hAnsi="Times New Roman" w:cs="Times New Roman"/>
        </w:rPr>
        <w:t>), and availability/</w:t>
      </w:r>
      <w:r w:rsidRPr="00E869A4">
        <w:rPr>
          <w:rFonts w:ascii="Times New Roman" w:eastAsia="Times New Roman" w:hAnsi="Times New Roman" w:cs="Times New Roman"/>
        </w:rPr>
        <w:t xml:space="preserve">frequency of low cost transportation.  </w:t>
      </w:r>
    </w:p>
    <w:p w14:paraId="00572136" w14:textId="77777777" w:rsidR="00EB1AAF" w:rsidRPr="00E869A4" w:rsidRDefault="00EB1AAF" w:rsidP="00744EFC">
      <w:pPr>
        <w:rPr>
          <w:rFonts w:ascii="Times New Roman" w:eastAsia="Times New Roman" w:hAnsi="Times New Roman" w:cs="Times New Roman"/>
        </w:rPr>
      </w:pPr>
    </w:p>
    <w:p w14:paraId="5776CD5A" w14:textId="7F7F162F"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High transport access is characterised by high levels of certainty in obtaining affordable public or private transportation for critical activities and other situations. Such access facilitates high degrees of autonomy for older care recipients to get from one place to the next. Most of the older persons shared about the challenges they experienced accessing transportation. No one was categorised as having high transport access given </w:t>
      </w:r>
      <w:r w:rsidR="00813C54" w:rsidRPr="00E869A4">
        <w:rPr>
          <w:rFonts w:ascii="Times New Roman" w:eastAsia="Times New Roman" w:hAnsi="Times New Roman" w:cs="Times New Roman"/>
        </w:rPr>
        <w:t xml:space="preserve">the </w:t>
      </w:r>
      <w:r w:rsidRPr="00E869A4">
        <w:rPr>
          <w:rFonts w:ascii="Times New Roman" w:eastAsia="Times New Roman" w:hAnsi="Times New Roman" w:cs="Times New Roman"/>
        </w:rPr>
        <w:t xml:space="preserve">lack of a dependable public transportation system, the relatively high cost of </w:t>
      </w:r>
      <w:r w:rsidRPr="00E869A4">
        <w:rPr>
          <w:rFonts w:ascii="Times New Roman" w:eastAsia="Times New Roman" w:hAnsi="Times New Roman" w:cs="Times New Roman"/>
        </w:rPr>
        <w:lastRenderedPageBreak/>
        <w:t xml:space="preserve">suitable private transportation, and their dependence on the goodwill and support of friends and family members who were not always available to give assistance. None of the older persons drove themselves: some never had the opportunity to, and those who did were unable to do so given their health challenges. </w:t>
      </w:r>
    </w:p>
    <w:p w14:paraId="03B0C87F" w14:textId="77777777" w:rsidR="00744EFC" w:rsidRPr="00E869A4" w:rsidRDefault="00744EFC" w:rsidP="00744EFC">
      <w:pPr>
        <w:rPr>
          <w:rFonts w:ascii="Times New Roman" w:eastAsia="Times New Roman" w:hAnsi="Times New Roman" w:cs="Times New Roman"/>
        </w:rPr>
      </w:pPr>
    </w:p>
    <w:p w14:paraId="30085899" w14:textId="0CC49D8A"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Limited access to transport is characterised by: difficulty accessing transport as a result of topography (e.g. underdeveloped road system) or housing infrastructure (e.g. stairs)</w:t>
      </w:r>
      <w:r w:rsidR="00756240"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w:t>
      </w:r>
      <w:r w:rsidR="00756240" w:rsidRPr="00E869A4">
        <w:rPr>
          <w:rFonts w:ascii="Times New Roman" w:eastAsia="Times New Roman" w:hAnsi="Times New Roman" w:cs="Times New Roman"/>
        </w:rPr>
        <w:t>,</w:t>
      </w:r>
      <w:r w:rsidRPr="00E869A4">
        <w:rPr>
          <w:rFonts w:ascii="Times New Roman" w:eastAsia="Times New Roman" w:hAnsi="Times New Roman" w:cs="Times New Roman"/>
        </w:rPr>
        <w:t xml:space="preserve"> high transportation costs. </w:t>
      </w:r>
      <w:r w:rsidR="00756240" w:rsidRPr="00E869A4">
        <w:rPr>
          <w:rFonts w:ascii="Times New Roman" w:eastAsia="Times New Roman" w:hAnsi="Times New Roman" w:cs="Times New Roman"/>
        </w:rPr>
        <w:t xml:space="preserve">Older persons in this situation experienced high levels of uncertainty with regards to accessing critical services such as routine visits to/from the doctor or shopping for food. </w:t>
      </w:r>
      <w:r w:rsidRPr="00E869A4">
        <w:rPr>
          <w:rFonts w:ascii="Times New Roman" w:eastAsia="Times New Roman" w:hAnsi="Times New Roman" w:cs="Times New Roman"/>
        </w:rPr>
        <w:t>Mr. Sanchez, Uncle Wilton and Tanty Edna had limited access to transport. Mr. Sanchez no longer had his own vehicle because before he became an amputee, he ‘</w:t>
      </w:r>
      <w:r w:rsidRPr="00E869A4">
        <w:rPr>
          <w:rFonts w:ascii="Times New Roman" w:eastAsia="Times New Roman" w:hAnsi="Times New Roman" w:cs="Times New Roman"/>
          <w:i/>
        </w:rPr>
        <w:t>totalled</w:t>
      </w:r>
      <w:r w:rsidRPr="00E869A4">
        <w:rPr>
          <w:rFonts w:ascii="Times New Roman" w:eastAsia="Times New Roman" w:hAnsi="Times New Roman" w:cs="Times New Roman"/>
        </w:rPr>
        <w:t xml:space="preserve">’ his </w:t>
      </w:r>
      <w:r w:rsidR="00756240" w:rsidRPr="00E869A4">
        <w:rPr>
          <w:rFonts w:ascii="Times New Roman" w:eastAsia="Times New Roman" w:hAnsi="Times New Roman" w:cs="Times New Roman"/>
        </w:rPr>
        <w:t>car</w:t>
      </w:r>
      <w:r w:rsidRPr="00E869A4">
        <w:rPr>
          <w:rFonts w:ascii="Times New Roman" w:eastAsia="Times New Roman" w:hAnsi="Times New Roman" w:cs="Times New Roman"/>
        </w:rPr>
        <w:t xml:space="preserve"> while driving under the influence of alcohol. His wife did not own a vehicle and rarely received transportation assistance from any of their relatives. He lived on a narrow side street that was not on a main traffic route so it cost more to have a taxi meet him in front of his house than on the main road. During the interviews, his wife shared about the difficulties she experienced getting him to medical appointments (see previous chapter). One of his close relatives lived about a </w:t>
      </w:r>
      <w:r w:rsidR="00952CB5" w:rsidRPr="00E869A4">
        <w:rPr>
          <w:rFonts w:ascii="Times New Roman" w:eastAsia="Times New Roman" w:hAnsi="Times New Roman" w:cs="Times New Roman"/>
        </w:rPr>
        <w:t>5-minute</w:t>
      </w:r>
      <w:r w:rsidRPr="00E869A4">
        <w:rPr>
          <w:rFonts w:ascii="Times New Roman" w:eastAsia="Times New Roman" w:hAnsi="Times New Roman" w:cs="Times New Roman"/>
        </w:rPr>
        <w:t xml:space="preserve"> walk from his house and owned a vehicle but, according to his wife, did not assist with transporting him to appointments.</w:t>
      </w:r>
    </w:p>
    <w:p w14:paraId="4B3BC2B8" w14:textId="77777777" w:rsidR="00744EFC" w:rsidRPr="00E869A4" w:rsidRDefault="00744EFC" w:rsidP="00744EFC">
      <w:pPr>
        <w:rPr>
          <w:rFonts w:ascii="Times New Roman" w:eastAsia="Times New Roman" w:hAnsi="Times New Roman" w:cs="Times New Roman"/>
        </w:rPr>
      </w:pPr>
    </w:p>
    <w:p w14:paraId="4EA9DE37" w14:textId="5820A1BA"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Uncle Wilton was also categorised as having limited access to transportation. He no longer owned a vehicle. Sometimes he hired his neighbour who was a taxi driver to take him to appointments. On other </w:t>
      </w:r>
      <w:r w:rsidR="00952CB5" w:rsidRPr="00E869A4">
        <w:rPr>
          <w:rFonts w:ascii="Times New Roman" w:eastAsia="Times New Roman" w:hAnsi="Times New Roman" w:cs="Times New Roman"/>
        </w:rPr>
        <w:t>occasions,</w:t>
      </w:r>
      <w:r w:rsidRPr="00E869A4">
        <w:rPr>
          <w:rFonts w:ascii="Times New Roman" w:eastAsia="Times New Roman" w:hAnsi="Times New Roman" w:cs="Times New Roman"/>
        </w:rPr>
        <w:t xml:space="preserve"> he had to take public </w:t>
      </w:r>
      <w:r w:rsidR="00952CB5" w:rsidRPr="00E869A4">
        <w:rPr>
          <w:rFonts w:ascii="Times New Roman" w:eastAsia="Times New Roman" w:hAnsi="Times New Roman" w:cs="Times New Roman"/>
        </w:rPr>
        <w:t>transportation, which</w:t>
      </w:r>
      <w:r w:rsidRPr="00E869A4">
        <w:rPr>
          <w:rFonts w:ascii="Times New Roman" w:eastAsia="Times New Roman" w:hAnsi="Times New Roman" w:cs="Times New Roman"/>
        </w:rPr>
        <w:t xml:space="preserve"> was a difficult task as he was visually impaired and had to walk along an unpaved road (dirt track) in a hilly, undulating area, before he could get to the main road to access a bus. Given this, he needed to be accompanied by</w:t>
      </w:r>
      <w:r w:rsidR="00952CB5" w:rsidRPr="00E869A4">
        <w:rPr>
          <w:rFonts w:ascii="Times New Roman" w:eastAsia="Times New Roman" w:hAnsi="Times New Roman" w:cs="Times New Roman"/>
        </w:rPr>
        <w:t xml:space="preserve"> someone (e.g.</w:t>
      </w:r>
      <w:r w:rsidRPr="00E869A4">
        <w:rPr>
          <w:rFonts w:ascii="Times New Roman" w:eastAsia="Times New Roman" w:hAnsi="Times New Roman" w:cs="Times New Roman"/>
        </w:rPr>
        <w:t xml:space="preserve"> Mr. Birch</w:t>
      </w:r>
      <w:r w:rsidR="00952CB5" w:rsidRPr="00E869A4">
        <w:rPr>
          <w:rFonts w:ascii="Times New Roman" w:eastAsia="Times New Roman" w:hAnsi="Times New Roman" w:cs="Times New Roman"/>
        </w:rPr>
        <w:t>)</w:t>
      </w:r>
      <w:r w:rsidRPr="00E869A4">
        <w:rPr>
          <w:rFonts w:ascii="Times New Roman" w:eastAsia="Times New Roman" w:hAnsi="Times New Roman" w:cs="Times New Roman"/>
        </w:rPr>
        <w:t xml:space="preserve"> when he took public transportation. </w:t>
      </w:r>
    </w:p>
    <w:p w14:paraId="65BEC7DC" w14:textId="77777777" w:rsidR="00744EFC" w:rsidRPr="00E869A4" w:rsidRDefault="00744EFC" w:rsidP="00744EFC">
      <w:pPr>
        <w:rPr>
          <w:rFonts w:ascii="Times New Roman" w:eastAsia="Times New Roman" w:hAnsi="Times New Roman" w:cs="Times New Roman"/>
        </w:rPr>
      </w:pPr>
    </w:p>
    <w:p w14:paraId="630621A1" w14:textId="78629676"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Tanty Edna had inconsistent transportation support fr</w:t>
      </w:r>
      <w:r w:rsidR="003758F4" w:rsidRPr="00E869A4">
        <w:rPr>
          <w:rFonts w:ascii="Times New Roman" w:eastAsia="Times New Roman" w:hAnsi="Times New Roman" w:cs="Times New Roman"/>
        </w:rPr>
        <w:t>om her relatives. Her niece/god</w:t>
      </w:r>
      <w:r w:rsidRPr="00E869A4">
        <w:rPr>
          <w:rFonts w:ascii="Times New Roman" w:eastAsia="Times New Roman" w:hAnsi="Times New Roman" w:cs="Times New Roman"/>
        </w:rPr>
        <w:t>daughter Adelina</w:t>
      </w:r>
      <w:r w:rsidR="00A9096A" w:rsidRPr="00E869A4">
        <w:rPr>
          <w:rFonts w:ascii="Times New Roman" w:eastAsia="Times New Roman" w:hAnsi="Times New Roman" w:cs="Times New Roman"/>
        </w:rPr>
        <w:t xml:space="preserve"> had a busy work schedule and</w:t>
      </w:r>
      <w:r w:rsidRPr="00E869A4">
        <w:rPr>
          <w:rFonts w:ascii="Times New Roman" w:eastAsia="Times New Roman" w:hAnsi="Times New Roman" w:cs="Times New Roman"/>
        </w:rPr>
        <w:t xml:space="preserve"> lived some distance away from her (about 30 minutes), </w:t>
      </w:r>
      <w:r w:rsidR="000F229A" w:rsidRPr="00E869A4">
        <w:rPr>
          <w:rFonts w:ascii="Times New Roman" w:eastAsia="Times New Roman" w:hAnsi="Times New Roman" w:cs="Times New Roman"/>
        </w:rPr>
        <w:t xml:space="preserve">as such </w:t>
      </w:r>
      <w:r w:rsidRPr="00E869A4">
        <w:rPr>
          <w:rFonts w:ascii="Times New Roman" w:eastAsia="Times New Roman" w:hAnsi="Times New Roman" w:cs="Times New Roman"/>
        </w:rPr>
        <w:t xml:space="preserve">she was not able to assist Tanty with transport on a regular basis. Because of her inconsistent access to transport and mobility challenges, Tanty had to restrict her activities outside her home. She stopped going to church and depended on her paid GAPP care assistant to do some basic shopping for her. On rare </w:t>
      </w:r>
      <w:r w:rsidR="00952CB5" w:rsidRPr="00E869A4">
        <w:rPr>
          <w:rFonts w:ascii="Times New Roman" w:eastAsia="Times New Roman" w:hAnsi="Times New Roman" w:cs="Times New Roman"/>
        </w:rPr>
        <w:t>occasions,</w:t>
      </w:r>
      <w:r w:rsidRPr="00E869A4">
        <w:rPr>
          <w:rFonts w:ascii="Times New Roman" w:eastAsia="Times New Roman" w:hAnsi="Times New Roman" w:cs="Times New Roman"/>
        </w:rPr>
        <w:t xml:space="preserve"> she ventured out of her home to shop with assistance from her GAPP care worker.</w:t>
      </w:r>
    </w:p>
    <w:p w14:paraId="2FA4E919" w14:textId="77777777" w:rsidR="00553746" w:rsidRPr="00E869A4" w:rsidRDefault="00553746" w:rsidP="00744EFC">
      <w:pPr>
        <w:rPr>
          <w:rFonts w:ascii="Times New Roman" w:eastAsia="Times New Roman" w:hAnsi="Times New Roman" w:cs="Times New Roman"/>
        </w:rPr>
      </w:pPr>
    </w:p>
    <w:p w14:paraId="5D3AFBDF" w14:textId="438D73E7"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lastRenderedPageBreak/>
        <w:t xml:space="preserve">The other older </w:t>
      </w:r>
      <w:r w:rsidR="009E2738" w:rsidRPr="00E869A4">
        <w:rPr>
          <w:rFonts w:ascii="Times New Roman" w:eastAsia="Times New Roman" w:hAnsi="Times New Roman" w:cs="Times New Roman"/>
        </w:rPr>
        <w:t>care recipient</w:t>
      </w:r>
      <w:r w:rsidRPr="00E869A4">
        <w:rPr>
          <w:rFonts w:ascii="Times New Roman" w:eastAsia="Times New Roman" w:hAnsi="Times New Roman" w:cs="Times New Roman"/>
        </w:rPr>
        <w:t xml:space="preserve">s had moderate transportation access (e.g. Mother Freeda, Ms. Kumar, Mr. Khan, Mr. Druman and Ms. Violet). Moderate access to transportation refers to situations where the older person could obtain transportation for critical events such as doctor’s appointments. However, it was also characterised by uncertain access to transportation and limited autonomy of the older person who was unable to receive transport support whenever they needed it. Mother Freeda for example was transported regularly to church services every week as there was a voluntary car pool system in her church. Her </w:t>
      </w:r>
      <w:r w:rsidR="00952CB5" w:rsidRPr="00E869A4">
        <w:rPr>
          <w:rFonts w:ascii="Times New Roman" w:eastAsia="Times New Roman" w:hAnsi="Times New Roman" w:cs="Times New Roman"/>
        </w:rPr>
        <w:t>cousin,</w:t>
      </w:r>
      <w:r w:rsidRPr="00E869A4">
        <w:rPr>
          <w:rFonts w:ascii="Times New Roman" w:eastAsia="Times New Roman" w:hAnsi="Times New Roman" w:cs="Times New Roman"/>
        </w:rPr>
        <w:t xml:space="preserve"> who was retired and had a vehicle, provided her with transportation to and from the market at one time. However, she had limited autonomy to go and come as she would like from her home as, in addition to her physical limitations, she depended on the availability of the person with the transportation, and, transportation was only consistently available for a limited number of activities. </w:t>
      </w:r>
    </w:p>
    <w:p w14:paraId="3ADD80BD" w14:textId="77777777" w:rsidR="00744EFC" w:rsidRPr="00E869A4" w:rsidRDefault="00744EFC" w:rsidP="00744EFC">
      <w:pPr>
        <w:rPr>
          <w:rFonts w:ascii="Times New Roman" w:eastAsia="Times New Roman" w:hAnsi="Times New Roman" w:cs="Times New Roman"/>
        </w:rPr>
      </w:pPr>
    </w:p>
    <w:p w14:paraId="5EA0AD9F" w14:textId="4326BE20"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Ms. Kumar was also categorised as having moderate access to transportation. Her daughter (Rebecca) lived with her and ei</w:t>
      </w:r>
      <w:r w:rsidR="003758F4" w:rsidRPr="00E869A4">
        <w:rPr>
          <w:rFonts w:ascii="Times New Roman" w:eastAsia="Times New Roman" w:hAnsi="Times New Roman" w:cs="Times New Roman"/>
        </w:rPr>
        <w:t xml:space="preserve">ther drove her to appointments, or </w:t>
      </w:r>
      <w:r w:rsidRPr="00E869A4">
        <w:rPr>
          <w:rFonts w:ascii="Times New Roman" w:eastAsia="Times New Roman" w:hAnsi="Times New Roman" w:cs="Times New Roman"/>
        </w:rPr>
        <w:t xml:space="preserve">hired a private vehicle to get </w:t>
      </w:r>
      <w:r w:rsidR="003758F4" w:rsidRPr="00E869A4">
        <w:rPr>
          <w:rFonts w:ascii="Times New Roman" w:eastAsia="Times New Roman" w:hAnsi="Times New Roman" w:cs="Times New Roman"/>
        </w:rPr>
        <w:t xml:space="preserve">her </w:t>
      </w:r>
      <w:r w:rsidR="00952CB5" w:rsidRPr="00E869A4">
        <w:rPr>
          <w:rFonts w:ascii="Times New Roman" w:eastAsia="Times New Roman" w:hAnsi="Times New Roman" w:cs="Times New Roman"/>
        </w:rPr>
        <w:t>back and forth</w:t>
      </w:r>
      <w:r w:rsidR="003758F4" w:rsidRPr="00E869A4">
        <w:rPr>
          <w:rFonts w:ascii="Times New Roman" w:eastAsia="Times New Roman" w:hAnsi="Times New Roman" w:cs="Times New Roman"/>
        </w:rPr>
        <w:t xml:space="preserve"> when she was not available herself</w:t>
      </w:r>
      <w:r w:rsidRPr="00E869A4">
        <w:rPr>
          <w:rFonts w:ascii="Times New Roman" w:eastAsia="Times New Roman" w:hAnsi="Times New Roman" w:cs="Times New Roman"/>
        </w:rPr>
        <w:t xml:space="preserve">.  Sometimes other relatives and friends assisted. However, like Mother Freeda, Ms. Kumar did not have consistent access to transport. </w:t>
      </w:r>
    </w:p>
    <w:p w14:paraId="55319A3B" w14:textId="77777777" w:rsidR="00744EFC" w:rsidRPr="00E869A4" w:rsidRDefault="00744EFC" w:rsidP="00744EFC">
      <w:pPr>
        <w:rPr>
          <w:rFonts w:ascii="Times New Roman" w:eastAsia="Times New Roman" w:hAnsi="Times New Roman" w:cs="Times New Roman"/>
        </w:rPr>
      </w:pPr>
    </w:p>
    <w:p w14:paraId="6AF6B1BB" w14:textId="37CBAF14"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As noted in the previous chapter, the Pastor of Ms. Violet’s church provided transport support to her for any occasion that she needed this support. </w:t>
      </w:r>
      <w:r w:rsidR="00952CB5" w:rsidRPr="00E869A4">
        <w:rPr>
          <w:rFonts w:ascii="Times New Roman" w:eastAsia="Times New Roman" w:hAnsi="Times New Roman" w:cs="Times New Roman"/>
        </w:rPr>
        <w:t>However</w:t>
      </w:r>
      <w:r w:rsidRPr="00E869A4">
        <w:rPr>
          <w:rFonts w:ascii="Times New Roman" w:eastAsia="Times New Roman" w:hAnsi="Times New Roman" w:cs="Times New Roman"/>
        </w:rPr>
        <w:t>, her daughter Marian did not want to ‘</w:t>
      </w:r>
      <w:r w:rsidRPr="00E869A4">
        <w:rPr>
          <w:rFonts w:ascii="Times New Roman" w:eastAsia="Times New Roman" w:hAnsi="Times New Roman" w:cs="Times New Roman"/>
          <w:i/>
        </w:rPr>
        <w:t>be a bother</w:t>
      </w:r>
      <w:r w:rsidRPr="00E869A4">
        <w:rPr>
          <w:rFonts w:ascii="Times New Roman" w:eastAsia="Times New Roman" w:hAnsi="Times New Roman" w:cs="Times New Roman"/>
        </w:rPr>
        <w:t xml:space="preserve">’ so limited her requests for assistance. Marian did not have access to a vehicle in Trinidad, and, even if she did, was constrained by her </w:t>
      </w:r>
      <w:r w:rsidR="009A1B98">
        <w:rPr>
          <w:rFonts w:ascii="Times New Roman" w:eastAsia="Times New Roman" w:hAnsi="Times New Roman" w:cs="Times New Roman"/>
        </w:rPr>
        <w:t>mobility challenges</w:t>
      </w:r>
      <w:r w:rsidRPr="00E869A4">
        <w:rPr>
          <w:rFonts w:ascii="Times New Roman" w:eastAsia="Times New Roman" w:hAnsi="Times New Roman" w:cs="Times New Roman"/>
        </w:rPr>
        <w:t xml:space="preserve"> from driving</w:t>
      </w:r>
      <w:r w:rsidRPr="00E869A4">
        <w:rPr>
          <w:rFonts w:ascii="Times New Roman" w:eastAsia="Times New Roman" w:hAnsi="Times New Roman" w:cs="Times New Roman"/>
          <w:vertAlign w:val="superscript"/>
        </w:rPr>
        <w:footnoteReference w:id="70"/>
      </w:r>
      <w:r w:rsidRPr="00E869A4">
        <w:rPr>
          <w:rFonts w:ascii="Times New Roman" w:eastAsia="Times New Roman" w:hAnsi="Times New Roman" w:cs="Times New Roman"/>
        </w:rPr>
        <w:t xml:space="preserve">. </w:t>
      </w:r>
    </w:p>
    <w:p w14:paraId="150D4D25" w14:textId="77777777" w:rsidR="00744EFC" w:rsidRPr="00E869A4" w:rsidRDefault="00744EFC" w:rsidP="00744EFC">
      <w:pPr>
        <w:rPr>
          <w:rFonts w:ascii="Times New Roman" w:eastAsia="Times New Roman" w:hAnsi="Times New Roman" w:cs="Times New Roman"/>
        </w:rPr>
      </w:pPr>
    </w:p>
    <w:p w14:paraId="66A63423" w14:textId="489D4FE0" w:rsidR="00553746" w:rsidRPr="00E869A4" w:rsidRDefault="00744EFC">
      <w:pPr>
        <w:rPr>
          <w:rFonts w:ascii="Times New Roman" w:eastAsia="Times New Roman" w:hAnsi="Times New Roman" w:cs="Times New Roman"/>
        </w:rPr>
      </w:pPr>
      <w:r w:rsidRPr="00E869A4">
        <w:rPr>
          <w:rFonts w:ascii="Times New Roman" w:eastAsia="Times New Roman" w:hAnsi="Times New Roman" w:cs="Times New Roman"/>
        </w:rPr>
        <w:t xml:space="preserve">The other participants (Mr. Druman, Mr. Khan, Mr. Flora and Indrani) received support from their children. Both Mr. Khan and Mr. Druman received assistance from their son to get to church services and other important appointments. However, their access to transport was dependent on the availability of their children and was limited to certain events and activities. </w:t>
      </w:r>
    </w:p>
    <w:p w14:paraId="560E22EF" w14:textId="77777777" w:rsidR="00677E2A" w:rsidRPr="00E869A4" w:rsidRDefault="00677E2A">
      <w:pPr>
        <w:rPr>
          <w:rFonts w:ascii="Times New Roman" w:eastAsia="Times New Roman" w:hAnsi="Times New Roman" w:cs="Times New Roman"/>
        </w:rPr>
      </w:pPr>
    </w:p>
    <w:p w14:paraId="2E609CED" w14:textId="77777777" w:rsidR="00E61FFF" w:rsidRDefault="00E61FFF">
      <w:pPr>
        <w:rPr>
          <w:rFonts w:eastAsia="Times New Roman"/>
          <w:b/>
          <w:i/>
          <w:u w:val="single"/>
        </w:rPr>
      </w:pPr>
      <w:r>
        <w:rPr>
          <w:rFonts w:eastAsia="Times New Roman"/>
        </w:rPr>
        <w:br w:type="page"/>
      </w:r>
    </w:p>
    <w:p w14:paraId="6F386F21" w14:textId="57BAA534" w:rsidR="00744EFC" w:rsidRPr="00E869A4" w:rsidRDefault="00463753" w:rsidP="005C449C">
      <w:pPr>
        <w:pStyle w:val="Heading3"/>
        <w:rPr>
          <w:rFonts w:eastAsia="Times New Roman"/>
        </w:rPr>
      </w:pPr>
      <w:bookmarkStart w:id="336" w:name="_Toc40436558"/>
      <w:r w:rsidRPr="00E869A4">
        <w:rPr>
          <w:rFonts w:eastAsia="Times New Roman"/>
        </w:rPr>
        <w:lastRenderedPageBreak/>
        <w:t>8</w:t>
      </w:r>
      <w:r w:rsidR="00744EFC" w:rsidRPr="00E869A4">
        <w:rPr>
          <w:rFonts w:eastAsia="Times New Roman"/>
        </w:rPr>
        <w:t>.2.5</w:t>
      </w:r>
      <w:r w:rsidR="00744EFC" w:rsidRPr="00E869A4">
        <w:t xml:space="preserve">     </w:t>
      </w:r>
      <w:r w:rsidR="00744EFC" w:rsidRPr="00E869A4">
        <w:rPr>
          <w:rFonts w:eastAsia="Times New Roman"/>
        </w:rPr>
        <w:t>Social Support Network</w:t>
      </w:r>
      <w:bookmarkEnd w:id="336"/>
    </w:p>
    <w:p w14:paraId="630C371A" w14:textId="77777777" w:rsidR="00744EFC" w:rsidRPr="00E869A4" w:rsidRDefault="00744EFC" w:rsidP="00744EFC">
      <w:pPr>
        <w:rPr>
          <w:rFonts w:ascii="Times New Roman" w:eastAsia="Times New Roman" w:hAnsi="Times New Roman" w:cs="Times New Roman"/>
        </w:rPr>
      </w:pPr>
    </w:p>
    <w:p w14:paraId="66AAD2DC" w14:textId="77777777"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Support from the social networks of the older person and their family caregiver was another important feature of the care resource system of the participants in this study. Their support networks consisted of other relatives (e.g. secondary family carers from the extended family that provided intermittent or regular support), friends and acquaintances (e.g. neighbours; members of a religious community and work/business associates). Of primary importance in the assessment of social support networks in this study was the perceived support provided by these individuals to the participants. Based on the feedback obtained from family caregivers and older care recipients, the assistance received from their social support networks could be described as limited, moderate or substantial. </w:t>
      </w:r>
    </w:p>
    <w:p w14:paraId="426829C6" w14:textId="77777777" w:rsidR="00744EFC" w:rsidRPr="00E869A4" w:rsidRDefault="00744EFC" w:rsidP="00744EFC">
      <w:pPr>
        <w:rPr>
          <w:rFonts w:ascii="Times New Roman" w:eastAsia="Times New Roman" w:hAnsi="Times New Roman" w:cs="Times New Roman"/>
        </w:rPr>
      </w:pPr>
    </w:p>
    <w:p w14:paraId="31176154" w14:textId="77777777" w:rsidR="00744EFC" w:rsidRPr="00E869A4" w:rsidRDefault="00744EFC" w:rsidP="00BD5AF8">
      <w:pPr>
        <w:pStyle w:val="Heading4"/>
        <w:rPr>
          <w:rFonts w:eastAsia="Times New Roman"/>
        </w:rPr>
      </w:pPr>
      <w:r w:rsidRPr="00E869A4">
        <w:rPr>
          <w:rFonts w:eastAsia="Times New Roman"/>
        </w:rPr>
        <w:t>Limited Social Support</w:t>
      </w:r>
    </w:p>
    <w:p w14:paraId="68FDA988" w14:textId="77777777" w:rsidR="00744EFC" w:rsidRPr="00E869A4" w:rsidRDefault="00744EFC" w:rsidP="00744EFC">
      <w:pPr>
        <w:rPr>
          <w:rFonts w:ascii="Times New Roman" w:eastAsia="Times New Roman" w:hAnsi="Times New Roman" w:cs="Times New Roman"/>
        </w:rPr>
      </w:pPr>
    </w:p>
    <w:p w14:paraId="665DB453" w14:textId="291B4BC4"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Uncle Wilton and Mr. Sanchez received limited social support from their friends and extended family. Based on the feedback obtained from Uncle Wilton and Mr. Birch, Uncle Wilton received no assistance from friends or associates. The social groups that he once belonged to were no longer active as most of the members were deceased or very ill</w:t>
      </w:r>
      <w:r w:rsidR="001B0D68" w:rsidRPr="00E869A4">
        <w:rPr>
          <w:rFonts w:ascii="Times New Roman" w:eastAsia="Times New Roman" w:hAnsi="Times New Roman" w:cs="Times New Roman"/>
        </w:rPr>
        <w:t>.</w:t>
      </w:r>
    </w:p>
    <w:p w14:paraId="33DBBFE6" w14:textId="77777777" w:rsidR="00744EFC" w:rsidRPr="00E869A4" w:rsidRDefault="00744EFC" w:rsidP="00B94289">
      <w:pPr>
        <w:autoSpaceDE w:val="0"/>
        <w:autoSpaceDN w:val="0"/>
        <w:adjustRightInd w:val="0"/>
        <w:spacing w:line="240" w:lineRule="auto"/>
        <w:rPr>
          <w:rFonts w:ascii="Times New Roman" w:eastAsia="Times New Roman" w:hAnsi="Times New Roman" w:cs="Times New Roman"/>
        </w:rPr>
      </w:pPr>
    </w:p>
    <w:p w14:paraId="105DBC0A" w14:textId="2803C1E5" w:rsidR="00744EFC" w:rsidRPr="00E869A4" w:rsidRDefault="00744EFC" w:rsidP="00677E2A">
      <w:pPr>
        <w:spacing w:line="240" w:lineRule="auto"/>
        <w:ind w:left="567"/>
        <w:rPr>
          <w:rFonts w:ascii="Times New Roman" w:eastAsia="Times New Roman" w:hAnsi="Times New Roman" w:cs="Times New Roman"/>
          <w:b/>
        </w:rPr>
      </w:pPr>
      <w:r w:rsidRPr="00E869A4">
        <w:rPr>
          <w:rFonts w:ascii="Times New Roman" w:eastAsia="Times New Roman" w:hAnsi="Times New Roman" w:cs="Times New Roman"/>
          <w:i/>
        </w:rPr>
        <w:t>Uncle Wilton</w:t>
      </w:r>
      <w:r w:rsidRPr="00E869A4">
        <w:rPr>
          <w:rFonts w:ascii="Times New Roman" w:eastAsia="Times New Roman" w:hAnsi="Times New Roman" w:cs="Times New Roman"/>
          <w:b/>
        </w:rPr>
        <w:t xml:space="preserve">: </w:t>
      </w:r>
      <w:r w:rsidR="00055C55" w:rsidRPr="00E869A4">
        <w:rPr>
          <w:rFonts w:ascii="Times New Roman" w:eastAsia="Times New Roman" w:hAnsi="Times New Roman" w:cs="Times New Roman"/>
          <w:b/>
        </w:rPr>
        <w:t>“</w:t>
      </w:r>
      <w:r w:rsidRPr="00E869A4">
        <w:rPr>
          <w:rFonts w:ascii="Times New Roman" w:eastAsia="Times New Roman" w:hAnsi="Times New Roman" w:cs="Times New Roman"/>
        </w:rPr>
        <w:t xml:space="preserve">We had ah church group yuh know </w:t>
      </w:r>
      <w:r w:rsidR="001B0D68" w:rsidRPr="00E869A4">
        <w:rPr>
          <w:rFonts w:ascii="Times New Roman" w:eastAsia="Times New Roman" w:hAnsi="Times New Roman" w:cs="Times New Roman"/>
        </w:rPr>
        <w:t>…</w:t>
      </w:r>
      <w:r w:rsidRPr="00E869A4">
        <w:rPr>
          <w:rFonts w:ascii="Times New Roman" w:eastAsia="Times New Roman" w:hAnsi="Times New Roman" w:cs="Times New Roman"/>
        </w:rPr>
        <w:t xml:space="preserve"> we used it to visit four different churches in a month with de group but de group kinda break up now, since</w:t>
      </w:r>
      <w:r w:rsidR="001B0D68"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the </w:t>
      </w:r>
      <w:r w:rsidR="001B0D68" w:rsidRPr="00E869A4">
        <w:rPr>
          <w:rFonts w:ascii="Times New Roman" w:eastAsia="Times New Roman" w:hAnsi="Times New Roman" w:cs="Times New Roman"/>
        </w:rPr>
        <w:t xml:space="preserve">majority of the members die out </w:t>
      </w:r>
      <w:r w:rsidRPr="00E869A4">
        <w:rPr>
          <w:rFonts w:ascii="Times New Roman" w:eastAsia="Times New Roman" w:hAnsi="Times New Roman" w:cs="Times New Roman"/>
        </w:rPr>
        <w:t xml:space="preserve">... it end up with </w:t>
      </w:r>
      <w:r w:rsidR="00677E2A" w:rsidRPr="00E869A4">
        <w:rPr>
          <w:rFonts w:ascii="Times New Roman" w:eastAsia="Times New Roman" w:hAnsi="Times New Roman" w:cs="Times New Roman"/>
        </w:rPr>
        <w:t>…</w:t>
      </w:r>
      <w:r w:rsidRPr="00E869A4">
        <w:rPr>
          <w:rFonts w:ascii="Times New Roman" w:eastAsia="Times New Roman" w:hAnsi="Times New Roman" w:cs="Times New Roman"/>
        </w:rPr>
        <w:t xml:space="preserve"> four of us. Since I get sick everything turn ole mas, but de group break up now</w:t>
      </w:r>
      <w:r w:rsidR="00677E2A"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w:t>
      </w:r>
      <w:r w:rsidR="001B0D68" w:rsidRPr="00E869A4">
        <w:rPr>
          <w:rFonts w:ascii="Times New Roman" w:eastAsia="Times New Roman" w:hAnsi="Times New Roman" w:cs="Times New Roman"/>
        </w:rPr>
        <w:t>O</w:t>
      </w:r>
      <w:r w:rsidRPr="00E869A4">
        <w:rPr>
          <w:rFonts w:ascii="Times New Roman" w:eastAsia="Times New Roman" w:hAnsi="Times New Roman" w:cs="Times New Roman"/>
        </w:rPr>
        <w:t>ne of de group members, does come here every month now tuh give me communion once ah month</w:t>
      </w:r>
      <w:r w:rsidR="00DC656C" w:rsidRPr="00E869A4">
        <w:rPr>
          <w:rFonts w:ascii="Times New Roman" w:eastAsia="Times New Roman" w:hAnsi="Times New Roman" w:cs="Times New Roman"/>
        </w:rPr>
        <w:t>.</w:t>
      </w:r>
      <w:r w:rsidR="00055C55" w:rsidRPr="00E869A4">
        <w:rPr>
          <w:rFonts w:ascii="Times New Roman" w:eastAsia="Times New Roman" w:hAnsi="Times New Roman" w:cs="Times New Roman"/>
        </w:rPr>
        <w:t>”</w:t>
      </w:r>
      <w:r w:rsidRPr="00E869A4">
        <w:rPr>
          <w:rFonts w:ascii="Times New Roman" w:eastAsia="Times New Roman" w:hAnsi="Times New Roman" w:cs="Times New Roman"/>
          <w:b/>
        </w:rPr>
        <w:t xml:space="preserve"> </w:t>
      </w:r>
    </w:p>
    <w:p w14:paraId="27C72F13" w14:textId="77777777" w:rsidR="00677E2A" w:rsidRPr="00E869A4" w:rsidRDefault="00677E2A" w:rsidP="00677E2A">
      <w:pPr>
        <w:spacing w:line="240" w:lineRule="auto"/>
        <w:ind w:left="567"/>
        <w:rPr>
          <w:rFonts w:ascii="Times New Roman" w:eastAsia="Times New Roman" w:hAnsi="Times New Roman" w:cs="Times New Roman"/>
          <w:b/>
        </w:rPr>
      </w:pPr>
    </w:p>
    <w:p w14:paraId="77038B2B" w14:textId="33E3F900" w:rsidR="00744EFC" w:rsidRPr="00E869A4" w:rsidRDefault="00744EFC" w:rsidP="00677E2A">
      <w:pPr>
        <w:spacing w:line="240" w:lineRule="auto"/>
        <w:ind w:left="567"/>
        <w:rPr>
          <w:rFonts w:ascii="Times New Roman" w:eastAsia="Times New Roman" w:hAnsi="Times New Roman" w:cs="Times New Roman"/>
        </w:rPr>
      </w:pPr>
      <w:r w:rsidRPr="00E869A4">
        <w:rPr>
          <w:rFonts w:ascii="Times New Roman" w:eastAsia="Times New Roman" w:hAnsi="Times New Roman" w:cs="Times New Roman"/>
          <w:i/>
        </w:rPr>
        <w:t>Hyacinth</w:t>
      </w:r>
      <w:r w:rsidRPr="00E869A4">
        <w:rPr>
          <w:rFonts w:ascii="Times New Roman" w:eastAsia="Times New Roman" w:hAnsi="Times New Roman" w:cs="Times New Roman"/>
        </w:rPr>
        <w:t xml:space="preserve">:  </w:t>
      </w:r>
      <w:r w:rsidR="00055C55" w:rsidRPr="00E869A4">
        <w:rPr>
          <w:rFonts w:ascii="Times New Roman" w:eastAsia="Times New Roman" w:hAnsi="Times New Roman" w:cs="Times New Roman"/>
        </w:rPr>
        <w:t>“</w:t>
      </w:r>
      <w:r w:rsidRPr="00E869A4">
        <w:rPr>
          <w:rFonts w:ascii="Times New Roman" w:eastAsia="Times New Roman" w:hAnsi="Times New Roman" w:cs="Times New Roman"/>
        </w:rPr>
        <w:t>[Are there] any [other] groups that you are part of now?</w:t>
      </w:r>
      <w:r w:rsidR="00055C55" w:rsidRPr="00E869A4">
        <w:rPr>
          <w:rFonts w:ascii="Times New Roman" w:eastAsia="Times New Roman" w:hAnsi="Times New Roman" w:cs="Times New Roman"/>
        </w:rPr>
        <w:t>”</w:t>
      </w:r>
    </w:p>
    <w:p w14:paraId="440DF138" w14:textId="77777777" w:rsidR="00677E2A" w:rsidRPr="00E869A4" w:rsidRDefault="00677E2A" w:rsidP="00677E2A">
      <w:pPr>
        <w:spacing w:line="240" w:lineRule="auto"/>
        <w:ind w:left="567"/>
        <w:rPr>
          <w:rFonts w:ascii="Times New Roman" w:eastAsia="Times New Roman" w:hAnsi="Times New Roman" w:cs="Times New Roman"/>
          <w:b/>
        </w:rPr>
      </w:pPr>
    </w:p>
    <w:p w14:paraId="5DFEF205" w14:textId="2FBCE99E" w:rsidR="00744EFC" w:rsidRPr="00E869A4" w:rsidRDefault="00744EFC" w:rsidP="00677E2A">
      <w:pPr>
        <w:spacing w:line="240" w:lineRule="auto"/>
        <w:ind w:left="567"/>
        <w:rPr>
          <w:rFonts w:ascii="Times New Roman" w:eastAsia="Times New Roman" w:hAnsi="Times New Roman" w:cs="Times New Roman"/>
        </w:rPr>
      </w:pPr>
      <w:r w:rsidRPr="00E869A4">
        <w:rPr>
          <w:rFonts w:ascii="Times New Roman" w:eastAsia="Times New Roman" w:hAnsi="Times New Roman" w:cs="Times New Roman"/>
          <w:i/>
        </w:rPr>
        <w:t>Uncle Wilton</w:t>
      </w:r>
      <w:r w:rsidRPr="00E869A4">
        <w:rPr>
          <w:rFonts w:ascii="Times New Roman" w:eastAsia="Times New Roman" w:hAnsi="Times New Roman" w:cs="Times New Roman"/>
        </w:rPr>
        <w:t xml:space="preserve">:  </w:t>
      </w:r>
      <w:r w:rsidR="00055C55" w:rsidRPr="00E869A4">
        <w:rPr>
          <w:rFonts w:ascii="Times New Roman" w:eastAsia="Times New Roman" w:hAnsi="Times New Roman" w:cs="Times New Roman"/>
        </w:rPr>
        <w:t>“</w:t>
      </w:r>
      <w:r w:rsidRPr="00E869A4">
        <w:rPr>
          <w:rFonts w:ascii="Times New Roman" w:eastAsia="Times New Roman" w:hAnsi="Times New Roman" w:cs="Times New Roman"/>
        </w:rPr>
        <w:t>Before dat church group we had [ah] senior citizens club … Well de club mash up because  ... de last President we had, he died. The founder of the group, she come and she get senile, so well de members start moving out and the majority of de members dead because it was a senior citizen’s club with old people.</w:t>
      </w:r>
      <w:r w:rsidR="00055C55" w:rsidRPr="00E869A4">
        <w:rPr>
          <w:rFonts w:ascii="Times New Roman" w:eastAsia="Times New Roman" w:hAnsi="Times New Roman" w:cs="Times New Roman"/>
        </w:rPr>
        <w:t>”</w:t>
      </w:r>
    </w:p>
    <w:p w14:paraId="4B3BD36D" w14:textId="77777777" w:rsidR="00463753" w:rsidRPr="00E869A4" w:rsidRDefault="00463753" w:rsidP="00744EFC">
      <w:pPr>
        <w:rPr>
          <w:rFonts w:ascii="Times New Roman" w:eastAsia="Times New Roman" w:hAnsi="Times New Roman" w:cs="Times New Roman"/>
        </w:rPr>
      </w:pPr>
    </w:p>
    <w:p w14:paraId="29959611" w14:textId="390D5699" w:rsidR="00744EFC" w:rsidRPr="00E869A4" w:rsidRDefault="00A54EDA" w:rsidP="00744EFC">
      <w:pPr>
        <w:rPr>
          <w:rFonts w:ascii="Times New Roman" w:eastAsia="Times New Roman" w:hAnsi="Times New Roman" w:cs="Times New Roman"/>
        </w:rPr>
      </w:pPr>
      <w:r w:rsidRPr="00E869A4">
        <w:rPr>
          <w:rFonts w:ascii="Times New Roman" w:eastAsia="Times New Roman" w:hAnsi="Times New Roman" w:cs="Times New Roman"/>
        </w:rPr>
        <w:t xml:space="preserve">As noted in the previous chapter, </w:t>
      </w:r>
      <w:r w:rsidR="00744EFC" w:rsidRPr="00E869A4">
        <w:rPr>
          <w:rFonts w:ascii="Times New Roman" w:eastAsia="Times New Roman" w:hAnsi="Times New Roman" w:cs="Times New Roman"/>
        </w:rPr>
        <w:t>Mrs. Sanchez complained about receiving insufficient or no support from Mr. Sanchez’s family and friends</w:t>
      </w:r>
      <w:r w:rsidRPr="00E869A4">
        <w:rPr>
          <w:rFonts w:ascii="Times New Roman" w:eastAsia="Times New Roman" w:hAnsi="Times New Roman" w:cs="Times New Roman"/>
        </w:rPr>
        <w:t xml:space="preserve">. </w:t>
      </w:r>
      <w:r w:rsidR="00744EFC" w:rsidRPr="00E869A4">
        <w:rPr>
          <w:rFonts w:ascii="Times New Roman" w:eastAsia="Times New Roman" w:hAnsi="Times New Roman" w:cs="Times New Roman"/>
        </w:rPr>
        <w:t xml:space="preserve">When asked about support from her biological relatives, she indicated that they did not assist her with </w:t>
      </w:r>
      <w:r w:rsidRPr="00E869A4">
        <w:rPr>
          <w:rFonts w:ascii="Times New Roman" w:eastAsia="Times New Roman" w:hAnsi="Times New Roman" w:cs="Times New Roman"/>
        </w:rPr>
        <w:t xml:space="preserve">caring for her husband either. Also, </w:t>
      </w:r>
      <w:r w:rsidR="00CE4301" w:rsidRPr="00E869A4">
        <w:rPr>
          <w:rFonts w:ascii="Times New Roman" w:eastAsia="Times New Roman" w:hAnsi="Times New Roman" w:cs="Times New Roman"/>
        </w:rPr>
        <w:t>al</w:t>
      </w:r>
      <w:r w:rsidRPr="00E869A4">
        <w:rPr>
          <w:rFonts w:ascii="Times New Roman" w:eastAsia="Times New Roman" w:hAnsi="Times New Roman" w:cs="Times New Roman"/>
        </w:rPr>
        <w:t>t</w:t>
      </w:r>
      <w:r w:rsidR="00744EFC" w:rsidRPr="00E869A4">
        <w:rPr>
          <w:rFonts w:ascii="Times New Roman" w:eastAsia="Times New Roman" w:hAnsi="Times New Roman" w:cs="Times New Roman"/>
        </w:rPr>
        <w:t xml:space="preserve">hough she and Mr. Sanchez were both members of a civil society organisation, Mrs. Sanchez complained the club did not </w:t>
      </w:r>
      <w:r w:rsidR="00744EFC" w:rsidRPr="00E869A4">
        <w:rPr>
          <w:rFonts w:ascii="Times New Roman" w:eastAsia="Times New Roman" w:hAnsi="Times New Roman" w:cs="Times New Roman"/>
        </w:rPr>
        <w:lastRenderedPageBreak/>
        <w:t>support its members properly. She was disappointed by their lack of support to her husband, as he was actively involved in performing charitable work with the club for many years</w:t>
      </w:r>
      <w:r w:rsidR="00055C55" w:rsidRPr="00E869A4">
        <w:rPr>
          <w:rFonts w:ascii="Times New Roman" w:eastAsia="Times New Roman" w:hAnsi="Times New Roman" w:cs="Times New Roman"/>
        </w:rPr>
        <w:t>:</w:t>
      </w:r>
    </w:p>
    <w:p w14:paraId="6AAAE237" w14:textId="77777777" w:rsidR="00744EFC" w:rsidRPr="00E869A4" w:rsidRDefault="00744EFC" w:rsidP="00B94289">
      <w:pPr>
        <w:autoSpaceDE w:val="0"/>
        <w:autoSpaceDN w:val="0"/>
        <w:adjustRightInd w:val="0"/>
        <w:spacing w:line="240" w:lineRule="auto"/>
        <w:rPr>
          <w:rFonts w:ascii="Times New Roman" w:eastAsia="Times New Roman" w:hAnsi="Times New Roman" w:cs="Times New Roman"/>
        </w:rPr>
      </w:pPr>
    </w:p>
    <w:p w14:paraId="38B5423B" w14:textId="25EC9E5F" w:rsidR="00744EFC" w:rsidRPr="00E869A4" w:rsidRDefault="00744EFC" w:rsidP="00B752E2">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Even though he was a member they don’t come and see after him at all!</w:t>
      </w:r>
      <w:r w:rsidR="00A54EDA"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Pr="00E869A4">
        <w:t xml:space="preserve"> </w:t>
      </w:r>
      <w:r w:rsidRPr="00E869A4">
        <w:rPr>
          <w:rFonts w:ascii="Times New Roman" w:eastAsia="Times New Roman" w:hAnsi="Times New Roman" w:cs="Times New Roman"/>
        </w:rPr>
        <w:t>That man [heading the organisation] is a money bag</w:t>
      </w:r>
      <w:r w:rsidR="00B752E2" w:rsidRPr="00E869A4">
        <w:rPr>
          <w:rFonts w:ascii="Times New Roman" w:eastAsia="Times New Roman" w:hAnsi="Times New Roman" w:cs="Times New Roman"/>
        </w:rPr>
        <w:t xml:space="preserve"> </w:t>
      </w:r>
      <w:r w:rsidRPr="00E869A4">
        <w:rPr>
          <w:rFonts w:ascii="Times New Roman" w:eastAsia="Times New Roman" w:hAnsi="Times New Roman" w:cs="Times New Roman"/>
        </w:rPr>
        <w:t>… all he does study is the money</w:t>
      </w:r>
      <w:r w:rsidR="00B752E2" w:rsidRPr="00E869A4">
        <w:rPr>
          <w:rFonts w:ascii="Times New Roman" w:eastAsia="Times New Roman" w:hAnsi="Times New Roman" w:cs="Times New Roman"/>
        </w:rPr>
        <w:t xml:space="preserve"> … </w:t>
      </w:r>
      <w:r w:rsidRPr="00E869A4">
        <w:rPr>
          <w:rFonts w:ascii="Times New Roman" w:eastAsia="Times New Roman" w:hAnsi="Times New Roman" w:cs="Times New Roman"/>
        </w:rPr>
        <w:t>[My husband] did a lot</w:t>
      </w:r>
      <w:r w:rsidR="00B752E2"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give his all and when he got sick and he </w:t>
      </w:r>
      <w:r w:rsidR="00A54EDA" w:rsidRPr="00E869A4">
        <w:rPr>
          <w:rFonts w:ascii="Times New Roman" w:eastAsia="Times New Roman" w:hAnsi="Times New Roman" w:cs="Times New Roman"/>
        </w:rPr>
        <w:t>retired,</w:t>
      </w:r>
      <w:r w:rsidRPr="00E869A4">
        <w:rPr>
          <w:rFonts w:ascii="Times New Roman" w:eastAsia="Times New Roman" w:hAnsi="Times New Roman" w:cs="Times New Roman"/>
        </w:rPr>
        <w:t xml:space="preserve"> [they didn’t help him]</w:t>
      </w:r>
      <w:r w:rsidR="00B752E2"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[Mr. Sanchez was a </w:t>
      </w:r>
      <w:r w:rsidR="00A54EDA" w:rsidRPr="00E869A4">
        <w:rPr>
          <w:rFonts w:ascii="Times New Roman" w:eastAsia="Times New Roman" w:hAnsi="Times New Roman" w:cs="Times New Roman"/>
        </w:rPr>
        <w:t>high-ranking</w:t>
      </w:r>
      <w:r w:rsidRPr="00E869A4">
        <w:rPr>
          <w:rFonts w:ascii="Times New Roman" w:eastAsia="Times New Roman" w:hAnsi="Times New Roman" w:cs="Times New Roman"/>
        </w:rPr>
        <w:t xml:space="preserve"> official in the group].  But, the man who is in charge of it he is the problem; he’s not a nice person. He makes thousands of dollars when the day comes with that place: pockets everything</w:t>
      </w:r>
      <w:r w:rsidR="00A54EDA"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A54EDA" w:rsidRPr="00E869A4">
        <w:rPr>
          <w:rFonts w:ascii="Times New Roman" w:eastAsia="Times New Roman" w:hAnsi="Times New Roman" w:cs="Times New Roman"/>
        </w:rPr>
        <w:t xml:space="preserve"> </w:t>
      </w:r>
      <w:r w:rsidRPr="00E869A4">
        <w:rPr>
          <w:rFonts w:ascii="Times New Roman" w:eastAsia="Times New Roman" w:hAnsi="Times New Roman" w:cs="Times New Roman"/>
        </w:rPr>
        <w:t>he don’t care about the members: he don’t care.</w:t>
      </w:r>
    </w:p>
    <w:p w14:paraId="3DCB4AD0" w14:textId="77777777" w:rsidR="00744EFC" w:rsidRPr="00E869A4" w:rsidRDefault="00744EFC" w:rsidP="00B94289">
      <w:pPr>
        <w:autoSpaceDE w:val="0"/>
        <w:autoSpaceDN w:val="0"/>
        <w:adjustRightInd w:val="0"/>
        <w:spacing w:line="240" w:lineRule="auto"/>
        <w:rPr>
          <w:rFonts w:ascii="Times New Roman" w:eastAsia="Times New Roman" w:hAnsi="Times New Roman" w:cs="Times New Roman"/>
        </w:rPr>
      </w:pPr>
    </w:p>
    <w:p w14:paraId="3B01E11C" w14:textId="77777777" w:rsidR="00744EFC" w:rsidRPr="00E869A4" w:rsidRDefault="00744EFC" w:rsidP="0031040A">
      <w:pPr>
        <w:pStyle w:val="Heading5"/>
        <w:rPr>
          <w:rFonts w:eastAsia="Times New Roman"/>
          <w:color w:val="auto"/>
        </w:rPr>
      </w:pPr>
      <w:r w:rsidRPr="00E869A4">
        <w:rPr>
          <w:rFonts w:eastAsia="Times New Roman"/>
          <w:color w:val="auto"/>
        </w:rPr>
        <w:t xml:space="preserve">Moderate </w:t>
      </w:r>
      <w:r w:rsidR="00BD5AF8" w:rsidRPr="00E869A4">
        <w:rPr>
          <w:rFonts w:eastAsia="Times New Roman"/>
          <w:color w:val="auto"/>
        </w:rPr>
        <w:t>s</w:t>
      </w:r>
      <w:r w:rsidRPr="00E869A4">
        <w:rPr>
          <w:rFonts w:eastAsia="Times New Roman"/>
          <w:color w:val="auto"/>
        </w:rPr>
        <w:t xml:space="preserve">ocial </w:t>
      </w:r>
      <w:r w:rsidR="00BD5AF8" w:rsidRPr="00E869A4">
        <w:rPr>
          <w:rFonts w:eastAsia="Times New Roman"/>
          <w:color w:val="auto"/>
        </w:rPr>
        <w:t>s</w:t>
      </w:r>
      <w:r w:rsidRPr="00E869A4">
        <w:rPr>
          <w:rFonts w:eastAsia="Times New Roman"/>
          <w:color w:val="auto"/>
        </w:rPr>
        <w:t xml:space="preserve">upport </w:t>
      </w:r>
    </w:p>
    <w:p w14:paraId="5225B6F4" w14:textId="77777777" w:rsidR="00744EFC" w:rsidRPr="00E869A4" w:rsidRDefault="00744EFC" w:rsidP="00744EFC">
      <w:pPr>
        <w:rPr>
          <w:rFonts w:ascii="Times New Roman" w:eastAsia="Times New Roman" w:hAnsi="Times New Roman" w:cs="Times New Roman"/>
        </w:rPr>
      </w:pPr>
    </w:p>
    <w:p w14:paraId="2C95FFCB" w14:textId="70FD0DB1"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Tanty Edna, Mr. Khan, Ms. Violet, Mr. Druman and Mr. Flora received moderate social support from their social networks </w:t>
      </w:r>
      <w:r w:rsidR="00C46048" w:rsidRPr="00E869A4">
        <w:rPr>
          <w:rFonts w:ascii="Times New Roman" w:eastAsia="Times New Roman" w:hAnsi="Times New Roman" w:cs="Times New Roman"/>
        </w:rPr>
        <w:t>as well as</w:t>
      </w:r>
      <w:r w:rsidRPr="00E869A4">
        <w:rPr>
          <w:rFonts w:ascii="Times New Roman" w:eastAsia="Times New Roman" w:hAnsi="Times New Roman" w:cs="Times New Roman"/>
        </w:rPr>
        <w:t xml:space="preserve"> that of their primary family carer. This support was usually from religious organisations that they or their family caregiver belonged to, and in some instances from their neighbours. Tanty Edna’s main source of social support was from her family caregiver’s network. Her caregiver (Adelina) used her social network to reduce the waiting time for Tanty to be assigned a GAPP caregiver by the State. Adelina was also able to obtain home based religious care for Tanty via her connections to a particular religious body. </w:t>
      </w:r>
    </w:p>
    <w:p w14:paraId="1182DF4C" w14:textId="77777777" w:rsidR="00744EFC" w:rsidRPr="00E869A4" w:rsidRDefault="00744EFC" w:rsidP="00744EFC">
      <w:pPr>
        <w:rPr>
          <w:rFonts w:ascii="Times New Roman" w:eastAsia="Times New Roman" w:hAnsi="Times New Roman" w:cs="Times New Roman"/>
        </w:rPr>
      </w:pPr>
    </w:p>
    <w:p w14:paraId="64BD2433" w14:textId="63DA90F5"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Mr. Khan received moderate social support from his </w:t>
      </w:r>
      <w:r w:rsidR="00263947" w:rsidRPr="00E869A4">
        <w:rPr>
          <w:rFonts w:ascii="Times New Roman" w:eastAsia="Times New Roman" w:hAnsi="Times New Roman" w:cs="Times New Roman"/>
        </w:rPr>
        <w:t>church, which</w:t>
      </w:r>
      <w:r w:rsidRPr="00E869A4">
        <w:rPr>
          <w:rFonts w:ascii="Times New Roman" w:eastAsia="Times New Roman" w:hAnsi="Times New Roman" w:cs="Times New Roman"/>
        </w:rPr>
        <w:t xml:space="preserve"> assisted him financially and spiritually. Ms. Violet and Mr. Druman received moderate social support from members of their church as well. In addition to helping meet their spiritual needs and giving them an opportunity to engage with others socially, they both received practical support. As indicated previously, Ms. Violet received assistance with transportation from her Pastor. Both Ms. Violet and Mr. Druman were able to source paid caregivers via their church. </w:t>
      </w:r>
    </w:p>
    <w:p w14:paraId="0EEDF93A" w14:textId="77777777" w:rsidR="008B7BBF" w:rsidRPr="00E869A4" w:rsidRDefault="008B7BBF" w:rsidP="00744EFC">
      <w:pPr>
        <w:rPr>
          <w:rFonts w:ascii="Times New Roman" w:eastAsia="Times New Roman" w:hAnsi="Times New Roman" w:cs="Times New Roman"/>
        </w:rPr>
      </w:pPr>
    </w:p>
    <w:p w14:paraId="161C1D64" w14:textId="04778F60"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Mr. Flora and his wife received practical support from their neighbours who would on occasion supply them with free meals and food items. Mrs. Flora was well known in her community and would often get free rides to her local shops. Even though the transportation assistance was not directly provided to Mr. Flora who was being cared for by Mrs. Flora, it is still worthy of note as Mrs. Flora was an older person and had health challenges of her own. Thus, Mr. Flora indirectly benefitted when she received </w:t>
      </w:r>
      <w:r w:rsidRPr="00E869A4">
        <w:rPr>
          <w:rFonts w:ascii="Times New Roman" w:eastAsia="Times New Roman" w:hAnsi="Times New Roman" w:cs="Times New Roman"/>
        </w:rPr>
        <w:lastRenderedPageBreak/>
        <w:t>assistance from her neighbours in performing duties that w</w:t>
      </w:r>
      <w:r w:rsidR="00055C55" w:rsidRPr="00E869A4">
        <w:rPr>
          <w:rFonts w:ascii="Times New Roman" w:eastAsia="Times New Roman" w:hAnsi="Times New Roman" w:cs="Times New Roman"/>
        </w:rPr>
        <w:t>ere</w:t>
      </w:r>
      <w:r w:rsidRPr="00E869A4">
        <w:rPr>
          <w:rFonts w:ascii="Times New Roman" w:eastAsia="Times New Roman" w:hAnsi="Times New Roman" w:cs="Times New Roman"/>
        </w:rPr>
        <w:t xml:space="preserve"> associated with her being able to </w:t>
      </w:r>
      <w:r w:rsidR="00263947" w:rsidRPr="00E869A4">
        <w:rPr>
          <w:rFonts w:ascii="Times New Roman" w:eastAsia="Times New Roman" w:hAnsi="Times New Roman" w:cs="Times New Roman"/>
        </w:rPr>
        <w:t>care for</w:t>
      </w:r>
      <w:r w:rsidRPr="00E869A4">
        <w:rPr>
          <w:rFonts w:ascii="Times New Roman" w:eastAsia="Times New Roman" w:hAnsi="Times New Roman" w:cs="Times New Roman"/>
        </w:rPr>
        <w:t xml:space="preserve"> him. </w:t>
      </w:r>
    </w:p>
    <w:p w14:paraId="4FA03967" w14:textId="77777777" w:rsidR="00744EFC" w:rsidRPr="00E869A4" w:rsidRDefault="00744EFC" w:rsidP="00744EFC">
      <w:pPr>
        <w:rPr>
          <w:rFonts w:ascii="Times New Roman" w:eastAsia="Times New Roman" w:hAnsi="Times New Roman" w:cs="Times New Roman"/>
        </w:rPr>
      </w:pPr>
    </w:p>
    <w:p w14:paraId="50C70779" w14:textId="0E1962FA"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i/>
          <w:u w:val="single"/>
        </w:rPr>
        <w:t xml:space="preserve">Substantial </w:t>
      </w:r>
      <w:r w:rsidR="00BD5AF8" w:rsidRPr="00E869A4">
        <w:rPr>
          <w:rFonts w:ascii="Times New Roman" w:eastAsia="Times New Roman" w:hAnsi="Times New Roman" w:cs="Times New Roman"/>
          <w:i/>
          <w:u w:val="single"/>
        </w:rPr>
        <w:t>s</w:t>
      </w:r>
      <w:r w:rsidRPr="00E869A4">
        <w:rPr>
          <w:rFonts w:ascii="Times New Roman" w:eastAsia="Times New Roman" w:hAnsi="Times New Roman" w:cs="Times New Roman"/>
          <w:i/>
          <w:u w:val="single"/>
        </w:rPr>
        <w:t xml:space="preserve">ocial </w:t>
      </w:r>
      <w:r w:rsidR="00BD5AF8" w:rsidRPr="00E869A4">
        <w:rPr>
          <w:rFonts w:ascii="Times New Roman" w:eastAsia="Times New Roman" w:hAnsi="Times New Roman" w:cs="Times New Roman"/>
          <w:i/>
          <w:u w:val="single"/>
        </w:rPr>
        <w:t>s</w:t>
      </w:r>
      <w:r w:rsidRPr="00E869A4">
        <w:rPr>
          <w:rFonts w:ascii="Times New Roman" w:eastAsia="Times New Roman" w:hAnsi="Times New Roman" w:cs="Times New Roman"/>
          <w:i/>
          <w:u w:val="single"/>
        </w:rPr>
        <w:t>upport</w:t>
      </w:r>
      <w:r w:rsidRPr="00E869A4">
        <w:rPr>
          <w:rFonts w:ascii="Times New Roman" w:eastAsia="Times New Roman" w:hAnsi="Times New Roman" w:cs="Times New Roman"/>
        </w:rPr>
        <w:t xml:space="preserve"> </w:t>
      </w:r>
    </w:p>
    <w:p w14:paraId="7E768BBD" w14:textId="77777777" w:rsidR="00744EFC" w:rsidRPr="00E869A4" w:rsidRDefault="00744EFC" w:rsidP="00744EFC">
      <w:pPr>
        <w:rPr>
          <w:rFonts w:ascii="Times New Roman" w:eastAsia="Times New Roman" w:hAnsi="Times New Roman" w:cs="Times New Roman"/>
        </w:rPr>
      </w:pPr>
    </w:p>
    <w:p w14:paraId="24DBC93F" w14:textId="39861208"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Mother Freeda and Ms. Kumar received considerably more support from their social support network than the other older participants</w:t>
      </w:r>
      <w:r w:rsidR="00AA1BE3" w:rsidRPr="00E869A4">
        <w:rPr>
          <w:rFonts w:ascii="Times New Roman" w:eastAsia="Times New Roman" w:hAnsi="Times New Roman" w:cs="Times New Roman"/>
        </w:rPr>
        <w:t xml:space="preserve"> did</w:t>
      </w:r>
      <w:r w:rsidRPr="00E869A4">
        <w:rPr>
          <w:rFonts w:ascii="Times New Roman" w:eastAsia="Times New Roman" w:hAnsi="Times New Roman" w:cs="Times New Roman"/>
        </w:rPr>
        <w:t xml:space="preserve">. Mother Freeda’s social support network included her extended family and her church community. Her daughter-in-law and grandchildren provided her with emotional support. Her church family helped her with her spiritual and social needs in </w:t>
      </w:r>
      <w:r w:rsidR="00055C55" w:rsidRPr="00E869A4">
        <w:rPr>
          <w:rFonts w:ascii="Times New Roman" w:eastAsia="Times New Roman" w:hAnsi="Times New Roman" w:cs="Times New Roman"/>
        </w:rPr>
        <w:t xml:space="preserve">intangible and </w:t>
      </w:r>
      <w:r w:rsidRPr="00E869A4">
        <w:rPr>
          <w:rFonts w:ascii="Times New Roman" w:eastAsia="Times New Roman" w:hAnsi="Times New Roman" w:cs="Times New Roman"/>
        </w:rPr>
        <w:t xml:space="preserve">tangible ways (e.g. free transportation to and from church services). Her daughter Sheila’s social </w:t>
      </w:r>
      <w:r w:rsidR="00AA1BE3" w:rsidRPr="00E869A4">
        <w:rPr>
          <w:rFonts w:ascii="Times New Roman" w:eastAsia="Times New Roman" w:hAnsi="Times New Roman" w:cs="Times New Roman"/>
        </w:rPr>
        <w:t>network, which</w:t>
      </w:r>
      <w:r w:rsidRPr="00E869A4">
        <w:rPr>
          <w:rFonts w:ascii="Times New Roman" w:eastAsia="Times New Roman" w:hAnsi="Times New Roman" w:cs="Times New Roman"/>
        </w:rPr>
        <w:t xml:space="preserve"> largely came from a church community, was another source of practical support</w:t>
      </w:r>
      <w:r w:rsidR="000C775C" w:rsidRPr="00E869A4">
        <w:rPr>
          <w:rFonts w:ascii="Times New Roman" w:eastAsia="Times New Roman" w:hAnsi="Times New Roman" w:cs="Times New Roman"/>
        </w:rPr>
        <w:t>, for example,</w:t>
      </w:r>
      <w:r w:rsidRPr="00E869A4">
        <w:rPr>
          <w:rFonts w:ascii="Times New Roman" w:eastAsia="Times New Roman" w:hAnsi="Times New Roman" w:cs="Times New Roman"/>
        </w:rPr>
        <w:t xml:space="preserve"> a previous paid live-in caregiver, as well as the care she received at home once a week from a masseuse and a physiotherapist were all sourced from Sheila’s church community.  </w:t>
      </w:r>
    </w:p>
    <w:p w14:paraId="7EF6C604" w14:textId="77777777" w:rsidR="00AA1BE3" w:rsidRPr="00E869A4" w:rsidRDefault="00AA1BE3" w:rsidP="00744EFC">
      <w:pPr>
        <w:rPr>
          <w:rFonts w:ascii="Times New Roman" w:eastAsia="Times New Roman" w:hAnsi="Times New Roman" w:cs="Times New Roman"/>
        </w:rPr>
      </w:pPr>
    </w:p>
    <w:p w14:paraId="37033790" w14:textId="77777777" w:rsidR="002D012B"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Ms. Kumar received support from the members of her church, her circle of friends that she referred to as </w:t>
      </w:r>
      <w:r w:rsidR="00AA1BE3" w:rsidRPr="00E869A4">
        <w:rPr>
          <w:rFonts w:ascii="Times New Roman" w:eastAsia="Times New Roman" w:hAnsi="Times New Roman" w:cs="Times New Roman"/>
        </w:rPr>
        <w:t>the ‘</w:t>
      </w:r>
      <w:r w:rsidRPr="00E869A4">
        <w:rPr>
          <w:rFonts w:ascii="Times New Roman" w:eastAsia="Times New Roman" w:hAnsi="Times New Roman" w:cs="Times New Roman"/>
        </w:rPr>
        <w:t xml:space="preserve">Golden Girls’, extended family members, and from her daughter Rebecca’s social network. Ms. Kumar’s friendship group (the Golden Girls) provided her with social interaction and a sense of belonging and meaning. </w:t>
      </w:r>
      <w:r w:rsidR="002D012B" w:rsidRPr="00E869A4">
        <w:rPr>
          <w:rFonts w:ascii="Times New Roman" w:eastAsia="Times New Roman" w:hAnsi="Times New Roman" w:cs="Times New Roman"/>
        </w:rPr>
        <w:t xml:space="preserve">This group of high school friends met socially for about twenty five years or more. They all lived close by and </w:t>
      </w:r>
      <w:r w:rsidRPr="00E869A4">
        <w:rPr>
          <w:rFonts w:ascii="Times New Roman" w:eastAsia="Times New Roman" w:hAnsi="Times New Roman" w:cs="Times New Roman"/>
        </w:rPr>
        <w:t>had social gatherings at each other’s homes to celebrate birthdays</w:t>
      </w:r>
      <w:r w:rsidR="00055C55" w:rsidRPr="00E869A4">
        <w:rPr>
          <w:rFonts w:ascii="Times New Roman" w:eastAsia="Times New Roman" w:hAnsi="Times New Roman" w:cs="Times New Roman"/>
        </w:rPr>
        <w:t xml:space="preserve"> and various national holidays</w:t>
      </w:r>
      <w:r w:rsidR="002D012B" w:rsidRPr="00E869A4">
        <w:rPr>
          <w:rFonts w:ascii="Times New Roman" w:eastAsia="Times New Roman" w:hAnsi="Times New Roman" w:cs="Times New Roman"/>
        </w:rPr>
        <w:t xml:space="preserve">. Ms. Kumar’s daughter noted the importance of this group to her mother’s wellbeing: </w:t>
      </w:r>
      <w:r w:rsidR="00055C55" w:rsidRPr="00E869A4">
        <w:rPr>
          <w:rFonts w:ascii="Times New Roman" w:eastAsia="Times New Roman" w:hAnsi="Times New Roman" w:cs="Times New Roman"/>
        </w:rPr>
        <w:t>“</w:t>
      </w:r>
      <w:r w:rsidRPr="00E869A4">
        <w:rPr>
          <w:rFonts w:ascii="Times New Roman" w:eastAsia="Times New Roman" w:hAnsi="Times New Roman" w:cs="Times New Roman"/>
        </w:rPr>
        <w:t>Mummy was always a social person, with her church and her social group. That keeps her going</w:t>
      </w:r>
      <w:r w:rsidR="002D012B" w:rsidRPr="00E869A4">
        <w:rPr>
          <w:rFonts w:ascii="Times New Roman" w:eastAsia="Times New Roman" w:hAnsi="Times New Roman" w:cs="Times New Roman"/>
        </w:rPr>
        <w:t>.</w:t>
      </w:r>
      <w:r w:rsidR="00055C55" w:rsidRPr="00E869A4">
        <w:rPr>
          <w:rFonts w:ascii="Times New Roman" w:eastAsia="Times New Roman" w:hAnsi="Times New Roman" w:cs="Times New Roman"/>
        </w:rPr>
        <w:t>”</w:t>
      </w:r>
      <w:r w:rsidR="002D012B" w:rsidRPr="00E869A4">
        <w:rPr>
          <w:rFonts w:ascii="Times New Roman" w:eastAsia="Times New Roman" w:hAnsi="Times New Roman" w:cs="Times New Roman"/>
        </w:rPr>
        <w:t xml:space="preserve"> (FCG Rebecca). </w:t>
      </w:r>
      <w:r w:rsidRPr="00E869A4">
        <w:rPr>
          <w:rFonts w:ascii="Times New Roman" w:eastAsia="Times New Roman" w:hAnsi="Times New Roman" w:cs="Times New Roman"/>
        </w:rPr>
        <w:t>Ms. Kumar was also able to obtain care support through members of her church</w:t>
      </w:r>
      <w:r w:rsidR="00431B5D" w:rsidRPr="00E869A4">
        <w:rPr>
          <w:rFonts w:ascii="Times New Roman" w:eastAsia="Times New Roman" w:hAnsi="Times New Roman" w:cs="Times New Roman"/>
        </w:rPr>
        <w:t xml:space="preserve"> and</w:t>
      </w:r>
      <w:r w:rsidRPr="00E869A4">
        <w:rPr>
          <w:rFonts w:ascii="Times New Roman" w:eastAsia="Times New Roman" w:hAnsi="Times New Roman" w:cs="Times New Roman"/>
        </w:rPr>
        <w:t xml:space="preserve"> </w:t>
      </w:r>
      <w:r w:rsidR="00431B5D" w:rsidRPr="00E869A4">
        <w:rPr>
          <w:rFonts w:ascii="Times New Roman" w:eastAsia="Times New Roman" w:hAnsi="Times New Roman" w:cs="Times New Roman"/>
        </w:rPr>
        <w:t>l</w:t>
      </w:r>
      <w:r w:rsidRPr="00E869A4">
        <w:rPr>
          <w:rFonts w:ascii="Times New Roman" w:eastAsia="Times New Roman" w:hAnsi="Times New Roman" w:cs="Times New Roman"/>
        </w:rPr>
        <w:t xml:space="preserve">ike Adelina, her daughter Rebecca was able to fast track care transactions as a result of her connections with persons in the business and medical community. </w:t>
      </w:r>
      <w:bookmarkStart w:id="337" w:name="_30j0zll" w:colFirst="0" w:colLast="0"/>
      <w:bookmarkEnd w:id="337"/>
    </w:p>
    <w:p w14:paraId="2A5DAD9F" w14:textId="77777777" w:rsidR="002D012B" w:rsidRPr="00E869A4" w:rsidRDefault="002D012B" w:rsidP="00744EFC">
      <w:pPr>
        <w:rPr>
          <w:rFonts w:ascii="Times New Roman" w:eastAsia="Times New Roman" w:hAnsi="Times New Roman" w:cs="Times New Roman"/>
        </w:rPr>
      </w:pPr>
    </w:p>
    <w:p w14:paraId="1AAE6F0E" w14:textId="11775752" w:rsidR="00744EFC" w:rsidRPr="00E869A4" w:rsidRDefault="00C22634" w:rsidP="00744EFC">
      <w:pPr>
        <w:rPr>
          <w:rFonts w:ascii="Times New Roman" w:eastAsia="Times New Roman" w:hAnsi="Times New Roman" w:cs="Times New Roman"/>
        </w:rPr>
        <w:sectPr w:rsidR="00744EFC" w:rsidRPr="00E869A4" w:rsidSect="000D483D">
          <w:pgSz w:w="12240" w:h="15840" w:code="1"/>
          <w:pgMar w:top="1440" w:right="851" w:bottom="1440" w:left="1134" w:header="720" w:footer="720" w:gutter="0"/>
          <w:cols w:space="720"/>
          <w:docGrid w:linePitch="326"/>
        </w:sectPr>
      </w:pPr>
      <w:r w:rsidRPr="00E869A4">
        <w:rPr>
          <w:rFonts w:ascii="Times New Roman" w:eastAsia="Times New Roman" w:hAnsi="Times New Roman" w:cs="Times New Roman"/>
        </w:rPr>
        <w:t xml:space="preserve">Table 17 below highlights the key features of the three categories of care resource systems, and the older persons that depicted each category. </w:t>
      </w:r>
    </w:p>
    <w:p w14:paraId="593682BE" w14:textId="4D86D0D7" w:rsidR="00CF0B80" w:rsidRPr="00E869A4" w:rsidRDefault="00CF0B80" w:rsidP="00CF0B80">
      <w:pPr>
        <w:pStyle w:val="Caption"/>
        <w:tabs>
          <w:tab w:val="left" w:pos="2535"/>
          <w:tab w:val="center" w:pos="6763"/>
        </w:tabs>
        <w:rPr>
          <w:b/>
          <w:i w:val="0"/>
          <w:sz w:val="24"/>
        </w:rPr>
      </w:pPr>
      <w:bookmarkStart w:id="338" w:name="_Toc40436616"/>
      <w:r w:rsidRPr="00E869A4">
        <w:rPr>
          <w:b/>
          <w:i w:val="0"/>
          <w:sz w:val="24"/>
        </w:rPr>
        <w:lastRenderedPageBreak/>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17</w:t>
      </w:r>
      <w:r w:rsidRPr="00E869A4">
        <w:rPr>
          <w:b/>
          <w:i w:val="0"/>
          <w:sz w:val="24"/>
        </w:rPr>
        <w:fldChar w:fldCharType="end"/>
      </w:r>
      <w:r w:rsidRPr="00E869A4">
        <w:rPr>
          <w:b/>
          <w:i w:val="0"/>
          <w:sz w:val="24"/>
        </w:rPr>
        <w:t xml:space="preserve"> Care Resource-System Characteristics of Older Care Recipients</w:t>
      </w:r>
      <w:bookmarkEnd w:id="338"/>
    </w:p>
    <w:p w14:paraId="456962CA" w14:textId="77777777" w:rsidR="00CF0B80" w:rsidRPr="00E869A4" w:rsidRDefault="00CF0B80" w:rsidP="00CF0B80"/>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3544"/>
        <w:gridCol w:w="1417"/>
        <w:gridCol w:w="3443"/>
        <w:gridCol w:w="1235"/>
        <w:gridCol w:w="3402"/>
      </w:tblGrid>
      <w:tr w:rsidR="00C714D3" w:rsidRPr="00E869A4" w14:paraId="5A39C1F4" w14:textId="77777777" w:rsidTr="00C03C61">
        <w:trPr>
          <w:tblHeader/>
          <w:jc w:val="center"/>
        </w:trPr>
        <w:tc>
          <w:tcPr>
            <w:tcW w:w="4957" w:type="dxa"/>
            <w:gridSpan w:val="2"/>
          </w:tcPr>
          <w:p w14:paraId="2CDDF28E" w14:textId="06A6B179" w:rsidR="00744EFC" w:rsidRPr="00E869A4" w:rsidRDefault="00C22634" w:rsidP="00E73C9D">
            <w:pPr>
              <w:jc w:val="center"/>
              <w:rPr>
                <w:rFonts w:ascii="Times New Roman" w:eastAsia="Times New Roman" w:hAnsi="Times New Roman" w:cs="Times New Roman"/>
                <w:sz w:val="22"/>
              </w:rPr>
            </w:pPr>
            <w:r w:rsidRPr="00E869A4">
              <w:rPr>
                <w:rFonts w:ascii="Times New Roman" w:eastAsia="Times New Roman" w:hAnsi="Times New Roman" w:cs="Times New Roman"/>
                <w:sz w:val="22"/>
              </w:rPr>
              <w:t xml:space="preserve">  UNDER-</w:t>
            </w:r>
            <w:r w:rsidR="00744EFC" w:rsidRPr="00E869A4">
              <w:rPr>
                <w:rFonts w:ascii="Times New Roman" w:eastAsia="Times New Roman" w:hAnsi="Times New Roman" w:cs="Times New Roman"/>
                <w:sz w:val="22"/>
              </w:rPr>
              <w:t>RESOURCED</w:t>
            </w:r>
          </w:p>
        </w:tc>
        <w:tc>
          <w:tcPr>
            <w:tcW w:w="4860" w:type="dxa"/>
            <w:gridSpan w:val="2"/>
          </w:tcPr>
          <w:p w14:paraId="59AF0907" w14:textId="3B6F9F2A" w:rsidR="00744EFC" w:rsidRPr="00E869A4" w:rsidRDefault="00C22634" w:rsidP="00E73C9D">
            <w:pPr>
              <w:jc w:val="center"/>
              <w:rPr>
                <w:rFonts w:ascii="Times New Roman" w:eastAsia="Times New Roman" w:hAnsi="Times New Roman" w:cs="Times New Roman"/>
                <w:sz w:val="22"/>
              </w:rPr>
            </w:pPr>
            <w:r w:rsidRPr="00E869A4">
              <w:rPr>
                <w:rFonts w:ascii="Times New Roman" w:eastAsia="Times New Roman" w:hAnsi="Times New Roman" w:cs="Times New Roman"/>
                <w:sz w:val="22"/>
              </w:rPr>
              <w:t>MODERATELY-</w:t>
            </w:r>
            <w:r w:rsidR="00744EFC" w:rsidRPr="00E869A4">
              <w:rPr>
                <w:rFonts w:ascii="Times New Roman" w:eastAsia="Times New Roman" w:hAnsi="Times New Roman" w:cs="Times New Roman"/>
                <w:sz w:val="22"/>
              </w:rPr>
              <w:t>RESOURCED</w:t>
            </w:r>
          </w:p>
        </w:tc>
        <w:tc>
          <w:tcPr>
            <w:tcW w:w="4637" w:type="dxa"/>
            <w:gridSpan w:val="2"/>
          </w:tcPr>
          <w:p w14:paraId="2AFA2A69" w14:textId="77777777" w:rsidR="00744EFC" w:rsidRPr="00E869A4" w:rsidRDefault="00744EFC" w:rsidP="00E73C9D">
            <w:pPr>
              <w:jc w:val="center"/>
              <w:rPr>
                <w:rFonts w:ascii="Times New Roman" w:eastAsia="Times New Roman" w:hAnsi="Times New Roman" w:cs="Times New Roman"/>
                <w:sz w:val="22"/>
              </w:rPr>
            </w:pPr>
            <w:r w:rsidRPr="00E869A4">
              <w:rPr>
                <w:rFonts w:ascii="Times New Roman" w:eastAsia="Times New Roman" w:hAnsi="Times New Roman" w:cs="Times New Roman"/>
                <w:sz w:val="22"/>
              </w:rPr>
              <w:t>WELL-RESOURCED</w:t>
            </w:r>
          </w:p>
        </w:tc>
      </w:tr>
      <w:tr w:rsidR="00C714D3" w:rsidRPr="00E869A4" w14:paraId="75F25B02" w14:textId="77777777" w:rsidTr="00C03C61">
        <w:trPr>
          <w:jc w:val="center"/>
        </w:trPr>
        <w:tc>
          <w:tcPr>
            <w:tcW w:w="1413" w:type="dxa"/>
          </w:tcPr>
          <w:p w14:paraId="74D2963D"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 xml:space="preserve">Tanty Edna </w:t>
            </w:r>
          </w:p>
        </w:tc>
        <w:tc>
          <w:tcPr>
            <w:tcW w:w="3544" w:type="dxa"/>
          </w:tcPr>
          <w:p w14:paraId="4DDA91E1"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Mortgaged home and struggled to make payments; Roof in need of repair; lived in a lower-income community; earned income from renting part of her property</w:t>
            </w:r>
          </w:p>
          <w:p w14:paraId="551B37FC"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(Was not hospitalised at the time of the interview as she had relatively few health challenges at the time of the study)</w:t>
            </w:r>
          </w:p>
          <w:p w14:paraId="103F90D2"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Limited access to transport from relatives  </w:t>
            </w:r>
          </w:p>
          <w:p w14:paraId="71A38CB2"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Moderate assistance from social-support network, </w:t>
            </w:r>
          </w:p>
        </w:tc>
        <w:tc>
          <w:tcPr>
            <w:tcW w:w="1417" w:type="dxa"/>
          </w:tcPr>
          <w:p w14:paraId="2A5982A6"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Uncle Wilton</w:t>
            </w:r>
          </w:p>
        </w:tc>
        <w:tc>
          <w:tcPr>
            <w:tcW w:w="3443" w:type="dxa"/>
          </w:tcPr>
          <w:p w14:paraId="46F5E90E"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Owned two properties in a lower-income community; Obtained additional income from renting property; </w:t>
            </w:r>
          </w:p>
          <w:p w14:paraId="62FA9440"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Usually hospitalised in public health facilities; </w:t>
            </w:r>
          </w:p>
          <w:p w14:paraId="4216571B"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Limited access to transport via public transport or hired car</w:t>
            </w:r>
          </w:p>
          <w:p w14:paraId="6E188A50"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Limited social-support network. </w:t>
            </w:r>
          </w:p>
        </w:tc>
        <w:tc>
          <w:tcPr>
            <w:tcW w:w="1235" w:type="dxa"/>
          </w:tcPr>
          <w:p w14:paraId="3E7F014B"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Mother Freeda</w:t>
            </w:r>
          </w:p>
        </w:tc>
        <w:tc>
          <w:tcPr>
            <w:tcW w:w="3402" w:type="dxa"/>
          </w:tcPr>
          <w:p w14:paraId="2961792F"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Owned home in a middle income community</w:t>
            </w:r>
          </w:p>
          <w:p w14:paraId="1B72B8DF"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 xml:space="preserve">Could afford private surgery; </w:t>
            </w:r>
          </w:p>
          <w:p w14:paraId="1B2B10B7"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Received substantial financial and other assistance from son living abroad.</w:t>
            </w:r>
          </w:p>
          <w:p w14:paraId="5E2CFDD1"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Moderate access to transport from family and church members</w:t>
            </w:r>
          </w:p>
          <w:p w14:paraId="7F1223BF"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 xml:space="preserve">Received substantial support </w:t>
            </w:r>
          </w:p>
        </w:tc>
      </w:tr>
      <w:tr w:rsidR="00C714D3" w:rsidRPr="00E869A4" w14:paraId="500E7ECC" w14:textId="77777777" w:rsidTr="00C03C61">
        <w:trPr>
          <w:trHeight w:val="340"/>
          <w:jc w:val="center"/>
        </w:trPr>
        <w:tc>
          <w:tcPr>
            <w:tcW w:w="1413" w:type="dxa"/>
          </w:tcPr>
          <w:p w14:paraId="6D9A490B"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Mr. Sanchez</w:t>
            </w:r>
          </w:p>
        </w:tc>
        <w:tc>
          <w:tcPr>
            <w:tcW w:w="3544" w:type="dxa"/>
          </w:tcPr>
          <w:p w14:paraId="52F12BCC"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Home owned jointly with siblings; house in need of significant repairs </w:t>
            </w:r>
          </w:p>
          <w:p w14:paraId="092A143E"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Unable to afford private hospitalisation</w:t>
            </w:r>
          </w:p>
          <w:p w14:paraId="2E574DEA"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Limited access to transport from  hired taxi </w:t>
            </w:r>
          </w:p>
          <w:p w14:paraId="6654D71B"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Limited assistance from social support network: </w:t>
            </w:r>
          </w:p>
        </w:tc>
        <w:tc>
          <w:tcPr>
            <w:tcW w:w="1417" w:type="dxa"/>
          </w:tcPr>
          <w:p w14:paraId="5FCD237D"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Mr. Khan</w:t>
            </w:r>
          </w:p>
        </w:tc>
        <w:tc>
          <w:tcPr>
            <w:tcW w:w="3443" w:type="dxa"/>
          </w:tcPr>
          <w:p w14:paraId="5BD755D7"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Owned home in a middle income community; </w:t>
            </w:r>
          </w:p>
          <w:p w14:paraId="6F04F45E"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Multiple sources of income including pension from work as a senior public officer and money obtained from church; </w:t>
            </w:r>
          </w:p>
          <w:p w14:paraId="2C1F9D21"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Used public hospitals when hospitalised; </w:t>
            </w:r>
          </w:p>
          <w:p w14:paraId="53DBD2E1"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Moderate access to transport from son next door</w:t>
            </w:r>
          </w:p>
          <w:p w14:paraId="3335DE0D"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Moderate support from social support network </w:t>
            </w:r>
          </w:p>
        </w:tc>
        <w:tc>
          <w:tcPr>
            <w:tcW w:w="1235" w:type="dxa"/>
          </w:tcPr>
          <w:p w14:paraId="34946A2C"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Ms. Kumar</w:t>
            </w:r>
          </w:p>
        </w:tc>
        <w:tc>
          <w:tcPr>
            <w:tcW w:w="3402" w:type="dxa"/>
          </w:tcPr>
          <w:p w14:paraId="3CB9DE78"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 xml:space="preserve">Owned home in an upper-middle income community; obtained additional income from renting property </w:t>
            </w:r>
          </w:p>
          <w:p w14:paraId="41987C2F"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 xml:space="preserve">Used private medical facilities when hospitalised; </w:t>
            </w:r>
          </w:p>
          <w:p w14:paraId="11E0E1B5"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Moderate access to transport from daughter (unpaid), paid ‘chauffer’, and other family members and friends</w:t>
            </w:r>
          </w:p>
          <w:p w14:paraId="7B3F8CEE"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 xml:space="preserve">Substantial support from social network; </w:t>
            </w:r>
          </w:p>
        </w:tc>
      </w:tr>
      <w:tr w:rsidR="00C714D3" w:rsidRPr="00E869A4" w14:paraId="70AFD427" w14:textId="77777777" w:rsidTr="00C03C61">
        <w:trPr>
          <w:jc w:val="center"/>
        </w:trPr>
        <w:tc>
          <w:tcPr>
            <w:tcW w:w="4957" w:type="dxa"/>
            <w:gridSpan w:val="2"/>
            <w:vMerge w:val="restart"/>
            <w:shd w:val="clear" w:color="auto" w:fill="BFBFBF"/>
          </w:tcPr>
          <w:p w14:paraId="57232728" w14:textId="77777777" w:rsidR="00744EFC" w:rsidRPr="00E869A4" w:rsidRDefault="00744EFC" w:rsidP="009C6934">
            <w:pPr>
              <w:ind w:firstLine="0"/>
              <w:rPr>
                <w:rFonts w:ascii="Times New Roman" w:eastAsia="Times New Roman" w:hAnsi="Times New Roman" w:cs="Times New Roman"/>
                <w:sz w:val="22"/>
              </w:rPr>
            </w:pPr>
          </w:p>
        </w:tc>
        <w:tc>
          <w:tcPr>
            <w:tcW w:w="1417" w:type="dxa"/>
          </w:tcPr>
          <w:p w14:paraId="7AA21B92"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Mr. Druman</w:t>
            </w:r>
          </w:p>
          <w:p w14:paraId="38089B6A" w14:textId="77777777" w:rsidR="00744EFC" w:rsidRPr="00E869A4" w:rsidRDefault="00744EFC" w:rsidP="009C6934">
            <w:pPr>
              <w:ind w:firstLine="0"/>
              <w:rPr>
                <w:rFonts w:ascii="Times New Roman" w:eastAsia="Times New Roman" w:hAnsi="Times New Roman" w:cs="Times New Roman"/>
                <w:sz w:val="22"/>
              </w:rPr>
            </w:pPr>
          </w:p>
          <w:p w14:paraId="3D3EF039" w14:textId="77777777" w:rsidR="00744EFC" w:rsidRPr="00E869A4" w:rsidRDefault="00744EFC" w:rsidP="009C6934">
            <w:pPr>
              <w:ind w:firstLine="0"/>
              <w:rPr>
                <w:rFonts w:ascii="Times New Roman" w:eastAsia="Times New Roman" w:hAnsi="Times New Roman" w:cs="Times New Roman"/>
                <w:sz w:val="22"/>
              </w:rPr>
            </w:pPr>
          </w:p>
          <w:p w14:paraId="329295D2"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 xml:space="preserve">Mr. Druman </w:t>
            </w:r>
            <w:r w:rsidRPr="00E869A4">
              <w:rPr>
                <w:rFonts w:ascii="Times New Roman" w:eastAsia="Times New Roman" w:hAnsi="Times New Roman" w:cs="Times New Roman"/>
                <w:sz w:val="22"/>
              </w:rPr>
              <w:lastRenderedPageBreak/>
              <w:t>(continued)</w:t>
            </w:r>
          </w:p>
        </w:tc>
        <w:tc>
          <w:tcPr>
            <w:tcW w:w="3443" w:type="dxa"/>
          </w:tcPr>
          <w:p w14:paraId="3C8A6E55"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lastRenderedPageBreak/>
              <w:t xml:space="preserve">Owned home in middle-income community; </w:t>
            </w:r>
          </w:p>
          <w:p w14:paraId="25B792F0"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Experienced financial difficulties after mismanaging finances; had multiple sources of income including financial contributions </w:t>
            </w:r>
            <w:r w:rsidRPr="00E869A4">
              <w:rPr>
                <w:rFonts w:ascii="Times New Roman" w:eastAsia="Times New Roman" w:hAnsi="Times New Roman" w:cs="Times New Roman"/>
                <w:sz w:val="22"/>
              </w:rPr>
              <w:lastRenderedPageBreak/>
              <w:t>from his son-in-law</w:t>
            </w:r>
          </w:p>
          <w:p w14:paraId="0E8CD5C9"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Moderate access to transport from son</w:t>
            </w:r>
          </w:p>
          <w:p w14:paraId="4BF23644"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Moderate care support from church and son-in-law.</w:t>
            </w:r>
          </w:p>
        </w:tc>
        <w:tc>
          <w:tcPr>
            <w:tcW w:w="1235" w:type="dxa"/>
          </w:tcPr>
          <w:p w14:paraId="2618BC07" w14:textId="77777777" w:rsidR="00744EFC" w:rsidRPr="00E869A4" w:rsidRDefault="00744EFC" w:rsidP="009C6934">
            <w:pPr>
              <w:ind w:firstLine="0"/>
              <w:rPr>
                <w:rFonts w:ascii="Times New Roman" w:eastAsia="Times New Roman" w:hAnsi="Times New Roman" w:cs="Times New Roman"/>
                <w:sz w:val="22"/>
                <w:lang w:val="fr-FR"/>
              </w:rPr>
            </w:pPr>
            <w:r w:rsidRPr="00E869A4">
              <w:rPr>
                <w:rFonts w:ascii="Times New Roman" w:eastAsia="Times New Roman" w:hAnsi="Times New Roman" w:cs="Times New Roman"/>
                <w:sz w:val="22"/>
                <w:lang w:val="fr-FR"/>
              </w:rPr>
              <w:lastRenderedPageBreak/>
              <w:t>Ms. Violet</w:t>
            </w:r>
          </w:p>
          <w:p w14:paraId="1DF20C8C" w14:textId="77777777" w:rsidR="00744EFC" w:rsidRPr="00E869A4" w:rsidRDefault="00744EFC" w:rsidP="009C6934">
            <w:pPr>
              <w:ind w:firstLine="0"/>
              <w:rPr>
                <w:rFonts w:ascii="Times New Roman" w:eastAsia="Times New Roman" w:hAnsi="Times New Roman" w:cs="Times New Roman"/>
                <w:sz w:val="22"/>
                <w:lang w:val="fr-FR"/>
              </w:rPr>
            </w:pPr>
          </w:p>
          <w:p w14:paraId="69D80C95" w14:textId="77777777" w:rsidR="00744EFC" w:rsidRPr="00E869A4" w:rsidRDefault="00744EFC" w:rsidP="009C6934">
            <w:pPr>
              <w:ind w:firstLine="0"/>
              <w:rPr>
                <w:rFonts w:ascii="Times New Roman" w:eastAsia="Times New Roman" w:hAnsi="Times New Roman" w:cs="Times New Roman"/>
                <w:sz w:val="22"/>
                <w:lang w:val="fr-FR"/>
              </w:rPr>
            </w:pPr>
          </w:p>
          <w:p w14:paraId="20679309" w14:textId="77777777" w:rsidR="00744EFC" w:rsidRPr="00E869A4" w:rsidRDefault="00744EFC" w:rsidP="009C6934">
            <w:pPr>
              <w:ind w:firstLine="0"/>
              <w:rPr>
                <w:rFonts w:ascii="Times New Roman" w:eastAsia="Times New Roman" w:hAnsi="Times New Roman" w:cs="Times New Roman"/>
                <w:sz w:val="22"/>
                <w:lang w:val="fr-FR"/>
              </w:rPr>
            </w:pPr>
            <w:r w:rsidRPr="00E869A4">
              <w:rPr>
                <w:rFonts w:ascii="Times New Roman" w:eastAsia="Times New Roman" w:hAnsi="Times New Roman" w:cs="Times New Roman"/>
                <w:sz w:val="22"/>
                <w:lang w:val="fr-FR"/>
              </w:rPr>
              <w:t xml:space="preserve">Ms. Violet </w:t>
            </w:r>
            <w:r w:rsidRPr="00E869A4">
              <w:rPr>
                <w:rFonts w:ascii="Times New Roman" w:eastAsia="Times New Roman" w:hAnsi="Times New Roman" w:cs="Times New Roman"/>
                <w:sz w:val="22"/>
                <w:lang w:val="fr-FR"/>
              </w:rPr>
              <w:lastRenderedPageBreak/>
              <w:t>(continued)</w:t>
            </w:r>
          </w:p>
        </w:tc>
        <w:tc>
          <w:tcPr>
            <w:tcW w:w="3402" w:type="dxa"/>
          </w:tcPr>
          <w:p w14:paraId="4080911E"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lastRenderedPageBreak/>
              <w:t xml:space="preserve">Owned home in a middle-income area; </w:t>
            </w:r>
          </w:p>
          <w:p w14:paraId="1F4C055D"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 xml:space="preserve">Received significant financial contributions from relatives living abroad; </w:t>
            </w:r>
          </w:p>
          <w:p w14:paraId="427695FB"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 xml:space="preserve">Able to use private </w:t>
            </w:r>
            <w:r w:rsidRPr="00E869A4">
              <w:rPr>
                <w:rFonts w:ascii="Times New Roman" w:eastAsia="Times New Roman" w:hAnsi="Times New Roman" w:cs="Times New Roman"/>
                <w:sz w:val="22"/>
              </w:rPr>
              <w:lastRenderedPageBreak/>
              <w:t>hospitalisation with support from children</w:t>
            </w:r>
          </w:p>
          <w:p w14:paraId="5A6485D0"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Moderate access to transportation from family and friends (church members)</w:t>
            </w:r>
          </w:p>
          <w:p w14:paraId="5D6E6F47"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sz w:val="22"/>
              </w:rPr>
            </w:pPr>
            <w:r w:rsidRPr="00E869A4">
              <w:rPr>
                <w:rFonts w:ascii="Times New Roman" w:eastAsia="Times New Roman" w:hAnsi="Times New Roman" w:cs="Times New Roman"/>
                <w:sz w:val="22"/>
              </w:rPr>
              <w:t>Moderate social support from members of her church</w:t>
            </w:r>
          </w:p>
        </w:tc>
      </w:tr>
      <w:tr w:rsidR="00C714D3" w:rsidRPr="00E869A4" w14:paraId="3F1A9AF6" w14:textId="77777777" w:rsidTr="00C03C61">
        <w:trPr>
          <w:jc w:val="center"/>
        </w:trPr>
        <w:tc>
          <w:tcPr>
            <w:tcW w:w="4957" w:type="dxa"/>
            <w:gridSpan w:val="2"/>
            <w:vMerge/>
            <w:shd w:val="clear" w:color="auto" w:fill="BFBFBF"/>
          </w:tcPr>
          <w:p w14:paraId="246AC272" w14:textId="77777777" w:rsidR="00744EFC" w:rsidRPr="00E869A4" w:rsidRDefault="00744EFC" w:rsidP="009C6934">
            <w:pPr>
              <w:widowControl w:val="0"/>
              <w:pBdr>
                <w:top w:val="nil"/>
                <w:left w:val="nil"/>
                <w:bottom w:val="nil"/>
                <w:right w:val="nil"/>
                <w:between w:val="nil"/>
              </w:pBdr>
              <w:spacing w:line="276" w:lineRule="auto"/>
              <w:ind w:firstLine="0"/>
              <w:rPr>
                <w:rFonts w:ascii="Times New Roman" w:eastAsia="Times New Roman" w:hAnsi="Times New Roman" w:cs="Times New Roman"/>
                <w:sz w:val="22"/>
              </w:rPr>
            </w:pPr>
          </w:p>
        </w:tc>
        <w:tc>
          <w:tcPr>
            <w:tcW w:w="1417" w:type="dxa"/>
          </w:tcPr>
          <w:p w14:paraId="2EB26702"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Mr. Flora</w:t>
            </w:r>
          </w:p>
        </w:tc>
        <w:tc>
          <w:tcPr>
            <w:tcW w:w="3443" w:type="dxa"/>
          </w:tcPr>
          <w:p w14:paraId="0D26782B"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Lived in a middle-income community; </w:t>
            </w:r>
          </w:p>
          <w:p w14:paraId="17DCC531"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Earned additional income from rented properties</w:t>
            </w:r>
          </w:p>
          <w:p w14:paraId="0B85ABCA"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Moderate access to transport from daughters </w:t>
            </w:r>
          </w:p>
          <w:p w14:paraId="221C26B2"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Moderate social support from neighbours (food etc.) and church community.</w:t>
            </w:r>
          </w:p>
        </w:tc>
        <w:tc>
          <w:tcPr>
            <w:tcW w:w="4637" w:type="dxa"/>
            <w:gridSpan w:val="2"/>
            <w:vMerge w:val="restart"/>
            <w:shd w:val="clear" w:color="auto" w:fill="BFBFBF"/>
          </w:tcPr>
          <w:p w14:paraId="2D054AFD" w14:textId="77777777" w:rsidR="00744EFC" w:rsidRPr="00E869A4" w:rsidRDefault="00744EFC" w:rsidP="00E73C9D">
            <w:pPr>
              <w:rPr>
                <w:rFonts w:ascii="Times New Roman" w:eastAsia="Times New Roman" w:hAnsi="Times New Roman" w:cs="Times New Roman"/>
                <w:sz w:val="22"/>
              </w:rPr>
            </w:pPr>
          </w:p>
        </w:tc>
      </w:tr>
      <w:tr w:rsidR="00C714D3" w:rsidRPr="00E869A4" w14:paraId="05E9ABEC" w14:textId="77777777" w:rsidTr="00C03C61">
        <w:trPr>
          <w:jc w:val="center"/>
        </w:trPr>
        <w:tc>
          <w:tcPr>
            <w:tcW w:w="4957" w:type="dxa"/>
            <w:gridSpan w:val="2"/>
            <w:vMerge/>
            <w:shd w:val="clear" w:color="auto" w:fill="BFBFBF"/>
          </w:tcPr>
          <w:p w14:paraId="7AB79B0B" w14:textId="77777777" w:rsidR="00744EFC" w:rsidRPr="00E869A4" w:rsidRDefault="00744EFC" w:rsidP="009C6934">
            <w:pPr>
              <w:widowControl w:val="0"/>
              <w:pBdr>
                <w:top w:val="nil"/>
                <w:left w:val="nil"/>
                <w:bottom w:val="nil"/>
                <w:right w:val="nil"/>
                <w:between w:val="nil"/>
              </w:pBdr>
              <w:spacing w:line="276" w:lineRule="auto"/>
              <w:ind w:firstLine="0"/>
              <w:rPr>
                <w:rFonts w:ascii="Times New Roman" w:eastAsia="Times New Roman" w:hAnsi="Times New Roman" w:cs="Times New Roman"/>
                <w:sz w:val="22"/>
              </w:rPr>
            </w:pPr>
          </w:p>
        </w:tc>
        <w:tc>
          <w:tcPr>
            <w:tcW w:w="1417" w:type="dxa"/>
          </w:tcPr>
          <w:p w14:paraId="70C3E05E" w14:textId="77777777" w:rsidR="00744EFC" w:rsidRPr="00E869A4" w:rsidRDefault="00744EFC" w:rsidP="009C6934">
            <w:pPr>
              <w:ind w:firstLine="0"/>
              <w:rPr>
                <w:rFonts w:ascii="Times New Roman" w:eastAsia="Times New Roman" w:hAnsi="Times New Roman" w:cs="Times New Roman"/>
                <w:sz w:val="22"/>
              </w:rPr>
            </w:pPr>
            <w:r w:rsidRPr="00E869A4">
              <w:rPr>
                <w:rFonts w:ascii="Times New Roman" w:eastAsia="Times New Roman" w:hAnsi="Times New Roman" w:cs="Times New Roman"/>
                <w:sz w:val="22"/>
              </w:rPr>
              <w:t>Indrani (Maharaj)</w:t>
            </w:r>
          </w:p>
        </w:tc>
        <w:tc>
          <w:tcPr>
            <w:tcW w:w="3443" w:type="dxa"/>
          </w:tcPr>
          <w:p w14:paraId="25835B3B"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Lived in a middle-income community; </w:t>
            </w:r>
          </w:p>
          <w:p w14:paraId="3B4F9B42"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Used public hospitals; </w:t>
            </w:r>
          </w:p>
          <w:p w14:paraId="78040EFC"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 xml:space="preserve">Received financial support from adult children living in Trinidad; </w:t>
            </w:r>
          </w:p>
          <w:p w14:paraId="4EBFDBD9"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Moderate access to transport from children</w:t>
            </w:r>
          </w:p>
          <w:p w14:paraId="3161E8E0" w14:textId="77777777" w:rsidR="00744EFC" w:rsidRPr="00E869A4" w:rsidRDefault="00744EFC" w:rsidP="009D4C5D">
            <w:pPr>
              <w:numPr>
                <w:ilvl w:val="0"/>
                <w:numId w:val="59"/>
              </w:numPr>
              <w:pBdr>
                <w:top w:val="nil"/>
                <w:left w:val="nil"/>
                <w:bottom w:val="nil"/>
                <w:right w:val="nil"/>
                <w:between w:val="nil"/>
              </w:pBdr>
              <w:spacing w:line="240" w:lineRule="auto"/>
              <w:ind w:left="278" w:hanging="218"/>
              <w:rPr>
                <w:rFonts w:ascii="Times New Roman" w:eastAsia="Times New Roman" w:hAnsi="Times New Roman" w:cs="Times New Roman"/>
                <w:sz w:val="22"/>
              </w:rPr>
            </w:pPr>
            <w:r w:rsidRPr="00E869A4">
              <w:rPr>
                <w:rFonts w:ascii="Times New Roman" w:eastAsia="Times New Roman" w:hAnsi="Times New Roman" w:cs="Times New Roman"/>
                <w:sz w:val="22"/>
              </w:rPr>
              <w:t>(Insufficient information obtained on social support received).</w:t>
            </w:r>
          </w:p>
        </w:tc>
        <w:tc>
          <w:tcPr>
            <w:tcW w:w="4637" w:type="dxa"/>
            <w:gridSpan w:val="2"/>
            <w:vMerge/>
            <w:shd w:val="clear" w:color="auto" w:fill="BFBFBF"/>
          </w:tcPr>
          <w:p w14:paraId="142FB970" w14:textId="77777777" w:rsidR="00744EFC" w:rsidRPr="00E869A4" w:rsidRDefault="00744EFC" w:rsidP="00E73C9D">
            <w:pPr>
              <w:widowControl w:val="0"/>
              <w:pBdr>
                <w:top w:val="nil"/>
                <w:left w:val="nil"/>
                <w:bottom w:val="nil"/>
                <w:right w:val="nil"/>
                <w:between w:val="nil"/>
              </w:pBdr>
              <w:spacing w:line="276" w:lineRule="auto"/>
              <w:rPr>
                <w:rFonts w:ascii="Times New Roman" w:eastAsia="Times New Roman" w:hAnsi="Times New Roman" w:cs="Times New Roman"/>
                <w:sz w:val="22"/>
              </w:rPr>
            </w:pPr>
          </w:p>
        </w:tc>
      </w:tr>
    </w:tbl>
    <w:p w14:paraId="707532FB" w14:textId="77777777" w:rsidR="00744EFC" w:rsidRPr="00E869A4" w:rsidRDefault="00744EFC" w:rsidP="00744EFC">
      <w:pPr>
        <w:jc w:val="both"/>
        <w:rPr>
          <w:rFonts w:ascii="Times New Roman" w:eastAsia="Times New Roman" w:hAnsi="Times New Roman" w:cs="Times New Roman"/>
          <w:b/>
          <w:u w:val="single"/>
        </w:rPr>
      </w:pPr>
    </w:p>
    <w:p w14:paraId="5B31B481" w14:textId="77777777" w:rsidR="00744EFC" w:rsidRPr="00E869A4" w:rsidRDefault="00744EFC" w:rsidP="00744EFC">
      <w:pPr>
        <w:widowControl w:val="0"/>
        <w:pBdr>
          <w:top w:val="nil"/>
          <w:left w:val="nil"/>
          <w:bottom w:val="nil"/>
          <w:right w:val="nil"/>
          <w:between w:val="nil"/>
        </w:pBdr>
        <w:spacing w:line="276" w:lineRule="auto"/>
        <w:rPr>
          <w:rFonts w:ascii="Times New Roman" w:eastAsia="Times New Roman" w:hAnsi="Times New Roman" w:cs="Times New Roman"/>
          <w:b/>
          <w:u w:val="single"/>
        </w:rPr>
        <w:sectPr w:rsidR="00744EFC" w:rsidRPr="00E869A4" w:rsidSect="000D483D">
          <w:pgSz w:w="15840" w:h="12240" w:orient="landscape"/>
          <w:pgMar w:top="1440" w:right="851" w:bottom="1440" w:left="1134" w:header="720" w:footer="720" w:gutter="0"/>
          <w:cols w:space="720"/>
          <w:docGrid w:linePitch="326"/>
        </w:sectPr>
      </w:pPr>
      <w:r w:rsidRPr="00E869A4">
        <w:br w:type="page"/>
      </w:r>
    </w:p>
    <w:p w14:paraId="1CE6934E" w14:textId="7229A71A" w:rsidR="00744EFC" w:rsidRPr="00E869A4" w:rsidRDefault="00463753" w:rsidP="004D5852">
      <w:pPr>
        <w:pStyle w:val="Heading2"/>
        <w:rPr>
          <w:rFonts w:eastAsia="Times New Roman"/>
        </w:rPr>
      </w:pPr>
      <w:bookmarkStart w:id="339" w:name="_1fob9te" w:colFirst="0" w:colLast="0"/>
      <w:bookmarkStart w:id="340" w:name="_Toc40436559"/>
      <w:bookmarkEnd w:id="339"/>
      <w:r w:rsidRPr="00E869A4">
        <w:rPr>
          <w:rFonts w:eastAsia="Times New Roman"/>
        </w:rPr>
        <w:lastRenderedPageBreak/>
        <w:t>8</w:t>
      </w:r>
      <w:r w:rsidR="00744EFC" w:rsidRPr="00E869A4">
        <w:rPr>
          <w:rFonts w:eastAsia="Times New Roman"/>
        </w:rPr>
        <w:t>.3 CARE STRATEGIES OF OLDER PERSONS AND FAMILY CAREGIVERS</w:t>
      </w:r>
      <w:bookmarkEnd w:id="340"/>
    </w:p>
    <w:p w14:paraId="54ADD407" w14:textId="77777777" w:rsidR="00744EFC" w:rsidRPr="00E869A4" w:rsidRDefault="00744EFC" w:rsidP="00744EFC">
      <w:pPr>
        <w:jc w:val="both"/>
        <w:rPr>
          <w:rFonts w:ascii="Times New Roman" w:eastAsia="Times New Roman" w:hAnsi="Times New Roman" w:cs="Times New Roman"/>
          <w:b/>
          <w:u w:val="single"/>
        </w:rPr>
      </w:pPr>
    </w:p>
    <w:p w14:paraId="7E093ABC" w14:textId="69DF34BF" w:rsidR="00744EFC" w:rsidRPr="00E869A4" w:rsidRDefault="00463753" w:rsidP="005C449C">
      <w:pPr>
        <w:pStyle w:val="Heading3"/>
        <w:rPr>
          <w:rFonts w:eastAsia="Times New Roman"/>
        </w:rPr>
      </w:pPr>
      <w:bookmarkStart w:id="341" w:name="_Toc40436560"/>
      <w:r w:rsidRPr="00E869A4">
        <w:rPr>
          <w:rFonts w:eastAsia="Times New Roman"/>
        </w:rPr>
        <w:t>8</w:t>
      </w:r>
      <w:r w:rsidR="00744EFC" w:rsidRPr="00E869A4">
        <w:rPr>
          <w:rFonts w:eastAsia="Times New Roman"/>
        </w:rPr>
        <w:t>.3.1     Accept</w:t>
      </w:r>
      <w:r w:rsidR="00D03C01" w:rsidRPr="00E869A4">
        <w:rPr>
          <w:rFonts w:eastAsia="Times New Roman"/>
        </w:rPr>
        <w:t xml:space="preserve"> Care</w:t>
      </w:r>
      <w:bookmarkEnd w:id="341"/>
    </w:p>
    <w:p w14:paraId="431F3A9A" w14:textId="77777777" w:rsidR="00744EFC" w:rsidRPr="00E869A4" w:rsidRDefault="00744EFC" w:rsidP="00744EFC">
      <w:pPr>
        <w:jc w:val="both"/>
        <w:rPr>
          <w:rFonts w:ascii="Times New Roman" w:eastAsia="Times New Roman" w:hAnsi="Times New Roman" w:cs="Times New Roman"/>
          <w:i/>
          <w:u w:val="single"/>
        </w:rPr>
      </w:pPr>
    </w:p>
    <w:p w14:paraId="20180CF9" w14:textId="49E4E4C6"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Several of the participants accepted their care situation either wholeheartedly or reluctantly. The qualitative data revealed different degrees of acceptance by older persons and family carers of their care circumstances, hence the reason for subdividing this care management strategy into different components. For older persons, the main types of acceptance that were adopted consisted of either </w:t>
      </w:r>
      <w:r w:rsidRPr="00E869A4">
        <w:rPr>
          <w:rFonts w:ascii="Times New Roman" w:eastAsia="Times New Roman" w:hAnsi="Times New Roman" w:cs="Times New Roman"/>
          <w:i/>
        </w:rPr>
        <w:t>ardent acceptance</w:t>
      </w:r>
      <w:r w:rsidRPr="00E869A4">
        <w:rPr>
          <w:rFonts w:ascii="Times New Roman" w:eastAsia="Times New Roman" w:hAnsi="Times New Roman" w:cs="Times New Roman"/>
        </w:rPr>
        <w:t xml:space="preserve"> or </w:t>
      </w:r>
      <w:r w:rsidRPr="00E869A4">
        <w:rPr>
          <w:rFonts w:ascii="Times New Roman" w:eastAsia="Times New Roman" w:hAnsi="Times New Roman" w:cs="Times New Roman"/>
          <w:i/>
          <w:iCs/>
        </w:rPr>
        <w:t>reluctant</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i/>
          <w:iCs/>
        </w:rPr>
        <w:t>acceptance</w:t>
      </w:r>
      <w:r w:rsidRPr="00E869A4">
        <w:rPr>
          <w:rFonts w:ascii="Times New Roman" w:eastAsia="Times New Roman" w:hAnsi="Times New Roman" w:cs="Times New Roman"/>
        </w:rPr>
        <w:t xml:space="preserve">. The latter took the form of either </w:t>
      </w:r>
      <w:r w:rsidRPr="00E869A4">
        <w:rPr>
          <w:rFonts w:ascii="Times New Roman" w:eastAsia="Times New Roman" w:hAnsi="Times New Roman" w:cs="Times New Roman"/>
          <w:i/>
        </w:rPr>
        <w:t>capitulated acceptance</w:t>
      </w:r>
      <w:r w:rsidRPr="00E869A4">
        <w:rPr>
          <w:rFonts w:ascii="Times New Roman" w:eastAsia="Times New Roman" w:hAnsi="Times New Roman" w:cs="Times New Roman"/>
        </w:rPr>
        <w:t xml:space="preserve"> or </w:t>
      </w:r>
      <w:r w:rsidRPr="00E869A4">
        <w:rPr>
          <w:rFonts w:ascii="Times New Roman" w:eastAsia="Times New Roman" w:hAnsi="Times New Roman" w:cs="Times New Roman"/>
          <w:i/>
        </w:rPr>
        <w:t>reserved acceptance</w:t>
      </w:r>
      <w:r w:rsidRPr="00E869A4">
        <w:rPr>
          <w:rFonts w:ascii="Times New Roman" w:eastAsia="Times New Roman" w:hAnsi="Times New Roman" w:cs="Times New Roman"/>
        </w:rPr>
        <w:t xml:space="preserve">. Concomitantly, family carers also expressed different degrees of acceptance of the role and perceived duties of a caregiver. The acceptance strategies employed by family caregivers included the provision of </w:t>
      </w:r>
      <w:r w:rsidRPr="00E869A4">
        <w:rPr>
          <w:rFonts w:ascii="Times New Roman" w:eastAsia="Times New Roman" w:hAnsi="Times New Roman" w:cs="Times New Roman"/>
          <w:i/>
        </w:rPr>
        <w:t>amenable care, surreptitious care, enforced care, emergent care</w:t>
      </w:r>
      <w:r w:rsidR="002C0BE8" w:rsidRPr="00E869A4">
        <w:rPr>
          <w:rFonts w:ascii="Times New Roman" w:eastAsia="Times New Roman" w:hAnsi="Times New Roman" w:cs="Times New Roman"/>
        </w:rPr>
        <w:t xml:space="preserve"> and/</w:t>
      </w:r>
      <w:r w:rsidRPr="00E869A4">
        <w:rPr>
          <w:rFonts w:ascii="Times New Roman" w:eastAsia="Times New Roman" w:hAnsi="Times New Roman" w:cs="Times New Roman"/>
        </w:rPr>
        <w:t xml:space="preserve">or </w:t>
      </w:r>
      <w:r w:rsidRPr="00E869A4">
        <w:rPr>
          <w:rFonts w:ascii="Times New Roman" w:eastAsia="Times New Roman" w:hAnsi="Times New Roman" w:cs="Times New Roman"/>
          <w:i/>
        </w:rPr>
        <w:t>enduring care</w:t>
      </w:r>
      <w:r w:rsidRPr="00E869A4">
        <w:rPr>
          <w:rFonts w:ascii="Times New Roman" w:eastAsia="Times New Roman" w:hAnsi="Times New Roman" w:cs="Times New Roman"/>
        </w:rPr>
        <w:t xml:space="preserve">. </w:t>
      </w:r>
    </w:p>
    <w:p w14:paraId="55B67CEE" w14:textId="77777777" w:rsidR="00744EFC" w:rsidRPr="00E869A4" w:rsidRDefault="00744EFC" w:rsidP="00744EFC">
      <w:pPr>
        <w:jc w:val="both"/>
        <w:rPr>
          <w:rFonts w:ascii="Times New Roman" w:eastAsia="Times New Roman" w:hAnsi="Times New Roman" w:cs="Times New Roman"/>
        </w:rPr>
      </w:pPr>
    </w:p>
    <w:p w14:paraId="54E39372" w14:textId="142E2857" w:rsidR="00744EFC" w:rsidRPr="00E869A4" w:rsidRDefault="00744EFC" w:rsidP="00463753">
      <w:pPr>
        <w:pStyle w:val="Heading4"/>
      </w:pPr>
      <w:r w:rsidRPr="00E869A4">
        <w:t>Care Acceptance by Older Persons</w:t>
      </w:r>
    </w:p>
    <w:p w14:paraId="399C6637" w14:textId="77777777" w:rsidR="00744EFC" w:rsidRPr="00E869A4" w:rsidRDefault="00744EFC" w:rsidP="00744EFC">
      <w:pPr>
        <w:jc w:val="both"/>
        <w:rPr>
          <w:rFonts w:ascii="Times New Roman" w:eastAsia="Times New Roman" w:hAnsi="Times New Roman" w:cs="Times New Roman"/>
        </w:rPr>
      </w:pPr>
    </w:p>
    <w:p w14:paraId="400A11BD" w14:textId="77777777" w:rsidR="00744EFC" w:rsidRPr="00E869A4" w:rsidRDefault="00744EFC" w:rsidP="0031040A">
      <w:pPr>
        <w:pStyle w:val="Heading5"/>
        <w:rPr>
          <w:rFonts w:eastAsia="Times New Roman"/>
          <w:b/>
          <w:color w:val="auto"/>
        </w:rPr>
      </w:pPr>
      <w:r w:rsidRPr="00E869A4">
        <w:rPr>
          <w:rFonts w:eastAsia="Times New Roman"/>
          <w:color w:val="auto"/>
        </w:rPr>
        <w:t xml:space="preserve">Ardent </w:t>
      </w:r>
      <w:r w:rsidR="00BD5AF8" w:rsidRPr="00E869A4">
        <w:rPr>
          <w:rFonts w:eastAsia="Times New Roman"/>
          <w:color w:val="auto"/>
        </w:rPr>
        <w:t>a</w:t>
      </w:r>
      <w:r w:rsidRPr="00E869A4">
        <w:rPr>
          <w:rFonts w:eastAsia="Times New Roman"/>
          <w:color w:val="auto"/>
        </w:rPr>
        <w:t>cceptance</w:t>
      </w:r>
    </w:p>
    <w:p w14:paraId="5D575D9E" w14:textId="77777777" w:rsidR="00744EFC" w:rsidRPr="00E869A4" w:rsidRDefault="00744EFC" w:rsidP="00744EFC">
      <w:pPr>
        <w:jc w:val="both"/>
        <w:rPr>
          <w:rFonts w:ascii="Times New Roman" w:eastAsia="Times New Roman" w:hAnsi="Times New Roman" w:cs="Times New Roman"/>
        </w:rPr>
      </w:pPr>
    </w:p>
    <w:p w14:paraId="7BAF6E0E" w14:textId="7777777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Ardent acceptance refers to situations where the older person agreed to the care activities performed by their family carer. Also, the family member was perceived by the older person as being willing to provide them with elder care, whether or not this was in fact the case. Thus, for the most part, </w:t>
      </w:r>
      <w:r w:rsidRPr="00E869A4">
        <w:rPr>
          <w:rFonts w:ascii="Times New Roman" w:eastAsia="Times New Roman" w:hAnsi="Times New Roman" w:cs="Times New Roman"/>
          <w:i/>
        </w:rPr>
        <w:t>ardent acceptance</w:t>
      </w:r>
      <w:r w:rsidRPr="00E869A4">
        <w:rPr>
          <w:rFonts w:ascii="Times New Roman" w:eastAsia="Times New Roman" w:hAnsi="Times New Roman" w:cs="Times New Roman"/>
        </w:rPr>
        <w:t xml:space="preserve"> is indicative of a congruent care dynamic, but there might be instances where there is incongruence in that the perceived willingness of the family caregiver was an inaccurate assessment of what obtained in reality. </w:t>
      </w:r>
    </w:p>
    <w:p w14:paraId="141E125D" w14:textId="77777777" w:rsidR="00744EFC" w:rsidRPr="00E869A4" w:rsidRDefault="00744EFC" w:rsidP="00744EFC">
      <w:pPr>
        <w:jc w:val="both"/>
        <w:rPr>
          <w:rFonts w:ascii="Times New Roman" w:eastAsia="Times New Roman" w:hAnsi="Times New Roman" w:cs="Times New Roman"/>
        </w:rPr>
      </w:pPr>
    </w:p>
    <w:p w14:paraId="60B33640" w14:textId="43F64DCB"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This care management strategy was evident in the relationship between Tanty Edna and her niece Adelina, Mother Freeda and her daughter Sheila, and Mr. Khan and his daughter Samantha. As indicated in the previous chapter on </w:t>
      </w:r>
      <w:r w:rsidR="007E5285" w:rsidRPr="00E869A4">
        <w:rPr>
          <w:rFonts w:ascii="Times New Roman" w:eastAsia="Times New Roman" w:hAnsi="Times New Roman" w:cs="Times New Roman"/>
        </w:rPr>
        <w:t>experiences</w:t>
      </w:r>
      <w:r w:rsidRPr="00E869A4">
        <w:rPr>
          <w:rFonts w:ascii="Times New Roman" w:eastAsia="Times New Roman" w:hAnsi="Times New Roman" w:cs="Times New Roman"/>
        </w:rPr>
        <w:t xml:space="preserve"> of care, these three older persons were for the most part very satisfied with the care they received from their primary family carer. Their family carer was also very much aware and confident that their older relative appreciated the care they provided. </w:t>
      </w:r>
    </w:p>
    <w:p w14:paraId="5635257E" w14:textId="77777777" w:rsidR="00744EFC" w:rsidRPr="00E869A4" w:rsidRDefault="00744EFC" w:rsidP="00744EFC">
      <w:pPr>
        <w:jc w:val="both"/>
        <w:rPr>
          <w:rFonts w:ascii="Times New Roman" w:eastAsia="Times New Roman" w:hAnsi="Times New Roman" w:cs="Times New Roman"/>
        </w:rPr>
      </w:pPr>
    </w:p>
    <w:p w14:paraId="0F7A85B7" w14:textId="06362141" w:rsidR="005737F0" w:rsidRPr="00E869A4" w:rsidRDefault="00744EFC" w:rsidP="005737F0">
      <w:pPr>
        <w:jc w:val="both"/>
        <w:rPr>
          <w:rFonts w:ascii="Times New Roman" w:eastAsia="Times New Roman" w:hAnsi="Times New Roman" w:cs="Times New Roman"/>
        </w:rPr>
      </w:pPr>
      <w:r w:rsidRPr="00E869A4">
        <w:rPr>
          <w:rFonts w:ascii="Times New Roman" w:eastAsia="Times New Roman" w:hAnsi="Times New Roman" w:cs="Times New Roman"/>
        </w:rPr>
        <w:lastRenderedPageBreak/>
        <w:t>Mother Freeda</w:t>
      </w:r>
      <w:r w:rsidR="000D3876" w:rsidRPr="00E869A4">
        <w:rPr>
          <w:rFonts w:ascii="Times New Roman" w:eastAsia="Times New Roman" w:hAnsi="Times New Roman" w:cs="Times New Roman"/>
        </w:rPr>
        <w:t>,</w:t>
      </w:r>
      <w:r w:rsidRPr="00E869A4">
        <w:rPr>
          <w:rFonts w:ascii="Times New Roman" w:eastAsia="Times New Roman" w:hAnsi="Times New Roman" w:cs="Times New Roman"/>
        </w:rPr>
        <w:t xml:space="preserve"> for example</w:t>
      </w:r>
      <w:r w:rsidR="004031D3" w:rsidRPr="00E869A4">
        <w:rPr>
          <w:rFonts w:ascii="Times New Roman" w:eastAsia="Times New Roman" w:hAnsi="Times New Roman" w:cs="Times New Roman"/>
        </w:rPr>
        <w:t>,</w:t>
      </w:r>
      <w:r w:rsidRPr="00E869A4">
        <w:rPr>
          <w:rFonts w:ascii="Times New Roman" w:eastAsia="Times New Roman" w:hAnsi="Times New Roman" w:cs="Times New Roman"/>
        </w:rPr>
        <w:t xml:space="preserve"> ardently accepted the suggestion from her daughter Sheila and members of her church, that she do telephone evangelism </w:t>
      </w:r>
      <w:r w:rsidR="004031D3" w:rsidRPr="00E869A4">
        <w:rPr>
          <w:rFonts w:ascii="Times New Roman" w:eastAsia="Times New Roman" w:hAnsi="Times New Roman" w:cs="Times New Roman"/>
        </w:rPr>
        <w:t>to</w:t>
      </w:r>
      <w:r w:rsidRPr="00E869A4">
        <w:rPr>
          <w:rFonts w:ascii="Times New Roman" w:eastAsia="Times New Roman" w:hAnsi="Times New Roman" w:cs="Times New Roman"/>
        </w:rPr>
        <w:t xml:space="preserve"> satisfy the religious requirements of her faith</w:t>
      </w:r>
      <w:r w:rsidR="002C0BE8" w:rsidRPr="00E869A4">
        <w:rPr>
          <w:rFonts w:ascii="Times New Roman" w:eastAsia="Times New Roman" w:hAnsi="Times New Roman" w:cs="Times New Roman"/>
        </w:rPr>
        <w:t>:</w:t>
      </w:r>
      <w:r w:rsidR="005737F0" w:rsidRPr="00E869A4">
        <w:rPr>
          <w:rFonts w:ascii="Times New Roman" w:eastAsia="Times New Roman" w:hAnsi="Times New Roman" w:cs="Times New Roman"/>
        </w:rPr>
        <w:t xml:space="preserve"> </w:t>
      </w:r>
      <w:r w:rsidR="002C0BE8" w:rsidRPr="00E869A4">
        <w:rPr>
          <w:rFonts w:ascii="Times New Roman" w:eastAsia="Times New Roman" w:hAnsi="Times New Roman" w:cs="Times New Roman"/>
        </w:rPr>
        <w:t>“</w:t>
      </w:r>
      <w:r w:rsidRPr="00E869A4">
        <w:rPr>
          <w:rFonts w:ascii="Times New Roman" w:eastAsia="Times New Roman" w:hAnsi="Times New Roman" w:cs="Times New Roman"/>
        </w:rPr>
        <w:t xml:space="preserve">They arranging for me to do some am telephone witnessing. So, I will do that, to make up some hours, </w:t>
      </w:r>
      <w:r w:rsidR="000D3876" w:rsidRPr="00E869A4">
        <w:rPr>
          <w:rFonts w:ascii="Times New Roman" w:eastAsia="Times New Roman" w:hAnsi="Times New Roman" w:cs="Times New Roman"/>
        </w:rPr>
        <w:t>’</w:t>
      </w:r>
      <w:r w:rsidRPr="00E869A4">
        <w:rPr>
          <w:rFonts w:ascii="Times New Roman" w:eastAsia="Times New Roman" w:hAnsi="Times New Roman" w:cs="Times New Roman"/>
        </w:rPr>
        <w:t>cause you must preach</w:t>
      </w:r>
      <w:r w:rsidR="002C0BE8" w:rsidRPr="00E869A4">
        <w:rPr>
          <w:rFonts w:ascii="Times New Roman" w:eastAsia="Times New Roman" w:hAnsi="Times New Roman" w:cs="Times New Roman"/>
        </w:rPr>
        <w:t>.”</w:t>
      </w:r>
      <w:r w:rsidR="005737F0" w:rsidRPr="00E869A4">
        <w:rPr>
          <w:rFonts w:ascii="Times New Roman" w:eastAsia="Times New Roman" w:hAnsi="Times New Roman" w:cs="Times New Roman"/>
        </w:rPr>
        <w:t xml:space="preserve"> (CR</w:t>
      </w:r>
      <w:r w:rsidRPr="00E869A4">
        <w:rPr>
          <w:rFonts w:ascii="Times New Roman" w:eastAsia="Times New Roman" w:hAnsi="Times New Roman" w:cs="Times New Roman"/>
        </w:rPr>
        <w:t xml:space="preserve"> Mother Freeda)</w:t>
      </w:r>
      <w:r w:rsidR="005737F0" w:rsidRPr="00E869A4">
        <w:rPr>
          <w:rFonts w:ascii="Times New Roman" w:eastAsia="Times New Roman" w:hAnsi="Times New Roman" w:cs="Times New Roman"/>
        </w:rPr>
        <w:t>.</w:t>
      </w:r>
      <w:r w:rsidR="007E5285" w:rsidRPr="00E869A4">
        <w:rPr>
          <w:rFonts w:ascii="Times New Roman" w:eastAsia="Times New Roman" w:hAnsi="Times New Roman" w:cs="Times New Roman"/>
        </w:rPr>
        <w:t xml:space="preserve"> </w:t>
      </w:r>
      <w:r w:rsidRPr="00E869A4">
        <w:rPr>
          <w:rFonts w:ascii="Times New Roman" w:eastAsia="Times New Roman" w:hAnsi="Times New Roman" w:cs="Times New Roman"/>
        </w:rPr>
        <w:t>Mother Freeda’s willingness to evangelise by phone attests to her adaptable disposition as well as the willingness of her social network (i.e. her daughter Sheila and church community) to facilitate her inclusion in activities that she valued doing</w:t>
      </w:r>
      <w:r w:rsidR="004031D3" w:rsidRPr="00E869A4">
        <w:rPr>
          <w:rFonts w:ascii="Times New Roman" w:eastAsia="Times New Roman" w:hAnsi="Times New Roman" w:cs="Times New Roman"/>
        </w:rPr>
        <w:t>,</w:t>
      </w:r>
      <w:r w:rsidRPr="00E869A4">
        <w:rPr>
          <w:rFonts w:ascii="Times New Roman" w:eastAsia="Times New Roman" w:hAnsi="Times New Roman" w:cs="Times New Roman"/>
        </w:rPr>
        <w:t xml:space="preserve"> despite her mobility challenges. Sheila provided amenable care support for this by ensuring that her mother’s phone was in good working condition and had e</w:t>
      </w:r>
      <w:r w:rsidR="005737F0" w:rsidRPr="00E869A4">
        <w:rPr>
          <w:rFonts w:ascii="Times New Roman" w:eastAsia="Times New Roman" w:hAnsi="Times New Roman" w:cs="Times New Roman"/>
        </w:rPr>
        <w:t>nough credit:</w:t>
      </w:r>
    </w:p>
    <w:p w14:paraId="45492716" w14:textId="77777777" w:rsidR="005737F0" w:rsidRPr="00E869A4" w:rsidRDefault="005737F0" w:rsidP="00B94289">
      <w:pPr>
        <w:autoSpaceDE w:val="0"/>
        <w:autoSpaceDN w:val="0"/>
        <w:adjustRightInd w:val="0"/>
        <w:spacing w:line="240" w:lineRule="auto"/>
        <w:rPr>
          <w:rFonts w:ascii="Times New Roman" w:eastAsia="Times New Roman" w:hAnsi="Times New Roman" w:cs="Times New Roman"/>
        </w:rPr>
      </w:pPr>
    </w:p>
    <w:p w14:paraId="31C17B4D" w14:textId="6A687B25" w:rsidR="00744EFC" w:rsidRPr="00E869A4" w:rsidRDefault="00744EFC" w:rsidP="007F2A6A">
      <w:pPr>
        <w:spacing w:line="240" w:lineRule="auto"/>
        <w:ind w:left="567" w:firstLine="0"/>
        <w:rPr>
          <w:rFonts w:ascii="Times New Roman" w:eastAsia="Times New Roman" w:hAnsi="Times New Roman" w:cs="Times New Roman"/>
          <w:i/>
        </w:rPr>
      </w:pPr>
      <w:r w:rsidRPr="00E869A4">
        <w:rPr>
          <w:rFonts w:ascii="Times New Roman" w:eastAsia="Times New Roman" w:hAnsi="Times New Roman" w:cs="Times New Roman"/>
        </w:rPr>
        <w:t>She can’t live without the phone … she calls everybody imaginable (laughs) that she could think of (laughs) to talk to yuh know. She’s that kind of person. So all in all yuh know she’s am, and as I mentioned I speak with her every day</w:t>
      </w:r>
      <w:r w:rsidR="002C0BE8" w:rsidRPr="00E869A4">
        <w:rPr>
          <w:rFonts w:ascii="Times New Roman" w:eastAsia="Times New Roman" w:hAnsi="Times New Roman" w:cs="Times New Roman"/>
        </w:rPr>
        <w:t>.</w:t>
      </w:r>
    </w:p>
    <w:p w14:paraId="66A40F70" w14:textId="77777777" w:rsidR="00744EFC" w:rsidRPr="00E869A4" w:rsidRDefault="00744EFC" w:rsidP="00B94289">
      <w:pPr>
        <w:autoSpaceDE w:val="0"/>
        <w:autoSpaceDN w:val="0"/>
        <w:adjustRightInd w:val="0"/>
        <w:spacing w:line="240" w:lineRule="auto"/>
        <w:rPr>
          <w:rFonts w:ascii="Times New Roman" w:eastAsia="Times New Roman" w:hAnsi="Times New Roman" w:cs="Times New Roman"/>
        </w:rPr>
      </w:pPr>
    </w:p>
    <w:p w14:paraId="3EF12D0E" w14:textId="17616A05" w:rsidR="00744EFC" w:rsidRPr="00E869A4" w:rsidRDefault="00744EFC" w:rsidP="005737F0">
      <w:pPr>
        <w:ind w:firstLine="0"/>
        <w:jc w:val="both"/>
        <w:rPr>
          <w:rFonts w:ascii="Times New Roman" w:eastAsia="Times New Roman" w:hAnsi="Times New Roman" w:cs="Times New Roman"/>
        </w:rPr>
      </w:pPr>
      <w:r w:rsidRPr="00E869A4">
        <w:rPr>
          <w:rFonts w:ascii="Times New Roman" w:eastAsia="Times New Roman" w:hAnsi="Times New Roman" w:cs="Times New Roman"/>
        </w:rPr>
        <w:t xml:space="preserve">During one of the interviews held at Mother Freeda’s home, Sheila stopped by with a new phone and phone voucher to ‘top-up’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’s credit so as to ensure that </w:t>
      </w:r>
      <w:r w:rsidR="007E5285" w:rsidRPr="00E869A4">
        <w:rPr>
          <w:rFonts w:ascii="Times New Roman" w:eastAsia="Times New Roman" w:hAnsi="Times New Roman" w:cs="Times New Roman"/>
        </w:rPr>
        <w:t>Mother Freeda</w:t>
      </w:r>
      <w:r w:rsidRPr="00E869A4">
        <w:rPr>
          <w:rFonts w:ascii="Times New Roman" w:eastAsia="Times New Roman" w:hAnsi="Times New Roman" w:cs="Times New Roman"/>
        </w:rPr>
        <w:t xml:space="preserve"> could continue to make phone calls and be contacted easily</w:t>
      </w:r>
      <w:r w:rsidR="004031D3" w:rsidRPr="00E869A4">
        <w:rPr>
          <w:rFonts w:ascii="Times New Roman" w:eastAsia="Times New Roman" w:hAnsi="Times New Roman" w:cs="Times New Roman"/>
        </w:rPr>
        <w:t xml:space="preserve"> </w:t>
      </w:r>
      <w:r w:rsidR="002D1FDD" w:rsidRPr="00E869A4">
        <w:rPr>
          <w:rFonts w:ascii="Times New Roman" w:eastAsia="Times New Roman" w:hAnsi="Times New Roman" w:cs="Times New Roman"/>
        </w:rPr>
        <w:t>by</w:t>
      </w:r>
      <w:r w:rsidR="004031D3" w:rsidRPr="00E869A4">
        <w:rPr>
          <w:rFonts w:ascii="Times New Roman" w:eastAsia="Times New Roman" w:hAnsi="Times New Roman" w:cs="Times New Roman"/>
        </w:rPr>
        <w:t xml:space="preserve"> family and friends</w:t>
      </w:r>
      <w:r w:rsidRPr="00E869A4">
        <w:rPr>
          <w:rFonts w:ascii="Times New Roman" w:eastAsia="Times New Roman" w:hAnsi="Times New Roman" w:cs="Times New Roman"/>
        </w:rPr>
        <w:t xml:space="preserve">. </w:t>
      </w:r>
    </w:p>
    <w:p w14:paraId="455A451B" w14:textId="77777777" w:rsidR="00744EFC" w:rsidRPr="00E869A4" w:rsidRDefault="00744EFC" w:rsidP="00744EFC">
      <w:pPr>
        <w:jc w:val="both"/>
        <w:rPr>
          <w:rFonts w:ascii="Times New Roman" w:eastAsia="Times New Roman" w:hAnsi="Times New Roman" w:cs="Times New Roman"/>
        </w:rPr>
      </w:pPr>
    </w:p>
    <w:p w14:paraId="07937EE9" w14:textId="5138DA25"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Tanty Edna was not as fortunate as Mother </w:t>
      </w:r>
      <w:r w:rsidR="004031D3" w:rsidRPr="00E869A4">
        <w:rPr>
          <w:rFonts w:ascii="Times New Roman" w:eastAsia="Times New Roman" w:hAnsi="Times New Roman" w:cs="Times New Roman"/>
        </w:rPr>
        <w:t>Freeda was</w:t>
      </w:r>
      <w:r w:rsidRPr="00E869A4">
        <w:rPr>
          <w:rFonts w:ascii="Times New Roman" w:eastAsia="Times New Roman" w:hAnsi="Times New Roman" w:cs="Times New Roman"/>
        </w:rPr>
        <w:t xml:space="preserve"> in maintaining contact with the religious group that she once belonged to. She was a member of a non-traditional Christian organisation but unfortunately, when she became too frail to attend church services, no transportation system was provided by the church and, unlike Mr. Khan, </w:t>
      </w:r>
      <w:r w:rsidR="002C0BE8" w:rsidRPr="00E869A4">
        <w:rPr>
          <w:rFonts w:ascii="Times New Roman" w:eastAsia="Times New Roman" w:hAnsi="Times New Roman" w:cs="Times New Roman"/>
        </w:rPr>
        <w:t xml:space="preserve">she </w:t>
      </w:r>
      <w:r w:rsidRPr="00E869A4">
        <w:rPr>
          <w:rFonts w:ascii="Times New Roman" w:eastAsia="Times New Roman" w:hAnsi="Times New Roman" w:cs="Times New Roman"/>
        </w:rPr>
        <w:t xml:space="preserve">had no family member to </w:t>
      </w:r>
      <w:r w:rsidR="007E5285" w:rsidRPr="00E869A4">
        <w:rPr>
          <w:rFonts w:ascii="Times New Roman" w:eastAsia="Times New Roman" w:hAnsi="Times New Roman" w:cs="Times New Roman"/>
        </w:rPr>
        <w:t xml:space="preserve">consistently </w:t>
      </w:r>
      <w:r w:rsidRPr="00E869A4">
        <w:rPr>
          <w:rFonts w:ascii="Times New Roman" w:eastAsia="Times New Roman" w:hAnsi="Times New Roman" w:cs="Times New Roman"/>
        </w:rPr>
        <w:t>provide her with transport. Thus, being a long time member of a religious organisation does not always equate to receiving support in later life.</w:t>
      </w:r>
      <w:r w:rsidR="00EC1FDF"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To resolve this situation, Tanty’s niece Adelina sought her permission to have her spiritual needs met by a traditional religious body. Tanty ardently accepted her niece’s offer, and was very pleased with the visits that she received from that religious body each month. </w:t>
      </w:r>
    </w:p>
    <w:p w14:paraId="40785CC7" w14:textId="77777777" w:rsidR="00744EFC" w:rsidRPr="00E869A4" w:rsidRDefault="00744EFC" w:rsidP="00B94289">
      <w:pPr>
        <w:autoSpaceDE w:val="0"/>
        <w:autoSpaceDN w:val="0"/>
        <w:adjustRightInd w:val="0"/>
        <w:spacing w:line="240" w:lineRule="auto"/>
        <w:rPr>
          <w:rFonts w:ascii="Times New Roman" w:eastAsia="Times New Roman" w:hAnsi="Times New Roman" w:cs="Times New Roman"/>
        </w:rPr>
      </w:pPr>
    </w:p>
    <w:p w14:paraId="6D7282ED" w14:textId="5DB850E4" w:rsidR="00744EFC" w:rsidRPr="00E869A4" w:rsidRDefault="00744EFC" w:rsidP="00DC656C">
      <w:pPr>
        <w:spacing w:line="240" w:lineRule="auto"/>
        <w:ind w:left="567" w:firstLine="0"/>
        <w:rPr>
          <w:rFonts w:ascii="Times New Roman" w:eastAsia="Times New Roman" w:hAnsi="Times New Roman" w:cs="Times New Roman"/>
        </w:rPr>
      </w:pPr>
      <w:bookmarkStart w:id="342" w:name="_3znysh7" w:colFirst="0" w:colLast="0"/>
      <w:bookmarkEnd w:id="342"/>
      <w:r w:rsidRPr="00E869A4">
        <w:rPr>
          <w:rFonts w:ascii="Times New Roman" w:eastAsia="Times New Roman" w:hAnsi="Times New Roman" w:cs="Times New Roman"/>
        </w:rPr>
        <w:t>Since with dis foot now I really couldn’t go</w:t>
      </w:r>
      <w:r w:rsidR="00DC656C" w:rsidRPr="00E869A4">
        <w:rPr>
          <w:rFonts w:ascii="Times New Roman" w:eastAsia="Times New Roman" w:hAnsi="Times New Roman" w:cs="Times New Roman"/>
        </w:rPr>
        <w:t xml:space="preserve"> [to church]</w:t>
      </w:r>
      <w:r w:rsidRPr="00E869A4">
        <w:rPr>
          <w:rFonts w:ascii="Times New Roman" w:eastAsia="Times New Roman" w:hAnsi="Times New Roman" w:cs="Times New Roman"/>
        </w:rPr>
        <w:t xml:space="preserve">, on account of transportation. Den Stephen (my grandson) hadn’t ah car. Den come w’en he get his eyes </w:t>
      </w:r>
      <w:proofErr w:type="spellStart"/>
      <w:r w:rsidRPr="00E869A4">
        <w:rPr>
          <w:rFonts w:ascii="Times New Roman" w:eastAsia="Times New Roman" w:hAnsi="Times New Roman" w:cs="Times New Roman"/>
        </w:rPr>
        <w:t>wit</w:t>
      </w:r>
      <w:proofErr w:type="spellEnd"/>
      <w:r w:rsidRPr="00E869A4">
        <w:rPr>
          <w:rFonts w:ascii="Times New Roman" w:eastAsia="Times New Roman" w:hAnsi="Times New Roman" w:cs="Times New Roman"/>
        </w:rPr>
        <w:t>’ dis [problem], it keep me down. But ah use to read meh bible an’ ah use to pray an’ [say]: you know bes’ Lord</w:t>
      </w:r>
      <w:r w:rsidR="00EC1FDF"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...Only two members use to call meh … An’ one use to come home [here] an’ hav’ lunch </w:t>
      </w:r>
      <w:proofErr w:type="spellStart"/>
      <w:r w:rsidRPr="00E869A4">
        <w:rPr>
          <w:rFonts w:ascii="Times New Roman" w:eastAsia="Times New Roman" w:hAnsi="Times New Roman" w:cs="Times New Roman"/>
        </w:rPr>
        <w:t>wit</w:t>
      </w:r>
      <w:proofErr w:type="spellEnd"/>
      <w:r w:rsidRPr="00E869A4">
        <w:rPr>
          <w:rFonts w:ascii="Times New Roman" w:eastAsia="Times New Roman" w:hAnsi="Times New Roman" w:cs="Times New Roman"/>
        </w:rPr>
        <w:t>’ meh ah Sunday</w:t>
      </w:r>
      <w:r w:rsidR="005737F0" w:rsidRPr="00E869A4">
        <w:rPr>
          <w:rFonts w:ascii="Times New Roman" w:eastAsia="Times New Roman" w:hAnsi="Times New Roman" w:cs="Times New Roman"/>
        </w:rPr>
        <w:t xml:space="preserve"> </w:t>
      </w:r>
      <w:r w:rsidRPr="00E869A4">
        <w:rPr>
          <w:rFonts w:ascii="Times New Roman" w:eastAsia="Times New Roman" w:hAnsi="Times New Roman" w:cs="Times New Roman"/>
        </w:rPr>
        <w:t>… an t’ing roll on - roll</w:t>
      </w:r>
      <w:r w:rsidR="005737F0" w:rsidRPr="00E869A4">
        <w:rPr>
          <w:rFonts w:ascii="Times New Roman" w:eastAsia="Times New Roman" w:hAnsi="Times New Roman" w:cs="Times New Roman"/>
        </w:rPr>
        <w:t xml:space="preserve"> on so girl</w:t>
      </w:r>
      <w:r w:rsidR="00323258" w:rsidRPr="00E869A4">
        <w:rPr>
          <w:rFonts w:ascii="Times New Roman" w:eastAsia="Times New Roman" w:hAnsi="Times New Roman" w:cs="Times New Roman"/>
        </w:rPr>
        <w:t xml:space="preserve"> </w:t>
      </w:r>
      <w:r w:rsidR="005737F0" w:rsidRPr="00E869A4">
        <w:rPr>
          <w:rFonts w:ascii="Times New Roman" w:eastAsia="Times New Roman" w:hAnsi="Times New Roman" w:cs="Times New Roman"/>
        </w:rPr>
        <w:t xml:space="preserve">... very nice but … </w:t>
      </w:r>
      <w:r w:rsidRPr="00E869A4">
        <w:rPr>
          <w:rFonts w:ascii="Times New Roman" w:eastAsia="Times New Roman" w:hAnsi="Times New Roman" w:cs="Times New Roman"/>
        </w:rPr>
        <w:t>Well, it was about … 6 months or so, [I] wasn’t seeing nobody at all. An’ Adelina …</w:t>
      </w:r>
      <w:r w:rsidR="00323258" w:rsidRPr="00E869A4">
        <w:rPr>
          <w:rFonts w:ascii="Times New Roman" w:eastAsia="Times New Roman" w:hAnsi="Times New Roman" w:cs="Times New Roman"/>
        </w:rPr>
        <w:t xml:space="preserve"> </w:t>
      </w:r>
      <w:r w:rsidRPr="00E869A4">
        <w:rPr>
          <w:rFonts w:ascii="Times New Roman" w:eastAsia="Times New Roman" w:hAnsi="Times New Roman" w:cs="Times New Roman"/>
        </w:rPr>
        <w:t>dey very concern about me eh, very much …</w:t>
      </w:r>
      <w:r w:rsidR="005737F0" w:rsidRPr="00E869A4">
        <w:rPr>
          <w:rFonts w:ascii="Times New Roman" w:eastAsia="Times New Roman" w:hAnsi="Times New Roman" w:cs="Times New Roman"/>
        </w:rPr>
        <w:t xml:space="preserve"> </w:t>
      </w:r>
      <w:r w:rsidRPr="00E869A4">
        <w:rPr>
          <w:rFonts w:ascii="Times New Roman" w:eastAsia="Times New Roman" w:hAnsi="Times New Roman" w:cs="Times New Roman"/>
        </w:rPr>
        <w:t>Dey want to know what goin’ on in my life, how ah getting on. They are</w:t>
      </w:r>
      <w:r w:rsidR="002C0BE8" w:rsidRPr="00E869A4">
        <w:rPr>
          <w:rFonts w:ascii="Times New Roman" w:eastAsia="Times New Roman" w:hAnsi="Times New Roman" w:cs="Times New Roman"/>
        </w:rPr>
        <w:t xml:space="preserve"> staunch Catholics. [She said] ‘</w:t>
      </w:r>
      <w:r w:rsidRPr="00E869A4">
        <w:rPr>
          <w:rFonts w:ascii="Times New Roman" w:eastAsia="Times New Roman" w:hAnsi="Times New Roman" w:cs="Times New Roman"/>
        </w:rPr>
        <w:t>listen to me, yuh cannot travel, yuh ha’ no transportation an</w:t>
      </w:r>
      <w:r w:rsidR="004031D3" w:rsidRPr="00E869A4">
        <w:rPr>
          <w:rFonts w:ascii="Times New Roman" w:eastAsia="Times New Roman" w:hAnsi="Times New Roman" w:cs="Times New Roman"/>
        </w:rPr>
        <w:t>’</w:t>
      </w:r>
      <w:r w:rsidRPr="00E869A4">
        <w:rPr>
          <w:rFonts w:ascii="Times New Roman" w:eastAsia="Times New Roman" w:hAnsi="Times New Roman" w:cs="Times New Roman"/>
        </w:rPr>
        <w:t xml:space="preserve"> t’ing wit’ dis foot … it keepin’ yuh back an’ yuh know is one God we all prayer to </w:t>
      </w:r>
      <w:r w:rsidR="00EC1FDF" w:rsidRPr="00E869A4">
        <w:rPr>
          <w:rFonts w:ascii="Times New Roman" w:eastAsia="Times New Roman" w:hAnsi="Times New Roman" w:cs="Times New Roman"/>
        </w:rPr>
        <w:t>..</w:t>
      </w:r>
      <w:r w:rsidRPr="00E869A4">
        <w:rPr>
          <w:rFonts w:ascii="Times New Roman" w:eastAsia="Times New Roman" w:hAnsi="Times New Roman" w:cs="Times New Roman"/>
        </w:rPr>
        <w:t>.</w:t>
      </w:r>
      <w:r w:rsidR="002C0BE8" w:rsidRPr="00E869A4">
        <w:rPr>
          <w:rFonts w:ascii="Times New Roman" w:eastAsia="Times New Roman" w:hAnsi="Times New Roman" w:cs="Times New Roman"/>
        </w:rPr>
        <w:t xml:space="preserve"> </w:t>
      </w:r>
      <w:r w:rsidRPr="00E869A4">
        <w:rPr>
          <w:rFonts w:ascii="Times New Roman" w:eastAsia="Times New Roman" w:hAnsi="Times New Roman" w:cs="Times New Roman"/>
        </w:rPr>
        <w:t>What I’m going to do for you, I’m going to get the Catholic people come an’ give yuh communion every month</w:t>
      </w:r>
      <w:r w:rsidR="005737F0" w:rsidRPr="00E869A4">
        <w:rPr>
          <w:rFonts w:ascii="Times New Roman" w:eastAsia="Times New Roman" w:hAnsi="Times New Roman" w:cs="Times New Roman"/>
        </w:rPr>
        <w:t xml:space="preserve"> </w:t>
      </w:r>
      <w:r w:rsidRPr="00E869A4">
        <w:rPr>
          <w:rFonts w:ascii="Times New Roman" w:eastAsia="Times New Roman" w:hAnsi="Times New Roman" w:cs="Times New Roman"/>
        </w:rPr>
        <w:t>… Yuh please about dat?</w:t>
      </w:r>
      <w:r w:rsidR="002C0BE8" w:rsidRPr="00E869A4">
        <w:rPr>
          <w:rFonts w:ascii="Times New Roman" w:eastAsia="Times New Roman" w:hAnsi="Times New Roman" w:cs="Times New Roman"/>
        </w:rPr>
        <w:t>’.</w:t>
      </w:r>
      <w:r w:rsidRPr="00E869A4">
        <w:rPr>
          <w:rFonts w:ascii="Times New Roman" w:eastAsia="Times New Roman" w:hAnsi="Times New Roman" w:cs="Times New Roman"/>
        </w:rPr>
        <w:t xml:space="preserve">  No alternative – I say “yes</w:t>
      </w:r>
      <w:r w:rsidR="00323258" w:rsidRPr="00E869A4">
        <w:rPr>
          <w:rFonts w:ascii="Times New Roman" w:eastAsia="Times New Roman" w:hAnsi="Times New Roman" w:cs="Times New Roman"/>
        </w:rPr>
        <w:t xml:space="preserve"> </w:t>
      </w:r>
      <w:r w:rsidR="00EC1FDF" w:rsidRPr="00E869A4">
        <w:rPr>
          <w:rFonts w:ascii="Times New Roman" w:eastAsia="Times New Roman" w:hAnsi="Times New Roman" w:cs="Times New Roman"/>
        </w:rPr>
        <w:lastRenderedPageBreak/>
        <w:t>…</w:t>
      </w:r>
      <w:r w:rsidRPr="00E869A4">
        <w:rPr>
          <w:rFonts w:ascii="Times New Roman" w:eastAsia="Times New Roman" w:hAnsi="Times New Roman" w:cs="Times New Roman"/>
        </w:rPr>
        <w:t xml:space="preserve"> An’ since den [claps hands], ev-ry month ah get my communion), ev-ry month, ah does be happy. W’en dey done gi’ me communion dey talk, sing a lickle hymn den dey gone. So dat is my state ah life I’m living right now.</w:t>
      </w:r>
    </w:p>
    <w:p w14:paraId="5D15B455" w14:textId="77777777" w:rsidR="00744EFC" w:rsidRPr="00E869A4" w:rsidRDefault="00744EFC" w:rsidP="007F2A6A">
      <w:pPr>
        <w:spacing w:line="240" w:lineRule="auto"/>
        <w:ind w:left="567"/>
        <w:rPr>
          <w:rFonts w:ascii="Times New Roman" w:eastAsia="Times New Roman" w:hAnsi="Times New Roman" w:cs="Times New Roman"/>
        </w:rPr>
      </w:pPr>
      <w:r w:rsidRPr="00E869A4">
        <w:rPr>
          <w:rFonts w:ascii="Times New Roman" w:eastAsia="Times New Roman" w:hAnsi="Times New Roman" w:cs="Times New Roman"/>
          <w:i/>
        </w:rPr>
        <w:t xml:space="preserve"> </w:t>
      </w:r>
    </w:p>
    <w:p w14:paraId="24F73643" w14:textId="03139068"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As noted previously, Mr. Khan ardently accepted his daughter Samantha’s decision to become his primary caregiver after they became uncomfortable with the care he received from his daughter-in-law Kalima. However, ardent care acceptance is not the only care management strategy demonstrated by the aforementioned older persons. At some point in time, all three </w:t>
      </w:r>
      <w:r w:rsidR="004031D3" w:rsidRPr="00E869A4">
        <w:rPr>
          <w:rFonts w:ascii="Times New Roman" w:eastAsia="Times New Roman" w:hAnsi="Times New Roman" w:cs="Times New Roman"/>
        </w:rPr>
        <w:t xml:space="preserve">(3) </w:t>
      </w:r>
      <w:r w:rsidRPr="00E869A4">
        <w:rPr>
          <w:rFonts w:ascii="Times New Roman" w:eastAsia="Times New Roman" w:hAnsi="Times New Roman" w:cs="Times New Roman"/>
        </w:rPr>
        <w:t>care recipients either overtly or covertly rejected care from thei</w:t>
      </w:r>
      <w:r w:rsidR="00EB62EC" w:rsidRPr="00E869A4">
        <w:rPr>
          <w:rFonts w:ascii="Times New Roman" w:eastAsia="Times New Roman" w:hAnsi="Times New Roman" w:cs="Times New Roman"/>
        </w:rPr>
        <w:t>r primary family caregiver, and</w:t>
      </w:r>
      <w:r w:rsidRPr="00E869A4">
        <w:rPr>
          <w:rFonts w:ascii="Times New Roman" w:eastAsia="Times New Roman" w:hAnsi="Times New Roman" w:cs="Times New Roman"/>
        </w:rPr>
        <w:t xml:space="preserve">/or another family member or friend who was willing to provide care. This is discussed further in the sections that follow. </w:t>
      </w:r>
      <w:r w:rsidR="004031D3" w:rsidRPr="00E869A4">
        <w:rPr>
          <w:rFonts w:ascii="Times New Roman" w:eastAsia="Times New Roman" w:hAnsi="Times New Roman" w:cs="Times New Roman"/>
        </w:rPr>
        <w:t xml:space="preserve"> </w:t>
      </w:r>
      <w:r w:rsidR="00EB746C" w:rsidRPr="00E869A4">
        <w:rPr>
          <w:rFonts w:ascii="Times New Roman" w:eastAsia="Times New Roman" w:hAnsi="Times New Roman" w:cs="Times New Roman"/>
        </w:rPr>
        <w:t>It should be noted that o</w:t>
      </w:r>
      <w:r w:rsidR="004031D3" w:rsidRPr="00E869A4">
        <w:rPr>
          <w:rFonts w:ascii="Times New Roman" w:eastAsia="Times New Roman" w:hAnsi="Times New Roman" w:cs="Times New Roman"/>
        </w:rPr>
        <w:t>ther ‘</w:t>
      </w:r>
      <w:r w:rsidR="004031D3" w:rsidRPr="00E869A4">
        <w:rPr>
          <w:rFonts w:ascii="Times New Roman" w:eastAsia="Times New Roman" w:hAnsi="Times New Roman" w:cs="Times New Roman"/>
          <w:i/>
        </w:rPr>
        <w:t>accepting care strategies</w:t>
      </w:r>
      <w:r w:rsidR="004031D3" w:rsidRPr="00E869A4">
        <w:rPr>
          <w:rFonts w:ascii="Times New Roman" w:eastAsia="Times New Roman" w:hAnsi="Times New Roman" w:cs="Times New Roman"/>
        </w:rPr>
        <w:t>’</w:t>
      </w:r>
      <w:r w:rsidRPr="00E869A4">
        <w:rPr>
          <w:rFonts w:ascii="Times New Roman" w:eastAsia="Times New Roman" w:hAnsi="Times New Roman" w:cs="Times New Roman"/>
        </w:rPr>
        <w:t xml:space="preserve"> were adopted by these participants</w:t>
      </w:r>
      <w:r w:rsidR="006235F6" w:rsidRPr="00E869A4">
        <w:rPr>
          <w:rFonts w:ascii="Times New Roman" w:eastAsia="Times New Roman" w:hAnsi="Times New Roman" w:cs="Times New Roman"/>
        </w:rPr>
        <w:t>, however</w:t>
      </w:r>
      <w:r w:rsidRPr="00E869A4">
        <w:rPr>
          <w:rFonts w:ascii="Times New Roman" w:eastAsia="Times New Roman" w:hAnsi="Times New Roman" w:cs="Times New Roman"/>
        </w:rPr>
        <w:t>, unlike the ardent care acceptance discussed previously, the next two forms of acceptance involved indisputable incongruence, either with the person who provided the care to the older person, or the actual care that was on offer.</w:t>
      </w:r>
    </w:p>
    <w:p w14:paraId="3AE96196" w14:textId="77777777" w:rsidR="00744EFC" w:rsidRPr="00E869A4" w:rsidRDefault="00744EFC" w:rsidP="00744EFC">
      <w:pPr>
        <w:jc w:val="both"/>
        <w:rPr>
          <w:rFonts w:ascii="Times New Roman" w:eastAsia="Times New Roman" w:hAnsi="Times New Roman" w:cs="Times New Roman"/>
        </w:rPr>
      </w:pPr>
    </w:p>
    <w:p w14:paraId="265188A4" w14:textId="77777777" w:rsidR="00744EFC" w:rsidRPr="00E869A4" w:rsidRDefault="00744EFC" w:rsidP="0031040A">
      <w:pPr>
        <w:pStyle w:val="Heading5"/>
        <w:rPr>
          <w:rFonts w:eastAsia="Times New Roman"/>
          <w:b/>
          <w:color w:val="auto"/>
        </w:rPr>
      </w:pPr>
      <w:r w:rsidRPr="00E869A4">
        <w:rPr>
          <w:rFonts w:eastAsia="Times New Roman"/>
          <w:color w:val="auto"/>
        </w:rPr>
        <w:t>Capitulated Acceptance</w:t>
      </w:r>
    </w:p>
    <w:p w14:paraId="20F3CA8E" w14:textId="77777777" w:rsidR="00744EFC" w:rsidRPr="00E869A4" w:rsidRDefault="00744EFC" w:rsidP="00744EFC">
      <w:pPr>
        <w:jc w:val="both"/>
        <w:rPr>
          <w:rFonts w:ascii="Times New Roman" w:eastAsia="Times New Roman" w:hAnsi="Times New Roman" w:cs="Times New Roman"/>
        </w:rPr>
      </w:pPr>
    </w:p>
    <w:p w14:paraId="43AE6E4C" w14:textId="2097A40D"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i/>
          <w:iCs/>
        </w:rPr>
        <w:t>Capitulated</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i/>
          <w:iCs/>
        </w:rPr>
        <w:t>acceptance</w:t>
      </w:r>
      <w:r w:rsidRPr="00E869A4">
        <w:rPr>
          <w:rFonts w:ascii="Times New Roman" w:eastAsia="Times New Roman" w:hAnsi="Times New Roman" w:cs="Times New Roman"/>
        </w:rPr>
        <w:t xml:space="preserve"> refers to situations where an older person yielded or submitted to the care being provided after engaging in some form of resistance to the care on offer by their family caregiver. Mr. Druman for example displayed capitulated acceptance to his son Timothy’s offer to help him manage his finances. At first, Mr. Druman refused Timothy’s proposal. In response to his father’s refusal, Timothy used a restrained care approach by relenting to his father’s wishes, and not pressuring him to change his mind. Mr. Druman eventually capitulated to his son’s support, but only after Timothy discovered that Mr. Druman </w:t>
      </w:r>
      <w:r w:rsidR="000F5D8C" w:rsidRPr="00E869A4">
        <w:rPr>
          <w:rFonts w:ascii="Times New Roman" w:eastAsia="Times New Roman" w:hAnsi="Times New Roman" w:cs="Times New Roman"/>
        </w:rPr>
        <w:t xml:space="preserve">had </w:t>
      </w:r>
      <w:r w:rsidRPr="00E869A4">
        <w:rPr>
          <w:rFonts w:ascii="Times New Roman" w:eastAsia="Times New Roman" w:hAnsi="Times New Roman" w:cs="Times New Roman"/>
        </w:rPr>
        <w:t>mismanaged his savings and there was a shortfall in the finances available to meet his care needs. The</w:t>
      </w:r>
      <w:r w:rsidR="000F5D8C" w:rsidRPr="00E869A4">
        <w:rPr>
          <w:rFonts w:ascii="Times New Roman" w:eastAsia="Times New Roman" w:hAnsi="Times New Roman" w:cs="Times New Roman"/>
        </w:rPr>
        <w:t>se</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i/>
        </w:rPr>
        <w:t>refusing care</w:t>
      </w:r>
      <w:r w:rsidRPr="00E869A4">
        <w:rPr>
          <w:rFonts w:ascii="Times New Roman" w:eastAsia="Times New Roman" w:hAnsi="Times New Roman" w:cs="Times New Roman"/>
        </w:rPr>
        <w:t xml:space="preserve"> and </w:t>
      </w:r>
      <w:r w:rsidRPr="00E869A4">
        <w:rPr>
          <w:rFonts w:ascii="Times New Roman" w:eastAsia="Times New Roman" w:hAnsi="Times New Roman" w:cs="Times New Roman"/>
          <w:i/>
        </w:rPr>
        <w:t>restrained care management strategies</w:t>
      </w:r>
      <w:r w:rsidRPr="00E869A4">
        <w:rPr>
          <w:rFonts w:ascii="Times New Roman" w:eastAsia="Times New Roman" w:hAnsi="Times New Roman" w:cs="Times New Roman"/>
        </w:rPr>
        <w:t xml:space="preserve"> are discussed in more detail below. </w:t>
      </w:r>
    </w:p>
    <w:p w14:paraId="15CA22BE" w14:textId="77777777" w:rsidR="00744EFC" w:rsidRPr="00E869A4" w:rsidRDefault="00744EFC" w:rsidP="00744EFC">
      <w:pPr>
        <w:jc w:val="both"/>
        <w:rPr>
          <w:rFonts w:ascii="Times New Roman" w:eastAsia="Times New Roman" w:hAnsi="Times New Roman" w:cs="Times New Roman"/>
        </w:rPr>
      </w:pPr>
    </w:p>
    <w:p w14:paraId="216BC256" w14:textId="792736E2"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Tanty Edna also displayed capitulated care acceptance with respect to receiving care from her paid GAPP </w:t>
      </w:r>
      <w:r w:rsidR="003957F8" w:rsidRPr="00E869A4">
        <w:rPr>
          <w:rFonts w:ascii="Times New Roman" w:eastAsia="Times New Roman" w:hAnsi="Times New Roman" w:cs="Times New Roman"/>
        </w:rPr>
        <w:t>care worker</w:t>
      </w:r>
      <w:r w:rsidRPr="00E869A4">
        <w:rPr>
          <w:rFonts w:ascii="Times New Roman" w:eastAsia="Times New Roman" w:hAnsi="Times New Roman" w:cs="Times New Roman"/>
        </w:rPr>
        <w:t xml:space="preserve">. As noted in the previous chapter, Tanty was not pleased with the service she received from her two GAPP caregivers. She complained about the first one assigned to her (Patricia). As a result of her complaints, Patricia was replaced by Kasey. However, Kasey also breached her contract by not providing the agreed upon services. Tanty hesitated to make another complaint about the situation, especially since she did not want to give the impression that she was being </w:t>
      </w:r>
      <w:r w:rsidR="00EB62EC" w:rsidRPr="00E869A4">
        <w:rPr>
          <w:rFonts w:ascii="Times New Roman" w:eastAsia="Times New Roman" w:hAnsi="Times New Roman" w:cs="Times New Roman"/>
        </w:rPr>
        <w:t>difficult</w:t>
      </w:r>
      <w:r w:rsidR="00EB746C" w:rsidRPr="00E869A4">
        <w:rPr>
          <w:rFonts w:ascii="Times New Roman" w:eastAsia="Times New Roman" w:hAnsi="Times New Roman" w:cs="Times New Roman"/>
        </w:rPr>
        <w:t xml:space="preserve">: </w:t>
      </w:r>
      <w:r w:rsidR="00EB62EC" w:rsidRPr="00E869A4">
        <w:rPr>
          <w:rFonts w:ascii="Times New Roman" w:eastAsia="Times New Roman" w:hAnsi="Times New Roman" w:cs="Times New Roman"/>
          <w:i/>
        </w:rPr>
        <w:t>“</w:t>
      </w:r>
      <w:r w:rsidRPr="00E869A4">
        <w:rPr>
          <w:rFonts w:ascii="Times New Roman" w:eastAsia="Times New Roman" w:hAnsi="Times New Roman" w:cs="Times New Roman"/>
        </w:rPr>
        <w:t>Because I don’t want them to feel I’m some miserable ole lady</w:t>
      </w:r>
      <w:r w:rsidR="003D4304" w:rsidRPr="00E869A4">
        <w:rPr>
          <w:rFonts w:ascii="Times New Roman" w:eastAsia="Times New Roman" w:hAnsi="Times New Roman" w:cs="Times New Roman"/>
        </w:rPr>
        <w:t>.</w:t>
      </w:r>
      <w:r w:rsidR="00EB62EC" w:rsidRPr="00E869A4">
        <w:rPr>
          <w:rFonts w:ascii="Times New Roman" w:eastAsia="Times New Roman" w:hAnsi="Times New Roman" w:cs="Times New Roman"/>
        </w:rPr>
        <w:t>”</w:t>
      </w:r>
      <w:r w:rsidR="003F38B1" w:rsidRPr="00E869A4">
        <w:rPr>
          <w:rFonts w:ascii="Times New Roman" w:eastAsia="Times New Roman" w:hAnsi="Times New Roman" w:cs="Times New Roman"/>
        </w:rPr>
        <w:t xml:space="preserve"> (CR</w:t>
      </w:r>
      <w:r w:rsidR="00EB746C" w:rsidRPr="00E869A4">
        <w:rPr>
          <w:rFonts w:ascii="Times New Roman" w:eastAsia="Times New Roman" w:hAnsi="Times New Roman" w:cs="Times New Roman"/>
        </w:rPr>
        <w:t xml:space="preserve"> Tanty Edna).</w:t>
      </w:r>
      <w:r w:rsidR="003D430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Tanty agreed that the issue could be </w:t>
      </w:r>
      <w:r w:rsidRPr="00E869A4">
        <w:rPr>
          <w:rFonts w:ascii="Times New Roman" w:eastAsia="Times New Roman" w:hAnsi="Times New Roman" w:cs="Times New Roman"/>
        </w:rPr>
        <w:lastRenderedPageBreak/>
        <w:t xml:space="preserve">raised in a one-on-one interview with Adelina. When Tanty’s concerns were brought to Adelina’s </w:t>
      </w:r>
      <w:r w:rsidR="003957F8" w:rsidRPr="00E869A4">
        <w:rPr>
          <w:rFonts w:ascii="Times New Roman" w:eastAsia="Times New Roman" w:hAnsi="Times New Roman" w:cs="Times New Roman"/>
        </w:rPr>
        <w:t>attention, she excused the care worker</w:t>
      </w:r>
      <w:r w:rsidRPr="00E869A4">
        <w:rPr>
          <w:rFonts w:ascii="Times New Roman" w:eastAsia="Times New Roman" w:hAnsi="Times New Roman" w:cs="Times New Roman"/>
        </w:rPr>
        <w:t>s</w:t>
      </w:r>
      <w:r w:rsidR="003957F8" w:rsidRPr="00E869A4">
        <w:rPr>
          <w:rFonts w:ascii="Times New Roman" w:eastAsia="Times New Roman" w:hAnsi="Times New Roman" w:cs="Times New Roman"/>
        </w:rPr>
        <w:t>’</w:t>
      </w:r>
      <w:r w:rsidRPr="00E869A4">
        <w:rPr>
          <w:rFonts w:ascii="Times New Roman" w:eastAsia="Times New Roman" w:hAnsi="Times New Roman" w:cs="Times New Roman"/>
        </w:rPr>
        <w:t xml:space="preserve"> behaviour. But, in a subsequent joint interview with Tanty Edna some days after, she revised her opinion and supported Tanty Edna’s concerns. This scenario illustrates how care management approaches can vary over time. In this instance, the dynamic shifted from incongruence to congruence.</w:t>
      </w:r>
    </w:p>
    <w:p w14:paraId="70717482" w14:textId="77777777" w:rsidR="003D4304" w:rsidRPr="00E869A4" w:rsidRDefault="003D4304" w:rsidP="00744EFC">
      <w:pPr>
        <w:jc w:val="both"/>
        <w:rPr>
          <w:rFonts w:ascii="Times New Roman" w:eastAsia="Times New Roman" w:hAnsi="Times New Roman" w:cs="Times New Roman"/>
        </w:rPr>
      </w:pPr>
    </w:p>
    <w:p w14:paraId="4B4220DC" w14:textId="77777777" w:rsidR="00744EFC" w:rsidRPr="00E869A4" w:rsidRDefault="00744EFC" w:rsidP="0031040A">
      <w:pPr>
        <w:pStyle w:val="Heading5"/>
        <w:rPr>
          <w:rFonts w:eastAsia="Times New Roman"/>
          <w:b/>
          <w:color w:val="auto"/>
        </w:rPr>
      </w:pPr>
      <w:r w:rsidRPr="00E869A4">
        <w:rPr>
          <w:rFonts w:eastAsia="Times New Roman"/>
          <w:color w:val="auto"/>
        </w:rPr>
        <w:t>Reserved Acceptance</w:t>
      </w:r>
    </w:p>
    <w:p w14:paraId="42F364B9" w14:textId="77777777" w:rsidR="00744EFC" w:rsidRPr="00E869A4" w:rsidRDefault="00744EFC" w:rsidP="00744EFC">
      <w:pPr>
        <w:jc w:val="both"/>
        <w:rPr>
          <w:rFonts w:ascii="Times New Roman" w:eastAsia="Times New Roman" w:hAnsi="Times New Roman" w:cs="Times New Roman"/>
        </w:rPr>
      </w:pPr>
    </w:p>
    <w:p w14:paraId="0E6BEE05" w14:textId="5F4E976E"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Another type of reluctant acceptance of care is what I refer to as the </w:t>
      </w:r>
      <w:r w:rsidRPr="00E869A4">
        <w:rPr>
          <w:rFonts w:ascii="Times New Roman" w:eastAsia="Times New Roman" w:hAnsi="Times New Roman" w:cs="Times New Roman"/>
          <w:i/>
        </w:rPr>
        <w:t>reserved care acceptance strategy</w:t>
      </w:r>
      <w:r w:rsidRPr="00E869A4">
        <w:rPr>
          <w:rFonts w:ascii="Times New Roman" w:eastAsia="Times New Roman" w:hAnsi="Times New Roman" w:cs="Times New Roman"/>
        </w:rPr>
        <w:t>. Reserved acceptance is evidenced by an older person agreeing with the care tasks being performed for them, but they do not necessarily trust or desire the particular family member to perform the care function(s).  Uncle Wilton for example used a reserved care acceptance strategy in response to the help provided by his ‘so-called</w:t>
      </w:r>
      <w:r w:rsidRPr="00E869A4">
        <w:rPr>
          <w:rFonts w:ascii="Times New Roman" w:eastAsia="Times New Roman" w:hAnsi="Times New Roman" w:cs="Times New Roman"/>
          <w:i/>
        </w:rPr>
        <w:t xml:space="preserve"> </w:t>
      </w:r>
      <w:r w:rsidRPr="00E869A4">
        <w:rPr>
          <w:rFonts w:ascii="Times New Roman" w:eastAsia="Times New Roman" w:hAnsi="Times New Roman" w:cs="Times New Roman"/>
          <w:iCs/>
        </w:rPr>
        <w:t>daughter’</w:t>
      </w:r>
      <w:r w:rsidRPr="00E869A4">
        <w:rPr>
          <w:rFonts w:ascii="Times New Roman" w:eastAsia="Times New Roman" w:hAnsi="Times New Roman" w:cs="Times New Roman"/>
        </w:rPr>
        <w:t xml:space="preserve"> Ann. As noted previously, Uncle Wilton was suspicious of Ann’s motives for cleaning his home. </w:t>
      </w:r>
      <w:r w:rsidR="004F3111" w:rsidRPr="00E869A4">
        <w:rPr>
          <w:rFonts w:ascii="Times New Roman" w:eastAsia="Times New Roman" w:hAnsi="Times New Roman" w:cs="Times New Roman"/>
        </w:rPr>
        <w:t>Whilst</w:t>
      </w:r>
      <w:r w:rsidRPr="00E869A4">
        <w:rPr>
          <w:rFonts w:ascii="Times New Roman" w:eastAsia="Times New Roman" w:hAnsi="Times New Roman" w:cs="Times New Roman"/>
        </w:rPr>
        <w:t xml:space="preserve"> he allowed her to assist with his housekeeping, this should not be viewed as passive acceptance of her as his primary caregiver. He still maintained agency with respect to the outcomes of the relationship. Uncle Wilton refused to give in to what he perceived as Ann’s attempts to manipulate him to give her free housing and an inheritance in return for the care she provided. Instead, he reserve</w:t>
      </w:r>
      <w:r w:rsidR="00EB62EC" w:rsidRPr="00E869A4">
        <w:rPr>
          <w:rFonts w:ascii="Times New Roman" w:eastAsia="Times New Roman" w:hAnsi="Times New Roman" w:cs="Times New Roman"/>
        </w:rPr>
        <w:t>d the inheritance for his niece/god</w:t>
      </w:r>
      <w:r w:rsidRPr="00E869A4">
        <w:rPr>
          <w:rFonts w:ascii="Times New Roman" w:eastAsia="Times New Roman" w:hAnsi="Times New Roman" w:cs="Times New Roman"/>
        </w:rPr>
        <w:t>daughter Tricia, who he personally selected to provide his meals and manage his finances.</w:t>
      </w:r>
    </w:p>
    <w:p w14:paraId="5D96DD01" w14:textId="77777777" w:rsidR="00744EFC" w:rsidRPr="00E869A4" w:rsidRDefault="00744EFC" w:rsidP="00744EFC">
      <w:pPr>
        <w:jc w:val="both"/>
        <w:rPr>
          <w:rFonts w:ascii="Times New Roman" w:eastAsia="Times New Roman" w:hAnsi="Times New Roman" w:cs="Times New Roman"/>
        </w:rPr>
      </w:pPr>
    </w:p>
    <w:p w14:paraId="7FA94920" w14:textId="7777777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Reluctant acceptance of care as evidenced by the capitulated or reserved care acceptance by older persons, may be partly explained as responses to acts of coercion or subversion by family caregivers. Concomitantly, it can also be explained as resulting from the older person’s lack of trust in their family carer, whether or not this is justified. Care management strategies by family caregivers such as surreptitious and enforced care could result in capitulated or reserved care acceptance by older care recipients. In the section that follows these and other caregiver strategies are discussed further. </w:t>
      </w:r>
    </w:p>
    <w:p w14:paraId="1C6741B2" w14:textId="77777777" w:rsidR="00744EFC" w:rsidRPr="00E869A4" w:rsidRDefault="00744EFC" w:rsidP="00744EFC">
      <w:pPr>
        <w:jc w:val="both"/>
        <w:rPr>
          <w:rFonts w:ascii="Times New Roman" w:eastAsia="Times New Roman" w:hAnsi="Times New Roman" w:cs="Times New Roman"/>
        </w:rPr>
      </w:pPr>
    </w:p>
    <w:p w14:paraId="1444A61E" w14:textId="77777777" w:rsidR="00423AD3" w:rsidRPr="00E869A4" w:rsidRDefault="00423AD3">
      <w:pPr>
        <w:rPr>
          <w:rFonts w:eastAsia="Times New Roman"/>
          <w:b/>
          <w:i/>
          <w:u w:val="single"/>
        </w:rPr>
      </w:pPr>
      <w:r w:rsidRPr="00E869A4">
        <w:rPr>
          <w:rFonts w:eastAsia="Times New Roman"/>
        </w:rPr>
        <w:br w:type="page"/>
      </w:r>
    </w:p>
    <w:p w14:paraId="405000E3" w14:textId="7C84F8AB" w:rsidR="00744EFC" w:rsidRPr="00E869A4" w:rsidRDefault="00744EFC" w:rsidP="00BD5AF8">
      <w:pPr>
        <w:pStyle w:val="Heading4"/>
        <w:rPr>
          <w:rFonts w:eastAsia="Times New Roman"/>
        </w:rPr>
      </w:pPr>
      <w:r w:rsidRPr="00E869A4">
        <w:rPr>
          <w:rFonts w:eastAsia="Times New Roman"/>
        </w:rPr>
        <w:lastRenderedPageBreak/>
        <w:t>Acceptance of Caregiving Role by Family Caregivers</w:t>
      </w:r>
    </w:p>
    <w:p w14:paraId="583ED948" w14:textId="77777777" w:rsidR="00744EFC" w:rsidRPr="00E869A4" w:rsidRDefault="00744EFC" w:rsidP="00744EFC">
      <w:pPr>
        <w:jc w:val="both"/>
        <w:rPr>
          <w:rFonts w:ascii="Times New Roman" w:eastAsia="Times New Roman" w:hAnsi="Times New Roman" w:cs="Times New Roman"/>
        </w:rPr>
      </w:pPr>
    </w:p>
    <w:p w14:paraId="39861458" w14:textId="020022E4" w:rsidR="00CA0784" w:rsidRPr="00E869A4" w:rsidRDefault="00744EFC" w:rsidP="00092C83">
      <w:pPr>
        <w:jc w:val="both"/>
        <w:rPr>
          <w:rFonts w:ascii="Times New Roman" w:eastAsia="Times New Roman" w:hAnsi="Times New Roman" w:cs="Times New Roman"/>
        </w:rPr>
      </w:pPr>
      <w:r w:rsidRPr="00E869A4">
        <w:rPr>
          <w:rFonts w:ascii="Times New Roman" w:eastAsia="Times New Roman" w:hAnsi="Times New Roman" w:cs="Times New Roman"/>
        </w:rPr>
        <w:t xml:space="preserve">Consistent with the sampling approach used for this study, most of the family caregivers accepted the role of family carer to their older relative. However, there were subtle variations in the degree of care acceptance adopted by caregivers. </w:t>
      </w:r>
    </w:p>
    <w:p w14:paraId="5A473B60" w14:textId="77777777" w:rsidR="00092C83" w:rsidRPr="00E869A4" w:rsidRDefault="00092C83" w:rsidP="00092C83">
      <w:pPr>
        <w:jc w:val="both"/>
        <w:rPr>
          <w:rFonts w:ascii="Times New Roman" w:eastAsia="Times New Roman" w:hAnsi="Times New Roman" w:cs="Times New Roman"/>
          <w:i/>
          <w:u w:val="single"/>
        </w:rPr>
      </w:pPr>
    </w:p>
    <w:p w14:paraId="326585B0" w14:textId="602D00D7" w:rsidR="00744EFC" w:rsidRPr="00E869A4" w:rsidRDefault="00744EFC" w:rsidP="0031040A">
      <w:pPr>
        <w:pStyle w:val="Heading5"/>
        <w:rPr>
          <w:rFonts w:eastAsia="Times New Roman"/>
          <w:color w:val="auto"/>
        </w:rPr>
      </w:pPr>
      <w:r w:rsidRPr="00E869A4">
        <w:rPr>
          <w:rFonts w:eastAsia="Times New Roman"/>
          <w:color w:val="auto"/>
        </w:rPr>
        <w:t xml:space="preserve">Amenable </w:t>
      </w:r>
      <w:r w:rsidR="00BD5AF8" w:rsidRPr="00E869A4">
        <w:rPr>
          <w:rFonts w:eastAsia="Times New Roman"/>
          <w:color w:val="auto"/>
        </w:rPr>
        <w:t>c</w:t>
      </w:r>
      <w:r w:rsidRPr="00E869A4">
        <w:rPr>
          <w:rFonts w:eastAsia="Times New Roman"/>
          <w:color w:val="auto"/>
        </w:rPr>
        <w:t>are</w:t>
      </w:r>
    </w:p>
    <w:p w14:paraId="7BC69065" w14:textId="77777777" w:rsidR="00744EFC" w:rsidRPr="00E869A4" w:rsidRDefault="00744EFC" w:rsidP="00744EFC">
      <w:pPr>
        <w:jc w:val="both"/>
        <w:rPr>
          <w:rFonts w:ascii="Times New Roman" w:eastAsia="Times New Roman" w:hAnsi="Times New Roman" w:cs="Times New Roman"/>
        </w:rPr>
      </w:pPr>
    </w:p>
    <w:p w14:paraId="0B9E5C45" w14:textId="3EB745D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Most of the family members caring for older </w:t>
      </w:r>
      <w:r w:rsidR="00AB1B2C" w:rsidRPr="00E869A4">
        <w:rPr>
          <w:rFonts w:ascii="Times New Roman" w:eastAsia="Times New Roman" w:hAnsi="Times New Roman" w:cs="Times New Roman"/>
        </w:rPr>
        <w:t>persons,</w:t>
      </w:r>
      <w:r w:rsidRPr="00E869A4">
        <w:rPr>
          <w:rFonts w:ascii="Times New Roman" w:eastAsia="Times New Roman" w:hAnsi="Times New Roman" w:cs="Times New Roman"/>
        </w:rPr>
        <w:t xml:space="preserve"> who expressed ardent care acceptance, could be described as applying an </w:t>
      </w:r>
      <w:r w:rsidRPr="00E869A4">
        <w:rPr>
          <w:rFonts w:ascii="Times New Roman" w:eastAsia="Times New Roman" w:hAnsi="Times New Roman" w:cs="Times New Roman"/>
          <w:i/>
          <w:iCs/>
        </w:rPr>
        <w:t>amenable</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i/>
          <w:iCs/>
        </w:rPr>
        <w:t>care</w:t>
      </w:r>
      <w:r w:rsidRPr="00E869A4">
        <w:rPr>
          <w:rFonts w:ascii="Times New Roman" w:eastAsia="Times New Roman" w:hAnsi="Times New Roman" w:cs="Times New Roman"/>
        </w:rPr>
        <w:t xml:space="preserve"> strategy. Amenable care is very similar to ardent care acceptance as it is characterised by the willingness of the caregiver to provide care, as well as agreement between the older person and carer about the care tasks to be provided. All family caregivers participating in the interviews provided some form of amenable care. </w:t>
      </w:r>
      <w:r w:rsidR="00E527A9" w:rsidRPr="00E869A4">
        <w:rPr>
          <w:rFonts w:ascii="Times New Roman" w:eastAsia="Times New Roman" w:hAnsi="Times New Roman" w:cs="Times New Roman"/>
        </w:rPr>
        <w:t xml:space="preserve">For instance, </w:t>
      </w:r>
      <w:r w:rsidRPr="00E869A4">
        <w:rPr>
          <w:rFonts w:ascii="Times New Roman" w:eastAsia="Times New Roman" w:hAnsi="Times New Roman" w:cs="Times New Roman"/>
        </w:rPr>
        <w:t xml:space="preserve">Sheila expressed amenable care to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 when she directed her to discontinue going to market to shop given her limited mobility. Mother Freeda agreed to this, as well as to Sheila’s position that she should not leave the kitchen when she was cooking so as to minimise the risk of her food being burnt or a fire hazard occurring. </w:t>
      </w:r>
      <w:r w:rsidR="00E527A9" w:rsidRPr="00E869A4">
        <w:rPr>
          <w:rFonts w:ascii="Times New Roman" w:eastAsia="Times New Roman" w:hAnsi="Times New Roman" w:cs="Times New Roman"/>
        </w:rPr>
        <w:t xml:space="preserve">For Marian and her mother Violet, amenable care involved going out to a restaurant or other social outing when Ms. Violet experienced bouts of depression. </w:t>
      </w:r>
      <w:r w:rsidRPr="00E869A4">
        <w:rPr>
          <w:rFonts w:ascii="Times New Roman" w:eastAsia="Times New Roman" w:hAnsi="Times New Roman" w:cs="Times New Roman"/>
        </w:rPr>
        <w:t xml:space="preserve">Thus, amenable care could involve facilitating care, or advising that the older person change or stop a particular activity. It is also informed by the willingness of the older person to compromise and adapt to the care provided by their family caregiver. </w:t>
      </w:r>
    </w:p>
    <w:p w14:paraId="554673FE" w14:textId="77777777" w:rsidR="00744EFC" w:rsidRPr="00E869A4" w:rsidRDefault="00744EFC" w:rsidP="00744EFC">
      <w:pPr>
        <w:jc w:val="both"/>
        <w:rPr>
          <w:rFonts w:ascii="Times New Roman" w:eastAsia="Times New Roman" w:hAnsi="Times New Roman" w:cs="Times New Roman"/>
        </w:rPr>
      </w:pPr>
    </w:p>
    <w:p w14:paraId="55987D6C" w14:textId="59CBE65D"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The main distinction between ardent care acceptance and an amenable care giving strategy is that with ardent care acceptance, a main feature is the ‘perceived’ willingness of the family member to provide care, whilst amenable care takes into consideration the ‘actual’ willingness of the family caregiver to provide care. The importance of this nuanced distinction is evident in the case of the Sanchez family. Mr. Sanchez displayed ardent acceptance of the care provided by his wife</w:t>
      </w:r>
      <w:r w:rsidR="00396EFF"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r w:rsidR="00396EFF" w:rsidRPr="00E869A4">
        <w:rPr>
          <w:rFonts w:ascii="Times New Roman" w:eastAsia="Times New Roman" w:hAnsi="Times New Roman" w:cs="Times New Roman"/>
        </w:rPr>
        <w:t>h</w:t>
      </w:r>
      <w:r w:rsidRPr="00E869A4">
        <w:rPr>
          <w:rFonts w:ascii="Times New Roman" w:eastAsia="Times New Roman" w:hAnsi="Times New Roman" w:cs="Times New Roman"/>
        </w:rPr>
        <w:t>owever, it wasn’t clear if Mrs. Sanchez willingly provided care to her husband. As will be discussed below, she employed a selective and deferred care strategy and possibly even an evasive and enduring care approach. During the various interview sessions, she never expressed a willingness to care. This ‘silence’ was worthy of note, especially since the focus of what she shared was about the challenges she experienced in providing care to her husband. Thus, it was unclear if she</w:t>
      </w:r>
      <w:r w:rsidR="00396EFF" w:rsidRPr="00E869A4">
        <w:rPr>
          <w:rFonts w:ascii="Times New Roman" w:eastAsia="Times New Roman" w:hAnsi="Times New Roman" w:cs="Times New Roman"/>
        </w:rPr>
        <w:t xml:space="preserve"> was</w:t>
      </w:r>
      <w:r w:rsidRPr="00E869A4">
        <w:rPr>
          <w:rFonts w:ascii="Times New Roman" w:eastAsia="Times New Roman" w:hAnsi="Times New Roman" w:cs="Times New Roman"/>
        </w:rPr>
        <w:t xml:space="preserve"> in fact amenable to providing care to him. There were other </w:t>
      </w:r>
      <w:r w:rsidRPr="00E869A4">
        <w:rPr>
          <w:rFonts w:ascii="Times New Roman" w:eastAsia="Times New Roman" w:hAnsi="Times New Roman" w:cs="Times New Roman"/>
        </w:rPr>
        <w:lastRenderedPageBreak/>
        <w:t xml:space="preserve">instances where caregivers willingly provided care but the care tasks were not in alignment with the preferences of the older person. Different strategies were used by family caregivers to treat with the incongruence that characterised such situations, including the use of enforced care and surreptitious care. </w:t>
      </w:r>
    </w:p>
    <w:p w14:paraId="561068A2" w14:textId="77777777" w:rsidR="00744EFC" w:rsidRPr="00E869A4" w:rsidRDefault="00744EFC" w:rsidP="00744EFC">
      <w:pPr>
        <w:jc w:val="both"/>
        <w:rPr>
          <w:rFonts w:ascii="Times New Roman" w:eastAsia="Times New Roman" w:hAnsi="Times New Roman" w:cs="Times New Roman"/>
        </w:rPr>
      </w:pPr>
    </w:p>
    <w:p w14:paraId="4E8AE4DE" w14:textId="77777777" w:rsidR="00744EFC" w:rsidRPr="00E869A4" w:rsidRDefault="00744EFC" w:rsidP="0031040A">
      <w:pPr>
        <w:pStyle w:val="Heading5"/>
        <w:rPr>
          <w:rFonts w:eastAsia="Times New Roman"/>
          <w:color w:val="auto"/>
        </w:rPr>
      </w:pPr>
      <w:r w:rsidRPr="00E869A4">
        <w:rPr>
          <w:rFonts w:eastAsia="Times New Roman"/>
          <w:color w:val="auto"/>
        </w:rPr>
        <w:t xml:space="preserve">Enforced </w:t>
      </w:r>
      <w:r w:rsidR="00BD5AF8" w:rsidRPr="00E869A4">
        <w:rPr>
          <w:rFonts w:eastAsia="Times New Roman"/>
          <w:color w:val="auto"/>
        </w:rPr>
        <w:t>c</w:t>
      </w:r>
      <w:r w:rsidRPr="00E869A4">
        <w:rPr>
          <w:rFonts w:eastAsia="Times New Roman"/>
          <w:color w:val="auto"/>
        </w:rPr>
        <w:t>are</w:t>
      </w:r>
    </w:p>
    <w:p w14:paraId="417B0692" w14:textId="77777777" w:rsidR="00744EFC" w:rsidRPr="00E869A4" w:rsidRDefault="00744EFC" w:rsidP="00744EFC">
      <w:pPr>
        <w:jc w:val="both"/>
        <w:rPr>
          <w:rFonts w:ascii="Times New Roman" w:eastAsia="Times New Roman" w:hAnsi="Times New Roman" w:cs="Times New Roman"/>
        </w:rPr>
      </w:pPr>
    </w:p>
    <w:p w14:paraId="27B7D46D" w14:textId="44ECA70D"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i/>
          <w:iCs/>
        </w:rPr>
        <w:t>Enforced</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i/>
          <w:iCs/>
        </w:rPr>
        <w:t>care</w:t>
      </w:r>
      <w:r w:rsidRPr="00E869A4">
        <w:rPr>
          <w:rFonts w:ascii="Times New Roman" w:eastAsia="Times New Roman" w:hAnsi="Times New Roman" w:cs="Times New Roman"/>
        </w:rPr>
        <w:t xml:space="preserve"> is care that is imposed on the older person by the family caregiver. The older person is a reluctant recipient of this form of care. Enforced care may or may not be beneficial to or consistent with the ‘</w:t>
      </w:r>
      <w:r w:rsidRPr="00E869A4">
        <w:rPr>
          <w:rFonts w:ascii="Times New Roman" w:eastAsia="Times New Roman" w:hAnsi="Times New Roman" w:cs="Times New Roman"/>
          <w:i/>
        </w:rPr>
        <w:t>best interests</w:t>
      </w:r>
      <w:r w:rsidRPr="00E869A4">
        <w:rPr>
          <w:rFonts w:ascii="Times New Roman" w:eastAsia="Times New Roman" w:hAnsi="Times New Roman" w:cs="Times New Roman"/>
        </w:rPr>
        <w:t>’ of the care recipient. On the one hand, such strategies may be used to protect an older person from harm. Samantha Khan</w:t>
      </w:r>
      <w:r w:rsidR="00A53398" w:rsidRPr="00E869A4">
        <w:rPr>
          <w:rFonts w:ascii="Times New Roman" w:eastAsia="Times New Roman" w:hAnsi="Times New Roman" w:cs="Times New Roman"/>
        </w:rPr>
        <w:t>,</w:t>
      </w:r>
      <w:r w:rsidRPr="00E869A4">
        <w:rPr>
          <w:rFonts w:ascii="Times New Roman" w:eastAsia="Times New Roman" w:hAnsi="Times New Roman" w:cs="Times New Roman"/>
        </w:rPr>
        <w:t xml:space="preserve"> for example</w:t>
      </w:r>
      <w:r w:rsidR="00A53398" w:rsidRPr="00E869A4">
        <w:rPr>
          <w:rFonts w:ascii="Times New Roman" w:eastAsia="Times New Roman" w:hAnsi="Times New Roman" w:cs="Times New Roman"/>
        </w:rPr>
        <w:t>,</w:t>
      </w:r>
      <w:r w:rsidRPr="00E869A4">
        <w:rPr>
          <w:rFonts w:ascii="Times New Roman" w:eastAsia="Times New Roman" w:hAnsi="Times New Roman" w:cs="Times New Roman"/>
        </w:rPr>
        <w:t xml:space="preserve"> had to enforce care when her father resisted dialysis treatment </w:t>
      </w:r>
      <w:r w:rsidR="00AB1B2C" w:rsidRPr="00E869A4">
        <w:rPr>
          <w:rFonts w:ascii="Times New Roman" w:eastAsia="Times New Roman" w:hAnsi="Times New Roman" w:cs="Times New Roman"/>
        </w:rPr>
        <w:t>to</w:t>
      </w:r>
      <w:r w:rsidRPr="00E869A4">
        <w:rPr>
          <w:rFonts w:ascii="Times New Roman" w:eastAsia="Times New Roman" w:hAnsi="Times New Roman" w:cs="Times New Roman"/>
        </w:rPr>
        <w:t xml:space="preserve"> ensure his health and safety (see previous chapter). She had to persevere and be assertive to ensure he took his treatments. The enforced care she provided required that she overcome the interpersonal conflict with respect to her position as daughter and </w:t>
      </w:r>
      <w:r w:rsidR="003957F8" w:rsidRPr="00E869A4">
        <w:rPr>
          <w:rFonts w:ascii="Times New Roman" w:eastAsia="Times New Roman" w:hAnsi="Times New Roman" w:cs="Times New Roman"/>
        </w:rPr>
        <w:t xml:space="preserve">assume </w:t>
      </w:r>
      <w:r w:rsidRPr="00E869A4">
        <w:rPr>
          <w:rFonts w:ascii="Times New Roman" w:eastAsia="Times New Roman" w:hAnsi="Times New Roman" w:cs="Times New Roman"/>
        </w:rPr>
        <w:t>that of caregiver who needed to be assertive, so as to achieve positive health care outcomes for her father, even when he resisted her support and wasn’t cooperating.</w:t>
      </w:r>
      <w:r w:rsidR="00525BC3" w:rsidRPr="00E869A4">
        <w:rPr>
          <w:rFonts w:ascii="Times New Roman" w:eastAsia="Times New Roman" w:hAnsi="Times New Roman" w:cs="Times New Roman"/>
        </w:rPr>
        <w:t xml:space="preserve"> O’Connor’s (2006)</w:t>
      </w:r>
      <w:r w:rsidR="00D644CD" w:rsidRPr="00E869A4">
        <w:rPr>
          <w:rFonts w:ascii="Times New Roman" w:eastAsia="Times New Roman" w:hAnsi="Times New Roman" w:cs="Times New Roman"/>
        </w:rPr>
        <w:t xml:space="preserve"> </w:t>
      </w:r>
      <w:r w:rsidR="00525BC3" w:rsidRPr="00E869A4">
        <w:rPr>
          <w:rFonts w:ascii="Times New Roman" w:eastAsia="Times New Roman" w:hAnsi="Times New Roman" w:cs="Times New Roman"/>
        </w:rPr>
        <w:t xml:space="preserve">repositioning theory mentioned earlier in the literature review is useful for understanding the tension experienced by Samantha in shifting from the role of daughter to assertive caregiver. </w:t>
      </w:r>
      <w:r w:rsidRPr="00E869A4">
        <w:rPr>
          <w:rFonts w:ascii="Times New Roman" w:eastAsia="Times New Roman" w:hAnsi="Times New Roman" w:cs="Times New Roman"/>
        </w:rPr>
        <w:t xml:space="preserve"> </w:t>
      </w:r>
    </w:p>
    <w:p w14:paraId="525D14B7" w14:textId="77777777" w:rsidR="00744EFC" w:rsidRPr="00E869A4" w:rsidRDefault="00744EFC" w:rsidP="00744EFC">
      <w:pPr>
        <w:jc w:val="both"/>
        <w:rPr>
          <w:rFonts w:ascii="Times New Roman" w:eastAsia="Times New Roman" w:hAnsi="Times New Roman" w:cs="Times New Roman"/>
        </w:rPr>
      </w:pPr>
    </w:p>
    <w:p w14:paraId="57F09662" w14:textId="77777777" w:rsidR="00744EFC" w:rsidRPr="00E869A4" w:rsidRDefault="00744EFC" w:rsidP="0031040A">
      <w:pPr>
        <w:pStyle w:val="Heading5"/>
        <w:rPr>
          <w:rFonts w:eastAsia="Times New Roman"/>
          <w:color w:val="auto"/>
        </w:rPr>
      </w:pPr>
      <w:r w:rsidRPr="00E869A4">
        <w:rPr>
          <w:rFonts w:eastAsia="Times New Roman"/>
          <w:color w:val="auto"/>
        </w:rPr>
        <w:t xml:space="preserve">Surreptitious </w:t>
      </w:r>
      <w:r w:rsidR="00BD5AF8" w:rsidRPr="00E869A4">
        <w:rPr>
          <w:rFonts w:eastAsia="Times New Roman"/>
          <w:color w:val="auto"/>
        </w:rPr>
        <w:t>c</w:t>
      </w:r>
      <w:r w:rsidRPr="00E869A4">
        <w:rPr>
          <w:rFonts w:eastAsia="Times New Roman"/>
          <w:color w:val="auto"/>
        </w:rPr>
        <w:t>are</w:t>
      </w:r>
    </w:p>
    <w:p w14:paraId="43C608A4" w14:textId="77777777" w:rsidR="00744EFC" w:rsidRPr="00E869A4" w:rsidRDefault="00744EFC" w:rsidP="00744EFC">
      <w:pPr>
        <w:jc w:val="both"/>
        <w:rPr>
          <w:rFonts w:ascii="Times New Roman" w:eastAsia="Times New Roman" w:hAnsi="Times New Roman" w:cs="Times New Roman"/>
        </w:rPr>
      </w:pPr>
    </w:p>
    <w:p w14:paraId="01C3AC0E" w14:textId="15F3D4C0"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i/>
          <w:iCs/>
        </w:rPr>
        <w:t>Surreptitious</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i/>
          <w:iCs/>
        </w:rPr>
        <w:t>care</w:t>
      </w:r>
      <w:r w:rsidRPr="00E869A4">
        <w:rPr>
          <w:rFonts w:ascii="Times New Roman" w:eastAsia="Times New Roman" w:hAnsi="Times New Roman" w:cs="Times New Roman"/>
        </w:rPr>
        <w:t xml:space="preserve"> refers to the use of secretive, stealthy behaviour by the family caregiver to address a perceived care need. This care management strategy may be a response to reserved acceptance or rejecting care behaviours (refusing or resisting) that are practised by the older care recipient (discussed below). As noted in the previous chapter, Sheila used an indirect approach to help identify what her mother’s care needs were. She resorted to encouraging her housekeeper to disclose private conversations she had with Mother Freeda, so that she could have a more accurate picture of her </w:t>
      </w:r>
      <w:r w:rsidR="00A53398" w:rsidRPr="00E869A4">
        <w:rPr>
          <w:rFonts w:ascii="Times New Roman" w:eastAsia="Times New Roman" w:hAnsi="Times New Roman" w:cs="Times New Roman"/>
        </w:rPr>
        <w:t>m</w:t>
      </w:r>
      <w:r w:rsidRPr="00E869A4">
        <w:rPr>
          <w:rFonts w:ascii="Times New Roman" w:eastAsia="Times New Roman" w:hAnsi="Times New Roman" w:cs="Times New Roman"/>
        </w:rPr>
        <w:t>other’s care preferences</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4AAC4EDB" w14:textId="77777777" w:rsidR="00744EFC" w:rsidRPr="00E869A4" w:rsidRDefault="00744EFC" w:rsidP="007F2A6A">
      <w:pPr>
        <w:autoSpaceDE w:val="0"/>
        <w:autoSpaceDN w:val="0"/>
        <w:adjustRightInd w:val="0"/>
        <w:spacing w:line="240" w:lineRule="auto"/>
        <w:rPr>
          <w:rFonts w:ascii="Times New Roman" w:eastAsia="Times New Roman" w:hAnsi="Times New Roman" w:cs="Times New Roman"/>
        </w:rPr>
      </w:pPr>
    </w:p>
    <w:p w14:paraId="4F5A031F" w14:textId="2FA70920"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She never said anything</w:t>
      </w:r>
      <w:r w:rsidR="004C3BED"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she wouldn’t want to. She so kinda always want to think about me and not wanting to feel that she’s ah burden to me … she would never complain to me. But then I have a housekeeper [named </w:t>
      </w:r>
      <w:r w:rsidR="00DE7D10" w:rsidRPr="00E869A4">
        <w:rPr>
          <w:rFonts w:ascii="Times New Roman" w:eastAsia="Times New Roman" w:hAnsi="Times New Roman" w:cs="Times New Roman"/>
        </w:rPr>
        <w:t>Esther</w:t>
      </w:r>
      <w:r w:rsidRPr="00E869A4">
        <w:rPr>
          <w:rFonts w:ascii="Times New Roman" w:eastAsia="Times New Roman" w:hAnsi="Times New Roman" w:cs="Times New Roman"/>
        </w:rPr>
        <w:t>] that comes in a couple times for the week. So [mummy] would tell her things and [</w:t>
      </w:r>
      <w:r w:rsidR="00DE7D10" w:rsidRPr="00E869A4">
        <w:rPr>
          <w:rFonts w:ascii="Times New Roman" w:eastAsia="Times New Roman" w:hAnsi="Times New Roman" w:cs="Times New Roman"/>
        </w:rPr>
        <w:t>Esther</w:t>
      </w:r>
      <w:r w:rsidRPr="00E869A4">
        <w:rPr>
          <w:rFonts w:ascii="Times New Roman" w:eastAsia="Times New Roman" w:hAnsi="Times New Roman" w:cs="Times New Roman"/>
        </w:rPr>
        <w:t>]</w:t>
      </w:r>
      <w:r w:rsidR="00E527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E527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she would recognise that she’s grieving about something, and then she would </w:t>
      </w:r>
      <w:r w:rsidRPr="00E869A4">
        <w:rPr>
          <w:rFonts w:ascii="Times New Roman" w:eastAsia="Times New Roman" w:hAnsi="Times New Roman" w:cs="Times New Roman"/>
        </w:rPr>
        <w:lastRenderedPageBreak/>
        <w:t>come and tell me … And then [mom] talks about her home, and lil conversations, we kinda build a case around it that she’s missing something, yuh know - she’s not entirely happy as she would like to be … she wants to stay with me but…</w:t>
      </w:r>
    </w:p>
    <w:p w14:paraId="4B36ABC1" w14:textId="46A96F1B" w:rsidR="00744EFC" w:rsidRPr="00E869A4" w:rsidRDefault="00B94289" w:rsidP="00B94289">
      <w:pPr>
        <w:tabs>
          <w:tab w:val="left" w:pos="3000"/>
        </w:tabs>
        <w:autoSpaceDE w:val="0"/>
        <w:autoSpaceDN w:val="0"/>
        <w:adjustRightInd w:val="0"/>
        <w:spacing w:line="240" w:lineRule="auto"/>
        <w:rPr>
          <w:rFonts w:ascii="Times New Roman" w:eastAsia="Times New Roman" w:hAnsi="Times New Roman" w:cs="Times New Roman"/>
        </w:rPr>
      </w:pPr>
      <w:r w:rsidRPr="00E869A4">
        <w:rPr>
          <w:rFonts w:ascii="Times New Roman" w:eastAsia="Times New Roman" w:hAnsi="Times New Roman" w:cs="Times New Roman"/>
        </w:rPr>
        <w:tab/>
      </w:r>
    </w:p>
    <w:p w14:paraId="0B67EFBF" w14:textId="054CA86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Whilst this surreptitious caregiving st</w:t>
      </w:r>
      <w:r w:rsidR="00374BC7" w:rsidRPr="00E869A4">
        <w:rPr>
          <w:rFonts w:ascii="Times New Roman" w:eastAsia="Times New Roman" w:hAnsi="Times New Roman" w:cs="Times New Roman"/>
        </w:rPr>
        <w:t>rategy may seem to be an ‘under</w:t>
      </w:r>
      <w:r w:rsidRPr="00E869A4">
        <w:rPr>
          <w:rFonts w:ascii="Times New Roman" w:eastAsia="Times New Roman" w:hAnsi="Times New Roman" w:cs="Times New Roman"/>
        </w:rPr>
        <w:t>handed</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 xml:space="preserve"> or unethical approach to managing the situation, it was the best strategy Sheila c</w:t>
      </w:r>
      <w:r w:rsidR="00374BC7" w:rsidRPr="00E869A4">
        <w:rPr>
          <w:rFonts w:ascii="Times New Roman" w:eastAsia="Times New Roman" w:hAnsi="Times New Roman" w:cs="Times New Roman"/>
        </w:rPr>
        <w:t>ould have come</w:t>
      </w:r>
      <w:r w:rsidRPr="00E869A4">
        <w:rPr>
          <w:rFonts w:ascii="Times New Roman" w:eastAsia="Times New Roman" w:hAnsi="Times New Roman" w:cs="Times New Roman"/>
        </w:rPr>
        <w:t xml:space="preserve"> up with given how secretive her Mother was about disclosing any negative feelings she may have had. Mother Freeda’s unwillingness to overtly discuss her discomfort with her living arrangements was, as Sheila surmised, probably done </w:t>
      </w:r>
      <w:r w:rsidR="00522BB1" w:rsidRPr="00E869A4">
        <w:rPr>
          <w:rFonts w:ascii="Times New Roman" w:eastAsia="Times New Roman" w:hAnsi="Times New Roman" w:cs="Times New Roman"/>
        </w:rPr>
        <w:t>to</w:t>
      </w:r>
      <w:r w:rsidRPr="00E869A4">
        <w:rPr>
          <w:rFonts w:ascii="Times New Roman" w:eastAsia="Times New Roman" w:hAnsi="Times New Roman" w:cs="Times New Roman"/>
        </w:rPr>
        <w:t xml:space="preserve"> protect her feelings. As seen in the quote below, Mother Freeda was reluctant to share honestly with her daughter her true feelings about living away from her home</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2D6523B1"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1C1704B6" w14:textId="372414F9" w:rsidR="00744EFC" w:rsidRPr="00E869A4" w:rsidRDefault="00744EFC" w:rsidP="004C3BED">
      <w:pPr>
        <w:spacing w:line="240" w:lineRule="auto"/>
        <w:ind w:left="567" w:firstLine="0"/>
        <w:jc w:val="both"/>
        <w:rPr>
          <w:rFonts w:ascii="Times New Roman" w:eastAsia="Times New Roman" w:hAnsi="Times New Roman" w:cs="Times New Roman"/>
        </w:rPr>
      </w:pPr>
      <w:r w:rsidRPr="00E869A4">
        <w:rPr>
          <w:rFonts w:ascii="Times New Roman" w:eastAsia="Times New Roman" w:hAnsi="Times New Roman" w:cs="Times New Roman"/>
          <w:i/>
        </w:rPr>
        <w:t>Hyacinth</w:t>
      </w:r>
      <w:r w:rsidRPr="00E869A4">
        <w:rPr>
          <w:rFonts w:ascii="Times New Roman" w:eastAsia="Times New Roman" w:hAnsi="Times New Roman" w:cs="Times New Roman"/>
        </w:rPr>
        <w:t xml:space="preserve">: </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So how did you feel when you lived by your daughter? Did you feel comfortable?</w:t>
      </w:r>
      <w:r w:rsidR="00374BC7" w:rsidRPr="00E869A4">
        <w:rPr>
          <w:rFonts w:ascii="Times New Roman" w:eastAsia="Times New Roman" w:hAnsi="Times New Roman" w:cs="Times New Roman"/>
        </w:rPr>
        <w:t>”</w:t>
      </w:r>
    </w:p>
    <w:p w14:paraId="107ED1B5" w14:textId="77777777" w:rsidR="004C3BED" w:rsidRPr="00E869A4" w:rsidRDefault="004C3BED" w:rsidP="004C3BED">
      <w:pPr>
        <w:spacing w:line="240" w:lineRule="auto"/>
        <w:ind w:left="567" w:firstLine="0"/>
        <w:jc w:val="both"/>
        <w:rPr>
          <w:rFonts w:ascii="Times New Roman" w:eastAsia="Times New Roman" w:hAnsi="Times New Roman" w:cs="Times New Roman"/>
          <w:i/>
        </w:rPr>
      </w:pPr>
    </w:p>
    <w:p w14:paraId="3A1C7191" w14:textId="5D545A34"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i/>
        </w:rPr>
        <w:t>Mother Freeda</w:t>
      </w:r>
      <w:r w:rsidRPr="00E869A4">
        <w:rPr>
          <w:rFonts w:ascii="Times New Roman" w:eastAsia="Times New Roman" w:hAnsi="Times New Roman" w:cs="Times New Roman"/>
        </w:rPr>
        <w:t xml:space="preserve">: </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Yeah I was comfortable. I was there in the front room. They had the other rooms down there. They put a bathroom and a toilet right in the room for me</w:t>
      </w:r>
      <w:r w:rsidR="007F2A6A" w:rsidRPr="00E869A4">
        <w:rPr>
          <w:rFonts w:ascii="Times New Roman" w:eastAsia="Times New Roman" w:hAnsi="Times New Roman" w:cs="Times New Roman"/>
        </w:rPr>
        <w:t>…</w:t>
      </w:r>
      <w:r w:rsidRPr="00E869A4">
        <w:rPr>
          <w:rFonts w:ascii="Times New Roman" w:eastAsia="Times New Roman" w:hAnsi="Times New Roman" w:cs="Times New Roman"/>
        </w:rPr>
        <w:t xml:space="preserve"> I went away</w:t>
      </w:r>
      <w:r w:rsidR="00E6189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I was still travelling. I used to go every year </w:t>
      </w:r>
      <w:r w:rsidR="00522BB1" w:rsidRPr="00E869A4">
        <w:rPr>
          <w:rFonts w:ascii="Times New Roman" w:eastAsia="Times New Roman" w:hAnsi="Times New Roman" w:cs="Times New Roman"/>
        </w:rPr>
        <w:t>still</w:t>
      </w:r>
      <w:r w:rsidRPr="00E869A4">
        <w:rPr>
          <w:rFonts w:ascii="Times New Roman" w:eastAsia="Times New Roman" w:hAnsi="Times New Roman" w:cs="Times New Roman"/>
        </w:rPr>
        <w:t xml:space="preserve"> and … when I come back I see the toilet</w:t>
      </w:r>
      <w:r w:rsidR="00374BC7" w:rsidRPr="00E869A4">
        <w:rPr>
          <w:rFonts w:ascii="Times New Roman" w:eastAsia="Times New Roman" w:hAnsi="Times New Roman" w:cs="Times New Roman"/>
        </w:rPr>
        <w:t xml:space="preserve"> and bath inside there – I say ‘Ooo my goodness!’</w:t>
      </w:r>
      <w:r w:rsidRPr="00E869A4">
        <w:rPr>
          <w:rFonts w:ascii="Times New Roman" w:eastAsia="Times New Roman" w:hAnsi="Times New Roman" w:cs="Times New Roman"/>
        </w:rPr>
        <w:t xml:space="preserve"> So [Sheila my daughter</w:t>
      </w:r>
      <w:r w:rsidR="00374BC7" w:rsidRPr="00E869A4">
        <w:rPr>
          <w:rFonts w:ascii="Times New Roman" w:eastAsia="Times New Roman" w:hAnsi="Times New Roman" w:cs="Times New Roman"/>
        </w:rPr>
        <w:t xml:space="preserve"> said], ‘</w:t>
      </w:r>
      <w:r w:rsidRPr="00E869A4">
        <w:rPr>
          <w:rFonts w:ascii="Times New Roman" w:eastAsia="Times New Roman" w:hAnsi="Times New Roman" w:cs="Times New Roman"/>
        </w:rPr>
        <w:t>Yes mammy, you won’t have to come out and go in ours</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 xml:space="preserve"> They have 2, and they still put that 3rd one for me. That was good.</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6C3FC8B2" w14:textId="77777777" w:rsidR="004C3BED" w:rsidRPr="00E869A4" w:rsidRDefault="004C3BED" w:rsidP="004C3BED">
      <w:pPr>
        <w:spacing w:line="240" w:lineRule="auto"/>
        <w:ind w:left="567" w:firstLine="0"/>
        <w:jc w:val="both"/>
        <w:rPr>
          <w:rFonts w:ascii="Times New Roman" w:eastAsia="Times New Roman" w:hAnsi="Times New Roman" w:cs="Times New Roman"/>
          <w:i/>
        </w:rPr>
      </w:pPr>
    </w:p>
    <w:p w14:paraId="703D8B09" w14:textId="53469C36" w:rsidR="00744EFC" w:rsidRPr="00E869A4" w:rsidRDefault="00744EFC" w:rsidP="004C3BED">
      <w:pPr>
        <w:spacing w:line="240" w:lineRule="auto"/>
        <w:ind w:left="567" w:firstLine="0"/>
        <w:jc w:val="both"/>
        <w:rPr>
          <w:rFonts w:ascii="Times New Roman" w:eastAsia="Times New Roman" w:hAnsi="Times New Roman" w:cs="Times New Roman"/>
        </w:rPr>
      </w:pPr>
      <w:r w:rsidRPr="00E869A4">
        <w:rPr>
          <w:rFonts w:ascii="Times New Roman" w:eastAsia="Times New Roman" w:hAnsi="Times New Roman" w:cs="Times New Roman"/>
          <w:i/>
        </w:rPr>
        <w:t>Hyacinth</w:t>
      </w:r>
      <w:r w:rsidRPr="00E869A4">
        <w:rPr>
          <w:rFonts w:ascii="Times New Roman" w:eastAsia="Times New Roman" w:hAnsi="Times New Roman" w:cs="Times New Roman"/>
        </w:rPr>
        <w:t xml:space="preserve">: </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But how you feel now that you’re back here?</w:t>
      </w:r>
      <w:r w:rsidR="00374BC7" w:rsidRPr="00E869A4">
        <w:rPr>
          <w:rFonts w:ascii="Times New Roman" w:eastAsia="Times New Roman" w:hAnsi="Times New Roman" w:cs="Times New Roman"/>
        </w:rPr>
        <w:t>”</w:t>
      </w:r>
    </w:p>
    <w:p w14:paraId="66033A7D" w14:textId="77777777" w:rsidR="004C3BED" w:rsidRPr="00E869A4" w:rsidRDefault="004C3BED" w:rsidP="004C3BED">
      <w:pPr>
        <w:spacing w:line="240" w:lineRule="auto"/>
        <w:ind w:left="567" w:firstLine="0"/>
        <w:jc w:val="both"/>
        <w:rPr>
          <w:rFonts w:ascii="Times New Roman" w:eastAsia="Times New Roman" w:hAnsi="Times New Roman" w:cs="Times New Roman"/>
          <w:i/>
        </w:rPr>
      </w:pPr>
    </w:p>
    <w:p w14:paraId="040BBD6D" w14:textId="7755D4BC"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i/>
        </w:rPr>
        <w:t>Mother Freeda</w:t>
      </w:r>
      <w:r w:rsidRPr="00E869A4">
        <w:rPr>
          <w:rFonts w:ascii="Times New Roman" w:eastAsia="Times New Roman" w:hAnsi="Times New Roman" w:cs="Times New Roman"/>
        </w:rPr>
        <w:t xml:space="preserve">: </w:t>
      </w:r>
      <w:r w:rsidR="00374BC7" w:rsidRPr="00E869A4">
        <w:rPr>
          <w:rFonts w:ascii="Times New Roman" w:eastAsia="Times New Roman" w:hAnsi="Times New Roman" w:cs="Times New Roman"/>
        </w:rPr>
        <w:t>“</w:t>
      </w:r>
      <w:r w:rsidRPr="00E869A4">
        <w:rPr>
          <w:rFonts w:ascii="Times New Roman" w:eastAsia="Times New Roman" w:hAnsi="Times New Roman" w:cs="Times New Roman"/>
        </w:rPr>
        <w:t>Well … this is home. No place like home. And when (my daughter) comes to see me, she say “Aye, you comfortable! Look at</w:t>
      </w:r>
      <w:r w:rsidR="00374BC7" w:rsidRPr="00E869A4">
        <w:rPr>
          <w:rFonts w:ascii="Times New Roman" w:eastAsia="Times New Roman" w:hAnsi="Times New Roman" w:cs="Times New Roman"/>
        </w:rPr>
        <w:t xml:space="preserve"> you on the bed! A-a” she say, ‘</w:t>
      </w:r>
      <w:r w:rsidRPr="00E869A4">
        <w:rPr>
          <w:rFonts w:ascii="Times New Roman" w:eastAsia="Times New Roman" w:hAnsi="Times New Roman" w:cs="Times New Roman"/>
        </w:rPr>
        <w:t xml:space="preserve">like yuh really </w:t>
      </w:r>
      <w:proofErr w:type="spellStart"/>
      <w:r w:rsidRPr="00E869A4">
        <w:rPr>
          <w:rFonts w:ascii="Times New Roman" w:eastAsia="Times New Roman" w:hAnsi="Times New Roman" w:cs="Times New Roman"/>
        </w:rPr>
        <w:t>really</w:t>
      </w:r>
      <w:proofErr w:type="spellEnd"/>
      <w:r w:rsidRPr="00E869A4">
        <w:rPr>
          <w:rFonts w:ascii="Times New Roman" w:eastAsia="Times New Roman" w:hAnsi="Times New Roman" w:cs="Times New Roman"/>
        </w:rPr>
        <w:t xml:space="preserve"> [was] missin’ [here]. Yuh wasn’t sayin’ nothing but </w:t>
      </w:r>
      <w:r w:rsidR="00374BC7" w:rsidRPr="00E869A4">
        <w:rPr>
          <w:rFonts w:ascii="Times New Roman" w:eastAsia="Times New Roman" w:hAnsi="Times New Roman" w:cs="Times New Roman"/>
        </w:rPr>
        <w:t>like yuh was missin’ down here?’ I say, ‘I ain’t missin’ nothing’</w:t>
      </w:r>
      <w:r w:rsidRPr="00E869A4">
        <w:rPr>
          <w:rFonts w:ascii="Times New Roman" w:eastAsia="Times New Roman" w:hAnsi="Times New Roman" w:cs="Times New Roman"/>
        </w:rPr>
        <w:t>, [but] I was miss</w:t>
      </w:r>
      <w:r w:rsidR="007F2A6A" w:rsidRPr="00E869A4">
        <w:rPr>
          <w:rFonts w:ascii="Times New Roman" w:eastAsia="Times New Roman" w:hAnsi="Times New Roman" w:cs="Times New Roman"/>
        </w:rPr>
        <w:t>ing down here yes.</w:t>
      </w:r>
      <w:r w:rsidR="00374BC7" w:rsidRPr="00E869A4">
        <w:rPr>
          <w:rFonts w:ascii="Times New Roman" w:eastAsia="Times New Roman" w:hAnsi="Times New Roman" w:cs="Times New Roman"/>
        </w:rPr>
        <w:t>”</w:t>
      </w:r>
    </w:p>
    <w:p w14:paraId="516EBA77"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1FF44618" w14:textId="45E6DE52" w:rsidR="00744EFC" w:rsidRPr="00E869A4" w:rsidRDefault="00744EFC" w:rsidP="00E61894">
      <w:pPr>
        <w:ind w:firstLine="0"/>
        <w:jc w:val="both"/>
        <w:rPr>
          <w:rFonts w:ascii="Times New Roman" w:eastAsia="Times New Roman" w:hAnsi="Times New Roman" w:cs="Times New Roman"/>
        </w:rPr>
      </w:pPr>
      <w:r w:rsidRPr="00E869A4">
        <w:rPr>
          <w:rFonts w:ascii="Times New Roman" w:eastAsia="Times New Roman" w:hAnsi="Times New Roman" w:cs="Times New Roman"/>
        </w:rPr>
        <w:t xml:space="preserve">This indirect approach to ascertaining her mother’s care needs was indicative of both a surreptitious and emergent care strategy. </w:t>
      </w:r>
    </w:p>
    <w:p w14:paraId="7931B88B" w14:textId="77777777" w:rsidR="00744EFC" w:rsidRPr="00E869A4" w:rsidRDefault="00744EFC" w:rsidP="00744EFC">
      <w:pPr>
        <w:jc w:val="both"/>
        <w:rPr>
          <w:rFonts w:ascii="Times New Roman" w:eastAsia="Times New Roman" w:hAnsi="Times New Roman" w:cs="Times New Roman"/>
        </w:rPr>
      </w:pPr>
    </w:p>
    <w:p w14:paraId="0381A4AF" w14:textId="77777777" w:rsidR="00744EFC" w:rsidRPr="00E869A4" w:rsidRDefault="00744EFC" w:rsidP="0031040A">
      <w:pPr>
        <w:pStyle w:val="Heading5"/>
        <w:rPr>
          <w:rFonts w:eastAsia="Times New Roman"/>
          <w:color w:val="auto"/>
        </w:rPr>
      </w:pPr>
      <w:r w:rsidRPr="00E869A4">
        <w:rPr>
          <w:rFonts w:eastAsia="Times New Roman"/>
          <w:color w:val="auto"/>
        </w:rPr>
        <w:t xml:space="preserve">Emergent </w:t>
      </w:r>
      <w:r w:rsidR="00BD5AF8" w:rsidRPr="00E869A4">
        <w:rPr>
          <w:rFonts w:eastAsia="Times New Roman"/>
          <w:color w:val="auto"/>
        </w:rPr>
        <w:t>c</w:t>
      </w:r>
      <w:r w:rsidRPr="00E869A4">
        <w:rPr>
          <w:rFonts w:eastAsia="Times New Roman"/>
          <w:color w:val="auto"/>
        </w:rPr>
        <w:t>are</w:t>
      </w:r>
    </w:p>
    <w:p w14:paraId="1F978E8A" w14:textId="77777777" w:rsidR="00744EFC" w:rsidRPr="00E869A4" w:rsidRDefault="00744EFC" w:rsidP="00744EFC">
      <w:pPr>
        <w:jc w:val="both"/>
        <w:rPr>
          <w:rFonts w:ascii="Times New Roman" w:eastAsia="Times New Roman" w:hAnsi="Times New Roman" w:cs="Times New Roman"/>
        </w:rPr>
      </w:pPr>
    </w:p>
    <w:p w14:paraId="14440A1E" w14:textId="0E6EF1CD" w:rsidR="00744EFC" w:rsidRPr="00E869A4" w:rsidRDefault="0005671E" w:rsidP="00744EFC">
      <w:pPr>
        <w:jc w:val="both"/>
        <w:rPr>
          <w:rFonts w:ascii="Times New Roman" w:eastAsia="Times New Roman" w:hAnsi="Times New Roman" w:cs="Times New Roman"/>
        </w:rPr>
      </w:pPr>
      <w:r w:rsidRPr="00E869A4">
        <w:rPr>
          <w:rFonts w:ascii="Times New Roman" w:eastAsia="Times New Roman" w:hAnsi="Times New Roman" w:cs="Times New Roman"/>
          <w:i/>
          <w:iCs/>
        </w:rPr>
        <w:t>Emergent</w:t>
      </w:r>
      <w:r w:rsidRPr="00E869A4">
        <w:rPr>
          <w:rFonts w:ascii="Times New Roman" w:eastAsia="Times New Roman" w:hAnsi="Times New Roman" w:cs="Times New Roman"/>
        </w:rPr>
        <w:t xml:space="preserve"> </w:t>
      </w:r>
      <w:r w:rsidR="00744EFC" w:rsidRPr="00E869A4">
        <w:rPr>
          <w:rFonts w:ascii="Times New Roman" w:eastAsia="Times New Roman" w:hAnsi="Times New Roman" w:cs="Times New Roman"/>
          <w:i/>
          <w:iCs/>
        </w:rPr>
        <w:t>care</w:t>
      </w:r>
      <w:r w:rsidR="00744EFC" w:rsidRPr="00E869A4">
        <w:rPr>
          <w:rFonts w:ascii="Times New Roman" w:eastAsia="Times New Roman" w:hAnsi="Times New Roman" w:cs="Times New Roman"/>
        </w:rPr>
        <w:t xml:space="preserve"> strategies refer to the unexpected and serendipitous care options that older persons and family caregivers discover and employ to meet their care needs. It is a response to uncertainty, but it involves active response(s) to a care need. Many caregivers used emergent ‘</w:t>
      </w:r>
      <w:r w:rsidR="00744EFC" w:rsidRPr="00E869A4">
        <w:rPr>
          <w:rFonts w:ascii="Times New Roman" w:eastAsia="Times New Roman" w:hAnsi="Times New Roman" w:cs="Times New Roman"/>
          <w:i/>
        </w:rPr>
        <w:t>trial-and-error</w:t>
      </w:r>
      <w:r w:rsidR="00744EFC" w:rsidRPr="00E869A4">
        <w:rPr>
          <w:rFonts w:ascii="Times New Roman" w:eastAsia="Times New Roman" w:hAnsi="Times New Roman" w:cs="Times New Roman"/>
        </w:rPr>
        <w:t>’ strategies to respond to the unique care needs and preferences of their older relatives. Timothy</w:t>
      </w:r>
      <w:r w:rsidR="00DE0E82"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for example</w:t>
      </w:r>
      <w:r w:rsidR="00DE0E82"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sought to meet his father’s need to feel useful by using an innovative solution that seemed to be practical when he </w:t>
      </w:r>
      <w:r w:rsidR="00744EFC" w:rsidRPr="00E869A4">
        <w:rPr>
          <w:rFonts w:ascii="Times New Roman" w:eastAsia="Times New Roman" w:hAnsi="Times New Roman" w:cs="Times New Roman"/>
        </w:rPr>
        <w:lastRenderedPageBreak/>
        <w:t xml:space="preserve">first considered it. </w:t>
      </w:r>
      <w:r w:rsidR="00DE0E82" w:rsidRPr="00E869A4">
        <w:rPr>
          <w:rFonts w:ascii="Times New Roman" w:eastAsia="Times New Roman" w:hAnsi="Times New Roman" w:cs="Times New Roman"/>
        </w:rPr>
        <w:t>Nevertheless</w:t>
      </w:r>
      <w:r w:rsidR="00744EFC" w:rsidRPr="00E869A4">
        <w:rPr>
          <w:rFonts w:ascii="Times New Roman" w:eastAsia="Times New Roman" w:hAnsi="Times New Roman" w:cs="Times New Roman"/>
        </w:rPr>
        <w:t>, Timothy’s strategy quickly became obsolete as his father’s care needs changed</w:t>
      </w:r>
      <w:r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w:t>
      </w:r>
    </w:p>
    <w:p w14:paraId="1144ED67"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1C544D5B" w14:textId="57508CED"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I had a lil faux pas with my dad because he want to go to churches and minister. I don’t see that happening</w:t>
      </w:r>
      <w:r w:rsidR="007F2A6A" w:rsidRPr="00E869A4">
        <w:rPr>
          <w:rFonts w:ascii="Times New Roman" w:eastAsia="Times New Roman" w:hAnsi="Times New Roman" w:cs="Times New Roman"/>
        </w:rPr>
        <w:t>…</w:t>
      </w:r>
      <w:r w:rsidRPr="00E869A4">
        <w:rPr>
          <w:rFonts w:ascii="Times New Roman" w:eastAsia="Times New Roman" w:hAnsi="Times New Roman" w:cs="Times New Roman"/>
        </w:rPr>
        <w:t xml:space="preserve"> But he feels he has a message he has something that he needs to share. [But]</w:t>
      </w:r>
      <w:r w:rsidR="00E6189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when he gets to talking he rambles</w:t>
      </w:r>
      <w:r w:rsidR="00E6189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he’s not to the point …</w:t>
      </w:r>
      <w:r w:rsidR="00E61894" w:rsidRPr="00E869A4">
        <w:rPr>
          <w:rFonts w:ascii="Times New Roman" w:eastAsia="Times New Roman" w:hAnsi="Times New Roman" w:cs="Times New Roman"/>
        </w:rPr>
        <w:t xml:space="preserve"> </w:t>
      </w:r>
      <w:r w:rsidRPr="00E869A4">
        <w:rPr>
          <w:rFonts w:ascii="Times New Roman" w:eastAsia="Times New Roman" w:hAnsi="Times New Roman" w:cs="Times New Roman"/>
        </w:rPr>
        <w:t>People listen out of respect but … it’s not an engaging message</w:t>
      </w:r>
      <w:r w:rsidR="00E6189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for him to understand that it’s difficult</w:t>
      </w:r>
      <w:r w:rsidR="00E6189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I reali</w:t>
      </w:r>
      <w:r w:rsidR="00423AD3" w:rsidRPr="00E869A4">
        <w:rPr>
          <w:rFonts w:ascii="Times New Roman" w:eastAsia="Times New Roman" w:hAnsi="Times New Roman" w:cs="Times New Roman"/>
        </w:rPr>
        <w:t>s</w:t>
      </w:r>
      <w:r w:rsidRPr="00E869A4">
        <w:rPr>
          <w:rFonts w:ascii="Times New Roman" w:eastAsia="Times New Roman" w:hAnsi="Times New Roman" w:cs="Times New Roman"/>
        </w:rPr>
        <w:t>e the issue: he wants to be useful.  I thought I found a solution. I say … dad yuh know what, I don’t see you going around to churches, what you need is a webpage. The problem however is that his eyesight is so poor he couldn’t work the computer so he went and get the cataract surgery and so on and then he came back and now his hearing is a problem.</w:t>
      </w:r>
    </w:p>
    <w:p w14:paraId="692853BA"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4B210533" w14:textId="0E266675" w:rsidR="00744EFC" w:rsidRPr="00E869A4" w:rsidRDefault="00744EFC" w:rsidP="00E61894">
      <w:pPr>
        <w:ind w:firstLine="0"/>
        <w:jc w:val="both"/>
        <w:rPr>
          <w:rFonts w:ascii="Times New Roman" w:eastAsia="Times New Roman" w:hAnsi="Times New Roman" w:cs="Times New Roman"/>
        </w:rPr>
      </w:pPr>
      <w:r w:rsidRPr="00E869A4">
        <w:rPr>
          <w:rFonts w:ascii="Times New Roman" w:eastAsia="Times New Roman" w:hAnsi="Times New Roman" w:cs="Times New Roman"/>
        </w:rPr>
        <w:t xml:space="preserve">Timothy eventually resorted to a </w:t>
      </w:r>
      <w:r w:rsidRPr="00E869A4">
        <w:rPr>
          <w:rFonts w:ascii="Times New Roman" w:eastAsia="Times New Roman" w:hAnsi="Times New Roman" w:cs="Times New Roman"/>
          <w:i/>
        </w:rPr>
        <w:t xml:space="preserve">deferred care </w:t>
      </w:r>
      <w:r w:rsidRPr="00E869A4">
        <w:rPr>
          <w:rFonts w:ascii="Times New Roman" w:eastAsia="Times New Roman" w:hAnsi="Times New Roman" w:cs="Times New Roman"/>
          <w:iCs/>
        </w:rPr>
        <w:t>strategy</w:t>
      </w:r>
      <w:r w:rsidRPr="00E869A4">
        <w:rPr>
          <w:rFonts w:ascii="Times New Roman" w:eastAsia="Times New Roman" w:hAnsi="Times New Roman" w:cs="Times New Roman"/>
        </w:rPr>
        <w:t xml:space="preserve"> (discussed below) to treat with this care </w:t>
      </w:r>
      <w:r w:rsidR="00802CB1" w:rsidRPr="00E869A4">
        <w:rPr>
          <w:rFonts w:ascii="Times New Roman" w:eastAsia="Times New Roman" w:hAnsi="Times New Roman" w:cs="Times New Roman"/>
        </w:rPr>
        <w:t>need,</w:t>
      </w:r>
      <w:r w:rsidRPr="00E869A4">
        <w:rPr>
          <w:rFonts w:ascii="Times New Roman" w:eastAsia="Times New Roman" w:hAnsi="Times New Roman" w:cs="Times New Roman"/>
        </w:rPr>
        <w:t xml:space="preserve"> as he </w:t>
      </w:r>
      <w:r w:rsidR="00802CB1" w:rsidRPr="00E869A4">
        <w:rPr>
          <w:rFonts w:ascii="Times New Roman" w:eastAsia="Times New Roman" w:hAnsi="Times New Roman" w:cs="Times New Roman"/>
        </w:rPr>
        <w:t>was not</w:t>
      </w:r>
      <w:r w:rsidRPr="00E869A4">
        <w:rPr>
          <w:rFonts w:ascii="Times New Roman" w:eastAsia="Times New Roman" w:hAnsi="Times New Roman" w:cs="Times New Roman"/>
        </w:rPr>
        <w:t xml:space="preserve"> able to identify a suitable solution after these attempts were unsuccessful. </w:t>
      </w:r>
    </w:p>
    <w:p w14:paraId="4CD14E51" w14:textId="77777777" w:rsidR="00744EFC" w:rsidRPr="00E869A4" w:rsidRDefault="00744EFC" w:rsidP="00744EFC">
      <w:pPr>
        <w:jc w:val="both"/>
        <w:rPr>
          <w:rFonts w:ascii="Times New Roman" w:eastAsia="Times New Roman" w:hAnsi="Times New Roman" w:cs="Times New Roman"/>
        </w:rPr>
      </w:pPr>
    </w:p>
    <w:p w14:paraId="14B65CA2" w14:textId="72127D85" w:rsidR="00744EFC" w:rsidRPr="00E869A4" w:rsidRDefault="00AD25A0"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Emergent </w:t>
      </w:r>
      <w:r w:rsidR="00744EFC" w:rsidRPr="00E869A4">
        <w:rPr>
          <w:rFonts w:ascii="Times New Roman" w:eastAsia="Times New Roman" w:hAnsi="Times New Roman" w:cs="Times New Roman"/>
        </w:rPr>
        <w:t xml:space="preserve">care strategies are in large part informed by caregivers being sensitive to random events that occur in order to capitalise on limited opportunities that arise to meet their older relative’s care needs. Timothy for </w:t>
      </w:r>
      <w:r w:rsidR="00802CB1" w:rsidRPr="00E869A4">
        <w:rPr>
          <w:rFonts w:ascii="Times New Roman" w:eastAsia="Times New Roman" w:hAnsi="Times New Roman" w:cs="Times New Roman"/>
        </w:rPr>
        <w:t>instance,</w:t>
      </w:r>
      <w:r w:rsidR="00744EFC" w:rsidRPr="00E869A4">
        <w:rPr>
          <w:rFonts w:ascii="Times New Roman" w:eastAsia="Times New Roman" w:hAnsi="Times New Roman" w:cs="Times New Roman"/>
        </w:rPr>
        <w:t xml:space="preserve"> shared about how fortunate he was to discover the informal caregivers he hired to help care for his dad</w:t>
      </w:r>
      <w:r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w:t>
      </w:r>
    </w:p>
    <w:p w14:paraId="330C7936"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0092D59A" w14:textId="223348FC" w:rsidR="00744EFC" w:rsidRPr="00E869A4" w:rsidRDefault="00E61894"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T</w:t>
      </w:r>
      <w:r w:rsidR="00744EFC" w:rsidRPr="00E869A4">
        <w:rPr>
          <w:rFonts w:ascii="Times New Roman" w:eastAsia="Times New Roman" w:hAnsi="Times New Roman" w:cs="Times New Roman"/>
        </w:rPr>
        <w:t xml:space="preserve">hings were getting a little difficult … in terms of handling the medical situation. At that point in time we remembered that, my [older] cousin, in her </w:t>
      </w:r>
      <w:proofErr w:type="spellStart"/>
      <w:r w:rsidR="00744EFC" w:rsidRPr="00E869A4">
        <w:rPr>
          <w:rFonts w:ascii="Times New Roman" w:eastAsia="Times New Roman" w:hAnsi="Times New Roman" w:cs="Times New Roman"/>
        </w:rPr>
        <w:t>latter</w:t>
      </w:r>
      <w:proofErr w:type="spellEnd"/>
      <w:r w:rsidR="00744EFC" w:rsidRPr="00E869A4">
        <w:rPr>
          <w:rFonts w:ascii="Times New Roman" w:eastAsia="Times New Roman" w:hAnsi="Times New Roman" w:cs="Times New Roman"/>
        </w:rPr>
        <w:t xml:space="preserve"> years,[had a caregiver] a lady helped her and stayed with her and took care of her … and when we called her it just turned out that a man that she was taking care of had just died: so she was free. And she came, and she got the other lady who helps her in the night</w:t>
      </w:r>
      <w:r w:rsidR="00830F83" w:rsidRPr="00E869A4">
        <w:rPr>
          <w:rFonts w:ascii="Times New Roman" w:eastAsia="Times New Roman" w:hAnsi="Times New Roman" w:cs="Times New Roman"/>
        </w:rPr>
        <w:t xml:space="preserve"> </w:t>
      </w:r>
      <w:r w:rsidR="00744EFC" w:rsidRPr="00E869A4">
        <w:rPr>
          <w:rFonts w:ascii="Times New Roman" w:eastAsia="Times New Roman" w:hAnsi="Times New Roman" w:cs="Times New Roman"/>
        </w:rPr>
        <w:t>… and she also got the lady who helps in the day</w:t>
      </w:r>
      <w:r w:rsidR="005E41F9"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2 or 3 days is not a strain</w:t>
      </w:r>
      <w:r w:rsidR="00830F83" w:rsidRPr="00E869A4">
        <w:rPr>
          <w:rFonts w:ascii="Times New Roman" w:eastAsia="Times New Roman" w:hAnsi="Times New Roman" w:cs="Times New Roman"/>
        </w:rPr>
        <w:t xml:space="preserve"> </w:t>
      </w:r>
      <w:r w:rsidR="007F2A6A"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and it turns out that the lady is kinda distant family (chuckles) … pumpkin vine. So we have an excellent relationship</w:t>
      </w:r>
      <w:r w:rsidR="00830F83" w:rsidRPr="00E869A4">
        <w:rPr>
          <w:rFonts w:ascii="Times New Roman" w:eastAsia="Times New Roman" w:hAnsi="Times New Roman" w:cs="Times New Roman"/>
        </w:rPr>
        <w:t xml:space="preserve"> </w:t>
      </w:r>
      <w:r w:rsidR="005E41F9" w:rsidRPr="00E869A4">
        <w:rPr>
          <w:rFonts w:ascii="Times New Roman" w:eastAsia="Times New Roman" w:hAnsi="Times New Roman" w:cs="Times New Roman"/>
        </w:rPr>
        <w:t xml:space="preserve">… </w:t>
      </w:r>
      <w:r w:rsidR="00744EFC" w:rsidRPr="00E869A4">
        <w:rPr>
          <w:rFonts w:ascii="Times New Roman" w:eastAsia="Times New Roman" w:hAnsi="Times New Roman" w:cs="Times New Roman"/>
        </w:rPr>
        <w:t>it’s a very good relationship with dad and what is weird is that one of the ladies who comes in the night with him, her name is Hazel and that was my sister’s name</w:t>
      </w:r>
      <w:r w:rsidR="00AD25A0" w:rsidRPr="00E869A4">
        <w:rPr>
          <w:rFonts w:ascii="Times New Roman" w:eastAsia="Times New Roman" w:hAnsi="Times New Roman" w:cs="Times New Roman"/>
        </w:rPr>
        <w:t>.</w:t>
      </w:r>
    </w:p>
    <w:p w14:paraId="1C192547"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0BB7CE58" w14:textId="69EC87EF"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Rebecca described the process by which she was able to recruit a caregiver as being a matter of luck. Ms. Sita who was seen as a very compatible caregiver for Ms. Kumar was the friend of a member of Ms. Kumar’s church</w:t>
      </w:r>
      <w:r w:rsidR="00AD25A0"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2573B1C4"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62777957" w14:textId="7CFF7CB5"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An’ we lucky in dat respect. I have Aunty Sita right through in de night. But yuh doh get people like dat an’ den when you do get people … dey might not be as attentive, as Aunty is to my mother. So</w:t>
      </w:r>
      <w:r w:rsidR="00802CB1"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802CB1"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I have to say we very </w:t>
      </w:r>
      <w:proofErr w:type="spellStart"/>
      <w:r w:rsidRPr="00E869A4">
        <w:rPr>
          <w:rFonts w:ascii="Times New Roman" w:eastAsia="Times New Roman" w:hAnsi="Times New Roman" w:cs="Times New Roman"/>
        </w:rPr>
        <w:t>very</w:t>
      </w:r>
      <w:proofErr w:type="spellEnd"/>
      <w:r w:rsidRPr="00E869A4">
        <w:rPr>
          <w:rFonts w:ascii="Times New Roman" w:eastAsia="Times New Roman" w:hAnsi="Times New Roman" w:cs="Times New Roman"/>
        </w:rPr>
        <w:t xml:space="preserve"> lucky in dat respect</w:t>
      </w:r>
      <w:r w:rsidR="00830F83" w:rsidRPr="00E869A4">
        <w:rPr>
          <w:rFonts w:ascii="Times New Roman" w:eastAsia="Times New Roman" w:hAnsi="Times New Roman" w:cs="Times New Roman"/>
        </w:rPr>
        <w:t xml:space="preserve"> </w:t>
      </w:r>
      <w:r w:rsidR="00423AD3" w:rsidRPr="00E869A4">
        <w:rPr>
          <w:rFonts w:ascii="Times New Roman" w:eastAsia="Times New Roman" w:hAnsi="Times New Roman" w:cs="Times New Roman"/>
        </w:rPr>
        <w:t>…</w:t>
      </w:r>
      <w:r w:rsidRPr="00E869A4">
        <w:rPr>
          <w:rFonts w:ascii="Times New Roman" w:eastAsia="Times New Roman" w:hAnsi="Times New Roman" w:cs="Times New Roman"/>
        </w:rPr>
        <w:t xml:space="preserve">  She’s a mature person an’ very patient with mummy</w:t>
      </w:r>
      <w:r w:rsidR="00830F83" w:rsidRPr="00E869A4">
        <w:rPr>
          <w:rFonts w:ascii="Times New Roman" w:eastAsia="Times New Roman" w:hAnsi="Times New Roman" w:cs="Times New Roman"/>
        </w:rPr>
        <w:t xml:space="preserve"> </w:t>
      </w:r>
      <w:r w:rsidR="00C266C1" w:rsidRPr="00E869A4">
        <w:rPr>
          <w:rFonts w:ascii="Times New Roman" w:eastAsia="Times New Roman" w:hAnsi="Times New Roman" w:cs="Times New Roman"/>
        </w:rPr>
        <w:t>…</w:t>
      </w:r>
      <w:r w:rsidRPr="00E869A4">
        <w:rPr>
          <w:rFonts w:ascii="Times New Roman" w:eastAsia="Times New Roman" w:hAnsi="Times New Roman" w:cs="Times New Roman"/>
        </w:rPr>
        <w:t xml:space="preserve">  She’s ah real God-send yuh know: </w:t>
      </w:r>
      <w:r w:rsidR="00AD25A0" w:rsidRPr="00E869A4">
        <w:rPr>
          <w:rFonts w:ascii="Times New Roman" w:eastAsia="Times New Roman" w:hAnsi="Times New Roman" w:cs="Times New Roman"/>
        </w:rPr>
        <w:t>‘</w:t>
      </w:r>
      <w:r w:rsidRPr="00E869A4">
        <w:rPr>
          <w:rFonts w:ascii="Times New Roman" w:eastAsia="Times New Roman" w:hAnsi="Times New Roman" w:cs="Times New Roman"/>
        </w:rPr>
        <w:t>cause young people, they don’t want to probably</w:t>
      </w:r>
      <w:r w:rsidR="00830F83" w:rsidRPr="00E869A4">
        <w:rPr>
          <w:rFonts w:ascii="Times New Roman" w:eastAsia="Times New Roman" w:hAnsi="Times New Roman" w:cs="Times New Roman"/>
        </w:rPr>
        <w:t xml:space="preserve"> </w:t>
      </w:r>
      <w:r w:rsidRPr="00E869A4">
        <w:rPr>
          <w:rFonts w:ascii="Times New Roman" w:eastAsia="Times New Roman" w:hAnsi="Times New Roman" w:cs="Times New Roman"/>
        </w:rPr>
        <w:t>… We’re very pleased with her</w:t>
      </w:r>
      <w:r w:rsidR="00830F83" w:rsidRPr="00E869A4">
        <w:rPr>
          <w:rFonts w:ascii="Times New Roman" w:eastAsia="Times New Roman" w:hAnsi="Times New Roman" w:cs="Times New Roman"/>
        </w:rPr>
        <w:t>.</w:t>
      </w:r>
    </w:p>
    <w:p w14:paraId="1C76EB97"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1938CE15" w14:textId="102F2B78" w:rsidR="00744EFC" w:rsidRPr="00E869A4" w:rsidRDefault="00744EFC" w:rsidP="00C266C1">
      <w:pPr>
        <w:ind w:firstLine="0"/>
        <w:jc w:val="both"/>
        <w:rPr>
          <w:rFonts w:ascii="Times New Roman" w:eastAsia="Times New Roman" w:hAnsi="Times New Roman" w:cs="Times New Roman"/>
        </w:rPr>
      </w:pPr>
      <w:r w:rsidRPr="00E869A4">
        <w:rPr>
          <w:rFonts w:ascii="Times New Roman" w:eastAsia="Times New Roman" w:hAnsi="Times New Roman" w:cs="Times New Roman"/>
        </w:rPr>
        <w:lastRenderedPageBreak/>
        <w:t>Even Ms. Kumar, who Rebecca described as having a difficult personality, was very happy with the care support she received from Ms. Sita</w:t>
      </w:r>
      <w:r w:rsidR="00CE4E4E"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3346C762"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3D5BC694" w14:textId="00D12935"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 xml:space="preserve">One thing with </w:t>
      </w:r>
      <w:r w:rsidR="00C266C1" w:rsidRPr="00E869A4">
        <w:rPr>
          <w:rFonts w:ascii="Times New Roman" w:eastAsia="Times New Roman" w:hAnsi="Times New Roman" w:cs="Times New Roman"/>
        </w:rPr>
        <w:t>her she’s good and kind to me …</w:t>
      </w:r>
      <w:r w:rsidRPr="00E869A4">
        <w:rPr>
          <w:rFonts w:ascii="Times New Roman" w:eastAsia="Times New Roman" w:hAnsi="Times New Roman" w:cs="Times New Roman"/>
        </w:rPr>
        <w:t xml:space="preserve"> she’s not cantankerous or anything … she’s always willing to do what she could do, do her job to the best of her ability. So we have </w:t>
      </w:r>
      <w:proofErr w:type="spellStart"/>
      <w:r w:rsidRPr="00E869A4">
        <w:rPr>
          <w:rFonts w:ascii="Times New Roman" w:eastAsia="Times New Roman" w:hAnsi="Times New Roman" w:cs="Times New Roman"/>
        </w:rPr>
        <w:t>ah</w:t>
      </w:r>
      <w:proofErr w:type="spellEnd"/>
      <w:r w:rsidRPr="00E869A4">
        <w:rPr>
          <w:rFonts w:ascii="Times New Roman" w:eastAsia="Times New Roman" w:hAnsi="Times New Roman" w:cs="Times New Roman"/>
        </w:rPr>
        <w:t xml:space="preserve"> very good relationship</w:t>
      </w:r>
      <w:r w:rsidR="00830F83" w:rsidRPr="00E869A4">
        <w:rPr>
          <w:rFonts w:ascii="Times New Roman" w:eastAsia="Times New Roman" w:hAnsi="Times New Roman" w:cs="Times New Roman"/>
        </w:rPr>
        <w:t>.</w:t>
      </w:r>
    </w:p>
    <w:p w14:paraId="04DDFCA7"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533240D3" w14:textId="383C23B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But the process by which both Timothy and Rebecca were able to hire caregivers was in large part a reflection of their social network and the financial means they had at their disposal to pay for care. As noted in Table </w:t>
      </w:r>
      <w:r w:rsidR="00802CB1" w:rsidRPr="00E869A4">
        <w:rPr>
          <w:rFonts w:ascii="Times New Roman" w:eastAsia="Times New Roman" w:hAnsi="Times New Roman" w:cs="Times New Roman"/>
        </w:rPr>
        <w:t>17</w:t>
      </w:r>
      <w:r w:rsidRPr="00E869A4">
        <w:rPr>
          <w:rFonts w:ascii="Times New Roman" w:eastAsia="Times New Roman" w:hAnsi="Times New Roman" w:cs="Times New Roman"/>
        </w:rPr>
        <w:t xml:space="preserve"> a</w:t>
      </w:r>
      <w:r w:rsidR="00CE4E4E" w:rsidRPr="00E869A4">
        <w:rPr>
          <w:rFonts w:ascii="Times New Roman" w:eastAsia="Times New Roman" w:hAnsi="Times New Roman" w:cs="Times New Roman"/>
        </w:rPr>
        <w:t xml:space="preserve">bove, Mr. Druman was </w:t>
      </w:r>
      <w:r w:rsidR="00CE4E4E" w:rsidRPr="00E869A4">
        <w:rPr>
          <w:rFonts w:ascii="Times New Roman" w:eastAsia="Times New Roman" w:hAnsi="Times New Roman" w:cs="Times New Roman"/>
          <w:i/>
        </w:rPr>
        <w:t>moderately-</w:t>
      </w:r>
      <w:r w:rsidRPr="00E869A4">
        <w:rPr>
          <w:rFonts w:ascii="Times New Roman" w:eastAsia="Times New Roman" w:hAnsi="Times New Roman" w:cs="Times New Roman"/>
          <w:i/>
        </w:rPr>
        <w:t>resourced</w:t>
      </w:r>
      <w:r w:rsidRPr="00E869A4">
        <w:rPr>
          <w:rFonts w:ascii="Times New Roman" w:eastAsia="Times New Roman" w:hAnsi="Times New Roman" w:cs="Times New Roman"/>
        </w:rPr>
        <w:t xml:space="preserve"> and Ms. Kumar was relatively </w:t>
      </w:r>
      <w:r w:rsidRPr="00E869A4">
        <w:rPr>
          <w:rFonts w:ascii="Times New Roman" w:eastAsia="Times New Roman" w:hAnsi="Times New Roman" w:cs="Times New Roman"/>
          <w:i/>
        </w:rPr>
        <w:t>well-resourced</w:t>
      </w:r>
      <w:r w:rsidRPr="00E869A4">
        <w:rPr>
          <w:rFonts w:ascii="Times New Roman" w:eastAsia="Times New Roman" w:hAnsi="Times New Roman" w:cs="Times New Roman"/>
        </w:rPr>
        <w:t xml:space="preserve"> when compared to other older persons. With respect to their social networks, both Timothy and Rebecca indicated </w:t>
      </w:r>
      <w:r w:rsidR="00CE4E4E" w:rsidRPr="00E869A4">
        <w:rPr>
          <w:rFonts w:ascii="Times New Roman" w:eastAsia="Times New Roman" w:hAnsi="Times New Roman" w:cs="Times New Roman"/>
        </w:rPr>
        <w:t>that the caregiver they hired were</w:t>
      </w:r>
      <w:r w:rsidRPr="00E869A4">
        <w:rPr>
          <w:rFonts w:ascii="Times New Roman" w:eastAsia="Times New Roman" w:hAnsi="Times New Roman" w:cs="Times New Roman"/>
        </w:rPr>
        <w:t xml:space="preserve"> a member of a religious organisation that </w:t>
      </w:r>
      <w:r w:rsidR="00CE4E4E" w:rsidRPr="00E869A4">
        <w:rPr>
          <w:rFonts w:ascii="Times New Roman" w:eastAsia="Times New Roman" w:hAnsi="Times New Roman" w:cs="Times New Roman"/>
        </w:rPr>
        <w:t>was</w:t>
      </w:r>
      <w:r w:rsidRPr="00E869A4">
        <w:rPr>
          <w:rFonts w:ascii="Times New Roman" w:eastAsia="Times New Roman" w:hAnsi="Times New Roman" w:cs="Times New Roman"/>
        </w:rPr>
        <w:t xml:space="preserve"> in some way affiliated</w:t>
      </w:r>
      <w:r w:rsidR="00CE4E4E" w:rsidRPr="00E869A4">
        <w:rPr>
          <w:rFonts w:ascii="Times New Roman" w:eastAsia="Times New Roman" w:hAnsi="Times New Roman" w:cs="Times New Roman"/>
        </w:rPr>
        <w:t xml:space="preserve"> with them</w:t>
      </w:r>
      <w:r w:rsidRPr="00E869A4">
        <w:rPr>
          <w:rFonts w:ascii="Times New Roman" w:eastAsia="Times New Roman" w:hAnsi="Times New Roman" w:cs="Times New Roman"/>
        </w:rPr>
        <w:t>. The same was true for Sheila who hired ‘</w:t>
      </w:r>
      <w:r w:rsidR="00664B20" w:rsidRPr="00E869A4">
        <w:rPr>
          <w:rFonts w:ascii="Times New Roman" w:eastAsia="Times New Roman" w:hAnsi="Times New Roman" w:cs="Times New Roman"/>
        </w:rPr>
        <w:t>s</w:t>
      </w:r>
      <w:r w:rsidRPr="00E869A4">
        <w:rPr>
          <w:rFonts w:ascii="Times New Roman" w:eastAsia="Times New Roman" w:hAnsi="Times New Roman" w:cs="Times New Roman"/>
        </w:rPr>
        <w:t>isters’ from her church to provide in-home care to Mother Freeda at different times during the week</w:t>
      </w:r>
      <w:r w:rsidR="00CE4E4E"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49EDB44C"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3F2A92B0" w14:textId="5D72FD80"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 xml:space="preserve">It’s a friend of mine. A sister [from church], </w:t>
      </w:r>
      <w:r w:rsidR="00F9716F" w:rsidRPr="00E869A4">
        <w:rPr>
          <w:rFonts w:ascii="Times New Roman" w:eastAsia="Times New Roman" w:hAnsi="Times New Roman" w:cs="Times New Roman"/>
        </w:rPr>
        <w:t>whose</w:t>
      </w:r>
      <w:r w:rsidRPr="00E869A4">
        <w:rPr>
          <w:rFonts w:ascii="Times New Roman" w:eastAsia="Times New Roman" w:hAnsi="Times New Roman" w:cs="Times New Roman"/>
        </w:rPr>
        <w:t xml:space="preserve"> mother is also in a [wheel]chair</w:t>
      </w:r>
      <w:r w:rsidR="00CA0784"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CA0784" w:rsidRPr="00E869A4">
        <w:rPr>
          <w:rFonts w:ascii="Times New Roman" w:eastAsia="Times New Roman" w:hAnsi="Times New Roman" w:cs="Times New Roman"/>
        </w:rPr>
        <w:t xml:space="preserve"> </w:t>
      </w:r>
      <w:r w:rsidRPr="00E869A4">
        <w:rPr>
          <w:rFonts w:ascii="Times New Roman" w:eastAsia="Times New Roman" w:hAnsi="Times New Roman" w:cs="Times New Roman"/>
        </w:rPr>
        <w:t>I told her that I needed some help and she recogni</w:t>
      </w:r>
      <w:r w:rsidR="00887B95" w:rsidRPr="00E869A4">
        <w:rPr>
          <w:rFonts w:ascii="Times New Roman" w:eastAsia="Times New Roman" w:hAnsi="Times New Roman" w:cs="Times New Roman"/>
        </w:rPr>
        <w:t>s</w:t>
      </w:r>
      <w:r w:rsidRPr="00E869A4">
        <w:rPr>
          <w:rFonts w:ascii="Times New Roman" w:eastAsia="Times New Roman" w:hAnsi="Times New Roman" w:cs="Times New Roman"/>
        </w:rPr>
        <w:t>ed that mummy needed some help too. So she made those recommendations and I spoke with the persons. They also work by her so we had an arrangement and we agree on a day and that’s how it is</w:t>
      </w:r>
      <w:r w:rsidR="00CA0784"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CA0784" w:rsidRPr="00E869A4">
        <w:rPr>
          <w:rFonts w:ascii="Times New Roman" w:eastAsia="Times New Roman" w:hAnsi="Times New Roman" w:cs="Times New Roman"/>
        </w:rPr>
        <w:t xml:space="preserve"> </w:t>
      </w:r>
      <w:r w:rsidRPr="00E869A4">
        <w:rPr>
          <w:rFonts w:ascii="Times New Roman" w:eastAsia="Times New Roman" w:hAnsi="Times New Roman" w:cs="Times New Roman"/>
        </w:rPr>
        <w:t>for now it’s one day. Two of them come in, then you have the house cleaner come in on another day</w:t>
      </w:r>
      <w:r w:rsidR="00CA078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[O]ne’s a nurse and one is a masseuse. She’s a doctor something … a therapist. And the other one … I don’t know what is her training but she really takes care – geriatric training maybe. She has some training</w:t>
      </w:r>
      <w:r w:rsidR="00CA078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She used to operate a Home for someone else.</w:t>
      </w:r>
    </w:p>
    <w:p w14:paraId="5F4A43ED"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6F31A6E4" w14:textId="0516F1E8"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Like Timothy and Rebecca’s approach to hiring caregivers, Sheila’s access to this support was based more on informal arrangements made with persons from her social network. This ‘organic’ approach to hiring paid care workers and meeting the various needs of older persons was a consistent theme that emerged from this study. It is indicative of the adaptive approaches used by family caregivers and older persons in a country context in which there are few formal services available for elder care. Thus, to cope with this situation, family caregivers must remain alert and sensitive to opportunities that may arise </w:t>
      </w:r>
      <w:r w:rsidR="0041037F" w:rsidRPr="00E869A4">
        <w:rPr>
          <w:rFonts w:ascii="Times New Roman" w:eastAsia="Times New Roman" w:hAnsi="Times New Roman" w:cs="Times New Roman"/>
        </w:rPr>
        <w:t>which</w:t>
      </w:r>
      <w:r w:rsidRPr="00E869A4">
        <w:rPr>
          <w:rFonts w:ascii="Times New Roman" w:eastAsia="Times New Roman" w:hAnsi="Times New Roman" w:cs="Times New Roman"/>
        </w:rPr>
        <w:t xml:space="preserve"> may be suited to their particular care situation.</w:t>
      </w:r>
      <w:r w:rsidR="00664B20" w:rsidRPr="00E869A4">
        <w:rPr>
          <w:rFonts w:ascii="Times New Roman" w:eastAsia="Times New Roman" w:hAnsi="Times New Roman" w:cs="Times New Roman"/>
        </w:rPr>
        <w:t xml:space="preserve"> Another </w:t>
      </w:r>
      <w:r w:rsidRPr="00E869A4">
        <w:rPr>
          <w:rFonts w:ascii="Times New Roman" w:eastAsia="Times New Roman" w:hAnsi="Times New Roman" w:cs="Times New Roman"/>
          <w:i/>
        </w:rPr>
        <w:t>emergent</w:t>
      </w:r>
      <w:r w:rsidRPr="00E869A4">
        <w:rPr>
          <w:rFonts w:ascii="Times New Roman" w:eastAsia="Times New Roman" w:hAnsi="Times New Roman" w:cs="Times New Roman"/>
        </w:rPr>
        <w:t xml:space="preserve"> strategy that was observed in the accounts of different caregivers was their ad-hoc approach to determining a wage for their paid care workers. Some caregivers were more generous than </w:t>
      </w:r>
      <w:r w:rsidR="00F9716F" w:rsidRPr="00E869A4">
        <w:rPr>
          <w:rFonts w:ascii="Times New Roman" w:eastAsia="Times New Roman" w:hAnsi="Times New Roman" w:cs="Times New Roman"/>
        </w:rPr>
        <w:t>others were</w:t>
      </w:r>
      <w:r w:rsidRPr="00E869A4">
        <w:rPr>
          <w:rFonts w:ascii="Times New Roman" w:eastAsia="Times New Roman" w:hAnsi="Times New Roman" w:cs="Times New Roman"/>
        </w:rPr>
        <w:t>. Timothy</w:t>
      </w:r>
      <w:r w:rsidR="00D855F5" w:rsidRPr="00E869A4">
        <w:rPr>
          <w:rFonts w:ascii="Times New Roman" w:eastAsia="Times New Roman" w:hAnsi="Times New Roman" w:cs="Times New Roman"/>
        </w:rPr>
        <w:t>,</w:t>
      </w:r>
      <w:r w:rsidRPr="00E869A4">
        <w:rPr>
          <w:rFonts w:ascii="Times New Roman" w:eastAsia="Times New Roman" w:hAnsi="Times New Roman" w:cs="Times New Roman"/>
        </w:rPr>
        <w:t xml:space="preserve"> for </w:t>
      </w:r>
      <w:r w:rsidR="00D855F5" w:rsidRPr="00E869A4">
        <w:rPr>
          <w:rFonts w:ascii="Times New Roman" w:eastAsia="Times New Roman" w:hAnsi="Times New Roman" w:cs="Times New Roman"/>
        </w:rPr>
        <w:t>instance,</w:t>
      </w:r>
      <w:r w:rsidR="00DE0E82" w:rsidRPr="00E869A4">
        <w:rPr>
          <w:rFonts w:ascii="Times New Roman" w:eastAsia="Times New Roman" w:hAnsi="Times New Roman" w:cs="Times New Roman"/>
        </w:rPr>
        <w:t xml:space="preserve"> </w:t>
      </w:r>
      <w:r w:rsidRPr="00E869A4">
        <w:rPr>
          <w:rFonts w:ascii="Times New Roman" w:eastAsia="Times New Roman" w:hAnsi="Times New Roman" w:cs="Times New Roman"/>
        </w:rPr>
        <w:t>used the following approach</w:t>
      </w:r>
      <w:r w:rsidR="0041037F"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12123D99" w14:textId="77777777" w:rsidR="00A14F91" w:rsidRPr="00E869A4" w:rsidRDefault="00A14F91" w:rsidP="00A14F91">
      <w:pPr>
        <w:spacing w:line="240" w:lineRule="auto"/>
        <w:jc w:val="both"/>
        <w:rPr>
          <w:rFonts w:ascii="Times New Roman" w:eastAsia="Times New Roman" w:hAnsi="Times New Roman" w:cs="Times New Roman"/>
        </w:rPr>
      </w:pPr>
    </w:p>
    <w:p w14:paraId="29C5052A" w14:textId="39D7422B"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lastRenderedPageBreak/>
        <w:t>Everybody gets $15: I had tried to vary it but … the ladies in the night actually were worth more. The lady in the day travels a long distance, so at the end of the day, I had to give her more to compensate” 3 set of [transport she has] to get … [Another caregiver] however lives [nearby] and sometimes she walks</w:t>
      </w:r>
      <w:r w:rsidR="00A14F91" w:rsidRPr="00E869A4">
        <w:rPr>
          <w:rFonts w:ascii="Times New Roman" w:eastAsia="Times New Roman" w:hAnsi="Times New Roman" w:cs="Times New Roman"/>
        </w:rPr>
        <w:t xml:space="preserve"> … [The others</w:t>
      </w:r>
      <w:r w:rsidRPr="00E869A4">
        <w:rPr>
          <w:rFonts w:ascii="Times New Roman" w:eastAsia="Times New Roman" w:hAnsi="Times New Roman" w:cs="Times New Roman"/>
        </w:rPr>
        <w:t xml:space="preserve"> don’t live too far away so] it’s not as difficult for them</w:t>
      </w:r>
      <w:r w:rsidR="0041037F" w:rsidRPr="00E869A4">
        <w:rPr>
          <w:rFonts w:ascii="Times New Roman" w:eastAsia="Times New Roman" w:hAnsi="Times New Roman" w:cs="Times New Roman"/>
        </w:rPr>
        <w:t>.”</w:t>
      </w:r>
    </w:p>
    <w:p w14:paraId="0663F161"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432FD6E7" w14:textId="50743D1B" w:rsidR="00744EFC" w:rsidRPr="00E869A4" w:rsidRDefault="00A14F91" w:rsidP="001D10F9">
      <w:pPr>
        <w:jc w:val="both"/>
        <w:rPr>
          <w:rFonts w:ascii="Times New Roman" w:eastAsia="Times New Roman" w:hAnsi="Times New Roman" w:cs="Times New Roman"/>
        </w:rPr>
      </w:pPr>
      <w:r w:rsidRPr="00E869A4">
        <w:rPr>
          <w:rFonts w:ascii="Times New Roman" w:eastAsia="Times New Roman" w:hAnsi="Times New Roman" w:cs="Times New Roman"/>
        </w:rPr>
        <w:t>T</w:t>
      </w:r>
      <w:r w:rsidR="00744EFC" w:rsidRPr="00E869A4">
        <w:rPr>
          <w:rFonts w:ascii="Times New Roman" w:eastAsia="Times New Roman" w:hAnsi="Times New Roman" w:cs="Times New Roman"/>
        </w:rPr>
        <w:t xml:space="preserve">he Kumars </w:t>
      </w:r>
      <w:r w:rsidRPr="00E869A4">
        <w:rPr>
          <w:rFonts w:ascii="Times New Roman" w:eastAsia="Times New Roman" w:hAnsi="Times New Roman" w:cs="Times New Roman"/>
        </w:rPr>
        <w:t xml:space="preserve">on the other hand </w:t>
      </w:r>
      <w:r w:rsidR="00744EFC" w:rsidRPr="00E869A4">
        <w:rPr>
          <w:rFonts w:ascii="Times New Roman" w:eastAsia="Times New Roman" w:hAnsi="Times New Roman" w:cs="Times New Roman"/>
        </w:rPr>
        <w:t>did not provide Aunty Sita with an hourly wage that was consistent with the legal requirements for minimum wage</w:t>
      </w:r>
      <w:r w:rsidR="005C44A9" w:rsidRPr="00E869A4">
        <w:rPr>
          <w:rFonts w:ascii="Times New Roman" w:eastAsia="Times New Roman" w:hAnsi="Times New Roman" w:cs="Times New Roman"/>
        </w:rPr>
        <w:t xml:space="preserve">. (FCG) Rebecca explained the arrangement as follows: </w:t>
      </w:r>
    </w:p>
    <w:p w14:paraId="1D542C65"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4137D550" w14:textId="69C5EBD9"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Well the [carer] that works in the day I pay her minimum wage ($9.52 TT</w:t>
      </w:r>
      <w:r w:rsidR="00950AF9" w:rsidRPr="00E869A4">
        <w:rPr>
          <w:rFonts w:ascii="Times New Roman" w:eastAsia="Times New Roman" w:hAnsi="Times New Roman" w:cs="Times New Roman"/>
        </w:rPr>
        <w:t>D</w:t>
      </w:r>
      <w:r w:rsidRPr="00E869A4">
        <w:rPr>
          <w:rFonts w:ascii="Times New Roman" w:eastAsia="Times New Roman" w:hAnsi="Times New Roman" w:cs="Times New Roman"/>
        </w:rPr>
        <w:t>)</w:t>
      </w:r>
      <w:r w:rsidR="004568C6" w:rsidRPr="00E869A4">
        <w:rPr>
          <w:rFonts w:ascii="Times New Roman" w:eastAsia="Times New Roman" w:hAnsi="Times New Roman" w:cs="Times New Roman"/>
        </w:rPr>
        <w:t xml:space="preserve"> </w:t>
      </w:r>
      <w:r w:rsidR="007F2A6A" w:rsidRPr="00E869A4">
        <w:rPr>
          <w:rFonts w:ascii="Times New Roman" w:eastAsia="Times New Roman" w:hAnsi="Times New Roman" w:cs="Times New Roman"/>
        </w:rPr>
        <w:t>…</w:t>
      </w:r>
      <w:r w:rsidRPr="00E869A4">
        <w:rPr>
          <w:rFonts w:ascii="Times New Roman" w:eastAsia="Times New Roman" w:hAnsi="Times New Roman" w:cs="Times New Roman"/>
        </w:rPr>
        <w:t xml:space="preserve"> but the other one in the night (Aunty Sita) – is a friend of a friend so is more of a favour. I give her something, but is not anything, granted she’s not a qualified nurse</w:t>
      </w:r>
      <w:r w:rsidR="00A14F91" w:rsidRPr="00E869A4">
        <w:rPr>
          <w:rFonts w:ascii="Times New Roman" w:eastAsia="Times New Roman" w:hAnsi="Times New Roman" w:cs="Times New Roman"/>
        </w:rPr>
        <w:t xml:space="preserve"> or anything. So I’m paying her</w:t>
      </w:r>
      <w:r w:rsidRPr="00E869A4">
        <w:rPr>
          <w:rFonts w:ascii="Times New Roman" w:eastAsia="Times New Roman" w:hAnsi="Times New Roman" w:cs="Times New Roman"/>
        </w:rPr>
        <w:t xml:space="preserve"> … to be a companion, rub mummy back if it’s paining. She’s only a companion in the night</w:t>
      </w:r>
      <w:r w:rsidR="005C44A9" w:rsidRPr="00E869A4">
        <w:rPr>
          <w:rFonts w:ascii="Times New Roman" w:eastAsia="Times New Roman" w:hAnsi="Times New Roman" w:cs="Times New Roman"/>
        </w:rPr>
        <w:t>.</w:t>
      </w:r>
    </w:p>
    <w:p w14:paraId="15FF47DD"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7D74AF0A" w14:textId="5011FF5D" w:rsidR="00744EFC" w:rsidRPr="00E869A4" w:rsidRDefault="00744EFC" w:rsidP="001D10F9">
      <w:pPr>
        <w:ind w:firstLine="0"/>
        <w:jc w:val="both"/>
        <w:rPr>
          <w:rFonts w:ascii="Times New Roman" w:eastAsia="Times New Roman" w:hAnsi="Times New Roman" w:cs="Times New Roman"/>
        </w:rPr>
      </w:pPr>
      <w:r w:rsidRPr="00E869A4">
        <w:rPr>
          <w:rFonts w:ascii="Times New Roman" w:eastAsia="Times New Roman" w:hAnsi="Times New Roman" w:cs="Times New Roman"/>
        </w:rPr>
        <w:t>The Kumars’ positive valuation of Aunty Sita’s role and concomitant reluctance to pay minimum wage is paradoxical</w:t>
      </w:r>
      <w:r w:rsidR="00F9716F"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 is reflective of how undervalued care work is perceived by persons who benefit from it</w:t>
      </w:r>
      <w:r w:rsidR="0041037F" w:rsidRPr="00E869A4">
        <w:rPr>
          <w:rFonts w:ascii="Times New Roman" w:eastAsia="Times New Roman" w:hAnsi="Times New Roman" w:cs="Times New Roman"/>
        </w:rPr>
        <w:t>,</w:t>
      </w:r>
      <w:r w:rsidRPr="00E869A4">
        <w:rPr>
          <w:rFonts w:ascii="Times New Roman" w:eastAsia="Times New Roman" w:hAnsi="Times New Roman" w:cs="Times New Roman"/>
        </w:rPr>
        <w:t xml:space="preserve"> irrespective of their gender. One of the justifications provided by the Kumars for not paying a proper wage to Aunty Sita was that they provided her with in-kind items. Ms. Kumar described their ‘exchange’ as follows:</w:t>
      </w:r>
    </w:p>
    <w:p w14:paraId="006C16F6"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4DB98673" w14:textId="63456B12"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Aunty Sita</w:t>
      </w:r>
      <w:r w:rsidR="001D10F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her position is ah very, ah won’t say sad, but it’s disheartening yuh know why? She has a daughter an’ she has ah </w:t>
      </w:r>
      <w:r w:rsidR="00F9716F" w:rsidRPr="00E869A4">
        <w:rPr>
          <w:rFonts w:ascii="Times New Roman" w:eastAsia="Times New Roman" w:hAnsi="Times New Roman" w:cs="Times New Roman"/>
        </w:rPr>
        <w:t>granddaughter</w:t>
      </w:r>
      <w:r w:rsidRPr="00E869A4">
        <w:rPr>
          <w:rFonts w:ascii="Times New Roman" w:eastAsia="Times New Roman" w:hAnsi="Times New Roman" w:cs="Times New Roman"/>
        </w:rPr>
        <w:t xml:space="preserve">, an’ she has two (2) great gran’. An’ none of them workin’ an’ they wouldn’t go an’ look for ah job. They dependin’ on dis lady, she’s 64 years, to pay de rent an’ to do everyt’ing. So Rebecca, my daughter, she’s very </w:t>
      </w:r>
      <w:proofErr w:type="spellStart"/>
      <w:r w:rsidRPr="00E869A4">
        <w:rPr>
          <w:rFonts w:ascii="Times New Roman" w:eastAsia="Times New Roman" w:hAnsi="Times New Roman" w:cs="Times New Roman"/>
        </w:rPr>
        <w:t>very</w:t>
      </w:r>
      <w:proofErr w:type="spellEnd"/>
      <w:r w:rsidRPr="00E869A4">
        <w:rPr>
          <w:rFonts w:ascii="Times New Roman" w:eastAsia="Times New Roman" w:hAnsi="Times New Roman" w:cs="Times New Roman"/>
        </w:rPr>
        <w:t xml:space="preserve"> reasonable eh. An’ beside that she’s very charitable. So anytime she has any, …</w:t>
      </w:r>
      <w:r w:rsidR="001D10F9" w:rsidRPr="00E869A4">
        <w:rPr>
          <w:rFonts w:ascii="Times New Roman" w:eastAsia="Times New Roman" w:hAnsi="Times New Roman" w:cs="Times New Roman"/>
        </w:rPr>
        <w:t xml:space="preserve"> </w:t>
      </w:r>
      <w:r w:rsidRPr="00E869A4">
        <w:rPr>
          <w:rFonts w:ascii="Times New Roman" w:eastAsia="Times New Roman" w:hAnsi="Times New Roman" w:cs="Times New Roman"/>
        </w:rPr>
        <w:t>ah wouldn’t say leftovers, but if we buy ah loaf ah bread an’ we use it today an’ tomorrow, we have enough</w:t>
      </w:r>
      <w:r w:rsidR="001D10F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she does give her to carry home. When we cook anything, or we go to de supermarket an’ buy chicken or anything, Rebecca always give her to carry home. Christmas I bought a nice hamper for her from church. An’ now I want to try an’ see how ah could go about in getting food stamps for her, yuh know what I mean, ‘cause she poor, she’s ah poor lady</w:t>
      </w:r>
      <w:r w:rsidR="005C44A9" w:rsidRPr="00E869A4">
        <w:rPr>
          <w:rFonts w:ascii="Times New Roman" w:eastAsia="Times New Roman" w:hAnsi="Times New Roman" w:cs="Times New Roman"/>
        </w:rPr>
        <w:t>.</w:t>
      </w:r>
    </w:p>
    <w:p w14:paraId="6167D4A0"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6754E42D" w14:textId="36294BD7" w:rsidR="00744EFC" w:rsidRPr="00E869A4" w:rsidRDefault="00744EFC" w:rsidP="003957AF">
      <w:pPr>
        <w:ind w:firstLine="0"/>
        <w:jc w:val="both"/>
        <w:rPr>
          <w:rFonts w:ascii="Times New Roman" w:eastAsia="Times New Roman" w:hAnsi="Times New Roman" w:cs="Times New Roman"/>
        </w:rPr>
      </w:pPr>
      <w:r w:rsidRPr="00E869A4">
        <w:rPr>
          <w:rFonts w:ascii="Times New Roman" w:eastAsia="Times New Roman" w:hAnsi="Times New Roman" w:cs="Times New Roman"/>
        </w:rPr>
        <w:t>The Kumar’s awareness of Sita’s underprivileged position did not lead them to consider giving her a fair wage, but instead, they resorted to efforts that may be regarded as</w:t>
      </w:r>
      <w:r w:rsidR="0041037F" w:rsidRPr="00E869A4">
        <w:rPr>
          <w:rFonts w:ascii="Times New Roman" w:eastAsia="Times New Roman" w:hAnsi="Times New Roman" w:cs="Times New Roman"/>
        </w:rPr>
        <w:t xml:space="preserve"> being</w:t>
      </w:r>
      <w:r w:rsidRPr="00E869A4">
        <w:rPr>
          <w:rFonts w:ascii="Times New Roman" w:eastAsia="Times New Roman" w:hAnsi="Times New Roman" w:cs="Times New Roman"/>
        </w:rPr>
        <w:t xml:space="preserve"> akin to tokenism.  While it is understandable that famil</w:t>
      </w:r>
      <w:r w:rsidR="0041037F" w:rsidRPr="00E869A4">
        <w:rPr>
          <w:rFonts w:ascii="Times New Roman" w:eastAsia="Times New Roman" w:hAnsi="Times New Roman" w:cs="Times New Roman"/>
        </w:rPr>
        <w:t>ie</w:t>
      </w:r>
      <w:r w:rsidRPr="00E869A4">
        <w:rPr>
          <w:rFonts w:ascii="Times New Roman" w:eastAsia="Times New Roman" w:hAnsi="Times New Roman" w:cs="Times New Roman"/>
        </w:rPr>
        <w:t>s, including relatively wealthy ones like the Kumars would like to maintain or improve their standard of living over the life</w:t>
      </w:r>
      <w:r w:rsidR="00D855F5" w:rsidRPr="00E869A4">
        <w:rPr>
          <w:rFonts w:ascii="Times New Roman" w:eastAsia="Times New Roman" w:hAnsi="Times New Roman" w:cs="Times New Roman"/>
        </w:rPr>
        <w:t xml:space="preserve"> </w:t>
      </w:r>
      <w:r w:rsidRPr="00E869A4">
        <w:rPr>
          <w:rFonts w:ascii="Times New Roman" w:eastAsia="Times New Roman" w:hAnsi="Times New Roman" w:cs="Times New Roman"/>
        </w:rPr>
        <w:t>course, and may even provide some charitable assistance to less fortunate persons, this case highlights the need for stringent protection of the rights of care workers so that they are not disenfranchised</w:t>
      </w:r>
      <w:r w:rsidR="003F4492" w:rsidRPr="00E869A4">
        <w:rPr>
          <w:rFonts w:ascii="Times New Roman" w:eastAsia="Times New Roman" w:hAnsi="Times New Roman" w:cs="Times New Roman"/>
        </w:rPr>
        <w:t>,</w:t>
      </w:r>
      <w:r w:rsidRPr="00E869A4">
        <w:rPr>
          <w:rFonts w:ascii="Times New Roman" w:eastAsia="Times New Roman" w:hAnsi="Times New Roman" w:cs="Times New Roman"/>
        </w:rPr>
        <w:t xml:space="preserve"> but also receive a fair wage and</w:t>
      </w:r>
      <w:r w:rsidR="003F4492" w:rsidRPr="00E869A4">
        <w:rPr>
          <w:rFonts w:ascii="Times New Roman" w:eastAsia="Times New Roman" w:hAnsi="Times New Roman" w:cs="Times New Roman"/>
        </w:rPr>
        <w:t>,</w:t>
      </w:r>
      <w:r w:rsidRPr="00E869A4">
        <w:rPr>
          <w:rFonts w:ascii="Times New Roman" w:eastAsia="Times New Roman" w:hAnsi="Times New Roman" w:cs="Times New Roman"/>
        </w:rPr>
        <w:t xml:space="preserve"> experience wellbeing from the services that they provide. </w:t>
      </w:r>
    </w:p>
    <w:p w14:paraId="3EC27B53" w14:textId="77777777" w:rsidR="00744EFC" w:rsidRPr="00E869A4" w:rsidRDefault="00744EFC" w:rsidP="00744EFC">
      <w:pPr>
        <w:jc w:val="both"/>
        <w:rPr>
          <w:rFonts w:ascii="Times New Roman" w:eastAsia="Times New Roman" w:hAnsi="Times New Roman" w:cs="Times New Roman"/>
        </w:rPr>
      </w:pPr>
    </w:p>
    <w:p w14:paraId="4601E4FC" w14:textId="4595A358"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lastRenderedPageBreak/>
        <w:t>Marian also adopted an ad-hoc approach to deciding on the wages she provided to</w:t>
      </w:r>
      <w:r w:rsidR="005C44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Onella</w:t>
      </w:r>
      <w:r w:rsidR="0041037F"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51BA7C79"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7A46217E" w14:textId="18CB04F5"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I pay Onella $2500 a month and … I think she was upset because she thinks that I don’t pay her enough</w:t>
      </w:r>
      <w:r w:rsidR="006C561D" w:rsidRPr="00E869A4">
        <w:rPr>
          <w:rFonts w:ascii="Times New Roman" w:eastAsia="Times New Roman" w:hAnsi="Times New Roman" w:cs="Times New Roman"/>
        </w:rPr>
        <w:t xml:space="preserve"> </w:t>
      </w:r>
      <w:r w:rsidR="00A2695D" w:rsidRPr="00E869A4">
        <w:rPr>
          <w:rFonts w:ascii="Times New Roman" w:eastAsia="Times New Roman" w:hAnsi="Times New Roman" w:cs="Times New Roman"/>
        </w:rPr>
        <w:t>…</w:t>
      </w:r>
      <w:r w:rsidRPr="00E869A4">
        <w:rPr>
          <w:rFonts w:ascii="Times New Roman" w:eastAsia="Times New Roman" w:hAnsi="Times New Roman" w:cs="Times New Roman"/>
        </w:rPr>
        <w:t xml:space="preserve"> The GAPP caregiver (Francine) is paid by the government. She gets $2500 a month: she has to pay rent, buy food and everything else out of that $2500 a month, just $2500</w:t>
      </w:r>
      <w:r w:rsidR="004568C6" w:rsidRPr="00E869A4">
        <w:rPr>
          <w:rFonts w:ascii="Times New Roman" w:eastAsia="Times New Roman" w:hAnsi="Times New Roman" w:cs="Times New Roman"/>
        </w:rPr>
        <w:t xml:space="preserve"> </w:t>
      </w:r>
      <w:r w:rsidR="003F38B1" w:rsidRPr="00E869A4">
        <w:rPr>
          <w:rFonts w:ascii="Times New Roman" w:eastAsia="Times New Roman" w:hAnsi="Times New Roman" w:cs="Times New Roman"/>
        </w:rPr>
        <w:t xml:space="preserve">… </w:t>
      </w:r>
      <w:r w:rsidRPr="00E869A4">
        <w:rPr>
          <w:rFonts w:ascii="Times New Roman" w:eastAsia="Times New Roman" w:hAnsi="Times New Roman" w:cs="Times New Roman"/>
        </w:rPr>
        <w:t>[Francine works] Monday to Friday ... Onella doesn’t work Tuesday, Wednesday and Thursday. She goes and does house cleaning somewhere else. That $2500 I give to Onella, she has nothing to do with it. I provide food, I provide shelter. She just has to buy clothes and she don’t do that. So why am I giving you more than $2500? And actually, if you had to pay rent you’d have to go somewhere and pay at least $1000. Food is expensive</w:t>
      </w:r>
      <w:r w:rsidR="004568C6" w:rsidRPr="00E869A4">
        <w:rPr>
          <w:rFonts w:ascii="Times New Roman" w:eastAsia="Times New Roman" w:hAnsi="Times New Roman" w:cs="Times New Roman"/>
        </w:rPr>
        <w:t xml:space="preserve"> </w:t>
      </w:r>
      <w:r w:rsidR="003957AF" w:rsidRPr="00E869A4">
        <w:rPr>
          <w:rFonts w:ascii="Times New Roman" w:eastAsia="Times New Roman" w:hAnsi="Times New Roman" w:cs="Times New Roman"/>
        </w:rPr>
        <w:t>…</w:t>
      </w:r>
      <w:r w:rsidR="004568C6"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what I used to do for her, I used to give her $2000 and after when I came back here when I got my citizenship, I thought, you know, she’s been with us so long and she’s been getting the $2000, maybe I should give her a raise. So I decided to give her an additional $500 but I told her </w:t>
      </w:r>
      <w:r w:rsidR="00547FD8" w:rsidRPr="00E869A4">
        <w:rPr>
          <w:rFonts w:ascii="Times New Roman" w:eastAsia="Times New Roman" w:hAnsi="Times New Roman" w:cs="Times New Roman"/>
        </w:rPr>
        <w:t>‘</w:t>
      </w:r>
      <w:r w:rsidRPr="00E869A4">
        <w:rPr>
          <w:rFonts w:ascii="Times New Roman" w:eastAsia="Times New Roman" w:hAnsi="Times New Roman" w:cs="Times New Roman"/>
        </w:rPr>
        <w:t>I’m n</w:t>
      </w:r>
      <w:r w:rsidR="00547FD8" w:rsidRPr="00E869A4">
        <w:rPr>
          <w:rFonts w:ascii="Times New Roman" w:eastAsia="Times New Roman" w:hAnsi="Times New Roman" w:cs="Times New Roman"/>
        </w:rPr>
        <w:t>ot giving you $500 in your hand’</w:t>
      </w:r>
      <w:r w:rsidRPr="00E869A4">
        <w:rPr>
          <w:rFonts w:ascii="Times New Roman" w:eastAsia="Times New Roman" w:hAnsi="Times New Roman" w:cs="Times New Roman"/>
        </w:rPr>
        <w:t>: because I know for some reason she never has money</w:t>
      </w:r>
      <w:r w:rsidR="004568C6" w:rsidRPr="00E869A4">
        <w:rPr>
          <w:rFonts w:ascii="Times New Roman" w:eastAsia="Times New Roman" w:hAnsi="Times New Roman" w:cs="Times New Roman"/>
        </w:rPr>
        <w:t xml:space="preserve"> </w:t>
      </w:r>
      <w:r w:rsidR="003957AF" w:rsidRPr="00E869A4">
        <w:rPr>
          <w:rFonts w:ascii="Times New Roman" w:eastAsia="Times New Roman" w:hAnsi="Times New Roman" w:cs="Times New Roman"/>
        </w:rPr>
        <w:t>…</w:t>
      </w:r>
      <w:r w:rsidR="004568C6"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So I said you know what, I’m going to invest [the extra $500] for you [Onella]. So I opened a Unit Trust account for her and I would put that $500 every month in there for a few years. Then she wanted to go home [to Guyana] and she didn’t have money so I said, </w:t>
      </w:r>
      <w:r w:rsidR="004D1FAE" w:rsidRPr="00E869A4">
        <w:rPr>
          <w:rFonts w:ascii="Times New Roman" w:eastAsia="Times New Roman" w:hAnsi="Times New Roman" w:cs="Times New Roman"/>
        </w:rPr>
        <w:t>‘</w:t>
      </w:r>
      <w:r w:rsidRPr="00E869A4">
        <w:rPr>
          <w:rFonts w:ascii="Times New Roman" w:eastAsia="Times New Roman" w:hAnsi="Times New Roman" w:cs="Times New Roman"/>
        </w:rPr>
        <w:t>You have money in Unit Trust: why don’t you borrow it and put it back?</w:t>
      </w:r>
      <w:r w:rsidR="004D1FAE" w:rsidRPr="00E869A4">
        <w:rPr>
          <w:rFonts w:ascii="Times New Roman" w:eastAsia="Times New Roman" w:hAnsi="Times New Roman" w:cs="Times New Roman"/>
        </w:rPr>
        <w:t>’</w:t>
      </w:r>
      <w:r w:rsidRPr="00E869A4">
        <w:rPr>
          <w:rFonts w:ascii="Times New Roman" w:eastAsia="Times New Roman" w:hAnsi="Times New Roman" w:cs="Times New Roman"/>
        </w:rPr>
        <w:t xml:space="preserve"> So when she went to get it, I don’t know if the 3 years wasn’t up yet, she wasn’t satisfied with the interest</w:t>
      </w:r>
      <w:r w:rsidR="004568C6" w:rsidRPr="00E869A4">
        <w:rPr>
          <w:rFonts w:ascii="Times New Roman" w:eastAsia="Times New Roman" w:hAnsi="Times New Roman" w:cs="Times New Roman"/>
        </w:rPr>
        <w:t xml:space="preserve"> </w:t>
      </w:r>
      <w:r w:rsidRPr="00E869A4">
        <w:rPr>
          <w:rFonts w:ascii="Times New Roman" w:eastAsia="Times New Roman" w:hAnsi="Times New Roman" w:cs="Times New Roman"/>
        </w:rPr>
        <w:t>… she got about $800 interest and she said that</w:t>
      </w:r>
      <w:r w:rsidR="005C44A9" w:rsidRPr="00E869A4">
        <w:rPr>
          <w:rFonts w:ascii="Times New Roman" w:eastAsia="Times New Roman" w:hAnsi="Times New Roman" w:cs="Times New Roman"/>
        </w:rPr>
        <w:t>.</w:t>
      </w:r>
    </w:p>
    <w:p w14:paraId="6F7FE26B"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181E289F" w14:textId="60A621D5"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Although Marian tried to provide Onella with a fair wage that was equivalent to what the GAPP caregiver received from the government, Marian was not convinced that Onella was really deserving of the same salary as she </w:t>
      </w:r>
      <w:r w:rsidR="00D855F5" w:rsidRPr="00E869A4">
        <w:rPr>
          <w:rFonts w:ascii="Times New Roman" w:eastAsia="Times New Roman" w:hAnsi="Times New Roman" w:cs="Times New Roman"/>
        </w:rPr>
        <w:t>was no longer</w:t>
      </w:r>
      <w:r w:rsidRPr="00E869A4">
        <w:rPr>
          <w:rFonts w:ascii="Times New Roman" w:eastAsia="Times New Roman" w:hAnsi="Times New Roman" w:cs="Times New Roman"/>
        </w:rPr>
        <w:t xml:space="preserve"> as attentive to Ms. Violet as </w:t>
      </w:r>
      <w:r w:rsidR="00D855F5" w:rsidRPr="00E869A4">
        <w:rPr>
          <w:rFonts w:ascii="Times New Roman" w:eastAsia="Times New Roman" w:hAnsi="Times New Roman" w:cs="Times New Roman"/>
        </w:rPr>
        <w:t>she used to be</w:t>
      </w:r>
      <w:r w:rsidR="00524336"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58091814"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6FED9992" w14:textId="6691E7D8"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I’m sorry you don’t do a damn thing for my mother. You don’t do anything for me. At first [Onella] used to take care of the house. She know where everything is. Now, her sister [Germaine] does that: would clean the house. I wash all my clothes. She makes sure that the 3 days she’s not there, Tuesday, Wednesday, Thursday, she tells Francine, ‘Make sure you change granny [Ms. Violet] before you leave</w:t>
      </w:r>
      <w:r w:rsidR="00FC7CD3" w:rsidRPr="00E869A4">
        <w:rPr>
          <w:rFonts w:ascii="Times New Roman" w:eastAsia="Times New Roman" w:hAnsi="Times New Roman" w:cs="Times New Roman"/>
        </w:rPr>
        <w:t>’</w:t>
      </w:r>
      <w:r w:rsidRPr="00E869A4">
        <w:rPr>
          <w:rFonts w:ascii="Times New Roman" w:eastAsia="Times New Roman" w:hAnsi="Times New Roman" w:cs="Times New Roman"/>
        </w:rPr>
        <w:t>. So when she come in, she don’t have anything to do for my mother except that when she’s leaving to go with her mister, I tell her make sure you check my mother, she’s dry, because mammy is already in bed</w:t>
      </w:r>
      <w:r w:rsidR="004568C6" w:rsidRPr="00E869A4">
        <w:rPr>
          <w:rFonts w:ascii="Times New Roman" w:eastAsia="Times New Roman" w:hAnsi="Times New Roman" w:cs="Times New Roman"/>
        </w:rPr>
        <w:t xml:space="preserve"> </w:t>
      </w:r>
      <w:r w:rsidRPr="00E869A4">
        <w:rPr>
          <w:rFonts w:ascii="Times New Roman" w:eastAsia="Times New Roman" w:hAnsi="Times New Roman" w:cs="Times New Roman"/>
        </w:rPr>
        <w:t>... The GAPP caregiver already put her in bed and mammy stay in bed there until tomorrow morning</w:t>
      </w:r>
      <w:r w:rsidR="004568C6"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4568C6" w:rsidRPr="00E869A4">
        <w:rPr>
          <w:rFonts w:ascii="Times New Roman" w:eastAsia="Times New Roman" w:hAnsi="Times New Roman" w:cs="Times New Roman"/>
        </w:rPr>
        <w:t xml:space="preserve"> </w:t>
      </w:r>
      <w:r w:rsidRPr="00E869A4">
        <w:rPr>
          <w:rFonts w:ascii="Times New Roman" w:eastAsia="Times New Roman" w:hAnsi="Times New Roman" w:cs="Times New Roman"/>
        </w:rPr>
        <w:t>So it’s only on Saturday and Sunday that Onella would bathe mammy and … mammy doesn’t bathe on a Sunday because mammy will bathe on a Saturday to go to church Sunday. So actually I don’t even think she’s doing anything for the $2500 she’s getting now</w:t>
      </w:r>
      <w:r w:rsidR="00161CBB"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I’m not gonna give [another raise] to her</w:t>
      </w:r>
      <w:r w:rsidR="005C44A9" w:rsidRPr="00E869A4">
        <w:rPr>
          <w:rFonts w:ascii="Times New Roman" w:eastAsia="Times New Roman" w:hAnsi="Times New Roman" w:cs="Times New Roman"/>
        </w:rPr>
        <w:t>.</w:t>
      </w:r>
    </w:p>
    <w:p w14:paraId="09295BDF"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12B627CC" w14:textId="2F3D70E9" w:rsidR="00744EFC" w:rsidRPr="00E869A4" w:rsidRDefault="00744EFC" w:rsidP="005C44A9">
      <w:pPr>
        <w:ind w:firstLine="0"/>
        <w:jc w:val="both"/>
        <w:rPr>
          <w:rFonts w:ascii="Times New Roman" w:eastAsia="Times New Roman" w:hAnsi="Times New Roman" w:cs="Times New Roman"/>
        </w:rPr>
      </w:pPr>
      <w:r w:rsidRPr="00E869A4">
        <w:rPr>
          <w:rFonts w:ascii="Times New Roman" w:eastAsia="Times New Roman" w:hAnsi="Times New Roman" w:cs="Times New Roman"/>
        </w:rPr>
        <w:t>Furthermore, Onella was not entitled to a wage given that she was in Trinidad on a Minister’s permit. Thus, all Marian was legally responsible for</w:t>
      </w:r>
      <w:r w:rsidR="00433202" w:rsidRPr="00E869A4">
        <w:rPr>
          <w:rFonts w:ascii="Times New Roman" w:eastAsia="Times New Roman" w:hAnsi="Times New Roman" w:cs="Times New Roman"/>
        </w:rPr>
        <w:t>,</w:t>
      </w:r>
      <w:r w:rsidRPr="00E869A4">
        <w:rPr>
          <w:rFonts w:ascii="Times New Roman" w:eastAsia="Times New Roman" w:hAnsi="Times New Roman" w:cs="Times New Roman"/>
        </w:rPr>
        <w:t xml:space="preserve"> was to provide Onella with room and board, and to pay for any medical emergencies that Onella might have. However, the relationship boundaries were very blurred as Marian in many respects treated Onella as a member of her family, and maybe even like an adult daughter</w:t>
      </w:r>
      <w:r w:rsidR="00524336"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2ACF1D54" w14:textId="0F72AF02"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lastRenderedPageBreak/>
        <w:t>Onella’s here on a special permit [from] the Minister of [National] Security … [The] Chief Immigration Officer told me that in order for this permit to be granted she has to be made a part of my household. As long as my mother’s alive she’s allowed to stay. But I am fully responsible for her</w:t>
      </w:r>
      <w:r w:rsidR="005C44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I don’t have to pay her. I ask him, </w:t>
      </w:r>
      <w:r w:rsidR="00524336" w:rsidRPr="00E869A4">
        <w:rPr>
          <w:rFonts w:ascii="Times New Roman" w:eastAsia="Times New Roman" w:hAnsi="Times New Roman" w:cs="Times New Roman"/>
        </w:rPr>
        <w:t>‘</w:t>
      </w:r>
      <w:r w:rsidRPr="00E869A4">
        <w:rPr>
          <w:rFonts w:ascii="Times New Roman" w:eastAsia="Times New Roman" w:hAnsi="Times New Roman" w:cs="Times New Roman"/>
        </w:rPr>
        <w:t>Do I have to get her on NIS?</w:t>
      </w:r>
      <w:r w:rsidR="00524336" w:rsidRPr="00E869A4">
        <w:rPr>
          <w:rFonts w:ascii="Times New Roman" w:eastAsia="Times New Roman" w:hAnsi="Times New Roman" w:cs="Times New Roman"/>
        </w:rPr>
        <w:t>’</w:t>
      </w:r>
      <w:r w:rsidRPr="00E869A4">
        <w:rPr>
          <w:rFonts w:ascii="Times New Roman" w:eastAsia="Times New Roman" w:hAnsi="Times New Roman" w:cs="Times New Roman"/>
        </w:rPr>
        <w:t xml:space="preserve"> He said </w:t>
      </w:r>
      <w:r w:rsidR="00524336" w:rsidRPr="00E869A4">
        <w:rPr>
          <w:rFonts w:ascii="Times New Roman" w:eastAsia="Times New Roman" w:hAnsi="Times New Roman" w:cs="Times New Roman"/>
        </w:rPr>
        <w:t>‘</w:t>
      </w:r>
      <w:r w:rsidRPr="00E869A4">
        <w:rPr>
          <w:rFonts w:ascii="Times New Roman" w:eastAsia="Times New Roman" w:hAnsi="Times New Roman" w:cs="Times New Roman"/>
        </w:rPr>
        <w:t>No, you don’t have to pay her. She can’t get NIS because she’s not employed. She’s a part of your household. She’s here specifically to take care of your mother</w:t>
      </w:r>
      <w:r w:rsidR="00524336" w:rsidRPr="00E869A4">
        <w:rPr>
          <w:rFonts w:ascii="Times New Roman" w:eastAsia="Times New Roman" w:hAnsi="Times New Roman" w:cs="Times New Roman"/>
        </w:rPr>
        <w:t>’</w:t>
      </w:r>
      <w:r w:rsidRPr="00E869A4">
        <w:rPr>
          <w:rFonts w:ascii="Times New Roman" w:eastAsia="Times New Roman" w:hAnsi="Times New Roman" w:cs="Times New Roman"/>
        </w:rPr>
        <w:t xml:space="preserve">. But I pay her anyway. The last time they were here the woman even told me, she said, </w:t>
      </w:r>
      <w:r w:rsidR="00524336" w:rsidRPr="00E869A4">
        <w:rPr>
          <w:rFonts w:ascii="Times New Roman" w:eastAsia="Times New Roman" w:hAnsi="Times New Roman" w:cs="Times New Roman"/>
        </w:rPr>
        <w:t>‘</w:t>
      </w:r>
      <w:r w:rsidRPr="00E869A4">
        <w:rPr>
          <w:rFonts w:ascii="Times New Roman" w:eastAsia="Times New Roman" w:hAnsi="Times New Roman" w:cs="Times New Roman"/>
        </w:rPr>
        <w:t>Remember if she get sick you can’t take her to the clinic or hospital, you have to pay for her. She’s your duty</w:t>
      </w:r>
      <w:r w:rsidR="00524336" w:rsidRPr="00E869A4">
        <w:rPr>
          <w:rFonts w:ascii="Times New Roman" w:eastAsia="Times New Roman" w:hAnsi="Times New Roman" w:cs="Times New Roman"/>
        </w:rPr>
        <w:t>’</w:t>
      </w:r>
      <w:r w:rsidRPr="00E869A4">
        <w:rPr>
          <w:rFonts w:ascii="Times New Roman" w:eastAsia="Times New Roman" w:hAnsi="Times New Roman" w:cs="Times New Roman"/>
        </w:rPr>
        <w:t xml:space="preserve">. [Then Onella] ups and move </w:t>
      </w:r>
      <w:r w:rsidR="00FD390C" w:rsidRPr="00E869A4">
        <w:rPr>
          <w:rFonts w:ascii="Times New Roman" w:eastAsia="Times New Roman" w:hAnsi="Times New Roman" w:cs="Times New Roman"/>
        </w:rPr>
        <w:t>out …</w:t>
      </w:r>
      <w:r w:rsidRPr="00E869A4">
        <w:rPr>
          <w:rFonts w:ascii="Times New Roman" w:eastAsia="Times New Roman" w:hAnsi="Times New Roman" w:cs="Times New Roman"/>
        </w:rPr>
        <w:t xml:space="preserve"> And the way she did it</w:t>
      </w:r>
      <w:r w:rsidR="007F2A6A" w:rsidRPr="00E869A4">
        <w:rPr>
          <w:rFonts w:ascii="Times New Roman" w:eastAsia="Times New Roman" w:hAnsi="Times New Roman" w:cs="Times New Roman"/>
        </w:rPr>
        <w:t xml:space="preserve"> too yuh know</w:t>
      </w:r>
      <w:r w:rsidRPr="00E869A4">
        <w:rPr>
          <w:rFonts w:ascii="Times New Roman" w:eastAsia="Times New Roman" w:hAnsi="Times New Roman" w:cs="Times New Roman"/>
        </w:rPr>
        <w:t xml:space="preserve"> … she just snuck out, she took a few pieces of cl</w:t>
      </w:r>
      <w:r w:rsidR="007F2A6A" w:rsidRPr="00E869A4">
        <w:rPr>
          <w:rFonts w:ascii="Times New Roman" w:eastAsia="Times New Roman" w:hAnsi="Times New Roman" w:cs="Times New Roman"/>
        </w:rPr>
        <w:t>othes out and I’m just watching</w:t>
      </w:r>
      <w:r w:rsidRPr="00E869A4">
        <w:rPr>
          <w:rFonts w:ascii="Times New Roman" w:eastAsia="Times New Roman" w:hAnsi="Times New Roman" w:cs="Times New Roman"/>
        </w:rPr>
        <w:t xml:space="preserve"> … What if something happens during the night</w:t>
      </w:r>
      <w:r w:rsidR="005C44A9" w:rsidRPr="00E869A4">
        <w:rPr>
          <w:rFonts w:ascii="Times New Roman" w:eastAsia="Times New Roman" w:hAnsi="Times New Roman" w:cs="Times New Roman"/>
        </w:rPr>
        <w:t>.</w:t>
      </w:r>
    </w:p>
    <w:p w14:paraId="259A5D2D" w14:textId="592A109E" w:rsidR="00524336" w:rsidRPr="00E869A4" w:rsidRDefault="005C44A9" w:rsidP="00B94289">
      <w:pPr>
        <w:tabs>
          <w:tab w:val="left" w:pos="3000"/>
        </w:tabs>
        <w:autoSpaceDE w:val="0"/>
        <w:autoSpaceDN w:val="0"/>
        <w:adjustRightInd w:val="0"/>
        <w:spacing w:line="240" w:lineRule="auto"/>
        <w:rPr>
          <w:rFonts w:ascii="Times New Roman" w:eastAsia="Times New Roman" w:hAnsi="Times New Roman" w:cs="Times New Roman"/>
        </w:rPr>
      </w:pPr>
      <w:r w:rsidRPr="00E869A4">
        <w:rPr>
          <w:rFonts w:ascii="Times New Roman" w:eastAsia="Times New Roman" w:hAnsi="Times New Roman" w:cs="Times New Roman"/>
        </w:rPr>
        <w:tab/>
      </w:r>
    </w:p>
    <w:p w14:paraId="66A4F7B4" w14:textId="02740E10"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Interestingly, Marian was caring for Onella’s youngest daughter (6 year old Naila) whom </w:t>
      </w:r>
      <w:r w:rsidR="00524336" w:rsidRPr="00E869A4">
        <w:rPr>
          <w:rFonts w:ascii="Times New Roman" w:eastAsia="Times New Roman" w:hAnsi="Times New Roman" w:cs="Times New Roman"/>
        </w:rPr>
        <w:t>Marian</w:t>
      </w:r>
      <w:r w:rsidRPr="00E869A4">
        <w:rPr>
          <w:rFonts w:ascii="Times New Roman" w:eastAsia="Times New Roman" w:hAnsi="Times New Roman" w:cs="Times New Roman"/>
        </w:rPr>
        <w:t xml:space="preserve"> perceived was being treated harshly by Onella. Marian was concerned about leaving the child in Onella’s care when she returned to the USA</w:t>
      </w:r>
      <w:r w:rsidR="003C7F2D" w:rsidRPr="00E869A4">
        <w:rPr>
          <w:rFonts w:ascii="Times New Roman" w:eastAsia="Times New Roman" w:hAnsi="Times New Roman" w:cs="Times New Roman"/>
        </w:rPr>
        <w:t>,</w:t>
      </w:r>
      <w:r w:rsidRPr="00E869A4">
        <w:rPr>
          <w:rFonts w:ascii="Times New Roman" w:eastAsia="Times New Roman" w:hAnsi="Times New Roman" w:cs="Times New Roman"/>
        </w:rPr>
        <w:t xml:space="preserve"> since she had witnessed her physically abusing the child at one time. Marian was more of a </w:t>
      </w:r>
      <w:r w:rsidRPr="00E869A4">
        <w:rPr>
          <w:rFonts w:ascii="Times New Roman" w:eastAsia="Times New Roman" w:hAnsi="Times New Roman" w:cs="Times New Roman"/>
          <w:i/>
        </w:rPr>
        <w:t>de-facto</w:t>
      </w:r>
      <w:r w:rsidRPr="00E869A4">
        <w:rPr>
          <w:rFonts w:ascii="Times New Roman" w:eastAsia="Times New Roman" w:hAnsi="Times New Roman" w:cs="Times New Roman"/>
        </w:rPr>
        <w:t xml:space="preserve"> guardian to Naila: she even considered taking the child with her to the USA when she went back for medical care. </w:t>
      </w:r>
      <w:r w:rsidR="003C7F2D" w:rsidRPr="00E869A4">
        <w:rPr>
          <w:rFonts w:ascii="Times New Roman" w:eastAsia="Times New Roman" w:hAnsi="Times New Roman" w:cs="Times New Roman"/>
        </w:rPr>
        <w:t>However,</w:t>
      </w:r>
      <w:r w:rsidRPr="00E869A4">
        <w:rPr>
          <w:rFonts w:ascii="Times New Roman" w:eastAsia="Times New Roman" w:hAnsi="Times New Roman" w:cs="Times New Roman"/>
        </w:rPr>
        <w:t xml:space="preserve"> she was not sure if she could provide a suitable family environment for the child to thrive.  </w:t>
      </w:r>
    </w:p>
    <w:p w14:paraId="61BFAC93" w14:textId="77777777" w:rsidR="00744EFC" w:rsidRPr="00E869A4" w:rsidRDefault="00744EFC" w:rsidP="00744EFC">
      <w:pPr>
        <w:jc w:val="both"/>
        <w:rPr>
          <w:rFonts w:ascii="Times New Roman" w:eastAsia="Times New Roman" w:hAnsi="Times New Roman" w:cs="Times New Roman"/>
        </w:rPr>
      </w:pPr>
    </w:p>
    <w:p w14:paraId="114C6ABB" w14:textId="2FCBF31D"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Marian even housed Onella’s sister (Germaine) for a significantly low fee for several months whilst Germaine was studying in Trinidad at the University. </w:t>
      </w:r>
      <w:r w:rsidR="009D7C4F" w:rsidRPr="00E869A4">
        <w:rPr>
          <w:rFonts w:ascii="Times New Roman" w:eastAsia="Times New Roman" w:hAnsi="Times New Roman" w:cs="Times New Roman"/>
        </w:rPr>
        <w:t>Also, s</w:t>
      </w:r>
      <w:r w:rsidRPr="00E869A4">
        <w:rPr>
          <w:rFonts w:ascii="Times New Roman" w:eastAsia="Times New Roman" w:hAnsi="Times New Roman" w:cs="Times New Roman"/>
        </w:rPr>
        <w:t>he allowed Onella’s son to stay at the house at no extra cost when he visited for a few weeks. Yet for all her generosity, Onella did not meet Marian’s expectation for care provision to her mother. Marian was very apprehensive about leaving Ms. Violet solely in Onella’s charge. A couple years before, Marian was able to leave Ms. Violet in Onella’s care for several months while she was caring for her terminally ill sister in the USA. However, Marian no longer had faith in Onella and was afraid to leave her mother alone in her care again</w:t>
      </w:r>
      <w:r w:rsidR="00E6106E" w:rsidRPr="00E869A4">
        <w:rPr>
          <w:rFonts w:ascii="Times New Roman" w:eastAsia="Times New Roman" w:hAnsi="Times New Roman" w:cs="Times New Roman"/>
        </w:rPr>
        <w:t>:</w:t>
      </w:r>
    </w:p>
    <w:p w14:paraId="7E37B30C" w14:textId="77777777" w:rsidR="00E6106E" w:rsidRPr="00E869A4" w:rsidRDefault="00E6106E" w:rsidP="009D7C4F">
      <w:pPr>
        <w:spacing w:line="240" w:lineRule="auto"/>
        <w:jc w:val="both"/>
        <w:rPr>
          <w:rFonts w:ascii="Times New Roman" w:eastAsia="Times New Roman" w:hAnsi="Times New Roman" w:cs="Times New Roman"/>
        </w:rPr>
      </w:pPr>
    </w:p>
    <w:p w14:paraId="3BA74DEB" w14:textId="67979F17"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So long ago, I had been backward and forward but I had complete confidence in [Onella]. But she’s shaken that, I don’t have any faith in her … the things that she’s been doing I don’t trust her. And I can’t leave my mother with her otherwise I’d have been gone back already</w:t>
      </w:r>
      <w:r w:rsidR="005C44A9" w:rsidRPr="00E869A4">
        <w:rPr>
          <w:rFonts w:ascii="Times New Roman" w:eastAsia="Times New Roman" w:hAnsi="Times New Roman" w:cs="Times New Roman"/>
        </w:rPr>
        <w:t>.</w:t>
      </w:r>
    </w:p>
    <w:p w14:paraId="1C64FCE0" w14:textId="77777777" w:rsidR="00744EFC" w:rsidRPr="00E869A4" w:rsidRDefault="00744EFC" w:rsidP="00B94289">
      <w:pPr>
        <w:tabs>
          <w:tab w:val="left" w:pos="3000"/>
        </w:tabs>
        <w:autoSpaceDE w:val="0"/>
        <w:autoSpaceDN w:val="0"/>
        <w:adjustRightInd w:val="0"/>
        <w:spacing w:line="240" w:lineRule="auto"/>
        <w:rPr>
          <w:rFonts w:ascii="Times New Roman" w:eastAsia="Times New Roman" w:hAnsi="Times New Roman" w:cs="Times New Roman"/>
        </w:rPr>
      </w:pPr>
    </w:p>
    <w:p w14:paraId="6945E24F" w14:textId="50EE3E7A" w:rsidR="00744EFC" w:rsidRPr="00E869A4" w:rsidRDefault="00744EFC" w:rsidP="003C7F2D">
      <w:pPr>
        <w:ind w:firstLine="0"/>
        <w:jc w:val="both"/>
        <w:rPr>
          <w:rFonts w:ascii="Times New Roman" w:eastAsia="Times New Roman" w:hAnsi="Times New Roman" w:cs="Times New Roman"/>
        </w:rPr>
      </w:pPr>
      <w:r w:rsidRPr="00E869A4">
        <w:rPr>
          <w:rFonts w:ascii="Times New Roman" w:eastAsia="Times New Roman" w:hAnsi="Times New Roman" w:cs="Times New Roman"/>
        </w:rPr>
        <w:t xml:space="preserve">Thus, as in the section on </w:t>
      </w:r>
      <w:r w:rsidR="009D7C4F" w:rsidRPr="00E869A4">
        <w:rPr>
          <w:rFonts w:ascii="Times New Roman" w:eastAsia="Times New Roman" w:hAnsi="Times New Roman" w:cs="Times New Roman"/>
        </w:rPr>
        <w:t>experiences</w:t>
      </w:r>
      <w:r w:rsidRPr="00E869A4">
        <w:rPr>
          <w:rFonts w:ascii="Times New Roman" w:eastAsia="Times New Roman" w:hAnsi="Times New Roman" w:cs="Times New Roman"/>
        </w:rPr>
        <w:t xml:space="preserve"> of care, and in the earlier discussion in this chapter about Uncle Wilton’s reserved care acceptance, trust was an important aspect of the care management strategy employed by participants. </w:t>
      </w:r>
    </w:p>
    <w:p w14:paraId="3907CEBC" w14:textId="77777777" w:rsidR="00744EFC" w:rsidRPr="00E869A4" w:rsidRDefault="00744EFC" w:rsidP="00744EFC">
      <w:pPr>
        <w:jc w:val="both"/>
        <w:rPr>
          <w:rFonts w:ascii="Times New Roman" w:eastAsia="Times New Roman" w:hAnsi="Times New Roman" w:cs="Times New Roman"/>
        </w:rPr>
      </w:pPr>
    </w:p>
    <w:p w14:paraId="7B92DA8F" w14:textId="12F53A18" w:rsidR="00744EFC" w:rsidRPr="00E869A4" w:rsidRDefault="00744EFC" w:rsidP="00DE0E82">
      <w:pPr>
        <w:jc w:val="both"/>
        <w:rPr>
          <w:rFonts w:ascii="Times New Roman" w:eastAsia="Times New Roman" w:hAnsi="Times New Roman" w:cs="Times New Roman"/>
        </w:rPr>
      </w:pPr>
      <w:r w:rsidRPr="00E869A4">
        <w:rPr>
          <w:rFonts w:ascii="Times New Roman" w:eastAsia="Times New Roman" w:hAnsi="Times New Roman" w:cs="Times New Roman"/>
        </w:rPr>
        <w:t xml:space="preserve">Were it not for Marian’s care and concern for Naila, she would have terminated Onella’s services without much discomfort. Another consideration for Marian was that her mother (Ms. Violet) had grown </w:t>
      </w:r>
      <w:r w:rsidRPr="00E869A4">
        <w:rPr>
          <w:rFonts w:ascii="Times New Roman" w:eastAsia="Times New Roman" w:hAnsi="Times New Roman" w:cs="Times New Roman"/>
        </w:rPr>
        <w:lastRenderedPageBreak/>
        <w:t>very close to Naila</w:t>
      </w:r>
      <w:r w:rsidR="00E6106E" w:rsidRPr="00E869A4">
        <w:rPr>
          <w:rFonts w:ascii="Times New Roman" w:eastAsia="Times New Roman" w:hAnsi="Times New Roman" w:cs="Times New Roman"/>
        </w:rPr>
        <w:t xml:space="preserve"> (Onella’s daughter)</w:t>
      </w:r>
      <w:r w:rsidRPr="00E869A4">
        <w:rPr>
          <w:rFonts w:ascii="Times New Roman" w:eastAsia="Times New Roman" w:hAnsi="Times New Roman" w:cs="Times New Roman"/>
        </w:rPr>
        <w:t xml:space="preserve">, especially after Marian’s sister died some years ago. Marian was therefore mindful of not creating further discomfort for her mother by severing the relationship between her and Onella. This tangled web of relationships between the </w:t>
      </w:r>
      <w:r w:rsidR="003957F8" w:rsidRPr="00E869A4">
        <w:rPr>
          <w:rFonts w:ascii="Times New Roman" w:eastAsia="Times New Roman" w:hAnsi="Times New Roman" w:cs="Times New Roman"/>
        </w:rPr>
        <w:t>care worker</w:t>
      </w:r>
      <w:r w:rsidRPr="00E869A4">
        <w:rPr>
          <w:rFonts w:ascii="Times New Roman" w:eastAsia="Times New Roman" w:hAnsi="Times New Roman" w:cs="Times New Roman"/>
        </w:rPr>
        <w:t xml:space="preserve"> (Onella), Onella’s family and Marian’s family, made it very difficult for Marian to disentangle herself so that she could have a less conflicted relationship with her paid </w:t>
      </w:r>
      <w:r w:rsidR="003957F8" w:rsidRPr="00E869A4">
        <w:rPr>
          <w:rFonts w:ascii="Times New Roman" w:eastAsia="Times New Roman" w:hAnsi="Times New Roman" w:cs="Times New Roman"/>
        </w:rPr>
        <w:t>care worker</w:t>
      </w:r>
      <w:r w:rsidRPr="00E869A4">
        <w:rPr>
          <w:rFonts w:ascii="Times New Roman" w:eastAsia="Times New Roman" w:hAnsi="Times New Roman" w:cs="Times New Roman"/>
        </w:rPr>
        <w:t xml:space="preserve">. It </w:t>
      </w:r>
      <w:r w:rsidR="00433202" w:rsidRPr="00E869A4">
        <w:rPr>
          <w:rFonts w:ascii="Times New Roman" w:eastAsia="Times New Roman" w:hAnsi="Times New Roman" w:cs="Times New Roman"/>
        </w:rPr>
        <w:t xml:space="preserve">also </w:t>
      </w:r>
      <w:r w:rsidRPr="00E869A4">
        <w:rPr>
          <w:rFonts w:ascii="Times New Roman" w:eastAsia="Times New Roman" w:hAnsi="Times New Roman" w:cs="Times New Roman"/>
        </w:rPr>
        <w:t xml:space="preserve">delayed Marian from leaving Trinidad to obtain critical medical treatment that she urgently needed. </w:t>
      </w:r>
    </w:p>
    <w:p w14:paraId="4BD79F1A" w14:textId="77777777" w:rsidR="00744EFC" w:rsidRPr="00E869A4" w:rsidRDefault="00744EFC" w:rsidP="00744EFC">
      <w:pPr>
        <w:jc w:val="both"/>
        <w:rPr>
          <w:rFonts w:ascii="Times New Roman" w:eastAsia="Times New Roman" w:hAnsi="Times New Roman" w:cs="Times New Roman"/>
        </w:rPr>
      </w:pPr>
    </w:p>
    <w:p w14:paraId="1B881CCD" w14:textId="15A5C3E2" w:rsidR="00744EFC" w:rsidRPr="00E869A4" w:rsidRDefault="00744EFC" w:rsidP="00824EAF">
      <w:pPr>
        <w:jc w:val="both"/>
        <w:rPr>
          <w:rFonts w:ascii="Times New Roman" w:eastAsia="Times New Roman" w:hAnsi="Times New Roman" w:cs="Times New Roman"/>
        </w:rPr>
      </w:pPr>
      <w:r w:rsidRPr="00E869A4">
        <w:rPr>
          <w:rFonts w:ascii="Times New Roman" w:eastAsia="Times New Roman" w:hAnsi="Times New Roman" w:cs="Times New Roman"/>
        </w:rPr>
        <w:t xml:space="preserve">Interpersonal conflict was clearly experienced by Marian </w:t>
      </w:r>
      <w:r w:rsidRPr="00E869A4">
        <w:rPr>
          <w:rFonts w:ascii="Times New Roman" w:eastAsia="Times New Roman" w:hAnsi="Times New Roman" w:cs="Times New Roman"/>
          <w:i/>
        </w:rPr>
        <w:t>vis à vis</w:t>
      </w:r>
      <w:r w:rsidRPr="00E869A4">
        <w:rPr>
          <w:rFonts w:ascii="Times New Roman" w:eastAsia="Times New Roman" w:hAnsi="Times New Roman" w:cs="Times New Roman"/>
        </w:rPr>
        <w:t xml:space="preserve"> her role as </w:t>
      </w:r>
      <w:r w:rsidR="00A8613C" w:rsidRPr="00E869A4">
        <w:rPr>
          <w:rFonts w:ascii="Times New Roman" w:eastAsia="Times New Roman" w:hAnsi="Times New Roman" w:cs="Times New Roman"/>
        </w:rPr>
        <w:t xml:space="preserve">primary </w:t>
      </w:r>
      <w:r w:rsidRPr="00E869A4">
        <w:rPr>
          <w:rFonts w:ascii="Times New Roman" w:eastAsia="Times New Roman" w:hAnsi="Times New Roman" w:cs="Times New Roman"/>
        </w:rPr>
        <w:t xml:space="preserve">caregiver to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 and the complex relationship she and Ms. Violet had with Onella, Naila and the other members of Onella’s family. </w:t>
      </w:r>
      <w:r w:rsidR="00A8613C" w:rsidRPr="00E869A4">
        <w:rPr>
          <w:rFonts w:ascii="Times New Roman" w:eastAsia="Times New Roman" w:hAnsi="Times New Roman" w:cs="Times New Roman"/>
        </w:rPr>
        <w:t>Marian</w:t>
      </w:r>
      <w:r w:rsidRPr="00E869A4">
        <w:rPr>
          <w:rFonts w:ascii="Times New Roman" w:eastAsia="Times New Roman" w:hAnsi="Times New Roman" w:cs="Times New Roman"/>
        </w:rPr>
        <w:t xml:space="preserve"> used religious coping and a deferred care strategy to help her overcome this conflicting situation, as well as an emergent care approach.</w:t>
      </w:r>
      <w:r w:rsidR="00CC6688" w:rsidRPr="00E869A4">
        <w:rPr>
          <w:rFonts w:ascii="Times New Roman" w:eastAsia="Times New Roman" w:hAnsi="Times New Roman" w:cs="Times New Roman"/>
        </w:rPr>
        <w:t xml:space="preserve"> </w:t>
      </w:r>
      <w:r w:rsidR="00824EAF" w:rsidRPr="00E869A4">
        <w:rPr>
          <w:rFonts w:ascii="Times New Roman" w:eastAsia="Times New Roman" w:hAnsi="Times New Roman" w:cs="Times New Roman"/>
        </w:rPr>
        <w:t xml:space="preserve">Sheila also talked </w:t>
      </w:r>
      <w:r w:rsidRPr="00E869A4">
        <w:rPr>
          <w:rFonts w:ascii="Times New Roman" w:eastAsia="Times New Roman" w:hAnsi="Times New Roman" w:cs="Times New Roman"/>
        </w:rPr>
        <w:t xml:space="preserve">about the complexities involved in the care relationship between older persons and paid care workers. </w:t>
      </w:r>
      <w:r w:rsidR="00824EAF" w:rsidRPr="00E869A4">
        <w:rPr>
          <w:rFonts w:ascii="Times New Roman" w:eastAsia="Times New Roman" w:hAnsi="Times New Roman" w:cs="Times New Roman"/>
        </w:rPr>
        <w:t xml:space="preserve">As noted previously, </w:t>
      </w:r>
      <w:r w:rsidRPr="00E869A4">
        <w:rPr>
          <w:rFonts w:ascii="Times New Roman" w:eastAsia="Times New Roman" w:hAnsi="Times New Roman" w:cs="Times New Roman"/>
        </w:rPr>
        <w:t xml:space="preserve">Mother Freeda </w:t>
      </w:r>
      <w:r w:rsidR="00824EAF" w:rsidRPr="00E869A4">
        <w:rPr>
          <w:rFonts w:ascii="Times New Roman" w:eastAsia="Times New Roman" w:hAnsi="Times New Roman" w:cs="Times New Roman"/>
        </w:rPr>
        <w:t>ended up taking care of the</w:t>
      </w:r>
      <w:r w:rsidRPr="00E869A4">
        <w:rPr>
          <w:rFonts w:ascii="Times New Roman" w:eastAsia="Times New Roman" w:hAnsi="Times New Roman" w:cs="Times New Roman"/>
        </w:rPr>
        <w:t xml:space="preserve"> member of her church who they hired to ‘keep her company’ during the night time before her son </w:t>
      </w:r>
      <w:r w:rsidR="00824EAF" w:rsidRPr="00E869A4">
        <w:rPr>
          <w:rFonts w:ascii="Times New Roman" w:eastAsia="Times New Roman" w:hAnsi="Times New Roman" w:cs="Times New Roman"/>
        </w:rPr>
        <w:t>Brandon agreed to live with her.</w:t>
      </w:r>
    </w:p>
    <w:p w14:paraId="124D86AC" w14:textId="77777777" w:rsidR="00824EAF" w:rsidRPr="00E869A4" w:rsidRDefault="00824EAF" w:rsidP="00824EAF">
      <w:pPr>
        <w:jc w:val="both"/>
        <w:rPr>
          <w:rFonts w:ascii="Times New Roman" w:eastAsia="Times New Roman" w:hAnsi="Times New Roman" w:cs="Times New Roman"/>
        </w:rPr>
      </w:pPr>
    </w:p>
    <w:p w14:paraId="4FC5A4D6" w14:textId="7777777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In the Trinidad Caregivers focus group, Ravindra shared his experiences with hiring paid care workers for his mother that illustrated how the tenuous nature of paid informal care arrangements made it very challenging to get committed, skilled and trustworthy persons to provide care at an affordable price. He described his family’s experience in relation to this as follows: </w:t>
      </w:r>
    </w:p>
    <w:p w14:paraId="2C47A06A" w14:textId="77777777" w:rsidR="005C44A9" w:rsidRPr="00E869A4" w:rsidRDefault="005C44A9" w:rsidP="00744EFC">
      <w:pPr>
        <w:jc w:val="both"/>
        <w:rPr>
          <w:rFonts w:ascii="Times New Roman" w:eastAsia="Times New Roman" w:hAnsi="Times New Roman" w:cs="Times New Roman"/>
        </w:rPr>
      </w:pPr>
    </w:p>
    <w:p w14:paraId="4C10B9D2" w14:textId="3DB0A08A" w:rsidR="00744EFC" w:rsidRPr="00E869A4" w:rsidRDefault="00744EFC" w:rsidP="007F2A6A">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It costs roughly $40,000 (TT</w:t>
      </w:r>
      <w:r w:rsidR="00950AF9" w:rsidRPr="00E869A4">
        <w:rPr>
          <w:rFonts w:ascii="Times New Roman" w:eastAsia="Times New Roman" w:hAnsi="Times New Roman" w:cs="Times New Roman"/>
        </w:rPr>
        <w:t>D</w:t>
      </w:r>
      <w:r w:rsidRPr="00E869A4">
        <w:rPr>
          <w:rFonts w:ascii="Times New Roman" w:eastAsia="Times New Roman" w:hAnsi="Times New Roman" w:cs="Times New Roman"/>
        </w:rPr>
        <w:t xml:space="preserve">) a month to have full time care for mum. Every one of her children gives. In </w:t>
      </w:r>
      <w:r w:rsidR="00FE04E3" w:rsidRPr="00E869A4">
        <w:rPr>
          <w:rFonts w:ascii="Times New Roman" w:eastAsia="Times New Roman" w:hAnsi="Times New Roman" w:cs="Times New Roman"/>
        </w:rPr>
        <w:t>fact,</w:t>
      </w:r>
      <w:r w:rsidRPr="00E869A4">
        <w:rPr>
          <w:rFonts w:ascii="Times New Roman" w:eastAsia="Times New Roman" w:hAnsi="Times New Roman" w:cs="Times New Roman"/>
        </w:rPr>
        <w:t xml:space="preserve"> we just had to up it a bit because the carers are complaining this money eh enough. They have to be washing clothes and cleaning mum</w:t>
      </w:r>
      <w:r w:rsidR="005C44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when my mum lost her leg in a simple operation</w:t>
      </w:r>
      <w:r w:rsidR="005C44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it hasn’t been easy. We have gone through about 45 caregivers in our home (between 2012 and 2014). Mom took quite a while getting use to all these people around her and losing her independence</w:t>
      </w:r>
      <w:r w:rsidR="005C44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Many times when she could talk properly she would tell you where to get off and let you have it. In fact, a few of these caregivers left in frustration.  Thankfully now … mum has tapered down quite a bit</w:t>
      </w:r>
      <w:r w:rsidR="005C44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I would say that she is almost like the person</w:t>
      </w:r>
      <w:r w:rsidR="00E6106E" w:rsidRPr="00E869A4">
        <w:rPr>
          <w:rFonts w:ascii="Times New Roman" w:eastAsia="Times New Roman" w:hAnsi="Times New Roman" w:cs="Times New Roman"/>
        </w:rPr>
        <w:t xml:space="preserve"> I knew when I was growing up</w:t>
      </w:r>
      <w:r w:rsidR="005C44A9" w:rsidRPr="00E869A4">
        <w:rPr>
          <w:rFonts w:ascii="Times New Roman" w:eastAsia="Times New Roman" w:hAnsi="Times New Roman" w:cs="Times New Roman"/>
        </w:rPr>
        <w:t xml:space="preserve"> </w:t>
      </w:r>
      <w:r w:rsidR="00CC6688" w:rsidRPr="00E869A4">
        <w:rPr>
          <w:rFonts w:ascii="Times New Roman" w:eastAsia="Times New Roman" w:hAnsi="Times New Roman" w:cs="Times New Roman"/>
        </w:rPr>
        <w:t xml:space="preserve">… </w:t>
      </w:r>
      <w:r w:rsidRPr="00E869A4">
        <w:rPr>
          <w:rFonts w:ascii="Times New Roman" w:eastAsia="Times New Roman" w:hAnsi="Times New Roman" w:cs="Times New Roman"/>
        </w:rPr>
        <w:t>Some caregivers tend to bring a whole load of baggage with them</w:t>
      </w:r>
      <w:r w:rsidR="005C44A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Recently, when we were having one of our family conferences we were saying that you want quality care but you are paying minimum wages. You cannot afford to pay big money for people who taking care of your loved ones, so you going to have a mix of a person who just trying to make it, because [the] salary small … you might get somebody who come into this for the love of it, for the love of human being. Remember there is no emotional tie between you as a caregiver and somebody else mother or somebody else father. And then they come with little or no recommendation so you eh </w:t>
      </w:r>
      <w:r w:rsidR="00A70839" w:rsidRPr="00E869A4">
        <w:rPr>
          <w:rFonts w:ascii="Times New Roman" w:eastAsia="Times New Roman" w:hAnsi="Times New Roman" w:cs="Times New Roman"/>
        </w:rPr>
        <w:t xml:space="preserve">know nothing about this person </w:t>
      </w:r>
      <w:r w:rsidRPr="00E869A4">
        <w:rPr>
          <w:rFonts w:ascii="Times New Roman" w:eastAsia="Times New Roman" w:hAnsi="Times New Roman" w:cs="Times New Roman"/>
        </w:rPr>
        <w:t xml:space="preserve">…We had a terribly incident recently, whereby one of the [care workers] </w:t>
      </w:r>
      <w:r w:rsidRPr="00E869A4">
        <w:rPr>
          <w:rFonts w:ascii="Times New Roman" w:eastAsia="Times New Roman" w:hAnsi="Times New Roman" w:cs="Times New Roman"/>
        </w:rPr>
        <w:lastRenderedPageBreak/>
        <w:t>apparently [w]ent upstairs where my sister lives and took almost $6000 (TT</w:t>
      </w:r>
      <w:r w:rsidR="00950AF9" w:rsidRPr="00E869A4">
        <w:rPr>
          <w:rFonts w:ascii="Times New Roman" w:eastAsia="Times New Roman" w:hAnsi="Times New Roman" w:cs="Times New Roman"/>
        </w:rPr>
        <w:t>D</w:t>
      </w:r>
      <w:r w:rsidRPr="00E869A4">
        <w:rPr>
          <w:rFonts w:ascii="Times New Roman" w:eastAsia="Times New Roman" w:hAnsi="Times New Roman" w:cs="Times New Roman"/>
        </w:rPr>
        <w:t xml:space="preserve">) [i.e. </w:t>
      </w:r>
      <w:r w:rsidR="008E4DF9" w:rsidRPr="00E869A4">
        <w:rPr>
          <w:rStyle w:val="CommentReference"/>
          <w:rFonts w:ascii="Times New Roman" w:hAnsi="Times New Roman" w:cs="Times New Roman"/>
          <w:sz w:val="24"/>
        </w:rPr>
        <w:t>£</w:t>
      </w:r>
      <w:r w:rsidRPr="00E869A4">
        <w:rPr>
          <w:rFonts w:ascii="Times New Roman" w:eastAsia="Times New Roman" w:hAnsi="Times New Roman" w:cs="Times New Roman"/>
        </w:rPr>
        <w:t>600] that we keeping to pay all [of them]. Of course none of them will admit [who it was], but my sister search that house from top to bottom and eh find a cent of it. And the thing is, these days you kn</w:t>
      </w:r>
      <w:r w:rsidR="005C44A9" w:rsidRPr="00E869A4">
        <w:rPr>
          <w:rFonts w:ascii="Times New Roman" w:eastAsia="Times New Roman" w:hAnsi="Times New Roman" w:cs="Times New Roman"/>
        </w:rPr>
        <w:t xml:space="preserve">ow how Trinidad is </w:t>
      </w:r>
      <w:r w:rsidR="00A70839" w:rsidRPr="00E869A4">
        <w:rPr>
          <w:rFonts w:ascii="Times New Roman" w:eastAsia="Times New Roman" w:hAnsi="Times New Roman" w:cs="Times New Roman"/>
        </w:rPr>
        <w:t>[with the crime]</w:t>
      </w:r>
      <w:r w:rsidR="005C44A9" w:rsidRPr="00E869A4">
        <w:rPr>
          <w:rFonts w:ascii="Times New Roman" w:eastAsia="Times New Roman" w:hAnsi="Times New Roman" w:cs="Times New Roman"/>
        </w:rPr>
        <w:t>.</w:t>
      </w:r>
    </w:p>
    <w:p w14:paraId="38B5875B" w14:textId="77777777" w:rsidR="00744EFC" w:rsidRPr="00E869A4" w:rsidRDefault="00744EFC" w:rsidP="00B109D2">
      <w:pPr>
        <w:tabs>
          <w:tab w:val="left" w:pos="3000"/>
        </w:tabs>
        <w:autoSpaceDE w:val="0"/>
        <w:autoSpaceDN w:val="0"/>
        <w:adjustRightInd w:val="0"/>
        <w:spacing w:line="240" w:lineRule="auto"/>
        <w:rPr>
          <w:rFonts w:ascii="Times New Roman" w:eastAsia="Times New Roman" w:hAnsi="Times New Roman" w:cs="Times New Roman"/>
        </w:rPr>
      </w:pPr>
    </w:p>
    <w:p w14:paraId="7C86E60A" w14:textId="77777777" w:rsidR="004F1D4E" w:rsidRDefault="00744EFC" w:rsidP="00A70839">
      <w:pPr>
        <w:ind w:firstLine="0"/>
        <w:jc w:val="both"/>
        <w:rPr>
          <w:rFonts w:ascii="Times New Roman" w:eastAsia="Times New Roman" w:hAnsi="Times New Roman" w:cs="Times New Roman"/>
        </w:rPr>
      </w:pPr>
      <w:r w:rsidRPr="00E869A4">
        <w:rPr>
          <w:rFonts w:ascii="Times New Roman" w:eastAsia="Times New Roman" w:hAnsi="Times New Roman" w:cs="Times New Roman"/>
        </w:rPr>
        <w:t xml:space="preserve">This case gives some initial insight into the impact of the subculture of criminal activities on the quality of care in </w:t>
      </w:r>
      <w:r w:rsidR="008C76CE" w:rsidRPr="00E869A4">
        <w:rPr>
          <w:rFonts w:ascii="Times New Roman" w:eastAsiaTheme="majorEastAsia" w:hAnsi="Times New Roman" w:cs="Times New Roman"/>
          <w:bCs/>
          <w:szCs w:val="26"/>
        </w:rPr>
        <w:t>T&amp;T</w:t>
      </w:r>
      <w:r w:rsidRPr="00E869A4">
        <w:rPr>
          <w:rFonts w:ascii="Times New Roman" w:eastAsia="Times New Roman" w:hAnsi="Times New Roman" w:cs="Times New Roman"/>
        </w:rPr>
        <w:t xml:space="preserve">. </w:t>
      </w:r>
    </w:p>
    <w:p w14:paraId="0A68E5EE" w14:textId="77777777" w:rsidR="004F1D4E" w:rsidRDefault="004F1D4E" w:rsidP="00A70839">
      <w:pPr>
        <w:ind w:firstLine="0"/>
        <w:jc w:val="both"/>
        <w:rPr>
          <w:rFonts w:ascii="Times New Roman" w:eastAsia="Times New Roman" w:hAnsi="Times New Roman" w:cs="Times New Roman"/>
        </w:rPr>
      </w:pPr>
    </w:p>
    <w:p w14:paraId="396297DB" w14:textId="5E33F5C8" w:rsidR="00744EFC" w:rsidRPr="00E869A4" w:rsidRDefault="00744EFC" w:rsidP="004F1D4E">
      <w:pPr>
        <w:jc w:val="both"/>
        <w:rPr>
          <w:rFonts w:ascii="Times New Roman" w:eastAsia="Times New Roman" w:hAnsi="Times New Roman" w:cs="Times New Roman"/>
        </w:rPr>
      </w:pPr>
      <w:r w:rsidRPr="00E869A4">
        <w:rPr>
          <w:rFonts w:ascii="Times New Roman" w:eastAsia="Times New Roman" w:hAnsi="Times New Roman" w:cs="Times New Roman"/>
        </w:rPr>
        <w:t>Prof</w:t>
      </w:r>
      <w:r w:rsidR="00FE04E3" w:rsidRPr="00E869A4">
        <w:rPr>
          <w:rFonts w:ascii="Times New Roman" w:eastAsia="Times New Roman" w:hAnsi="Times New Roman" w:cs="Times New Roman"/>
        </w:rPr>
        <w:t>essor (Prof)</w:t>
      </w:r>
      <w:r w:rsidRPr="00E869A4">
        <w:rPr>
          <w:rFonts w:ascii="Times New Roman" w:eastAsia="Times New Roman" w:hAnsi="Times New Roman" w:cs="Times New Roman"/>
        </w:rPr>
        <w:t xml:space="preserve"> Brenda’s </w:t>
      </w:r>
      <w:r w:rsidR="00FE04E3" w:rsidRPr="00E869A4">
        <w:rPr>
          <w:rFonts w:ascii="Times New Roman" w:eastAsia="Times New Roman" w:hAnsi="Times New Roman" w:cs="Times New Roman"/>
        </w:rPr>
        <w:t>stepmother</w:t>
      </w:r>
      <w:r w:rsidRPr="00E869A4">
        <w:rPr>
          <w:rFonts w:ascii="Times New Roman" w:eastAsia="Times New Roman" w:hAnsi="Times New Roman" w:cs="Times New Roman"/>
        </w:rPr>
        <w:t xml:space="preserve"> (Ms. Rose) had a care situation that was very similar to the complex informal care arrangements that Ms. Violet, Ms. Kumar</w:t>
      </w:r>
      <w:r w:rsidR="00A7083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Mr. Druman </w:t>
      </w:r>
      <w:r w:rsidR="00A70839" w:rsidRPr="00E869A4">
        <w:rPr>
          <w:rFonts w:ascii="Times New Roman" w:eastAsia="Times New Roman" w:hAnsi="Times New Roman" w:cs="Times New Roman"/>
        </w:rPr>
        <w:t xml:space="preserve">and Ravindra’s mother </w:t>
      </w:r>
      <w:r w:rsidRPr="00E869A4">
        <w:rPr>
          <w:rFonts w:ascii="Times New Roman" w:eastAsia="Times New Roman" w:hAnsi="Times New Roman" w:cs="Times New Roman"/>
        </w:rPr>
        <w:t>had</w:t>
      </w:r>
      <w:r w:rsidR="00E6106E" w:rsidRPr="00E869A4">
        <w:rPr>
          <w:rFonts w:ascii="Times New Roman" w:eastAsia="Times New Roman" w:hAnsi="Times New Roman" w:cs="Times New Roman"/>
        </w:rPr>
        <w:t>:</w:t>
      </w:r>
    </w:p>
    <w:p w14:paraId="16686DC0" w14:textId="77777777" w:rsidR="00744EFC" w:rsidRPr="00E869A4" w:rsidRDefault="00744EFC" w:rsidP="00B109D2">
      <w:pPr>
        <w:tabs>
          <w:tab w:val="left" w:pos="3000"/>
        </w:tabs>
        <w:autoSpaceDE w:val="0"/>
        <w:autoSpaceDN w:val="0"/>
        <w:adjustRightInd w:val="0"/>
        <w:spacing w:line="240" w:lineRule="auto"/>
        <w:rPr>
          <w:rFonts w:ascii="Times New Roman" w:eastAsia="Times New Roman" w:hAnsi="Times New Roman" w:cs="Times New Roman"/>
        </w:rPr>
      </w:pPr>
    </w:p>
    <w:p w14:paraId="3F471346" w14:textId="02214801" w:rsidR="00744EFC" w:rsidRPr="00E869A4" w:rsidRDefault="00744EFC" w:rsidP="0065770F">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She’s being taken care of by a nephew with two trained home [helpers]. One take care of her in the daytime and one on weekends; and in the evening my nephew and his wife take care of her</w:t>
      </w:r>
      <w:r w:rsidR="0065770F" w:rsidRPr="00E869A4">
        <w:rPr>
          <w:rFonts w:ascii="Times New Roman" w:eastAsia="Times New Roman" w:hAnsi="Times New Roman" w:cs="Times New Roman"/>
        </w:rPr>
        <w:t xml:space="preserve"> </w:t>
      </w:r>
      <w:r w:rsidRPr="00E869A4">
        <w:rPr>
          <w:rFonts w:ascii="Times New Roman" w:eastAsia="Times New Roman" w:hAnsi="Times New Roman" w:cs="Times New Roman"/>
        </w:rPr>
        <w:t>… she could walk, but she needs support</w:t>
      </w:r>
      <w:r w:rsidR="0065770F" w:rsidRPr="00E869A4">
        <w:rPr>
          <w:rFonts w:ascii="Times New Roman" w:eastAsia="Times New Roman" w:hAnsi="Times New Roman" w:cs="Times New Roman"/>
        </w:rPr>
        <w:t xml:space="preserve"> </w:t>
      </w:r>
      <w:r w:rsidRPr="00E869A4">
        <w:rPr>
          <w:rFonts w:ascii="Times New Roman" w:eastAsia="Times New Roman" w:hAnsi="Times New Roman" w:cs="Times New Roman"/>
        </w:rPr>
        <w:t>… because she’s weak. Her history is she has high blood pressure, and that causes some kidney dysfunction … but other than that she’s home on meds.  She can eat for herself, nobody has to feed her … It’s just supervision to make sure she doesn’t fall down</w:t>
      </w:r>
      <w:r w:rsidR="0065770F" w:rsidRPr="00E869A4">
        <w:rPr>
          <w:rFonts w:ascii="Times New Roman" w:eastAsia="Times New Roman" w:hAnsi="Times New Roman" w:cs="Times New Roman"/>
        </w:rPr>
        <w:t xml:space="preserve"> </w:t>
      </w:r>
      <w:r w:rsidR="009867A8" w:rsidRPr="00E869A4">
        <w:rPr>
          <w:rFonts w:ascii="Times New Roman" w:eastAsia="Times New Roman" w:hAnsi="Times New Roman" w:cs="Times New Roman"/>
        </w:rPr>
        <w:t xml:space="preserve"> </w:t>
      </w:r>
      <w:r w:rsidR="008271C6" w:rsidRPr="00E869A4">
        <w:rPr>
          <w:rFonts w:ascii="Times New Roman" w:eastAsia="Times New Roman" w:hAnsi="Times New Roman" w:cs="Times New Roman"/>
        </w:rPr>
        <w:t>..</w:t>
      </w:r>
      <w:r w:rsidRPr="00E869A4">
        <w:rPr>
          <w:rFonts w:ascii="Times New Roman" w:eastAsia="Times New Roman" w:hAnsi="Times New Roman" w:cs="Times New Roman"/>
        </w:rPr>
        <w:t>.  There’s a lady that came in every morning I think from 7am and she [leaves] at 5pm. And t</w:t>
      </w:r>
      <w:r w:rsidR="008271C6" w:rsidRPr="00E869A4">
        <w:rPr>
          <w:rFonts w:ascii="Times New Roman" w:eastAsia="Times New Roman" w:hAnsi="Times New Roman" w:cs="Times New Roman"/>
        </w:rPr>
        <w:t>hen my nephew [takes] over then</w:t>
      </w:r>
      <w:r w:rsidRPr="00E869A4">
        <w:rPr>
          <w:rFonts w:ascii="Times New Roman" w:eastAsia="Times New Roman" w:hAnsi="Times New Roman" w:cs="Times New Roman"/>
        </w:rPr>
        <w:t xml:space="preserve"> …</w:t>
      </w:r>
      <w:r w:rsidR="0065770F"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On weekends, there’s a lady, a next door </w:t>
      </w:r>
      <w:r w:rsidR="00FE04E3" w:rsidRPr="00E869A4">
        <w:rPr>
          <w:rFonts w:ascii="Times New Roman" w:eastAsia="Times New Roman" w:hAnsi="Times New Roman" w:cs="Times New Roman"/>
        </w:rPr>
        <w:t>friend …</w:t>
      </w:r>
      <w:r w:rsidRPr="00E869A4">
        <w:rPr>
          <w:rFonts w:ascii="Times New Roman" w:eastAsia="Times New Roman" w:hAnsi="Times New Roman" w:cs="Times New Roman"/>
        </w:rPr>
        <w:t xml:space="preserve"> that would [t]ake care of her. And if that friend had to go anywhere, then the lady who took care of her during the week would spend the weekend with her and was paid</w:t>
      </w:r>
      <w:r w:rsidR="0065770F" w:rsidRPr="00E869A4">
        <w:rPr>
          <w:rFonts w:ascii="Times New Roman" w:eastAsia="Times New Roman" w:hAnsi="Times New Roman" w:cs="Times New Roman"/>
        </w:rPr>
        <w:t>.</w:t>
      </w:r>
    </w:p>
    <w:p w14:paraId="24BB4AEF" w14:textId="77777777" w:rsidR="00744EFC" w:rsidRPr="00E869A4" w:rsidRDefault="00744EFC" w:rsidP="00B109D2">
      <w:pPr>
        <w:tabs>
          <w:tab w:val="left" w:pos="3000"/>
        </w:tabs>
        <w:autoSpaceDE w:val="0"/>
        <w:autoSpaceDN w:val="0"/>
        <w:adjustRightInd w:val="0"/>
        <w:spacing w:line="240" w:lineRule="auto"/>
        <w:rPr>
          <w:rFonts w:ascii="Times New Roman" w:eastAsia="Times New Roman" w:hAnsi="Times New Roman" w:cs="Times New Roman"/>
        </w:rPr>
      </w:pPr>
    </w:p>
    <w:p w14:paraId="403678E2" w14:textId="4E20EA0B" w:rsidR="00744EFC" w:rsidRPr="00E869A4" w:rsidRDefault="00FE04E3" w:rsidP="00744EFC">
      <w:pPr>
        <w:jc w:val="both"/>
        <w:rPr>
          <w:rFonts w:ascii="Times New Roman" w:eastAsia="Times New Roman" w:hAnsi="Times New Roman" w:cs="Times New Roman"/>
        </w:rPr>
      </w:pPr>
      <w:r w:rsidRPr="00E869A4">
        <w:rPr>
          <w:rFonts w:ascii="Times New Roman" w:eastAsia="Times New Roman" w:hAnsi="Times New Roman" w:cs="Times New Roman"/>
        </w:rPr>
        <w:t>C</w:t>
      </w:r>
      <w:r w:rsidR="00744EFC" w:rsidRPr="00E869A4">
        <w:rPr>
          <w:rFonts w:ascii="Times New Roman" w:eastAsia="Times New Roman" w:hAnsi="Times New Roman" w:cs="Times New Roman"/>
        </w:rPr>
        <w:t>reativity and resourcefulness are the coping methods associated with emergent care management strategies. It is also important to note that the unintended effects of the emergent care strategies required that caregivers and older persons employ other strategies such as deferred or enduring care to address the new problems that might emerge.</w:t>
      </w:r>
    </w:p>
    <w:p w14:paraId="4B47CB99" w14:textId="77777777" w:rsidR="00A70839" w:rsidRPr="00E869A4" w:rsidRDefault="00A70839" w:rsidP="00744EFC">
      <w:pPr>
        <w:jc w:val="both"/>
        <w:rPr>
          <w:rFonts w:ascii="Times New Roman" w:eastAsia="Times New Roman" w:hAnsi="Times New Roman" w:cs="Times New Roman"/>
        </w:rPr>
      </w:pPr>
    </w:p>
    <w:p w14:paraId="368E1564" w14:textId="51D4025D" w:rsidR="00744EFC" w:rsidRPr="00E869A4" w:rsidRDefault="00744EFC" w:rsidP="0031040A">
      <w:pPr>
        <w:pStyle w:val="Heading5"/>
        <w:rPr>
          <w:rFonts w:eastAsia="Times New Roman"/>
          <w:color w:val="auto"/>
        </w:rPr>
      </w:pPr>
      <w:r w:rsidRPr="00E869A4">
        <w:rPr>
          <w:rFonts w:eastAsia="Times New Roman"/>
          <w:color w:val="auto"/>
        </w:rPr>
        <w:t>Enduring Care</w:t>
      </w:r>
    </w:p>
    <w:p w14:paraId="03D77213" w14:textId="77777777" w:rsidR="00744EFC" w:rsidRPr="00E869A4" w:rsidRDefault="00744EFC" w:rsidP="00744EFC">
      <w:pPr>
        <w:jc w:val="both"/>
        <w:rPr>
          <w:rFonts w:ascii="Times New Roman" w:eastAsia="Times New Roman" w:hAnsi="Times New Roman" w:cs="Times New Roman"/>
        </w:rPr>
      </w:pPr>
    </w:p>
    <w:p w14:paraId="7B400715" w14:textId="7F58B5AE"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Another form of acceptance adopted by family caregivers was the enduring care approach. Enduring</w:t>
      </w:r>
      <w:r w:rsidR="008C60E8"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care refers to a caregiver putting-up with or tolerating uncomfortable care situations usually because the individual believes there is no other suitable solution for meeting their particular need.  It is directly related to </w:t>
      </w:r>
      <w:r w:rsidR="00FE04E3" w:rsidRPr="00E869A4">
        <w:rPr>
          <w:rFonts w:ascii="Times New Roman" w:eastAsia="Times New Roman" w:hAnsi="Times New Roman" w:cs="Times New Roman"/>
        </w:rPr>
        <w:t>perseverance, which</w:t>
      </w:r>
      <w:r w:rsidRPr="00E869A4">
        <w:rPr>
          <w:rFonts w:ascii="Times New Roman" w:eastAsia="Times New Roman" w:hAnsi="Times New Roman" w:cs="Times New Roman"/>
        </w:rPr>
        <w:t xml:space="preserve"> is one of the ‘internal’ coping methods identified in the literature, as well as feelings of ambivalence towards giving care. </w:t>
      </w:r>
    </w:p>
    <w:p w14:paraId="625CBC12" w14:textId="77777777" w:rsidR="00744EFC" w:rsidRPr="00E869A4" w:rsidRDefault="00744EFC" w:rsidP="00744EFC">
      <w:pPr>
        <w:jc w:val="both"/>
        <w:rPr>
          <w:rFonts w:ascii="Times New Roman" w:eastAsia="Times New Roman" w:hAnsi="Times New Roman" w:cs="Times New Roman"/>
        </w:rPr>
      </w:pPr>
    </w:p>
    <w:p w14:paraId="375A2188" w14:textId="25B07A20"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lastRenderedPageBreak/>
        <w:t xml:space="preserve">Marian and Mr. Birch at times employed an enduring care approach. As discussed previously in the section on emergent care, </w:t>
      </w:r>
      <w:r w:rsidR="00490BF0" w:rsidRPr="00E869A4">
        <w:rPr>
          <w:rFonts w:ascii="Times New Roman" w:eastAsia="Times New Roman" w:hAnsi="Times New Roman" w:cs="Times New Roman"/>
        </w:rPr>
        <w:t>al</w:t>
      </w:r>
      <w:r w:rsidRPr="00E869A4">
        <w:rPr>
          <w:rFonts w:ascii="Times New Roman" w:eastAsia="Times New Roman" w:hAnsi="Times New Roman" w:cs="Times New Roman"/>
        </w:rPr>
        <w:t xml:space="preserve">though Marian willingly provided care to her mother, she experienced ambivalence given the challenges she experienced such as the conflict between her and the paid migrant care worker, the loneliness she experienced as a caregiver, her mother’s temperament </w:t>
      </w:r>
      <w:r w:rsidR="00FE04E3" w:rsidRPr="00E869A4">
        <w:rPr>
          <w:rFonts w:ascii="Times New Roman" w:eastAsia="Times New Roman" w:hAnsi="Times New Roman" w:cs="Times New Roman"/>
        </w:rPr>
        <w:t>that</w:t>
      </w:r>
      <w:r w:rsidRPr="00E869A4">
        <w:rPr>
          <w:rFonts w:ascii="Times New Roman" w:eastAsia="Times New Roman" w:hAnsi="Times New Roman" w:cs="Times New Roman"/>
        </w:rPr>
        <w:t xml:space="preserve"> was at times difficult and</w:t>
      </w:r>
      <w:r w:rsidR="00FE04E3" w:rsidRPr="00E869A4">
        <w:rPr>
          <w:rFonts w:ascii="Times New Roman" w:eastAsia="Times New Roman" w:hAnsi="Times New Roman" w:cs="Times New Roman"/>
        </w:rPr>
        <w:t>,</w:t>
      </w:r>
      <w:r w:rsidRPr="00E869A4">
        <w:rPr>
          <w:rFonts w:ascii="Times New Roman" w:eastAsia="Times New Roman" w:hAnsi="Times New Roman" w:cs="Times New Roman"/>
        </w:rPr>
        <w:t xml:space="preserve"> her personal health probl</w:t>
      </w:r>
      <w:r w:rsidR="00FE04E3" w:rsidRPr="00E869A4">
        <w:rPr>
          <w:rFonts w:ascii="Times New Roman" w:eastAsia="Times New Roman" w:hAnsi="Times New Roman" w:cs="Times New Roman"/>
        </w:rPr>
        <w:t xml:space="preserve">ems. Also, </w:t>
      </w:r>
      <w:r w:rsidRPr="00E869A4">
        <w:rPr>
          <w:rFonts w:ascii="Times New Roman" w:eastAsia="Times New Roman" w:hAnsi="Times New Roman" w:cs="Times New Roman"/>
        </w:rPr>
        <w:t xml:space="preserve">As noted in the previous chapter, </w:t>
      </w:r>
      <w:r w:rsidR="00490BF0" w:rsidRPr="00E869A4">
        <w:rPr>
          <w:rFonts w:ascii="Times New Roman" w:eastAsia="Times New Roman" w:hAnsi="Times New Roman" w:cs="Times New Roman"/>
        </w:rPr>
        <w:t>while</w:t>
      </w:r>
      <w:r w:rsidRPr="00E869A4">
        <w:rPr>
          <w:rFonts w:ascii="Times New Roman" w:eastAsia="Times New Roman" w:hAnsi="Times New Roman" w:cs="Times New Roman"/>
        </w:rPr>
        <w:t xml:space="preserve"> he was for the most part happy to assist Uncle Wilton, there were instances when Mr. Birch was reluctant or ‘not in the mood’ to give care. </w:t>
      </w:r>
      <w:r w:rsidR="00FE04E3" w:rsidRPr="00E869A4">
        <w:rPr>
          <w:rFonts w:ascii="Times New Roman" w:eastAsia="Times New Roman" w:hAnsi="Times New Roman" w:cs="Times New Roman"/>
        </w:rPr>
        <w:t>Nevertheless,</w:t>
      </w:r>
      <w:r w:rsidRPr="00E869A4">
        <w:rPr>
          <w:rFonts w:ascii="Times New Roman" w:eastAsia="Times New Roman" w:hAnsi="Times New Roman" w:cs="Times New Roman"/>
        </w:rPr>
        <w:t xml:space="preserve"> more often than not, he would still give assistance. As seen in these examples, and consistent with a life</w:t>
      </w:r>
      <w:r w:rsidR="00BF0F77" w:rsidRPr="00E869A4">
        <w:rPr>
          <w:rFonts w:ascii="Times New Roman" w:eastAsia="Times New Roman" w:hAnsi="Times New Roman" w:cs="Times New Roman"/>
        </w:rPr>
        <w:t xml:space="preserve"> </w:t>
      </w:r>
      <w:r w:rsidRPr="00E869A4">
        <w:rPr>
          <w:rFonts w:ascii="Times New Roman" w:eastAsia="Times New Roman" w:hAnsi="Times New Roman" w:cs="Times New Roman"/>
        </w:rPr>
        <w:t>course perspective, it is important to consider the duration and context within which a particular care strategy is employed, as the strategy that is used by an individual may vary over time. To do otherwise could lead to a premature assessment of the overall commitment of a family member to care for an older relative.</w:t>
      </w:r>
    </w:p>
    <w:p w14:paraId="17C53720" w14:textId="77777777" w:rsidR="00744EFC" w:rsidRPr="00E869A4" w:rsidRDefault="00744EFC" w:rsidP="00744EFC">
      <w:pPr>
        <w:jc w:val="both"/>
        <w:rPr>
          <w:rFonts w:ascii="Times New Roman" w:eastAsia="Times New Roman" w:hAnsi="Times New Roman" w:cs="Times New Roman"/>
        </w:rPr>
      </w:pPr>
    </w:p>
    <w:p w14:paraId="0CC890E5" w14:textId="0C92C1E5" w:rsidR="00F773E5" w:rsidRPr="00E869A4" w:rsidRDefault="00463753" w:rsidP="00F773E5">
      <w:pPr>
        <w:pStyle w:val="Heading3"/>
        <w:rPr>
          <w:rFonts w:eastAsia="Times New Roman"/>
        </w:rPr>
      </w:pPr>
      <w:bookmarkStart w:id="343" w:name="_Toc40436561"/>
      <w:r w:rsidRPr="00E869A4">
        <w:rPr>
          <w:rFonts w:eastAsia="Times New Roman"/>
        </w:rPr>
        <w:t>8</w:t>
      </w:r>
      <w:r w:rsidR="00F773E5" w:rsidRPr="00E869A4">
        <w:rPr>
          <w:rFonts w:eastAsia="Times New Roman"/>
        </w:rPr>
        <w:t>.3.2     Reject</w:t>
      </w:r>
      <w:r w:rsidR="00D03C01" w:rsidRPr="00E869A4">
        <w:rPr>
          <w:rFonts w:eastAsia="Times New Roman"/>
        </w:rPr>
        <w:t xml:space="preserve"> Care</w:t>
      </w:r>
      <w:bookmarkEnd w:id="343"/>
    </w:p>
    <w:p w14:paraId="561504FA" w14:textId="77777777" w:rsidR="00744EFC" w:rsidRPr="00E869A4" w:rsidRDefault="00744EFC" w:rsidP="00744EFC">
      <w:pPr>
        <w:jc w:val="both"/>
        <w:rPr>
          <w:rFonts w:ascii="Times New Roman" w:eastAsia="Times New Roman" w:hAnsi="Times New Roman" w:cs="Times New Roman"/>
        </w:rPr>
      </w:pPr>
    </w:p>
    <w:p w14:paraId="7F6CD9C9" w14:textId="1C077FBC" w:rsidR="00744EFC"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Family members and older persons may choose to opt out of a proposed or actual care situation. In addition to their willingness to provide care, rejecting care behaviours can be distinguished by the level of transparency (i.e. overt vs. covert behaviour), directionality (whether direct or indirect)</w:t>
      </w:r>
      <w:r w:rsidR="00CD787A"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 aggression employed by the older person or their family member to convey their rejection of a care arrangement they deem u</w:t>
      </w:r>
      <w:r w:rsidR="008C60E8" w:rsidRPr="00E869A4">
        <w:rPr>
          <w:rFonts w:ascii="Times New Roman" w:eastAsia="Times New Roman" w:hAnsi="Times New Roman" w:cs="Times New Roman"/>
        </w:rPr>
        <w:t>nsuitable</w:t>
      </w:r>
      <w:r w:rsidR="00CD787A" w:rsidRPr="00E869A4">
        <w:rPr>
          <w:rFonts w:ascii="Times New Roman" w:eastAsia="Times New Roman" w:hAnsi="Times New Roman" w:cs="Times New Roman"/>
        </w:rPr>
        <w:t>,</w:t>
      </w:r>
      <w:r w:rsidR="008C60E8" w:rsidRPr="00E869A4">
        <w:rPr>
          <w:rFonts w:ascii="Times New Roman" w:eastAsia="Times New Roman" w:hAnsi="Times New Roman" w:cs="Times New Roman"/>
        </w:rPr>
        <w:t xml:space="preserve"> given their needs and</w:t>
      </w:r>
      <w:r w:rsidRPr="00E869A4">
        <w:rPr>
          <w:rFonts w:ascii="Times New Roman" w:eastAsia="Times New Roman" w:hAnsi="Times New Roman" w:cs="Times New Roman"/>
        </w:rPr>
        <w:t xml:space="preserve">/or preferences. </w:t>
      </w:r>
    </w:p>
    <w:p w14:paraId="4B70EC31" w14:textId="77777777" w:rsidR="00E61FFF" w:rsidRPr="00E869A4" w:rsidRDefault="00E61FFF" w:rsidP="00744EFC">
      <w:pPr>
        <w:jc w:val="both"/>
        <w:rPr>
          <w:rFonts w:ascii="Times New Roman" w:eastAsia="Times New Roman" w:hAnsi="Times New Roman" w:cs="Times New Roman"/>
        </w:rPr>
      </w:pPr>
    </w:p>
    <w:p w14:paraId="41DB795B" w14:textId="77777777" w:rsidR="008C60E8" w:rsidRPr="00E869A4" w:rsidRDefault="00744EFC" w:rsidP="0031040A">
      <w:pPr>
        <w:pStyle w:val="Heading5"/>
        <w:rPr>
          <w:color w:val="auto"/>
        </w:rPr>
      </w:pPr>
      <w:r w:rsidRPr="00E869A4">
        <w:rPr>
          <w:color w:val="auto"/>
        </w:rPr>
        <w:t xml:space="preserve">Rejecting </w:t>
      </w:r>
      <w:r w:rsidR="00BD5AF8" w:rsidRPr="00E869A4">
        <w:rPr>
          <w:color w:val="auto"/>
        </w:rPr>
        <w:t>c</w:t>
      </w:r>
      <w:r w:rsidRPr="00E869A4">
        <w:rPr>
          <w:color w:val="auto"/>
        </w:rPr>
        <w:t xml:space="preserve">are </w:t>
      </w:r>
      <w:r w:rsidR="00BD5AF8" w:rsidRPr="00E869A4">
        <w:rPr>
          <w:color w:val="auto"/>
        </w:rPr>
        <w:t>s</w:t>
      </w:r>
      <w:r w:rsidRPr="00E869A4">
        <w:rPr>
          <w:color w:val="auto"/>
        </w:rPr>
        <w:t xml:space="preserve">trategy of </w:t>
      </w:r>
      <w:r w:rsidR="00BD5AF8" w:rsidRPr="00E869A4">
        <w:rPr>
          <w:color w:val="auto"/>
        </w:rPr>
        <w:t>o</w:t>
      </w:r>
      <w:r w:rsidRPr="00E869A4">
        <w:rPr>
          <w:color w:val="auto"/>
        </w:rPr>
        <w:t xml:space="preserve">lder </w:t>
      </w:r>
      <w:r w:rsidR="00BD5AF8" w:rsidRPr="00E869A4">
        <w:rPr>
          <w:color w:val="auto"/>
        </w:rPr>
        <w:t>p</w:t>
      </w:r>
      <w:r w:rsidRPr="00E869A4">
        <w:rPr>
          <w:color w:val="auto"/>
        </w:rPr>
        <w:t>ersons</w:t>
      </w:r>
    </w:p>
    <w:p w14:paraId="30135FBC" w14:textId="1BCB6BAE" w:rsidR="00744EFC" w:rsidRPr="00E869A4" w:rsidRDefault="00744EFC" w:rsidP="0031040A">
      <w:pPr>
        <w:pStyle w:val="Heading5"/>
        <w:rPr>
          <w:color w:val="auto"/>
        </w:rPr>
      </w:pPr>
      <w:r w:rsidRPr="00E869A4">
        <w:rPr>
          <w:color w:val="auto"/>
        </w:rPr>
        <w:t xml:space="preserve"> </w:t>
      </w:r>
    </w:p>
    <w:p w14:paraId="7A0E19B9" w14:textId="51B047F8"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Rejecting care refers to the unwillingness of an older person to accept care support from family members or their</w:t>
      </w:r>
      <w:r w:rsidR="008C60E8"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designates. Two sub-categories of rejecting care behaviours have been identified in this study: i) </w:t>
      </w:r>
      <w:r w:rsidRPr="00E869A4">
        <w:rPr>
          <w:rFonts w:ascii="Times New Roman" w:eastAsia="Times New Roman" w:hAnsi="Times New Roman" w:cs="Times New Roman"/>
          <w:i/>
        </w:rPr>
        <w:t>refusing care strategies</w:t>
      </w:r>
      <w:r w:rsidR="0031040A" w:rsidRPr="00E869A4">
        <w:rPr>
          <w:rFonts w:ascii="Times New Roman" w:eastAsia="Times New Roman" w:hAnsi="Times New Roman" w:cs="Times New Roman"/>
          <w:i/>
        </w:rPr>
        <w:t xml:space="preserve"> </w:t>
      </w:r>
      <w:r w:rsidRPr="00E869A4">
        <w:rPr>
          <w:rFonts w:ascii="Times New Roman" w:eastAsia="Times New Roman" w:hAnsi="Times New Roman" w:cs="Times New Roman"/>
        </w:rPr>
        <w:t xml:space="preserve">and ii) </w:t>
      </w:r>
      <w:r w:rsidRPr="00E869A4">
        <w:rPr>
          <w:rFonts w:ascii="Times New Roman" w:eastAsia="Times New Roman" w:hAnsi="Times New Roman" w:cs="Times New Roman"/>
          <w:i/>
        </w:rPr>
        <w:t>resisting care strategies</w:t>
      </w:r>
      <w:r w:rsidRPr="00E869A4">
        <w:rPr>
          <w:rFonts w:ascii="Times New Roman" w:eastAsia="Times New Roman" w:hAnsi="Times New Roman" w:cs="Times New Roman"/>
        </w:rPr>
        <w:t xml:space="preserve">. Overt and covert aggressive behaviours that actively seek to oppose, counter, undermine or frustrate the care efforts of another may be generally referred to as resisting care strategies. Refusing care strategies are non-aggressive behaviours that negate care efforts given the preferences of the older person. It is predicated on the use of an assertive, open, communication style, rather than an aggressive, covert or passive approach to communicating. </w:t>
      </w:r>
    </w:p>
    <w:p w14:paraId="39825E3D" w14:textId="77777777" w:rsidR="007F2A6A" w:rsidRPr="00E869A4" w:rsidRDefault="007F2A6A">
      <w:pPr>
        <w:rPr>
          <w:rFonts w:ascii="Times New Roman" w:eastAsia="Times New Roman" w:hAnsi="Times New Roman" w:cs="Times New Roman"/>
          <w:i/>
          <w:u w:val="single"/>
        </w:rPr>
      </w:pPr>
      <w:r w:rsidRPr="00E869A4">
        <w:rPr>
          <w:rFonts w:eastAsia="Times New Roman"/>
        </w:rPr>
        <w:br w:type="page"/>
      </w:r>
    </w:p>
    <w:p w14:paraId="09FDD528" w14:textId="68F5D1E6" w:rsidR="00744EFC" w:rsidRPr="00E869A4" w:rsidRDefault="00744EFC" w:rsidP="0031040A">
      <w:pPr>
        <w:pStyle w:val="Heading5"/>
        <w:rPr>
          <w:rFonts w:eastAsia="Times New Roman"/>
          <w:color w:val="auto"/>
        </w:rPr>
      </w:pPr>
      <w:r w:rsidRPr="00E869A4">
        <w:rPr>
          <w:rFonts w:eastAsia="Times New Roman"/>
          <w:color w:val="auto"/>
        </w:rPr>
        <w:lastRenderedPageBreak/>
        <w:t xml:space="preserve">Refusing </w:t>
      </w:r>
      <w:r w:rsidR="00BD5AF8" w:rsidRPr="00E869A4">
        <w:rPr>
          <w:rFonts w:eastAsia="Times New Roman"/>
          <w:color w:val="auto"/>
        </w:rPr>
        <w:t>c</w:t>
      </w:r>
      <w:r w:rsidRPr="00E869A4">
        <w:rPr>
          <w:rFonts w:eastAsia="Times New Roman"/>
          <w:color w:val="auto"/>
        </w:rPr>
        <w:t>are</w:t>
      </w:r>
    </w:p>
    <w:p w14:paraId="69E71840" w14:textId="77777777" w:rsidR="00175C3E" w:rsidRPr="00E869A4" w:rsidRDefault="00175C3E" w:rsidP="00744EFC">
      <w:pPr>
        <w:rPr>
          <w:rFonts w:ascii="Times New Roman" w:eastAsia="Times New Roman" w:hAnsi="Times New Roman" w:cs="Times New Roman"/>
        </w:rPr>
      </w:pPr>
    </w:p>
    <w:p w14:paraId="6FDB854F" w14:textId="726684CD" w:rsidR="00744EFC" w:rsidRPr="00E869A4" w:rsidRDefault="00744EFC" w:rsidP="00744EFC">
      <w:r w:rsidRPr="00E869A4">
        <w:rPr>
          <w:rFonts w:ascii="Times New Roman" w:eastAsia="Times New Roman" w:hAnsi="Times New Roman" w:cs="Times New Roman"/>
        </w:rPr>
        <w:t xml:space="preserve">Refusing care is an adaptive response of older persons to informal or formal care support that they deemed to be undesirable or risky. Several of the older persons used this open, assertive approach to reject a particular care strategy that was proposed to them. </w:t>
      </w:r>
      <w:r w:rsidRPr="00E869A4">
        <w:t xml:space="preserve">Mr. Druman used this </w:t>
      </w:r>
      <w:r w:rsidR="00A93753">
        <w:t>strategy</w:t>
      </w:r>
      <w:r w:rsidRPr="00E869A4">
        <w:t xml:space="preserve"> to refuse the proposal made by his son Timothy for him to move from his home to Timothy’s home. Timothy acceded to his father’s request. Ms. Violet, a centenarian, also used an overt, assertive approach to refuse medical care i.e. cataract surgery</w:t>
      </w:r>
      <w:r w:rsidR="008C60E8" w:rsidRPr="00E869A4">
        <w:t>:</w:t>
      </w:r>
      <w:r w:rsidR="00F76973" w:rsidRPr="00E869A4">
        <w:t xml:space="preserve"> “</w:t>
      </w:r>
      <w:r w:rsidRPr="00E869A4">
        <w:t>I don’t want surgery – I don’t want to go through that</w:t>
      </w:r>
      <w:r w:rsidR="00F76973" w:rsidRPr="00E869A4">
        <w:t xml:space="preserve">.” </w:t>
      </w:r>
      <w:r w:rsidRPr="00E869A4">
        <w:t>(CR: Ms. Violet)</w:t>
      </w:r>
      <w:r w:rsidR="00F76973" w:rsidRPr="00E869A4">
        <w:t xml:space="preserve">. </w:t>
      </w:r>
      <w:r w:rsidRPr="00E869A4">
        <w:t>Her decision to refuse medical care may have also been influenced by the response of health care professionals to her needs. As her daughter Marian explained</w:t>
      </w:r>
      <w:r w:rsidR="008C60E8" w:rsidRPr="00E869A4">
        <w:t>:</w:t>
      </w:r>
    </w:p>
    <w:p w14:paraId="73343685" w14:textId="77777777" w:rsidR="008C60E8" w:rsidRPr="00E869A4" w:rsidRDefault="008C60E8" w:rsidP="00B109D2">
      <w:pPr>
        <w:tabs>
          <w:tab w:val="left" w:pos="3000"/>
        </w:tabs>
        <w:autoSpaceDE w:val="0"/>
        <w:autoSpaceDN w:val="0"/>
        <w:adjustRightInd w:val="0"/>
        <w:spacing w:line="240" w:lineRule="auto"/>
      </w:pPr>
    </w:p>
    <w:p w14:paraId="5396110C" w14:textId="5CB8AE9A" w:rsidR="00744EFC" w:rsidRPr="00E869A4" w:rsidRDefault="00744EFC" w:rsidP="00F76973">
      <w:pPr>
        <w:spacing w:line="240" w:lineRule="auto"/>
        <w:ind w:left="567" w:firstLine="0"/>
      </w:pPr>
      <w:r w:rsidRPr="00E869A4">
        <w:t>But right now the other eye has cataract but no doctor would touch her</w:t>
      </w:r>
      <w:r w:rsidR="00F76973" w:rsidRPr="00E869A4">
        <w:t xml:space="preserve"> </w:t>
      </w:r>
      <w:r w:rsidRPr="00E869A4">
        <w:t>… No because they don’t know how to deal with someone that age</w:t>
      </w:r>
      <w:r w:rsidR="00F76973" w:rsidRPr="00E869A4">
        <w:t xml:space="preserve"> </w:t>
      </w:r>
      <w:r w:rsidR="0031040A" w:rsidRPr="00E869A4">
        <w:t>…</w:t>
      </w:r>
      <w:r w:rsidRPr="00E869A4">
        <w:t xml:space="preserve"> she had ah doctor but am, that was another thing, finding a doctor. You don’t have geriatric doctors here</w:t>
      </w:r>
      <w:r w:rsidR="00F76973" w:rsidRPr="00E869A4">
        <w:t>.</w:t>
      </w:r>
    </w:p>
    <w:p w14:paraId="558675ED" w14:textId="77777777" w:rsidR="008C60E8" w:rsidRPr="00E869A4" w:rsidRDefault="008C60E8" w:rsidP="008C60E8">
      <w:pPr>
        <w:ind w:firstLine="0"/>
      </w:pPr>
    </w:p>
    <w:p w14:paraId="3F18E22F" w14:textId="77777777" w:rsidR="00744EFC" w:rsidRPr="00E869A4" w:rsidRDefault="00744EFC" w:rsidP="008C60E8">
      <w:pPr>
        <w:ind w:firstLine="0"/>
      </w:pPr>
      <w:r w:rsidRPr="00E869A4">
        <w:t xml:space="preserve">Like Timothy Druman in the example above, Marian accepted her mother’s decision. </w:t>
      </w:r>
    </w:p>
    <w:p w14:paraId="2266E84E" w14:textId="77777777" w:rsidR="008C60E8" w:rsidRPr="00E869A4" w:rsidRDefault="008C60E8" w:rsidP="00744EFC"/>
    <w:p w14:paraId="7C6E3FA1" w14:textId="7390CE74" w:rsidR="008C60E8" w:rsidRPr="00E869A4" w:rsidRDefault="008C60E8" w:rsidP="00744EFC">
      <w:r w:rsidRPr="00E869A4">
        <w:t xml:space="preserve">Mr. Sanchez used a refusing </w:t>
      </w:r>
      <w:r w:rsidR="00744EFC" w:rsidRPr="00E869A4">
        <w:t>care strategy</w:t>
      </w:r>
      <w:r w:rsidRPr="00E869A4">
        <w:t>,</w:t>
      </w:r>
      <w:r w:rsidR="00744EFC" w:rsidRPr="00E869A4">
        <w:t xml:space="preserve"> which was informed by an avoidant coping approach</w:t>
      </w:r>
      <w:r w:rsidR="00CD787A" w:rsidRPr="00E869A4">
        <w:t>,</w:t>
      </w:r>
      <w:r w:rsidR="00744EFC" w:rsidRPr="00E869A4">
        <w:t xml:space="preserve"> in response to social situations that he thought were uncomfortable for him. </w:t>
      </w:r>
      <w:r w:rsidR="00F642F5" w:rsidRPr="00E869A4">
        <w:t>As a way of preserving his dignity, h</w:t>
      </w:r>
      <w:r w:rsidR="00744EFC" w:rsidRPr="00E869A4">
        <w:t>e refused the invitation of his former employers to be a guest of honour at an annual social event</w:t>
      </w:r>
      <w:r w:rsidRPr="00E869A4">
        <w:t>:</w:t>
      </w:r>
    </w:p>
    <w:p w14:paraId="38AA0356" w14:textId="2C8C09C3" w:rsidR="00744EFC" w:rsidRPr="00E869A4" w:rsidRDefault="00744EFC" w:rsidP="00B109D2">
      <w:pPr>
        <w:tabs>
          <w:tab w:val="left" w:pos="3000"/>
        </w:tabs>
        <w:autoSpaceDE w:val="0"/>
        <w:autoSpaceDN w:val="0"/>
        <w:adjustRightInd w:val="0"/>
        <w:spacing w:line="240" w:lineRule="auto"/>
      </w:pPr>
      <w:r w:rsidRPr="00E869A4">
        <w:t xml:space="preserve"> </w:t>
      </w:r>
    </w:p>
    <w:p w14:paraId="6D4EC10C" w14:textId="5A96F7C7" w:rsidR="00744EFC" w:rsidRPr="00E869A4" w:rsidRDefault="00744EFC" w:rsidP="00F76973">
      <w:pPr>
        <w:spacing w:line="240" w:lineRule="auto"/>
        <w:ind w:left="567" w:firstLine="0"/>
      </w:pPr>
      <w:r w:rsidRPr="00E869A4">
        <w:t>Every first Saturday in December there is a luncheon for retirees. They wanted to honour me but I declined because – to me it’s an embarrassment. To men who know me and knowing who I was to what I am now, it’s just an embarrassment</w:t>
      </w:r>
      <w:r w:rsidR="00F76973" w:rsidRPr="00E869A4">
        <w:t>.</w:t>
      </w:r>
    </w:p>
    <w:p w14:paraId="495A874A" w14:textId="77777777" w:rsidR="008C60E8" w:rsidRPr="00E869A4" w:rsidRDefault="008C60E8" w:rsidP="00B109D2">
      <w:pPr>
        <w:tabs>
          <w:tab w:val="left" w:pos="3000"/>
        </w:tabs>
        <w:autoSpaceDE w:val="0"/>
        <w:autoSpaceDN w:val="0"/>
        <w:adjustRightInd w:val="0"/>
        <w:spacing w:line="240" w:lineRule="auto"/>
      </w:pPr>
    </w:p>
    <w:p w14:paraId="752524E3" w14:textId="4D9A0399" w:rsidR="00463753" w:rsidRPr="00E869A4" w:rsidRDefault="00744EFC" w:rsidP="00F642F5">
      <w:pPr>
        <w:ind w:firstLine="0"/>
        <w:rPr>
          <w:i/>
        </w:rPr>
      </w:pPr>
      <w:r w:rsidRPr="00E869A4">
        <w:t>In addition to being an amputee and being dependent</w:t>
      </w:r>
      <w:r w:rsidR="00F642F5" w:rsidRPr="00E869A4">
        <w:t xml:space="preserve"> on the wheelchair, it was </w:t>
      </w:r>
      <w:r w:rsidRPr="00E869A4">
        <w:t>very difficult for Mr. Sanchez to engage with others socially given his visual and hearing impairment. Without a proper hearing aid, he could not even commu</w:t>
      </w:r>
      <w:r w:rsidR="00F76973" w:rsidRPr="00E869A4">
        <w:t xml:space="preserve">nicate effectively on the phone: </w:t>
      </w:r>
      <w:r w:rsidR="008C60E8" w:rsidRPr="00E869A4">
        <w:t>“</w:t>
      </w:r>
      <w:r w:rsidRPr="00E869A4">
        <w:t>[To] carry on a conversation is difficult [be]cause [of] my hearing problem. What I need to get is a proper hearing aid</w:t>
      </w:r>
      <w:r w:rsidR="008C60E8" w:rsidRPr="00E869A4">
        <w:t>.”</w:t>
      </w:r>
      <w:r w:rsidRPr="00E869A4">
        <w:t xml:space="preserve"> (CR: Mr. Sanchez)</w:t>
      </w:r>
      <w:r w:rsidR="00F76973" w:rsidRPr="00E869A4">
        <w:t>.</w:t>
      </w:r>
      <w:r w:rsidR="007B30B0" w:rsidRPr="00E869A4">
        <w:t xml:space="preserve"> </w:t>
      </w:r>
      <w:r w:rsidRPr="00E869A4">
        <w:t xml:space="preserve">Lack of critical health care resources in the form of assistive devices limited Mr. Sanchez’s ability to fully participate in social life. </w:t>
      </w:r>
      <w:r w:rsidRPr="00E869A4">
        <w:rPr>
          <w:i/>
        </w:rPr>
        <w:t xml:space="preserve">  </w:t>
      </w:r>
    </w:p>
    <w:p w14:paraId="7611D809" w14:textId="2D05093C" w:rsidR="007B30B0" w:rsidRPr="00E869A4" w:rsidRDefault="00744EFC">
      <w:pPr>
        <w:rPr>
          <w:rFonts w:ascii="Times New Roman" w:eastAsiaTheme="majorEastAsia" w:hAnsi="Times New Roman" w:cs="Times New Roman"/>
        </w:rPr>
      </w:pPr>
      <w:r w:rsidRPr="00E869A4">
        <w:rPr>
          <w:i/>
        </w:rPr>
        <w:t xml:space="preserve">   </w:t>
      </w:r>
    </w:p>
    <w:p w14:paraId="1532567C" w14:textId="77777777" w:rsidR="00BF41A5" w:rsidRPr="00E869A4" w:rsidRDefault="00BF41A5">
      <w:pPr>
        <w:rPr>
          <w:rFonts w:ascii="Times New Roman" w:eastAsiaTheme="majorEastAsia" w:hAnsi="Times New Roman" w:cs="Times New Roman"/>
          <w:i/>
          <w:u w:val="single"/>
        </w:rPr>
      </w:pPr>
      <w:r w:rsidRPr="00E869A4">
        <w:br w:type="page"/>
      </w:r>
    </w:p>
    <w:p w14:paraId="1A9E925C" w14:textId="182D195A" w:rsidR="00744EFC" w:rsidRPr="00E869A4" w:rsidRDefault="00BD5AF8" w:rsidP="0031040A">
      <w:pPr>
        <w:pStyle w:val="Heading5"/>
        <w:rPr>
          <w:color w:val="auto"/>
        </w:rPr>
      </w:pPr>
      <w:r w:rsidRPr="00E869A4">
        <w:rPr>
          <w:color w:val="auto"/>
        </w:rPr>
        <w:lastRenderedPageBreak/>
        <w:t>Resisting c</w:t>
      </w:r>
      <w:r w:rsidR="00744EFC" w:rsidRPr="00E869A4">
        <w:rPr>
          <w:color w:val="auto"/>
        </w:rPr>
        <w:t>are</w:t>
      </w:r>
    </w:p>
    <w:p w14:paraId="5061A548" w14:textId="77777777" w:rsidR="00BD5AF8" w:rsidRPr="00E869A4" w:rsidRDefault="00BD5AF8" w:rsidP="00BD5AF8"/>
    <w:p w14:paraId="4D0E92C9" w14:textId="6429AD31" w:rsidR="00744EFC" w:rsidRPr="00E869A4" w:rsidRDefault="00744EFC" w:rsidP="00744EFC">
      <w:r w:rsidRPr="00E869A4">
        <w:rPr>
          <w:rFonts w:ascii="Times New Roman" w:eastAsia="Times New Roman" w:hAnsi="Times New Roman" w:cs="Times New Roman"/>
        </w:rPr>
        <w:t xml:space="preserve">The feedback from participants revealed instances in which older persons used overt aggressive behaviour, as well as covert, subtle strategies to reject care. As noted in the previous chapter, Mother Freeda used covert methods to resist her daughter Sheila’s diet plan for her. She chose to hide salt and oil in her room to adjust her meals. </w:t>
      </w:r>
      <w:r w:rsidRPr="00E869A4">
        <w:t>Other older persons used more overt strategies to reject care. Timothy’s mother for example strongly resisted receiving various forms of care support</w:t>
      </w:r>
      <w:r w:rsidR="008C60E8" w:rsidRPr="00E869A4">
        <w:t>:</w:t>
      </w:r>
    </w:p>
    <w:p w14:paraId="2DE62611" w14:textId="77777777" w:rsidR="008C60E8" w:rsidRPr="00E869A4" w:rsidRDefault="008C60E8" w:rsidP="00B109D2">
      <w:pPr>
        <w:tabs>
          <w:tab w:val="left" w:pos="3000"/>
        </w:tabs>
        <w:autoSpaceDE w:val="0"/>
        <w:autoSpaceDN w:val="0"/>
        <w:adjustRightInd w:val="0"/>
        <w:spacing w:line="240" w:lineRule="auto"/>
      </w:pPr>
    </w:p>
    <w:p w14:paraId="43220016" w14:textId="3A8325E0" w:rsidR="00744EFC" w:rsidRPr="00E869A4" w:rsidRDefault="00744EFC" w:rsidP="005F2AB0">
      <w:pPr>
        <w:spacing w:line="240" w:lineRule="auto"/>
        <w:ind w:left="567" w:firstLine="0"/>
      </w:pPr>
      <w:r w:rsidRPr="00E869A4">
        <w:t xml:space="preserve">It’s not that she was bedridden or anything yuh know. It’s just age and she was losing her sight and she got really discouraged kinda mentally like she didn’t want to live … </w:t>
      </w:r>
      <w:r w:rsidR="00750B3F" w:rsidRPr="00E869A4">
        <w:t>M</w:t>
      </w:r>
      <w:r w:rsidRPr="00E869A4">
        <w:t>y dad accepts the fact of sitting down in a wheelchair and wearing am</w:t>
      </w:r>
      <w:r w:rsidR="005F2AB0" w:rsidRPr="00E869A4">
        <w:t xml:space="preserve"> </w:t>
      </w:r>
      <w:r w:rsidRPr="00E869A4">
        <w:t>… disposable things and so on</w:t>
      </w:r>
      <w:r w:rsidR="00750B3F" w:rsidRPr="00E869A4">
        <w:t>, b</w:t>
      </w:r>
      <w:r w:rsidRPr="00E869A4">
        <w:t>ut she never accepted that. She didn’t want [a] walking stick, she wouldn’t sit down in the wheelchair, she wouldn’t wear the disposable things. She was very much …</w:t>
      </w:r>
      <w:r w:rsidR="005F2AB0" w:rsidRPr="00E869A4">
        <w:t xml:space="preserve"> </w:t>
      </w:r>
      <w:r w:rsidRPr="00E869A4">
        <w:t>against all of that, all the things that have to do with ag</w:t>
      </w:r>
      <w:r w:rsidR="003E7779" w:rsidRPr="00E869A4">
        <w:t>e</w:t>
      </w:r>
      <w:r w:rsidRPr="00E869A4">
        <w:t>ing. She was mentally opposed to it yuh know. So she never accepted it, adjusted to it. So, she didn't do what was necessary for her survival. She would kind of reject it. She never liked the medication given to her – always opposed going to the doctor and so on</w:t>
      </w:r>
      <w:r w:rsidR="00750B3F" w:rsidRPr="00E869A4">
        <w:t>.</w:t>
      </w:r>
    </w:p>
    <w:p w14:paraId="0A6A2862" w14:textId="77777777" w:rsidR="00744EFC" w:rsidRPr="00E869A4" w:rsidRDefault="00744EFC" w:rsidP="00B109D2">
      <w:pPr>
        <w:tabs>
          <w:tab w:val="left" w:pos="3000"/>
        </w:tabs>
        <w:autoSpaceDE w:val="0"/>
        <w:autoSpaceDN w:val="0"/>
        <w:adjustRightInd w:val="0"/>
        <w:spacing w:line="240" w:lineRule="auto"/>
      </w:pPr>
    </w:p>
    <w:p w14:paraId="259BE9A8" w14:textId="1A415B52" w:rsidR="00744EFC" w:rsidRPr="00E869A4" w:rsidRDefault="00744EFC" w:rsidP="00744EFC">
      <w:r w:rsidRPr="00E869A4">
        <w:t xml:space="preserve">Before Mrs. Druman became frail, she was very afraid of dentists. </w:t>
      </w:r>
      <w:r w:rsidR="00980EE4" w:rsidRPr="00E869A4">
        <w:t>Because</w:t>
      </w:r>
      <w:r w:rsidRPr="00E869A4">
        <w:t xml:space="preserve"> of her strong fear and opposition to receiving formal dental care, Timothy used a deferred-care </w:t>
      </w:r>
      <w:r w:rsidR="00980EE4" w:rsidRPr="00E869A4">
        <w:t>strategy, which</w:t>
      </w:r>
      <w:r w:rsidRPr="00E869A4">
        <w:t xml:space="preserve"> proved to be less than optimal when he decided to actively attend to her dental health needs later on. </w:t>
      </w:r>
    </w:p>
    <w:p w14:paraId="686C33D4" w14:textId="77777777" w:rsidR="005F2AB0" w:rsidRPr="00E869A4" w:rsidRDefault="005F2AB0" w:rsidP="00B109D2">
      <w:pPr>
        <w:tabs>
          <w:tab w:val="left" w:pos="3000"/>
        </w:tabs>
        <w:autoSpaceDE w:val="0"/>
        <w:autoSpaceDN w:val="0"/>
        <w:adjustRightInd w:val="0"/>
        <w:spacing w:line="240" w:lineRule="auto"/>
      </w:pPr>
    </w:p>
    <w:p w14:paraId="695F9264" w14:textId="31DC111E" w:rsidR="00744EFC" w:rsidRPr="00E869A4" w:rsidRDefault="00744EFC" w:rsidP="005F2AB0">
      <w:pPr>
        <w:spacing w:line="240" w:lineRule="auto"/>
        <w:ind w:left="567" w:firstLine="0"/>
      </w:pPr>
      <w:r w:rsidRPr="00E869A4">
        <w:t>One of her problems as she got older was</w:t>
      </w:r>
      <w:r w:rsidR="00750B3F" w:rsidRPr="00E869A4">
        <w:t xml:space="preserve"> </w:t>
      </w:r>
      <w:r w:rsidRPr="00E869A4">
        <w:t>… she hadn’t taken care of her teeth very well because she had a tremendous fear of dentists</w:t>
      </w:r>
      <w:r w:rsidR="00750B3F" w:rsidRPr="00E869A4">
        <w:t xml:space="preserve"> </w:t>
      </w:r>
      <w:r w:rsidRPr="00E869A4">
        <w:t xml:space="preserve">… Her mastication of food became a problem because all of her teeth were like falling out. So, at that age I </w:t>
      </w:r>
      <w:r w:rsidR="00750B3F" w:rsidRPr="00E869A4">
        <w:t>started taking her to a dentist …</w:t>
      </w:r>
      <w:r w:rsidRPr="00E869A4">
        <w:t xml:space="preserve"> (The dentist) had taken them all out and was preparing her gum to give her some dentures, when she passed away. Well it just shows that </w:t>
      </w:r>
      <w:r w:rsidR="00980EE4" w:rsidRPr="00E869A4">
        <w:t>really,</w:t>
      </w:r>
      <w:r w:rsidRPr="00E869A4">
        <w:t xml:space="preserve"> you need to take care of your teeth within your 50s 60s, do some major work, and then you could relax. To wait ‘til you’re 70 - 80 to do it is difficult! </w:t>
      </w:r>
      <w:r w:rsidR="00750B3F" w:rsidRPr="00E869A4">
        <w:t>(</w:t>
      </w:r>
      <w:r w:rsidRPr="00E869A4">
        <w:rPr>
          <w:i/>
        </w:rPr>
        <w:t>said laughingly</w:t>
      </w:r>
      <w:r w:rsidR="00750B3F" w:rsidRPr="00E869A4">
        <w:t>)</w:t>
      </w:r>
      <w:r w:rsidR="005F2AB0" w:rsidRPr="00E869A4">
        <w:t>.</w:t>
      </w:r>
    </w:p>
    <w:p w14:paraId="7DC66910" w14:textId="77777777" w:rsidR="00B21905" w:rsidRPr="00E869A4" w:rsidRDefault="00B21905" w:rsidP="00B109D2">
      <w:pPr>
        <w:tabs>
          <w:tab w:val="left" w:pos="3000"/>
        </w:tabs>
        <w:autoSpaceDE w:val="0"/>
        <w:autoSpaceDN w:val="0"/>
        <w:adjustRightInd w:val="0"/>
        <w:spacing w:line="240" w:lineRule="auto"/>
      </w:pPr>
    </w:p>
    <w:p w14:paraId="583157C8" w14:textId="77777777" w:rsidR="00B21905" w:rsidRPr="00E869A4" w:rsidRDefault="00744EFC" w:rsidP="00744EFC">
      <w:r w:rsidRPr="00E869A4">
        <w:t xml:space="preserve">Timothy also shared about his mother’s unwillingness to be hospitalised and her strong resistance </w:t>
      </w:r>
      <w:r w:rsidR="00B21905" w:rsidRPr="00E869A4">
        <w:t>to</w:t>
      </w:r>
      <w:r w:rsidRPr="00E869A4">
        <w:t xml:space="preserve"> medical staff when she eventually was </w:t>
      </w:r>
      <w:proofErr w:type="spellStart"/>
      <w:r w:rsidRPr="00E869A4">
        <w:t>warded</w:t>
      </w:r>
      <w:proofErr w:type="spellEnd"/>
      <w:r w:rsidRPr="00E869A4">
        <w:t>. Her behaviour was in stark contrast to his father (Mr. Druman) who was more accepting of the medical care he received</w:t>
      </w:r>
      <w:r w:rsidR="00B21905" w:rsidRPr="00E869A4">
        <w:t>:</w:t>
      </w:r>
    </w:p>
    <w:p w14:paraId="128007A8" w14:textId="780179A1" w:rsidR="00744EFC" w:rsidRPr="00E869A4" w:rsidRDefault="00744EFC" w:rsidP="00B109D2">
      <w:pPr>
        <w:tabs>
          <w:tab w:val="left" w:pos="3000"/>
        </w:tabs>
        <w:autoSpaceDE w:val="0"/>
        <w:autoSpaceDN w:val="0"/>
        <w:adjustRightInd w:val="0"/>
        <w:spacing w:line="240" w:lineRule="auto"/>
      </w:pPr>
      <w:r w:rsidRPr="00E869A4">
        <w:t xml:space="preserve"> </w:t>
      </w:r>
    </w:p>
    <w:p w14:paraId="54B27F23" w14:textId="3ED40498" w:rsidR="00744EFC" w:rsidRPr="00E869A4" w:rsidRDefault="005F2AB0" w:rsidP="005F2AB0">
      <w:pPr>
        <w:spacing w:line="240" w:lineRule="auto"/>
        <w:ind w:left="567" w:firstLine="0"/>
      </w:pPr>
      <w:r w:rsidRPr="00E869A4">
        <w:t xml:space="preserve"> </w:t>
      </w:r>
      <w:r w:rsidR="00744EFC" w:rsidRPr="00E869A4">
        <w:t>[My mom] actually had to be hospitalised three times and the third one she died. It was a problem for her ‘cause she never liked being in hospital</w:t>
      </w:r>
      <w:r w:rsidRPr="00E869A4">
        <w:t xml:space="preserve"> </w:t>
      </w:r>
      <w:r w:rsidR="00744EFC" w:rsidRPr="00E869A4">
        <w:t xml:space="preserve">... I got to the point where I really prefer to deal with mom at home than to put her in a hospital, because from the time she get in the hospital she used to get into a mode of behaving and behaviour that was </w:t>
      </w:r>
      <w:proofErr w:type="spellStart"/>
      <w:r w:rsidR="00744EFC" w:rsidRPr="00E869A4">
        <w:t>worst</w:t>
      </w:r>
      <w:proofErr w:type="spellEnd"/>
      <w:r w:rsidR="00744EFC" w:rsidRPr="00E869A4">
        <w:t xml:space="preserve"> than usual. She wouldn’t eat the hospital food she want to eat her own biscuit or bread and butter or whatever it is. She would leave the hospital food. If they put her in a bed and put the catheter or [d]rips she would pull it out. She was a real bad case in terms of medical attention. But, luckily most of what was needed we were able to do it at home. The only time that she really had to go into the hospital was when she had those 2 </w:t>
      </w:r>
      <w:r w:rsidR="00744EFC" w:rsidRPr="00E869A4">
        <w:lastRenderedPageBreak/>
        <w:t>episodes with high blood sugar or low blood sugar. The third time actually …</w:t>
      </w:r>
      <w:r w:rsidRPr="00E869A4">
        <w:t xml:space="preserve"> </w:t>
      </w:r>
      <w:r w:rsidR="00744EFC" w:rsidRPr="00E869A4">
        <w:t>she was getting congestion on her chest - pneumonia. [My dad] is a joy as far as hospitalisation is concerned</w:t>
      </w:r>
      <w:r w:rsidRPr="00E869A4">
        <w:t xml:space="preserve"> </w:t>
      </w:r>
      <w:r w:rsidR="0034388C" w:rsidRPr="00E869A4">
        <w:t>…</w:t>
      </w:r>
      <w:r w:rsidR="00744EFC" w:rsidRPr="00E869A4">
        <w:t xml:space="preserve"> He is one of those people who will live long because he doh fuss about these kinds of things</w:t>
      </w:r>
      <w:r w:rsidRPr="00E869A4">
        <w:t xml:space="preserve"> </w:t>
      </w:r>
      <w:r w:rsidR="0034388C" w:rsidRPr="00E869A4">
        <w:t>…</w:t>
      </w:r>
      <w:r w:rsidRPr="00E869A4">
        <w:t xml:space="preserve"> </w:t>
      </w:r>
      <w:r w:rsidR="00744EFC" w:rsidRPr="00E869A4">
        <w:t>when I get older, I gonna have a lil bit of problem with … being unable to take care of myself and people having to clean me and all this kind of thing. He copes pretty well with it</w:t>
      </w:r>
      <w:r w:rsidR="0034388C" w:rsidRPr="00E869A4">
        <w:t xml:space="preserve"> … </w:t>
      </w:r>
      <w:r w:rsidR="00744EFC" w:rsidRPr="00E869A4">
        <w:t xml:space="preserve">He doesn’t make a big fuss about it </w:t>
      </w:r>
      <w:r w:rsidR="0034388C" w:rsidRPr="00E869A4">
        <w:t>…</w:t>
      </w:r>
      <w:r w:rsidR="00744EFC" w:rsidRPr="00E869A4">
        <w:t xml:space="preserve"> [My mom] accept nothing as it is. She, she’s a fighter. Everything must conform to her way of doing things</w:t>
      </w:r>
      <w:r w:rsidRPr="00E869A4">
        <w:t xml:space="preserve"> </w:t>
      </w:r>
      <w:r w:rsidR="00744EFC" w:rsidRPr="00E869A4">
        <w:t>… he’s a lil more moderate and more easy-going</w:t>
      </w:r>
      <w:r w:rsidRPr="00E869A4">
        <w:t>, yuh know: wha’ happen, happen.</w:t>
      </w:r>
    </w:p>
    <w:p w14:paraId="3FE49EBC" w14:textId="77777777" w:rsidR="00B21905" w:rsidRPr="00E869A4" w:rsidRDefault="00B21905" w:rsidP="00744EFC"/>
    <w:p w14:paraId="5EC44A03" w14:textId="77777777" w:rsidR="00744EFC" w:rsidRPr="00E869A4" w:rsidRDefault="00744EFC" w:rsidP="00744EFC">
      <w:r w:rsidRPr="00E869A4">
        <w:t>Mrs. Druman’s constant resistance of medical care placed Timothy in a challenging situation where he had to balance her objective and subjective care needs. In a bid to respect her independence, Timothy had to find creative solutions to care for her and to cope with her negative reactions when she resisted care. His deferred response to care provision (see section on deferring care strategy discussed below) could be misconstrued as negligence if his circumstances are not holistically considered. Policy providers and social service practitioners must be sensitive to such circumstances when treating with family elder care issues, lest persons providing exceptional support are prematurely labelled as negligent or abusive.</w:t>
      </w:r>
    </w:p>
    <w:p w14:paraId="39388B0C" w14:textId="77777777" w:rsidR="006E34BF" w:rsidRPr="00E869A4" w:rsidRDefault="006E34BF" w:rsidP="00744EFC"/>
    <w:p w14:paraId="75E6FA43" w14:textId="76FC7A49" w:rsidR="00744EFC" w:rsidRPr="00E869A4" w:rsidRDefault="00744EFC" w:rsidP="00744EFC">
      <w:r w:rsidRPr="00E869A4">
        <w:t xml:space="preserve">Rejection of care by older persons may result in a family caregiver revising their care management strategy by either restricting their caregiving duties or using one or more strategies associated with accepting or rejecting caregiving. </w:t>
      </w:r>
    </w:p>
    <w:p w14:paraId="391BCC82" w14:textId="77777777" w:rsidR="00744EFC" w:rsidRPr="00E869A4" w:rsidRDefault="00744EFC" w:rsidP="00744EFC">
      <w:pPr>
        <w:pBdr>
          <w:top w:val="nil"/>
          <w:left w:val="nil"/>
          <w:bottom w:val="nil"/>
          <w:right w:val="nil"/>
          <w:between w:val="nil"/>
        </w:pBdr>
        <w:spacing w:line="240" w:lineRule="auto"/>
        <w:rPr>
          <w:rFonts w:ascii="Times New Roman" w:eastAsia="Times New Roman" w:hAnsi="Times New Roman" w:cs="Times New Roman"/>
          <w:b/>
          <w:u w:val="single"/>
        </w:rPr>
      </w:pPr>
      <w:bookmarkStart w:id="344" w:name="_2et92p0" w:colFirst="0" w:colLast="0"/>
      <w:bookmarkEnd w:id="344"/>
    </w:p>
    <w:p w14:paraId="7A816DEA" w14:textId="77777777" w:rsidR="00744EFC" w:rsidRPr="00E869A4" w:rsidRDefault="00744EFC" w:rsidP="00744EFC">
      <w:pPr>
        <w:pBdr>
          <w:top w:val="nil"/>
          <w:left w:val="nil"/>
          <w:bottom w:val="nil"/>
          <w:right w:val="nil"/>
          <w:between w:val="nil"/>
        </w:pBdr>
        <w:spacing w:line="240" w:lineRule="auto"/>
        <w:rPr>
          <w:rFonts w:ascii="Times New Roman" w:eastAsia="Times New Roman" w:hAnsi="Times New Roman" w:cs="Times New Roman"/>
          <w:b/>
          <w:u w:val="single"/>
        </w:rPr>
      </w:pPr>
    </w:p>
    <w:p w14:paraId="5262B047" w14:textId="77777777" w:rsidR="00744EFC" w:rsidRPr="00E869A4" w:rsidRDefault="00744EFC" w:rsidP="00BD5AF8">
      <w:pPr>
        <w:pStyle w:val="Heading4"/>
      </w:pPr>
      <w:r w:rsidRPr="00E869A4">
        <w:t>Rejection of Caregiving Role by Family Members</w:t>
      </w:r>
    </w:p>
    <w:p w14:paraId="2F1180D1" w14:textId="77777777" w:rsidR="00744EFC" w:rsidRPr="00E869A4" w:rsidRDefault="00744EFC" w:rsidP="00744EFC">
      <w:pPr>
        <w:jc w:val="both"/>
        <w:rPr>
          <w:rFonts w:ascii="Times New Roman" w:eastAsia="Times New Roman" w:hAnsi="Times New Roman" w:cs="Times New Roman"/>
        </w:rPr>
      </w:pPr>
    </w:p>
    <w:p w14:paraId="08929EE0" w14:textId="389B5D2C" w:rsidR="005F2AB0" w:rsidRPr="00E869A4" w:rsidRDefault="00744EFC" w:rsidP="00DC1919">
      <w:pPr>
        <w:jc w:val="both"/>
        <w:rPr>
          <w:rFonts w:ascii="Times New Roman" w:eastAsia="Times New Roman" w:hAnsi="Times New Roman" w:cs="Times New Roman"/>
          <w:i/>
          <w:u w:val="single"/>
        </w:rPr>
      </w:pPr>
      <w:r w:rsidRPr="00E869A4">
        <w:rPr>
          <w:rFonts w:ascii="Times New Roman" w:eastAsia="Times New Roman" w:hAnsi="Times New Roman" w:cs="Times New Roman"/>
        </w:rPr>
        <w:t>Some family members who were considered by participants to be potential caregivers, decided to opt out or refuse to participate in the family care experience by either avoiding or evading care provision. Avoiding care and evading care behaviours are indicative of an incongruent care dynamic whereby the older person is willing to accept care, but the (potential) family caregiver refuses to provide care.</w:t>
      </w:r>
    </w:p>
    <w:p w14:paraId="200123AD" w14:textId="64360CB6" w:rsidR="00744EFC" w:rsidRPr="00E869A4" w:rsidRDefault="00BD5AF8" w:rsidP="0031040A">
      <w:pPr>
        <w:pStyle w:val="Heading5"/>
        <w:rPr>
          <w:rFonts w:eastAsia="Times New Roman"/>
          <w:color w:val="auto"/>
        </w:rPr>
      </w:pPr>
      <w:r w:rsidRPr="00E869A4">
        <w:rPr>
          <w:rFonts w:eastAsia="Times New Roman"/>
          <w:color w:val="auto"/>
        </w:rPr>
        <w:t>Avoiding c</w:t>
      </w:r>
      <w:r w:rsidR="00744EFC" w:rsidRPr="00E869A4">
        <w:rPr>
          <w:rFonts w:eastAsia="Times New Roman"/>
          <w:color w:val="auto"/>
        </w:rPr>
        <w:t xml:space="preserve">are </w:t>
      </w:r>
    </w:p>
    <w:p w14:paraId="66C25C6B" w14:textId="77777777" w:rsidR="00744EFC" w:rsidRPr="00E869A4" w:rsidRDefault="00744EFC" w:rsidP="00744EFC">
      <w:pPr>
        <w:rPr>
          <w:rFonts w:ascii="Times New Roman" w:eastAsia="Times New Roman" w:hAnsi="Times New Roman" w:cs="Times New Roman"/>
        </w:rPr>
      </w:pPr>
    </w:p>
    <w:p w14:paraId="69E01602" w14:textId="50FFAAE0"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Avoiding care refers to the caregiver (or potential family caregiver) intentionally removing him/herself from the care relationship, or actively engaging in behaviour that inadvertently disqualifies them from being a carer. Several of the participants in this study (older persons and family caregivers) shared about family members who they felt should have provided care, but seemed to be ignoring or </w:t>
      </w:r>
      <w:r w:rsidRPr="00E869A4">
        <w:rPr>
          <w:rFonts w:ascii="Times New Roman" w:eastAsia="Times New Roman" w:hAnsi="Times New Roman" w:cs="Times New Roman"/>
        </w:rPr>
        <w:lastRenderedPageBreak/>
        <w:t xml:space="preserve">avoiding their care needs, and did not provide any support to them. </w:t>
      </w:r>
      <w:r w:rsidR="00ED12E9"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Tanty Edna’s experience is a case in point. As indicated in the preceding chapter, Tanty Edna lamented that her daughter Eleta did not care for her. Eleta’s avoidance of </w:t>
      </w:r>
      <w:r w:rsidR="009F792A" w:rsidRPr="00E869A4">
        <w:rPr>
          <w:rFonts w:ascii="Times New Roman" w:eastAsia="Times New Roman" w:hAnsi="Times New Roman" w:cs="Times New Roman"/>
        </w:rPr>
        <w:t xml:space="preserve">providing </w:t>
      </w:r>
      <w:r w:rsidRPr="00E869A4">
        <w:rPr>
          <w:rFonts w:ascii="Times New Roman" w:eastAsia="Times New Roman" w:hAnsi="Times New Roman" w:cs="Times New Roman"/>
        </w:rPr>
        <w:t xml:space="preserve">care to her mother was a source of great distress for Tanty. </w:t>
      </w:r>
    </w:p>
    <w:p w14:paraId="54B9338D" w14:textId="77777777" w:rsidR="00744EFC" w:rsidRPr="00E869A4" w:rsidRDefault="00744EFC" w:rsidP="00744EFC">
      <w:pPr>
        <w:rPr>
          <w:rFonts w:ascii="Times New Roman" w:eastAsia="Times New Roman" w:hAnsi="Times New Roman" w:cs="Times New Roman"/>
        </w:rPr>
      </w:pPr>
    </w:p>
    <w:p w14:paraId="4F6309DA" w14:textId="4D05C3EB" w:rsidR="00744EFC" w:rsidRPr="00E869A4" w:rsidRDefault="00744EFC" w:rsidP="00925F25">
      <w:pPr>
        <w:rPr>
          <w:rFonts w:ascii="Times New Roman" w:eastAsia="Times New Roman" w:hAnsi="Times New Roman" w:cs="Times New Roman"/>
          <w:i/>
        </w:rPr>
      </w:pPr>
      <w:r w:rsidRPr="00E869A4">
        <w:rPr>
          <w:rFonts w:ascii="Times New Roman" w:eastAsia="Times New Roman" w:hAnsi="Times New Roman" w:cs="Times New Roman"/>
        </w:rPr>
        <w:t>Other family caregivers also shared about relatives who they perceived as avoiding caregiving. Samantha Khan noted that her brothers and sister</w:t>
      </w:r>
      <w:r w:rsidR="009F792A" w:rsidRPr="00E869A4">
        <w:rPr>
          <w:rFonts w:ascii="Times New Roman" w:eastAsia="Times New Roman" w:hAnsi="Times New Roman" w:cs="Times New Roman"/>
        </w:rPr>
        <w:t>s</w:t>
      </w:r>
      <w:r w:rsidRPr="00E869A4">
        <w:rPr>
          <w:rFonts w:ascii="Times New Roman" w:eastAsia="Times New Roman" w:hAnsi="Times New Roman" w:cs="Times New Roman"/>
        </w:rPr>
        <w:t>-in-law who did not live on the same property as she and her brother (Sunil) seemed to avoid visiting their father or giving their support. Mrs. Sanchez also complained that Mr. Sanchez’s family seemed to be avoiding giving support to him, even the ones that lived a few minutes away</w:t>
      </w:r>
      <w:r w:rsidR="00925F25" w:rsidRPr="00E869A4">
        <w:rPr>
          <w:rFonts w:ascii="Times New Roman" w:eastAsia="Times New Roman" w:hAnsi="Times New Roman" w:cs="Times New Roman"/>
        </w:rPr>
        <w:t xml:space="preserve"> (see previous Chapter)</w:t>
      </w:r>
    </w:p>
    <w:p w14:paraId="257DE2FD" w14:textId="77777777" w:rsidR="00744EFC" w:rsidRPr="00E869A4" w:rsidRDefault="00744EFC" w:rsidP="00744EFC">
      <w:pPr>
        <w:ind w:left="720"/>
        <w:rPr>
          <w:rFonts w:ascii="Times New Roman" w:eastAsia="Times New Roman" w:hAnsi="Times New Roman" w:cs="Times New Roman"/>
          <w:i/>
        </w:rPr>
      </w:pPr>
    </w:p>
    <w:p w14:paraId="6979C1E0" w14:textId="77777777" w:rsidR="00744EFC" w:rsidRPr="00E869A4" w:rsidRDefault="00BD5AF8" w:rsidP="0031040A">
      <w:pPr>
        <w:pStyle w:val="Heading5"/>
        <w:rPr>
          <w:rFonts w:eastAsia="Times New Roman"/>
          <w:color w:val="auto"/>
        </w:rPr>
      </w:pPr>
      <w:r w:rsidRPr="00E869A4">
        <w:rPr>
          <w:rFonts w:eastAsia="Times New Roman"/>
          <w:color w:val="auto"/>
        </w:rPr>
        <w:t xml:space="preserve">Evading </w:t>
      </w:r>
      <w:r w:rsidR="00744EFC" w:rsidRPr="00E869A4">
        <w:rPr>
          <w:rFonts w:eastAsia="Times New Roman"/>
          <w:color w:val="auto"/>
        </w:rPr>
        <w:t xml:space="preserve">Care </w:t>
      </w:r>
    </w:p>
    <w:p w14:paraId="7F0F9087" w14:textId="77777777" w:rsidR="00744EFC" w:rsidRPr="00E869A4" w:rsidRDefault="00744EFC" w:rsidP="00744EFC">
      <w:pPr>
        <w:rPr>
          <w:rFonts w:ascii="Times New Roman" w:eastAsia="Times New Roman" w:hAnsi="Times New Roman" w:cs="Times New Roman"/>
        </w:rPr>
      </w:pPr>
    </w:p>
    <w:p w14:paraId="1328894D" w14:textId="692529FE"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Evading care refers to covert behaviours of the family caregiver to avoid caregiving. These covert behaviours also included underhanded or nefarious practices. Some family caregivers evaded giving care </w:t>
      </w:r>
      <w:r w:rsidR="00925F25" w:rsidRPr="00E869A4">
        <w:rPr>
          <w:rFonts w:ascii="Times New Roman" w:eastAsia="Times New Roman" w:hAnsi="Times New Roman" w:cs="Times New Roman"/>
        </w:rPr>
        <w:t>to</w:t>
      </w:r>
      <w:r w:rsidRPr="00E869A4">
        <w:rPr>
          <w:rFonts w:ascii="Times New Roman" w:eastAsia="Times New Roman" w:hAnsi="Times New Roman" w:cs="Times New Roman"/>
        </w:rPr>
        <w:t xml:space="preserve"> preserve their own wellbeing and avoid role overload.  Omatee, a participant in the Trinidad focus group for example, admitted to misusing the public health services so that she could receive much needed respite care for herself</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15280500" w14:textId="77777777" w:rsidR="00744EFC" w:rsidRPr="00E869A4" w:rsidRDefault="00744EFC" w:rsidP="00DC1919">
      <w:pPr>
        <w:tabs>
          <w:tab w:val="left" w:pos="3000"/>
        </w:tabs>
        <w:autoSpaceDE w:val="0"/>
        <w:autoSpaceDN w:val="0"/>
        <w:adjustRightInd w:val="0"/>
        <w:spacing w:line="240" w:lineRule="auto"/>
        <w:rPr>
          <w:rFonts w:ascii="Times New Roman" w:eastAsia="Times New Roman" w:hAnsi="Times New Roman" w:cs="Times New Roman"/>
        </w:rPr>
      </w:pPr>
    </w:p>
    <w:p w14:paraId="3B54830D" w14:textId="4EF32E5A" w:rsidR="00744EFC" w:rsidRPr="00E869A4" w:rsidRDefault="00744EFC" w:rsidP="00AF39FD">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We live in a two story house my mother is upstairs. Which is safer for me … she knows she cannot go down the stairs</w:t>
      </w:r>
      <w:r w:rsidR="00AF39FD"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AF39FD" w:rsidRPr="00E869A4">
        <w:rPr>
          <w:rFonts w:ascii="Times New Roman" w:eastAsia="Times New Roman" w:hAnsi="Times New Roman" w:cs="Times New Roman"/>
        </w:rPr>
        <w:t xml:space="preserve"> </w:t>
      </w:r>
      <w:r w:rsidRPr="00E869A4">
        <w:rPr>
          <w:rFonts w:ascii="Times New Roman" w:eastAsia="Times New Roman" w:hAnsi="Times New Roman" w:cs="Times New Roman"/>
        </w:rPr>
        <w:t>she can’t go out the door. And getting mental care is extremely difficult. Getting my mother down the stairs with a stroke, and now she’s 83 is hard. She, last year she got a cold …</w:t>
      </w:r>
      <w:r w:rsidR="00AF39FD" w:rsidRPr="00E869A4">
        <w:rPr>
          <w:rFonts w:ascii="Times New Roman" w:eastAsia="Times New Roman" w:hAnsi="Times New Roman" w:cs="Times New Roman"/>
        </w:rPr>
        <w:t xml:space="preserve"> </w:t>
      </w:r>
      <w:r w:rsidRPr="00E869A4">
        <w:rPr>
          <w:rFonts w:ascii="Times New Roman" w:eastAsia="Times New Roman" w:hAnsi="Times New Roman" w:cs="Times New Roman"/>
        </w:rPr>
        <w:t>the cold got worse</w:t>
      </w:r>
      <w:r w:rsidR="00AF39FD"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I called my nephew, the [one whose] wife that takes care of my mother. I said </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Dinesh, your grandmother is ill. Come, get somebody to help you take her down the stairs: we’re taking her to [h]ospital</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The minute they saw her they said</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Your mother is very ill, she has bronchitis.</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xml:space="preserve"> They warded her…they took care of her. [Some time </w:t>
      </w:r>
      <w:r w:rsidR="0040148F" w:rsidRPr="00E869A4">
        <w:rPr>
          <w:rFonts w:ascii="Times New Roman" w:eastAsia="Times New Roman" w:hAnsi="Times New Roman" w:cs="Times New Roman"/>
        </w:rPr>
        <w:t>later</w:t>
      </w:r>
      <w:r w:rsidR="00AF39FD" w:rsidRPr="00E869A4">
        <w:rPr>
          <w:rFonts w:ascii="Times New Roman" w:eastAsia="Times New Roman" w:hAnsi="Times New Roman" w:cs="Times New Roman"/>
        </w:rPr>
        <w:t xml:space="preserve"> </w:t>
      </w:r>
      <w:r w:rsidR="00FD2ABA" w:rsidRPr="00E869A4">
        <w:rPr>
          <w:rFonts w:ascii="Times New Roman" w:eastAsia="Times New Roman" w:hAnsi="Times New Roman" w:cs="Times New Roman"/>
        </w:rPr>
        <w:t xml:space="preserve">… </w:t>
      </w:r>
      <w:r w:rsidR="00925F25" w:rsidRPr="00E869A4">
        <w:rPr>
          <w:rFonts w:ascii="Times New Roman" w:eastAsia="Times New Roman" w:hAnsi="Times New Roman" w:cs="Times New Roman"/>
        </w:rPr>
        <w:t>the</w:t>
      </w:r>
      <w:r w:rsidRPr="00E869A4">
        <w:rPr>
          <w:rFonts w:ascii="Times New Roman" w:eastAsia="Times New Roman" w:hAnsi="Times New Roman" w:cs="Times New Roman"/>
        </w:rPr>
        <w:t xml:space="preserve"> doctor called me and … she said</w:t>
      </w:r>
      <w:r w:rsidR="00AF39FD"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You know your mum could go home today</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I said</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No! I am sorry but I have nobody to take her up the stairs</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which is a lie, but I came home and sat down by myself in a chair for three hours. I just sat down like this. And I did no</w:t>
      </w:r>
      <w:r w:rsidR="00AF39FD" w:rsidRPr="00E869A4">
        <w:rPr>
          <w:rFonts w:ascii="Times New Roman" w:eastAsia="Times New Roman" w:hAnsi="Times New Roman" w:cs="Times New Roman"/>
        </w:rPr>
        <w:t>t put on the TV, radio, nothing</w:t>
      </w:r>
      <w:r w:rsidRPr="00E869A4">
        <w:rPr>
          <w:rFonts w:ascii="Times New Roman" w:eastAsia="Times New Roman" w:hAnsi="Times New Roman" w:cs="Times New Roman"/>
        </w:rPr>
        <w:t xml:space="preserve"> …</w:t>
      </w:r>
      <w:r w:rsidR="00AF39FD" w:rsidRPr="00E869A4">
        <w:rPr>
          <w:rFonts w:ascii="Times New Roman" w:eastAsia="Times New Roman" w:hAnsi="Times New Roman" w:cs="Times New Roman"/>
        </w:rPr>
        <w:t xml:space="preserve"> </w:t>
      </w:r>
      <w:r w:rsidRPr="00E869A4">
        <w:rPr>
          <w:rFonts w:ascii="Times New Roman" w:eastAsia="Times New Roman" w:hAnsi="Times New Roman" w:cs="Times New Roman"/>
        </w:rPr>
        <w:t>I couldn’t cope, I said</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r w:rsidR="001A7F37" w:rsidRPr="00E869A4">
        <w:rPr>
          <w:rFonts w:ascii="Times New Roman" w:eastAsia="Times New Roman" w:hAnsi="Times New Roman" w:cs="Times New Roman"/>
        </w:rPr>
        <w:t>‘O</w:t>
      </w:r>
      <w:r w:rsidRPr="00E869A4">
        <w:rPr>
          <w:rFonts w:ascii="Times New Roman" w:eastAsia="Times New Roman" w:hAnsi="Times New Roman" w:cs="Times New Roman"/>
        </w:rPr>
        <w:t>h God this lady coming back home today: Lord Jesus!</w:t>
      </w:r>
      <w:r w:rsidR="001A7F3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34347073" w14:textId="77777777" w:rsidR="00744EFC" w:rsidRPr="00E869A4" w:rsidRDefault="00744EFC" w:rsidP="00DC1919">
      <w:pPr>
        <w:tabs>
          <w:tab w:val="left" w:pos="3000"/>
        </w:tabs>
        <w:autoSpaceDE w:val="0"/>
        <w:autoSpaceDN w:val="0"/>
        <w:adjustRightInd w:val="0"/>
        <w:spacing w:line="240" w:lineRule="auto"/>
        <w:rPr>
          <w:rFonts w:ascii="Times New Roman" w:eastAsia="Times New Roman" w:hAnsi="Times New Roman" w:cs="Times New Roman"/>
        </w:rPr>
      </w:pPr>
    </w:p>
    <w:p w14:paraId="5ACAC6BD" w14:textId="5453AE13"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Omatee’s reluctance to resume caregiving is reflective of what resilience researchers such as Ungar (2016) describe as </w:t>
      </w:r>
      <w:r w:rsidR="001A7F37" w:rsidRPr="00E869A4">
        <w:rPr>
          <w:rFonts w:ascii="Times New Roman" w:eastAsia="Times New Roman" w:hAnsi="Times New Roman" w:cs="Times New Roman"/>
        </w:rPr>
        <w:t>sub-optimal</w:t>
      </w:r>
      <w:r w:rsidRPr="00E869A4">
        <w:rPr>
          <w:rFonts w:ascii="Times New Roman" w:eastAsia="Times New Roman" w:hAnsi="Times New Roman" w:cs="Times New Roman"/>
        </w:rPr>
        <w:t xml:space="preserve"> coping. </w:t>
      </w:r>
      <w:r w:rsidR="001A7F37" w:rsidRPr="00E869A4">
        <w:rPr>
          <w:rFonts w:ascii="Times New Roman" w:eastAsia="Times New Roman" w:hAnsi="Times New Roman" w:cs="Times New Roman"/>
        </w:rPr>
        <w:t xml:space="preserve">But, in the absence of adequate respite care services or support from other family members, and in an attempt to preserve their own health and wellbeing, the probability of carers employing </w:t>
      </w:r>
      <w:r w:rsidR="00FD2ABA" w:rsidRPr="00E869A4">
        <w:rPr>
          <w:rFonts w:ascii="Times New Roman" w:eastAsia="Times New Roman" w:hAnsi="Times New Roman" w:cs="Times New Roman"/>
        </w:rPr>
        <w:t xml:space="preserve">maladaptive </w:t>
      </w:r>
      <w:r w:rsidR="001A7F37" w:rsidRPr="00E869A4">
        <w:rPr>
          <w:rFonts w:ascii="Times New Roman" w:eastAsia="Times New Roman" w:hAnsi="Times New Roman" w:cs="Times New Roman"/>
        </w:rPr>
        <w:t>coping strateg</w:t>
      </w:r>
      <w:r w:rsidR="00FD2ABA" w:rsidRPr="00E869A4">
        <w:rPr>
          <w:rFonts w:ascii="Times New Roman" w:eastAsia="Times New Roman" w:hAnsi="Times New Roman" w:cs="Times New Roman"/>
        </w:rPr>
        <w:t>ies</w:t>
      </w:r>
      <w:r w:rsidR="001A7F37" w:rsidRPr="00E869A4">
        <w:rPr>
          <w:rFonts w:ascii="Times New Roman" w:eastAsia="Times New Roman" w:hAnsi="Times New Roman" w:cs="Times New Roman"/>
        </w:rPr>
        <w:t xml:space="preserve"> increases, which unfortunately may result in other systems and individuals being burdened. </w:t>
      </w:r>
    </w:p>
    <w:p w14:paraId="4FF1904A" w14:textId="472C7CC8" w:rsidR="00744EFC" w:rsidRPr="00E869A4" w:rsidRDefault="00744EFC" w:rsidP="00BD5AF8">
      <w:pPr>
        <w:pStyle w:val="Heading4"/>
        <w:rPr>
          <w:rFonts w:eastAsia="Times New Roman"/>
        </w:rPr>
      </w:pPr>
      <w:r w:rsidRPr="00E869A4">
        <w:rPr>
          <w:rFonts w:eastAsia="Times New Roman"/>
        </w:rPr>
        <w:lastRenderedPageBreak/>
        <w:t>Restrict</w:t>
      </w:r>
      <w:r w:rsidR="00BF41A5" w:rsidRPr="00E869A4">
        <w:rPr>
          <w:rFonts w:eastAsia="Times New Roman"/>
        </w:rPr>
        <w:t>ing Care</w:t>
      </w:r>
    </w:p>
    <w:p w14:paraId="01393ABB" w14:textId="77777777" w:rsidR="00744EFC" w:rsidRPr="00E869A4" w:rsidRDefault="00744EFC" w:rsidP="00744EFC">
      <w:pPr>
        <w:rPr>
          <w:rFonts w:ascii="Times New Roman" w:eastAsia="Times New Roman" w:hAnsi="Times New Roman" w:cs="Times New Roman"/>
        </w:rPr>
      </w:pPr>
    </w:p>
    <w:p w14:paraId="73F9D487" w14:textId="7ED5D1DB" w:rsidR="00463753" w:rsidRPr="00E869A4" w:rsidRDefault="00744EFC">
      <w:pPr>
        <w:rPr>
          <w:rFonts w:ascii="Times New Roman" w:eastAsia="Times New Roman" w:hAnsi="Times New Roman" w:cs="Times New Roman"/>
        </w:rPr>
      </w:pPr>
      <w:r w:rsidRPr="00E869A4">
        <w:rPr>
          <w:rFonts w:ascii="Times New Roman" w:eastAsia="Times New Roman" w:hAnsi="Times New Roman" w:cs="Times New Roman"/>
        </w:rPr>
        <w:t xml:space="preserve">There were instances where the caregiver limited the care they provided, either at the behest of their older relative or, because of their own constraints and preferences. This </w:t>
      </w:r>
      <w:r w:rsidR="006A32FE" w:rsidRPr="00E869A4">
        <w:rPr>
          <w:rFonts w:ascii="Times New Roman" w:eastAsia="Times New Roman" w:hAnsi="Times New Roman" w:cs="Times New Roman"/>
        </w:rPr>
        <w:t>restriction</w:t>
      </w:r>
      <w:r w:rsidRPr="00E869A4">
        <w:rPr>
          <w:rFonts w:ascii="Times New Roman" w:eastAsia="Times New Roman" w:hAnsi="Times New Roman" w:cs="Times New Roman"/>
        </w:rPr>
        <w:t xml:space="preserve"> of care was expressed via three main care management strategies: a</w:t>
      </w:r>
      <w:r w:rsidR="00FC07A9" w:rsidRPr="00E869A4">
        <w:rPr>
          <w:rFonts w:ascii="Times New Roman" w:eastAsia="Times New Roman" w:hAnsi="Times New Roman" w:cs="Times New Roman"/>
        </w:rPr>
        <w:t xml:space="preserve">) </w:t>
      </w:r>
      <w:r w:rsidR="00FC07A9" w:rsidRPr="00E869A4">
        <w:rPr>
          <w:rFonts w:ascii="Times New Roman" w:eastAsia="Times New Roman" w:hAnsi="Times New Roman" w:cs="Times New Roman"/>
          <w:i/>
        </w:rPr>
        <w:t>selective care</w:t>
      </w:r>
      <w:r w:rsidR="00FC07A9" w:rsidRPr="00E869A4">
        <w:rPr>
          <w:rFonts w:ascii="Times New Roman" w:eastAsia="Times New Roman" w:hAnsi="Times New Roman" w:cs="Times New Roman"/>
        </w:rPr>
        <w:t xml:space="preserve">; b) </w:t>
      </w:r>
      <w:r w:rsidR="00FC07A9" w:rsidRPr="00E869A4">
        <w:rPr>
          <w:rFonts w:ascii="Times New Roman" w:eastAsia="Times New Roman" w:hAnsi="Times New Roman" w:cs="Times New Roman"/>
          <w:i/>
        </w:rPr>
        <w:t xml:space="preserve">restrained </w:t>
      </w:r>
      <w:r w:rsidRPr="00E869A4">
        <w:rPr>
          <w:rFonts w:ascii="Times New Roman" w:eastAsia="Times New Roman" w:hAnsi="Times New Roman" w:cs="Times New Roman"/>
          <w:i/>
        </w:rPr>
        <w:t>care</w:t>
      </w:r>
      <w:r w:rsidRPr="00E869A4">
        <w:rPr>
          <w:rFonts w:ascii="Times New Roman" w:eastAsia="Times New Roman" w:hAnsi="Times New Roman" w:cs="Times New Roman"/>
        </w:rPr>
        <w:t xml:space="preserve">; and c) </w:t>
      </w:r>
      <w:r w:rsidRPr="00E869A4">
        <w:rPr>
          <w:rFonts w:ascii="Times New Roman" w:eastAsia="Times New Roman" w:hAnsi="Times New Roman" w:cs="Times New Roman"/>
          <w:i/>
        </w:rPr>
        <w:t>deferred care</w:t>
      </w:r>
      <w:r w:rsidRPr="00E869A4">
        <w:rPr>
          <w:rFonts w:ascii="Times New Roman" w:eastAsia="Times New Roman" w:hAnsi="Times New Roman" w:cs="Times New Roman"/>
        </w:rPr>
        <w:t xml:space="preserve">. </w:t>
      </w:r>
    </w:p>
    <w:p w14:paraId="6BE0AE20" w14:textId="77777777" w:rsidR="00BF41A5" w:rsidRPr="00E869A4" w:rsidRDefault="00BF41A5">
      <w:pPr>
        <w:rPr>
          <w:rFonts w:ascii="Times New Roman" w:eastAsia="Times New Roman" w:hAnsi="Times New Roman" w:cs="Times New Roman"/>
          <w:i/>
          <w:u w:val="single"/>
        </w:rPr>
      </w:pPr>
    </w:p>
    <w:p w14:paraId="137E027F" w14:textId="35400483" w:rsidR="00744EFC" w:rsidRPr="00E869A4" w:rsidRDefault="00744EFC" w:rsidP="0031040A">
      <w:pPr>
        <w:pStyle w:val="Heading5"/>
        <w:rPr>
          <w:rFonts w:eastAsia="Times New Roman"/>
          <w:color w:val="auto"/>
        </w:rPr>
      </w:pPr>
      <w:r w:rsidRPr="00E869A4">
        <w:rPr>
          <w:rFonts w:eastAsia="Times New Roman"/>
          <w:color w:val="auto"/>
        </w:rPr>
        <w:t>Selective</w:t>
      </w:r>
      <w:r w:rsidR="00BD5AF8" w:rsidRPr="00E869A4">
        <w:rPr>
          <w:rFonts w:eastAsia="Times New Roman"/>
          <w:color w:val="auto"/>
        </w:rPr>
        <w:t xml:space="preserve"> c</w:t>
      </w:r>
      <w:r w:rsidRPr="00E869A4">
        <w:rPr>
          <w:rFonts w:eastAsia="Times New Roman"/>
          <w:color w:val="auto"/>
        </w:rPr>
        <w:t xml:space="preserve">are </w:t>
      </w:r>
    </w:p>
    <w:p w14:paraId="6432835C" w14:textId="77777777" w:rsidR="00BD5AF8" w:rsidRPr="00E869A4" w:rsidRDefault="00BD5AF8" w:rsidP="00BD5AF8"/>
    <w:p w14:paraId="00E65D7B" w14:textId="0606D79C"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Selective care refers to the family caregiver intentionally limiting the care they provide, given their personal </w:t>
      </w:r>
      <w:r w:rsidR="000D1AFC" w:rsidRPr="00E869A4">
        <w:rPr>
          <w:rFonts w:ascii="Times New Roman" w:eastAsia="Times New Roman" w:hAnsi="Times New Roman" w:cs="Times New Roman"/>
        </w:rPr>
        <w:t>preferences, which</w:t>
      </w:r>
      <w:r w:rsidRPr="00E869A4">
        <w:rPr>
          <w:rFonts w:ascii="Times New Roman" w:eastAsia="Times New Roman" w:hAnsi="Times New Roman" w:cs="Times New Roman"/>
        </w:rPr>
        <w:t xml:space="preserve"> may be aligned to their skill, availability or emotional capacity to provide care. This type of care occurs in an incongruent care dynamic in that the older person is willing for the family caregiver to provide care but, what they expected of the caregiver was not fully aligned to what the caregiver wanted to provide. This care management strategy is similar to ‘</w:t>
      </w:r>
      <w:r w:rsidRPr="00E869A4">
        <w:rPr>
          <w:rFonts w:ascii="Times New Roman" w:eastAsia="Times New Roman" w:hAnsi="Times New Roman" w:cs="Times New Roman"/>
          <w:i/>
        </w:rPr>
        <w:t>reserved acceptance</w:t>
      </w:r>
      <w:r w:rsidRPr="00E869A4">
        <w:rPr>
          <w:rFonts w:ascii="Times New Roman" w:eastAsia="Times New Roman" w:hAnsi="Times New Roman" w:cs="Times New Roman"/>
        </w:rPr>
        <w:t xml:space="preserve">’ by the older person except that with reserved care acceptance, the older person is not willing for the family caregiver to provide care, but still allows them to undertake the care tasks they wish to provide. </w:t>
      </w:r>
    </w:p>
    <w:p w14:paraId="209CF13B" w14:textId="77777777" w:rsidR="00744EFC" w:rsidRPr="00E869A4" w:rsidRDefault="00744EFC" w:rsidP="00744EFC">
      <w:pPr>
        <w:rPr>
          <w:rFonts w:ascii="Times New Roman" w:eastAsia="Times New Roman" w:hAnsi="Times New Roman" w:cs="Times New Roman"/>
        </w:rPr>
      </w:pPr>
    </w:p>
    <w:p w14:paraId="3FDF2B18" w14:textId="65C09C21"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Selective care may be applied at different levels of the ecological system of care i.e. </w:t>
      </w:r>
      <w:r w:rsidR="000D1AFC" w:rsidRPr="00E869A4">
        <w:rPr>
          <w:rFonts w:ascii="Times New Roman" w:eastAsia="Times New Roman" w:hAnsi="Times New Roman" w:cs="Times New Roman"/>
        </w:rPr>
        <w:t>1</w:t>
      </w:r>
      <w:r w:rsidRPr="00E869A4">
        <w:rPr>
          <w:rFonts w:ascii="Times New Roman" w:eastAsia="Times New Roman" w:hAnsi="Times New Roman" w:cs="Times New Roman"/>
        </w:rPr>
        <w:t xml:space="preserve">) at the interpersonal level such as with the decision making process between the family caregiver and care recipient </w:t>
      </w:r>
      <w:r w:rsidRPr="00E869A4">
        <w:rPr>
          <w:rFonts w:ascii="Times New Roman" w:eastAsia="Times New Roman" w:hAnsi="Times New Roman" w:cs="Times New Roman"/>
          <w:i/>
        </w:rPr>
        <w:t>vis à vis</w:t>
      </w:r>
      <w:r w:rsidRPr="00E869A4">
        <w:rPr>
          <w:rFonts w:ascii="Times New Roman" w:eastAsia="Times New Roman" w:hAnsi="Times New Roman" w:cs="Times New Roman"/>
        </w:rPr>
        <w:t xml:space="preserve"> direct care provision; </w:t>
      </w:r>
      <w:r w:rsidR="000D1AFC" w:rsidRPr="00E869A4">
        <w:rPr>
          <w:rFonts w:ascii="Times New Roman" w:eastAsia="Times New Roman" w:hAnsi="Times New Roman" w:cs="Times New Roman"/>
        </w:rPr>
        <w:t>2</w:t>
      </w:r>
      <w:r w:rsidRPr="00E869A4">
        <w:rPr>
          <w:rFonts w:ascii="Times New Roman" w:eastAsia="Times New Roman" w:hAnsi="Times New Roman" w:cs="Times New Roman"/>
        </w:rPr>
        <w:t>) the use of secondary or paid caregivers</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w:t>
      </w:r>
      <w:r w:rsidR="00022436"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r w:rsidR="000D1AFC" w:rsidRPr="00E869A4">
        <w:rPr>
          <w:rFonts w:ascii="Times New Roman" w:eastAsia="Times New Roman" w:hAnsi="Times New Roman" w:cs="Times New Roman"/>
        </w:rPr>
        <w:t>3</w:t>
      </w:r>
      <w:r w:rsidRPr="00E869A4">
        <w:rPr>
          <w:rFonts w:ascii="Times New Roman" w:eastAsia="Times New Roman" w:hAnsi="Times New Roman" w:cs="Times New Roman"/>
        </w:rPr>
        <w:t xml:space="preserve">) with respect to the use of formal services. It could also be described as positive restraint, and can be viewed as an optimal coping strategy (Ungar 2016). </w:t>
      </w:r>
    </w:p>
    <w:p w14:paraId="6F8501B5" w14:textId="77777777" w:rsidR="00744EFC" w:rsidRPr="00E869A4" w:rsidRDefault="00744EFC" w:rsidP="00744EFC">
      <w:pPr>
        <w:rPr>
          <w:rFonts w:ascii="Times New Roman" w:eastAsia="Times New Roman" w:hAnsi="Times New Roman" w:cs="Times New Roman"/>
        </w:rPr>
      </w:pPr>
    </w:p>
    <w:p w14:paraId="75ABD38F" w14:textId="1A405FA7" w:rsidR="00744EFC" w:rsidRPr="00E869A4" w:rsidRDefault="00744EFC" w:rsidP="000D1AFC">
      <w:pPr>
        <w:rPr>
          <w:rFonts w:ascii="Times New Roman" w:eastAsia="Times New Roman" w:hAnsi="Times New Roman" w:cs="Times New Roman"/>
          <w:i/>
        </w:rPr>
      </w:pPr>
      <w:r w:rsidRPr="00E869A4">
        <w:rPr>
          <w:rFonts w:ascii="Times New Roman" w:eastAsia="Times New Roman" w:hAnsi="Times New Roman" w:cs="Times New Roman"/>
        </w:rPr>
        <w:t>Rebecca’s decision to not provide direct care to her mother is an example of a selective caregiving strategy. Having someone help with her mo</w:t>
      </w:r>
      <w:r w:rsidR="008216DF" w:rsidRPr="00E869A4">
        <w:rPr>
          <w:rFonts w:ascii="Times New Roman" w:eastAsia="Times New Roman" w:hAnsi="Times New Roman" w:cs="Times New Roman"/>
        </w:rPr>
        <w:t>ther</w:t>
      </w:r>
      <w:r w:rsidRPr="00E869A4">
        <w:rPr>
          <w:rFonts w:ascii="Times New Roman" w:eastAsia="Times New Roman" w:hAnsi="Times New Roman" w:cs="Times New Roman"/>
        </w:rPr>
        <w:t xml:space="preserve">’s physical needs was also a means by which she could cope with the emotional strain of caring, and minimise role overload. Prior to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 becoming dependent on her for care, Rebecca was the full time caregiver to her husband who was diagnosed with cancer. This took an emotional toll on her: she was still grieving this loss, as well as the death of her young nephew when she was interviewed for this study. Not becoming directly involved in caring for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 helped her cope with the emotional pain and anticipatory grief that she suffered</w:t>
      </w:r>
      <w:r w:rsidR="000D1AFC" w:rsidRPr="00E869A4">
        <w:rPr>
          <w:rFonts w:ascii="Times New Roman" w:eastAsia="Times New Roman" w:hAnsi="Times New Roman" w:cs="Times New Roman"/>
        </w:rPr>
        <w:t>.</w:t>
      </w:r>
    </w:p>
    <w:p w14:paraId="0E8D782D" w14:textId="77777777" w:rsidR="008216DF" w:rsidRPr="00E869A4" w:rsidRDefault="008216DF" w:rsidP="00744EFC">
      <w:pPr>
        <w:rPr>
          <w:rFonts w:ascii="Times New Roman" w:eastAsia="Times New Roman" w:hAnsi="Times New Roman" w:cs="Times New Roman"/>
        </w:rPr>
      </w:pPr>
    </w:p>
    <w:p w14:paraId="5BE016F3" w14:textId="5F8FD0C8"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lastRenderedPageBreak/>
        <w:t xml:space="preserve">Rebecca was selective about taking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 to her social events if the events conflicted with other urgent tasks she needed to complete such as completing assignments for her post graduate programme. </w:t>
      </w:r>
    </w:p>
    <w:p w14:paraId="3EDD47D0" w14:textId="77777777" w:rsidR="00744EFC" w:rsidRPr="00E869A4" w:rsidRDefault="00744EFC" w:rsidP="00DC1919">
      <w:pPr>
        <w:spacing w:line="240" w:lineRule="auto"/>
        <w:rPr>
          <w:rFonts w:ascii="Times New Roman" w:eastAsia="Times New Roman" w:hAnsi="Times New Roman" w:cs="Times New Roman"/>
        </w:rPr>
      </w:pPr>
    </w:p>
    <w:p w14:paraId="4A18C0BE" w14:textId="7C8B2A62" w:rsidR="00744EFC" w:rsidRPr="00E869A4" w:rsidRDefault="00744EFC" w:rsidP="009E0368">
      <w:pPr>
        <w:spacing w:line="240" w:lineRule="auto"/>
        <w:rPr>
          <w:rFonts w:ascii="Times New Roman" w:eastAsia="Times New Roman" w:hAnsi="Times New Roman" w:cs="Times New Roman"/>
        </w:rPr>
      </w:pPr>
      <w:r w:rsidRPr="00E869A4">
        <w:rPr>
          <w:rFonts w:ascii="Times New Roman" w:eastAsia="Times New Roman" w:hAnsi="Times New Roman" w:cs="Times New Roman"/>
          <w:i/>
        </w:rPr>
        <w:tab/>
        <w:t>Hyacinth</w:t>
      </w:r>
      <w:r w:rsidRPr="00E869A4">
        <w:rPr>
          <w:rFonts w:ascii="Times New Roman" w:eastAsia="Times New Roman" w:hAnsi="Times New Roman" w:cs="Times New Roman"/>
        </w:rPr>
        <w:t xml:space="preserve">: </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So you’ll be going to the next [meeting of the Golden Girls on Saturday]?</w:t>
      </w:r>
      <w:r w:rsidR="008216DF" w:rsidRPr="00E869A4">
        <w:rPr>
          <w:rFonts w:ascii="Times New Roman" w:eastAsia="Times New Roman" w:hAnsi="Times New Roman" w:cs="Times New Roman"/>
        </w:rPr>
        <w:t>”</w:t>
      </w:r>
    </w:p>
    <w:p w14:paraId="5E8DCBFB" w14:textId="77777777" w:rsidR="009E0368" w:rsidRPr="00E869A4" w:rsidRDefault="009E0368" w:rsidP="009E0368">
      <w:pPr>
        <w:spacing w:line="240" w:lineRule="auto"/>
        <w:rPr>
          <w:rFonts w:ascii="Times New Roman" w:eastAsia="Times New Roman" w:hAnsi="Times New Roman" w:cs="Times New Roman"/>
        </w:rPr>
      </w:pPr>
    </w:p>
    <w:p w14:paraId="32A70C1F" w14:textId="293290C8" w:rsidR="00744EFC" w:rsidRPr="00E869A4" w:rsidRDefault="00744EFC" w:rsidP="009E0368">
      <w:pPr>
        <w:spacing w:line="240" w:lineRule="auto"/>
        <w:rPr>
          <w:rFonts w:ascii="Times New Roman" w:eastAsia="Times New Roman" w:hAnsi="Times New Roman" w:cs="Times New Roman"/>
        </w:rPr>
      </w:pPr>
      <w:r w:rsidRPr="00E869A4">
        <w:rPr>
          <w:rFonts w:ascii="Times New Roman" w:eastAsia="Times New Roman" w:hAnsi="Times New Roman" w:cs="Times New Roman"/>
        </w:rPr>
        <w:tab/>
      </w:r>
      <w:r w:rsidRPr="00E869A4">
        <w:rPr>
          <w:rFonts w:ascii="Times New Roman" w:eastAsia="Times New Roman" w:hAnsi="Times New Roman" w:cs="Times New Roman"/>
          <w:i/>
        </w:rPr>
        <w:t>Ms. Kumar</w:t>
      </w:r>
      <w:r w:rsidRPr="00E869A4">
        <w:rPr>
          <w:rFonts w:ascii="Times New Roman" w:eastAsia="Times New Roman" w:hAnsi="Times New Roman" w:cs="Times New Roman"/>
        </w:rPr>
        <w:t xml:space="preserve">: </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I want to go</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00D7484F" w14:textId="77777777" w:rsidR="009E0368" w:rsidRPr="00E869A4" w:rsidRDefault="009E0368" w:rsidP="009E0368">
      <w:pPr>
        <w:spacing w:line="240" w:lineRule="auto"/>
        <w:rPr>
          <w:rFonts w:ascii="Times New Roman" w:eastAsia="Times New Roman" w:hAnsi="Times New Roman" w:cs="Times New Roman"/>
        </w:rPr>
      </w:pPr>
    </w:p>
    <w:p w14:paraId="4D88C599" w14:textId="13E906A0" w:rsidR="00744EFC" w:rsidRPr="00E869A4" w:rsidRDefault="00744EFC" w:rsidP="009E0368">
      <w:pPr>
        <w:spacing w:line="240" w:lineRule="auto"/>
        <w:rPr>
          <w:rFonts w:ascii="Times New Roman" w:eastAsia="Times New Roman" w:hAnsi="Times New Roman" w:cs="Times New Roman"/>
        </w:rPr>
      </w:pPr>
      <w:r w:rsidRPr="00E869A4">
        <w:rPr>
          <w:rFonts w:ascii="Times New Roman" w:eastAsia="Times New Roman" w:hAnsi="Times New Roman" w:cs="Times New Roman"/>
        </w:rPr>
        <w:tab/>
      </w:r>
      <w:r w:rsidRPr="00E869A4">
        <w:rPr>
          <w:rFonts w:ascii="Times New Roman" w:eastAsia="Times New Roman" w:hAnsi="Times New Roman" w:cs="Times New Roman"/>
          <w:i/>
        </w:rPr>
        <w:t>Rebecca</w:t>
      </w:r>
      <w:r w:rsidRPr="00E869A4">
        <w:rPr>
          <w:rFonts w:ascii="Times New Roman" w:eastAsia="Times New Roman" w:hAnsi="Times New Roman" w:cs="Times New Roman"/>
        </w:rPr>
        <w:t xml:space="preserve">: </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It depends on how she feels eh</w:t>
      </w:r>
      <w:r w:rsidR="00022436" w:rsidRPr="00E869A4">
        <w:rPr>
          <w:rFonts w:ascii="Times New Roman" w:eastAsia="Times New Roman" w:hAnsi="Times New Roman" w:cs="Times New Roman"/>
        </w:rPr>
        <w:t xml:space="preserve"> </w:t>
      </w:r>
      <w:r w:rsidRPr="00E869A4">
        <w:rPr>
          <w:rFonts w:ascii="Times New Roman" w:eastAsia="Times New Roman" w:hAnsi="Times New Roman" w:cs="Times New Roman"/>
        </w:rPr>
        <w:t>… Week before we had one…</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5DFDB64B" w14:textId="77777777" w:rsidR="009E0368" w:rsidRPr="00E869A4" w:rsidRDefault="009E0368" w:rsidP="009E0368">
      <w:pPr>
        <w:spacing w:line="240" w:lineRule="auto"/>
        <w:rPr>
          <w:rFonts w:ascii="Times New Roman" w:eastAsia="Times New Roman" w:hAnsi="Times New Roman" w:cs="Times New Roman"/>
        </w:rPr>
      </w:pPr>
    </w:p>
    <w:p w14:paraId="13114B3D" w14:textId="2E963483" w:rsidR="00744EFC" w:rsidRPr="00E869A4" w:rsidRDefault="00744EFC" w:rsidP="009E0368">
      <w:pPr>
        <w:spacing w:line="240" w:lineRule="auto"/>
        <w:rPr>
          <w:rFonts w:ascii="Times New Roman" w:eastAsia="Times New Roman" w:hAnsi="Times New Roman" w:cs="Times New Roman"/>
        </w:rPr>
      </w:pPr>
      <w:r w:rsidRPr="00E869A4">
        <w:rPr>
          <w:rFonts w:ascii="Times New Roman" w:eastAsia="Times New Roman" w:hAnsi="Times New Roman" w:cs="Times New Roman"/>
        </w:rPr>
        <w:tab/>
      </w:r>
      <w:r w:rsidRPr="00E869A4">
        <w:rPr>
          <w:rFonts w:ascii="Times New Roman" w:eastAsia="Times New Roman" w:hAnsi="Times New Roman" w:cs="Times New Roman"/>
          <w:i/>
        </w:rPr>
        <w:t>Ms. Kumar</w:t>
      </w:r>
      <w:r w:rsidRPr="00E869A4">
        <w:rPr>
          <w:rFonts w:ascii="Times New Roman" w:eastAsia="Times New Roman" w:hAnsi="Times New Roman" w:cs="Times New Roman"/>
        </w:rPr>
        <w:t xml:space="preserve">: </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And they don’t only invite me … they does invite Becky</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694752E8" w14:textId="77777777" w:rsidR="009E0368" w:rsidRPr="00E869A4" w:rsidRDefault="009E0368" w:rsidP="009E0368">
      <w:pPr>
        <w:spacing w:line="240" w:lineRule="auto"/>
        <w:rPr>
          <w:rFonts w:ascii="Times New Roman" w:eastAsia="Times New Roman" w:hAnsi="Times New Roman" w:cs="Times New Roman"/>
        </w:rPr>
      </w:pPr>
    </w:p>
    <w:p w14:paraId="19800FAC" w14:textId="1DC55F9D" w:rsidR="00744EFC" w:rsidRPr="00E869A4" w:rsidRDefault="00744EFC" w:rsidP="009E0368">
      <w:pPr>
        <w:spacing w:line="240" w:lineRule="auto"/>
        <w:rPr>
          <w:rFonts w:ascii="Times New Roman" w:eastAsia="Times New Roman" w:hAnsi="Times New Roman" w:cs="Times New Roman"/>
        </w:rPr>
      </w:pPr>
      <w:r w:rsidRPr="00E869A4">
        <w:rPr>
          <w:rFonts w:ascii="Times New Roman" w:eastAsia="Times New Roman" w:hAnsi="Times New Roman" w:cs="Times New Roman"/>
        </w:rPr>
        <w:tab/>
      </w:r>
      <w:r w:rsidRPr="00E869A4">
        <w:rPr>
          <w:rFonts w:ascii="Times New Roman" w:eastAsia="Times New Roman" w:hAnsi="Times New Roman" w:cs="Times New Roman"/>
          <w:i/>
        </w:rPr>
        <w:t>Rebecca</w:t>
      </w:r>
      <w:r w:rsidRPr="00E869A4">
        <w:rPr>
          <w:rFonts w:ascii="Times New Roman" w:eastAsia="Times New Roman" w:hAnsi="Times New Roman" w:cs="Times New Roman"/>
        </w:rPr>
        <w:t xml:space="preserve">: </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Well I’m the one to take her</w:t>
      </w:r>
      <w:r w:rsidR="008216DF" w:rsidRPr="00E869A4">
        <w:rPr>
          <w:rFonts w:ascii="Times New Roman" w:eastAsia="Times New Roman" w:hAnsi="Times New Roman" w:cs="Times New Roman"/>
        </w:rPr>
        <w:t>.”</w:t>
      </w:r>
    </w:p>
    <w:p w14:paraId="704476A7" w14:textId="77777777" w:rsidR="009E0368" w:rsidRPr="00E869A4" w:rsidRDefault="009E0368" w:rsidP="009E0368">
      <w:pPr>
        <w:spacing w:line="240" w:lineRule="auto"/>
        <w:rPr>
          <w:rFonts w:ascii="Times New Roman" w:eastAsia="Times New Roman" w:hAnsi="Times New Roman" w:cs="Times New Roman"/>
        </w:rPr>
      </w:pPr>
    </w:p>
    <w:p w14:paraId="60E5E8EA" w14:textId="7439B993" w:rsidR="00744EFC" w:rsidRPr="00E869A4" w:rsidRDefault="00744EFC" w:rsidP="009E0368">
      <w:pPr>
        <w:spacing w:line="240" w:lineRule="auto"/>
        <w:rPr>
          <w:rFonts w:ascii="Times New Roman" w:eastAsia="Times New Roman" w:hAnsi="Times New Roman" w:cs="Times New Roman"/>
        </w:rPr>
      </w:pPr>
      <w:r w:rsidRPr="00E869A4">
        <w:rPr>
          <w:rFonts w:ascii="Times New Roman" w:eastAsia="Times New Roman" w:hAnsi="Times New Roman" w:cs="Times New Roman"/>
        </w:rPr>
        <w:tab/>
      </w:r>
      <w:r w:rsidRPr="00E869A4">
        <w:rPr>
          <w:rFonts w:ascii="Times New Roman" w:eastAsia="Times New Roman" w:hAnsi="Times New Roman" w:cs="Times New Roman"/>
          <w:i/>
        </w:rPr>
        <w:t>Ms. Kumar</w:t>
      </w:r>
      <w:r w:rsidRPr="00E869A4">
        <w:rPr>
          <w:rFonts w:ascii="Times New Roman" w:eastAsia="Times New Roman" w:hAnsi="Times New Roman" w:cs="Times New Roman"/>
        </w:rPr>
        <w:t xml:space="preserve">: </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And de lady who works with me in de night, they invite her also</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0D88E5D9" w14:textId="77777777" w:rsidR="009E0368" w:rsidRPr="00E869A4" w:rsidRDefault="009E0368" w:rsidP="009E0368">
      <w:pPr>
        <w:spacing w:line="240" w:lineRule="auto"/>
        <w:rPr>
          <w:rFonts w:ascii="Times New Roman" w:eastAsia="Times New Roman" w:hAnsi="Times New Roman" w:cs="Times New Roman"/>
        </w:rPr>
      </w:pPr>
    </w:p>
    <w:p w14:paraId="6F253205" w14:textId="5483CE5B" w:rsidR="00744EFC" w:rsidRPr="00E869A4" w:rsidRDefault="00744EFC" w:rsidP="009E0368">
      <w:pPr>
        <w:spacing w:line="240" w:lineRule="auto"/>
        <w:rPr>
          <w:rFonts w:ascii="Times New Roman" w:eastAsia="Times New Roman" w:hAnsi="Times New Roman" w:cs="Times New Roman"/>
        </w:rPr>
      </w:pPr>
      <w:r w:rsidRPr="00E869A4">
        <w:rPr>
          <w:rFonts w:ascii="Times New Roman" w:eastAsia="Times New Roman" w:hAnsi="Times New Roman" w:cs="Times New Roman"/>
        </w:rPr>
        <w:tab/>
      </w:r>
      <w:r w:rsidRPr="00E869A4">
        <w:rPr>
          <w:rFonts w:ascii="Times New Roman" w:eastAsia="Times New Roman" w:hAnsi="Times New Roman" w:cs="Times New Roman"/>
          <w:i/>
        </w:rPr>
        <w:t>Rebecca</w:t>
      </w:r>
      <w:r w:rsidRPr="00E869A4">
        <w:rPr>
          <w:rFonts w:ascii="Times New Roman" w:eastAsia="Times New Roman" w:hAnsi="Times New Roman" w:cs="Times New Roman"/>
        </w:rPr>
        <w:t xml:space="preserve">: </w:t>
      </w:r>
      <w:r w:rsidR="008216DF" w:rsidRPr="00E869A4">
        <w:rPr>
          <w:rFonts w:ascii="Times New Roman" w:eastAsia="Times New Roman" w:hAnsi="Times New Roman" w:cs="Times New Roman"/>
        </w:rPr>
        <w:t>“</w:t>
      </w:r>
      <w:r w:rsidRPr="00E869A4">
        <w:rPr>
          <w:rFonts w:ascii="Times New Roman" w:eastAsia="Times New Roman" w:hAnsi="Times New Roman" w:cs="Times New Roman"/>
        </w:rPr>
        <w:t>I’m too busy Saturday – I have a big exam coming up this Tuesday</w:t>
      </w:r>
      <w:r w:rsidR="008216DF" w:rsidRPr="00E869A4">
        <w:rPr>
          <w:rFonts w:ascii="Times New Roman" w:eastAsia="Times New Roman" w:hAnsi="Times New Roman" w:cs="Times New Roman"/>
        </w:rPr>
        <w:t>.”</w:t>
      </w:r>
    </w:p>
    <w:p w14:paraId="00FCE1EE" w14:textId="77777777" w:rsidR="00744EFC" w:rsidRPr="00E869A4" w:rsidRDefault="00744EFC" w:rsidP="00DC1919">
      <w:pPr>
        <w:spacing w:line="240" w:lineRule="auto"/>
        <w:rPr>
          <w:rFonts w:ascii="Times New Roman" w:eastAsia="Times New Roman" w:hAnsi="Times New Roman" w:cs="Times New Roman"/>
        </w:rPr>
      </w:pPr>
    </w:p>
    <w:p w14:paraId="00742189" w14:textId="479637D1"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Mrs. Sanchez also used a selective caregiving approach. In order to cope with the subjective burden she experienced while caring for her severely dependent husband, Mrs. Sanchez chose to limit the time she provided care</w:t>
      </w:r>
      <w:r w:rsidR="00FD3658"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02372F7C" w14:textId="77777777" w:rsidR="00744EFC" w:rsidRPr="00E869A4" w:rsidRDefault="00744EFC" w:rsidP="00DC1919">
      <w:pPr>
        <w:spacing w:line="240" w:lineRule="auto"/>
        <w:rPr>
          <w:rFonts w:ascii="Times New Roman" w:eastAsia="Times New Roman" w:hAnsi="Times New Roman" w:cs="Times New Roman"/>
        </w:rPr>
      </w:pPr>
    </w:p>
    <w:p w14:paraId="1A255531" w14:textId="5848087B" w:rsidR="00744EFC" w:rsidRPr="00E869A4" w:rsidRDefault="00744EFC" w:rsidP="00C807E6">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Well [his pension is] what he surviving on. Now that is what I pay the bills I buy the food and the lil change that I get I’m trying to save something to see if we could get a house</w:t>
      </w:r>
      <w:r w:rsidR="00E95F75" w:rsidRPr="00E869A4">
        <w:rPr>
          <w:rFonts w:ascii="Times New Roman" w:eastAsia="Times New Roman" w:hAnsi="Times New Roman" w:cs="Times New Roman"/>
        </w:rPr>
        <w:t xml:space="preserve"> </w:t>
      </w:r>
      <w:r w:rsidRPr="00E869A4">
        <w:rPr>
          <w:rFonts w:ascii="Times New Roman" w:eastAsia="Times New Roman" w:hAnsi="Times New Roman" w:cs="Times New Roman"/>
        </w:rPr>
        <w:t>… I trying to save up some more in case anything happen, and let’s say I did not get a house, at least I have some money to pay for the house</w:t>
      </w:r>
      <w:r w:rsidR="00C807E6" w:rsidRPr="00E869A4">
        <w:rPr>
          <w:rFonts w:ascii="Times New Roman" w:eastAsia="Times New Roman" w:hAnsi="Times New Roman" w:cs="Times New Roman"/>
        </w:rPr>
        <w:t xml:space="preserve"> </w:t>
      </w:r>
      <w:r w:rsidR="00022436" w:rsidRPr="00E869A4">
        <w:rPr>
          <w:rFonts w:ascii="Times New Roman" w:eastAsia="Times New Roman" w:hAnsi="Times New Roman" w:cs="Times New Roman"/>
        </w:rPr>
        <w:t>…</w:t>
      </w:r>
      <w:r w:rsidR="00C807E6" w:rsidRPr="00E869A4">
        <w:rPr>
          <w:rFonts w:ascii="Times New Roman" w:eastAsia="Times New Roman" w:hAnsi="Times New Roman" w:cs="Times New Roman"/>
        </w:rPr>
        <w:t xml:space="preserve"> </w:t>
      </w:r>
      <w:r w:rsidRPr="00E869A4">
        <w:rPr>
          <w:rFonts w:ascii="Times New Roman" w:eastAsia="Times New Roman" w:hAnsi="Times New Roman" w:cs="Times New Roman"/>
        </w:rPr>
        <w:t>So that’s why I went across there and get a job but that job is from Saturday to Saturday … And it’s very tiring because right now I suppose to be resting or sleeping or something</w:t>
      </w:r>
      <w:r w:rsidR="00C807E6"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C807E6" w:rsidRPr="00E869A4">
        <w:rPr>
          <w:rFonts w:ascii="Times New Roman" w:eastAsia="Times New Roman" w:hAnsi="Times New Roman" w:cs="Times New Roman"/>
        </w:rPr>
        <w:t xml:space="preserve"> </w:t>
      </w:r>
      <w:r w:rsidRPr="00E869A4">
        <w:rPr>
          <w:rFonts w:ascii="Times New Roman" w:eastAsia="Times New Roman" w:hAnsi="Times New Roman" w:cs="Times New Roman"/>
        </w:rPr>
        <w:t>I not really getting the time to rest and I have to see after him, see after the house, the dogs</w:t>
      </w:r>
      <w:r w:rsidR="00C807E6"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C807E6" w:rsidRPr="00E869A4">
        <w:rPr>
          <w:rFonts w:ascii="Times New Roman" w:eastAsia="Times New Roman" w:hAnsi="Times New Roman" w:cs="Times New Roman"/>
        </w:rPr>
        <w:t xml:space="preserve"> </w:t>
      </w:r>
      <w:r w:rsidRPr="00E869A4">
        <w:rPr>
          <w:rFonts w:ascii="Times New Roman" w:eastAsia="Times New Roman" w:hAnsi="Times New Roman" w:cs="Times New Roman"/>
        </w:rPr>
        <w:t>so I need something else. But I don’t want like 6 days a week</w:t>
      </w:r>
      <w:r w:rsidR="00C807E6" w:rsidRPr="00E869A4">
        <w:rPr>
          <w:rFonts w:ascii="Times New Roman" w:eastAsia="Times New Roman" w:hAnsi="Times New Roman" w:cs="Times New Roman"/>
        </w:rPr>
        <w:t xml:space="preserve"> </w:t>
      </w:r>
      <w:r w:rsidR="00022436" w:rsidRPr="00E869A4">
        <w:rPr>
          <w:rFonts w:ascii="Times New Roman" w:eastAsia="Times New Roman" w:hAnsi="Times New Roman" w:cs="Times New Roman"/>
        </w:rPr>
        <w:t>…</w:t>
      </w:r>
      <w:r w:rsidR="00C807E6" w:rsidRPr="00E869A4">
        <w:rPr>
          <w:rFonts w:ascii="Times New Roman" w:eastAsia="Times New Roman" w:hAnsi="Times New Roman" w:cs="Times New Roman"/>
        </w:rPr>
        <w:t xml:space="preserve"> </w:t>
      </w:r>
      <w:r w:rsidRPr="00E869A4">
        <w:rPr>
          <w:rFonts w:ascii="Times New Roman" w:eastAsia="Times New Roman" w:hAnsi="Times New Roman" w:cs="Times New Roman"/>
        </w:rPr>
        <w:t>The job help me because is like the walls closing in</w:t>
      </w:r>
      <w:r w:rsidR="00C807E6"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yuh getting sick, yuh jus’ stagnant, nothing doing… yuh jus’ there </w:t>
      </w:r>
      <w:proofErr w:type="spellStart"/>
      <w:r w:rsidRPr="00E869A4">
        <w:rPr>
          <w:rFonts w:ascii="Times New Roman" w:eastAsia="Times New Roman" w:hAnsi="Times New Roman" w:cs="Times New Roman"/>
        </w:rPr>
        <w:t>there</w:t>
      </w:r>
      <w:proofErr w:type="spellEnd"/>
      <w:r w:rsidRPr="00E869A4">
        <w:rPr>
          <w:rFonts w:ascii="Times New Roman" w:eastAsia="Times New Roman" w:hAnsi="Times New Roman" w:cs="Times New Roman"/>
        </w:rPr>
        <w:t>. The up and down, the exercise kind of help</w:t>
      </w:r>
      <w:r w:rsidR="00C807E6" w:rsidRPr="00E869A4">
        <w:rPr>
          <w:rFonts w:ascii="Times New Roman" w:eastAsia="Times New Roman" w:hAnsi="Times New Roman" w:cs="Times New Roman"/>
        </w:rPr>
        <w:t>.</w:t>
      </w:r>
    </w:p>
    <w:p w14:paraId="2541F94A" w14:textId="77777777" w:rsidR="00744EFC" w:rsidRPr="00E869A4" w:rsidRDefault="00744EFC" w:rsidP="00DC1919">
      <w:pPr>
        <w:spacing w:line="240" w:lineRule="auto"/>
        <w:rPr>
          <w:rFonts w:ascii="Times New Roman" w:eastAsia="Times New Roman" w:hAnsi="Times New Roman" w:cs="Times New Roman"/>
        </w:rPr>
      </w:pPr>
    </w:p>
    <w:p w14:paraId="6F054700" w14:textId="41C5F9CA" w:rsidR="00744EFC" w:rsidRPr="00E869A4" w:rsidRDefault="00744EFC" w:rsidP="00022436">
      <w:pPr>
        <w:ind w:firstLine="0"/>
        <w:rPr>
          <w:rFonts w:ascii="Times New Roman" w:eastAsia="Times New Roman" w:hAnsi="Times New Roman" w:cs="Times New Roman"/>
        </w:rPr>
      </w:pPr>
      <w:r w:rsidRPr="00E869A4">
        <w:rPr>
          <w:rFonts w:ascii="Times New Roman" w:eastAsia="Times New Roman" w:hAnsi="Times New Roman" w:cs="Times New Roman"/>
        </w:rPr>
        <w:t>Working part time was the main strategy used by Mrs. Sanchez to overcome the role captivity she experienced as a family carer to her highly depend</w:t>
      </w:r>
      <w:r w:rsidR="00490BF0" w:rsidRPr="00E869A4">
        <w:rPr>
          <w:rFonts w:ascii="Times New Roman" w:eastAsia="Times New Roman" w:hAnsi="Times New Roman" w:cs="Times New Roman"/>
        </w:rPr>
        <w:t>ent husband. Alt</w:t>
      </w:r>
      <w:r w:rsidRPr="00E869A4">
        <w:rPr>
          <w:rFonts w:ascii="Times New Roman" w:eastAsia="Times New Roman" w:hAnsi="Times New Roman" w:cs="Times New Roman"/>
        </w:rPr>
        <w:t>hough this selective approach to care provision provided her with some respite from caregiving which was beneficial to her, it was what Ungar (2016) described as a</w:t>
      </w:r>
      <w:r w:rsidR="00FD3658" w:rsidRPr="00E869A4">
        <w:rPr>
          <w:rFonts w:ascii="Times New Roman" w:eastAsia="Times New Roman" w:hAnsi="Times New Roman" w:cs="Times New Roman"/>
        </w:rPr>
        <w:t xml:space="preserve"> sub-optimal/</w:t>
      </w:r>
      <w:r w:rsidRPr="00E869A4">
        <w:rPr>
          <w:rFonts w:ascii="Times New Roman" w:eastAsia="Times New Roman" w:hAnsi="Times New Roman" w:cs="Times New Roman"/>
        </w:rPr>
        <w:t xml:space="preserve"> maladaptive approach to her under-resourced circumstances. As a result of this situation, Mr. Sanchez was left unattended in the evenings when his wife went to work</w:t>
      </w:r>
      <w:r w:rsidR="00F056F8"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3881B0E7" w14:textId="77777777" w:rsidR="00744EFC" w:rsidRPr="00E869A4" w:rsidRDefault="00744EFC" w:rsidP="00DC1919">
      <w:pPr>
        <w:spacing w:line="240" w:lineRule="auto"/>
        <w:rPr>
          <w:rFonts w:ascii="Times New Roman" w:eastAsia="Times New Roman" w:hAnsi="Times New Roman" w:cs="Times New Roman"/>
        </w:rPr>
      </w:pPr>
    </w:p>
    <w:p w14:paraId="626C68F4" w14:textId="740434AD" w:rsidR="00744EFC" w:rsidRPr="00E869A4" w:rsidRDefault="00744EFC" w:rsidP="00F056F8">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lastRenderedPageBreak/>
        <w:t>Well I see after him before I go. [He stays] inside on the bed</w:t>
      </w:r>
      <w:r w:rsidR="00022436" w:rsidRPr="00E869A4">
        <w:rPr>
          <w:rFonts w:ascii="Times New Roman" w:eastAsia="Times New Roman" w:hAnsi="Times New Roman" w:cs="Times New Roman"/>
        </w:rPr>
        <w:t xml:space="preserve"> </w:t>
      </w:r>
      <w:r w:rsidRPr="00E869A4">
        <w:rPr>
          <w:rFonts w:ascii="Times New Roman" w:eastAsia="Times New Roman" w:hAnsi="Times New Roman" w:cs="Times New Roman"/>
        </w:rPr>
        <w:t>… I give him his supper about 4pm because I get there for about (4:15pm). Well that’s it really. He doesn’t have any need. He uses everything in the bedroom</w:t>
      </w:r>
      <w:r w:rsidR="00022436" w:rsidRPr="00E869A4">
        <w:rPr>
          <w:rFonts w:ascii="Times New Roman" w:eastAsia="Times New Roman" w:hAnsi="Times New Roman" w:cs="Times New Roman"/>
        </w:rPr>
        <w:t xml:space="preserve"> ..</w:t>
      </w:r>
      <w:r w:rsidRPr="00E869A4">
        <w:rPr>
          <w:rFonts w:ascii="Times New Roman" w:eastAsia="Times New Roman" w:hAnsi="Times New Roman" w:cs="Times New Roman"/>
        </w:rPr>
        <w:t>. [I’m gone] just for 6 hours</w:t>
      </w:r>
      <w:r w:rsidR="00F056F8" w:rsidRPr="00E869A4">
        <w:rPr>
          <w:rFonts w:ascii="Times New Roman" w:eastAsia="Times New Roman" w:hAnsi="Times New Roman" w:cs="Times New Roman"/>
        </w:rPr>
        <w:t>.</w:t>
      </w:r>
    </w:p>
    <w:p w14:paraId="74034D14" w14:textId="77777777" w:rsidR="00744EFC" w:rsidRPr="00E869A4" w:rsidRDefault="00744EFC" w:rsidP="00DC1919">
      <w:pPr>
        <w:spacing w:line="240" w:lineRule="auto"/>
        <w:rPr>
          <w:rFonts w:ascii="Times New Roman" w:eastAsia="Times New Roman" w:hAnsi="Times New Roman" w:cs="Times New Roman"/>
        </w:rPr>
      </w:pPr>
    </w:p>
    <w:p w14:paraId="3DB0DC72" w14:textId="4274A290"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Selective care management was also applied as a means of ensuring that persons receiving care support were not perceived as being a bother. As noted previously, Marian for example was careful to not be too demanding of the Pastor who provided voluntary transportation service to Ms. Violet and herself</w:t>
      </w:r>
      <w:r w:rsidR="00FD3658"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4505D5B5" w14:textId="77777777" w:rsidR="00744EFC" w:rsidRPr="00E869A4" w:rsidRDefault="00744EFC" w:rsidP="00DC1919">
      <w:pPr>
        <w:spacing w:line="240" w:lineRule="auto"/>
        <w:rPr>
          <w:rFonts w:ascii="Times New Roman" w:eastAsia="Times New Roman" w:hAnsi="Times New Roman" w:cs="Times New Roman"/>
        </w:rPr>
      </w:pPr>
    </w:p>
    <w:p w14:paraId="0BE467DC" w14:textId="38F88099" w:rsidR="00744EFC" w:rsidRPr="00E869A4" w:rsidRDefault="00744EFC" w:rsidP="00F056F8">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The Pastor of the church will carry us [to places like the HYATT]. That’s the one thing: the transportation. Or else I’d have to pay to take her wherever I want to take her</w:t>
      </w:r>
      <w:r w:rsidR="00F056F8" w:rsidRPr="00E869A4">
        <w:rPr>
          <w:rFonts w:ascii="Times New Roman" w:eastAsia="Times New Roman" w:hAnsi="Times New Roman" w:cs="Times New Roman"/>
        </w:rPr>
        <w:t xml:space="preserve"> </w:t>
      </w:r>
      <w:r w:rsidR="00022436" w:rsidRPr="00E869A4">
        <w:rPr>
          <w:rFonts w:ascii="Times New Roman" w:eastAsia="Times New Roman" w:hAnsi="Times New Roman" w:cs="Times New Roman"/>
        </w:rPr>
        <w:t>..</w:t>
      </w:r>
      <w:r w:rsidRPr="00E869A4">
        <w:rPr>
          <w:rFonts w:ascii="Times New Roman" w:eastAsia="Times New Roman" w:hAnsi="Times New Roman" w:cs="Times New Roman"/>
        </w:rPr>
        <w:t>.</w:t>
      </w:r>
      <w:r w:rsidR="00F056F8"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But usually the Pastor would, if I say to him, </w:t>
      </w:r>
      <w:r w:rsidR="00FD3658" w:rsidRPr="00E869A4">
        <w:rPr>
          <w:rFonts w:ascii="Times New Roman" w:eastAsia="Times New Roman" w:hAnsi="Times New Roman" w:cs="Times New Roman"/>
        </w:rPr>
        <w:t>‘</w:t>
      </w:r>
      <w:r w:rsidRPr="00E869A4">
        <w:rPr>
          <w:rFonts w:ascii="Times New Roman" w:eastAsia="Times New Roman" w:hAnsi="Times New Roman" w:cs="Times New Roman"/>
        </w:rPr>
        <w:t>I wanna carry mammy so an’ so</w:t>
      </w:r>
      <w:r w:rsidR="00FD3658" w:rsidRPr="00E869A4">
        <w:rPr>
          <w:rFonts w:ascii="Times New Roman" w:eastAsia="Times New Roman" w:hAnsi="Times New Roman" w:cs="Times New Roman"/>
        </w:rPr>
        <w:t>’</w:t>
      </w:r>
      <w:r w:rsidRPr="00E869A4">
        <w:rPr>
          <w:rFonts w:ascii="Times New Roman" w:eastAsia="Times New Roman" w:hAnsi="Times New Roman" w:cs="Times New Roman"/>
        </w:rPr>
        <w:t>, he would make sure that she gets there</w:t>
      </w:r>
      <w:r w:rsidR="00F056F8" w:rsidRPr="00E869A4">
        <w:rPr>
          <w:rFonts w:ascii="Times New Roman" w:eastAsia="Times New Roman" w:hAnsi="Times New Roman" w:cs="Times New Roman"/>
        </w:rPr>
        <w:t xml:space="preserve"> </w:t>
      </w:r>
      <w:r w:rsidRPr="00E869A4">
        <w:rPr>
          <w:rFonts w:ascii="Times New Roman" w:eastAsia="Times New Roman" w:hAnsi="Times New Roman" w:cs="Times New Roman"/>
        </w:rPr>
        <w:t>… She would go out more frequently [if] I had some way of carryin’ her [but] I don’t like to bother him too much.</w:t>
      </w:r>
    </w:p>
    <w:p w14:paraId="306A4EFD" w14:textId="77777777" w:rsidR="00022436" w:rsidRPr="00E869A4" w:rsidRDefault="00022436" w:rsidP="007E5E93">
      <w:pPr>
        <w:rPr>
          <w:rFonts w:ascii="Times New Roman" w:eastAsia="Times New Roman" w:hAnsi="Times New Roman" w:cs="Times New Roman"/>
        </w:rPr>
      </w:pPr>
    </w:p>
    <w:p w14:paraId="55771343" w14:textId="20B2DA1E" w:rsidR="00744EFC" w:rsidRPr="00E869A4" w:rsidRDefault="00744EFC" w:rsidP="007E5E93">
      <w:pPr>
        <w:rPr>
          <w:rFonts w:ascii="Times New Roman" w:eastAsia="Times New Roman" w:hAnsi="Times New Roman" w:cs="Times New Roman"/>
          <w:i/>
        </w:rPr>
      </w:pPr>
      <w:r w:rsidRPr="00E869A4">
        <w:rPr>
          <w:rFonts w:ascii="Times New Roman" w:eastAsia="Times New Roman" w:hAnsi="Times New Roman" w:cs="Times New Roman"/>
        </w:rPr>
        <w:t>In the context of formal care services, selective</w:t>
      </w:r>
      <w:r w:rsidR="00FD3658"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care strategies included instances in which family caregivers and older persons made decisive decisions about what care they would actively select and the conditions under which they would do so. In the case of the Kumar family, </w:t>
      </w:r>
      <w:r w:rsidR="00FD3658" w:rsidRPr="00E869A4">
        <w:rPr>
          <w:rFonts w:ascii="Times New Roman" w:eastAsia="Times New Roman" w:hAnsi="Times New Roman" w:cs="Times New Roman"/>
        </w:rPr>
        <w:t xml:space="preserve">deciding to avoid </w:t>
      </w:r>
      <w:r w:rsidRPr="00E869A4">
        <w:rPr>
          <w:rFonts w:ascii="Times New Roman" w:eastAsia="Times New Roman" w:hAnsi="Times New Roman" w:cs="Times New Roman"/>
        </w:rPr>
        <w:t>extremely long waiting times for the receipt of medical attention from a public health facility</w:t>
      </w:r>
      <w:r w:rsidR="00FD3658" w:rsidRPr="00E869A4">
        <w:rPr>
          <w:rFonts w:ascii="Times New Roman" w:eastAsia="Times New Roman" w:hAnsi="Times New Roman" w:cs="Times New Roman"/>
        </w:rPr>
        <w:t xml:space="preserve"> was one of the selective care strategies they used</w:t>
      </w:r>
      <w:r w:rsidR="007E5E93" w:rsidRPr="00E869A4">
        <w:rPr>
          <w:rFonts w:ascii="Times New Roman" w:eastAsia="Times New Roman" w:hAnsi="Times New Roman" w:cs="Times New Roman"/>
        </w:rPr>
        <w:t>. R</w:t>
      </w:r>
      <w:r w:rsidRPr="00E869A4">
        <w:rPr>
          <w:rFonts w:ascii="Times New Roman" w:eastAsia="Times New Roman" w:hAnsi="Times New Roman" w:cs="Times New Roman"/>
        </w:rPr>
        <w:t>ebecca’s financial and social resources enabled her to exercise choice and agency about the type of service that she accessed to meet her mother’s care needs. Timothy was also able to exercise choice with respect to accessing in-home care for his father</w:t>
      </w:r>
      <w:r w:rsidR="007E5E93" w:rsidRPr="00E869A4">
        <w:rPr>
          <w:rFonts w:ascii="Times New Roman" w:eastAsia="Times New Roman" w:hAnsi="Times New Roman" w:cs="Times New Roman"/>
        </w:rPr>
        <w:t>.</w:t>
      </w:r>
    </w:p>
    <w:p w14:paraId="542AE03C" w14:textId="77777777" w:rsidR="00744EFC" w:rsidRPr="00E869A4" w:rsidRDefault="00744EFC" w:rsidP="00744EFC">
      <w:pPr>
        <w:rPr>
          <w:rFonts w:ascii="Times New Roman" w:eastAsia="Times New Roman" w:hAnsi="Times New Roman" w:cs="Times New Roman"/>
        </w:rPr>
      </w:pPr>
    </w:p>
    <w:p w14:paraId="0BE9310C" w14:textId="6F4E6C3E"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Caregivers from well-resourced and moderately</w:t>
      </w:r>
      <w:r w:rsidR="00FD3658" w:rsidRPr="00E869A4">
        <w:rPr>
          <w:rFonts w:ascii="Times New Roman" w:eastAsia="Times New Roman" w:hAnsi="Times New Roman" w:cs="Times New Roman"/>
        </w:rPr>
        <w:t>-</w:t>
      </w:r>
      <w:r w:rsidRPr="00E869A4">
        <w:rPr>
          <w:rFonts w:ascii="Times New Roman" w:eastAsia="Times New Roman" w:hAnsi="Times New Roman" w:cs="Times New Roman"/>
        </w:rPr>
        <w:t xml:space="preserve">resourced systems seemed more likely to be able to make </w:t>
      </w:r>
      <w:r w:rsidR="00DD508F" w:rsidRPr="00E869A4">
        <w:rPr>
          <w:rFonts w:ascii="Times New Roman" w:eastAsia="Times New Roman" w:hAnsi="Times New Roman" w:cs="Times New Roman"/>
        </w:rPr>
        <w:t xml:space="preserve">relatively </w:t>
      </w:r>
      <w:r w:rsidRPr="00E869A4">
        <w:rPr>
          <w:rFonts w:ascii="Times New Roman" w:eastAsia="Times New Roman" w:hAnsi="Times New Roman" w:cs="Times New Roman"/>
        </w:rPr>
        <w:t xml:space="preserve">suitable informal in-home care arrangements for their severely dependent older </w:t>
      </w:r>
      <w:r w:rsidR="00FD3658" w:rsidRPr="00E869A4">
        <w:rPr>
          <w:rFonts w:ascii="Times New Roman" w:eastAsia="Times New Roman" w:hAnsi="Times New Roman" w:cs="Times New Roman"/>
        </w:rPr>
        <w:t>relative</w:t>
      </w:r>
      <w:r w:rsidRPr="00E869A4">
        <w:rPr>
          <w:rFonts w:ascii="Times New Roman" w:eastAsia="Times New Roman" w:hAnsi="Times New Roman" w:cs="Times New Roman"/>
        </w:rPr>
        <w:t>s</w:t>
      </w:r>
      <w:r w:rsidR="00DD508F"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Ms. Violet and Mr. </w:t>
      </w:r>
      <w:r w:rsidR="00DD508F" w:rsidRPr="00E869A4">
        <w:rPr>
          <w:rFonts w:ascii="Times New Roman" w:eastAsia="Times New Roman" w:hAnsi="Times New Roman" w:cs="Times New Roman"/>
        </w:rPr>
        <w:t xml:space="preserve">Druman for example had </w:t>
      </w:r>
      <w:r w:rsidRPr="00E869A4">
        <w:rPr>
          <w:rFonts w:ascii="Times New Roman" w:eastAsia="Times New Roman" w:hAnsi="Times New Roman" w:cs="Times New Roman"/>
        </w:rPr>
        <w:t>trained informal c</w:t>
      </w:r>
      <w:r w:rsidR="002C4D52" w:rsidRPr="00E869A4">
        <w:rPr>
          <w:rFonts w:ascii="Times New Roman" w:eastAsia="Times New Roman" w:hAnsi="Times New Roman" w:cs="Times New Roman"/>
        </w:rPr>
        <w:t>are staff with more skill and/</w:t>
      </w:r>
      <w:r w:rsidRPr="00E869A4">
        <w:rPr>
          <w:rFonts w:ascii="Times New Roman" w:eastAsia="Times New Roman" w:hAnsi="Times New Roman" w:cs="Times New Roman"/>
        </w:rPr>
        <w:t>or experience</w:t>
      </w:r>
      <w:r w:rsidR="00DD508F" w:rsidRPr="00E869A4">
        <w:rPr>
          <w:rFonts w:ascii="Times New Roman" w:eastAsia="Times New Roman" w:hAnsi="Times New Roman" w:cs="Times New Roman"/>
        </w:rPr>
        <w:t xml:space="preserve"> help with their care</w:t>
      </w:r>
      <w:r w:rsidRPr="00E869A4">
        <w:rPr>
          <w:rFonts w:ascii="Times New Roman" w:eastAsia="Times New Roman" w:hAnsi="Times New Roman" w:cs="Times New Roman"/>
        </w:rPr>
        <w:t xml:space="preserve">. Mr. Druman needed </w:t>
      </w:r>
      <w:r w:rsidR="00FD3658" w:rsidRPr="00E869A4">
        <w:rPr>
          <w:rFonts w:ascii="Times New Roman" w:eastAsia="Times New Roman" w:hAnsi="Times New Roman" w:cs="Times New Roman"/>
        </w:rPr>
        <w:t>24-hour</w:t>
      </w:r>
      <w:r w:rsidRPr="00E869A4">
        <w:rPr>
          <w:rFonts w:ascii="Times New Roman" w:eastAsia="Times New Roman" w:hAnsi="Times New Roman" w:cs="Times New Roman"/>
        </w:rPr>
        <w:t xml:space="preserve"> care support and had a mix of trained and un-trained informal care staff attending to him</w:t>
      </w:r>
      <w:r w:rsidR="00005228" w:rsidRPr="00E869A4">
        <w:rPr>
          <w:rFonts w:ascii="Times New Roman" w:eastAsia="Times New Roman" w:hAnsi="Times New Roman" w:cs="Times New Roman"/>
        </w:rPr>
        <w:t>. His son Timothy explained</w:t>
      </w:r>
      <w:r w:rsidR="00FD3658" w:rsidRPr="00E869A4">
        <w:rPr>
          <w:rFonts w:ascii="Times New Roman" w:eastAsia="Times New Roman" w:hAnsi="Times New Roman" w:cs="Times New Roman"/>
        </w:rPr>
        <w:t>:</w:t>
      </w:r>
    </w:p>
    <w:p w14:paraId="0C0B4545" w14:textId="77777777" w:rsidR="00744EFC" w:rsidRPr="00E869A4" w:rsidRDefault="00744EFC" w:rsidP="00DC1919">
      <w:pPr>
        <w:spacing w:line="240" w:lineRule="auto"/>
        <w:rPr>
          <w:rFonts w:ascii="Times New Roman" w:eastAsia="Times New Roman" w:hAnsi="Times New Roman" w:cs="Times New Roman"/>
        </w:rPr>
      </w:pPr>
    </w:p>
    <w:p w14:paraId="276D2C7A" w14:textId="6A78BADF" w:rsidR="00744EFC" w:rsidRPr="00E869A4" w:rsidRDefault="00744EFC" w:rsidP="00005228">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Well, we have a structure, where l have three ladies, who help me. There is one who does days, Monday to Thursday; during the day.   And there are two who share the nights. They alternate, well they share it up among themselves. But then I do … Friday in the day, Friday night, Saturday in the day and Sunday</w:t>
      </w:r>
      <w:r w:rsidR="00005228" w:rsidRPr="00E869A4">
        <w:rPr>
          <w:rFonts w:ascii="Times New Roman" w:eastAsia="Times New Roman" w:hAnsi="Times New Roman" w:cs="Times New Roman"/>
        </w:rPr>
        <w:t xml:space="preserve"> </w:t>
      </w:r>
      <w:r w:rsidR="005A4B0B" w:rsidRPr="00E869A4">
        <w:rPr>
          <w:rFonts w:ascii="Times New Roman" w:eastAsia="Times New Roman" w:hAnsi="Times New Roman" w:cs="Times New Roman"/>
        </w:rPr>
        <w:t>…</w:t>
      </w:r>
      <w:r w:rsidR="00005228" w:rsidRPr="00E869A4">
        <w:rPr>
          <w:rFonts w:ascii="Times New Roman" w:eastAsia="Times New Roman" w:hAnsi="Times New Roman" w:cs="Times New Roman"/>
        </w:rPr>
        <w:t xml:space="preserve"> </w:t>
      </w:r>
      <w:r w:rsidRPr="00E869A4">
        <w:rPr>
          <w:rFonts w:ascii="Times New Roman" w:eastAsia="Times New Roman" w:hAnsi="Times New Roman" w:cs="Times New Roman"/>
        </w:rPr>
        <w:t>So, between the 4 of us we have it covered</w:t>
      </w:r>
      <w:r w:rsidR="00005228" w:rsidRPr="00E869A4">
        <w:rPr>
          <w:rFonts w:ascii="Times New Roman" w:eastAsia="Times New Roman" w:hAnsi="Times New Roman" w:cs="Times New Roman"/>
        </w:rPr>
        <w:t>.</w:t>
      </w:r>
    </w:p>
    <w:p w14:paraId="225017F1" w14:textId="77777777" w:rsidR="00744EFC" w:rsidRPr="00E869A4" w:rsidRDefault="00744EFC" w:rsidP="00B24197">
      <w:pPr>
        <w:spacing w:line="240" w:lineRule="auto"/>
        <w:rPr>
          <w:rFonts w:ascii="Times New Roman" w:eastAsia="Times New Roman" w:hAnsi="Times New Roman" w:cs="Times New Roman"/>
        </w:rPr>
      </w:pPr>
    </w:p>
    <w:p w14:paraId="6AD7D364" w14:textId="23F5572A" w:rsidR="00DD508F" w:rsidRPr="00E869A4" w:rsidRDefault="00744EFC" w:rsidP="00FE5BDD">
      <w:pPr>
        <w:ind w:firstLine="0"/>
        <w:rPr>
          <w:rFonts w:ascii="Times New Roman" w:eastAsia="Times New Roman" w:hAnsi="Times New Roman" w:cs="Times New Roman"/>
        </w:rPr>
      </w:pPr>
      <w:r w:rsidRPr="00E869A4">
        <w:rPr>
          <w:rFonts w:ascii="Times New Roman" w:eastAsia="Times New Roman" w:hAnsi="Times New Roman" w:cs="Times New Roman"/>
        </w:rPr>
        <w:t xml:space="preserve">This complex care arrangement that Timothy developed satisfied Mr. Druman’s desire to continue living in his own home (he refused Timothy’s offer for him to move in with him and his wife). This was unlike the approach used by Mrs. Sanchez who felt constrained by the limited resources she had to meet her </w:t>
      </w:r>
      <w:r w:rsidRPr="00E869A4">
        <w:rPr>
          <w:rFonts w:ascii="Times New Roman" w:eastAsia="Times New Roman" w:hAnsi="Times New Roman" w:cs="Times New Roman"/>
        </w:rPr>
        <w:lastRenderedPageBreak/>
        <w:t xml:space="preserve">personal needs and that of her husband. Mrs. Sanchez eventually placed her husband in a Home for Senior Citizens. </w:t>
      </w:r>
    </w:p>
    <w:p w14:paraId="161DA307" w14:textId="77777777" w:rsidR="00FE5BDD" w:rsidRPr="00E869A4" w:rsidRDefault="00FE5BDD" w:rsidP="00FE5BDD">
      <w:pPr>
        <w:ind w:firstLine="0"/>
        <w:rPr>
          <w:rFonts w:ascii="Times New Roman" w:eastAsia="Times New Roman" w:hAnsi="Times New Roman" w:cs="Times New Roman"/>
        </w:rPr>
      </w:pPr>
    </w:p>
    <w:p w14:paraId="6B5F595C" w14:textId="37664E55" w:rsidR="00744EFC" w:rsidRPr="00E869A4" w:rsidRDefault="00744EFC" w:rsidP="0031040A">
      <w:pPr>
        <w:pStyle w:val="Heading5"/>
        <w:rPr>
          <w:rFonts w:eastAsia="Times New Roman"/>
          <w:color w:val="auto"/>
        </w:rPr>
      </w:pPr>
      <w:r w:rsidRPr="00E869A4">
        <w:rPr>
          <w:rFonts w:eastAsia="Times New Roman"/>
          <w:color w:val="auto"/>
        </w:rPr>
        <w:t>Restrained</w:t>
      </w:r>
      <w:r w:rsidR="002C4D52" w:rsidRPr="00E869A4">
        <w:rPr>
          <w:rFonts w:eastAsia="Times New Roman"/>
          <w:color w:val="auto"/>
        </w:rPr>
        <w:t xml:space="preserve"> </w:t>
      </w:r>
      <w:r w:rsidRPr="00E869A4">
        <w:rPr>
          <w:rFonts w:eastAsia="Times New Roman"/>
          <w:color w:val="auto"/>
        </w:rPr>
        <w:t>Care Strategies</w:t>
      </w:r>
    </w:p>
    <w:p w14:paraId="43F3FF61" w14:textId="77777777" w:rsidR="00744EFC" w:rsidRPr="00E869A4" w:rsidRDefault="00744EFC" w:rsidP="005A4B0B">
      <w:pPr>
        <w:rPr>
          <w:rFonts w:ascii="Times New Roman" w:eastAsia="Times New Roman" w:hAnsi="Times New Roman" w:cs="Times New Roman"/>
        </w:rPr>
      </w:pPr>
    </w:p>
    <w:p w14:paraId="029907E1" w14:textId="3C131671"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Restrained care involves withholding care that the (potential</w:t>
      </w:r>
      <w:r w:rsidR="00DD508F" w:rsidRPr="00E869A4">
        <w:rPr>
          <w:rFonts w:ascii="Times New Roman" w:eastAsia="Times New Roman" w:hAnsi="Times New Roman" w:cs="Times New Roman"/>
        </w:rPr>
        <w:t xml:space="preserve">) caregiver desires to provide. Like selective care, it occurs in an incongruent care dynamic, with the main distinction being that the restraint </w:t>
      </w:r>
      <w:r w:rsidR="00C56D8A" w:rsidRPr="00E869A4">
        <w:rPr>
          <w:rFonts w:ascii="Times New Roman" w:eastAsia="Times New Roman" w:hAnsi="Times New Roman" w:cs="Times New Roman"/>
        </w:rPr>
        <w:t>of</w:t>
      </w:r>
      <w:r w:rsidR="00DD508F" w:rsidRPr="00E869A4">
        <w:rPr>
          <w:rFonts w:ascii="Times New Roman" w:eastAsia="Times New Roman" w:hAnsi="Times New Roman" w:cs="Times New Roman"/>
        </w:rPr>
        <w:t xml:space="preserve"> the (potential) caregiver was initiated by the older person. I</w:t>
      </w:r>
      <w:r w:rsidRPr="00E869A4">
        <w:rPr>
          <w:rFonts w:ascii="Times New Roman" w:eastAsia="Times New Roman" w:hAnsi="Times New Roman" w:cs="Times New Roman"/>
        </w:rPr>
        <w:t xml:space="preserve">t is not deferred to a later date given the older person’s request that they limit their care or </w:t>
      </w:r>
      <w:r w:rsidR="00C56D8A" w:rsidRPr="00E869A4">
        <w:rPr>
          <w:rFonts w:ascii="Times New Roman" w:eastAsia="Times New Roman" w:hAnsi="Times New Roman" w:cs="Times New Roman"/>
        </w:rPr>
        <w:t xml:space="preserve">the </w:t>
      </w:r>
      <w:r w:rsidRPr="00E869A4">
        <w:rPr>
          <w:rFonts w:ascii="Times New Roman" w:eastAsia="Times New Roman" w:hAnsi="Times New Roman" w:cs="Times New Roman"/>
        </w:rPr>
        <w:t>outright rejection of their help</w:t>
      </w:r>
      <w:r w:rsidR="00C56D8A" w:rsidRPr="00E869A4">
        <w:rPr>
          <w:rFonts w:ascii="Times New Roman" w:eastAsia="Times New Roman" w:hAnsi="Times New Roman" w:cs="Times New Roman"/>
        </w:rPr>
        <w:t xml:space="preserve"> by the older person</w:t>
      </w:r>
      <w:r w:rsidRPr="00E869A4">
        <w:rPr>
          <w:rFonts w:ascii="Times New Roman" w:eastAsia="Times New Roman" w:hAnsi="Times New Roman" w:cs="Times New Roman"/>
        </w:rPr>
        <w:t xml:space="preserve">. </w:t>
      </w:r>
    </w:p>
    <w:p w14:paraId="43CFFBD5" w14:textId="77777777" w:rsidR="00744EFC" w:rsidRPr="00E869A4" w:rsidRDefault="00744EFC" w:rsidP="00744EFC">
      <w:pPr>
        <w:rPr>
          <w:rFonts w:ascii="Times New Roman" w:eastAsia="Times New Roman" w:hAnsi="Times New Roman" w:cs="Times New Roman"/>
        </w:rPr>
      </w:pPr>
    </w:p>
    <w:p w14:paraId="1FBAFA2E" w14:textId="4254F5AB"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As noted previously, Timothy Druman at one point in time provided restrained care by allowing his father to contin</w:t>
      </w:r>
      <w:r w:rsidR="00490BF0" w:rsidRPr="00E869A4">
        <w:rPr>
          <w:rFonts w:ascii="Times New Roman" w:eastAsia="Times New Roman" w:hAnsi="Times New Roman" w:cs="Times New Roman"/>
        </w:rPr>
        <w:t>ue to manage his own finances. Alt</w:t>
      </w:r>
      <w:r w:rsidRPr="00E869A4">
        <w:rPr>
          <w:rFonts w:ascii="Times New Roman" w:eastAsia="Times New Roman" w:hAnsi="Times New Roman" w:cs="Times New Roman"/>
        </w:rPr>
        <w:t xml:space="preserve">hough it eventually resulted in his father mismanaging his finances, the restrained care that Timothy demonstrated was consistent with an empowerment approach to </w:t>
      </w:r>
      <w:r w:rsidR="00DD508F" w:rsidRPr="00E869A4">
        <w:rPr>
          <w:rFonts w:ascii="Times New Roman" w:eastAsia="Times New Roman" w:hAnsi="Times New Roman" w:cs="Times New Roman"/>
        </w:rPr>
        <w:t>caregiving that</w:t>
      </w:r>
      <w:r w:rsidRPr="00E869A4">
        <w:rPr>
          <w:rFonts w:ascii="Times New Roman" w:eastAsia="Times New Roman" w:hAnsi="Times New Roman" w:cs="Times New Roman"/>
        </w:rPr>
        <w:t xml:space="preserve"> respected the right of the older person to choose what assistance they received.  Sheila also used a restrained caregiving approach towards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 </w:t>
      </w:r>
      <w:r w:rsidR="00490BF0" w:rsidRPr="00E869A4">
        <w:rPr>
          <w:rFonts w:ascii="Times New Roman" w:eastAsia="Times New Roman" w:hAnsi="Times New Roman" w:cs="Times New Roman"/>
        </w:rPr>
        <w:t>Despite the fact that</w:t>
      </w:r>
      <w:r w:rsidRPr="00E869A4">
        <w:rPr>
          <w:rFonts w:ascii="Times New Roman" w:eastAsia="Times New Roman" w:hAnsi="Times New Roman" w:cs="Times New Roman"/>
        </w:rPr>
        <w:t xml:space="preserve"> she initially had her mother live with her given a serious health episode Mother Freeda had,</w:t>
      </w:r>
      <w:r w:rsidR="00DD508F" w:rsidRPr="00E869A4">
        <w:rPr>
          <w:rFonts w:ascii="Times New Roman" w:eastAsia="Times New Roman" w:hAnsi="Times New Roman" w:cs="Times New Roman"/>
        </w:rPr>
        <w:t xml:space="preserve"> Sheila eventually relented to </w:t>
      </w:r>
      <w:r w:rsidRPr="00E869A4">
        <w:rPr>
          <w:rFonts w:ascii="Times New Roman" w:eastAsia="Times New Roman" w:hAnsi="Times New Roman" w:cs="Times New Roman"/>
        </w:rPr>
        <w:t>her mother</w:t>
      </w:r>
      <w:r w:rsidR="00DD508F" w:rsidRPr="00E869A4">
        <w:rPr>
          <w:rFonts w:ascii="Times New Roman" w:eastAsia="Times New Roman" w:hAnsi="Times New Roman" w:cs="Times New Roman"/>
        </w:rPr>
        <w:t>’s desire to</w:t>
      </w:r>
      <w:r w:rsidRPr="00E869A4">
        <w:rPr>
          <w:rFonts w:ascii="Times New Roman" w:eastAsia="Times New Roman" w:hAnsi="Times New Roman" w:cs="Times New Roman"/>
        </w:rPr>
        <w:t xml:space="preserve"> return to her own home</w:t>
      </w:r>
      <w:r w:rsidR="00DD508F" w:rsidRPr="00E869A4">
        <w:rPr>
          <w:rFonts w:ascii="Times New Roman" w:eastAsia="Times New Roman" w:hAnsi="Times New Roman" w:cs="Times New Roman"/>
        </w:rPr>
        <w:t>,</w:t>
      </w:r>
      <w:r w:rsidRPr="00E869A4">
        <w:rPr>
          <w:rFonts w:ascii="Times New Roman" w:eastAsia="Times New Roman" w:hAnsi="Times New Roman" w:cs="Times New Roman"/>
        </w:rPr>
        <w:t xml:space="preserve"> after she observed that Mother Freeda was desirous of regaining her independence and living within her larger, more familiar, home environment (see discussion on surreptitious care and resisting care above). Her restrained care transitioned to amenable care as Sheila used innovative </w:t>
      </w:r>
      <w:r w:rsidR="00C56D8A" w:rsidRPr="00E869A4">
        <w:rPr>
          <w:rFonts w:ascii="Times New Roman" w:eastAsia="Times New Roman" w:hAnsi="Times New Roman" w:cs="Times New Roman"/>
          <w:i/>
        </w:rPr>
        <w:t>emergent</w:t>
      </w:r>
      <w:r w:rsidRPr="00E869A4">
        <w:rPr>
          <w:rFonts w:ascii="Times New Roman" w:eastAsia="Times New Roman" w:hAnsi="Times New Roman" w:cs="Times New Roman"/>
        </w:rPr>
        <w:t xml:space="preserve"> care strategies to help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 adjust to the move, such as hiring persons to provide in-home care, having her son live with his grandmother, and making regular visits to her </w:t>
      </w:r>
      <w:r w:rsidR="002C4D52" w:rsidRPr="00E869A4">
        <w:rPr>
          <w:rFonts w:ascii="Times New Roman" w:eastAsia="Times New Roman" w:hAnsi="Times New Roman" w:cs="Times New Roman"/>
        </w:rPr>
        <w:t>mother</w:t>
      </w:r>
      <w:r w:rsidRPr="00E869A4">
        <w:rPr>
          <w:rFonts w:ascii="Times New Roman" w:eastAsia="Times New Roman" w:hAnsi="Times New Roman" w:cs="Times New Roman"/>
        </w:rPr>
        <w:t xml:space="preserve"> during her commute from work to home. Despite her conscientious efforts, Sheila was at time anxious about her mo</w:t>
      </w:r>
      <w:r w:rsidR="002C4D52" w:rsidRPr="00E869A4">
        <w:rPr>
          <w:rFonts w:ascii="Times New Roman" w:eastAsia="Times New Roman" w:hAnsi="Times New Roman" w:cs="Times New Roman"/>
        </w:rPr>
        <w:t>ther</w:t>
      </w:r>
      <w:r w:rsidRPr="00E869A4">
        <w:rPr>
          <w:rFonts w:ascii="Times New Roman" w:eastAsia="Times New Roman" w:hAnsi="Times New Roman" w:cs="Times New Roman"/>
        </w:rPr>
        <w:t xml:space="preserve">’s care situation, especially as her son Brandon was not fully attuned to the care needs of his grandmother, even though he lived with her (see previous Chapter). </w:t>
      </w:r>
    </w:p>
    <w:p w14:paraId="098F92C1" w14:textId="77777777" w:rsidR="002C4D52" w:rsidRPr="00E869A4" w:rsidRDefault="002C4D52" w:rsidP="00744EFC">
      <w:pPr>
        <w:rPr>
          <w:rFonts w:ascii="Times New Roman" w:eastAsia="Times New Roman" w:hAnsi="Times New Roman" w:cs="Times New Roman"/>
        </w:rPr>
      </w:pPr>
    </w:p>
    <w:p w14:paraId="631C87B5" w14:textId="7D5DC9E6"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The restrained care strategy was also linked to situations in which the needs of the caregiver and their role in providing support to older persons was invisible. As is evident from the quote below</w:t>
      </w:r>
      <w:r w:rsidR="00B40697" w:rsidRPr="00E869A4">
        <w:rPr>
          <w:rFonts w:ascii="Times New Roman" w:eastAsia="Times New Roman" w:hAnsi="Times New Roman" w:cs="Times New Roman"/>
        </w:rPr>
        <w:t xml:space="preserve">, </w:t>
      </w:r>
      <w:r w:rsidRPr="00E869A4">
        <w:rPr>
          <w:rFonts w:ascii="Times New Roman" w:eastAsia="Times New Roman" w:hAnsi="Times New Roman" w:cs="Times New Roman"/>
        </w:rPr>
        <w:t>Mr. Birch actively sought to manage his role as a friend providing care support</w:t>
      </w:r>
      <w:r w:rsidR="00063D39" w:rsidRPr="00E869A4">
        <w:rPr>
          <w:rFonts w:ascii="Times New Roman" w:eastAsia="Times New Roman" w:hAnsi="Times New Roman" w:cs="Times New Roman"/>
        </w:rPr>
        <w:t>,</w:t>
      </w:r>
      <w:r w:rsidRPr="00E869A4">
        <w:rPr>
          <w:rFonts w:ascii="Times New Roman" w:eastAsia="Times New Roman" w:hAnsi="Times New Roman" w:cs="Times New Roman"/>
        </w:rPr>
        <w:t xml:space="preserve"> whilst respecting Uncle Wilton’s right to privacy as well as the protocols of medical practitioners. </w:t>
      </w:r>
      <w:r w:rsidR="00063D39" w:rsidRPr="00E869A4">
        <w:rPr>
          <w:rFonts w:ascii="Times New Roman" w:eastAsia="Times New Roman" w:hAnsi="Times New Roman" w:cs="Times New Roman"/>
        </w:rPr>
        <w:t>For instance, h</w:t>
      </w:r>
      <w:r w:rsidRPr="00E869A4">
        <w:rPr>
          <w:rFonts w:ascii="Times New Roman" w:eastAsia="Times New Roman" w:hAnsi="Times New Roman" w:cs="Times New Roman"/>
        </w:rPr>
        <w:t>e made conscious decisions as to when to be inside the doctor’s office with Uncle Wilton, and when to support from a distance</w:t>
      </w:r>
      <w:r w:rsidR="002C4D52" w:rsidRPr="00E869A4">
        <w:rPr>
          <w:rFonts w:ascii="Times New Roman" w:eastAsia="Times New Roman" w:hAnsi="Times New Roman" w:cs="Times New Roman"/>
        </w:rPr>
        <w:t>:</w:t>
      </w:r>
    </w:p>
    <w:p w14:paraId="03B8557D" w14:textId="7FF0EE23" w:rsidR="00744EFC" w:rsidRPr="00E869A4" w:rsidRDefault="00744EFC" w:rsidP="00FE5BDD">
      <w:pPr>
        <w:spacing w:line="240" w:lineRule="auto"/>
        <w:ind w:left="567" w:firstLine="0"/>
        <w:jc w:val="both"/>
        <w:rPr>
          <w:rFonts w:ascii="Times New Roman" w:eastAsia="Times New Roman" w:hAnsi="Times New Roman" w:cs="Times New Roman"/>
        </w:rPr>
      </w:pPr>
      <w:r w:rsidRPr="00E869A4">
        <w:rPr>
          <w:rFonts w:ascii="Times New Roman" w:eastAsia="Times New Roman" w:hAnsi="Times New Roman" w:cs="Times New Roman"/>
        </w:rPr>
        <w:lastRenderedPageBreak/>
        <w:t>When I go with him to de doctor an’ ting. Ah doh really go in and, si</w:t>
      </w:r>
      <w:r w:rsidR="00D03E46" w:rsidRPr="00E869A4">
        <w:rPr>
          <w:rFonts w:ascii="Times New Roman" w:eastAsia="Times New Roman" w:hAnsi="Times New Roman" w:cs="Times New Roman"/>
        </w:rPr>
        <w:t xml:space="preserve">t down with him by de doctor eh </w:t>
      </w:r>
      <w:r w:rsidR="00B40697" w:rsidRPr="00E869A4">
        <w:rPr>
          <w:rFonts w:ascii="Times New Roman" w:eastAsia="Times New Roman" w:hAnsi="Times New Roman" w:cs="Times New Roman"/>
        </w:rPr>
        <w:t>…</w:t>
      </w:r>
      <w:r w:rsidRPr="00E869A4">
        <w:rPr>
          <w:rFonts w:ascii="Times New Roman" w:eastAsia="Times New Roman" w:hAnsi="Times New Roman" w:cs="Times New Roman"/>
        </w:rPr>
        <w:t xml:space="preserve"> I would wait outside because, yuh know it might be personal an’ t’ing nah  and I don’t want dem to think like ah pushin’ up mehself in that kinda way. I will sit down. Only when I go [eye] clinic, I would really go in because, he ah little hard ah hearin’ too …</w:t>
      </w:r>
      <w:r w:rsidR="00FE5BDD"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and am, with de medication an’ t’ing I want to hear what de doctor tellin’ him an’ den yuh know I might want to ask ah little question in between </w:t>
      </w:r>
      <w:r w:rsidR="00B40697" w:rsidRPr="00E869A4">
        <w:rPr>
          <w:rFonts w:ascii="Times New Roman" w:eastAsia="Times New Roman" w:hAnsi="Times New Roman" w:cs="Times New Roman"/>
        </w:rPr>
        <w:t xml:space="preserve">… </w:t>
      </w:r>
      <w:r w:rsidRPr="00E869A4">
        <w:rPr>
          <w:rFonts w:ascii="Times New Roman" w:eastAsia="Times New Roman" w:hAnsi="Times New Roman" w:cs="Times New Roman"/>
        </w:rPr>
        <w:t>So yeah, when we go clinic ah does am, (clears thr</w:t>
      </w:r>
      <w:r w:rsidR="00FE5BDD" w:rsidRPr="00E869A4">
        <w:rPr>
          <w:rFonts w:ascii="Times New Roman" w:eastAsia="Times New Roman" w:hAnsi="Times New Roman" w:cs="Times New Roman"/>
        </w:rPr>
        <w:t xml:space="preserve">oat) go in with him to de doctor </w:t>
      </w:r>
      <w:r w:rsidRPr="00E869A4">
        <w:rPr>
          <w:rFonts w:ascii="Times New Roman" w:eastAsia="Times New Roman" w:hAnsi="Times New Roman" w:cs="Times New Roman"/>
        </w:rPr>
        <w:t>… Yeah because – well most time I does ask them if I could stay eh. Because I’m not a rela</w:t>
      </w:r>
      <w:r w:rsidR="00B40697" w:rsidRPr="00E869A4">
        <w:rPr>
          <w:rFonts w:ascii="Times New Roman" w:eastAsia="Times New Roman" w:hAnsi="Times New Roman" w:cs="Times New Roman"/>
        </w:rPr>
        <w:t>tive …</w:t>
      </w:r>
      <w:r w:rsidR="00FE5BDD" w:rsidRPr="00E869A4">
        <w:rPr>
          <w:rFonts w:ascii="Times New Roman" w:eastAsia="Times New Roman" w:hAnsi="Times New Roman" w:cs="Times New Roman"/>
        </w:rPr>
        <w:t xml:space="preserve"> And they would say yes.</w:t>
      </w:r>
    </w:p>
    <w:p w14:paraId="51B43E6D" w14:textId="77777777" w:rsidR="00744EFC" w:rsidRPr="00E869A4" w:rsidRDefault="00744EFC" w:rsidP="00B24197">
      <w:pPr>
        <w:spacing w:line="240" w:lineRule="auto"/>
        <w:rPr>
          <w:rFonts w:ascii="Times New Roman" w:eastAsia="Times New Roman" w:hAnsi="Times New Roman" w:cs="Times New Roman"/>
        </w:rPr>
      </w:pPr>
    </w:p>
    <w:p w14:paraId="0ACBC746" w14:textId="034ADEEB"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Mr. Birch had to consciously navigate these interpersonal relationships in a context where the rules weren’t always clear or straightforward. His desire to maintain a positive relationship with Uncle Wilton and support his wellbeing guided his care activities in contexts in which there was much uncertainty.</w:t>
      </w:r>
      <w:r w:rsidR="00D03E46" w:rsidRPr="00E869A4">
        <w:rPr>
          <w:rFonts w:ascii="Times New Roman" w:eastAsia="Times New Roman" w:hAnsi="Times New Roman" w:cs="Times New Roman"/>
        </w:rPr>
        <w:t xml:space="preserve"> As with Timothy Druman, this balancing act had both positive and negative outcomes for the care recipient. A main advantage was that their autonomy was respected. But, as the example above shows, sometimes it resulted in </w:t>
      </w:r>
      <w:r w:rsidR="0024513B" w:rsidRPr="00E869A4">
        <w:rPr>
          <w:rFonts w:ascii="Times New Roman" w:eastAsia="Times New Roman" w:hAnsi="Times New Roman" w:cs="Times New Roman"/>
        </w:rPr>
        <w:t xml:space="preserve">critical assistance being withheld from </w:t>
      </w:r>
      <w:r w:rsidR="00D03E46" w:rsidRPr="00E869A4">
        <w:rPr>
          <w:rFonts w:ascii="Times New Roman" w:eastAsia="Times New Roman" w:hAnsi="Times New Roman" w:cs="Times New Roman"/>
        </w:rPr>
        <w:t xml:space="preserve">the older person. </w:t>
      </w:r>
    </w:p>
    <w:p w14:paraId="46A87C94" w14:textId="77777777" w:rsidR="00744EFC" w:rsidRPr="00E869A4" w:rsidRDefault="00744EFC" w:rsidP="00744EFC">
      <w:pPr>
        <w:rPr>
          <w:rFonts w:ascii="Times New Roman" w:eastAsia="Times New Roman" w:hAnsi="Times New Roman" w:cs="Times New Roman"/>
        </w:rPr>
      </w:pPr>
    </w:p>
    <w:p w14:paraId="48C023CA" w14:textId="5B876F88" w:rsidR="00744EFC" w:rsidRPr="00E869A4" w:rsidRDefault="00744EFC" w:rsidP="0031040A">
      <w:pPr>
        <w:pStyle w:val="Heading5"/>
        <w:rPr>
          <w:rFonts w:eastAsia="Times New Roman"/>
          <w:color w:val="auto"/>
        </w:rPr>
      </w:pPr>
      <w:r w:rsidRPr="00E869A4">
        <w:rPr>
          <w:rFonts w:eastAsia="Times New Roman"/>
          <w:color w:val="auto"/>
        </w:rPr>
        <w:t>Deferring</w:t>
      </w:r>
      <w:r w:rsidR="00700F88" w:rsidRPr="00E869A4">
        <w:rPr>
          <w:rFonts w:eastAsia="Times New Roman"/>
          <w:color w:val="auto"/>
        </w:rPr>
        <w:t xml:space="preserve"> </w:t>
      </w:r>
      <w:r w:rsidRPr="00E869A4">
        <w:rPr>
          <w:rFonts w:eastAsia="Times New Roman"/>
          <w:color w:val="auto"/>
        </w:rPr>
        <w:t>Care Strategies</w:t>
      </w:r>
    </w:p>
    <w:p w14:paraId="0E29D70D" w14:textId="77777777" w:rsidR="00744EFC" w:rsidRPr="00E869A4" w:rsidRDefault="00744EFC" w:rsidP="00744EFC">
      <w:pPr>
        <w:rPr>
          <w:rFonts w:ascii="Times New Roman" w:eastAsia="Times New Roman" w:hAnsi="Times New Roman" w:cs="Times New Roman"/>
        </w:rPr>
      </w:pPr>
    </w:p>
    <w:p w14:paraId="762BB8F4" w14:textId="1AF5E894" w:rsidR="00744EFC" w:rsidRPr="00E869A4" w:rsidRDefault="00700F88" w:rsidP="00744EFC">
      <w:pPr>
        <w:rPr>
          <w:rFonts w:ascii="Times New Roman" w:eastAsia="Times New Roman" w:hAnsi="Times New Roman" w:cs="Times New Roman"/>
        </w:rPr>
      </w:pPr>
      <w:r w:rsidRPr="00E869A4">
        <w:rPr>
          <w:rFonts w:ascii="Times New Roman" w:eastAsia="Times New Roman" w:hAnsi="Times New Roman" w:cs="Times New Roman"/>
          <w:i/>
        </w:rPr>
        <w:t xml:space="preserve">Deferred </w:t>
      </w:r>
      <w:r w:rsidR="00744EFC" w:rsidRPr="00E869A4">
        <w:rPr>
          <w:rFonts w:ascii="Times New Roman" w:eastAsia="Times New Roman" w:hAnsi="Times New Roman" w:cs="Times New Roman"/>
          <w:i/>
        </w:rPr>
        <w:t>care</w:t>
      </w:r>
      <w:r w:rsidR="00744EFC" w:rsidRPr="00E869A4">
        <w:rPr>
          <w:rFonts w:ascii="Times New Roman" w:eastAsia="Times New Roman" w:hAnsi="Times New Roman" w:cs="Times New Roman"/>
        </w:rPr>
        <w:t xml:space="preserve"> refers to the conscious decision by a family caregiver to postpone responding to a care need or challenge, until a suitable solution or opportunity becomes available. It is an intentional act </w:t>
      </w:r>
      <w:r w:rsidR="00AA1C90" w:rsidRPr="00E869A4">
        <w:rPr>
          <w:rFonts w:ascii="Times New Roman" w:eastAsia="Times New Roman" w:hAnsi="Times New Roman" w:cs="Times New Roman"/>
        </w:rPr>
        <w:t>of ‘temporarily’</w:t>
      </w:r>
      <w:r w:rsidR="00744EFC" w:rsidRPr="00E869A4">
        <w:rPr>
          <w:rFonts w:ascii="Times New Roman" w:eastAsia="Times New Roman" w:hAnsi="Times New Roman" w:cs="Times New Roman"/>
        </w:rPr>
        <w:t xml:space="preserve"> withholding a care response given the actual or perceived lack of suitable care options to address a care need. The lack of a care response can be considered as a transient state</w:t>
      </w:r>
      <w:r w:rsidR="00AA1C90" w:rsidRPr="00E869A4">
        <w:rPr>
          <w:rFonts w:ascii="Times New Roman" w:eastAsia="Times New Roman" w:hAnsi="Times New Roman" w:cs="Times New Roman"/>
        </w:rPr>
        <w:t>,</w:t>
      </w:r>
      <w:r w:rsidR="00744EFC" w:rsidRPr="00E869A4">
        <w:rPr>
          <w:rFonts w:ascii="Times New Roman" w:eastAsia="Times New Roman" w:hAnsi="Times New Roman" w:cs="Times New Roman"/>
        </w:rPr>
        <w:t xml:space="preserve"> as the caregiver appears to be willing to provide care at a later date. Thus, it is different to </w:t>
      </w:r>
      <w:r w:rsidR="00744EFC" w:rsidRPr="00E869A4">
        <w:rPr>
          <w:rFonts w:ascii="Times New Roman" w:eastAsia="Times New Roman" w:hAnsi="Times New Roman" w:cs="Times New Roman"/>
          <w:i/>
        </w:rPr>
        <w:t xml:space="preserve">avoiding </w:t>
      </w:r>
      <w:r w:rsidRPr="00E869A4">
        <w:rPr>
          <w:rFonts w:ascii="Times New Roman" w:eastAsia="Times New Roman" w:hAnsi="Times New Roman" w:cs="Times New Roman"/>
          <w:i/>
        </w:rPr>
        <w:t>care</w:t>
      </w:r>
      <w:r w:rsidRPr="00E869A4">
        <w:rPr>
          <w:rFonts w:ascii="Times New Roman" w:eastAsia="Times New Roman" w:hAnsi="Times New Roman" w:cs="Times New Roman"/>
        </w:rPr>
        <w:t>, which</w:t>
      </w:r>
      <w:r w:rsidR="00744EFC" w:rsidRPr="00E869A4">
        <w:rPr>
          <w:rFonts w:ascii="Times New Roman" w:eastAsia="Times New Roman" w:hAnsi="Times New Roman" w:cs="Times New Roman"/>
        </w:rPr>
        <w:t xml:space="preserve"> is characterised by an unwillingness of the caregiver to provide care. </w:t>
      </w:r>
      <w:r w:rsidR="00AA1C90" w:rsidRPr="00E869A4">
        <w:rPr>
          <w:rFonts w:ascii="Times New Roman" w:eastAsia="Times New Roman" w:hAnsi="Times New Roman" w:cs="Times New Roman"/>
        </w:rPr>
        <w:t>A</w:t>
      </w:r>
      <w:r w:rsidR="00744EFC" w:rsidRPr="00E869A4">
        <w:rPr>
          <w:rFonts w:ascii="Times New Roman" w:eastAsia="Times New Roman" w:hAnsi="Times New Roman" w:cs="Times New Roman"/>
        </w:rPr>
        <w:t xml:space="preserve"> main feature of deferred care is the identification and acknowledgement of a care need, and a desire or willingness of the caregiver to address said need. Both avoiding</w:t>
      </w:r>
      <w:r w:rsidRPr="00E869A4">
        <w:rPr>
          <w:rFonts w:ascii="Times New Roman" w:eastAsia="Times New Roman" w:hAnsi="Times New Roman" w:cs="Times New Roman"/>
        </w:rPr>
        <w:t xml:space="preserve"> care and restrained care occur</w:t>
      </w:r>
      <w:r w:rsidR="00744EFC" w:rsidRPr="00E869A4">
        <w:rPr>
          <w:rFonts w:ascii="Times New Roman" w:eastAsia="Times New Roman" w:hAnsi="Times New Roman" w:cs="Times New Roman"/>
        </w:rPr>
        <w:t xml:space="preserve"> within an incongruent care dynamic, whilst deferred care can occur in either a congruent or incongruent care context as an older person may or may not agree with care being deferred.</w:t>
      </w:r>
      <w:r w:rsidR="00F727B2" w:rsidRPr="00E869A4">
        <w:rPr>
          <w:rFonts w:ascii="Times New Roman" w:eastAsia="Times New Roman" w:hAnsi="Times New Roman" w:cs="Times New Roman"/>
        </w:rPr>
        <w:t xml:space="preserve"> </w:t>
      </w:r>
    </w:p>
    <w:p w14:paraId="0663616E" w14:textId="77777777" w:rsidR="00744EFC" w:rsidRPr="00E869A4" w:rsidRDefault="00744EFC" w:rsidP="00744EFC">
      <w:pPr>
        <w:rPr>
          <w:rFonts w:ascii="Times New Roman" w:eastAsia="Times New Roman" w:hAnsi="Times New Roman" w:cs="Times New Roman"/>
        </w:rPr>
      </w:pPr>
    </w:p>
    <w:p w14:paraId="0FE9760D" w14:textId="7A2BEA50"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As was noted above, Timothy Druman had to defer care to both his parents at certain points in time. He could not assist his father with his financial situation until his father eventually became amenable to his proposal. He could not help his mother with her dental care, until much later in her life. Family caregivers of older persons had to constantly weigh the options available to them and their older relatives, and make decisions concerning their wellbeing. In some instances, caregivers had to adopt a wait-and-see </w:t>
      </w:r>
      <w:r w:rsidRPr="00E869A4">
        <w:rPr>
          <w:rFonts w:ascii="Times New Roman" w:eastAsia="Times New Roman" w:hAnsi="Times New Roman" w:cs="Times New Roman"/>
        </w:rPr>
        <w:lastRenderedPageBreak/>
        <w:t>approach before they could make a reasonably logical decision about how to meet the care needs of their older relative. Sheila for example had to weigh the pros and cons of public versus private health care in order to ensure that she preserved her mother’s vision using the most affordable option</w:t>
      </w:r>
      <w:r w:rsidR="006420D9" w:rsidRPr="00E869A4">
        <w:rPr>
          <w:rFonts w:ascii="Times New Roman" w:eastAsia="Times New Roman" w:hAnsi="Times New Roman" w:cs="Times New Roman"/>
        </w:rPr>
        <w:t>.</w:t>
      </w:r>
      <w:r w:rsidR="00F727B2" w:rsidRPr="00E869A4">
        <w:rPr>
          <w:rFonts w:ascii="Times New Roman" w:eastAsia="Times New Roman" w:hAnsi="Times New Roman" w:cs="Times New Roman"/>
        </w:rPr>
        <w:t xml:space="preserve"> </w:t>
      </w:r>
      <w:r w:rsidRPr="00E869A4">
        <w:rPr>
          <w:rFonts w:ascii="Times New Roman" w:eastAsia="Times New Roman" w:hAnsi="Times New Roman" w:cs="Times New Roman"/>
        </w:rPr>
        <w:t>In some cases, family caregivers had to forego obtaining treatment for their relative because of the constraints they experienced in obtaining an essential service. The example from the Khan family below illustrates this</w:t>
      </w:r>
      <w:r w:rsidR="00700F88"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0A628FBE" w14:textId="77777777" w:rsidR="00744EFC" w:rsidRPr="00E869A4" w:rsidRDefault="00744EFC" w:rsidP="00B24197">
      <w:pPr>
        <w:spacing w:line="240" w:lineRule="auto"/>
        <w:rPr>
          <w:rFonts w:ascii="Times New Roman" w:eastAsia="Times New Roman" w:hAnsi="Times New Roman" w:cs="Times New Roman"/>
        </w:rPr>
      </w:pPr>
    </w:p>
    <w:p w14:paraId="02311649" w14:textId="243FA083" w:rsidR="00744EFC" w:rsidRPr="00E869A4" w:rsidRDefault="00744EFC" w:rsidP="00D2350E">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i/>
        </w:rPr>
        <w:t>Mr. Khan</w:t>
      </w:r>
      <w:r w:rsidRPr="00E869A4">
        <w:rPr>
          <w:rFonts w:ascii="Times New Roman" w:eastAsia="Times New Roman" w:hAnsi="Times New Roman" w:cs="Times New Roman"/>
        </w:rPr>
        <w:t xml:space="preserve">: </w:t>
      </w:r>
      <w:r w:rsidR="00B64FBC" w:rsidRPr="00E869A4">
        <w:rPr>
          <w:rFonts w:ascii="Times New Roman" w:eastAsia="Times New Roman" w:hAnsi="Times New Roman" w:cs="Times New Roman"/>
        </w:rPr>
        <w:t>“</w:t>
      </w:r>
      <w:r w:rsidRPr="00E869A4">
        <w:rPr>
          <w:rFonts w:ascii="Times New Roman" w:eastAsia="Times New Roman" w:hAnsi="Times New Roman" w:cs="Times New Roman"/>
        </w:rPr>
        <w:t>I had to wait from 7 o’clock in the morning to about 2 o’clock to see that doctor</w:t>
      </w:r>
      <w:r w:rsidR="00B64FBC" w:rsidRPr="00E869A4">
        <w:rPr>
          <w:rFonts w:ascii="Times New Roman" w:eastAsia="Times New Roman" w:hAnsi="Times New Roman" w:cs="Times New Roman"/>
        </w:rPr>
        <w:t>.”</w:t>
      </w:r>
    </w:p>
    <w:p w14:paraId="6712736A" w14:textId="77777777" w:rsidR="00491052" w:rsidRPr="00E869A4" w:rsidRDefault="00491052" w:rsidP="00D2350E">
      <w:pPr>
        <w:spacing w:line="240" w:lineRule="auto"/>
        <w:ind w:left="1134" w:firstLine="0"/>
        <w:rPr>
          <w:rFonts w:ascii="Times New Roman" w:eastAsia="Times New Roman" w:hAnsi="Times New Roman" w:cs="Times New Roman"/>
          <w:i/>
        </w:rPr>
      </w:pPr>
    </w:p>
    <w:p w14:paraId="3030B315" w14:textId="49E2970D" w:rsidR="00744EFC" w:rsidRPr="00E869A4" w:rsidRDefault="00744EFC" w:rsidP="00D2350E">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i/>
        </w:rPr>
        <w:t>Samantha</w:t>
      </w:r>
      <w:r w:rsidRPr="00E869A4">
        <w:rPr>
          <w:rFonts w:ascii="Times New Roman" w:eastAsia="Times New Roman" w:hAnsi="Times New Roman" w:cs="Times New Roman"/>
        </w:rPr>
        <w:t xml:space="preserve">: </w:t>
      </w:r>
      <w:r w:rsidR="00B64FBC" w:rsidRPr="00E869A4">
        <w:rPr>
          <w:rFonts w:ascii="Times New Roman" w:eastAsia="Times New Roman" w:hAnsi="Times New Roman" w:cs="Times New Roman"/>
        </w:rPr>
        <w:t>“</w:t>
      </w:r>
      <w:r w:rsidRPr="00E869A4">
        <w:rPr>
          <w:rFonts w:ascii="Times New Roman" w:eastAsia="Times New Roman" w:hAnsi="Times New Roman" w:cs="Times New Roman"/>
        </w:rPr>
        <w:t>And they didn’t find his file [at the eye clinic]</w:t>
      </w:r>
      <w:r w:rsidR="00491052" w:rsidRPr="00E869A4">
        <w:rPr>
          <w:rFonts w:ascii="Times New Roman" w:eastAsia="Times New Roman" w:hAnsi="Times New Roman" w:cs="Times New Roman"/>
        </w:rPr>
        <w:t xml:space="preserve"> </w:t>
      </w:r>
      <w:r w:rsidRPr="00E869A4">
        <w:rPr>
          <w:rFonts w:ascii="Times New Roman" w:eastAsia="Times New Roman" w:hAnsi="Times New Roman" w:cs="Times New Roman"/>
        </w:rPr>
        <w:t>… He couldn’t sit up any longer and I had to bring him home. The doctor never come until about 1 o’clock</w:t>
      </w:r>
      <w:r w:rsidR="00B64FBC"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4B6EC8C7" w14:textId="77777777" w:rsidR="00B24197" w:rsidRPr="00E869A4" w:rsidRDefault="00B24197" w:rsidP="00B24197">
      <w:pPr>
        <w:spacing w:line="240" w:lineRule="auto"/>
        <w:rPr>
          <w:rFonts w:ascii="Times New Roman" w:eastAsia="Times New Roman" w:hAnsi="Times New Roman" w:cs="Times New Roman"/>
        </w:rPr>
      </w:pPr>
    </w:p>
    <w:p w14:paraId="4495E71E" w14:textId="792F580C" w:rsidR="00744EFC" w:rsidRPr="00E869A4" w:rsidRDefault="00744EFC" w:rsidP="00362060">
      <w:pPr>
        <w:rPr>
          <w:rFonts w:ascii="Times New Roman" w:eastAsia="Times New Roman" w:hAnsi="Times New Roman" w:cs="Times New Roman"/>
        </w:rPr>
      </w:pPr>
      <w:r w:rsidRPr="00E869A4">
        <w:rPr>
          <w:rFonts w:ascii="Times New Roman" w:eastAsia="Times New Roman" w:hAnsi="Times New Roman" w:cs="Times New Roman"/>
        </w:rPr>
        <w:t xml:space="preserve">Mrs. Sanchez deferred medical care for her husband given the challenges she encountered in obtaining transportation for him to get to a clinic. It was difficult for her to get assistance to help him down the steps in his wheelchair, and it was very challenging for her to get an affordable taxi to transport them from their home to the health facility. </w:t>
      </w:r>
      <w:r w:rsidR="00362060" w:rsidRPr="00E869A4">
        <w:rPr>
          <w:rFonts w:ascii="Times New Roman" w:eastAsia="Times New Roman" w:hAnsi="Times New Roman" w:cs="Times New Roman"/>
        </w:rPr>
        <w:t xml:space="preserve">As was mentioned previously, </w:t>
      </w:r>
      <w:r w:rsidRPr="00E869A4">
        <w:rPr>
          <w:rFonts w:ascii="Times New Roman" w:eastAsia="Times New Roman" w:hAnsi="Times New Roman" w:cs="Times New Roman"/>
        </w:rPr>
        <w:t>he also encountered difficulty getting a visiting nurse from the public health facilities</w:t>
      </w:r>
      <w:r w:rsidR="00362060" w:rsidRPr="00E869A4">
        <w:rPr>
          <w:rFonts w:ascii="Times New Roman" w:eastAsia="Times New Roman" w:hAnsi="Times New Roman" w:cs="Times New Roman"/>
        </w:rPr>
        <w:t xml:space="preserve">. </w:t>
      </w:r>
      <w:r w:rsidRPr="00E869A4">
        <w:rPr>
          <w:rFonts w:ascii="Times New Roman" w:eastAsia="Times New Roman" w:hAnsi="Times New Roman" w:cs="Times New Roman"/>
        </w:rPr>
        <w:t>On one occasion, she hired</w:t>
      </w:r>
      <w:r w:rsidR="00FE61EC" w:rsidRPr="00E869A4">
        <w:rPr>
          <w:rFonts w:ascii="Times New Roman" w:eastAsia="Times New Roman" w:hAnsi="Times New Roman" w:cs="Times New Roman"/>
        </w:rPr>
        <w:t xml:space="preserve"> a private doctor to pay a home </w:t>
      </w:r>
      <w:r w:rsidRPr="00E869A4">
        <w:rPr>
          <w:rFonts w:ascii="Times New Roman" w:eastAsia="Times New Roman" w:hAnsi="Times New Roman" w:cs="Times New Roman"/>
        </w:rPr>
        <w:t>visit to her husband. But she was very dissatisfied with the service he provided and was not at all convinced that she received value for money.</w:t>
      </w:r>
      <w:r w:rsidR="00362060"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Her complaint is reflective of the challenges highlighted by Welch and colleagues (2016) with respect to accessing health care in </w:t>
      </w:r>
      <w:r w:rsidR="008C76CE" w:rsidRPr="00E869A4">
        <w:rPr>
          <w:rFonts w:ascii="Times New Roman" w:eastAsiaTheme="majorEastAsia" w:hAnsi="Times New Roman" w:cs="Times New Roman"/>
          <w:bCs/>
          <w:szCs w:val="26"/>
        </w:rPr>
        <w:t>T&amp;T</w:t>
      </w:r>
      <w:r w:rsidRPr="00E869A4">
        <w:rPr>
          <w:rFonts w:ascii="Times New Roman" w:eastAsia="Times New Roman" w:hAnsi="Times New Roman" w:cs="Times New Roman"/>
        </w:rPr>
        <w:t>.</w:t>
      </w:r>
    </w:p>
    <w:p w14:paraId="7A571F81" w14:textId="77777777" w:rsidR="00FE61EC" w:rsidRPr="00E869A4" w:rsidRDefault="00FE61EC" w:rsidP="00744EFC">
      <w:pPr>
        <w:rPr>
          <w:rFonts w:ascii="Times New Roman" w:eastAsia="Times New Roman" w:hAnsi="Times New Roman" w:cs="Times New Roman"/>
        </w:rPr>
      </w:pPr>
    </w:p>
    <w:p w14:paraId="45D051F9" w14:textId="44E21455"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A focus group participant in Tobago </w:t>
      </w:r>
      <w:r w:rsidR="00D93EB7" w:rsidRPr="00E869A4">
        <w:rPr>
          <w:rFonts w:ascii="Times New Roman" w:eastAsia="Times New Roman" w:hAnsi="Times New Roman" w:cs="Times New Roman"/>
        </w:rPr>
        <w:t xml:space="preserve">(Mary) </w:t>
      </w:r>
      <w:r w:rsidRPr="00E869A4">
        <w:rPr>
          <w:rFonts w:ascii="Times New Roman" w:eastAsia="Times New Roman" w:hAnsi="Times New Roman" w:cs="Times New Roman"/>
        </w:rPr>
        <w:t>also complained about the reluctance of a nurse in her local health care facility to visit her home when her mo</w:t>
      </w:r>
      <w:r w:rsidR="002C4D52" w:rsidRPr="00E869A4">
        <w:rPr>
          <w:rFonts w:ascii="Times New Roman" w:eastAsia="Times New Roman" w:hAnsi="Times New Roman" w:cs="Times New Roman"/>
        </w:rPr>
        <w:t>ther</w:t>
      </w:r>
      <w:r w:rsidRPr="00E869A4">
        <w:rPr>
          <w:rFonts w:ascii="Times New Roman" w:eastAsia="Times New Roman" w:hAnsi="Times New Roman" w:cs="Times New Roman"/>
        </w:rPr>
        <w:t xml:space="preserve"> had a health crisis</w:t>
      </w:r>
      <w:r w:rsidR="00FE61EC"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63E5A2C2" w14:textId="77777777" w:rsidR="00744EFC" w:rsidRPr="00E869A4" w:rsidRDefault="00744EFC" w:rsidP="00B24197">
      <w:pPr>
        <w:spacing w:line="240" w:lineRule="auto"/>
        <w:rPr>
          <w:rFonts w:ascii="Times New Roman" w:eastAsia="Times New Roman" w:hAnsi="Times New Roman" w:cs="Times New Roman"/>
        </w:rPr>
      </w:pPr>
    </w:p>
    <w:p w14:paraId="7BA1DC7E" w14:textId="33C4915B" w:rsidR="00744EFC" w:rsidRPr="00E869A4" w:rsidRDefault="00744EFC" w:rsidP="00D93EB7">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 xml:space="preserve">[I] get a car and go to the health centre. I say – </w:t>
      </w:r>
      <w:r w:rsidR="00FE61EC" w:rsidRPr="00E869A4">
        <w:rPr>
          <w:rFonts w:ascii="Times New Roman" w:eastAsia="Times New Roman" w:hAnsi="Times New Roman" w:cs="Times New Roman"/>
        </w:rPr>
        <w:t>‘</w:t>
      </w:r>
      <w:r w:rsidRPr="00E869A4">
        <w:rPr>
          <w:rFonts w:ascii="Times New Roman" w:eastAsia="Times New Roman" w:hAnsi="Times New Roman" w:cs="Times New Roman"/>
        </w:rPr>
        <w:t>my mother can’t walk and my big son is not at home as to lift her</w:t>
      </w:r>
      <w:r w:rsidR="00FE61EC" w:rsidRPr="00E869A4">
        <w:rPr>
          <w:rFonts w:ascii="Times New Roman" w:eastAsia="Times New Roman" w:hAnsi="Times New Roman" w:cs="Times New Roman"/>
        </w:rPr>
        <w:t>’</w:t>
      </w:r>
      <w:r w:rsidRPr="00E869A4">
        <w:rPr>
          <w:rFonts w:ascii="Times New Roman" w:eastAsia="Times New Roman" w:hAnsi="Times New Roman" w:cs="Times New Roman"/>
        </w:rPr>
        <w:t>…  Is not everybody you ask will do something for you</w:t>
      </w:r>
      <w:r w:rsidR="00362060"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I said [to the nurse on duty] </w:t>
      </w:r>
      <w:r w:rsidR="00FE61EC" w:rsidRPr="00E869A4">
        <w:rPr>
          <w:rFonts w:ascii="Times New Roman" w:eastAsia="Times New Roman" w:hAnsi="Times New Roman" w:cs="Times New Roman"/>
        </w:rPr>
        <w:t>‘</w:t>
      </w:r>
      <w:r w:rsidRPr="00E869A4">
        <w:rPr>
          <w:rFonts w:ascii="Times New Roman" w:eastAsia="Times New Roman" w:hAnsi="Times New Roman" w:cs="Times New Roman"/>
        </w:rPr>
        <w:t>Doctors does come by we. The nurses and them used to come down</w:t>
      </w:r>
      <w:r w:rsidR="00FE61EC" w:rsidRPr="00E869A4">
        <w:rPr>
          <w:rFonts w:ascii="Times New Roman" w:eastAsia="Times New Roman" w:hAnsi="Times New Roman" w:cs="Times New Roman"/>
        </w:rPr>
        <w:t>’</w:t>
      </w:r>
      <w:r w:rsidRPr="00E869A4">
        <w:rPr>
          <w:rFonts w:ascii="Times New Roman" w:eastAsia="Times New Roman" w:hAnsi="Times New Roman" w:cs="Times New Roman"/>
        </w:rPr>
        <w:t>…</w:t>
      </w:r>
      <w:r w:rsidR="00D93EB7" w:rsidRPr="00E869A4">
        <w:rPr>
          <w:rFonts w:ascii="Times New Roman" w:eastAsia="Times New Roman" w:hAnsi="Times New Roman" w:cs="Times New Roman"/>
        </w:rPr>
        <w:t xml:space="preserve"> </w:t>
      </w:r>
      <w:r w:rsidRPr="00E869A4">
        <w:rPr>
          <w:rFonts w:ascii="Times New Roman" w:eastAsia="Times New Roman" w:hAnsi="Times New Roman" w:cs="Times New Roman"/>
        </w:rPr>
        <w:t>She come out de office and [refuse to come]. [Long after], she calling</w:t>
      </w:r>
      <w:r w:rsidR="00FE61EC"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r w:rsidR="00FE61EC" w:rsidRPr="00E869A4">
        <w:rPr>
          <w:rFonts w:ascii="Times New Roman" w:eastAsia="Times New Roman" w:hAnsi="Times New Roman" w:cs="Times New Roman"/>
        </w:rPr>
        <w:t>‘</w:t>
      </w:r>
      <w:r w:rsidRPr="00E869A4">
        <w:rPr>
          <w:rFonts w:ascii="Times New Roman" w:eastAsia="Times New Roman" w:hAnsi="Times New Roman" w:cs="Times New Roman"/>
        </w:rPr>
        <w:t>Ms Mary, Ms. Mary</w:t>
      </w:r>
      <w:r w:rsidR="00FE61EC" w:rsidRPr="00E869A4">
        <w:rPr>
          <w:rFonts w:ascii="Times New Roman" w:eastAsia="Times New Roman" w:hAnsi="Times New Roman" w:cs="Times New Roman"/>
        </w:rPr>
        <w:t>’</w:t>
      </w:r>
      <w:r w:rsidRPr="00E869A4">
        <w:rPr>
          <w:rFonts w:ascii="Times New Roman" w:eastAsia="Times New Roman" w:hAnsi="Times New Roman" w:cs="Times New Roman"/>
        </w:rPr>
        <w:t>. I turn around. She say</w:t>
      </w:r>
      <w:r w:rsidR="00FE61EC" w:rsidRPr="00E869A4">
        <w:rPr>
          <w:rFonts w:ascii="Times New Roman" w:eastAsia="Times New Roman" w:hAnsi="Times New Roman" w:cs="Times New Roman"/>
        </w:rPr>
        <w:t>, ‘</w:t>
      </w:r>
      <w:r w:rsidR="00362060" w:rsidRPr="00E869A4">
        <w:rPr>
          <w:rFonts w:ascii="Times New Roman" w:eastAsia="Times New Roman" w:hAnsi="Times New Roman" w:cs="Times New Roman"/>
        </w:rPr>
        <w:t>C</w:t>
      </w:r>
      <w:r w:rsidRPr="00E869A4">
        <w:rPr>
          <w:rFonts w:ascii="Times New Roman" w:eastAsia="Times New Roman" w:hAnsi="Times New Roman" w:cs="Times New Roman"/>
        </w:rPr>
        <w:t>ome, come leh meh talk to yuh</w:t>
      </w:r>
      <w:r w:rsidR="00FE61EC" w:rsidRPr="00E869A4">
        <w:rPr>
          <w:rFonts w:ascii="Times New Roman" w:eastAsia="Times New Roman" w:hAnsi="Times New Roman" w:cs="Times New Roman"/>
        </w:rPr>
        <w:t>’</w:t>
      </w:r>
      <w:r w:rsidR="00362060" w:rsidRPr="00E869A4">
        <w:rPr>
          <w:rFonts w:ascii="Times New Roman" w:eastAsia="Times New Roman" w:hAnsi="Times New Roman" w:cs="Times New Roman"/>
        </w:rPr>
        <w:t>. I say ‘Y</w:t>
      </w:r>
      <w:r w:rsidRPr="00E869A4">
        <w:rPr>
          <w:rFonts w:ascii="Times New Roman" w:eastAsia="Times New Roman" w:hAnsi="Times New Roman" w:cs="Times New Roman"/>
        </w:rPr>
        <w:t>ou are too late</w:t>
      </w:r>
      <w:r w:rsidR="00362060" w:rsidRPr="00E869A4">
        <w:rPr>
          <w:rFonts w:ascii="Times New Roman" w:eastAsia="Times New Roman" w:hAnsi="Times New Roman" w:cs="Times New Roman"/>
        </w:rPr>
        <w:t>’</w:t>
      </w:r>
      <w:r w:rsidRPr="00E869A4">
        <w:rPr>
          <w:rFonts w:ascii="Times New Roman" w:eastAsia="Times New Roman" w:hAnsi="Times New Roman" w:cs="Times New Roman"/>
        </w:rPr>
        <w:t xml:space="preserve"> … and that woman follow me</w:t>
      </w:r>
      <w:r w:rsidR="00CB0511"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I say “don’t you ever come behind me and call me again. </w:t>
      </w:r>
      <w:r w:rsidR="00D93EB7" w:rsidRPr="00E869A4">
        <w:rPr>
          <w:rFonts w:ascii="Times New Roman" w:eastAsia="Times New Roman" w:hAnsi="Times New Roman" w:cs="Times New Roman"/>
        </w:rPr>
        <w:t>You said ‘No’ and let it be ‘No’</w:t>
      </w:r>
      <w:r w:rsidRPr="00E869A4">
        <w:rPr>
          <w:rFonts w:ascii="Times New Roman" w:eastAsia="Times New Roman" w:hAnsi="Times New Roman" w:cs="Times New Roman"/>
        </w:rPr>
        <w:t xml:space="preserve">.  </w:t>
      </w:r>
    </w:p>
    <w:p w14:paraId="23067AFE" w14:textId="77777777" w:rsidR="00362060" w:rsidRPr="00E869A4" w:rsidRDefault="00362060" w:rsidP="00B24197">
      <w:pPr>
        <w:spacing w:line="240" w:lineRule="auto"/>
        <w:rPr>
          <w:rFonts w:ascii="Times New Roman" w:eastAsia="Times New Roman" w:hAnsi="Times New Roman" w:cs="Times New Roman"/>
        </w:rPr>
      </w:pPr>
    </w:p>
    <w:p w14:paraId="641C7F41" w14:textId="2DF1AB42" w:rsidR="00744EFC" w:rsidRPr="00E869A4" w:rsidRDefault="00744EFC" w:rsidP="00362060">
      <w:pPr>
        <w:ind w:firstLine="0"/>
        <w:rPr>
          <w:rFonts w:ascii="Times New Roman" w:eastAsia="Times New Roman" w:hAnsi="Times New Roman" w:cs="Times New Roman"/>
        </w:rPr>
      </w:pPr>
      <w:r w:rsidRPr="00E869A4">
        <w:rPr>
          <w:rFonts w:ascii="Times New Roman" w:eastAsia="Times New Roman" w:hAnsi="Times New Roman" w:cs="Times New Roman"/>
        </w:rPr>
        <w:t>When this issue was raised in the focus group with service providers</w:t>
      </w:r>
      <w:r w:rsidR="00362060" w:rsidRPr="00E869A4">
        <w:rPr>
          <w:rFonts w:ascii="Times New Roman" w:eastAsia="Times New Roman" w:hAnsi="Times New Roman" w:cs="Times New Roman"/>
        </w:rPr>
        <w:t>,</w:t>
      </w:r>
      <w:r w:rsidRPr="00E869A4">
        <w:rPr>
          <w:rFonts w:ascii="Times New Roman" w:eastAsia="Times New Roman" w:hAnsi="Times New Roman" w:cs="Times New Roman"/>
        </w:rPr>
        <w:t xml:space="preserve"> one of the participants who was a visiting health nurse gave the following response</w:t>
      </w:r>
      <w:r w:rsidR="00D93EB7"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p>
    <w:p w14:paraId="344ADEF2" w14:textId="77777777" w:rsidR="00744EFC" w:rsidRPr="00E869A4" w:rsidRDefault="00744EFC" w:rsidP="00B24197">
      <w:pPr>
        <w:spacing w:line="240" w:lineRule="auto"/>
        <w:rPr>
          <w:rFonts w:ascii="Times New Roman" w:eastAsia="Times New Roman" w:hAnsi="Times New Roman" w:cs="Times New Roman"/>
        </w:rPr>
      </w:pPr>
    </w:p>
    <w:p w14:paraId="3757A6D5" w14:textId="67EED155" w:rsidR="00744EFC" w:rsidRPr="00E869A4" w:rsidRDefault="00744EFC" w:rsidP="00D93EB7">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People talk about how we don’t go to visit, but then we have our challenges. Staffing [is a main one]. If you and another one have to go, you cannot be outside there when you have to be in the health centre: that is the challenge</w:t>
      </w:r>
      <w:r w:rsidR="00D93EB7" w:rsidRPr="00E869A4">
        <w:rPr>
          <w:rFonts w:ascii="Times New Roman" w:eastAsia="Times New Roman" w:hAnsi="Times New Roman" w:cs="Times New Roman"/>
        </w:rPr>
        <w:t>.</w:t>
      </w:r>
    </w:p>
    <w:p w14:paraId="10D909D6" w14:textId="17091CF0" w:rsidR="00744EFC" w:rsidRPr="00E869A4" w:rsidRDefault="00FE61EC" w:rsidP="009A5AA6">
      <w:pPr>
        <w:rPr>
          <w:rFonts w:ascii="Times New Roman" w:eastAsia="Times New Roman" w:hAnsi="Times New Roman" w:cs="Times New Roman"/>
          <w:i/>
        </w:rPr>
      </w:pPr>
      <w:r w:rsidRPr="00E869A4">
        <w:rPr>
          <w:rFonts w:ascii="Times New Roman" w:eastAsia="Times New Roman" w:hAnsi="Times New Roman" w:cs="Times New Roman"/>
        </w:rPr>
        <w:lastRenderedPageBreak/>
        <w:t xml:space="preserve">Deferred </w:t>
      </w:r>
      <w:r w:rsidR="00744EFC" w:rsidRPr="00E869A4">
        <w:rPr>
          <w:rFonts w:ascii="Times New Roman" w:eastAsia="Times New Roman" w:hAnsi="Times New Roman" w:cs="Times New Roman"/>
        </w:rPr>
        <w:t xml:space="preserve">care may also be applied to self-care of the caregiver who themselves are in need of care support. Marian for example deferred returning to the USA to receive critical health care as she had not been able to make satisfactory arrangements for her </w:t>
      </w:r>
      <w:r w:rsidR="002C4D52" w:rsidRPr="00E869A4">
        <w:rPr>
          <w:rFonts w:ascii="Times New Roman" w:eastAsia="Times New Roman" w:hAnsi="Times New Roman" w:cs="Times New Roman"/>
        </w:rPr>
        <w:t>mother</w:t>
      </w:r>
      <w:r w:rsidR="00744EFC" w:rsidRPr="00E869A4">
        <w:rPr>
          <w:rFonts w:ascii="Times New Roman" w:eastAsia="Times New Roman" w:hAnsi="Times New Roman" w:cs="Times New Roman"/>
        </w:rPr>
        <w:t>’s care.</w:t>
      </w:r>
    </w:p>
    <w:p w14:paraId="715B08CB" w14:textId="77777777" w:rsidR="00744EFC" w:rsidRPr="00E869A4" w:rsidRDefault="00744EFC" w:rsidP="00744EFC">
      <w:pPr>
        <w:rPr>
          <w:rFonts w:ascii="Times New Roman" w:eastAsia="Times New Roman" w:hAnsi="Times New Roman" w:cs="Times New Roman"/>
        </w:rPr>
      </w:pPr>
    </w:p>
    <w:p w14:paraId="4C6D3A79" w14:textId="77777777" w:rsidR="00744EFC" w:rsidRPr="00E869A4" w:rsidRDefault="00744EFC" w:rsidP="00744EFC">
      <w:pPr>
        <w:rPr>
          <w:rFonts w:ascii="Times New Roman" w:eastAsia="Times New Roman" w:hAnsi="Times New Roman" w:cs="Times New Roman"/>
        </w:rPr>
      </w:pPr>
      <w:r w:rsidRPr="00E869A4">
        <w:rPr>
          <w:rFonts w:ascii="Times New Roman" w:eastAsia="Times New Roman" w:hAnsi="Times New Roman" w:cs="Times New Roman"/>
        </w:rPr>
        <w:t xml:space="preserve">A main benefit of the concept of deferred care is that it allows persons assessing a care situation to not prematurely judge inaction on the part of the caregiver as a lack of felt care, concern or sensitivity to the needs of their older relative. In so doing, it reduces the possibility of prematurely labelling family caregivers as neglecting their duty of care. </w:t>
      </w:r>
    </w:p>
    <w:p w14:paraId="094B6431" w14:textId="77777777" w:rsidR="00B24197" w:rsidRPr="00E869A4" w:rsidRDefault="00B24197" w:rsidP="00744EFC">
      <w:pPr>
        <w:rPr>
          <w:rFonts w:ascii="Times New Roman" w:eastAsia="Times New Roman" w:hAnsi="Times New Roman" w:cs="Times New Roman"/>
        </w:rPr>
      </w:pPr>
    </w:p>
    <w:p w14:paraId="601A9C4B" w14:textId="0F294192" w:rsidR="00744EFC" w:rsidRPr="00E869A4" w:rsidRDefault="00463753" w:rsidP="00175C3E">
      <w:pPr>
        <w:pStyle w:val="Heading2"/>
        <w:rPr>
          <w:rFonts w:eastAsia="Times New Roman"/>
        </w:rPr>
      </w:pPr>
      <w:bookmarkStart w:id="345" w:name="_Toc40436562"/>
      <w:r w:rsidRPr="00E869A4">
        <w:rPr>
          <w:rFonts w:eastAsia="Times New Roman"/>
        </w:rPr>
        <w:t>8</w:t>
      </w:r>
      <w:r w:rsidR="00744EFC" w:rsidRPr="00E869A4">
        <w:rPr>
          <w:rFonts w:eastAsia="Times New Roman"/>
        </w:rPr>
        <w:t xml:space="preserve">.4 </w:t>
      </w:r>
      <w:r w:rsidR="009B2814" w:rsidRPr="00E869A4">
        <w:rPr>
          <w:rFonts w:eastAsia="Times New Roman"/>
        </w:rPr>
        <w:t>CONCLUSION</w:t>
      </w:r>
      <w:bookmarkEnd w:id="345"/>
    </w:p>
    <w:p w14:paraId="77EAE3E7" w14:textId="77777777" w:rsidR="00744EFC" w:rsidRPr="00E869A4" w:rsidRDefault="00744EFC" w:rsidP="00744EFC">
      <w:pPr>
        <w:jc w:val="both"/>
        <w:rPr>
          <w:rFonts w:ascii="Times New Roman" w:eastAsia="Times New Roman" w:hAnsi="Times New Roman" w:cs="Times New Roman"/>
          <w:b/>
          <w:u w:val="single"/>
        </w:rPr>
      </w:pPr>
    </w:p>
    <w:p w14:paraId="0935FC06" w14:textId="77777777"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This section described the coping and care management strategies employed by older persons and family caregivers. These strategies involved accepting, rejecting or restricting the care given or received. For the most part, the exercise of agency by individuals in the care relationship was evident, but to varying degrees. Some persons resorted to covert or surreptitious methods of expressing their dissent with a particular care strategy, which seems to be indicative of the disparate power dynamic in the relationship between older care recipients and their family caregivers. Older persons and family caregivers either actively agreed with the care provided, or resisted, evaded or avoided the care situation if it was not in keeping with their preferences or the resources available to them. However, there were instances where participants simply capitulated or endured their care situation when it was far from ideal, and alternative options seemed out of reach. </w:t>
      </w:r>
    </w:p>
    <w:p w14:paraId="77122341" w14:textId="77777777" w:rsidR="00744EFC" w:rsidRPr="00E869A4" w:rsidRDefault="00744EFC" w:rsidP="00744EFC">
      <w:pPr>
        <w:jc w:val="both"/>
        <w:rPr>
          <w:rFonts w:ascii="Times New Roman" w:eastAsia="Times New Roman" w:hAnsi="Times New Roman" w:cs="Times New Roman"/>
        </w:rPr>
      </w:pPr>
    </w:p>
    <w:p w14:paraId="0DDF73D8" w14:textId="1A073FA4"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The main dimensions of the care management and coping strategies identified included: agreement (congruence vs. incongruence between the care preferences of the older person and their family carer), perceived determinability of care provision (certainty vs. uncertainty) and willingness to give or receive care. </w:t>
      </w:r>
      <w:r w:rsidR="000909BF" w:rsidRPr="00E869A4">
        <w:rPr>
          <w:rFonts w:ascii="Times New Roman" w:eastAsia="Times New Roman" w:hAnsi="Times New Roman" w:cs="Times New Roman"/>
        </w:rPr>
        <w:t>In this study, w</w:t>
      </w:r>
      <w:r w:rsidRPr="00E869A4">
        <w:rPr>
          <w:rFonts w:ascii="Times New Roman" w:eastAsia="Times New Roman" w:hAnsi="Times New Roman" w:cs="Times New Roman"/>
        </w:rPr>
        <w:t>illingness refers to the choice about the person</w:t>
      </w:r>
      <w:r w:rsidR="000909BF" w:rsidRPr="00E869A4">
        <w:rPr>
          <w:rFonts w:ascii="Times New Roman" w:eastAsia="Times New Roman" w:hAnsi="Times New Roman" w:cs="Times New Roman"/>
        </w:rPr>
        <w:t xml:space="preserve"> providing care</w:t>
      </w:r>
      <w:r w:rsidRPr="00E869A4">
        <w:rPr>
          <w:rFonts w:ascii="Times New Roman" w:eastAsia="Times New Roman" w:hAnsi="Times New Roman" w:cs="Times New Roman"/>
        </w:rPr>
        <w:t xml:space="preserve">, whilst agreement refers to the sentiments of </w:t>
      </w:r>
      <w:r w:rsidR="00FE61EC" w:rsidRPr="00E869A4">
        <w:rPr>
          <w:rFonts w:ascii="Times New Roman" w:eastAsia="Times New Roman" w:hAnsi="Times New Roman" w:cs="Times New Roman"/>
        </w:rPr>
        <w:t>the care recipient and/</w:t>
      </w:r>
      <w:r w:rsidRPr="00E869A4">
        <w:rPr>
          <w:rFonts w:ascii="Times New Roman" w:eastAsia="Times New Roman" w:hAnsi="Times New Roman" w:cs="Times New Roman"/>
        </w:rPr>
        <w:t xml:space="preserve">or </w:t>
      </w:r>
      <w:r w:rsidR="00FE61EC" w:rsidRPr="00E869A4">
        <w:rPr>
          <w:rFonts w:ascii="Times New Roman" w:eastAsia="Times New Roman" w:hAnsi="Times New Roman" w:cs="Times New Roman"/>
        </w:rPr>
        <w:t>caregiver</w:t>
      </w:r>
      <w:r w:rsidRPr="00E869A4">
        <w:rPr>
          <w:rFonts w:ascii="Times New Roman" w:eastAsia="Times New Roman" w:hAnsi="Times New Roman" w:cs="Times New Roman"/>
        </w:rPr>
        <w:t xml:space="preserve"> with respect to the care task. Table </w:t>
      </w:r>
      <w:r w:rsidR="00565A45" w:rsidRPr="00E869A4">
        <w:rPr>
          <w:rFonts w:ascii="Times New Roman" w:eastAsia="Times New Roman" w:hAnsi="Times New Roman" w:cs="Times New Roman"/>
        </w:rPr>
        <w:t>18</w:t>
      </w:r>
      <w:r w:rsidRPr="00E869A4">
        <w:rPr>
          <w:rFonts w:ascii="Times New Roman" w:eastAsia="Times New Roman" w:hAnsi="Times New Roman" w:cs="Times New Roman"/>
        </w:rPr>
        <w:t xml:space="preserve"> below summarises the care management strategies and the dimensions of care. While agreement and willingness could be used to describe all the care management strategies, determinability was a main characteristic of only five </w:t>
      </w:r>
      <w:r w:rsidR="00565A45" w:rsidRPr="00E869A4">
        <w:rPr>
          <w:rFonts w:ascii="Times New Roman" w:eastAsia="Times New Roman" w:hAnsi="Times New Roman" w:cs="Times New Roman"/>
        </w:rPr>
        <w:t xml:space="preserve">(5) </w:t>
      </w:r>
      <w:r w:rsidRPr="00E869A4">
        <w:rPr>
          <w:rFonts w:ascii="Times New Roman" w:eastAsia="Times New Roman" w:hAnsi="Times New Roman" w:cs="Times New Roman"/>
        </w:rPr>
        <w:t xml:space="preserve">care management strategies i.e. ardent care acceptance, amenable, selective, deferred and </w:t>
      </w:r>
      <w:r w:rsidRPr="00E869A4">
        <w:rPr>
          <w:rFonts w:ascii="Times New Roman" w:eastAsia="Times New Roman" w:hAnsi="Times New Roman" w:cs="Times New Roman"/>
        </w:rPr>
        <w:lastRenderedPageBreak/>
        <w:t xml:space="preserve">emergent care. Of these five, two </w:t>
      </w:r>
      <w:r w:rsidR="00565A45" w:rsidRPr="00E869A4">
        <w:rPr>
          <w:rFonts w:ascii="Times New Roman" w:eastAsia="Times New Roman" w:hAnsi="Times New Roman" w:cs="Times New Roman"/>
        </w:rPr>
        <w:t xml:space="preserve">(2) </w:t>
      </w:r>
      <w:r w:rsidRPr="00E869A4">
        <w:rPr>
          <w:rFonts w:ascii="Times New Roman" w:eastAsia="Times New Roman" w:hAnsi="Times New Roman" w:cs="Times New Roman"/>
        </w:rPr>
        <w:t xml:space="preserve">strategies i.e. deferred and emergent care, were more likely to be used in a context of relative uncertainty as </w:t>
      </w:r>
      <w:r w:rsidR="00565A45" w:rsidRPr="00E869A4">
        <w:rPr>
          <w:rFonts w:ascii="Times New Roman" w:eastAsia="Times New Roman" w:hAnsi="Times New Roman" w:cs="Times New Roman"/>
        </w:rPr>
        <w:t xml:space="preserve">they were generally deemed </w:t>
      </w:r>
      <w:r w:rsidRPr="00E869A4">
        <w:rPr>
          <w:rFonts w:ascii="Times New Roman" w:eastAsia="Times New Roman" w:hAnsi="Times New Roman" w:cs="Times New Roman"/>
        </w:rPr>
        <w:t xml:space="preserve">the best way forward given the </w:t>
      </w:r>
      <w:r w:rsidR="00565A45" w:rsidRPr="00E869A4">
        <w:rPr>
          <w:rFonts w:ascii="Times New Roman" w:eastAsia="Times New Roman" w:hAnsi="Times New Roman" w:cs="Times New Roman"/>
        </w:rPr>
        <w:t>participant</w:t>
      </w:r>
      <w:r w:rsidRPr="00E869A4">
        <w:rPr>
          <w:rFonts w:ascii="Times New Roman" w:eastAsia="Times New Roman" w:hAnsi="Times New Roman" w:cs="Times New Roman"/>
        </w:rPr>
        <w:t>’s assessment of the care need</w:t>
      </w:r>
      <w:r w:rsidR="00565A45" w:rsidRPr="00E869A4">
        <w:rPr>
          <w:rFonts w:ascii="Times New Roman" w:eastAsia="Times New Roman" w:hAnsi="Times New Roman" w:cs="Times New Roman"/>
        </w:rPr>
        <w:t>s of the older person</w:t>
      </w:r>
      <w:r w:rsidRPr="00E869A4">
        <w:rPr>
          <w:rFonts w:ascii="Times New Roman" w:eastAsia="Times New Roman" w:hAnsi="Times New Roman" w:cs="Times New Roman"/>
        </w:rPr>
        <w:t xml:space="preserve"> and available care options. </w:t>
      </w:r>
    </w:p>
    <w:p w14:paraId="506BE96E" w14:textId="77777777" w:rsidR="00744EFC" w:rsidRPr="00E869A4" w:rsidRDefault="00744EFC" w:rsidP="00744EFC">
      <w:pPr>
        <w:jc w:val="both"/>
        <w:rPr>
          <w:rFonts w:ascii="Times New Roman" w:eastAsia="Times New Roman" w:hAnsi="Times New Roman" w:cs="Times New Roman"/>
        </w:rPr>
      </w:pPr>
    </w:p>
    <w:p w14:paraId="56E6F122" w14:textId="3E78C4C4"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The reasons for reluctantly accepting care may vary in a particular care situation. An unwilling recipient of care might accept </w:t>
      </w:r>
      <w:r w:rsidR="00565A45" w:rsidRPr="00E869A4">
        <w:rPr>
          <w:rFonts w:ascii="Times New Roman" w:eastAsia="Times New Roman" w:hAnsi="Times New Roman" w:cs="Times New Roman"/>
        </w:rPr>
        <w:t>assistance</w:t>
      </w:r>
      <w:r w:rsidRPr="00E869A4">
        <w:rPr>
          <w:rFonts w:ascii="Times New Roman" w:eastAsia="Times New Roman" w:hAnsi="Times New Roman" w:cs="Times New Roman"/>
        </w:rPr>
        <w:t xml:space="preserve"> because they feel coerced or pressured to </w:t>
      </w:r>
      <w:r w:rsidR="00565A45" w:rsidRPr="00E869A4">
        <w:rPr>
          <w:rFonts w:ascii="Times New Roman" w:eastAsia="Times New Roman" w:hAnsi="Times New Roman" w:cs="Times New Roman"/>
        </w:rPr>
        <w:t>do so</w:t>
      </w:r>
      <w:r w:rsidRPr="00E869A4">
        <w:rPr>
          <w:rFonts w:ascii="Times New Roman" w:eastAsia="Times New Roman" w:hAnsi="Times New Roman" w:cs="Times New Roman"/>
        </w:rPr>
        <w:t xml:space="preserve">, or are unable to identify or access alternative care that they deem to be more suitable. Issues of individual and interpersonal </w:t>
      </w:r>
      <w:r w:rsidR="00565A45" w:rsidRPr="00E869A4">
        <w:rPr>
          <w:rFonts w:ascii="Times New Roman" w:eastAsia="Times New Roman" w:hAnsi="Times New Roman" w:cs="Times New Roman"/>
        </w:rPr>
        <w:t>power</w:t>
      </w:r>
      <w:r w:rsidRPr="00E869A4">
        <w:rPr>
          <w:rFonts w:ascii="Times New Roman" w:eastAsia="Times New Roman" w:hAnsi="Times New Roman" w:cs="Times New Roman"/>
        </w:rPr>
        <w:t xml:space="preserve"> directly </w:t>
      </w:r>
      <w:r w:rsidR="00565A45" w:rsidRPr="00E869A4">
        <w:rPr>
          <w:rFonts w:ascii="Times New Roman" w:eastAsia="Times New Roman" w:hAnsi="Times New Roman" w:cs="Times New Roman"/>
        </w:rPr>
        <w:t>affected</w:t>
      </w:r>
      <w:r w:rsidRPr="00E869A4">
        <w:rPr>
          <w:rFonts w:ascii="Times New Roman" w:eastAsia="Times New Roman" w:hAnsi="Times New Roman" w:cs="Times New Roman"/>
        </w:rPr>
        <w:t xml:space="preserve"> the selection of care management strategies. Conflict avoidance might be one of the reasons why an older person might accept care, even when they do not agree with the care given to them. Acceptance or rejection of care by an older person was also related to the degree of trust they had in their family caregiver. </w:t>
      </w:r>
    </w:p>
    <w:p w14:paraId="74BD8CD3" w14:textId="77777777" w:rsidR="00744EFC" w:rsidRPr="00E869A4" w:rsidRDefault="00744EFC" w:rsidP="00744EFC">
      <w:pPr>
        <w:jc w:val="both"/>
        <w:rPr>
          <w:rFonts w:ascii="Times New Roman" w:eastAsia="Times New Roman" w:hAnsi="Times New Roman" w:cs="Times New Roman"/>
        </w:rPr>
      </w:pPr>
    </w:p>
    <w:p w14:paraId="72BCCB33" w14:textId="4DAA067A" w:rsidR="00764376"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Older persons and family caregivers utilised the different care management strategies at various points in time. At </w:t>
      </w:r>
      <w:r w:rsidR="00565A45" w:rsidRPr="00E869A4">
        <w:rPr>
          <w:rFonts w:ascii="Times New Roman" w:eastAsia="Times New Roman" w:hAnsi="Times New Roman" w:cs="Times New Roman"/>
        </w:rPr>
        <w:t>times,</w:t>
      </w:r>
      <w:r w:rsidRPr="00E869A4">
        <w:rPr>
          <w:rFonts w:ascii="Times New Roman" w:eastAsia="Times New Roman" w:hAnsi="Times New Roman" w:cs="Times New Roman"/>
        </w:rPr>
        <w:t xml:space="preserve"> the participants employed one main strategy in response to a particular care situation, but generally, more than one strategy was employed in response to the dynamic care situation, and to different care scenarios they experienced</w:t>
      </w:r>
      <w:r w:rsidR="00565A45"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 had to navigate over time. The initial evidence suggests that persons with more financial means and access to wider social support networks, in particular</w:t>
      </w:r>
      <w:r w:rsidR="00CE2609" w:rsidRPr="00E869A4">
        <w:rPr>
          <w:rFonts w:ascii="Times New Roman" w:eastAsia="Times New Roman" w:hAnsi="Times New Roman" w:cs="Times New Roman"/>
        </w:rPr>
        <w:t>,</w:t>
      </w:r>
      <w:r w:rsidRPr="00E869A4">
        <w:rPr>
          <w:rFonts w:ascii="Times New Roman" w:eastAsia="Times New Roman" w:hAnsi="Times New Roman" w:cs="Times New Roman"/>
        </w:rPr>
        <w:t xml:space="preserve"> those with attachments to religious organisations, may have access to more opportunities than others who were less privileged. Religious/spiritual coping was employed by several participants irrespective of which resource group they belonged to. Interestingly, persons from all resource groups used less than optimal care management and coping strategies at some point in time. The sub-optimal care practices included leaving highly dependent older persons unattended, obtaining respite by leaving their older relative in hospital for an extended period of time after the older person was </w:t>
      </w:r>
      <w:r w:rsidR="00565A45" w:rsidRPr="00E869A4">
        <w:rPr>
          <w:rFonts w:ascii="Times New Roman" w:eastAsia="Times New Roman" w:hAnsi="Times New Roman" w:cs="Times New Roman"/>
        </w:rPr>
        <w:t>due</w:t>
      </w:r>
      <w:r w:rsidRPr="00E869A4">
        <w:rPr>
          <w:rFonts w:ascii="Times New Roman" w:eastAsia="Times New Roman" w:hAnsi="Times New Roman" w:cs="Times New Roman"/>
        </w:rPr>
        <w:t xml:space="preserve"> to be released, and paying care workers under minimum wage.    </w:t>
      </w:r>
    </w:p>
    <w:p w14:paraId="6B2F9BBD" w14:textId="77777777" w:rsidR="00764376" w:rsidRPr="00E869A4" w:rsidRDefault="00764376" w:rsidP="00744EFC">
      <w:pPr>
        <w:jc w:val="both"/>
        <w:rPr>
          <w:rFonts w:ascii="Times New Roman" w:eastAsia="Times New Roman" w:hAnsi="Times New Roman" w:cs="Times New Roman"/>
        </w:rPr>
      </w:pPr>
    </w:p>
    <w:p w14:paraId="22E30476" w14:textId="0B44F88C" w:rsidR="00744EFC" w:rsidRPr="00E869A4" w:rsidRDefault="00764376" w:rsidP="00744EFC">
      <w:pPr>
        <w:jc w:val="both"/>
        <w:rPr>
          <w:rFonts w:ascii="Times New Roman" w:eastAsia="Times New Roman" w:hAnsi="Times New Roman" w:cs="Times New Roman"/>
        </w:rPr>
      </w:pPr>
      <w:r w:rsidRPr="00E869A4">
        <w:rPr>
          <w:rFonts w:ascii="Times New Roman" w:eastAsia="Times New Roman" w:hAnsi="Times New Roman" w:cs="Times New Roman"/>
        </w:rPr>
        <w:t xml:space="preserve">Generally, the findings showed that frail older persons depended on their family caregivers in order to cope with and survive the many hardships that they faced. </w:t>
      </w:r>
      <w:r w:rsidR="00356794" w:rsidRPr="00E869A4">
        <w:rPr>
          <w:rFonts w:ascii="Times New Roman" w:eastAsia="Times New Roman" w:hAnsi="Times New Roman" w:cs="Times New Roman"/>
        </w:rPr>
        <w:t>T</w:t>
      </w:r>
      <w:r w:rsidRPr="00E869A4">
        <w:rPr>
          <w:rFonts w:ascii="Times New Roman" w:eastAsia="Times New Roman" w:hAnsi="Times New Roman" w:cs="Times New Roman"/>
        </w:rPr>
        <w:t xml:space="preserve">his </w:t>
      </w:r>
      <w:r w:rsidR="00356794" w:rsidRPr="00E869A4">
        <w:rPr>
          <w:rFonts w:ascii="Times New Roman" w:eastAsia="Times New Roman" w:hAnsi="Times New Roman" w:cs="Times New Roman"/>
        </w:rPr>
        <w:t xml:space="preserve">interdependence </w:t>
      </w:r>
      <w:r w:rsidRPr="00E869A4">
        <w:rPr>
          <w:rFonts w:ascii="Times New Roman" w:eastAsia="Times New Roman" w:hAnsi="Times New Roman" w:cs="Times New Roman"/>
        </w:rPr>
        <w:t xml:space="preserve">was in most instances </w:t>
      </w:r>
      <w:r w:rsidR="00356794" w:rsidRPr="00E869A4">
        <w:rPr>
          <w:rFonts w:ascii="Times New Roman" w:eastAsia="Times New Roman" w:hAnsi="Times New Roman" w:cs="Times New Roman"/>
        </w:rPr>
        <w:t>predicated on</w:t>
      </w:r>
      <w:r w:rsidRPr="00E869A4">
        <w:rPr>
          <w:rFonts w:ascii="Times New Roman" w:eastAsia="Times New Roman" w:hAnsi="Times New Roman" w:cs="Times New Roman"/>
        </w:rPr>
        <w:t xml:space="preserve"> a history of mutual exchange.</w:t>
      </w:r>
      <w:r w:rsidR="00356794" w:rsidRPr="00E869A4">
        <w:rPr>
          <w:rFonts w:ascii="Times New Roman" w:eastAsia="Times New Roman" w:hAnsi="Times New Roman" w:cs="Times New Roman"/>
        </w:rPr>
        <w:t xml:space="preserve"> The results on the experiences of care also showed that even in later life older persons made important contributions to family life, such as emotional and financial support to younger persons. </w:t>
      </w:r>
      <w:r w:rsidRPr="00E869A4">
        <w:rPr>
          <w:rFonts w:ascii="Times New Roman" w:eastAsia="Times New Roman" w:hAnsi="Times New Roman" w:cs="Times New Roman"/>
        </w:rPr>
        <w:t xml:space="preserve"> Thus, for many older persons</w:t>
      </w:r>
      <w:r w:rsidR="00356794" w:rsidRPr="00E869A4">
        <w:rPr>
          <w:rFonts w:ascii="Times New Roman" w:eastAsia="Times New Roman" w:hAnsi="Times New Roman" w:cs="Times New Roman"/>
        </w:rPr>
        <w:t xml:space="preserve"> in this study</w:t>
      </w:r>
      <w:r w:rsidRPr="00E869A4">
        <w:rPr>
          <w:rFonts w:ascii="Times New Roman" w:eastAsia="Times New Roman" w:hAnsi="Times New Roman" w:cs="Times New Roman"/>
        </w:rPr>
        <w:t xml:space="preserve">, </w:t>
      </w:r>
      <w:r w:rsidR="00356794" w:rsidRPr="00E869A4">
        <w:rPr>
          <w:rFonts w:ascii="Times New Roman" w:eastAsia="Times New Roman" w:hAnsi="Times New Roman" w:cs="Times New Roman"/>
        </w:rPr>
        <w:t>receiving</w:t>
      </w:r>
      <w:r w:rsidRPr="00E869A4">
        <w:rPr>
          <w:rFonts w:ascii="Times New Roman" w:eastAsia="Times New Roman" w:hAnsi="Times New Roman" w:cs="Times New Roman"/>
        </w:rPr>
        <w:t xml:space="preserve"> help from their family carer was considered a privilege rather than a source of shame. As noted previously in the literature </w:t>
      </w:r>
      <w:r w:rsidRPr="00E869A4">
        <w:rPr>
          <w:rFonts w:ascii="Times New Roman" w:eastAsia="Times New Roman" w:hAnsi="Times New Roman" w:cs="Times New Roman"/>
        </w:rPr>
        <w:lastRenderedPageBreak/>
        <w:t xml:space="preserve">review, this is consistent </w:t>
      </w:r>
      <w:r w:rsidR="00356794" w:rsidRPr="00E869A4">
        <w:rPr>
          <w:rFonts w:ascii="Times New Roman" w:eastAsia="Times New Roman" w:hAnsi="Times New Roman" w:cs="Times New Roman"/>
        </w:rPr>
        <w:t xml:space="preserve">with research conducted in developing countries such as India (Ghosh, Capistrant &amp; Friedemann-Sãnchez 2017) and other non-Western countries that have a stronger collectivist orientation (Lu 2015; Liu &amp; Kendig 2000; Pinquart &amp; Sörensen 2005). </w:t>
      </w:r>
      <w:r w:rsidRPr="00E869A4">
        <w:rPr>
          <w:rFonts w:ascii="Times New Roman" w:eastAsia="Times New Roman" w:hAnsi="Times New Roman" w:cs="Times New Roman"/>
        </w:rPr>
        <w:t>Furthermore, despite their need for support for relatives, they engaged in various expressions of agency as was evident from the different care manag</w:t>
      </w:r>
      <w:r w:rsidR="00356794" w:rsidRPr="00E869A4">
        <w:rPr>
          <w:rFonts w:ascii="Times New Roman" w:eastAsia="Times New Roman" w:hAnsi="Times New Roman" w:cs="Times New Roman"/>
        </w:rPr>
        <w:t>ement strategies they employed.</w:t>
      </w:r>
      <w:r w:rsidR="00744EFC" w:rsidRPr="00E869A4">
        <w:rPr>
          <w:rFonts w:ascii="Times New Roman" w:eastAsia="Times New Roman" w:hAnsi="Times New Roman" w:cs="Times New Roman"/>
        </w:rPr>
        <w:t xml:space="preserve">  </w:t>
      </w:r>
    </w:p>
    <w:p w14:paraId="7A2EF9DB" w14:textId="77777777" w:rsidR="00744EFC" w:rsidRPr="00E869A4" w:rsidRDefault="00744EFC" w:rsidP="00744EFC">
      <w:pPr>
        <w:jc w:val="both"/>
        <w:rPr>
          <w:rFonts w:ascii="Times New Roman" w:eastAsia="Times New Roman" w:hAnsi="Times New Roman" w:cs="Times New Roman"/>
        </w:rPr>
      </w:pPr>
    </w:p>
    <w:p w14:paraId="77344256" w14:textId="44894F33" w:rsidR="00744EFC" w:rsidRPr="00E869A4" w:rsidRDefault="00744EFC" w:rsidP="00744EFC">
      <w:pPr>
        <w:jc w:val="both"/>
        <w:rPr>
          <w:rFonts w:ascii="Times New Roman" w:eastAsia="Times New Roman" w:hAnsi="Times New Roman" w:cs="Times New Roman"/>
        </w:rPr>
      </w:pPr>
      <w:r w:rsidRPr="00E869A4">
        <w:rPr>
          <w:rFonts w:ascii="Times New Roman" w:eastAsia="Times New Roman" w:hAnsi="Times New Roman" w:cs="Times New Roman"/>
        </w:rPr>
        <w:t>It is important to note that as with the themes and categories identified in the previous chapters, the care management strategies identified should be viewed as heuristic devices, as in practice, more than one care strategy may be employed by older persons and family carers. Also, while a distinct list of care management strategies has been formulated for older persons and another for family caregivers, willingness to accept or give care is the connecting theme across these strategies. The centrality of willingness to care as a theme emerging in these qualitative findings is a main factor that influenced the conduct of a survey to further explore this issue. The survey results are presented in the next chapter.</w:t>
      </w:r>
    </w:p>
    <w:p w14:paraId="2AE1E025" w14:textId="77777777" w:rsidR="00744EFC" w:rsidRPr="00E869A4" w:rsidRDefault="00744EFC" w:rsidP="00744EFC">
      <w:pPr>
        <w:jc w:val="both"/>
        <w:rPr>
          <w:rFonts w:ascii="Times New Roman" w:eastAsia="Times New Roman" w:hAnsi="Times New Roman" w:cs="Times New Roman"/>
        </w:rPr>
      </w:pPr>
    </w:p>
    <w:p w14:paraId="3660AB82" w14:textId="77777777" w:rsidR="00744EFC" w:rsidRPr="00E869A4" w:rsidRDefault="00744EFC" w:rsidP="00744EFC">
      <w:pPr>
        <w:jc w:val="both"/>
        <w:rPr>
          <w:rFonts w:ascii="Times New Roman" w:eastAsia="Times New Roman" w:hAnsi="Times New Roman" w:cs="Times New Roman"/>
        </w:rPr>
        <w:sectPr w:rsidR="00744EFC" w:rsidRPr="00E869A4" w:rsidSect="00446CB8">
          <w:footerReference w:type="default" r:id="rId25"/>
          <w:type w:val="nextColumn"/>
          <w:pgSz w:w="12240" w:h="15840"/>
          <w:pgMar w:top="1440" w:right="851" w:bottom="1440" w:left="1134" w:header="708" w:footer="708" w:gutter="0"/>
          <w:cols w:space="708"/>
          <w:titlePg/>
          <w:docGrid w:linePitch="360"/>
        </w:sectPr>
      </w:pPr>
    </w:p>
    <w:p w14:paraId="3EA12FB6" w14:textId="00C59C31" w:rsidR="00C349ED" w:rsidRPr="00E869A4" w:rsidRDefault="00C349ED" w:rsidP="00C349ED">
      <w:pPr>
        <w:pStyle w:val="Caption"/>
        <w:tabs>
          <w:tab w:val="left" w:pos="2535"/>
          <w:tab w:val="center" w:pos="6763"/>
        </w:tabs>
        <w:rPr>
          <w:b/>
          <w:i w:val="0"/>
          <w:sz w:val="24"/>
        </w:rPr>
      </w:pPr>
      <w:bookmarkStart w:id="346" w:name="_Toc40436617"/>
      <w:r w:rsidRPr="00E869A4">
        <w:rPr>
          <w:b/>
          <w:i w:val="0"/>
          <w:sz w:val="24"/>
        </w:rPr>
        <w:lastRenderedPageBreak/>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18</w:t>
      </w:r>
      <w:r w:rsidRPr="00E869A4">
        <w:rPr>
          <w:b/>
          <w:i w:val="0"/>
          <w:sz w:val="24"/>
        </w:rPr>
        <w:fldChar w:fldCharType="end"/>
      </w:r>
      <w:r w:rsidR="00ED14A9" w:rsidRPr="00E869A4">
        <w:rPr>
          <w:b/>
          <w:i w:val="0"/>
          <w:sz w:val="24"/>
        </w:rPr>
        <w:t>:</w:t>
      </w:r>
      <w:r w:rsidRPr="00E869A4">
        <w:rPr>
          <w:b/>
          <w:i w:val="0"/>
          <w:sz w:val="24"/>
        </w:rPr>
        <w:t xml:space="preserve"> Dimensions of Care Management Strategies</w:t>
      </w:r>
      <w:bookmarkEnd w:id="346"/>
    </w:p>
    <w:p w14:paraId="48B0276B" w14:textId="77777777" w:rsidR="00C349ED" w:rsidRPr="00E869A4" w:rsidRDefault="00C349ED" w:rsidP="00C349ED"/>
    <w:tbl>
      <w:tblPr>
        <w:tblW w:w="178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
        <w:gridCol w:w="1367"/>
        <w:gridCol w:w="1215"/>
        <w:gridCol w:w="1346"/>
        <w:gridCol w:w="1081"/>
        <w:gridCol w:w="1558"/>
        <w:gridCol w:w="1709"/>
        <w:gridCol w:w="1408"/>
        <w:gridCol w:w="1424"/>
        <w:gridCol w:w="1208"/>
        <w:gridCol w:w="1179"/>
        <w:gridCol w:w="1558"/>
        <w:gridCol w:w="1770"/>
      </w:tblGrid>
      <w:tr w:rsidR="00C714D3" w:rsidRPr="00E869A4" w14:paraId="793EA55D" w14:textId="77777777" w:rsidTr="00F92C08">
        <w:trPr>
          <w:trHeight w:val="300"/>
          <w:jc w:val="center"/>
        </w:trPr>
        <w:tc>
          <w:tcPr>
            <w:tcW w:w="2413" w:type="dxa"/>
            <w:gridSpan w:val="2"/>
            <w:shd w:val="clear" w:color="auto" w:fill="auto"/>
            <w:vAlign w:val="center"/>
          </w:tcPr>
          <w:p w14:paraId="638F5004"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Care Recipient</w:t>
            </w:r>
          </w:p>
        </w:tc>
        <w:tc>
          <w:tcPr>
            <w:tcW w:w="2561" w:type="dxa"/>
            <w:gridSpan w:val="2"/>
            <w:shd w:val="clear" w:color="auto" w:fill="auto"/>
            <w:vAlign w:val="center"/>
          </w:tcPr>
          <w:p w14:paraId="0BFD9042"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Willingness</w:t>
            </w:r>
          </w:p>
        </w:tc>
        <w:tc>
          <w:tcPr>
            <w:tcW w:w="2639" w:type="dxa"/>
            <w:gridSpan w:val="2"/>
            <w:shd w:val="clear" w:color="auto" w:fill="auto"/>
            <w:vAlign w:val="center"/>
          </w:tcPr>
          <w:p w14:paraId="1993EF8C"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Agreement</w:t>
            </w:r>
          </w:p>
        </w:tc>
        <w:tc>
          <w:tcPr>
            <w:tcW w:w="3117" w:type="dxa"/>
            <w:gridSpan w:val="2"/>
            <w:shd w:val="clear" w:color="auto" w:fill="auto"/>
            <w:vAlign w:val="center"/>
          </w:tcPr>
          <w:p w14:paraId="5B5990D8"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Caregiver</w:t>
            </w:r>
          </w:p>
        </w:tc>
        <w:tc>
          <w:tcPr>
            <w:tcW w:w="2632" w:type="dxa"/>
            <w:gridSpan w:val="2"/>
            <w:shd w:val="clear" w:color="auto" w:fill="auto"/>
            <w:vAlign w:val="center"/>
          </w:tcPr>
          <w:p w14:paraId="16169725"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Willingness</w:t>
            </w:r>
          </w:p>
        </w:tc>
        <w:tc>
          <w:tcPr>
            <w:tcW w:w="2737" w:type="dxa"/>
            <w:gridSpan w:val="2"/>
            <w:shd w:val="clear" w:color="auto" w:fill="auto"/>
            <w:vAlign w:val="center"/>
          </w:tcPr>
          <w:p w14:paraId="7BB136C3"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Agreement</w:t>
            </w:r>
          </w:p>
        </w:tc>
        <w:tc>
          <w:tcPr>
            <w:tcW w:w="1770" w:type="dxa"/>
            <w:vMerge w:val="restart"/>
            <w:shd w:val="clear" w:color="auto" w:fill="auto"/>
            <w:vAlign w:val="center"/>
          </w:tcPr>
          <w:p w14:paraId="588ECC40"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Determinability</w:t>
            </w:r>
          </w:p>
        </w:tc>
      </w:tr>
      <w:tr w:rsidR="00C714D3" w:rsidRPr="00E869A4" w14:paraId="0B088660" w14:textId="77777777" w:rsidTr="00F92C08">
        <w:trPr>
          <w:trHeight w:val="300"/>
          <w:jc w:val="center"/>
        </w:trPr>
        <w:tc>
          <w:tcPr>
            <w:tcW w:w="1046" w:type="dxa"/>
            <w:shd w:val="clear" w:color="auto" w:fill="auto"/>
            <w:vAlign w:val="center"/>
          </w:tcPr>
          <w:p w14:paraId="735AD31F"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Primary</w:t>
            </w:r>
          </w:p>
        </w:tc>
        <w:tc>
          <w:tcPr>
            <w:tcW w:w="1367" w:type="dxa"/>
            <w:shd w:val="clear" w:color="auto" w:fill="auto"/>
            <w:vAlign w:val="center"/>
          </w:tcPr>
          <w:p w14:paraId="7E6253A7"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Secondary</w:t>
            </w:r>
          </w:p>
        </w:tc>
        <w:tc>
          <w:tcPr>
            <w:tcW w:w="1215" w:type="dxa"/>
            <w:shd w:val="clear" w:color="auto" w:fill="auto"/>
            <w:vAlign w:val="center"/>
          </w:tcPr>
          <w:p w14:paraId="1D303690"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CR</w:t>
            </w:r>
          </w:p>
        </w:tc>
        <w:tc>
          <w:tcPr>
            <w:tcW w:w="1346" w:type="dxa"/>
            <w:shd w:val="clear" w:color="auto" w:fill="auto"/>
            <w:vAlign w:val="center"/>
          </w:tcPr>
          <w:p w14:paraId="5DAA06C1"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CG</w:t>
            </w:r>
          </w:p>
        </w:tc>
        <w:tc>
          <w:tcPr>
            <w:tcW w:w="1081" w:type="dxa"/>
            <w:shd w:val="clear" w:color="auto" w:fill="auto"/>
            <w:vAlign w:val="center"/>
          </w:tcPr>
          <w:p w14:paraId="5ED20F26"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CR</w:t>
            </w:r>
          </w:p>
        </w:tc>
        <w:tc>
          <w:tcPr>
            <w:tcW w:w="1558" w:type="dxa"/>
            <w:shd w:val="clear" w:color="auto" w:fill="auto"/>
            <w:vAlign w:val="center"/>
          </w:tcPr>
          <w:p w14:paraId="3B9C1A5E"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Dyad (CG/CR)</w:t>
            </w:r>
          </w:p>
        </w:tc>
        <w:tc>
          <w:tcPr>
            <w:tcW w:w="1709" w:type="dxa"/>
            <w:shd w:val="clear" w:color="auto" w:fill="auto"/>
            <w:vAlign w:val="center"/>
          </w:tcPr>
          <w:p w14:paraId="6EAC61C3"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Primary</w:t>
            </w:r>
          </w:p>
        </w:tc>
        <w:tc>
          <w:tcPr>
            <w:tcW w:w="1408" w:type="dxa"/>
            <w:shd w:val="clear" w:color="auto" w:fill="auto"/>
            <w:vAlign w:val="center"/>
          </w:tcPr>
          <w:p w14:paraId="662F58F8"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Secondary</w:t>
            </w:r>
          </w:p>
        </w:tc>
        <w:tc>
          <w:tcPr>
            <w:tcW w:w="1424" w:type="dxa"/>
            <w:shd w:val="clear" w:color="auto" w:fill="auto"/>
            <w:vAlign w:val="center"/>
          </w:tcPr>
          <w:p w14:paraId="417507EC"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CG / PFCG</w:t>
            </w:r>
          </w:p>
        </w:tc>
        <w:tc>
          <w:tcPr>
            <w:tcW w:w="1208" w:type="dxa"/>
            <w:shd w:val="clear" w:color="auto" w:fill="auto"/>
            <w:vAlign w:val="center"/>
          </w:tcPr>
          <w:p w14:paraId="41BDBCCE"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CR</w:t>
            </w:r>
          </w:p>
        </w:tc>
        <w:tc>
          <w:tcPr>
            <w:tcW w:w="1179" w:type="dxa"/>
            <w:shd w:val="clear" w:color="auto" w:fill="auto"/>
            <w:vAlign w:val="center"/>
          </w:tcPr>
          <w:p w14:paraId="2700FD09"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CR</w:t>
            </w:r>
          </w:p>
        </w:tc>
        <w:tc>
          <w:tcPr>
            <w:tcW w:w="1558" w:type="dxa"/>
            <w:shd w:val="clear" w:color="auto" w:fill="auto"/>
            <w:vAlign w:val="center"/>
          </w:tcPr>
          <w:p w14:paraId="6BF7FFB5" w14:textId="77777777" w:rsidR="00744EFC" w:rsidRPr="00E869A4" w:rsidRDefault="00744EFC" w:rsidP="003671F0">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Dyad (CG/CR)</w:t>
            </w:r>
          </w:p>
        </w:tc>
        <w:tc>
          <w:tcPr>
            <w:tcW w:w="1770" w:type="dxa"/>
            <w:vMerge/>
            <w:shd w:val="clear" w:color="auto" w:fill="auto"/>
            <w:vAlign w:val="center"/>
          </w:tcPr>
          <w:p w14:paraId="2419C0DC" w14:textId="77777777" w:rsidR="00744EFC" w:rsidRPr="00E869A4" w:rsidRDefault="00744EFC" w:rsidP="003671F0">
            <w:pPr>
              <w:widowControl w:val="0"/>
              <w:pBdr>
                <w:top w:val="nil"/>
                <w:left w:val="nil"/>
                <w:bottom w:val="nil"/>
                <w:right w:val="nil"/>
                <w:between w:val="nil"/>
              </w:pBdr>
              <w:spacing w:line="240" w:lineRule="auto"/>
              <w:ind w:firstLine="0"/>
              <w:rPr>
                <w:rFonts w:ascii="Times New Roman" w:eastAsia="Times New Roman" w:hAnsi="Times New Roman" w:cs="Times New Roman"/>
                <w:b/>
                <w:sz w:val="22"/>
              </w:rPr>
            </w:pPr>
          </w:p>
        </w:tc>
      </w:tr>
      <w:tr w:rsidR="00C714D3" w:rsidRPr="00E869A4" w14:paraId="1A4C03D6" w14:textId="77777777" w:rsidTr="00F92C08">
        <w:trPr>
          <w:trHeight w:val="840"/>
          <w:jc w:val="center"/>
        </w:trPr>
        <w:tc>
          <w:tcPr>
            <w:tcW w:w="1046" w:type="dxa"/>
            <w:vMerge w:val="restart"/>
            <w:tcBorders>
              <w:bottom w:val="single" w:sz="4" w:space="0" w:color="000000"/>
            </w:tcBorders>
            <w:shd w:val="clear" w:color="auto" w:fill="auto"/>
            <w:vAlign w:val="center"/>
          </w:tcPr>
          <w:p w14:paraId="6117CB2B"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Accept Care</w:t>
            </w:r>
          </w:p>
        </w:tc>
        <w:tc>
          <w:tcPr>
            <w:tcW w:w="1367" w:type="dxa"/>
            <w:tcBorders>
              <w:bottom w:val="single" w:sz="4" w:space="0" w:color="000000"/>
            </w:tcBorders>
            <w:shd w:val="clear" w:color="auto" w:fill="auto"/>
            <w:vAlign w:val="center"/>
          </w:tcPr>
          <w:p w14:paraId="68DA1699"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Ardent Acceptance</w:t>
            </w:r>
          </w:p>
        </w:tc>
        <w:tc>
          <w:tcPr>
            <w:tcW w:w="1215" w:type="dxa"/>
            <w:tcBorders>
              <w:bottom w:val="single" w:sz="4" w:space="0" w:color="000000"/>
            </w:tcBorders>
            <w:shd w:val="clear" w:color="auto" w:fill="auto"/>
            <w:vAlign w:val="center"/>
          </w:tcPr>
          <w:p w14:paraId="11A1CD97"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w:t>
            </w:r>
          </w:p>
        </w:tc>
        <w:tc>
          <w:tcPr>
            <w:tcW w:w="1346" w:type="dxa"/>
            <w:tcBorders>
              <w:bottom w:val="single" w:sz="4" w:space="0" w:color="000000"/>
            </w:tcBorders>
            <w:shd w:val="clear" w:color="auto" w:fill="auto"/>
            <w:vAlign w:val="center"/>
          </w:tcPr>
          <w:p w14:paraId="0758E3D0"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Perceived as Willing by CR</w:t>
            </w:r>
          </w:p>
        </w:tc>
        <w:tc>
          <w:tcPr>
            <w:tcW w:w="1081" w:type="dxa"/>
            <w:tcBorders>
              <w:bottom w:val="single" w:sz="4" w:space="0" w:color="000000"/>
            </w:tcBorders>
            <w:shd w:val="clear" w:color="auto" w:fill="auto"/>
            <w:vAlign w:val="center"/>
          </w:tcPr>
          <w:p w14:paraId="782860C0"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Agree</w:t>
            </w:r>
          </w:p>
        </w:tc>
        <w:tc>
          <w:tcPr>
            <w:tcW w:w="1558" w:type="dxa"/>
            <w:tcBorders>
              <w:bottom w:val="single" w:sz="4" w:space="0" w:color="000000"/>
            </w:tcBorders>
            <w:shd w:val="clear" w:color="auto" w:fill="auto"/>
            <w:vAlign w:val="center"/>
          </w:tcPr>
          <w:p w14:paraId="40149CD0"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Congruence / Incongruence</w:t>
            </w:r>
          </w:p>
        </w:tc>
        <w:tc>
          <w:tcPr>
            <w:tcW w:w="1709" w:type="dxa"/>
            <w:vMerge w:val="restart"/>
            <w:tcBorders>
              <w:bottom w:val="single" w:sz="4" w:space="0" w:color="000000"/>
            </w:tcBorders>
            <w:shd w:val="clear" w:color="auto" w:fill="auto"/>
            <w:vAlign w:val="center"/>
          </w:tcPr>
          <w:p w14:paraId="71D0A32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Accept Caregiving Role</w:t>
            </w:r>
          </w:p>
        </w:tc>
        <w:tc>
          <w:tcPr>
            <w:tcW w:w="1408" w:type="dxa"/>
            <w:tcBorders>
              <w:bottom w:val="single" w:sz="4" w:space="0" w:color="000000"/>
            </w:tcBorders>
            <w:shd w:val="clear" w:color="auto" w:fill="auto"/>
            <w:vAlign w:val="center"/>
          </w:tcPr>
          <w:p w14:paraId="6C1066A9"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Amenable Care</w:t>
            </w:r>
          </w:p>
        </w:tc>
        <w:tc>
          <w:tcPr>
            <w:tcW w:w="1424" w:type="dxa"/>
            <w:tcBorders>
              <w:bottom w:val="single" w:sz="4" w:space="0" w:color="000000"/>
            </w:tcBorders>
            <w:shd w:val="clear" w:color="auto" w:fill="auto"/>
            <w:vAlign w:val="center"/>
          </w:tcPr>
          <w:p w14:paraId="4C3F4A85" w14:textId="77777777" w:rsidR="00744EFC" w:rsidRPr="00E869A4" w:rsidRDefault="00744EFC" w:rsidP="00F92C08">
            <w:pPr>
              <w:spacing w:line="240" w:lineRule="auto"/>
              <w:ind w:firstLine="0"/>
              <w:jc w:val="center"/>
              <w:rPr>
                <w:rFonts w:ascii="Times New Roman" w:eastAsia="Times New Roman" w:hAnsi="Times New Roman" w:cs="Times New Roman"/>
                <w:b/>
                <w:sz w:val="22"/>
              </w:rPr>
            </w:pPr>
            <w:r w:rsidRPr="00E869A4">
              <w:rPr>
                <w:rFonts w:ascii="Times New Roman" w:eastAsia="Times New Roman" w:hAnsi="Times New Roman" w:cs="Times New Roman"/>
                <w:b/>
                <w:sz w:val="22"/>
              </w:rPr>
              <w:t>Expressed Willingness</w:t>
            </w:r>
          </w:p>
        </w:tc>
        <w:tc>
          <w:tcPr>
            <w:tcW w:w="1208" w:type="dxa"/>
            <w:vMerge w:val="restart"/>
            <w:tcBorders>
              <w:bottom w:val="single" w:sz="4" w:space="0" w:color="000000"/>
            </w:tcBorders>
            <w:shd w:val="clear" w:color="auto" w:fill="auto"/>
            <w:vAlign w:val="center"/>
          </w:tcPr>
          <w:p w14:paraId="331AA42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w:t>
            </w:r>
          </w:p>
        </w:tc>
        <w:tc>
          <w:tcPr>
            <w:tcW w:w="1179" w:type="dxa"/>
            <w:tcBorders>
              <w:bottom w:val="single" w:sz="4" w:space="0" w:color="000000"/>
            </w:tcBorders>
            <w:shd w:val="clear" w:color="auto" w:fill="auto"/>
            <w:vAlign w:val="center"/>
          </w:tcPr>
          <w:p w14:paraId="20189C8D"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Agree</w:t>
            </w:r>
          </w:p>
        </w:tc>
        <w:tc>
          <w:tcPr>
            <w:tcW w:w="1558" w:type="dxa"/>
            <w:tcBorders>
              <w:bottom w:val="single" w:sz="4" w:space="0" w:color="000000"/>
            </w:tcBorders>
            <w:shd w:val="clear" w:color="auto" w:fill="auto"/>
            <w:vAlign w:val="center"/>
          </w:tcPr>
          <w:p w14:paraId="6B3A9706"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 xml:space="preserve">Congruence </w:t>
            </w:r>
          </w:p>
        </w:tc>
        <w:tc>
          <w:tcPr>
            <w:tcW w:w="1770" w:type="dxa"/>
            <w:vMerge w:val="restart"/>
            <w:tcBorders>
              <w:bottom w:val="single" w:sz="4" w:space="0" w:color="000000"/>
            </w:tcBorders>
            <w:shd w:val="clear" w:color="auto" w:fill="auto"/>
            <w:vAlign w:val="center"/>
          </w:tcPr>
          <w:p w14:paraId="41C0BE29"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Certainty / Uncertainty</w:t>
            </w:r>
          </w:p>
        </w:tc>
      </w:tr>
      <w:tr w:rsidR="00C714D3" w:rsidRPr="00E869A4" w14:paraId="4522F3A5" w14:textId="77777777" w:rsidTr="00F92C08">
        <w:trPr>
          <w:trHeight w:val="280"/>
          <w:jc w:val="center"/>
        </w:trPr>
        <w:tc>
          <w:tcPr>
            <w:tcW w:w="1046" w:type="dxa"/>
            <w:vMerge/>
            <w:tcBorders>
              <w:bottom w:val="single" w:sz="4" w:space="0" w:color="000000"/>
            </w:tcBorders>
            <w:shd w:val="clear" w:color="auto" w:fill="auto"/>
            <w:vAlign w:val="center"/>
          </w:tcPr>
          <w:p w14:paraId="713BF385"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367" w:type="dxa"/>
            <w:shd w:val="clear" w:color="auto" w:fill="auto"/>
            <w:vAlign w:val="center"/>
          </w:tcPr>
          <w:p w14:paraId="23FA19CC"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Capitulated Acceptance</w:t>
            </w:r>
          </w:p>
        </w:tc>
        <w:tc>
          <w:tcPr>
            <w:tcW w:w="1215" w:type="dxa"/>
            <w:shd w:val="clear" w:color="auto" w:fill="auto"/>
            <w:vAlign w:val="center"/>
          </w:tcPr>
          <w:p w14:paraId="4CBC70E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w:t>
            </w:r>
          </w:p>
        </w:tc>
        <w:tc>
          <w:tcPr>
            <w:tcW w:w="1346" w:type="dxa"/>
            <w:vMerge w:val="restart"/>
            <w:shd w:val="clear" w:color="auto" w:fill="auto"/>
            <w:vAlign w:val="center"/>
          </w:tcPr>
          <w:p w14:paraId="7444979F" w14:textId="77777777" w:rsidR="00744EFC" w:rsidRPr="00E869A4" w:rsidRDefault="00744EFC" w:rsidP="00F92C08">
            <w:pPr>
              <w:spacing w:line="240" w:lineRule="auto"/>
              <w:ind w:firstLine="0"/>
              <w:jc w:val="center"/>
              <w:rPr>
                <w:rFonts w:ascii="Times New Roman" w:eastAsia="Times New Roman" w:hAnsi="Times New Roman" w:cs="Times New Roman"/>
                <w:sz w:val="22"/>
                <w:u w:val="single"/>
              </w:rPr>
            </w:pPr>
            <w:r w:rsidRPr="00E869A4">
              <w:rPr>
                <w:rFonts w:ascii="Times New Roman" w:eastAsia="Times New Roman" w:hAnsi="Times New Roman" w:cs="Times New Roman"/>
                <w:sz w:val="22"/>
                <w:u w:val="single"/>
              </w:rPr>
              <w:t>Willing</w:t>
            </w:r>
          </w:p>
        </w:tc>
        <w:tc>
          <w:tcPr>
            <w:tcW w:w="1081" w:type="dxa"/>
            <w:shd w:val="clear" w:color="auto" w:fill="auto"/>
            <w:vAlign w:val="center"/>
          </w:tcPr>
          <w:p w14:paraId="0679AE12"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Disagree</w:t>
            </w:r>
          </w:p>
        </w:tc>
        <w:tc>
          <w:tcPr>
            <w:tcW w:w="1558" w:type="dxa"/>
            <w:vMerge w:val="restart"/>
            <w:shd w:val="clear" w:color="auto" w:fill="auto"/>
            <w:vAlign w:val="center"/>
          </w:tcPr>
          <w:p w14:paraId="05178D08"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Incongruence</w:t>
            </w:r>
          </w:p>
        </w:tc>
        <w:tc>
          <w:tcPr>
            <w:tcW w:w="1709" w:type="dxa"/>
            <w:vMerge/>
            <w:tcBorders>
              <w:bottom w:val="single" w:sz="4" w:space="0" w:color="000000"/>
            </w:tcBorders>
            <w:shd w:val="clear" w:color="auto" w:fill="auto"/>
            <w:vAlign w:val="center"/>
          </w:tcPr>
          <w:p w14:paraId="738A30FD"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shd w:val="clear" w:color="auto" w:fill="auto"/>
            <w:vAlign w:val="center"/>
          </w:tcPr>
          <w:p w14:paraId="178645E2"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Surreptitious Care</w:t>
            </w:r>
          </w:p>
          <w:p w14:paraId="1533BF34"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 </w:t>
            </w:r>
          </w:p>
        </w:tc>
        <w:tc>
          <w:tcPr>
            <w:tcW w:w="1424" w:type="dxa"/>
            <w:vMerge w:val="restart"/>
            <w:shd w:val="clear" w:color="auto" w:fill="auto"/>
            <w:vAlign w:val="center"/>
          </w:tcPr>
          <w:p w14:paraId="7D3AE808"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w:t>
            </w:r>
          </w:p>
        </w:tc>
        <w:tc>
          <w:tcPr>
            <w:tcW w:w="1208" w:type="dxa"/>
            <w:vMerge/>
            <w:tcBorders>
              <w:bottom w:val="single" w:sz="4" w:space="0" w:color="000000"/>
            </w:tcBorders>
            <w:shd w:val="clear" w:color="auto" w:fill="auto"/>
            <w:vAlign w:val="center"/>
          </w:tcPr>
          <w:p w14:paraId="57E4794F"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val="restart"/>
            <w:shd w:val="clear" w:color="auto" w:fill="auto"/>
            <w:vAlign w:val="center"/>
          </w:tcPr>
          <w:p w14:paraId="730EB605"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Disagree</w:t>
            </w:r>
          </w:p>
        </w:tc>
        <w:tc>
          <w:tcPr>
            <w:tcW w:w="1558" w:type="dxa"/>
            <w:vMerge w:val="restart"/>
            <w:shd w:val="clear" w:color="auto" w:fill="auto"/>
            <w:vAlign w:val="center"/>
          </w:tcPr>
          <w:p w14:paraId="1669D45B"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Incongruence</w:t>
            </w:r>
          </w:p>
        </w:tc>
        <w:tc>
          <w:tcPr>
            <w:tcW w:w="1770" w:type="dxa"/>
            <w:vMerge/>
            <w:tcBorders>
              <w:bottom w:val="single" w:sz="4" w:space="0" w:color="000000"/>
            </w:tcBorders>
            <w:shd w:val="clear" w:color="auto" w:fill="auto"/>
            <w:vAlign w:val="center"/>
          </w:tcPr>
          <w:p w14:paraId="75046851"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r>
      <w:tr w:rsidR="00C714D3" w:rsidRPr="00E869A4" w14:paraId="3AE1C55C" w14:textId="77777777" w:rsidTr="00F92C08">
        <w:trPr>
          <w:trHeight w:val="540"/>
          <w:jc w:val="center"/>
        </w:trPr>
        <w:tc>
          <w:tcPr>
            <w:tcW w:w="1046" w:type="dxa"/>
            <w:vMerge/>
            <w:tcBorders>
              <w:bottom w:val="single" w:sz="4" w:space="0" w:color="000000"/>
            </w:tcBorders>
            <w:shd w:val="clear" w:color="auto" w:fill="auto"/>
            <w:vAlign w:val="center"/>
          </w:tcPr>
          <w:p w14:paraId="68E9E378"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367" w:type="dxa"/>
            <w:vMerge w:val="restart"/>
            <w:tcBorders>
              <w:bottom w:val="single" w:sz="4" w:space="0" w:color="000000"/>
            </w:tcBorders>
            <w:shd w:val="clear" w:color="auto" w:fill="auto"/>
            <w:vAlign w:val="center"/>
          </w:tcPr>
          <w:p w14:paraId="6FC86D53"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Reserved Acceptance</w:t>
            </w:r>
          </w:p>
        </w:tc>
        <w:tc>
          <w:tcPr>
            <w:tcW w:w="1215" w:type="dxa"/>
            <w:vMerge w:val="restart"/>
            <w:tcBorders>
              <w:bottom w:val="single" w:sz="4" w:space="0" w:color="000000"/>
            </w:tcBorders>
            <w:shd w:val="clear" w:color="auto" w:fill="auto"/>
            <w:vAlign w:val="center"/>
          </w:tcPr>
          <w:p w14:paraId="7716F738"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 / Unwilling</w:t>
            </w:r>
          </w:p>
        </w:tc>
        <w:tc>
          <w:tcPr>
            <w:tcW w:w="1346" w:type="dxa"/>
            <w:vMerge/>
            <w:shd w:val="clear" w:color="auto" w:fill="auto"/>
            <w:vAlign w:val="center"/>
          </w:tcPr>
          <w:p w14:paraId="4717191A"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081" w:type="dxa"/>
            <w:vMerge w:val="restart"/>
            <w:tcBorders>
              <w:bottom w:val="single" w:sz="4" w:space="0" w:color="000000"/>
            </w:tcBorders>
            <w:shd w:val="clear" w:color="auto" w:fill="auto"/>
            <w:vAlign w:val="center"/>
          </w:tcPr>
          <w:p w14:paraId="5C2ADAB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Agree / Disagree</w:t>
            </w:r>
          </w:p>
        </w:tc>
        <w:tc>
          <w:tcPr>
            <w:tcW w:w="1558" w:type="dxa"/>
            <w:vMerge/>
            <w:shd w:val="clear" w:color="auto" w:fill="auto"/>
            <w:vAlign w:val="center"/>
          </w:tcPr>
          <w:p w14:paraId="7315FB11"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09" w:type="dxa"/>
            <w:vMerge/>
            <w:tcBorders>
              <w:bottom w:val="single" w:sz="4" w:space="0" w:color="000000"/>
            </w:tcBorders>
            <w:shd w:val="clear" w:color="auto" w:fill="auto"/>
            <w:vAlign w:val="center"/>
          </w:tcPr>
          <w:p w14:paraId="2D4DB1CA"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tcBorders>
              <w:bottom w:val="single" w:sz="4" w:space="0" w:color="000000"/>
            </w:tcBorders>
            <w:shd w:val="clear" w:color="auto" w:fill="auto"/>
            <w:vAlign w:val="center"/>
          </w:tcPr>
          <w:p w14:paraId="18AA5A8B"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Enforced Care</w:t>
            </w:r>
          </w:p>
        </w:tc>
        <w:tc>
          <w:tcPr>
            <w:tcW w:w="1424" w:type="dxa"/>
            <w:vMerge/>
            <w:shd w:val="clear" w:color="auto" w:fill="auto"/>
            <w:vAlign w:val="center"/>
          </w:tcPr>
          <w:p w14:paraId="5A6036E6"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208" w:type="dxa"/>
            <w:vMerge/>
            <w:tcBorders>
              <w:bottom w:val="single" w:sz="4" w:space="0" w:color="000000"/>
            </w:tcBorders>
            <w:shd w:val="clear" w:color="auto" w:fill="auto"/>
            <w:vAlign w:val="center"/>
          </w:tcPr>
          <w:p w14:paraId="3826FC6F"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shd w:val="clear" w:color="auto" w:fill="auto"/>
            <w:vAlign w:val="center"/>
          </w:tcPr>
          <w:p w14:paraId="4AAEF0DC"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558" w:type="dxa"/>
            <w:vMerge/>
            <w:shd w:val="clear" w:color="auto" w:fill="auto"/>
            <w:vAlign w:val="center"/>
          </w:tcPr>
          <w:p w14:paraId="345B0D27"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70" w:type="dxa"/>
            <w:vMerge/>
            <w:tcBorders>
              <w:bottom w:val="single" w:sz="4" w:space="0" w:color="000000"/>
            </w:tcBorders>
            <w:shd w:val="clear" w:color="auto" w:fill="auto"/>
            <w:vAlign w:val="center"/>
          </w:tcPr>
          <w:p w14:paraId="241453DB"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r>
      <w:tr w:rsidR="00C714D3" w:rsidRPr="00E869A4" w14:paraId="2DB3A426" w14:textId="77777777" w:rsidTr="00F92C08">
        <w:trPr>
          <w:trHeight w:val="311"/>
          <w:jc w:val="center"/>
        </w:trPr>
        <w:tc>
          <w:tcPr>
            <w:tcW w:w="1046" w:type="dxa"/>
            <w:vMerge/>
            <w:tcBorders>
              <w:bottom w:val="single" w:sz="4" w:space="0" w:color="000000"/>
            </w:tcBorders>
            <w:shd w:val="clear" w:color="auto" w:fill="auto"/>
            <w:vAlign w:val="center"/>
          </w:tcPr>
          <w:p w14:paraId="025D3B3C"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367" w:type="dxa"/>
            <w:vMerge/>
            <w:tcBorders>
              <w:bottom w:val="single" w:sz="4" w:space="0" w:color="000000"/>
            </w:tcBorders>
            <w:shd w:val="clear" w:color="auto" w:fill="auto"/>
            <w:vAlign w:val="center"/>
          </w:tcPr>
          <w:p w14:paraId="4DB613FC"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215" w:type="dxa"/>
            <w:vMerge/>
            <w:tcBorders>
              <w:bottom w:val="single" w:sz="4" w:space="0" w:color="000000"/>
            </w:tcBorders>
            <w:shd w:val="clear" w:color="auto" w:fill="auto"/>
            <w:vAlign w:val="center"/>
          </w:tcPr>
          <w:p w14:paraId="5D298450"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346" w:type="dxa"/>
            <w:vMerge/>
            <w:shd w:val="clear" w:color="auto" w:fill="auto"/>
            <w:vAlign w:val="center"/>
          </w:tcPr>
          <w:p w14:paraId="1CC5D2C5"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081" w:type="dxa"/>
            <w:vMerge/>
            <w:tcBorders>
              <w:bottom w:val="single" w:sz="4" w:space="0" w:color="000000"/>
            </w:tcBorders>
            <w:shd w:val="clear" w:color="auto" w:fill="auto"/>
            <w:vAlign w:val="center"/>
          </w:tcPr>
          <w:p w14:paraId="6C33A402"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558" w:type="dxa"/>
            <w:vMerge/>
            <w:shd w:val="clear" w:color="auto" w:fill="auto"/>
            <w:vAlign w:val="center"/>
          </w:tcPr>
          <w:p w14:paraId="1427D5C4"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09" w:type="dxa"/>
            <w:vMerge/>
            <w:tcBorders>
              <w:bottom w:val="single" w:sz="4" w:space="0" w:color="000000"/>
            </w:tcBorders>
            <w:shd w:val="clear" w:color="auto" w:fill="auto"/>
            <w:vAlign w:val="center"/>
          </w:tcPr>
          <w:p w14:paraId="57408F8D"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vMerge w:val="restart"/>
            <w:shd w:val="clear" w:color="auto" w:fill="auto"/>
            <w:vAlign w:val="center"/>
          </w:tcPr>
          <w:p w14:paraId="62CFFBC6"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Emergent Care</w:t>
            </w:r>
          </w:p>
        </w:tc>
        <w:tc>
          <w:tcPr>
            <w:tcW w:w="1424" w:type="dxa"/>
            <w:vMerge/>
            <w:shd w:val="clear" w:color="auto" w:fill="auto"/>
            <w:vAlign w:val="center"/>
          </w:tcPr>
          <w:p w14:paraId="5FFAB5D1"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208" w:type="dxa"/>
            <w:vMerge/>
            <w:tcBorders>
              <w:bottom w:val="single" w:sz="4" w:space="0" w:color="000000"/>
            </w:tcBorders>
            <w:shd w:val="clear" w:color="auto" w:fill="auto"/>
            <w:vAlign w:val="center"/>
          </w:tcPr>
          <w:p w14:paraId="301DF96E"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shd w:val="clear" w:color="auto" w:fill="auto"/>
            <w:vAlign w:val="center"/>
          </w:tcPr>
          <w:p w14:paraId="08F6B706"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558" w:type="dxa"/>
            <w:vMerge/>
            <w:shd w:val="clear" w:color="auto" w:fill="auto"/>
            <w:vAlign w:val="center"/>
          </w:tcPr>
          <w:p w14:paraId="7BD80E48"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70" w:type="dxa"/>
            <w:vMerge/>
            <w:tcBorders>
              <w:bottom w:val="single" w:sz="4" w:space="0" w:color="000000"/>
            </w:tcBorders>
            <w:shd w:val="clear" w:color="auto" w:fill="auto"/>
            <w:vAlign w:val="center"/>
          </w:tcPr>
          <w:p w14:paraId="2AA8EDB3"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r>
      <w:tr w:rsidR="00C714D3" w:rsidRPr="00E869A4" w14:paraId="05BEB822" w14:textId="77777777" w:rsidTr="00F92C08">
        <w:trPr>
          <w:trHeight w:val="700"/>
          <w:jc w:val="center"/>
        </w:trPr>
        <w:tc>
          <w:tcPr>
            <w:tcW w:w="1046" w:type="dxa"/>
            <w:vMerge/>
            <w:tcBorders>
              <w:bottom w:val="single" w:sz="4" w:space="0" w:color="000000"/>
            </w:tcBorders>
            <w:shd w:val="clear" w:color="auto" w:fill="auto"/>
            <w:vAlign w:val="center"/>
          </w:tcPr>
          <w:p w14:paraId="5FAD2184"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6567" w:type="dxa"/>
            <w:gridSpan w:val="5"/>
            <w:vMerge w:val="restart"/>
            <w:tcBorders>
              <w:bottom w:val="single" w:sz="4" w:space="0" w:color="000000"/>
            </w:tcBorders>
            <w:shd w:val="clear" w:color="auto" w:fill="E7E6E6"/>
            <w:vAlign w:val="center"/>
          </w:tcPr>
          <w:p w14:paraId="0FEBAB62"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 </w:t>
            </w:r>
          </w:p>
        </w:tc>
        <w:tc>
          <w:tcPr>
            <w:tcW w:w="1709" w:type="dxa"/>
            <w:vMerge/>
            <w:tcBorders>
              <w:bottom w:val="single" w:sz="4" w:space="0" w:color="000000"/>
            </w:tcBorders>
            <w:shd w:val="clear" w:color="auto" w:fill="auto"/>
            <w:vAlign w:val="center"/>
          </w:tcPr>
          <w:p w14:paraId="5F1A8DB1"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vMerge/>
            <w:shd w:val="clear" w:color="auto" w:fill="auto"/>
            <w:vAlign w:val="center"/>
          </w:tcPr>
          <w:p w14:paraId="18BA96E5"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24" w:type="dxa"/>
            <w:vMerge/>
            <w:shd w:val="clear" w:color="auto" w:fill="auto"/>
            <w:vAlign w:val="center"/>
          </w:tcPr>
          <w:p w14:paraId="493B8FA1"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208" w:type="dxa"/>
            <w:vMerge/>
            <w:tcBorders>
              <w:bottom w:val="single" w:sz="4" w:space="0" w:color="000000"/>
            </w:tcBorders>
            <w:shd w:val="clear" w:color="auto" w:fill="auto"/>
            <w:vAlign w:val="center"/>
          </w:tcPr>
          <w:p w14:paraId="0D01F56C"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val="restart"/>
            <w:tcBorders>
              <w:bottom w:val="single" w:sz="4" w:space="0" w:color="000000"/>
            </w:tcBorders>
            <w:shd w:val="clear" w:color="auto" w:fill="auto"/>
            <w:vAlign w:val="center"/>
          </w:tcPr>
          <w:p w14:paraId="1F30F339"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Agree / Disagree?</w:t>
            </w:r>
          </w:p>
        </w:tc>
        <w:tc>
          <w:tcPr>
            <w:tcW w:w="1558" w:type="dxa"/>
            <w:vMerge w:val="restart"/>
            <w:tcBorders>
              <w:bottom w:val="single" w:sz="4" w:space="0" w:color="000000"/>
            </w:tcBorders>
            <w:shd w:val="clear" w:color="auto" w:fill="auto"/>
            <w:vAlign w:val="center"/>
          </w:tcPr>
          <w:p w14:paraId="33EF9405"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Congruence / Incongruence</w:t>
            </w:r>
          </w:p>
        </w:tc>
        <w:tc>
          <w:tcPr>
            <w:tcW w:w="1770" w:type="dxa"/>
            <w:tcBorders>
              <w:bottom w:val="single" w:sz="4" w:space="0" w:color="000000"/>
            </w:tcBorders>
            <w:shd w:val="clear" w:color="auto" w:fill="auto"/>
            <w:vAlign w:val="center"/>
          </w:tcPr>
          <w:p w14:paraId="090E5425"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Uncertainty</w:t>
            </w:r>
          </w:p>
        </w:tc>
      </w:tr>
      <w:tr w:rsidR="00C714D3" w:rsidRPr="00E869A4" w14:paraId="67B0AD81" w14:textId="77777777" w:rsidTr="00F92C08">
        <w:trPr>
          <w:trHeight w:val="740"/>
          <w:jc w:val="center"/>
        </w:trPr>
        <w:tc>
          <w:tcPr>
            <w:tcW w:w="1046" w:type="dxa"/>
            <w:vMerge/>
            <w:tcBorders>
              <w:bottom w:val="single" w:sz="4" w:space="0" w:color="000000"/>
            </w:tcBorders>
            <w:shd w:val="clear" w:color="auto" w:fill="auto"/>
            <w:vAlign w:val="center"/>
          </w:tcPr>
          <w:p w14:paraId="00AA95AC"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6567" w:type="dxa"/>
            <w:gridSpan w:val="5"/>
            <w:vMerge/>
            <w:tcBorders>
              <w:bottom w:val="single" w:sz="4" w:space="0" w:color="000000"/>
            </w:tcBorders>
            <w:shd w:val="clear" w:color="auto" w:fill="E7E6E6"/>
            <w:vAlign w:val="center"/>
          </w:tcPr>
          <w:p w14:paraId="2B3C8622"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09" w:type="dxa"/>
            <w:vMerge/>
            <w:tcBorders>
              <w:bottom w:val="single" w:sz="4" w:space="0" w:color="000000"/>
            </w:tcBorders>
            <w:shd w:val="clear" w:color="auto" w:fill="auto"/>
            <w:vAlign w:val="center"/>
          </w:tcPr>
          <w:p w14:paraId="4BF284FE"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vMerge w:val="restart"/>
            <w:tcBorders>
              <w:bottom w:val="single" w:sz="4" w:space="0" w:color="000000"/>
            </w:tcBorders>
            <w:shd w:val="clear" w:color="auto" w:fill="auto"/>
            <w:vAlign w:val="center"/>
          </w:tcPr>
          <w:p w14:paraId="31E4E3EC"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Enduring Care</w:t>
            </w:r>
          </w:p>
        </w:tc>
        <w:tc>
          <w:tcPr>
            <w:tcW w:w="1424" w:type="dxa"/>
            <w:vMerge w:val="restart"/>
            <w:tcBorders>
              <w:bottom w:val="single" w:sz="4" w:space="0" w:color="000000"/>
            </w:tcBorders>
            <w:shd w:val="clear" w:color="auto" w:fill="auto"/>
            <w:vAlign w:val="center"/>
          </w:tcPr>
          <w:p w14:paraId="35089639"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 / Unwilling</w:t>
            </w:r>
          </w:p>
        </w:tc>
        <w:tc>
          <w:tcPr>
            <w:tcW w:w="1208" w:type="dxa"/>
            <w:vMerge/>
            <w:tcBorders>
              <w:bottom w:val="single" w:sz="4" w:space="0" w:color="000000"/>
            </w:tcBorders>
            <w:shd w:val="clear" w:color="auto" w:fill="auto"/>
            <w:vAlign w:val="center"/>
          </w:tcPr>
          <w:p w14:paraId="2577D91B"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tcBorders>
              <w:bottom w:val="single" w:sz="4" w:space="0" w:color="000000"/>
            </w:tcBorders>
            <w:shd w:val="clear" w:color="auto" w:fill="auto"/>
            <w:vAlign w:val="center"/>
          </w:tcPr>
          <w:p w14:paraId="01D0B6D5"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558" w:type="dxa"/>
            <w:vMerge/>
            <w:tcBorders>
              <w:bottom w:val="single" w:sz="4" w:space="0" w:color="000000"/>
            </w:tcBorders>
            <w:shd w:val="clear" w:color="auto" w:fill="auto"/>
            <w:vAlign w:val="center"/>
          </w:tcPr>
          <w:p w14:paraId="3F02AA93"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70" w:type="dxa"/>
            <w:vMerge w:val="restart"/>
            <w:tcBorders>
              <w:bottom w:val="single" w:sz="4" w:space="0" w:color="000000"/>
            </w:tcBorders>
            <w:shd w:val="clear" w:color="auto" w:fill="auto"/>
            <w:vAlign w:val="center"/>
          </w:tcPr>
          <w:p w14:paraId="64568EC9"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Certainty / Uncertainty</w:t>
            </w:r>
          </w:p>
        </w:tc>
      </w:tr>
      <w:tr w:rsidR="00C714D3" w:rsidRPr="00E869A4" w14:paraId="07E520BD" w14:textId="77777777" w:rsidTr="00F92C08">
        <w:trPr>
          <w:trHeight w:val="63"/>
          <w:jc w:val="center"/>
        </w:trPr>
        <w:tc>
          <w:tcPr>
            <w:tcW w:w="1046" w:type="dxa"/>
            <w:tcBorders>
              <w:bottom w:val="single" w:sz="4" w:space="0" w:color="000000"/>
              <w:right w:val="nil"/>
            </w:tcBorders>
            <w:shd w:val="clear" w:color="auto" w:fill="E7E6E6"/>
            <w:vAlign w:val="center"/>
          </w:tcPr>
          <w:p w14:paraId="7FFD0AB2"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 </w:t>
            </w:r>
          </w:p>
        </w:tc>
        <w:tc>
          <w:tcPr>
            <w:tcW w:w="6567" w:type="dxa"/>
            <w:gridSpan w:val="5"/>
            <w:vMerge/>
            <w:tcBorders>
              <w:bottom w:val="single" w:sz="4" w:space="0" w:color="000000"/>
            </w:tcBorders>
            <w:shd w:val="clear" w:color="auto" w:fill="E7E6E6"/>
            <w:vAlign w:val="center"/>
          </w:tcPr>
          <w:p w14:paraId="299050E4"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09" w:type="dxa"/>
            <w:vMerge/>
            <w:tcBorders>
              <w:bottom w:val="single" w:sz="4" w:space="0" w:color="000000"/>
            </w:tcBorders>
            <w:shd w:val="clear" w:color="auto" w:fill="auto"/>
            <w:vAlign w:val="center"/>
          </w:tcPr>
          <w:p w14:paraId="207C08FB"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vMerge/>
            <w:tcBorders>
              <w:bottom w:val="single" w:sz="4" w:space="0" w:color="000000"/>
            </w:tcBorders>
            <w:shd w:val="clear" w:color="auto" w:fill="auto"/>
            <w:vAlign w:val="center"/>
          </w:tcPr>
          <w:p w14:paraId="517149F8"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24" w:type="dxa"/>
            <w:vMerge/>
            <w:tcBorders>
              <w:bottom w:val="single" w:sz="4" w:space="0" w:color="000000"/>
            </w:tcBorders>
            <w:shd w:val="clear" w:color="auto" w:fill="auto"/>
            <w:vAlign w:val="center"/>
          </w:tcPr>
          <w:p w14:paraId="022F7F32"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208" w:type="dxa"/>
            <w:vMerge/>
            <w:tcBorders>
              <w:bottom w:val="single" w:sz="4" w:space="0" w:color="000000"/>
            </w:tcBorders>
            <w:shd w:val="clear" w:color="auto" w:fill="auto"/>
            <w:vAlign w:val="center"/>
          </w:tcPr>
          <w:p w14:paraId="732F5B4E"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tcBorders>
              <w:bottom w:val="single" w:sz="4" w:space="0" w:color="000000"/>
            </w:tcBorders>
            <w:shd w:val="clear" w:color="auto" w:fill="auto"/>
            <w:vAlign w:val="center"/>
          </w:tcPr>
          <w:p w14:paraId="7ACEBDBD"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558" w:type="dxa"/>
            <w:vMerge/>
            <w:tcBorders>
              <w:bottom w:val="single" w:sz="4" w:space="0" w:color="000000"/>
            </w:tcBorders>
            <w:shd w:val="clear" w:color="auto" w:fill="auto"/>
            <w:vAlign w:val="center"/>
          </w:tcPr>
          <w:p w14:paraId="6851FCE9"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70" w:type="dxa"/>
            <w:vMerge/>
            <w:tcBorders>
              <w:bottom w:val="single" w:sz="4" w:space="0" w:color="000000"/>
            </w:tcBorders>
            <w:shd w:val="clear" w:color="auto" w:fill="auto"/>
            <w:vAlign w:val="center"/>
          </w:tcPr>
          <w:p w14:paraId="2C605D39"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r>
      <w:tr w:rsidR="00C714D3" w:rsidRPr="00E869A4" w14:paraId="7184F8CA" w14:textId="77777777" w:rsidTr="00F92C08">
        <w:trPr>
          <w:trHeight w:val="520"/>
          <w:jc w:val="center"/>
        </w:trPr>
        <w:tc>
          <w:tcPr>
            <w:tcW w:w="1046" w:type="dxa"/>
            <w:vMerge w:val="restart"/>
            <w:tcBorders>
              <w:bottom w:val="single" w:sz="4" w:space="0" w:color="000000"/>
            </w:tcBorders>
            <w:shd w:val="clear" w:color="auto" w:fill="auto"/>
            <w:vAlign w:val="center"/>
          </w:tcPr>
          <w:p w14:paraId="7C259BA5"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Reject Care</w:t>
            </w:r>
          </w:p>
        </w:tc>
        <w:tc>
          <w:tcPr>
            <w:tcW w:w="1367" w:type="dxa"/>
            <w:tcBorders>
              <w:bottom w:val="single" w:sz="4" w:space="0" w:color="000000"/>
            </w:tcBorders>
            <w:shd w:val="clear" w:color="auto" w:fill="auto"/>
            <w:vAlign w:val="center"/>
          </w:tcPr>
          <w:p w14:paraId="49D0F07E"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Resist Care</w:t>
            </w:r>
          </w:p>
        </w:tc>
        <w:tc>
          <w:tcPr>
            <w:tcW w:w="1215" w:type="dxa"/>
            <w:vMerge w:val="restart"/>
            <w:tcBorders>
              <w:bottom w:val="single" w:sz="4" w:space="0" w:color="000000"/>
            </w:tcBorders>
            <w:shd w:val="clear" w:color="auto" w:fill="auto"/>
            <w:vAlign w:val="center"/>
          </w:tcPr>
          <w:p w14:paraId="6FA6ECCF"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w:t>
            </w:r>
          </w:p>
        </w:tc>
        <w:tc>
          <w:tcPr>
            <w:tcW w:w="1346" w:type="dxa"/>
            <w:vMerge w:val="restart"/>
            <w:tcBorders>
              <w:bottom w:val="single" w:sz="4" w:space="0" w:color="000000"/>
            </w:tcBorders>
            <w:shd w:val="clear" w:color="auto" w:fill="auto"/>
            <w:vAlign w:val="center"/>
          </w:tcPr>
          <w:p w14:paraId="71D7B5A3" w14:textId="77777777" w:rsidR="00744EFC" w:rsidRPr="00E869A4" w:rsidRDefault="00744EFC" w:rsidP="00F92C08">
            <w:pPr>
              <w:spacing w:line="240" w:lineRule="auto"/>
              <w:ind w:firstLine="0"/>
              <w:jc w:val="center"/>
              <w:rPr>
                <w:rFonts w:ascii="Times New Roman" w:eastAsia="Times New Roman" w:hAnsi="Times New Roman" w:cs="Times New Roman"/>
                <w:sz w:val="22"/>
                <w:u w:val="single"/>
              </w:rPr>
            </w:pPr>
            <w:r w:rsidRPr="00E869A4">
              <w:rPr>
                <w:rFonts w:ascii="Times New Roman" w:eastAsia="Times New Roman" w:hAnsi="Times New Roman" w:cs="Times New Roman"/>
                <w:sz w:val="22"/>
                <w:u w:val="single"/>
              </w:rPr>
              <w:t>Willing</w:t>
            </w:r>
          </w:p>
        </w:tc>
        <w:tc>
          <w:tcPr>
            <w:tcW w:w="1081" w:type="dxa"/>
            <w:vMerge w:val="restart"/>
            <w:tcBorders>
              <w:bottom w:val="single" w:sz="4" w:space="0" w:color="000000"/>
            </w:tcBorders>
            <w:shd w:val="clear" w:color="auto" w:fill="auto"/>
            <w:vAlign w:val="center"/>
          </w:tcPr>
          <w:p w14:paraId="7B60128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Disagree</w:t>
            </w:r>
          </w:p>
        </w:tc>
        <w:tc>
          <w:tcPr>
            <w:tcW w:w="1558" w:type="dxa"/>
            <w:vMerge w:val="restart"/>
            <w:tcBorders>
              <w:bottom w:val="single" w:sz="4" w:space="0" w:color="000000"/>
            </w:tcBorders>
            <w:shd w:val="clear" w:color="auto" w:fill="auto"/>
            <w:vAlign w:val="center"/>
          </w:tcPr>
          <w:p w14:paraId="2FB440B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Incongruence</w:t>
            </w:r>
          </w:p>
        </w:tc>
        <w:tc>
          <w:tcPr>
            <w:tcW w:w="1709" w:type="dxa"/>
            <w:vMerge w:val="restart"/>
            <w:tcBorders>
              <w:bottom w:val="single" w:sz="4" w:space="0" w:color="000000"/>
            </w:tcBorders>
            <w:shd w:val="clear" w:color="auto" w:fill="auto"/>
            <w:vAlign w:val="center"/>
          </w:tcPr>
          <w:p w14:paraId="3123FE81"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Reject Caregiving Role</w:t>
            </w:r>
          </w:p>
        </w:tc>
        <w:tc>
          <w:tcPr>
            <w:tcW w:w="1408" w:type="dxa"/>
            <w:tcBorders>
              <w:bottom w:val="single" w:sz="4" w:space="0" w:color="000000"/>
            </w:tcBorders>
            <w:shd w:val="clear" w:color="auto" w:fill="auto"/>
            <w:vAlign w:val="center"/>
          </w:tcPr>
          <w:p w14:paraId="4CE77A06"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Avoid Care</w:t>
            </w:r>
          </w:p>
        </w:tc>
        <w:tc>
          <w:tcPr>
            <w:tcW w:w="1424" w:type="dxa"/>
            <w:tcBorders>
              <w:bottom w:val="single" w:sz="4" w:space="0" w:color="000000"/>
            </w:tcBorders>
            <w:shd w:val="clear" w:color="auto" w:fill="auto"/>
            <w:vAlign w:val="center"/>
          </w:tcPr>
          <w:p w14:paraId="674105E1"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Unwilling</w:t>
            </w:r>
          </w:p>
        </w:tc>
        <w:tc>
          <w:tcPr>
            <w:tcW w:w="1208" w:type="dxa"/>
            <w:vMerge/>
            <w:tcBorders>
              <w:bottom w:val="single" w:sz="4" w:space="0" w:color="000000"/>
            </w:tcBorders>
            <w:shd w:val="clear" w:color="auto" w:fill="auto"/>
            <w:vAlign w:val="center"/>
          </w:tcPr>
          <w:p w14:paraId="448B7070"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val="restart"/>
            <w:tcBorders>
              <w:bottom w:val="single" w:sz="4" w:space="0" w:color="000000"/>
            </w:tcBorders>
            <w:shd w:val="clear" w:color="auto" w:fill="auto"/>
            <w:vAlign w:val="center"/>
          </w:tcPr>
          <w:p w14:paraId="34656183"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Disagree</w:t>
            </w:r>
          </w:p>
        </w:tc>
        <w:tc>
          <w:tcPr>
            <w:tcW w:w="1558" w:type="dxa"/>
            <w:vMerge w:val="restart"/>
            <w:tcBorders>
              <w:bottom w:val="single" w:sz="4" w:space="0" w:color="000000"/>
            </w:tcBorders>
            <w:shd w:val="clear" w:color="auto" w:fill="auto"/>
            <w:vAlign w:val="center"/>
          </w:tcPr>
          <w:p w14:paraId="305ABCD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Incongruence</w:t>
            </w:r>
          </w:p>
        </w:tc>
        <w:tc>
          <w:tcPr>
            <w:tcW w:w="1770" w:type="dxa"/>
            <w:vMerge/>
            <w:tcBorders>
              <w:bottom w:val="single" w:sz="4" w:space="0" w:color="000000"/>
            </w:tcBorders>
            <w:shd w:val="clear" w:color="auto" w:fill="auto"/>
            <w:vAlign w:val="center"/>
          </w:tcPr>
          <w:p w14:paraId="240BBE01"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r>
      <w:tr w:rsidR="00C714D3" w:rsidRPr="00E869A4" w14:paraId="625FD251" w14:textId="77777777" w:rsidTr="00F92C08">
        <w:trPr>
          <w:trHeight w:val="540"/>
          <w:jc w:val="center"/>
        </w:trPr>
        <w:tc>
          <w:tcPr>
            <w:tcW w:w="1046" w:type="dxa"/>
            <w:vMerge/>
            <w:tcBorders>
              <w:bottom w:val="single" w:sz="4" w:space="0" w:color="000000"/>
            </w:tcBorders>
            <w:shd w:val="clear" w:color="auto" w:fill="auto"/>
            <w:vAlign w:val="center"/>
          </w:tcPr>
          <w:p w14:paraId="154941B7" w14:textId="77777777" w:rsidR="00744EFC" w:rsidRPr="00E869A4" w:rsidRDefault="00744EFC" w:rsidP="00F92C08">
            <w:pPr>
              <w:widowControl w:val="0"/>
              <w:pBdr>
                <w:top w:val="nil"/>
                <w:left w:val="nil"/>
                <w:bottom w:val="nil"/>
                <w:right w:val="nil"/>
                <w:between w:val="nil"/>
              </w:pBdr>
              <w:spacing w:line="240" w:lineRule="auto"/>
              <w:rPr>
                <w:rFonts w:ascii="Times New Roman" w:eastAsia="Times New Roman" w:hAnsi="Times New Roman" w:cs="Times New Roman"/>
                <w:sz w:val="22"/>
              </w:rPr>
            </w:pPr>
          </w:p>
        </w:tc>
        <w:tc>
          <w:tcPr>
            <w:tcW w:w="1367" w:type="dxa"/>
            <w:tcBorders>
              <w:bottom w:val="single" w:sz="4" w:space="0" w:color="000000"/>
            </w:tcBorders>
            <w:shd w:val="clear" w:color="auto" w:fill="auto"/>
            <w:vAlign w:val="center"/>
          </w:tcPr>
          <w:p w14:paraId="366AC559"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Refuse Care</w:t>
            </w:r>
          </w:p>
        </w:tc>
        <w:tc>
          <w:tcPr>
            <w:tcW w:w="1215" w:type="dxa"/>
            <w:vMerge/>
            <w:tcBorders>
              <w:bottom w:val="single" w:sz="4" w:space="0" w:color="000000"/>
            </w:tcBorders>
            <w:shd w:val="clear" w:color="auto" w:fill="auto"/>
            <w:vAlign w:val="center"/>
          </w:tcPr>
          <w:p w14:paraId="3921C631"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346" w:type="dxa"/>
            <w:vMerge/>
            <w:tcBorders>
              <w:bottom w:val="single" w:sz="4" w:space="0" w:color="000000"/>
            </w:tcBorders>
            <w:shd w:val="clear" w:color="auto" w:fill="auto"/>
            <w:vAlign w:val="center"/>
          </w:tcPr>
          <w:p w14:paraId="5FBD1DFD"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081" w:type="dxa"/>
            <w:vMerge/>
            <w:tcBorders>
              <w:bottom w:val="single" w:sz="4" w:space="0" w:color="000000"/>
            </w:tcBorders>
            <w:shd w:val="clear" w:color="auto" w:fill="auto"/>
            <w:vAlign w:val="center"/>
          </w:tcPr>
          <w:p w14:paraId="75346B18"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558" w:type="dxa"/>
            <w:vMerge/>
            <w:tcBorders>
              <w:bottom w:val="single" w:sz="4" w:space="0" w:color="000000"/>
            </w:tcBorders>
            <w:shd w:val="clear" w:color="auto" w:fill="auto"/>
            <w:vAlign w:val="center"/>
          </w:tcPr>
          <w:p w14:paraId="76FD5F0B"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09" w:type="dxa"/>
            <w:vMerge/>
            <w:tcBorders>
              <w:bottom w:val="single" w:sz="4" w:space="0" w:color="000000"/>
            </w:tcBorders>
            <w:shd w:val="clear" w:color="auto" w:fill="auto"/>
            <w:vAlign w:val="center"/>
          </w:tcPr>
          <w:p w14:paraId="7134156A"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tcBorders>
              <w:bottom w:val="single" w:sz="4" w:space="0" w:color="000000"/>
            </w:tcBorders>
            <w:shd w:val="clear" w:color="auto" w:fill="auto"/>
            <w:vAlign w:val="center"/>
          </w:tcPr>
          <w:p w14:paraId="76267D6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Evade Care</w:t>
            </w:r>
          </w:p>
        </w:tc>
        <w:tc>
          <w:tcPr>
            <w:tcW w:w="1424" w:type="dxa"/>
            <w:tcBorders>
              <w:bottom w:val="single" w:sz="4" w:space="0" w:color="000000"/>
            </w:tcBorders>
            <w:shd w:val="clear" w:color="auto" w:fill="auto"/>
            <w:vAlign w:val="center"/>
          </w:tcPr>
          <w:p w14:paraId="3DA639B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 Unwilling</w:t>
            </w:r>
          </w:p>
        </w:tc>
        <w:tc>
          <w:tcPr>
            <w:tcW w:w="1208" w:type="dxa"/>
            <w:vMerge/>
            <w:tcBorders>
              <w:bottom w:val="single" w:sz="4" w:space="0" w:color="000000"/>
            </w:tcBorders>
            <w:shd w:val="clear" w:color="auto" w:fill="auto"/>
            <w:vAlign w:val="center"/>
          </w:tcPr>
          <w:p w14:paraId="2D0175E7"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tcBorders>
              <w:bottom w:val="single" w:sz="4" w:space="0" w:color="000000"/>
            </w:tcBorders>
            <w:shd w:val="clear" w:color="auto" w:fill="auto"/>
            <w:vAlign w:val="center"/>
          </w:tcPr>
          <w:p w14:paraId="2C14F6E3"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558" w:type="dxa"/>
            <w:vMerge/>
            <w:tcBorders>
              <w:bottom w:val="single" w:sz="4" w:space="0" w:color="000000"/>
            </w:tcBorders>
            <w:shd w:val="clear" w:color="auto" w:fill="auto"/>
            <w:vAlign w:val="center"/>
          </w:tcPr>
          <w:p w14:paraId="3B501F62"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70" w:type="dxa"/>
            <w:vMerge/>
            <w:tcBorders>
              <w:bottom w:val="single" w:sz="4" w:space="0" w:color="000000"/>
            </w:tcBorders>
            <w:shd w:val="clear" w:color="auto" w:fill="auto"/>
            <w:vAlign w:val="center"/>
          </w:tcPr>
          <w:p w14:paraId="0BD0BFEE"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r>
      <w:tr w:rsidR="00C714D3" w:rsidRPr="00E869A4" w14:paraId="6D35C20C" w14:textId="77777777" w:rsidTr="00F92C08">
        <w:trPr>
          <w:trHeight w:val="280"/>
          <w:jc w:val="center"/>
        </w:trPr>
        <w:tc>
          <w:tcPr>
            <w:tcW w:w="7613" w:type="dxa"/>
            <w:gridSpan w:val="6"/>
            <w:vMerge w:val="restart"/>
            <w:shd w:val="clear" w:color="auto" w:fill="E7E6E6"/>
            <w:vAlign w:val="center"/>
          </w:tcPr>
          <w:p w14:paraId="11146ADC"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p>
        </w:tc>
        <w:tc>
          <w:tcPr>
            <w:tcW w:w="1709" w:type="dxa"/>
            <w:vMerge w:val="restart"/>
            <w:shd w:val="clear" w:color="auto" w:fill="auto"/>
            <w:vAlign w:val="center"/>
          </w:tcPr>
          <w:p w14:paraId="57542FF2"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Restrict Caregiving Role</w:t>
            </w:r>
          </w:p>
        </w:tc>
        <w:tc>
          <w:tcPr>
            <w:tcW w:w="1408" w:type="dxa"/>
            <w:shd w:val="clear" w:color="auto" w:fill="auto"/>
            <w:vAlign w:val="center"/>
          </w:tcPr>
          <w:p w14:paraId="53C02F54"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Selective Care</w:t>
            </w:r>
          </w:p>
        </w:tc>
        <w:tc>
          <w:tcPr>
            <w:tcW w:w="1424" w:type="dxa"/>
            <w:vMerge w:val="restart"/>
            <w:shd w:val="clear" w:color="auto" w:fill="auto"/>
            <w:vAlign w:val="center"/>
          </w:tcPr>
          <w:p w14:paraId="0EE4903F"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w:t>
            </w:r>
          </w:p>
        </w:tc>
        <w:tc>
          <w:tcPr>
            <w:tcW w:w="1208" w:type="dxa"/>
            <w:vMerge/>
            <w:tcBorders>
              <w:bottom w:val="single" w:sz="4" w:space="0" w:color="000000"/>
            </w:tcBorders>
            <w:shd w:val="clear" w:color="auto" w:fill="auto"/>
            <w:vAlign w:val="center"/>
          </w:tcPr>
          <w:p w14:paraId="717E757C"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179" w:type="dxa"/>
            <w:vMerge w:val="restart"/>
            <w:shd w:val="clear" w:color="auto" w:fill="auto"/>
            <w:vAlign w:val="center"/>
          </w:tcPr>
          <w:p w14:paraId="1B6E0385" w14:textId="77777777" w:rsidR="00744EFC" w:rsidRPr="00E869A4" w:rsidRDefault="001E6C35" w:rsidP="00F92C08">
            <w:pPr>
              <w:spacing w:line="240" w:lineRule="auto"/>
              <w:ind w:firstLine="0"/>
              <w:jc w:val="center"/>
              <w:rPr>
                <w:rFonts w:ascii="Times New Roman" w:eastAsia="Times New Roman" w:hAnsi="Times New Roman" w:cs="Times New Roman"/>
                <w:sz w:val="22"/>
              </w:rPr>
            </w:pPr>
            <w:hyperlink r:id="rId26">
              <w:r w:rsidR="00744EFC" w:rsidRPr="00E869A4">
                <w:rPr>
                  <w:rFonts w:ascii="Times New Roman" w:eastAsia="Times New Roman" w:hAnsi="Times New Roman" w:cs="Times New Roman"/>
                  <w:sz w:val="22"/>
                </w:rPr>
                <w:t>Disagree</w:t>
              </w:r>
            </w:hyperlink>
          </w:p>
        </w:tc>
        <w:tc>
          <w:tcPr>
            <w:tcW w:w="1558" w:type="dxa"/>
            <w:vMerge/>
            <w:tcBorders>
              <w:bottom w:val="single" w:sz="4" w:space="0" w:color="000000"/>
            </w:tcBorders>
            <w:shd w:val="clear" w:color="auto" w:fill="auto"/>
            <w:vAlign w:val="center"/>
          </w:tcPr>
          <w:p w14:paraId="6689C754"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70" w:type="dxa"/>
            <w:vMerge/>
            <w:tcBorders>
              <w:bottom w:val="single" w:sz="4" w:space="0" w:color="000000"/>
            </w:tcBorders>
            <w:shd w:val="clear" w:color="auto" w:fill="auto"/>
            <w:vAlign w:val="center"/>
          </w:tcPr>
          <w:p w14:paraId="4EB0BC54"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r>
      <w:tr w:rsidR="00C714D3" w:rsidRPr="00E869A4" w14:paraId="4DA78ABC" w14:textId="77777777" w:rsidTr="00F92C08">
        <w:trPr>
          <w:trHeight w:val="280"/>
          <w:jc w:val="center"/>
        </w:trPr>
        <w:tc>
          <w:tcPr>
            <w:tcW w:w="7613" w:type="dxa"/>
            <w:gridSpan w:val="6"/>
            <w:vMerge/>
            <w:shd w:val="clear" w:color="auto" w:fill="E7E6E6"/>
            <w:vAlign w:val="center"/>
          </w:tcPr>
          <w:p w14:paraId="426236E7"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09" w:type="dxa"/>
            <w:vMerge/>
            <w:shd w:val="clear" w:color="auto" w:fill="auto"/>
            <w:vAlign w:val="center"/>
          </w:tcPr>
          <w:p w14:paraId="4CE10F2A"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shd w:val="clear" w:color="auto" w:fill="auto"/>
            <w:vAlign w:val="center"/>
          </w:tcPr>
          <w:p w14:paraId="710F9087"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Restrained Care</w:t>
            </w:r>
          </w:p>
        </w:tc>
        <w:tc>
          <w:tcPr>
            <w:tcW w:w="1424" w:type="dxa"/>
            <w:vMerge/>
            <w:shd w:val="clear" w:color="auto" w:fill="auto"/>
            <w:vAlign w:val="center"/>
          </w:tcPr>
          <w:p w14:paraId="7D2875D0"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208" w:type="dxa"/>
            <w:shd w:val="clear" w:color="auto" w:fill="auto"/>
            <w:vAlign w:val="center"/>
          </w:tcPr>
          <w:p w14:paraId="143CA6A0"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Unwilling</w:t>
            </w:r>
          </w:p>
        </w:tc>
        <w:tc>
          <w:tcPr>
            <w:tcW w:w="1179" w:type="dxa"/>
            <w:vMerge/>
            <w:shd w:val="clear" w:color="auto" w:fill="auto"/>
            <w:vAlign w:val="center"/>
          </w:tcPr>
          <w:p w14:paraId="75D0F78D"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558" w:type="dxa"/>
            <w:vMerge/>
            <w:tcBorders>
              <w:bottom w:val="single" w:sz="4" w:space="0" w:color="000000"/>
            </w:tcBorders>
            <w:shd w:val="clear" w:color="auto" w:fill="auto"/>
            <w:vAlign w:val="center"/>
          </w:tcPr>
          <w:p w14:paraId="6CB5DB99"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70" w:type="dxa"/>
            <w:vMerge/>
            <w:tcBorders>
              <w:bottom w:val="single" w:sz="4" w:space="0" w:color="000000"/>
            </w:tcBorders>
            <w:shd w:val="clear" w:color="auto" w:fill="auto"/>
            <w:vAlign w:val="center"/>
          </w:tcPr>
          <w:p w14:paraId="17B674B2"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r>
      <w:tr w:rsidR="00C714D3" w:rsidRPr="00E869A4" w14:paraId="361A728A" w14:textId="77777777" w:rsidTr="00F92C08">
        <w:trPr>
          <w:trHeight w:val="540"/>
          <w:jc w:val="center"/>
        </w:trPr>
        <w:tc>
          <w:tcPr>
            <w:tcW w:w="7613" w:type="dxa"/>
            <w:gridSpan w:val="6"/>
            <w:vMerge/>
            <w:shd w:val="clear" w:color="auto" w:fill="E7E6E6"/>
            <w:vAlign w:val="center"/>
          </w:tcPr>
          <w:p w14:paraId="2F821F5F"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709" w:type="dxa"/>
            <w:vMerge/>
            <w:shd w:val="clear" w:color="auto" w:fill="auto"/>
            <w:vAlign w:val="center"/>
          </w:tcPr>
          <w:p w14:paraId="2DFA4785" w14:textId="77777777" w:rsidR="00744EFC" w:rsidRPr="00E869A4" w:rsidRDefault="00744EFC" w:rsidP="00F92C08">
            <w:pPr>
              <w:widowControl w:val="0"/>
              <w:pBdr>
                <w:top w:val="nil"/>
                <w:left w:val="nil"/>
                <w:bottom w:val="nil"/>
                <w:right w:val="nil"/>
                <w:between w:val="nil"/>
              </w:pBdr>
              <w:spacing w:line="240" w:lineRule="auto"/>
              <w:ind w:firstLine="0"/>
              <w:rPr>
                <w:rFonts w:ascii="Times New Roman" w:eastAsia="Times New Roman" w:hAnsi="Times New Roman" w:cs="Times New Roman"/>
                <w:sz w:val="22"/>
              </w:rPr>
            </w:pPr>
          </w:p>
        </w:tc>
        <w:tc>
          <w:tcPr>
            <w:tcW w:w="1408" w:type="dxa"/>
            <w:tcBorders>
              <w:bottom w:val="single" w:sz="4" w:space="0" w:color="000000"/>
            </w:tcBorders>
            <w:shd w:val="clear" w:color="auto" w:fill="auto"/>
            <w:vAlign w:val="center"/>
          </w:tcPr>
          <w:p w14:paraId="75968225"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Deferred Care</w:t>
            </w:r>
          </w:p>
        </w:tc>
        <w:tc>
          <w:tcPr>
            <w:tcW w:w="1424" w:type="dxa"/>
            <w:tcBorders>
              <w:bottom w:val="single" w:sz="4" w:space="0" w:color="000000"/>
            </w:tcBorders>
            <w:shd w:val="clear" w:color="auto" w:fill="auto"/>
            <w:vAlign w:val="center"/>
          </w:tcPr>
          <w:p w14:paraId="2A0BB490"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w:t>
            </w:r>
          </w:p>
        </w:tc>
        <w:tc>
          <w:tcPr>
            <w:tcW w:w="1208" w:type="dxa"/>
            <w:tcBorders>
              <w:bottom w:val="single" w:sz="4" w:space="0" w:color="000000"/>
            </w:tcBorders>
            <w:shd w:val="clear" w:color="auto" w:fill="auto"/>
            <w:vAlign w:val="center"/>
          </w:tcPr>
          <w:p w14:paraId="1E1ABA2D"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Willing / Unwilling</w:t>
            </w:r>
          </w:p>
        </w:tc>
        <w:tc>
          <w:tcPr>
            <w:tcW w:w="1179" w:type="dxa"/>
            <w:tcBorders>
              <w:bottom w:val="single" w:sz="4" w:space="0" w:color="000000"/>
            </w:tcBorders>
            <w:shd w:val="clear" w:color="auto" w:fill="auto"/>
            <w:vAlign w:val="center"/>
          </w:tcPr>
          <w:p w14:paraId="02651D3A"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Agree / Disagree</w:t>
            </w:r>
          </w:p>
        </w:tc>
        <w:tc>
          <w:tcPr>
            <w:tcW w:w="1558" w:type="dxa"/>
            <w:tcBorders>
              <w:bottom w:val="single" w:sz="4" w:space="0" w:color="000000"/>
            </w:tcBorders>
            <w:shd w:val="clear" w:color="auto" w:fill="auto"/>
            <w:vAlign w:val="center"/>
          </w:tcPr>
          <w:p w14:paraId="7C1EFB7B"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Congruence / Incongruence</w:t>
            </w:r>
          </w:p>
        </w:tc>
        <w:tc>
          <w:tcPr>
            <w:tcW w:w="1770" w:type="dxa"/>
            <w:tcBorders>
              <w:bottom w:val="single" w:sz="4" w:space="0" w:color="000000"/>
            </w:tcBorders>
            <w:shd w:val="clear" w:color="auto" w:fill="auto"/>
            <w:vAlign w:val="center"/>
          </w:tcPr>
          <w:p w14:paraId="4BA28D7B" w14:textId="77777777" w:rsidR="00744EFC" w:rsidRPr="00E869A4" w:rsidRDefault="00744EFC" w:rsidP="00F92C08">
            <w:pPr>
              <w:spacing w:line="240" w:lineRule="auto"/>
              <w:ind w:firstLine="0"/>
              <w:jc w:val="center"/>
              <w:rPr>
                <w:rFonts w:ascii="Times New Roman" w:eastAsia="Times New Roman" w:hAnsi="Times New Roman" w:cs="Times New Roman"/>
                <w:sz w:val="22"/>
              </w:rPr>
            </w:pPr>
            <w:r w:rsidRPr="00E869A4">
              <w:rPr>
                <w:rFonts w:ascii="Times New Roman" w:eastAsia="Times New Roman" w:hAnsi="Times New Roman" w:cs="Times New Roman"/>
                <w:sz w:val="22"/>
              </w:rPr>
              <w:t>Uncertainty</w:t>
            </w:r>
          </w:p>
        </w:tc>
      </w:tr>
    </w:tbl>
    <w:p w14:paraId="2FA8DD38" w14:textId="77777777" w:rsidR="00744EFC" w:rsidRPr="00E869A4" w:rsidRDefault="00744EFC" w:rsidP="00D20B2D">
      <w:pPr>
        <w:pStyle w:val="Heading1"/>
        <w:sectPr w:rsidR="00744EFC" w:rsidRPr="00E869A4" w:rsidSect="00446CB8">
          <w:type w:val="nextColumn"/>
          <w:pgSz w:w="20160" w:h="12240" w:orient="landscape" w:code="5"/>
          <w:pgMar w:top="1440" w:right="851" w:bottom="1440" w:left="1134" w:header="708" w:footer="708" w:gutter="0"/>
          <w:cols w:space="708"/>
          <w:titlePg/>
          <w:docGrid w:linePitch="360"/>
        </w:sectPr>
      </w:pPr>
    </w:p>
    <w:p w14:paraId="7C3B72F3" w14:textId="794F067A" w:rsidR="00E53916" w:rsidRPr="00E869A4" w:rsidRDefault="00744EFC" w:rsidP="00D20B2D">
      <w:pPr>
        <w:pStyle w:val="Heading1"/>
      </w:pPr>
      <w:bookmarkStart w:id="347" w:name="_Toc40436563"/>
      <w:r w:rsidRPr="00E869A4">
        <w:lastRenderedPageBreak/>
        <w:t>C</w:t>
      </w:r>
      <w:r w:rsidR="00991AD0" w:rsidRPr="00E869A4">
        <w:t xml:space="preserve">HAPTER </w:t>
      </w:r>
      <w:r w:rsidR="005C7011" w:rsidRPr="00E869A4">
        <w:t>9</w:t>
      </w:r>
      <w:r w:rsidR="00C33EE4" w:rsidRPr="00E869A4">
        <w:t xml:space="preserve"> – </w:t>
      </w:r>
      <w:r w:rsidR="00E53916" w:rsidRPr="00E869A4">
        <w:t xml:space="preserve">QUANTITATIVE </w:t>
      </w:r>
      <w:r w:rsidR="005F26C7" w:rsidRPr="00E869A4">
        <w:t>SURVEY</w:t>
      </w:r>
      <w:r w:rsidR="000E2D55" w:rsidRPr="00E869A4">
        <w:t xml:space="preserve"> RESULTS</w:t>
      </w:r>
      <w:bookmarkEnd w:id="347"/>
    </w:p>
    <w:p w14:paraId="0FB5CAAB" w14:textId="77777777" w:rsidR="00D62D71" w:rsidRPr="00E869A4" w:rsidRDefault="00D62D71" w:rsidP="00B61191">
      <w:pPr>
        <w:ind w:left="567" w:firstLine="0"/>
      </w:pPr>
      <w:bookmarkStart w:id="348" w:name="_Toc492959473"/>
    </w:p>
    <w:p w14:paraId="4C2CB54C" w14:textId="602E802F" w:rsidR="00E53916" w:rsidRPr="00E869A4" w:rsidRDefault="00E905FF" w:rsidP="00175C3E">
      <w:pPr>
        <w:pStyle w:val="Heading2"/>
      </w:pPr>
      <w:bookmarkStart w:id="349" w:name="_Toc40436564"/>
      <w:r w:rsidRPr="00E869A4">
        <w:t>9</w:t>
      </w:r>
      <w:r w:rsidR="00665AEB" w:rsidRPr="00E869A4">
        <w:t xml:space="preserve">.1 </w:t>
      </w:r>
      <w:r w:rsidR="00E53916" w:rsidRPr="00E869A4">
        <w:t>INTRODUCTION</w:t>
      </w:r>
      <w:bookmarkEnd w:id="348"/>
      <w:bookmarkEnd w:id="349"/>
    </w:p>
    <w:p w14:paraId="6A3400C5" w14:textId="77777777" w:rsidR="00E53916" w:rsidRPr="00E869A4" w:rsidRDefault="00E53916" w:rsidP="00A35FF8">
      <w:pPr>
        <w:rPr>
          <w:rFonts w:ascii="Times New Roman" w:hAnsi="Times New Roman" w:cs="Times New Roman"/>
        </w:rPr>
      </w:pPr>
    </w:p>
    <w:p w14:paraId="680E6F70" w14:textId="7EF059CA" w:rsidR="00E53916" w:rsidRPr="00E869A4" w:rsidRDefault="00E53916" w:rsidP="00A35FF8">
      <w:pPr>
        <w:rPr>
          <w:rFonts w:ascii="Times New Roman" w:hAnsi="Times New Roman" w:cs="Times New Roman"/>
        </w:rPr>
      </w:pPr>
      <w:r w:rsidRPr="00E869A4">
        <w:rPr>
          <w:rFonts w:ascii="Times New Roman" w:hAnsi="Times New Roman" w:cs="Times New Roman"/>
        </w:rPr>
        <w:t xml:space="preserve">The </w:t>
      </w:r>
      <w:r w:rsidR="00FC7CF8" w:rsidRPr="00E869A4">
        <w:rPr>
          <w:rFonts w:ascii="Times New Roman" w:hAnsi="Times New Roman" w:cs="Times New Roman"/>
        </w:rPr>
        <w:t>preceding chapters</w:t>
      </w:r>
      <w:r w:rsidRPr="00E869A4">
        <w:rPr>
          <w:rFonts w:ascii="Times New Roman" w:hAnsi="Times New Roman" w:cs="Times New Roman"/>
        </w:rPr>
        <w:t xml:space="preserve"> provided in-depth </w:t>
      </w:r>
      <w:r w:rsidR="00FC7CF8" w:rsidRPr="00E869A4">
        <w:rPr>
          <w:rFonts w:ascii="Times New Roman" w:hAnsi="Times New Roman" w:cs="Times New Roman"/>
        </w:rPr>
        <w:t xml:space="preserve">qualitative </w:t>
      </w:r>
      <w:r w:rsidRPr="00E869A4">
        <w:rPr>
          <w:rFonts w:ascii="Times New Roman" w:hAnsi="Times New Roman" w:cs="Times New Roman"/>
        </w:rPr>
        <w:t>information on the factors that contribute</w:t>
      </w:r>
      <w:r w:rsidR="00FC7CF8" w:rsidRPr="00E869A4">
        <w:rPr>
          <w:rFonts w:ascii="Times New Roman" w:hAnsi="Times New Roman" w:cs="Times New Roman"/>
        </w:rPr>
        <w:t>d</w:t>
      </w:r>
      <w:r w:rsidRPr="00E869A4">
        <w:rPr>
          <w:rFonts w:ascii="Times New Roman" w:hAnsi="Times New Roman" w:cs="Times New Roman"/>
        </w:rPr>
        <w:t xml:space="preserve"> to a person accepting the role of family caregiver to a frail older relative, the care management strategies that family caregivers employed, and how family caregivers in T&amp;T perceived and summed up their care experiences. In this chapter, I present the results of the quantitative survey</w:t>
      </w:r>
      <w:r w:rsidR="00FC7CF8" w:rsidRPr="00E869A4">
        <w:rPr>
          <w:rFonts w:ascii="Times New Roman" w:hAnsi="Times New Roman" w:cs="Times New Roman"/>
        </w:rPr>
        <w:t>,</w:t>
      </w:r>
      <w:r w:rsidRPr="00E869A4">
        <w:rPr>
          <w:rFonts w:ascii="Times New Roman" w:hAnsi="Times New Roman" w:cs="Times New Roman"/>
        </w:rPr>
        <w:t xml:space="preserve"> which was conducted between April 1</w:t>
      </w:r>
      <w:r w:rsidRPr="00E869A4">
        <w:rPr>
          <w:rFonts w:ascii="Times New Roman" w:hAnsi="Times New Roman" w:cs="Times New Roman"/>
          <w:vertAlign w:val="superscript"/>
        </w:rPr>
        <w:t>st</w:t>
      </w:r>
      <w:r w:rsidRPr="00E869A4">
        <w:rPr>
          <w:rFonts w:ascii="Times New Roman" w:hAnsi="Times New Roman" w:cs="Times New Roman"/>
        </w:rPr>
        <w:t>, 2014 and July 30</w:t>
      </w:r>
      <w:r w:rsidR="00650CA5" w:rsidRPr="00E869A4">
        <w:rPr>
          <w:rFonts w:ascii="Times New Roman" w:hAnsi="Times New Roman" w:cs="Times New Roman"/>
          <w:vertAlign w:val="superscript"/>
        </w:rPr>
        <w:t>th</w:t>
      </w:r>
      <w:r w:rsidRPr="00E869A4">
        <w:rPr>
          <w:rFonts w:ascii="Times New Roman" w:hAnsi="Times New Roman" w:cs="Times New Roman"/>
        </w:rPr>
        <w:t xml:space="preserve">, 2014. </w:t>
      </w:r>
      <w:r w:rsidR="0071422C" w:rsidRPr="00E869A4">
        <w:rPr>
          <w:rFonts w:ascii="Times New Roman" w:hAnsi="Times New Roman" w:cs="Times New Roman"/>
        </w:rPr>
        <w:t xml:space="preserve">In some instances, a comparison is made between the survey data and national census information. </w:t>
      </w:r>
      <w:r w:rsidRPr="00E869A4">
        <w:rPr>
          <w:rFonts w:ascii="Times New Roman" w:hAnsi="Times New Roman" w:cs="Times New Roman"/>
        </w:rPr>
        <w:t xml:space="preserve">In addition to the responses to the closed-ended questions, many of the respondents availed themselves of the open-ended comment boxes and shared extensively on their experiences. Some of the comments provided are included in this section.  </w:t>
      </w:r>
    </w:p>
    <w:p w14:paraId="0CD60EC8" w14:textId="77777777" w:rsidR="00E53916" w:rsidRPr="00E869A4" w:rsidRDefault="00E53916" w:rsidP="00A35FF8">
      <w:pPr>
        <w:rPr>
          <w:rFonts w:ascii="Times New Roman" w:eastAsiaTheme="majorEastAsia" w:hAnsi="Times New Roman" w:cs="Times New Roman"/>
          <w:b/>
          <w:bCs/>
          <w:smallCaps/>
          <w:sz w:val="28"/>
          <w:szCs w:val="28"/>
        </w:rPr>
      </w:pPr>
    </w:p>
    <w:p w14:paraId="0B01C223" w14:textId="42044B7C" w:rsidR="00E53916" w:rsidRPr="00E869A4" w:rsidRDefault="00E905FF" w:rsidP="00175C3E">
      <w:pPr>
        <w:pStyle w:val="Heading2"/>
      </w:pPr>
      <w:bookmarkStart w:id="350" w:name="_Toc492959475"/>
      <w:bookmarkStart w:id="351" w:name="_Toc40436565"/>
      <w:r w:rsidRPr="00E869A4">
        <w:t>9</w:t>
      </w:r>
      <w:r w:rsidR="00665AEB" w:rsidRPr="00E869A4">
        <w:t xml:space="preserve">.2 </w:t>
      </w:r>
      <w:r w:rsidR="001407B7" w:rsidRPr="00E869A4">
        <w:t>SURVEY PARTICIPANTS’ PROFILE</w:t>
      </w:r>
      <w:bookmarkEnd w:id="350"/>
      <w:bookmarkEnd w:id="351"/>
    </w:p>
    <w:p w14:paraId="5D816406" w14:textId="77777777" w:rsidR="00E53916" w:rsidRPr="00E869A4" w:rsidRDefault="00DA33F2" w:rsidP="009478FA">
      <w:pPr>
        <w:tabs>
          <w:tab w:val="left" w:pos="1560"/>
        </w:tabs>
        <w:rPr>
          <w:rFonts w:ascii="Times New Roman" w:hAnsi="Times New Roman" w:cs="Times New Roman"/>
        </w:rPr>
      </w:pPr>
      <w:r w:rsidRPr="00E869A4">
        <w:rPr>
          <w:rFonts w:ascii="Times New Roman" w:hAnsi="Times New Roman" w:cs="Times New Roman"/>
        </w:rPr>
        <w:tab/>
      </w:r>
    </w:p>
    <w:p w14:paraId="6348C6EC" w14:textId="77F44B35" w:rsidR="002F7F7C" w:rsidRPr="00E869A4" w:rsidRDefault="00E53916">
      <w:pPr>
        <w:rPr>
          <w:rFonts w:ascii="Times New Roman" w:hAnsi="Times New Roman" w:cs="Times New Roman"/>
          <w:szCs w:val="24"/>
        </w:rPr>
      </w:pPr>
      <w:r w:rsidRPr="00E869A4">
        <w:rPr>
          <w:rFonts w:ascii="Times New Roman" w:hAnsi="Times New Roman" w:cs="Times New Roman"/>
          <w:szCs w:val="24"/>
        </w:rPr>
        <w:t xml:space="preserve">The persons completing the online survey needed to meet the selection criteria of being a primary or secondary family caregiver to an older person in T&amp;T. The majority (99%) of the 241 respondents were citizens of the country. Most of the survey participants (58%) cared for their older relative within a year of doing the survey </w:t>
      </w:r>
      <w:r w:rsidR="00766B01" w:rsidRPr="00E869A4">
        <w:rPr>
          <w:rFonts w:ascii="Times New Roman" w:hAnsi="Times New Roman" w:cs="Times New Roman"/>
          <w:szCs w:val="24"/>
        </w:rPr>
        <w:t>(see Fig</w:t>
      </w:r>
      <w:r w:rsidR="004E51C5" w:rsidRPr="00E869A4">
        <w:rPr>
          <w:rFonts w:ascii="Times New Roman" w:hAnsi="Times New Roman" w:cs="Times New Roman"/>
          <w:szCs w:val="24"/>
        </w:rPr>
        <w:t>ure</w:t>
      </w:r>
      <w:r w:rsidR="00766B01" w:rsidRPr="00E869A4">
        <w:rPr>
          <w:rFonts w:ascii="Times New Roman" w:hAnsi="Times New Roman" w:cs="Times New Roman"/>
          <w:szCs w:val="24"/>
        </w:rPr>
        <w:t xml:space="preserve"> </w:t>
      </w:r>
      <w:r w:rsidR="00893D6B" w:rsidRPr="00E869A4">
        <w:rPr>
          <w:rFonts w:ascii="Times New Roman" w:hAnsi="Times New Roman" w:cs="Times New Roman"/>
          <w:szCs w:val="24"/>
        </w:rPr>
        <w:t>6</w:t>
      </w:r>
      <w:r w:rsidR="00766B01" w:rsidRPr="00E869A4">
        <w:rPr>
          <w:rFonts w:ascii="Times New Roman" w:hAnsi="Times New Roman" w:cs="Times New Roman"/>
          <w:szCs w:val="24"/>
        </w:rPr>
        <w:t xml:space="preserve"> below). </w:t>
      </w:r>
      <w:r w:rsidRPr="00E869A4">
        <w:rPr>
          <w:rFonts w:ascii="Times New Roman" w:hAnsi="Times New Roman" w:cs="Times New Roman"/>
          <w:szCs w:val="24"/>
        </w:rPr>
        <w:t>Of these, 35% provided care support within a week of completing the questionnaire. Sadly</w:t>
      </w:r>
      <w:r w:rsidR="00893D6B" w:rsidRPr="00E869A4">
        <w:rPr>
          <w:rFonts w:ascii="Times New Roman" w:hAnsi="Times New Roman" w:cs="Times New Roman"/>
          <w:szCs w:val="24"/>
        </w:rPr>
        <w:t>,</w:t>
      </w:r>
      <w:r w:rsidRPr="00E869A4">
        <w:rPr>
          <w:rFonts w:ascii="Times New Roman" w:hAnsi="Times New Roman" w:cs="Times New Roman"/>
          <w:szCs w:val="24"/>
        </w:rPr>
        <w:t xml:space="preserve"> 56% of the respondents revealed that their older relative was not alive at the time of the survey. </w:t>
      </w:r>
    </w:p>
    <w:p w14:paraId="71F620A5" w14:textId="77777777" w:rsidR="002F7F7C" w:rsidRPr="00E869A4" w:rsidRDefault="002F7F7C">
      <w:pPr>
        <w:rPr>
          <w:rFonts w:ascii="Times New Roman" w:hAnsi="Times New Roman" w:cs="Times New Roman"/>
          <w:szCs w:val="24"/>
        </w:rPr>
      </w:pPr>
      <w:r w:rsidRPr="00E869A4">
        <w:rPr>
          <w:rFonts w:ascii="Times New Roman" w:hAnsi="Times New Roman" w:cs="Times New Roman"/>
          <w:szCs w:val="24"/>
        </w:rPr>
        <w:br w:type="page"/>
      </w:r>
    </w:p>
    <w:p w14:paraId="6885FDF0" w14:textId="61A7E33E" w:rsidR="00C349ED" w:rsidRPr="00E869A4" w:rsidRDefault="00C349ED" w:rsidP="002F7F7C">
      <w:pPr>
        <w:pStyle w:val="Caption"/>
        <w:tabs>
          <w:tab w:val="left" w:pos="2535"/>
          <w:tab w:val="center" w:pos="6763"/>
        </w:tabs>
        <w:ind w:firstLine="0"/>
        <w:rPr>
          <w:b/>
          <w:i w:val="0"/>
          <w:sz w:val="24"/>
        </w:rPr>
      </w:pPr>
      <w:bookmarkStart w:id="352" w:name="_Toc40436636"/>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6</w:t>
      </w:r>
      <w:r w:rsidR="0026235F" w:rsidRPr="00E869A4">
        <w:rPr>
          <w:b/>
          <w:i w:val="0"/>
          <w:sz w:val="24"/>
        </w:rPr>
        <w:fldChar w:fldCharType="end"/>
      </w:r>
      <w:r w:rsidR="00ED14A9" w:rsidRPr="00E869A4">
        <w:rPr>
          <w:b/>
          <w:i w:val="0"/>
          <w:sz w:val="24"/>
        </w:rPr>
        <w:t>:</w:t>
      </w:r>
      <w:r w:rsidRPr="00E869A4">
        <w:rPr>
          <w:b/>
          <w:i w:val="0"/>
          <w:sz w:val="24"/>
        </w:rPr>
        <w:t xml:space="preserve"> Last Time Providing Care Support to Older Relative</w:t>
      </w:r>
      <w:bookmarkEnd w:id="352"/>
    </w:p>
    <w:p w14:paraId="7A04487D" w14:textId="77777777" w:rsidR="00C349ED" w:rsidRPr="00E869A4" w:rsidRDefault="00C349ED" w:rsidP="00C349ED"/>
    <w:p w14:paraId="60A78900" w14:textId="77777777" w:rsidR="00766B01" w:rsidRPr="00E869A4" w:rsidRDefault="00766B01" w:rsidP="00766B01">
      <w:pPr>
        <w:rPr>
          <w:rFonts w:ascii="Times New Roman" w:hAnsi="Times New Roman" w:cs="Times New Roman"/>
          <w:szCs w:val="24"/>
        </w:rPr>
      </w:pPr>
      <w:r w:rsidRPr="00E869A4">
        <w:rPr>
          <w:rFonts w:ascii="Times New Roman" w:hAnsi="Times New Roman" w:cs="Times New Roman"/>
          <w:noProof/>
        </w:rPr>
        <w:drawing>
          <wp:inline distT="0" distB="0" distL="0" distR="0" wp14:anchorId="26AB5701" wp14:editId="14540F92">
            <wp:extent cx="5486400" cy="32004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1CBC8D" w14:textId="77777777" w:rsidR="00614E56" w:rsidRPr="00E869A4" w:rsidRDefault="00614E56" w:rsidP="00614E56">
      <w:pPr>
        <w:ind w:firstLine="0"/>
        <w:rPr>
          <w:rFonts w:ascii="Times New Roman" w:hAnsi="Times New Roman" w:cs="Times New Roman"/>
        </w:rPr>
      </w:pPr>
    </w:p>
    <w:p w14:paraId="398CA8C4" w14:textId="164CA7E6" w:rsidR="004E51C5" w:rsidRPr="00E869A4" w:rsidRDefault="00E905FF" w:rsidP="004E51C5">
      <w:pPr>
        <w:pStyle w:val="Heading3"/>
      </w:pPr>
      <w:bookmarkStart w:id="353" w:name="_Toc492959477"/>
      <w:bookmarkStart w:id="354" w:name="_Toc40436566"/>
      <w:r w:rsidRPr="00E869A4">
        <w:t>9</w:t>
      </w:r>
      <w:r w:rsidR="004E51C5" w:rsidRPr="00E869A4">
        <w:t>.2.1     Family Caregiver Characteristics</w:t>
      </w:r>
      <w:bookmarkEnd w:id="353"/>
      <w:bookmarkEnd w:id="354"/>
    </w:p>
    <w:p w14:paraId="317F3AC1" w14:textId="77777777" w:rsidR="004E51C5" w:rsidRPr="00E869A4" w:rsidRDefault="004E51C5" w:rsidP="00614E56">
      <w:pPr>
        <w:rPr>
          <w:rFonts w:ascii="Times New Roman" w:hAnsi="Times New Roman" w:cs="Times New Roman"/>
          <w:szCs w:val="24"/>
        </w:rPr>
      </w:pPr>
    </w:p>
    <w:p w14:paraId="2565E844" w14:textId="77777777" w:rsidR="002F7F7C" w:rsidRPr="00E869A4" w:rsidRDefault="00E53916" w:rsidP="00A35FF8">
      <w:pPr>
        <w:rPr>
          <w:rFonts w:ascii="Times New Roman" w:hAnsi="Times New Roman" w:cs="Times New Roman"/>
          <w:szCs w:val="24"/>
        </w:rPr>
      </w:pPr>
      <w:r w:rsidRPr="00E869A4">
        <w:rPr>
          <w:rFonts w:ascii="Times New Roman" w:hAnsi="Times New Roman" w:cs="Times New Roman"/>
          <w:szCs w:val="24"/>
        </w:rPr>
        <w:t>The level of care provided by the survey respondents varied. Most respondents (74%) provided care for more than 3 hours a week</w:t>
      </w:r>
      <w:r w:rsidRPr="00E869A4">
        <w:rPr>
          <w:rFonts w:ascii="Times New Roman" w:hAnsi="Times New Roman" w:cs="Times New Roman"/>
        </w:rPr>
        <w:t xml:space="preserve">, and about 70% of the participants cared for someone who was moderately or severely dependent. At the time of the survey, about 8 out of 10 participants provided ADL support. </w:t>
      </w:r>
      <w:r w:rsidR="005B35E0" w:rsidRPr="00E869A4">
        <w:rPr>
          <w:rFonts w:ascii="Times New Roman" w:hAnsi="Times New Roman" w:cs="Times New Roman"/>
        </w:rPr>
        <w:t xml:space="preserve">However, it is important to note that care needs can change given the </w:t>
      </w:r>
      <w:r w:rsidR="004144B4" w:rsidRPr="00E869A4">
        <w:rPr>
          <w:rFonts w:ascii="Times New Roman" w:hAnsi="Times New Roman" w:cs="Times New Roman"/>
        </w:rPr>
        <w:t>dynamic</w:t>
      </w:r>
      <w:r w:rsidR="005B35E0" w:rsidRPr="00E869A4">
        <w:rPr>
          <w:rFonts w:ascii="Times New Roman" w:hAnsi="Times New Roman" w:cs="Times New Roman"/>
        </w:rPr>
        <w:t xml:space="preserve"> health situation</w:t>
      </w:r>
      <w:r w:rsidR="00650CA5" w:rsidRPr="00E869A4">
        <w:rPr>
          <w:rFonts w:ascii="Times New Roman" w:hAnsi="Times New Roman" w:cs="Times New Roman"/>
        </w:rPr>
        <w:t>s</w:t>
      </w:r>
      <w:r w:rsidR="005B35E0" w:rsidRPr="00E869A4">
        <w:rPr>
          <w:rFonts w:ascii="Times New Roman" w:hAnsi="Times New Roman" w:cs="Times New Roman"/>
        </w:rPr>
        <w:t xml:space="preserve"> of older person</w:t>
      </w:r>
      <w:r w:rsidR="00650CA5" w:rsidRPr="00E869A4">
        <w:rPr>
          <w:rFonts w:ascii="Times New Roman" w:hAnsi="Times New Roman" w:cs="Times New Roman"/>
        </w:rPr>
        <w:t>s</w:t>
      </w:r>
      <w:r w:rsidR="005B35E0" w:rsidRPr="00E869A4">
        <w:rPr>
          <w:rFonts w:ascii="Times New Roman" w:hAnsi="Times New Roman" w:cs="Times New Roman"/>
        </w:rPr>
        <w:t xml:space="preserve">. </w:t>
      </w:r>
      <w:r w:rsidRPr="00E869A4">
        <w:rPr>
          <w:rFonts w:ascii="Times New Roman" w:hAnsi="Times New Roman" w:cs="Times New Roman"/>
        </w:rPr>
        <w:t>M</w:t>
      </w:r>
      <w:r w:rsidRPr="00E869A4">
        <w:rPr>
          <w:rFonts w:ascii="Times New Roman" w:hAnsi="Times New Roman" w:cs="Times New Roman"/>
          <w:szCs w:val="24"/>
        </w:rPr>
        <w:t xml:space="preserve">ost of the family caregivers (81%) did not work in the human health or social service sector. The other 19% were employed in that sector but some of these persons also provided informal family care. Details about the care activities of the participants are provided below. </w:t>
      </w:r>
    </w:p>
    <w:p w14:paraId="0E10FE23" w14:textId="77777777" w:rsidR="002F7F7C" w:rsidRPr="00E869A4" w:rsidRDefault="002F7F7C" w:rsidP="00A35FF8">
      <w:pPr>
        <w:rPr>
          <w:rFonts w:ascii="Times New Roman" w:hAnsi="Times New Roman" w:cs="Times New Roman"/>
          <w:szCs w:val="24"/>
        </w:rPr>
      </w:pPr>
    </w:p>
    <w:p w14:paraId="47F122BB" w14:textId="77250EF9" w:rsidR="00766B01" w:rsidRPr="00E869A4" w:rsidRDefault="004144B4" w:rsidP="00A35FF8">
      <w:pPr>
        <w:rPr>
          <w:rFonts w:ascii="Times New Roman" w:hAnsi="Times New Roman" w:cs="Times New Roman"/>
          <w:szCs w:val="24"/>
        </w:rPr>
      </w:pPr>
      <w:r w:rsidRPr="00E869A4">
        <w:rPr>
          <w:rFonts w:ascii="Times New Roman" w:hAnsi="Times New Roman" w:cs="Times New Roman"/>
          <w:szCs w:val="24"/>
        </w:rPr>
        <w:t>As seen in Figure 7 below, t</w:t>
      </w:r>
      <w:r w:rsidR="00E53916" w:rsidRPr="00E869A4">
        <w:rPr>
          <w:rFonts w:ascii="Times New Roman" w:hAnsi="Times New Roman" w:cs="Times New Roman"/>
          <w:szCs w:val="24"/>
        </w:rPr>
        <w:t>he three main ethnic groups in the country were almo</w:t>
      </w:r>
      <w:r w:rsidR="00C6632F">
        <w:rPr>
          <w:rFonts w:ascii="Times New Roman" w:hAnsi="Times New Roman" w:cs="Times New Roman"/>
          <w:szCs w:val="24"/>
        </w:rPr>
        <w:t>st equally represented in the surve</w:t>
      </w:r>
      <w:r w:rsidR="00A2369A" w:rsidRPr="00E869A4">
        <w:rPr>
          <w:rFonts w:ascii="Times New Roman" w:hAnsi="Times New Roman" w:cs="Times New Roman"/>
          <w:szCs w:val="24"/>
        </w:rPr>
        <w:t>y. Most of the family care</w:t>
      </w:r>
      <w:r w:rsidR="00E53916" w:rsidRPr="00E869A4">
        <w:rPr>
          <w:rFonts w:ascii="Times New Roman" w:hAnsi="Times New Roman" w:cs="Times New Roman"/>
          <w:szCs w:val="24"/>
        </w:rPr>
        <w:t>rs were of African descent (33%), Mixed ethnicity</w:t>
      </w:r>
      <w:r w:rsidR="00650CA5" w:rsidRPr="00E869A4">
        <w:rPr>
          <w:rFonts w:ascii="Times New Roman" w:hAnsi="Times New Roman" w:cs="Times New Roman"/>
          <w:szCs w:val="24"/>
        </w:rPr>
        <w:t xml:space="preserve"> (33%)</w:t>
      </w:r>
      <w:r w:rsidR="00E53916" w:rsidRPr="00E869A4">
        <w:rPr>
          <w:rFonts w:ascii="Times New Roman" w:hAnsi="Times New Roman" w:cs="Times New Roman"/>
          <w:szCs w:val="24"/>
        </w:rPr>
        <w:t xml:space="preserve">, or East Indian origin (28.4%). </w:t>
      </w:r>
    </w:p>
    <w:p w14:paraId="36C69A6B" w14:textId="77777777" w:rsidR="002F7F7C" w:rsidRPr="00E869A4" w:rsidRDefault="002F7F7C">
      <w:pPr>
        <w:rPr>
          <w:b/>
          <w:iCs/>
        </w:rPr>
      </w:pPr>
      <w:r w:rsidRPr="00E869A4">
        <w:rPr>
          <w:b/>
          <w:i/>
        </w:rPr>
        <w:br w:type="page"/>
      </w:r>
    </w:p>
    <w:p w14:paraId="3D7D2AA9" w14:textId="3CF24ED2" w:rsidR="00C349ED" w:rsidRPr="00E869A4" w:rsidRDefault="00C349ED" w:rsidP="002F7F7C">
      <w:pPr>
        <w:pStyle w:val="Caption"/>
        <w:ind w:firstLine="0"/>
        <w:rPr>
          <w:b/>
          <w:i w:val="0"/>
          <w:sz w:val="24"/>
        </w:rPr>
      </w:pPr>
      <w:bookmarkStart w:id="355" w:name="_Toc40436637"/>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7</w:t>
      </w:r>
      <w:r w:rsidR="0026235F" w:rsidRPr="00E869A4">
        <w:rPr>
          <w:b/>
          <w:i w:val="0"/>
          <w:sz w:val="24"/>
        </w:rPr>
        <w:fldChar w:fldCharType="end"/>
      </w:r>
      <w:r w:rsidR="00ED14A9" w:rsidRPr="00E869A4">
        <w:rPr>
          <w:b/>
          <w:i w:val="0"/>
          <w:sz w:val="24"/>
        </w:rPr>
        <w:t>:</w:t>
      </w:r>
      <w:r w:rsidRPr="00E869A4">
        <w:rPr>
          <w:b/>
          <w:i w:val="0"/>
          <w:sz w:val="24"/>
        </w:rPr>
        <w:t xml:space="preserve"> Ethnicity of Caregivers</w:t>
      </w:r>
      <w:bookmarkEnd w:id="355"/>
    </w:p>
    <w:p w14:paraId="5F906461" w14:textId="77777777" w:rsidR="00C349ED" w:rsidRPr="00E869A4" w:rsidRDefault="00C349ED" w:rsidP="00C349ED"/>
    <w:p w14:paraId="41D7D595" w14:textId="77777777" w:rsidR="00766B01" w:rsidRPr="00E869A4" w:rsidRDefault="00766B01" w:rsidP="00766B01">
      <w:pPr>
        <w:rPr>
          <w:rFonts w:ascii="Times New Roman" w:hAnsi="Times New Roman" w:cs="Times New Roman"/>
          <w:szCs w:val="24"/>
        </w:rPr>
      </w:pPr>
      <w:r w:rsidRPr="00E869A4">
        <w:rPr>
          <w:rFonts w:ascii="Times New Roman" w:hAnsi="Times New Roman" w:cs="Times New Roman"/>
          <w:noProof/>
        </w:rPr>
        <w:drawing>
          <wp:inline distT="0" distB="0" distL="0" distR="0" wp14:anchorId="222E367F" wp14:editId="61ED6CA4">
            <wp:extent cx="5943600" cy="4111625"/>
            <wp:effectExtent l="0" t="0" r="19050"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2979B1" w14:textId="289A76F9" w:rsidR="00766B01" w:rsidRPr="00E869A4" w:rsidRDefault="00766B01" w:rsidP="00614E56">
      <w:pPr>
        <w:ind w:firstLine="0"/>
        <w:rPr>
          <w:rFonts w:ascii="Times New Roman" w:hAnsi="Times New Roman" w:cs="Times New Roman"/>
          <w:b/>
          <w:bCs/>
          <w:szCs w:val="18"/>
        </w:rPr>
      </w:pPr>
    </w:p>
    <w:p w14:paraId="625CBFDE" w14:textId="5D440964" w:rsidR="002F7F7C" w:rsidRPr="00E869A4" w:rsidRDefault="002F7F7C" w:rsidP="002F7F7C">
      <w:pPr>
        <w:rPr>
          <w:rFonts w:ascii="Times New Roman" w:hAnsi="Times New Roman" w:cs="Times New Roman"/>
          <w:szCs w:val="24"/>
        </w:rPr>
      </w:pPr>
      <w:r w:rsidRPr="00E869A4">
        <w:rPr>
          <w:rFonts w:ascii="Times New Roman" w:hAnsi="Times New Roman" w:cs="Times New Roman"/>
          <w:szCs w:val="24"/>
        </w:rPr>
        <w:t xml:space="preserve">In keeping </w:t>
      </w:r>
      <w:r w:rsidR="00E53916" w:rsidRPr="00E869A4">
        <w:rPr>
          <w:rFonts w:ascii="Times New Roman" w:hAnsi="Times New Roman" w:cs="Times New Roman"/>
          <w:szCs w:val="24"/>
        </w:rPr>
        <w:t xml:space="preserve">with the last national census </w:t>
      </w:r>
      <w:r w:rsidR="00670F48" w:rsidRPr="00E869A4">
        <w:rPr>
          <w:rFonts w:ascii="Times New Roman" w:hAnsi="Times New Roman" w:cs="Times New Roman"/>
          <w:szCs w:val="24"/>
        </w:rPr>
        <w:t>(GORTT 2012)</w:t>
      </w:r>
      <w:r w:rsidR="00E53916" w:rsidRPr="00E869A4">
        <w:rPr>
          <w:rFonts w:ascii="Times New Roman" w:hAnsi="Times New Roman" w:cs="Times New Roman"/>
          <w:szCs w:val="24"/>
        </w:rPr>
        <w:t>, most participants (83%) identified themselves as belonging to a Christian denomination</w:t>
      </w:r>
      <w:r w:rsidR="00670F48" w:rsidRPr="00E869A4">
        <w:rPr>
          <w:rFonts w:ascii="Times New Roman" w:hAnsi="Times New Roman" w:cs="Times New Roman"/>
          <w:szCs w:val="24"/>
        </w:rPr>
        <w:t xml:space="preserve"> (see Figure 8)</w:t>
      </w:r>
      <w:r w:rsidR="00E53916" w:rsidRPr="00E869A4">
        <w:rPr>
          <w:rFonts w:ascii="Times New Roman" w:hAnsi="Times New Roman" w:cs="Times New Roman"/>
          <w:szCs w:val="24"/>
        </w:rPr>
        <w:t>. There was also some representation from persons belonging to the Hi</w:t>
      </w:r>
      <w:r w:rsidR="00670F48" w:rsidRPr="00E869A4">
        <w:rPr>
          <w:rFonts w:ascii="Times New Roman" w:hAnsi="Times New Roman" w:cs="Times New Roman"/>
          <w:szCs w:val="24"/>
        </w:rPr>
        <w:t xml:space="preserve">ndu (11%) and Muslim faith (6%). </w:t>
      </w:r>
      <w:r w:rsidRPr="00E869A4">
        <w:rPr>
          <w:rFonts w:ascii="Times New Roman" w:hAnsi="Times New Roman" w:cs="Times New Roman"/>
          <w:szCs w:val="24"/>
        </w:rPr>
        <w:t xml:space="preserve"> Consistent with the literature on family caregiver characteristics (Globerman 1996; Hooyman &amp; Gonyea 1995; Merrill 1997; Roopnarine &amp; Brown 1996; Seegobin 2003; Spillman &amp; Pezzin 2014), most of the caregivers were female (78%)</w:t>
      </w:r>
      <w:r w:rsidRPr="00E869A4">
        <w:rPr>
          <w:rStyle w:val="FootnoteReference"/>
          <w:rFonts w:ascii="Times New Roman" w:hAnsi="Times New Roman" w:cs="Times New Roman"/>
          <w:szCs w:val="24"/>
        </w:rPr>
        <w:footnoteReference w:id="71"/>
      </w:r>
      <w:r w:rsidRPr="00E869A4">
        <w:rPr>
          <w:rFonts w:ascii="Times New Roman" w:hAnsi="Times New Roman" w:cs="Times New Roman"/>
          <w:szCs w:val="24"/>
        </w:rPr>
        <w:t xml:space="preserve">. </w:t>
      </w:r>
      <w:r w:rsidRPr="00E869A4">
        <w:rPr>
          <w:rFonts w:ascii="Times New Roman" w:hAnsi="Times New Roman" w:cs="Times New Roman"/>
        </w:rPr>
        <w:t xml:space="preserve"> The proportion of family caregivers participating in the survey exceeded the proportion of females in the population as a whole. </w:t>
      </w:r>
      <w:r w:rsidRPr="00E869A4">
        <w:rPr>
          <w:rFonts w:ascii="Times New Roman" w:hAnsi="Times New Roman" w:cs="Times New Roman"/>
          <w:szCs w:val="24"/>
        </w:rPr>
        <w:t xml:space="preserve">According to the 2010 national census, the proportion of females of all ages in </w:t>
      </w:r>
      <w:r w:rsidRPr="00E869A4">
        <w:rPr>
          <w:rFonts w:ascii="Times New Roman" w:eastAsiaTheme="majorEastAsia" w:hAnsi="Times New Roman" w:cs="Times New Roman"/>
          <w:bCs/>
          <w:szCs w:val="26"/>
        </w:rPr>
        <w:t>T&amp;T</w:t>
      </w:r>
      <w:r w:rsidRPr="00E869A4">
        <w:rPr>
          <w:rFonts w:ascii="Times New Roman" w:hAnsi="Times New Roman" w:cs="Times New Roman"/>
          <w:szCs w:val="24"/>
        </w:rPr>
        <w:t xml:space="preserve"> was 49.83% and the proportion of females aged 20 years and older was 50.07%. </w:t>
      </w:r>
    </w:p>
    <w:p w14:paraId="4E92CB80" w14:textId="66944D0C" w:rsidR="00B54266" w:rsidRPr="00E869A4" w:rsidRDefault="00B54266">
      <w:pPr>
        <w:rPr>
          <w:b/>
          <w:iCs/>
        </w:rPr>
      </w:pPr>
      <w:r w:rsidRPr="00E869A4">
        <w:rPr>
          <w:b/>
          <w:i/>
        </w:rPr>
        <w:br w:type="page"/>
      </w:r>
    </w:p>
    <w:p w14:paraId="4B6B11CF" w14:textId="6F724429" w:rsidR="00C349ED" w:rsidRPr="00E869A4" w:rsidRDefault="00C349ED" w:rsidP="00B54266">
      <w:pPr>
        <w:pStyle w:val="Caption"/>
        <w:ind w:firstLine="0"/>
        <w:rPr>
          <w:b/>
          <w:i w:val="0"/>
          <w:sz w:val="24"/>
        </w:rPr>
      </w:pPr>
      <w:bookmarkStart w:id="356" w:name="_Toc40436638"/>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8</w:t>
      </w:r>
      <w:r w:rsidR="0026235F" w:rsidRPr="00E869A4">
        <w:rPr>
          <w:b/>
          <w:i w:val="0"/>
          <w:sz w:val="24"/>
        </w:rPr>
        <w:fldChar w:fldCharType="end"/>
      </w:r>
      <w:r w:rsidR="00ED14A9" w:rsidRPr="00E869A4">
        <w:rPr>
          <w:b/>
          <w:i w:val="0"/>
          <w:sz w:val="24"/>
        </w:rPr>
        <w:t>:</w:t>
      </w:r>
      <w:r w:rsidRPr="00E869A4">
        <w:rPr>
          <w:b/>
          <w:i w:val="0"/>
          <w:sz w:val="24"/>
        </w:rPr>
        <w:t xml:space="preserve"> Religious Background of Caregiver</w:t>
      </w:r>
      <w:bookmarkEnd w:id="356"/>
    </w:p>
    <w:p w14:paraId="19F991B5" w14:textId="77777777" w:rsidR="00C349ED" w:rsidRPr="00E869A4" w:rsidRDefault="00C349ED" w:rsidP="00C349ED"/>
    <w:p w14:paraId="5758E6D0" w14:textId="77777777" w:rsidR="00766B01" w:rsidRPr="00E869A4" w:rsidRDefault="00766B01" w:rsidP="00766B01">
      <w:pPr>
        <w:rPr>
          <w:rFonts w:ascii="Times New Roman" w:hAnsi="Times New Roman" w:cs="Times New Roman"/>
          <w:szCs w:val="24"/>
        </w:rPr>
      </w:pPr>
      <w:r w:rsidRPr="00E869A4">
        <w:rPr>
          <w:rFonts w:ascii="Times New Roman" w:hAnsi="Times New Roman" w:cs="Times New Roman"/>
          <w:noProof/>
        </w:rPr>
        <w:drawing>
          <wp:inline distT="0" distB="0" distL="0" distR="0" wp14:anchorId="5455BDDF" wp14:editId="7B014297">
            <wp:extent cx="5937250" cy="3105150"/>
            <wp:effectExtent l="0" t="0" r="2540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031A35" w14:textId="77777777" w:rsidR="002F7F7C" w:rsidRPr="00E869A4" w:rsidRDefault="002F7F7C" w:rsidP="00A35FF8">
      <w:pPr>
        <w:rPr>
          <w:rFonts w:ascii="Times New Roman" w:hAnsi="Times New Roman" w:cs="Times New Roman"/>
          <w:szCs w:val="24"/>
        </w:rPr>
      </w:pPr>
    </w:p>
    <w:p w14:paraId="2A49FF82" w14:textId="310808DD"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 xml:space="preserve">Approximately 43% of the respondents were aged 21 to 39 </w:t>
      </w:r>
      <w:r w:rsidR="00C901CA" w:rsidRPr="00E869A4">
        <w:rPr>
          <w:rFonts w:ascii="Times New Roman" w:hAnsi="Times New Roman" w:cs="Times New Roman"/>
          <w:szCs w:val="24"/>
        </w:rPr>
        <w:t xml:space="preserve">(see Figure 9 below) </w:t>
      </w:r>
      <w:r w:rsidRPr="00E869A4">
        <w:rPr>
          <w:rFonts w:ascii="Times New Roman" w:hAnsi="Times New Roman" w:cs="Times New Roman"/>
          <w:szCs w:val="24"/>
        </w:rPr>
        <w:t>which is consistent with the median age (</w:t>
      </w:r>
      <w:r w:rsidR="00FB747B" w:rsidRPr="00E869A4">
        <w:rPr>
          <w:rFonts w:ascii="Times New Roman" w:hAnsi="Times New Roman" w:cs="Times New Roman"/>
          <w:szCs w:val="24"/>
        </w:rPr>
        <w:t>34.3</w:t>
      </w:r>
      <w:r w:rsidRPr="00E869A4">
        <w:rPr>
          <w:rFonts w:ascii="Times New Roman" w:hAnsi="Times New Roman" w:cs="Times New Roman"/>
          <w:szCs w:val="24"/>
        </w:rPr>
        <w:t xml:space="preserve"> years) of the national population</w:t>
      </w:r>
      <w:r w:rsidR="00C901CA" w:rsidRPr="00E869A4">
        <w:rPr>
          <w:rFonts w:ascii="Times New Roman" w:hAnsi="Times New Roman" w:cs="Times New Roman"/>
          <w:szCs w:val="24"/>
        </w:rPr>
        <w:t xml:space="preserve">. </w:t>
      </w:r>
      <w:r w:rsidRPr="00E869A4">
        <w:rPr>
          <w:rFonts w:ascii="Times New Roman" w:hAnsi="Times New Roman" w:cs="Times New Roman"/>
        </w:rPr>
        <w:t xml:space="preserve"> </w:t>
      </w:r>
      <w:r w:rsidRPr="00E869A4">
        <w:rPr>
          <w:rFonts w:ascii="Times New Roman" w:hAnsi="Times New Roman" w:cs="Times New Roman"/>
          <w:szCs w:val="24"/>
        </w:rPr>
        <w:t xml:space="preserve">This age distribution is not surprising given that younger </w:t>
      </w:r>
      <w:r w:rsidR="006428C0" w:rsidRPr="00E869A4">
        <w:rPr>
          <w:rFonts w:ascii="Times New Roman" w:hAnsi="Times New Roman" w:cs="Times New Roman"/>
          <w:szCs w:val="24"/>
        </w:rPr>
        <w:t>people</w:t>
      </w:r>
      <w:r w:rsidRPr="00E869A4">
        <w:rPr>
          <w:rFonts w:ascii="Times New Roman" w:hAnsi="Times New Roman" w:cs="Times New Roman"/>
          <w:szCs w:val="24"/>
        </w:rPr>
        <w:t xml:space="preserve"> are more likely to use information technology and have access to the online survey (</w:t>
      </w:r>
      <w:r w:rsidR="00BA13D5" w:rsidRPr="00E869A4">
        <w:rPr>
          <w:rFonts w:ascii="Times New Roman" w:hAnsi="Times New Roman" w:cs="Times New Roman"/>
          <w:szCs w:val="24"/>
        </w:rPr>
        <w:t>Berry 2011</w:t>
      </w:r>
      <w:r w:rsidR="0029017E" w:rsidRPr="00E869A4">
        <w:rPr>
          <w:rFonts w:ascii="Times New Roman" w:hAnsi="Times New Roman" w:cs="Times New Roman"/>
          <w:szCs w:val="24"/>
        </w:rPr>
        <w:t>, p.</w:t>
      </w:r>
      <w:r w:rsidR="00BA13D5" w:rsidRPr="00E869A4">
        <w:rPr>
          <w:rFonts w:ascii="Times New Roman" w:hAnsi="Times New Roman" w:cs="Times New Roman"/>
          <w:szCs w:val="24"/>
        </w:rPr>
        <w:t xml:space="preserve"> 2</w:t>
      </w:r>
      <w:r w:rsidRPr="00E869A4">
        <w:rPr>
          <w:rFonts w:ascii="Times New Roman" w:hAnsi="Times New Roman" w:cs="Times New Roman"/>
          <w:szCs w:val="24"/>
        </w:rPr>
        <w:t>). A considerable proportion of caregivers (3</w:t>
      </w:r>
      <w:r w:rsidR="00873344" w:rsidRPr="00E869A4">
        <w:rPr>
          <w:rFonts w:ascii="Times New Roman" w:hAnsi="Times New Roman" w:cs="Times New Roman"/>
          <w:szCs w:val="24"/>
        </w:rPr>
        <w:t>4%) were aged 50 years and over</w:t>
      </w:r>
      <w:r w:rsidRPr="00E869A4">
        <w:rPr>
          <w:rStyle w:val="FootnoteReference"/>
          <w:rFonts w:ascii="Times New Roman" w:hAnsi="Times New Roman" w:cs="Times New Roman"/>
          <w:szCs w:val="24"/>
        </w:rPr>
        <w:footnoteReference w:id="72"/>
      </w:r>
      <w:r w:rsidRPr="00E869A4">
        <w:rPr>
          <w:rFonts w:ascii="Times New Roman" w:hAnsi="Times New Roman" w:cs="Times New Roman"/>
          <w:szCs w:val="24"/>
        </w:rPr>
        <w:t xml:space="preserve">. </w:t>
      </w:r>
    </w:p>
    <w:p w14:paraId="721142B6" w14:textId="77777777" w:rsidR="002F7F7C" w:rsidRPr="00E869A4" w:rsidRDefault="002F7F7C" w:rsidP="002F7F7C">
      <w:pPr>
        <w:rPr>
          <w:rFonts w:ascii="Times New Roman" w:hAnsi="Times New Roman" w:cs="Times New Roman"/>
          <w:szCs w:val="24"/>
        </w:rPr>
      </w:pPr>
    </w:p>
    <w:p w14:paraId="6C16590B" w14:textId="7A648C25" w:rsidR="002F7F7C" w:rsidRPr="00E869A4" w:rsidRDefault="002F7F7C" w:rsidP="00E011CF">
      <w:pPr>
        <w:rPr>
          <w:rFonts w:ascii="Times New Roman" w:hAnsi="Times New Roman" w:cs="Times New Roman"/>
          <w:szCs w:val="24"/>
        </w:rPr>
      </w:pPr>
      <w:r w:rsidRPr="00E869A4">
        <w:rPr>
          <w:rFonts w:ascii="Times New Roman" w:hAnsi="Times New Roman" w:cs="Times New Roman"/>
          <w:szCs w:val="24"/>
        </w:rPr>
        <w:t>In terms of the area of residence of the participants, most of the geographic areas associated with the local regional health authorities were represented, including a very small proportion from Tobago</w:t>
      </w:r>
      <w:r w:rsidRPr="00E869A4">
        <w:rPr>
          <w:rStyle w:val="FootnoteReference"/>
          <w:rFonts w:ascii="Times New Roman" w:hAnsi="Times New Roman" w:cs="Times New Roman"/>
          <w:szCs w:val="24"/>
        </w:rPr>
        <w:footnoteReference w:id="73"/>
      </w:r>
      <w:r w:rsidRPr="00E869A4">
        <w:rPr>
          <w:rFonts w:ascii="Times New Roman" w:hAnsi="Times New Roman" w:cs="Times New Roman"/>
          <w:szCs w:val="24"/>
        </w:rPr>
        <w:t>. However, persons from the Eastern region of Trinidad were under-represented (see Figures 10 &amp; 11 below for further details). Family caregivers resided primarily in the municipalities associated with the North Central (36%), South West (30%), and North West (22%) Regional Health Authorities (RHAs). Only 2% of the family caregivers resided in Tobago</w:t>
      </w:r>
      <w:r w:rsidRPr="00E869A4">
        <w:rPr>
          <w:rStyle w:val="FootnoteReference"/>
          <w:rFonts w:ascii="Times New Roman" w:hAnsi="Times New Roman" w:cs="Times New Roman"/>
          <w:szCs w:val="24"/>
        </w:rPr>
        <w:footnoteReference w:id="74"/>
      </w:r>
      <w:r w:rsidRPr="00E869A4">
        <w:rPr>
          <w:rFonts w:ascii="Times New Roman" w:hAnsi="Times New Roman" w:cs="Times New Roman"/>
          <w:szCs w:val="24"/>
        </w:rPr>
        <w:t xml:space="preserve"> (Figure 10).</w:t>
      </w:r>
    </w:p>
    <w:p w14:paraId="52F5A875" w14:textId="77777777" w:rsidR="0029017E" w:rsidRPr="00E869A4" w:rsidRDefault="0029017E" w:rsidP="00A35FF8">
      <w:pPr>
        <w:rPr>
          <w:rFonts w:ascii="Times New Roman" w:hAnsi="Times New Roman" w:cs="Times New Roman"/>
          <w:szCs w:val="24"/>
        </w:rPr>
      </w:pPr>
    </w:p>
    <w:p w14:paraId="53053C32" w14:textId="6BA81D79" w:rsidR="0029017E" w:rsidRPr="00E869A4" w:rsidRDefault="00873344" w:rsidP="002F7F7C">
      <w:pPr>
        <w:pStyle w:val="Caption"/>
        <w:tabs>
          <w:tab w:val="left" w:pos="4395"/>
          <w:tab w:val="center" w:pos="4963"/>
        </w:tabs>
        <w:ind w:firstLine="0"/>
        <w:rPr>
          <w:b/>
          <w:i w:val="0"/>
          <w:sz w:val="24"/>
        </w:rPr>
      </w:pPr>
      <w:bookmarkStart w:id="357" w:name="_Toc40436639"/>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9</w:t>
      </w:r>
      <w:r w:rsidR="0026235F" w:rsidRPr="00E869A4">
        <w:rPr>
          <w:b/>
          <w:i w:val="0"/>
          <w:sz w:val="24"/>
        </w:rPr>
        <w:fldChar w:fldCharType="end"/>
      </w:r>
      <w:r w:rsidR="00ED14A9" w:rsidRPr="00E869A4">
        <w:rPr>
          <w:b/>
          <w:i w:val="0"/>
          <w:sz w:val="24"/>
        </w:rPr>
        <w:t>:</w:t>
      </w:r>
      <w:r w:rsidRPr="00E869A4">
        <w:rPr>
          <w:b/>
          <w:i w:val="0"/>
          <w:sz w:val="24"/>
        </w:rPr>
        <w:t xml:space="preserve"> Age of Caregiver</w:t>
      </w:r>
      <w:bookmarkEnd w:id="357"/>
    </w:p>
    <w:p w14:paraId="414FE634" w14:textId="77777777" w:rsidR="00873344" w:rsidRPr="00E869A4" w:rsidRDefault="00873344" w:rsidP="00873344"/>
    <w:p w14:paraId="0AE32CA0" w14:textId="77777777" w:rsidR="0029017E" w:rsidRPr="00E869A4" w:rsidRDefault="0029017E" w:rsidP="0029017E">
      <w:pPr>
        <w:rPr>
          <w:rFonts w:ascii="Times New Roman" w:hAnsi="Times New Roman" w:cs="Times New Roman"/>
        </w:rPr>
      </w:pPr>
      <w:r w:rsidRPr="00E869A4">
        <w:rPr>
          <w:rFonts w:ascii="Times New Roman" w:hAnsi="Times New Roman" w:cs="Times New Roman"/>
          <w:noProof/>
        </w:rPr>
        <w:drawing>
          <wp:inline distT="0" distB="0" distL="0" distR="0" wp14:anchorId="7F212015" wp14:editId="34D8BEF0">
            <wp:extent cx="5486400" cy="3451860"/>
            <wp:effectExtent l="0" t="0" r="1905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9D36D5" w14:textId="10782454" w:rsidR="00B54266" w:rsidRPr="00E869A4" w:rsidRDefault="00B54266">
      <w:pPr>
        <w:rPr>
          <w:b/>
          <w:iCs/>
        </w:rPr>
      </w:pPr>
    </w:p>
    <w:p w14:paraId="62259FA1" w14:textId="50158DCD" w:rsidR="005E18DF" w:rsidRPr="00E869A4" w:rsidRDefault="005E18DF" w:rsidP="004E51C5">
      <w:pPr>
        <w:pStyle w:val="Caption"/>
        <w:tabs>
          <w:tab w:val="left" w:pos="4395"/>
          <w:tab w:val="center" w:pos="4963"/>
        </w:tabs>
        <w:ind w:firstLine="0"/>
        <w:rPr>
          <w:b/>
          <w:i w:val="0"/>
          <w:sz w:val="24"/>
        </w:rPr>
      </w:pPr>
      <w:bookmarkStart w:id="358" w:name="_Toc40436640"/>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10</w:t>
      </w:r>
      <w:r w:rsidR="0026235F" w:rsidRPr="00E869A4">
        <w:rPr>
          <w:b/>
          <w:i w:val="0"/>
          <w:sz w:val="24"/>
        </w:rPr>
        <w:fldChar w:fldCharType="end"/>
      </w:r>
      <w:r w:rsidR="00ED14A9" w:rsidRPr="00E869A4">
        <w:rPr>
          <w:b/>
          <w:i w:val="0"/>
          <w:sz w:val="24"/>
        </w:rPr>
        <w:t>:</w:t>
      </w:r>
      <w:r w:rsidRPr="00E869A4">
        <w:rPr>
          <w:b/>
          <w:i w:val="0"/>
          <w:sz w:val="24"/>
        </w:rPr>
        <w:t xml:space="preserve"> Caregiver Area of Residence vs. Geographic Distribution of the Population</w:t>
      </w:r>
      <w:bookmarkEnd w:id="358"/>
    </w:p>
    <w:p w14:paraId="7EF759B2" w14:textId="77777777" w:rsidR="005E18DF" w:rsidRPr="00E869A4" w:rsidRDefault="005E18DF" w:rsidP="005E18DF"/>
    <w:p w14:paraId="43E5A8F9" w14:textId="77777777" w:rsidR="0029017E" w:rsidRPr="00E869A4" w:rsidRDefault="0029017E" w:rsidP="0029017E">
      <w:pPr>
        <w:rPr>
          <w:rFonts w:ascii="Times New Roman" w:hAnsi="Times New Roman" w:cs="Times New Roman"/>
        </w:rPr>
      </w:pPr>
      <w:r w:rsidRPr="00E869A4">
        <w:rPr>
          <w:rFonts w:ascii="Times New Roman" w:hAnsi="Times New Roman" w:cs="Times New Roman"/>
          <w:noProof/>
        </w:rPr>
        <w:drawing>
          <wp:inline distT="0" distB="0" distL="0" distR="0" wp14:anchorId="21009524" wp14:editId="2E663F06">
            <wp:extent cx="5718175" cy="2776855"/>
            <wp:effectExtent l="0" t="0" r="15875" b="234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0E32AE" w14:textId="77777777" w:rsidR="0029017E" w:rsidRPr="00E869A4" w:rsidRDefault="0029017E" w:rsidP="00A35FF8">
      <w:pPr>
        <w:rPr>
          <w:rFonts w:ascii="Times New Roman" w:hAnsi="Times New Roman" w:cs="Times New Roman"/>
          <w:szCs w:val="24"/>
        </w:rPr>
      </w:pPr>
    </w:p>
    <w:p w14:paraId="01E4E29B" w14:textId="25CECE09" w:rsidR="0052658B" w:rsidRPr="00E869A4" w:rsidRDefault="00FB747B" w:rsidP="00E905FF">
      <w:pPr>
        <w:rPr>
          <w:rFonts w:ascii="Times New Roman" w:hAnsi="Times New Roman" w:cs="Times New Roman"/>
          <w:szCs w:val="24"/>
        </w:rPr>
      </w:pPr>
      <w:r w:rsidRPr="00E869A4">
        <w:rPr>
          <w:rFonts w:ascii="Times New Roman" w:hAnsi="Times New Roman" w:cs="Times New Roman"/>
          <w:szCs w:val="24"/>
        </w:rPr>
        <w:lastRenderedPageBreak/>
        <w:t xml:space="preserve"> </w:t>
      </w:r>
      <w:r w:rsidR="00E53916" w:rsidRPr="00E869A4">
        <w:rPr>
          <w:rFonts w:ascii="Times New Roman" w:hAnsi="Times New Roman" w:cs="Times New Roman"/>
          <w:szCs w:val="24"/>
        </w:rPr>
        <w:t>On the other hand, most of their older care</w:t>
      </w:r>
      <w:r w:rsidR="001E4C32" w:rsidRPr="00E869A4">
        <w:rPr>
          <w:rFonts w:ascii="Times New Roman" w:hAnsi="Times New Roman" w:cs="Times New Roman"/>
          <w:szCs w:val="24"/>
        </w:rPr>
        <w:t>d-for relatives</w:t>
      </w:r>
      <w:r w:rsidR="00E53916" w:rsidRPr="00E869A4">
        <w:rPr>
          <w:rFonts w:ascii="Times New Roman" w:hAnsi="Times New Roman" w:cs="Times New Roman"/>
          <w:szCs w:val="24"/>
        </w:rPr>
        <w:t xml:space="preserve"> resided in South West Trinidad (36%) or North Central Trinidad (36%)</w:t>
      </w:r>
      <w:r w:rsidR="006428C0" w:rsidRPr="00E869A4">
        <w:rPr>
          <w:rFonts w:ascii="Times New Roman" w:hAnsi="Times New Roman" w:cs="Times New Roman"/>
          <w:szCs w:val="24"/>
        </w:rPr>
        <w:t>,</w:t>
      </w:r>
      <w:r w:rsidR="00E53916" w:rsidRPr="00E869A4">
        <w:rPr>
          <w:rFonts w:ascii="Times New Roman" w:hAnsi="Times New Roman" w:cs="Times New Roman"/>
          <w:szCs w:val="24"/>
        </w:rPr>
        <w:t xml:space="preserve"> with about 4% residing in Tobago (</w:t>
      </w:r>
      <w:r w:rsidR="0029017E" w:rsidRPr="00E869A4">
        <w:rPr>
          <w:rFonts w:ascii="Times New Roman" w:hAnsi="Times New Roman" w:cs="Times New Roman"/>
          <w:szCs w:val="24"/>
        </w:rPr>
        <w:t xml:space="preserve">Figure </w:t>
      </w:r>
      <w:r w:rsidR="00B54266" w:rsidRPr="00E869A4">
        <w:rPr>
          <w:rFonts w:ascii="Times New Roman" w:hAnsi="Times New Roman" w:cs="Times New Roman"/>
          <w:szCs w:val="24"/>
        </w:rPr>
        <w:t>11</w:t>
      </w:r>
      <w:r w:rsidR="00E53916" w:rsidRPr="00E869A4">
        <w:rPr>
          <w:rFonts w:ascii="Times New Roman" w:hAnsi="Times New Roman" w:cs="Times New Roman"/>
          <w:szCs w:val="24"/>
        </w:rPr>
        <w:t xml:space="preserve">). </w:t>
      </w:r>
      <w:r w:rsidR="00674C9B" w:rsidRPr="00E869A4">
        <w:rPr>
          <w:rFonts w:ascii="Times New Roman" w:hAnsi="Times New Roman" w:cs="Times New Roman"/>
          <w:szCs w:val="24"/>
        </w:rPr>
        <w:t xml:space="preserve">The lower figure for care recipients in Tobago is consistent with the small proportion of respondents from Tobago. </w:t>
      </w:r>
      <w:r w:rsidR="00E53916" w:rsidRPr="00E869A4">
        <w:rPr>
          <w:rFonts w:ascii="Times New Roman" w:hAnsi="Times New Roman" w:cs="Times New Roman"/>
          <w:szCs w:val="24"/>
        </w:rPr>
        <w:t>Very few of the family caregivers and older persons participating in the survey resided in the domain of the Eastern Regional Health Authority.</w:t>
      </w:r>
    </w:p>
    <w:p w14:paraId="0D046FEF" w14:textId="77777777" w:rsidR="00E905FF" w:rsidRPr="00E869A4" w:rsidRDefault="00E905FF" w:rsidP="00E905FF">
      <w:pPr>
        <w:rPr>
          <w:rFonts w:ascii="Times New Roman" w:hAnsi="Times New Roman" w:cs="Times New Roman"/>
          <w:szCs w:val="24"/>
        </w:rPr>
      </w:pPr>
    </w:p>
    <w:p w14:paraId="44D5FF78" w14:textId="5DCE5A9C" w:rsidR="0052658B" w:rsidRPr="00E869A4" w:rsidRDefault="0052658B" w:rsidP="009A398E">
      <w:pPr>
        <w:pStyle w:val="Caption"/>
        <w:tabs>
          <w:tab w:val="left" w:pos="4395"/>
          <w:tab w:val="center" w:pos="4963"/>
        </w:tabs>
        <w:ind w:firstLine="0"/>
        <w:rPr>
          <w:b/>
          <w:i w:val="0"/>
          <w:sz w:val="24"/>
        </w:rPr>
      </w:pPr>
      <w:bookmarkStart w:id="359" w:name="_Toc40436641"/>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11</w:t>
      </w:r>
      <w:r w:rsidR="0026235F" w:rsidRPr="00E869A4">
        <w:rPr>
          <w:b/>
          <w:i w:val="0"/>
          <w:sz w:val="24"/>
        </w:rPr>
        <w:fldChar w:fldCharType="end"/>
      </w:r>
      <w:r w:rsidR="00ED14A9" w:rsidRPr="00E869A4">
        <w:rPr>
          <w:b/>
          <w:i w:val="0"/>
          <w:sz w:val="24"/>
        </w:rPr>
        <w:t>:</w:t>
      </w:r>
      <w:r w:rsidRPr="00E869A4">
        <w:rPr>
          <w:b/>
          <w:i w:val="0"/>
          <w:sz w:val="24"/>
        </w:rPr>
        <w:t xml:space="preserve"> Care Recipient Area of Residence vs. Geographic Distribution </w:t>
      </w:r>
      <w:r w:rsidR="009B25A9" w:rsidRPr="00E869A4">
        <w:rPr>
          <w:b/>
          <w:i w:val="0"/>
          <w:sz w:val="24"/>
        </w:rPr>
        <w:t>of</w:t>
      </w:r>
      <w:r w:rsidRPr="00E869A4">
        <w:rPr>
          <w:b/>
          <w:i w:val="0"/>
          <w:sz w:val="24"/>
        </w:rPr>
        <w:t xml:space="preserve"> the Population</w:t>
      </w:r>
      <w:bookmarkEnd w:id="359"/>
    </w:p>
    <w:p w14:paraId="60B66A0C" w14:textId="77777777" w:rsidR="0052658B" w:rsidRPr="00E869A4" w:rsidRDefault="0052658B" w:rsidP="0029017E">
      <w:pPr>
        <w:jc w:val="center"/>
        <w:rPr>
          <w:rFonts w:ascii="Times New Roman" w:hAnsi="Times New Roman" w:cs="Times New Roman"/>
          <w:szCs w:val="24"/>
        </w:rPr>
      </w:pPr>
    </w:p>
    <w:p w14:paraId="4CDADBAE" w14:textId="77777777" w:rsidR="0029017E" w:rsidRPr="00E869A4" w:rsidRDefault="0029017E" w:rsidP="00E905FF">
      <w:pPr>
        <w:jc w:val="center"/>
        <w:rPr>
          <w:rFonts w:ascii="Times New Roman" w:hAnsi="Times New Roman" w:cs="Times New Roman"/>
        </w:rPr>
      </w:pPr>
      <w:r w:rsidRPr="00E869A4">
        <w:rPr>
          <w:rFonts w:ascii="Times New Roman" w:hAnsi="Times New Roman" w:cs="Times New Roman"/>
          <w:noProof/>
        </w:rPr>
        <w:drawing>
          <wp:inline distT="0" distB="0" distL="0" distR="0" wp14:anchorId="498A03F8" wp14:editId="0AAA2044">
            <wp:extent cx="4572000" cy="2527300"/>
            <wp:effectExtent l="0" t="0" r="19050" b="254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A4786A" w14:textId="77777777" w:rsidR="00E905FF" w:rsidRPr="00E869A4" w:rsidRDefault="00E905FF" w:rsidP="002F7F7C">
      <w:pPr>
        <w:pStyle w:val="Caption"/>
        <w:tabs>
          <w:tab w:val="left" w:pos="4395"/>
          <w:tab w:val="center" w:pos="4963"/>
        </w:tabs>
        <w:ind w:firstLine="0"/>
        <w:jc w:val="left"/>
        <w:rPr>
          <w:b/>
          <w:i w:val="0"/>
          <w:sz w:val="24"/>
        </w:rPr>
      </w:pPr>
    </w:p>
    <w:p w14:paraId="58479D97" w14:textId="0F695CE6" w:rsidR="002F7F7C" w:rsidRPr="00E869A4" w:rsidRDefault="002F7F7C" w:rsidP="002F7F7C">
      <w:pPr>
        <w:rPr>
          <w:rFonts w:ascii="Times New Roman" w:hAnsi="Times New Roman" w:cs="Times New Roman"/>
          <w:szCs w:val="24"/>
        </w:rPr>
      </w:pPr>
      <w:r w:rsidRPr="00E869A4">
        <w:rPr>
          <w:rFonts w:ascii="Times New Roman" w:hAnsi="Times New Roman" w:cs="Times New Roman"/>
          <w:szCs w:val="24"/>
        </w:rPr>
        <w:t xml:space="preserve">As seen in Figure 12, a significant proportion of the respondents (56%) lived in the same household as their older relative. This is consistent with the findings of Rawlins (2009) who found that 79% of older women in Trinidad owned their own homes but had relatives living with them. In an earlier study, Rawlins and colleagues (2008) found that most older persons lived with an adult child (51%), their spouse (32%), or other relatives (7.8%).  Only 14% of the survey respondents lived more than 30 minutes away from their older relative. Of these, a minority (1%) lived on a separate island. This is not surprising as geographical proximity was generally found to be a key determinant of care in the literature reviewed from other countries (Gruijters 2017; Tolkacheva et al. 2010; Wolff et al. 2006). Changing the area of residence of the older relative or the care recipient to ensure greater physical closeness is also a common coping strategy highlighted in the literature and in this study. Several of the survey participants in this study explained in the open-ended comment box that they moved their older relative in to live with them when they became too frail to live alone.  </w:t>
      </w:r>
    </w:p>
    <w:p w14:paraId="4BF2762A" w14:textId="59B376C9" w:rsidR="004304BD" w:rsidRPr="00E869A4" w:rsidRDefault="004304BD" w:rsidP="00171500">
      <w:pPr>
        <w:pStyle w:val="Caption"/>
        <w:tabs>
          <w:tab w:val="left" w:pos="4395"/>
          <w:tab w:val="center" w:pos="4963"/>
        </w:tabs>
        <w:ind w:firstLine="0"/>
        <w:rPr>
          <w:b/>
          <w:i w:val="0"/>
          <w:sz w:val="24"/>
        </w:rPr>
      </w:pPr>
      <w:bookmarkStart w:id="360" w:name="_Toc40436642"/>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12</w:t>
      </w:r>
      <w:r w:rsidR="0026235F" w:rsidRPr="00E869A4">
        <w:rPr>
          <w:b/>
          <w:i w:val="0"/>
          <w:sz w:val="24"/>
        </w:rPr>
        <w:fldChar w:fldCharType="end"/>
      </w:r>
      <w:r w:rsidR="00ED14A9" w:rsidRPr="00E869A4">
        <w:rPr>
          <w:b/>
          <w:i w:val="0"/>
          <w:sz w:val="24"/>
        </w:rPr>
        <w:t>:</w:t>
      </w:r>
      <w:r w:rsidRPr="00E869A4">
        <w:rPr>
          <w:b/>
          <w:i w:val="0"/>
          <w:sz w:val="24"/>
        </w:rPr>
        <w:t xml:space="preserve"> Difference Between Residence of Caregiver &amp; Older Relative</w:t>
      </w:r>
      <w:bookmarkEnd w:id="360"/>
    </w:p>
    <w:p w14:paraId="32F34407" w14:textId="77777777" w:rsidR="004304BD" w:rsidRPr="00E869A4" w:rsidRDefault="004304BD" w:rsidP="004304BD"/>
    <w:p w14:paraId="355AADC2" w14:textId="77777777" w:rsidR="0029017E" w:rsidRPr="00E869A4" w:rsidRDefault="0029017E" w:rsidP="0029017E">
      <w:pPr>
        <w:rPr>
          <w:rFonts w:ascii="Times New Roman" w:hAnsi="Times New Roman" w:cs="Times New Roman"/>
        </w:rPr>
      </w:pPr>
      <w:r w:rsidRPr="00E869A4">
        <w:rPr>
          <w:rFonts w:ascii="Times New Roman" w:hAnsi="Times New Roman" w:cs="Times New Roman"/>
          <w:noProof/>
        </w:rPr>
        <w:drawing>
          <wp:inline distT="0" distB="0" distL="0" distR="0" wp14:anchorId="19EAB5C0" wp14:editId="5C4B39C6">
            <wp:extent cx="5486400" cy="32004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4071C2" w14:textId="77777777" w:rsidR="001C0069" w:rsidRPr="00E869A4" w:rsidRDefault="001C0069" w:rsidP="003B73CA">
      <w:pPr>
        <w:rPr>
          <w:rFonts w:ascii="Times New Roman" w:hAnsi="Times New Roman" w:cs="Times New Roman"/>
          <w:szCs w:val="24"/>
        </w:rPr>
      </w:pPr>
    </w:p>
    <w:p w14:paraId="54F27AA4" w14:textId="77777777" w:rsidR="001C0069" w:rsidRPr="00E869A4" w:rsidRDefault="00E53916" w:rsidP="001C0069">
      <w:pPr>
        <w:rPr>
          <w:rFonts w:ascii="Times New Roman" w:hAnsi="Times New Roman" w:cs="Times New Roman"/>
          <w:szCs w:val="24"/>
        </w:rPr>
      </w:pPr>
      <w:r w:rsidRPr="00E869A4">
        <w:rPr>
          <w:rFonts w:ascii="Times New Roman" w:hAnsi="Times New Roman" w:cs="Times New Roman"/>
          <w:szCs w:val="24"/>
        </w:rPr>
        <w:t>About 41% of the caregivers were living with a partner: most of these persons (34%) were married and only 7% were in a common-law union</w:t>
      </w:r>
      <w:r w:rsidRPr="00E869A4">
        <w:rPr>
          <w:rStyle w:val="FootnoteReference"/>
          <w:rFonts w:ascii="Times New Roman" w:hAnsi="Times New Roman" w:cs="Times New Roman"/>
          <w:szCs w:val="24"/>
        </w:rPr>
        <w:footnoteReference w:id="75"/>
      </w:r>
      <w:r w:rsidRPr="00E869A4">
        <w:rPr>
          <w:rFonts w:ascii="Times New Roman" w:hAnsi="Times New Roman" w:cs="Times New Roman"/>
          <w:szCs w:val="24"/>
        </w:rPr>
        <w:t>. However, a considerable proportion (42%) revealed that they never had a spouse or common-law partner</w:t>
      </w:r>
      <w:r w:rsidRPr="00E869A4">
        <w:rPr>
          <w:rStyle w:val="FootnoteReference"/>
          <w:rFonts w:ascii="Times New Roman" w:hAnsi="Times New Roman" w:cs="Times New Roman"/>
          <w:szCs w:val="24"/>
        </w:rPr>
        <w:footnoteReference w:id="76"/>
      </w:r>
      <w:r w:rsidR="00DA567F" w:rsidRPr="00E869A4">
        <w:rPr>
          <w:rFonts w:ascii="Times New Roman" w:hAnsi="Times New Roman" w:cs="Times New Roman"/>
          <w:szCs w:val="24"/>
        </w:rPr>
        <w:t xml:space="preserve"> (</w:t>
      </w:r>
      <w:r w:rsidR="00A952D2" w:rsidRPr="00E869A4">
        <w:rPr>
          <w:rFonts w:ascii="Times New Roman" w:hAnsi="Times New Roman" w:cs="Times New Roman"/>
          <w:szCs w:val="24"/>
        </w:rPr>
        <w:t xml:space="preserve">see </w:t>
      </w:r>
      <w:r w:rsidR="0029017E" w:rsidRPr="00E869A4">
        <w:rPr>
          <w:rFonts w:ascii="Times New Roman" w:hAnsi="Times New Roman" w:cs="Times New Roman"/>
          <w:szCs w:val="24"/>
        </w:rPr>
        <w:t xml:space="preserve">Figure </w:t>
      </w:r>
      <w:r w:rsidR="00A952D2" w:rsidRPr="00E869A4">
        <w:rPr>
          <w:rFonts w:ascii="Times New Roman" w:hAnsi="Times New Roman" w:cs="Times New Roman"/>
          <w:szCs w:val="24"/>
        </w:rPr>
        <w:t>13 below</w:t>
      </w:r>
      <w:r w:rsidR="003B73CA" w:rsidRPr="00E869A4">
        <w:rPr>
          <w:rFonts w:ascii="Times New Roman" w:hAnsi="Times New Roman" w:cs="Times New Roman"/>
          <w:szCs w:val="24"/>
        </w:rPr>
        <w:t xml:space="preserve">). </w:t>
      </w:r>
      <w:r w:rsidR="00FB747B" w:rsidRPr="00E869A4">
        <w:rPr>
          <w:rFonts w:ascii="Times New Roman" w:hAnsi="Times New Roman" w:cs="Times New Roman"/>
        </w:rPr>
        <w:t>Several of the participants had different and multiple care challenges. A</w:t>
      </w:r>
      <w:r w:rsidRPr="00E869A4">
        <w:rPr>
          <w:rFonts w:ascii="Times New Roman" w:hAnsi="Times New Roman" w:cs="Times New Roman"/>
          <w:szCs w:val="24"/>
        </w:rPr>
        <w:t>bout 56% of the respondents</w:t>
      </w:r>
      <w:r w:rsidR="00674C9B" w:rsidRPr="00E869A4">
        <w:rPr>
          <w:rFonts w:ascii="Times New Roman" w:hAnsi="Times New Roman" w:cs="Times New Roman"/>
          <w:szCs w:val="24"/>
        </w:rPr>
        <w:t xml:space="preserve"> (</w:t>
      </w:r>
      <w:r w:rsidR="00674C9B" w:rsidRPr="00E869A4">
        <w:rPr>
          <w:rFonts w:ascii="Times New Roman" w:hAnsi="Times New Roman" w:cs="Times New Roman"/>
        </w:rPr>
        <w:t>n=136; N=241)</w:t>
      </w:r>
      <w:r w:rsidRPr="00E869A4">
        <w:rPr>
          <w:rFonts w:ascii="Times New Roman" w:hAnsi="Times New Roman" w:cs="Times New Roman"/>
          <w:szCs w:val="24"/>
        </w:rPr>
        <w:t xml:space="preserve"> cared for at least </w:t>
      </w:r>
      <w:r w:rsidR="00171500" w:rsidRPr="00E869A4">
        <w:rPr>
          <w:rFonts w:ascii="Times New Roman" w:hAnsi="Times New Roman" w:cs="Times New Roman"/>
          <w:szCs w:val="24"/>
        </w:rPr>
        <w:t>two (</w:t>
      </w:r>
      <w:r w:rsidRPr="00E869A4">
        <w:rPr>
          <w:rFonts w:ascii="Times New Roman" w:hAnsi="Times New Roman" w:cs="Times New Roman"/>
          <w:szCs w:val="24"/>
        </w:rPr>
        <w:t>2</w:t>
      </w:r>
      <w:r w:rsidR="00171500" w:rsidRPr="00E869A4">
        <w:rPr>
          <w:rFonts w:ascii="Times New Roman" w:hAnsi="Times New Roman" w:cs="Times New Roman"/>
          <w:szCs w:val="24"/>
        </w:rPr>
        <w:t>)</w:t>
      </w:r>
      <w:r w:rsidRPr="00E869A4">
        <w:rPr>
          <w:rFonts w:ascii="Times New Roman" w:hAnsi="Times New Roman" w:cs="Times New Roman"/>
          <w:szCs w:val="24"/>
        </w:rPr>
        <w:t xml:space="preserve"> other relatives at the time that they were caring for an older member of their family. Within this group, 23% cared</w:t>
      </w:r>
      <w:r w:rsidR="00674C9B" w:rsidRPr="00E869A4">
        <w:rPr>
          <w:rFonts w:ascii="Times New Roman" w:hAnsi="Times New Roman" w:cs="Times New Roman"/>
          <w:szCs w:val="24"/>
        </w:rPr>
        <w:t xml:space="preserve"> (</w:t>
      </w:r>
      <w:r w:rsidR="00674C9B" w:rsidRPr="00E869A4">
        <w:rPr>
          <w:rFonts w:ascii="Times New Roman" w:hAnsi="Times New Roman" w:cs="Times New Roman"/>
        </w:rPr>
        <w:t>n = 31)</w:t>
      </w:r>
      <w:r w:rsidRPr="00E869A4">
        <w:rPr>
          <w:rFonts w:ascii="Times New Roman" w:hAnsi="Times New Roman" w:cs="Times New Roman"/>
          <w:szCs w:val="24"/>
        </w:rPr>
        <w:t xml:space="preserve"> for </w:t>
      </w:r>
      <w:r w:rsidR="00171500" w:rsidRPr="00E869A4">
        <w:rPr>
          <w:rFonts w:ascii="Times New Roman" w:hAnsi="Times New Roman" w:cs="Times New Roman"/>
          <w:szCs w:val="24"/>
        </w:rPr>
        <w:t>three (</w:t>
      </w:r>
      <w:r w:rsidRPr="00E869A4">
        <w:rPr>
          <w:rFonts w:ascii="Times New Roman" w:hAnsi="Times New Roman" w:cs="Times New Roman"/>
          <w:szCs w:val="24"/>
        </w:rPr>
        <w:t>3</w:t>
      </w:r>
      <w:r w:rsidR="00171500" w:rsidRPr="00E869A4">
        <w:rPr>
          <w:rFonts w:ascii="Times New Roman" w:hAnsi="Times New Roman" w:cs="Times New Roman"/>
          <w:szCs w:val="24"/>
        </w:rPr>
        <w:t>)</w:t>
      </w:r>
      <w:r w:rsidRPr="00E869A4">
        <w:rPr>
          <w:rFonts w:ascii="Times New Roman" w:hAnsi="Times New Roman" w:cs="Times New Roman"/>
          <w:szCs w:val="24"/>
        </w:rPr>
        <w:t xml:space="preserve"> or more other persons.</w:t>
      </w:r>
      <w:r w:rsidR="00171500" w:rsidRPr="00E869A4">
        <w:rPr>
          <w:rFonts w:ascii="Times New Roman" w:hAnsi="Times New Roman" w:cs="Times New Roman"/>
          <w:szCs w:val="24"/>
        </w:rPr>
        <w:t xml:space="preserve"> </w:t>
      </w:r>
    </w:p>
    <w:p w14:paraId="465C4F3F" w14:textId="77777777" w:rsidR="001C0069" w:rsidRPr="00E869A4" w:rsidRDefault="001C0069" w:rsidP="001C0069">
      <w:pPr>
        <w:rPr>
          <w:rFonts w:ascii="Times New Roman" w:hAnsi="Times New Roman" w:cs="Times New Roman"/>
          <w:szCs w:val="24"/>
        </w:rPr>
      </w:pPr>
    </w:p>
    <w:p w14:paraId="72197034" w14:textId="7557DA3D" w:rsidR="001C0069" w:rsidRPr="00E869A4" w:rsidRDefault="001C0069" w:rsidP="001C0069">
      <w:pPr>
        <w:rPr>
          <w:rFonts w:ascii="Times New Roman" w:hAnsi="Times New Roman" w:cs="Times New Roman"/>
          <w:szCs w:val="24"/>
        </w:rPr>
      </w:pPr>
      <w:r w:rsidRPr="00E869A4">
        <w:rPr>
          <w:rFonts w:ascii="Times New Roman" w:hAnsi="Times New Roman" w:cs="Times New Roman"/>
          <w:szCs w:val="24"/>
        </w:rPr>
        <w:t xml:space="preserve">Generally, the respondents were highly educated with the majority of the caregivers (about 55%) attaining at least a Bachelor’s degree (see Figure 14 below). This finding is consistent with the literacy rate in T&amp;T, which was reported as 98.8% for the total population, and the school life expectancy for the population, which is about 13 years for females and 12 years for males from primary to tertiary education (CIA 2015). Also, these results are reflective of the fact that at the time of the survey, T&amp;T provided free </w:t>
      </w:r>
      <w:r w:rsidRPr="00E869A4">
        <w:rPr>
          <w:rFonts w:ascii="Times New Roman" w:hAnsi="Times New Roman" w:cs="Times New Roman"/>
          <w:szCs w:val="24"/>
        </w:rPr>
        <w:lastRenderedPageBreak/>
        <w:t xml:space="preserve">undergraduate education at UWI and other local tertiary institutions for qualifying nationals via the Government Assistance for Tuition Expenses (GATE). </w:t>
      </w:r>
    </w:p>
    <w:p w14:paraId="03F555EB" w14:textId="5A62B4FD" w:rsidR="00756D14" w:rsidRPr="00E869A4" w:rsidRDefault="00756D14">
      <w:pPr>
        <w:rPr>
          <w:b/>
          <w:iCs/>
        </w:rPr>
      </w:pPr>
    </w:p>
    <w:p w14:paraId="2BA83C1E" w14:textId="6F77959C" w:rsidR="004304BD" w:rsidRPr="00E869A4" w:rsidRDefault="004304BD" w:rsidP="00171500">
      <w:pPr>
        <w:pStyle w:val="Caption"/>
        <w:tabs>
          <w:tab w:val="left" w:pos="4395"/>
          <w:tab w:val="center" w:pos="4963"/>
        </w:tabs>
        <w:ind w:firstLine="0"/>
        <w:rPr>
          <w:b/>
          <w:i w:val="0"/>
          <w:sz w:val="24"/>
        </w:rPr>
      </w:pPr>
      <w:bookmarkStart w:id="361" w:name="_Toc40436643"/>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13</w:t>
      </w:r>
      <w:r w:rsidR="0026235F" w:rsidRPr="00E869A4">
        <w:rPr>
          <w:b/>
          <w:i w:val="0"/>
          <w:sz w:val="24"/>
        </w:rPr>
        <w:fldChar w:fldCharType="end"/>
      </w:r>
      <w:r w:rsidR="00ED14A9" w:rsidRPr="00E869A4">
        <w:rPr>
          <w:b/>
          <w:i w:val="0"/>
          <w:sz w:val="24"/>
        </w:rPr>
        <w:t>:</w:t>
      </w:r>
      <w:r w:rsidRPr="00E869A4">
        <w:rPr>
          <w:b/>
          <w:i w:val="0"/>
          <w:sz w:val="24"/>
        </w:rPr>
        <w:t xml:space="preserve"> Caregiver Relationship Status</w:t>
      </w:r>
      <w:bookmarkEnd w:id="361"/>
    </w:p>
    <w:p w14:paraId="2BE2539F" w14:textId="77777777" w:rsidR="004304BD" w:rsidRPr="00E869A4" w:rsidRDefault="004304BD" w:rsidP="004304BD"/>
    <w:p w14:paraId="3F719E3E" w14:textId="77777777" w:rsidR="0029017E" w:rsidRPr="00E869A4" w:rsidRDefault="0029017E" w:rsidP="0029017E">
      <w:pPr>
        <w:pStyle w:val="Caption"/>
        <w:spacing w:line="360" w:lineRule="auto"/>
      </w:pPr>
      <w:r w:rsidRPr="00E869A4">
        <w:rPr>
          <w:noProof/>
        </w:rPr>
        <w:drawing>
          <wp:inline distT="0" distB="0" distL="0" distR="0" wp14:anchorId="04D0857F" wp14:editId="2AC8D028">
            <wp:extent cx="5943600" cy="2927350"/>
            <wp:effectExtent l="0" t="0" r="1905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E869A4">
        <w:fldChar w:fldCharType="begin"/>
      </w:r>
      <w:r w:rsidRPr="00E869A4">
        <w:instrText xml:space="preserve"> XE "Age of Caregivers" </w:instrText>
      </w:r>
      <w:r w:rsidRPr="00E869A4">
        <w:fldChar w:fldCharType="end"/>
      </w:r>
    </w:p>
    <w:p w14:paraId="02E0CCE2" w14:textId="77777777" w:rsidR="009C4720" w:rsidRPr="00E869A4" w:rsidRDefault="009C4720">
      <w:pPr>
        <w:rPr>
          <w:b/>
          <w:iCs/>
        </w:rPr>
      </w:pPr>
    </w:p>
    <w:p w14:paraId="19750392" w14:textId="4DE1EE16" w:rsidR="004304BD" w:rsidRPr="00E869A4" w:rsidRDefault="004304BD" w:rsidP="00171500">
      <w:pPr>
        <w:pStyle w:val="Caption"/>
        <w:tabs>
          <w:tab w:val="left" w:pos="4395"/>
          <w:tab w:val="center" w:pos="4963"/>
        </w:tabs>
        <w:ind w:firstLine="0"/>
        <w:rPr>
          <w:b/>
          <w:i w:val="0"/>
          <w:sz w:val="24"/>
        </w:rPr>
      </w:pPr>
      <w:bookmarkStart w:id="362" w:name="_Toc40436644"/>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14</w:t>
      </w:r>
      <w:r w:rsidR="0026235F" w:rsidRPr="00E869A4">
        <w:rPr>
          <w:b/>
          <w:i w:val="0"/>
          <w:sz w:val="24"/>
        </w:rPr>
        <w:fldChar w:fldCharType="end"/>
      </w:r>
      <w:r w:rsidR="00ED14A9" w:rsidRPr="00E869A4">
        <w:rPr>
          <w:b/>
          <w:i w:val="0"/>
          <w:sz w:val="24"/>
        </w:rPr>
        <w:t>:</w:t>
      </w:r>
      <w:r w:rsidRPr="00E869A4">
        <w:rPr>
          <w:b/>
          <w:i w:val="0"/>
          <w:sz w:val="24"/>
        </w:rPr>
        <w:t xml:space="preserve"> Caregiver Highest Level of Education</w:t>
      </w:r>
      <w:bookmarkEnd w:id="362"/>
    </w:p>
    <w:p w14:paraId="6562536B" w14:textId="77777777" w:rsidR="004304BD" w:rsidRPr="00E869A4" w:rsidRDefault="004304BD" w:rsidP="004304BD"/>
    <w:p w14:paraId="53441CCC" w14:textId="77777777" w:rsidR="00542E4A" w:rsidRPr="00E869A4" w:rsidRDefault="00542E4A" w:rsidP="00542E4A">
      <w:pPr>
        <w:jc w:val="center"/>
        <w:rPr>
          <w:rFonts w:ascii="Times New Roman" w:hAnsi="Times New Roman" w:cs="Times New Roman"/>
        </w:rPr>
      </w:pPr>
      <w:r w:rsidRPr="00E869A4">
        <w:rPr>
          <w:rFonts w:ascii="Times New Roman" w:hAnsi="Times New Roman" w:cs="Times New Roman"/>
          <w:noProof/>
        </w:rPr>
        <w:drawing>
          <wp:inline distT="0" distB="0" distL="0" distR="0" wp14:anchorId="7711AA61" wp14:editId="5EA0B8BA">
            <wp:extent cx="5727700" cy="2870200"/>
            <wp:effectExtent l="0" t="0" r="2540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1CE65D" w14:textId="154996D5" w:rsidR="0045260E" w:rsidRPr="00E869A4" w:rsidRDefault="00E53916">
      <w:pPr>
        <w:rPr>
          <w:rFonts w:ascii="Times New Roman" w:hAnsi="Times New Roman" w:cs="Times New Roman"/>
          <w:szCs w:val="24"/>
        </w:rPr>
      </w:pPr>
      <w:r w:rsidRPr="00E869A4">
        <w:rPr>
          <w:rFonts w:ascii="Times New Roman" w:hAnsi="Times New Roman" w:cs="Times New Roman"/>
          <w:szCs w:val="24"/>
        </w:rPr>
        <w:lastRenderedPageBreak/>
        <w:t>A significant proportion of the respondents (52%) were engaged in full time employment</w:t>
      </w:r>
      <w:r w:rsidR="00E27306" w:rsidRPr="00E869A4">
        <w:rPr>
          <w:rFonts w:ascii="Times New Roman" w:hAnsi="Times New Roman" w:cs="Times New Roman"/>
          <w:szCs w:val="24"/>
        </w:rPr>
        <w:t xml:space="preserve">. This may have </w:t>
      </w:r>
      <w:r w:rsidR="00171500" w:rsidRPr="00E869A4">
        <w:rPr>
          <w:rFonts w:ascii="Times New Roman" w:hAnsi="Times New Roman" w:cs="Times New Roman"/>
          <w:szCs w:val="24"/>
        </w:rPr>
        <w:t>affected</w:t>
      </w:r>
      <w:r w:rsidR="00E27306" w:rsidRPr="00E869A4">
        <w:rPr>
          <w:rFonts w:ascii="Times New Roman" w:hAnsi="Times New Roman" w:cs="Times New Roman"/>
          <w:szCs w:val="24"/>
        </w:rPr>
        <w:t xml:space="preserve"> the type of care tasks that they engaged in and the frequency with which they provided care</w:t>
      </w:r>
      <w:r w:rsidRPr="00E869A4">
        <w:rPr>
          <w:rFonts w:ascii="Times New Roman" w:hAnsi="Times New Roman" w:cs="Times New Roman"/>
          <w:szCs w:val="24"/>
        </w:rPr>
        <w:t xml:space="preserve">. </w:t>
      </w:r>
      <w:r w:rsidR="00171500" w:rsidRPr="00E869A4">
        <w:rPr>
          <w:rFonts w:ascii="Times New Roman" w:hAnsi="Times New Roman" w:cs="Times New Roman"/>
          <w:szCs w:val="24"/>
        </w:rPr>
        <w:t>As seen in Figure 15 below, t</w:t>
      </w:r>
      <w:r w:rsidRPr="00E869A4">
        <w:rPr>
          <w:rFonts w:ascii="Times New Roman" w:hAnsi="Times New Roman" w:cs="Times New Roman"/>
          <w:szCs w:val="24"/>
        </w:rPr>
        <w:t>he largest category of employed family caregivers (18%) worked about 31 minutes to 1 hour driv</w:t>
      </w:r>
      <w:r w:rsidR="003B73CA" w:rsidRPr="00E869A4">
        <w:rPr>
          <w:rFonts w:ascii="Times New Roman" w:hAnsi="Times New Roman" w:cs="Times New Roman"/>
          <w:szCs w:val="24"/>
        </w:rPr>
        <w:t>ing distance</w:t>
      </w:r>
      <w:r w:rsidRPr="00E869A4">
        <w:rPr>
          <w:rFonts w:ascii="Times New Roman" w:hAnsi="Times New Roman" w:cs="Times New Roman"/>
          <w:szCs w:val="24"/>
        </w:rPr>
        <w:t xml:space="preserve"> away from their older</w:t>
      </w:r>
      <w:r w:rsidR="00171500" w:rsidRPr="00E869A4">
        <w:rPr>
          <w:rFonts w:ascii="Times New Roman" w:hAnsi="Times New Roman" w:cs="Times New Roman"/>
          <w:szCs w:val="24"/>
        </w:rPr>
        <w:t xml:space="preserve"> relative’s place of residence</w:t>
      </w:r>
      <w:r w:rsidRPr="00E869A4">
        <w:rPr>
          <w:rFonts w:ascii="Times New Roman" w:hAnsi="Times New Roman" w:cs="Times New Roman"/>
          <w:szCs w:val="24"/>
        </w:rPr>
        <w:t xml:space="preserve">.  </w:t>
      </w:r>
    </w:p>
    <w:p w14:paraId="432C1A02" w14:textId="77777777" w:rsidR="006245F2" w:rsidRPr="00E869A4" w:rsidRDefault="006245F2">
      <w:pPr>
        <w:rPr>
          <w:b/>
          <w:iCs/>
        </w:rPr>
      </w:pPr>
    </w:p>
    <w:p w14:paraId="30B26BD3" w14:textId="63083B90" w:rsidR="004304BD" w:rsidRPr="00E869A4" w:rsidRDefault="004304BD" w:rsidP="002B30BA">
      <w:pPr>
        <w:pStyle w:val="Caption"/>
        <w:tabs>
          <w:tab w:val="left" w:pos="4395"/>
          <w:tab w:val="center" w:pos="4963"/>
        </w:tabs>
        <w:ind w:firstLine="0"/>
        <w:rPr>
          <w:b/>
          <w:i w:val="0"/>
          <w:sz w:val="24"/>
        </w:rPr>
      </w:pPr>
      <w:bookmarkStart w:id="363" w:name="_Toc40436645"/>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15</w:t>
      </w:r>
      <w:r w:rsidR="0026235F" w:rsidRPr="00E869A4">
        <w:rPr>
          <w:b/>
          <w:i w:val="0"/>
          <w:sz w:val="24"/>
        </w:rPr>
        <w:fldChar w:fldCharType="end"/>
      </w:r>
      <w:r w:rsidR="00ED14A9" w:rsidRPr="00E869A4">
        <w:rPr>
          <w:b/>
          <w:i w:val="0"/>
          <w:sz w:val="24"/>
        </w:rPr>
        <w:t>:</w:t>
      </w:r>
      <w:r w:rsidRPr="00E869A4">
        <w:rPr>
          <w:b/>
          <w:i w:val="0"/>
          <w:sz w:val="24"/>
        </w:rPr>
        <w:t xml:space="preserve"> Distance Between Caregiver's Work &amp; Older Relative's Residence</w:t>
      </w:r>
      <w:bookmarkEnd w:id="363"/>
    </w:p>
    <w:p w14:paraId="08EBFD27" w14:textId="77777777" w:rsidR="004304BD" w:rsidRPr="00E869A4" w:rsidRDefault="004304BD" w:rsidP="004304BD"/>
    <w:p w14:paraId="291EF166" w14:textId="77777777" w:rsidR="00542E4A" w:rsidRPr="00E869A4" w:rsidRDefault="00542E4A" w:rsidP="00542E4A">
      <w:pPr>
        <w:jc w:val="center"/>
        <w:rPr>
          <w:rFonts w:ascii="Times New Roman" w:hAnsi="Times New Roman" w:cs="Times New Roman"/>
        </w:rPr>
      </w:pPr>
      <w:r w:rsidRPr="00E869A4">
        <w:rPr>
          <w:rFonts w:ascii="Times New Roman" w:hAnsi="Times New Roman" w:cs="Times New Roman"/>
          <w:noProof/>
        </w:rPr>
        <w:drawing>
          <wp:inline distT="0" distB="0" distL="0" distR="0" wp14:anchorId="231F8E2E" wp14:editId="0C9E3010">
            <wp:extent cx="5486400" cy="32004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5781E8" w14:textId="77777777" w:rsidR="00E53916" w:rsidRPr="00E869A4" w:rsidRDefault="00E53916" w:rsidP="00A35FF8">
      <w:pPr>
        <w:rPr>
          <w:rFonts w:ascii="Times New Roman" w:hAnsi="Times New Roman" w:cs="Times New Roman"/>
          <w:szCs w:val="24"/>
        </w:rPr>
      </w:pPr>
    </w:p>
    <w:p w14:paraId="191F7FB2" w14:textId="50DB2202" w:rsidR="00E53916" w:rsidRPr="00E869A4" w:rsidRDefault="009C4720" w:rsidP="005C449C">
      <w:pPr>
        <w:pStyle w:val="Heading3"/>
      </w:pPr>
      <w:bookmarkStart w:id="364" w:name="_Toc492959478"/>
      <w:bookmarkStart w:id="365" w:name="_Toc40436567"/>
      <w:r w:rsidRPr="00E869A4">
        <w:t>9</w:t>
      </w:r>
      <w:r w:rsidR="00665AEB" w:rsidRPr="00E869A4">
        <w:t>.2.</w:t>
      </w:r>
      <w:r w:rsidR="004E51C5" w:rsidRPr="00E869A4">
        <w:t>2</w:t>
      </w:r>
      <w:r w:rsidR="00665AEB" w:rsidRPr="00E869A4">
        <w:t xml:space="preserve">     </w:t>
      </w:r>
      <w:r w:rsidR="009E2738" w:rsidRPr="00E869A4">
        <w:t>Care recipient</w:t>
      </w:r>
      <w:r w:rsidR="00E53916" w:rsidRPr="00E869A4">
        <w:t xml:space="preserve"> Characteristics</w:t>
      </w:r>
      <w:bookmarkEnd w:id="364"/>
      <w:bookmarkEnd w:id="365"/>
    </w:p>
    <w:p w14:paraId="68727E0B" w14:textId="77777777" w:rsidR="00E53916" w:rsidRPr="00E869A4" w:rsidRDefault="00E53916" w:rsidP="00A35FF8">
      <w:pPr>
        <w:rPr>
          <w:rFonts w:ascii="Times New Roman" w:hAnsi="Times New Roman" w:cs="Times New Roman"/>
        </w:rPr>
      </w:pPr>
    </w:p>
    <w:p w14:paraId="0CAD7863" w14:textId="14B62BFB" w:rsidR="0045260E" w:rsidRPr="00E869A4" w:rsidRDefault="00E53916">
      <w:pPr>
        <w:rPr>
          <w:rFonts w:ascii="Times New Roman" w:eastAsiaTheme="majorEastAsia" w:hAnsi="Times New Roman" w:cs="Times New Roman"/>
          <w:b/>
          <w:bCs/>
          <w:szCs w:val="26"/>
          <w:u w:val="single"/>
        </w:rPr>
      </w:pPr>
      <w:r w:rsidRPr="00E869A4">
        <w:rPr>
          <w:rFonts w:ascii="Times New Roman" w:hAnsi="Times New Roman" w:cs="Times New Roman"/>
          <w:szCs w:val="24"/>
        </w:rPr>
        <w:t>Older female relatives were more likely to receive family care (67%) than males.</w:t>
      </w:r>
      <w:r w:rsidR="006B2DE9" w:rsidRPr="00E869A4">
        <w:rPr>
          <w:rFonts w:ascii="Times New Roman" w:hAnsi="Times New Roman" w:cs="Times New Roman"/>
          <w:szCs w:val="24"/>
        </w:rPr>
        <w:t xml:space="preserve"> This may be largely a reflection of the longer life expectancy of women in </w:t>
      </w:r>
      <w:r w:rsidR="008C76CE" w:rsidRPr="00E869A4">
        <w:rPr>
          <w:rFonts w:ascii="Times New Roman" w:eastAsiaTheme="majorEastAsia" w:hAnsi="Times New Roman" w:cs="Times New Roman"/>
          <w:bCs/>
          <w:szCs w:val="26"/>
        </w:rPr>
        <w:t>T&amp;T</w:t>
      </w:r>
      <w:r w:rsidR="006B2DE9" w:rsidRPr="00E869A4">
        <w:rPr>
          <w:rFonts w:ascii="Times New Roman" w:hAnsi="Times New Roman" w:cs="Times New Roman"/>
          <w:szCs w:val="24"/>
        </w:rPr>
        <w:t xml:space="preserve"> (74 years) relative to men (67 years). </w:t>
      </w:r>
      <w:r w:rsidRPr="00E869A4">
        <w:rPr>
          <w:rFonts w:ascii="Times New Roman" w:hAnsi="Times New Roman" w:cs="Times New Roman"/>
          <w:szCs w:val="24"/>
        </w:rPr>
        <w:t xml:space="preserve">Most respondents (32%) cared for an older grandmother and 30% cared for their mother. Support to fathers (14%) and </w:t>
      </w:r>
      <w:r w:rsidR="002B30BA" w:rsidRPr="00E869A4">
        <w:rPr>
          <w:rFonts w:ascii="Times New Roman" w:hAnsi="Times New Roman" w:cs="Times New Roman"/>
          <w:szCs w:val="24"/>
        </w:rPr>
        <w:t>grandfathers (5%) were</w:t>
      </w:r>
      <w:r w:rsidRPr="00E869A4">
        <w:rPr>
          <w:rFonts w:ascii="Times New Roman" w:hAnsi="Times New Roman" w:cs="Times New Roman"/>
          <w:szCs w:val="24"/>
        </w:rPr>
        <w:t xml:space="preserve"> less common. A few persons (4%) indicated that they cared for an in-law (4%), older friend (4%) or aunt (3%). Interestingly, only a small percentage (2%) cared for an older husband and none of the respondents provided care support to their wife. These findings may partly be a function of the average age of the sample population: most respondents </w:t>
      </w:r>
      <w:r w:rsidR="003B73CA" w:rsidRPr="00E869A4">
        <w:rPr>
          <w:rFonts w:ascii="Times New Roman" w:hAnsi="Times New Roman" w:cs="Times New Roman"/>
          <w:szCs w:val="24"/>
        </w:rPr>
        <w:t>who</w:t>
      </w:r>
      <w:r w:rsidR="00A46151" w:rsidRPr="00E869A4">
        <w:rPr>
          <w:rFonts w:ascii="Times New Roman" w:hAnsi="Times New Roman" w:cs="Times New Roman"/>
          <w:szCs w:val="24"/>
        </w:rPr>
        <w:t xml:space="preserve"> </w:t>
      </w:r>
      <w:r w:rsidRPr="00E869A4">
        <w:rPr>
          <w:rFonts w:ascii="Times New Roman" w:hAnsi="Times New Roman" w:cs="Times New Roman"/>
          <w:szCs w:val="24"/>
        </w:rPr>
        <w:t xml:space="preserve">completed the online version of the survey were, not surprisingly, relatively young family carers; older carers who are more likely to be caring for a spouse or partner may not have accessed the survey. </w:t>
      </w:r>
      <w:bookmarkStart w:id="366" w:name="_Toc492959479"/>
      <w:r w:rsidR="0045260E" w:rsidRPr="00E869A4">
        <w:br w:type="page"/>
      </w:r>
    </w:p>
    <w:p w14:paraId="3D449D84" w14:textId="07CB5AC8" w:rsidR="00E53916" w:rsidRPr="00E869A4" w:rsidRDefault="009C4720" w:rsidP="00175C3E">
      <w:pPr>
        <w:pStyle w:val="Heading2"/>
      </w:pPr>
      <w:bookmarkStart w:id="367" w:name="_Toc40436568"/>
      <w:r w:rsidRPr="00E869A4">
        <w:lastRenderedPageBreak/>
        <w:t>9</w:t>
      </w:r>
      <w:r w:rsidR="00665AEB" w:rsidRPr="00E869A4">
        <w:t xml:space="preserve">.3 </w:t>
      </w:r>
      <w:r w:rsidR="00C764DF" w:rsidRPr="00E869A4">
        <w:t>FAMILY CARE ACTIVITIES</w:t>
      </w:r>
      <w:bookmarkEnd w:id="366"/>
      <w:bookmarkEnd w:id="367"/>
    </w:p>
    <w:p w14:paraId="0C5BA600" w14:textId="77777777" w:rsidR="00F1479D" w:rsidRPr="00E869A4" w:rsidRDefault="00F1479D" w:rsidP="00F1479D"/>
    <w:p w14:paraId="2AFCD0AE" w14:textId="10CD2CD3" w:rsidR="0033272B" w:rsidRPr="00E869A4" w:rsidRDefault="0033272B" w:rsidP="00F1479D">
      <w:r w:rsidRPr="00E869A4">
        <w:t xml:space="preserve">This section presents the survey results that were specific to the caregiving activities of the respondents i.e. time spent caring and the personal and instrumental care tasks that carers were engaged in. It also describes the level of dependency of the cared-for persons which is indicative of the intensity of care that was required. </w:t>
      </w:r>
    </w:p>
    <w:p w14:paraId="2A9C1B0C" w14:textId="77777777" w:rsidR="0033272B" w:rsidRPr="00E869A4" w:rsidRDefault="0033272B" w:rsidP="00F1479D"/>
    <w:p w14:paraId="32FC07B2" w14:textId="34C04C52" w:rsidR="00E53916" w:rsidRPr="00E869A4" w:rsidRDefault="009C4720" w:rsidP="005C449C">
      <w:pPr>
        <w:pStyle w:val="Heading3"/>
      </w:pPr>
      <w:bookmarkStart w:id="368" w:name="_Toc492959480"/>
      <w:bookmarkStart w:id="369" w:name="_Toc40436569"/>
      <w:r w:rsidRPr="00E869A4">
        <w:t>9</w:t>
      </w:r>
      <w:r w:rsidR="00665AEB" w:rsidRPr="00E869A4">
        <w:t xml:space="preserve">.3.1     </w:t>
      </w:r>
      <w:r w:rsidR="00E53916" w:rsidRPr="00E869A4">
        <w:t>Time Spent Caring</w:t>
      </w:r>
      <w:bookmarkEnd w:id="368"/>
      <w:bookmarkEnd w:id="369"/>
    </w:p>
    <w:p w14:paraId="09C00C43" w14:textId="77777777" w:rsidR="00E53916" w:rsidRPr="00E869A4" w:rsidRDefault="00E53916" w:rsidP="00A35FF8">
      <w:pPr>
        <w:rPr>
          <w:rFonts w:ascii="Times New Roman" w:hAnsi="Times New Roman" w:cs="Times New Roman"/>
          <w:szCs w:val="24"/>
        </w:rPr>
      </w:pPr>
    </w:p>
    <w:p w14:paraId="134E5A00" w14:textId="61E0F80C" w:rsidR="00542E4A" w:rsidRPr="00E869A4" w:rsidRDefault="00421BBA" w:rsidP="00F876BD">
      <w:pPr>
        <w:rPr>
          <w:rFonts w:ascii="Times New Roman" w:hAnsi="Times New Roman" w:cs="Times New Roman"/>
          <w:szCs w:val="24"/>
        </w:rPr>
      </w:pPr>
      <w:r w:rsidRPr="00E869A4">
        <w:rPr>
          <w:rFonts w:ascii="Times New Roman" w:hAnsi="Times New Roman" w:cs="Times New Roman"/>
          <w:szCs w:val="24"/>
        </w:rPr>
        <w:t>As seen in Figure 16, m</w:t>
      </w:r>
      <w:r w:rsidR="00E53916" w:rsidRPr="00E869A4">
        <w:rPr>
          <w:rFonts w:ascii="Times New Roman" w:hAnsi="Times New Roman" w:cs="Times New Roman"/>
          <w:szCs w:val="24"/>
        </w:rPr>
        <w:t>ost respondents (74%) provided care for more than 3 hours a week. Of these, a noticeable proportion of the respondents (19%) helped their relati</w:t>
      </w:r>
      <w:r w:rsidRPr="00E869A4">
        <w:rPr>
          <w:rFonts w:ascii="Times New Roman" w:hAnsi="Times New Roman" w:cs="Times New Roman"/>
          <w:szCs w:val="24"/>
        </w:rPr>
        <w:t>ve for 40 hours or more a week</w:t>
      </w:r>
      <w:r w:rsidR="00E53916" w:rsidRPr="00E869A4">
        <w:rPr>
          <w:rFonts w:ascii="Times New Roman" w:hAnsi="Times New Roman" w:cs="Times New Roman"/>
          <w:szCs w:val="24"/>
        </w:rPr>
        <w:t xml:space="preserve">.  </w:t>
      </w:r>
    </w:p>
    <w:p w14:paraId="119C1656" w14:textId="77777777" w:rsidR="004304BD" w:rsidRPr="00E869A4" w:rsidRDefault="004304BD" w:rsidP="00542E4A">
      <w:pPr>
        <w:jc w:val="center"/>
        <w:rPr>
          <w:rFonts w:ascii="Times New Roman" w:hAnsi="Times New Roman" w:cs="Times New Roman"/>
          <w:szCs w:val="24"/>
        </w:rPr>
      </w:pPr>
    </w:p>
    <w:p w14:paraId="2C118CDA" w14:textId="496C83C7" w:rsidR="004304BD" w:rsidRPr="00E869A4" w:rsidRDefault="004304BD" w:rsidP="00421BBA">
      <w:pPr>
        <w:pStyle w:val="Caption"/>
        <w:tabs>
          <w:tab w:val="left" w:pos="4395"/>
          <w:tab w:val="center" w:pos="4963"/>
        </w:tabs>
        <w:ind w:firstLine="0"/>
        <w:rPr>
          <w:b/>
          <w:i w:val="0"/>
          <w:sz w:val="24"/>
        </w:rPr>
      </w:pPr>
      <w:bookmarkStart w:id="370" w:name="_Toc40436646"/>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16</w:t>
      </w:r>
      <w:r w:rsidR="0026235F" w:rsidRPr="00E869A4">
        <w:rPr>
          <w:b/>
          <w:i w:val="0"/>
          <w:sz w:val="24"/>
        </w:rPr>
        <w:fldChar w:fldCharType="end"/>
      </w:r>
      <w:r w:rsidR="00ED14A9" w:rsidRPr="00E869A4">
        <w:rPr>
          <w:b/>
          <w:i w:val="0"/>
          <w:sz w:val="24"/>
        </w:rPr>
        <w:t>:</w:t>
      </w:r>
      <w:r w:rsidRPr="00E869A4">
        <w:rPr>
          <w:b/>
          <w:i w:val="0"/>
          <w:sz w:val="24"/>
        </w:rPr>
        <w:t xml:space="preserve"> Time Spent Each Week Caring for Older Relative</w:t>
      </w:r>
      <w:bookmarkEnd w:id="370"/>
    </w:p>
    <w:p w14:paraId="30B91EA1" w14:textId="77777777" w:rsidR="004304BD" w:rsidRPr="00E869A4" w:rsidRDefault="004304BD" w:rsidP="004304BD"/>
    <w:p w14:paraId="7A5CC258" w14:textId="77777777" w:rsidR="00542E4A" w:rsidRPr="00E869A4" w:rsidRDefault="00542E4A" w:rsidP="00542E4A">
      <w:pPr>
        <w:jc w:val="center"/>
        <w:rPr>
          <w:rFonts w:ascii="Times New Roman" w:hAnsi="Times New Roman" w:cs="Times New Roman"/>
        </w:rPr>
      </w:pPr>
      <w:r w:rsidRPr="00E869A4">
        <w:rPr>
          <w:rFonts w:ascii="Times New Roman" w:hAnsi="Times New Roman" w:cs="Times New Roman"/>
          <w:noProof/>
        </w:rPr>
        <w:drawing>
          <wp:inline distT="0" distB="0" distL="0" distR="0" wp14:anchorId="208EE523" wp14:editId="24F928F6">
            <wp:extent cx="5486400" cy="3200400"/>
            <wp:effectExtent l="0" t="0" r="19050" b="1905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989B69" w14:textId="1D22F53A" w:rsidR="00542E4A" w:rsidRPr="00E869A4" w:rsidRDefault="00542E4A" w:rsidP="00421BBA">
      <w:pPr>
        <w:spacing w:line="276" w:lineRule="auto"/>
        <w:ind w:firstLine="0"/>
        <w:rPr>
          <w:rFonts w:ascii="Times New Roman" w:eastAsiaTheme="majorEastAsia" w:hAnsi="Times New Roman" w:cs="Times New Roman"/>
          <w:b/>
          <w:bCs/>
        </w:rPr>
      </w:pPr>
    </w:p>
    <w:p w14:paraId="48E8F5FD" w14:textId="487EF0A6" w:rsidR="00542E4A" w:rsidRPr="00E869A4" w:rsidRDefault="00421BBA" w:rsidP="00C3153A">
      <w:pPr>
        <w:ind w:firstLine="0"/>
        <w:rPr>
          <w:rFonts w:ascii="Times New Roman" w:hAnsi="Times New Roman" w:cs="Times New Roman"/>
          <w:szCs w:val="24"/>
        </w:rPr>
      </w:pPr>
      <w:r w:rsidRPr="00E869A4">
        <w:rPr>
          <w:rFonts w:ascii="Times New Roman" w:hAnsi="Times New Roman" w:cs="Times New Roman"/>
          <w:szCs w:val="24"/>
        </w:rPr>
        <w:t>Figure 17</w:t>
      </w:r>
      <w:r w:rsidR="00E5735B" w:rsidRPr="00E869A4">
        <w:rPr>
          <w:rFonts w:ascii="Times New Roman" w:hAnsi="Times New Roman" w:cs="Times New Roman"/>
          <w:szCs w:val="24"/>
        </w:rPr>
        <w:t xml:space="preserve"> below</w:t>
      </w:r>
      <w:r w:rsidRPr="00E869A4">
        <w:rPr>
          <w:rFonts w:ascii="Times New Roman" w:hAnsi="Times New Roman" w:cs="Times New Roman"/>
          <w:szCs w:val="24"/>
        </w:rPr>
        <w:t xml:space="preserve"> shows that a</w:t>
      </w:r>
      <w:r w:rsidR="00E53916" w:rsidRPr="00E869A4">
        <w:rPr>
          <w:rFonts w:ascii="Times New Roman" w:hAnsi="Times New Roman" w:cs="Times New Roman"/>
          <w:szCs w:val="24"/>
        </w:rPr>
        <w:t xml:space="preserve">bout half of the respondents (50%) had cared for their older relative for more than a year. </w:t>
      </w:r>
    </w:p>
    <w:p w14:paraId="1BAF5627" w14:textId="77777777" w:rsidR="0045260E" w:rsidRPr="00E869A4" w:rsidRDefault="0045260E">
      <w:pPr>
        <w:rPr>
          <w:b/>
          <w:iCs/>
        </w:rPr>
      </w:pPr>
      <w:r w:rsidRPr="00E869A4">
        <w:rPr>
          <w:b/>
          <w:i/>
        </w:rPr>
        <w:br w:type="page"/>
      </w:r>
    </w:p>
    <w:p w14:paraId="6ACF4C8E" w14:textId="3C815A28" w:rsidR="004304BD" w:rsidRPr="00E869A4" w:rsidRDefault="004304BD" w:rsidP="00500C46">
      <w:pPr>
        <w:pStyle w:val="Caption"/>
        <w:tabs>
          <w:tab w:val="left" w:pos="4395"/>
          <w:tab w:val="center" w:pos="4963"/>
        </w:tabs>
        <w:ind w:firstLine="0"/>
        <w:rPr>
          <w:b/>
          <w:i w:val="0"/>
          <w:sz w:val="24"/>
        </w:rPr>
      </w:pPr>
      <w:bookmarkStart w:id="371" w:name="_Toc40436647"/>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17</w:t>
      </w:r>
      <w:r w:rsidR="0026235F" w:rsidRPr="00E869A4">
        <w:rPr>
          <w:b/>
          <w:i w:val="0"/>
          <w:sz w:val="24"/>
        </w:rPr>
        <w:fldChar w:fldCharType="end"/>
      </w:r>
      <w:r w:rsidR="00ED14A9" w:rsidRPr="00E869A4">
        <w:rPr>
          <w:b/>
          <w:i w:val="0"/>
          <w:sz w:val="24"/>
        </w:rPr>
        <w:t>:</w:t>
      </w:r>
      <w:r w:rsidRPr="00E869A4">
        <w:rPr>
          <w:b/>
          <w:i w:val="0"/>
          <w:sz w:val="24"/>
        </w:rPr>
        <w:t xml:space="preserve"> Length of Time Providing Care to Older Relative</w:t>
      </w:r>
      <w:bookmarkEnd w:id="371"/>
    </w:p>
    <w:p w14:paraId="1BA9B3D9" w14:textId="77777777" w:rsidR="004304BD" w:rsidRPr="00E869A4" w:rsidRDefault="004304BD" w:rsidP="00E417A3">
      <w:pPr>
        <w:ind w:firstLine="0"/>
      </w:pPr>
    </w:p>
    <w:p w14:paraId="60B065BD" w14:textId="77777777" w:rsidR="00542E4A" w:rsidRPr="00E869A4" w:rsidRDefault="00542E4A" w:rsidP="00542E4A">
      <w:pPr>
        <w:jc w:val="center"/>
        <w:rPr>
          <w:rFonts w:ascii="Times New Roman" w:hAnsi="Times New Roman" w:cs="Times New Roman"/>
        </w:rPr>
      </w:pPr>
      <w:r w:rsidRPr="00E869A4">
        <w:rPr>
          <w:rFonts w:ascii="Times New Roman" w:hAnsi="Times New Roman" w:cs="Times New Roman"/>
          <w:noProof/>
        </w:rPr>
        <w:drawing>
          <wp:inline distT="0" distB="0" distL="0" distR="0" wp14:anchorId="16CCBC3E" wp14:editId="475E5371">
            <wp:extent cx="5486400" cy="2722245"/>
            <wp:effectExtent l="0" t="0" r="19050" b="20955"/>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A71253A" w14:textId="77777777" w:rsidR="00542E4A" w:rsidRPr="00E869A4" w:rsidRDefault="00542E4A" w:rsidP="00F876BD">
      <w:pPr>
        <w:rPr>
          <w:rFonts w:ascii="Times New Roman" w:hAnsi="Times New Roman" w:cs="Times New Roman"/>
          <w:szCs w:val="24"/>
        </w:rPr>
      </w:pPr>
    </w:p>
    <w:p w14:paraId="378C93D0" w14:textId="54CC6138" w:rsidR="00E53916" w:rsidRPr="00E869A4" w:rsidRDefault="00E53916" w:rsidP="00F876BD">
      <w:pPr>
        <w:rPr>
          <w:rFonts w:ascii="Times New Roman" w:hAnsi="Times New Roman" w:cs="Times New Roman"/>
          <w:szCs w:val="24"/>
        </w:rPr>
      </w:pPr>
      <w:r w:rsidRPr="00E869A4">
        <w:rPr>
          <w:rFonts w:ascii="Times New Roman" w:hAnsi="Times New Roman" w:cs="Times New Roman"/>
          <w:szCs w:val="24"/>
        </w:rPr>
        <w:t xml:space="preserve">Not surprisingly, older family caregivers aged 60 years and over were more likely to provide care for longer periods. </w:t>
      </w:r>
      <w:r w:rsidRPr="00E869A4">
        <w:rPr>
          <w:rFonts w:ascii="Times New Roman" w:hAnsi="Times New Roman" w:cs="Times New Roman"/>
        </w:rPr>
        <w:t xml:space="preserve"> </w:t>
      </w:r>
      <w:r w:rsidRPr="00E869A4">
        <w:rPr>
          <w:rFonts w:ascii="Times New Roman" w:hAnsi="Times New Roman" w:cs="Times New Roman"/>
          <w:szCs w:val="24"/>
        </w:rPr>
        <w:t>The bivariate analysis revealed that the variable “</w:t>
      </w:r>
      <w:r w:rsidR="00F876BD" w:rsidRPr="00E869A4">
        <w:rPr>
          <w:rFonts w:ascii="Times New Roman" w:hAnsi="Times New Roman" w:cs="Times New Roman"/>
          <w:i/>
          <w:szCs w:val="24"/>
        </w:rPr>
        <w:t>l</w:t>
      </w:r>
      <w:r w:rsidRPr="00E869A4">
        <w:rPr>
          <w:rFonts w:ascii="Times New Roman" w:hAnsi="Times New Roman" w:cs="Times New Roman"/>
          <w:i/>
          <w:szCs w:val="24"/>
        </w:rPr>
        <w:t>ength of time providing care</w:t>
      </w:r>
      <w:r w:rsidRPr="00E869A4">
        <w:rPr>
          <w:rFonts w:ascii="Times New Roman" w:hAnsi="Times New Roman" w:cs="Times New Roman"/>
          <w:szCs w:val="24"/>
        </w:rPr>
        <w:t xml:space="preserve">” was significantly associated with caregiver age: </w:t>
      </w:r>
      <w:r w:rsidRPr="00E869A4">
        <w:rPr>
          <w:rFonts w:ascii="Times New Roman" w:hAnsi="Times New Roman" w:cs="Times New Roman"/>
        </w:rPr>
        <w:sym w:font="Symbol" w:char="F063"/>
      </w:r>
      <w:r w:rsidRPr="00E869A4">
        <w:rPr>
          <w:rFonts w:ascii="Times New Roman" w:hAnsi="Times New Roman" w:cs="Times New Roman"/>
          <w:szCs w:val="24"/>
          <w:vertAlign w:val="superscript"/>
        </w:rPr>
        <w:t xml:space="preserve">2 </w:t>
      </w:r>
      <w:r w:rsidRPr="00E869A4">
        <w:rPr>
          <w:rFonts w:ascii="Times New Roman" w:hAnsi="Times New Roman" w:cs="Times New Roman"/>
          <w:szCs w:val="24"/>
        </w:rPr>
        <w:t>(3) = 14.096, p=0.003. The relationship is moderately strong (Cramer’s V=0.270). Interestingly, persons who had a partner provided care for a relatively longer time th</w:t>
      </w:r>
      <w:r w:rsidR="00F876BD" w:rsidRPr="00E869A4">
        <w:rPr>
          <w:rFonts w:ascii="Times New Roman" w:hAnsi="Times New Roman" w:cs="Times New Roman"/>
          <w:szCs w:val="24"/>
        </w:rPr>
        <w:t xml:space="preserve">an their single counterparts “ </w:t>
      </w:r>
      <w:r w:rsidR="00F876BD" w:rsidRPr="00E869A4">
        <w:rPr>
          <w:rFonts w:ascii="Times New Roman" w:hAnsi="Times New Roman" w:cs="Times New Roman"/>
          <w:i/>
          <w:szCs w:val="24"/>
        </w:rPr>
        <w:t>l</w:t>
      </w:r>
      <w:r w:rsidRPr="00E869A4">
        <w:rPr>
          <w:rFonts w:ascii="Times New Roman" w:hAnsi="Times New Roman" w:cs="Times New Roman"/>
          <w:i/>
          <w:szCs w:val="24"/>
        </w:rPr>
        <w:t>ength of time providing care</w:t>
      </w:r>
      <w:r w:rsidRPr="00E869A4">
        <w:rPr>
          <w:rFonts w:ascii="Times New Roman" w:hAnsi="Times New Roman" w:cs="Times New Roman"/>
          <w:szCs w:val="24"/>
        </w:rPr>
        <w:t>” was significantly associated with the variable</w:t>
      </w:r>
      <w:r w:rsidR="00F876BD" w:rsidRPr="00E869A4">
        <w:rPr>
          <w:rFonts w:ascii="Times New Roman" w:hAnsi="Times New Roman" w:cs="Times New Roman"/>
          <w:szCs w:val="24"/>
        </w:rPr>
        <w:t xml:space="preserve"> “</w:t>
      </w:r>
      <w:r w:rsidR="00F876BD" w:rsidRPr="00E869A4">
        <w:rPr>
          <w:rFonts w:ascii="Times New Roman" w:hAnsi="Times New Roman" w:cs="Times New Roman"/>
          <w:i/>
          <w:szCs w:val="24"/>
        </w:rPr>
        <w:t>caregiver r</w:t>
      </w:r>
      <w:r w:rsidRPr="00E869A4">
        <w:rPr>
          <w:rFonts w:ascii="Times New Roman" w:hAnsi="Times New Roman" w:cs="Times New Roman"/>
          <w:i/>
          <w:szCs w:val="24"/>
        </w:rPr>
        <w:t>elati</w:t>
      </w:r>
      <w:r w:rsidR="00F876BD" w:rsidRPr="00E869A4">
        <w:rPr>
          <w:rFonts w:ascii="Times New Roman" w:hAnsi="Times New Roman" w:cs="Times New Roman"/>
          <w:i/>
          <w:szCs w:val="24"/>
        </w:rPr>
        <w:t>onship s</w:t>
      </w:r>
      <w:r w:rsidRPr="00E869A4">
        <w:rPr>
          <w:rFonts w:ascii="Times New Roman" w:hAnsi="Times New Roman" w:cs="Times New Roman"/>
          <w:i/>
          <w:szCs w:val="24"/>
        </w:rPr>
        <w:t>tatus</w:t>
      </w:r>
      <w:r w:rsidRPr="00E869A4">
        <w:rPr>
          <w:rFonts w:ascii="Times New Roman" w:hAnsi="Times New Roman" w:cs="Times New Roman"/>
          <w:szCs w:val="24"/>
        </w:rPr>
        <w:t xml:space="preserve">” (Recoded) : </w:t>
      </w:r>
      <w:r w:rsidRPr="00E869A4">
        <w:rPr>
          <w:rFonts w:ascii="Times New Roman" w:hAnsi="Times New Roman" w:cs="Times New Roman"/>
        </w:rPr>
        <w:sym w:font="Symbol" w:char="F063"/>
      </w:r>
      <w:r w:rsidRPr="00E869A4">
        <w:rPr>
          <w:rFonts w:ascii="Times New Roman" w:hAnsi="Times New Roman" w:cs="Times New Roman"/>
          <w:szCs w:val="24"/>
          <w:vertAlign w:val="superscript"/>
        </w:rPr>
        <w:t xml:space="preserve">2 </w:t>
      </w:r>
      <w:r w:rsidRPr="00E869A4">
        <w:rPr>
          <w:rFonts w:ascii="Times New Roman" w:hAnsi="Times New Roman" w:cs="Times New Roman"/>
          <w:szCs w:val="24"/>
        </w:rPr>
        <w:t xml:space="preserve">(2) = 9.749, p=0.008. In interpreting these results, it is important to note that a significant relationship exists between the age of the respondent and their relationship status </w:t>
      </w:r>
      <w:r w:rsidRPr="00E869A4">
        <w:rPr>
          <w:rFonts w:ascii="Times New Roman" w:hAnsi="Times New Roman" w:cs="Times New Roman"/>
        </w:rPr>
        <w:sym w:font="Symbol" w:char="F063"/>
      </w:r>
      <w:r w:rsidRPr="00E869A4">
        <w:rPr>
          <w:rFonts w:ascii="Times New Roman" w:hAnsi="Times New Roman" w:cs="Times New Roman"/>
          <w:szCs w:val="24"/>
          <w:vertAlign w:val="superscript"/>
        </w:rPr>
        <w:t xml:space="preserve">2 </w:t>
      </w:r>
      <w:r w:rsidRPr="00E869A4">
        <w:rPr>
          <w:rFonts w:ascii="Times New Roman" w:hAnsi="Times New Roman" w:cs="Times New Roman"/>
          <w:szCs w:val="24"/>
        </w:rPr>
        <w:t>(6) = 60.476, p=0.000: persons aged 40 years and over were more likely to be in a relationship than younger persons aged 39 and younger who were less likely to have had a partner.</w:t>
      </w:r>
    </w:p>
    <w:p w14:paraId="64A5FDD1" w14:textId="3088CE24" w:rsidR="00500C46" w:rsidRPr="00E869A4" w:rsidRDefault="00500C46">
      <w:pPr>
        <w:rPr>
          <w:b/>
          <w:i/>
          <w:u w:val="single"/>
        </w:rPr>
      </w:pPr>
      <w:bookmarkStart w:id="372" w:name="_Toc492959481"/>
    </w:p>
    <w:p w14:paraId="15D29C30" w14:textId="442D5522" w:rsidR="00E53916" w:rsidRPr="00E869A4" w:rsidRDefault="009C4720" w:rsidP="005C449C">
      <w:pPr>
        <w:pStyle w:val="Heading3"/>
      </w:pPr>
      <w:bookmarkStart w:id="373" w:name="_Toc40436570"/>
      <w:r w:rsidRPr="00E869A4">
        <w:t>9</w:t>
      </w:r>
      <w:r w:rsidR="00B87119" w:rsidRPr="00E869A4">
        <w:t xml:space="preserve">.3.2     </w:t>
      </w:r>
      <w:r w:rsidR="00E53916" w:rsidRPr="00E869A4">
        <w:t>Level of Dependency of Older Care Recipient</w:t>
      </w:r>
      <w:bookmarkEnd w:id="372"/>
      <w:bookmarkEnd w:id="373"/>
    </w:p>
    <w:p w14:paraId="4BBE99FB" w14:textId="77777777" w:rsidR="00E53916" w:rsidRPr="00E869A4" w:rsidRDefault="00E53916" w:rsidP="00A35FF8">
      <w:pPr>
        <w:rPr>
          <w:rFonts w:ascii="Times New Roman" w:hAnsi="Times New Roman" w:cs="Times New Roman"/>
        </w:rPr>
      </w:pPr>
    </w:p>
    <w:p w14:paraId="42ABD404" w14:textId="25CA8B1D" w:rsidR="00542E4A" w:rsidRPr="00E869A4" w:rsidRDefault="00E53916" w:rsidP="00722517">
      <w:pPr>
        <w:pStyle w:val="Caption"/>
        <w:spacing w:line="360" w:lineRule="auto"/>
        <w:jc w:val="left"/>
        <w:rPr>
          <w:i w:val="0"/>
          <w:sz w:val="24"/>
        </w:rPr>
      </w:pPr>
      <w:r w:rsidRPr="00E869A4">
        <w:rPr>
          <w:i w:val="0"/>
          <w:sz w:val="24"/>
        </w:rPr>
        <w:t>Most participants cared for an older relative that was severely (35%) or moderately dependent (35%). A minority (15%) identified their older relative as slightly dependent and another 15% described their older relative as independent and only needing occasional assistance</w:t>
      </w:r>
      <w:r w:rsidR="00542E4A" w:rsidRPr="00E869A4">
        <w:rPr>
          <w:i w:val="0"/>
          <w:sz w:val="24"/>
        </w:rPr>
        <w:t xml:space="preserve"> </w:t>
      </w:r>
      <w:r w:rsidR="00A35B9D" w:rsidRPr="00E869A4">
        <w:rPr>
          <w:i w:val="0"/>
          <w:sz w:val="24"/>
        </w:rPr>
        <w:t xml:space="preserve">(see Figure 18 below). </w:t>
      </w:r>
    </w:p>
    <w:p w14:paraId="78043DCA" w14:textId="77777777" w:rsidR="00E417A3" w:rsidRPr="00E869A4" w:rsidRDefault="00E417A3" w:rsidP="00E417A3"/>
    <w:p w14:paraId="2E12512A" w14:textId="77777777" w:rsidR="000D2CD4" w:rsidRPr="00E869A4" w:rsidRDefault="000D2CD4">
      <w:pPr>
        <w:rPr>
          <w:b/>
          <w:iCs/>
        </w:rPr>
      </w:pPr>
      <w:r w:rsidRPr="00E869A4">
        <w:rPr>
          <w:b/>
          <w:i/>
        </w:rPr>
        <w:br w:type="page"/>
      </w:r>
    </w:p>
    <w:p w14:paraId="7333198C" w14:textId="058DDADF" w:rsidR="004B1B8F" w:rsidRPr="00E869A4" w:rsidRDefault="004B1B8F" w:rsidP="00A35B9D">
      <w:pPr>
        <w:pStyle w:val="Caption"/>
        <w:tabs>
          <w:tab w:val="left" w:pos="4395"/>
          <w:tab w:val="center" w:pos="4963"/>
        </w:tabs>
        <w:ind w:firstLine="0"/>
        <w:rPr>
          <w:b/>
          <w:i w:val="0"/>
          <w:sz w:val="24"/>
        </w:rPr>
      </w:pPr>
      <w:bookmarkStart w:id="374" w:name="_Toc40436648"/>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18</w:t>
      </w:r>
      <w:r w:rsidR="0026235F" w:rsidRPr="00E869A4">
        <w:rPr>
          <w:b/>
          <w:i w:val="0"/>
          <w:sz w:val="24"/>
        </w:rPr>
        <w:fldChar w:fldCharType="end"/>
      </w:r>
      <w:r w:rsidR="00ED14A9" w:rsidRPr="00E869A4">
        <w:rPr>
          <w:b/>
          <w:i w:val="0"/>
          <w:sz w:val="24"/>
        </w:rPr>
        <w:t>:</w:t>
      </w:r>
      <w:r w:rsidRPr="00E869A4">
        <w:rPr>
          <w:b/>
          <w:i w:val="0"/>
          <w:sz w:val="24"/>
        </w:rPr>
        <w:t xml:space="preserve"> Older Relative's Highest Level of Dependence</w:t>
      </w:r>
      <w:bookmarkEnd w:id="374"/>
    </w:p>
    <w:p w14:paraId="5D465111" w14:textId="77777777" w:rsidR="004B1B8F" w:rsidRPr="00E869A4" w:rsidRDefault="004B1B8F" w:rsidP="004B1B8F"/>
    <w:p w14:paraId="4B480846" w14:textId="77777777" w:rsidR="00542E4A" w:rsidRPr="00E869A4" w:rsidRDefault="00542E4A" w:rsidP="00542E4A">
      <w:pPr>
        <w:jc w:val="center"/>
        <w:rPr>
          <w:rFonts w:ascii="Times New Roman" w:hAnsi="Times New Roman" w:cs="Times New Roman"/>
          <w:szCs w:val="24"/>
        </w:rPr>
      </w:pPr>
      <w:r w:rsidRPr="00E869A4">
        <w:rPr>
          <w:rFonts w:ascii="Times New Roman" w:hAnsi="Times New Roman" w:cs="Times New Roman"/>
          <w:noProof/>
        </w:rPr>
        <w:drawing>
          <wp:inline distT="0" distB="0" distL="0" distR="0" wp14:anchorId="2B3428C4" wp14:editId="0B0CAE8A">
            <wp:extent cx="5295265" cy="2312670"/>
            <wp:effectExtent l="0" t="0" r="19685" b="1143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B5B9E4" w14:textId="77777777" w:rsidR="00542E4A" w:rsidRPr="00E869A4" w:rsidRDefault="00542E4A" w:rsidP="00722517">
      <w:pPr>
        <w:pStyle w:val="Caption"/>
        <w:spacing w:line="360" w:lineRule="auto"/>
        <w:jc w:val="left"/>
        <w:rPr>
          <w:i w:val="0"/>
          <w:sz w:val="24"/>
        </w:rPr>
      </w:pPr>
    </w:p>
    <w:p w14:paraId="5F50D383" w14:textId="08496CFB" w:rsidR="00721EEB" w:rsidRPr="00E869A4" w:rsidRDefault="00721EEB" w:rsidP="00A35B9D">
      <w:pPr>
        <w:pStyle w:val="Caption"/>
        <w:tabs>
          <w:tab w:val="left" w:pos="4395"/>
          <w:tab w:val="center" w:pos="4963"/>
        </w:tabs>
        <w:ind w:firstLine="0"/>
        <w:rPr>
          <w:b/>
          <w:i w:val="0"/>
          <w:sz w:val="24"/>
        </w:rPr>
      </w:pPr>
      <w:bookmarkStart w:id="375" w:name="_Toc40436649"/>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19</w:t>
      </w:r>
      <w:r w:rsidR="0026235F" w:rsidRPr="00E869A4">
        <w:rPr>
          <w:b/>
          <w:i w:val="0"/>
          <w:sz w:val="24"/>
        </w:rPr>
        <w:fldChar w:fldCharType="end"/>
      </w:r>
      <w:r w:rsidR="00ED14A9" w:rsidRPr="00E869A4">
        <w:rPr>
          <w:b/>
          <w:i w:val="0"/>
          <w:sz w:val="24"/>
        </w:rPr>
        <w:t>:</w:t>
      </w:r>
      <w:r w:rsidRPr="00E869A4">
        <w:rPr>
          <w:b/>
          <w:i w:val="0"/>
          <w:sz w:val="24"/>
        </w:rPr>
        <w:t xml:space="preserve"> Health Challenges of Older Relative</w:t>
      </w:r>
      <w:bookmarkEnd w:id="375"/>
    </w:p>
    <w:p w14:paraId="5F053E0A" w14:textId="77777777" w:rsidR="00A35B9D" w:rsidRPr="00E869A4" w:rsidRDefault="00A35B9D" w:rsidP="00A35B9D"/>
    <w:p w14:paraId="3A533555" w14:textId="18551C1A" w:rsidR="00542E4A" w:rsidRPr="00E869A4" w:rsidRDefault="00542E4A" w:rsidP="00542E4A">
      <w:pPr>
        <w:rPr>
          <w:rFonts w:ascii="Times New Roman" w:hAnsi="Times New Roman" w:cs="Times New Roman"/>
          <w:b/>
          <w:bCs/>
          <w:szCs w:val="18"/>
        </w:rPr>
      </w:pPr>
      <w:r w:rsidRPr="00E869A4">
        <w:rPr>
          <w:rFonts w:ascii="Times New Roman" w:hAnsi="Times New Roman" w:cs="Times New Roman"/>
          <w:noProof/>
        </w:rPr>
        <w:drawing>
          <wp:inline distT="0" distB="0" distL="0" distR="0" wp14:anchorId="2531C7B0" wp14:editId="0439EC7A">
            <wp:extent cx="5943600" cy="3853543"/>
            <wp:effectExtent l="0" t="0" r="19050" b="1397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4F235F" w14:textId="77777777" w:rsidR="009B1412" w:rsidRPr="00E869A4" w:rsidRDefault="009B1412" w:rsidP="00B61191">
      <w:pPr>
        <w:ind w:left="567" w:firstLine="0"/>
      </w:pPr>
      <w:bookmarkStart w:id="376" w:name="_Toc492959482"/>
    </w:p>
    <w:p w14:paraId="75B4A9EE" w14:textId="2E2A60F9" w:rsidR="009C4720" w:rsidRPr="00E869A4" w:rsidRDefault="009C4720" w:rsidP="009C4720">
      <w:pPr>
        <w:pStyle w:val="Caption"/>
        <w:spacing w:line="360" w:lineRule="auto"/>
        <w:jc w:val="left"/>
        <w:rPr>
          <w:b/>
          <w:iCs w:val="0"/>
        </w:rPr>
      </w:pPr>
      <w:r w:rsidRPr="00E869A4">
        <w:rPr>
          <w:i w:val="0"/>
          <w:sz w:val="24"/>
        </w:rPr>
        <w:lastRenderedPageBreak/>
        <w:t xml:space="preserve">Consistent with the health trends for </w:t>
      </w:r>
      <w:r w:rsidRPr="00E869A4">
        <w:rPr>
          <w:rFonts w:ascii="Times New Roman" w:eastAsiaTheme="majorEastAsia" w:hAnsi="Times New Roman" w:cs="Times New Roman"/>
          <w:bCs/>
          <w:i w:val="0"/>
          <w:sz w:val="24"/>
          <w:szCs w:val="26"/>
        </w:rPr>
        <w:t>T&amp;T</w:t>
      </w:r>
      <w:r w:rsidRPr="00E869A4">
        <w:rPr>
          <w:i w:val="0"/>
          <w:sz w:val="28"/>
        </w:rPr>
        <w:t xml:space="preserve"> </w:t>
      </w:r>
      <w:r w:rsidRPr="00E869A4">
        <w:rPr>
          <w:i w:val="0"/>
          <w:sz w:val="24"/>
        </w:rPr>
        <w:t>(see Chapter 1), the majority of older care recipients that were being cared for by the survey participants were diagnosed with a non-communicable chronic disease (see Figure 19 above) such as hypertension (16%) and diabetes (15%). Some had cognitive challenges and displayed memory problems (8%), behavioural problems (5%) or were considered to have Alzheimer’s (7%)</w:t>
      </w:r>
      <w:r w:rsidRPr="00E869A4">
        <w:rPr>
          <w:rFonts w:ascii="Times New Roman" w:hAnsi="Times New Roman" w:cs="Times New Roman"/>
          <w:i w:val="0"/>
          <w:szCs w:val="24"/>
        </w:rPr>
        <w:t xml:space="preserve">. </w:t>
      </w:r>
    </w:p>
    <w:p w14:paraId="7431D703" w14:textId="77777777" w:rsidR="009C4720" w:rsidRPr="00E869A4" w:rsidRDefault="009C4720" w:rsidP="00B61191">
      <w:pPr>
        <w:ind w:left="567" w:firstLine="0"/>
      </w:pPr>
    </w:p>
    <w:p w14:paraId="2A0CC8B5" w14:textId="164B5BF1" w:rsidR="00E53916" w:rsidRPr="00E869A4" w:rsidRDefault="009C4720" w:rsidP="005C449C">
      <w:pPr>
        <w:pStyle w:val="Heading3"/>
      </w:pPr>
      <w:bookmarkStart w:id="377" w:name="_Toc40436571"/>
      <w:r w:rsidRPr="00E869A4">
        <w:t>9</w:t>
      </w:r>
      <w:r w:rsidR="00B87119" w:rsidRPr="00E869A4">
        <w:t xml:space="preserve">.3.3     </w:t>
      </w:r>
      <w:r w:rsidR="00E53916" w:rsidRPr="00E869A4">
        <w:t>Care Tasks</w:t>
      </w:r>
      <w:bookmarkEnd w:id="376"/>
      <w:bookmarkEnd w:id="377"/>
    </w:p>
    <w:p w14:paraId="477C8F63" w14:textId="77777777" w:rsidR="00E53916" w:rsidRPr="00E869A4" w:rsidRDefault="00E53916" w:rsidP="00A35FF8">
      <w:pPr>
        <w:rPr>
          <w:rFonts w:ascii="Times New Roman" w:hAnsi="Times New Roman" w:cs="Times New Roman"/>
          <w:szCs w:val="24"/>
        </w:rPr>
      </w:pPr>
    </w:p>
    <w:p w14:paraId="06073653" w14:textId="5531EF38" w:rsidR="0045260E" w:rsidRPr="00E869A4" w:rsidRDefault="000D22A1">
      <w:pPr>
        <w:rPr>
          <w:rFonts w:ascii="Times New Roman" w:hAnsi="Times New Roman" w:cs="Times New Roman"/>
          <w:szCs w:val="24"/>
        </w:rPr>
      </w:pPr>
      <w:r w:rsidRPr="00E869A4">
        <w:rPr>
          <w:rFonts w:ascii="Times New Roman" w:hAnsi="Times New Roman" w:cs="Times New Roman"/>
          <w:szCs w:val="24"/>
        </w:rPr>
        <w:t>As seen in Figure 20, t</w:t>
      </w:r>
      <w:r w:rsidR="00E53916" w:rsidRPr="00E869A4">
        <w:rPr>
          <w:rFonts w:ascii="Times New Roman" w:hAnsi="Times New Roman" w:cs="Times New Roman"/>
          <w:szCs w:val="24"/>
        </w:rPr>
        <w:t>he majority of the family caregivers (81%) assisted their older relative with ADLs, in particular personal care such as bathing, toileting and /or mouth care (44%), dressing, grooming (25%) and feeding (23%)</w:t>
      </w:r>
      <w:r w:rsidR="00DB0CFC" w:rsidRPr="00E869A4">
        <w:rPr>
          <w:rFonts w:ascii="Times New Roman" w:hAnsi="Times New Roman" w:cs="Times New Roman"/>
          <w:i/>
          <w:szCs w:val="24"/>
        </w:rPr>
        <w:t>.</w:t>
      </w:r>
      <w:r w:rsidR="000D2CD4" w:rsidRPr="00E869A4">
        <w:rPr>
          <w:rFonts w:ascii="Times New Roman" w:hAnsi="Times New Roman" w:cs="Times New Roman"/>
          <w:szCs w:val="24"/>
        </w:rPr>
        <w:t xml:space="preserve"> </w:t>
      </w:r>
      <w:r w:rsidR="00500C46" w:rsidRPr="00E869A4">
        <w:rPr>
          <w:rFonts w:ascii="Times New Roman" w:hAnsi="Times New Roman" w:cs="Times New Roman"/>
          <w:szCs w:val="24"/>
        </w:rPr>
        <w:t>They also helped their older relatives with various types of IADLs (see Figure 21 below). Several provided help with arranging and accompanying their relative to medical and other appointments (11%) and shopping/errands (11%). Cooking and preparing meals also featured among the top care duties (11%) as well as giving and managing medication (11%), house cleaning (10%) and doing the laundry (10%).</w:t>
      </w:r>
      <w:r w:rsidR="000D2CD4" w:rsidRPr="00E869A4">
        <w:rPr>
          <w:rFonts w:ascii="Times New Roman" w:hAnsi="Times New Roman" w:cs="Times New Roman"/>
          <w:szCs w:val="24"/>
        </w:rPr>
        <w:t xml:space="preserve"> </w:t>
      </w:r>
    </w:p>
    <w:p w14:paraId="77B309FD" w14:textId="77777777" w:rsidR="000D2CD4" w:rsidRPr="00E869A4" w:rsidRDefault="000D2CD4">
      <w:pPr>
        <w:rPr>
          <w:b/>
          <w:iCs/>
        </w:rPr>
      </w:pPr>
    </w:p>
    <w:p w14:paraId="700AFC64" w14:textId="53D40826" w:rsidR="00721EEB" w:rsidRPr="00E869A4" w:rsidRDefault="00721EEB" w:rsidP="000D22A1">
      <w:pPr>
        <w:pStyle w:val="Caption"/>
        <w:ind w:firstLine="0"/>
        <w:rPr>
          <w:b/>
          <w:i w:val="0"/>
          <w:sz w:val="24"/>
        </w:rPr>
      </w:pPr>
      <w:bookmarkStart w:id="378" w:name="_Toc40436650"/>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20</w:t>
      </w:r>
      <w:r w:rsidR="0026235F" w:rsidRPr="00E869A4">
        <w:rPr>
          <w:b/>
          <w:i w:val="0"/>
          <w:sz w:val="24"/>
        </w:rPr>
        <w:fldChar w:fldCharType="end"/>
      </w:r>
      <w:r w:rsidR="00ED14A9" w:rsidRPr="00E869A4">
        <w:rPr>
          <w:b/>
          <w:i w:val="0"/>
          <w:sz w:val="24"/>
        </w:rPr>
        <w:t>:</w:t>
      </w:r>
      <w:r w:rsidRPr="00E869A4">
        <w:rPr>
          <w:b/>
          <w:i w:val="0"/>
          <w:sz w:val="24"/>
        </w:rPr>
        <w:t xml:space="preserve"> Personal Care Tasks (ADLs) Performed by Family Caregiver</w:t>
      </w:r>
      <w:bookmarkEnd w:id="378"/>
    </w:p>
    <w:p w14:paraId="310CC16F" w14:textId="77777777" w:rsidR="00721EEB" w:rsidRPr="00E869A4" w:rsidRDefault="00721EEB" w:rsidP="00721EEB"/>
    <w:p w14:paraId="7AEB69BB" w14:textId="70817259" w:rsidR="00DB0CFC" w:rsidRPr="00E869A4" w:rsidRDefault="00DB0CFC" w:rsidP="00721EEB">
      <w:pPr>
        <w:pStyle w:val="Caption"/>
        <w:rPr>
          <w:rFonts w:ascii="Times New Roman" w:hAnsi="Times New Roman" w:cs="Times New Roman"/>
          <w:b/>
          <w:bCs/>
          <w:szCs w:val="18"/>
        </w:rPr>
      </w:pPr>
      <w:r w:rsidRPr="00E869A4">
        <w:rPr>
          <w:rFonts w:ascii="Times New Roman" w:hAnsi="Times New Roman" w:cs="Times New Roman"/>
          <w:noProof/>
        </w:rPr>
        <w:drawing>
          <wp:inline distT="0" distB="0" distL="0" distR="0" wp14:anchorId="34442BBD" wp14:editId="364EAE6E">
            <wp:extent cx="5943600" cy="2613660"/>
            <wp:effectExtent l="0" t="0" r="19050" b="1524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1C11CA" w14:textId="77777777" w:rsidR="00DB0CFC" w:rsidRPr="00E869A4" w:rsidRDefault="00DB0CFC" w:rsidP="00DB0CFC">
      <w:pPr>
        <w:ind w:firstLine="0"/>
        <w:rPr>
          <w:rFonts w:ascii="Times New Roman" w:hAnsi="Times New Roman" w:cs="Times New Roman"/>
          <w:szCs w:val="24"/>
        </w:rPr>
      </w:pPr>
    </w:p>
    <w:p w14:paraId="656DCA72" w14:textId="53A90E64" w:rsidR="003010FB" w:rsidRPr="00E869A4" w:rsidRDefault="000D2CD4">
      <w:pPr>
        <w:rPr>
          <w:rFonts w:ascii="Times New Roman" w:hAnsi="Times New Roman" w:cs="Times New Roman"/>
          <w:szCs w:val="24"/>
        </w:rPr>
      </w:pPr>
      <w:r w:rsidRPr="00E869A4">
        <w:rPr>
          <w:rFonts w:ascii="Times New Roman" w:hAnsi="Times New Roman" w:cs="Times New Roman"/>
          <w:szCs w:val="24"/>
        </w:rPr>
        <w:t>There was a significant association between gender and full-time/part-time work (</w:t>
      </w:r>
      <w:r w:rsidRPr="00E869A4">
        <w:rPr>
          <w:rFonts w:ascii="Times New Roman" w:hAnsi="Times New Roman" w:cs="Times New Roman"/>
        </w:rPr>
        <w:sym w:font="Symbol" w:char="F063"/>
      </w:r>
      <w:r w:rsidRPr="00E869A4">
        <w:rPr>
          <w:rFonts w:ascii="Times New Roman" w:hAnsi="Times New Roman" w:cs="Times New Roman"/>
          <w:szCs w:val="24"/>
          <w:vertAlign w:val="superscript"/>
        </w:rPr>
        <w:t xml:space="preserve">2 </w:t>
      </w:r>
      <w:r w:rsidRPr="00E869A4">
        <w:rPr>
          <w:rFonts w:ascii="Times New Roman" w:hAnsi="Times New Roman" w:cs="Times New Roman"/>
          <w:szCs w:val="24"/>
        </w:rPr>
        <w:t xml:space="preserve">= 2,208.500, d.f. = 1, p &lt; 0.01). Using phi to determine the strength of this association, the study also reports that this </w:t>
      </w:r>
      <w:r w:rsidRPr="00E869A4">
        <w:rPr>
          <w:rFonts w:ascii="Times New Roman" w:hAnsi="Times New Roman" w:cs="Times New Roman"/>
          <w:szCs w:val="24"/>
        </w:rPr>
        <w:lastRenderedPageBreak/>
        <w:t>association is moderate in strength (n = 16967, φ = .361). Kruskal-Wallis tests also confirmed that a significant relationship existed between the level of dependence of an older relative and the total ADLs provided by the caregiver (p = 0.000) as well as the total IADs that they assisted with (p = 0.000). One may deduce from these analyses that there is a high possibility that older persons being cared for by a family member in the same home were very likely to be more dependent than those living some distance away and in need of assistance with more ADLs and IADLs. This is consistent with the findings of several studies such as Merrill (1997). Some persons who lived away from their relatives often moved in with a family member or, a family member moved in to co-reside with them as the level of dependency of the older person increased (</w:t>
      </w:r>
      <w:r w:rsidRPr="00E869A4">
        <w:rPr>
          <w:rFonts w:ascii="Times New Roman" w:eastAsiaTheme="minorHAnsi" w:hAnsi="Times New Roman" w:cs="Times New Roman"/>
          <w:szCs w:val="24"/>
          <w:lang w:eastAsia="en-US"/>
        </w:rPr>
        <w:t>Brody et al. 1995)</w:t>
      </w:r>
      <w:r w:rsidRPr="00E869A4">
        <w:rPr>
          <w:rFonts w:ascii="Times New Roman" w:hAnsi="Times New Roman" w:cs="Times New Roman"/>
          <w:szCs w:val="24"/>
        </w:rPr>
        <w:t xml:space="preserve">. </w:t>
      </w:r>
    </w:p>
    <w:p w14:paraId="1799F2FD" w14:textId="77777777" w:rsidR="000D2CD4" w:rsidRPr="00E869A4" w:rsidRDefault="000D2CD4">
      <w:pPr>
        <w:rPr>
          <w:b/>
          <w:iCs/>
        </w:rPr>
      </w:pPr>
    </w:p>
    <w:p w14:paraId="46B74E06" w14:textId="594F5746" w:rsidR="00E417A3" w:rsidRPr="00E869A4" w:rsidRDefault="00721EEB" w:rsidP="00E417A3">
      <w:pPr>
        <w:pStyle w:val="Caption"/>
        <w:ind w:firstLine="0"/>
        <w:rPr>
          <w:b/>
          <w:i w:val="0"/>
          <w:sz w:val="24"/>
        </w:rPr>
      </w:pPr>
      <w:bookmarkStart w:id="379" w:name="_Toc40436651"/>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21</w:t>
      </w:r>
      <w:r w:rsidR="0026235F" w:rsidRPr="00E869A4">
        <w:rPr>
          <w:b/>
          <w:i w:val="0"/>
          <w:sz w:val="24"/>
        </w:rPr>
        <w:fldChar w:fldCharType="end"/>
      </w:r>
      <w:r w:rsidR="00ED14A9" w:rsidRPr="00E869A4">
        <w:rPr>
          <w:b/>
          <w:i w:val="0"/>
          <w:sz w:val="24"/>
        </w:rPr>
        <w:t>:</w:t>
      </w:r>
      <w:r w:rsidRPr="00E869A4">
        <w:rPr>
          <w:b/>
          <w:i w:val="0"/>
          <w:sz w:val="24"/>
        </w:rPr>
        <w:t xml:space="preserve"> General Care Tasks (IADLs) Performed by Family Caregivers</w:t>
      </w:r>
      <w:bookmarkEnd w:id="379"/>
    </w:p>
    <w:p w14:paraId="500F6474" w14:textId="77777777" w:rsidR="00E417A3" w:rsidRPr="00E869A4" w:rsidRDefault="00E417A3" w:rsidP="00E417A3"/>
    <w:p w14:paraId="56E869E8" w14:textId="01390457" w:rsidR="00DB0CFC" w:rsidRPr="00E869A4" w:rsidRDefault="00DB0CFC" w:rsidP="00E417A3">
      <w:pPr>
        <w:pStyle w:val="Caption"/>
        <w:ind w:firstLine="0"/>
        <w:rPr>
          <w:rFonts w:ascii="Times New Roman" w:hAnsi="Times New Roman" w:cs="Times New Roman"/>
        </w:rPr>
      </w:pPr>
      <w:r w:rsidRPr="00E869A4">
        <w:rPr>
          <w:rFonts w:ascii="Times New Roman" w:hAnsi="Times New Roman" w:cs="Times New Roman"/>
          <w:noProof/>
        </w:rPr>
        <w:drawing>
          <wp:inline distT="0" distB="0" distL="0" distR="0" wp14:anchorId="2D33CC0A" wp14:editId="37275E8B">
            <wp:extent cx="5943600" cy="4718050"/>
            <wp:effectExtent l="0" t="0" r="19050" b="25400"/>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8E21C9" w14:textId="77777777" w:rsidR="009B1412" w:rsidRPr="00E869A4" w:rsidRDefault="009B1412" w:rsidP="00A35FF8">
      <w:pPr>
        <w:rPr>
          <w:rFonts w:ascii="Times New Roman" w:hAnsi="Times New Roman" w:cs="Times New Roman"/>
          <w:szCs w:val="24"/>
        </w:rPr>
      </w:pPr>
    </w:p>
    <w:p w14:paraId="46A7AC75" w14:textId="425487C9" w:rsidR="00E53916" w:rsidRPr="00E869A4" w:rsidRDefault="009C4720" w:rsidP="00175C3E">
      <w:pPr>
        <w:pStyle w:val="Heading2"/>
      </w:pPr>
      <w:bookmarkStart w:id="380" w:name="_Toc492959483"/>
      <w:bookmarkStart w:id="381" w:name="_Toc40436572"/>
      <w:r w:rsidRPr="00E869A4">
        <w:lastRenderedPageBreak/>
        <w:t>9</w:t>
      </w:r>
      <w:r w:rsidR="00B87119" w:rsidRPr="00E869A4">
        <w:t xml:space="preserve">.4 </w:t>
      </w:r>
      <w:r w:rsidR="00D11EE6" w:rsidRPr="00E869A4">
        <w:t>CARE CONTEXT</w:t>
      </w:r>
      <w:bookmarkEnd w:id="380"/>
      <w:bookmarkEnd w:id="381"/>
      <w:r w:rsidR="00B87119" w:rsidRPr="00E869A4">
        <w:t xml:space="preserve"> </w:t>
      </w:r>
    </w:p>
    <w:p w14:paraId="298FEA8F" w14:textId="77777777" w:rsidR="00E53916" w:rsidRPr="00E869A4" w:rsidRDefault="00E53916" w:rsidP="00A35FF8">
      <w:pPr>
        <w:rPr>
          <w:rFonts w:ascii="Times New Roman" w:hAnsi="Times New Roman" w:cs="Times New Roman"/>
        </w:rPr>
      </w:pPr>
    </w:p>
    <w:p w14:paraId="08E1E2EA" w14:textId="0BAA450A" w:rsidR="00906EA2" w:rsidRPr="00E869A4" w:rsidRDefault="006F57D4">
      <w:pPr>
        <w:rPr>
          <w:rFonts w:ascii="Times New Roman" w:hAnsi="Times New Roman" w:cs="Times New Roman"/>
        </w:rPr>
      </w:pPr>
      <w:r w:rsidRPr="00E869A4">
        <w:rPr>
          <w:rFonts w:ascii="Times New Roman" w:hAnsi="Times New Roman" w:cs="Times New Roman"/>
        </w:rPr>
        <w:t xml:space="preserve">Consistent with an ecological framework for understanding family caregiving, this section presents the findings on the family support available to caregivers of older persons, as well as the health and social services that they decided to use. </w:t>
      </w:r>
      <w:bookmarkStart w:id="382" w:name="_Toc492959484"/>
    </w:p>
    <w:p w14:paraId="1E2756B1" w14:textId="77777777" w:rsidR="00425529" w:rsidRPr="00E869A4" w:rsidRDefault="00425529">
      <w:pPr>
        <w:rPr>
          <w:b/>
          <w:i/>
          <w:u w:val="single"/>
        </w:rPr>
      </w:pPr>
    </w:p>
    <w:p w14:paraId="11263290" w14:textId="0F46E4BC" w:rsidR="00E53916" w:rsidRPr="00E869A4" w:rsidRDefault="009C4720" w:rsidP="005C449C">
      <w:pPr>
        <w:pStyle w:val="Heading3"/>
      </w:pPr>
      <w:bookmarkStart w:id="383" w:name="_Toc40436573"/>
      <w:r w:rsidRPr="00E869A4">
        <w:t>9</w:t>
      </w:r>
      <w:r w:rsidR="00B87119" w:rsidRPr="00E869A4">
        <w:t xml:space="preserve">.4.1     </w:t>
      </w:r>
      <w:r w:rsidR="00E53916" w:rsidRPr="00E869A4">
        <w:t>Potential Family Support Base for Care Provision</w:t>
      </w:r>
      <w:bookmarkEnd w:id="382"/>
      <w:bookmarkEnd w:id="383"/>
    </w:p>
    <w:p w14:paraId="016E8426" w14:textId="77777777" w:rsidR="00E53916" w:rsidRPr="00E869A4" w:rsidRDefault="00E53916" w:rsidP="00A35FF8">
      <w:pPr>
        <w:rPr>
          <w:rFonts w:ascii="Times New Roman" w:hAnsi="Times New Roman" w:cs="Times New Roman"/>
          <w:szCs w:val="24"/>
        </w:rPr>
      </w:pPr>
    </w:p>
    <w:p w14:paraId="07D06460" w14:textId="154B3DAB"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 xml:space="preserve">Based on the accounts of the family caregivers, generally, older persons receiving family care had at least one son and two daughters alive at the time that the survey was conducted. </w:t>
      </w:r>
      <w:r w:rsidR="005353A2" w:rsidRPr="00E869A4">
        <w:rPr>
          <w:rFonts w:ascii="Times New Roman" w:hAnsi="Times New Roman" w:cs="Times New Roman"/>
          <w:szCs w:val="24"/>
        </w:rPr>
        <w:t xml:space="preserve">This may have also contributed to the gender differences observed in the provision of care. </w:t>
      </w:r>
      <w:r w:rsidRPr="00E869A4">
        <w:rPr>
          <w:rFonts w:ascii="Times New Roman" w:hAnsi="Times New Roman" w:cs="Times New Roman"/>
          <w:szCs w:val="24"/>
        </w:rPr>
        <w:t>About 60% of those older persons had at least one child living abroad</w:t>
      </w:r>
      <w:r w:rsidRPr="00E869A4">
        <w:rPr>
          <w:rStyle w:val="FootnoteReference"/>
          <w:rFonts w:ascii="Times New Roman" w:hAnsi="Times New Roman" w:cs="Times New Roman"/>
          <w:szCs w:val="24"/>
        </w:rPr>
        <w:footnoteReference w:id="77"/>
      </w:r>
      <w:r w:rsidRPr="00E869A4">
        <w:rPr>
          <w:rFonts w:ascii="Times New Roman" w:hAnsi="Times New Roman" w:cs="Times New Roman"/>
          <w:szCs w:val="24"/>
        </w:rPr>
        <w:t xml:space="preserve">. </w:t>
      </w:r>
      <w:r w:rsidR="00906EA2" w:rsidRPr="00E869A4">
        <w:rPr>
          <w:rFonts w:ascii="Times New Roman" w:hAnsi="Times New Roman" w:cs="Times New Roman"/>
          <w:szCs w:val="24"/>
        </w:rPr>
        <w:t>However,</w:t>
      </w:r>
      <w:r w:rsidRPr="00E869A4">
        <w:rPr>
          <w:rFonts w:ascii="Times New Roman" w:hAnsi="Times New Roman" w:cs="Times New Roman"/>
          <w:szCs w:val="24"/>
        </w:rPr>
        <w:t xml:space="preserve"> </w:t>
      </w:r>
      <w:r w:rsidR="00906EA2" w:rsidRPr="00E869A4">
        <w:rPr>
          <w:rFonts w:ascii="Times New Roman" w:hAnsi="Times New Roman" w:cs="Times New Roman"/>
          <w:szCs w:val="24"/>
        </w:rPr>
        <w:t xml:space="preserve">as was noted in the qualitative results chapter on the determinants of care, </w:t>
      </w:r>
      <w:r w:rsidRPr="00E869A4">
        <w:rPr>
          <w:rFonts w:ascii="Times New Roman" w:hAnsi="Times New Roman" w:cs="Times New Roman"/>
          <w:szCs w:val="24"/>
        </w:rPr>
        <w:t xml:space="preserve">having several siblings did not guarantee that a family caregiver would receive help with care duties. As one respondent </w:t>
      </w:r>
      <w:r w:rsidR="0045260E" w:rsidRPr="00E869A4">
        <w:rPr>
          <w:rFonts w:ascii="Times New Roman" w:hAnsi="Times New Roman" w:cs="Times New Roman"/>
          <w:szCs w:val="24"/>
        </w:rPr>
        <w:t xml:space="preserve">(A) </w:t>
      </w:r>
      <w:r w:rsidRPr="00E869A4">
        <w:rPr>
          <w:rFonts w:ascii="Times New Roman" w:hAnsi="Times New Roman" w:cs="Times New Roman"/>
          <w:szCs w:val="24"/>
        </w:rPr>
        <w:t>explained</w:t>
      </w:r>
      <w:r w:rsidR="003201B4" w:rsidRPr="00E869A4">
        <w:rPr>
          <w:rFonts w:ascii="Times New Roman" w:hAnsi="Times New Roman" w:cs="Times New Roman"/>
          <w:szCs w:val="24"/>
        </w:rPr>
        <w:t>:</w:t>
      </w:r>
    </w:p>
    <w:p w14:paraId="60A75DB0" w14:textId="77777777" w:rsidR="001A5642" w:rsidRPr="00E869A4" w:rsidRDefault="001A5642" w:rsidP="00425529">
      <w:pPr>
        <w:spacing w:line="240" w:lineRule="auto"/>
        <w:rPr>
          <w:rFonts w:ascii="Times New Roman" w:hAnsi="Times New Roman" w:cs="Times New Roman"/>
          <w:szCs w:val="24"/>
        </w:rPr>
      </w:pPr>
    </w:p>
    <w:p w14:paraId="0FC211BA" w14:textId="24EF8EEF" w:rsidR="00E53916" w:rsidRPr="00E869A4" w:rsidRDefault="00E53916" w:rsidP="0045260E">
      <w:pPr>
        <w:spacing w:line="240" w:lineRule="auto"/>
        <w:ind w:left="567" w:firstLine="0"/>
        <w:rPr>
          <w:rFonts w:ascii="Times New Roman" w:hAnsi="Times New Roman" w:cs="Times New Roman"/>
          <w:szCs w:val="24"/>
        </w:rPr>
      </w:pPr>
      <w:r w:rsidRPr="00E869A4">
        <w:rPr>
          <w:rFonts w:ascii="Times New Roman" w:hAnsi="Times New Roman" w:cs="Times New Roman"/>
          <w:szCs w:val="24"/>
        </w:rPr>
        <w:t>Although my parents had five children, I found myself the sole caregiver for them both. My parents were separated, and I was also the sole financial provider for my mother, with a small subsidy from my father. I had no choice but to continue to work and look after my mother's needs at the same time. I was able to afford one caregiver on workdays.</w:t>
      </w:r>
      <w:r w:rsidR="000674D8" w:rsidRPr="00E869A4">
        <w:rPr>
          <w:rFonts w:ascii="Times New Roman" w:hAnsi="Times New Roman" w:cs="Times New Roman"/>
          <w:szCs w:val="24"/>
        </w:rPr>
        <w:t xml:space="preserve"> </w:t>
      </w:r>
    </w:p>
    <w:p w14:paraId="232ED434" w14:textId="77777777" w:rsidR="009B1412" w:rsidRPr="00E869A4" w:rsidRDefault="009B1412" w:rsidP="00914FB4">
      <w:pPr>
        <w:spacing w:line="240" w:lineRule="auto"/>
        <w:rPr>
          <w:rFonts w:ascii="Times New Roman" w:hAnsi="Times New Roman" w:cs="Times New Roman"/>
          <w:szCs w:val="24"/>
        </w:rPr>
      </w:pPr>
    </w:p>
    <w:p w14:paraId="568F9B3E" w14:textId="4B10C614" w:rsidR="005353A2" w:rsidRPr="00E869A4" w:rsidRDefault="00D51FA3" w:rsidP="00A35FF8">
      <w:pPr>
        <w:rPr>
          <w:rFonts w:ascii="Times New Roman" w:hAnsi="Times New Roman" w:cs="Times New Roman"/>
          <w:szCs w:val="24"/>
        </w:rPr>
      </w:pPr>
      <w:r w:rsidRPr="00E869A4">
        <w:rPr>
          <w:rFonts w:ascii="Times New Roman" w:hAnsi="Times New Roman" w:cs="Times New Roman"/>
          <w:szCs w:val="24"/>
        </w:rPr>
        <w:t>Researchers like Amaro and Miller (</w:t>
      </w:r>
      <w:r w:rsidR="008406A1" w:rsidRPr="00E869A4">
        <w:rPr>
          <w:rFonts w:ascii="Times New Roman" w:hAnsi="Times New Roman" w:cs="Times New Roman"/>
          <w:szCs w:val="24"/>
        </w:rPr>
        <w:t>2016</w:t>
      </w:r>
      <w:r w:rsidRPr="00E869A4">
        <w:rPr>
          <w:rFonts w:ascii="Times New Roman" w:hAnsi="Times New Roman" w:cs="Times New Roman"/>
          <w:szCs w:val="24"/>
        </w:rPr>
        <w:t>) found similar reports of lack of cooperation by siblings of family caregivers who became involved in care provision by default (e.g. because of gender or geographical proximity). Participants in their study with ongoing sibling relationships that were usually quite positive before elder caregiving commenced</w:t>
      </w:r>
      <w:r w:rsidR="00425529" w:rsidRPr="00E869A4">
        <w:rPr>
          <w:rFonts w:ascii="Times New Roman" w:hAnsi="Times New Roman" w:cs="Times New Roman"/>
          <w:szCs w:val="24"/>
        </w:rPr>
        <w:t xml:space="preserve"> (i.e. with little conflict and with appreciation for each other) </w:t>
      </w:r>
      <w:r w:rsidRPr="00E869A4">
        <w:rPr>
          <w:rFonts w:ascii="Times New Roman" w:hAnsi="Times New Roman" w:cs="Times New Roman"/>
          <w:szCs w:val="24"/>
        </w:rPr>
        <w:t xml:space="preserve">were more likely to receive support with care provision. </w:t>
      </w:r>
    </w:p>
    <w:p w14:paraId="3D40AD72" w14:textId="021C4B89" w:rsidR="003201B4" w:rsidRPr="00E869A4" w:rsidRDefault="003201B4">
      <w:pPr>
        <w:rPr>
          <w:b/>
          <w:i/>
          <w:u w:val="single"/>
        </w:rPr>
      </w:pPr>
      <w:bookmarkStart w:id="384" w:name="_Toc492959485"/>
    </w:p>
    <w:p w14:paraId="5D34A261" w14:textId="7D8D2868" w:rsidR="00E53916" w:rsidRPr="00E869A4" w:rsidRDefault="009C4720" w:rsidP="005C449C">
      <w:pPr>
        <w:pStyle w:val="Heading3"/>
      </w:pPr>
      <w:bookmarkStart w:id="385" w:name="_Toc40436574"/>
      <w:r w:rsidRPr="00E869A4">
        <w:t>9</w:t>
      </w:r>
      <w:r w:rsidR="00B87119" w:rsidRPr="00E869A4">
        <w:t xml:space="preserve">.4.2     </w:t>
      </w:r>
      <w:r w:rsidR="00E53916" w:rsidRPr="00E869A4">
        <w:t xml:space="preserve">Health </w:t>
      </w:r>
      <w:r w:rsidR="009076FC" w:rsidRPr="00E869A4">
        <w:t xml:space="preserve">Care </w:t>
      </w:r>
      <w:bookmarkEnd w:id="384"/>
      <w:r w:rsidR="00F96470" w:rsidRPr="00E869A4">
        <w:t>Services</w:t>
      </w:r>
      <w:bookmarkEnd w:id="385"/>
    </w:p>
    <w:p w14:paraId="47463AC1" w14:textId="77777777" w:rsidR="00E53916" w:rsidRPr="00E869A4" w:rsidRDefault="00E53916" w:rsidP="00A35FF8">
      <w:pPr>
        <w:rPr>
          <w:rFonts w:ascii="Times New Roman" w:hAnsi="Times New Roman" w:cs="Times New Roman"/>
          <w:szCs w:val="24"/>
        </w:rPr>
      </w:pPr>
    </w:p>
    <w:p w14:paraId="7B8256DA" w14:textId="594D86DB"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Only 27% of the respondents said their older relative frequently used public health care</w:t>
      </w:r>
      <w:r w:rsidR="00BA66DA" w:rsidRPr="00E869A4">
        <w:rPr>
          <w:rFonts w:ascii="Times New Roman" w:hAnsi="Times New Roman" w:cs="Times New Roman"/>
          <w:szCs w:val="24"/>
        </w:rPr>
        <w:t>, and</w:t>
      </w:r>
      <w:r w:rsidRPr="00E869A4">
        <w:rPr>
          <w:rFonts w:ascii="Times New Roman" w:hAnsi="Times New Roman" w:cs="Times New Roman"/>
          <w:szCs w:val="24"/>
        </w:rPr>
        <w:t xml:space="preserve"> slightly more (32%) used private health care often</w:t>
      </w:r>
      <w:r w:rsidR="00DB10F8" w:rsidRPr="00E869A4">
        <w:rPr>
          <w:rFonts w:ascii="Times New Roman" w:hAnsi="Times New Roman" w:cs="Times New Roman"/>
          <w:szCs w:val="24"/>
        </w:rPr>
        <w:t xml:space="preserve"> (see Figures 22 &amp; 23 below)</w:t>
      </w:r>
      <w:r w:rsidR="00722517" w:rsidRPr="00E869A4">
        <w:rPr>
          <w:rFonts w:ascii="Times New Roman" w:hAnsi="Times New Roman" w:cs="Times New Roman"/>
          <w:szCs w:val="24"/>
        </w:rPr>
        <w:t>.</w:t>
      </w:r>
      <w:r w:rsidRPr="00E869A4">
        <w:rPr>
          <w:rFonts w:ascii="Times New Roman" w:hAnsi="Times New Roman" w:cs="Times New Roman"/>
          <w:szCs w:val="24"/>
        </w:rPr>
        <w:t xml:space="preserve"> This may be partly explained by the fact that 44% of the participants felt that public health care was bad (27%) or very bad (17%). </w:t>
      </w:r>
      <w:r w:rsidR="009076FC" w:rsidRPr="00E869A4">
        <w:rPr>
          <w:rFonts w:ascii="Times New Roman" w:hAnsi="Times New Roman" w:cs="Times New Roman"/>
          <w:szCs w:val="24"/>
        </w:rPr>
        <w:t xml:space="preserve"> It may </w:t>
      </w:r>
      <w:r w:rsidR="009076FC" w:rsidRPr="00E869A4">
        <w:rPr>
          <w:rFonts w:ascii="Times New Roman" w:hAnsi="Times New Roman" w:cs="Times New Roman"/>
          <w:szCs w:val="24"/>
        </w:rPr>
        <w:lastRenderedPageBreak/>
        <w:t xml:space="preserve">also reflect the health care needs and requirements of the older cared-for relative. </w:t>
      </w:r>
      <w:r w:rsidRPr="00E869A4">
        <w:rPr>
          <w:rFonts w:ascii="Times New Roman" w:hAnsi="Times New Roman" w:cs="Times New Roman"/>
          <w:szCs w:val="24"/>
        </w:rPr>
        <w:t xml:space="preserve">Several of the respondents pointed out inadequacies of the health care service in the open-ended comment boxes. </w:t>
      </w:r>
      <w:r w:rsidR="00C40255" w:rsidRPr="00E869A4">
        <w:rPr>
          <w:rFonts w:ascii="Times New Roman" w:hAnsi="Times New Roman" w:cs="Times New Roman"/>
          <w:szCs w:val="24"/>
        </w:rPr>
        <w:t>A</w:t>
      </w:r>
      <w:r w:rsidRPr="00E869A4">
        <w:rPr>
          <w:rFonts w:ascii="Times New Roman" w:hAnsi="Times New Roman" w:cs="Times New Roman"/>
          <w:szCs w:val="24"/>
        </w:rPr>
        <w:t xml:space="preserve"> respondent </w:t>
      </w:r>
      <w:r w:rsidR="000A595F" w:rsidRPr="00E869A4">
        <w:rPr>
          <w:rFonts w:ascii="Times New Roman" w:hAnsi="Times New Roman" w:cs="Times New Roman"/>
          <w:szCs w:val="24"/>
        </w:rPr>
        <w:t xml:space="preserve">(B) </w:t>
      </w:r>
      <w:r w:rsidRPr="00E869A4">
        <w:rPr>
          <w:rFonts w:ascii="Times New Roman" w:hAnsi="Times New Roman" w:cs="Times New Roman"/>
          <w:szCs w:val="24"/>
        </w:rPr>
        <w:t>complained that</w:t>
      </w:r>
      <w:r w:rsidR="003201B4" w:rsidRPr="00E869A4">
        <w:rPr>
          <w:rFonts w:ascii="Times New Roman" w:hAnsi="Times New Roman" w:cs="Times New Roman"/>
          <w:szCs w:val="24"/>
        </w:rPr>
        <w:t>:</w:t>
      </w:r>
      <w:r w:rsidRPr="00E869A4">
        <w:rPr>
          <w:rFonts w:ascii="Times New Roman" w:hAnsi="Times New Roman" w:cs="Times New Roman"/>
          <w:szCs w:val="24"/>
        </w:rPr>
        <w:t xml:space="preserve"> </w:t>
      </w:r>
    </w:p>
    <w:p w14:paraId="524AE354" w14:textId="77777777" w:rsidR="00914F59" w:rsidRPr="00E869A4" w:rsidRDefault="00914F59" w:rsidP="00425529">
      <w:pPr>
        <w:spacing w:line="240" w:lineRule="auto"/>
        <w:rPr>
          <w:rFonts w:ascii="Times New Roman" w:hAnsi="Times New Roman" w:cs="Times New Roman"/>
          <w:szCs w:val="24"/>
        </w:rPr>
      </w:pPr>
    </w:p>
    <w:p w14:paraId="1DFFEA5B" w14:textId="7A4F4FD2" w:rsidR="003A7CB3" w:rsidRPr="00E869A4" w:rsidRDefault="00E53916" w:rsidP="000A595F">
      <w:pPr>
        <w:spacing w:line="240" w:lineRule="auto"/>
        <w:ind w:left="567" w:firstLine="0"/>
        <w:rPr>
          <w:rFonts w:ascii="Times New Roman" w:hAnsi="Times New Roman" w:cs="Times New Roman"/>
          <w:szCs w:val="24"/>
        </w:rPr>
      </w:pPr>
      <w:r w:rsidRPr="00E869A4">
        <w:rPr>
          <w:rFonts w:ascii="Times New Roman" w:hAnsi="Times New Roman" w:cs="Times New Roman"/>
          <w:szCs w:val="24"/>
        </w:rPr>
        <w:t>The public health care system was almost useless to us in getting proper care for my father's prostate cancer. We basically paid to get surgery etc. but the hospital clinic was not very helpful. Although he was in the clinic we still had to buy expensive medication</w:t>
      </w:r>
      <w:r w:rsidR="000A595F" w:rsidRPr="00E869A4">
        <w:rPr>
          <w:rFonts w:ascii="Times New Roman" w:hAnsi="Times New Roman" w:cs="Times New Roman"/>
          <w:szCs w:val="24"/>
        </w:rPr>
        <w:t>.</w:t>
      </w:r>
    </w:p>
    <w:p w14:paraId="2641AA6F" w14:textId="77777777" w:rsidR="00721EEB" w:rsidRPr="00E869A4" w:rsidRDefault="00721EEB" w:rsidP="003A7CB3">
      <w:pPr>
        <w:ind w:left="720"/>
        <w:jc w:val="center"/>
        <w:rPr>
          <w:b/>
          <w:i/>
        </w:rPr>
      </w:pPr>
    </w:p>
    <w:p w14:paraId="40341BFF" w14:textId="4C2C4491" w:rsidR="00721EEB" w:rsidRPr="00E869A4" w:rsidRDefault="00721EEB" w:rsidP="00721EEB">
      <w:pPr>
        <w:pStyle w:val="Caption"/>
        <w:rPr>
          <w:b/>
          <w:i w:val="0"/>
          <w:sz w:val="24"/>
        </w:rPr>
      </w:pPr>
      <w:bookmarkStart w:id="386" w:name="_Toc40436652"/>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22</w:t>
      </w:r>
      <w:r w:rsidR="0026235F" w:rsidRPr="00E869A4">
        <w:rPr>
          <w:b/>
          <w:i w:val="0"/>
          <w:sz w:val="24"/>
        </w:rPr>
        <w:fldChar w:fldCharType="end"/>
      </w:r>
      <w:r w:rsidR="00ED14A9" w:rsidRPr="00E869A4">
        <w:rPr>
          <w:b/>
          <w:i w:val="0"/>
          <w:sz w:val="24"/>
        </w:rPr>
        <w:t>:</w:t>
      </w:r>
      <w:r w:rsidRPr="00E869A4">
        <w:rPr>
          <w:b/>
          <w:i w:val="0"/>
          <w:sz w:val="24"/>
        </w:rPr>
        <w:t xml:space="preserve"> Public Health Care Use by Older Relative</w:t>
      </w:r>
      <w:bookmarkEnd w:id="386"/>
    </w:p>
    <w:p w14:paraId="648C1D43" w14:textId="77777777" w:rsidR="00721EEB" w:rsidRPr="00E869A4" w:rsidRDefault="00721EEB" w:rsidP="00721EEB"/>
    <w:p w14:paraId="2A49B645" w14:textId="77777777" w:rsidR="00E53916" w:rsidRPr="00E869A4" w:rsidRDefault="00E53916" w:rsidP="00A35FF8">
      <w:pPr>
        <w:rPr>
          <w:rFonts w:ascii="Times New Roman" w:hAnsi="Times New Roman" w:cs="Times New Roman"/>
        </w:rPr>
      </w:pPr>
      <w:r w:rsidRPr="00E869A4">
        <w:rPr>
          <w:rFonts w:ascii="Times New Roman" w:hAnsi="Times New Roman" w:cs="Times New Roman"/>
          <w:noProof/>
        </w:rPr>
        <w:drawing>
          <wp:inline distT="0" distB="0" distL="0" distR="0" wp14:anchorId="0F054E51" wp14:editId="599A2C73">
            <wp:extent cx="5486400" cy="2978150"/>
            <wp:effectExtent l="0" t="0" r="1905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E25067" w14:textId="77777777" w:rsidR="00914F59" w:rsidRPr="00E869A4" w:rsidRDefault="00914F59" w:rsidP="00A35FF8">
      <w:pPr>
        <w:jc w:val="center"/>
      </w:pPr>
    </w:p>
    <w:p w14:paraId="7BD268D3" w14:textId="244F7F8B" w:rsidR="000A595F" w:rsidRPr="00E869A4" w:rsidRDefault="000A595F" w:rsidP="000A595F">
      <w:pPr>
        <w:rPr>
          <w:rFonts w:ascii="Times New Roman" w:hAnsi="Times New Roman" w:cs="Times New Roman"/>
          <w:i/>
          <w:szCs w:val="24"/>
        </w:rPr>
      </w:pPr>
      <w:r w:rsidRPr="00E869A4">
        <w:rPr>
          <w:rFonts w:ascii="Times New Roman" w:hAnsi="Times New Roman" w:cs="Times New Roman"/>
          <w:szCs w:val="24"/>
        </w:rPr>
        <w:t>Respondents highlighted concerns about the out-of-pocket cost of care to persons who tried to access public and private health care services on more than one occasion. One respondent noted the following: “Unless one can afford to care for older persons, there is very little help - most of the care facilities are very bad and the medicine - once it is not on CDAP</w:t>
      </w:r>
      <w:r w:rsidRPr="00E869A4">
        <w:rPr>
          <w:rStyle w:val="FootnoteReference"/>
          <w:rFonts w:ascii="Times New Roman" w:hAnsi="Times New Roman" w:cs="Times New Roman"/>
          <w:szCs w:val="24"/>
        </w:rPr>
        <w:footnoteReference w:id="78"/>
      </w:r>
      <w:r w:rsidRPr="00E869A4">
        <w:rPr>
          <w:rFonts w:ascii="Times New Roman" w:hAnsi="Times New Roman" w:cs="Times New Roman"/>
          <w:szCs w:val="24"/>
        </w:rPr>
        <w:t xml:space="preserve"> is very expensive.” (Respondent C).</w:t>
      </w:r>
      <w:r w:rsidRPr="00E869A4">
        <w:rPr>
          <w:rFonts w:ascii="Times New Roman" w:hAnsi="Times New Roman" w:cs="Times New Roman"/>
          <w:i/>
          <w:szCs w:val="24"/>
        </w:rPr>
        <w:t xml:space="preserve"> </w:t>
      </w:r>
    </w:p>
    <w:p w14:paraId="4D33695E" w14:textId="77777777" w:rsidR="00914F59" w:rsidRPr="00E869A4" w:rsidRDefault="00914F59">
      <w:pPr>
        <w:spacing w:line="276" w:lineRule="auto"/>
      </w:pPr>
      <w:r w:rsidRPr="00E869A4">
        <w:br w:type="page"/>
      </w:r>
    </w:p>
    <w:p w14:paraId="399A0DB5" w14:textId="45CFB3A9" w:rsidR="00210091" w:rsidRPr="00E869A4" w:rsidRDefault="00210091" w:rsidP="00210091">
      <w:pPr>
        <w:pStyle w:val="Caption"/>
        <w:rPr>
          <w:b/>
          <w:i w:val="0"/>
          <w:sz w:val="24"/>
        </w:rPr>
      </w:pPr>
      <w:bookmarkStart w:id="387" w:name="_Toc40436653"/>
      <w:r w:rsidRPr="00E869A4">
        <w:rPr>
          <w:b/>
          <w:i w:val="0"/>
          <w:sz w:val="24"/>
        </w:rPr>
        <w:lastRenderedPageBreak/>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23</w:t>
      </w:r>
      <w:r w:rsidR="0026235F" w:rsidRPr="00E869A4">
        <w:rPr>
          <w:b/>
          <w:i w:val="0"/>
          <w:sz w:val="24"/>
        </w:rPr>
        <w:fldChar w:fldCharType="end"/>
      </w:r>
      <w:r w:rsidR="00ED14A9" w:rsidRPr="00E869A4">
        <w:rPr>
          <w:b/>
          <w:i w:val="0"/>
          <w:sz w:val="24"/>
        </w:rPr>
        <w:t>:</w:t>
      </w:r>
      <w:r w:rsidRPr="00E869A4">
        <w:rPr>
          <w:b/>
          <w:i w:val="0"/>
          <w:sz w:val="24"/>
        </w:rPr>
        <w:t xml:space="preserve"> Private Health Care Use by Older Relative</w:t>
      </w:r>
      <w:bookmarkEnd w:id="387"/>
    </w:p>
    <w:p w14:paraId="6466E57B" w14:textId="77777777" w:rsidR="00D62D71" w:rsidRPr="00E869A4" w:rsidRDefault="00D62D71" w:rsidP="00A35FF8">
      <w:pPr>
        <w:jc w:val="center"/>
        <w:rPr>
          <w:b/>
        </w:rPr>
      </w:pPr>
    </w:p>
    <w:p w14:paraId="5A7E9BEA" w14:textId="77777777" w:rsidR="00E53916" w:rsidRPr="00E869A4" w:rsidRDefault="00E53916" w:rsidP="00A35FF8">
      <w:pPr>
        <w:rPr>
          <w:rFonts w:ascii="Times New Roman" w:hAnsi="Times New Roman" w:cs="Times New Roman"/>
        </w:rPr>
      </w:pPr>
      <w:r w:rsidRPr="00E869A4">
        <w:rPr>
          <w:rFonts w:ascii="Times New Roman" w:hAnsi="Times New Roman" w:cs="Times New Roman"/>
          <w:noProof/>
        </w:rPr>
        <w:drawing>
          <wp:inline distT="0" distB="0" distL="0" distR="0" wp14:anchorId="0AA82C5F" wp14:editId="70BADDE6">
            <wp:extent cx="5486400" cy="32004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303FFE" w14:textId="77777777" w:rsidR="00E53916" w:rsidRPr="00E869A4" w:rsidRDefault="00E53916" w:rsidP="00A35FF8">
      <w:pPr>
        <w:rPr>
          <w:rFonts w:ascii="Times New Roman" w:hAnsi="Times New Roman" w:cs="Times New Roman"/>
          <w:szCs w:val="24"/>
        </w:rPr>
      </w:pPr>
    </w:p>
    <w:p w14:paraId="741ED41D" w14:textId="18DCBDB5" w:rsidR="00E53916" w:rsidRPr="00E869A4" w:rsidRDefault="00E53916" w:rsidP="0050103B">
      <w:pPr>
        <w:ind w:firstLine="0"/>
        <w:rPr>
          <w:rFonts w:ascii="Times New Roman" w:hAnsi="Times New Roman" w:cs="Times New Roman"/>
          <w:szCs w:val="24"/>
        </w:rPr>
      </w:pPr>
      <w:r w:rsidRPr="00E869A4">
        <w:rPr>
          <w:rFonts w:ascii="Times New Roman" w:hAnsi="Times New Roman" w:cs="Times New Roman"/>
          <w:szCs w:val="24"/>
        </w:rPr>
        <w:t xml:space="preserve">Another </w:t>
      </w:r>
      <w:r w:rsidR="000A595F" w:rsidRPr="00E869A4">
        <w:rPr>
          <w:rFonts w:ascii="Times New Roman" w:hAnsi="Times New Roman" w:cs="Times New Roman"/>
          <w:szCs w:val="24"/>
        </w:rPr>
        <w:t xml:space="preserve">(Respondent D) </w:t>
      </w:r>
      <w:r w:rsidRPr="00E869A4">
        <w:rPr>
          <w:rFonts w:ascii="Times New Roman" w:hAnsi="Times New Roman" w:cs="Times New Roman"/>
          <w:szCs w:val="24"/>
        </w:rPr>
        <w:t>expressed the following view</w:t>
      </w:r>
      <w:r w:rsidR="00EB44FF" w:rsidRPr="00E869A4">
        <w:rPr>
          <w:rFonts w:ascii="Times New Roman" w:hAnsi="Times New Roman" w:cs="Times New Roman"/>
          <w:szCs w:val="24"/>
        </w:rPr>
        <w:t>:</w:t>
      </w:r>
      <w:r w:rsidRPr="00E869A4">
        <w:rPr>
          <w:rFonts w:ascii="Times New Roman" w:hAnsi="Times New Roman" w:cs="Times New Roman"/>
          <w:szCs w:val="24"/>
        </w:rPr>
        <w:t xml:space="preserve"> </w:t>
      </w:r>
    </w:p>
    <w:p w14:paraId="5DBC4D3A" w14:textId="77777777" w:rsidR="001A5642" w:rsidRPr="00E869A4" w:rsidRDefault="001A5642" w:rsidP="00914FB4">
      <w:pPr>
        <w:spacing w:line="240" w:lineRule="auto"/>
        <w:rPr>
          <w:rFonts w:ascii="Times New Roman" w:hAnsi="Times New Roman" w:cs="Times New Roman"/>
          <w:szCs w:val="24"/>
        </w:rPr>
      </w:pPr>
    </w:p>
    <w:p w14:paraId="1BEB8B1B" w14:textId="69FC89B6" w:rsidR="00E53916" w:rsidRPr="00E869A4" w:rsidRDefault="00E53916" w:rsidP="000A595F">
      <w:pPr>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Trinidad and Tobago needs responsive Health care facilities and social services for the </w:t>
      </w:r>
      <w:r w:rsidR="0050103B" w:rsidRPr="00E869A4">
        <w:rPr>
          <w:rFonts w:ascii="Times New Roman" w:hAnsi="Times New Roman" w:cs="Times New Roman"/>
          <w:szCs w:val="24"/>
        </w:rPr>
        <w:t>elderly</w:t>
      </w:r>
      <w:r w:rsidRPr="00E869A4">
        <w:rPr>
          <w:rFonts w:ascii="Times New Roman" w:hAnsi="Times New Roman" w:cs="Times New Roman"/>
          <w:szCs w:val="24"/>
        </w:rPr>
        <w:t>. This is based on my experience with challenges faced by my mother who is a dementia sufferer</w:t>
      </w:r>
      <w:r w:rsidR="000A595F" w:rsidRPr="00E869A4">
        <w:rPr>
          <w:rFonts w:ascii="Times New Roman" w:hAnsi="Times New Roman" w:cs="Times New Roman"/>
          <w:szCs w:val="24"/>
        </w:rPr>
        <w:t xml:space="preserve"> ..</w:t>
      </w:r>
      <w:r w:rsidRPr="00E869A4">
        <w:rPr>
          <w:rFonts w:ascii="Times New Roman" w:hAnsi="Times New Roman" w:cs="Times New Roman"/>
          <w:szCs w:val="24"/>
        </w:rPr>
        <w:t>.</w:t>
      </w:r>
      <w:r w:rsidR="000A595F" w:rsidRPr="00E869A4">
        <w:rPr>
          <w:rFonts w:ascii="Times New Roman" w:hAnsi="Times New Roman" w:cs="Times New Roman"/>
          <w:szCs w:val="24"/>
        </w:rPr>
        <w:t xml:space="preserve"> </w:t>
      </w:r>
      <w:r w:rsidRPr="00E869A4">
        <w:rPr>
          <w:rFonts w:ascii="Times New Roman" w:hAnsi="Times New Roman" w:cs="Times New Roman"/>
          <w:szCs w:val="24"/>
        </w:rPr>
        <w:t>most times the medication prescribed for dementia and mental health sufferers are not available at the hospital pharmacies and the cost are usually very high making it prohibitive for the relatives to purchase</w:t>
      </w:r>
      <w:r w:rsidR="00EB44FF" w:rsidRPr="00E869A4">
        <w:rPr>
          <w:rFonts w:ascii="Times New Roman" w:hAnsi="Times New Roman" w:cs="Times New Roman"/>
          <w:szCs w:val="24"/>
        </w:rPr>
        <w:t>.</w:t>
      </w:r>
    </w:p>
    <w:p w14:paraId="1A181204" w14:textId="77777777" w:rsidR="000674D8" w:rsidRPr="00E869A4" w:rsidRDefault="000674D8" w:rsidP="00914FB4">
      <w:pPr>
        <w:spacing w:line="240" w:lineRule="auto"/>
        <w:rPr>
          <w:rFonts w:ascii="Times New Roman" w:hAnsi="Times New Roman" w:cs="Times New Roman"/>
          <w:szCs w:val="24"/>
        </w:rPr>
      </w:pPr>
    </w:p>
    <w:p w14:paraId="7460D951" w14:textId="2B2FCDEC" w:rsidR="00E53916" w:rsidRPr="00E869A4" w:rsidRDefault="00E53916" w:rsidP="00F473A8">
      <w:pPr>
        <w:ind w:firstLine="0"/>
        <w:rPr>
          <w:rFonts w:ascii="Times New Roman" w:hAnsi="Times New Roman" w:cs="Times New Roman"/>
          <w:szCs w:val="24"/>
        </w:rPr>
      </w:pPr>
      <w:r w:rsidRPr="00E869A4">
        <w:rPr>
          <w:rFonts w:ascii="Times New Roman" w:hAnsi="Times New Roman" w:cs="Times New Roman"/>
          <w:szCs w:val="24"/>
        </w:rPr>
        <w:t xml:space="preserve">Other persons chose to provide even more detailed accounts of their negative experiences with the health care system in </w:t>
      </w:r>
      <w:r w:rsidR="008C76CE" w:rsidRPr="00E869A4">
        <w:rPr>
          <w:rFonts w:ascii="Times New Roman" w:eastAsiaTheme="majorEastAsia" w:hAnsi="Times New Roman" w:cs="Times New Roman"/>
          <w:bCs/>
          <w:szCs w:val="26"/>
        </w:rPr>
        <w:t>T&amp;T</w:t>
      </w:r>
      <w:r w:rsidRPr="00E869A4">
        <w:rPr>
          <w:rFonts w:ascii="Times New Roman" w:hAnsi="Times New Roman" w:cs="Times New Roman"/>
          <w:szCs w:val="24"/>
        </w:rPr>
        <w:t>. Following is one such account</w:t>
      </w:r>
      <w:r w:rsidR="000A595F" w:rsidRPr="00E869A4">
        <w:rPr>
          <w:rFonts w:ascii="Times New Roman" w:hAnsi="Times New Roman" w:cs="Times New Roman"/>
          <w:szCs w:val="24"/>
        </w:rPr>
        <w:t xml:space="preserve"> from Respondent E</w:t>
      </w:r>
      <w:r w:rsidRPr="00E869A4">
        <w:rPr>
          <w:rFonts w:ascii="Times New Roman" w:hAnsi="Times New Roman" w:cs="Times New Roman"/>
          <w:szCs w:val="24"/>
        </w:rPr>
        <w:t>:</w:t>
      </w:r>
    </w:p>
    <w:p w14:paraId="427DEA9E" w14:textId="77777777" w:rsidR="00D470B3" w:rsidRPr="00E869A4" w:rsidRDefault="00D470B3" w:rsidP="00914FB4">
      <w:pPr>
        <w:spacing w:line="240" w:lineRule="auto"/>
        <w:rPr>
          <w:rFonts w:ascii="Times New Roman" w:hAnsi="Times New Roman" w:cs="Times New Roman"/>
          <w:szCs w:val="24"/>
        </w:rPr>
      </w:pPr>
    </w:p>
    <w:p w14:paraId="739E8257" w14:textId="4FEA78B9" w:rsidR="00E53916" w:rsidRPr="00E869A4" w:rsidRDefault="00E53916" w:rsidP="000A595F">
      <w:pPr>
        <w:spacing w:line="240" w:lineRule="auto"/>
        <w:ind w:left="720" w:firstLine="0"/>
        <w:rPr>
          <w:rFonts w:ascii="Times New Roman" w:hAnsi="Times New Roman" w:cs="Times New Roman"/>
          <w:szCs w:val="24"/>
        </w:rPr>
      </w:pPr>
      <w:r w:rsidRPr="00E869A4">
        <w:rPr>
          <w:rFonts w:ascii="Times New Roman" w:hAnsi="Times New Roman" w:cs="Times New Roman"/>
          <w:szCs w:val="24"/>
        </w:rPr>
        <w:t xml:space="preserve">The most frustrating thing about caring for an older person [is] the horrible state of the public health care available to them, and the lack of information and support available to the family.  These are older citizens.  They have to get to hospitals very early, sometimes stand for long periods waiting for a number, then wait for entirely too long for attention from a doctor.  My mother was diagnosed with breast cancer, but at no time was information shared with us or her </w:t>
      </w:r>
      <w:r w:rsidR="0050103B" w:rsidRPr="00E869A4">
        <w:rPr>
          <w:rFonts w:ascii="Times New Roman" w:hAnsi="Times New Roman" w:cs="Times New Roman"/>
          <w:szCs w:val="24"/>
        </w:rPr>
        <w:t>specifically about her disease.</w:t>
      </w:r>
      <w:r w:rsidRPr="00E869A4">
        <w:rPr>
          <w:rFonts w:ascii="Times New Roman" w:hAnsi="Times New Roman" w:cs="Times New Roman"/>
          <w:szCs w:val="24"/>
        </w:rPr>
        <w:t xml:space="preserve"> We were given no kind of support, encouragement or advice pertaining to her care.  We were just told that she had to have a mastectomy and that was all.  Post-surgical care in the form of counselling for us was also non-existent, and I would have loved for some kind of support for both my mother and our family.  She was quite depressed after the surgery and while she had visits to the hospital for post-surgical medical attention, there was </w:t>
      </w:r>
      <w:r w:rsidRPr="00E869A4">
        <w:rPr>
          <w:rFonts w:ascii="Times New Roman" w:hAnsi="Times New Roman" w:cs="Times New Roman"/>
          <w:szCs w:val="24"/>
        </w:rPr>
        <w:lastRenderedPageBreak/>
        <w:t>nothing offered for her emotional distress, which was as important, if not more so than, her physical trauma.  We had to do what we could to cheer her up and help her work through the loss of what she saw as a key part of her womanhood. My mother has passed away, but the trauma of caring for her, seeing her suffer through metastatic breast cancer with no support from health care providers to her or us is something I will not forget anytime soon</w:t>
      </w:r>
      <w:r w:rsidR="000A595F" w:rsidRPr="00E869A4">
        <w:rPr>
          <w:rFonts w:ascii="Times New Roman" w:hAnsi="Times New Roman" w:cs="Times New Roman"/>
          <w:szCs w:val="24"/>
        </w:rPr>
        <w:t>.</w:t>
      </w:r>
    </w:p>
    <w:p w14:paraId="22FB46BB" w14:textId="77777777" w:rsidR="00F1479D" w:rsidRPr="00E869A4" w:rsidRDefault="00F1479D" w:rsidP="00914FB4">
      <w:pPr>
        <w:spacing w:line="240" w:lineRule="auto"/>
        <w:rPr>
          <w:rFonts w:ascii="Times New Roman" w:hAnsi="Times New Roman" w:cs="Times New Roman"/>
          <w:szCs w:val="24"/>
        </w:rPr>
      </w:pPr>
    </w:p>
    <w:p w14:paraId="1A38637E" w14:textId="605FED08" w:rsidR="00E53916" w:rsidRPr="00E869A4" w:rsidRDefault="005059FB" w:rsidP="000A595F">
      <w:pPr>
        <w:rPr>
          <w:rFonts w:ascii="Times New Roman" w:hAnsi="Times New Roman" w:cs="Times New Roman"/>
          <w:szCs w:val="24"/>
        </w:rPr>
      </w:pPr>
      <w:r w:rsidRPr="00E869A4">
        <w:rPr>
          <w:rFonts w:ascii="Times New Roman" w:hAnsi="Times New Roman" w:cs="Times New Roman"/>
          <w:szCs w:val="24"/>
        </w:rPr>
        <w:t>One</w:t>
      </w:r>
      <w:r w:rsidR="00E53916" w:rsidRPr="00E869A4">
        <w:rPr>
          <w:rFonts w:ascii="Times New Roman" w:hAnsi="Times New Roman" w:cs="Times New Roman"/>
          <w:szCs w:val="24"/>
        </w:rPr>
        <w:t xml:space="preserve"> respondent went so far as to provide a list of complaints about health care in T&amp;T with a few recommendations in between (see </w:t>
      </w:r>
      <w:r w:rsidR="00C40255" w:rsidRPr="00E869A4">
        <w:rPr>
          <w:rFonts w:ascii="Times New Roman" w:hAnsi="Times New Roman" w:cs="Times New Roman"/>
          <w:szCs w:val="24"/>
        </w:rPr>
        <w:t>‘Respon</w:t>
      </w:r>
      <w:r w:rsidR="000A595F" w:rsidRPr="00E869A4">
        <w:rPr>
          <w:rFonts w:ascii="Times New Roman" w:hAnsi="Times New Roman" w:cs="Times New Roman"/>
          <w:szCs w:val="24"/>
        </w:rPr>
        <w:t>dent</w:t>
      </w:r>
      <w:r w:rsidR="00C40255" w:rsidRPr="00E869A4">
        <w:rPr>
          <w:rFonts w:ascii="Times New Roman" w:hAnsi="Times New Roman" w:cs="Times New Roman"/>
          <w:szCs w:val="24"/>
        </w:rPr>
        <w:t xml:space="preserve"> F’ in </w:t>
      </w:r>
      <w:r w:rsidR="00E53916" w:rsidRPr="00E869A4">
        <w:rPr>
          <w:rFonts w:ascii="Times New Roman" w:hAnsi="Times New Roman" w:cs="Times New Roman"/>
          <w:szCs w:val="24"/>
        </w:rPr>
        <w:t>Box 1 below). Some participants were critical of private health institutions. One person noted:</w:t>
      </w:r>
      <w:r w:rsidR="000A595F" w:rsidRPr="00E869A4">
        <w:rPr>
          <w:rFonts w:ascii="Times New Roman" w:hAnsi="Times New Roman" w:cs="Times New Roman"/>
          <w:szCs w:val="24"/>
        </w:rPr>
        <w:t xml:space="preserve"> </w:t>
      </w:r>
      <w:r w:rsidR="00E53916" w:rsidRPr="00E869A4">
        <w:rPr>
          <w:rFonts w:ascii="Times New Roman" w:hAnsi="Times New Roman" w:cs="Times New Roman"/>
          <w:szCs w:val="24"/>
        </w:rPr>
        <w:t>“I had a really bad experience with [a private medical hospital] and do not think they are following appropriate protocol for end of life and frail patients</w:t>
      </w:r>
      <w:r w:rsidR="00B3063B" w:rsidRPr="00E869A4">
        <w:rPr>
          <w:rFonts w:ascii="Times New Roman" w:hAnsi="Times New Roman" w:cs="Times New Roman"/>
          <w:szCs w:val="24"/>
        </w:rPr>
        <w:t>.</w:t>
      </w:r>
      <w:r w:rsidR="00E53916" w:rsidRPr="00E869A4">
        <w:rPr>
          <w:rFonts w:ascii="Times New Roman" w:hAnsi="Times New Roman" w:cs="Times New Roman"/>
          <w:szCs w:val="24"/>
        </w:rPr>
        <w:t>”</w:t>
      </w:r>
      <w:r w:rsidR="00536CC0" w:rsidRPr="00E869A4">
        <w:rPr>
          <w:rFonts w:ascii="Times New Roman" w:hAnsi="Times New Roman" w:cs="Times New Roman"/>
          <w:szCs w:val="24"/>
        </w:rPr>
        <w:t xml:space="preserve"> </w:t>
      </w:r>
      <w:r w:rsidR="00E53916" w:rsidRPr="00E869A4">
        <w:rPr>
          <w:rFonts w:ascii="Times New Roman" w:hAnsi="Times New Roman" w:cs="Times New Roman"/>
          <w:szCs w:val="24"/>
        </w:rPr>
        <w:t>(</w:t>
      </w:r>
      <w:r w:rsidR="000A595F" w:rsidRPr="00E869A4">
        <w:rPr>
          <w:rFonts w:ascii="Times New Roman" w:hAnsi="Times New Roman" w:cs="Times New Roman"/>
          <w:szCs w:val="24"/>
        </w:rPr>
        <w:t>Respondent</w:t>
      </w:r>
      <w:r w:rsidR="00E53916" w:rsidRPr="00E869A4">
        <w:rPr>
          <w:rFonts w:ascii="Times New Roman" w:hAnsi="Times New Roman" w:cs="Times New Roman"/>
          <w:szCs w:val="24"/>
        </w:rPr>
        <w:t xml:space="preserve"> </w:t>
      </w:r>
      <w:r w:rsidR="000674D8" w:rsidRPr="00E869A4">
        <w:rPr>
          <w:rFonts w:ascii="Times New Roman" w:hAnsi="Times New Roman" w:cs="Times New Roman"/>
          <w:szCs w:val="24"/>
        </w:rPr>
        <w:t>G</w:t>
      </w:r>
      <w:r w:rsidR="00E53916" w:rsidRPr="00E869A4">
        <w:rPr>
          <w:rFonts w:ascii="Times New Roman" w:hAnsi="Times New Roman" w:cs="Times New Roman"/>
          <w:szCs w:val="24"/>
        </w:rPr>
        <w:t>)</w:t>
      </w:r>
      <w:r w:rsidR="000A595F" w:rsidRPr="00E869A4">
        <w:rPr>
          <w:rFonts w:ascii="Times New Roman" w:hAnsi="Times New Roman" w:cs="Times New Roman"/>
          <w:szCs w:val="24"/>
        </w:rPr>
        <w:t>.</w:t>
      </w:r>
    </w:p>
    <w:p w14:paraId="1EDE44F9" w14:textId="77777777" w:rsidR="000A595F" w:rsidRPr="00E869A4" w:rsidRDefault="000A595F" w:rsidP="000A595F">
      <w:pPr>
        <w:rPr>
          <w:rFonts w:ascii="Times New Roman" w:hAnsi="Times New Roman" w:cs="Times New Roman"/>
          <w:b/>
          <w:bCs/>
          <w:i/>
          <w:szCs w:val="18"/>
        </w:rPr>
      </w:pPr>
    </w:p>
    <w:p w14:paraId="58CDD4B9" w14:textId="6DD3473A" w:rsidR="007E4CDA" w:rsidRPr="00E869A4" w:rsidRDefault="007E4CDA" w:rsidP="000674D8">
      <w:pPr>
        <w:rPr>
          <w:rFonts w:ascii="Times New Roman" w:eastAsiaTheme="majorEastAsia" w:hAnsi="Times New Roman" w:cs="Times New Roman"/>
          <w:b/>
          <w:bCs/>
          <w:szCs w:val="26"/>
        </w:rPr>
      </w:pPr>
      <w:bookmarkStart w:id="388" w:name="_Toc40436663"/>
      <w:r w:rsidRPr="00E869A4">
        <w:rPr>
          <w:rFonts w:ascii="Times New Roman" w:eastAsiaTheme="majorEastAsia" w:hAnsi="Times New Roman" w:cs="Times New Roman"/>
          <w:b/>
          <w:bCs/>
          <w:szCs w:val="26"/>
        </w:rPr>
        <w:t xml:space="preserve">Box </w:t>
      </w:r>
      <w:r w:rsidRPr="00E869A4">
        <w:rPr>
          <w:rFonts w:ascii="Times New Roman" w:eastAsiaTheme="majorEastAsia" w:hAnsi="Times New Roman" w:cs="Times New Roman"/>
          <w:b/>
          <w:bCs/>
          <w:szCs w:val="26"/>
        </w:rPr>
        <w:fldChar w:fldCharType="begin"/>
      </w:r>
      <w:r w:rsidRPr="00E869A4">
        <w:rPr>
          <w:rFonts w:ascii="Times New Roman" w:eastAsiaTheme="majorEastAsia" w:hAnsi="Times New Roman" w:cs="Times New Roman"/>
          <w:b/>
          <w:bCs/>
          <w:szCs w:val="26"/>
        </w:rPr>
        <w:instrText xml:space="preserve"> SEQ Box \* ARABIC </w:instrText>
      </w:r>
      <w:r w:rsidRPr="00E869A4">
        <w:rPr>
          <w:rFonts w:ascii="Times New Roman" w:eastAsiaTheme="majorEastAsia" w:hAnsi="Times New Roman" w:cs="Times New Roman"/>
          <w:b/>
          <w:bCs/>
          <w:szCs w:val="26"/>
        </w:rPr>
        <w:fldChar w:fldCharType="separate"/>
      </w:r>
      <w:r w:rsidR="00D7239F">
        <w:rPr>
          <w:rFonts w:ascii="Times New Roman" w:eastAsiaTheme="majorEastAsia" w:hAnsi="Times New Roman" w:cs="Times New Roman"/>
          <w:b/>
          <w:bCs/>
          <w:noProof/>
          <w:szCs w:val="26"/>
        </w:rPr>
        <w:t>1</w:t>
      </w:r>
      <w:r w:rsidRPr="00E869A4">
        <w:rPr>
          <w:rFonts w:ascii="Times New Roman" w:eastAsiaTheme="majorEastAsia" w:hAnsi="Times New Roman" w:cs="Times New Roman"/>
          <w:b/>
          <w:bCs/>
          <w:szCs w:val="26"/>
        </w:rPr>
        <w:fldChar w:fldCharType="end"/>
      </w:r>
      <w:r w:rsidR="00D2467F" w:rsidRPr="00E869A4">
        <w:rPr>
          <w:rFonts w:ascii="Times New Roman" w:eastAsiaTheme="majorEastAsia" w:hAnsi="Times New Roman" w:cs="Times New Roman"/>
          <w:b/>
          <w:bCs/>
          <w:szCs w:val="26"/>
        </w:rPr>
        <w:t>:</w:t>
      </w:r>
      <w:r w:rsidRPr="00E869A4">
        <w:rPr>
          <w:rFonts w:ascii="Times New Roman" w:eastAsiaTheme="majorEastAsia" w:hAnsi="Times New Roman" w:cs="Times New Roman"/>
          <w:b/>
          <w:bCs/>
          <w:szCs w:val="26"/>
        </w:rPr>
        <w:t xml:space="preserve"> Complaints from Participant </w:t>
      </w:r>
      <w:r w:rsidR="000674D8" w:rsidRPr="00E869A4">
        <w:rPr>
          <w:rFonts w:ascii="Times New Roman" w:eastAsiaTheme="majorEastAsia" w:hAnsi="Times New Roman" w:cs="Times New Roman"/>
          <w:b/>
          <w:bCs/>
          <w:szCs w:val="26"/>
        </w:rPr>
        <w:t>(Respon</w:t>
      </w:r>
      <w:r w:rsidR="000A595F" w:rsidRPr="00E869A4">
        <w:rPr>
          <w:rFonts w:ascii="Times New Roman" w:eastAsiaTheme="majorEastAsia" w:hAnsi="Times New Roman" w:cs="Times New Roman"/>
          <w:b/>
          <w:bCs/>
          <w:szCs w:val="26"/>
        </w:rPr>
        <w:t>dent</w:t>
      </w:r>
      <w:r w:rsidR="000674D8" w:rsidRPr="00E869A4">
        <w:rPr>
          <w:rFonts w:ascii="Times New Roman" w:eastAsiaTheme="majorEastAsia" w:hAnsi="Times New Roman" w:cs="Times New Roman"/>
          <w:b/>
          <w:bCs/>
          <w:szCs w:val="26"/>
        </w:rPr>
        <w:t xml:space="preserve"> F)</w:t>
      </w:r>
      <w:r w:rsidRPr="00E869A4">
        <w:rPr>
          <w:rFonts w:ascii="Times New Roman" w:eastAsiaTheme="majorEastAsia" w:hAnsi="Times New Roman" w:cs="Times New Roman"/>
          <w:b/>
          <w:bCs/>
          <w:szCs w:val="26"/>
        </w:rPr>
        <w:t xml:space="preserve"> about Health Care in T&amp;T</w:t>
      </w:r>
      <w:bookmarkEnd w:id="388"/>
    </w:p>
    <w:p w14:paraId="69AE9646" w14:textId="77777777" w:rsidR="00290AB1" w:rsidRPr="00E869A4" w:rsidRDefault="00290AB1" w:rsidP="000674D8">
      <w:pPr>
        <w:rPr>
          <w:rFonts w:ascii="Times New Roman" w:eastAsiaTheme="majorEastAsia" w:hAnsi="Times New Roman" w:cs="Times New Roman"/>
          <w:b/>
          <w:bCs/>
          <w:szCs w:val="26"/>
        </w:rPr>
      </w:pPr>
    </w:p>
    <w:p w14:paraId="7894320E" w14:textId="77777777" w:rsidR="00E53916" w:rsidRPr="00E869A4" w:rsidRDefault="00933F21" w:rsidP="00A35FF8">
      <w:pPr>
        <w:rPr>
          <w:rFonts w:ascii="Times New Roman" w:hAnsi="Times New Roman" w:cs="Times New Roman"/>
        </w:rPr>
      </w:pPr>
      <w:r w:rsidRPr="00E869A4">
        <w:rPr>
          <w:rFonts w:ascii="Times New Roman" w:hAnsi="Times New Roman" w:cs="Times New Roman"/>
          <w:noProof/>
          <w:szCs w:val="24"/>
        </w:rPr>
        <mc:AlternateContent>
          <mc:Choice Requires="wps">
            <w:drawing>
              <wp:anchor distT="0" distB="0" distL="114300" distR="114300" simplePos="0" relativeHeight="251666432" behindDoc="0" locked="0" layoutInCell="1" allowOverlap="1" wp14:anchorId="4BDFB2E5" wp14:editId="24BEFE99">
                <wp:simplePos x="0" y="0"/>
                <wp:positionH relativeFrom="column">
                  <wp:posOffset>200660</wp:posOffset>
                </wp:positionH>
                <wp:positionV relativeFrom="paragraph">
                  <wp:posOffset>90170</wp:posOffset>
                </wp:positionV>
                <wp:extent cx="6005946" cy="3892550"/>
                <wp:effectExtent l="0" t="0" r="13970"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946" cy="3892550"/>
                        </a:xfrm>
                        <a:prstGeom prst="rect">
                          <a:avLst/>
                        </a:prstGeom>
                        <a:solidFill>
                          <a:srgbClr val="FFFFFF"/>
                        </a:solidFill>
                        <a:ln w="9525">
                          <a:solidFill>
                            <a:srgbClr val="000000"/>
                          </a:solidFill>
                          <a:miter lim="800000"/>
                          <a:headEnd/>
                          <a:tailEnd/>
                        </a:ln>
                      </wps:spPr>
                      <wps:txbx>
                        <w:txbxContent>
                          <w:p w14:paraId="0C6D87E5" w14:textId="0972A390" w:rsidR="00D7239F" w:rsidRPr="007017C2" w:rsidRDefault="00D7239F" w:rsidP="009D4C5D">
                            <w:pPr>
                              <w:pStyle w:val="ListParagraph"/>
                              <w:numPr>
                                <w:ilvl w:val="0"/>
                                <w:numId w:val="47"/>
                              </w:numPr>
                              <w:spacing w:after="160" w:line="256" w:lineRule="auto"/>
                              <w:ind w:right="80"/>
                              <w:rPr>
                                <w:sz w:val="22"/>
                              </w:rPr>
                            </w:pPr>
                            <w:r w:rsidRPr="007017C2">
                              <w:rPr>
                                <w:sz w:val="22"/>
                              </w:rPr>
                              <w:t>Lack of accessibility to wheelchairs for elderly in [public facilities].</w:t>
                            </w:r>
                          </w:p>
                          <w:p w14:paraId="61032685" w14:textId="00EDB239" w:rsidR="00D7239F" w:rsidRPr="007017C2" w:rsidRDefault="00D7239F" w:rsidP="009D4C5D">
                            <w:pPr>
                              <w:pStyle w:val="ListParagraph"/>
                              <w:numPr>
                                <w:ilvl w:val="0"/>
                                <w:numId w:val="47"/>
                              </w:numPr>
                              <w:spacing w:after="160" w:line="256" w:lineRule="auto"/>
                              <w:ind w:right="80"/>
                              <w:rPr>
                                <w:sz w:val="22"/>
                              </w:rPr>
                            </w:pPr>
                            <w:r w:rsidRPr="007017C2">
                              <w:rPr>
                                <w:sz w:val="22"/>
                              </w:rPr>
                              <w:t xml:space="preserve">Length of time an elderly person in discomfort/trauma has to wait to see doctor. Some staff accommodating </w:t>
                            </w:r>
                            <w:r>
                              <w:rPr>
                                <w:sz w:val="22"/>
                              </w:rPr>
                              <w:t>but wait and crowds depressing.</w:t>
                            </w:r>
                            <w:r w:rsidRPr="007017C2">
                              <w:rPr>
                                <w:sz w:val="22"/>
                              </w:rPr>
                              <w:t xml:space="preserve"> </w:t>
                            </w:r>
                          </w:p>
                          <w:p w14:paraId="50E99D59" w14:textId="39DAE5F0" w:rsidR="00D7239F" w:rsidRPr="007017C2" w:rsidRDefault="00D7239F" w:rsidP="009D4C5D">
                            <w:pPr>
                              <w:pStyle w:val="ListParagraph"/>
                              <w:numPr>
                                <w:ilvl w:val="0"/>
                                <w:numId w:val="47"/>
                              </w:numPr>
                              <w:spacing w:after="160" w:line="256" w:lineRule="auto"/>
                              <w:ind w:right="80"/>
                              <w:rPr>
                                <w:sz w:val="22"/>
                              </w:rPr>
                            </w:pPr>
                            <w:r w:rsidRPr="007017C2">
                              <w:rPr>
                                <w:sz w:val="22"/>
                              </w:rPr>
                              <w:t>Lack of washrooms near enough in above places</w:t>
                            </w:r>
                            <w:r>
                              <w:rPr>
                                <w:sz w:val="22"/>
                              </w:rPr>
                              <w:t>.</w:t>
                            </w:r>
                          </w:p>
                          <w:p w14:paraId="2D4641CA" w14:textId="77777777" w:rsidR="00D7239F" w:rsidRPr="007017C2" w:rsidRDefault="00D7239F" w:rsidP="009D4C5D">
                            <w:pPr>
                              <w:pStyle w:val="ListParagraph"/>
                              <w:numPr>
                                <w:ilvl w:val="0"/>
                                <w:numId w:val="47"/>
                              </w:numPr>
                              <w:spacing w:after="160" w:line="256" w:lineRule="auto"/>
                              <w:ind w:right="80"/>
                              <w:rPr>
                                <w:sz w:val="22"/>
                              </w:rPr>
                            </w:pPr>
                            <w:r w:rsidRPr="007017C2">
                              <w:rPr>
                                <w:sz w:val="22"/>
                              </w:rPr>
                              <w:t>Dismal and depressive physical look of such places and run down appearance. A paint job can't cost that much.</w:t>
                            </w:r>
                          </w:p>
                          <w:p w14:paraId="7B56AFC8" w14:textId="77777777" w:rsidR="00D7239F" w:rsidRPr="007017C2" w:rsidRDefault="00D7239F" w:rsidP="009D4C5D">
                            <w:pPr>
                              <w:pStyle w:val="ListParagraph"/>
                              <w:numPr>
                                <w:ilvl w:val="0"/>
                                <w:numId w:val="47"/>
                              </w:numPr>
                              <w:spacing w:after="160" w:line="256" w:lineRule="auto"/>
                              <w:ind w:right="80"/>
                              <w:rPr>
                                <w:sz w:val="22"/>
                              </w:rPr>
                            </w:pPr>
                            <w:r w:rsidRPr="007017C2">
                              <w:rPr>
                                <w:sz w:val="22"/>
                              </w:rPr>
                              <w:t>The bureaucracy of such places and unfriendly nature of nurses in public health.</w:t>
                            </w:r>
                          </w:p>
                          <w:p w14:paraId="47A27DD9" w14:textId="77777777" w:rsidR="00D7239F" w:rsidRPr="007017C2" w:rsidRDefault="00D7239F" w:rsidP="009D4C5D">
                            <w:pPr>
                              <w:pStyle w:val="ListParagraph"/>
                              <w:numPr>
                                <w:ilvl w:val="0"/>
                                <w:numId w:val="47"/>
                              </w:numPr>
                              <w:spacing w:after="160" w:line="256" w:lineRule="auto"/>
                              <w:ind w:right="80"/>
                              <w:rPr>
                                <w:sz w:val="22"/>
                              </w:rPr>
                            </w:pPr>
                            <w:r w:rsidRPr="007017C2">
                              <w:rPr>
                                <w:sz w:val="22"/>
                              </w:rPr>
                              <w:t xml:space="preserve">Two hours to fill a prescription in [a public hospital] is an unacceptable wait for elderly with illness. </w:t>
                            </w:r>
                          </w:p>
                          <w:p w14:paraId="3FC2C0C7" w14:textId="77777777" w:rsidR="00D7239F" w:rsidRPr="007017C2" w:rsidRDefault="00D7239F" w:rsidP="009D4C5D">
                            <w:pPr>
                              <w:pStyle w:val="ListParagraph"/>
                              <w:numPr>
                                <w:ilvl w:val="0"/>
                                <w:numId w:val="47"/>
                              </w:numPr>
                              <w:spacing w:after="160" w:line="256" w:lineRule="auto"/>
                              <w:ind w:right="80"/>
                              <w:rPr>
                                <w:sz w:val="22"/>
                              </w:rPr>
                            </w:pPr>
                            <w:r w:rsidRPr="007017C2">
                              <w:rPr>
                                <w:sz w:val="22"/>
                              </w:rPr>
                              <w:t>Being treated rough in public health places - after all the taxes working people pay!</w:t>
                            </w:r>
                          </w:p>
                          <w:p w14:paraId="2D6A6F0E" w14:textId="77777777" w:rsidR="00D7239F" w:rsidRPr="007017C2" w:rsidRDefault="00D7239F" w:rsidP="009D4C5D">
                            <w:pPr>
                              <w:pStyle w:val="ListParagraph"/>
                              <w:numPr>
                                <w:ilvl w:val="0"/>
                                <w:numId w:val="47"/>
                              </w:numPr>
                              <w:spacing w:after="160" w:line="256" w:lineRule="auto"/>
                              <w:ind w:right="80"/>
                              <w:rPr>
                                <w:sz w:val="22"/>
                              </w:rPr>
                            </w:pPr>
                            <w:r w:rsidRPr="007017C2">
                              <w:rPr>
                                <w:sz w:val="22"/>
                              </w:rPr>
                              <w:t>Bureaucracy in hospital: unreal! The clerks seem to be [now learning for the] first time what they are doing for years.</w:t>
                            </w:r>
                          </w:p>
                          <w:p w14:paraId="673340FA" w14:textId="6041F017" w:rsidR="00D7239F" w:rsidRPr="007017C2" w:rsidRDefault="00D7239F" w:rsidP="009D4C5D">
                            <w:pPr>
                              <w:pStyle w:val="ListParagraph"/>
                              <w:numPr>
                                <w:ilvl w:val="0"/>
                                <w:numId w:val="47"/>
                              </w:numPr>
                              <w:spacing w:after="160" w:line="256" w:lineRule="auto"/>
                              <w:ind w:right="80"/>
                              <w:rPr>
                                <w:sz w:val="22"/>
                              </w:rPr>
                            </w:pPr>
                            <w:r w:rsidRPr="007017C2">
                              <w:rPr>
                                <w:sz w:val="22"/>
                              </w:rPr>
                              <w:t>The difference in cost/care in public and private health is phenomenal and unethical.</w:t>
                            </w:r>
                          </w:p>
                          <w:p w14:paraId="3450AF4E" w14:textId="77777777" w:rsidR="00D7239F" w:rsidRPr="007017C2" w:rsidRDefault="00D7239F" w:rsidP="009D4C5D">
                            <w:pPr>
                              <w:pStyle w:val="ListParagraph"/>
                              <w:numPr>
                                <w:ilvl w:val="0"/>
                                <w:numId w:val="47"/>
                              </w:numPr>
                              <w:spacing w:after="160" w:line="256" w:lineRule="auto"/>
                              <w:ind w:right="80"/>
                              <w:jc w:val="both"/>
                              <w:rPr>
                                <w:sz w:val="22"/>
                              </w:rPr>
                            </w:pPr>
                            <w:r w:rsidRPr="007017C2">
                              <w:rPr>
                                <w:sz w:val="22"/>
                              </w:rPr>
                              <w:t xml:space="preserve">Doctors clearly trying to pull patients to private care and keep public health depressed. </w:t>
                            </w:r>
                          </w:p>
                          <w:p w14:paraId="1662202D" w14:textId="77777777" w:rsidR="00D7239F" w:rsidRPr="007017C2" w:rsidRDefault="00D7239F" w:rsidP="009D4C5D">
                            <w:pPr>
                              <w:pStyle w:val="ListParagraph"/>
                              <w:numPr>
                                <w:ilvl w:val="0"/>
                                <w:numId w:val="47"/>
                              </w:numPr>
                              <w:spacing w:after="160" w:line="256" w:lineRule="auto"/>
                              <w:ind w:right="80"/>
                              <w:jc w:val="both"/>
                              <w:rPr>
                                <w:sz w:val="22"/>
                              </w:rPr>
                            </w:pPr>
                            <w:r w:rsidRPr="007017C2">
                              <w:rPr>
                                <w:sz w:val="22"/>
                              </w:rPr>
                              <w:t>Unacceptable for a country with such resources.</w:t>
                            </w:r>
                          </w:p>
                          <w:p w14:paraId="4D7913D9" w14:textId="77777777" w:rsidR="00D7239F" w:rsidRPr="007017C2" w:rsidRDefault="00D7239F" w:rsidP="009D4C5D">
                            <w:pPr>
                              <w:pStyle w:val="ListParagraph"/>
                              <w:numPr>
                                <w:ilvl w:val="0"/>
                                <w:numId w:val="47"/>
                              </w:numPr>
                              <w:spacing w:after="160" w:line="256" w:lineRule="auto"/>
                              <w:ind w:right="80"/>
                              <w:jc w:val="both"/>
                              <w:rPr>
                                <w:sz w:val="22"/>
                              </w:rPr>
                            </w:pPr>
                            <w:r w:rsidRPr="007017C2">
                              <w:rPr>
                                <w:sz w:val="22"/>
                              </w:rPr>
                              <w:t>Lack of information on processes … information should be promptly provided to guide a person right through [the system].</w:t>
                            </w:r>
                          </w:p>
                          <w:p w14:paraId="38FB39D5" w14:textId="4056E2A7" w:rsidR="00D7239F" w:rsidRPr="007017C2" w:rsidRDefault="00D7239F" w:rsidP="009D4C5D">
                            <w:pPr>
                              <w:pStyle w:val="ListParagraph"/>
                              <w:numPr>
                                <w:ilvl w:val="0"/>
                                <w:numId w:val="47"/>
                              </w:numPr>
                              <w:spacing w:after="160" w:line="256" w:lineRule="auto"/>
                              <w:ind w:right="80"/>
                              <w:jc w:val="both"/>
                              <w:rPr>
                                <w:sz w:val="22"/>
                              </w:rPr>
                            </w:pPr>
                            <w:r w:rsidRPr="007017C2">
                              <w:rPr>
                                <w:sz w:val="22"/>
                              </w:rPr>
                              <w:t>Good thing? Such facility is available for free in TT - but have to kill you to access it.</w:t>
                            </w:r>
                          </w:p>
                          <w:p w14:paraId="5D6CE232" w14:textId="491254BC" w:rsidR="00D7239F" w:rsidRPr="007017C2" w:rsidRDefault="00D7239F" w:rsidP="009D4C5D">
                            <w:pPr>
                              <w:pStyle w:val="ListParagraph"/>
                              <w:numPr>
                                <w:ilvl w:val="0"/>
                                <w:numId w:val="47"/>
                              </w:numPr>
                              <w:spacing w:after="160" w:line="256" w:lineRule="auto"/>
                              <w:ind w:right="80"/>
                              <w:jc w:val="both"/>
                              <w:rPr>
                                <w:sz w:val="22"/>
                              </w:rPr>
                            </w:pPr>
                            <w:r w:rsidRPr="007017C2">
                              <w:rPr>
                                <w:sz w:val="22"/>
                              </w:rPr>
                              <w:t>Basic kindness, helpfulness and friendliness of nurses/clerical [staff] can do mountains for a dying person and their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5.8pt;margin-top:7.1pt;width:472.9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">
                <v:textbox>
                  <w:txbxContent>
                    <w:p w14:paraId="0C6D87E5" w14:textId="0972A390" w:rsidR="00011C8F" w:rsidRPr="007017C2" w:rsidRDefault="00011C8F" w:rsidP="009D4C5D">
                      <w:pPr>
                        <w:pStyle w:val="ListParagraph"/>
                        <w:numPr>
                          <w:ilvl w:val="0"/>
                          <w:numId w:val="47"/>
                        </w:numPr>
                        <w:spacing w:after="160" w:line="256" w:lineRule="auto"/>
                        <w:ind w:right="80"/>
                        <w:rPr>
                          <w:sz w:val="22"/>
                        </w:rPr>
                      </w:pPr>
                      <w:r w:rsidRPr="007017C2">
                        <w:rPr>
                          <w:sz w:val="22"/>
                        </w:rPr>
                        <w:t>Lack of accessibility to wheelchairs for elderly in [public facilities].</w:t>
                      </w:r>
                    </w:p>
                    <w:p w14:paraId="61032685" w14:textId="00EDB239" w:rsidR="00011C8F" w:rsidRPr="007017C2" w:rsidRDefault="00011C8F" w:rsidP="009D4C5D">
                      <w:pPr>
                        <w:pStyle w:val="ListParagraph"/>
                        <w:numPr>
                          <w:ilvl w:val="0"/>
                          <w:numId w:val="47"/>
                        </w:numPr>
                        <w:spacing w:after="160" w:line="256" w:lineRule="auto"/>
                        <w:ind w:right="80"/>
                        <w:rPr>
                          <w:sz w:val="22"/>
                        </w:rPr>
                      </w:pPr>
                      <w:r w:rsidRPr="007017C2">
                        <w:rPr>
                          <w:sz w:val="22"/>
                        </w:rPr>
                        <w:t xml:space="preserve">Length of time an elderly person in discomfort/trauma has to wait to see doctor. Some staff accommodating </w:t>
                      </w:r>
                      <w:r>
                        <w:rPr>
                          <w:sz w:val="22"/>
                        </w:rPr>
                        <w:t>but wait and crowds depressing.</w:t>
                      </w:r>
                      <w:r w:rsidRPr="007017C2">
                        <w:rPr>
                          <w:sz w:val="22"/>
                        </w:rPr>
                        <w:t xml:space="preserve"> </w:t>
                      </w:r>
                    </w:p>
                    <w:p w14:paraId="50E99D59" w14:textId="39DAE5F0" w:rsidR="00011C8F" w:rsidRPr="007017C2" w:rsidRDefault="00011C8F" w:rsidP="009D4C5D">
                      <w:pPr>
                        <w:pStyle w:val="ListParagraph"/>
                        <w:numPr>
                          <w:ilvl w:val="0"/>
                          <w:numId w:val="47"/>
                        </w:numPr>
                        <w:spacing w:after="160" w:line="256" w:lineRule="auto"/>
                        <w:ind w:right="80"/>
                        <w:rPr>
                          <w:sz w:val="22"/>
                        </w:rPr>
                      </w:pPr>
                      <w:r w:rsidRPr="007017C2">
                        <w:rPr>
                          <w:sz w:val="22"/>
                        </w:rPr>
                        <w:t>Lack of washrooms near enough in above places</w:t>
                      </w:r>
                      <w:r>
                        <w:rPr>
                          <w:sz w:val="22"/>
                        </w:rPr>
                        <w:t>.</w:t>
                      </w:r>
                    </w:p>
                    <w:p w14:paraId="2D4641CA" w14:textId="77777777" w:rsidR="00011C8F" w:rsidRPr="007017C2" w:rsidRDefault="00011C8F" w:rsidP="009D4C5D">
                      <w:pPr>
                        <w:pStyle w:val="ListParagraph"/>
                        <w:numPr>
                          <w:ilvl w:val="0"/>
                          <w:numId w:val="47"/>
                        </w:numPr>
                        <w:spacing w:after="160" w:line="256" w:lineRule="auto"/>
                        <w:ind w:right="80"/>
                        <w:rPr>
                          <w:sz w:val="22"/>
                        </w:rPr>
                      </w:pPr>
                      <w:r w:rsidRPr="007017C2">
                        <w:rPr>
                          <w:sz w:val="22"/>
                        </w:rPr>
                        <w:t>Dismal and depressive physical look of such places and run down appearance. A paint job can't cost that much.</w:t>
                      </w:r>
                    </w:p>
                    <w:p w14:paraId="7B56AFC8" w14:textId="77777777" w:rsidR="00011C8F" w:rsidRPr="007017C2" w:rsidRDefault="00011C8F" w:rsidP="009D4C5D">
                      <w:pPr>
                        <w:pStyle w:val="ListParagraph"/>
                        <w:numPr>
                          <w:ilvl w:val="0"/>
                          <w:numId w:val="47"/>
                        </w:numPr>
                        <w:spacing w:after="160" w:line="256" w:lineRule="auto"/>
                        <w:ind w:right="80"/>
                        <w:rPr>
                          <w:sz w:val="22"/>
                        </w:rPr>
                      </w:pPr>
                      <w:r w:rsidRPr="007017C2">
                        <w:rPr>
                          <w:sz w:val="22"/>
                        </w:rPr>
                        <w:t>The bureaucracy of such places and unfriendly nature of nurses in public health.</w:t>
                      </w:r>
                    </w:p>
                    <w:p w14:paraId="47A27DD9" w14:textId="77777777" w:rsidR="00011C8F" w:rsidRPr="007017C2" w:rsidRDefault="00011C8F" w:rsidP="009D4C5D">
                      <w:pPr>
                        <w:pStyle w:val="ListParagraph"/>
                        <w:numPr>
                          <w:ilvl w:val="0"/>
                          <w:numId w:val="47"/>
                        </w:numPr>
                        <w:spacing w:after="160" w:line="256" w:lineRule="auto"/>
                        <w:ind w:right="80"/>
                        <w:rPr>
                          <w:sz w:val="22"/>
                        </w:rPr>
                      </w:pPr>
                      <w:r w:rsidRPr="007017C2">
                        <w:rPr>
                          <w:sz w:val="22"/>
                        </w:rPr>
                        <w:t xml:space="preserve">Two hours to fill a prescription in [a public hospital] is an unacceptable wait for elderly with illness. </w:t>
                      </w:r>
                    </w:p>
                    <w:p w14:paraId="3FC2C0C7" w14:textId="77777777" w:rsidR="00011C8F" w:rsidRPr="007017C2" w:rsidRDefault="00011C8F" w:rsidP="009D4C5D">
                      <w:pPr>
                        <w:pStyle w:val="ListParagraph"/>
                        <w:numPr>
                          <w:ilvl w:val="0"/>
                          <w:numId w:val="47"/>
                        </w:numPr>
                        <w:spacing w:after="160" w:line="256" w:lineRule="auto"/>
                        <w:ind w:right="80"/>
                        <w:rPr>
                          <w:sz w:val="22"/>
                        </w:rPr>
                      </w:pPr>
                      <w:r w:rsidRPr="007017C2">
                        <w:rPr>
                          <w:sz w:val="22"/>
                        </w:rPr>
                        <w:t>Being treated rough in public health places - after all the taxes working people pay!</w:t>
                      </w:r>
                    </w:p>
                    <w:p w14:paraId="2D6A6F0E" w14:textId="77777777" w:rsidR="00011C8F" w:rsidRPr="007017C2" w:rsidRDefault="00011C8F" w:rsidP="009D4C5D">
                      <w:pPr>
                        <w:pStyle w:val="ListParagraph"/>
                        <w:numPr>
                          <w:ilvl w:val="0"/>
                          <w:numId w:val="47"/>
                        </w:numPr>
                        <w:spacing w:after="160" w:line="256" w:lineRule="auto"/>
                        <w:ind w:right="80"/>
                        <w:rPr>
                          <w:sz w:val="22"/>
                        </w:rPr>
                      </w:pPr>
                      <w:r w:rsidRPr="007017C2">
                        <w:rPr>
                          <w:sz w:val="22"/>
                        </w:rPr>
                        <w:t>Bureaucracy in hospital: unreal! The clerks seem to be [now learning for the] first time what they are doing for years.</w:t>
                      </w:r>
                    </w:p>
                    <w:p w14:paraId="673340FA" w14:textId="6041F017" w:rsidR="00011C8F" w:rsidRPr="007017C2" w:rsidRDefault="00011C8F" w:rsidP="009D4C5D">
                      <w:pPr>
                        <w:pStyle w:val="ListParagraph"/>
                        <w:numPr>
                          <w:ilvl w:val="0"/>
                          <w:numId w:val="47"/>
                        </w:numPr>
                        <w:spacing w:after="160" w:line="256" w:lineRule="auto"/>
                        <w:ind w:right="80"/>
                        <w:rPr>
                          <w:sz w:val="22"/>
                        </w:rPr>
                      </w:pPr>
                      <w:r w:rsidRPr="007017C2">
                        <w:rPr>
                          <w:sz w:val="22"/>
                        </w:rPr>
                        <w:t>The difference in cost/care in public and private health is phenomenal and unethical.</w:t>
                      </w:r>
                    </w:p>
                    <w:p w14:paraId="3450AF4E" w14:textId="77777777" w:rsidR="00011C8F" w:rsidRPr="007017C2" w:rsidRDefault="00011C8F" w:rsidP="009D4C5D">
                      <w:pPr>
                        <w:pStyle w:val="ListParagraph"/>
                        <w:numPr>
                          <w:ilvl w:val="0"/>
                          <w:numId w:val="47"/>
                        </w:numPr>
                        <w:spacing w:after="160" w:line="256" w:lineRule="auto"/>
                        <w:ind w:right="80"/>
                        <w:jc w:val="both"/>
                        <w:rPr>
                          <w:sz w:val="22"/>
                        </w:rPr>
                      </w:pPr>
                      <w:r w:rsidRPr="007017C2">
                        <w:rPr>
                          <w:sz w:val="22"/>
                        </w:rPr>
                        <w:t xml:space="preserve">Doctors clearly trying to pull patients to private care and keep public health depressed. </w:t>
                      </w:r>
                    </w:p>
                    <w:p w14:paraId="1662202D" w14:textId="77777777" w:rsidR="00011C8F" w:rsidRPr="007017C2" w:rsidRDefault="00011C8F" w:rsidP="009D4C5D">
                      <w:pPr>
                        <w:pStyle w:val="ListParagraph"/>
                        <w:numPr>
                          <w:ilvl w:val="0"/>
                          <w:numId w:val="47"/>
                        </w:numPr>
                        <w:spacing w:after="160" w:line="256" w:lineRule="auto"/>
                        <w:ind w:right="80"/>
                        <w:jc w:val="both"/>
                        <w:rPr>
                          <w:sz w:val="22"/>
                        </w:rPr>
                      </w:pPr>
                      <w:r w:rsidRPr="007017C2">
                        <w:rPr>
                          <w:sz w:val="22"/>
                        </w:rPr>
                        <w:t>Unacceptable for a country with such resources.</w:t>
                      </w:r>
                    </w:p>
                    <w:p w14:paraId="4D7913D9" w14:textId="77777777" w:rsidR="00011C8F" w:rsidRPr="007017C2" w:rsidRDefault="00011C8F" w:rsidP="009D4C5D">
                      <w:pPr>
                        <w:pStyle w:val="ListParagraph"/>
                        <w:numPr>
                          <w:ilvl w:val="0"/>
                          <w:numId w:val="47"/>
                        </w:numPr>
                        <w:spacing w:after="160" w:line="256" w:lineRule="auto"/>
                        <w:ind w:right="80"/>
                        <w:jc w:val="both"/>
                        <w:rPr>
                          <w:sz w:val="22"/>
                        </w:rPr>
                      </w:pPr>
                      <w:r w:rsidRPr="007017C2">
                        <w:rPr>
                          <w:sz w:val="22"/>
                        </w:rPr>
                        <w:t>Lack of information on processes … information should be promptly provided to guide a person right through [the system].</w:t>
                      </w:r>
                    </w:p>
                    <w:p w14:paraId="38FB39D5" w14:textId="4056E2A7" w:rsidR="00011C8F" w:rsidRPr="007017C2" w:rsidRDefault="00011C8F" w:rsidP="009D4C5D">
                      <w:pPr>
                        <w:pStyle w:val="ListParagraph"/>
                        <w:numPr>
                          <w:ilvl w:val="0"/>
                          <w:numId w:val="47"/>
                        </w:numPr>
                        <w:spacing w:after="160" w:line="256" w:lineRule="auto"/>
                        <w:ind w:right="80"/>
                        <w:jc w:val="both"/>
                        <w:rPr>
                          <w:sz w:val="22"/>
                        </w:rPr>
                      </w:pPr>
                      <w:r w:rsidRPr="007017C2">
                        <w:rPr>
                          <w:sz w:val="22"/>
                        </w:rPr>
                        <w:t>Good thing? Such facility is available for free in TT - but have to kill you to access it.</w:t>
                      </w:r>
                    </w:p>
                    <w:p w14:paraId="5D6CE232" w14:textId="491254BC" w:rsidR="00011C8F" w:rsidRPr="007017C2" w:rsidRDefault="00011C8F" w:rsidP="009D4C5D">
                      <w:pPr>
                        <w:pStyle w:val="ListParagraph"/>
                        <w:numPr>
                          <w:ilvl w:val="0"/>
                          <w:numId w:val="47"/>
                        </w:numPr>
                        <w:spacing w:after="160" w:line="256" w:lineRule="auto"/>
                        <w:ind w:right="80"/>
                        <w:jc w:val="both"/>
                        <w:rPr>
                          <w:sz w:val="22"/>
                        </w:rPr>
                      </w:pPr>
                      <w:r w:rsidRPr="007017C2">
                        <w:rPr>
                          <w:sz w:val="22"/>
                        </w:rPr>
                        <w:t>Basic kindness, helpfulness and friendliness of nurses/clerical [staff] can do mountains for a dying person and their family.</w:t>
                      </w:r>
                    </w:p>
                  </w:txbxContent>
                </v:textbox>
              </v:shape>
            </w:pict>
          </mc:Fallback>
        </mc:AlternateContent>
      </w:r>
    </w:p>
    <w:p w14:paraId="68512AEF" w14:textId="77777777" w:rsidR="00E53916" w:rsidRPr="00E869A4" w:rsidRDefault="00E53916" w:rsidP="00A35FF8">
      <w:pPr>
        <w:rPr>
          <w:rFonts w:ascii="Times New Roman" w:hAnsi="Times New Roman" w:cs="Times New Roman"/>
          <w:szCs w:val="24"/>
        </w:rPr>
      </w:pPr>
    </w:p>
    <w:p w14:paraId="0CE909BD" w14:textId="77777777" w:rsidR="00E53916" w:rsidRPr="00E869A4" w:rsidRDefault="00E53916" w:rsidP="00A35FF8">
      <w:pPr>
        <w:rPr>
          <w:rFonts w:ascii="Times New Roman" w:hAnsi="Times New Roman" w:cs="Times New Roman"/>
          <w:szCs w:val="24"/>
        </w:rPr>
      </w:pPr>
    </w:p>
    <w:p w14:paraId="63275540" w14:textId="77777777" w:rsidR="00E53916" w:rsidRPr="00E869A4" w:rsidRDefault="00E53916" w:rsidP="00A35FF8">
      <w:pPr>
        <w:rPr>
          <w:rFonts w:ascii="Times New Roman" w:hAnsi="Times New Roman" w:cs="Times New Roman"/>
          <w:szCs w:val="24"/>
        </w:rPr>
      </w:pPr>
    </w:p>
    <w:p w14:paraId="76FE5DED" w14:textId="77777777" w:rsidR="00E53916" w:rsidRPr="00E869A4" w:rsidRDefault="00E53916" w:rsidP="00A35FF8">
      <w:pPr>
        <w:rPr>
          <w:rFonts w:ascii="Times New Roman" w:hAnsi="Times New Roman" w:cs="Times New Roman"/>
          <w:szCs w:val="24"/>
        </w:rPr>
      </w:pPr>
    </w:p>
    <w:p w14:paraId="17663999" w14:textId="77777777" w:rsidR="00E53916" w:rsidRPr="00E869A4" w:rsidRDefault="00E53916" w:rsidP="00A35FF8">
      <w:pPr>
        <w:rPr>
          <w:rFonts w:ascii="Times New Roman" w:hAnsi="Times New Roman" w:cs="Times New Roman"/>
          <w:szCs w:val="24"/>
        </w:rPr>
      </w:pPr>
    </w:p>
    <w:p w14:paraId="47BC56A8" w14:textId="77777777" w:rsidR="00E53916" w:rsidRPr="00E869A4" w:rsidRDefault="00E53916" w:rsidP="00A35FF8">
      <w:pPr>
        <w:rPr>
          <w:rFonts w:ascii="Times New Roman" w:hAnsi="Times New Roman" w:cs="Times New Roman"/>
          <w:szCs w:val="24"/>
        </w:rPr>
      </w:pPr>
    </w:p>
    <w:p w14:paraId="1F554E17" w14:textId="77777777" w:rsidR="009076FC" w:rsidRPr="00E869A4" w:rsidRDefault="009076FC" w:rsidP="00A35FF8">
      <w:pPr>
        <w:rPr>
          <w:rFonts w:ascii="Times New Roman" w:hAnsi="Times New Roman" w:cs="Times New Roman"/>
          <w:szCs w:val="24"/>
        </w:rPr>
      </w:pPr>
      <w:r w:rsidRPr="00E869A4">
        <w:rPr>
          <w:rFonts w:ascii="Times New Roman" w:hAnsi="Times New Roman" w:cs="Times New Roman"/>
          <w:szCs w:val="24"/>
        </w:rPr>
        <w:br w:type="page"/>
      </w:r>
    </w:p>
    <w:p w14:paraId="26A180C7" w14:textId="41F3B941"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lastRenderedPageBreak/>
        <w:t xml:space="preserve">Another respondent </w:t>
      </w:r>
      <w:r w:rsidR="00536CC0" w:rsidRPr="00E869A4">
        <w:rPr>
          <w:rFonts w:ascii="Times New Roman" w:hAnsi="Times New Roman" w:cs="Times New Roman"/>
          <w:szCs w:val="24"/>
        </w:rPr>
        <w:t xml:space="preserve">(H) </w:t>
      </w:r>
      <w:r w:rsidRPr="00E869A4">
        <w:rPr>
          <w:rFonts w:ascii="Times New Roman" w:hAnsi="Times New Roman" w:cs="Times New Roman"/>
          <w:szCs w:val="24"/>
        </w:rPr>
        <w:t xml:space="preserve">detailed the following negative experience they had from both public and private health care facilities whilst caring for an older relative: </w:t>
      </w:r>
    </w:p>
    <w:p w14:paraId="1CD62385" w14:textId="77777777" w:rsidR="00D470B3" w:rsidRPr="00E869A4" w:rsidRDefault="00D470B3" w:rsidP="00914FB4">
      <w:pPr>
        <w:spacing w:line="240" w:lineRule="auto"/>
        <w:rPr>
          <w:rFonts w:ascii="Times New Roman" w:hAnsi="Times New Roman" w:cs="Times New Roman"/>
          <w:szCs w:val="24"/>
        </w:rPr>
      </w:pPr>
    </w:p>
    <w:p w14:paraId="5E1D54E5" w14:textId="2F561325" w:rsidR="00E53916" w:rsidRPr="00E869A4" w:rsidRDefault="00E53916" w:rsidP="00536CC0">
      <w:pPr>
        <w:spacing w:line="240" w:lineRule="auto"/>
        <w:ind w:left="567" w:firstLine="0"/>
        <w:rPr>
          <w:rFonts w:ascii="Times New Roman" w:hAnsi="Times New Roman" w:cs="Times New Roman"/>
          <w:i/>
          <w:szCs w:val="24"/>
        </w:rPr>
      </w:pPr>
      <w:r w:rsidRPr="00E869A4">
        <w:rPr>
          <w:rFonts w:ascii="Times New Roman" w:hAnsi="Times New Roman" w:cs="Times New Roman"/>
          <w:szCs w:val="24"/>
        </w:rPr>
        <w:t xml:space="preserve">Greater attention should be given to taking care of the </w:t>
      </w:r>
      <w:r w:rsidR="00312A67" w:rsidRPr="00E869A4">
        <w:rPr>
          <w:rFonts w:ascii="Times New Roman" w:hAnsi="Times New Roman" w:cs="Times New Roman"/>
          <w:szCs w:val="24"/>
        </w:rPr>
        <w:t>elderly</w:t>
      </w:r>
      <w:r w:rsidRPr="00E869A4">
        <w:rPr>
          <w:rFonts w:ascii="Times New Roman" w:hAnsi="Times New Roman" w:cs="Times New Roman"/>
          <w:szCs w:val="24"/>
        </w:rPr>
        <w:t xml:space="preserve"> in the public hospitals.  The </w:t>
      </w:r>
      <w:r w:rsidR="00312A67" w:rsidRPr="00E869A4">
        <w:rPr>
          <w:rFonts w:ascii="Times New Roman" w:hAnsi="Times New Roman" w:cs="Times New Roman"/>
          <w:szCs w:val="24"/>
        </w:rPr>
        <w:t>elderly</w:t>
      </w:r>
      <w:r w:rsidRPr="00E869A4">
        <w:rPr>
          <w:rFonts w:ascii="Times New Roman" w:hAnsi="Times New Roman" w:cs="Times New Roman"/>
          <w:szCs w:val="24"/>
        </w:rPr>
        <w:t xml:space="preserve"> are sometimes neglected and do not receive the proper care, particularly those who are not visited regularly by family/friends. </w:t>
      </w:r>
      <w:r w:rsidR="00C40255" w:rsidRPr="00E869A4">
        <w:rPr>
          <w:rFonts w:ascii="Times New Roman" w:hAnsi="Times New Roman" w:cs="Times New Roman"/>
          <w:szCs w:val="24"/>
        </w:rPr>
        <w:t>Luckily,</w:t>
      </w:r>
      <w:r w:rsidRPr="00E869A4">
        <w:rPr>
          <w:rFonts w:ascii="Times New Roman" w:hAnsi="Times New Roman" w:cs="Times New Roman"/>
          <w:szCs w:val="24"/>
        </w:rPr>
        <w:t xml:space="preserve"> in my case my mum had lots of support from family, friends and church when she was in hospital so there was always someone there to see her. My mother who was bedridden after the stroke while in hospital got bedsores because the staff did not turn her regularly.  Our family provided the special socks and the special air padding out of our own funds but she still got bedsores.  The situation was further exacerbated at the first nursing home we admitted her to and because of </w:t>
      </w:r>
      <w:r w:rsidR="00C40255" w:rsidRPr="00E869A4">
        <w:rPr>
          <w:rFonts w:ascii="Times New Roman" w:hAnsi="Times New Roman" w:cs="Times New Roman"/>
          <w:szCs w:val="24"/>
        </w:rPr>
        <w:t>this,</w:t>
      </w:r>
      <w:r w:rsidRPr="00E869A4">
        <w:rPr>
          <w:rFonts w:ascii="Times New Roman" w:hAnsi="Times New Roman" w:cs="Times New Roman"/>
          <w:szCs w:val="24"/>
        </w:rPr>
        <w:t xml:space="preserve"> we moved her to another home as she needed round the clock care. Also from the time the ambulance brought her to the time the tests were done was too lengthy with no anti-clotting drug being administered in a timely </w:t>
      </w:r>
      <w:r w:rsidR="00343458" w:rsidRPr="00E869A4">
        <w:rPr>
          <w:rFonts w:ascii="Times New Roman" w:hAnsi="Times New Roman" w:cs="Times New Roman"/>
          <w:szCs w:val="24"/>
        </w:rPr>
        <w:t>manner, which</w:t>
      </w:r>
      <w:r w:rsidRPr="00E869A4">
        <w:rPr>
          <w:rFonts w:ascii="Times New Roman" w:hAnsi="Times New Roman" w:cs="Times New Roman"/>
          <w:szCs w:val="24"/>
        </w:rPr>
        <w:t xml:space="preserve"> may have improved her chan</w:t>
      </w:r>
      <w:r w:rsidR="00C40255" w:rsidRPr="00E869A4">
        <w:rPr>
          <w:rFonts w:ascii="Times New Roman" w:hAnsi="Times New Roman" w:cs="Times New Roman"/>
          <w:szCs w:val="24"/>
        </w:rPr>
        <w:t>c</w:t>
      </w:r>
      <w:r w:rsidRPr="00E869A4">
        <w:rPr>
          <w:rFonts w:ascii="Times New Roman" w:hAnsi="Times New Roman" w:cs="Times New Roman"/>
          <w:szCs w:val="24"/>
        </w:rPr>
        <w:t>es.  We spent whole day in the hospital and she was not put on the ward un</w:t>
      </w:r>
      <w:r w:rsidR="00536CC0" w:rsidRPr="00E869A4">
        <w:rPr>
          <w:rFonts w:ascii="Times New Roman" w:hAnsi="Times New Roman" w:cs="Times New Roman"/>
          <w:szCs w:val="24"/>
        </w:rPr>
        <w:t>til the night around 8.30 p.m</w:t>
      </w:r>
      <w:r w:rsidR="00536CC0" w:rsidRPr="00E869A4">
        <w:rPr>
          <w:rFonts w:ascii="Times New Roman" w:hAnsi="Times New Roman" w:cs="Times New Roman"/>
          <w:i/>
          <w:szCs w:val="24"/>
        </w:rPr>
        <w:t>.</w:t>
      </w:r>
    </w:p>
    <w:p w14:paraId="264EBC25" w14:textId="77777777" w:rsidR="00D470B3" w:rsidRPr="00E869A4" w:rsidRDefault="00D470B3" w:rsidP="00914FB4">
      <w:pPr>
        <w:spacing w:line="240" w:lineRule="auto"/>
        <w:rPr>
          <w:rFonts w:ascii="Times New Roman" w:hAnsi="Times New Roman" w:cs="Times New Roman"/>
          <w:szCs w:val="24"/>
        </w:rPr>
      </w:pPr>
    </w:p>
    <w:p w14:paraId="3594A0F2" w14:textId="1E4AC7A3" w:rsidR="00337AA1" w:rsidRPr="00E869A4" w:rsidRDefault="00337AA1" w:rsidP="00A35FF8">
      <w:pPr>
        <w:rPr>
          <w:rFonts w:ascii="Times New Roman" w:hAnsi="Times New Roman" w:cs="Times New Roman"/>
          <w:szCs w:val="24"/>
        </w:rPr>
      </w:pPr>
      <w:r w:rsidRPr="00E869A4">
        <w:rPr>
          <w:rFonts w:ascii="Times New Roman" w:hAnsi="Times New Roman" w:cs="Times New Roman"/>
          <w:szCs w:val="24"/>
        </w:rPr>
        <w:t xml:space="preserve">A respondent </w:t>
      </w:r>
      <w:r w:rsidR="00536CC0" w:rsidRPr="00E869A4">
        <w:rPr>
          <w:rFonts w:ascii="Times New Roman" w:hAnsi="Times New Roman" w:cs="Times New Roman"/>
          <w:szCs w:val="24"/>
        </w:rPr>
        <w:t xml:space="preserve">(I) </w:t>
      </w:r>
      <w:r w:rsidRPr="00E869A4">
        <w:rPr>
          <w:rFonts w:ascii="Times New Roman" w:hAnsi="Times New Roman" w:cs="Times New Roman"/>
          <w:szCs w:val="24"/>
        </w:rPr>
        <w:t xml:space="preserve">shared the following about their experience with health care and social services in Tobago: </w:t>
      </w:r>
    </w:p>
    <w:p w14:paraId="0DF98D07" w14:textId="77777777" w:rsidR="00800B42" w:rsidRPr="00E869A4" w:rsidRDefault="00800B42" w:rsidP="00914FB4">
      <w:pPr>
        <w:spacing w:line="240" w:lineRule="auto"/>
        <w:rPr>
          <w:rFonts w:ascii="Times New Roman" w:hAnsi="Times New Roman" w:cs="Times New Roman"/>
          <w:szCs w:val="24"/>
        </w:rPr>
      </w:pPr>
    </w:p>
    <w:p w14:paraId="21EF4506" w14:textId="386B8FEC" w:rsidR="00337AA1" w:rsidRPr="00E869A4" w:rsidRDefault="00337AA1" w:rsidP="00536CC0">
      <w:pPr>
        <w:spacing w:line="240" w:lineRule="auto"/>
        <w:ind w:left="567" w:firstLine="0"/>
        <w:rPr>
          <w:rFonts w:ascii="Times New Roman" w:hAnsi="Times New Roman" w:cs="Times New Roman"/>
          <w:szCs w:val="24"/>
        </w:rPr>
      </w:pPr>
      <w:r w:rsidRPr="00E869A4">
        <w:rPr>
          <w:rFonts w:ascii="Times New Roman" w:hAnsi="Times New Roman" w:cs="Times New Roman"/>
          <w:szCs w:val="24"/>
        </w:rPr>
        <w:t>One of the most challenging issues was finding a doctor to make home visits. Since my mother was partially bedridden, it was difficult to take her to the doctor. We did find one eventually who was extremely patient and kind. The system of home visits by Visiting Nurses needs to be improved. Throughout my mother's illness (4 years and 10 months) only two such visits were made. One would think at least once per quarter would have been ideal. We did have a caregiver from the Tobago Social Welfare Services programme but the quality of the care left much to be desired. The person, although trained never provided quality care and they were unreliable and the hours 9-2 are too short. Eventually (for our own sanity) we procured private caregiving services and those turned out to be more reliable, knowledgeable and utilised their training and experience to make my mother's last days more comfortable. Despite this I did enjoy taking care of my mother</w:t>
      </w:r>
      <w:r w:rsidR="00536CC0" w:rsidRPr="00E869A4">
        <w:rPr>
          <w:rFonts w:ascii="Times New Roman" w:hAnsi="Times New Roman" w:cs="Times New Roman"/>
          <w:szCs w:val="24"/>
        </w:rPr>
        <w:t>.</w:t>
      </w:r>
    </w:p>
    <w:p w14:paraId="7337BA3D" w14:textId="77777777" w:rsidR="0087217D" w:rsidRPr="00E869A4" w:rsidRDefault="0087217D" w:rsidP="00914FB4">
      <w:pPr>
        <w:spacing w:line="240" w:lineRule="auto"/>
        <w:rPr>
          <w:rFonts w:ascii="Times New Roman" w:hAnsi="Times New Roman" w:cs="Times New Roman"/>
          <w:szCs w:val="24"/>
        </w:rPr>
      </w:pPr>
    </w:p>
    <w:p w14:paraId="3BF0A5CE" w14:textId="009F3D62" w:rsidR="00E53916" w:rsidRPr="00E869A4" w:rsidRDefault="0010466D" w:rsidP="00120839">
      <w:pPr>
        <w:ind w:firstLine="0"/>
        <w:rPr>
          <w:rFonts w:ascii="Times New Roman" w:hAnsi="Times New Roman" w:cs="Times New Roman"/>
          <w:szCs w:val="24"/>
        </w:rPr>
      </w:pPr>
      <w:r w:rsidRPr="00E869A4">
        <w:rPr>
          <w:rFonts w:ascii="Times New Roman" w:hAnsi="Times New Roman" w:cs="Times New Roman"/>
          <w:szCs w:val="24"/>
        </w:rPr>
        <w:t>This response echoes what was shared in the in-depth interviews and focus groups.</w:t>
      </w:r>
      <w:r w:rsidR="00120839" w:rsidRPr="00E869A4">
        <w:rPr>
          <w:rFonts w:ascii="Times New Roman" w:hAnsi="Times New Roman" w:cs="Times New Roman"/>
          <w:szCs w:val="24"/>
        </w:rPr>
        <w:t xml:space="preserve"> </w:t>
      </w:r>
      <w:r w:rsidR="00E53916" w:rsidRPr="00E869A4">
        <w:rPr>
          <w:rFonts w:ascii="Times New Roman" w:hAnsi="Times New Roman" w:cs="Times New Roman"/>
          <w:szCs w:val="24"/>
        </w:rPr>
        <w:t xml:space="preserve">The following observations and recommendation for improving health care in T&amp;T was provided by </w:t>
      </w:r>
      <w:r w:rsidR="00536CC0" w:rsidRPr="00E869A4">
        <w:rPr>
          <w:rFonts w:ascii="Times New Roman" w:hAnsi="Times New Roman" w:cs="Times New Roman"/>
          <w:szCs w:val="24"/>
        </w:rPr>
        <w:t>Responden</w:t>
      </w:r>
      <w:r w:rsidR="00E53916" w:rsidRPr="00E869A4">
        <w:rPr>
          <w:rFonts w:ascii="Times New Roman" w:hAnsi="Times New Roman" w:cs="Times New Roman"/>
          <w:szCs w:val="24"/>
        </w:rPr>
        <w:t xml:space="preserve">t </w:t>
      </w:r>
      <w:r w:rsidR="000674D8" w:rsidRPr="00E869A4">
        <w:rPr>
          <w:rFonts w:ascii="Times New Roman" w:hAnsi="Times New Roman" w:cs="Times New Roman"/>
          <w:szCs w:val="24"/>
        </w:rPr>
        <w:t>J</w:t>
      </w:r>
      <w:r w:rsidR="00E53916" w:rsidRPr="00E869A4">
        <w:rPr>
          <w:rFonts w:ascii="Times New Roman" w:hAnsi="Times New Roman" w:cs="Times New Roman"/>
          <w:szCs w:val="24"/>
        </w:rPr>
        <w:t>:</w:t>
      </w:r>
    </w:p>
    <w:p w14:paraId="1A159C31" w14:textId="77777777" w:rsidR="00D470B3" w:rsidRPr="00E869A4" w:rsidRDefault="00D470B3" w:rsidP="00120839">
      <w:pPr>
        <w:spacing w:line="240" w:lineRule="auto"/>
        <w:rPr>
          <w:rFonts w:ascii="Times New Roman" w:hAnsi="Times New Roman" w:cs="Times New Roman"/>
          <w:szCs w:val="24"/>
        </w:rPr>
      </w:pPr>
    </w:p>
    <w:p w14:paraId="4A15BACC" w14:textId="578410BA" w:rsidR="00E53916" w:rsidRPr="00E869A4" w:rsidRDefault="00120839" w:rsidP="00536CC0">
      <w:pPr>
        <w:spacing w:line="240" w:lineRule="auto"/>
        <w:ind w:left="567" w:firstLine="0"/>
        <w:rPr>
          <w:rFonts w:ascii="Times New Roman" w:hAnsi="Times New Roman" w:cs="Times New Roman"/>
          <w:szCs w:val="24"/>
        </w:rPr>
      </w:pPr>
      <w:r w:rsidRPr="00E869A4">
        <w:rPr>
          <w:rFonts w:ascii="Times New Roman" w:hAnsi="Times New Roman" w:cs="Times New Roman"/>
          <w:szCs w:val="24"/>
        </w:rPr>
        <w:t>T</w:t>
      </w:r>
      <w:r w:rsidR="00E53916" w:rsidRPr="00E869A4">
        <w:rPr>
          <w:rFonts w:ascii="Times New Roman" w:hAnsi="Times New Roman" w:cs="Times New Roman"/>
          <w:szCs w:val="24"/>
        </w:rPr>
        <w:t xml:space="preserve">he waiting line at public hospitals is too long and strenuous for the </w:t>
      </w:r>
      <w:r w:rsidR="00343458" w:rsidRPr="00E869A4">
        <w:rPr>
          <w:rFonts w:ascii="Times New Roman" w:hAnsi="Times New Roman" w:cs="Times New Roman"/>
          <w:szCs w:val="24"/>
        </w:rPr>
        <w:t>elderly</w:t>
      </w:r>
      <w:r w:rsidR="00E53916" w:rsidRPr="00E869A4">
        <w:rPr>
          <w:rFonts w:ascii="Times New Roman" w:hAnsi="Times New Roman" w:cs="Times New Roman"/>
          <w:szCs w:val="24"/>
        </w:rPr>
        <w:t xml:space="preserve"> so health care gets far expensive when they decide to go to a private doctor.  There perhaps could be a section or line or particular doctor who can give attention specifically to the </w:t>
      </w:r>
      <w:r w:rsidR="00343458" w:rsidRPr="00E869A4">
        <w:rPr>
          <w:rFonts w:ascii="Times New Roman" w:hAnsi="Times New Roman" w:cs="Times New Roman"/>
          <w:szCs w:val="24"/>
        </w:rPr>
        <w:t xml:space="preserve">elderly </w:t>
      </w:r>
      <w:r w:rsidR="00E53916" w:rsidRPr="00E869A4">
        <w:rPr>
          <w:rFonts w:ascii="Times New Roman" w:hAnsi="Times New Roman" w:cs="Times New Roman"/>
          <w:szCs w:val="24"/>
        </w:rPr>
        <w:t>when they arrive at the hospitals (depending on the issue of course), but it has been frustrating waiting in the hospital with my companion at times which is why he opted for private hospitals.  The costs are exorbitant but private facilities offer more care</w:t>
      </w:r>
      <w:r w:rsidR="00536CC0" w:rsidRPr="00E869A4">
        <w:rPr>
          <w:rFonts w:ascii="Times New Roman" w:hAnsi="Times New Roman" w:cs="Times New Roman"/>
          <w:szCs w:val="24"/>
        </w:rPr>
        <w:t>.</w:t>
      </w:r>
    </w:p>
    <w:p w14:paraId="39A4047C" w14:textId="77777777" w:rsidR="00800B42" w:rsidRPr="00E869A4" w:rsidRDefault="00800B42" w:rsidP="00800B42">
      <w:pPr>
        <w:ind w:left="567"/>
        <w:rPr>
          <w:rFonts w:ascii="Times New Roman" w:hAnsi="Times New Roman" w:cs="Times New Roman"/>
          <w:szCs w:val="24"/>
        </w:rPr>
      </w:pPr>
    </w:p>
    <w:p w14:paraId="29E169AA" w14:textId="77777777" w:rsidR="00120839" w:rsidRPr="00E869A4" w:rsidRDefault="00120839">
      <w:pPr>
        <w:rPr>
          <w:b/>
          <w:i/>
          <w:u w:val="single"/>
        </w:rPr>
      </w:pPr>
      <w:r w:rsidRPr="00E869A4">
        <w:br w:type="page"/>
      </w:r>
    </w:p>
    <w:p w14:paraId="3EAC0A63" w14:textId="008282D2" w:rsidR="009076FC" w:rsidRPr="00E869A4" w:rsidRDefault="009C4720" w:rsidP="005C449C">
      <w:pPr>
        <w:pStyle w:val="Heading3"/>
      </w:pPr>
      <w:bookmarkStart w:id="389" w:name="_Toc40436575"/>
      <w:r w:rsidRPr="00E869A4">
        <w:lastRenderedPageBreak/>
        <w:t>9</w:t>
      </w:r>
      <w:r w:rsidR="00B87119" w:rsidRPr="00E869A4">
        <w:t xml:space="preserve">.4.3     </w:t>
      </w:r>
      <w:r w:rsidR="009076FC" w:rsidRPr="00E869A4">
        <w:t>Social Services</w:t>
      </w:r>
      <w:bookmarkEnd w:id="389"/>
    </w:p>
    <w:p w14:paraId="69174F7B" w14:textId="77777777" w:rsidR="00F96470" w:rsidRPr="00E869A4" w:rsidRDefault="00F96470" w:rsidP="00A35FF8">
      <w:pPr>
        <w:rPr>
          <w:rFonts w:ascii="Times New Roman" w:hAnsi="Times New Roman" w:cs="Times New Roman"/>
          <w:szCs w:val="24"/>
        </w:rPr>
      </w:pPr>
    </w:p>
    <w:p w14:paraId="3E510184" w14:textId="5DA2D9A8"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 xml:space="preserve">With respect to social service programmes, at the time that the survey was conducted, most respondents </w:t>
      </w:r>
      <w:r w:rsidR="0010466D" w:rsidRPr="00E869A4">
        <w:rPr>
          <w:rFonts w:ascii="Times New Roman" w:hAnsi="Times New Roman" w:cs="Times New Roman"/>
          <w:szCs w:val="24"/>
        </w:rPr>
        <w:t xml:space="preserve">(76%; n =194)  </w:t>
      </w:r>
      <w:r w:rsidRPr="00E869A4">
        <w:rPr>
          <w:rFonts w:ascii="Times New Roman" w:hAnsi="Times New Roman" w:cs="Times New Roman"/>
          <w:szCs w:val="24"/>
        </w:rPr>
        <w:t>were pleased with the free f</w:t>
      </w:r>
      <w:r w:rsidR="00430136" w:rsidRPr="00E869A4">
        <w:rPr>
          <w:rFonts w:ascii="Times New Roman" w:hAnsi="Times New Roman" w:cs="Times New Roman"/>
          <w:szCs w:val="24"/>
        </w:rPr>
        <w:t>erry service</w:t>
      </w:r>
      <w:r w:rsidR="0010466D" w:rsidRPr="00E869A4">
        <w:rPr>
          <w:rFonts w:ascii="Times New Roman" w:hAnsi="Times New Roman" w:cs="Times New Roman"/>
          <w:szCs w:val="24"/>
        </w:rPr>
        <w:t xml:space="preserve"> and </w:t>
      </w:r>
      <w:r w:rsidRPr="00E869A4">
        <w:rPr>
          <w:rFonts w:ascii="Times New Roman" w:hAnsi="Times New Roman" w:cs="Times New Roman"/>
          <w:szCs w:val="24"/>
        </w:rPr>
        <w:t xml:space="preserve">rated this as </w:t>
      </w:r>
      <w:r w:rsidR="00430136" w:rsidRPr="00E869A4">
        <w:rPr>
          <w:rFonts w:ascii="Times New Roman" w:hAnsi="Times New Roman" w:cs="Times New Roman"/>
          <w:szCs w:val="24"/>
        </w:rPr>
        <w:t xml:space="preserve">either </w:t>
      </w:r>
      <w:r w:rsidRPr="00E869A4">
        <w:rPr>
          <w:rFonts w:ascii="Times New Roman" w:hAnsi="Times New Roman" w:cs="Times New Roman"/>
          <w:szCs w:val="24"/>
        </w:rPr>
        <w:t>very good</w:t>
      </w:r>
      <w:r w:rsidR="00430136" w:rsidRPr="00E869A4">
        <w:rPr>
          <w:rFonts w:ascii="Times New Roman" w:hAnsi="Times New Roman" w:cs="Times New Roman"/>
          <w:szCs w:val="24"/>
        </w:rPr>
        <w:t xml:space="preserve"> or good, 72</w:t>
      </w:r>
      <w:r w:rsidRPr="00E869A4">
        <w:rPr>
          <w:rFonts w:ascii="Times New Roman" w:hAnsi="Times New Roman" w:cs="Times New Roman"/>
          <w:szCs w:val="24"/>
        </w:rPr>
        <w:t>% rated th</w:t>
      </w:r>
      <w:r w:rsidR="0010466D" w:rsidRPr="00E869A4">
        <w:rPr>
          <w:rFonts w:ascii="Times New Roman" w:hAnsi="Times New Roman" w:cs="Times New Roman"/>
          <w:szCs w:val="24"/>
        </w:rPr>
        <w:t>e free bus service</w:t>
      </w:r>
      <w:r w:rsidRPr="00E869A4">
        <w:rPr>
          <w:rFonts w:ascii="Times New Roman" w:hAnsi="Times New Roman" w:cs="Times New Roman"/>
          <w:szCs w:val="24"/>
        </w:rPr>
        <w:t xml:space="preserve"> as very good</w:t>
      </w:r>
      <w:r w:rsidR="00430136" w:rsidRPr="00E869A4">
        <w:rPr>
          <w:rFonts w:ascii="Times New Roman" w:hAnsi="Times New Roman" w:cs="Times New Roman"/>
          <w:szCs w:val="24"/>
        </w:rPr>
        <w:t xml:space="preserve"> or good (n = 191</w:t>
      </w:r>
      <w:r w:rsidRPr="00E869A4">
        <w:rPr>
          <w:rFonts w:ascii="Times New Roman" w:hAnsi="Times New Roman" w:cs="Times New Roman"/>
          <w:szCs w:val="24"/>
        </w:rPr>
        <w:t xml:space="preserve">), and </w:t>
      </w:r>
      <w:r w:rsidR="00430136" w:rsidRPr="00E869A4">
        <w:rPr>
          <w:rFonts w:ascii="Times New Roman" w:hAnsi="Times New Roman" w:cs="Times New Roman"/>
          <w:szCs w:val="24"/>
        </w:rPr>
        <w:t>54</w:t>
      </w:r>
      <w:r w:rsidRPr="00E869A4">
        <w:rPr>
          <w:rFonts w:ascii="Times New Roman" w:hAnsi="Times New Roman" w:cs="Times New Roman"/>
          <w:szCs w:val="24"/>
        </w:rPr>
        <w:t xml:space="preserve">% rated </w:t>
      </w:r>
      <w:r w:rsidR="0010466D" w:rsidRPr="00E869A4">
        <w:rPr>
          <w:rFonts w:ascii="Times New Roman" w:hAnsi="Times New Roman" w:cs="Times New Roman"/>
          <w:szCs w:val="24"/>
        </w:rPr>
        <w:t>CDAP</w:t>
      </w:r>
      <w:r w:rsidRPr="00E869A4">
        <w:rPr>
          <w:rFonts w:ascii="Times New Roman" w:hAnsi="Times New Roman" w:cs="Times New Roman"/>
          <w:szCs w:val="24"/>
        </w:rPr>
        <w:t xml:space="preserve"> as good</w:t>
      </w:r>
      <w:r w:rsidR="00430136" w:rsidRPr="00E869A4">
        <w:rPr>
          <w:rFonts w:ascii="Times New Roman" w:hAnsi="Times New Roman" w:cs="Times New Roman"/>
          <w:szCs w:val="24"/>
        </w:rPr>
        <w:t xml:space="preserve"> or very good (n = 192</w:t>
      </w:r>
      <w:r w:rsidRPr="00E869A4">
        <w:rPr>
          <w:rFonts w:ascii="Times New Roman" w:hAnsi="Times New Roman" w:cs="Times New Roman"/>
          <w:szCs w:val="24"/>
        </w:rPr>
        <w:t>). A significant proportion of respondents (74%</w:t>
      </w:r>
      <w:r w:rsidR="006A2767" w:rsidRPr="00E869A4">
        <w:rPr>
          <w:rFonts w:ascii="Times New Roman" w:hAnsi="Times New Roman" w:cs="Times New Roman"/>
          <w:szCs w:val="24"/>
        </w:rPr>
        <w:t>; n = 191</w:t>
      </w:r>
      <w:r w:rsidRPr="00E869A4">
        <w:rPr>
          <w:rFonts w:ascii="Times New Roman" w:hAnsi="Times New Roman" w:cs="Times New Roman"/>
          <w:szCs w:val="24"/>
        </w:rPr>
        <w:t>) confirmed that their older relative received the Senior Citizen’s Grant (SCG)</w:t>
      </w:r>
      <w:r w:rsidRPr="00E869A4">
        <w:rPr>
          <w:rStyle w:val="FootnoteReference"/>
          <w:rFonts w:ascii="Times New Roman" w:hAnsi="Times New Roman" w:cs="Times New Roman"/>
          <w:szCs w:val="24"/>
        </w:rPr>
        <w:footnoteReference w:id="79"/>
      </w:r>
      <w:r w:rsidRPr="00E869A4">
        <w:rPr>
          <w:rFonts w:ascii="Times New Roman" w:hAnsi="Times New Roman" w:cs="Times New Roman"/>
          <w:szCs w:val="24"/>
        </w:rPr>
        <w:t xml:space="preserve"> and most participants (43%) described the SCG as good</w:t>
      </w:r>
      <w:r w:rsidRPr="00E869A4">
        <w:rPr>
          <w:rStyle w:val="FootnoteReference"/>
          <w:rFonts w:ascii="Times New Roman" w:hAnsi="Times New Roman" w:cs="Times New Roman"/>
          <w:szCs w:val="24"/>
        </w:rPr>
        <w:footnoteReference w:id="80"/>
      </w:r>
      <w:r w:rsidRPr="00E869A4">
        <w:rPr>
          <w:rFonts w:ascii="Times New Roman" w:hAnsi="Times New Roman" w:cs="Times New Roman"/>
          <w:szCs w:val="24"/>
        </w:rPr>
        <w:t xml:space="preserve">. However, some persons were dissatisfied with the SCG. One respondent </w:t>
      </w:r>
      <w:r w:rsidR="002449C3" w:rsidRPr="00E869A4">
        <w:rPr>
          <w:rFonts w:ascii="Times New Roman" w:hAnsi="Times New Roman" w:cs="Times New Roman"/>
          <w:szCs w:val="24"/>
        </w:rPr>
        <w:t xml:space="preserve">(K) </w:t>
      </w:r>
      <w:r w:rsidRPr="00E869A4">
        <w:rPr>
          <w:rFonts w:ascii="Times New Roman" w:hAnsi="Times New Roman" w:cs="Times New Roman"/>
          <w:szCs w:val="24"/>
        </w:rPr>
        <w:t xml:space="preserve">shared the following </w:t>
      </w:r>
      <w:r w:rsidR="00B806E9" w:rsidRPr="00E869A4">
        <w:rPr>
          <w:rFonts w:ascii="Times New Roman" w:hAnsi="Times New Roman" w:cs="Times New Roman"/>
          <w:szCs w:val="24"/>
        </w:rPr>
        <w:t>recommendation</w:t>
      </w:r>
      <w:r w:rsidR="00800B42" w:rsidRPr="00E869A4">
        <w:rPr>
          <w:rFonts w:ascii="Times New Roman" w:hAnsi="Times New Roman" w:cs="Times New Roman"/>
          <w:szCs w:val="24"/>
        </w:rPr>
        <w:t>:</w:t>
      </w:r>
    </w:p>
    <w:p w14:paraId="44B40B01" w14:textId="77777777" w:rsidR="00D470B3" w:rsidRPr="00E869A4" w:rsidRDefault="00D470B3" w:rsidP="00B806E9">
      <w:pPr>
        <w:spacing w:line="240" w:lineRule="auto"/>
        <w:rPr>
          <w:rFonts w:ascii="Times New Roman" w:hAnsi="Times New Roman" w:cs="Times New Roman"/>
          <w:szCs w:val="24"/>
        </w:rPr>
      </w:pPr>
    </w:p>
    <w:p w14:paraId="4A170E56" w14:textId="1D6B6F05" w:rsidR="00E53916" w:rsidRPr="00E869A4" w:rsidRDefault="00E53916" w:rsidP="002449C3">
      <w:pPr>
        <w:spacing w:line="240" w:lineRule="auto"/>
        <w:ind w:left="567" w:firstLine="0"/>
        <w:rPr>
          <w:rFonts w:ascii="Times New Roman" w:hAnsi="Times New Roman" w:cs="Times New Roman"/>
          <w:szCs w:val="24"/>
        </w:rPr>
      </w:pPr>
      <w:r w:rsidRPr="00E869A4">
        <w:rPr>
          <w:rFonts w:ascii="Times New Roman" w:hAnsi="Times New Roman" w:cs="Times New Roman"/>
          <w:szCs w:val="24"/>
        </w:rPr>
        <w:t>I have cared for my mom, dad, mother in law and father in law. All have now passed on: the last was this year [2014]. Family support is crucial. I was lucky to have 2 of my kids and spouse support me at all times. Both [of the older] men were [employed in the oil industry] who provided for their wives, but the state's subvention of the Old Age Pension helped immensely to make their lives more comfortable. If the retirement age remains at 60, Old Age Pension should kick in for all at the same time</w:t>
      </w:r>
      <w:r w:rsidR="002449C3" w:rsidRPr="00E869A4">
        <w:rPr>
          <w:rFonts w:ascii="Times New Roman" w:hAnsi="Times New Roman" w:cs="Times New Roman"/>
          <w:szCs w:val="24"/>
        </w:rPr>
        <w:t>.</w:t>
      </w:r>
    </w:p>
    <w:p w14:paraId="718DE570" w14:textId="77777777" w:rsidR="0087217D" w:rsidRPr="00E869A4" w:rsidRDefault="0087217D" w:rsidP="00914FB4">
      <w:pPr>
        <w:spacing w:line="240" w:lineRule="auto"/>
        <w:rPr>
          <w:rFonts w:ascii="Times New Roman" w:hAnsi="Times New Roman" w:cs="Times New Roman"/>
          <w:szCs w:val="24"/>
        </w:rPr>
      </w:pPr>
    </w:p>
    <w:p w14:paraId="10627D03" w14:textId="65D7685B" w:rsidR="00E53916" w:rsidRPr="00E869A4" w:rsidRDefault="00E53916" w:rsidP="002449C3">
      <w:pPr>
        <w:rPr>
          <w:rFonts w:ascii="Times New Roman" w:hAnsi="Times New Roman" w:cs="Times New Roman"/>
          <w:i/>
          <w:szCs w:val="24"/>
        </w:rPr>
      </w:pPr>
      <w:r w:rsidRPr="00E869A4">
        <w:rPr>
          <w:rFonts w:ascii="Times New Roman" w:hAnsi="Times New Roman" w:cs="Times New Roman"/>
          <w:szCs w:val="24"/>
        </w:rPr>
        <w:t xml:space="preserve">A noticeable number of respondents selected the option </w:t>
      </w:r>
      <w:r w:rsidR="00932A85" w:rsidRPr="00E869A4">
        <w:rPr>
          <w:rFonts w:ascii="Times New Roman" w:hAnsi="Times New Roman" w:cs="Times New Roman"/>
          <w:szCs w:val="24"/>
        </w:rPr>
        <w:t>‘</w:t>
      </w:r>
      <w:r w:rsidRPr="00E869A4">
        <w:rPr>
          <w:rFonts w:ascii="Times New Roman" w:hAnsi="Times New Roman" w:cs="Times New Roman"/>
          <w:i/>
          <w:szCs w:val="24"/>
        </w:rPr>
        <w:t>not sure</w:t>
      </w:r>
      <w:r w:rsidR="00932A85" w:rsidRPr="00E869A4">
        <w:rPr>
          <w:rFonts w:ascii="Times New Roman" w:hAnsi="Times New Roman" w:cs="Times New Roman"/>
          <w:szCs w:val="24"/>
        </w:rPr>
        <w:t>’</w:t>
      </w:r>
      <w:r w:rsidRPr="00E869A4">
        <w:rPr>
          <w:rFonts w:ascii="Times New Roman" w:hAnsi="Times New Roman" w:cs="Times New Roman"/>
          <w:szCs w:val="24"/>
        </w:rPr>
        <w:t xml:space="preserve"> when asked to rate the health and social services available to older persons. Respondents were particularly uncertain about the dietary grant (50%), spectacles grant (46%), household items grant (43%), medical equipment grant (41%), social welfare home improvement grant (41%), utilities assistance programme (41%), and the self-help/minor repairs reconstruction grant (50%). Also, between 57% and 65% of persons said they were </w:t>
      </w:r>
      <w:r w:rsidR="00932A85" w:rsidRPr="00E869A4">
        <w:rPr>
          <w:rFonts w:ascii="Times New Roman" w:hAnsi="Times New Roman" w:cs="Times New Roman"/>
          <w:szCs w:val="24"/>
        </w:rPr>
        <w:t>‘</w:t>
      </w:r>
      <w:r w:rsidRPr="00E869A4">
        <w:rPr>
          <w:rFonts w:ascii="Times New Roman" w:hAnsi="Times New Roman" w:cs="Times New Roman"/>
          <w:i/>
          <w:szCs w:val="24"/>
        </w:rPr>
        <w:t>not sure</w:t>
      </w:r>
      <w:r w:rsidR="00932A85" w:rsidRPr="00E869A4">
        <w:rPr>
          <w:rFonts w:ascii="Times New Roman" w:hAnsi="Times New Roman" w:cs="Times New Roman"/>
          <w:szCs w:val="24"/>
        </w:rPr>
        <w:t>’</w:t>
      </w:r>
      <w:r w:rsidRPr="00E869A4">
        <w:rPr>
          <w:rFonts w:ascii="Times New Roman" w:hAnsi="Times New Roman" w:cs="Times New Roman"/>
          <w:szCs w:val="24"/>
        </w:rPr>
        <w:t xml:space="preserve"> about the services provided in Tobago for older persons</w:t>
      </w:r>
      <w:r w:rsidR="009A1C40" w:rsidRPr="00E869A4">
        <w:rPr>
          <w:rFonts w:ascii="Times New Roman" w:hAnsi="Times New Roman" w:cs="Times New Roman"/>
          <w:szCs w:val="24"/>
        </w:rPr>
        <w:t xml:space="preserve"> (see Appendix 10 below)</w:t>
      </w:r>
      <w:r w:rsidRPr="00E869A4">
        <w:rPr>
          <w:rFonts w:ascii="Times New Roman" w:hAnsi="Times New Roman" w:cs="Times New Roman"/>
          <w:szCs w:val="24"/>
        </w:rPr>
        <w:t>. The open-ended responses also confirmed that several of these participants were not aware of the existence of many of the pu</w:t>
      </w:r>
      <w:r w:rsidR="009A1C40" w:rsidRPr="00E869A4">
        <w:rPr>
          <w:rFonts w:ascii="Times New Roman" w:hAnsi="Times New Roman" w:cs="Times New Roman"/>
          <w:szCs w:val="24"/>
        </w:rPr>
        <w:t>blic services</w:t>
      </w:r>
      <w:r w:rsidR="00D65D34" w:rsidRPr="00E869A4">
        <w:rPr>
          <w:rFonts w:ascii="Times New Roman" w:hAnsi="Times New Roman" w:cs="Times New Roman"/>
          <w:szCs w:val="24"/>
        </w:rPr>
        <w:t xml:space="preserve"> (see Box 2 below)</w:t>
      </w:r>
      <w:r w:rsidRPr="00E869A4">
        <w:rPr>
          <w:rFonts w:ascii="Times New Roman" w:hAnsi="Times New Roman" w:cs="Times New Roman"/>
          <w:szCs w:val="24"/>
        </w:rPr>
        <w:t>. With respect to the provision of transportation services for frail older persons, one respondent shared the view that</w:t>
      </w:r>
      <w:r w:rsidR="00800B42" w:rsidRPr="00E869A4">
        <w:rPr>
          <w:rFonts w:ascii="Times New Roman" w:hAnsi="Times New Roman" w:cs="Times New Roman"/>
          <w:szCs w:val="24"/>
        </w:rPr>
        <w:t>:</w:t>
      </w:r>
      <w:r w:rsidR="002449C3" w:rsidRPr="00E869A4">
        <w:rPr>
          <w:rFonts w:ascii="Times New Roman" w:hAnsi="Times New Roman" w:cs="Times New Roman"/>
          <w:szCs w:val="24"/>
        </w:rPr>
        <w:t xml:space="preserve"> </w:t>
      </w:r>
      <w:r w:rsidRPr="00E869A4">
        <w:rPr>
          <w:rFonts w:ascii="Times New Roman" w:hAnsi="Times New Roman" w:cs="Times New Roman"/>
          <w:szCs w:val="24"/>
        </w:rPr>
        <w:t xml:space="preserve">“The ELDAMO bus service, while it is a good start is very much oversubscribed and is being used by schools, [i.e.] not only for the </w:t>
      </w:r>
      <w:r w:rsidR="00343458" w:rsidRPr="00E869A4">
        <w:rPr>
          <w:rFonts w:ascii="Times New Roman" w:hAnsi="Times New Roman" w:cs="Times New Roman"/>
          <w:szCs w:val="24"/>
        </w:rPr>
        <w:t>elderly</w:t>
      </w:r>
      <w:r w:rsidR="00800B42" w:rsidRPr="00E869A4">
        <w:rPr>
          <w:rFonts w:ascii="Times New Roman" w:hAnsi="Times New Roman" w:cs="Times New Roman"/>
          <w:szCs w:val="24"/>
        </w:rPr>
        <w:t>.</w:t>
      </w:r>
      <w:r w:rsidRPr="00E869A4">
        <w:rPr>
          <w:rFonts w:ascii="Times New Roman" w:hAnsi="Times New Roman" w:cs="Times New Roman"/>
          <w:szCs w:val="24"/>
        </w:rPr>
        <w:t>” (</w:t>
      </w:r>
      <w:r w:rsidR="0004452B" w:rsidRPr="00E869A4">
        <w:rPr>
          <w:rFonts w:ascii="Times New Roman" w:hAnsi="Times New Roman" w:cs="Times New Roman"/>
          <w:szCs w:val="24"/>
        </w:rPr>
        <w:t>Respon</w:t>
      </w:r>
      <w:r w:rsidR="00B806E9" w:rsidRPr="00E869A4">
        <w:rPr>
          <w:rFonts w:ascii="Times New Roman" w:hAnsi="Times New Roman" w:cs="Times New Roman"/>
          <w:szCs w:val="24"/>
        </w:rPr>
        <w:t>dent</w:t>
      </w:r>
      <w:r w:rsidRPr="00E869A4">
        <w:rPr>
          <w:rFonts w:ascii="Times New Roman" w:hAnsi="Times New Roman" w:cs="Times New Roman"/>
          <w:szCs w:val="24"/>
        </w:rPr>
        <w:t xml:space="preserve"> </w:t>
      </w:r>
      <w:r w:rsidR="000674D8" w:rsidRPr="00E869A4">
        <w:rPr>
          <w:rFonts w:ascii="Times New Roman" w:hAnsi="Times New Roman" w:cs="Times New Roman"/>
          <w:szCs w:val="24"/>
        </w:rPr>
        <w:t>L</w:t>
      </w:r>
      <w:r w:rsidRPr="00E869A4">
        <w:rPr>
          <w:rFonts w:ascii="Times New Roman" w:hAnsi="Times New Roman" w:cs="Times New Roman"/>
          <w:szCs w:val="24"/>
        </w:rPr>
        <w:t>)</w:t>
      </w:r>
      <w:r w:rsidR="002449C3" w:rsidRPr="00E869A4">
        <w:rPr>
          <w:rFonts w:ascii="Times New Roman" w:hAnsi="Times New Roman" w:cs="Times New Roman"/>
          <w:szCs w:val="24"/>
        </w:rPr>
        <w:t>.</w:t>
      </w:r>
    </w:p>
    <w:p w14:paraId="7B7E2D15" w14:textId="77777777" w:rsidR="00914FB4" w:rsidRPr="00E869A4" w:rsidRDefault="00914FB4" w:rsidP="00722517">
      <w:pPr>
        <w:pStyle w:val="Table"/>
        <w:spacing w:after="0" w:line="360" w:lineRule="auto"/>
        <w:jc w:val="left"/>
        <w:rPr>
          <w:i w:val="0"/>
          <w:sz w:val="24"/>
          <w:szCs w:val="24"/>
        </w:rPr>
      </w:pPr>
    </w:p>
    <w:p w14:paraId="38E58274" w14:textId="0BC10024" w:rsidR="00F1479D" w:rsidRPr="00E869A4" w:rsidRDefault="00F96871" w:rsidP="00722517">
      <w:pPr>
        <w:pStyle w:val="Table"/>
        <w:spacing w:after="0" w:line="360" w:lineRule="auto"/>
        <w:jc w:val="left"/>
        <w:rPr>
          <w:i w:val="0"/>
          <w:sz w:val="24"/>
          <w:szCs w:val="24"/>
        </w:rPr>
      </w:pPr>
      <w:r w:rsidRPr="00E869A4">
        <w:rPr>
          <w:i w:val="0"/>
          <w:sz w:val="24"/>
          <w:szCs w:val="24"/>
        </w:rPr>
        <w:t>Several</w:t>
      </w:r>
      <w:r w:rsidR="00E53916" w:rsidRPr="00E869A4">
        <w:rPr>
          <w:i w:val="0"/>
          <w:sz w:val="24"/>
          <w:szCs w:val="24"/>
        </w:rPr>
        <w:t xml:space="preserve"> respondents (62%) </w:t>
      </w:r>
      <w:r w:rsidRPr="00E869A4">
        <w:rPr>
          <w:i w:val="0"/>
          <w:sz w:val="24"/>
          <w:szCs w:val="24"/>
        </w:rPr>
        <w:t xml:space="preserve">indicated that they </w:t>
      </w:r>
      <w:r w:rsidR="00E53916" w:rsidRPr="00E869A4">
        <w:rPr>
          <w:i w:val="0"/>
          <w:sz w:val="24"/>
          <w:szCs w:val="24"/>
        </w:rPr>
        <w:t xml:space="preserve">did not receive training or care support from Non-Governmental Organisations (NGOs). </w:t>
      </w:r>
      <w:r w:rsidR="006A2767" w:rsidRPr="00E869A4">
        <w:rPr>
          <w:i w:val="0"/>
          <w:sz w:val="24"/>
          <w:szCs w:val="24"/>
        </w:rPr>
        <w:t>Only</w:t>
      </w:r>
      <w:r w:rsidR="00E53916" w:rsidRPr="00E869A4">
        <w:rPr>
          <w:i w:val="0"/>
          <w:sz w:val="24"/>
          <w:szCs w:val="24"/>
        </w:rPr>
        <w:t xml:space="preserve"> a few of the survey participants (7%) received assistance from </w:t>
      </w:r>
      <w:r w:rsidR="007E4CDA" w:rsidRPr="00E869A4">
        <w:rPr>
          <w:i w:val="0"/>
          <w:sz w:val="24"/>
          <w:szCs w:val="24"/>
        </w:rPr>
        <w:t>faith-based</w:t>
      </w:r>
      <w:r w:rsidR="00E53916" w:rsidRPr="00E869A4">
        <w:rPr>
          <w:i w:val="0"/>
          <w:sz w:val="24"/>
          <w:szCs w:val="24"/>
        </w:rPr>
        <w:t xml:space="preserve"> organizations (FBOs). </w:t>
      </w:r>
      <w:bookmarkStart w:id="390" w:name="_Ref492805029"/>
    </w:p>
    <w:p w14:paraId="6E90BD36" w14:textId="77777777" w:rsidR="00D65D34" w:rsidRPr="00E869A4" w:rsidRDefault="00D65D34" w:rsidP="00D65D34">
      <w:pPr>
        <w:ind w:firstLine="0"/>
        <w:jc w:val="center"/>
        <w:rPr>
          <w:rFonts w:ascii="Times New Roman" w:eastAsiaTheme="majorEastAsia" w:hAnsi="Times New Roman" w:cs="Times New Roman"/>
          <w:b/>
          <w:bCs/>
          <w:szCs w:val="26"/>
        </w:rPr>
      </w:pPr>
      <w:bookmarkStart w:id="391" w:name="_Toc40436664"/>
      <w:r w:rsidRPr="00E869A4">
        <w:rPr>
          <w:rFonts w:ascii="Times New Roman" w:eastAsiaTheme="majorEastAsia" w:hAnsi="Times New Roman" w:cs="Times New Roman"/>
          <w:b/>
          <w:bCs/>
          <w:szCs w:val="26"/>
        </w:rPr>
        <w:lastRenderedPageBreak/>
        <w:t xml:space="preserve">Box </w:t>
      </w:r>
      <w:r w:rsidRPr="00E869A4">
        <w:rPr>
          <w:rFonts w:ascii="Times New Roman" w:eastAsiaTheme="majorEastAsia" w:hAnsi="Times New Roman" w:cs="Times New Roman"/>
          <w:b/>
          <w:bCs/>
          <w:szCs w:val="26"/>
        </w:rPr>
        <w:fldChar w:fldCharType="begin"/>
      </w:r>
      <w:r w:rsidRPr="00E869A4">
        <w:rPr>
          <w:rFonts w:ascii="Times New Roman" w:eastAsiaTheme="majorEastAsia" w:hAnsi="Times New Roman" w:cs="Times New Roman"/>
          <w:b/>
          <w:bCs/>
          <w:szCs w:val="26"/>
        </w:rPr>
        <w:instrText xml:space="preserve"> SEQ Box \* ARABIC </w:instrText>
      </w:r>
      <w:r w:rsidRPr="00E869A4">
        <w:rPr>
          <w:rFonts w:ascii="Times New Roman" w:eastAsiaTheme="majorEastAsia" w:hAnsi="Times New Roman" w:cs="Times New Roman"/>
          <w:b/>
          <w:bCs/>
          <w:szCs w:val="26"/>
        </w:rPr>
        <w:fldChar w:fldCharType="separate"/>
      </w:r>
      <w:r w:rsidR="00D7239F">
        <w:rPr>
          <w:rFonts w:ascii="Times New Roman" w:eastAsiaTheme="majorEastAsia" w:hAnsi="Times New Roman" w:cs="Times New Roman"/>
          <w:b/>
          <w:bCs/>
          <w:noProof/>
          <w:szCs w:val="26"/>
        </w:rPr>
        <w:t>2</w:t>
      </w:r>
      <w:r w:rsidRPr="00E869A4">
        <w:rPr>
          <w:rFonts w:ascii="Times New Roman" w:eastAsiaTheme="majorEastAsia" w:hAnsi="Times New Roman" w:cs="Times New Roman"/>
          <w:b/>
          <w:bCs/>
          <w:szCs w:val="26"/>
        </w:rPr>
        <w:fldChar w:fldCharType="end"/>
      </w:r>
      <w:r w:rsidRPr="00E869A4">
        <w:rPr>
          <w:rFonts w:ascii="Times New Roman" w:eastAsiaTheme="majorEastAsia" w:hAnsi="Times New Roman" w:cs="Times New Roman"/>
          <w:b/>
          <w:bCs/>
          <w:szCs w:val="26"/>
        </w:rPr>
        <w:t>: Selected Open-Ended Feedback on Quality of State Services for Older Persons</w:t>
      </w:r>
      <w:bookmarkEnd w:id="391"/>
    </w:p>
    <w:p w14:paraId="41B7A924" w14:textId="77777777" w:rsidR="00D65D34" w:rsidRPr="00E869A4" w:rsidRDefault="00D65D34" w:rsidP="00D65D34">
      <w:pPr>
        <w:rPr>
          <w:rFonts w:ascii="Times New Roman" w:hAnsi="Times New Roman" w:cs="Times New Roman"/>
        </w:rPr>
      </w:pPr>
      <w:r w:rsidRPr="00E869A4">
        <w:rPr>
          <w:rFonts w:ascii="Times New Roman" w:hAnsi="Times New Roman" w:cs="Times New Roman"/>
          <w:noProof/>
          <w:szCs w:val="24"/>
        </w:rPr>
        <mc:AlternateContent>
          <mc:Choice Requires="wps">
            <w:drawing>
              <wp:anchor distT="0" distB="0" distL="114300" distR="114300" simplePos="0" relativeHeight="251689984" behindDoc="0" locked="0" layoutInCell="1" allowOverlap="1" wp14:anchorId="18FBDDF1" wp14:editId="117E30F5">
                <wp:simplePos x="0" y="0"/>
                <wp:positionH relativeFrom="column">
                  <wp:posOffset>166602</wp:posOffset>
                </wp:positionH>
                <wp:positionV relativeFrom="paragraph">
                  <wp:posOffset>135082</wp:posOffset>
                </wp:positionV>
                <wp:extent cx="6186054" cy="3948545"/>
                <wp:effectExtent l="0" t="0" r="24765" b="139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054" cy="3948545"/>
                        </a:xfrm>
                        <a:prstGeom prst="rect">
                          <a:avLst/>
                        </a:prstGeom>
                        <a:solidFill>
                          <a:srgbClr val="FFFFFF"/>
                        </a:solidFill>
                        <a:ln w="9525">
                          <a:solidFill>
                            <a:srgbClr val="000000"/>
                          </a:solidFill>
                          <a:miter lim="800000"/>
                          <a:headEnd/>
                          <a:tailEnd/>
                        </a:ln>
                      </wps:spPr>
                      <wps:txbx>
                        <w:txbxContent>
                          <w:p w14:paraId="7B90E241" w14:textId="77777777" w:rsidR="00D7239F" w:rsidRPr="007017C2" w:rsidRDefault="00D7239F" w:rsidP="009D4C5D">
                            <w:pPr>
                              <w:pStyle w:val="ListParagraph"/>
                              <w:numPr>
                                <w:ilvl w:val="0"/>
                                <w:numId w:val="47"/>
                              </w:numPr>
                              <w:spacing w:after="160" w:line="256" w:lineRule="auto"/>
                              <w:ind w:left="426" w:right="190"/>
                              <w:jc w:val="both"/>
                              <w:rPr>
                                <w:sz w:val="22"/>
                              </w:rPr>
                            </w:pPr>
                            <w:r>
                              <w:rPr>
                                <w:sz w:val="22"/>
                              </w:rPr>
                              <w:t>“Re</w:t>
                            </w:r>
                            <w:r w:rsidRPr="007017C2">
                              <w:rPr>
                                <w:sz w:val="22"/>
                              </w:rPr>
                              <w:t>ally, I was not aware that some persons got all of this assistance. My father has since died but he nEVER received certain medication for his prostate problem – we had to see the same doctor from the clinic in a private capacity to get a prescription to buy medication. It was EXTREMELY difficult as sometimes all he got through the clinic was pain meds (for CANCER!!!) and I mean Panadol.”</w:t>
                            </w:r>
                          </w:p>
                          <w:p w14:paraId="0044CD08" w14:textId="77777777" w:rsidR="00D7239F" w:rsidRPr="007017C2" w:rsidRDefault="00D7239F" w:rsidP="009D4C5D">
                            <w:pPr>
                              <w:pStyle w:val="ListParagraph"/>
                              <w:numPr>
                                <w:ilvl w:val="0"/>
                                <w:numId w:val="47"/>
                              </w:numPr>
                              <w:spacing w:after="160" w:line="256" w:lineRule="auto"/>
                              <w:ind w:left="426" w:right="190"/>
                              <w:jc w:val="both"/>
                              <w:rPr>
                                <w:sz w:val="22"/>
                              </w:rPr>
                            </w:pPr>
                            <w:r w:rsidRPr="007017C2">
                              <w:rPr>
                                <w:sz w:val="22"/>
                              </w:rPr>
                              <w:t>“I had no idea that half of these services existed. Why is it that certain people know about them and some don’t? If you distribute pamphlets and let the personnel at the local clinics and government offices spread the word then everyone will know about them. When we don’t know of these services it means they don’t exist.”</w:t>
                            </w:r>
                          </w:p>
                          <w:p w14:paraId="6A7A514B" w14:textId="77777777" w:rsidR="00D7239F" w:rsidRPr="007017C2" w:rsidRDefault="00D7239F" w:rsidP="009D4C5D">
                            <w:pPr>
                              <w:pStyle w:val="ListParagraph"/>
                              <w:numPr>
                                <w:ilvl w:val="0"/>
                                <w:numId w:val="47"/>
                              </w:numPr>
                              <w:spacing w:after="160" w:line="256" w:lineRule="auto"/>
                              <w:ind w:left="426" w:right="190"/>
                              <w:jc w:val="both"/>
                              <w:rPr>
                                <w:sz w:val="22"/>
                              </w:rPr>
                            </w:pPr>
                            <w:r w:rsidRPr="007017C2">
                              <w:rPr>
                                <w:sz w:val="22"/>
                              </w:rPr>
                              <w:t>“Absolutely no effort is made to contact the elderly by the various branches of Government and tell them of these benefits. Seeing this survey is the first time I realized they are available.”</w:t>
                            </w:r>
                          </w:p>
                          <w:p w14:paraId="718D9C96" w14:textId="77777777" w:rsidR="00D7239F" w:rsidRPr="007017C2" w:rsidRDefault="00D7239F" w:rsidP="009D4C5D">
                            <w:pPr>
                              <w:pStyle w:val="ListParagraph"/>
                              <w:numPr>
                                <w:ilvl w:val="0"/>
                                <w:numId w:val="47"/>
                              </w:numPr>
                              <w:spacing w:after="160" w:line="256" w:lineRule="auto"/>
                              <w:ind w:left="426" w:right="190"/>
                              <w:jc w:val="both"/>
                              <w:rPr>
                                <w:sz w:val="22"/>
                              </w:rPr>
                            </w:pPr>
                            <w:r w:rsidRPr="007017C2">
                              <w:rPr>
                                <w:sz w:val="22"/>
                              </w:rPr>
                              <w:t>“There should be more information about the facilities or programs available to the families who assist in the care of elderly relatives. This survey alone is a clear indicator that they are several agencies that provide assistance in terms of caring for the elderly; however, I was unaware that there were so many. More people lack this knowledge than you think. Clearly not enough is being done to ensure that the public has access to this information. This is most often the biggest downfall of public institutions... Insufficient public outreach and education.”</w:t>
                            </w:r>
                          </w:p>
                          <w:p w14:paraId="60BD15C2" w14:textId="77777777" w:rsidR="00D7239F" w:rsidRPr="007017C2" w:rsidRDefault="00D7239F" w:rsidP="009D4C5D">
                            <w:pPr>
                              <w:pStyle w:val="ListParagraph"/>
                              <w:numPr>
                                <w:ilvl w:val="0"/>
                                <w:numId w:val="47"/>
                              </w:numPr>
                              <w:spacing w:after="160" w:line="256" w:lineRule="auto"/>
                              <w:ind w:left="426" w:right="190"/>
                              <w:jc w:val="both"/>
                              <w:rPr>
                                <w:sz w:val="22"/>
                              </w:rPr>
                            </w:pPr>
                            <w:r w:rsidRPr="007017C2">
                              <w:rPr>
                                <w:sz w:val="22"/>
                              </w:rPr>
                              <w:t>“At the time of my Mom's illness, I do not think all these agencies and by extension services were available. While there has been great improvement, there is still too much red tape.”</w:t>
                            </w:r>
                          </w:p>
                          <w:p w14:paraId="50F8A9A3" w14:textId="77777777" w:rsidR="00D7239F" w:rsidRPr="007017C2" w:rsidRDefault="00D7239F" w:rsidP="009D4C5D">
                            <w:pPr>
                              <w:pStyle w:val="ListParagraph"/>
                              <w:numPr>
                                <w:ilvl w:val="0"/>
                                <w:numId w:val="47"/>
                              </w:numPr>
                              <w:spacing w:after="160" w:line="256" w:lineRule="auto"/>
                              <w:ind w:left="426" w:right="190"/>
                              <w:jc w:val="both"/>
                              <w:rPr>
                                <w:sz w:val="22"/>
                              </w:rPr>
                            </w:pPr>
                            <w:r w:rsidRPr="007017C2">
                              <w:rPr>
                                <w:sz w:val="22"/>
                              </w:rPr>
                              <w:t>“Education is important, especially knowing the wide range of support services available and the criteria for accessing the necessary support.  Many people are unaware of how much is out there in terms of support, including myself.”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left:0;text-align:left;margin-left:13.1pt;margin-top:10.65pt;width:487.1pt;height:31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">
                <v:textbox>
                  <w:txbxContent>
                    <w:p w14:paraId="7B90E241" w14:textId="77777777" w:rsidR="00011C8F" w:rsidRPr="007017C2" w:rsidRDefault="00011C8F" w:rsidP="009D4C5D">
                      <w:pPr>
                        <w:pStyle w:val="ListParagraph"/>
                        <w:numPr>
                          <w:ilvl w:val="0"/>
                          <w:numId w:val="47"/>
                        </w:numPr>
                        <w:spacing w:after="160" w:line="256" w:lineRule="auto"/>
                        <w:ind w:left="426" w:right="190"/>
                        <w:jc w:val="both"/>
                        <w:rPr>
                          <w:sz w:val="22"/>
                        </w:rPr>
                      </w:pPr>
                      <w:r>
                        <w:rPr>
                          <w:sz w:val="22"/>
                        </w:rPr>
                        <w:t>“Re</w:t>
                      </w:r>
                      <w:r w:rsidRPr="007017C2">
                        <w:rPr>
                          <w:sz w:val="22"/>
                        </w:rPr>
                        <w:t>ally, I was not aware that some persons got all of this assistance. My father has since died but he nEVER received certain medication for his prostate problem – we had to see the same doctor from the clinic in a private capacity to get a prescription to buy medication. It was EXTREMELY difficult as sometimes all he got through the clinic was pain meds (for CANCER!!!) and I mean Panadol.”</w:t>
                      </w:r>
                    </w:p>
                    <w:p w14:paraId="0044CD08" w14:textId="77777777" w:rsidR="00011C8F" w:rsidRPr="007017C2" w:rsidRDefault="00011C8F" w:rsidP="009D4C5D">
                      <w:pPr>
                        <w:pStyle w:val="ListParagraph"/>
                        <w:numPr>
                          <w:ilvl w:val="0"/>
                          <w:numId w:val="47"/>
                        </w:numPr>
                        <w:spacing w:after="160" w:line="256" w:lineRule="auto"/>
                        <w:ind w:left="426" w:right="190"/>
                        <w:jc w:val="both"/>
                        <w:rPr>
                          <w:sz w:val="22"/>
                        </w:rPr>
                      </w:pPr>
                      <w:r w:rsidRPr="007017C2">
                        <w:rPr>
                          <w:sz w:val="22"/>
                        </w:rPr>
                        <w:t>“I had no idea that half of these services existed. Why is it that certain people know about them and some don’t? If you distribute pamphlets and let the personnel at the local clinics and government offices spread the word then everyone will know about them. When we don’t know of these services it means they don’t exist.”</w:t>
                      </w:r>
                    </w:p>
                    <w:p w14:paraId="6A7A514B" w14:textId="77777777" w:rsidR="00011C8F" w:rsidRPr="007017C2" w:rsidRDefault="00011C8F" w:rsidP="009D4C5D">
                      <w:pPr>
                        <w:pStyle w:val="ListParagraph"/>
                        <w:numPr>
                          <w:ilvl w:val="0"/>
                          <w:numId w:val="47"/>
                        </w:numPr>
                        <w:spacing w:after="160" w:line="256" w:lineRule="auto"/>
                        <w:ind w:left="426" w:right="190"/>
                        <w:jc w:val="both"/>
                        <w:rPr>
                          <w:sz w:val="22"/>
                        </w:rPr>
                      </w:pPr>
                      <w:r w:rsidRPr="007017C2">
                        <w:rPr>
                          <w:sz w:val="22"/>
                        </w:rPr>
                        <w:t>“Absolutely no effort is made to contact the elderly by the various branches of Government and tell them of these benefits. Seeing this survey is the first time I realized they are available.”</w:t>
                      </w:r>
                    </w:p>
                    <w:p w14:paraId="718D9C96" w14:textId="77777777" w:rsidR="00011C8F" w:rsidRPr="007017C2" w:rsidRDefault="00011C8F" w:rsidP="009D4C5D">
                      <w:pPr>
                        <w:pStyle w:val="ListParagraph"/>
                        <w:numPr>
                          <w:ilvl w:val="0"/>
                          <w:numId w:val="47"/>
                        </w:numPr>
                        <w:spacing w:after="160" w:line="256" w:lineRule="auto"/>
                        <w:ind w:left="426" w:right="190"/>
                        <w:jc w:val="both"/>
                        <w:rPr>
                          <w:sz w:val="22"/>
                        </w:rPr>
                      </w:pPr>
                      <w:r w:rsidRPr="007017C2">
                        <w:rPr>
                          <w:sz w:val="22"/>
                        </w:rPr>
                        <w:t>“There should be more information about the facilities or programs available to the families who assist in the care of elderly relatives. This survey alone is a clear indicator that they are several agencies that provide assistance in terms of caring for the elderly; however, I was unaware that there were so many. More people lack this knowledge than you think. Clearly not enough is being done to ensure that the public has access to this information. This is most often the biggest downfall of public institutions... Insufficient public outreach and education.”</w:t>
                      </w:r>
                    </w:p>
                    <w:p w14:paraId="60BD15C2" w14:textId="77777777" w:rsidR="00011C8F" w:rsidRPr="007017C2" w:rsidRDefault="00011C8F" w:rsidP="009D4C5D">
                      <w:pPr>
                        <w:pStyle w:val="ListParagraph"/>
                        <w:numPr>
                          <w:ilvl w:val="0"/>
                          <w:numId w:val="47"/>
                        </w:numPr>
                        <w:spacing w:after="160" w:line="256" w:lineRule="auto"/>
                        <w:ind w:left="426" w:right="190"/>
                        <w:jc w:val="both"/>
                        <w:rPr>
                          <w:sz w:val="22"/>
                        </w:rPr>
                      </w:pPr>
                      <w:r w:rsidRPr="007017C2">
                        <w:rPr>
                          <w:sz w:val="22"/>
                        </w:rPr>
                        <w:t>“At the time of my Mom's illness, I do not think all these agencies and by extension services were available. While there has been great improvement, there is still too much red tape.”</w:t>
                      </w:r>
                    </w:p>
                    <w:p w14:paraId="50F8A9A3" w14:textId="77777777" w:rsidR="00011C8F" w:rsidRPr="007017C2" w:rsidRDefault="00011C8F" w:rsidP="009D4C5D">
                      <w:pPr>
                        <w:pStyle w:val="ListParagraph"/>
                        <w:numPr>
                          <w:ilvl w:val="0"/>
                          <w:numId w:val="47"/>
                        </w:numPr>
                        <w:spacing w:after="160" w:line="256" w:lineRule="auto"/>
                        <w:ind w:left="426" w:right="190"/>
                        <w:jc w:val="both"/>
                        <w:rPr>
                          <w:sz w:val="22"/>
                        </w:rPr>
                      </w:pPr>
                      <w:r w:rsidRPr="007017C2">
                        <w:rPr>
                          <w:sz w:val="22"/>
                        </w:rPr>
                        <w:t>“Education is important, especially knowing the wide range of support services available and the criteria for accessing the necessary support.  Many people are unaware of how much is out there in terms of support, including myself.”</w:t>
                      </w:r>
                    </w:p>
                  </w:txbxContent>
                </v:textbox>
              </v:shape>
            </w:pict>
          </mc:Fallback>
        </mc:AlternateContent>
      </w:r>
    </w:p>
    <w:p w14:paraId="3DE0B2E7" w14:textId="77777777" w:rsidR="00D65D34" w:rsidRPr="00E869A4" w:rsidRDefault="00D65D34" w:rsidP="00D65D34">
      <w:pPr>
        <w:rPr>
          <w:rFonts w:ascii="Times New Roman" w:hAnsi="Times New Roman" w:cs="Times New Roman"/>
          <w:szCs w:val="24"/>
        </w:rPr>
      </w:pPr>
    </w:p>
    <w:p w14:paraId="703C262D" w14:textId="77777777" w:rsidR="00D65D34" w:rsidRPr="00E869A4" w:rsidRDefault="00D65D34" w:rsidP="00D65D34">
      <w:pPr>
        <w:rPr>
          <w:rFonts w:ascii="Times New Roman" w:hAnsi="Times New Roman" w:cs="Times New Roman"/>
          <w:szCs w:val="24"/>
        </w:rPr>
      </w:pPr>
    </w:p>
    <w:p w14:paraId="4E917985" w14:textId="77777777" w:rsidR="00D65D34" w:rsidRPr="00E869A4" w:rsidRDefault="00D65D34" w:rsidP="00D65D34">
      <w:pPr>
        <w:rPr>
          <w:rFonts w:ascii="Times New Roman" w:hAnsi="Times New Roman" w:cs="Times New Roman"/>
          <w:szCs w:val="24"/>
        </w:rPr>
      </w:pPr>
    </w:p>
    <w:p w14:paraId="3DEFAFD2" w14:textId="77777777" w:rsidR="00D65D34" w:rsidRPr="00E869A4" w:rsidRDefault="00D65D34" w:rsidP="00D65D34">
      <w:pPr>
        <w:rPr>
          <w:rFonts w:ascii="Times New Roman" w:hAnsi="Times New Roman" w:cs="Times New Roman"/>
          <w:szCs w:val="24"/>
        </w:rPr>
      </w:pPr>
    </w:p>
    <w:p w14:paraId="2F38D039" w14:textId="77777777" w:rsidR="00D65D34" w:rsidRPr="00E869A4" w:rsidRDefault="00D65D34" w:rsidP="00D65D34">
      <w:pPr>
        <w:rPr>
          <w:rFonts w:ascii="Times New Roman" w:hAnsi="Times New Roman" w:cs="Times New Roman"/>
          <w:szCs w:val="24"/>
        </w:rPr>
      </w:pPr>
    </w:p>
    <w:p w14:paraId="3198F8BE" w14:textId="77777777" w:rsidR="00D65D34" w:rsidRPr="00E869A4" w:rsidRDefault="00D65D34" w:rsidP="00D65D34">
      <w:pPr>
        <w:rPr>
          <w:rFonts w:ascii="Times New Roman" w:hAnsi="Times New Roman" w:cs="Times New Roman"/>
          <w:szCs w:val="24"/>
        </w:rPr>
      </w:pPr>
    </w:p>
    <w:p w14:paraId="548B694A" w14:textId="77777777" w:rsidR="00D65D34" w:rsidRPr="00E869A4" w:rsidRDefault="00D65D34" w:rsidP="00D65D34">
      <w:pPr>
        <w:rPr>
          <w:rFonts w:ascii="Times New Roman" w:hAnsi="Times New Roman" w:cs="Times New Roman"/>
          <w:szCs w:val="24"/>
        </w:rPr>
      </w:pPr>
    </w:p>
    <w:p w14:paraId="035314AD" w14:textId="77777777" w:rsidR="00D65D34" w:rsidRPr="00E869A4" w:rsidRDefault="00D65D34" w:rsidP="00D65D34">
      <w:pPr>
        <w:rPr>
          <w:rFonts w:ascii="Times New Roman" w:hAnsi="Times New Roman" w:cs="Times New Roman"/>
          <w:szCs w:val="24"/>
        </w:rPr>
      </w:pPr>
    </w:p>
    <w:p w14:paraId="254CEDB1" w14:textId="77777777" w:rsidR="00D65D34" w:rsidRPr="00E869A4" w:rsidRDefault="00D65D34" w:rsidP="00D65D34">
      <w:pPr>
        <w:rPr>
          <w:rFonts w:ascii="Times New Roman" w:hAnsi="Times New Roman" w:cs="Times New Roman"/>
          <w:szCs w:val="24"/>
        </w:rPr>
      </w:pPr>
    </w:p>
    <w:p w14:paraId="134765AA" w14:textId="77777777" w:rsidR="00D65D34" w:rsidRPr="00E869A4" w:rsidRDefault="00D65D34" w:rsidP="00D65D34">
      <w:pPr>
        <w:rPr>
          <w:rFonts w:ascii="Times New Roman" w:hAnsi="Times New Roman" w:cs="Times New Roman"/>
          <w:szCs w:val="24"/>
        </w:rPr>
      </w:pPr>
    </w:p>
    <w:p w14:paraId="3513E461" w14:textId="77777777" w:rsidR="00D65D34" w:rsidRPr="00E869A4" w:rsidRDefault="00D65D34" w:rsidP="00D65D34">
      <w:pPr>
        <w:rPr>
          <w:rFonts w:ascii="Times New Roman" w:hAnsi="Times New Roman" w:cs="Times New Roman"/>
          <w:szCs w:val="24"/>
        </w:rPr>
      </w:pPr>
    </w:p>
    <w:p w14:paraId="572D2ADD" w14:textId="77777777" w:rsidR="00D65D34" w:rsidRPr="00E869A4" w:rsidRDefault="00D65D34" w:rsidP="00D65D34">
      <w:pPr>
        <w:rPr>
          <w:rFonts w:ascii="Times New Roman" w:hAnsi="Times New Roman" w:cs="Times New Roman"/>
          <w:szCs w:val="24"/>
        </w:rPr>
      </w:pPr>
    </w:p>
    <w:p w14:paraId="64F94D18" w14:textId="77777777" w:rsidR="00D65D34" w:rsidRPr="00E869A4" w:rsidRDefault="00D65D34" w:rsidP="00D65D34">
      <w:pPr>
        <w:pStyle w:val="Table"/>
        <w:spacing w:after="0" w:line="360" w:lineRule="auto"/>
        <w:ind w:firstLine="0"/>
        <w:jc w:val="left"/>
        <w:rPr>
          <w:i w:val="0"/>
          <w:sz w:val="24"/>
        </w:rPr>
      </w:pPr>
    </w:p>
    <w:p w14:paraId="4B0F8BDA" w14:textId="77777777" w:rsidR="00D65D34" w:rsidRPr="00E869A4" w:rsidRDefault="00D65D34" w:rsidP="00D65D34">
      <w:pPr>
        <w:pStyle w:val="Table"/>
        <w:spacing w:after="0" w:line="360" w:lineRule="auto"/>
        <w:ind w:firstLine="0"/>
        <w:jc w:val="left"/>
        <w:rPr>
          <w:i w:val="0"/>
          <w:sz w:val="24"/>
        </w:rPr>
      </w:pPr>
    </w:p>
    <w:p w14:paraId="2E7506E2" w14:textId="77777777" w:rsidR="00D65D34" w:rsidRPr="00E869A4" w:rsidRDefault="00D65D34" w:rsidP="00D65D34">
      <w:pPr>
        <w:pStyle w:val="Table"/>
        <w:spacing w:after="0" w:line="360" w:lineRule="auto"/>
        <w:ind w:firstLine="0"/>
        <w:jc w:val="left"/>
        <w:rPr>
          <w:i w:val="0"/>
          <w:sz w:val="24"/>
        </w:rPr>
      </w:pPr>
    </w:p>
    <w:p w14:paraId="5A95DA07" w14:textId="77777777" w:rsidR="00D65D34" w:rsidRPr="00E869A4" w:rsidRDefault="00D65D34" w:rsidP="00D65D34">
      <w:pPr>
        <w:pStyle w:val="Table"/>
        <w:spacing w:after="0" w:line="360" w:lineRule="auto"/>
        <w:ind w:firstLine="0"/>
        <w:jc w:val="left"/>
        <w:rPr>
          <w:i w:val="0"/>
          <w:sz w:val="24"/>
        </w:rPr>
      </w:pPr>
    </w:p>
    <w:p w14:paraId="477BD9B3" w14:textId="2944BFAA" w:rsidR="00F1479D" w:rsidRPr="00E869A4" w:rsidRDefault="009C4720" w:rsidP="00D65D34">
      <w:pPr>
        <w:pStyle w:val="Heading2"/>
        <w:rPr>
          <w:szCs w:val="24"/>
        </w:rPr>
      </w:pPr>
      <w:bookmarkStart w:id="392" w:name="_Toc40436576"/>
      <w:r w:rsidRPr="00E869A4">
        <w:t>9</w:t>
      </w:r>
      <w:r w:rsidR="00B87119" w:rsidRPr="00E869A4">
        <w:t xml:space="preserve">.5 </w:t>
      </w:r>
      <w:r w:rsidR="00F1479D" w:rsidRPr="00E869A4">
        <w:t>SERVICE NEEDS</w:t>
      </w:r>
      <w:bookmarkEnd w:id="392"/>
      <w:r w:rsidR="00F1479D" w:rsidRPr="00E869A4">
        <w:t xml:space="preserve"> </w:t>
      </w:r>
    </w:p>
    <w:p w14:paraId="338A1342" w14:textId="77777777" w:rsidR="00932A85" w:rsidRPr="00E869A4" w:rsidRDefault="00932A85" w:rsidP="00932A85"/>
    <w:p w14:paraId="15E97647" w14:textId="513A178D" w:rsidR="00932A85" w:rsidRPr="00E869A4" w:rsidRDefault="00932A85">
      <w:r w:rsidRPr="00E869A4">
        <w:t xml:space="preserve">In this section, the responses to questions on service needs for older persons and caregivers are presented. </w:t>
      </w:r>
      <w:bookmarkStart w:id="393" w:name="_Toc492959487"/>
    </w:p>
    <w:p w14:paraId="3CA6558A" w14:textId="77777777" w:rsidR="007017C2" w:rsidRPr="00E869A4" w:rsidRDefault="007017C2"/>
    <w:p w14:paraId="755B7D25" w14:textId="6C4AFF1F" w:rsidR="00F1479D" w:rsidRPr="00E869A4" w:rsidRDefault="009C4720" w:rsidP="005C449C">
      <w:pPr>
        <w:pStyle w:val="Heading3"/>
      </w:pPr>
      <w:bookmarkStart w:id="394" w:name="_Toc40436577"/>
      <w:r w:rsidRPr="00E869A4">
        <w:t>9</w:t>
      </w:r>
      <w:r w:rsidR="00B87119" w:rsidRPr="00E869A4">
        <w:t xml:space="preserve">.5.1     </w:t>
      </w:r>
      <w:r w:rsidR="00F1479D" w:rsidRPr="00E869A4">
        <w:t>Needs of Older Relatives</w:t>
      </w:r>
      <w:bookmarkEnd w:id="393"/>
      <w:bookmarkEnd w:id="394"/>
    </w:p>
    <w:p w14:paraId="51DCDB78" w14:textId="77777777" w:rsidR="00F1479D" w:rsidRPr="00E869A4" w:rsidRDefault="00F1479D" w:rsidP="00F1479D">
      <w:pPr>
        <w:rPr>
          <w:rFonts w:ascii="Times New Roman" w:hAnsi="Times New Roman" w:cs="Times New Roman"/>
        </w:rPr>
      </w:pPr>
    </w:p>
    <w:p w14:paraId="20DC5B25" w14:textId="1C4A1BE8" w:rsidR="00F1479D" w:rsidRPr="00E869A4" w:rsidRDefault="00F1479D" w:rsidP="00F1479D">
      <w:pPr>
        <w:rPr>
          <w:rFonts w:ascii="Times New Roman" w:hAnsi="Times New Roman" w:cs="Times New Roman"/>
          <w:szCs w:val="24"/>
        </w:rPr>
      </w:pPr>
      <w:r w:rsidRPr="00E869A4">
        <w:rPr>
          <w:rFonts w:ascii="Times New Roman" w:hAnsi="Times New Roman" w:cs="Times New Roman"/>
          <w:szCs w:val="24"/>
        </w:rPr>
        <w:t xml:space="preserve">Of the eight (8) service options provided in the survey (see </w:t>
      </w:r>
      <w:r w:rsidR="00812991" w:rsidRPr="00E869A4">
        <w:t xml:space="preserve">Figure </w:t>
      </w:r>
      <w:r w:rsidR="00932A85" w:rsidRPr="00E869A4">
        <w:t>24</w:t>
      </w:r>
      <w:r w:rsidR="00812991" w:rsidRPr="00E869A4">
        <w:t xml:space="preserve"> </w:t>
      </w:r>
      <w:r w:rsidRPr="00E869A4">
        <w:rPr>
          <w:rFonts w:ascii="Times New Roman" w:hAnsi="Times New Roman" w:cs="Times New Roman"/>
          <w:szCs w:val="24"/>
        </w:rPr>
        <w:t xml:space="preserve">below), generally, family caregivers identified in-home health care services (16%), and opportunities for their older relative to undertake activities they enjoy (14%) as priority service needs. Some persons shared their concerns about the quality of in-home care support that was currently available. For example, one respondent </w:t>
      </w:r>
      <w:r w:rsidR="007017C2" w:rsidRPr="00E869A4">
        <w:rPr>
          <w:rFonts w:ascii="Times New Roman" w:hAnsi="Times New Roman" w:cs="Times New Roman"/>
          <w:szCs w:val="24"/>
        </w:rPr>
        <w:t xml:space="preserve">(M) </w:t>
      </w:r>
      <w:r w:rsidRPr="00E869A4">
        <w:rPr>
          <w:rFonts w:ascii="Times New Roman" w:hAnsi="Times New Roman" w:cs="Times New Roman"/>
          <w:szCs w:val="24"/>
        </w:rPr>
        <w:t xml:space="preserve">shared the following: </w:t>
      </w:r>
    </w:p>
    <w:p w14:paraId="08BB1096" w14:textId="63987A71" w:rsidR="00F1479D" w:rsidRPr="00E869A4" w:rsidRDefault="00F1479D" w:rsidP="007017C2">
      <w:pPr>
        <w:spacing w:line="240" w:lineRule="auto"/>
        <w:ind w:left="720" w:firstLine="0"/>
        <w:rPr>
          <w:rFonts w:ascii="Times New Roman" w:hAnsi="Times New Roman" w:cs="Times New Roman"/>
          <w:szCs w:val="24"/>
        </w:rPr>
      </w:pPr>
      <w:r w:rsidRPr="00E869A4">
        <w:rPr>
          <w:rFonts w:ascii="Times New Roman" w:hAnsi="Times New Roman" w:cs="Times New Roman"/>
          <w:szCs w:val="24"/>
        </w:rPr>
        <w:lastRenderedPageBreak/>
        <w:t xml:space="preserve">The ideal is to have those with special needs and the </w:t>
      </w:r>
      <w:r w:rsidR="00343458" w:rsidRPr="00E869A4">
        <w:rPr>
          <w:rFonts w:ascii="Times New Roman" w:hAnsi="Times New Roman" w:cs="Times New Roman"/>
          <w:szCs w:val="24"/>
        </w:rPr>
        <w:t>elderly</w:t>
      </w:r>
      <w:r w:rsidRPr="00E869A4">
        <w:rPr>
          <w:rFonts w:ascii="Times New Roman" w:hAnsi="Times New Roman" w:cs="Times New Roman"/>
          <w:szCs w:val="24"/>
        </w:rPr>
        <w:t xml:space="preserve"> cared for in the family home. My observation, from other situations, is that most helpers are not as honest as they should be; they do not help as they should and they help themselves to whatever they can get away with</w:t>
      </w:r>
      <w:r w:rsidR="007017C2" w:rsidRPr="00E869A4">
        <w:rPr>
          <w:rFonts w:ascii="Times New Roman" w:hAnsi="Times New Roman" w:cs="Times New Roman"/>
          <w:szCs w:val="24"/>
        </w:rPr>
        <w:t>.</w:t>
      </w:r>
    </w:p>
    <w:p w14:paraId="66607F55" w14:textId="77777777" w:rsidR="00724CED" w:rsidRPr="00E869A4" w:rsidRDefault="00724CED" w:rsidP="007017C2">
      <w:pPr>
        <w:spacing w:line="240" w:lineRule="auto"/>
        <w:ind w:left="720" w:firstLine="0"/>
        <w:rPr>
          <w:rFonts w:ascii="Times New Roman" w:hAnsi="Times New Roman" w:cs="Times New Roman"/>
          <w:szCs w:val="24"/>
        </w:rPr>
      </w:pPr>
    </w:p>
    <w:p w14:paraId="6960952E" w14:textId="77777777" w:rsidR="0068457D" w:rsidRPr="00E869A4" w:rsidRDefault="0068457D" w:rsidP="00914FB4">
      <w:pPr>
        <w:spacing w:line="240" w:lineRule="auto"/>
        <w:rPr>
          <w:rFonts w:ascii="Times New Roman" w:hAnsi="Times New Roman" w:cs="Times New Roman"/>
          <w:szCs w:val="24"/>
        </w:rPr>
      </w:pPr>
    </w:p>
    <w:p w14:paraId="3C32DF97" w14:textId="78EE6CDD" w:rsidR="0068457D" w:rsidRPr="00E869A4" w:rsidRDefault="0068457D" w:rsidP="0068457D">
      <w:pPr>
        <w:pStyle w:val="Table"/>
        <w:spacing w:after="0" w:line="360" w:lineRule="auto"/>
        <w:rPr>
          <w:b/>
          <w:i w:val="0"/>
          <w:sz w:val="24"/>
        </w:rPr>
      </w:pPr>
      <w:bookmarkStart w:id="395" w:name="_Toc40436654"/>
      <w:r w:rsidRPr="00E869A4">
        <w:rPr>
          <w:b/>
          <w:i w:val="0"/>
          <w:sz w:val="24"/>
        </w:rPr>
        <w:t xml:space="preserve">Figure </w:t>
      </w:r>
      <w:r w:rsidRPr="00E869A4">
        <w:rPr>
          <w:b/>
          <w:i w:val="0"/>
          <w:sz w:val="24"/>
        </w:rPr>
        <w:fldChar w:fldCharType="begin"/>
      </w:r>
      <w:r w:rsidRPr="00E869A4">
        <w:rPr>
          <w:b/>
          <w:i w:val="0"/>
          <w:sz w:val="24"/>
        </w:rPr>
        <w:instrText xml:space="preserve"> SEQ Figure \* ARABIC </w:instrText>
      </w:r>
      <w:r w:rsidRPr="00E869A4">
        <w:rPr>
          <w:b/>
          <w:i w:val="0"/>
          <w:sz w:val="24"/>
        </w:rPr>
        <w:fldChar w:fldCharType="separate"/>
      </w:r>
      <w:r w:rsidR="00D7239F">
        <w:rPr>
          <w:b/>
          <w:i w:val="0"/>
          <w:noProof/>
          <w:sz w:val="24"/>
        </w:rPr>
        <w:t>24</w:t>
      </w:r>
      <w:r w:rsidRPr="00E869A4">
        <w:rPr>
          <w:b/>
          <w:i w:val="0"/>
          <w:sz w:val="24"/>
        </w:rPr>
        <w:fldChar w:fldCharType="end"/>
      </w:r>
      <w:r w:rsidR="00D2467F" w:rsidRPr="00E869A4">
        <w:rPr>
          <w:b/>
          <w:i w:val="0"/>
          <w:sz w:val="24"/>
        </w:rPr>
        <w:t>:</w:t>
      </w:r>
      <w:r w:rsidRPr="00E869A4">
        <w:rPr>
          <w:b/>
          <w:i w:val="0"/>
          <w:sz w:val="24"/>
        </w:rPr>
        <w:t xml:space="preserve"> Older Relative Service Needs</w:t>
      </w:r>
      <w:bookmarkEnd w:id="395"/>
    </w:p>
    <w:p w14:paraId="06B880B2" w14:textId="77777777" w:rsidR="0068457D" w:rsidRPr="00E869A4" w:rsidRDefault="0068457D" w:rsidP="0068457D">
      <w:pPr>
        <w:rPr>
          <w:rFonts w:ascii="Times New Roman" w:hAnsi="Times New Roman" w:cs="Times New Roman"/>
          <w:szCs w:val="24"/>
        </w:rPr>
      </w:pPr>
      <w:r w:rsidRPr="00E869A4">
        <w:rPr>
          <w:rFonts w:ascii="Times New Roman" w:hAnsi="Times New Roman" w:cs="Times New Roman"/>
          <w:noProof/>
        </w:rPr>
        <w:drawing>
          <wp:inline distT="0" distB="0" distL="0" distR="0" wp14:anchorId="6F2DE229" wp14:editId="75B060A5">
            <wp:extent cx="5943600" cy="2984500"/>
            <wp:effectExtent l="0" t="0" r="19050" b="254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B3E8F0" w14:textId="77777777" w:rsidR="0068457D" w:rsidRPr="00E869A4" w:rsidRDefault="0068457D" w:rsidP="0068457D">
      <w:pPr>
        <w:rPr>
          <w:rFonts w:ascii="Times New Roman" w:hAnsi="Times New Roman" w:cs="Times New Roman"/>
          <w:szCs w:val="24"/>
        </w:rPr>
      </w:pPr>
    </w:p>
    <w:bookmarkEnd w:id="390"/>
    <w:p w14:paraId="3503F6B2" w14:textId="77777777"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 xml:space="preserve">When asked about existing services that their older relative needed, of the 150 responses to this question, the most popular were the: </w:t>
      </w:r>
    </w:p>
    <w:p w14:paraId="741BE6F9" w14:textId="17A597C4" w:rsidR="00E53916" w:rsidRPr="00E869A4" w:rsidRDefault="00E53916" w:rsidP="009D4C5D">
      <w:pPr>
        <w:pStyle w:val="ListParagraph"/>
        <w:numPr>
          <w:ilvl w:val="0"/>
          <w:numId w:val="48"/>
        </w:numPr>
        <w:contextualSpacing w:val="0"/>
        <w:rPr>
          <w:rFonts w:ascii="Times New Roman" w:hAnsi="Times New Roman" w:cs="Times New Roman"/>
          <w:szCs w:val="24"/>
        </w:rPr>
      </w:pPr>
      <w:r w:rsidRPr="00E869A4">
        <w:rPr>
          <w:rFonts w:ascii="Times New Roman" w:hAnsi="Times New Roman" w:cs="Times New Roman"/>
          <w:szCs w:val="24"/>
        </w:rPr>
        <w:t>Senior Citizens Grant (Old Age Pension) (13%; n = 64))</w:t>
      </w:r>
      <w:r w:rsidR="00063F3F" w:rsidRPr="00E869A4">
        <w:rPr>
          <w:rFonts w:ascii="Times New Roman" w:hAnsi="Times New Roman" w:cs="Times New Roman"/>
          <w:szCs w:val="24"/>
        </w:rPr>
        <w:t>;</w:t>
      </w:r>
      <w:r w:rsidRPr="00E869A4">
        <w:rPr>
          <w:rFonts w:ascii="Times New Roman" w:hAnsi="Times New Roman" w:cs="Times New Roman"/>
          <w:szCs w:val="24"/>
        </w:rPr>
        <w:t xml:space="preserve"> </w:t>
      </w:r>
    </w:p>
    <w:p w14:paraId="6D78D644" w14:textId="1F01DB23" w:rsidR="00E53916" w:rsidRPr="00E869A4" w:rsidRDefault="00E53916" w:rsidP="009D4C5D">
      <w:pPr>
        <w:pStyle w:val="ListParagraph"/>
        <w:numPr>
          <w:ilvl w:val="0"/>
          <w:numId w:val="48"/>
        </w:numPr>
        <w:contextualSpacing w:val="0"/>
        <w:rPr>
          <w:rFonts w:ascii="Times New Roman" w:hAnsi="Times New Roman" w:cs="Times New Roman"/>
          <w:szCs w:val="24"/>
        </w:rPr>
      </w:pPr>
      <w:r w:rsidRPr="00E869A4">
        <w:rPr>
          <w:rFonts w:ascii="Times New Roman" w:hAnsi="Times New Roman" w:cs="Times New Roman"/>
          <w:szCs w:val="24"/>
        </w:rPr>
        <w:t xml:space="preserve">Public health care (8%; n = 41); and </w:t>
      </w:r>
      <w:r w:rsidR="00724CED" w:rsidRPr="00E869A4">
        <w:rPr>
          <w:rFonts w:ascii="Times New Roman" w:hAnsi="Times New Roman" w:cs="Times New Roman"/>
          <w:szCs w:val="24"/>
        </w:rPr>
        <w:t>the</w:t>
      </w:r>
    </w:p>
    <w:p w14:paraId="4FC0D9A0" w14:textId="77777777" w:rsidR="00E53916" w:rsidRPr="00E869A4" w:rsidRDefault="00E53916" w:rsidP="009D4C5D">
      <w:pPr>
        <w:pStyle w:val="ListParagraph"/>
        <w:numPr>
          <w:ilvl w:val="0"/>
          <w:numId w:val="48"/>
        </w:numPr>
        <w:contextualSpacing w:val="0"/>
        <w:rPr>
          <w:rFonts w:ascii="Times New Roman" w:hAnsi="Times New Roman" w:cs="Times New Roman"/>
          <w:szCs w:val="24"/>
        </w:rPr>
      </w:pPr>
      <w:r w:rsidRPr="00E869A4">
        <w:rPr>
          <w:rFonts w:ascii="Times New Roman" w:hAnsi="Times New Roman" w:cs="Times New Roman"/>
          <w:szCs w:val="24"/>
        </w:rPr>
        <w:t>Chronic Disease Assistance Programme (8%; n = 40).</w:t>
      </w:r>
    </w:p>
    <w:p w14:paraId="3469B0C2" w14:textId="77777777" w:rsidR="001A5642" w:rsidRPr="00E869A4" w:rsidRDefault="001A5642" w:rsidP="00914F59">
      <w:pPr>
        <w:pStyle w:val="ListParagraph"/>
        <w:ind w:left="780"/>
        <w:contextualSpacing w:val="0"/>
        <w:rPr>
          <w:rFonts w:ascii="Times New Roman" w:hAnsi="Times New Roman" w:cs="Times New Roman"/>
          <w:szCs w:val="24"/>
        </w:rPr>
      </w:pPr>
    </w:p>
    <w:p w14:paraId="55AECFF4" w14:textId="01AD2C7E" w:rsidR="00E53916" w:rsidRPr="00E869A4" w:rsidRDefault="006B6AD7" w:rsidP="00A35FF8">
      <w:pPr>
        <w:rPr>
          <w:rFonts w:ascii="Times New Roman" w:hAnsi="Times New Roman" w:cs="Times New Roman"/>
          <w:szCs w:val="24"/>
        </w:rPr>
      </w:pPr>
      <w:r w:rsidRPr="00E869A4">
        <w:rPr>
          <w:rFonts w:ascii="Times New Roman" w:hAnsi="Times New Roman" w:cs="Times New Roman"/>
          <w:szCs w:val="24"/>
        </w:rPr>
        <w:t xml:space="preserve">As noted in the background to this study, the social services provided in </w:t>
      </w:r>
      <w:r w:rsidR="00932A85" w:rsidRPr="00E869A4">
        <w:rPr>
          <w:rFonts w:ascii="Times New Roman" w:eastAsiaTheme="majorEastAsia" w:hAnsi="Times New Roman" w:cs="Times New Roman"/>
          <w:bCs/>
          <w:szCs w:val="26"/>
        </w:rPr>
        <w:t>Tobago, when compared to those in Trinidad,</w:t>
      </w:r>
      <w:r w:rsidRPr="00E869A4">
        <w:rPr>
          <w:rFonts w:ascii="Times New Roman" w:hAnsi="Times New Roman" w:cs="Times New Roman"/>
          <w:szCs w:val="24"/>
        </w:rPr>
        <w:t xml:space="preserve"> are very similar</w:t>
      </w:r>
      <w:r w:rsidR="00724CED" w:rsidRPr="00E869A4">
        <w:rPr>
          <w:rFonts w:ascii="Times New Roman" w:hAnsi="Times New Roman" w:cs="Times New Roman"/>
          <w:szCs w:val="24"/>
        </w:rPr>
        <w:t xml:space="preserve"> (see Table 2 above)</w:t>
      </w:r>
      <w:r w:rsidR="00932A85" w:rsidRPr="00E869A4">
        <w:rPr>
          <w:rFonts w:ascii="Times New Roman" w:hAnsi="Times New Roman" w:cs="Times New Roman"/>
          <w:szCs w:val="24"/>
        </w:rPr>
        <w:t>,</w:t>
      </w:r>
      <w:r w:rsidR="00223D9B" w:rsidRPr="00E869A4">
        <w:rPr>
          <w:rFonts w:ascii="Times New Roman" w:hAnsi="Times New Roman" w:cs="Times New Roman"/>
          <w:szCs w:val="24"/>
        </w:rPr>
        <w:t xml:space="preserve"> but may be managed differently. In Trinidad, the Senior Activity Centres are jointly administered by a partnership between the Division of Ageing in the Ministry of Social Development and Family Services, and civil society organisations. In Tobago, the </w:t>
      </w:r>
      <w:r w:rsidR="00DD683D" w:rsidRPr="00E869A4">
        <w:rPr>
          <w:rFonts w:ascii="Times New Roman" w:hAnsi="Times New Roman" w:cs="Times New Roman"/>
          <w:szCs w:val="24"/>
        </w:rPr>
        <w:t>Ageing</w:t>
      </w:r>
      <w:r w:rsidR="00223D9B" w:rsidRPr="00E869A4">
        <w:rPr>
          <w:rFonts w:ascii="Times New Roman" w:hAnsi="Times New Roman" w:cs="Times New Roman"/>
          <w:szCs w:val="24"/>
        </w:rPr>
        <w:t xml:space="preserve"> Unit which falls under the Department of Health and Social Services assists civil society groups with funding for their Senior Activity Centres. In Trinidad, the GAPP is administered by the Ministry of Community Development.  In Tobago, the </w:t>
      </w:r>
      <w:r w:rsidR="00DD683D" w:rsidRPr="00E869A4">
        <w:rPr>
          <w:rFonts w:ascii="Times New Roman" w:hAnsi="Times New Roman" w:cs="Times New Roman"/>
          <w:szCs w:val="24"/>
        </w:rPr>
        <w:t>Ageing</w:t>
      </w:r>
      <w:r w:rsidR="00223D9B" w:rsidRPr="00E869A4">
        <w:rPr>
          <w:rFonts w:ascii="Times New Roman" w:hAnsi="Times New Roman" w:cs="Times New Roman"/>
          <w:szCs w:val="24"/>
        </w:rPr>
        <w:t xml:space="preserve"> Unit administers the Golden Apple Programme. Also, </w:t>
      </w:r>
      <w:r w:rsidR="00223D9B" w:rsidRPr="00E869A4">
        <w:rPr>
          <w:rFonts w:ascii="Times New Roman" w:hAnsi="Times New Roman" w:cs="Times New Roman"/>
          <w:szCs w:val="24"/>
        </w:rPr>
        <w:lastRenderedPageBreak/>
        <w:t xml:space="preserve">there were two programmes that were available in Tobago but not in </w:t>
      </w:r>
      <w:r w:rsidR="00932A85" w:rsidRPr="00E869A4">
        <w:rPr>
          <w:rFonts w:ascii="Times New Roman" w:hAnsi="Times New Roman" w:cs="Times New Roman"/>
          <w:szCs w:val="24"/>
        </w:rPr>
        <w:t>Trinidad,</w:t>
      </w:r>
      <w:r w:rsidR="00223D9B" w:rsidRPr="00E869A4">
        <w:rPr>
          <w:rFonts w:ascii="Times New Roman" w:hAnsi="Times New Roman" w:cs="Times New Roman"/>
          <w:szCs w:val="24"/>
        </w:rPr>
        <w:t xml:space="preserve"> i.e. the THA Emergency Medical Alert Programme and the VOISCES Programme</w:t>
      </w:r>
      <w:r w:rsidR="003D1DF6" w:rsidRPr="00E869A4">
        <w:rPr>
          <w:rFonts w:ascii="Times New Roman" w:hAnsi="Times New Roman" w:cs="Times New Roman"/>
          <w:szCs w:val="24"/>
        </w:rPr>
        <w:t xml:space="preserve"> (see Appendix 1)</w:t>
      </w:r>
      <w:r w:rsidR="00223D9B" w:rsidRPr="00E869A4">
        <w:rPr>
          <w:rFonts w:ascii="Times New Roman" w:hAnsi="Times New Roman" w:cs="Times New Roman"/>
          <w:szCs w:val="24"/>
        </w:rPr>
        <w:t xml:space="preserve">.  </w:t>
      </w:r>
      <w:r w:rsidR="00E53916" w:rsidRPr="00E869A4">
        <w:rPr>
          <w:rFonts w:ascii="Times New Roman" w:hAnsi="Times New Roman" w:cs="Times New Roman"/>
          <w:szCs w:val="24"/>
        </w:rPr>
        <w:t xml:space="preserve">For those who were affected by social service provision in Tobago (n=48), most (28%) were interested in accessing the SAC and the THA Emergency Medical Alert Programme (27%) (see </w:t>
      </w:r>
      <w:r w:rsidR="00812991" w:rsidRPr="00E869A4">
        <w:t xml:space="preserve">Figure </w:t>
      </w:r>
      <w:r w:rsidR="00932A85" w:rsidRPr="00E869A4">
        <w:t>25</w:t>
      </w:r>
      <w:r w:rsidR="00E53916" w:rsidRPr="00E869A4">
        <w:rPr>
          <w:rFonts w:ascii="Times New Roman" w:hAnsi="Times New Roman" w:cs="Times New Roman"/>
          <w:szCs w:val="24"/>
        </w:rPr>
        <w:t xml:space="preserve">). </w:t>
      </w:r>
      <w:r w:rsidR="00531D3F" w:rsidRPr="00E869A4">
        <w:rPr>
          <w:rFonts w:ascii="Times New Roman" w:hAnsi="Times New Roman" w:cs="Times New Roman"/>
          <w:szCs w:val="24"/>
        </w:rPr>
        <w:t xml:space="preserve"> The survey respondents’ quality ratings of these and other public services for older persons are presented in Appendix 10.</w:t>
      </w:r>
    </w:p>
    <w:p w14:paraId="2E6C9670" w14:textId="77777777" w:rsidR="00F1479D" w:rsidRPr="00E869A4" w:rsidRDefault="00F1479D" w:rsidP="00A35FF8">
      <w:pPr>
        <w:rPr>
          <w:rFonts w:ascii="Times New Roman" w:hAnsi="Times New Roman" w:cs="Times New Roman"/>
          <w:szCs w:val="24"/>
        </w:rPr>
      </w:pPr>
    </w:p>
    <w:p w14:paraId="7C76F89C" w14:textId="6BDAA9F1" w:rsidR="00F1479D" w:rsidRPr="00E869A4" w:rsidRDefault="00224AD1" w:rsidP="00224AD1">
      <w:pPr>
        <w:pStyle w:val="Table"/>
        <w:spacing w:after="0" w:line="360" w:lineRule="auto"/>
        <w:rPr>
          <w:b/>
          <w:i w:val="0"/>
          <w:sz w:val="24"/>
        </w:rPr>
      </w:pPr>
      <w:bookmarkStart w:id="396" w:name="_Toc40436655"/>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25</w:t>
      </w:r>
      <w:r w:rsidR="0026235F" w:rsidRPr="00E869A4">
        <w:rPr>
          <w:b/>
          <w:i w:val="0"/>
          <w:sz w:val="24"/>
        </w:rPr>
        <w:fldChar w:fldCharType="end"/>
      </w:r>
      <w:r w:rsidR="00D2467F" w:rsidRPr="00E869A4">
        <w:rPr>
          <w:b/>
          <w:i w:val="0"/>
          <w:sz w:val="24"/>
        </w:rPr>
        <w:t>:</w:t>
      </w:r>
      <w:r w:rsidRPr="00E869A4">
        <w:rPr>
          <w:b/>
          <w:i w:val="0"/>
          <w:sz w:val="24"/>
        </w:rPr>
        <w:t xml:space="preserve"> THA Services Needed by Older Relatives</w:t>
      </w:r>
      <w:bookmarkEnd w:id="396"/>
    </w:p>
    <w:p w14:paraId="7B2C85FC" w14:textId="77777777" w:rsidR="00E53916" w:rsidRPr="00E869A4" w:rsidRDefault="00E53916" w:rsidP="00A35FF8">
      <w:pPr>
        <w:rPr>
          <w:rFonts w:ascii="Times New Roman" w:hAnsi="Times New Roman" w:cs="Times New Roman"/>
        </w:rPr>
      </w:pPr>
      <w:r w:rsidRPr="00E869A4">
        <w:rPr>
          <w:rFonts w:ascii="Times New Roman" w:hAnsi="Times New Roman" w:cs="Times New Roman"/>
          <w:noProof/>
        </w:rPr>
        <w:drawing>
          <wp:inline distT="0" distB="0" distL="0" distR="0" wp14:anchorId="3CE22481" wp14:editId="339B13B2">
            <wp:extent cx="5589982" cy="2056079"/>
            <wp:effectExtent l="19050" t="0" r="10718" b="1321"/>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A02D0E" w14:textId="6B90949E" w:rsidR="00607804" w:rsidRPr="00E869A4" w:rsidRDefault="00607804" w:rsidP="00724CED">
      <w:pPr>
        <w:ind w:firstLine="0"/>
        <w:rPr>
          <w:b/>
          <w:i/>
          <w:u w:val="single"/>
        </w:rPr>
      </w:pPr>
      <w:bookmarkStart w:id="397" w:name="_Toc492959488"/>
    </w:p>
    <w:p w14:paraId="5244F76E" w14:textId="33FFDC6E" w:rsidR="00E53916" w:rsidRPr="00E869A4" w:rsidRDefault="009C4720" w:rsidP="005C449C">
      <w:pPr>
        <w:pStyle w:val="Heading3"/>
      </w:pPr>
      <w:bookmarkStart w:id="398" w:name="_Toc40436578"/>
      <w:r w:rsidRPr="00E869A4">
        <w:t>9</w:t>
      </w:r>
      <w:r w:rsidR="005A21ED" w:rsidRPr="00E869A4">
        <w:t xml:space="preserve">.5.2     </w:t>
      </w:r>
      <w:r w:rsidR="00E53916" w:rsidRPr="00E869A4">
        <w:t>Needs of Family Caregivers</w:t>
      </w:r>
      <w:bookmarkEnd w:id="397"/>
      <w:bookmarkEnd w:id="398"/>
    </w:p>
    <w:p w14:paraId="3AD51F30" w14:textId="77777777" w:rsidR="00E53916" w:rsidRPr="00E869A4" w:rsidRDefault="00E53916" w:rsidP="00A35FF8">
      <w:pPr>
        <w:rPr>
          <w:rFonts w:ascii="Times New Roman" w:hAnsi="Times New Roman" w:cs="Times New Roman"/>
        </w:rPr>
      </w:pPr>
    </w:p>
    <w:p w14:paraId="5FA9DE89" w14:textId="735592FF"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The key service needs identified by family caregivers (</w:t>
      </w:r>
      <w:r w:rsidR="00084D46" w:rsidRPr="00E869A4">
        <w:rPr>
          <w:rFonts w:ascii="Times New Roman" w:hAnsi="Times New Roman" w:cs="Times New Roman"/>
          <w:szCs w:val="24"/>
        </w:rPr>
        <w:t xml:space="preserve">Figure </w:t>
      </w:r>
      <w:r w:rsidR="009F07BD" w:rsidRPr="00E869A4">
        <w:rPr>
          <w:rFonts w:ascii="Times New Roman" w:hAnsi="Times New Roman" w:cs="Times New Roman"/>
          <w:szCs w:val="24"/>
        </w:rPr>
        <w:t>2</w:t>
      </w:r>
      <w:r w:rsidR="00607AE6" w:rsidRPr="00E869A4">
        <w:rPr>
          <w:rFonts w:ascii="Times New Roman" w:hAnsi="Times New Roman" w:cs="Times New Roman"/>
          <w:szCs w:val="24"/>
        </w:rPr>
        <w:t>6</w:t>
      </w:r>
      <w:r w:rsidR="009F07BD" w:rsidRPr="00E869A4">
        <w:rPr>
          <w:rFonts w:ascii="Times New Roman" w:hAnsi="Times New Roman" w:cs="Times New Roman"/>
          <w:szCs w:val="24"/>
        </w:rPr>
        <w:t xml:space="preserve"> below</w:t>
      </w:r>
      <w:r w:rsidRPr="00E869A4">
        <w:rPr>
          <w:rFonts w:ascii="Times New Roman" w:hAnsi="Times New Roman" w:cs="Times New Roman"/>
          <w:szCs w:val="24"/>
        </w:rPr>
        <w:t>) were “information and advice about the type of help and support that is available and how to access it” (21%). This is consistent with the results which indicated that a considerab</w:t>
      </w:r>
      <w:r w:rsidR="009F07BD" w:rsidRPr="00E869A4">
        <w:rPr>
          <w:rFonts w:ascii="Times New Roman" w:hAnsi="Times New Roman" w:cs="Times New Roman"/>
          <w:szCs w:val="24"/>
        </w:rPr>
        <w:t>le number of participants were ‘</w:t>
      </w:r>
      <w:r w:rsidRPr="00E869A4">
        <w:rPr>
          <w:rFonts w:ascii="Times New Roman" w:hAnsi="Times New Roman" w:cs="Times New Roman"/>
          <w:i/>
          <w:szCs w:val="24"/>
        </w:rPr>
        <w:t>not sure</w:t>
      </w:r>
      <w:r w:rsidR="009F07BD" w:rsidRPr="00E869A4">
        <w:rPr>
          <w:rFonts w:ascii="Times New Roman" w:hAnsi="Times New Roman" w:cs="Times New Roman"/>
          <w:szCs w:val="24"/>
        </w:rPr>
        <w:t>’</w:t>
      </w:r>
      <w:r w:rsidRPr="00E869A4">
        <w:rPr>
          <w:rFonts w:ascii="Times New Roman" w:hAnsi="Times New Roman" w:cs="Times New Roman"/>
          <w:szCs w:val="24"/>
        </w:rPr>
        <w:t xml:space="preserve"> of the programmes mentioned in the survey. The other two priority areas were: </w:t>
      </w:r>
      <w:r w:rsidRPr="00E869A4">
        <w:rPr>
          <w:rFonts w:ascii="Times New Roman" w:hAnsi="Times New Roman" w:cs="Times New Roman"/>
          <w:i/>
          <w:szCs w:val="24"/>
        </w:rPr>
        <w:t>“help with planning for future care needs” (13%) and “training to help develop skills [needed to provide] care”</w:t>
      </w:r>
      <w:r w:rsidRPr="00E869A4">
        <w:rPr>
          <w:rFonts w:ascii="Times New Roman" w:hAnsi="Times New Roman" w:cs="Times New Roman"/>
          <w:szCs w:val="24"/>
        </w:rPr>
        <w:t xml:space="preserve"> (13%). In the open-ended response boxes, several of the caregivers highlighted the need for emotional support and counselling for themselves and their older relative. Examples of these comments include: </w:t>
      </w:r>
    </w:p>
    <w:p w14:paraId="254E7D3C" w14:textId="77777777" w:rsidR="00907FBC" w:rsidRPr="00E869A4" w:rsidRDefault="00907FBC" w:rsidP="00C94E57">
      <w:pPr>
        <w:spacing w:line="240" w:lineRule="auto"/>
        <w:ind w:left="567" w:firstLine="0"/>
        <w:rPr>
          <w:rFonts w:ascii="Times New Roman" w:hAnsi="Times New Roman" w:cs="Times New Roman"/>
          <w:szCs w:val="24"/>
        </w:rPr>
      </w:pPr>
    </w:p>
    <w:p w14:paraId="12CB07E9" w14:textId="0BE7A78E" w:rsidR="00E53916" w:rsidRPr="00E869A4" w:rsidRDefault="00E53916" w:rsidP="00907FBC">
      <w:pPr>
        <w:spacing w:line="240" w:lineRule="auto"/>
        <w:ind w:left="567" w:firstLine="0"/>
        <w:rPr>
          <w:rFonts w:ascii="Times New Roman" w:hAnsi="Times New Roman" w:cs="Times New Roman"/>
          <w:szCs w:val="24"/>
        </w:rPr>
      </w:pPr>
      <w:r w:rsidRPr="00E869A4">
        <w:rPr>
          <w:rFonts w:ascii="Times New Roman" w:hAnsi="Times New Roman" w:cs="Times New Roman"/>
          <w:szCs w:val="24"/>
        </w:rPr>
        <w:t>“There is little emotional support for the family - especially the ones who are intimately involved in the care</w:t>
      </w:r>
      <w:r w:rsidR="00FE73DC" w:rsidRPr="00E869A4">
        <w:rPr>
          <w:rFonts w:ascii="Times New Roman" w:hAnsi="Times New Roman" w:cs="Times New Roman"/>
          <w:szCs w:val="24"/>
        </w:rPr>
        <w:t>.</w:t>
      </w:r>
      <w:r w:rsidRPr="00E869A4">
        <w:rPr>
          <w:rFonts w:ascii="Times New Roman" w:hAnsi="Times New Roman" w:cs="Times New Roman"/>
          <w:szCs w:val="24"/>
        </w:rPr>
        <w:t>” (</w:t>
      </w:r>
      <w:r w:rsidR="00607804" w:rsidRPr="00E869A4">
        <w:rPr>
          <w:rFonts w:ascii="Times New Roman" w:hAnsi="Times New Roman" w:cs="Times New Roman"/>
          <w:szCs w:val="24"/>
        </w:rPr>
        <w:t>Respondent</w:t>
      </w:r>
      <w:r w:rsidRPr="00E869A4">
        <w:rPr>
          <w:rFonts w:ascii="Times New Roman" w:hAnsi="Times New Roman" w:cs="Times New Roman"/>
          <w:szCs w:val="24"/>
        </w:rPr>
        <w:t xml:space="preserve"> </w:t>
      </w:r>
      <w:r w:rsidR="000674D8" w:rsidRPr="00E869A4">
        <w:rPr>
          <w:rFonts w:ascii="Times New Roman" w:hAnsi="Times New Roman" w:cs="Times New Roman"/>
          <w:szCs w:val="24"/>
        </w:rPr>
        <w:t>N</w:t>
      </w:r>
      <w:r w:rsidRPr="00E869A4">
        <w:rPr>
          <w:rFonts w:ascii="Times New Roman" w:hAnsi="Times New Roman" w:cs="Times New Roman"/>
          <w:szCs w:val="24"/>
        </w:rPr>
        <w:t>)</w:t>
      </w:r>
      <w:r w:rsidR="00607804" w:rsidRPr="00E869A4">
        <w:rPr>
          <w:rFonts w:ascii="Times New Roman" w:hAnsi="Times New Roman" w:cs="Times New Roman"/>
          <w:szCs w:val="24"/>
        </w:rPr>
        <w:t>.</w:t>
      </w:r>
    </w:p>
    <w:p w14:paraId="4F273732" w14:textId="77777777" w:rsidR="00907FBC" w:rsidRPr="00E869A4" w:rsidRDefault="00907FBC" w:rsidP="00C94E57">
      <w:pPr>
        <w:spacing w:line="240" w:lineRule="auto"/>
        <w:ind w:left="567" w:firstLine="0"/>
        <w:rPr>
          <w:rFonts w:ascii="Times New Roman" w:hAnsi="Times New Roman" w:cs="Times New Roman"/>
          <w:szCs w:val="24"/>
        </w:rPr>
      </w:pPr>
    </w:p>
    <w:p w14:paraId="11FB3CD4" w14:textId="0A025453" w:rsidR="00E53916" w:rsidRPr="00E869A4" w:rsidRDefault="00E53916" w:rsidP="00907FBC">
      <w:pPr>
        <w:ind w:left="567" w:firstLine="0"/>
        <w:rPr>
          <w:rFonts w:ascii="Times New Roman" w:hAnsi="Times New Roman" w:cs="Times New Roman"/>
          <w:szCs w:val="24"/>
        </w:rPr>
      </w:pPr>
      <w:r w:rsidRPr="00E869A4">
        <w:rPr>
          <w:rFonts w:ascii="Times New Roman" w:hAnsi="Times New Roman" w:cs="Times New Roman"/>
          <w:szCs w:val="24"/>
        </w:rPr>
        <w:t>“There should be training and counselling given to people caring for the elders</w:t>
      </w:r>
      <w:r w:rsidR="00FE73DC" w:rsidRPr="00E869A4">
        <w:rPr>
          <w:rFonts w:ascii="Times New Roman" w:hAnsi="Times New Roman" w:cs="Times New Roman"/>
          <w:szCs w:val="24"/>
        </w:rPr>
        <w:t>.</w:t>
      </w:r>
      <w:r w:rsidRPr="00E869A4">
        <w:rPr>
          <w:rFonts w:ascii="Times New Roman" w:hAnsi="Times New Roman" w:cs="Times New Roman"/>
          <w:szCs w:val="24"/>
        </w:rPr>
        <w:t>” (</w:t>
      </w:r>
      <w:r w:rsidR="0004452B" w:rsidRPr="00E869A4">
        <w:rPr>
          <w:rFonts w:ascii="Times New Roman" w:hAnsi="Times New Roman" w:cs="Times New Roman"/>
          <w:szCs w:val="24"/>
        </w:rPr>
        <w:t>Respon</w:t>
      </w:r>
      <w:r w:rsidR="00607804" w:rsidRPr="00E869A4">
        <w:rPr>
          <w:rFonts w:ascii="Times New Roman" w:hAnsi="Times New Roman" w:cs="Times New Roman"/>
          <w:szCs w:val="24"/>
        </w:rPr>
        <w:t>dent</w:t>
      </w:r>
      <w:r w:rsidRPr="00E869A4">
        <w:rPr>
          <w:rFonts w:ascii="Times New Roman" w:hAnsi="Times New Roman" w:cs="Times New Roman"/>
          <w:szCs w:val="24"/>
        </w:rPr>
        <w:t xml:space="preserve"> </w:t>
      </w:r>
      <w:r w:rsidR="000674D8" w:rsidRPr="00E869A4">
        <w:rPr>
          <w:rFonts w:ascii="Times New Roman" w:hAnsi="Times New Roman" w:cs="Times New Roman"/>
          <w:szCs w:val="24"/>
        </w:rPr>
        <w:t>O</w:t>
      </w:r>
      <w:r w:rsidR="00084D46" w:rsidRPr="00E869A4">
        <w:rPr>
          <w:rFonts w:ascii="Times New Roman" w:hAnsi="Times New Roman" w:cs="Times New Roman"/>
          <w:szCs w:val="24"/>
        </w:rPr>
        <w:t>)</w:t>
      </w:r>
      <w:r w:rsidR="00607804" w:rsidRPr="00E869A4">
        <w:rPr>
          <w:rFonts w:ascii="Times New Roman" w:hAnsi="Times New Roman" w:cs="Times New Roman"/>
          <w:szCs w:val="24"/>
        </w:rPr>
        <w:t>.</w:t>
      </w:r>
    </w:p>
    <w:p w14:paraId="6E5959EB" w14:textId="77777777" w:rsidR="00F46D3F" w:rsidRPr="00E869A4" w:rsidRDefault="00F46D3F" w:rsidP="00A35FF8">
      <w:pPr>
        <w:rPr>
          <w:rFonts w:ascii="Times New Roman" w:hAnsi="Times New Roman" w:cs="Times New Roman"/>
          <w:szCs w:val="24"/>
        </w:rPr>
      </w:pPr>
    </w:p>
    <w:p w14:paraId="36B176B4" w14:textId="36A9B7CD" w:rsidR="00607804" w:rsidRPr="00E869A4" w:rsidRDefault="00E53916">
      <w:pPr>
        <w:rPr>
          <w:rFonts w:ascii="Times New Roman" w:hAnsi="Times New Roman" w:cs="Times New Roman"/>
        </w:rPr>
      </w:pPr>
      <w:r w:rsidRPr="00E869A4">
        <w:rPr>
          <w:rFonts w:ascii="Times New Roman" w:hAnsi="Times New Roman" w:cs="Times New Roman"/>
          <w:szCs w:val="24"/>
        </w:rPr>
        <w:lastRenderedPageBreak/>
        <w:t>Others noted the overall lack of support services for family caregivers as a group in and of themselves</w:t>
      </w:r>
      <w:r w:rsidR="00FE73DC" w:rsidRPr="00E869A4">
        <w:rPr>
          <w:rFonts w:ascii="Times New Roman" w:hAnsi="Times New Roman" w:cs="Times New Roman"/>
          <w:szCs w:val="24"/>
        </w:rPr>
        <w:t>:</w:t>
      </w:r>
      <w:r w:rsidRPr="00E869A4">
        <w:rPr>
          <w:rFonts w:ascii="Times New Roman" w:hAnsi="Times New Roman" w:cs="Times New Roman"/>
          <w:szCs w:val="24"/>
        </w:rPr>
        <w:t xml:space="preserve"> </w:t>
      </w:r>
      <w:r w:rsidR="00607804" w:rsidRPr="00E869A4">
        <w:rPr>
          <w:rFonts w:ascii="Times New Roman" w:hAnsi="Times New Roman" w:cs="Times New Roman"/>
          <w:szCs w:val="24"/>
        </w:rPr>
        <w:t xml:space="preserve"> </w:t>
      </w:r>
      <w:r w:rsidRPr="00E869A4">
        <w:rPr>
          <w:rFonts w:ascii="Times New Roman" w:hAnsi="Times New Roman" w:cs="Times New Roman"/>
          <w:szCs w:val="24"/>
        </w:rPr>
        <w:t>“T&amp;T needs support services for live-in primary [family] care givers who can be highly stressed and suffer burn out when dealing with their older relatives</w:t>
      </w:r>
      <w:r w:rsidR="00FE73DC" w:rsidRPr="00E869A4">
        <w:rPr>
          <w:rFonts w:ascii="Times New Roman" w:hAnsi="Times New Roman" w:cs="Times New Roman"/>
          <w:szCs w:val="24"/>
        </w:rPr>
        <w:t>.</w:t>
      </w:r>
      <w:r w:rsidRPr="00E869A4">
        <w:rPr>
          <w:rFonts w:ascii="Times New Roman" w:hAnsi="Times New Roman" w:cs="Times New Roman"/>
          <w:szCs w:val="24"/>
        </w:rPr>
        <w:t>” (</w:t>
      </w:r>
      <w:r w:rsidR="0004452B" w:rsidRPr="00E869A4">
        <w:rPr>
          <w:rFonts w:ascii="Times New Roman" w:hAnsi="Times New Roman" w:cs="Times New Roman"/>
          <w:szCs w:val="24"/>
        </w:rPr>
        <w:t>Respon</w:t>
      </w:r>
      <w:r w:rsidR="00607804" w:rsidRPr="00E869A4">
        <w:rPr>
          <w:rFonts w:ascii="Times New Roman" w:hAnsi="Times New Roman" w:cs="Times New Roman"/>
          <w:szCs w:val="24"/>
        </w:rPr>
        <w:t>dent</w:t>
      </w:r>
      <w:r w:rsidR="0004452B" w:rsidRPr="00E869A4">
        <w:rPr>
          <w:rFonts w:ascii="Times New Roman" w:hAnsi="Times New Roman" w:cs="Times New Roman"/>
          <w:szCs w:val="24"/>
        </w:rPr>
        <w:t xml:space="preserve"> </w:t>
      </w:r>
      <w:r w:rsidR="000674D8" w:rsidRPr="00E869A4">
        <w:rPr>
          <w:rFonts w:ascii="Times New Roman" w:hAnsi="Times New Roman" w:cs="Times New Roman"/>
          <w:szCs w:val="24"/>
        </w:rPr>
        <w:t>P</w:t>
      </w:r>
      <w:r w:rsidRPr="00E869A4">
        <w:rPr>
          <w:rFonts w:ascii="Times New Roman" w:hAnsi="Times New Roman" w:cs="Times New Roman"/>
          <w:szCs w:val="24"/>
        </w:rPr>
        <w:t>).</w:t>
      </w:r>
      <w:r w:rsidR="00607804" w:rsidRPr="00E869A4">
        <w:rPr>
          <w:rFonts w:ascii="Times New Roman" w:hAnsi="Times New Roman" w:cs="Times New Roman"/>
          <w:szCs w:val="24"/>
        </w:rPr>
        <w:t xml:space="preserve"> </w:t>
      </w:r>
      <w:r w:rsidR="009227AA" w:rsidRPr="00E869A4">
        <w:rPr>
          <w:rFonts w:ascii="Times New Roman" w:hAnsi="Times New Roman" w:cs="Times New Roman"/>
          <w:szCs w:val="24"/>
        </w:rPr>
        <w:t>The need for respite care was echoed by another respondent who stated: “Sometimes I think I need a weekend off like once a month. My husband and I find it extremely difficult even going to the supermarket or the mall. Someone must always be home.” (</w:t>
      </w:r>
      <w:r w:rsidR="0004452B" w:rsidRPr="00E869A4">
        <w:rPr>
          <w:rFonts w:ascii="Times New Roman" w:hAnsi="Times New Roman" w:cs="Times New Roman"/>
          <w:szCs w:val="24"/>
        </w:rPr>
        <w:t>Response</w:t>
      </w:r>
      <w:r w:rsidR="009227AA" w:rsidRPr="00E869A4">
        <w:rPr>
          <w:rFonts w:ascii="Times New Roman" w:hAnsi="Times New Roman" w:cs="Times New Roman"/>
          <w:szCs w:val="24"/>
        </w:rPr>
        <w:t xml:space="preserve"> </w:t>
      </w:r>
      <w:r w:rsidR="000674D8" w:rsidRPr="00E869A4">
        <w:rPr>
          <w:rFonts w:ascii="Times New Roman" w:hAnsi="Times New Roman" w:cs="Times New Roman"/>
          <w:szCs w:val="24"/>
        </w:rPr>
        <w:t>Q</w:t>
      </w:r>
      <w:r w:rsidR="009227AA" w:rsidRPr="00E869A4">
        <w:rPr>
          <w:rFonts w:ascii="Times New Roman" w:hAnsi="Times New Roman" w:cs="Times New Roman"/>
          <w:szCs w:val="24"/>
        </w:rPr>
        <w:t>)</w:t>
      </w:r>
      <w:r w:rsidR="00607804" w:rsidRPr="00E869A4">
        <w:rPr>
          <w:rFonts w:ascii="Times New Roman" w:hAnsi="Times New Roman" w:cs="Times New Roman"/>
          <w:szCs w:val="24"/>
        </w:rPr>
        <w:t xml:space="preserve">. </w:t>
      </w:r>
      <w:r w:rsidRPr="00E869A4">
        <w:rPr>
          <w:rFonts w:ascii="Times New Roman" w:hAnsi="Times New Roman" w:cs="Times New Roman"/>
          <w:szCs w:val="24"/>
        </w:rPr>
        <w:t>One respondent requested greater recognition for the contributions made by family caregivers:</w:t>
      </w:r>
      <w:r w:rsidR="00607804" w:rsidRPr="00E869A4">
        <w:rPr>
          <w:rFonts w:ascii="Times New Roman" w:hAnsi="Times New Roman" w:cs="Times New Roman"/>
          <w:szCs w:val="24"/>
        </w:rPr>
        <w:t xml:space="preserve"> </w:t>
      </w:r>
      <w:r w:rsidRPr="00E869A4">
        <w:rPr>
          <w:rFonts w:ascii="Times New Roman" w:hAnsi="Times New Roman" w:cs="Times New Roman"/>
        </w:rPr>
        <w:t>“Caring for a family member, especially one who needs 24 hour care is not easy for the caregiver.  I think most caregivers do not get any recognition</w:t>
      </w:r>
      <w:r w:rsidR="00FE73DC" w:rsidRPr="00E869A4">
        <w:rPr>
          <w:rFonts w:ascii="Times New Roman" w:hAnsi="Times New Roman" w:cs="Times New Roman"/>
        </w:rPr>
        <w:t>.</w:t>
      </w:r>
      <w:r w:rsidRPr="00E869A4">
        <w:rPr>
          <w:rFonts w:ascii="Times New Roman" w:hAnsi="Times New Roman" w:cs="Times New Roman"/>
        </w:rPr>
        <w:t>” (</w:t>
      </w:r>
      <w:r w:rsidR="0004452B" w:rsidRPr="00E869A4">
        <w:rPr>
          <w:rFonts w:ascii="Times New Roman" w:hAnsi="Times New Roman" w:cs="Times New Roman"/>
          <w:szCs w:val="24"/>
        </w:rPr>
        <w:t>Respon</w:t>
      </w:r>
      <w:r w:rsidR="00607804" w:rsidRPr="00E869A4">
        <w:rPr>
          <w:rFonts w:ascii="Times New Roman" w:hAnsi="Times New Roman" w:cs="Times New Roman"/>
          <w:szCs w:val="24"/>
        </w:rPr>
        <w:t>dent</w:t>
      </w:r>
      <w:r w:rsidRPr="00E869A4">
        <w:rPr>
          <w:rFonts w:ascii="Times New Roman" w:hAnsi="Times New Roman" w:cs="Times New Roman"/>
        </w:rPr>
        <w:t xml:space="preserve"> </w:t>
      </w:r>
      <w:r w:rsidR="000674D8" w:rsidRPr="00E869A4">
        <w:rPr>
          <w:rFonts w:ascii="Times New Roman" w:hAnsi="Times New Roman" w:cs="Times New Roman"/>
        </w:rPr>
        <w:t>R</w:t>
      </w:r>
      <w:r w:rsidRPr="00E869A4">
        <w:rPr>
          <w:rFonts w:ascii="Times New Roman" w:hAnsi="Times New Roman" w:cs="Times New Roman"/>
        </w:rPr>
        <w:t>).</w:t>
      </w:r>
    </w:p>
    <w:p w14:paraId="27FD1136" w14:textId="77777777" w:rsidR="00607AE6" w:rsidRPr="00E869A4" w:rsidRDefault="00607AE6">
      <w:pPr>
        <w:rPr>
          <w:b/>
        </w:rPr>
      </w:pPr>
    </w:p>
    <w:p w14:paraId="2D1C750C" w14:textId="3F81A66E" w:rsidR="00224AD1" w:rsidRPr="00E869A4" w:rsidRDefault="00224AD1" w:rsidP="00224AD1">
      <w:pPr>
        <w:pStyle w:val="Table"/>
        <w:spacing w:after="0" w:line="360" w:lineRule="auto"/>
        <w:rPr>
          <w:b/>
          <w:i w:val="0"/>
          <w:sz w:val="24"/>
        </w:rPr>
      </w:pPr>
      <w:bookmarkStart w:id="399" w:name="_Toc40436656"/>
      <w:r w:rsidRPr="00E869A4">
        <w:rPr>
          <w:b/>
          <w:i w:val="0"/>
          <w:sz w:val="24"/>
        </w:rPr>
        <w:t xml:space="preserve">Figure </w:t>
      </w:r>
      <w:r w:rsidR="0026235F" w:rsidRPr="00E869A4">
        <w:rPr>
          <w:b/>
          <w:i w:val="0"/>
          <w:sz w:val="24"/>
        </w:rPr>
        <w:fldChar w:fldCharType="begin"/>
      </w:r>
      <w:r w:rsidR="0026235F" w:rsidRPr="00E869A4">
        <w:rPr>
          <w:b/>
          <w:i w:val="0"/>
          <w:sz w:val="24"/>
        </w:rPr>
        <w:instrText xml:space="preserve"> SEQ Figure \* ARABIC </w:instrText>
      </w:r>
      <w:r w:rsidR="0026235F" w:rsidRPr="00E869A4">
        <w:rPr>
          <w:b/>
          <w:i w:val="0"/>
          <w:sz w:val="24"/>
        </w:rPr>
        <w:fldChar w:fldCharType="separate"/>
      </w:r>
      <w:r w:rsidR="00D7239F">
        <w:rPr>
          <w:b/>
          <w:i w:val="0"/>
          <w:noProof/>
          <w:sz w:val="24"/>
        </w:rPr>
        <w:t>26</w:t>
      </w:r>
      <w:r w:rsidR="0026235F" w:rsidRPr="00E869A4">
        <w:rPr>
          <w:b/>
          <w:i w:val="0"/>
          <w:sz w:val="24"/>
        </w:rPr>
        <w:fldChar w:fldCharType="end"/>
      </w:r>
      <w:r w:rsidR="00D2467F" w:rsidRPr="00E869A4">
        <w:rPr>
          <w:b/>
          <w:i w:val="0"/>
          <w:sz w:val="24"/>
        </w:rPr>
        <w:t>:</w:t>
      </w:r>
      <w:r w:rsidRPr="00E869A4">
        <w:rPr>
          <w:b/>
          <w:i w:val="0"/>
          <w:sz w:val="24"/>
        </w:rPr>
        <w:t xml:space="preserve"> Caregiver Service Needs</w:t>
      </w:r>
      <w:bookmarkEnd w:id="399"/>
    </w:p>
    <w:p w14:paraId="72454CC4" w14:textId="77777777" w:rsidR="00F1479D" w:rsidRPr="00E869A4" w:rsidRDefault="00F1479D" w:rsidP="00A35FF8">
      <w:pPr>
        <w:jc w:val="center"/>
        <w:rPr>
          <w:b/>
        </w:rPr>
      </w:pPr>
    </w:p>
    <w:p w14:paraId="679EF329" w14:textId="77777777" w:rsidR="00E53916" w:rsidRPr="00E869A4" w:rsidRDefault="00E53916" w:rsidP="00A35FF8">
      <w:pPr>
        <w:rPr>
          <w:rFonts w:ascii="Times New Roman" w:hAnsi="Times New Roman" w:cs="Times New Roman"/>
          <w:szCs w:val="24"/>
        </w:rPr>
      </w:pPr>
      <w:r w:rsidRPr="00E869A4">
        <w:rPr>
          <w:rFonts w:ascii="Times New Roman" w:hAnsi="Times New Roman" w:cs="Times New Roman"/>
          <w:noProof/>
        </w:rPr>
        <w:drawing>
          <wp:inline distT="0" distB="0" distL="0" distR="0" wp14:anchorId="5B1F4171" wp14:editId="5F4F6ACE">
            <wp:extent cx="5943600" cy="2698750"/>
            <wp:effectExtent l="0" t="0" r="19050" b="254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E364C1" w14:textId="77777777" w:rsidR="00F1479D" w:rsidRPr="00E869A4" w:rsidRDefault="00F1479D" w:rsidP="00A35FF8">
      <w:pPr>
        <w:rPr>
          <w:rFonts w:ascii="Times New Roman" w:hAnsi="Times New Roman" w:cs="Times New Roman"/>
          <w:szCs w:val="24"/>
        </w:rPr>
      </w:pPr>
    </w:p>
    <w:p w14:paraId="499D196D" w14:textId="05BE41E0"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 xml:space="preserve">Another </w:t>
      </w:r>
      <w:r w:rsidR="002564A8" w:rsidRPr="00E869A4">
        <w:rPr>
          <w:rFonts w:ascii="Times New Roman" w:hAnsi="Times New Roman" w:cs="Times New Roman"/>
          <w:szCs w:val="24"/>
        </w:rPr>
        <w:t xml:space="preserve">(Respondent S) </w:t>
      </w:r>
      <w:r w:rsidRPr="00E869A4">
        <w:rPr>
          <w:rFonts w:ascii="Times New Roman" w:hAnsi="Times New Roman" w:cs="Times New Roman"/>
          <w:szCs w:val="24"/>
        </w:rPr>
        <w:t xml:space="preserve">shared extensively about their urgent need for health and social service support: </w:t>
      </w:r>
    </w:p>
    <w:p w14:paraId="2AE55838" w14:textId="77777777" w:rsidR="001A5642" w:rsidRPr="00E869A4" w:rsidRDefault="001A5642" w:rsidP="00607AE6">
      <w:pPr>
        <w:spacing w:line="240" w:lineRule="auto"/>
        <w:rPr>
          <w:rFonts w:ascii="Times New Roman" w:hAnsi="Times New Roman" w:cs="Times New Roman"/>
          <w:szCs w:val="24"/>
        </w:rPr>
      </w:pPr>
    </w:p>
    <w:p w14:paraId="3B762C38" w14:textId="102848A9" w:rsidR="00E53916" w:rsidRPr="00E869A4" w:rsidRDefault="00E53916" w:rsidP="002564A8">
      <w:pPr>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I need support for myself physically, mentally, psychologically. In staying at home with her my body is failing me and I need to have some kind of exercise, nutrition plan to keep myself fit, but when, how, where? … (I have gained too much weight since the beginning of caring for her. I need a place (support group) to vent and get advice on how best to take care of her (am I doing the right thing?), what to expect with her illness, and how to cope with it, pamphlets, handouts on all these issues in local clinics. I also need recreation to de-stress, someone to stay with her at times while I make groceries, go to church, recreate etc. The health system here does not support its caregivers. And there is not enough care and support for the </w:t>
      </w:r>
      <w:r w:rsidR="00343458" w:rsidRPr="00E869A4">
        <w:rPr>
          <w:rFonts w:ascii="Times New Roman" w:hAnsi="Times New Roman" w:cs="Times New Roman"/>
          <w:szCs w:val="24"/>
        </w:rPr>
        <w:t>elderly</w:t>
      </w:r>
      <w:r w:rsidRPr="00E869A4">
        <w:rPr>
          <w:rFonts w:ascii="Times New Roman" w:hAnsi="Times New Roman" w:cs="Times New Roman"/>
          <w:szCs w:val="24"/>
        </w:rPr>
        <w:t xml:space="preserve">: so many of them suffer needlessly because </w:t>
      </w:r>
      <w:r w:rsidRPr="00E869A4">
        <w:rPr>
          <w:rFonts w:ascii="Times New Roman" w:hAnsi="Times New Roman" w:cs="Times New Roman"/>
          <w:szCs w:val="24"/>
        </w:rPr>
        <w:lastRenderedPageBreak/>
        <w:t xml:space="preserve">of this. We need that support: if you want proper care for them, there must be proper care for us as well. If we fall down, they will fall too. I had no knowledge of most of these services offered for the older. If we don't know about them, then they surely don't exist. There are ways to advertise these so that we would know and can </w:t>
      </w:r>
      <w:r w:rsidR="00AD0CE0" w:rsidRPr="00E869A4">
        <w:rPr>
          <w:rFonts w:ascii="Times New Roman" w:hAnsi="Times New Roman" w:cs="Times New Roman"/>
          <w:szCs w:val="24"/>
        </w:rPr>
        <w:t>utilise</w:t>
      </w:r>
      <w:r w:rsidRPr="00E869A4">
        <w:rPr>
          <w:rFonts w:ascii="Times New Roman" w:hAnsi="Times New Roman" w:cs="Times New Roman"/>
          <w:szCs w:val="24"/>
        </w:rPr>
        <w:t xml:space="preserve"> them</w:t>
      </w:r>
      <w:r w:rsidR="002564A8" w:rsidRPr="00E869A4">
        <w:rPr>
          <w:rFonts w:ascii="Times New Roman" w:hAnsi="Times New Roman" w:cs="Times New Roman"/>
          <w:szCs w:val="24"/>
        </w:rPr>
        <w:t>.</w:t>
      </w:r>
    </w:p>
    <w:p w14:paraId="3F8B2BF2" w14:textId="77777777" w:rsidR="00BD5AF8" w:rsidRPr="00E869A4" w:rsidRDefault="00BD5AF8" w:rsidP="00914FB4">
      <w:pPr>
        <w:spacing w:line="240" w:lineRule="auto"/>
        <w:rPr>
          <w:rFonts w:ascii="Times New Roman" w:hAnsi="Times New Roman" w:cs="Times New Roman"/>
          <w:szCs w:val="24"/>
        </w:rPr>
      </w:pPr>
    </w:p>
    <w:p w14:paraId="06A7E06F" w14:textId="77777777" w:rsidR="00914FB4" w:rsidRPr="00E869A4" w:rsidRDefault="00914FB4" w:rsidP="00914FB4">
      <w:pPr>
        <w:spacing w:line="240" w:lineRule="auto"/>
        <w:rPr>
          <w:rFonts w:ascii="Times New Roman" w:hAnsi="Times New Roman" w:cs="Times New Roman"/>
          <w:szCs w:val="24"/>
        </w:rPr>
      </w:pPr>
    </w:p>
    <w:p w14:paraId="5F67E01C" w14:textId="28F872BB" w:rsidR="00E53916" w:rsidRPr="00E869A4" w:rsidRDefault="009C4720" w:rsidP="00175C3E">
      <w:pPr>
        <w:pStyle w:val="Heading2"/>
      </w:pPr>
      <w:bookmarkStart w:id="400" w:name="_Toc492959489"/>
      <w:bookmarkStart w:id="401" w:name="_Toc40436579"/>
      <w:r w:rsidRPr="00E869A4">
        <w:t>9</w:t>
      </w:r>
      <w:r w:rsidR="005A21ED" w:rsidRPr="00E869A4">
        <w:t>.6</w:t>
      </w:r>
      <w:r w:rsidR="00C703F7" w:rsidRPr="00E869A4">
        <w:t xml:space="preserve"> </w:t>
      </w:r>
      <w:r w:rsidR="000A4DBC" w:rsidRPr="00E869A4">
        <w:t>SERVICE PREFERENCES</w:t>
      </w:r>
      <w:bookmarkEnd w:id="400"/>
      <w:bookmarkEnd w:id="401"/>
      <w:r w:rsidR="005A21ED" w:rsidRPr="00E869A4">
        <w:t xml:space="preserve"> </w:t>
      </w:r>
    </w:p>
    <w:p w14:paraId="2F0D6E09" w14:textId="77777777" w:rsidR="00E53916" w:rsidRPr="00E869A4" w:rsidRDefault="00E53916" w:rsidP="00A35FF8">
      <w:pPr>
        <w:rPr>
          <w:rFonts w:ascii="Times New Roman" w:hAnsi="Times New Roman" w:cs="Times New Roman"/>
          <w:b/>
          <w:szCs w:val="24"/>
        </w:rPr>
      </w:pPr>
    </w:p>
    <w:p w14:paraId="18B0727E" w14:textId="754055AC" w:rsidR="00515CC4" w:rsidRPr="00E869A4" w:rsidRDefault="00515CC4" w:rsidP="00A35FF8">
      <w:pPr>
        <w:rPr>
          <w:rFonts w:ascii="Times New Roman" w:hAnsi="Times New Roman" w:cs="Times New Roman"/>
          <w:szCs w:val="24"/>
        </w:rPr>
      </w:pPr>
      <w:r w:rsidRPr="00E869A4">
        <w:rPr>
          <w:rFonts w:ascii="Times New Roman" w:hAnsi="Times New Roman" w:cs="Times New Roman"/>
          <w:szCs w:val="24"/>
        </w:rPr>
        <w:t xml:space="preserve">Respondents were asked to indicate what the preferred gender of a caregiver should be and, who should be responsible for paying for care. The results are presented below. </w:t>
      </w:r>
    </w:p>
    <w:p w14:paraId="31C04B79" w14:textId="77777777" w:rsidR="00807891" w:rsidRPr="00E869A4" w:rsidRDefault="00807891" w:rsidP="00A35FF8">
      <w:pPr>
        <w:rPr>
          <w:rFonts w:ascii="Times New Roman" w:hAnsi="Times New Roman" w:cs="Times New Roman"/>
          <w:szCs w:val="24"/>
        </w:rPr>
      </w:pPr>
    </w:p>
    <w:p w14:paraId="31431D45" w14:textId="2AB2F825" w:rsidR="00E53916" w:rsidRPr="00E869A4" w:rsidRDefault="009C4720" w:rsidP="005C449C">
      <w:pPr>
        <w:pStyle w:val="Heading3"/>
      </w:pPr>
      <w:bookmarkStart w:id="402" w:name="_Toc492959490"/>
      <w:bookmarkStart w:id="403" w:name="_Toc40436580"/>
      <w:r w:rsidRPr="00E869A4">
        <w:t>9</w:t>
      </w:r>
      <w:r w:rsidR="005A21ED" w:rsidRPr="00E869A4">
        <w:t xml:space="preserve">.6.1     </w:t>
      </w:r>
      <w:r w:rsidR="00E53916" w:rsidRPr="00E869A4">
        <w:t>Gender of Caregiver</w:t>
      </w:r>
      <w:bookmarkEnd w:id="402"/>
      <w:bookmarkEnd w:id="403"/>
    </w:p>
    <w:p w14:paraId="76C6BD46" w14:textId="77777777" w:rsidR="00E53916" w:rsidRPr="00E869A4" w:rsidRDefault="00E53916" w:rsidP="00A35FF8">
      <w:pPr>
        <w:rPr>
          <w:rFonts w:ascii="Times New Roman" w:hAnsi="Times New Roman" w:cs="Times New Roman"/>
        </w:rPr>
      </w:pPr>
    </w:p>
    <w:p w14:paraId="76E8A6C9" w14:textId="5EF151FE" w:rsidR="00B37F5D" w:rsidRPr="00E869A4" w:rsidRDefault="00E53916" w:rsidP="00A35FF8">
      <w:pPr>
        <w:rPr>
          <w:rFonts w:ascii="Times New Roman" w:hAnsi="Times New Roman" w:cs="Times New Roman"/>
          <w:szCs w:val="24"/>
        </w:rPr>
      </w:pPr>
      <w:r w:rsidRPr="00E869A4">
        <w:rPr>
          <w:rFonts w:ascii="Times New Roman" w:hAnsi="Times New Roman" w:cs="Times New Roman"/>
          <w:szCs w:val="24"/>
        </w:rPr>
        <w:t>The majority of respondents (60%) had no preference ab</w:t>
      </w:r>
      <w:r w:rsidR="00D73163" w:rsidRPr="00E869A4">
        <w:rPr>
          <w:rFonts w:ascii="Times New Roman" w:hAnsi="Times New Roman" w:cs="Times New Roman"/>
          <w:szCs w:val="24"/>
        </w:rPr>
        <w:t xml:space="preserve">out the gender of the family caregiver or paid </w:t>
      </w:r>
      <w:r w:rsidR="003957F8" w:rsidRPr="00E869A4">
        <w:rPr>
          <w:rFonts w:ascii="Times New Roman" w:hAnsi="Times New Roman" w:cs="Times New Roman"/>
          <w:szCs w:val="24"/>
        </w:rPr>
        <w:t>care worker</w:t>
      </w:r>
      <w:r w:rsidR="00D73163" w:rsidRPr="00E869A4">
        <w:rPr>
          <w:rFonts w:ascii="Times New Roman" w:hAnsi="Times New Roman" w:cs="Times New Roman"/>
          <w:szCs w:val="24"/>
        </w:rPr>
        <w:t xml:space="preserve"> </w:t>
      </w:r>
      <w:r w:rsidRPr="00E869A4">
        <w:rPr>
          <w:rFonts w:ascii="Times New Roman" w:hAnsi="Times New Roman" w:cs="Times New Roman"/>
          <w:szCs w:val="24"/>
        </w:rPr>
        <w:t xml:space="preserve">for their older relative </w:t>
      </w:r>
      <w:r w:rsidR="00490BF0" w:rsidRPr="00E869A4">
        <w:rPr>
          <w:rFonts w:ascii="Times New Roman" w:hAnsi="Times New Roman" w:cs="Times New Roman"/>
          <w:szCs w:val="24"/>
        </w:rPr>
        <w:t>al</w:t>
      </w:r>
      <w:r w:rsidRPr="00E869A4">
        <w:rPr>
          <w:rFonts w:ascii="Times New Roman" w:hAnsi="Times New Roman" w:cs="Times New Roman"/>
          <w:szCs w:val="24"/>
        </w:rPr>
        <w:t xml:space="preserve">though a significant amount (32%) preferred that the caregiver was the same sex as the older person: </w:t>
      </w:r>
      <w:r w:rsidRPr="00E869A4">
        <w:rPr>
          <w:rFonts w:ascii="Times New Roman" w:hAnsi="Times New Roman" w:cs="Times New Roman"/>
        </w:rPr>
        <w:sym w:font="Symbol" w:char="F063"/>
      </w:r>
      <w:r w:rsidRPr="00E869A4">
        <w:rPr>
          <w:rFonts w:ascii="Times New Roman" w:hAnsi="Times New Roman" w:cs="Times New Roman"/>
          <w:szCs w:val="24"/>
          <w:vertAlign w:val="superscript"/>
        </w:rPr>
        <w:t xml:space="preserve">2 </w:t>
      </w:r>
      <w:r w:rsidRPr="00E869A4">
        <w:rPr>
          <w:rFonts w:ascii="Times New Roman" w:hAnsi="Times New Roman" w:cs="Times New Roman"/>
          <w:szCs w:val="24"/>
        </w:rPr>
        <w:t xml:space="preserve">(1) = 8.522, p=0.004. Interestingly, </w:t>
      </w:r>
      <w:r w:rsidR="00515CC4" w:rsidRPr="00E869A4">
        <w:rPr>
          <w:rFonts w:ascii="Times New Roman" w:hAnsi="Times New Roman" w:cs="Times New Roman"/>
          <w:szCs w:val="24"/>
        </w:rPr>
        <w:t>no-one</w:t>
      </w:r>
      <w:r w:rsidRPr="00E869A4">
        <w:rPr>
          <w:rFonts w:ascii="Times New Roman" w:hAnsi="Times New Roman" w:cs="Times New Roman"/>
          <w:szCs w:val="24"/>
        </w:rPr>
        <w:t xml:space="preserve"> chose the male only option, but 5% had a female only preference (</w:t>
      </w:r>
      <w:r w:rsidR="00C57EF0" w:rsidRPr="00E869A4">
        <w:t xml:space="preserve">Figure </w:t>
      </w:r>
      <w:r w:rsidR="00D91061" w:rsidRPr="00E869A4">
        <w:rPr>
          <w:rFonts w:ascii="Times New Roman" w:hAnsi="Times New Roman" w:cs="Times New Roman"/>
          <w:szCs w:val="24"/>
        </w:rPr>
        <w:t>27 below</w:t>
      </w:r>
      <w:r w:rsidRPr="00E869A4">
        <w:rPr>
          <w:rFonts w:ascii="Times New Roman" w:hAnsi="Times New Roman" w:cs="Times New Roman"/>
          <w:szCs w:val="24"/>
        </w:rPr>
        <w:t xml:space="preserve">). In the open-ended </w:t>
      </w:r>
      <w:r w:rsidR="00515CC4" w:rsidRPr="00E869A4">
        <w:rPr>
          <w:rFonts w:ascii="Times New Roman" w:hAnsi="Times New Roman" w:cs="Times New Roman"/>
          <w:szCs w:val="24"/>
        </w:rPr>
        <w:t>comment boxes</w:t>
      </w:r>
      <w:r w:rsidRPr="00E869A4">
        <w:rPr>
          <w:rFonts w:ascii="Times New Roman" w:hAnsi="Times New Roman" w:cs="Times New Roman"/>
          <w:szCs w:val="24"/>
        </w:rPr>
        <w:t>, some persons emphasi</w:t>
      </w:r>
      <w:r w:rsidR="00515CC4" w:rsidRPr="00E869A4">
        <w:rPr>
          <w:rFonts w:ascii="Times New Roman" w:hAnsi="Times New Roman" w:cs="Times New Roman"/>
          <w:szCs w:val="24"/>
        </w:rPr>
        <w:t>s</w:t>
      </w:r>
      <w:r w:rsidRPr="00E869A4">
        <w:rPr>
          <w:rFonts w:ascii="Times New Roman" w:hAnsi="Times New Roman" w:cs="Times New Roman"/>
          <w:szCs w:val="24"/>
        </w:rPr>
        <w:t xml:space="preserve">ed qualities other than gender such as caregiver skill, dedication and compassion, as well as the preferences of the older person and their relatives on this issue. Some of these responses are presented in </w:t>
      </w:r>
      <w:r w:rsidR="00515CC4" w:rsidRPr="00E869A4">
        <w:rPr>
          <w:rFonts w:ascii="Times New Roman" w:hAnsi="Times New Roman" w:cs="Times New Roman"/>
          <w:szCs w:val="24"/>
        </w:rPr>
        <w:t>Table 19</w:t>
      </w:r>
      <w:r w:rsidR="00B37F5D" w:rsidRPr="00E869A4">
        <w:rPr>
          <w:rFonts w:ascii="Times New Roman" w:hAnsi="Times New Roman" w:cs="Times New Roman"/>
          <w:szCs w:val="24"/>
        </w:rPr>
        <w:t xml:space="preserve"> below</w:t>
      </w:r>
      <w:r w:rsidRPr="00E869A4">
        <w:rPr>
          <w:rFonts w:ascii="Times New Roman" w:hAnsi="Times New Roman" w:cs="Times New Roman"/>
          <w:szCs w:val="24"/>
        </w:rPr>
        <w:t xml:space="preserve">. </w:t>
      </w:r>
      <w:bookmarkStart w:id="404" w:name="_Ref492813802"/>
    </w:p>
    <w:p w14:paraId="0A2DC4D0" w14:textId="77777777" w:rsidR="00D371E1" w:rsidRPr="00E869A4" w:rsidRDefault="00D371E1" w:rsidP="00A35FF8">
      <w:pPr>
        <w:rPr>
          <w:rFonts w:ascii="Times New Roman" w:hAnsi="Times New Roman" w:cs="Times New Roman"/>
          <w:szCs w:val="24"/>
        </w:rPr>
      </w:pPr>
    </w:p>
    <w:p w14:paraId="07F0090A" w14:textId="3A67E9D0" w:rsidR="005C68D7" w:rsidRPr="00E869A4" w:rsidRDefault="005C68D7" w:rsidP="00077CF0">
      <w:pPr>
        <w:pStyle w:val="Caption"/>
        <w:tabs>
          <w:tab w:val="left" w:pos="2535"/>
          <w:tab w:val="center" w:pos="6763"/>
        </w:tabs>
        <w:rPr>
          <w:b/>
          <w:i w:val="0"/>
          <w:sz w:val="24"/>
        </w:rPr>
      </w:pPr>
      <w:bookmarkStart w:id="405" w:name="_Toc40436618"/>
      <w:r w:rsidRPr="00E869A4">
        <w:rPr>
          <w:b/>
          <w:i w:val="0"/>
          <w:sz w:val="24"/>
        </w:rPr>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19</w:t>
      </w:r>
      <w:r w:rsidRPr="00E869A4">
        <w:rPr>
          <w:b/>
          <w:i w:val="0"/>
          <w:sz w:val="24"/>
        </w:rPr>
        <w:fldChar w:fldCharType="end"/>
      </w:r>
      <w:r w:rsidR="00D2467F" w:rsidRPr="00E869A4">
        <w:rPr>
          <w:b/>
          <w:i w:val="0"/>
          <w:sz w:val="24"/>
        </w:rPr>
        <w:t>:</w:t>
      </w:r>
      <w:r w:rsidRPr="00E869A4">
        <w:rPr>
          <w:b/>
          <w:i w:val="0"/>
          <w:sz w:val="24"/>
        </w:rPr>
        <w:t xml:space="preserve"> Selected Open-Ended Survey Responses on Preferred Gender of Caregiver</w:t>
      </w:r>
      <w:bookmarkEnd w:id="405"/>
    </w:p>
    <w:p w14:paraId="370BD1F8" w14:textId="77777777" w:rsidR="005C68D7" w:rsidRPr="00E869A4" w:rsidRDefault="005C68D7" w:rsidP="005C68D7"/>
    <w:tbl>
      <w:tblPr>
        <w:tblStyle w:val="TableGrid"/>
        <w:tblW w:w="0" w:type="auto"/>
        <w:jc w:val="center"/>
        <w:tblLook w:val="04A0" w:firstRow="1" w:lastRow="0" w:firstColumn="1" w:lastColumn="0" w:noHBand="0" w:noVBand="1"/>
      </w:tblPr>
      <w:tblGrid>
        <w:gridCol w:w="3377"/>
        <w:gridCol w:w="5842"/>
      </w:tblGrid>
      <w:tr w:rsidR="00C714D3" w:rsidRPr="00E869A4" w14:paraId="7AA35D51" w14:textId="77777777" w:rsidTr="00D371E1">
        <w:trPr>
          <w:tblHeader/>
          <w:jc w:val="center"/>
        </w:trPr>
        <w:tc>
          <w:tcPr>
            <w:tcW w:w="3377" w:type="dxa"/>
            <w:tcBorders>
              <w:top w:val="single" w:sz="4" w:space="0" w:color="auto"/>
              <w:left w:val="single" w:sz="4" w:space="0" w:color="auto"/>
              <w:bottom w:val="single" w:sz="4" w:space="0" w:color="auto"/>
              <w:right w:val="single" w:sz="4" w:space="0" w:color="auto"/>
            </w:tcBorders>
            <w:hideMark/>
          </w:tcPr>
          <w:p w14:paraId="39610921" w14:textId="77777777" w:rsidR="00B37F5D" w:rsidRPr="00E869A4" w:rsidRDefault="00B37F5D" w:rsidP="002764F5">
            <w:pPr>
              <w:ind w:firstLine="0"/>
              <w:jc w:val="center"/>
              <w:rPr>
                <w:rFonts w:ascii="Times New Roman" w:hAnsi="Times New Roman" w:cs="Times New Roman"/>
                <w:i/>
                <w:szCs w:val="24"/>
              </w:rPr>
            </w:pPr>
            <w:r w:rsidRPr="00E869A4">
              <w:rPr>
                <w:rFonts w:ascii="Times New Roman" w:hAnsi="Times New Roman" w:cs="Times New Roman"/>
                <w:i/>
                <w:szCs w:val="24"/>
              </w:rPr>
              <w:t>Preferred Gender of Caregiver</w:t>
            </w:r>
          </w:p>
        </w:tc>
        <w:tc>
          <w:tcPr>
            <w:tcW w:w="5842" w:type="dxa"/>
            <w:tcBorders>
              <w:top w:val="single" w:sz="4" w:space="0" w:color="auto"/>
              <w:left w:val="single" w:sz="4" w:space="0" w:color="auto"/>
              <w:bottom w:val="single" w:sz="4" w:space="0" w:color="auto"/>
              <w:right w:val="single" w:sz="4" w:space="0" w:color="auto"/>
            </w:tcBorders>
            <w:hideMark/>
          </w:tcPr>
          <w:p w14:paraId="5AA803B7" w14:textId="77777777" w:rsidR="00B37F5D" w:rsidRPr="00E869A4" w:rsidRDefault="00B37F5D" w:rsidP="00515CC4">
            <w:pPr>
              <w:ind w:firstLine="0"/>
              <w:jc w:val="center"/>
              <w:rPr>
                <w:rFonts w:ascii="Times New Roman" w:hAnsi="Times New Roman" w:cs="Times New Roman"/>
                <w:i/>
                <w:szCs w:val="24"/>
              </w:rPr>
            </w:pPr>
            <w:r w:rsidRPr="00E869A4">
              <w:rPr>
                <w:rFonts w:ascii="Times New Roman" w:hAnsi="Times New Roman" w:cs="Times New Roman"/>
                <w:i/>
                <w:szCs w:val="24"/>
              </w:rPr>
              <w:t>Quote from Open-Ended Survey Response</w:t>
            </w:r>
          </w:p>
        </w:tc>
      </w:tr>
      <w:tr w:rsidR="00C714D3" w:rsidRPr="00E869A4" w14:paraId="1EDC1E34" w14:textId="77777777" w:rsidTr="00D371E1">
        <w:trPr>
          <w:jc w:val="center"/>
        </w:trPr>
        <w:tc>
          <w:tcPr>
            <w:tcW w:w="3377" w:type="dxa"/>
            <w:tcBorders>
              <w:top w:val="single" w:sz="4" w:space="0" w:color="auto"/>
              <w:left w:val="single" w:sz="4" w:space="0" w:color="auto"/>
              <w:bottom w:val="single" w:sz="4" w:space="0" w:color="auto"/>
              <w:right w:val="single" w:sz="4" w:space="0" w:color="auto"/>
            </w:tcBorders>
            <w:hideMark/>
          </w:tcPr>
          <w:p w14:paraId="683FE475" w14:textId="77777777" w:rsidR="00B37F5D" w:rsidRPr="00E869A4" w:rsidRDefault="00B37F5D" w:rsidP="00702004">
            <w:pPr>
              <w:ind w:firstLine="0"/>
              <w:rPr>
                <w:rFonts w:ascii="Times New Roman" w:hAnsi="Times New Roman" w:cs="Times New Roman"/>
                <w:sz w:val="22"/>
              </w:rPr>
            </w:pPr>
            <w:r w:rsidRPr="00E869A4">
              <w:rPr>
                <w:rFonts w:ascii="Times New Roman" w:hAnsi="Times New Roman" w:cs="Times New Roman"/>
                <w:sz w:val="22"/>
              </w:rPr>
              <w:t>Female Only</w:t>
            </w:r>
          </w:p>
        </w:tc>
        <w:tc>
          <w:tcPr>
            <w:tcW w:w="5842" w:type="dxa"/>
            <w:tcBorders>
              <w:top w:val="single" w:sz="4" w:space="0" w:color="auto"/>
              <w:left w:val="single" w:sz="4" w:space="0" w:color="auto"/>
              <w:bottom w:val="single" w:sz="4" w:space="0" w:color="auto"/>
              <w:right w:val="single" w:sz="4" w:space="0" w:color="auto"/>
            </w:tcBorders>
            <w:hideMark/>
          </w:tcPr>
          <w:p w14:paraId="762C5C41"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Women are better at caregiving than men</w:t>
            </w:r>
          </w:p>
        </w:tc>
      </w:tr>
      <w:tr w:rsidR="00C714D3" w:rsidRPr="00E869A4" w14:paraId="3533C541" w14:textId="77777777" w:rsidTr="00D371E1">
        <w:trPr>
          <w:jc w:val="center"/>
        </w:trPr>
        <w:tc>
          <w:tcPr>
            <w:tcW w:w="3377" w:type="dxa"/>
            <w:tcBorders>
              <w:top w:val="single" w:sz="4" w:space="0" w:color="auto"/>
              <w:left w:val="single" w:sz="4" w:space="0" w:color="auto"/>
              <w:bottom w:val="single" w:sz="4" w:space="0" w:color="auto"/>
              <w:right w:val="single" w:sz="4" w:space="0" w:color="auto"/>
            </w:tcBorders>
            <w:hideMark/>
          </w:tcPr>
          <w:p w14:paraId="7D7F7CA4" w14:textId="77777777" w:rsidR="00B37F5D" w:rsidRPr="00E869A4" w:rsidRDefault="00B37F5D" w:rsidP="00702004">
            <w:pPr>
              <w:ind w:firstLine="0"/>
              <w:rPr>
                <w:rFonts w:ascii="Times New Roman" w:hAnsi="Times New Roman" w:cs="Times New Roman"/>
                <w:sz w:val="22"/>
              </w:rPr>
            </w:pPr>
            <w:r w:rsidRPr="00E869A4">
              <w:rPr>
                <w:rFonts w:ascii="Times New Roman" w:hAnsi="Times New Roman" w:cs="Times New Roman"/>
                <w:sz w:val="22"/>
              </w:rPr>
              <w:t>Same-Sex as Older Person</w:t>
            </w:r>
          </w:p>
        </w:tc>
        <w:tc>
          <w:tcPr>
            <w:tcW w:w="5842" w:type="dxa"/>
            <w:tcBorders>
              <w:top w:val="single" w:sz="4" w:space="0" w:color="auto"/>
              <w:left w:val="single" w:sz="4" w:space="0" w:color="auto"/>
              <w:bottom w:val="single" w:sz="4" w:space="0" w:color="auto"/>
              <w:right w:val="single" w:sz="4" w:space="0" w:color="auto"/>
            </w:tcBorders>
            <w:hideMark/>
          </w:tcPr>
          <w:p w14:paraId="1EDD91EC"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Female caregivers for male dependent and male caregivers for male dependent</w:t>
            </w:r>
          </w:p>
        </w:tc>
      </w:tr>
      <w:tr w:rsidR="00C714D3" w:rsidRPr="00E869A4" w14:paraId="28F55562" w14:textId="77777777" w:rsidTr="00D371E1">
        <w:trPr>
          <w:jc w:val="center"/>
        </w:trPr>
        <w:tc>
          <w:tcPr>
            <w:tcW w:w="3377" w:type="dxa"/>
            <w:tcBorders>
              <w:top w:val="single" w:sz="4" w:space="0" w:color="auto"/>
              <w:left w:val="single" w:sz="4" w:space="0" w:color="auto"/>
              <w:bottom w:val="single" w:sz="4" w:space="0" w:color="auto"/>
              <w:right w:val="single" w:sz="4" w:space="0" w:color="auto"/>
            </w:tcBorders>
            <w:hideMark/>
          </w:tcPr>
          <w:p w14:paraId="1E232323" w14:textId="77777777" w:rsidR="00B37F5D" w:rsidRPr="00E869A4" w:rsidRDefault="00B37F5D" w:rsidP="00702004">
            <w:pPr>
              <w:ind w:firstLine="0"/>
              <w:rPr>
                <w:rFonts w:ascii="Times New Roman" w:hAnsi="Times New Roman" w:cs="Times New Roman"/>
                <w:sz w:val="22"/>
              </w:rPr>
            </w:pPr>
            <w:r w:rsidRPr="00E869A4">
              <w:rPr>
                <w:rFonts w:ascii="Times New Roman" w:hAnsi="Times New Roman" w:cs="Times New Roman"/>
                <w:sz w:val="22"/>
              </w:rPr>
              <w:t>Either Male or Female</w:t>
            </w:r>
          </w:p>
        </w:tc>
        <w:tc>
          <w:tcPr>
            <w:tcW w:w="5842" w:type="dxa"/>
            <w:tcBorders>
              <w:top w:val="single" w:sz="4" w:space="0" w:color="auto"/>
              <w:left w:val="single" w:sz="4" w:space="0" w:color="auto"/>
              <w:bottom w:val="single" w:sz="4" w:space="0" w:color="auto"/>
              <w:right w:val="single" w:sz="4" w:space="0" w:color="auto"/>
            </w:tcBorders>
            <w:hideMark/>
          </w:tcPr>
          <w:p w14:paraId="4507A4FF"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Male or female will do but you have to screen your caregivers very well before hiring them</w:t>
            </w:r>
          </w:p>
          <w:p w14:paraId="515195B7"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Both male and female can provide care when needed</w:t>
            </w:r>
          </w:p>
          <w:p w14:paraId="41E96778"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As the situation demands: it may be a male being taken care of by a wife or daughter, or female taken care of by son or husband</w:t>
            </w:r>
          </w:p>
          <w:p w14:paraId="32334634"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Gender discrimination should not be a factor here: the circumstances should dictate</w:t>
            </w:r>
          </w:p>
          <w:p w14:paraId="74190A09"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 xml:space="preserve">It depends on the older person’s situation. It may require strength to move the person around so it may be male or </w:t>
            </w:r>
            <w:r w:rsidRPr="00E869A4">
              <w:rPr>
                <w:rFonts w:ascii="Times New Roman" w:hAnsi="Times New Roman" w:cs="Times New Roman"/>
                <w:sz w:val="22"/>
                <w:szCs w:val="24"/>
              </w:rPr>
              <w:lastRenderedPageBreak/>
              <w:t>female</w:t>
            </w:r>
          </w:p>
          <w:p w14:paraId="7FA2F09B"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In my mother’s case, she had both male and female children so it was only right for the female to change her pampers but the male could have helped in other ways even if it was just simply companionship with a little conversation now and then.</w:t>
            </w:r>
          </w:p>
        </w:tc>
      </w:tr>
      <w:tr w:rsidR="00C714D3" w:rsidRPr="00E869A4" w14:paraId="7A409AFD" w14:textId="77777777" w:rsidTr="00D371E1">
        <w:trPr>
          <w:jc w:val="center"/>
        </w:trPr>
        <w:tc>
          <w:tcPr>
            <w:tcW w:w="3377" w:type="dxa"/>
            <w:tcBorders>
              <w:top w:val="single" w:sz="4" w:space="0" w:color="auto"/>
              <w:left w:val="single" w:sz="4" w:space="0" w:color="auto"/>
              <w:bottom w:val="single" w:sz="4" w:space="0" w:color="auto"/>
              <w:right w:val="single" w:sz="4" w:space="0" w:color="auto"/>
            </w:tcBorders>
            <w:hideMark/>
          </w:tcPr>
          <w:p w14:paraId="66D959CE" w14:textId="77777777" w:rsidR="00B37F5D" w:rsidRPr="00E869A4" w:rsidRDefault="00B37F5D" w:rsidP="00702004">
            <w:pPr>
              <w:ind w:firstLine="0"/>
              <w:rPr>
                <w:rFonts w:ascii="Times New Roman" w:hAnsi="Times New Roman" w:cs="Times New Roman"/>
                <w:sz w:val="22"/>
              </w:rPr>
            </w:pPr>
            <w:r w:rsidRPr="00E869A4">
              <w:rPr>
                <w:rFonts w:ascii="Times New Roman" w:hAnsi="Times New Roman" w:cs="Times New Roman"/>
                <w:sz w:val="22"/>
              </w:rPr>
              <w:lastRenderedPageBreak/>
              <w:t>Mixed Options</w:t>
            </w:r>
          </w:p>
        </w:tc>
        <w:tc>
          <w:tcPr>
            <w:tcW w:w="5842" w:type="dxa"/>
            <w:tcBorders>
              <w:top w:val="single" w:sz="4" w:space="0" w:color="auto"/>
              <w:left w:val="single" w:sz="4" w:space="0" w:color="auto"/>
              <w:bottom w:val="single" w:sz="4" w:space="0" w:color="auto"/>
              <w:right w:val="single" w:sz="4" w:space="0" w:color="auto"/>
            </w:tcBorders>
            <w:hideMark/>
          </w:tcPr>
          <w:p w14:paraId="3B571F6F"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 xml:space="preserve">I agree that in some cases it may be more appropriate for the caregivers to be the same sex as the older person and in some cases either male or female will do. </w:t>
            </w:r>
          </w:p>
          <w:p w14:paraId="185DB8DF"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 xml:space="preserve">I believe a male or female may be allowed to attend a male patient but only a female caregiver be allowed to take care of a female patient. </w:t>
            </w:r>
          </w:p>
          <w:p w14:paraId="5E8A0ACB"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No males for women</w:t>
            </w:r>
          </w:p>
          <w:p w14:paraId="70CCE808"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Females for females definitely and either male/female for male older person</w:t>
            </w:r>
          </w:p>
          <w:p w14:paraId="7FEE7662" w14:textId="77777777" w:rsidR="00B37F5D" w:rsidRPr="00E869A4" w:rsidRDefault="00B37F5D" w:rsidP="009D4C5D">
            <w:pPr>
              <w:pStyle w:val="ListParagraph"/>
              <w:numPr>
                <w:ilvl w:val="0"/>
                <w:numId w:val="45"/>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I think it depends on how comfortable the person feels with their caregiver but in the case of my grandmother, she was more comfortable with her daughters helping with more personal bodily tasks</w:t>
            </w:r>
          </w:p>
        </w:tc>
      </w:tr>
      <w:tr w:rsidR="00B37F5D" w:rsidRPr="00E869A4" w14:paraId="104046E9" w14:textId="77777777" w:rsidTr="00D371E1">
        <w:trPr>
          <w:jc w:val="center"/>
        </w:trPr>
        <w:tc>
          <w:tcPr>
            <w:tcW w:w="3377" w:type="dxa"/>
            <w:tcBorders>
              <w:top w:val="single" w:sz="4" w:space="0" w:color="auto"/>
              <w:left w:val="single" w:sz="4" w:space="0" w:color="auto"/>
              <w:bottom w:val="single" w:sz="4" w:space="0" w:color="auto"/>
              <w:right w:val="single" w:sz="4" w:space="0" w:color="auto"/>
            </w:tcBorders>
            <w:hideMark/>
          </w:tcPr>
          <w:p w14:paraId="1B86D2D3" w14:textId="77777777" w:rsidR="00B37F5D" w:rsidRPr="00E869A4" w:rsidRDefault="00B37F5D" w:rsidP="00702004">
            <w:pPr>
              <w:ind w:firstLine="0"/>
              <w:rPr>
                <w:rFonts w:ascii="Times New Roman" w:hAnsi="Times New Roman" w:cs="Times New Roman"/>
                <w:sz w:val="22"/>
              </w:rPr>
            </w:pPr>
            <w:r w:rsidRPr="00E869A4">
              <w:rPr>
                <w:rFonts w:ascii="Times New Roman" w:hAnsi="Times New Roman" w:cs="Times New Roman"/>
                <w:sz w:val="22"/>
              </w:rPr>
              <w:t>Other</w:t>
            </w:r>
          </w:p>
        </w:tc>
        <w:tc>
          <w:tcPr>
            <w:tcW w:w="5842" w:type="dxa"/>
            <w:tcBorders>
              <w:top w:val="single" w:sz="4" w:space="0" w:color="auto"/>
              <w:left w:val="single" w:sz="4" w:space="0" w:color="auto"/>
              <w:bottom w:val="single" w:sz="4" w:space="0" w:color="auto"/>
              <w:right w:val="single" w:sz="4" w:space="0" w:color="auto"/>
            </w:tcBorders>
            <w:hideMark/>
          </w:tcPr>
          <w:p w14:paraId="1E52A652" w14:textId="77777777" w:rsidR="00B37F5D" w:rsidRPr="00E869A4" w:rsidRDefault="00B37F5D" w:rsidP="009D4C5D">
            <w:pPr>
              <w:pStyle w:val="ListParagraph"/>
              <w:numPr>
                <w:ilvl w:val="0"/>
                <w:numId w:val="46"/>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Dedicated, sympathetic, patient</w:t>
            </w:r>
          </w:p>
          <w:p w14:paraId="63C35E12" w14:textId="77777777" w:rsidR="00B37F5D" w:rsidRPr="00E869A4" w:rsidRDefault="00B37F5D" w:rsidP="009D4C5D">
            <w:pPr>
              <w:pStyle w:val="ListParagraph"/>
              <w:numPr>
                <w:ilvl w:val="0"/>
                <w:numId w:val="46"/>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 xml:space="preserve">Caregivers should actually like people and genuinely care for human beings, and also not being an incompetently screened, cynical, under-educated, insufficiently trained, mentally unstable person would be an asset </w:t>
            </w:r>
          </w:p>
          <w:p w14:paraId="58FCC0EA" w14:textId="77777777" w:rsidR="00B37F5D" w:rsidRPr="00E869A4" w:rsidRDefault="00B37F5D" w:rsidP="009D4C5D">
            <w:pPr>
              <w:pStyle w:val="ListParagraph"/>
              <w:numPr>
                <w:ilvl w:val="0"/>
                <w:numId w:val="46"/>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What matters is a firm commitment and love for the patient. In the case of someone who is not a relative, the caregiver must have an abiding sense of duty and commitment</w:t>
            </w:r>
          </w:p>
          <w:p w14:paraId="7381ABD1" w14:textId="77777777" w:rsidR="00B37F5D" w:rsidRPr="00E869A4" w:rsidRDefault="00B37F5D" w:rsidP="009D4C5D">
            <w:pPr>
              <w:pStyle w:val="ListParagraph"/>
              <w:numPr>
                <w:ilvl w:val="0"/>
                <w:numId w:val="46"/>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Depends on the older person’s preference</w:t>
            </w:r>
          </w:p>
          <w:p w14:paraId="50A976D2" w14:textId="77777777" w:rsidR="00B37F5D" w:rsidRPr="00E869A4" w:rsidRDefault="00B37F5D" w:rsidP="009D4C5D">
            <w:pPr>
              <w:pStyle w:val="ListParagraph"/>
              <w:numPr>
                <w:ilvl w:val="0"/>
                <w:numId w:val="46"/>
              </w:numPr>
              <w:ind w:left="392" w:hanging="257"/>
              <w:contextualSpacing w:val="0"/>
              <w:rPr>
                <w:rFonts w:ascii="Times New Roman" w:hAnsi="Times New Roman" w:cs="Times New Roman"/>
                <w:sz w:val="22"/>
                <w:szCs w:val="24"/>
              </w:rPr>
            </w:pPr>
            <w:r w:rsidRPr="00E869A4">
              <w:rPr>
                <w:rFonts w:ascii="Times New Roman" w:hAnsi="Times New Roman" w:cs="Times New Roman"/>
                <w:sz w:val="22"/>
                <w:szCs w:val="24"/>
              </w:rPr>
              <w:t>Depends on the relatives of the patient also and if the patient is able to verbalize her choice because it’s all about the patient comfort and who will better serve his or her needs.</w:t>
            </w:r>
          </w:p>
        </w:tc>
      </w:tr>
    </w:tbl>
    <w:p w14:paraId="476F13E3" w14:textId="77777777" w:rsidR="00B37F5D" w:rsidRPr="00E869A4" w:rsidRDefault="00B37F5D" w:rsidP="00A35FF8">
      <w:pPr>
        <w:rPr>
          <w:rFonts w:ascii="Times New Roman" w:hAnsi="Times New Roman" w:cs="Times New Roman"/>
          <w:szCs w:val="24"/>
        </w:rPr>
      </w:pPr>
    </w:p>
    <w:p w14:paraId="0B5AD6FE" w14:textId="77777777" w:rsidR="00B37F5D" w:rsidRPr="00E869A4" w:rsidRDefault="00B37F5D" w:rsidP="00A35FF8">
      <w:pPr>
        <w:rPr>
          <w:rFonts w:ascii="Times New Roman" w:hAnsi="Times New Roman" w:cs="Times New Roman"/>
          <w:szCs w:val="24"/>
        </w:rPr>
      </w:pPr>
    </w:p>
    <w:p w14:paraId="73613BF8" w14:textId="13A3C3C1" w:rsidR="00FB591D" w:rsidRPr="00E869A4" w:rsidRDefault="00F14590">
      <w:pPr>
        <w:rPr>
          <w:rFonts w:ascii="Times New Roman" w:hAnsi="Times New Roman" w:cs="Times New Roman"/>
          <w:szCs w:val="24"/>
        </w:rPr>
      </w:pPr>
      <w:r w:rsidRPr="00E869A4">
        <w:rPr>
          <w:rFonts w:ascii="Times New Roman" w:hAnsi="Times New Roman" w:cs="Times New Roman"/>
          <w:szCs w:val="24"/>
        </w:rPr>
        <w:t xml:space="preserve">Several studies have examined cross-gender care arrangements. </w:t>
      </w:r>
      <w:r w:rsidR="00D444AA" w:rsidRPr="00E869A4">
        <w:rPr>
          <w:rFonts w:ascii="Times New Roman" w:hAnsi="Times New Roman" w:cs="Times New Roman"/>
          <w:szCs w:val="24"/>
        </w:rPr>
        <w:t xml:space="preserve">Ingerson-Dayton, Starrels </w:t>
      </w:r>
      <w:r w:rsidR="00FE73DC" w:rsidRPr="00E869A4">
        <w:rPr>
          <w:rFonts w:ascii="Times New Roman" w:hAnsi="Times New Roman" w:cs="Times New Roman"/>
          <w:szCs w:val="24"/>
        </w:rPr>
        <w:t>&amp;</w:t>
      </w:r>
      <w:r w:rsidR="00D444AA" w:rsidRPr="00E869A4">
        <w:rPr>
          <w:rFonts w:ascii="Times New Roman" w:hAnsi="Times New Roman" w:cs="Times New Roman"/>
          <w:szCs w:val="24"/>
        </w:rPr>
        <w:t xml:space="preserve"> Dowler (1996) </w:t>
      </w:r>
      <w:r w:rsidR="00515CC4" w:rsidRPr="00E869A4">
        <w:rPr>
          <w:rFonts w:ascii="Times New Roman" w:hAnsi="Times New Roman" w:cs="Times New Roman"/>
          <w:szCs w:val="24"/>
        </w:rPr>
        <w:t xml:space="preserve">for instance, </w:t>
      </w:r>
      <w:r w:rsidR="00D444AA" w:rsidRPr="00E869A4">
        <w:rPr>
          <w:rFonts w:ascii="Times New Roman" w:hAnsi="Times New Roman" w:cs="Times New Roman"/>
          <w:szCs w:val="24"/>
        </w:rPr>
        <w:t xml:space="preserve">found from their review of the literature at the time that the findings from various studies were mixed on whether or not older </w:t>
      </w:r>
      <w:r w:rsidR="00502595" w:rsidRPr="00E869A4">
        <w:rPr>
          <w:rFonts w:ascii="Times New Roman" w:hAnsi="Times New Roman" w:cs="Times New Roman"/>
          <w:szCs w:val="24"/>
        </w:rPr>
        <w:t>parents</w:t>
      </w:r>
      <w:r w:rsidR="00D444AA" w:rsidRPr="00E869A4">
        <w:rPr>
          <w:rFonts w:ascii="Times New Roman" w:hAnsi="Times New Roman" w:cs="Times New Roman"/>
          <w:szCs w:val="24"/>
        </w:rPr>
        <w:t xml:space="preserve"> received help from a same-gender or d</w:t>
      </w:r>
      <w:r w:rsidR="00502595" w:rsidRPr="00E869A4">
        <w:rPr>
          <w:rFonts w:ascii="Times New Roman" w:hAnsi="Times New Roman" w:cs="Times New Roman"/>
          <w:szCs w:val="24"/>
        </w:rPr>
        <w:t>ifferent-gender adult-children</w:t>
      </w:r>
      <w:r w:rsidR="00FE73DC" w:rsidRPr="00E869A4">
        <w:rPr>
          <w:rFonts w:ascii="Times New Roman" w:hAnsi="Times New Roman" w:cs="Times New Roman"/>
          <w:szCs w:val="24"/>
        </w:rPr>
        <w:t>. Their empirical study</w:t>
      </w:r>
      <w:r w:rsidR="00D444AA" w:rsidRPr="00E869A4">
        <w:rPr>
          <w:rFonts w:ascii="Times New Roman" w:hAnsi="Times New Roman" w:cs="Times New Roman"/>
          <w:szCs w:val="24"/>
        </w:rPr>
        <w:t xml:space="preserve"> </w:t>
      </w:r>
      <w:r w:rsidR="00A87B77" w:rsidRPr="00E869A4">
        <w:rPr>
          <w:rFonts w:ascii="Times New Roman" w:hAnsi="Times New Roman" w:cs="Times New Roman"/>
          <w:szCs w:val="24"/>
        </w:rPr>
        <w:t xml:space="preserve">showed </w:t>
      </w:r>
      <w:r w:rsidR="00D444AA" w:rsidRPr="00E869A4">
        <w:rPr>
          <w:rFonts w:ascii="Times New Roman" w:hAnsi="Times New Roman" w:cs="Times New Roman"/>
          <w:szCs w:val="24"/>
        </w:rPr>
        <w:t>no evidence for either same</w:t>
      </w:r>
      <w:r w:rsidR="00A87B77" w:rsidRPr="00E869A4">
        <w:rPr>
          <w:rFonts w:ascii="Times New Roman" w:hAnsi="Times New Roman" w:cs="Times New Roman"/>
          <w:szCs w:val="24"/>
        </w:rPr>
        <w:t>,</w:t>
      </w:r>
      <w:r w:rsidR="00D444AA" w:rsidRPr="00E869A4">
        <w:rPr>
          <w:rFonts w:ascii="Times New Roman" w:hAnsi="Times New Roman" w:cs="Times New Roman"/>
          <w:szCs w:val="24"/>
        </w:rPr>
        <w:t xml:space="preserve"> or cross-gender patterns of caregiving (Ingerson-Dayton, Starrels </w:t>
      </w:r>
      <w:r w:rsidR="00FE73DC" w:rsidRPr="00E869A4">
        <w:rPr>
          <w:rFonts w:ascii="Times New Roman" w:hAnsi="Times New Roman" w:cs="Times New Roman"/>
          <w:szCs w:val="24"/>
        </w:rPr>
        <w:t>&amp;</w:t>
      </w:r>
      <w:r w:rsidR="00D444AA" w:rsidRPr="00E869A4">
        <w:rPr>
          <w:rFonts w:ascii="Times New Roman" w:hAnsi="Times New Roman" w:cs="Times New Roman"/>
          <w:szCs w:val="24"/>
        </w:rPr>
        <w:t xml:space="preserve"> Dowler 1996).</w:t>
      </w:r>
      <w:r w:rsidR="00A21277" w:rsidRPr="00E869A4">
        <w:rPr>
          <w:rFonts w:ascii="Times New Roman" w:hAnsi="Times New Roman" w:cs="Times New Roman"/>
          <w:szCs w:val="24"/>
        </w:rPr>
        <w:t xml:space="preserve"> Generally however, the preference for a female relative has been</w:t>
      </w:r>
      <w:r w:rsidR="00DB4FE0" w:rsidRPr="00E869A4">
        <w:rPr>
          <w:rFonts w:ascii="Times New Roman" w:hAnsi="Times New Roman" w:cs="Times New Roman"/>
          <w:szCs w:val="24"/>
        </w:rPr>
        <w:t xml:space="preserve"> consistently</w:t>
      </w:r>
      <w:r w:rsidR="00A21277" w:rsidRPr="00E869A4">
        <w:rPr>
          <w:rFonts w:ascii="Times New Roman" w:hAnsi="Times New Roman" w:cs="Times New Roman"/>
          <w:szCs w:val="24"/>
        </w:rPr>
        <w:t xml:space="preserve"> found in the literature </w:t>
      </w:r>
      <w:r w:rsidR="00DB4FE0" w:rsidRPr="00E869A4">
        <w:rPr>
          <w:rFonts w:ascii="Times New Roman" w:hAnsi="Times New Roman" w:cs="Times New Roman"/>
          <w:szCs w:val="24"/>
        </w:rPr>
        <w:t xml:space="preserve">(e.g. </w:t>
      </w:r>
      <w:r w:rsidR="00FE73DC" w:rsidRPr="00E869A4">
        <w:rPr>
          <w:rFonts w:ascii="Times New Roman" w:eastAsiaTheme="minorHAnsi" w:hAnsi="Times New Roman" w:cs="Times New Roman"/>
          <w:szCs w:val="24"/>
          <w:lang w:eastAsia="en-US"/>
        </w:rPr>
        <w:t xml:space="preserve">Globerman 1996; Merrill 1997; Spillman &amp; </w:t>
      </w:r>
      <w:r w:rsidR="00FE73DC" w:rsidRPr="00E869A4">
        <w:rPr>
          <w:rFonts w:ascii="Times New Roman" w:eastAsiaTheme="minorHAnsi" w:hAnsi="Times New Roman" w:cs="Times New Roman"/>
          <w:szCs w:val="24"/>
          <w:lang w:eastAsia="en-US"/>
        </w:rPr>
        <w:lastRenderedPageBreak/>
        <w:t>Pezzin 2014</w:t>
      </w:r>
      <w:r w:rsidR="00F306C7" w:rsidRPr="00E869A4">
        <w:rPr>
          <w:rFonts w:ascii="Times New Roman" w:eastAsiaTheme="minorHAnsi" w:hAnsi="Times New Roman" w:cs="Times New Roman"/>
          <w:szCs w:val="24"/>
          <w:lang w:eastAsia="en-US"/>
        </w:rPr>
        <w:t>)</w:t>
      </w:r>
      <w:r w:rsidR="00515CC4" w:rsidRPr="00E869A4">
        <w:rPr>
          <w:rFonts w:ascii="Times New Roman" w:eastAsiaTheme="minorHAnsi" w:hAnsi="Times New Roman" w:cs="Times New Roman"/>
          <w:szCs w:val="24"/>
          <w:lang w:eastAsia="en-US"/>
        </w:rPr>
        <w:t>,</w:t>
      </w:r>
      <w:r w:rsidR="00F306C7" w:rsidRPr="00E869A4">
        <w:rPr>
          <w:rFonts w:ascii="Times New Roman" w:eastAsiaTheme="minorHAnsi" w:hAnsi="Times New Roman" w:cs="Times New Roman"/>
          <w:szCs w:val="24"/>
          <w:lang w:eastAsia="en-US"/>
        </w:rPr>
        <w:t xml:space="preserve"> </w:t>
      </w:r>
      <w:r w:rsidR="00A21277" w:rsidRPr="00E869A4">
        <w:rPr>
          <w:rFonts w:ascii="Times New Roman" w:hAnsi="Times New Roman" w:cs="Times New Roman"/>
          <w:szCs w:val="24"/>
        </w:rPr>
        <w:t>so it is not surprising that the results of this stud</w:t>
      </w:r>
      <w:r w:rsidR="00DB4FE0" w:rsidRPr="00E869A4">
        <w:rPr>
          <w:rFonts w:ascii="Times New Roman" w:hAnsi="Times New Roman" w:cs="Times New Roman"/>
          <w:szCs w:val="24"/>
        </w:rPr>
        <w:t>y</w:t>
      </w:r>
      <w:r w:rsidR="00A21277" w:rsidRPr="00E869A4">
        <w:rPr>
          <w:rFonts w:ascii="Times New Roman" w:hAnsi="Times New Roman" w:cs="Times New Roman"/>
          <w:szCs w:val="24"/>
        </w:rPr>
        <w:t xml:space="preserve"> revealed that </w:t>
      </w:r>
      <w:r w:rsidR="00DB4FE0" w:rsidRPr="00E869A4">
        <w:rPr>
          <w:rFonts w:ascii="Times New Roman" w:hAnsi="Times New Roman" w:cs="Times New Roman"/>
          <w:szCs w:val="24"/>
        </w:rPr>
        <w:t>none of the participants</w:t>
      </w:r>
      <w:r w:rsidR="00A21277" w:rsidRPr="00E869A4">
        <w:rPr>
          <w:rFonts w:ascii="Times New Roman" w:hAnsi="Times New Roman" w:cs="Times New Roman"/>
          <w:szCs w:val="24"/>
        </w:rPr>
        <w:t xml:space="preserve"> selected a male only option. </w:t>
      </w:r>
      <w:bookmarkEnd w:id="404"/>
    </w:p>
    <w:p w14:paraId="750C694D" w14:textId="77777777" w:rsidR="00D371E1" w:rsidRPr="00E869A4" w:rsidRDefault="00D371E1" w:rsidP="00D371E1">
      <w:pPr>
        <w:pStyle w:val="Table"/>
        <w:spacing w:after="0" w:line="360" w:lineRule="auto"/>
        <w:rPr>
          <w:b/>
          <w:i w:val="0"/>
          <w:sz w:val="24"/>
        </w:rPr>
      </w:pPr>
      <w:bookmarkStart w:id="406" w:name="_Toc40436657"/>
      <w:r w:rsidRPr="00E869A4">
        <w:rPr>
          <w:b/>
          <w:i w:val="0"/>
          <w:sz w:val="24"/>
        </w:rPr>
        <w:t xml:space="preserve">Figure </w:t>
      </w:r>
      <w:r w:rsidRPr="00E869A4">
        <w:rPr>
          <w:b/>
          <w:i w:val="0"/>
          <w:sz w:val="24"/>
        </w:rPr>
        <w:fldChar w:fldCharType="begin"/>
      </w:r>
      <w:r w:rsidRPr="00E869A4">
        <w:rPr>
          <w:b/>
          <w:i w:val="0"/>
          <w:sz w:val="24"/>
        </w:rPr>
        <w:instrText xml:space="preserve"> SEQ Figure \* ARABIC </w:instrText>
      </w:r>
      <w:r w:rsidRPr="00E869A4">
        <w:rPr>
          <w:b/>
          <w:i w:val="0"/>
          <w:sz w:val="24"/>
        </w:rPr>
        <w:fldChar w:fldCharType="separate"/>
      </w:r>
      <w:r w:rsidR="00D7239F">
        <w:rPr>
          <w:b/>
          <w:i w:val="0"/>
          <w:noProof/>
          <w:sz w:val="24"/>
        </w:rPr>
        <w:t>27</w:t>
      </w:r>
      <w:r w:rsidRPr="00E869A4">
        <w:rPr>
          <w:b/>
          <w:i w:val="0"/>
          <w:sz w:val="24"/>
        </w:rPr>
        <w:fldChar w:fldCharType="end"/>
      </w:r>
      <w:r w:rsidRPr="00E869A4">
        <w:rPr>
          <w:b/>
          <w:i w:val="0"/>
          <w:sz w:val="24"/>
        </w:rPr>
        <w:t>: Preferred Gender of Caregivers</w:t>
      </w:r>
      <w:bookmarkEnd w:id="406"/>
    </w:p>
    <w:p w14:paraId="7830941F" w14:textId="77777777" w:rsidR="00D371E1" w:rsidRPr="00E869A4" w:rsidRDefault="00D371E1" w:rsidP="00D371E1">
      <w:pPr>
        <w:pStyle w:val="Table"/>
        <w:spacing w:after="0" w:line="360" w:lineRule="auto"/>
        <w:rPr>
          <w:b/>
          <w:i w:val="0"/>
          <w:sz w:val="24"/>
        </w:rPr>
      </w:pPr>
    </w:p>
    <w:p w14:paraId="7AAF71B4" w14:textId="77777777" w:rsidR="00D371E1" w:rsidRPr="00E869A4" w:rsidRDefault="00D371E1" w:rsidP="00D371E1">
      <w:pPr>
        <w:rPr>
          <w:rStyle w:val="IntenseEmphasis"/>
          <w:rFonts w:ascii="Times New Roman" w:eastAsiaTheme="majorEastAsia" w:hAnsi="Times New Roman" w:cs="Times New Roman"/>
          <w:b w:val="0"/>
          <w:bCs w:val="0"/>
          <w:color w:val="auto"/>
        </w:rPr>
      </w:pPr>
      <w:r w:rsidRPr="00E869A4">
        <w:rPr>
          <w:rFonts w:ascii="Times New Roman" w:hAnsi="Times New Roman" w:cs="Times New Roman"/>
          <w:noProof/>
        </w:rPr>
        <w:drawing>
          <wp:inline distT="0" distB="0" distL="0" distR="0" wp14:anchorId="0F78963B" wp14:editId="202802FE">
            <wp:extent cx="5486400" cy="24003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A9FDC1" w14:textId="77777777" w:rsidR="00D371E1" w:rsidRPr="00E869A4" w:rsidRDefault="00D371E1" w:rsidP="00D371E1">
      <w:pPr>
        <w:ind w:left="567" w:firstLine="0"/>
      </w:pPr>
    </w:p>
    <w:p w14:paraId="58344320" w14:textId="5847A885" w:rsidR="00E53916" w:rsidRPr="00E869A4" w:rsidRDefault="009C4720" w:rsidP="005C449C">
      <w:pPr>
        <w:pStyle w:val="Heading3"/>
      </w:pPr>
      <w:bookmarkStart w:id="407" w:name="_Toc492959491"/>
      <w:bookmarkStart w:id="408" w:name="_Toc40436581"/>
      <w:r w:rsidRPr="00E869A4">
        <w:t>9</w:t>
      </w:r>
      <w:r w:rsidR="005A21ED" w:rsidRPr="00E869A4">
        <w:t xml:space="preserve">.6.2     </w:t>
      </w:r>
      <w:r w:rsidR="00E53916" w:rsidRPr="00E869A4">
        <w:t>Responsibility for Cost of Care</w:t>
      </w:r>
      <w:bookmarkEnd w:id="407"/>
      <w:bookmarkEnd w:id="408"/>
    </w:p>
    <w:p w14:paraId="67FFFF16" w14:textId="77777777" w:rsidR="00E53916" w:rsidRPr="00E869A4" w:rsidRDefault="00E53916" w:rsidP="00B61191">
      <w:pPr>
        <w:ind w:left="567" w:firstLine="0"/>
      </w:pPr>
    </w:p>
    <w:p w14:paraId="6A4F6D31" w14:textId="6B7598A8" w:rsidR="00D91061" w:rsidRPr="00E869A4" w:rsidRDefault="00E53916" w:rsidP="00AF0B1A">
      <w:pPr>
        <w:rPr>
          <w:b/>
          <w:i/>
        </w:rPr>
      </w:pPr>
      <w:r w:rsidRPr="00E869A4">
        <w:rPr>
          <w:rFonts w:ascii="Times New Roman" w:hAnsi="Times New Roman" w:cs="Times New Roman"/>
          <w:szCs w:val="24"/>
        </w:rPr>
        <w:t xml:space="preserve">About half of the respondents (49%) were of the view that the government should be primarily responsible for meeting the financial cost of health and social services for their older relatives, and just over a quarter of the respondents (29%) identified the family as being primarily responsible for funding these services (see </w:t>
      </w:r>
      <w:r w:rsidR="00AE2BC3" w:rsidRPr="00E869A4">
        <w:rPr>
          <w:rFonts w:ascii="Times New Roman" w:hAnsi="Times New Roman" w:cs="Times New Roman"/>
          <w:szCs w:val="24"/>
        </w:rPr>
        <w:t xml:space="preserve">Figure </w:t>
      </w:r>
      <w:r w:rsidR="00D91061" w:rsidRPr="00E869A4">
        <w:rPr>
          <w:rFonts w:ascii="Times New Roman" w:hAnsi="Times New Roman" w:cs="Times New Roman"/>
          <w:szCs w:val="24"/>
        </w:rPr>
        <w:t>28 below</w:t>
      </w:r>
      <w:r w:rsidRPr="00E869A4">
        <w:rPr>
          <w:rFonts w:ascii="Times New Roman" w:hAnsi="Times New Roman" w:cs="Times New Roman"/>
          <w:szCs w:val="24"/>
        </w:rPr>
        <w:t xml:space="preserve">). </w:t>
      </w:r>
      <w:r w:rsidR="00AF0B1A" w:rsidRPr="00E869A4">
        <w:rPr>
          <w:rFonts w:ascii="Times New Roman" w:hAnsi="Times New Roman" w:cs="Times New Roman"/>
          <w:szCs w:val="24"/>
        </w:rPr>
        <w:t>Interestingly, persons providing care for more than a year were less likely to identify their older relative as being primarily responsible for these costs</w:t>
      </w:r>
      <w:r w:rsidR="00AF0B1A" w:rsidRPr="00E869A4">
        <w:rPr>
          <w:rStyle w:val="FootnoteReference"/>
          <w:rFonts w:ascii="Times New Roman" w:hAnsi="Times New Roman" w:cs="Times New Roman"/>
          <w:szCs w:val="24"/>
        </w:rPr>
        <w:footnoteReference w:id="81"/>
      </w:r>
      <w:r w:rsidR="00AF0B1A" w:rsidRPr="00E869A4">
        <w:rPr>
          <w:rFonts w:ascii="Times New Roman" w:hAnsi="Times New Roman" w:cs="Times New Roman"/>
          <w:szCs w:val="24"/>
        </w:rPr>
        <w:t xml:space="preserve">. </w:t>
      </w:r>
      <w:r w:rsidR="00AF0B1A" w:rsidRPr="00E869A4">
        <w:rPr>
          <w:rFonts w:ascii="Times New Roman" w:hAnsi="Times New Roman" w:cs="Times New Roman"/>
          <w:bCs/>
          <w:iCs/>
          <w:szCs w:val="24"/>
        </w:rPr>
        <w:t xml:space="preserve">Some of the open-ended responses about who should pay for care are presented in Table 20. </w:t>
      </w:r>
    </w:p>
    <w:p w14:paraId="041CEBC3" w14:textId="77777777" w:rsidR="00D91061" w:rsidRPr="00E869A4" w:rsidRDefault="00D91061" w:rsidP="00077CF0">
      <w:pPr>
        <w:pStyle w:val="Caption"/>
        <w:tabs>
          <w:tab w:val="left" w:pos="2535"/>
          <w:tab w:val="center" w:pos="6763"/>
        </w:tabs>
        <w:rPr>
          <w:b/>
          <w:i w:val="0"/>
          <w:sz w:val="24"/>
        </w:rPr>
      </w:pPr>
    </w:p>
    <w:p w14:paraId="399932B4" w14:textId="77777777" w:rsidR="00AF0B1A" w:rsidRPr="00E869A4" w:rsidRDefault="00AF0B1A">
      <w:pPr>
        <w:rPr>
          <w:b/>
          <w:iCs/>
        </w:rPr>
      </w:pPr>
      <w:r w:rsidRPr="00E869A4">
        <w:rPr>
          <w:b/>
          <w:i/>
        </w:rPr>
        <w:br w:type="page"/>
      </w:r>
    </w:p>
    <w:p w14:paraId="6399C12B" w14:textId="77777777" w:rsidR="00AF0B1A" w:rsidRPr="00E869A4" w:rsidRDefault="00AF0B1A" w:rsidP="00AF0B1A">
      <w:pPr>
        <w:pStyle w:val="Table"/>
        <w:tabs>
          <w:tab w:val="left" w:pos="3421"/>
          <w:tab w:val="center" w:pos="4963"/>
        </w:tabs>
        <w:spacing w:after="0" w:line="360" w:lineRule="auto"/>
        <w:jc w:val="left"/>
        <w:rPr>
          <w:b/>
          <w:i w:val="0"/>
          <w:sz w:val="24"/>
        </w:rPr>
      </w:pPr>
      <w:bookmarkStart w:id="409" w:name="_Toc40436658"/>
      <w:r w:rsidRPr="00E869A4">
        <w:rPr>
          <w:b/>
          <w:i w:val="0"/>
          <w:sz w:val="24"/>
        </w:rPr>
        <w:lastRenderedPageBreak/>
        <w:t xml:space="preserve">Figure </w:t>
      </w:r>
      <w:r w:rsidRPr="00E869A4">
        <w:rPr>
          <w:b/>
          <w:i w:val="0"/>
          <w:sz w:val="24"/>
        </w:rPr>
        <w:fldChar w:fldCharType="begin"/>
      </w:r>
      <w:r w:rsidRPr="00E869A4">
        <w:rPr>
          <w:b/>
          <w:i w:val="0"/>
          <w:sz w:val="24"/>
        </w:rPr>
        <w:instrText xml:space="preserve"> SEQ Figure \* ARABIC </w:instrText>
      </w:r>
      <w:r w:rsidRPr="00E869A4">
        <w:rPr>
          <w:b/>
          <w:i w:val="0"/>
          <w:sz w:val="24"/>
        </w:rPr>
        <w:fldChar w:fldCharType="separate"/>
      </w:r>
      <w:r w:rsidR="00D7239F">
        <w:rPr>
          <w:b/>
          <w:i w:val="0"/>
          <w:noProof/>
          <w:sz w:val="24"/>
        </w:rPr>
        <w:t>28</w:t>
      </w:r>
      <w:r w:rsidRPr="00E869A4">
        <w:rPr>
          <w:b/>
          <w:i w:val="0"/>
          <w:sz w:val="24"/>
        </w:rPr>
        <w:fldChar w:fldCharType="end"/>
      </w:r>
      <w:r w:rsidRPr="00E869A4">
        <w:rPr>
          <w:b/>
          <w:i w:val="0"/>
          <w:sz w:val="24"/>
        </w:rPr>
        <w:t>: Financial Responsibility for Health &amp; Social Services for Older Persons</w:t>
      </w:r>
      <w:bookmarkEnd w:id="409"/>
    </w:p>
    <w:p w14:paraId="1C947DBE" w14:textId="77777777" w:rsidR="00AF0B1A" w:rsidRPr="00E869A4" w:rsidRDefault="00AF0B1A" w:rsidP="00AF0B1A">
      <w:pPr>
        <w:pStyle w:val="Table"/>
        <w:tabs>
          <w:tab w:val="left" w:pos="3421"/>
          <w:tab w:val="center" w:pos="4963"/>
        </w:tabs>
        <w:spacing w:after="0" w:line="360" w:lineRule="auto"/>
        <w:jc w:val="left"/>
        <w:rPr>
          <w:b/>
          <w:i w:val="0"/>
          <w:sz w:val="24"/>
        </w:rPr>
      </w:pPr>
    </w:p>
    <w:p w14:paraId="07A8A3D0" w14:textId="77777777" w:rsidR="00AF0B1A" w:rsidRPr="00E869A4" w:rsidRDefault="00AF0B1A" w:rsidP="00AF0B1A">
      <w:pPr>
        <w:rPr>
          <w:rFonts w:ascii="Times New Roman" w:hAnsi="Times New Roman" w:cs="Times New Roman"/>
        </w:rPr>
      </w:pPr>
      <w:r w:rsidRPr="00E869A4">
        <w:rPr>
          <w:rFonts w:ascii="Times New Roman" w:hAnsi="Times New Roman" w:cs="Times New Roman"/>
          <w:noProof/>
        </w:rPr>
        <w:drawing>
          <wp:inline distT="0" distB="0" distL="0" distR="0" wp14:anchorId="209A6F7E" wp14:editId="5FB3FDD4">
            <wp:extent cx="5486400" cy="1911350"/>
            <wp:effectExtent l="0" t="0" r="1905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A12878" w14:textId="77777777" w:rsidR="00AF0B1A" w:rsidRPr="00E869A4" w:rsidRDefault="00AF0B1A" w:rsidP="00AF0B1A">
      <w:pPr>
        <w:rPr>
          <w:rFonts w:ascii="Times New Roman" w:hAnsi="Times New Roman" w:cs="Times New Roman"/>
          <w:szCs w:val="24"/>
        </w:rPr>
      </w:pPr>
    </w:p>
    <w:p w14:paraId="7799D553" w14:textId="77777777" w:rsidR="00AF0B1A" w:rsidRPr="00E869A4" w:rsidRDefault="00AF0B1A" w:rsidP="00077CF0">
      <w:pPr>
        <w:pStyle w:val="Caption"/>
        <w:tabs>
          <w:tab w:val="left" w:pos="2535"/>
          <w:tab w:val="center" w:pos="6763"/>
        </w:tabs>
        <w:rPr>
          <w:b/>
          <w:i w:val="0"/>
          <w:sz w:val="24"/>
        </w:rPr>
      </w:pPr>
    </w:p>
    <w:p w14:paraId="77D30F92" w14:textId="196E5AAC" w:rsidR="00023CC2" w:rsidRPr="00E869A4" w:rsidRDefault="00831EB3" w:rsidP="00077CF0">
      <w:pPr>
        <w:pStyle w:val="Caption"/>
        <w:tabs>
          <w:tab w:val="left" w:pos="2535"/>
          <w:tab w:val="center" w:pos="6763"/>
        </w:tabs>
        <w:rPr>
          <w:b/>
          <w:i w:val="0"/>
          <w:sz w:val="24"/>
        </w:rPr>
      </w:pPr>
      <w:bookmarkStart w:id="410" w:name="_Toc40436619"/>
      <w:r w:rsidRPr="00E869A4">
        <w:rPr>
          <w:b/>
          <w:i w:val="0"/>
          <w:sz w:val="24"/>
        </w:rPr>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20</w:t>
      </w:r>
      <w:r w:rsidRPr="00E869A4">
        <w:rPr>
          <w:b/>
          <w:i w:val="0"/>
          <w:sz w:val="24"/>
        </w:rPr>
        <w:fldChar w:fldCharType="end"/>
      </w:r>
      <w:r w:rsidR="00D2467F" w:rsidRPr="00E869A4">
        <w:rPr>
          <w:b/>
          <w:i w:val="0"/>
          <w:sz w:val="24"/>
        </w:rPr>
        <w:t>:</w:t>
      </w:r>
      <w:r w:rsidR="005C68D7" w:rsidRPr="00E869A4">
        <w:rPr>
          <w:b/>
          <w:i w:val="0"/>
          <w:sz w:val="24"/>
        </w:rPr>
        <w:t xml:space="preserve"> </w:t>
      </w:r>
      <w:r w:rsidRPr="00E869A4">
        <w:rPr>
          <w:b/>
          <w:i w:val="0"/>
          <w:sz w:val="24"/>
        </w:rPr>
        <w:t>Selected O</w:t>
      </w:r>
      <w:r w:rsidR="005C68D7" w:rsidRPr="00E869A4">
        <w:rPr>
          <w:b/>
          <w:i w:val="0"/>
          <w:sz w:val="24"/>
        </w:rPr>
        <w:t>p</w:t>
      </w:r>
      <w:r w:rsidRPr="00E869A4">
        <w:rPr>
          <w:b/>
          <w:i w:val="0"/>
          <w:sz w:val="24"/>
        </w:rPr>
        <w:t xml:space="preserve">en-Ended Feedback on Agent Responsible for Meeting Financial Cost of Health &amp; Social </w:t>
      </w:r>
      <w:r w:rsidR="00D91061" w:rsidRPr="00E869A4">
        <w:rPr>
          <w:b/>
          <w:i w:val="0"/>
          <w:sz w:val="24"/>
        </w:rPr>
        <w:t>Services</w:t>
      </w:r>
      <w:r w:rsidRPr="00E869A4">
        <w:rPr>
          <w:b/>
          <w:i w:val="0"/>
          <w:sz w:val="24"/>
        </w:rPr>
        <w:t xml:space="preserve"> for Older Persons</w:t>
      </w:r>
      <w:bookmarkEnd w:id="410"/>
    </w:p>
    <w:p w14:paraId="05CB0653" w14:textId="78DE3A00" w:rsidR="00831EB3" w:rsidRPr="00E869A4" w:rsidRDefault="00831EB3" w:rsidP="00831EB3">
      <w:pPr>
        <w:pStyle w:val="Caption"/>
        <w:rPr>
          <w:rFonts w:ascii="Times New Roman" w:eastAsiaTheme="majorEastAsia" w:hAnsi="Times New Roman" w:cs="Times New Roman"/>
          <w:b/>
          <w:bCs/>
          <w:i w:val="0"/>
          <w:sz w:val="24"/>
          <w:szCs w:val="26"/>
        </w:rPr>
      </w:pPr>
    </w:p>
    <w:tbl>
      <w:tblPr>
        <w:tblStyle w:val="TableGrid"/>
        <w:tblW w:w="9275" w:type="dxa"/>
        <w:jc w:val="center"/>
        <w:tblLook w:val="04A0" w:firstRow="1" w:lastRow="0" w:firstColumn="1" w:lastColumn="0" w:noHBand="0" w:noVBand="1"/>
      </w:tblPr>
      <w:tblGrid>
        <w:gridCol w:w="1526"/>
        <w:gridCol w:w="7749"/>
      </w:tblGrid>
      <w:tr w:rsidR="00C714D3" w:rsidRPr="00E869A4" w14:paraId="65EECBA3" w14:textId="77777777" w:rsidTr="00AF0B1A">
        <w:trPr>
          <w:tblHeader/>
          <w:jc w:val="center"/>
        </w:trPr>
        <w:tc>
          <w:tcPr>
            <w:tcW w:w="1526" w:type="dxa"/>
            <w:tcBorders>
              <w:top w:val="single" w:sz="4" w:space="0" w:color="auto"/>
              <w:left w:val="single" w:sz="4" w:space="0" w:color="auto"/>
              <w:bottom w:val="single" w:sz="4" w:space="0" w:color="auto"/>
              <w:right w:val="single" w:sz="4" w:space="0" w:color="auto"/>
            </w:tcBorders>
            <w:hideMark/>
          </w:tcPr>
          <w:p w14:paraId="75D7C97A" w14:textId="77777777" w:rsidR="00E00086" w:rsidRPr="00E869A4" w:rsidRDefault="00E00086" w:rsidP="00FB591D">
            <w:pPr>
              <w:ind w:firstLine="0"/>
              <w:jc w:val="center"/>
              <w:rPr>
                <w:rFonts w:ascii="Times New Roman" w:hAnsi="Times New Roman" w:cs="Times New Roman"/>
                <w:i/>
                <w:szCs w:val="24"/>
              </w:rPr>
            </w:pPr>
            <w:r w:rsidRPr="00E869A4">
              <w:rPr>
                <w:rFonts w:ascii="Times New Roman" w:hAnsi="Times New Roman" w:cs="Times New Roman"/>
                <w:i/>
                <w:szCs w:val="24"/>
              </w:rPr>
              <w:t>Agent</w:t>
            </w:r>
          </w:p>
        </w:tc>
        <w:tc>
          <w:tcPr>
            <w:tcW w:w="7749" w:type="dxa"/>
            <w:tcBorders>
              <w:top w:val="single" w:sz="4" w:space="0" w:color="auto"/>
              <w:left w:val="single" w:sz="4" w:space="0" w:color="auto"/>
              <w:bottom w:val="single" w:sz="4" w:space="0" w:color="auto"/>
              <w:right w:val="single" w:sz="4" w:space="0" w:color="auto"/>
            </w:tcBorders>
            <w:hideMark/>
          </w:tcPr>
          <w:p w14:paraId="72594667" w14:textId="77777777" w:rsidR="00E00086" w:rsidRPr="00E869A4" w:rsidRDefault="00E00086" w:rsidP="00FB591D">
            <w:pPr>
              <w:jc w:val="center"/>
              <w:rPr>
                <w:rFonts w:ascii="Times New Roman" w:hAnsi="Times New Roman" w:cs="Times New Roman"/>
                <w:i/>
                <w:szCs w:val="24"/>
              </w:rPr>
            </w:pPr>
            <w:r w:rsidRPr="00E869A4">
              <w:rPr>
                <w:rFonts w:ascii="Times New Roman" w:hAnsi="Times New Roman" w:cs="Times New Roman"/>
                <w:i/>
                <w:szCs w:val="24"/>
              </w:rPr>
              <w:t>Quote</w:t>
            </w:r>
          </w:p>
        </w:tc>
      </w:tr>
      <w:tr w:rsidR="00C714D3" w:rsidRPr="00E869A4" w14:paraId="65C400EE" w14:textId="77777777" w:rsidTr="00AF0B1A">
        <w:trPr>
          <w:jc w:val="center"/>
        </w:trPr>
        <w:tc>
          <w:tcPr>
            <w:tcW w:w="1526" w:type="dxa"/>
            <w:tcBorders>
              <w:top w:val="single" w:sz="4" w:space="0" w:color="auto"/>
              <w:left w:val="single" w:sz="4" w:space="0" w:color="auto"/>
              <w:bottom w:val="single" w:sz="4" w:space="0" w:color="auto"/>
              <w:right w:val="single" w:sz="4" w:space="0" w:color="auto"/>
            </w:tcBorders>
            <w:hideMark/>
          </w:tcPr>
          <w:p w14:paraId="15070D8D" w14:textId="77777777" w:rsidR="00E00086" w:rsidRPr="00E869A4" w:rsidRDefault="00E00086" w:rsidP="00AF0B1A">
            <w:pPr>
              <w:ind w:firstLine="0"/>
              <w:rPr>
                <w:rFonts w:ascii="Times New Roman" w:hAnsi="Times New Roman" w:cs="Times New Roman"/>
                <w:sz w:val="22"/>
                <w:szCs w:val="24"/>
              </w:rPr>
            </w:pPr>
            <w:r w:rsidRPr="00E869A4">
              <w:rPr>
                <w:rFonts w:ascii="Times New Roman" w:hAnsi="Times New Roman" w:cs="Times New Roman"/>
                <w:sz w:val="22"/>
                <w:szCs w:val="24"/>
              </w:rPr>
              <w:t>Family</w:t>
            </w:r>
          </w:p>
        </w:tc>
        <w:tc>
          <w:tcPr>
            <w:tcW w:w="7749" w:type="dxa"/>
            <w:tcBorders>
              <w:top w:val="single" w:sz="4" w:space="0" w:color="auto"/>
              <w:left w:val="single" w:sz="4" w:space="0" w:color="auto"/>
              <w:bottom w:val="single" w:sz="4" w:space="0" w:color="auto"/>
              <w:right w:val="single" w:sz="4" w:space="0" w:color="auto"/>
            </w:tcBorders>
            <w:hideMark/>
          </w:tcPr>
          <w:p w14:paraId="4A9F8BD3" w14:textId="041AF221" w:rsidR="00E00086" w:rsidRPr="00E869A4" w:rsidRDefault="00E00086" w:rsidP="009D4C5D">
            <w:pPr>
              <w:pStyle w:val="ListParagraph"/>
              <w:numPr>
                <w:ilvl w:val="0"/>
                <w:numId w:val="52"/>
              </w:numPr>
              <w:ind w:left="380"/>
              <w:contextualSpacing w:val="0"/>
              <w:rPr>
                <w:rFonts w:ascii="Times New Roman" w:hAnsi="Times New Roman" w:cs="Times New Roman"/>
                <w:sz w:val="22"/>
                <w:szCs w:val="24"/>
              </w:rPr>
            </w:pPr>
            <w:r w:rsidRPr="00E869A4">
              <w:rPr>
                <w:rFonts w:ascii="Times New Roman" w:hAnsi="Times New Roman" w:cs="Times New Roman"/>
                <w:sz w:val="22"/>
                <w:szCs w:val="24"/>
              </w:rPr>
              <w:t>I would say it should be the families responsibility to provide financial support to the caregivers of the older because the government have done its part in providing free health care, medicine, transporta</w:t>
            </w:r>
            <w:r w:rsidR="00395192" w:rsidRPr="00E869A4">
              <w:rPr>
                <w:rFonts w:ascii="Times New Roman" w:hAnsi="Times New Roman" w:cs="Times New Roman"/>
                <w:sz w:val="22"/>
                <w:szCs w:val="24"/>
              </w:rPr>
              <w:t>tion and food in some instances</w:t>
            </w:r>
          </w:p>
        </w:tc>
      </w:tr>
      <w:tr w:rsidR="00C714D3" w:rsidRPr="00E869A4" w14:paraId="7960E2F1" w14:textId="77777777" w:rsidTr="00AF0B1A">
        <w:trPr>
          <w:jc w:val="center"/>
        </w:trPr>
        <w:tc>
          <w:tcPr>
            <w:tcW w:w="1526" w:type="dxa"/>
            <w:tcBorders>
              <w:top w:val="single" w:sz="4" w:space="0" w:color="auto"/>
              <w:left w:val="single" w:sz="4" w:space="0" w:color="auto"/>
              <w:bottom w:val="single" w:sz="4" w:space="0" w:color="auto"/>
              <w:right w:val="single" w:sz="4" w:space="0" w:color="auto"/>
            </w:tcBorders>
            <w:hideMark/>
          </w:tcPr>
          <w:p w14:paraId="2B649E27" w14:textId="77777777" w:rsidR="00E00086" w:rsidRPr="00E869A4" w:rsidRDefault="00E00086" w:rsidP="00AF0B1A">
            <w:pPr>
              <w:ind w:firstLine="0"/>
              <w:rPr>
                <w:rFonts w:ascii="Times New Roman" w:hAnsi="Times New Roman" w:cs="Times New Roman"/>
                <w:sz w:val="22"/>
                <w:szCs w:val="24"/>
              </w:rPr>
            </w:pPr>
            <w:r w:rsidRPr="00E869A4">
              <w:rPr>
                <w:rFonts w:ascii="Times New Roman" w:hAnsi="Times New Roman" w:cs="Times New Roman"/>
                <w:sz w:val="22"/>
                <w:szCs w:val="24"/>
              </w:rPr>
              <w:t>Government</w:t>
            </w:r>
          </w:p>
        </w:tc>
        <w:tc>
          <w:tcPr>
            <w:tcW w:w="7749" w:type="dxa"/>
            <w:tcBorders>
              <w:top w:val="single" w:sz="4" w:space="0" w:color="auto"/>
              <w:left w:val="single" w:sz="4" w:space="0" w:color="auto"/>
              <w:bottom w:val="single" w:sz="4" w:space="0" w:color="auto"/>
              <w:right w:val="single" w:sz="4" w:space="0" w:color="auto"/>
            </w:tcBorders>
          </w:tcPr>
          <w:p w14:paraId="4E140307" w14:textId="72FAE78D" w:rsidR="00E00086" w:rsidRPr="00E869A4" w:rsidRDefault="00E00086" w:rsidP="009D4C5D">
            <w:pPr>
              <w:pStyle w:val="ListParagraph"/>
              <w:numPr>
                <w:ilvl w:val="0"/>
                <w:numId w:val="51"/>
              </w:numPr>
              <w:ind w:left="380"/>
              <w:contextualSpacing w:val="0"/>
              <w:rPr>
                <w:rFonts w:ascii="Times New Roman" w:hAnsi="Times New Roman" w:cs="Times New Roman"/>
                <w:sz w:val="22"/>
                <w:szCs w:val="24"/>
              </w:rPr>
            </w:pPr>
            <w:r w:rsidRPr="00E869A4">
              <w:rPr>
                <w:rFonts w:ascii="Times New Roman" w:hAnsi="Times New Roman" w:cs="Times New Roman"/>
                <w:sz w:val="22"/>
                <w:szCs w:val="24"/>
              </w:rPr>
              <w:t xml:space="preserve">It should be the responsibility of the state to provide financial support for </w:t>
            </w:r>
            <w:r w:rsidRPr="00E869A4">
              <w:rPr>
                <w:rFonts w:ascii="Times New Roman" w:hAnsi="Times New Roman" w:cs="Times New Roman"/>
                <w:b/>
                <w:i/>
                <w:sz w:val="22"/>
                <w:szCs w:val="24"/>
              </w:rPr>
              <w:t>special need children</w:t>
            </w:r>
            <w:r w:rsidRPr="00E869A4">
              <w:rPr>
                <w:rFonts w:ascii="Times New Roman" w:hAnsi="Times New Roman" w:cs="Times New Roman"/>
                <w:sz w:val="22"/>
                <w:szCs w:val="24"/>
              </w:rPr>
              <w:t xml:space="preserve"> from birth to death. The family may not need it or want it, but th</w:t>
            </w:r>
            <w:r w:rsidR="00395192" w:rsidRPr="00E869A4">
              <w:rPr>
                <w:rFonts w:ascii="Times New Roman" w:hAnsi="Times New Roman" w:cs="Times New Roman"/>
                <w:sz w:val="22"/>
                <w:szCs w:val="24"/>
              </w:rPr>
              <w:t>e option should be there</w:t>
            </w:r>
          </w:p>
          <w:p w14:paraId="70C4FA9B" w14:textId="6C73AF84" w:rsidR="00E00086" w:rsidRPr="00E869A4" w:rsidRDefault="00E00086" w:rsidP="009D4C5D">
            <w:pPr>
              <w:pStyle w:val="ListParagraph"/>
              <w:numPr>
                <w:ilvl w:val="0"/>
                <w:numId w:val="51"/>
              </w:numPr>
              <w:ind w:left="380"/>
              <w:contextualSpacing w:val="0"/>
              <w:rPr>
                <w:rFonts w:ascii="Times New Roman" w:hAnsi="Times New Roman" w:cs="Times New Roman"/>
                <w:sz w:val="22"/>
                <w:szCs w:val="24"/>
              </w:rPr>
            </w:pPr>
            <w:r w:rsidRPr="00E869A4">
              <w:rPr>
                <w:rFonts w:ascii="Times New Roman" w:hAnsi="Times New Roman" w:cs="Times New Roman"/>
                <w:sz w:val="22"/>
                <w:szCs w:val="24"/>
              </w:rPr>
              <w:t>Any gov</w:t>
            </w:r>
            <w:r w:rsidR="00395192" w:rsidRPr="00E869A4">
              <w:rPr>
                <w:rFonts w:ascii="Times New Roman" w:hAnsi="Times New Roman" w:cs="Times New Roman"/>
                <w:sz w:val="22"/>
                <w:szCs w:val="24"/>
              </w:rPr>
              <w:t>ernment agencies where possible</w:t>
            </w:r>
          </w:p>
          <w:p w14:paraId="4FCF0F0F" w14:textId="78534AF0" w:rsidR="00E00086" w:rsidRPr="00E869A4" w:rsidRDefault="00343458" w:rsidP="009D4C5D">
            <w:pPr>
              <w:pStyle w:val="ListParagraph"/>
              <w:numPr>
                <w:ilvl w:val="0"/>
                <w:numId w:val="51"/>
              </w:numPr>
              <w:ind w:left="380"/>
              <w:contextualSpacing w:val="0"/>
              <w:rPr>
                <w:rFonts w:ascii="Times New Roman" w:hAnsi="Times New Roman" w:cs="Times New Roman"/>
                <w:sz w:val="22"/>
                <w:szCs w:val="24"/>
              </w:rPr>
            </w:pPr>
            <w:r w:rsidRPr="00E869A4">
              <w:rPr>
                <w:rFonts w:ascii="Times New Roman" w:hAnsi="Times New Roman" w:cs="Times New Roman"/>
                <w:sz w:val="22"/>
                <w:szCs w:val="24"/>
              </w:rPr>
              <w:t>U</w:t>
            </w:r>
            <w:r w:rsidR="00AD0CE0" w:rsidRPr="00E869A4">
              <w:rPr>
                <w:rFonts w:ascii="Times New Roman" w:hAnsi="Times New Roman" w:cs="Times New Roman"/>
                <w:sz w:val="22"/>
                <w:szCs w:val="24"/>
              </w:rPr>
              <w:t>tilise</w:t>
            </w:r>
            <w:r w:rsidR="00E00086" w:rsidRPr="00E869A4">
              <w:rPr>
                <w:rFonts w:ascii="Times New Roman" w:hAnsi="Times New Roman" w:cs="Times New Roman"/>
                <w:sz w:val="22"/>
                <w:szCs w:val="24"/>
              </w:rPr>
              <w:t xml:space="preserve"> all the millions and billions of taxpayers’ money that is wasted behind ‘gratuity’ for public figures/those in authority and especially all the impractical, corruption-infested corruption ‘projects’ that are allowed to continue unabated and uncontested. The Government should stop double taxing the citizens by forcing them to pay income taxes and also paying for every inkling of social amenity that should be considered a basic publi</w:t>
            </w:r>
            <w:r w:rsidR="00395192" w:rsidRPr="00E869A4">
              <w:rPr>
                <w:rFonts w:ascii="Times New Roman" w:hAnsi="Times New Roman" w:cs="Times New Roman"/>
                <w:sz w:val="22"/>
                <w:szCs w:val="24"/>
              </w:rPr>
              <w:t>c service</w:t>
            </w:r>
          </w:p>
          <w:p w14:paraId="55818AF0" w14:textId="77777777" w:rsidR="00E00086" w:rsidRPr="00E869A4" w:rsidRDefault="00E00086" w:rsidP="009D4C5D">
            <w:pPr>
              <w:pStyle w:val="ListParagraph"/>
              <w:numPr>
                <w:ilvl w:val="0"/>
                <w:numId w:val="51"/>
              </w:numPr>
              <w:ind w:left="380"/>
              <w:contextualSpacing w:val="0"/>
              <w:rPr>
                <w:rFonts w:ascii="Times New Roman" w:hAnsi="Times New Roman" w:cs="Times New Roman"/>
                <w:sz w:val="22"/>
                <w:szCs w:val="24"/>
              </w:rPr>
            </w:pPr>
            <w:r w:rsidRPr="00E869A4">
              <w:rPr>
                <w:rFonts w:ascii="Times New Roman" w:hAnsi="Times New Roman" w:cs="Times New Roman"/>
                <w:sz w:val="22"/>
                <w:szCs w:val="24"/>
              </w:rPr>
              <w:t>Older (and disabled) people and their families should have all the support they need from the state to stay healthy, stay together, and stay integrated with their communities, instead of some or all of them being shut up at home struggling with their issues. That might mean providing therapy, special equipment, more kinds of medication, money, or trained, qualified supplementary care.</w:t>
            </w:r>
          </w:p>
          <w:p w14:paraId="65BC06E1" w14:textId="77777777" w:rsidR="00E00086" w:rsidRPr="00E869A4" w:rsidRDefault="00E00086" w:rsidP="00AF0B1A">
            <w:pPr>
              <w:ind w:left="380"/>
              <w:rPr>
                <w:rFonts w:ascii="Times New Roman" w:hAnsi="Times New Roman" w:cs="Times New Roman"/>
                <w:sz w:val="22"/>
                <w:szCs w:val="24"/>
              </w:rPr>
            </w:pPr>
          </w:p>
        </w:tc>
      </w:tr>
      <w:tr w:rsidR="00C714D3" w:rsidRPr="00E869A4" w14:paraId="357A7879" w14:textId="77777777" w:rsidTr="00AF0B1A">
        <w:trPr>
          <w:jc w:val="center"/>
        </w:trPr>
        <w:tc>
          <w:tcPr>
            <w:tcW w:w="9275" w:type="dxa"/>
            <w:gridSpan w:val="2"/>
            <w:tcBorders>
              <w:top w:val="single" w:sz="4" w:space="0" w:color="auto"/>
              <w:left w:val="single" w:sz="4" w:space="0" w:color="auto"/>
              <w:bottom w:val="single" w:sz="4" w:space="0" w:color="auto"/>
              <w:right w:val="single" w:sz="4" w:space="0" w:color="auto"/>
            </w:tcBorders>
            <w:hideMark/>
          </w:tcPr>
          <w:p w14:paraId="14EF2566" w14:textId="77777777" w:rsidR="00E00086" w:rsidRPr="00E869A4" w:rsidRDefault="00E00086" w:rsidP="00FB591D">
            <w:pPr>
              <w:ind w:firstLine="0"/>
              <w:jc w:val="center"/>
              <w:rPr>
                <w:rFonts w:ascii="Times New Roman" w:hAnsi="Times New Roman" w:cs="Times New Roman"/>
                <w:i/>
                <w:sz w:val="22"/>
                <w:szCs w:val="24"/>
              </w:rPr>
            </w:pPr>
            <w:r w:rsidRPr="00E869A4">
              <w:rPr>
                <w:rFonts w:ascii="Times New Roman" w:hAnsi="Times New Roman" w:cs="Times New Roman"/>
                <w:i/>
                <w:sz w:val="22"/>
                <w:szCs w:val="24"/>
              </w:rPr>
              <w:t>Other</w:t>
            </w:r>
          </w:p>
        </w:tc>
      </w:tr>
      <w:tr w:rsidR="00C714D3" w:rsidRPr="00E869A4" w14:paraId="12212D7F" w14:textId="77777777" w:rsidTr="00AF0B1A">
        <w:trPr>
          <w:jc w:val="center"/>
        </w:trPr>
        <w:tc>
          <w:tcPr>
            <w:tcW w:w="1526" w:type="dxa"/>
            <w:tcBorders>
              <w:top w:val="single" w:sz="4" w:space="0" w:color="auto"/>
              <w:left w:val="single" w:sz="4" w:space="0" w:color="auto"/>
              <w:bottom w:val="single" w:sz="4" w:space="0" w:color="auto"/>
              <w:right w:val="single" w:sz="4" w:space="0" w:color="auto"/>
            </w:tcBorders>
            <w:hideMark/>
          </w:tcPr>
          <w:p w14:paraId="366C7933" w14:textId="77777777" w:rsidR="00E00086" w:rsidRPr="00E869A4" w:rsidRDefault="00E00086" w:rsidP="00AF0B1A">
            <w:pPr>
              <w:ind w:firstLine="0"/>
              <w:rPr>
                <w:rFonts w:ascii="Times New Roman" w:hAnsi="Times New Roman" w:cs="Times New Roman"/>
                <w:sz w:val="22"/>
                <w:szCs w:val="24"/>
              </w:rPr>
            </w:pPr>
            <w:r w:rsidRPr="00E869A4">
              <w:rPr>
                <w:rFonts w:ascii="Times New Roman" w:hAnsi="Times New Roman" w:cs="Times New Roman"/>
                <w:sz w:val="22"/>
                <w:szCs w:val="24"/>
              </w:rPr>
              <w:t>Family &amp; Government</w:t>
            </w:r>
          </w:p>
        </w:tc>
        <w:tc>
          <w:tcPr>
            <w:tcW w:w="7749" w:type="dxa"/>
            <w:tcBorders>
              <w:top w:val="single" w:sz="4" w:space="0" w:color="auto"/>
              <w:left w:val="single" w:sz="4" w:space="0" w:color="auto"/>
              <w:bottom w:val="single" w:sz="4" w:space="0" w:color="auto"/>
              <w:right w:val="single" w:sz="4" w:space="0" w:color="auto"/>
            </w:tcBorders>
            <w:hideMark/>
          </w:tcPr>
          <w:p w14:paraId="7A7258B0" w14:textId="0BFA64A3" w:rsidR="00E00086" w:rsidRPr="00E869A4" w:rsidRDefault="00E00086" w:rsidP="009D4C5D">
            <w:pPr>
              <w:pStyle w:val="ListParagraph"/>
              <w:numPr>
                <w:ilvl w:val="0"/>
                <w:numId w:val="50"/>
              </w:numPr>
              <w:ind w:left="380" w:hanging="380"/>
              <w:contextualSpacing w:val="0"/>
              <w:rPr>
                <w:rFonts w:ascii="Times New Roman" w:hAnsi="Times New Roman" w:cs="Times New Roman"/>
                <w:sz w:val="22"/>
                <w:szCs w:val="24"/>
              </w:rPr>
            </w:pPr>
            <w:r w:rsidRPr="00E869A4">
              <w:rPr>
                <w:rFonts w:ascii="Times New Roman" w:hAnsi="Times New Roman" w:cs="Times New Roman"/>
                <w:sz w:val="22"/>
                <w:szCs w:val="24"/>
              </w:rPr>
              <w:t>Responsibility should be shared betwe</w:t>
            </w:r>
            <w:r w:rsidR="00395192" w:rsidRPr="00E869A4">
              <w:rPr>
                <w:rFonts w:ascii="Times New Roman" w:hAnsi="Times New Roman" w:cs="Times New Roman"/>
                <w:sz w:val="22"/>
                <w:szCs w:val="24"/>
              </w:rPr>
              <w:t>en the government and relatives</w:t>
            </w:r>
          </w:p>
          <w:p w14:paraId="0FC15CDD" w14:textId="7BD0C8EC" w:rsidR="00E00086" w:rsidRPr="00E869A4" w:rsidRDefault="00E00086" w:rsidP="009D4C5D">
            <w:pPr>
              <w:pStyle w:val="ListParagraph"/>
              <w:numPr>
                <w:ilvl w:val="0"/>
                <w:numId w:val="50"/>
              </w:numPr>
              <w:ind w:left="380" w:hanging="380"/>
              <w:contextualSpacing w:val="0"/>
              <w:rPr>
                <w:rFonts w:ascii="Times New Roman" w:hAnsi="Times New Roman" w:cs="Times New Roman"/>
                <w:sz w:val="22"/>
                <w:szCs w:val="24"/>
              </w:rPr>
            </w:pPr>
            <w:r w:rsidRPr="00E869A4">
              <w:rPr>
                <w:rFonts w:ascii="Times New Roman" w:hAnsi="Times New Roman" w:cs="Times New Roman"/>
                <w:sz w:val="22"/>
                <w:szCs w:val="24"/>
              </w:rPr>
              <w:t xml:space="preserve">It depends on what preparation the </w:t>
            </w:r>
            <w:r w:rsidR="00395192" w:rsidRPr="00E869A4">
              <w:rPr>
                <w:rFonts w:ascii="Times New Roman" w:hAnsi="Times New Roman" w:cs="Times New Roman"/>
                <w:sz w:val="22"/>
                <w:szCs w:val="24"/>
              </w:rPr>
              <w:t>elderly</w:t>
            </w:r>
            <w:r w:rsidRPr="00E869A4">
              <w:rPr>
                <w:rFonts w:ascii="Times New Roman" w:hAnsi="Times New Roman" w:cs="Times New Roman"/>
                <w:sz w:val="22"/>
                <w:szCs w:val="24"/>
              </w:rPr>
              <w:t xml:space="preserve"> made for his/her future. If necessary all family members should support, and should access the Government </w:t>
            </w:r>
            <w:r w:rsidR="00395192" w:rsidRPr="00E869A4">
              <w:rPr>
                <w:rFonts w:ascii="Times New Roman" w:hAnsi="Times New Roman" w:cs="Times New Roman"/>
                <w:sz w:val="22"/>
                <w:szCs w:val="24"/>
              </w:rPr>
              <w:t>services provided for the older person</w:t>
            </w:r>
            <w:r w:rsidRPr="00E869A4">
              <w:rPr>
                <w:rFonts w:ascii="Times New Roman" w:hAnsi="Times New Roman" w:cs="Times New Roman"/>
                <w:sz w:val="22"/>
                <w:szCs w:val="24"/>
              </w:rPr>
              <w:t xml:space="preserve"> </w:t>
            </w:r>
          </w:p>
          <w:p w14:paraId="0814469B" w14:textId="54BFDB2C" w:rsidR="00E00086" w:rsidRPr="00E869A4" w:rsidRDefault="00E00086" w:rsidP="009D4C5D">
            <w:pPr>
              <w:pStyle w:val="ListParagraph"/>
              <w:numPr>
                <w:ilvl w:val="0"/>
                <w:numId w:val="50"/>
              </w:numPr>
              <w:ind w:left="380" w:hanging="380"/>
              <w:contextualSpacing w:val="0"/>
              <w:rPr>
                <w:rFonts w:ascii="Times New Roman" w:hAnsi="Times New Roman" w:cs="Times New Roman"/>
                <w:sz w:val="22"/>
                <w:szCs w:val="24"/>
              </w:rPr>
            </w:pPr>
            <w:r w:rsidRPr="00E869A4">
              <w:rPr>
                <w:rFonts w:ascii="Times New Roman" w:hAnsi="Times New Roman" w:cs="Times New Roman"/>
                <w:sz w:val="22"/>
                <w:szCs w:val="24"/>
              </w:rPr>
              <w:t>Sa</w:t>
            </w:r>
            <w:r w:rsidR="00395192" w:rsidRPr="00E869A4">
              <w:rPr>
                <w:rFonts w:ascii="Times New Roman" w:hAnsi="Times New Roman" w:cs="Times New Roman"/>
                <w:sz w:val="22"/>
                <w:szCs w:val="24"/>
              </w:rPr>
              <w:t>y 75% government and 25% family</w:t>
            </w:r>
          </w:p>
          <w:p w14:paraId="0CE56441" w14:textId="0683BDFF" w:rsidR="00E00086" w:rsidRPr="00E869A4" w:rsidRDefault="00E00086" w:rsidP="009D4C5D">
            <w:pPr>
              <w:pStyle w:val="ListParagraph"/>
              <w:numPr>
                <w:ilvl w:val="0"/>
                <w:numId w:val="50"/>
              </w:numPr>
              <w:ind w:left="380" w:hanging="380"/>
              <w:contextualSpacing w:val="0"/>
              <w:rPr>
                <w:rFonts w:ascii="Times New Roman" w:hAnsi="Times New Roman" w:cs="Times New Roman"/>
                <w:sz w:val="22"/>
                <w:szCs w:val="24"/>
              </w:rPr>
            </w:pPr>
            <w:r w:rsidRPr="00E869A4">
              <w:rPr>
                <w:rFonts w:ascii="Times New Roman" w:hAnsi="Times New Roman" w:cs="Times New Roman"/>
                <w:sz w:val="22"/>
                <w:szCs w:val="24"/>
              </w:rPr>
              <w:t xml:space="preserve">The situation should be where the government can pay part and the </w:t>
            </w:r>
            <w:r w:rsidR="00395192" w:rsidRPr="00E869A4">
              <w:rPr>
                <w:rFonts w:ascii="Times New Roman" w:hAnsi="Times New Roman" w:cs="Times New Roman"/>
                <w:sz w:val="22"/>
                <w:szCs w:val="24"/>
              </w:rPr>
              <w:t>elderly</w:t>
            </w:r>
            <w:r w:rsidRPr="00E869A4">
              <w:rPr>
                <w:rFonts w:ascii="Times New Roman" w:hAnsi="Times New Roman" w:cs="Times New Roman"/>
                <w:sz w:val="22"/>
                <w:szCs w:val="24"/>
              </w:rPr>
              <w:t xml:space="preserve"> or </w:t>
            </w:r>
            <w:r w:rsidRPr="00E869A4">
              <w:rPr>
                <w:rFonts w:ascii="Times New Roman" w:hAnsi="Times New Roman" w:cs="Times New Roman"/>
                <w:sz w:val="22"/>
                <w:szCs w:val="24"/>
              </w:rPr>
              <w:lastRenderedPageBreak/>
              <w:t xml:space="preserve">family can pay part </w:t>
            </w:r>
            <w:r w:rsidR="00395192" w:rsidRPr="00E869A4">
              <w:rPr>
                <w:rFonts w:ascii="Times New Roman" w:hAnsi="Times New Roman" w:cs="Times New Roman"/>
                <w:sz w:val="22"/>
                <w:szCs w:val="24"/>
              </w:rPr>
              <w:t>or better yet insurance can pay</w:t>
            </w:r>
          </w:p>
          <w:p w14:paraId="5743D114" w14:textId="0E971E0A" w:rsidR="00E00086" w:rsidRPr="00E869A4" w:rsidRDefault="00E00086" w:rsidP="009D4C5D">
            <w:pPr>
              <w:pStyle w:val="ListParagraph"/>
              <w:numPr>
                <w:ilvl w:val="0"/>
                <w:numId w:val="50"/>
              </w:numPr>
              <w:ind w:left="380" w:hanging="380"/>
              <w:contextualSpacing w:val="0"/>
              <w:rPr>
                <w:rFonts w:ascii="Times New Roman" w:hAnsi="Times New Roman" w:cs="Times New Roman"/>
                <w:sz w:val="22"/>
                <w:szCs w:val="24"/>
              </w:rPr>
            </w:pPr>
            <w:r w:rsidRPr="00E869A4">
              <w:rPr>
                <w:rFonts w:ascii="Times New Roman" w:hAnsi="Times New Roman" w:cs="Times New Roman"/>
                <w:sz w:val="22"/>
                <w:szCs w:val="24"/>
              </w:rPr>
              <w:t>Both fam</w:t>
            </w:r>
            <w:r w:rsidR="00395192" w:rsidRPr="00E869A4">
              <w:rPr>
                <w:rFonts w:ascii="Times New Roman" w:hAnsi="Times New Roman" w:cs="Times New Roman"/>
                <w:sz w:val="22"/>
                <w:szCs w:val="24"/>
              </w:rPr>
              <w:t>ily and Government should share</w:t>
            </w:r>
          </w:p>
          <w:p w14:paraId="5FB8C055" w14:textId="22D41EA3" w:rsidR="00E00086" w:rsidRPr="00E869A4" w:rsidRDefault="00395192" w:rsidP="009D4C5D">
            <w:pPr>
              <w:pStyle w:val="ListParagraph"/>
              <w:numPr>
                <w:ilvl w:val="0"/>
                <w:numId w:val="50"/>
              </w:numPr>
              <w:ind w:left="380" w:hanging="380"/>
              <w:contextualSpacing w:val="0"/>
              <w:rPr>
                <w:rFonts w:ascii="Times New Roman" w:hAnsi="Times New Roman" w:cs="Times New Roman"/>
                <w:sz w:val="22"/>
                <w:szCs w:val="24"/>
              </w:rPr>
            </w:pPr>
            <w:r w:rsidRPr="00E869A4">
              <w:rPr>
                <w:rFonts w:ascii="Times New Roman" w:hAnsi="Times New Roman" w:cs="Times New Roman"/>
                <w:sz w:val="22"/>
                <w:szCs w:val="24"/>
              </w:rPr>
              <w:t>T</w:t>
            </w:r>
            <w:r w:rsidR="00E00086" w:rsidRPr="00E869A4">
              <w:rPr>
                <w:rFonts w:ascii="Times New Roman" w:hAnsi="Times New Roman" w:cs="Times New Roman"/>
                <w:sz w:val="22"/>
                <w:szCs w:val="24"/>
              </w:rPr>
              <w:t>he family bearing at le</w:t>
            </w:r>
            <w:r w:rsidRPr="00E869A4">
              <w:rPr>
                <w:rFonts w:ascii="Times New Roman" w:hAnsi="Times New Roman" w:cs="Times New Roman"/>
                <w:sz w:val="22"/>
                <w:szCs w:val="24"/>
              </w:rPr>
              <w:t>ast 50% of the financial burden</w:t>
            </w:r>
          </w:p>
          <w:p w14:paraId="4DB77570" w14:textId="2CFC6E06" w:rsidR="00E00086" w:rsidRPr="00E869A4" w:rsidRDefault="00E00086" w:rsidP="009D4C5D">
            <w:pPr>
              <w:pStyle w:val="ListParagraph"/>
              <w:numPr>
                <w:ilvl w:val="0"/>
                <w:numId w:val="50"/>
              </w:numPr>
              <w:ind w:left="380" w:hanging="380"/>
              <w:contextualSpacing w:val="0"/>
              <w:rPr>
                <w:rFonts w:ascii="Times New Roman" w:hAnsi="Times New Roman" w:cs="Times New Roman"/>
                <w:sz w:val="22"/>
                <w:szCs w:val="24"/>
              </w:rPr>
            </w:pPr>
            <w:r w:rsidRPr="00E869A4">
              <w:rPr>
                <w:rFonts w:ascii="Times New Roman" w:hAnsi="Times New Roman" w:cs="Times New Roman"/>
                <w:sz w:val="22"/>
                <w:szCs w:val="24"/>
              </w:rPr>
              <w:t>The family yet there should be cost effective solutions and programmes to assist the older people and their caregivers in this society. A lot needs to be done on the governments part as well. I would say a balanced combination of fami</w:t>
            </w:r>
            <w:r w:rsidR="00395192" w:rsidRPr="00E869A4">
              <w:rPr>
                <w:rFonts w:ascii="Times New Roman" w:hAnsi="Times New Roman" w:cs="Times New Roman"/>
                <w:sz w:val="22"/>
                <w:szCs w:val="24"/>
              </w:rPr>
              <w:t>ly and government institutions.</w:t>
            </w:r>
          </w:p>
        </w:tc>
      </w:tr>
      <w:tr w:rsidR="00E00086" w:rsidRPr="00E869A4" w14:paraId="109D8511" w14:textId="77777777" w:rsidTr="00AF0B1A">
        <w:trPr>
          <w:jc w:val="center"/>
        </w:trPr>
        <w:tc>
          <w:tcPr>
            <w:tcW w:w="1526" w:type="dxa"/>
            <w:tcBorders>
              <w:top w:val="single" w:sz="4" w:space="0" w:color="auto"/>
              <w:left w:val="single" w:sz="4" w:space="0" w:color="auto"/>
              <w:bottom w:val="single" w:sz="4" w:space="0" w:color="auto"/>
              <w:right w:val="single" w:sz="4" w:space="0" w:color="auto"/>
            </w:tcBorders>
            <w:hideMark/>
          </w:tcPr>
          <w:p w14:paraId="1DDB1284" w14:textId="77777777" w:rsidR="00E00086" w:rsidRPr="00E869A4" w:rsidRDefault="00E00086" w:rsidP="00AF0B1A">
            <w:pPr>
              <w:ind w:firstLine="0"/>
              <w:rPr>
                <w:rFonts w:ascii="Times New Roman" w:hAnsi="Times New Roman" w:cs="Times New Roman"/>
                <w:sz w:val="22"/>
                <w:szCs w:val="24"/>
              </w:rPr>
            </w:pPr>
            <w:r w:rsidRPr="00E869A4">
              <w:rPr>
                <w:rFonts w:ascii="Times New Roman" w:hAnsi="Times New Roman" w:cs="Times New Roman"/>
                <w:sz w:val="22"/>
                <w:szCs w:val="24"/>
              </w:rPr>
              <w:lastRenderedPageBreak/>
              <w:t>Family + Government + Older Relative</w:t>
            </w:r>
          </w:p>
        </w:tc>
        <w:tc>
          <w:tcPr>
            <w:tcW w:w="7749" w:type="dxa"/>
            <w:tcBorders>
              <w:top w:val="single" w:sz="4" w:space="0" w:color="auto"/>
              <w:left w:val="single" w:sz="4" w:space="0" w:color="auto"/>
              <w:bottom w:val="single" w:sz="4" w:space="0" w:color="auto"/>
              <w:right w:val="single" w:sz="4" w:space="0" w:color="auto"/>
            </w:tcBorders>
            <w:hideMark/>
          </w:tcPr>
          <w:p w14:paraId="78622053" w14:textId="49D22FCD" w:rsidR="00E00086" w:rsidRPr="00E869A4" w:rsidRDefault="00395192" w:rsidP="009D4C5D">
            <w:pPr>
              <w:pStyle w:val="ListParagraph"/>
              <w:numPr>
                <w:ilvl w:val="0"/>
                <w:numId w:val="71"/>
              </w:numPr>
              <w:ind w:left="380" w:hanging="380"/>
              <w:rPr>
                <w:rFonts w:ascii="Times New Roman" w:hAnsi="Times New Roman" w:cs="Times New Roman"/>
                <w:sz w:val="22"/>
                <w:szCs w:val="24"/>
              </w:rPr>
            </w:pPr>
            <w:r w:rsidRPr="00E869A4">
              <w:rPr>
                <w:rFonts w:ascii="Times New Roman" w:hAnsi="Times New Roman" w:cs="Times New Roman"/>
                <w:sz w:val="22"/>
                <w:szCs w:val="24"/>
              </w:rPr>
              <w:t>A</w:t>
            </w:r>
            <w:r w:rsidR="00E00086" w:rsidRPr="00E869A4">
              <w:rPr>
                <w:rFonts w:ascii="Times New Roman" w:hAnsi="Times New Roman" w:cs="Times New Roman"/>
                <w:sz w:val="22"/>
                <w:szCs w:val="24"/>
              </w:rPr>
              <w:t xml:space="preserve"> mix of all three remain</w:t>
            </w:r>
            <w:r w:rsidRPr="00E869A4">
              <w:rPr>
                <w:rFonts w:ascii="Times New Roman" w:hAnsi="Times New Roman" w:cs="Times New Roman"/>
                <w:sz w:val="22"/>
                <w:szCs w:val="24"/>
              </w:rPr>
              <w:t>s possible</w:t>
            </w:r>
          </w:p>
          <w:p w14:paraId="677F1034" w14:textId="1FE5608C" w:rsidR="00E00086" w:rsidRPr="00E869A4" w:rsidRDefault="00395192" w:rsidP="009D4C5D">
            <w:pPr>
              <w:pStyle w:val="ListParagraph"/>
              <w:numPr>
                <w:ilvl w:val="0"/>
                <w:numId w:val="71"/>
              </w:numPr>
              <w:ind w:left="380" w:hanging="380"/>
              <w:rPr>
                <w:rFonts w:ascii="Times New Roman" w:hAnsi="Times New Roman" w:cs="Times New Roman"/>
                <w:sz w:val="22"/>
                <w:szCs w:val="24"/>
              </w:rPr>
            </w:pPr>
            <w:r w:rsidRPr="00E869A4">
              <w:rPr>
                <w:rFonts w:ascii="Times New Roman" w:hAnsi="Times New Roman" w:cs="Times New Roman"/>
                <w:sz w:val="22"/>
                <w:szCs w:val="24"/>
              </w:rPr>
              <w:t>All of the above.</w:t>
            </w:r>
          </w:p>
        </w:tc>
      </w:tr>
    </w:tbl>
    <w:p w14:paraId="73914A6A" w14:textId="77777777" w:rsidR="00780373" w:rsidRPr="00E869A4" w:rsidRDefault="00780373" w:rsidP="00A35FF8">
      <w:pPr>
        <w:rPr>
          <w:rFonts w:ascii="Times New Roman" w:hAnsi="Times New Roman" w:cs="Times New Roman"/>
          <w:bCs/>
          <w:iCs/>
          <w:szCs w:val="24"/>
        </w:rPr>
      </w:pPr>
    </w:p>
    <w:p w14:paraId="1351BD03" w14:textId="1BB1CF79" w:rsidR="00E53916" w:rsidRPr="00E869A4" w:rsidRDefault="00780373" w:rsidP="00A35FF8">
      <w:pPr>
        <w:rPr>
          <w:rFonts w:ascii="Times New Roman" w:hAnsi="Times New Roman" w:cs="Times New Roman"/>
          <w:bCs/>
          <w:iCs/>
          <w:szCs w:val="24"/>
        </w:rPr>
      </w:pPr>
      <w:r w:rsidRPr="00E869A4">
        <w:rPr>
          <w:rFonts w:ascii="Times New Roman" w:hAnsi="Times New Roman" w:cs="Times New Roman"/>
          <w:bCs/>
          <w:iCs/>
          <w:szCs w:val="24"/>
        </w:rPr>
        <w:t>W</w:t>
      </w:r>
      <w:r w:rsidR="00E53916" w:rsidRPr="00E869A4">
        <w:rPr>
          <w:rFonts w:ascii="Times New Roman" w:hAnsi="Times New Roman" w:cs="Times New Roman"/>
          <w:bCs/>
          <w:iCs/>
          <w:szCs w:val="24"/>
        </w:rPr>
        <w:t xml:space="preserve">hen asked who should be </w:t>
      </w:r>
      <w:r w:rsidR="00F5435D" w:rsidRPr="00E869A4">
        <w:rPr>
          <w:rFonts w:ascii="Times New Roman" w:hAnsi="Times New Roman" w:cs="Times New Roman"/>
          <w:bCs/>
          <w:iCs/>
          <w:szCs w:val="24"/>
        </w:rPr>
        <w:t xml:space="preserve">mainly </w:t>
      </w:r>
      <w:r w:rsidR="00E53916" w:rsidRPr="00E869A4">
        <w:rPr>
          <w:rFonts w:ascii="Times New Roman" w:hAnsi="Times New Roman" w:cs="Times New Roman"/>
          <w:bCs/>
          <w:iCs/>
          <w:szCs w:val="24"/>
        </w:rPr>
        <w:t xml:space="preserve">responsible for financially </w:t>
      </w:r>
      <w:r w:rsidR="00F5435D" w:rsidRPr="00E869A4">
        <w:rPr>
          <w:rFonts w:ascii="Times New Roman" w:hAnsi="Times New Roman" w:cs="Times New Roman"/>
          <w:bCs/>
          <w:iCs/>
          <w:szCs w:val="24"/>
        </w:rPr>
        <w:t>supporting</w:t>
      </w:r>
      <w:r w:rsidR="00E53916" w:rsidRPr="00E869A4">
        <w:rPr>
          <w:rFonts w:ascii="Times New Roman" w:hAnsi="Times New Roman" w:cs="Times New Roman"/>
          <w:bCs/>
          <w:iCs/>
          <w:szCs w:val="24"/>
        </w:rPr>
        <w:t xml:space="preserve"> the family caregivers of older persons, the results were somewhat different (</w:t>
      </w:r>
      <w:r w:rsidR="004E7FAB" w:rsidRPr="00E869A4">
        <w:rPr>
          <w:rFonts w:ascii="Times New Roman" w:hAnsi="Times New Roman" w:cs="Times New Roman"/>
          <w:bCs/>
          <w:iCs/>
          <w:szCs w:val="24"/>
        </w:rPr>
        <w:t xml:space="preserve">Figure </w:t>
      </w:r>
      <w:r w:rsidR="00F059F7" w:rsidRPr="00E869A4">
        <w:rPr>
          <w:rFonts w:ascii="Times New Roman" w:hAnsi="Times New Roman" w:cs="Times New Roman"/>
          <w:bCs/>
          <w:iCs/>
          <w:szCs w:val="24"/>
        </w:rPr>
        <w:t>29</w:t>
      </w:r>
      <w:r w:rsidRPr="00E869A4">
        <w:rPr>
          <w:rFonts w:ascii="Times New Roman" w:hAnsi="Times New Roman" w:cs="Times New Roman"/>
          <w:bCs/>
          <w:iCs/>
          <w:szCs w:val="24"/>
        </w:rPr>
        <w:t xml:space="preserve">). The </w:t>
      </w:r>
      <w:r w:rsidR="000E7EA5" w:rsidRPr="00E869A4">
        <w:rPr>
          <w:rFonts w:ascii="Times New Roman" w:hAnsi="Times New Roman" w:cs="Times New Roman"/>
          <w:bCs/>
          <w:i/>
          <w:iCs/>
          <w:szCs w:val="24"/>
        </w:rPr>
        <w:t>family</w:t>
      </w:r>
      <w:r w:rsidR="00E53916" w:rsidRPr="00E869A4">
        <w:rPr>
          <w:rFonts w:ascii="Times New Roman" w:hAnsi="Times New Roman" w:cs="Times New Roman"/>
          <w:bCs/>
          <w:iCs/>
          <w:szCs w:val="24"/>
        </w:rPr>
        <w:t xml:space="preserve"> was selected by a considerable proportion of respondents (48%) as being primarily responsible for financially supporting family caregivers. But, a noticeable proportion (33%) held the view that the </w:t>
      </w:r>
      <w:r w:rsidR="000E7EA5" w:rsidRPr="00E869A4">
        <w:rPr>
          <w:rFonts w:ascii="Times New Roman" w:hAnsi="Times New Roman" w:cs="Times New Roman"/>
          <w:bCs/>
          <w:i/>
          <w:iCs/>
          <w:szCs w:val="24"/>
        </w:rPr>
        <w:t>government</w:t>
      </w:r>
      <w:r w:rsidR="00E53916" w:rsidRPr="00E869A4">
        <w:rPr>
          <w:rFonts w:ascii="Times New Roman" w:hAnsi="Times New Roman" w:cs="Times New Roman"/>
          <w:bCs/>
          <w:iCs/>
          <w:szCs w:val="24"/>
        </w:rPr>
        <w:t xml:space="preserve"> should be the main agent responsible. Some of the open-ended responses suggested that the responsibility should be shared between the </w:t>
      </w:r>
      <w:r w:rsidR="00E53916" w:rsidRPr="00E869A4">
        <w:rPr>
          <w:rFonts w:ascii="Times New Roman" w:hAnsi="Times New Roman" w:cs="Times New Roman"/>
          <w:bCs/>
          <w:i/>
          <w:iCs/>
          <w:szCs w:val="24"/>
        </w:rPr>
        <w:t>government and the family</w:t>
      </w:r>
      <w:r w:rsidR="00E53916" w:rsidRPr="00E869A4">
        <w:rPr>
          <w:rFonts w:ascii="Times New Roman" w:hAnsi="Times New Roman" w:cs="Times New Roman"/>
          <w:bCs/>
          <w:iCs/>
          <w:szCs w:val="24"/>
        </w:rPr>
        <w:t xml:space="preserve">. </w:t>
      </w:r>
    </w:p>
    <w:p w14:paraId="6D2EF236" w14:textId="77777777" w:rsidR="000A1893" w:rsidRPr="00E869A4" w:rsidRDefault="000A1893" w:rsidP="00A35FF8">
      <w:pPr>
        <w:rPr>
          <w:rFonts w:ascii="Times New Roman" w:hAnsi="Times New Roman" w:cs="Times New Roman"/>
          <w:iCs/>
          <w:szCs w:val="18"/>
        </w:rPr>
      </w:pPr>
      <w:bookmarkStart w:id="411" w:name="_Ref493016412"/>
    </w:p>
    <w:p w14:paraId="29C620E0" w14:textId="2C9613C1" w:rsidR="00023CC2" w:rsidRPr="00E869A4" w:rsidRDefault="00023CC2" w:rsidP="00023CC2">
      <w:pPr>
        <w:jc w:val="center"/>
        <w:rPr>
          <w:b/>
        </w:rPr>
      </w:pPr>
      <w:bookmarkStart w:id="412" w:name="_Toc40436659"/>
      <w:bookmarkEnd w:id="411"/>
      <w:r w:rsidRPr="00E869A4">
        <w:rPr>
          <w:b/>
        </w:rPr>
        <w:t xml:space="preserve">Figure </w:t>
      </w:r>
      <w:r w:rsidR="0026235F" w:rsidRPr="00E869A4">
        <w:rPr>
          <w:b/>
        </w:rPr>
        <w:fldChar w:fldCharType="begin"/>
      </w:r>
      <w:r w:rsidR="0026235F" w:rsidRPr="00E869A4">
        <w:rPr>
          <w:b/>
        </w:rPr>
        <w:instrText xml:space="preserve"> SEQ Figure \* ARABIC </w:instrText>
      </w:r>
      <w:r w:rsidR="0026235F" w:rsidRPr="00E869A4">
        <w:rPr>
          <w:b/>
        </w:rPr>
        <w:fldChar w:fldCharType="separate"/>
      </w:r>
      <w:r w:rsidR="00D7239F">
        <w:rPr>
          <w:b/>
          <w:noProof/>
        </w:rPr>
        <w:t>29</w:t>
      </w:r>
      <w:r w:rsidR="0026235F" w:rsidRPr="00E869A4">
        <w:rPr>
          <w:b/>
        </w:rPr>
        <w:fldChar w:fldCharType="end"/>
      </w:r>
      <w:r w:rsidR="00D2467F" w:rsidRPr="00E869A4">
        <w:rPr>
          <w:b/>
        </w:rPr>
        <w:t>:</w:t>
      </w:r>
      <w:r w:rsidRPr="00E869A4">
        <w:rPr>
          <w:b/>
        </w:rPr>
        <w:t xml:space="preserve"> Financial Responsibility for Support Services for Family Caregivers</w:t>
      </w:r>
      <w:bookmarkEnd w:id="412"/>
    </w:p>
    <w:p w14:paraId="1BF8769A" w14:textId="77777777" w:rsidR="00E53916" w:rsidRPr="00E869A4" w:rsidRDefault="00E53916" w:rsidP="00A35FF8">
      <w:pPr>
        <w:rPr>
          <w:rFonts w:ascii="Times New Roman" w:hAnsi="Times New Roman" w:cs="Times New Roman"/>
        </w:rPr>
      </w:pPr>
    </w:p>
    <w:p w14:paraId="25EAA460" w14:textId="77777777" w:rsidR="00E53916" w:rsidRPr="00E869A4" w:rsidRDefault="00E53916" w:rsidP="00A35FF8">
      <w:pPr>
        <w:rPr>
          <w:rFonts w:ascii="Times New Roman" w:hAnsi="Times New Roman" w:cs="Times New Roman"/>
          <w:i/>
          <w:iCs/>
          <w:szCs w:val="24"/>
        </w:rPr>
      </w:pPr>
      <w:r w:rsidRPr="00E869A4">
        <w:rPr>
          <w:rFonts w:ascii="Times New Roman" w:hAnsi="Times New Roman" w:cs="Times New Roman"/>
          <w:noProof/>
        </w:rPr>
        <w:drawing>
          <wp:inline distT="0" distB="0" distL="0" distR="0" wp14:anchorId="709385E8" wp14:editId="16DEDFD3">
            <wp:extent cx="5069840" cy="2019300"/>
            <wp:effectExtent l="0" t="0" r="1651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480979A" w14:textId="77777777" w:rsidR="00D2467F" w:rsidRPr="00E869A4" w:rsidRDefault="00D2467F" w:rsidP="00175C3E">
      <w:pPr>
        <w:pStyle w:val="Heading2"/>
      </w:pPr>
      <w:bookmarkStart w:id="413" w:name="_Toc492959492"/>
    </w:p>
    <w:p w14:paraId="21D4A436" w14:textId="77777777" w:rsidR="004224F5" w:rsidRPr="00E869A4" w:rsidRDefault="004224F5">
      <w:pPr>
        <w:rPr>
          <w:rFonts w:ascii="Times New Roman" w:eastAsiaTheme="majorEastAsia" w:hAnsi="Times New Roman" w:cs="Times New Roman"/>
          <w:b/>
          <w:bCs/>
          <w:szCs w:val="26"/>
          <w:u w:val="single"/>
        </w:rPr>
      </w:pPr>
      <w:r w:rsidRPr="00E869A4">
        <w:br w:type="page"/>
      </w:r>
    </w:p>
    <w:p w14:paraId="5E6B8FC3" w14:textId="10F4FE83" w:rsidR="00E53916" w:rsidRPr="00E869A4" w:rsidRDefault="009C4720" w:rsidP="00175C3E">
      <w:pPr>
        <w:pStyle w:val="Heading2"/>
      </w:pPr>
      <w:bookmarkStart w:id="414" w:name="_Toc40436582"/>
      <w:r w:rsidRPr="00E869A4">
        <w:lastRenderedPageBreak/>
        <w:t>9</w:t>
      </w:r>
      <w:r w:rsidR="005A21ED" w:rsidRPr="00E869A4">
        <w:t>.7</w:t>
      </w:r>
      <w:r w:rsidR="001243B0" w:rsidRPr="00E869A4">
        <w:t xml:space="preserve"> DETERMINANTS OF CARE</w:t>
      </w:r>
      <w:bookmarkEnd w:id="413"/>
      <w:bookmarkEnd w:id="414"/>
    </w:p>
    <w:p w14:paraId="5F771962" w14:textId="77777777" w:rsidR="00E53916" w:rsidRPr="00E869A4" w:rsidRDefault="00E53916" w:rsidP="00A35FF8">
      <w:pPr>
        <w:rPr>
          <w:rFonts w:ascii="Times New Roman" w:hAnsi="Times New Roman" w:cs="Times New Roman"/>
        </w:rPr>
      </w:pPr>
    </w:p>
    <w:p w14:paraId="7715B3DE" w14:textId="28375B9B"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When asked to describe their caregiving experience</w:t>
      </w:r>
      <w:r w:rsidR="00612C05" w:rsidRPr="00E869A4">
        <w:rPr>
          <w:rFonts w:ascii="Times New Roman" w:hAnsi="Times New Roman" w:cs="Times New Roman"/>
          <w:szCs w:val="24"/>
        </w:rPr>
        <w:t>,</w:t>
      </w:r>
      <w:r w:rsidRPr="00E869A4">
        <w:rPr>
          <w:rFonts w:ascii="Times New Roman" w:hAnsi="Times New Roman" w:cs="Times New Roman"/>
          <w:szCs w:val="24"/>
        </w:rPr>
        <w:t xml:space="preserve"> most of the survey participants </w:t>
      </w:r>
      <w:r w:rsidR="00343458" w:rsidRPr="00E869A4">
        <w:rPr>
          <w:rFonts w:ascii="Times New Roman" w:hAnsi="Times New Roman" w:cs="Times New Roman"/>
          <w:szCs w:val="24"/>
        </w:rPr>
        <w:t xml:space="preserve">(see Figure 30 below) </w:t>
      </w:r>
      <w:r w:rsidRPr="00E869A4">
        <w:rPr>
          <w:rFonts w:ascii="Times New Roman" w:hAnsi="Times New Roman" w:cs="Times New Roman"/>
          <w:szCs w:val="24"/>
        </w:rPr>
        <w:t>shared that they provided care because of love and affection for their older relative (25% of responses) or out of a sense of duty (21%). Some of the open-ended responses to the survey that highlighted these sentiments include</w:t>
      </w:r>
      <w:r w:rsidR="00F059F7" w:rsidRPr="00E869A4">
        <w:rPr>
          <w:rFonts w:ascii="Times New Roman" w:hAnsi="Times New Roman" w:cs="Times New Roman"/>
          <w:szCs w:val="24"/>
        </w:rPr>
        <w:t>d</w:t>
      </w:r>
      <w:r w:rsidRPr="00E869A4">
        <w:rPr>
          <w:rFonts w:ascii="Times New Roman" w:hAnsi="Times New Roman" w:cs="Times New Roman"/>
          <w:szCs w:val="24"/>
        </w:rPr>
        <w:t xml:space="preserve"> the following: </w:t>
      </w:r>
    </w:p>
    <w:p w14:paraId="16A241BD" w14:textId="77777777" w:rsidR="00BE6DE8" w:rsidRPr="00E869A4" w:rsidRDefault="00BE6DE8" w:rsidP="00A35FF8">
      <w:pPr>
        <w:rPr>
          <w:rFonts w:ascii="Times New Roman" w:hAnsi="Times New Roman" w:cs="Times New Roman"/>
          <w:szCs w:val="24"/>
        </w:rPr>
      </w:pPr>
    </w:p>
    <w:p w14:paraId="69C0AD53" w14:textId="29701BEB" w:rsidR="00E53916" w:rsidRPr="00E869A4" w:rsidRDefault="00E53916" w:rsidP="009D4C5D">
      <w:pPr>
        <w:pStyle w:val="ListParagraph"/>
        <w:numPr>
          <w:ilvl w:val="0"/>
          <w:numId w:val="44"/>
        </w:numPr>
        <w:contextualSpacing w:val="0"/>
        <w:rPr>
          <w:rFonts w:ascii="Times New Roman" w:hAnsi="Times New Roman" w:cs="Times New Roman"/>
          <w:szCs w:val="24"/>
        </w:rPr>
      </w:pPr>
      <w:r w:rsidRPr="00E869A4">
        <w:rPr>
          <w:rFonts w:ascii="Times New Roman" w:hAnsi="Times New Roman" w:cs="Times New Roman"/>
          <w:i/>
          <w:szCs w:val="24"/>
        </w:rPr>
        <w:t xml:space="preserve">Love </w:t>
      </w:r>
      <w:r w:rsidRPr="00E869A4">
        <w:rPr>
          <w:rFonts w:ascii="Times New Roman" w:hAnsi="Times New Roman" w:cs="Times New Roman"/>
          <w:szCs w:val="24"/>
        </w:rPr>
        <w:t>- “I did it because I wanted to do it and I love being around older persons because I can learn a lot from them</w:t>
      </w:r>
      <w:r w:rsidR="00612C05" w:rsidRPr="00E869A4">
        <w:rPr>
          <w:rFonts w:ascii="Times New Roman" w:hAnsi="Times New Roman" w:cs="Times New Roman"/>
          <w:szCs w:val="24"/>
        </w:rPr>
        <w:t>.</w:t>
      </w:r>
      <w:r w:rsidRPr="00E869A4">
        <w:rPr>
          <w:rFonts w:ascii="Times New Roman" w:hAnsi="Times New Roman" w:cs="Times New Roman"/>
          <w:szCs w:val="24"/>
        </w:rPr>
        <w:t>”</w:t>
      </w:r>
    </w:p>
    <w:p w14:paraId="1FC635CD" w14:textId="4CEBE1A2" w:rsidR="00E53916" w:rsidRPr="00E869A4" w:rsidRDefault="00E53916" w:rsidP="009D4C5D">
      <w:pPr>
        <w:pStyle w:val="ListParagraph"/>
        <w:numPr>
          <w:ilvl w:val="0"/>
          <w:numId w:val="44"/>
        </w:numPr>
        <w:contextualSpacing w:val="0"/>
        <w:rPr>
          <w:rFonts w:ascii="Times New Roman" w:hAnsi="Times New Roman" w:cs="Times New Roman"/>
          <w:szCs w:val="24"/>
        </w:rPr>
      </w:pPr>
      <w:r w:rsidRPr="00E869A4">
        <w:rPr>
          <w:rFonts w:ascii="Times New Roman" w:hAnsi="Times New Roman" w:cs="Times New Roman"/>
          <w:i/>
          <w:szCs w:val="24"/>
        </w:rPr>
        <w:t>Duty</w:t>
      </w:r>
      <w:r w:rsidRPr="00E869A4">
        <w:rPr>
          <w:rFonts w:ascii="Times New Roman" w:hAnsi="Times New Roman" w:cs="Times New Roman"/>
          <w:szCs w:val="24"/>
        </w:rPr>
        <w:t xml:space="preserve"> – “I believe that part of the responsibility of being in a family is looking out for and after, as far as possible, sensible and practical, the needs of the members</w:t>
      </w:r>
      <w:r w:rsidR="00612C05" w:rsidRPr="00E869A4">
        <w:rPr>
          <w:rFonts w:ascii="Times New Roman" w:hAnsi="Times New Roman" w:cs="Times New Roman"/>
          <w:szCs w:val="24"/>
        </w:rPr>
        <w:t>.</w:t>
      </w:r>
      <w:r w:rsidRPr="00E869A4">
        <w:rPr>
          <w:rFonts w:ascii="Times New Roman" w:hAnsi="Times New Roman" w:cs="Times New Roman"/>
          <w:szCs w:val="24"/>
        </w:rPr>
        <w:t>”</w:t>
      </w:r>
    </w:p>
    <w:p w14:paraId="120ABB7D" w14:textId="103BE6D6" w:rsidR="00E53916" w:rsidRPr="00E869A4" w:rsidRDefault="00E53916" w:rsidP="009D4C5D">
      <w:pPr>
        <w:pStyle w:val="ListParagraph"/>
        <w:numPr>
          <w:ilvl w:val="0"/>
          <w:numId w:val="44"/>
        </w:numPr>
        <w:contextualSpacing w:val="0"/>
        <w:rPr>
          <w:rFonts w:ascii="Times New Roman" w:hAnsi="Times New Roman" w:cs="Times New Roman"/>
          <w:szCs w:val="24"/>
        </w:rPr>
      </w:pPr>
      <w:r w:rsidRPr="00E869A4">
        <w:rPr>
          <w:rFonts w:ascii="Times New Roman" w:hAnsi="Times New Roman" w:cs="Times New Roman"/>
          <w:i/>
          <w:szCs w:val="24"/>
        </w:rPr>
        <w:t>Reciprocity</w:t>
      </w:r>
      <w:r w:rsidRPr="00E869A4">
        <w:rPr>
          <w:rFonts w:ascii="Times New Roman" w:hAnsi="Times New Roman" w:cs="Times New Roman"/>
          <w:szCs w:val="24"/>
        </w:rPr>
        <w:t xml:space="preserve"> – “She had made tremendous sacrifices to bring us up, so it was my responsibility to look after her</w:t>
      </w:r>
      <w:r w:rsidR="00612C05" w:rsidRPr="00E869A4">
        <w:rPr>
          <w:rFonts w:ascii="Times New Roman" w:hAnsi="Times New Roman" w:cs="Times New Roman"/>
          <w:szCs w:val="24"/>
        </w:rPr>
        <w:t>.</w:t>
      </w:r>
      <w:r w:rsidRPr="00E869A4">
        <w:rPr>
          <w:rFonts w:ascii="Times New Roman" w:hAnsi="Times New Roman" w:cs="Times New Roman"/>
          <w:szCs w:val="24"/>
        </w:rPr>
        <w:t>”</w:t>
      </w:r>
    </w:p>
    <w:p w14:paraId="40C75EDC" w14:textId="77777777" w:rsidR="00BE6DE8" w:rsidRPr="00E869A4" w:rsidRDefault="00BE6DE8" w:rsidP="00A35FF8">
      <w:pPr>
        <w:rPr>
          <w:rFonts w:ascii="Times New Roman" w:hAnsi="Times New Roman" w:cs="Times New Roman"/>
          <w:szCs w:val="24"/>
        </w:rPr>
      </w:pPr>
    </w:p>
    <w:p w14:paraId="3B8EFD75" w14:textId="751632AB" w:rsidR="00E53916" w:rsidRPr="00E869A4" w:rsidRDefault="004224F5" w:rsidP="00A35FF8">
      <w:pPr>
        <w:rPr>
          <w:rFonts w:ascii="Times New Roman" w:hAnsi="Times New Roman" w:cs="Times New Roman"/>
          <w:szCs w:val="24"/>
        </w:rPr>
      </w:pPr>
      <w:r w:rsidRPr="00E869A4">
        <w:rPr>
          <w:rFonts w:ascii="Times New Roman" w:hAnsi="Times New Roman" w:cs="Times New Roman"/>
          <w:szCs w:val="24"/>
        </w:rPr>
        <w:t xml:space="preserve">Interestingly, in contrast to the survey results, few persons identified love as a key motivator for providing care in the qualitative study. </w:t>
      </w:r>
      <w:r w:rsidR="00E53916" w:rsidRPr="00E869A4">
        <w:rPr>
          <w:rFonts w:ascii="Times New Roman" w:hAnsi="Times New Roman" w:cs="Times New Roman"/>
          <w:szCs w:val="24"/>
        </w:rPr>
        <w:t xml:space="preserve">Furthermore, few survey respondents associated giving care with religious or spiritual beliefs. </w:t>
      </w:r>
      <w:r w:rsidR="00F059F7" w:rsidRPr="00E869A4">
        <w:rPr>
          <w:rFonts w:ascii="Times New Roman" w:hAnsi="Times New Roman" w:cs="Times New Roman"/>
          <w:szCs w:val="24"/>
        </w:rPr>
        <w:t>Unlike the survey respondents, a</w:t>
      </w:r>
      <w:r w:rsidR="00E53916" w:rsidRPr="00E869A4">
        <w:rPr>
          <w:rFonts w:ascii="Times New Roman" w:hAnsi="Times New Roman" w:cs="Times New Roman"/>
          <w:szCs w:val="24"/>
        </w:rPr>
        <w:t xml:space="preserve"> noticeable number of the participants in the qualitative study </w:t>
      </w:r>
      <w:r w:rsidR="00CF26AA" w:rsidRPr="00E869A4">
        <w:rPr>
          <w:rFonts w:ascii="Times New Roman" w:hAnsi="Times New Roman" w:cs="Times New Roman"/>
          <w:szCs w:val="24"/>
        </w:rPr>
        <w:t xml:space="preserve">voluntarily </w:t>
      </w:r>
      <w:r w:rsidR="00E53916" w:rsidRPr="00E869A4">
        <w:rPr>
          <w:rFonts w:ascii="Times New Roman" w:hAnsi="Times New Roman" w:cs="Times New Roman"/>
          <w:szCs w:val="24"/>
        </w:rPr>
        <w:t>shared</w:t>
      </w:r>
      <w:r w:rsidR="00CF26AA" w:rsidRPr="00E869A4">
        <w:rPr>
          <w:rFonts w:ascii="Times New Roman" w:hAnsi="Times New Roman" w:cs="Times New Roman"/>
          <w:szCs w:val="24"/>
        </w:rPr>
        <w:t xml:space="preserve"> </w:t>
      </w:r>
      <w:r w:rsidR="00E53916" w:rsidRPr="00E869A4">
        <w:rPr>
          <w:rFonts w:ascii="Times New Roman" w:hAnsi="Times New Roman" w:cs="Times New Roman"/>
          <w:szCs w:val="24"/>
        </w:rPr>
        <w:t>information about their reli</w:t>
      </w:r>
      <w:r w:rsidR="00612C05" w:rsidRPr="00E869A4">
        <w:rPr>
          <w:rFonts w:ascii="Times New Roman" w:hAnsi="Times New Roman" w:cs="Times New Roman"/>
          <w:szCs w:val="24"/>
        </w:rPr>
        <w:t>gious/spiritual values and how this</w:t>
      </w:r>
      <w:r w:rsidR="00E53916" w:rsidRPr="00E869A4">
        <w:rPr>
          <w:rFonts w:ascii="Times New Roman" w:hAnsi="Times New Roman" w:cs="Times New Roman"/>
          <w:szCs w:val="24"/>
        </w:rPr>
        <w:t xml:space="preserve"> impacted on their role as a family caregiver (see Chapter </w:t>
      </w:r>
      <w:r w:rsidR="00F059F7" w:rsidRPr="00E869A4">
        <w:rPr>
          <w:rFonts w:ascii="Times New Roman" w:hAnsi="Times New Roman" w:cs="Times New Roman"/>
          <w:szCs w:val="24"/>
        </w:rPr>
        <w:t>3</w:t>
      </w:r>
      <w:r w:rsidR="00E53916" w:rsidRPr="00E869A4">
        <w:rPr>
          <w:rFonts w:ascii="Times New Roman" w:hAnsi="Times New Roman" w:cs="Times New Roman"/>
          <w:szCs w:val="24"/>
        </w:rPr>
        <w:t xml:space="preserve"> above). One of the survey </w:t>
      </w:r>
      <w:r w:rsidR="00235096" w:rsidRPr="00E869A4">
        <w:rPr>
          <w:rFonts w:ascii="Times New Roman" w:hAnsi="Times New Roman" w:cs="Times New Roman"/>
          <w:szCs w:val="24"/>
        </w:rPr>
        <w:t>respondents (T)</w:t>
      </w:r>
      <w:r w:rsidR="00E53916" w:rsidRPr="00E869A4">
        <w:rPr>
          <w:rFonts w:ascii="Times New Roman" w:hAnsi="Times New Roman" w:cs="Times New Roman"/>
          <w:szCs w:val="24"/>
        </w:rPr>
        <w:t xml:space="preserve"> who associated family care with their religious beliefs shared the following: </w:t>
      </w:r>
    </w:p>
    <w:p w14:paraId="1537E659" w14:textId="77777777" w:rsidR="00235096" w:rsidRPr="00E869A4" w:rsidRDefault="00235096" w:rsidP="00DB4C33">
      <w:pPr>
        <w:spacing w:line="240" w:lineRule="auto"/>
        <w:rPr>
          <w:rFonts w:ascii="Times New Roman" w:hAnsi="Times New Roman" w:cs="Times New Roman"/>
          <w:szCs w:val="24"/>
        </w:rPr>
      </w:pPr>
    </w:p>
    <w:p w14:paraId="0C647BAC" w14:textId="5C1B2A2B" w:rsidR="00E53916" w:rsidRPr="00E869A4" w:rsidRDefault="00E53916" w:rsidP="00235096">
      <w:pPr>
        <w:spacing w:line="240" w:lineRule="auto"/>
        <w:ind w:left="567" w:firstLine="0"/>
        <w:rPr>
          <w:rFonts w:ascii="Times New Roman" w:hAnsi="Times New Roman" w:cs="Times New Roman"/>
          <w:szCs w:val="24"/>
        </w:rPr>
      </w:pPr>
      <w:r w:rsidRPr="00E869A4">
        <w:rPr>
          <w:rFonts w:ascii="Times New Roman" w:hAnsi="Times New Roman" w:cs="Times New Roman"/>
          <w:szCs w:val="24"/>
        </w:rPr>
        <w:t xml:space="preserve">The </w:t>
      </w:r>
      <w:r w:rsidR="00F059F7" w:rsidRPr="00E869A4">
        <w:rPr>
          <w:rFonts w:ascii="Times New Roman" w:hAnsi="Times New Roman" w:cs="Times New Roman"/>
          <w:szCs w:val="24"/>
        </w:rPr>
        <w:t>elderly</w:t>
      </w:r>
      <w:r w:rsidRPr="00E869A4">
        <w:rPr>
          <w:rFonts w:ascii="Times New Roman" w:hAnsi="Times New Roman" w:cs="Times New Roman"/>
          <w:szCs w:val="24"/>
        </w:rPr>
        <w:t xml:space="preserve"> should never be removed from the comfort of their homes. Placing them in Homes make them feel useless and of no importance. The money that is spent to place them in Homes can instead be used to employ persons to take care of them in the safety and comfort of their homes with their loved ones around. Persons who place their relatives in Homes should put themselves in the same position. All the religions teach us to seek the blessings of our parents, and what better way than doing for them what they did for us as babies. How can a mother find the time to care for all her children, but seldom one child finds the time to care for that parent</w:t>
      </w:r>
      <w:r w:rsidR="00235096" w:rsidRPr="00E869A4">
        <w:rPr>
          <w:rFonts w:ascii="Times New Roman" w:hAnsi="Times New Roman" w:cs="Times New Roman"/>
          <w:szCs w:val="24"/>
        </w:rPr>
        <w:t>?</w:t>
      </w:r>
    </w:p>
    <w:p w14:paraId="05E939E6" w14:textId="77777777" w:rsidR="00BE6DE8" w:rsidRPr="00E869A4" w:rsidRDefault="00BE6DE8" w:rsidP="00DB4C33">
      <w:pPr>
        <w:spacing w:line="240" w:lineRule="auto"/>
        <w:rPr>
          <w:rFonts w:ascii="Times New Roman" w:hAnsi="Times New Roman" w:cs="Times New Roman"/>
          <w:szCs w:val="24"/>
        </w:rPr>
      </w:pPr>
    </w:p>
    <w:p w14:paraId="269DE1C8" w14:textId="32C1B88B" w:rsidR="00235096" w:rsidRPr="00E869A4" w:rsidRDefault="00E53916">
      <w:pPr>
        <w:rPr>
          <w:b/>
        </w:rPr>
      </w:pPr>
      <w:r w:rsidRPr="00E869A4">
        <w:rPr>
          <w:rFonts w:ascii="Times New Roman" w:hAnsi="Times New Roman" w:cs="Times New Roman"/>
          <w:szCs w:val="24"/>
        </w:rPr>
        <w:t>Even fewer survey participants admitted to caring for material gain (</w:t>
      </w:r>
      <w:r w:rsidR="00B24A5E" w:rsidRPr="00E869A4">
        <w:t xml:space="preserve">Figure </w:t>
      </w:r>
      <w:r w:rsidR="00343458" w:rsidRPr="00E869A4">
        <w:t>30</w:t>
      </w:r>
      <w:r w:rsidRPr="00E869A4">
        <w:t>)</w:t>
      </w:r>
      <w:r w:rsidRPr="00E869A4">
        <w:rPr>
          <w:rFonts w:ascii="Times New Roman" w:hAnsi="Times New Roman" w:cs="Times New Roman"/>
          <w:szCs w:val="24"/>
        </w:rPr>
        <w:t xml:space="preserve">. </w:t>
      </w:r>
      <w:r w:rsidR="00CF26AA" w:rsidRPr="00E869A4">
        <w:rPr>
          <w:rFonts w:ascii="Times New Roman" w:hAnsi="Times New Roman" w:cs="Times New Roman"/>
          <w:szCs w:val="24"/>
        </w:rPr>
        <w:t xml:space="preserve">This was not unusual as this is considered </w:t>
      </w:r>
      <w:r w:rsidR="00343458" w:rsidRPr="00E869A4">
        <w:rPr>
          <w:rFonts w:ascii="Times New Roman" w:hAnsi="Times New Roman" w:cs="Times New Roman"/>
          <w:szCs w:val="24"/>
        </w:rPr>
        <w:t xml:space="preserve">a socially undesirable motive. Thus, </w:t>
      </w:r>
      <w:r w:rsidR="00CF26AA" w:rsidRPr="00E869A4">
        <w:rPr>
          <w:rFonts w:ascii="Times New Roman" w:hAnsi="Times New Roman" w:cs="Times New Roman"/>
          <w:szCs w:val="24"/>
        </w:rPr>
        <w:t xml:space="preserve">respondents would most likely be unwilling to admit that this was a main </w:t>
      </w:r>
      <w:r w:rsidR="00CB0D1E" w:rsidRPr="00E869A4">
        <w:rPr>
          <w:rFonts w:ascii="Times New Roman" w:hAnsi="Times New Roman" w:cs="Times New Roman"/>
          <w:szCs w:val="24"/>
        </w:rPr>
        <w:t>reason for providing care support</w:t>
      </w:r>
      <w:r w:rsidR="00CF26AA" w:rsidRPr="00E869A4">
        <w:rPr>
          <w:rFonts w:ascii="Times New Roman" w:hAnsi="Times New Roman" w:cs="Times New Roman"/>
          <w:szCs w:val="24"/>
        </w:rPr>
        <w:t xml:space="preserve">. </w:t>
      </w:r>
      <w:r w:rsidRPr="00E869A4">
        <w:rPr>
          <w:rFonts w:ascii="Times New Roman" w:hAnsi="Times New Roman" w:cs="Times New Roman"/>
          <w:szCs w:val="24"/>
        </w:rPr>
        <w:t xml:space="preserve">However, in the open-ended comment boxes, some persons expressed their concerns about financial and other forms of abuse of older </w:t>
      </w:r>
      <w:r w:rsidRPr="00E869A4">
        <w:rPr>
          <w:rFonts w:ascii="Times New Roman" w:hAnsi="Times New Roman" w:cs="Times New Roman"/>
          <w:szCs w:val="24"/>
        </w:rPr>
        <w:lastRenderedPageBreak/>
        <w:t xml:space="preserve">persons who lived in their own/family home or in institutions. Examples of these statements are presented in </w:t>
      </w:r>
      <w:r w:rsidR="001E0E66" w:rsidRPr="00E869A4">
        <w:rPr>
          <w:rFonts w:ascii="Times New Roman" w:hAnsi="Times New Roman" w:cs="Times New Roman"/>
          <w:szCs w:val="24"/>
        </w:rPr>
        <w:t xml:space="preserve">Box 3 below. </w:t>
      </w:r>
    </w:p>
    <w:p w14:paraId="4EDDCC99" w14:textId="5727CAA6" w:rsidR="00DB1EAB" w:rsidRPr="00E869A4" w:rsidRDefault="00DB1EAB" w:rsidP="00A03081">
      <w:pPr>
        <w:jc w:val="center"/>
        <w:rPr>
          <w:b/>
        </w:rPr>
      </w:pPr>
      <w:bookmarkStart w:id="415" w:name="_Toc40436660"/>
      <w:r w:rsidRPr="00E869A4">
        <w:rPr>
          <w:b/>
        </w:rPr>
        <w:t xml:space="preserve">Figure </w:t>
      </w:r>
      <w:r w:rsidR="0026235F" w:rsidRPr="00E869A4">
        <w:rPr>
          <w:b/>
        </w:rPr>
        <w:fldChar w:fldCharType="begin"/>
      </w:r>
      <w:r w:rsidR="0026235F" w:rsidRPr="00E869A4">
        <w:rPr>
          <w:b/>
        </w:rPr>
        <w:instrText xml:space="preserve"> SEQ Figure \* ARABIC </w:instrText>
      </w:r>
      <w:r w:rsidR="0026235F" w:rsidRPr="00E869A4">
        <w:rPr>
          <w:b/>
        </w:rPr>
        <w:fldChar w:fldCharType="separate"/>
      </w:r>
      <w:r w:rsidR="00D7239F">
        <w:rPr>
          <w:b/>
          <w:noProof/>
        </w:rPr>
        <w:t>30</w:t>
      </w:r>
      <w:r w:rsidR="0026235F" w:rsidRPr="00E869A4">
        <w:rPr>
          <w:b/>
        </w:rPr>
        <w:fldChar w:fldCharType="end"/>
      </w:r>
      <w:r w:rsidR="00D2467F" w:rsidRPr="00E869A4">
        <w:rPr>
          <w:b/>
        </w:rPr>
        <w:t>:</w:t>
      </w:r>
      <w:r w:rsidRPr="00E869A4">
        <w:rPr>
          <w:b/>
        </w:rPr>
        <w:t xml:space="preserve"> Motivation for Providing Care</w:t>
      </w:r>
      <w:bookmarkEnd w:id="415"/>
    </w:p>
    <w:p w14:paraId="7C13E071" w14:textId="77777777" w:rsidR="001D4E5C" w:rsidRPr="00E869A4" w:rsidRDefault="001D4E5C" w:rsidP="00A03081">
      <w:pPr>
        <w:jc w:val="center"/>
        <w:rPr>
          <w:b/>
        </w:rPr>
      </w:pPr>
    </w:p>
    <w:p w14:paraId="29F726C3" w14:textId="5DCD2776" w:rsidR="0026235F" w:rsidRPr="00E869A4" w:rsidRDefault="001D4E5C" w:rsidP="001D4E5C">
      <w:pPr>
        <w:rPr>
          <w:b/>
        </w:rPr>
      </w:pPr>
      <w:bookmarkStart w:id="416" w:name="_Ref492909461"/>
      <w:r w:rsidRPr="00E869A4">
        <w:rPr>
          <w:b/>
          <w:noProof/>
        </w:rPr>
        <w:drawing>
          <wp:inline distT="0" distB="0" distL="0" distR="0" wp14:anchorId="226FB0DC" wp14:editId="31E0BD57">
            <wp:extent cx="5501640" cy="2743200"/>
            <wp:effectExtent l="0" t="0" r="22860" b="19050"/>
            <wp:docPr id="11"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bookmarkEnd w:id="416"/>
    <w:p w14:paraId="49D7373D" w14:textId="4C112C5C" w:rsidR="0026235F" w:rsidRPr="00E869A4" w:rsidRDefault="0026235F" w:rsidP="006E7874">
      <w:pPr>
        <w:ind w:firstLine="0"/>
        <w:rPr>
          <w:rFonts w:ascii="Times New Roman" w:eastAsiaTheme="majorEastAsia" w:hAnsi="Times New Roman" w:cs="Times New Roman"/>
          <w:b/>
          <w:bCs/>
          <w:szCs w:val="26"/>
        </w:rPr>
      </w:pPr>
    </w:p>
    <w:p w14:paraId="2BCD26F6" w14:textId="211C564F" w:rsidR="00373EF8" w:rsidRPr="00E869A4" w:rsidRDefault="00373EF8" w:rsidP="00373EF8">
      <w:pPr>
        <w:jc w:val="center"/>
        <w:rPr>
          <w:rFonts w:ascii="Times New Roman" w:eastAsiaTheme="majorEastAsia" w:hAnsi="Times New Roman" w:cs="Times New Roman"/>
          <w:b/>
          <w:bCs/>
          <w:szCs w:val="26"/>
        </w:rPr>
      </w:pPr>
      <w:bookmarkStart w:id="417" w:name="_Toc40436665"/>
      <w:r w:rsidRPr="00E869A4">
        <w:rPr>
          <w:rFonts w:ascii="Times New Roman" w:eastAsiaTheme="majorEastAsia" w:hAnsi="Times New Roman" w:cs="Times New Roman"/>
          <w:b/>
          <w:bCs/>
          <w:szCs w:val="26"/>
        </w:rPr>
        <w:t xml:space="preserve">Box </w:t>
      </w:r>
      <w:r w:rsidRPr="00E869A4">
        <w:rPr>
          <w:rFonts w:ascii="Times New Roman" w:eastAsiaTheme="majorEastAsia" w:hAnsi="Times New Roman" w:cs="Times New Roman"/>
          <w:b/>
          <w:bCs/>
          <w:szCs w:val="26"/>
        </w:rPr>
        <w:fldChar w:fldCharType="begin"/>
      </w:r>
      <w:r w:rsidRPr="00E869A4">
        <w:rPr>
          <w:rFonts w:ascii="Times New Roman" w:eastAsiaTheme="majorEastAsia" w:hAnsi="Times New Roman" w:cs="Times New Roman"/>
          <w:b/>
          <w:bCs/>
          <w:szCs w:val="26"/>
        </w:rPr>
        <w:instrText xml:space="preserve"> SEQ Box \* ARABIC </w:instrText>
      </w:r>
      <w:r w:rsidRPr="00E869A4">
        <w:rPr>
          <w:rFonts w:ascii="Times New Roman" w:eastAsiaTheme="majorEastAsia" w:hAnsi="Times New Roman" w:cs="Times New Roman"/>
          <w:b/>
          <w:bCs/>
          <w:szCs w:val="26"/>
        </w:rPr>
        <w:fldChar w:fldCharType="separate"/>
      </w:r>
      <w:r w:rsidR="00D7239F">
        <w:rPr>
          <w:rFonts w:ascii="Times New Roman" w:eastAsiaTheme="majorEastAsia" w:hAnsi="Times New Roman" w:cs="Times New Roman"/>
          <w:b/>
          <w:bCs/>
          <w:noProof/>
          <w:szCs w:val="26"/>
        </w:rPr>
        <w:t>3</w:t>
      </w:r>
      <w:r w:rsidRPr="00E869A4">
        <w:rPr>
          <w:rFonts w:ascii="Times New Roman" w:eastAsiaTheme="majorEastAsia" w:hAnsi="Times New Roman" w:cs="Times New Roman"/>
          <w:b/>
          <w:bCs/>
          <w:szCs w:val="26"/>
        </w:rPr>
        <w:fldChar w:fldCharType="end"/>
      </w:r>
      <w:r w:rsidR="00D2467F" w:rsidRPr="00E869A4">
        <w:rPr>
          <w:rFonts w:ascii="Times New Roman" w:eastAsiaTheme="majorEastAsia" w:hAnsi="Times New Roman" w:cs="Times New Roman"/>
          <w:b/>
          <w:bCs/>
          <w:szCs w:val="26"/>
        </w:rPr>
        <w:t>:</w:t>
      </w:r>
      <w:r w:rsidRPr="00E869A4">
        <w:rPr>
          <w:rFonts w:ascii="Times New Roman" w:eastAsiaTheme="majorEastAsia" w:hAnsi="Times New Roman" w:cs="Times New Roman"/>
          <w:b/>
          <w:bCs/>
          <w:szCs w:val="26"/>
        </w:rPr>
        <w:t xml:space="preserve"> Selected Open-Ended Responses on Financial Abuse of Older Persons</w:t>
      </w:r>
      <w:bookmarkEnd w:id="417"/>
    </w:p>
    <w:p w14:paraId="16BF6AAC" w14:textId="2C4F6D50" w:rsidR="00E53916" w:rsidRPr="00E869A4" w:rsidRDefault="006E7874" w:rsidP="00373EF8">
      <w:pPr>
        <w:jc w:val="center"/>
        <w:rPr>
          <w:rFonts w:ascii="Times New Roman" w:eastAsiaTheme="majorEastAsia" w:hAnsi="Times New Roman" w:cs="Times New Roman"/>
          <w:b/>
          <w:bCs/>
          <w:szCs w:val="26"/>
        </w:rPr>
      </w:pPr>
      <w:r w:rsidRPr="00E869A4">
        <w:rPr>
          <w:rFonts w:ascii="Times New Roman" w:eastAsiaTheme="majorEastAsia" w:hAnsi="Times New Roman" w:cs="Times New Roman"/>
          <w:b/>
          <w:bCs/>
          <w:noProof/>
          <w:szCs w:val="26"/>
        </w:rPr>
        <mc:AlternateContent>
          <mc:Choice Requires="wps">
            <w:drawing>
              <wp:anchor distT="0" distB="0" distL="114300" distR="114300" simplePos="0" relativeHeight="251639808" behindDoc="0" locked="0" layoutInCell="1" allowOverlap="1" wp14:anchorId="645151CC" wp14:editId="0211A0D8">
                <wp:simplePos x="0" y="0"/>
                <wp:positionH relativeFrom="column">
                  <wp:posOffset>413386</wp:posOffset>
                </wp:positionH>
                <wp:positionV relativeFrom="paragraph">
                  <wp:posOffset>153035</wp:posOffset>
                </wp:positionV>
                <wp:extent cx="5581650" cy="2812415"/>
                <wp:effectExtent l="0" t="0" r="19050" b="260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812415"/>
                        </a:xfrm>
                        <a:prstGeom prst="rect">
                          <a:avLst/>
                        </a:prstGeom>
                        <a:solidFill>
                          <a:srgbClr val="FFFFFF"/>
                        </a:solidFill>
                        <a:ln w="9525">
                          <a:solidFill>
                            <a:srgbClr val="000000"/>
                          </a:solidFill>
                          <a:miter lim="800000"/>
                          <a:headEnd/>
                          <a:tailEnd/>
                        </a:ln>
                      </wps:spPr>
                      <wps:txbx>
                        <w:txbxContent>
                          <w:p w14:paraId="5D161073" w14:textId="64A11665" w:rsidR="00D7239F" w:rsidRPr="003F68FF" w:rsidRDefault="00D7239F" w:rsidP="009D4C5D">
                            <w:pPr>
                              <w:pStyle w:val="ListParagraph"/>
                              <w:numPr>
                                <w:ilvl w:val="0"/>
                                <w:numId w:val="49"/>
                              </w:numPr>
                              <w:spacing w:after="160" w:line="256" w:lineRule="auto"/>
                              <w:ind w:left="426"/>
                              <w:rPr>
                                <w:sz w:val="22"/>
                              </w:rPr>
                            </w:pPr>
                            <w:r>
                              <w:rPr>
                                <w:sz w:val="22"/>
                              </w:rPr>
                              <w:t>“</w:t>
                            </w:r>
                            <w:r w:rsidRPr="003F68FF">
                              <w:rPr>
                                <w:sz w:val="22"/>
                              </w:rPr>
                              <w:t>I have heard several situations of the elderly who were being cared for at home by children and the children financially abused the elderly person by taking money from them or bullying them into giving them money.  There should be some sort of hotline perhaps for the elderly in this situation.</w:t>
                            </w:r>
                            <w:r>
                              <w:rPr>
                                <w:sz w:val="22"/>
                              </w:rPr>
                              <w:t>”</w:t>
                            </w:r>
                          </w:p>
                          <w:p w14:paraId="3281F3A1" w14:textId="0327CF4C" w:rsidR="00D7239F" w:rsidRPr="003F68FF" w:rsidRDefault="00D7239F" w:rsidP="009D4C5D">
                            <w:pPr>
                              <w:pStyle w:val="ListParagraph"/>
                              <w:numPr>
                                <w:ilvl w:val="0"/>
                                <w:numId w:val="49"/>
                              </w:numPr>
                              <w:spacing w:after="160" w:line="256" w:lineRule="auto"/>
                              <w:ind w:left="426"/>
                              <w:rPr>
                                <w:sz w:val="22"/>
                              </w:rPr>
                            </w:pPr>
                            <w:r>
                              <w:rPr>
                                <w:sz w:val="22"/>
                              </w:rPr>
                              <w:t>“</w:t>
                            </w:r>
                            <w:r w:rsidRPr="003F68FF">
                              <w:rPr>
                                <w:sz w:val="22"/>
                              </w:rPr>
                              <w:t>Social services also need to ensure that the elderly in their private homes and those of relatives are also properly taken care of and are not abused.  There are numerous stories heard of elder abuse and family members taking the old age pension of their family members and neglecting them.  This should be urgently addressed by all stakeholders (government, NGO's and citizens).</w:t>
                            </w:r>
                            <w:r>
                              <w:rPr>
                                <w:sz w:val="22"/>
                              </w:rPr>
                              <w:t>”</w:t>
                            </w:r>
                          </w:p>
                          <w:p w14:paraId="3E6C37E3" w14:textId="00635C55" w:rsidR="00D7239F" w:rsidRPr="003F68FF" w:rsidRDefault="00D7239F" w:rsidP="009D4C5D">
                            <w:pPr>
                              <w:pStyle w:val="ListParagraph"/>
                              <w:numPr>
                                <w:ilvl w:val="0"/>
                                <w:numId w:val="49"/>
                              </w:numPr>
                              <w:spacing w:after="160" w:line="256" w:lineRule="auto"/>
                              <w:ind w:left="426"/>
                              <w:rPr>
                                <w:sz w:val="22"/>
                              </w:rPr>
                            </w:pPr>
                            <w:r>
                              <w:rPr>
                                <w:sz w:val="22"/>
                              </w:rPr>
                              <w:t>“</w:t>
                            </w:r>
                            <w:r w:rsidRPr="003F68FF">
                              <w:rPr>
                                <w:sz w:val="22"/>
                              </w:rPr>
                              <w:t>Care for older persons has become predatory for those persons who purportedly</w:t>
                            </w:r>
                            <w:r>
                              <w:rPr>
                                <w:sz w:val="22"/>
                              </w:rPr>
                              <w:t xml:space="preserve"> ‘</w:t>
                            </w:r>
                            <w:r w:rsidRPr="00BC3528">
                              <w:rPr>
                                <w:sz w:val="22"/>
                              </w:rPr>
                              <w:t>take care’</w:t>
                            </w:r>
                            <w:r w:rsidRPr="003F68FF">
                              <w:rPr>
                                <w:sz w:val="22"/>
                              </w:rPr>
                              <w:t xml:space="preserve"> of the elderly.  It is unbelievable what passes for care these days.  The elderly are treated like garbage.  All these persons want is the pension cheque of </w:t>
                            </w:r>
                            <w:r>
                              <w:rPr>
                                <w:sz w:val="22"/>
                              </w:rPr>
                              <w:t>the elderly.  Imagine one ‘Home’</w:t>
                            </w:r>
                            <w:r w:rsidRPr="003F68FF">
                              <w:rPr>
                                <w:sz w:val="22"/>
                              </w:rPr>
                              <w:t xml:space="preserve"> has about 4 branches in the same district.</w:t>
                            </w:r>
                            <w:r>
                              <w:rPr>
                                <w:sz w:val="22"/>
                              </w:rPr>
                              <w:t>”</w:t>
                            </w:r>
                          </w:p>
                          <w:p w14:paraId="58A8D57B" w14:textId="1C7987D8" w:rsidR="00D7239F" w:rsidRPr="003F68FF" w:rsidRDefault="00D7239F" w:rsidP="009D4C5D">
                            <w:pPr>
                              <w:pStyle w:val="ListParagraph"/>
                              <w:numPr>
                                <w:ilvl w:val="0"/>
                                <w:numId w:val="49"/>
                              </w:numPr>
                              <w:spacing w:after="160" w:line="256" w:lineRule="auto"/>
                              <w:ind w:left="426"/>
                              <w:rPr>
                                <w:sz w:val="22"/>
                              </w:rPr>
                            </w:pPr>
                            <w:r>
                              <w:rPr>
                                <w:sz w:val="22"/>
                              </w:rPr>
                              <w:t>“</w:t>
                            </w:r>
                            <w:r w:rsidRPr="003F68FF">
                              <w:rPr>
                                <w:sz w:val="22"/>
                              </w:rPr>
                              <w:t>Young people are taking [caregiving] courses just for the money, they don't care about these elderly people, and therefore the elderlies get abuse by them</w:t>
                            </w:r>
                            <w:r>
                              <w:rPr>
                                <w:sz w:val="22"/>
                              </w:rPr>
                              <w:t xml:space="preserve"> [sic]</w:t>
                            </w:r>
                            <w:r w:rsidRPr="003F68FF">
                              <w:rPr>
                                <w:sz w:val="22"/>
                              </w:rPr>
                              <w:t>.</w:t>
                            </w:r>
                            <w:r>
                              <w:rPr>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32.55pt;margin-top:12.05pt;width:439.5pt;height:221.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">
                <v:textbox>
                  <w:txbxContent>
                    <w:p w14:paraId="5D161073" w14:textId="64A11665" w:rsidR="00011C8F" w:rsidRPr="003F68FF" w:rsidRDefault="00011C8F" w:rsidP="009D4C5D">
                      <w:pPr>
                        <w:pStyle w:val="ListParagraph"/>
                        <w:numPr>
                          <w:ilvl w:val="0"/>
                          <w:numId w:val="49"/>
                        </w:numPr>
                        <w:spacing w:after="160" w:line="256" w:lineRule="auto"/>
                        <w:ind w:left="426"/>
                        <w:rPr>
                          <w:sz w:val="22"/>
                        </w:rPr>
                      </w:pPr>
                      <w:r>
                        <w:rPr>
                          <w:sz w:val="22"/>
                        </w:rPr>
                        <w:t>“</w:t>
                      </w:r>
                      <w:r w:rsidRPr="003F68FF">
                        <w:rPr>
                          <w:sz w:val="22"/>
                        </w:rPr>
                        <w:t>I have heard several situations of the elderly who were being cared for at home by children and the children financially abused the elderly person by taking money from them or bullying them into giving them money.  There should be some sort of hotline perhaps for the elderly in this situation.</w:t>
                      </w:r>
                      <w:r>
                        <w:rPr>
                          <w:sz w:val="22"/>
                        </w:rPr>
                        <w:t>”</w:t>
                      </w:r>
                    </w:p>
                    <w:p w14:paraId="3281F3A1" w14:textId="0327CF4C" w:rsidR="00011C8F" w:rsidRPr="003F68FF" w:rsidRDefault="00011C8F" w:rsidP="009D4C5D">
                      <w:pPr>
                        <w:pStyle w:val="ListParagraph"/>
                        <w:numPr>
                          <w:ilvl w:val="0"/>
                          <w:numId w:val="49"/>
                        </w:numPr>
                        <w:spacing w:after="160" w:line="256" w:lineRule="auto"/>
                        <w:ind w:left="426"/>
                        <w:rPr>
                          <w:sz w:val="22"/>
                        </w:rPr>
                      </w:pPr>
                      <w:r>
                        <w:rPr>
                          <w:sz w:val="22"/>
                        </w:rPr>
                        <w:t>“</w:t>
                      </w:r>
                      <w:r w:rsidRPr="003F68FF">
                        <w:rPr>
                          <w:sz w:val="22"/>
                        </w:rPr>
                        <w:t>Social services also need to ensure that the elderly in their private homes and those of relatives are also properly taken care of and are not abused.  There are numerous stories heard of elder abuse and family members taking the old age pension of their family members and neglecting them.  This should be urgently addressed by all stakeholders (government, NGO's and citizens).</w:t>
                      </w:r>
                      <w:r>
                        <w:rPr>
                          <w:sz w:val="22"/>
                        </w:rPr>
                        <w:t>”</w:t>
                      </w:r>
                    </w:p>
                    <w:p w14:paraId="3E6C37E3" w14:textId="00635C55" w:rsidR="00011C8F" w:rsidRPr="003F68FF" w:rsidRDefault="00011C8F" w:rsidP="009D4C5D">
                      <w:pPr>
                        <w:pStyle w:val="ListParagraph"/>
                        <w:numPr>
                          <w:ilvl w:val="0"/>
                          <w:numId w:val="49"/>
                        </w:numPr>
                        <w:spacing w:after="160" w:line="256" w:lineRule="auto"/>
                        <w:ind w:left="426"/>
                        <w:rPr>
                          <w:sz w:val="22"/>
                        </w:rPr>
                      </w:pPr>
                      <w:r>
                        <w:rPr>
                          <w:sz w:val="22"/>
                        </w:rPr>
                        <w:t>“</w:t>
                      </w:r>
                      <w:r w:rsidRPr="003F68FF">
                        <w:rPr>
                          <w:sz w:val="22"/>
                        </w:rPr>
                        <w:t>Care for older persons has become predatory for those persons who purportedly</w:t>
                      </w:r>
                      <w:r>
                        <w:rPr>
                          <w:sz w:val="22"/>
                        </w:rPr>
                        <w:t xml:space="preserve"> ‘</w:t>
                      </w:r>
                      <w:r w:rsidRPr="00BC3528">
                        <w:rPr>
                          <w:sz w:val="22"/>
                        </w:rPr>
                        <w:t>take care’</w:t>
                      </w:r>
                      <w:r w:rsidRPr="003F68FF">
                        <w:rPr>
                          <w:sz w:val="22"/>
                        </w:rPr>
                        <w:t xml:space="preserve"> of the elderly.  It is unbelievable what passes for care these days.  The elderly are treated like garbage.  All these persons want is the pension cheque of </w:t>
                      </w:r>
                      <w:r>
                        <w:rPr>
                          <w:sz w:val="22"/>
                        </w:rPr>
                        <w:t>the elderly.  Imagine one ‘Home’</w:t>
                      </w:r>
                      <w:r w:rsidRPr="003F68FF">
                        <w:rPr>
                          <w:sz w:val="22"/>
                        </w:rPr>
                        <w:t xml:space="preserve"> has about 4 branches in the same district.</w:t>
                      </w:r>
                      <w:r>
                        <w:rPr>
                          <w:sz w:val="22"/>
                        </w:rPr>
                        <w:t>”</w:t>
                      </w:r>
                    </w:p>
                    <w:p w14:paraId="58A8D57B" w14:textId="1C7987D8" w:rsidR="00011C8F" w:rsidRPr="003F68FF" w:rsidRDefault="00011C8F" w:rsidP="009D4C5D">
                      <w:pPr>
                        <w:pStyle w:val="ListParagraph"/>
                        <w:numPr>
                          <w:ilvl w:val="0"/>
                          <w:numId w:val="49"/>
                        </w:numPr>
                        <w:spacing w:after="160" w:line="256" w:lineRule="auto"/>
                        <w:ind w:left="426"/>
                        <w:rPr>
                          <w:sz w:val="22"/>
                        </w:rPr>
                      </w:pPr>
                      <w:r>
                        <w:rPr>
                          <w:sz w:val="22"/>
                        </w:rPr>
                        <w:t>“</w:t>
                      </w:r>
                      <w:r w:rsidRPr="003F68FF">
                        <w:rPr>
                          <w:sz w:val="22"/>
                        </w:rPr>
                        <w:t>Young people are taking [caregiving] courses just for the money, they don't care about these elderly people, and therefore the elderlies get abuse by them</w:t>
                      </w:r>
                      <w:r>
                        <w:rPr>
                          <w:sz w:val="22"/>
                        </w:rPr>
                        <w:t xml:space="preserve"> [sic]</w:t>
                      </w:r>
                      <w:r w:rsidRPr="003F68FF">
                        <w:rPr>
                          <w:sz w:val="22"/>
                        </w:rPr>
                        <w:t>.</w:t>
                      </w:r>
                      <w:r>
                        <w:rPr>
                          <w:sz w:val="22"/>
                        </w:rPr>
                        <w:t>”</w:t>
                      </w:r>
                    </w:p>
                  </w:txbxContent>
                </v:textbox>
              </v:shape>
            </w:pict>
          </mc:Fallback>
        </mc:AlternateContent>
      </w:r>
    </w:p>
    <w:p w14:paraId="486C0B3F" w14:textId="77777777" w:rsidR="00E53916" w:rsidRPr="00E869A4" w:rsidRDefault="00E53916" w:rsidP="00A35FF8">
      <w:pPr>
        <w:rPr>
          <w:rFonts w:ascii="Times New Roman" w:hAnsi="Times New Roman" w:cs="Times New Roman"/>
          <w:szCs w:val="24"/>
        </w:rPr>
      </w:pPr>
    </w:p>
    <w:p w14:paraId="73F843A7" w14:textId="77777777" w:rsidR="00E53916" w:rsidRPr="00E869A4" w:rsidRDefault="00E53916" w:rsidP="00A35FF8">
      <w:pPr>
        <w:rPr>
          <w:rFonts w:ascii="Times New Roman" w:hAnsi="Times New Roman" w:cs="Times New Roman"/>
          <w:szCs w:val="24"/>
        </w:rPr>
      </w:pPr>
    </w:p>
    <w:p w14:paraId="164860B8" w14:textId="77777777" w:rsidR="00E53916" w:rsidRPr="00E869A4" w:rsidRDefault="00E53916" w:rsidP="00A35FF8">
      <w:pPr>
        <w:rPr>
          <w:rFonts w:ascii="Times New Roman" w:hAnsi="Times New Roman" w:cs="Times New Roman"/>
          <w:szCs w:val="24"/>
        </w:rPr>
      </w:pPr>
    </w:p>
    <w:p w14:paraId="71B340D7" w14:textId="77777777" w:rsidR="00E53916" w:rsidRPr="00E869A4" w:rsidRDefault="00E53916" w:rsidP="00A35FF8">
      <w:pPr>
        <w:rPr>
          <w:rFonts w:ascii="Times New Roman" w:hAnsi="Times New Roman" w:cs="Times New Roman"/>
          <w:szCs w:val="24"/>
        </w:rPr>
      </w:pPr>
    </w:p>
    <w:p w14:paraId="04CB7BAF" w14:textId="77777777" w:rsidR="00E53916" w:rsidRPr="00E869A4" w:rsidRDefault="00E53916" w:rsidP="00A35FF8">
      <w:pPr>
        <w:rPr>
          <w:rFonts w:ascii="Times New Roman" w:hAnsi="Times New Roman" w:cs="Times New Roman"/>
          <w:szCs w:val="24"/>
        </w:rPr>
      </w:pPr>
    </w:p>
    <w:p w14:paraId="48FC8EF0" w14:textId="77777777" w:rsidR="006E7874" w:rsidRPr="00E869A4" w:rsidRDefault="006E7874" w:rsidP="00A35FF8">
      <w:pPr>
        <w:rPr>
          <w:rFonts w:ascii="Times New Roman" w:hAnsi="Times New Roman" w:cs="Times New Roman"/>
          <w:szCs w:val="24"/>
        </w:rPr>
      </w:pPr>
    </w:p>
    <w:p w14:paraId="1C0470FF" w14:textId="77777777" w:rsidR="006E7874" w:rsidRPr="00E869A4" w:rsidRDefault="006E7874" w:rsidP="00A35FF8">
      <w:pPr>
        <w:rPr>
          <w:rFonts w:ascii="Times New Roman" w:hAnsi="Times New Roman" w:cs="Times New Roman"/>
          <w:szCs w:val="24"/>
        </w:rPr>
      </w:pPr>
    </w:p>
    <w:p w14:paraId="716F9803" w14:textId="77777777" w:rsidR="006E7874" w:rsidRPr="00E869A4" w:rsidRDefault="006E7874" w:rsidP="00A35FF8">
      <w:pPr>
        <w:rPr>
          <w:rFonts w:ascii="Times New Roman" w:hAnsi="Times New Roman" w:cs="Times New Roman"/>
          <w:szCs w:val="24"/>
        </w:rPr>
      </w:pPr>
    </w:p>
    <w:p w14:paraId="482B61B4" w14:textId="77777777" w:rsidR="006E7874" w:rsidRPr="00E869A4" w:rsidRDefault="006E7874">
      <w:pPr>
        <w:rPr>
          <w:rFonts w:ascii="Times New Roman" w:hAnsi="Times New Roman" w:cs="Times New Roman"/>
          <w:szCs w:val="24"/>
        </w:rPr>
      </w:pPr>
      <w:r w:rsidRPr="00E869A4">
        <w:rPr>
          <w:rFonts w:ascii="Times New Roman" w:hAnsi="Times New Roman" w:cs="Times New Roman"/>
          <w:szCs w:val="24"/>
        </w:rPr>
        <w:br w:type="page"/>
      </w:r>
    </w:p>
    <w:p w14:paraId="10953736" w14:textId="752E1930" w:rsidR="00DB7370" w:rsidRPr="00E869A4" w:rsidRDefault="00E53916" w:rsidP="00A35FF8">
      <w:pPr>
        <w:rPr>
          <w:rFonts w:ascii="Times New Roman" w:hAnsi="Times New Roman" w:cs="Times New Roman"/>
          <w:szCs w:val="24"/>
        </w:rPr>
      </w:pPr>
      <w:r w:rsidRPr="00E869A4">
        <w:rPr>
          <w:rFonts w:ascii="Times New Roman" w:hAnsi="Times New Roman" w:cs="Times New Roman"/>
          <w:szCs w:val="24"/>
        </w:rPr>
        <w:lastRenderedPageBreak/>
        <w:t>It should be noted that 12% of the respondents identified “</w:t>
      </w:r>
      <w:r w:rsidRPr="00E869A4">
        <w:rPr>
          <w:rFonts w:ascii="Times New Roman" w:hAnsi="Times New Roman" w:cs="Times New Roman"/>
          <w:i/>
          <w:szCs w:val="24"/>
        </w:rPr>
        <w:t>limited caregiver options</w:t>
      </w:r>
      <w:r w:rsidRPr="00E869A4">
        <w:rPr>
          <w:rFonts w:ascii="Times New Roman" w:hAnsi="Times New Roman" w:cs="Times New Roman"/>
          <w:szCs w:val="24"/>
        </w:rPr>
        <w:t>” as a motivating factor which contributed to them adopting the role of family caregiver</w:t>
      </w:r>
      <w:r w:rsidRPr="00E869A4">
        <w:rPr>
          <w:rStyle w:val="FootnoteReference"/>
          <w:rFonts w:ascii="Times New Roman" w:hAnsi="Times New Roman" w:cs="Times New Roman"/>
          <w:szCs w:val="24"/>
        </w:rPr>
        <w:footnoteReference w:id="82"/>
      </w:r>
      <w:r w:rsidRPr="00E869A4">
        <w:rPr>
          <w:rFonts w:ascii="Times New Roman" w:hAnsi="Times New Roman" w:cs="Times New Roman"/>
          <w:szCs w:val="24"/>
        </w:rPr>
        <w:t xml:space="preserve">. </w:t>
      </w:r>
      <w:r w:rsidR="00DB7370" w:rsidRPr="00E869A4">
        <w:rPr>
          <w:rFonts w:ascii="Times New Roman" w:hAnsi="Times New Roman" w:cs="Times New Roman"/>
          <w:szCs w:val="24"/>
        </w:rPr>
        <w:t>One caregiver</w:t>
      </w:r>
      <w:r w:rsidR="00E24208" w:rsidRPr="00E869A4">
        <w:rPr>
          <w:rFonts w:ascii="Times New Roman" w:hAnsi="Times New Roman" w:cs="Times New Roman"/>
          <w:szCs w:val="24"/>
        </w:rPr>
        <w:t xml:space="preserve"> (Respondent U)</w:t>
      </w:r>
      <w:r w:rsidR="00DB7370" w:rsidRPr="00E869A4">
        <w:rPr>
          <w:rFonts w:ascii="Times New Roman" w:hAnsi="Times New Roman" w:cs="Times New Roman"/>
          <w:szCs w:val="24"/>
        </w:rPr>
        <w:t xml:space="preserve"> took the opportunity in the open-ended comment box to describe the mixed emotions they had about their caregiving experience</w:t>
      </w:r>
      <w:r w:rsidR="003928B1" w:rsidRPr="00E869A4">
        <w:rPr>
          <w:rFonts w:ascii="Times New Roman" w:hAnsi="Times New Roman" w:cs="Times New Roman"/>
          <w:szCs w:val="24"/>
        </w:rPr>
        <w:t>:</w:t>
      </w:r>
      <w:r w:rsidR="00DB7370" w:rsidRPr="00E869A4">
        <w:rPr>
          <w:rFonts w:ascii="Times New Roman" w:hAnsi="Times New Roman" w:cs="Times New Roman"/>
          <w:szCs w:val="24"/>
        </w:rPr>
        <w:t xml:space="preserve"> </w:t>
      </w:r>
    </w:p>
    <w:p w14:paraId="4773CEDC" w14:textId="77777777" w:rsidR="00EF40ED" w:rsidRPr="00E869A4" w:rsidRDefault="00EF40ED" w:rsidP="00DB4C33">
      <w:pPr>
        <w:spacing w:line="240" w:lineRule="auto"/>
        <w:rPr>
          <w:rFonts w:ascii="Times New Roman" w:hAnsi="Times New Roman" w:cs="Times New Roman"/>
          <w:szCs w:val="24"/>
        </w:rPr>
      </w:pPr>
    </w:p>
    <w:p w14:paraId="40D3A942" w14:textId="7193DD92" w:rsidR="00E53916" w:rsidRPr="00E869A4" w:rsidRDefault="007C00E8" w:rsidP="00E24208">
      <w:pPr>
        <w:spacing w:line="240" w:lineRule="auto"/>
        <w:ind w:left="567" w:firstLine="0"/>
        <w:rPr>
          <w:rFonts w:ascii="Times New Roman" w:hAnsi="Times New Roman" w:cs="Times New Roman"/>
          <w:szCs w:val="24"/>
        </w:rPr>
      </w:pPr>
      <w:r w:rsidRPr="00E869A4">
        <w:rPr>
          <w:rFonts w:ascii="Times New Roman" w:hAnsi="Times New Roman" w:cs="Times New Roman"/>
          <w:szCs w:val="24"/>
        </w:rPr>
        <w:t>C</w:t>
      </w:r>
      <w:r w:rsidR="00E53916" w:rsidRPr="00E869A4">
        <w:rPr>
          <w:rFonts w:ascii="Times New Roman" w:hAnsi="Times New Roman" w:cs="Times New Roman"/>
          <w:szCs w:val="24"/>
        </w:rPr>
        <w:t xml:space="preserve">aring for the </w:t>
      </w:r>
      <w:r w:rsidR="00C54252" w:rsidRPr="00E869A4">
        <w:rPr>
          <w:rFonts w:ascii="Times New Roman" w:hAnsi="Times New Roman" w:cs="Times New Roman"/>
          <w:szCs w:val="24"/>
        </w:rPr>
        <w:t>elderly</w:t>
      </w:r>
      <w:r w:rsidR="00E53916" w:rsidRPr="00E869A4">
        <w:rPr>
          <w:rFonts w:ascii="Times New Roman" w:hAnsi="Times New Roman" w:cs="Times New Roman"/>
          <w:szCs w:val="24"/>
        </w:rPr>
        <w:t xml:space="preserve"> is one of the most difficult but rewarding task </w:t>
      </w:r>
      <w:r w:rsidR="00461287" w:rsidRPr="00E869A4">
        <w:rPr>
          <w:rFonts w:ascii="Times New Roman" w:hAnsi="Times New Roman" w:cs="Times New Roman"/>
          <w:szCs w:val="24"/>
        </w:rPr>
        <w:t xml:space="preserve">[sic] </w:t>
      </w:r>
      <w:r w:rsidR="00E53916" w:rsidRPr="00E869A4">
        <w:rPr>
          <w:rFonts w:ascii="Times New Roman" w:hAnsi="Times New Roman" w:cs="Times New Roman"/>
          <w:szCs w:val="24"/>
        </w:rPr>
        <w:t>one can undertake</w:t>
      </w:r>
      <w:r w:rsidR="00E24208" w:rsidRPr="00E869A4">
        <w:rPr>
          <w:rFonts w:ascii="Times New Roman" w:hAnsi="Times New Roman" w:cs="Times New Roman"/>
          <w:szCs w:val="24"/>
        </w:rPr>
        <w:t xml:space="preserve"> </w:t>
      </w:r>
      <w:r w:rsidR="00E53916" w:rsidRPr="00E869A4">
        <w:rPr>
          <w:rFonts w:ascii="Times New Roman" w:hAnsi="Times New Roman" w:cs="Times New Roman"/>
          <w:szCs w:val="24"/>
        </w:rPr>
        <w:t>... throughout your life elders once took care of you and now that they have become to age and need some assistance you should render whatever you can afford, whether it be time or money... the onus is on you/family to take care of the elders</w:t>
      </w:r>
      <w:r w:rsidR="00E24208" w:rsidRPr="00E869A4">
        <w:rPr>
          <w:rFonts w:ascii="Times New Roman" w:hAnsi="Times New Roman" w:cs="Times New Roman"/>
          <w:szCs w:val="24"/>
        </w:rPr>
        <w:t xml:space="preserve"> </w:t>
      </w:r>
      <w:r w:rsidR="00E53916" w:rsidRPr="00E869A4">
        <w:rPr>
          <w:rFonts w:ascii="Times New Roman" w:hAnsi="Times New Roman" w:cs="Times New Roman"/>
          <w:szCs w:val="24"/>
        </w:rPr>
        <w:t>... it should be the duty of all households in Trinidad and Tobago</w:t>
      </w:r>
      <w:r w:rsidR="00E24208" w:rsidRPr="00E869A4">
        <w:rPr>
          <w:rFonts w:ascii="Times New Roman" w:hAnsi="Times New Roman" w:cs="Times New Roman"/>
          <w:szCs w:val="24"/>
        </w:rPr>
        <w:t>.</w:t>
      </w:r>
    </w:p>
    <w:p w14:paraId="131132EE" w14:textId="77777777" w:rsidR="00E53916" w:rsidRPr="00E869A4" w:rsidRDefault="00E53916" w:rsidP="00A35FF8">
      <w:pPr>
        <w:rPr>
          <w:rFonts w:ascii="Times New Roman" w:hAnsi="Times New Roman" w:cs="Times New Roman"/>
          <w:szCs w:val="24"/>
        </w:rPr>
      </w:pPr>
    </w:p>
    <w:p w14:paraId="210F1E77" w14:textId="6D6EAE7B" w:rsidR="00E53916" w:rsidRPr="00E869A4" w:rsidRDefault="009C4720" w:rsidP="00175C3E">
      <w:pPr>
        <w:pStyle w:val="Heading2"/>
      </w:pPr>
      <w:bookmarkStart w:id="418" w:name="_Toc492959494"/>
      <w:bookmarkStart w:id="419" w:name="_Toc40436583"/>
      <w:r w:rsidRPr="00E869A4">
        <w:t>9</w:t>
      </w:r>
      <w:r w:rsidR="005A21ED" w:rsidRPr="00E869A4">
        <w:t xml:space="preserve">.8 </w:t>
      </w:r>
      <w:r w:rsidR="001243B0" w:rsidRPr="00E869A4">
        <w:t>WILLINGNESS TO PROVIDE CARE</w:t>
      </w:r>
      <w:bookmarkEnd w:id="418"/>
      <w:bookmarkEnd w:id="419"/>
    </w:p>
    <w:p w14:paraId="5C108D47" w14:textId="77777777" w:rsidR="00E53916" w:rsidRPr="00E869A4" w:rsidRDefault="00E53916" w:rsidP="00A35FF8">
      <w:pPr>
        <w:rPr>
          <w:rFonts w:ascii="Times New Roman" w:hAnsi="Times New Roman" w:cs="Times New Roman"/>
          <w:szCs w:val="24"/>
        </w:rPr>
      </w:pPr>
    </w:p>
    <w:p w14:paraId="0208B2AA" w14:textId="40309596"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When asked, ‘</w:t>
      </w:r>
      <w:r w:rsidRPr="00E869A4">
        <w:rPr>
          <w:rFonts w:ascii="Times New Roman" w:hAnsi="Times New Roman" w:cs="Times New Roman"/>
          <w:i/>
          <w:szCs w:val="24"/>
        </w:rPr>
        <w:t>what is the main change (if any) you would like to make to your caregiving responsibilities for this older relative?</w:t>
      </w:r>
      <w:r w:rsidRPr="00E869A4">
        <w:rPr>
          <w:rFonts w:ascii="Times New Roman" w:hAnsi="Times New Roman" w:cs="Times New Roman"/>
          <w:szCs w:val="24"/>
        </w:rPr>
        <w:t>”</w:t>
      </w:r>
      <w:r w:rsidR="000C3CA7" w:rsidRPr="00E869A4">
        <w:rPr>
          <w:rFonts w:ascii="Times New Roman" w:hAnsi="Times New Roman" w:cs="Times New Roman"/>
          <w:szCs w:val="24"/>
        </w:rPr>
        <w:t>,</w:t>
      </w:r>
      <w:r w:rsidRPr="00E869A4">
        <w:rPr>
          <w:rFonts w:ascii="Times New Roman" w:hAnsi="Times New Roman" w:cs="Times New Roman"/>
          <w:szCs w:val="24"/>
        </w:rPr>
        <w:t xml:space="preserve"> most family caregivers (46%) were willing to continue providing care support</w:t>
      </w:r>
      <w:r w:rsidR="004F2C6C" w:rsidRPr="00E869A4">
        <w:rPr>
          <w:rFonts w:ascii="Times New Roman" w:hAnsi="Times New Roman" w:cs="Times New Roman"/>
          <w:szCs w:val="24"/>
        </w:rPr>
        <w:t xml:space="preserve"> if</w:t>
      </w:r>
      <w:r w:rsidRPr="00E869A4">
        <w:rPr>
          <w:rFonts w:ascii="Times New Roman" w:hAnsi="Times New Roman" w:cs="Times New Roman"/>
          <w:szCs w:val="24"/>
        </w:rPr>
        <w:t xml:space="preserve"> their care situation remained the same (</w:t>
      </w:r>
      <w:r w:rsidR="00C80176" w:rsidRPr="00E869A4">
        <w:rPr>
          <w:rFonts w:ascii="Times New Roman" w:hAnsi="Times New Roman" w:cs="Times New Roman"/>
          <w:szCs w:val="24"/>
        </w:rPr>
        <w:t xml:space="preserve">Figure </w:t>
      </w:r>
      <w:r w:rsidR="00D2467F" w:rsidRPr="00E869A4">
        <w:rPr>
          <w:rFonts w:ascii="Times New Roman" w:hAnsi="Times New Roman" w:cs="Times New Roman"/>
          <w:szCs w:val="24"/>
        </w:rPr>
        <w:t>31</w:t>
      </w:r>
      <w:r w:rsidRPr="00E869A4">
        <w:t>)</w:t>
      </w:r>
      <w:r w:rsidRPr="00E869A4">
        <w:rPr>
          <w:rFonts w:ascii="Times New Roman" w:hAnsi="Times New Roman" w:cs="Times New Roman"/>
          <w:szCs w:val="24"/>
        </w:rPr>
        <w:t xml:space="preserve">. One respondent </w:t>
      </w:r>
      <w:r w:rsidR="00753F22" w:rsidRPr="00E869A4">
        <w:rPr>
          <w:rFonts w:ascii="Times New Roman" w:hAnsi="Times New Roman" w:cs="Times New Roman"/>
          <w:szCs w:val="24"/>
        </w:rPr>
        <w:t xml:space="preserve">(V) </w:t>
      </w:r>
      <w:r w:rsidRPr="00E869A4">
        <w:rPr>
          <w:rFonts w:ascii="Times New Roman" w:hAnsi="Times New Roman" w:cs="Times New Roman"/>
          <w:szCs w:val="24"/>
        </w:rPr>
        <w:t xml:space="preserve">summed up their experience as follows: </w:t>
      </w:r>
    </w:p>
    <w:p w14:paraId="22BADD61" w14:textId="77777777" w:rsidR="00C80176" w:rsidRPr="00E869A4" w:rsidRDefault="00C80176" w:rsidP="00DB4C33">
      <w:pPr>
        <w:spacing w:line="240" w:lineRule="auto"/>
        <w:rPr>
          <w:rFonts w:ascii="Times New Roman" w:hAnsi="Times New Roman" w:cs="Times New Roman"/>
          <w:szCs w:val="24"/>
        </w:rPr>
      </w:pPr>
    </w:p>
    <w:p w14:paraId="75CB9FDD" w14:textId="3C1C03D7" w:rsidR="00E53916" w:rsidRPr="00E869A4" w:rsidRDefault="00E53916" w:rsidP="00753F22">
      <w:pPr>
        <w:spacing w:line="240" w:lineRule="auto"/>
        <w:ind w:left="567" w:firstLine="0"/>
        <w:rPr>
          <w:rFonts w:ascii="Times New Roman" w:hAnsi="Times New Roman" w:cs="Times New Roman"/>
          <w:szCs w:val="24"/>
        </w:rPr>
      </w:pPr>
      <w:r w:rsidRPr="00E869A4">
        <w:rPr>
          <w:rFonts w:ascii="Times New Roman" w:hAnsi="Times New Roman" w:cs="Times New Roman"/>
          <w:szCs w:val="24"/>
        </w:rPr>
        <w:t>I don’t think that I could in hindsight, have done anything differently …</w:t>
      </w:r>
      <w:r w:rsidR="000C3CA7" w:rsidRPr="00E869A4">
        <w:rPr>
          <w:rFonts w:ascii="Times New Roman" w:hAnsi="Times New Roman" w:cs="Times New Roman"/>
          <w:szCs w:val="24"/>
        </w:rPr>
        <w:t xml:space="preserve"> </w:t>
      </w:r>
      <w:r w:rsidRPr="00E869A4">
        <w:rPr>
          <w:rFonts w:ascii="Times New Roman" w:hAnsi="Times New Roman" w:cs="Times New Roman"/>
          <w:szCs w:val="24"/>
        </w:rPr>
        <w:t>I considered it necessary to stay at home to look after and supervise her care (rather than go out to work): she would not have survived</w:t>
      </w:r>
      <w:r w:rsidR="000C3CA7" w:rsidRPr="00E869A4">
        <w:rPr>
          <w:rFonts w:ascii="Times New Roman" w:hAnsi="Times New Roman" w:cs="Times New Roman"/>
          <w:szCs w:val="24"/>
        </w:rPr>
        <w:t>.</w:t>
      </w:r>
      <w:r w:rsidRPr="00E869A4">
        <w:rPr>
          <w:rStyle w:val="FootnoteReference"/>
          <w:rFonts w:ascii="Times New Roman" w:hAnsi="Times New Roman" w:cs="Times New Roman"/>
          <w:szCs w:val="24"/>
        </w:rPr>
        <w:footnoteReference w:id="83"/>
      </w:r>
      <w:r w:rsidRPr="00E869A4">
        <w:rPr>
          <w:rFonts w:ascii="Times New Roman" w:hAnsi="Times New Roman" w:cs="Times New Roman"/>
          <w:szCs w:val="24"/>
        </w:rPr>
        <w:t xml:space="preserve"> </w:t>
      </w:r>
    </w:p>
    <w:p w14:paraId="1FC0D906" w14:textId="77777777" w:rsidR="00C80176" w:rsidRPr="00E869A4" w:rsidRDefault="00C80176" w:rsidP="00DB4C33">
      <w:pPr>
        <w:spacing w:line="240" w:lineRule="auto"/>
        <w:rPr>
          <w:rFonts w:ascii="Times New Roman" w:hAnsi="Times New Roman" w:cs="Times New Roman"/>
          <w:szCs w:val="24"/>
        </w:rPr>
      </w:pPr>
    </w:p>
    <w:p w14:paraId="2AF2E31E" w14:textId="4937BEA2"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About 18% of caregivers were willing to increase their care responsibilities</w:t>
      </w:r>
      <w:r w:rsidR="0026235F" w:rsidRPr="00E869A4">
        <w:rPr>
          <w:rFonts w:ascii="Times New Roman" w:hAnsi="Times New Roman" w:cs="Times New Roman"/>
          <w:szCs w:val="24"/>
        </w:rPr>
        <w:t xml:space="preserve"> (see Figure 31</w:t>
      </w:r>
      <w:r w:rsidR="00C54252" w:rsidRPr="00E869A4">
        <w:rPr>
          <w:rFonts w:ascii="Times New Roman" w:hAnsi="Times New Roman" w:cs="Times New Roman"/>
          <w:szCs w:val="24"/>
        </w:rPr>
        <w:t>). O</w:t>
      </w:r>
      <w:r w:rsidRPr="00E869A4">
        <w:rPr>
          <w:rFonts w:ascii="Times New Roman" w:hAnsi="Times New Roman" w:cs="Times New Roman"/>
          <w:szCs w:val="24"/>
        </w:rPr>
        <w:t xml:space="preserve">f these, 3% would do so for a limited time only. Some caregivers were willing to increase their responsibilities once they received additional support from other family members, friends or service agencies (14%). A few respondents specifically mentioned their desire for affordable, trained and trustworthy in-home nursing support. </w:t>
      </w:r>
      <w:r w:rsidR="00DC65E7" w:rsidRPr="00E869A4">
        <w:rPr>
          <w:rFonts w:ascii="Times New Roman" w:hAnsi="Times New Roman" w:cs="Times New Roman"/>
          <w:szCs w:val="24"/>
        </w:rPr>
        <w:t xml:space="preserve">One </w:t>
      </w:r>
      <w:r w:rsidRPr="00E869A4">
        <w:rPr>
          <w:rFonts w:ascii="Times New Roman" w:hAnsi="Times New Roman" w:cs="Times New Roman"/>
          <w:szCs w:val="24"/>
        </w:rPr>
        <w:t>respondent</w:t>
      </w:r>
      <w:r w:rsidR="00DC65E7" w:rsidRPr="00E869A4">
        <w:rPr>
          <w:rFonts w:ascii="Times New Roman" w:hAnsi="Times New Roman" w:cs="Times New Roman"/>
          <w:szCs w:val="24"/>
        </w:rPr>
        <w:t xml:space="preserve"> </w:t>
      </w:r>
      <w:r w:rsidR="00753F22" w:rsidRPr="00E869A4">
        <w:rPr>
          <w:rFonts w:ascii="Times New Roman" w:hAnsi="Times New Roman" w:cs="Times New Roman"/>
          <w:szCs w:val="24"/>
        </w:rPr>
        <w:t xml:space="preserve">(W) </w:t>
      </w:r>
      <w:r w:rsidR="00DC65E7" w:rsidRPr="00E869A4">
        <w:rPr>
          <w:rFonts w:ascii="Times New Roman" w:hAnsi="Times New Roman" w:cs="Times New Roman"/>
          <w:szCs w:val="24"/>
        </w:rPr>
        <w:t>shared</w:t>
      </w:r>
      <w:r w:rsidRPr="00E869A4">
        <w:rPr>
          <w:rFonts w:ascii="Times New Roman" w:hAnsi="Times New Roman" w:cs="Times New Roman"/>
          <w:szCs w:val="24"/>
        </w:rPr>
        <w:t xml:space="preserve"> </w:t>
      </w:r>
      <w:r w:rsidR="00DC65E7" w:rsidRPr="00E869A4">
        <w:rPr>
          <w:rFonts w:ascii="Times New Roman" w:hAnsi="Times New Roman" w:cs="Times New Roman"/>
          <w:szCs w:val="24"/>
        </w:rPr>
        <w:t>about the restrictions of their care situation</w:t>
      </w:r>
      <w:r w:rsidR="000C3CA7" w:rsidRPr="00E869A4">
        <w:rPr>
          <w:rFonts w:ascii="Times New Roman" w:hAnsi="Times New Roman" w:cs="Times New Roman"/>
          <w:szCs w:val="24"/>
        </w:rPr>
        <w:t>:</w:t>
      </w:r>
      <w:r w:rsidRPr="00E869A4">
        <w:rPr>
          <w:rFonts w:ascii="Times New Roman" w:hAnsi="Times New Roman" w:cs="Times New Roman"/>
          <w:szCs w:val="24"/>
        </w:rPr>
        <w:t xml:space="preserve"> </w:t>
      </w:r>
    </w:p>
    <w:p w14:paraId="42FFB7E9" w14:textId="77777777" w:rsidR="00EF40ED" w:rsidRPr="00E869A4" w:rsidRDefault="00EF40ED" w:rsidP="00C54252">
      <w:pPr>
        <w:spacing w:line="240" w:lineRule="auto"/>
        <w:rPr>
          <w:rFonts w:ascii="Times New Roman" w:hAnsi="Times New Roman" w:cs="Times New Roman"/>
          <w:szCs w:val="24"/>
        </w:rPr>
      </w:pPr>
    </w:p>
    <w:p w14:paraId="673F4075" w14:textId="52BC94D5" w:rsidR="00E53916" w:rsidRPr="00E869A4" w:rsidRDefault="00E53916" w:rsidP="00461287">
      <w:pPr>
        <w:spacing w:line="240" w:lineRule="auto"/>
        <w:ind w:left="567" w:firstLine="0"/>
        <w:rPr>
          <w:rFonts w:ascii="Times New Roman" w:hAnsi="Times New Roman" w:cs="Times New Roman"/>
          <w:szCs w:val="24"/>
        </w:rPr>
      </w:pPr>
      <w:r w:rsidRPr="00E869A4">
        <w:rPr>
          <w:rFonts w:ascii="Times New Roman" w:hAnsi="Times New Roman" w:cs="Times New Roman"/>
          <w:szCs w:val="24"/>
        </w:rPr>
        <w:t>Even though I only spent a few hours actively doing things for my father, I was at home almost all the time in case he needed something. I wouldn’t have minded taking on more active care but I really, really longed to be untethered from the house</w:t>
      </w:r>
      <w:r w:rsidR="00753F22" w:rsidRPr="00E869A4">
        <w:rPr>
          <w:rFonts w:ascii="Times New Roman" w:hAnsi="Times New Roman" w:cs="Times New Roman"/>
          <w:szCs w:val="24"/>
        </w:rPr>
        <w:t>.</w:t>
      </w:r>
    </w:p>
    <w:p w14:paraId="7B7351CF" w14:textId="7BD9F0B5" w:rsidR="00E53916" w:rsidRPr="00E869A4" w:rsidRDefault="00E53916" w:rsidP="00A35FF8">
      <w:pPr>
        <w:rPr>
          <w:rFonts w:ascii="Times New Roman" w:hAnsi="Times New Roman" w:cs="Times New Roman"/>
        </w:rPr>
      </w:pPr>
      <w:r w:rsidRPr="00E869A4">
        <w:rPr>
          <w:rFonts w:ascii="Times New Roman" w:hAnsi="Times New Roman" w:cs="Times New Roman"/>
          <w:szCs w:val="24"/>
        </w:rPr>
        <w:lastRenderedPageBreak/>
        <w:t>A minority</w:t>
      </w:r>
      <w:r w:rsidR="000C3CA7" w:rsidRPr="00E869A4">
        <w:rPr>
          <w:rFonts w:ascii="Times New Roman" w:hAnsi="Times New Roman" w:cs="Times New Roman"/>
          <w:szCs w:val="24"/>
        </w:rPr>
        <w:t>,</w:t>
      </w:r>
      <w:r w:rsidRPr="00E869A4">
        <w:rPr>
          <w:rFonts w:ascii="Times New Roman" w:hAnsi="Times New Roman" w:cs="Times New Roman"/>
          <w:szCs w:val="24"/>
        </w:rPr>
        <w:t xml:space="preserve"> (8%) of the respondents</w:t>
      </w:r>
      <w:r w:rsidR="000C3CA7" w:rsidRPr="00E869A4">
        <w:rPr>
          <w:rFonts w:ascii="Times New Roman" w:hAnsi="Times New Roman" w:cs="Times New Roman"/>
          <w:szCs w:val="24"/>
        </w:rPr>
        <w:t>,</w:t>
      </w:r>
      <w:r w:rsidRPr="00E869A4">
        <w:rPr>
          <w:rFonts w:ascii="Times New Roman" w:hAnsi="Times New Roman" w:cs="Times New Roman"/>
          <w:szCs w:val="24"/>
        </w:rPr>
        <w:t xml:space="preserve"> were willing to move their older relative to a long term care facility. An even smaller proportion of respondents (about 4%) wanted to reduce their care responsibilities or stop care altogether. </w:t>
      </w:r>
      <w:r w:rsidR="00DC65E7" w:rsidRPr="00E869A4">
        <w:rPr>
          <w:rFonts w:ascii="Times New Roman" w:hAnsi="Times New Roman" w:cs="Times New Roman"/>
          <w:szCs w:val="24"/>
        </w:rPr>
        <w:t>T</w:t>
      </w:r>
      <w:r w:rsidRPr="00E869A4">
        <w:rPr>
          <w:rFonts w:ascii="Times New Roman" w:hAnsi="Times New Roman" w:cs="Times New Roman"/>
          <w:szCs w:val="24"/>
        </w:rPr>
        <w:t>he bivariate analysis revealed that a moderately strong and significant relationship exist</w:t>
      </w:r>
      <w:r w:rsidR="00DC65E7" w:rsidRPr="00E869A4">
        <w:rPr>
          <w:rFonts w:ascii="Times New Roman" w:hAnsi="Times New Roman" w:cs="Times New Roman"/>
          <w:szCs w:val="24"/>
        </w:rPr>
        <w:t>ed</w:t>
      </w:r>
      <w:r w:rsidR="003C6249" w:rsidRPr="00E869A4">
        <w:rPr>
          <w:rFonts w:ascii="Times New Roman" w:hAnsi="Times New Roman" w:cs="Times New Roman"/>
          <w:szCs w:val="24"/>
        </w:rPr>
        <w:t xml:space="preserve"> between the variables ‘</w:t>
      </w:r>
      <w:r w:rsidRPr="00E869A4">
        <w:rPr>
          <w:rFonts w:ascii="Times New Roman" w:hAnsi="Times New Roman" w:cs="Times New Roman"/>
          <w:i/>
          <w:szCs w:val="24"/>
        </w:rPr>
        <w:t>main change to caregiving responsibilities</w:t>
      </w:r>
      <w:r w:rsidR="003C6249" w:rsidRPr="00E869A4">
        <w:rPr>
          <w:rFonts w:ascii="Times New Roman" w:hAnsi="Times New Roman" w:cs="Times New Roman"/>
          <w:szCs w:val="24"/>
        </w:rPr>
        <w:t>’ and ‘</w:t>
      </w:r>
      <w:r w:rsidRPr="00E869A4">
        <w:rPr>
          <w:rFonts w:ascii="Times New Roman" w:hAnsi="Times New Roman" w:cs="Times New Roman"/>
          <w:i/>
          <w:szCs w:val="24"/>
        </w:rPr>
        <w:t>length of time providing care</w:t>
      </w:r>
      <w:r w:rsidR="003C6249" w:rsidRPr="00E869A4">
        <w:rPr>
          <w:rFonts w:ascii="Times New Roman" w:hAnsi="Times New Roman" w:cs="Times New Roman"/>
          <w:szCs w:val="24"/>
        </w:rPr>
        <w:t>’</w:t>
      </w:r>
      <w:r w:rsidRPr="00E869A4">
        <w:rPr>
          <w:rFonts w:ascii="Times New Roman" w:hAnsi="Times New Roman" w:cs="Times New Roman"/>
          <w:szCs w:val="24"/>
        </w:rPr>
        <w:t xml:space="preserve"> </w:t>
      </w:r>
      <w:r w:rsidRPr="00E869A4">
        <w:rPr>
          <w:rFonts w:ascii="Times New Roman" w:hAnsi="Times New Roman" w:cs="Times New Roman"/>
          <w:szCs w:val="24"/>
        </w:rPr>
        <w:sym w:font="Symbol" w:char="F063"/>
      </w:r>
      <w:r w:rsidRPr="00E869A4">
        <w:rPr>
          <w:rFonts w:ascii="Times New Roman" w:hAnsi="Times New Roman" w:cs="Times New Roman"/>
          <w:szCs w:val="24"/>
          <w:vertAlign w:val="superscript"/>
        </w:rPr>
        <w:t xml:space="preserve">2 </w:t>
      </w:r>
      <w:r w:rsidRPr="00E869A4">
        <w:rPr>
          <w:rFonts w:ascii="Times New Roman" w:hAnsi="Times New Roman" w:cs="Times New Roman"/>
          <w:szCs w:val="24"/>
        </w:rPr>
        <w:t xml:space="preserve">(2) =8.355, p=0.015; (Cramer’s V = 0.229). </w:t>
      </w:r>
      <w:bookmarkStart w:id="420" w:name="_Ref492827250"/>
    </w:p>
    <w:p w14:paraId="62BE2EB6" w14:textId="77777777" w:rsidR="00614E56" w:rsidRPr="00E869A4" w:rsidRDefault="00614E56" w:rsidP="00EF40ED">
      <w:pPr>
        <w:spacing w:line="276" w:lineRule="auto"/>
        <w:jc w:val="center"/>
        <w:rPr>
          <w:i/>
        </w:rPr>
      </w:pPr>
      <w:bookmarkStart w:id="421" w:name="_Ref493016667"/>
    </w:p>
    <w:p w14:paraId="71E5DE99" w14:textId="77777777" w:rsidR="00614E56" w:rsidRPr="00E869A4" w:rsidRDefault="00614E56" w:rsidP="00EF40ED">
      <w:pPr>
        <w:spacing w:line="276" w:lineRule="auto"/>
        <w:jc w:val="center"/>
        <w:rPr>
          <w:i/>
        </w:rPr>
      </w:pPr>
    </w:p>
    <w:p w14:paraId="2CC3F548" w14:textId="37AA20DF" w:rsidR="00F27953" w:rsidRPr="00E869A4" w:rsidRDefault="00F27953" w:rsidP="00F27953">
      <w:pPr>
        <w:jc w:val="center"/>
        <w:rPr>
          <w:b/>
        </w:rPr>
      </w:pPr>
      <w:bookmarkStart w:id="422" w:name="_Toc40436661"/>
      <w:bookmarkEnd w:id="420"/>
      <w:bookmarkEnd w:id="421"/>
      <w:r w:rsidRPr="00E869A4">
        <w:rPr>
          <w:b/>
        </w:rPr>
        <w:t xml:space="preserve">Figure </w:t>
      </w:r>
      <w:r w:rsidR="0026235F" w:rsidRPr="00E869A4">
        <w:rPr>
          <w:b/>
        </w:rPr>
        <w:fldChar w:fldCharType="begin"/>
      </w:r>
      <w:r w:rsidR="0026235F" w:rsidRPr="00E869A4">
        <w:rPr>
          <w:b/>
        </w:rPr>
        <w:instrText xml:space="preserve"> SEQ Figure \* ARABIC </w:instrText>
      </w:r>
      <w:r w:rsidR="0026235F" w:rsidRPr="00E869A4">
        <w:rPr>
          <w:b/>
        </w:rPr>
        <w:fldChar w:fldCharType="separate"/>
      </w:r>
      <w:r w:rsidR="00D7239F">
        <w:rPr>
          <w:b/>
          <w:noProof/>
        </w:rPr>
        <w:t>31</w:t>
      </w:r>
      <w:r w:rsidR="0026235F" w:rsidRPr="00E869A4">
        <w:rPr>
          <w:b/>
        </w:rPr>
        <w:fldChar w:fldCharType="end"/>
      </w:r>
      <w:r w:rsidR="00D2467F" w:rsidRPr="00E869A4">
        <w:rPr>
          <w:b/>
        </w:rPr>
        <w:t>:</w:t>
      </w:r>
      <w:r w:rsidRPr="00E869A4">
        <w:rPr>
          <w:b/>
        </w:rPr>
        <w:t xml:space="preserve"> Main Change to Caregiving Responsibilities</w:t>
      </w:r>
      <w:bookmarkEnd w:id="422"/>
    </w:p>
    <w:p w14:paraId="74B0DA6A" w14:textId="77777777" w:rsidR="00E53916" w:rsidRPr="00E869A4" w:rsidRDefault="00E53916" w:rsidP="00A35FF8">
      <w:pPr>
        <w:rPr>
          <w:rFonts w:ascii="Times New Roman" w:hAnsi="Times New Roman" w:cs="Times New Roman"/>
        </w:rPr>
      </w:pPr>
      <w:r w:rsidRPr="00E869A4">
        <w:rPr>
          <w:rFonts w:ascii="Times New Roman" w:hAnsi="Times New Roman" w:cs="Times New Roman"/>
          <w:noProof/>
        </w:rPr>
        <w:drawing>
          <wp:inline distT="0" distB="0" distL="0" distR="0" wp14:anchorId="2B899C65" wp14:editId="2EFDCF68">
            <wp:extent cx="5904672" cy="2687541"/>
            <wp:effectExtent l="19050" t="0" r="19878"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FB80979" w14:textId="77777777" w:rsidR="00E53916" w:rsidRPr="00E869A4" w:rsidRDefault="00E53916" w:rsidP="00A35FF8">
      <w:pPr>
        <w:rPr>
          <w:rStyle w:val="IntenseEmphasis"/>
          <w:rFonts w:ascii="Times New Roman" w:hAnsi="Times New Roman" w:cs="Times New Roman"/>
          <w:i w:val="0"/>
          <w:color w:val="auto"/>
        </w:rPr>
      </w:pPr>
    </w:p>
    <w:p w14:paraId="09001A8D" w14:textId="23D15286" w:rsidR="00E53916" w:rsidRPr="00E869A4" w:rsidRDefault="00E53916" w:rsidP="00A35FF8">
      <w:pPr>
        <w:rPr>
          <w:rFonts w:ascii="Times New Roman" w:hAnsi="Times New Roman" w:cs="Times New Roman"/>
          <w:szCs w:val="24"/>
        </w:rPr>
      </w:pPr>
      <w:r w:rsidRPr="00E869A4">
        <w:rPr>
          <w:rFonts w:ascii="Times New Roman" w:hAnsi="Times New Roman" w:cs="Times New Roman"/>
          <w:szCs w:val="24"/>
        </w:rPr>
        <w:t>Almost half of the respondents (49%) would not consider institutionalising their relative under any circumstances. An almost equal proportion of respondents (44%) would only consider doing so if their older relative was severely dependent (</w:t>
      </w:r>
      <w:r w:rsidR="00DC12F1" w:rsidRPr="00E869A4">
        <w:rPr>
          <w:rFonts w:ascii="Times New Roman" w:hAnsi="Times New Roman" w:cs="Times New Roman"/>
          <w:szCs w:val="24"/>
        </w:rPr>
        <w:t>see Figure</w:t>
      </w:r>
      <w:r w:rsidR="00EF40ED" w:rsidRPr="00E869A4">
        <w:rPr>
          <w:rFonts w:ascii="Times New Roman" w:hAnsi="Times New Roman" w:cs="Times New Roman"/>
          <w:szCs w:val="24"/>
        </w:rPr>
        <w:t xml:space="preserve"> </w:t>
      </w:r>
      <w:r w:rsidR="0026235F" w:rsidRPr="00E869A4">
        <w:rPr>
          <w:rFonts w:ascii="Times New Roman" w:hAnsi="Times New Roman" w:cs="Times New Roman"/>
          <w:szCs w:val="24"/>
        </w:rPr>
        <w:t>32</w:t>
      </w:r>
      <w:r w:rsidR="00EF40ED" w:rsidRPr="00E869A4">
        <w:rPr>
          <w:rFonts w:ascii="Times New Roman" w:hAnsi="Times New Roman" w:cs="Times New Roman"/>
          <w:szCs w:val="24"/>
        </w:rPr>
        <w:t xml:space="preserve"> </w:t>
      </w:r>
      <w:r w:rsidRPr="00E869A4">
        <w:t>belo</w:t>
      </w:r>
      <w:r w:rsidRPr="00E869A4">
        <w:rPr>
          <w:rFonts w:ascii="Times New Roman" w:hAnsi="Times New Roman" w:cs="Times New Roman"/>
          <w:szCs w:val="24"/>
        </w:rPr>
        <w:t>w). One person explained that their value system kept them from considering institutionalisation: “I think that people, myself included, feel that it is a wrong thing because it feels as if I am abandoning her. This is a general impression, not just mine alone</w:t>
      </w:r>
      <w:r w:rsidR="00DC12F1" w:rsidRPr="00E869A4">
        <w:rPr>
          <w:rFonts w:ascii="Times New Roman" w:hAnsi="Times New Roman" w:cs="Times New Roman"/>
          <w:szCs w:val="24"/>
        </w:rPr>
        <w:t>.</w:t>
      </w:r>
      <w:r w:rsidRPr="00E869A4">
        <w:rPr>
          <w:rFonts w:ascii="Times New Roman" w:hAnsi="Times New Roman" w:cs="Times New Roman"/>
          <w:szCs w:val="24"/>
        </w:rPr>
        <w:t>” (</w:t>
      </w:r>
      <w:r w:rsidR="0004452B" w:rsidRPr="00E869A4">
        <w:rPr>
          <w:rFonts w:ascii="Times New Roman" w:hAnsi="Times New Roman" w:cs="Times New Roman"/>
          <w:szCs w:val="24"/>
        </w:rPr>
        <w:t>Respon</w:t>
      </w:r>
      <w:r w:rsidR="000A1797" w:rsidRPr="00E869A4">
        <w:rPr>
          <w:rFonts w:ascii="Times New Roman" w:hAnsi="Times New Roman" w:cs="Times New Roman"/>
          <w:szCs w:val="24"/>
        </w:rPr>
        <w:t>dent</w:t>
      </w:r>
      <w:r w:rsidRPr="00E869A4">
        <w:rPr>
          <w:rFonts w:ascii="Times New Roman" w:hAnsi="Times New Roman" w:cs="Times New Roman"/>
          <w:szCs w:val="24"/>
        </w:rPr>
        <w:t xml:space="preserve"> </w:t>
      </w:r>
      <w:r w:rsidR="000674D8" w:rsidRPr="00E869A4">
        <w:rPr>
          <w:rFonts w:ascii="Times New Roman" w:hAnsi="Times New Roman" w:cs="Times New Roman"/>
          <w:szCs w:val="24"/>
        </w:rPr>
        <w:t>X</w:t>
      </w:r>
      <w:r w:rsidRPr="00E869A4">
        <w:rPr>
          <w:rFonts w:ascii="Times New Roman" w:hAnsi="Times New Roman" w:cs="Times New Roman"/>
          <w:szCs w:val="24"/>
        </w:rPr>
        <w:t>)</w:t>
      </w:r>
      <w:r w:rsidR="000A1797" w:rsidRPr="00E869A4">
        <w:rPr>
          <w:rFonts w:ascii="Times New Roman" w:hAnsi="Times New Roman" w:cs="Times New Roman"/>
          <w:szCs w:val="24"/>
        </w:rPr>
        <w:t>.</w:t>
      </w:r>
      <w:r w:rsidR="00C54252" w:rsidRPr="00E869A4">
        <w:rPr>
          <w:rFonts w:ascii="Times New Roman" w:hAnsi="Times New Roman" w:cs="Times New Roman"/>
          <w:szCs w:val="24"/>
        </w:rPr>
        <w:t xml:space="preserve"> </w:t>
      </w:r>
      <w:r w:rsidR="0026235F" w:rsidRPr="00E869A4">
        <w:rPr>
          <w:rFonts w:ascii="Times New Roman" w:hAnsi="Times New Roman" w:cs="Times New Roman"/>
          <w:szCs w:val="24"/>
        </w:rPr>
        <w:t>However,</w:t>
      </w:r>
      <w:r w:rsidRPr="00E869A4">
        <w:rPr>
          <w:rFonts w:ascii="Times New Roman" w:hAnsi="Times New Roman" w:cs="Times New Roman"/>
          <w:szCs w:val="24"/>
        </w:rPr>
        <w:t xml:space="preserve"> not everyone shared this view. Another respondent expressed the following suspicions about some family caregivers who were unwilling to institutionalise their older relative: “Some families keep their older at home in order to exploit them of their old age pension and other financial support they may be receiving</w:t>
      </w:r>
      <w:r w:rsidR="00DC12F1" w:rsidRPr="00E869A4">
        <w:rPr>
          <w:rFonts w:ascii="Times New Roman" w:hAnsi="Times New Roman" w:cs="Times New Roman"/>
          <w:szCs w:val="24"/>
        </w:rPr>
        <w:t>.</w:t>
      </w:r>
      <w:r w:rsidRPr="00E869A4">
        <w:rPr>
          <w:rFonts w:ascii="Times New Roman" w:hAnsi="Times New Roman" w:cs="Times New Roman"/>
          <w:szCs w:val="24"/>
        </w:rPr>
        <w:t>” (</w:t>
      </w:r>
      <w:r w:rsidR="0004452B" w:rsidRPr="00E869A4">
        <w:rPr>
          <w:rFonts w:ascii="Times New Roman" w:hAnsi="Times New Roman" w:cs="Times New Roman"/>
          <w:szCs w:val="24"/>
        </w:rPr>
        <w:t>Respon</w:t>
      </w:r>
      <w:r w:rsidR="000A1797" w:rsidRPr="00E869A4">
        <w:rPr>
          <w:rFonts w:ascii="Times New Roman" w:hAnsi="Times New Roman" w:cs="Times New Roman"/>
          <w:szCs w:val="24"/>
        </w:rPr>
        <w:t>dent</w:t>
      </w:r>
      <w:r w:rsidRPr="00E869A4">
        <w:rPr>
          <w:rFonts w:ascii="Times New Roman" w:hAnsi="Times New Roman" w:cs="Times New Roman"/>
          <w:szCs w:val="24"/>
        </w:rPr>
        <w:t xml:space="preserve"> </w:t>
      </w:r>
      <w:r w:rsidR="000674D8" w:rsidRPr="00E869A4">
        <w:rPr>
          <w:rFonts w:ascii="Times New Roman" w:hAnsi="Times New Roman" w:cs="Times New Roman"/>
          <w:szCs w:val="24"/>
        </w:rPr>
        <w:t>Y</w:t>
      </w:r>
      <w:r w:rsidRPr="00E869A4">
        <w:rPr>
          <w:rFonts w:ascii="Times New Roman" w:hAnsi="Times New Roman" w:cs="Times New Roman"/>
          <w:szCs w:val="24"/>
        </w:rPr>
        <w:t>)</w:t>
      </w:r>
      <w:r w:rsidR="000A1797" w:rsidRPr="00E869A4">
        <w:rPr>
          <w:rFonts w:ascii="Times New Roman" w:hAnsi="Times New Roman" w:cs="Times New Roman"/>
          <w:szCs w:val="24"/>
        </w:rPr>
        <w:t>.</w:t>
      </w:r>
      <w:r w:rsidR="00C54252" w:rsidRPr="00E869A4">
        <w:rPr>
          <w:rFonts w:ascii="Times New Roman" w:hAnsi="Times New Roman" w:cs="Times New Roman"/>
          <w:szCs w:val="24"/>
        </w:rPr>
        <w:t xml:space="preserve"> Another</w:t>
      </w:r>
      <w:r w:rsidRPr="00E869A4">
        <w:rPr>
          <w:rFonts w:ascii="Times New Roman" w:hAnsi="Times New Roman" w:cs="Times New Roman"/>
          <w:szCs w:val="24"/>
        </w:rPr>
        <w:t xml:space="preserve"> person </w:t>
      </w:r>
      <w:r w:rsidR="000A1797" w:rsidRPr="00E869A4">
        <w:rPr>
          <w:rFonts w:ascii="Times New Roman" w:hAnsi="Times New Roman" w:cs="Times New Roman"/>
          <w:szCs w:val="24"/>
        </w:rPr>
        <w:t xml:space="preserve">(Respondent Z) </w:t>
      </w:r>
      <w:r w:rsidRPr="00E869A4">
        <w:rPr>
          <w:rFonts w:ascii="Times New Roman" w:hAnsi="Times New Roman" w:cs="Times New Roman"/>
          <w:szCs w:val="24"/>
        </w:rPr>
        <w:t xml:space="preserve">who supported institutionalisation was of the opinion that: </w:t>
      </w:r>
    </w:p>
    <w:p w14:paraId="64075741" w14:textId="77777777" w:rsidR="00EF40ED" w:rsidRPr="00E869A4" w:rsidRDefault="00EF40ED" w:rsidP="00DB4C33">
      <w:pPr>
        <w:spacing w:line="240" w:lineRule="auto"/>
        <w:rPr>
          <w:rFonts w:ascii="Times New Roman" w:hAnsi="Times New Roman" w:cs="Times New Roman"/>
          <w:szCs w:val="24"/>
        </w:rPr>
      </w:pPr>
    </w:p>
    <w:p w14:paraId="08AB561F" w14:textId="31A16FF3" w:rsidR="00E53916" w:rsidRPr="00E869A4" w:rsidRDefault="00E53916" w:rsidP="000A1797">
      <w:pPr>
        <w:spacing w:line="240" w:lineRule="auto"/>
        <w:ind w:left="720" w:firstLine="0"/>
        <w:rPr>
          <w:rFonts w:ascii="Times New Roman" w:hAnsi="Times New Roman" w:cs="Times New Roman"/>
          <w:szCs w:val="24"/>
        </w:rPr>
      </w:pPr>
      <w:r w:rsidRPr="00E869A4">
        <w:rPr>
          <w:rFonts w:ascii="Times New Roman" w:hAnsi="Times New Roman" w:cs="Times New Roman"/>
          <w:szCs w:val="24"/>
        </w:rPr>
        <w:lastRenderedPageBreak/>
        <w:t>The family has to ensure that this is what they really want to do, in taking care of the older relative because it is a very difficult task. It takes a lot of time and sometimes effort to tend to someone at mostly all time of the day when there are other things going on in one's life. If people know they are too busy and would not be able to fully commit to the act, get someone else to do it or consider an older home</w:t>
      </w:r>
      <w:r w:rsidR="000A1797" w:rsidRPr="00E869A4">
        <w:rPr>
          <w:rFonts w:ascii="Times New Roman" w:hAnsi="Times New Roman" w:cs="Times New Roman"/>
          <w:szCs w:val="24"/>
        </w:rPr>
        <w:t>.</w:t>
      </w:r>
    </w:p>
    <w:p w14:paraId="3013A041" w14:textId="77777777" w:rsidR="009227AA" w:rsidRPr="00E869A4" w:rsidRDefault="009227AA" w:rsidP="005E2C2F">
      <w:pPr>
        <w:pStyle w:val="Caption"/>
        <w:spacing w:line="360" w:lineRule="auto"/>
        <w:jc w:val="left"/>
        <w:rPr>
          <w:i w:val="0"/>
        </w:rPr>
      </w:pPr>
      <w:bookmarkStart w:id="423" w:name="_Ref492828757"/>
    </w:p>
    <w:p w14:paraId="4D090051" w14:textId="4264FF7C" w:rsidR="00F27953" w:rsidRPr="00E869A4" w:rsidRDefault="00F27953" w:rsidP="00F27953">
      <w:pPr>
        <w:jc w:val="center"/>
        <w:rPr>
          <w:b/>
        </w:rPr>
      </w:pPr>
      <w:bookmarkStart w:id="424" w:name="_Toc40436662"/>
      <w:bookmarkEnd w:id="423"/>
      <w:r w:rsidRPr="00E869A4">
        <w:rPr>
          <w:b/>
        </w:rPr>
        <w:t xml:space="preserve">Figure </w:t>
      </w:r>
      <w:r w:rsidR="0026235F" w:rsidRPr="00E869A4">
        <w:rPr>
          <w:b/>
        </w:rPr>
        <w:fldChar w:fldCharType="begin"/>
      </w:r>
      <w:r w:rsidR="0026235F" w:rsidRPr="00E869A4">
        <w:rPr>
          <w:b/>
        </w:rPr>
        <w:instrText xml:space="preserve"> SEQ Figure \* ARABIC </w:instrText>
      </w:r>
      <w:r w:rsidR="0026235F" w:rsidRPr="00E869A4">
        <w:rPr>
          <w:b/>
        </w:rPr>
        <w:fldChar w:fldCharType="separate"/>
      </w:r>
      <w:r w:rsidR="00D7239F">
        <w:rPr>
          <w:b/>
          <w:noProof/>
        </w:rPr>
        <w:t>32</w:t>
      </w:r>
      <w:r w:rsidR="0026235F" w:rsidRPr="00E869A4">
        <w:rPr>
          <w:b/>
        </w:rPr>
        <w:fldChar w:fldCharType="end"/>
      </w:r>
      <w:r w:rsidR="00D2467F" w:rsidRPr="00E869A4">
        <w:rPr>
          <w:b/>
        </w:rPr>
        <w:t>:</w:t>
      </w:r>
      <w:r w:rsidRPr="00E869A4">
        <w:rPr>
          <w:b/>
        </w:rPr>
        <w:t xml:space="preserve"> Willingness to Place Older Relative in a Long Term Care Facility</w:t>
      </w:r>
      <w:bookmarkEnd w:id="424"/>
    </w:p>
    <w:p w14:paraId="0C4D6EDD" w14:textId="77777777" w:rsidR="00F27953" w:rsidRPr="00E869A4" w:rsidRDefault="00F27953" w:rsidP="00F27953">
      <w:pPr>
        <w:jc w:val="center"/>
        <w:rPr>
          <w:b/>
        </w:rPr>
      </w:pPr>
    </w:p>
    <w:p w14:paraId="009D7382" w14:textId="77777777" w:rsidR="00E53916" w:rsidRPr="00E869A4" w:rsidRDefault="00E53916" w:rsidP="00A35FF8">
      <w:pPr>
        <w:rPr>
          <w:rFonts w:ascii="Times New Roman" w:hAnsi="Times New Roman" w:cs="Times New Roman"/>
        </w:rPr>
      </w:pPr>
      <w:r w:rsidRPr="00E869A4">
        <w:rPr>
          <w:rFonts w:ascii="Times New Roman" w:hAnsi="Times New Roman" w:cs="Times New Roman"/>
          <w:noProof/>
        </w:rPr>
        <w:drawing>
          <wp:inline distT="0" distB="0" distL="0" distR="0" wp14:anchorId="476115C7" wp14:editId="1E77DBF5">
            <wp:extent cx="5486400" cy="2311400"/>
            <wp:effectExtent l="0" t="0" r="19050" b="1270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364E78B" w14:textId="77777777" w:rsidR="00E53916" w:rsidRPr="00E869A4" w:rsidRDefault="00E53916" w:rsidP="00A35FF8">
      <w:pPr>
        <w:rPr>
          <w:rFonts w:ascii="Times New Roman" w:hAnsi="Times New Roman" w:cs="Times New Roman"/>
          <w:szCs w:val="24"/>
        </w:rPr>
      </w:pPr>
    </w:p>
    <w:p w14:paraId="41138482" w14:textId="4148A228" w:rsidR="002C300B" w:rsidRPr="00E869A4" w:rsidRDefault="00E53916" w:rsidP="00A35FF8">
      <w:pPr>
        <w:rPr>
          <w:rFonts w:ascii="Times New Roman" w:hAnsi="Times New Roman" w:cs="Times New Roman"/>
        </w:rPr>
      </w:pPr>
      <w:r w:rsidRPr="00E869A4">
        <w:rPr>
          <w:rFonts w:ascii="Times New Roman" w:hAnsi="Times New Roman" w:cs="Times New Roman"/>
        </w:rPr>
        <w:t>As seen in</w:t>
      </w:r>
      <w:r w:rsidR="002C300B" w:rsidRPr="00E869A4">
        <w:rPr>
          <w:rFonts w:ascii="Times New Roman" w:hAnsi="Times New Roman" w:cs="Times New Roman"/>
        </w:rPr>
        <w:t xml:space="preserve"> </w:t>
      </w:r>
      <w:r w:rsidR="0026235F" w:rsidRPr="00E869A4">
        <w:rPr>
          <w:rFonts w:ascii="Times New Roman" w:hAnsi="Times New Roman" w:cs="Times New Roman"/>
        </w:rPr>
        <w:t>Table 21</w:t>
      </w:r>
      <w:r w:rsidRPr="00E869A4">
        <w:rPr>
          <w:rFonts w:ascii="Times New Roman" w:hAnsi="Times New Roman" w:cs="Times New Roman"/>
        </w:rPr>
        <w:t xml:space="preserve"> below, the majority of respondents (60%) strongly agreed that the quality of institutional care was the main deterrent to institutionali</w:t>
      </w:r>
      <w:r w:rsidR="00AD0CE0" w:rsidRPr="00E869A4">
        <w:rPr>
          <w:rFonts w:ascii="Times New Roman" w:hAnsi="Times New Roman" w:cs="Times New Roman"/>
        </w:rPr>
        <w:t>s</w:t>
      </w:r>
      <w:r w:rsidRPr="00E869A4">
        <w:rPr>
          <w:rFonts w:ascii="Times New Roman" w:hAnsi="Times New Roman" w:cs="Times New Roman"/>
        </w:rPr>
        <w:t xml:space="preserve">ation, and about half the respondents feared that </w:t>
      </w:r>
      <w:r w:rsidR="00AD0CE0" w:rsidRPr="00E869A4">
        <w:rPr>
          <w:rFonts w:ascii="Times New Roman" w:hAnsi="Times New Roman" w:cs="Times New Roman"/>
        </w:rPr>
        <w:t>institutionalisation</w:t>
      </w:r>
      <w:r w:rsidRPr="00E869A4">
        <w:rPr>
          <w:rFonts w:ascii="Times New Roman" w:hAnsi="Times New Roman" w:cs="Times New Roman"/>
        </w:rPr>
        <w:t xml:space="preserve"> might lead to the early death of their older relative (50%). </w:t>
      </w:r>
      <w:r w:rsidR="002C300B" w:rsidRPr="00E869A4">
        <w:rPr>
          <w:rFonts w:ascii="Times New Roman" w:hAnsi="Times New Roman" w:cs="Times New Roman"/>
        </w:rPr>
        <w:t xml:space="preserve"> One respondent</w:t>
      </w:r>
      <w:r w:rsidR="005E2C2F" w:rsidRPr="00E869A4">
        <w:rPr>
          <w:rFonts w:ascii="Times New Roman" w:hAnsi="Times New Roman" w:cs="Times New Roman"/>
        </w:rPr>
        <w:t xml:space="preserve"> (A1)</w:t>
      </w:r>
      <w:r w:rsidR="002C300B" w:rsidRPr="00E869A4">
        <w:rPr>
          <w:rFonts w:ascii="Times New Roman" w:hAnsi="Times New Roman" w:cs="Times New Roman"/>
        </w:rPr>
        <w:t xml:space="preserve"> shared the following experience: </w:t>
      </w:r>
    </w:p>
    <w:p w14:paraId="24CF395F" w14:textId="64F000CD" w:rsidR="00EF40ED" w:rsidRPr="00E869A4" w:rsidRDefault="00EF40ED" w:rsidP="00217B41">
      <w:pPr>
        <w:spacing w:line="240" w:lineRule="auto"/>
        <w:ind w:left="720"/>
        <w:rPr>
          <w:rFonts w:ascii="Times New Roman" w:hAnsi="Times New Roman" w:cs="Times New Roman"/>
        </w:rPr>
      </w:pPr>
    </w:p>
    <w:p w14:paraId="3CD8ADE8" w14:textId="42B95F66" w:rsidR="002C300B" w:rsidRPr="00E869A4" w:rsidRDefault="002C300B" w:rsidP="005E2C2F">
      <w:pPr>
        <w:spacing w:line="240" w:lineRule="auto"/>
        <w:ind w:left="720" w:firstLine="0"/>
        <w:rPr>
          <w:rFonts w:ascii="Times New Roman" w:hAnsi="Times New Roman" w:cs="Times New Roman"/>
          <w:szCs w:val="24"/>
        </w:rPr>
      </w:pPr>
      <w:r w:rsidRPr="00E869A4">
        <w:rPr>
          <w:rFonts w:ascii="Times New Roman" w:hAnsi="Times New Roman" w:cs="Times New Roman"/>
          <w:szCs w:val="24"/>
        </w:rPr>
        <w:t>Moving them out of the comfort of their homes causes severe emotional stress and feeling that they are burden to their children.  I know of one relative whose children placed her in a home where she cried for a day and died the following day</w:t>
      </w:r>
      <w:r w:rsidR="005E2C2F" w:rsidRPr="00E869A4">
        <w:rPr>
          <w:rFonts w:ascii="Times New Roman" w:hAnsi="Times New Roman" w:cs="Times New Roman"/>
          <w:szCs w:val="24"/>
        </w:rPr>
        <w:t>.</w:t>
      </w:r>
    </w:p>
    <w:p w14:paraId="5F946031" w14:textId="7E3F5AAE" w:rsidR="00914F59" w:rsidRPr="00E869A4" w:rsidRDefault="00914F59" w:rsidP="00217B41">
      <w:pPr>
        <w:spacing w:line="240" w:lineRule="auto"/>
        <w:ind w:left="720"/>
        <w:rPr>
          <w:rFonts w:ascii="Times New Roman" w:hAnsi="Times New Roman" w:cs="Times New Roman"/>
          <w:szCs w:val="24"/>
        </w:rPr>
      </w:pPr>
    </w:p>
    <w:p w14:paraId="5A3B1982" w14:textId="17B9E95B" w:rsidR="002C300B" w:rsidRPr="00E869A4" w:rsidRDefault="002C300B" w:rsidP="005E2C2F">
      <w:pPr>
        <w:rPr>
          <w:rFonts w:ascii="Times New Roman" w:hAnsi="Times New Roman" w:cs="Times New Roman"/>
        </w:rPr>
      </w:pPr>
      <w:r w:rsidRPr="00E869A4">
        <w:rPr>
          <w:rFonts w:ascii="Times New Roman" w:hAnsi="Times New Roman" w:cs="Times New Roman"/>
        </w:rPr>
        <w:t>The concerns the</w:t>
      </w:r>
      <w:r w:rsidR="00A163EF" w:rsidRPr="00E869A4">
        <w:rPr>
          <w:rFonts w:ascii="Times New Roman" w:hAnsi="Times New Roman" w:cs="Times New Roman"/>
        </w:rPr>
        <w:t>se survey participants</w:t>
      </w:r>
      <w:r w:rsidRPr="00E869A4">
        <w:rPr>
          <w:rFonts w:ascii="Times New Roman" w:hAnsi="Times New Roman" w:cs="Times New Roman"/>
        </w:rPr>
        <w:t xml:space="preserve"> expressed are consistent with various studies that have shown the negative emotional and physical effects of institutionalisation on older people (e.g. </w:t>
      </w:r>
      <w:r w:rsidR="00DC12F1" w:rsidRPr="00E869A4">
        <w:rPr>
          <w:rFonts w:ascii="Times New Roman" w:hAnsi="Times New Roman" w:cs="Times New Roman"/>
        </w:rPr>
        <w:t>Anderson 1967; Baum 1977 cited in Hill 1978; Castle</w:t>
      </w:r>
      <w:r w:rsidR="00FB0C90" w:rsidRPr="00E869A4">
        <w:rPr>
          <w:rFonts w:ascii="Times New Roman" w:hAnsi="Times New Roman" w:cs="Times New Roman"/>
        </w:rPr>
        <w:t xml:space="preserve"> 2001</w:t>
      </w:r>
      <w:r w:rsidR="00DC12F1" w:rsidRPr="00E869A4">
        <w:rPr>
          <w:rFonts w:ascii="Times New Roman" w:hAnsi="Times New Roman" w:cs="Times New Roman"/>
        </w:rPr>
        <w:t>; Kasl</w:t>
      </w:r>
      <w:r w:rsidR="003B61D0" w:rsidRPr="00E869A4">
        <w:rPr>
          <w:rFonts w:ascii="Times New Roman" w:hAnsi="Times New Roman" w:cs="Times New Roman"/>
        </w:rPr>
        <w:t xml:space="preserve"> 1972; </w:t>
      </w:r>
      <w:r w:rsidR="00DC12F1" w:rsidRPr="00E869A4">
        <w:rPr>
          <w:rFonts w:ascii="Times New Roman" w:hAnsi="Times New Roman" w:cs="Times New Roman"/>
        </w:rPr>
        <w:t xml:space="preserve">Lieberman, Prock &amp; Tobin 1968; </w:t>
      </w:r>
      <w:r w:rsidRPr="00E869A4">
        <w:rPr>
          <w:rFonts w:ascii="Times New Roman" w:hAnsi="Times New Roman" w:cs="Times New Roman"/>
        </w:rPr>
        <w:t>Prock 1969</w:t>
      </w:r>
      <w:r w:rsidR="00F22A98" w:rsidRPr="00E869A4">
        <w:rPr>
          <w:rFonts w:ascii="Times New Roman" w:hAnsi="Times New Roman" w:cs="Times New Roman"/>
        </w:rPr>
        <w:t xml:space="preserve">; </w:t>
      </w:r>
      <w:r w:rsidR="00DC12F1" w:rsidRPr="00E869A4">
        <w:rPr>
          <w:rFonts w:ascii="Times New Roman" w:hAnsi="Times New Roman" w:cs="Times New Roman"/>
        </w:rPr>
        <w:t>Rowland 1977; Thorson &amp; Davis 2000</w:t>
      </w:r>
      <w:r w:rsidRPr="00E869A4">
        <w:rPr>
          <w:rFonts w:ascii="Times New Roman" w:hAnsi="Times New Roman" w:cs="Times New Roman"/>
        </w:rPr>
        <w:t xml:space="preserve">). </w:t>
      </w:r>
    </w:p>
    <w:p w14:paraId="284E64AC" w14:textId="2B483A01" w:rsidR="00F01D68" w:rsidRPr="00E869A4" w:rsidRDefault="00F01D68" w:rsidP="00A35FF8">
      <w:pPr>
        <w:rPr>
          <w:rFonts w:ascii="Times New Roman" w:hAnsi="Times New Roman" w:cs="Times New Roman"/>
        </w:rPr>
      </w:pPr>
    </w:p>
    <w:p w14:paraId="1056330E" w14:textId="77777777" w:rsidR="00D14F01" w:rsidRPr="00E869A4" w:rsidRDefault="00D14F01">
      <w:pPr>
        <w:rPr>
          <w:b/>
          <w:iCs/>
        </w:rPr>
      </w:pPr>
      <w:r w:rsidRPr="00E869A4">
        <w:rPr>
          <w:b/>
          <w:i/>
        </w:rPr>
        <w:br w:type="page"/>
      </w:r>
    </w:p>
    <w:p w14:paraId="2390ACD7" w14:textId="773D93A6" w:rsidR="0026235F" w:rsidRPr="00E869A4" w:rsidRDefault="0026235F" w:rsidP="0026235F">
      <w:pPr>
        <w:pStyle w:val="Caption"/>
        <w:tabs>
          <w:tab w:val="left" w:pos="2535"/>
          <w:tab w:val="center" w:pos="6763"/>
        </w:tabs>
        <w:rPr>
          <w:b/>
          <w:i w:val="0"/>
          <w:sz w:val="24"/>
        </w:rPr>
      </w:pPr>
      <w:bookmarkStart w:id="425" w:name="_Toc40436620"/>
      <w:r w:rsidRPr="00E869A4">
        <w:rPr>
          <w:b/>
          <w:i w:val="0"/>
          <w:sz w:val="24"/>
        </w:rPr>
        <w:lastRenderedPageBreak/>
        <w:t xml:space="preserve">Table </w:t>
      </w:r>
      <w:r w:rsidRPr="00E869A4">
        <w:rPr>
          <w:b/>
          <w:i w:val="0"/>
          <w:sz w:val="24"/>
        </w:rPr>
        <w:fldChar w:fldCharType="begin"/>
      </w:r>
      <w:r w:rsidRPr="00E869A4">
        <w:rPr>
          <w:b/>
          <w:i w:val="0"/>
          <w:sz w:val="24"/>
        </w:rPr>
        <w:instrText xml:space="preserve"> SEQ Table \* ARABIC </w:instrText>
      </w:r>
      <w:r w:rsidRPr="00E869A4">
        <w:rPr>
          <w:b/>
          <w:i w:val="0"/>
          <w:sz w:val="24"/>
        </w:rPr>
        <w:fldChar w:fldCharType="separate"/>
      </w:r>
      <w:r w:rsidR="00D7239F">
        <w:rPr>
          <w:b/>
          <w:i w:val="0"/>
          <w:noProof/>
          <w:sz w:val="24"/>
        </w:rPr>
        <w:t>21</w:t>
      </w:r>
      <w:r w:rsidRPr="00E869A4">
        <w:rPr>
          <w:b/>
          <w:i w:val="0"/>
          <w:sz w:val="24"/>
        </w:rPr>
        <w:fldChar w:fldCharType="end"/>
      </w:r>
      <w:r w:rsidRPr="00E869A4">
        <w:rPr>
          <w:b/>
          <w:i w:val="0"/>
          <w:sz w:val="24"/>
        </w:rPr>
        <w:t>: Factors Preventing Families from Institutionalising a Chronically Ill Older Relative</w:t>
      </w:r>
      <w:bookmarkEnd w:id="425"/>
    </w:p>
    <w:p w14:paraId="0043881B" w14:textId="77777777" w:rsidR="0026235F" w:rsidRPr="00E869A4" w:rsidRDefault="0026235F" w:rsidP="0026235F">
      <w:pPr>
        <w:jc w:val="center"/>
        <w:rPr>
          <w:b/>
        </w:rPr>
      </w:pPr>
    </w:p>
    <w:tbl>
      <w:tblPr>
        <w:tblStyle w:val="TableGrid"/>
        <w:tblW w:w="9569" w:type="dxa"/>
        <w:jc w:val="center"/>
        <w:tblLook w:val="04A0" w:firstRow="1" w:lastRow="0" w:firstColumn="1" w:lastColumn="0" w:noHBand="0" w:noVBand="1"/>
      </w:tblPr>
      <w:tblGrid>
        <w:gridCol w:w="3107"/>
        <w:gridCol w:w="1298"/>
        <w:gridCol w:w="963"/>
        <w:gridCol w:w="1366"/>
        <w:gridCol w:w="1069"/>
        <w:gridCol w:w="1069"/>
        <w:gridCol w:w="697"/>
      </w:tblGrid>
      <w:tr w:rsidR="00C714D3" w:rsidRPr="00E869A4" w14:paraId="676AFFEA" w14:textId="77777777" w:rsidTr="00E009D6">
        <w:trPr>
          <w:tblHeader/>
          <w:jc w:val="center"/>
        </w:trPr>
        <w:tc>
          <w:tcPr>
            <w:tcW w:w="3107" w:type="dxa"/>
            <w:tcBorders>
              <w:top w:val="single" w:sz="4" w:space="0" w:color="auto"/>
              <w:left w:val="single" w:sz="4" w:space="0" w:color="auto"/>
              <w:bottom w:val="single" w:sz="4" w:space="0" w:color="auto"/>
              <w:right w:val="single" w:sz="4" w:space="0" w:color="auto"/>
            </w:tcBorders>
          </w:tcPr>
          <w:p w14:paraId="39C918AD" w14:textId="2DFB00EB" w:rsidR="0026235F" w:rsidRPr="00E869A4" w:rsidRDefault="0026235F" w:rsidP="00810B74">
            <w:pPr>
              <w:rPr>
                <w:rFonts w:ascii="Times New Roman" w:hAnsi="Times New Roman" w:cs="Times New Roman"/>
                <w:sz w:val="22"/>
                <w:szCs w:val="23"/>
              </w:rPr>
            </w:pPr>
          </w:p>
        </w:tc>
        <w:tc>
          <w:tcPr>
            <w:tcW w:w="1298" w:type="dxa"/>
            <w:tcBorders>
              <w:top w:val="single" w:sz="4" w:space="0" w:color="auto"/>
              <w:left w:val="single" w:sz="4" w:space="0" w:color="auto"/>
              <w:bottom w:val="single" w:sz="4" w:space="0" w:color="auto"/>
              <w:right w:val="single" w:sz="4" w:space="0" w:color="auto"/>
            </w:tcBorders>
            <w:hideMark/>
          </w:tcPr>
          <w:p w14:paraId="72C46669"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Strongly</w:t>
            </w:r>
          </w:p>
          <w:p w14:paraId="7399AFE5"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Agree</w:t>
            </w:r>
          </w:p>
        </w:tc>
        <w:tc>
          <w:tcPr>
            <w:tcW w:w="963" w:type="dxa"/>
            <w:tcBorders>
              <w:top w:val="single" w:sz="4" w:space="0" w:color="auto"/>
              <w:left w:val="single" w:sz="4" w:space="0" w:color="auto"/>
              <w:bottom w:val="single" w:sz="4" w:space="0" w:color="auto"/>
              <w:right w:val="single" w:sz="4" w:space="0" w:color="auto"/>
            </w:tcBorders>
            <w:hideMark/>
          </w:tcPr>
          <w:p w14:paraId="69FDD7A7"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Agree</w:t>
            </w:r>
          </w:p>
        </w:tc>
        <w:tc>
          <w:tcPr>
            <w:tcW w:w="1366" w:type="dxa"/>
            <w:tcBorders>
              <w:top w:val="single" w:sz="4" w:space="0" w:color="auto"/>
              <w:left w:val="single" w:sz="4" w:space="0" w:color="auto"/>
              <w:bottom w:val="single" w:sz="4" w:space="0" w:color="auto"/>
              <w:right w:val="single" w:sz="4" w:space="0" w:color="auto"/>
            </w:tcBorders>
            <w:hideMark/>
          </w:tcPr>
          <w:p w14:paraId="4A471E6C"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Neither Agree nor</w:t>
            </w:r>
          </w:p>
          <w:p w14:paraId="2566FFA2"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Disagree</w:t>
            </w:r>
          </w:p>
        </w:tc>
        <w:tc>
          <w:tcPr>
            <w:tcW w:w="1069" w:type="dxa"/>
            <w:tcBorders>
              <w:top w:val="single" w:sz="4" w:space="0" w:color="auto"/>
              <w:left w:val="single" w:sz="4" w:space="0" w:color="auto"/>
              <w:bottom w:val="single" w:sz="4" w:space="0" w:color="auto"/>
              <w:right w:val="single" w:sz="4" w:space="0" w:color="auto"/>
            </w:tcBorders>
            <w:hideMark/>
          </w:tcPr>
          <w:p w14:paraId="7B69C0FD"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Disagree</w:t>
            </w:r>
          </w:p>
        </w:tc>
        <w:tc>
          <w:tcPr>
            <w:tcW w:w="1069" w:type="dxa"/>
            <w:tcBorders>
              <w:top w:val="single" w:sz="4" w:space="0" w:color="auto"/>
              <w:left w:val="single" w:sz="4" w:space="0" w:color="auto"/>
              <w:bottom w:val="single" w:sz="4" w:space="0" w:color="auto"/>
              <w:right w:val="single" w:sz="4" w:space="0" w:color="auto"/>
            </w:tcBorders>
            <w:hideMark/>
          </w:tcPr>
          <w:p w14:paraId="231DB3A1"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Strongly</w:t>
            </w:r>
          </w:p>
          <w:p w14:paraId="4580FBC8"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Disagree</w:t>
            </w:r>
          </w:p>
        </w:tc>
        <w:tc>
          <w:tcPr>
            <w:tcW w:w="697" w:type="dxa"/>
            <w:tcBorders>
              <w:top w:val="single" w:sz="4" w:space="0" w:color="auto"/>
              <w:left w:val="single" w:sz="4" w:space="0" w:color="auto"/>
              <w:bottom w:val="single" w:sz="4" w:space="0" w:color="auto"/>
              <w:right w:val="single" w:sz="4" w:space="0" w:color="auto"/>
            </w:tcBorders>
            <w:hideMark/>
          </w:tcPr>
          <w:p w14:paraId="00480EC3" w14:textId="77777777" w:rsidR="0026235F" w:rsidRPr="00E869A4" w:rsidRDefault="0026235F" w:rsidP="00810B74">
            <w:pPr>
              <w:ind w:firstLine="55"/>
              <w:jc w:val="center"/>
              <w:rPr>
                <w:rFonts w:ascii="Times New Roman" w:hAnsi="Times New Roman" w:cs="Times New Roman"/>
                <w:sz w:val="22"/>
                <w:szCs w:val="23"/>
              </w:rPr>
            </w:pPr>
            <w:r w:rsidRPr="00E869A4">
              <w:rPr>
                <w:rFonts w:ascii="Times New Roman" w:hAnsi="Times New Roman" w:cs="Times New Roman"/>
                <w:sz w:val="22"/>
                <w:szCs w:val="23"/>
              </w:rPr>
              <w:t>n</w:t>
            </w:r>
          </w:p>
        </w:tc>
      </w:tr>
      <w:tr w:rsidR="00C714D3" w:rsidRPr="00E869A4" w14:paraId="2367F57E" w14:textId="77777777" w:rsidTr="00E009D6">
        <w:trPr>
          <w:jc w:val="center"/>
        </w:trPr>
        <w:tc>
          <w:tcPr>
            <w:tcW w:w="3107" w:type="dxa"/>
            <w:tcBorders>
              <w:top w:val="single" w:sz="4" w:space="0" w:color="auto"/>
              <w:left w:val="single" w:sz="4" w:space="0" w:color="auto"/>
              <w:bottom w:val="single" w:sz="4" w:space="0" w:color="auto"/>
              <w:right w:val="single" w:sz="4" w:space="0" w:color="auto"/>
            </w:tcBorders>
            <w:hideMark/>
          </w:tcPr>
          <w:p w14:paraId="0EE8B33E" w14:textId="77777777" w:rsidR="0026235F" w:rsidRPr="00E869A4" w:rsidRDefault="0026235F" w:rsidP="00810B74">
            <w:pPr>
              <w:ind w:firstLine="0"/>
              <w:rPr>
                <w:rFonts w:ascii="Times New Roman" w:hAnsi="Times New Roman" w:cs="Times New Roman"/>
                <w:sz w:val="22"/>
                <w:szCs w:val="23"/>
              </w:rPr>
            </w:pPr>
            <w:r w:rsidRPr="00E869A4">
              <w:rPr>
                <w:rFonts w:ascii="Times New Roman" w:hAnsi="Times New Roman" w:cs="Times New Roman"/>
                <w:sz w:val="22"/>
                <w:szCs w:val="23"/>
              </w:rPr>
              <w:t>Cost of institutional care</w:t>
            </w:r>
          </w:p>
        </w:tc>
        <w:tc>
          <w:tcPr>
            <w:tcW w:w="1298" w:type="dxa"/>
            <w:tcBorders>
              <w:top w:val="single" w:sz="4" w:space="0" w:color="auto"/>
              <w:left w:val="single" w:sz="4" w:space="0" w:color="auto"/>
              <w:bottom w:val="single" w:sz="4" w:space="0" w:color="auto"/>
              <w:right w:val="single" w:sz="4" w:space="0" w:color="auto"/>
            </w:tcBorders>
            <w:hideMark/>
          </w:tcPr>
          <w:p w14:paraId="1030FD5C"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46.19%</w:t>
            </w:r>
          </w:p>
        </w:tc>
        <w:tc>
          <w:tcPr>
            <w:tcW w:w="963" w:type="dxa"/>
            <w:tcBorders>
              <w:top w:val="single" w:sz="4" w:space="0" w:color="auto"/>
              <w:left w:val="single" w:sz="4" w:space="0" w:color="auto"/>
              <w:bottom w:val="single" w:sz="4" w:space="0" w:color="auto"/>
              <w:right w:val="single" w:sz="4" w:space="0" w:color="auto"/>
            </w:tcBorders>
            <w:hideMark/>
          </w:tcPr>
          <w:p w14:paraId="42746FDD"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32.99%</w:t>
            </w:r>
          </w:p>
        </w:tc>
        <w:tc>
          <w:tcPr>
            <w:tcW w:w="1366" w:type="dxa"/>
            <w:tcBorders>
              <w:top w:val="single" w:sz="4" w:space="0" w:color="auto"/>
              <w:left w:val="single" w:sz="4" w:space="0" w:color="auto"/>
              <w:bottom w:val="single" w:sz="4" w:space="0" w:color="auto"/>
              <w:right w:val="single" w:sz="4" w:space="0" w:color="auto"/>
            </w:tcBorders>
            <w:hideMark/>
          </w:tcPr>
          <w:p w14:paraId="07F44908"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13.71%</w:t>
            </w:r>
          </w:p>
        </w:tc>
        <w:tc>
          <w:tcPr>
            <w:tcW w:w="1069" w:type="dxa"/>
            <w:tcBorders>
              <w:top w:val="single" w:sz="4" w:space="0" w:color="auto"/>
              <w:left w:val="single" w:sz="4" w:space="0" w:color="auto"/>
              <w:bottom w:val="single" w:sz="4" w:space="0" w:color="auto"/>
              <w:right w:val="single" w:sz="4" w:space="0" w:color="auto"/>
            </w:tcBorders>
            <w:hideMark/>
          </w:tcPr>
          <w:p w14:paraId="41A25FEB"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5.58%</w:t>
            </w:r>
          </w:p>
        </w:tc>
        <w:tc>
          <w:tcPr>
            <w:tcW w:w="1069" w:type="dxa"/>
            <w:tcBorders>
              <w:top w:val="single" w:sz="4" w:space="0" w:color="auto"/>
              <w:left w:val="single" w:sz="4" w:space="0" w:color="auto"/>
              <w:bottom w:val="single" w:sz="4" w:space="0" w:color="auto"/>
              <w:right w:val="single" w:sz="4" w:space="0" w:color="auto"/>
            </w:tcBorders>
            <w:hideMark/>
          </w:tcPr>
          <w:p w14:paraId="0D469410"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1.52%</w:t>
            </w:r>
          </w:p>
        </w:tc>
        <w:tc>
          <w:tcPr>
            <w:tcW w:w="697" w:type="dxa"/>
            <w:tcBorders>
              <w:top w:val="single" w:sz="4" w:space="0" w:color="auto"/>
              <w:left w:val="single" w:sz="4" w:space="0" w:color="auto"/>
              <w:bottom w:val="single" w:sz="4" w:space="0" w:color="auto"/>
              <w:right w:val="single" w:sz="4" w:space="0" w:color="auto"/>
            </w:tcBorders>
            <w:hideMark/>
          </w:tcPr>
          <w:p w14:paraId="67AAED8C"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197</w:t>
            </w:r>
          </w:p>
        </w:tc>
      </w:tr>
      <w:tr w:rsidR="00C714D3" w:rsidRPr="00E869A4" w14:paraId="118A9400" w14:textId="77777777" w:rsidTr="00E009D6">
        <w:trPr>
          <w:jc w:val="center"/>
        </w:trPr>
        <w:tc>
          <w:tcPr>
            <w:tcW w:w="3107" w:type="dxa"/>
            <w:tcBorders>
              <w:top w:val="single" w:sz="4" w:space="0" w:color="auto"/>
              <w:left w:val="single" w:sz="4" w:space="0" w:color="auto"/>
              <w:bottom w:val="single" w:sz="4" w:space="0" w:color="auto"/>
              <w:right w:val="single" w:sz="4" w:space="0" w:color="auto"/>
            </w:tcBorders>
            <w:hideMark/>
          </w:tcPr>
          <w:p w14:paraId="6641B03F" w14:textId="77777777" w:rsidR="0026235F" w:rsidRPr="00E869A4" w:rsidRDefault="0026235F" w:rsidP="00810B74">
            <w:pPr>
              <w:ind w:firstLine="0"/>
              <w:rPr>
                <w:rFonts w:ascii="Times New Roman" w:hAnsi="Times New Roman" w:cs="Times New Roman"/>
                <w:sz w:val="22"/>
                <w:szCs w:val="23"/>
              </w:rPr>
            </w:pPr>
            <w:r w:rsidRPr="00E869A4">
              <w:rPr>
                <w:rFonts w:ascii="Times New Roman" w:hAnsi="Times New Roman" w:cs="Times New Roman"/>
                <w:sz w:val="22"/>
                <w:szCs w:val="23"/>
              </w:rPr>
              <w:t>Quality of institutional care</w:t>
            </w:r>
          </w:p>
        </w:tc>
        <w:tc>
          <w:tcPr>
            <w:tcW w:w="1298" w:type="dxa"/>
            <w:tcBorders>
              <w:top w:val="single" w:sz="4" w:space="0" w:color="auto"/>
              <w:left w:val="single" w:sz="4" w:space="0" w:color="auto"/>
              <w:bottom w:val="single" w:sz="4" w:space="0" w:color="auto"/>
              <w:right w:val="single" w:sz="4" w:space="0" w:color="auto"/>
            </w:tcBorders>
            <w:hideMark/>
          </w:tcPr>
          <w:p w14:paraId="01135A0D"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59.90%</w:t>
            </w:r>
          </w:p>
        </w:tc>
        <w:tc>
          <w:tcPr>
            <w:tcW w:w="963" w:type="dxa"/>
            <w:tcBorders>
              <w:top w:val="single" w:sz="4" w:space="0" w:color="auto"/>
              <w:left w:val="single" w:sz="4" w:space="0" w:color="auto"/>
              <w:bottom w:val="single" w:sz="4" w:space="0" w:color="auto"/>
              <w:right w:val="single" w:sz="4" w:space="0" w:color="auto"/>
            </w:tcBorders>
            <w:hideMark/>
          </w:tcPr>
          <w:p w14:paraId="5E724D2F"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31.25%</w:t>
            </w:r>
          </w:p>
        </w:tc>
        <w:tc>
          <w:tcPr>
            <w:tcW w:w="1366" w:type="dxa"/>
            <w:tcBorders>
              <w:top w:val="single" w:sz="4" w:space="0" w:color="auto"/>
              <w:left w:val="single" w:sz="4" w:space="0" w:color="auto"/>
              <w:bottom w:val="single" w:sz="4" w:space="0" w:color="auto"/>
              <w:right w:val="single" w:sz="4" w:space="0" w:color="auto"/>
            </w:tcBorders>
            <w:hideMark/>
          </w:tcPr>
          <w:p w14:paraId="6207E136"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6.77%</w:t>
            </w:r>
          </w:p>
        </w:tc>
        <w:tc>
          <w:tcPr>
            <w:tcW w:w="1069" w:type="dxa"/>
            <w:tcBorders>
              <w:top w:val="single" w:sz="4" w:space="0" w:color="auto"/>
              <w:left w:val="single" w:sz="4" w:space="0" w:color="auto"/>
              <w:bottom w:val="single" w:sz="4" w:space="0" w:color="auto"/>
              <w:right w:val="single" w:sz="4" w:space="0" w:color="auto"/>
            </w:tcBorders>
            <w:hideMark/>
          </w:tcPr>
          <w:p w14:paraId="6357B174"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2.08%</w:t>
            </w:r>
          </w:p>
        </w:tc>
        <w:tc>
          <w:tcPr>
            <w:tcW w:w="1069" w:type="dxa"/>
            <w:tcBorders>
              <w:top w:val="single" w:sz="4" w:space="0" w:color="auto"/>
              <w:left w:val="single" w:sz="4" w:space="0" w:color="auto"/>
              <w:bottom w:val="single" w:sz="4" w:space="0" w:color="auto"/>
              <w:right w:val="single" w:sz="4" w:space="0" w:color="auto"/>
            </w:tcBorders>
            <w:hideMark/>
          </w:tcPr>
          <w:p w14:paraId="363F8B01"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0%</w:t>
            </w:r>
          </w:p>
        </w:tc>
        <w:tc>
          <w:tcPr>
            <w:tcW w:w="697" w:type="dxa"/>
            <w:tcBorders>
              <w:top w:val="single" w:sz="4" w:space="0" w:color="auto"/>
              <w:left w:val="single" w:sz="4" w:space="0" w:color="auto"/>
              <w:bottom w:val="single" w:sz="4" w:space="0" w:color="auto"/>
              <w:right w:val="single" w:sz="4" w:space="0" w:color="auto"/>
            </w:tcBorders>
            <w:hideMark/>
          </w:tcPr>
          <w:p w14:paraId="3EC4735D"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192</w:t>
            </w:r>
          </w:p>
        </w:tc>
      </w:tr>
      <w:tr w:rsidR="00C714D3" w:rsidRPr="00E869A4" w14:paraId="502B1DF3" w14:textId="77777777" w:rsidTr="00E009D6">
        <w:trPr>
          <w:jc w:val="center"/>
        </w:trPr>
        <w:tc>
          <w:tcPr>
            <w:tcW w:w="3107" w:type="dxa"/>
            <w:tcBorders>
              <w:top w:val="single" w:sz="4" w:space="0" w:color="auto"/>
              <w:left w:val="single" w:sz="4" w:space="0" w:color="auto"/>
              <w:bottom w:val="single" w:sz="4" w:space="0" w:color="auto"/>
              <w:right w:val="single" w:sz="4" w:space="0" w:color="auto"/>
            </w:tcBorders>
            <w:hideMark/>
          </w:tcPr>
          <w:p w14:paraId="0C5C75FB" w14:textId="77777777" w:rsidR="0026235F" w:rsidRPr="00E869A4" w:rsidRDefault="0026235F" w:rsidP="00810B74">
            <w:pPr>
              <w:ind w:firstLine="0"/>
              <w:rPr>
                <w:rFonts w:ascii="Times New Roman" w:hAnsi="Times New Roman" w:cs="Times New Roman"/>
                <w:sz w:val="22"/>
                <w:szCs w:val="23"/>
              </w:rPr>
            </w:pPr>
            <w:r w:rsidRPr="00E869A4">
              <w:rPr>
                <w:rFonts w:ascii="Times New Roman" w:hAnsi="Times New Roman" w:cs="Times New Roman"/>
                <w:sz w:val="22"/>
                <w:szCs w:val="23"/>
              </w:rPr>
              <w:t>Sense of duty to provide care to older relative in the family home</w:t>
            </w:r>
          </w:p>
        </w:tc>
        <w:tc>
          <w:tcPr>
            <w:tcW w:w="1298" w:type="dxa"/>
            <w:tcBorders>
              <w:top w:val="single" w:sz="4" w:space="0" w:color="auto"/>
              <w:left w:val="single" w:sz="4" w:space="0" w:color="auto"/>
              <w:bottom w:val="single" w:sz="4" w:space="0" w:color="auto"/>
              <w:right w:val="single" w:sz="4" w:space="0" w:color="auto"/>
            </w:tcBorders>
            <w:hideMark/>
          </w:tcPr>
          <w:p w14:paraId="5226D794"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43.72%</w:t>
            </w:r>
          </w:p>
        </w:tc>
        <w:tc>
          <w:tcPr>
            <w:tcW w:w="963" w:type="dxa"/>
            <w:tcBorders>
              <w:top w:val="single" w:sz="4" w:space="0" w:color="auto"/>
              <w:left w:val="single" w:sz="4" w:space="0" w:color="auto"/>
              <w:bottom w:val="single" w:sz="4" w:space="0" w:color="auto"/>
              <w:right w:val="single" w:sz="4" w:space="0" w:color="auto"/>
            </w:tcBorders>
            <w:hideMark/>
          </w:tcPr>
          <w:p w14:paraId="372927DA"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37.69%</w:t>
            </w:r>
          </w:p>
        </w:tc>
        <w:tc>
          <w:tcPr>
            <w:tcW w:w="1366" w:type="dxa"/>
            <w:tcBorders>
              <w:top w:val="single" w:sz="4" w:space="0" w:color="auto"/>
              <w:left w:val="single" w:sz="4" w:space="0" w:color="auto"/>
              <w:bottom w:val="single" w:sz="4" w:space="0" w:color="auto"/>
              <w:right w:val="single" w:sz="4" w:space="0" w:color="auto"/>
            </w:tcBorders>
            <w:hideMark/>
          </w:tcPr>
          <w:p w14:paraId="40EA9CEE"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14.57%</w:t>
            </w:r>
          </w:p>
        </w:tc>
        <w:tc>
          <w:tcPr>
            <w:tcW w:w="1069" w:type="dxa"/>
            <w:tcBorders>
              <w:top w:val="single" w:sz="4" w:space="0" w:color="auto"/>
              <w:left w:val="single" w:sz="4" w:space="0" w:color="auto"/>
              <w:bottom w:val="single" w:sz="4" w:space="0" w:color="auto"/>
              <w:right w:val="single" w:sz="4" w:space="0" w:color="auto"/>
            </w:tcBorders>
            <w:hideMark/>
          </w:tcPr>
          <w:p w14:paraId="03931BEC"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3.52%</w:t>
            </w:r>
          </w:p>
        </w:tc>
        <w:tc>
          <w:tcPr>
            <w:tcW w:w="1069" w:type="dxa"/>
            <w:tcBorders>
              <w:top w:val="single" w:sz="4" w:space="0" w:color="auto"/>
              <w:left w:val="single" w:sz="4" w:space="0" w:color="auto"/>
              <w:bottom w:val="single" w:sz="4" w:space="0" w:color="auto"/>
              <w:right w:val="single" w:sz="4" w:space="0" w:color="auto"/>
            </w:tcBorders>
            <w:hideMark/>
          </w:tcPr>
          <w:p w14:paraId="3DA2EED2"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0.50%</w:t>
            </w:r>
          </w:p>
        </w:tc>
        <w:tc>
          <w:tcPr>
            <w:tcW w:w="697" w:type="dxa"/>
            <w:tcBorders>
              <w:top w:val="single" w:sz="4" w:space="0" w:color="auto"/>
              <w:left w:val="single" w:sz="4" w:space="0" w:color="auto"/>
              <w:bottom w:val="single" w:sz="4" w:space="0" w:color="auto"/>
              <w:right w:val="single" w:sz="4" w:space="0" w:color="auto"/>
            </w:tcBorders>
            <w:hideMark/>
          </w:tcPr>
          <w:p w14:paraId="2EB0D012"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199</w:t>
            </w:r>
          </w:p>
        </w:tc>
      </w:tr>
      <w:tr w:rsidR="0026235F" w:rsidRPr="00E869A4" w14:paraId="55714F2E" w14:textId="77777777" w:rsidTr="00E009D6">
        <w:trPr>
          <w:jc w:val="center"/>
        </w:trPr>
        <w:tc>
          <w:tcPr>
            <w:tcW w:w="3107" w:type="dxa"/>
            <w:tcBorders>
              <w:top w:val="single" w:sz="4" w:space="0" w:color="auto"/>
              <w:left w:val="single" w:sz="4" w:space="0" w:color="auto"/>
              <w:bottom w:val="single" w:sz="4" w:space="0" w:color="auto"/>
              <w:right w:val="single" w:sz="4" w:space="0" w:color="auto"/>
            </w:tcBorders>
            <w:hideMark/>
          </w:tcPr>
          <w:p w14:paraId="2128E432" w14:textId="77777777" w:rsidR="0026235F" w:rsidRPr="00E869A4" w:rsidRDefault="0026235F" w:rsidP="00810B74">
            <w:pPr>
              <w:ind w:firstLine="0"/>
              <w:rPr>
                <w:rFonts w:ascii="Times New Roman" w:hAnsi="Times New Roman" w:cs="Times New Roman"/>
                <w:sz w:val="22"/>
                <w:szCs w:val="23"/>
              </w:rPr>
            </w:pPr>
            <w:r w:rsidRPr="00E869A4">
              <w:rPr>
                <w:rFonts w:ascii="Times New Roman" w:hAnsi="Times New Roman" w:cs="Times New Roman"/>
                <w:sz w:val="22"/>
                <w:szCs w:val="23"/>
              </w:rPr>
              <w:t>Fear that institutionalisation might lead to early death</w:t>
            </w:r>
          </w:p>
        </w:tc>
        <w:tc>
          <w:tcPr>
            <w:tcW w:w="1298" w:type="dxa"/>
            <w:tcBorders>
              <w:top w:val="single" w:sz="4" w:space="0" w:color="auto"/>
              <w:left w:val="single" w:sz="4" w:space="0" w:color="auto"/>
              <w:bottom w:val="single" w:sz="4" w:space="0" w:color="auto"/>
              <w:right w:val="single" w:sz="4" w:space="0" w:color="auto"/>
            </w:tcBorders>
            <w:hideMark/>
          </w:tcPr>
          <w:p w14:paraId="38C721BD"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50.26%</w:t>
            </w:r>
          </w:p>
        </w:tc>
        <w:tc>
          <w:tcPr>
            <w:tcW w:w="963" w:type="dxa"/>
            <w:tcBorders>
              <w:top w:val="single" w:sz="4" w:space="0" w:color="auto"/>
              <w:left w:val="single" w:sz="4" w:space="0" w:color="auto"/>
              <w:bottom w:val="single" w:sz="4" w:space="0" w:color="auto"/>
              <w:right w:val="single" w:sz="4" w:space="0" w:color="auto"/>
            </w:tcBorders>
            <w:hideMark/>
          </w:tcPr>
          <w:p w14:paraId="4A6625C1"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28.57%</w:t>
            </w:r>
          </w:p>
        </w:tc>
        <w:tc>
          <w:tcPr>
            <w:tcW w:w="1366" w:type="dxa"/>
            <w:tcBorders>
              <w:top w:val="single" w:sz="4" w:space="0" w:color="auto"/>
              <w:left w:val="single" w:sz="4" w:space="0" w:color="auto"/>
              <w:bottom w:val="single" w:sz="4" w:space="0" w:color="auto"/>
              <w:right w:val="single" w:sz="4" w:space="0" w:color="auto"/>
            </w:tcBorders>
            <w:hideMark/>
          </w:tcPr>
          <w:p w14:paraId="4BC32BA3"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13.76%</w:t>
            </w:r>
          </w:p>
        </w:tc>
        <w:tc>
          <w:tcPr>
            <w:tcW w:w="1069" w:type="dxa"/>
            <w:tcBorders>
              <w:top w:val="single" w:sz="4" w:space="0" w:color="auto"/>
              <w:left w:val="single" w:sz="4" w:space="0" w:color="auto"/>
              <w:bottom w:val="single" w:sz="4" w:space="0" w:color="auto"/>
              <w:right w:val="single" w:sz="4" w:space="0" w:color="auto"/>
            </w:tcBorders>
            <w:hideMark/>
          </w:tcPr>
          <w:p w14:paraId="196DF3D8"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6.35%</w:t>
            </w:r>
          </w:p>
        </w:tc>
        <w:tc>
          <w:tcPr>
            <w:tcW w:w="1069" w:type="dxa"/>
            <w:tcBorders>
              <w:top w:val="single" w:sz="4" w:space="0" w:color="auto"/>
              <w:left w:val="single" w:sz="4" w:space="0" w:color="auto"/>
              <w:bottom w:val="single" w:sz="4" w:space="0" w:color="auto"/>
              <w:right w:val="single" w:sz="4" w:space="0" w:color="auto"/>
            </w:tcBorders>
            <w:hideMark/>
          </w:tcPr>
          <w:p w14:paraId="2A3060F7"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1.06%</w:t>
            </w:r>
          </w:p>
        </w:tc>
        <w:tc>
          <w:tcPr>
            <w:tcW w:w="697" w:type="dxa"/>
            <w:tcBorders>
              <w:top w:val="single" w:sz="4" w:space="0" w:color="auto"/>
              <w:left w:val="single" w:sz="4" w:space="0" w:color="auto"/>
              <w:bottom w:val="single" w:sz="4" w:space="0" w:color="auto"/>
              <w:right w:val="single" w:sz="4" w:space="0" w:color="auto"/>
            </w:tcBorders>
            <w:hideMark/>
          </w:tcPr>
          <w:p w14:paraId="1D049FC0" w14:textId="77777777" w:rsidR="0026235F" w:rsidRPr="00E869A4" w:rsidRDefault="0026235F" w:rsidP="00E009D6">
            <w:pPr>
              <w:ind w:firstLine="55"/>
              <w:jc w:val="center"/>
              <w:rPr>
                <w:rFonts w:ascii="Times New Roman" w:hAnsi="Times New Roman" w:cs="Times New Roman"/>
                <w:sz w:val="22"/>
                <w:szCs w:val="23"/>
              </w:rPr>
            </w:pPr>
            <w:r w:rsidRPr="00E869A4">
              <w:rPr>
                <w:rFonts w:ascii="Times New Roman" w:hAnsi="Times New Roman" w:cs="Times New Roman"/>
                <w:sz w:val="22"/>
                <w:szCs w:val="23"/>
              </w:rPr>
              <w:t>189</w:t>
            </w:r>
          </w:p>
        </w:tc>
      </w:tr>
    </w:tbl>
    <w:p w14:paraId="76F78E05" w14:textId="77777777" w:rsidR="0026235F" w:rsidRPr="00E869A4" w:rsidRDefault="0026235F" w:rsidP="0026235F">
      <w:pPr>
        <w:rPr>
          <w:rFonts w:ascii="Times New Roman" w:hAnsi="Times New Roman" w:cs="Times New Roman"/>
          <w:szCs w:val="24"/>
        </w:rPr>
      </w:pPr>
    </w:p>
    <w:p w14:paraId="07603718" w14:textId="3FC6B752" w:rsidR="00D14F01" w:rsidRPr="00E869A4" w:rsidRDefault="00E53916" w:rsidP="00D14F01">
      <w:pPr>
        <w:rPr>
          <w:rFonts w:ascii="Times New Roman" w:eastAsiaTheme="majorEastAsia" w:hAnsi="Times New Roman" w:cs="Times New Roman"/>
          <w:b/>
          <w:bCs/>
          <w:szCs w:val="26"/>
        </w:rPr>
      </w:pPr>
      <w:r w:rsidRPr="00E869A4">
        <w:rPr>
          <w:rFonts w:ascii="Times New Roman" w:hAnsi="Times New Roman" w:cs="Times New Roman"/>
        </w:rPr>
        <w:t xml:space="preserve">Several </w:t>
      </w:r>
      <w:r w:rsidR="002C300B" w:rsidRPr="00E869A4">
        <w:rPr>
          <w:rFonts w:ascii="Times New Roman" w:hAnsi="Times New Roman" w:cs="Times New Roman"/>
        </w:rPr>
        <w:t>respondents felt</w:t>
      </w:r>
      <w:r w:rsidRPr="00E869A4">
        <w:rPr>
          <w:rFonts w:ascii="Times New Roman" w:hAnsi="Times New Roman" w:cs="Times New Roman"/>
        </w:rPr>
        <w:t xml:space="preserve"> that Homes for older persons, nursing homes and other formal institutions needed to be better regulated (</w:t>
      </w:r>
      <w:r w:rsidR="00E00086" w:rsidRPr="00E869A4">
        <w:rPr>
          <w:rFonts w:ascii="Times New Roman" w:hAnsi="Times New Roman" w:cs="Times New Roman"/>
        </w:rPr>
        <w:t xml:space="preserve">Box </w:t>
      </w:r>
      <w:r w:rsidR="0026235F" w:rsidRPr="00E869A4">
        <w:rPr>
          <w:rFonts w:ascii="Times New Roman" w:hAnsi="Times New Roman" w:cs="Times New Roman"/>
        </w:rPr>
        <w:t>4</w:t>
      </w:r>
      <w:r w:rsidR="00E00086" w:rsidRPr="00E869A4">
        <w:rPr>
          <w:rFonts w:ascii="Times New Roman" w:hAnsi="Times New Roman" w:cs="Times New Roman"/>
        </w:rPr>
        <w:t xml:space="preserve"> below). </w:t>
      </w:r>
      <w:r w:rsidRPr="00E869A4">
        <w:rPr>
          <w:rFonts w:ascii="Times New Roman" w:hAnsi="Times New Roman" w:cs="Times New Roman"/>
        </w:rPr>
        <w:t xml:space="preserve"> </w:t>
      </w:r>
      <w:r w:rsidRPr="00E869A4">
        <w:rPr>
          <w:rFonts w:ascii="Times New Roman" w:hAnsi="Times New Roman" w:cs="Times New Roman"/>
          <w:szCs w:val="24"/>
        </w:rPr>
        <w:t xml:space="preserve">Others lobbied for increased in-home care </w:t>
      </w:r>
      <w:r w:rsidR="0026235F" w:rsidRPr="00E869A4">
        <w:rPr>
          <w:rFonts w:ascii="Times New Roman" w:hAnsi="Times New Roman" w:cs="Times New Roman"/>
          <w:szCs w:val="24"/>
        </w:rPr>
        <w:t>support, which would help,</w:t>
      </w:r>
      <w:r w:rsidRPr="00E869A4">
        <w:rPr>
          <w:rFonts w:ascii="Times New Roman" w:hAnsi="Times New Roman" w:cs="Times New Roman"/>
          <w:szCs w:val="24"/>
        </w:rPr>
        <w:t xml:space="preserve"> minimise the need for institutionalisation</w:t>
      </w:r>
      <w:r w:rsidR="00DA1CB5" w:rsidRPr="00E869A4">
        <w:rPr>
          <w:rFonts w:ascii="Times New Roman" w:hAnsi="Times New Roman" w:cs="Times New Roman"/>
          <w:szCs w:val="24"/>
        </w:rPr>
        <w:t xml:space="preserve">: </w:t>
      </w:r>
      <w:r w:rsidR="005F25E0" w:rsidRPr="00E869A4">
        <w:rPr>
          <w:rFonts w:ascii="Times New Roman" w:hAnsi="Times New Roman" w:cs="Times New Roman"/>
          <w:szCs w:val="24"/>
        </w:rPr>
        <w:t xml:space="preserve">“The </w:t>
      </w:r>
      <w:r w:rsidR="00DA1CB5" w:rsidRPr="00E869A4">
        <w:rPr>
          <w:rFonts w:ascii="Times New Roman" w:hAnsi="Times New Roman" w:cs="Times New Roman"/>
          <w:szCs w:val="24"/>
        </w:rPr>
        <w:t>elderly</w:t>
      </w:r>
      <w:r w:rsidR="005F25E0" w:rsidRPr="00E869A4">
        <w:rPr>
          <w:rFonts w:ascii="Times New Roman" w:hAnsi="Times New Roman" w:cs="Times New Roman"/>
          <w:szCs w:val="24"/>
        </w:rPr>
        <w:t xml:space="preserve"> should not be removed from their home environment. A caregiver should be sent to their home. They will be happier at home with their loved ones and will recuperate better.”</w:t>
      </w:r>
      <w:r w:rsidR="005F25E0" w:rsidRPr="00E869A4">
        <w:rPr>
          <w:rFonts w:ascii="Times New Roman" w:hAnsi="Times New Roman" w:cs="Times New Roman"/>
          <w:i/>
          <w:szCs w:val="24"/>
        </w:rPr>
        <w:t xml:space="preserve"> </w:t>
      </w:r>
      <w:r w:rsidR="005F25E0" w:rsidRPr="00E869A4">
        <w:rPr>
          <w:rFonts w:ascii="Times New Roman" w:hAnsi="Times New Roman" w:cs="Times New Roman"/>
          <w:szCs w:val="24"/>
        </w:rPr>
        <w:t>(</w:t>
      </w:r>
      <w:r w:rsidR="0004452B" w:rsidRPr="00E869A4">
        <w:rPr>
          <w:rFonts w:ascii="Times New Roman" w:hAnsi="Times New Roman" w:cs="Times New Roman"/>
          <w:szCs w:val="24"/>
        </w:rPr>
        <w:t>Respon</w:t>
      </w:r>
      <w:r w:rsidR="00BC3528" w:rsidRPr="00E869A4">
        <w:rPr>
          <w:rFonts w:ascii="Times New Roman" w:hAnsi="Times New Roman" w:cs="Times New Roman"/>
          <w:szCs w:val="24"/>
        </w:rPr>
        <w:t>dent</w:t>
      </w:r>
      <w:r w:rsidR="005F25E0" w:rsidRPr="00E869A4">
        <w:rPr>
          <w:rFonts w:ascii="Times New Roman" w:hAnsi="Times New Roman" w:cs="Times New Roman"/>
          <w:szCs w:val="24"/>
        </w:rPr>
        <w:t xml:space="preserve"> </w:t>
      </w:r>
      <w:r w:rsidR="000674D8" w:rsidRPr="00E869A4">
        <w:rPr>
          <w:rFonts w:ascii="Times New Roman" w:hAnsi="Times New Roman" w:cs="Times New Roman"/>
          <w:szCs w:val="24"/>
        </w:rPr>
        <w:t>B1</w:t>
      </w:r>
      <w:r w:rsidR="005F25E0" w:rsidRPr="00E869A4">
        <w:rPr>
          <w:rFonts w:ascii="Times New Roman" w:hAnsi="Times New Roman" w:cs="Times New Roman"/>
          <w:szCs w:val="24"/>
        </w:rPr>
        <w:t>)</w:t>
      </w:r>
      <w:r w:rsidR="00DA1CB5" w:rsidRPr="00E869A4">
        <w:rPr>
          <w:rFonts w:ascii="Times New Roman" w:hAnsi="Times New Roman" w:cs="Times New Roman"/>
          <w:szCs w:val="24"/>
        </w:rPr>
        <w:t>.</w:t>
      </w:r>
    </w:p>
    <w:p w14:paraId="2744BFCC" w14:textId="77777777" w:rsidR="00D14F01" w:rsidRPr="00E869A4" w:rsidRDefault="00D14F01" w:rsidP="00E61671">
      <w:pPr>
        <w:jc w:val="center"/>
        <w:rPr>
          <w:rFonts w:ascii="Times New Roman" w:eastAsiaTheme="majorEastAsia" w:hAnsi="Times New Roman" w:cs="Times New Roman"/>
          <w:b/>
          <w:bCs/>
          <w:szCs w:val="26"/>
        </w:rPr>
      </w:pPr>
    </w:p>
    <w:p w14:paraId="57DDA346" w14:textId="6AD51CEE" w:rsidR="005F25E0" w:rsidRPr="00E869A4" w:rsidRDefault="00E61671" w:rsidP="00E61671">
      <w:pPr>
        <w:jc w:val="center"/>
        <w:rPr>
          <w:rFonts w:ascii="Times New Roman" w:eastAsiaTheme="majorEastAsia" w:hAnsi="Times New Roman" w:cs="Times New Roman"/>
          <w:b/>
          <w:bCs/>
          <w:szCs w:val="26"/>
        </w:rPr>
      </w:pPr>
      <w:bookmarkStart w:id="426" w:name="_Toc40436666"/>
      <w:r w:rsidRPr="00E869A4">
        <w:rPr>
          <w:rFonts w:ascii="Times New Roman" w:eastAsiaTheme="majorEastAsia" w:hAnsi="Times New Roman" w:cs="Times New Roman"/>
          <w:b/>
          <w:bCs/>
          <w:szCs w:val="26"/>
        </w:rPr>
        <w:t xml:space="preserve">Box </w:t>
      </w:r>
      <w:r w:rsidRPr="00E869A4">
        <w:rPr>
          <w:rFonts w:ascii="Times New Roman" w:eastAsiaTheme="majorEastAsia" w:hAnsi="Times New Roman" w:cs="Times New Roman"/>
          <w:b/>
          <w:bCs/>
          <w:szCs w:val="26"/>
        </w:rPr>
        <w:fldChar w:fldCharType="begin"/>
      </w:r>
      <w:r w:rsidRPr="00E869A4">
        <w:rPr>
          <w:rFonts w:ascii="Times New Roman" w:eastAsiaTheme="majorEastAsia" w:hAnsi="Times New Roman" w:cs="Times New Roman"/>
          <w:b/>
          <w:bCs/>
          <w:szCs w:val="26"/>
        </w:rPr>
        <w:instrText xml:space="preserve"> SEQ Box \* ARABIC </w:instrText>
      </w:r>
      <w:r w:rsidRPr="00E869A4">
        <w:rPr>
          <w:rFonts w:ascii="Times New Roman" w:eastAsiaTheme="majorEastAsia" w:hAnsi="Times New Roman" w:cs="Times New Roman"/>
          <w:b/>
          <w:bCs/>
          <w:szCs w:val="26"/>
        </w:rPr>
        <w:fldChar w:fldCharType="separate"/>
      </w:r>
      <w:r w:rsidR="00D7239F">
        <w:rPr>
          <w:rFonts w:ascii="Times New Roman" w:eastAsiaTheme="majorEastAsia" w:hAnsi="Times New Roman" w:cs="Times New Roman"/>
          <w:b/>
          <w:bCs/>
          <w:noProof/>
          <w:szCs w:val="26"/>
        </w:rPr>
        <w:t>4</w:t>
      </w:r>
      <w:r w:rsidRPr="00E869A4">
        <w:rPr>
          <w:rFonts w:ascii="Times New Roman" w:eastAsiaTheme="majorEastAsia" w:hAnsi="Times New Roman" w:cs="Times New Roman"/>
          <w:b/>
          <w:bCs/>
          <w:szCs w:val="26"/>
        </w:rPr>
        <w:fldChar w:fldCharType="end"/>
      </w:r>
      <w:r w:rsidR="00DA1CB5" w:rsidRPr="00E869A4">
        <w:rPr>
          <w:rFonts w:ascii="Times New Roman" w:eastAsiaTheme="majorEastAsia" w:hAnsi="Times New Roman" w:cs="Times New Roman"/>
          <w:b/>
          <w:bCs/>
          <w:szCs w:val="26"/>
        </w:rPr>
        <w:t>:</w:t>
      </w:r>
      <w:r w:rsidRPr="00E869A4">
        <w:rPr>
          <w:rFonts w:ascii="Times New Roman" w:eastAsiaTheme="majorEastAsia" w:hAnsi="Times New Roman" w:cs="Times New Roman"/>
          <w:b/>
          <w:bCs/>
          <w:szCs w:val="26"/>
        </w:rPr>
        <w:t xml:space="preserve"> </w:t>
      </w:r>
      <w:r w:rsidR="00EC1A52" w:rsidRPr="00E869A4">
        <w:rPr>
          <w:rFonts w:ascii="Times New Roman" w:eastAsiaTheme="majorEastAsia" w:hAnsi="Times New Roman" w:cs="Times New Roman"/>
          <w:b/>
          <w:bCs/>
          <w:szCs w:val="26"/>
        </w:rPr>
        <w:t xml:space="preserve">Selected </w:t>
      </w:r>
      <w:r w:rsidRPr="00E869A4">
        <w:rPr>
          <w:rFonts w:ascii="Times New Roman" w:eastAsiaTheme="majorEastAsia" w:hAnsi="Times New Roman" w:cs="Times New Roman"/>
          <w:b/>
          <w:bCs/>
          <w:szCs w:val="26"/>
        </w:rPr>
        <w:t>Open-Ended Comments on Institutions for Older Persons in T&amp;T</w:t>
      </w:r>
      <w:bookmarkEnd w:id="426"/>
    </w:p>
    <w:bookmarkStart w:id="427" w:name="_Ref492829144"/>
    <w:p w14:paraId="0610EAEC" w14:textId="4573A3F3" w:rsidR="00E61671" w:rsidRPr="00E869A4" w:rsidRDefault="00D14F01" w:rsidP="00A35FF8">
      <w:pPr>
        <w:rPr>
          <w:rFonts w:ascii="Times New Roman" w:hAnsi="Times New Roman" w:cs="Times New Roman"/>
          <w:szCs w:val="24"/>
        </w:rPr>
      </w:pPr>
      <w:r w:rsidRPr="00E869A4">
        <w:rPr>
          <w:rFonts w:ascii="Times New Roman" w:hAnsi="Times New Roman" w:cs="Times New Roman"/>
          <w:noProof/>
        </w:rPr>
        <mc:AlternateContent>
          <mc:Choice Requires="wps">
            <w:drawing>
              <wp:anchor distT="0" distB="0" distL="114300" distR="114300" simplePos="0" relativeHeight="251687936" behindDoc="0" locked="0" layoutInCell="0" allowOverlap="1" wp14:anchorId="6682541B" wp14:editId="3A3A5B25">
                <wp:simplePos x="0" y="0"/>
                <wp:positionH relativeFrom="page">
                  <wp:posOffset>1036320</wp:posOffset>
                </wp:positionH>
                <wp:positionV relativeFrom="page">
                  <wp:posOffset>5217795</wp:posOffset>
                </wp:positionV>
                <wp:extent cx="5821680" cy="3855720"/>
                <wp:effectExtent l="0" t="0" r="26670" b="1143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855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A22188" w14:textId="72506DD3" w:rsidR="00D7239F" w:rsidRPr="00AE5630" w:rsidRDefault="00D7239F" w:rsidP="009D4C5D">
                            <w:pPr>
                              <w:pStyle w:val="ListParagraph"/>
                              <w:numPr>
                                <w:ilvl w:val="0"/>
                                <w:numId w:val="72"/>
                              </w:numPr>
                              <w:ind w:left="567"/>
                              <w:rPr>
                                <w:sz w:val="22"/>
                              </w:rPr>
                            </w:pPr>
                            <w:r>
                              <w:rPr>
                                <w:sz w:val="22"/>
                              </w:rPr>
                              <w:t>“</w:t>
                            </w:r>
                            <w:r w:rsidRPr="00AE5630">
                              <w:rPr>
                                <w:sz w:val="22"/>
                              </w:rPr>
                              <w:t>There needs to be investigations into care facilities for the elderly in Trinidad and Tobago. Stories tell of meals which are below standard. There is also the issue of abuse. Patients are even be</w:t>
                            </w:r>
                            <w:r>
                              <w:rPr>
                                <w:sz w:val="22"/>
                              </w:rPr>
                              <w:t>aten with belts like children.”</w:t>
                            </w:r>
                          </w:p>
                          <w:p w14:paraId="56ED36D2" w14:textId="4F7C4FDE" w:rsidR="00D7239F" w:rsidRPr="00AE5630" w:rsidRDefault="00D7239F" w:rsidP="009D4C5D">
                            <w:pPr>
                              <w:pStyle w:val="ListParagraph"/>
                              <w:numPr>
                                <w:ilvl w:val="0"/>
                                <w:numId w:val="72"/>
                              </w:numPr>
                              <w:ind w:left="567"/>
                              <w:rPr>
                                <w:sz w:val="22"/>
                              </w:rPr>
                            </w:pPr>
                            <w:r>
                              <w:rPr>
                                <w:sz w:val="22"/>
                              </w:rPr>
                              <w:t>“</w:t>
                            </w:r>
                            <w:r w:rsidRPr="00AE5630">
                              <w:rPr>
                                <w:sz w:val="22"/>
                              </w:rPr>
                              <w:t>In looking at the various geriatric homes, it was appalling to see what others accepted as a good place to put their loved ones</w:t>
                            </w:r>
                            <w:r>
                              <w:rPr>
                                <w:sz w:val="22"/>
                              </w:rPr>
                              <w:t xml:space="preserve"> </w:t>
                            </w:r>
                            <w:r w:rsidRPr="00AE5630">
                              <w:rPr>
                                <w:sz w:val="22"/>
                              </w:rPr>
                              <w:t>... Government intervention is desperately needed in the monitoring of this type of NECESSARY service</w:t>
                            </w:r>
                            <w:r>
                              <w:rPr>
                                <w:sz w:val="22"/>
                              </w:rPr>
                              <w:t>.”</w:t>
                            </w:r>
                          </w:p>
                          <w:p w14:paraId="655CFD04" w14:textId="71401933" w:rsidR="00D7239F" w:rsidRPr="00AE5630" w:rsidRDefault="00D7239F" w:rsidP="009D4C5D">
                            <w:pPr>
                              <w:pStyle w:val="ListParagraph"/>
                              <w:numPr>
                                <w:ilvl w:val="0"/>
                                <w:numId w:val="72"/>
                              </w:numPr>
                              <w:ind w:left="567"/>
                              <w:rPr>
                                <w:sz w:val="22"/>
                              </w:rPr>
                            </w:pPr>
                            <w:r>
                              <w:rPr>
                                <w:sz w:val="22"/>
                              </w:rPr>
                              <w:t>“</w:t>
                            </w:r>
                            <w:r w:rsidRPr="00AE5630">
                              <w:rPr>
                                <w:sz w:val="22"/>
                              </w:rPr>
                              <w:t>Authorized checks/visits should be made to senior citizen homes to access the care given by these people responsible for the Homes. The checks should be spot checks so that they will never know t</w:t>
                            </w:r>
                            <w:r>
                              <w:rPr>
                                <w:sz w:val="22"/>
                              </w:rPr>
                              <w:t>he date and time of the visits.”</w:t>
                            </w:r>
                          </w:p>
                          <w:p w14:paraId="3B635D6B" w14:textId="3CE64D56" w:rsidR="00D7239F" w:rsidRPr="00AE5630" w:rsidRDefault="00D7239F" w:rsidP="009D4C5D">
                            <w:pPr>
                              <w:pStyle w:val="ListParagraph"/>
                              <w:numPr>
                                <w:ilvl w:val="0"/>
                                <w:numId w:val="72"/>
                              </w:numPr>
                              <w:ind w:left="567"/>
                              <w:rPr>
                                <w:sz w:val="22"/>
                              </w:rPr>
                            </w:pPr>
                            <w:r>
                              <w:rPr>
                                <w:sz w:val="22"/>
                              </w:rPr>
                              <w:t>“</w:t>
                            </w:r>
                            <w:r w:rsidRPr="00AE5630">
                              <w:rPr>
                                <w:sz w:val="22"/>
                              </w:rPr>
                              <w:t xml:space="preserve">Close monitoring of nursing homes must be done by the government.  There are too many homes not properly run where patients are not receiving the care they need as well as </w:t>
                            </w:r>
                            <w:r>
                              <w:rPr>
                                <w:sz w:val="22"/>
                              </w:rPr>
                              <w:t>suspected cases of elder abuse.”</w:t>
                            </w:r>
                          </w:p>
                          <w:p w14:paraId="6E0398FA" w14:textId="29273C3C" w:rsidR="00D7239F" w:rsidRPr="00AE5630" w:rsidRDefault="00D7239F" w:rsidP="009D4C5D">
                            <w:pPr>
                              <w:pStyle w:val="ListParagraph"/>
                              <w:numPr>
                                <w:ilvl w:val="0"/>
                                <w:numId w:val="72"/>
                              </w:numPr>
                              <w:ind w:left="567"/>
                              <w:rPr>
                                <w:sz w:val="22"/>
                              </w:rPr>
                            </w:pPr>
                            <w:r>
                              <w:rPr>
                                <w:sz w:val="22"/>
                              </w:rPr>
                              <w:t>“</w:t>
                            </w:r>
                            <w:r w:rsidRPr="00AE5630">
                              <w:rPr>
                                <w:sz w:val="22"/>
                              </w:rPr>
                              <w:t>Homes for the aged do not nearly have any sort of adequate activity programming. The staff, including management of these homes, do not have an idea of the benefits of engagement in appropriate activities to the quality of life and health of their residents.</w:t>
                            </w:r>
                            <w:r>
                              <w:rPr>
                                <w:sz w:val="22"/>
                              </w:rPr>
                              <w:t>”</w:t>
                            </w: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29" type="#_x0000_t202" style="position:absolute;left:0;text-align:left;margin-left:81.6pt;margin-top:410.85pt;width:458.4pt;height:303.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" o:allowincell="f" fillcolor="white [3201]" strokecolor="black [3200]" strokeweight="2pt">
                <v:textbox inset="10.8pt,7.2pt,10.8pt,7.2pt">
                  <w:txbxContent>
                    <w:p w14:paraId="30A22188" w14:textId="72506DD3" w:rsidR="00011C8F" w:rsidRPr="00AE5630" w:rsidRDefault="00011C8F" w:rsidP="009D4C5D">
                      <w:pPr>
                        <w:pStyle w:val="ListParagraph"/>
                        <w:numPr>
                          <w:ilvl w:val="0"/>
                          <w:numId w:val="72"/>
                        </w:numPr>
                        <w:ind w:left="567"/>
                        <w:rPr>
                          <w:sz w:val="22"/>
                        </w:rPr>
                      </w:pPr>
                      <w:r>
                        <w:rPr>
                          <w:sz w:val="22"/>
                        </w:rPr>
                        <w:t>“</w:t>
                      </w:r>
                      <w:r w:rsidRPr="00AE5630">
                        <w:rPr>
                          <w:sz w:val="22"/>
                        </w:rPr>
                        <w:t>There needs to be investigations into care facilities for the elderly in Trinidad and Tobago. Stories tell of meals which are below standard. There is also the issue of abuse. Patients are even be</w:t>
                      </w:r>
                      <w:r>
                        <w:rPr>
                          <w:sz w:val="22"/>
                        </w:rPr>
                        <w:t>aten with belts like children.”</w:t>
                      </w:r>
                    </w:p>
                    <w:p w14:paraId="56ED36D2" w14:textId="4F7C4FDE" w:rsidR="00011C8F" w:rsidRPr="00AE5630" w:rsidRDefault="00011C8F" w:rsidP="009D4C5D">
                      <w:pPr>
                        <w:pStyle w:val="ListParagraph"/>
                        <w:numPr>
                          <w:ilvl w:val="0"/>
                          <w:numId w:val="72"/>
                        </w:numPr>
                        <w:ind w:left="567"/>
                        <w:rPr>
                          <w:sz w:val="22"/>
                        </w:rPr>
                      </w:pPr>
                      <w:r>
                        <w:rPr>
                          <w:sz w:val="22"/>
                        </w:rPr>
                        <w:t>“</w:t>
                      </w:r>
                      <w:r w:rsidRPr="00AE5630">
                        <w:rPr>
                          <w:sz w:val="22"/>
                        </w:rPr>
                        <w:t>In looking at the various geriatric homes, it was appalling to see what others accepted as a good place to put their loved ones</w:t>
                      </w:r>
                      <w:r>
                        <w:rPr>
                          <w:sz w:val="22"/>
                        </w:rPr>
                        <w:t xml:space="preserve"> </w:t>
                      </w:r>
                      <w:r w:rsidRPr="00AE5630">
                        <w:rPr>
                          <w:sz w:val="22"/>
                        </w:rPr>
                        <w:t>... Government intervention is desperately needed in the monitoring of this type of NECESSARY service</w:t>
                      </w:r>
                      <w:r>
                        <w:rPr>
                          <w:sz w:val="22"/>
                        </w:rPr>
                        <w:t>.”</w:t>
                      </w:r>
                    </w:p>
                    <w:p w14:paraId="655CFD04" w14:textId="71401933" w:rsidR="00011C8F" w:rsidRPr="00AE5630" w:rsidRDefault="00011C8F" w:rsidP="009D4C5D">
                      <w:pPr>
                        <w:pStyle w:val="ListParagraph"/>
                        <w:numPr>
                          <w:ilvl w:val="0"/>
                          <w:numId w:val="72"/>
                        </w:numPr>
                        <w:ind w:left="567"/>
                        <w:rPr>
                          <w:sz w:val="22"/>
                        </w:rPr>
                      </w:pPr>
                      <w:r>
                        <w:rPr>
                          <w:sz w:val="22"/>
                        </w:rPr>
                        <w:t>“</w:t>
                      </w:r>
                      <w:r w:rsidRPr="00AE5630">
                        <w:rPr>
                          <w:sz w:val="22"/>
                        </w:rPr>
                        <w:t>Authorized checks/visits should be made to senior citizen homes to access the care given by these people responsible for the Homes. The checks should be spot checks so that they will never know t</w:t>
                      </w:r>
                      <w:r>
                        <w:rPr>
                          <w:sz w:val="22"/>
                        </w:rPr>
                        <w:t>he date and time of the visits.”</w:t>
                      </w:r>
                    </w:p>
                    <w:p w14:paraId="3B635D6B" w14:textId="3CE64D56" w:rsidR="00011C8F" w:rsidRPr="00AE5630" w:rsidRDefault="00011C8F" w:rsidP="009D4C5D">
                      <w:pPr>
                        <w:pStyle w:val="ListParagraph"/>
                        <w:numPr>
                          <w:ilvl w:val="0"/>
                          <w:numId w:val="72"/>
                        </w:numPr>
                        <w:ind w:left="567"/>
                        <w:rPr>
                          <w:sz w:val="22"/>
                        </w:rPr>
                      </w:pPr>
                      <w:r>
                        <w:rPr>
                          <w:sz w:val="22"/>
                        </w:rPr>
                        <w:t>“</w:t>
                      </w:r>
                      <w:r w:rsidRPr="00AE5630">
                        <w:rPr>
                          <w:sz w:val="22"/>
                        </w:rPr>
                        <w:t xml:space="preserve">Close monitoring of nursing homes must be done by the government.  There are too many homes not properly run where patients are not receiving the care they need as well as </w:t>
                      </w:r>
                      <w:r>
                        <w:rPr>
                          <w:sz w:val="22"/>
                        </w:rPr>
                        <w:t>suspected cases of elder abuse.”</w:t>
                      </w:r>
                    </w:p>
                    <w:p w14:paraId="6E0398FA" w14:textId="29273C3C" w:rsidR="00011C8F" w:rsidRPr="00AE5630" w:rsidRDefault="00011C8F" w:rsidP="009D4C5D">
                      <w:pPr>
                        <w:pStyle w:val="ListParagraph"/>
                        <w:numPr>
                          <w:ilvl w:val="0"/>
                          <w:numId w:val="72"/>
                        </w:numPr>
                        <w:ind w:left="567"/>
                        <w:rPr>
                          <w:sz w:val="22"/>
                        </w:rPr>
                      </w:pPr>
                      <w:r>
                        <w:rPr>
                          <w:sz w:val="22"/>
                        </w:rPr>
                        <w:t>“</w:t>
                      </w:r>
                      <w:r w:rsidRPr="00AE5630">
                        <w:rPr>
                          <w:sz w:val="22"/>
                        </w:rPr>
                        <w:t>Homes for the aged do not nearly have any sort of adequate activity programming. The staff, including management of these homes, do not have an idea of the benefits of engagement in appropriate activities to the quality of life and health of their residents.</w:t>
                      </w:r>
                      <w:r>
                        <w:rPr>
                          <w:sz w:val="22"/>
                        </w:rPr>
                        <w:t>”</w:t>
                      </w:r>
                    </w:p>
                  </w:txbxContent>
                </v:textbox>
                <w10:wrap type="square" anchorx="page" anchory="page"/>
              </v:shape>
            </w:pict>
          </mc:Fallback>
        </mc:AlternateContent>
      </w:r>
    </w:p>
    <w:p w14:paraId="7653F6AE" w14:textId="27792EB1" w:rsidR="00E61671" w:rsidRPr="00E869A4" w:rsidRDefault="00E61671" w:rsidP="00A35FF8">
      <w:pPr>
        <w:rPr>
          <w:rFonts w:ascii="Times New Roman" w:hAnsi="Times New Roman" w:cs="Times New Roman"/>
          <w:szCs w:val="24"/>
        </w:rPr>
      </w:pPr>
    </w:p>
    <w:p w14:paraId="4190A3C0" w14:textId="77777777" w:rsidR="00AE5630" w:rsidRPr="00E869A4" w:rsidRDefault="00AE5630" w:rsidP="00A35FF8">
      <w:pPr>
        <w:rPr>
          <w:rFonts w:ascii="Times New Roman" w:hAnsi="Times New Roman" w:cs="Times New Roman"/>
          <w:szCs w:val="24"/>
        </w:rPr>
      </w:pPr>
    </w:p>
    <w:p w14:paraId="64E6D371" w14:textId="4E5D910D" w:rsidR="00AE5630" w:rsidRPr="00E869A4" w:rsidRDefault="00AE5630" w:rsidP="00A35FF8">
      <w:pPr>
        <w:rPr>
          <w:rFonts w:ascii="Times New Roman" w:hAnsi="Times New Roman" w:cs="Times New Roman"/>
          <w:szCs w:val="24"/>
        </w:rPr>
      </w:pPr>
    </w:p>
    <w:p w14:paraId="064A75F6" w14:textId="77777777" w:rsidR="00AE5630" w:rsidRPr="00E869A4" w:rsidRDefault="00AE5630" w:rsidP="00A35FF8">
      <w:pPr>
        <w:rPr>
          <w:rFonts w:ascii="Times New Roman" w:hAnsi="Times New Roman" w:cs="Times New Roman"/>
          <w:szCs w:val="24"/>
        </w:rPr>
      </w:pPr>
    </w:p>
    <w:p w14:paraId="719C2506" w14:textId="77777777" w:rsidR="00AE5630" w:rsidRPr="00E869A4" w:rsidRDefault="00AE5630" w:rsidP="00A35FF8">
      <w:pPr>
        <w:rPr>
          <w:rFonts w:ascii="Times New Roman" w:hAnsi="Times New Roman" w:cs="Times New Roman"/>
          <w:szCs w:val="24"/>
        </w:rPr>
      </w:pPr>
    </w:p>
    <w:p w14:paraId="0E453C09" w14:textId="77777777" w:rsidR="00AE5630" w:rsidRPr="00E869A4" w:rsidRDefault="00AE5630" w:rsidP="00A35FF8">
      <w:pPr>
        <w:rPr>
          <w:rFonts w:ascii="Times New Roman" w:hAnsi="Times New Roman" w:cs="Times New Roman"/>
          <w:szCs w:val="24"/>
        </w:rPr>
      </w:pPr>
    </w:p>
    <w:p w14:paraId="111CEB7B" w14:textId="77777777" w:rsidR="00AE5630" w:rsidRPr="00E869A4" w:rsidRDefault="00AE5630" w:rsidP="00A35FF8">
      <w:pPr>
        <w:rPr>
          <w:rFonts w:ascii="Times New Roman" w:hAnsi="Times New Roman" w:cs="Times New Roman"/>
          <w:szCs w:val="24"/>
        </w:rPr>
      </w:pPr>
    </w:p>
    <w:p w14:paraId="1D8288BB" w14:textId="77777777" w:rsidR="00AE5630" w:rsidRPr="00E869A4" w:rsidRDefault="00AE5630" w:rsidP="00A35FF8">
      <w:pPr>
        <w:rPr>
          <w:rFonts w:ascii="Times New Roman" w:hAnsi="Times New Roman" w:cs="Times New Roman"/>
          <w:szCs w:val="24"/>
        </w:rPr>
      </w:pPr>
    </w:p>
    <w:p w14:paraId="33C42681" w14:textId="77777777" w:rsidR="00AE5630" w:rsidRPr="00E869A4" w:rsidRDefault="00AE5630" w:rsidP="00A35FF8">
      <w:pPr>
        <w:rPr>
          <w:rFonts w:ascii="Times New Roman" w:hAnsi="Times New Roman" w:cs="Times New Roman"/>
          <w:szCs w:val="24"/>
        </w:rPr>
      </w:pPr>
    </w:p>
    <w:p w14:paraId="07060207" w14:textId="77777777" w:rsidR="00AE5630" w:rsidRPr="00E869A4" w:rsidRDefault="00AE5630" w:rsidP="00A35FF8">
      <w:pPr>
        <w:rPr>
          <w:rFonts w:ascii="Times New Roman" w:hAnsi="Times New Roman" w:cs="Times New Roman"/>
          <w:szCs w:val="24"/>
        </w:rPr>
      </w:pPr>
    </w:p>
    <w:p w14:paraId="0C886DE2" w14:textId="77777777" w:rsidR="00AE5630" w:rsidRPr="00E869A4" w:rsidRDefault="00AE5630" w:rsidP="00A35FF8">
      <w:pPr>
        <w:rPr>
          <w:rFonts w:ascii="Times New Roman" w:hAnsi="Times New Roman" w:cs="Times New Roman"/>
          <w:szCs w:val="24"/>
        </w:rPr>
      </w:pPr>
    </w:p>
    <w:p w14:paraId="68EC3870" w14:textId="77777777" w:rsidR="00AE5630" w:rsidRPr="00E869A4" w:rsidRDefault="00AE5630" w:rsidP="00A35FF8">
      <w:pPr>
        <w:rPr>
          <w:rFonts w:ascii="Times New Roman" w:hAnsi="Times New Roman" w:cs="Times New Roman"/>
          <w:szCs w:val="24"/>
        </w:rPr>
      </w:pPr>
    </w:p>
    <w:p w14:paraId="493E0983" w14:textId="77777777" w:rsidR="00AE5630" w:rsidRPr="00E869A4" w:rsidRDefault="00AE5630" w:rsidP="00A35FF8">
      <w:pPr>
        <w:rPr>
          <w:rFonts w:ascii="Times New Roman" w:hAnsi="Times New Roman" w:cs="Times New Roman"/>
          <w:szCs w:val="24"/>
        </w:rPr>
      </w:pPr>
    </w:p>
    <w:p w14:paraId="6BC760B9" w14:textId="77777777" w:rsidR="00D14F01" w:rsidRPr="00E869A4" w:rsidRDefault="00D14F01" w:rsidP="00D14F01">
      <w:pPr>
        <w:rPr>
          <w:rFonts w:ascii="Times New Roman" w:hAnsi="Times New Roman" w:cs="Times New Roman"/>
          <w:i/>
          <w:szCs w:val="24"/>
        </w:rPr>
      </w:pPr>
      <w:r w:rsidRPr="00E869A4">
        <w:rPr>
          <w:rFonts w:ascii="Times New Roman" w:hAnsi="Times New Roman" w:cs="Times New Roman"/>
          <w:szCs w:val="24"/>
        </w:rPr>
        <w:lastRenderedPageBreak/>
        <w:t xml:space="preserve">About 15% of the participants (n=32) admitted that their older relative was institutionalised at some point in time. One respondent explained: “I had no real issues until she had a major stroke and had to go into a nursing home as I could not provide round the clock care as she was bedridden.” (Response C1). </w:t>
      </w:r>
      <w:r w:rsidRPr="00E869A4">
        <w:t>Another respondent expressed regret with institutionalising their older relative because, “she passed away two weeks after placing her at the facility</w:t>
      </w:r>
      <w:r w:rsidRPr="00E869A4">
        <w:rPr>
          <w:szCs w:val="24"/>
        </w:rPr>
        <w:t xml:space="preserve">.” </w:t>
      </w:r>
      <w:bookmarkStart w:id="428" w:name="_Ref493016745"/>
      <w:r w:rsidRPr="00E869A4">
        <w:rPr>
          <w:szCs w:val="24"/>
        </w:rPr>
        <w:t xml:space="preserve"> (Respondent D1). </w:t>
      </w:r>
      <w:bookmarkEnd w:id="428"/>
      <w:r w:rsidRPr="00E869A4">
        <w:rPr>
          <w:rFonts w:ascii="Times New Roman" w:hAnsi="Times New Roman" w:cs="Times New Roman"/>
          <w:szCs w:val="24"/>
        </w:rPr>
        <w:t>In one instance, the older person (an older aunt) was institutionalised, but later unceremoniously returned to the family home: “She became too much for her caregivers so they brought her back to my home one day while I was out.” (Response E1).</w:t>
      </w:r>
    </w:p>
    <w:p w14:paraId="6BFFC4D9" w14:textId="77777777" w:rsidR="00AE5630" w:rsidRPr="00E869A4" w:rsidRDefault="00AE5630" w:rsidP="00A35FF8">
      <w:pPr>
        <w:rPr>
          <w:rFonts w:ascii="Times New Roman" w:hAnsi="Times New Roman" w:cs="Times New Roman"/>
          <w:szCs w:val="24"/>
        </w:rPr>
      </w:pPr>
    </w:p>
    <w:p w14:paraId="0FB6D84C" w14:textId="129B3D9D" w:rsidR="00323FA8" w:rsidRPr="00E869A4" w:rsidRDefault="009C4720" w:rsidP="00175C3E">
      <w:pPr>
        <w:pStyle w:val="Heading2"/>
      </w:pPr>
      <w:bookmarkStart w:id="429" w:name="_Toc40436584"/>
      <w:bookmarkEnd w:id="427"/>
      <w:r w:rsidRPr="00E869A4">
        <w:t>9</w:t>
      </w:r>
      <w:r w:rsidR="00924AC7" w:rsidRPr="00E869A4">
        <w:t xml:space="preserve">.9 </w:t>
      </w:r>
      <w:r w:rsidR="009B2814" w:rsidRPr="00E869A4">
        <w:t>CONCLUSION</w:t>
      </w:r>
      <w:bookmarkEnd w:id="429"/>
    </w:p>
    <w:p w14:paraId="74948245" w14:textId="77777777" w:rsidR="00323FA8" w:rsidRPr="00E869A4" w:rsidRDefault="00323FA8" w:rsidP="00A35FF8">
      <w:pPr>
        <w:rPr>
          <w:rFonts w:ascii="Times New Roman" w:eastAsiaTheme="majorEastAsia" w:hAnsi="Times New Roman" w:cs="Times New Roman"/>
          <w:b/>
          <w:bCs/>
          <w:szCs w:val="28"/>
          <w:u w:val="single"/>
        </w:rPr>
      </w:pPr>
    </w:p>
    <w:p w14:paraId="005686C8" w14:textId="72F62CC6" w:rsidR="00E53916" w:rsidRPr="00E869A4" w:rsidRDefault="00E53916" w:rsidP="00A35FF8">
      <w:pPr>
        <w:rPr>
          <w:rFonts w:ascii="Times New Roman" w:eastAsiaTheme="majorEastAsia" w:hAnsi="Times New Roman" w:cs="Times New Roman"/>
          <w:bCs/>
          <w:szCs w:val="28"/>
        </w:rPr>
      </w:pPr>
      <w:r w:rsidRPr="00E869A4">
        <w:rPr>
          <w:rFonts w:ascii="Times New Roman" w:eastAsiaTheme="majorEastAsia" w:hAnsi="Times New Roman" w:cs="Times New Roman"/>
          <w:bCs/>
          <w:szCs w:val="28"/>
        </w:rPr>
        <w:t xml:space="preserve">The survey provided insights into the factors motivating persons to be involved with family caregiving. </w:t>
      </w:r>
      <w:r w:rsidR="005955E1" w:rsidRPr="00E869A4">
        <w:rPr>
          <w:rFonts w:ascii="Times New Roman" w:eastAsiaTheme="majorEastAsia" w:hAnsi="Times New Roman" w:cs="Times New Roman"/>
          <w:bCs/>
          <w:szCs w:val="28"/>
        </w:rPr>
        <w:t>As in the qualitative investigations, m</w:t>
      </w:r>
      <w:r w:rsidRPr="00E869A4">
        <w:rPr>
          <w:rFonts w:ascii="Times New Roman" w:eastAsiaTheme="majorEastAsia" w:hAnsi="Times New Roman" w:cs="Times New Roman"/>
          <w:bCs/>
          <w:szCs w:val="28"/>
        </w:rPr>
        <w:t xml:space="preserve">ost </w:t>
      </w:r>
      <w:r w:rsidR="005955E1" w:rsidRPr="00E869A4">
        <w:rPr>
          <w:rFonts w:ascii="Times New Roman" w:eastAsiaTheme="majorEastAsia" w:hAnsi="Times New Roman" w:cs="Times New Roman"/>
          <w:bCs/>
          <w:szCs w:val="28"/>
        </w:rPr>
        <w:t>carers</w:t>
      </w:r>
      <w:r w:rsidRPr="00E869A4">
        <w:rPr>
          <w:rFonts w:ascii="Times New Roman" w:eastAsiaTheme="majorEastAsia" w:hAnsi="Times New Roman" w:cs="Times New Roman"/>
          <w:bCs/>
          <w:szCs w:val="28"/>
        </w:rPr>
        <w:t xml:space="preserve"> were females, and there was a high possibility of</w:t>
      </w:r>
      <w:r w:rsidR="005955E1" w:rsidRPr="00E869A4">
        <w:rPr>
          <w:rFonts w:ascii="Times New Roman" w:eastAsiaTheme="majorEastAsia" w:hAnsi="Times New Roman" w:cs="Times New Roman"/>
          <w:bCs/>
          <w:szCs w:val="28"/>
        </w:rPr>
        <w:t xml:space="preserve"> older</w:t>
      </w:r>
      <w:r w:rsidRPr="00E869A4">
        <w:rPr>
          <w:rFonts w:ascii="Times New Roman" w:eastAsiaTheme="majorEastAsia" w:hAnsi="Times New Roman" w:cs="Times New Roman"/>
          <w:bCs/>
          <w:szCs w:val="28"/>
        </w:rPr>
        <w:t xml:space="preserve"> parents receiving in-home family care in later life. </w:t>
      </w:r>
      <w:r w:rsidR="007A0235" w:rsidRPr="00E869A4">
        <w:rPr>
          <w:rFonts w:ascii="Times New Roman" w:eastAsiaTheme="majorEastAsia" w:hAnsi="Times New Roman" w:cs="Times New Roman"/>
          <w:bCs/>
          <w:szCs w:val="28"/>
        </w:rPr>
        <w:t xml:space="preserve"> </w:t>
      </w:r>
      <w:r w:rsidRPr="00E869A4">
        <w:rPr>
          <w:rFonts w:ascii="Times New Roman" w:eastAsiaTheme="majorEastAsia" w:hAnsi="Times New Roman" w:cs="Times New Roman"/>
          <w:bCs/>
          <w:szCs w:val="28"/>
        </w:rPr>
        <w:t xml:space="preserve">Family caregiving was very demanding since caregivers tended to perform caregiving duties for more than 3 hours each day and for more than a year. Most respondents provided elder care to a relative who was moderately or severely dependent. It follows that family caregivers provided assistance with various ADLs as well as IADLs. Generally, frail older persons lived in the same home as their family caregiver. Furthermore, several family caregivers had to care for at least </w:t>
      </w:r>
      <w:r w:rsidR="005955E1" w:rsidRPr="00E869A4">
        <w:rPr>
          <w:rFonts w:ascii="Times New Roman" w:eastAsiaTheme="majorEastAsia" w:hAnsi="Times New Roman" w:cs="Times New Roman"/>
          <w:bCs/>
          <w:szCs w:val="28"/>
        </w:rPr>
        <w:t>two (</w:t>
      </w:r>
      <w:r w:rsidRPr="00E869A4">
        <w:rPr>
          <w:rFonts w:ascii="Times New Roman" w:eastAsiaTheme="majorEastAsia" w:hAnsi="Times New Roman" w:cs="Times New Roman"/>
          <w:bCs/>
          <w:szCs w:val="28"/>
        </w:rPr>
        <w:t>2</w:t>
      </w:r>
      <w:r w:rsidR="005955E1" w:rsidRPr="00E869A4">
        <w:rPr>
          <w:rFonts w:ascii="Times New Roman" w:eastAsiaTheme="majorEastAsia" w:hAnsi="Times New Roman" w:cs="Times New Roman"/>
          <w:bCs/>
          <w:szCs w:val="28"/>
        </w:rPr>
        <w:t>)</w:t>
      </w:r>
      <w:r w:rsidRPr="00E869A4">
        <w:rPr>
          <w:rFonts w:ascii="Times New Roman" w:eastAsiaTheme="majorEastAsia" w:hAnsi="Times New Roman" w:cs="Times New Roman"/>
          <w:bCs/>
          <w:szCs w:val="28"/>
        </w:rPr>
        <w:t xml:space="preserve"> other persons in their family unit. This coupled with their work demands made caregiving a very demanding experience, especially when treating with persons who were cognitively frail. Given this situation, caregivers expressed a desire for in-home care support for their relatives and support services for themselves. </w:t>
      </w:r>
    </w:p>
    <w:p w14:paraId="127D67EC" w14:textId="77777777" w:rsidR="0087217D" w:rsidRPr="00E869A4" w:rsidRDefault="0087217D" w:rsidP="00A35FF8">
      <w:pPr>
        <w:rPr>
          <w:rFonts w:ascii="Times New Roman" w:eastAsiaTheme="majorEastAsia" w:hAnsi="Times New Roman" w:cs="Times New Roman"/>
          <w:bCs/>
          <w:szCs w:val="28"/>
        </w:rPr>
      </w:pPr>
    </w:p>
    <w:p w14:paraId="7008843A" w14:textId="23A2C054" w:rsidR="00E53916" w:rsidRPr="00E869A4" w:rsidRDefault="00E53916" w:rsidP="00A35FF8">
      <w:pPr>
        <w:tabs>
          <w:tab w:val="left" w:pos="3119"/>
        </w:tabs>
        <w:rPr>
          <w:rFonts w:ascii="Times New Roman" w:eastAsiaTheme="majorEastAsia" w:hAnsi="Times New Roman" w:cs="Times New Roman"/>
          <w:bCs/>
          <w:szCs w:val="28"/>
        </w:rPr>
      </w:pPr>
      <w:r w:rsidRPr="00E869A4">
        <w:rPr>
          <w:rFonts w:ascii="Times New Roman" w:eastAsiaTheme="majorEastAsia" w:hAnsi="Times New Roman" w:cs="Times New Roman"/>
          <w:bCs/>
          <w:szCs w:val="28"/>
        </w:rPr>
        <w:t xml:space="preserve">Unfortunately, many of the family caregivers </w:t>
      </w:r>
      <w:r w:rsidR="00DC65E7" w:rsidRPr="00E869A4">
        <w:rPr>
          <w:rFonts w:ascii="Times New Roman" w:eastAsiaTheme="majorEastAsia" w:hAnsi="Times New Roman" w:cs="Times New Roman"/>
          <w:bCs/>
          <w:szCs w:val="28"/>
        </w:rPr>
        <w:t xml:space="preserve">felt they </w:t>
      </w:r>
      <w:r w:rsidRPr="00E869A4">
        <w:rPr>
          <w:rFonts w:ascii="Times New Roman" w:eastAsiaTheme="majorEastAsia" w:hAnsi="Times New Roman" w:cs="Times New Roman"/>
          <w:bCs/>
          <w:szCs w:val="28"/>
        </w:rPr>
        <w:t xml:space="preserve">had to function in a context where health and social services were insufficient to meet their needs and that of their older relative. As with the qualitative findings, several respondents shared extensively about the inadequacies in both public and private health care and the </w:t>
      </w:r>
      <w:r w:rsidR="00DF4237" w:rsidRPr="00E869A4">
        <w:rPr>
          <w:rFonts w:ascii="Times New Roman" w:eastAsiaTheme="majorEastAsia" w:hAnsi="Times New Roman" w:cs="Times New Roman"/>
          <w:bCs/>
          <w:szCs w:val="28"/>
        </w:rPr>
        <w:t xml:space="preserve">large amount of </w:t>
      </w:r>
      <w:r w:rsidRPr="00E869A4">
        <w:rPr>
          <w:rFonts w:ascii="Times New Roman" w:eastAsiaTheme="majorEastAsia" w:hAnsi="Times New Roman" w:cs="Times New Roman"/>
          <w:bCs/>
          <w:szCs w:val="28"/>
        </w:rPr>
        <w:t>time and mone</w:t>
      </w:r>
      <w:r w:rsidR="00DF4237" w:rsidRPr="00E869A4">
        <w:rPr>
          <w:rFonts w:ascii="Times New Roman" w:eastAsiaTheme="majorEastAsia" w:hAnsi="Times New Roman" w:cs="Times New Roman"/>
          <w:bCs/>
          <w:szCs w:val="28"/>
        </w:rPr>
        <w:t xml:space="preserve">y </w:t>
      </w:r>
      <w:r w:rsidRPr="00E869A4">
        <w:rPr>
          <w:rFonts w:ascii="Times New Roman" w:eastAsiaTheme="majorEastAsia" w:hAnsi="Times New Roman" w:cs="Times New Roman"/>
          <w:bCs/>
          <w:szCs w:val="28"/>
        </w:rPr>
        <w:t xml:space="preserve">expended in trying to access these and other services. They also shared </w:t>
      </w:r>
      <w:r w:rsidR="00323FA8" w:rsidRPr="00E869A4">
        <w:rPr>
          <w:rFonts w:ascii="Times New Roman" w:eastAsiaTheme="majorEastAsia" w:hAnsi="Times New Roman" w:cs="Times New Roman"/>
          <w:bCs/>
          <w:szCs w:val="28"/>
        </w:rPr>
        <w:t>information on</w:t>
      </w:r>
      <w:r w:rsidRPr="00E869A4">
        <w:rPr>
          <w:rFonts w:ascii="Times New Roman" w:eastAsiaTheme="majorEastAsia" w:hAnsi="Times New Roman" w:cs="Times New Roman"/>
          <w:bCs/>
          <w:szCs w:val="28"/>
        </w:rPr>
        <w:t xml:space="preserve"> the poor customer service that they received at public health facilities. The inefficiencies of social service programmes were also highlighted</w:t>
      </w:r>
      <w:r w:rsidR="000A5A2B" w:rsidRPr="00E869A4">
        <w:rPr>
          <w:rFonts w:ascii="Times New Roman" w:eastAsiaTheme="majorEastAsia" w:hAnsi="Times New Roman" w:cs="Times New Roman"/>
          <w:bCs/>
          <w:szCs w:val="28"/>
        </w:rPr>
        <w:t>: the</w:t>
      </w:r>
      <w:r w:rsidR="00DF4237" w:rsidRPr="00E869A4">
        <w:rPr>
          <w:rFonts w:ascii="Times New Roman" w:eastAsiaTheme="majorEastAsia" w:hAnsi="Times New Roman" w:cs="Times New Roman"/>
          <w:bCs/>
          <w:szCs w:val="28"/>
        </w:rPr>
        <w:t xml:space="preserve"> </w:t>
      </w:r>
      <w:r w:rsidRPr="00E869A4">
        <w:rPr>
          <w:rFonts w:ascii="Times New Roman" w:eastAsiaTheme="majorEastAsia" w:hAnsi="Times New Roman" w:cs="Times New Roman"/>
          <w:bCs/>
          <w:szCs w:val="28"/>
        </w:rPr>
        <w:t xml:space="preserve">lack of awareness by significant numbers of persons about the existence of several of the programmes provided by the </w:t>
      </w:r>
      <w:r w:rsidR="007A0235" w:rsidRPr="00E869A4">
        <w:rPr>
          <w:rFonts w:ascii="Times New Roman" w:eastAsiaTheme="majorEastAsia" w:hAnsi="Times New Roman" w:cs="Times New Roman"/>
          <w:bCs/>
          <w:szCs w:val="28"/>
        </w:rPr>
        <w:t>s</w:t>
      </w:r>
      <w:r w:rsidRPr="00E869A4">
        <w:rPr>
          <w:rFonts w:ascii="Times New Roman" w:eastAsiaTheme="majorEastAsia" w:hAnsi="Times New Roman" w:cs="Times New Roman"/>
          <w:bCs/>
          <w:szCs w:val="28"/>
        </w:rPr>
        <w:t>tate</w:t>
      </w:r>
      <w:r w:rsidR="000A5A2B" w:rsidRPr="00E869A4">
        <w:rPr>
          <w:rFonts w:ascii="Times New Roman" w:eastAsiaTheme="majorEastAsia" w:hAnsi="Times New Roman" w:cs="Times New Roman"/>
          <w:bCs/>
          <w:szCs w:val="28"/>
        </w:rPr>
        <w:t xml:space="preserve"> was </w:t>
      </w:r>
      <w:r w:rsidR="000A5A2B" w:rsidRPr="00E869A4">
        <w:rPr>
          <w:rFonts w:ascii="Times New Roman" w:eastAsiaTheme="majorEastAsia" w:hAnsi="Times New Roman" w:cs="Times New Roman"/>
          <w:bCs/>
          <w:szCs w:val="28"/>
        </w:rPr>
        <w:lastRenderedPageBreak/>
        <w:t>underscored</w:t>
      </w:r>
      <w:r w:rsidRPr="00E869A4">
        <w:rPr>
          <w:rFonts w:ascii="Times New Roman" w:eastAsiaTheme="majorEastAsia" w:hAnsi="Times New Roman" w:cs="Times New Roman"/>
          <w:bCs/>
          <w:szCs w:val="28"/>
        </w:rPr>
        <w:t xml:space="preserve">. Another interesting finding was that very few respondents received assistance from civil society organisations in the provision of care to their older relatives.  </w:t>
      </w:r>
    </w:p>
    <w:p w14:paraId="11C595D2" w14:textId="77777777" w:rsidR="0087217D" w:rsidRPr="00E869A4" w:rsidRDefault="0087217D" w:rsidP="00A35FF8">
      <w:pPr>
        <w:tabs>
          <w:tab w:val="left" w:pos="3119"/>
        </w:tabs>
        <w:rPr>
          <w:rFonts w:ascii="Times New Roman" w:eastAsiaTheme="majorEastAsia" w:hAnsi="Times New Roman" w:cs="Times New Roman"/>
          <w:bCs/>
          <w:szCs w:val="28"/>
        </w:rPr>
      </w:pPr>
    </w:p>
    <w:p w14:paraId="641162CB" w14:textId="5958E09C" w:rsidR="00E53916" w:rsidRPr="00E869A4" w:rsidRDefault="00E53916" w:rsidP="00A35FF8">
      <w:pPr>
        <w:rPr>
          <w:rFonts w:ascii="Times New Roman" w:eastAsiaTheme="majorEastAsia" w:hAnsi="Times New Roman" w:cs="Times New Roman"/>
          <w:bCs/>
          <w:szCs w:val="28"/>
        </w:rPr>
      </w:pPr>
      <w:r w:rsidRPr="00E869A4">
        <w:rPr>
          <w:rFonts w:ascii="Times New Roman" w:eastAsiaTheme="majorEastAsia" w:hAnsi="Times New Roman" w:cs="Times New Roman"/>
          <w:bCs/>
          <w:szCs w:val="28"/>
        </w:rPr>
        <w:t>Unlike the qualitative study, most persons shared that their main motivation for providing care was because of love for their older relative. It may be that persons felt more comfortable expressing such emotions anonymously as opposed to doing so in a face-to-face encounter</w:t>
      </w:r>
      <w:r w:rsidR="00323FA8" w:rsidRPr="00E869A4">
        <w:rPr>
          <w:rFonts w:ascii="Times New Roman" w:eastAsiaTheme="majorEastAsia" w:hAnsi="Times New Roman" w:cs="Times New Roman"/>
          <w:bCs/>
          <w:szCs w:val="28"/>
        </w:rPr>
        <w:t>. It may also be that in the face-to-f</w:t>
      </w:r>
      <w:r w:rsidR="000A5A2B" w:rsidRPr="00E869A4">
        <w:rPr>
          <w:rFonts w:ascii="Times New Roman" w:eastAsiaTheme="majorEastAsia" w:hAnsi="Times New Roman" w:cs="Times New Roman"/>
          <w:bCs/>
          <w:szCs w:val="28"/>
        </w:rPr>
        <w:t>ace interviews love was taken-for-granted, given the</w:t>
      </w:r>
      <w:r w:rsidR="00323FA8" w:rsidRPr="00E869A4">
        <w:rPr>
          <w:rFonts w:ascii="Times New Roman" w:eastAsiaTheme="majorEastAsia" w:hAnsi="Times New Roman" w:cs="Times New Roman"/>
          <w:bCs/>
          <w:szCs w:val="28"/>
        </w:rPr>
        <w:t xml:space="preserve"> acts of kindness and generosity that the participants spoke about. Duty and a desire to reciprocate care may have also been viewed as tantamount to love by those who were more explicit in identifying those motives in the interviews</w:t>
      </w:r>
      <w:r w:rsidRPr="00E869A4">
        <w:rPr>
          <w:rFonts w:ascii="Times New Roman" w:eastAsiaTheme="majorEastAsia" w:hAnsi="Times New Roman" w:cs="Times New Roman"/>
          <w:bCs/>
          <w:szCs w:val="28"/>
        </w:rPr>
        <w:t xml:space="preserve">. Also, </w:t>
      </w:r>
      <w:r w:rsidR="00D33B3D" w:rsidRPr="00E869A4">
        <w:rPr>
          <w:rFonts w:ascii="Times New Roman" w:eastAsiaTheme="majorEastAsia" w:hAnsi="Times New Roman" w:cs="Times New Roman"/>
          <w:bCs/>
          <w:szCs w:val="28"/>
        </w:rPr>
        <w:t xml:space="preserve">survey </w:t>
      </w:r>
      <w:r w:rsidRPr="00E869A4">
        <w:rPr>
          <w:rFonts w:ascii="Times New Roman" w:eastAsiaTheme="majorEastAsia" w:hAnsi="Times New Roman" w:cs="Times New Roman"/>
          <w:bCs/>
          <w:szCs w:val="28"/>
        </w:rPr>
        <w:t>respondents were less likely to indicate the role of religion/spirituality in their decision to provide care than in the qualitative study. Thus, the methodology used for determining the main values that motivate caregiving behaviour must be taken into consideration when designing studies on this subject</w:t>
      </w:r>
      <w:r w:rsidR="00A15303" w:rsidRPr="00E869A4">
        <w:rPr>
          <w:rFonts w:ascii="Times New Roman" w:eastAsiaTheme="majorEastAsia" w:hAnsi="Times New Roman" w:cs="Times New Roman"/>
          <w:bCs/>
          <w:szCs w:val="28"/>
        </w:rPr>
        <w:t>,</w:t>
      </w:r>
      <w:r w:rsidRPr="00E869A4">
        <w:rPr>
          <w:rFonts w:ascii="Times New Roman" w:eastAsiaTheme="majorEastAsia" w:hAnsi="Times New Roman" w:cs="Times New Roman"/>
          <w:bCs/>
          <w:szCs w:val="28"/>
        </w:rPr>
        <w:t xml:space="preserve"> and interpreting the research findings in</w:t>
      </w:r>
      <w:r w:rsidR="00A15303" w:rsidRPr="00E869A4">
        <w:rPr>
          <w:rFonts w:ascii="Times New Roman" w:eastAsiaTheme="majorEastAsia" w:hAnsi="Times New Roman" w:cs="Times New Roman"/>
          <w:bCs/>
          <w:szCs w:val="28"/>
        </w:rPr>
        <w:t xml:space="preserve"> a</w:t>
      </w:r>
      <w:r w:rsidRPr="00E869A4">
        <w:rPr>
          <w:rFonts w:ascii="Times New Roman" w:eastAsiaTheme="majorEastAsia" w:hAnsi="Times New Roman" w:cs="Times New Roman"/>
          <w:bCs/>
          <w:szCs w:val="28"/>
        </w:rPr>
        <w:t xml:space="preserve"> particular cultural context. </w:t>
      </w:r>
    </w:p>
    <w:p w14:paraId="0A07E6DB" w14:textId="77777777" w:rsidR="0087217D" w:rsidRPr="00E869A4" w:rsidRDefault="0087217D" w:rsidP="00A35FF8">
      <w:pPr>
        <w:rPr>
          <w:rFonts w:ascii="Times New Roman" w:eastAsiaTheme="majorEastAsia" w:hAnsi="Times New Roman" w:cs="Times New Roman"/>
          <w:bCs/>
          <w:szCs w:val="28"/>
        </w:rPr>
      </w:pPr>
    </w:p>
    <w:p w14:paraId="6C30229E" w14:textId="5E3FEB8A" w:rsidR="00E53916" w:rsidRPr="00E869A4" w:rsidRDefault="00E53916" w:rsidP="00A35FF8">
      <w:pPr>
        <w:rPr>
          <w:rFonts w:ascii="Times New Roman" w:eastAsiaTheme="majorEastAsia" w:hAnsi="Times New Roman" w:cs="Times New Roman"/>
          <w:bCs/>
          <w:szCs w:val="28"/>
        </w:rPr>
      </w:pPr>
      <w:r w:rsidRPr="00E869A4">
        <w:rPr>
          <w:rFonts w:ascii="Times New Roman" w:eastAsiaTheme="majorEastAsia" w:hAnsi="Times New Roman" w:cs="Times New Roman"/>
          <w:bCs/>
          <w:szCs w:val="28"/>
        </w:rPr>
        <w:t>A significant proportion of the participants were willing to continue to provide family care for their older relatives, and would only consider institutionalising them if the</w:t>
      </w:r>
      <w:r w:rsidR="00D33B3D" w:rsidRPr="00E869A4">
        <w:rPr>
          <w:rFonts w:ascii="Times New Roman" w:eastAsiaTheme="majorEastAsia" w:hAnsi="Times New Roman" w:cs="Times New Roman"/>
          <w:bCs/>
          <w:szCs w:val="28"/>
        </w:rPr>
        <w:t>ir relative</w:t>
      </w:r>
      <w:r w:rsidR="00A15303" w:rsidRPr="00E869A4">
        <w:rPr>
          <w:rFonts w:ascii="Times New Roman" w:eastAsiaTheme="majorEastAsia" w:hAnsi="Times New Roman" w:cs="Times New Roman"/>
          <w:bCs/>
          <w:szCs w:val="28"/>
        </w:rPr>
        <w:t xml:space="preserve"> bec</w:t>
      </w:r>
      <w:r w:rsidR="00D33B3D" w:rsidRPr="00E869A4">
        <w:rPr>
          <w:rFonts w:ascii="Times New Roman" w:eastAsiaTheme="majorEastAsia" w:hAnsi="Times New Roman" w:cs="Times New Roman"/>
          <w:bCs/>
          <w:szCs w:val="28"/>
        </w:rPr>
        <w:t>a</w:t>
      </w:r>
      <w:r w:rsidR="00A15303" w:rsidRPr="00E869A4">
        <w:rPr>
          <w:rFonts w:ascii="Times New Roman" w:eastAsiaTheme="majorEastAsia" w:hAnsi="Times New Roman" w:cs="Times New Roman"/>
          <w:bCs/>
          <w:szCs w:val="28"/>
        </w:rPr>
        <w:t xml:space="preserve">me </w:t>
      </w:r>
      <w:r w:rsidRPr="00E869A4">
        <w:rPr>
          <w:rFonts w:ascii="Times New Roman" w:eastAsiaTheme="majorEastAsia" w:hAnsi="Times New Roman" w:cs="Times New Roman"/>
          <w:bCs/>
          <w:szCs w:val="28"/>
        </w:rPr>
        <w:t>severely dependent</w:t>
      </w:r>
      <w:r w:rsidR="00D33B3D" w:rsidRPr="00E869A4">
        <w:rPr>
          <w:rFonts w:ascii="Times New Roman" w:eastAsiaTheme="majorEastAsia" w:hAnsi="Times New Roman" w:cs="Times New Roman"/>
          <w:bCs/>
          <w:szCs w:val="28"/>
        </w:rPr>
        <w:t xml:space="preserve"> and</w:t>
      </w:r>
      <w:r w:rsidRPr="00E869A4">
        <w:rPr>
          <w:rFonts w:ascii="Times New Roman" w:eastAsiaTheme="majorEastAsia" w:hAnsi="Times New Roman" w:cs="Times New Roman"/>
          <w:bCs/>
          <w:szCs w:val="28"/>
        </w:rPr>
        <w:t xml:space="preserve"> the requisite care</w:t>
      </w:r>
      <w:r w:rsidR="00D33B3D" w:rsidRPr="00E869A4">
        <w:rPr>
          <w:rFonts w:ascii="Times New Roman" w:eastAsiaTheme="majorEastAsia" w:hAnsi="Times New Roman" w:cs="Times New Roman"/>
          <w:bCs/>
          <w:szCs w:val="28"/>
        </w:rPr>
        <w:t xml:space="preserve"> could not be provided</w:t>
      </w:r>
      <w:r w:rsidRPr="00E869A4">
        <w:rPr>
          <w:rFonts w:ascii="Times New Roman" w:eastAsiaTheme="majorEastAsia" w:hAnsi="Times New Roman" w:cs="Times New Roman"/>
          <w:bCs/>
          <w:szCs w:val="28"/>
        </w:rPr>
        <w:t xml:space="preserve"> in the family home. The poor quality of institutions such as Homes for Older Persons was a major deterrent against persons exploring institutionalisation as an alternative to care. </w:t>
      </w:r>
      <w:r w:rsidR="000A5A2B" w:rsidRPr="00E869A4">
        <w:rPr>
          <w:rFonts w:ascii="Times New Roman" w:eastAsiaTheme="majorEastAsia" w:hAnsi="Times New Roman" w:cs="Times New Roman"/>
          <w:bCs/>
          <w:szCs w:val="28"/>
        </w:rPr>
        <w:t>Many</w:t>
      </w:r>
      <w:r w:rsidRPr="00E869A4">
        <w:rPr>
          <w:rFonts w:ascii="Times New Roman" w:eastAsiaTheme="majorEastAsia" w:hAnsi="Times New Roman" w:cs="Times New Roman"/>
          <w:bCs/>
          <w:szCs w:val="28"/>
        </w:rPr>
        <w:t xml:space="preserve"> participants were also afraid that institutionalisation might lead to the premature death of their older relative. A</w:t>
      </w:r>
      <w:r w:rsidR="00A15303" w:rsidRPr="00E869A4">
        <w:rPr>
          <w:rFonts w:ascii="Times New Roman" w:eastAsiaTheme="majorEastAsia" w:hAnsi="Times New Roman" w:cs="Times New Roman"/>
          <w:bCs/>
          <w:szCs w:val="28"/>
        </w:rPr>
        <w:t xml:space="preserve"> few shared actual experiences of</w:t>
      </w:r>
      <w:r w:rsidRPr="00E869A4">
        <w:rPr>
          <w:rFonts w:ascii="Times New Roman" w:eastAsiaTheme="majorEastAsia" w:hAnsi="Times New Roman" w:cs="Times New Roman"/>
          <w:bCs/>
          <w:szCs w:val="28"/>
        </w:rPr>
        <w:t xml:space="preserve"> this occurr</w:t>
      </w:r>
      <w:r w:rsidR="00A15303" w:rsidRPr="00E869A4">
        <w:rPr>
          <w:rFonts w:ascii="Times New Roman" w:eastAsiaTheme="majorEastAsia" w:hAnsi="Times New Roman" w:cs="Times New Roman"/>
          <w:bCs/>
          <w:szCs w:val="28"/>
        </w:rPr>
        <w:t>ing</w:t>
      </w:r>
      <w:r w:rsidRPr="00E869A4">
        <w:rPr>
          <w:rFonts w:ascii="Times New Roman" w:eastAsiaTheme="majorEastAsia" w:hAnsi="Times New Roman" w:cs="Times New Roman"/>
          <w:bCs/>
          <w:szCs w:val="28"/>
        </w:rPr>
        <w:t xml:space="preserve">. This </w:t>
      </w:r>
      <w:r w:rsidR="00C75047" w:rsidRPr="00E869A4">
        <w:rPr>
          <w:rFonts w:ascii="Times New Roman" w:eastAsiaTheme="majorEastAsia" w:hAnsi="Times New Roman" w:cs="Times New Roman"/>
          <w:bCs/>
          <w:szCs w:val="28"/>
        </w:rPr>
        <w:t xml:space="preserve">assessment </w:t>
      </w:r>
      <w:r w:rsidRPr="00E869A4">
        <w:rPr>
          <w:rFonts w:ascii="Times New Roman" w:eastAsiaTheme="majorEastAsia" w:hAnsi="Times New Roman" w:cs="Times New Roman"/>
          <w:bCs/>
          <w:szCs w:val="28"/>
        </w:rPr>
        <w:t xml:space="preserve">was fuelled by both the perceived </w:t>
      </w:r>
      <w:r w:rsidR="00A15303" w:rsidRPr="00E869A4">
        <w:rPr>
          <w:rFonts w:ascii="Times New Roman" w:eastAsiaTheme="majorEastAsia" w:hAnsi="Times New Roman" w:cs="Times New Roman"/>
          <w:bCs/>
          <w:szCs w:val="28"/>
        </w:rPr>
        <w:t xml:space="preserve">poor </w:t>
      </w:r>
      <w:r w:rsidRPr="00E869A4">
        <w:rPr>
          <w:rFonts w:ascii="Times New Roman" w:eastAsiaTheme="majorEastAsia" w:hAnsi="Times New Roman" w:cs="Times New Roman"/>
          <w:bCs/>
          <w:szCs w:val="28"/>
        </w:rPr>
        <w:t xml:space="preserve">quality of these institutions, as well as a strong belief by some </w:t>
      </w:r>
      <w:r w:rsidR="00D14F01" w:rsidRPr="00E869A4">
        <w:rPr>
          <w:rFonts w:ascii="Times New Roman" w:eastAsiaTheme="majorEastAsia" w:hAnsi="Times New Roman" w:cs="Times New Roman"/>
          <w:bCs/>
          <w:szCs w:val="28"/>
        </w:rPr>
        <w:t>respondents</w:t>
      </w:r>
      <w:r w:rsidRPr="00E869A4">
        <w:rPr>
          <w:rFonts w:ascii="Times New Roman" w:eastAsiaTheme="majorEastAsia" w:hAnsi="Times New Roman" w:cs="Times New Roman"/>
          <w:bCs/>
          <w:szCs w:val="28"/>
        </w:rPr>
        <w:t xml:space="preserve"> that older persons should be cared for in the family home</w:t>
      </w:r>
      <w:r w:rsidR="000A5A2B" w:rsidRPr="00E869A4">
        <w:rPr>
          <w:rFonts w:ascii="Times New Roman" w:eastAsiaTheme="majorEastAsia" w:hAnsi="Times New Roman" w:cs="Times New Roman"/>
          <w:bCs/>
          <w:szCs w:val="28"/>
        </w:rPr>
        <w:t>,</w:t>
      </w:r>
      <w:r w:rsidRPr="00E869A4">
        <w:rPr>
          <w:rFonts w:ascii="Times New Roman" w:eastAsiaTheme="majorEastAsia" w:hAnsi="Times New Roman" w:cs="Times New Roman"/>
          <w:bCs/>
          <w:szCs w:val="28"/>
        </w:rPr>
        <w:t xml:space="preserve"> lest they suffer from depression and die as a result. Several respondents complained about the lack of proper monitoring and evaluation of Homes for Older Persons. </w:t>
      </w:r>
    </w:p>
    <w:p w14:paraId="0DACF70C" w14:textId="77777777" w:rsidR="0087217D" w:rsidRPr="00E869A4" w:rsidRDefault="0087217D" w:rsidP="00A35FF8">
      <w:pPr>
        <w:rPr>
          <w:rFonts w:ascii="Times New Roman" w:eastAsiaTheme="majorEastAsia" w:hAnsi="Times New Roman" w:cs="Times New Roman"/>
          <w:bCs/>
          <w:szCs w:val="28"/>
        </w:rPr>
      </w:pPr>
    </w:p>
    <w:p w14:paraId="3F8E2D59" w14:textId="4F438CB3" w:rsidR="004479E8" w:rsidRPr="00E869A4" w:rsidRDefault="00E53916" w:rsidP="00A35FF8">
      <w:pPr>
        <w:rPr>
          <w:rFonts w:ascii="Times New Roman" w:hAnsi="Times New Roman" w:cs="Times New Roman"/>
        </w:rPr>
      </w:pPr>
      <w:r w:rsidRPr="00E869A4">
        <w:rPr>
          <w:rFonts w:ascii="Times New Roman" w:eastAsiaTheme="majorEastAsia" w:hAnsi="Times New Roman" w:cs="Times New Roman"/>
          <w:bCs/>
          <w:szCs w:val="28"/>
        </w:rPr>
        <w:t xml:space="preserve">The chapter that follows will </w:t>
      </w:r>
      <w:r w:rsidR="000A5A2B" w:rsidRPr="00E869A4">
        <w:rPr>
          <w:rFonts w:ascii="Times New Roman" w:eastAsiaTheme="majorEastAsia" w:hAnsi="Times New Roman" w:cs="Times New Roman"/>
          <w:bCs/>
          <w:szCs w:val="28"/>
        </w:rPr>
        <w:t>provide an overall discussion of</w:t>
      </w:r>
      <w:r w:rsidRPr="00E869A4">
        <w:rPr>
          <w:rFonts w:ascii="Times New Roman" w:eastAsiaTheme="majorEastAsia" w:hAnsi="Times New Roman" w:cs="Times New Roman"/>
          <w:bCs/>
          <w:szCs w:val="28"/>
        </w:rPr>
        <w:t xml:space="preserve"> the findings of both the quantitative and qualitative investigations, and the implications for social policy and programme development in T&amp;T. It will also situate the findings in the context of existing literature on these issues. </w:t>
      </w:r>
      <w:r w:rsidR="004479E8" w:rsidRPr="00E869A4">
        <w:rPr>
          <w:rFonts w:ascii="Times New Roman" w:hAnsi="Times New Roman" w:cs="Times New Roman"/>
        </w:rPr>
        <w:br w:type="page"/>
      </w:r>
    </w:p>
    <w:p w14:paraId="4C6E8CB1" w14:textId="3801D963" w:rsidR="004479E8" w:rsidRPr="00E869A4" w:rsidRDefault="004479E8" w:rsidP="00D20B2D">
      <w:pPr>
        <w:pStyle w:val="Heading1"/>
      </w:pPr>
      <w:bookmarkStart w:id="430" w:name="_Toc40436585"/>
      <w:r w:rsidRPr="00E869A4">
        <w:lastRenderedPageBreak/>
        <w:t xml:space="preserve">CHAPTER </w:t>
      </w:r>
      <w:r w:rsidR="005C7011" w:rsidRPr="00E869A4">
        <w:t>10</w:t>
      </w:r>
      <w:r w:rsidRPr="00E869A4">
        <w:t xml:space="preserve"> – DISCUSSION</w:t>
      </w:r>
      <w:r w:rsidR="006E233B" w:rsidRPr="00E869A4">
        <w:t xml:space="preserve"> &amp; CONCLUSION</w:t>
      </w:r>
      <w:bookmarkEnd w:id="430"/>
    </w:p>
    <w:p w14:paraId="2C1974B9" w14:textId="77777777" w:rsidR="004F33B6" w:rsidRPr="00E869A4" w:rsidRDefault="004F33B6" w:rsidP="00B61191">
      <w:pPr>
        <w:ind w:left="567" w:firstLine="0"/>
      </w:pPr>
      <w:bookmarkStart w:id="431" w:name="_Toc26414884"/>
    </w:p>
    <w:p w14:paraId="47FE2720" w14:textId="13ECFE39" w:rsidR="004F33B6" w:rsidRPr="00E869A4" w:rsidRDefault="004F33B6" w:rsidP="004F33B6">
      <w:pPr>
        <w:pStyle w:val="Heading2"/>
      </w:pPr>
      <w:bookmarkStart w:id="432" w:name="_Toc40436586"/>
      <w:r w:rsidRPr="00E869A4">
        <w:t>1</w:t>
      </w:r>
      <w:r w:rsidR="0048754D" w:rsidRPr="00E869A4">
        <w:t>0</w:t>
      </w:r>
      <w:r w:rsidRPr="00E869A4">
        <w:t>.1 I</w:t>
      </w:r>
      <w:bookmarkEnd w:id="431"/>
      <w:r w:rsidRPr="00E869A4">
        <w:t>NTRODUCTION</w:t>
      </w:r>
      <w:bookmarkEnd w:id="432"/>
    </w:p>
    <w:p w14:paraId="7C2FC00D" w14:textId="77777777" w:rsidR="004F33B6" w:rsidRPr="00E869A4" w:rsidRDefault="004F33B6" w:rsidP="004F33B6">
      <w:pPr>
        <w:rPr>
          <w:rFonts w:ascii="Times New Roman" w:eastAsia="Times New Roman" w:hAnsi="Times New Roman" w:cs="Times New Roman"/>
        </w:rPr>
      </w:pPr>
    </w:p>
    <w:p w14:paraId="4EE7B339" w14:textId="77777777"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This chapter is divided into two main sections, namely the discussion of the findings and the conclusion. The discussion is organised according to each of the research questions that the study set out to address. To recap, it focuses on the factors that contributed to caregiver role acquisition, describes how older persons and their family carers experience their care situation, highlights the coping and care management strategies employed by family caregivers and older persons, and, suggests policy and programme provisions given these findings. </w:t>
      </w:r>
    </w:p>
    <w:p w14:paraId="29D37F54" w14:textId="77777777" w:rsidR="004F33B6" w:rsidRPr="00E869A4" w:rsidRDefault="004F33B6" w:rsidP="004F33B6">
      <w:pPr>
        <w:rPr>
          <w:rFonts w:ascii="Times New Roman" w:eastAsia="Times New Roman" w:hAnsi="Times New Roman" w:cs="Times New Roman"/>
        </w:rPr>
      </w:pPr>
    </w:p>
    <w:p w14:paraId="31C88964" w14:textId="77777777"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For each research question, key themes were developed based on in-depth interviews and focus groups that were conducted on both islands of T&amp;T. These themes are discussed below and comparisons made to existing literature and theoretical perspectives. The results-based themes should be seen as heuristic devices that illuminate the subtle differences and nuances in the data, but which in practice overlap and interlink in each care context where they often occur concurrently. In the discussion that follows, the convergence and divergence of the findings from both the qualitative and quantitative components of the study are discussed and consideration given to areas for further research on this subject. </w:t>
      </w:r>
    </w:p>
    <w:p w14:paraId="754B8CEE" w14:textId="77777777" w:rsidR="004F33B6" w:rsidRPr="00E869A4" w:rsidRDefault="004F33B6" w:rsidP="004F33B6">
      <w:pPr>
        <w:rPr>
          <w:rFonts w:ascii="Times New Roman" w:hAnsi="Times New Roman" w:cs="Times New Roman"/>
        </w:rPr>
      </w:pPr>
    </w:p>
    <w:p w14:paraId="6E6A6ADD" w14:textId="3B2DC77E" w:rsidR="004F33B6" w:rsidRPr="00E869A4" w:rsidRDefault="004F33B6" w:rsidP="004F33B6">
      <w:pPr>
        <w:pStyle w:val="Heading2"/>
      </w:pPr>
      <w:bookmarkStart w:id="433" w:name="_Toc26414885"/>
      <w:bookmarkStart w:id="434" w:name="_Toc40436587"/>
      <w:r w:rsidRPr="00E869A4">
        <w:t>1</w:t>
      </w:r>
      <w:r w:rsidR="0048754D" w:rsidRPr="00E869A4">
        <w:t>0</w:t>
      </w:r>
      <w:r w:rsidRPr="00E869A4">
        <w:t>.2 DISCUSSION</w:t>
      </w:r>
      <w:bookmarkEnd w:id="433"/>
      <w:bookmarkEnd w:id="434"/>
    </w:p>
    <w:p w14:paraId="0392896A" w14:textId="77777777" w:rsidR="004F33B6" w:rsidRPr="00E869A4" w:rsidRDefault="004F33B6" w:rsidP="004F33B6">
      <w:pPr>
        <w:rPr>
          <w:rFonts w:ascii="Times New Roman" w:eastAsia="Times New Roman" w:hAnsi="Times New Roman" w:cs="Times New Roman"/>
        </w:rPr>
      </w:pPr>
    </w:p>
    <w:p w14:paraId="27AE54FE" w14:textId="65AE7933" w:rsidR="004F33B6" w:rsidRPr="00E869A4" w:rsidRDefault="004F33B6" w:rsidP="005C449C">
      <w:pPr>
        <w:pStyle w:val="Heading3"/>
      </w:pPr>
      <w:bookmarkStart w:id="435" w:name="_Toc26414886"/>
      <w:bookmarkStart w:id="436" w:name="_Toc40436588"/>
      <w:r w:rsidRPr="00E869A4">
        <w:t>1</w:t>
      </w:r>
      <w:r w:rsidR="0048754D" w:rsidRPr="00E869A4">
        <w:t>0</w:t>
      </w:r>
      <w:r w:rsidRPr="00E869A4">
        <w:t>.2.1     Determinants of Caregiving</w:t>
      </w:r>
      <w:bookmarkEnd w:id="435"/>
      <w:bookmarkEnd w:id="436"/>
    </w:p>
    <w:p w14:paraId="65FF5190" w14:textId="77777777" w:rsidR="004F33B6" w:rsidRPr="00E869A4" w:rsidRDefault="004F33B6" w:rsidP="004F33B6">
      <w:pPr>
        <w:rPr>
          <w:rFonts w:ascii="Times New Roman" w:eastAsia="Times New Roman" w:hAnsi="Times New Roman" w:cs="Times New Roman"/>
        </w:rPr>
      </w:pPr>
    </w:p>
    <w:p w14:paraId="0EE8F17C" w14:textId="292A363F" w:rsidR="004F33B6" w:rsidRPr="00E869A4" w:rsidRDefault="004F33B6" w:rsidP="004F33B6">
      <w:pPr>
        <w:rPr>
          <w:rFonts w:ascii="Times New Roman" w:eastAsia="Times New Roman" w:hAnsi="Times New Roman" w:cs="Times New Roman"/>
          <w:b/>
          <w:u w:val="single"/>
        </w:rPr>
      </w:pPr>
      <w:r w:rsidRPr="00E869A4">
        <w:rPr>
          <w:rFonts w:ascii="Times New Roman" w:eastAsia="Times New Roman" w:hAnsi="Times New Roman" w:cs="Times New Roman"/>
        </w:rPr>
        <w:t xml:space="preserve">This section provides an overview of the findings on the determinants of care. Particular attention is given to the significance of gender and religion as well as the importance of non-nuclear family forms and the role of the goddaughter and niece in family eldercare provision. The relevance of Masuy’s Conceptualisation of Family Care, Cantor’s </w:t>
      </w:r>
      <w:r w:rsidR="00A8598E" w:rsidRPr="00E869A4">
        <w:rPr>
          <w:rFonts w:ascii="Times New Roman" w:eastAsia="Times New Roman" w:hAnsi="Times New Roman" w:cs="Times New Roman"/>
        </w:rPr>
        <w:t>HCT</w:t>
      </w:r>
      <w:r w:rsidRPr="00E869A4">
        <w:rPr>
          <w:rFonts w:ascii="Times New Roman" w:eastAsia="Times New Roman" w:hAnsi="Times New Roman" w:cs="Times New Roman"/>
        </w:rPr>
        <w:t xml:space="preserve"> and Litwak’s Task-Specific Model </w:t>
      </w:r>
      <w:r w:rsidR="00A8598E" w:rsidRPr="00E869A4">
        <w:rPr>
          <w:rFonts w:ascii="Times New Roman" w:eastAsia="Times New Roman" w:hAnsi="Times New Roman" w:cs="Times New Roman"/>
        </w:rPr>
        <w:t xml:space="preserve">(TSM) </w:t>
      </w:r>
      <w:r w:rsidR="00D01F46">
        <w:rPr>
          <w:rFonts w:ascii="Times New Roman" w:eastAsia="Times New Roman" w:hAnsi="Times New Roman" w:cs="Times New Roman"/>
        </w:rPr>
        <w:t>wa</w:t>
      </w:r>
      <w:r w:rsidRPr="00E869A4">
        <w:rPr>
          <w:rFonts w:ascii="Times New Roman" w:eastAsia="Times New Roman" w:hAnsi="Times New Roman" w:cs="Times New Roman"/>
        </w:rPr>
        <w:t xml:space="preserve">s </w:t>
      </w:r>
      <w:r w:rsidRPr="00E869A4">
        <w:rPr>
          <w:rFonts w:ascii="Times New Roman" w:eastAsia="Times New Roman" w:hAnsi="Times New Roman" w:cs="Times New Roman"/>
        </w:rPr>
        <w:lastRenderedPageBreak/>
        <w:t xml:space="preserve">considered. Also, the influence of values such as duty and reciprocity are discussed with particular attention to how love is articulated and expressed in conversations about family elder care in T&amp;T. </w:t>
      </w:r>
    </w:p>
    <w:p w14:paraId="1784ACEA" w14:textId="4DDD20BF" w:rsidR="004F33B6" w:rsidRPr="00E869A4" w:rsidRDefault="004F33B6" w:rsidP="004F33B6">
      <w:pPr>
        <w:rPr>
          <w:rFonts w:ascii="Times New Roman" w:eastAsia="Calibri" w:hAnsi="Times New Roman" w:cs="Times New Roman"/>
          <w:b/>
          <w:smallCaps/>
          <w:u w:val="single"/>
        </w:rPr>
      </w:pPr>
    </w:p>
    <w:p w14:paraId="57EA57C9" w14:textId="77777777" w:rsidR="004F33B6" w:rsidRPr="00E869A4" w:rsidRDefault="004F33B6" w:rsidP="004F33B6">
      <w:pPr>
        <w:pStyle w:val="Heading4"/>
      </w:pPr>
      <w:r w:rsidRPr="00E869A4">
        <w:t>Overview of Findings</w:t>
      </w:r>
    </w:p>
    <w:p w14:paraId="5444C0D1" w14:textId="77777777" w:rsidR="001D370D" w:rsidRPr="00E869A4" w:rsidRDefault="001D370D" w:rsidP="001D370D"/>
    <w:p w14:paraId="54369E7F" w14:textId="6AE36FE9"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The three main categories of determinants of care that emerged from this study were: required care (</w:t>
      </w:r>
      <w:r w:rsidRPr="00E869A4">
        <w:rPr>
          <w:rFonts w:ascii="Times New Roman" w:eastAsia="Times New Roman" w:hAnsi="Times New Roman" w:cs="Times New Roman"/>
          <w:i/>
        </w:rPr>
        <w:t xml:space="preserve">I </w:t>
      </w:r>
      <w:r w:rsidRPr="00E869A4">
        <w:rPr>
          <w:rFonts w:ascii="Times New Roman" w:eastAsia="Times New Roman" w:hAnsi="Times New Roman" w:cs="Times New Roman"/>
          <w:b/>
          <w:i/>
        </w:rPr>
        <w:t>must</w:t>
      </w:r>
      <w:r w:rsidRPr="00E869A4">
        <w:rPr>
          <w:rFonts w:ascii="Times New Roman" w:eastAsia="Times New Roman" w:hAnsi="Times New Roman" w:cs="Times New Roman"/>
          <w:i/>
        </w:rPr>
        <w:t xml:space="preserve"> care</w:t>
      </w:r>
      <w:r w:rsidRPr="00E869A4">
        <w:rPr>
          <w:rFonts w:ascii="Times New Roman" w:eastAsia="Times New Roman" w:hAnsi="Times New Roman" w:cs="Times New Roman"/>
        </w:rPr>
        <w:t>), requited care (</w:t>
      </w:r>
      <w:r w:rsidRPr="00E869A4">
        <w:rPr>
          <w:rFonts w:ascii="Times New Roman" w:eastAsia="Times New Roman" w:hAnsi="Times New Roman" w:cs="Times New Roman"/>
          <w:i/>
        </w:rPr>
        <w:t xml:space="preserve">I </w:t>
      </w:r>
      <w:r w:rsidRPr="00E869A4">
        <w:rPr>
          <w:rFonts w:ascii="Times New Roman" w:eastAsia="Times New Roman" w:hAnsi="Times New Roman" w:cs="Times New Roman"/>
          <w:b/>
          <w:i/>
        </w:rPr>
        <w:t>should / ought</w:t>
      </w:r>
      <w:r w:rsidRPr="00E869A4">
        <w:rPr>
          <w:rFonts w:ascii="Times New Roman" w:eastAsia="Times New Roman" w:hAnsi="Times New Roman" w:cs="Times New Roman"/>
          <w:i/>
        </w:rPr>
        <w:t xml:space="preserve"> to care</w:t>
      </w:r>
      <w:r w:rsidRPr="00E869A4">
        <w:rPr>
          <w:rFonts w:ascii="Times New Roman" w:eastAsia="Times New Roman" w:hAnsi="Times New Roman" w:cs="Times New Roman"/>
        </w:rPr>
        <w:t>) and inspired care (</w:t>
      </w:r>
      <w:r w:rsidRPr="00E869A4">
        <w:rPr>
          <w:rFonts w:ascii="Times New Roman" w:eastAsia="Times New Roman" w:hAnsi="Times New Roman" w:cs="Times New Roman"/>
          <w:i/>
        </w:rPr>
        <w:t xml:space="preserve">I </w:t>
      </w:r>
      <w:r w:rsidRPr="00E869A4">
        <w:rPr>
          <w:rFonts w:ascii="Times New Roman" w:eastAsia="Times New Roman" w:hAnsi="Times New Roman" w:cs="Times New Roman"/>
          <w:b/>
          <w:i/>
        </w:rPr>
        <w:t>want</w:t>
      </w:r>
      <w:r w:rsidRPr="00E869A4">
        <w:rPr>
          <w:rFonts w:ascii="Times New Roman" w:eastAsia="Times New Roman" w:hAnsi="Times New Roman" w:cs="Times New Roman"/>
          <w:i/>
        </w:rPr>
        <w:t xml:space="preserve"> to care</w:t>
      </w:r>
      <w:r w:rsidRPr="00E869A4">
        <w:rPr>
          <w:rFonts w:ascii="Times New Roman" w:eastAsia="Times New Roman" w:hAnsi="Times New Roman" w:cs="Times New Roman"/>
        </w:rPr>
        <w:t xml:space="preserve">). However, </w:t>
      </w:r>
      <w:r w:rsidR="00490BF0" w:rsidRPr="00E869A4">
        <w:rPr>
          <w:rFonts w:ascii="Times New Roman" w:eastAsia="Times New Roman" w:hAnsi="Times New Roman" w:cs="Times New Roman"/>
        </w:rPr>
        <w:t>al</w:t>
      </w:r>
      <w:r w:rsidRPr="00E869A4">
        <w:rPr>
          <w:rFonts w:ascii="Times New Roman" w:eastAsia="Times New Roman" w:hAnsi="Times New Roman" w:cs="Times New Roman"/>
        </w:rPr>
        <w:t xml:space="preserve">though these results show the relevance of Masuy’s (2011) conceptualisation of need-based, predisposing and enabling factors, these themes go beyond Masuy’s conceptualisation by giving more attention to the values, beliefs and preferences of older persons and their caregivers towards caregiver role acquisition, care provision and acceptance. </w:t>
      </w:r>
    </w:p>
    <w:p w14:paraId="1FEE3175" w14:textId="77777777" w:rsidR="004144AF" w:rsidRPr="00E869A4" w:rsidRDefault="004144AF" w:rsidP="004F33B6">
      <w:pPr>
        <w:rPr>
          <w:rFonts w:ascii="Times New Roman" w:eastAsia="Times New Roman" w:hAnsi="Times New Roman" w:cs="Times New Roman"/>
        </w:rPr>
      </w:pPr>
    </w:p>
    <w:p w14:paraId="080ACD16" w14:textId="78DDAB60"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All carers in this study engaged in significant amounts of </w:t>
      </w:r>
      <w:r w:rsidRPr="00E869A4">
        <w:rPr>
          <w:rFonts w:ascii="Times New Roman" w:eastAsia="Times New Roman" w:hAnsi="Times New Roman" w:cs="Times New Roman"/>
          <w:i/>
        </w:rPr>
        <w:t>required care</w:t>
      </w:r>
      <w:r w:rsidRPr="00E869A4">
        <w:rPr>
          <w:rFonts w:ascii="Times New Roman" w:eastAsia="Times New Roman" w:hAnsi="Times New Roman" w:cs="Times New Roman"/>
        </w:rPr>
        <w:t xml:space="preserve"> and most provided </w:t>
      </w:r>
      <w:r w:rsidRPr="00E869A4">
        <w:rPr>
          <w:rFonts w:ascii="Times New Roman" w:eastAsia="Times New Roman" w:hAnsi="Times New Roman" w:cs="Times New Roman"/>
          <w:i/>
        </w:rPr>
        <w:t>requited care</w:t>
      </w:r>
      <w:r w:rsidRPr="00E869A4">
        <w:rPr>
          <w:rFonts w:ascii="Times New Roman" w:eastAsia="Times New Roman" w:hAnsi="Times New Roman" w:cs="Times New Roman"/>
        </w:rPr>
        <w:t xml:space="preserve">. Only a few participants provided </w:t>
      </w:r>
      <w:r w:rsidRPr="00E869A4">
        <w:rPr>
          <w:rFonts w:ascii="Times New Roman" w:eastAsia="Times New Roman" w:hAnsi="Times New Roman" w:cs="Times New Roman"/>
          <w:i/>
        </w:rPr>
        <w:t>inspired care</w:t>
      </w:r>
      <w:r w:rsidRPr="00E869A4">
        <w:rPr>
          <w:rFonts w:ascii="Times New Roman" w:eastAsia="Times New Roman" w:hAnsi="Times New Roman" w:cs="Times New Roman"/>
        </w:rPr>
        <w:t xml:space="preserve"> as a matter of course. A primary insight from this study is that care based on </w:t>
      </w:r>
      <w:r w:rsidRPr="00E869A4">
        <w:rPr>
          <w:rFonts w:ascii="Times New Roman" w:eastAsia="Times New Roman" w:hAnsi="Times New Roman" w:cs="Times New Roman"/>
          <w:i/>
        </w:rPr>
        <w:t>duty</w:t>
      </w:r>
      <w:r w:rsidRPr="00E869A4">
        <w:rPr>
          <w:rFonts w:ascii="Times New Roman" w:eastAsia="Times New Roman" w:hAnsi="Times New Roman" w:cs="Times New Roman"/>
        </w:rPr>
        <w:t xml:space="preserve"> was a </w:t>
      </w:r>
      <w:r w:rsidR="001D370D" w:rsidRPr="00E869A4">
        <w:rPr>
          <w:rFonts w:ascii="Times New Roman" w:eastAsia="Times New Roman" w:hAnsi="Times New Roman" w:cs="Times New Roman"/>
        </w:rPr>
        <w:t>crosscutting</w:t>
      </w:r>
      <w:r w:rsidRPr="00E869A4">
        <w:rPr>
          <w:rFonts w:ascii="Times New Roman" w:eastAsia="Times New Roman" w:hAnsi="Times New Roman" w:cs="Times New Roman"/>
        </w:rPr>
        <w:t xml:space="preserve"> value that underpinned the family care efforts of all interview participants, whether that care was required, requited or inspired. This sense of duty is consistent with the initial evidence about filial piety as a value that informs the behaviour of persons in T&amp;T (WVS 2010). However, the evidence about filial piety is still preliminary and needs to be examined further. </w:t>
      </w:r>
    </w:p>
    <w:p w14:paraId="216A7BB1" w14:textId="77777777" w:rsidR="004F33B6" w:rsidRPr="00E869A4" w:rsidRDefault="004F33B6" w:rsidP="004F33B6">
      <w:pPr>
        <w:rPr>
          <w:rFonts w:ascii="Times New Roman" w:eastAsia="Times New Roman" w:hAnsi="Times New Roman" w:cs="Times New Roman"/>
        </w:rPr>
      </w:pPr>
    </w:p>
    <w:p w14:paraId="0D17FFB5" w14:textId="768D0495" w:rsidR="004F33B6" w:rsidRPr="00E869A4" w:rsidRDefault="004F33B6" w:rsidP="004F33B6">
      <w:pPr>
        <w:rPr>
          <w:rFonts w:ascii="Times New Roman" w:eastAsia="Times New Roman" w:hAnsi="Times New Roman" w:cs="Times New Roman"/>
          <w:i/>
        </w:rPr>
      </w:pPr>
      <w:r w:rsidRPr="00E869A4">
        <w:rPr>
          <w:rFonts w:ascii="Times New Roman" w:eastAsia="Times New Roman" w:hAnsi="Times New Roman" w:cs="Times New Roman"/>
        </w:rPr>
        <w:t>At th</w:t>
      </w:r>
      <w:r w:rsidR="00B455E8" w:rsidRPr="00E869A4">
        <w:rPr>
          <w:rFonts w:ascii="Times New Roman" w:eastAsia="Times New Roman" w:hAnsi="Times New Roman" w:cs="Times New Roman"/>
        </w:rPr>
        <w:t>e same time, the findings of this</w:t>
      </w:r>
      <w:r w:rsidRPr="00E869A4">
        <w:rPr>
          <w:rFonts w:ascii="Times New Roman" w:eastAsia="Times New Roman" w:hAnsi="Times New Roman" w:cs="Times New Roman"/>
        </w:rPr>
        <w:t xml:space="preserve"> study are not meant to suggest that every close relative of the older participant adhered to the tenet of care as a </w:t>
      </w:r>
      <w:r w:rsidR="00B455E8" w:rsidRPr="00E869A4">
        <w:rPr>
          <w:rFonts w:ascii="Times New Roman" w:eastAsia="Times New Roman" w:hAnsi="Times New Roman" w:cs="Times New Roman"/>
        </w:rPr>
        <w:t>duty. S</w:t>
      </w:r>
      <w:r w:rsidRPr="00E869A4">
        <w:rPr>
          <w:rFonts w:ascii="Times New Roman" w:eastAsia="Times New Roman" w:hAnsi="Times New Roman" w:cs="Times New Roman"/>
        </w:rPr>
        <w:t>ome relatives (non-participants) that seemed to be the most likely candidate to provide family elder care, evaded or avoided doing so</w:t>
      </w:r>
      <w:r w:rsidRPr="00E869A4">
        <w:rPr>
          <w:rStyle w:val="FootnoteReference"/>
          <w:rFonts w:eastAsia="Times New Roman" w:cs="Times New Roman"/>
        </w:rPr>
        <w:footnoteReference w:id="84"/>
      </w:r>
      <w:r w:rsidRPr="00E869A4">
        <w:rPr>
          <w:rFonts w:ascii="Times New Roman" w:eastAsia="Times New Roman" w:hAnsi="Times New Roman" w:cs="Times New Roman"/>
        </w:rPr>
        <w:t xml:space="preserve">. A history of interpersonal conflict with the older care recipient emerged as a primary reason for unwillingness to provide family elder care support. </w:t>
      </w:r>
      <w:r w:rsidR="00894CC1" w:rsidRPr="00E869A4">
        <w:rPr>
          <w:rFonts w:ascii="Times New Roman" w:eastAsia="Times New Roman" w:hAnsi="Times New Roman" w:cs="Times New Roman"/>
        </w:rPr>
        <w:t xml:space="preserve">This finding </w:t>
      </w:r>
      <w:r w:rsidR="00B34A5E" w:rsidRPr="00E869A4">
        <w:rPr>
          <w:rFonts w:ascii="Times New Roman" w:eastAsia="Times New Roman" w:hAnsi="Times New Roman" w:cs="Times New Roman"/>
        </w:rPr>
        <w:t>supports</w:t>
      </w:r>
      <w:r w:rsidR="00894CC1" w:rsidRPr="00E869A4">
        <w:rPr>
          <w:rFonts w:ascii="Times New Roman" w:eastAsia="Times New Roman" w:hAnsi="Times New Roman" w:cs="Times New Roman"/>
        </w:rPr>
        <w:t xml:space="preserve"> research conducted by </w:t>
      </w:r>
      <w:r w:rsidR="003179D7" w:rsidRPr="00E869A4">
        <w:rPr>
          <w:rFonts w:ascii="Times New Roman" w:eastAsia="Times New Roman" w:hAnsi="Times New Roman" w:cs="Times New Roman"/>
        </w:rPr>
        <w:t>Scharp and Curran (2018)</w:t>
      </w:r>
      <w:r w:rsidR="00B34A5E" w:rsidRPr="00E869A4">
        <w:rPr>
          <w:rFonts w:ascii="Times New Roman" w:eastAsia="Times New Roman" w:hAnsi="Times New Roman" w:cs="Times New Roman"/>
        </w:rPr>
        <w:t xml:space="preserve"> who observed that adult children that were estranged from their parents did not </w:t>
      </w:r>
      <w:r w:rsidR="004777CC" w:rsidRPr="00E869A4">
        <w:rPr>
          <w:rFonts w:ascii="Times New Roman" w:eastAsia="Times New Roman" w:hAnsi="Times New Roman" w:cs="Times New Roman"/>
        </w:rPr>
        <w:t>provide care support to them when they were ill</w:t>
      </w:r>
      <w:r w:rsidR="00894CC1" w:rsidRPr="00E869A4">
        <w:rPr>
          <w:rFonts w:ascii="Times New Roman" w:eastAsia="Times New Roman" w:hAnsi="Times New Roman" w:cs="Times New Roman"/>
        </w:rPr>
        <w:t xml:space="preserve">. </w:t>
      </w:r>
      <w:r w:rsidR="008A5EAC" w:rsidRPr="00E869A4">
        <w:rPr>
          <w:rFonts w:ascii="Times New Roman" w:eastAsia="Times New Roman" w:hAnsi="Times New Roman" w:cs="Times New Roman"/>
        </w:rPr>
        <w:t xml:space="preserve">On the other hand, Siegel and Alderman (cited in Siegler, Capezuti &amp; Mezey 2001) surmise that estranged family members might become closer when an older relative becomes ill, or alternatively, relatives may become more resentful given the caregiving burden they experience. </w:t>
      </w:r>
      <w:r w:rsidRPr="00E869A4">
        <w:rPr>
          <w:rFonts w:ascii="Times New Roman" w:eastAsia="Times New Roman" w:hAnsi="Times New Roman" w:cs="Times New Roman"/>
        </w:rPr>
        <w:t xml:space="preserve">Given </w:t>
      </w:r>
      <w:r w:rsidRPr="00E869A4">
        <w:rPr>
          <w:rFonts w:ascii="Times New Roman" w:eastAsia="Times New Roman" w:hAnsi="Times New Roman" w:cs="Times New Roman"/>
        </w:rPr>
        <w:lastRenderedPageBreak/>
        <w:t xml:space="preserve">these findings, policymakers must be careful not to impose family care in such circumstances, as the risk of elder abuse and caregiver strain is particularly high in those situations. </w:t>
      </w:r>
      <w:r w:rsidR="00B455E8" w:rsidRPr="00E869A4">
        <w:rPr>
          <w:rFonts w:ascii="Times New Roman" w:eastAsia="Times New Roman" w:hAnsi="Times New Roman" w:cs="Times New Roman"/>
        </w:rPr>
        <w:t>As Walker cautioned, “If policymakers continue to assume that the family is always the soundest basis for care, they will overlook existing conflicts in the caring relationship and be guilty of imposing some potentially destructive relationships on both caregivers and care recipients” (Walker 1993, p. 149).</w:t>
      </w:r>
    </w:p>
    <w:p w14:paraId="6CB98464" w14:textId="77777777" w:rsidR="004F33B6" w:rsidRPr="00E869A4" w:rsidRDefault="004F33B6" w:rsidP="004F33B6">
      <w:pPr>
        <w:ind w:left="720"/>
        <w:rPr>
          <w:rFonts w:ascii="Times New Roman" w:eastAsia="Times New Roman" w:hAnsi="Times New Roman" w:cs="Times New Roman"/>
        </w:rPr>
      </w:pPr>
    </w:p>
    <w:p w14:paraId="2418CEAA" w14:textId="0FEC1DD0"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Thus, while family care may be a preferred option for older care recipients and policymakers who espouse ageing in place, alternative care arrangements should be considered for situations in which elder care by relatives may do more harm than good</w:t>
      </w:r>
      <w:r w:rsidRPr="00E869A4">
        <w:rPr>
          <w:rStyle w:val="FootnoteReference"/>
          <w:rFonts w:eastAsia="Times New Roman" w:cs="Times New Roman"/>
        </w:rPr>
        <w:footnoteReference w:id="85"/>
      </w:r>
      <w:r w:rsidRPr="00E869A4">
        <w:rPr>
          <w:rFonts w:ascii="Times New Roman" w:eastAsia="Times New Roman" w:hAnsi="Times New Roman" w:cs="Times New Roman"/>
        </w:rPr>
        <w:t xml:space="preserve">. Maltreatment of older persons can be minimised by the timely identification of carers burdened by high stress, anxiety, depression or other risk factors that could lead to abuse of the older person. Carers should be given a choice to take up a relevant support service such as respite care, training or psychological and educational programmes. Furthermore, potential family carers should be allowed to choose whether to provide care at all (Courtin, Jemiai &amp; Mossialos 2014). However, real choice requires that there are suitable alternatives available. </w:t>
      </w:r>
    </w:p>
    <w:p w14:paraId="66BD1D9B" w14:textId="77777777" w:rsidR="004F33B6" w:rsidRPr="00E869A4" w:rsidRDefault="004F33B6" w:rsidP="004F33B6">
      <w:pPr>
        <w:rPr>
          <w:rFonts w:ascii="Times New Roman" w:eastAsia="Times New Roman" w:hAnsi="Times New Roman" w:cs="Times New Roman"/>
        </w:rPr>
      </w:pPr>
    </w:p>
    <w:p w14:paraId="6CDF4EC1" w14:textId="373E291D" w:rsidR="004F33B6" w:rsidRPr="00E869A4" w:rsidRDefault="004F33B6">
      <w:pPr>
        <w:spacing w:line="276" w:lineRule="auto"/>
        <w:rPr>
          <w:b/>
          <w:i/>
          <w:u w:val="single"/>
        </w:rPr>
      </w:pPr>
    </w:p>
    <w:p w14:paraId="0025B8F3" w14:textId="6059B771" w:rsidR="004F33B6" w:rsidRPr="00E869A4" w:rsidRDefault="004F33B6" w:rsidP="004F33B6">
      <w:pPr>
        <w:pStyle w:val="Heading4"/>
        <w:rPr>
          <w:b w:val="0"/>
          <w:i w:val="0"/>
        </w:rPr>
      </w:pPr>
      <w:r w:rsidRPr="00E869A4">
        <w:t>The Relevance of Masuy’s Conceptualisation of Family Care Determinants</w:t>
      </w:r>
    </w:p>
    <w:p w14:paraId="4234FC7F" w14:textId="77777777" w:rsidR="004F33B6" w:rsidRPr="00E869A4" w:rsidRDefault="004F33B6" w:rsidP="004F33B6">
      <w:pPr>
        <w:ind w:firstLine="720"/>
        <w:rPr>
          <w:rFonts w:ascii="Times New Roman" w:eastAsia="Times New Roman" w:hAnsi="Times New Roman" w:cs="Times New Roman"/>
        </w:rPr>
      </w:pPr>
    </w:p>
    <w:p w14:paraId="05C77327" w14:textId="76518CE3"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In the context of this study, the need factors identified by Masuy were directly related to the provision of </w:t>
      </w:r>
      <w:r w:rsidRPr="00E869A4">
        <w:rPr>
          <w:rFonts w:ascii="Times New Roman" w:eastAsia="Times New Roman" w:hAnsi="Times New Roman" w:cs="Times New Roman"/>
          <w:i/>
        </w:rPr>
        <w:t>required care</w:t>
      </w:r>
      <w:r w:rsidRPr="00E869A4">
        <w:rPr>
          <w:rFonts w:ascii="Times New Roman" w:eastAsia="Times New Roman" w:hAnsi="Times New Roman" w:cs="Times New Roman"/>
        </w:rPr>
        <w:t xml:space="preserve">. As in Masuy’s study, there were several predisposing factors identified which impacted on whether or not family members engaged in this particular type of care in the T&amp;T context. These factors included the health status of the older person, gender, type of filial relationship, partnership status of the care recipient, number of (de-facto) children, occupational status, geographical proximity, education and training, and a sense of religious and moral duty to care for older family members. </w:t>
      </w:r>
    </w:p>
    <w:p w14:paraId="4F9946F4" w14:textId="77777777" w:rsidR="004F33B6" w:rsidRPr="00E869A4" w:rsidRDefault="004F33B6" w:rsidP="004F33B6">
      <w:pPr>
        <w:rPr>
          <w:rFonts w:ascii="Times New Roman" w:eastAsia="Times New Roman" w:hAnsi="Times New Roman" w:cs="Times New Roman"/>
        </w:rPr>
      </w:pPr>
    </w:p>
    <w:p w14:paraId="043AE132" w14:textId="13FB7218" w:rsidR="004F33B6" w:rsidRPr="00E869A4" w:rsidRDefault="001D370D" w:rsidP="004F33B6">
      <w:pPr>
        <w:rPr>
          <w:rFonts w:ascii="Times New Roman" w:hAnsi="Times New Roman" w:cs="Times New Roman"/>
        </w:rPr>
      </w:pPr>
      <w:r w:rsidRPr="00E869A4">
        <w:rPr>
          <w:rFonts w:ascii="Times New Roman" w:hAnsi="Times New Roman" w:cs="Times New Roman"/>
        </w:rPr>
        <w:t>Not surprisingly</w:t>
      </w:r>
      <w:r w:rsidR="004F33B6" w:rsidRPr="00E869A4">
        <w:rPr>
          <w:rFonts w:ascii="Times New Roman" w:hAnsi="Times New Roman" w:cs="Times New Roman"/>
        </w:rPr>
        <w:t xml:space="preserve">, all of the interview participants provided </w:t>
      </w:r>
      <w:r w:rsidR="004F33B6" w:rsidRPr="00E869A4">
        <w:rPr>
          <w:rFonts w:ascii="Times New Roman" w:hAnsi="Times New Roman" w:cs="Times New Roman"/>
          <w:i/>
        </w:rPr>
        <w:t>required care</w:t>
      </w:r>
      <w:r w:rsidR="004F33B6" w:rsidRPr="00E869A4">
        <w:rPr>
          <w:rFonts w:ascii="Times New Roman" w:hAnsi="Times New Roman" w:cs="Times New Roman"/>
        </w:rPr>
        <w:t xml:space="preserve"> given the health care needs of their older relatives. This is supported by research conducted by Verbakel and colleagues (2017) on family elder care practices in Europe, which found that </w:t>
      </w:r>
      <w:r w:rsidR="004F33B6" w:rsidRPr="00E869A4">
        <w:rPr>
          <w:rFonts w:ascii="Times New Roman" w:eastAsia="Times New Roman" w:hAnsi="Times New Roman" w:cs="Times New Roman"/>
        </w:rPr>
        <w:t>need for care given an individual’s health issues was a primary determinant of family caregiving. The importance of geographical proximity of the carer as a determinant of care in T&amp;T is also a</w:t>
      </w:r>
      <w:r w:rsidR="004F33B6" w:rsidRPr="00E869A4">
        <w:rPr>
          <w:rFonts w:ascii="Times New Roman" w:hAnsi="Times New Roman" w:cs="Times New Roman"/>
        </w:rPr>
        <w:t xml:space="preserve"> common finding in the literature. Spijker and Zueras (2018), for </w:t>
      </w:r>
      <w:r w:rsidR="004F33B6" w:rsidRPr="00E869A4">
        <w:rPr>
          <w:rFonts w:ascii="Times New Roman" w:hAnsi="Times New Roman" w:cs="Times New Roman"/>
        </w:rPr>
        <w:lastRenderedPageBreak/>
        <w:t>example, found from their analysis of the Spanish sample of the Survey of Health, Ageing and Retirement in Europe (2006 &amp; 2013) that availability, proximity and co-residence of children were the main determinants of family elder care provision in Spain. Furthermore, she note</w:t>
      </w:r>
      <w:r w:rsidR="00325024" w:rsidRPr="00E869A4">
        <w:rPr>
          <w:rFonts w:ascii="Times New Roman" w:hAnsi="Times New Roman" w:cs="Times New Roman"/>
        </w:rPr>
        <w:t>d</w:t>
      </w:r>
      <w:r w:rsidR="004F33B6" w:rsidRPr="00E869A4">
        <w:rPr>
          <w:rFonts w:ascii="Times New Roman" w:hAnsi="Times New Roman" w:cs="Times New Roman"/>
        </w:rPr>
        <w:t xml:space="preserve"> that the co-residence of older persons with their family caregivers is especially prominent in Southern European countries (Spijker &amp; Zueras 2018).</w:t>
      </w:r>
    </w:p>
    <w:p w14:paraId="61DDECD7" w14:textId="77777777" w:rsidR="004F33B6" w:rsidRPr="00E869A4" w:rsidRDefault="004F33B6" w:rsidP="004F33B6">
      <w:pPr>
        <w:rPr>
          <w:rFonts w:ascii="Times New Roman" w:hAnsi="Times New Roman" w:cs="Times New Roman"/>
        </w:rPr>
      </w:pPr>
    </w:p>
    <w:p w14:paraId="19D3DE5B" w14:textId="77777777" w:rsidR="004F33B6" w:rsidRPr="00E869A4" w:rsidRDefault="004F33B6" w:rsidP="004F33B6">
      <w:pPr>
        <w:pStyle w:val="Heading4"/>
        <w:rPr>
          <w:b w:val="0"/>
          <w:i w:val="0"/>
        </w:rPr>
      </w:pPr>
      <w:r w:rsidRPr="00E869A4">
        <w:t>Gender as a Main Determinant of Care Provision</w:t>
      </w:r>
    </w:p>
    <w:p w14:paraId="70061243" w14:textId="77777777" w:rsidR="004F33B6" w:rsidRPr="00E869A4" w:rsidRDefault="004F33B6" w:rsidP="004F33B6">
      <w:pPr>
        <w:rPr>
          <w:rFonts w:ascii="Times New Roman" w:eastAsia="Times New Roman" w:hAnsi="Times New Roman" w:cs="Times New Roman"/>
        </w:rPr>
      </w:pPr>
    </w:p>
    <w:p w14:paraId="33F77FF0" w14:textId="48FC610D"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Consistent with previous studies on family care in various countries (e.g. Globerman 1996; </w:t>
      </w:r>
      <w:r w:rsidR="003038A0" w:rsidRPr="00E869A4">
        <w:rPr>
          <w:rFonts w:ascii="Times New Roman" w:eastAsia="Times New Roman" w:hAnsi="Times New Roman" w:cs="Times New Roman"/>
        </w:rPr>
        <w:t xml:space="preserve">Grigoryeva 2017 &amp; 2014; </w:t>
      </w:r>
      <w:r w:rsidRPr="00E869A4">
        <w:rPr>
          <w:rFonts w:ascii="Times New Roman" w:eastAsia="Times New Roman" w:hAnsi="Times New Roman" w:cs="Times New Roman"/>
        </w:rPr>
        <w:t xml:space="preserve">Masuy 2011; Merrill 1997; </w:t>
      </w:r>
      <w:r w:rsidR="003038A0" w:rsidRPr="00E869A4">
        <w:rPr>
          <w:rFonts w:ascii="Times New Roman" w:eastAsia="Times New Roman" w:hAnsi="Times New Roman" w:cs="Times New Roman"/>
        </w:rPr>
        <w:t xml:space="preserve">Peng 2012; </w:t>
      </w:r>
      <w:r w:rsidRPr="00E869A4">
        <w:rPr>
          <w:rFonts w:ascii="Times New Roman" w:eastAsia="Times New Roman" w:hAnsi="Times New Roman" w:cs="Times New Roman"/>
        </w:rPr>
        <w:t xml:space="preserve">Razavi 2007; </w:t>
      </w:r>
      <w:r w:rsidR="003038A0" w:rsidRPr="00E869A4">
        <w:rPr>
          <w:rFonts w:ascii="Times New Roman" w:eastAsia="Times New Roman" w:hAnsi="Times New Roman" w:cs="Times New Roman"/>
        </w:rPr>
        <w:t xml:space="preserve">Razavi &amp; Staab 2008; </w:t>
      </w:r>
      <w:r w:rsidRPr="00E869A4">
        <w:rPr>
          <w:rFonts w:ascii="Times New Roman" w:eastAsia="Times New Roman" w:hAnsi="Times New Roman" w:cs="Times New Roman"/>
        </w:rPr>
        <w:t>Spijker &amp; Zueras 2018; Spillman &amp; Pezzin 2000), the findings suggest that women mainly perform family caregiving in T&amp;T. The qualitative interviews and focus groups revealed that men usually served as secondary caregivers in the first instance, and only became primary caregivers if there were no female relatives to perform that role</w:t>
      </w:r>
      <w:r w:rsidR="004F4D14" w:rsidRPr="00E869A4">
        <w:rPr>
          <w:rFonts w:ascii="Times New Roman" w:eastAsia="Times New Roman" w:hAnsi="Times New Roman" w:cs="Times New Roman"/>
        </w:rPr>
        <w:t xml:space="preserve"> (e.g. FCG Timothy Druman)</w:t>
      </w:r>
      <w:r w:rsidRPr="00E869A4">
        <w:rPr>
          <w:rFonts w:ascii="Times New Roman" w:eastAsia="Times New Roman" w:hAnsi="Times New Roman" w:cs="Times New Roman"/>
        </w:rPr>
        <w:t xml:space="preserve">. </w:t>
      </w:r>
      <w:r w:rsidR="003038A0" w:rsidRPr="00E869A4">
        <w:rPr>
          <w:rFonts w:ascii="Times New Roman" w:eastAsia="Times New Roman" w:hAnsi="Times New Roman" w:cs="Times New Roman"/>
        </w:rPr>
        <w:t xml:space="preserve">Similarly, researchers like </w:t>
      </w:r>
      <w:r w:rsidR="00313D96" w:rsidRPr="00E869A4">
        <w:rPr>
          <w:rFonts w:ascii="Times New Roman" w:eastAsia="Times New Roman" w:hAnsi="Times New Roman" w:cs="Times New Roman"/>
        </w:rPr>
        <w:t xml:space="preserve">Matthews (2002) observed that sons expected their sisters to take the lead with caring for their older parents, and </w:t>
      </w:r>
      <w:r w:rsidR="003038A0" w:rsidRPr="00E869A4">
        <w:rPr>
          <w:rFonts w:ascii="Times New Roman" w:eastAsia="Times New Roman" w:hAnsi="Times New Roman" w:cs="Times New Roman"/>
        </w:rPr>
        <w:t xml:space="preserve">Grigoryeva </w:t>
      </w:r>
      <w:r w:rsidR="00313D96" w:rsidRPr="00E869A4">
        <w:rPr>
          <w:rFonts w:ascii="Times New Roman" w:eastAsia="Times New Roman" w:hAnsi="Times New Roman" w:cs="Times New Roman"/>
        </w:rPr>
        <w:t>(</w:t>
      </w:r>
      <w:r w:rsidR="003038A0" w:rsidRPr="00E869A4">
        <w:rPr>
          <w:rFonts w:ascii="Times New Roman" w:eastAsia="Times New Roman" w:hAnsi="Times New Roman" w:cs="Times New Roman"/>
        </w:rPr>
        <w:t xml:space="preserve">2017 </w:t>
      </w:r>
      <w:r w:rsidR="00313D96" w:rsidRPr="00E869A4">
        <w:rPr>
          <w:rFonts w:ascii="Times New Roman" w:eastAsia="Times New Roman" w:hAnsi="Times New Roman" w:cs="Times New Roman"/>
        </w:rPr>
        <w:t xml:space="preserve">&amp; 2014) </w:t>
      </w:r>
      <w:r w:rsidR="003038A0" w:rsidRPr="00E869A4">
        <w:rPr>
          <w:rFonts w:ascii="Times New Roman" w:eastAsia="Times New Roman" w:hAnsi="Times New Roman" w:cs="Times New Roman"/>
        </w:rPr>
        <w:t>found that sons provide</w:t>
      </w:r>
      <w:r w:rsidR="00313D96" w:rsidRPr="00E869A4">
        <w:rPr>
          <w:rFonts w:ascii="Times New Roman" w:eastAsia="Times New Roman" w:hAnsi="Times New Roman" w:cs="Times New Roman"/>
        </w:rPr>
        <w:t>d</w:t>
      </w:r>
      <w:r w:rsidR="003038A0" w:rsidRPr="00E869A4">
        <w:rPr>
          <w:rFonts w:ascii="Times New Roman" w:eastAsia="Times New Roman" w:hAnsi="Times New Roman" w:cs="Times New Roman"/>
        </w:rPr>
        <w:t xml:space="preserve"> relatively less care if they ha</w:t>
      </w:r>
      <w:r w:rsidR="00313D96" w:rsidRPr="00E869A4">
        <w:rPr>
          <w:rFonts w:ascii="Times New Roman" w:eastAsia="Times New Roman" w:hAnsi="Times New Roman" w:cs="Times New Roman"/>
        </w:rPr>
        <w:t>d</w:t>
      </w:r>
      <w:r w:rsidR="003038A0" w:rsidRPr="00E869A4">
        <w:rPr>
          <w:rFonts w:ascii="Times New Roman" w:eastAsia="Times New Roman" w:hAnsi="Times New Roman" w:cs="Times New Roman"/>
        </w:rPr>
        <w:t xml:space="preserve"> sisters. </w:t>
      </w:r>
      <w:r w:rsidRPr="00E869A4">
        <w:rPr>
          <w:rFonts w:ascii="Times New Roman" w:eastAsia="Times New Roman" w:hAnsi="Times New Roman" w:cs="Times New Roman"/>
        </w:rPr>
        <w:t xml:space="preserve">However, given the small proportion of male participants in this study, more research will need to be conducted to obtain insights into the contributions of men to family elder care in T&amp;T. </w:t>
      </w:r>
    </w:p>
    <w:p w14:paraId="38F3EDBC" w14:textId="77777777" w:rsidR="004F33B6" w:rsidRPr="00E869A4" w:rsidRDefault="004F33B6" w:rsidP="004F33B6">
      <w:pPr>
        <w:rPr>
          <w:rFonts w:ascii="Times New Roman" w:eastAsia="Times New Roman" w:hAnsi="Times New Roman" w:cs="Times New Roman"/>
        </w:rPr>
      </w:pPr>
    </w:p>
    <w:p w14:paraId="00F40D15" w14:textId="1DD62711"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Gender of the </w:t>
      </w:r>
      <w:r w:rsidR="009E2738" w:rsidRPr="00E869A4">
        <w:rPr>
          <w:rFonts w:ascii="Times New Roman" w:eastAsia="Times New Roman" w:hAnsi="Times New Roman" w:cs="Times New Roman"/>
        </w:rPr>
        <w:t>care recipient</w:t>
      </w:r>
      <w:r w:rsidRPr="00E869A4">
        <w:rPr>
          <w:rFonts w:ascii="Times New Roman" w:eastAsia="Times New Roman" w:hAnsi="Times New Roman" w:cs="Times New Roman"/>
        </w:rPr>
        <w:t xml:space="preserve"> also emerged as another critical predisposing factor. Most of the family caregivers participating in the in-depth interviews and survey, cared for older female relatives. This is consistent with Masuy’s (2011) observation that women were more likely to need family care as they have a longer life expectancy than </w:t>
      </w:r>
      <w:r w:rsidR="00BD1D09" w:rsidRPr="00E869A4">
        <w:rPr>
          <w:rFonts w:ascii="Times New Roman" w:eastAsia="Times New Roman" w:hAnsi="Times New Roman" w:cs="Times New Roman"/>
        </w:rPr>
        <w:t>men do</w:t>
      </w:r>
      <w:r w:rsidRPr="00E869A4">
        <w:rPr>
          <w:rFonts w:ascii="Times New Roman" w:eastAsia="Times New Roman" w:hAnsi="Times New Roman" w:cs="Times New Roman"/>
        </w:rPr>
        <w:t xml:space="preserve">. The WHO (2018), estimated that, in T&amp;T, males </w:t>
      </w:r>
      <w:r w:rsidR="00BD1D09" w:rsidRPr="00E869A4">
        <w:rPr>
          <w:rFonts w:ascii="Times New Roman" w:eastAsia="Times New Roman" w:hAnsi="Times New Roman" w:cs="Times New Roman"/>
        </w:rPr>
        <w:t>could</w:t>
      </w:r>
      <w:r w:rsidRPr="00E869A4">
        <w:rPr>
          <w:rFonts w:ascii="Times New Roman" w:eastAsia="Times New Roman" w:hAnsi="Times New Roman" w:cs="Times New Roman"/>
        </w:rPr>
        <w:t xml:space="preserve"> be expected to live to about 68.2 years, while females may live to an average age of 75.6 years. However, some of the male interview participants were exceptions to this trend as they outlived their wives.</w:t>
      </w:r>
    </w:p>
    <w:p w14:paraId="2DA6928E" w14:textId="77777777" w:rsidR="004F33B6" w:rsidRPr="00E869A4" w:rsidRDefault="004F33B6" w:rsidP="004F33B6">
      <w:pPr>
        <w:rPr>
          <w:rFonts w:ascii="Times New Roman" w:eastAsia="Times New Roman" w:hAnsi="Times New Roman" w:cs="Times New Roman"/>
        </w:rPr>
      </w:pPr>
    </w:p>
    <w:p w14:paraId="6A5126B4" w14:textId="77777777" w:rsidR="004F33B6" w:rsidRPr="00E869A4" w:rsidRDefault="004F33B6" w:rsidP="004F33B6">
      <w:pPr>
        <w:pStyle w:val="Heading4"/>
        <w:rPr>
          <w:b w:val="0"/>
          <w:i w:val="0"/>
        </w:rPr>
      </w:pPr>
      <w:r w:rsidRPr="00E869A4">
        <w:t xml:space="preserve">Cantor’s Hierarchical Compensatory Theory </w:t>
      </w:r>
      <w:proofErr w:type="spellStart"/>
      <w:r w:rsidRPr="00E869A4">
        <w:t>vs</w:t>
      </w:r>
      <w:proofErr w:type="spellEnd"/>
      <w:r w:rsidRPr="00E869A4">
        <w:t xml:space="preserve"> Litwak’s Task-Specific Model</w:t>
      </w:r>
    </w:p>
    <w:p w14:paraId="4646B9EB" w14:textId="77777777" w:rsidR="004F33B6" w:rsidRPr="00E869A4" w:rsidRDefault="004F33B6" w:rsidP="004F33B6">
      <w:pPr>
        <w:rPr>
          <w:rFonts w:ascii="Times New Roman" w:eastAsia="Times New Roman" w:hAnsi="Times New Roman" w:cs="Times New Roman"/>
        </w:rPr>
      </w:pPr>
    </w:p>
    <w:p w14:paraId="22574B88" w14:textId="6D69480F"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findings of this study show that both Cantor’s (1979) HCT and Litwak’s (1985) TSM, explain to varying degrees the process by which a family carer of an older person, emerged and accepted that role. With respect to Cantor’s HCT and, consistent with various studies on this subject, including Masuy (2011) </w:t>
      </w:r>
      <w:r w:rsidRPr="00E869A4">
        <w:rPr>
          <w:rFonts w:ascii="Times New Roman" w:eastAsia="Times New Roman" w:hAnsi="Times New Roman" w:cs="Times New Roman"/>
        </w:rPr>
        <w:lastRenderedPageBreak/>
        <w:t xml:space="preserve">and Wolff and colleagues (2006), type of filial relationship was a key predisposing factor of caregiving in the current study. More specifically, the HCT postulates that a hierarchy of preference exists in which spouses are the first choice for the role of caregiver, followed by children, other kin, friends, neighbours and finally, formal helpers, seems to be useful in predicting who is likely to become a family caregiver in T&amp;T. However, this tenet must not be applied </w:t>
      </w:r>
      <w:r w:rsidRPr="00E869A4">
        <w:rPr>
          <w:rFonts w:ascii="Times New Roman" w:eastAsia="Times New Roman" w:hAnsi="Times New Roman" w:cs="Times New Roman"/>
          <w:i/>
        </w:rPr>
        <w:t>carte-blanche</w:t>
      </w:r>
      <w:r w:rsidRPr="00E869A4">
        <w:rPr>
          <w:rFonts w:ascii="Times New Roman" w:eastAsia="Times New Roman" w:hAnsi="Times New Roman" w:cs="Times New Roman"/>
        </w:rPr>
        <w:t xml:space="preserve"> to every situation. As the results of this study revealed, there are exceptions to this pattern, given the varied and dynamic care scenarios that families have to navigate.</w:t>
      </w:r>
    </w:p>
    <w:p w14:paraId="09F96E1C" w14:textId="77777777" w:rsidR="004F33B6" w:rsidRPr="00E869A4" w:rsidRDefault="004F33B6" w:rsidP="004F33B6">
      <w:pPr>
        <w:rPr>
          <w:rFonts w:ascii="Times New Roman" w:eastAsia="Times New Roman" w:hAnsi="Times New Roman" w:cs="Times New Roman"/>
        </w:rPr>
      </w:pPr>
    </w:p>
    <w:p w14:paraId="432796DF" w14:textId="763FF15B" w:rsidR="007220C7" w:rsidRPr="00E869A4" w:rsidRDefault="00FE77EC"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in-depth interviews in this </w:t>
      </w:r>
      <w:r w:rsidR="004F33B6" w:rsidRPr="00E869A4">
        <w:rPr>
          <w:rFonts w:ascii="Times New Roman" w:eastAsia="Times New Roman" w:hAnsi="Times New Roman" w:cs="Times New Roman"/>
        </w:rPr>
        <w:t>study indicated that the spouse was the most likely family member to become a caregiver if a frail older person was married</w:t>
      </w:r>
      <w:r w:rsidR="00A8623D" w:rsidRPr="00E869A4">
        <w:rPr>
          <w:rFonts w:ascii="Times New Roman" w:eastAsia="Times New Roman" w:hAnsi="Times New Roman" w:cs="Times New Roman"/>
        </w:rPr>
        <w:t xml:space="preserve"> (e.g. Mrs. Sanchez and Mrs. Flora</w:t>
      </w:r>
      <w:r w:rsidR="00A8623D" w:rsidRPr="00E869A4">
        <w:rPr>
          <w:rStyle w:val="FootnoteReference"/>
          <w:rFonts w:ascii="Times New Roman" w:eastAsia="Times New Roman" w:hAnsi="Times New Roman" w:cs="Times New Roman"/>
          <w:vertAlign w:val="baseline"/>
        </w:rPr>
        <w:t>)</w:t>
      </w:r>
      <w:r w:rsidR="004F33B6" w:rsidRPr="00E869A4">
        <w:rPr>
          <w:rFonts w:ascii="Times New Roman" w:eastAsia="Times New Roman" w:hAnsi="Times New Roman" w:cs="Times New Roman"/>
        </w:rPr>
        <w:t>. However, if the spouse died</w:t>
      </w:r>
      <w:r w:rsidR="00A8623D" w:rsidRPr="00E869A4">
        <w:rPr>
          <w:rFonts w:ascii="Times New Roman" w:eastAsia="Times New Roman" w:hAnsi="Times New Roman" w:cs="Times New Roman"/>
        </w:rPr>
        <w:t xml:space="preserve"> (e.g. Mother Freeda, Uncle Wilton, Mr. Druman and Mr. Khan</w:t>
      </w:r>
      <w:r w:rsidR="00A8623D" w:rsidRPr="00E869A4">
        <w:rPr>
          <w:rStyle w:val="FootnoteReference"/>
          <w:rFonts w:ascii="Times New Roman" w:eastAsia="Times New Roman" w:hAnsi="Times New Roman" w:cs="Times New Roman"/>
          <w:vertAlign w:val="baseline"/>
        </w:rPr>
        <w:t>)</w:t>
      </w:r>
      <w:r w:rsidR="004F33B6" w:rsidRPr="00E869A4">
        <w:rPr>
          <w:rFonts w:ascii="Times New Roman" w:eastAsia="Times New Roman" w:hAnsi="Times New Roman" w:cs="Times New Roman"/>
        </w:rPr>
        <w:t>, or a common-law union no longer existed</w:t>
      </w:r>
      <w:r w:rsidR="00A8623D" w:rsidRPr="00E869A4">
        <w:rPr>
          <w:rFonts w:ascii="Times New Roman" w:eastAsia="Times New Roman" w:hAnsi="Times New Roman" w:cs="Times New Roman"/>
        </w:rPr>
        <w:t xml:space="preserve"> (e.g. Ms. Violet, Ms. Kumar, and Tanty Edna</w:t>
      </w:r>
      <w:r w:rsidR="00A8623D" w:rsidRPr="00E869A4">
        <w:rPr>
          <w:rStyle w:val="FootnoteReference"/>
          <w:rFonts w:ascii="Times New Roman" w:eastAsia="Times New Roman" w:hAnsi="Times New Roman" w:cs="Times New Roman"/>
          <w:vertAlign w:val="baseline"/>
        </w:rPr>
        <w:t>)</w:t>
      </w:r>
      <w:r w:rsidR="004F33B6" w:rsidRPr="00E869A4">
        <w:rPr>
          <w:rFonts w:ascii="Times New Roman" w:eastAsia="Times New Roman" w:hAnsi="Times New Roman" w:cs="Times New Roman"/>
        </w:rPr>
        <w:t>, then the adult daughter was the next likely person to become the lead family carer</w:t>
      </w:r>
      <w:r w:rsidR="00A8623D" w:rsidRPr="00E869A4">
        <w:rPr>
          <w:rFonts w:ascii="Times New Roman" w:eastAsia="Times New Roman" w:hAnsi="Times New Roman" w:cs="Times New Roman"/>
        </w:rPr>
        <w:t xml:space="preserve"> (e.g. Samantha and Sheila</w:t>
      </w:r>
      <w:r w:rsidR="00A8623D" w:rsidRPr="00E869A4">
        <w:rPr>
          <w:rStyle w:val="FootnoteReference"/>
          <w:rFonts w:ascii="Times New Roman" w:eastAsia="Times New Roman" w:hAnsi="Times New Roman" w:cs="Times New Roman"/>
          <w:vertAlign w:val="baseline"/>
        </w:rPr>
        <w:t>)</w:t>
      </w:r>
      <w:r w:rsidR="004F33B6" w:rsidRPr="00E869A4">
        <w:rPr>
          <w:rFonts w:ascii="Times New Roman" w:eastAsia="Times New Roman" w:hAnsi="Times New Roman" w:cs="Times New Roman"/>
        </w:rPr>
        <w:t xml:space="preserve">. However, as the experiences of the interviewees show, life decisions do not always follow an expected order. The hierarchy of preference was not always applicable to the care situation, as factors other than the type of family relationship impacted on the final decision about who provided care. For instance, the dimensions identified in the TSM such as technical knowledge, the complexity of the care needs of the care recipient, geographical proximity, and size of the support group were also useful for explaining the decision for several of the primary carers in this study to willingly accept the role of caregiver.  </w:t>
      </w:r>
      <w:r w:rsidR="007220C7" w:rsidRPr="00E869A4">
        <w:rPr>
          <w:rFonts w:ascii="Times New Roman" w:eastAsia="Times New Roman" w:hAnsi="Times New Roman" w:cs="Times New Roman"/>
        </w:rPr>
        <w:t xml:space="preserve">As noted in the literature review, the importance of geographical proximity </w:t>
      </w:r>
      <w:r w:rsidR="007220C7" w:rsidRPr="00E869A4">
        <w:rPr>
          <w:rFonts w:ascii="Times New Roman" w:eastAsia="Times New Roman" w:hAnsi="Times New Roman" w:cs="Times New Roman"/>
          <w:i/>
        </w:rPr>
        <w:t>vis à vis</w:t>
      </w:r>
      <w:r w:rsidR="007220C7" w:rsidRPr="00E869A4">
        <w:rPr>
          <w:rFonts w:ascii="Times New Roman" w:eastAsia="Times New Roman" w:hAnsi="Times New Roman" w:cs="Times New Roman"/>
        </w:rPr>
        <w:t xml:space="preserve"> the hierarchy of care was underscored by Qureshi and Walker (1989).</w:t>
      </w:r>
    </w:p>
    <w:p w14:paraId="37515215" w14:textId="77777777" w:rsidR="007220C7" w:rsidRPr="00E869A4" w:rsidRDefault="007220C7" w:rsidP="004F33B6">
      <w:pPr>
        <w:rPr>
          <w:rFonts w:ascii="Times New Roman" w:eastAsia="Times New Roman" w:hAnsi="Times New Roman" w:cs="Times New Roman"/>
        </w:rPr>
      </w:pPr>
    </w:p>
    <w:p w14:paraId="645B6631" w14:textId="6C13F53F" w:rsidR="00512D2F" w:rsidRPr="00E869A4" w:rsidRDefault="004F33B6">
      <w:pPr>
        <w:rPr>
          <w:rFonts w:ascii="Times New Roman" w:eastAsiaTheme="majorEastAsia" w:hAnsi="Times New Roman" w:cs="Times New Roman"/>
          <w:i/>
          <w:u w:val="single"/>
        </w:rPr>
      </w:pPr>
      <w:r w:rsidRPr="00E869A4">
        <w:rPr>
          <w:rFonts w:ascii="Times New Roman" w:eastAsia="Times New Roman" w:hAnsi="Times New Roman" w:cs="Times New Roman"/>
        </w:rPr>
        <w:t>There was also evidence to support a central critique of the TSM, namely its inadequacy in explaining the impact of cultural beliefs and values on the decision to become a caregiver to an older relative</w:t>
      </w:r>
      <w:r w:rsidRPr="00E869A4">
        <w:rPr>
          <w:rStyle w:val="FootnoteReference"/>
          <w:rFonts w:eastAsia="Times New Roman" w:cs="Times New Roman"/>
        </w:rPr>
        <w:footnoteReference w:id="86"/>
      </w:r>
      <w:r w:rsidRPr="00E869A4">
        <w:rPr>
          <w:rFonts w:ascii="Times New Roman" w:eastAsia="Times New Roman" w:hAnsi="Times New Roman" w:cs="Times New Roman"/>
        </w:rPr>
        <w:t xml:space="preserve"> (</w:t>
      </w:r>
      <w:r w:rsidR="00017799" w:rsidRPr="00E869A4">
        <w:rPr>
          <w:rFonts w:ascii="Times New Roman" w:eastAsia="Times New Roman" w:hAnsi="Times New Roman" w:cs="Times New Roman"/>
        </w:rPr>
        <w:t xml:space="preserve">Long, Campbell &amp; Nishimura </w:t>
      </w:r>
      <w:r w:rsidRPr="00E869A4">
        <w:rPr>
          <w:rFonts w:ascii="Times New Roman" w:eastAsia="Times New Roman" w:hAnsi="Times New Roman" w:cs="Times New Roman"/>
        </w:rPr>
        <w:t>2</w:t>
      </w:r>
      <w:r w:rsidR="00A104D1" w:rsidRPr="00E869A4">
        <w:rPr>
          <w:rFonts w:ascii="Times New Roman" w:eastAsia="Times New Roman" w:hAnsi="Times New Roman" w:cs="Times New Roman"/>
        </w:rPr>
        <w:t xml:space="preserve">009; Luong </w:t>
      </w:r>
      <w:r w:rsidRPr="00E869A4">
        <w:rPr>
          <w:rFonts w:ascii="Times New Roman" w:eastAsia="Times New Roman" w:hAnsi="Times New Roman" w:cs="Times New Roman"/>
        </w:rPr>
        <w:t xml:space="preserve">2000; </w:t>
      </w:r>
      <w:r w:rsidR="00017799" w:rsidRPr="00E869A4">
        <w:rPr>
          <w:rFonts w:ascii="Times New Roman" w:eastAsia="Times New Roman" w:hAnsi="Times New Roman" w:cs="Times New Roman"/>
        </w:rPr>
        <w:t xml:space="preserve">Parveen, Morrison &amp; Robinson </w:t>
      </w:r>
      <w:r w:rsidRPr="00E869A4">
        <w:rPr>
          <w:rFonts w:ascii="Times New Roman" w:eastAsia="Times New Roman" w:hAnsi="Times New Roman" w:cs="Times New Roman"/>
        </w:rPr>
        <w:t xml:space="preserve">2011). Religion and ethnic background were two key cultural factors (see below). In a multicultural society such as T&amp;T, conceptualisations of care must be commensurate with the varied beliefs and norms surrounding family care arrangements that exist. </w:t>
      </w:r>
    </w:p>
    <w:p w14:paraId="143419FD" w14:textId="2BD34DC6" w:rsidR="004F33B6" w:rsidRPr="00E869A4" w:rsidRDefault="004F33B6" w:rsidP="0031040A">
      <w:pPr>
        <w:pStyle w:val="Heading5"/>
        <w:rPr>
          <w:b/>
          <w:color w:val="auto"/>
        </w:rPr>
      </w:pPr>
      <w:r w:rsidRPr="00E869A4">
        <w:rPr>
          <w:color w:val="auto"/>
        </w:rPr>
        <w:lastRenderedPageBreak/>
        <w:t>Religion, Ethnicity &amp; Caregiver Role Acquisition</w:t>
      </w:r>
    </w:p>
    <w:p w14:paraId="2DD5CB90" w14:textId="77777777" w:rsidR="004F33B6" w:rsidRPr="00E869A4" w:rsidRDefault="004F33B6" w:rsidP="004F33B6">
      <w:pPr>
        <w:rPr>
          <w:rFonts w:ascii="Times New Roman" w:eastAsia="Times New Roman" w:hAnsi="Times New Roman" w:cs="Times New Roman"/>
        </w:rPr>
      </w:pPr>
    </w:p>
    <w:p w14:paraId="7DEF262E" w14:textId="77777777" w:rsidR="004F33B6" w:rsidRPr="00E869A4" w:rsidRDefault="004F33B6" w:rsidP="004F33B6">
      <w:pPr>
        <w:ind w:firstLine="720"/>
        <w:rPr>
          <w:rFonts w:ascii="Times New Roman" w:eastAsia="Times New Roman" w:hAnsi="Times New Roman" w:cs="Times New Roman"/>
        </w:rPr>
      </w:pPr>
      <w:r w:rsidRPr="00E869A4">
        <w:rPr>
          <w:rFonts w:ascii="Times New Roman" w:eastAsia="Times New Roman" w:hAnsi="Times New Roman" w:cs="Times New Roman"/>
        </w:rPr>
        <w:t xml:space="preserve">Ethnic and religious background were the two primary indicators of cultural values and beliefs used in this study. However, due to methodological constraints, only limited conclusions can be made about the effect of these two variables on caregiver role acquisition. While the main ethnic groups in T&amp;T were represented in this study (i.e. persons of African, East Indian and Mixed decent), most of the participants in the in-depth interviews and focus groups were African-Trinidadian. Only a few participants identified as East-Indian or Mixed in the qualitative aspects of this study, relative to their proportion in the wider population. More Indian-Trinidadians participated in the survey. Persons from minority ethnic groups in T&amp;T such as the Chinese and Syrian/Lebanese communities did not participate. Given these limitations, conclusive statements could not be made about the extent to which ethnicity impacts on the decision to become a family carer in T&amp;T. </w:t>
      </w:r>
    </w:p>
    <w:p w14:paraId="5A98AEDE" w14:textId="77777777" w:rsidR="004F33B6" w:rsidRPr="00E869A4" w:rsidRDefault="004F33B6" w:rsidP="004F33B6">
      <w:pPr>
        <w:rPr>
          <w:rFonts w:ascii="Times New Roman" w:eastAsia="Times New Roman" w:hAnsi="Times New Roman" w:cs="Times New Roman"/>
        </w:rPr>
      </w:pPr>
    </w:p>
    <w:p w14:paraId="2E7953BD" w14:textId="09A94DBB"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under-representation of minority groups in social research is not unique to this study, but is a challenge experienced by many researchers (e.g. Masood et al. 2019; Quinn et al. 2012). Quinn et al. (2012) found that matching the race and ethnicity of the researcher to the community that is targeted is one approach that helps to increase the participation of minority groups in research. This may partly explain why, as an African Trinidadian researcher, access to the African Trinidadian community was a lot easier than to other ethnic communities. Further research will need to be conducted to obtain insights into whether or not there are significant differences in family elder care practices across ethnic groups in T&amp;T. Such a study will also need to consider the interactions between ethnicity and class in the context of care in this multi-cultural context. </w:t>
      </w:r>
    </w:p>
    <w:p w14:paraId="7F8E525F" w14:textId="77777777" w:rsidR="004F33B6" w:rsidRPr="00E869A4" w:rsidRDefault="004F33B6" w:rsidP="004F33B6">
      <w:pPr>
        <w:rPr>
          <w:rFonts w:ascii="Times New Roman" w:eastAsia="Times New Roman" w:hAnsi="Times New Roman" w:cs="Times New Roman"/>
        </w:rPr>
      </w:pPr>
    </w:p>
    <w:p w14:paraId="11FB091D" w14:textId="77777777" w:rsidR="004F33B6" w:rsidRPr="00E869A4" w:rsidRDefault="004F33B6" w:rsidP="0031040A">
      <w:pPr>
        <w:pStyle w:val="Heading5"/>
        <w:rPr>
          <w:color w:val="auto"/>
        </w:rPr>
      </w:pPr>
      <w:r w:rsidRPr="00E869A4">
        <w:rPr>
          <w:color w:val="auto"/>
        </w:rPr>
        <w:t>Non-nuclear family forms and caregiver role acquisition</w:t>
      </w:r>
    </w:p>
    <w:p w14:paraId="66996816" w14:textId="77777777" w:rsidR="004F33B6" w:rsidRPr="00E869A4" w:rsidRDefault="004F33B6" w:rsidP="004F33B6"/>
    <w:p w14:paraId="263B09EE" w14:textId="61C9423C"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Another shortcoming of both the HCT and TSM that was confirmed in the current study is the inappropriateness of their assumption that households have a traditional nuclear structure with a living spouse and children nearby. This did not apply to several participants. Some of the interviewees were widowed or without a partner, or </w:t>
      </w:r>
      <w:r w:rsidR="00681A7E" w:rsidRPr="00E869A4">
        <w:rPr>
          <w:rFonts w:ascii="Times New Roman" w:eastAsia="Times New Roman" w:hAnsi="Times New Roman" w:cs="Times New Roman"/>
        </w:rPr>
        <w:t>‘</w:t>
      </w:r>
      <w:r w:rsidRPr="00E869A4">
        <w:rPr>
          <w:rFonts w:ascii="Times New Roman" w:eastAsia="Times New Roman" w:hAnsi="Times New Roman" w:cs="Times New Roman"/>
          <w:i/>
        </w:rPr>
        <w:t>de-facto</w:t>
      </w:r>
      <w:r w:rsidR="00681A7E" w:rsidRPr="00E869A4">
        <w:rPr>
          <w:rFonts w:ascii="Times New Roman" w:eastAsia="Times New Roman" w:hAnsi="Times New Roman" w:cs="Times New Roman"/>
        </w:rPr>
        <w:t>’</w:t>
      </w:r>
      <w:r w:rsidRPr="00E869A4">
        <w:rPr>
          <w:rFonts w:ascii="Times New Roman" w:eastAsia="Times New Roman" w:hAnsi="Times New Roman" w:cs="Times New Roman"/>
        </w:rPr>
        <w:t xml:space="preserve"> childless due to factors such as infertility</w:t>
      </w:r>
      <w:r w:rsidR="00512D2F" w:rsidRPr="00E869A4">
        <w:rPr>
          <w:rFonts w:ascii="Times New Roman" w:eastAsia="Times New Roman" w:hAnsi="Times New Roman" w:cs="Times New Roman"/>
        </w:rPr>
        <w:t xml:space="preserve"> (e.g. Uncle Wilton)</w:t>
      </w:r>
      <w:r w:rsidRPr="00E869A4">
        <w:rPr>
          <w:rFonts w:ascii="Times New Roman" w:eastAsia="Times New Roman" w:hAnsi="Times New Roman" w:cs="Times New Roman"/>
        </w:rPr>
        <w:t>, family conflict</w:t>
      </w:r>
      <w:r w:rsidR="00512D2F" w:rsidRPr="00E869A4">
        <w:t xml:space="preserve"> </w:t>
      </w:r>
      <w:r w:rsidR="00512D2F" w:rsidRPr="00E869A4">
        <w:rPr>
          <w:rFonts w:ascii="Times New Roman" w:eastAsia="Times New Roman" w:hAnsi="Times New Roman" w:cs="Times New Roman"/>
        </w:rPr>
        <w:t>(e.g. Tanty Edna)</w:t>
      </w:r>
      <w:r w:rsidRPr="00E869A4">
        <w:rPr>
          <w:rFonts w:ascii="Times New Roman" w:eastAsia="Times New Roman" w:hAnsi="Times New Roman" w:cs="Times New Roman"/>
        </w:rPr>
        <w:t>, fatal illnesses</w:t>
      </w:r>
      <w:r w:rsidR="00512D2F" w:rsidRPr="00E869A4">
        <w:rPr>
          <w:rFonts w:ascii="Times New Roman" w:eastAsia="Times New Roman" w:hAnsi="Times New Roman" w:cs="Times New Roman"/>
        </w:rPr>
        <w:t xml:space="preserve"> (e.g.</w:t>
      </w:r>
      <w:r w:rsidR="00512D2F" w:rsidRPr="00E869A4">
        <w:t xml:space="preserve"> </w:t>
      </w:r>
      <w:r w:rsidR="00512D2F" w:rsidRPr="00E869A4">
        <w:rPr>
          <w:rFonts w:ascii="Times New Roman" w:eastAsia="Times New Roman" w:hAnsi="Times New Roman" w:cs="Times New Roman"/>
        </w:rPr>
        <w:t>Petra Druman and Avalon Richardson)</w:t>
      </w:r>
      <w:r w:rsidRPr="00E869A4">
        <w:rPr>
          <w:rFonts w:ascii="Times New Roman" w:eastAsia="Times New Roman" w:hAnsi="Times New Roman" w:cs="Times New Roman"/>
        </w:rPr>
        <w:t xml:space="preserve"> and </w:t>
      </w:r>
      <w:r w:rsidRPr="00E869A4">
        <w:rPr>
          <w:rFonts w:ascii="Times New Roman" w:eastAsia="Times New Roman" w:hAnsi="Times New Roman" w:cs="Times New Roman"/>
        </w:rPr>
        <w:lastRenderedPageBreak/>
        <w:t>migration</w:t>
      </w:r>
      <w:r w:rsidR="00512D2F" w:rsidRPr="00E869A4">
        <w:rPr>
          <w:rFonts w:ascii="Times New Roman" w:eastAsia="Times New Roman" w:hAnsi="Times New Roman" w:cs="Times New Roman"/>
        </w:rPr>
        <w:t xml:space="preserve"> (e.g. Marlene Baptiste-Smith and Marian Richardson-Morris</w:t>
      </w:r>
      <w:r w:rsidR="00512D2F" w:rsidRPr="00E869A4">
        <w:rPr>
          <w:rStyle w:val="FootnoteReference"/>
          <w:rFonts w:ascii="Times New Roman" w:eastAsia="Times New Roman" w:hAnsi="Times New Roman" w:cs="Times New Roman"/>
          <w:vertAlign w:val="baseline"/>
        </w:rPr>
        <w:t>)</w:t>
      </w:r>
      <w:r w:rsidRPr="00E869A4">
        <w:rPr>
          <w:rFonts w:ascii="Times New Roman" w:eastAsia="Times New Roman" w:hAnsi="Times New Roman" w:cs="Times New Roman"/>
        </w:rPr>
        <w:t>. Thus, having an adult daughter or son did not always serve as a protective factor against being without family care in later life.</w:t>
      </w:r>
    </w:p>
    <w:p w14:paraId="41F8C58E" w14:textId="77777777" w:rsidR="004F33B6" w:rsidRPr="00E869A4" w:rsidRDefault="004F33B6" w:rsidP="004F33B6">
      <w:pPr>
        <w:rPr>
          <w:rFonts w:ascii="Times New Roman" w:eastAsia="Times New Roman" w:hAnsi="Times New Roman" w:cs="Times New Roman"/>
        </w:rPr>
      </w:pPr>
    </w:p>
    <w:p w14:paraId="7FBFA71B" w14:textId="6FD39AFF"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Given the challenges experienced by the de-facto childless, the decreased birth rate in T&amp;T is cause for concern. Consistent with the demographic patterns in the wider population, several of the interview participants came from small nuclear families. On average, the number of children of older persons from African-Trinidadian families represented in the qualitative interviews was fewer</w:t>
      </w:r>
      <w:r w:rsidRPr="00E869A4">
        <w:rPr>
          <w:rStyle w:val="FootnoteReference"/>
          <w:rFonts w:eastAsia="Times New Roman" w:cs="Times New Roman"/>
        </w:rPr>
        <w:footnoteReference w:id="87"/>
      </w:r>
      <w:r w:rsidR="00232927" w:rsidRPr="00E869A4">
        <w:rPr>
          <w:rFonts w:ascii="Times New Roman" w:eastAsia="Times New Roman" w:hAnsi="Times New Roman" w:cs="Times New Roman"/>
        </w:rPr>
        <w:t xml:space="preserve"> than those of East-</w:t>
      </w:r>
      <w:r w:rsidRPr="00E869A4">
        <w:rPr>
          <w:rFonts w:ascii="Times New Roman" w:eastAsia="Times New Roman" w:hAnsi="Times New Roman" w:cs="Times New Roman"/>
        </w:rPr>
        <w:t>Indian descent</w:t>
      </w:r>
      <w:r w:rsidRPr="00E869A4">
        <w:rPr>
          <w:rStyle w:val="FootnoteReference"/>
          <w:rFonts w:eastAsia="Times New Roman" w:cs="Times New Roman"/>
        </w:rPr>
        <w:footnoteReference w:id="88"/>
      </w:r>
      <w:r w:rsidRPr="00E869A4">
        <w:rPr>
          <w:rFonts w:ascii="Times New Roman" w:eastAsia="Times New Roman" w:hAnsi="Times New Roman" w:cs="Times New Roman"/>
        </w:rPr>
        <w:t>. This resulted in them having a small pool of potential caregivers. However, having a large family did not always equate to having a large support network of potential caregivers. What was a more significant factor was the number of daughters</w:t>
      </w:r>
      <w:r w:rsidR="00512D2F" w:rsidRPr="00E869A4">
        <w:rPr>
          <w:rFonts w:ascii="Times New Roman" w:eastAsia="Times New Roman" w:hAnsi="Times New Roman" w:cs="Times New Roman"/>
        </w:rPr>
        <w:t xml:space="preserve"> (e.g. the Khan family</w:t>
      </w:r>
      <w:r w:rsidR="00512D2F" w:rsidRPr="00E869A4">
        <w:rPr>
          <w:rStyle w:val="FootnoteReference"/>
          <w:rFonts w:ascii="Times New Roman" w:eastAsia="Times New Roman" w:hAnsi="Times New Roman" w:cs="Times New Roman"/>
          <w:vertAlign w:val="baseline"/>
        </w:rPr>
        <w:t>)</w:t>
      </w:r>
      <w:r w:rsidRPr="00E869A4">
        <w:rPr>
          <w:rFonts w:ascii="Times New Roman" w:eastAsia="Times New Roman" w:hAnsi="Times New Roman" w:cs="Times New Roman"/>
        </w:rPr>
        <w:t xml:space="preserve"> and the quality of family relationships over the life course</w:t>
      </w:r>
      <w:r w:rsidR="00512D2F" w:rsidRPr="00E869A4">
        <w:rPr>
          <w:rFonts w:ascii="Times New Roman" w:eastAsia="Times New Roman" w:hAnsi="Times New Roman" w:cs="Times New Roman"/>
        </w:rPr>
        <w:t xml:space="preserve"> (e.g. the Sanchez family</w:t>
      </w:r>
      <w:r w:rsidR="00512D2F" w:rsidRPr="00E869A4">
        <w:rPr>
          <w:rStyle w:val="FootnoteReference"/>
          <w:rFonts w:ascii="Times New Roman" w:eastAsia="Times New Roman" w:hAnsi="Times New Roman" w:cs="Times New Roman"/>
          <w:vertAlign w:val="baseline"/>
        </w:rPr>
        <w:t>)</w:t>
      </w:r>
      <w:r w:rsidRPr="00E869A4">
        <w:rPr>
          <w:rFonts w:ascii="Times New Roman" w:eastAsia="Times New Roman" w:hAnsi="Times New Roman" w:cs="Times New Roman"/>
        </w:rPr>
        <w:t xml:space="preserve">. This is consistent with previous research, which showed that the size of the social support network did not always translate into practical care support (e.g. Aneshensel 1992; Thoits 1995).   </w:t>
      </w:r>
    </w:p>
    <w:p w14:paraId="767AC4CB" w14:textId="77777777" w:rsidR="004F33B6" w:rsidRPr="00E869A4" w:rsidRDefault="004F33B6" w:rsidP="004F33B6">
      <w:pPr>
        <w:rPr>
          <w:rFonts w:ascii="Times New Roman" w:eastAsia="Times New Roman" w:hAnsi="Times New Roman" w:cs="Times New Roman"/>
        </w:rPr>
      </w:pPr>
    </w:p>
    <w:p w14:paraId="5EDCA80A" w14:textId="0A71FFD7"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importance of the goddaughter to the care process was a unique finding in this study. Being a goddaughter in addition to being a niece, seemed to increase the chances of an individual becoming the next likely family carer when a spouse or adult child was not available or willing to provide elder care. It is uncertain if </w:t>
      </w:r>
      <w:r w:rsidR="00232927" w:rsidRPr="00E869A4">
        <w:rPr>
          <w:rFonts w:ascii="Times New Roman" w:eastAsia="Times New Roman" w:hAnsi="Times New Roman" w:cs="Times New Roman"/>
        </w:rPr>
        <w:t>goddaughters</w:t>
      </w:r>
      <w:r w:rsidRPr="00E869A4">
        <w:rPr>
          <w:rFonts w:ascii="Times New Roman" w:eastAsia="Times New Roman" w:hAnsi="Times New Roman" w:cs="Times New Roman"/>
        </w:rPr>
        <w:t xml:space="preserve"> retain their significance among younger cohorts in the context of family relationships and care in present-day T&amp;T. </w:t>
      </w:r>
      <w:r w:rsidR="00232927" w:rsidRPr="00E869A4">
        <w:rPr>
          <w:rFonts w:ascii="Times New Roman" w:eastAsia="Times New Roman" w:hAnsi="Times New Roman" w:cs="Times New Roman"/>
        </w:rPr>
        <w:t>It is possible that, as with the shift in the role of the East-Indian daughter-in-law</w:t>
      </w:r>
      <w:r w:rsidR="008E09A6" w:rsidRPr="00E869A4">
        <w:rPr>
          <w:rFonts w:ascii="Times New Roman" w:eastAsia="Times New Roman" w:hAnsi="Times New Roman" w:cs="Times New Roman"/>
        </w:rPr>
        <w:t xml:space="preserve"> </w:t>
      </w:r>
      <w:r w:rsidR="008E09A6" w:rsidRPr="00E869A4">
        <w:rPr>
          <w:sz w:val="23"/>
          <w:szCs w:val="23"/>
        </w:rPr>
        <w:t>(Ghosh, Capistrant &amp; Friedemann-Sãnchez 2017)</w:t>
      </w:r>
      <w:r w:rsidR="00232927" w:rsidRPr="00E869A4">
        <w:rPr>
          <w:rFonts w:ascii="Times New Roman" w:eastAsia="Times New Roman" w:hAnsi="Times New Roman" w:cs="Times New Roman"/>
        </w:rPr>
        <w:t>, the role of the goddaughter in care provision might</w:t>
      </w:r>
      <w:r w:rsidRPr="00E869A4">
        <w:rPr>
          <w:rFonts w:ascii="Times New Roman" w:eastAsia="Times New Roman" w:hAnsi="Times New Roman" w:cs="Times New Roman"/>
        </w:rPr>
        <w:t xml:space="preserve"> have diminished in more recent times. Further study will need to be conducted to ascertain the significance of the goddaughter to family caregiving in T&amp;T and other jurisdictions. </w:t>
      </w:r>
    </w:p>
    <w:p w14:paraId="5227710E" w14:textId="77777777" w:rsidR="004F33B6" w:rsidRPr="00E869A4" w:rsidRDefault="004F33B6" w:rsidP="004F33B6">
      <w:pPr>
        <w:rPr>
          <w:rFonts w:ascii="Times New Roman" w:eastAsia="Times New Roman" w:hAnsi="Times New Roman" w:cs="Times New Roman"/>
        </w:rPr>
      </w:pPr>
    </w:p>
    <w:p w14:paraId="4E2915BB" w14:textId="472C01A5"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One of the limitations of this study is that the sample did not include frail single older persons that were both never married (nor in a committed relationship) and childless</w:t>
      </w:r>
      <w:r w:rsidR="00135419" w:rsidRPr="00E869A4">
        <w:rPr>
          <w:rFonts w:ascii="Times New Roman" w:eastAsia="Times New Roman" w:hAnsi="Times New Roman" w:cs="Times New Roman"/>
        </w:rPr>
        <w:t>. T</w:t>
      </w:r>
      <w:r w:rsidR="008E09A6" w:rsidRPr="00E869A4">
        <w:rPr>
          <w:rFonts w:ascii="Times New Roman" w:eastAsia="Times New Roman" w:hAnsi="Times New Roman" w:cs="Times New Roman"/>
        </w:rPr>
        <w:t xml:space="preserve">hese persons are </w:t>
      </w:r>
      <w:r w:rsidR="00654820" w:rsidRPr="00E869A4">
        <w:rPr>
          <w:rFonts w:ascii="Times New Roman" w:eastAsia="Times New Roman" w:hAnsi="Times New Roman" w:cs="Times New Roman"/>
        </w:rPr>
        <w:t xml:space="preserve">increasingly </w:t>
      </w:r>
      <w:r w:rsidR="008E09A6" w:rsidRPr="00E869A4">
        <w:rPr>
          <w:rFonts w:ascii="Times New Roman" w:eastAsia="Times New Roman" w:hAnsi="Times New Roman" w:cs="Times New Roman"/>
        </w:rPr>
        <w:t>referred to</w:t>
      </w:r>
      <w:r w:rsidR="00135419" w:rsidRPr="00E869A4">
        <w:rPr>
          <w:rFonts w:ascii="Times New Roman" w:eastAsia="Times New Roman" w:hAnsi="Times New Roman" w:cs="Times New Roman"/>
        </w:rPr>
        <w:t xml:space="preserve"> </w:t>
      </w:r>
      <w:r w:rsidR="00C307A3" w:rsidRPr="00E869A4">
        <w:rPr>
          <w:rFonts w:ascii="Times New Roman" w:eastAsia="Times New Roman" w:hAnsi="Times New Roman" w:cs="Times New Roman"/>
        </w:rPr>
        <w:t xml:space="preserve">as </w:t>
      </w:r>
      <w:r w:rsidR="008E09A6" w:rsidRPr="00E869A4">
        <w:rPr>
          <w:rFonts w:ascii="Times New Roman" w:eastAsia="Times New Roman" w:hAnsi="Times New Roman" w:cs="Times New Roman"/>
        </w:rPr>
        <w:t>elder orphans</w:t>
      </w:r>
      <w:r w:rsidR="00135419" w:rsidRPr="00E869A4">
        <w:rPr>
          <w:rFonts w:ascii="Times New Roman" w:eastAsia="Times New Roman" w:hAnsi="Times New Roman" w:cs="Times New Roman"/>
        </w:rPr>
        <w:t xml:space="preserve"> </w:t>
      </w:r>
      <w:r w:rsidR="00C307A3" w:rsidRPr="00E869A4">
        <w:rPr>
          <w:rFonts w:ascii="Times New Roman" w:eastAsia="Times New Roman" w:hAnsi="Times New Roman" w:cs="Times New Roman"/>
        </w:rPr>
        <w:t>(</w:t>
      </w:r>
      <w:r w:rsidR="00135419" w:rsidRPr="00E869A4">
        <w:rPr>
          <w:rFonts w:ascii="Times New Roman" w:eastAsia="Times New Roman" w:hAnsi="Times New Roman" w:cs="Times New Roman"/>
        </w:rPr>
        <w:t>older people without a spouse</w:t>
      </w:r>
      <w:r w:rsidR="00E612AA" w:rsidRPr="00E869A4">
        <w:rPr>
          <w:rFonts w:ascii="Times New Roman" w:eastAsia="Times New Roman" w:hAnsi="Times New Roman" w:cs="Times New Roman"/>
        </w:rPr>
        <w:t>,</w:t>
      </w:r>
      <w:r w:rsidR="00135419" w:rsidRPr="00E869A4">
        <w:rPr>
          <w:rFonts w:ascii="Times New Roman" w:eastAsia="Times New Roman" w:hAnsi="Times New Roman" w:cs="Times New Roman"/>
        </w:rPr>
        <w:t xml:space="preserve"> children </w:t>
      </w:r>
      <w:r w:rsidR="00F62DDA" w:rsidRPr="00E869A4">
        <w:rPr>
          <w:rFonts w:ascii="Times New Roman" w:eastAsia="Times New Roman" w:hAnsi="Times New Roman" w:cs="Times New Roman"/>
        </w:rPr>
        <w:t>or other family</w:t>
      </w:r>
      <w:r w:rsidR="00C51D97" w:rsidRPr="00E869A4">
        <w:rPr>
          <w:rFonts w:ascii="Times New Roman" w:eastAsia="Times New Roman" w:hAnsi="Times New Roman" w:cs="Times New Roman"/>
        </w:rPr>
        <w:t xml:space="preserve"> member, designated </w:t>
      </w:r>
      <w:r w:rsidR="00E612AA" w:rsidRPr="00E869A4">
        <w:rPr>
          <w:rFonts w:ascii="Times New Roman" w:eastAsia="Times New Roman" w:hAnsi="Times New Roman" w:cs="Times New Roman"/>
        </w:rPr>
        <w:t xml:space="preserve">surrogate </w:t>
      </w:r>
      <w:r w:rsidR="00C51D97" w:rsidRPr="00E869A4">
        <w:rPr>
          <w:rFonts w:ascii="Times New Roman" w:eastAsia="Times New Roman" w:hAnsi="Times New Roman" w:cs="Times New Roman"/>
        </w:rPr>
        <w:t xml:space="preserve">or </w:t>
      </w:r>
      <w:r w:rsidR="00E612AA" w:rsidRPr="00E869A4">
        <w:rPr>
          <w:rFonts w:ascii="Times New Roman" w:eastAsia="Times New Roman" w:hAnsi="Times New Roman" w:cs="Times New Roman"/>
        </w:rPr>
        <w:t xml:space="preserve">caregiver </w:t>
      </w:r>
      <w:r w:rsidR="00135419" w:rsidRPr="00E869A4">
        <w:rPr>
          <w:rFonts w:ascii="Times New Roman" w:eastAsia="Times New Roman" w:hAnsi="Times New Roman" w:cs="Times New Roman"/>
        </w:rPr>
        <w:t>on whom they can depend</w:t>
      </w:r>
      <w:r w:rsidR="00C307A3" w:rsidRPr="00E869A4">
        <w:rPr>
          <w:rFonts w:ascii="Times New Roman" w:eastAsia="Times New Roman" w:hAnsi="Times New Roman" w:cs="Times New Roman"/>
        </w:rPr>
        <w:t>)</w:t>
      </w:r>
      <w:r w:rsidR="0077632B" w:rsidRPr="00E869A4">
        <w:rPr>
          <w:rFonts w:ascii="Times New Roman" w:eastAsia="Times New Roman" w:hAnsi="Times New Roman" w:cs="Times New Roman"/>
        </w:rPr>
        <w:t xml:space="preserve"> (Carney et al. 2017)</w:t>
      </w:r>
      <w:r w:rsidR="00C307A3" w:rsidRPr="00E869A4">
        <w:rPr>
          <w:rFonts w:ascii="Times New Roman" w:eastAsia="Times New Roman" w:hAnsi="Times New Roman" w:cs="Times New Roman"/>
        </w:rPr>
        <w:t xml:space="preserve">, </w:t>
      </w:r>
      <w:r w:rsidR="00863701" w:rsidRPr="00E869A4">
        <w:rPr>
          <w:rFonts w:ascii="Times New Roman" w:eastAsia="Times New Roman" w:hAnsi="Times New Roman" w:cs="Times New Roman"/>
          <w:i/>
        </w:rPr>
        <w:t xml:space="preserve">solo </w:t>
      </w:r>
      <w:r w:rsidR="00135419" w:rsidRPr="00E869A4">
        <w:rPr>
          <w:rFonts w:ascii="Times New Roman" w:eastAsia="Times New Roman" w:hAnsi="Times New Roman" w:cs="Times New Roman"/>
          <w:i/>
        </w:rPr>
        <w:t>agers</w:t>
      </w:r>
      <w:r w:rsidR="0086753E" w:rsidRPr="00E869A4">
        <w:rPr>
          <w:rFonts w:ascii="Times New Roman" w:eastAsia="Times New Roman" w:hAnsi="Times New Roman" w:cs="Times New Roman"/>
        </w:rPr>
        <w:t xml:space="preserve"> </w:t>
      </w:r>
      <w:r w:rsidR="00C307A3" w:rsidRPr="00E869A4">
        <w:rPr>
          <w:rFonts w:ascii="Times New Roman" w:eastAsia="Times New Roman" w:hAnsi="Times New Roman" w:cs="Times New Roman"/>
        </w:rPr>
        <w:t xml:space="preserve">or </w:t>
      </w:r>
      <w:r w:rsidR="00C307A3" w:rsidRPr="00E869A4">
        <w:rPr>
          <w:rFonts w:ascii="Times New Roman" w:eastAsia="Times New Roman" w:hAnsi="Times New Roman" w:cs="Times New Roman"/>
          <w:i/>
        </w:rPr>
        <w:t xml:space="preserve">solo seniors </w:t>
      </w:r>
      <w:r w:rsidR="00C307A3" w:rsidRPr="00E869A4">
        <w:rPr>
          <w:rFonts w:ascii="Times New Roman" w:eastAsia="Times New Roman" w:hAnsi="Times New Roman" w:cs="Times New Roman"/>
        </w:rPr>
        <w:t>(</w:t>
      </w:r>
      <w:r w:rsidR="00135419" w:rsidRPr="00E869A4">
        <w:rPr>
          <w:rFonts w:ascii="Times New Roman" w:eastAsia="Times New Roman" w:hAnsi="Times New Roman" w:cs="Times New Roman"/>
        </w:rPr>
        <w:t>older adults without children, living alone</w:t>
      </w:r>
      <w:r w:rsidR="00C307A3" w:rsidRPr="00E869A4">
        <w:rPr>
          <w:rFonts w:ascii="Times New Roman" w:eastAsia="Times New Roman" w:hAnsi="Times New Roman" w:cs="Times New Roman"/>
        </w:rPr>
        <w:t>) (Miller &amp; Wick 2020)</w:t>
      </w:r>
      <w:r w:rsidR="0086753E"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 Research will need to be conducted to </w:t>
      </w:r>
      <w:r w:rsidR="00232927" w:rsidRPr="00E869A4">
        <w:rPr>
          <w:rFonts w:ascii="Times New Roman" w:eastAsia="Times New Roman" w:hAnsi="Times New Roman" w:cs="Times New Roman"/>
        </w:rPr>
        <w:t>determine</w:t>
      </w:r>
      <w:r w:rsidRPr="00E869A4">
        <w:rPr>
          <w:rFonts w:ascii="Times New Roman" w:eastAsia="Times New Roman" w:hAnsi="Times New Roman" w:cs="Times New Roman"/>
        </w:rPr>
        <w:t xml:space="preserve"> the proportion of </w:t>
      </w:r>
      <w:r w:rsidR="00C307A3" w:rsidRPr="00E869A4">
        <w:rPr>
          <w:rFonts w:ascii="Times New Roman" w:eastAsia="Times New Roman" w:hAnsi="Times New Roman" w:cs="Times New Roman"/>
        </w:rPr>
        <w:t>this</w:t>
      </w:r>
      <w:r w:rsidRPr="00E869A4">
        <w:rPr>
          <w:rFonts w:ascii="Times New Roman" w:eastAsia="Times New Roman" w:hAnsi="Times New Roman" w:cs="Times New Roman"/>
        </w:rPr>
        <w:t xml:space="preserve"> group in the wider population and the extent to which union status </w:t>
      </w:r>
      <w:r w:rsidRPr="00E869A4">
        <w:rPr>
          <w:rFonts w:ascii="Times New Roman" w:eastAsia="Times New Roman" w:hAnsi="Times New Roman" w:cs="Times New Roman"/>
        </w:rPr>
        <w:lastRenderedPageBreak/>
        <w:t xml:space="preserve">impacts on the possibility of a frail older person being institutionalised. The findings of other studies suggest that single, childless older persons are more at risk of being without family care support and are more likely to need publicly funded care (Rodrigues et al. 2012; </w:t>
      </w:r>
      <w:r w:rsidR="008F31A4" w:rsidRPr="00E869A4">
        <w:rPr>
          <w:rFonts w:ascii="Times New Roman" w:hAnsi="Times New Roman" w:cs="Times New Roman"/>
        </w:rPr>
        <w:t>Schrӧder</w:t>
      </w:r>
      <w:r w:rsidR="008F31A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-Butterfill &amp; Marianti 2006; Verbeek-Oudijk 2014a, p. 3). Community care for older persons must ensure that there are suitable provisions for </w:t>
      </w:r>
      <w:r w:rsidR="00C307A3" w:rsidRPr="00E869A4">
        <w:rPr>
          <w:rFonts w:ascii="Times New Roman" w:eastAsia="Times New Roman" w:hAnsi="Times New Roman" w:cs="Times New Roman"/>
        </w:rPr>
        <w:t>these solo agers</w:t>
      </w:r>
      <w:r w:rsidRPr="00E869A4">
        <w:rPr>
          <w:rFonts w:ascii="Times New Roman" w:eastAsia="Times New Roman" w:hAnsi="Times New Roman" w:cs="Times New Roman"/>
        </w:rPr>
        <w:t xml:space="preserve">. </w:t>
      </w:r>
    </w:p>
    <w:p w14:paraId="19337323" w14:textId="77777777" w:rsidR="004F33B6" w:rsidRPr="00E869A4" w:rsidRDefault="004F33B6" w:rsidP="004F33B6">
      <w:pPr>
        <w:rPr>
          <w:rFonts w:ascii="Times New Roman" w:eastAsia="Calibri" w:hAnsi="Times New Roman" w:cs="Times New Roman"/>
          <w:b/>
          <w:smallCaps/>
          <w:u w:val="single"/>
        </w:rPr>
      </w:pPr>
    </w:p>
    <w:p w14:paraId="65D4D523" w14:textId="77777777" w:rsidR="004F33B6" w:rsidRPr="00E869A4" w:rsidRDefault="004F33B6" w:rsidP="004F33B6">
      <w:pPr>
        <w:pStyle w:val="Heading4"/>
      </w:pPr>
      <w:r w:rsidRPr="00E869A4">
        <w:t>Duty &amp; reciprocity: A Subtle Distinction</w:t>
      </w:r>
    </w:p>
    <w:p w14:paraId="31018E3C" w14:textId="77777777" w:rsidR="004F33B6" w:rsidRPr="00E869A4" w:rsidRDefault="004F33B6" w:rsidP="004F33B6">
      <w:pPr>
        <w:pStyle w:val="Heading4"/>
      </w:pPr>
    </w:p>
    <w:p w14:paraId="23BA6A91" w14:textId="7F91BB28"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For the most part, a history of mutual sharing and exchange of resources were the main factors that motivated family members to accept the role of family caregiver to their older relatives. This often led to what this study refers to as </w:t>
      </w:r>
      <w:r w:rsidRPr="00E869A4">
        <w:rPr>
          <w:rFonts w:ascii="Times New Roman" w:eastAsia="Times New Roman" w:hAnsi="Times New Roman" w:cs="Times New Roman"/>
          <w:i/>
        </w:rPr>
        <w:t>requited care</w:t>
      </w:r>
      <w:r w:rsidRPr="00E869A4">
        <w:rPr>
          <w:rFonts w:ascii="Times New Roman" w:eastAsia="Times New Roman" w:hAnsi="Times New Roman" w:cs="Times New Roman"/>
        </w:rPr>
        <w:t xml:space="preserve">, which is largely founded on the principles of reciprocity. Various researchers have found that reciprocity is an important determining factor in family care provision (e.g. Carruth 1997; Clark 1998; Del-Pino-Casado, Frias-Osuna &amp; Palomino-Moral, 2011; Ghosh, Capistrant &amp; Friedemann-Sãnchez 2017; and Pearlin 1989). However, as many of these researchers observed, reciprocity as a determinant of family care is best understood as a transactional process that occurs across the life course. </w:t>
      </w:r>
      <w:r w:rsidR="000D653B" w:rsidRPr="00E869A4">
        <w:rPr>
          <w:rFonts w:ascii="Times New Roman" w:eastAsia="Times New Roman" w:hAnsi="Times New Roman" w:cs="Times New Roman"/>
        </w:rPr>
        <w:t>As Silverstein et al. observed, “</w:t>
      </w:r>
      <w:r w:rsidR="00835646" w:rsidRPr="00E869A4">
        <w:rPr>
          <w:rFonts w:ascii="Times New Roman" w:eastAsia="Times New Roman" w:hAnsi="Times New Roman" w:cs="Times New Roman"/>
        </w:rPr>
        <w:t>[t]</w:t>
      </w:r>
      <w:r w:rsidR="000D653B" w:rsidRPr="00E869A4">
        <w:rPr>
          <w:rFonts w:ascii="Times New Roman" w:eastAsia="Times New Roman" w:hAnsi="Times New Roman" w:cs="Times New Roman"/>
        </w:rPr>
        <w:t>he motivation of adult children to provide social support to their older parents is partially rooted in earlier family experiences and guided by an implicit social contract that ensures long-term reciprocity.”  (Silverstein et al. 2002, p. S3).</w:t>
      </w:r>
    </w:p>
    <w:p w14:paraId="4196FD30" w14:textId="77777777" w:rsidR="004F33B6" w:rsidRPr="00E869A4" w:rsidRDefault="004F33B6" w:rsidP="004F33B6">
      <w:pPr>
        <w:rPr>
          <w:rFonts w:ascii="Times New Roman" w:eastAsia="Times New Roman" w:hAnsi="Times New Roman" w:cs="Times New Roman"/>
        </w:rPr>
      </w:pPr>
    </w:p>
    <w:p w14:paraId="587C0356" w14:textId="39C6B313"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balance of the exchange from an older person to their younger relative may vary across time. It is also important to note that older persons may reciprocate care to their caregiver and younger relatives even in later life when they are frail (Isherwood, Luszcz &amp; King 2016). In the current study, reciprocity was mainly expressed as socio-emotional and spiritual support, and providing the carer with companionship, prayer and encouragement. Also, to some extent, the frail older participants provided financial and other material gifts to support younger family members. It may be that the material support provided to relatives by older persons may be more pronounced than was unearthed in this study. Future studies should explore this possibility. </w:t>
      </w:r>
    </w:p>
    <w:p w14:paraId="4650F061" w14:textId="77777777" w:rsidR="0048754D" w:rsidRPr="00E869A4" w:rsidRDefault="0048754D" w:rsidP="004F33B6">
      <w:pPr>
        <w:rPr>
          <w:rFonts w:ascii="Times New Roman" w:eastAsia="Times New Roman" w:hAnsi="Times New Roman" w:cs="Times New Roman"/>
        </w:rPr>
      </w:pPr>
    </w:p>
    <w:p w14:paraId="0BC1E7A6" w14:textId="0F27F80A"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As was noted </w:t>
      </w:r>
      <w:r w:rsidR="00D325B7" w:rsidRPr="00E869A4">
        <w:rPr>
          <w:rFonts w:ascii="Times New Roman" w:eastAsia="Times New Roman" w:hAnsi="Times New Roman" w:cs="Times New Roman"/>
        </w:rPr>
        <w:t>previously</w:t>
      </w:r>
      <w:r w:rsidRPr="00E869A4">
        <w:rPr>
          <w:rFonts w:ascii="Times New Roman" w:eastAsia="Times New Roman" w:hAnsi="Times New Roman" w:cs="Times New Roman"/>
        </w:rPr>
        <w:t xml:space="preserve">, most participants identified duty as a primary factor that motivated them to care. Interestingly, this was not deemed as dishonourable but was closely related to the idea of reciprocating care. The positive regard for duty and reciprocity as a basis for caregiving is unlike what is </w:t>
      </w:r>
      <w:r w:rsidRPr="00E869A4">
        <w:rPr>
          <w:rFonts w:ascii="Times New Roman" w:eastAsia="Times New Roman" w:hAnsi="Times New Roman" w:cs="Times New Roman"/>
        </w:rPr>
        <w:lastRenderedPageBreak/>
        <w:t xml:space="preserve">typically observed among non-minority ethnic groups in Western countries like the USA (e.g. Cahill 2009) and the Netherlands (e.g. de Valk &amp; Schans 2008), where dependence on family members is generally not seen as a desirable state. However, it is consistent with the culture of developing countries such as India where, as </w:t>
      </w:r>
      <w:r w:rsidR="00D325B7" w:rsidRPr="00E869A4">
        <w:rPr>
          <w:rFonts w:ascii="Times New Roman" w:eastAsia="Times New Roman" w:hAnsi="Times New Roman" w:cs="Times New Roman"/>
        </w:rPr>
        <w:t>s</w:t>
      </w:r>
      <w:r w:rsidR="00C62501" w:rsidRPr="00E869A4">
        <w:rPr>
          <w:rFonts w:ascii="Times New Roman" w:eastAsia="Times New Roman" w:hAnsi="Times New Roman" w:cs="Times New Roman"/>
        </w:rPr>
        <w:t>ta</w:t>
      </w:r>
      <w:r w:rsidRPr="00E869A4">
        <w:rPr>
          <w:rFonts w:ascii="Times New Roman" w:eastAsia="Times New Roman" w:hAnsi="Times New Roman" w:cs="Times New Roman"/>
        </w:rPr>
        <w:t xml:space="preserve">ted in the Background to this study, older persons see family care as a legitimate right because of their prior contribution towards the child and the family (Ghosh, Capistrant &amp; Friedemann-Sãnchez 2017, p. 28). Further research is needed to ascertain if these findings will be applicable to other cultural and class groups in T&amp;T given the heterogeneous nature of the society. </w:t>
      </w:r>
    </w:p>
    <w:p w14:paraId="28E071BF" w14:textId="77777777" w:rsidR="004F33B6" w:rsidRPr="00E869A4" w:rsidRDefault="004F33B6" w:rsidP="004F33B6">
      <w:pPr>
        <w:ind w:firstLine="720"/>
        <w:rPr>
          <w:rFonts w:ascii="Times New Roman" w:eastAsia="Times New Roman" w:hAnsi="Times New Roman" w:cs="Times New Roman"/>
        </w:rPr>
      </w:pPr>
    </w:p>
    <w:p w14:paraId="457866D5" w14:textId="77777777" w:rsidR="004F33B6" w:rsidRPr="00E869A4" w:rsidRDefault="004F33B6" w:rsidP="004F33B6">
      <w:pPr>
        <w:pStyle w:val="Heading4"/>
      </w:pPr>
      <w:r w:rsidRPr="00E869A4">
        <w:t xml:space="preserve">Love &amp; Caregiving: Beyond Words </w:t>
      </w:r>
    </w:p>
    <w:p w14:paraId="370DC6EE" w14:textId="77777777" w:rsidR="004F33B6" w:rsidRPr="00E869A4" w:rsidRDefault="004F33B6" w:rsidP="004F33B6">
      <w:pPr>
        <w:rPr>
          <w:rFonts w:ascii="Times New Roman" w:eastAsia="Times New Roman" w:hAnsi="Times New Roman" w:cs="Times New Roman"/>
        </w:rPr>
      </w:pPr>
    </w:p>
    <w:p w14:paraId="2695723A" w14:textId="3B798C6C"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Of particular note in this study is that participants in the in-depth interviews were less likely to identify love as informing their decision to provide care. This is in contrast to the findings of Kaci and Starks</w:t>
      </w:r>
      <w:r w:rsidR="00CF41A4" w:rsidRPr="00E869A4">
        <w:rPr>
          <w:rFonts w:ascii="Times New Roman" w:eastAsia="Times New Roman" w:hAnsi="Times New Roman" w:cs="Times New Roman"/>
        </w:rPr>
        <w:t>’</w:t>
      </w:r>
      <w:r w:rsidRPr="00E869A4">
        <w:rPr>
          <w:rFonts w:ascii="Times New Roman" w:eastAsia="Times New Roman" w:hAnsi="Times New Roman" w:cs="Times New Roman"/>
        </w:rPr>
        <w:t xml:space="preserve"> (2013) examination of elder care provided within the indigenous Algerian Kabyle family. Their study found that “caring from the heart”, which referred to “love, strong affection, or a strong sincere emotion, given freely irrespective of obligation” was a central characteristic of that indigenous group (Kaci &amp; Starks 2013, p. 174). </w:t>
      </w:r>
    </w:p>
    <w:p w14:paraId="4E4BE5C6" w14:textId="77777777" w:rsidR="004F33B6" w:rsidRPr="00E869A4" w:rsidRDefault="004F33B6" w:rsidP="00A82168">
      <w:pPr>
        <w:ind w:firstLine="0"/>
        <w:rPr>
          <w:rFonts w:ascii="Times New Roman" w:eastAsia="Times New Roman" w:hAnsi="Times New Roman" w:cs="Times New Roman"/>
        </w:rPr>
      </w:pPr>
    </w:p>
    <w:p w14:paraId="50BABA71" w14:textId="3CB62A33"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Interestingly, </w:t>
      </w:r>
      <w:r w:rsidR="00490BF0" w:rsidRPr="00E869A4">
        <w:rPr>
          <w:rFonts w:ascii="Times New Roman" w:eastAsia="Times New Roman" w:hAnsi="Times New Roman" w:cs="Times New Roman"/>
        </w:rPr>
        <w:t>despite the fact that</w:t>
      </w:r>
      <w:r w:rsidRPr="00E869A4">
        <w:rPr>
          <w:rFonts w:ascii="Times New Roman" w:eastAsia="Times New Roman" w:hAnsi="Times New Roman" w:cs="Times New Roman"/>
        </w:rPr>
        <w:t xml:space="preserve"> the emotive aspect of care was generally not mentioned by the interview participants in the current study, persons completing the anonymous online questionnaire were more likely to select love as a motivating factor for care provision. This variation in results may have occurred because of the taken-for-granted nature of love as a motive. It may also be that T&amp;T’s culture is similar to that of many Asian countries where love is expressed more by </w:t>
      </w:r>
      <w:r w:rsidR="00C62501" w:rsidRPr="00E869A4">
        <w:rPr>
          <w:rFonts w:ascii="Times New Roman" w:eastAsia="Times New Roman" w:hAnsi="Times New Roman" w:cs="Times New Roman"/>
        </w:rPr>
        <w:t>‘doing’</w:t>
      </w:r>
      <w:r w:rsidRPr="00E869A4">
        <w:rPr>
          <w:rFonts w:ascii="Times New Roman" w:eastAsia="Times New Roman" w:hAnsi="Times New Roman" w:cs="Times New Roman"/>
        </w:rPr>
        <w:t xml:space="preserve"> rather than </w:t>
      </w:r>
      <w:r w:rsidR="00C62501" w:rsidRPr="00E869A4">
        <w:rPr>
          <w:rFonts w:ascii="Times New Roman" w:eastAsia="Times New Roman" w:hAnsi="Times New Roman" w:cs="Times New Roman"/>
        </w:rPr>
        <w:t>‘</w:t>
      </w:r>
      <w:r w:rsidRPr="00E869A4">
        <w:rPr>
          <w:rFonts w:ascii="Times New Roman" w:eastAsia="Times New Roman" w:hAnsi="Times New Roman" w:cs="Times New Roman"/>
        </w:rPr>
        <w:t>saying</w:t>
      </w:r>
      <w:r w:rsidR="00C62501" w:rsidRPr="00E869A4">
        <w:rPr>
          <w:rFonts w:ascii="Times New Roman" w:eastAsia="Times New Roman" w:hAnsi="Times New Roman" w:cs="Times New Roman"/>
        </w:rPr>
        <w:t>’</w:t>
      </w:r>
      <w:r w:rsidRPr="00E869A4">
        <w:rPr>
          <w:rFonts w:ascii="Times New Roman" w:eastAsia="Times New Roman" w:hAnsi="Times New Roman" w:cs="Times New Roman"/>
        </w:rPr>
        <w:t xml:space="preserve"> (Wang 2007).  Drawing from the work of Janet Finch (2007, p. 72), love is ‘displayed’ through action and interaction. It may also be that culturally, the Trinbagonian participants may feel that love is too private an emotion to express freely to an interviewer. Tsai and Levenson (1997, p. 601) for instance, noted from their review of ethnographic studies that Chinese culture emphasises emotional moderation and control, while the opposite is true in mainstream European – American culture. </w:t>
      </w:r>
      <w:r w:rsidR="008E456E" w:rsidRPr="00E869A4">
        <w:rPr>
          <w:rFonts w:ascii="Times New Roman" w:eastAsia="Times New Roman" w:hAnsi="Times New Roman" w:cs="Times New Roman"/>
        </w:rPr>
        <w:t xml:space="preserve">The same may be true for T&amp;T but additional study is needed to verify this. </w:t>
      </w:r>
    </w:p>
    <w:p w14:paraId="268F4EE7" w14:textId="77777777" w:rsidR="004F33B6" w:rsidRPr="00E869A4" w:rsidRDefault="004F33B6" w:rsidP="004F33B6">
      <w:pPr>
        <w:rPr>
          <w:rFonts w:ascii="Times New Roman" w:eastAsia="Times New Roman" w:hAnsi="Times New Roman" w:cs="Times New Roman"/>
        </w:rPr>
      </w:pPr>
    </w:p>
    <w:p w14:paraId="62D2C331" w14:textId="7AB0FE96" w:rsidR="004F33B6" w:rsidRPr="00E869A4" w:rsidRDefault="004F33B6" w:rsidP="004F33B6">
      <w:pPr>
        <w:ind w:firstLine="720"/>
        <w:rPr>
          <w:rFonts w:ascii="Times New Roman" w:eastAsia="Times New Roman" w:hAnsi="Times New Roman" w:cs="Times New Roman"/>
        </w:rPr>
      </w:pPr>
      <w:r w:rsidRPr="00E869A4">
        <w:rPr>
          <w:rFonts w:ascii="Times New Roman" w:eastAsia="Times New Roman" w:hAnsi="Times New Roman" w:cs="Times New Roman"/>
        </w:rPr>
        <w:t xml:space="preserve">Furthermore, many of the participants equated love with the duty to care and reciprocate care, so much so that respondents were more likely to note duty and reciprocity as their conscious motives for </w:t>
      </w:r>
      <w:r w:rsidRPr="00E869A4">
        <w:rPr>
          <w:rFonts w:ascii="Times New Roman" w:eastAsia="Times New Roman" w:hAnsi="Times New Roman" w:cs="Times New Roman"/>
        </w:rPr>
        <w:lastRenderedPageBreak/>
        <w:t>providing care, rather than love. One possible explanation for this is that love and duty may have been viewed as ‘one and the same’ by some of the participants who preferred to use the latter term to describe the basis for them providing care. Also, the ambivalence associated with how a person feels about the cared-for person versus caring-for a person might explain why interview participants were silent about love as a reason for caring. As Elson (2005, p. 2 cited in Razavi</w:t>
      </w:r>
      <w:r w:rsidR="00A82168" w:rsidRPr="00E869A4">
        <w:rPr>
          <w:rFonts w:ascii="Times New Roman" w:eastAsia="Times New Roman" w:hAnsi="Times New Roman" w:cs="Times New Roman"/>
        </w:rPr>
        <w:t xml:space="preserve"> </w:t>
      </w:r>
      <w:r w:rsidRPr="00E869A4">
        <w:rPr>
          <w:rFonts w:ascii="Times New Roman" w:eastAsia="Times New Roman" w:hAnsi="Times New Roman" w:cs="Times New Roman"/>
        </w:rPr>
        <w:t>2007, p. 13) observed: “[the fact that much] unpaid care work is done for love, does not mean that we always love doing it”</w:t>
      </w:r>
      <w:r w:rsidRPr="00E869A4">
        <w:rPr>
          <w:rFonts w:ascii="Times New Roman" w:eastAsia="Times New Roman" w:hAnsi="Times New Roman" w:cs="Times New Roman"/>
          <w:i/>
        </w:rPr>
        <w:t>.</w:t>
      </w:r>
      <w:r w:rsidRPr="00E869A4">
        <w:rPr>
          <w:rFonts w:ascii="Times New Roman" w:eastAsia="Times New Roman" w:hAnsi="Times New Roman" w:cs="Times New Roman"/>
        </w:rPr>
        <w:t xml:space="preserve"> Thus, love may have been subsumed under the rubric of duty, given the contradictory emotions and experiences associated with family elder care experiences. </w:t>
      </w:r>
    </w:p>
    <w:p w14:paraId="4A970F62" w14:textId="77777777" w:rsidR="004F33B6" w:rsidRPr="00E869A4" w:rsidRDefault="004F33B6" w:rsidP="004F33B6">
      <w:pPr>
        <w:rPr>
          <w:rFonts w:ascii="Times New Roman" w:eastAsia="Times New Roman" w:hAnsi="Times New Roman" w:cs="Times New Roman"/>
        </w:rPr>
      </w:pPr>
    </w:p>
    <w:p w14:paraId="2036019D" w14:textId="77777777"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The difference in the mean age of respondents in the qualitative and quantitative aspects of this study may also explain the variation in the findings on love as a motive to care. The survey participants consisted of a more youthful sample of respondents than the interviews and focus groups. The anecdotal evidence suggests that persons from older age groups may be less likely to speak of emotions such as love. Taking this into consideration, talking about love might be difficult for interview participants, despite it being a real emotion that they experience towards an older cared-for relative. Focused study on love and care in the T&amp;T context will need to be conducted to provide a clearer understanding about the silence of interview respondents on love as a motive for elder care provision.</w:t>
      </w:r>
    </w:p>
    <w:p w14:paraId="52E8A3CC" w14:textId="77777777"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                                                                                                                                                                                                                                                                                                                                                                                                                                                                                                                                                                                                                                                                                                                                                                                                                                                                                                                                                                                                                                                                                                                                                                                                                                                                                                                                                                                                                                                                                                                                                                                                                                                                                                                                                                                 </w:t>
      </w:r>
    </w:p>
    <w:p w14:paraId="65280FCC" w14:textId="77777777" w:rsidR="004F33B6" w:rsidRPr="00E869A4" w:rsidRDefault="004F33B6" w:rsidP="004F33B6">
      <w:pPr>
        <w:pStyle w:val="Heading4"/>
      </w:pPr>
      <w:r w:rsidRPr="00E869A4">
        <w:t>Religion and the Decision to Care</w:t>
      </w:r>
    </w:p>
    <w:p w14:paraId="4CF2EA69" w14:textId="77777777" w:rsidR="004F33B6" w:rsidRPr="00E869A4" w:rsidRDefault="004F33B6" w:rsidP="004F33B6">
      <w:pPr>
        <w:rPr>
          <w:rFonts w:ascii="Times New Roman" w:eastAsia="Times New Roman" w:hAnsi="Times New Roman" w:cs="Times New Roman"/>
        </w:rPr>
      </w:pPr>
    </w:p>
    <w:p w14:paraId="1E17AE2A" w14:textId="232651A3"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Consistent with demographic trends in the wider population (</w:t>
      </w:r>
      <w:r w:rsidR="00552966" w:rsidRPr="00E869A4">
        <w:rPr>
          <w:rFonts w:ascii="Times New Roman" w:eastAsia="Times New Roman" w:hAnsi="Times New Roman" w:cs="Times New Roman"/>
        </w:rPr>
        <w:t>GORTT 2012</w:t>
      </w:r>
      <w:r w:rsidRPr="00E869A4">
        <w:rPr>
          <w:rFonts w:ascii="Times New Roman" w:eastAsia="Times New Roman" w:hAnsi="Times New Roman" w:cs="Times New Roman"/>
        </w:rPr>
        <w:t>), most of the participants in th</w:t>
      </w:r>
      <w:r w:rsidR="008F3222" w:rsidRPr="00E869A4">
        <w:rPr>
          <w:rFonts w:ascii="Times New Roman" w:eastAsia="Times New Roman" w:hAnsi="Times New Roman" w:cs="Times New Roman"/>
        </w:rPr>
        <w:t xml:space="preserve">is </w:t>
      </w:r>
      <w:r w:rsidRPr="00E869A4">
        <w:rPr>
          <w:rFonts w:ascii="Times New Roman" w:eastAsia="Times New Roman" w:hAnsi="Times New Roman" w:cs="Times New Roman"/>
        </w:rPr>
        <w:t>study were Christian. However, a limitation of this study is that there was an under-representation of persons from other religious faiths when compared to national census results, especially in the interviews and focus groups. This may be partly explained by researcher characteristics, as some of the participants were sampled through Christian networks to which this researcher belonged. Despite this limitation, the interviews included participants who identified as accepting the tenets of multiple religions</w:t>
      </w:r>
      <w:r w:rsidR="00512D2F" w:rsidRPr="00E869A4">
        <w:rPr>
          <w:rFonts w:ascii="Times New Roman" w:eastAsia="Times New Roman" w:hAnsi="Times New Roman" w:cs="Times New Roman"/>
        </w:rPr>
        <w:t xml:space="preserve"> (e.g. Mr. Sanchez and Ms. Maharaj</w:t>
      </w:r>
      <w:r w:rsidR="00512D2F" w:rsidRPr="00E869A4">
        <w:rPr>
          <w:rStyle w:val="FootnoteReference"/>
          <w:rFonts w:ascii="Times New Roman" w:eastAsia="Times New Roman" w:hAnsi="Times New Roman" w:cs="Times New Roman"/>
          <w:vertAlign w:val="baseline"/>
        </w:rPr>
        <w:t>)</w:t>
      </w:r>
      <w:r w:rsidRPr="00E869A4">
        <w:rPr>
          <w:rFonts w:ascii="Times New Roman" w:eastAsia="Times New Roman" w:hAnsi="Times New Roman" w:cs="Times New Roman"/>
        </w:rPr>
        <w:t xml:space="preserve"> and there were responses from individuals who identified as Hindu and Muslim in the survey. However, there was no significant effect of religion on care practices when cross-tabulations were conducted with the survey data. Thus, conclusive statements cannot be made about the relationship between religious beliefs and the care practices, experiences and preferences of family </w:t>
      </w:r>
      <w:r w:rsidRPr="00E869A4">
        <w:rPr>
          <w:rFonts w:ascii="Times New Roman" w:eastAsia="Times New Roman" w:hAnsi="Times New Roman" w:cs="Times New Roman"/>
        </w:rPr>
        <w:lastRenderedPageBreak/>
        <w:t xml:space="preserve">caregivers and older persons in T&amp;T. Nonetheless, some preliminary insights were obtained about the effect of religious beliefs and values on family elder care in this multicultural society. </w:t>
      </w:r>
    </w:p>
    <w:p w14:paraId="0D8149F1" w14:textId="77777777" w:rsidR="004F33B6" w:rsidRPr="00E869A4" w:rsidRDefault="004F33B6" w:rsidP="004F33B6">
      <w:pPr>
        <w:rPr>
          <w:rFonts w:ascii="Times New Roman" w:eastAsia="Times New Roman" w:hAnsi="Times New Roman" w:cs="Times New Roman"/>
        </w:rPr>
      </w:pPr>
    </w:p>
    <w:p w14:paraId="5D87CD93" w14:textId="57C6CB5C"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Religious duty was found to be a main predisposing factor that emerged in the qualitative discussions about caregiver role acquisition. This is similar to the findings in other studies. Verbakel et al. (2017) for example, found from their analysis of the 2014 European Social Survey (ESS) that there was a higher probability of religious respondents engaging in intensive care than non-religious respondents.  They concluded that</w:t>
      </w:r>
      <w:r w:rsidR="007D7B97" w:rsidRPr="00E869A4">
        <w:rPr>
          <w:rFonts w:ascii="Times New Roman" w:eastAsia="Times New Roman" w:hAnsi="Times New Roman" w:cs="Times New Roman"/>
        </w:rPr>
        <w:t xml:space="preserve"> </w:t>
      </w:r>
      <w:r w:rsidRPr="00E869A4">
        <w:rPr>
          <w:rFonts w:ascii="Times New Roman" w:eastAsia="Times New Roman" w:hAnsi="Times New Roman" w:cs="Times New Roman"/>
        </w:rPr>
        <w:t>“</w:t>
      </w:r>
      <w:r w:rsidR="00905564" w:rsidRPr="00E869A4">
        <w:rPr>
          <w:rFonts w:ascii="Times New Roman" w:eastAsia="Times New Roman" w:hAnsi="Times New Roman" w:cs="Times New Roman"/>
        </w:rPr>
        <w:t>[s]</w:t>
      </w:r>
      <w:r w:rsidRPr="00E869A4">
        <w:rPr>
          <w:rFonts w:ascii="Times New Roman" w:eastAsia="Times New Roman" w:hAnsi="Times New Roman" w:cs="Times New Roman"/>
        </w:rPr>
        <w:t>trong care attitudes are partly driven by religious beliefs as religions explicitly emphasize the importance of loving one’s neighbour and to helping those in need.” (Verbakel et al. 2017, p. 93)</w:t>
      </w:r>
      <w:r w:rsidR="007D7B97" w:rsidRPr="00E869A4">
        <w:rPr>
          <w:rFonts w:ascii="Times New Roman" w:eastAsia="Times New Roman" w:hAnsi="Times New Roman" w:cs="Times New Roman"/>
        </w:rPr>
        <w:t>.</w:t>
      </w:r>
      <w:r w:rsidR="00905564"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However, it is important to note the subtle distinction between </w:t>
      </w:r>
      <w:r w:rsidRPr="00E869A4">
        <w:rPr>
          <w:rFonts w:ascii="Times New Roman" w:eastAsia="Times New Roman" w:hAnsi="Times New Roman" w:cs="Times New Roman"/>
          <w:i/>
        </w:rPr>
        <w:t>inspired care</w:t>
      </w:r>
      <w:r w:rsidRPr="00E869A4">
        <w:rPr>
          <w:rFonts w:ascii="Times New Roman" w:eastAsia="Times New Roman" w:hAnsi="Times New Roman" w:cs="Times New Roman"/>
        </w:rPr>
        <w:t xml:space="preserve"> (based on divine or supernatural influences), and </w:t>
      </w:r>
      <w:r w:rsidRPr="00E869A4">
        <w:rPr>
          <w:rFonts w:ascii="Times New Roman" w:eastAsia="Times New Roman" w:hAnsi="Times New Roman" w:cs="Times New Roman"/>
          <w:i/>
        </w:rPr>
        <w:t>required care</w:t>
      </w:r>
      <w:r w:rsidRPr="00E869A4">
        <w:rPr>
          <w:rFonts w:ascii="Times New Roman" w:eastAsia="Times New Roman" w:hAnsi="Times New Roman" w:cs="Times New Roman"/>
        </w:rPr>
        <w:t xml:space="preserve"> (predicated on a sense of religious or moral duty to provide care). As </w:t>
      </w:r>
      <w:r w:rsidR="000A7E0A" w:rsidRPr="00E869A4">
        <w:rPr>
          <w:rFonts w:ascii="Times New Roman" w:eastAsia="Times New Roman" w:hAnsi="Times New Roman" w:cs="Times New Roman"/>
        </w:rPr>
        <w:t>indica</w:t>
      </w:r>
      <w:r w:rsidRPr="00E869A4">
        <w:rPr>
          <w:rFonts w:ascii="Times New Roman" w:eastAsia="Times New Roman" w:hAnsi="Times New Roman" w:cs="Times New Roman"/>
        </w:rPr>
        <w:t xml:space="preserve">ted in the literature review, it is not uncommon for social science researchers to distinguish between religiosity and spirituality. The latter is usually associated with a personal and day-to-day relationship with God, while the former is associated with belonging to a religious group or body and adhering to certain institutionalised traditions (Pargament et al. 1998; Zinnbauer et al. 2015). </w:t>
      </w:r>
    </w:p>
    <w:p w14:paraId="3DE65A51" w14:textId="77777777" w:rsidR="004F33B6" w:rsidRPr="00E869A4" w:rsidRDefault="004F33B6" w:rsidP="004F33B6">
      <w:pPr>
        <w:rPr>
          <w:rFonts w:ascii="Times New Roman" w:eastAsia="Times New Roman" w:hAnsi="Times New Roman" w:cs="Times New Roman"/>
        </w:rPr>
      </w:pPr>
    </w:p>
    <w:p w14:paraId="4923AE11" w14:textId="2194810A"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In the section that follows, the discussion continues on how family caregivers and older persons experienced care, and how this </w:t>
      </w:r>
      <w:r w:rsidR="00552966" w:rsidRPr="00E869A4">
        <w:rPr>
          <w:rFonts w:ascii="Times New Roman" w:eastAsia="Times New Roman" w:hAnsi="Times New Roman" w:cs="Times New Roman"/>
        </w:rPr>
        <w:t>affected</w:t>
      </w:r>
      <w:r w:rsidRPr="00E869A4">
        <w:rPr>
          <w:rFonts w:ascii="Times New Roman" w:eastAsia="Times New Roman" w:hAnsi="Times New Roman" w:cs="Times New Roman"/>
        </w:rPr>
        <w:t xml:space="preserve"> their overall wellbeing.</w:t>
      </w:r>
    </w:p>
    <w:p w14:paraId="78D99771" w14:textId="77777777" w:rsidR="004F33B6" w:rsidRPr="00E869A4" w:rsidRDefault="004F33B6" w:rsidP="004F33B6">
      <w:pPr>
        <w:ind w:firstLine="720"/>
        <w:rPr>
          <w:rFonts w:ascii="Times New Roman" w:eastAsia="Times New Roman" w:hAnsi="Times New Roman" w:cs="Times New Roman"/>
        </w:rPr>
      </w:pPr>
    </w:p>
    <w:p w14:paraId="4E93BF03" w14:textId="0A01487F" w:rsidR="004F33B6" w:rsidRPr="00E869A4" w:rsidRDefault="004F33B6" w:rsidP="005C449C">
      <w:pPr>
        <w:pStyle w:val="Heading3"/>
      </w:pPr>
      <w:bookmarkStart w:id="437" w:name="_Toc26414887"/>
      <w:bookmarkStart w:id="438" w:name="_Toc40436589"/>
      <w:r w:rsidRPr="00E869A4">
        <w:t>1</w:t>
      </w:r>
      <w:r w:rsidR="0048754D" w:rsidRPr="00E869A4">
        <w:t>0</w:t>
      </w:r>
      <w:r w:rsidRPr="00E869A4">
        <w:t>.2.2   Experiences of Care</w:t>
      </w:r>
      <w:bookmarkEnd w:id="437"/>
      <w:bookmarkEnd w:id="438"/>
    </w:p>
    <w:p w14:paraId="1513C4C3" w14:textId="77777777" w:rsidR="004F33B6" w:rsidRPr="00E869A4" w:rsidRDefault="004F33B6" w:rsidP="004F33B6">
      <w:pPr>
        <w:rPr>
          <w:rFonts w:ascii="Times New Roman" w:eastAsia="Times New Roman" w:hAnsi="Times New Roman" w:cs="Times New Roman"/>
        </w:rPr>
      </w:pPr>
    </w:p>
    <w:p w14:paraId="32702B2E" w14:textId="77777777"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results of this study highlighted the benefits, challenges and mixed (ambivalent) experience of family care. Ambivalence was a central theme that emerged from the responses of the caregivers. In this section, special attention is given to some of the structural factors that impacted on how family carers perceived care. The perspective of older participants is also discussed, which was based mainly on what they identified as acceptable characteristics of their primary family carer. The interrelationship between caregiver role acquisition and the overall experience of care is also considered. </w:t>
      </w:r>
    </w:p>
    <w:p w14:paraId="14356259" w14:textId="77777777" w:rsidR="004F33B6" w:rsidRPr="00E869A4" w:rsidRDefault="004F33B6" w:rsidP="004F33B6">
      <w:pPr>
        <w:rPr>
          <w:rFonts w:ascii="Times New Roman" w:eastAsia="Times New Roman" w:hAnsi="Times New Roman" w:cs="Times New Roman"/>
        </w:rPr>
      </w:pPr>
    </w:p>
    <w:p w14:paraId="5F0AB39E" w14:textId="6E459536"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As is evident from this and other studies, the needs of older persons change as they become frailer. To depict the changing care needs of older persons, Ziettlow (2019) developed the following conceptualisation of the trajectory of chronic illness based on previous work done by Lynn and Adamson </w:t>
      </w:r>
      <w:r w:rsidRPr="00E869A4">
        <w:rPr>
          <w:rFonts w:ascii="Times New Roman" w:eastAsia="Times New Roman" w:hAnsi="Times New Roman" w:cs="Times New Roman"/>
        </w:rPr>
        <w:lastRenderedPageBreak/>
        <w:t xml:space="preserve">(2003): 1) a </w:t>
      </w:r>
      <w:r w:rsidR="00B25D69" w:rsidRPr="00E869A4">
        <w:rPr>
          <w:rFonts w:ascii="Times New Roman" w:eastAsia="Times New Roman" w:hAnsi="Times New Roman" w:cs="Times New Roman"/>
        </w:rPr>
        <w:t>‘</w:t>
      </w:r>
      <w:r w:rsidRPr="00E869A4">
        <w:rPr>
          <w:rFonts w:ascii="Times New Roman" w:eastAsia="Times New Roman" w:hAnsi="Times New Roman" w:cs="Times New Roman"/>
          <w:i/>
        </w:rPr>
        <w:t>roller-coaster</w:t>
      </w:r>
      <w:r w:rsidR="00B25D69" w:rsidRPr="00E869A4">
        <w:rPr>
          <w:rFonts w:ascii="Times New Roman" w:eastAsia="Times New Roman" w:hAnsi="Times New Roman" w:cs="Times New Roman"/>
        </w:rPr>
        <w:t>’</w:t>
      </w:r>
      <w:r w:rsidRPr="00E869A4">
        <w:rPr>
          <w:rFonts w:ascii="Times New Roman" w:eastAsia="Times New Roman" w:hAnsi="Times New Roman" w:cs="Times New Roman"/>
        </w:rPr>
        <w:t xml:space="preserve"> – long term period of support requiring intermittent periods of acute care; 2) care in the </w:t>
      </w:r>
      <w:r w:rsidR="00B25D69" w:rsidRPr="00E869A4">
        <w:rPr>
          <w:rFonts w:ascii="Times New Roman" w:eastAsia="Times New Roman" w:hAnsi="Times New Roman" w:cs="Times New Roman"/>
        </w:rPr>
        <w:t>‘</w:t>
      </w:r>
      <w:r w:rsidRPr="00E869A4">
        <w:rPr>
          <w:rFonts w:ascii="Times New Roman" w:eastAsia="Times New Roman" w:hAnsi="Times New Roman" w:cs="Times New Roman"/>
          <w:i/>
        </w:rPr>
        <w:t>deep end</w:t>
      </w:r>
      <w:r w:rsidR="00B25D69" w:rsidRPr="00E869A4">
        <w:rPr>
          <w:rFonts w:ascii="Times New Roman" w:eastAsia="Times New Roman" w:hAnsi="Times New Roman" w:cs="Times New Roman"/>
        </w:rPr>
        <w:t>’</w:t>
      </w:r>
      <w:r w:rsidRPr="00E869A4">
        <w:rPr>
          <w:rFonts w:ascii="Times New Roman" w:eastAsia="Times New Roman" w:hAnsi="Times New Roman" w:cs="Times New Roman"/>
        </w:rPr>
        <w:t xml:space="preserve"> – short term period of support requiring constant, on-site, acute care that can last from a few weeks to several months and ends with death; and 3) the </w:t>
      </w:r>
      <w:r w:rsidR="00B25D69" w:rsidRPr="00E869A4">
        <w:rPr>
          <w:rFonts w:ascii="Times New Roman" w:eastAsia="Times New Roman" w:hAnsi="Times New Roman" w:cs="Times New Roman"/>
        </w:rPr>
        <w:t>‘</w:t>
      </w:r>
      <w:r w:rsidRPr="00E869A4">
        <w:rPr>
          <w:rFonts w:ascii="Times New Roman" w:eastAsia="Times New Roman" w:hAnsi="Times New Roman" w:cs="Times New Roman"/>
          <w:i/>
        </w:rPr>
        <w:t>marathon</w:t>
      </w:r>
      <w:r w:rsidR="00B25D69" w:rsidRPr="00E869A4">
        <w:rPr>
          <w:rFonts w:ascii="Times New Roman" w:eastAsia="Times New Roman" w:hAnsi="Times New Roman" w:cs="Times New Roman"/>
        </w:rPr>
        <w:t>’</w:t>
      </w:r>
      <w:r w:rsidRPr="00E869A4">
        <w:rPr>
          <w:rFonts w:ascii="Times New Roman" w:eastAsia="Times New Roman" w:hAnsi="Times New Roman" w:cs="Times New Roman"/>
        </w:rPr>
        <w:t xml:space="preserve"> – long period of continual support to care recipients who slowly but persistently decline in physical and mental acuity. In the in-depth interviews</w:t>
      </w:r>
      <w:r w:rsidR="00371741" w:rsidRPr="00E869A4">
        <w:rPr>
          <w:rFonts w:ascii="Times New Roman" w:eastAsia="Times New Roman" w:hAnsi="Times New Roman" w:cs="Times New Roman"/>
        </w:rPr>
        <w:t xml:space="preserve">, examples emerged of care </w:t>
      </w:r>
      <w:r w:rsidRPr="00E869A4">
        <w:rPr>
          <w:rFonts w:ascii="Times New Roman" w:eastAsia="Times New Roman" w:hAnsi="Times New Roman" w:cs="Times New Roman"/>
        </w:rPr>
        <w:t>dyads in each of these phases of the care experience. For the most part however, interview participants were in the marathon stage of care when they were interviewed. Longitudinal studies will be especially useful for understanding the variable nature of the care experience of these and other T&amp;T caregivers. This notwithstanding, some useful insights were obtained from this cross-sectional study about the various factors that influenced whether or not their care experience was deemed as positive, negative, or otherwise.</w:t>
      </w:r>
    </w:p>
    <w:p w14:paraId="24B86521" w14:textId="77777777" w:rsidR="00FD42D2" w:rsidRPr="00E869A4" w:rsidRDefault="00FD42D2" w:rsidP="004F33B6">
      <w:pPr>
        <w:rPr>
          <w:rFonts w:ascii="Times New Roman" w:eastAsia="Times New Roman" w:hAnsi="Times New Roman" w:cs="Times New Roman"/>
        </w:rPr>
      </w:pPr>
    </w:p>
    <w:p w14:paraId="38999296" w14:textId="77777777" w:rsidR="004F33B6" w:rsidRPr="00E869A4" w:rsidRDefault="004F33B6" w:rsidP="004F33B6">
      <w:pPr>
        <w:pStyle w:val="Heading4"/>
      </w:pPr>
      <w:r w:rsidRPr="00E869A4">
        <w:t>Ambivalence and Caregiving</w:t>
      </w:r>
    </w:p>
    <w:p w14:paraId="76994454" w14:textId="77777777" w:rsidR="004F33B6" w:rsidRPr="00E869A4" w:rsidRDefault="004F33B6" w:rsidP="004F33B6">
      <w:pPr>
        <w:rPr>
          <w:rFonts w:ascii="Times New Roman" w:eastAsia="Times New Roman" w:hAnsi="Times New Roman" w:cs="Times New Roman"/>
        </w:rPr>
      </w:pPr>
    </w:p>
    <w:p w14:paraId="70DF416D" w14:textId="765FB96C"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findings of this study support the utility of the sociological ambivalence </w:t>
      </w:r>
      <w:r w:rsidR="00FD42D2" w:rsidRPr="00E869A4">
        <w:rPr>
          <w:rFonts w:ascii="Times New Roman" w:eastAsia="Times New Roman" w:hAnsi="Times New Roman" w:cs="Times New Roman"/>
        </w:rPr>
        <w:t>framework, which</w:t>
      </w:r>
      <w:r w:rsidRPr="00E869A4">
        <w:rPr>
          <w:rFonts w:ascii="Times New Roman" w:eastAsia="Times New Roman" w:hAnsi="Times New Roman" w:cs="Times New Roman"/>
        </w:rPr>
        <w:t xml:space="preserve"> argues that persons can experience positive and negative emotions simultaneously (Connidis &amp; McMullin 2002; Hillcoat-Nallétamby &amp; Phillips 2011; Lüscher &amp; Pillemer 1998). This framework is founded on a symbolic interactionist </w:t>
      </w:r>
      <w:r w:rsidR="00FD42D2" w:rsidRPr="00E869A4">
        <w:rPr>
          <w:rFonts w:ascii="Times New Roman" w:eastAsia="Times New Roman" w:hAnsi="Times New Roman" w:cs="Times New Roman"/>
        </w:rPr>
        <w:t>perspective, which</w:t>
      </w:r>
      <w:r w:rsidRPr="00E869A4">
        <w:rPr>
          <w:rFonts w:ascii="Times New Roman" w:eastAsia="Times New Roman" w:hAnsi="Times New Roman" w:cs="Times New Roman"/>
        </w:rPr>
        <w:t xml:space="preserve"> gives attention to the dynamic nature of solidarity, conflict and power relations that exist in family life. Its basic premise is that inter-generational relationships (such as those involved in family elder care) are not based exclusively on either agreement or conflict. On the contrary, it posits that both states can exist simultaneously in a given relationship and that this is in fact the norm rather than the exception in human relationships of this nature (Lüscher &amp; Pillemer 1998</w:t>
      </w:r>
      <w:r w:rsidR="00FD42D2" w:rsidRPr="00E869A4">
        <w:rPr>
          <w:rFonts w:ascii="Times New Roman" w:eastAsia="Times New Roman" w:hAnsi="Times New Roman" w:cs="Times New Roman"/>
        </w:rPr>
        <w:t>, p.</w:t>
      </w:r>
      <w:r w:rsidRPr="00E869A4">
        <w:rPr>
          <w:rFonts w:ascii="Times New Roman" w:eastAsia="Times New Roman" w:hAnsi="Times New Roman" w:cs="Times New Roman"/>
        </w:rPr>
        <w:t xml:space="preserve"> 4).  In the current study, all participants expressed feelings of ambivalence about providing care to their older relative, irrespective of whether their main motive for caregiving was </w:t>
      </w:r>
      <w:r w:rsidRPr="00E869A4">
        <w:rPr>
          <w:rFonts w:ascii="Times New Roman" w:eastAsia="Times New Roman" w:hAnsi="Times New Roman" w:cs="Times New Roman"/>
          <w:i/>
        </w:rPr>
        <w:t>inspired</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i/>
        </w:rPr>
        <w:t>requited</w:t>
      </w:r>
      <w:r w:rsidRPr="00E869A4">
        <w:rPr>
          <w:rFonts w:ascii="Times New Roman" w:eastAsia="Times New Roman" w:hAnsi="Times New Roman" w:cs="Times New Roman"/>
        </w:rPr>
        <w:t xml:space="preserve"> or </w:t>
      </w:r>
      <w:r w:rsidRPr="00E869A4">
        <w:rPr>
          <w:rFonts w:ascii="Times New Roman" w:eastAsia="Times New Roman" w:hAnsi="Times New Roman" w:cs="Times New Roman"/>
          <w:i/>
        </w:rPr>
        <w:t>required</w:t>
      </w:r>
      <w:r w:rsidRPr="00E869A4">
        <w:rPr>
          <w:rFonts w:ascii="Times New Roman" w:eastAsia="Times New Roman" w:hAnsi="Times New Roman" w:cs="Times New Roman"/>
        </w:rPr>
        <w:t xml:space="preserve">. </w:t>
      </w:r>
      <w:r w:rsidRPr="00E869A4">
        <w:rPr>
          <w:rFonts w:ascii="Times New Roman" w:hAnsi="Times New Roman" w:cs="Times New Roman"/>
        </w:rPr>
        <w:t xml:space="preserve">There was also clear evidence that the uncertainty experienced by participants about meeting care needs </w:t>
      </w:r>
      <w:r w:rsidR="00134539" w:rsidRPr="00E869A4">
        <w:rPr>
          <w:rFonts w:ascii="Times New Roman" w:hAnsi="Times New Roman" w:cs="Times New Roman"/>
        </w:rPr>
        <w:t xml:space="preserve">given limited resources </w:t>
      </w:r>
      <w:r w:rsidRPr="00E869A4">
        <w:rPr>
          <w:rFonts w:ascii="Times New Roman" w:hAnsi="Times New Roman" w:cs="Times New Roman"/>
        </w:rPr>
        <w:t>contributed to the ambivalent emotions they had towards their care experience</w:t>
      </w:r>
      <w:r w:rsidRPr="00E869A4">
        <w:rPr>
          <w:rStyle w:val="FootnoteReference"/>
          <w:rFonts w:cs="Times New Roman"/>
        </w:rPr>
        <w:footnoteReference w:id="89"/>
      </w:r>
      <w:r w:rsidRPr="00E869A4">
        <w:rPr>
          <w:rFonts w:ascii="Times New Roman" w:hAnsi="Times New Roman" w:cs="Times New Roman"/>
        </w:rPr>
        <w:t>.</w:t>
      </w:r>
    </w:p>
    <w:p w14:paraId="3FDDD6A1" w14:textId="77777777" w:rsidR="004F33B6" w:rsidRPr="00E869A4" w:rsidRDefault="004F33B6" w:rsidP="004F33B6">
      <w:pPr>
        <w:ind w:firstLine="720"/>
        <w:rPr>
          <w:rFonts w:ascii="Times New Roman" w:eastAsia="Times New Roman" w:hAnsi="Times New Roman" w:cs="Times New Roman"/>
        </w:rPr>
      </w:pPr>
    </w:p>
    <w:p w14:paraId="39A5D380" w14:textId="77777777" w:rsidR="008F3222" w:rsidRPr="00E869A4" w:rsidRDefault="008F3222">
      <w:pPr>
        <w:rPr>
          <w:b/>
          <w:i/>
          <w:u w:val="single"/>
        </w:rPr>
      </w:pPr>
      <w:r w:rsidRPr="00E869A4">
        <w:br w:type="page"/>
      </w:r>
    </w:p>
    <w:p w14:paraId="3C7FA4D9" w14:textId="352A7A62" w:rsidR="004F33B6" w:rsidRPr="00E869A4" w:rsidRDefault="004F33B6" w:rsidP="004F33B6">
      <w:pPr>
        <w:pStyle w:val="Heading4"/>
      </w:pPr>
      <w:r w:rsidRPr="00E869A4">
        <w:lastRenderedPageBreak/>
        <w:t>Benefits and Challenges of Caregiving</w:t>
      </w:r>
    </w:p>
    <w:p w14:paraId="07E3E1D1" w14:textId="77777777" w:rsidR="004F33B6" w:rsidRPr="00E869A4" w:rsidRDefault="004F33B6" w:rsidP="004F33B6">
      <w:pPr>
        <w:rPr>
          <w:rFonts w:ascii="Times New Roman" w:eastAsia="Times New Roman" w:hAnsi="Times New Roman" w:cs="Times New Roman"/>
        </w:rPr>
      </w:pPr>
    </w:p>
    <w:p w14:paraId="4C5ABF41" w14:textId="64E143A2"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Consistent with previous research (e.g. Kuuppelomäki et al. 2004; Lee &amp; Singh 2010; Lin, Fee &amp; Wu 2012; Pearlin et al</w:t>
      </w:r>
      <w:r w:rsidR="00934743" w:rsidRPr="00E869A4">
        <w:rPr>
          <w:rFonts w:ascii="Times New Roman" w:eastAsia="Times New Roman" w:hAnsi="Times New Roman" w:cs="Times New Roman"/>
        </w:rPr>
        <w:t>.</w:t>
      </w:r>
      <w:r w:rsidRPr="00E869A4">
        <w:rPr>
          <w:rFonts w:ascii="Times New Roman" w:eastAsia="Times New Roman" w:hAnsi="Times New Roman" w:cs="Times New Roman"/>
        </w:rPr>
        <w:t xml:space="preserve"> 2005; Pinquart &amp; Sӧrensen 2003; Sánchez-Izquierdo</w:t>
      </w:r>
      <w:r w:rsidR="00EE4DB3" w:rsidRPr="00E869A4">
        <w:rPr>
          <w:rFonts w:ascii="Times New Roman" w:eastAsia="Times New Roman" w:hAnsi="Times New Roman" w:cs="Times New Roman"/>
        </w:rPr>
        <w:t xml:space="preserve">, Prieto-Ursua &amp; Caperos </w:t>
      </w:r>
      <w:r w:rsidRPr="00E869A4">
        <w:rPr>
          <w:rFonts w:ascii="Times New Roman" w:eastAsia="Times New Roman" w:hAnsi="Times New Roman" w:cs="Times New Roman"/>
        </w:rPr>
        <w:t xml:space="preserve">2015; </w:t>
      </w:r>
      <w:r w:rsidR="00FD42D2" w:rsidRPr="00E869A4">
        <w:rPr>
          <w:rFonts w:ascii="Times New Roman" w:eastAsia="Times New Roman" w:hAnsi="Times New Roman" w:cs="Times New Roman"/>
        </w:rPr>
        <w:t xml:space="preserve">and </w:t>
      </w:r>
      <w:r w:rsidRPr="00E869A4">
        <w:rPr>
          <w:rFonts w:ascii="Times New Roman" w:eastAsia="Times New Roman" w:hAnsi="Times New Roman" w:cs="Times New Roman"/>
        </w:rPr>
        <w:t xml:space="preserve">Ziettlow 2019), this study confirmed that elder care involves a mix of circumstances, experiences, responses, and resources. None of these are stable, but vary in their impact on the health and well-being of caregivers and, by extension, on their care recipients as well. The participants identified both benefits and challenges of family care. Benefits were either </w:t>
      </w:r>
      <w:r w:rsidRPr="00E869A4">
        <w:rPr>
          <w:rFonts w:ascii="Times New Roman" w:eastAsia="Times New Roman" w:hAnsi="Times New Roman" w:cs="Times New Roman"/>
          <w:i/>
        </w:rPr>
        <w:t>self-oriented</w:t>
      </w:r>
      <w:r w:rsidRPr="00E869A4">
        <w:rPr>
          <w:rFonts w:ascii="Times New Roman" w:eastAsia="Times New Roman" w:hAnsi="Times New Roman" w:cs="Times New Roman"/>
        </w:rPr>
        <w:t xml:space="preserve"> or </w:t>
      </w:r>
      <w:r w:rsidRPr="00E869A4">
        <w:rPr>
          <w:rFonts w:ascii="Times New Roman" w:eastAsia="Times New Roman" w:hAnsi="Times New Roman" w:cs="Times New Roman"/>
          <w:i/>
        </w:rPr>
        <w:t>other-oriented</w:t>
      </w:r>
      <w:r w:rsidRPr="00E869A4">
        <w:rPr>
          <w:rFonts w:ascii="Times New Roman" w:eastAsia="Times New Roman" w:hAnsi="Times New Roman" w:cs="Times New Roman"/>
        </w:rPr>
        <w:t>. Self-oriented benefits included the experience of personal growth, improved relationship with the cared-for person, and the belief that persons providing care would be ‘</w:t>
      </w:r>
      <w:r w:rsidRPr="00E869A4">
        <w:rPr>
          <w:rFonts w:ascii="Times New Roman" w:eastAsia="Times New Roman" w:hAnsi="Times New Roman" w:cs="Times New Roman"/>
          <w:i/>
        </w:rPr>
        <w:t>blessed</w:t>
      </w:r>
      <w:r w:rsidRPr="00E869A4">
        <w:rPr>
          <w:rFonts w:ascii="Times New Roman" w:eastAsia="Times New Roman" w:hAnsi="Times New Roman" w:cs="Times New Roman"/>
        </w:rPr>
        <w:t xml:space="preserve">’. Other-oriented benefits included appreciation from others, receiving support from others, and being able to contribute to the wellbeing of another individual. </w:t>
      </w:r>
    </w:p>
    <w:p w14:paraId="50680085" w14:textId="77777777" w:rsidR="004F33B6" w:rsidRPr="00E869A4" w:rsidRDefault="004F33B6" w:rsidP="004F33B6">
      <w:pPr>
        <w:rPr>
          <w:rFonts w:ascii="Times New Roman" w:eastAsia="Times New Roman" w:hAnsi="Times New Roman" w:cs="Times New Roman"/>
        </w:rPr>
      </w:pPr>
    </w:p>
    <w:p w14:paraId="0CA1204B" w14:textId="1A6151A3"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Based on the evidence however, one cannot ignore how demanding and stressful caregiving and receiving is for family carers and older persons in the context of a developing country such as T&amp;T. Lack of knowledge about providing care, problematic behaviour of the cared-for person, and the financial cost of care </w:t>
      </w:r>
      <w:r w:rsidR="00BD24AF" w:rsidRPr="00E869A4">
        <w:rPr>
          <w:rFonts w:ascii="Times New Roman" w:eastAsia="Times New Roman" w:hAnsi="Times New Roman" w:cs="Times New Roman"/>
        </w:rPr>
        <w:t>we</w:t>
      </w:r>
      <w:r w:rsidRPr="00E869A4">
        <w:rPr>
          <w:rFonts w:ascii="Times New Roman" w:eastAsia="Times New Roman" w:hAnsi="Times New Roman" w:cs="Times New Roman"/>
        </w:rPr>
        <w:t xml:space="preserve">re some of the main challenges experienced by </w:t>
      </w:r>
      <w:r w:rsidR="00BD24AF" w:rsidRPr="00E869A4">
        <w:rPr>
          <w:rFonts w:ascii="Times New Roman" w:eastAsia="Times New Roman" w:hAnsi="Times New Roman" w:cs="Times New Roman"/>
        </w:rPr>
        <w:t xml:space="preserve">the </w:t>
      </w:r>
      <w:r w:rsidRPr="00E869A4">
        <w:rPr>
          <w:rFonts w:ascii="Times New Roman" w:eastAsia="Times New Roman" w:hAnsi="Times New Roman" w:cs="Times New Roman"/>
        </w:rPr>
        <w:t>caregivers, who also had to juggle other competing responsibilities and interests, such as balancing work in the formal sector, caring for other relatives (e.g. a s</w:t>
      </w:r>
      <w:r w:rsidR="007554CC" w:rsidRPr="00E869A4">
        <w:rPr>
          <w:rFonts w:ascii="Times New Roman" w:eastAsia="Times New Roman" w:hAnsi="Times New Roman" w:cs="Times New Roman"/>
        </w:rPr>
        <w:t>pouse and/or children and grand</w:t>
      </w:r>
      <w:r w:rsidRPr="00E869A4">
        <w:rPr>
          <w:rFonts w:ascii="Times New Roman" w:eastAsia="Times New Roman" w:hAnsi="Times New Roman" w:cs="Times New Roman"/>
        </w:rPr>
        <w:t xml:space="preserve">children), decline in their own health, and the anticipatory and cumulative grief some experienced while caring for an older relative who was in a stage of gradual or rapid decline. Their situation was made even more challenging by the difficulties encountered when trying to obtain adequate and affordable medical care for their older relative and for themselves, support from other relatives, as well as suitable and affordable paid </w:t>
      </w:r>
      <w:r w:rsidR="003957F8" w:rsidRPr="00E869A4">
        <w:rPr>
          <w:rFonts w:ascii="Times New Roman" w:eastAsia="Times New Roman" w:hAnsi="Times New Roman" w:cs="Times New Roman"/>
        </w:rPr>
        <w:t>care worker</w:t>
      </w:r>
      <w:r w:rsidRPr="00E869A4">
        <w:rPr>
          <w:rFonts w:ascii="Times New Roman" w:eastAsia="Times New Roman" w:hAnsi="Times New Roman" w:cs="Times New Roman"/>
        </w:rPr>
        <w:t xml:space="preserve">s to supplement the care that family members and friends provided. Ziettlow’s </w:t>
      </w:r>
      <w:r w:rsidR="00B14AE0" w:rsidRPr="00E869A4">
        <w:rPr>
          <w:rFonts w:ascii="Times New Roman" w:eastAsia="Times New Roman" w:hAnsi="Times New Roman" w:cs="Times New Roman"/>
        </w:rPr>
        <w:t xml:space="preserve">(2019, p. 22) </w:t>
      </w:r>
      <w:r w:rsidRPr="00E869A4">
        <w:rPr>
          <w:rFonts w:ascii="Times New Roman" w:eastAsia="Times New Roman" w:hAnsi="Times New Roman" w:cs="Times New Roman"/>
        </w:rPr>
        <w:t xml:space="preserve">description of American family caregivers in a </w:t>
      </w:r>
      <w:r w:rsidR="007D631D" w:rsidRPr="00E869A4">
        <w:rPr>
          <w:rFonts w:ascii="Times New Roman" w:eastAsia="Times New Roman" w:hAnsi="Times New Roman" w:cs="Times New Roman"/>
        </w:rPr>
        <w:t>case study</w:t>
      </w:r>
      <w:r w:rsidRPr="00E869A4">
        <w:rPr>
          <w:rFonts w:ascii="Times New Roman" w:eastAsia="Times New Roman" w:hAnsi="Times New Roman" w:cs="Times New Roman"/>
        </w:rPr>
        <w:t xml:space="preserve"> she conducted in Illinois provides an uncanny reflection of the experiences of the caregivers in the current study:</w:t>
      </w:r>
    </w:p>
    <w:p w14:paraId="1C60984B" w14:textId="77777777" w:rsidR="004F33B6" w:rsidRPr="00E869A4" w:rsidRDefault="004F33B6" w:rsidP="004A5479">
      <w:pPr>
        <w:spacing w:line="240" w:lineRule="auto"/>
        <w:rPr>
          <w:rFonts w:ascii="Times New Roman" w:eastAsia="Times New Roman" w:hAnsi="Times New Roman" w:cs="Times New Roman"/>
        </w:rPr>
      </w:pPr>
    </w:p>
    <w:p w14:paraId="16B73BB2" w14:textId="33F7D648" w:rsidR="004F33B6" w:rsidRPr="00E869A4" w:rsidRDefault="004F33B6" w:rsidP="00302EE8">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 xml:space="preserve">[F]amily caregivers are often exhausted. They exhaust their savings account to pay for [c]are. They exhaust their minds in thinking of new solutions to mobility, therapy, or residential challenges. They exhaust their bodies, often compromising their own health needs, to remain present to a loved one in need. They exhaust their creativity in finding ways to balance work and care demands because all care journeys require periods of leave from employment. Despite their weariness, they are proud to be caregivers. </w:t>
      </w:r>
    </w:p>
    <w:p w14:paraId="157B76E0" w14:textId="5622310F" w:rsidR="004F33B6" w:rsidRPr="00E869A4" w:rsidRDefault="008F3222" w:rsidP="00302EE8">
      <w:pPr>
        <w:ind w:firstLine="0"/>
        <w:rPr>
          <w:rFonts w:ascii="Times New Roman" w:eastAsia="Times New Roman" w:hAnsi="Times New Roman" w:cs="Times New Roman"/>
        </w:rPr>
      </w:pPr>
      <w:r w:rsidRPr="00E869A4">
        <w:rPr>
          <w:rFonts w:ascii="Times New Roman" w:eastAsia="Times New Roman" w:hAnsi="Times New Roman" w:cs="Times New Roman"/>
        </w:rPr>
        <w:lastRenderedPageBreak/>
        <w:t>Alt</w:t>
      </w:r>
      <w:r w:rsidR="004F33B6" w:rsidRPr="00E869A4">
        <w:rPr>
          <w:rFonts w:ascii="Times New Roman" w:eastAsia="Times New Roman" w:hAnsi="Times New Roman" w:cs="Times New Roman"/>
        </w:rPr>
        <w:t xml:space="preserve">hough her study </w:t>
      </w:r>
      <w:r w:rsidR="007D631D" w:rsidRPr="00E869A4">
        <w:rPr>
          <w:rFonts w:ascii="Times New Roman" w:eastAsia="Times New Roman" w:hAnsi="Times New Roman" w:cs="Times New Roman"/>
        </w:rPr>
        <w:t>wa</w:t>
      </w:r>
      <w:r w:rsidR="004F33B6" w:rsidRPr="00E869A4">
        <w:rPr>
          <w:rFonts w:ascii="Times New Roman" w:eastAsia="Times New Roman" w:hAnsi="Times New Roman" w:cs="Times New Roman"/>
        </w:rPr>
        <w:t xml:space="preserve">s based on the experiences of caregivers in a country that is considerably more developed than T&amp;T, it mirrors the mixed experiences of family caregivers and older persons in </w:t>
      </w:r>
      <w:r w:rsidRPr="00E869A4">
        <w:rPr>
          <w:rFonts w:ascii="Times New Roman" w:eastAsia="Times New Roman" w:hAnsi="Times New Roman" w:cs="Times New Roman"/>
        </w:rPr>
        <w:t>this</w:t>
      </w:r>
      <w:r w:rsidR="004F33B6" w:rsidRPr="00E869A4">
        <w:rPr>
          <w:rFonts w:ascii="Times New Roman" w:eastAsia="Times New Roman" w:hAnsi="Times New Roman" w:cs="Times New Roman"/>
        </w:rPr>
        <w:t xml:space="preserve"> study.</w:t>
      </w:r>
    </w:p>
    <w:p w14:paraId="0E79DD02" w14:textId="3C8C1F7B"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 </w:t>
      </w:r>
    </w:p>
    <w:p w14:paraId="74203D53" w14:textId="77777777" w:rsidR="004F33B6" w:rsidRPr="00E869A4" w:rsidRDefault="004F33B6" w:rsidP="004F33B6">
      <w:pPr>
        <w:pStyle w:val="Heading4"/>
      </w:pPr>
      <w:r w:rsidRPr="00E869A4">
        <w:t>Factors Impacting on the Experience of Care</w:t>
      </w:r>
    </w:p>
    <w:p w14:paraId="13DD8610" w14:textId="77777777" w:rsidR="004F33B6" w:rsidRPr="00E869A4" w:rsidRDefault="004F33B6" w:rsidP="004F33B6">
      <w:pPr>
        <w:rPr>
          <w:rFonts w:ascii="Times New Roman" w:eastAsia="Times New Roman" w:hAnsi="Times New Roman" w:cs="Times New Roman"/>
        </w:rPr>
      </w:pPr>
    </w:p>
    <w:p w14:paraId="2931DB1D" w14:textId="2CC9DBE3"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Among the main factors that influenced how family caregivers assessed their care experiences in this study were</w:t>
      </w:r>
      <w:r w:rsidR="00302EE8" w:rsidRPr="00E869A4">
        <w:rPr>
          <w:rFonts w:ascii="Times New Roman" w:eastAsia="Times New Roman" w:hAnsi="Times New Roman" w:cs="Times New Roman"/>
        </w:rPr>
        <w:t>,</w:t>
      </w:r>
      <w:r w:rsidRPr="00E869A4">
        <w:rPr>
          <w:rFonts w:ascii="Times New Roman" w:eastAsia="Times New Roman" w:hAnsi="Times New Roman" w:cs="Times New Roman"/>
        </w:rPr>
        <w:t xml:space="preserve"> other caregiving demands and responsibilities, as well as access to informal and formal support. </w:t>
      </w:r>
      <w:r w:rsidR="002C6163" w:rsidRPr="00E869A4">
        <w:rPr>
          <w:rFonts w:ascii="Times New Roman" w:eastAsia="Times New Roman" w:hAnsi="Times New Roman" w:cs="Times New Roman"/>
        </w:rPr>
        <w:t>Generally,</w:t>
      </w:r>
      <w:r w:rsidRPr="00E869A4">
        <w:rPr>
          <w:rFonts w:ascii="Times New Roman" w:eastAsia="Times New Roman" w:hAnsi="Times New Roman" w:cs="Times New Roman"/>
        </w:rPr>
        <w:t xml:space="preserve"> the findings were mixed for several variables such as employment status, place of residence relative to that of the older person, intensity and duration of elder care. The results were inconclusive for variables such as age and gender. </w:t>
      </w:r>
      <w:r w:rsidR="00302EE8" w:rsidRPr="00E869A4">
        <w:rPr>
          <w:rFonts w:ascii="Times New Roman" w:eastAsia="Times New Roman" w:hAnsi="Times New Roman" w:cs="Times New Roman"/>
        </w:rPr>
        <w:t xml:space="preserve"> </w:t>
      </w:r>
      <w:r w:rsidRPr="00E869A4">
        <w:rPr>
          <w:rFonts w:ascii="Times New Roman" w:eastAsia="Times New Roman" w:hAnsi="Times New Roman" w:cs="Times New Roman"/>
        </w:rPr>
        <w:t>Carers who provided intense care to a relative(s) that passed away</w:t>
      </w:r>
      <w:r w:rsidR="00512D2F" w:rsidRPr="00E869A4">
        <w:rPr>
          <w:rFonts w:ascii="Times New Roman" w:eastAsia="Times New Roman" w:hAnsi="Times New Roman" w:cs="Times New Roman"/>
        </w:rPr>
        <w:t xml:space="preserve"> (e.g. Samantha and Susan)</w:t>
      </w:r>
      <w:r w:rsidRPr="00E869A4">
        <w:rPr>
          <w:rFonts w:ascii="Times New Roman" w:eastAsia="Times New Roman" w:hAnsi="Times New Roman" w:cs="Times New Roman"/>
        </w:rPr>
        <w:t xml:space="preserve"> were more likely to experience considerable emotional strain when caring for another relative.  However, the degree of strain they experienced was linked to the number of persons that they provided end-of-life care to, before becoming a primary caregiver to the older relative that they were supporting at the time of the study. A</w:t>
      </w:r>
      <w:r w:rsidR="002C6163" w:rsidRPr="00E869A4">
        <w:rPr>
          <w:rFonts w:ascii="Times New Roman" w:eastAsia="Times New Roman" w:hAnsi="Times New Roman" w:cs="Times New Roman"/>
        </w:rPr>
        <w:t>dditionally</w:t>
      </w:r>
      <w:r w:rsidRPr="00E869A4">
        <w:rPr>
          <w:rFonts w:ascii="Times New Roman" w:eastAsia="Times New Roman" w:hAnsi="Times New Roman" w:cs="Times New Roman"/>
        </w:rPr>
        <w:t xml:space="preserve">, the </w:t>
      </w:r>
      <w:r w:rsidR="002C6163" w:rsidRPr="00E869A4">
        <w:rPr>
          <w:rFonts w:ascii="Times New Roman" w:eastAsia="Times New Roman" w:hAnsi="Times New Roman" w:cs="Times New Roman"/>
        </w:rPr>
        <w:t>time</w:t>
      </w:r>
      <w:r w:rsidRPr="00E869A4">
        <w:rPr>
          <w:rFonts w:ascii="Times New Roman" w:eastAsia="Times New Roman" w:hAnsi="Times New Roman" w:cs="Times New Roman"/>
        </w:rPr>
        <w:t xml:space="preserve"> between providing care to their deceased relative and the current </w:t>
      </w:r>
      <w:r w:rsidR="009E2738" w:rsidRPr="00E869A4">
        <w:rPr>
          <w:rFonts w:ascii="Times New Roman" w:eastAsia="Times New Roman" w:hAnsi="Times New Roman" w:cs="Times New Roman"/>
        </w:rPr>
        <w:t>care recipient</w:t>
      </w:r>
      <w:r w:rsidRPr="00E869A4">
        <w:rPr>
          <w:rFonts w:ascii="Times New Roman" w:eastAsia="Times New Roman" w:hAnsi="Times New Roman" w:cs="Times New Roman"/>
        </w:rPr>
        <w:t xml:space="preserve"> was another critical factor that </w:t>
      </w:r>
      <w:r w:rsidR="002C6163" w:rsidRPr="00E869A4">
        <w:rPr>
          <w:rFonts w:ascii="Times New Roman" w:eastAsia="Times New Roman" w:hAnsi="Times New Roman" w:cs="Times New Roman"/>
        </w:rPr>
        <w:t>affected</w:t>
      </w:r>
      <w:r w:rsidRPr="00E869A4">
        <w:rPr>
          <w:rFonts w:ascii="Times New Roman" w:eastAsia="Times New Roman" w:hAnsi="Times New Roman" w:cs="Times New Roman"/>
        </w:rPr>
        <w:t xml:space="preserve"> their care experience</w:t>
      </w:r>
      <w:r w:rsidRPr="00E869A4">
        <w:rPr>
          <w:rStyle w:val="FootnoteReference"/>
          <w:rFonts w:eastAsia="Times New Roman" w:cs="Times New Roman"/>
        </w:rPr>
        <w:footnoteReference w:id="90"/>
      </w:r>
      <w:r w:rsidRPr="00E869A4">
        <w:rPr>
          <w:rFonts w:ascii="Times New Roman" w:eastAsia="Times New Roman" w:hAnsi="Times New Roman" w:cs="Times New Roman"/>
        </w:rPr>
        <w:t xml:space="preserve">. </w:t>
      </w:r>
    </w:p>
    <w:p w14:paraId="76500C22" w14:textId="77777777" w:rsidR="002C6163" w:rsidRPr="00E869A4" w:rsidRDefault="002C6163" w:rsidP="004F33B6">
      <w:pPr>
        <w:rPr>
          <w:rFonts w:ascii="Times New Roman" w:eastAsia="Times New Roman" w:hAnsi="Times New Roman" w:cs="Times New Roman"/>
        </w:rPr>
      </w:pPr>
    </w:p>
    <w:p w14:paraId="056FE188" w14:textId="02A74465"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Several of the participants were </w:t>
      </w:r>
      <w:r w:rsidRPr="00E869A4">
        <w:rPr>
          <w:rFonts w:ascii="Times New Roman" w:eastAsia="Times New Roman" w:hAnsi="Times New Roman" w:cs="Times New Roman"/>
          <w:i/>
        </w:rPr>
        <w:t>sandwich carers</w:t>
      </w:r>
      <w:r w:rsidRPr="00E869A4">
        <w:rPr>
          <w:rFonts w:ascii="Times New Roman" w:eastAsia="Times New Roman" w:hAnsi="Times New Roman" w:cs="Times New Roman"/>
        </w:rPr>
        <w:t xml:space="preserve">, providing care to persons of multiple ages and stages in life simultaneously. These sandwich carers included parents and grandparents with considerable care responsibility for their children and grandchildren. This added to the strain experienced by caregivers who had to use ingenious approaches to manage the various demands they faced. Numerous studies have been conducted over the years on the challenges experienced by sandwich carers (e.g. Brody 2003; Grundy &amp; Henretta 2006; Miller 1981; Neal &amp; Hammer 2017; Pierret 2006; Riley &amp; Bowen 2005; Spillman &amp; Pezzin 2000). The approaches the participants in this study used to manage their multiple care </w:t>
      </w:r>
      <w:r w:rsidRPr="00E869A4">
        <w:rPr>
          <w:rFonts w:ascii="Times New Roman" w:eastAsia="Times New Roman" w:hAnsi="Times New Roman" w:cs="Times New Roman"/>
        </w:rPr>
        <w:lastRenderedPageBreak/>
        <w:t xml:space="preserve">responsibilities are discussed in more detail in the section below on Coping and Care Management Strategies. </w:t>
      </w:r>
    </w:p>
    <w:p w14:paraId="302BCBE4" w14:textId="77777777" w:rsidR="004F33B6" w:rsidRPr="00E869A4" w:rsidRDefault="004F33B6" w:rsidP="004F33B6">
      <w:pPr>
        <w:ind w:firstLine="720"/>
        <w:rPr>
          <w:rFonts w:ascii="Times New Roman" w:eastAsia="Times New Roman" w:hAnsi="Times New Roman" w:cs="Times New Roman"/>
        </w:rPr>
      </w:pPr>
    </w:p>
    <w:p w14:paraId="106DD4CC" w14:textId="209006A0"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Most participants identified inadequate health and social care services</w:t>
      </w:r>
      <w:r w:rsidRPr="00E869A4">
        <w:rPr>
          <w:rStyle w:val="FootnoteReference"/>
          <w:rFonts w:eastAsia="Times New Roman" w:cs="Times New Roman"/>
        </w:rPr>
        <w:footnoteReference w:id="91"/>
      </w:r>
      <w:r w:rsidRPr="00E869A4">
        <w:rPr>
          <w:rFonts w:ascii="Times New Roman" w:eastAsia="Times New Roman" w:hAnsi="Times New Roman" w:cs="Times New Roman"/>
        </w:rPr>
        <w:t xml:space="preserve"> as a main challenge, resulting in a strong negative effect on how they experienced family elder care. These sentiments are consistent with the findings of Rawlins and Spencer’s (2002) study of caregiving in T&amp;T. Although universal health care is provided to citizens, and there have been consistent increases in public health spending between 2005 and 2014, gaps in service provision and a questionable quality of care were reflected in the responses provided by participants. This is consistent with the findings of the Welch Committee, which concluded that value was not being achieved in the sector and there is an urgent need to upgrade the system (Welch et al. 2016, p. 5). </w:t>
      </w:r>
      <w:r w:rsidR="002C6163" w:rsidRPr="00E869A4">
        <w:rPr>
          <w:rFonts w:ascii="Times New Roman" w:eastAsia="Times New Roman" w:hAnsi="Times New Roman" w:cs="Times New Roman"/>
        </w:rPr>
        <w:t>E</w:t>
      </w:r>
      <w:r w:rsidRPr="00E869A4">
        <w:rPr>
          <w:rFonts w:ascii="Times New Roman" w:eastAsia="Times New Roman" w:hAnsi="Times New Roman" w:cs="Times New Roman"/>
        </w:rPr>
        <w:t>ven in instances where free public services were available to meet the needs of older persons, the survey information revealed that many participants were not aware of the services on offer</w:t>
      </w:r>
      <w:r w:rsidRPr="00E869A4">
        <w:rPr>
          <w:rStyle w:val="FootnoteReference"/>
          <w:rFonts w:eastAsia="Times New Roman" w:cs="Times New Roman"/>
        </w:rPr>
        <w:footnoteReference w:id="92"/>
      </w:r>
      <w:r w:rsidRPr="00E869A4">
        <w:rPr>
          <w:rFonts w:ascii="Times New Roman" w:eastAsia="Times New Roman" w:hAnsi="Times New Roman" w:cs="Times New Roman"/>
        </w:rPr>
        <w:t xml:space="preserve"> and this despite the existence of the Older Persons Information Centre (OPIC), which is a help desk that was launched by the Ministry of Social Development in 2005. </w:t>
      </w:r>
    </w:p>
    <w:p w14:paraId="608948AF" w14:textId="77777777" w:rsidR="004F33B6" w:rsidRPr="00E869A4" w:rsidRDefault="004F33B6" w:rsidP="004F33B6">
      <w:pPr>
        <w:rPr>
          <w:rFonts w:ascii="Times New Roman" w:eastAsia="Times New Roman" w:hAnsi="Times New Roman" w:cs="Times New Roman"/>
        </w:rPr>
      </w:pPr>
    </w:p>
    <w:p w14:paraId="0DB652B8" w14:textId="1434AB53"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Since the close of this study’s survey, the Ministry of Social Development and Family Services has undertaken its Public Education and Information Sensiti</w:t>
      </w:r>
      <w:r w:rsidR="00302EE8" w:rsidRPr="00E869A4">
        <w:rPr>
          <w:rFonts w:ascii="Times New Roman" w:eastAsia="Times New Roman" w:hAnsi="Times New Roman" w:cs="Times New Roman"/>
        </w:rPr>
        <w:t>s</w:t>
      </w:r>
      <w:r w:rsidRPr="00E869A4">
        <w:rPr>
          <w:rFonts w:ascii="Times New Roman" w:eastAsia="Times New Roman" w:hAnsi="Times New Roman" w:cs="Times New Roman"/>
        </w:rPr>
        <w:t>ation (PIES) sessions</w:t>
      </w:r>
      <w:r w:rsidR="002C6163" w:rsidRPr="00E869A4">
        <w:rPr>
          <w:rFonts w:ascii="Times New Roman" w:eastAsia="Times New Roman" w:hAnsi="Times New Roman" w:cs="Times New Roman"/>
        </w:rPr>
        <w:t>.</w:t>
      </w:r>
      <w:r w:rsidRPr="00E869A4">
        <w:rPr>
          <w:rFonts w:ascii="Times New Roman" w:eastAsia="Times New Roman" w:hAnsi="Times New Roman" w:cs="Times New Roman"/>
        </w:rPr>
        <w:t xml:space="preserve"> </w:t>
      </w:r>
      <w:r w:rsidR="002C6163" w:rsidRPr="00E869A4">
        <w:rPr>
          <w:rFonts w:ascii="Times New Roman" w:eastAsia="Times New Roman" w:hAnsi="Times New Roman" w:cs="Times New Roman"/>
        </w:rPr>
        <w:t>T</w:t>
      </w:r>
      <w:r w:rsidRPr="00E869A4">
        <w:rPr>
          <w:rFonts w:ascii="Times New Roman" w:eastAsia="Times New Roman" w:hAnsi="Times New Roman" w:cs="Times New Roman"/>
        </w:rPr>
        <w:t xml:space="preserve">his initiative </w:t>
      </w:r>
      <w:r w:rsidR="002C6163" w:rsidRPr="00E869A4">
        <w:rPr>
          <w:rFonts w:ascii="Times New Roman" w:eastAsia="Times New Roman" w:hAnsi="Times New Roman" w:cs="Times New Roman"/>
        </w:rPr>
        <w:t>wa</w:t>
      </w:r>
      <w:r w:rsidRPr="00E869A4">
        <w:rPr>
          <w:rFonts w:ascii="Times New Roman" w:eastAsia="Times New Roman" w:hAnsi="Times New Roman" w:cs="Times New Roman"/>
        </w:rPr>
        <w:t>s designed</w:t>
      </w:r>
      <w:r w:rsidRPr="00E869A4">
        <w:rPr>
          <w:rStyle w:val="FootnoteReference"/>
          <w:rFonts w:eastAsia="Times New Roman" w:cs="Times New Roman"/>
        </w:rPr>
        <w:t xml:space="preserve"> </w:t>
      </w:r>
      <w:r w:rsidRPr="00E869A4">
        <w:rPr>
          <w:rFonts w:ascii="Times New Roman" w:eastAsia="Times New Roman" w:hAnsi="Times New Roman" w:cs="Times New Roman"/>
        </w:rPr>
        <w:t xml:space="preserve">to inform the nation about all available services that may be beneficial to older persons and the public at large. It is unclear if these sessions have increased public awareness of older persons and their family caregivers about </w:t>
      </w:r>
      <w:r w:rsidR="002C6163" w:rsidRPr="00E869A4">
        <w:rPr>
          <w:rFonts w:ascii="Times New Roman" w:eastAsia="Times New Roman" w:hAnsi="Times New Roman" w:cs="Times New Roman"/>
        </w:rPr>
        <w:t>S</w:t>
      </w:r>
      <w:r w:rsidRPr="00E869A4">
        <w:rPr>
          <w:rFonts w:ascii="Times New Roman" w:eastAsia="Times New Roman" w:hAnsi="Times New Roman" w:cs="Times New Roman"/>
        </w:rPr>
        <w:t>tate services that they can access, because at the time of the writing of this thesis, an impact assessment had not been co</w:t>
      </w:r>
      <w:r w:rsidR="00302EE8" w:rsidRPr="00E869A4">
        <w:rPr>
          <w:rFonts w:ascii="Times New Roman" w:eastAsia="Times New Roman" w:hAnsi="Times New Roman" w:cs="Times New Roman"/>
        </w:rPr>
        <w:t>mple</w:t>
      </w:r>
      <w:r w:rsidRPr="00E869A4">
        <w:rPr>
          <w:rFonts w:ascii="Times New Roman" w:eastAsia="Times New Roman" w:hAnsi="Times New Roman" w:cs="Times New Roman"/>
        </w:rPr>
        <w:t xml:space="preserve">ted on the effect of these sessions. This notwithstanding, the sessions are a positive step in closing the information gap that was apparent from the responses of participants. </w:t>
      </w:r>
    </w:p>
    <w:p w14:paraId="26901AF6" w14:textId="6A69B067" w:rsidR="004F33B6" w:rsidRPr="00E869A4" w:rsidRDefault="004F33B6" w:rsidP="004F33B6">
      <w:pPr>
        <w:rPr>
          <w:rFonts w:ascii="Times New Roman" w:eastAsia="Calibri" w:hAnsi="Times New Roman" w:cs="Times New Roman"/>
          <w:u w:val="single"/>
        </w:rPr>
      </w:pPr>
    </w:p>
    <w:p w14:paraId="0167191A" w14:textId="06E53542" w:rsidR="004F33B6" w:rsidRPr="00E869A4" w:rsidRDefault="004F33B6" w:rsidP="004F33B6">
      <w:pPr>
        <w:pStyle w:val="Heading4"/>
      </w:pPr>
      <w:r w:rsidRPr="00E869A4">
        <w:t>Mixed Results</w:t>
      </w:r>
    </w:p>
    <w:p w14:paraId="6B3AA3BA" w14:textId="77777777" w:rsidR="004F33B6" w:rsidRPr="00E869A4" w:rsidRDefault="004F33B6" w:rsidP="004F33B6">
      <w:pPr>
        <w:rPr>
          <w:rFonts w:ascii="Times New Roman" w:eastAsia="Times New Roman" w:hAnsi="Times New Roman" w:cs="Times New Roman"/>
        </w:rPr>
      </w:pPr>
    </w:p>
    <w:p w14:paraId="43A819FF" w14:textId="0657F968"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Family elder care was a challenging experience irrespective of the carers’ employment status. For those who were involved in formal work outside the home on a full-time basis</w:t>
      </w:r>
      <w:r w:rsidR="002B393E" w:rsidRPr="00E869A4">
        <w:rPr>
          <w:rFonts w:ascii="Times New Roman" w:eastAsia="Times New Roman" w:hAnsi="Times New Roman" w:cs="Times New Roman"/>
        </w:rPr>
        <w:t xml:space="preserve"> (e.g. Sheila and Rebecca)</w:t>
      </w:r>
      <w:r w:rsidRPr="00E869A4">
        <w:rPr>
          <w:rFonts w:ascii="Times New Roman" w:eastAsia="Times New Roman" w:hAnsi="Times New Roman" w:cs="Times New Roman"/>
        </w:rPr>
        <w:t xml:space="preserve">, </w:t>
      </w:r>
      <w:r w:rsidRPr="00E869A4">
        <w:rPr>
          <w:rFonts w:ascii="Times New Roman" w:eastAsia="Times New Roman" w:hAnsi="Times New Roman" w:cs="Times New Roman"/>
        </w:rPr>
        <w:lastRenderedPageBreak/>
        <w:t xml:space="preserve">caregiving was very difficult, </w:t>
      </w:r>
      <w:r w:rsidR="00490BF0" w:rsidRPr="00E869A4">
        <w:rPr>
          <w:rFonts w:ascii="Times New Roman" w:eastAsia="Times New Roman" w:hAnsi="Times New Roman" w:cs="Times New Roman"/>
        </w:rPr>
        <w:t>al</w:t>
      </w:r>
      <w:r w:rsidRPr="00E869A4">
        <w:rPr>
          <w:rFonts w:ascii="Times New Roman" w:eastAsia="Times New Roman" w:hAnsi="Times New Roman" w:cs="Times New Roman"/>
        </w:rPr>
        <w:t>though rewarding. Employed carers</w:t>
      </w:r>
      <w:r w:rsidR="002B393E" w:rsidRPr="00E869A4">
        <w:rPr>
          <w:rFonts w:ascii="Times New Roman" w:eastAsia="Times New Roman" w:hAnsi="Times New Roman" w:cs="Times New Roman"/>
        </w:rPr>
        <w:t xml:space="preserve"> (e.g. Rebecca and Adelina)</w:t>
      </w:r>
      <w:r w:rsidRPr="00E869A4">
        <w:rPr>
          <w:rFonts w:ascii="Times New Roman" w:eastAsia="Times New Roman" w:hAnsi="Times New Roman" w:cs="Times New Roman"/>
        </w:rPr>
        <w:t xml:space="preserve"> depended on paid care workers to supplement their care while they were at work. But finding suitable and affordable care workers was often tricky and made the experience of providing care particularly challenging. </w:t>
      </w:r>
      <w:r w:rsidR="002C6163" w:rsidRPr="00E869A4">
        <w:rPr>
          <w:rFonts w:ascii="Times New Roman" w:eastAsia="Times New Roman" w:hAnsi="Times New Roman" w:cs="Times New Roman"/>
        </w:rPr>
        <w:t>Because</w:t>
      </w:r>
      <w:r w:rsidRPr="00E869A4">
        <w:rPr>
          <w:rFonts w:ascii="Times New Roman" w:eastAsia="Times New Roman" w:hAnsi="Times New Roman" w:cs="Times New Roman"/>
        </w:rPr>
        <w:t xml:space="preserve"> of this care gap, moderately and highly dependent older persons were sometimes left unattended for extended periods of time when alternative care arrangements could not be made. This added to the anxiety and strain experienced by some carers who were highly motivated to support their older relative, but had to remain employed in the formal sector to meet their personal and other expenses. On the other hand, work was a source of respite for some carers who found full-time family care to be overwhelming</w:t>
      </w:r>
      <w:r w:rsidR="002B393E" w:rsidRPr="00E869A4">
        <w:rPr>
          <w:rFonts w:ascii="Times New Roman" w:eastAsia="Times New Roman" w:hAnsi="Times New Roman" w:cs="Times New Roman"/>
        </w:rPr>
        <w:t xml:space="preserve"> (e.g. Mrs. Sanchez and Rebecca</w:t>
      </w:r>
      <w:r w:rsidR="002B393E" w:rsidRPr="00E869A4">
        <w:rPr>
          <w:rStyle w:val="FootnoteReference"/>
          <w:rFonts w:ascii="Times New Roman" w:eastAsia="Times New Roman" w:hAnsi="Times New Roman" w:cs="Times New Roman"/>
          <w:vertAlign w:val="baseline"/>
        </w:rPr>
        <w:t>)</w:t>
      </w:r>
      <w:r w:rsidRPr="00E869A4">
        <w:rPr>
          <w:rFonts w:ascii="Times New Roman" w:eastAsia="Times New Roman" w:hAnsi="Times New Roman" w:cs="Times New Roman"/>
        </w:rPr>
        <w:t xml:space="preserve">. Thus, caregiver employment had a mixed effect on how carers assessed family elder care provision. </w:t>
      </w:r>
    </w:p>
    <w:p w14:paraId="22FA2195" w14:textId="77777777"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 </w:t>
      </w:r>
    </w:p>
    <w:p w14:paraId="6264FC83" w14:textId="680BF4DD"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Geographical proximity also had a varied impact on how care was experienced. Older persons were more likely to view their care experience as challenging when their preferred caregiver lived a considerable distance from them and was unable to visit them frequently. There were also instances where the preferred caregiver lived on another island</w:t>
      </w:r>
      <w:r w:rsidR="002B393E" w:rsidRPr="00E869A4">
        <w:rPr>
          <w:rFonts w:ascii="Times New Roman" w:eastAsia="Times New Roman" w:hAnsi="Times New Roman" w:cs="Times New Roman"/>
        </w:rPr>
        <w:t xml:space="preserve"> (e.g. Lakshmi</w:t>
      </w:r>
      <w:r w:rsidR="002B393E" w:rsidRPr="00E869A4">
        <w:rPr>
          <w:rStyle w:val="FootnoteReference"/>
          <w:rFonts w:ascii="Times New Roman" w:eastAsia="Times New Roman" w:hAnsi="Times New Roman" w:cs="Times New Roman"/>
          <w:vertAlign w:val="baseline"/>
        </w:rPr>
        <w:t>)</w:t>
      </w:r>
      <w:r w:rsidRPr="00E869A4">
        <w:rPr>
          <w:rFonts w:ascii="Times New Roman" w:eastAsia="Times New Roman" w:hAnsi="Times New Roman" w:cs="Times New Roman"/>
        </w:rPr>
        <w:t xml:space="preserve"> or in a different country</w:t>
      </w:r>
      <w:r w:rsidR="002B393E" w:rsidRPr="00E869A4">
        <w:rPr>
          <w:rFonts w:ascii="Times New Roman" w:eastAsia="Times New Roman" w:hAnsi="Times New Roman" w:cs="Times New Roman"/>
        </w:rPr>
        <w:t xml:space="preserve"> (e.g. Marian and Prof. Brenda</w:t>
      </w:r>
      <w:r w:rsidR="002B393E" w:rsidRPr="00E869A4">
        <w:rPr>
          <w:rStyle w:val="FootnoteReference"/>
          <w:rFonts w:ascii="Times New Roman" w:eastAsia="Times New Roman" w:hAnsi="Times New Roman" w:cs="Times New Roman"/>
          <w:vertAlign w:val="baseline"/>
        </w:rPr>
        <w:t>)</w:t>
      </w:r>
      <w:r w:rsidRPr="00E869A4">
        <w:rPr>
          <w:rFonts w:ascii="Times New Roman" w:eastAsia="Times New Roman" w:hAnsi="Times New Roman" w:cs="Times New Roman"/>
        </w:rPr>
        <w:t>. For some caregivers, co-residential care was even more challenging than car</w:t>
      </w:r>
      <w:r w:rsidR="00BE19ED" w:rsidRPr="00E869A4">
        <w:rPr>
          <w:rFonts w:ascii="Times New Roman" w:eastAsia="Times New Roman" w:hAnsi="Times New Roman" w:cs="Times New Roman"/>
        </w:rPr>
        <w:t>i</w:t>
      </w:r>
      <w:r w:rsidRPr="00E869A4">
        <w:rPr>
          <w:rFonts w:ascii="Times New Roman" w:eastAsia="Times New Roman" w:hAnsi="Times New Roman" w:cs="Times New Roman"/>
        </w:rPr>
        <w:t xml:space="preserve">ng for a non co-residing relative, as the need to provide care support was ever-present and with little respite. Others reported on the anxiety they experienced about the wellbeing of their relative who lived in a separate location from them. Some </w:t>
      </w:r>
      <w:r w:rsidR="00BE19ED" w:rsidRPr="00E869A4">
        <w:rPr>
          <w:rFonts w:ascii="Times New Roman" w:eastAsia="Times New Roman" w:hAnsi="Times New Roman" w:cs="Times New Roman"/>
        </w:rPr>
        <w:t>long-distance</w:t>
      </w:r>
      <w:r w:rsidRPr="00E869A4">
        <w:rPr>
          <w:rFonts w:ascii="Times New Roman" w:eastAsia="Times New Roman" w:hAnsi="Times New Roman" w:cs="Times New Roman"/>
        </w:rPr>
        <w:t xml:space="preserve"> family carers complained of the increased vulnerability of their older relatives to the machinations of family members and care workers who they felt took advantage of the older person financially and otherwise. The challenge of caring from a distance was usually compounded by the absence of suitable in-home carers, whether paid or unpaid. </w:t>
      </w:r>
      <w:r w:rsidR="00490BF0" w:rsidRPr="00E869A4">
        <w:rPr>
          <w:rFonts w:ascii="Times New Roman" w:eastAsia="Times New Roman" w:hAnsi="Times New Roman" w:cs="Times New Roman"/>
        </w:rPr>
        <w:t>Despite the fact that</w:t>
      </w:r>
      <w:r w:rsidRPr="00E869A4">
        <w:rPr>
          <w:rFonts w:ascii="Times New Roman" w:eastAsia="Times New Roman" w:hAnsi="Times New Roman" w:cs="Times New Roman"/>
        </w:rPr>
        <w:t xml:space="preserve"> commuting over long distances within the country or between islands and nations was especially taxing to these carers, some surmised that allowing their older relative to live in their own home was a positive trade-off given their older relative’s desire to age-in-place. </w:t>
      </w:r>
    </w:p>
    <w:p w14:paraId="57381E0E" w14:textId="77777777" w:rsidR="004F33B6" w:rsidRPr="00E869A4" w:rsidRDefault="004F33B6" w:rsidP="004F33B6">
      <w:pPr>
        <w:rPr>
          <w:rFonts w:ascii="Times New Roman" w:eastAsia="Times New Roman" w:hAnsi="Times New Roman" w:cs="Times New Roman"/>
        </w:rPr>
      </w:pPr>
    </w:p>
    <w:p w14:paraId="1EE5F194" w14:textId="28CD1D1E"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Care factors such as the intensity of care and duration of care, impacted caregivers and recipients in different ways. What was strenuous varied for each individual. For some persons, the intensity and duration of care, while demanding, was less challenging as they were sufficiently trained in elder care techniques. Others were either motivated by religious beliefs to undertake various care responsibilities. </w:t>
      </w:r>
      <w:r w:rsidR="001127FA" w:rsidRPr="00E869A4">
        <w:rPr>
          <w:rFonts w:ascii="Times New Roman" w:eastAsia="Times New Roman" w:hAnsi="Times New Roman" w:cs="Times New Roman"/>
        </w:rPr>
        <w:lastRenderedPageBreak/>
        <w:t>N</w:t>
      </w:r>
      <w:r w:rsidRPr="00E869A4">
        <w:rPr>
          <w:rFonts w:ascii="Times New Roman" w:eastAsia="Times New Roman" w:hAnsi="Times New Roman" w:cs="Times New Roman"/>
        </w:rPr>
        <w:t xml:space="preserve">otwithstanding their commitment to care, many participants found the demands of providing care to be stressful. </w:t>
      </w:r>
    </w:p>
    <w:p w14:paraId="76718338" w14:textId="77777777" w:rsidR="004F33B6" w:rsidRPr="00E869A4" w:rsidRDefault="004F33B6" w:rsidP="004F33B6">
      <w:pPr>
        <w:pStyle w:val="Heading4"/>
      </w:pPr>
    </w:p>
    <w:p w14:paraId="7BC3EDFB" w14:textId="77777777" w:rsidR="004F33B6" w:rsidRPr="00E869A4" w:rsidRDefault="004F33B6" w:rsidP="004F33B6">
      <w:pPr>
        <w:pStyle w:val="Heading4"/>
      </w:pPr>
      <w:r w:rsidRPr="00E869A4">
        <w:t>Older Person’s Experience of Care</w:t>
      </w:r>
    </w:p>
    <w:p w14:paraId="268DB2F1" w14:textId="77777777" w:rsidR="004F33B6" w:rsidRPr="00E869A4" w:rsidRDefault="004F33B6" w:rsidP="004F33B6">
      <w:pPr>
        <w:rPr>
          <w:rFonts w:ascii="Times New Roman" w:eastAsia="Times New Roman" w:hAnsi="Times New Roman" w:cs="Times New Roman"/>
        </w:rPr>
      </w:pPr>
    </w:p>
    <w:p w14:paraId="3926ED32" w14:textId="1BC09E15" w:rsidR="002B393E" w:rsidRPr="00E869A4" w:rsidRDefault="004F33B6">
      <w:pPr>
        <w:rPr>
          <w:rFonts w:ascii="Times New Roman" w:eastAsia="Times New Roman" w:hAnsi="Times New Roman" w:cs="Times New Roman"/>
        </w:rPr>
      </w:pPr>
      <w:r w:rsidRPr="00E869A4">
        <w:rPr>
          <w:rFonts w:ascii="Times New Roman" w:eastAsia="Times New Roman" w:hAnsi="Times New Roman" w:cs="Times New Roman"/>
        </w:rPr>
        <w:t>Older interview participants assessed their care experience as positive or negative based on five caregiver characteristics: 1) compatibility; 2) willingness; 3) ability; 4) availability and; 5) motive. Family care was viewed as a positive experience if</w:t>
      </w:r>
      <w:r w:rsidR="00865F1A" w:rsidRPr="00E869A4">
        <w:rPr>
          <w:rFonts w:ascii="Times New Roman" w:eastAsia="Times New Roman" w:hAnsi="Times New Roman" w:cs="Times New Roman"/>
        </w:rPr>
        <w:t xml:space="preserve"> the family carer</w:t>
      </w:r>
      <w:r w:rsidRPr="00E869A4">
        <w:rPr>
          <w:rFonts w:ascii="Times New Roman" w:eastAsia="Times New Roman" w:hAnsi="Times New Roman" w:cs="Times New Roman"/>
        </w:rPr>
        <w:t xml:space="preserve"> was the preferred relative that the older person believed should provide care (usually an adult daughter rather than a paid care</w:t>
      </w:r>
      <w:r w:rsidR="00517E17" w:rsidRPr="00E869A4">
        <w:rPr>
          <w:rFonts w:ascii="Times New Roman" w:eastAsia="Times New Roman" w:hAnsi="Times New Roman" w:cs="Times New Roman"/>
        </w:rPr>
        <w:t xml:space="preserve"> worker), </w:t>
      </w:r>
      <w:r w:rsidRPr="00E869A4">
        <w:rPr>
          <w:rFonts w:ascii="Times New Roman" w:eastAsia="Times New Roman" w:hAnsi="Times New Roman" w:cs="Times New Roman"/>
        </w:rPr>
        <w:t>was willingly providing care and not doing so grudgingly or for selfish motives such as financial gain, and</w:t>
      </w:r>
      <w:r w:rsidR="00517E17" w:rsidRPr="00E869A4">
        <w:rPr>
          <w:rFonts w:ascii="Times New Roman" w:eastAsia="Times New Roman" w:hAnsi="Times New Roman" w:cs="Times New Roman"/>
        </w:rPr>
        <w:t xml:space="preserve"> </w:t>
      </w:r>
      <w:r w:rsidRPr="00E869A4">
        <w:rPr>
          <w:rFonts w:ascii="Times New Roman" w:eastAsia="Times New Roman" w:hAnsi="Times New Roman" w:cs="Times New Roman"/>
        </w:rPr>
        <w:t>had the knowledge and skill to meet the needs that the older person viewed as essential.</w:t>
      </w:r>
      <w:r w:rsidR="00E30D0E" w:rsidRPr="00E869A4">
        <w:rPr>
          <w:rFonts w:ascii="Times New Roman" w:eastAsia="Times New Roman" w:hAnsi="Times New Roman" w:cs="Times New Roman"/>
        </w:rPr>
        <w:t xml:space="preserve"> </w:t>
      </w:r>
      <w:r w:rsidRPr="00E869A4">
        <w:rPr>
          <w:rFonts w:ascii="Times New Roman" w:eastAsia="Times New Roman" w:hAnsi="Times New Roman" w:cs="Times New Roman"/>
        </w:rPr>
        <w:t>Not surprisingly, some older participants were dissatisfied with their care experience when the care they expected did not match the care they received from their relative. In some instances, the expectations of the older person were reasonable, and the family carer adjusted the care they provided so that their actions were more positively aligned to the desires of their relative. This compromise sometimes resulted in the carer experiencing considerable strain. The need for older persons to maintain a sense of independence was one of the main areas of negotiation and adjustment. At other times, the family caregiver could not provide the care desired by the older person as it resulted in too much caregiver burden. This is discussed in more detail in the section on coping and care management</w:t>
      </w:r>
      <w:r w:rsidR="00E30D0E" w:rsidRPr="00E869A4">
        <w:rPr>
          <w:rFonts w:ascii="Times New Roman" w:eastAsia="Times New Roman" w:hAnsi="Times New Roman" w:cs="Times New Roman"/>
        </w:rPr>
        <w:t xml:space="preserve"> below</w:t>
      </w:r>
      <w:r w:rsidRPr="00E869A4">
        <w:rPr>
          <w:rFonts w:ascii="Times New Roman" w:eastAsia="Times New Roman" w:hAnsi="Times New Roman" w:cs="Times New Roman"/>
        </w:rPr>
        <w:t xml:space="preserve">. </w:t>
      </w:r>
    </w:p>
    <w:p w14:paraId="656D0CAE" w14:textId="77777777" w:rsidR="00E30D0E" w:rsidRPr="00E869A4" w:rsidRDefault="00E30D0E">
      <w:pPr>
        <w:rPr>
          <w:b/>
          <w:i/>
          <w:u w:val="single"/>
        </w:rPr>
      </w:pPr>
    </w:p>
    <w:p w14:paraId="3F0C3433" w14:textId="7CC8A9CC" w:rsidR="004F33B6" w:rsidRPr="00E869A4" w:rsidRDefault="004F33B6" w:rsidP="004F33B6">
      <w:pPr>
        <w:pStyle w:val="Heading4"/>
      </w:pPr>
      <w:r w:rsidRPr="00E869A4">
        <w:t>Relationship between the Determinants and the Experience of Care</w:t>
      </w:r>
    </w:p>
    <w:p w14:paraId="523B6D9B" w14:textId="77777777" w:rsidR="004F33B6" w:rsidRPr="00E869A4" w:rsidRDefault="004F33B6" w:rsidP="004F33B6">
      <w:pPr>
        <w:rPr>
          <w:rFonts w:ascii="Times New Roman" w:eastAsia="Times New Roman" w:hAnsi="Times New Roman" w:cs="Times New Roman"/>
        </w:rPr>
      </w:pPr>
    </w:p>
    <w:p w14:paraId="4CE8AE6C" w14:textId="78C417E0"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initial evidence from this study suggests that the motive for caregiver role acquisition had some influence on how family carers assess the caregiving experience. </w:t>
      </w:r>
      <w:r w:rsidRPr="00E869A4">
        <w:rPr>
          <w:rFonts w:ascii="Times New Roman" w:eastAsia="Times New Roman" w:hAnsi="Times New Roman" w:cs="Times New Roman"/>
          <w:i/>
        </w:rPr>
        <w:t>Inspired care</w:t>
      </w:r>
      <w:r w:rsidR="00E05A9C" w:rsidRPr="00E869A4">
        <w:rPr>
          <w:rFonts w:ascii="Times New Roman" w:eastAsia="Times New Roman" w:hAnsi="Times New Roman" w:cs="Times New Roman"/>
          <w:i/>
        </w:rPr>
        <w:t>,</w:t>
      </w:r>
      <w:r w:rsidRPr="00E869A4">
        <w:rPr>
          <w:rFonts w:ascii="Times New Roman" w:eastAsia="Times New Roman" w:hAnsi="Times New Roman" w:cs="Times New Roman"/>
        </w:rPr>
        <w:t xml:space="preserve"> whether underpinned by spiritual influences, civic-mindedness or love, was usually associated with an overall positive assessment of the care experienced by the family caregiver, even though challenges were identified. </w:t>
      </w:r>
      <w:r w:rsidRPr="00E869A4">
        <w:rPr>
          <w:rFonts w:ascii="Times New Roman" w:eastAsia="Times New Roman" w:hAnsi="Times New Roman" w:cs="Times New Roman"/>
          <w:i/>
        </w:rPr>
        <w:t xml:space="preserve">Required </w:t>
      </w:r>
      <w:r w:rsidRPr="00E869A4">
        <w:rPr>
          <w:rFonts w:ascii="Times New Roman" w:eastAsia="Times New Roman" w:hAnsi="Times New Roman" w:cs="Times New Roman"/>
        </w:rPr>
        <w:t xml:space="preserve">and </w:t>
      </w:r>
      <w:r w:rsidRPr="00E869A4">
        <w:rPr>
          <w:rFonts w:ascii="Times New Roman" w:eastAsia="Times New Roman" w:hAnsi="Times New Roman" w:cs="Times New Roman"/>
          <w:i/>
        </w:rPr>
        <w:t>requited care</w:t>
      </w:r>
      <w:r w:rsidRPr="00E869A4">
        <w:rPr>
          <w:rFonts w:ascii="Times New Roman" w:eastAsia="Times New Roman" w:hAnsi="Times New Roman" w:cs="Times New Roman"/>
        </w:rPr>
        <w:t xml:space="preserve"> were also associated with positive experiences of care, but there was a greater tendency for a negative or neutral view of the care experience to be articulated.</w:t>
      </w:r>
    </w:p>
    <w:p w14:paraId="15783A48" w14:textId="77777777" w:rsidR="004F33B6" w:rsidRPr="00E869A4" w:rsidRDefault="004F33B6" w:rsidP="004F33B6">
      <w:pPr>
        <w:rPr>
          <w:rFonts w:ascii="Times New Roman" w:eastAsia="Times New Roman" w:hAnsi="Times New Roman" w:cs="Times New Roman"/>
        </w:rPr>
      </w:pPr>
    </w:p>
    <w:p w14:paraId="406095DA" w14:textId="3CF88302"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An alignment also seemed to exist between the preferred caregiver characteristics identified by older persons and the determinants of care. </w:t>
      </w:r>
      <w:r w:rsidRPr="00E869A4">
        <w:rPr>
          <w:rFonts w:ascii="Times New Roman" w:eastAsia="Times New Roman" w:hAnsi="Times New Roman" w:cs="Times New Roman"/>
          <w:i/>
        </w:rPr>
        <w:t>Inspired care</w:t>
      </w:r>
      <w:r w:rsidRPr="00E869A4">
        <w:rPr>
          <w:rFonts w:ascii="Times New Roman" w:eastAsia="Times New Roman" w:hAnsi="Times New Roman" w:cs="Times New Roman"/>
        </w:rPr>
        <w:t xml:space="preserve"> (love) and </w:t>
      </w:r>
      <w:r w:rsidRPr="00E869A4">
        <w:rPr>
          <w:rFonts w:ascii="Times New Roman" w:eastAsia="Times New Roman" w:hAnsi="Times New Roman" w:cs="Times New Roman"/>
          <w:i/>
        </w:rPr>
        <w:t>requited care</w:t>
      </w:r>
      <w:r w:rsidRPr="00E869A4">
        <w:rPr>
          <w:rFonts w:ascii="Times New Roman" w:eastAsia="Times New Roman" w:hAnsi="Times New Roman" w:cs="Times New Roman"/>
        </w:rPr>
        <w:t xml:space="preserve"> (duty and respect) were </w:t>
      </w:r>
      <w:r w:rsidRPr="00E869A4">
        <w:rPr>
          <w:rFonts w:ascii="Times New Roman" w:eastAsia="Times New Roman" w:hAnsi="Times New Roman" w:cs="Times New Roman"/>
        </w:rPr>
        <w:lastRenderedPageBreak/>
        <w:t>reflected in th</w:t>
      </w:r>
      <w:r w:rsidR="00E05A9C" w:rsidRPr="00E869A4">
        <w:rPr>
          <w:rFonts w:ascii="Times New Roman" w:eastAsia="Times New Roman" w:hAnsi="Times New Roman" w:cs="Times New Roman"/>
        </w:rPr>
        <w:t xml:space="preserve">e characteristic identified as </w:t>
      </w:r>
      <w:r w:rsidRPr="00E869A4">
        <w:rPr>
          <w:rFonts w:ascii="Times New Roman" w:eastAsia="Times New Roman" w:hAnsi="Times New Roman" w:cs="Times New Roman"/>
          <w:i/>
        </w:rPr>
        <w:t>caregiver motive</w:t>
      </w:r>
      <w:r w:rsidRPr="00E869A4">
        <w:rPr>
          <w:rFonts w:ascii="Times New Roman" w:eastAsia="Times New Roman" w:hAnsi="Times New Roman" w:cs="Times New Roman"/>
        </w:rPr>
        <w:t xml:space="preserve">. Furthermore, </w:t>
      </w:r>
      <w:r w:rsidRPr="00E869A4">
        <w:rPr>
          <w:rFonts w:ascii="Times New Roman" w:eastAsia="Times New Roman" w:hAnsi="Times New Roman" w:cs="Times New Roman"/>
          <w:i/>
        </w:rPr>
        <w:t>inspired care</w:t>
      </w:r>
      <w:r w:rsidRPr="00E869A4">
        <w:rPr>
          <w:rFonts w:ascii="Times New Roman" w:eastAsia="Times New Roman" w:hAnsi="Times New Roman" w:cs="Times New Roman"/>
        </w:rPr>
        <w:t xml:space="preserve"> may be linked to caregiver compatibility and willingness and </w:t>
      </w:r>
      <w:r w:rsidRPr="00E869A4">
        <w:rPr>
          <w:rFonts w:ascii="Times New Roman" w:eastAsia="Times New Roman" w:hAnsi="Times New Roman" w:cs="Times New Roman"/>
          <w:i/>
        </w:rPr>
        <w:t>requited care</w:t>
      </w:r>
      <w:r w:rsidRPr="00E869A4">
        <w:rPr>
          <w:rFonts w:ascii="Times New Roman" w:eastAsia="Times New Roman" w:hAnsi="Times New Roman" w:cs="Times New Roman"/>
        </w:rPr>
        <w:t xml:space="preserve"> to caregiver ability and availability. The distinguishing features of these determinants of care are all a question of intensity or strength of each characteristic. As noted earlier, all carers provided </w:t>
      </w:r>
      <w:r w:rsidRPr="00E869A4">
        <w:rPr>
          <w:rFonts w:ascii="Times New Roman" w:eastAsia="Times New Roman" w:hAnsi="Times New Roman" w:cs="Times New Roman"/>
          <w:i/>
        </w:rPr>
        <w:t>requited care</w:t>
      </w:r>
      <w:r w:rsidRPr="00E869A4">
        <w:rPr>
          <w:rFonts w:ascii="Times New Roman" w:eastAsia="Times New Roman" w:hAnsi="Times New Roman" w:cs="Times New Roman"/>
        </w:rPr>
        <w:t xml:space="preserve">, as duty and reciprocity are strong determinants of care in T&amp;T. Thus, persons providing </w:t>
      </w:r>
      <w:r w:rsidRPr="00E869A4">
        <w:rPr>
          <w:rFonts w:ascii="Times New Roman" w:eastAsia="Times New Roman" w:hAnsi="Times New Roman" w:cs="Times New Roman"/>
          <w:i/>
        </w:rPr>
        <w:t>inspired care</w:t>
      </w:r>
      <w:r w:rsidRPr="00E869A4">
        <w:rPr>
          <w:rFonts w:ascii="Times New Roman" w:eastAsia="Times New Roman" w:hAnsi="Times New Roman" w:cs="Times New Roman"/>
        </w:rPr>
        <w:t xml:space="preserve"> in this study also provided </w:t>
      </w:r>
      <w:r w:rsidRPr="00E869A4">
        <w:rPr>
          <w:rFonts w:ascii="Times New Roman" w:eastAsia="Times New Roman" w:hAnsi="Times New Roman" w:cs="Times New Roman"/>
          <w:i/>
        </w:rPr>
        <w:t>requited care</w:t>
      </w:r>
      <w:r w:rsidRPr="00E869A4">
        <w:rPr>
          <w:rFonts w:ascii="Times New Roman" w:eastAsia="Times New Roman" w:hAnsi="Times New Roman" w:cs="Times New Roman"/>
        </w:rPr>
        <w:t>. However, the reverse was not always true.</w:t>
      </w:r>
      <w:r w:rsidR="00E05A9C" w:rsidRPr="00E869A4">
        <w:rPr>
          <w:rFonts w:ascii="Times New Roman" w:eastAsia="Times New Roman" w:hAnsi="Times New Roman" w:cs="Times New Roman"/>
        </w:rPr>
        <w:t xml:space="preserve"> More extensive study is needed to explore the linkages between these concepts. </w:t>
      </w:r>
    </w:p>
    <w:p w14:paraId="5461A0CA" w14:textId="77777777" w:rsidR="004F33B6" w:rsidRPr="00E869A4" w:rsidRDefault="004F33B6" w:rsidP="004F33B6">
      <w:pPr>
        <w:rPr>
          <w:rFonts w:ascii="Times New Roman" w:eastAsia="Times New Roman" w:hAnsi="Times New Roman" w:cs="Times New Roman"/>
        </w:rPr>
      </w:pPr>
    </w:p>
    <w:p w14:paraId="406241FF" w14:textId="77777777" w:rsidR="004F33B6" w:rsidRPr="00E869A4" w:rsidRDefault="004F33B6" w:rsidP="004F33B6">
      <w:pPr>
        <w:pStyle w:val="Heading4"/>
      </w:pPr>
      <w:r w:rsidRPr="00E869A4">
        <w:t>Inconclusive Findings</w:t>
      </w:r>
    </w:p>
    <w:p w14:paraId="148A9A99" w14:textId="77777777" w:rsidR="004F33B6" w:rsidRPr="00E869A4" w:rsidRDefault="004F33B6" w:rsidP="004F33B6">
      <w:pPr>
        <w:rPr>
          <w:rFonts w:ascii="Times New Roman" w:eastAsia="Times New Roman" w:hAnsi="Times New Roman" w:cs="Times New Roman"/>
        </w:rPr>
      </w:pPr>
    </w:p>
    <w:p w14:paraId="54688B20" w14:textId="3B10DDF8" w:rsidR="004144AF" w:rsidRPr="00E869A4" w:rsidRDefault="006D00F4">
      <w:pPr>
        <w:rPr>
          <w:rFonts w:ascii="Times New Roman" w:eastAsia="Times New Roman" w:hAnsi="Times New Roman" w:cs="Times New Roman"/>
        </w:rPr>
      </w:pPr>
      <w:r w:rsidRPr="00E869A4">
        <w:rPr>
          <w:rFonts w:ascii="Times New Roman" w:eastAsia="Times New Roman" w:hAnsi="Times New Roman" w:cs="Times New Roman"/>
        </w:rPr>
        <w:t>Given</w:t>
      </w:r>
      <w:r w:rsidR="004F33B6" w:rsidRPr="00E869A4">
        <w:rPr>
          <w:rFonts w:ascii="Times New Roman" w:eastAsia="Times New Roman" w:hAnsi="Times New Roman" w:cs="Times New Roman"/>
        </w:rPr>
        <w:t xml:space="preserve"> the small number of male participants in the qualitative study and the non-probability sampling approach used for the survey, </w:t>
      </w:r>
      <w:r w:rsidR="0060160D" w:rsidRPr="00E869A4">
        <w:rPr>
          <w:rFonts w:ascii="Times New Roman" w:eastAsia="Times New Roman" w:hAnsi="Times New Roman" w:cs="Times New Roman"/>
        </w:rPr>
        <w:t>only tentative</w:t>
      </w:r>
      <w:r w:rsidR="004F33B6" w:rsidRPr="00E869A4">
        <w:rPr>
          <w:rFonts w:ascii="Times New Roman" w:eastAsia="Times New Roman" w:hAnsi="Times New Roman" w:cs="Times New Roman"/>
        </w:rPr>
        <w:t xml:space="preserve"> statements could be made about the impact of gender on the caregiver experience. Similarly, this study did not unearth a clear pattern on the relationship between age, race/ethnicity, educational background, type of filial relationship, and marital status on how participants experienced elder care in T&amp;T. Further research will need to be conducted to ascertain whether these variables significantly </w:t>
      </w:r>
      <w:r w:rsidRPr="00E869A4">
        <w:rPr>
          <w:rFonts w:ascii="Times New Roman" w:eastAsia="Times New Roman" w:hAnsi="Times New Roman" w:cs="Times New Roman"/>
        </w:rPr>
        <w:t>influenced</w:t>
      </w:r>
      <w:r w:rsidR="004F33B6" w:rsidRPr="00E869A4">
        <w:rPr>
          <w:rFonts w:ascii="Times New Roman" w:eastAsia="Times New Roman" w:hAnsi="Times New Roman" w:cs="Times New Roman"/>
        </w:rPr>
        <w:t xml:space="preserve"> how family elder care is experienced by persons living in T&amp;T, whether they be caregivers or </w:t>
      </w:r>
      <w:r w:rsidR="009E2738" w:rsidRPr="00E869A4">
        <w:rPr>
          <w:rFonts w:ascii="Times New Roman" w:eastAsia="Times New Roman" w:hAnsi="Times New Roman" w:cs="Times New Roman"/>
        </w:rPr>
        <w:t>care recipient</w:t>
      </w:r>
      <w:r w:rsidR="004F33B6" w:rsidRPr="00E869A4">
        <w:rPr>
          <w:rFonts w:ascii="Times New Roman" w:eastAsia="Times New Roman" w:hAnsi="Times New Roman" w:cs="Times New Roman"/>
        </w:rPr>
        <w:t xml:space="preserve">s.  </w:t>
      </w:r>
      <w:bookmarkStart w:id="439" w:name="_foixgqq278i0" w:colFirst="0" w:colLast="0"/>
      <w:bookmarkStart w:id="440" w:name="_Toc26414888"/>
      <w:bookmarkEnd w:id="439"/>
    </w:p>
    <w:p w14:paraId="11203496" w14:textId="77777777" w:rsidR="00F33007" w:rsidRPr="00E869A4" w:rsidRDefault="00F33007">
      <w:pPr>
        <w:rPr>
          <w:b/>
          <w:i/>
          <w:u w:val="single"/>
        </w:rPr>
      </w:pPr>
    </w:p>
    <w:p w14:paraId="08D8FBE4" w14:textId="2F15A10A" w:rsidR="004F33B6" w:rsidRPr="00E869A4" w:rsidRDefault="004F33B6" w:rsidP="005C449C">
      <w:pPr>
        <w:pStyle w:val="Heading3"/>
      </w:pPr>
      <w:bookmarkStart w:id="441" w:name="_Toc40436590"/>
      <w:r w:rsidRPr="00E869A4">
        <w:t>1</w:t>
      </w:r>
      <w:r w:rsidR="0048754D" w:rsidRPr="00E869A4">
        <w:t>0</w:t>
      </w:r>
      <w:r w:rsidRPr="00E869A4">
        <w:t>.2.3     Coping and Care Management</w:t>
      </w:r>
      <w:bookmarkEnd w:id="440"/>
      <w:bookmarkEnd w:id="441"/>
    </w:p>
    <w:p w14:paraId="07440451" w14:textId="77777777" w:rsidR="004F33B6" w:rsidRPr="00E869A4" w:rsidRDefault="004F33B6" w:rsidP="004F33B6">
      <w:pPr>
        <w:rPr>
          <w:rFonts w:ascii="Times New Roman" w:eastAsia="Times New Roman" w:hAnsi="Times New Roman" w:cs="Times New Roman"/>
        </w:rPr>
      </w:pPr>
    </w:p>
    <w:p w14:paraId="57664A87" w14:textId="77777777"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The care management strategies that were employed by older persons and their caregivers were broadly categorised as </w:t>
      </w:r>
      <w:r w:rsidRPr="00E869A4">
        <w:rPr>
          <w:rFonts w:ascii="Times New Roman" w:hAnsi="Times New Roman" w:cs="Times New Roman"/>
          <w:i/>
        </w:rPr>
        <w:t>accepting</w:t>
      </w:r>
      <w:r w:rsidRPr="00E869A4">
        <w:rPr>
          <w:rFonts w:ascii="Times New Roman" w:hAnsi="Times New Roman" w:cs="Times New Roman"/>
        </w:rPr>
        <w:t xml:space="preserve">, </w:t>
      </w:r>
      <w:r w:rsidRPr="00E869A4">
        <w:rPr>
          <w:rFonts w:ascii="Times New Roman" w:hAnsi="Times New Roman" w:cs="Times New Roman"/>
          <w:i/>
        </w:rPr>
        <w:t>rejecting</w:t>
      </w:r>
      <w:r w:rsidRPr="00E869A4">
        <w:rPr>
          <w:rFonts w:ascii="Times New Roman" w:hAnsi="Times New Roman" w:cs="Times New Roman"/>
        </w:rPr>
        <w:t xml:space="preserve"> or </w:t>
      </w:r>
      <w:r w:rsidRPr="00E869A4">
        <w:rPr>
          <w:rFonts w:ascii="Times New Roman" w:hAnsi="Times New Roman" w:cs="Times New Roman"/>
          <w:i/>
        </w:rPr>
        <w:t>restricting</w:t>
      </w:r>
      <w:r w:rsidRPr="00E869A4">
        <w:rPr>
          <w:rFonts w:ascii="Times New Roman" w:hAnsi="Times New Roman" w:cs="Times New Roman"/>
        </w:rPr>
        <w:t xml:space="preserve"> care. The four main dimensions of care that further distinguished between these strategies were: willingness to provide or accept care, agreement with the proposed care activities, the degree of certainty or uncertainty about care circumstances and available options to meet care needs. These dimensions helped to elucidate areas of congruence and incongruence in the coping and care management strategies used by older persons and their family carers. </w:t>
      </w:r>
    </w:p>
    <w:p w14:paraId="0A45F23D" w14:textId="77777777" w:rsidR="004F33B6" w:rsidRPr="00E869A4" w:rsidRDefault="004F33B6" w:rsidP="004F33B6">
      <w:pPr>
        <w:rPr>
          <w:u w:val="single"/>
        </w:rPr>
      </w:pPr>
    </w:p>
    <w:p w14:paraId="1337C600" w14:textId="77777777" w:rsidR="00C101AD" w:rsidRPr="00E869A4" w:rsidRDefault="00C101AD">
      <w:pPr>
        <w:rPr>
          <w:b/>
          <w:i/>
          <w:u w:val="single"/>
        </w:rPr>
      </w:pPr>
      <w:r w:rsidRPr="00E869A4">
        <w:br w:type="page"/>
      </w:r>
    </w:p>
    <w:p w14:paraId="386AD5CB" w14:textId="66D1A1C4" w:rsidR="004F33B6" w:rsidRPr="00E869A4" w:rsidRDefault="004F33B6" w:rsidP="004F33B6">
      <w:pPr>
        <w:pStyle w:val="Heading4"/>
      </w:pPr>
      <w:r w:rsidRPr="00E869A4">
        <w:lastRenderedPageBreak/>
        <w:t>Care Management Strategies and Dimensions of Care</w:t>
      </w:r>
    </w:p>
    <w:p w14:paraId="75989918" w14:textId="77777777" w:rsidR="004F33B6" w:rsidRPr="00E869A4" w:rsidRDefault="004F33B6" w:rsidP="004F33B6">
      <w:pPr>
        <w:rPr>
          <w:rFonts w:ascii="Times New Roman" w:hAnsi="Times New Roman" w:cs="Times New Roman"/>
        </w:rPr>
      </w:pPr>
    </w:p>
    <w:p w14:paraId="7A363171" w14:textId="6F6AAFB2" w:rsidR="004F33B6" w:rsidRPr="00E869A4" w:rsidRDefault="004F33B6" w:rsidP="004F33B6">
      <w:pPr>
        <w:ind w:firstLine="720"/>
        <w:rPr>
          <w:rFonts w:ascii="Times New Roman" w:hAnsi="Times New Roman" w:cs="Times New Roman"/>
        </w:rPr>
      </w:pPr>
      <w:r w:rsidRPr="00E869A4">
        <w:rPr>
          <w:rFonts w:ascii="Times New Roman" w:hAnsi="Times New Roman" w:cs="Times New Roman"/>
        </w:rPr>
        <w:t xml:space="preserve">The terms </w:t>
      </w:r>
      <w:r w:rsidRPr="00E869A4">
        <w:rPr>
          <w:rFonts w:ascii="Times New Roman" w:hAnsi="Times New Roman" w:cs="Times New Roman"/>
          <w:i/>
        </w:rPr>
        <w:t>agreement</w:t>
      </w:r>
      <w:r w:rsidRPr="00E869A4">
        <w:rPr>
          <w:rFonts w:ascii="Times New Roman" w:hAnsi="Times New Roman" w:cs="Times New Roman"/>
        </w:rPr>
        <w:t xml:space="preserve"> and </w:t>
      </w:r>
      <w:r w:rsidRPr="00E869A4">
        <w:rPr>
          <w:rFonts w:ascii="Times New Roman" w:hAnsi="Times New Roman" w:cs="Times New Roman"/>
          <w:i/>
        </w:rPr>
        <w:t>willingness</w:t>
      </w:r>
      <w:r w:rsidRPr="00E869A4">
        <w:rPr>
          <w:rFonts w:ascii="Times New Roman" w:hAnsi="Times New Roman" w:cs="Times New Roman"/>
        </w:rPr>
        <w:t xml:space="preserve"> are closely related in everyday English usage and are sometimes used interchangeably</w:t>
      </w:r>
      <w:r w:rsidRPr="00E869A4">
        <w:rPr>
          <w:rStyle w:val="FootnoteReference"/>
          <w:rFonts w:cs="Times New Roman"/>
        </w:rPr>
        <w:footnoteReference w:id="93"/>
      </w:r>
      <w:r w:rsidRPr="00E869A4">
        <w:rPr>
          <w:rFonts w:ascii="Times New Roman" w:hAnsi="Times New Roman" w:cs="Times New Roman"/>
        </w:rPr>
        <w:t xml:space="preserve">.  However, for the purpose of this study, </w:t>
      </w:r>
      <w:r w:rsidR="006D00F4" w:rsidRPr="00E869A4">
        <w:rPr>
          <w:rFonts w:ascii="Times New Roman" w:hAnsi="Times New Roman" w:cs="Times New Roman"/>
        </w:rPr>
        <w:t>‘</w:t>
      </w:r>
      <w:r w:rsidRPr="00E869A4">
        <w:rPr>
          <w:rFonts w:ascii="Times New Roman" w:hAnsi="Times New Roman" w:cs="Times New Roman"/>
        </w:rPr>
        <w:t>agreement</w:t>
      </w:r>
      <w:r w:rsidR="006D00F4" w:rsidRPr="00E869A4">
        <w:rPr>
          <w:rFonts w:ascii="Times New Roman" w:hAnsi="Times New Roman" w:cs="Times New Roman"/>
        </w:rPr>
        <w:t>’</w:t>
      </w:r>
      <w:r w:rsidRPr="00E869A4">
        <w:rPr>
          <w:rFonts w:ascii="Times New Roman" w:hAnsi="Times New Roman" w:cs="Times New Roman"/>
        </w:rPr>
        <w:t xml:space="preserve"> refers to care tasks or activities while </w:t>
      </w:r>
      <w:r w:rsidR="006D00F4" w:rsidRPr="00E869A4">
        <w:rPr>
          <w:rFonts w:ascii="Times New Roman" w:hAnsi="Times New Roman" w:cs="Times New Roman"/>
        </w:rPr>
        <w:t>‘</w:t>
      </w:r>
      <w:r w:rsidRPr="00E869A4">
        <w:rPr>
          <w:rFonts w:ascii="Times New Roman" w:hAnsi="Times New Roman" w:cs="Times New Roman"/>
        </w:rPr>
        <w:t>willingness</w:t>
      </w:r>
      <w:r w:rsidR="006D00F4" w:rsidRPr="00E869A4">
        <w:rPr>
          <w:rFonts w:ascii="Times New Roman" w:hAnsi="Times New Roman" w:cs="Times New Roman"/>
        </w:rPr>
        <w:t>’</w:t>
      </w:r>
      <w:r w:rsidRPr="00E869A4">
        <w:rPr>
          <w:rFonts w:ascii="Times New Roman" w:hAnsi="Times New Roman" w:cs="Times New Roman"/>
        </w:rPr>
        <w:t xml:space="preserve"> refers to acceptance (by the family carer) of the caregiver role or, acceptance (by the older person) of the individual providing care. This subtle distinction is important as the data in this study revealed that older persons might accept a family member as their caregiver, whilst at the same time resist some of the care they provided. The opposite is also true. For instance, some of the participants reluctantly accepted the care provided to them because they mistrusted the person, but still accepted the care activity (reserved care acceptance). </w:t>
      </w:r>
    </w:p>
    <w:p w14:paraId="489E34A6" w14:textId="77777777" w:rsidR="006D00F4" w:rsidRPr="00E869A4" w:rsidRDefault="006D00F4" w:rsidP="004F33B6">
      <w:pPr>
        <w:ind w:firstLine="720"/>
        <w:rPr>
          <w:rFonts w:ascii="Times New Roman" w:hAnsi="Times New Roman" w:cs="Times New Roman"/>
        </w:rPr>
      </w:pPr>
    </w:p>
    <w:p w14:paraId="6847481B" w14:textId="7AD69FB4" w:rsidR="004F33B6" w:rsidRPr="00E869A4" w:rsidRDefault="004F33B6" w:rsidP="00F8738B">
      <w:pPr>
        <w:rPr>
          <w:rFonts w:ascii="Times New Roman" w:hAnsi="Times New Roman" w:cs="Times New Roman"/>
        </w:rPr>
      </w:pPr>
      <w:r w:rsidRPr="00E869A4">
        <w:rPr>
          <w:rFonts w:ascii="Times New Roman" w:hAnsi="Times New Roman" w:cs="Times New Roman"/>
        </w:rPr>
        <w:t xml:space="preserve">Variation was also observed in the willingness and agreement of family caregivers to assist older persons with their care needs. Some willing carers for example, restricted the care they provided in response to the preferences of their older relative, or because of the constraints, they themselves had in providing care. The </w:t>
      </w:r>
      <w:r w:rsidRPr="00E869A4">
        <w:rPr>
          <w:rFonts w:ascii="Times New Roman" w:hAnsi="Times New Roman" w:cs="Times New Roman"/>
          <w:i/>
        </w:rPr>
        <w:t>selective care strategy</w:t>
      </w:r>
      <w:r w:rsidRPr="00E869A4">
        <w:rPr>
          <w:rFonts w:ascii="Times New Roman" w:hAnsi="Times New Roman" w:cs="Times New Roman"/>
        </w:rPr>
        <w:t xml:space="preserve"> which is one subset of this approach</w:t>
      </w:r>
      <w:r w:rsidR="003B2CAD" w:rsidRPr="00E869A4">
        <w:rPr>
          <w:rFonts w:ascii="Times New Roman" w:hAnsi="Times New Roman" w:cs="Times New Roman"/>
        </w:rPr>
        <w:t>,</w:t>
      </w:r>
      <w:r w:rsidRPr="00E869A4">
        <w:rPr>
          <w:rFonts w:ascii="Times New Roman" w:hAnsi="Times New Roman" w:cs="Times New Roman"/>
        </w:rPr>
        <w:t xml:space="preserve"> refers to situations where the family caregiver willingly provided care but, what they were willing to do did not fully align with their older relative’s preference. On other occasions, there was a reversal in this strategy whereby the family carer desired to assist with specific care duties, but limited their care support in accordance with their relative’s request (</w:t>
      </w:r>
      <w:r w:rsidRPr="00E869A4">
        <w:rPr>
          <w:rFonts w:ascii="Times New Roman" w:hAnsi="Times New Roman" w:cs="Times New Roman"/>
          <w:i/>
        </w:rPr>
        <w:t>restrained caregiving</w:t>
      </w:r>
      <w:r w:rsidRPr="00E869A4">
        <w:rPr>
          <w:rFonts w:ascii="Times New Roman" w:hAnsi="Times New Roman" w:cs="Times New Roman"/>
        </w:rPr>
        <w:t>). Respecting the need for their older relative to exercise autonomy was one of the factors that motivated the use of a restrained caregiving strategy. These restrictive care practices were evident in other studies such as that conducted by Funk (2010, p. 57), who observed that Canadian adult-children set limits on care provision given their parents' active attempts to exert their own agency. Funk note</w:t>
      </w:r>
      <w:r w:rsidR="000E6648" w:rsidRPr="00E869A4">
        <w:rPr>
          <w:rFonts w:ascii="Times New Roman" w:hAnsi="Times New Roman" w:cs="Times New Roman"/>
        </w:rPr>
        <w:t>d</w:t>
      </w:r>
      <w:r w:rsidRPr="00E869A4">
        <w:rPr>
          <w:rFonts w:ascii="Times New Roman" w:hAnsi="Times New Roman" w:cs="Times New Roman"/>
        </w:rPr>
        <w:t xml:space="preserve"> that family carers experienced ambivalence, guilt and uncertainty about their caregiving approaches as they sought to resolve their desire to respect parental independence and their commitment to filial responsibility (Funk 2010). </w:t>
      </w:r>
    </w:p>
    <w:p w14:paraId="16B9AFB5" w14:textId="77777777" w:rsidR="00F8738B" w:rsidRPr="00E869A4" w:rsidRDefault="00F8738B" w:rsidP="00F8738B">
      <w:pPr>
        <w:rPr>
          <w:rFonts w:ascii="Times New Roman" w:eastAsia="Times New Roman" w:hAnsi="Times New Roman" w:cs="Times New Roman"/>
        </w:rPr>
      </w:pPr>
    </w:p>
    <w:p w14:paraId="11A61A9D" w14:textId="246AF2F4" w:rsidR="004F33B6" w:rsidRPr="00E869A4" w:rsidRDefault="004F33B6" w:rsidP="004F33B6">
      <w:pPr>
        <w:rPr>
          <w:rFonts w:ascii="Times New Roman" w:hAnsi="Times New Roman" w:cs="Times New Roman"/>
        </w:rPr>
      </w:pPr>
      <w:r w:rsidRPr="00E869A4">
        <w:rPr>
          <w:rFonts w:ascii="Times New Roman" w:hAnsi="Times New Roman" w:cs="Times New Roman"/>
        </w:rPr>
        <w:lastRenderedPageBreak/>
        <w:t xml:space="preserve">Some participants shared their disappointment </w:t>
      </w:r>
      <w:r w:rsidR="00F8738B" w:rsidRPr="00E869A4">
        <w:rPr>
          <w:rFonts w:ascii="Times New Roman" w:hAnsi="Times New Roman" w:cs="Times New Roman"/>
        </w:rPr>
        <w:t>about</w:t>
      </w:r>
      <w:r w:rsidRPr="00E869A4">
        <w:rPr>
          <w:rFonts w:ascii="Times New Roman" w:hAnsi="Times New Roman" w:cs="Times New Roman"/>
        </w:rPr>
        <w:t xml:space="preserve"> relatives who were deemed the most likely candidate to provide care</w:t>
      </w:r>
      <w:r w:rsidRPr="00E869A4">
        <w:rPr>
          <w:rStyle w:val="FootnoteReference"/>
          <w:rFonts w:cs="Times New Roman"/>
        </w:rPr>
        <w:footnoteReference w:id="94"/>
      </w:r>
      <w:r w:rsidRPr="00E869A4">
        <w:rPr>
          <w:rFonts w:ascii="Times New Roman" w:hAnsi="Times New Roman" w:cs="Times New Roman"/>
        </w:rPr>
        <w:t xml:space="preserve"> but rejected the caregiving role altogether. Their reports suggest that some family members either overtly (</w:t>
      </w:r>
      <w:r w:rsidRPr="00E869A4">
        <w:rPr>
          <w:rFonts w:ascii="Times New Roman" w:hAnsi="Times New Roman" w:cs="Times New Roman"/>
          <w:i/>
        </w:rPr>
        <w:t>avoidant care strategy</w:t>
      </w:r>
      <w:r w:rsidRPr="00E869A4">
        <w:rPr>
          <w:rFonts w:ascii="Times New Roman" w:hAnsi="Times New Roman" w:cs="Times New Roman"/>
        </w:rPr>
        <w:t>) or covertly (</w:t>
      </w:r>
      <w:r w:rsidRPr="00E869A4">
        <w:rPr>
          <w:rFonts w:ascii="Times New Roman" w:hAnsi="Times New Roman" w:cs="Times New Roman"/>
          <w:i/>
        </w:rPr>
        <w:t>evading care strategy</w:t>
      </w:r>
      <w:r w:rsidRPr="00E869A4">
        <w:rPr>
          <w:rFonts w:ascii="Times New Roman" w:hAnsi="Times New Roman" w:cs="Times New Roman"/>
        </w:rPr>
        <w:t xml:space="preserve">) absconded from care provision on a consistent or temporary basis. Similarly, some older persons also engaged in rejecting the care on offer. In this regard, this study identified two related but distinct strategies of care that were adopted by older persons to reject care, namely </w:t>
      </w:r>
      <w:r w:rsidR="00F8738B" w:rsidRPr="00E869A4">
        <w:rPr>
          <w:rFonts w:ascii="Times New Roman" w:hAnsi="Times New Roman" w:cs="Times New Roman"/>
          <w:i/>
        </w:rPr>
        <w:t xml:space="preserve">refusing </w:t>
      </w:r>
      <w:r w:rsidRPr="00E869A4">
        <w:rPr>
          <w:rFonts w:ascii="Times New Roman" w:hAnsi="Times New Roman" w:cs="Times New Roman"/>
        </w:rPr>
        <w:t xml:space="preserve"> and </w:t>
      </w:r>
      <w:r w:rsidRPr="00E869A4">
        <w:rPr>
          <w:rFonts w:ascii="Times New Roman" w:hAnsi="Times New Roman" w:cs="Times New Roman"/>
          <w:i/>
        </w:rPr>
        <w:t>resisting</w:t>
      </w:r>
      <w:r w:rsidRPr="00E869A4">
        <w:rPr>
          <w:rFonts w:ascii="Times New Roman" w:hAnsi="Times New Roman" w:cs="Times New Roman"/>
        </w:rPr>
        <w:t xml:space="preserve"> care. Whereas the strategies used by family carers could be distinguished by the level of transparency of the approach used with older persons (i.e. covert vs. overt), the distinction between the rejecting care strategies was based on whether their behaviour was aggressive or not. As noted previously, </w:t>
      </w:r>
      <w:r w:rsidRPr="00E869A4">
        <w:rPr>
          <w:rFonts w:ascii="Times New Roman" w:hAnsi="Times New Roman" w:cs="Times New Roman"/>
          <w:i/>
        </w:rPr>
        <w:t>refusing care</w:t>
      </w:r>
      <w:r w:rsidRPr="00E869A4">
        <w:rPr>
          <w:rFonts w:ascii="Times New Roman" w:hAnsi="Times New Roman" w:cs="Times New Roman"/>
        </w:rPr>
        <w:t xml:space="preserve"> involved the use of non-aggressive, overt, assertive behaviour, while </w:t>
      </w:r>
      <w:r w:rsidRPr="00E869A4">
        <w:rPr>
          <w:rFonts w:ascii="Times New Roman" w:hAnsi="Times New Roman" w:cs="Times New Roman"/>
          <w:i/>
        </w:rPr>
        <w:t>resisting care</w:t>
      </w:r>
      <w:r w:rsidRPr="00E869A4">
        <w:rPr>
          <w:rFonts w:ascii="Times New Roman" w:hAnsi="Times New Roman" w:cs="Times New Roman"/>
        </w:rPr>
        <w:t xml:space="preserve"> was associated with either overt aggressive behaviour or covert passive-aggressive behaviour. </w:t>
      </w:r>
    </w:p>
    <w:p w14:paraId="41825962" w14:textId="77777777" w:rsidR="003B2CAD" w:rsidRPr="00E869A4" w:rsidRDefault="003B2CAD" w:rsidP="004F33B6">
      <w:pPr>
        <w:rPr>
          <w:rFonts w:ascii="Times New Roman" w:hAnsi="Times New Roman" w:cs="Times New Roman"/>
        </w:rPr>
      </w:pPr>
    </w:p>
    <w:p w14:paraId="2C57B49B" w14:textId="3C854F31" w:rsidR="004F33B6" w:rsidRPr="00E869A4" w:rsidRDefault="004F33B6" w:rsidP="004F33B6">
      <w:pPr>
        <w:rPr>
          <w:rFonts w:ascii="Times New Roman" w:eastAsia="Times New Roman" w:hAnsi="Times New Roman" w:cs="Times New Roman"/>
        </w:rPr>
      </w:pPr>
      <w:r w:rsidRPr="00E869A4">
        <w:rPr>
          <w:rFonts w:ascii="Times New Roman" w:hAnsi="Times New Roman" w:cs="Times New Roman"/>
        </w:rPr>
        <w:t xml:space="preserve">Factors such as the extent to which older persons were empowered to express their preferences and have their desires respected, and the degree of resistance from their family carer contributed to the strategy that the older person employed in rejecting care. Barnhart and Peñaloza (2012) for example, identified four types of risky behaviours that were used by older persons to reject help: </w:t>
      </w:r>
      <w:r w:rsidRPr="00E869A4">
        <w:rPr>
          <w:rFonts w:ascii="Times New Roman" w:hAnsi="Times New Roman" w:cs="Times New Roman"/>
          <w:i/>
        </w:rPr>
        <w:t>hashing it out</w:t>
      </w:r>
      <w:r w:rsidRPr="00E869A4">
        <w:rPr>
          <w:rFonts w:ascii="Times New Roman" w:hAnsi="Times New Roman" w:cs="Times New Roman"/>
        </w:rPr>
        <w:t xml:space="preserve"> (outright arguments to persuade others of their capabilities), </w:t>
      </w:r>
      <w:r w:rsidRPr="00E869A4">
        <w:rPr>
          <w:rFonts w:ascii="Times New Roman" w:hAnsi="Times New Roman" w:cs="Times New Roman"/>
          <w:i/>
        </w:rPr>
        <w:t>proving themselves</w:t>
      </w:r>
      <w:r w:rsidRPr="00E869A4">
        <w:rPr>
          <w:rFonts w:ascii="Times New Roman" w:hAnsi="Times New Roman" w:cs="Times New Roman"/>
        </w:rPr>
        <w:t xml:space="preserve"> (engaging in actions that others recommended they don’t do given the risk), </w:t>
      </w:r>
      <w:r w:rsidRPr="00E869A4">
        <w:rPr>
          <w:rFonts w:ascii="Times New Roman" w:hAnsi="Times New Roman" w:cs="Times New Roman"/>
          <w:i/>
        </w:rPr>
        <w:t>preventing participation</w:t>
      </w:r>
      <w:r w:rsidRPr="00E869A4">
        <w:rPr>
          <w:rFonts w:ascii="Times New Roman" w:hAnsi="Times New Roman" w:cs="Times New Roman"/>
        </w:rPr>
        <w:t xml:space="preserve"> (excluding carers from joining them in activities where they believe they will be restricted or demeaned), and </w:t>
      </w:r>
      <w:r w:rsidRPr="00E869A4">
        <w:rPr>
          <w:rFonts w:ascii="Times New Roman" w:hAnsi="Times New Roman" w:cs="Times New Roman"/>
          <w:i/>
        </w:rPr>
        <w:t>hiding their indiscretions</w:t>
      </w:r>
      <w:r w:rsidRPr="00E869A4">
        <w:rPr>
          <w:rFonts w:ascii="Times New Roman" w:hAnsi="Times New Roman" w:cs="Times New Roman"/>
        </w:rPr>
        <w:t xml:space="preserve"> (covertly engaging in behaviour against the advice of family carers). Barnhart and Peñaloza (2012, p. 1134) are of the view that such behaviours are “particularly acute in US culture, where individualism, self-reliance, and independence are highly valued”, thus the need for help may be interpreted by older persons as a threat to their independence and an indication that they are no longer capable and empowered. These findings appear to be relevant to explaining some of the behaviours observed among older persons in T&amp;T. </w:t>
      </w:r>
    </w:p>
    <w:p w14:paraId="3BB8614C" w14:textId="77777777" w:rsidR="004F33B6" w:rsidRPr="00E869A4" w:rsidRDefault="004F33B6" w:rsidP="004F33B6">
      <w:pPr>
        <w:ind w:firstLine="720"/>
        <w:rPr>
          <w:rFonts w:ascii="Times New Roman" w:eastAsia="Times New Roman" w:hAnsi="Times New Roman" w:cs="Times New Roman"/>
        </w:rPr>
      </w:pPr>
    </w:p>
    <w:p w14:paraId="2B7962EC" w14:textId="59128E7B"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In response to the rejection of care by older persons, some carers engaged in strategies such as the provision of </w:t>
      </w:r>
      <w:r w:rsidRPr="00E869A4">
        <w:rPr>
          <w:rFonts w:ascii="Times New Roman" w:hAnsi="Times New Roman" w:cs="Times New Roman"/>
          <w:i/>
        </w:rPr>
        <w:t>enforced care</w:t>
      </w:r>
      <w:r w:rsidRPr="00E869A4">
        <w:rPr>
          <w:rFonts w:ascii="Times New Roman" w:hAnsi="Times New Roman" w:cs="Times New Roman"/>
        </w:rPr>
        <w:t xml:space="preserve"> or </w:t>
      </w:r>
      <w:r w:rsidRPr="00E869A4">
        <w:rPr>
          <w:rFonts w:ascii="Times New Roman" w:hAnsi="Times New Roman" w:cs="Times New Roman"/>
          <w:i/>
        </w:rPr>
        <w:t>surreptitious care</w:t>
      </w:r>
      <w:r w:rsidRPr="00E869A4">
        <w:rPr>
          <w:rFonts w:ascii="Times New Roman" w:hAnsi="Times New Roman" w:cs="Times New Roman"/>
        </w:rPr>
        <w:t xml:space="preserve">. The use of force or covert methods of providing assistance is highly debated in the literature. However, there is some consensus that there are </w:t>
      </w:r>
      <w:r w:rsidRPr="00E869A4">
        <w:rPr>
          <w:rFonts w:ascii="Times New Roman" w:hAnsi="Times New Roman" w:cs="Times New Roman"/>
        </w:rPr>
        <w:lastRenderedPageBreak/>
        <w:t>circumstances in which such practices are appropriate to ensure the wellbeing of the recipient of such actions, such as in situations of crises or where the care recipient suffered from serious mental or physical incapacity (Covert, Rodrigues &amp; Solomon, K 1977; Funk 2010; Ha</w:t>
      </w:r>
      <w:r w:rsidR="00FF1131" w:rsidRPr="00E869A4">
        <w:rPr>
          <w:rFonts w:ascii="Times New Roman" w:hAnsi="Times New Roman" w:cs="Times New Roman"/>
        </w:rPr>
        <w:t>w &amp; Stubbs 2010; Treloar, Beats</w:t>
      </w:r>
      <w:r w:rsidRPr="00E869A4">
        <w:rPr>
          <w:rFonts w:ascii="Times New Roman" w:hAnsi="Times New Roman" w:cs="Times New Roman"/>
        </w:rPr>
        <w:t xml:space="preserve"> &amp; Philpot 2000; Wong, Poon &amp; Hui 2005). But, there is the real risk of dehumanising and disempowering persons who are subject to such approaches. As such, it is advised that the application of covert strategies and the use of force be limited to situations where there are no other suitable options available to meet critical care needs</w:t>
      </w:r>
      <w:r w:rsidRPr="00E869A4">
        <w:rPr>
          <w:rStyle w:val="FootnoteReference"/>
          <w:rFonts w:cs="Times New Roman"/>
        </w:rPr>
        <w:footnoteReference w:id="95"/>
      </w:r>
      <w:r w:rsidRPr="00E869A4">
        <w:rPr>
          <w:rFonts w:ascii="Times New Roman" w:hAnsi="Times New Roman" w:cs="Times New Roman"/>
        </w:rPr>
        <w:t xml:space="preserve">. </w:t>
      </w:r>
    </w:p>
    <w:p w14:paraId="6AD4C80E" w14:textId="77777777" w:rsidR="004F33B6" w:rsidRPr="00E869A4" w:rsidRDefault="004F33B6" w:rsidP="004F33B6">
      <w:pPr>
        <w:rPr>
          <w:rFonts w:ascii="Times New Roman" w:hAnsi="Times New Roman" w:cs="Times New Roman"/>
        </w:rPr>
      </w:pPr>
    </w:p>
    <w:p w14:paraId="000BB681" w14:textId="65D617C8" w:rsidR="004F33B6" w:rsidRPr="00E869A4" w:rsidRDefault="004F33B6" w:rsidP="004F33B6">
      <w:pPr>
        <w:rPr>
          <w:rFonts w:ascii="Times New Roman" w:eastAsia="Times New Roman" w:hAnsi="Times New Roman" w:cs="Times New Roman"/>
        </w:rPr>
      </w:pPr>
      <w:r w:rsidRPr="00E869A4">
        <w:rPr>
          <w:rFonts w:ascii="Times New Roman" w:hAnsi="Times New Roman" w:cs="Times New Roman"/>
        </w:rPr>
        <w:t xml:space="preserve">The results were not limited to situations of incongruence between carer and cared-for persons. There was notable evidence of congruence in the care management strategies used by participants </w:t>
      </w:r>
      <w:r w:rsidRPr="00E869A4">
        <w:rPr>
          <w:rFonts w:ascii="Times New Roman" w:hAnsi="Times New Roman" w:cs="Times New Roman"/>
          <w:i/>
        </w:rPr>
        <w:t xml:space="preserve">vis à vis </w:t>
      </w:r>
      <w:r w:rsidRPr="00E869A4">
        <w:rPr>
          <w:rFonts w:ascii="Times New Roman" w:hAnsi="Times New Roman" w:cs="Times New Roman"/>
        </w:rPr>
        <w:t xml:space="preserve">the preferences of their older </w:t>
      </w:r>
      <w:r w:rsidR="009E2738" w:rsidRPr="00E869A4">
        <w:rPr>
          <w:rFonts w:ascii="Times New Roman" w:hAnsi="Times New Roman" w:cs="Times New Roman"/>
        </w:rPr>
        <w:t>care recipient</w:t>
      </w:r>
      <w:r w:rsidRPr="00E869A4">
        <w:rPr>
          <w:rFonts w:ascii="Times New Roman" w:hAnsi="Times New Roman" w:cs="Times New Roman"/>
        </w:rPr>
        <w:t xml:space="preserve">. This refers to situations where there was harmony between the preferences of the older person and the care provided, and both members of the care dyad were willingly engaged in the care relationship.  However, it is important to note that there were instances when the perceived willingness of the caregiver to provide support did not match with how the caregiver actually felt. Thus, this study distinguished between </w:t>
      </w:r>
      <w:r w:rsidRPr="00E869A4">
        <w:rPr>
          <w:rFonts w:ascii="Times New Roman" w:hAnsi="Times New Roman" w:cs="Times New Roman"/>
          <w:i/>
        </w:rPr>
        <w:t>ardent care acceptance</w:t>
      </w:r>
      <w:r w:rsidRPr="00E869A4">
        <w:rPr>
          <w:rFonts w:ascii="Times New Roman" w:hAnsi="Times New Roman" w:cs="Times New Roman"/>
        </w:rPr>
        <w:t xml:space="preserve"> whereby the older person had a positive view of their caregiver’s willingness to support them, </w:t>
      </w:r>
      <w:r w:rsidR="00490BF0" w:rsidRPr="00E869A4">
        <w:rPr>
          <w:rFonts w:ascii="Times New Roman" w:hAnsi="Times New Roman" w:cs="Times New Roman"/>
        </w:rPr>
        <w:t>al</w:t>
      </w:r>
      <w:r w:rsidRPr="00E869A4">
        <w:rPr>
          <w:rFonts w:ascii="Times New Roman" w:hAnsi="Times New Roman" w:cs="Times New Roman"/>
        </w:rPr>
        <w:t xml:space="preserve">though this perception may or may not be consistent with the caregiver’s perception about their experience and role, and </w:t>
      </w:r>
      <w:r w:rsidRPr="00E869A4">
        <w:rPr>
          <w:rFonts w:ascii="Times New Roman" w:hAnsi="Times New Roman" w:cs="Times New Roman"/>
          <w:i/>
        </w:rPr>
        <w:t>amenable care</w:t>
      </w:r>
      <w:r w:rsidRPr="00E869A4">
        <w:rPr>
          <w:rFonts w:ascii="Times New Roman" w:hAnsi="Times New Roman" w:cs="Times New Roman"/>
        </w:rPr>
        <w:t xml:space="preserve">, where there was clear evidence of the family carer’s willingness to provide support to their older relative. For example, it is possible for an older person to express </w:t>
      </w:r>
      <w:r w:rsidRPr="00E869A4">
        <w:rPr>
          <w:rFonts w:ascii="Times New Roman" w:hAnsi="Times New Roman" w:cs="Times New Roman"/>
          <w:i/>
        </w:rPr>
        <w:t>ardent care acceptance</w:t>
      </w:r>
      <w:r w:rsidRPr="00E869A4">
        <w:rPr>
          <w:rFonts w:ascii="Times New Roman" w:hAnsi="Times New Roman" w:cs="Times New Roman"/>
        </w:rPr>
        <w:t xml:space="preserve"> whilst the caregiver was only engaged in the provision of </w:t>
      </w:r>
      <w:r w:rsidRPr="00E869A4">
        <w:rPr>
          <w:rFonts w:ascii="Times New Roman" w:hAnsi="Times New Roman" w:cs="Times New Roman"/>
          <w:i/>
        </w:rPr>
        <w:t>enduring care</w:t>
      </w:r>
      <w:r w:rsidRPr="00E869A4">
        <w:rPr>
          <w:rFonts w:ascii="Times New Roman" w:hAnsi="Times New Roman" w:cs="Times New Roman"/>
        </w:rPr>
        <w:t xml:space="preserve">, i.e. care that was provided reluctantly because the carer felt constrained by their circumstances. These findings are consistent with the tenets of the sociology of ambivalence that was mentioned earlier. </w:t>
      </w:r>
    </w:p>
    <w:p w14:paraId="66F4C1D2" w14:textId="77777777" w:rsidR="00FD21F5" w:rsidRPr="00E869A4" w:rsidRDefault="00FD21F5" w:rsidP="004F33B6">
      <w:pPr>
        <w:rPr>
          <w:rFonts w:ascii="Times New Roman" w:hAnsi="Times New Roman" w:cs="Times New Roman"/>
        </w:rPr>
      </w:pPr>
    </w:p>
    <w:p w14:paraId="2D604198" w14:textId="6E3D1EBD"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The level of certainty about the resources available to address care needs was another critical dimension that underpinned the coping and care management practices used by participants. The uncertainty associated with access to resources led several of the family carers to employ a </w:t>
      </w:r>
      <w:r w:rsidRPr="00E869A4">
        <w:rPr>
          <w:rFonts w:ascii="Times New Roman" w:hAnsi="Times New Roman" w:cs="Times New Roman"/>
          <w:i/>
        </w:rPr>
        <w:t>deferred care</w:t>
      </w:r>
      <w:r w:rsidRPr="00E869A4">
        <w:rPr>
          <w:rFonts w:ascii="Times New Roman" w:hAnsi="Times New Roman" w:cs="Times New Roman"/>
        </w:rPr>
        <w:t xml:space="preserve"> strategy where they delayed acting to meet a specific need.  Some persons resorted to temporary inaction when the challenges they faced appeared to have no suitable solution at a point in time. This observation </w:t>
      </w:r>
      <w:r w:rsidRPr="00E869A4">
        <w:rPr>
          <w:rFonts w:ascii="Times New Roman" w:hAnsi="Times New Roman" w:cs="Times New Roman"/>
        </w:rPr>
        <w:lastRenderedPageBreak/>
        <w:t xml:space="preserve">is important as it signifies the need to be cautious about ascribing the label of neglect to family caregivers without a full understanding of the constraints they experience in providing support to their older relative. Some ambivalence theorists use the concept of </w:t>
      </w:r>
      <w:r w:rsidRPr="00E869A4">
        <w:rPr>
          <w:rFonts w:ascii="Times New Roman" w:hAnsi="Times New Roman" w:cs="Times New Roman"/>
          <w:i/>
        </w:rPr>
        <w:t>prospective ambivalence</w:t>
      </w:r>
      <w:r w:rsidRPr="00E869A4">
        <w:rPr>
          <w:rFonts w:ascii="Times New Roman" w:hAnsi="Times New Roman" w:cs="Times New Roman"/>
        </w:rPr>
        <w:t xml:space="preserve"> to capture “individuals’ concerns with trying to anticipate needs generated by parental dependency or loss of autonomy, but which remain latent realities, and as such cannot be addressed in the immediate, so that ambivalence remains unresolved</w:t>
      </w:r>
      <w:r w:rsidR="00FD21F5" w:rsidRPr="00E869A4">
        <w:rPr>
          <w:rFonts w:ascii="Times New Roman" w:hAnsi="Times New Roman" w:cs="Times New Roman"/>
        </w:rPr>
        <w:t>.</w:t>
      </w:r>
      <w:r w:rsidRPr="00E869A4">
        <w:rPr>
          <w:rFonts w:ascii="Times New Roman" w:hAnsi="Times New Roman" w:cs="Times New Roman"/>
        </w:rPr>
        <w:t xml:space="preserve">” </w:t>
      </w:r>
      <w:r w:rsidR="00FD21F5" w:rsidRPr="00E869A4">
        <w:rPr>
          <w:rFonts w:ascii="Times New Roman" w:hAnsi="Times New Roman" w:cs="Times New Roman"/>
        </w:rPr>
        <w:t xml:space="preserve">(Hillcoat-Nallétamby &amp; Phillips 2011, p. 207). </w:t>
      </w:r>
      <w:r w:rsidRPr="00E869A4">
        <w:rPr>
          <w:rFonts w:ascii="Times New Roman" w:hAnsi="Times New Roman" w:cs="Times New Roman"/>
        </w:rPr>
        <w:t>Thus, the concept of prospective ambivalence is also useful for explaining how some of the participants in this study responded to the uncertain circumstances they were required to navigate</w:t>
      </w:r>
      <w:r w:rsidR="00FD21F5" w:rsidRPr="00E869A4">
        <w:rPr>
          <w:rFonts w:ascii="Times New Roman" w:hAnsi="Times New Roman" w:cs="Times New Roman"/>
        </w:rPr>
        <w:t>.</w:t>
      </w:r>
      <w:r w:rsidRPr="00E869A4">
        <w:rPr>
          <w:rFonts w:ascii="Times New Roman" w:hAnsi="Times New Roman" w:cs="Times New Roman"/>
        </w:rPr>
        <w:t xml:space="preserve"> </w:t>
      </w:r>
    </w:p>
    <w:p w14:paraId="37AE2BFB" w14:textId="77777777" w:rsidR="003B2CAD" w:rsidRPr="00E869A4" w:rsidRDefault="003B2CAD" w:rsidP="004F33B6">
      <w:pPr>
        <w:rPr>
          <w:rFonts w:ascii="Times New Roman" w:hAnsi="Times New Roman" w:cs="Times New Roman"/>
        </w:rPr>
      </w:pPr>
    </w:p>
    <w:p w14:paraId="60C12C5F" w14:textId="27772AF4" w:rsidR="004F33B6" w:rsidRPr="00E869A4" w:rsidRDefault="004F33B6" w:rsidP="004F33B6">
      <w:pPr>
        <w:rPr>
          <w:rFonts w:ascii="Times New Roman" w:eastAsia="Times New Roman" w:hAnsi="Times New Roman" w:cs="Times New Roman"/>
        </w:rPr>
      </w:pPr>
      <w:r w:rsidRPr="00E869A4">
        <w:rPr>
          <w:rFonts w:ascii="Times New Roman" w:hAnsi="Times New Roman" w:cs="Times New Roman"/>
        </w:rPr>
        <w:t xml:space="preserve">Another response to uncertainty by family caregivers involved the use of serendipitous </w:t>
      </w:r>
      <w:r w:rsidRPr="00E869A4">
        <w:rPr>
          <w:rFonts w:ascii="Times New Roman" w:hAnsi="Times New Roman" w:cs="Times New Roman"/>
          <w:i/>
        </w:rPr>
        <w:t>emergent care</w:t>
      </w:r>
      <w:r w:rsidRPr="00E869A4">
        <w:rPr>
          <w:rFonts w:ascii="Times New Roman" w:hAnsi="Times New Roman" w:cs="Times New Roman"/>
        </w:rPr>
        <w:t xml:space="preserve"> strategies that they themselves could not have planned for or predicted given their circumstances. In many instances, this serendipitous approach was applied to learning by ‘trial and error’ to care for an older relative. Several interviewees admitted to learning by trial and error. A related finding from the survey was the desire of caregivers for more information on how to support their older relatives. These results are consistent with the observations made by Schulz (2016) about the trial and error learning techniques used by carers in America. </w:t>
      </w:r>
    </w:p>
    <w:p w14:paraId="6DD035A4" w14:textId="77777777" w:rsidR="004F33B6" w:rsidRPr="00E869A4" w:rsidRDefault="004F33B6" w:rsidP="004F33B6">
      <w:pPr>
        <w:ind w:firstLine="720"/>
        <w:rPr>
          <w:rFonts w:ascii="Times New Roman" w:eastAsia="Times New Roman" w:hAnsi="Times New Roman" w:cs="Times New Roman"/>
        </w:rPr>
      </w:pPr>
    </w:p>
    <w:p w14:paraId="67A6BB74" w14:textId="77777777" w:rsidR="004F33B6" w:rsidRPr="00E869A4" w:rsidRDefault="004F33B6" w:rsidP="004F33B6">
      <w:pPr>
        <w:rPr>
          <w:rFonts w:ascii="Times New Roman" w:eastAsia="Times New Roman" w:hAnsi="Times New Roman" w:cs="Times New Roman"/>
        </w:rPr>
      </w:pPr>
      <w:r w:rsidRPr="00E869A4">
        <w:rPr>
          <w:rFonts w:ascii="Times New Roman" w:hAnsi="Times New Roman" w:cs="Times New Roman"/>
        </w:rPr>
        <w:t xml:space="preserve">Serendipitous care management was also strongly evident in the approach used by family carers to hire informal care workers. Based on the interview findings, all care workers mentioned were hired using referrals obtained from friends and/or relatives in the social network of the primary family caregiver or the older cared-for person. Closely related to this emergent care management approach were the </w:t>
      </w:r>
      <w:r w:rsidRPr="00E869A4">
        <w:rPr>
          <w:rFonts w:ascii="Times New Roman" w:hAnsi="Times New Roman" w:cs="Times New Roman"/>
          <w:i/>
        </w:rPr>
        <w:t>ad hoc</w:t>
      </w:r>
      <w:r w:rsidRPr="00E869A4">
        <w:rPr>
          <w:rFonts w:ascii="Times New Roman" w:hAnsi="Times New Roman" w:cs="Times New Roman"/>
        </w:rPr>
        <w:t xml:space="preserve"> arrangements that were employed by carers to compensate care workers for the services they provided. Some families paid the care worker above minimum wage while others did not meet the minimum wage standard. Others provided in-kind benefits and services to supplement cash payments. However, the lack of a clearly defined fair wage contract contributed to tensions in the relationship between the care worker and the family caregiver or perpetuated economic injustice towards those hired to do care work. In light of the negative fallout associated with such arrangements, this study recommends that set guidelines and support be provided to families and care workers which promote fair hiring practices and improve the recruitment process. This and other recommendations are discussed further in the section below on social policy considerations. </w:t>
      </w:r>
    </w:p>
    <w:p w14:paraId="02723A1F" w14:textId="77777777" w:rsidR="004F33B6" w:rsidRPr="00E869A4" w:rsidRDefault="004F33B6" w:rsidP="004F33B6">
      <w:pPr>
        <w:ind w:firstLine="720"/>
        <w:rPr>
          <w:rFonts w:ascii="Times New Roman" w:eastAsia="Times New Roman" w:hAnsi="Times New Roman" w:cs="Times New Roman"/>
        </w:rPr>
      </w:pPr>
    </w:p>
    <w:p w14:paraId="732C56BB" w14:textId="34A3DF73" w:rsidR="004F33B6" w:rsidRPr="00E869A4" w:rsidRDefault="004F33B6" w:rsidP="004F33B6">
      <w:pPr>
        <w:rPr>
          <w:rFonts w:ascii="Times New Roman" w:hAnsi="Times New Roman" w:cs="Times New Roman"/>
        </w:rPr>
      </w:pPr>
      <w:r w:rsidRPr="00E869A4">
        <w:rPr>
          <w:rFonts w:ascii="Times New Roman" w:hAnsi="Times New Roman" w:cs="Times New Roman"/>
        </w:rPr>
        <w:lastRenderedPageBreak/>
        <w:t xml:space="preserve">The serendipitous approach to care management is an important finding as only a few studies identify serendipity as a feature of family care provision (e.g. Hassan &amp; Jamaludin 2014; Menzies 2004).  Further research is needed to understand the significance of serendipitous events on coping and care management strategies employed by persons engaged in family care, and how this </w:t>
      </w:r>
      <w:r w:rsidR="003B2CAD" w:rsidRPr="00E869A4">
        <w:rPr>
          <w:rFonts w:ascii="Times New Roman" w:hAnsi="Times New Roman" w:cs="Times New Roman"/>
        </w:rPr>
        <w:t>affects</w:t>
      </w:r>
      <w:r w:rsidRPr="00E869A4">
        <w:rPr>
          <w:rFonts w:ascii="Times New Roman" w:hAnsi="Times New Roman" w:cs="Times New Roman"/>
        </w:rPr>
        <w:t xml:space="preserve"> the wellbeing of family carers and their older relatives. </w:t>
      </w:r>
    </w:p>
    <w:p w14:paraId="070828DE" w14:textId="77777777" w:rsidR="004F33B6" w:rsidRPr="00E869A4" w:rsidRDefault="004F33B6" w:rsidP="004F33B6">
      <w:pPr>
        <w:ind w:firstLine="720"/>
        <w:rPr>
          <w:rFonts w:ascii="Times New Roman" w:hAnsi="Times New Roman" w:cs="Times New Roman"/>
        </w:rPr>
      </w:pPr>
    </w:p>
    <w:p w14:paraId="5F148A76" w14:textId="2BB9699C" w:rsidR="004F33B6" w:rsidRPr="00E869A4" w:rsidRDefault="004F33B6" w:rsidP="004F33B6">
      <w:pPr>
        <w:rPr>
          <w:rFonts w:ascii="Times New Roman" w:hAnsi="Times New Roman" w:cs="Times New Roman"/>
        </w:rPr>
      </w:pPr>
      <w:r w:rsidRPr="00E869A4">
        <w:rPr>
          <w:rFonts w:ascii="Times New Roman" w:hAnsi="Times New Roman" w:cs="Times New Roman"/>
        </w:rPr>
        <w:t>In assessing the utility of the coping and care management strategies identified in this and other studies, it is important to note that each strategy is neither innately good nor bad (Christenson  &amp; Merritt 2017; Martz, Livneh &amp; Wright 2007).  According to Williams</w:t>
      </w:r>
      <w:r w:rsidR="00201153" w:rsidRPr="00E869A4">
        <w:rPr>
          <w:rFonts w:ascii="Times New Roman" w:hAnsi="Times New Roman" w:cs="Times New Roman"/>
        </w:rPr>
        <w:t>,</w:t>
      </w:r>
      <w:r w:rsidRPr="00E869A4">
        <w:rPr>
          <w:rFonts w:ascii="Times New Roman" w:hAnsi="Times New Roman" w:cs="Times New Roman"/>
        </w:rPr>
        <w:t xml:space="preserve"> coping techniques “become dysfunctional only when used excessively or inappropriately as a way of avoiding dealing with the stressors”</w:t>
      </w:r>
      <w:r w:rsidR="004144AF" w:rsidRPr="00E869A4">
        <w:rPr>
          <w:rFonts w:ascii="Times New Roman" w:hAnsi="Times New Roman" w:cs="Times New Roman"/>
        </w:rPr>
        <w:t xml:space="preserve"> (Williams 2016, p. 228)</w:t>
      </w:r>
      <w:r w:rsidRPr="00E869A4">
        <w:rPr>
          <w:rFonts w:ascii="Times New Roman" w:hAnsi="Times New Roman" w:cs="Times New Roman"/>
        </w:rPr>
        <w:t xml:space="preserve">. The appropriateness of a coping strategy is, for the most part, context related. Flexibility is necessary for ensuring that there is a good fit between the coping strategy that is adopted given the particular circumstances, rather than the rigid application of a strategy or strategies. More research is required on coping and care management strategies of carers and older persons in T&amp;T, in order to ascertain their efficacy and overall impact on the wellbeing of the persons involved in the care relationship. </w:t>
      </w:r>
    </w:p>
    <w:p w14:paraId="3210CB73" w14:textId="77777777" w:rsidR="004F33B6" w:rsidRPr="00E869A4" w:rsidRDefault="004F33B6" w:rsidP="004F33B6">
      <w:pPr>
        <w:rPr>
          <w:rFonts w:ascii="Times New Roman" w:hAnsi="Times New Roman" w:cs="Times New Roman"/>
        </w:rPr>
      </w:pPr>
    </w:p>
    <w:p w14:paraId="4959DAE9" w14:textId="77777777" w:rsidR="004F33B6" w:rsidRPr="00E869A4" w:rsidRDefault="004F33B6" w:rsidP="004F33B6">
      <w:pPr>
        <w:pStyle w:val="Heading4"/>
      </w:pPr>
      <w:r w:rsidRPr="00E869A4">
        <w:t>Theoretical Perspectives on Coping and Care Management</w:t>
      </w:r>
    </w:p>
    <w:p w14:paraId="172FF836" w14:textId="77777777" w:rsidR="004F33B6" w:rsidRPr="00E869A4" w:rsidRDefault="004F33B6" w:rsidP="004F33B6">
      <w:pPr>
        <w:rPr>
          <w:rFonts w:ascii="Times New Roman" w:hAnsi="Times New Roman" w:cs="Times New Roman"/>
        </w:rPr>
      </w:pPr>
    </w:p>
    <w:p w14:paraId="06BD20B1" w14:textId="648E06D0"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It is generally agreed that a political economy perspective examines how social relationships, in particular, the influence of government, class and other power differentials, </w:t>
      </w:r>
      <w:r w:rsidR="003B2CAD" w:rsidRPr="00E869A4">
        <w:rPr>
          <w:rFonts w:ascii="Times New Roman" w:hAnsi="Times New Roman" w:cs="Times New Roman"/>
        </w:rPr>
        <w:t>influence</w:t>
      </w:r>
      <w:r w:rsidRPr="00E869A4">
        <w:rPr>
          <w:rFonts w:ascii="Times New Roman" w:hAnsi="Times New Roman" w:cs="Times New Roman"/>
        </w:rPr>
        <w:t xml:space="preserve"> the production, allocation and use of resources (Wasko 2005). This approach emphasises that institutions, more so than individual actions, have a significant impact on the experiences and outcomes of people. The results of this study provide initial evidence that supports the utility of a political economy perspective for understanding the factors that </w:t>
      </w:r>
      <w:r w:rsidR="003B2CAD" w:rsidRPr="00E869A4">
        <w:rPr>
          <w:rFonts w:ascii="Times New Roman" w:hAnsi="Times New Roman" w:cs="Times New Roman"/>
        </w:rPr>
        <w:t>affect</w:t>
      </w:r>
      <w:r w:rsidRPr="00E869A4">
        <w:rPr>
          <w:rFonts w:ascii="Times New Roman" w:hAnsi="Times New Roman" w:cs="Times New Roman"/>
        </w:rPr>
        <w:t xml:space="preserve"> how family care is experienced and managed. All families, irrespective of the socioeconomic resources available to them, were negatively affected by the inefficiency and gaps in the public and private health and social care services in T&amp;T. Although all families experienced considerable challenges in meeting the health and social care needs of older cared-for persons, well-resourced participants were more likely to have access to better health and social care compared to the other participants. Family caregivers from the upper-middle class were better able to </w:t>
      </w:r>
      <w:r w:rsidRPr="00E869A4">
        <w:rPr>
          <w:rFonts w:ascii="Times New Roman" w:hAnsi="Times New Roman" w:cs="Times New Roman"/>
        </w:rPr>
        <w:lastRenderedPageBreak/>
        <w:t xml:space="preserve">navigate private and public services to supplement care activities. Costa-Font and Zigante’s </w:t>
      </w:r>
      <w:r w:rsidR="00B9575E" w:rsidRPr="00E869A4">
        <w:rPr>
          <w:rFonts w:ascii="Times New Roman" w:hAnsi="Times New Roman" w:cs="Times New Roman"/>
        </w:rPr>
        <w:t xml:space="preserve">(2016, p. 411) </w:t>
      </w:r>
      <w:r w:rsidRPr="00E869A4">
        <w:rPr>
          <w:rFonts w:ascii="Times New Roman" w:hAnsi="Times New Roman" w:cs="Times New Roman"/>
        </w:rPr>
        <w:t xml:space="preserve">assessment of the middle-class appears to </w:t>
      </w:r>
      <w:r w:rsidR="003B2CAD" w:rsidRPr="00E869A4">
        <w:rPr>
          <w:rFonts w:ascii="Times New Roman" w:hAnsi="Times New Roman" w:cs="Times New Roman"/>
        </w:rPr>
        <w:t>be applicable to</w:t>
      </w:r>
      <w:r w:rsidRPr="00E869A4">
        <w:rPr>
          <w:rFonts w:ascii="Times New Roman" w:hAnsi="Times New Roman" w:cs="Times New Roman"/>
        </w:rPr>
        <w:t xml:space="preserve"> the T&amp;T situation: </w:t>
      </w:r>
    </w:p>
    <w:p w14:paraId="4750FECB" w14:textId="77777777" w:rsidR="003B2CAD" w:rsidRPr="00E869A4" w:rsidRDefault="003B2CAD" w:rsidP="00B14AE0">
      <w:pPr>
        <w:spacing w:line="240" w:lineRule="auto"/>
        <w:ind w:left="720"/>
        <w:rPr>
          <w:rFonts w:ascii="Times New Roman" w:hAnsi="Times New Roman" w:cs="Times New Roman"/>
        </w:rPr>
      </w:pPr>
    </w:p>
    <w:p w14:paraId="209BC76C" w14:textId="23527163" w:rsidR="004F33B6" w:rsidRPr="00E869A4" w:rsidRDefault="004F33B6" w:rsidP="00B9575E">
      <w:pPr>
        <w:spacing w:line="240" w:lineRule="auto"/>
        <w:ind w:left="567" w:firstLine="0"/>
        <w:rPr>
          <w:rFonts w:ascii="Times New Roman" w:hAnsi="Times New Roman" w:cs="Times New Roman"/>
        </w:rPr>
      </w:pPr>
      <w:r w:rsidRPr="00E869A4">
        <w:rPr>
          <w:rFonts w:ascii="Times New Roman" w:hAnsi="Times New Roman" w:cs="Times New Roman"/>
        </w:rPr>
        <w:t>The middle class arguably benefits disproportionately from … services and benefits … This is thought to be linked to their ability to navigate services more effectively, enabled by higher levels of education and better social standing</w:t>
      </w:r>
      <w:r w:rsidR="00B9575E" w:rsidRPr="00E869A4">
        <w:rPr>
          <w:rFonts w:ascii="Times New Roman" w:hAnsi="Times New Roman" w:cs="Times New Roman"/>
        </w:rPr>
        <w:t>.</w:t>
      </w:r>
      <w:r w:rsidRPr="00E869A4">
        <w:rPr>
          <w:rFonts w:ascii="Times New Roman" w:hAnsi="Times New Roman" w:cs="Times New Roman"/>
        </w:rPr>
        <w:t xml:space="preserve"> </w:t>
      </w:r>
    </w:p>
    <w:p w14:paraId="1B6AD5F2" w14:textId="77777777" w:rsidR="003B2CAD" w:rsidRPr="00E869A4" w:rsidRDefault="003B2CAD" w:rsidP="00B14AE0">
      <w:pPr>
        <w:spacing w:line="240" w:lineRule="auto"/>
        <w:ind w:left="720"/>
        <w:rPr>
          <w:rFonts w:ascii="Times New Roman" w:hAnsi="Times New Roman" w:cs="Times New Roman"/>
        </w:rPr>
      </w:pPr>
    </w:p>
    <w:p w14:paraId="665832CF" w14:textId="2614DBDE" w:rsidR="004F33B6" w:rsidRPr="00E869A4" w:rsidRDefault="004F33B6" w:rsidP="00201153">
      <w:pPr>
        <w:rPr>
          <w:rFonts w:ascii="Times New Roman" w:eastAsia="Times New Roman" w:hAnsi="Times New Roman" w:cs="Times New Roman"/>
        </w:rPr>
      </w:pPr>
      <w:r w:rsidRPr="00E869A4">
        <w:rPr>
          <w:rFonts w:ascii="Times New Roman" w:hAnsi="Times New Roman" w:cs="Times New Roman"/>
        </w:rPr>
        <w:t xml:space="preserve">‘What you have’ and ‘who you know’ were recurring themes that emerged in discussions about accessing support services in a timely manner in T&amp;T, whether it be from the public or the private sector. However, there were individual </w:t>
      </w:r>
      <w:r w:rsidR="003B2CAD" w:rsidRPr="00E869A4">
        <w:rPr>
          <w:rFonts w:ascii="Times New Roman" w:hAnsi="Times New Roman" w:cs="Times New Roman"/>
        </w:rPr>
        <w:t>decisions, which</w:t>
      </w:r>
      <w:r w:rsidRPr="00E869A4">
        <w:rPr>
          <w:rFonts w:ascii="Times New Roman" w:hAnsi="Times New Roman" w:cs="Times New Roman"/>
        </w:rPr>
        <w:t xml:space="preserve"> negatively </w:t>
      </w:r>
      <w:r w:rsidR="00DC4FC4" w:rsidRPr="00E869A4">
        <w:rPr>
          <w:rFonts w:ascii="Times New Roman" w:hAnsi="Times New Roman" w:cs="Times New Roman"/>
        </w:rPr>
        <w:t>affected</w:t>
      </w:r>
      <w:r w:rsidRPr="00E869A4">
        <w:rPr>
          <w:rFonts w:ascii="Times New Roman" w:hAnsi="Times New Roman" w:cs="Times New Roman"/>
        </w:rPr>
        <w:t xml:space="preserve"> the wellbeing of those who were seemingly well-resourced when compared to their counterparts. Substance abuse </w:t>
      </w:r>
      <w:r w:rsidR="00201153" w:rsidRPr="00E869A4">
        <w:rPr>
          <w:rFonts w:ascii="Times New Roman" w:hAnsi="Times New Roman" w:cs="Times New Roman"/>
        </w:rPr>
        <w:t xml:space="preserve">(e.g. Mr. Sanchez) </w:t>
      </w:r>
      <w:r w:rsidRPr="00E869A4">
        <w:rPr>
          <w:rFonts w:ascii="Times New Roman" w:hAnsi="Times New Roman" w:cs="Times New Roman"/>
        </w:rPr>
        <w:t xml:space="preserve">and poor financial management </w:t>
      </w:r>
      <w:r w:rsidR="00201153" w:rsidRPr="00E869A4">
        <w:rPr>
          <w:rFonts w:ascii="Times New Roman" w:hAnsi="Times New Roman" w:cs="Times New Roman"/>
        </w:rPr>
        <w:t xml:space="preserve">(e.g. Mr. Druman) </w:t>
      </w:r>
      <w:r w:rsidRPr="00E869A4">
        <w:rPr>
          <w:rFonts w:ascii="Times New Roman" w:hAnsi="Times New Roman" w:cs="Times New Roman"/>
        </w:rPr>
        <w:t xml:space="preserve">were some of the </w:t>
      </w:r>
      <w:r w:rsidR="003B2CAD" w:rsidRPr="00E869A4">
        <w:rPr>
          <w:rFonts w:ascii="Times New Roman" w:hAnsi="Times New Roman" w:cs="Times New Roman"/>
        </w:rPr>
        <w:t>practices that</w:t>
      </w:r>
      <w:r w:rsidRPr="00E869A4">
        <w:rPr>
          <w:rFonts w:ascii="Times New Roman" w:hAnsi="Times New Roman" w:cs="Times New Roman"/>
        </w:rPr>
        <w:t xml:space="preserve"> undermined the care options of persons with relatively more financial means, even when they had access to information and various forms of informal and formal support. </w:t>
      </w:r>
      <w:r w:rsidR="00490BF0" w:rsidRPr="00E869A4">
        <w:rPr>
          <w:rFonts w:ascii="Times New Roman" w:hAnsi="Times New Roman" w:cs="Times New Roman"/>
        </w:rPr>
        <w:t>Thus, although</w:t>
      </w:r>
      <w:r w:rsidRPr="00E869A4">
        <w:rPr>
          <w:rFonts w:ascii="Times New Roman" w:hAnsi="Times New Roman" w:cs="Times New Roman"/>
        </w:rPr>
        <w:t xml:space="preserve"> the political economy perspective is useful in </w:t>
      </w:r>
      <w:r w:rsidR="00DC4FC4" w:rsidRPr="00E869A4">
        <w:rPr>
          <w:rFonts w:ascii="Times New Roman" w:hAnsi="Times New Roman" w:cs="Times New Roman"/>
        </w:rPr>
        <w:t>highlighting</w:t>
      </w:r>
      <w:r w:rsidRPr="00E869A4">
        <w:rPr>
          <w:rFonts w:ascii="Times New Roman" w:hAnsi="Times New Roman" w:cs="Times New Roman"/>
        </w:rPr>
        <w:t xml:space="preserve"> the effects of</w:t>
      </w:r>
      <w:r w:rsidR="00EA3646" w:rsidRPr="00E869A4">
        <w:rPr>
          <w:rFonts w:ascii="Times New Roman" w:hAnsi="Times New Roman" w:cs="Times New Roman"/>
        </w:rPr>
        <w:t xml:space="preserve"> multi-dimensional,</w:t>
      </w:r>
      <w:r w:rsidRPr="00E869A4">
        <w:rPr>
          <w:rFonts w:ascii="Times New Roman" w:hAnsi="Times New Roman" w:cs="Times New Roman"/>
        </w:rPr>
        <w:t xml:space="preserve"> macro-structural forces on family elder care practices and experiences, it is insufficient for fully explaining how resources are allocated and used by older persons and their family carers in T&amp;T. </w:t>
      </w:r>
    </w:p>
    <w:p w14:paraId="60A20DC2" w14:textId="77777777" w:rsidR="004F33B6" w:rsidRPr="00E869A4" w:rsidRDefault="004F33B6" w:rsidP="004F33B6">
      <w:pPr>
        <w:ind w:firstLine="720"/>
        <w:rPr>
          <w:rFonts w:ascii="Times New Roman" w:eastAsia="Times New Roman" w:hAnsi="Times New Roman" w:cs="Times New Roman"/>
        </w:rPr>
      </w:pPr>
    </w:p>
    <w:p w14:paraId="43F6AE28" w14:textId="3C6D3C2E" w:rsidR="004F33B6" w:rsidRPr="00E869A4" w:rsidRDefault="004F33B6" w:rsidP="004F33B6">
      <w:pPr>
        <w:rPr>
          <w:rFonts w:ascii="Times New Roman" w:eastAsia="Times New Roman" w:hAnsi="Times New Roman" w:cs="Times New Roman"/>
        </w:rPr>
      </w:pPr>
      <w:r w:rsidRPr="00E869A4">
        <w:rPr>
          <w:rFonts w:ascii="Times New Roman" w:hAnsi="Times New Roman" w:cs="Times New Roman"/>
        </w:rPr>
        <w:t xml:space="preserve">The results of this study provided preliminary support for the use of the </w:t>
      </w:r>
      <w:r w:rsidR="008E694B" w:rsidRPr="00E869A4">
        <w:rPr>
          <w:rFonts w:ascii="Times New Roman" w:hAnsi="Times New Roman" w:cs="Times New Roman"/>
        </w:rPr>
        <w:t>FES</w:t>
      </w:r>
      <w:r w:rsidRPr="00E869A4">
        <w:rPr>
          <w:rFonts w:ascii="Times New Roman" w:hAnsi="Times New Roman" w:cs="Times New Roman"/>
        </w:rPr>
        <w:t xml:space="preserve"> framework for explaining coping and care management practices in family elder care. As was noted in the literature review, the </w:t>
      </w:r>
      <w:r w:rsidR="008E694B" w:rsidRPr="00E869A4">
        <w:rPr>
          <w:rFonts w:ascii="Times New Roman" w:hAnsi="Times New Roman" w:cs="Times New Roman"/>
        </w:rPr>
        <w:t>FES Theory</w:t>
      </w:r>
      <w:r w:rsidRPr="00E869A4">
        <w:rPr>
          <w:rFonts w:ascii="Times New Roman" w:hAnsi="Times New Roman" w:cs="Times New Roman"/>
        </w:rPr>
        <w:t xml:space="preserve"> of Wise, Sneed and Berry (2011) explicitly addresses the micro, meso and macro factors </w:t>
      </w:r>
      <w:r w:rsidR="00DC4FC4" w:rsidRPr="00E869A4">
        <w:rPr>
          <w:rFonts w:ascii="Times New Roman" w:hAnsi="Times New Roman" w:cs="Times New Roman"/>
        </w:rPr>
        <w:t>influencing</w:t>
      </w:r>
      <w:r w:rsidRPr="00E869A4">
        <w:rPr>
          <w:rFonts w:ascii="Times New Roman" w:hAnsi="Times New Roman" w:cs="Times New Roman"/>
        </w:rPr>
        <w:t xml:space="preserve"> coping and care management. The framework acknowledges that on a micro-level, individuals may have some measure of direct control, but this is contingent upon their knowledge, physical capabilities, skills, time, and personal assets. This is useful for explaining the different care management strategies used by carers that belong to similar resource systems. Some of these carers chose different approaches for providing personal care, given differences in their physical streng</w:t>
      </w:r>
      <w:r w:rsidR="00FF2567" w:rsidRPr="00E869A4">
        <w:rPr>
          <w:rFonts w:ascii="Times New Roman" w:hAnsi="Times New Roman" w:cs="Times New Roman"/>
        </w:rPr>
        <w:t>th or technical skill. The meso-</w:t>
      </w:r>
      <w:r w:rsidRPr="00E869A4">
        <w:rPr>
          <w:rFonts w:ascii="Times New Roman" w:hAnsi="Times New Roman" w:cs="Times New Roman"/>
        </w:rPr>
        <w:t>dimension of this model is useful for highlighting how informal social exchanges with neighbours, friends and relatives influence the care management decisions of older persons and their primary carers. The in-depth interviews for th</w:t>
      </w:r>
      <w:r w:rsidR="008F3222" w:rsidRPr="00E869A4">
        <w:rPr>
          <w:rFonts w:ascii="Times New Roman" w:hAnsi="Times New Roman" w:cs="Times New Roman"/>
        </w:rPr>
        <w:t>is</w:t>
      </w:r>
      <w:r w:rsidRPr="00E869A4">
        <w:rPr>
          <w:rFonts w:ascii="Times New Roman" w:hAnsi="Times New Roman" w:cs="Times New Roman"/>
        </w:rPr>
        <w:t xml:space="preserve"> study were replete with examples of how individuals from all three</w:t>
      </w:r>
      <w:r w:rsidR="00DC4FC4" w:rsidRPr="00E869A4">
        <w:rPr>
          <w:rFonts w:ascii="Times New Roman" w:hAnsi="Times New Roman" w:cs="Times New Roman"/>
        </w:rPr>
        <w:t xml:space="preserve"> (3)</w:t>
      </w:r>
      <w:r w:rsidRPr="00E869A4">
        <w:rPr>
          <w:rFonts w:ascii="Times New Roman" w:hAnsi="Times New Roman" w:cs="Times New Roman"/>
        </w:rPr>
        <w:t xml:space="preserve"> resource systems engaged these informal social networks to help fill the </w:t>
      </w:r>
      <w:r w:rsidR="00FF2567" w:rsidRPr="00E869A4">
        <w:rPr>
          <w:rFonts w:ascii="Times New Roman" w:hAnsi="Times New Roman" w:cs="Times New Roman"/>
        </w:rPr>
        <w:t xml:space="preserve">care </w:t>
      </w:r>
      <w:r w:rsidRPr="00E869A4">
        <w:rPr>
          <w:rFonts w:ascii="Times New Roman" w:hAnsi="Times New Roman" w:cs="Times New Roman"/>
        </w:rPr>
        <w:t>gaps at the community and individual level. Connections with friends and neighbours helped carers and their older relatives to access community-level resources and those without such connections experienced relatively more strain in trying to meet their care needs.</w:t>
      </w:r>
    </w:p>
    <w:p w14:paraId="45AA7C17" w14:textId="77777777" w:rsidR="00FF2567" w:rsidRPr="00E869A4" w:rsidRDefault="004F33B6" w:rsidP="004F33B6">
      <w:pPr>
        <w:rPr>
          <w:rFonts w:ascii="Times New Roman" w:hAnsi="Times New Roman" w:cs="Times New Roman"/>
        </w:rPr>
      </w:pPr>
      <w:r w:rsidRPr="00E869A4">
        <w:rPr>
          <w:rFonts w:ascii="Times New Roman" w:hAnsi="Times New Roman" w:cs="Times New Roman"/>
        </w:rPr>
        <w:lastRenderedPageBreak/>
        <w:t xml:space="preserve">The community-level dimension of the framework is useful for showing the influence of formal health and social care systems as well as legislation and policy impacts on the coping and care management practices employed at the micro and meso levels. Generally, in this study, faith-based organisations played a crucial role in providing social and other support to their members. </w:t>
      </w:r>
      <w:r w:rsidR="00DC4FC4" w:rsidRPr="00E869A4">
        <w:rPr>
          <w:rFonts w:ascii="Times New Roman" w:hAnsi="Times New Roman" w:cs="Times New Roman"/>
        </w:rPr>
        <w:t>However</w:t>
      </w:r>
      <w:r w:rsidRPr="00E869A4">
        <w:rPr>
          <w:rFonts w:ascii="Times New Roman" w:hAnsi="Times New Roman" w:cs="Times New Roman"/>
        </w:rPr>
        <w:t xml:space="preserve">, membership in faith-based and community groups did not always result in care support being provided. According to the literature, the difference in the support provided by these groups may, to some degree, be explained by their formal structure, history, and culture (Hayward &amp; Krause 2013). However, no clear pattern was observed in this study to explain this variation. </w:t>
      </w:r>
    </w:p>
    <w:p w14:paraId="6E2299AE" w14:textId="77777777" w:rsidR="00FF2567" w:rsidRPr="00E869A4" w:rsidRDefault="00FF2567" w:rsidP="004F33B6">
      <w:pPr>
        <w:rPr>
          <w:rFonts w:ascii="Times New Roman" w:hAnsi="Times New Roman" w:cs="Times New Roman"/>
        </w:rPr>
      </w:pPr>
    </w:p>
    <w:p w14:paraId="0B6CF593" w14:textId="38674DDB" w:rsidR="004F33B6" w:rsidRPr="00E869A4" w:rsidRDefault="004F33B6" w:rsidP="004F33B6">
      <w:pPr>
        <w:rPr>
          <w:rFonts w:ascii="Times New Roman" w:hAnsi="Times New Roman" w:cs="Times New Roman"/>
        </w:rPr>
      </w:pPr>
      <w:r w:rsidRPr="00E869A4">
        <w:rPr>
          <w:rFonts w:ascii="Times New Roman" w:hAnsi="Times New Roman" w:cs="Times New Roman"/>
        </w:rPr>
        <w:t>The initial evidence suggests that carers and older persons with inadequate macro and meso level supports were especially vulnerable to experiencing incongruence in their care management practices</w:t>
      </w:r>
      <w:r w:rsidR="00DC4FC4" w:rsidRPr="00E869A4">
        <w:rPr>
          <w:rFonts w:ascii="Times New Roman" w:hAnsi="Times New Roman" w:cs="Times New Roman"/>
        </w:rPr>
        <w:t>,</w:t>
      </w:r>
      <w:r w:rsidRPr="00E869A4">
        <w:rPr>
          <w:rFonts w:ascii="Times New Roman" w:hAnsi="Times New Roman" w:cs="Times New Roman"/>
        </w:rPr>
        <w:t xml:space="preserve"> given the limited options available to them in having their care needs met. What was clear from this study was the need to strengthen formal health and social care services at the community level</w:t>
      </w:r>
      <w:r w:rsidR="00DC4FC4" w:rsidRPr="00E869A4">
        <w:rPr>
          <w:rFonts w:ascii="Times New Roman" w:hAnsi="Times New Roman" w:cs="Times New Roman"/>
        </w:rPr>
        <w:t>,</w:t>
      </w:r>
      <w:r w:rsidRPr="00E869A4">
        <w:rPr>
          <w:rFonts w:ascii="Times New Roman" w:hAnsi="Times New Roman" w:cs="Times New Roman"/>
        </w:rPr>
        <w:t xml:space="preserve"> </w:t>
      </w:r>
      <w:r w:rsidR="00DC4FC4" w:rsidRPr="00E869A4">
        <w:rPr>
          <w:rFonts w:ascii="Times New Roman" w:hAnsi="Times New Roman" w:cs="Times New Roman"/>
        </w:rPr>
        <w:t>to</w:t>
      </w:r>
      <w:r w:rsidRPr="00E869A4">
        <w:rPr>
          <w:rFonts w:ascii="Times New Roman" w:hAnsi="Times New Roman" w:cs="Times New Roman"/>
        </w:rPr>
        <w:t xml:space="preserve"> minimise the strain and burden experienced by older persons and their family caregivers. The section that follows discusses this in more detail. </w:t>
      </w:r>
    </w:p>
    <w:p w14:paraId="6E15B61B" w14:textId="77777777" w:rsidR="004F33B6" w:rsidRPr="00E869A4" w:rsidRDefault="004F33B6" w:rsidP="004F33B6">
      <w:pPr>
        <w:rPr>
          <w:rFonts w:ascii="Times New Roman" w:eastAsia="Calibri" w:hAnsi="Times New Roman" w:cs="Times New Roman"/>
          <w:b/>
          <w:u w:val="single"/>
        </w:rPr>
      </w:pPr>
    </w:p>
    <w:p w14:paraId="51F8225E" w14:textId="1BD75A80" w:rsidR="004F33B6" w:rsidRPr="00E869A4" w:rsidRDefault="004F33B6" w:rsidP="005C449C">
      <w:pPr>
        <w:pStyle w:val="Heading3"/>
      </w:pPr>
      <w:bookmarkStart w:id="442" w:name="_Toc26414889"/>
      <w:bookmarkStart w:id="443" w:name="_Toc40436591"/>
      <w:r w:rsidRPr="00E869A4">
        <w:t>1</w:t>
      </w:r>
      <w:r w:rsidR="0048754D" w:rsidRPr="00E869A4">
        <w:t>0</w:t>
      </w:r>
      <w:r w:rsidRPr="00E869A4">
        <w:t>.2.4     Social Policy Considerations</w:t>
      </w:r>
      <w:bookmarkEnd w:id="442"/>
      <w:bookmarkEnd w:id="443"/>
    </w:p>
    <w:p w14:paraId="374B5407" w14:textId="77777777" w:rsidR="004F33B6" w:rsidRPr="00E869A4" w:rsidRDefault="004F33B6" w:rsidP="004F33B6">
      <w:pPr>
        <w:rPr>
          <w:rFonts w:ascii="Times New Roman" w:eastAsia="Times New Roman" w:hAnsi="Times New Roman" w:cs="Times New Roman"/>
        </w:rPr>
      </w:pPr>
    </w:p>
    <w:p w14:paraId="5FE36F40" w14:textId="77777777"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A primary objective of this study was to provide useful social policy recommendations, given the findings of this research. In this regard, a main recommendation that is proffered in this section is the development of a stand-alone policy on family care or alternatively, one that is integrated within other related policies. Another distinct recommendation is the provision of direct programmes and services for family carers. These suggestions, as well as the need to strengthen existing provisions for older persons, form the basis of the discussion that follows. This is juxtaposed against the ongoing international debate on “the conflicting aims of higher expectations of informal caregivers on the one hand and higher labor market participation (to offset the rising costs of our ageing population) on the other hand” (Verbakel et al. 2017, p. 94). </w:t>
      </w:r>
    </w:p>
    <w:p w14:paraId="406EA138" w14:textId="77777777" w:rsidR="00FF2567" w:rsidRPr="00E869A4" w:rsidRDefault="00FF2567" w:rsidP="004F33B6">
      <w:pPr>
        <w:rPr>
          <w:rFonts w:ascii="Times New Roman" w:eastAsia="Times New Roman" w:hAnsi="Times New Roman" w:cs="Times New Roman"/>
        </w:rPr>
      </w:pPr>
    </w:p>
    <w:p w14:paraId="332FDADE" w14:textId="0657F7AC"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More specifically, the suitability of an optional familialism perspective as the basis for national elder care initiatives is proffered. The importance of adopting a person-centred, empowerment perspective in the provision of care and support to older persons and their family carers and</w:t>
      </w:r>
      <w:r w:rsidR="00364910" w:rsidRPr="00E869A4">
        <w:rPr>
          <w:rFonts w:ascii="Times New Roman" w:eastAsia="Times New Roman" w:hAnsi="Times New Roman" w:cs="Times New Roman"/>
        </w:rPr>
        <w:t>,</w:t>
      </w:r>
      <w:r w:rsidRPr="00E869A4">
        <w:rPr>
          <w:rFonts w:ascii="Times New Roman" w:eastAsia="Times New Roman" w:hAnsi="Times New Roman" w:cs="Times New Roman"/>
        </w:rPr>
        <w:t xml:space="preserve"> the value of integrating care </w:t>
      </w:r>
      <w:r w:rsidRPr="00E869A4">
        <w:rPr>
          <w:rFonts w:ascii="Times New Roman" w:eastAsia="Times New Roman" w:hAnsi="Times New Roman" w:cs="Times New Roman"/>
        </w:rPr>
        <w:lastRenderedPageBreak/>
        <w:t xml:space="preserve">services to maximise their accessibility, adequacy and efficiency is underscored. Possible funding solutions for making the proposed policy and programme solutions viable and sustainable are presented. I also consider </w:t>
      </w:r>
      <w:r w:rsidR="00364910" w:rsidRPr="00E869A4">
        <w:rPr>
          <w:rFonts w:ascii="Times New Roman" w:eastAsia="Times New Roman" w:hAnsi="Times New Roman" w:cs="Times New Roman"/>
        </w:rPr>
        <w:t>whether</w:t>
      </w:r>
      <w:r w:rsidRPr="00E869A4">
        <w:rPr>
          <w:rFonts w:ascii="Times New Roman" w:eastAsia="Times New Roman" w:hAnsi="Times New Roman" w:cs="Times New Roman"/>
        </w:rPr>
        <w:t xml:space="preserve"> the expansion of services to meet the needs of family caregivers will result in a substitution or complementarity effect. </w:t>
      </w:r>
    </w:p>
    <w:p w14:paraId="4DEC50B6" w14:textId="77777777" w:rsidR="004F33B6" w:rsidRPr="00E869A4" w:rsidRDefault="004F33B6" w:rsidP="004F33B6">
      <w:pPr>
        <w:rPr>
          <w:rFonts w:ascii="Times New Roman" w:eastAsia="Times New Roman" w:hAnsi="Times New Roman" w:cs="Times New Roman"/>
        </w:rPr>
      </w:pPr>
    </w:p>
    <w:p w14:paraId="7DE13CB1" w14:textId="77777777" w:rsidR="004F33B6" w:rsidRPr="00E869A4" w:rsidRDefault="004F33B6" w:rsidP="004F33B6">
      <w:pPr>
        <w:pStyle w:val="Heading4"/>
      </w:pPr>
      <w:r w:rsidRPr="00E869A4">
        <w:t>Familialism and Elder Care Policy in T&amp;T</w:t>
      </w:r>
    </w:p>
    <w:p w14:paraId="44E245B1" w14:textId="77777777" w:rsidR="004F33B6" w:rsidRPr="00E869A4" w:rsidRDefault="004F33B6" w:rsidP="004F33B6">
      <w:pPr>
        <w:rPr>
          <w:rFonts w:ascii="Times New Roman" w:eastAsia="Times New Roman" w:hAnsi="Times New Roman" w:cs="Times New Roman"/>
        </w:rPr>
      </w:pPr>
    </w:p>
    <w:p w14:paraId="57670D72" w14:textId="5D5F13FB"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 xml:space="preserve">The concepts of </w:t>
      </w:r>
      <w:r w:rsidRPr="00E869A4">
        <w:rPr>
          <w:rFonts w:ascii="Times New Roman" w:eastAsia="Times New Roman" w:hAnsi="Times New Roman" w:cs="Times New Roman"/>
          <w:i/>
        </w:rPr>
        <w:t>familialisation</w:t>
      </w:r>
      <w:r w:rsidRPr="00E869A4">
        <w:rPr>
          <w:rFonts w:ascii="Times New Roman" w:eastAsia="Times New Roman" w:hAnsi="Times New Roman" w:cs="Times New Roman"/>
        </w:rPr>
        <w:t xml:space="preserve"> and </w:t>
      </w:r>
      <w:r w:rsidRPr="00E869A4">
        <w:rPr>
          <w:rFonts w:ascii="Times New Roman" w:eastAsia="Times New Roman" w:hAnsi="Times New Roman" w:cs="Times New Roman"/>
          <w:i/>
        </w:rPr>
        <w:t>de-familialisation</w:t>
      </w:r>
      <w:r w:rsidRPr="00E869A4">
        <w:rPr>
          <w:rFonts w:ascii="Times New Roman" w:eastAsia="Times New Roman" w:hAnsi="Times New Roman" w:cs="Times New Roman"/>
        </w:rPr>
        <w:t xml:space="preserve"> </w:t>
      </w:r>
      <w:r w:rsidR="00364910" w:rsidRPr="00E869A4">
        <w:rPr>
          <w:rFonts w:ascii="Times New Roman" w:eastAsia="Times New Roman" w:hAnsi="Times New Roman" w:cs="Times New Roman"/>
        </w:rPr>
        <w:t>are</w:t>
      </w:r>
      <w:r w:rsidRPr="00E869A4">
        <w:rPr>
          <w:rFonts w:ascii="Times New Roman" w:eastAsia="Times New Roman" w:hAnsi="Times New Roman" w:cs="Times New Roman"/>
        </w:rPr>
        <w:t xml:space="preserve"> popularly used to analyse the patterns of care provision by nation-states (Saraceno 2016). As noted in the literature review for this study, </w:t>
      </w:r>
      <w:r w:rsidR="000D77CC" w:rsidRPr="00E869A4">
        <w:rPr>
          <w:rFonts w:ascii="Times New Roman" w:eastAsia="Times New Roman" w:hAnsi="Times New Roman" w:cs="Times New Roman"/>
        </w:rPr>
        <w:t xml:space="preserve">social </w:t>
      </w:r>
      <w:r w:rsidRPr="00E869A4">
        <w:rPr>
          <w:rFonts w:ascii="Times New Roman" w:eastAsia="Times New Roman" w:hAnsi="Times New Roman" w:cs="Times New Roman"/>
        </w:rPr>
        <w:t xml:space="preserve">policy in a familialistic system adopts the position that households are primarily responsible for their members’ welfare and the absorption of social risks of their members (Damiani et al. 2011). On the other hand, in a </w:t>
      </w:r>
      <w:r w:rsidRPr="00E869A4">
        <w:rPr>
          <w:rFonts w:ascii="Times New Roman" w:eastAsia="Times New Roman" w:hAnsi="Times New Roman" w:cs="Times New Roman"/>
          <w:i/>
        </w:rPr>
        <w:t>de-familialising</w:t>
      </w:r>
      <w:r w:rsidRPr="00E869A4">
        <w:rPr>
          <w:rFonts w:ascii="Times New Roman" w:eastAsia="Times New Roman" w:hAnsi="Times New Roman" w:cs="Times New Roman"/>
        </w:rPr>
        <w:t xml:space="preserve"> regime, the state takes lead responsibility for the welfare of citizens and seeks to minimise the dependence of the individual on kinship relationships (Damiani et al. 2011; Esping-Andersen 1999).</w:t>
      </w:r>
      <w:r w:rsidR="00BC696F" w:rsidRPr="00E869A4">
        <w:rPr>
          <w:rFonts w:ascii="Times New Roman" w:eastAsia="Times New Roman" w:hAnsi="Times New Roman" w:cs="Times New Roman"/>
        </w:rPr>
        <w:t xml:space="preserve"> </w:t>
      </w:r>
      <w:r w:rsidRPr="00E869A4">
        <w:rPr>
          <w:rFonts w:ascii="Times New Roman" w:eastAsia="Times New Roman" w:hAnsi="Times New Roman" w:cs="Times New Roman"/>
        </w:rPr>
        <w:t xml:space="preserve">Leitner (2003 &amp; 2014) identified the following types of </w:t>
      </w:r>
      <w:r w:rsidRPr="00E869A4">
        <w:rPr>
          <w:rFonts w:ascii="Times New Roman" w:eastAsia="Times New Roman" w:hAnsi="Times New Roman" w:cs="Times New Roman"/>
          <w:i/>
        </w:rPr>
        <w:t>familialism: implicit familialism, explicit familialism, defamilialisation and optional familialism</w:t>
      </w:r>
      <w:r w:rsidRPr="00E869A4">
        <w:rPr>
          <w:rFonts w:ascii="Times New Roman" w:eastAsia="Times New Roman" w:hAnsi="Times New Roman" w:cs="Times New Roman"/>
        </w:rPr>
        <w:t xml:space="preserve"> (see Chapter </w:t>
      </w:r>
      <w:r w:rsidR="00364910" w:rsidRPr="00E869A4">
        <w:rPr>
          <w:rFonts w:ascii="Times New Roman" w:eastAsia="Times New Roman" w:hAnsi="Times New Roman" w:cs="Times New Roman"/>
        </w:rPr>
        <w:t>6</w:t>
      </w:r>
      <w:r w:rsidRPr="00E869A4">
        <w:rPr>
          <w:rFonts w:ascii="Times New Roman" w:eastAsia="Times New Roman" w:hAnsi="Times New Roman" w:cs="Times New Roman"/>
        </w:rPr>
        <w:t>). In the section that f</w:t>
      </w:r>
      <w:r w:rsidR="00BC696F" w:rsidRPr="00E869A4">
        <w:rPr>
          <w:rFonts w:ascii="Times New Roman" w:eastAsia="Times New Roman" w:hAnsi="Times New Roman" w:cs="Times New Roman"/>
        </w:rPr>
        <w:t xml:space="preserve">ollows, the suitability of the </w:t>
      </w:r>
      <w:r w:rsidRPr="00E869A4">
        <w:rPr>
          <w:rFonts w:ascii="Times New Roman" w:eastAsia="Times New Roman" w:hAnsi="Times New Roman" w:cs="Times New Roman"/>
          <w:i/>
        </w:rPr>
        <w:t>optional familialism</w:t>
      </w:r>
      <w:r w:rsidRPr="00E869A4">
        <w:rPr>
          <w:rFonts w:ascii="Times New Roman" w:eastAsia="Times New Roman" w:hAnsi="Times New Roman" w:cs="Times New Roman"/>
        </w:rPr>
        <w:t xml:space="preserve"> approach for the T&amp;T context is discussed </w:t>
      </w:r>
      <w:r w:rsidR="00BC696F" w:rsidRPr="00E869A4">
        <w:rPr>
          <w:rFonts w:ascii="Times New Roman" w:eastAsia="Times New Roman" w:hAnsi="Times New Roman" w:cs="Times New Roman"/>
        </w:rPr>
        <w:t>given</w:t>
      </w:r>
      <w:r w:rsidRPr="00E869A4">
        <w:rPr>
          <w:rFonts w:ascii="Times New Roman" w:eastAsia="Times New Roman" w:hAnsi="Times New Roman" w:cs="Times New Roman"/>
        </w:rPr>
        <w:t xml:space="preserve"> the values expressed by the participants in the current research investigation</w:t>
      </w:r>
      <w:r w:rsidR="00BC696F" w:rsidRPr="00E869A4">
        <w:rPr>
          <w:rFonts w:ascii="Times New Roman" w:eastAsia="Times New Roman" w:hAnsi="Times New Roman" w:cs="Times New Roman"/>
        </w:rPr>
        <w:t>,</w:t>
      </w:r>
      <w:r w:rsidRPr="00E869A4">
        <w:rPr>
          <w:rFonts w:ascii="Times New Roman" w:eastAsia="Times New Roman" w:hAnsi="Times New Roman" w:cs="Times New Roman"/>
        </w:rPr>
        <w:t xml:space="preserve"> and</w:t>
      </w:r>
      <w:r w:rsidR="00BC696F" w:rsidRPr="00E869A4">
        <w:rPr>
          <w:rFonts w:ascii="Times New Roman" w:eastAsia="Times New Roman" w:hAnsi="Times New Roman" w:cs="Times New Roman"/>
        </w:rPr>
        <w:t>,</w:t>
      </w:r>
      <w:r w:rsidRPr="00E869A4">
        <w:rPr>
          <w:rFonts w:ascii="Times New Roman" w:eastAsia="Times New Roman" w:hAnsi="Times New Roman" w:cs="Times New Roman"/>
        </w:rPr>
        <w:t xml:space="preserve"> other cultural considerations. </w:t>
      </w:r>
    </w:p>
    <w:p w14:paraId="277BB4FE" w14:textId="24E28E09" w:rsidR="004F33B6" w:rsidRPr="00E869A4" w:rsidRDefault="004F33B6" w:rsidP="004F33B6">
      <w:pPr>
        <w:rPr>
          <w:rFonts w:eastAsia="Calibri"/>
          <w:b/>
          <w:i/>
          <w:lang w:val="en-TT"/>
        </w:rPr>
      </w:pPr>
    </w:p>
    <w:p w14:paraId="4FDB414D" w14:textId="77777777" w:rsidR="004F33B6" w:rsidRPr="00E869A4" w:rsidRDefault="004F33B6" w:rsidP="0031040A">
      <w:pPr>
        <w:pStyle w:val="Heading5"/>
        <w:rPr>
          <w:color w:val="auto"/>
        </w:rPr>
      </w:pPr>
      <w:r w:rsidRPr="00E869A4">
        <w:rPr>
          <w:color w:val="auto"/>
        </w:rPr>
        <w:t>Optional familialism and family elder care policy in T&amp;T</w:t>
      </w:r>
    </w:p>
    <w:p w14:paraId="2964F653" w14:textId="77777777" w:rsidR="004F33B6" w:rsidRPr="00E869A4" w:rsidRDefault="004F33B6" w:rsidP="004F33B6">
      <w:pPr>
        <w:rPr>
          <w:rFonts w:ascii="Times New Roman" w:eastAsia="Times New Roman" w:hAnsi="Times New Roman" w:cs="Times New Roman"/>
          <w:lang w:val="en-TT"/>
        </w:rPr>
      </w:pPr>
    </w:p>
    <w:p w14:paraId="214A8F58" w14:textId="79827901"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As indicated in the Background to this study and confirmed during the data collection exercise, the state in T&amp;T had several programmes in place to support frail older persons, which at first glance seemed to match the provisions of more developed countries. However, t</w:t>
      </w:r>
      <w:r w:rsidRPr="00E869A4">
        <w:rPr>
          <w:rFonts w:ascii="Times New Roman" w:eastAsia="Calibri" w:hAnsi="Times New Roman" w:cs="Times New Roman"/>
        </w:rPr>
        <w:t xml:space="preserve">he shortcomings of the health and social care system for older persons and their carers do not fully satisfy the characteristics of an explicit or supported familialism. </w:t>
      </w:r>
      <w:r w:rsidR="00486A03" w:rsidRPr="00E869A4">
        <w:rPr>
          <w:rFonts w:ascii="Times New Roman" w:eastAsia="Calibri" w:hAnsi="Times New Roman" w:cs="Times New Roman"/>
        </w:rPr>
        <w:t>Arguably,</w:t>
      </w:r>
      <w:r w:rsidRPr="00E869A4">
        <w:rPr>
          <w:rFonts w:ascii="Times New Roman" w:eastAsia="Calibri" w:hAnsi="Times New Roman" w:cs="Times New Roman"/>
        </w:rPr>
        <w:t xml:space="preserve"> the de-facto realities of inadequacy and inefficiency of state services to older persons and family carers in T&amp;T may be described as </w:t>
      </w:r>
      <w:r w:rsidRPr="00E869A4">
        <w:rPr>
          <w:rFonts w:ascii="Times New Roman" w:eastAsia="Calibri" w:hAnsi="Times New Roman" w:cs="Times New Roman"/>
          <w:i/>
        </w:rPr>
        <w:t>optional familialism</w:t>
      </w:r>
      <w:r w:rsidRPr="00E869A4">
        <w:rPr>
          <w:rFonts w:ascii="Times New Roman" w:eastAsia="Calibri" w:hAnsi="Times New Roman" w:cs="Times New Roman"/>
        </w:rPr>
        <w:t xml:space="preserve"> </w:t>
      </w:r>
      <w:r w:rsidRPr="00E869A4">
        <w:rPr>
          <w:rFonts w:ascii="Times New Roman" w:eastAsia="Calibri" w:hAnsi="Times New Roman" w:cs="Times New Roman"/>
          <w:i/>
        </w:rPr>
        <w:t>by default</w:t>
      </w:r>
      <w:r w:rsidRPr="00E869A4">
        <w:rPr>
          <w:rFonts w:ascii="Times New Roman" w:eastAsia="Calibri" w:hAnsi="Times New Roman" w:cs="Times New Roman"/>
        </w:rPr>
        <w:t xml:space="preserve"> (Saraceno 2016). </w:t>
      </w:r>
    </w:p>
    <w:p w14:paraId="4469D77E" w14:textId="77777777" w:rsidR="004F33B6" w:rsidRPr="00E869A4" w:rsidRDefault="004F33B6" w:rsidP="004F33B6">
      <w:pPr>
        <w:ind w:firstLine="720"/>
        <w:rPr>
          <w:rFonts w:ascii="Times New Roman" w:eastAsia="Times New Roman" w:hAnsi="Times New Roman" w:cs="Times New Roman"/>
        </w:rPr>
      </w:pPr>
    </w:p>
    <w:p w14:paraId="2B7CE347" w14:textId="01F19FE3" w:rsidR="004F33B6" w:rsidRPr="00E869A4" w:rsidRDefault="004F33B6" w:rsidP="004F33B6">
      <w:pPr>
        <w:ind w:firstLine="720"/>
        <w:rPr>
          <w:rFonts w:ascii="Times New Roman" w:eastAsia="Times New Roman" w:hAnsi="Times New Roman" w:cs="Times New Roman"/>
        </w:rPr>
      </w:pPr>
      <w:r w:rsidRPr="00E869A4">
        <w:rPr>
          <w:rFonts w:ascii="Times New Roman" w:eastAsia="Calibri" w:hAnsi="Times New Roman" w:cs="Times New Roman"/>
        </w:rPr>
        <w:t>The absence of direct services to family carers in the state</w:t>
      </w:r>
      <w:r w:rsidRPr="00E869A4">
        <w:rPr>
          <w:rFonts w:ascii="Times New Roman" w:eastAsia="Times New Roman" w:hAnsi="Times New Roman" w:cs="Times New Roman"/>
        </w:rPr>
        <w:t xml:space="preserve">’s social services ‘repertoire’ seems to suggest that there is an element of </w:t>
      </w:r>
      <w:r w:rsidRPr="00E869A4">
        <w:rPr>
          <w:rFonts w:ascii="Times New Roman" w:eastAsia="Times New Roman" w:hAnsi="Times New Roman" w:cs="Times New Roman"/>
          <w:i/>
        </w:rPr>
        <w:t>implicit familialism</w:t>
      </w:r>
      <w:r w:rsidRPr="00E869A4">
        <w:rPr>
          <w:rFonts w:ascii="Times New Roman" w:eastAsia="Times New Roman" w:hAnsi="Times New Roman" w:cs="Times New Roman"/>
        </w:rPr>
        <w:t xml:space="preserve"> that informs state practices in T&amp;T. At the same time, the existence of a fleet of public services for older persons, despite their flaws, bears some </w:t>
      </w:r>
      <w:r w:rsidRPr="00E869A4">
        <w:rPr>
          <w:rFonts w:ascii="Times New Roman" w:eastAsia="Times New Roman" w:hAnsi="Times New Roman" w:cs="Times New Roman"/>
        </w:rPr>
        <w:lastRenderedPageBreak/>
        <w:t xml:space="preserve">resemblance to </w:t>
      </w:r>
      <w:r w:rsidRPr="00E869A4">
        <w:rPr>
          <w:rFonts w:ascii="Times New Roman" w:eastAsia="Times New Roman" w:hAnsi="Times New Roman" w:cs="Times New Roman"/>
          <w:i/>
        </w:rPr>
        <w:t>explicit or supported familialism</w:t>
      </w:r>
      <w:r w:rsidRPr="00E869A4">
        <w:rPr>
          <w:rFonts w:ascii="Times New Roman" w:eastAsia="Times New Roman" w:hAnsi="Times New Roman" w:cs="Times New Roman"/>
        </w:rPr>
        <w:t xml:space="preserve">, even if not to the extent that obtains in more developed states where there are relatively more services available. The ambivalence of local public policy and social programming in T&amp;T with respect to supports for family care of older persons inadvertently results in families having to choose to provide care for its members on their own, or getting relief from the state or market, with both options having significant financial, emotional and social costs to caregivers and older </w:t>
      </w:r>
      <w:r w:rsidR="009E2738" w:rsidRPr="00E869A4">
        <w:rPr>
          <w:rFonts w:ascii="Times New Roman" w:eastAsia="Times New Roman" w:hAnsi="Times New Roman" w:cs="Times New Roman"/>
        </w:rPr>
        <w:t>care recipient</w:t>
      </w:r>
      <w:r w:rsidRPr="00E869A4">
        <w:rPr>
          <w:rFonts w:ascii="Times New Roman" w:eastAsia="Times New Roman" w:hAnsi="Times New Roman" w:cs="Times New Roman"/>
        </w:rPr>
        <w:t xml:space="preserve">s. Thus, given this uneven social service terrain, it may be more accurate to say that with regards to elder </w:t>
      </w:r>
      <w:r w:rsidRPr="00E869A4">
        <w:rPr>
          <w:rFonts w:ascii="Times New Roman" w:eastAsia="Calibri" w:hAnsi="Times New Roman" w:cs="Times New Roman"/>
        </w:rPr>
        <w:t xml:space="preserve">care support, </w:t>
      </w:r>
      <w:r w:rsidRPr="00E869A4">
        <w:rPr>
          <w:rFonts w:ascii="Times New Roman" w:eastAsia="Calibri" w:hAnsi="Times New Roman" w:cs="Times New Roman"/>
          <w:i/>
        </w:rPr>
        <w:t>optional familialism by default</w:t>
      </w:r>
      <w:r w:rsidRPr="00E869A4">
        <w:rPr>
          <w:rFonts w:ascii="Times New Roman" w:eastAsia="Calibri" w:hAnsi="Times New Roman" w:cs="Times New Roman"/>
        </w:rPr>
        <w:t xml:space="preserve"> is the order of the day in T&amp;T.</w:t>
      </w:r>
    </w:p>
    <w:p w14:paraId="7127E0D9" w14:textId="77777777" w:rsidR="004F33B6" w:rsidRPr="00E869A4" w:rsidRDefault="004F33B6" w:rsidP="004F33B6">
      <w:pPr>
        <w:ind w:firstLine="720"/>
        <w:rPr>
          <w:rFonts w:ascii="Times New Roman" w:eastAsia="Times New Roman" w:hAnsi="Times New Roman" w:cs="Times New Roman"/>
        </w:rPr>
      </w:pPr>
    </w:p>
    <w:p w14:paraId="21E9DEAB" w14:textId="34327547" w:rsidR="004F33B6" w:rsidRPr="00E869A4" w:rsidRDefault="004F33B6" w:rsidP="004F33B6">
      <w:pPr>
        <w:rPr>
          <w:rFonts w:ascii="Times New Roman" w:eastAsia="Times New Roman" w:hAnsi="Times New Roman" w:cs="Times New Roman"/>
        </w:rPr>
      </w:pPr>
      <w:r w:rsidRPr="00E869A4">
        <w:rPr>
          <w:rFonts w:ascii="Times New Roman" w:eastAsia="Calibri" w:hAnsi="Times New Roman" w:cs="Times New Roman"/>
        </w:rPr>
        <w:t xml:space="preserve">Furthermore, the results of this study seem to suggest that the preferences of family caregivers were implicitly aligned to the tenets of </w:t>
      </w:r>
      <w:r w:rsidRPr="00E869A4">
        <w:rPr>
          <w:rFonts w:ascii="Times New Roman" w:eastAsia="Calibri" w:hAnsi="Times New Roman" w:cs="Times New Roman"/>
          <w:i/>
        </w:rPr>
        <w:t>optional familialism</w:t>
      </w:r>
      <w:r w:rsidRPr="00E869A4">
        <w:rPr>
          <w:rFonts w:ascii="Times New Roman" w:eastAsia="Calibri" w:hAnsi="Times New Roman" w:cs="Times New Roman"/>
        </w:rPr>
        <w:t xml:space="preserve">. Carers were generally willing to provide family care to older relatives but only up to the point that their older relative’s needs exceeded their capacity to provide proper care. In such instances of severe dependence, most carers were willing to institutionalise their older relatives. This position is not surprising and is reasonable given that informal family carers are oftentimes not equipped to provide intensive specialised care, and if they are involved in that level of care, they experience significant caregiving strain as was evident from the </w:t>
      </w:r>
      <w:r w:rsidR="00486A03" w:rsidRPr="00E869A4">
        <w:rPr>
          <w:rFonts w:ascii="Times New Roman" w:eastAsia="Calibri" w:hAnsi="Times New Roman" w:cs="Times New Roman"/>
        </w:rPr>
        <w:t>focus group and survey findings</w:t>
      </w:r>
      <w:r w:rsidRPr="00E869A4">
        <w:rPr>
          <w:rFonts w:ascii="Times New Roman" w:eastAsia="Calibri" w:hAnsi="Times New Roman" w:cs="Times New Roman"/>
        </w:rPr>
        <w:t xml:space="preserve"> on persons caring for elders with advanced cognitive impairment</w:t>
      </w:r>
      <w:r w:rsidRPr="00E869A4">
        <w:rPr>
          <w:rStyle w:val="FootnoteReference"/>
          <w:rFonts w:eastAsia="Calibri" w:cs="Times New Roman"/>
        </w:rPr>
        <w:footnoteReference w:id="96"/>
      </w:r>
      <w:r w:rsidRPr="00E869A4">
        <w:rPr>
          <w:rFonts w:ascii="Times New Roman" w:eastAsia="Calibri" w:hAnsi="Times New Roman" w:cs="Times New Roman"/>
        </w:rPr>
        <w:t>. Thus, it is vital that formal support services are made available to older persons and their family carers in such instances, even if the main policy thrust is for informal community-based care.</w:t>
      </w:r>
    </w:p>
    <w:p w14:paraId="241006F0" w14:textId="77777777" w:rsidR="004F33B6" w:rsidRPr="00E869A4" w:rsidRDefault="004F33B6" w:rsidP="004F33B6">
      <w:pPr>
        <w:ind w:firstLine="720"/>
        <w:rPr>
          <w:rFonts w:ascii="Times New Roman" w:eastAsia="Times New Roman" w:hAnsi="Times New Roman" w:cs="Times New Roman"/>
        </w:rPr>
      </w:pPr>
    </w:p>
    <w:p w14:paraId="15E6DD3D" w14:textId="52FD7F7C" w:rsidR="004F33B6" w:rsidRPr="00E869A4" w:rsidRDefault="004F33B6" w:rsidP="004F33B6">
      <w:pPr>
        <w:rPr>
          <w:rFonts w:ascii="Times New Roman" w:eastAsia="Calibri" w:hAnsi="Times New Roman" w:cs="Times New Roman"/>
        </w:rPr>
      </w:pPr>
      <w:r w:rsidRPr="00E869A4">
        <w:rPr>
          <w:rFonts w:ascii="Times New Roman" w:eastAsia="Calibri" w:hAnsi="Times New Roman" w:cs="Times New Roman"/>
        </w:rPr>
        <w:t>Participants in this study generally expressed the position that the state was responsible for financing the care of older persons. However, family members maintained that they, and not the State, were responsible for providing support to family caregivers. With respect to this latter point, there was some contradiction between what was said by survey participants and the actual experience of interview and focus group participants. The qualitative data revealed that most participants felt that they did not receive adequate support from other relatives</w:t>
      </w:r>
      <w:r w:rsidRPr="00E869A4">
        <w:rPr>
          <w:rStyle w:val="FootnoteReference"/>
          <w:rFonts w:eastAsia="Calibri" w:cs="Times New Roman"/>
        </w:rPr>
        <w:footnoteReference w:id="97"/>
      </w:r>
      <w:r w:rsidRPr="00E869A4">
        <w:rPr>
          <w:rFonts w:ascii="Times New Roman" w:eastAsia="Calibri" w:hAnsi="Times New Roman" w:cs="Times New Roman"/>
        </w:rPr>
        <w:t xml:space="preserve">. That said, it seems that survey participants expressed an ideal that is consistent with a filial piety belief about supporting the family caregiver, but in practice, family carers are oftentimes not sufficiently supported by other kin. Bass and Morris (1993) produced similar findings </w:t>
      </w:r>
      <w:r w:rsidRPr="00E869A4">
        <w:rPr>
          <w:rFonts w:ascii="Times New Roman" w:eastAsia="Calibri" w:hAnsi="Times New Roman" w:cs="Times New Roman"/>
        </w:rPr>
        <w:lastRenderedPageBreak/>
        <w:t>in their research on family elder care in various developed countries. They observed that families were often ashamed</w:t>
      </w:r>
      <w:r w:rsidRPr="00E869A4">
        <w:t xml:space="preserve"> </w:t>
      </w:r>
      <w:r w:rsidRPr="00E869A4">
        <w:rPr>
          <w:rFonts w:ascii="Times New Roman" w:eastAsia="Calibri" w:hAnsi="Times New Roman" w:cs="Times New Roman"/>
        </w:rPr>
        <w:t xml:space="preserve">to admit that they were experiencing difficulty in caring for their older relatives: relatives may express a willingness to care and support the primary carer but in practice, the latter were highly burdened. Thus, </w:t>
      </w:r>
      <w:r w:rsidR="008F3222" w:rsidRPr="00E869A4">
        <w:rPr>
          <w:rFonts w:ascii="Times New Roman" w:eastAsia="Calibri" w:hAnsi="Times New Roman" w:cs="Times New Roman"/>
        </w:rPr>
        <w:t>al</w:t>
      </w:r>
      <w:r w:rsidRPr="00E869A4">
        <w:rPr>
          <w:rFonts w:ascii="Times New Roman" w:eastAsia="Calibri" w:hAnsi="Times New Roman" w:cs="Times New Roman"/>
        </w:rPr>
        <w:t>though respondents in th</w:t>
      </w:r>
      <w:r w:rsidR="008F3222" w:rsidRPr="00E869A4">
        <w:rPr>
          <w:rFonts w:ascii="Times New Roman" w:eastAsia="Calibri" w:hAnsi="Times New Roman" w:cs="Times New Roman"/>
        </w:rPr>
        <w:t xml:space="preserve">is </w:t>
      </w:r>
      <w:r w:rsidRPr="00E869A4">
        <w:rPr>
          <w:rFonts w:ascii="Times New Roman" w:eastAsia="Calibri" w:hAnsi="Times New Roman" w:cs="Times New Roman"/>
        </w:rPr>
        <w:t xml:space="preserve">study may have expressed a desire to support their relatives that were on the front lines of elder care, policymakers should address the mismatch between what is expressed and what is actually done. In light of this, it is recommended that the </w:t>
      </w:r>
      <w:r w:rsidR="00F43367" w:rsidRPr="00E869A4">
        <w:rPr>
          <w:rFonts w:ascii="Times New Roman" w:eastAsia="Calibri" w:hAnsi="Times New Roman" w:cs="Times New Roman"/>
        </w:rPr>
        <w:t>s</w:t>
      </w:r>
      <w:r w:rsidRPr="00E869A4">
        <w:rPr>
          <w:rFonts w:ascii="Times New Roman" w:eastAsia="Calibri" w:hAnsi="Times New Roman" w:cs="Times New Roman"/>
        </w:rPr>
        <w:t>tate gives attention to directly supporting family carers, especially those that are in critical need of financial aid, respite and other assistance.</w:t>
      </w:r>
    </w:p>
    <w:p w14:paraId="54C21B8A" w14:textId="77777777" w:rsidR="004F33B6" w:rsidRPr="00E869A4" w:rsidRDefault="004F33B6" w:rsidP="004F33B6">
      <w:pPr>
        <w:ind w:firstLine="720"/>
        <w:rPr>
          <w:rFonts w:ascii="Times New Roman" w:eastAsia="Calibri" w:hAnsi="Times New Roman" w:cs="Times New Roman"/>
        </w:rPr>
      </w:pPr>
    </w:p>
    <w:p w14:paraId="518AE8FF" w14:textId="31DBD613" w:rsidR="004F33B6" w:rsidRPr="00E869A4" w:rsidRDefault="004F33B6" w:rsidP="004F33B6">
      <w:pPr>
        <w:rPr>
          <w:rFonts w:ascii="Times New Roman" w:eastAsia="Calibri" w:hAnsi="Times New Roman" w:cs="Times New Roman"/>
        </w:rPr>
      </w:pPr>
      <w:r w:rsidRPr="00E869A4">
        <w:rPr>
          <w:rFonts w:ascii="Times New Roman" w:eastAsia="Calibri" w:hAnsi="Times New Roman" w:cs="Times New Roman"/>
        </w:rPr>
        <w:t>Another finding that needs to be distilled further is</w:t>
      </w:r>
      <w:r w:rsidR="008F3222" w:rsidRPr="00E869A4">
        <w:rPr>
          <w:rFonts w:ascii="Times New Roman" w:eastAsia="Calibri" w:hAnsi="Times New Roman" w:cs="Times New Roman"/>
        </w:rPr>
        <w:t xml:space="preserve"> that</w:t>
      </w:r>
      <w:r w:rsidR="00490BF0" w:rsidRPr="00E869A4">
        <w:rPr>
          <w:rFonts w:ascii="Times New Roman" w:eastAsia="Calibri" w:hAnsi="Times New Roman" w:cs="Times New Roman"/>
        </w:rPr>
        <w:t xml:space="preserve"> while</w:t>
      </w:r>
      <w:r w:rsidR="008F3222" w:rsidRPr="00E869A4">
        <w:rPr>
          <w:rFonts w:ascii="Times New Roman" w:eastAsia="Calibri" w:hAnsi="Times New Roman" w:cs="Times New Roman"/>
        </w:rPr>
        <w:t xml:space="preserve"> this</w:t>
      </w:r>
      <w:r w:rsidRPr="00E869A4">
        <w:rPr>
          <w:rFonts w:ascii="Times New Roman" w:eastAsia="Calibri" w:hAnsi="Times New Roman" w:cs="Times New Roman"/>
        </w:rPr>
        <w:t xml:space="preserve"> study unearthed considerable evidence of filial piety in T&amp;T, this must be viewed in the context of the quality and cost of formal care services as well as the level of dependency and intensity of care needs of older persons. The inadequacies of state welfare provision for older persons and their carers presented most family caregivers in this study with few alternatives for meeting the care needs of their older relatives. The situation is further compounded by the limited provision and high cost of private elder care services, especially for in-home personal care support. </w:t>
      </w:r>
      <w:r w:rsidRPr="00E869A4">
        <w:rPr>
          <w:rFonts w:ascii="Times New Roman" w:eastAsia="Times New Roman" w:hAnsi="Times New Roman" w:cs="Times New Roman"/>
        </w:rPr>
        <w:t xml:space="preserve">An </w:t>
      </w:r>
      <w:r w:rsidRPr="00E869A4">
        <w:rPr>
          <w:rFonts w:ascii="Times New Roman" w:eastAsia="Times New Roman" w:hAnsi="Times New Roman" w:cs="Times New Roman"/>
          <w:i/>
        </w:rPr>
        <w:t>optional familialism</w:t>
      </w:r>
      <w:r w:rsidRPr="00E869A4">
        <w:rPr>
          <w:rFonts w:ascii="Times New Roman" w:eastAsia="Times New Roman" w:hAnsi="Times New Roman" w:cs="Times New Roman"/>
        </w:rPr>
        <w:t xml:space="preserve"> perspective will allow for the provision of direct support to carers, and will also give families the option of obtaining alternative care for their older relatives, in particular, those who are severely impaired and require intensive care. Various policy experts (e.g. Aronson &amp; Neysmith 1997; Jones, Camarinhas &amp;</w:t>
      </w:r>
      <w:r w:rsidR="00367D87" w:rsidRPr="00E869A4">
        <w:rPr>
          <w:rFonts w:ascii="Times New Roman" w:eastAsia="Times New Roman" w:hAnsi="Times New Roman" w:cs="Times New Roman"/>
        </w:rPr>
        <w:t xml:space="preserve"> Gény</w:t>
      </w:r>
      <w:r w:rsidRPr="00E869A4">
        <w:rPr>
          <w:rFonts w:ascii="Times New Roman" w:eastAsia="Times New Roman" w:hAnsi="Times New Roman" w:cs="Times New Roman"/>
        </w:rPr>
        <w:t xml:space="preserve"> 2019; Rhee et al. 2015; Spasova et al. 2018; </w:t>
      </w:r>
      <w:r w:rsidR="00367D87" w:rsidRPr="00E869A4">
        <w:rPr>
          <w:rFonts w:ascii="Times New Roman" w:eastAsia="Times New Roman" w:hAnsi="Times New Roman" w:cs="Times New Roman"/>
        </w:rPr>
        <w:t xml:space="preserve">and, </w:t>
      </w:r>
      <w:r w:rsidRPr="00E869A4">
        <w:rPr>
          <w:rFonts w:ascii="Times New Roman" w:eastAsia="Times New Roman" w:hAnsi="Times New Roman" w:cs="Times New Roman"/>
        </w:rPr>
        <w:t xml:space="preserve">Walker 1993) underscore the need for a balanced approach to community care services for older persons whereby adequate formal and informal services are provided, and, family carers are not overly burdened when caring for their older relatives. At its core, the fundamental principle which underpins an </w:t>
      </w:r>
      <w:r w:rsidRPr="00E869A4">
        <w:rPr>
          <w:rFonts w:ascii="Times New Roman" w:eastAsia="Times New Roman" w:hAnsi="Times New Roman" w:cs="Times New Roman"/>
          <w:i/>
        </w:rPr>
        <w:t>optional familialism</w:t>
      </w:r>
      <w:r w:rsidRPr="00E869A4">
        <w:rPr>
          <w:rFonts w:ascii="Times New Roman" w:eastAsia="Times New Roman" w:hAnsi="Times New Roman" w:cs="Times New Roman"/>
        </w:rPr>
        <w:t xml:space="preserve"> framework is that suitable options for providing care support should be made available to families so that the wellbeing of carers and older persons are not compromised (Le Bihan, Da Roit &amp; Sopadzhiyan 2019). </w:t>
      </w:r>
    </w:p>
    <w:p w14:paraId="591953AE" w14:textId="77777777" w:rsidR="004F33B6" w:rsidRPr="00E869A4" w:rsidRDefault="004F33B6" w:rsidP="004F33B6">
      <w:pPr>
        <w:ind w:firstLine="720"/>
        <w:rPr>
          <w:rFonts w:ascii="Times New Roman" w:eastAsia="Calibri" w:hAnsi="Times New Roman" w:cs="Times New Roman"/>
        </w:rPr>
      </w:pPr>
    </w:p>
    <w:p w14:paraId="3BAC1A45" w14:textId="61AE1183" w:rsidR="004F33B6" w:rsidRPr="00E869A4" w:rsidRDefault="004F33B6" w:rsidP="004F33B6">
      <w:pPr>
        <w:rPr>
          <w:rFonts w:ascii="Times New Roman" w:eastAsia="Times New Roman" w:hAnsi="Times New Roman" w:cs="Times New Roman"/>
        </w:rPr>
      </w:pPr>
      <w:r w:rsidRPr="00E869A4">
        <w:rPr>
          <w:rFonts w:ascii="Times New Roman" w:eastAsia="Calibri" w:hAnsi="Times New Roman" w:cs="Times New Roman"/>
        </w:rPr>
        <w:t xml:space="preserve">Another important consideration is the relationship between the </w:t>
      </w:r>
      <w:r w:rsidRPr="00E869A4">
        <w:rPr>
          <w:rFonts w:ascii="Times New Roman" w:eastAsia="Calibri" w:hAnsi="Times New Roman" w:cs="Times New Roman"/>
          <w:i/>
        </w:rPr>
        <w:t xml:space="preserve">familialism </w:t>
      </w:r>
      <w:r w:rsidRPr="00E869A4">
        <w:rPr>
          <w:rFonts w:ascii="Times New Roman" w:eastAsia="Calibri" w:hAnsi="Times New Roman" w:cs="Times New Roman"/>
        </w:rPr>
        <w:t xml:space="preserve">regime and gender employment patterns. </w:t>
      </w:r>
      <w:r w:rsidR="00E909F2" w:rsidRPr="00E869A4">
        <w:rPr>
          <w:rFonts w:ascii="Times New Roman" w:eastAsia="Times New Roman" w:hAnsi="Times New Roman" w:cs="Times New Roman"/>
        </w:rPr>
        <w:t>In her postulations about her</w:t>
      </w:r>
      <w:r w:rsidRPr="00E869A4">
        <w:rPr>
          <w:rFonts w:ascii="Times New Roman" w:eastAsia="Times New Roman" w:hAnsi="Times New Roman" w:cs="Times New Roman"/>
        </w:rPr>
        <w:t xml:space="preserve"> varieties of familialism, </w:t>
      </w:r>
      <w:r w:rsidR="00E909F2" w:rsidRPr="00E869A4">
        <w:rPr>
          <w:rFonts w:ascii="Times New Roman" w:eastAsia="Times New Roman" w:hAnsi="Times New Roman" w:cs="Times New Roman"/>
        </w:rPr>
        <w:t>Leitner</w:t>
      </w:r>
      <w:r w:rsidRPr="00E869A4">
        <w:rPr>
          <w:rFonts w:ascii="Times New Roman" w:eastAsia="Times New Roman" w:hAnsi="Times New Roman" w:cs="Times New Roman"/>
        </w:rPr>
        <w:t xml:space="preserve"> surmised that </w:t>
      </w:r>
      <w:r w:rsidR="00490BF0" w:rsidRPr="00E869A4">
        <w:rPr>
          <w:rFonts w:ascii="Times New Roman" w:eastAsia="Times New Roman" w:hAnsi="Times New Roman" w:cs="Times New Roman"/>
        </w:rPr>
        <w:t xml:space="preserve">whilst </w:t>
      </w:r>
      <w:r w:rsidRPr="00E869A4">
        <w:rPr>
          <w:rFonts w:ascii="Times New Roman" w:eastAsia="Times New Roman" w:hAnsi="Times New Roman" w:cs="Times New Roman"/>
          <w:i/>
        </w:rPr>
        <w:t>implicit familialism</w:t>
      </w:r>
      <w:r w:rsidRPr="00E869A4">
        <w:rPr>
          <w:rFonts w:ascii="Times New Roman" w:eastAsia="Times New Roman" w:hAnsi="Times New Roman" w:cs="Times New Roman"/>
        </w:rPr>
        <w:t xml:space="preserve"> and </w:t>
      </w:r>
      <w:r w:rsidRPr="00E869A4">
        <w:rPr>
          <w:rFonts w:ascii="Times New Roman" w:eastAsia="Times New Roman" w:hAnsi="Times New Roman" w:cs="Times New Roman"/>
          <w:i/>
        </w:rPr>
        <w:t xml:space="preserve">defamilialisation </w:t>
      </w:r>
      <w:r w:rsidRPr="00E869A4">
        <w:rPr>
          <w:rFonts w:ascii="Times New Roman" w:eastAsia="Times New Roman" w:hAnsi="Times New Roman" w:cs="Times New Roman"/>
        </w:rPr>
        <w:t xml:space="preserve">do not directly determine gender relations, the former has a negative effect on gender equality as it maintains the status quo of gendered care provision based on the </w:t>
      </w:r>
      <w:r w:rsidRPr="00E869A4">
        <w:rPr>
          <w:rFonts w:ascii="Times New Roman" w:eastAsia="Times New Roman" w:hAnsi="Times New Roman" w:cs="Times New Roman"/>
        </w:rPr>
        <w:lastRenderedPageBreak/>
        <w:t>male breadwinner model, while the latter reduces the effect of the male breadwinner approach</w:t>
      </w:r>
      <w:r w:rsidRPr="00E869A4">
        <w:rPr>
          <w:rStyle w:val="FootnoteReference"/>
          <w:rFonts w:eastAsia="Times New Roman" w:cs="Times New Roman"/>
        </w:rPr>
        <w:footnoteReference w:id="98"/>
      </w:r>
      <w:r w:rsidRPr="00E869A4">
        <w:rPr>
          <w:rFonts w:ascii="Times New Roman" w:eastAsia="Times New Roman" w:hAnsi="Times New Roman" w:cs="Times New Roman"/>
        </w:rPr>
        <w:t xml:space="preserve"> by allowing for greater gender equality through services in the marketplace. </w:t>
      </w:r>
      <w:r w:rsidRPr="00E869A4">
        <w:rPr>
          <w:rFonts w:ascii="Times New Roman" w:eastAsia="Times New Roman" w:hAnsi="Times New Roman" w:cs="Times New Roman"/>
          <w:i/>
        </w:rPr>
        <w:t>Optional familialism</w:t>
      </w:r>
      <w:r w:rsidRPr="00E869A4">
        <w:rPr>
          <w:rFonts w:ascii="Times New Roman" w:eastAsia="Times New Roman" w:hAnsi="Times New Roman" w:cs="Times New Roman"/>
        </w:rPr>
        <w:t xml:space="preserve"> and </w:t>
      </w:r>
      <w:r w:rsidRPr="00E869A4">
        <w:rPr>
          <w:rFonts w:ascii="Times New Roman" w:eastAsia="Times New Roman" w:hAnsi="Times New Roman" w:cs="Times New Roman"/>
          <w:i/>
        </w:rPr>
        <w:t>explicit familialism</w:t>
      </w:r>
      <w:r w:rsidRPr="00E869A4">
        <w:rPr>
          <w:rFonts w:ascii="Times New Roman" w:eastAsia="Times New Roman" w:hAnsi="Times New Roman" w:cs="Times New Roman"/>
        </w:rPr>
        <w:t xml:space="preserve"> have a direct regulatory effect on gender relations. Both support traditional gender roles in care provision, whereby women are primarily ascribed the role of caregiver. However, </w:t>
      </w:r>
      <w:r w:rsidRPr="00E869A4">
        <w:rPr>
          <w:rFonts w:ascii="Times New Roman" w:eastAsia="Times New Roman" w:hAnsi="Times New Roman" w:cs="Times New Roman"/>
          <w:i/>
        </w:rPr>
        <w:t>optional familialism</w:t>
      </w:r>
      <w:r w:rsidRPr="00E869A4">
        <w:rPr>
          <w:rFonts w:ascii="Times New Roman" w:eastAsia="Times New Roman" w:hAnsi="Times New Roman" w:cs="Times New Roman"/>
        </w:rPr>
        <w:t xml:space="preserve"> supports formal care arrangements, and in so doing gives women the option rather than obliging them to care (Yumakli 2011). Thus, this regime is associated with both the male breadwinner model as well as the dual-earner-carer model whereby both men and women are involved in the formal workforce as well as family care</w:t>
      </w:r>
      <w:r w:rsidR="00F43367" w:rsidRPr="00E869A4">
        <w:rPr>
          <w:rFonts w:ascii="Times New Roman" w:eastAsia="Times New Roman" w:hAnsi="Times New Roman" w:cs="Times New Roman"/>
        </w:rPr>
        <w:t>giving</w:t>
      </w:r>
      <w:r w:rsidRPr="00E869A4">
        <w:rPr>
          <w:rFonts w:ascii="Times New Roman" w:eastAsia="Times New Roman" w:hAnsi="Times New Roman" w:cs="Times New Roman"/>
        </w:rPr>
        <w:t xml:space="preserve">. </w:t>
      </w:r>
    </w:p>
    <w:p w14:paraId="54789DA9" w14:textId="77777777" w:rsidR="004F33B6" w:rsidRPr="00E869A4" w:rsidRDefault="004F33B6" w:rsidP="004F33B6">
      <w:pPr>
        <w:rPr>
          <w:rFonts w:ascii="Times New Roman" w:eastAsia="Times New Roman" w:hAnsi="Times New Roman" w:cs="Times New Roman"/>
        </w:rPr>
      </w:pPr>
    </w:p>
    <w:p w14:paraId="32453902" w14:textId="15DD5A40" w:rsidR="004F33B6" w:rsidRPr="00E869A4" w:rsidRDefault="004F33B6" w:rsidP="004F33B6">
      <w:pPr>
        <w:rPr>
          <w:rFonts w:ascii="Times New Roman" w:eastAsia="Calibri" w:hAnsi="Times New Roman" w:cs="Times New Roman"/>
        </w:rPr>
      </w:pPr>
      <w:r w:rsidRPr="00E869A4">
        <w:rPr>
          <w:rFonts w:ascii="Times New Roman" w:eastAsia="Times New Roman" w:hAnsi="Times New Roman" w:cs="Times New Roman"/>
        </w:rPr>
        <w:t xml:space="preserve">The survey results in this study provide some support for both the male breadwinner and the dual-earner/carer model of gender and care:  60% of respondents felt that </w:t>
      </w:r>
      <w:r w:rsidRPr="00E869A4">
        <w:rPr>
          <w:rFonts w:ascii="Times New Roman" w:eastAsia="Calibri" w:hAnsi="Times New Roman" w:cs="Times New Roman"/>
        </w:rPr>
        <w:t xml:space="preserve">the family carer could be either male or female, and this irrespective of the gender of their older relative. </w:t>
      </w:r>
      <w:r w:rsidRPr="00E869A4">
        <w:rPr>
          <w:rFonts w:ascii="Times New Roman" w:eastAsia="Times New Roman" w:hAnsi="Times New Roman" w:cs="Times New Roman"/>
        </w:rPr>
        <w:t xml:space="preserve">Given the mixed views on the preferred gender of the caregiver and the need to expand the pool of family caregivers in T&amp;T, it is essential that a policy on family care encourages both men and women to engage in family elder care. At the same time, it must be flexible enough so that families can choose which work/care arrangement is most suitable for their members.  Some families might prefer the male breadwinner model since, even though wage inequality is not ideal, the reality is that in many instances, men generally receive higher wages than women (Mahabir et al. 2013). Thus, it may be more cost-effective for the woman to provide care while the man continues working in the formal arena. The male breadwinner model might also be aligned with their religious beliefs. Others may need to adopt a dual-earner carer approach given their financial needs, job opportunities and career goals. </w:t>
      </w:r>
      <w:r w:rsidR="00F43367" w:rsidRPr="00E869A4">
        <w:rPr>
          <w:rFonts w:ascii="Times New Roman" w:eastAsia="Times New Roman" w:hAnsi="Times New Roman" w:cs="Times New Roman"/>
        </w:rPr>
        <w:t>W</w:t>
      </w:r>
      <w:r w:rsidR="00A0082E" w:rsidRPr="00E869A4">
        <w:rPr>
          <w:rFonts w:ascii="Times New Roman" w:eastAsia="Times New Roman" w:hAnsi="Times New Roman" w:cs="Times New Roman"/>
        </w:rPr>
        <w:t xml:space="preserve">ider policy measures associated with addressing the gender-pay gap may also affect care decisions. </w:t>
      </w:r>
      <w:r w:rsidR="00ED3346" w:rsidRPr="00E869A4">
        <w:rPr>
          <w:rFonts w:ascii="Times New Roman" w:eastAsia="Times New Roman" w:hAnsi="Times New Roman" w:cs="Times New Roman"/>
        </w:rPr>
        <w:t>Also, i</w:t>
      </w:r>
      <w:r w:rsidRPr="00E869A4">
        <w:rPr>
          <w:rFonts w:ascii="Times New Roman" w:eastAsia="Times New Roman" w:hAnsi="Times New Roman" w:cs="Times New Roman"/>
        </w:rPr>
        <w:t xml:space="preserve">n some instances, the male head of the family might have the requisite skills to provide intensive elder care, while in other situations, the woman might be better placed to do so. </w:t>
      </w:r>
    </w:p>
    <w:p w14:paraId="24A8C8B0" w14:textId="77777777" w:rsidR="004F33B6" w:rsidRPr="00E869A4" w:rsidRDefault="004F33B6" w:rsidP="004F33B6">
      <w:pPr>
        <w:ind w:firstLine="720"/>
        <w:rPr>
          <w:rFonts w:ascii="Times New Roman" w:eastAsia="Calibri" w:hAnsi="Times New Roman" w:cs="Times New Roman"/>
        </w:rPr>
      </w:pPr>
    </w:p>
    <w:p w14:paraId="7E66DA68" w14:textId="0FA7A53D" w:rsidR="004F33B6" w:rsidRPr="00E869A4" w:rsidRDefault="00ED3346" w:rsidP="004F33B6">
      <w:pPr>
        <w:rPr>
          <w:rFonts w:ascii="Times New Roman" w:eastAsia="Calibri" w:hAnsi="Times New Roman" w:cs="Times New Roman"/>
        </w:rPr>
      </w:pPr>
      <w:r w:rsidRPr="00E869A4">
        <w:rPr>
          <w:rFonts w:ascii="Times New Roman" w:eastAsia="Times New Roman" w:hAnsi="Times New Roman" w:cs="Times New Roman"/>
        </w:rPr>
        <w:t>A</w:t>
      </w:r>
      <w:r w:rsidR="004F33B6" w:rsidRPr="00E869A4">
        <w:rPr>
          <w:rFonts w:ascii="Times New Roman" w:eastAsia="Times New Roman" w:hAnsi="Times New Roman" w:cs="Times New Roman"/>
        </w:rPr>
        <w:t xml:space="preserve">s noted in the background of this study, T&amp;T is a very religious society, and accordingly, it is unlikely that there will be strong support at this stage in the country’s history for a strong </w:t>
      </w:r>
      <w:r w:rsidR="004F33B6" w:rsidRPr="00E869A4">
        <w:rPr>
          <w:rFonts w:ascii="Times New Roman" w:eastAsia="Times New Roman" w:hAnsi="Times New Roman" w:cs="Times New Roman"/>
          <w:i/>
        </w:rPr>
        <w:t xml:space="preserve">defamilialisation </w:t>
      </w:r>
      <w:r w:rsidR="004F33B6" w:rsidRPr="00E869A4">
        <w:rPr>
          <w:rFonts w:ascii="Times New Roman" w:eastAsia="Times New Roman" w:hAnsi="Times New Roman" w:cs="Times New Roman"/>
        </w:rPr>
        <w:t xml:space="preserve">policy regime as was adopted in many Scandinavian countries (Brodsky et al. 2003). Rather, given the </w:t>
      </w:r>
      <w:r w:rsidR="004F33B6" w:rsidRPr="00E869A4">
        <w:rPr>
          <w:rFonts w:ascii="Times New Roman" w:eastAsia="Times New Roman" w:hAnsi="Times New Roman" w:cs="Times New Roman"/>
        </w:rPr>
        <w:lastRenderedPageBreak/>
        <w:t xml:space="preserve">influence of faith-based groups on the policies of the </w:t>
      </w:r>
      <w:r w:rsidRPr="00E869A4">
        <w:rPr>
          <w:rFonts w:ascii="Times New Roman" w:eastAsia="Times New Roman" w:hAnsi="Times New Roman" w:cs="Times New Roman"/>
        </w:rPr>
        <w:t>s</w:t>
      </w:r>
      <w:r w:rsidR="004F33B6" w:rsidRPr="00E869A4">
        <w:rPr>
          <w:rFonts w:ascii="Times New Roman" w:eastAsia="Times New Roman" w:hAnsi="Times New Roman" w:cs="Times New Roman"/>
        </w:rPr>
        <w:t xml:space="preserve">tate, it is very likely that there will be large sectors of the society that support a familial approach as is the case in Southern European countries such as Spain, Italy and Greece (Mínguez 2004; Saraceno 2016). Another important consideration is that there are significant secular influences on Trinbagonian culture, which will not fully support a </w:t>
      </w:r>
      <w:r w:rsidR="004F33B6" w:rsidRPr="00E869A4">
        <w:rPr>
          <w:rFonts w:ascii="Times New Roman" w:eastAsia="Times New Roman" w:hAnsi="Times New Roman" w:cs="Times New Roman"/>
          <w:i/>
        </w:rPr>
        <w:t xml:space="preserve">familialistic </w:t>
      </w:r>
      <w:r w:rsidR="004F33B6" w:rsidRPr="00E869A4">
        <w:rPr>
          <w:rFonts w:ascii="Times New Roman" w:eastAsia="Times New Roman" w:hAnsi="Times New Roman" w:cs="Times New Roman"/>
        </w:rPr>
        <w:t xml:space="preserve">care regime. These contrasting cultural ‘poles’ of influence in the policy landscape of the country makes the possibility of an </w:t>
      </w:r>
      <w:r w:rsidR="004F33B6" w:rsidRPr="00E869A4">
        <w:rPr>
          <w:rFonts w:ascii="Times New Roman" w:eastAsia="Times New Roman" w:hAnsi="Times New Roman" w:cs="Times New Roman"/>
          <w:i/>
        </w:rPr>
        <w:t>optional familialistic</w:t>
      </w:r>
      <w:r w:rsidR="004F33B6" w:rsidRPr="00E869A4">
        <w:rPr>
          <w:rFonts w:ascii="Times New Roman" w:eastAsia="Times New Roman" w:hAnsi="Times New Roman" w:cs="Times New Roman"/>
        </w:rPr>
        <w:t xml:space="preserve"> regime for T&amp;T more feasible when compared to approaches that do not prioritise the rights of families to choose how family elder care should be provided.</w:t>
      </w:r>
      <w:r w:rsidRPr="00E869A4">
        <w:rPr>
          <w:rFonts w:ascii="Times New Roman" w:eastAsia="Times New Roman" w:hAnsi="Times New Roman" w:cs="Times New Roman"/>
        </w:rPr>
        <w:t xml:space="preserve"> </w:t>
      </w:r>
      <w:r w:rsidR="004F33B6" w:rsidRPr="00E869A4">
        <w:rPr>
          <w:rFonts w:ascii="Times New Roman" w:eastAsia="Times New Roman" w:hAnsi="Times New Roman" w:cs="Times New Roman"/>
        </w:rPr>
        <w:t xml:space="preserve">In light of the varied circumstances and preferences of individuals and families, choice must be a central tenet of a family care policy, especially in a diverse society such as obtains in T&amp;T. Given these and the other arguments presented above, this thesis maintains that an </w:t>
      </w:r>
      <w:r w:rsidR="004F33B6" w:rsidRPr="00E869A4">
        <w:rPr>
          <w:rFonts w:ascii="Times New Roman" w:eastAsia="Times New Roman" w:hAnsi="Times New Roman" w:cs="Times New Roman"/>
          <w:i/>
        </w:rPr>
        <w:t>optional familialism</w:t>
      </w:r>
      <w:r w:rsidR="004F33B6" w:rsidRPr="00E869A4">
        <w:rPr>
          <w:rFonts w:ascii="Times New Roman" w:eastAsia="Times New Roman" w:hAnsi="Times New Roman" w:cs="Times New Roman"/>
        </w:rPr>
        <w:t xml:space="preserve"> approach should inform family policy and programme development in T&amp;T. </w:t>
      </w:r>
    </w:p>
    <w:p w14:paraId="4AD5C5F6" w14:textId="77777777" w:rsidR="004F33B6" w:rsidRPr="00E869A4" w:rsidRDefault="004F33B6" w:rsidP="004F33B6">
      <w:pPr>
        <w:ind w:firstLine="720"/>
        <w:rPr>
          <w:rFonts w:ascii="Times New Roman" w:eastAsia="Calibri" w:hAnsi="Times New Roman" w:cs="Times New Roman"/>
        </w:rPr>
      </w:pPr>
    </w:p>
    <w:p w14:paraId="061843B7" w14:textId="77777777" w:rsidR="004F33B6" w:rsidRPr="00E869A4" w:rsidRDefault="004F33B6" w:rsidP="004F33B6">
      <w:pPr>
        <w:pStyle w:val="Heading4"/>
      </w:pPr>
      <w:r w:rsidRPr="00E869A4">
        <w:t xml:space="preserve">Complementarity </w:t>
      </w:r>
      <w:proofErr w:type="spellStart"/>
      <w:r w:rsidRPr="00E869A4">
        <w:t>vs</w:t>
      </w:r>
      <w:proofErr w:type="spellEnd"/>
      <w:r w:rsidRPr="00E869A4">
        <w:t xml:space="preserve"> Substitution of Family Care with Formal Services</w:t>
      </w:r>
    </w:p>
    <w:p w14:paraId="6BEA72AF" w14:textId="77777777" w:rsidR="004F33B6" w:rsidRPr="00E869A4" w:rsidRDefault="004F33B6" w:rsidP="004F33B6">
      <w:pPr>
        <w:rPr>
          <w:rFonts w:ascii="Times New Roman" w:eastAsia="Calibri" w:hAnsi="Times New Roman" w:cs="Times New Roman"/>
        </w:rPr>
      </w:pPr>
    </w:p>
    <w:p w14:paraId="1C3E8E0D" w14:textId="4625A047" w:rsidR="004F33B6" w:rsidRPr="00E869A4" w:rsidRDefault="004F33B6" w:rsidP="004F33B6">
      <w:pPr>
        <w:rPr>
          <w:rFonts w:ascii="Times New Roman" w:eastAsia="Calibri" w:hAnsi="Times New Roman" w:cs="Times New Roman"/>
        </w:rPr>
      </w:pPr>
      <w:r w:rsidRPr="00E869A4">
        <w:rPr>
          <w:rFonts w:ascii="Times New Roman" w:eastAsia="Calibri" w:hAnsi="Times New Roman" w:cs="Times New Roman"/>
        </w:rPr>
        <w:t xml:space="preserve">A related issue in the policy discourse is </w:t>
      </w:r>
      <w:r w:rsidR="0083386B" w:rsidRPr="00E869A4">
        <w:rPr>
          <w:rFonts w:ascii="Times New Roman" w:eastAsia="Calibri" w:hAnsi="Times New Roman" w:cs="Times New Roman"/>
        </w:rPr>
        <w:t>whether</w:t>
      </w:r>
      <w:r w:rsidRPr="00E869A4">
        <w:rPr>
          <w:rFonts w:ascii="Times New Roman" w:eastAsia="Calibri" w:hAnsi="Times New Roman" w:cs="Times New Roman"/>
        </w:rPr>
        <w:t xml:space="preserve"> the response of families to increased public service provision will be consistent with the complementarity or the substitution thesis. To recap, the complementarity or crowding-in view “sees care provisions as a mixed responsibility of state and family”, while the substitution or crowding-out view predicts that generous formal care provisions result in a reduction in the provision of informal care by families (Verbakel et al. 2017, p. 437). A third hypothesis which is consistent with the TSM, suggests that the “state and public take up those tasks in which they are best, implying specialization or functional differentiation”. Thus, “if formal care providers focus on medically demanding tasks requiring high levels of expertise, family members can focus on emotional comfort or practical help”. This latter approach is likely to result in “an optimal mix of care to those in need” </w:t>
      </w:r>
      <w:r w:rsidR="00E425CF" w:rsidRPr="00E869A4">
        <w:rPr>
          <w:rFonts w:ascii="Times New Roman" w:eastAsia="Calibri" w:hAnsi="Times New Roman" w:cs="Times New Roman"/>
        </w:rPr>
        <w:t>(Verbakel et al. 2017, p. 437)</w:t>
      </w:r>
      <w:r w:rsidRPr="00E869A4">
        <w:rPr>
          <w:rFonts w:ascii="Times New Roman" w:eastAsia="Calibri" w:hAnsi="Times New Roman" w:cs="Times New Roman"/>
        </w:rPr>
        <w:t xml:space="preserve">. </w:t>
      </w:r>
    </w:p>
    <w:p w14:paraId="2FB7916E" w14:textId="77777777" w:rsidR="0048754D" w:rsidRPr="00E869A4" w:rsidRDefault="0048754D" w:rsidP="004F33B6">
      <w:pPr>
        <w:rPr>
          <w:rFonts w:ascii="Times New Roman" w:eastAsia="Calibri" w:hAnsi="Times New Roman" w:cs="Times New Roman"/>
        </w:rPr>
      </w:pPr>
    </w:p>
    <w:p w14:paraId="6AA4FAB2" w14:textId="4EA346E1" w:rsidR="004F33B6" w:rsidRPr="00E869A4" w:rsidRDefault="004F33B6" w:rsidP="004F33B6">
      <w:pPr>
        <w:rPr>
          <w:rFonts w:ascii="Times New Roman" w:eastAsia="Calibri" w:hAnsi="Times New Roman" w:cs="Times New Roman"/>
        </w:rPr>
      </w:pPr>
      <w:r w:rsidRPr="00E869A4">
        <w:rPr>
          <w:rFonts w:ascii="Times New Roman" w:eastAsia="Calibri" w:hAnsi="Times New Roman" w:cs="Times New Roman"/>
        </w:rPr>
        <w:t xml:space="preserve">Relying on the evidence of filial piety that emerged from participants in this study, it </w:t>
      </w:r>
      <w:r w:rsidR="001D55AC" w:rsidRPr="00E869A4">
        <w:rPr>
          <w:rFonts w:ascii="Times New Roman" w:eastAsia="Calibri" w:hAnsi="Times New Roman" w:cs="Times New Roman"/>
        </w:rPr>
        <w:t>may be</w:t>
      </w:r>
      <w:r w:rsidRPr="00E869A4">
        <w:rPr>
          <w:rFonts w:ascii="Times New Roman" w:eastAsia="Calibri" w:hAnsi="Times New Roman" w:cs="Times New Roman"/>
        </w:rPr>
        <w:t xml:space="preserve"> reasonable to assume that the complementarity rather than the substitution thesis may be more appropriate for explaining the response of family carers in T&amp;T to an expansion in social welfare provisions. A</w:t>
      </w:r>
      <w:r w:rsidR="001D55AC" w:rsidRPr="00E869A4">
        <w:rPr>
          <w:rFonts w:ascii="Times New Roman" w:eastAsia="Calibri" w:hAnsi="Times New Roman" w:cs="Times New Roman"/>
        </w:rPr>
        <w:t>lso, a</w:t>
      </w:r>
      <w:r w:rsidRPr="00E869A4">
        <w:rPr>
          <w:rFonts w:ascii="Times New Roman" w:eastAsia="Calibri" w:hAnsi="Times New Roman" w:cs="Times New Roman"/>
        </w:rPr>
        <w:t xml:space="preserve">s indicated in the literature review, there is considerable evidence for the complementarity (crowding-in) thesis based on studies conducted in various nations (e.g </w:t>
      </w:r>
      <w:r w:rsidRPr="00E869A4">
        <w:rPr>
          <w:rFonts w:ascii="Times New Roman" w:hAnsi="Times New Roman" w:cs="Times New Roman"/>
        </w:rPr>
        <w:t xml:space="preserve">Arber &amp; Timonen 2012; </w:t>
      </w:r>
      <w:r w:rsidR="00DD34B4" w:rsidRPr="00E869A4">
        <w:rPr>
          <w:rFonts w:ascii="Times New Roman" w:hAnsi="Times New Roman" w:cs="Times New Roman"/>
        </w:rPr>
        <w:t>Barrett, Hale &amp; Butler 2014</w:t>
      </w:r>
      <w:r w:rsidRPr="00E869A4">
        <w:rPr>
          <w:rFonts w:ascii="Times New Roman" w:hAnsi="Times New Roman" w:cs="Times New Roman"/>
        </w:rPr>
        <w:t>; Birren et al. 2007;</w:t>
      </w:r>
      <w:r w:rsidRPr="00E869A4">
        <w:rPr>
          <w:rFonts w:ascii="Times New Roman" w:eastAsia="Calibri" w:hAnsi="Times New Roman" w:cs="Times New Roman"/>
        </w:rPr>
        <w:t xml:space="preserve"> </w:t>
      </w:r>
      <w:r w:rsidRPr="00E869A4">
        <w:rPr>
          <w:rFonts w:ascii="Times New Roman" w:hAnsi="Times New Roman" w:cs="Times New Roman"/>
        </w:rPr>
        <w:t xml:space="preserve">Masuy 2011; Merrill 1997; Reil-Held 2005; </w:t>
      </w:r>
      <w:r w:rsidRPr="00E869A4">
        <w:rPr>
          <w:rFonts w:ascii="Times New Roman" w:eastAsia="Calibri" w:hAnsi="Times New Roman" w:cs="Times New Roman"/>
        </w:rPr>
        <w:t xml:space="preserve">Spijker &amp; Zueras 2018; </w:t>
      </w:r>
      <w:r w:rsidR="00872799" w:rsidRPr="00E869A4">
        <w:rPr>
          <w:rFonts w:ascii="Times New Roman" w:eastAsia="Calibri" w:hAnsi="Times New Roman" w:cs="Times New Roman"/>
        </w:rPr>
        <w:t>Verbakel</w:t>
      </w:r>
      <w:r w:rsidRPr="00E869A4">
        <w:rPr>
          <w:rFonts w:ascii="Times New Roman" w:eastAsia="Calibri" w:hAnsi="Times New Roman" w:cs="Times New Roman"/>
        </w:rPr>
        <w:t xml:space="preserve"> et </w:t>
      </w:r>
      <w:r w:rsidRPr="00E869A4">
        <w:rPr>
          <w:rFonts w:ascii="Times New Roman" w:eastAsia="Calibri" w:hAnsi="Times New Roman" w:cs="Times New Roman"/>
        </w:rPr>
        <w:lastRenderedPageBreak/>
        <w:t xml:space="preserve">al. 2017). Thus, it is recommended that policymakers and social programme developers in T&amp;T should continue to pursue the strengthening of formal </w:t>
      </w:r>
      <w:r w:rsidR="00872799" w:rsidRPr="00E869A4">
        <w:rPr>
          <w:rFonts w:ascii="Times New Roman" w:eastAsia="Calibri" w:hAnsi="Times New Roman" w:cs="Times New Roman"/>
        </w:rPr>
        <w:t>long-term</w:t>
      </w:r>
      <w:r w:rsidRPr="00E869A4">
        <w:rPr>
          <w:rFonts w:ascii="Times New Roman" w:eastAsia="Calibri" w:hAnsi="Times New Roman" w:cs="Times New Roman"/>
        </w:rPr>
        <w:t xml:space="preserve"> care services</w:t>
      </w:r>
      <w:r w:rsidR="00872799" w:rsidRPr="00E869A4">
        <w:rPr>
          <w:rFonts w:ascii="Times New Roman" w:eastAsia="Calibri" w:hAnsi="Times New Roman" w:cs="Times New Roman"/>
        </w:rPr>
        <w:t>,</w:t>
      </w:r>
      <w:r w:rsidRPr="00E869A4">
        <w:rPr>
          <w:rFonts w:ascii="Times New Roman" w:eastAsia="Calibri" w:hAnsi="Times New Roman" w:cs="Times New Roman"/>
        </w:rPr>
        <w:t xml:space="preserve"> </w:t>
      </w:r>
      <w:r w:rsidR="00872799" w:rsidRPr="00E869A4">
        <w:rPr>
          <w:rFonts w:ascii="Times New Roman" w:eastAsia="Calibri" w:hAnsi="Times New Roman" w:cs="Times New Roman"/>
        </w:rPr>
        <w:t>to</w:t>
      </w:r>
      <w:r w:rsidRPr="00E869A4">
        <w:rPr>
          <w:rFonts w:ascii="Times New Roman" w:eastAsia="Calibri" w:hAnsi="Times New Roman" w:cs="Times New Roman"/>
        </w:rPr>
        <w:t xml:space="preserve"> ensure that the best quality of care is provided to frail older persons, in particular, those who are severely dependent. A primary goal of such services should be to preserve the dignity and wellbeing of older persons, and to ameliorate the support provided to family carers who may become overburdened in the absence of such provisions.</w:t>
      </w:r>
    </w:p>
    <w:p w14:paraId="56327593" w14:textId="77777777" w:rsidR="004F33B6" w:rsidRPr="00E869A4" w:rsidRDefault="004F33B6" w:rsidP="004F33B6">
      <w:pPr>
        <w:ind w:firstLine="720"/>
        <w:rPr>
          <w:rFonts w:ascii="Times New Roman" w:eastAsia="Calibri" w:hAnsi="Times New Roman" w:cs="Times New Roman"/>
        </w:rPr>
      </w:pPr>
    </w:p>
    <w:p w14:paraId="68D56C5B" w14:textId="6EE5D4CA" w:rsidR="004F33B6" w:rsidRPr="00E869A4" w:rsidRDefault="004F33B6" w:rsidP="004F33B6">
      <w:pPr>
        <w:rPr>
          <w:rFonts w:ascii="Times New Roman" w:eastAsia="Calibri" w:hAnsi="Times New Roman" w:cs="Times New Roman"/>
        </w:rPr>
      </w:pPr>
      <w:r w:rsidRPr="00E869A4">
        <w:rPr>
          <w:rFonts w:ascii="Times New Roman" w:eastAsia="Calibri" w:hAnsi="Times New Roman" w:cs="Times New Roman"/>
        </w:rPr>
        <w:t xml:space="preserve">At the same time, appropriate screening of applicants for formal care services should be implemented </w:t>
      </w:r>
      <w:r w:rsidR="00872799" w:rsidRPr="00E869A4">
        <w:rPr>
          <w:rFonts w:ascii="Times New Roman" w:eastAsia="Calibri" w:hAnsi="Times New Roman" w:cs="Times New Roman"/>
        </w:rPr>
        <w:t>to</w:t>
      </w:r>
      <w:r w:rsidRPr="00E869A4">
        <w:rPr>
          <w:rFonts w:ascii="Times New Roman" w:eastAsia="Calibri" w:hAnsi="Times New Roman" w:cs="Times New Roman"/>
        </w:rPr>
        <w:t xml:space="preserve"> avoid the provisions being abused </w:t>
      </w:r>
      <w:r w:rsidR="001D55AC" w:rsidRPr="00E869A4">
        <w:rPr>
          <w:rFonts w:ascii="Times New Roman" w:eastAsia="Calibri" w:hAnsi="Times New Roman" w:cs="Times New Roman"/>
        </w:rPr>
        <w:t xml:space="preserve">or overwhelmed </w:t>
      </w:r>
      <w:r w:rsidRPr="00E869A4">
        <w:rPr>
          <w:rFonts w:ascii="Times New Roman" w:eastAsia="Calibri" w:hAnsi="Times New Roman" w:cs="Times New Roman"/>
        </w:rPr>
        <w:t xml:space="preserve">by those who are not in actual need of them. Some more developed OECD countries (e.g. Spain, Sweden and the Netherlands) either explicitly or implicitly ration state provision of elder care services, based on whether or not a family member is ‘deemed’ to be available (Castiello et al. 2008). Given the relatively limited funds available to the GORTT, the rationing of some elder care support services should be maintained. However, there are limitations to means-testing which must also be considered. </w:t>
      </w:r>
    </w:p>
    <w:p w14:paraId="5EAAC4BC" w14:textId="77777777" w:rsidR="004F33B6" w:rsidRPr="00E869A4" w:rsidRDefault="004F33B6" w:rsidP="004F33B6">
      <w:pPr>
        <w:ind w:firstLine="720"/>
        <w:rPr>
          <w:rFonts w:ascii="Times New Roman" w:eastAsia="Calibri" w:hAnsi="Times New Roman" w:cs="Times New Roman"/>
        </w:rPr>
      </w:pPr>
    </w:p>
    <w:p w14:paraId="584A4CCB" w14:textId="5F168A98" w:rsidR="004F33B6" w:rsidRPr="00E869A4" w:rsidRDefault="004F33B6" w:rsidP="004F33B6">
      <w:pPr>
        <w:rPr>
          <w:rFonts w:ascii="Times New Roman" w:hAnsi="Times New Roman" w:cs="Times New Roman"/>
        </w:rPr>
      </w:pPr>
      <w:r w:rsidRPr="00E869A4">
        <w:rPr>
          <w:rFonts w:ascii="Times New Roman" w:eastAsia="Calibri" w:hAnsi="Times New Roman" w:cs="Times New Roman"/>
        </w:rPr>
        <w:t xml:space="preserve">Targeted approaches are generally associated with high administrative costs for data collection, processing and regular reassessment, the use of dehumanising, invasive procedures to assess need, and the stigmatisation of clients which contributes to the low uptake of these services by persons most in need of them (Dijkhoff 2019; Gugushvili &amp; Hirsch 2014; Merlis 2004). </w:t>
      </w:r>
      <w:r w:rsidRPr="00E869A4">
        <w:rPr>
          <w:rFonts w:ascii="Times New Roman" w:hAnsi="Times New Roman" w:cs="Times New Roman"/>
        </w:rPr>
        <w:t xml:space="preserve">Some of these challenges can be overcome by universal service provision. Advantages of universal interventions include the greater possibility of maintaining the dignity of all clients irrespective of their socio-economic background, the ability to mobilise more resources overall since both the non-poor and those living in poverty are integrated into the system (this increases the possibility of better quality services). Ultimately, universal programmes are more likely to achieve broader political support than those that are limited to low-income groups (Bloeck, Galiani &amp; Ibarrarán 2018; Brodsky et al. 2003). One drawback is that universal service provision </w:t>
      </w:r>
      <w:r w:rsidR="002D55E4" w:rsidRPr="00E869A4">
        <w:rPr>
          <w:rFonts w:ascii="Times New Roman" w:hAnsi="Times New Roman" w:cs="Times New Roman"/>
        </w:rPr>
        <w:t>frequently</w:t>
      </w:r>
      <w:r w:rsidRPr="00E869A4">
        <w:rPr>
          <w:rFonts w:ascii="Times New Roman" w:hAnsi="Times New Roman" w:cs="Times New Roman"/>
        </w:rPr>
        <w:t xml:space="preserve"> results in better-off groups receiving more support as they are more adept at navigating the system. These programs are also inherently very costly given the large number of persons that they cater to </w:t>
      </w:r>
      <w:r w:rsidRPr="00E869A4">
        <w:rPr>
          <w:rFonts w:ascii="Times New Roman" w:hAnsi="Times New Roman" w:cs="Times New Roman"/>
          <w:i/>
        </w:rPr>
        <w:t>en total</w:t>
      </w:r>
      <w:r w:rsidRPr="00E869A4">
        <w:rPr>
          <w:rFonts w:ascii="Times New Roman" w:hAnsi="Times New Roman" w:cs="Times New Roman"/>
        </w:rPr>
        <w:t>. Many countries, such as Sweden and Spain, have shifted from the universal model of care given these challenges (Brodsky et al. 2003; Spijker &amp; Zueras 2018).</w:t>
      </w:r>
    </w:p>
    <w:p w14:paraId="3570E22F" w14:textId="77777777" w:rsidR="004F33B6" w:rsidRPr="00E869A4" w:rsidRDefault="004F33B6" w:rsidP="004F33B6">
      <w:pPr>
        <w:rPr>
          <w:rFonts w:ascii="Times New Roman" w:hAnsi="Times New Roman" w:cs="Times New Roman"/>
        </w:rPr>
      </w:pPr>
    </w:p>
    <w:p w14:paraId="46A20821" w14:textId="4B409863" w:rsidR="004F33B6" w:rsidRPr="00E869A4" w:rsidRDefault="004F33B6" w:rsidP="004F33B6">
      <w:pPr>
        <w:rPr>
          <w:rFonts w:ascii="Times New Roman" w:eastAsia="Calibri" w:hAnsi="Times New Roman" w:cs="Times New Roman"/>
        </w:rPr>
      </w:pPr>
      <w:r w:rsidRPr="00E869A4">
        <w:rPr>
          <w:rFonts w:ascii="Times New Roman" w:hAnsi="Times New Roman" w:cs="Times New Roman"/>
        </w:rPr>
        <w:t>Bloeck, Galiani and Ibarrarán (2018) argue</w:t>
      </w:r>
      <w:r w:rsidR="00540345" w:rsidRPr="00E869A4">
        <w:rPr>
          <w:rFonts w:ascii="Times New Roman" w:hAnsi="Times New Roman" w:cs="Times New Roman"/>
        </w:rPr>
        <w:t>d</w:t>
      </w:r>
      <w:r w:rsidRPr="00E869A4">
        <w:rPr>
          <w:rFonts w:ascii="Times New Roman" w:hAnsi="Times New Roman" w:cs="Times New Roman"/>
        </w:rPr>
        <w:t xml:space="preserve"> that universal programmes are not feasible in the short term for developing nations. Given this, they recommended that targeting mechanisms be used for </w:t>
      </w:r>
      <w:r w:rsidR="00540345" w:rsidRPr="00E869A4">
        <w:rPr>
          <w:rFonts w:ascii="Times New Roman" w:hAnsi="Times New Roman" w:cs="Times New Roman"/>
        </w:rPr>
        <w:t>long-</w:t>
      </w:r>
      <w:r w:rsidR="00540345" w:rsidRPr="00E869A4">
        <w:rPr>
          <w:rFonts w:ascii="Times New Roman" w:hAnsi="Times New Roman" w:cs="Times New Roman"/>
        </w:rPr>
        <w:lastRenderedPageBreak/>
        <w:t>term</w:t>
      </w:r>
      <w:r w:rsidRPr="00E869A4">
        <w:rPr>
          <w:rFonts w:ascii="Times New Roman" w:hAnsi="Times New Roman" w:cs="Times New Roman"/>
        </w:rPr>
        <w:t xml:space="preserve"> care services. They advised that the weaknesses of targeted programmes can be largely overcome by careful analysis of potential beneficiaries using objective, verifiable information such as income, age, assets and labour market status, as well as the conduct of objective and transparent beneficiary evaluation that involves several actors undertaking such assessments. These recommendations seem feasible for the T&amp;T context as the evidence from this study confirmed that T&amp;T is already showing signs of universal services (e.g. public health care) being overwhelmed</w:t>
      </w:r>
      <w:r w:rsidR="00540345" w:rsidRPr="00E869A4">
        <w:rPr>
          <w:rFonts w:ascii="Times New Roman" w:hAnsi="Times New Roman" w:cs="Times New Roman"/>
        </w:rPr>
        <w:t>,</w:t>
      </w:r>
      <w:r w:rsidRPr="00E869A4">
        <w:rPr>
          <w:rFonts w:ascii="Times New Roman" w:hAnsi="Times New Roman" w:cs="Times New Roman"/>
        </w:rPr>
        <w:t xml:space="preserve"> and not achieving quality and other objectives. On the other hand, according to Bloeck and colleagues (2018), in </w:t>
      </w:r>
      <w:r w:rsidRPr="00E869A4">
        <w:rPr>
          <w:rFonts w:ascii="Times New Roman" w:eastAsia="Calibri" w:hAnsi="Times New Roman" w:cs="Times New Roman"/>
        </w:rPr>
        <w:t xml:space="preserve">the </w:t>
      </w:r>
      <w:r w:rsidR="00CE7571" w:rsidRPr="00E869A4">
        <w:rPr>
          <w:rFonts w:ascii="Times New Roman" w:eastAsia="Calibri" w:hAnsi="Times New Roman" w:cs="Times New Roman"/>
        </w:rPr>
        <w:t>LAC</w:t>
      </w:r>
      <w:r w:rsidRPr="00E869A4">
        <w:rPr>
          <w:rFonts w:ascii="Times New Roman" w:eastAsia="Calibri" w:hAnsi="Times New Roman" w:cs="Times New Roman"/>
        </w:rPr>
        <w:t xml:space="preserve"> region, targeted programmes are undermined by the high informality that is often used, while fiscal constraints and lack of required ‘know-how’ hinder the efficiency of universal programmes. Thus, </w:t>
      </w:r>
      <w:r w:rsidRPr="00E869A4">
        <w:rPr>
          <w:rFonts w:ascii="Times New Roman" w:hAnsi="Times New Roman" w:cs="Times New Roman"/>
        </w:rPr>
        <w:t>for targeting of services to be effective in T&amp;T, suitably trained staff will need to be assigned to conduct these assessments, and sufficient resources allocated to facilitate the monitoring and administration of targeting activities.</w:t>
      </w:r>
    </w:p>
    <w:p w14:paraId="511EB8C6" w14:textId="77777777" w:rsidR="004F33B6" w:rsidRPr="00E869A4" w:rsidRDefault="004F33B6" w:rsidP="004F33B6">
      <w:pPr>
        <w:ind w:firstLine="720"/>
        <w:rPr>
          <w:rFonts w:ascii="Times New Roman" w:eastAsia="Calibri" w:hAnsi="Times New Roman" w:cs="Times New Roman"/>
        </w:rPr>
      </w:pPr>
    </w:p>
    <w:p w14:paraId="0AEABBB9" w14:textId="635ADDED" w:rsidR="00DF1F0C" w:rsidRPr="00E869A4" w:rsidRDefault="004F33B6">
      <w:pPr>
        <w:rPr>
          <w:rFonts w:ascii="Times New Roman" w:hAnsi="Times New Roman" w:cs="Times New Roman"/>
        </w:rPr>
      </w:pPr>
      <w:r w:rsidRPr="00E869A4">
        <w:rPr>
          <w:rFonts w:ascii="Times New Roman" w:hAnsi="Times New Roman" w:cs="Times New Roman"/>
        </w:rPr>
        <w:t xml:space="preserve">In light of the challenges experienced in T&amp;T and other countries in the provision of universal and means-tested interventions, the adoption of a hybrid version of both might help to circumvent some of the bugbears associated with each approach.  In practice, many countries, including T&amp;T, have social security systems that utilise both strategies.  A universal program can cover everybody but vary benefits according to income (e.g. France’s </w:t>
      </w:r>
      <w:r w:rsidR="00DA46DD" w:rsidRPr="00E869A4">
        <w:rPr>
          <w:rFonts w:ascii="Times New Roman" w:hAnsi="Times New Roman" w:cs="Times New Roman"/>
        </w:rPr>
        <w:t>Allocation Personnalisée d'Autonomie)</w:t>
      </w:r>
      <w:r w:rsidR="00DA46DD" w:rsidRPr="00E869A4">
        <w:rPr>
          <w:rStyle w:val="FootnoteReference"/>
          <w:rFonts w:ascii="Times New Roman" w:hAnsi="Times New Roman" w:cs="Times New Roman"/>
        </w:rPr>
        <w:footnoteReference w:id="99"/>
      </w:r>
      <w:r w:rsidRPr="00E869A4">
        <w:rPr>
          <w:rFonts w:ascii="Times New Roman" w:hAnsi="Times New Roman" w:cs="Times New Roman"/>
        </w:rPr>
        <w:t>, while a means-tested program may use generous income standards with the result that much of the population is eligible (e.g. Israel’s social insurance programme</w:t>
      </w:r>
      <w:r w:rsidR="00842E8F" w:rsidRPr="00E869A4">
        <w:rPr>
          <w:rStyle w:val="FootnoteReference"/>
          <w:rFonts w:ascii="Times New Roman" w:hAnsi="Times New Roman" w:cs="Times New Roman"/>
        </w:rPr>
        <w:footnoteReference w:id="100"/>
      </w:r>
      <w:r w:rsidRPr="00E869A4">
        <w:rPr>
          <w:rFonts w:ascii="Times New Roman" w:hAnsi="Times New Roman" w:cs="Times New Roman"/>
        </w:rPr>
        <w:t>). Whatever eligibility criteria or funding mechanism is used, it must allow for a flexible response to changes in the supply of inputs to</w:t>
      </w:r>
      <w:r w:rsidR="00540345" w:rsidRPr="00E869A4">
        <w:rPr>
          <w:rFonts w:ascii="Times New Roman" w:hAnsi="Times New Roman" w:cs="Times New Roman"/>
        </w:rPr>
        <w:t>,</w:t>
      </w:r>
      <w:r w:rsidRPr="00E869A4">
        <w:rPr>
          <w:rFonts w:ascii="Times New Roman" w:hAnsi="Times New Roman" w:cs="Times New Roman"/>
        </w:rPr>
        <w:t xml:space="preserve"> and demand for services. </w:t>
      </w:r>
    </w:p>
    <w:p w14:paraId="4B54E20C" w14:textId="77777777" w:rsidR="00A47810" w:rsidRPr="00E869A4" w:rsidRDefault="00A47810">
      <w:pPr>
        <w:rPr>
          <w:b/>
          <w:i/>
          <w:u w:val="single"/>
        </w:rPr>
      </w:pPr>
    </w:p>
    <w:p w14:paraId="47A839D7" w14:textId="77777777" w:rsidR="00FC50D3" w:rsidRPr="00E869A4" w:rsidRDefault="00FC50D3">
      <w:pPr>
        <w:rPr>
          <w:b/>
          <w:i/>
          <w:u w:val="single"/>
        </w:rPr>
      </w:pPr>
      <w:r w:rsidRPr="00E869A4">
        <w:br w:type="page"/>
      </w:r>
    </w:p>
    <w:p w14:paraId="69AD0C1F" w14:textId="16189210" w:rsidR="004F33B6" w:rsidRPr="00E869A4" w:rsidRDefault="004F33B6" w:rsidP="004F33B6">
      <w:pPr>
        <w:pStyle w:val="Heading4"/>
      </w:pPr>
      <w:r w:rsidRPr="00E869A4">
        <w:lastRenderedPageBreak/>
        <w:t>Development of a National Family Elder Care Policy Framework</w:t>
      </w:r>
    </w:p>
    <w:p w14:paraId="2EB6F122" w14:textId="77777777" w:rsidR="004F33B6" w:rsidRPr="00E869A4" w:rsidRDefault="004F33B6" w:rsidP="004F33B6">
      <w:pPr>
        <w:rPr>
          <w:rFonts w:ascii="Times New Roman" w:eastAsia="Times New Roman" w:hAnsi="Times New Roman" w:cs="Times New Roman"/>
        </w:rPr>
      </w:pPr>
    </w:p>
    <w:p w14:paraId="3B4D6019" w14:textId="76B0F094" w:rsidR="004F33B6" w:rsidRPr="00E869A4" w:rsidRDefault="004F33B6" w:rsidP="00EF21AA">
      <w:pPr>
        <w:rPr>
          <w:rFonts w:ascii="Times New Roman" w:eastAsia="Times New Roman" w:hAnsi="Times New Roman" w:cs="Times New Roman"/>
        </w:rPr>
      </w:pPr>
      <w:r w:rsidRPr="00E869A4">
        <w:rPr>
          <w:rFonts w:ascii="Times New Roman" w:eastAsia="Times New Roman" w:hAnsi="Times New Roman" w:cs="Times New Roman"/>
        </w:rPr>
        <w:t xml:space="preserve">A main recommendation of this study is that the GORTT should develop a clearly articulated policy on family care for older persons. This policy framework can either be a stand-alone policy or, one that is integrated within other related policies such as the National Family Policy that is currently being drafted by the Ministry of Social Development and Family Services, or, the revised </w:t>
      </w:r>
      <w:r w:rsidR="00EF21AA" w:rsidRPr="00E869A4">
        <w:rPr>
          <w:rFonts w:ascii="Times New Roman" w:eastAsia="Times New Roman" w:hAnsi="Times New Roman" w:cs="Times New Roman"/>
        </w:rPr>
        <w:t>NPA</w:t>
      </w:r>
      <w:r w:rsidRPr="00E869A4">
        <w:rPr>
          <w:rFonts w:ascii="Times New Roman" w:eastAsia="Times New Roman" w:hAnsi="Times New Roman" w:cs="Times New Roman"/>
        </w:rPr>
        <w:t xml:space="preserve"> that has been on the agenda of that Ministry as due for completion (Jones et al. 2019). It might also be prudent to have a National Care Policy that addresses the needs of all carers, including persons who care for older persons, children, and </w:t>
      </w:r>
      <w:r w:rsidR="0025355A" w:rsidRPr="00E869A4">
        <w:rPr>
          <w:rFonts w:ascii="Times New Roman" w:eastAsia="Times New Roman" w:hAnsi="Times New Roman" w:cs="Times New Roman"/>
        </w:rPr>
        <w:t>pwds</w:t>
      </w:r>
      <w:r w:rsidRPr="00E869A4">
        <w:rPr>
          <w:rFonts w:ascii="Times New Roman" w:eastAsia="Times New Roman" w:hAnsi="Times New Roman" w:cs="Times New Roman"/>
        </w:rPr>
        <w:t xml:space="preserve"> altogether. Countries with explicit national policies that target informal carers include England, the Netherlands and Sweden (Courtin, Jemiai &amp; Mossialos 2014). Whatever the instrument that is used, policy provisions for family elder care should be overt, and, as was argued above, they should be based on the principles of </w:t>
      </w:r>
      <w:r w:rsidRPr="00E869A4">
        <w:rPr>
          <w:rFonts w:ascii="Times New Roman" w:eastAsia="Times New Roman" w:hAnsi="Times New Roman" w:cs="Times New Roman"/>
          <w:i/>
        </w:rPr>
        <w:t>optional familialism</w:t>
      </w:r>
      <w:r w:rsidRPr="00E869A4">
        <w:rPr>
          <w:rFonts w:ascii="Times New Roman" w:eastAsia="Times New Roman" w:hAnsi="Times New Roman" w:cs="Times New Roman"/>
        </w:rPr>
        <w:t xml:space="preserve">.  Such an approach will help to ensure that family carers and older persons are better supported, and have ‘real’ choice with regards to family care support. It would also lay the foundation for the development of a National Strategy for </w:t>
      </w:r>
      <w:r w:rsidR="006B0C17" w:rsidRPr="00E869A4">
        <w:rPr>
          <w:rFonts w:ascii="Times New Roman" w:eastAsia="Times New Roman" w:hAnsi="Times New Roman" w:cs="Times New Roman"/>
        </w:rPr>
        <w:t>Carers, which</w:t>
      </w:r>
      <w:r w:rsidRPr="00E869A4">
        <w:rPr>
          <w:rFonts w:ascii="Times New Roman" w:eastAsia="Times New Roman" w:hAnsi="Times New Roman" w:cs="Times New Roman"/>
        </w:rPr>
        <w:t xml:space="preserve"> is a further recommendation for T&amp;T. A National Strategy will specifically address support services for informal carers (Courtin, Jemiai &amp; Mossialos 2014).</w:t>
      </w:r>
    </w:p>
    <w:p w14:paraId="226C6225" w14:textId="77777777" w:rsidR="004F33B6" w:rsidRPr="00E869A4" w:rsidRDefault="004F33B6" w:rsidP="004F33B6">
      <w:pPr>
        <w:ind w:firstLine="720"/>
        <w:rPr>
          <w:rFonts w:eastAsia="Calibri"/>
          <w:b/>
          <w:i/>
          <w:lang w:val="en-TT"/>
        </w:rPr>
      </w:pPr>
    </w:p>
    <w:p w14:paraId="32FDEEB9" w14:textId="77777777" w:rsidR="004F33B6" w:rsidRPr="00E869A4" w:rsidRDefault="004F33B6" w:rsidP="0031040A">
      <w:pPr>
        <w:pStyle w:val="Heading5"/>
        <w:rPr>
          <w:color w:val="auto"/>
        </w:rPr>
      </w:pPr>
      <w:r w:rsidRPr="00E869A4">
        <w:rPr>
          <w:color w:val="auto"/>
        </w:rPr>
        <w:t>Development of a National Carer’s Charter</w:t>
      </w:r>
    </w:p>
    <w:p w14:paraId="52BBFB69" w14:textId="77777777" w:rsidR="004F33B6" w:rsidRPr="00E869A4" w:rsidRDefault="004F33B6" w:rsidP="004F33B6">
      <w:pPr>
        <w:rPr>
          <w:rFonts w:ascii="Times New Roman" w:hAnsi="Times New Roman" w:cs="Times New Roman"/>
        </w:rPr>
      </w:pPr>
    </w:p>
    <w:p w14:paraId="10A8BA92" w14:textId="6A91A78E" w:rsidR="004F33B6" w:rsidRPr="00E869A4" w:rsidRDefault="004F33B6" w:rsidP="004F33B6">
      <w:pPr>
        <w:ind w:firstLine="720"/>
        <w:rPr>
          <w:rFonts w:ascii="Times New Roman" w:eastAsia="Calibri" w:hAnsi="Times New Roman" w:cs="Times New Roman"/>
        </w:rPr>
      </w:pPr>
      <w:r w:rsidRPr="00E869A4">
        <w:rPr>
          <w:rFonts w:ascii="Times New Roman" w:hAnsi="Times New Roman" w:cs="Times New Roman"/>
        </w:rPr>
        <w:t>This thesis proposes that a Carer’s Charter</w:t>
      </w:r>
      <w:r w:rsidRPr="00E869A4">
        <w:rPr>
          <w:rStyle w:val="FootnoteReference"/>
          <w:rFonts w:cs="Times New Roman"/>
        </w:rPr>
        <w:footnoteReference w:id="101"/>
      </w:r>
      <w:r w:rsidRPr="00E869A4">
        <w:rPr>
          <w:rFonts w:ascii="Times New Roman" w:hAnsi="Times New Roman" w:cs="Times New Roman"/>
        </w:rPr>
        <w:t xml:space="preserve"> be developed for T&amp;T either in lieu of or as an outcome of the policy development process for the formulation of a National Family Care Policy. A key benefit of a Charter is that it helps to make the rights of carers more visible, which is what is desperately needed in T&amp;T where caregiving is, in many respects, a taken-for-granted activity. Kohler and colleagues (2006) provide useful guidelines on the aims and articles of a (draft) EU Charter. Based on their review of Charters in five European countries (i.e. the UK, Ireland, the Netherlands, Finland, and Germany), Kohler, Schreiber, and Döhner (2006) observed that access to relevant information, practical help, and entitlement to respite care were noted in all Charters. Most of the Charters identified the right to financial support, awareness, and freedom of choice</w:t>
      </w:r>
      <w:r w:rsidR="00C507E6" w:rsidRPr="00E869A4">
        <w:rPr>
          <w:rFonts w:ascii="Times New Roman" w:hAnsi="Times New Roman" w:cs="Times New Roman"/>
        </w:rPr>
        <w:t xml:space="preserve">. Other important aspects of the Charters included coordination of services, participation, support services, emotional support, training and counselling. Individual countries </w:t>
      </w:r>
      <w:r w:rsidR="00C507E6" w:rsidRPr="00E869A4">
        <w:rPr>
          <w:rFonts w:ascii="Times New Roman" w:hAnsi="Times New Roman" w:cs="Times New Roman"/>
        </w:rPr>
        <w:lastRenderedPageBreak/>
        <w:t>had the following unique themes in their Charter: regular assessment of care needs, involvement of family members, acknowledgement of family carers, planning for the future, infrastructure of care, equality, employment, the right to a personal life, caring as a human relationship, the health and functional capacity of family carers must be looked after, and, the right to have peer support (Kohler, Schreiber &amp; Döhner 2006)</w:t>
      </w:r>
      <w:r w:rsidRPr="00E869A4">
        <w:rPr>
          <w:rFonts w:ascii="Times New Roman" w:hAnsi="Times New Roman" w:cs="Times New Roman"/>
        </w:rPr>
        <w:t xml:space="preserve">. Public consultations and other data gathering exercises will need to be conducted in T&amp;T on the aims, articles and other aspects of the Charter so that one that is relevant to the specific cultural context of the nation can be formulated. </w:t>
      </w:r>
    </w:p>
    <w:p w14:paraId="55C427EE" w14:textId="77777777" w:rsidR="004F33B6" w:rsidRPr="00E869A4" w:rsidRDefault="004F33B6" w:rsidP="004F33B6">
      <w:pPr>
        <w:pStyle w:val="Heading4"/>
      </w:pPr>
    </w:p>
    <w:p w14:paraId="078DC3EF" w14:textId="77777777" w:rsidR="004F33B6" w:rsidRPr="00E869A4" w:rsidRDefault="004F33B6" w:rsidP="004F33B6">
      <w:pPr>
        <w:pStyle w:val="Heading4"/>
      </w:pPr>
      <w:r w:rsidRPr="00E869A4">
        <w:t>Other Policy Considerations</w:t>
      </w:r>
    </w:p>
    <w:p w14:paraId="64A26856" w14:textId="77777777" w:rsidR="004F33B6" w:rsidRPr="00E869A4" w:rsidRDefault="004F33B6" w:rsidP="004F33B6">
      <w:pPr>
        <w:pStyle w:val="Heading4"/>
      </w:pPr>
    </w:p>
    <w:p w14:paraId="45899424" w14:textId="77777777" w:rsidR="004F33B6" w:rsidRPr="00E869A4" w:rsidRDefault="004F33B6" w:rsidP="0031040A">
      <w:pPr>
        <w:pStyle w:val="Heading5"/>
        <w:rPr>
          <w:color w:val="auto"/>
        </w:rPr>
      </w:pPr>
      <w:r w:rsidRPr="00E869A4">
        <w:rPr>
          <w:color w:val="auto"/>
        </w:rPr>
        <w:t xml:space="preserve">Defining family </w:t>
      </w:r>
    </w:p>
    <w:p w14:paraId="4A050E4E" w14:textId="77777777" w:rsidR="004F33B6" w:rsidRPr="00E869A4" w:rsidRDefault="004F33B6" w:rsidP="004F33B6">
      <w:pPr>
        <w:rPr>
          <w:rFonts w:ascii="Times New Roman" w:eastAsia="Times New Roman" w:hAnsi="Times New Roman" w:cs="Times New Roman"/>
        </w:rPr>
      </w:pPr>
    </w:p>
    <w:p w14:paraId="3F02AF63" w14:textId="05787336" w:rsidR="004F33B6" w:rsidRPr="00E869A4" w:rsidRDefault="009E5752" w:rsidP="004F33B6">
      <w:pPr>
        <w:rPr>
          <w:rFonts w:ascii="Times New Roman" w:eastAsia="Times New Roman" w:hAnsi="Times New Roman" w:cs="Times New Roman"/>
        </w:rPr>
      </w:pPr>
      <w:r w:rsidRPr="00E869A4">
        <w:rPr>
          <w:rFonts w:ascii="Times New Roman" w:eastAsia="Times New Roman" w:hAnsi="Times New Roman" w:cs="Times New Roman"/>
        </w:rPr>
        <w:t>P</w:t>
      </w:r>
      <w:r w:rsidR="001D6DDB" w:rsidRPr="00E869A4">
        <w:rPr>
          <w:rFonts w:ascii="Times New Roman" w:eastAsia="Times New Roman" w:hAnsi="Times New Roman" w:cs="Times New Roman"/>
        </w:rPr>
        <w:t xml:space="preserve">olicy makers </w:t>
      </w:r>
      <w:r w:rsidR="004F33B6" w:rsidRPr="00E869A4">
        <w:rPr>
          <w:rFonts w:ascii="Times New Roman" w:eastAsia="Times New Roman" w:hAnsi="Times New Roman" w:cs="Times New Roman"/>
        </w:rPr>
        <w:t xml:space="preserve">should avoid mistakenly assuming that the nuclear family is the ideal entity from which adequate elder care should be provided. The challenges of family caregivers from small nuclear family contexts were very apparent in this study. There were various reasons why some of the families were small, including the death of </w:t>
      </w:r>
      <w:r w:rsidR="002F0E15" w:rsidRPr="00E869A4">
        <w:rPr>
          <w:rFonts w:ascii="Times New Roman" w:eastAsia="Times New Roman" w:hAnsi="Times New Roman" w:cs="Times New Roman"/>
        </w:rPr>
        <w:t>an adult-child/</w:t>
      </w:r>
      <w:r w:rsidR="004F33B6" w:rsidRPr="00E869A4">
        <w:rPr>
          <w:rFonts w:ascii="Times New Roman" w:eastAsia="Times New Roman" w:hAnsi="Times New Roman" w:cs="Times New Roman"/>
        </w:rPr>
        <w:t>sibling or the migration of relatives. Some participants indicated that they were not very close to extended-kin, so could not depend on them to provide primary or secondary family care support. These findings, lend themselves to the conclusion that the existence of certain types of family composition will not automatically protect an individual from being neglected by relatives in later life. The care needs of older persons that were de-facto childless were also evident in this study, especially among those who lived alone</w:t>
      </w:r>
      <w:r w:rsidR="004F33B6" w:rsidRPr="00E869A4">
        <w:rPr>
          <w:rStyle w:val="FootnoteReference"/>
          <w:rFonts w:eastAsia="Times New Roman" w:cs="Times New Roman"/>
        </w:rPr>
        <w:footnoteReference w:id="102"/>
      </w:r>
      <w:r w:rsidR="004F33B6" w:rsidRPr="00E869A4">
        <w:rPr>
          <w:rFonts w:ascii="Times New Roman" w:eastAsia="Times New Roman" w:hAnsi="Times New Roman" w:cs="Times New Roman"/>
        </w:rPr>
        <w:t xml:space="preserve">. Thus, it is essential that policymakers and practitioners avoid limiting ‘family’ to the nuclear model as this might result in the exclusion of persons who actually care for and about the older individual, and who the older person identifies as their family carer. </w:t>
      </w:r>
    </w:p>
    <w:p w14:paraId="650F35C4" w14:textId="77777777" w:rsidR="004F33B6" w:rsidRPr="00E869A4" w:rsidRDefault="004F33B6" w:rsidP="004F33B6">
      <w:pPr>
        <w:rPr>
          <w:rFonts w:ascii="Times New Roman" w:eastAsia="Times New Roman" w:hAnsi="Times New Roman" w:cs="Times New Roman"/>
        </w:rPr>
      </w:pPr>
    </w:p>
    <w:p w14:paraId="138E8103" w14:textId="2F67915D" w:rsidR="004F33B6" w:rsidRPr="00E869A4" w:rsidRDefault="004F33B6" w:rsidP="004F33B6">
      <w:pPr>
        <w:rPr>
          <w:rFonts w:ascii="Times New Roman" w:eastAsia="Times New Roman" w:hAnsi="Times New Roman" w:cs="Times New Roman"/>
        </w:rPr>
      </w:pPr>
      <w:r w:rsidRPr="00E869A4">
        <w:rPr>
          <w:rFonts w:ascii="Times New Roman" w:eastAsia="Times New Roman" w:hAnsi="Times New Roman" w:cs="Times New Roman"/>
        </w:rPr>
        <w:t>Welch and colleague</w:t>
      </w:r>
      <w:r w:rsidR="006B0C17" w:rsidRPr="00E869A4">
        <w:rPr>
          <w:rFonts w:ascii="Times New Roman" w:eastAsia="Times New Roman" w:hAnsi="Times New Roman" w:cs="Times New Roman"/>
        </w:rPr>
        <w:t>s’</w:t>
      </w:r>
      <w:r w:rsidRPr="00E869A4">
        <w:rPr>
          <w:rFonts w:ascii="Times New Roman" w:eastAsia="Times New Roman" w:hAnsi="Times New Roman" w:cs="Times New Roman"/>
        </w:rPr>
        <w:t xml:space="preserve"> (2016) recommendations for T&amp;T’s health care system make reference to “limited specified relatives”. But who are these ‘specified relatives’? A family centred care approach will be best achieved by using a broad definition of family so as to avoid the exclusion of actual caregivers from health and social care arrangements. One possible definition is that provided in the Anne Arundel Medical Center (AAMC) Family Presence and Visiting Policy which defined family as, “a group of </w:t>
      </w:r>
      <w:r w:rsidRPr="00E869A4">
        <w:rPr>
          <w:rFonts w:ascii="Times New Roman" w:eastAsia="Times New Roman" w:hAnsi="Times New Roman" w:cs="Times New Roman"/>
        </w:rPr>
        <w:lastRenderedPageBreak/>
        <w:t xml:space="preserve">individuals with a continued legal, genetic and/or emotional relationship as defined by the </w:t>
      </w:r>
      <w:r w:rsidR="0034568B" w:rsidRPr="00E869A4">
        <w:rPr>
          <w:rFonts w:ascii="Times New Roman" w:eastAsia="Times New Roman" w:hAnsi="Times New Roman" w:cs="Times New Roman"/>
        </w:rPr>
        <w:t>patient”. Visitors</w:t>
      </w:r>
      <w:r w:rsidRPr="00E869A4">
        <w:rPr>
          <w:rFonts w:ascii="Times New Roman" w:eastAsia="Times New Roman" w:hAnsi="Times New Roman" w:cs="Times New Roman"/>
        </w:rPr>
        <w:t xml:space="preserve"> are defined as “guests of the patient or family, who may or may not be a blood relation” (Dokken et al. 2015, p. 35). This definition allows fictive kin to be recognised and respected within formal care contexts. As this and other studies have shown, it is important to acknowledge the role of fictive kin relationships in official policy as their care support sometimes exceeds that of biological and </w:t>
      </w:r>
      <w:r w:rsidRPr="00E869A4">
        <w:rPr>
          <w:rFonts w:ascii="Times New Roman" w:eastAsia="Times New Roman" w:hAnsi="Times New Roman" w:cs="Times New Roman"/>
          <w:i/>
        </w:rPr>
        <w:t>de jure</w:t>
      </w:r>
      <w:r w:rsidRPr="00E869A4">
        <w:rPr>
          <w:rFonts w:ascii="Times New Roman" w:eastAsia="Times New Roman" w:hAnsi="Times New Roman" w:cs="Times New Roman"/>
        </w:rPr>
        <w:t xml:space="preserve"> relatives.</w:t>
      </w:r>
    </w:p>
    <w:p w14:paraId="5CF81DA4" w14:textId="77777777" w:rsidR="004F33B6" w:rsidRPr="00E869A4" w:rsidRDefault="004F33B6" w:rsidP="004F33B6">
      <w:pPr>
        <w:ind w:firstLine="720"/>
        <w:rPr>
          <w:rFonts w:eastAsia="Calibri"/>
          <w:lang w:val="en-TT"/>
        </w:rPr>
      </w:pPr>
    </w:p>
    <w:p w14:paraId="3595F658" w14:textId="25DC097E" w:rsidR="004F33B6" w:rsidRPr="00E869A4" w:rsidRDefault="004F33B6" w:rsidP="0031040A">
      <w:pPr>
        <w:pStyle w:val="Heading5"/>
        <w:numPr>
          <w:ilvl w:val="0"/>
          <w:numId w:val="0"/>
        </w:numPr>
        <w:rPr>
          <w:color w:val="auto"/>
        </w:rPr>
      </w:pPr>
      <w:r w:rsidRPr="00E869A4">
        <w:rPr>
          <w:color w:val="auto"/>
        </w:rPr>
        <w:t>Gendered notions of family care</w:t>
      </w:r>
    </w:p>
    <w:p w14:paraId="551858AC" w14:textId="77777777" w:rsidR="004F33B6" w:rsidRPr="00E869A4" w:rsidRDefault="004F33B6" w:rsidP="004F33B6">
      <w:pPr>
        <w:rPr>
          <w:lang w:val="en-TT"/>
        </w:rPr>
      </w:pPr>
    </w:p>
    <w:p w14:paraId="220E9BFF" w14:textId="77777777" w:rsidR="004F33B6" w:rsidRPr="00E869A4" w:rsidRDefault="004F33B6" w:rsidP="004F33B6">
      <w:pPr>
        <w:rPr>
          <w:rFonts w:ascii="Times New Roman" w:eastAsia="Times New Roman" w:hAnsi="Times New Roman" w:cs="Times New Roman"/>
        </w:rPr>
      </w:pPr>
      <w:r w:rsidRPr="00E869A4">
        <w:rPr>
          <w:rFonts w:ascii="Times New Roman" w:eastAsia="Calibri" w:hAnsi="Times New Roman" w:cs="Times New Roman"/>
        </w:rPr>
        <w:t>In keeping with the findings of this study</w:t>
      </w:r>
      <w:r w:rsidRPr="00E869A4">
        <w:rPr>
          <w:rStyle w:val="FootnoteReference"/>
          <w:rFonts w:eastAsia="Calibri" w:cs="Times New Roman"/>
        </w:rPr>
        <w:footnoteReference w:id="103"/>
      </w:r>
      <w:r w:rsidRPr="00E869A4">
        <w:rPr>
          <w:rFonts w:ascii="Times New Roman" w:eastAsia="Calibri" w:hAnsi="Times New Roman" w:cs="Times New Roman"/>
        </w:rPr>
        <w:t xml:space="preserve">, a family care policy for older persons in T&amp;T should promote </w:t>
      </w:r>
      <w:r w:rsidRPr="00E869A4">
        <w:rPr>
          <w:rFonts w:ascii="Times New Roman" w:eastAsia="Times New Roman" w:hAnsi="Times New Roman" w:cs="Times New Roman"/>
        </w:rPr>
        <w:t xml:space="preserve">“the equal sharing of care responsibilities between men and women” (Jones et al. 2019, p. 30). As Razavi (2007, p. 2) asserted: </w:t>
      </w:r>
    </w:p>
    <w:p w14:paraId="71F7464C" w14:textId="77777777" w:rsidR="006B0C17" w:rsidRPr="00E869A4" w:rsidRDefault="006B0C17" w:rsidP="0034568B">
      <w:pPr>
        <w:spacing w:line="240" w:lineRule="auto"/>
        <w:rPr>
          <w:rFonts w:ascii="Times New Roman" w:eastAsia="Times New Roman" w:hAnsi="Times New Roman" w:cs="Times New Roman"/>
        </w:rPr>
      </w:pPr>
    </w:p>
    <w:p w14:paraId="2583537D" w14:textId="33A92AC9" w:rsidR="004F33B6" w:rsidRPr="00E869A4" w:rsidRDefault="004F33B6" w:rsidP="00DF1F0C">
      <w:pPr>
        <w:spacing w:line="240" w:lineRule="auto"/>
        <w:ind w:left="567" w:firstLine="0"/>
        <w:rPr>
          <w:rFonts w:ascii="Times New Roman" w:eastAsia="Times New Roman" w:hAnsi="Times New Roman" w:cs="Times New Roman"/>
        </w:rPr>
      </w:pPr>
      <w:r w:rsidRPr="00E869A4">
        <w:rPr>
          <w:rFonts w:ascii="Times New Roman" w:eastAsia="Times New Roman" w:hAnsi="Times New Roman" w:cs="Times New Roman"/>
        </w:rPr>
        <w:t>Ideally, society should recognize and value the importance of different forms of care, but without reinforcing care work as something that only women can or should do, given the well-known and adverse consequences of such gendering: women’s financial precariousness and their exclusion from the public domain</w:t>
      </w:r>
      <w:r w:rsidR="00DF1F0C" w:rsidRPr="00E869A4">
        <w:rPr>
          <w:rFonts w:ascii="Times New Roman" w:eastAsia="Times New Roman" w:hAnsi="Times New Roman" w:cs="Times New Roman"/>
        </w:rPr>
        <w:t>.</w:t>
      </w:r>
    </w:p>
    <w:p w14:paraId="4E2A7A7C" w14:textId="77777777" w:rsidR="006B0C17" w:rsidRPr="00E869A4" w:rsidRDefault="006B0C17" w:rsidP="0034568B">
      <w:pPr>
        <w:spacing w:line="240" w:lineRule="auto"/>
        <w:rPr>
          <w:rFonts w:ascii="Times New Roman" w:eastAsia="Times New Roman" w:hAnsi="Times New Roman" w:cs="Times New Roman"/>
        </w:rPr>
      </w:pPr>
    </w:p>
    <w:p w14:paraId="3A26B1AF" w14:textId="77777777" w:rsidR="004F33B6" w:rsidRPr="00E869A4" w:rsidRDefault="004F33B6" w:rsidP="006B0C17">
      <w:pPr>
        <w:ind w:firstLine="0"/>
        <w:rPr>
          <w:rFonts w:ascii="Times New Roman" w:eastAsia="Times New Roman" w:hAnsi="Times New Roman" w:cs="Times New Roman"/>
        </w:rPr>
      </w:pPr>
      <w:r w:rsidRPr="00E869A4">
        <w:rPr>
          <w:rFonts w:ascii="Times New Roman" w:eastAsia="Times New Roman" w:hAnsi="Times New Roman" w:cs="Times New Roman"/>
        </w:rPr>
        <w:t xml:space="preserve">This is especially needed given the limited pool of potential family carers in T&amp;T, which is an offshoot of the ageing of the nation’s population. </w:t>
      </w:r>
      <w:r w:rsidRPr="00E869A4">
        <w:rPr>
          <w:rFonts w:ascii="Times New Roman" w:hAnsi="Times New Roman" w:cs="Times New Roman"/>
        </w:rPr>
        <w:t xml:space="preserve">The unequal distribution of opportunities and responsibilities in the formal work domain may push women into the caregiver role more often than men, and thus limit their ability to function in other areas (e.g. personal health and wellness). The international research also indicates that women experience higher caregiver burden and more negative effects of caregiving than men, which may be primarily explained by the fact that women provide more hours of care than their male counterparts </w:t>
      </w:r>
      <w:r w:rsidRPr="00E869A4">
        <w:rPr>
          <w:rFonts w:ascii="Times New Roman" w:eastAsia="Times New Roman" w:hAnsi="Times New Roman" w:cs="Times New Roman"/>
        </w:rPr>
        <w:t>(Swinkels et al. 2017)</w:t>
      </w:r>
      <w:r w:rsidRPr="00E869A4">
        <w:rPr>
          <w:rFonts w:ascii="Times New Roman" w:hAnsi="Times New Roman" w:cs="Times New Roman"/>
        </w:rPr>
        <w:t xml:space="preserve">. To ensure greater gender parity, the UN recommended that caregiving and unpaid work in families be recognised and supported and, suggested that this can be achieved by providing financial compensation to informal carers (Trask 2016, p.17). </w:t>
      </w:r>
    </w:p>
    <w:p w14:paraId="797B6727" w14:textId="77777777" w:rsidR="004F33B6" w:rsidRPr="00E869A4" w:rsidRDefault="004F33B6" w:rsidP="004F33B6">
      <w:pPr>
        <w:ind w:firstLine="720"/>
        <w:rPr>
          <w:rFonts w:ascii="Times New Roman" w:eastAsia="Times New Roman" w:hAnsi="Times New Roman" w:cs="Times New Roman"/>
        </w:rPr>
      </w:pPr>
    </w:p>
    <w:p w14:paraId="0E31488B" w14:textId="404B37EC"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The provision of cash-benefits is mainly </w:t>
      </w:r>
      <w:r w:rsidR="006B0C17" w:rsidRPr="00E869A4">
        <w:rPr>
          <w:rFonts w:ascii="Times New Roman" w:hAnsi="Times New Roman" w:cs="Times New Roman"/>
        </w:rPr>
        <w:t xml:space="preserve">based </w:t>
      </w:r>
      <w:r w:rsidRPr="00E869A4">
        <w:rPr>
          <w:rFonts w:ascii="Times New Roman" w:hAnsi="Times New Roman" w:cs="Times New Roman"/>
        </w:rPr>
        <w:t xml:space="preserve">on the assumption that families “have an informational advantage regarding their needs and therefore make a better allocation of their funds” (Bloeck, Galiani &amp; Ibarrarán 2018, p. 22). In some countries (e.g. Denmark, Finland, Germany and </w:t>
      </w:r>
      <w:r w:rsidRPr="00E869A4">
        <w:rPr>
          <w:rFonts w:ascii="Times New Roman" w:hAnsi="Times New Roman" w:cs="Times New Roman"/>
        </w:rPr>
        <w:lastRenderedPageBreak/>
        <w:t xml:space="preserve">Ireland) a carer’s allowance is provided, while in others (e.g. Austria, Belgium, Bulgaria, the Czech Republic and France), an attendance allowance is given to the older person to cover the cost of informal carers </w:t>
      </w:r>
      <w:r w:rsidRPr="00E869A4">
        <w:rPr>
          <w:rFonts w:ascii="Times New Roman" w:eastAsia="Times New Roman" w:hAnsi="Times New Roman" w:cs="Times New Roman"/>
          <w:bCs/>
          <w:iCs/>
          <w:lang w:eastAsia="en-US"/>
        </w:rPr>
        <w:t>(Courtin, Jemiai &amp; Mossialos 2014; Daly &amp; Clavero 2004; Mestheneos &amp; Triantafillou 2005). In several jurisdictions (e.g. the UK, the Netherlands, Slovakia, and Sweden), both types of cash benefit are available (</w:t>
      </w:r>
      <w:r w:rsidRPr="00E869A4">
        <w:rPr>
          <w:rFonts w:ascii="Times New Roman" w:eastAsia="Times New Roman" w:hAnsi="Times New Roman" w:cs="Times New Roman"/>
        </w:rPr>
        <w:t>Courtin, Jemiai &amp; Mossialos</w:t>
      </w:r>
      <w:r w:rsidRPr="00E869A4">
        <w:rPr>
          <w:rFonts w:ascii="Times New Roman" w:eastAsia="Times New Roman" w:hAnsi="Times New Roman" w:cs="Times New Roman"/>
          <w:bCs/>
          <w:iCs/>
          <w:lang w:eastAsia="en-US"/>
        </w:rPr>
        <w:t xml:space="preserve"> 2014). </w:t>
      </w:r>
      <w:r w:rsidRPr="00E869A4">
        <w:rPr>
          <w:rFonts w:ascii="Times New Roman" w:hAnsi="Times New Roman" w:cs="Times New Roman"/>
        </w:rPr>
        <w:t xml:space="preserve">Once properly managed, cash-benefits incur relatively lower administrative costs when compared to in-kind services. As Courtin and colleagues (2014, p. 92) observed from their review of benefits to older persons and their </w:t>
      </w:r>
      <w:proofErr w:type="spellStart"/>
      <w:r w:rsidRPr="00E869A4">
        <w:rPr>
          <w:rFonts w:ascii="Times New Roman" w:hAnsi="Times New Roman" w:cs="Times New Roman"/>
        </w:rPr>
        <w:t>carers</w:t>
      </w:r>
      <w:proofErr w:type="spellEnd"/>
      <w:r w:rsidRPr="00E869A4">
        <w:rPr>
          <w:rFonts w:ascii="Times New Roman" w:hAnsi="Times New Roman" w:cs="Times New Roman"/>
        </w:rPr>
        <w:t xml:space="preserve"> in various countries:</w:t>
      </w:r>
    </w:p>
    <w:p w14:paraId="13B8BC43" w14:textId="77777777" w:rsidR="004F33B6" w:rsidRPr="00E869A4" w:rsidRDefault="004F33B6" w:rsidP="0034568B">
      <w:pPr>
        <w:spacing w:line="240" w:lineRule="auto"/>
        <w:rPr>
          <w:rFonts w:ascii="Times New Roman" w:hAnsi="Times New Roman" w:cs="Times New Roman"/>
        </w:rPr>
      </w:pPr>
    </w:p>
    <w:p w14:paraId="311B1FEC" w14:textId="2F9C8186" w:rsidR="004F33B6" w:rsidRPr="00E869A4" w:rsidRDefault="0041451B" w:rsidP="00DF1F0C">
      <w:pPr>
        <w:spacing w:line="240" w:lineRule="auto"/>
        <w:ind w:left="567" w:firstLine="0"/>
        <w:rPr>
          <w:rFonts w:ascii="Times New Roman" w:hAnsi="Times New Roman" w:cs="Times New Roman"/>
        </w:rPr>
      </w:pPr>
      <w:r w:rsidRPr="00E869A4">
        <w:rPr>
          <w:rFonts w:ascii="Times New Roman" w:hAnsi="Times New Roman" w:cs="Times New Roman"/>
        </w:rPr>
        <w:t>[F]</w:t>
      </w:r>
      <w:r w:rsidR="004F33B6" w:rsidRPr="00E869A4">
        <w:rPr>
          <w:rFonts w:ascii="Times New Roman" w:hAnsi="Times New Roman" w:cs="Times New Roman"/>
        </w:rPr>
        <w:t>inancial support for informal carers constitutes important cost-containment measures within the broader LTC financing system as it is always considerably cheaper compared to the costs of institutional and home care service</w:t>
      </w:r>
      <w:r w:rsidR="00DF1F0C" w:rsidRPr="00E869A4">
        <w:rPr>
          <w:rFonts w:ascii="Times New Roman" w:hAnsi="Times New Roman" w:cs="Times New Roman"/>
        </w:rPr>
        <w:t>s</w:t>
      </w:r>
      <w:r w:rsidR="004F33B6" w:rsidRPr="00E869A4">
        <w:rPr>
          <w:rFonts w:ascii="Times New Roman" w:hAnsi="Times New Roman" w:cs="Times New Roman"/>
        </w:rPr>
        <w:t xml:space="preserve">. </w:t>
      </w:r>
    </w:p>
    <w:p w14:paraId="78A46271" w14:textId="77777777" w:rsidR="004F33B6" w:rsidRPr="00E869A4" w:rsidRDefault="004F33B6" w:rsidP="0034568B">
      <w:pPr>
        <w:spacing w:line="240" w:lineRule="auto"/>
        <w:rPr>
          <w:rFonts w:ascii="Times New Roman" w:hAnsi="Times New Roman" w:cs="Times New Roman"/>
        </w:rPr>
      </w:pPr>
    </w:p>
    <w:p w14:paraId="7652972D" w14:textId="288F4C21"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On the other hand, a main advantage of in-kind services is that they allow public administrators to define and control service quality standards. For instance, services can be designed to reduce the need for women to maintain their role as family-based caregivers, which is more likely to occur under cash-based programs. </w:t>
      </w:r>
      <w:r w:rsidR="00C151EA" w:rsidRPr="00E869A4">
        <w:rPr>
          <w:rFonts w:ascii="Times New Roman" w:hAnsi="Times New Roman" w:cs="Times New Roman"/>
        </w:rPr>
        <w:t>They may also include screening mechanisms such as a requirement for care workers to submit a police certificate of character</w:t>
      </w:r>
      <w:r w:rsidR="00C151EA" w:rsidRPr="00E869A4">
        <w:rPr>
          <w:rStyle w:val="FootnoteReference"/>
          <w:rFonts w:ascii="Times New Roman" w:hAnsi="Times New Roman" w:cs="Times New Roman"/>
        </w:rPr>
        <w:footnoteReference w:id="104"/>
      </w:r>
      <w:r w:rsidR="00C151EA" w:rsidRPr="00E869A4">
        <w:rPr>
          <w:rFonts w:ascii="Times New Roman" w:hAnsi="Times New Roman" w:cs="Times New Roman"/>
        </w:rPr>
        <w:t xml:space="preserve"> for care workers or have basic training in first aid. </w:t>
      </w:r>
      <w:r w:rsidRPr="00E869A4">
        <w:rPr>
          <w:rFonts w:ascii="Times New Roman" w:hAnsi="Times New Roman" w:cs="Times New Roman"/>
        </w:rPr>
        <w:t>However, a limitation of in-kind services is that they limit the choices available to beneficiaries (Bloeck, Galiani &amp; Ibarrarán 2018, p. 22).</w:t>
      </w:r>
      <w:r w:rsidR="00AE15B2" w:rsidRPr="00E869A4">
        <w:rPr>
          <w:rFonts w:ascii="Times New Roman" w:hAnsi="Times New Roman" w:cs="Times New Roman"/>
        </w:rPr>
        <w:t xml:space="preserve"> </w:t>
      </w:r>
      <w:r w:rsidRPr="00E869A4">
        <w:rPr>
          <w:rFonts w:ascii="Times New Roman" w:hAnsi="Times New Roman" w:cs="Times New Roman"/>
        </w:rPr>
        <w:t xml:space="preserve">Based on their research in the </w:t>
      </w:r>
      <w:r w:rsidR="00AE15B2" w:rsidRPr="00E869A4">
        <w:rPr>
          <w:rFonts w:ascii="Times New Roman" w:hAnsi="Times New Roman" w:cs="Times New Roman"/>
        </w:rPr>
        <w:t>LAC</w:t>
      </w:r>
      <w:r w:rsidRPr="00E869A4">
        <w:rPr>
          <w:rFonts w:ascii="Times New Roman" w:hAnsi="Times New Roman" w:cs="Times New Roman"/>
        </w:rPr>
        <w:t xml:space="preserve"> region, </w:t>
      </w:r>
      <w:r w:rsidR="00DF1F0C" w:rsidRPr="00E869A4">
        <w:rPr>
          <w:rFonts w:ascii="Times New Roman" w:hAnsi="Times New Roman" w:cs="Times New Roman"/>
        </w:rPr>
        <w:t>Bloeck, Galiani and Ibarrarán</w:t>
      </w:r>
      <w:r w:rsidRPr="00E869A4">
        <w:rPr>
          <w:rFonts w:ascii="Times New Roman" w:hAnsi="Times New Roman" w:cs="Times New Roman"/>
        </w:rPr>
        <w:t xml:space="preserve"> concluded that “pro-poor programs are more effective when they allow for cash transfers” but, “allowing people the choice between in-kind or in-cash subsidies reduces the total cost of the program”</w:t>
      </w:r>
      <w:r w:rsidR="00DF1F0C" w:rsidRPr="00E869A4">
        <w:rPr>
          <w:rFonts w:ascii="Times New Roman" w:hAnsi="Times New Roman" w:cs="Times New Roman"/>
        </w:rPr>
        <w:t xml:space="preserve"> (Bloeck, Galiani &amp; Ibarrarán 2018, p. 6)</w:t>
      </w:r>
      <w:r w:rsidRPr="00E869A4">
        <w:rPr>
          <w:rFonts w:ascii="Times New Roman" w:hAnsi="Times New Roman" w:cs="Times New Roman"/>
        </w:rPr>
        <w:t xml:space="preserve">. In light of these findings and the preceding discussion on </w:t>
      </w:r>
      <w:r w:rsidRPr="00E869A4">
        <w:rPr>
          <w:rFonts w:ascii="Times New Roman" w:hAnsi="Times New Roman" w:cs="Times New Roman"/>
          <w:i/>
        </w:rPr>
        <w:t>optional familialism</w:t>
      </w:r>
      <w:r w:rsidRPr="00E869A4">
        <w:rPr>
          <w:rFonts w:ascii="Times New Roman" w:hAnsi="Times New Roman" w:cs="Times New Roman"/>
        </w:rPr>
        <w:t xml:space="preserve"> and gender-equity, it is recommended that the GORTT consider providing both cash and in-kind services to family carers in T&amp;T. </w:t>
      </w:r>
    </w:p>
    <w:p w14:paraId="597EA0E4" w14:textId="77777777" w:rsidR="004F33B6" w:rsidRPr="00E869A4" w:rsidRDefault="004F33B6" w:rsidP="004F33B6">
      <w:pPr>
        <w:rPr>
          <w:rFonts w:ascii="Times New Roman" w:hAnsi="Times New Roman" w:cs="Times New Roman"/>
        </w:rPr>
      </w:pPr>
    </w:p>
    <w:p w14:paraId="69EF3B4B" w14:textId="7E707D3D" w:rsidR="004F33B6" w:rsidRPr="00E869A4" w:rsidRDefault="004F33B6" w:rsidP="004F33B6">
      <w:pPr>
        <w:rPr>
          <w:rFonts w:ascii="Times New Roman" w:eastAsia="Times New Roman" w:hAnsi="Times New Roman" w:cs="Times New Roman"/>
        </w:rPr>
      </w:pPr>
      <w:r w:rsidRPr="00E869A4">
        <w:rPr>
          <w:rFonts w:ascii="Times New Roman" w:hAnsi="Times New Roman" w:cs="Times New Roman"/>
        </w:rPr>
        <w:t xml:space="preserve">Another concern is that men are often discouraged from being involved in family care. The social policy literature indicates that they tend to be overlooked by formal social service providers when they seek assistance and support </w:t>
      </w:r>
      <w:r w:rsidRPr="00E869A4">
        <w:rPr>
          <w:rFonts w:ascii="Times New Roman" w:eastAsia="Times New Roman" w:hAnsi="Times New Roman" w:cs="Times New Roman"/>
        </w:rPr>
        <w:t>(</w:t>
      </w:r>
      <w:r w:rsidRPr="00E869A4">
        <w:rPr>
          <w:rFonts w:ascii="Times New Roman" w:hAnsi="Times New Roman" w:cs="Times New Roman"/>
        </w:rPr>
        <w:t>Schwartz &amp; McInnis-Dittrich 2015)</w:t>
      </w:r>
      <w:r w:rsidRPr="00E869A4">
        <w:rPr>
          <w:rFonts w:ascii="Times New Roman" w:eastAsia="Times New Roman" w:hAnsi="Times New Roman" w:cs="Times New Roman"/>
        </w:rPr>
        <w:t xml:space="preserve">. Some steps that can be adopted to make health and social services more friendly to men include introducing gender sensitisation programmes for health and social care practitioners so that they are made aware of the experiences of male carers, and, </w:t>
      </w:r>
      <w:r w:rsidRPr="00E869A4">
        <w:rPr>
          <w:rFonts w:ascii="Times New Roman" w:eastAsia="Times New Roman" w:hAnsi="Times New Roman" w:cs="Times New Roman"/>
        </w:rPr>
        <w:lastRenderedPageBreak/>
        <w:t xml:space="preserve">creating elder care training programmes and public awareness campaigns that specifically target men and boys (Barker 2008). More research is needed on men as family caregivers in T&amp;T so that context-specific programmes can be developed to support their involvement in elder care. </w:t>
      </w:r>
    </w:p>
    <w:p w14:paraId="59978750" w14:textId="77777777" w:rsidR="00DF1F0C" w:rsidRPr="00E869A4" w:rsidRDefault="00DF1F0C" w:rsidP="004F33B6">
      <w:pPr>
        <w:pStyle w:val="Heading4"/>
      </w:pPr>
    </w:p>
    <w:p w14:paraId="5A50811D" w14:textId="77777777" w:rsidR="004F33B6" w:rsidRPr="00E869A4" w:rsidRDefault="004F33B6" w:rsidP="004F33B6">
      <w:pPr>
        <w:pStyle w:val="Heading4"/>
      </w:pPr>
      <w:r w:rsidRPr="00E869A4">
        <w:t xml:space="preserve">Family Elder Care Programmes for T&amp;T </w:t>
      </w:r>
    </w:p>
    <w:p w14:paraId="5D76282D" w14:textId="77777777" w:rsidR="004F33B6" w:rsidRPr="00E869A4" w:rsidRDefault="004F33B6" w:rsidP="004F33B6">
      <w:pPr>
        <w:rPr>
          <w:rFonts w:ascii="Times New Roman" w:hAnsi="Times New Roman" w:cs="Times New Roman"/>
        </w:rPr>
      </w:pPr>
    </w:p>
    <w:p w14:paraId="18F01CBE" w14:textId="623D7709" w:rsidR="004F33B6" w:rsidRPr="00E869A4" w:rsidRDefault="004F33B6" w:rsidP="004F33B6">
      <w:pPr>
        <w:ind w:firstLine="720"/>
        <w:rPr>
          <w:rFonts w:ascii="Times New Roman" w:hAnsi="Times New Roman" w:cs="Times New Roman"/>
        </w:rPr>
      </w:pPr>
      <w:r w:rsidRPr="00E869A4">
        <w:rPr>
          <w:rFonts w:ascii="Times New Roman" w:hAnsi="Times New Roman" w:cs="Times New Roman"/>
        </w:rPr>
        <w:t>As was noted in the Background to this study, several publicly funded social care services are provided to older persons on both islands</w:t>
      </w:r>
      <w:r w:rsidR="000E5ACE" w:rsidRPr="00E869A4">
        <w:rPr>
          <w:rFonts w:ascii="Times New Roman" w:hAnsi="Times New Roman" w:cs="Times New Roman"/>
        </w:rPr>
        <w:t xml:space="preserve"> (</w:t>
      </w:r>
      <w:r w:rsidRPr="00E869A4">
        <w:rPr>
          <w:rFonts w:ascii="Times New Roman" w:hAnsi="Times New Roman" w:cs="Times New Roman"/>
        </w:rPr>
        <w:t xml:space="preserve">see </w:t>
      </w:r>
      <w:r w:rsidR="000E5ACE" w:rsidRPr="00E869A4">
        <w:rPr>
          <w:rFonts w:ascii="Times New Roman" w:hAnsi="Times New Roman" w:cs="Times New Roman"/>
        </w:rPr>
        <w:t xml:space="preserve">Table 2 above and </w:t>
      </w:r>
      <w:r w:rsidRPr="00E869A4">
        <w:rPr>
          <w:rFonts w:ascii="Times New Roman" w:hAnsi="Times New Roman" w:cs="Times New Roman"/>
        </w:rPr>
        <w:t xml:space="preserve">Appendix </w:t>
      </w:r>
      <w:r w:rsidR="00AD0CE0" w:rsidRPr="00E869A4">
        <w:rPr>
          <w:rFonts w:ascii="Times New Roman" w:hAnsi="Times New Roman" w:cs="Times New Roman"/>
        </w:rPr>
        <w:t>1</w:t>
      </w:r>
      <w:r w:rsidR="000E5ACE" w:rsidRPr="00E869A4">
        <w:rPr>
          <w:rFonts w:ascii="Times New Roman" w:hAnsi="Times New Roman" w:cs="Times New Roman"/>
        </w:rPr>
        <w:t xml:space="preserve"> below</w:t>
      </w:r>
      <w:r w:rsidRPr="00E869A4">
        <w:rPr>
          <w:rFonts w:ascii="Times New Roman" w:hAnsi="Times New Roman" w:cs="Times New Roman"/>
        </w:rPr>
        <w:t>). However, this study confirmed that there are numerous weaknesses with these services: many are under-resourced, poorly targeted, have long waiting lists, and service delivery is often deficient. Most of the participants in this study were not even aware of the availability of several of these benefits.</w:t>
      </w:r>
    </w:p>
    <w:p w14:paraId="4E8B690F" w14:textId="77777777" w:rsidR="004F33B6" w:rsidRPr="00E869A4" w:rsidRDefault="004F33B6" w:rsidP="004F33B6">
      <w:pPr>
        <w:ind w:firstLine="720"/>
        <w:rPr>
          <w:rFonts w:ascii="Times New Roman" w:hAnsi="Times New Roman" w:cs="Times New Roman"/>
        </w:rPr>
      </w:pPr>
    </w:p>
    <w:p w14:paraId="554A3B97" w14:textId="694463F4" w:rsidR="004F33B6" w:rsidRPr="00E869A4" w:rsidRDefault="004F33B6" w:rsidP="004F33B6">
      <w:pPr>
        <w:rPr>
          <w:rFonts w:ascii="Times New Roman" w:hAnsi="Times New Roman" w:cs="Times New Roman"/>
        </w:rPr>
      </w:pPr>
      <w:r w:rsidRPr="00E869A4">
        <w:rPr>
          <w:rFonts w:ascii="Times New Roman" w:hAnsi="Times New Roman" w:cs="Times New Roman"/>
        </w:rPr>
        <w:t>There are no public programmes that directly target family carers of older persons in T&amp;T. However, carers can indirectly benefit from the services provided to older persons. They can also access counselling and support from the National Family Services Division of the Ministry of Social Development and Family Services as well as other civil society organisations. But, there is a dearth of social workers in the nation, thus making it very difficult to run programmes that require their skill</w:t>
      </w:r>
      <w:r w:rsidR="00AD5010" w:rsidRPr="00E869A4">
        <w:rPr>
          <w:rFonts w:ascii="Times New Roman" w:hAnsi="Times New Roman" w:cs="Times New Roman"/>
        </w:rPr>
        <w:t xml:space="preserve"> (</w:t>
      </w:r>
      <w:r w:rsidR="00C35491" w:rsidRPr="00E869A4">
        <w:rPr>
          <w:rFonts w:ascii="Times New Roman" w:hAnsi="Times New Roman" w:cs="Times New Roman"/>
        </w:rPr>
        <w:t xml:space="preserve">Baboolal 2011; </w:t>
      </w:r>
      <w:r w:rsidR="00AD5010" w:rsidRPr="00E869A4">
        <w:rPr>
          <w:rFonts w:ascii="Times New Roman" w:hAnsi="Times New Roman" w:cs="Times New Roman"/>
        </w:rPr>
        <w:t>Mishra 2006)</w:t>
      </w:r>
      <w:r w:rsidRPr="00E869A4">
        <w:rPr>
          <w:rFonts w:ascii="Times New Roman" w:hAnsi="Times New Roman" w:cs="Times New Roman"/>
        </w:rPr>
        <w:t>. Generally, the number of health and social service professionals that are available must be increased to meet the specific needs of older persons and their family caregivers. Also, public awareness campaigns about existing services and programmes that directly or indirectly target older persons and their caregivers should be a priority action area</w:t>
      </w:r>
      <w:r w:rsidRPr="00E869A4">
        <w:rPr>
          <w:rStyle w:val="FootnoteReference"/>
          <w:rFonts w:eastAsia="Times New Roman" w:cs="Times New Roman"/>
        </w:rPr>
        <w:footnoteReference w:id="105"/>
      </w:r>
      <w:r w:rsidRPr="00E869A4">
        <w:rPr>
          <w:rFonts w:ascii="Times New Roman" w:hAnsi="Times New Roman" w:cs="Times New Roman"/>
        </w:rPr>
        <w:t xml:space="preserve">. </w:t>
      </w:r>
    </w:p>
    <w:p w14:paraId="1BDCF337" w14:textId="77777777" w:rsidR="004F33B6" w:rsidRPr="00E869A4" w:rsidRDefault="004F33B6" w:rsidP="004F33B6">
      <w:pPr>
        <w:ind w:firstLine="720"/>
        <w:rPr>
          <w:rFonts w:ascii="Times New Roman" w:hAnsi="Times New Roman" w:cs="Times New Roman"/>
        </w:rPr>
      </w:pPr>
    </w:p>
    <w:p w14:paraId="066B32EA" w14:textId="00F34E10"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In the section that follows, I provide some suggestions for services that can be developed and/or strengthened for older persons and family caregivers. More specifically, I focus on the provision of health and social care at the private residences of older people, and respite care services and employment-related </w:t>
      </w:r>
      <w:r w:rsidRPr="00E869A4">
        <w:rPr>
          <w:rFonts w:ascii="Times New Roman" w:hAnsi="Times New Roman" w:cs="Times New Roman"/>
        </w:rPr>
        <w:lastRenderedPageBreak/>
        <w:t xml:space="preserve">benefits for carers. These recommendations are by no means exhaustive, but they present solutions to some of the main challenges experienced </w:t>
      </w:r>
      <w:r w:rsidR="00C507E6" w:rsidRPr="00E869A4">
        <w:rPr>
          <w:rFonts w:ascii="Times New Roman" w:hAnsi="Times New Roman" w:cs="Times New Roman"/>
        </w:rPr>
        <w:t xml:space="preserve">by participants in this study. </w:t>
      </w:r>
    </w:p>
    <w:p w14:paraId="598CFBBF" w14:textId="77777777" w:rsidR="004F33B6" w:rsidRPr="00E869A4" w:rsidRDefault="004F33B6" w:rsidP="004F33B6">
      <w:pPr>
        <w:rPr>
          <w:rFonts w:ascii="Times New Roman" w:eastAsia="Calibri" w:hAnsi="Times New Roman" w:cs="Times New Roman"/>
        </w:rPr>
      </w:pPr>
    </w:p>
    <w:p w14:paraId="10A2A5D5" w14:textId="77777777" w:rsidR="004F33B6" w:rsidRPr="00E869A4" w:rsidRDefault="004F33B6" w:rsidP="0031040A">
      <w:pPr>
        <w:pStyle w:val="Heading5"/>
        <w:rPr>
          <w:color w:val="auto"/>
        </w:rPr>
      </w:pPr>
      <w:r w:rsidRPr="00E869A4">
        <w:rPr>
          <w:color w:val="auto"/>
        </w:rPr>
        <w:t>Services for older persons</w:t>
      </w:r>
    </w:p>
    <w:p w14:paraId="4AC08EE1" w14:textId="77777777" w:rsidR="004F33B6" w:rsidRPr="00E869A4" w:rsidRDefault="004F33B6" w:rsidP="004F33B6">
      <w:pPr>
        <w:rPr>
          <w:rFonts w:ascii="Times New Roman" w:hAnsi="Times New Roman" w:cs="Times New Roman"/>
        </w:rPr>
      </w:pPr>
    </w:p>
    <w:p w14:paraId="66F4103D" w14:textId="380D866F" w:rsidR="004F33B6" w:rsidRPr="00E869A4" w:rsidRDefault="004F33B6" w:rsidP="004F33B6">
      <w:pPr>
        <w:rPr>
          <w:rFonts w:ascii="Times New Roman" w:hAnsi="Times New Roman" w:cs="Times New Roman"/>
        </w:rPr>
      </w:pPr>
      <w:r w:rsidRPr="00E869A4">
        <w:rPr>
          <w:rFonts w:ascii="Times New Roman" w:hAnsi="Times New Roman" w:cs="Times New Roman"/>
        </w:rPr>
        <w:t>Accessible health care for older persons, especially those with disabilities, is consistent with sustainable development goal (SDG) 3 (</w:t>
      </w:r>
      <w:r w:rsidRPr="00E869A4">
        <w:rPr>
          <w:rFonts w:ascii="Times New Roman" w:hAnsi="Times New Roman" w:cs="Times New Roman"/>
          <w:i/>
        </w:rPr>
        <w:t>good health and wellbeing</w:t>
      </w:r>
      <w:r w:rsidRPr="00E869A4">
        <w:rPr>
          <w:rFonts w:ascii="Times New Roman" w:hAnsi="Times New Roman" w:cs="Times New Roman"/>
        </w:rPr>
        <w:t>) and SDG</w:t>
      </w:r>
      <w:r w:rsidR="003C1819">
        <w:rPr>
          <w:rFonts w:ascii="Times New Roman" w:hAnsi="Times New Roman" w:cs="Times New Roman"/>
        </w:rPr>
        <w:t xml:space="preserve"> </w:t>
      </w:r>
      <w:r w:rsidRPr="00E869A4">
        <w:rPr>
          <w:rFonts w:ascii="Times New Roman" w:hAnsi="Times New Roman" w:cs="Times New Roman"/>
        </w:rPr>
        <w:t>10 (</w:t>
      </w:r>
      <w:r w:rsidRPr="00E869A4">
        <w:rPr>
          <w:rFonts w:ascii="Times New Roman" w:hAnsi="Times New Roman" w:cs="Times New Roman"/>
          <w:i/>
        </w:rPr>
        <w:t>reduced inequalities</w:t>
      </w:r>
      <w:r w:rsidRPr="00E869A4">
        <w:rPr>
          <w:rFonts w:ascii="Times New Roman" w:hAnsi="Times New Roman" w:cs="Times New Roman"/>
        </w:rPr>
        <w:t xml:space="preserve">). As was evident from the interview responses from this study, older persons with vision, mobility and other disabilities, found it very difficult to get to doctor’s appointments given the cost of transportation and the very early hours that they had to arrive at public health facilities. </w:t>
      </w:r>
      <w:r w:rsidR="00490BF0" w:rsidRPr="00E869A4">
        <w:rPr>
          <w:rFonts w:ascii="Times New Roman" w:hAnsi="Times New Roman" w:cs="Times New Roman"/>
        </w:rPr>
        <w:t>Despite the fact that</w:t>
      </w:r>
      <w:r w:rsidRPr="00E869A4">
        <w:rPr>
          <w:rFonts w:ascii="Times New Roman" w:hAnsi="Times New Roman" w:cs="Times New Roman"/>
        </w:rPr>
        <w:t xml:space="preserve"> there are District Health Visitors (DHVs) assigned to local health centres, none of the older persons that were interviewed had received this service. For the most part, the DHVs remain within the health centres or visit institutional facilities for older persons. Many of the older participants and caregivers were not even aware that the ELDAMO service was an option that they could use to go to their appointments. Even if they had access to public or private transportation, the unavailability of family carers to accompany them to doctors’ appointments was another constraint. Given these challenges in accessing health care, the provision of home health services to frail older persons in T&amp;T is a critical intervention that needs to be strengthened and expanded. </w:t>
      </w:r>
    </w:p>
    <w:p w14:paraId="3C1FEDB2" w14:textId="77777777" w:rsidR="004F33B6" w:rsidRPr="00E869A4" w:rsidRDefault="004F33B6" w:rsidP="004F33B6">
      <w:pPr>
        <w:ind w:firstLine="720"/>
        <w:rPr>
          <w:rFonts w:ascii="Times New Roman" w:hAnsi="Times New Roman" w:cs="Times New Roman"/>
        </w:rPr>
      </w:pPr>
    </w:p>
    <w:p w14:paraId="18D4C760" w14:textId="110B61D6" w:rsidR="004F33B6" w:rsidRPr="00E869A4" w:rsidRDefault="004F33B6" w:rsidP="004F33B6">
      <w:pPr>
        <w:rPr>
          <w:rFonts w:ascii="Times New Roman" w:hAnsi="Times New Roman" w:cs="Times New Roman"/>
        </w:rPr>
      </w:pPr>
      <w:r w:rsidRPr="00E869A4">
        <w:rPr>
          <w:rFonts w:ascii="Times New Roman" w:hAnsi="Times New Roman" w:cs="Times New Roman"/>
        </w:rPr>
        <w:t>Home health care is defined as “the provision of medical supplies and/or clinical services directly to patients in the community” (National Clinical Hom</w:t>
      </w:r>
      <w:r w:rsidR="004F1061" w:rsidRPr="00E869A4">
        <w:rPr>
          <w:rFonts w:ascii="Times New Roman" w:hAnsi="Times New Roman" w:cs="Times New Roman"/>
        </w:rPr>
        <w:t>ecare Association 2011 cited in WHO</w:t>
      </w:r>
      <w:r w:rsidRPr="00E869A4">
        <w:rPr>
          <w:rFonts w:ascii="Times New Roman" w:hAnsi="Times New Roman" w:cs="Times New Roman"/>
        </w:rPr>
        <w:t xml:space="preserve"> 2015</w:t>
      </w:r>
      <w:r w:rsidR="00DF462D" w:rsidRPr="00E869A4">
        <w:rPr>
          <w:rFonts w:ascii="Times New Roman" w:hAnsi="Times New Roman" w:cs="Times New Roman"/>
        </w:rPr>
        <w:t>, p.</w:t>
      </w:r>
      <w:r w:rsidRPr="00E869A4">
        <w:rPr>
          <w:rFonts w:ascii="Times New Roman" w:hAnsi="Times New Roman" w:cs="Times New Roman"/>
        </w:rPr>
        <w:t xml:space="preserve"> 7). It encompasses a range of services such as: health education; medical, psychological or social assessment; pain management; disease management; wound and pressure ulcer management; rehabilitation; occupational and speech-language therapy; medication reminders; dental care; podiatry; chiropody; palliative care etc. (Ellenbecker et al. 2008; Mestheneos &amp; Triantafillou 2005). Welch and colleagues (2016) identified the need to improve the DHV service in their recommendations on T&amp;T’s health sector. The high cost of a visit from a private medical practitioner in T&amp;T is another key reason for this public service to be revitalised. This study underscores the need to strengthen the capacity of DHVs, and expand the home health care services as a whole. </w:t>
      </w:r>
      <w:r w:rsidR="00DF462D" w:rsidRPr="00E869A4">
        <w:rPr>
          <w:rFonts w:ascii="Times New Roman" w:hAnsi="Times New Roman" w:cs="Times New Roman"/>
        </w:rPr>
        <w:t>However,</w:t>
      </w:r>
      <w:r w:rsidRPr="00E869A4">
        <w:rPr>
          <w:rFonts w:ascii="Times New Roman" w:hAnsi="Times New Roman" w:cs="Times New Roman"/>
        </w:rPr>
        <w:t xml:space="preserve"> given the challenges associated with crime in T&amp;T, it is imperative that security support services are provided to home health care practitioners to ensure their safety. The National Crime Prevention Programme that is currently being developed by the Ministry of </w:t>
      </w:r>
      <w:r w:rsidRPr="00E869A4">
        <w:rPr>
          <w:rFonts w:ascii="Times New Roman" w:hAnsi="Times New Roman" w:cs="Times New Roman"/>
        </w:rPr>
        <w:lastRenderedPageBreak/>
        <w:t xml:space="preserve">National Security should include suitable provisions for home health care providers, especially for those working in crime hot spots. </w:t>
      </w:r>
    </w:p>
    <w:p w14:paraId="35F159DC" w14:textId="77777777" w:rsidR="004F33B6" w:rsidRPr="00E869A4" w:rsidRDefault="004F33B6" w:rsidP="004F33B6">
      <w:pPr>
        <w:ind w:firstLine="720"/>
        <w:rPr>
          <w:rFonts w:ascii="Times New Roman" w:hAnsi="Times New Roman" w:cs="Times New Roman"/>
        </w:rPr>
      </w:pPr>
    </w:p>
    <w:p w14:paraId="4E8B0AAE" w14:textId="61A59B66" w:rsidR="004F33B6" w:rsidRPr="00E869A4" w:rsidRDefault="004F33B6" w:rsidP="004F33B6">
      <w:pPr>
        <w:rPr>
          <w:rFonts w:ascii="Times New Roman" w:hAnsi="Times New Roman" w:cs="Times New Roman"/>
        </w:rPr>
      </w:pPr>
      <w:r w:rsidRPr="00E869A4">
        <w:rPr>
          <w:rFonts w:ascii="Times New Roman" w:hAnsi="Times New Roman" w:cs="Times New Roman"/>
        </w:rPr>
        <w:t>Social home care services have been well established for many years in numerous countries, and a wide range of services may be provided under this rubric including home help</w:t>
      </w:r>
      <w:r w:rsidRPr="00E869A4">
        <w:rPr>
          <w:rStyle w:val="FootnoteReference"/>
          <w:rFonts w:cs="Times New Roman"/>
        </w:rPr>
        <w:footnoteReference w:id="106"/>
      </w:r>
      <w:r w:rsidRPr="00E869A4">
        <w:rPr>
          <w:rFonts w:ascii="Times New Roman" w:hAnsi="Times New Roman" w:cs="Times New Roman"/>
        </w:rPr>
        <w:t xml:space="preserve"> and personal / hygiene care</w:t>
      </w:r>
      <w:r w:rsidRPr="00E869A4">
        <w:rPr>
          <w:rStyle w:val="FootnoteReference"/>
          <w:rFonts w:cs="Times New Roman"/>
        </w:rPr>
        <w:footnoteReference w:id="107"/>
      </w:r>
      <w:r w:rsidRPr="00E869A4">
        <w:rPr>
          <w:rFonts w:ascii="Times New Roman" w:hAnsi="Times New Roman" w:cs="Times New Roman"/>
        </w:rPr>
        <w:t xml:space="preserve"> (Brodsky et al. 2003; Mestheneos &amp; Triantafillou 2005). Home care services form the backbone of community care and help delay the institutionalisation of older persons (Rodrigues et al. 2012).</w:t>
      </w:r>
      <w:r w:rsidR="004F1061" w:rsidRPr="00E869A4">
        <w:rPr>
          <w:rFonts w:ascii="Times New Roman" w:hAnsi="Times New Roman" w:cs="Times New Roman"/>
        </w:rPr>
        <w:t xml:space="preserve"> </w:t>
      </w:r>
      <w:r w:rsidRPr="00E869A4">
        <w:rPr>
          <w:rFonts w:ascii="Times New Roman" w:eastAsia="Times New Roman" w:hAnsi="Times New Roman" w:cs="Times New Roman"/>
        </w:rPr>
        <w:t xml:space="preserve">The provision of in-home care programmes in T&amp;T is consistent with the community care strategies adopted by other governments in developing and developed countries. As was highlighted earlier, </w:t>
      </w:r>
      <w:r w:rsidRPr="00E869A4">
        <w:rPr>
          <w:rFonts w:ascii="Times New Roman" w:eastAsia="Calibri" w:hAnsi="Times New Roman" w:cs="Times New Roman"/>
        </w:rPr>
        <w:t xml:space="preserve">free </w:t>
      </w:r>
      <w:r w:rsidR="004F1061" w:rsidRPr="00E869A4">
        <w:rPr>
          <w:rFonts w:ascii="Times New Roman" w:eastAsia="Calibri" w:hAnsi="Times New Roman" w:cs="Times New Roman"/>
        </w:rPr>
        <w:t xml:space="preserve">home care services and </w:t>
      </w:r>
      <w:r w:rsidRPr="00E869A4">
        <w:rPr>
          <w:rFonts w:ascii="Times New Roman" w:eastAsia="Calibri" w:hAnsi="Times New Roman" w:cs="Times New Roman"/>
        </w:rPr>
        <w:t xml:space="preserve">training courses are provided in </w:t>
      </w:r>
      <w:r w:rsidR="004F1061" w:rsidRPr="00E869A4">
        <w:rPr>
          <w:rFonts w:ascii="Times New Roman" w:eastAsia="Calibri" w:hAnsi="Times New Roman" w:cs="Times New Roman"/>
        </w:rPr>
        <w:t>geriatric c</w:t>
      </w:r>
      <w:r w:rsidRPr="00E869A4">
        <w:rPr>
          <w:rFonts w:ascii="Times New Roman" w:eastAsia="Calibri" w:hAnsi="Times New Roman" w:cs="Times New Roman"/>
        </w:rPr>
        <w:t>are through several public sector initiatives</w:t>
      </w:r>
      <w:r w:rsidRPr="00E869A4">
        <w:rPr>
          <w:rStyle w:val="FootnoteReference"/>
          <w:rFonts w:eastAsia="Calibri" w:cs="Times New Roman"/>
        </w:rPr>
        <w:footnoteReference w:id="108"/>
      </w:r>
      <w:r w:rsidRPr="00E869A4">
        <w:rPr>
          <w:rFonts w:ascii="Times New Roman" w:eastAsia="Calibri" w:hAnsi="Times New Roman" w:cs="Times New Roman"/>
        </w:rPr>
        <w:t xml:space="preserve">. </w:t>
      </w:r>
      <w:r w:rsidR="00483993" w:rsidRPr="00E869A4">
        <w:rPr>
          <w:rFonts w:ascii="Times New Roman" w:eastAsia="Calibri" w:hAnsi="Times New Roman" w:cs="Times New Roman"/>
        </w:rPr>
        <w:t xml:space="preserve"> </w:t>
      </w:r>
      <w:r w:rsidRPr="00E869A4">
        <w:rPr>
          <w:rFonts w:ascii="Times New Roman" w:eastAsia="Calibri" w:hAnsi="Times New Roman" w:cs="Times New Roman"/>
        </w:rPr>
        <w:t xml:space="preserve">However, as this study confirmed, the training courses in T&amp;T had several challenges including inadequate supervision of </w:t>
      </w:r>
      <w:r w:rsidR="00DF462D" w:rsidRPr="00E869A4">
        <w:rPr>
          <w:rFonts w:ascii="Times New Roman" w:eastAsia="Calibri" w:hAnsi="Times New Roman" w:cs="Times New Roman"/>
        </w:rPr>
        <w:t>trainees, which</w:t>
      </w:r>
      <w:r w:rsidRPr="00E869A4">
        <w:rPr>
          <w:rFonts w:ascii="Times New Roman" w:eastAsia="Calibri" w:hAnsi="Times New Roman" w:cs="Times New Roman"/>
        </w:rPr>
        <w:t xml:space="preserve"> has led to variations in the quality of service meted out to older care recipients, limited financial resources to fund supervisory and other activities, and long waiting lists given the small pool of available trainees to meet demand. This service needs to be better resourced and more effective targeting strategies used, so that those who are most in need will have access to it. Also, as far as possible, more persons should be trained to meet the increasing demand for care workers.</w:t>
      </w:r>
    </w:p>
    <w:p w14:paraId="29478A9F" w14:textId="77777777" w:rsidR="00483993" w:rsidRPr="00E869A4" w:rsidRDefault="00483993" w:rsidP="004F33B6">
      <w:pPr>
        <w:rPr>
          <w:rFonts w:ascii="Times New Roman" w:eastAsia="Calibri" w:hAnsi="Times New Roman" w:cs="Times New Roman"/>
        </w:rPr>
      </w:pPr>
    </w:p>
    <w:p w14:paraId="08A8637B" w14:textId="61039BBF" w:rsidR="004F33B6" w:rsidRPr="00E869A4" w:rsidRDefault="004F33B6" w:rsidP="004F33B6">
      <w:pPr>
        <w:rPr>
          <w:rFonts w:ascii="Times New Roman" w:hAnsi="Times New Roman" w:cs="Times New Roman"/>
        </w:rPr>
      </w:pPr>
      <w:r w:rsidRPr="00E869A4">
        <w:rPr>
          <w:rFonts w:ascii="Times New Roman" w:eastAsia="Calibri" w:hAnsi="Times New Roman" w:cs="Times New Roman"/>
        </w:rPr>
        <w:t xml:space="preserve">One approach for expanding the pool of care workers is for the state and other agencies to </w:t>
      </w:r>
      <w:r w:rsidR="00D110AA" w:rsidRPr="00E869A4">
        <w:rPr>
          <w:rFonts w:ascii="Times New Roman" w:eastAsia="Calibri" w:hAnsi="Times New Roman" w:cs="Times New Roman"/>
        </w:rPr>
        <w:t>expand</w:t>
      </w:r>
      <w:r w:rsidRPr="00E869A4">
        <w:rPr>
          <w:rFonts w:ascii="Times New Roman" w:eastAsia="Calibri" w:hAnsi="Times New Roman" w:cs="Times New Roman"/>
        </w:rPr>
        <w:t xml:space="preserve"> the</w:t>
      </w:r>
      <w:r w:rsidR="00D110AA" w:rsidRPr="00E869A4">
        <w:rPr>
          <w:rFonts w:ascii="Times New Roman" w:eastAsia="Calibri" w:hAnsi="Times New Roman" w:cs="Times New Roman"/>
        </w:rPr>
        <w:t>ir</w:t>
      </w:r>
      <w:r w:rsidRPr="00E869A4">
        <w:rPr>
          <w:rFonts w:ascii="Times New Roman" w:eastAsia="Calibri" w:hAnsi="Times New Roman" w:cs="Times New Roman"/>
        </w:rPr>
        <w:t xml:space="preserve"> training </w:t>
      </w:r>
      <w:r w:rsidR="00D110AA" w:rsidRPr="00E869A4">
        <w:rPr>
          <w:rFonts w:ascii="Times New Roman" w:eastAsia="Calibri" w:hAnsi="Times New Roman" w:cs="Times New Roman"/>
        </w:rPr>
        <w:t>programmes so that they specifically target</w:t>
      </w:r>
      <w:r w:rsidRPr="00E869A4">
        <w:rPr>
          <w:rFonts w:ascii="Times New Roman" w:eastAsia="Calibri" w:hAnsi="Times New Roman" w:cs="Times New Roman"/>
        </w:rPr>
        <w:t xml:space="preserve"> volunteer caregivers, in particular, persons from the young-old cohort (i.e. persons aged 65 to 74 years). State-funded or subsidised short courses and workshops at accessible locations (e.g. local community centres and Regional Complexes) that allow persons to be trained in skills (e.g. first aid and palliative care) is one means of achieving this. Education, training and other support services can also be provided electronically through special apps for caregivers, e-learning courses, and online support groups. At present, the DOA manages an OPIC helpline. </w:t>
      </w:r>
      <w:r w:rsidRPr="00E869A4">
        <w:rPr>
          <w:rFonts w:ascii="Times New Roman" w:eastAsia="Calibri" w:hAnsi="Times New Roman" w:cs="Times New Roman"/>
        </w:rPr>
        <w:lastRenderedPageBreak/>
        <w:t>Consideration should be given to having a carer support helpline which can either be a subcomponent of the existing OPIC or a separate line similar to T&amp;T’s ChildLine service</w:t>
      </w:r>
      <w:r w:rsidRPr="00E869A4">
        <w:rPr>
          <w:rStyle w:val="FootnoteReference"/>
          <w:rFonts w:eastAsia="Calibri" w:cs="Times New Roman"/>
        </w:rPr>
        <w:footnoteReference w:id="109"/>
      </w:r>
      <w:r w:rsidRPr="00E869A4">
        <w:rPr>
          <w:rFonts w:ascii="Times New Roman" w:eastAsia="Calibri" w:hAnsi="Times New Roman" w:cs="Times New Roman"/>
        </w:rPr>
        <w:t xml:space="preserve"> (SSIP 2020). </w:t>
      </w:r>
    </w:p>
    <w:p w14:paraId="3EFD2A3E" w14:textId="77777777" w:rsidR="004F33B6" w:rsidRPr="00E869A4" w:rsidRDefault="004F33B6" w:rsidP="004F33B6">
      <w:pPr>
        <w:ind w:firstLine="720"/>
        <w:rPr>
          <w:rFonts w:ascii="Times New Roman" w:hAnsi="Times New Roman" w:cs="Times New Roman"/>
        </w:rPr>
      </w:pPr>
    </w:p>
    <w:p w14:paraId="114A6E15" w14:textId="14BA1404" w:rsidR="004F33B6" w:rsidRPr="00E869A4" w:rsidRDefault="004F33B6" w:rsidP="004F33B6">
      <w:pPr>
        <w:rPr>
          <w:rFonts w:ascii="Times New Roman" w:hAnsi="Times New Roman" w:cs="Times New Roman"/>
        </w:rPr>
      </w:pPr>
      <w:r w:rsidRPr="00E869A4">
        <w:rPr>
          <w:rFonts w:ascii="Times New Roman" w:eastAsia="Times New Roman" w:hAnsi="Times New Roman" w:cs="Times New Roman"/>
        </w:rPr>
        <w:t xml:space="preserve">Based on the findings of this study, more attention needs to be paid to protecting older persons, family caregivers and paid care workers from financial exploitation. While there are minimum wage laws, these need to be enforced when it comes to the remuneration of persons involved in care work. </w:t>
      </w:r>
      <w:r w:rsidR="00490BF0" w:rsidRPr="00E869A4">
        <w:rPr>
          <w:rFonts w:ascii="Times New Roman" w:eastAsia="Times New Roman" w:hAnsi="Times New Roman" w:cs="Times New Roman"/>
        </w:rPr>
        <w:t>Alt</w:t>
      </w:r>
      <w:r w:rsidRPr="00E869A4">
        <w:rPr>
          <w:rFonts w:ascii="Times New Roman" w:eastAsia="Times New Roman" w:hAnsi="Times New Roman" w:cs="Times New Roman"/>
        </w:rPr>
        <w:t xml:space="preserve">hough some effort has been made to increase public awareness about these issues through the efforts of agencies such as the Ministry of Labour, Small and Microenterprise Development (SSIP 2020), more effort is needed to ensure that persons who are particularly vulnerable to such abuses have clear recourse when their rights are infringed. Improving public perception of care work and addressing issues of ageism should help to curb these harmful practices. Other concrete steps include the formal recognition of domestic workers in the Industrial Relations Act of T&amp;T so that workers can be assured of fair wages and safe working conditions, as well as have recourse for grievances such as unpaid extra work, verbal and physical abuse, and arbitrary dismissal. The introduction of standardised contracts for all domestic workers should be instituted </w:t>
      </w:r>
      <w:r w:rsidR="00DF462D" w:rsidRPr="00E869A4">
        <w:rPr>
          <w:rFonts w:ascii="Times New Roman" w:eastAsia="Times New Roman" w:hAnsi="Times New Roman" w:cs="Times New Roman"/>
        </w:rPr>
        <w:t>to</w:t>
      </w:r>
      <w:r w:rsidRPr="00E869A4">
        <w:rPr>
          <w:rFonts w:ascii="Times New Roman" w:eastAsia="Times New Roman" w:hAnsi="Times New Roman" w:cs="Times New Roman"/>
        </w:rPr>
        <w:t xml:space="preserve"> protect the rights of workers and the families that employ them (Ali 2014).  </w:t>
      </w:r>
    </w:p>
    <w:p w14:paraId="6F6DE222" w14:textId="77777777" w:rsidR="004F33B6" w:rsidRPr="00E869A4" w:rsidRDefault="004F33B6" w:rsidP="004F33B6">
      <w:pPr>
        <w:ind w:firstLine="720"/>
        <w:rPr>
          <w:rFonts w:ascii="Times New Roman" w:hAnsi="Times New Roman" w:cs="Times New Roman"/>
        </w:rPr>
      </w:pPr>
    </w:p>
    <w:p w14:paraId="5AF5284D" w14:textId="0CA8F136" w:rsidR="004F33B6" w:rsidRPr="00E869A4" w:rsidRDefault="004F33B6" w:rsidP="004F33B6">
      <w:pPr>
        <w:rPr>
          <w:rFonts w:ascii="Times New Roman" w:hAnsi="Times New Roman" w:cs="Times New Roman"/>
        </w:rPr>
      </w:pPr>
      <w:r w:rsidRPr="00E869A4">
        <w:rPr>
          <w:rFonts w:ascii="Times New Roman" w:eastAsia="Times New Roman" w:hAnsi="Times New Roman" w:cs="Times New Roman"/>
        </w:rPr>
        <w:t xml:space="preserve">Interestingly, the qualitative interviews highlighted the role of migrant care workers in the provision of elder care. The possibility exists that the hiring of migrant workers may have increased since data collection was completed for this study. In June 2019, approximately </w:t>
      </w:r>
      <w:r w:rsidR="00040AB2" w:rsidRPr="00E869A4">
        <w:rPr>
          <w:rFonts w:ascii="Times New Roman" w:eastAsia="Times New Roman" w:hAnsi="Times New Roman" w:cs="Times New Roman"/>
        </w:rPr>
        <w:t>sixteen thousand, five hundred and twenty three (</w:t>
      </w:r>
      <w:r w:rsidRPr="00E869A4">
        <w:rPr>
          <w:rFonts w:ascii="Times New Roman" w:eastAsia="Times New Roman" w:hAnsi="Times New Roman" w:cs="Times New Roman"/>
        </w:rPr>
        <w:t>16,523</w:t>
      </w:r>
      <w:r w:rsidR="00040AB2" w:rsidRPr="00E869A4">
        <w:rPr>
          <w:rFonts w:ascii="Times New Roman" w:eastAsia="Times New Roman" w:hAnsi="Times New Roman" w:cs="Times New Roman"/>
        </w:rPr>
        <w:t>)</w:t>
      </w:r>
      <w:r w:rsidRPr="00E869A4">
        <w:rPr>
          <w:rFonts w:ascii="Times New Roman" w:eastAsia="Times New Roman" w:hAnsi="Times New Roman" w:cs="Times New Roman"/>
        </w:rPr>
        <w:t xml:space="preserve"> Venezuelan migrants registered as part of a two-week amnesty process to regularise their presence in T&amp;T. Registered migrants are allowed to work in T&amp;T for a year. But</w:t>
      </w:r>
      <w:r w:rsidR="00DF462D" w:rsidRPr="00E869A4">
        <w:rPr>
          <w:rFonts w:ascii="Times New Roman" w:eastAsia="Times New Roman" w:hAnsi="Times New Roman" w:cs="Times New Roman"/>
        </w:rPr>
        <w:t>,</w:t>
      </w:r>
      <w:r w:rsidRPr="00E869A4">
        <w:rPr>
          <w:rFonts w:ascii="Times New Roman" w:eastAsia="Times New Roman" w:hAnsi="Times New Roman" w:cs="Times New Roman"/>
        </w:rPr>
        <w:t xml:space="preserve"> data will need to be collected to ascertain the extent to which these migrants have become involved in the provision of care support to older persons locally. The employment of migrants, in particular, social and economic refugees, might be one means by which the limited pool of care workers in T&amp;T can be expanded to meet the demands of an ageing population. However, this must be done in a systematic manner that protects the rights of nationals to have priority access to employment locally, as well as to insulate those hiring them (Aronson &amp; Neysmith 1996; Delp et al. 2010; Stacey 2005). </w:t>
      </w:r>
    </w:p>
    <w:p w14:paraId="0A17F2A2" w14:textId="77777777" w:rsidR="004F33B6" w:rsidRPr="00E869A4" w:rsidRDefault="004F33B6" w:rsidP="004F33B6">
      <w:pPr>
        <w:ind w:firstLine="720"/>
        <w:rPr>
          <w:rFonts w:ascii="Times New Roman" w:hAnsi="Times New Roman" w:cs="Times New Roman"/>
        </w:rPr>
      </w:pPr>
    </w:p>
    <w:p w14:paraId="10643319" w14:textId="77777777" w:rsidR="0034568B" w:rsidRPr="00E869A4" w:rsidRDefault="0034568B">
      <w:pPr>
        <w:rPr>
          <w:rFonts w:ascii="Times New Roman" w:eastAsiaTheme="majorEastAsia" w:hAnsi="Times New Roman" w:cs="Times New Roman"/>
          <w:i/>
          <w:u w:val="single"/>
        </w:rPr>
      </w:pPr>
      <w:r w:rsidRPr="00E869A4">
        <w:br w:type="page"/>
      </w:r>
    </w:p>
    <w:p w14:paraId="53C3F077" w14:textId="3B2187D1" w:rsidR="004F33B6" w:rsidRPr="00E869A4" w:rsidRDefault="004F33B6" w:rsidP="0031040A">
      <w:pPr>
        <w:pStyle w:val="Heading5"/>
        <w:rPr>
          <w:color w:val="auto"/>
        </w:rPr>
      </w:pPr>
      <w:r w:rsidRPr="00E869A4">
        <w:rPr>
          <w:color w:val="auto"/>
        </w:rPr>
        <w:lastRenderedPageBreak/>
        <w:t>Services for family carers</w:t>
      </w:r>
    </w:p>
    <w:p w14:paraId="1EECE73D" w14:textId="77777777" w:rsidR="004F33B6" w:rsidRPr="00E869A4" w:rsidRDefault="004F33B6" w:rsidP="004F33B6">
      <w:pPr>
        <w:rPr>
          <w:rFonts w:ascii="Times New Roman" w:hAnsi="Times New Roman" w:cs="Times New Roman"/>
        </w:rPr>
      </w:pPr>
    </w:p>
    <w:p w14:paraId="016FD91E" w14:textId="6A47ED67" w:rsidR="004F33B6" w:rsidRPr="00E869A4" w:rsidRDefault="004F33B6" w:rsidP="004F33B6">
      <w:pPr>
        <w:rPr>
          <w:rFonts w:ascii="Times New Roman" w:hAnsi="Times New Roman" w:cs="Times New Roman"/>
        </w:rPr>
      </w:pPr>
      <w:r w:rsidRPr="00E869A4">
        <w:rPr>
          <w:rFonts w:ascii="Times New Roman" w:hAnsi="Times New Roman" w:cs="Times New Roman"/>
        </w:rPr>
        <w:t>Respite care services provide carers with direct and immediate relief by temporarily giving care to a dependent older person in their own home or in an institution, so that the primary caregiver can have some time for themselves (Courtin, Jemiai &amp; Mossialos 2014). As Rose, Noelker and Kagan, (2015</w:t>
      </w:r>
      <w:r w:rsidR="002C650C" w:rsidRPr="00E869A4">
        <w:rPr>
          <w:rFonts w:ascii="Times New Roman" w:hAnsi="Times New Roman" w:cs="Times New Roman"/>
        </w:rPr>
        <w:t>, p.</w:t>
      </w:r>
      <w:r w:rsidRPr="00E869A4">
        <w:rPr>
          <w:rFonts w:ascii="Times New Roman" w:hAnsi="Times New Roman" w:cs="Times New Roman"/>
        </w:rPr>
        <w:t xml:space="preserve"> 302) argued: </w:t>
      </w:r>
    </w:p>
    <w:p w14:paraId="3AE91217" w14:textId="77777777" w:rsidR="004F33B6" w:rsidRPr="00E869A4" w:rsidRDefault="004F33B6" w:rsidP="0034568B">
      <w:pPr>
        <w:spacing w:line="240" w:lineRule="auto"/>
        <w:ind w:left="720" w:firstLine="0"/>
        <w:rPr>
          <w:rFonts w:ascii="Times New Roman" w:hAnsi="Times New Roman" w:cs="Times New Roman"/>
        </w:rPr>
      </w:pPr>
    </w:p>
    <w:p w14:paraId="1A67CD0F" w14:textId="30E1DCAF" w:rsidR="004F33B6" w:rsidRPr="00E869A4" w:rsidRDefault="004F33B6" w:rsidP="0034568B">
      <w:pPr>
        <w:spacing w:line="240" w:lineRule="auto"/>
        <w:ind w:left="720" w:firstLine="0"/>
        <w:rPr>
          <w:rFonts w:ascii="Times New Roman" w:hAnsi="Times New Roman" w:cs="Times New Roman"/>
        </w:rPr>
      </w:pPr>
      <w:r w:rsidRPr="00E869A4">
        <w:rPr>
          <w:rFonts w:ascii="Times New Roman" w:hAnsi="Times New Roman" w:cs="Times New Roman"/>
        </w:rPr>
        <w:t>Because it is unlikely that there will be a sufficient number of direct-care workers to replace unpaid caregivers, improved policies are needed to ensure that their situation is sustainable through increased availability of high-quality respite and other services vital to caregiver health and well-being.</w:t>
      </w:r>
    </w:p>
    <w:p w14:paraId="1B326915" w14:textId="77777777" w:rsidR="004F33B6" w:rsidRPr="00E869A4" w:rsidRDefault="004F33B6" w:rsidP="0034568B">
      <w:pPr>
        <w:spacing w:line="240" w:lineRule="auto"/>
        <w:ind w:left="720" w:firstLine="0"/>
        <w:rPr>
          <w:rFonts w:ascii="Times New Roman" w:hAnsi="Times New Roman" w:cs="Times New Roman"/>
        </w:rPr>
      </w:pPr>
    </w:p>
    <w:p w14:paraId="77F5F9AE" w14:textId="77777777" w:rsidR="004F33B6" w:rsidRPr="00E869A4" w:rsidRDefault="004F33B6" w:rsidP="00DF462D">
      <w:pPr>
        <w:ind w:firstLine="0"/>
        <w:rPr>
          <w:rFonts w:ascii="Times New Roman" w:hAnsi="Times New Roman" w:cs="Times New Roman"/>
        </w:rPr>
      </w:pPr>
      <w:r w:rsidRPr="00E869A4">
        <w:rPr>
          <w:rFonts w:ascii="Times New Roman" w:hAnsi="Times New Roman" w:cs="Times New Roman"/>
        </w:rPr>
        <w:t>Thus, a priority action area that should be pursued by policymakers and social programme developers in T&amp;T is the development of respite care services for family caregivers.</w:t>
      </w:r>
    </w:p>
    <w:p w14:paraId="32788B1D" w14:textId="77777777" w:rsidR="004F33B6" w:rsidRPr="00E869A4" w:rsidRDefault="004F33B6" w:rsidP="004F33B6">
      <w:pPr>
        <w:rPr>
          <w:rFonts w:ascii="Times New Roman" w:hAnsi="Times New Roman" w:cs="Times New Roman"/>
        </w:rPr>
      </w:pPr>
    </w:p>
    <w:p w14:paraId="30006C76" w14:textId="77777777" w:rsidR="00E114C3" w:rsidRPr="00E869A4" w:rsidRDefault="004F33B6" w:rsidP="00E114C3">
      <w:pPr>
        <w:rPr>
          <w:rFonts w:ascii="Times New Roman" w:hAnsi="Times New Roman" w:cs="Times New Roman"/>
        </w:rPr>
      </w:pPr>
      <w:r w:rsidRPr="00E869A4">
        <w:rPr>
          <w:rFonts w:ascii="Times New Roman" w:hAnsi="Times New Roman" w:cs="Times New Roman"/>
        </w:rPr>
        <w:t>In OECD countries, respite-related benefits include grants to family carers to pay for respite, tax credits for families who pay for respite care, and long-term care insurance coverage for respite (Rose, Noelker &amp; Kagan 2015). More specifically, services such as in-home care, adult day-care, or nursing home care, overnight care, ‘granny’ sitting, befriending services for the older person and the carer, counselling and support groups, legal advice and concessions for holidays can be provided (</w:t>
      </w:r>
      <w:r w:rsidRPr="00E869A4">
        <w:t xml:space="preserve">Kohler, Schreiber &amp; Döhner </w:t>
      </w:r>
      <w:r w:rsidRPr="00E869A4">
        <w:rPr>
          <w:rFonts w:ascii="Times New Roman" w:hAnsi="Times New Roman" w:cs="Times New Roman"/>
        </w:rPr>
        <w:t>2006; Mestheneos &amp; Triantafillou 2005)</w:t>
      </w:r>
      <w:r w:rsidR="007739B0" w:rsidRPr="00E869A4">
        <w:rPr>
          <w:rFonts w:ascii="Times New Roman" w:hAnsi="Times New Roman" w:cs="Times New Roman"/>
        </w:rPr>
        <w:t>. Sweden, for example, provides a generous respite package that consists of 4 hour a week of respite for all carers at no charge, and a Carer’s Allowance payment equivalent to the amount that a private provider would receive.</w:t>
      </w:r>
      <w:r w:rsidRPr="00E869A4">
        <w:rPr>
          <w:rFonts w:ascii="Times New Roman" w:hAnsi="Times New Roman" w:cs="Times New Roman"/>
        </w:rPr>
        <w:t xml:space="preserve"> </w:t>
      </w:r>
      <w:r w:rsidR="007739B0" w:rsidRPr="00E869A4">
        <w:rPr>
          <w:rFonts w:ascii="Times New Roman" w:hAnsi="Times New Roman" w:cs="Times New Roman"/>
        </w:rPr>
        <w:t>The country is also known for its caregiver resource centres which provide a variety of services such as training, counselling, support groups, respite care, in-formation and resources for family caregivers, as well as day care programs for their older family members (Kohler, Schreiber &amp; Döhner 2006, p. 15). In Ireland, qualified nurses offer information and advice free of charge through a network of “carers’ clinics” dedicated to the physical and mental health of informal carers</w:t>
      </w:r>
      <w:r w:rsidR="00087C91" w:rsidRPr="00E869A4">
        <w:rPr>
          <w:rFonts w:ascii="Times New Roman" w:hAnsi="Times New Roman" w:cs="Times New Roman"/>
        </w:rPr>
        <w:t xml:space="preserve"> (</w:t>
      </w:r>
      <w:r w:rsidR="00087C91" w:rsidRPr="00E869A4">
        <w:t>Daly &amp; Clavero 2004)</w:t>
      </w:r>
      <w:r w:rsidR="007739B0" w:rsidRPr="00E869A4">
        <w:rPr>
          <w:rFonts w:ascii="Times New Roman" w:hAnsi="Times New Roman" w:cs="Times New Roman"/>
        </w:rPr>
        <w:t>. T&amp;T should consider developing some of these programmes.</w:t>
      </w:r>
      <w:r w:rsidR="00E114C3" w:rsidRPr="00E869A4">
        <w:rPr>
          <w:rFonts w:ascii="Times New Roman" w:hAnsi="Times New Roman" w:cs="Times New Roman"/>
        </w:rPr>
        <w:t xml:space="preserve"> Some informal carers may be reluctant to access support services due to feelings of obligation and fear that older relatives might view respite care as the first step towards institutionalisation (</w:t>
      </w:r>
      <w:r w:rsidR="00E114C3" w:rsidRPr="00E869A4">
        <w:rPr>
          <w:rFonts w:ascii="Times New Roman" w:eastAsia="Times New Roman" w:hAnsi="Times New Roman" w:cs="Times New Roman"/>
        </w:rPr>
        <w:t>Courtin, Jemiai &amp; Mossialos</w:t>
      </w:r>
      <w:r w:rsidR="00E114C3" w:rsidRPr="00E869A4">
        <w:rPr>
          <w:rFonts w:ascii="Times New Roman" w:hAnsi="Times New Roman" w:cs="Times New Roman"/>
        </w:rPr>
        <w:t xml:space="preserve"> 2014). It is crucial therefore, that more extensive research is conducted to ascertain the service needs of carers. New interventions should be piloted on a small scale before they are implemented extensively. </w:t>
      </w:r>
    </w:p>
    <w:p w14:paraId="6838056E" w14:textId="0B187462" w:rsidR="004F33B6" w:rsidRPr="00E869A4" w:rsidRDefault="004F33B6" w:rsidP="004F33B6">
      <w:pPr>
        <w:rPr>
          <w:rFonts w:ascii="Times New Roman" w:hAnsi="Times New Roman" w:cs="Times New Roman"/>
        </w:rPr>
      </w:pPr>
      <w:r w:rsidRPr="00E869A4">
        <w:rPr>
          <w:rFonts w:ascii="Times New Roman" w:hAnsi="Times New Roman" w:cs="Times New Roman"/>
        </w:rPr>
        <w:lastRenderedPageBreak/>
        <w:t>For respite solutions to be operationalised in T&amp;</w:t>
      </w:r>
      <w:r w:rsidR="00703383" w:rsidRPr="00E869A4">
        <w:rPr>
          <w:rFonts w:ascii="Times New Roman" w:hAnsi="Times New Roman" w:cs="Times New Roman"/>
        </w:rPr>
        <w:t>T</w:t>
      </w:r>
      <w:r w:rsidRPr="00E869A4">
        <w:rPr>
          <w:rFonts w:ascii="Times New Roman" w:hAnsi="Times New Roman" w:cs="Times New Roman"/>
        </w:rPr>
        <w:t xml:space="preserve"> there must be adequate residential and semi-residential facilities available. Serviced or sheltered housing</w:t>
      </w:r>
      <w:r w:rsidRPr="00E869A4">
        <w:rPr>
          <w:rStyle w:val="FootnoteReference"/>
          <w:rFonts w:cs="Times New Roman"/>
        </w:rPr>
        <w:footnoteReference w:id="110"/>
      </w:r>
      <w:r w:rsidRPr="00E869A4">
        <w:rPr>
          <w:rFonts w:ascii="Times New Roman" w:hAnsi="Times New Roman" w:cs="Times New Roman"/>
        </w:rPr>
        <w:t xml:space="preserve"> is almost non-existent in the nation and should be considered as a possible residential solution for older persons. Facilities such as </w:t>
      </w:r>
      <w:r w:rsidR="00DF462D" w:rsidRPr="00E869A4">
        <w:rPr>
          <w:rFonts w:ascii="Times New Roman" w:hAnsi="Times New Roman" w:cs="Times New Roman"/>
        </w:rPr>
        <w:t>SACs</w:t>
      </w:r>
      <w:r w:rsidRPr="00E869A4">
        <w:rPr>
          <w:rFonts w:ascii="Times New Roman" w:hAnsi="Times New Roman" w:cs="Times New Roman"/>
        </w:rPr>
        <w:t xml:space="preserve"> must be made accessible to </w:t>
      </w:r>
      <w:r w:rsidR="0025355A" w:rsidRPr="00E869A4">
        <w:rPr>
          <w:rFonts w:ascii="Times New Roman" w:hAnsi="Times New Roman" w:cs="Times New Roman"/>
        </w:rPr>
        <w:t>pwds</w:t>
      </w:r>
      <w:r w:rsidRPr="00E869A4">
        <w:rPr>
          <w:rStyle w:val="FootnoteReference"/>
          <w:rFonts w:cs="Times New Roman"/>
        </w:rPr>
        <w:footnoteReference w:id="111"/>
      </w:r>
      <w:r w:rsidRPr="00E869A4">
        <w:rPr>
          <w:rFonts w:ascii="Times New Roman" w:hAnsi="Times New Roman" w:cs="Times New Roman"/>
        </w:rPr>
        <w:t xml:space="preserve">. Also, there needs to be a concerted effort to adapt the existing housing </w:t>
      </w:r>
      <w:r w:rsidR="00E114C3" w:rsidRPr="00E869A4">
        <w:rPr>
          <w:rFonts w:ascii="Times New Roman" w:hAnsi="Times New Roman" w:cs="Times New Roman"/>
        </w:rPr>
        <w:t xml:space="preserve">and building </w:t>
      </w:r>
      <w:r w:rsidRPr="00E869A4">
        <w:rPr>
          <w:rFonts w:ascii="Times New Roman" w:hAnsi="Times New Roman" w:cs="Times New Roman"/>
        </w:rPr>
        <w:t>stock to be in keeping with universal design standards</w:t>
      </w:r>
      <w:r w:rsidRPr="00E869A4">
        <w:rPr>
          <w:rStyle w:val="FootnoteReference"/>
          <w:rFonts w:cs="Times New Roman"/>
        </w:rPr>
        <w:footnoteReference w:id="112"/>
      </w:r>
      <w:r w:rsidRPr="00E869A4">
        <w:rPr>
          <w:rFonts w:ascii="Times New Roman" w:hAnsi="Times New Roman" w:cs="Times New Roman"/>
        </w:rPr>
        <w:t xml:space="preserve"> and apply these standards to new public facilities. </w:t>
      </w:r>
      <w:r w:rsidRPr="00E869A4">
        <w:rPr>
          <w:rFonts w:ascii="Times New Roman" w:eastAsia="Calibri" w:hAnsi="Times New Roman" w:cs="Times New Roman"/>
        </w:rPr>
        <w:t xml:space="preserve">Employment-related leave measures, as well as employment creation incentives, should also be made available to family carers to help reconcile the challenges associated with work and caregiving. Many countries provide leave for family elder care (e.g. Sweden, Canada, Finland and the Netherlands) as well as flexible work practices such as the option to work part-time (Courtin, Jemiai &amp; Mossialos 2014; Mestheneos &amp; Triantafillou 2005). However, the length, payment, and other dimensions of leave vary considerably (Atcha 2018; Bettio &amp; Plantenga 2004; Koslowski et al. 2019). </w:t>
      </w:r>
      <w:r w:rsidR="001007BE" w:rsidRPr="00E869A4">
        <w:rPr>
          <w:rFonts w:ascii="Times New Roman" w:eastAsia="Calibri" w:hAnsi="Times New Roman" w:cs="Times New Roman"/>
        </w:rPr>
        <w:t xml:space="preserve">For instance, care leave varies from as low as 10 days per worker per year for a similar situation (e.g. Québec) to a more generous provision </w:t>
      </w:r>
      <w:r w:rsidR="00C65CD2" w:rsidRPr="00E869A4">
        <w:rPr>
          <w:rFonts w:ascii="Times New Roman" w:eastAsia="Calibri" w:hAnsi="Times New Roman" w:cs="Times New Roman"/>
        </w:rPr>
        <w:t>(e.g.</w:t>
      </w:r>
      <w:r w:rsidR="001007BE" w:rsidRPr="00E869A4">
        <w:rPr>
          <w:rFonts w:ascii="Times New Roman" w:eastAsia="Calibri" w:hAnsi="Times New Roman" w:cs="Times New Roman"/>
        </w:rPr>
        <w:t xml:space="preserve"> France</w:t>
      </w:r>
      <w:r w:rsidR="00C65CD2" w:rsidRPr="00E869A4">
        <w:rPr>
          <w:rFonts w:ascii="Times New Roman" w:eastAsia="Calibri" w:hAnsi="Times New Roman" w:cs="Times New Roman"/>
        </w:rPr>
        <w:t>)</w:t>
      </w:r>
      <w:r w:rsidR="001007BE" w:rsidRPr="00E869A4">
        <w:rPr>
          <w:rFonts w:ascii="Times New Roman" w:eastAsia="Calibri" w:hAnsi="Times New Roman" w:cs="Times New Roman"/>
        </w:rPr>
        <w:t xml:space="preserve"> where leave is availabl</w:t>
      </w:r>
      <w:r w:rsidR="00C65CD2" w:rsidRPr="00E869A4">
        <w:rPr>
          <w:rFonts w:ascii="Times New Roman" w:eastAsia="Calibri" w:hAnsi="Times New Roman" w:cs="Times New Roman"/>
        </w:rPr>
        <w:t>e for up to 3 years for care of</w:t>
      </w:r>
      <w:r w:rsidR="001007BE" w:rsidRPr="00E869A4">
        <w:rPr>
          <w:rFonts w:ascii="Times New Roman" w:eastAsia="Calibri" w:hAnsi="Times New Roman" w:cs="Times New Roman"/>
        </w:rPr>
        <w:t xml:space="preserve"> a terminally ill relative with up to 310 days paid (Atcha 2018; Koslowski et al. 2019). </w:t>
      </w:r>
      <w:r w:rsidRPr="00E869A4">
        <w:rPr>
          <w:rFonts w:ascii="Times New Roman" w:eastAsia="Calibri" w:hAnsi="Times New Roman" w:cs="Times New Roman"/>
        </w:rPr>
        <w:t>Some countries provide leave in case of common illness while others limit leave to the provision of care to persons with severe or terminal illness (Koslowski et al. 2019). In some countries, paid leave is provided while others only permit unpaid leave. Other employment-related measures that can be instituted to support family caregivers include flexi-time arrangements and reduction of working time (Razavi 2007).</w:t>
      </w:r>
    </w:p>
    <w:p w14:paraId="48354692" w14:textId="77777777" w:rsidR="004F33B6" w:rsidRPr="00E869A4" w:rsidRDefault="004F33B6" w:rsidP="004F33B6">
      <w:pPr>
        <w:ind w:firstLine="720"/>
        <w:rPr>
          <w:rFonts w:ascii="Times New Roman" w:hAnsi="Times New Roman" w:cs="Times New Roman"/>
        </w:rPr>
      </w:pPr>
    </w:p>
    <w:p w14:paraId="52E2FB94" w14:textId="50DBCBF2" w:rsidR="004F33B6" w:rsidRPr="00E869A4" w:rsidRDefault="004F33B6" w:rsidP="00EB6D53">
      <w:pPr>
        <w:rPr>
          <w:rFonts w:ascii="Times New Roman" w:hAnsi="Times New Roman" w:cs="Times New Roman"/>
        </w:rPr>
      </w:pPr>
      <w:r w:rsidRPr="00E869A4">
        <w:rPr>
          <w:rFonts w:ascii="Times New Roman" w:eastAsia="Calibri" w:hAnsi="Times New Roman" w:cs="Times New Roman"/>
        </w:rPr>
        <w:t xml:space="preserve">At the time that this thesis was prepared, there were no national leave provisions for family elder care in T&amp;T. In the absence of such provisions, carers had to resort to using their sick, casual or vacation leave to care for their older relatives or engage in other less productive practices such as late arrival and early departure from their jobs. Since family caregivers of older persons are at risk of experiencing health challenges associated with caregiver burden and strain, their sick leave and vacation provisions should not be compromised. Carers should not have to resort to poor attendance or be at the mercy of their employers </w:t>
      </w:r>
      <w:r w:rsidRPr="00E869A4">
        <w:rPr>
          <w:rFonts w:ascii="Times New Roman" w:eastAsia="Calibri" w:hAnsi="Times New Roman" w:cs="Times New Roman"/>
        </w:rPr>
        <w:lastRenderedPageBreak/>
        <w:t xml:space="preserve">because of the lack of explicit workplace policies that support their caregiving responsibilities. The absence of suitable national employment policies that empower family carers results in these soldiers of care being penalised, rather than rewarded, for caring. </w:t>
      </w:r>
      <w:r w:rsidRPr="00E869A4">
        <w:rPr>
          <w:rFonts w:ascii="Times New Roman" w:hAnsi="Times New Roman" w:cs="Times New Roman"/>
        </w:rPr>
        <w:t>Given the risk of impoverishment of caregivers who withdraw from the workforce to give full time care, consideration should be given to providing job-protected compassionate leave to persons (irrespective of gender) who are primary family carers to older p</w:t>
      </w:r>
      <w:r w:rsidRPr="00E869A4">
        <w:rPr>
          <w:rFonts w:ascii="Times New Roman" w:eastAsia="Calibri" w:hAnsi="Times New Roman" w:cs="Times New Roman"/>
        </w:rPr>
        <w:t xml:space="preserve">ersons. This leave may be paid and/or unpaid and should be distinct from the sick leave that most employed persons are entitled to. </w:t>
      </w:r>
      <w:r w:rsidRPr="00E869A4">
        <w:rPr>
          <w:rFonts w:ascii="Times New Roman" w:hAnsi="Times New Roman" w:cs="Times New Roman"/>
        </w:rPr>
        <w:t xml:space="preserve">Consideration should also be given to providing employment creation incentives such as vouchers and tax reductions to help cover the cost of employing domestic workers, exemptions from social security contributions for people employed as carers, and subsidies for private care </w:t>
      </w:r>
      <w:r w:rsidRPr="00E869A4">
        <w:rPr>
          <w:rFonts w:ascii="Times New Roman" w:eastAsia="Calibri" w:hAnsi="Times New Roman" w:cs="Times New Roman"/>
        </w:rPr>
        <w:t>(Razavi 2007)</w:t>
      </w:r>
      <w:r w:rsidRPr="00E869A4">
        <w:rPr>
          <w:rFonts w:ascii="Times New Roman" w:hAnsi="Times New Roman" w:cs="Times New Roman"/>
        </w:rPr>
        <w:t>. Carers could also be awarded national insurance pension points to compensate for the time they provide informal family care (</w:t>
      </w:r>
      <w:r w:rsidRPr="00E869A4">
        <w:rPr>
          <w:rFonts w:ascii="Times New Roman" w:eastAsia="Calibri" w:hAnsi="Times New Roman" w:cs="Times New Roman"/>
        </w:rPr>
        <w:t>Castiello et al. 2008</w:t>
      </w:r>
      <w:r w:rsidRPr="00E869A4">
        <w:rPr>
          <w:rFonts w:ascii="Times New Roman" w:hAnsi="Times New Roman" w:cs="Times New Roman"/>
        </w:rPr>
        <w:t>; Le Bihan, Da Roit &amp; Sopadzhiyan 2019; Mestheneos &amp; Triantafillou</w:t>
      </w:r>
      <w:r w:rsidR="00810852" w:rsidRPr="00E869A4">
        <w:rPr>
          <w:rFonts w:ascii="Times New Roman" w:hAnsi="Times New Roman" w:cs="Times New Roman"/>
        </w:rPr>
        <w:t xml:space="preserve"> </w:t>
      </w:r>
      <w:r w:rsidRPr="00E869A4">
        <w:rPr>
          <w:rFonts w:ascii="Times New Roman" w:hAnsi="Times New Roman" w:cs="Times New Roman"/>
        </w:rPr>
        <w:t xml:space="preserve">2005). Austria, the Czech Republic, Ireland, Norway and the UK, are some of the countries that provide pension credits to family caregivers (Courtin, Jemiai &amp; Mossialos 2014; Mestheneos &amp; Triantafillou 2005). </w:t>
      </w:r>
    </w:p>
    <w:p w14:paraId="10792078" w14:textId="3052F3E4" w:rsidR="00087C91" w:rsidRPr="00E869A4" w:rsidRDefault="00087C91">
      <w:pPr>
        <w:rPr>
          <w:b/>
          <w:i/>
          <w:u w:val="single"/>
        </w:rPr>
      </w:pPr>
    </w:p>
    <w:p w14:paraId="14C43D20" w14:textId="16853CC5" w:rsidR="004F33B6" w:rsidRPr="00E869A4" w:rsidRDefault="004F33B6" w:rsidP="004F33B6">
      <w:pPr>
        <w:pStyle w:val="Heading4"/>
      </w:pPr>
      <w:r w:rsidRPr="00E869A4">
        <w:t>Funding Family Care Interventions</w:t>
      </w:r>
    </w:p>
    <w:p w14:paraId="4769A3C1" w14:textId="77777777" w:rsidR="004F33B6" w:rsidRPr="00E869A4" w:rsidRDefault="004F33B6" w:rsidP="004F33B6">
      <w:pPr>
        <w:rPr>
          <w:rFonts w:ascii="Times New Roman" w:eastAsia="Times New Roman" w:hAnsi="Times New Roman" w:cs="Times New Roman"/>
          <w:bCs/>
          <w:iCs/>
          <w:caps/>
          <w:lang w:eastAsia="en-US"/>
        </w:rPr>
      </w:pPr>
    </w:p>
    <w:p w14:paraId="3ABC069E" w14:textId="4E56B165" w:rsidR="004F33B6" w:rsidRPr="00E869A4" w:rsidRDefault="004F33B6" w:rsidP="004F33B6">
      <w:pPr>
        <w:rPr>
          <w:rFonts w:ascii="Times New Roman" w:eastAsia="Times New Roman" w:hAnsi="Times New Roman" w:cs="Times New Roman"/>
          <w:bCs/>
          <w:iCs/>
          <w:lang w:eastAsia="en-US"/>
        </w:rPr>
      </w:pPr>
      <w:r w:rsidRPr="00E869A4">
        <w:rPr>
          <w:rFonts w:ascii="Times New Roman" w:eastAsia="Times New Roman" w:hAnsi="Times New Roman" w:cs="Times New Roman"/>
          <w:bCs/>
          <w:iCs/>
          <w:lang w:eastAsia="en-US"/>
        </w:rPr>
        <w:t xml:space="preserve">A critical issue that must be considered is the means by which developing countries like T&amp;T can fund the strengthening and expansion of health and social services for older persons and their </w:t>
      </w:r>
      <w:proofErr w:type="spellStart"/>
      <w:r w:rsidRPr="00E869A4">
        <w:rPr>
          <w:rFonts w:ascii="Times New Roman" w:eastAsia="Times New Roman" w:hAnsi="Times New Roman" w:cs="Times New Roman"/>
          <w:bCs/>
          <w:iCs/>
          <w:lang w:eastAsia="en-US"/>
        </w:rPr>
        <w:t>carers</w:t>
      </w:r>
      <w:proofErr w:type="spellEnd"/>
      <w:r w:rsidRPr="00E869A4">
        <w:rPr>
          <w:rFonts w:ascii="Times New Roman" w:eastAsia="Times New Roman" w:hAnsi="Times New Roman" w:cs="Times New Roman"/>
          <w:bCs/>
          <w:iCs/>
          <w:lang w:eastAsia="en-US"/>
        </w:rPr>
        <w:t xml:space="preserve">. </w:t>
      </w:r>
      <w:r w:rsidRPr="00E869A4">
        <w:rPr>
          <w:rFonts w:ascii="Times New Roman" w:hAnsi="Times New Roman" w:cs="Times New Roman"/>
        </w:rPr>
        <w:t>A variety of funding mechanisms can be used to cover the cost of health and social care. These include taxation, client contributions (means-tested or fixed co-payment), premiums (compulsory or non-compulsory) and donations</w:t>
      </w:r>
      <w:r w:rsidR="00474820" w:rsidRPr="00E869A4">
        <w:rPr>
          <w:rFonts w:ascii="Times New Roman" w:hAnsi="Times New Roman" w:cs="Times New Roman"/>
        </w:rPr>
        <w:t>,</w:t>
      </w:r>
      <w:r w:rsidRPr="00E869A4">
        <w:rPr>
          <w:rFonts w:ascii="Times New Roman" w:hAnsi="Times New Roman" w:cs="Times New Roman"/>
        </w:rPr>
        <w:t xml:space="preserve"> </w:t>
      </w:r>
      <w:r w:rsidR="00474820" w:rsidRPr="00E869A4">
        <w:rPr>
          <w:rFonts w:ascii="Times New Roman" w:hAnsi="Times New Roman" w:cs="Times New Roman"/>
        </w:rPr>
        <w:t>as well as</w:t>
      </w:r>
      <w:r w:rsidRPr="00E869A4">
        <w:rPr>
          <w:rFonts w:ascii="Times New Roman" w:hAnsi="Times New Roman" w:cs="Times New Roman"/>
        </w:rPr>
        <w:t xml:space="preserve"> other third party contributions from charities or NGOs funded by private donations or membership fees (Genet et al. 2011). In T&amp;T, </w:t>
      </w:r>
      <w:r w:rsidRPr="00E869A4">
        <w:rPr>
          <w:rFonts w:ascii="Times New Roman" w:eastAsia="Times New Roman" w:hAnsi="Times New Roman" w:cs="Times New Roman"/>
          <w:bCs/>
          <w:iCs/>
          <w:lang w:eastAsia="en-US"/>
        </w:rPr>
        <w:t xml:space="preserve">NGOs, FBOs and the private sector tend to focus on providing special services and concessions to older persons. However, these organisations should be encouraged to expand their concessions to family carers who oftentimes need to accompany frail older persons and </w:t>
      </w:r>
      <w:r w:rsidR="0025355A" w:rsidRPr="00E869A4">
        <w:rPr>
          <w:rFonts w:ascii="Times New Roman" w:eastAsia="Times New Roman" w:hAnsi="Times New Roman" w:cs="Times New Roman"/>
          <w:bCs/>
          <w:iCs/>
          <w:lang w:eastAsia="en-US"/>
        </w:rPr>
        <w:t>pwds</w:t>
      </w:r>
      <w:r w:rsidRPr="00E869A4">
        <w:rPr>
          <w:rStyle w:val="FootnoteReference"/>
          <w:rFonts w:eastAsia="Times New Roman" w:cs="Times New Roman"/>
          <w:iCs/>
          <w:lang w:eastAsia="en-US"/>
        </w:rPr>
        <w:footnoteReference w:id="113"/>
      </w:r>
      <w:r w:rsidRPr="00E869A4">
        <w:rPr>
          <w:rFonts w:ascii="Times New Roman" w:eastAsia="Times New Roman" w:hAnsi="Times New Roman" w:cs="Times New Roman"/>
          <w:bCs/>
          <w:iCs/>
          <w:lang w:eastAsia="en-US"/>
        </w:rPr>
        <w:t xml:space="preserve">. </w:t>
      </w:r>
    </w:p>
    <w:p w14:paraId="53F2CB31" w14:textId="77777777" w:rsidR="0025355A" w:rsidRPr="00E869A4" w:rsidRDefault="0025355A" w:rsidP="004F33B6">
      <w:pPr>
        <w:rPr>
          <w:rFonts w:ascii="Times New Roman" w:hAnsi="Times New Roman" w:cs="Times New Roman"/>
        </w:rPr>
      </w:pPr>
    </w:p>
    <w:p w14:paraId="06208481" w14:textId="4A0D0BFE" w:rsidR="004F33B6" w:rsidRPr="00E869A4" w:rsidRDefault="004F33B6" w:rsidP="004F33B6">
      <w:pPr>
        <w:rPr>
          <w:rFonts w:ascii="Times New Roman" w:hAnsi="Times New Roman" w:cs="Times New Roman"/>
        </w:rPr>
      </w:pPr>
      <w:r w:rsidRPr="00E869A4">
        <w:rPr>
          <w:rFonts w:ascii="Times New Roman" w:hAnsi="Times New Roman" w:cs="Times New Roman"/>
        </w:rPr>
        <w:lastRenderedPageBreak/>
        <w:t>As in many high-income countries, financing of health and social care in T&amp;T is based on a combination of publicly funded programmes, private insurance, and individual/family financing with other forms of self-insurance (Costa</w:t>
      </w:r>
      <w:r w:rsidRPr="00E869A4">
        <w:rPr>
          <w:rFonts w:ascii="Cambria Math" w:hAnsi="Cambria Math" w:cs="Cambria Math"/>
        </w:rPr>
        <w:t>‐</w:t>
      </w:r>
      <w:r w:rsidRPr="00E869A4">
        <w:rPr>
          <w:rFonts w:ascii="Times New Roman" w:hAnsi="Times New Roman" w:cs="Times New Roman"/>
        </w:rPr>
        <w:t xml:space="preserve">Font, Courbage &amp; Swartz 2015). However, in T&amp;T as is the case with low and middle-income families in other jurisdictions, “the amount of personal savings required to afford self-insurance is prohibitively high” (Bloeck, Galiani &amp; Ibarrarán 2018, p. 1 &amp; 13). This results in an increased demand for publicly provided services even in the face of fewer resources (Gutiérrez-Robledo 2002). One solution that has been proposed in the Vision 2030 development framework for T&amp;T is the introduction of a Universal Health Insurance Programme for all citizens using Public/Private arrangements. </w:t>
      </w:r>
      <w:r w:rsidR="008C6B3D">
        <w:rPr>
          <w:rFonts w:ascii="Times New Roman" w:hAnsi="Times New Roman" w:cs="Times New Roman"/>
        </w:rPr>
        <w:t>Un</w:t>
      </w:r>
      <w:r w:rsidRPr="00E869A4">
        <w:rPr>
          <w:rFonts w:ascii="Times New Roman" w:hAnsi="Times New Roman" w:cs="Times New Roman"/>
        </w:rPr>
        <w:t xml:space="preserve">der this new programme, </w:t>
      </w:r>
      <w:r w:rsidR="008C6B3D">
        <w:rPr>
          <w:rFonts w:ascii="Times New Roman" w:hAnsi="Times New Roman" w:cs="Times New Roman"/>
        </w:rPr>
        <w:t xml:space="preserve">the GORTT seeks to ensure that </w:t>
      </w:r>
      <w:r w:rsidRPr="00E869A4">
        <w:rPr>
          <w:rFonts w:ascii="Times New Roman" w:hAnsi="Times New Roman" w:cs="Times New Roman"/>
        </w:rPr>
        <w:t xml:space="preserve">all members of the public will be able to access high-quality health care at any health facility, whether public or private, regardless of their personal financial circumstances (GORTT 2016). It is beyond the scope of this study to provide an in-depth analysis of this Vision 2030 strategy. However, based on a review of the literature on the use of insurance to fund </w:t>
      </w:r>
      <w:r w:rsidR="00DA459D" w:rsidRPr="00E869A4">
        <w:rPr>
          <w:rFonts w:ascii="Times New Roman" w:hAnsi="Times New Roman" w:cs="Times New Roman"/>
        </w:rPr>
        <w:t>long-term</w:t>
      </w:r>
      <w:r w:rsidRPr="00E869A4">
        <w:rPr>
          <w:rFonts w:ascii="Times New Roman" w:hAnsi="Times New Roman" w:cs="Times New Roman"/>
        </w:rPr>
        <w:t xml:space="preserve"> care, the following is worthy of note. </w:t>
      </w:r>
    </w:p>
    <w:p w14:paraId="288809D4" w14:textId="77777777" w:rsidR="004F33B6" w:rsidRPr="00E869A4" w:rsidRDefault="004F33B6" w:rsidP="004F33B6">
      <w:pPr>
        <w:ind w:firstLine="720"/>
        <w:rPr>
          <w:rFonts w:ascii="Times New Roman" w:hAnsi="Times New Roman" w:cs="Times New Roman"/>
        </w:rPr>
      </w:pPr>
    </w:p>
    <w:p w14:paraId="05EDD001" w14:textId="1B164E3D"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There are many benefits to a universal health insurance scheme such as the use of progressive taxation, which allows for lower-income earners to make a smaller contribution when compared to higher-income earners, and, risk pooling through mandated </w:t>
      </w:r>
      <w:r w:rsidR="00DA459D" w:rsidRPr="00E869A4">
        <w:rPr>
          <w:rFonts w:ascii="Times New Roman" w:hAnsi="Times New Roman" w:cs="Times New Roman"/>
        </w:rPr>
        <w:t>contributions, which</w:t>
      </w:r>
      <w:r w:rsidRPr="00E869A4">
        <w:rPr>
          <w:rFonts w:ascii="Times New Roman" w:hAnsi="Times New Roman" w:cs="Times New Roman"/>
        </w:rPr>
        <w:t xml:space="preserve"> makes the insurance scheme more secure as risks are shared across the population (Bloeck, Galiani &amp; Ibarrarán 2018). Although social (rather than private) insurance is widely accepted as the best way forward for funding long term care, the effectiveness of this approach in meeting the needs of citizens may be hindered due to the complexity of insurance contracts which makes it difficult for the insured to assess value for money. Also, funding through salaries might restrict the number of persons and services provided, especially in low-income countries, where the level of payment is usually low. Another possible disadvantage is, in the event that fees are paid for each act or visit, it may lead to the overprovision of more expensive services (Bloeck, Galiani &amp; Ibarrarán 2018). </w:t>
      </w:r>
    </w:p>
    <w:p w14:paraId="0F515C81" w14:textId="77777777" w:rsidR="004F33B6" w:rsidRPr="00E869A4" w:rsidRDefault="004F33B6" w:rsidP="004F33B6">
      <w:pPr>
        <w:ind w:firstLine="720"/>
        <w:rPr>
          <w:rFonts w:ascii="Times New Roman" w:hAnsi="Times New Roman" w:cs="Times New Roman"/>
        </w:rPr>
      </w:pPr>
    </w:p>
    <w:p w14:paraId="3D43AACA" w14:textId="2DC60DFC" w:rsidR="00497C8C" w:rsidRPr="00E869A4" w:rsidRDefault="004F33B6">
      <w:pPr>
        <w:rPr>
          <w:rFonts w:ascii="Times New Roman" w:hAnsi="Times New Roman" w:cs="Times New Roman"/>
        </w:rPr>
      </w:pPr>
      <w:r w:rsidRPr="00E869A4">
        <w:rPr>
          <w:rFonts w:ascii="Times New Roman" w:hAnsi="Times New Roman" w:cs="Times New Roman"/>
        </w:rPr>
        <w:t xml:space="preserve">Some of the measures that can be taken to circumvent these challenges include the use of a monitoring system to identify and deter providers from engaging in nefarious practices that result in cost inflation and poor quality service. The creation of watchdog agencies similar to Accountable Care Organisations (ACO) that operate in countries such as New Zealand and the USA is one means for achieving this. ACOs consist of groups of doctors, hospitals and other health care providers who agree to </w:t>
      </w:r>
      <w:r w:rsidRPr="00E869A4">
        <w:rPr>
          <w:rFonts w:ascii="Times New Roman" w:hAnsi="Times New Roman" w:cs="Times New Roman"/>
        </w:rPr>
        <w:lastRenderedPageBreak/>
        <w:t>be accountable for the quality, cost, and overall care provided through public sector funding. The goal of coordinated care provided by an ACO is to</w:t>
      </w:r>
      <w:r w:rsidR="00810852" w:rsidRPr="00E869A4">
        <w:rPr>
          <w:rFonts w:ascii="Times New Roman" w:hAnsi="Times New Roman" w:cs="Times New Roman"/>
        </w:rPr>
        <w:t xml:space="preserve"> “</w:t>
      </w:r>
      <w:r w:rsidRPr="00E869A4">
        <w:rPr>
          <w:rFonts w:ascii="Times New Roman" w:hAnsi="Times New Roman" w:cs="Times New Roman"/>
        </w:rPr>
        <w:t>ensure that patients and populations — especially the chronically ill — get the right care, at the right time and without harm, while avoiding care that has no proven benefit or represents an unnecessary duplication of services</w:t>
      </w:r>
      <w:r w:rsidR="00810852" w:rsidRPr="00E869A4">
        <w:rPr>
          <w:rFonts w:ascii="Times New Roman" w:hAnsi="Times New Roman" w:cs="Times New Roman"/>
        </w:rPr>
        <w:t>”</w:t>
      </w:r>
      <w:r w:rsidRPr="00E869A4">
        <w:rPr>
          <w:rFonts w:ascii="Times New Roman" w:hAnsi="Times New Roman" w:cs="Times New Roman"/>
        </w:rPr>
        <w:t>(Health Catalyst 2019)</w:t>
      </w:r>
      <w:r w:rsidRPr="00E869A4">
        <w:rPr>
          <w:rStyle w:val="FootnoteReference"/>
          <w:rFonts w:cs="Times New Roman"/>
        </w:rPr>
        <w:footnoteReference w:id="114"/>
      </w:r>
      <w:r w:rsidRPr="00E869A4">
        <w:rPr>
          <w:rFonts w:ascii="Times New Roman" w:hAnsi="Times New Roman" w:cs="Times New Roman"/>
        </w:rPr>
        <w:t>.</w:t>
      </w:r>
      <w:bookmarkStart w:id="444" w:name="_Toc26414890"/>
      <w:r w:rsidR="0064290D" w:rsidRPr="00E869A4">
        <w:rPr>
          <w:rFonts w:ascii="Times New Roman" w:hAnsi="Times New Roman" w:cs="Times New Roman"/>
        </w:rPr>
        <w:t xml:space="preserve"> However, this approach will require stringent standards to be set for the medical practitioners and service providers that are engaged to monitor the sector, lest the current problems that plague the health care system (Welch et al. 2016) proliferate in the watchdog agency. </w:t>
      </w:r>
      <w:r w:rsidR="004F3A92">
        <w:rPr>
          <w:rFonts w:ascii="Times New Roman" w:hAnsi="Times New Roman" w:cs="Times New Roman"/>
        </w:rPr>
        <w:t xml:space="preserve">Representatives from civil society organisations should be included as part of this oversight body so that it is not skewed to the interests of the medical fraternity. </w:t>
      </w:r>
    </w:p>
    <w:p w14:paraId="4B52A8B5" w14:textId="77777777" w:rsidR="0048754D" w:rsidRPr="00E869A4" w:rsidRDefault="0048754D">
      <w:pPr>
        <w:rPr>
          <w:rFonts w:ascii="Times New Roman" w:hAnsi="Times New Roman" w:cs="Times New Roman"/>
        </w:rPr>
      </w:pPr>
    </w:p>
    <w:p w14:paraId="3C5EE1AC" w14:textId="77777777" w:rsidR="0048754D" w:rsidRPr="00E869A4" w:rsidRDefault="0048754D">
      <w:pPr>
        <w:rPr>
          <w:rFonts w:ascii="Times New Roman" w:hAnsi="Times New Roman" w:cs="Times New Roman"/>
          <w:b/>
          <w:bCs/>
          <w:iCs/>
          <w:szCs w:val="24"/>
          <w:u w:val="single"/>
          <w:lang w:eastAsia="en-US"/>
        </w:rPr>
      </w:pPr>
    </w:p>
    <w:p w14:paraId="15EB788C" w14:textId="25335EDF" w:rsidR="004F33B6" w:rsidRPr="00E869A4" w:rsidRDefault="004F33B6" w:rsidP="004F33B6">
      <w:pPr>
        <w:pStyle w:val="Heading111"/>
        <w:rPr>
          <w:color w:val="auto"/>
        </w:rPr>
      </w:pPr>
      <w:bookmarkStart w:id="445" w:name="_Toc40436592"/>
      <w:r w:rsidRPr="00E869A4">
        <w:rPr>
          <w:color w:val="auto"/>
        </w:rPr>
        <w:t>1</w:t>
      </w:r>
      <w:r w:rsidR="0048754D" w:rsidRPr="00E869A4">
        <w:rPr>
          <w:color w:val="auto"/>
        </w:rPr>
        <w:t>0</w:t>
      </w:r>
      <w:r w:rsidRPr="00E869A4">
        <w:rPr>
          <w:color w:val="auto"/>
        </w:rPr>
        <w:t>.3 CONCLUSION</w:t>
      </w:r>
      <w:bookmarkEnd w:id="444"/>
      <w:bookmarkEnd w:id="445"/>
      <w:r w:rsidRPr="00E869A4">
        <w:rPr>
          <w:color w:val="auto"/>
        </w:rPr>
        <w:t xml:space="preserve"> </w:t>
      </w:r>
    </w:p>
    <w:p w14:paraId="057C4FB4" w14:textId="77777777" w:rsidR="004F33B6" w:rsidRPr="00E869A4" w:rsidRDefault="004F33B6" w:rsidP="004F33B6">
      <w:pPr>
        <w:rPr>
          <w:rFonts w:ascii="Times New Roman" w:hAnsi="Times New Roman" w:cs="Times New Roman"/>
          <w:b/>
          <w:u w:val="single"/>
        </w:rPr>
      </w:pPr>
    </w:p>
    <w:p w14:paraId="3372E5EE" w14:textId="0C741122" w:rsidR="004F33B6" w:rsidRPr="00E869A4" w:rsidRDefault="004F33B6" w:rsidP="001D05C5">
      <w:pPr>
        <w:rPr>
          <w:rFonts w:ascii="Times New Roman" w:hAnsi="Times New Roman" w:cs="Times New Roman"/>
        </w:rPr>
      </w:pPr>
      <w:r w:rsidRPr="00E869A4">
        <w:rPr>
          <w:rFonts w:ascii="Times New Roman" w:hAnsi="Times New Roman" w:cs="Times New Roman"/>
        </w:rPr>
        <w:t xml:space="preserve">Family care is critical for meeting the </w:t>
      </w:r>
      <w:r w:rsidR="00073668" w:rsidRPr="00E869A4">
        <w:rPr>
          <w:rFonts w:ascii="Times New Roman" w:hAnsi="Times New Roman" w:cs="Times New Roman"/>
        </w:rPr>
        <w:t>long-term</w:t>
      </w:r>
      <w:r w:rsidRPr="00E869A4">
        <w:rPr>
          <w:rFonts w:ascii="Times New Roman" w:hAnsi="Times New Roman" w:cs="Times New Roman"/>
        </w:rPr>
        <w:t xml:space="preserve"> needs of an ageing population. As this study has shown, it is the preferred form of care for many older persons and their family carers in T&amp;T. This thesis contributes to the existing literature on family caregiving by providing research </w:t>
      </w:r>
      <w:r w:rsidR="00497C8C" w:rsidRPr="00E869A4">
        <w:rPr>
          <w:rFonts w:ascii="Times New Roman" w:hAnsi="Times New Roman" w:cs="Times New Roman"/>
        </w:rPr>
        <w:t>on</w:t>
      </w:r>
      <w:r w:rsidRPr="00E869A4">
        <w:rPr>
          <w:rFonts w:ascii="Times New Roman" w:hAnsi="Times New Roman" w:cs="Times New Roman"/>
        </w:rPr>
        <w:t xml:space="preserve"> a developing country context</w:t>
      </w:r>
      <w:r w:rsidR="00497C8C" w:rsidRPr="00E869A4">
        <w:rPr>
          <w:rFonts w:ascii="Times New Roman" w:hAnsi="Times New Roman" w:cs="Times New Roman"/>
        </w:rPr>
        <w:t xml:space="preserve"> i.e. the small island </w:t>
      </w:r>
      <w:r w:rsidR="003038A0" w:rsidRPr="00E869A4">
        <w:rPr>
          <w:rFonts w:ascii="Times New Roman" w:hAnsi="Times New Roman" w:cs="Times New Roman"/>
        </w:rPr>
        <w:t>Caribbean</w:t>
      </w:r>
      <w:r w:rsidR="00497C8C" w:rsidRPr="00E869A4">
        <w:rPr>
          <w:rFonts w:ascii="Times New Roman" w:hAnsi="Times New Roman" w:cs="Times New Roman"/>
        </w:rPr>
        <w:t xml:space="preserve"> state of T&amp;T,</w:t>
      </w:r>
      <w:r w:rsidRPr="00E869A4">
        <w:rPr>
          <w:rFonts w:ascii="Times New Roman" w:hAnsi="Times New Roman" w:cs="Times New Roman"/>
        </w:rPr>
        <w:t xml:space="preserve"> where very little was known about family elder care practices. At the time that this study was conducted, the situational analysis of older persons that was provided in the country’s </w:t>
      </w:r>
      <w:r w:rsidR="00EF21AA" w:rsidRPr="00E869A4">
        <w:rPr>
          <w:rFonts w:ascii="Times New Roman" w:hAnsi="Times New Roman" w:cs="Times New Roman"/>
        </w:rPr>
        <w:t>NPA</w:t>
      </w:r>
      <w:r w:rsidRPr="00E869A4">
        <w:rPr>
          <w:rFonts w:ascii="Times New Roman" w:hAnsi="Times New Roman" w:cs="Times New Roman"/>
        </w:rPr>
        <w:t xml:space="preserve"> noted that</w:t>
      </w:r>
      <w:r w:rsidR="00EF21AA" w:rsidRPr="00E869A4">
        <w:rPr>
          <w:rFonts w:ascii="Times New Roman" w:hAnsi="Times New Roman" w:cs="Times New Roman"/>
        </w:rPr>
        <w:t>:</w:t>
      </w:r>
      <w:r w:rsidR="001D05C5" w:rsidRPr="00E869A4">
        <w:rPr>
          <w:rFonts w:ascii="Times New Roman" w:hAnsi="Times New Roman" w:cs="Times New Roman"/>
        </w:rPr>
        <w:t xml:space="preserve"> </w:t>
      </w:r>
      <w:r w:rsidRPr="00E869A4">
        <w:rPr>
          <w:rFonts w:ascii="Times New Roman" w:hAnsi="Times New Roman" w:cs="Times New Roman"/>
        </w:rPr>
        <w:t>“The majority of older persons live with families who provide care-giving where necessary, but the quality and stresses of such care are unknown.”</w:t>
      </w:r>
      <w:r w:rsidR="001D05C5" w:rsidRPr="00E869A4">
        <w:rPr>
          <w:rFonts w:ascii="Times New Roman" w:hAnsi="Times New Roman" w:cs="Times New Roman"/>
        </w:rPr>
        <w:t xml:space="preserve"> (NPA</w:t>
      </w:r>
      <w:r w:rsidR="00497C8C" w:rsidRPr="00E869A4">
        <w:rPr>
          <w:rFonts w:ascii="Times New Roman" w:hAnsi="Times New Roman" w:cs="Times New Roman"/>
        </w:rPr>
        <w:t xml:space="preserve"> 2003</w:t>
      </w:r>
      <w:r w:rsidR="001D05C5" w:rsidRPr="00E869A4">
        <w:rPr>
          <w:rFonts w:ascii="Times New Roman" w:hAnsi="Times New Roman" w:cs="Times New Roman"/>
        </w:rPr>
        <w:t xml:space="preserve">, p. </w:t>
      </w:r>
      <w:r w:rsidR="00497C8C" w:rsidRPr="00E869A4">
        <w:rPr>
          <w:rFonts w:ascii="Times New Roman" w:hAnsi="Times New Roman" w:cs="Times New Roman"/>
        </w:rPr>
        <w:t>8</w:t>
      </w:r>
      <w:r w:rsidR="001D05C5" w:rsidRPr="00E869A4">
        <w:rPr>
          <w:rFonts w:ascii="Times New Roman" w:hAnsi="Times New Roman" w:cs="Times New Roman"/>
        </w:rPr>
        <w:t>). T</w:t>
      </w:r>
      <w:r w:rsidRPr="00E869A4">
        <w:rPr>
          <w:rFonts w:ascii="Times New Roman" w:hAnsi="Times New Roman" w:cs="Times New Roman"/>
        </w:rPr>
        <w:t>h</w:t>
      </w:r>
      <w:r w:rsidR="00497C8C" w:rsidRPr="00E869A4">
        <w:rPr>
          <w:rFonts w:ascii="Times New Roman" w:hAnsi="Times New Roman" w:cs="Times New Roman"/>
        </w:rPr>
        <w:t xml:space="preserve">us, the </w:t>
      </w:r>
      <w:r w:rsidRPr="00E869A4">
        <w:rPr>
          <w:rFonts w:ascii="Times New Roman" w:hAnsi="Times New Roman" w:cs="Times New Roman"/>
        </w:rPr>
        <w:t xml:space="preserve">information </w:t>
      </w:r>
      <w:r w:rsidR="00497C8C" w:rsidRPr="00E869A4">
        <w:rPr>
          <w:rFonts w:ascii="Times New Roman" w:hAnsi="Times New Roman" w:cs="Times New Roman"/>
        </w:rPr>
        <w:t xml:space="preserve">in this thesis helps </w:t>
      </w:r>
      <w:r w:rsidRPr="00E869A4">
        <w:rPr>
          <w:rFonts w:ascii="Times New Roman" w:hAnsi="Times New Roman" w:cs="Times New Roman"/>
        </w:rPr>
        <w:t>to addr</w:t>
      </w:r>
      <w:r w:rsidR="00E90289" w:rsidRPr="00E869A4">
        <w:rPr>
          <w:rFonts w:ascii="Times New Roman" w:hAnsi="Times New Roman" w:cs="Times New Roman"/>
        </w:rPr>
        <w:t xml:space="preserve">ess this </w:t>
      </w:r>
      <w:r w:rsidR="00DC23C3" w:rsidRPr="00E869A4">
        <w:rPr>
          <w:rFonts w:ascii="Times New Roman" w:hAnsi="Times New Roman" w:cs="Times New Roman"/>
        </w:rPr>
        <w:t>information gap</w:t>
      </w:r>
      <w:r w:rsidR="00E90289" w:rsidRPr="00E869A4">
        <w:rPr>
          <w:rFonts w:ascii="Times New Roman" w:hAnsi="Times New Roman" w:cs="Times New Roman"/>
        </w:rPr>
        <w:t>.</w:t>
      </w:r>
      <w:r w:rsidR="004726B3" w:rsidRPr="00E869A4">
        <w:rPr>
          <w:rFonts w:ascii="Times New Roman" w:hAnsi="Times New Roman" w:cs="Times New Roman"/>
        </w:rPr>
        <w:t xml:space="preserve"> This study demonstrates the complexity of social care in T&amp;T and highlights the peculiar problems of older persons and their caregivers in the country</w:t>
      </w:r>
      <w:r w:rsidR="00F12E41" w:rsidRPr="00E869A4">
        <w:rPr>
          <w:rFonts w:ascii="Times New Roman" w:hAnsi="Times New Roman" w:cs="Times New Roman"/>
        </w:rPr>
        <w:t xml:space="preserve"> as well as</w:t>
      </w:r>
      <w:r w:rsidR="004726B3" w:rsidRPr="00E869A4">
        <w:rPr>
          <w:rFonts w:ascii="Times New Roman" w:hAnsi="Times New Roman" w:cs="Times New Roman"/>
        </w:rPr>
        <w:t xml:space="preserve"> the creative measures</w:t>
      </w:r>
      <w:r w:rsidR="00F12E41" w:rsidRPr="00E869A4">
        <w:rPr>
          <w:rFonts w:ascii="Times New Roman" w:hAnsi="Times New Roman" w:cs="Times New Roman"/>
        </w:rPr>
        <w:t xml:space="preserve"> </w:t>
      </w:r>
      <w:r w:rsidR="00DC23C3" w:rsidRPr="00E869A4">
        <w:rPr>
          <w:rFonts w:ascii="Times New Roman" w:hAnsi="Times New Roman" w:cs="Times New Roman"/>
        </w:rPr>
        <w:t>participants</w:t>
      </w:r>
      <w:r w:rsidR="00F12E41" w:rsidRPr="00E869A4">
        <w:rPr>
          <w:rFonts w:ascii="Times New Roman" w:hAnsi="Times New Roman" w:cs="Times New Roman"/>
        </w:rPr>
        <w:t xml:space="preserve"> used to address their care </w:t>
      </w:r>
      <w:r w:rsidR="004726B3" w:rsidRPr="00E869A4">
        <w:rPr>
          <w:rFonts w:ascii="Times New Roman" w:hAnsi="Times New Roman" w:cs="Times New Roman"/>
        </w:rPr>
        <w:t xml:space="preserve">needs. </w:t>
      </w:r>
      <w:r w:rsidR="00DC23C3" w:rsidRPr="00E869A4">
        <w:rPr>
          <w:rFonts w:ascii="Times New Roman" w:hAnsi="Times New Roman" w:cs="Times New Roman"/>
        </w:rPr>
        <w:t>It also provides social policy recommendations to address the resource constraints that mitigate fami</w:t>
      </w:r>
      <w:r w:rsidR="00703383" w:rsidRPr="00E869A4">
        <w:rPr>
          <w:rFonts w:ascii="Times New Roman" w:hAnsi="Times New Roman" w:cs="Times New Roman"/>
        </w:rPr>
        <w:t>ly elder care provision in T&amp;T</w:t>
      </w:r>
      <w:r w:rsidR="00DC23C3" w:rsidRPr="00E869A4">
        <w:rPr>
          <w:rFonts w:ascii="Times New Roman" w:hAnsi="Times New Roman" w:cs="Times New Roman"/>
        </w:rPr>
        <w:t>.</w:t>
      </w:r>
      <w:r w:rsidR="00703383" w:rsidRPr="00E869A4">
        <w:rPr>
          <w:rFonts w:ascii="Times New Roman" w:hAnsi="Times New Roman" w:cs="Times New Roman"/>
        </w:rPr>
        <w:t xml:space="preserve"> </w:t>
      </w:r>
    </w:p>
    <w:p w14:paraId="13C7189F" w14:textId="77777777" w:rsidR="009533B4" w:rsidRPr="00E869A4" w:rsidRDefault="009533B4" w:rsidP="001D05C5">
      <w:pPr>
        <w:rPr>
          <w:rFonts w:ascii="Times New Roman" w:hAnsi="Times New Roman" w:cs="Times New Roman"/>
        </w:rPr>
      </w:pPr>
    </w:p>
    <w:p w14:paraId="58085291" w14:textId="18BE6DB0" w:rsidR="009533B4" w:rsidRPr="00E869A4" w:rsidRDefault="00232BBC" w:rsidP="00232BBC">
      <w:pPr>
        <w:pStyle w:val="Heading3"/>
      </w:pPr>
      <w:bookmarkStart w:id="446" w:name="_Toc40436593"/>
      <w:r w:rsidRPr="00E869A4">
        <w:t>1</w:t>
      </w:r>
      <w:r w:rsidR="0048754D" w:rsidRPr="00E869A4">
        <w:t>0</w:t>
      </w:r>
      <w:r w:rsidRPr="00E869A4">
        <w:t xml:space="preserve">.3.1     </w:t>
      </w:r>
      <w:r w:rsidR="00E90289" w:rsidRPr="00E869A4">
        <w:t>Summary of Key F</w:t>
      </w:r>
      <w:r w:rsidR="009533B4" w:rsidRPr="00E869A4">
        <w:t>indings</w:t>
      </w:r>
      <w:bookmarkEnd w:id="446"/>
    </w:p>
    <w:p w14:paraId="59EB99F3" w14:textId="77777777" w:rsidR="004F33B6" w:rsidRPr="00E869A4" w:rsidRDefault="004F33B6" w:rsidP="004F33B6">
      <w:pPr>
        <w:ind w:firstLine="720"/>
        <w:rPr>
          <w:rFonts w:ascii="Times New Roman" w:hAnsi="Times New Roman" w:cs="Times New Roman"/>
        </w:rPr>
      </w:pPr>
    </w:p>
    <w:p w14:paraId="3E7DEBD9" w14:textId="03AFD0D2"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From the qualitative and quantitative data that was collected, rich insights were obtained into </w:t>
      </w:r>
      <w:r w:rsidR="004726B3" w:rsidRPr="00E869A4">
        <w:rPr>
          <w:rFonts w:ascii="Times New Roman" w:hAnsi="Times New Roman" w:cs="Times New Roman"/>
        </w:rPr>
        <w:t xml:space="preserve">the </w:t>
      </w:r>
      <w:r w:rsidR="0057378F" w:rsidRPr="00E869A4">
        <w:rPr>
          <w:rFonts w:ascii="Times New Roman" w:hAnsi="Times New Roman" w:cs="Times New Roman"/>
        </w:rPr>
        <w:t xml:space="preserve">structural </w:t>
      </w:r>
      <w:r w:rsidRPr="00E869A4">
        <w:rPr>
          <w:rFonts w:ascii="Times New Roman" w:hAnsi="Times New Roman" w:cs="Times New Roman"/>
        </w:rPr>
        <w:t xml:space="preserve">factors </w:t>
      </w:r>
      <w:r w:rsidR="004726B3" w:rsidRPr="00E869A4">
        <w:rPr>
          <w:rFonts w:ascii="Times New Roman" w:hAnsi="Times New Roman" w:cs="Times New Roman"/>
        </w:rPr>
        <w:t xml:space="preserve">and social processes </w:t>
      </w:r>
      <w:r w:rsidRPr="00E869A4">
        <w:rPr>
          <w:rFonts w:ascii="Times New Roman" w:hAnsi="Times New Roman" w:cs="Times New Roman"/>
        </w:rPr>
        <w:t xml:space="preserve">that determined caregiver </w:t>
      </w:r>
      <w:r w:rsidR="00E477D5">
        <w:rPr>
          <w:rFonts w:ascii="Times New Roman" w:hAnsi="Times New Roman" w:cs="Times New Roman"/>
        </w:rPr>
        <w:t xml:space="preserve">role </w:t>
      </w:r>
      <w:r w:rsidRPr="00E869A4">
        <w:rPr>
          <w:rFonts w:ascii="Times New Roman" w:hAnsi="Times New Roman" w:cs="Times New Roman"/>
        </w:rPr>
        <w:t xml:space="preserve">acquisition, how older persons and their family carers experience care, and the coping and care management practices that were employed.  In </w:t>
      </w:r>
      <w:r w:rsidRPr="00E869A4">
        <w:rPr>
          <w:rFonts w:ascii="Times New Roman" w:hAnsi="Times New Roman" w:cs="Times New Roman"/>
        </w:rPr>
        <w:lastRenderedPageBreak/>
        <w:t>T&amp;T as in other jurisdictions, women were more likely to become f</w:t>
      </w:r>
      <w:r w:rsidRPr="00E869A4">
        <w:rPr>
          <w:rFonts w:ascii="Times New Roman" w:eastAsiaTheme="majorEastAsia" w:hAnsi="Times New Roman" w:cs="Times New Roman"/>
          <w:bCs/>
        </w:rPr>
        <w:t xml:space="preserve">amily caregivers than </w:t>
      </w:r>
      <w:r w:rsidR="00073668" w:rsidRPr="00E869A4">
        <w:rPr>
          <w:rFonts w:ascii="Times New Roman" w:eastAsiaTheme="majorEastAsia" w:hAnsi="Times New Roman" w:cs="Times New Roman"/>
          <w:bCs/>
        </w:rPr>
        <w:t>men were</w:t>
      </w:r>
      <w:r w:rsidRPr="00E869A4">
        <w:rPr>
          <w:rFonts w:ascii="Times New Roman" w:eastAsiaTheme="majorEastAsia" w:hAnsi="Times New Roman" w:cs="Times New Roman"/>
          <w:bCs/>
        </w:rPr>
        <w:t xml:space="preserve">, and a </w:t>
      </w:r>
      <w:r w:rsidRPr="00E869A4">
        <w:rPr>
          <w:rFonts w:ascii="Times New Roman" w:hAnsi="Times New Roman" w:cs="Times New Roman"/>
        </w:rPr>
        <w:t xml:space="preserve">hierarchy of preferences based on filial relationship seemed to be in operation with respect to the voluntary (or involuntary) identification of a primary carer, who was usually a wife or adult daughter in the first instance. </w:t>
      </w:r>
      <w:r w:rsidR="004F5D88" w:rsidRPr="00E869A4">
        <w:rPr>
          <w:rFonts w:ascii="Times New Roman" w:hAnsi="Times New Roman" w:cs="Times New Roman"/>
        </w:rPr>
        <w:t>In Chapter 6, t</w:t>
      </w:r>
      <w:r w:rsidRPr="00E869A4">
        <w:rPr>
          <w:rFonts w:ascii="Times New Roman" w:hAnsi="Times New Roman" w:cs="Times New Roman"/>
        </w:rPr>
        <w:t xml:space="preserve">hree main types of care were identified, namely, </w:t>
      </w:r>
      <w:r w:rsidRPr="00E869A4">
        <w:rPr>
          <w:rFonts w:ascii="Times New Roman" w:hAnsi="Times New Roman" w:cs="Times New Roman"/>
          <w:i/>
        </w:rPr>
        <w:t>required care</w:t>
      </w:r>
      <w:r w:rsidRPr="00E869A4">
        <w:rPr>
          <w:rFonts w:ascii="Times New Roman" w:hAnsi="Times New Roman" w:cs="Times New Roman"/>
        </w:rPr>
        <w:t xml:space="preserve">, </w:t>
      </w:r>
      <w:r w:rsidRPr="00E869A4">
        <w:rPr>
          <w:rFonts w:ascii="Times New Roman" w:hAnsi="Times New Roman" w:cs="Times New Roman"/>
          <w:i/>
        </w:rPr>
        <w:t>requited care</w:t>
      </w:r>
      <w:r w:rsidRPr="00E869A4">
        <w:rPr>
          <w:rFonts w:ascii="Times New Roman" w:hAnsi="Times New Roman" w:cs="Times New Roman"/>
        </w:rPr>
        <w:t xml:space="preserve"> and </w:t>
      </w:r>
      <w:r w:rsidRPr="00E869A4">
        <w:rPr>
          <w:rFonts w:ascii="Times New Roman" w:hAnsi="Times New Roman" w:cs="Times New Roman"/>
          <w:i/>
        </w:rPr>
        <w:t>inspired care</w:t>
      </w:r>
      <w:r w:rsidRPr="00E869A4">
        <w:rPr>
          <w:rFonts w:ascii="Times New Roman" w:hAnsi="Times New Roman" w:cs="Times New Roman"/>
        </w:rPr>
        <w:t>, which were linked to the principles of filial piety, reciprocity as well as religious and spiritual beliefs and values</w:t>
      </w:r>
      <w:r w:rsidR="007533E2" w:rsidRPr="00E869A4">
        <w:rPr>
          <w:rStyle w:val="FootnoteReference"/>
          <w:rFonts w:ascii="Times New Roman" w:hAnsi="Times New Roman" w:cs="Times New Roman"/>
        </w:rPr>
        <w:footnoteReference w:id="115"/>
      </w:r>
      <w:r w:rsidRPr="00E869A4">
        <w:rPr>
          <w:rFonts w:ascii="Times New Roman" w:hAnsi="Times New Roman" w:cs="Times New Roman"/>
        </w:rPr>
        <w:t>. Duty and reciprocity were cross-cutting bases of care</w:t>
      </w:r>
      <w:r w:rsidR="00903927">
        <w:rPr>
          <w:rStyle w:val="FootnoteReference"/>
          <w:rFonts w:ascii="Times New Roman" w:hAnsi="Times New Roman" w:cs="Times New Roman"/>
        </w:rPr>
        <w:footnoteReference w:id="116"/>
      </w:r>
      <w:r w:rsidRPr="00E869A4">
        <w:rPr>
          <w:rFonts w:ascii="Times New Roman" w:hAnsi="Times New Roman" w:cs="Times New Roman"/>
        </w:rPr>
        <w:t>. Love seemed to be more taken-for-granted as a motive for caregiving</w:t>
      </w:r>
      <w:r w:rsidR="004F5D88" w:rsidRPr="00E869A4">
        <w:rPr>
          <w:rStyle w:val="FootnoteReference"/>
          <w:rFonts w:ascii="Times New Roman" w:hAnsi="Times New Roman" w:cs="Times New Roman"/>
        </w:rPr>
        <w:footnoteReference w:id="117"/>
      </w:r>
      <w:r w:rsidR="004F5D88" w:rsidRPr="00E869A4">
        <w:rPr>
          <w:rFonts w:ascii="Times New Roman" w:hAnsi="Times New Roman" w:cs="Times New Roman"/>
        </w:rPr>
        <w:t xml:space="preserve"> </w:t>
      </w:r>
      <w:r w:rsidRPr="00E869A4">
        <w:rPr>
          <w:rFonts w:ascii="Times New Roman" w:hAnsi="Times New Roman" w:cs="Times New Roman"/>
        </w:rPr>
        <w:t>and was generally expressed through actions associated with duty and reciprocity</w:t>
      </w:r>
      <w:r w:rsidR="004F5D88" w:rsidRPr="00E869A4">
        <w:rPr>
          <w:rFonts w:ascii="Times New Roman" w:hAnsi="Times New Roman" w:cs="Times New Roman"/>
        </w:rPr>
        <w:t>.</w:t>
      </w:r>
    </w:p>
    <w:p w14:paraId="7FCDC53C" w14:textId="77777777" w:rsidR="004F33B6" w:rsidRPr="00E869A4" w:rsidRDefault="004F33B6" w:rsidP="004F33B6">
      <w:pPr>
        <w:ind w:firstLine="720"/>
        <w:rPr>
          <w:rFonts w:ascii="Times New Roman" w:hAnsi="Times New Roman" w:cs="Times New Roman"/>
        </w:rPr>
      </w:pPr>
    </w:p>
    <w:p w14:paraId="4342D44F" w14:textId="40CEC465" w:rsidR="004F33B6" w:rsidRPr="00E869A4" w:rsidRDefault="004F33B6" w:rsidP="004F33B6">
      <w:pPr>
        <w:rPr>
          <w:rFonts w:ascii="Times New Roman" w:hAnsi="Times New Roman" w:cs="Times New Roman"/>
        </w:rPr>
      </w:pPr>
      <w:r w:rsidRPr="00E869A4">
        <w:rPr>
          <w:rFonts w:ascii="Times New Roman" w:hAnsi="Times New Roman" w:cs="Times New Roman"/>
        </w:rPr>
        <w:t>Participants had mixed views about their experience of care</w:t>
      </w:r>
      <w:r w:rsidR="007533E2" w:rsidRPr="00E869A4">
        <w:rPr>
          <w:rFonts w:ascii="Times New Roman" w:hAnsi="Times New Roman" w:cs="Times New Roman"/>
        </w:rPr>
        <w:t xml:space="preserve"> (see Chapter 7)</w:t>
      </w:r>
      <w:r w:rsidRPr="00E869A4">
        <w:rPr>
          <w:rFonts w:ascii="Times New Roman" w:hAnsi="Times New Roman" w:cs="Times New Roman"/>
        </w:rPr>
        <w:t xml:space="preserve">. The care experiences of older persons were </w:t>
      </w:r>
      <w:r w:rsidR="00073668" w:rsidRPr="00E869A4">
        <w:rPr>
          <w:rFonts w:ascii="Times New Roman" w:hAnsi="Times New Roman" w:cs="Times New Roman"/>
        </w:rPr>
        <w:t>main</w:t>
      </w:r>
      <w:r w:rsidRPr="00E869A4">
        <w:rPr>
          <w:rFonts w:ascii="Times New Roman" w:hAnsi="Times New Roman" w:cs="Times New Roman"/>
        </w:rPr>
        <w:t xml:space="preserve">ly tied to five key characteristics of their family caregiver, namely: </w:t>
      </w:r>
      <w:r w:rsidRPr="00E869A4">
        <w:rPr>
          <w:rFonts w:ascii="Times New Roman" w:hAnsi="Times New Roman" w:cs="Times New Roman"/>
          <w:i/>
        </w:rPr>
        <w:t>caregiver compatibility, willingness, ability, availability and motives</w:t>
      </w:r>
      <w:r w:rsidR="007533E2" w:rsidRPr="00E869A4">
        <w:rPr>
          <w:rStyle w:val="FootnoteReference"/>
          <w:rFonts w:ascii="Times New Roman" w:hAnsi="Times New Roman" w:cs="Times New Roman"/>
          <w:i/>
        </w:rPr>
        <w:footnoteReference w:id="118"/>
      </w:r>
      <w:r w:rsidRPr="00E869A4">
        <w:rPr>
          <w:rFonts w:ascii="Times New Roman" w:hAnsi="Times New Roman" w:cs="Times New Roman"/>
        </w:rPr>
        <w:t xml:space="preserve">.  Older persons were satisfied when care was provided to them willingly by their preferred relative. </w:t>
      </w:r>
      <w:r w:rsidR="00905594" w:rsidRPr="00E869A4">
        <w:rPr>
          <w:rFonts w:ascii="Times New Roman" w:hAnsi="Times New Roman" w:cs="Times New Roman"/>
        </w:rPr>
        <w:t xml:space="preserve"> </w:t>
      </w:r>
      <w:r w:rsidRPr="00E869A4">
        <w:rPr>
          <w:rFonts w:ascii="Times New Roman" w:hAnsi="Times New Roman" w:cs="Times New Roman"/>
        </w:rPr>
        <w:t xml:space="preserve">Most family carers were able to identify positive aspects of their care experience which were either </w:t>
      </w:r>
      <w:r w:rsidRPr="00E869A4">
        <w:rPr>
          <w:rFonts w:ascii="Times New Roman" w:hAnsi="Times New Roman" w:cs="Times New Roman"/>
          <w:i/>
        </w:rPr>
        <w:t>self-oriented</w:t>
      </w:r>
      <w:r w:rsidRPr="00E869A4">
        <w:rPr>
          <w:rFonts w:ascii="Times New Roman" w:hAnsi="Times New Roman" w:cs="Times New Roman"/>
        </w:rPr>
        <w:t xml:space="preserve"> or </w:t>
      </w:r>
      <w:r w:rsidRPr="00E869A4">
        <w:rPr>
          <w:rFonts w:ascii="Times New Roman" w:hAnsi="Times New Roman" w:cs="Times New Roman"/>
          <w:i/>
        </w:rPr>
        <w:t>other-oriented</w:t>
      </w:r>
      <w:r w:rsidR="000D5C6D" w:rsidRPr="00E869A4">
        <w:rPr>
          <w:rStyle w:val="FootnoteReference"/>
          <w:rFonts w:ascii="Times New Roman" w:hAnsi="Times New Roman" w:cs="Times New Roman"/>
          <w:i/>
        </w:rPr>
        <w:footnoteReference w:id="119"/>
      </w:r>
      <w:r w:rsidRPr="00E869A4">
        <w:rPr>
          <w:rFonts w:ascii="Times New Roman" w:hAnsi="Times New Roman" w:cs="Times New Roman"/>
        </w:rPr>
        <w:t>. These included personal growth, enhanced care relationships, spiritual and religious blessings, appreciation from others, the satisfaction achieved from contributing to the improvement in the wellbeing of the cared-for-person, and receiving support from others. But, there were many challenges associated with caregiving. Access to affordable and adequate health and social care were two of the main challenges identified, and the dearth of in-home care services was underscored. Lack of support from other relatives, the demands of formal employment, and other personal and family responsibilities further exacerbated the care experience</w:t>
      </w:r>
      <w:r w:rsidR="000D5C6D" w:rsidRPr="00E869A4">
        <w:rPr>
          <w:rStyle w:val="FootnoteReference"/>
          <w:rFonts w:ascii="Times New Roman" w:hAnsi="Times New Roman" w:cs="Times New Roman"/>
        </w:rPr>
        <w:footnoteReference w:id="120"/>
      </w:r>
      <w:r w:rsidRPr="00E869A4">
        <w:rPr>
          <w:rFonts w:ascii="Times New Roman" w:hAnsi="Times New Roman" w:cs="Times New Roman"/>
        </w:rPr>
        <w:t xml:space="preserve">.  </w:t>
      </w:r>
    </w:p>
    <w:p w14:paraId="75D7BE47" w14:textId="77777777" w:rsidR="004F33B6" w:rsidRPr="00E869A4" w:rsidRDefault="004F33B6" w:rsidP="004F33B6">
      <w:pPr>
        <w:ind w:firstLine="720"/>
        <w:rPr>
          <w:rFonts w:ascii="Times New Roman" w:hAnsi="Times New Roman" w:cs="Times New Roman"/>
        </w:rPr>
      </w:pPr>
    </w:p>
    <w:p w14:paraId="70AB92FD" w14:textId="7E87C2F3" w:rsidR="004F33B6" w:rsidRPr="00E869A4" w:rsidRDefault="004F33B6" w:rsidP="004F33B6">
      <w:pPr>
        <w:rPr>
          <w:rFonts w:ascii="Times New Roman" w:hAnsi="Times New Roman" w:cs="Times New Roman"/>
        </w:rPr>
      </w:pPr>
      <w:r w:rsidRPr="00E869A4">
        <w:rPr>
          <w:rFonts w:ascii="Times New Roman" w:hAnsi="Times New Roman" w:cs="Times New Roman"/>
        </w:rPr>
        <w:t xml:space="preserve">Given the challenges they faced, older persons and their family carers employed a variety of care management strategies. </w:t>
      </w:r>
      <w:r w:rsidR="007533E2" w:rsidRPr="00E869A4">
        <w:rPr>
          <w:rFonts w:ascii="Times New Roman" w:hAnsi="Times New Roman" w:cs="Times New Roman"/>
        </w:rPr>
        <w:t>As was demonstrated in Chapter 8, t</w:t>
      </w:r>
      <w:r w:rsidRPr="00E869A4">
        <w:rPr>
          <w:rFonts w:ascii="Times New Roman" w:hAnsi="Times New Roman" w:cs="Times New Roman"/>
        </w:rPr>
        <w:t xml:space="preserve">he qualitative data revealed that older persons engaged in various accepting care strategies (i.e. ardent care acceptance, capitulated care acceptance and reserved acceptance) or rejecting care strategies (i.e. resisting or refusing care).  Family carers also used several accepting care strategies (i.e. amenable care, surreptitious care, enforced care, emergent care, and enduring care) and rejecting care strategies (i.e. avoiding and evading care) that were distinct but similar </w:t>
      </w:r>
      <w:r w:rsidRPr="00E869A4">
        <w:rPr>
          <w:rFonts w:ascii="Times New Roman" w:hAnsi="Times New Roman" w:cs="Times New Roman"/>
        </w:rPr>
        <w:lastRenderedPageBreak/>
        <w:t>to those used by older persons. Restricting care strategies (i.e. selective care, restrained care, and deferred care) were unique to the family caregivers in this study</w:t>
      </w:r>
      <w:r w:rsidR="00734D7A" w:rsidRPr="00E869A4">
        <w:rPr>
          <w:rStyle w:val="FootnoteReference"/>
          <w:rFonts w:ascii="Times New Roman" w:hAnsi="Times New Roman" w:cs="Times New Roman"/>
        </w:rPr>
        <w:footnoteReference w:id="121"/>
      </w:r>
      <w:r w:rsidRPr="00E869A4">
        <w:rPr>
          <w:rFonts w:ascii="Times New Roman" w:hAnsi="Times New Roman" w:cs="Times New Roman"/>
        </w:rPr>
        <w:t xml:space="preserve">. </w:t>
      </w:r>
      <w:r w:rsidR="0057378F" w:rsidRPr="00E869A4">
        <w:rPr>
          <w:rFonts w:ascii="Times New Roman" w:hAnsi="Times New Roman" w:cs="Times New Roman"/>
        </w:rPr>
        <w:t>These strategies showed the interplay of structural (macro and meso level) factors, as well as the negotiated interactions in care relationships and the agency of individuals</w:t>
      </w:r>
      <w:r w:rsidR="00734D7A" w:rsidRPr="00E869A4">
        <w:rPr>
          <w:rFonts w:ascii="Times New Roman" w:hAnsi="Times New Roman" w:cs="Times New Roman"/>
        </w:rPr>
        <w:t xml:space="preserve"> (micro level factors)</w:t>
      </w:r>
      <w:r w:rsidR="0057378F" w:rsidRPr="00E869A4">
        <w:rPr>
          <w:rFonts w:ascii="Times New Roman" w:hAnsi="Times New Roman" w:cs="Times New Roman"/>
        </w:rPr>
        <w:t xml:space="preserve">. </w:t>
      </w:r>
    </w:p>
    <w:p w14:paraId="0132F504" w14:textId="77777777" w:rsidR="004F33B6" w:rsidRPr="00E869A4" w:rsidRDefault="004F33B6" w:rsidP="004F33B6">
      <w:pPr>
        <w:ind w:firstLine="720"/>
        <w:rPr>
          <w:rFonts w:ascii="Times New Roman" w:hAnsi="Times New Roman" w:cs="Times New Roman"/>
        </w:rPr>
      </w:pPr>
    </w:p>
    <w:p w14:paraId="3CBA87B3" w14:textId="1B653876" w:rsidR="009533B4" w:rsidRPr="00E869A4" w:rsidRDefault="00232BBC" w:rsidP="00232BBC">
      <w:pPr>
        <w:pStyle w:val="Heading3"/>
      </w:pPr>
      <w:bookmarkStart w:id="447" w:name="_Toc40436594"/>
      <w:r w:rsidRPr="00E869A4">
        <w:t>1</w:t>
      </w:r>
      <w:r w:rsidR="0048754D" w:rsidRPr="00E869A4">
        <w:t>0</w:t>
      </w:r>
      <w:r w:rsidRPr="00E869A4">
        <w:t xml:space="preserve">.3.2     </w:t>
      </w:r>
      <w:r w:rsidR="009533B4" w:rsidRPr="00E869A4">
        <w:t>Social Policy Recommendations</w:t>
      </w:r>
      <w:bookmarkEnd w:id="447"/>
    </w:p>
    <w:p w14:paraId="799D6D0D" w14:textId="77777777" w:rsidR="009533B4" w:rsidRPr="00E869A4" w:rsidRDefault="009533B4" w:rsidP="004F33B6">
      <w:pPr>
        <w:ind w:firstLine="720"/>
        <w:rPr>
          <w:rFonts w:ascii="Times New Roman" w:hAnsi="Times New Roman" w:cs="Times New Roman"/>
        </w:rPr>
      </w:pPr>
    </w:p>
    <w:p w14:paraId="50A3DFFE" w14:textId="47A0A7E1" w:rsidR="004F33B6" w:rsidRPr="00E869A4" w:rsidRDefault="004F33B6" w:rsidP="004F33B6">
      <w:pPr>
        <w:rPr>
          <w:rFonts w:ascii="Times New Roman" w:hAnsi="Times New Roman" w:cs="Times New Roman"/>
        </w:rPr>
      </w:pPr>
      <w:r w:rsidRPr="00E869A4">
        <w:rPr>
          <w:rFonts w:ascii="Times New Roman" w:eastAsia="Times New Roman" w:hAnsi="Times New Roman" w:cs="Times New Roman"/>
        </w:rPr>
        <w:t>The main recommendation of this thesis is that a family care policy needs to be formulated for T&amp;T, either as a stand-alone policy or as one that is integrated into other family-oriented policies</w:t>
      </w:r>
      <w:r w:rsidR="00734D7A" w:rsidRPr="00E869A4">
        <w:rPr>
          <w:rStyle w:val="FootnoteReference"/>
          <w:rFonts w:ascii="Times New Roman" w:eastAsia="Times New Roman" w:hAnsi="Times New Roman" w:cs="Times New Roman"/>
        </w:rPr>
        <w:footnoteReference w:id="122"/>
      </w:r>
      <w:r w:rsidRPr="00E869A4">
        <w:rPr>
          <w:rFonts w:ascii="Times New Roman" w:eastAsia="Times New Roman" w:hAnsi="Times New Roman" w:cs="Times New Roman"/>
        </w:rPr>
        <w:t xml:space="preserve">. Policy frameworks need to factor in </w:t>
      </w:r>
      <w:r w:rsidR="00C56DAB">
        <w:rPr>
          <w:rFonts w:ascii="Times New Roman" w:eastAsia="Times New Roman" w:hAnsi="Times New Roman" w:cs="Times New Roman"/>
        </w:rPr>
        <w:t>elder care</w:t>
      </w:r>
      <w:r w:rsidRPr="00E869A4">
        <w:rPr>
          <w:rFonts w:ascii="Times New Roman" w:eastAsia="Times New Roman" w:hAnsi="Times New Roman" w:cs="Times New Roman"/>
        </w:rPr>
        <w:t xml:space="preserve"> as a serious economic and social policy issue, rather than assume that there is an unlimited supply of it flowing from an inexhaustible natural source (Elson 2005; Folbre 2001 cited in Razavi 2007). Policies must be careful about how family and family caregiving </w:t>
      </w:r>
      <w:r w:rsidR="0038482B" w:rsidRPr="00E869A4">
        <w:rPr>
          <w:rFonts w:ascii="Times New Roman" w:eastAsia="Times New Roman" w:hAnsi="Times New Roman" w:cs="Times New Roman"/>
        </w:rPr>
        <w:t>are</w:t>
      </w:r>
      <w:r w:rsidRPr="00E869A4">
        <w:rPr>
          <w:rFonts w:ascii="Times New Roman" w:eastAsia="Times New Roman" w:hAnsi="Times New Roman" w:cs="Times New Roman"/>
        </w:rPr>
        <w:t xml:space="preserve"> defined</w:t>
      </w:r>
      <w:r w:rsidR="00C41562">
        <w:rPr>
          <w:rFonts w:ascii="Times New Roman" w:eastAsia="Times New Roman" w:hAnsi="Times New Roman" w:cs="Times New Roman"/>
        </w:rPr>
        <w:t xml:space="preserve"> (see p. 345-346</w:t>
      </w:r>
      <w:r w:rsidR="00D25C56" w:rsidRPr="00E869A4">
        <w:rPr>
          <w:rFonts w:ascii="Times New Roman" w:eastAsia="Times New Roman" w:hAnsi="Times New Roman" w:cs="Times New Roman"/>
        </w:rPr>
        <w:t>)</w:t>
      </w:r>
      <w:r w:rsidRPr="00E869A4">
        <w:rPr>
          <w:rFonts w:ascii="Times New Roman" w:eastAsia="Times New Roman" w:hAnsi="Times New Roman" w:cs="Times New Roman"/>
        </w:rPr>
        <w:t xml:space="preserve"> since too narrow a definition can result in the exclusion of certain older persons or family members from services that they should be a part of </w:t>
      </w:r>
      <w:r w:rsidRPr="00E869A4">
        <w:rPr>
          <w:rFonts w:ascii="Times New Roman" w:hAnsi="Times New Roman" w:cs="Times New Roman"/>
        </w:rPr>
        <w:t>(Bass &amp; Morris 1993). The results of this study suggest that optional-familialism may be the most suitable policy regime</w:t>
      </w:r>
      <w:r w:rsidRPr="00E869A4">
        <w:rPr>
          <w:rFonts w:ascii="Times New Roman" w:eastAsia="Times New Roman" w:hAnsi="Times New Roman" w:cs="Times New Roman"/>
        </w:rPr>
        <w:t xml:space="preserve"> to inform a family care policy for T&amp;T</w:t>
      </w:r>
      <w:r w:rsidR="00D25C56" w:rsidRPr="00E869A4">
        <w:rPr>
          <w:rFonts w:ascii="Times New Roman" w:eastAsia="Times New Roman" w:hAnsi="Times New Roman" w:cs="Times New Roman"/>
        </w:rPr>
        <w:t xml:space="preserve"> (see p. 33</w:t>
      </w:r>
      <w:r w:rsidR="00C41562">
        <w:rPr>
          <w:rFonts w:ascii="Times New Roman" w:eastAsia="Times New Roman" w:hAnsi="Times New Roman" w:cs="Times New Roman"/>
        </w:rPr>
        <w:t>7</w:t>
      </w:r>
      <w:r w:rsidR="00D25C56" w:rsidRPr="00E869A4">
        <w:rPr>
          <w:rFonts w:ascii="Times New Roman" w:eastAsia="Times New Roman" w:hAnsi="Times New Roman" w:cs="Times New Roman"/>
        </w:rPr>
        <w:t>-34</w:t>
      </w:r>
      <w:r w:rsidR="00C41562">
        <w:rPr>
          <w:rFonts w:ascii="Times New Roman" w:eastAsia="Times New Roman" w:hAnsi="Times New Roman" w:cs="Times New Roman"/>
        </w:rPr>
        <w:t>1</w:t>
      </w:r>
      <w:r w:rsidR="00D25C56" w:rsidRPr="00E869A4">
        <w:rPr>
          <w:rFonts w:ascii="Times New Roman" w:eastAsia="Times New Roman" w:hAnsi="Times New Roman" w:cs="Times New Roman"/>
        </w:rPr>
        <w:t>)</w:t>
      </w:r>
      <w:r w:rsidRPr="00E869A4">
        <w:rPr>
          <w:rFonts w:ascii="Times New Roman" w:eastAsia="Times New Roman" w:hAnsi="Times New Roman" w:cs="Times New Roman"/>
        </w:rPr>
        <w:t xml:space="preserve">. This form of familialism can help to alleviate some of the challenges associated with the provision of family elder care by expanding the capabilities and choices of people, in particular women who are traditionally the primary caregivers (Razavi 2007). </w:t>
      </w:r>
      <w:r w:rsidR="0038482B" w:rsidRPr="00E869A4">
        <w:rPr>
          <w:rFonts w:ascii="Times New Roman" w:hAnsi="Times New Roman" w:cs="Times New Roman"/>
        </w:rPr>
        <w:t>The development of a Carer’s Charter is also proposed with a view to increasing the visibility of family caregivers in the nation as well as promoting their welfare and right to a good quality of life (see p. 34</w:t>
      </w:r>
      <w:r w:rsidR="00163715">
        <w:rPr>
          <w:rFonts w:ascii="Times New Roman" w:hAnsi="Times New Roman" w:cs="Times New Roman"/>
        </w:rPr>
        <w:t>4</w:t>
      </w:r>
      <w:r w:rsidR="0038482B" w:rsidRPr="00E869A4">
        <w:rPr>
          <w:rFonts w:ascii="Times New Roman" w:hAnsi="Times New Roman" w:cs="Times New Roman"/>
        </w:rPr>
        <w:t>-34</w:t>
      </w:r>
      <w:r w:rsidR="00163715">
        <w:rPr>
          <w:rFonts w:ascii="Times New Roman" w:hAnsi="Times New Roman" w:cs="Times New Roman"/>
        </w:rPr>
        <w:t>5</w:t>
      </w:r>
      <w:r w:rsidR="0038482B" w:rsidRPr="00E869A4">
        <w:rPr>
          <w:rFonts w:ascii="Times New Roman" w:hAnsi="Times New Roman" w:cs="Times New Roman"/>
        </w:rPr>
        <w:t>).</w:t>
      </w:r>
    </w:p>
    <w:p w14:paraId="39D4EA31" w14:textId="77777777" w:rsidR="004F33B6" w:rsidRPr="00E869A4" w:rsidRDefault="004F33B6" w:rsidP="004F33B6">
      <w:pPr>
        <w:ind w:firstLine="720"/>
        <w:rPr>
          <w:rFonts w:ascii="Times New Roman" w:hAnsi="Times New Roman" w:cs="Times New Roman"/>
        </w:rPr>
      </w:pPr>
    </w:p>
    <w:p w14:paraId="38292840" w14:textId="1D130FA5" w:rsidR="004F33B6" w:rsidRPr="00E869A4" w:rsidRDefault="004F33B6" w:rsidP="004F33B6">
      <w:pPr>
        <w:rPr>
          <w:rFonts w:ascii="Times New Roman" w:hAnsi="Times New Roman" w:cs="Times New Roman"/>
        </w:rPr>
      </w:pPr>
      <w:r w:rsidRPr="00E869A4">
        <w:rPr>
          <w:rFonts w:ascii="Times New Roman" w:eastAsia="Times New Roman" w:hAnsi="Times New Roman" w:cs="Times New Roman"/>
        </w:rPr>
        <w:t xml:space="preserve">At the time that this thesis was written, the main focus of the GORTT was the provision of direct services to older persons. The findings of this study and the international evidence underscore the need for states to provide direct support to family carers, in order to adequately support </w:t>
      </w:r>
      <w:r w:rsidR="00073668" w:rsidRPr="00E869A4">
        <w:rPr>
          <w:rFonts w:ascii="Times New Roman" w:eastAsia="Times New Roman" w:hAnsi="Times New Roman" w:cs="Times New Roman"/>
        </w:rPr>
        <w:t>long-term</w:t>
      </w:r>
      <w:r w:rsidRPr="00E869A4">
        <w:rPr>
          <w:rFonts w:ascii="Times New Roman" w:eastAsia="Times New Roman" w:hAnsi="Times New Roman" w:cs="Times New Roman"/>
        </w:rPr>
        <w:t xml:space="preserve"> care arrangements for older persons. </w:t>
      </w:r>
      <w:r w:rsidRPr="00E869A4">
        <w:rPr>
          <w:rFonts w:ascii="Times New Roman" w:hAnsi="Times New Roman" w:cs="Times New Roman"/>
        </w:rPr>
        <w:t>Thus, the provision of support to family carers through respite care and other services should be given immediate attention in T&amp;T</w:t>
      </w:r>
      <w:r w:rsidR="0038482B" w:rsidRPr="00E869A4">
        <w:rPr>
          <w:rFonts w:ascii="Times New Roman" w:hAnsi="Times New Roman" w:cs="Times New Roman"/>
        </w:rPr>
        <w:t xml:space="preserve"> (see p. 34</w:t>
      </w:r>
      <w:r w:rsidR="00882359">
        <w:rPr>
          <w:rFonts w:ascii="Times New Roman" w:hAnsi="Times New Roman" w:cs="Times New Roman"/>
        </w:rPr>
        <w:t>8</w:t>
      </w:r>
      <w:r w:rsidR="0038482B" w:rsidRPr="00E869A4">
        <w:rPr>
          <w:rFonts w:ascii="Times New Roman" w:hAnsi="Times New Roman" w:cs="Times New Roman"/>
        </w:rPr>
        <w:t>-35</w:t>
      </w:r>
      <w:r w:rsidR="00882359">
        <w:rPr>
          <w:rFonts w:ascii="Times New Roman" w:hAnsi="Times New Roman" w:cs="Times New Roman"/>
        </w:rPr>
        <w:t>4</w:t>
      </w:r>
      <w:r w:rsidR="0038482B" w:rsidRPr="00E869A4">
        <w:rPr>
          <w:rFonts w:ascii="Times New Roman" w:hAnsi="Times New Roman" w:cs="Times New Roman"/>
        </w:rPr>
        <w:t>)</w:t>
      </w:r>
      <w:r w:rsidRPr="00E869A4">
        <w:rPr>
          <w:rFonts w:ascii="Times New Roman" w:hAnsi="Times New Roman" w:cs="Times New Roman"/>
        </w:rPr>
        <w:t xml:space="preserve">. </w:t>
      </w:r>
      <w:r w:rsidR="0038482B" w:rsidRPr="00E869A4">
        <w:rPr>
          <w:rFonts w:ascii="Times New Roman" w:hAnsi="Times New Roman" w:cs="Times New Roman"/>
        </w:rPr>
        <w:t>Considerations for funding these recommendations are also provided (see p. 35</w:t>
      </w:r>
      <w:r w:rsidR="00882359">
        <w:rPr>
          <w:rFonts w:ascii="Times New Roman" w:hAnsi="Times New Roman" w:cs="Times New Roman"/>
        </w:rPr>
        <w:t>4</w:t>
      </w:r>
      <w:r w:rsidR="0038482B" w:rsidRPr="00E869A4">
        <w:rPr>
          <w:rFonts w:ascii="Times New Roman" w:hAnsi="Times New Roman" w:cs="Times New Roman"/>
        </w:rPr>
        <w:t>-35</w:t>
      </w:r>
      <w:r w:rsidR="00882359">
        <w:rPr>
          <w:rFonts w:ascii="Times New Roman" w:hAnsi="Times New Roman" w:cs="Times New Roman"/>
        </w:rPr>
        <w:t>6</w:t>
      </w:r>
      <w:r w:rsidR="0038482B" w:rsidRPr="00E869A4">
        <w:rPr>
          <w:rFonts w:ascii="Times New Roman" w:hAnsi="Times New Roman" w:cs="Times New Roman"/>
        </w:rPr>
        <w:t>).</w:t>
      </w:r>
    </w:p>
    <w:p w14:paraId="2F202219" w14:textId="77777777" w:rsidR="009533B4" w:rsidRPr="00E869A4" w:rsidRDefault="009533B4" w:rsidP="004F33B6">
      <w:pPr>
        <w:rPr>
          <w:rFonts w:ascii="Times New Roman" w:hAnsi="Times New Roman" w:cs="Times New Roman"/>
        </w:rPr>
      </w:pPr>
    </w:p>
    <w:p w14:paraId="0BEF1E02" w14:textId="77777777" w:rsidR="00734D7A" w:rsidRPr="00E869A4" w:rsidRDefault="00734D7A">
      <w:pPr>
        <w:rPr>
          <w:b/>
          <w:i/>
          <w:u w:val="single"/>
        </w:rPr>
      </w:pPr>
      <w:r w:rsidRPr="00E869A4">
        <w:br w:type="page"/>
      </w:r>
    </w:p>
    <w:p w14:paraId="7EC8EF05" w14:textId="220A9B28" w:rsidR="009533B4" w:rsidRPr="00E869A4" w:rsidRDefault="00232BBC" w:rsidP="00232BBC">
      <w:pPr>
        <w:pStyle w:val="Heading3"/>
      </w:pPr>
      <w:bookmarkStart w:id="448" w:name="_Toc40436595"/>
      <w:r w:rsidRPr="00E869A4">
        <w:lastRenderedPageBreak/>
        <w:t>1</w:t>
      </w:r>
      <w:r w:rsidR="0048754D" w:rsidRPr="00E869A4">
        <w:t>0</w:t>
      </w:r>
      <w:r w:rsidRPr="00E869A4">
        <w:t xml:space="preserve">.3.3     </w:t>
      </w:r>
      <w:r w:rsidR="00A57A1D" w:rsidRPr="00E869A4">
        <w:t>The Research Experience,</w:t>
      </w:r>
      <w:r w:rsidR="009533B4" w:rsidRPr="00E869A4">
        <w:t xml:space="preserve"> Limitations &amp; Recommendations for Future Studies</w:t>
      </w:r>
      <w:bookmarkEnd w:id="448"/>
    </w:p>
    <w:p w14:paraId="1DF9FFE9" w14:textId="77777777" w:rsidR="004F33B6" w:rsidRPr="00E869A4" w:rsidRDefault="004F33B6" w:rsidP="004F33B6">
      <w:pPr>
        <w:ind w:firstLine="720"/>
        <w:rPr>
          <w:rFonts w:ascii="Times New Roman" w:hAnsi="Times New Roman" w:cs="Times New Roman"/>
        </w:rPr>
      </w:pPr>
    </w:p>
    <w:p w14:paraId="1ADB4D43" w14:textId="2E9B4E1C" w:rsidR="004F33B6" w:rsidRPr="00E869A4" w:rsidRDefault="004F33B6" w:rsidP="004F33B6">
      <w:pPr>
        <w:rPr>
          <w:rFonts w:ascii="Times New Roman" w:eastAsia="Times New Roman" w:hAnsi="Times New Roman" w:cs="Times New Roman"/>
          <w:bCs/>
          <w:iCs/>
          <w:lang w:eastAsia="en-US"/>
        </w:rPr>
      </w:pPr>
      <w:r w:rsidRPr="00E869A4">
        <w:rPr>
          <w:rFonts w:ascii="Times New Roman" w:eastAsia="Times New Roman" w:hAnsi="Times New Roman" w:cs="Times New Roman"/>
          <w:bCs/>
          <w:iCs/>
          <w:lang w:eastAsia="en-US"/>
        </w:rPr>
        <w:t>While this study provides rich qualitative and quantitative insights on the experiences of older persons and their family carers, it is not fully representative of all sectors of the society. Specific insights on the family elder care experiences of persons living in rural communities, minority ethnic groups and persons from high-income backgrounds were not included, and only limited information was obtained from persons from a non-Christian background</w:t>
      </w:r>
      <w:r w:rsidR="00E23ECA" w:rsidRPr="00E869A4">
        <w:rPr>
          <w:rStyle w:val="FootnoteReference"/>
          <w:rFonts w:ascii="Times New Roman" w:eastAsia="Times New Roman" w:hAnsi="Times New Roman" w:cs="Times New Roman"/>
          <w:bCs/>
          <w:iCs/>
          <w:lang w:eastAsia="en-US"/>
        </w:rPr>
        <w:footnoteReference w:id="123"/>
      </w:r>
      <w:r w:rsidR="007032FB">
        <w:rPr>
          <w:rFonts w:ascii="Times New Roman" w:eastAsia="Times New Roman" w:hAnsi="Times New Roman" w:cs="Times New Roman"/>
          <w:bCs/>
          <w:iCs/>
          <w:lang w:eastAsia="en-US"/>
        </w:rPr>
        <w:t>. I</w:t>
      </w:r>
      <w:r w:rsidRPr="00E869A4">
        <w:rPr>
          <w:rFonts w:ascii="Times New Roman" w:eastAsia="Times New Roman" w:hAnsi="Times New Roman" w:cs="Times New Roman"/>
          <w:bCs/>
          <w:iCs/>
          <w:lang w:eastAsia="en-US"/>
        </w:rPr>
        <w:t>ndirect information was obtained on family care of older persons with cognitive frailty, and there is insufficient information on the role of men, young people, and children as caregivers. Some of these limitations may be partly explained by researcher characteristics</w:t>
      </w:r>
      <w:r w:rsidR="00E23ECA" w:rsidRPr="00E869A4">
        <w:rPr>
          <w:rFonts w:ascii="Times New Roman" w:eastAsia="Times New Roman" w:hAnsi="Times New Roman" w:cs="Times New Roman"/>
          <w:bCs/>
          <w:iCs/>
          <w:lang w:eastAsia="en-US"/>
        </w:rPr>
        <w:t xml:space="preserve"> (see p. 31</w:t>
      </w:r>
      <w:r w:rsidR="005D6469">
        <w:rPr>
          <w:rFonts w:ascii="Times New Roman" w:eastAsia="Times New Roman" w:hAnsi="Times New Roman" w:cs="Times New Roman"/>
          <w:bCs/>
          <w:iCs/>
          <w:lang w:eastAsia="en-US"/>
        </w:rPr>
        <w:t>7</w:t>
      </w:r>
      <w:r w:rsidR="00E23ECA" w:rsidRPr="00E869A4">
        <w:rPr>
          <w:rFonts w:ascii="Times New Roman" w:eastAsia="Times New Roman" w:hAnsi="Times New Roman" w:cs="Times New Roman"/>
          <w:bCs/>
          <w:iCs/>
          <w:lang w:eastAsia="en-US"/>
        </w:rPr>
        <w:t xml:space="preserve"> &amp; 32</w:t>
      </w:r>
      <w:r w:rsidR="005D6469">
        <w:rPr>
          <w:rFonts w:ascii="Times New Roman" w:eastAsia="Times New Roman" w:hAnsi="Times New Roman" w:cs="Times New Roman"/>
          <w:bCs/>
          <w:iCs/>
          <w:lang w:eastAsia="en-US"/>
        </w:rPr>
        <w:t>1</w:t>
      </w:r>
      <w:r w:rsidR="00E23ECA" w:rsidRPr="00E869A4">
        <w:rPr>
          <w:rFonts w:ascii="Times New Roman" w:eastAsia="Times New Roman" w:hAnsi="Times New Roman" w:cs="Times New Roman"/>
          <w:bCs/>
          <w:iCs/>
          <w:lang w:eastAsia="en-US"/>
        </w:rPr>
        <w:t>)</w:t>
      </w:r>
      <w:r w:rsidRPr="00E869A4">
        <w:rPr>
          <w:rFonts w:ascii="Times New Roman" w:eastAsia="Times New Roman" w:hAnsi="Times New Roman" w:cs="Times New Roman"/>
          <w:bCs/>
          <w:iCs/>
          <w:lang w:eastAsia="en-US"/>
        </w:rPr>
        <w:t xml:space="preserve">. It is hoped that in the future, researchers from diverse socio-economic and professional backgrounds will engage in research on family elder care </w:t>
      </w:r>
      <w:r w:rsidR="00073668" w:rsidRPr="00E869A4">
        <w:rPr>
          <w:rFonts w:ascii="Times New Roman" w:eastAsia="Times New Roman" w:hAnsi="Times New Roman" w:cs="Times New Roman"/>
          <w:bCs/>
          <w:iCs/>
          <w:lang w:eastAsia="en-US"/>
        </w:rPr>
        <w:t>to</w:t>
      </w:r>
      <w:r w:rsidRPr="00E869A4">
        <w:rPr>
          <w:rFonts w:ascii="Times New Roman" w:eastAsia="Times New Roman" w:hAnsi="Times New Roman" w:cs="Times New Roman"/>
          <w:bCs/>
          <w:iCs/>
          <w:lang w:eastAsia="en-US"/>
        </w:rPr>
        <w:t xml:space="preserve"> mitigate this limitation. </w:t>
      </w:r>
    </w:p>
    <w:p w14:paraId="2B074E8A" w14:textId="77777777" w:rsidR="00073668" w:rsidRPr="00E869A4" w:rsidRDefault="00073668" w:rsidP="004F33B6">
      <w:pPr>
        <w:rPr>
          <w:rFonts w:ascii="Times New Roman" w:hAnsi="Times New Roman" w:cs="Times New Roman"/>
        </w:rPr>
      </w:pPr>
    </w:p>
    <w:p w14:paraId="191A490A" w14:textId="05295F5E" w:rsidR="009A7D5F" w:rsidRPr="00E869A4" w:rsidRDefault="004F33B6" w:rsidP="004F33B6">
      <w:pPr>
        <w:rPr>
          <w:rFonts w:ascii="Times New Roman" w:eastAsia="Times New Roman" w:hAnsi="Times New Roman" w:cs="Times New Roman"/>
          <w:bCs/>
          <w:iCs/>
          <w:lang w:eastAsia="en-US"/>
        </w:rPr>
      </w:pPr>
      <w:r w:rsidRPr="00E869A4">
        <w:rPr>
          <w:rFonts w:ascii="Times New Roman" w:eastAsia="Times New Roman" w:hAnsi="Times New Roman" w:cs="Times New Roman"/>
          <w:bCs/>
          <w:iCs/>
          <w:lang w:eastAsia="en-US"/>
        </w:rPr>
        <w:t>Purposive and convenience sampling techniques were used for both the qualitative and quantitative components of this study</w:t>
      </w:r>
      <w:r w:rsidR="00E23ECA" w:rsidRPr="00E869A4">
        <w:rPr>
          <w:rFonts w:ascii="Times New Roman" w:eastAsia="Times New Roman" w:hAnsi="Times New Roman" w:cs="Times New Roman"/>
          <w:bCs/>
          <w:iCs/>
          <w:lang w:eastAsia="en-US"/>
        </w:rPr>
        <w:t xml:space="preserve"> (see p. 158 to 172)</w:t>
      </w:r>
      <w:r w:rsidRPr="00E869A4">
        <w:rPr>
          <w:rFonts w:ascii="Times New Roman" w:eastAsia="Times New Roman" w:hAnsi="Times New Roman" w:cs="Times New Roman"/>
          <w:bCs/>
          <w:iCs/>
          <w:lang w:eastAsia="en-US"/>
        </w:rPr>
        <w:t xml:space="preserve">. </w:t>
      </w:r>
      <w:r w:rsidR="00A57A1D" w:rsidRPr="00E869A4">
        <w:rPr>
          <w:rFonts w:ascii="Times New Roman" w:eastAsia="Times New Roman" w:hAnsi="Times New Roman" w:cs="Times New Roman"/>
          <w:bCs/>
          <w:iCs/>
          <w:lang w:eastAsia="en-US"/>
        </w:rPr>
        <w:t>This increased the chance of obtaining the target population of caregivers and frail older persons, especially since family elder care is ‘taken-for-granted’ and not as visible as other care responsibilities such as ‘</w:t>
      </w:r>
      <w:r w:rsidR="000B6DD5" w:rsidRPr="00E869A4">
        <w:rPr>
          <w:rFonts w:ascii="Times New Roman" w:eastAsia="Times New Roman" w:hAnsi="Times New Roman" w:cs="Times New Roman"/>
          <w:bCs/>
          <w:iCs/>
          <w:lang w:eastAsia="en-US"/>
        </w:rPr>
        <w:t xml:space="preserve">minding </w:t>
      </w:r>
      <w:r w:rsidR="00A57A1D" w:rsidRPr="00E869A4">
        <w:rPr>
          <w:rFonts w:ascii="Times New Roman" w:eastAsia="Times New Roman" w:hAnsi="Times New Roman" w:cs="Times New Roman"/>
          <w:bCs/>
          <w:iCs/>
          <w:lang w:eastAsia="en-US"/>
        </w:rPr>
        <w:t>a child’</w:t>
      </w:r>
      <w:r w:rsidR="000B6DD5" w:rsidRPr="00E869A4">
        <w:rPr>
          <w:rStyle w:val="FootnoteReference"/>
          <w:rFonts w:ascii="Times New Roman" w:eastAsia="Times New Roman" w:hAnsi="Times New Roman" w:cs="Times New Roman"/>
          <w:bCs/>
          <w:iCs/>
          <w:lang w:eastAsia="en-US"/>
        </w:rPr>
        <w:footnoteReference w:id="124"/>
      </w:r>
      <w:r w:rsidR="00631A3E" w:rsidRPr="00E869A4">
        <w:rPr>
          <w:rFonts w:ascii="Times New Roman" w:eastAsia="Times New Roman" w:hAnsi="Times New Roman" w:cs="Times New Roman"/>
          <w:bCs/>
          <w:iCs/>
          <w:lang w:eastAsia="en-US"/>
        </w:rPr>
        <w:t xml:space="preserve"> (Shaghaghi, Bhopal &amp; Sheikh 2011)</w:t>
      </w:r>
      <w:r w:rsidR="00A57A1D" w:rsidRPr="00E869A4">
        <w:rPr>
          <w:rFonts w:ascii="Times New Roman" w:eastAsia="Times New Roman" w:hAnsi="Times New Roman" w:cs="Times New Roman"/>
          <w:bCs/>
          <w:iCs/>
          <w:lang w:eastAsia="en-US"/>
        </w:rPr>
        <w:t xml:space="preserve">. In the T&amp;T context, the concept ‘caregiver’ or ‘carer’ is not part of the everyday discourse of the population. </w:t>
      </w:r>
      <w:r w:rsidR="00EB518C" w:rsidRPr="00E869A4">
        <w:rPr>
          <w:rFonts w:ascii="Times New Roman" w:eastAsia="Times New Roman" w:hAnsi="Times New Roman" w:cs="Times New Roman"/>
          <w:bCs/>
          <w:iCs/>
          <w:lang w:eastAsia="en-US"/>
        </w:rPr>
        <w:t>Some local expressions associated with care for older persons include ‘shut-in’</w:t>
      </w:r>
      <w:r w:rsidR="00F51543" w:rsidRPr="00E869A4">
        <w:rPr>
          <w:rFonts w:ascii="Times New Roman" w:eastAsia="Times New Roman" w:hAnsi="Times New Roman" w:cs="Times New Roman"/>
          <w:bCs/>
          <w:iCs/>
          <w:lang w:eastAsia="en-US"/>
        </w:rPr>
        <w:t xml:space="preserve"> to refer to home</w:t>
      </w:r>
      <w:r w:rsidR="00EB518C" w:rsidRPr="00E869A4">
        <w:rPr>
          <w:rFonts w:ascii="Times New Roman" w:eastAsia="Times New Roman" w:hAnsi="Times New Roman" w:cs="Times New Roman"/>
          <w:bCs/>
          <w:iCs/>
          <w:lang w:eastAsia="en-US"/>
        </w:rPr>
        <w:t>bound older persons</w:t>
      </w:r>
      <w:r w:rsidR="000B6DD5" w:rsidRPr="00E869A4">
        <w:rPr>
          <w:rFonts w:ascii="Times New Roman" w:eastAsia="Times New Roman" w:hAnsi="Times New Roman" w:cs="Times New Roman"/>
          <w:bCs/>
          <w:iCs/>
          <w:lang w:eastAsia="en-US"/>
        </w:rPr>
        <w:t>,</w:t>
      </w:r>
      <w:r w:rsidR="00EB518C" w:rsidRPr="00E869A4">
        <w:rPr>
          <w:rFonts w:ascii="Times New Roman" w:eastAsia="Times New Roman" w:hAnsi="Times New Roman" w:cs="Times New Roman"/>
          <w:bCs/>
          <w:iCs/>
          <w:lang w:eastAsia="en-US"/>
        </w:rPr>
        <w:t xml:space="preserve"> and</w:t>
      </w:r>
      <w:r w:rsidR="000B6DD5" w:rsidRPr="00E869A4">
        <w:rPr>
          <w:rFonts w:ascii="Times New Roman" w:eastAsia="Times New Roman" w:hAnsi="Times New Roman" w:cs="Times New Roman"/>
          <w:bCs/>
          <w:iCs/>
          <w:lang w:eastAsia="en-US"/>
        </w:rPr>
        <w:t>,</w:t>
      </w:r>
      <w:r w:rsidR="00EB518C" w:rsidRPr="00E869A4">
        <w:rPr>
          <w:rFonts w:ascii="Times New Roman" w:eastAsia="Times New Roman" w:hAnsi="Times New Roman" w:cs="Times New Roman"/>
          <w:bCs/>
          <w:iCs/>
          <w:lang w:eastAsia="en-US"/>
        </w:rPr>
        <w:t xml:space="preserve"> ‘</w:t>
      </w:r>
      <w:r w:rsidR="000B6DD5" w:rsidRPr="00E869A4">
        <w:rPr>
          <w:rFonts w:ascii="Times New Roman" w:eastAsia="Times New Roman" w:hAnsi="Times New Roman" w:cs="Times New Roman"/>
          <w:bCs/>
          <w:iCs/>
          <w:lang w:eastAsia="en-US"/>
        </w:rPr>
        <w:t>ah lookin’ after</w:t>
      </w:r>
      <w:r w:rsidR="00A57A1D" w:rsidRPr="00E869A4">
        <w:rPr>
          <w:rFonts w:ascii="Times New Roman" w:eastAsia="Times New Roman" w:hAnsi="Times New Roman" w:cs="Times New Roman"/>
          <w:bCs/>
          <w:iCs/>
          <w:lang w:eastAsia="en-US"/>
        </w:rPr>
        <w:t xml:space="preserve"> a</w:t>
      </w:r>
      <w:r w:rsidR="000B6DD5" w:rsidRPr="00E869A4">
        <w:rPr>
          <w:rFonts w:ascii="Times New Roman" w:eastAsia="Times New Roman" w:hAnsi="Times New Roman" w:cs="Times New Roman"/>
          <w:bCs/>
          <w:iCs/>
          <w:lang w:eastAsia="en-US"/>
        </w:rPr>
        <w:t>h</w:t>
      </w:r>
      <w:r w:rsidR="00A57A1D" w:rsidRPr="00E869A4">
        <w:rPr>
          <w:rFonts w:ascii="Times New Roman" w:eastAsia="Times New Roman" w:hAnsi="Times New Roman" w:cs="Times New Roman"/>
          <w:bCs/>
          <w:iCs/>
          <w:lang w:eastAsia="en-US"/>
        </w:rPr>
        <w:t xml:space="preserve"> sick</w:t>
      </w:r>
      <w:r w:rsidR="00EB518C" w:rsidRPr="00E869A4">
        <w:rPr>
          <w:rFonts w:ascii="Times New Roman" w:eastAsia="Times New Roman" w:hAnsi="Times New Roman" w:cs="Times New Roman"/>
          <w:bCs/>
          <w:iCs/>
          <w:lang w:eastAsia="en-US"/>
        </w:rPr>
        <w:t>’</w:t>
      </w:r>
      <w:r w:rsidR="00A57A1D" w:rsidRPr="00E869A4">
        <w:rPr>
          <w:rFonts w:ascii="Times New Roman" w:eastAsia="Times New Roman" w:hAnsi="Times New Roman" w:cs="Times New Roman"/>
          <w:bCs/>
          <w:iCs/>
          <w:lang w:eastAsia="en-US"/>
        </w:rPr>
        <w:t xml:space="preserve">, to refer to the </w:t>
      </w:r>
      <w:r w:rsidR="00EB518C" w:rsidRPr="00E869A4">
        <w:rPr>
          <w:rFonts w:ascii="Times New Roman" w:eastAsia="Times New Roman" w:hAnsi="Times New Roman" w:cs="Times New Roman"/>
          <w:bCs/>
          <w:iCs/>
          <w:lang w:eastAsia="en-US"/>
        </w:rPr>
        <w:t xml:space="preserve">act of caring </w:t>
      </w:r>
      <w:r w:rsidR="009A7D5F" w:rsidRPr="00E869A4">
        <w:rPr>
          <w:rFonts w:ascii="Times New Roman" w:eastAsia="Times New Roman" w:hAnsi="Times New Roman" w:cs="Times New Roman"/>
          <w:bCs/>
          <w:iCs/>
          <w:lang w:eastAsia="en-US"/>
        </w:rPr>
        <w:t>for someone</w:t>
      </w:r>
      <w:r w:rsidR="00A57A1D" w:rsidRPr="00E869A4">
        <w:rPr>
          <w:rFonts w:ascii="Times New Roman" w:eastAsia="Times New Roman" w:hAnsi="Times New Roman" w:cs="Times New Roman"/>
          <w:bCs/>
          <w:iCs/>
          <w:lang w:eastAsia="en-US"/>
        </w:rPr>
        <w:t xml:space="preserve">, although interestingly, </w:t>
      </w:r>
      <w:r w:rsidR="009A7D5F" w:rsidRPr="00E869A4">
        <w:rPr>
          <w:rFonts w:ascii="Times New Roman" w:eastAsia="Times New Roman" w:hAnsi="Times New Roman" w:cs="Times New Roman"/>
          <w:bCs/>
          <w:iCs/>
          <w:lang w:eastAsia="en-US"/>
        </w:rPr>
        <w:t xml:space="preserve">neither of these expressions were </w:t>
      </w:r>
      <w:r w:rsidR="00A57A1D" w:rsidRPr="00E869A4">
        <w:rPr>
          <w:rFonts w:ascii="Times New Roman" w:eastAsia="Times New Roman" w:hAnsi="Times New Roman" w:cs="Times New Roman"/>
          <w:bCs/>
          <w:iCs/>
          <w:lang w:eastAsia="en-US"/>
        </w:rPr>
        <w:t xml:space="preserve">used by any of the participants in this study. The silence and language surrounding family elder care </w:t>
      </w:r>
      <w:r w:rsidR="002865E9" w:rsidRPr="00E869A4">
        <w:rPr>
          <w:rFonts w:ascii="Times New Roman" w:eastAsia="Times New Roman" w:hAnsi="Times New Roman" w:cs="Times New Roman"/>
          <w:bCs/>
          <w:iCs/>
          <w:lang w:eastAsia="en-US"/>
        </w:rPr>
        <w:t xml:space="preserve">in T&amp;T </w:t>
      </w:r>
      <w:r w:rsidR="00A57A1D" w:rsidRPr="00E869A4">
        <w:rPr>
          <w:rFonts w:ascii="Times New Roman" w:eastAsia="Times New Roman" w:hAnsi="Times New Roman" w:cs="Times New Roman"/>
          <w:bCs/>
          <w:iCs/>
          <w:lang w:eastAsia="en-US"/>
        </w:rPr>
        <w:t xml:space="preserve">is an area that researchers can explore further.  </w:t>
      </w:r>
    </w:p>
    <w:p w14:paraId="446BDF9F" w14:textId="77777777" w:rsidR="0048754D" w:rsidRPr="00E869A4" w:rsidRDefault="0048754D" w:rsidP="004F33B6">
      <w:pPr>
        <w:rPr>
          <w:rFonts w:ascii="Times New Roman" w:eastAsia="Times New Roman" w:hAnsi="Times New Roman" w:cs="Times New Roman"/>
          <w:bCs/>
          <w:iCs/>
          <w:lang w:eastAsia="en-US"/>
        </w:rPr>
      </w:pPr>
    </w:p>
    <w:p w14:paraId="1D168416" w14:textId="743C3C9D" w:rsidR="00C31948" w:rsidRPr="00E869A4" w:rsidRDefault="0002696A" w:rsidP="00A60D1C">
      <w:pPr>
        <w:rPr>
          <w:rFonts w:ascii="Times New Roman" w:eastAsia="Times New Roman" w:hAnsi="Times New Roman" w:cs="Times New Roman"/>
          <w:bCs/>
          <w:iCs/>
          <w:lang w:eastAsia="en-US"/>
        </w:rPr>
      </w:pPr>
      <w:r w:rsidRPr="00E869A4">
        <w:rPr>
          <w:rFonts w:ascii="Times New Roman" w:eastAsia="Times New Roman" w:hAnsi="Times New Roman" w:cs="Times New Roman"/>
          <w:bCs/>
          <w:iCs/>
          <w:lang w:eastAsia="en-US"/>
        </w:rPr>
        <w:t>Another challenge associated with studies on older persons is the possibility of high attrition rates due to illness or even death</w:t>
      </w:r>
      <w:r w:rsidR="002865E9" w:rsidRPr="00E869A4">
        <w:rPr>
          <w:rFonts w:ascii="Times New Roman" w:eastAsia="Times New Roman" w:hAnsi="Times New Roman" w:cs="Times New Roman"/>
          <w:bCs/>
          <w:iCs/>
          <w:lang w:eastAsia="en-US"/>
        </w:rPr>
        <w:t xml:space="preserve"> of participants</w:t>
      </w:r>
      <w:r w:rsidR="00E23ECA" w:rsidRPr="00E869A4">
        <w:rPr>
          <w:rFonts w:ascii="Times New Roman" w:eastAsia="Times New Roman" w:hAnsi="Times New Roman" w:cs="Times New Roman"/>
          <w:bCs/>
          <w:iCs/>
          <w:lang w:eastAsia="en-US"/>
        </w:rPr>
        <w:t xml:space="preserve"> (see p. 159)</w:t>
      </w:r>
      <w:r w:rsidRPr="00E869A4">
        <w:rPr>
          <w:rFonts w:ascii="Times New Roman" w:eastAsia="Times New Roman" w:hAnsi="Times New Roman" w:cs="Times New Roman"/>
          <w:bCs/>
          <w:iCs/>
          <w:lang w:eastAsia="en-US"/>
        </w:rPr>
        <w:t xml:space="preserve">. </w:t>
      </w:r>
      <w:r w:rsidR="00D03CA5" w:rsidRPr="00E869A4">
        <w:rPr>
          <w:rFonts w:ascii="Times New Roman" w:eastAsia="Times New Roman" w:hAnsi="Times New Roman" w:cs="Times New Roman"/>
          <w:bCs/>
          <w:iCs/>
          <w:lang w:eastAsia="en-US"/>
        </w:rPr>
        <w:t>Given this, researchers must be prepared to address the possible emotional effect</w:t>
      </w:r>
      <w:r w:rsidR="003249D0" w:rsidRPr="00E869A4">
        <w:rPr>
          <w:rFonts w:ascii="Times New Roman" w:eastAsia="Times New Roman" w:hAnsi="Times New Roman" w:cs="Times New Roman"/>
          <w:bCs/>
          <w:iCs/>
          <w:lang w:eastAsia="en-US"/>
        </w:rPr>
        <w:t>s</w:t>
      </w:r>
      <w:r w:rsidR="00D03CA5" w:rsidRPr="00E869A4">
        <w:rPr>
          <w:rFonts w:ascii="Times New Roman" w:eastAsia="Times New Roman" w:hAnsi="Times New Roman" w:cs="Times New Roman"/>
          <w:bCs/>
          <w:iCs/>
          <w:lang w:eastAsia="en-US"/>
        </w:rPr>
        <w:t xml:space="preserve"> of studying such a sensitive population, and should consciously include self-care and debriefing elements into their research design. </w:t>
      </w:r>
      <w:r w:rsidR="00A60D1C" w:rsidRPr="00E869A4">
        <w:rPr>
          <w:rFonts w:ascii="Times New Roman" w:eastAsia="Times New Roman" w:hAnsi="Times New Roman" w:cs="Times New Roman"/>
          <w:bCs/>
          <w:iCs/>
          <w:lang w:eastAsia="en-US"/>
        </w:rPr>
        <w:t>In this regard, Lee-Treweek’s account of the emotional dangers of researching older persons in a bleak nursing home is insightful and instructive</w:t>
      </w:r>
      <w:r w:rsidR="00EE61EC">
        <w:rPr>
          <w:rFonts w:ascii="Times New Roman" w:eastAsia="Times New Roman" w:hAnsi="Times New Roman" w:cs="Times New Roman"/>
          <w:bCs/>
          <w:iCs/>
          <w:lang w:eastAsia="en-US"/>
        </w:rPr>
        <w:t>,</w:t>
      </w:r>
      <w:r w:rsidR="00A60D1C" w:rsidRPr="00E869A4">
        <w:rPr>
          <w:rFonts w:ascii="Times New Roman" w:eastAsia="Times New Roman" w:hAnsi="Times New Roman" w:cs="Times New Roman"/>
          <w:bCs/>
          <w:iCs/>
          <w:lang w:eastAsia="en-US"/>
        </w:rPr>
        <w:t xml:space="preserve"> as are the other papers in the book entitled </w:t>
      </w:r>
      <w:r w:rsidR="00A60D1C" w:rsidRPr="00E869A4">
        <w:rPr>
          <w:rFonts w:ascii="Times New Roman" w:eastAsia="Times New Roman" w:hAnsi="Times New Roman" w:cs="Times New Roman"/>
          <w:bCs/>
          <w:i/>
          <w:iCs/>
          <w:lang w:eastAsia="en-US"/>
        </w:rPr>
        <w:t>Danger in the Field: Risk and Ethics in Social Research</w:t>
      </w:r>
      <w:r w:rsidR="00A60D1C" w:rsidRPr="00E869A4">
        <w:rPr>
          <w:rFonts w:ascii="Times New Roman" w:eastAsia="Times New Roman" w:hAnsi="Times New Roman" w:cs="Times New Roman"/>
          <w:bCs/>
          <w:iCs/>
          <w:lang w:eastAsia="en-US"/>
        </w:rPr>
        <w:t xml:space="preserve"> (Lee-Treweek and Linkogle 2001). </w:t>
      </w:r>
      <w:r w:rsidR="00D03CA5" w:rsidRPr="00E869A4">
        <w:rPr>
          <w:rFonts w:ascii="Times New Roman" w:eastAsia="Times New Roman" w:hAnsi="Times New Roman" w:cs="Times New Roman"/>
          <w:bCs/>
          <w:iCs/>
          <w:lang w:eastAsia="en-US"/>
        </w:rPr>
        <w:t xml:space="preserve">Also, studies must </w:t>
      </w:r>
      <w:r w:rsidR="001A0724" w:rsidRPr="00E869A4">
        <w:rPr>
          <w:rFonts w:ascii="Times New Roman" w:eastAsia="Times New Roman" w:hAnsi="Times New Roman" w:cs="Times New Roman"/>
          <w:bCs/>
          <w:iCs/>
          <w:lang w:eastAsia="en-US"/>
        </w:rPr>
        <w:t xml:space="preserve">be practically designed to minimise the </w:t>
      </w:r>
      <w:r w:rsidR="001A0724" w:rsidRPr="00E869A4">
        <w:rPr>
          <w:rFonts w:ascii="Times New Roman" w:eastAsia="Times New Roman" w:hAnsi="Times New Roman" w:cs="Times New Roman"/>
          <w:bCs/>
          <w:iCs/>
          <w:lang w:eastAsia="en-US"/>
        </w:rPr>
        <w:lastRenderedPageBreak/>
        <w:t>negative effects of attrition</w:t>
      </w:r>
      <w:r w:rsidR="008A6FA2" w:rsidRPr="00E869A4">
        <w:rPr>
          <w:rFonts w:ascii="Times New Roman" w:eastAsia="Times New Roman" w:hAnsi="Times New Roman" w:cs="Times New Roman"/>
          <w:bCs/>
          <w:iCs/>
          <w:lang w:eastAsia="en-US"/>
        </w:rPr>
        <w:t xml:space="preserve"> (Gemmill et al. 2012)</w:t>
      </w:r>
      <w:r w:rsidR="001A0724" w:rsidRPr="00E869A4">
        <w:rPr>
          <w:rFonts w:ascii="Times New Roman" w:eastAsia="Times New Roman" w:hAnsi="Times New Roman" w:cs="Times New Roman"/>
          <w:bCs/>
          <w:iCs/>
          <w:lang w:eastAsia="en-US"/>
        </w:rPr>
        <w:t xml:space="preserve">. </w:t>
      </w:r>
      <w:r w:rsidRPr="00E869A4">
        <w:rPr>
          <w:rFonts w:ascii="Times New Roman" w:eastAsia="Times New Roman" w:hAnsi="Times New Roman" w:cs="Times New Roman"/>
          <w:bCs/>
          <w:iCs/>
          <w:lang w:eastAsia="en-US"/>
        </w:rPr>
        <w:t xml:space="preserve">Multiple interviews with respondents </w:t>
      </w:r>
      <w:r w:rsidR="002865E9" w:rsidRPr="00E869A4">
        <w:rPr>
          <w:rFonts w:ascii="Times New Roman" w:eastAsia="Times New Roman" w:hAnsi="Times New Roman" w:cs="Times New Roman"/>
          <w:bCs/>
          <w:iCs/>
          <w:lang w:eastAsia="en-US"/>
        </w:rPr>
        <w:t>increase</w:t>
      </w:r>
      <w:r w:rsidRPr="00E869A4">
        <w:rPr>
          <w:rFonts w:ascii="Times New Roman" w:eastAsia="Times New Roman" w:hAnsi="Times New Roman" w:cs="Times New Roman"/>
          <w:bCs/>
          <w:iCs/>
          <w:lang w:eastAsia="en-US"/>
        </w:rPr>
        <w:t xml:space="preserve"> the risk of attrition of older respondents when compared to one-off interviews. </w:t>
      </w:r>
      <w:r w:rsidR="00C31948" w:rsidRPr="00E869A4">
        <w:rPr>
          <w:rFonts w:ascii="Times New Roman" w:eastAsia="Times New Roman" w:hAnsi="Times New Roman" w:cs="Times New Roman"/>
          <w:bCs/>
          <w:iCs/>
          <w:lang w:eastAsia="en-US"/>
        </w:rPr>
        <w:t>Researchers should also be sensitive to possible cognitive deterioration of frail older persons during the course of a research study that requires multiple visits to the participants</w:t>
      </w:r>
      <w:r w:rsidR="006A0D55" w:rsidRPr="00E869A4">
        <w:rPr>
          <w:rFonts w:ascii="Times New Roman" w:eastAsia="Times New Roman" w:hAnsi="Times New Roman" w:cs="Times New Roman"/>
          <w:bCs/>
          <w:iCs/>
          <w:lang w:eastAsia="en-US"/>
        </w:rPr>
        <w:t xml:space="preserve"> (Patel, Doku &amp; Tennakoon 2003</w:t>
      </w:r>
      <w:r w:rsidR="00012BFB" w:rsidRPr="00E869A4">
        <w:rPr>
          <w:rFonts w:ascii="Times New Roman" w:eastAsia="Times New Roman" w:hAnsi="Times New Roman" w:cs="Times New Roman"/>
          <w:bCs/>
          <w:iCs/>
          <w:lang w:eastAsia="en-US"/>
        </w:rPr>
        <w:t>; Sessums, Zembrzuska &amp; Jackson 2011</w:t>
      </w:r>
      <w:r w:rsidR="006A0D55" w:rsidRPr="00E869A4">
        <w:rPr>
          <w:rFonts w:ascii="Times New Roman" w:eastAsia="Times New Roman" w:hAnsi="Times New Roman" w:cs="Times New Roman"/>
          <w:bCs/>
          <w:iCs/>
          <w:lang w:eastAsia="en-US"/>
        </w:rPr>
        <w:t>)</w:t>
      </w:r>
      <w:r w:rsidR="00C31948" w:rsidRPr="00E869A4">
        <w:rPr>
          <w:rFonts w:ascii="Times New Roman" w:eastAsia="Times New Roman" w:hAnsi="Times New Roman" w:cs="Times New Roman"/>
          <w:bCs/>
          <w:iCs/>
          <w:lang w:eastAsia="en-US"/>
        </w:rPr>
        <w:t>. Furthermore,</w:t>
      </w:r>
      <w:r w:rsidR="00D03CA5" w:rsidRPr="00E869A4">
        <w:rPr>
          <w:rFonts w:ascii="Times New Roman" w:eastAsia="Times New Roman" w:hAnsi="Times New Roman" w:cs="Times New Roman"/>
          <w:bCs/>
          <w:iCs/>
          <w:lang w:eastAsia="en-US"/>
        </w:rPr>
        <w:t xml:space="preserve"> f</w:t>
      </w:r>
      <w:r w:rsidRPr="00E869A4">
        <w:rPr>
          <w:rFonts w:ascii="Times New Roman" w:eastAsia="Times New Roman" w:hAnsi="Times New Roman" w:cs="Times New Roman"/>
          <w:bCs/>
          <w:iCs/>
          <w:lang w:eastAsia="en-US"/>
        </w:rPr>
        <w:t>amily caregivers may be more amenable to single rather than multiple interviews given the limited time they have to manage care and other responsibilities. This notwithstanding, some older participants and caregivers</w:t>
      </w:r>
      <w:r w:rsidR="00D03CA5" w:rsidRPr="00E869A4">
        <w:rPr>
          <w:rFonts w:ascii="Times New Roman" w:eastAsia="Times New Roman" w:hAnsi="Times New Roman" w:cs="Times New Roman"/>
          <w:bCs/>
          <w:iCs/>
          <w:lang w:eastAsia="en-US"/>
        </w:rPr>
        <w:t xml:space="preserve"> seemed to prefer the</w:t>
      </w:r>
      <w:r w:rsidRPr="00E869A4">
        <w:rPr>
          <w:rFonts w:ascii="Times New Roman" w:eastAsia="Times New Roman" w:hAnsi="Times New Roman" w:cs="Times New Roman"/>
          <w:bCs/>
          <w:iCs/>
          <w:lang w:eastAsia="en-US"/>
        </w:rPr>
        <w:t xml:space="preserve"> multiple interview approach</w:t>
      </w:r>
      <w:r w:rsidR="00D03CA5" w:rsidRPr="00E869A4">
        <w:rPr>
          <w:rFonts w:ascii="Times New Roman" w:eastAsia="Times New Roman" w:hAnsi="Times New Roman" w:cs="Times New Roman"/>
          <w:bCs/>
          <w:iCs/>
          <w:lang w:eastAsia="en-US"/>
        </w:rPr>
        <w:t xml:space="preserve"> as it gave them</w:t>
      </w:r>
      <w:r w:rsidRPr="00E869A4">
        <w:rPr>
          <w:rFonts w:ascii="Times New Roman" w:eastAsia="Times New Roman" w:hAnsi="Times New Roman" w:cs="Times New Roman"/>
          <w:bCs/>
          <w:iCs/>
          <w:lang w:eastAsia="en-US"/>
        </w:rPr>
        <w:t xml:space="preserve"> </w:t>
      </w:r>
      <w:r w:rsidR="00D03CA5" w:rsidRPr="00E869A4">
        <w:rPr>
          <w:rFonts w:ascii="Times New Roman" w:eastAsia="Times New Roman" w:hAnsi="Times New Roman" w:cs="Times New Roman"/>
          <w:bCs/>
          <w:iCs/>
          <w:lang w:eastAsia="en-US"/>
        </w:rPr>
        <w:t>an opportunity to share their</w:t>
      </w:r>
      <w:r w:rsidRPr="00E869A4">
        <w:rPr>
          <w:rFonts w:ascii="Times New Roman" w:eastAsia="Times New Roman" w:hAnsi="Times New Roman" w:cs="Times New Roman"/>
          <w:bCs/>
          <w:iCs/>
          <w:lang w:eastAsia="en-US"/>
        </w:rPr>
        <w:t xml:space="preserve"> experiences and concern</w:t>
      </w:r>
      <w:r w:rsidR="002865E9" w:rsidRPr="00E869A4">
        <w:rPr>
          <w:rFonts w:ascii="Times New Roman" w:eastAsia="Times New Roman" w:hAnsi="Times New Roman" w:cs="Times New Roman"/>
          <w:bCs/>
          <w:iCs/>
          <w:lang w:eastAsia="en-US"/>
        </w:rPr>
        <w:t>s</w:t>
      </w:r>
      <w:r w:rsidR="00D03CA5" w:rsidRPr="00E869A4">
        <w:rPr>
          <w:rFonts w:ascii="Times New Roman" w:eastAsia="Times New Roman" w:hAnsi="Times New Roman" w:cs="Times New Roman"/>
          <w:bCs/>
          <w:iCs/>
          <w:lang w:eastAsia="en-US"/>
        </w:rPr>
        <w:t xml:space="preserve"> with someone that was willing to listen. This was especially the case for participants who expressed high levels of social isolation as a result of their care situation. </w:t>
      </w:r>
      <w:r w:rsidR="00C31948" w:rsidRPr="00E869A4">
        <w:rPr>
          <w:rFonts w:ascii="Times New Roman" w:eastAsia="Times New Roman" w:hAnsi="Times New Roman" w:cs="Times New Roman"/>
          <w:bCs/>
          <w:iCs/>
          <w:lang w:eastAsia="en-US"/>
        </w:rPr>
        <w:t>Researchers must be mindful of the pros and cons of each approach to data collection given the time and other resources available to them</w:t>
      </w:r>
      <w:r w:rsidR="008A6FA2" w:rsidRPr="00E869A4">
        <w:rPr>
          <w:rFonts w:ascii="Times New Roman" w:eastAsia="Times New Roman" w:hAnsi="Times New Roman" w:cs="Times New Roman"/>
          <w:bCs/>
          <w:iCs/>
          <w:lang w:eastAsia="en-US"/>
        </w:rPr>
        <w:t xml:space="preserve"> (</w:t>
      </w:r>
      <w:r w:rsidR="00ED6841" w:rsidRPr="00E869A4">
        <w:rPr>
          <w:rFonts w:ascii="Times New Roman" w:eastAsia="Times New Roman" w:hAnsi="Times New Roman" w:cs="Times New Roman"/>
          <w:bCs/>
          <w:iCs/>
          <w:lang w:eastAsia="en-US"/>
        </w:rPr>
        <w:t xml:space="preserve">Adams &amp; Cox 2008; </w:t>
      </w:r>
      <w:r w:rsidR="002F1898" w:rsidRPr="00E869A4">
        <w:rPr>
          <w:rFonts w:ascii="Times New Roman" w:eastAsia="Times New Roman" w:hAnsi="Times New Roman" w:cs="Times New Roman"/>
          <w:bCs/>
          <w:iCs/>
          <w:lang w:eastAsia="en-US"/>
        </w:rPr>
        <w:t xml:space="preserve">Arksey 1996; </w:t>
      </w:r>
      <w:r w:rsidR="00ED6841" w:rsidRPr="00E869A4">
        <w:rPr>
          <w:rFonts w:ascii="Times New Roman" w:eastAsia="Times New Roman" w:hAnsi="Times New Roman" w:cs="Times New Roman"/>
          <w:bCs/>
          <w:iCs/>
          <w:lang w:eastAsia="en-US"/>
        </w:rPr>
        <w:t xml:space="preserve">Atieno 2009; </w:t>
      </w:r>
      <w:r w:rsidR="002F1898" w:rsidRPr="00E869A4">
        <w:rPr>
          <w:rFonts w:ascii="Times New Roman" w:eastAsia="Times New Roman" w:hAnsi="Times New Roman" w:cs="Times New Roman"/>
          <w:bCs/>
          <w:iCs/>
          <w:lang w:eastAsia="en-US"/>
        </w:rPr>
        <w:t xml:space="preserve">Mack et al. 2005; </w:t>
      </w:r>
      <w:r w:rsidR="008A6FA2" w:rsidRPr="00E869A4">
        <w:rPr>
          <w:rFonts w:ascii="Times New Roman" w:eastAsia="Times New Roman" w:hAnsi="Times New Roman" w:cs="Times New Roman"/>
          <w:bCs/>
          <w:iCs/>
          <w:lang w:eastAsia="en-US"/>
        </w:rPr>
        <w:t>Michell 1999; Seale et al. 2008)</w:t>
      </w:r>
      <w:r w:rsidR="00C31948" w:rsidRPr="00E869A4">
        <w:rPr>
          <w:rFonts w:ascii="Times New Roman" w:eastAsia="Times New Roman" w:hAnsi="Times New Roman" w:cs="Times New Roman"/>
          <w:bCs/>
          <w:iCs/>
          <w:lang w:eastAsia="en-US"/>
        </w:rPr>
        <w:t>.</w:t>
      </w:r>
    </w:p>
    <w:p w14:paraId="45652C2D" w14:textId="77777777" w:rsidR="00C31948" w:rsidRPr="00E869A4" w:rsidRDefault="00C31948" w:rsidP="004F33B6">
      <w:pPr>
        <w:rPr>
          <w:rFonts w:ascii="Times New Roman" w:eastAsia="Times New Roman" w:hAnsi="Times New Roman" w:cs="Times New Roman"/>
          <w:bCs/>
          <w:iCs/>
          <w:lang w:eastAsia="en-US"/>
        </w:rPr>
      </w:pPr>
    </w:p>
    <w:p w14:paraId="08A3AEA6" w14:textId="074E681D" w:rsidR="00A57A1D" w:rsidRPr="00E869A4" w:rsidRDefault="009A7D5F" w:rsidP="004F33B6">
      <w:pPr>
        <w:rPr>
          <w:rFonts w:ascii="Times New Roman" w:eastAsia="Times New Roman" w:hAnsi="Times New Roman" w:cs="Times New Roman"/>
          <w:bCs/>
          <w:iCs/>
          <w:lang w:eastAsia="en-US"/>
        </w:rPr>
      </w:pPr>
      <w:r w:rsidRPr="00E869A4">
        <w:rPr>
          <w:rFonts w:ascii="Times New Roman" w:eastAsia="Times New Roman" w:hAnsi="Times New Roman" w:cs="Times New Roman"/>
          <w:bCs/>
          <w:iCs/>
          <w:lang w:eastAsia="en-US"/>
        </w:rPr>
        <w:t xml:space="preserve">Frail older persons appeared to be more inclined to the use of a qualitative interview approach to data collection as it was more in keeping with their desire to reminisce and share stories in a conversational manner. It also allowed them a measure of control on what they wanted to share at a given time, and maybe even </w:t>
      </w:r>
      <w:r w:rsidR="002865E9" w:rsidRPr="00E869A4">
        <w:rPr>
          <w:rFonts w:ascii="Times New Roman" w:eastAsia="Times New Roman" w:hAnsi="Times New Roman" w:cs="Times New Roman"/>
          <w:bCs/>
          <w:iCs/>
          <w:lang w:eastAsia="en-US"/>
        </w:rPr>
        <w:t xml:space="preserve">provided </w:t>
      </w:r>
      <w:r w:rsidRPr="00E869A4">
        <w:rPr>
          <w:rFonts w:ascii="Times New Roman" w:eastAsia="Times New Roman" w:hAnsi="Times New Roman" w:cs="Times New Roman"/>
          <w:bCs/>
          <w:iCs/>
          <w:lang w:eastAsia="en-US"/>
        </w:rPr>
        <w:t>a sense of empowerment as they were better able to steer the conversation</w:t>
      </w:r>
      <w:r w:rsidR="002865E9" w:rsidRPr="00E869A4">
        <w:rPr>
          <w:rFonts w:ascii="Times New Roman" w:eastAsia="Times New Roman" w:hAnsi="Times New Roman" w:cs="Times New Roman"/>
          <w:bCs/>
          <w:iCs/>
          <w:lang w:eastAsia="en-US"/>
        </w:rPr>
        <w:t xml:space="preserve"> than was possible with a more structured approach to data collection</w:t>
      </w:r>
      <w:r w:rsidRPr="00E869A4">
        <w:rPr>
          <w:rFonts w:ascii="Times New Roman" w:eastAsia="Times New Roman" w:hAnsi="Times New Roman" w:cs="Times New Roman"/>
          <w:bCs/>
          <w:iCs/>
          <w:lang w:eastAsia="en-US"/>
        </w:rPr>
        <w:t>. However, semi-structured and unstructured interviews must be tactfully managed to ensure that the objectives of the interview are met</w:t>
      </w:r>
      <w:r w:rsidR="006B299A" w:rsidRPr="00E869A4">
        <w:rPr>
          <w:rFonts w:ascii="Times New Roman" w:eastAsia="Times New Roman" w:hAnsi="Times New Roman" w:cs="Times New Roman"/>
          <w:bCs/>
          <w:iCs/>
          <w:lang w:eastAsia="en-US"/>
        </w:rPr>
        <w:t xml:space="preserve"> (</w:t>
      </w:r>
      <w:r w:rsidR="00E018DB" w:rsidRPr="00E869A4">
        <w:rPr>
          <w:rFonts w:ascii="Times New Roman" w:eastAsia="Times New Roman" w:hAnsi="Times New Roman" w:cs="Times New Roman"/>
          <w:bCs/>
          <w:iCs/>
          <w:lang w:eastAsia="en-US"/>
        </w:rPr>
        <w:t>Wengraf 2001</w:t>
      </w:r>
      <w:r w:rsidR="006B299A" w:rsidRPr="00E869A4">
        <w:rPr>
          <w:rFonts w:ascii="Times New Roman" w:eastAsia="Times New Roman" w:hAnsi="Times New Roman" w:cs="Times New Roman"/>
          <w:bCs/>
          <w:iCs/>
          <w:lang w:eastAsia="en-US"/>
        </w:rPr>
        <w:t>)</w:t>
      </w:r>
      <w:r w:rsidRPr="00E869A4">
        <w:rPr>
          <w:rFonts w:ascii="Times New Roman" w:eastAsia="Times New Roman" w:hAnsi="Times New Roman" w:cs="Times New Roman"/>
          <w:bCs/>
          <w:iCs/>
          <w:lang w:eastAsia="en-US"/>
        </w:rPr>
        <w:t xml:space="preserve">. </w:t>
      </w:r>
    </w:p>
    <w:p w14:paraId="0AEDF909" w14:textId="77777777" w:rsidR="000043E9" w:rsidRPr="00E869A4" w:rsidRDefault="000043E9" w:rsidP="004F33B6">
      <w:pPr>
        <w:rPr>
          <w:rFonts w:ascii="Times New Roman" w:eastAsia="Times New Roman" w:hAnsi="Times New Roman" w:cs="Times New Roman"/>
          <w:bCs/>
          <w:iCs/>
          <w:lang w:eastAsia="en-US"/>
        </w:rPr>
      </w:pPr>
    </w:p>
    <w:p w14:paraId="66778783" w14:textId="62A790C0" w:rsidR="000043E9" w:rsidRPr="00E869A4" w:rsidRDefault="000043E9" w:rsidP="004F33B6">
      <w:pPr>
        <w:rPr>
          <w:rFonts w:ascii="Times New Roman" w:eastAsia="Times New Roman" w:hAnsi="Times New Roman" w:cs="Times New Roman"/>
          <w:bCs/>
          <w:iCs/>
          <w:lang w:eastAsia="en-US"/>
        </w:rPr>
      </w:pPr>
      <w:r w:rsidRPr="00E869A4">
        <w:rPr>
          <w:rFonts w:ascii="Times New Roman" w:eastAsia="Times New Roman" w:hAnsi="Times New Roman" w:cs="Times New Roman"/>
          <w:bCs/>
          <w:iCs/>
          <w:lang w:eastAsia="en-US"/>
        </w:rPr>
        <w:t>Interestingly, caregivers were inclined to provide lengthy re</w:t>
      </w:r>
      <w:r w:rsidR="00703383" w:rsidRPr="00E869A4">
        <w:rPr>
          <w:rFonts w:ascii="Times New Roman" w:eastAsia="Times New Roman" w:hAnsi="Times New Roman" w:cs="Times New Roman"/>
          <w:bCs/>
          <w:iCs/>
          <w:lang w:eastAsia="en-US"/>
        </w:rPr>
        <w:t>sponses via the online survey</w:t>
      </w:r>
      <w:r w:rsidR="006B299A" w:rsidRPr="00E869A4">
        <w:rPr>
          <w:rStyle w:val="FootnoteReference"/>
          <w:rFonts w:ascii="Times New Roman" w:eastAsia="Times New Roman" w:hAnsi="Times New Roman" w:cs="Times New Roman"/>
          <w:bCs/>
          <w:iCs/>
          <w:lang w:eastAsia="en-US"/>
        </w:rPr>
        <w:footnoteReference w:id="125"/>
      </w:r>
      <w:r w:rsidR="00703383" w:rsidRPr="00E869A4">
        <w:rPr>
          <w:rFonts w:ascii="Times New Roman" w:eastAsia="Times New Roman" w:hAnsi="Times New Roman" w:cs="Times New Roman"/>
          <w:bCs/>
          <w:iCs/>
          <w:lang w:eastAsia="en-US"/>
        </w:rPr>
        <w:t>. Alt</w:t>
      </w:r>
      <w:r w:rsidRPr="00E869A4">
        <w:rPr>
          <w:rFonts w:ascii="Times New Roman" w:eastAsia="Times New Roman" w:hAnsi="Times New Roman" w:cs="Times New Roman"/>
          <w:bCs/>
          <w:iCs/>
          <w:lang w:eastAsia="en-US"/>
        </w:rPr>
        <w:t>hough the survey was relatively long with a total of about fifty questions</w:t>
      </w:r>
      <w:r w:rsidR="00EE61EC">
        <w:rPr>
          <w:rFonts w:ascii="Times New Roman" w:eastAsia="Times New Roman" w:hAnsi="Times New Roman" w:cs="Times New Roman"/>
          <w:bCs/>
          <w:iCs/>
          <w:lang w:eastAsia="en-US"/>
        </w:rPr>
        <w:t xml:space="preserve"> (see Appendix 7)</w:t>
      </w:r>
      <w:r w:rsidRPr="00E869A4">
        <w:rPr>
          <w:rFonts w:ascii="Times New Roman" w:eastAsia="Times New Roman" w:hAnsi="Times New Roman" w:cs="Times New Roman"/>
          <w:bCs/>
          <w:iCs/>
          <w:lang w:eastAsia="en-US"/>
        </w:rPr>
        <w:t xml:space="preserve">, many took the opportunity to use the open-ended comment boxes to share their opinions and concerns about family elder care in T&amp;T. This suggests that there are significant numbers of caregivers who are eager for information and discussion on family elder care. The anonymity of the survey also seemed to support their participation. This is in contrast to the many potential </w:t>
      </w:r>
      <w:r w:rsidR="00DC040D" w:rsidRPr="00E869A4">
        <w:rPr>
          <w:rFonts w:ascii="Times New Roman" w:eastAsia="Times New Roman" w:hAnsi="Times New Roman" w:cs="Times New Roman"/>
          <w:bCs/>
          <w:iCs/>
          <w:lang w:eastAsia="en-US"/>
        </w:rPr>
        <w:t xml:space="preserve">interview </w:t>
      </w:r>
      <w:r w:rsidRPr="00E869A4">
        <w:rPr>
          <w:rFonts w:ascii="Times New Roman" w:eastAsia="Times New Roman" w:hAnsi="Times New Roman" w:cs="Times New Roman"/>
          <w:bCs/>
          <w:iCs/>
          <w:lang w:eastAsia="en-US"/>
        </w:rPr>
        <w:t xml:space="preserve">participants who </w:t>
      </w:r>
      <w:r w:rsidR="00DC040D" w:rsidRPr="00E869A4">
        <w:rPr>
          <w:rFonts w:ascii="Times New Roman" w:eastAsia="Times New Roman" w:hAnsi="Times New Roman" w:cs="Times New Roman"/>
          <w:bCs/>
          <w:iCs/>
          <w:lang w:eastAsia="en-US"/>
        </w:rPr>
        <w:t xml:space="preserve">willingly (and in some cases voluntarily) </w:t>
      </w:r>
      <w:r w:rsidRPr="00E869A4">
        <w:rPr>
          <w:rFonts w:ascii="Times New Roman" w:eastAsia="Times New Roman" w:hAnsi="Times New Roman" w:cs="Times New Roman"/>
          <w:bCs/>
          <w:iCs/>
          <w:lang w:eastAsia="en-US"/>
        </w:rPr>
        <w:t>shared their stories</w:t>
      </w:r>
      <w:r w:rsidR="00DC040D" w:rsidRPr="00E869A4">
        <w:rPr>
          <w:rFonts w:ascii="Times New Roman" w:eastAsia="Times New Roman" w:hAnsi="Times New Roman" w:cs="Times New Roman"/>
          <w:bCs/>
          <w:iCs/>
          <w:lang w:eastAsia="en-US"/>
        </w:rPr>
        <w:t>,</w:t>
      </w:r>
      <w:r w:rsidRPr="00E869A4">
        <w:rPr>
          <w:rFonts w:ascii="Times New Roman" w:eastAsia="Times New Roman" w:hAnsi="Times New Roman" w:cs="Times New Roman"/>
          <w:bCs/>
          <w:iCs/>
          <w:lang w:eastAsia="en-US"/>
        </w:rPr>
        <w:t xml:space="preserve"> but refused to provide </w:t>
      </w:r>
      <w:r w:rsidR="00DC040D" w:rsidRPr="00E869A4">
        <w:rPr>
          <w:rFonts w:ascii="Times New Roman" w:eastAsia="Times New Roman" w:hAnsi="Times New Roman" w:cs="Times New Roman"/>
          <w:bCs/>
          <w:iCs/>
          <w:lang w:eastAsia="en-US"/>
        </w:rPr>
        <w:t xml:space="preserve">written or verbal </w:t>
      </w:r>
      <w:r w:rsidRPr="00E869A4">
        <w:rPr>
          <w:rFonts w:ascii="Times New Roman" w:eastAsia="Times New Roman" w:hAnsi="Times New Roman" w:cs="Times New Roman"/>
          <w:bCs/>
          <w:iCs/>
          <w:lang w:eastAsia="en-US"/>
        </w:rPr>
        <w:t>informed consent</w:t>
      </w:r>
      <w:r w:rsidR="00E018DB" w:rsidRPr="00E869A4">
        <w:rPr>
          <w:rFonts w:ascii="Times New Roman" w:eastAsia="Times New Roman" w:hAnsi="Times New Roman" w:cs="Times New Roman"/>
          <w:bCs/>
          <w:iCs/>
          <w:lang w:eastAsia="en-US"/>
        </w:rPr>
        <w:t xml:space="preserve"> (see p. </w:t>
      </w:r>
      <w:r w:rsidR="001E6ABB" w:rsidRPr="00E869A4">
        <w:rPr>
          <w:rFonts w:ascii="Times New Roman" w:eastAsia="Times New Roman" w:hAnsi="Times New Roman" w:cs="Times New Roman"/>
          <w:bCs/>
          <w:iCs/>
          <w:lang w:eastAsia="en-US"/>
        </w:rPr>
        <w:t>1</w:t>
      </w:r>
      <w:r w:rsidR="00E018DB" w:rsidRPr="00E869A4">
        <w:rPr>
          <w:rFonts w:ascii="Times New Roman" w:eastAsia="Times New Roman" w:hAnsi="Times New Roman" w:cs="Times New Roman"/>
          <w:bCs/>
          <w:iCs/>
          <w:lang w:eastAsia="en-US"/>
        </w:rPr>
        <w:t>55-160)</w:t>
      </w:r>
      <w:r w:rsidRPr="00E869A4">
        <w:rPr>
          <w:rFonts w:ascii="Times New Roman" w:eastAsia="Times New Roman" w:hAnsi="Times New Roman" w:cs="Times New Roman"/>
          <w:bCs/>
          <w:iCs/>
          <w:lang w:eastAsia="en-US"/>
        </w:rPr>
        <w:t xml:space="preserve">. </w:t>
      </w:r>
      <w:r w:rsidR="00921E82" w:rsidRPr="00E869A4">
        <w:rPr>
          <w:rFonts w:ascii="Times New Roman" w:eastAsia="Times New Roman" w:hAnsi="Times New Roman" w:cs="Times New Roman"/>
          <w:bCs/>
          <w:iCs/>
          <w:lang w:eastAsia="en-US"/>
        </w:rPr>
        <w:t>It maybe</w:t>
      </w:r>
      <w:r w:rsidR="00DC040D" w:rsidRPr="00E869A4">
        <w:rPr>
          <w:rFonts w:ascii="Times New Roman" w:eastAsia="Times New Roman" w:hAnsi="Times New Roman" w:cs="Times New Roman"/>
          <w:bCs/>
          <w:iCs/>
          <w:lang w:eastAsia="en-US"/>
        </w:rPr>
        <w:t xml:space="preserve"> that </w:t>
      </w:r>
      <w:r w:rsidR="00625B50" w:rsidRPr="00E869A4">
        <w:rPr>
          <w:rFonts w:ascii="Times New Roman" w:eastAsia="Times New Roman" w:hAnsi="Times New Roman" w:cs="Times New Roman"/>
          <w:bCs/>
          <w:iCs/>
          <w:lang w:eastAsia="en-US"/>
        </w:rPr>
        <w:t>some persons</w:t>
      </w:r>
      <w:r w:rsidR="00DC040D" w:rsidRPr="00E869A4">
        <w:rPr>
          <w:rFonts w:ascii="Times New Roman" w:eastAsia="Times New Roman" w:hAnsi="Times New Roman" w:cs="Times New Roman"/>
          <w:bCs/>
          <w:iCs/>
          <w:lang w:eastAsia="en-US"/>
        </w:rPr>
        <w:t xml:space="preserve"> feared being victimised if they were to </w:t>
      </w:r>
      <w:r w:rsidR="00625B50" w:rsidRPr="00E869A4">
        <w:rPr>
          <w:rFonts w:ascii="Times New Roman" w:eastAsia="Times New Roman" w:hAnsi="Times New Roman" w:cs="Times New Roman"/>
          <w:bCs/>
          <w:iCs/>
          <w:lang w:eastAsia="en-US"/>
        </w:rPr>
        <w:t>‘formally’ talk about their experiences and policy positions</w:t>
      </w:r>
      <w:r w:rsidR="00DC040D" w:rsidRPr="00E869A4">
        <w:rPr>
          <w:rFonts w:ascii="Times New Roman" w:eastAsia="Times New Roman" w:hAnsi="Times New Roman" w:cs="Times New Roman"/>
          <w:bCs/>
          <w:iCs/>
          <w:lang w:eastAsia="en-US"/>
        </w:rPr>
        <w:t xml:space="preserve">, and this despite being assured that their contributions will be kept in </w:t>
      </w:r>
      <w:r w:rsidR="00DC040D" w:rsidRPr="00E869A4">
        <w:rPr>
          <w:rFonts w:ascii="Times New Roman" w:eastAsia="Times New Roman" w:hAnsi="Times New Roman" w:cs="Times New Roman"/>
          <w:bCs/>
          <w:iCs/>
          <w:lang w:eastAsia="en-US"/>
        </w:rPr>
        <w:lastRenderedPageBreak/>
        <w:t xml:space="preserve">confidence and anonymised. </w:t>
      </w:r>
      <w:r w:rsidR="00921E82" w:rsidRPr="00E869A4">
        <w:rPr>
          <w:rFonts w:ascii="Times New Roman" w:eastAsia="Times New Roman" w:hAnsi="Times New Roman" w:cs="Times New Roman"/>
          <w:bCs/>
          <w:iCs/>
          <w:lang w:eastAsia="en-US"/>
        </w:rPr>
        <w:t>One possible factor that may have amplified their reluctance to participate is that i</w:t>
      </w:r>
      <w:r w:rsidR="00F73E8A" w:rsidRPr="00E869A4">
        <w:rPr>
          <w:rFonts w:ascii="Times New Roman" w:eastAsia="Times New Roman" w:hAnsi="Times New Roman" w:cs="Times New Roman"/>
          <w:bCs/>
          <w:iCs/>
          <w:lang w:eastAsia="en-US"/>
        </w:rPr>
        <w:t xml:space="preserve">n 2013 for instance, local </w:t>
      </w:r>
      <w:r w:rsidR="00430D79" w:rsidRPr="00E869A4">
        <w:rPr>
          <w:rFonts w:ascii="Times New Roman" w:eastAsia="Times New Roman" w:hAnsi="Times New Roman" w:cs="Times New Roman"/>
          <w:bCs/>
          <w:iCs/>
          <w:lang w:eastAsia="en-US"/>
        </w:rPr>
        <w:t xml:space="preserve">government </w:t>
      </w:r>
      <w:r w:rsidR="00F73E8A" w:rsidRPr="00E869A4">
        <w:rPr>
          <w:rFonts w:ascii="Times New Roman" w:eastAsia="Times New Roman" w:hAnsi="Times New Roman" w:cs="Times New Roman"/>
          <w:bCs/>
          <w:iCs/>
          <w:lang w:eastAsia="en-US"/>
        </w:rPr>
        <w:t>elections w</w:t>
      </w:r>
      <w:r w:rsidR="003C061B">
        <w:rPr>
          <w:rFonts w:ascii="Times New Roman" w:eastAsia="Times New Roman" w:hAnsi="Times New Roman" w:cs="Times New Roman"/>
          <w:bCs/>
          <w:iCs/>
          <w:lang w:eastAsia="en-US"/>
        </w:rPr>
        <w:t>ere</w:t>
      </w:r>
      <w:r w:rsidR="00F73E8A" w:rsidRPr="00E869A4">
        <w:rPr>
          <w:rFonts w:ascii="Times New Roman" w:eastAsia="Times New Roman" w:hAnsi="Times New Roman" w:cs="Times New Roman"/>
          <w:bCs/>
          <w:iCs/>
          <w:lang w:eastAsia="en-US"/>
        </w:rPr>
        <w:t xml:space="preserve"> conducted in T&amp;T</w:t>
      </w:r>
      <w:r w:rsidR="00921E82" w:rsidRPr="00E869A4">
        <w:rPr>
          <w:rFonts w:ascii="Times New Roman" w:eastAsia="Times New Roman" w:hAnsi="Times New Roman" w:cs="Times New Roman"/>
          <w:bCs/>
          <w:iCs/>
          <w:lang w:eastAsia="en-US"/>
        </w:rPr>
        <w:t>:</w:t>
      </w:r>
      <w:r w:rsidR="00430D79" w:rsidRPr="00E869A4">
        <w:rPr>
          <w:rFonts w:ascii="Times New Roman" w:eastAsia="Times New Roman" w:hAnsi="Times New Roman" w:cs="Times New Roman"/>
          <w:bCs/>
          <w:iCs/>
          <w:lang w:eastAsia="en-US"/>
        </w:rPr>
        <w:t xml:space="preserve"> election campaigning coincided with </w:t>
      </w:r>
      <w:r w:rsidR="00921E82" w:rsidRPr="00E869A4">
        <w:rPr>
          <w:rFonts w:ascii="Times New Roman" w:eastAsia="Times New Roman" w:hAnsi="Times New Roman" w:cs="Times New Roman"/>
          <w:bCs/>
          <w:iCs/>
          <w:lang w:eastAsia="en-US"/>
        </w:rPr>
        <w:t>Phase II</w:t>
      </w:r>
      <w:r w:rsidR="00430D79" w:rsidRPr="00E869A4">
        <w:rPr>
          <w:rFonts w:ascii="Times New Roman" w:eastAsia="Times New Roman" w:hAnsi="Times New Roman" w:cs="Times New Roman"/>
          <w:bCs/>
          <w:iCs/>
          <w:lang w:eastAsia="en-US"/>
        </w:rPr>
        <w:t xml:space="preserve"> of the qualitative data collection exercise for this study</w:t>
      </w:r>
      <w:r w:rsidR="00921E82" w:rsidRPr="00E869A4">
        <w:rPr>
          <w:rFonts w:ascii="Times New Roman" w:eastAsia="Times New Roman" w:hAnsi="Times New Roman" w:cs="Times New Roman"/>
          <w:bCs/>
          <w:iCs/>
          <w:lang w:eastAsia="en-US"/>
        </w:rPr>
        <w:t xml:space="preserve">. This might have increased the scepticism of some to formally record their views as part of this study for fear of being victimised, even though they were willing to share </w:t>
      </w:r>
      <w:r w:rsidR="003C061B">
        <w:rPr>
          <w:rFonts w:ascii="Times New Roman" w:eastAsia="Times New Roman" w:hAnsi="Times New Roman" w:cs="Times New Roman"/>
          <w:bCs/>
          <w:iCs/>
          <w:lang w:eastAsia="en-US"/>
        </w:rPr>
        <w:t xml:space="preserve">their experiences and opinions </w:t>
      </w:r>
      <w:r w:rsidR="00921E82" w:rsidRPr="00E869A4">
        <w:rPr>
          <w:rFonts w:ascii="Times New Roman" w:eastAsia="Times New Roman" w:hAnsi="Times New Roman" w:cs="Times New Roman"/>
          <w:bCs/>
          <w:iCs/>
          <w:lang w:eastAsia="en-US"/>
        </w:rPr>
        <w:t>informally</w:t>
      </w:r>
      <w:r w:rsidR="00430D79" w:rsidRPr="00E869A4">
        <w:rPr>
          <w:rFonts w:ascii="Times New Roman" w:eastAsia="Times New Roman" w:hAnsi="Times New Roman" w:cs="Times New Roman"/>
          <w:bCs/>
          <w:iCs/>
          <w:lang w:eastAsia="en-US"/>
        </w:rPr>
        <w:t xml:space="preserve">. </w:t>
      </w:r>
      <w:r w:rsidR="00921E82" w:rsidRPr="00E869A4">
        <w:rPr>
          <w:rFonts w:ascii="Times New Roman" w:eastAsia="Times New Roman" w:hAnsi="Times New Roman" w:cs="Times New Roman"/>
          <w:bCs/>
          <w:iCs/>
          <w:lang w:eastAsia="en-US"/>
        </w:rPr>
        <w:t xml:space="preserve">Other reasons for the possible reluctance of potential participants to provide informed consent are highlighted in </w:t>
      </w:r>
      <w:r w:rsidR="00F12E24" w:rsidRPr="00E869A4">
        <w:rPr>
          <w:rFonts w:ascii="Times New Roman" w:eastAsia="Times New Roman" w:hAnsi="Times New Roman" w:cs="Times New Roman"/>
          <w:bCs/>
          <w:iCs/>
          <w:lang w:eastAsia="en-US"/>
        </w:rPr>
        <w:t xml:space="preserve">Section 5.3.2 of </w:t>
      </w:r>
      <w:r w:rsidR="00921E82" w:rsidRPr="00E869A4">
        <w:rPr>
          <w:rFonts w:ascii="Times New Roman" w:eastAsia="Times New Roman" w:hAnsi="Times New Roman" w:cs="Times New Roman"/>
          <w:bCs/>
          <w:iCs/>
          <w:lang w:eastAsia="en-US"/>
        </w:rPr>
        <w:t>the methodology</w:t>
      </w:r>
      <w:r w:rsidR="00F12E24" w:rsidRPr="00E869A4">
        <w:rPr>
          <w:rFonts w:ascii="Times New Roman" w:eastAsia="Times New Roman" w:hAnsi="Times New Roman" w:cs="Times New Roman"/>
          <w:bCs/>
          <w:iCs/>
          <w:lang w:eastAsia="en-US"/>
        </w:rPr>
        <w:t xml:space="preserve"> chapter</w:t>
      </w:r>
      <w:r w:rsidR="00921E82" w:rsidRPr="00E869A4">
        <w:rPr>
          <w:rFonts w:ascii="Times New Roman" w:eastAsia="Times New Roman" w:hAnsi="Times New Roman" w:cs="Times New Roman"/>
          <w:bCs/>
          <w:iCs/>
          <w:lang w:eastAsia="en-US"/>
        </w:rPr>
        <w:t xml:space="preserve">. </w:t>
      </w:r>
    </w:p>
    <w:p w14:paraId="7EC4E201" w14:textId="77777777" w:rsidR="00A57A1D" w:rsidRPr="00E869A4" w:rsidRDefault="00A57A1D" w:rsidP="004F33B6">
      <w:pPr>
        <w:rPr>
          <w:rFonts w:ascii="Times New Roman" w:eastAsia="Times New Roman" w:hAnsi="Times New Roman" w:cs="Times New Roman"/>
          <w:bCs/>
          <w:iCs/>
          <w:lang w:eastAsia="en-US"/>
        </w:rPr>
      </w:pPr>
    </w:p>
    <w:p w14:paraId="6A2FBEFB" w14:textId="7B9A58FF" w:rsidR="004F33B6" w:rsidRPr="00E869A4" w:rsidRDefault="00A57A1D" w:rsidP="004F33B6">
      <w:pPr>
        <w:rPr>
          <w:rFonts w:ascii="Times New Roman" w:hAnsi="Times New Roman" w:cs="Times New Roman"/>
        </w:rPr>
      </w:pPr>
      <w:r w:rsidRPr="00E869A4">
        <w:rPr>
          <w:rFonts w:ascii="Times New Roman" w:eastAsia="Times New Roman" w:hAnsi="Times New Roman" w:cs="Times New Roman"/>
          <w:bCs/>
          <w:iCs/>
          <w:lang w:eastAsia="en-US"/>
        </w:rPr>
        <w:t xml:space="preserve">Generalising the findings </w:t>
      </w:r>
      <w:r w:rsidR="001A0724" w:rsidRPr="00E869A4">
        <w:rPr>
          <w:rFonts w:ascii="Times New Roman" w:eastAsia="Times New Roman" w:hAnsi="Times New Roman" w:cs="Times New Roman"/>
          <w:bCs/>
          <w:iCs/>
          <w:lang w:eastAsia="en-US"/>
        </w:rPr>
        <w:t xml:space="preserve">of this study </w:t>
      </w:r>
      <w:r w:rsidRPr="00E869A4">
        <w:rPr>
          <w:rFonts w:ascii="Times New Roman" w:eastAsia="Times New Roman" w:hAnsi="Times New Roman" w:cs="Times New Roman"/>
          <w:bCs/>
          <w:iCs/>
          <w:lang w:eastAsia="en-US"/>
        </w:rPr>
        <w:t xml:space="preserve">must be avoided given </w:t>
      </w:r>
      <w:r w:rsidR="00CD6252">
        <w:rPr>
          <w:rFonts w:ascii="Times New Roman" w:eastAsia="Times New Roman" w:hAnsi="Times New Roman" w:cs="Times New Roman"/>
          <w:bCs/>
          <w:iCs/>
          <w:lang w:eastAsia="en-US"/>
        </w:rPr>
        <w:t>the</w:t>
      </w:r>
      <w:r w:rsidRPr="00E869A4">
        <w:rPr>
          <w:rFonts w:ascii="Times New Roman" w:eastAsia="Times New Roman" w:hAnsi="Times New Roman" w:cs="Times New Roman"/>
          <w:bCs/>
          <w:iCs/>
          <w:lang w:eastAsia="en-US"/>
        </w:rPr>
        <w:t xml:space="preserve"> non-probabilistic </w:t>
      </w:r>
      <w:r w:rsidR="00CD6252">
        <w:rPr>
          <w:rFonts w:ascii="Times New Roman" w:eastAsia="Times New Roman" w:hAnsi="Times New Roman" w:cs="Times New Roman"/>
          <w:bCs/>
          <w:iCs/>
          <w:lang w:eastAsia="en-US"/>
        </w:rPr>
        <w:t xml:space="preserve">sampling </w:t>
      </w:r>
      <w:r w:rsidRPr="00E869A4">
        <w:rPr>
          <w:rFonts w:ascii="Times New Roman" w:eastAsia="Times New Roman" w:hAnsi="Times New Roman" w:cs="Times New Roman"/>
          <w:bCs/>
          <w:iCs/>
          <w:lang w:eastAsia="en-US"/>
        </w:rPr>
        <w:t xml:space="preserve">approach </w:t>
      </w:r>
      <w:r w:rsidR="00CD6252">
        <w:rPr>
          <w:rFonts w:ascii="Times New Roman" w:eastAsia="Times New Roman" w:hAnsi="Times New Roman" w:cs="Times New Roman"/>
          <w:bCs/>
          <w:iCs/>
          <w:lang w:eastAsia="en-US"/>
        </w:rPr>
        <w:t xml:space="preserve">that was employed, </w:t>
      </w:r>
      <w:r w:rsidRPr="00E869A4">
        <w:rPr>
          <w:rFonts w:ascii="Times New Roman" w:eastAsia="Times New Roman" w:hAnsi="Times New Roman" w:cs="Times New Roman"/>
          <w:bCs/>
          <w:iCs/>
          <w:lang w:eastAsia="en-US"/>
        </w:rPr>
        <w:t xml:space="preserve">and relatively small sample size that was used. </w:t>
      </w:r>
      <w:r w:rsidR="004F33B6" w:rsidRPr="00E869A4">
        <w:rPr>
          <w:rFonts w:ascii="Times New Roman" w:eastAsia="Times New Roman" w:hAnsi="Times New Roman" w:cs="Times New Roman"/>
          <w:bCs/>
          <w:iCs/>
          <w:lang w:eastAsia="en-US"/>
        </w:rPr>
        <w:t xml:space="preserve">Future studies should include those that </w:t>
      </w:r>
      <w:r w:rsidR="00CD6252">
        <w:rPr>
          <w:rFonts w:ascii="Times New Roman" w:eastAsia="Times New Roman" w:hAnsi="Times New Roman" w:cs="Times New Roman"/>
          <w:bCs/>
          <w:iCs/>
          <w:lang w:eastAsia="en-US"/>
        </w:rPr>
        <w:t>utilise</w:t>
      </w:r>
      <w:r w:rsidR="004F33B6" w:rsidRPr="00E869A4">
        <w:rPr>
          <w:rFonts w:ascii="Times New Roman" w:eastAsia="Times New Roman" w:hAnsi="Times New Roman" w:cs="Times New Roman"/>
          <w:bCs/>
          <w:iCs/>
          <w:lang w:eastAsia="en-US"/>
        </w:rPr>
        <w:t xml:space="preserve"> probabilistic sampling </w:t>
      </w:r>
      <w:r w:rsidR="00CD6252">
        <w:rPr>
          <w:rFonts w:ascii="Times New Roman" w:eastAsia="Times New Roman" w:hAnsi="Times New Roman" w:cs="Times New Roman"/>
          <w:bCs/>
          <w:iCs/>
          <w:lang w:eastAsia="en-US"/>
        </w:rPr>
        <w:t>techniques</w:t>
      </w:r>
      <w:r w:rsidR="004F33B6" w:rsidRPr="00E869A4">
        <w:rPr>
          <w:rFonts w:ascii="Times New Roman" w:eastAsia="Times New Roman" w:hAnsi="Times New Roman" w:cs="Times New Roman"/>
          <w:bCs/>
          <w:iCs/>
          <w:lang w:eastAsia="en-US"/>
        </w:rPr>
        <w:t>, and larger sample sizes that will allow for greater representativeness of the findings. Also, as noted above, this is a cross-sectional study and provides only a snapshot of the experiences of older persons and carers at a particular point in time. Given the variation in the experience of caring over the life course (</w:t>
      </w:r>
      <w:r w:rsidR="004F33B6" w:rsidRPr="00E869A4">
        <w:rPr>
          <w:rFonts w:ascii="Times New Roman" w:eastAsia="Times New Roman" w:hAnsi="Times New Roman" w:cs="Times New Roman"/>
        </w:rPr>
        <w:t>Ziettlow 2019)</w:t>
      </w:r>
      <w:r w:rsidR="004F33B6" w:rsidRPr="00E869A4">
        <w:rPr>
          <w:rFonts w:ascii="Times New Roman" w:eastAsia="Times New Roman" w:hAnsi="Times New Roman" w:cs="Times New Roman"/>
          <w:bCs/>
          <w:iCs/>
          <w:lang w:eastAsia="en-US"/>
        </w:rPr>
        <w:t xml:space="preserve">, longitudinal studies should be conducted to obtain insights on a variety of issues such as the impact on willingness to give and receive care over time and the efficacy of social service interventions. </w:t>
      </w:r>
    </w:p>
    <w:p w14:paraId="44BE9380" w14:textId="77777777" w:rsidR="004F33B6" w:rsidRPr="00E869A4" w:rsidRDefault="004F33B6" w:rsidP="004F33B6">
      <w:pPr>
        <w:ind w:firstLine="720"/>
        <w:rPr>
          <w:rFonts w:ascii="Times New Roman" w:hAnsi="Times New Roman" w:cs="Times New Roman"/>
        </w:rPr>
      </w:pPr>
    </w:p>
    <w:p w14:paraId="5E2D7A0D" w14:textId="34D854A8" w:rsidR="004F33B6" w:rsidRPr="00E869A4" w:rsidRDefault="004F33B6" w:rsidP="004F33B6">
      <w:r w:rsidRPr="00E869A4">
        <w:rPr>
          <w:rFonts w:ascii="Times New Roman" w:eastAsia="Times New Roman" w:hAnsi="Times New Roman" w:cs="Times New Roman"/>
          <w:bCs/>
          <w:iCs/>
          <w:lang w:eastAsia="en-US"/>
        </w:rPr>
        <w:t>At the nat</w:t>
      </w:r>
      <w:r w:rsidR="00057183" w:rsidRPr="00E869A4">
        <w:rPr>
          <w:rFonts w:ascii="Times New Roman" w:eastAsia="Times New Roman" w:hAnsi="Times New Roman" w:cs="Times New Roman"/>
          <w:bCs/>
          <w:iCs/>
          <w:lang w:eastAsia="en-US"/>
        </w:rPr>
        <w:t>ional level, studies should be undertaken</w:t>
      </w:r>
      <w:r w:rsidRPr="00E869A4">
        <w:rPr>
          <w:rFonts w:ascii="Times New Roman" w:eastAsia="Times New Roman" w:hAnsi="Times New Roman" w:cs="Times New Roman"/>
          <w:bCs/>
          <w:iCs/>
          <w:lang w:eastAsia="en-US"/>
        </w:rPr>
        <w:t xml:space="preserve"> to ascertain the</w:t>
      </w:r>
      <w:r w:rsidRPr="00E869A4">
        <w:t xml:space="preserve"> number of informal carers on both islands and their socio-economic characteristics. Focused studies on elder abuse and other crimes against older persons in the nation are needed, as well as investigations into the exploitation of paid care workers and family caregivers. A more in-depth study should be done on the role of friends and goddaughters as caregivers of older people, and the impact of migration on family elder care arrangements and practices. Research should also be done to identify the coping strategies and needs of frail single older persons that were never married (nor in a committed relationship), and </w:t>
      </w:r>
      <w:r w:rsidR="00057183" w:rsidRPr="00E869A4">
        <w:t>‘</w:t>
      </w:r>
      <w:r w:rsidR="0056220A" w:rsidRPr="00E869A4">
        <w:t>elder orphans’</w:t>
      </w:r>
      <w:r w:rsidRPr="00E869A4">
        <w:t xml:space="preserve"> that are without any family support. Field observations revealed that there are some naturally occurring retirement communities where the adult children of residents no longer reside. These areas need to be identified and mapped so that appropriate interventions can be developed to support the persons residing in those </w:t>
      </w:r>
      <w:r w:rsidR="001F3962">
        <w:t>locations</w:t>
      </w:r>
      <w:r w:rsidRPr="00E869A4">
        <w:t xml:space="preserve">. </w:t>
      </w:r>
    </w:p>
    <w:p w14:paraId="3303E491" w14:textId="77777777" w:rsidR="00EA3646" w:rsidRPr="00E869A4" w:rsidRDefault="00EA3646" w:rsidP="004F33B6"/>
    <w:p w14:paraId="37644ED1" w14:textId="63936571" w:rsidR="00EA3646" w:rsidRPr="00E869A4" w:rsidRDefault="00EA3646" w:rsidP="004F33B6">
      <w:r w:rsidRPr="00E869A4">
        <w:t>A variety of methods should be employed to obtain insights from the various stakeh</w:t>
      </w:r>
      <w:r w:rsidR="007B4533" w:rsidRPr="00E869A4">
        <w:t>olders involved in family care. As was noted in the methodology chapter of this thesis</w:t>
      </w:r>
      <w:r w:rsidR="00C11B14" w:rsidRPr="00E869A4">
        <w:t xml:space="preserve"> (Chapter 5)</w:t>
      </w:r>
      <w:r w:rsidR="007B4533" w:rsidRPr="00E869A4">
        <w:t xml:space="preserve">, each method had </w:t>
      </w:r>
      <w:r w:rsidR="007B4533" w:rsidRPr="00E869A4">
        <w:lastRenderedPageBreak/>
        <w:t xml:space="preserve">varying degrees of success with capturing the participation and views of different people groups. Older persons seemed to prefer a qualitative, narrative approach with a strong biographical element: in-depth interviews appeared to be more suitable for this group. The focus group method was especially useful with family caregivers who provided intensive care as it allowed them to debrief and identify with </w:t>
      </w:r>
      <w:r w:rsidR="00A76EE8">
        <w:t xml:space="preserve">and encourage </w:t>
      </w:r>
      <w:r w:rsidR="007B4533" w:rsidRPr="00E869A4">
        <w:t xml:space="preserve">their peers. </w:t>
      </w:r>
      <w:r w:rsidR="00703383" w:rsidRPr="00E869A4">
        <w:t xml:space="preserve">The ‘friendship as method’ approach </w:t>
      </w:r>
      <w:r w:rsidR="00876417" w:rsidRPr="00E869A4">
        <w:t>(</w:t>
      </w:r>
      <w:r w:rsidR="00876417" w:rsidRPr="00E869A4">
        <w:rPr>
          <w:sz w:val="23"/>
          <w:szCs w:val="23"/>
        </w:rPr>
        <w:t xml:space="preserve">Tillman-Healy 2006) </w:t>
      </w:r>
      <w:r w:rsidR="00703383" w:rsidRPr="00E869A4">
        <w:t>should be considered for future studies of older persons and family carers</w:t>
      </w:r>
      <w:r w:rsidR="00876417" w:rsidRPr="00E869A4">
        <w:t xml:space="preserve"> (see p. 157)</w:t>
      </w:r>
      <w:r w:rsidR="00703383" w:rsidRPr="00E869A4">
        <w:t xml:space="preserve">. </w:t>
      </w:r>
      <w:r w:rsidR="007B4533" w:rsidRPr="00E869A4">
        <w:t>Public officials were more willing to disclose information in one-one interviews rather than in focus group settings as the interview method allowed for greater anonymity and candidness.</w:t>
      </w:r>
      <w:r w:rsidR="00703383" w:rsidRPr="00E869A4">
        <w:t xml:space="preserve"> It may be that the use of an online </w:t>
      </w:r>
      <w:r w:rsidR="00A76EE8">
        <w:t xml:space="preserve">or other </w:t>
      </w:r>
      <w:r w:rsidR="00703383" w:rsidRPr="00E869A4">
        <w:t>survey may also be more effective with this target group.</w:t>
      </w:r>
    </w:p>
    <w:p w14:paraId="70D925E4" w14:textId="77777777" w:rsidR="00E90289" w:rsidRPr="00E869A4" w:rsidRDefault="00E90289" w:rsidP="004F33B6"/>
    <w:p w14:paraId="558F8DF2" w14:textId="2690D496" w:rsidR="00E90289" w:rsidRPr="00E869A4" w:rsidRDefault="00232BBC" w:rsidP="00232BBC">
      <w:pPr>
        <w:pStyle w:val="Heading3"/>
      </w:pPr>
      <w:bookmarkStart w:id="449" w:name="_Toc40436596"/>
      <w:r w:rsidRPr="00E869A4">
        <w:t>1</w:t>
      </w:r>
      <w:r w:rsidR="0048754D" w:rsidRPr="00E869A4">
        <w:t>0</w:t>
      </w:r>
      <w:r w:rsidRPr="00E869A4">
        <w:t xml:space="preserve">.3.4     </w:t>
      </w:r>
      <w:r w:rsidR="00E90289" w:rsidRPr="00E869A4">
        <w:t>Concluding Remarks</w:t>
      </w:r>
      <w:bookmarkEnd w:id="449"/>
    </w:p>
    <w:p w14:paraId="11B03BC9" w14:textId="77777777" w:rsidR="004F33B6" w:rsidRPr="00E869A4" w:rsidRDefault="004F33B6" w:rsidP="004F33B6">
      <w:pPr>
        <w:ind w:firstLine="720"/>
        <w:rPr>
          <w:rFonts w:ascii="Times New Roman" w:hAnsi="Times New Roman" w:cs="Times New Roman"/>
        </w:rPr>
      </w:pPr>
    </w:p>
    <w:p w14:paraId="30F2598C" w14:textId="41E94601" w:rsidR="004F33B6" w:rsidRPr="00E869A4" w:rsidRDefault="004F33B6" w:rsidP="004F33B6">
      <w:pPr>
        <w:rPr>
          <w:rFonts w:ascii="Times New Roman" w:eastAsia="Calibri" w:hAnsi="Times New Roman" w:cs="Times New Roman"/>
          <w:b/>
          <w:u w:val="single"/>
        </w:rPr>
      </w:pPr>
      <w:r w:rsidRPr="00E869A4">
        <w:t xml:space="preserve">In light of the rapid ageing of T&amp;T’s population, every effort must be made to strengthen care support systems for older people. As a nation, T&amp;T has made positive strides towards recognising and supporting the rights of older persons to a life of dignity. </w:t>
      </w:r>
      <w:r w:rsidR="00057183" w:rsidRPr="00E869A4">
        <w:t>However,</w:t>
      </w:r>
      <w:r w:rsidRPr="00E869A4">
        <w:t xml:space="preserve"> more needs to be done. Part of improving the wellbeing and quality of life of older persons is ensuring that those who care for them are empowered to do so. A central argument of this thesis is that we must cherish those who care. </w:t>
      </w:r>
      <w:r w:rsidR="00057183" w:rsidRPr="00E869A4">
        <w:t>Long-term</w:t>
      </w:r>
      <w:r w:rsidRPr="00E869A4">
        <w:t xml:space="preserve"> care for older persons requires a collective effort. It should not just be the concern of individuals and their families but is a national issue that has implications for individual rights, gender equity, worker productivity and (some may argue) the collective conscience of the nation. All levels of society must be mobilised to support older persons and their caregivers so that the human rights of elders to dignity and respect in later life can be realised. If we live long enough, we will all need a helping hand at some time. Nurturing a caring society that supports older persons and their care</w:t>
      </w:r>
      <w:r w:rsidR="00A45201">
        <w:t>give</w:t>
      </w:r>
      <w:r w:rsidRPr="00E869A4">
        <w:t>rs is an investment in all our futures.</w:t>
      </w:r>
    </w:p>
    <w:p w14:paraId="15F87E28" w14:textId="77777777" w:rsidR="00A954BA" w:rsidRPr="00E869A4" w:rsidRDefault="00A954BA" w:rsidP="005C18A7">
      <w:pPr>
        <w:jc w:val="center"/>
      </w:pPr>
    </w:p>
    <w:p w14:paraId="790C923B" w14:textId="77777777" w:rsidR="00A954BA" w:rsidRPr="00E869A4" w:rsidRDefault="00A954BA" w:rsidP="006A143E">
      <w:pPr>
        <w:ind w:left="567" w:firstLine="0"/>
        <w:rPr>
          <w:rFonts w:eastAsiaTheme="majorEastAsia"/>
        </w:rPr>
      </w:pPr>
      <w:bookmarkStart w:id="450" w:name="_Toc492959496"/>
      <w:r w:rsidRPr="00E869A4">
        <w:br w:type="page"/>
      </w:r>
    </w:p>
    <w:p w14:paraId="7252C922" w14:textId="5CDAAB5A" w:rsidR="00E53916" w:rsidRPr="00E869A4" w:rsidRDefault="00E53916" w:rsidP="005C18A7">
      <w:pPr>
        <w:pStyle w:val="Heading2"/>
        <w:jc w:val="center"/>
        <w:rPr>
          <w:sz w:val="32"/>
        </w:rPr>
      </w:pPr>
      <w:bookmarkStart w:id="451" w:name="_Toc40436597"/>
      <w:r w:rsidRPr="00E869A4">
        <w:rPr>
          <w:sz w:val="32"/>
        </w:rPr>
        <w:lastRenderedPageBreak/>
        <w:t>APPENDI</w:t>
      </w:r>
      <w:bookmarkEnd w:id="450"/>
      <w:r w:rsidR="00D96BD7" w:rsidRPr="00E869A4">
        <w:rPr>
          <w:sz w:val="32"/>
        </w:rPr>
        <w:t>CES</w:t>
      </w:r>
      <w:bookmarkEnd w:id="451"/>
    </w:p>
    <w:p w14:paraId="03661F1F" w14:textId="77777777" w:rsidR="00D96BD7" w:rsidRPr="00E869A4" w:rsidRDefault="00D96BD7" w:rsidP="00D96BD7">
      <w:pPr>
        <w:jc w:val="center"/>
        <w:rPr>
          <w:b/>
        </w:rPr>
      </w:pPr>
    </w:p>
    <w:p w14:paraId="38F4696D" w14:textId="38469E4B" w:rsidR="006B4B67" w:rsidRPr="00E869A4" w:rsidRDefault="005712EE" w:rsidP="00D96BD7">
      <w:pPr>
        <w:jc w:val="center"/>
        <w:rPr>
          <w:b/>
          <w:sz w:val="28"/>
          <w:lang w:val="fr-FR"/>
        </w:rPr>
      </w:pPr>
      <w:bookmarkStart w:id="452" w:name="_Toc40436621"/>
      <w:r w:rsidRPr="00E869A4">
        <w:rPr>
          <w:b/>
          <w:sz w:val="28"/>
          <w:lang w:val="fr-FR"/>
        </w:rPr>
        <w:t xml:space="preserve">Appendix </w:t>
      </w:r>
      <w:r w:rsidRPr="00E869A4">
        <w:rPr>
          <w:b/>
          <w:sz w:val="28"/>
        </w:rPr>
        <w:fldChar w:fldCharType="begin"/>
      </w:r>
      <w:r w:rsidRPr="00E869A4">
        <w:rPr>
          <w:b/>
          <w:sz w:val="28"/>
          <w:lang w:val="fr-FR"/>
        </w:rPr>
        <w:instrText xml:space="preserve"> SEQ Appendix \* ARABIC </w:instrText>
      </w:r>
      <w:r w:rsidRPr="00E869A4">
        <w:rPr>
          <w:b/>
          <w:sz w:val="28"/>
        </w:rPr>
        <w:fldChar w:fldCharType="separate"/>
      </w:r>
      <w:r w:rsidR="00D7239F">
        <w:rPr>
          <w:b/>
          <w:noProof/>
          <w:sz w:val="28"/>
          <w:lang w:val="fr-FR"/>
        </w:rPr>
        <w:t>1</w:t>
      </w:r>
      <w:r w:rsidRPr="00E869A4">
        <w:rPr>
          <w:b/>
          <w:sz w:val="28"/>
        </w:rPr>
        <w:fldChar w:fldCharType="end"/>
      </w:r>
      <w:r w:rsidRPr="00E869A4">
        <w:rPr>
          <w:b/>
          <w:sz w:val="28"/>
          <w:lang w:val="fr-FR"/>
        </w:rPr>
        <w:t>: T&amp;Ts Social Assistance Programmes &amp; Social Care Services</w:t>
      </w:r>
      <w:bookmarkEnd w:id="452"/>
    </w:p>
    <w:p w14:paraId="137D49F3" w14:textId="77777777" w:rsidR="00C77005" w:rsidRPr="00E869A4" w:rsidRDefault="00C77005" w:rsidP="00B61191">
      <w:pPr>
        <w:ind w:left="567" w:firstLine="0"/>
        <w:rPr>
          <w:lang w:val="fr-FR"/>
        </w:rPr>
      </w:pPr>
    </w:p>
    <w:p w14:paraId="488AB077" w14:textId="390515AB" w:rsidR="006B4B67" w:rsidRPr="00E869A4" w:rsidRDefault="005F6294" w:rsidP="00652ECF">
      <w:pPr>
        <w:ind w:firstLine="0"/>
        <w:rPr>
          <w:b/>
          <w:u w:val="single"/>
        </w:rPr>
      </w:pPr>
      <w:r w:rsidRPr="00E869A4">
        <w:rPr>
          <w:b/>
          <w:bCs/>
          <w:u w:val="single"/>
        </w:rPr>
        <w:t>A</w:t>
      </w:r>
      <w:r w:rsidR="005712EE" w:rsidRPr="00E869A4">
        <w:rPr>
          <w:b/>
          <w:bCs/>
          <w:u w:val="single"/>
        </w:rPr>
        <w:t>.</w:t>
      </w:r>
      <w:r w:rsidR="006B4B67" w:rsidRPr="00E869A4">
        <w:rPr>
          <w:b/>
          <w:u w:val="single"/>
        </w:rPr>
        <w:t xml:space="preserve"> </w:t>
      </w:r>
      <w:r w:rsidRPr="00E869A4">
        <w:rPr>
          <w:b/>
          <w:u w:val="single"/>
        </w:rPr>
        <w:t>SOCIAL ASSISTANCE PROGRAMMES</w:t>
      </w:r>
    </w:p>
    <w:p w14:paraId="116CDB53" w14:textId="77777777" w:rsidR="009902B0" w:rsidRPr="00E869A4" w:rsidRDefault="009902B0" w:rsidP="00A35FF8">
      <w:pPr>
        <w:autoSpaceDE w:val="0"/>
        <w:autoSpaceDN w:val="0"/>
        <w:adjustRightInd w:val="0"/>
        <w:rPr>
          <w:rFonts w:ascii="Times New Roman" w:hAnsi="Times New Roman" w:cs="Times New Roman"/>
          <w:szCs w:val="20"/>
        </w:rPr>
      </w:pPr>
    </w:p>
    <w:p w14:paraId="0BA0A01F" w14:textId="77777777" w:rsidR="006B4B67" w:rsidRPr="00E869A4" w:rsidRDefault="006B4B67" w:rsidP="00A35FF8">
      <w:pPr>
        <w:autoSpaceDE w:val="0"/>
        <w:autoSpaceDN w:val="0"/>
        <w:adjustRightInd w:val="0"/>
        <w:rPr>
          <w:rFonts w:ascii="Times New Roman" w:hAnsi="Times New Roman" w:cs="Times New Roman"/>
          <w:szCs w:val="20"/>
        </w:rPr>
      </w:pPr>
      <w:r w:rsidRPr="00E869A4">
        <w:rPr>
          <w:rFonts w:ascii="Times New Roman" w:hAnsi="Times New Roman" w:cs="Times New Roman"/>
          <w:szCs w:val="20"/>
        </w:rPr>
        <w:t>The social welfare benefits provided by the Social Welfare Department of the MSDFS</w:t>
      </w:r>
      <w:r w:rsidR="00D41C8E" w:rsidRPr="00E869A4">
        <w:rPr>
          <w:rFonts w:ascii="Times New Roman" w:hAnsi="Times New Roman" w:cs="Times New Roman"/>
          <w:szCs w:val="20"/>
        </w:rPr>
        <w:fldChar w:fldCharType="begin"/>
      </w:r>
      <w:r w:rsidRPr="00E869A4">
        <w:rPr>
          <w:rFonts w:ascii="Times New Roman" w:hAnsi="Times New Roman" w:cs="Times New Roman"/>
        </w:rPr>
        <w:instrText xml:space="preserve"> XE "MSDFS" </w:instrText>
      </w:r>
      <w:r w:rsidR="00D41C8E" w:rsidRPr="00E869A4">
        <w:rPr>
          <w:rFonts w:ascii="Times New Roman" w:hAnsi="Times New Roman" w:cs="Times New Roman"/>
          <w:szCs w:val="20"/>
        </w:rPr>
        <w:fldChar w:fldCharType="end"/>
      </w:r>
      <w:r w:rsidRPr="00E869A4">
        <w:rPr>
          <w:rFonts w:ascii="Times New Roman" w:hAnsi="Times New Roman" w:cs="Times New Roman"/>
          <w:szCs w:val="20"/>
        </w:rPr>
        <w:t xml:space="preserve"> that can be accessed by older persons with limited financial means include the:   </w:t>
      </w:r>
    </w:p>
    <w:p w14:paraId="2C2B8567" w14:textId="77777777" w:rsidR="006B4B67" w:rsidRPr="00E869A4" w:rsidRDefault="006B4B67" w:rsidP="00A35FF8">
      <w:pPr>
        <w:autoSpaceDE w:val="0"/>
        <w:autoSpaceDN w:val="0"/>
        <w:adjustRightInd w:val="0"/>
        <w:rPr>
          <w:rFonts w:ascii="Times New Roman" w:hAnsi="Times New Roman" w:cs="Times New Roman"/>
          <w:szCs w:val="20"/>
        </w:rPr>
      </w:pPr>
    </w:p>
    <w:p w14:paraId="1CA9867A" w14:textId="048CBFBE" w:rsidR="006B4B67" w:rsidRPr="00E869A4" w:rsidRDefault="006B4B67" w:rsidP="009D4C5D">
      <w:pPr>
        <w:pStyle w:val="ListParagraph"/>
        <w:numPr>
          <w:ilvl w:val="0"/>
          <w:numId w:val="1"/>
        </w:numPr>
        <w:autoSpaceDE w:val="0"/>
        <w:autoSpaceDN w:val="0"/>
        <w:adjustRightInd w:val="0"/>
        <w:ind w:left="714" w:hanging="357"/>
        <w:contextualSpacing w:val="0"/>
        <w:rPr>
          <w:rFonts w:ascii="Times New Roman" w:hAnsi="Times New Roman" w:cs="Times New Roman"/>
          <w:szCs w:val="20"/>
        </w:rPr>
      </w:pPr>
      <w:r w:rsidRPr="00E869A4">
        <w:rPr>
          <w:rFonts w:ascii="Times New Roman" w:hAnsi="Times New Roman" w:cs="Times New Roman"/>
          <w:i/>
          <w:iCs/>
          <w:szCs w:val="20"/>
        </w:rPr>
        <w:t>Dietary Assistance Grant</w:t>
      </w:r>
      <w:r w:rsidRPr="00E869A4">
        <w:rPr>
          <w:rFonts w:ascii="Times New Roman" w:hAnsi="Times New Roman" w:cs="Times New Roman"/>
          <w:szCs w:val="20"/>
        </w:rPr>
        <w:t xml:space="preserve"> - This grant of $600 </w:t>
      </w:r>
      <w:r w:rsidR="009902B0" w:rsidRPr="00E869A4">
        <w:rPr>
          <w:rFonts w:ascii="Times New Roman" w:hAnsi="Times New Roman" w:cs="Times New Roman"/>
          <w:szCs w:val="20"/>
        </w:rPr>
        <w:t xml:space="preserve">TTD </w:t>
      </w:r>
      <w:r w:rsidRPr="00E869A4">
        <w:rPr>
          <w:rFonts w:ascii="Times New Roman" w:hAnsi="Times New Roman" w:cs="Times New Roman"/>
          <w:szCs w:val="20"/>
        </w:rPr>
        <w:t>per month assists clients who suffer illnesses that require special diets, for example, renal patients and clients with uncontrolled diabetes.</w:t>
      </w:r>
    </w:p>
    <w:p w14:paraId="2E98C9CB" w14:textId="1D2C9CF3" w:rsidR="006B4B67" w:rsidRPr="00E869A4" w:rsidRDefault="006B4B67" w:rsidP="009D4C5D">
      <w:pPr>
        <w:pStyle w:val="ListParagraph"/>
        <w:numPr>
          <w:ilvl w:val="0"/>
          <w:numId w:val="1"/>
        </w:numPr>
        <w:autoSpaceDE w:val="0"/>
        <w:autoSpaceDN w:val="0"/>
        <w:adjustRightInd w:val="0"/>
        <w:contextualSpacing w:val="0"/>
        <w:rPr>
          <w:rFonts w:ascii="Times New Roman" w:hAnsi="Times New Roman" w:cs="Times New Roman"/>
          <w:szCs w:val="20"/>
        </w:rPr>
      </w:pPr>
      <w:r w:rsidRPr="00E869A4">
        <w:rPr>
          <w:rFonts w:ascii="Times New Roman" w:hAnsi="Times New Roman" w:cs="Times New Roman"/>
          <w:i/>
          <w:szCs w:val="20"/>
        </w:rPr>
        <w:t xml:space="preserve">Disability Assistance Grant - </w:t>
      </w:r>
      <w:r w:rsidRPr="00E869A4">
        <w:rPr>
          <w:rFonts w:ascii="Times New Roman" w:hAnsi="Times New Roman" w:cs="Times New Roman"/>
          <w:szCs w:val="20"/>
        </w:rPr>
        <w:t xml:space="preserve">This grant of </w:t>
      </w:r>
      <w:r w:rsidR="009902B0" w:rsidRPr="00E869A4">
        <w:rPr>
          <w:rFonts w:ascii="Times New Roman" w:hAnsi="Times New Roman" w:cs="Times New Roman"/>
          <w:szCs w:val="20"/>
        </w:rPr>
        <w:t>$</w:t>
      </w:r>
      <w:r w:rsidRPr="00E869A4">
        <w:rPr>
          <w:rFonts w:ascii="Times New Roman" w:hAnsi="Times New Roman" w:cs="Times New Roman"/>
          <w:szCs w:val="20"/>
        </w:rPr>
        <w:t xml:space="preserve">1,800.00 </w:t>
      </w:r>
      <w:r w:rsidR="009902B0" w:rsidRPr="00E869A4">
        <w:rPr>
          <w:rFonts w:ascii="Times New Roman" w:hAnsi="Times New Roman" w:cs="Times New Roman"/>
          <w:szCs w:val="20"/>
        </w:rPr>
        <w:t xml:space="preserve">TTD </w:t>
      </w:r>
      <w:r w:rsidRPr="00E869A4">
        <w:rPr>
          <w:rFonts w:ascii="Times New Roman" w:hAnsi="Times New Roman" w:cs="Times New Roman"/>
          <w:szCs w:val="20"/>
        </w:rPr>
        <w:t>is available to persons aged 18 to 64 years who have a disability and are unable to earn an income as a result. A person is entitled to receive Disability Assistance if in the opinion of the Local Board, he/she is so disabled that he/she is unable to earn a livelihood and has been certified by a Government Medical Officer as being so disabled. The disability must be permanent in nature.</w:t>
      </w:r>
    </w:p>
    <w:p w14:paraId="3682318F" w14:textId="1E384C54" w:rsidR="006B4B67" w:rsidRPr="00E869A4" w:rsidRDefault="006B4B67" w:rsidP="009D4C5D">
      <w:pPr>
        <w:pStyle w:val="ListParagraph"/>
        <w:numPr>
          <w:ilvl w:val="0"/>
          <w:numId w:val="1"/>
        </w:numPr>
        <w:autoSpaceDE w:val="0"/>
        <w:autoSpaceDN w:val="0"/>
        <w:adjustRightInd w:val="0"/>
        <w:ind w:left="714" w:hanging="357"/>
        <w:contextualSpacing w:val="0"/>
        <w:rPr>
          <w:rFonts w:ascii="Times New Roman" w:hAnsi="Times New Roman" w:cs="Times New Roman"/>
          <w:szCs w:val="20"/>
        </w:rPr>
      </w:pPr>
      <w:r w:rsidRPr="00E869A4">
        <w:rPr>
          <w:rFonts w:ascii="Times New Roman" w:hAnsi="Times New Roman" w:cs="Times New Roman"/>
          <w:i/>
          <w:iCs/>
          <w:szCs w:val="20"/>
        </w:rPr>
        <w:t>Domestic Help</w:t>
      </w:r>
      <w:r w:rsidRPr="00E869A4">
        <w:rPr>
          <w:rFonts w:ascii="Times New Roman" w:hAnsi="Times New Roman" w:cs="Times New Roman"/>
          <w:szCs w:val="20"/>
        </w:rPr>
        <w:t xml:space="preserve"> - This grant facilitates the provision of part-time domestic help for three months in the first instance but not more than six months if deemed necessary to clients who are unable to perform normal household chores, for example, while recuperating from surgery, and are unable to afford the cost of domestic assistance. The amount paid to a caregiver is $1,800</w:t>
      </w:r>
      <w:r w:rsidR="009902B0" w:rsidRPr="00E869A4">
        <w:rPr>
          <w:rFonts w:ascii="Times New Roman" w:hAnsi="Times New Roman" w:cs="Times New Roman"/>
          <w:szCs w:val="20"/>
        </w:rPr>
        <w:t xml:space="preserve"> TTD</w:t>
      </w:r>
      <w:r w:rsidRPr="00E869A4">
        <w:rPr>
          <w:rFonts w:ascii="Times New Roman" w:hAnsi="Times New Roman" w:cs="Times New Roman"/>
          <w:szCs w:val="20"/>
        </w:rPr>
        <w:t xml:space="preserve"> per month.</w:t>
      </w:r>
    </w:p>
    <w:p w14:paraId="3BB4195C" w14:textId="3DFC3FE3" w:rsidR="006B4B67" w:rsidRPr="00E869A4" w:rsidRDefault="006B4B67" w:rsidP="009D4C5D">
      <w:pPr>
        <w:pStyle w:val="ListParagraph"/>
        <w:numPr>
          <w:ilvl w:val="0"/>
          <w:numId w:val="1"/>
        </w:numPr>
        <w:autoSpaceDE w:val="0"/>
        <w:autoSpaceDN w:val="0"/>
        <w:adjustRightInd w:val="0"/>
        <w:ind w:left="714" w:hanging="357"/>
        <w:contextualSpacing w:val="0"/>
        <w:rPr>
          <w:rFonts w:ascii="Times New Roman" w:hAnsi="Times New Roman" w:cs="Times New Roman"/>
          <w:szCs w:val="20"/>
        </w:rPr>
      </w:pPr>
      <w:r w:rsidRPr="00E869A4">
        <w:rPr>
          <w:rFonts w:ascii="Times New Roman" w:hAnsi="Times New Roman" w:cs="Times New Roman"/>
          <w:i/>
          <w:iCs/>
          <w:szCs w:val="20"/>
        </w:rPr>
        <w:t>Housing Assistance</w:t>
      </w:r>
      <w:r w:rsidRPr="00E869A4">
        <w:rPr>
          <w:rFonts w:ascii="Times New Roman" w:hAnsi="Times New Roman" w:cs="Times New Roman"/>
          <w:szCs w:val="20"/>
        </w:rPr>
        <w:t xml:space="preserve"> - This grant provides assistance to clients to purchase building materials for construction or repair of their homes. A one-off gr</w:t>
      </w:r>
      <w:r w:rsidR="009902B0" w:rsidRPr="00E869A4">
        <w:rPr>
          <w:rFonts w:ascii="Times New Roman" w:hAnsi="Times New Roman" w:cs="Times New Roman"/>
          <w:szCs w:val="20"/>
        </w:rPr>
        <w:t xml:space="preserve">ant of </w:t>
      </w:r>
      <w:r w:rsidRPr="00E869A4">
        <w:rPr>
          <w:rFonts w:ascii="Times New Roman" w:hAnsi="Times New Roman" w:cs="Times New Roman"/>
          <w:szCs w:val="20"/>
        </w:rPr>
        <w:t xml:space="preserve">$15,000 </w:t>
      </w:r>
      <w:r w:rsidR="009902B0" w:rsidRPr="00E869A4">
        <w:rPr>
          <w:rFonts w:ascii="Times New Roman" w:hAnsi="Times New Roman" w:cs="Times New Roman"/>
          <w:szCs w:val="20"/>
        </w:rPr>
        <w:t xml:space="preserve">TTD </w:t>
      </w:r>
      <w:r w:rsidRPr="00E869A4">
        <w:rPr>
          <w:rFonts w:ascii="Times New Roman" w:hAnsi="Times New Roman" w:cs="Times New Roman"/>
          <w:szCs w:val="20"/>
        </w:rPr>
        <w:t>is given to persons to access materials from a reputable hardware vendor. In times of disaster the amo</w:t>
      </w:r>
      <w:r w:rsidR="009902B0" w:rsidRPr="00E869A4">
        <w:rPr>
          <w:rFonts w:ascii="Times New Roman" w:hAnsi="Times New Roman" w:cs="Times New Roman"/>
          <w:szCs w:val="20"/>
        </w:rPr>
        <w:t xml:space="preserve">unt given under this grant is </w:t>
      </w:r>
      <w:r w:rsidRPr="00E869A4">
        <w:rPr>
          <w:rFonts w:ascii="Times New Roman" w:hAnsi="Times New Roman" w:cs="Times New Roman"/>
          <w:szCs w:val="20"/>
        </w:rPr>
        <w:t>$20,000</w:t>
      </w:r>
      <w:r w:rsidR="009902B0" w:rsidRPr="00E869A4">
        <w:rPr>
          <w:rFonts w:ascii="Times New Roman" w:hAnsi="Times New Roman" w:cs="Times New Roman"/>
          <w:szCs w:val="20"/>
        </w:rPr>
        <w:t xml:space="preserve"> TTD</w:t>
      </w:r>
      <w:r w:rsidRPr="00E869A4">
        <w:rPr>
          <w:rFonts w:ascii="Times New Roman" w:hAnsi="Times New Roman" w:cs="Times New Roman"/>
          <w:szCs w:val="20"/>
        </w:rPr>
        <w:t>.</w:t>
      </w:r>
    </w:p>
    <w:p w14:paraId="073DB32B" w14:textId="2F944A2B" w:rsidR="006B4B67" w:rsidRPr="00E869A4" w:rsidRDefault="006B4B67" w:rsidP="009D4C5D">
      <w:pPr>
        <w:pStyle w:val="ListParagraph"/>
        <w:numPr>
          <w:ilvl w:val="0"/>
          <w:numId w:val="1"/>
        </w:numPr>
        <w:autoSpaceDE w:val="0"/>
        <w:autoSpaceDN w:val="0"/>
        <w:adjustRightInd w:val="0"/>
        <w:ind w:left="714" w:hanging="357"/>
        <w:contextualSpacing w:val="0"/>
        <w:rPr>
          <w:rFonts w:ascii="Times New Roman" w:hAnsi="Times New Roman" w:cs="Times New Roman"/>
          <w:szCs w:val="20"/>
        </w:rPr>
      </w:pPr>
      <w:r w:rsidRPr="00E869A4">
        <w:rPr>
          <w:rFonts w:ascii="Times New Roman" w:hAnsi="Times New Roman" w:cs="Times New Roman"/>
          <w:i/>
          <w:iCs/>
          <w:szCs w:val="20"/>
        </w:rPr>
        <w:t xml:space="preserve">Medical Equipment - </w:t>
      </w:r>
      <w:r w:rsidRPr="00E869A4">
        <w:rPr>
          <w:rFonts w:ascii="Times New Roman" w:hAnsi="Times New Roman" w:cs="Times New Roman"/>
          <w:szCs w:val="20"/>
        </w:rPr>
        <w:t>Under this grant needy persons can qualify for wheelchairs, prosthetics, commodes, special beds, spectacles, dentures etc. The amoun</w:t>
      </w:r>
      <w:r w:rsidR="009902B0" w:rsidRPr="00E869A4">
        <w:rPr>
          <w:rFonts w:ascii="Times New Roman" w:hAnsi="Times New Roman" w:cs="Times New Roman"/>
          <w:szCs w:val="20"/>
        </w:rPr>
        <w:t xml:space="preserve">t allowed under this grant is </w:t>
      </w:r>
      <w:r w:rsidRPr="00E869A4">
        <w:rPr>
          <w:rFonts w:ascii="Times New Roman" w:hAnsi="Times New Roman" w:cs="Times New Roman"/>
          <w:szCs w:val="20"/>
        </w:rPr>
        <w:t>$7,500</w:t>
      </w:r>
      <w:r w:rsidR="009902B0" w:rsidRPr="00E869A4">
        <w:rPr>
          <w:rFonts w:ascii="Times New Roman" w:hAnsi="Times New Roman" w:cs="Times New Roman"/>
          <w:szCs w:val="20"/>
        </w:rPr>
        <w:t xml:space="preserve"> TTD</w:t>
      </w:r>
      <w:r w:rsidRPr="00E869A4">
        <w:rPr>
          <w:rFonts w:ascii="Times New Roman" w:hAnsi="Times New Roman" w:cs="Times New Roman"/>
          <w:szCs w:val="20"/>
        </w:rPr>
        <w:t>. (some NGOs also provide this service e.g. the Living Waters Community)</w:t>
      </w:r>
      <w:r w:rsidRPr="00E869A4">
        <w:rPr>
          <w:rStyle w:val="FootnoteReference"/>
          <w:rFonts w:ascii="Times New Roman" w:hAnsi="Times New Roman" w:cs="Times New Roman"/>
          <w:szCs w:val="20"/>
        </w:rPr>
        <w:footnoteReference w:id="126"/>
      </w:r>
    </w:p>
    <w:p w14:paraId="650F3CCE" w14:textId="26A48AC8" w:rsidR="006B4B67" w:rsidRPr="00E869A4" w:rsidRDefault="006B4B67" w:rsidP="009D4C5D">
      <w:pPr>
        <w:pStyle w:val="ListParagraph"/>
        <w:numPr>
          <w:ilvl w:val="0"/>
          <w:numId w:val="1"/>
        </w:numPr>
        <w:autoSpaceDE w:val="0"/>
        <w:autoSpaceDN w:val="0"/>
        <w:adjustRightInd w:val="0"/>
        <w:contextualSpacing w:val="0"/>
        <w:rPr>
          <w:rFonts w:ascii="Times New Roman" w:hAnsi="Times New Roman" w:cs="Times New Roman"/>
          <w:szCs w:val="20"/>
        </w:rPr>
      </w:pPr>
      <w:r w:rsidRPr="00E869A4">
        <w:rPr>
          <w:rFonts w:ascii="Times New Roman" w:hAnsi="Times New Roman" w:cs="Times New Roman"/>
          <w:i/>
          <w:iCs/>
          <w:szCs w:val="20"/>
        </w:rPr>
        <w:lastRenderedPageBreak/>
        <w:t>Public Assistance Grant –</w:t>
      </w:r>
      <w:r w:rsidRPr="00E869A4">
        <w:rPr>
          <w:rFonts w:ascii="Times New Roman" w:hAnsi="Times New Roman" w:cs="Times New Roman"/>
          <w:szCs w:val="20"/>
        </w:rPr>
        <w:t xml:space="preserve"> this grant provides financial aid to persons who are unable to support themselves or to earn a living because of ill health. It amounts to about $850</w:t>
      </w:r>
      <w:r w:rsidR="009902B0" w:rsidRPr="00E869A4">
        <w:rPr>
          <w:rFonts w:ascii="Times New Roman" w:hAnsi="Times New Roman" w:cs="Times New Roman"/>
          <w:szCs w:val="20"/>
        </w:rPr>
        <w:t xml:space="preserve"> </w:t>
      </w:r>
      <w:r w:rsidRPr="00E869A4">
        <w:rPr>
          <w:rFonts w:ascii="Times New Roman" w:hAnsi="Times New Roman" w:cs="Times New Roman"/>
          <w:szCs w:val="20"/>
        </w:rPr>
        <w:t xml:space="preserve">TTD per month. </w:t>
      </w:r>
    </w:p>
    <w:p w14:paraId="6EE15A3B" w14:textId="77777777" w:rsidR="009902B0" w:rsidRPr="00E869A4" w:rsidRDefault="006B4B67" w:rsidP="009D4C5D">
      <w:pPr>
        <w:pStyle w:val="ListParagraph"/>
        <w:numPr>
          <w:ilvl w:val="0"/>
          <w:numId w:val="1"/>
        </w:numPr>
        <w:autoSpaceDE w:val="0"/>
        <w:autoSpaceDN w:val="0"/>
        <w:adjustRightInd w:val="0"/>
        <w:contextualSpacing w:val="0"/>
        <w:rPr>
          <w:rFonts w:ascii="Times New Roman" w:hAnsi="Times New Roman" w:cs="Times New Roman"/>
          <w:szCs w:val="20"/>
        </w:rPr>
      </w:pPr>
      <w:r w:rsidRPr="00E869A4">
        <w:rPr>
          <w:rFonts w:ascii="Times New Roman" w:hAnsi="Times New Roman" w:cs="Times New Roman"/>
          <w:i/>
          <w:iCs/>
          <w:szCs w:val="20"/>
        </w:rPr>
        <w:t xml:space="preserve">Targeted Conditional Cash Transfer Programme </w:t>
      </w:r>
      <w:r w:rsidRPr="00E869A4">
        <w:rPr>
          <w:rFonts w:ascii="Times New Roman" w:hAnsi="Times New Roman" w:cs="Times New Roman"/>
          <w:iCs/>
          <w:szCs w:val="20"/>
        </w:rPr>
        <w:t xml:space="preserve">(TCCP) </w:t>
      </w:r>
      <w:r w:rsidRPr="00E869A4">
        <w:rPr>
          <w:rFonts w:ascii="Times New Roman" w:hAnsi="Times New Roman" w:cs="Times New Roman"/>
          <w:i/>
          <w:iCs/>
          <w:szCs w:val="20"/>
        </w:rPr>
        <w:t>-</w:t>
      </w:r>
      <w:r w:rsidRPr="00E869A4">
        <w:rPr>
          <w:rFonts w:ascii="Times New Roman" w:hAnsi="Times New Roman" w:cs="Times New Roman"/>
          <w:szCs w:val="20"/>
        </w:rPr>
        <w:t xml:space="preserve"> The TCCTP is a short-term food assistance programme, aimed at providing social protection by promoting nutritional and food security for vulnerable households. </w:t>
      </w:r>
    </w:p>
    <w:p w14:paraId="149C8FEB" w14:textId="564F8E0E" w:rsidR="006B4B67" w:rsidRPr="00E869A4" w:rsidRDefault="009902B0" w:rsidP="009902B0">
      <w:pPr>
        <w:autoSpaceDE w:val="0"/>
        <w:autoSpaceDN w:val="0"/>
        <w:adjustRightInd w:val="0"/>
        <w:ind w:left="360" w:firstLine="0"/>
        <w:jc w:val="right"/>
        <w:rPr>
          <w:rFonts w:ascii="Times New Roman" w:hAnsi="Times New Roman" w:cs="Times New Roman"/>
          <w:szCs w:val="20"/>
          <w:lang w:val="fr-FR"/>
        </w:rPr>
      </w:pPr>
      <w:r w:rsidRPr="00E869A4">
        <w:rPr>
          <w:rFonts w:ascii="Times New Roman" w:hAnsi="Times New Roman" w:cs="Times New Roman"/>
          <w:szCs w:val="20"/>
          <w:lang w:val="fr-FR"/>
        </w:rPr>
        <w:t>(GORTT 2016c; Rofman et al. 2015)</w:t>
      </w:r>
    </w:p>
    <w:p w14:paraId="0E017D4F" w14:textId="77777777" w:rsidR="006B4B67" w:rsidRPr="00E869A4" w:rsidRDefault="006B4B67" w:rsidP="00A35FF8">
      <w:pPr>
        <w:autoSpaceDE w:val="0"/>
        <w:autoSpaceDN w:val="0"/>
        <w:adjustRightInd w:val="0"/>
        <w:rPr>
          <w:rFonts w:ascii="Times New Roman" w:hAnsi="Times New Roman" w:cs="Times New Roman"/>
          <w:szCs w:val="20"/>
          <w:lang w:val="fr-FR"/>
        </w:rPr>
      </w:pPr>
    </w:p>
    <w:p w14:paraId="6A30F964" w14:textId="2242F228" w:rsidR="006B4B67" w:rsidRPr="00E869A4" w:rsidRDefault="005F6294" w:rsidP="00652ECF">
      <w:pPr>
        <w:ind w:firstLine="0"/>
        <w:rPr>
          <w:b/>
          <w:u w:val="single"/>
        </w:rPr>
      </w:pPr>
      <w:r w:rsidRPr="00E869A4">
        <w:rPr>
          <w:b/>
          <w:u w:val="single"/>
        </w:rPr>
        <w:t>B. SOCIAL CARE SERVICES</w:t>
      </w:r>
    </w:p>
    <w:p w14:paraId="7EABC130" w14:textId="77777777" w:rsidR="005712EE" w:rsidRPr="00E869A4" w:rsidRDefault="005712EE" w:rsidP="005712EE"/>
    <w:p w14:paraId="73DC6C48" w14:textId="77777777" w:rsidR="006B4B67" w:rsidRPr="00E869A4" w:rsidRDefault="006B4B67" w:rsidP="00A35FF8">
      <w:pPr>
        <w:rPr>
          <w:rFonts w:ascii="Times New Roman" w:hAnsi="Times New Roman" w:cs="Times New Roman"/>
          <w:szCs w:val="20"/>
        </w:rPr>
      </w:pPr>
      <w:r w:rsidRPr="00E869A4">
        <w:rPr>
          <w:rFonts w:ascii="Times New Roman" w:hAnsi="Times New Roman" w:cs="Times New Roman"/>
          <w:szCs w:val="20"/>
        </w:rPr>
        <w:t xml:space="preserve">Social care services that focus on promoting the wellbeing of older persons include the following: </w:t>
      </w:r>
    </w:p>
    <w:p w14:paraId="6A330921" w14:textId="77777777" w:rsidR="006B4B67" w:rsidRPr="00E869A4" w:rsidRDefault="006B4B67" w:rsidP="009D4C5D">
      <w:pPr>
        <w:pStyle w:val="ListParagraph"/>
        <w:numPr>
          <w:ilvl w:val="0"/>
          <w:numId w:val="2"/>
        </w:numPr>
        <w:contextualSpacing w:val="0"/>
        <w:rPr>
          <w:rFonts w:ascii="Times New Roman" w:hAnsi="Times New Roman" w:cs="Times New Roman"/>
          <w:szCs w:val="20"/>
        </w:rPr>
      </w:pPr>
      <w:r w:rsidRPr="00E869A4">
        <w:rPr>
          <w:rFonts w:ascii="Times New Roman" w:hAnsi="Times New Roman" w:cs="Times New Roman"/>
          <w:i/>
          <w:szCs w:val="20"/>
        </w:rPr>
        <w:t>Free Public Transport</w:t>
      </w:r>
      <w:r w:rsidRPr="00E869A4">
        <w:rPr>
          <w:rFonts w:ascii="Times New Roman" w:hAnsi="Times New Roman" w:cs="Times New Roman"/>
          <w:szCs w:val="20"/>
        </w:rPr>
        <w:t xml:space="preserve"> – older persons can travel on public buses at no cost from the Public Service Transportation Service (PTSC</w:t>
      </w:r>
      <w:r w:rsidR="00D41C8E" w:rsidRPr="00E869A4">
        <w:rPr>
          <w:rFonts w:ascii="Times New Roman" w:hAnsi="Times New Roman" w:cs="Times New Roman"/>
          <w:szCs w:val="20"/>
        </w:rPr>
        <w:fldChar w:fldCharType="begin"/>
      </w:r>
      <w:r w:rsidRPr="00E869A4">
        <w:rPr>
          <w:rFonts w:ascii="Times New Roman" w:hAnsi="Times New Roman" w:cs="Times New Roman"/>
        </w:rPr>
        <w:instrText xml:space="preserve"> XE "PTSC" </w:instrText>
      </w:r>
      <w:r w:rsidR="00D41C8E" w:rsidRPr="00E869A4">
        <w:rPr>
          <w:rFonts w:ascii="Times New Roman" w:hAnsi="Times New Roman" w:cs="Times New Roman"/>
          <w:szCs w:val="20"/>
        </w:rPr>
        <w:fldChar w:fldCharType="end"/>
      </w:r>
      <w:r w:rsidRPr="00E869A4">
        <w:rPr>
          <w:rFonts w:ascii="Times New Roman" w:hAnsi="Times New Roman" w:cs="Times New Roman"/>
          <w:szCs w:val="20"/>
        </w:rPr>
        <w:t>). The only requirement is that they present their national ID. However, this service is fraught with challenges including a limited fleet. Users are also challenged by the unpredictability of this service on some routes;</w:t>
      </w:r>
    </w:p>
    <w:p w14:paraId="42F2244F" w14:textId="77777777" w:rsidR="006B4B67" w:rsidRPr="00E869A4" w:rsidRDefault="006B4B67" w:rsidP="009D4C5D">
      <w:pPr>
        <w:pStyle w:val="ListParagraph"/>
        <w:numPr>
          <w:ilvl w:val="0"/>
          <w:numId w:val="2"/>
        </w:numPr>
        <w:contextualSpacing w:val="0"/>
        <w:rPr>
          <w:rFonts w:ascii="Times New Roman" w:hAnsi="Times New Roman" w:cs="Times New Roman"/>
          <w:szCs w:val="20"/>
        </w:rPr>
      </w:pPr>
      <w:r w:rsidRPr="00E869A4">
        <w:rPr>
          <w:rFonts w:ascii="Times New Roman" w:hAnsi="Times New Roman" w:cs="Times New Roman"/>
          <w:i/>
          <w:szCs w:val="20"/>
        </w:rPr>
        <w:t>Inter-Island Ferry Service</w:t>
      </w:r>
      <w:r w:rsidRPr="00E869A4">
        <w:rPr>
          <w:rFonts w:ascii="Times New Roman" w:hAnsi="Times New Roman" w:cs="Times New Roman"/>
          <w:szCs w:val="20"/>
        </w:rPr>
        <w:t xml:space="preserve"> - older persons do not have to pay a fee to use the inter-island ferry service. Unfortunately, this service was disrupted in 2017 and all citizens irrespective of age were no longer able to use the service. To date, this situation has not been resolved;</w:t>
      </w:r>
    </w:p>
    <w:p w14:paraId="5E67C510" w14:textId="77777777" w:rsidR="006B4B67" w:rsidRPr="00E869A4" w:rsidRDefault="006B4B67" w:rsidP="009D4C5D">
      <w:pPr>
        <w:pStyle w:val="ListParagraph"/>
        <w:numPr>
          <w:ilvl w:val="0"/>
          <w:numId w:val="2"/>
        </w:numPr>
        <w:contextualSpacing w:val="0"/>
        <w:rPr>
          <w:rFonts w:ascii="Times New Roman" w:hAnsi="Times New Roman" w:cs="Times New Roman"/>
          <w:szCs w:val="20"/>
        </w:rPr>
      </w:pPr>
      <w:r w:rsidRPr="00E869A4">
        <w:rPr>
          <w:rFonts w:ascii="Times New Roman" w:hAnsi="Times New Roman" w:cs="Times New Roman"/>
          <w:i/>
          <w:szCs w:val="20"/>
        </w:rPr>
        <w:t xml:space="preserve">Older Persons Information Centre </w:t>
      </w:r>
      <w:r w:rsidRPr="00E869A4">
        <w:rPr>
          <w:rFonts w:ascii="Times New Roman" w:hAnsi="Times New Roman" w:cs="Times New Roman"/>
          <w:szCs w:val="20"/>
        </w:rPr>
        <w:t>(OPIC</w:t>
      </w:r>
      <w:r w:rsidR="00D41C8E" w:rsidRPr="00E869A4">
        <w:rPr>
          <w:rFonts w:ascii="Times New Roman" w:hAnsi="Times New Roman" w:cs="Times New Roman"/>
          <w:szCs w:val="20"/>
        </w:rPr>
        <w:fldChar w:fldCharType="begin"/>
      </w:r>
      <w:r w:rsidRPr="00E869A4">
        <w:rPr>
          <w:rFonts w:ascii="Times New Roman" w:hAnsi="Times New Roman" w:cs="Times New Roman"/>
        </w:rPr>
        <w:instrText xml:space="preserve"> XE "OPIC" </w:instrText>
      </w:r>
      <w:r w:rsidR="00D41C8E" w:rsidRPr="00E869A4">
        <w:rPr>
          <w:rFonts w:ascii="Times New Roman" w:hAnsi="Times New Roman" w:cs="Times New Roman"/>
          <w:szCs w:val="20"/>
        </w:rPr>
        <w:fldChar w:fldCharType="end"/>
      </w:r>
      <w:r w:rsidRPr="00E869A4">
        <w:rPr>
          <w:rFonts w:ascii="Times New Roman" w:hAnsi="Times New Roman" w:cs="Times New Roman"/>
          <w:szCs w:val="20"/>
        </w:rPr>
        <w:t>)</w:t>
      </w:r>
      <w:r w:rsidRPr="00E869A4">
        <w:rPr>
          <w:rFonts w:ascii="Times New Roman" w:hAnsi="Times New Roman" w:cs="Times New Roman"/>
          <w:i/>
          <w:szCs w:val="20"/>
        </w:rPr>
        <w:t xml:space="preserve">- </w:t>
      </w:r>
      <w:r w:rsidR="006F24F7" w:rsidRPr="00E869A4">
        <w:rPr>
          <w:rFonts w:ascii="Times New Roman" w:hAnsi="Times New Roman" w:cs="Times New Roman"/>
        </w:rPr>
        <w:t>T&amp;T</w:t>
      </w:r>
      <w:r w:rsidRPr="00E869A4">
        <w:rPr>
          <w:rFonts w:ascii="Times New Roman" w:hAnsi="Times New Roman" w:cs="Times New Roman"/>
        </w:rPr>
        <w:t xml:space="preserve"> is one of the few countries in the LAC with a helpdesk for older persons </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ADDIN EN.CITE &lt;EndNote&gt;&lt;Cite&gt;&lt;Author&gt;Huenchuan&lt;/Author&gt;&lt;Year&gt;2013&lt;/Year&gt;&lt;IDText&gt;Ageing, Solidarity and Social Protection in Latin America and the Caribbean: Time for progress towards equality&lt;/IDText&gt;&lt;DisplayText&gt;(Huenchuan, 2013)&lt;/DisplayText&gt;&lt;record&gt;&lt;urls&gt;&lt;related-urls&gt;&lt;url&gt;http://repositorio.cepal.org/bitstream/handle/11362/2620/1/S2012882_en.pdf&lt;/url&gt;&lt;/related-urls&gt;&lt;/urls&gt;&lt;titles&gt;&lt;title&gt;Ageing, Solidarity and Social Protection in Latin America and the Caribbean: Time for progress towards equality&lt;/title&gt;&lt;/titles&gt;&lt;contributors&gt;&lt;authors&gt;&lt;author&gt;Huenchuan, Sandra&lt;/author&gt;&lt;/authors&gt;&lt;/contributors&gt;&lt;added-date format="utc"&gt;1502495843&lt;/added-date&gt;&lt;ref-type name="Government Document"&gt;46&lt;/ref-type&gt;&lt;dates&gt;&lt;year&gt;2013&lt;/year&gt;&lt;/dates&gt;&lt;rec-number&gt;656&lt;/rec-number&gt;&lt;publisher&gt;United Nations&lt;/publisher&gt;&lt;last-updated-date format="utc"&gt;1504643030&lt;/last-updated-date&gt;&lt;contributors&gt;&lt;secondary-authors&gt;&lt;author&gt;ECLAC&lt;/author&gt;&lt;/secondary-authors&gt;&lt;/contributors&gt;&lt;/record&gt;&lt;/Cite&gt;&lt;/EndNote&gt;</w:instrText>
      </w:r>
      <w:r w:rsidR="00D41C8E" w:rsidRPr="00E869A4">
        <w:rPr>
          <w:rFonts w:ascii="Times New Roman" w:hAnsi="Times New Roman" w:cs="Times New Roman"/>
        </w:rPr>
        <w:fldChar w:fldCharType="separate"/>
      </w:r>
      <w:r w:rsidRPr="00E869A4">
        <w:rPr>
          <w:rFonts w:ascii="Times New Roman" w:hAnsi="Times New Roman" w:cs="Times New Roman"/>
          <w:noProof/>
        </w:rPr>
        <w:t>(Huenchuan, 2013)</w:t>
      </w:r>
      <w:r w:rsidR="00D41C8E" w:rsidRPr="00E869A4">
        <w:rPr>
          <w:rFonts w:ascii="Times New Roman" w:hAnsi="Times New Roman" w:cs="Times New Roman"/>
        </w:rPr>
        <w:fldChar w:fldCharType="end"/>
      </w:r>
      <w:r w:rsidRPr="00E869A4">
        <w:rPr>
          <w:rStyle w:val="FootnoteReference"/>
          <w:rFonts w:ascii="Times New Roman" w:hAnsi="Times New Roman" w:cs="Times New Roman"/>
        </w:rPr>
        <w:footnoteReference w:id="127"/>
      </w:r>
    </w:p>
    <w:p w14:paraId="4DFFD2E6" w14:textId="77777777" w:rsidR="006B4B67" w:rsidRPr="00E869A4" w:rsidRDefault="006B4B67" w:rsidP="009D4C5D">
      <w:pPr>
        <w:pStyle w:val="ListParagraph"/>
        <w:numPr>
          <w:ilvl w:val="0"/>
          <w:numId w:val="2"/>
        </w:numPr>
        <w:contextualSpacing w:val="0"/>
        <w:rPr>
          <w:rFonts w:ascii="Times New Roman" w:hAnsi="Times New Roman" w:cs="Times New Roman"/>
          <w:szCs w:val="20"/>
        </w:rPr>
      </w:pPr>
      <w:r w:rsidRPr="00E869A4">
        <w:rPr>
          <w:rFonts w:ascii="Times New Roman" w:hAnsi="Times New Roman" w:cs="Times New Roman"/>
          <w:i/>
          <w:szCs w:val="20"/>
        </w:rPr>
        <w:t>Retiree Adolescent Partnership Programme (RAPP</w:t>
      </w:r>
      <w:r w:rsidR="00D41C8E" w:rsidRPr="00E869A4">
        <w:rPr>
          <w:rFonts w:ascii="Times New Roman" w:hAnsi="Times New Roman" w:cs="Times New Roman"/>
          <w:i/>
          <w:szCs w:val="20"/>
        </w:rPr>
        <w:fldChar w:fldCharType="begin"/>
      </w:r>
      <w:r w:rsidRPr="00E869A4">
        <w:rPr>
          <w:rFonts w:ascii="Times New Roman" w:hAnsi="Times New Roman" w:cs="Times New Roman"/>
        </w:rPr>
        <w:instrText xml:space="preserve"> XE "RAPP" </w:instrText>
      </w:r>
      <w:r w:rsidR="00D41C8E" w:rsidRPr="00E869A4">
        <w:rPr>
          <w:rFonts w:ascii="Times New Roman" w:hAnsi="Times New Roman" w:cs="Times New Roman"/>
          <w:i/>
          <w:szCs w:val="20"/>
        </w:rPr>
        <w:fldChar w:fldCharType="end"/>
      </w:r>
      <w:r w:rsidRPr="00E869A4">
        <w:rPr>
          <w:rFonts w:ascii="Times New Roman" w:hAnsi="Times New Roman" w:cs="Times New Roman"/>
          <w:i/>
          <w:szCs w:val="20"/>
        </w:rPr>
        <w:t>) -</w:t>
      </w:r>
      <w:r w:rsidRPr="00E869A4">
        <w:rPr>
          <w:rFonts w:ascii="Times New Roman" w:hAnsi="Times New Roman" w:cs="Times New Roman"/>
          <w:szCs w:val="20"/>
        </w:rPr>
        <w:t xml:space="preserve"> utilises the expertise of skilled retired persons to provide support services at the community level in the areas of academic assistance, sport, art, craft, music, academics, life skills, and general guidance to at-risk youth;</w:t>
      </w:r>
    </w:p>
    <w:p w14:paraId="6A4AA475" w14:textId="77777777" w:rsidR="006B4B67" w:rsidRPr="00E869A4" w:rsidRDefault="006B4B67" w:rsidP="009D4C5D">
      <w:pPr>
        <w:pStyle w:val="ListParagraph"/>
        <w:numPr>
          <w:ilvl w:val="0"/>
          <w:numId w:val="2"/>
        </w:numPr>
        <w:contextualSpacing w:val="0"/>
        <w:rPr>
          <w:rFonts w:ascii="Times New Roman" w:hAnsi="Times New Roman" w:cs="Times New Roman"/>
          <w:szCs w:val="20"/>
        </w:rPr>
      </w:pPr>
      <w:r w:rsidRPr="00E869A4">
        <w:rPr>
          <w:rFonts w:ascii="Times New Roman" w:hAnsi="Times New Roman" w:cs="Times New Roman"/>
          <w:i/>
          <w:szCs w:val="20"/>
        </w:rPr>
        <w:t xml:space="preserve">Senior Activity Centres </w:t>
      </w:r>
      <w:r w:rsidRPr="00E869A4">
        <w:rPr>
          <w:rFonts w:ascii="Times New Roman" w:hAnsi="Times New Roman" w:cs="Times New Roman"/>
          <w:szCs w:val="20"/>
        </w:rPr>
        <w:t>(SAC</w:t>
      </w:r>
      <w:r w:rsidR="00D41C8E" w:rsidRPr="00E869A4">
        <w:rPr>
          <w:rFonts w:ascii="Times New Roman" w:hAnsi="Times New Roman" w:cs="Times New Roman"/>
          <w:szCs w:val="20"/>
        </w:rPr>
        <w:fldChar w:fldCharType="begin"/>
      </w:r>
      <w:r w:rsidRPr="00E869A4">
        <w:rPr>
          <w:rFonts w:ascii="Times New Roman" w:hAnsi="Times New Roman" w:cs="Times New Roman"/>
        </w:rPr>
        <w:instrText xml:space="preserve"> XE "SAC" </w:instrText>
      </w:r>
      <w:r w:rsidR="00D41C8E" w:rsidRPr="00E869A4">
        <w:rPr>
          <w:rFonts w:ascii="Times New Roman" w:hAnsi="Times New Roman" w:cs="Times New Roman"/>
          <w:szCs w:val="20"/>
        </w:rPr>
        <w:fldChar w:fldCharType="end"/>
      </w:r>
      <w:r w:rsidRPr="00E869A4">
        <w:rPr>
          <w:rFonts w:ascii="Times New Roman" w:hAnsi="Times New Roman" w:cs="Times New Roman"/>
          <w:szCs w:val="20"/>
        </w:rPr>
        <w:t>)</w:t>
      </w:r>
      <w:r w:rsidRPr="00E869A4">
        <w:rPr>
          <w:rFonts w:ascii="Times New Roman" w:hAnsi="Times New Roman" w:cs="Times New Roman"/>
          <w:i/>
          <w:szCs w:val="20"/>
        </w:rPr>
        <w:t xml:space="preserve"> -</w:t>
      </w:r>
      <w:r w:rsidRPr="00E869A4">
        <w:rPr>
          <w:rFonts w:ascii="Times New Roman" w:hAnsi="Times New Roman" w:cs="Times New Roman"/>
        </w:rPr>
        <w:t xml:space="preserve">  the centres are multi-service facilities which seek to promote independence and address the socio-emotional and health needs of older persons aged 55 years and over, by creating opportunities for social interaction and healthy living. This programme is operated by Non-Governmental Organisations (NGOs) in partnership with the MSDFS. </w:t>
      </w:r>
    </w:p>
    <w:p w14:paraId="4C9413B7" w14:textId="77777777" w:rsidR="002630AB" w:rsidRPr="00E869A4" w:rsidRDefault="002630AB" w:rsidP="009D4C5D">
      <w:pPr>
        <w:pStyle w:val="ListParagraph"/>
        <w:numPr>
          <w:ilvl w:val="0"/>
          <w:numId w:val="2"/>
        </w:numPr>
        <w:contextualSpacing w:val="0"/>
        <w:rPr>
          <w:rFonts w:ascii="Times New Roman" w:hAnsi="Times New Roman" w:cs="Times New Roman"/>
          <w:szCs w:val="20"/>
        </w:rPr>
      </w:pPr>
      <w:r w:rsidRPr="00E869A4">
        <w:rPr>
          <w:rFonts w:ascii="Times New Roman" w:hAnsi="Times New Roman" w:cs="Times New Roman"/>
          <w:i/>
          <w:szCs w:val="20"/>
        </w:rPr>
        <w:t>The Village Outreach to integrate Senior Citizens through Edutainment and other Social Activities (VOISCES)</w:t>
      </w:r>
      <w:r w:rsidRPr="00E869A4">
        <w:rPr>
          <w:rFonts w:ascii="Times New Roman" w:hAnsi="Times New Roman" w:cs="Times New Roman"/>
          <w:szCs w:val="20"/>
        </w:rPr>
        <w:t xml:space="preserve"> - this programme </w:t>
      </w:r>
      <w:r w:rsidR="00495E67" w:rsidRPr="00E869A4">
        <w:rPr>
          <w:rFonts w:ascii="Times New Roman" w:hAnsi="Times New Roman" w:cs="Times New Roman"/>
          <w:szCs w:val="20"/>
        </w:rPr>
        <w:t xml:space="preserve">encourages the social engagement of older persons in various </w:t>
      </w:r>
      <w:r w:rsidR="00495E67" w:rsidRPr="00E869A4">
        <w:rPr>
          <w:rFonts w:ascii="Times New Roman" w:hAnsi="Times New Roman" w:cs="Times New Roman"/>
          <w:szCs w:val="20"/>
        </w:rPr>
        <w:lastRenderedPageBreak/>
        <w:t xml:space="preserve">activities such as choir competitions, All 4’s tournament, Easter Bonnet Parades, and Island Tours. </w:t>
      </w:r>
      <w:r w:rsidR="002D33F5" w:rsidRPr="00E869A4">
        <w:rPr>
          <w:rFonts w:ascii="Times New Roman" w:hAnsi="Times New Roman" w:cs="Times New Roman"/>
          <w:szCs w:val="20"/>
        </w:rPr>
        <w:t>At the time of data collection, t</w:t>
      </w:r>
      <w:r w:rsidR="00495E67" w:rsidRPr="00E869A4">
        <w:rPr>
          <w:rFonts w:ascii="Times New Roman" w:hAnsi="Times New Roman" w:cs="Times New Roman"/>
          <w:szCs w:val="20"/>
        </w:rPr>
        <w:t xml:space="preserve">he programme </w:t>
      </w:r>
      <w:r w:rsidR="002D33F5" w:rsidRPr="00E869A4">
        <w:rPr>
          <w:rFonts w:ascii="Times New Roman" w:hAnsi="Times New Roman" w:cs="Times New Roman"/>
          <w:szCs w:val="20"/>
        </w:rPr>
        <w:t>wa</w:t>
      </w:r>
      <w:r w:rsidRPr="00E869A4">
        <w:rPr>
          <w:rFonts w:ascii="Times New Roman" w:hAnsi="Times New Roman" w:cs="Times New Roman"/>
          <w:szCs w:val="20"/>
        </w:rPr>
        <w:t xml:space="preserve">s only available in Tobago. </w:t>
      </w:r>
    </w:p>
    <w:p w14:paraId="6946D665" w14:textId="77777777" w:rsidR="004A6675" w:rsidRPr="00E869A4" w:rsidRDefault="004A6675" w:rsidP="00A35FF8">
      <w:pPr>
        <w:ind w:left="360"/>
        <w:rPr>
          <w:rFonts w:ascii="Times New Roman" w:hAnsi="Times New Roman" w:cs="Times New Roman"/>
          <w:szCs w:val="20"/>
        </w:rPr>
      </w:pPr>
    </w:p>
    <w:p w14:paraId="5D9BD1FB" w14:textId="77777777" w:rsidR="004A6675" w:rsidRPr="00E869A4" w:rsidRDefault="004A6675" w:rsidP="00A35FF8">
      <w:pPr>
        <w:ind w:left="360"/>
        <w:rPr>
          <w:rFonts w:ascii="Times New Roman" w:hAnsi="Times New Roman" w:cs="Times New Roman"/>
          <w:szCs w:val="20"/>
        </w:rPr>
      </w:pPr>
    </w:p>
    <w:p w14:paraId="67C52CF1" w14:textId="77777777" w:rsidR="006B4B67" w:rsidRPr="00E869A4" w:rsidRDefault="006B4B67" w:rsidP="00A35FF8">
      <w:pPr>
        <w:ind w:left="360"/>
        <w:rPr>
          <w:rFonts w:ascii="Times New Roman" w:hAnsi="Times New Roman" w:cs="Times New Roman"/>
          <w:szCs w:val="20"/>
        </w:rPr>
      </w:pPr>
      <w:r w:rsidRPr="00E869A4">
        <w:rPr>
          <w:rFonts w:ascii="Times New Roman" w:hAnsi="Times New Roman" w:cs="Times New Roman"/>
          <w:szCs w:val="20"/>
        </w:rPr>
        <w:t>Programmes and services that are geared towards the needs of frail older persons include the:</w:t>
      </w:r>
    </w:p>
    <w:p w14:paraId="125A151C" w14:textId="1007EC54" w:rsidR="006B4B67" w:rsidRPr="00E869A4" w:rsidRDefault="006B4B67" w:rsidP="009D4C5D">
      <w:pPr>
        <w:pStyle w:val="ListParagraph"/>
        <w:numPr>
          <w:ilvl w:val="0"/>
          <w:numId w:val="3"/>
        </w:numPr>
        <w:contextualSpacing w:val="0"/>
        <w:rPr>
          <w:rFonts w:ascii="Times New Roman" w:hAnsi="Times New Roman" w:cs="Times New Roman"/>
          <w:szCs w:val="20"/>
        </w:rPr>
      </w:pPr>
      <w:r w:rsidRPr="00E869A4">
        <w:rPr>
          <w:rFonts w:ascii="Times New Roman" w:hAnsi="Times New Roman" w:cs="Times New Roman"/>
          <w:i/>
          <w:szCs w:val="20"/>
        </w:rPr>
        <w:t>Elderly and Differently Abled Mobile Service</w:t>
      </w:r>
      <w:r w:rsidRPr="00E869A4">
        <w:rPr>
          <w:rFonts w:ascii="Times New Roman" w:hAnsi="Times New Roman" w:cs="Times New Roman"/>
          <w:szCs w:val="20"/>
        </w:rPr>
        <w:t xml:space="preserve"> (ELDAMO) – this service provides a </w:t>
      </w:r>
      <w:proofErr w:type="spellStart"/>
      <w:r w:rsidRPr="00E869A4">
        <w:rPr>
          <w:rFonts w:ascii="Times New Roman" w:hAnsi="Times New Roman" w:cs="Times New Roman"/>
          <w:szCs w:val="20"/>
        </w:rPr>
        <w:t>para</w:t>
      </w:r>
      <w:proofErr w:type="spellEnd"/>
      <w:r w:rsidRPr="00E869A4">
        <w:rPr>
          <w:rFonts w:ascii="Times New Roman" w:hAnsi="Times New Roman" w:cs="Times New Roman"/>
          <w:szCs w:val="20"/>
        </w:rPr>
        <w:t xml:space="preserve">-transit (wheelchair enabled) transportation to older persons and </w:t>
      </w:r>
      <w:r w:rsidR="0025355A" w:rsidRPr="00E869A4">
        <w:rPr>
          <w:rFonts w:ascii="Times New Roman" w:hAnsi="Times New Roman" w:cs="Times New Roman"/>
          <w:szCs w:val="20"/>
        </w:rPr>
        <w:t>pwds</w:t>
      </w:r>
      <w:r w:rsidRPr="00E869A4">
        <w:rPr>
          <w:rFonts w:ascii="Times New Roman" w:hAnsi="Times New Roman" w:cs="Times New Roman"/>
          <w:szCs w:val="20"/>
        </w:rPr>
        <w:t>. However, concerns have been expressed about the adequacy and quality of this service</w:t>
      </w:r>
      <w:r w:rsidRPr="00E869A4">
        <w:rPr>
          <w:rStyle w:val="FootnoteReference"/>
          <w:rFonts w:ascii="Times New Roman" w:hAnsi="Times New Roman" w:cs="Times New Roman"/>
          <w:szCs w:val="20"/>
        </w:rPr>
        <w:footnoteReference w:id="128"/>
      </w:r>
      <w:r w:rsidRPr="00E869A4">
        <w:rPr>
          <w:rFonts w:ascii="Times New Roman" w:hAnsi="Times New Roman" w:cs="Times New Roman"/>
          <w:szCs w:val="20"/>
        </w:rPr>
        <w:t>;</w:t>
      </w:r>
      <w:r w:rsidRPr="00E869A4">
        <w:rPr>
          <w:rFonts w:ascii="Times New Roman" w:hAnsi="Times New Roman" w:cs="Times New Roman"/>
          <w:i/>
          <w:szCs w:val="20"/>
        </w:rPr>
        <w:t xml:space="preserve"> </w:t>
      </w:r>
    </w:p>
    <w:p w14:paraId="24E89ACE" w14:textId="3DCDC0D2" w:rsidR="006B4B67" w:rsidRPr="00E869A4" w:rsidRDefault="006B4B67" w:rsidP="009D4C5D">
      <w:pPr>
        <w:pStyle w:val="ListParagraph"/>
        <w:numPr>
          <w:ilvl w:val="0"/>
          <w:numId w:val="3"/>
        </w:numPr>
        <w:contextualSpacing w:val="0"/>
        <w:rPr>
          <w:rFonts w:ascii="Times New Roman" w:hAnsi="Times New Roman" w:cs="Times New Roman"/>
          <w:szCs w:val="20"/>
        </w:rPr>
      </w:pPr>
      <w:r w:rsidRPr="00E869A4">
        <w:rPr>
          <w:rFonts w:ascii="Times New Roman" w:hAnsi="Times New Roman" w:cs="Times New Roman"/>
          <w:i/>
          <w:szCs w:val="20"/>
        </w:rPr>
        <w:t>Geriatric Adolescent Partnership Programme</w:t>
      </w:r>
      <w:r w:rsidR="005C5223" w:rsidRPr="00E869A4">
        <w:rPr>
          <w:rFonts w:ascii="Times New Roman" w:hAnsi="Times New Roman" w:cs="Times New Roman"/>
          <w:i/>
          <w:szCs w:val="20"/>
        </w:rPr>
        <w:t xml:space="preserve"> (GAPP)</w:t>
      </w:r>
      <w:r w:rsidRPr="00E869A4">
        <w:rPr>
          <w:rFonts w:ascii="Times New Roman" w:hAnsi="Times New Roman" w:cs="Times New Roman"/>
          <w:i/>
          <w:szCs w:val="20"/>
        </w:rPr>
        <w:t xml:space="preserve"> –</w:t>
      </w:r>
      <w:r w:rsidRPr="00E869A4">
        <w:rPr>
          <w:rFonts w:ascii="Times New Roman" w:hAnsi="Times New Roman" w:cs="Times New Roman"/>
          <w:szCs w:val="20"/>
        </w:rPr>
        <w:t xml:space="preserve"> this is an intensive short-term, intergenerational training programme aimed at equipping young persons between the ages of 17-30 years with geriatric care skills in areas such as nursing aid skills, nutrition, home management and life Skills. Trainees are actively engaged in classroom sessions and supervised in field placements in private homes and institutions in Trinidad. </w:t>
      </w:r>
    </w:p>
    <w:p w14:paraId="0A879D31" w14:textId="77777777" w:rsidR="006B4B67" w:rsidRPr="00E869A4" w:rsidRDefault="006B4B67" w:rsidP="009D4C5D">
      <w:pPr>
        <w:pStyle w:val="ListParagraph"/>
        <w:numPr>
          <w:ilvl w:val="0"/>
          <w:numId w:val="3"/>
        </w:numPr>
        <w:contextualSpacing w:val="0"/>
        <w:rPr>
          <w:rFonts w:ascii="Times New Roman" w:hAnsi="Times New Roman" w:cs="Times New Roman"/>
          <w:szCs w:val="20"/>
        </w:rPr>
      </w:pPr>
      <w:r w:rsidRPr="00E869A4">
        <w:rPr>
          <w:rFonts w:ascii="Times New Roman" w:hAnsi="Times New Roman" w:cs="Times New Roman"/>
          <w:i/>
          <w:szCs w:val="20"/>
        </w:rPr>
        <w:t>Golden Apple Partnership Programme –</w:t>
      </w:r>
      <w:r w:rsidRPr="00E869A4">
        <w:rPr>
          <w:rFonts w:ascii="Times New Roman" w:hAnsi="Times New Roman" w:cs="Times New Roman"/>
          <w:szCs w:val="20"/>
        </w:rPr>
        <w:t xml:space="preserve"> This is similar to the GAPP, however it is provided to Tobagonians and administered by the Ageing Unit (AU) which is a subsidiary of the Division of Health, Wellness and Family Development in the THA.</w:t>
      </w:r>
      <w:r w:rsidRPr="00E869A4">
        <w:rPr>
          <w:rStyle w:val="FootnoteReference"/>
          <w:rFonts w:ascii="Times New Roman" w:hAnsi="Times New Roman" w:cs="Times New Roman"/>
          <w:szCs w:val="20"/>
        </w:rPr>
        <w:footnoteReference w:id="129"/>
      </w:r>
    </w:p>
    <w:p w14:paraId="0FA617CD" w14:textId="77777777" w:rsidR="005379E0" w:rsidRPr="00E869A4" w:rsidRDefault="005379E0" w:rsidP="009D4C5D">
      <w:pPr>
        <w:pStyle w:val="ListParagraph"/>
        <w:numPr>
          <w:ilvl w:val="0"/>
          <w:numId w:val="3"/>
        </w:numPr>
        <w:contextualSpacing w:val="0"/>
        <w:rPr>
          <w:rFonts w:ascii="Times New Roman" w:hAnsi="Times New Roman" w:cs="Times New Roman"/>
          <w:szCs w:val="20"/>
        </w:rPr>
      </w:pPr>
      <w:r w:rsidRPr="00E869A4">
        <w:rPr>
          <w:rFonts w:ascii="Times New Roman" w:hAnsi="Times New Roman" w:cs="Times New Roman"/>
          <w:i/>
          <w:szCs w:val="20"/>
        </w:rPr>
        <w:t>THA Emergency Medical Alert System</w:t>
      </w:r>
      <w:r w:rsidRPr="00E869A4">
        <w:rPr>
          <w:rFonts w:ascii="Times New Roman" w:hAnsi="Times New Roman" w:cs="Times New Roman"/>
          <w:szCs w:val="20"/>
        </w:rPr>
        <w:t xml:space="preserve"> - In November 2012, the Emergency Medical Alert System was launched</w:t>
      </w:r>
      <w:r w:rsidR="00407FA3" w:rsidRPr="00E869A4">
        <w:rPr>
          <w:rFonts w:ascii="Times New Roman" w:hAnsi="Times New Roman" w:cs="Times New Roman"/>
          <w:szCs w:val="20"/>
        </w:rPr>
        <w:t xml:space="preserve"> in Tobago</w:t>
      </w:r>
      <w:r w:rsidRPr="00E869A4">
        <w:rPr>
          <w:rFonts w:ascii="Times New Roman" w:hAnsi="Times New Roman" w:cs="Times New Roman"/>
          <w:szCs w:val="20"/>
        </w:rPr>
        <w:t>. It is provided to older people and physically challenged individuals, and enables them to get emergency assistance in their home through the use of a portable alert device when they are unable to reach a telephone. When the device is activated, users are instantaneously connected to the 211 Contact Centre and the relevant emergency service provider is notified.</w:t>
      </w:r>
      <w:r w:rsidR="00407FA3" w:rsidRPr="00E869A4">
        <w:rPr>
          <w:rFonts w:ascii="Times New Roman" w:hAnsi="Times New Roman" w:cs="Times New Roman"/>
          <w:szCs w:val="20"/>
        </w:rPr>
        <w:t xml:space="preserve"> This programme was funded by the THA and therefore only available to Tobagonians. However, Trinidadians can access a similar service via private service providers. </w:t>
      </w:r>
    </w:p>
    <w:p w14:paraId="71EBD362" w14:textId="77777777" w:rsidR="006B4B67" w:rsidRPr="00E869A4" w:rsidRDefault="006B4B67" w:rsidP="00A35FF8">
      <w:pPr>
        <w:ind w:left="360"/>
        <w:rPr>
          <w:rFonts w:ascii="Times New Roman" w:hAnsi="Times New Roman" w:cs="Times New Roman"/>
          <w:szCs w:val="20"/>
        </w:rPr>
      </w:pPr>
    </w:p>
    <w:p w14:paraId="7F19547A" w14:textId="77777777" w:rsidR="00546805" w:rsidRPr="00E869A4" w:rsidRDefault="00546805" w:rsidP="00175C3E">
      <w:pPr>
        <w:pStyle w:val="Heading2"/>
        <w:sectPr w:rsidR="00546805" w:rsidRPr="00E869A4" w:rsidSect="00446CB8">
          <w:type w:val="nextColumn"/>
          <w:pgSz w:w="12240" w:h="15840" w:code="1"/>
          <w:pgMar w:top="1440" w:right="851" w:bottom="1440" w:left="1134" w:header="708" w:footer="708" w:gutter="0"/>
          <w:cols w:space="708"/>
          <w:titlePg/>
          <w:docGrid w:linePitch="360"/>
        </w:sectPr>
      </w:pPr>
    </w:p>
    <w:p w14:paraId="4BEC790E" w14:textId="0BDFA62F" w:rsidR="00D96BD7" w:rsidRPr="00E869A4" w:rsidRDefault="00D96BD7" w:rsidP="00D96BD7">
      <w:pPr>
        <w:pStyle w:val="Caption"/>
        <w:rPr>
          <w:b/>
          <w:i w:val="0"/>
          <w:sz w:val="28"/>
          <w:lang w:val="fr-FR"/>
        </w:rPr>
      </w:pPr>
      <w:bookmarkStart w:id="453" w:name="_Toc40436622"/>
      <w:r w:rsidRPr="00E869A4">
        <w:rPr>
          <w:b/>
          <w:i w:val="0"/>
          <w:sz w:val="28"/>
          <w:lang w:val="fr-FR"/>
        </w:rPr>
        <w:lastRenderedPageBreak/>
        <w:t xml:space="preserve">Appendix </w:t>
      </w:r>
      <w:r w:rsidRPr="00E869A4">
        <w:rPr>
          <w:b/>
          <w:i w:val="0"/>
          <w:sz w:val="28"/>
        </w:rPr>
        <w:fldChar w:fldCharType="begin"/>
      </w:r>
      <w:r w:rsidRPr="00E869A4">
        <w:rPr>
          <w:b/>
          <w:i w:val="0"/>
          <w:sz w:val="28"/>
          <w:lang w:val="fr-FR"/>
        </w:rPr>
        <w:instrText xml:space="preserve"> SEQ Appendix \* ARABIC </w:instrText>
      </w:r>
      <w:r w:rsidRPr="00E869A4">
        <w:rPr>
          <w:b/>
          <w:i w:val="0"/>
          <w:sz w:val="28"/>
        </w:rPr>
        <w:fldChar w:fldCharType="separate"/>
      </w:r>
      <w:r w:rsidR="00D7239F">
        <w:rPr>
          <w:b/>
          <w:i w:val="0"/>
          <w:noProof/>
          <w:sz w:val="28"/>
          <w:lang w:val="fr-FR"/>
        </w:rPr>
        <w:t>2</w:t>
      </w:r>
      <w:r w:rsidRPr="00E869A4">
        <w:rPr>
          <w:b/>
          <w:i w:val="0"/>
          <w:sz w:val="28"/>
        </w:rPr>
        <w:fldChar w:fldCharType="end"/>
      </w:r>
      <w:r w:rsidR="00652ECF" w:rsidRPr="00E869A4">
        <w:rPr>
          <w:b/>
          <w:i w:val="0"/>
          <w:sz w:val="28"/>
          <w:lang w:val="fr-FR"/>
        </w:rPr>
        <w:t xml:space="preserve">: </w:t>
      </w:r>
      <w:r w:rsidRPr="00E869A4">
        <w:rPr>
          <w:b/>
          <w:i w:val="0"/>
          <w:noProof/>
          <w:sz w:val="28"/>
          <w:lang w:val="fr-FR"/>
        </w:rPr>
        <w:t>T&amp;T</w:t>
      </w:r>
      <w:r w:rsidR="00652ECF" w:rsidRPr="00E869A4">
        <w:rPr>
          <w:b/>
          <w:i w:val="0"/>
          <w:noProof/>
          <w:sz w:val="28"/>
          <w:lang w:val="fr-FR"/>
        </w:rPr>
        <w:t>’</w:t>
      </w:r>
      <w:r w:rsidRPr="00E869A4">
        <w:rPr>
          <w:b/>
          <w:i w:val="0"/>
          <w:noProof/>
          <w:sz w:val="28"/>
          <w:lang w:val="fr-FR"/>
        </w:rPr>
        <w:t>s Pension / Social Insurance Prgrammes</w:t>
      </w:r>
      <w:bookmarkEnd w:id="453"/>
    </w:p>
    <w:p w14:paraId="752F4BA9" w14:textId="77777777" w:rsidR="00652ECF" w:rsidRPr="00E869A4" w:rsidRDefault="00652ECF" w:rsidP="00652ECF">
      <w:pPr>
        <w:ind w:firstLine="0"/>
        <w:rPr>
          <w:b/>
          <w:u w:val="single"/>
          <w:lang w:val="fr-FR"/>
        </w:rPr>
      </w:pPr>
    </w:p>
    <w:p w14:paraId="44FAF815" w14:textId="22360053" w:rsidR="006B4B67" w:rsidRPr="00E869A4" w:rsidRDefault="005C7EA7" w:rsidP="00652ECF">
      <w:pPr>
        <w:ind w:firstLine="0"/>
        <w:rPr>
          <w:b/>
          <w:u w:val="single"/>
          <w:lang w:val="fr-FR"/>
        </w:rPr>
      </w:pPr>
      <w:r w:rsidRPr="00E869A4">
        <w:rPr>
          <w:b/>
          <w:u w:val="single"/>
          <w:lang w:val="fr-FR"/>
        </w:rPr>
        <w:t xml:space="preserve">A. </w:t>
      </w:r>
      <w:r w:rsidR="008C76CE" w:rsidRPr="00E869A4">
        <w:rPr>
          <w:b/>
          <w:u w:val="single"/>
          <w:lang w:val="fr-FR"/>
        </w:rPr>
        <w:t>T&amp;T</w:t>
      </w:r>
      <w:r w:rsidR="00A07763" w:rsidRPr="00E869A4">
        <w:rPr>
          <w:b/>
          <w:u w:val="single"/>
          <w:lang w:val="fr-FR"/>
        </w:rPr>
        <w:t xml:space="preserve">’s </w:t>
      </w:r>
      <w:r w:rsidR="007E1EB8" w:rsidRPr="00E869A4">
        <w:rPr>
          <w:b/>
          <w:u w:val="single"/>
          <w:lang w:val="fr-FR"/>
        </w:rPr>
        <w:t>PENSIONS / SOCIAL INSURANCE PROGRAMMES</w:t>
      </w:r>
    </w:p>
    <w:p w14:paraId="6B0C0735" w14:textId="77777777" w:rsidR="006B4B67" w:rsidRPr="00E869A4" w:rsidRDefault="006B4B67" w:rsidP="00A35FF8">
      <w:pPr>
        <w:rPr>
          <w:rFonts w:ascii="Times New Roman" w:hAnsi="Times New Roman" w:cs="Times New Roman"/>
          <w:lang w:val="fr-FR"/>
        </w:rPr>
      </w:pPr>
    </w:p>
    <w:p w14:paraId="477D6454" w14:textId="3171AE87" w:rsidR="006B4B67" w:rsidRPr="00E869A4" w:rsidRDefault="006F24F7" w:rsidP="00A35FF8">
      <w:pPr>
        <w:rPr>
          <w:rFonts w:ascii="Times New Roman" w:hAnsi="Times New Roman" w:cs="Times New Roman"/>
        </w:rPr>
      </w:pPr>
      <w:r w:rsidRPr="00E869A4">
        <w:rPr>
          <w:rFonts w:ascii="Times New Roman" w:hAnsi="Times New Roman" w:cs="Times New Roman"/>
        </w:rPr>
        <w:t>T&amp;T</w:t>
      </w:r>
      <w:r w:rsidR="006B4B67" w:rsidRPr="00E869A4">
        <w:rPr>
          <w:rFonts w:ascii="Times New Roman" w:hAnsi="Times New Roman" w:cs="Times New Roman"/>
        </w:rPr>
        <w:t>’s pension system is similar to that of UK and other OECD countries such as Australia, New Zealand and South Africa</w:t>
      </w:r>
      <w:r w:rsidR="00705DEE" w:rsidRPr="00E869A4">
        <w:rPr>
          <w:rFonts w:ascii="Times New Roman" w:hAnsi="Times New Roman" w:cs="Times New Roman"/>
        </w:rPr>
        <w:t xml:space="preserve"> (Rofman et al. 2015)</w:t>
      </w:r>
      <w:r w:rsidR="006B4B67" w:rsidRPr="00E869A4">
        <w:rPr>
          <w:rFonts w:ascii="Times New Roman" w:hAnsi="Times New Roman" w:cs="Times New Roman"/>
        </w:rPr>
        <w:t xml:space="preserve">. It was initially formed under a Beveridgean system. </w:t>
      </w:r>
      <w:r w:rsidRPr="00E869A4">
        <w:rPr>
          <w:rFonts w:ascii="Times New Roman" w:hAnsi="Times New Roman" w:cs="Times New Roman"/>
        </w:rPr>
        <w:t>T&amp;T</w:t>
      </w:r>
      <w:r w:rsidR="006B4B67" w:rsidRPr="00E869A4">
        <w:rPr>
          <w:rFonts w:ascii="Times New Roman" w:hAnsi="Times New Roman" w:cs="Times New Roman"/>
        </w:rPr>
        <w:t xml:space="preserve"> is one of the first countries in the developing world to introduce a social pension programme for older persons. This cash benefit (originally called the Old Age Pension) was first introduced in 1939 whilst the country was still under British rule and in response to labour riots which clamoured for better compensation for workers and an improved standard of living for all citizens. The current pension system consists of three layers:</w:t>
      </w:r>
    </w:p>
    <w:p w14:paraId="616F276C" w14:textId="77777777" w:rsidR="006D5407" w:rsidRPr="00E869A4" w:rsidRDefault="006D5407" w:rsidP="00A35FF8">
      <w:pPr>
        <w:rPr>
          <w:rFonts w:ascii="Times New Roman" w:hAnsi="Times New Roman" w:cs="Times New Roman"/>
        </w:rPr>
      </w:pPr>
    </w:p>
    <w:p w14:paraId="307ECFE5" w14:textId="682A14ED" w:rsidR="006B4B67" w:rsidRPr="00E869A4" w:rsidRDefault="006B4B67" w:rsidP="009D4C5D">
      <w:pPr>
        <w:pStyle w:val="ListParagraph"/>
        <w:numPr>
          <w:ilvl w:val="0"/>
          <w:numId w:val="4"/>
        </w:numPr>
        <w:contextualSpacing w:val="0"/>
        <w:rPr>
          <w:rFonts w:ascii="Times New Roman" w:hAnsi="Times New Roman" w:cs="Times New Roman"/>
        </w:rPr>
      </w:pPr>
      <w:r w:rsidRPr="00E869A4">
        <w:rPr>
          <w:rFonts w:ascii="Times New Roman" w:hAnsi="Times New Roman" w:cs="Times New Roman"/>
          <w:b/>
        </w:rPr>
        <w:t>Social / Non-Contributory Pension</w:t>
      </w:r>
      <w:r w:rsidR="00D41C8E" w:rsidRPr="00E869A4">
        <w:rPr>
          <w:rFonts w:ascii="Times New Roman" w:hAnsi="Times New Roman" w:cs="Times New Roman"/>
          <w:b/>
        </w:rPr>
        <w:fldChar w:fldCharType="begin"/>
      </w:r>
      <w:r w:rsidRPr="00E869A4">
        <w:rPr>
          <w:rFonts w:ascii="Times New Roman" w:hAnsi="Times New Roman" w:cs="Times New Roman"/>
        </w:rPr>
        <w:instrText xml:space="preserve"> XE "Contributory Pension" </w:instrText>
      </w:r>
      <w:r w:rsidR="00D41C8E" w:rsidRPr="00E869A4">
        <w:rPr>
          <w:rFonts w:ascii="Times New Roman" w:hAnsi="Times New Roman" w:cs="Times New Roman"/>
          <w:b/>
        </w:rPr>
        <w:fldChar w:fldCharType="end"/>
      </w:r>
      <w:r w:rsidRPr="00E869A4">
        <w:rPr>
          <w:rFonts w:ascii="Times New Roman" w:hAnsi="Times New Roman" w:cs="Times New Roman"/>
        </w:rPr>
        <w:t xml:space="preserve"> (NCP) - a state pension for older persons (in particular those with lower incomes) known as the Senior Citizens Pension</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"Senior Citizens Grant"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(SCP</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"SCG"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w:t>
      </w:r>
    </w:p>
    <w:p w14:paraId="0BFA54D1" w14:textId="71413021" w:rsidR="006B4B67" w:rsidRPr="00E869A4" w:rsidRDefault="006B4B67" w:rsidP="009D4C5D">
      <w:pPr>
        <w:pStyle w:val="ListParagraph"/>
        <w:numPr>
          <w:ilvl w:val="0"/>
          <w:numId w:val="4"/>
        </w:numPr>
        <w:contextualSpacing w:val="0"/>
        <w:rPr>
          <w:rFonts w:ascii="Times New Roman" w:hAnsi="Times New Roman" w:cs="Times New Roman"/>
        </w:rPr>
      </w:pPr>
      <w:r w:rsidRPr="00E869A4">
        <w:rPr>
          <w:rFonts w:ascii="Times New Roman" w:hAnsi="Times New Roman" w:cs="Times New Roman"/>
          <w:b/>
        </w:rPr>
        <w:t>Contributory Social Security</w:t>
      </w:r>
      <w:r w:rsidR="00D41C8E" w:rsidRPr="00E869A4">
        <w:rPr>
          <w:rFonts w:ascii="Times New Roman" w:hAnsi="Times New Roman" w:cs="Times New Roman"/>
          <w:b/>
        </w:rPr>
        <w:fldChar w:fldCharType="begin"/>
      </w:r>
      <w:r w:rsidRPr="00E869A4">
        <w:rPr>
          <w:rFonts w:ascii="Times New Roman" w:hAnsi="Times New Roman" w:cs="Times New Roman"/>
        </w:rPr>
        <w:instrText xml:space="preserve"> XE "</w:instrText>
      </w:r>
      <w:r w:rsidRPr="00E869A4">
        <w:rPr>
          <w:rFonts w:ascii="Times New Roman" w:hAnsi="Times New Roman" w:cs="Times New Roman"/>
          <w:szCs w:val="24"/>
        </w:rPr>
        <w:instrText>Social Security</w:instrText>
      </w:r>
      <w:r w:rsidRPr="00E869A4">
        <w:rPr>
          <w:rFonts w:ascii="Times New Roman" w:hAnsi="Times New Roman" w:cs="Times New Roman"/>
        </w:rPr>
        <w:instrText xml:space="preserve">" </w:instrText>
      </w:r>
      <w:r w:rsidR="00D41C8E" w:rsidRPr="00E869A4">
        <w:rPr>
          <w:rFonts w:ascii="Times New Roman" w:hAnsi="Times New Roman" w:cs="Times New Roman"/>
          <w:b/>
        </w:rPr>
        <w:fldChar w:fldCharType="end"/>
      </w:r>
      <w:r w:rsidRPr="00E869A4">
        <w:rPr>
          <w:rFonts w:ascii="Times New Roman" w:hAnsi="Times New Roman" w:cs="Times New Roman"/>
          <w:b/>
        </w:rPr>
        <w:t xml:space="preserve"> Pensions</w:t>
      </w:r>
      <w:r w:rsidRPr="00E869A4">
        <w:rPr>
          <w:rFonts w:ascii="Times New Roman" w:hAnsi="Times New Roman" w:cs="Times New Roman"/>
        </w:rPr>
        <w:t xml:space="preserve"> (CP) or Public Sector Pensions for salaried workers in the public and private sector. It includes the National Insurance Scheme (NIS</w:t>
      </w:r>
      <w:r w:rsidR="00D41C8E" w:rsidRPr="00E869A4">
        <w:rPr>
          <w:rFonts w:ascii="Times New Roman" w:hAnsi="Times New Roman" w:cs="Times New Roman"/>
        </w:rPr>
        <w:fldChar w:fldCharType="begin"/>
      </w:r>
      <w:r w:rsidRPr="00E869A4">
        <w:rPr>
          <w:rFonts w:ascii="Times New Roman" w:hAnsi="Times New Roman" w:cs="Times New Roman"/>
        </w:rPr>
        <w:instrText xml:space="preserve"> XE "NIS" </w:instrText>
      </w:r>
      <w:r w:rsidR="00D41C8E" w:rsidRPr="00E869A4">
        <w:rPr>
          <w:rFonts w:ascii="Times New Roman" w:hAnsi="Times New Roman" w:cs="Times New Roman"/>
        </w:rPr>
        <w:fldChar w:fldCharType="end"/>
      </w:r>
      <w:r w:rsidRPr="00E869A4">
        <w:rPr>
          <w:rFonts w:ascii="Times New Roman" w:hAnsi="Times New Roman" w:cs="Times New Roman"/>
        </w:rPr>
        <w:t xml:space="preserve">) which was introduced in 1972, as well as public service pension plans provided to monthly paid permanent employees of the public sector. </w:t>
      </w:r>
    </w:p>
    <w:p w14:paraId="1D949A7D" w14:textId="77777777" w:rsidR="00546805" w:rsidRPr="00E869A4" w:rsidRDefault="006B4B67" w:rsidP="00546805">
      <w:pPr>
        <w:pStyle w:val="ListParagraph"/>
        <w:ind w:left="0"/>
        <w:contextualSpacing w:val="0"/>
        <w:rPr>
          <w:rFonts w:ascii="Times New Roman" w:hAnsi="Times New Roman" w:cs="Times New Roman"/>
        </w:rPr>
      </w:pPr>
      <w:r w:rsidRPr="00E869A4">
        <w:rPr>
          <w:rFonts w:ascii="Times New Roman" w:hAnsi="Times New Roman" w:cs="Times New Roman"/>
          <w:b/>
        </w:rPr>
        <w:t xml:space="preserve">Individual / Voluntary Private Pensions (VP) </w:t>
      </w:r>
      <w:r w:rsidRPr="00E869A4">
        <w:rPr>
          <w:rFonts w:ascii="Times New Roman" w:hAnsi="Times New Roman" w:cs="Times New Roman"/>
        </w:rPr>
        <w:t>which are based on personal defined contributions based on individual savings and done on a voluntary basis.</w:t>
      </w:r>
    </w:p>
    <w:p w14:paraId="68F7689A" w14:textId="77777777" w:rsidR="00546805" w:rsidRPr="00E869A4" w:rsidRDefault="00546805" w:rsidP="00546805">
      <w:pPr>
        <w:pStyle w:val="ListParagraph"/>
        <w:ind w:left="0"/>
        <w:contextualSpacing w:val="0"/>
        <w:rPr>
          <w:rFonts w:ascii="Times New Roman" w:hAnsi="Times New Roman" w:cs="Times New Roman"/>
          <w:szCs w:val="28"/>
          <w:u w:val="single"/>
        </w:rPr>
        <w:sectPr w:rsidR="00546805" w:rsidRPr="00E869A4" w:rsidSect="00446CB8">
          <w:footerReference w:type="default" r:id="rId54"/>
          <w:type w:val="nextColumn"/>
          <w:pgSz w:w="12240" w:h="15840"/>
          <w:pgMar w:top="1440" w:right="851" w:bottom="1440" w:left="1134" w:header="708" w:footer="708" w:gutter="0"/>
          <w:cols w:space="720"/>
        </w:sectPr>
      </w:pPr>
    </w:p>
    <w:p w14:paraId="7674C8D0" w14:textId="0F50ABE5" w:rsidR="006B4B67" w:rsidRPr="00E869A4" w:rsidRDefault="005C7EA7" w:rsidP="008B16DA">
      <w:pPr>
        <w:ind w:firstLine="0"/>
        <w:rPr>
          <w:b/>
          <w:u w:val="single"/>
        </w:rPr>
      </w:pPr>
      <w:r w:rsidRPr="00E869A4">
        <w:rPr>
          <w:b/>
          <w:u w:val="single"/>
        </w:rPr>
        <w:lastRenderedPageBreak/>
        <w:t xml:space="preserve">B. </w:t>
      </w:r>
      <w:r w:rsidR="007E1EB8" w:rsidRPr="00E869A4">
        <w:rPr>
          <w:b/>
          <w:u w:val="single"/>
        </w:rPr>
        <w:t>PENSION ARRANGEMENTS FOR</w:t>
      </w:r>
      <w:r w:rsidR="006B4B67" w:rsidRPr="00E869A4">
        <w:rPr>
          <w:b/>
          <w:u w:val="single"/>
        </w:rPr>
        <w:t xml:space="preserve"> </w:t>
      </w:r>
      <w:r w:rsidR="008C76CE" w:rsidRPr="00E869A4">
        <w:rPr>
          <w:b/>
          <w:u w:val="single"/>
        </w:rPr>
        <w:t>T&amp;T</w:t>
      </w:r>
      <w:r w:rsidR="006B4B67" w:rsidRPr="00E869A4">
        <w:rPr>
          <w:b/>
          <w:u w:val="single"/>
        </w:rPr>
        <w:t xml:space="preserve"> </w:t>
      </w:r>
      <w:r w:rsidR="007E1EB8" w:rsidRPr="00E869A4">
        <w:rPr>
          <w:b/>
          <w:u w:val="single"/>
        </w:rPr>
        <w:t>BY WORLD BANK PILLARS MODEL</w:t>
      </w:r>
      <w:r w:rsidR="008B16DA" w:rsidRPr="00E869A4">
        <w:rPr>
          <w:vertAlign w:val="superscript"/>
          <w:lang w:val="fr-FR"/>
        </w:rPr>
        <w:footnoteReference w:id="130"/>
      </w:r>
    </w:p>
    <w:p w14:paraId="22988411" w14:textId="77777777" w:rsidR="008B16DA" w:rsidRPr="00E869A4" w:rsidRDefault="008B16DA" w:rsidP="008B16DA">
      <w:pPr>
        <w:ind w:firstLine="0"/>
        <w:rPr>
          <w:b/>
          <w:u w:val="single"/>
        </w:rPr>
      </w:pPr>
    </w:p>
    <w:tbl>
      <w:tblPr>
        <w:tblStyle w:val="TableGrid"/>
        <w:tblW w:w="16926" w:type="dxa"/>
        <w:jc w:val="center"/>
        <w:tblLook w:val="04A0" w:firstRow="1" w:lastRow="0" w:firstColumn="1" w:lastColumn="0" w:noHBand="0" w:noVBand="1"/>
      </w:tblPr>
      <w:tblGrid>
        <w:gridCol w:w="1702"/>
        <w:gridCol w:w="4111"/>
        <w:gridCol w:w="3685"/>
        <w:gridCol w:w="3411"/>
        <w:gridCol w:w="4017"/>
      </w:tblGrid>
      <w:tr w:rsidR="00C714D3" w:rsidRPr="00E869A4" w14:paraId="3E827A33" w14:textId="77777777" w:rsidTr="008B16DA">
        <w:trPr>
          <w:jc w:val="center"/>
        </w:trPr>
        <w:tc>
          <w:tcPr>
            <w:tcW w:w="1702" w:type="dxa"/>
            <w:vMerge w:val="restart"/>
          </w:tcPr>
          <w:p w14:paraId="7948D0D7" w14:textId="77777777" w:rsidR="006B4B67" w:rsidRPr="00E869A4" w:rsidRDefault="006B4B67" w:rsidP="008B16DA">
            <w:pPr>
              <w:ind w:firstLine="0"/>
              <w:jc w:val="center"/>
              <w:rPr>
                <w:rFonts w:ascii="Times New Roman" w:hAnsi="Times New Roman" w:cs="Times New Roman"/>
                <w:i/>
                <w:sz w:val="20"/>
                <w:szCs w:val="20"/>
              </w:rPr>
            </w:pPr>
            <w:r w:rsidRPr="00E869A4">
              <w:rPr>
                <w:rFonts w:ascii="Times New Roman" w:hAnsi="Times New Roman" w:cs="Times New Roman"/>
                <w:b/>
                <w:sz w:val="20"/>
                <w:szCs w:val="20"/>
              </w:rPr>
              <w:t>Modalities for Achieving Objectives</w:t>
            </w:r>
            <w:r w:rsidRPr="00E869A4">
              <w:rPr>
                <w:rStyle w:val="FootnoteReference"/>
                <w:rFonts w:ascii="Times New Roman" w:hAnsi="Times New Roman" w:cs="Times New Roman"/>
                <w:i/>
                <w:sz w:val="20"/>
                <w:szCs w:val="20"/>
              </w:rPr>
              <w:footnoteReference w:id="131"/>
            </w:r>
          </w:p>
        </w:tc>
        <w:tc>
          <w:tcPr>
            <w:tcW w:w="4111" w:type="dxa"/>
          </w:tcPr>
          <w:p w14:paraId="7980BCEA" w14:textId="77777777" w:rsidR="006B4B67" w:rsidRPr="00E869A4" w:rsidRDefault="006B4B67" w:rsidP="008B16DA">
            <w:pPr>
              <w:ind w:firstLine="0"/>
              <w:jc w:val="center"/>
              <w:rPr>
                <w:rFonts w:ascii="Times New Roman" w:hAnsi="Times New Roman" w:cs="Times New Roman"/>
                <w:b/>
                <w:sz w:val="20"/>
                <w:szCs w:val="20"/>
              </w:rPr>
            </w:pPr>
            <w:r w:rsidRPr="00E869A4">
              <w:rPr>
                <w:rFonts w:ascii="Times New Roman" w:hAnsi="Times New Roman" w:cs="Times New Roman"/>
                <w:b/>
                <w:sz w:val="20"/>
                <w:szCs w:val="20"/>
              </w:rPr>
              <w:t>Zero Pillar</w:t>
            </w:r>
          </w:p>
        </w:tc>
        <w:tc>
          <w:tcPr>
            <w:tcW w:w="3685" w:type="dxa"/>
          </w:tcPr>
          <w:p w14:paraId="5ADC641A" w14:textId="77777777" w:rsidR="006B4B67" w:rsidRPr="00E869A4" w:rsidRDefault="006B4B67" w:rsidP="008B16DA">
            <w:pPr>
              <w:ind w:firstLine="0"/>
              <w:jc w:val="center"/>
              <w:rPr>
                <w:rFonts w:ascii="Times New Roman" w:hAnsi="Times New Roman" w:cs="Times New Roman"/>
                <w:b/>
                <w:sz w:val="20"/>
                <w:szCs w:val="20"/>
              </w:rPr>
            </w:pPr>
            <w:r w:rsidRPr="00E869A4">
              <w:rPr>
                <w:rFonts w:ascii="Times New Roman" w:hAnsi="Times New Roman" w:cs="Times New Roman"/>
                <w:b/>
                <w:sz w:val="20"/>
                <w:szCs w:val="20"/>
              </w:rPr>
              <w:t>First Pillar: A</w:t>
            </w:r>
          </w:p>
        </w:tc>
        <w:tc>
          <w:tcPr>
            <w:tcW w:w="3411" w:type="dxa"/>
          </w:tcPr>
          <w:p w14:paraId="53F92677" w14:textId="77777777" w:rsidR="006B4B67" w:rsidRPr="00E869A4" w:rsidRDefault="006B4B67" w:rsidP="008B16DA">
            <w:pPr>
              <w:ind w:firstLine="0"/>
              <w:jc w:val="center"/>
              <w:rPr>
                <w:rFonts w:ascii="Times New Roman" w:hAnsi="Times New Roman" w:cs="Times New Roman"/>
                <w:b/>
                <w:sz w:val="20"/>
                <w:szCs w:val="20"/>
              </w:rPr>
            </w:pPr>
            <w:r w:rsidRPr="00E869A4">
              <w:rPr>
                <w:rFonts w:ascii="Times New Roman" w:hAnsi="Times New Roman" w:cs="Times New Roman"/>
                <w:b/>
                <w:sz w:val="20"/>
                <w:szCs w:val="20"/>
              </w:rPr>
              <w:t>First Pillar: B</w:t>
            </w:r>
          </w:p>
        </w:tc>
        <w:tc>
          <w:tcPr>
            <w:tcW w:w="4017" w:type="dxa"/>
          </w:tcPr>
          <w:p w14:paraId="18458816" w14:textId="77777777" w:rsidR="006B4B67" w:rsidRPr="00E869A4" w:rsidRDefault="006B4B67" w:rsidP="008B16DA">
            <w:pPr>
              <w:ind w:firstLine="0"/>
              <w:jc w:val="center"/>
              <w:rPr>
                <w:rFonts w:ascii="Times New Roman" w:hAnsi="Times New Roman" w:cs="Times New Roman"/>
                <w:b/>
                <w:sz w:val="20"/>
                <w:szCs w:val="20"/>
              </w:rPr>
            </w:pPr>
            <w:r w:rsidRPr="00E869A4">
              <w:rPr>
                <w:rFonts w:ascii="Times New Roman" w:hAnsi="Times New Roman" w:cs="Times New Roman"/>
                <w:b/>
                <w:sz w:val="20"/>
                <w:szCs w:val="20"/>
              </w:rPr>
              <w:t>Third Pillar</w:t>
            </w:r>
          </w:p>
        </w:tc>
      </w:tr>
      <w:tr w:rsidR="00C714D3" w:rsidRPr="00E869A4" w14:paraId="7F84F572" w14:textId="77777777" w:rsidTr="008B16DA">
        <w:trPr>
          <w:jc w:val="center"/>
        </w:trPr>
        <w:tc>
          <w:tcPr>
            <w:tcW w:w="1702" w:type="dxa"/>
            <w:vMerge/>
          </w:tcPr>
          <w:p w14:paraId="2E96D7EF" w14:textId="77777777" w:rsidR="006B4B67" w:rsidRPr="00E869A4" w:rsidRDefault="006B4B67" w:rsidP="00A35FF8">
            <w:pPr>
              <w:rPr>
                <w:rFonts w:ascii="Times New Roman" w:hAnsi="Times New Roman" w:cs="Times New Roman"/>
                <w:i/>
                <w:sz w:val="20"/>
                <w:szCs w:val="20"/>
              </w:rPr>
            </w:pPr>
          </w:p>
        </w:tc>
        <w:tc>
          <w:tcPr>
            <w:tcW w:w="4111" w:type="dxa"/>
          </w:tcPr>
          <w:p w14:paraId="6BE6CAC2" w14:textId="77777777" w:rsidR="006B4B67" w:rsidRPr="00E869A4" w:rsidRDefault="006B4B67" w:rsidP="008B16DA">
            <w:pPr>
              <w:ind w:left="42" w:firstLine="0"/>
              <w:rPr>
                <w:rFonts w:ascii="Times New Roman" w:hAnsi="Times New Roman" w:cs="Times New Roman"/>
                <w:sz w:val="20"/>
                <w:szCs w:val="20"/>
              </w:rPr>
            </w:pPr>
            <w:r w:rsidRPr="00E869A4">
              <w:rPr>
                <w:rFonts w:ascii="Times New Roman" w:hAnsi="Times New Roman" w:cs="Times New Roman"/>
                <w:sz w:val="20"/>
                <w:szCs w:val="20"/>
              </w:rPr>
              <w:t>non-contributory social assistance financed by the state, fiscal conditions permitting</w:t>
            </w:r>
          </w:p>
        </w:tc>
        <w:tc>
          <w:tcPr>
            <w:tcW w:w="7096" w:type="dxa"/>
            <w:gridSpan w:val="2"/>
          </w:tcPr>
          <w:p w14:paraId="0FFD53A4" w14:textId="77777777" w:rsidR="006B4B67" w:rsidRPr="00E869A4" w:rsidRDefault="006B4B67" w:rsidP="008B16DA">
            <w:pPr>
              <w:ind w:left="42" w:firstLine="0"/>
              <w:rPr>
                <w:rFonts w:ascii="Times New Roman" w:hAnsi="Times New Roman" w:cs="Times New Roman"/>
                <w:sz w:val="20"/>
                <w:szCs w:val="20"/>
              </w:rPr>
            </w:pPr>
            <w:r w:rsidRPr="00E869A4">
              <w:rPr>
                <w:rFonts w:ascii="Times New Roman" w:hAnsi="Times New Roman" w:cs="Times New Roman"/>
                <w:sz w:val="20"/>
                <w:szCs w:val="20"/>
              </w:rPr>
              <w:t>mandatory with contributions linked to earnings and objective of replacing some portion of lifetime pre-retirement income</w:t>
            </w:r>
          </w:p>
        </w:tc>
        <w:tc>
          <w:tcPr>
            <w:tcW w:w="4017" w:type="dxa"/>
          </w:tcPr>
          <w:p w14:paraId="047E6212" w14:textId="3D7B6485" w:rsidR="006B4B67" w:rsidRPr="00E869A4" w:rsidRDefault="008B16DA" w:rsidP="008B16DA">
            <w:pPr>
              <w:ind w:left="42" w:firstLine="0"/>
              <w:rPr>
                <w:rFonts w:ascii="Times New Roman" w:hAnsi="Times New Roman" w:cs="Times New Roman"/>
                <w:sz w:val="20"/>
                <w:szCs w:val="20"/>
              </w:rPr>
            </w:pPr>
            <w:r w:rsidRPr="00E869A4">
              <w:rPr>
                <w:rFonts w:ascii="Times New Roman" w:hAnsi="Times New Roman" w:cs="Times New Roman"/>
                <w:sz w:val="20"/>
                <w:szCs w:val="20"/>
              </w:rPr>
              <w:t>V</w:t>
            </w:r>
            <w:r w:rsidR="006B4B67" w:rsidRPr="00E869A4">
              <w:rPr>
                <w:rFonts w:ascii="Times New Roman" w:hAnsi="Times New Roman" w:cs="Times New Roman"/>
                <w:sz w:val="20"/>
                <w:szCs w:val="20"/>
              </w:rPr>
              <w:t>oluntary taking many forms (e.g. individual savings; employer sponsored; defined benefit or defined contribution)</w:t>
            </w:r>
          </w:p>
        </w:tc>
      </w:tr>
      <w:tr w:rsidR="00C714D3" w:rsidRPr="00E869A4" w14:paraId="10D57CC4" w14:textId="77777777" w:rsidTr="008B16DA">
        <w:trPr>
          <w:jc w:val="center"/>
        </w:trPr>
        <w:tc>
          <w:tcPr>
            <w:tcW w:w="1702" w:type="dxa"/>
          </w:tcPr>
          <w:p w14:paraId="2AC91D5D" w14:textId="77777777" w:rsidR="006B4B67" w:rsidRPr="00E869A4" w:rsidRDefault="006B4B67" w:rsidP="008B16DA">
            <w:pPr>
              <w:ind w:firstLine="55"/>
              <w:jc w:val="center"/>
              <w:rPr>
                <w:rFonts w:ascii="Times New Roman" w:hAnsi="Times New Roman" w:cs="Times New Roman"/>
                <w:i/>
                <w:sz w:val="20"/>
                <w:szCs w:val="20"/>
              </w:rPr>
            </w:pPr>
            <w:r w:rsidRPr="00E869A4">
              <w:rPr>
                <w:rFonts w:ascii="Times New Roman" w:hAnsi="Times New Roman" w:cs="Times New Roman"/>
                <w:i/>
                <w:sz w:val="20"/>
                <w:szCs w:val="20"/>
              </w:rPr>
              <w:t>Program</w:t>
            </w:r>
          </w:p>
        </w:tc>
        <w:tc>
          <w:tcPr>
            <w:tcW w:w="4111" w:type="dxa"/>
          </w:tcPr>
          <w:p w14:paraId="00783183"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Senior Citizens Pension</w:t>
            </w:r>
          </w:p>
        </w:tc>
        <w:tc>
          <w:tcPr>
            <w:tcW w:w="3685" w:type="dxa"/>
          </w:tcPr>
          <w:p w14:paraId="1E100EF6"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National Insurance Scheme (NIS</w:t>
            </w:r>
            <w:r w:rsidR="00D41C8E" w:rsidRPr="00E869A4">
              <w:rPr>
                <w:rFonts w:ascii="Times New Roman" w:hAnsi="Times New Roman" w:cs="Times New Roman"/>
                <w:sz w:val="20"/>
                <w:szCs w:val="20"/>
              </w:rPr>
              <w:fldChar w:fldCharType="begin"/>
            </w:r>
            <w:r w:rsidRPr="00E869A4">
              <w:rPr>
                <w:rFonts w:ascii="Times New Roman" w:hAnsi="Times New Roman" w:cs="Times New Roman"/>
                <w:sz w:val="20"/>
                <w:szCs w:val="20"/>
              </w:rPr>
              <w:instrText xml:space="preserve"> XE "NIS" </w:instrText>
            </w:r>
            <w:r w:rsidR="00D41C8E" w:rsidRPr="00E869A4">
              <w:rPr>
                <w:rFonts w:ascii="Times New Roman" w:hAnsi="Times New Roman" w:cs="Times New Roman"/>
                <w:sz w:val="20"/>
                <w:szCs w:val="20"/>
              </w:rPr>
              <w:fldChar w:fldCharType="end"/>
            </w:r>
            <w:r w:rsidRPr="00E869A4">
              <w:rPr>
                <w:rFonts w:ascii="Times New Roman" w:hAnsi="Times New Roman" w:cs="Times New Roman"/>
                <w:sz w:val="20"/>
                <w:szCs w:val="20"/>
              </w:rPr>
              <w:t>)</w:t>
            </w:r>
          </w:p>
        </w:tc>
        <w:tc>
          <w:tcPr>
            <w:tcW w:w="3411" w:type="dxa"/>
          </w:tcPr>
          <w:p w14:paraId="691AB8D3"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Public service pensions</w:t>
            </w:r>
          </w:p>
          <w:p w14:paraId="41316A9B"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(monthly paid workers)</w:t>
            </w:r>
          </w:p>
        </w:tc>
        <w:tc>
          <w:tcPr>
            <w:tcW w:w="4017" w:type="dxa"/>
          </w:tcPr>
          <w:p w14:paraId="1FD38657"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Private sector occupational plans—defined benefit; Personal defined contribution pensions</w:t>
            </w:r>
          </w:p>
        </w:tc>
      </w:tr>
      <w:tr w:rsidR="00C714D3" w:rsidRPr="00E869A4" w14:paraId="0CB5B1C0" w14:textId="77777777" w:rsidTr="008B16DA">
        <w:trPr>
          <w:jc w:val="center"/>
        </w:trPr>
        <w:tc>
          <w:tcPr>
            <w:tcW w:w="1702" w:type="dxa"/>
          </w:tcPr>
          <w:p w14:paraId="692037C7" w14:textId="77777777" w:rsidR="006B4B67" w:rsidRPr="00E869A4" w:rsidRDefault="006B4B67" w:rsidP="008B16DA">
            <w:pPr>
              <w:ind w:firstLine="55"/>
              <w:jc w:val="center"/>
              <w:rPr>
                <w:rFonts w:ascii="Times New Roman" w:hAnsi="Times New Roman" w:cs="Times New Roman"/>
                <w:i/>
                <w:sz w:val="20"/>
                <w:szCs w:val="20"/>
              </w:rPr>
            </w:pPr>
            <w:r w:rsidRPr="00E869A4">
              <w:rPr>
                <w:rFonts w:ascii="Times New Roman" w:hAnsi="Times New Roman" w:cs="Times New Roman"/>
                <w:i/>
                <w:sz w:val="20"/>
                <w:szCs w:val="20"/>
              </w:rPr>
              <w:t>Legislation</w:t>
            </w:r>
          </w:p>
        </w:tc>
        <w:tc>
          <w:tcPr>
            <w:tcW w:w="4111" w:type="dxa"/>
          </w:tcPr>
          <w:p w14:paraId="1408BF90"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Senior Citizens Pensions Act</w:t>
            </w:r>
          </w:p>
        </w:tc>
        <w:tc>
          <w:tcPr>
            <w:tcW w:w="3685" w:type="dxa"/>
          </w:tcPr>
          <w:p w14:paraId="2EA9AADD"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National Insurance Act 1971 (with amendments)</w:t>
            </w:r>
          </w:p>
        </w:tc>
        <w:tc>
          <w:tcPr>
            <w:tcW w:w="3411" w:type="dxa"/>
          </w:tcPr>
          <w:p w14:paraId="3E0CB8ED"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11 main plans with more than 20 relevant acts</w:t>
            </w:r>
          </w:p>
        </w:tc>
        <w:tc>
          <w:tcPr>
            <w:tcW w:w="4017" w:type="dxa"/>
          </w:tcPr>
          <w:p w14:paraId="091F315F"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Insurance Act/Income Tax Act/1969 Draft Regulation/1939 Trust, Ordinance Income Tax Act (s134)</w:t>
            </w:r>
          </w:p>
        </w:tc>
      </w:tr>
      <w:tr w:rsidR="00C714D3" w:rsidRPr="00E869A4" w14:paraId="027B6EB3" w14:textId="77777777" w:rsidTr="008B16DA">
        <w:trPr>
          <w:jc w:val="center"/>
        </w:trPr>
        <w:tc>
          <w:tcPr>
            <w:tcW w:w="1702" w:type="dxa"/>
          </w:tcPr>
          <w:p w14:paraId="3170DAFB" w14:textId="77777777" w:rsidR="006B4B67" w:rsidRPr="00E869A4" w:rsidRDefault="006B4B67" w:rsidP="008B16DA">
            <w:pPr>
              <w:ind w:firstLine="55"/>
              <w:jc w:val="center"/>
              <w:rPr>
                <w:rFonts w:ascii="Times New Roman" w:hAnsi="Times New Roman" w:cs="Times New Roman"/>
                <w:i/>
                <w:sz w:val="20"/>
                <w:szCs w:val="20"/>
              </w:rPr>
            </w:pPr>
            <w:r w:rsidRPr="00E869A4">
              <w:rPr>
                <w:rFonts w:ascii="Times New Roman" w:hAnsi="Times New Roman" w:cs="Times New Roman"/>
                <w:i/>
                <w:sz w:val="20"/>
                <w:szCs w:val="20"/>
              </w:rPr>
              <w:t>Managed by</w:t>
            </w:r>
          </w:p>
        </w:tc>
        <w:tc>
          <w:tcPr>
            <w:tcW w:w="4111" w:type="dxa"/>
          </w:tcPr>
          <w:p w14:paraId="518DACEB"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 xml:space="preserve">Ministry of Social Development </w:t>
            </w:r>
            <w:r w:rsidR="00780D64" w:rsidRPr="00E869A4">
              <w:rPr>
                <w:rFonts w:ascii="Times New Roman" w:hAnsi="Times New Roman" w:cs="Times New Roman"/>
                <w:sz w:val="20"/>
                <w:szCs w:val="20"/>
              </w:rPr>
              <w:t>and</w:t>
            </w:r>
            <w:r w:rsidRPr="00E869A4">
              <w:rPr>
                <w:rFonts w:ascii="Times New Roman" w:hAnsi="Times New Roman" w:cs="Times New Roman"/>
                <w:sz w:val="20"/>
                <w:szCs w:val="20"/>
              </w:rPr>
              <w:t xml:space="preserve"> Family Services</w:t>
            </w:r>
          </w:p>
        </w:tc>
        <w:tc>
          <w:tcPr>
            <w:tcW w:w="3685" w:type="dxa"/>
          </w:tcPr>
          <w:p w14:paraId="432F9620"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NIBTT, Report to Ministry of Finance</w:t>
            </w:r>
          </w:p>
        </w:tc>
        <w:tc>
          <w:tcPr>
            <w:tcW w:w="3411" w:type="dxa"/>
          </w:tcPr>
          <w:p w14:paraId="139F32E7"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Ministry of Finance/relevant</w:t>
            </w:r>
          </w:p>
          <w:p w14:paraId="5D708342"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ministry</w:t>
            </w:r>
          </w:p>
        </w:tc>
        <w:tc>
          <w:tcPr>
            <w:tcW w:w="4017" w:type="dxa"/>
          </w:tcPr>
          <w:p w14:paraId="406875C9"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Trustees (IRB and Central Bank supervise) Financial services firms</w:t>
            </w:r>
          </w:p>
        </w:tc>
      </w:tr>
      <w:tr w:rsidR="00C714D3" w:rsidRPr="00E869A4" w14:paraId="0A2DD9C0" w14:textId="77777777" w:rsidTr="008B16DA">
        <w:trPr>
          <w:jc w:val="center"/>
        </w:trPr>
        <w:tc>
          <w:tcPr>
            <w:tcW w:w="1702" w:type="dxa"/>
          </w:tcPr>
          <w:p w14:paraId="545271DD" w14:textId="77777777" w:rsidR="006B4B67" w:rsidRPr="00E869A4" w:rsidRDefault="006B4B67" w:rsidP="008B16DA">
            <w:pPr>
              <w:ind w:firstLine="55"/>
              <w:jc w:val="center"/>
              <w:rPr>
                <w:rFonts w:ascii="Times New Roman" w:hAnsi="Times New Roman" w:cs="Times New Roman"/>
                <w:i/>
                <w:sz w:val="20"/>
                <w:szCs w:val="20"/>
              </w:rPr>
            </w:pPr>
            <w:r w:rsidRPr="00E869A4">
              <w:rPr>
                <w:rFonts w:ascii="Times New Roman" w:hAnsi="Times New Roman" w:cs="Times New Roman"/>
                <w:i/>
                <w:sz w:val="20"/>
                <w:szCs w:val="20"/>
              </w:rPr>
              <w:t>Financing</w:t>
            </w:r>
          </w:p>
        </w:tc>
        <w:tc>
          <w:tcPr>
            <w:tcW w:w="4111" w:type="dxa"/>
          </w:tcPr>
          <w:p w14:paraId="79E704E6"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General Budget</w:t>
            </w:r>
          </w:p>
        </w:tc>
        <w:tc>
          <w:tcPr>
            <w:tcW w:w="3685" w:type="dxa"/>
          </w:tcPr>
          <w:p w14:paraId="2EB3E5B0"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 xml:space="preserve">(11.4% salary </w:t>
            </w:r>
            <w:r w:rsidRPr="00E869A4">
              <w:rPr>
                <w:rFonts w:ascii="Times New Roman" w:hAnsi="Times New Roman" w:cs="Times New Roman"/>
                <w:sz w:val="20"/>
                <w:szCs w:val="20"/>
                <w:vertAlign w:val="superscript"/>
              </w:rPr>
              <w:t>1</w:t>
            </w:r>
            <w:r w:rsidRPr="00E869A4">
              <w:rPr>
                <w:rFonts w:ascii="Times New Roman" w:hAnsi="Times New Roman" w:cs="Times New Roman"/>
                <w:sz w:val="20"/>
                <w:szCs w:val="20"/>
              </w:rPr>
              <w:t>/</w:t>
            </w:r>
            <w:r w:rsidRPr="00E869A4">
              <w:rPr>
                <w:rFonts w:ascii="Times New Roman" w:hAnsi="Times New Roman" w:cs="Times New Roman"/>
                <w:sz w:val="20"/>
                <w:szCs w:val="20"/>
                <w:vertAlign w:val="subscript"/>
              </w:rPr>
              <w:t xml:space="preserve">3 </w:t>
            </w:r>
            <w:r w:rsidRPr="00E869A4">
              <w:rPr>
                <w:rFonts w:ascii="Times New Roman" w:hAnsi="Times New Roman" w:cs="Times New Roman"/>
                <w:sz w:val="20"/>
                <w:szCs w:val="20"/>
              </w:rPr>
              <w:t xml:space="preserve">employee </w:t>
            </w:r>
            <w:r w:rsidRPr="00E869A4">
              <w:rPr>
                <w:rFonts w:ascii="Times New Roman" w:hAnsi="Times New Roman" w:cs="Times New Roman"/>
                <w:sz w:val="20"/>
                <w:szCs w:val="20"/>
                <w:vertAlign w:val="superscript"/>
              </w:rPr>
              <w:t>2</w:t>
            </w:r>
            <w:r w:rsidRPr="00E869A4">
              <w:rPr>
                <w:rFonts w:ascii="Times New Roman" w:hAnsi="Times New Roman" w:cs="Times New Roman"/>
                <w:sz w:val="20"/>
                <w:szCs w:val="20"/>
              </w:rPr>
              <w:t>/</w:t>
            </w:r>
            <w:r w:rsidRPr="00E869A4">
              <w:rPr>
                <w:rFonts w:ascii="Times New Roman" w:hAnsi="Times New Roman" w:cs="Times New Roman"/>
                <w:sz w:val="20"/>
                <w:szCs w:val="20"/>
                <w:vertAlign w:val="subscript"/>
              </w:rPr>
              <w:t>3</w:t>
            </w:r>
            <w:r w:rsidRPr="00E869A4">
              <w:rPr>
                <w:rFonts w:ascii="Times New Roman" w:hAnsi="Times New Roman" w:cs="Times New Roman"/>
                <w:sz w:val="20"/>
                <w:szCs w:val="20"/>
              </w:rPr>
              <w:t xml:space="preserve"> employer) and asset returns</w:t>
            </w:r>
          </w:p>
        </w:tc>
        <w:tc>
          <w:tcPr>
            <w:tcW w:w="3411" w:type="dxa"/>
          </w:tcPr>
          <w:p w14:paraId="467F6DC6"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General Budget with small contributions for three plans</w:t>
            </w:r>
          </w:p>
        </w:tc>
        <w:tc>
          <w:tcPr>
            <w:tcW w:w="4017" w:type="dxa"/>
          </w:tcPr>
          <w:p w14:paraId="21A320CB"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Employer and employee contributions (plan-specific for DB plans), variable for DC plans</w:t>
            </w:r>
          </w:p>
        </w:tc>
      </w:tr>
      <w:tr w:rsidR="00C714D3" w:rsidRPr="00E869A4" w14:paraId="0071C394" w14:textId="77777777" w:rsidTr="008B16DA">
        <w:trPr>
          <w:jc w:val="center"/>
        </w:trPr>
        <w:tc>
          <w:tcPr>
            <w:tcW w:w="1702" w:type="dxa"/>
          </w:tcPr>
          <w:p w14:paraId="1C07519A" w14:textId="77777777" w:rsidR="006B4B67" w:rsidRPr="00E869A4" w:rsidRDefault="006B4B67" w:rsidP="008B16DA">
            <w:pPr>
              <w:ind w:firstLine="55"/>
              <w:jc w:val="center"/>
              <w:rPr>
                <w:rFonts w:ascii="Times New Roman" w:hAnsi="Times New Roman" w:cs="Times New Roman"/>
                <w:i/>
                <w:sz w:val="20"/>
                <w:szCs w:val="20"/>
              </w:rPr>
            </w:pPr>
            <w:r w:rsidRPr="00E869A4">
              <w:rPr>
                <w:rFonts w:ascii="Times New Roman" w:hAnsi="Times New Roman" w:cs="Times New Roman"/>
                <w:i/>
                <w:sz w:val="20"/>
                <w:szCs w:val="20"/>
              </w:rPr>
              <w:t>Retirement age</w:t>
            </w:r>
          </w:p>
        </w:tc>
        <w:tc>
          <w:tcPr>
            <w:tcW w:w="4111" w:type="dxa"/>
          </w:tcPr>
          <w:p w14:paraId="5FD232EC"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65 and older</w:t>
            </w:r>
          </w:p>
        </w:tc>
        <w:tc>
          <w:tcPr>
            <w:tcW w:w="3685" w:type="dxa"/>
          </w:tcPr>
          <w:p w14:paraId="1DF8677F"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65, but retire at 60 without penalty</w:t>
            </w:r>
          </w:p>
        </w:tc>
        <w:tc>
          <w:tcPr>
            <w:tcW w:w="3411" w:type="dxa"/>
          </w:tcPr>
          <w:p w14:paraId="5DA72BDB"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Varies: from 45 to 60 for</w:t>
            </w:r>
          </w:p>
          <w:p w14:paraId="714A5DA7"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unreduced pension</w:t>
            </w:r>
          </w:p>
        </w:tc>
        <w:tc>
          <w:tcPr>
            <w:tcW w:w="4017" w:type="dxa"/>
          </w:tcPr>
          <w:p w14:paraId="56E092EF" w14:textId="22EDACAD" w:rsidR="006B4B67" w:rsidRPr="00E869A4" w:rsidRDefault="006B4B67" w:rsidP="00190BAD">
            <w:pPr>
              <w:ind w:firstLine="0"/>
              <w:rPr>
                <w:rFonts w:ascii="Times New Roman" w:hAnsi="Times New Roman" w:cs="Times New Roman"/>
                <w:sz w:val="20"/>
                <w:szCs w:val="20"/>
              </w:rPr>
            </w:pPr>
            <w:r w:rsidRPr="00E869A4">
              <w:rPr>
                <w:rFonts w:ascii="Times New Roman" w:hAnsi="Times New Roman" w:cs="Times New Roman"/>
                <w:sz w:val="20"/>
                <w:szCs w:val="20"/>
              </w:rPr>
              <w:t>Based on plan (often 60) Based on “maturity date”</w:t>
            </w:r>
            <w:r w:rsidR="00190BAD" w:rsidRPr="00E869A4">
              <w:rPr>
                <w:rFonts w:ascii="Times New Roman" w:hAnsi="Times New Roman" w:cs="Times New Roman"/>
                <w:sz w:val="20"/>
                <w:szCs w:val="20"/>
              </w:rPr>
              <w:t xml:space="preserve"> </w:t>
            </w:r>
            <w:r w:rsidRPr="00E869A4">
              <w:rPr>
                <w:rFonts w:ascii="Times New Roman" w:hAnsi="Times New Roman" w:cs="Times New Roman"/>
                <w:sz w:val="20"/>
                <w:szCs w:val="20"/>
              </w:rPr>
              <w:t>chosen between 50 and 70</w:t>
            </w:r>
          </w:p>
        </w:tc>
      </w:tr>
      <w:tr w:rsidR="00C714D3" w:rsidRPr="00E869A4" w14:paraId="6E8FD64C" w14:textId="77777777" w:rsidTr="008B16DA">
        <w:trPr>
          <w:jc w:val="center"/>
        </w:trPr>
        <w:tc>
          <w:tcPr>
            <w:tcW w:w="1702" w:type="dxa"/>
          </w:tcPr>
          <w:p w14:paraId="2768B5B2" w14:textId="77777777" w:rsidR="006B4B67" w:rsidRPr="00E869A4" w:rsidRDefault="006B4B67" w:rsidP="008B16DA">
            <w:pPr>
              <w:ind w:firstLine="55"/>
              <w:jc w:val="center"/>
              <w:rPr>
                <w:rFonts w:ascii="Times New Roman" w:hAnsi="Times New Roman" w:cs="Times New Roman"/>
                <w:i/>
                <w:sz w:val="20"/>
                <w:szCs w:val="20"/>
              </w:rPr>
            </w:pPr>
            <w:r w:rsidRPr="00E869A4">
              <w:rPr>
                <w:rFonts w:ascii="Times New Roman" w:hAnsi="Times New Roman" w:cs="Times New Roman"/>
                <w:i/>
                <w:sz w:val="20"/>
                <w:szCs w:val="20"/>
              </w:rPr>
              <w:t>Benefits</w:t>
            </w:r>
          </w:p>
        </w:tc>
        <w:tc>
          <w:tcPr>
            <w:tcW w:w="4111" w:type="dxa"/>
          </w:tcPr>
          <w:p w14:paraId="770F3897" w14:textId="525DB182"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 xml:space="preserve">Means tested, $3,000 </w:t>
            </w:r>
            <w:r w:rsidR="001A5CA7" w:rsidRPr="00E869A4">
              <w:rPr>
                <w:rFonts w:ascii="Times New Roman" w:hAnsi="Times New Roman" w:cs="Times New Roman"/>
                <w:sz w:val="20"/>
                <w:szCs w:val="20"/>
              </w:rPr>
              <w:t xml:space="preserve">TTD </w:t>
            </w:r>
            <w:r w:rsidRPr="00E869A4">
              <w:rPr>
                <w:rFonts w:ascii="Times New Roman" w:hAnsi="Times New Roman" w:cs="Times New Roman"/>
                <w:sz w:val="20"/>
                <w:szCs w:val="20"/>
              </w:rPr>
              <w:t>for</w:t>
            </w:r>
          </w:p>
          <w:p w14:paraId="1DFAF6C6"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poorest and decreasing scale</w:t>
            </w:r>
          </w:p>
        </w:tc>
        <w:tc>
          <w:tcPr>
            <w:tcW w:w="3685" w:type="dxa"/>
          </w:tcPr>
          <w:p w14:paraId="3FD9DA2E" w14:textId="7A6C3461" w:rsidR="006B4B67" w:rsidRPr="00E869A4" w:rsidRDefault="006B4B67" w:rsidP="001A5CA7">
            <w:pPr>
              <w:ind w:firstLine="0"/>
              <w:rPr>
                <w:rFonts w:ascii="Times New Roman" w:hAnsi="Times New Roman" w:cs="Times New Roman"/>
                <w:sz w:val="20"/>
                <w:szCs w:val="20"/>
              </w:rPr>
            </w:pPr>
            <w:r w:rsidRPr="00E869A4">
              <w:rPr>
                <w:rFonts w:ascii="Times New Roman" w:hAnsi="Times New Roman" w:cs="Times New Roman"/>
                <w:sz w:val="20"/>
                <w:szCs w:val="20"/>
              </w:rPr>
              <w:t xml:space="preserve">$3,000 </w:t>
            </w:r>
            <w:r w:rsidR="001A5CA7" w:rsidRPr="00E869A4">
              <w:rPr>
                <w:rFonts w:ascii="Times New Roman" w:hAnsi="Times New Roman" w:cs="Times New Roman"/>
                <w:sz w:val="20"/>
                <w:szCs w:val="20"/>
              </w:rPr>
              <w:t xml:space="preserve">TTD </w:t>
            </w:r>
            <w:r w:rsidRPr="00E869A4">
              <w:rPr>
                <w:rFonts w:ascii="Times New Roman" w:hAnsi="Times New Roman" w:cs="Times New Roman"/>
                <w:sz w:val="20"/>
                <w:szCs w:val="20"/>
              </w:rPr>
              <w:t>minimum after 750 week of contributions, effectively flat rate</w:t>
            </w:r>
          </w:p>
        </w:tc>
        <w:tc>
          <w:tcPr>
            <w:tcW w:w="3411" w:type="dxa"/>
          </w:tcPr>
          <w:p w14:paraId="7AD6E18B" w14:textId="54C1C4D5" w:rsidR="006B4B67" w:rsidRPr="00E869A4" w:rsidRDefault="001A5CA7" w:rsidP="008B16DA">
            <w:pPr>
              <w:ind w:firstLine="0"/>
              <w:rPr>
                <w:rFonts w:ascii="Times New Roman" w:hAnsi="Times New Roman" w:cs="Times New Roman"/>
                <w:sz w:val="20"/>
                <w:szCs w:val="20"/>
              </w:rPr>
            </w:pPr>
            <w:r w:rsidRPr="00E869A4">
              <w:rPr>
                <w:rFonts w:ascii="Times New Roman" w:hAnsi="Times New Roman" w:cs="Times New Roman"/>
                <w:sz w:val="20"/>
                <w:szCs w:val="20"/>
              </w:rPr>
              <w:t xml:space="preserve">DB rules vary by plan, new </w:t>
            </w:r>
            <w:r w:rsidR="006B4B67" w:rsidRPr="00E869A4">
              <w:rPr>
                <w:rFonts w:ascii="Times New Roman" w:hAnsi="Times New Roman" w:cs="Times New Roman"/>
                <w:sz w:val="20"/>
                <w:szCs w:val="20"/>
              </w:rPr>
              <w:t xml:space="preserve">$3,000 </w:t>
            </w:r>
            <w:r w:rsidRPr="00E869A4">
              <w:rPr>
                <w:rFonts w:ascii="Times New Roman" w:hAnsi="Times New Roman" w:cs="Times New Roman"/>
                <w:sz w:val="20"/>
                <w:szCs w:val="20"/>
              </w:rPr>
              <w:t xml:space="preserve">TTD </w:t>
            </w:r>
            <w:r w:rsidR="006B4B67" w:rsidRPr="00E869A4">
              <w:rPr>
                <w:rFonts w:ascii="Times New Roman" w:hAnsi="Times New Roman" w:cs="Times New Roman"/>
                <w:sz w:val="20"/>
                <w:szCs w:val="20"/>
              </w:rPr>
              <w:t>minimum,</w:t>
            </w:r>
            <w:r w:rsidRPr="00E869A4">
              <w:rPr>
                <w:rFonts w:ascii="Times New Roman" w:hAnsi="Times New Roman" w:cs="Times New Roman"/>
                <w:sz w:val="20"/>
                <w:szCs w:val="20"/>
              </w:rPr>
              <w:t xml:space="preserve"> </w:t>
            </w:r>
            <w:r w:rsidR="006B4B67" w:rsidRPr="00E869A4">
              <w:rPr>
                <w:rFonts w:ascii="Times New Roman" w:hAnsi="Times New Roman" w:cs="Times New Roman"/>
                <w:sz w:val="20"/>
                <w:szCs w:val="20"/>
              </w:rPr>
              <w:t>maximum 2/3: 85% salary</w:t>
            </w:r>
          </w:p>
        </w:tc>
        <w:tc>
          <w:tcPr>
            <w:tcW w:w="4017" w:type="dxa"/>
          </w:tcPr>
          <w:p w14:paraId="20977C7F"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Typically DB: no guaranteed indexation, some insurance benefits, DC: linked to returns</w:t>
            </w:r>
          </w:p>
        </w:tc>
      </w:tr>
      <w:tr w:rsidR="006B4B67" w:rsidRPr="00E869A4" w14:paraId="4CC236D8" w14:textId="77777777" w:rsidTr="008B16DA">
        <w:trPr>
          <w:jc w:val="center"/>
        </w:trPr>
        <w:tc>
          <w:tcPr>
            <w:tcW w:w="1702" w:type="dxa"/>
          </w:tcPr>
          <w:p w14:paraId="1F1D0A5D" w14:textId="77777777" w:rsidR="006B4B67" w:rsidRPr="00E869A4" w:rsidRDefault="006B4B67" w:rsidP="008B16DA">
            <w:pPr>
              <w:ind w:firstLine="55"/>
              <w:jc w:val="center"/>
              <w:rPr>
                <w:rFonts w:ascii="Times New Roman" w:hAnsi="Times New Roman" w:cs="Times New Roman"/>
                <w:i/>
                <w:sz w:val="20"/>
                <w:szCs w:val="20"/>
              </w:rPr>
            </w:pPr>
            <w:r w:rsidRPr="00E869A4">
              <w:rPr>
                <w:rFonts w:ascii="Times New Roman" w:hAnsi="Times New Roman" w:cs="Times New Roman"/>
                <w:i/>
                <w:sz w:val="20"/>
                <w:szCs w:val="20"/>
              </w:rPr>
              <w:t>Coverage</w:t>
            </w:r>
          </w:p>
        </w:tc>
        <w:tc>
          <w:tcPr>
            <w:tcW w:w="4111" w:type="dxa"/>
          </w:tcPr>
          <w:p w14:paraId="382342DD"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All 65+, means tested</w:t>
            </w:r>
          </w:p>
        </w:tc>
        <w:tc>
          <w:tcPr>
            <w:tcW w:w="3685" w:type="dxa"/>
          </w:tcPr>
          <w:p w14:paraId="3BC8F127"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All employed, 85% coverage in 2009, self-employed to be</w:t>
            </w:r>
          </w:p>
          <w:p w14:paraId="26D828FB" w14:textId="77777777" w:rsidR="006B4B67" w:rsidRPr="00E869A4" w:rsidRDefault="006B4B67" w:rsidP="004763B1">
            <w:pPr>
              <w:ind w:firstLine="55"/>
              <w:rPr>
                <w:rFonts w:ascii="Times New Roman" w:hAnsi="Times New Roman" w:cs="Times New Roman"/>
                <w:sz w:val="20"/>
                <w:szCs w:val="20"/>
              </w:rPr>
            </w:pPr>
            <w:r w:rsidRPr="00E869A4">
              <w:rPr>
                <w:rFonts w:ascii="Times New Roman" w:hAnsi="Times New Roman" w:cs="Times New Roman"/>
                <w:sz w:val="20"/>
                <w:szCs w:val="20"/>
              </w:rPr>
              <w:t>added</w:t>
            </w:r>
          </w:p>
        </w:tc>
        <w:tc>
          <w:tcPr>
            <w:tcW w:w="3411" w:type="dxa"/>
          </w:tcPr>
          <w:p w14:paraId="4DA8E76B"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Membership of relevant profession and plan rules</w:t>
            </w:r>
          </w:p>
        </w:tc>
        <w:tc>
          <w:tcPr>
            <w:tcW w:w="4017" w:type="dxa"/>
          </w:tcPr>
          <w:p w14:paraId="63C2E396"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As per plan rules, 37–55,000 active members, 140,000</w:t>
            </w:r>
          </w:p>
          <w:p w14:paraId="46A1EB07" w14:textId="77777777" w:rsidR="006B4B67" w:rsidRPr="00E869A4" w:rsidRDefault="006B4B67" w:rsidP="008B16DA">
            <w:pPr>
              <w:ind w:firstLine="0"/>
              <w:rPr>
                <w:rFonts w:ascii="Times New Roman" w:hAnsi="Times New Roman" w:cs="Times New Roman"/>
                <w:sz w:val="20"/>
                <w:szCs w:val="20"/>
              </w:rPr>
            </w:pPr>
            <w:r w:rsidRPr="00E869A4">
              <w:rPr>
                <w:rFonts w:ascii="Times New Roman" w:hAnsi="Times New Roman" w:cs="Times New Roman"/>
                <w:sz w:val="20"/>
                <w:szCs w:val="20"/>
              </w:rPr>
              <w:t>annuity policies</w:t>
            </w:r>
          </w:p>
        </w:tc>
      </w:tr>
    </w:tbl>
    <w:p w14:paraId="41CC297E" w14:textId="77777777" w:rsidR="008B16DA" w:rsidRPr="00E869A4" w:rsidRDefault="008B16DA" w:rsidP="009E0BFD">
      <w:pPr>
        <w:rPr>
          <w:rFonts w:ascii="Times New Roman" w:hAnsi="Times New Roman" w:cs="Times New Roman"/>
          <w:b/>
          <w:i/>
        </w:rPr>
      </w:pPr>
    </w:p>
    <w:p w14:paraId="51BEEB5D" w14:textId="3273C818" w:rsidR="009E0BFD" w:rsidRPr="00E869A4" w:rsidRDefault="006B4B67" w:rsidP="009E0BFD">
      <w:pPr>
        <w:rPr>
          <w:rFonts w:ascii="Times New Roman" w:hAnsi="Times New Roman" w:cs="Times New Roman"/>
          <w:i/>
        </w:rPr>
        <w:sectPr w:rsidR="009E0BFD" w:rsidRPr="00E869A4" w:rsidSect="00446CB8">
          <w:type w:val="nextColumn"/>
          <w:pgSz w:w="20160" w:h="12240" w:orient="landscape" w:code="5"/>
          <w:pgMar w:top="1440" w:right="851" w:bottom="1440" w:left="1134" w:header="708" w:footer="708" w:gutter="0"/>
          <w:cols w:space="720"/>
          <w:docGrid w:linePitch="326"/>
        </w:sectPr>
      </w:pPr>
      <w:r w:rsidRPr="00E869A4">
        <w:rPr>
          <w:rFonts w:ascii="Times New Roman" w:hAnsi="Times New Roman" w:cs="Times New Roman"/>
          <w:b/>
          <w:i/>
        </w:rPr>
        <w:t>Note</w:t>
      </w:r>
      <w:r w:rsidRPr="00E869A4">
        <w:rPr>
          <w:rFonts w:ascii="Times New Roman" w:hAnsi="Times New Roman" w:cs="Times New Roman"/>
          <w:i/>
        </w:rPr>
        <w:t>: DB = defined benefit; DC = defined contribution; NIBTT = National Insurance Board of</w:t>
      </w:r>
      <w:r w:rsidR="008C76CE" w:rsidRPr="00E869A4">
        <w:rPr>
          <w:rFonts w:ascii="Times New Roman" w:hAnsi="Times New Roman" w:cs="Times New Roman"/>
          <w:i/>
        </w:rPr>
        <w:t xml:space="preserve"> </w:t>
      </w:r>
      <w:r w:rsidR="008C76CE" w:rsidRPr="00E869A4">
        <w:rPr>
          <w:rFonts w:ascii="Times New Roman" w:eastAsiaTheme="majorEastAsia" w:hAnsi="Times New Roman" w:cs="Times New Roman"/>
          <w:bCs/>
          <w:i/>
          <w:szCs w:val="26"/>
        </w:rPr>
        <w:t>T&amp;T</w:t>
      </w:r>
      <w:r w:rsidRPr="00E869A4">
        <w:rPr>
          <w:rFonts w:ascii="Times New Roman" w:hAnsi="Times New Roman" w:cs="Times New Roman"/>
          <w:i/>
        </w:rPr>
        <w:t>; NIS</w:t>
      </w:r>
      <w:r w:rsidR="00D41C8E" w:rsidRPr="00E869A4">
        <w:rPr>
          <w:rFonts w:ascii="Times New Roman" w:hAnsi="Times New Roman" w:cs="Times New Roman"/>
          <w:i/>
        </w:rPr>
        <w:fldChar w:fldCharType="begin"/>
      </w:r>
      <w:r w:rsidRPr="00E869A4">
        <w:rPr>
          <w:rFonts w:ascii="Times New Roman" w:hAnsi="Times New Roman" w:cs="Times New Roman"/>
        </w:rPr>
        <w:instrText xml:space="preserve"> XE "NIS" </w:instrText>
      </w:r>
      <w:r w:rsidR="00D41C8E" w:rsidRPr="00E869A4">
        <w:rPr>
          <w:rFonts w:ascii="Times New Roman" w:hAnsi="Times New Roman" w:cs="Times New Roman"/>
          <w:i/>
        </w:rPr>
        <w:fldChar w:fldCharType="end"/>
      </w:r>
      <w:r w:rsidRPr="00E869A4">
        <w:rPr>
          <w:rFonts w:ascii="Times New Roman" w:hAnsi="Times New Roman" w:cs="Times New Roman"/>
          <w:i/>
        </w:rPr>
        <w:t xml:space="preserve"> = National Insurance Scheme</w:t>
      </w:r>
    </w:p>
    <w:p w14:paraId="500F4615" w14:textId="08AFA935" w:rsidR="008B16DA" w:rsidRPr="00E869A4" w:rsidRDefault="008B16DA" w:rsidP="008B16DA">
      <w:pPr>
        <w:pStyle w:val="Caption"/>
        <w:rPr>
          <w:b/>
          <w:i w:val="0"/>
          <w:sz w:val="28"/>
        </w:rPr>
      </w:pPr>
      <w:bookmarkStart w:id="454" w:name="_Toc40436623"/>
      <w:r w:rsidRPr="00E869A4">
        <w:rPr>
          <w:b/>
          <w:i w:val="0"/>
          <w:sz w:val="28"/>
        </w:rPr>
        <w:lastRenderedPageBreak/>
        <w:t xml:space="preserve">Appendix </w:t>
      </w:r>
      <w:r w:rsidRPr="00E869A4">
        <w:rPr>
          <w:b/>
          <w:i w:val="0"/>
          <w:sz w:val="28"/>
        </w:rPr>
        <w:fldChar w:fldCharType="begin"/>
      </w:r>
      <w:r w:rsidRPr="00E869A4">
        <w:rPr>
          <w:b/>
          <w:i w:val="0"/>
          <w:sz w:val="28"/>
        </w:rPr>
        <w:instrText xml:space="preserve"> SEQ Appendix \* ARABIC </w:instrText>
      </w:r>
      <w:r w:rsidRPr="00E869A4">
        <w:rPr>
          <w:b/>
          <w:i w:val="0"/>
          <w:sz w:val="28"/>
        </w:rPr>
        <w:fldChar w:fldCharType="separate"/>
      </w:r>
      <w:r w:rsidR="00D7239F">
        <w:rPr>
          <w:b/>
          <w:i w:val="0"/>
          <w:noProof/>
          <w:sz w:val="28"/>
        </w:rPr>
        <w:t>3</w:t>
      </w:r>
      <w:r w:rsidRPr="00E869A4">
        <w:rPr>
          <w:b/>
          <w:i w:val="0"/>
          <w:sz w:val="28"/>
        </w:rPr>
        <w:fldChar w:fldCharType="end"/>
      </w:r>
      <w:r w:rsidRPr="00E869A4">
        <w:rPr>
          <w:b/>
          <w:i w:val="0"/>
          <w:sz w:val="28"/>
        </w:rPr>
        <w:t xml:space="preserve">: </w:t>
      </w:r>
      <w:r w:rsidRPr="00E869A4">
        <w:rPr>
          <w:b/>
          <w:i w:val="0"/>
          <w:noProof/>
          <w:sz w:val="28"/>
        </w:rPr>
        <w:t>Dimensions &amp; Components of Care</w:t>
      </w:r>
      <w:bookmarkEnd w:id="454"/>
    </w:p>
    <w:p w14:paraId="55FB1185" w14:textId="77777777" w:rsidR="008B16DA" w:rsidRPr="00E869A4" w:rsidRDefault="008B16DA" w:rsidP="00175C3E">
      <w:pPr>
        <w:pStyle w:val="Heading2"/>
      </w:pPr>
    </w:p>
    <w:tbl>
      <w:tblPr>
        <w:tblStyle w:val="LightGrid-Accent5"/>
        <w:tblW w:w="9295" w:type="dxa"/>
        <w:jc w:val="center"/>
        <w:tblLook w:val="04A0" w:firstRow="1" w:lastRow="0" w:firstColumn="1" w:lastColumn="0" w:noHBand="0" w:noVBand="1"/>
      </w:tblPr>
      <w:tblGrid>
        <w:gridCol w:w="3402"/>
        <w:gridCol w:w="5893"/>
      </w:tblGrid>
      <w:tr w:rsidR="00C714D3" w:rsidRPr="00E869A4" w14:paraId="615BD0D9" w14:textId="77777777" w:rsidTr="008B16D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02" w:type="dxa"/>
          </w:tcPr>
          <w:p w14:paraId="7C362C1E" w14:textId="77777777" w:rsidR="00EF2750" w:rsidRPr="00E869A4" w:rsidRDefault="00EF2750" w:rsidP="00FF4FE1">
            <w:pPr>
              <w:jc w:val="center"/>
              <w:rPr>
                <w:rFonts w:ascii="Times New Roman" w:hAnsi="Times New Roman" w:cs="Times New Roman"/>
                <w:caps/>
                <w:sz w:val="22"/>
              </w:rPr>
            </w:pPr>
            <w:r w:rsidRPr="00E869A4">
              <w:rPr>
                <w:rFonts w:ascii="Times New Roman" w:hAnsi="Times New Roman" w:cs="Times New Roman"/>
                <w:caps/>
                <w:sz w:val="22"/>
              </w:rPr>
              <w:t>Dimensions</w:t>
            </w:r>
          </w:p>
        </w:tc>
        <w:tc>
          <w:tcPr>
            <w:tcW w:w="5893" w:type="dxa"/>
          </w:tcPr>
          <w:p w14:paraId="454774E2" w14:textId="77777777" w:rsidR="00EF2750" w:rsidRPr="00E869A4" w:rsidRDefault="00EF2750" w:rsidP="00FF4F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sz w:val="22"/>
              </w:rPr>
            </w:pPr>
            <w:r w:rsidRPr="00E869A4">
              <w:rPr>
                <w:rFonts w:ascii="Times New Roman" w:hAnsi="Times New Roman" w:cs="Times New Roman"/>
                <w:caps/>
                <w:sz w:val="22"/>
              </w:rPr>
              <w:t>Components</w:t>
            </w:r>
          </w:p>
        </w:tc>
      </w:tr>
      <w:tr w:rsidR="00C714D3" w:rsidRPr="00E869A4" w14:paraId="5BC89E8E" w14:textId="77777777" w:rsidTr="008B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1A68115E"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Nature of Care</w:t>
            </w:r>
          </w:p>
        </w:tc>
        <w:tc>
          <w:tcPr>
            <w:tcW w:w="5893" w:type="dxa"/>
          </w:tcPr>
          <w:p w14:paraId="256EF248"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Disposition</w:t>
            </w:r>
          </w:p>
          <w:p w14:paraId="2C51714D"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Activity</w:t>
            </w:r>
          </w:p>
          <w:p w14:paraId="4B7452D7"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Relational</w:t>
            </w:r>
          </w:p>
          <w:p w14:paraId="489AE0F7"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Process (caring about; taking care of; caregiving; care-receiving)</w:t>
            </w:r>
          </w:p>
          <w:p w14:paraId="78B53BEB"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Oriented to other</w:t>
            </w:r>
          </w:p>
        </w:tc>
      </w:tr>
      <w:tr w:rsidR="00C714D3" w:rsidRPr="00E869A4" w14:paraId="68CF6D3A" w14:textId="77777777" w:rsidTr="008B16D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3A7794EA"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Social Identity of the Caregiver</w:t>
            </w:r>
          </w:p>
        </w:tc>
        <w:tc>
          <w:tcPr>
            <w:tcW w:w="5893" w:type="dxa"/>
          </w:tcPr>
          <w:p w14:paraId="18989AFE"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Socio-demographic characteristics</w:t>
            </w:r>
          </w:p>
          <w:p w14:paraId="317ECEC7"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Social roles</w:t>
            </w:r>
          </w:p>
        </w:tc>
      </w:tr>
      <w:tr w:rsidR="00C714D3" w:rsidRPr="00E869A4" w14:paraId="7B14423E" w14:textId="77777777" w:rsidTr="008B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789E281A" w14:textId="4B5D561C"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 xml:space="preserve">Social Identity of the </w:t>
            </w:r>
            <w:r w:rsidR="00017799" w:rsidRPr="00E869A4">
              <w:rPr>
                <w:rFonts w:ascii="Times New Roman" w:hAnsi="Times New Roman" w:cs="Times New Roman"/>
                <w:iCs/>
                <w:sz w:val="20"/>
                <w:szCs w:val="21"/>
              </w:rPr>
              <w:t>Care recipient</w:t>
            </w:r>
          </w:p>
        </w:tc>
        <w:tc>
          <w:tcPr>
            <w:tcW w:w="5893" w:type="dxa"/>
          </w:tcPr>
          <w:p w14:paraId="66756C12"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Socio-demographic characteristics</w:t>
            </w:r>
          </w:p>
          <w:p w14:paraId="41BFEDD8"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Social roles</w:t>
            </w:r>
          </w:p>
        </w:tc>
      </w:tr>
      <w:tr w:rsidR="00C714D3" w:rsidRPr="00E869A4" w14:paraId="38950726" w14:textId="77777777" w:rsidTr="008B16D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533E4F5D"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Social Anchorage of the Care Relationship</w:t>
            </w:r>
          </w:p>
        </w:tc>
        <w:tc>
          <w:tcPr>
            <w:tcW w:w="5893" w:type="dxa"/>
          </w:tcPr>
          <w:p w14:paraId="187792F5"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Kinship</w:t>
            </w:r>
          </w:p>
          <w:p w14:paraId="3E4D7142"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Friendship</w:t>
            </w:r>
          </w:p>
          <w:p w14:paraId="3BFEC9EB"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Contractual</w:t>
            </w:r>
          </w:p>
        </w:tc>
      </w:tr>
      <w:tr w:rsidR="00C714D3" w:rsidRPr="00E869A4" w14:paraId="43313479" w14:textId="77777777" w:rsidTr="008B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48402149"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Social Domain of Care</w:t>
            </w:r>
          </w:p>
        </w:tc>
        <w:tc>
          <w:tcPr>
            <w:tcW w:w="5893" w:type="dxa"/>
          </w:tcPr>
          <w:p w14:paraId="5F49B73F"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Family and friends</w:t>
            </w:r>
          </w:p>
          <w:p w14:paraId="2A07E1E7"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State</w:t>
            </w:r>
          </w:p>
          <w:p w14:paraId="0B72119F"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Voluntary sector</w:t>
            </w:r>
          </w:p>
          <w:p w14:paraId="321AA4CE"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Market (formal; informal)</w:t>
            </w:r>
          </w:p>
        </w:tc>
      </w:tr>
      <w:tr w:rsidR="00C714D3" w:rsidRPr="00E869A4" w14:paraId="77E17241" w14:textId="77777777" w:rsidTr="008B16D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51B6E44A"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Location of Care</w:t>
            </w:r>
          </w:p>
        </w:tc>
        <w:tc>
          <w:tcPr>
            <w:tcW w:w="5893" w:type="dxa"/>
          </w:tcPr>
          <w:p w14:paraId="7060DF05"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Home</w:t>
            </w:r>
          </w:p>
          <w:p w14:paraId="4F58B17C"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Non-residential institution</w:t>
            </w:r>
          </w:p>
          <w:p w14:paraId="189DC6D4"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Residential institution</w:t>
            </w:r>
          </w:p>
        </w:tc>
      </w:tr>
      <w:tr w:rsidR="00C714D3" w:rsidRPr="00E869A4" w14:paraId="71F977E8" w14:textId="77777777" w:rsidTr="008B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1EE90D25"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Care Purpose</w:t>
            </w:r>
          </w:p>
        </w:tc>
        <w:tc>
          <w:tcPr>
            <w:tcW w:w="5893" w:type="dxa"/>
          </w:tcPr>
          <w:p w14:paraId="6DA9FCB6"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Meeting instrumental needs</w:t>
            </w:r>
          </w:p>
          <w:p w14:paraId="2D50BBC4"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Meeting socio-emotional needs</w:t>
            </w:r>
          </w:p>
          <w:p w14:paraId="0D402C8B"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Meeting supervision/monitoring needs</w:t>
            </w:r>
          </w:p>
        </w:tc>
      </w:tr>
      <w:tr w:rsidR="00C714D3" w:rsidRPr="00E869A4" w14:paraId="058051CC" w14:textId="77777777" w:rsidTr="008B16D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0A79EDF4"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Caregiving Tasks</w:t>
            </w:r>
          </w:p>
        </w:tc>
        <w:tc>
          <w:tcPr>
            <w:tcW w:w="5893" w:type="dxa"/>
          </w:tcPr>
          <w:p w14:paraId="02AA680F"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Instrumental (activities of daily living and instrumental activities of daily living)</w:t>
            </w:r>
          </w:p>
          <w:p w14:paraId="5E66C6B0"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Socio-emotional</w:t>
            </w:r>
          </w:p>
          <w:p w14:paraId="27E13378"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Supervision/monitoring</w:t>
            </w:r>
          </w:p>
        </w:tc>
      </w:tr>
      <w:tr w:rsidR="00C714D3" w:rsidRPr="00E869A4" w14:paraId="4378F7EC" w14:textId="77777777" w:rsidTr="008B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26CEB25D"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Conditions of Care Work</w:t>
            </w:r>
          </w:p>
        </w:tc>
        <w:tc>
          <w:tcPr>
            <w:tcW w:w="5893" w:type="dxa"/>
          </w:tcPr>
          <w:p w14:paraId="629D568D"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Care work schedule</w:t>
            </w:r>
          </w:p>
          <w:p w14:paraId="490E44FA"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Paid/Unpaid</w:t>
            </w:r>
          </w:p>
        </w:tc>
      </w:tr>
      <w:tr w:rsidR="00C714D3" w:rsidRPr="00E869A4" w14:paraId="41D216F1" w14:textId="77777777" w:rsidTr="008B16D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12CBEF0E"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Caregiving Approach</w:t>
            </w:r>
          </w:p>
        </w:tc>
        <w:tc>
          <w:tcPr>
            <w:tcW w:w="5893" w:type="dxa"/>
          </w:tcPr>
          <w:p w14:paraId="349EA927"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Focus of attention (task-oriented; person-oriented)</w:t>
            </w:r>
          </w:p>
          <w:p w14:paraId="45CC186E"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Use of power (directive; facilitative)</w:t>
            </w:r>
          </w:p>
        </w:tc>
      </w:tr>
      <w:tr w:rsidR="00C714D3" w:rsidRPr="00E869A4" w14:paraId="6125B13A" w14:textId="77777777" w:rsidTr="008B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33C6F35E"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Consequences of Care</w:t>
            </w:r>
          </w:p>
        </w:tc>
        <w:tc>
          <w:tcPr>
            <w:tcW w:w="5893" w:type="dxa"/>
          </w:tcPr>
          <w:p w14:paraId="7273327D"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Positive</w:t>
            </w:r>
          </w:p>
          <w:p w14:paraId="4864E157"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Negative</w:t>
            </w:r>
          </w:p>
        </w:tc>
      </w:tr>
      <w:tr w:rsidR="00C714D3" w:rsidRPr="00E869A4" w14:paraId="238AC62E" w14:textId="77777777" w:rsidTr="008B16D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7E0CEA1D"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Contexts of Care</w:t>
            </w:r>
          </w:p>
        </w:tc>
        <w:tc>
          <w:tcPr>
            <w:tcW w:w="5893" w:type="dxa"/>
          </w:tcPr>
          <w:p w14:paraId="507E57E4"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Social</w:t>
            </w:r>
          </w:p>
          <w:p w14:paraId="19FE9B53"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Cultural</w:t>
            </w:r>
          </w:p>
          <w:p w14:paraId="57997C4B"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Economic</w:t>
            </w:r>
          </w:p>
          <w:p w14:paraId="36422B7A"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Political</w:t>
            </w:r>
          </w:p>
        </w:tc>
      </w:tr>
      <w:tr w:rsidR="00C714D3" w:rsidRPr="00E869A4" w14:paraId="521AA8B6" w14:textId="77777777" w:rsidTr="008B16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1DE1AAE7"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Foundations of Care</w:t>
            </w:r>
          </w:p>
        </w:tc>
        <w:tc>
          <w:tcPr>
            <w:tcW w:w="5893" w:type="dxa"/>
          </w:tcPr>
          <w:p w14:paraId="756631BD"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Love</w:t>
            </w:r>
          </w:p>
          <w:p w14:paraId="6C8F06FC"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Duty</w:t>
            </w:r>
          </w:p>
          <w:p w14:paraId="460BDDF8"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Responsibility</w:t>
            </w:r>
          </w:p>
          <w:p w14:paraId="504F46A3"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Reciprocity</w:t>
            </w:r>
          </w:p>
          <w:p w14:paraId="0C55C95D" w14:textId="77777777" w:rsidR="00EF2750" w:rsidRPr="00E869A4" w:rsidRDefault="00EF2750" w:rsidP="009D4C5D">
            <w:pPr>
              <w:pStyle w:val="ListParagraph"/>
              <w:numPr>
                <w:ilvl w:val="0"/>
                <w:numId w:val="6"/>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Solidarity</w:t>
            </w:r>
          </w:p>
        </w:tc>
      </w:tr>
      <w:tr w:rsidR="00C714D3" w:rsidRPr="00E869A4" w14:paraId="068A8079" w14:textId="77777777" w:rsidTr="008B16D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63C7233C" w14:textId="77777777" w:rsidR="00EF2750" w:rsidRPr="00E869A4" w:rsidRDefault="00EF2750" w:rsidP="009D4C5D">
            <w:pPr>
              <w:pStyle w:val="ListParagraph"/>
              <w:numPr>
                <w:ilvl w:val="0"/>
                <w:numId w:val="7"/>
              </w:numPr>
              <w:contextualSpacing w:val="0"/>
              <w:rPr>
                <w:rFonts w:ascii="Times New Roman" w:hAnsi="Times New Roman" w:cs="Times New Roman"/>
                <w:b w:val="0"/>
                <w:bCs w:val="0"/>
                <w:iCs/>
                <w:sz w:val="20"/>
                <w:szCs w:val="21"/>
              </w:rPr>
            </w:pPr>
            <w:r w:rsidRPr="00E869A4">
              <w:rPr>
                <w:rFonts w:ascii="Times New Roman" w:hAnsi="Times New Roman" w:cs="Times New Roman"/>
                <w:iCs/>
                <w:sz w:val="20"/>
                <w:szCs w:val="21"/>
              </w:rPr>
              <w:t>Level of Analysis</w:t>
            </w:r>
          </w:p>
        </w:tc>
        <w:tc>
          <w:tcPr>
            <w:tcW w:w="5893" w:type="dxa"/>
          </w:tcPr>
          <w:p w14:paraId="699F9BD2"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Macro</w:t>
            </w:r>
          </w:p>
          <w:p w14:paraId="2B29BE20"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Meso</w:t>
            </w:r>
          </w:p>
          <w:p w14:paraId="7B6FAE9C" w14:textId="77777777" w:rsidR="00EF2750" w:rsidRPr="00E869A4" w:rsidRDefault="00EF2750" w:rsidP="009D4C5D">
            <w:pPr>
              <w:pStyle w:val="ListParagraph"/>
              <w:numPr>
                <w:ilvl w:val="0"/>
                <w:numId w:val="6"/>
              </w:numPr>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1"/>
              </w:rPr>
            </w:pPr>
            <w:r w:rsidRPr="00E869A4">
              <w:rPr>
                <w:rFonts w:ascii="Times New Roman" w:hAnsi="Times New Roman" w:cs="Times New Roman"/>
                <w:sz w:val="20"/>
                <w:szCs w:val="21"/>
              </w:rPr>
              <w:t>Micro</w:t>
            </w:r>
          </w:p>
        </w:tc>
      </w:tr>
    </w:tbl>
    <w:p w14:paraId="491186FC" w14:textId="76A4FE63" w:rsidR="000A5EA9" w:rsidRPr="00E869A4" w:rsidRDefault="000A5EA9" w:rsidP="000A5EA9">
      <w:pPr>
        <w:pStyle w:val="Caption"/>
        <w:rPr>
          <w:b/>
          <w:i w:val="0"/>
          <w:sz w:val="28"/>
        </w:rPr>
      </w:pPr>
      <w:bookmarkStart w:id="455" w:name="_3as4poj" w:colFirst="0" w:colLast="0"/>
      <w:bookmarkStart w:id="456" w:name="_Toc507909127"/>
      <w:bookmarkStart w:id="457" w:name="_Toc40436624"/>
      <w:bookmarkEnd w:id="455"/>
      <w:r w:rsidRPr="00E869A4">
        <w:rPr>
          <w:b/>
          <w:i w:val="0"/>
          <w:sz w:val="28"/>
        </w:rPr>
        <w:lastRenderedPageBreak/>
        <w:t xml:space="preserve">Appendix </w:t>
      </w:r>
      <w:r w:rsidRPr="00E869A4">
        <w:rPr>
          <w:b/>
          <w:i w:val="0"/>
          <w:sz w:val="28"/>
        </w:rPr>
        <w:fldChar w:fldCharType="begin"/>
      </w:r>
      <w:r w:rsidRPr="00E869A4">
        <w:rPr>
          <w:b/>
          <w:i w:val="0"/>
          <w:sz w:val="28"/>
        </w:rPr>
        <w:instrText xml:space="preserve"> SEQ Appendix \* ARABIC </w:instrText>
      </w:r>
      <w:r w:rsidRPr="00E869A4">
        <w:rPr>
          <w:b/>
          <w:i w:val="0"/>
          <w:sz w:val="28"/>
        </w:rPr>
        <w:fldChar w:fldCharType="separate"/>
      </w:r>
      <w:r w:rsidR="00D7239F">
        <w:rPr>
          <w:b/>
          <w:i w:val="0"/>
          <w:noProof/>
          <w:sz w:val="28"/>
        </w:rPr>
        <w:t>4</w:t>
      </w:r>
      <w:r w:rsidRPr="00E869A4">
        <w:rPr>
          <w:b/>
          <w:i w:val="0"/>
          <w:sz w:val="28"/>
        </w:rPr>
        <w:fldChar w:fldCharType="end"/>
      </w:r>
      <w:r w:rsidRPr="00E869A4">
        <w:rPr>
          <w:b/>
          <w:i w:val="0"/>
          <w:sz w:val="28"/>
        </w:rPr>
        <w:t>:</w:t>
      </w:r>
      <w:r w:rsidR="00FE005D" w:rsidRPr="00E869A4">
        <w:rPr>
          <w:b/>
          <w:i w:val="0"/>
          <w:sz w:val="28"/>
        </w:rPr>
        <w:t xml:space="preserve"> </w:t>
      </w:r>
      <w:r w:rsidRPr="00E869A4">
        <w:rPr>
          <w:b/>
          <w:i w:val="0"/>
          <w:sz w:val="28"/>
        </w:rPr>
        <w:t>Information Sheet</w:t>
      </w:r>
      <w:r w:rsidR="00FE005D" w:rsidRPr="00E869A4">
        <w:rPr>
          <w:b/>
          <w:i w:val="0"/>
          <w:sz w:val="28"/>
        </w:rPr>
        <w:t xml:space="preserve"> &amp; Consent Form</w:t>
      </w:r>
      <w:bookmarkEnd w:id="457"/>
    </w:p>
    <w:p w14:paraId="5081341B" w14:textId="77777777" w:rsidR="00FE005D" w:rsidRPr="00E869A4" w:rsidRDefault="00FE005D" w:rsidP="00FE005D">
      <w:pPr>
        <w:ind w:firstLine="0"/>
        <w:rPr>
          <w:b/>
          <w:u w:val="single"/>
        </w:rPr>
      </w:pPr>
      <w:bookmarkStart w:id="458" w:name="_Toc507909118"/>
      <w:bookmarkStart w:id="459" w:name="_Toc6877348"/>
    </w:p>
    <w:p w14:paraId="19F1AF91" w14:textId="361D40F8" w:rsidR="002943F6" w:rsidRPr="00E869A4" w:rsidRDefault="009847A0" w:rsidP="00FE005D">
      <w:pPr>
        <w:ind w:firstLine="0"/>
        <w:rPr>
          <w:b/>
          <w:u w:val="single"/>
        </w:rPr>
      </w:pPr>
      <w:r w:rsidRPr="00E869A4">
        <w:rPr>
          <w:b/>
          <w:u w:val="single"/>
        </w:rPr>
        <w:t>A</w:t>
      </w:r>
      <w:r w:rsidR="00C33EE4" w:rsidRPr="00E869A4">
        <w:rPr>
          <w:b/>
          <w:u w:val="single"/>
        </w:rPr>
        <w:t>.</w:t>
      </w:r>
      <w:r w:rsidRPr="00E869A4">
        <w:rPr>
          <w:b/>
          <w:u w:val="single"/>
        </w:rPr>
        <w:t xml:space="preserve"> </w:t>
      </w:r>
      <w:r w:rsidR="002943F6" w:rsidRPr="00E869A4">
        <w:rPr>
          <w:b/>
          <w:u w:val="single"/>
        </w:rPr>
        <w:t>INFORMATION SHEET</w:t>
      </w:r>
      <w:bookmarkEnd w:id="458"/>
      <w:bookmarkEnd w:id="459"/>
    </w:p>
    <w:p w14:paraId="34657F9B" w14:textId="77777777" w:rsidR="002943F6" w:rsidRPr="00E869A4" w:rsidRDefault="002943F6" w:rsidP="002943F6">
      <w:pPr>
        <w:rPr>
          <w:b/>
        </w:rPr>
      </w:pPr>
    </w:p>
    <w:p w14:paraId="36F5897E" w14:textId="77777777" w:rsidR="00557AB0" w:rsidRPr="00E869A4" w:rsidRDefault="002943F6" w:rsidP="00557AB0">
      <w:pPr>
        <w:ind w:firstLine="0"/>
        <w:jc w:val="center"/>
        <w:rPr>
          <w:b/>
        </w:rPr>
      </w:pPr>
      <w:r w:rsidRPr="00E869A4">
        <w:rPr>
          <w:b/>
        </w:rPr>
        <w:t>FAMILY CARE FOR FRAIL OLDER PERSONS</w:t>
      </w:r>
      <w:r w:rsidR="00557AB0" w:rsidRPr="00E869A4">
        <w:rPr>
          <w:b/>
        </w:rPr>
        <w:t xml:space="preserve">: </w:t>
      </w:r>
    </w:p>
    <w:p w14:paraId="752AF54E" w14:textId="04A8887C" w:rsidR="002943F6" w:rsidRPr="00E869A4" w:rsidRDefault="002943F6" w:rsidP="00557AB0">
      <w:pPr>
        <w:ind w:firstLine="0"/>
        <w:jc w:val="center"/>
        <w:rPr>
          <w:b/>
        </w:rPr>
      </w:pPr>
      <w:r w:rsidRPr="00E869A4">
        <w:rPr>
          <w:b/>
        </w:rPr>
        <w:t>ARE YOU WILLING TO TALK TO ME?</w:t>
      </w:r>
    </w:p>
    <w:p w14:paraId="0C11AB9F" w14:textId="77777777" w:rsidR="002943F6" w:rsidRPr="00E869A4" w:rsidRDefault="002943F6" w:rsidP="00557AB0">
      <w:pPr>
        <w:ind w:firstLine="0"/>
        <w:rPr>
          <w:b/>
          <w:bCs/>
        </w:rPr>
      </w:pPr>
      <w:r w:rsidRPr="00E869A4">
        <w:rPr>
          <w:b/>
        </w:rPr>
        <w:t>Who am I?</w:t>
      </w:r>
    </w:p>
    <w:p w14:paraId="064E4566" w14:textId="77777777" w:rsidR="00557AB0" w:rsidRPr="00E869A4" w:rsidRDefault="00557AB0" w:rsidP="00557AB0">
      <w:pPr>
        <w:ind w:firstLine="0"/>
        <w:rPr>
          <w:rFonts w:ascii="Times New Roman" w:hAnsi="Times New Roman" w:cs="Times New Roman"/>
        </w:rPr>
      </w:pPr>
    </w:p>
    <w:p w14:paraId="1CF1B706" w14:textId="77777777" w:rsidR="002943F6" w:rsidRPr="00E869A4" w:rsidRDefault="002943F6" w:rsidP="00557AB0">
      <w:pPr>
        <w:ind w:firstLine="0"/>
        <w:rPr>
          <w:rFonts w:ascii="Times New Roman" w:hAnsi="Times New Roman" w:cs="Times New Roman"/>
          <w:b/>
        </w:rPr>
      </w:pPr>
      <w:r w:rsidRPr="00E869A4">
        <w:rPr>
          <w:rFonts w:ascii="Times New Roman" w:hAnsi="Times New Roman" w:cs="Times New Roman"/>
        </w:rPr>
        <w:t xml:space="preserve">My name is Hyacinth Blake and I am a full-time joint-location PhD student at the University of Sheffield (UK). I am a Trinidadian and I am in my final year of studies. </w:t>
      </w:r>
    </w:p>
    <w:p w14:paraId="000726DE" w14:textId="77777777" w:rsidR="002943F6" w:rsidRPr="00E869A4" w:rsidRDefault="002943F6" w:rsidP="002943F6">
      <w:pPr>
        <w:rPr>
          <w:rFonts w:ascii="Times New Roman" w:hAnsi="Times New Roman" w:cs="Times New Roman"/>
          <w:b/>
        </w:rPr>
      </w:pPr>
    </w:p>
    <w:p w14:paraId="2D6AC347" w14:textId="77777777" w:rsidR="002943F6" w:rsidRPr="00E869A4" w:rsidRDefault="002943F6" w:rsidP="000B1CCB">
      <w:pPr>
        <w:ind w:firstLine="0"/>
        <w:rPr>
          <w:b/>
        </w:rPr>
      </w:pPr>
      <w:bookmarkStart w:id="460" w:name="_Toc6877349"/>
      <w:r w:rsidRPr="00E869A4">
        <w:rPr>
          <w:b/>
        </w:rPr>
        <w:t>What am I doing?</w:t>
      </w:r>
      <w:bookmarkEnd w:id="460"/>
    </w:p>
    <w:p w14:paraId="03C90298" w14:textId="77777777" w:rsidR="00557AB0" w:rsidRPr="00E869A4" w:rsidRDefault="00557AB0" w:rsidP="00557AB0">
      <w:pPr>
        <w:ind w:firstLine="0"/>
        <w:rPr>
          <w:rFonts w:ascii="Times New Roman" w:hAnsi="Times New Roman" w:cs="Times New Roman"/>
        </w:rPr>
      </w:pPr>
    </w:p>
    <w:p w14:paraId="73D25036"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I am studying frail older persons and how their family and friends help support and care for them. The information I obtain will be used to help develop social policy and social service recommendations to help frail older persons and the persons caring for them in Trinidad and Tobago. These recommendations will be noted in my PhD thesis.</w:t>
      </w:r>
    </w:p>
    <w:p w14:paraId="665C11CA" w14:textId="77777777" w:rsidR="002943F6" w:rsidRPr="00E869A4" w:rsidRDefault="002943F6" w:rsidP="002943F6">
      <w:pPr>
        <w:rPr>
          <w:rFonts w:ascii="Times New Roman" w:hAnsi="Times New Roman" w:cs="Times New Roman"/>
          <w:b/>
        </w:rPr>
      </w:pPr>
    </w:p>
    <w:p w14:paraId="75235B0E" w14:textId="77777777" w:rsidR="002943F6" w:rsidRPr="00E869A4" w:rsidRDefault="002943F6" w:rsidP="000B1CCB">
      <w:pPr>
        <w:ind w:firstLine="0"/>
        <w:rPr>
          <w:b/>
        </w:rPr>
      </w:pPr>
      <w:bookmarkStart w:id="461" w:name="_Toc6877350"/>
      <w:r w:rsidRPr="00E869A4">
        <w:rPr>
          <w:b/>
        </w:rPr>
        <w:t>Who can get involved?</w:t>
      </w:r>
      <w:bookmarkEnd w:id="461"/>
    </w:p>
    <w:p w14:paraId="51753EF5" w14:textId="77777777" w:rsidR="00557AB0" w:rsidRPr="00E869A4" w:rsidRDefault="00557AB0" w:rsidP="00557AB0">
      <w:pPr>
        <w:ind w:firstLine="0"/>
        <w:rPr>
          <w:rFonts w:ascii="Times New Roman" w:hAnsi="Times New Roman" w:cs="Times New Roman"/>
        </w:rPr>
      </w:pPr>
    </w:p>
    <w:p w14:paraId="575E5EB7" w14:textId="24308074" w:rsidR="00A00BF8"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I would like to talk to anyone who is aged 60 years and over who is </w:t>
      </w:r>
      <w:r w:rsidRPr="00E869A4">
        <w:rPr>
          <w:rFonts w:ascii="Times New Roman" w:hAnsi="Times New Roman" w:cs="Times New Roman"/>
          <w:b/>
          <w:i/>
          <w:u w:val="single"/>
        </w:rPr>
        <w:t>physically frail</w:t>
      </w:r>
      <w:r w:rsidRPr="00E869A4">
        <w:rPr>
          <w:rFonts w:ascii="Times New Roman" w:hAnsi="Times New Roman" w:cs="Times New Roman"/>
        </w:rPr>
        <w:t xml:space="preserve"> and receives assistance as a result of their health status from family members or friends with any of the following activities:</w:t>
      </w:r>
    </w:p>
    <w:p w14:paraId="3B5E5734" w14:textId="77777777" w:rsidR="000413D8" w:rsidRPr="00E869A4" w:rsidRDefault="000413D8" w:rsidP="009D4C5D">
      <w:pPr>
        <w:numPr>
          <w:ilvl w:val="0"/>
          <w:numId w:val="67"/>
        </w:numPr>
        <w:pBdr>
          <w:top w:val="nil"/>
          <w:left w:val="nil"/>
          <w:bottom w:val="nil"/>
          <w:right w:val="nil"/>
          <w:between w:val="nil"/>
        </w:pBdr>
        <w:ind w:left="426"/>
        <w:rPr>
          <w:rFonts w:ascii="Times New Roman" w:hAnsi="Times New Roman" w:cs="Times New Roman"/>
        </w:rPr>
        <w:sectPr w:rsidR="000413D8" w:rsidRPr="00E869A4" w:rsidSect="00A00BF8">
          <w:footerReference w:type="default" r:id="rId55"/>
          <w:footerReference w:type="first" r:id="rId56"/>
          <w:type w:val="continuous"/>
          <w:pgSz w:w="12240" w:h="15840"/>
          <w:pgMar w:top="1440" w:right="851" w:bottom="1440" w:left="1134" w:header="708" w:footer="708" w:gutter="0"/>
          <w:cols w:space="708"/>
          <w:titlePg/>
          <w:docGrid w:linePitch="360"/>
        </w:sectPr>
      </w:pPr>
    </w:p>
    <w:p w14:paraId="3F6B48DD" w14:textId="2DAC0591"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lastRenderedPageBreak/>
        <w:t>Dressing/Grooming</w:t>
      </w:r>
    </w:p>
    <w:p w14:paraId="11D70B4C"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Bathing/Oral Care</w:t>
      </w:r>
    </w:p>
    <w:p w14:paraId="01D92141"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Eating</w:t>
      </w:r>
    </w:p>
    <w:p w14:paraId="01DD6866"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 xml:space="preserve">Housekeeping / Doing Laundry </w:t>
      </w:r>
    </w:p>
    <w:p w14:paraId="25FAC3DC"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Cooking</w:t>
      </w:r>
    </w:p>
    <w:p w14:paraId="20389F3E"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Shopping</w:t>
      </w:r>
    </w:p>
    <w:p w14:paraId="3741D4EE"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Walking / Climbing Stairs / Transferring</w:t>
      </w:r>
    </w:p>
    <w:p w14:paraId="73928C45"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lastRenderedPageBreak/>
        <w:t>Toileting</w:t>
      </w:r>
    </w:p>
    <w:p w14:paraId="581C1CCA"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Driving / Transportation</w:t>
      </w:r>
    </w:p>
    <w:p w14:paraId="4989569C"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Making House Repairs / Doing Yard work</w:t>
      </w:r>
    </w:p>
    <w:p w14:paraId="34CC87B9" w14:textId="77777777" w:rsidR="002943F6"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Taking Medication</w:t>
      </w:r>
    </w:p>
    <w:p w14:paraId="27E327B7" w14:textId="77777777" w:rsidR="00A00BF8" w:rsidRPr="00E869A4" w:rsidRDefault="002943F6" w:rsidP="009D4C5D">
      <w:pPr>
        <w:numPr>
          <w:ilvl w:val="0"/>
          <w:numId w:val="67"/>
        </w:numPr>
        <w:pBdr>
          <w:top w:val="nil"/>
          <w:left w:val="nil"/>
          <w:bottom w:val="nil"/>
          <w:right w:val="nil"/>
          <w:between w:val="nil"/>
        </w:pBdr>
        <w:ind w:left="426"/>
        <w:rPr>
          <w:rFonts w:ascii="Times New Roman" w:hAnsi="Times New Roman" w:cs="Times New Roman"/>
        </w:rPr>
      </w:pPr>
      <w:r w:rsidRPr="00E869A4">
        <w:rPr>
          <w:rFonts w:ascii="Times New Roman" w:hAnsi="Times New Roman" w:cs="Times New Roman"/>
        </w:rPr>
        <w:t xml:space="preserve">Direct financial support / </w:t>
      </w:r>
      <w:r w:rsidR="00557AB0" w:rsidRPr="00E869A4">
        <w:rPr>
          <w:rFonts w:ascii="Times New Roman" w:hAnsi="Times New Roman" w:cs="Times New Roman"/>
        </w:rPr>
        <w:t>managing</w:t>
      </w:r>
      <w:r w:rsidRPr="00E869A4">
        <w:rPr>
          <w:rFonts w:ascii="Times New Roman" w:hAnsi="Times New Roman" w:cs="Times New Roman"/>
        </w:rPr>
        <w:t xml:space="preserve"> financial affairs</w:t>
      </w:r>
    </w:p>
    <w:p w14:paraId="5A648532" w14:textId="3CF31EF2" w:rsidR="00A00BF8" w:rsidRPr="00E869A4" w:rsidRDefault="002943F6" w:rsidP="009D4C5D">
      <w:pPr>
        <w:numPr>
          <w:ilvl w:val="0"/>
          <w:numId w:val="67"/>
        </w:numPr>
        <w:pBdr>
          <w:top w:val="nil"/>
          <w:left w:val="nil"/>
          <w:bottom w:val="nil"/>
          <w:right w:val="nil"/>
          <w:between w:val="nil"/>
        </w:pBdr>
        <w:ind w:left="426" w:right="-519"/>
        <w:rPr>
          <w:rFonts w:ascii="Times New Roman" w:hAnsi="Times New Roman" w:cs="Times New Roman"/>
        </w:rPr>
      </w:pPr>
      <w:r w:rsidRPr="00E869A4">
        <w:rPr>
          <w:rFonts w:ascii="Times New Roman" w:hAnsi="Times New Roman" w:cs="Times New Roman"/>
        </w:rPr>
        <w:t>Arranging or monitoring outside help or services</w:t>
      </w:r>
    </w:p>
    <w:p w14:paraId="2ED7B466" w14:textId="77777777" w:rsidR="000413D8" w:rsidRPr="00E869A4" w:rsidRDefault="000413D8" w:rsidP="00A00BF8">
      <w:pPr>
        <w:widowControl w:val="0"/>
        <w:pBdr>
          <w:top w:val="nil"/>
          <w:left w:val="nil"/>
          <w:bottom w:val="nil"/>
          <w:right w:val="nil"/>
          <w:between w:val="nil"/>
        </w:pBdr>
        <w:ind w:left="360" w:firstLine="0"/>
        <w:rPr>
          <w:rFonts w:ascii="Times New Roman" w:hAnsi="Times New Roman" w:cs="Times New Roman"/>
        </w:rPr>
        <w:sectPr w:rsidR="000413D8" w:rsidRPr="00E869A4" w:rsidSect="006D5407">
          <w:type w:val="continuous"/>
          <w:pgSz w:w="12240" w:h="15840"/>
          <w:pgMar w:top="1440" w:right="851" w:bottom="1440" w:left="1134" w:header="708" w:footer="708" w:gutter="0"/>
          <w:cols w:num="2" w:space="235"/>
          <w:titlePg/>
          <w:docGrid w:linePitch="360"/>
        </w:sectPr>
      </w:pPr>
    </w:p>
    <w:p w14:paraId="31CE8752" w14:textId="5D56AC86" w:rsidR="002943F6" w:rsidRPr="00E869A4" w:rsidRDefault="002943F6" w:rsidP="00A00BF8">
      <w:pPr>
        <w:widowControl w:val="0"/>
        <w:pBdr>
          <w:top w:val="nil"/>
          <w:left w:val="nil"/>
          <w:bottom w:val="nil"/>
          <w:right w:val="nil"/>
          <w:between w:val="nil"/>
        </w:pBdr>
        <w:ind w:firstLine="0"/>
        <w:rPr>
          <w:rFonts w:ascii="Times New Roman" w:hAnsi="Times New Roman" w:cs="Times New Roman"/>
        </w:rPr>
      </w:pPr>
      <w:r w:rsidRPr="00E869A4">
        <w:rPr>
          <w:rFonts w:ascii="Times New Roman" w:hAnsi="Times New Roman" w:cs="Times New Roman"/>
        </w:rPr>
        <w:lastRenderedPageBreak/>
        <w:t>I also wish to speak to the family member or friend who provides the most support or assistance to the older person with these tasks, and any other person(s) who provide considerable care and support to the older person. Caregivers may or may not be living with the older persons.</w:t>
      </w:r>
    </w:p>
    <w:p w14:paraId="5B2A2E8D" w14:textId="77777777" w:rsidR="002943F6" w:rsidRPr="00E869A4" w:rsidRDefault="002943F6" w:rsidP="002943F6">
      <w:pPr>
        <w:ind w:left="360"/>
        <w:rPr>
          <w:rFonts w:ascii="Times New Roman" w:hAnsi="Times New Roman" w:cs="Times New Roman"/>
        </w:rPr>
      </w:pPr>
    </w:p>
    <w:p w14:paraId="7C48C849"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For ethical purposes, persons who are </w:t>
      </w:r>
      <w:r w:rsidRPr="00E869A4">
        <w:rPr>
          <w:rFonts w:ascii="Times New Roman" w:hAnsi="Times New Roman" w:cs="Times New Roman"/>
          <w:b/>
        </w:rPr>
        <w:t>mentally frail</w:t>
      </w:r>
      <w:r w:rsidRPr="00E869A4">
        <w:rPr>
          <w:rFonts w:ascii="Times New Roman" w:hAnsi="Times New Roman" w:cs="Times New Roman"/>
        </w:rPr>
        <w:t xml:space="preserve"> (</w:t>
      </w:r>
      <w:r w:rsidRPr="00E869A4">
        <w:rPr>
          <w:rFonts w:ascii="Times New Roman" w:hAnsi="Times New Roman" w:cs="Times New Roman"/>
          <w:i/>
        </w:rPr>
        <w:t>i.e. lack capacity to make a decision for themselves because of impairment or a disturbance in the functioning of the mind or brain</w:t>
      </w:r>
      <w:r w:rsidRPr="00E869A4">
        <w:rPr>
          <w:rFonts w:ascii="Times New Roman" w:hAnsi="Times New Roman" w:cs="Times New Roman"/>
        </w:rPr>
        <w:t xml:space="preserve">) </w:t>
      </w:r>
      <w:r w:rsidRPr="00E869A4">
        <w:rPr>
          <w:rFonts w:ascii="Times New Roman" w:hAnsi="Times New Roman" w:cs="Times New Roman"/>
          <w:u w:val="single"/>
        </w:rPr>
        <w:t>will not be included</w:t>
      </w:r>
      <w:r w:rsidRPr="00E869A4">
        <w:rPr>
          <w:rFonts w:ascii="Times New Roman" w:hAnsi="Times New Roman" w:cs="Times New Roman"/>
        </w:rPr>
        <w:t xml:space="preserve"> as participants in this study.</w:t>
      </w:r>
    </w:p>
    <w:p w14:paraId="0F389C66" w14:textId="77777777" w:rsidR="002943F6" w:rsidRPr="00E869A4" w:rsidRDefault="002943F6" w:rsidP="002943F6">
      <w:pPr>
        <w:rPr>
          <w:rFonts w:ascii="Times New Roman" w:hAnsi="Times New Roman" w:cs="Times New Roman"/>
        </w:rPr>
      </w:pPr>
    </w:p>
    <w:p w14:paraId="09D49C8C" w14:textId="77777777" w:rsidR="002943F6" w:rsidRPr="00E869A4" w:rsidRDefault="002943F6" w:rsidP="000B1CCB">
      <w:pPr>
        <w:ind w:firstLine="0"/>
        <w:rPr>
          <w:b/>
        </w:rPr>
      </w:pPr>
      <w:bookmarkStart w:id="462" w:name="_Toc6877351"/>
      <w:r w:rsidRPr="00E869A4">
        <w:rPr>
          <w:b/>
        </w:rPr>
        <w:t>Is your participation compulsory?</w:t>
      </w:r>
      <w:bookmarkEnd w:id="462"/>
    </w:p>
    <w:p w14:paraId="725A3589" w14:textId="77777777" w:rsidR="00557AB0" w:rsidRPr="00E869A4" w:rsidRDefault="00557AB0" w:rsidP="00557AB0">
      <w:pPr>
        <w:ind w:firstLine="0"/>
        <w:rPr>
          <w:rFonts w:ascii="Times New Roman" w:hAnsi="Times New Roman" w:cs="Times New Roman"/>
        </w:rPr>
      </w:pPr>
    </w:p>
    <w:p w14:paraId="3C864FC5"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Persons participating in this study must do so of their own free will. It is up to you to decide whether or not to take part. This decision should not be made for you by a relative / family member, friend, agency or any other individual or group. </w:t>
      </w:r>
    </w:p>
    <w:p w14:paraId="7DC3B2E9" w14:textId="77777777" w:rsidR="002943F6" w:rsidRPr="00E869A4" w:rsidRDefault="002943F6" w:rsidP="002943F6">
      <w:pPr>
        <w:rPr>
          <w:rFonts w:ascii="Times New Roman" w:hAnsi="Times New Roman" w:cs="Times New Roman"/>
          <w:b/>
        </w:rPr>
      </w:pPr>
    </w:p>
    <w:p w14:paraId="07AF1927" w14:textId="77777777" w:rsidR="002943F6" w:rsidRPr="00E869A4" w:rsidRDefault="002943F6" w:rsidP="000B1CCB">
      <w:pPr>
        <w:ind w:firstLine="0"/>
        <w:rPr>
          <w:b/>
        </w:rPr>
      </w:pPr>
      <w:bookmarkStart w:id="463" w:name="_Toc6877352"/>
      <w:r w:rsidRPr="00E869A4">
        <w:rPr>
          <w:b/>
        </w:rPr>
        <w:t>What type of topics will be discussed?</w:t>
      </w:r>
      <w:bookmarkEnd w:id="463"/>
    </w:p>
    <w:p w14:paraId="09C4CC59" w14:textId="77777777" w:rsidR="00557AB0" w:rsidRPr="00E869A4" w:rsidRDefault="00557AB0" w:rsidP="00557AB0">
      <w:pPr>
        <w:ind w:firstLine="0"/>
        <w:rPr>
          <w:rFonts w:ascii="Times New Roman" w:hAnsi="Times New Roman" w:cs="Times New Roman"/>
        </w:rPr>
      </w:pPr>
    </w:p>
    <w:p w14:paraId="6364A5D0"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I am interested in finding out what is involved in caring for / being cared for by a family member/friend. The topics for discussion will include:</w:t>
      </w:r>
    </w:p>
    <w:p w14:paraId="273A02B1" w14:textId="77777777" w:rsidR="002943F6" w:rsidRPr="00E869A4" w:rsidRDefault="002943F6" w:rsidP="009D4C5D">
      <w:pPr>
        <w:numPr>
          <w:ilvl w:val="0"/>
          <w:numId w:val="6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type of care and support you currently receive or provide? What care needs you find difficult to obtain / provide and why?</w:t>
      </w:r>
    </w:p>
    <w:p w14:paraId="778609E1" w14:textId="77777777" w:rsidR="002943F6" w:rsidRPr="00E869A4" w:rsidRDefault="002943F6" w:rsidP="009D4C5D">
      <w:pPr>
        <w:numPr>
          <w:ilvl w:val="0"/>
          <w:numId w:val="6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Which aspects of your life have changed since receiving / providing care and how do you feel about these changes (e.g. has it affected social / leisure activities?)</w:t>
      </w:r>
    </w:p>
    <w:p w14:paraId="6C35E4D0" w14:textId="77777777" w:rsidR="002943F6" w:rsidRPr="00E869A4" w:rsidRDefault="002943F6" w:rsidP="009D4C5D">
      <w:pPr>
        <w:numPr>
          <w:ilvl w:val="0"/>
          <w:numId w:val="6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are you coping with needing or giving care? What aspects of care you enjoy / dislike, worry about and why?</w:t>
      </w:r>
    </w:p>
    <w:p w14:paraId="6036C23F" w14:textId="33FA482E" w:rsidR="002943F6" w:rsidRPr="00E869A4" w:rsidRDefault="002943F6" w:rsidP="009D4C5D">
      <w:pPr>
        <w:numPr>
          <w:ilvl w:val="0"/>
          <w:numId w:val="68"/>
        </w:numPr>
        <w:pBdr>
          <w:top w:val="nil"/>
          <w:left w:val="nil"/>
          <w:bottom w:val="nil"/>
          <w:right w:val="nil"/>
          <w:between w:val="nil"/>
        </w:pBdr>
        <w:rPr>
          <w:rFonts w:ascii="Times New Roman" w:hAnsi="Times New Roman" w:cs="Times New Roman"/>
          <w:b/>
        </w:rPr>
      </w:pPr>
      <w:r w:rsidRPr="00E869A4">
        <w:rPr>
          <w:rFonts w:ascii="Times New Roman" w:hAnsi="Times New Roman" w:cs="Times New Roman"/>
        </w:rPr>
        <w:t>What type of services do you think frail older persons and their family members and friends who provide care to them should receive from governmental, and non-governmental agencies (e.g. from the private sector, civil society, and faith based agencies)? How do you feel about the services that are currently provided (or not provided) by these agencies?</w:t>
      </w:r>
    </w:p>
    <w:p w14:paraId="5A4D37FD" w14:textId="77777777" w:rsidR="00F267D2" w:rsidRPr="00E869A4" w:rsidRDefault="00F267D2">
      <w:pPr>
        <w:rPr>
          <w:b/>
        </w:rPr>
      </w:pPr>
      <w:bookmarkStart w:id="464" w:name="_Toc6877353"/>
      <w:r w:rsidRPr="00E869A4">
        <w:rPr>
          <w:b/>
        </w:rPr>
        <w:br w:type="page"/>
      </w:r>
    </w:p>
    <w:p w14:paraId="2FC6DCC7" w14:textId="27073371" w:rsidR="002943F6" w:rsidRPr="00E869A4" w:rsidRDefault="002943F6" w:rsidP="000B1CCB">
      <w:pPr>
        <w:ind w:firstLine="0"/>
        <w:rPr>
          <w:b/>
        </w:rPr>
      </w:pPr>
      <w:r w:rsidRPr="00E869A4">
        <w:rPr>
          <w:b/>
        </w:rPr>
        <w:lastRenderedPageBreak/>
        <w:t>What would taking part in this research involve?</w:t>
      </w:r>
      <w:bookmarkEnd w:id="464"/>
    </w:p>
    <w:p w14:paraId="5DE0244F" w14:textId="77777777" w:rsidR="00557AB0" w:rsidRPr="00E869A4" w:rsidRDefault="00557AB0" w:rsidP="00557AB0">
      <w:pPr>
        <w:ind w:firstLine="0"/>
        <w:rPr>
          <w:rFonts w:ascii="Times New Roman" w:hAnsi="Times New Roman" w:cs="Times New Roman"/>
        </w:rPr>
      </w:pPr>
    </w:p>
    <w:p w14:paraId="7B109BBA" w14:textId="785B822E"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Interviews may take from 30 minutes, to two hours, depending on the time available by participants and the amount of information that is divulged. I will respond sensitiv</w:t>
      </w:r>
      <w:r w:rsidR="00557AB0" w:rsidRPr="00E869A4">
        <w:rPr>
          <w:rFonts w:ascii="Times New Roman" w:hAnsi="Times New Roman" w:cs="Times New Roman"/>
        </w:rPr>
        <w:t>ely and flexibly to the needs/</w:t>
      </w:r>
      <w:r w:rsidRPr="00E869A4">
        <w:rPr>
          <w:rFonts w:ascii="Times New Roman" w:hAnsi="Times New Roman" w:cs="Times New Roman"/>
        </w:rPr>
        <w:t xml:space="preserve">circumstances of participants during the interview process. If you require that we break and resume on another day, I will be mindful of this.  </w:t>
      </w:r>
    </w:p>
    <w:p w14:paraId="57B38E2D" w14:textId="77777777" w:rsidR="002943F6" w:rsidRPr="00E869A4" w:rsidRDefault="002943F6" w:rsidP="002943F6">
      <w:pPr>
        <w:rPr>
          <w:rFonts w:ascii="Times New Roman" w:hAnsi="Times New Roman" w:cs="Times New Roman"/>
          <w:b/>
        </w:rPr>
      </w:pPr>
    </w:p>
    <w:p w14:paraId="47331BD1" w14:textId="77777777" w:rsidR="002943F6" w:rsidRPr="00E869A4" w:rsidRDefault="002943F6" w:rsidP="00557AB0">
      <w:pPr>
        <w:ind w:firstLine="0"/>
        <w:rPr>
          <w:b/>
        </w:rPr>
      </w:pPr>
      <w:r w:rsidRPr="00E869A4">
        <w:rPr>
          <w:b/>
        </w:rPr>
        <w:t>Which agencies are funding and supervising this research?</w:t>
      </w:r>
    </w:p>
    <w:p w14:paraId="699E2967" w14:textId="77777777" w:rsidR="00557AB0" w:rsidRPr="00E869A4" w:rsidRDefault="00557AB0" w:rsidP="00557AB0">
      <w:pPr>
        <w:tabs>
          <w:tab w:val="left" w:pos="3047"/>
        </w:tabs>
        <w:ind w:firstLine="0"/>
        <w:rPr>
          <w:rFonts w:ascii="Times New Roman" w:hAnsi="Times New Roman" w:cs="Times New Roman"/>
        </w:rPr>
      </w:pPr>
    </w:p>
    <w:p w14:paraId="0EBEF453" w14:textId="77777777" w:rsidR="002943F6" w:rsidRPr="00E869A4" w:rsidRDefault="002943F6" w:rsidP="00557AB0">
      <w:pPr>
        <w:tabs>
          <w:tab w:val="left" w:pos="3047"/>
        </w:tabs>
        <w:ind w:firstLine="0"/>
        <w:rPr>
          <w:rFonts w:ascii="Times New Roman" w:hAnsi="Times New Roman" w:cs="Times New Roman"/>
        </w:rPr>
      </w:pPr>
      <w:r w:rsidRPr="00E869A4">
        <w:rPr>
          <w:rFonts w:ascii="Times New Roman" w:hAnsi="Times New Roman" w:cs="Times New Roman"/>
        </w:rPr>
        <w:t>I am currently receiving supervisory support from the University of Sheffield (</w:t>
      </w:r>
      <w:r w:rsidRPr="00E869A4">
        <w:rPr>
          <w:rFonts w:ascii="Times New Roman" w:hAnsi="Times New Roman" w:cs="Times New Roman"/>
          <w:i/>
        </w:rPr>
        <w:t>United Kingdom</w:t>
      </w:r>
      <w:r w:rsidRPr="00E869A4">
        <w:rPr>
          <w:rFonts w:ascii="Times New Roman" w:hAnsi="Times New Roman" w:cs="Times New Roman"/>
        </w:rPr>
        <w:t xml:space="preserve">) and the University of the West Indies (Trinidad). </w:t>
      </w:r>
    </w:p>
    <w:p w14:paraId="73A736A5" w14:textId="77777777" w:rsidR="00557AB0" w:rsidRPr="00E869A4" w:rsidRDefault="00557AB0" w:rsidP="00557AB0">
      <w:pPr>
        <w:ind w:firstLine="0"/>
        <w:rPr>
          <w:rFonts w:ascii="Times New Roman" w:eastAsia="TUOS Blake" w:hAnsi="Times New Roman" w:cs="Times New Roman"/>
          <w:sz w:val="16"/>
          <w:szCs w:val="16"/>
        </w:rPr>
      </w:pPr>
    </w:p>
    <w:p w14:paraId="497E922B" w14:textId="77777777" w:rsidR="002943F6" w:rsidRPr="00E869A4" w:rsidRDefault="002943F6" w:rsidP="00557AB0">
      <w:pPr>
        <w:ind w:firstLine="0"/>
        <w:rPr>
          <w:b/>
        </w:rPr>
      </w:pPr>
      <w:r w:rsidRPr="00E869A4">
        <w:rPr>
          <w:b/>
        </w:rPr>
        <w:t>Will I be recorded?</w:t>
      </w:r>
    </w:p>
    <w:p w14:paraId="70E85D29" w14:textId="77777777" w:rsidR="00557AB0" w:rsidRPr="00E869A4" w:rsidRDefault="00557AB0" w:rsidP="00557AB0">
      <w:pPr>
        <w:ind w:firstLine="0"/>
        <w:rPr>
          <w:rFonts w:ascii="Times New Roman" w:hAnsi="Times New Roman" w:cs="Times New Roman"/>
        </w:rPr>
      </w:pPr>
    </w:p>
    <w:p w14:paraId="17BA4FFE"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Our conversations will be audio recorded. The voice recordings will be used only for analysis. No other use will be made of them without your written permission.</w:t>
      </w:r>
    </w:p>
    <w:p w14:paraId="1D4AEC73" w14:textId="77777777" w:rsidR="00557AB0" w:rsidRPr="00E869A4" w:rsidRDefault="00557AB0" w:rsidP="00557AB0">
      <w:pPr>
        <w:ind w:firstLine="0"/>
        <w:rPr>
          <w:rFonts w:ascii="Times New Roman" w:hAnsi="Times New Roman" w:cs="Times New Roman"/>
          <w:b/>
        </w:rPr>
      </w:pPr>
    </w:p>
    <w:p w14:paraId="272F9281" w14:textId="77777777" w:rsidR="002943F6" w:rsidRPr="00E869A4" w:rsidRDefault="002943F6" w:rsidP="00557AB0">
      <w:pPr>
        <w:ind w:firstLine="0"/>
        <w:rPr>
          <w:b/>
        </w:rPr>
      </w:pPr>
      <w:r w:rsidRPr="00E869A4">
        <w:rPr>
          <w:b/>
        </w:rPr>
        <w:t>What will happen with the information you provide me with?</w:t>
      </w:r>
    </w:p>
    <w:p w14:paraId="5E5DC9AC" w14:textId="77777777" w:rsidR="00557AB0" w:rsidRPr="00E869A4" w:rsidRDefault="00557AB0" w:rsidP="00557AB0">
      <w:pPr>
        <w:ind w:firstLine="0"/>
        <w:rPr>
          <w:rFonts w:ascii="Times New Roman" w:hAnsi="Times New Roman" w:cs="Times New Roman"/>
        </w:rPr>
      </w:pPr>
    </w:p>
    <w:p w14:paraId="6714381A"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Your information will be treated with respect for your right to confidentiality as well as your right to express your views and opinions. When I write up the findings of my study, I will not use real names. Copies of the final document will be lodged in the University of Sheffield’s reference collection and will be submitted to the Ministry of Public Administration, the Ministry of the People and Social Development, the University of the West Indies and other relevant agencies. </w:t>
      </w:r>
    </w:p>
    <w:p w14:paraId="4F0EB9C7" w14:textId="77777777" w:rsidR="00557AB0" w:rsidRPr="00E869A4" w:rsidRDefault="00557AB0" w:rsidP="00557AB0">
      <w:pPr>
        <w:ind w:firstLine="0"/>
        <w:rPr>
          <w:rFonts w:ascii="Times New Roman" w:hAnsi="Times New Roman" w:cs="Times New Roman"/>
        </w:rPr>
      </w:pPr>
    </w:p>
    <w:p w14:paraId="0DB9241A"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At the first screening/briefing session, your permission will be sought to audiotape the session. For security and copyright purposes, the audio-recordings will not be provided to persons participating in the study, but will remain the sole property of the researcher and will be stored securely. Audiotape recordings of persons who decide not to continue to be a part of the project will be erased.</w:t>
      </w:r>
    </w:p>
    <w:p w14:paraId="75E1A7C4" w14:textId="77777777" w:rsidR="00F267D2" w:rsidRPr="00E869A4" w:rsidRDefault="00F267D2">
      <w:pPr>
        <w:rPr>
          <w:b/>
        </w:rPr>
      </w:pPr>
      <w:r w:rsidRPr="00E869A4">
        <w:rPr>
          <w:b/>
        </w:rPr>
        <w:br w:type="page"/>
      </w:r>
    </w:p>
    <w:p w14:paraId="12AAA714" w14:textId="5F69B8C1" w:rsidR="002943F6" w:rsidRPr="00E869A4" w:rsidRDefault="002943F6" w:rsidP="00557AB0">
      <w:pPr>
        <w:ind w:firstLine="0"/>
        <w:rPr>
          <w:b/>
        </w:rPr>
      </w:pPr>
      <w:r w:rsidRPr="00E869A4">
        <w:rPr>
          <w:b/>
        </w:rPr>
        <w:lastRenderedPageBreak/>
        <w:t>What are the possible benefits of taking part?</w:t>
      </w:r>
    </w:p>
    <w:p w14:paraId="02F9EF86" w14:textId="77777777" w:rsidR="00557AB0" w:rsidRPr="00E869A4" w:rsidRDefault="00557AB0" w:rsidP="00557AB0">
      <w:pPr>
        <w:ind w:firstLine="0"/>
        <w:rPr>
          <w:rFonts w:ascii="Times New Roman" w:hAnsi="Times New Roman" w:cs="Times New Roman"/>
        </w:rPr>
      </w:pPr>
    </w:p>
    <w:p w14:paraId="37D8757F"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It is hoped that this study will help social service providers, social scientists, and policy makers to better understand the needs of frail older persons and their families in Trinidad and Tobago, and so help guide the development and improvement of services for families involved in this kind of care. </w:t>
      </w:r>
    </w:p>
    <w:p w14:paraId="49668E31" w14:textId="77777777" w:rsidR="00557AB0" w:rsidRPr="00E869A4" w:rsidRDefault="00557AB0" w:rsidP="00557AB0">
      <w:pPr>
        <w:ind w:firstLine="0"/>
        <w:rPr>
          <w:rFonts w:ascii="Times New Roman" w:hAnsi="Times New Roman" w:cs="Times New Roman"/>
        </w:rPr>
      </w:pPr>
    </w:p>
    <w:p w14:paraId="06204AB4"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For some persons, participating in a study like this is rewarding since they have an opportunity to share their views and experiences in a meaningful way. Participation in this process may evoke pleasant memories of the care experience and may also help strengthen your relationship with your family member / friend who is also participating in this study.</w:t>
      </w:r>
    </w:p>
    <w:p w14:paraId="7E69D593" w14:textId="77777777" w:rsidR="00557AB0" w:rsidRPr="00E869A4" w:rsidRDefault="00557AB0" w:rsidP="00557AB0">
      <w:pPr>
        <w:ind w:firstLine="0"/>
        <w:rPr>
          <w:rFonts w:ascii="Times New Roman" w:hAnsi="Times New Roman" w:cs="Times New Roman"/>
        </w:rPr>
      </w:pPr>
    </w:p>
    <w:p w14:paraId="1FDE8C65" w14:textId="77777777" w:rsidR="002943F6" w:rsidRPr="00E869A4" w:rsidRDefault="002943F6" w:rsidP="00557AB0">
      <w:pPr>
        <w:ind w:firstLine="0"/>
        <w:rPr>
          <w:b/>
        </w:rPr>
      </w:pPr>
      <w:r w:rsidRPr="00E869A4">
        <w:rPr>
          <w:b/>
        </w:rPr>
        <w:t>What are the possible disadvantages of taking part and how have these been minimized?</w:t>
      </w:r>
    </w:p>
    <w:p w14:paraId="3D336F33" w14:textId="77777777" w:rsidR="00557AB0" w:rsidRPr="00E869A4" w:rsidRDefault="00557AB0" w:rsidP="00557AB0">
      <w:pPr>
        <w:ind w:firstLine="0"/>
        <w:rPr>
          <w:rFonts w:ascii="Times New Roman" w:hAnsi="Times New Roman" w:cs="Times New Roman"/>
        </w:rPr>
      </w:pPr>
    </w:p>
    <w:p w14:paraId="37BCD097"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Participating in this study will require you to commit your time to interviews. Some persons may find this very demanding. Others may view this as time well spent. In some instances, interviews, as with any conversation, may bring to mind unhappy memories or emotions. You are free to stop the conversation or not answer a question if it brings discomfort to you. </w:t>
      </w:r>
    </w:p>
    <w:p w14:paraId="793DC8AC" w14:textId="77777777" w:rsidR="00557AB0" w:rsidRPr="00E869A4" w:rsidRDefault="00557AB0" w:rsidP="00557AB0">
      <w:pPr>
        <w:ind w:firstLine="0"/>
        <w:rPr>
          <w:rFonts w:ascii="Times New Roman" w:hAnsi="Times New Roman" w:cs="Times New Roman"/>
        </w:rPr>
      </w:pPr>
    </w:p>
    <w:p w14:paraId="619AF8C9"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This study seeks to obtain insights from a wide cross-section of persons involved in family care for frail persons. It is possible therefore that, based on the interest shown in this study by various participants and the time and other resource constraints of the researcher, some persons who are willing to participate in the study may not be included as participants. </w:t>
      </w:r>
    </w:p>
    <w:p w14:paraId="524863D2" w14:textId="77777777" w:rsidR="00557AB0" w:rsidRPr="00E869A4" w:rsidRDefault="00557AB0" w:rsidP="00557AB0">
      <w:pPr>
        <w:ind w:firstLine="0"/>
        <w:rPr>
          <w:rFonts w:ascii="Times New Roman" w:hAnsi="Times New Roman" w:cs="Times New Roman"/>
        </w:rPr>
      </w:pPr>
    </w:p>
    <w:p w14:paraId="11471F3F"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Despite the researcher’s best efforts, in some instances persons reading the final report who are aware of your participation in the study (e.g. family members or friends) or who are very familiar with your life situation, may be able to identify some of the information you’ve shared even though you are not named in the document. Given this, if you wish to have certain aspects of the interview excluded you can inform me at the end of the session and I will exclude this from the final report.</w:t>
      </w:r>
    </w:p>
    <w:p w14:paraId="3E2A5A5D" w14:textId="77777777" w:rsidR="00557AB0" w:rsidRPr="00E869A4" w:rsidRDefault="00557AB0" w:rsidP="00557AB0">
      <w:pPr>
        <w:ind w:firstLine="0"/>
        <w:rPr>
          <w:rFonts w:ascii="Times New Roman" w:hAnsi="Times New Roman" w:cs="Times New Roman"/>
        </w:rPr>
      </w:pPr>
    </w:p>
    <w:p w14:paraId="00AAE535" w14:textId="77777777" w:rsidR="00F267D2" w:rsidRPr="00E869A4" w:rsidRDefault="00F267D2">
      <w:pPr>
        <w:rPr>
          <w:b/>
        </w:rPr>
      </w:pPr>
      <w:r w:rsidRPr="00E869A4">
        <w:rPr>
          <w:b/>
        </w:rPr>
        <w:br w:type="page"/>
      </w:r>
    </w:p>
    <w:p w14:paraId="708680C3" w14:textId="6CEDFA5E" w:rsidR="002943F6" w:rsidRPr="00E869A4" w:rsidRDefault="002943F6" w:rsidP="00557AB0">
      <w:pPr>
        <w:ind w:firstLine="0"/>
        <w:rPr>
          <w:b/>
        </w:rPr>
      </w:pPr>
      <w:r w:rsidRPr="00E869A4">
        <w:rPr>
          <w:b/>
        </w:rPr>
        <w:lastRenderedPageBreak/>
        <w:t>What if something goes wrong?</w:t>
      </w:r>
    </w:p>
    <w:p w14:paraId="79D96AE9" w14:textId="77777777" w:rsidR="00557AB0" w:rsidRPr="00E869A4" w:rsidRDefault="00557AB0" w:rsidP="00557AB0">
      <w:pPr>
        <w:ind w:firstLine="0"/>
        <w:rPr>
          <w:rFonts w:ascii="Times New Roman" w:hAnsi="Times New Roman" w:cs="Times New Roman"/>
        </w:rPr>
      </w:pPr>
    </w:p>
    <w:p w14:paraId="7306A09D"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You are free to withdraw from this study at any stage without giving any reason for doing so.</w:t>
      </w:r>
    </w:p>
    <w:p w14:paraId="24E777A3" w14:textId="77777777" w:rsidR="00557AB0" w:rsidRPr="00E869A4" w:rsidRDefault="00557AB0" w:rsidP="00557AB0">
      <w:pPr>
        <w:ind w:firstLine="0"/>
        <w:rPr>
          <w:rFonts w:ascii="Times New Roman" w:hAnsi="Times New Roman" w:cs="Times New Roman"/>
        </w:rPr>
      </w:pPr>
    </w:p>
    <w:p w14:paraId="604C96E7"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If you have any concerns or complaints about the conduct of this study, please feel free to contact me so we can discuss it. I can be reached on my cell at 331-6011, or via email at (</w:t>
      </w:r>
      <w:hyperlink r:id="rId57">
        <w:r w:rsidRPr="00E869A4">
          <w:rPr>
            <w:rFonts w:ascii="Times New Roman" w:hAnsi="Times New Roman" w:cs="Times New Roman"/>
            <w:u w:val="single"/>
          </w:rPr>
          <w:t>h.blake@sheffield.ac.uk</w:t>
        </w:r>
      </w:hyperlink>
      <w:r w:rsidRPr="00E869A4">
        <w:rPr>
          <w:rFonts w:ascii="Times New Roman" w:hAnsi="Times New Roman" w:cs="Times New Roman"/>
        </w:rPr>
        <w:t xml:space="preserve">). Alternatively, you can email my UWI supervisor, Dr Innette Cambridge at </w:t>
      </w:r>
      <w:hyperlink r:id="rId58">
        <w:r w:rsidRPr="00E869A4">
          <w:rPr>
            <w:rFonts w:ascii="Times New Roman" w:hAnsi="Times New Roman" w:cs="Times New Roman"/>
            <w:u w:val="single"/>
          </w:rPr>
          <w:t>innette.cambridge@sta.uwi.edu</w:t>
        </w:r>
      </w:hyperlink>
      <w:r w:rsidRPr="00E869A4">
        <w:rPr>
          <w:rFonts w:ascii="Times New Roman" w:hAnsi="Times New Roman" w:cs="Times New Roman"/>
        </w:rPr>
        <w:t xml:space="preserve"> or send a letter to her at</w:t>
      </w:r>
    </w:p>
    <w:p w14:paraId="7545FD19" w14:textId="77777777" w:rsidR="002943F6" w:rsidRPr="00E869A4" w:rsidRDefault="002943F6" w:rsidP="002943F6">
      <w:pPr>
        <w:ind w:left="3261"/>
        <w:rPr>
          <w:rFonts w:ascii="Times New Roman" w:hAnsi="Times New Roman" w:cs="Times New Roman"/>
        </w:rPr>
      </w:pPr>
      <w:r w:rsidRPr="00E869A4">
        <w:rPr>
          <w:rFonts w:ascii="Times New Roman" w:hAnsi="Times New Roman" w:cs="Times New Roman"/>
        </w:rPr>
        <w:t>The University of the West Indies</w:t>
      </w:r>
    </w:p>
    <w:p w14:paraId="190B987A" w14:textId="77777777" w:rsidR="002943F6" w:rsidRPr="00E869A4" w:rsidRDefault="002943F6" w:rsidP="002943F6">
      <w:pPr>
        <w:ind w:left="3261"/>
        <w:rPr>
          <w:rFonts w:ascii="Times New Roman" w:hAnsi="Times New Roman" w:cs="Times New Roman"/>
        </w:rPr>
      </w:pPr>
      <w:r w:rsidRPr="00E869A4">
        <w:rPr>
          <w:rFonts w:ascii="Times New Roman" w:hAnsi="Times New Roman" w:cs="Times New Roman"/>
        </w:rPr>
        <w:t>Department of Behavioural Sciences</w:t>
      </w:r>
    </w:p>
    <w:p w14:paraId="6CE5457A" w14:textId="77777777" w:rsidR="002943F6" w:rsidRPr="00E869A4" w:rsidRDefault="002943F6" w:rsidP="002943F6">
      <w:pPr>
        <w:ind w:left="3261"/>
        <w:rPr>
          <w:rFonts w:ascii="Times New Roman" w:hAnsi="Times New Roman" w:cs="Times New Roman"/>
        </w:rPr>
      </w:pPr>
      <w:r w:rsidRPr="00E869A4">
        <w:rPr>
          <w:rFonts w:ascii="Times New Roman" w:hAnsi="Times New Roman" w:cs="Times New Roman"/>
        </w:rPr>
        <w:t>St. Augustine</w:t>
      </w:r>
    </w:p>
    <w:p w14:paraId="32A74C43" w14:textId="77777777" w:rsidR="002943F6" w:rsidRPr="00E869A4" w:rsidRDefault="002943F6" w:rsidP="002943F6">
      <w:pPr>
        <w:ind w:left="3261"/>
        <w:rPr>
          <w:rFonts w:ascii="Times New Roman" w:hAnsi="Times New Roman" w:cs="Times New Roman"/>
        </w:rPr>
      </w:pPr>
      <w:r w:rsidRPr="00E869A4">
        <w:rPr>
          <w:rFonts w:ascii="Times New Roman" w:hAnsi="Times New Roman" w:cs="Times New Roman"/>
        </w:rPr>
        <w:t>Trinidad, WI</w:t>
      </w:r>
    </w:p>
    <w:p w14:paraId="5EE57FF4" w14:textId="77777777" w:rsidR="00557AB0" w:rsidRPr="00E869A4" w:rsidRDefault="00557AB0" w:rsidP="00557AB0">
      <w:pPr>
        <w:ind w:firstLine="0"/>
        <w:rPr>
          <w:rFonts w:ascii="Times New Roman" w:hAnsi="Times New Roman" w:cs="Times New Roman"/>
        </w:rPr>
      </w:pPr>
    </w:p>
    <w:p w14:paraId="5725723E"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You can also contact my UK supervisor, Dr. Lorna Warren at </w:t>
      </w:r>
      <w:hyperlink r:id="rId59">
        <w:r w:rsidRPr="00E869A4">
          <w:rPr>
            <w:rFonts w:ascii="Times New Roman" w:hAnsi="Times New Roman" w:cs="Times New Roman"/>
            <w:u w:val="single"/>
          </w:rPr>
          <w:t>l.warren@sheffield.ac.uk</w:t>
        </w:r>
      </w:hyperlink>
      <w:r w:rsidRPr="00E869A4">
        <w:rPr>
          <w:rFonts w:ascii="Times New Roman" w:hAnsi="Times New Roman" w:cs="Times New Roman"/>
        </w:rPr>
        <w:t xml:space="preserve"> or </w:t>
      </w:r>
    </w:p>
    <w:p w14:paraId="529C8E70" w14:textId="77777777" w:rsidR="002943F6" w:rsidRPr="00E869A4" w:rsidRDefault="002943F6" w:rsidP="002943F6">
      <w:pPr>
        <w:ind w:left="3261"/>
        <w:rPr>
          <w:rFonts w:ascii="Times New Roman" w:hAnsi="Times New Roman" w:cs="Times New Roman"/>
        </w:rPr>
      </w:pPr>
      <w:r w:rsidRPr="00E869A4">
        <w:rPr>
          <w:rFonts w:ascii="Times New Roman" w:hAnsi="Times New Roman" w:cs="Times New Roman"/>
        </w:rPr>
        <w:t>The University of Sheffield</w:t>
      </w:r>
    </w:p>
    <w:p w14:paraId="5B113754" w14:textId="77777777" w:rsidR="002943F6" w:rsidRPr="00E869A4" w:rsidRDefault="002943F6" w:rsidP="002943F6">
      <w:pPr>
        <w:ind w:left="3261"/>
        <w:rPr>
          <w:rFonts w:ascii="Times New Roman" w:hAnsi="Times New Roman" w:cs="Times New Roman"/>
        </w:rPr>
      </w:pPr>
      <w:r w:rsidRPr="00E869A4">
        <w:rPr>
          <w:rFonts w:ascii="Times New Roman" w:hAnsi="Times New Roman" w:cs="Times New Roman"/>
        </w:rPr>
        <w:t>Department of Sociological Studies</w:t>
      </w:r>
    </w:p>
    <w:p w14:paraId="3E8466C9" w14:textId="77777777" w:rsidR="002943F6" w:rsidRPr="00E869A4" w:rsidRDefault="002943F6" w:rsidP="002943F6">
      <w:pPr>
        <w:ind w:left="3261"/>
        <w:rPr>
          <w:rFonts w:ascii="Times New Roman" w:hAnsi="Times New Roman" w:cs="Times New Roman"/>
        </w:rPr>
      </w:pPr>
      <w:r w:rsidRPr="00E869A4">
        <w:rPr>
          <w:rFonts w:ascii="Times New Roman" w:hAnsi="Times New Roman" w:cs="Times New Roman"/>
        </w:rPr>
        <w:t>Elmfield, Northumberland Road</w:t>
      </w:r>
    </w:p>
    <w:p w14:paraId="7867FB9E" w14:textId="77777777" w:rsidR="002943F6" w:rsidRPr="00E869A4" w:rsidRDefault="002943F6" w:rsidP="002943F6">
      <w:pPr>
        <w:ind w:left="3261"/>
        <w:rPr>
          <w:rFonts w:ascii="Times New Roman" w:hAnsi="Times New Roman" w:cs="Times New Roman"/>
        </w:rPr>
      </w:pPr>
      <w:r w:rsidRPr="00E869A4">
        <w:rPr>
          <w:rFonts w:ascii="Times New Roman" w:hAnsi="Times New Roman" w:cs="Times New Roman"/>
        </w:rPr>
        <w:t>Sheffield, S10 2TU</w:t>
      </w:r>
    </w:p>
    <w:p w14:paraId="256AA861" w14:textId="77777777" w:rsidR="00557AB0" w:rsidRPr="00E869A4" w:rsidRDefault="00557AB0" w:rsidP="00557AB0">
      <w:pPr>
        <w:ind w:firstLine="0"/>
        <w:rPr>
          <w:rFonts w:ascii="Times New Roman" w:hAnsi="Times New Roman" w:cs="Times New Roman"/>
        </w:rPr>
      </w:pPr>
    </w:p>
    <w:p w14:paraId="482CCAFE"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Every effort will be made to resolve the issue.</w:t>
      </w:r>
    </w:p>
    <w:p w14:paraId="07CA6AEE" w14:textId="77777777" w:rsidR="00557AB0" w:rsidRPr="00E869A4" w:rsidRDefault="00557AB0" w:rsidP="00557AB0">
      <w:pPr>
        <w:ind w:firstLine="0"/>
        <w:rPr>
          <w:rFonts w:ascii="Times New Roman" w:hAnsi="Times New Roman" w:cs="Times New Roman"/>
          <w:b/>
        </w:rPr>
      </w:pPr>
    </w:p>
    <w:p w14:paraId="7E2E3F7B" w14:textId="77777777" w:rsidR="002943F6" w:rsidRPr="00E869A4" w:rsidRDefault="002943F6" w:rsidP="00557AB0">
      <w:pPr>
        <w:ind w:firstLine="0"/>
        <w:rPr>
          <w:b/>
        </w:rPr>
      </w:pPr>
      <w:r w:rsidRPr="00E869A4">
        <w:rPr>
          <w:b/>
        </w:rPr>
        <w:t>Disclaimer</w:t>
      </w:r>
    </w:p>
    <w:p w14:paraId="7B74F031" w14:textId="77777777" w:rsidR="00557AB0" w:rsidRPr="00E869A4" w:rsidRDefault="00557AB0" w:rsidP="00557AB0">
      <w:pPr>
        <w:ind w:firstLine="0"/>
        <w:rPr>
          <w:rFonts w:ascii="Times New Roman" w:hAnsi="Times New Roman" w:cs="Times New Roman"/>
        </w:rPr>
      </w:pPr>
    </w:p>
    <w:p w14:paraId="4F463AF5"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 xml:space="preserve">Please note that I reserve the right to report any criminal practices or any forms of abuse or neglect to the relevant local authorities. In the unlikely event that this is warranted, I will no longer be bound to our confidentiality agreement. </w:t>
      </w:r>
    </w:p>
    <w:p w14:paraId="502F8FCC" w14:textId="77777777" w:rsidR="00557AB0" w:rsidRPr="00E869A4" w:rsidRDefault="00557AB0" w:rsidP="00557AB0">
      <w:pPr>
        <w:ind w:firstLine="0"/>
        <w:rPr>
          <w:rFonts w:ascii="Times New Roman" w:hAnsi="Times New Roman" w:cs="Times New Roman"/>
        </w:rPr>
      </w:pPr>
    </w:p>
    <w:p w14:paraId="5450AAC9"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In the event that the study has to be discontinued, I will inform you at the earliest possible time and will provide you with an appropriate explanation.</w:t>
      </w:r>
    </w:p>
    <w:p w14:paraId="4BAC52A9" w14:textId="77777777" w:rsidR="00557AB0" w:rsidRPr="00E869A4" w:rsidRDefault="00557AB0" w:rsidP="00557AB0">
      <w:pPr>
        <w:ind w:firstLine="0"/>
        <w:rPr>
          <w:rFonts w:ascii="Times New Roman" w:hAnsi="Times New Roman" w:cs="Times New Roman"/>
        </w:rPr>
      </w:pPr>
    </w:p>
    <w:p w14:paraId="35B4BC6F" w14:textId="77777777" w:rsidR="002943F6" w:rsidRPr="00E869A4" w:rsidRDefault="002943F6" w:rsidP="00557AB0">
      <w:pPr>
        <w:ind w:firstLine="0"/>
        <w:rPr>
          <w:b/>
        </w:rPr>
      </w:pPr>
      <w:r w:rsidRPr="00E869A4">
        <w:rPr>
          <w:b/>
        </w:rPr>
        <w:lastRenderedPageBreak/>
        <w:t>Other considerations</w:t>
      </w:r>
    </w:p>
    <w:p w14:paraId="2CEBF729" w14:textId="77777777" w:rsidR="00557AB0" w:rsidRPr="00E869A4" w:rsidRDefault="00557AB0" w:rsidP="00557AB0">
      <w:pPr>
        <w:ind w:firstLine="0"/>
        <w:rPr>
          <w:rFonts w:ascii="Times New Roman" w:hAnsi="Times New Roman" w:cs="Times New Roman"/>
        </w:rPr>
      </w:pPr>
    </w:p>
    <w:p w14:paraId="71ADB8E0"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Whilst I am very sympathetic to your situation, I will be unable to provide you with financial assistance, or commit to directly assisting you with any of the care needs you may have.</w:t>
      </w:r>
    </w:p>
    <w:p w14:paraId="309A5F50" w14:textId="3BC1A4A5" w:rsidR="002943F6" w:rsidRPr="00E869A4" w:rsidRDefault="002943F6" w:rsidP="00557AB0">
      <w:pPr>
        <w:ind w:firstLine="0"/>
        <w:jc w:val="center"/>
        <w:rPr>
          <w:rFonts w:ascii="Times New Roman" w:hAnsi="Times New Roman" w:cs="Times New Roman"/>
        </w:rPr>
      </w:pPr>
      <w:r w:rsidRPr="00E869A4">
        <w:rPr>
          <w:rFonts w:ascii="Times New Roman" w:hAnsi="Times New Roman" w:cs="Times New Roman"/>
        </w:rPr>
        <w:t>...............................................................................................................................................</w:t>
      </w:r>
      <w:r w:rsidR="00557AB0" w:rsidRPr="00E869A4">
        <w:rPr>
          <w:rFonts w:ascii="Times New Roman" w:hAnsi="Times New Roman" w:cs="Times New Roman"/>
        </w:rPr>
        <w:t>...</w:t>
      </w:r>
    </w:p>
    <w:p w14:paraId="7375AA98" w14:textId="77777777" w:rsidR="00557AB0" w:rsidRPr="00E869A4" w:rsidRDefault="00557AB0" w:rsidP="00557AB0">
      <w:pPr>
        <w:ind w:firstLine="0"/>
        <w:rPr>
          <w:rFonts w:ascii="Times New Roman" w:hAnsi="Times New Roman" w:cs="Times New Roman"/>
          <w:b/>
          <w:i/>
        </w:rPr>
      </w:pPr>
    </w:p>
    <w:p w14:paraId="24C10B0F" w14:textId="041E8D19" w:rsidR="002943F6" w:rsidRPr="00E869A4" w:rsidRDefault="002943F6" w:rsidP="00557AB0">
      <w:pPr>
        <w:ind w:firstLine="0"/>
        <w:jc w:val="center"/>
        <w:rPr>
          <w:rFonts w:ascii="Times New Roman" w:hAnsi="Times New Roman" w:cs="Times New Roman"/>
          <w:b/>
          <w:i/>
        </w:rPr>
      </w:pPr>
      <w:r w:rsidRPr="00E869A4">
        <w:rPr>
          <w:rFonts w:ascii="Times New Roman" w:hAnsi="Times New Roman" w:cs="Times New Roman"/>
          <w:b/>
          <w:i/>
        </w:rPr>
        <w:t>Thank you for your time and kind consideration.</w:t>
      </w:r>
    </w:p>
    <w:p w14:paraId="1CD1FFB7" w14:textId="77777777" w:rsidR="002943F6" w:rsidRPr="00E869A4" w:rsidRDefault="002943F6" w:rsidP="00557AB0">
      <w:pPr>
        <w:ind w:firstLine="0"/>
        <w:jc w:val="center"/>
        <w:rPr>
          <w:rFonts w:ascii="Times New Roman" w:hAnsi="Times New Roman" w:cs="Times New Roman"/>
          <w:b/>
        </w:rPr>
      </w:pPr>
      <w:r w:rsidRPr="00E869A4">
        <w:rPr>
          <w:rFonts w:ascii="Times New Roman" w:hAnsi="Times New Roman" w:cs="Times New Roman"/>
          <w:b/>
          <w:i/>
        </w:rPr>
        <w:t>Please complete the form below and pass it to the relevant individual</w:t>
      </w:r>
      <w:r w:rsidRPr="00E869A4">
        <w:rPr>
          <w:rFonts w:ascii="Times New Roman" w:hAnsi="Times New Roman" w:cs="Times New Roman"/>
          <w:b/>
        </w:rPr>
        <w:t>.</w:t>
      </w:r>
    </w:p>
    <w:p w14:paraId="3F4BCAF9" w14:textId="77777777" w:rsidR="002943F6" w:rsidRPr="00E869A4" w:rsidRDefault="002943F6" w:rsidP="002943F6">
      <w:pPr>
        <w:rPr>
          <w:rFonts w:ascii="Times New Roman" w:hAnsi="Times New Roman" w:cs="Times New Roman"/>
        </w:rPr>
      </w:pPr>
    </w:p>
    <w:p w14:paraId="59B694D6" w14:textId="5C517350" w:rsidR="002943F6" w:rsidRPr="00E869A4" w:rsidRDefault="002943F6" w:rsidP="00557AB0">
      <w:pPr>
        <w:ind w:firstLine="0"/>
        <w:rPr>
          <w:rFonts w:ascii="Times New Roman" w:hAnsi="Times New Roman" w:cs="Times New Roman"/>
        </w:rPr>
      </w:pPr>
      <w:r w:rsidRPr="00E869A4">
        <w:rPr>
          <w:rFonts w:ascii="MS Mincho" w:eastAsia="MS Mincho" w:hAnsi="MS Mincho" w:cs="MS Mincho" w:hint="eastAsia"/>
        </w:rPr>
        <w:t>✂</w:t>
      </w:r>
      <w:r w:rsidRPr="00E869A4">
        <w:rPr>
          <w:rFonts w:ascii="Times New Roman" w:eastAsia="Arial Unicode MS" w:hAnsi="Times New Roman" w:cs="Times New Roman"/>
        </w:rPr>
        <w:t>..................................................................................................................................</w:t>
      </w:r>
      <w:r w:rsidR="00557AB0" w:rsidRPr="00E869A4">
        <w:rPr>
          <w:rFonts w:ascii="Times New Roman" w:eastAsia="Arial Unicode MS" w:hAnsi="Times New Roman" w:cs="Times New Roman"/>
        </w:rPr>
        <w:t>......................</w:t>
      </w:r>
    </w:p>
    <w:p w14:paraId="0ABA92D8" w14:textId="77777777" w:rsidR="00557AB0" w:rsidRPr="00E869A4" w:rsidRDefault="00557AB0" w:rsidP="00557AB0">
      <w:pPr>
        <w:ind w:firstLine="0"/>
        <w:rPr>
          <w:rFonts w:ascii="Cambria" w:hAnsi="Cambria" w:cs="Cambria"/>
        </w:rPr>
      </w:pPr>
    </w:p>
    <w:p w14:paraId="4C78C28A" w14:textId="610B675F" w:rsidR="002943F6" w:rsidRPr="00E869A4" w:rsidRDefault="00557AB0" w:rsidP="00557AB0">
      <w:pPr>
        <w:ind w:firstLine="0"/>
        <w:rPr>
          <w:rFonts w:ascii="Times New Roman" w:hAnsi="Times New Roman" w:cs="Times New Roman"/>
        </w:rPr>
      </w:pPr>
      <w:r w:rsidRPr="00E869A4">
        <w:rPr>
          <w:rFonts w:ascii="Cambria" w:hAnsi="Cambria" w:cs="Cambria"/>
        </w:rPr>
        <w:sym w:font="Symbol" w:char="F091"/>
      </w:r>
      <w:r w:rsidR="002943F6" w:rsidRPr="00E869A4">
        <w:rPr>
          <w:rFonts w:ascii="Times New Roman" w:hAnsi="Times New Roman" w:cs="Times New Roman"/>
        </w:rPr>
        <w:t xml:space="preserve">  I ................................................................... will be willing to talk with you and can be contacted on ________________________________________ (</w:t>
      </w:r>
      <w:r w:rsidR="002943F6" w:rsidRPr="00E869A4">
        <w:rPr>
          <w:rFonts w:ascii="Times New Roman" w:hAnsi="Times New Roman" w:cs="Times New Roman"/>
          <w:i/>
        </w:rPr>
        <w:t>please give telephone number(s)</w:t>
      </w:r>
      <w:r w:rsidR="002943F6" w:rsidRPr="00E869A4">
        <w:rPr>
          <w:rFonts w:ascii="Times New Roman" w:hAnsi="Times New Roman" w:cs="Times New Roman"/>
        </w:rPr>
        <w:t>)</w:t>
      </w:r>
    </w:p>
    <w:p w14:paraId="4FCBF815" w14:textId="77777777" w:rsidR="002943F6" w:rsidRPr="00E869A4" w:rsidRDefault="002943F6" w:rsidP="00557AB0">
      <w:pPr>
        <w:ind w:firstLine="0"/>
        <w:rPr>
          <w:rFonts w:ascii="Times New Roman" w:hAnsi="Times New Roman" w:cs="Times New Roman"/>
        </w:rPr>
      </w:pPr>
    </w:p>
    <w:p w14:paraId="5EF91033" w14:textId="6FD803FE" w:rsidR="002943F6" w:rsidRPr="00E869A4" w:rsidRDefault="00557AB0" w:rsidP="00557AB0">
      <w:pPr>
        <w:ind w:firstLine="0"/>
        <w:rPr>
          <w:rFonts w:ascii="Times New Roman" w:hAnsi="Times New Roman" w:cs="Times New Roman"/>
        </w:rPr>
      </w:pPr>
      <w:r w:rsidRPr="00E869A4">
        <w:rPr>
          <w:rFonts w:ascii="Cambria" w:hAnsi="Cambria" w:cs="Cambria"/>
        </w:rPr>
        <w:sym w:font="Symbol" w:char="F091"/>
      </w:r>
      <w:r w:rsidR="002943F6" w:rsidRPr="00E869A4">
        <w:rPr>
          <w:rFonts w:ascii="Times New Roman" w:hAnsi="Times New Roman" w:cs="Times New Roman"/>
        </w:rPr>
        <w:t xml:space="preserve"> I ................................................................... will like more information before deciding whether to talk to you can be contacted on __________________________________________________ (</w:t>
      </w:r>
      <w:r w:rsidR="002943F6" w:rsidRPr="00E869A4">
        <w:rPr>
          <w:rFonts w:ascii="Times New Roman" w:hAnsi="Times New Roman" w:cs="Times New Roman"/>
          <w:i/>
        </w:rPr>
        <w:t>please give telephone number(s)</w:t>
      </w:r>
      <w:r w:rsidR="002943F6" w:rsidRPr="00E869A4">
        <w:rPr>
          <w:rFonts w:ascii="Times New Roman" w:hAnsi="Times New Roman" w:cs="Times New Roman"/>
        </w:rPr>
        <w:t>)</w:t>
      </w:r>
    </w:p>
    <w:p w14:paraId="13EF54D0" w14:textId="77777777" w:rsidR="002943F6" w:rsidRPr="00E869A4" w:rsidRDefault="002943F6" w:rsidP="00557AB0">
      <w:pPr>
        <w:ind w:firstLine="0"/>
        <w:rPr>
          <w:rFonts w:ascii="Times New Roman" w:hAnsi="Times New Roman" w:cs="Times New Roman"/>
        </w:rPr>
      </w:pPr>
    </w:p>
    <w:p w14:paraId="5F9572B2" w14:textId="1816EDEB" w:rsidR="002943F6" w:rsidRPr="00E869A4" w:rsidRDefault="00557AB0" w:rsidP="00557AB0">
      <w:pPr>
        <w:ind w:firstLine="0"/>
        <w:rPr>
          <w:rFonts w:ascii="Times New Roman" w:hAnsi="Times New Roman" w:cs="Times New Roman"/>
        </w:rPr>
      </w:pPr>
      <w:r w:rsidRPr="00E869A4">
        <w:rPr>
          <w:rFonts w:ascii="Cambria" w:hAnsi="Cambria" w:cs="Cambria"/>
        </w:rPr>
        <w:sym w:font="Symbol" w:char="F091"/>
      </w:r>
      <w:r w:rsidR="002943F6" w:rsidRPr="00E869A4">
        <w:rPr>
          <w:rFonts w:ascii="Times New Roman" w:hAnsi="Times New Roman" w:cs="Times New Roman"/>
        </w:rPr>
        <w:t xml:space="preserve"> I ................................................................... will not be willing to talk to you</w:t>
      </w:r>
    </w:p>
    <w:p w14:paraId="035E0D48" w14:textId="77777777"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Please return your slips to:</w:t>
      </w:r>
    </w:p>
    <w:p w14:paraId="4A3024E0" w14:textId="42B21335"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w:t>
      </w:r>
    </w:p>
    <w:p w14:paraId="3403752D" w14:textId="4497B2FE" w:rsidR="002943F6" w:rsidRPr="00E869A4" w:rsidRDefault="002943F6" w:rsidP="00557AB0">
      <w:pPr>
        <w:ind w:firstLine="0"/>
        <w:rPr>
          <w:rFonts w:ascii="Times New Roman" w:hAnsi="Times New Roman" w:cs="Times New Roman"/>
        </w:rPr>
      </w:pPr>
      <w:r w:rsidRPr="00E869A4">
        <w:rPr>
          <w:rFonts w:ascii="Times New Roman" w:hAnsi="Times New Roman" w:cs="Times New Roman"/>
        </w:rPr>
        <w:t>..................................................................................................................................................</w:t>
      </w:r>
    </w:p>
    <w:p w14:paraId="03B303FC" w14:textId="77777777" w:rsidR="002943F6" w:rsidRPr="00E869A4" w:rsidRDefault="002943F6" w:rsidP="002943F6">
      <w:pPr>
        <w:rPr>
          <w:rFonts w:ascii="Times New Roman" w:eastAsiaTheme="majorEastAsia" w:hAnsi="Times New Roman" w:cs="Times New Roman"/>
          <w:b/>
          <w:bCs/>
          <w:smallCaps/>
          <w:sz w:val="26"/>
          <w:szCs w:val="26"/>
        </w:rPr>
      </w:pPr>
      <w:bookmarkStart w:id="465" w:name="_2xcytpi" w:colFirst="0" w:colLast="0"/>
      <w:bookmarkStart w:id="466" w:name="_Toc507909119"/>
      <w:bookmarkEnd w:id="465"/>
      <w:r w:rsidRPr="00E869A4">
        <w:rPr>
          <w:rFonts w:ascii="Times New Roman" w:hAnsi="Times New Roman" w:cs="Times New Roman"/>
          <w:smallCaps/>
        </w:rPr>
        <w:br w:type="page"/>
      </w:r>
    </w:p>
    <w:bookmarkEnd w:id="466"/>
    <w:p w14:paraId="4A04B481" w14:textId="2B4884CA" w:rsidR="002943F6" w:rsidRPr="00E869A4" w:rsidRDefault="009847A0" w:rsidP="00FE005D">
      <w:pPr>
        <w:ind w:firstLine="0"/>
        <w:rPr>
          <w:b/>
          <w:u w:val="single"/>
        </w:rPr>
      </w:pPr>
      <w:r w:rsidRPr="00E869A4">
        <w:rPr>
          <w:b/>
          <w:u w:val="single"/>
        </w:rPr>
        <w:lastRenderedPageBreak/>
        <w:t xml:space="preserve">B. </w:t>
      </w:r>
      <w:r w:rsidR="00F57C5C" w:rsidRPr="00E869A4">
        <w:rPr>
          <w:b/>
          <w:u w:val="single"/>
        </w:rPr>
        <w:t>PARTICIPANT CONSENT FORM</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2943F6" w:rsidRPr="00E869A4" w14:paraId="4BE5F614" w14:textId="77777777" w:rsidTr="002943F6">
        <w:tc>
          <w:tcPr>
            <w:tcW w:w="9286" w:type="dxa"/>
          </w:tcPr>
          <w:p w14:paraId="318D9028" w14:textId="77777777" w:rsidR="002943F6" w:rsidRPr="00E869A4" w:rsidRDefault="002943F6" w:rsidP="002943F6">
            <w:pPr>
              <w:tabs>
                <w:tab w:val="center" w:pos="4680"/>
                <w:tab w:val="right" w:pos="9360"/>
              </w:tabs>
              <w:rPr>
                <w:rFonts w:ascii="Times New Roman" w:eastAsia="Arial" w:hAnsi="Times New Roman" w:cs="Times New Roman"/>
              </w:rPr>
            </w:pPr>
          </w:p>
          <w:p w14:paraId="1EE01976" w14:textId="77777777" w:rsidR="002943F6" w:rsidRPr="00E869A4" w:rsidRDefault="002943F6" w:rsidP="00AA6393">
            <w:pPr>
              <w:ind w:firstLine="0"/>
              <w:rPr>
                <w:rFonts w:ascii="Times New Roman" w:hAnsi="Times New Roman" w:cs="Times New Roman"/>
                <w:b/>
              </w:rPr>
            </w:pPr>
            <w:r w:rsidRPr="00E869A4">
              <w:rPr>
                <w:rFonts w:ascii="Times New Roman" w:hAnsi="Times New Roman" w:cs="Times New Roman"/>
                <w:b/>
              </w:rPr>
              <w:t xml:space="preserve">Title of Project:          Family Care for Frail Older Persons: Social Policy Implications  </w:t>
            </w:r>
          </w:p>
          <w:p w14:paraId="163D8FEC" w14:textId="77777777" w:rsidR="002943F6" w:rsidRPr="00E869A4" w:rsidRDefault="002943F6" w:rsidP="00AA6393">
            <w:pPr>
              <w:ind w:firstLine="0"/>
              <w:rPr>
                <w:rFonts w:ascii="Times New Roman" w:hAnsi="Times New Roman" w:cs="Times New Roman"/>
                <w:b/>
              </w:rPr>
            </w:pPr>
            <w:r w:rsidRPr="00E869A4">
              <w:rPr>
                <w:rFonts w:ascii="Times New Roman" w:hAnsi="Times New Roman" w:cs="Times New Roman"/>
                <w:b/>
              </w:rPr>
              <w:t xml:space="preserve">                                      for Trinidad and Tobago</w:t>
            </w:r>
          </w:p>
          <w:p w14:paraId="52C71239" w14:textId="77777777" w:rsidR="002943F6" w:rsidRPr="00E869A4" w:rsidRDefault="002943F6" w:rsidP="002943F6">
            <w:pPr>
              <w:rPr>
                <w:rFonts w:ascii="Times New Roman" w:eastAsia="Arial" w:hAnsi="Times New Roman" w:cs="Times New Roman"/>
                <w:b/>
              </w:rPr>
            </w:pPr>
          </w:p>
          <w:p w14:paraId="3A12E51B" w14:textId="77777777" w:rsidR="002943F6" w:rsidRPr="00E869A4" w:rsidRDefault="002943F6" w:rsidP="00AA6393">
            <w:pPr>
              <w:ind w:firstLine="0"/>
              <w:rPr>
                <w:rFonts w:ascii="Times New Roman" w:eastAsia="Arial" w:hAnsi="Times New Roman" w:cs="Times New Roman"/>
                <w:b/>
              </w:rPr>
            </w:pPr>
            <w:r w:rsidRPr="00E869A4">
              <w:rPr>
                <w:rFonts w:ascii="Times New Roman" w:eastAsia="Arial" w:hAnsi="Times New Roman" w:cs="Times New Roman"/>
                <w:b/>
              </w:rPr>
              <w:t>Name of Researcher:   Hyacinth Blake</w:t>
            </w:r>
          </w:p>
          <w:p w14:paraId="01EC12D5" w14:textId="77777777" w:rsidR="002943F6" w:rsidRPr="00E869A4" w:rsidRDefault="002943F6" w:rsidP="002943F6">
            <w:pPr>
              <w:rPr>
                <w:rFonts w:ascii="Times New Roman" w:eastAsia="Arial" w:hAnsi="Times New Roman" w:cs="Times New Roman"/>
                <w:b/>
              </w:rPr>
            </w:pPr>
          </w:p>
          <w:p w14:paraId="589B1692" w14:textId="77777777" w:rsidR="002943F6" w:rsidRPr="00E869A4" w:rsidRDefault="002943F6" w:rsidP="00AA6393">
            <w:pPr>
              <w:ind w:firstLine="0"/>
              <w:rPr>
                <w:rFonts w:ascii="Times New Roman" w:eastAsia="Arial" w:hAnsi="Times New Roman" w:cs="Times New Roman"/>
              </w:rPr>
            </w:pPr>
            <w:r w:rsidRPr="00E869A4">
              <w:rPr>
                <w:rFonts w:ascii="Times New Roman" w:eastAsia="Arial" w:hAnsi="Times New Roman" w:cs="Times New Roman"/>
                <w:sz w:val="22"/>
              </w:rPr>
              <w:t>Participant Identification Number for this project: .............................................................</w:t>
            </w:r>
          </w:p>
          <w:p w14:paraId="50BDCACA" w14:textId="77777777" w:rsidR="002943F6" w:rsidRPr="00E869A4" w:rsidRDefault="002943F6" w:rsidP="002943F6">
            <w:pPr>
              <w:rPr>
                <w:rFonts w:ascii="Times New Roman" w:eastAsia="Arial" w:hAnsi="Times New Roman" w:cs="Times New Roman"/>
              </w:rPr>
            </w:pPr>
          </w:p>
          <w:p w14:paraId="1C197982" w14:textId="77777777" w:rsidR="002943F6" w:rsidRPr="00E869A4" w:rsidRDefault="002943F6" w:rsidP="002943F6">
            <w:pPr>
              <w:rPr>
                <w:rFonts w:ascii="Times New Roman" w:eastAsia="Arial" w:hAnsi="Times New Roman" w:cs="Times New Roman"/>
              </w:rPr>
            </w:pPr>
            <w:r w:rsidRPr="00E869A4">
              <w:rPr>
                <w:rFonts w:ascii="Times New Roman" w:eastAsia="Arial" w:hAnsi="Times New Roman" w:cs="Times New Roman"/>
                <w:b/>
              </w:rPr>
              <w:tab/>
            </w:r>
            <w:r w:rsidRPr="00E869A4">
              <w:rPr>
                <w:rFonts w:ascii="Times New Roman" w:eastAsia="Arial" w:hAnsi="Times New Roman" w:cs="Times New Roman"/>
                <w:b/>
              </w:rPr>
              <w:tab/>
            </w:r>
            <w:r w:rsidRPr="00E869A4">
              <w:rPr>
                <w:rFonts w:ascii="Times New Roman" w:eastAsia="Arial" w:hAnsi="Times New Roman" w:cs="Times New Roman"/>
                <w:b/>
              </w:rPr>
              <w:tab/>
            </w:r>
            <w:r w:rsidRPr="00E869A4">
              <w:rPr>
                <w:rFonts w:ascii="Times New Roman" w:eastAsia="Arial" w:hAnsi="Times New Roman" w:cs="Times New Roman"/>
                <w:b/>
              </w:rPr>
              <w:tab/>
            </w:r>
            <w:r w:rsidRPr="00E869A4">
              <w:rPr>
                <w:rFonts w:ascii="Times New Roman" w:eastAsia="Arial" w:hAnsi="Times New Roman" w:cs="Times New Roman"/>
                <w:b/>
              </w:rPr>
              <w:tab/>
            </w:r>
            <w:r w:rsidRPr="00E869A4">
              <w:rPr>
                <w:rFonts w:ascii="Times New Roman" w:eastAsia="Arial" w:hAnsi="Times New Roman" w:cs="Times New Roman"/>
                <w:b/>
              </w:rPr>
              <w:tab/>
            </w:r>
            <w:r w:rsidRPr="00E869A4">
              <w:rPr>
                <w:rFonts w:ascii="Times New Roman" w:eastAsia="Arial" w:hAnsi="Times New Roman" w:cs="Times New Roman"/>
                <w:b/>
              </w:rPr>
              <w:tab/>
            </w:r>
            <w:r w:rsidRPr="00E869A4">
              <w:rPr>
                <w:rFonts w:ascii="Times New Roman" w:eastAsia="Arial" w:hAnsi="Times New Roman" w:cs="Times New Roman"/>
                <w:b/>
              </w:rPr>
              <w:tab/>
            </w:r>
            <w:r w:rsidRPr="00E869A4">
              <w:rPr>
                <w:rFonts w:ascii="Times New Roman" w:eastAsia="Arial" w:hAnsi="Times New Roman" w:cs="Times New Roman"/>
                <w:b/>
              </w:rPr>
              <w:tab/>
              <w:t xml:space="preserve">         Please initial box</w:t>
            </w:r>
          </w:p>
          <w:p w14:paraId="185726B4" w14:textId="77777777" w:rsidR="002943F6" w:rsidRPr="00E869A4" w:rsidRDefault="002943F6" w:rsidP="002943F6">
            <w:pPr>
              <w:rPr>
                <w:rFonts w:ascii="Times New Roman" w:eastAsia="Arial" w:hAnsi="Times New Roman" w:cs="Times New Roman"/>
              </w:rPr>
            </w:pPr>
          </w:p>
          <w:p w14:paraId="62747CE3" w14:textId="77777777" w:rsidR="002943F6" w:rsidRPr="00E869A4" w:rsidRDefault="002943F6" w:rsidP="009D4C5D">
            <w:pPr>
              <w:numPr>
                <w:ilvl w:val="0"/>
                <w:numId w:val="69"/>
              </w:numPr>
              <w:pBdr>
                <w:top w:val="nil"/>
                <w:left w:val="nil"/>
                <w:bottom w:val="nil"/>
                <w:right w:val="nil"/>
                <w:between w:val="nil"/>
              </w:pBdr>
              <w:ind w:left="360"/>
              <w:rPr>
                <w:rFonts w:ascii="Times New Roman" w:eastAsia="Arial" w:hAnsi="Times New Roman" w:cs="Times New Roman"/>
              </w:rPr>
            </w:pPr>
            <w:r w:rsidRPr="00E869A4">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01E2BB7" wp14:editId="6639C787">
                      <wp:simplePos x="0" y="0"/>
                      <wp:positionH relativeFrom="margin">
                        <wp:posOffset>5326380</wp:posOffset>
                      </wp:positionH>
                      <wp:positionV relativeFrom="paragraph">
                        <wp:posOffset>376555</wp:posOffset>
                      </wp:positionV>
                      <wp:extent cx="320675" cy="310515"/>
                      <wp:effectExtent l="0" t="0" r="22225" b="13335"/>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10515"/>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06261145" w14:textId="77777777" w:rsidR="00D7239F" w:rsidRDefault="00D7239F" w:rsidP="002943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679" o:spid="_x0000_s1030" style="position:absolute;left:0;text-align:left;margin-left:419.4pt;margin-top:29.65pt;width:25.25pt;height:24.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">
                      <v:path arrowok="t"/>
                      <v:textbox inset="2.53958mm,2.53958mm,2.53958mm,2.53958mm">
                        <w:txbxContent>
                          <w:p w14:paraId="06261145" w14:textId="77777777" w:rsidR="00011C8F" w:rsidRDefault="00011C8F" w:rsidP="002943F6">
                            <w:pPr>
                              <w:spacing w:line="240" w:lineRule="auto"/>
                              <w:textDirection w:val="btLr"/>
                            </w:pPr>
                          </w:p>
                        </w:txbxContent>
                      </v:textbox>
                      <w10:wrap anchorx="margin"/>
                    </v:rect>
                  </w:pict>
                </mc:Fallback>
              </mc:AlternateContent>
            </w:r>
            <w:r w:rsidRPr="00E869A4">
              <w:rPr>
                <w:rFonts w:ascii="Times New Roman" w:eastAsia="Arial" w:hAnsi="Times New Roman" w:cs="Times New Roman"/>
              </w:rPr>
              <w:t>I confirm that I have read and understand the information sheet/letter</w:t>
            </w:r>
            <w:r w:rsidRPr="00E869A4">
              <w:rPr>
                <w:rFonts w:ascii="Times New Roman" w:eastAsia="Arial" w:hAnsi="Times New Roman" w:cs="Times New Roman"/>
              </w:rPr>
              <w:br/>
              <w:t xml:space="preserve">(delete as applicable) dated </w:t>
            </w:r>
            <w:r w:rsidRPr="00E869A4">
              <w:rPr>
                <w:rFonts w:ascii="Times New Roman" w:eastAsia="Arial" w:hAnsi="Times New Roman" w:cs="Times New Roman"/>
                <w:i/>
              </w:rPr>
              <w:t>[................]</w:t>
            </w:r>
            <w:r w:rsidRPr="00E869A4">
              <w:rPr>
                <w:rFonts w:ascii="Times New Roman" w:eastAsia="Arial" w:hAnsi="Times New Roman" w:cs="Times New Roman"/>
              </w:rPr>
              <w:t xml:space="preserve"> for the above project and have had</w:t>
            </w:r>
            <w:r w:rsidRPr="00E869A4">
              <w:rPr>
                <w:rFonts w:ascii="Times New Roman" w:eastAsia="Arial" w:hAnsi="Times New Roman" w:cs="Times New Roman"/>
              </w:rPr>
              <w:br/>
              <w:t>the opportunity to ask questions.</w:t>
            </w:r>
          </w:p>
          <w:p w14:paraId="29E804D5" w14:textId="77777777" w:rsidR="002943F6" w:rsidRPr="00E869A4" w:rsidRDefault="002943F6" w:rsidP="002943F6">
            <w:pPr>
              <w:rPr>
                <w:rFonts w:ascii="Times New Roman" w:eastAsia="Arial" w:hAnsi="Times New Roman" w:cs="Times New Roman"/>
              </w:rPr>
            </w:pPr>
          </w:p>
          <w:p w14:paraId="450E163A" w14:textId="77777777" w:rsidR="002943F6" w:rsidRPr="00E869A4" w:rsidRDefault="002943F6" w:rsidP="009D4C5D">
            <w:pPr>
              <w:numPr>
                <w:ilvl w:val="0"/>
                <w:numId w:val="69"/>
              </w:numPr>
              <w:pBdr>
                <w:top w:val="nil"/>
                <w:left w:val="nil"/>
                <w:bottom w:val="nil"/>
                <w:right w:val="nil"/>
                <w:between w:val="nil"/>
              </w:pBdr>
              <w:ind w:left="360"/>
              <w:rPr>
                <w:rFonts w:ascii="Times New Roman" w:eastAsia="Arial" w:hAnsi="Times New Roman" w:cs="Times New Roman"/>
              </w:rPr>
            </w:pPr>
            <w:r w:rsidRPr="00E869A4">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692E0B1" wp14:editId="51A868B9">
                      <wp:simplePos x="0" y="0"/>
                      <wp:positionH relativeFrom="margin">
                        <wp:posOffset>5333365</wp:posOffset>
                      </wp:positionH>
                      <wp:positionV relativeFrom="paragraph">
                        <wp:posOffset>194310</wp:posOffset>
                      </wp:positionV>
                      <wp:extent cx="320675" cy="310515"/>
                      <wp:effectExtent l="0" t="0" r="22225" b="13335"/>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10515"/>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7D7141E1" w14:textId="77777777" w:rsidR="00D7239F" w:rsidRDefault="00D7239F" w:rsidP="002943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680" o:spid="_x0000_s1031" style="position:absolute;left:0;text-align:left;margin-left:419.95pt;margin-top:15.3pt;width:25.25pt;height:24.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">
                      <v:path arrowok="t"/>
                      <v:textbox inset="2.53958mm,2.53958mm,2.53958mm,2.53958mm">
                        <w:txbxContent>
                          <w:p w14:paraId="7D7141E1" w14:textId="77777777" w:rsidR="00011C8F" w:rsidRDefault="00011C8F" w:rsidP="002943F6">
                            <w:pPr>
                              <w:spacing w:line="240" w:lineRule="auto"/>
                              <w:textDirection w:val="btLr"/>
                            </w:pPr>
                          </w:p>
                        </w:txbxContent>
                      </v:textbox>
                      <w10:wrap anchorx="margin"/>
                    </v:rect>
                  </w:pict>
                </mc:Fallback>
              </mc:AlternateContent>
            </w:r>
            <w:r w:rsidRPr="00E869A4">
              <w:rPr>
                <w:rFonts w:ascii="Times New Roman" w:eastAsia="Arial" w:hAnsi="Times New Roman" w:cs="Times New Roman"/>
              </w:rPr>
              <w:t>I understand that my participation is voluntary and that I am free to withdraw</w:t>
            </w:r>
            <w:r w:rsidRPr="00E869A4">
              <w:rPr>
                <w:rFonts w:ascii="Times New Roman" w:eastAsia="Arial" w:hAnsi="Times New Roman" w:cs="Times New Roman"/>
              </w:rPr>
              <w:br/>
              <w:t xml:space="preserve">at any time without giving any reason. </w:t>
            </w:r>
          </w:p>
          <w:p w14:paraId="48778769" w14:textId="77777777" w:rsidR="002943F6" w:rsidRPr="00E869A4" w:rsidRDefault="002943F6" w:rsidP="002943F6">
            <w:pPr>
              <w:tabs>
                <w:tab w:val="left" w:pos="360"/>
              </w:tabs>
              <w:ind w:left="360"/>
              <w:rPr>
                <w:rFonts w:ascii="Times New Roman" w:eastAsia="Arial" w:hAnsi="Times New Roman" w:cs="Times New Roman"/>
              </w:rPr>
            </w:pPr>
            <w:r w:rsidRPr="00E869A4">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A8B48A7" wp14:editId="7DDD2FDC">
                      <wp:simplePos x="0" y="0"/>
                      <wp:positionH relativeFrom="margin">
                        <wp:posOffset>5333365</wp:posOffset>
                      </wp:positionH>
                      <wp:positionV relativeFrom="paragraph">
                        <wp:posOffset>307975</wp:posOffset>
                      </wp:positionV>
                      <wp:extent cx="320675" cy="310515"/>
                      <wp:effectExtent l="0" t="0" r="22225" b="13335"/>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10515"/>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0364DCED" w14:textId="77777777" w:rsidR="00D7239F" w:rsidRDefault="00D7239F" w:rsidP="002943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681" o:spid="_x0000_s1032" style="position:absolute;left:0;text-align:left;margin-left:419.95pt;margin-top:24.25pt;width:25.25pt;height:24.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">
                      <v:path arrowok="t"/>
                      <v:textbox inset="2.53958mm,2.53958mm,2.53958mm,2.53958mm">
                        <w:txbxContent>
                          <w:p w14:paraId="0364DCED" w14:textId="77777777" w:rsidR="00011C8F" w:rsidRDefault="00011C8F" w:rsidP="002943F6">
                            <w:pPr>
                              <w:spacing w:line="240" w:lineRule="auto"/>
                              <w:textDirection w:val="btLr"/>
                            </w:pPr>
                          </w:p>
                        </w:txbxContent>
                      </v:textbox>
                      <w10:wrap anchorx="margin"/>
                    </v:rect>
                  </w:pict>
                </mc:Fallback>
              </mc:AlternateContent>
            </w:r>
          </w:p>
          <w:p w14:paraId="2C92A6E8" w14:textId="77777777" w:rsidR="002943F6" w:rsidRPr="00E869A4" w:rsidRDefault="002943F6" w:rsidP="009D4C5D">
            <w:pPr>
              <w:numPr>
                <w:ilvl w:val="0"/>
                <w:numId w:val="69"/>
              </w:numPr>
              <w:pBdr>
                <w:top w:val="nil"/>
                <w:left w:val="nil"/>
                <w:bottom w:val="nil"/>
                <w:right w:val="nil"/>
                <w:between w:val="nil"/>
              </w:pBdr>
              <w:tabs>
                <w:tab w:val="left" w:pos="360"/>
              </w:tabs>
              <w:ind w:left="360"/>
              <w:rPr>
                <w:rFonts w:ascii="Times New Roman" w:eastAsia="Arial" w:hAnsi="Times New Roman" w:cs="Times New Roman"/>
              </w:rPr>
            </w:pPr>
            <w:r w:rsidRPr="00E869A4">
              <w:rPr>
                <w:rFonts w:ascii="Times New Roman" w:eastAsia="Arial" w:hAnsi="Times New Roman" w:cs="Times New Roman"/>
              </w:rPr>
              <w:t xml:space="preserve">I understand that my responses will be anonymised before analysis. </w:t>
            </w:r>
            <w:r w:rsidRPr="00E869A4">
              <w:rPr>
                <w:rFonts w:ascii="Times New Roman" w:eastAsia="Arial" w:hAnsi="Times New Roman" w:cs="Times New Roman"/>
              </w:rPr>
              <w:br/>
            </w:r>
          </w:p>
          <w:p w14:paraId="1119CB01" w14:textId="77777777" w:rsidR="002943F6" w:rsidRPr="00E869A4" w:rsidRDefault="002943F6" w:rsidP="002943F6">
            <w:pPr>
              <w:tabs>
                <w:tab w:val="left" w:pos="360"/>
              </w:tabs>
              <w:rPr>
                <w:rFonts w:ascii="Times New Roman" w:eastAsia="Arial" w:hAnsi="Times New Roman" w:cs="Times New Roman"/>
              </w:rPr>
            </w:pPr>
            <w:r w:rsidRPr="00E869A4">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1C414268" wp14:editId="29820894">
                      <wp:simplePos x="0" y="0"/>
                      <wp:positionH relativeFrom="margin">
                        <wp:posOffset>5326380</wp:posOffset>
                      </wp:positionH>
                      <wp:positionV relativeFrom="paragraph">
                        <wp:posOffset>141605</wp:posOffset>
                      </wp:positionV>
                      <wp:extent cx="320675" cy="310515"/>
                      <wp:effectExtent l="0" t="0" r="22225" b="13335"/>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310515"/>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14:paraId="68B28CF8" w14:textId="77777777" w:rsidR="00D7239F" w:rsidRDefault="00D7239F" w:rsidP="002943F6">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682" o:spid="_x0000_s1033" style="position:absolute;left:0;text-align:left;margin-left:419.4pt;margin-top:11.15pt;width:25.25pt;height:2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">
                      <v:path arrowok="t"/>
                      <v:textbox inset="2.53958mm,2.53958mm,2.53958mm,2.53958mm">
                        <w:txbxContent>
                          <w:p w14:paraId="68B28CF8" w14:textId="77777777" w:rsidR="00011C8F" w:rsidRDefault="00011C8F" w:rsidP="002943F6">
                            <w:pPr>
                              <w:spacing w:line="240" w:lineRule="auto"/>
                              <w:textDirection w:val="btLr"/>
                            </w:pPr>
                          </w:p>
                        </w:txbxContent>
                      </v:textbox>
                      <w10:wrap anchorx="margin"/>
                    </v:rect>
                  </w:pict>
                </mc:Fallback>
              </mc:AlternateContent>
            </w:r>
          </w:p>
          <w:p w14:paraId="258DAC19" w14:textId="77777777" w:rsidR="002943F6" w:rsidRPr="00E869A4" w:rsidRDefault="002943F6" w:rsidP="009D4C5D">
            <w:pPr>
              <w:numPr>
                <w:ilvl w:val="0"/>
                <w:numId w:val="70"/>
              </w:numPr>
              <w:pBdr>
                <w:top w:val="nil"/>
                <w:left w:val="nil"/>
                <w:bottom w:val="nil"/>
                <w:right w:val="nil"/>
                <w:between w:val="nil"/>
              </w:pBdr>
              <w:tabs>
                <w:tab w:val="left" w:pos="360"/>
              </w:tabs>
              <w:ind w:left="360"/>
              <w:rPr>
                <w:rFonts w:ascii="Times New Roman" w:eastAsia="Arial" w:hAnsi="Times New Roman" w:cs="Times New Roman"/>
              </w:rPr>
            </w:pPr>
            <w:r w:rsidRPr="00E869A4">
              <w:rPr>
                <w:rFonts w:ascii="Times New Roman" w:eastAsia="Arial" w:hAnsi="Times New Roman" w:cs="Times New Roman"/>
              </w:rPr>
              <w:t>I agree to take part in the above research project.</w:t>
            </w:r>
            <w:r w:rsidRPr="00E869A4">
              <w:rPr>
                <w:rFonts w:ascii="Times New Roman" w:hAnsi="Times New Roman" w:cs="Times New Roman"/>
                <w:noProof/>
                <w:lang w:eastAsia="en-TT"/>
              </w:rPr>
              <w:t xml:space="preserve"> </w:t>
            </w:r>
          </w:p>
          <w:p w14:paraId="4710008A" w14:textId="77777777" w:rsidR="002943F6" w:rsidRPr="00E869A4" w:rsidRDefault="002943F6" w:rsidP="002943F6">
            <w:pPr>
              <w:rPr>
                <w:rFonts w:ascii="Times New Roman" w:eastAsia="Arial" w:hAnsi="Times New Roman" w:cs="Times New Roman"/>
              </w:rPr>
            </w:pPr>
          </w:p>
          <w:p w14:paraId="4BF19695" w14:textId="77777777" w:rsidR="002943F6" w:rsidRPr="00E869A4" w:rsidRDefault="002943F6" w:rsidP="002943F6">
            <w:pPr>
              <w:tabs>
                <w:tab w:val="left" w:pos="3600"/>
                <w:tab w:val="left" w:pos="6480"/>
              </w:tabs>
              <w:rPr>
                <w:rFonts w:ascii="Times New Roman" w:eastAsia="Arial" w:hAnsi="Times New Roman" w:cs="Times New Roman"/>
              </w:rPr>
            </w:pPr>
            <w:r w:rsidRPr="00E869A4">
              <w:rPr>
                <w:rFonts w:ascii="Times New Roman" w:eastAsia="Arial" w:hAnsi="Times New Roman" w:cs="Times New Roman"/>
              </w:rPr>
              <w:t>________________________</w:t>
            </w:r>
            <w:r w:rsidRPr="00E869A4">
              <w:rPr>
                <w:rFonts w:ascii="Times New Roman" w:eastAsia="Arial" w:hAnsi="Times New Roman" w:cs="Times New Roman"/>
              </w:rPr>
              <w:tab/>
              <w:t>________________         ____________________</w:t>
            </w:r>
          </w:p>
          <w:p w14:paraId="0E2AB3EA" w14:textId="77777777" w:rsidR="002943F6" w:rsidRPr="00E869A4" w:rsidRDefault="002943F6" w:rsidP="002943F6">
            <w:pPr>
              <w:tabs>
                <w:tab w:val="left" w:pos="3600"/>
                <w:tab w:val="left" w:pos="6480"/>
              </w:tabs>
              <w:rPr>
                <w:rFonts w:ascii="Times New Roman" w:eastAsia="Arial" w:hAnsi="Times New Roman" w:cs="Times New Roman"/>
              </w:rPr>
            </w:pPr>
            <w:r w:rsidRPr="00E869A4">
              <w:rPr>
                <w:rFonts w:ascii="Times New Roman" w:eastAsia="Arial" w:hAnsi="Times New Roman" w:cs="Times New Roman"/>
              </w:rPr>
              <w:t>Name of Participant</w:t>
            </w:r>
            <w:r w:rsidRPr="00E869A4">
              <w:rPr>
                <w:rFonts w:ascii="Times New Roman" w:eastAsia="Arial" w:hAnsi="Times New Roman" w:cs="Times New Roman"/>
              </w:rPr>
              <w:tab/>
              <w:t>Date</w:t>
            </w:r>
            <w:r w:rsidRPr="00E869A4">
              <w:rPr>
                <w:rFonts w:ascii="Times New Roman" w:eastAsia="Arial" w:hAnsi="Times New Roman" w:cs="Times New Roman"/>
              </w:rPr>
              <w:tab/>
              <w:t>Signature</w:t>
            </w:r>
          </w:p>
          <w:p w14:paraId="1744CD0F" w14:textId="77777777" w:rsidR="002943F6" w:rsidRPr="00E869A4" w:rsidRDefault="002943F6" w:rsidP="002943F6">
            <w:pPr>
              <w:tabs>
                <w:tab w:val="center" w:pos="4680"/>
                <w:tab w:val="right" w:pos="9360"/>
              </w:tabs>
              <w:rPr>
                <w:rFonts w:ascii="Times New Roman" w:eastAsia="Arial" w:hAnsi="Times New Roman" w:cs="Times New Roman"/>
              </w:rPr>
            </w:pPr>
          </w:p>
          <w:p w14:paraId="457B8301" w14:textId="77777777" w:rsidR="002943F6" w:rsidRPr="00E869A4" w:rsidRDefault="002943F6" w:rsidP="002943F6">
            <w:pPr>
              <w:tabs>
                <w:tab w:val="left" w:pos="3600"/>
                <w:tab w:val="left" w:pos="6480"/>
              </w:tabs>
              <w:rPr>
                <w:rFonts w:ascii="Times New Roman" w:eastAsia="Arial" w:hAnsi="Times New Roman" w:cs="Times New Roman"/>
              </w:rPr>
            </w:pPr>
            <w:r w:rsidRPr="00E869A4">
              <w:rPr>
                <w:rFonts w:ascii="Times New Roman" w:eastAsia="Arial" w:hAnsi="Times New Roman" w:cs="Times New Roman"/>
              </w:rPr>
              <w:tab/>
              <w:t>________________         ____________________</w:t>
            </w:r>
          </w:p>
          <w:p w14:paraId="2E5D8CF0" w14:textId="77777777" w:rsidR="002943F6" w:rsidRPr="00E869A4" w:rsidRDefault="002943F6" w:rsidP="002943F6">
            <w:pPr>
              <w:tabs>
                <w:tab w:val="left" w:pos="3600"/>
                <w:tab w:val="left" w:pos="6480"/>
              </w:tabs>
              <w:rPr>
                <w:rFonts w:ascii="Times New Roman" w:eastAsia="Arial" w:hAnsi="Times New Roman" w:cs="Times New Roman"/>
              </w:rPr>
            </w:pPr>
            <w:r w:rsidRPr="00E869A4">
              <w:rPr>
                <w:rFonts w:ascii="Times New Roman" w:eastAsia="Arial" w:hAnsi="Times New Roman" w:cs="Times New Roman"/>
              </w:rPr>
              <w:tab/>
              <w:t>Date</w:t>
            </w:r>
            <w:r w:rsidRPr="00E869A4">
              <w:rPr>
                <w:rFonts w:ascii="Times New Roman" w:eastAsia="Arial" w:hAnsi="Times New Roman" w:cs="Times New Roman"/>
              </w:rPr>
              <w:tab/>
              <w:t>Researcher’s Signature</w:t>
            </w:r>
          </w:p>
          <w:p w14:paraId="55F4A947" w14:textId="77777777" w:rsidR="002943F6" w:rsidRPr="00E869A4" w:rsidRDefault="002943F6" w:rsidP="002943F6">
            <w:pPr>
              <w:rPr>
                <w:rFonts w:ascii="Times New Roman" w:eastAsia="Arial" w:hAnsi="Times New Roman" w:cs="Times New Roman"/>
                <w:i/>
              </w:rPr>
            </w:pPr>
            <w:r w:rsidRPr="00E869A4">
              <w:rPr>
                <w:rFonts w:ascii="Times New Roman" w:eastAsia="Arial" w:hAnsi="Times New Roman" w:cs="Times New Roman"/>
                <w:i/>
              </w:rPr>
              <w:t>To be signed and dated in presence of the participant</w:t>
            </w:r>
          </w:p>
          <w:p w14:paraId="260EFDAF" w14:textId="77777777" w:rsidR="002943F6" w:rsidRPr="00E869A4" w:rsidRDefault="002943F6" w:rsidP="002943F6">
            <w:pPr>
              <w:rPr>
                <w:rFonts w:ascii="Times New Roman" w:eastAsia="Arial" w:hAnsi="Times New Roman" w:cs="Times New Roman"/>
              </w:rPr>
            </w:pPr>
          </w:p>
          <w:p w14:paraId="2826E3D7" w14:textId="77777777" w:rsidR="002943F6" w:rsidRPr="00E869A4" w:rsidRDefault="002943F6" w:rsidP="002943F6">
            <w:pPr>
              <w:tabs>
                <w:tab w:val="center" w:pos="4680"/>
                <w:tab w:val="right" w:pos="9360"/>
              </w:tabs>
              <w:rPr>
                <w:rFonts w:ascii="Times New Roman" w:eastAsia="Arial" w:hAnsi="Times New Roman" w:cs="Times New Roman"/>
              </w:rPr>
            </w:pPr>
            <w:r w:rsidRPr="00E869A4">
              <w:rPr>
                <w:rFonts w:ascii="Times New Roman" w:eastAsia="Arial" w:hAnsi="Times New Roman" w:cs="Times New Roman"/>
              </w:rPr>
              <w:lastRenderedPageBreak/>
              <w:t>Copies:</w:t>
            </w:r>
          </w:p>
          <w:p w14:paraId="76FF6A98" w14:textId="77777777" w:rsidR="002943F6" w:rsidRPr="00E869A4" w:rsidRDefault="002943F6" w:rsidP="002943F6">
            <w:pPr>
              <w:tabs>
                <w:tab w:val="center" w:pos="4680"/>
                <w:tab w:val="right" w:pos="9360"/>
              </w:tabs>
              <w:rPr>
                <w:rFonts w:ascii="Times New Roman" w:eastAsia="Arial" w:hAnsi="Times New Roman" w:cs="Times New Roman"/>
              </w:rPr>
            </w:pPr>
          </w:p>
          <w:p w14:paraId="3FA951F7" w14:textId="77777777" w:rsidR="002943F6" w:rsidRPr="00E869A4" w:rsidRDefault="002943F6" w:rsidP="002943F6">
            <w:pPr>
              <w:tabs>
                <w:tab w:val="center" w:pos="4680"/>
                <w:tab w:val="right" w:pos="9360"/>
              </w:tabs>
              <w:rPr>
                <w:rFonts w:ascii="Times New Roman" w:eastAsia="Arial" w:hAnsi="Times New Roman" w:cs="Times New Roman"/>
                <w:i/>
              </w:rPr>
            </w:pPr>
            <w:r w:rsidRPr="00E869A4">
              <w:rPr>
                <w:rFonts w:ascii="Times New Roman" w:eastAsia="Arial" w:hAnsi="Times New Roman" w:cs="Times New Roman"/>
                <w:i/>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p w14:paraId="5DBA373D" w14:textId="77777777" w:rsidR="002943F6" w:rsidRPr="00E869A4" w:rsidRDefault="002943F6" w:rsidP="002943F6">
            <w:pPr>
              <w:tabs>
                <w:tab w:val="center" w:pos="4680"/>
                <w:tab w:val="right" w:pos="9360"/>
              </w:tabs>
              <w:rPr>
                <w:rFonts w:ascii="Times New Roman" w:eastAsia="Arial" w:hAnsi="Times New Roman" w:cs="Times New Roman"/>
              </w:rPr>
            </w:pPr>
          </w:p>
        </w:tc>
      </w:tr>
    </w:tbl>
    <w:p w14:paraId="0F48DD3A" w14:textId="77777777" w:rsidR="009E0BFD" w:rsidRPr="00E869A4" w:rsidRDefault="009E0BFD" w:rsidP="00B61191">
      <w:pPr>
        <w:ind w:left="567" w:firstLine="0"/>
      </w:pPr>
    </w:p>
    <w:p w14:paraId="3F3F9AE5" w14:textId="1F9B41B7" w:rsidR="00AA6393" w:rsidRPr="00E869A4" w:rsidRDefault="00AA6393">
      <w:pPr>
        <w:rPr>
          <w:b/>
          <w:u w:val="single"/>
        </w:rPr>
      </w:pPr>
      <w:r w:rsidRPr="00E869A4">
        <w:rPr>
          <w:i/>
        </w:rPr>
        <w:br w:type="page"/>
      </w:r>
    </w:p>
    <w:p w14:paraId="321D3A26" w14:textId="0160CDC2" w:rsidR="00A24571" w:rsidRPr="00E869A4" w:rsidRDefault="00A24571" w:rsidP="00B31B47">
      <w:pPr>
        <w:pStyle w:val="Caption"/>
        <w:ind w:firstLine="0"/>
        <w:rPr>
          <w:b/>
          <w:i w:val="0"/>
          <w:sz w:val="28"/>
        </w:rPr>
      </w:pPr>
      <w:bookmarkStart w:id="467" w:name="_Toc40436625"/>
      <w:r w:rsidRPr="00E869A4">
        <w:rPr>
          <w:b/>
          <w:i w:val="0"/>
          <w:sz w:val="28"/>
        </w:rPr>
        <w:lastRenderedPageBreak/>
        <w:t xml:space="preserve">Appendix </w:t>
      </w:r>
      <w:r w:rsidRPr="00E869A4">
        <w:rPr>
          <w:b/>
          <w:i w:val="0"/>
          <w:sz w:val="28"/>
        </w:rPr>
        <w:fldChar w:fldCharType="begin"/>
      </w:r>
      <w:r w:rsidRPr="00E869A4">
        <w:rPr>
          <w:b/>
          <w:i w:val="0"/>
          <w:sz w:val="28"/>
        </w:rPr>
        <w:instrText xml:space="preserve"> SEQ Appendix \* ARABIC </w:instrText>
      </w:r>
      <w:r w:rsidRPr="00E869A4">
        <w:rPr>
          <w:b/>
          <w:i w:val="0"/>
          <w:sz w:val="28"/>
        </w:rPr>
        <w:fldChar w:fldCharType="separate"/>
      </w:r>
      <w:r w:rsidR="00D7239F">
        <w:rPr>
          <w:b/>
          <w:i w:val="0"/>
          <w:noProof/>
          <w:sz w:val="28"/>
        </w:rPr>
        <w:t>5</w:t>
      </w:r>
      <w:r w:rsidRPr="00E869A4">
        <w:rPr>
          <w:b/>
          <w:i w:val="0"/>
          <w:sz w:val="28"/>
        </w:rPr>
        <w:fldChar w:fldCharType="end"/>
      </w:r>
      <w:r w:rsidRPr="00E869A4">
        <w:rPr>
          <w:b/>
          <w:i w:val="0"/>
          <w:sz w:val="28"/>
        </w:rPr>
        <w:t>: Interview Guides</w:t>
      </w:r>
      <w:bookmarkEnd w:id="467"/>
    </w:p>
    <w:p w14:paraId="09F55740" w14:textId="77777777" w:rsidR="00A24571" w:rsidRPr="00E869A4" w:rsidRDefault="00A24571" w:rsidP="00A24571"/>
    <w:bookmarkEnd w:id="456"/>
    <w:p w14:paraId="52A13FB2" w14:textId="050FD5E6" w:rsidR="00FB4041" w:rsidRPr="00E869A4" w:rsidRDefault="00FB4041" w:rsidP="00FB4041">
      <w:pPr>
        <w:ind w:firstLine="0"/>
        <w:rPr>
          <w:b/>
          <w:u w:val="single"/>
        </w:rPr>
      </w:pPr>
      <w:r w:rsidRPr="00E869A4">
        <w:rPr>
          <w:b/>
          <w:u w:val="single"/>
        </w:rPr>
        <w:t>A. INTERVIEW GUIDES (SHORT VERSION)</w:t>
      </w:r>
    </w:p>
    <w:p w14:paraId="4FDB05FA" w14:textId="77777777" w:rsidR="00D1584C" w:rsidRPr="00E869A4" w:rsidRDefault="00D1584C" w:rsidP="00A35FF8">
      <w:pPr>
        <w:rPr>
          <w:rFonts w:ascii="Times New Roman" w:eastAsiaTheme="majorEastAsia" w:hAnsi="Times New Roman" w:cs="Times New Roman"/>
          <w:b/>
          <w:iCs/>
          <w:szCs w:val="28"/>
          <w:u w:val="single"/>
        </w:rPr>
      </w:pPr>
    </w:p>
    <w:p w14:paraId="20811945" w14:textId="77777777" w:rsidR="00D1584C" w:rsidRPr="00E869A4" w:rsidRDefault="006665DF" w:rsidP="005C7EA7">
      <w:pPr>
        <w:ind w:firstLine="0"/>
        <w:rPr>
          <w:b/>
          <w:u w:val="single"/>
        </w:rPr>
      </w:pPr>
      <w:r w:rsidRPr="00E869A4">
        <w:rPr>
          <w:b/>
          <w:u w:val="single"/>
        </w:rPr>
        <w:t>TOPIC: SUPPORT FOR (FRAIL) OLDER PERSONS &amp; FAMILY CARERS IN T&amp;T</w:t>
      </w:r>
    </w:p>
    <w:p w14:paraId="13B3308E" w14:textId="77777777" w:rsidR="00D1584C" w:rsidRPr="00E869A4" w:rsidRDefault="00D1584C" w:rsidP="00A35FF8">
      <w:pPr>
        <w:rPr>
          <w:u w:val="single"/>
        </w:rPr>
      </w:pPr>
    </w:p>
    <w:p w14:paraId="5C5A6BCF" w14:textId="77777777" w:rsidR="00D1584C" w:rsidRPr="00E869A4" w:rsidRDefault="006665DF" w:rsidP="00A35FF8">
      <w:pPr>
        <w:rPr>
          <w:b/>
          <w:u w:val="single"/>
        </w:rPr>
      </w:pPr>
      <w:r w:rsidRPr="00E869A4">
        <w:rPr>
          <w:b/>
          <w:u w:val="single"/>
        </w:rPr>
        <w:t>Older Person Interview Schedule</w:t>
      </w:r>
    </w:p>
    <w:p w14:paraId="13E6D532" w14:textId="77777777" w:rsidR="00D1584C" w:rsidRPr="00E869A4" w:rsidRDefault="00D1584C" w:rsidP="00A35FF8">
      <w:pPr>
        <w:ind w:left="720"/>
        <w:rPr>
          <w:rFonts w:ascii="Times New Roman" w:hAnsi="Times New Roman" w:cs="Times New Roman"/>
          <w:b/>
        </w:rPr>
      </w:pPr>
    </w:p>
    <w:p w14:paraId="198D8F58" w14:textId="77777777" w:rsidR="00D1584C" w:rsidRPr="00E869A4" w:rsidRDefault="00D1584C" w:rsidP="009D4C5D">
      <w:pPr>
        <w:numPr>
          <w:ilvl w:val="0"/>
          <w:numId w:val="20"/>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(Refer to flash card) Which of the following activities do you need help with?</w:t>
      </w:r>
    </w:p>
    <w:p w14:paraId="66C0F4F0" w14:textId="77777777" w:rsidR="00D1584C" w:rsidRPr="00E869A4" w:rsidRDefault="00D1584C" w:rsidP="00A35FF8">
      <w:pPr>
        <w:ind w:left="720"/>
        <w:rPr>
          <w:rFonts w:ascii="Times New Roman" w:hAnsi="Times New Roman" w:cs="Times New Roman"/>
        </w:rPr>
      </w:pPr>
    </w:p>
    <w:p w14:paraId="13819074" w14:textId="77777777" w:rsidR="00D1584C" w:rsidRPr="00E869A4" w:rsidRDefault="00D1584C" w:rsidP="009D4C5D">
      <w:pPr>
        <w:numPr>
          <w:ilvl w:val="0"/>
          <w:numId w:val="20"/>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Please describe for me the ways in which you receive help from your family</w:t>
      </w:r>
    </w:p>
    <w:p w14:paraId="6C8F6FE1"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give me an example?</w:t>
      </w:r>
    </w:p>
    <w:p w14:paraId="55C3FE5A"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did you feel?</w:t>
      </w:r>
    </w:p>
    <w:p w14:paraId="5B01A706"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were your thoughts?</w:t>
      </w:r>
    </w:p>
    <w:p w14:paraId="69717355"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tell me more?</w:t>
      </w:r>
    </w:p>
    <w:p w14:paraId="40628222" w14:textId="77777777" w:rsidR="00D1584C" w:rsidRPr="00E869A4" w:rsidRDefault="00D1584C" w:rsidP="00A35FF8">
      <w:pPr>
        <w:ind w:left="1440"/>
        <w:rPr>
          <w:rFonts w:ascii="Times New Roman" w:hAnsi="Times New Roman" w:cs="Times New Roman"/>
        </w:rPr>
      </w:pPr>
    </w:p>
    <w:p w14:paraId="1E272EAA" w14:textId="77777777" w:rsidR="00D1584C" w:rsidRPr="00E869A4" w:rsidRDefault="00D1584C" w:rsidP="009D4C5D">
      <w:pPr>
        <w:numPr>
          <w:ilvl w:val="0"/>
          <w:numId w:val="20"/>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Tell me about the support you receive from neighbours and friends</w:t>
      </w:r>
    </w:p>
    <w:p w14:paraId="60360134" w14:textId="77777777" w:rsidR="00D1584C" w:rsidRPr="00E869A4" w:rsidRDefault="00D1584C" w:rsidP="00A35FF8">
      <w:pPr>
        <w:ind w:left="720"/>
        <w:rPr>
          <w:rFonts w:ascii="Times New Roman" w:hAnsi="Times New Roman" w:cs="Times New Roman"/>
        </w:rPr>
      </w:pPr>
    </w:p>
    <w:p w14:paraId="12D912BE"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give me an example?</w:t>
      </w:r>
    </w:p>
    <w:p w14:paraId="2CB0B740"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did you feel?</w:t>
      </w:r>
    </w:p>
    <w:p w14:paraId="1272DCE2"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were your thoughts?</w:t>
      </w:r>
    </w:p>
    <w:p w14:paraId="5B907A47"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tell me more?</w:t>
      </w:r>
    </w:p>
    <w:p w14:paraId="50AFEE21" w14:textId="77777777" w:rsidR="00D1584C" w:rsidRPr="00E869A4" w:rsidRDefault="00D1584C" w:rsidP="00A35FF8">
      <w:pPr>
        <w:ind w:left="720"/>
        <w:rPr>
          <w:rFonts w:ascii="Times New Roman" w:hAnsi="Times New Roman" w:cs="Times New Roman"/>
        </w:rPr>
      </w:pPr>
    </w:p>
    <w:p w14:paraId="084F36E4" w14:textId="77777777" w:rsidR="00D1584C" w:rsidRPr="00E869A4" w:rsidRDefault="00D1584C" w:rsidP="009D4C5D">
      <w:pPr>
        <w:numPr>
          <w:ilvl w:val="0"/>
          <w:numId w:val="20"/>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support, if any, do you receive from private, religious or government agencies?</w:t>
      </w:r>
    </w:p>
    <w:p w14:paraId="61F98691" w14:textId="77777777" w:rsidR="00D1584C" w:rsidRPr="00E869A4" w:rsidRDefault="00D1584C" w:rsidP="00A35FF8">
      <w:pPr>
        <w:ind w:left="720"/>
        <w:rPr>
          <w:rFonts w:ascii="Times New Roman" w:hAnsi="Times New Roman" w:cs="Times New Roman"/>
        </w:rPr>
      </w:pPr>
    </w:p>
    <w:p w14:paraId="3CAC5C4A"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give me an example?</w:t>
      </w:r>
    </w:p>
    <w:p w14:paraId="3B5D6723"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did you feel?</w:t>
      </w:r>
    </w:p>
    <w:p w14:paraId="094A84E8"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were your thoughts?</w:t>
      </w:r>
    </w:p>
    <w:p w14:paraId="0AD96DEF"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tell me more?</w:t>
      </w:r>
    </w:p>
    <w:p w14:paraId="525B1F66" w14:textId="77777777" w:rsidR="00D1584C" w:rsidRPr="00E869A4" w:rsidRDefault="00D1584C" w:rsidP="00A35FF8">
      <w:pPr>
        <w:ind w:left="720"/>
        <w:rPr>
          <w:rFonts w:ascii="Times New Roman" w:hAnsi="Times New Roman" w:cs="Times New Roman"/>
        </w:rPr>
      </w:pPr>
    </w:p>
    <w:p w14:paraId="0CD06107" w14:textId="77777777" w:rsidR="00D1584C" w:rsidRPr="00E869A4" w:rsidRDefault="00D1584C" w:rsidP="009D4C5D">
      <w:pPr>
        <w:numPr>
          <w:ilvl w:val="0"/>
          <w:numId w:val="20"/>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lastRenderedPageBreak/>
        <w:t>Tell me about the support you give to your family</w:t>
      </w:r>
    </w:p>
    <w:p w14:paraId="3126FC45" w14:textId="77777777" w:rsidR="00D1584C" w:rsidRPr="00E869A4" w:rsidRDefault="00D1584C" w:rsidP="00A35FF8">
      <w:pPr>
        <w:ind w:left="720"/>
        <w:rPr>
          <w:rFonts w:ascii="Times New Roman" w:hAnsi="Times New Roman" w:cs="Times New Roman"/>
        </w:rPr>
      </w:pPr>
    </w:p>
    <w:p w14:paraId="3FA8BBC8"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give me an example?</w:t>
      </w:r>
    </w:p>
    <w:p w14:paraId="4738C3E5"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did you feel?</w:t>
      </w:r>
    </w:p>
    <w:p w14:paraId="67BFF2AB"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were your thoughts?</w:t>
      </w:r>
    </w:p>
    <w:p w14:paraId="49CD7917"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tell me more?</w:t>
      </w:r>
    </w:p>
    <w:p w14:paraId="6AAB4191" w14:textId="77777777" w:rsidR="00D1584C" w:rsidRPr="00E869A4" w:rsidRDefault="00D1584C" w:rsidP="00A35FF8">
      <w:pPr>
        <w:ind w:left="720"/>
        <w:rPr>
          <w:rFonts w:ascii="Times New Roman" w:hAnsi="Times New Roman" w:cs="Times New Roman"/>
        </w:rPr>
      </w:pPr>
    </w:p>
    <w:p w14:paraId="46FF4C30" w14:textId="77777777" w:rsidR="00D1584C" w:rsidRPr="00E869A4" w:rsidRDefault="00D1584C" w:rsidP="00A35FF8">
      <w:pPr>
        <w:ind w:left="720"/>
        <w:rPr>
          <w:rFonts w:ascii="Times New Roman" w:hAnsi="Times New Roman" w:cs="Times New Roman"/>
        </w:rPr>
      </w:pPr>
    </w:p>
    <w:p w14:paraId="4B1AB896" w14:textId="77777777" w:rsidR="00D1584C" w:rsidRPr="00E869A4" w:rsidRDefault="00D1584C" w:rsidP="009D4C5D">
      <w:pPr>
        <w:numPr>
          <w:ilvl w:val="0"/>
          <w:numId w:val="20"/>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In your view, how can the support you receive be improved?</w:t>
      </w:r>
    </w:p>
    <w:p w14:paraId="5B282297" w14:textId="77777777" w:rsidR="00D1584C" w:rsidRPr="00E869A4" w:rsidRDefault="00D1584C" w:rsidP="009D4C5D">
      <w:pPr>
        <w:numPr>
          <w:ilvl w:val="0"/>
          <w:numId w:val="2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From Family</w:t>
      </w:r>
    </w:p>
    <w:p w14:paraId="2DC3DB5D" w14:textId="77777777" w:rsidR="00D1584C" w:rsidRPr="00E869A4" w:rsidRDefault="00D1584C" w:rsidP="009D4C5D">
      <w:pPr>
        <w:numPr>
          <w:ilvl w:val="0"/>
          <w:numId w:val="2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From Neighbours &amp; Friends</w:t>
      </w:r>
    </w:p>
    <w:p w14:paraId="4DC356D3" w14:textId="77777777" w:rsidR="00D1584C" w:rsidRPr="00E869A4" w:rsidRDefault="00D1584C" w:rsidP="009D4C5D">
      <w:pPr>
        <w:numPr>
          <w:ilvl w:val="0"/>
          <w:numId w:val="2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From Private, Religious or Government agencies</w:t>
      </w:r>
    </w:p>
    <w:p w14:paraId="59E6C6E6" w14:textId="77777777" w:rsidR="00D1584C" w:rsidRPr="00E869A4" w:rsidRDefault="00D1584C" w:rsidP="00A35FF8">
      <w:pPr>
        <w:rPr>
          <w:rFonts w:ascii="Times New Roman" w:hAnsi="Times New Roman" w:cs="Times New Roman"/>
        </w:rPr>
      </w:pPr>
    </w:p>
    <w:p w14:paraId="05695520" w14:textId="77777777" w:rsidR="00D1584C" w:rsidRPr="00E869A4" w:rsidRDefault="006665DF" w:rsidP="00A35FF8">
      <w:pPr>
        <w:rPr>
          <w:b/>
          <w:u w:val="single"/>
        </w:rPr>
      </w:pPr>
      <w:r w:rsidRPr="00E869A4">
        <w:rPr>
          <w:b/>
          <w:u w:val="single"/>
        </w:rPr>
        <w:t>Carer Interview</w:t>
      </w:r>
    </w:p>
    <w:p w14:paraId="34F371DC" w14:textId="77777777" w:rsidR="00D1584C" w:rsidRPr="00E869A4" w:rsidRDefault="00D1584C" w:rsidP="00A35FF8">
      <w:pPr>
        <w:ind w:left="720"/>
        <w:rPr>
          <w:rFonts w:ascii="Times New Roman" w:hAnsi="Times New Roman" w:cs="Times New Roman"/>
          <w:b/>
        </w:rPr>
      </w:pPr>
    </w:p>
    <w:p w14:paraId="7A63D877" w14:textId="53189778" w:rsidR="00D1584C" w:rsidRPr="00E869A4" w:rsidRDefault="00D1584C" w:rsidP="009D4C5D">
      <w:pPr>
        <w:numPr>
          <w:ilvl w:val="0"/>
          <w:numId w:val="1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(Refer to flash card) Which of the following activities does (</w:t>
      </w:r>
      <w:r w:rsidR="009E2738" w:rsidRPr="00E869A4">
        <w:rPr>
          <w:rFonts w:ascii="Times New Roman" w:hAnsi="Times New Roman" w:cs="Times New Roman"/>
        </w:rPr>
        <w:t>care recipient</w:t>
      </w:r>
      <w:r w:rsidRPr="00E869A4">
        <w:rPr>
          <w:rFonts w:ascii="Times New Roman" w:hAnsi="Times New Roman" w:cs="Times New Roman"/>
        </w:rPr>
        <w:t>) need help with?</w:t>
      </w:r>
    </w:p>
    <w:p w14:paraId="63743B60" w14:textId="77777777" w:rsidR="00D1584C" w:rsidRPr="00E869A4" w:rsidRDefault="00D1584C" w:rsidP="00A35FF8">
      <w:pPr>
        <w:ind w:left="720"/>
        <w:rPr>
          <w:rFonts w:ascii="Times New Roman" w:hAnsi="Times New Roman" w:cs="Times New Roman"/>
        </w:rPr>
      </w:pPr>
    </w:p>
    <w:p w14:paraId="7D16AC4F" w14:textId="16A75049" w:rsidR="00D1584C" w:rsidRPr="00E869A4" w:rsidRDefault="00D1584C" w:rsidP="009D4C5D">
      <w:pPr>
        <w:numPr>
          <w:ilvl w:val="0"/>
          <w:numId w:val="1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Please describe for me the ways in which you help (</w:t>
      </w:r>
      <w:r w:rsidR="009E2738" w:rsidRPr="00E869A4">
        <w:rPr>
          <w:rFonts w:ascii="Times New Roman" w:hAnsi="Times New Roman" w:cs="Times New Roman"/>
        </w:rPr>
        <w:t>care recipient</w:t>
      </w:r>
      <w:r w:rsidRPr="00E869A4">
        <w:rPr>
          <w:rFonts w:ascii="Times New Roman" w:hAnsi="Times New Roman" w:cs="Times New Roman"/>
        </w:rPr>
        <w:t>)</w:t>
      </w:r>
    </w:p>
    <w:p w14:paraId="69DD5C1E" w14:textId="77777777" w:rsidR="00D1584C" w:rsidRPr="00E869A4" w:rsidRDefault="00D1584C" w:rsidP="00A35FF8">
      <w:pPr>
        <w:ind w:left="720"/>
        <w:rPr>
          <w:rFonts w:ascii="Times New Roman" w:hAnsi="Times New Roman" w:cs="Times New Roman"/>
        </w:rPr>
      </w:pPr>
    </w:p>
    <w:p w14:paraId="6C23C9D5" w14:textId="7588825F" w:rsidR="00D1584C" w:rsidRPr="00E869A4" w:rsidRDefault="00D1584C" w:rsidP="009D4C5D">
      <w:pPr>
        <w:numPr>
          <w:ilvl w:val="0"/>
          <w:numId w:val="1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Tell me about your experience in supporting (</w:t>
      </w:r>
      <w:r w:rsidR="009E2738" w:rsidRPr="00E869A4">
        <w:rPr>
          <w:rFonts w:ascii="Times New Roman" w:hAnsi="Times New Roman" w:cs="Times New Roman"/>
        </w:rPr>
        <w:t>care recipient</w:t>
      </w:r>
      <w:r w:rsidRPr="00E869A4">
        <w:rPr>
          <w:rFonts w:ascii="Times New Roman" w:hAnsi="Times New Roman" w:cs="Times New Roman"/>
        </w:rPr>
        <w:t>)</w:t>
      </w:r>
    </w:p>
    <w:p w14:paraId="3402CF8A"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give me an example?</w:t>
      </w:r>
    </w:p>
    <w:p w14:paraId="6AE0AEFB"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did you feel?</w:t>
      </w:r>
    </w:p>
    <w:p w14:paraId="48A5C8D2"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were your thoughts?</w:t>
      </w:r>
    </w:p>
    <w:p w14:paraId="1B160106"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tell me more?</w:t>
      </w:r>
    </w:p>
    <w:p w14:paraId="363209C3" w14:textId="77777777" w:rsidR="00D1584C" w:rsidRPr="00E869A4" w:rsidRDefault="00D1584C" w:rsidP="00A35FF8">
      <w:pPr>
        <w:ind w:left="1440"/>
        <w:rPr>
          <w:rFonts w:ascii="Times New Roman" w:hAnsi="Times New Roman" w:cs="Times New Roman"/>
        </w:rPr>
      </w:pPr>
    </w:p>
    <w:p w14:paraId="38AD5BBA" w14:textId="0E874BEF" w:rsidR="00D1584C" w:rsidRPr="00E869A4" w:rsidRDefault="00D1584C" w:rsidP="009D4C5D">
      <w:pPr>
        <w:numPr>
          <w:ilvl w:val="0"/>
          <w:numId w:val="1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Tell me about your experience in getting support from other family members to help care for (</w:t>
      </w:r>
      <w:r w:rsidR="009E2738" w:rsidRPr="00E869A4">
        <w:rPr>
          <w:rFonts w:ascii="Times New Roman" w:hAnsi="Times New Roman" w:cs="Times New Roman"/>
        </w:rPr>
        <w:t>care recipient</w:t>
      </w:r>
      <w:r w:rsidRPr="00E869A4">
        <w:rPr>
          <w:rFonts w:ascii="Times New Roman" w:hAnsi="Times New Roman" w:cs="Times New Roman"/>
        </w:rPr>
        <w:t>)</w:t>
      </w:r>
    </w:p>
    <w:p w14:paraId="6DA4B8E6"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give me an example?</w:t>
      </w:r>
    </w:p>
    <w:p w14:paraId="63563096"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did you feel?</w:t>
      </w:r>
    </w:p>
    <w:p w14:paraId="7C92CD05"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were your thoughts?</w:t>
      </w:r>
    </w:p>
    <w:p w14:paraId="26D0338D"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lastRenderedPageBreak/>
        <w:t>Can you tell me more?</w:t>
      </w:r>
    </w:p>
    <w:p w14:paraId="1C567015" w14:textId="77777777" w:rsidR="00D1584C" w:rsidRPr="00E869A4" w:rsidRDefault="00D1584C" w:rsidP="00A35FF8">
      <w:pPr>
        <w:ind w:left="1440"/>
        <w:rPr>
          <w:rFonts w:ascii="Times New Roman" w:hAnsi="Times New Roman" w:cs="Times New Roman"/>
        </w:rPr>
      </w:pPr>
    </w:p>
    <w:p w14:paraId="3B169086" w14:textId="728F689C" w:rsidR="00D1584C" w:rsidRPr="00E869A4" w:rsidRDefault="00D1584C" w:rsidP="009D4C5D">
      <w:pPr>
        <w:numPr>
          <w:ilvl w:val="0"/>
          <w:numId w:val="1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Tell me about your experience in getting support from neighbours and friends to help care for (</w:t>
      </w:r>
      <w:r w:rsidR="009E2738" w:rsidRPr="00E869A4">
        <w:rPr>
          <w:rFonts w:ascii="Times New Roman" w:hAnsi="Times New Roman" w:cs="Times New Roman"/>
        </w:rPr>
        <w:t>care recipient</w:t>
      </w:r>
      <w:r w:rsidRPr="00E869A4">
        <w:rPr>
          <w:rFonts w:ascii="Times New Roman" w:hAnsi="Times New Roman" w:cs="Times New Roman"/>
        </w:rPr>
        <w:t>)</w:t>
      </w:r>
    </w:p>
    <w:p w14:paraId="6BB335AD" w14:textId="77777777" w:rsidR="00D1584C" w:rsidRPr="00E869A4" w:rsidRDefault="00D1584C" w:rsidP="00A35FF8">
      <w:pPr>
        <w:ind w:left="720"/>
        <w:rPr>
          <w:rFonts w:ascii="Times New Roman" w:hAnsi="Times New Roman" w:cs="Times New Roman"/>
        </w:rPr>
      </w:pPr>
    </w:p>
    <w:p w14:paraId="551F153F"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give me an example?</w:t>
      </w:r>
    </w:p>
    <w:p w14:paraId="247F0534"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did you feel?</w:t>
      </w:r>
    </w:p>
    <w:p w14:paraId="37F76446"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were your thoughts?</w:t>
      </w:r>
    </w:p>
    <w:p w14:paraId="28CE96BD"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tell me more?</w:t>
      </w:r>
    </w:p>
    <w:p w14:paraId="1879AB2D" w14:textId="77777777" w:rsidR="00D1584C" w:rsidRPr="00E869A4" w:rsidRDefault="00D1584C" w:rsidP="00A35FF8">
      <w:pPr>
        <w:ind w:left="720"/>
        <w:rPr>
          <w:rFonts w:ascii="Times New Roman" w:hAnsi="Times New Roman" w:cs="Times New Roman"/>
        </w:rPr>
      </w:pPr>
    </w:p>
    <w:p w14:paraId="0EA8A103" w14:textId="4878E5F3" w:rsidR="00D1584C" w:rsidRPr="00E869A4" w:rsidRDefault="00D1584C" w:rsidP="009D4C5D">
      <w:pPr>
        <w:numPr>
          <w:ilvl w:val="0"/>
          <w:numId w:val="1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Tell me about the support you receive from private, religious or government agencies to help care for (</w:t>
      </w:r>
      <w:r w:rsidR="009E2738" w:rsidRPr="00E869A4">
        <w:rPr>
          <w:rFonts w:ascii="Times New Roman" w:hAnsi="Times New Roman" w:cs="Times New Roman"/>
        </w:rPr>
        <w:t>care recipient</w:t>
      </w:r>
      <w:r w:rsidRPr="00E869A4">
        <w:rPr>
          <w:rFonts w:ascii="Times New Roman" w:hAnsi="Times New Roman" w:cs="Times New Roman"/>
        </w:rPr>
        <w:t>)?</w:t>
      </w:r>
    </w:p>
    <w:p w14:paraId="7635A463" w14:textId="77777777" w:rsidR="00D1584C" w:rsidRPr="00E869A4" w:rsidRDefault="00D1584C" w:rsidP="00A35FF8">
      <w:pPr>
        <w:ind w:left="720"/>
        <w:rPr>
          <w:rFonts w:ascii="Times New Roman" w:hAnsi="Times New Roman" w:cs="Times New Roman"/>
        </w:rPr>
      </w:pPr>
    </w:p>
    <w:p w14:paraId="02F061EE"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give me an example?</w:t>
      </w:r>
    </w:p>
    <w:p w14:paraId="5AE99398"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did you feel?</w:t>
      </w:r>
    </w:p>
    <w:p w14:paraId="4DD00789"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were your thoughts?</w:t>
      </w:r>
    </w:p>
    <w:p w14:paraId="40BDF108" w14:textId="77777777" w:rsidR="00D1584C" w:rsidRPr="00E869A4" w:rsidRDefault="00D1584C" w:rsidP="009D4C5D">
      <w:pPr>
        <w:numPr>
          <w:ilvl w:val="0"/>
          <w:numId w:val="2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Can you tell me more?</w:t>
      </w:r>
    </w:p>
    <w:p w14:paraId="51D486B6" w14:textId="77777777" w:rsidR="00D1584C" w:rsidRPr="00E869A4" w:rsidRDefault="00D1584C" w:rsidP="00A35FF8">
      <w:pPr>
        <w:ind w:left="720"/>
        <w:rPr>
          <w:rFonts w:ascii="Times New Roman" w:hAnsi="Times New Roman" w:cs="Times New Roman"/>
        </w:rPr>
      </w:pPr>
    </w:p>
    <w:p w14:paraId="6140E6E8" w14:textId="4E5110FB" w:rsidR="00D1584C" w:rsidRPr="00E869A4" w:rsidRDefault="00D1584C" w:rsidP="009D4C5D">
      <w:pPr>
        <w:numPr>
          <w:ilvl w:val="0"/>
          <w:numId w:val="1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Tell me about the support you receive from </w:t>
      </w:r>
      <w:r w:rsidR="009E2738" w:rsidRPr="00E869A4">
        <w:rPr>
          <w:rFonts w:ascii="Times New Roman" w:hAnsi="Times New Roman" w:cs="Times New Roman"/>
        </w:rPr>
        <w:t>care recipient</w:t>
      </w:r>
      <w:r w:rsidRPr="00E869A4">
        <w:rPr>
          <w:rFonts w:ascii="Times New Roman" w:hAnsi="Times New Roman" w:cs="Times New Roman"/>
        </w:rPr>
        <w:t>?</w:t>
      </w:r>
    </w:p>
    <w:p w14:paraId="11E7369D" w14:textId="77777777" w:rsidR="00D1584C" w:rsidRPr="00E869A4" w:rsidRDefault="00D1584C" w:rsidP="00A35FF8">
      <w:pPr>
        <w:ind w:left="720"/>
        <w:rPr>
          <w:rFonts w:ascii="Times New Roman" w:hAnsi="Times New Roman" w:cs="Times New Roman"/>
        </w:rPr>
      </w:pPr>
    </w:p>
    <w:p w14:paraId="6E26E0D3" w14:textId="77777777" w:rsidR="00D1584C" w:rsidRPr="00E869A4" w:rsidRDefault="00D1584C" w:rsidP="009D4C5D">
      <w:pPr>
        <w:numPr>
          <w:ilvl w:val="0"/>
          <w:numId w:val="12"/>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In your view, how can the support you receive be improved?</w:t>
      </w:r>
    </w:p>
    <w:p w14:paraId="648BFCE8" w14:textId="77777777" w:rsidR="00D1584C" w:rsidRPr="00E869A4" w:rsidRDefault="00D1584C" w:rsidP="009D4C5D">
      <w:pPr>
        <w:numPr>
          <w:ilvl w:val="0"/>
          <w:numId w:val="2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From Family</w:t>
      </w:r>
    </w:p>
    <w:p w14:paraId="69722CAA" w14:textId="77777777" w:rsidR="00D1584C" w:rsidRPr="00E869A4" w:rsidRDefault="00D1584C" w:rsidP="009D4C5D">
      <w:pPr>
        <w:numPr>
          <w:ilvl w:val="0"/>
          <w:numId w:val="2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From Neighbours &amp; Friends</w:t>
      </w:r>
    </w:p>
    <w:p w14:paraId="5C287489" w14:textId="77777777" w:rsidR="00D1584C" w:rsidRPr="00E869A4" w:rsidRDefault="00D1584C" w:rsidP="009D4C5D">
      <w:pPr>
        <w:numPr>
          <w:ilvl w:val="0"/>
          <w:numId w:val="2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From Private, Religious or Government agencies</w:t>
      </w:r>
    </w:p>
    <w:p w14:paraId="170B9280" w14:textId="3EFB9471" w:rsidR="00D1584C" w:rsidRPr="00E869A4" w:rsidRDefault="00D1584C" w:rsidP="009D4C5D">
      <w:pPr>
        <w:numPr>
          <w:ilvl w:val="0"/>
          <w:numId w:val="2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From </w:t>
      </w:r>
      <w:r w:rsidR="009E2738" w:rsidRPr="00E869A4">
        <w:rPr>
          <w:rFonts w:ascii="Times New Roman" w:hAnsi="Times New Roman" w:cs="Times New Roman"/>
        </w:rPr>
        <w:t>care recipient</w:t>
      </w:r>
    </w:p>
    <w:p w14:paraId="31FFED1A" w14:textId="77777777" w:rsidR="00D1584C" w:rsidRPr="00E869A4" w:rsidRDefault="00D1584C" w:rsidP="00A35FF8">
      <w:pPr>
        <w:ind w:left="1080"/>
        <w:rPr>
          <w:rFonts w:ascii="Times New Roman" w:hAnsi="Times New Roman" w:cs="Times New Roman"/>
        </w:rPr>
      </w:pPr>
    </w:p>
    <w:p w14:paraId="4237C58D"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br w:type="page"/>
      </w:r>
    </w:p>
    <w:p w14:paraId="4B8D9D7D" w14:textId="34771904" w:rsidR="00FB4041" w:rsidRPr="00E869A4" w:rsidRDefault="00FB4041" w:rsidP="00FB4041">
      <w:pPr>
        <w:ind w:firstLine="0"/>
        <w:rPr>
          <w:b/>
          <w:u w:val="single"/>
        </w:rPr>
      </w:pPr>
      <w:r w:rsidRPr="00E869A4">
        <w:rPr>
          <w:b/>
          <w:u w:val="single"/>
        </w:rPr>
        <w:lastRenderedPageBreak/>
        <w:t>B. INTERVIEW GUIDES (LONG VERSION)</w:t>
      </w:r>
    </w:p>
    <w:p w14:paraId="290EDA87" w14:textId="77777777" w:rsidR="00D1584C" w:rsidRPr="00E869A4" w:rsidRDefault="00D1584C" w:rsidP="00A35FF8">
      <w:pPr>
        <w:rPr>
          <w:rFonts w:ascii="Times New Roman" w:hAnsi="Times New Roman" w:cs="Times New Roman"/>
        </w:rPr>
      </w:pPr>
    </w:p>
    <w:p w14:paraId="39E22A69" w14:textId="77777777" w:rsidR="00D1584C" w:rsidRPr="00E869A4" w:rsidRDefault="00D1584C" w:rsidP="00A35FF8">
      <w:pPr>
        <w:rPr>
          <w:b/>
          <w:u w:val="single"/>
        </w:rPr>
      </w:pPr>
      <w:r w:rsidRPr="00E869A4">
        <w:rPr>
          <w:b/>
          <w:u w:val="single"/>
        </w:rPr>
        <w:t>SESSION 1</w:t>
      </w:r>
    </w:p>
    <w:p w14:paraId="3481CEEB" w14:textId="77777777" w:rsidR="00D1584C" w:rsidRPr="00E869A4" w:rsidRDefault="00D1584C" w:rsidP="00A35FF8">
      <w:pPr>
        <w:rPr>
          <w:b/>
          <w:u w:val="single"/>
        </w:rPr>
      </w:pPr>
      <w:r w:rsidRPr="00E869A4">
        <w:rPr>
          <w:b/>
          <w:u w:val="single"/>
        </w:rPr>
        <w:t>CARER PROFILE</w:t>
      </w:r>
    </w:p>
    <w:p w14:paraId="72EBDFDD" w14:textId="4B5100D2" w:rsidR="00D1584C" w:rsidRPr="00E869A4" w:rsidRDefault="00D1584C" w:rsidP="005C49D2">
      <w:pPr>
        <w:ind w:left="2880" w:hanging="2313"/>
        <w:rPr>
          <w:rFonts w:ascii="Times New Roman" w:hAnsi="Times New Roman" w:cs="Times New Roman"/>
        </w:rPr>
      </w:pPr>
      <w:r w:rsidRPr="00E869A4">
        <w:rPr>
          <w:rFonts w:ascii="Times New Roman" w:hAnsi="Times New Roman" w:cs="Times New Roman"/>
        </w:rPr>
        <w:t>CARER NAME:</w:t>
      </w:r>
      <w:r w:rsidRPr="00E869A4">
        <w:rPr>
          <w:rFonts w:ascii="Times New Roman" w:hAnsi="Times New Roman" w:cs="Times New Roman"/>
        </w:rPr>
        <w:tab/>
        <w:t>(First name/ Surname)</w:t>
      </w:r>
      <w:r w:rsidRPr="00E869A4">
        <w:rPr>
          <w:rFonts w:ascii="Times New Roman" w:hAnsi="Times New Roman" w:cs="Times New Roman"/>
        </w:rPr>
        <w:tab/>
        <w:t xml:space="preserve">  _______</w:t>
      </w:r>
      <w:r w:rsidR="005C49D2" w:rsidRPr="00E869A4">
        <w:rPr>
          <w:rFonts w:ascii="Times New Roman" w:hAnsi="Times New Roman" w:cs="Times New Roman"/>
        </w:rPr>
        <w:t>____________________________</w:t>
      </w:r>
    </w:p>
    <w:p w14:paraId="5DF820F6" w14:textId="7C5E3A0F"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RELATIONSHIP TO </w:t>
      </w:r>
      <w:r w:rsidR="009E2738" w:rsidRPr="00E869A4">
        <w:rPr>
          <w:rFonts w:ascii="Times New Roman" w:hAnsi="Times New Roman" w:cs="Times New Roman"/>
        </w:rPr>
        <w:t>CARE RECIPIENT</w:t>
      </w:r>
      <w:r w:rsidR="005C49D2" w:rsidRPr="00E869A4">
        <w:rPr>
          <w:rFonts w:ascii="Times New Roman" w:hAnsi="Times New Roman" w:cs="Times New Roman"/>
        </w:rPr>
        <w:t xml:space="preserve">: </w:t>
      </w:r>
      <w:r w:rsidRPr="00E869A4">
        <w:rPr>
          <w:rFonts w:ascii="Times New Roman" w:hAnsi="Times New Roman" w:cs="Times New Roman"/>
        </w:rPr>
        <w:t>___________________________________</w:t>
      </w:r>
    </w:p>
    <w:p w14:paraId="13156AFE"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D.O.B:</w:t>
      </w:r>
      <w:r w:rsidRPr="00E869A4">
        <w:rPr>
          <w:rFonts w:ascii="Times New Roman" w:hAnsi="Times New Roman" w:cs="Times New Roman"/>
        </w:rPr>
        <w:tab/>
      </w:r>
      <w:r w:rsidRPr="00E869A4">
        <w:rPr>
          <w:rFonts w:ascii="Times New Roman" w:hAnsi="Times New Roman" w:cs="Times New Roman"/>
        </w:rPr>
        <w:tab/>
      </w:r>
      <w:r w:rsidRPr="00E869A4">
        <w:rPr>
          <w:rFonts w:ascii="Times New Roman" w:hAnsi="Times New Roman" w:cs="Times New Roman"/>
        </w:rPr>
        <w:tab/>
        <w:t>(Day/Month/Year)        ________________________________</w:t>
      </w:r>
    </w:p>
    <w:p w14:paraId="37B63BC9" w14:textId="7D9947C9" w:rsidR="00D1584C" w:rsidRPr="00E869A4" w:rsidRDefault="00D1584C" w:rsidP="00A35FF8">
      <w:pPr>
        <w:rPr>
          <w:rFonts w:ascii="Times New Roman" w:hAnsi="Times New Roman" w:cs="Times New Roman"/>
        </w:rPr>
      </w:pPr>
      <w:r w:rsidRPr="00E869A4">
        <w:rPr>
          <w:rFonts w:ascii="Times New Roman" w:hAnsi="Times New Roman" w:cs="Times New Roman"/>
        </w:rPr>
        <w:t>ADDRESS:</w:t>
      </w:r>
      <w:r w:rsidRPr="00E869A4">
        <w:rPr>
          <w:rFonts w:ascii="Times New Roman" w:hAnsi="Times New Roman" w:cs="Times New Roman"/>
        </w:rPr>
        <w:tab/>
      </w:r>
      <w:r w:rsidRPr="00E869A4">
        <w:rPr>
          <w:rFonts w:ascii="Times New Roman" w:hAnsi="Times New Roman" w:cs="Times New Roman"/>
        </w:rPr>
        <w:tab/>
        <w:t>______________________________________________________</w:t>
      </w:r>
    </w:p>
    <w:p w14:paraId="6520599F" w14:textId="7C63DF81"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_________________________________________________________________________</w:t>
      </w:r>
    </w:p>
    <w:p w14:paraId="251B0D2B" w14:textId="23C8985C" w:rsidR="00D1584C" w:rsidRPr="00E869A4" w:rsidRDefault="00D1584C" w:rsidP="00A35FF8">
      <w:pPr>
        <w:rPr>
          <w:rFonts w:ascii="Times New Roman" w:hAnsi="Times New Roman" w:cs="Times New Roman"/>
        </w:rPr>
      </w:pPr>
      <w:r w:rsidRPr="00E869A4">
        <w:rPr>
          <w:rFonts w:ascii="Times New Roman" w:hAnsi="Times New Roman" w:cs="Times New Roman"/>
        </w:rPr>
        <w:t>PHONE NO:</w:t>
      </w:r>
      <w:r w:rsidRPr="00E869A4">
        <w:rPr>
          <w:rFonts w:ascii="Times New Roman" w:hAnsi="Times New Roman" w:cs="Times New Roman"/>
        </w:rPr>
        <w:tab/>
      </w:r>
      <w:r w:rsidRPr="00E869A4">
        <w:rPr>
          <w:rFonts w:ascii="Times New Roman" w:hAnsi="Times New Roman" w:cs="Times New Roman"/>
        </w:rPr>
        <w:tab/>
        <w:t>Cell____________________</w:t>
      </w:r>
      <w:r w:rsidR="005C49D2" w:rsidRPr="00E869A4">
        <w:rPr>
          <w:rFonts w:ascii="Times New Roman" w:hAnsi="Times New Roman" w:cs="Times New Roman"/>
        </w:rPr>
        <w:t>_ Home</w:t>
      </w:r>
      <w:r w:rsidRPr="00E869A4">
        <w:rPr>
          <w:rFonts w:ascii="Times New Roman" w:hAnsi="Times New Roman" w:cs="Times New Roman"/>
        </w:rPr>
        <w:t>: ___________________</w:t>
      </w:r>
    </w:p>
    <w:p w14:paraId="19D4ED63"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Email Address:</w:t>
      </w:r>
      <w:r w:rsidRPr="00E869A4">
        <w:rPr>
          <w:rFonts w:ascii="Times New Roman" w:hAnsi="Times New Roman" w:cs="Times New Roman"/>
        </w:rPr>
        <w:tab/>
        <w:t>_________________________________________________________</w:t>
      </w:r>
    </w:p>
    <w:p w14:paraId="18A39C60" w14:textId="141DA957" w:rsidR="00D1584C" w:rsidRPr="00E869A4" w:rsidRDefault="00D1584C" w:rsidP="00A35FF8">
      <w:pPr>
        <w:rPr>
          <w:rFonts w:ascii="Times New Roman" w:hAnsi="Times New Roman" w:cs="Times New Roman"/>
        </w:rPr>
      </w:pPr>
      <w:r w:rsidRPr="00E869A4">
        <w:rPr>
          <w:rFonts w:ascii="Times New Roman" w:hAnsi="Times New Roman" w:cs="Times New Roman"/>
        </w:rPr>
        <w:t>OCCUPATION:</w:t>
      </w:r>
      <w:r w:rsidRPr="00E869A4">
        <w:rPr>
          <w:rFonts w:ascii="Times New Roman" w:hAnsi="Times New Roman" w:cs="Times New Roman"/>
        </w:rPr>
        <w:tab/>
        <w:t>__________________________________________</w:t>
      </w:r>
      <w:r w:rsidR="005C49D2" w:rsidRPr="00E869A4">
        <w:rPr>
          <w:rFonts w:ascii="Times New Roman" w:hAnsi="Times New Roman" w:cs="Times New Roman"/>
        </w:rPr>
        <w:t>___________</w:t>
      </w:r>
    </w:p>
    <w:p w14:paraId="57B2C532"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LAST SCHOOL ATTENDED:</w:t>
      </w:r>
      <w:r w:rsidRPr="00E869A4">
        <w:rPr>
          <w:rFonts w:ascii="Times New Roman" w:hAnsi="Times New Roman" w:cs="Times New Roman"/>
        </w:rPr>
        <w:tab/>
        <w:t>_____________________________________________</w:t>
      </w:r>
    </w:p>
    <w:p w14:paraId="00440375" w14:textId="0A415A29" w:rsidR="00D1584C" w:rsidRPr="00E869A4" w:rsidRDefault="00D1584C" w:rsidP="00A35FF8">
      <w:pPr>
        <w:rPr>
          <w:rFonts w:ascii="Times New Roman" w:hAnsi="Times New Roman" w:cs="Times New Roman"/>
        </w:rPr>
      </w:pPr>
      <w:r w:rsidRPr="00E869A4">
        <w:rPr>
          <w:rFonts w:ascii="Times New Roman" w:hAnsi="Times New Roman" w:cs="Times New Roman"/>
        </w:rPr>
        <w:t>ACADEMIC &amp; OTHER QUALIFICATIONS: _____</w:t>
      </w:r>
      <w:r w:rsidR="005C49D2" w:rsidRPr="00E869A4">
        <w:rPr>
          <w:rFonts w:ascii="Times New Roman" w:hAnsi="Times New Roman" w:cs="Times New Roman"/>
        </w:rPr>
        <w:t>______________________________</w:t>
      </w:r>
    </w:p>
    <w:p w14:paraId="4C454F62" w14:textId="47FB9E97"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___________________________________________</w:t>
      </w:r>
      <w:r w:rsidR="005C49D2" w:rsidRPr="00E869A4">
        <w:rPr>
          <w:rFonts w:ascii="Times New Roman" w:hAnsi="Times New Roman" w:cs="Times New Roman"/>
        </w:rPr>
        <w:t>______________________________</w:t>
      </w:r>
    </w:p>
    <w:p w14:paraId="1A033F11" w14:textId="419C365C"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___________________________________________</w:t>
      </w:r>
      <w:r w:rsidR="005C49D2" w:rsidRPr="00E869A4">
        <w:rPr>
          <w:rFonts w:ascii="Times New Roman" w:hAnsi="Times New Roman" w:cs="Times New Roman"/>
        </w:rPr>
        <w:t>______________________________</w:t>
      </w:r>
    </w:p>
    <w:p w14:paraId="09973696" w14:textId="0866E813" w:rsidR="00D1584C" w:rsidRPr="00E869A4" w:rsidRDefault="00D1584C" w:rsidP="00A35FF8">
      <w:pPr>
        <w:ind w:right="-330"/>
        <w:rPr>
          <w:rFonts w:ascii="Times New Roman" w:hAnsi="Times New Roman" w:cs="Times New Roman"/>
        </w:rPr>
      </w:pPr>
      <w:r w:rsidRPr="00E869A4">
        <w:rPr>
          <w:rFonts w:ascii="Times New Roman" w:hAnsi="Times New Roman" w:cs="Times New Roman"/>
        </w:rPr>
        <w:t>MARITAL STATUS:</w:t>
      </w:r>
      <w:r w:rsidRPr="00E869A4">
        <w:rPr>
          <w:rFonts w:ascii="Times New Roman" w:hAnsi="Times New Roman" w:cs="Times New Roman"/>
        </w:rPr>
        <w:tab/>
        <w:t xml:space="preserve">Single  </w:t>
      </w:r>
      <w:r w:rsidR="005C49D2" w:rsidRPr="00E869A4">
        <w:rPr>
          <w:rFonts w:ascii="Cambria" w:hAnsi="Cambria" w:cs="Cambria"/>
        </w:rPr>
        <w:sym w:font="Symbol" w:char="F091"/>
      </w:r>
      <w:r w:rsidRPr="00E869A4">
        <w:rPr>
          <w:rFonts w:ascii="Times New Roman" w:hAnsi="Times New Roman" w:cs="Times New Roman"/>
        </w:rPr>
        <w:t xml:space="preserve"> Married  </w:t>
      </w:r>
      <w:r w:rsidR="005C49D2" w:rsidRPr="00E869A4">
        <w:rPr>
          <w:rFonts w:ascii="Cambria" w:hAnsi="Cambria" w:cs="Cambria"/>
        </w:rPr>
        <w:sym w:font="Symbol" w:char="F091"/>
      </w:r>
      <w:r w:rsidRPr="00E869A4">
        <w:rPr>
          <w:rFonts w:ascii="Times New Roman" w:hAnsi="Times New Roman" w:cs="Times New Roman"/>
        </w:rPr>
        <w:t xml:space="preserve"> Common-Law </w:t>
      </w:r>
      <w:r w:rsidR="005C49D2" w:rsidRPr="00E869A4">
        <w:rPr>
          <w:rFonts w:ascii="Cambria" w:hAnsi="Cambria" w:cs="Cambria"/>
        </w:rPr>
        <w:sym w:font="Symbol" w:char="F091"/>
      </w:r>
      <w:r w:rsidRPr="00E869A4">
        <w:rPr>
          <w:rFonts w:ascii="Times New Roman" w:hAnsi="Times New Roman" w:cs="Times New Roman"/>
        </w:rPr>
        <w:t xml:space="preserve"> Divorced </w:t>
      </w:r>
      <w:r w:rsidR="005C49D2" w:rsidRPr="00E869A4">
        <w:rPr>
          <w:rFonts w:ascii="Cambria" w:hAnsi="Cambria" w:cs="Cambria"/>
        </w:rPr>
        <w:sym w:font="Symbol" w:char="F091"/>
      </w:r>
      <w:r w:rsidRPr="00E869A4">
        <w:rPr>
          <w:rFonts w:ascii="Times New Roman" w:hAnsi="Times New Roman" w:cs="Times New Roman"/>
        </w:rPr>
        <w:t xml:space="preserve"> Widowed </w:t>
      </w:r>
      <w:r w:rsidR="005C49D2" w:rsidRPr="00E869A4">
        <w:rPr>
          <w:rFonts w:ascii="Cambria" w:hAnsi="Cambria" w:cs="Cambria"/>
        </w:rPr>
        <w:sym w:font="Symbol" w:char="F091"/>
      </w:r>
    </w:p>
    <w:p w14:paraId="77DF748E" w14:textId="77777777" w:rsidR="005C49D2" w:rsidRPr="00E869A4" w:rsidRDefault="005C49D2" w:rsidP="00A35FF8">
      <w:pPr>
        <w:rPr>
          <w:rFonts w:ascii="Cambria" w:hAnsi="Cambria" w:cs="Cambria"/>
        </w:rPr>
      </w:pPr>
      <w:r w:rsidRPr="00E869A4">
        <w:rPr>
          <w:rFonts w:ascii="Times New Roman" w:hAnsi="Times New Roman" w:cs="Times New Roman"/>
        </w:rPr>
        <w:t>Do you have any children?</w:t>
      </w:r>
      <w:r w:rsidR="00D1584C" w:rsidRPr="00E869A4">
        <w:rPr>
          <w:rFonts w:ascii="Times New Roman" w:hAnsi="Times New Roman" w:cs="Times New Roman"/>
        </w:rPr>
        <w:tab/>
        <w:t xml:space="preserve">Yes  </w:t>
      </w:r>
      <w:r w:rsidRPr="00E869A4">
        <w:rPr>
          <w:rFonts w:ascii="Cambria" w:hAnsi="Cambria" w:cs="Cambria"/>
        </w:rPr>
        <w:sym w:font="Symbol" w:char="F091"/>
      </w:r>
      <w:r w:rsidR="00D1584C" w:rsidRPr="00E869A4">
        <w:rPr>
          <w:rFonts w:ascii="Times New Roman" w:hAnsi="Times New Roman" w:cs="Times New Roman"/>
        </w:rPr>
        <w:t xml:space="preserve"> No </w:t>
      </w:r>
      <w:r w:rsidRPr="00E869A4">
        <w:rPr>
          <w:rFonts w:ascii="Cambria" w:hAnsi="Cambria" w:cs="Cambria"/>
        </w:rPr>
        <w:sym w:font="Symbol" w:char="F091"/>
      </w:r>
    </w:p>
    <w:p w14:paraId="3EB5A448" w14:textId="52875CA7" w:rsidR="005C49D2" w:rsidRPr="00E869A4" w:rsidRDefault="00D1584C" w:rsidP="00A35FF8">
      <w:pPr>
        <w:rPr>
          <w:rFonts w:ascii="Times New Roman" w:hAnsi="Times New Roman" w:cs="Times New Roman"/>
        </w:rPr>
      </w:pPr>
      <w:r w:rsidRPr="00E869A4">
        <w:rPr>
          <w:rFonts w:ascii="Times New Roman" w:hAnsi="Times New Roman" w:cs="Times New Roman"/>
        </w:rPr>
        <w:t>If Yes:</w:t>
      </w:r>
      <w:r w:rsidRPr="00E869A4">
        <w:rPr>
          <w:rFonts w:ascii="Times New Roman" w:hAnsi="Times New Roman" w:cs="Times New Roman"/>
        </w:rPr>
        <w:tab/>
      </w:r>
      <w:r w:rsidRPr="00E869A4">
        <w:rPr>
          <w:rFonts w:ascii="Times New Roman" w:hAnsi="Times New Roman" w:cs="Times New Roman"/>
        </w:rPr>
        <w:tab/>
      </w:r>
      <w:r w:rsidRPr="00E869A4">
        <w:rPr>
          <w:rFonts w:ascii="Times New Roman" w:hAnsi="Times New Roman" w:cs="Times New Roman"/>
        </w:rPr>
        <w:tab/>
      </w:r>
    </w:p>
    <w:p w14:paraId="24D713EA" w14:textId="596C348C" w:rsidR="00D1584C" w:rsidRPr="00E869A4" w:rsidRDefault="00D1584C" w:rsidP="00A35FF8">
      <w:pPr>
        <w:rPr>
          <w:rFonts w:ascii="Times New Roman" w:hAnsi="Times New Roman" w:cs="Times New Roman"/>
        </w:rPr>
      </w:pPr>
      <w:r w:rsidRPr="00E869A4">
        <w:rPr>
          <w:rFonts w:ascii="Times New Roman" w:hAnsi="Times New Roman" w:cs="Times New Roman"/>
        </w:rPr>
        <w:t>How many?</w:t>
      </w:r>
      <w:r w:rsidRPr="00E869A4">
        <w:rPr>
          <w:rFonts w:ascii="Times New Roman" w:hAnsi="Times New Roman" w:cs="Times New Roman"/>
        </w:rPr>
        <w:tab/>
      </w:r>
      <w:r w:rsidRPr="00E869A4">
        <w:rPr>
          <w:rFonts w:ascii="Times New Roman" w:hAnsi="Times New Roman" w:cs="Times New Roman"/>
        </w:rPr>
        <w:tab/>
        <w:t>____________________</w:t>
      </w:r>
    </w:p>
    <w:p w14:paraId="6A23B6CC" w14:textId="6B9D0A61" w:rsidR="00D1584C" w:rsidRPr="00E869A4" w:rsidRDefault="00D1584C" w:rsidP="00A35FF8">
      <w:pPr>
        <w:rPr>
          <w:rFonts w:ascii="Times New Roman" w:hAnsi="Times New Roman" w:cs="Times New Roman"/>
        </w:rPr>
      </w:pPr>
      <w:r w:rsidRPr="00E869A4">
        <w:rPr>
          <w:rFonts w:ascii="Times New Roman" w:hAnsi="Times New Roman" w:cs="Times New Roman"/>
        </w:rPr>
        <w:t>What are their ages?</w:t>
      </w:r>
      <w:r w:rsidRPr="00E869A4">
        <w:rPr>
          <w:rFonts w:ascii="Times New Roman" w:hAnsi="Times New Roman" w:cs="Times New Roman"/>
        </w:rPr>
        <w:tab/>
        <w:t xml:space="preserve"> ____________________________________ </w:t>
      </w:r>
    </w:p>
    <w:p w14:paraId="77289230"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How many persons live in the same house with you? ______________________</w:t>
      </w:r>
    </w:p>
    <w:p w14:paraId="6A7D32B9" w14:textId="4431D723" w:rsidR="00D1584C" w:rsidRPr="00E869A4" w:rsidRDefault="00D1584C" w:rsidP="00A35FF8">
      <w:pPr>
        <w:rPr>
          <w:rFonts w:ascii="Times New Roman" w:hAnsi="Times New Roman" w:cs="Times New Roman"/>
        </w:rPr>
      </w:pPr>
      <w:r w:rsidRPr="00E869A4">
        <w:rPr>
          <w:rFonts w:ascii="Times New Roman" w:hAnsi="Times New Roman" w:cs="Times New Roman"/>
        </w:rPr>
        <w:t>How are they related to you: ___________________</w:t>
      </w:r>
      <w:r w:rsidR="005C49D2" w:rsidRPr="00E869A4">
        <w:rPr>
          <w:rFonts w:ascii="Times New Roman" w:hAnsi="Times New Roman" w:cs="Times New Roman"/>
        </w:rPr>
        <w:t>______________________________</w:t>
      </w:r>
    </w:p>
    <w:p w14:paraId="600FC3A3" w14:textId="14FC7E69"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___________________________________________</w:t>
      </w:r>
      <w:r w:rsidR="005C49D2" w:rsidRPr="00E869A4">
        <w:rPr>
          <w:rFonts w:ascii="Times New Roman" w:hAnsi="Times New Roman" w:cs="Times New Roman"/>
        </w:rPr>
        <w:t>______________________________</w:t>
      </w:r>
    </w:p>
    <w:p w14:paraId="57D13BA6" w14:textId="7DE4F797"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___________________________________________</w:t>
      </w:r>
      <w:r w:rsidR="005C49D2" w:rsidRPr="00E869A4">
        <w:rPr>
          <w:rFonts w:ascii="Times New Roman" w:hAnsi="Times New Roman" w:cs="Times New Roman"/>
        </w:rPr>
        <w:t>______________________________</w:t>
      </w:r>
    </w:p>
    <w:p w14:paraId="10EA3DAD" w14:textId="5F26096A" w:rsidR="00D1584C" w:rsidRPr="00E869A4" w:rsidRDefault="00D1584C" w:rsidP="00A35FF8">
      <w:pPr>
        <w:rPr>
          <w:rFonts w:ascii="Times New Roman" w:hAnsi="Times New Roman" w:cs="Times New Roman"/>
        </w:rPr>
      </w:pPr>
      <w:r w:rsidRPr="00E869A4">
        <w:rPr>
          <w:rFonts w:ascii="Times New Roman" w:hAnsi="Times New Roman" w:cs="Times New Roman"/>
        </w:rPr>
        <w:t>Approximately how far away do you live from CR? _</w:t>
      </w:r>
      <w:r w:rsidR="005C49D2" w:rsidRPr="00E869A4">
        <w:rPr>
          <w:rFonts w:ascii="Times New Roman" w:hAnsi="Times New Roman" w:cs="Times New Roman"/>
        </w:rPr>
        <w:t>______________________________</w:t>
      </w:r>
    </w:p>
    <w:p w14:paraId="054CDEAF" w14:textId="76197BCB" w:rsidR="00D1584C" w:rsidRPr="00E869A4" w:rsidRDefault="00D1584C" w:rsidP="00A35FF8">
      <w:pPr>
        <w:rPr>
          <w:rFonts w:ascii="Times New Roman" w:hAnsi="Times New Roman" w:cs="Times New Roman"/>
        </w:rPr>
      </w:pPr>
      <w:r w:rsidRPr="00E869A4">
        <w:rPr>
          <w:rFonts w:ascii="Times New Roman" w:hAnsi="Times New Roman" w:cs="Times New Roman"/>
        </w:rPr>
        <w:t>Research Notes: _____________________________</w:t>
      </w:r>
      <w:r w:rsidR="005C49D2" w:rsidRPr="00E869A4">
        <w:rPr>
          <w:rFonts w:ascii="Times New Roman" w:hAnsi="Times New Roman" w:cs="Times New Roman"/>
        </w:rPr>
        <w:t>______________________________</w:t>
      </w:r>
    </w:p>
    <w:p w14:paraId="710781F7" w14:textId="4F893505"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___________________________________________</w:t>
      </w:r>
      <w:r w:rsidR="005C49D2" w:rsidRPr="00E869A4">
        <w:rPr>
          <w:rFonts w:ascii="Times New Roman" w:hAnsi="Times New Roman" w:cs="Times New Roman"/>
        </w:rPr>
        <w:t>______________________________</w:t>
      </w:r>
    </w:p>
    <w:p w14:paraId="4811C8E1" w14:textId="4B03B990"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___________________________________________</w:t>
      </w:r>
      <w:r w:rsidR="005C49D2" w:rsidRPr="00E869A4">
        <w:rPr>
          <w:rFonts w:ascii="Times New Roman" w:hAnsi="Times New Roman" w:cs="Times New Roman"/>
        </w:rPr>
        <w:t>______________________________</w:t>
      </w:r>
    </w:p>
    <w:p w14:paraId="6D544C28"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br w:type="page"/>
      </w:r>
    </w:p>
    <w:p w14:paraId="55FA945D" w14:textId="6327925B" w:rsidR="00D1584C" w:rsidRPr="00E869A4" w:rsidRDefault="009E2738" w:rsidP="00A35FF8">
      <w:pPr>
        <w:rPr>
          <w:b/>
          <w:u w:val="single"/>
        </w:rPr>
      </w:pPr>
      <w:r w:rsidRPr="00E869A4">
        <w:rPr>
          <w:b/>
          <w:u w:val="single"/>
        </w:rPr>
        <w:lastRenderedPageBreak/>
        <w:t>CARE RECIPIENT</w:t>
      </w:r>
      <w:r w:rsidR="00D1584C" w:rsidRPr="00E869A4">
        <w:rPr>
          <w:b/>
          <w:u w:val="single"/>
        </w:rPr>
        <w:t xml:space="preserve"> PROFILE</w:t>
      </w:r>
    </w:p>
    <w:p w14:paraId="091A9B1D" w14:textId="77777777" w:rsidR="00041F8F" w:rsidRPr="00E869A4" w:rsidRDefault="00041F8F" w:rsidP="00A35FF8">
      <w:pPr>
        <w:rPr>
          <w:rFonts w:ascii="Times New Roman" w:hAnsi="Times New Roman" w:cs="Times New Roman"/>
        </w:rPr>
      </w:pPr>
    </w:p>
    <w:p w14:paraId="5CBD6D84"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NAME:</w:t>
      </w:r>
      <w:r w:rsidRPr="00E869A4">
        <w:rPr>
          <w:rFonts w:ascii="Times New Roman" w:hAnsi="Times New Roman" w:cs="Times New Roman"/>
        </w:rPr>
        <w:tab/>
      </w:r>
      <w:r w:rsidRPr="00E869A4">
        <w:rPr>
          <w:rFonts w:ascii="Times New Roman" w:hAnsi="Times New Roman" w:cs="Times New Roman"/>
        </w:rPr>
        <w:tab/>
        <w:t>First name/ Surname)</w:t>
      </w:r>
      <w:r w:rsidRPr="00E869A4">
        <w:rPr>
          <w:rFonts w:ascii="Times New Roman" w:hAnsi="Times New Roman" w:cs="Times New Roman"/>
        </w:rPr>
        <w:tab/>
        <w:t xml:space="preserve">  ________________________________</w:t>
      </w:r>
    </w:p>
    <w:p w14:paraId="6A1F53D1" w14:textId="387540F2"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RELATIONSHIP TO CARER:  </w:t>
      </w:r>
      <w:r w:rsidRPr="00E869A4">
        <w:rPr>
          <w:rFonts w:ascii="Times New Roman" w:hAnsi="Times New Roman" w:cs="Times New Roman"/>
        </w:rPr>
        <w:tab/>
      </w:r>
      <w:r w:rsidRPr="00E869A4">
        <w:rPr>
          <w:rFonts w:ascii="Times New Roman" w:hAnsi="Times New Roman" w:cs="Times New Roman"/>
        </w:rPr>
        <w:tab/>
        <w:t>_______</w:t>
      </w:r>
      <w:r w:rsidR="005C49D2" w:rsidRPr="00E869A4">
        <w:rPr>
          <w:rFonts w:ascii="Times New Roman" w:hAnsi="Times New Roman" w:cs="Times New Roman"/>
        </w:rPr>
        <w:t>_____________________________</w:t>
      </w:r>
    </w:p>
    <w:p w14:paraId="4EDF6439"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D.O.B:</w:t>
      </w:r>
      <w:r w:rsidRPr="00E869A4">
        <w:rPr>
          <w:rFonts w:ascii="Times New Roman" w:hAnsi="Times New Roman" w:cs="Times New Roman"/>
        </w:rPr>
        <w:tab/>
      </w:r>
      <w:r w:rsidRPr="00E869A4">
        <w:rPr>
          <w:rFonts w:ascii="Times New Roman" w:hAnsi="Times New Roman" w:cs="Times New Roman"/>
        </w:rPr>
        <w:tab/>
      </w:r>
      <w:r w:rsidRPr="00E869A4">
        <w:rPr>
          <w:rFonts w:ascii="Times New Roman" w:hAnsi="Times New Roman" w:cs="Times New Roman"/>
        </w:rPr>
        <w:tab/>
        <w:t>(Day/Month/Year)        ________________________________</w:t>
      </w:r>
    </w:p>
    <w:p w14:paraId="6B14BCBD" w14:textId="5D07BA5B" w:rsidR="00D1584C" w:rsidRPr="00E869A4" w:rsidRDefault="00D1584C" w:rsidP="00A35FF8">
      <w:pPr>
        <w:rPr>
          <w:rFonts w:ascii="Times New Roman" w:hAnsi="Times New Roman" w:cs="Times New Roman"/>
        </w:rPr>
      </w:pPr>
      <w:r w:rsidRPr="00E869A4">
        <w:rPr>
          <w:rFonts w:ascii="Times New Roman" w:hAnsi="Times New Roman" w:cs="Times New Roman"/>
        </w:rPr>
        <w:t>ADDRESS:</w:t>
      </w:r>
      <w:r w:rsidRPr="00E869A4">
        <w:rPr>
          <w:rFonts w:ascii="Times New Roman" w:hAnsi="Times New Roman" w:cs="Times New Roman"/>
        </w:rPr>
        <w:tab/>
      </w:r>
      <w:r w:rsidRPr="00E869A4">
        <w:rPr>
          <w:rFonts w:ascii="Times New Roman" w:hAnsi="Times New Roman" w:cs="Times New Roman"/>
        </w:rPr>
        <w:tab/>
        <w:t>_________________________</w:t>
      </w:r>
      <w:r w:rsidR="005C49D2" w:rsidRPr="00E869A4">
        <w:rPr>
          <w:rFonts w:ascii="Times New Roman" w:hAnsi="Times New Roman" w:cs="Times New Roman"/>
        </w:rPr>
        <w:t>_____________________________</w:t>
      </w:r>
    </w:p>
    <w:p w14:paraId="15999D4B" w14:textId="32337F0D"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___________________________________________</w:t>
      </w:r>
      <w:r w:rsidR="005C49D2" w:rsidRPr="00E869A4">
        <w:rPr>
          <w:rFonts w:ascii="Times New Roman" w:hAnsi="Times New Roman" w:cs="Times New Roman"/>
        </w:rPr>
        <w:t>______________________________</w:t>
      </w:r>
    </w:p>
    <w:p w14:paraId="4133F8D3" w14:textId="52807309" w:rsidR="00D1584C" w:rsidRPr="00E869A4" w:rsidRDefault="005C49D2" w:rsidP="00A35FF8">
      <w:pPr>
        <w:rPr>
          <w:rFonts w:ascii="Times New Roman" w:hAnsi="Times New Roman" w:cs="Times New Roman"/>
        </w:rPr>
      </w:pPr>
      <w:r w:rsidRPr="00E869A4">
        <w:rPr>
          <w:rFonts w:ascii="Times New Roman" w:hAnsi="Times New Roman" w:cs="Times New Roman"/>
        </w:rPr>
        <w:t>PHONE NO:</w:t>
      </w:r>
      <w:r w:rsidRPr="00E869A4">
        <w:rPr>
          <w:rFonts w:ascii="Times New Roman" w:hAnsi="Times New Roman" w:cs="Times New Roman"/>
        </w:rPr>
        <w:tab/>
      </w:r>
      <w:r w:rsidR="00D1584C" w:rsidRPr="00E869A4">
        <w:rPr>
          <w:rFonts w:ascii="Times New Roman" w:hAnsi="Times New Roman" w:cs="Times New Roman"/>
        </w:rPr>
        <w:t>Cell_______________________  Home: _______________________</w:t>
      </w:r>
    </w:p>
    <w:p w14:paraId="01DD816F"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Email Address:</w:t>
      </w:r>
      <w:r w:rsidRPr="00E869A4">
        <w:rPr>
          <w:rFonts w:ascii="Times New Roman" w:hAnsi="Times New Roman" w:cs="Times New Roman"/>
        </w:rPr>
        <w:tab/>
        <w:t>________________________________________________________</w:t>
      </w:r>
    </w:p>
    <w:p w14:paraId="29BB3D71" w14:textId="0C21377B" w:rsidR="00D1584C" w:rsidRPr="00E869A4" w:rsidRDefault="00D1584C" w:rsidP="00A35FF8">
      <w:pPr>
        <w:rPr>
          <w:rFonts w:ascii="Times New Roman" w:hAnsi="Times New Roman" w:cs="Times New Roman"/>
        </w:rPr>
      </w:pPr>
      <w:r w:rsidRPr="00E869A4">
        <w:rPr>
          <w:rFonts w:ascii="Times New Roman" w:hAnsi="Times New Roman" w:cs="Times New Roman"/>
        </w:rPr>
        <w:t>PREVIOUS OCCUPATION(S): ___________________________________________</w:t>
      </w:r>
      <w:r w:rsidR="005C49D2" w:rsidRPr="00E869A4">
        <w:rPr>
          <w:rFonts w:ascii="Times New Roman" w:hAnsi="Times New Roman" w:cs="Times New Roman"/>
        </w:rPr>
        <w:t>__</w:t>
      </w:r>
    </w:p>
    <w:p w14:paraId="0F30E1C9"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LAST SCHOOL ATTENDED:</w:t>
      </w:r>
      <w:r w:rsidRPr="00E869A4">
        <w:rPr>
          <w:rFonts w:ascii="Times New Roman" w:hAnsi="Times New Roman" w:cs="Times New Roman"/>
        </w:rPr>
        <w:tab/>
        <w:t>_____________________________________________</w:t>
      </w:r>
    </w:p>
    <w:p w14:paraId="61529C4E" w14:textId="50A13369" w:rsidR="00D1584C" w:rsidRPr="00E869A4" w:rsidRDefault="00D1584C" w:rsidP="00A35FF8">
      <w:pPr>
        <w:rPr>
          <w:rFonts w:ascii="Times New Roman" w:hAnsi="Times New Roman" w:cs="Times New Roman"/>
        </w:rPr>
      </w:pPr>
      <w:r w:rsidRPr="00E869A4">
        <w:rPr>
          <w:rFonts w:ascii="Times New Roman" w:hAnsi="Times New Roman" w:cs="Times New Roman"/>
        </w:rPr>
        <w:t>ACADEMIC &amp; OTHER QUALIFICATIONS: __________________</w:t>
      </w:r>
      <w:r w:rsidR="005C49D2" w:rsidRPr="00E869A4">
        <w:rPr>
          <w:rFonts w:ascii="Times New Roman" w:hAnsi="Times New Roman" w:cs="Times New Roman"/>
        </w:rPr>
        <w:t>_________________</w:t>
      </w:r>
    </w:p>
    <w:p w14:paraId="394356B2" w14:textId="7FE43163"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w:t>
      </w:r>
      <w:r w:rsidR="005C49D2" w:rsidRPr="00E869A4">
        <w:rPr>
          <w:rFonts w:ascii="Times New Roman" w:hAnsi="Times New Roman" w:cs="Times New Roman"/>
        </w:rPr>
        <w:t>______________________________</w:t>
      </w:r>
      <w:r w:rsidRPr="00E869A4">
        <w:rPr>
          <w:rFonts w:ascii="Times New Roman" w:hAnsi="Times New Roman" w:cs="Times New Roman"/>
        </w:rPr>
        <w:t>__</w:t>
      </w:r>
    </w:p>
    <w:p w14:paraId="6761B5E4" w14:textId="2ABBD1FF"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w:t>
      </w:r>
      <w:r w:rsidR="005C49D2" w:rsidRPr="00E869A4">
        <w:rPr>
          <w:rFonts w:ascii="Times New Roman" w:hAnsi="Times New Roman" w:cs="Times New Roman"/>
        </w:rPr>
        <w:t>______________________________</w:t>
      </w:r>
      <w:r w:rsidRPr="00E869A4">
        <w:rPr>
          <w:rFonts w:ascii="Times New Roman" w:hAnsi="Times New Roman" w:cs="Times New Roman"/>
        </w:rPr>
        <w:t>__</w:t>
      </w:r>
    </w:p>
    <w:p w14:paraId="051BD267" w14:textId="77777777" w:rsidR="005C49D2" w:rsidRPr="00E869A4" w:rsidRDefault="005C49D2" w:rsidP="005C49D2">
      <w:pPr>
        <w:ind w:right="-330"/>
        <w:rPr>
          <w:rFonts w:ascii="Times New Roman" w:hAnsi="Times New Roman" w:cs="Times New Roman"/>
        </w:rPr>
      </w:pPr>
      <w:r w:rsidRPr="00E869A4">
        <w:rPr>
          <w:rFonts w:ascii="Times New Roman" w:hAnsi="Times New Roman" w:cs="Times New Roman"/>
        </w:rPr>
        <w:t>MARITAL STATUS:</w:t>
      </w:r>
      <w:r w:rsidRPr="00E869A4">
        <w:rPr>
          <w:rFonts w:ascii="Times New Roman" w:hAnsi="Times New Roman" w:cs="Times New Roman"/>
        </w:rPr>
        <w:tab/>
        <w:t xml:space="preserve">Single  </w:t>
      </w:r>
      <w:r w:rsidRPr="00E869A4">
        <w:rPr>
          <w:rFonts w:ascii="Cambria" w:hAnsi="Cambria" w:cs="Cambria"/>
        </w:rPr>
        <w:sym w:font="Symbol" w:char="F091"/>
      </w:r>
      <w:r w:rsidRPr="00E869A4">
        <w:rPr>
          <w:rFonts w:ascii="Times New Roman" w:hAnsi="Times New Roman" w:cs="Times New Roman"/>
        </w:rPr>
        <w:t xml:space="preserve"> Married  </w:t>
      </w:r>
      <w:r w:rsidRPr="00E869A4">
        <w:rPr>
          <w:rFonts w:ascii="Cambria" w:hAnsi="Cambria" w:cs="Cambria"/>
        </w:rPr>
        <w:sym w:font="Symbol" w:char="F091"/>
      </w:r>
      <w:r w:rsidRPr="00E869A4">
        <w:rPr>
          <w:rFonts w:ascii="Times New Roman" w:hAnsi="Times New Roman" w:cs="Times New Roman"/>
        </w:rPr>
        <w:t xml:space="preserve"> Common-Law </w:t>
      </w:r>
      <w:r w:rsidRPr="00E869A4">
        <w:rPr>
          <w:rFonts w:ascii="Cambria" w:hAnsi="Cambria" w:cs="Cambria"/>
        </w:rPr>
        <w:sym w:font="Symbol" w:char="F091"/>
      </w:r>
      <w:r w:rsidRPr="00E869A4">
        <w:rPr>
          <w:rFonts w:ascii="Times New Roman" w:hAnsi="Times New Roman" w:cs="Times New Roman"/>
        </w:rPr>
        <w:t xml:space="preserve"> Divorced </w:t>
      </w:r>
      <w:r w:rsidRPr="00E869A4">
        <w:rPr>
          <w:rFonts w:ascii="Cambria" w:hAnsi="Cambria" w:cs="Cambria"/>
        </w:rPr>
        <w:sym w:font="Symbol" w:char="F091"/>
      </w:r>
      <w:r w:rsidRPr="00E869A4">
        <w:rPr>
          <w:rFonts w:ascii="Times New Roman" w:hAnsi="Times New Roman" w:cs="Times New Roman"/>
        </w:rPr>
        <w:t xml:space="preserve"> Widowed </w:t>
      </w:r>
      <w:r w:rsidRPr="00E869A4">
        <w:rPr>
          <w:rFonts w:ascii="Cambria" w:hAnsi="Cambria" w:cs="Cambria"/>
        </w:rPr>
        <w:sym w:font="Symbol" w:char="F091"/>
      </w:r>
    </w:p>
    <w:p w14:paraId="17637211" w14:textId="77777777" w:rsidR="005C49D2" w:rsidRPr="00E869A4" w:rsidRDefault="005C49D2" w:rsidP="005C49D2">
      <w:pPr>
        <w:rPr>
          <w:rFonts w:ascii="Cambria" w:hAnsi="Cambria" w:cs="Cambria"/>
        </w:rPr>
      </w:pPr>
      <w:r w:rsidRPr="00E869A4">
        <w:rPr>
          <w:rFonts w:ascii="Times New Roman" w:hAnsi="Times New Roman" w:cs="Times New Roman"/>
        </w:rPr>
        <w:t>Do you have any children?</w:t>
      </w:r>
      <w:r w:rsidRPr="00E869A4">
        <w:rPr>
          <w:rFonts w:ascii="Times New Roman" w:hAnsi="Times New Roman" w:cs="Times New Roman"/>
        </w:rPr>
        <w:tab/>
        <w:t xml:space="preserve">Yes  </w:t>
      </w:r>
      <w:r w:rsidRPr="00E869A4">
        <w:rPr>
          <w:rFonts w:ascii="Cambria" w:hAnsi="Cambria" w:cs="Cambria"/>
        </w:rPr>
        <w:sym w:font="Symbol" w:char="F091"/>
      </w:r>
      <w:r w:rsidRPr="00E869A4">
        <w:rPr>
          <w:rFonts w:ascii="Times New Roman" w:hAnsi="Times New Roman" w:cs="Times New Roman"/>
        </w:rPr>
        <w:t xml:space="preserve"> No </w:t>
      </w:r>
      <w:r w:rsidRPr="00E869A4">
        <w:rPr>
          <w:rFonts w:ascii="Cambria" w:hAnsi="Cambria" w:cs="Cambria"/>
        </w:rPr>
        <w:sym w:font="Symbol" w:char="F091"/>
      </w:r>
    </w:p>
    <w:p w14:paraId="2EDDBB14" w14:textId="77777777" w:rsidR="005C49D2" w:rsidRPr="00E869A4" w:rsidRDefault="005C49D2" w:rsidP="005C49D2">
      <w:pPr>
        <w:rPr>
          <w:rFonts w:ascii="Times New Roman" w:hAnsi="Times New Roman" w:cs="Times New Roman"/>
        </w:rPr>
      </w:pPr>
      <w:r w:rsidRPr="00E869A4">
        <w:rPr>
          <w:rFonts w:ascii="Times New Roman" w:hAnsi="Times New Roman" w:cs="Times New Roman"/>
        </w:rPr>
        <w:t>How many?</w:t>
      </w:r>
      <w:r w:rsidRPr="00E869A4">
        <w:rPr>
          <w:rFonts w:ascii="Times New Roman" w:hAnsi="Times New Roman" w:cs="Times New Roman"/>
        </w:rPr>
        <w:tab/>
      </w:r>
      <w:r w:rsidRPr="00E869A4">
        <w:rPr>
          <w:rFonts w:ascii="Times New Roman" w:hAnsi="Times New Roman" w:cs="Times New Roman"/>
        </w:rPr>
        <w:tab/>
        <w:t>____________________</w:t>
      </w:r>
    </w:p>
    <w:p w14:paraId="0B5EBA8C" w14:textId="77777777" w:rsidR="005C49D2" w:rsidRPr="00E869A4" w:rsidRDefault="005C49D2" w:rsidP="005C49D2">
      <w:pPr>
        <w:rPr>
          <w:rFonts w:ascii="Times New Roman" w:hAnsi="Times New Roman" w:cs="Times New Roman"/>
        </w:rPr>
      </w:pPr>
      <w:r w:rsidRPr="00E869A4">
        <w:rPr>
          <w:rFonts w:ascii="Times New Roman" w:hAnsi="Times New Roman" w:cs="Times New Roman"/>
        </w:rPr>
        <w:t>What are their ages?</w:t>
      </w:r>
      <w:r w:rsidRPr="00E869A4">
        <w:rPr>
          <w:rFonts w:ascii="Times New Roman" w:hAnsi="Times New Roman" w:cs="Times New Roman"/>
        </w:rPr>
        <w:tab/>
        <w:t xml:space="preserve"> ____________________________________ </w:t>
      </w:r>
    </w:p>
    <w:p w14:paraId="09F6A5AE"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How many persons live in the same house with you? ______________________</w:t>
      </w:r>
    </w:p>
    <w:p w14:paraId="563EAAB9" w14:textId="746043F3" w:rsidR="00D1584C" w:rsidRPr="00E869A4" w:rsidRDefault="00D1584C" w:rsidP="00A35FF8">
      <w:pPr>
        <w:rPr>
          <w:rFonts w:ascii="Times New Roman" w:hAnsi="Times New Roman" w:cs="Times New Roman"/>
        </w:rPr>
      </w:pPr>
      <w:r w:rsidRPr="00E869A4">
        <w:rPr>
          <w:rFonts w:ascii="Times New Roman" w:hAnsi="Times New Roman" w:cs="Times New Roman"/>
        </w:rPr>
        <w:t>How are they related to you: ___________________</w:t>
      </w:r>
      <w:r w:rsidR="005C49D2" w:rsidRPr="00E869A4">
        <w:rPr>
          <w:rFonts w:ascii="Times New Roman" w:hAnsi="Times New Roman" w:cs="Times New Roman"/>
        </w:rPr>
        <w:t>______________________________</w:t>
      </w:r>
    </w:p>
    <w:p w14:paraId="3D2862FC" w14:textId="187855E4"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w:t>
      </w:r>
      <w:r w:rsidR="005C49D2" w:rsidRPr="00E869A4">
        <w:rPr>
          <w:rFonts w:ascii="Times New Roman" w:hAnsi="Times New Roman" w:cs="Times New Roman"/>
        </w:rPr>
        <w:t>______________________________</w:t>
      </w:r>
      <w:r w:rsidRPr="00E869A4">
        <w:rPr>
          <w:rFonts w:ascii="Times New Roman" w:hAnsi="Times New Roman" w:cs="Times New Roman"/>
        </w:rPr>
        <w:t>__</w:t>
      </w:r>
    </w:p>
    <w:p w14:paraId="516A26FA" w14:textId="41F8C557"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w:t>
      </w:r>
      <w:r w:rsidR="005C49D2" w:rsidRPr="00E869A4">
        <w:rPr>
          <w:rFonts w:ascii="Times New Roman" w:hAnsi="Times New Roman" w:cs="Times New Roman"/>
        </w:rPr>
        <w:t>______________________________</w:t>
      </w:r>
      <w:r w:rsidRPr="00E869A4">
        <w:rPr>
          <w:rFonts w:ascii="Times New Roman" w:hAnsi="Times New Roman" w:cs="Times New Roman"/>
        </w:rPr>
        <w:t>___</w:t>
      </w:r>
    </w:p>
    <w:p w14:paraId="70661EF5" w14:textId="0B727288" w:rsidR="00D1584C" w:rsidRPr="00E869A4" w:rsidRDefault="00D1584C" w:rsidP="00A35FF8">
      <w:pPr>
        <w:rPr>
          <w:rFonts w:ascii="Times New Roman" w:hAnsi="Times New Roman" w:cs="Times New Roman"/>
        </w:rPr>
      </w:pPr>
      <w:r w:rsidRPr="00E869A4">
        <w:rPr>
          <w:rFonts w:ascii="Times New Roman" w:hAnsi="Times New Roman" w:cs="Times New Roman"/>
        </w:rPr>
        <w:t>Research Notes: _____________________________</w:t>
      </w:r>
      <w:r w:rsidR="005C49D2" w:rsidRPr="00E869A4">
        <w:rPr>
          <w:rFonts w:ascii="Times New Roman" w:hAnsi="Times New Roman" w:cs="Times New Roman"/>
        </w:rPr>
        <w:t>______________________________</w:t>
      </w:r>
    </w:p>
    <w:p w14:paraId="18BE8A8D" w14:textId="0A673C49" w:rsidR="00D1584C" w:rsidRPr="00E869A4" w:rsidRDefault="00D1584C" w:rsidP="00A35FF8">
      <w:pPr>
        <w:rPr>
          <w:rFonts w:ascii="Times New Roman" w:hAnsi="Times New Roman" w:cs="Times New Roman"/>
        </w:rPr>
      </w:pPr>
      <w:r w:rsidRPr="00E869A4">
        <w:rPr>
          <w:rFonts w:ascii="Times New Roman" w:hAnsi="Times New Roman" w:cs="Times New Roman"/>
        </w:rPr>
        <w:t>_________________________________________</w:t>
      </w:r>
      <w:r w:rsidR="005C49D2" w:rsidRPr="00E869A4">
        <w:rPr>
          <w:rFonts w:ascii="Times New Roman" w:hAnsi="Times New Roman" w:cs="Times New Roman"/>
        </w:rPr>
        <w:t>______________________________</w:t>
      </w:r>
      <w:r w:rsidRPr="00E869A4">
        <w:rPr>
          <w:rFonts w:ascii="Times New Roman" w:hAnsi="Times New Roman" w:cs="Times New Roman"/>
        </w:rPr>
        <w:t>__</w:t>
      </w:r>
    </w:p>
    <w:p w14:paraId="60D60C47" w14:textId="3E51E7A3" w:rsidR="00D1584C" w:rsidRPr="00E869A4" w:rsidRDefault="00D1584C" w:rsidP="00A35FF8">
      <w:pPr>
        <w:rPr>
          <w:rFonts w:ascii="Times New Roman" w:hAnsi="Times New Roman" w:cs="Times New Roman"/>
          <w:b/>
          <w:u w:val="single"/>
        </w:rPr>
      </w:pPr>
      <w:r w:rsidRPr="00E869A4">
        <w:rPr>
          <w:rFonts w:ascii="Times New Roman" w:hAnsi="Times New Roman" w:cs="Times New Roman"/>
        </w:rPr>
        <w:t>_________________________________________</w:t>
      </w:r>
      <w:r w:rsidR="005C49D2" w:rsidRPr="00E869A4">
        <w:rPr>
          <w:rFonts w:ascii="Times New Roman" w:hAnsi="Times New Roman" w:cs="Times New Roman"/>
        </w:rPr>
        <w:t>______________________________</w:t>
      </w:r>
      <w:r w:rsidRPr="00E869A4">
        <w:rPr>
          <w:rFonts w:ascii="Times New Roman" w:hAnsi="Times New Roman" w:cs="Times New Roman"/>
        </w:rPr>
        <w:t>__</w:t>
      </w:r>
      <w:r w:rsidRPr="00E869A4">
        <w:rPr>
          <w:rFonts w:ascii="Times New Roman" w:hAnsi="Times New Roman" w:cs="Times New Roman"/>
        </w:rPr>
        <w:br w:type="page"/>
      </w:r>
    </w:p>
    <w:p w14:paraId="0EA1DD75" w14:textId="77777777" w:rsidR="00D1584C" w:rsidRPr="00E869A4" w:rsidRDefault="00D1584C" w:rsidP="00C07CE0">
      <w:pPr>
        <w:ind w:firstLine="0"/>
        <w:rPr>
          <w:b/>
          <w:u w:val="single"/>
        </w:rPr>
      </w:pPr>
      <w:r w:rsidRPr="00E869A4">
        <w:rPr>
          <w:b/>
          <w:u w:val="single"/>
        </w:rPr>
        <w:lastRenderedPageBreak/>
        <w:t>SESSION 1 - JOINT INTERVIEW</w:t>
      </w:r>
    </w:p>
    <w:p w14:paraId="72B986ED" w14:textId="77777777" w:rsidR="00D1584C" w:rsidRPr="00E869A4" w:rsidRDefault="00D1584C" w:rsidP="00B61191">
      <w:pPr>
        <w:ind w:left="567" w:firstLine="0"/>
      </w:pPr>
      <w:bookmarkStart w:id="468" w:name="_2p2csry" w:colFirst="0" w:colLast="0"/>
      <w:bookmarkEnd w:id="468"/>
    </w:p>
    <w:p w14:paraId="527A1F7E" w14:textId="77777777" w:rsidR="00D1584C" w:rsidRPr="00E869A4" w:rsidRDefault="00D1584C" w:rsidP="00A35FF8">
      <w:pPr>
        <w:ind w:left="426"/>
        <w:rPr>
          <w:rFonts w:ascii="Times New Roman" w:hAnsi="Times New Roman" w:cs="Times New Roman"/>
        </w:rPr>
      </w:pPr>
      <w:r w:rsidRPr="00E869A4">
        <w:rPr>
          <w:rFonts w:ascii="Times New Roman" w:hAnsi="Times New Roman" w:cs="Times New Roman"/>
        </w:rPr>
        <w:t>Date of interview:</w:t>
      </w:r>
      <w:r w:rsidRPr="00E869A4">
        <w:rPr>
          <w:rFonts w:ascii="Times New Roman" w:hAnsi="Times New Roman" w:cs="Times New Roman"/>
        </w:rPr>
        <w:tab/>
        <w:t>(Day/Month/Year)        ________________________________</w:t>
      </w:r>
    </w:p>
    <w:p w14:paraId="3217061B" w14:textId="73B565B1" w:rsidR="00D1584C" w:rsidRPr="00E869A4" w:rsidRDefault="00D1584C" w:rsidP="00A35FF8">
      <w:pPr>
        <w:ind w:left="426"/>
        <w:rPr>
          <w:rFonts w:ascii="Times New Roman" w:hAnsi="Times New Roman" w:cs="Times New Roman"/>
        </w:rPr>
      </w:pPr>
      <w:r w:rsidRPr="00E869A4">
        <w:rPr>
          <w:rFonts w:ascii="Times New Roman" w:hAnsi="Times New Roman" w:cs="Times New Roman"/>
        </w:rPr>
        <w:t xml:space="preserve">Location: </w:t>
      </w:r>
      <w:r w:rsidRPr="00E869A4">
        <w:rPr>
          <w:rFonts w:ascii="Times New Roman" w:hAnsi="Times New Roman" w:cs="Times New Roman"/>
        </w:rPr>
        <w:tab/>
      </w:r>
      <w:r w:rsidRPr="00E869A4">
        <w:rPr>
          <w:rFonts w:ascii="Times New Roman" w:hAnsi="Times New Roman" w:cs="Times New Roman"/>
        </w:rPr>
        <w:tab/>
      </w:r>
      <w:r w:rsidRPr="00E869A4">
        <w:rPr>
          <w:rFonts w:ascii="Times New Roman" w:hAnsi="Times New Roman" w:cs="Times New Roman"/>
        </w:rPr>
        <w:tab/>
        <w:t>___________________</w:t>
      </w:r>
      <w:r w:rsidR="005C49D2" w:rsidRPr="00E869A4">
        <w:rPr>
          <w:rFonts w:ascii="Times New Roman" w:hAnsi="Times New Roman" w:cs="Times New Roman"/>
        </w:rPr>
        <w:t>_____________________________</w:t>
      </w:r>
    </w:p>
    <w:p w14:paraId="385211C6" w14:textId="653F471E" w:rsidR="00D1584C" w:rsidRPr="00E869A4" w:rsidRDefault="00D1584C" w:rsidP="00A35FF8">
      <w:pPr>
        <w:ind w:firstLine="426"/>
        <w:rPr>
          <w:rFonts w:ascii="Times New Roman" w:hAnsi="Times New Roman" w:cs="Times New Roman"/>
        </w:rPr>
      </w:pPr>
      <w:r w:rsidRPr="00E869A4">
        <w:rPr>
          <w:rFonts w:ascii="Times New Roman" w:hAnsi="Times New Roman" w:cs="Times New Roman"/>
        </w:rPr>
        <w:t xml:space="preserve">Name of </w:t>
      </w:r>
      <w:r w:rsidR="009E2738" w:rsidRPr="00E869A4">
        <w:rPr>
          <w:rFonts w:ascii="Times New Roman" w:hAnsi="Times New Roman" w:cs="Times New Roman"/>
        </w:rPr>
        <w:t>Care recipient</w:t>
      </w:r>
      <w:r w:rsidRPr="00E869A4">
        <w:rPr>
          <w:rFonts w:ascii="Times New Roman" w:hAnsi="Times New Roman" w:cs="Times New Roman"/>
        </w:rPr>
        <w:t xml:space="preserve"> (CR):</w:t>
      </w:r>
      <w:r w:rsidRPr="00E869A4">
        <w:rPr>
          <w:rFonts w:ascii="Times New Roman" w:hAnsi="Times New Roman" w:cs="Times New Roman"/>
        </w:rPr>
        <w:tab/>
        <w:t>(First name/ Surname)</w:t>
      </w:r>
      <w:r w:rsidRPr="00E869A4">
        <w:rPr>
          <w:rFonts w:ascii="Times New Roman" w:hAnsi="Times New Roman" w:cs="Times New Roman"/>
        </w:rPr>
        <w:tab/>
        <w:t>___________________________</w:t>
      </w:r>
    </w:p>
    <w:p w14:paraId="3F80BC36" w14:textId="77777777" w:rsidR="00D1584C" w:rsidRPr="00E869A4" w:rsidRDefault="00D1584C" w:rsidP="00A35FF8">
      <w:pPr>
        <w:ind w:firstLine="426"/>
        <w:rPr>
          <w:rFonts w:ascii="Times New Roman" w:hAnsi="Times New Roman" w:cs="Times New Roman"/>
        </w:rPr>
      </w:pPr>
      <w:r w:rsidRPr="00E869A4">
        <w:rPr>
          <w:rFonts w:ascii="Times New Roman" w:hAnsi="Times New Roman" w:cs="Times New Roman"/>
        </w:rPr>
        <w:t>Name of Carer (C):</w:t>
      </w:r>
      <w:r w:rsidRPr="00E869A4">
        <w:rPr>
          <w:rFonts w:ascii="Times New Roman" w:hAnsi="Times New Roman" w:cs="Times New Roman"/>
        </w:rPr>
        <w:tab/>
        <w:t>(First name/ Surname)</w:t>
      </w:r>
      <w:r w:rsidRPr="00E869A4">
        <w:rPr>
          <w:rFonts w:ascii="Times New Roman" w:hAnsi="Times New Roman" w:cs="Times New Roman"/>
        </w:rPr>
        <w:tab/>
        <w:t xml:space="preserve">  ________________________________</w:t>
      </w:r>
    </w:p>
    <w:p w14:paraId="48C130F1" w14:textId="77777777" w:rsidR="00D1584C" w:rsidRPr="00E869A4" w:rsidRDefault="00D1584C" w:rsidP="00A35FF8">
      <w:pPr>
        <w:rPr>
          <w:rFonts w:ascii="Times New Roman" w:hAnsi="Times New Roman" w:cs="Times New Roman"/>
        </w:rPr>
      </w:pPr>
    </w:p>
    <w:tbl>
      <w:tblPr>
        <w:tblW w:w="94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479"/>
      </w:tblGrid>
      <w:tr w:rsidR="00C714D3" w:rsidRPr="00E869A4" w14:paraId="613420F2" w14:textId="77777777" w:rsidTr="008D1352">
        <w:trPr>
          <w:jc w:val="center"/>
        </w:trPr>
        <w:tc>
          <w:tcPr>
            <w:tcW w:w="959" w:type="dxa"/>
            <w:vAlign w:val="center"/>
          </w:tcPr>
          <w:p w14:paraId="367F78C6" w14:textId="77777777" w:rsidR="00D1584C" w:rsidRPr="00E869A4" w:rsidRDefault="00D1584C" w:rsidP="005C49D2">
            <w:pPr>
              <w:ind w:firstLine="0"/>
              <w:rPr>
                <w:rFonts w:ascii="Times New Roman" w:hAnsi="Times New Roman" w:cs="Times New Roman"/>
                <w:b/>
                <w:smallCaps/>
              </w:rPr>
            </w:pPr>
            <w:r w:rsidRPr="00E869A4">
              <w:rPr>
                <w:rFonts w:ascii="Times New Roman" w:hAnsi="Times New Roman" w:cs="Times New Roman"/>
                <w:b/>
                <w:smallCaps/>
              </w:rPr>
              <w:t>To</w:t>
            </w:r>
          </w:p>
        </w:tc>
        <w:tc>
          <w:tcPr>
            <w:tcW w:w="8479" w:type="dxa"/>
            <w:vAlign w:val="center"/>
          </w:tcPr>
          <w:p w14:paraId="53491AFF" w14:textId="77777777" w:rsidR="00D1584C" w:rsidRPr="00E869A4" w:rsidRDefault="00D1584C" w:rsidP="00A35FF8">
            <w:pPr>
              <w:rPr>
                <w:rFonts w:ascii="Times New Roman" w:hAnsi="Times New Roman" w:cs="Times New Roman"/>
                <w:b/>
                <w:smallCaps/>
              </w:rPr>
            </w:pPr>
          </w:p>
          <w:p w14:paraId="369D8506" w14:textId="77777777" w:rsidR="00D1584C" w:rsidRPr="00E869A4" w:rsidRDefault="00D1584C" w:rsidP="00A35FF8">
            <w:pPr>
              <w:rPr>
                <w:rFonts w:ascii="Times New Roman" w:hAnsi="Times New Roman" w:cs="Times New Roman"/>
                <w:b/>
                <w:smallCaps/>
              </w:rPr>
            </w:pPr>
            <w:r w:rsidRPr="00E869A4">
              <w:rPr>
                <w:rFonts w:ascii="Times New Roman" w:hAnsi="Times New Roman" w:cs="Times New Roman"/>
                <w:b/>
                <w:smallCaps/>
              </w:rPr>
              <w:t>Question</w:t>
            </w:r>
          </w:p>
          <w:p w14:paraId="54050F98" w14:textId="77777777" w:rsidR="00D1584C" w:rsidRPr="00E869A4" w:rsidRDefault="00D1584C" w:rsidP="00A35FF8">
            <w:pPr>
              <w:rPr>
                <w:rFonts w:ascii="Times New Roman" w:hAnsi="Times New Roman" w:cs="Times New Roman"/>
                <w:b/>
                <w:smallCaps/>
              </w:rPr>
            </w:pPr>
          </w:p>
        </w:tc>
      </w:tr>
      <w:tr w:rsidR="00C714D3" w:rsidRPr="00E869A4" w14:paraId="0BF14848" w14:textId="77777777" w:rsidTr="008D1352">
        <w:trPr>
          <w:jc w:val="center"/>
        </w:trPr>
        <w:tc>
          <w:tcPr>
            <w:tcW w:w="9438" w:type="dxa"/>
            <w:gridSpan w:val="2"/>
          </w:tcPr>
          <w:p w14:paraId="27E0BEE1" w14:textId="77777777" w:rsidR="00D1584C" w:rsidRPr="00E869A4" w:rsidRDefault="00D1584C" w:rsidP="005C49D2">
            <w:pPr>
              <w:ind w:firstLine="0"/>
              <w:rPr>
                <w:rFonts w:ascii="Times New Roman" w:hAnsi="Times New Roman" w:cs="Times New Roman"/>
              </w:rPr>
            </w:pPr>
          </w:p>
          <w:p w14:paraId="740784D8" w14:textId="77777777" w:rsidR="00D1584C" w:rsidRPr="00E869A4" w:rsidRDefault="00D1584C" w:rsidP="009D4C5D">
            <w:pPr>
              <w:numPr>
                <w:ilvl w:val="0"/>
                <w:numId w:val="73"/>
              </w:numPr>
              <w:pBdr>
                <w:top w:val="nil"/>
                <w:left w:val="nil"/>
                <w:bottom w:val="nil"/>
                <w:right w:val="nil"/>
                <w:between w:val="nil"/>
              </w:pBdr>
              <w:rPr>
                <w:rFonts w:ascii="Times New Roman" w:hAnsi="Times New Roman" w:cs="Times New Roman"/>
                <w:b/>
              </w:rPr>
            </w:pPr>
            <w:r w:rsidRPr="00E869A4">
              <w:rPr>
                <w:rFonts w:ascii="Times New Roman" w:hAnsi="Times New Roman" w:cs="Times New Roman"/>
                <w:b/>
              </w:rPr>
              <w:t>General Health Status</w:t>
            </w:r>
          </w:p>
          <w:p w14:paraId="5F803AC4" w14:textId="77777777" w:rsidR="00D1584C" w:rsidRPr="00E869A4" w:rsidRDefault="00D1584C" w:rsidP="005C49D2">
            <w:pPr>
              <w:ind w:firstLine="0"/>
              <w:rPr>
                <w:rFonts w:ascii="Times New Roman" w:hAnsi="Times New Roman" w:cs="Times New Roman"/>
              </w:rPr>
            </w:pPr>
          </w:p>
          <w:p w14:paraId="555B6B69" w14:textId="77777777" w:rsidR="00D1584C" w:rsidRPr="00E869A4" w:rsidRDefault="00D1584C" w:rsidP="005C49D2">
            <w:pPr>
              <w:ind w:firstLine="0"/>
              <w:rPr>
                <w:rFonts w:ascii="Times New Roman" w:hAnsi="Times New Roman" w:cs="Times New Roman"/>
                <w:i/>
              </w:rPr>
            </w:pPr>
            <w:r w:rsidRPr="00E869A4">
              <w:rPr>
                <w:rFonts w:ascii="Times New Roman" w:hAnsi="Times New Roman" w:cs="Times New Roman"/>
                <w:i/>
              </w:rPr>
              <w:t>CR: I’d like to start off by asking you some general questions about your health</w:t>
            </w:r>
          </w:p>
          <w:p w14:paraId="2F347ECD" w14:textId="77777777" w:rsidR="00D1584C" w:rsidRPr="00E869A4" w:rsidRDefault="00D1584C" w:rsidP="005C49D2">
            <w:pPr>
              <w:ind w:firstLine="0"/>
              <w:rPr>
                <w:rFonts w:ascii="Times New Roman" w:hAnsi="Times New Roman" w:cs="Times New Roman"/>
                <w:i/>
              </w:rPr>
            </w:pPr>
          </w:p>
        </w:tc>
      </w:tr>
      <w:tr w:rsidR="00C714D3" w:rsidRPr="00E869A4" w14:paraId="4126D1DC" w14:textId="77777777" w:rsidTr="008D1352">
        <w:trPr>
          <w:jc w:val="center"/>
        </w:trPr>
        <w:tc>
          <w:tcPr>
            <w:tcW w:w="959" w:type="dxa"/>
          </w:tcPr>
          <w:p w14:paraId="426EA269"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w:t>
            </w:r>
          </w:p>
          <w:p w14:paraId="29596F16" w14:textId="77777777" w:rsidR="00D1584C" w:rsidRPr="00E869A4" w:rsidRDefault="00D1584C" w:rsidP="005C49D2">
            <w:pPr>
              <w:ind w:firstLine="0"/>
              <w:rPr>
                <w:rFonts w:ascii="Times New Roman" w:hAnsi="Times New Roman" w:cs="Times New Roman"/>
              </w:rPr>
            </w:pPr>
          </w:p>
          <w:p w14:paraId="670769C5" w14:textId="77777777" w:rsidR="00D1584C" w:rsidRPr="00E869A4" w:rsidRDefault="00D1584C" w:rsidP="005C49D2">
            <w:pPr>
              <w:ind w:firstLine="0"/>
              <w:rPr>
                <w:rFonts w:ascii="Times New Roman" w:hAnsi="Times New Roman" w:cs="Times New Roman"/>
              </w:rPr>
            </w:pPr>
          </w:p>
          <w:p w14:paraId="22718F0C" w14:textId="77777777" w:rsidR="00D1584C" w:rsidRPr="00E869A4" w:rsidRDefault="00D1584C" w:rsidP="005C49D2">
            <w:pPr>
              <w:ind w:firstLine="0"/>
              <w:rPr>
                <w:rFonts w:ascii="Times New Roman" w:hAnsi="Times New Roman" w:cs="Times New Roman"/>
              </w:rPr>
            </w:pPr>
          </w:p>
          <w:p w14:paraId="79898916" w14:textId="77777777" w:rsidR="00D1584C" w:rsidRPr="00E869A4" w:rsidRDefault="00D1584C" w:rsidP="005C49D2">
            <w:pPr>
              <w:ind w:firstLine="0"/>
              <w:rPr>
                <w:rFonts w:ascii="Times New Roman" w:hAnsi="Times New Roman" w:cs="Times New Roman"/>
              </w:rPr>
            </w:pPr>
          </w:p>
          <w:p w14:paraId="2C5D0701" w14:textId="77777777" w:rsidR="00D1584C" w:rsidRPr="00E869A4" w:rsidRDefault="00D1584C" w:rsidP="005C49D2">
            <w:pPr>
              <w:ind w:firstLine="0"/>
              <w:rPr>
                <w:rFonts w:ascii="Times New Roman" w:hAnsi="Times New Roman" w:cs="Times New Roman"/>
              </w:rPr>
            </w:pPr>
          </w:p>
          <w:p w14:paraId="07E28E81" w14:textId="77777777" w:rsidR="00D1584C" w:rsidRPr="00E869A4" w:rsidRDefault="00D1584C" w:rsidP="005C49D2">
            <w:pPr>
              <w:ind w:firstLine="0"/>
              <w:rPr>
                <w:rFonts w:ascii="Times New Roman" w:hAnsi="Times New Roman" w:cs="Times New Roman"/>
              </w:rPr>
            </w:pPr>
          </w:p>
          <w:p w14:paraId="198195E0" w14:textId="77777777" w:rsidR="00D1584C" w:rsidRPr="00E869A4" w:rsidRDefault="00D1584C" w:rsidP="005C49D2">
            <w:pPr>
              <w:ind w:firstLine="0"/>
              <w:rPr>
                <w:rFonts w:ascii="Times New Roman" w:hAnsi="Times New Roman" w:cs="Times New Roman"/>
              </w:rPr>
            </w:pPr>
          </w:p>
          <w:p w14:paraId="1B5F6FE5" w14:textId="77777777" w:rsidR="00D1584C" w:rsidRPr="00E869A4" w:rsidRDefault="00D1584C" w:rsidP="005C49D2">
            <w:pPr>
              <w:ind w:firstLine="0"/>
              <w:rPr>
                <w:rFonts w:ascii="Times New Roman" w:hAnsi="Times New Roman" w:cs="Times New Roman"/>
              </w:rPr>
            </w:pPr>
          </w:p>
          <w:p w14:paraId="37545C8A" w14:textId="77777777" w:rsidR="00D1584C" w:rsidRPr="00E869A4" w:rsidRDefault="00D1584C" w:rsidP="005C49D2">
            <w:pPr>
              <w:ind w:firstLine="0"/>
              <w:rPr>
                <w:rFonts w:ascii="Times New Roman" w:hAnsi="Times New Roman" w:cs="Times New Roman"/>
              </w:rPr>
            </w:pPr>
          </w:p>
          <w:p w14:paraId="3A6EE463" w14:textId="77777777" w:rsidR="00D1584C" w:rsidRPr="00E869A4" w:rsidRDefault="00D1584C" w:rsidP="005C49D2">
            <w:pPr>
              <w:ind w:firstLine="0"/>
              <w:rPr>
                <w:rFonts w:ascii="Times New Roman" w:hAnsi="Times New Roman" w:cs="Times New Roman"/>
              </w:rPr>
            </w:pPr>
          </w:p>
          <w:p w14:paraId="4B3C8407" w14:textId="77777777" w:rsidR="00D1584C" w:rsidRPr="00E869A4" w:rsidRDefault="00D1584C" w:rsidP="005C49D2">
            <w:pPr>
              <w:ind w:firstLine="0"/>
              <w:rPr>
                <w:rFonts w:ascii="Times New Roman" w:hAnsi="Times New Roman" w:cs="Times New Roman"/>
              </w:rPr>
            </w:pPr>
          </w:p>
          <w:p w14:paraId="6BA1E71E" w14:textId="77777777" w:rsidR="00D1584C" w:rsidRPr="00E869A4" w:rsidRDefault="00D1584C" w:rsidP="005C49D2">
            <w:pPr>
              <w:ind w:firstLine="0"/>
              <w:rPr>
                <w:rFonts w:ascii="Times New Roman" w:hAnsi="Times New Roman" w:cs="Times New Roman"/>
              </w:rPr>
            </w:pPr>
          </w:p>
          <w:p w14:paraId="3D2C5D4A"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w:t>
            </w:r>
          </w:p>
        </w:tc>
        <w:tc>
          <w:tcPr>
            <w:tcW w:w="8479" w:type="dxa"/>
          </w:tcPr>
          <w:p w14:paraId="6A03AF3B"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In general, how would you describe your health? </w:t>
            </w:r>
          </w:p>
          <w:p w14:paraId="2A6651FC" w14:textId="77777777" w:rsidR="00D1584C" w:rsidRPr="00E869A4" w:rsidRDefault="00D1584C" w:rsidP="00A35FF8">
            <w:pPr>
              <w:rPr>
                <w:rFonts w:ascii="Times New Roman" w:hAnsi="Times New Roman" w:cs="Times New Roman"/>
                <w:i/>
              </w:rPr>
            </w:pPr>
          </w:p>
          <w:p w14:paraId="32640B70"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rPr>
              <w:t>Probe: Please tell me some more about your health situation.</w:t>
            </w:r>
          </w:p>
          <w:p w14:paraId="431787D4"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rPr>
              <w:t>Have you been diagnosed with (arthritis, diabetes, hypertension, heart problems, high cholesterol, any others? ...............................................) How long have been diagnosed with this health condition?</w:t>
            </w:r>
          </w:p>
          <w:p w14:paraId="78C29612" w14:textId="77777777" w:rsidR="00D1584C" w:rsidRPr="00E869A4" w:rsidRDefault="00D1584C" w:rsidP="00A35FF8">
            <w:pPr>
              <w:rPr>
                <w:rFonts w:ascii="Times New Roman" w:hAnsi="Times New Roman" w:cs="Times New Roman"/>
              </w:rPr>
            </w:pPr>
          </w:p>
          <w:p w14:paraId="5C042A5F"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What sort of changes has this meant for your day-to-day routine and overall life style?</w:t>
            </w:r>
          </w:p>
          <w:p w14:paraId="26DA65D7" w14:textId="77777777" w:rsidR="00D1584C" w:rsidRPr="00E869A4" w:rsidRDefault="00D1584C" w:rsidP="00A35FF8">
            <w:pPr>
              <w:rPr>
                <w:rFonts w:ascii="Times New Roman" w:hAnsi="Times New Roman" w:cs="Times New Roman"/>
                <w:i/>
              </w:rPr>
            </w:pPr>
          </w:p>
          <w:p w14:paraId="2381AF17"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rPr>
              <w:t>Probe: Is there anything in particular that you either do or don’t do to help you cope? How do you feel about these changes? What do you think makes you feel this way? Is there anything you would either do or do more of if it were not for these health conditions? Are you taking medication for any of these conditions? (if yes) How many prescription medications do you use on a regular basis?</w:t>
            </w:r>
          </w:p>
        </w:tc>
      </w:tr>
      <w:tr w:rsidR="00C714D3" w:rsidRPr="00E869A4" w14:paraId="45D3AC3C" w14:textId="77777777" w:rsidTr="008D1352">
        <w:trPr>
          <w:jc w:val="center"/>
        </w:trPr>
        <w:tc>
          <w:tcPr>
            <w:tcW w:w="959" w:type="dxa"/>
          </w:tcPr>
          <w:p w14:paraId="094DA9DC" w14:textId="77777777" w:rsidR="00D1584C" w:rsidRPr="00E869A4" w:rsidRDefault="00D1584C" w:rsidP="005C49D2">
            <w:pPr>
              <w:ind w:firstLine="0"/>
              <w:rPr>
                <w:rFonts w:ascii="Times New Roman" w:hAnsi="Times New Roman" w:cs="Times New Roman"/>
              </w:rPr>
            </w:pPr>
          </w:p>
          <w:p w14:paraId="037A1499" w14:textId="77777777" w:rsidR="00D1584C" w:rsidRPr="00E869A4" w:rsidRDefault="00D1584C" w:rsidP="005C49D2">
            <w:pPr>
              <w:ind w:firstLine="0"/>
              <w:rPr>
                <w:rFonts w:ascii="Times New Roman" w:hAnsi="Times New Roman" w:cs="Times New Roman"/>
              </w:rPr>
            </w:pPr>
          </w:p>
          <w:p w14:paraId="7D74E37B" w14:textId="77777777" w:rsidR="00D1584C" w:rsidRPr="00E869A4" w:rsidRDefault="00D1584C" w:rsidP="005C49D2">
            <w:pPr>
              <w:ind w:firstLine="0"/>
              <w:rPr>
                <w:rFonts w:ascii="Times New Roman" w:hAnsi="Times New Roman" w:cs="Times New Roman"/>
              </w:rPr>
            </w:pPr>
          </w:p>
          <w:p w14:paraId="0847E4D7"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w:t>
            </w:r>
          </w:p>
        </w:tc>
        <w:tc>
          <w:tcPr>
            <w:tcW w:w="8479" w:type="dxa"/>
          </w:tcPr>
          <w:p w14:paraId="4922C906" w14:textId="77777777" w:rsidR="00D1584C" w:rsidRPr="00E869A4" w:rsidRDefault="00D1584C" w:rsidP="00A35FF8">
            <w:pPr>
              <w:rPr>
                <w:rFonts w:ascii="Times New Roman" w:hAnsi="Times New Roman" w:cs="Times New Roman"/>
              </w:rPr>
            </w:pPr>
          </w:p>
          <w:p w14:paraId="5686B881"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Have you been hospitalised as a result of the health condition(s)? </w:t>
            </w:r>
          </w:p>
          <w:p w14:paraId="09611817" w14:textId="77777777" w:rsidR="00D1584C" w:rsidRPr="00E869A4" w:rsidRDefault="00D1584C" w:rsidP="00A35FF8">
            <w:pPr>
              <w:rPr>
                <w:rFonts w:ascii="Times New Roman" w:hAnsi="Times New Roman" w:cs="Times New Roman"/>
              </w:rPr>
            </w:pPr>
          </w:p>
          <w:p w14:paraId="6CE5DB0E" w14:textId="77777777" w:rsidR="00D1584C" w:rsidRPr="00E869A4" w:rsidRDefault="00D1584C" w:rsidP="00A35FF8">
            <w:pPr>
              <w:rPr>
                <w:rFonts w:ascii="Times New Roman" w:hAnsi="Times New Roman" w:cs="Times New Roman"/>
              </w:rPr>
            </w:pPr>
          </w:p>
          <w:p w14:paraId="4911AAD6" w14:textId="77777777" w:rsidR="00D1584C" w:rsidRPr="00E869A4" w:rsidRDefault="00D1584C" w:rsidP="00A35FF8">
            <w:pPr>
              <w:rPr>
                <w:rFonts w:ascii="Times New Roman" w:hAnsi="Times New Roman" w:cs="Times New Roman"/>
              </w:rPr>
            </w:pPr>
            <w:r w:rsidRPr="00E869A4">
              <w:rPr>
                <w:rFonts w:ascii="Times New Roman" w:hAnsi="Times New Roman" w:cs="Times New Roman"/>
                <w:i/>
              </w:rPr>
              <w:t>Probe: In the past 12 months, how many times have you been admitted to a hospital?</w:t>
            </w:r>
            <w:r w:rsidRPr="00E869A4">
              <w:rPr>
                <w:rFonts w:ascii="Times New Roman" w:hAnsi="Times New Roman" w:cs="Times New Roman"/>
              </w:rPr>
              <w:t xml:space="preserve"> Please describe this experience for me (e.g. what triggered the decision for you to go to the hospital? How long were you hospitalised for? What support did you receive from family and/or friends? How has this experience impacted on you?</w:t>
            </w:r>
          </w:p>
        </w:tc>
      </w:tr>
      <w:tr w:rsidR="00C714D3" w:rsidRPr="00E869A4" w14:paraId="3D7B8904" w14:textId="77777777" w:rsidTr="008D1352">
        <w:trPr>
          <w:jc w:val="center"/>
        </w:trPr>
        <w:tc>
          <w:tcPr>
            <w:tcW w:w="959" w:type="dxa"/>
          </w:tcPr>
          <w:p w14:paraId="64834120"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w:t>
            </w:r>
          </w:p>
        </w:tc>
        <w:tc>
          <w:tcPr>
            <w:tcW w:w="8479" w:type="dxa"/>
          </w:tcPr>
          <w:p w14:paraId="1A6665D5" w14:textId="77777777" w:rsidR="00D1584C" w:rsidRPr="00E869A4" w:rsidRDefault="00D1584C" w:rsidP="00A35FF8">
            <w:pPr>
              <w:ind w:left="34"/>
              <w:rPr>
                <w:rFonts w:ascii="Times New Roman" w:hAnsi="Times New Roman" w:cs="Times New Roman"/>
              </w:rPr>
            </w:pPr>
            <w:r w:rsidRPr="00E869A4">
              <w:rPr>
                <w:rFonts w:ascii="Times New Roman" w:hAnsi="Times New Roman" w:cs="Times New Roman"/>
              </w:rPr>
              <w:t xml:space="preserve">Were there any other significant events or major turning points in how your health progressed? </w:t>
            </w:r>
            <w:r w:rsidRPr="00E869A4">
              <w:rPr>
                <w:rFonts w:ascii="Times New Roman" w:hAnsi="Times New Roman" w:cs="Times New Roman"/>
                <w:i/>
              </w:rPr>
              <w:t xml:space="preserve">Probe: Incontinence, Immobilized </w:t>
            </w:r>
            <w:proofErr w:type="spellStart"/>
            <w:r w:rsidRPr="00E869A4">
              <w:rPr>
                <w:rFonts w:ascii="Times New Roman" w:hAnsi="Times New Roman" w:cs="Times New Roman"/>
                <w:i/>
              </w:rPr>
              <w:t>etc</w:t>
            </w:r>
            <w:proofErr w:type="spellEnd"/>
            <w:r w:rsidRPr="00E869A4">
              <w:rPr>
                <w:rFonts w:ascii="Times New Roman" w:hAnsi="Times New Roman" w:cs="Times New Roman"/>
                <w:i/>
              </w:rPr>
              <w:t>?</w:t>
            </w:r>
          </w:p>
          <w:p w14:paraId="655D63DC" w14:textId="77777777" w:rsidR="00D1584C" w:rsidRPr="00E869A4" w:rsidRDefault="00D1584C" w:rsidP="00A35FF8">
            <w:pPr>
              <w:ind w:left="34"/>
              <w:rPr>
                <w:rFonts w:ascii="Times New Roman" w:hAnsi="Times New Roman" w:cs="Times New Roman"/>
              </w:rPr>
            </w:pPr>
          </w:p>
          <w:p w14:paraId="4ACCD3B3"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w:t>
            </w:r>
            <w:r w:rsidRPr="00E869A4">
              <w:rPr>
                <w:rFonts w:ascii="Times New Roman" w:hAnsi="Times New Roman" w:cs="Times New Roman"/>
                <w:i/>
              </w:rPr>
              <w:t>If yes</w:t>
            </w:r>
            <w:r w:rsidRPr="00E869A4">
              <w:rPr>
                <w:rFonts w:ascii="Times New Roman" w:hAnsi="Times New Roman" w:cs="Times New Roman"/>
              </w:rPr>
              <w:t xml:space="preserve">) Please describe this for me? Why were these so significant? (what stands out to you about this experience? </w:t>
            </w:r>
            <w:r w:rsidRPr="00E869A4">
              <w:rPr>
                <w:rFonts w:ascii="Times New Roman" w:hAnsi="Times New Roman" w:cs="Times New Roman"/>
                <w:i/>
              </w:rPr>
              <w:t xml:space="preserve">(Probe: increased need for assistance?) </w:t>
            </w:r>
            <w:r w:rsidRPr="00E869A4">
              <w:rPr>
                <w:rFonts w:ascii="Times New Roman" w:hAnsi="Times New Roman" w:cs="Times New Roman"/>
              </w:rPr>
              <w:t xml:space="preserve">How did this experience impact on you? </w:t>
            </w:r>
          </w:p>
          <w:p w14:paraId="2EE25FA2" w14:textId="77777777" w:rsidR="00D1584C" w:rsidRPr="00E869A4" w:rsidRDefault="00D1584C" w:rsidP="00A35FF8">
            <w:pPr>
              <w:rPr>
                <w:rFonts w:ascii="Times New Roman" w:hAnsi="Times New Roman" w:cs="Times New Roman"/>
              </w:rPr>
            </w:pPr>
          </w:p>
        </w:tc>
      </w:tr>
      <w:tr w:rsidR="00C714D3" w:rsidRPr="00E869A4" w14:paraId="0FFF9D8C" w14:textId="77777777" w:rsidTr="008D1352">
        <w:trPr>
          <w:trHeight w:val="840"/>
          <w:jc w:val="center"/>
        </w:trPr>
        <w:tc>
          <w:tcPr>
            <w:tcW w:w="9438" w:type="dxa"/>
            <w:gridSpan w:val="2"/>
          </w:tcPr>
          <w:p w14:paraId="47443D03" w14:textId="77777777" w:rsidR="00D1584C" w:rsidRPr="00E869A4" w:rsidRDefault="00D1584C" w:rsidP="00A35FF8">
            <w:pPr>
              <w:rPr>
                <w:rFonts w:ascii="Times New Roman" w:hAnsi="Times New Roman" w:cs="Times New Roman"/>
              </w:rPr>
            </w:pPr>
          </w:p>
          <w:p w14:paraId="1FE57EC6" w14:textId="77777777" w:rsidR="00D1584C" w:rsidRPr="00E869A4" w:rsidRDefault="00D1584C" w:rsidP="009D4C5D">
            <w:pPr>
              <w:numPr>
                <w:ilvl w:val="0"/>
                <w:numId w:val="73"/>
              </w:numPr>
              <w:pBdr>
                <w:top w:val="nil"/>
                <w:left w:val="nil"/>
                <w:bottom w:val="nil"/>
                <w:right w:val="nil"/>
                <w:between w:val="nil"/>
              </w:pBdr>
              <w:rPr>
                <w:rFonts w:ascii="Times New Roman" w:hAnsi="Times New Roman" w:cs="Times New Roman"/>
                <w:b/>
              </w:rPr>
            </w:pPr>
            <w:r w:rsidRPr="00E869A4">
              <w:rPr>
                <w:rFonts w:ascii="Times New Roman" w:hAnsi="Times New Roman" w:cs="Times New Roman"/>
                <w:b/>
              </w:rPr>
              <w:t>Care Needs and Support from Primary Family Carer</w:t>
            </w:r>
          </w:p>
          <w:p w14:paraId="423D2DDF" w14:textId="77777777" w:rsidR="00D1584C" w:rsidRPr="00E869A4" w:rsidRDefault="00D1584C" w:rsidP="00A35FF8">
            <w:pPr>
              <w:rPr>
                <w:rFonts w:ascii="Times New Roman" w:hAnsi="Times New Roman" w:cs="Times New Roman"/>
                <w:i/>
              </w:rPr>
            </w:pPr>
          </w:p>
          <w:p w14:paraId="4015A9D7"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rPr>
              <w:t>Now I’d like to ask you a few questions about the support you receive.</w:t>
            </w:r>
          </w:p>
          <w:p w14:paraId="1A21712D" w14:textId="77777777" w:rsidR="00D1584C" w:rsidRPr="00E869A4" w:rsidRDefault="00D1584C" w:rsidP="00A35FF8">
            <w:pPr>
              <w:rPr>
                <w:rFonts w:ascii="Times New Roman" w:hAnsi="Times New Roman" w:cs="Times New Roman"/>
                <w:i/>
              </w:rPr>
            </w:pPr>
          </w:p>
        </w:tc>
      </w:tr>
      <w:tr w:rsidR="00C714D3" w:rsidRPr="00E869A4" w14:paraId="0BF9D1D5" w14:textId="77777777" w:rsidTr="008D1352">
        <w:trPr>
          <w:trHeight w:val="2420"/>
          <w:jc w:val="center"/>
        </w:trPr>
        <w:tc>
          <w:tcPr>
            <w:tcW w:w="959" w:type="dxa"/>
          </w:tcPr>
          <w:p w14:paraId="5C4BC14D" w14:textId="77777777" w:rsidR="00D1584C" w:rsidRPr="00E869A4" w:rsidRDefault="00D1584C" w:rsidP="00A35FF8">
            <w:pPr>
              <w:rPr>
                <w:rFonts w:ascii="Times New Roman" w:hAnsi="Times New Roman" w:cs="Times New Roman"/>
              </w:rPr>
            </w:pPr>
          </w:p>
          <w:p w14:paraId="61437EB6" w14:textId="77777777" w:rsidR="00D1584C" w:rsidRPr="00E869A4" w:rsidRDefault="00D1584C" w:rsidP="00A35FF8">
            <w:pPr>
              <w:rPr>
                <w:rFonts w:ascii="Times New Roman" w:hAnsi="Times New Roman" w:cs="Times New Roman"/>
              </w:rPr>
            </w:pPr>
          </w:p>
          <w:p w14:paraId="756100DA" w14:textId="77777777" w:rsidR="00D1584C" w:rsidRPr="00E869A4" w:rsidRDefault="00D1584C" w:rsidP="00A35FF8">
            <w:pPr>
              <w:rPr>
                <w:rFonts w:ascii="Times New Roman" w:hAnsi="Times New Roman" w:cs="Times New Roman"/>
              </w:rPr>
            </w:pPr>
          </w:p>
          <w:p w14:paraId="256AAB40"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w:t>
            </w:r>
          </w:p>
          <w:p w14:paraId="08387A10" w14:textId="77777777" w:rsidR="00D1584C" w:rsidRPr="00E869A4" w:rsidRDefault="00D1584C" w:rsidP="005C49D2">
            <w:pPr>
              <w:ind w:firstLine="0"/>
              <w:rPr>
                <w:rFonts w:ascii="Times New Roman" w:hAnsi="Times New Roman" w:cs="Times New Roman"/>
              </w:rPr>
            </w:pPr>
          </w:p>
          <w:p w14:paraId="79AF7A0C" w14:textId="77777777" w:rsidR="00D1584C" w:rsidRPr="00E869A4" w:rsidRDefault="00D1584C" w:rsidP="005C49D2">
            <w:pPr>
              <w:ind w:firstLine="0"/>
              <w:rPr>
                <w:rFonts w:ascii="Times New Roman" w:hAnsi="Times New Roman" w:cs="Times New Roman"/>
              </w:rPr>
            </w:pPr>
          </w:p>
          <w:p w14:paraId="5BEA0E13" w14:textId="77777777" w:rsidR="00D1584C" w:rsidRPr="00E869A4" w:rsidRDefault="00D1584C" w:rsidP="00A35FF8">
            <w:pPr>
              <w:rPr>
                <w:rFonts w:ascii="Times New Roman" w:hAnsi="Times New Roman" w:cs="Times New Roman"/>
              </w:rPr>
            </w:pPr>
          </w:p>
          <w:p w14:paraId="3D2AE883" w14:textId="77777777" w:rsidR="00D1584C" w:rsidRPr="00E869A4" w:rsidRDefault="00D1584C" w:rsidP="00A35FF8">
            <w:pPr>
              <w:rPr>
                <w:rFonts w:ascii="Times New Roman" w:hAnsi="Times New Roman" w:cs="Times New Roman"/>
              </w:rPr>
            </w:pPr>
          </w:p>
          <w:p w14:paraId="3226BBDD" w14:textId="77777777" w:rsidR="00D1584C" w:rsidRPr="00E869A4" w:rsidRDefault="00D1584C" w:rsidP="00A35FF8">
            <w:pPr>
              <w:rPr>
                <w:rFonts w:ascii="Times New Roman" w:hAnsi="Times New Roman" w:cs="Times New Roman"/>
              </w:rPr>
            </w:pPr>
          </w:p>
          <w:p w14:paraId="1301D1B3" w14:textId="77777777" w:rsidR="00D1584C" w:rsidRPr="00E869A4" w:rsidRDefault="00D1584C" w:rsidP="00A35FF8">
            <w:pPr>
              <w:rPr>
                <w:rFonts w:ascii="Times New Roman" w:hAnsi="Times New Roman" w:cs="Times New Roman"/>
              </w:rPr>
            </w:pPr>
          </w:p>
          <w:p w14:paraId="47D66D49" w14:textId="77777777" w:rsidR="00D1584C" w:rsidRPr="00E869A4" w:rsidRDefault="00D1584C" w:rsidP="00A35FF8">
            <w:pPr>
              <w:rPr>
                <w:rFonts w:ascii="Times New Roman" w:hAnsi="Times New Roman" w:cs="Times New Roman"/>
              </w:rPr>
            </w:pPr>
          </w:p>
          <w:p w14:paraId="082B5846" w14:textId="77777777" w:rsidR="00D1584C" w:rsidRPr="00E869A4" w:rsidRDefault="00D1584C" w:rsidP="00A35FF8">
            <w:pPr>
              <w:rPr>
                <w:rFonts w:ascii="Times New Roman" w:hAnsi="Times New Roman" w:cs="Times New Roman"/>
              </w:rPr>
            </w:pPr>
          </w:p>
          <w:p w14:paraId="01E6253D" w14:textId="77777777" w:rsidR="00D1584C" w:rsidRPr="00E869A4" w:rsidRDefault="00D1584C" w:rsidP="00A35FF8">
            <w:pPr>
              <w:rPr>
                <w:rFonts w:ascii="Times New Roman" w:hAnsi="Times New Roman" w:cs="Times New Roman"/>
              </w:rPr>
            </w:pPr>
          </w:p>
          <w:p w14:paraId="752F444A" w14:textId="77777777" w:rsidR="00D1584C" w:rsidRPr="00E869A4" w:rsidRDefault="00D1584C" w:rsidP="00A35FF8">
            <w:pPr>
              <w:rPr>
                <w:rFonts w:ascii="Times New Roman" w:hAnsi="Times New Roman" w:cs="Times New Roman"/>
              </w:rPr>
            </w:pPr>
          </w:p>
          <w:p w14:paraId="315BAE64" w14:textId="77777777" w:rsidR="00D1584C" w:rsidRPr="00E869A4" w:rsidRDefault="00D1584C" w:rsidP="00A35FF8">
            <w:pPr>
              <w:rPr>
                <w:rFonts w:ascii="Times New Roman" w:hAnsi="Times New Roman" w:cs="Times New Roman"/>
              </w:rPr>
            </w:pPr>
          </w:p>
          <w:p w14:paraId="253E0547" w14:textId="77777777" w:rsidR="00D1584C" w:rsidRPr="00E869A4" w:rsidRDefault="00D1584C" w:rsidP="00A35FF8">
            <w:pPr>
              <w:rPr>
                <w:rFonts w:ascii="Times New Roman" w:hAnsi="Times New Roman" w:cs="Times New Roman"/>
              </w:rPr>
            </w:pPr>
          </w:p>
          <w:p w14:paraId="575D2B31" w14:textId="77777777" w:rsidR="00D1584C" w:rsidRPr="00E869A4" w:rsidRDefault="00D1584C" w:rsidP="00A35FF8">
            <w:pPr>
              <w:rPr>
                <w:rFonts w:ascii="Times New Roman" w:hAnsi="Times New Roman" w:cs="Times New Roman"/>
              </w:rPr>
            </w:pPr>
          </w:p>
          <w:p w14:paraId="2C4ECBB2" w14:textId="77777777" w:rsidR="00D1584C" w:rsidRPr="00E869A4" w:rsidRDefault="00D1584C" w:rsidP="00A35FF8">
            <w:pPr>
              <w:rPr>
                <w:rFonts w:ascii="Times New Roman" w:hAnsi="Times New Roman" w:cs="Times New Roman"/>
              </w:rPr>
            </w:pPr>
          </w:p>
          <w:p w14:paraId="65E93DC9" w14:textId="77777777" w:rsidR="00D1584C" w:rsidRPr="00E869A4" w:rsidRDefault="00D1584C" w:rsidP="00A35FF8">
            <w:pPr>
              <w:rPr>
                <w:rFonts w:ascii="Times New Roman" w:hAnsi="Times New Roman" w:cs="Times New Roman"/>
              </w:rPr>
            </w:pPr>
          </w:p>
          <w:p w14:paraId="3FF424DB" w14:textId="77777777" w:rsidR="00D1584C" w:rsidRPr="00E869A4" w:rsidRDefault="00D1584C" w:rsidP="00A35FF8">
            <w:pPr>
              <w:rPr>
                <w:rFonts w:ascii="Times New Roman" w:hAnsi="Times New Roman" w:cs="Times New Roman"/>
              </w:rPr>
            </w:pPr>
          </w:p>
          <w:p w14:paraId="1436C16C" w14:textId="77777777" w:rsidR="00D1584C" w:rsidRPr="00E869A4" w:rsidRDefault="00D1584C" w:rsidP="00A35FF8">
            <w:pPr>
              <w:rPr>
                <w:rFonts w:ascii="Times New Roman" w:hAnsi="Times New Roman" w:cs="Times New Roman"/>
              </w:rPr>
            </w:pPr>
          </w:p>
          <w:p w14:paraId="13A71A3D" w14:textId="77777777" w:rsidR="00D1584C" w:rsidRPr="00E869A4" w:rsidRDefault="00D1584C" w:rsidP="00A35FF8">
            <w:pPr>
              <w:rPr>
                <w:rFonts w:ascii="Times New Roman" w:hAnsi="Times New Roman" w:cs="Times New Roman"/>
              </w:rPr>
            </w:pPr>
          </w:p>
          <w:p w14:paraId="0CA64D03" w14:textId="77777777" w:rsidR="00D1584C" w:rsidRPr="00E869A4" w:rsidRDefault="00D1584C" w:rsidP="00A35FF8">
            <w:pPr>
              <w:rPr>
                <w:rFonts w:ascii="Times New Roman" w:hAnsi="Times New Roman" w:cs="Times New Roman"/>
              </w:rPr>
            </w:pPr>
          </w:p>
          <w:p w14:paraId="62E51E11" w14:textId="77777777" w:rsidR="00D1584C" w:rsidRPr="00E869A4" w:rsidRDefault="00D1584C" w:rsidP="00A35FF8">
            <w:pPr>
              <w:rPr>
                <w:rFonts w:ascii="Times New Roman" w:hAnsi="Times New Roman" w:cs="Times New Roman"/>
              </w:rPr>
            </w:pPr>
          </w:p>
          <w:p w14:paraId="0ABF51F0" w14:textId="77777777" w:rsidR="00D1584C" w:rsidRPr="00E869A4" w:rsidRDefault="00D1584C" w:rsidP="00A35FF8">
            <w:pPr>
              <w:rPr>
                <w:rFonts w:ascii="Times New Roman" w:hAnsi="Times New Roman" w:cs="Times New Roman"/>
              </w:rPr>
            </w:pPr>
          </w:p>
        </w:tc>
        <w:tc>
          <w:tcPr>
            <w:tcW w:w="8479" w:type="dxa"/>
          </w:tcPr>
          <w:p w14:paraId="68B71CE8" w14:textId="77777777" w:rsidR="00D1584C" w:rsidRPr="00E869A4" w:rsidRDefault="00D1584C" w:rsidP="00A35FF8">
            <w:pPr>
              <w:rPr>
                <w:rFonts w:ascii="Times New Roman" w:hAnsi="Times New Roman" w:cs="Times New Roman"/>
                <w:i/>
                <w:u w:val="single"/>
              </w:rPr>
            </w:pPr>
          </w:p>
          <w:p w14:paraId="53DCDD60"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u w:val="single"/>
              </w:rPr>
              <w:t>Instruction</w:t>
            </w:r>
            <w:r w:rsidRPr="00E869A4">
              <w:rPr>
                <w:rFonts w:ascii="Times New Roman" w:hAnsi="Times New Roman" w:cs="Times New Roman"/>
                <w:i/>
              </w:rPr>
              <w:t>: Refer to Flash Card A (Functional Independence)</w:t>
            </w:r>
          </w:p>
          <w:p w14:paraId="5B2597B2" w14:textId="77777777" w:rsidR="00D1584C" w:rsidRPr="00E869A4" w:rsidRDefault="00D1584C" w:rsidP="00A35FF8">
            <w:pPr>
              <w:rPr>
                <w:rFonts w:ascii="Times New Roman" w:hAnsi="Times New Roman" w:cs="Times New Roman"/>
              </w:rPr>
            </w:pPr>
          </w:p>
          <w:p w14:paraId="4C39701D"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With which of the following activities do you require/receive assistance?:</w:t>
            </w:r>
          </w:p>
          <w:p w14:paraId="528EEA51"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Dressing / Grooming</w:t>
            </w:r>
          </w:p>
          <w:p w14:paraId="4FC000D6"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 xml:space="preserve">Bathing </w:t>
            </w:r>
          </w:p>
          <w:p w14:paraId="13ED02AA"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Oral Care</w:t>
            </w:r>
          </w:p>
          <w:p w14:paraId="068BDCF9"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Eating / Cooking</w:t>
            </w:r>
          </w:p>
          <w:p w14:paraId="3EA8EC30"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Shopping</w:t>
            </w:r>
          </w:p>
          <w:p w14:paraId="7179BBF6"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Housekeeping / Doing Laundry</w:t>
            </w:r>
          </w:p>
          <w:p w14:paraId="662CB3FE"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lastRenderedPageBreak/>
              <w:t>Walking / Climbing Stairs / Transferring</w:t>
            </w:r>
          </w:p>
          <w:p w14:paraId="5C01F934"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Toileting</w:t>
            </w:r>
          </w:p>
          <w:p w14:paraId="52C2293D"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Driving / Transportation</w:t>
            </w:r>
          </w:p>
          <w:p w14:paraId="7DB4F1D5"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Making House Repairs / Doing Yard Work</w:t>
            </w:r>
          </w:p>
          <w:p w14:paraId="21AE6F11" w14:textId="77777777" w:rsidR="00D1584C" w:rsidRPr="00E869A4" w:rsidRDefault="00D1584C"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Taking Medication</w:t>
            </w:r>
          </w:p>
          <w:p w14:paraId="3BE7AE3A" w14:textId="3FAB4425" w:rsidR="00D1584C" w:rsidRPr="00E869A4" w:rsidRDefault="005C49D2" w:rsidP="009D4C5D">
            <w:pPr>
              <w:widowControl w:val="0"/>
              <w:numPr>
                <w:ilvl w:val="0"/>
                <w:numId w:val="23"/>
              </w:numPr>
              <w:pBdr>
                <w:top w:val="nil"/>
                <w:left w:val="nil"/>
                <w:bottom w:val="nil"/>
                <w:right w:val="nil"/>
                <w:between w:val="nil"/>
              </w:pBdr>
              <w:rPr>
                <w:rFonts w:ascii="Times New Roman" w:hAnsi="Times New Roman" w:cs="Times New Roman"/>
              </w:rPr>
            </w:pPr>
            <w:r w:rsidRPr="00E869A4">
              <w:rPr>
                <w:rFonts w:ascii="Times New Roman" w:eastAsia="Source Sans Pro" w:hAnsi="Times New Roman" w:cs="Times New Roman"/>
              </w:rPr>
              <w:t>Managing</w:t>
            </w:r>
            <w:r w:rsidR="00D1584C" w:rsidRPr="00E869A4">
              <w:rPr>
                <w:rFonts w:ascii="Times New Roman" w:eastAsia="Source Sans Pro" w:hAnsi="Times New Roman" w:cs="Times New Roman"/>
              </w:rPr>
              <w:t xml:space="preserve"> financial affairs / Direct financial support</w:t>
            </w:r>
          </w:p>
          <w:p w14:paraId="4213B2C0" w14:textId="77777777" w:rsidR="00D1584C" w:rsidRPr="00E869A4" w:rsidRDefault="00D1584C" w:rsidP="00A35FF8">
            <w:pPr>
              <w:widowControl w:val="0"/>
              <w:rPr>
                <w:rFonts w:ascii="Times New Roman" w:hAnsi="Times New Roman" w:cs="Times New Roman"/>
              </w:rPr>
            </w:pPr>
            <w:r w:rsidRPr="00E869A4">
              <w:rPr>
                <w:rFonts w:ascii="Times New Roman" w:hAnsi="Times New Roman" w:cs="Times New Roman"/>
              </w:rPr>
              <w:t> </w:t>
            </w:r>
          </w:p>
          <w:p w14:paraId="08BD34C3" w14:textId="77777777" w:rsidR="00D1584C" w:rsidRPr="00E869A4" w:rsidRDefault="00D1584C" w:rsidP="00A35FF8">
            <w:pPr>
              <w:widowControl w:val="0"/>
              <w:rPr>
                <w:rFonts w:ascii="Times New Roman" w:hAnsi="Times New Roman" w:cs="Times New Roman"/>
                <w:sz w:val="20"/>
                <w:szCs w:val="20"/>
              </w:rPr>
            </w:pPr>
          </w:p>
          <w:p w14:paraId="5D9DDB7A"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Please tell me specifically, who provides you with help for each of these activities? How are they related to you? When did they begin to provide this assistance to you? Over what period of time did they provide this assistance? </w:t>
            </w:r>
          </w:p>
        </w:tc>
      </w:tr>
      <w:tr w:rsidR="00C714D3" w:rsidRPr="00E869A4" w14:paraId="774066C7" w14:textId="77777777" w:rsidTr="008D1352">
        <w:trPr>
          <w:jc w:val="center"/>
        </w:trPr>
        <w:tc>
          <w:tcPr>
            <w:tcW w:w="959" w:type="dxa"/>
          </w:tcPr>
          <w:p w14:paraId="09F38B2F" w14:textId="77777777" w:rsidR="00D1584C" w:rsidRPr="00E869A4" w:rsidRDefault="00D1584C" w:rsidP="00A35FF8">
            <w:pPr>
              <w:rPr>
                <w:rFonts w:ascii="Times New Roman" w:hAnsi="Times New Roman" w:cs="Times New Roman"/>
              </w:rPr>
            </w:pPr>
          </w:p>
          <w:p w14:paraId="39043D0E" w14:textId="77777777" w:rsidR="00D1584C" w:rsidRPr="00E869A4" w:rsidRDefault="00D1584C" w:rsidP="00A35FF8">
            <w:pPr>
              <w:rPr>
                <w:rFonts w:ascii="Times New Roman" w:hAnsi="Times New Roman" w:cs="Times New Roman"/>
              </w:rPr>
            </w:pPr>
          </w:p>
          <w:p w14:paraId="110B3B8D" w14:textId="77777777" w:rsidR="005C49D2" w:rsidRPr="00E869A4" w:rsidRDefault="005C49D2" w:rsidP="00A35FF8">
            <w:pPr>
              <w:rPr>
                <w:rFonts w:ascii="Times New Roman" w:hAnsi="Times New Roman" w:cs="Times New Roman"/>
              </w:rPr>
            </w:pPr>
          </w:p>
          <w:p w14:paraId="72A7072B"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w:t>
            </w:r>
          </w:p>
          <w:p w14:paraId="4A761CA2" w14:textId="77777777" w:rsidR="00D1584C" w:rsidRPr="00E869A4" w:rsidRDefault="00D1584C" w:rsidP="00A35FF8">
            <w:pPr>
              <w:rPr>
                <w:rFonts w:ascii="Times New Roman" w:hAnsi="Times New Roman" w:cs="Times New Roman"/>
              </w:rPr>
            </w:pPr>
          </w:p>
          <w:p w14:paraId="76F85AA0" w14:textId="77777777" w:rsidR="005C49D2" w:rsidRPr="00E869A4" w:rsidRDefault="005C49D2" w:rsidP="00A35FF8">
            <w:pPr>
              <w:rPr>
                <w:rFonts w:ascii="Times New Roman" w:hAnsi="Times New Roman" w:cs="Times New Roman"/>
              </w:rPr>
            </w:pPr>
          </w:p>
          <w:p w14:paraId="30354D24" w14:textId="77777777" w:rsidR="00D1584C" w:rsidRPr="00E869A4" w:rsidRDefault="00D1584C" w:rsidP="00A35FF8">
            <w:pPr>
              <w:rPr>
                <w:rFonts w:ascii="Times New Roman" w:hAnsi="Times New Roman" w:cs="Times New Roman"/>
              </w:rPr>
            </w:pPr>
          </w:p>
          <w:p w14:paraId="07DD3333" w14:textId="77777777" w:rsidR="00D1584C" w:rsidRPr="00E869A4" w:rsidRDefault="00D1584C" w:rsidP="00A35FF8">
            <w:pPr>
              <w:rPr>
                <w:rFonts w:ascii="Times New Roman" w:hAnsi="Times New Roman" w:cs="Times New Roman"/>
              </w:rPr>
            </w:pPr>
          </w:p>
          <w:p w14:paraId="4C01EC31" w14:textId="77777777" w:rsidR="00D1584C" w:rsidRPr="00E869A4" w:rsidRDefault="00D1584C" w:rsidP="00A35FF8">
            <w:pPr>
              <w:rPr>
                <w:rFonts w:ascii="Times New Roman" w:hAnsi="Times New Roman" w:cs="Times New Roman"/>
              </w:rPr>
            </w:pPr>
          </w:p>
          <w:p w14:paraId="00CEE447" w14:textId="77777777" w:rsidR="00D1584C" w:rsidRPr="00E869A4" w:rsidRDefault="00D1584C" w:rsidP="00A35FF8">
            <w:pPr>
              <w:rPr>
                <w:rFonts w:ascii="Times New Roman" w:hAnsi="Times New Roman" w:cs="Times New Roman"/>
              </w:rPr>
            </w:pPr>
          </w:p>
          <w:p w14:paraId="1C182E6B" w14:textId="77777777" w:rsidR="00D1584C" w:rsidRPr="00E869A4" w:rsidRDefault="00D1584C" w:rsidP="00A35FF8">
            <w:pPr>
              <w:rPr>
                <w:rFonts w:ascii="Times New Roman" w:hAnsi="Times New Roman" w:cs="Times New Roman"/>
              </w:rPr>
            </w:pPr>
          </w:p>
          <w:p w14:paraId="66B9824E" w14:textId="77777777" w:rsidR="00D1584C" w:rsidRPr="00E869A4" w:rsidRDefault="00D1584C" w:rsidP="00A35FF8">
            <w:pPr>
              <w:rPr>
                <w:rFonts w:ascii="Times New Roman" w:hAnsi="Times New Roman" w:cs="Times New Roman"/>
              </w:rPr>
            </w:pPr>
          </w:p>
          <w:p w14:paraId="75C8E1F5" w14:textId="77777777" w:rsidR="00D1584C" w:rsidRPr="00E869A4" w:rsidRDefault="00D1584C" w:rsidP="00A35FF8">
            <w:pPr>
              <w:rPr>
                <w:rFonts w:ascii="Times New Roman" w:hAnsi="Times New Roman" w:cs="Times New Roman"/>
              </w:rPr>
            </w:pPr>
          </w:p>
          <w:p w14:paraId="369160A7" w14:textId="77777777" w:rsidR="00D1584C" w:rsidRPr="00E869A4" w:rsidRDefault="00D1584C" w:rsidP="00A35FF8">
            <w:pPr>
              <w:rPr>
                <w:rFonts w:ascii="Times New Roman" w:hAnsi="Times New Roman" w:cs="Times New Roman"/>
              </w:rPr>
            </w:pPr>
          </w:p>
          <w:p w14:paraId="0235A8D5" w14:textId="77777777" w:rsidR="00D1584C" w:rsidRPr="00E869A4" w:rsidRDefault="00D1584C" w:rsidP="00A35FF8">
            <w:pPr>
              <w:rPr>
                <w:rFonts w:ascii="Times New Roman" w:hAnsi="Times New Roman" w:cs="Times New Roman"/>
              </w:rPr>
            </w:pPr>
          </w:p>
          <w:p w14:paraId="5F9AB5C4" w14:textId="77777777" w:rsidR="00D1584C" w:rsidRPr="00E869A4" w:rsidRDefault="00D1584C" w:rsidP="00A35FF8">
            <w:pPr>
              <w:rPr>
                <w:rFonts w:ascii="Times New Roman" w:hAnsi="Times New Roman" w:cs="Times New Roman"/>
              </w:rPr>
            </w:pPr>
          </w:p>
          <w:p w14:paraId="1D110B5B" w14:textId="77777777" w:rsidR="00D1584C" w:rsidRPr="00E869A4" w:rsidRDefault="00D1584C" w:rsidP="00A35FF8">
            <w:pPr>
              <w:rPr>
                <w:rFonts w:ascii="Times New Roman" w:hAnsi="Times New Roman" w:cs="Times New Roman"/>
              </w:rPr>
            </w:pPr>
          </w:p>
          <w:p w14:paraId="53D00F17" w14:textId="77777777" w:rsidR="005C49D2" w:rsidRPr="00E869A4" w:rsidRDefault="005C49D2" w:rsidP="00A35FF8">
            <w:pPr>
              <w:rPr>
                <w:rFonts w:ascii="Times New Roman" w:hAnsi="Times New Roman" w:cs="Times New Roman"/>
              </w:rPr>
            </w:pPr>
          </w:p>
          <w:p w14:paraId="6FDFC3FD" w14:textId="77777777" w:rsidR="005C49D2" w:rsidRPr="00E869A4" w:rsidRDefault="005C49D2" w:rsidP="00A35FF8">
            <w:pPr>
              <w:rPr>
                <w:rFonts w:ascii="Times New Roman" w:hAnsi="Times New Roman" w:cs="Times New Roman"/>
              </w:rPr>
            </w:pPr>
          </w:p>
          <w:p w14:paraId="766EAA8E" w14:textId="77777777" w:rsidR="005C49D2" w:rsidRPr="00E869A4" w:rsidRDefault="005C49D2" w:rsidP="00A35FF8">
            <w:pPr>
              <w:rPr>
                <w:rFonts w:ascii="Times New Roman" w:hAnsi="Times New Roman" w:cs="Times New Roman"/>
              </w:rPr>
            </w:pPr>
          </w:p>
          <w:p w14:paraId="0E920E23" w14:textId="77777777" w:rsidR="005C49D2" w:rsidRPr="00E869A4" w:rsidRDefault="005C49D2" w:rsidP="00A35FF8">
            <w:pPr>
              <w:rPr>
                <w:rFonts w:ascii="Times New Roman" w:hAnsi="Times New Roman" w:cs="Times New Roman"/>
              </w:rPr>
            </w:pPr>
          </w:p>
          <w:p w14:paraId="31ED7262"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CR/C</w:t>
            </w:r>
          </w:p>
          <w:p w14:paraId="7D49E8A6" w14:textId="77777777" w:rsidR="00D1584C" w:rsidRPr="00E869A4" w:rsidRDefault="00D1584C" w:rsidP="005C49D2">
            <w:pPr>
              <w:ind w:firstLine="0"/>
              <w:rPr>
                <w:rFonts w:ascii="Times New Roman" w:hAnsi="Times New Roman" w:cs="Times New Roman"/>
              </w:rPr>
            </w:pPr>
          </w:p>
          <w:p w14:paraId="176F1A59" w14:textId="77777777" w:rsidR="00D1584C" w:rsidRPr="00E869A4" w:rsidRDefault="00D1584C" w:rsidP="005C49D2">
            <w:pPr>
              <w:ind w:firstLine="0"/>
              <w:rPr>
                <w:rFonts w:ascii="Times New Roman" w:hAnsi="Times New Roman" w:cs="Times New Roman"/>
              </w:rPr>
            </w:pPr>
          </w:p>
          <w:p w14:paraId="1C528D7E" w14:textId="77777777" w:rsidR="00D1584C" w:rsidRPr="00E869A4" w:rsidRDefault="00D1584C" w:rsidP="005C49D2">
            <w:pPr>
              <w:ind w:firstLine="0"/>
              <w:rPr>
                <w:rFonts w:ascii="Times New Roman" w:hAnsi="Times New Roman" w:cs="Times New Roman"/>
              </w:rPr>
            </w:pPr>
          </w:p>
          <w:p w14:paraId="286207C0" w14:textId="77777777" w:rsidR="005C49D2" w:rsidRPr="00E869A4" w:rsidRDefault="005C49D2" w:rsidP="005C49D2">
            <w:pPr>
              <w:ind w:firstLine="0"/>
              <w:rPr>
                <w:rFonts w:ascii="Times New Roman" w:hAnsi="Times New Roman" w:cs="Times New Roman"/>
              </w:rPr>
            </w:pPr>
          </w:p>
          <w:p w14:paraId="260AE75A"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w:t>
            </w:r>
          </w:p>
          <w:p w14:paraId="0B5A339A" w14:textId="77777777" w:rsidR="00D1584C" w:rsidRPr="00E869A4" w:rsidRDefault="00D1584C" w:rsidP="005C49D2">
            <w:pPr>
              <w:ind w:firstLine="0"/>
              <w:rPr>
                <w:rFonts w:ascii="Times New Roman" w:hAnsi="Times New Roman" w:cs="Times New Roman"/>
              </w:rPr>
            </w:pPr>
          </w:p>
          <w:p w14:paraId="1E7A4E80" w14:textId="77777777" w:rsidR="00D1584C" w:rsidRPr="00E869A4" w:rsidRDefault="00D1584C" w:rsidP="005C49D2">
            <w:pPr>
              <w:ind w:firstLine="0"/>
              <w:rPr>
                <w:rFonts w:ascii="Times New Roman" w:hAnsi="Times New Roman" w:cs="Times New Roman"/>
              </w:rPr>
            </w:pPr>
          </w:p>
          <w:p w14:paraId="1C9C4590" w14:textId="77777777" w:rsidR="00D1584C" w:rsidRPr="00E869A4" w:rsidRDefault="00D1584C" w:rsidP="005C49D2">
            <w:pPr>
              <w:ind w:firstLine="0"/>
              <w:rPr>
                <w:rFonts w:ascii="Times New Roman" w:hAnsi="Times New Roman" w:cs="Times New Roman"/>
              </w:rPr>
            </w:pPr>
          </w:p>
          <w:p w14:paraId="61DCA03D"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CR/C</w:t>
            </w:r>
          </w:p>
        </w:tc>
        <w:tc>
          <w:tcPr>
            <w:tcW w:w="8479" w:type="dxa"/>
          </w:tcPr>
          <w:p w14:paraId="67FC21E5"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u w:val="single"/>
              </w:rPr>
              <w:lastRenderedPageBreak/>
              <w:t>Instruction</w:t>
            </w:r>
            <w:r w:rsidRPr="00E869A4">
              <w:rPr>
                <w:rFonts w:ascii="Times New Roman" w:hAnsi="Times New Roman" w:cs="Times New Roman"/>
                <w:i/>
              </w:rPr>
              <w:t>: Refer to flash card A</w:t>
            </w:r>
          </w:p>
          <w:p w14:paraId="4EAD30F2" w14:textId="77777777" w:rsidR="00D1584C" w:rsidRPr="00E869A4" w:rsidRDefault="00D1584C" w:rsidP="00A35FF8">
            <w:pPr>
              <w:rPr>
                <w:rFonts w:ascii="Times New Roman" w:hAnsi="Times New Roman" w:cs="Times New Roman"/>
              </w:rPr>
            </w:pPr>
          </w:p>
          <w:p w14:paraId="653B9D30" w14:textId="77777777" w:rsidR="00D1584C" w:rsidRPr="00E869A4" w:rsidRDefault="00D1584C" w:rsidP="00A35FF8">
            <w:pPr>
              <w:rPr>
                <w:rFonts w:ascii="Times New Roman" w:hAnsi="Times New Roman" w:cs="Times New Roman"/>
              </w:rPr>
            </w:pPr>
          </w:p>
          <w:p w14:paraId="3B0A1C25" w14:textId="77777777" w:rsidR="00D1584C" w:rsidRPr="00E869A4" w:rsidRDefault="00D1584C" w:rsidP="005C49D2">
            <w:pPr>
              <w:ind w:hanging="35"/>
              <w:rPr>
                <w:rFonts w:ascii="Times New Roman" w:hAnsi="Times New Roman" w:cs="Times New Roman"/>
              </w:rPr>
            </w:pPr>
            <w:r w:rsidRPr="00E869A4">
              <w:rPr>
                <w:rFonts w:ascii="Times New Roman" w:hAnsi="Times New Roman" w:cs="Times New Roman"/>
              </w:rPr>
              <w:t xml:space="preserve">Please describe for me how you provide care to ..... </w:t>
            </w:r>
            <w:r w:rsidRPr="00E869A4">
              <w:rPr>
                <w:rFonts w:ascii="Times New Roman" w:hAnsi="Times New Roman" w:cs="Times New Roman"/>
                <w:i/>
              </w:rPr>
              <w:t>(</w:t>
            </w:r>
            <w:r w:rsidRPr="00E869A4">
              <w:rPr>
                <w:rFonts w:ascii="Times New Roman" w:hAnsi="Times New Roman" w:cs="Times New Roman"/>
                <w:i/>
                <w:u w:val="single"/>
              </w:rPr>
              <w:t>name CR</w:t>
            </w:r>
            <w:r w:rsidRPr="00E869A4">
              <w:rPr>
                <w:rFonts w:ascii="Times New Roman" w:hAnsi="Times New Roman" w:cs="Times New Roman"/>
                <w:i/>
              </w:rPr>
              <w:t>)</w:t>
            </w:r>
            <w:r w:rsidRPr="00E869A4">
              <w:rPr>
                <w:rFonts w:ascii="Times New Roman" w:hAnsi="Times New Roman" w:cs="Times New Roman"/>
              </w:rPr>
              <w:t>.... in a typical week.</w:t>
            </w:r>
          </w:p>
          <w:p w14:paraId="0DE68BE4" w14:textId="77777777" w:rsidR="00D1584C" w:rsidRPr="00E869A4" w:rsidRDefault="00D1584C" w:rsidP="005C49D2">
            <w:pPr>
              <w:ind w:hanging="35"/>
              <w:rPr>
                <w:rFonts w:ascii="Times New Roman" w:hAnsi="Times New Roman" w:cs="Times New Roman"/>
              </w:rPr>
            </w:pPr>
            <w:r w:rsidRPr="00E869A4">
              <w:rPr>
                <w:rFonts w:ascii="Times New Roman" w:hAnsi="Times New Roman" w:cs="Times New Roman"/>
              </w:rPr>
              <w:t>Approximately how many hours a week do you spend helping ..</w:t>
            </w:r>
            <w:r w:rsidRPr="00E869A4">
              <w:rPr>
                <w:rFonts w:ascii="Times New Roman" w:hAnsi="Times New Roman" w:cs="Times New Roman"/>
                <w:i/>
              </w:rPr>
              <w:t>name CR</w:t>
            </w:r>
            <w:r w:rsidRPr="00E869A4">
              <w:rPr>
                <w:rFonts w:ascii="Times New Roman" w:hAnsi="Times New Roman" w:cs="Times New Roman"/>
              </w:rPr>
              <w:t>...with  each of these activities?</w:t>
            </w:r>
          </w:p>
          <w:p w14:paraId="60915223" w14:textId="77777777" w:rsidR="00D1584C" w:rsidRPr="00E869A4" w:rsidRDefault="00D1584C" w:rsidP="005C49D2">
            <w:pPr>
              <w:ind w:hanging="35"/>
              <w:rPr>
                <w:rFonts w:ascii="Times New Roman" w:hAnsi="Times New Roman" w:cs="Times New Roman"/>
              </w:rPr>
            </w:pPr>
            <w:r w:rsidRPr="00E869A4">
              <w:rPr>
                <w:rFonts w:ascii="Times New Roman" w:hAnsi="Times New Roman" w:cs="Times New Roman"/>
              </w:rPr>
              <w:t xml:space="preserve">Does anyone help you perform these tasks? Do you have any pieces of equipment or use any special techniques to help you with these activities? Are there any pieces of equipment or special techniques that you would like to have? Have you given up using any pieces of equipment/techniques? Why? </w:t>
            </w:r>
          </w:p>
          <w:p w14:paraId="4208FE47" w14:textId="77777777" w:rsidR="00D1584C" w:rsidRPr="00E869A4" w:rsidRDefault="00D1584C" w:rsidP="005C49D2">
            <w:pPr>
              <w:ind w:left="34" w:hanging="35"/>
              <w:rPr>
                <w:rFonts w:ascii="Times New Roman" w:hAnsi="Times New Roman" w:cs="Times New Roman"/>
              </w:rPr>
            </w:pPr>
          </w:p>
          <w:p w14:paraId="6E0FC368" w14:textId="77777777" w:rsidR="00D1584C" w:rsidRPr="00E869A4" w:rsidRDefault="00D1584C" w:rsidP="005C49D2">
            <w:pPr>
              <w:ind w:hanging="35"/>
              <w:rPr>
                <w:rFonts w:ascii="Times New Roman" w:hAnsi="Times New Roman" w:cs="Times New Roman"/>
              </w:rPr>
            </w:pPr>
            <w:r w:rsidRPr="00E869A4">
              <w:rPr>
                <w:rFonts w:ascii="Times New Roman" w:hAnsi="Times New Roman" w:cs="Times New Roman"/>
              </w:rPr>
              <w:t xml:space="preserve">Did you receive any training in the activities that you help CR with? (*If yes) Where did you receive the training? For how long? Did you receive any certification? Please specify. </w:t>
            </w:r>
          </w:p>
          <w:p w14:paraId="6DC84FE9" w14:textId="77777777" w:rsidR="00D1584C" w:rsidRPr="00E869A4" w:rsidRDefault="00D1584C" w:rsidP="005C49D2">
            <w:pPr>
              <w:ind w:hanging="35"/>
              <w:rPr>
                <w:rFonts w:ascii="Times New Roman" w:hAnsi="Times New Roman" w:cs="Times New Roman"/>
              </w:rPr>
            </w:pPr>
            <w:r w:rsidRPr="00E869A4">
              <w:rPr>
                <w:rFonts w:ascii="Times New Roman" w:hAnsi="Times New Roman" w:cs="Times New Roman"/>
              </w:rPr>
              <w:t xml:space="preserve">Have any changes been made to the home as a result of CRs health condition(s) e.g. </w:t>
            </w:r>
            <w:r w:rsidRPr="00E869A4">
              <w:rPr>
                <w:rFonts w:ascii="Times New Roman" w:hAnsi="Times New Roman" w:cs="Times New Roman"/>
              </w:rPr>
              <w:lastRenderedPageBreak/>
              <w:t>not using upstairs rooms?</w:t>
            </w:r>
          </w:p>
          <w:p w14:paraId="38AE8379" w14:textId="77777777" w:rsidR="00D1584C" w:rsidRPr="00E869A4" w:rsidRDefault="00D1584C" w:rsidP="005C49D2">
            <w:pPr>
              <w:ind w:left="34" w:hanging="35"/>
              <w:rPr>
                <w:rFonts w:ascii="Times New Roman" w:hAnsi="Times New Roman" w:cs="Times New Roman"/>
              </w:rPr>
            </w:pPr>
          </w:p>
          <w:p w14:paraId="19F68D1B" w14:textId="77777777" w:rsidR="00D1584C" w:rsidRPr="00E869A4" w:rsidRDefault="00D1584C" w:rsidP="005C49D2">
            <w:pPr>
              <w:ind w:hanging="35"/>
              <w:rPr>
                <w:rFonts w:ascii="Times New Roman" w:hAnsi="Times New Roman" w:cs="Times New Roman"/>
              </w:rPr>
            </w:pPr>
            <w:r w:rsidRPr="00E869A4">
              <w:rPr>
                <w:rFonts w:ascii="Times New Roman" w:hAnsi="Times New Roman" w:cs="Times New Roman"/>
              </w:rPr>
              <w:t xml:space="preserve">What does this mean for your day to day routine and your overall lifestyle?  </w:t>
            </w:r>
          </w:p>
          <w:p w14:paraId="228FF79D" w14:textId="77777777" w:rsidR="00D1584C" w:rsidRPr="00E869A4" w:rsidRDefault="00D1584C" w:rsidP="005C49D2">
            <w:pPr>
              <w:ind w:hanging="35"/>
              <w:rPr>
                <w:rFonts w:ascii="Times New Roman" w:hAnsi="Times New Roman" w:cs="Times New Roman"/>
                <w:i/>
              </w:rPr>
            </w:pPr>
            <w:r w:rsidRPr="00E869A4">
              <w:rPr>
                <w:rFonts w:ascii="Times New Roman" w:hAnsi="Times New Roman" w:cs="Times New Roman"/>
                <w:i/>
              </w:rPr>
              <w:t>(Probe: is there anything you don’t do or started to do in order for you to provide this assistance to CR?</w:t>
            </w:r>
          </w:p>
          <w:p w14:paraId="081AFB5C" w14:textId="77777777" w:rsidR="00D1584C" w:rsidRPr="00E869A4" w:rsidRDefault="00D1584C" w:rsidP="005C49D2">
            <w:pPr>
              <w:ind w:left="34" w:hanging="35"/>
              <w:rPr>
                <w:rFonts w:ascii="Times New Roman" w:hAnsi="Times New Roman" w:cs="Times New Roman"/>
              </w:rPr>
            </w:pPr>
          </w:p>
          <w:p w14:paraId="0E29AA2D" w14:textId="77777777" w:rsidR="00D1584C" w:rsidRPr="00E869A4" w:rsidRDefault="00D1584C" w:rsidP="005C49D2">
            <w:pPr>
              <w:ind w:left="34" w:hanging="35"/>
              <w:rPr>
                <w:rFonts w:ascii="Times New Roman" w:hAnsi="Times New Roman" w:cs="Times New Roman"/>
              </w:rPr>
            </w:pPr>
          </w:p>
          <w:p w14:paraId="6F724B33" w14:textId="77777777" w:rsidR="00D1584C" w:rsidRPr="00E869A4" w:rsidRDefault="00D1584C" w:rsidP="005C49D2">
            <w:pPr>
              <w:ind w:left="34" w:hanging="35"/>
              <w:rPr>
                <w:rFonts w:ascii="Times New Roman" w:hAnsi="Times New Roman" w:cs="Times New Roman"/>
              </w:rPr>
            </w:pPr>
            <w:r w:rsidRPr="00E869A4">
              <w:rPr>
                <w:rFonts w:ascii="Times New Roman" w:hAnsi="Times New Roman" w:cs="Times New Roman"/>
              </w:rPr>
              <w:t xml:space="preserve">How did the current pattern of care/helping develop? </w:t>
            </w:r>
            <w:r w:rsidRPr="00E869A4">
              <w:rPr>
                <w:rFonts w:ascii="Times New Roman" w:hAnsi="Times New Roman" w:cs="Times New Roman"/>
                <w:i/>
              </w:rPr>
              <w:t>(Probe: what, (if any), were the significant events or turning points in the pattern of care that developed? Why were these significant?</w:t>
            </w:r>
            <w:r w:rsidRPr="00E869A4">
              <w:rPr>
                <w:rFonts w:ascii="Times New Roman" w:hAnsi="Times New Roman" w:cs="Times New Roman"/>
              </w:rPr>
              <w:t xml:space="preserve"> </w:t>
            </w:r>
          </w:p>
          <w:p w14:paraId="0EBBCEFA" w14:textId="77777777" w:rsidR="00D1584C" w:rsidRPr="00E869A4" w:rsidRDefault="00D1584C" w:rsidP="005C49D2">
            <w:pPr>
              <w:ind w:left="34" w:hanging="35"/>
              <w:rPr>
                <w:rFonts w:ascii="Times New Roman" w:hAnsi="Times New Roman" w:cs="Times New Roman"/>
              </w:rPr>
            </w:pPr>
          </w:p>
          <w:p w14:paraId="56001294" w14:textId="77777777" w:rsidR="00D1584C" w:rsidRPr="00E869A4" w:rsidRDefault="00D1584C" w:rsidP="005C49D2">
            <w:pPr>
              <w:ind w:left="34" w:hanging="35"/>
              <w:rPr>
                <w:rFonts w:ascii="Times New Roman" w:hAnsi="Times New Roman" w:cs="Times New Roman"/>
                <w:i/>
              </w:rPr>
            </w:pPr>
            <w:r w:rsidRPr="00E869A4">
              <w:rPr>
                <w:rFonts w:ascii="Times New Roman" w:hAnsi="Times New Roman" w:cs="Times New Roman"/>
              </w:rPr>
              <w:t xml:space="preserve">When did you first feel that ...CR... needed your assistance with these activities? What in your view were the key turning points and significant changes with respect to your providing assistance to ....CR...?  </w:t>
            </w:r>
            <w:r w:rsidRPr="00E869A4">
              <w:rPr>
                <w:rFonts w:ascii="Times New Roman" w:hAnsi="Times New Roman" w:cs="Times New Roman"/>
                <w:i/>
              </w:rPr>
              <w:t>Probe: Incontinence, Deafness, Period of Hospitalization or Absence?</w:t>
            </w:r>
          </w:p>
          <w:p w14:paraId="5BD595B9" w14:textId="77777777" w:rsidR="00D1584C" w:rsidRPr="00E869A4" w:rsidRDefault="00D1584C" w:rsidP="005C49D2">
            <w:pPr>
              <w:ind w:left="34" w:hanging="35"/>
              <w:rPr>
                <w:rFonts w:ascii="Times New Roman" w:hAnsi="Times New Roman" w:cs="Times New Roman"/>
                <w:i/>
              </w:rPr>
            </w:pPr>
          </w:p>
          <w:p w14:paraId="2BDDD1DE" w14:textId="77777777" w:rsidR="00D1584C" w:rsidRPr="00E869A4" w:rsidRDefault="00D1584C" w:rsidP="005C49D2">
            <w:pPr>
              <w:ind w:hanging="35"/>
              <w:rPr>
                <w:rFonts w:ascii="Times New Roman" w:hAnsi="Times New Roman" w:cs="Times New Roman"/>
              </w:rPr>
            </w:pPr>
            <w:r w:rsidRPr="00E869A4">
              <w:rPr>
                <w:rFonts w:ascii="Times New Roman" w:hAnsi="Times New Roman" w:cs="Times New Roman"/>
              </w:rPr>
              <w:t>How do you feel about the support provided by other members of the family to CR?</w:t>
            </w:r>
          </w:p>
          <w:p w14:paraId="77C90E8E" w14:textId="77777777" w:rsidR="00D1584C" w:rsidRPr="00E869A4" w:rsidRDefault="00D1584C" w:rsidP="005C49D2">
            <w:pPr>
              <w:ind w:left="34" w:hanging="35"/>
              <w:rPr>
                <w:rFonts w:ascii="Times New Roman" w:hAnsi="Times New Roman" w:cs="Times New Roman"/>
                <w:i/>
              </w:rPr>
            </w:pPr>
            <w:r w:rsidRPr="00E869A4">
              <w:rPr>
                <w:rFonts w:ascii="Times New Roman" w:hAnsi="Times New Roman" w:cs="Times New Roman"/>
                <w:i/>
              </w:rPr>
              <w:t>Probe: Are you satisfied / dissatisfied? Why?</w:t>
            </w:r>
          </w:p>
        </w:tc>
      </w:tr>
      <w:tr w:rsidR="00C714D3" w:rsidRPr="00E869A4" w14:paraId="534FCE0F" w14:textId="77777777" w:rsidTr="008D1352">
        <w:trPr>
          <w:jc w:val="center"/>
        </w:trPr>
        <w:tc>
          <w:tcPr>
            <w:tcW w:w="9438" w:type="dxa"/>
            <w:gridSpan w:val="2"/>
          </w:tcPr>
          <w:p w14:paraId="7CB3D09B" w14:textId="77777777" w:rsidR="00D1584C" w:rsidRPr="00E869A4" w:rsidRDefault="00D1584C" w:rsidP="00A35FF8">
            <w:pPr>
              <w:rPr>
                <w:rFonts w:ascii="Times New Roman" w:hAnsi="Times New Roman" w:cs="Times New Roman"/>
                <w:i/>
                <w:u w:val="single"/>
              </w:rPr>
            </w:pPr>
          </w:p>
          <w:p w14:paraId="1956D54E" w14:textId="77777777" w:rsidR="00D1584C" w:rsidRPr="00E869A4" w:rsidRDefault="00D1584C" w:rsidP="00C07CE0">
            <w:pPr>
              <w:rPr>
                <w:b/>
                <w:u w:val="single"/>
              </w:rPr>
            </w:pPr>
            <w:r w:rsidRPr="00E869A4">
              <w:rPr>
                <w:b/>
                <w:u w:val="single"/>
              </w:rPr>
              <w:t>Other Forms of Support</w:t>
            </w:r>
          </w:p>
          <w:p w14:paraId="3341C2B7" w14:textId="77777777" w:rsidR="00D1584C" w:rsidRPr="00E869A4" w:rsidRDefault="00D1584C" w:rsidP="00A35FF8">
            <w:pPr>
              <w:rPr>
                <w:rFonts w:ascii="Times New Roman" w:hAnsi="Times New Roman" w:cs="Times New Roman"/>
                <w:b/>
                <w:i/>
              </w:rPr>
            </w:pPr>
          </w:p>
          <w:p w14:paraId="7CD7B4DA"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rPr>
              <w:t>The next set of questions focus on the types of services or external support you may (or may not) have accessed to help meet your care needs.</w:t>
            </w:r>
          </w:p>
          <w:p w14:paraId="7A420F3F" w14:textId="77777777" w:rsidR="00D1584C" w:rsidRPr="00E869A4" w:rsidRDefault="00D1584C" w:rsidP="00A35FF8">
            <w:pPr>
              <w:rPr>
                <w:rFonts w:ascii="Times New Roman" w:hAnsi="Times New Roman" w:cs="Times New Roman"/>
                <w:i/>
                <w:u w:val="single"/>
              </w:rPr>
            </w:pPr>
          </w:p>
        </w:tc>
      </w:tr>
      <w:tr w:rsidR="00C714D3" w:rsidRPr="00E869A4" w14:paraId="0708EDD7" w14:textId="77777777" w:rsidTr="008D1352">
        <w:trPr>
          <w:jc w:val="center"/>
        </w:trPr>
        <w:tc>
          <w:tcPr>
            <w:tcW w:w="959" w:type="dxa"/>
          </w:tcPr>
          <w:p w14:paraId="37A0FE20" w14:textId="77777777" w:rsidR="00D1584C" w:rsidRPr="00E869A4" w:rsidRDefault="00D1584C" w:rsidP="00A35FF8">
            <w:pPr>
              <w:rPr>
                <w:rFonts w:ascii="Times New Roman" w:hAnsi="Times New Roman" w:cs="Times New Roman"/>
              </w:rPr>
            </w:pPr>
          </w:p>
          <w:p w14:paraId="3641E1F3" w14:textId="77777777" w:rsidR="00D1584C" w:rsidRPr="00E869A4" w:rsidRDefault="00D1584C" w:rsidP="00A35FF8">
            <w:pPr>
              <w:rPr>
                <w:rFonts w:ascii="Times New Roman" w:hAnsi="Times New Roman" w:cs="Times New Roman"/>
              </w:rPr>
            </w:pPr>
          </w:p>
          <w:p w14:paraId="1885F654" w14:textId="77777777" w:rsidR="00D1584C" w:rsidRPr="00E869A4" w:rsidRDefault="00D1584C" w:rsidP="00A35FF8">
            <w:pPr>
              <w:rPr>
                <w:rFonts w:ascii="Times New Roman" w:hAnsi="Times New Roman" w:cs="Times New Roman"/>
              </w:rPr>
            </w:pPr>
          </w:p>
          <w:p w14:paraId="6647C031" w14:textId="77777777" w:rsidR="00D1584C" w:rsidRPr="00E869A4" w:rsidRDefault="00D1584C" w:rsidP="00A35FF8">
            <w:pPr>
              <w:rPr>
                <w:rFonts w:ascii="Times New Roman" w:hAnsi="Times New Roman" w:cs="Times New Roman"/>
              </w:rPr>
            </w:pPr>
          </w:p>
          <w:p w14:paraId="69A5032C"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CR/C</w:t>
            </w:r>
          </w:p>
          <w:p w14:paraId="7A7793FC" w14:textId="77777777" w:rsidR="00D1584C" w:rsidRPr="00E869A4" w:rsidRDefault="00D1584C" w:rsidP="00A35FF8">
            <w:pPr>
              <w:rPr>
                <w:rFonts w:ascii="Times New Roman" w:hAnsi="Times New Roman" w:cs="Times New Roman"/>
              </w:rPr>
            </w:pPr>
          </w:p>
        </w:tc>
        <w:tc>
          <w:tcPr>
            <w:tcW w:w="8479" w:type="dxa"/>
          </w:tcPr>
          <w:p w14:paraId="5875250E" w14:textId="77777777" w:rsidR="00D1584C" w:rsidRPr="00E869A4" w:rsidRDefault="00D1584C" w:rsidP="00A35FF8">
            <w:pPr>
              <w:rPr>
                <w:rFonts w:ascii="Times New Roman" w:hAnsi="Times New Roman" w:cs="Times New Roman"/>
                <w:i/>
                <w:u w:val="single"/>
              </w:rPr>
            </w:pPr>
          </w:p>
          <w:p w14:paraId="211B6354" w14:textId="77777777" w:rsidR="00D1584C" w:rsidRPr="00E869A4" w:rsidRDefault="00D1584C" w:rsidP="00A35FF8">
            <w:pPr>
              <w:rPr>
                <w:rFonts w:ascii="Times New Roman" w:hAnsi="Times New Roman" w:cs="Times New Roman"/>
                <w:i/>
                <w:u w:val="single"/>
              </w:rPr>
            </w:pPr>
          </w:p>
          <w:p w14:paraId="32BE4DCE" w14:textId="77777777" w:rsidR="00D1584C" w:rsidRPr="00E869A4" w:rsidRDefault="00D1584C" w:rsidP="00A35FF8">
            <w:pPr>
              <w:rPr>
                <w:rFonts w:ascii="Times New Roman" w:hAnsi="Times New Roman" w:cs="Times New Roman"/>
                <w:i/>
                <w:u w:val="single"/>
              </w:rPr>
            </w:pPr>
          </w:p>
          <w:p w14:paraId="49BBABD5" w14:textId="77777777" w:rsidR="00D1584C" w:rsidRPr="00E869A4" w:rsidRDefault="00D1584C" w:rsidP="00A35FF8">
            <w:pPr>
              <w:rPr>
                <w:rFonts w:ascii="Times New Roman" w:hAnsi="Times New Roman" w:cs="Times New Roman"/>
                <w:i/>
              </w:rPr>
            </w:pPr>
            <w:r w:rsidRPr="00E869A4">
              <w:rPr>
                <w:rFonts w:ascii="Times New Roman" w:hAnsi="Times New Roman" w:cs="Times New Roman"/>
              </w:rPr>
              <w:t xml:space="preserve">What services do you think persons providing care to frail older family members should receive? </w:t>
            </w:r>
            <w:r w:rsidRPr="00E869A4">
              <w:rPr>
                <w:rFonts w:ascii="Times New Roman" w:hAnsi="Times New Roman" w:cs="Times New Roman"/>
                <w:i/>
              </w:rPr>
              <w:t>Who should be responsible for providing these services?</w:t>
            </w:r>
            <w:r w:rsidRPr="00E869A4">
              <w:rPr>
                <w:rFonts w:ascii="Times New Roman" w:hAnsi="Times New Roman" w:cs="Times New Roman"/>
              </w:rPr>
              <w:t xml:space="preserve"> (e.g. public / private / civic / religious or faith-based agency? </w:t>
            </w:r>
            <w:r w:rsidRPr="00E869A4">
              <w:rPr>
                <w:rFonts w:ascii="Times New Roman" w:hAnsi="Times New Roman" w:cs="Times New Roman"/>
                <w:i/>
              </w:rPr>
              <w:t xml:space="preserve">Why? Please give a </w:t>
            </w:r>
            <w:r w:rsidRPr="00E869A4">
              <w:rPr>
                <w:rFonts w:ascii="Times New Roman" w:hAnsi="Times New Roman" w:cs="Times New Roman"/>
                <w:i/>
              </w:rPr>
              <w:lastRenderedPageBreak/>
              <w:t>reason(s) for your answer / Why?</w:t>
            </w:r>
          </w:p>
          <w:p w14:paraId="3FBBD59B" w14:textId="77777777" w:rsidR="00D1584C" w:rsidRPr="00E869A4" w:rsidRDefault="00D1584C" w:rsidP="00A35FF8">
            <w:pPr>
              <w:rPr>
                <w:rFonts w:ascii="Times New Roman" w:hAnsi="Times New Roman" w:cs="Times New Roman"/>
                <w:i/>
                <w:u w:val="single"/>
              </w:rPr>
            </w:pPr>
          </w:p>
          <w:p w14:paraId="23FE833C"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u w:val="single"/>
              </w:rPr>
              <w:t>Instruction</w:t>
            </w:r>
            <w:r w:rsidRPr="00E869A4">
              <w:rPr>
                <w:rFonts w:ascii="Times New Roman" w:hAnsi="Times New Roman" w:cs="Times New Roman"/>
                <w:i/>
              </w:rPr>
              <w:t>: Refer to Flash Card B</w:t>
            </w:r>
          </w:p>
          <w:p w14:paraId="75FD6C29" w14:textId="77777777" w:rsidR="00D1584C" w:rsidRPr="00E869A4" w:rsidRDefault="00D1584C" w:rsidP="00A35FF8">
            <w:pPr>
              <w:rPr>
                <w:rFonts w:ascii="Times New Roman" w:hAnsi="Times New Roman" w:cs="Times New Roman"/>
              </w:rPr>
            </w:pPr>
          </w:p>
          <w:p w14:paraId="162B5928"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Did you or a family member/friend access any of the following types of services to help with the care needs you mentioned (refer to Flash Card A if necessary) either from:</w:t>
            </w:r>
          </w:p>
          <w:p w14:paraId="18081B8A" w14:textId="77777777" w:rsidR="00D1584C" w:rsidRPr="00E869A4" w:rsidRDefault="00D1584C" w:rsidP="009D4C5D">
            <w:pPr>
              <w:numPr>
                <w:ilvl w:val="0"/>
                <w:numId w:val="17"/>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A Government agency e.g. Geriatric Apprenticeship Programme, GAP; CDAP; Old Age Pension; Division of Ageing, Ministry of Health?</w:t>
            </w:r>
          </w:p>
          <w:p w14:paraId="0A1545F7" w14:textId="77777777" w:rsidR="00D1584C" w:rsidRPr="00E869A4" w:rsidRDefault="00D1584C" w:rsidP="009D4C5D">
            <w:pPr>
              <w:numPr>
                <w:ilvl w:val="0"/>
                <w:numId w:val="17"/>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Voluntary, religious, or community based organizations?</w:t>
            </w:r>
          </w:p>
          <w:p w14:paraId="6D29DD7C" w14:textId="77777777" w:rsidR="00D1584C" w:rsidRPr="00E869A4" w:rsidRDefault="00D1584C" w:rsidP="009D4C5D">
            <w:pPr>
              <w:numPr>
                <w:ilvl w:val="0"/>
                <w:numId w:val="17"/>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Private agency/individual which requires payment for services?</w:t>
            </w:r>
          </w:p>
          <w:p w14:paraId="7A22C632"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(*If yes) Please tell me about the service(s) you obtained including how you went about getting it. </w:t>
            </w:r>
          </w:p>
          <w:p w14:paraId="231A5896" w14:textId="77777777" w:rsidR="00D1584C" w:rsidRPr="00E869A4" w:rsidRDefault="00D1584C" w:rsidP="00A35FF8">
            <w:pPr>
              <w:rPr>
                <w:rFonts w:ascii="Times New Roman" w:hAnsi="Times New Roman" w:cs="Times New Roman"/>
              </w:rPr>
            </w:pPr>
            <w:r w:rsidRPr="00E869A4">
              <w:rPr>
                <w:rFonts w:ascii="Times New Roman" w:hAnsi="Times New Roman" w:cs="Times New Roman"/>
                <w:i/>
              </w:rPr>
              <w:t>Probe: Which activity/activities? What type of assistance did you receive? How was this assistance organised e.g. How did you identify a service provider? Who made the arrangements? (If payment was made) Who paid?; Over what period of time did you receive this assistance? (When did you begin to get help from this service? How long did you receive assistance?) Approximately how much did you pay for the service(s)? How do you feel about the service/assistance you receive(d)?</w:t>
            </w:r>
          </w:p>
          <w:p w14:paraId="44C5460A" w14:textId="77777777" w:rsidR="00D1584C" w:rsidRPr="00E869A4" w:rsidRDefault="00D1584C" w:rsidP="00A35FF8">
            <w:pPr>
              <w:rPr>
                <w:rFonts w:ascii="Times New Roman" w:hAnsi="Times New Roman" w:cs="Times New Roman"/>
              </w:rPr>
            </w:pPr>
            <w:r w:rsidRPr="00E869A4">
              <w:rPr>
                <w:rFonts w:ascii="Times New Roman" w:hAnsi="Times New Roman" w:cs="Times New Roman"/>
                <w:i/>
                <w:u w:val="single"/>
              </w:rPr>
              <w:t>Instruction</w:t>
            </w:r>
            <w:r w:rsidRPr="00E869A4">
              <w:rPr>
                <w:rFonts w:ascii="Times New Roman" w:hAnsi="Times New Roman" w:cs="Times New Roman"/>
                <w:i/>
              </w:rPr>
              <w:t>: Refer to Flash Card B i.e. the services that the family did not access prior to the interview</w:t>
            </w:r>
            <w:r w:rsidRPr="00E869A4">
              <w:rPr>
                <w:rFonts w:ascii="Times New Roman" w:hAnsi="Times New Roman" w:cs="Times New Roman"/>
              </w:rPr>
              <w:t xml:space="preserve"> </w:t>
            </w:r>
          </w:p>
          <w:p w14:paraId="5F1CB56A" w14:textId="77777777" w:rsidR="00D1584C" w:rsidRPr="00E869A4" w:rsidRDefault="00D1584C" w:rsidP="00A35FF8">
            <w:pPr>
              <w:rPr>
                <w:rFonts w:ascii="Times New Roman" w:hAnsi="Times New Roman" w:cs="Times New Roman"/>
                <w:i/>
                <w:u w:val="single"/>
              </w:rPr>
            </w:pPr>
          </w:p>
          <w:p w14:paraId="6B687DCB"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Should the following services be provided to family caregivers? Which of these services would you like to receive in future? </w:t>
            </w:r>
          </w:p>
          <w:p w14:paraId="22AED03B"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rPr>
              <w:t>Please give a reason(s) for your answer / Why? Who should be responsible for providing these services?</w:t>
            </w:r>
            <w:r w:rsidRPr="00E869A4">
              <w:rPr>
                <w:rFonts w:ascii="Times New Roman" w:hAnsi="Times New Roman" w:cs="Times New Roman"/>
              </w:rPr>
              <w:t xml:space="preserve"> (e.g. public / private / civic / religious or faith-based agency? </w:t>
            </w:r>
            <w:r w:rsidRPr="00E869A4">
              <w:rPr>
                <w:rFonts w:ascii="Times New Roman" w:hAnsi="Times New Roman" w:cs="Times New Roman"/>
                <w:i/>
              </w:rPr>
              <w:t xml:space="preserve">Why? </w:t>
            </w:r>
          </w:p>
          <w:p w14:paraId="27772819" w14:textId="77777777" w:rsidR="00D1584C" w:rsidRPr="00E869A4" w:rsidRDefault="00D1584C" w:rsidP="00A35FF8">
            <w:pPr>
              <w:rPr>
                <w:rFonts w:ascii="Times New Roman" w:hAnsi="Times New Roman" w:cs="Times New Roman"/>
              </w:rPr>
            </w:pPr>
          </w:p>
          <w:p w14:paraId="214A178F"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Please rank these services from most important to least important. Please explain your decision.</w:t>
            </w:r>
          </w:p>
          <w:p w14:paraId="32767F93" w14:textId="77777777" w:rsidR="00D1584C" w:rsidRPr="00E869A4" w:rsidRDefault="00D1584C" w:rsidP="00A35FF8">
            <w:pPr>
              <w:rPr>
                <w:rFonts w:ascii="Times New Roman" w:hAnsi="Times New Roman" w:cs="Times New Roman"/>
              </w:rPr>
            </w:pPr>
          </w:p>
        </w:tc>
      </w:tr>
      <w:tr w:rsidR="00C714D3" w:rsidRPr="00E869A4" w14:paraId="37A5E51C" w14:textId="77777777" w:rsidTr="008D1352">
        <w:trPr>
          <w:jc w:val="center"/>
        </w:trPr>
        <w:tc>
          <w:tcPr>
            <w:tcW w:w="959" w:type="dxa"/>
          </w:tcPr>
          <w:p w14:paraId="7C9916DC"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lastRenderedPageBreak/>
              <w:t>CR/C</w:t>
            </w:r>
          </w:p>
        </w:tc>
        <w:tc>
          <w:tcPr>
            <w:tcW w:w="8479" w:type="dxa"/>
          </w:tcPr>
          <w:p w14:paraId="180EFA3F"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Do you participate in activities with any organizations or groups e.g. religious organizations (church, mosque), clubs (TTARP, village council, senior activities centre, charity)? </w:t>
            </w:r>
          </w:p>
          <w:p w14:paraId="11A31456" w14:textId="77777777" w:rsidR="00D1584C" w:rsidRPr="00E869A4" w:rsidRDefault="00D1584C" w:rsidP="00A35FF8">
            <w:pPr>
              <w:rPr>
                <w:rFonts w:ascii="Times New Roman" w:hAnsi="Times New Roman" w:cs="Times New Roman"/>
              </w:rPr>
            </w:pPr>
          </w:p>
          <w:p w14:paraId="384FEBBA"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(*If yes) What is your position in these groups? (member, organizer, adviser) What specific activities do you participate in? How often do you participate in these activities? How long have you been a member of these groups? How does your involvement in these groups impact on your overall wellbeing? </w:t>
            </w:r>
          </w:p>
          <w:p w14:paraId="6D131928"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u w:val="single"/>
              </w:rPr>
              <w:t>Instruction</w:t>
            </w:r>
            <w:r w:rsidRPr="00E869A4">
              <w:rPr>
                <w:rFonts w:ascii="Times New Roman" w:hAnsi="Times New Roman" w:cs="Times New Roman"/>
                <w:i/>
              </w:rPr>
              <w:t>: Refer to flash card A</w:t>
            </w:r>
          </w:p>
          <w:p w14:paraId="10B90487" w14:textId="77777777" w:rsidR="00D1584C" w:rsidRPr="00E869A4" w:rsidRDefault="00D1584C" w:rsidP="00A35FF8">
            <w:pPr>
              <w:rPr>
                <w:rFonts w:ascii="Times New Roman" w:hAnsi="Times New Roman" w:cs="Times New Roman"/>
                <w:i/>
              </w:rPr>
            </w:pPr>
          </w:p>
          <w:p w14:paraId="24EF5F39"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Does your participation/membership in these groups help in any way with these activities? How so?</w:t>
            </w:r>
          </w:p>
          <w:p w14:paraId="0E24DFAF" w14:textId="77777777" w:rsidR="00D1584C" w:rsidRPr="00E869A4" w:rsidRDefault="00D1584C" w:rsidP="00A35FF8">
            <w:pPr>
              <w:rPr>
                <w:rFonts w:ascii="Times New Roman" w:hAnsi="Times New Roman" w:cs="Times New Roman"/>
              </w:rPr>
            </w:pPr>
          </w:p>
        </w:tc>
      </w:tr>
      <w:tr w:rsidR="00C714D3" w:rsidRPr="00E869A4" w14:paraId="40902D0F" w14:textId="77777777" w:rsidTr="008D1352">
        <w:trPr>
          <w:jc w:val="center"/>
        </w:trPr>
        <w:tc>
          <w:tcPr>
            <w:tcW w:w="9438" w:type="dxa"/>
            <w:gridSpan w:val="2"/>
          </w:tcPr>
          <w:p w14:paraId="72534746" w14:textId="77777777" w:rsidR="00D1584C" w:rsidRPr="00E869A4" w:rsidRDefault="00D1584C" w:rsidP="00A35FF8">
            <w:pPr>
              <w:rPr>
                <w:rFonts w:ascii="Times New Roman" w:hAnsi="Times New Roman" w:cs="Times New Roman"/>
                <w:b/>
              </w:rPr>
            </w:pPr>
          </w:p>
          <w:p w14:paraId="7FE23C0A" w14:textId="77777777" w:rsidR="00D1584C" w:rsidRPr="00E869A4" w:rsidRDefault="00D1584C" w:rsidP="009D4C5D">
            <w:pPr>
              <w:numPr>
                <w:ilvl w:val="0"/>
                <w:numId w:val="73"/>
              </w:numPr>
              <w:pBdr>
                <w:top w:val="nil"/>
                <w:left w:val="nil"/>
                <w:bottom w:val="nil"/>
                <w:right w:val="nil"/>
                <w:between w:val="nil"/>
              </w:pBdr>
              <w:rPr>
                <w:rFonts w:ascii="Times New Roman" w:hAnsi="Times New Roman" w:cs="Times New Roman"/>
                <w:b/>
              </w:rPr>
            </w:pPr>
            <w:r w:rsidRPr="00E869A4">
              <w:rPr>
                <w:rFonts w:ascii="Times New Roman" w:hAnsi="Times New Roman" w:cs="Times New Roman"/>
                <w:b/>
              </w:rPr>
              <w:t>Terminology</w:t>
            </w:r>
          </w:p>
          <w:p w14:paraId="25265654" w14:textId="77777777" w:rsidR="00D1584C" w:rsidRPr="00E869A4" w:rsidRDefault="00D1584C" w:rsidP="00A35FF8">
            <w:pPr>
              <w:rPr>
                <w:rFonts w:ascii="Times New Roman" w:hAnsi="Times New Roman" w:cs="Times New Roman"/>
                <w:i/>
              </w:rPr>
            </w:pPr>
          </w:p>
          <w:p w14:paraId="4ACA9062"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rPr>
              <w:t>Now I’d like to get your views on how you would like to be referred to by service providers and designers.</w:t>
            </w:r>
          </w:p>
          <w:p w14:paraId="5811DE76" w14:textId="77777777" w:rsidR="00D1584C" w:rsidRPr="00E869A4" w:rsidRDefault="00D1584C" w:rsidP="00A35FF8">
            <w:pPr>
              <w:rPr>
                <w:rFonts w:ascii="Times New Roman" w:hAnsi="Times New Roman" w:cs="Times New Roman"/>
                <w:i/>
              </w:rPr>
            </w:pPr>
          </w:p>
        </w:tc>
      </w:tr>
      <w:tr w:rsidR="00C714D3" w:rsidRPr="00E869A4" w14:paraId="0F6D348C" w14:textId="77777777" w:rsidTr="008D1352">
        <w:trPr>
          <w:jc w:val="center"/>
        </w:trPr>
        <w:tc>
          <w:tcPr>
            <w:tcW w:w="959" w:type="dxa"/>
          </w:tcPr>
          <w:p w14:paraId="761D6A45"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w:t>
            </w:r>
          </w:p>
        </w:tc>
        <w:tc>
          <w:tcPr>
            <w:tcW w:w="8479" w:type="dxa"/>
          </w:tcPr>
          <w:p w14:paraId="6182C064"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Professionals might call you a carer or caregiver – how would you describe yourself? Would you consider applying either of these terms to yourself?</w:t>
            </w:r>
          </w:p>
          <w:p w14:paraId="701BA8BF" w14:textId="77777777" w:rsidR="00D1584C" w:rsidRPr="00E869A4" w:rsidRDefault="00D1584C" w:rsidP="00A35FF8">
            <w:pPr>
              <w:rPr>
                <w:rFonts w:ascii="Times New Roman" w:hAnsi="Times New Roman" w:cs="Times New Roman"/>
              </w:rPr>
            </w:pPr>
          </w:p>
          <w:p w14:paraId="7025A138"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 </w:t>
            </w:r>
            <w:r w:rsidRPr="00E869A4">
              <w:rPr>
                <w:rFonts w:ascii="Times New Roman" w:hAnsi="Times New Roman" w:cs="Times New Roman"/>
                <w:i/>
              </w:rPr>
              <w:t>(*If yes</w:t>
            </w:r>
            <w:r w:rsidRPr="00E869A4">
              <w:rPr>
                <w:rFonts w:ascii="Times New Roman" w:hAnsi="Times New Roman" w:cs="Times New Roman"/>
              </w:rPr>
              <w:t>) which one? How would you define a ..............................................?</w:t>
            </w:r>
          </w:p>
          <w:p w14:paraId="6EA6C8AB" w14:textId="77777777" w:rsidR="00D1584C" w:rsidRPr="00E869A4" w:rsidRDefault="00D1584C" w:rsidP="00A35FF8">
            <w:pPr>
              <w:rPr>
                <w:rFonts w:ascii="Times New Roman" w:hAnsi="Times New Roman" w:cs="Times New Roman"/>
              </w:rPr>
            </w:pPr>
          </w:p>
        </w:tc>
      </w:tr>
      <w:tr w:rsidR="00C714D3" w:rsidRPr="00E869A4" w14:paraId="7F40ACC6" w14:textId="77777777" w:rsidTr="008D1352">
        <w:trPr>
          <w:jc w:val="center"/>
        </w:trPr>
        <w:tc>
          <w:tcPr>
            <w:tcW w:w="959" w:type="dxa"/>
          </w:tcPr>
          <w:p w14:paraId="6B858C0A"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w:t>
            </w:r>
          </w:p>
        </w:tc>
        <w:tc>
          <w:tcPr>
            <w:tcW w:w="8479" w:type="dxa"/>
          </w:tcPr>
          <w:p w14:paraId="7D5A49C6" w14:textId="32C827E9"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Professionals may refer to you as a </w:t>
            </w:r>
            <w:r w:rsidR="009E2738" w:rsidRPr="00E869A4">
              <w:rPr>
                <w:rFonts w:ascii="Times New Roman" w:hAnsi="Times New Roman" w:cs="Times New Roman"/>
              </w:rPr>
              <w:t>care recipient</w:t>
            </w:r>
            <w:r w:rsidRPr="00E869A4">
              <w:rPr>
                <w:rFonts w:ascii="Times New Roman" w:hAnsi="Times New Roman" w:cs="Times New Roman"/>
              </w:rPr>
              <w:t xml:space="preserve"> or </w:t>
            </w:r>
            <w:proofErr w:type="spellStart"/>
            <w:r w:rsidRPr="00E869A4">
              <w:rPr>
                <w:rFonts w:ascii="Times New Roman" w:hAnsi="Times New Roman" w:cs="Times New Roman"/>
              </w:rPr>
              <w:t>caree</w:t>
            </w:r>
            <w:proofErr w:type="spellEnd"/>
            <w:r w:rsidRPr="00E869A4">
              <w:rPr>
                <w:rFonts w:ascii="Times New Roman" w:hAnsi="Times New Roman" w:cs="Times New Roman"/>
              </w:rPr>
              <w:t xml:space="preserve"> – how would you describe yourself? Would you consider applying any of these terms to yourself?</w:t>
            </w:r>
          </w:p>
          <w:p w14:paraId="0BCD31BC" w14:textId="77777777" w:rsidR="00D1584C" w:rsidRPr="00E869A4" w:rsidRDefault="00D1584C" w:rsidP="00A35FF8">
            <w:pPr>
              <w:rPr>
                <w:rFonts w:ascii="Times New Roman" w:hAnsi="Times New Roman" w:cs="Times New Roman"/>
              </w:rPr>
            </w:pPr>
          </w:p>
          <w:p w14:paraId="59F9B610"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 </w:t>
            </w:r>
            <w:r w:rsidRPr="00E869A4">
              <w:rPr>
                <w:rFonts w:ascii="Times New Roman" w:hAnsi="Times New Roman" w:cs="Times New Roman"/>
                <w:i/>
              </w:rPr>
              <w:t>(*If yes</w:t>
            </w:r>
            <w:r w:rsidRPr="00E869A4">
              <w:rPr>
                <w:rFonts w:ascii="Times New Roman" w:hAnsi="Times New Roman" w:cs="Times New Roman"/>
              </w:rPr>
              <w:t>) which one? How would you define a ..............................................?</w:t>
            </w:r>
          </w:p>
          <w:p w14:paraId="5BCA6990" w14:textId="77777777" w:rsidR="00D1584C" w:rsidRPr="00E869A4" w:rsidRDefault="00D1584C" w:rsidP="00A35FF8">
            <w:pPr>
              <w:rPr>
                <w:rFonts w:ascii="Times New Roman" w:hAnsi="Times New Roman" w:cs="Times New Roman"/>
              </w:rPr>
            </w:pPr>
          </w:p>
        </w:tc>
      </w:tr>
      <w:tr w:rsidR="00C714D3" w:rsidRPr="00E869A4" w14:paraId="4A7EB8C8" w14:textId="77777777" w:rsidTr="008D1352">
        <w:trPr>
          <w:jc w:val="center"/>
        </w:trPr>
        <w:tc>
          <w:tcPr>
            <w:tcW w:w="959" w:type="dxa"/>
          </w:tcPr>
          <w:p w14:paraId="6F31249C"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lastRenderedPageBreak/>
              <w:t>C</w:t>
            </w:r>
          </w:p>
        </w:tc>
        <w:tc>
          <w:tcPr>
            <w:tcW w:w="8479" w:type="dxa"/>
          </w:tcPr>
          <w:p w14:paraId="4B56581A"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If I were to refer to persons of similar age to you, which of the following terms do you prefer me to use:  older person, elderly, senior citizen? Is there any other term that you would like me to use? Why do you prefer this?</w:t>
            </w:r>
          </w:p>
        </w:tc>
      </w:tr>
      <w:tr w:rsidR="00C714D3" w:rsidRPr="00E869A4" w14:paraId="08F91C29" w14:textId="77777777" w:rsidTr="008D1352">
        <w:trPr>
          <w:jc w:val="center"/>
        </w:trPr>
        <w:tc>
          <w:tcPr>
            <w:tcW w:w="959" w:type="dxa"/>
          </w:tcPr>
          <w:p w14:paraId="7A83BA9A"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CR/C</w:t>
            </w:r>
          </w:p>
        </w:tc>
        <w:tc>
          <w:tcPr>
            <w:tcW w:w="8479" w:type="dxa"/>
          </w:tcPr>
          <w:p w14:paraId="2A9AA001"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Is there anything you would like to add? Do you have any questions?</w:t>
            </w:r>
          </w:p>
        </w:tc>
      </w:tr>
      <w:tr w:rsidR="00C714D3" w:rsidRPr="00E869A4" w14:paraId="4A3F173A" w14:textId="77777777" w:rsidTr="008D1352">
        <w:trPr>
          <w:jc w:val="center"/>
        </w:trPr>
        <w:tc>
          <w:tcPr>
            <w:tcW w:w="9438" w:type="dxa"/>
            <w:gridSpan w:val="2"/>
          </w:tcPr>
          <w:p w14:paraId="57BA038C" w14:textId="77777777" w:rsidR="00D1584C" w:rsidRPr="00E869A4" w:rsidRDefault="00D1584C" w:rsidP="00A35FF8">
            <w:pPr>
              <w:ind w:left="720" w:hanging="720"/>
              <w:rPr>
                <w:rFonts w:ascii="Times New Roman" w:hAnsi="Times New Roman" w:cs="Times New Roman"/>
                <w:i/>
              </w:rPr>
            </w:pPr>
          </w:p>
          <w:p w14:paraId="1626E39C" w14:textId="77777777" w:rsidR="00D1584C" w:rsidRPr="00E869A4" w:rsidRDefault="00D1584C" w:rsidP="00A35FF8">
            <w:pPr>
              <w:ind w:left="720" w:hanging="720"/>
              <w:rPr>
                <w:rFonts w:ascii="Times New Roman" w:hAnsi="Times New Roman" w:cs="Times New Roman"/>
                <w:i/>
              </w:rPr>
            </w:pPr>
            <w:r w:rsidRPr="00E869A4">
              <w:rPr>
                <w:rFonts w:ascii="Times New Roman" w:hAnsi="Times New Roman" w:cs="Times New Roman"/>
                <w:i/>
              </w:rPr>
              <w:t>Thank participants for their time and arrange the time and place of the next meeting.</w:t>
            </w:r>
          </w:p>
          <w:p w14:paraId="6CF691AA" w14:textId="77777777" w:rsidR="00D1584C" w:rsidRPr="00E869A4" w:rsidRDefault="00D1584C" w:rsidP="00A35FF8">
            <w:pPr>
              <w:ind w:left="720" w:hanging="720"/>
              <w:rPr>
                <w:rFonts w:ascii="Times New Roman" w:hAnsi="Times New Roman" w:cs="Times New Roman"/>
                <w:i/>
              </w:rPr>
            </w:pPr>
          </w:p>
        </w:tc>
      </w:tr>
    </w:tbl>
    <w:p w14:paraId="2AF7C4DB" w14:textId="2B8D1011" w:rsidR="00D1584C" w:rsidRPr="00E869A4" w:rsidRDefault="00D1584C" w:rsidP="008A5F7E">
      <w:pPr>
        <w:ind w:firstLine="0"/>
        <w:jc w:val="center"/>
        <w:rPr>
          <w:rFonts w:ascii="Times New Roman" w:eastAsiaTheme="majorEastAsia" w:hAnsi="Times New Roman" w:cs="Times New Roman"/>
          <w:b/>
          <w:iCs/>
          <w:szCs w:val="28"/>
          <w:u w:val="single"/>
        </w:rPr>
      </w:pPr>
      <w:r w:rsidRPr="00E869A4">
        <w:rPr>
          <w:rFonts w:ascii="Times New Roman" w:hAnsi="Times New Roman" w:cs="Times New Roman"/>
        </w:rPr>
        <w:br w:type="page"/>
      </w:r>
      <w:bookmarkStart w:id="469" w:name="_147n2zr" w:colFirst="0" w:colLast="0"/>
      <w:bookmarkEnd w:id="469"/>
      <w:r w:rsidRPr="00E869A4">
        <w:rPr>
          <w:rFonts w:ascii="Times New Roman" w:eastAsiaTheme="majorEastAsia" w:hAnsi="Times New Roman" w:cs="Times New Roman"/>
          <w:b/>
          <w:iCs/>
          <w:szCs w:val="28"/>
          <w:u w:val="single"/>
        </w:rPr>
        <w:lastRenderedPageBreak/>
        <w:t>FLASH CARD A – CAREGIVING SUPPORT ACTIVITIES</w:t>
      </w:r>
    </w:p>
    <w:p w14:paraId="7E47CDB6" w14:textId="77777777" w:rsidR="00D1584C" w:rsidRPr="00E869A4" w:rsidRDefault="00D1584C" w:rsidP="00A35FF8">
      <w:pPr>
        <w:rPr>
          <w:rFonts w:ascii="Times New Roman" w:hAnsi="Times New Roman" w:cs="Times New Roman"/>
        </w:rPr>
      </w:pPr>
    </w:p>
    <w:tbl>
      <w:tblPr>
        <w:tblW w:w="9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8"/>
        <w:gridCol w:w="4111"/>
        <w:gridCol w:w="2302"/>
      </w:tblGrid>
      <w:tr w:rsidR="00C714D3" w:rsidRPr="00E869A4" w14:paraId="52DA187B" w14:textId="77777777" w:rsidTr="005C18A7">
        <w:trPr>
          <w:trHeight w:val="680"/>
          <w:tblHeader/>
          <w:jc w:val="center"/>
        </w:trPr>
        <w:tc>
          <w:tcPr>
            <w:tcW w:w="6899" w:type="dxa"/>
            <w:gridSpan w:val="2"/>
            <w:vAlign w:val="center"/>
          </w:tcPr>
          <w:p w14:paraId="23ABBC40" w14:textId="77777777" w:rsidR="00D1584C" w:rsidRPr="00E869A4" w:rsidRDefault="00D1584C" w:rsidP="005C18A7">
            <w:pPr>
              <w:ind w:firstLine="0"/>
              <w:jc w:val="center"/>
              <w:rPr>
                <w:rFonts w:ascii="Times New Roman" w:hAnsi="Times New Roman" w:cs="Times New Roman"/>
                <w:b/>
                <w:smallCaps/>
              </w:rPr>
            </w:pPr>
            <w:r w:rsidRPr="00E869A4">
              <w:rPr>
                <w:rFonts w:ascii="Times New Roman" w:hAnsi="Times New Roman" w:cs="Times New Roman"/>
                <w:b/>
                <w:smallCaps/>
              </w:rPr>
              <w:t>ACTIVITY</w:t>
            </w:r>
          </w:p>
        </w:tc>
        <w:tc>
          <w:tcPr>
            <w:tcW w:w="2302" w:type="dxa"/>
            <w:vAlign w:val="center"/>
          </w:tcPr>
          <w:p w14:paraId="0E61A3EB" w14:textId="77777777" w:rsidR="00D1584C" w:rsidRPr="00E869A4" w:rsidRDefault="00D1584C" w:rsidP="005C18A7">
            <w:pPr>
              <w:ind w:firstLine="0"/>
              <w:jc w:val="center"/>
              <w:rPr>
                <w:rFonts w:ascii="Times New Roman" w:hAnsi="Times New Roman" w:cs="Times New Roman"/>
                <w:b/>
                <w:smallCaps/>
              </w:rPr>
            </w:pPr>
            <w:r w:rsidRPr="00E869A4">
              <w:rPr>
                <w:rFonts w:ascii="Times New Roman" w:hAnsi="Times New Roman" w:cs="Times New Roman"/>
                <w:b/>
                <w:smallCaps/>
              </w:rPr>
              <w:t>NOTES</w:t>
            </w:r>
          </w:p>
        </w:tc>
      </w:tr>
      <w:tr w:rsidR="00C714D3" w:rsidRPr="00E869A4" w14:paraId="4B1F16BC" w14:textId="77777777" w:rsidTr="008D1352">
        <w:trPr>
          <w:trHeight w:val="2100"/>
          <w:jc w:val="center"/>
        </w:trPr>
        <w:tc>
          <w:tcPr>
            <w:tcW w:w="2788" w:type="dxa"/>
            <w:vAlign w:val="center"/>
          </w:tcPr>
          <w:p w14:paraId="13EA03AC"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Dressing</w:t>
            </w:r>
          </w:p>
        </w:tc>
        <w:tc>
          <w:tcPr>
            <w:tcW w:w="4111" w:type="dxa"/>
            <w:vAlign w:val="center"/>
          </w:tcPr>
          <w:p w14:paraId="139BA0EC"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2F709E92" wp14:editId="0E801BF0">
                  <wp:extent cx="1665467" cy="1533557"/>
                  <wp:effectExtent l="0" t="0" r="0" b="0"/>
                  <wp:docPr id="689" name="image16.jpg" descr="http://www.crestock.com/images/10000-19999/19456-xs.jpg"/>
                  <wp:cNvGraphicFramePr/>
                  <a:graphic xmlns:a="http://schemas.openxmlformats.org/drawingml/2006/main">
                    <a:graphicData uri="http://schemas.openxmlformats.org/drawingml/2006/picture">
                      <pic:pic xmlns:pic="http://schemas.openxmlformats.org/drawingml/2006/picture">
                        <pic:nvPicPr>
                          <pic:cNvPr id="0" name="image16.jpg" descr="http://www.crestock.com/images/10000-19999/19456-xs.jpg"/>
                          <pic:cNvPicPr preferRelativeResize="0"/>
                        </pic:nvPicPr>
                        <pic:blipFill>
                          <a:blip r:embed="rId60" cstate="print"/>
                          <a:srcRect/>
                          <a:stretch>
                            <a:fillRect/>
                          </a:stretch>
                        </pic:blipFill>
                        <pic:spPr>
                          <a:xfrm>
                            <a:off x="0" y="0"/>
                            <a:ext cx="1665467" cy="1533557"/>
                          </a:xfrm>
                          <a:prstGeom prst="rect">
                            <a:avLst/>
                          </a:prstGeom>
                          <a:ln/>
                        </pic:spPr>
                      </pic:pic>
                    </a:graphicData>
                  </a:graphic>
                </wp:inline>
              </w:drawing>
            </w:r>
          </w:p>
        </w:tc>
        <w:tc>
          <w:tcPr>
            <w:tcW w:w="2302" w:type="dxa"/>
            <w:vAlign w:val="center"/>
          </w:tcPr>
          <w:p w14:paraId="5479437E" w14:textId="77777777" w:rsidR="00D1584C" w:rsidRPr="00E869A4" w:rsidRDefault="00D1584C" w:rsidP="00A35FF8">
            <w:pPr>
              <w:rPr>
                <w:rFonts w:ascii="Times New Roman" w:hAnsi="Times New Roman" w:cs="Times New Roman"/>
              </w:rPr>
            </w:pPr>
          </w:p>
        </w:tc>
      </w:tr>
      <w:tr w:rsidR="00C714D3" w:rsidRPr="00E869A4" w14:paraId="3BDE082C" w14:textId="77777777" w:rsidTr="008D1352">
        <w:trPr>
          <w:trHeight w:val="2100"/>
          <w:jc w:val="center"/>
        </w:trPr>
        <w:tc>
          <w:tcPr>
            <w:tcW w:w="2788" w:type="dxa"/>
            <w:vAlign w:val="center"/>
          </w:tcPr>
          <w:p w14:paraId="02B7FB99"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Bathing / Oral Care</w:t>
            </w:r>
          </w:p>
        </w:tc>
        <w:tc>
          <w:tcPr>
            <w:tcW w:w="4111" w:type="dxa"/>
            <w:vAlign w:val="center"/>
          </w:tcPr>
          <w:p w14:paraId="673BD321"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63BC71F2" wp14:editId="4F6C2DC0">
                  <wp:extent cx="1615440" cy="1562100"/>
                  <wp:effectExtent l="0" t="0" r="0" b="0"/>
                  <wp:docPr id="690" name="image15.jpg" descr="http://www.fotosearch.com/bthumb/IMZ/IMZ203/nri0095.jpg"/>
                  <wp:cNvGraphicFramePr/>
                  <a:graphic xmlns:a="http://schemas.openxmlformats.org/drawingml/2006/main">
                    <a:graphicData uri="http://schemas.openxmlformats.org/drawingml/2006/picture">
                      <pic:pic xmlns:pic="http://schemas.openxmlformats.org/drawingml/2006/picture">
                        <pic:nvPicPr>
                          <pic:cNvPr id="0" name="image15.jpg" descr="http://www.fotosearch.com/bthumb/IMZ/IMZ203/nri0095.jpg"/>
                          <pic:cNvPicPr preferRelativeResize="0"/>
                        </pic:nvPicPr>
                        <pic:blipFill>
                          <a:blip r:embed="rId61" cstate="print"/>
                          <a:srcRect/>
                          <a:stretch>
                            <a:fillRect/>
                          </a:stretch>
                        </pic:blipFill>
                        <pic:spPr>
                          <a:xfrm>
                            <a:off x="0" y="0"/>
                            <a:ext cx="1615440" cy="1562100"/>
                          </a:xfrm>
                          <a:prstGeom prst="rect">
                            <a:avLst/>
                          </a:prstGeom>
                          <a:ln/>
                        </pic:spPr>
                      </pic:pic>
                    </a:graphicData>
                  </a:graphic>
                </wp:inline>
              </w:drawing>
            </w:r>
          </w:p>
        </w:tc>
        <w:tc>
          <w:tcPr>
            <w:tcW w:w="2302" w:type="dxa"/>
            <w:vAlign w:val="center"/>
          </w:tcPr>
          <w:p w14:paraId="7D1F7BD1" w14:textId="77777777" w:rsidR="00D1584C" w:rsidRPr="00E869A4" w:rsidRDefault="00D1584C" w:rsidP="00A35FF8">
            <w:pPr>
              <w:rPr>
                <w:rFonts w:ascii="Times New Roman" w:hAnsi="Times New Roman" w:cs="Times New Roman"/>
              </w:rPr>
            </w:pPr>
          </w:p>
        </w:tc>
      </w:tr>
      <w:tr w:rsidR="00C714D3" w:rsidRPr="00E869A4" w14:paraId="1202E688" w14:textId="77777777" w:rsidTr="008D1352">
        <w:trPr>
          <w:trHeight w:val="2100"/>
          <w:jc w:val="center"/>
        </w:trPr>
        <w:tc>
          <w:tcPr>
            <w:tcW w:w="2788" w:type="dxa"/>
            <w:vAlign w:val="center"/>
          </w:tcPr>
          <w:p w14:paraId="4FEC5494"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Eating</w:t>
            </w:r>
          </w:p>
        </w:tc>
        <w:tc>
          <w:tcPr>
            <w:tcW w:w="4111" w:type="dxa"/>
            <w:vAlign w:val="center"/>
          </w:tcPr>
          <w:p w14:paraId="38758E61"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0423FA9E" wp14:editId="73522708">
                  <wp:extent cx="1582645" cy="1636372"/>
                  <wp:effectExtent l="0" t="0" r="0" b="0"/>
                  <wp:docPr id="691" name="image18.gif" descr="http://ofwngayon.com/home/wp-content/uploads/2008/08/caregiver.gif"/>
                  <wp:cNvGraphicFramePr/>
                  <a:graphic xmlns:a="http://schemas.openxmlformats.org/drawingml/2006/main">
                    <a:graphicData uri="http://schemas.openxmlformats.org/drawingml/2006/picture">
                      <pic:pic xmlns:pic="http://schemas.openxmlformats.org/drawingml/2006/picture">
                        <pic:nvPicPr>
                          <pic:cNvPr id="0" name="image18.gif" descr="http://ofwngayon.com/home/wp-content/uploads/2008/08/caregiver.gif"/>
                          <pic:cNvPicPr preferRelativeResize="0"/>
                        </pic:nvPicPr>
                        <pic:blipFill>
                          <a:blip r:embed="rId62" cstate="print"/>
                          <a:srcRect/>
                          <a:stretch>
                            <a:fillRect/>
                          </a:stretch>
                        </pic:blipFill>
                        <pic:spPr>
                          <a:xfrm>
                            <a:off x="0" y="0"/>
                            <a:ext cx="1582645" cy="1636372"/>
                          </a:xfrm>
                          <a:prstGeom prst="rect">
                            <a:avLst/>
                          </a:prstGeom>
                          <a:ln/>
                        </pic:spPr>
                      </pic:pic>
                    </a:graphicData>
                  </a:graphic>
                </wp:inline>
              </w:drawing>
            </w:r>
          </w:p>
        </w:tc>
        <w:tc>
          <w:tcPr>
            <w:tcW w:w="2302" w:type="dxa"/>
            <w:vAlign w:val="center"/>
          </w:tcPr>
          <w:p w14:paraId="10E3E633" w14:textId="77777777" w:rsidR="00D1584C" w:rsidRPr="00E869A4" w:rsidRDefault="00D1584C" w:rsidP="00A35FF8">
            <w:pPr>
              <w:rPr>
                <w:rFonts w:ascii="Times New Roman" w:hAnsi="Times New Roman" w:cs="Times New Roman"/>
              </w:rPr>
            </w:pPr>
          </w:p>
        </w:tc>
      </w:tr>
      <w:tr w:rsidR="00C714D3" w:rsidRPr="00E869A4" w14:paraId="71128F6C" w14:textId="77777777" w:rsidTr="008D1352">
        <w:trPr>
          <w:trHeight w:val="2100"/>
          <w:jc w:val="center"/>
        </w:trPr>
        <w:tc>
          <w:tcPr>
            <w:tcW w:w="2788" w:type="dxa"/>
            <w:vAlign w:val="center"/>
          </w:tcPr>
          <w:p w14:paraId="1452A522"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Walking</w:t>
            </w:r>
          </w:p>
        </w:tc>
        <w:tc>
          <w:tcPr>
            <w:tcW w:w="4111" w:type="dxa"/>
            <w:vAlign w:val="center"/>
          </w:tcPr>
          <w:p w14:paraId="4195C5E5" w14:textId="77777777" w:rsidR="00D1584C" w:rsidRPr="00E869A4" w:rsidRDefault="00D1584C" w:rsidP="00A35FF8">
            <w:pPr>
              <w:rPr>
                <w:rFonts w:ascii="Times New Roman" w:hAnsi="Times New Roman" w:cs="Times New Roman"/>
              </w:rPr>
            </w:pPr>
          </w:p>
          <w:p w14:paraId="29D5B30A"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31B0617B" wp14:editId="56988406">
                  <wp:extent cx="1343152" cy="1397012"/>
                  <wp:effectExtent l="0" t="0" r="0" b="0"/>
                  <wp:docPr id="692" name="image17.jpg" descr="http://ffpnr.org/assets/images/pic_Caregiver.jpg"/>
                  <wp:cNvGraphicFramePr/>
                  <a:graphic xmlns:a="http://schemas.openxmlformats.org/drawingml/2006/main">
                    <a:graphicData uri="http://schemas.openxmlformats.org/drawingml/2006/picture">
                      <pic:pic xmlns:pic="http://schemas.openxmlformats.org/drawingml/2006/picture">
                        <pic:nvPicPr>
                          <pic:cNvPr id="0" name="image17.jpg" descr="http://ffpnr.org/assets/images/pic_Caregiver.jpg"/>
                          <pic:cNvPicPr preferRelativeResize="0"/>
                        </pic:nvPicPr>
                        <pic:blipFill>
                          <a:blip r:embed="rId63" cstate="print"/>
                          <a:srcRect/>
                          <a:stretch>
                            <a:fillRect/>
                          </a:stretch>
                        </pic:blipFill>
                        <pic:spPr>
                          <a:xfrm>
                            <a:off x="0" y="0"/>
                            <a:ext cx="1343152" cy="1397012"/>
                          </a:xfrm>
                          <a:prstGeom prst="rect">
                            <a:avLst/>
                          </a:prstGeom>
                          <a:ln/>
                        </pic:spPr>
                      </pic:pic>
                    </a:graphicData>
                  </a:graphic>
                </wp:inline>
              </w:drawing>
            </w:r>
          </w:p>
          <w:p w14:paraId="0642601A" w14:textId="77777777" w:rsidR="00D1584C" w:rsidRPr="00E869A4" w:rsidRDefault="00D1584C" w:rsidP="00A35FF8">
            <w:pPr>
              <w:rPr>
                <w:rFonts w:ascii="Times New Roman" w:hAnsi="Times New Roman" w:cs="Times New Roman"/>
              </w:rPr>
            </w:pPr>
          </w:p>
        </w:tc>
        <w:tc>
          <w:tcPr>
            <w:tcW w:w="2302" w:type="dxa"/>
            <w:vAlign w:val="center"/>
          </w:tcPr>
          <w:p w14:paraId="3B6D7447" w14:textId="77777777" w:rsidR="00D1584C" w:rsidRPr="00E869A4" w:rsidRDefault="00D1584C" w:rsidP="00A35FF8">
            <w:pPr>
              <w:rPr>
                <w:rFonts w:ascii="Times New Roman" w:hAnsi="Times New Roman" w:cs="Times New Roman"/>
              </w:rPr>
            </w:pPr>
          </w:p>
        </w:tc>
      </w:tr>
      <w:tr w:rsidR="00C714D3" w:rsidRPr="00E869A4" w14:paraId="486F4D20" w14:textId="77777777" w:rsidTr="008D1352">
        <w:trPr>
          <w:trHeight w:val="2100"/>
          <w:jc w:val="center"/>
        </w:trPr>
        <w:tc>
          <w:tcPr>
            <w:tcW w:w="2788" w:type="dxa"/>
            <w:vAlign w:val="center"/>
          </w:tcPr>
          <w:p w14:paraId="701514F2"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lastRenderedPageBreak/>
              <w:t>Toileting</w:t>
            </w:r>
          </w:p>
        </w:tc>
        <w:tc>
          <w:tcPr>
            <w:tcW w:w="4111" w:type="dxa"/>
            <w:vAlign w:val="center"/>
          </w:tcPr>
          <w:p w14:paraId="73D18BB6"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340DB9F0" wp14:editId="0DA30B46">
                  <wp:extent cx="1137948" cy="1336323"/>
                  <wp:effectExtent l="0" t="0" r="0" b="0"/>
                  <wp:docPr id="693" name="image20.jpg" descr="http://www.tpdatlanta.com/images/cartoon_toilet.gif"/>
                  <wp:cNvGraphicFramePr/>
                  <a:graphic xmlns:a="http://schemas.openxmlformats.org/drawingml/2006/main">
                    <a:graphicData uri="http://schemas.openxmlformats.org/drawingml/2006/picture">
                      <pic:pic xmlns:pic="http://schemas.openxmlformats.org/drawingml/2006/picture">
                        <pic:nvPicPr>
                          <pic:cNvPr id="0" name="image20.jpg" descr="http://www.tpdatlanta.com/images/cartoon_toilet.gif"/>
                          <pic:cNvPicPr preferRelativeResize="0"/>
                        </pic:nvPicPr>
                        <pic:blipFill>
                          <a:blip r:embed="rId64" cstate="print"/>
                          <a:srcRect/>
                          <a:stretch>
                            <a:fillRect/>
                          </a:stretch>
                        </pic:blipFill>
                        <pic:spPr>
                          <a:xfrm>
                            <a:off x="0" y="0"/>
                            <a:ext cx="1137948" cy="1336323"/>
                          </a:xfrm>
                          <a:prstGeom prst="rect">
                            <a:avLst/>
                          </a:prstGeom>
                          <a:ln/>
                        </pic:spPr>
                      </pic:pic>
                    </a:graphicData>
                  </a:graphic>
                </wp:inline>
              </w:drawing>
            </w:r>
          </w:p>
        </w:tc>
        <w:tc>
          <w:tcPr>
            <w:tcW w:w="2302" w:type="dxa"/>
            <w:vAlign w:val="center"/>
          </w:tcPr>
          <w:p w14:paraId="48E9B270" w14:textId="77777777" w:rsidR="00D1584C" w:rsidRPr="00E869A4" w:rsidRDefault="00D1584C" w:rsidP="00A35FF8">
            <w:pPr>
              <w:rPr>
                <w:rFonts w:ascii="Times New Roman" w:hAnsi="Times New Roman" w:cs="Times New Roman"/>
              </w:rPr>
            </w:pPr>
          </w:p>
        </w:tc>
      </w:tr>
      <w:tr w:rsidR="00C714D3" w:rsidRPr="00E869A4" w14:paraId="3C65B4BC" w14:textId="77777777" w:rsidTr="008D1352">
        <w:trPr>
          <w:trHeight w:val="2100"/>
          <w:jc w:val="center"/>
        </w:trPr>
        <w:tc>
          <w:tcPr>
            <w:tcW w:w="2788" w:type="dxa"/>
            <w:vAlign w:val="center"/>
          </w:tcPr>
          <w:p w14:paraId="70EEA7AD" w14:textId="0192F0D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 xml:space="preserve">Direct Financial Support / </w:t>
            </w:r>
            <w:r w:rsidR="00284718" w:rsidRPr="00E869A4">
              <w:rPr>
                <w:rFonts w:ascii="Times New Roman" w:hAnsi="Times New Roman" w:cs="Times New Roman"/>
              </w:rPr>
              <w:t>Managing</w:t>
            </w:r>
            <w:r w:rsidRPr="00E869A4">
              <w:rPr>
                <w:rFonts w:ascii="Times New Roman" w:hAnsi="Times New Roman" w:cs="Times New Roman"/>
              </w:rPr>
              <w:t xml:space="preserve"> Financial Affairs</w:t>
            </w:r>
          </w:p>
        </w:tc>
        <w:tc>
          <w:tcPr>
            <w:tcW w:w="4111" w:type="dxa"/>
            <w:vAlign w:val="center"/>
          </w:tcPr>
          <w:p w14:paraId="0EA39D00"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42F4432A" wp14:editId="2FC167B8">
                  <wp:extent cx="1550475" cy="1459497"/>
                  <wp:effectExtent l="0" t="0" r="0" b="0"/>
                  <wp:docPr id="69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5" cstate="print"/>
                          <a:srcRect/>
                          <a:stretch>
                            <a:fillRect/>
                          </a:stretch>
                        </pic:blipFill>
                        <pic:spPr>
                          <a:xfrm>
                            <a:off x="0" y="0"/>
                            <a:ext cx="1550475" cy="1459497"/>
                          </a:xfrm>
                          <a:prstGeom prst="rect">
                            <a:avLst/>
                          </a:prstGeom>
                          <a:ln/>
                        </pic:spPr>
                      </pic:pic>
                    </a:graphicData>
                  </a:graphic>
                </wp:inline>
              </w:drawing>
            </w:r>
          </w:p>
        </w:tc>
        <w:tc>
          <w:tcPr>
            <w:tcW w:w="2302" w:type="dxa"/>
            <w:vAlign w:val="center"/>
          </w:tcPr>
          <w:p w14:paraId="35CAB3EF" w14:textId="77777777" w:rsidR="00D1584C" w:rsidRPr="00E869A4" w:rsidRDefault="00D1584C" w:rsidP="00A35FF8">
            <w:pPr>
              <w:rPr>
                <w:rFonts w:ascii="Times New Roman" w:hAnsi="Times New Roman" w:cs="Times New Roman"/>
              </w:rPr>
            </w:pPr>
          </w:p>
        </w:tc>
      </w:tr>
      <w:tr w:rsidR="00C714D3" w:rsidRPr="00E869A4" w14:paraId="63D83E9D" w14:textId="77777777" w:rsidTr="008D1352">
        <w:trPr>
          <w:trHeight w:val="2100"/>
          <w:jc w:val="center"/>
        </w:trPr>
        <w:tc>
          <w:tcPr>
            <w:tcW w:w="2788" w:type="dxa"/>
            <w:vAlign w:val="center"/>
          </w:tcPr>
          <w:p w14:paraId="24D37321"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Administering Medication</w:t>
            </w:r>
          </w:p>
        </w:tc>
        <w:tc>
          <w:tcPr>
            <w:tcW w:w="4111" w:type="dxa"/>
            <w:vAlign w:val="center"/>
          </w:tcPr>
          <w:p w14:paraId="5EF482DE"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29B4BFEF" wp14:editId="1633EF3F">
                  <wp:extent cx="1275570" cy="1432560"/>
                  <wp:effectExtent l="0" t="0" r="0" b="0"/>
                  <wp:docPr id="695" name="image22.jpg" descr="http://www.techforltc.org/images/Medication%20Management.jpg"/>
                  <wp:cNvGraphicFramePr/>
                  <a:graphic xmlns:a="http://schemas.openxmlformats.org/drawingml/2006/main">
                    <a:graphicData uri="http://schemas.openxmlformats.org/drawingml/2006/picture">
                      <pic:pic xmlns:pic="http://schemas.openxmlformats.org/drawingml/2006/picture">
                        <pic:nvPicPr>
                          <pic:cNvPr id="0" name="image22.jpg" descr="http://www.techforltc.org/images/Medication%20Management.jpg"/>
                          <pic:cNvPicPr preferRelativeResize="0"/>
                        </pic:nvPicPr>
                        <pic:blipFill>
                          <a:blip r:embed="rId66" cstate="print"/>
                          <a:srcRect/>
                          <a:stretch>
                            <a:fillRect/>
                          </a:stretch>
                        </pic:blipFill>
                        <pic:spPr>
                          <a:xfrm>
                            <a:off x="0" y="0"/>
                            <a:ext cx="1275570" cy="1432560"/>
                          </a:xfrm>
                          <a:prstGeom prst="rect">
                            <a:avLst/>
                          </a:prstGeom>
                          <a:ln/>
                        </pic:spPr>
                      </pic:pic>
                    </a:graphicData>
                  </a:graphic>
                </wp:inline>
              </w:drawing>
            </w:r>
          </w:p>
        </w:tc>
        <w:tc>
          <w:tcPr>
            <w:tcW w:w="2302" w:type="dxa"/>
            <w:vAlign w:val="center"/>
          </w:tcPr>
          <w:p w14:paraId="654D5C3B" w14:textId="77777777" w:rsidR="00D1584C" w:rsidRPr="00E869A4" w:rsidRDefault="00D1584C" w:rsidP="00A35FF8">
            <w:pPr>
              <w:rPr>
                <w:rFonts w:ascii="Times New Roman" w:hAnsi="Times New Roman" w:cs="Times New Roman"/>
              </w:rPr>
            </w:pPr>
          </w:p>
        </w:tc>
      </w:tr>
      <w:tr w:rsidR="00C714D3" w:rsidRPr="00E869A4" w14:paraId="78E77DCA" w14:textId="77777777" w:rsidTr="008D1352">
        <w:trPr>
          <w:trHeight w:val="2100"/>
          <w:jc w:val="center"/>
        </w:trPr>
        <w:tc>
          <w:tcPr>
            <w:tcW w:w="2788" w:type="dxa"/>
            <w:vAlign w:val="center"/>
          </w:tcPr>
          <w:p w14:paraId="79E6FE8C"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Housekeeping / Doing Laundry</w:t>
            </w:r>
          </w:p>
        </w:tc>
        <w:tc>
          <w:tcPr>
            <w:tcW w:w="4111" w:type="dxa"/>
            <w:vAlign w:val="center"/>
          </w:tcPr>
          <w:p w14:paraId="2DC0482E"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616DF8EF" wp14:editId="52F3D9BE">
                  <wp:extent cx="1452549" cy="1517970"/>
                  <wp:effectExtent l="0" t="0" r="0" b="0"/>
                  <wp:docPr id="697" name="image21.jpg" descr="http://reggieswarmwelcomes.com/images/housekeeping.jpg"/>
                  <wp:cNvGraphicFramePr/>
                  <a:graphic xmlns:a="http://schemas.openxmlformats.org/drawingml/2006/main">
                    <a:graphicData uri="http://schemas.openxmlformats.org/drawingml/2006/picture">
                      <pic:pic xmlns:pic="http://schemas.openxmlformats.org/drawingml/2006/picture">
                        <pic:nvPicPr>
                          <pic:cNvPr id="0" name="image21.jpg" descr="http://reggieswarmwelcomes.com/images/housekeeping.jpg"/>
                          <pic:cNvPicPr preferRelativeResize="0"/>
                        </pic:nvPicPr>
                        <pic:blipFill>
                          <a:blip r:embed="rId67" cstate="print"/>
                          <a:srcRect/>
                          <a:stretch>
                            <a:fillRect/>
                          </a:stretch>
                        </pic:blipFill>
                        <pic:spPr>
                          <a:xfrm>
                            <a:off x="0" y="0"/>
                            <a:ext cx="1452549" cy="1517970"/>
                          </a:xfrm>
                          <a:prstGeom prst="rect">
                            <a:avLst/>
                          </a:prstGeom>
                          <a:ln/>
                        </pic:spPr>
                      </pic:pic>
                    </a:graphicData>
                  </a:graphic>
                </wp:inline>
              </w:drawing>
            </w:r>
          </w:p>
        </w:tc>
        <w:tc>
          <w:tcPr>
            <w:tcW w:w="2302" w:type="dxa"/>
            <w:vAlign w:val="center"/>
          </w:tcPr>
          <w:p w14:paraId="449DE859" w14:textId="77777777" w:rsidR="00D1584C" w:rsidRPr="00E869A4" w:rsidRDefault="00D1584C" w:rsidP="00A35FF8">
            <w:pPr>
              <w:rPr>
                <w:rFonts w:ascii="Times New Roman" w:hAnsi="Times New Roman" w:cs="Times New Roman"/>
              </w:rPr>
            </w:pPr>
          </w:p>
        </w:tc>
      </w:tr>
      <w:tr w:rsidR="00C714D3" w:rsidRPr="00E869A4" w14:paraId="118CA130" w14:textId="77777777" w:rsidTr="008D1352">
        <w:trPr>
          <w:trHeight w:val="2620"/>
          <w:jc w:val="center"/>
        </w:trPr>
        <w:tc>
          <w:tcPr>
            <w:tcW w:w="2788" w:type="dxa"/>
            <w:vAlign w:val="center"/>
          </w:tcPr>
          <w:p w14:paraId="63D197F4"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lastRenderedPageBreak/>
              <w:t>Cooking</w:t>
            </w:r>
          </w:p>
        </w:tc>
        <w:tc>
          <w:tcPr>
            <w:tcW w:w="4111" w:type="dxa"/>
            <w:vAlign w:val="center"/>
          </w:tcPr>
          <w:p w14:paraId="7ABF694B"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6FF51D98" wp14:editId="297D4CAD">
                  <wp:extent cx="1409296" cy="1405183"/>
                  <wp:effectExtent l="0" t="0" r="0" b="0"/>
                  <wp:docPr id="698" name="image29.jpg" descr="http://billivorylarson.com/wp-content/uploads/2009/11/Cooking.jpg"/>
                  <wp:cNvGraphicFramePr/>
                  <a:graphic xmlns:a="http://schemas.openxmlformats.org/drawingml/2006/main">
                    <a:graphicData uri="http://schemas.openxmlformats.org/drawingml/2006/picture">
                      <pic:pic xmlns:pic="http://schemas.openxmlformats.org/drawingml/2006/picture">
                        <pic:nvPicPr>
                          <pic:cNvPr id="0" name="image29.jpg" descr="http://billivorylarson.com/wp-content/uploads/2009/11/Cooking.jpg"/>
                          <pic:cNvPicPr preferRelativeResize="0"/>
                        </pic:nvPicPr>
                        <pic:blipFill>
                          <a:blip r:embed="rId68" cstate="print"/>
                          <a:srcRect/>
                          <a:stretch>
                            <a:fillRect/>
                          </a:stretch>
                        </pic:blipFill>
                        <pic:spPr>
                          <a:xfrm>
                            <a:off x="0" y="0"/>
                            <a:ext cx="1409296" cy="1405183"/>
                          </a:xfrm>
                          <a:prstGeom prst="rect">
                            <a:avLst/>
                          </a:prstGeom>
                          <a:ln/>
                        </pic:spPr>
                      </pic:pic>
                    </a:graphicData>
                  </a:graphic>
                </wp:inline>
              </w:drawing>
            </w:r>
          </w:p>
        </w:tc>
        <w:tc>
          <w:tcPr>
            <w:tcW w:w="2302" w:type="dxa"/>
            <w:vAlign w:val="center"/>
          </w:tcPr>
          <w:p w14:paraId="1C37538A" w14:textId="77777777" w:rsidR="00D1584C" w:rsidRPr="00E869A4" w:rsidRDefault="00D1584C" w:rsidP="00A35FF8">
            <w:pPr>
              <w:rPr>
                <w:rFonts w:ascii="Times New Roman" w:hAnsi="Times New Roman" w:cs="Times New Roman"/>
              </w:rPr>
            </w:pPr>
          </w:p>
        </w:tc>
      </w:tr>
      <w:tr w:rsidR="00C714D3" w:rsidRPr="00E869A4" w14:paraId="7E9A8B16" w14:textId="77777777" w:rsidTr="008D1352">
        <w:trPr>
          <w:jc w:val="center"/>
        </w:trPr>
        <w:tc>
          <w:tcPr>
            <w:tcW w:w="2788" w:type="dxa"/>
            <w:vAlign w:val="center"/>
          </w:tcPr>
          <w:p w14:paraId="5B106FEC"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Shopping</w:t>
            </w:r>
          </w:p>
        </w:tc>
        <w:tc>
          <w:tcPr>
            <w:tcW w:w="4111" w:type="dxa"/>
            <w:vAlign w:val="center"/>
          </w:tcPr>
          <w:p w14:paraId="20A2A77F"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46F35773" wp14:editId="006E9F03">
                  <wp:extent cx="1623549" cy="1726434"/>
                  <wp:effectExtent l="0" t="0" r="0" b="0"/>
                  <wp:docPr id="699" name="image23.jpg" descr="http://www.mimifroufrou.com/scentedsalamander/images/Shopping%20Logo%20TSS.jpg"/>
                  <wp:cNvGraphicFramePr/>
                  <a:graphic xmlns:a="http://schemas.openxmlformats.org/drawingml/2006/main">
                    <a:graphicData uri="http://schemas.openxmlformats.org/drawingml/2006/picture">
                      <pic:pic xmlns:pic="http://schemas.openxmlformats.org/drawingml/2006/picture">
                        <pic:nvPicPr>
                          <pic:cNvPr id="0" name="image23.jpg" descr="http://www.mimifroufrou.com/scentedsalamander/images/Shopping%20Logo%20TSS.jpg"/>
                          <pic:cNvPicPr preferRelativeResize="0"/>
                        </pic:nvPicPr>
                        <pic:blipFill>
                          <a:blip r:embed="rId69" cstate="print"/>
                          <a:srcRect/>
                          <a:stretch>
                            <a:fillRect/>
                          </a:stretch>
                        </pic:blipFill>
                        <pic:spPr>
                          <a:xfrm>
                            <a:off x="0" y="0"/>
                            <a:ext cx="1623549" cy="1726434"/>
                          </a:xfrm>
                          <a:prstGeom prst="rect">
                            <a:avLst/>
                          </a:prstGeom>
                          <a:ln/>
                        </pic:spPr>
                      </pic:pic>
                    </a:graphicData>
                  </a:graphic>
                </wp:inline>
              </w:drawing>
            </w:r>
          </w:p>
        </w:tc>
        <w:tc>
          <w:tcPr>
            <w:tcW w:w="2302" w:type="dxa"/>
            <w:vAlign w:val="center"/>
          </w:tcPr>
          <w:p w14:paraId="1B008928" w14:textId="77777777" w:rsidR="00D1584C" w:rsidRPr="00E869A4" w:rsidRDefault="00D1584C" w:rsidP="00A35FF8">
            <w:pPr>
              <w:rPr>
                <w:rFonts w:ascii="Times New Roman" w:hAnsi="Times New Roman" w:cs="Times New Roman"/>
              </w:rPr>
            </w:pPr>
          </w:p>
        </w:tc>
      </w:tr>
      <w:tr w:rsidR="00C714D3" w:rsidRPr="00E869A4" w14:paraId="007F9002" w14:textId="77777777" w:rsidTr="008D1352">
        <w:trPr>
          <w:jc w:val="center"/>
        </w:trPr>
        <w:tc>
          <w:tcPr>
            <w:tcW w:w="2788" w:type="dxa"/>
            <w:vAlign w:val="center"/>
          </w:tcPr>
          <w:p w14:paraId="09D6B6BE"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Transportation</w:t>
            </w:r>
          </w:p>
        </w:tc>
        <w:tc>
          <w:tcPr>
            <w:tcW w:w="4111" w:type="dxa"/>
            <w:vAlign w:val="center"/>
          </w:tcPr>
          <w:p w14:paraId="0D2D524C"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2ED6ED77" wp14:editId="0660AAA1">
                  <wp:extent cx="1816055" cy="1777220"/>
                  <wp:effectExtent l="0" t="0" r="0" b="0"/>
                  <wp:docPr id="700" name="image26.jpg" descr="http://www.dreamstime.com/cartoon-car-thumb2197595.jpg"/>
                  <wp:cNvGraphicFramePr/>
                  <a:graphic xmlns:a="http://schemas.openxmlformats.org/drawingml/2006/main">
                    <a:graphicData uri="http://schemas.openxmlformats.org/drawingml/2006/picture">
                      <pic:pic xmlns:pic="http://schemas.openxmlformats.org/drawingml/2006/picture">
                        <pic:nvPicPr>
                          <pic:cNvPr id="0" name="image26.jpg" descr="http://www.dreamstime.com/cartoon-car-thumb2197595.jpg"/>
                          <pic:cNvPicPr preferRelativeResize="0"/>
                        </pic:nvPicPr>
                        <pic:blipFill>
                          <a:blip r:embed="rId70" cstate="print"/>
                          <a:srcRect/>
                          <a:stretch>
                            <a:fillRect/>
                          </a:stretch>
                        </pic:blipFill>
                        <pic:spPr>
                          <a:xfrm>
                            <a:off x="0" y="0"/>
                            <a:ext cx="1816055" cy="1777220"/>
                          </a:xfrm>
                          <a:prstGeom prst="rect">
                            <a:avLst/>
                          </a:prstGeom>
                          <a:ln/>
                        </pic:spPr>
                      </pic:pic>
                    </a:graphicData>
                  </a:graphic>
                </wp:inline>
              </w:drawing>
            </w:r>
          </w:p>
        </w:tc>
        <w:tc>
          <w:tcPr>
            <w:tcW w:w="2302" w:type="dxa"/>
            <w:vAlign w:val="center"/>
          </w:tcPr>
          <w:p w14:paraId="1EBAD4B9" w14:textId="77777777" w:rsidR="00D1584C" w:rsidRPr="00E869A4" w:rsidRDefault="00D1584C" w:rsidP="00A35FF8">
            <w:pPr>
              <w:rPr>
                <w:rFonts w:ascii="Times New Roman" w:hAnsi="Times New Roman" w:cs="Times New Roman"/>
              </w:rPr>
            </w:pPr>
          </w:p>
        </w:tc>
      </w:tr>
      <w:tr w:rsidR="00C714D3" w:rsidRPr="00E869A4" w14:paraId="786D2B05" w14:textId="77777777" w:rsidTr="008D1352">
        <w:trPr>
          <w:jc w:val="center"/>
        </w:trPr>
        <w:tc>
          <w:tcPr>
            <w:tcW w:w="2788" w:type="dxa"/>
            <w:vAlign w:val="center"/>
          </w:tcPr>
          <w:p w14:paraId="38C44530"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Making House Repairs</w:t>
            </w:r>
          </w:p>
        </w:tc>
        <w:tc>
          <w:tcPr>
            <w:tcW w:w="4111" w:type="dxa"/>
            <w:vAlign w:val="center"/>
          </w:tcPr>
          <w:p w14:paraId="5C9F1F93"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457E8A8A" wp14:editId="22959A20">
                  <wp:extent cx="1666792" cy="1783080"/>
                  <wp:effectExtent l="0" t="0" r="0" b="0"/>
                  <wp:docPr id="701" name="image30.jpg" descr="http://2.bp.blogspot.com/_Ap93AERWDzM/R1jkG6cwLII/AAAAAAAAAAs/qPiEZcqqdZo/S300/Home+Repair.jpg"/>
                  <wp:cNvGraphicFramePr/>
                  <a:graphic xmlns:a="http://schemas.openxmlformats.org/drawingml/2006/main">
                    <a:graphicData uri="http://schemas.openxmlformats.org/drawingml/2006/picture">
                      <pic:pic xmlns:pic="http://schemas.openxmlformats.org/drawingml/2006/picture">
                        <pic:nvPicPr>
                          <pic:cNvPr id="0" name="image30.jpg" descr="http://2.bp.blogspot.com/_Ap93AERWDzM/R1jkG6cwLII/AAAAAAAAAAs/qPiEZcqqdZo/S300/Home+Repair.jpg"/>
                          <pic:cNvPicPr preferRelativeResize="0"/>
                        </pic:nvPicPr>
                        <pic:blipFill>
                          <a:blip r:embed="rId71" cstate="print"/>
                          <a:srcRect/>
                          <a:stretch>
                            <a:fillRect/>
                          </a:stretch>
                        </pic:blipFill>
                        <pic:spPr>
                          <a:xfrm>
                            <a:off x="0" y="0"/>
                            <a:ext cx="1666792" cy="1783080"/>
                          </a:xfrm>
                          <a:prstGeom prst="rect">
                            <a:avLst/>
                          </a:prstGeom>
                          <a:ln/>
                        </pic:spPr>
                      </pic:pic>
                    </a:graphicData>
                  </a:graphic>
                </wp:inline>
              </w:drawing>
            </w:r>
          </w:p>
        </w:tc>
        <w:tc>
          <w:tcPr>
            <w:tcW w:w="2302" w:type="dxa"/>
            <w:vAlign w:val="center"/>
          </w:tcPr>
          <w:p w14:paraId="5F8B273D" w14:textId="77777777" w:rsidR="00D1584C" w:rsidRPr="00E869A4" w:rsidRDefault="00D1584C" w:rsidP="00A35FF8">
            <w:pPr>
              <w:rPr>
                <w:rFonts w:ascii="Times New Roman" w:hAnsi="Times New Roman" w:cs="Times New Roman"/>
              </w:rPr>
            </w:pPr>
          </w:p>
        </w:tc>
      </w:tr>
      <w:tr w:rsidR="00C714D3" w:rsidRPr="00E869A4" w14:paraId="1E2EE88E" w14:textId="77777777" w:rsidTr="008D1352">
        <w:trPr>
          <w:jc w:val="center"/>
        </w:trPr>
        <w:tc>
          <w:tcPr>
            <w:tcW w:w="2788" w:type="dxa"/>
            <w:vAlign w:val="center"/>
          </w:tcPr>
          <w:p w14:paraId="0F18532F"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lastRenderedPageBreak/>
              <w:t>Gardening / Doing Yard work</w:t>
            </w:r>
          </w:p>
        </w:tc>
        <w:tc>
          <w:tcPr>
            <w:tcW w:w="4111" w:type="dxa"/>
            <w:vAlign w:val="center"/>
          </w:tcPr>
          <w:p w14:paraId="333BE8FF" w14:textId="77777777" w:rsidR="00D1584C" w:rsidRPr="00E869A4" w:rsidRDefault="00D1584C" w:rsidP="00A35FF8">
            <w:pPr>
              <w:tabs>
                <w:tab w:val="left" w:pos="6237"/>
              </w:tabs>
              <w:rPr>
                <w:rFonts w:ascii="Times New Roman" w:hAnsi="Times New Roman" w:cs="Times New Roman"/>
              </w:rPr>
            </w:pPr>
            <w:r w:rsidRPr="00E869A4">
              <w:rPr>
                <w:rFonts w:ascii="Times New Roman" w:hAnsi="Times New Roman" w:cs="Times New Roman"/>
                <w:noProof/>
              </w:rPr>
              <w:drawing>
                <wp:inline distT="0" distB="0" distL="0" distR="0" wp14:anchorId="60469271" wp14:editId="0E6CEA92">
                  <wp:extent cx="1352550" cy="1363980"/>
                  <wp:effectExtent l="0" t="0" r="0" b="0"/>
                  <wp:docPr id="702" name="image31.png" descr="http://www.clipartpal.com/_thumbs/cartoon_gardening_198500_tnb.png"/>
                  <wp:cNvGraphicFramePr/>
                  <a:graphic xmlns:a="http://schemas.openxmlformats.org/drawingml/2006/main">
                    <a:graphicData uri="http://schemas.openxmlformats.org/drawingml/2006/picture">
                      <pic:pic xmlns:pic="http://schemas.openxmlformats.org/drawingml/2006/picture">
                        <pic:nvPicPr>
                          <pic:cNvPr id="0" name="image31.png" descr="http://www.clipartpal.com/_thumbs/cartoon_gardening_198500_tnb.png"/>
                          <pic:cNvPicPr preferRelativeResize="0"/>
                        </pic:nvPicPr>
                        <pic:blipFill>
                          <a:blip r:embed="rId72" cstate="print"/>
                          <a:srcRect/>
                          <a:stretch>
                            <a:fillRect/>
                          </a:stretch>
                        </pic:blipFill>
                        <pic:spPr>
                          <a:xfrm>
                            <a:off x="0" y="0"/>
                            <a:ext cx="1352550" cy="1363980"/>
                          </a:xfrm>
                          <a:prstGeom prst="rect">
                            <a:avLst/>
                          </a:prstGeom>
                          <a:ln/>
                        </pic:spPr>
                      </pic:pic>
                    </a:graphicData>
                  </a:graphic>
                </wp:inline>
              </w:drawing>
            </w:r>
          </w:p>
        </w:tc>
        <w:tc>
          <w:tcPr>
            <w:tcW w:w="2302" w:type="dxa"/>
            <w:vAlign w:val="center"/>
          </w:tcPr>
          <w:p w14:paraId="1C665DF3" w14:textId="77777777" w:rsidR="00D1584C" w:rsidRPr="00E869A4" w:rsidRDefault="00D1584C" w:rsidP="00A35FF8">
            <w:pPr>
              <w:tabs>
                <w:tab w:val="left" w:pos="6237"/>
              </w:tabs>
              <w:rPr>
                <w:rFonts w:ascii="Times New Roman" w:hAnsi="Times New Roman" w:cs="Times New Roman"/>
              </w:rPr>
            </w:pPr>
          </w:p>
        </w:tc>
      </w:tr>
      <w:tr w:rsidR="00C714D3" w:rsidRPr="00E869A4" w14:paraId="132A8A20" w14:textId="77777777" w:rsidTr="008D1352">
        <w:trPr>
          <w:jc w:val="center"/>
        </w:trPr>
        <w:tc>
          <w:tcPr>
            <w:tcW w:w="2788" w:type="dxa"/>
            <w:vAlign w:val="center"/>
          </w:tcPr>
          <w:p w14:paraId="089C48AF"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Arranging or Monitoring Outside Help or Services</w:t>
            </w:r>
          </w:p>
        </w:tc>
        <w:tc>
          <w:tcPr>
            <w:tcW w:w="4111" w:type="dxa"/>
            <w:vAlign w:val="center"/>
          </w:tcPr>
          <w:p w14:paraId="6E9D24C8"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036F9DA3" wp14:editId="6BFF2B56">
                  <wp:extent cx="1321683" cy="1764533"/>
                  <wp:effectExtent l="0" t="0" r="0" b="0"/>
                  <wp:docPr id="70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3" cstate="print"/>
                          <a:srcRect/>
                          <a:stretch>
                            <a:fillRect/>
                          </a:stretch>
                        </pic:blipFill>
                        <pic:spPr>
                          <a:xfrm>
                            <a:off x="0" y="0"/>
                            <a:ext cx="1321683" cy="1764533"/>
                          </a:xfrm>
                          <a:prstGeom prst="rect">
                            <a:avLst/>
                          </a:prstGeom>
                          <a:ln/>
                        </pic:spPr>
                      </pic:pic>
                    </a:graphicData>
                  </a:graphic>
                </wp:inline>
              </w:drawing>
            </w:r>
          </w:p>
        </w:tc>
        <w:tc>
          <w:tcPr>
            <w:tcW w:w="2302" w:type="dxa"/>
            <w:vAlign w:val="center"/>
          </w:tcPr>
          <w:p w14:paraId="1D990A3D" w14:textId="77777777" w:rsidR="00D1584C" w:rsidRPr="00E869A4" w:rsidRDefault="00D1584C" w:rsidP="00A35FF8">
            <w:pPr>
              <w:rPr>
                <w:rFonts w:ascii="Times New Roman" w:hAnsi="Times New Roman" w:cs="Times New Roman"/>
              </w:rPr>
            </w:pPr>
          </w:p>
        </w:tc>
      </w:tr>
      <w:tr w:rsidR="00C714D3" w:rsidRPr="00E869A4" w14:paraId="14ADC454" w14:textId="77777777" w:rsidTr="008D1352">
        <w:trPr>
          <w:jc w:val="center"/>
        </w:trPr>
        <w:tc>
          <w:tcPr>
            <w:tcW w:w="2788" w:type="dxa"/>
            <w:vAlign w:val="center"/>
          </w:tcPr>
          <w:p w14:paraId="6201976F"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Accompanying to</w:t>
            </w:r>
          </w:p>
          <w:p w14:paraId="721B64CC"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Doctor’s Appointment / Hospital</w:t>
            </w:r>
          </w:p>
        </w:tc>
        <w:tc>
          <w:tcPr>
            <w:tcW w:w="4111" w:type="dxa"/>
            <w:vAlign w:val="center"/>
          </w:tcPr>
          <w:p w14:paraId="1FF6E065" w14:textId="77777777" w:rsidR="00D1584C"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372E7A21" wp14:editId="0D100F72">
                  <wp:extent cx="1508337" cy="1440180"/>
                  <wp:effectExtent l="0" t="0" r="0" b="0"/>
                  <wp:docPr id="291" name="image33.png" descr="http://cmsd.k12.pa.us/cmsd/cm_health/img/NURSE.png"/>
                  <wp:cNvGraphicFramePr/>
                  <a:graphic xmlns:a="http://schemas.openxmlformats.org/drawingml/2006/main">
                    <a:graphicData uri="http://schemas.openxmlformats.org/drawingml/2006/picture">
                      <pic:pic xmlns:pic="http://schemas.openxmlformats.org/drawingml/2006/picture">
                        <pic:nvPicPr>
                          <pic:cNvPr id="0" name="image33.png" descr="http://cmsd.k12.pa.us/cmsd/cm_health/img/NURSE.png"/>
                          <pic:cNvPicPr preferRelativeResize="0"/>
                        </pic:nvPicPr>
                        <pic:blipFill>
                          <a:blip r:embed="rId74" cstate="print"/>
                          <a:srcRect/>
                          <a:stretch>
                            <a:fillRect/>
                          </a:stretch>
                        </pic:blipFill>
                        <pic:spPr>
                          <a:xfrm>
                            <a:off x="0" y="0"/>
                            <a:ext cx="1508337" cy="1440180"/>
                          </a:xfrm>
                          <a:prstGeom prst="rect">
                            <a:avLst/>
                          </a:prstGeom>
                          <a:ln/>
                        </pic:spPr>
                      </pic:pic>
                    </a:graphicData>
                  </a:graphic>
                </wp:inline>
              </w:drawing>
            </w:r>
          </w:p>
        </w:tc>
        <w:tc>
          <w:tcPr>
            <w:tcW w:w="2302" w:type="dxa"/>
            <w:vAlign w:val="center"/>
          </w:tcPr>
          <w:p w14:paraId="5D0B46F3" w14:textId="77777777" w:rsidR="00D1584C" w:rsidRPr="00E869A4" w:rsidRDefault="00D1584C" w:rsidP="00A35FF8">
            <w:pPr>
              <w:rPr>
                <w:rFonts w:ascii="Times New Roman" w:hAnsi="Times New Roman" w:cs="Times New Roman"/>
              </w:rPr>
            </w:pPr>
          </w:p>
        </w:tc>
      </w:tr>
      <w:tr w:rsidR="00D1584C" w:rsidRPr="00E869A4" w14:paraId="1BEBCB22" w14:textId="77777777" w:rsidTr="008D1352">
        <w:trPr>
          <w:jc w:val="center"/>
        </w:trPr>
        <w:tc>
          <w:tcPr>
            <w:tcW w:w="2788" w:type="dxa"/>
            <w:vAlign w:val="center"/>
          </w:tcPr>
          <w:p w14:paraId="69517B24" w14:textId="77777777" w:rsidR="00D1584C" w:rsidRPr="00E869A4" w:rsidRDefault="00D1584C" w:rsidP="005C49D2">
            <w:pPr>
              <w:ind w:left="284" w:hanging="45"/>
              <w:rPr>
                <w:rFonts w:ascii="Times New Roman" w:hAnsi="Times New Roman" w:cs="Times New Roman"/>
              </w:rPr>
            </w:pPr>
          </w:p>
          <w:p w14:paraId="75EE0FDB" w14:textId="77777777" w:rsidR="00D1584C" w:rsidRPr="00E869A4" w:rsidRDefault="00D1584C" w:rsidP="005C49D2">
            <w:pPr>
              <w:ind w:left="284" w:hanging="45"/>
              <w:rPr>
                <w:rFonts w:ascii="Times New Roman" w:hAnsi="Times New Roman" w:cs="Times New Roman"/>
              </w:rPr>
            </w:pPr>
          </w:p>
          <w:p w14:paraId="48E34775" w14:textId="77777777" w:rsidR="00D1584C" w:rsidRPr="00E869A4" w:rsidRDefault="00D1584C" w:rsidP="005C49D2">
            <w:pPr>
              <w:ind w:left="284" w:hanging="45"/>
              <w:rPr>
                <w:rFonts w:ascii="Times New Roman" w:hAnsi="Times New Roman" w:cs="Times New Roman"/>
              </w:rPr>
            </w:pPr>
            <w:r w:rsidRPr="00E869A4">
              <w:rPr>
                <w:rFonts w:ascii="Times New Roman" w:hAnsi="Times New Roman" w:cs="Times New Roman"/>
              </w:rPr>
              <w:t>Other</w:t>
            </w:r>
          </w:p>
        </w:tc>
        <w:tc>
          <w:tcPr>
            <w:tcW w:w="6413" w:type="dxa"/>
            <w:gridSpan w:val="2"/>
            <w:vAlign w:val="center"/>
          </w:tcPr>
          <w:p w14:paraId="523939EE" w14:textId="77777777" w:rsidR="00D1584C" w:rsidRPr="00E869A4" w:rsidRDefault="00D1584C" w:rsidP="00A35FF8">
            <w:pPr>
              <w:rPr>
                <w:rFonts w:ascii="Times New Roman" w:hAnsi="Times New Roman" w:cs="Times New Roman"/>
              </w:rPr>
            </w:pPr>
          </w:p>
          <w:p w14:paraId="787044E9" w14:textId="77777777" w:rsidR="00D1584C" w:rsidRPr="00E869A4" w:rsidRDefault="00D1584C" w:rsidP="00A35FF8">
            <w:pPr>
              <w:rPr>
                <w:rFonts w:ascii="Times New Roman" w:hAnsi="Times New Roman" w:cs="Times New Roman"/>
              </w:rPr>
            </w:pPr>
          </w:p>
          <w:p w14:paraId="1FE25FFE" w14:textId="5869F6B3" w:rsidR="00D1584C" w:rsidRPr="00E869A4" w:rsidRDefault="00D1584C" w:rsidP="000530D4">
            <w:pPr>
              <w:ind w:firstLine="0"/>
              <w:rPr>
                <w:rFonts w:ascii="Times New Roman" w:hAnsi="Times New Roman" w:cs="Times New Roman"/>
              </w:rPr>
            </w:pPr>
            <w:r w:rsidRPr="00E869A4">
              <w:rPr>
                <w:rFonts w:ascii="Times New Roman" w:hAnsi="Times New Roman" w:cs="Times New Roman"/>
              </w:rPr>
              <w:t>e.g. emotional support; completing forms; arranging services and support; accompanying to social events / companionship</w:t>
            </w:r>
          </w:p>
          <w:p w14:paraId="4A896013" w14:textId="77777777" w:rsidR="00D1584C" w:rsidRPr="00E869A4" w:rsidRDefault="00D1584C" w:rsidP="00A35FF8">
            <w:pPr>
              <w:rPr>
                <w:rFonts w:ascii="Times New Roman" w:hAnsi="Times New Roman" w:cs="Times New Roman"/>
              </w:rPr>
            </w:pPr>
          </w:p>
          <w:p w14:paraId="133799B6" w14:textId="77777777" w:rsidR="00D1584C" w:rsidRPr="00E869A4" w:rsidRDefault="00D1584C" w:rsidP="00A35FF8">
            <w:pPr>
              <w:rPr>
                <w:rFonts w:ascii="Times New Roman" w:hAnsi="Times New Roman" w:cs="Times New Roman"/>
              </w:rPr>
            </w:pPr>
          </w:p>
          <w:p w14:paraId="5710A8AB" w14:textId="77777777" w:rsidR="00D1584C" w:rsidRPr="00E869A4" w:rsidRDefault="00D1584C" w:rsidP="00A35FF8">
            <w:pPr>
              <w:rPr>
                <w:rFonts w:ascii="Times New Roman" w:hAnsi="Times New Roman" w:cs="Times New Roman"/>
              </w:rPr>
            </w:pPr>
          </w:p>
          <w:p w14:paraId="352381E3" w14:textId="77777777" w:rsidR="00D1584C" w:rsidRPr="00E869A4" w:rsidRDefault="00D1584C" w:rsidP="00A35FF8">
            <w:pPr>
              <w:rPr>
                <w:rFonts w:ascii="Times New Roman" w:hAnsi="Times New Roman" w:cs="Times New Roman"/>
              </w:rPr>
            </w:pPr>
          </w:p>
          <w:p w14:paraId="2E3AAC2B" w14:textId="77777777" w:rsidR="00D1584C" w:rsidRPr="00E869A4" w:rsidRDefault="00D1584C" w:rsidP="00A35FF8">
            <w:pPr>
              <w:rPr>
                <w:rFonts w:ascii="Times New Roman" w:hAnsi="Times New Roman" w:cs="Times New Roman"/>
              </w:rPr>
            </w:pPr>
          </w:p>
        </w:tc>
      </w:tr>
    </w:tbl>
    <w:p w14:paraId="3FDCA534" w14:textId="77777777" w:rsidR="00D1584C" w:rsidRPr="00E869A4" w:rsidRDefault="00D1584C" w:rsidP="00A35FF8">
      <w:pPr>
        <w:rPr>
          <w:rFonts w:ascii="Times New Roman" w:hAnsi="Times New Roman" w:cs="Times New Roman"/>
          <w:b/>
          <w:u w:val="single"/>
        </w:rPr>
      </w:pPr>
    </w:p>
    <w:p w14:paraId="2579AAD8" w14:textId="77777777" w:rsidR="00D1584C" w:rsidRPr="00E869A4" w:rsidRDefault="00D1584C" w:rsidP="008A5F7E">
      <w:pPr>
        <w:ind w:firstLine="0"/>
        <w:jc w:val="center"/>
        <w:rPr>
          <w:rFonts w:ascii="Times New Roman" w:eastAsiaTheme="majorEastAsia" w:hAnsi="Times New Roman" w:cs="Times New Roman"/>
          <w:b/>
          <w:iCs/>
          <w:szCs w:val="28"/>
          <w:u w:val="single"/>
        </w:rPr>
      </w:pPr>
      <w:bookmarkStart w:id="470" w:name="_3o7alnk" w:colFirst="0" w:colLast="0"/>
      <w:bookmarkEnd w:id="470"/>
      <w:r w:rsidRPr="00E869A4">
        <w:rPr>
          <w:rFonts w:ascii="Times New Roman" w:eastAsiaTheme="majorEastAsia" w:hAnsi="Times New Roman" w:cs="Times New Roman"/>
          <w:b/>
          <w:iCs/>
          <w:szCs w:val="28"/>
          <w:u w:val="single"/>
        </w:rPr>
        <w:lastRenderedPageBreak/>
        <w:t>FLASH CARD B – CAREGIVING SERVICES</w:t>
      </w:r>
    </w:p>
    <w:p w14:paraId="479BD91D" w14:textId="77777777" w:rsidR="00D1584C" w:rsidRPr="00E869A4" w:rsidRDefault="00D1584C" w:rsidP="00A35FF8">
      <w:pPr>
        <w:rPr>
          <w:rFonts w:ascii="Times New Roman" w:hAnsi="Times New Roman" w:cs="Times New Roman"/>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3553"/>
        <w:gridCol w:w="2994"/>
      </w:tblGrid>
      <w:tr w:rsidR="00C714D3" w:rsidRPr="00E869A4" w14:paraId="396CC1BB" w14:textId="77777777" w:rsidTr="005C18A7">
        <w:trPr>
          <w:tblHeader/>
          <w:jc w:val="center"/>
        </w:trPr>
        <w:tc>
          <w:tcPr>
            <w:tcW w:w="2695" w:type="dxa"/>
            <w:tcBorders>
              <w:top w:val="single" w:sz="4" w:space="0" w:color="000000"/>
              <w:left w:val="single" w:sz="4" w:space="0" w:color="000000"/>
              <w:bottom w:val="single" w:sz="4" w:space="0" w:color="000000"/>
              <w:right w:val="single" w:sz="4" w:space="0" w:color="000000"/>
            </w:tcBorders>
          </w:tcPr>
          <w:p w14:paraId="40E513AA" w14:textId="77777777" w:rsidR="00D1584C" w:rsidRPr="00E869A4" w:rsidRDefault="00D1584C" w:rsidP="00A35FF8">
            <w:pPr>
              <w:rPr>
                <w:rFonts w:ascii="Times New Roman" w:hAnsi="Times New Roman" w:cs="Times New Roman"/>
                <w:b/>
              </w:rPr>
            </w:pPr>
            <w:r w:rsidRPr="00E869A4">
              <w:rPr>
                <w:rFonts w:ascii="Times New Roman" w:hAnsi="Times New Roman" w:cs="Times New Roman"/>
                <w:b/>
              </w:rPr>
              <w:t>Service Types</w:t>
            </w:r>
          </w:p>
        </w:tc>
        <w:tc>
          <w:tcPr>
            <w:tcW w:w="3553" w:type="dxa"/>
            <w:tcBorders>
              <w:top w:val="single" w:sz="4" w:space="0" w:color="000000"/>
              <w:left w:val="single" w:sz="4" w:space="0" w:color="000000"/>
              <w:bottom w:val="single" w:sz="4" w:space="0" w:color="000000"/>
              <w:right w:val="single" w:sz="4" w:space="0" w:color="000000"/>
            </w:tcBorders>
          </w:tcPr>
          <w:p w14:paraId="2F302A57" w14:textId="77777777" w:rsidR="00D1584C" w:rsidRPr="00E869A4" w:rsidRDefault="00D1584C" w:rsidP="00A35FF8">
            <w:pPr>
              <w:rPr>
                <w:rFonts w:ascii="Times New Roman" w:hAnsi="Times New Roman" w:cs="Times New Roman"/>
                <w:b/>
              </w:rPr>
            </w:pPr>
            <w:r w:rsidRPr="00E869A4">
              <w:rPr>
                <w:rFonts w:ascii="Times New Roman" w:hAnsi="Times New Roman" w:cs="Times New Roman"/>
                <w:b/>
              </w:rPr>
              <w:t>Specific Services</w:t>
            </w:r>
          </w:p>
        </w:tc>
        <w:tc>
          <w:tcPr>
            <w:tcW w:w="2994" w:type="dxa"/>
            <w:tcBorders>
              <w:top w:val="single" w:sz="4" w:space="0" w:color="000000"/>
              <w:left w:val="single" w:sz="4" w:space="0" w:color="000000"/>
              <w:bottom w:val="single" w:sz="4" w:space="0" w:color="000000"/>
              <w:right w:val="single" w:sz="4" w:space="0" w:color="000000"/>
            </w:tcBorders>
          </w:tcPr>
          <w:p w14:paraId="65D50D51" w14:textId="77777777" w:rsidR="00D1584C" w:rsidRPr="00E869A4" w:rsidRDefault="00D1584C" w:rsidP="00A35FF8">
            <w:pPr>
              <w:rPr>
                <w:rFonts w:ascii="Times New Roman" w:hAnsi="Times New Roman" w:cs="Times New Roman"/>
                <w:b/>
              </w:rPr>
            </w:pPr>
            <w:r w:rsidRPr="00E869A4">
              <w:rPr>
                <w:rFonts w:ascii="Times New Roman" w:hAnsi="Times New Roman" w:cs="Times New Roman"/>
                <w:b/>
              </w:rPr>
              <w:t xml:space="preserve">Including: </w:t>
            </w:r>
          </w:p>
        </w:tc>
      </w:tr>
      <w:tr w:rsidR="00C714D3" w:rsidRPr="00E869A4" w14:paraId="44C430DE" w14:textId="77777777" w:rsidTr="008D1352">
        <w:trPr>
          <w:jc w:val="center"/>
        </w:trPr>
        <w:tc>
          <w:tcPr>
            <w:tcW w:w="2695" w:type="dxa"/>
            <w:tcBorders>
              <w:top w:val="single" w:sz="4" w:space="0" w:color="000000"/>
              <w:left w:val="single" w:sz="4" w:space="0" w:color="000000"/>
              <w:bottom w:val="single" w:sz="4" w:space="0" w:color="000000"/>
              <w:right w:val="single" w:sz="4" w:space="0" w:color="000000"/>
            </w:tcBorders>
          </w:tcPr>
          <w:p w14:paraId="1C50EC97"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 xml:space="preserve">Information to caregivers about available support services </w:t>
            </w:r>
          </w:p>
        </w:tc>
        <w:tc>
          <w:tcPr>
            <w:tcW w:w="3553" w:type="dxa"/>
            <w:tcBorders>
              <w:top w:val="single" w:sz="4" w:space="0" w:color="000000"/>
              <w:left w:val="single" w:sz="4" w:space="0" w:color="000000"/>
              <w:bottom w:val="single" w:sz="4" w:space="0" w:color="000000"/>
              <w:right w:val="single" w:sz="4" w:space="0" w:color="000000"/>
            </w:tcBorders>
          </w:tcPr>
          <w:p w14:paraId="67912589"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Health literature</w:t>
            </w:r>
          </w:p>
          <w:p w14:paraId="4659D9F4"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Caregiving literature</w:t>
            </w:r>
          </w:p>
          <w:p w14:paraId="000B2FAD"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Helpline</w:t>
            </w:r>
          </w:p>
          <w:p w14:paraId="48309EA5" w14:textId="77777777" w:rsidR="00D1584C" w:rsidRPr="00E869A4" w:rsidRDefault="00D1584C" w:rsidP="005C49D2">
            <w:pPr>
              <w:ind w:hanging="25"/>
              <w:rPr>
                <w:rFonts w:ascii="Times New Roman" w:hAnsi="Times New Roman" w:cs="Times New Roman"/>
              </w:rPr>
            </w:pPr>
          </w:p>
        </w:tc>
        <w:tc>
          <w:tcPr>
            <w:tcW w:w="2994" w:type="dxa"/>
            <w:tcBorders>
              <w:top w:val="single" w:sz="4" w:space="0" w:color="000000"/>
              <w:left w:val="single" w:sz="4" w:space="0" w:color="000000"/>
              <w:bottom w:val="single" w:sz="4" w:space="0" w:color="000000"/>
              <w:right w:val="single" w:sz="4" w:space="0" w:color="000000"/>
            </w:tcBorders>
          </w:tcPr>
          <w:p w14:paraId="0C42EC86"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Brochures</w:t>
            </w:r>
          </w:p>
          <w:p w14:paraId="7E7883DA"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Pamphlets</w:t>
            </w:r>
          </w:p>
          <w:p w14:paraId="706744B8"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 xml:space="preserve">Internet References / Special websites </w:t>
            </w:r>
          </w:p>
        </w:tc>
      </w:tr>
      <w:tr w:rsidR="00C714D3" w:rsidRPr="00E869A4" w14:paraId="3637D483" w14:textId="77777777" w:rsidTr="008D1352">
        <w:trPr>
          <w:jc w:val="center"/>
        </w:trPr>
        <w:tc>
          <w:tcPr>
            <w:tcW w:w="2695" w:type="dxa"/>
            <w:tcBorders>
              <w:top w:val="single" w:sz="4" w:space="0" w:color="000000"/>
              <w:left w:val="single" w:sz="4" w:space="0" w:color="000000"/>
              <w:bottom w:val="single" w:sz="4" w:space="0" w:color="000000"/>
              <w:right w:val="single" w:sz="4" w:space="0" w:color="000000"/>
            </w:tcBorders>
          </w:tcPr>
          <w:p w14:paraId="35938F63"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Respite care to provide temporary relief for caregivers from their care responsibilities</w:t>
            </w:r>
          </w:p>
        </w:tc>
        <w:tc>
          <w:tcPr>
            <w:tcW w:w="3553" w:type="dxa"/>
            <w:tcBorders>
              <w:top w:val="single" w:sz="4" w:space="0" w:color="000000"/>
              <w:left w:val="single" w:sz="4" w:space="0" w:color="000000"/>
              <w:bottom w:val="single" w:sz="4" w:space="0" w:color="000000"/>
              <w:right w:val="single" w:sz="4" w:space="0" w:color="000000"/>
            </w:tcBorders>
          </w:tcPr>
          <w:p w14:paraId="78F0A187"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Home support</w:t>
            </w:r>
          </w:p>
          <w:p w14:paraId="4271ACB5"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Day care service</w:t>
            </w:r>
          </w:p>
          <w:p w14:paraId="1DFB6E8D"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Short stay in institution</w:t>
            </w:r>
          </w:p>
          <w:p w14:paraId="51CCE60C"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Emergency / overnight stay</w:t>
            </w:r>
          </w:p>
        </w:tc>
        <w:tc>
          <w:tcPr>
            <w:tcW w:w="2994" w:type="dxa"/>
            <w:tcBorders>
              <w:top w:val="single" w:sz="4" w:space="0" w:color="000000"/>
              <w:left w:val="single" w:sz="4" w:space="0" w:color="000000"/>
              <w:bottom w:val="single" w:sz="4" w:space="0" w:color="000000"/>
              <w:right w:val="single" w:sz="4" w:space="0" w:color="000000"/>
            </w:tcBorders>
          </w:tcPr>
          <w:p w14:paraId="3CA2377F" w14:textId="77777777" w:rsidR="00D1584C" w:rsidRPr="00E869A4" w:rsidRDefault="00D1584C" w:rsidP="005C49D2">
            <w:pPr>
              <w:ind w:hanging="25"/>
              <w:rPr>
                <w:rFonts w:ascii="Times New Roman" w:hAnsi="Times New Roman" w:cs="Times New Roman"/>
              </w:rPr>
            </w:pPr>
          </w:p>
        </w:tc>
      </w:tr>
      <w:tr w:rsidR="00C714D3" w:rsidRPr="00E869A4" w14:paraId="7FBB4FEB" w14:textId="77777777" w:rsidTr="008D1352">
        <w:trPr>
          <w:jc w:val="center"/>
        </w:trPr>
        <w:tc>
          <w:tcPr>
            <w:tcW w:w="2695" w:type="dxa"/>
            <w:tcBorders>
              <w:top w:val="single" w:sz="4" w:space="0" w:color="000000"/>
              <w:left w:val="single" w:sz="4" w:space="0" w:color="000000"/>
              <w:bottom w:val="single" w:sz="4" w:space="0" w:color="000000"/>
              <w:right w:val="single" w:sz="4" w:space="0" w:color="000000"/>
            </w:tcBorders>
          </w:tcPr>
          <w:p w14:paraId="16E0631C"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Supplementary on a limited basis, to complement the care provided by caregivers</w:t>
            </w:r>
          </w:p>
        </w:tc>
        <w:tc>
          <w:tcPr>
            <w:tcW w:w="3553" w:type="dxa"/>
            <w:tcBorders>
              <w:top w:val="single" w:sz="4" w:space="0" w:color="000000"/>
              <w:left w:val="single" w:sz="4" w:space="0" w:color="000000"/>
              <w:bottom w:val="single" w:sz="4" w:space="0" w:color="000000"/>
              <w:right w:val="single" w:sz="4" w:space="0" w:color="000000"/>
            </w:tcBorders>
          </w:tcPr>
          <w:p w14:paraId="3946E185"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Financial Assistance / Cash allowance</w:t>
            </w:r>
          </w:p>
          <w:p w14:paraId="6F467591"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Transportation / Escort</w:t>
            </w:r>
          </w:p>
          <w:p w14:paraId="7D193C19"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Meals delivery</w:t>
            </w:r>
          </w:p>
          <w:p w14:paraId="4C23982C"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Chores / Heavy Housekeeping</w:t>
            </w:r>
          </w:p>
          <w:p w14:paraId="0C91AB07"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Equipment / Home modifications &amp; Repairs</w:t>
            </w:r>
          </w:p>
          <w:p w14:paraId="4B5AD341"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Visitor service</w:t>
            </w:r>
          </w:p>
          <w:p w14:paraId="766748CA"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Security calls</w:t>
            </w:r>
          </w:p>
          <w:p w14:paraId="736067F6"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Other emergency response systems</w:t>
            </w:r>
          </w:p>
        </w:tc>
        <w:tc>
          <w:tcPr>
            <w:tcW w:w="2994" w:type="dxa"/>
            <w:tcBorders>
              <w:top w:val="single" w:sz="4" w:space="0" w:color="000000"/>
              <w:left w:val="single" w:sz="4" w:space="0" w:color="000000"/>
              <w:bottom w:val="single" w:sz="4" w:space="0" w:color="000000"/>
              <w:right w:val="single" w:sz="4" w:space="0" w:color="000000"/>
            </w:tcBorders>
          </w:tcPr>
          <w:p w14:paraId="54814EDD" w14:textId="77777777" w:rsidR="00D1584C" w:rsidRPr="00E869A4" w:rsidRDefault="00D1584C" w:rsidP="005C49D2">
            <w:pPr>
              <w:ind w:hanging="25"/>
              <w:rPr>
                <w:rFonts w:ascii="Times New Roman" w:hAnsi="Times New Roman" w:cs="Times New Roman"/>
              </w:rPr>
            </w:pPr>
          </w:p>
        </w:tc>
      </w:tr>
      <w:tr w:rsidR="00D1584C" w:rsidRPr="00E869A4" w14:paraId="448089CD" w14:textId="77777777" w:rsidTr="008D1352">
        <w:trPr>
          <w:jc w:val="center"/>
        </w:trPr>
        <w:tc>
          <w:tcPr>
            <w:tcW w:w="2695" w:type="dxa"/>
            <w:tcBorders>
              <w:top w:val="single" w:sz="4" w:space="0" w:color="000000"/>
              <w:left w:val="single" w:sz="4" w:space="0" w:color="000000"/>
              <w:bottom w:val="single" w:sz="4" w:space="0" w:color="000000"/>
              <w:right w:val="single" w:sz="4" w:space="0" w:color="000000"/>
            </w:tcBorders>
          </w:tcPr>
          <w:p w14:paraId="4FF5F031"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Direct assistance to help caregivers in</w:t>
            </w:r>
          </w:p>
          <w:p w14:paraId="290C7187"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making decisions and solving problems related to their roles</w:t>
            </w:r>
          </w:p>
        </w:tc>
        <w:tc>
          <w:tcPr>
            <w:tcW w:w="3553" w:type="dxa"/>
            <w:tcBorders>
              <w:top w:val="single" w:sz="4" w:space="0" w:color="000000"/>
              <w:left w:val="single" w:sz="4" w:space="0" w:color="000000"/>
              <w:bottom w:val="single" w:sz="4" w:space="0" w:color="000000"/>
              <w:right w:val="single" w:sz="4" w:space="0" w:color="000000"/>
            </w:tcBorders>
          </w:tcPr>
          <w:p w14:paraId="5D6C06D5"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Home-based carer training</w:t>
            </w:r>
          </w:p>
          <w:p w14:paraId="144EFB77"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 xml:space="preserve">Centre-based carer training </w:t>
            </w:r>
          </w:p>
          <w:p w14:paraId="3511AECA"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 xml:space="preserve">Carer employment </w:t>
            </w:r>
          </w:p>
          <w:p w14:paraId="026B5BD2"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Case management</w:t>
            </w:r>
          </w:p>
          <w:p w14:paraId="6BAE31FF"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Carer assessment</w:t>
            </w:r>
          </w:p>
          <w:p w14:paraId="14C0F203"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Counselling</w:t>
            </w:r>
          </w:p>
          <w:p w14:paraId="4911168F"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Professional consultants</w:t>
            </w:r>
          </w:p>
          <w:p w14:paraId="2F9B5201"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lastRenderedPageBreak/>
              <w:t>Health and welfare</w:t>
            </w:r>
          </w:p>
          <w:p w14:paraId="74A5B2F9"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Spiritual care</w:t>
            </w:r>
          </w:p>
          <w:p w14:paraId="13CFE6A8"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Support groups</w:t>
            </w:r>
          </w:p>
        </w:tc>
        <w:tc>
          <w:tcPr>
            <w:tcW w:w="2994" w:type="dxa"/>
            <w:tcBorders>
              <w:top w:val="single" w:sz="4" w:space="0" w:color="000000"/>
              <w:left w:val="single" w:sz="4" w:space="0" w:color="000000"/>
              <w:bottom w:val="single" w:sz="4" w:space="0" w:color="000000"/>
              <w:right w:val="single" w:sz="4" w:space="0" w:color="000000"/>
            </w:tcBorders>
          </w:tcPr>
          <w:p w14:paraId="29D07999"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lastRenderedPageBreak/>
              <w:t>Workshops and seminars on adult care issues</w:t>
            </w:r>
          </w:p>
          <w:p w14:paraId="3DD5AFC2"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Nutrition education</w:t>
            </w:r>
          </w:p>
          <w:p w14:paraId="49C482C3"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Money Management training</w:t>
            </w:r>
          </w:p>
          <w:p w14:paraId="12D95227"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Mediation services to aid in caregiver family disputes</w:t>
            </w:r>
          </w:p>
          <w:p w14:paraId="36315771"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t>Support following death of care recipient</w:t>
            </w:r>
          </w:p>
          <w:p w14:paraId="1DF46983" w14:textId="77777777" w:rsidR="00D1584C" w:rsidRPr="00E869A4" w:rsidRDefault="00D1584C" w:rsidP="005C49D2">
            <w:pPr>
              <w:ind w:hanging="25"/>
              <w:rPr>
                <w:rFonts w:ascii="Times New Roman" w:hAnsi="Times New Roman" w:cs="Times New Roman"/>
              </w:rPr>
            </w:pPr>
            <w:r w:rsidRPr="00E869A4">
              <w:rPr>
                <w:rFonts w:ascii="Times New Roman" w:hAnsi="Times New Roman" w:cs="Times New Roman"/>
              </w:rPr>
              <w:lastRenderedPageBreak/>
              <w:t>Assistance with carer employment</w:t>
            </w:r>
          </w:p>
        </w:tc>
      </w:tr>
    </w:tbl>
    <w:p w14:paraId="123354B1" w14:textId="77777777" w:rsidR="00D1584C" w:rsidRPr="00E869A4" w:rsidRDefault="00D1584C" w:rsidP="00A35FF8">
      <w:pPr>
        <w:rPr>
          <w:rFonts w:ascii="Times New Roman" w:hAnsi="Times New Roman" w:cs="Times New Roman"/>
        </w:rPr>
      </w:pPr>
    </w:p>
    <w:p w14:paraId="5644CE42"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br w:type="page"/>
      </w:r>
    </w:p>
    <w:p w14:paraId="28A9B084" w14:textId="77777777" w:rsidR="00D1584C" w:rsidRPr="00E869A4" w:rsidRDefault="00D1584C" w:rsidP="00A35FF8">
      <w:pPr>
        <w:rPr>
          <w:rFonts w:ascii="Times New Roman" w:eastAsiaTheme="majorEastAsia" w:hAnsi="Times New Roman" w:cs="Times New Roman"/>
          <w:b/>
          <w:iCs/>
          <w:szCs w:val="28"/>
          <w:u w:val="single"/>
        </w:rPr>
      </w:pPr>
      <w:r w:rsidRPr="00E869A4">
        <w:rPr>
          <w:rFonts w:ascii="Times New Roman" w:eastAsiaTheme="majorEastAsia" w:hAnsi="Times New Roman" w:cs="Times New Roman"/>
          <w:b/>
          <w:iCs/>
          <w:szCs w:val="28"/>
          <w:u w:val="single"/>
        </w:rPr>
        <w:lastRenderedPageBreak/>
        <w:t>SESSION 2</w:t>
      </w:r>
    </w:p>
    <w:p w14:paraId="10E57912" w14:textId="36A208B4" w:rsidR="00D1584C" w:rsidRPr="00E869A4" w:rsidRDefault="00D1584C" w:rsidP="00A35FF8">
      <w:pPr>
        <w:rPr>
          <w:rFonts w:ascii="Times New Roman" w:eastAsiaTheme="majorEastAsia" w:hAnsi="Times New Roman" w:cs="Times New Roman"/>
          <w:b/>
          <w:iCs/>
          <w:szCs w:val="28"/>
          <w:u w:val="single"/>
        </w:rPr>
      </w:pPr>
      <w:bookmarkStart w:id="471" w:name="_23ckvvd" w:colFirst="0" w:colLast="0"/>
      <w:bookmarkEnd w:id="471"/>
      <w:r w:rsidRPr="00E869A4">
        <w:rPr>
          <w:rFonts w:ascii="Times New Roman" w:eastAsiaTheme="majorEastAsia" w:hAnsi="Times New Roman" w:cs="Times New Roman"/>
          <w:b/>
          <w:iCs/>
          <w:szCs w:val="28"/>
          <w:u w:val="single"/>
        </w:rPr>
        <w:t xml:space="preserve">INDIVIDUAL INTERVIEW WITH </w:t>
      </w:r>
      <w:r w:rsidR="00017799" w:rsidRPr="00E869A4">
        <w:rPr>
          <w:rFonts w:ascii="Times New Roman" w:eastAsiaTheme="majorEastAsia" w:hAnsi="Times New Roman" w:cs="Times New Roman"/>
          <w:b/>
          <w:iCs/>
          <w:szCs w:val="28"/>
          <w:u w:val="single"/>
        </w:rPr>
        <w:t>CARE RECIPIENT</w:t>
      </w:r>
    </w:p>
    <w:p w14:paraId="4E625518" w14:textId="77777777" w:rsidR="00D1584C" w:rsidRPr="00E869A4" w:rsidRDefault="00D1584C" w:rsidP="00A35FF8">
      <w:pPr>
        <w:rPr>
          <w:rFonts w:ascii="Times New Roman" w:hAnsi="Times New Roman" w:cs="Times New Roman"/>
        </w:rPr>
      </w:pPr>
    </w:p>
    <w:p w14:paraId="2D676458"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Date of interview:</w:t>
      </w:r>
      <w:r w:rsidRPr="00E869A4">
        <w:rPr>
          <w:rFonts w:ascii="Times New Roman" w:hAnsi="Times New Roman" w:cs="Times New Roman"/>
        </w:rPr>
        <w:tab/>
        <w:t>(Day/Month/Year)        ________________________________</w:t>
      </w:r>
    </w:p>
    <w:p w14:paraId="728149A6" w14:textId="7915E8D5"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Location: </w:t>
      </w:r>
      <w:r w:rsidRPr="00E869A4">
        <w:rPr>
          <w:rFonts w:ascii="Times New Roman" w:hAnsi="Times New Roman" w:cs="Times New Roman"/>
        </w:rPr>
        <w:tab/>
      </w:r>
      <w:r w:rsidRPr="00E869A4">
        <w:rPr>
          <w:rFonts w:ascii="Times New Roman" w:hAnsi="Times New Roman" w:cs="Times New Roman"/>
        </w:rPr>
        <w:tab/>
      </w:r>
      <w:r w:rsidRPr="00E869A4">
        <w:rPr>
          <w:rFonts w:ascii="Times New Roman" w:hAnsi="Times New Roman" w:cs="Times New Roman"/>
        </w:rPr>
        <w:tab/>
        <w:t>___________________</w:t>
      </w:r>
      <w:r w:rsidR="005C49D2" w:rsidRPr="00E869A4">
        <w:rPr>
          <w:rFonts w:ascii="Times New Roman" w:hAnsi="Times New Roman" w:cs="Times New Roman"/>
        </w:rPr>
        <w:t>_____________________________</w:t>
      </w:r>
    </w:p>
    <w:p w14:paraId="64F362A8" w14:textId="009F8758"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Name of </w:t>
      </w:r>
      <w:r w:rsidR="009E2738" w:rsidRPr="00E869A4">
        <w:rPr>
          <w:rFonts w:ascii="Times New Roman" w:hAnsi="Times New Roman" w:cs="Times New Roman"/>
        </w:rPr>
        <w:t>Care recipient</w:t>
      </w:r>
      <w:r w:rsidRPr="00E869A4">
        <w:rPr>
          <w:rFonts w:ascii="Times New Roman" w:hAnsi="Times New Roman" w:cs="Times New Roman"/>
        </w:rPr>
        <w:t xml:space="preserve"> (CR):</w:t>
      </w:r>
      <w:r w:rsidRPr="00E869A4">
        <w:rPr>
          <w:rFonts w:ascii="Times New Roman" w:hAnsi="Times New Roman" w:cs="Times New Roman"/>
        </w:rPr>
        <w:tab/>
        <w:t>(First name/ Surname)</w:t>
      </w:r>
      <w:r w:rsidRPr="00E869A4">
        <w:rPr>
          <w:rFonts w:ascii="Times New Roman" w:hAnsi="Times New Roman" w:cs="Times New Roman"/>
        </w:rPr>
        <w:tab/>
        <w:t>_</w:t>
      </w:r>
      <w:r w:rsidR="005C49D2" w:rsidRPr="00E869A4">
        <w:rPr>
          <w:rFonts w:ascii="Times New Roman" w:hAnsi="Times New Roman" w:cs="Times New Roman"/>
        </w:rPr>
        <w:t>_____________________________</w:t>
      </w:r>
    </w:p>
    <w:p w14:paraId="681CC2E3" w14:textId="77777777" w:rsidR="00D1584C" w:rsidRPr="00E869A4" w:rsidRDefault="00D1584C" w:rsidP="00A35FF8">
      <w:pPr>
        <w:rPr>
          <w:rFonts w:ascii="Times New Roman" w:hAnsi="Times New Roman" w:cs="Times New Roman"/>
          <w:i/>
          <w:u w:val="single"/>
        </w:rPr>
      </w:pPr>
    </w:p>
    <w:p w14:paraId="326D61F9"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u w:val="single"/>
        </w:rPr>
        <w:t>Instruction</w:t>
      </w:r>
      <w:r w:rsidRPr="00E869A4">
        <w:rPr>
          <w:rFonts w:ascii="Times New Roman" w:hAnsi="Times New Roman" w:cs="Times New Roman"/>
          <w:i/>
        </w:rPr>
        <w:t>: Refer to flash card A</w:t>
      </w:r>
    </w:p>
    <w:p w14:paraId="29544954" w14:textId="77777777" w:rsidR="00D1584C" w:rsidRPr="00E869A4" w:rsidRDefault="00D1584C" w:rsidP="009D4C5D">
      <w:pPr>
        <w:numPr>
          <w:ilvl w:val="0"/>
          <w:numId w:val="1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At our previous session, you said that you received help with....</w:t>
      </w:r>
      <w:r w:rsidRPr="00E869A4">
        <w:rPr>
          <w:rFonts w:ascii="Times New Roman" w:hAnsi="Times New Roman" w:cs="Times New Roman"/>
          <w:i/>
        </w:rPr>
        <w:t>specify activities</w:t>
      </w:r>
      <w:r w:rsidRPr="00E869A4">
        <w:rPr>
          <w:rFonts w:ascii="Times New Roman" w:hAnsi="Times New Roman" w:cs="Times New Roman"/>
        </w:rPr>
        <w:t>.... from ....</w:t>
      </w:r>
      <w:r w:rsidRPr="00E869A4">
        <w:rPr>
          <w:rFonts w:ascii="Times New Roman" w:hAnsi="Times New Roman" w:cs="Times New Roman"/>
          <w:i/>
        </w:rPr>
        <w:t>specify person(s)/Source of assistance</w:t>
      </w:r>
      <w:r w:rsidRPr="00E869A4">
        <w:rPr>
          <w:rFonts w:ascii="Times New Roman" w:hAnsi="Times New Roman" w:cs="Times New Roman"/>
        </w:rPr>
        <w:t xml:space="preserve">.... How do you feel about receiving this help? What makes you feel this way? </w:t>
      </w:r>
    </w:p>
    <w:p w14:paraId="218DD404" w14:textId="77777777" w:rsidR="00D1584C" w:rsidRPr="00E869A4" w:rsidRDefault="00D1584C" w:rsidP="009D4C5D">
      <w:pPr>
        <w:numPr>
          <w:ilvl w:val="0"/>
          <w:numId w:val="1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What type of help do you find or would you find the most difficult to receive from family and/or friends who may provide assistance to you on these activities? Why? </w:t>
      </w:r>
    </w:p>
    <w:p w14:paraId="590B4F47" w14:textId="77777777" w:rsidR="00D1584C" w:rsidRPr="00E869A4" w:rsidRDefault="00D1584C" w:rsidP="009D4C5D">
      <w:pPr>
        <w:numPr>
          <w:ilvl w:val="0"/>
          <w:numId w:val="1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Is there anything you need help with for which you are unable to or find it difficult to obtain assistance with? Why do you think this is the case? Do you have any suggestions on how this assistance can or should be obtained? (If yes) Please expand.</w:t>
      </w:r>
    </w:p>
    <w:p w14:paraId="21ED4EFB" w14:textId="77777777" w:rsidR="00D1584C" w:rsidRPr="00E869A4" w:rsidRDefault="00D1584C" w:rsidP="009D4C5D">
      <w:pPr>
        <w:numPr>
          <w:ilvl w:val="0"/>
          <w:numId w:val="1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Why do you think ....</w:t>
      </w:r>
      <w:r w:rsidRPr="00E869A4">
        <w:rPr>
          <w:rFonts w:ascii="Times New Roman" w:hAnsi="Times New Roman" w:cs="Times New Roman"/>
          <w:i/>
        </w:rPr>
        <w:t>C</w:t>
      </w:r>
      <w:r w:rsidRPr="00E869A4">
        <w:rPr>
          <w:rFonts w:ascii="Times New Roman" w:hAnsi="Times New Roman" w:cs="Times New Roman"/>
        </w:rPr>
        <w:t xml:space="preserve">.... looks after you? </w:t>
      </w:r>
    </w:p>
    <w:p w14:paraId="27FBB426" w14:textId="77777777" w:rsidR="00D1584C" w:rsidRPr="00E869A4" w:rsidRDefault="00D1584C" w:rsidP="009D4C5D">
      <w:pPr>
        <w:numPr>
          <w:ilvl w:val="0"/>
          <w:numId w:val="1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Are there any aspects of your caring situation that you find difficult or you are unhappy about? </w:t>
      </w:r>
      <w:r w:rsidRPr="00E869A4">
        <w:rPr>
          <w:rFonts w:ascii="Times New Roman" w:hAnsi="Times New Roman" w:cs="Times New Roman"/>
          <w:i/>
        </w:rPr>
        <w:t>Probe: What recent events have you found difficult?</w:t>
      </w:r>
      <w:r w:rsidRPr="00E869A4">
        <w:rPr>
          <w:rFonts w:ascii="Times New Roman" w:hAnsi="Times New Roman" w:cs="Times New Roman"/>
        </w:rPr>
        <w:t xml:space="preserve"> Why? </w:t>
      </w:r>
    </w:p>
    <w:p w14:paraId="7E3ADBC9" w14:textId="77777777" w:rsidR="00D1584C" w:rsidRPr="00E869A4" w:rsidRDefault="00D1584C" w:rsidP="009D4C5D">
      <w:pPr>
        <w:numPr>
          <w:ilvl w:val="0"/>
          <w:numId w:val="1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Are there any aspects of your caring situation that you enjoy, like or feel positive about? What recent events have you enjoyed? Is there anything that you are looking forward to? </w:t>
      </w:r>
    </w:p>
    <w:p w14:paraId="330EA0E3" w14:textId="77777777" w:rsidR="00D1584C" w:rsidRPr="00E869A4" w:rsidRDefault="00D1584C" w:rsidP="009D4C5D">
      <w:pPr>
        <w:numPr>
          <w:ilvl w:val="0"/>
          <w:numId w:val="1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Are there any ways in which you help ....</w:t>
      </w:r>
      <w:r w:rsidRPr="00E869A4">
        <w:rPr>
          <w:rFonts w:ascii="Times New Roman" w:hAnsi="Times New Roman" w:cs="Times New Roman"/>
          <w:i/>
        </w:rPr>
        <w:t xml:space="preserve"> C</w:t>
      </w:r>
      <w:r w:rsidRPr="00E869A4">
        <w:rPr>
          <w:rFonts w:ascii="Times New Roman" w:hAnsi="Times New Roman" w:cs="Times New Roman"/>
        </w:rPr>
        <w:t>....?</w:t>
      </w:r>
    </w:p>
    <w:p w14:paraId="533EE979" w14:textId="77777777" w:rsidR="00D1584C" w:rsidRPr="00E869A4" w:rsidRDefault="00D1584C" w:rsidP="009D4C5D">
      <w:pPr>
        <w:numPr>
          <w:ilvl w:val="0"/>
          <w:numId w:val="18"/>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Is there anything else you would like to share?</w:t>
      </w:r>
    </w:p>
    <w:p w14:paraId="2F8FABF6"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br w:type="page"/>
      </w:r>
    </w:p>
    <w:p w14:paraId="35C4D083" w14:textId="77777777" w:rsidR="00D1584C" w:rsidRPr="00E869A4" w:rsidRDefault="00D1584C" w:rsidP="00A35FF8">
      <w:pPr>
        <w:rPr>
          <w:rFonts w:ascii="Times New Roman" w:eastAsiaTheme="majorEastAsia" w:hAnsi="Times New Roman" w:cs="Times New Roman"/>
          <w:b/>
          <w:iCs/>
          <w:szCs w:val="28"/>
          <w:u w:val="single"/>
        </w:rPr>
      </w:pPr>
      <w:r w:rsidRPr="00E869A4">
        <w:rPr>
          <w:rFonts w:ascii="Times New Roman" w:eastAsiaTheme="majorEastAsia" w:hAnsi="Times New Roman" w:cs="Times New Roman"/>
          <w:b/>
          <w:iCs/>
          <w:szCs w:val="28"/>
          <w:u w:val="single"/>
        </w:rPr>
        <w:lastRenderedPageBreak/>
        <w:t>SESSION 3</w:t>
      </w:r>
    </w:p>
    <w:p w14:paraId="5A800AC1" w14:textId="77777777" w:rsidR="00D1584C" w:rsidRPr="00E869A4" w:rsidRDefault="00D1584C" w:rsidP="00A35FF8">
      <w:pPr>
        <w:rPr>
          <w:rFonts w:ascii="Times New Roman" w:eastAsiaTheme="majorEastAsia" w:hAnsi="Times New Roman" w:cs="Times New Roman"/>
          <w:b/>
          <w:iCs/>
          <w:szCs w:val="28"/>
          <w:u w:val="single"/>
        </w:rPr>
      </w:pPr>
      <w:bookmarkStart w:id="472" w:name="_ihv636" w:colFirst="0" w:colLast="0"/>
      <w:bookmarkEnd w:id="472"/>
      <w:r w:rsidRPr="00E869A4">
        <w:rPr>
          <w:rFonts w:ascii="Times New Roman" w:eastAsiaTheme="majorEastAsia" w:hAnsi="Times New Roman" w:cs="Times New Roman"/>
          <w:b/>
          <w:iCs/>
          <w:szCs w:val="28"/>
          <w:u w:val="single"/>
        </w:rPr>
        <w:t>INDIVIDUAL INTERVIEW WITH CARER</w:t>
      </w:r>
    </w:p>
    <w:p w14:paraId="7D296DCB" w14:textId="77777777" w:rsidR="00D1584C" w:rsidRPr="00E869A4" w:rsidRDefault="00D1584C" w:rsidP="00A35FF8">
      <w:pPr>
        <w:rPr>
          <w:rFonts w:ascii="Times New Roman" w:hAnsi="Times New Roman" w:cs="Times New Roman"/>
        </w:rPr>
      </w:pPr>
    </w:p>
    <w:p w14:paraId="3966033A"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Date of interview:</w:t>
      </w:r>
      <w:r w:rsidRPr="00E869A4">
        <w:rPr>
          <w:rFonts w:ascii="Times New Roman" w:hAnsi="Times New Roman" w:cs="Times New Roman"/>
        </w:rPr>
        <w:tab/>
        <w:t>(Day/Month/Year)        ________________________________</w:t>
      </w:r>
    </w:p>
    <w:p w14:paraId="199692ED" w14:textId="7F70595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Location: </w:t>
      </w:r>
      <w:r w:rsidRPr="00E869A4">
        <w:rPr>
          <w:rFonts w:ascii="Times New Roman" w:hAnsi="Times New Roman" w:cs="Times New Roman"/>
        </w:rPr>
        <w:tab/>
      </w:r>
      <w:r w:rsidRPr="00E869A4">
        <w:rPr>
          <w:rFonts w:ascii="Times New Roman" w:hAnsi="Times New Roman" w:cs="Times New Roman"/>
        </w:rPr>
        <w:tab/>
        <w:t>______________________________________________________</w:t>
      </w:r>
    </w:p>
    <w:p w14:paraId="408F532F" w14:textId="0E78AD44" w:rsidR="00D1584C" w:rsidRPr="00E869A4" w:rsidRDefault="00D1584C" w:rsidP="00A35FF8">
      <w:pPr>
        <w:rPr>
          <w:rFonts w:ascii="Times New Roman" w:hAnsi="Times New Roman" w:cs="Times New Roman"/>
        </w:rPr>
      </w:pPr>
      <w:r w:rsidRPr="00E869A4">
        <w:rPr>
          <w:rFonts w:ascii="Times New Roman" w:hAnsi="Times New Roman" w:cs="Times New Roman"/>
        </w:rPr>
        <w:t>Name of Carer (C):</w:t>
      </w:r>
      <w:r w:rsidRPr="00E869A4">
        <w:rPr>
          <w:rFonts w:ascii="Times New Roman" w:hAnsi="Times New Roman" w:cs="Times New Roman"/>
        </w:rPr>
        <w:tab/>
        <w:t>(First name/ Surname)</w:t>
      </w:r>
      <w:r w:rsidRPr="00E869A4">
        <w:rPr>
          <w:rFonts w:ascii="Times New Roman" w:hAnsi="Times New Roman" w:cs="Times New Roman"/>
        </w:rPr>
        <w:tab/>
        <w:t>_______</w:t>
      </w:r>
      <w:r w:rsidR="005C49D2" w:rsidRPr="00E869A4">
        <w:rPr>
          <w:rFonts w:ascii="Times New Roman" w:hAnsi="Times New Roman" w:cs="Times New Roman"/>
        </w:rPr>
        <w:t>_____________________________</w:t>
      </w:r>
    </w:p>
    <w:p w14:paraId="5576F7AE"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u w:val="single"/>
        </w:rPr>
        <w:t>Instruction</w:t>
      </w:r>
      <w:r w:rsidRPr="00E869A4">
        <w:rPr>
          <w:rFonts w:ascii="Times New Roman" w:hAnsi="Times New Roman" w:cs="Times New Roman"/>
          <w:i/>
        </w:rPr>
        <w:t>: Refer to Flash card A</w:t>
      </w:r>
    </w:p>
    <w:p w14:paraId="5008C499"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At our previous sessions, you said that you helped ...</w:t>
      </w:r>
      <w:r w:rsidRPr="00E869A4">
        <w:rPr>
          <w:rFonts w:ascii="Times New Roman" w:hAnsi="Times New Roman" w:cs="Times New Roman"/>
          <w:i/>
        </w:rPr>
        <w:t>CR</w:t>
      </w:r>
      <w:r w:rsidRPr="00E869A4">
        <w:rPr>
          <w:rFonts w:ascii="Times New Roman" w:hAnsi="Times New Roman" w:cs="Times New Roman"/>
        </w:rPr>
        <w:t>... with....</w:t>
      </w:r>
      <w:r w:rsidRPr="00E869A4">
        <w:rPr>
          <w:rFonts w:ascii="Times New Roman" w:hAnsi="Times New Roman" w:cs="Times New Roman"/>
          <w:i/>
        </w:rPr>
        <w:t>specify from notes</w:t>
      </w:r>
      <w:r w:rsidRPr="00E869A4">
        <w:rPr>
          <w:rFonts w:ascii="Times New Roman" w:hAnsi="Times New Roman" w:cs="Times New Roman"/>
        </w:rPr>
        <w:t xml:space="preserve">.... Is there anything else that you assist with? </w:t>
      </w:r>
    </w:p>
    <w:p w14:paraId="7B6AFB1E"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Why do you look after .... </w:t>
      </w:r>
      <w:r w:rsidRPr="00E869A4">
        <w:rPr>
          <w:rFonts w:ascii="Times New Roman" w:hAnsi="Times New Roman" w:cs="Times New Roman"/>
          <w:i/>
        </w:rPr>
        <w:t>CR</w:t>
      </w:r>
      <w:r w:rsidRPr="00E869A4">
        <w:rPr>
          <w:rFonts w:ascii="Times New Roman" w:hAnsi="Times New Roman" w:cs="Times New Roman"/>
        </w:rPr>
        <w:t>.....? What motivates you to provide care and support to ....</w:t>
      </w:r>
      <w:r w:rsidRPr="00E869A4">
        <w:rPr>
          <w:rFonts w:ascii="Times New Roman" w:hAnsi="Times New Roman" w:cs="Times New Roman"/>
          <w:i/>
        </w:rPr>
        <w:t>CR</w:t>
      </w:r>
      <w:r w:rsidRPr="00E869A4">
        <w:rPr>
          <w:rFonts w:ascii="Times New Roman" w:hAnsi="Times New Roman" w:cs="Times New Roman"/>
        </w:rPr>
        <w:t>...?</w:t>
      </w:r>
    </w:p>
    <w:p w14:paraId="5230B06C"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How would you describe your relationship with ...</w:t>
      </w:r>
      <w:r w:rsidRPr="00E869A4">
        <w:rPr>
          <w:rFonts w:ascii="Times New Roman" w:hAnsi="Times New Roman" w:cs="Times New Roman"/>
          <w:i/>
        </w:rPr>
        <w:t>CR</w:t>
      </w:r>
      <w:r w:rsidRPr="00E869A4">
        <w:rPr>
          <w:rFonts w:ascii="Times New Roman" w:hAnsi="Times New Roman" w:cs="Times New Roman"/>
        </w:rPr>
        <w:t>...? Since you began helping ...</w:t>
      </w:r>
      <w:r w:rsidRPr="00E869A4">
        <w:rPr>
          <w:rFonts w:ascii="Times New Roman" w:hAnsi="Times New Roman" w:cs="Times New Roman"/>
          <w:i/>
        </w:rPr>
        <w:t>CR...</w:t>
      </w:r>
      <w:r w:rsidRPr="00E869A4">
        <w:rPr>
          <w:rFonts w:ascii="Times New Roman" w:hAnsi="Times New Roman" w:cs="Times New Roman"/>
        </w:rPr>
        <w:t xml:space="preserve"> with these activities has your relationship improved? Why do you think this is the case?</w:t>
      </w:r>
    </w:p>
    <w:p w14:paraId="30ED0942"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At our last session you indicated that you made the following changes to your day-to-day routine and overall lifestyle to provide help to ....</w:t>
      </w:r>
      <w:r w:rsidRPr="00E869A4">
        <w:rPr>
          <w:rFonts w:ascii="Times New Roman" w:hAnsi="Times New Roman" w:cs="Times New Roman"/>
          <w:i/>
        </w:rPr>
        <w:t xml:space="preserve"> CR....</w:t>
      </w:r>
      <w:r w:rsidRPr="00E869A4">
        <w:rPr>
          <w:rFonts w:ascii="Times New Roman" w:hAnsi="Times New Roman" w:cs="Times New Roman"/>
        </w:rPr>
        <w:t xml:space="preserve">? Is </w:t>
      </w:r>
      <w:r w:rsidRPr="00E869A4">
        <w:rPr>
          <w:rFonts w:ascii="Times New Roman" w:hAnsi="Times New Roman" w:cs="Times New Roman"/>
          <w:i/>
        </w:rPr>
        <w:t>there</w:t>
      </w:r>
      <w:r w:rsidRPr="00E869A4">
        <w:rPr>
          <w:rFonts w:ascii="Times New Roman" w:hAnsi="Times New Roman" w:cs="Times New Roman"/>
        </w:rPr>
        <w:t xml:space="preserve"> anything else you would like to add? Is there anything you would either do or do more of if you were not caring for .....</w:t>
      </w:r>
      <w:r w:rsidRPr="00E869A4">
        <w:rPr>
          <w:rFonts w:ascii="Times New Roman" w:hAnsi="Times New Roman" w:cs="Times New Roman"/>
          <w:i/>
        </w:rPr>
        <w:t>CR...</w:t>
      </w:r>
      <w:r w:rsidRPr="00E869A4">
        <w:rPr>
          <w:rFonts w:ascii="Times New Roman" w:hAnsi="Times New Roman" w:cs="Times New Roman"/>
        </w:rPr>
        <w:t xml:space="preserve">.? How do you feel about these changes? What do you think makes you feel this way? </w:t>
      </w:r>
    </w:p>
    <w:p w14:paraId="108903A5"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type of care do you find or would you find to be the most difficult to provide for ....</w:t>
      </w:r>
      <w:r w:rsidRPr="00E869A4">
        <w:rPr>
          <w:rFonts w:ascii="Times New Roman" w:hAnsi="Times New Roman" w:cs="Times New Roman"/>
          <w:i/>
        </w:rPr>
        <w:t xml:space="preserve"> CR</w:t>
      </w:r>
      <w:r w:rsidRPr="00E869A4">
        <w:rPr>
          <w:rFonts w:ascii="Times New Roman" w:hAnsi="Times New Roman" w:cs="Times New Roman"/>
        </w:rPr>
        <w:t xml:space="preserve">.... ?  Why? </w:t>
      </w:r>
    </w:p>
    <w:p w14:paraId="735D7C2C"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Are there any other aspects of your caring situation that you find difficult or you are unhappy about? </w:t>
      </w:r>
      <w:r w:rsidRPr="00E869A4">
        <w:rPr>
          <w:rFonts w:ascii="Times New Roman" w:hAnsi="Times New Roman" w:cs="Times New Roman"/>
          <w:i/>
        </w:rPr>
        <w:t>Probe: What recent events have you found difficult?</w:t>
      </w:r>
      <w:r w:rsidRPr="00E869A4">
        <w:rPr>
          <w:rFonts w:ascii="Times New Roman" w:hAnsi="Times New Roman" w:cs="Times New Roman"/>
        </w:rPr>
        <w:t xml:space="preserve"> Why do you feel this way? What do you do to help you cope with these feelings?</w:t>
      </w:r>
    </w:p>
    <w:p w14:paraId="64719CC4"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Which (if any) are the aspects of your caring situation that you enjoy, like or feel positive about? What recent events have you enjoyed? Is there anything that you are looking forward to? </w:t>
      </w:r>
    </w:p>
    <w:p w14:paraId="759803E9"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Do you feel appreciated by ...</w:t>
      </w:r>
      <w:r w:rsidRPr="00E869A4">
        <w:rPr>
          <w:rFonts w:ascii="Times New Roman" w:hAnsi="Times New Roman" w:cs="Times New Roman"/>
          <w:i/>
        </w:rPr>
        <w:t>CR</w:t>
      </w:r>
      <w:r w:rsidRPr="00E869A4">
        <w:rPr>
          <w:rFonts w:ascii="Times New Roman" w:hAnsi="Times New Roman" w:cs="Times New Roman"/>
        </w:rPr>
        <w:t>...?</w:t>
      </w:r>
    </w:p>
    <w:p w14:paraId="63DAF362"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i/>
        </w:rPr>
      </w:pPr>
      <w:r w:rsidRPr="00E869A4">
        <w:rPr>
          <w:rFonts w:ascii="Times New Roman" w:hAnsi="Times New Roman" w:cs="Times New Roman"/>
        </w:rPr>
        <w:t>Overall, how do you feel about providing assistance to ...</w:t>
      </w:r>
      <w:r w:rsidRPr="00E869A4">
        <w:rPr>
          <w:rFonts w:ascii="Times New Roman" w:hAnsi="Times New Roman" w:cs="Times New Roman"/>
          <w:i/>
        </w:rPr>
        <w:t>CR...Probe: Do you feel a sense of fulfilment / find it stressful /mixed feelings?</w:t>
      </w:r>
    </w:p>
    <w:p w14:paraId="61B7EC9D"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Is there anything you do or do not do to help you manage with the care you currently provide? (</w:t>
      </w:r>
      <w:r w:rsidRPr="00E869A4">
        <w:rPr>
          <w:rFonts w:ascii="Times New Roman" w:hAnsi="Times New Roman" w:cs="Times New Roman"/>
          <w:i/>
        </w:rPr>
        <w:t>Probe: Are there any specific things that you do to help you cope with these issues?</w:t>
      </w:r>
      <w:r w:rsidRPr="00E869A4">
        <w:rPr>
          <w:rFonts w:ascii="Times New Roman" w:hAnsi="Times New Roman" w:cs="Times New Roman"/>
        </w:rPr>
        <w:t xml:space="preserve">) Can you suggest some other ways in which stressful feelings may be reduced or alleviated? </w:t>
      </w:r>
    </w:p>
    <w:p w14:paraId="67FD2018" w14:textId="77777777" w:rsidR="00D1584C" w:rsidRPr="00E869A4" w:rsidRDefault="00D1584C" w:rsidP="00A35FF8">
      <w:pPr>
        <w:ind w:left="720"/>
        <w:rPr>
          <w:rFonts w:ascii="Times New Roman" w:hAnsi="Times New Roman" w:cs="Times New Roman"/>
          <w:i/>
        </w:rPr>
      </w:pPr>
    </w:p>
    <w:p w14:paraId="4AD5620C" w14:textId="77777777" w:rsidR="00D1584C" w:rsidRPr="00E869A4" w:rsidRDefault="00D1584C" w:rsidP="00A35FF8">
      <w:pPr>
        <w:rPr>
          <w:rFonts w:ascii="Times New Roman" w:hAnsi="Times New Roman" w:cs="Times New Roman"/>
          <w:i/>
        </w:rPr>
      </w:pPr>
      <w:r w:rsidRPr="00E869A4">
        <w:rPr>
          <w:rFonts w:ascii="Times New Roman" w:hAnsi="Times New Roman" w:cs="Times New Roman"/>
          <w:i/>
          <w:u w:val="single"/>
        </w:rPr>
        <w:lastRenderedPageBreak/>
        <w:t>Instruction</w:t>
      </w:r>
      <w:r w:rsidRPr="00E869A4">
        <w:rPr>
          <w:rFonts w:ascii="Times New Roman" w:hAnsi="Times New Roman" w:cs="Times New Roman"/>
          <w:i/>
        </w:rPr>
        <w:t>: Refer to flash card C</w:t>
      </w:r>
    </w:p>
    <w:p w14:paraId="771F44B1" w14:textId="77777777" w:rsidR="00D1584C" w:rsidRPr="00E869A4" w:rsidRDefault="00D1584C" w:rsidP="00A35FF8">
      <w:pPr>
        <w:ind w:left="360"/>
        <w:rPr>
          <w:rFonts w:ascii="Times New Roman" w:hAnsi="Times New Roman" w:cs="Times New Roman"/>
        </w:rPr>
      </w:pPr>
    </w:p>
    <w:p w14:paraId="059B2E72"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Which of the following would you find useful to you? Please rank from most important to least important?</w:t>
      </w:r>
    </w:p>
    <w:p w14:paraId="2D516D82" w14:textId="77777777" w:rsidR="00D1584C" w:rsidRPr="00E869A4" w:rsidRDefault="00D1584C" w:rsidP="00A35FF8">
      <w:pPr>
        <w:ind w:left="720"/>
        <w:rPr>
          <w:rFonts w:ascii="Times New Roman" w:hAnsi="Times New Roman" w:cs="Times New Roman"/>
        </w:rPr>
      </w:pPr>
    </w:p>
    <w:p w14:paraId="27E2E081"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Have you had any other experience looking after an older adult? (</w:t>
      </w:r>
      <w:r w:rsidRPr="00E869A4">
        <w:rPr>
          <w:rFonts w:ascii="Times New Roman" w:hAnsi="Times New Roman" w:cs="Times New Roman"/>
          <w:i/>
        </w:rPr>
        <w:t>*If yes</w:t>
      </w:r>
      <w:r w:rsidRPr="00E869A4">
        <w:rPr>
          <w:rFonts w:ascii="Times New Roman" w:hAnsi="Times New Roman" w:cs="Times New Roman"/>
        </w:rPr>
        <w:t xml:space="preserve">) Please tell me about your experience. </w:t>
      </w:r>
    </w:p>
    <w:p w14:paraId="45CB8B41" w14:textId="77777777" w:rsidR="00D1584C" w:rsidRPr="00E869A4" w:rsidRDefault="00D1584C" w:rsidP="00A35FF8">
      <w:pPr>
        <w:ind w:left="720"/>
        <w:rPr>
          <w:rFonts w:ascii="Times New Roman" w:hAnsi="Times New Roman" w:cs="Times New Roman"/>
        </w:rPr>
      </w:pPr>
    </w:p>
    <w:p w14:paraId="2CAA2703" w14:textId="77777777" w:rsidR="00D1584C" w:rsidRPr="00E869A4" w:rsidRDefault="00D1584C" w:rsidP="009D4C5D">
      <w:pPr>
        <w:numPr>
          <w:ilvl w:val="0"/>
          <w:numId w:val="19"/>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Are there any ways in which ....</w:t>
      </w:r>
      <w:r w:rsidRPr="00E869A4">
        <w:rPr>
          <w:rFonts w:ascii="Times New Roman" w:hAnsi="Times New Roman" w:cs="Times New Roman"/>
          <w:i/>
        </w:rPr>
        <w:t xml:space="preserve"> CR</w:t>
      </w:r>
      <w:r w:rsidRPr="00E869A4">
        <w:rPr>
          <w:rFonts w:ascii="Times New Roman" w:hAnsi="Times New Roman" w:cs="Times New Roman"/>
        </w:rPr>
        <w:t>....helps you? (</w:t>
      </w:r>
      <w:r w:rsidRPr="00E869A4">
        <w:rPr>
          <w:rFonts w:ascii="Times New Roman" w:hAnsi="Times New Roman" w:cs="Times New Roman"/>
          <w:i/>
        </w:rPr>
        <w:t>*If yes</w:t>
      </w:r>
      <w:r w:rsidRPr="00E869A4">
        <w:rPr>
          <w:rFonts w:ascii="Times New Roman" w:hAnsi="Times New Roman" w:cs="Times New Roman"/>
        </w:rPr>
        <w:t>) Please specify.</w:t>
      </w:r>
    </w:p>
    <w:p w14:paraId="16A7753C" w14:textId="77777777" w:rsidR="00D1584C" w:rsidRPr="00E869A4" w:rsidRDefault="00D1584C" w:rsidP="00A35FF8">
      <w:pPr>
        <w:ind w:left="720"/>
        <w:rPr>
          <w:rFonts w:ascii="Times New Roman" w:hAnsi="Times New Roman" w:cs="Times New Roman"/>
        </w:rPr>
      </w:pPr>
    </w:p>
    <w:p w14:paraId="31493BCA" w14:textId="77777777" w:rsidR="00D1584C" w:rsidRPr="00E869A4" w:rsidRDefault="00D1584C" w:rsidP="009D4C5D">
      <w:pPr>
        <w:numPr>
          <w:ilvl w:val="0"/>
          <w:numId w:val="21"/>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Is there anything else you would like to share?</w:t>
      </w:r>
    </w:p>
    <w:p w14:paraId="618788AD" w14:textId="77777777" w:rsidR="00D1584C" w:rsidRPr="00E869A4" w:rsidRDefault="00D1584C" w:rsidP="00A35FF8">
      <w:pPr>
        <w:ind w:left="720"/>
        <w:rPr>
          <w:rFonts w:ascii="Times New Roman" w:hAnsi="Times New Roman" w:cs="Times New Roman"/>
        </w:rPr>
      </w:pPr>
    </w:p>
    <w:p w14:paraId="27933BF3" w14:textId="77777777" w:rsidR="00D1584C" w:rsidRPr="00E869A4" w:rsidRDefault="00D1584C" w:rsidP="008A5F7E">
      <w:pPr>
        <w:ind w:firstLine="0"/>
        <w:jc w:val="center"/>
        <w:rPr>
          <w:rFonts w:ascii="Times New Roman" w:eastAsiaTheme="majorEastAsia" w:hAnsi="Times New Roman" w:cs="Times New Roman"/>
          <w:b/>
          <w:iCs/>
          <w:szCs w:val="28"/>
          <w:u w:val="single"/>
        </w:rPr>
      </w:pPr>
      <w:bookmarkStart w:id="473" w:name="_32hioqz" w:colFirst="0" w:colLast="0"/>
      <w:bookmarkEnd w:id="473"/>
      <w:r w:rsidRPr="00E869A4">
        <w:rPr>
          <w:rFonts w:ascii="Times New Roman" w:hAnsi="Times New Roman" w:cs="Times New Roman"/>
        </w:rPr>
        <w:br w:type="page"/>
      </w:r>
      <w:r w:rsidRPr="00E869A4">
        <w:rPr>
          <w:rFonts w:ascii="Times New Roman" w:eastAsiaTheme="majorEastAsia" w:hAnsi="Times New Roman" w:cs="Times New Roman"/>
          <w:b/>
          <w:iCs/>
          <w:szCs w:val="28"/>
          <w:u w:val="single"/>
        </w:rPr>
        <w:lastRenderedPageBreak/>
        <w:t>FLASH CARD C – CAREGIVER NEEDS</w:t>
      </w:r>
    </w:p>
    <w:p w14:paraId="6019CD0F" w14:textId="77777777" w:rsidR="00A24571" w:rsidRPr="00E869A4" w:rsidRDefault="00A24571" w:rsidP="00A35FF8">
      <w:pPr>
        <w:rPr>
          <w:rFonts w:ascii="Times New Roman" w:hAnsi="Times New Roman" w:cs="Times New Roman"/>
          <w:b/>
          <w:smallCaps/>
        </w:rPr>
      </w:pP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1559"/>
        <w:gridCol w:w="1559"/>
        <w:gridCol w:w="1559"/>
      </w:tblGrid>
      <w:tr w:rsidR="00C714D3" w:rsidRPr="00E869A4" w14:paraId="646A8353" w14:textId="77777777" w:rsidTr="008A5F7E">
        <w:trPr>
          <w:jc w:val="center"/>
        </w:trPr>
        <w:tc>
          <w:tcPr>
            <w:tcW w:w="3936" w:type="dxa"/>
            <w:vAlign w:val="center"/>
          </w:tcPr>
          <w:p w14:paraId="566FB0B8" w14:textId="77777777" w:rsidR="00D1584C" w:rsidRPr="00E869A4" w:rsidRDefault="00D1584C" w:rsidP="005C49D2">
            <w:pPr>
              <w:ind w:firstLine="0"/>
              <w:rPr>
                <w:rFonts w:ascii="Times New Roman" w:hAnsi="Times New Roman" w:cs="Times New Roman"/>
                <w:b/>
                <w:smallCaps/>
              </w:rPr>
            </w:pPr>
            <w:r w:rsidRPr="00E869A4">
              <w:rPr>
                <w:rFonts w:ascii="Times New Roman" w:hAnsi="Times New Roman" w:cs="Times New Roman"/>
                <w:b/>
                <w:smallCaps/>
              </w:rPr>
              <w:t>Caregiver Needs</w:t>
            </w:r>
          </w:p>
        </w:tc>
        <w:tc>
          <w:tcPr>
            <w:tcW w:w="1559" w:type="dxa"/>
            <w:vAlign w:val="center"/>
          </w:tcPr>
          <w:p w14:paraId="15DB5BB6" w14:textId="77777777" w:rsidR="00D1584C" w:rsidRPr="00E869A4" w:rsidRDefault="00D1584C" w:rsidP="005C49D2">
            <w:pPr>
              <w:ind w:firstLine="0"/>
              <w:rPr>
                <w:rFonts w:ascii="Times New Roman" w:hAnsi="Times New Roman" w:cs="Times New Roman"/>
                <w:b/>
                <w:smallCaps/>
              </w:rPr>
            </w:pPr>
            <w:r w:rsidRPr="00E869A4">
              <w:rPr>
                <w:rFonts w:ascii="Times New Roman" w:hAnsi="Times New Roman" w:cs="Times New Roman"/>
                <w:b/>
                <w:smallCaps/>
              </w:rPr>
              <w:t>Required</w:t>
            </w:r>
          </w:p>
        </w:tc>
        <w:tc>
          <w:tcPr>
            <w:tcW w:w="1559" w:type="dxa"/>
            <w:vAlign w:val="center"/>
          </w:tcPr>
          <w:p w14:paraId="1B5A18EE" w14:textId="77777777" w:rsidR="00D1584C" w:rsidRPr="00E869A4" w:rsidRDefault="00D1584C" w:rsidP="005C49D2">
            <w:pPr>
              <w:ind w:firstLine="0"/>
              <w:rPr>
                <w:rFonts w:ascii="Times New Roman" w:hAnsi="Times New Roman" w:cs="Times New Roman"/>
                <w:b/>
                <w:smallCaps/>
              </w:rPr>
            </w:pPr>
          </w:p>
          <w:p w14:paraId="6A7B24B2" w14:textId="77777777" w:rsidR="00D1584C" w:rsidRPr="00E869A4" w:rsidRDefault="00D1584C" w:rsidP="005C49D2">
            <w:pPr>
              <w:ind w:firstLine="0"/>
              <w:rPr>
                <w:rFonts w:ascii="Times New Roman" w:hAnsi="Times New Roman" w:cs="Times New Roman"/>
                <w:b/>
                <w:smallCaps/>
              </w:rPr>
            </w:pPr>
            <w:r w:rsidRPr="00E869A4">
              <w:rPr>
                <w:rFonts w:ascii="Times New Roman" w:hAnsi="Times New Roman" w:cs="Times New Roman"/>
                <w:b/>
                <w:smallCaps/>
              </w:rPr>
              <w:t>Rank</w:t>
            </w:r>
          </w:p>
          <w:p w14:paraId="113BB063" w14:textId="77777777" w:rsidR="00D1584C" w:rsidRPr="00E869A4" w:rsidRDefault="00D1584C" w:rsidP="005C49D2">
            <w:pPr>
              <w:ind w:firstLine="0"/>
              <w:rPr>
                <w:rFonts w:ascii="Times New Roman" w:hAnsi="Times New Roman" w:cs="Times New Roman"/>
                <w:b/>
                <w:smallCaps/>
              </w:rPr>
            </w:pPr>
          </w:p>
        </w:tc>
        <w:tc>
          <w:tcPr>
            <w:tcW w:w="1559" w:type="dxa"/>
          </w:tcPr>
          <w:p w14:paraId="39EA72C6" w14:textId="77777777" w:rsidR="00D1584C" w:rsidRPr="00E869A4" w:rsidRDefault="00D1584C" w:rsidP="005C49D2">
            <w:pPr>
              <w:ind w:firstLine="0"/>
              <w:rPr>
                <w:rFonts w:ascii="Times New Roman" w:hAnsi="Times New Roman" w:cs="Times New Roman"/>
                <w:b/>
                <w:smallCaps/>
              </w:rPr>
            </w:pPr>
          </w:p>
          <w:p w14:paraId="7241E13B" w14:textId="77777777" w:rsidR="00D1584C" w:rsidRPr="00E869A4" w:rsidRDefault="00D1584C" w:rsidP="005C49D2">
            <w:pPr>
              <w:ind w:firstLine="0"/>
              <w:rPr>
                <w:rFonts w:ascii="Times New Roman" w:hAnsi="Times New Roman" w:cs="Times New Roman"/>
                <w:b/>
                <w:smallCaps/>
              </w:rPr>
            </w:pPr>
            <w:r w:rsidRPr="00E869A4">
              <w:rPr>
                <w:rFonts w:ascii="Times New Roman" w:hAnsi="Times New Roman" w:cs="Times New Roman"/>
                <w:b/>
                <w:smallCaps/>
              </w:rPr>
              <w:t>Notes</w:t>
            </w:r>
          </w:p>
        </w:tc>
      </w:tr>
      <w:tr w:rsidR="00C714D3" w:rsidRPr="00E869A4" w14:paraId="2EB5C464" w14:textId="77777777" w:rsidTr="008A5F7E">
        <w:trPr>
          <w:jc w:val="center"/>
        </w:trPr>
        <w:tc>
          <w:tcPr>
            <w:tcW w:w="3936" w:type="dxa"/>
          </w:tcPr>
          <w:p w14:paraId="653D00C2"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Getting cooperation and assistance from other family members</w:t>
            </w:r>
          </w:p>
        </w:tc>
        <w:tc>
          <w:tcPr>
            <w:tcW w:w="1559" w:type="dxa"/>
          </w:tcPr>
          <w:p w14:paraId="70530B1C" w14:textId="77777777" w:rsidR="00D1584C" w:rsidRPr="00E869A4" w:rsidRDefault="00D1584C" w:rsidP="005C49D2">
            <w:pPr>
              <w:ind w:firstLine="0"/>
              <w:rPr>
                <w:rFonts w:ascii="Times New Roman" w:hAnsi="Times New Roman" w:cs="Times New Roman"/>
              </w:rPr>
            </w:pPr>
          </w:p>
        </w:tc>
        <w:tc>
          <w:tcPr>
            <w:tcW w:w="1559" w:type="dxa"/>
          </w:tcPr>
          <w:p w14:paraId="3CDE1BF2" w14:textId="77777777" w:rsidR="00D1584C" w:rsidRPr="00E869A4" w:rsidRDefault="00D1584C" w:rsidP="005C49D2">
            <w:pPr>
              <w:ind w:firstLine="0"/>
              <w:rPr>
                <w:rFonts w:ascii="Times New Roman" w:hAnsi="Times New Roman" w:cs="Times New Roman"/>
              </w:rPr>
            </w:pPr>
          </w:p>
        </w:tc>
        <w:tc>
          <w:tcPr>
            <w:tcW w:w="1559" w:type="dxa"/>
          </w:tcPr>
          <w:p w14:paraId="2FE2E69C" w14:textId="77777777" w:rsidR="00D1584C" w:rsidRPr="00E869A4" w:rsidRDefault="00D1584C" w:rsidP="005C49D2">
            <w:pPr>
              <w:ind w:firstLine="0"/>
              <w:rPr>
                <w:rFonts w:ascii="Times New Roman" w:hAnsi="Times New Roman" w:cs="Times New Roman"/>
              </w:rPr>
            </w:pPr>
          </w:p>
        </w:tc>
      </w:tr>
      <w:tr w:rsidR="00C714D3" w:rsidRPr="00E869A4" w14:paraId="18F86A6E" w14:textId="77777777" w:rsidTr="008A5F7E">
        <w:trPr>
          <w:jc w:val="center"/>
        </w:trPr>
        <w:tc>
          <w:tcPr>
            <w:tcW w:w="3936" w:type="dxa"/>
          </w:tcPr>
          <w:p w14:paraId="0E3C0261"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Finding trained and reliable home care providers / helpers</w:t>
            </w:r>
          </w:p>
        </w:tc>
        <w:tc>
          <w:tcPr>
            <w:tcW w:w="1559" w:type="dxa"/>
          </w:tcPr>
          <w:p w14:paraId="2F33F2BF" w14:textId="77777777" w:rsidR="00D1584C" w:rsidRPr="00E869A4" w:rsidRDefault="00D1584C" w:rsidP="005C49D2">
            <w:pPr>
              <w:ind w:firstLine="0"/>
              <w:rPr>
                <w:rFonts w:ascii="Times New Roman" w:hAnsi="Times New Roman" w:cs="Times New Roman"/>
              </w:rPr>
            </w:pPr>
          </w:p>
        </w:tc>
        <w:tc>
          <w:tcPr>
            <w:tcW w:w="1559" w:type="dxa"/>
          </w:tcPr>
          <w:p w14:paraId="76F44301" w14:textId="77777777" w:rsidR="00D1584C" w:rsidRPr="00E869A4" w:rsidRDefault="00D1584C" w:rsidP="005C49D2">
            <w:pPr>
              <w:ind w:firstLine="0"/>
              <w:rPr>
                <w:rFonts w:ascii="Times New Roman" w:hAnsi="Times New Roman" w:cs="Times New Roman"/>
              </w:rPr>
            </w:pPr>
          </w:p>
        </w:tc>
        <w:tc>
          <w:tcPr>
            <w:tcW w:w="1559" w:type="dxa"/>
          </w:tcPr>
          <w:p w14:paraId="13BB715B" w14:textId="77777777" w:rsidR="00D1584C" w:rsidRPr="00E869A4" w:rsidRDefault="00D1584C" w:rsidP="005C49D2">
            <w:pPr>
              <w:ind w:firstLine="0"/>
              <w:rPr>
                <w:rFonts w:ascii="Times New Roman" w:hAnsi="Times New Roman" w:cs="Times New Roman"/>
              </w:rPr>
            </w:pPr>
          </w:p>
        </w:tc>
      </w:tr>
      <w:tr w:rsidR="00C714D3" w:rsidRPr="00E869A4" w14:paraId="5946C23A" w14:textId="77777777" w:rsidTr="008A5F7E">
        <w:trPr>
          <w:jc w:val="center"/>
        </w:trPr>
        <w:tc>
          <w:tcPr>
            <w:tcW w:w="3936" w:type="dxa"/>
          </w:tcPr>
          <w:p w14:paraId="0D17C48C"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Finding other services</w:t>
            </w:r>
          </w:p>
        </w:tc>
        <w:tc>
          <w:tcPr>
            <w:tcW w:w="1559" w:type="dxa"/>
          </w:tcPr>
          <w:p w14:paraId="63DBE661" w14:textId="77777777" w:rsidR="00D1584C" w:rsidRPr="00E869A4" w:rsidRDefault="00D1584C" w:rsidP="005C49D2">
            <w:pPr>
              <w:ind w:firstLine="0"/>
              <w:rPr>
                <w:rFonts w:ascii="Times New Roman" w:hAnsi="Times New Roman" w:cs="Times New Roman"/>
              </w:rPr>
            </w:pPr>
          </w:p>
        </w:tc>
        <w:tc>
          <w:tcPr>
            <w:tcW w:w="1559" w:type="dxa"/>
          </w:tcPr>
          <w:p w14:paraId="062207EF" w14:textId="77777777" w:rsidR="00D1584C" w:rsidRPr="00E869A4" w:rsidRDefault="00D1584C" w:rsidP="005C49D2">
            <w:pPr>
              <w:ind w:firstLine="0"/>
              <w:rPr>
                <w:rFonts w:ascii="Times New Roman" w:hAnsi="Times New Roman" w:cs="Times New Roman"/>
              </w:rPr>
            </w:pPr>
          </w:p>
        </w:tc>
        <w:tc>
          <w:tcPr>
            <w:tcW w:w="1559" w:type="dxa"/>
          </w:tcPr>
          <w:p w14:paraId="6297167E" w14:textId="77777777" w:rsidR="00D1584C" w:rsidRPr="00E869A4" w:rsidRDefault="00D1584C" w:rsidP="005C49D2">
            <w:pPr>
              <w:ind w:firstLine="0"/>
              <w:rPr>
                <w:rFonts w:ascii="Times New Roman" w:hAnsi="Times New Roman" w:cs="Times New Roman"/>
              </w:rPr>
            </w:pPr>
          </w:p>
        </w:tc>
      </w:tr>
      <w:tr w:rsidR="00C714D3" w:rsidRPr="00E869A4" w14:paraId="7FCB2597" w14:textId="77777777" w:rsidTr="008A5F7E">
        <w:trPr>
          <w:jc w:val="center"/>
        </w:trPr>
        <w:tc>
          <w:tcPr>
            <w:tcW w:w="3936" w:type="dxa"/>
          </w:tcPr>
          <w:p w14:paraId="0A961ED7"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Adjusting work schedule</w:t>
            </w:r>
          </w:p>
        </w:tc>
        <w:tc>
          <w:tcPr>
            <w:tcW w:w="1559" w:type="dxa"/>
          </w:tcPr>
          <w:p w14:paraId="3C29C392" w14:textId="77777777" w:rsidR="00D1584C" w:rsidRPr="00E869A4" w:rsidRDefault="00D1584C" w:rsidP="005C49D2">
            <w:pPr>
              <w:ind w:firstLine="0"/>
              <w:rPr>
                <w:rFonts w:ascii="Times New Roman" w:hAnsi="Times New Roman" w:cs="Times New Roman"/>
              </w:rPr>
            </w:pPr>
          </w:p>
        </w:tc>
        <w:tc>
          <w:tcPr>
            <w:tcW w:w="1559" w:type="dxa"/>
          </w:tcPr>
          <w:p w14:paraId="29408AFD" w14:textId="77777777" w:rsidR="00D1584C" w:rsidRPr="00E869A4" w:rsidRDefault="00D1584C" w:rsidP="005C49D2">
            <w:pPr>
              <w:ind w:firstLine="0"/>
              <w:rPr>
                <w:rFonts w:ascii="Times New Roman" w:hAnsi="Times New Roman" w:cs="Times New Roman"/>
              </w:rPr>
            </w:pPr>
          </w:p>
        </w:tc>
        <w:tc>
          <w:tcPr>
            <w:tcW w:w="1559" w:type="dxa"/>
          </w:tcPr>
          <w:p w14:paraId="2C20C24F" w14:textId="77777777" w:rsidR="00D1584C" w:rsidRPr="00E869A4" w:rsidRDefault="00D1584C" w:rsidP="005C49D2">
            <w:pPr>
              <w:ind w:firstLine="0"/>
              <w:rPr>
                <w:rFonts w:ascii="Times New Roman" w:hAnsi="Times New Roman" w:cs="Times New Roman"/>
              </w:rPr>
            </w:pPr>
          </w:p>
        </w:tc>
      </w:tr>
      <w:tr w:rsidR="00C714D3" w:rsidRPr="00E869A4" w14:paraId="291E6EF0" w14:textId="77777777" w:rsidTr="008A5F7E">
        <w:trPr>
          <w:jc w:val="center"/>
        </w:trPr>
        <w:tc>
          <w:tcPr>
            <w:tcW w:w="3936" w:type="dxa"/>
          </w:tcPr>
          <w:p w14:paraId="2F6E0A57"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Balancing other family responsibilities e.g. children</w:t>
            </w:r>
          </w:p>
        </w:tc>
        <w:tc>
          <w:tcPr>
            <w:tcW w:w="1559" w:type="dxa"/>
          </w:tcPr>
          <w:p w14:paraId="2B8F8871" w14:textId="77777777" w:rsidR="00D1584C" w:rsidRPr="00E869A4" w:rsidRDefault="00D1584C" w:rsidP="005C49D2">
            <w:pPr>
              <w:ind w:firstLine="0"/>
              <w:rPr>
                <w:rFonts w:ascii="Times New Roman" w:hAnsi="Times New Roman" w:cs="Times New Roman"/>
              </w:rPr>
            </w:pPr>
          </w:p>
        </w:tc>
        <w:tc>
          <w:tcPr>
            <w:tcW w:w="1559" w:type="dxa"/>
          </w:tcPr>
          <w:p w14:paraId="3C7232EA" w14:textId="77777777" w:rsidR="00D1584C" w:rsidRPr="00E869A4" w:rsidRDefault="00D1584C" w:rsidP="005C49D2">
            <w:pPr>
              <w:ind w:firstLine="0"/>
              <w:rPr>
                <w:rFonts w:ascii="Times New Roman" w:hAnsi="Times New Roman" w:cs="Times New Roman"/>
              </w:rPr>
            </w:pPr>
          </w:p>
        </w:tc>
        <w:tc>
          <w:tcPr>
            <w:tcW w:w="1559" w:type="dxa"/>
          </w:tcPr>
          <w:p w14:paraId="04180903" w14:textId="77777777" w:rsidR="00D1584C" w:rsidRPr="00E869A4" w:rsidRDefault="00D1584C" w:rsidP="005C49D2">
            <w:pPr>
              <w:ind w:firstLine="0"/>
              <w:rPr>
                <w:rFonts w:ascii="Times New Roman" w:hAnsi="Times New Roman" w:cs="Times New Roman"/>
              </w:rPr>
            </w:pPr>
          </w:p>
        </w:tc>
      </w:tr>
      <w:tr w:rsidR="00C714D3" w:rsidRPr="00E869A4" w14:paraId="6D0BC908" w14:textId="77777777" w:rsidTr="008A5F7E">
        <w:trPr>
          <w:jc w:val="center"/>
        </w:trPr>
        <w:tc>
          <w:tcPr>
            <w:tcW w:w="3936" w:type="dxa"/>
          </w:tcPr>
          <w:p w14:paraId="0F92C588"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Meeting personal needs e.g. personal time, exercise</w:t>
            </w:r>
          </w:p>
        </w:tc>
        <w:tc>
          <w:tcPr>
            <w:tcW w:w="1559" w:type="dxa"/>
          </w:tcPr>
          <w:p w14:paraId="0CB0ABCE" w14:textId="77777777" w:rsidR="00D1584C" w:rsidRPr="00E869A4" w:rsidRDefault="00D1584C" w:rsidP="005C49D2">
            <w:pPr>
              <w:ind w:firstLine="0"/>
              <w:rPr>
                <w:rFonts w:ascii="Times New Roman" w:hAnsi="Times New Roman" w:cs="Times New Roman"/>
              </w:rPr>
            </w:pPr>
          </w:p>
        </w:tc>
        <w:tc>
          <w:tcPr>
            <w:tcW w:w="1559" w:type="dxa"/>
          </w:tcPr>
          <w:p w14:paraId="70BBB68E" w14:textId="77777777" w:rsidR="00D1584C" w:rsidRPr="00E869A4" w:rsidRDefault="00D1584C" w:rsidP="005C49D2">
            <w:pPr>
              <w:ind w:firstLine="0"/>
              <w:rPr>
                <w:rFonts w:ascii="Times New Roman" w:hAnsi="Times New Roman" w:cs="Times New Roman"/>
              </w:rPr>
            </w:pPr>
          </w:p>
        </w:tc>
        <w:tc>
          <w:tcPr>
            <w:tcW w:w="1559" w:type="dxa"/>
          </w:tcPr>
          <w:p w14:paraId="6C5752AE" w14:textId="77777777" w:rsidR="00D1584C" w:rsidRPr="00E869A4" w:rsidRDefault="00D1584C" w:rsidP="005C49D2">
            <w:pPr>
              <w:ind w:firstLine="0"/>
              <w:rPr>
                <w:rFonts w:ascii="Times New Roman" w:hAnsi="Times New Roman" w:cs="Times New Roman"/>
              </w:rPr>
            </w:pPr>
          </w:p>
        </w:tc>
      </w:tr>
      <w:tr w:rsidR="00C714D3" w:rsidRPr="00E869A4" w14:paraId="7B8A430B" w14:textId="77777777" w:rsidTr="008A5F7E">
        <w:trPr>
          <w:jc w:val="center"/>
        </w:trPr>
        <w:tc>
          <w:tcPr>
            <w:tcW w:w="3936" w:type="dxa"/>
          </w:tcPr>
          <w:p w14:paraId="782C206E"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Getting information about the health issues affecting ...</w:t>
            </w:r>
            <w:r w:rsidRPr="00E869A4">
              <w:rPr>
                <w:rFonts w:ascii="Times New Roman" w:hAnsi="Times New Roman" w:cs="Times New Roman"/>
                <w:i/>
              </w:rPr>
              <w:t>CR</w:t>
            </w:r>
            <w:r w:rsidRPr="00E869A4">
              <w:rPr>
                <w:rFonts w:ascii="Times New Roman" w:hAnsi="Times New Roman" w:cs="Times New Roman"/>
              </w:rPr>
              <w:t>...</w:t>
            </w:r>
          </w:p>
        </w:tc>
        <w:tc>
          <w:tcPr>
            <w:tcW w:w="1559" w:type="dxa"/>
          </w:tcPr>
          <w:p w14:paraId="4FE504C9" w14:textId="77777777" w:rsidR="00D1584C" w:rsidRPr="00E869A4" w:rsidRDefault="00D1584C" w:rsidP="005C49D2">
            <w:pPr>
              <w:ind w:firstLine="0"/>
              <w:rPr>
                <w:rFonts w:ascii="Times New Roman" w:hAnsi="Times New Roman" w:cs="Times New Roman"/>
              </w:rPr>
            </w:pPr>
          </w:p>
        </w:tc>
        <w:tc>
          <w:tcPr>
            <w:tcW w:w="1559" w:type="dxa"/>
          </w:tcPr>
          <w:p w14:paraId="1FF5715B" w14:textId="77777777" w:rsidR="00D1584C" w:rsidRPr="00E869A4" w:rsidRDefault="00D1584C" w:rsidP="005C49D2">
            <w:pPr>
              <w:ind w:firstLine="0"/>
              <w:rPr>
                <w:rFonts w:ascii="Times New Roman" w:hAnsi="Times New Roman" w:cs="Times New Roman"/>
              </w:rPr>
            </w:pPr>
          </w:p>
        </w:tc>
        <w:tc>
          <w:tcPr>
            <w:tcW w:w="1559" w:type="dxa"/>
          </w:tcPr>
          <w:p w14:paraId="260A7DD6" w14:textId="77777777" w:rsidR="00D1584C" w:rsidRPr="00E869A4" w:rsidRDefault="00D1584C" w:rsidP="005C49D2">
            <w:pPr>
              <w:ind w:firstLine="0"/>
              <w:rPr>
                <w:rFonts w:ascii="Times New Roman" w:hAnsi="Times New Roman" w:cs="Times New Roman"/>
              </w:rPr>
            </w:pPr>
          </w:p>
        </w:tc>
      </w:tr>
      <w:tr w:rsidR="00C714D3" w:rsidRPr="00E869A4" w14:paraId="7AC8FF22" w14:textId="77777777" w:rsidTr="008A5F7E">
        <w:trPr>
          <w:jc w:val="center"/>
        </w:trPr>
        <w:tc>
          <w:tcPr>
            <w:tcW w:w="3936" w:type="dxa"/>
          </w:tcPr>
          <w:p w14:paraId="023B0811"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Communicating with professionals at health and social service agencies</w:t>
            </w:r>
          </w:p>
        </w:tc>
        <w:tc>
          <w:tcPr>
            <w:tcW w:w="1559" w:type="dxa"/>
          </w:tcPr>
          <w:p w14:paraId="2DB12C73" w14:textId="77777777" w:rsidR="00D1584C" w:rsidRPr="00E869A4" w:rsidRDefault="00D1584C" w:rsidP="005C49D2">
            <w:pPr>
              <w:ind w:firstLine="0"/>
              <w:rPr>
                <w:rFonts w:ascii="Times New Roman" w:hAnsi="Times New Roman" w:cs="Times New Roman"/>
              </w:rPr>
            </w:pPr>
          </w:p>
        </w:tc>
        <w:tc>
          <w:tcPr>
            <w:tcW w:w="1559" w:type="dxa"/>
          </w:tcPr>
          <w:p w14:paraId="0102FB12" w14:textId="77777777" w:rsidR="00D1584C" w:rsidRPr="00E869A4" w:rsidRDefault="00D1584C" w:rsidP="005C49D2">
            <w:pPr>
              <w:ind w:firstLine="0"/>
              <w:rPr>
                <w:rFonts w:ascii="Times New Roman" w:hAnsi="Times New Roman" w:cs="Times New Roman"/>
              </w:rPr>
            </w:pPr>
          </w:p>
        </w:tc>
        <w:tc>
          <w:tcPr>
            <w:tcW w:w="1559" w:type="dxa"/>
          </w:tcPr>
          <w:p w14:paraId="6A668A00" w14:textId="77777777" w:rsidR="00D1584C" w:rsidRPr="00E869A4" w:rsidRDefault="00D1584C" w:rsidP="005C49D2">
            <w:pPr>
              <w:ind w:firstLine="0"/>
              <w:rPr>
                <w:rFonts w:ascii="Times New Roman" w:hAnsi="Times New Roman" w:cs="Times New Roman"/>
              </w:rPr>
            </w:pPr>
          </w:p>
        </w:tc>
      </w:tr>
      <w:tr w:rsidR="00C714D3" w:rsidRPr="00E869A4" w14:paraId="50818697" w14:textId="77777777" w:rsidTr="008A5F7E">
        <w:trPr>
          <w:jc w:val="center"/>
        </w:trPr>
        <w:tc>
          <w:tcPr>
            <w:tcW w:w="3936" w:type="dxa"/>
          </w:tcPr>
          <w:p w14:paraId="0BF0BE8E"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Dealing with difficult, unwanted or dangerous behaviour of dangerous behaviour of ...</w:t>
            </w:r>
            <w:r w:rsidRPr="00E869A4">
              <w:rPr>
                <w:rFonts w:ascii="Times New Roman" w:hAnsi="Times New Roman" w:cs="Times New Roman"/>
                <w:i/>
              </w:rPr>
              <w:t>CR</w:t>
            </w:r>
            <w:r w:rsidRPr="00E869A4">
              <w:rPr>
                <w:rFonts w:ascii="Times New Roman" w:hAnsi="Times New Roman" w:cs="Times New Roman"/>
              </w:rPr>
              <w:t>...</w:t>
            </w:r>
          </w:p>
        </w:tc>
        <w:tc>
          <w:tcPr>
            <w:tcW w:w="1559" w:type="dxa"/>
          </w:tcPr>
          <w:p w14:paraId="2DCB0329" w14:textId="77777777" w:rsidR="00D1584C" w:rsidRPr="00E869A4" w:rsidRDefault="00D1584C" w:rsidP="005C49D2">
            <w:pPr>
              <w:ind w:firstLine="0"/>
              <w:rPr>
                <w:rFonts w:ascii="Times New Roman" w:hAnsi="Times New Roman" w:cs="Times New Roman"/>
              </w:rPr>
            </w:pPr>
          </w:p>
        </w:tc>
        <w:tc>
          <w:tcPr>
            <w:tcW w:w="1559" w:type="dxa"/>
          </w:tcPr>
          <w:p w14:paraId="604510DD" w14:textId="77777777" w:rsidR="00D1584C" w:rsidRPr="00E869A4" w:rsidRDefault="00D1584C" w:rsidP="005C49D2">
            <w:pPr>
              <w:ind w:firstLine="0"/>
              <w:rPr>
                <w:rFonts w:ascii="Times New Roman" w:hAnsi="Times New Roman" w:cs="Times New Roman"/>
              </w:rPr>
            </w:pPr>
          </w:p>
        </w:tc>
        <w:tc>
          <w:tcPr>
            <w:tcW w:w="1559" w:type="dxa"/>
          </w:tcPr>
          <w:p w14:paraId="54A4C760" w14:textId="77777777" w:rsidR="00D1584C" w:rsidRPr="00E869A4" w:rsidRDefault="00D1584C" w:rsidP="005C49D2">
            <w:pPr>
              <w:ind w:firstLine="0"/>
              <w:rPr>
                <w:rFonts w:ascii="Times New Roman" w:hAnsi="Times New Roman" w:cs="Times New Roman"/>
              </w:rPr>
            </w:pPr>
          </w:p>
        </w:tc>
      </w:tr>
      <w:tr w:rsidR="00C714D3" w:rsidRPr="00E869A4" w14:paraId="6699B6CC" w14:textId="77777777" w:rsidTr="008A5F7E">
        <w:trPr>
          <w:jc w:val="center"/>
        </w:trPr>
        <w:tc>
          <w:tcPr>
            <w:tcW w:w="3936" w:type="dxa"/>
          </w:tcPr>
          <w:p w14:paraId="14152B18" w14:textId="77777777" w:rsidR="00D1584C" w:rsidRPr="00E869A4" w:rsidRDefault="00D1584C" w:rsidP="005C49D2">
            <w:pPr>
              <w:ind w:firstLine="0"/>
              <w:rPr>
                <w:rFonts w:ascii="Times New Roman" w:hAnsi="Times New Roman" w:cs="Times New Roman"/>
              </w:rPr>
            </w:pPr>
            <w:r w:rsidRPr="00E869A4">
              <w:rPr>
                <w:rFonts w:ascii="Times New Roman" w:hAnsi="Times New Roman" w:cs="Times New Roman"/>
              </w:rPr>
              <w:t>Other</w:t>
            </w:r>
          </w:p>
          <w:p w14:paraId="0B230233" w14:textId="77777777" w:rsidR="00D1584C" w:rsidRPr="00E869A4" w:rsidRDefault="00D1584C" w:rsidP="005C49D2">
            <w:pPr>
              <w:ind w:firstLine="0"/>
              <w:rPr>
                <w:rFonts w:ascii="Times New Roman" w:hAnsi="Times New Roman" w:cs="Times New Roman"/>
              </w:rPr>
            </w:pPr>
          </w:p>
        </w:tc>
        <w:tc>
          <w:tcPr>
            <w:tcW w:w="1559" w:type="dxa"/>
          </w:tcPr>
          <w:p w14:paraId="59182722" w14:textId="77777777" w:rsidR="00D1584C" w:rsidRPr="00E869A4" w:rsidRDefault="00D1584C" w:rsidP="005C49D2">
            <w:pPr>
              <w:ind w:firstLine="0"/>
              <w:rPr>
                <w:rFonts w:ascii="Times New Roman" w:hAnsi="Times New Roman" w:cs="Times New Roman"/>
              </w:rPr>
            </w:pPr>
          </w:p>
        </w:tc>
        <w:tc>
          <w:tcPr>
            <w:tcW w:w="1559" w:type="dxa"/>
          </w:tcPr>
          <w:p w14:paraId="0EA21D92" w14:textId="77777777" w:rsidR="00D1584C" w:rsidRPr="00E869A4" w:rsidRDefault="00D1584C" w:rsidP="005C49D2">
            <w:pPr>
              <w:ind w:firstLine="0"/>
              <w:rPr>
                <w:rFonts w:ascii="Times New Roman" w:hAnsi="Times New Roman" w:cs="Times New Roman"/>
              </w:rPr>
            </w:pPr>
          </w:p>
        </w:tc>
        <w:tc>
          <w:tcPr>
            <w:tcW w:w="1559" w:type="dxa"/>
          </w:tcPr>
          <w:p w14:paraId="7C5511D3" w14:textId="77777777" w:rsidR="00D1584C" w:rsidRPr="00E869A4" w:rsidRDefault="00D1584C" w:rsidP="005C49D2">
            <w:pPr>
              <w:ind w:firstLine="0"/>
              <w:rPr>
                <w:rFonts w:ascii="Times New Roman" w:hAnsi="Times New Roman" w:cs="Times New Roman"/>
              </w:rPr>
            </w:pPr>
          </w:p>
        </w:tc>
      </w:tr>
    </w:tbl>
    <w:p w14:paraId="3206A6B9" w14:textId="77777777" w:rsidR="00D1584C" w:rsidRPr="00E869A4" w:rsidRDefault="00D1584C" w:rsidP="00A35FF8">
      <w:pPr>
        <w:rPr>
          <w:rFonts w:ascii="Times New Roman" w:hAnsi="Times New Roman" w:cs="Times New Roman"/>
          <w:b/>
        </w:rPr>
      </w:pPr>
      <w:r w:rsidRPr="00E869A4">
        <w:rPr>
          <w:rFonts w:ascii="Times New Roman" w:hAnsi="Times New Roman" w:cs="Times New Roman"/>
        </w:rPr>
        <w:br w:type="page"/>
      </w:r>
    </w:p>
    <w:p w14:paraId="46764567" w14:textId="2A02C90A" w:rsidR="00FB4041" w:rsidRPr="00E869A4" w:rsidRDefault="00FB4041" w:rsidP="00B31B47">
      <w:pPr>
        <w:pStyle w:val="Caption"/>
        <w:ind w:firstLine="0"/>
        <w:rPr>
          <w:b/>
          <w:i w:val="0"/>
          <w:sz w:val="24"/>
        </w:rPr>
      </w:pPr>
      <w:bookmarkStart w:id="474" w:name="_1hmsyys" w:colFirst="0" w:colLast="0"/>
      <w:bookmarkStart w:id="475" w:name="_Toc507909130"/>
      <w:bookmarkStart w:id="476" w:name="_Toc40436626"/>
      <w:bookmarkEnd w:id="474"/>
      <w:r w:rsidRPr="00E869A4">
        <w:rPr>
          <w:b/>
          <w:i w:val="0"/>
          <w:sz w:val="28"/>
        </w:rPr>
        <w:lastRenderedPageBreak/>
        <w:t xml:space="preserve">Appendix </w:t>
      </w:r>
      <w:r w:rsidRPr="00E869A4">
        <w:rPr>
          <w:b/>
          <w:i w:val="0"/>
          <w:sz w:val="28"/>
        </w:rPr>
        <w:fldChar w:fldCharType="begin"/>
      </w:r>
      <w:r w:rsidRPr="00E869A4">
        <w:rPr>
          <w:b/>
          <w:i w:val="0"/>
          <w:sz w:val="28"/>
        </w:rPr>
        <w:instrText xml:space="preserve"> SEQ Appendix \* ARABIC </w:instrText>
      </w:r>
      <w:r w:rsidRPr="00E869A4">
        <w:rPr>
          <w:b/>
          <w:i w:val="0"/>
          <w:sz w:val="28"/>
        </w:rPr>
        <w:fldChar w:fldCharType="separate"/>
      </w:r>
      <w:r w:rsidR="00D7239F">
        <w:rPr>
          <w:b/>
          <w:i w:val="0"/>
          <w:noProof/>
          <w:sz w:val="28"/>
        </w:rPr>
        <w:t>6</w:t>
      </w:r>
      <w:r w:rsidRPr="00E869A4">
        <w:rPr>
          <w:b/>
          <w:i w:val="0"/>
          <w:sz w:val="28"/>
        </w:rPr>
        <w:fldChar w:fldCharType="end"/>
      </w:r>
      <w:r w:rsidRPr="00E869A4">
        <w:rPr>
          <w:b/>
          <w:i w:val="0"/>
          <w:noProof/>
          <w:sz w:val="28"/>
        </w:rPr>
        <w:t>: Project Flyer &amp; Survey Advertisement</w:t>
      </w:r>
      <w:bookmarkEnd w:id="476"/>
    </w:p>
    <w:p w14:paraId="53DA3A1F" w14:textId="77777777" w:rsidR="00FB4041" w:rsidRPr="00E869A4" w:rsidRDefault="00FB4041" w:rsidP="00FB4041">
      <w:pPr>
        <w:ind w:firstLine="0"/>
        <w:rPr>
          <w:b/>
          <w:u w:val="single"/>
        </w:rPr>
      </w:pPr>
    </w:p>
    <w:p w14:paraId="05BB19AF" w14:textId="61C9330F" w:rsidR="00D1584C" w:rsidRPr="00E869A4" w:rsidRDefault="005C7EA7" w:rsidP="00FB4041">
      <w:pPr>
        <w:ind w:firstLine="0"/>
        <w:rPr>
          <w:b/>
          <w:u w:val="single"/>
        </w:rPr>
      </w:pPr>
      <w:r w:rsidRPr="00E869A4">
        <w:rPr>
          <w:b/>
          <w:u w:val="single"/>
        </w:rPr>
        <w:t xml:space="preserve">A. </w:t>
      </w:r>
      <w:bookmarkEnd w:id="475"/>
      <w:r w:rsidR="002D7B86" w:rsidRPr="00E869A4">
        <w:rPr>
          <w:b/>
          <w:u w:val="single"/>
        </w:rPr>
        <w:t>GENERAL PROJECT FLYER</w:t>
      </w:r>
    </w:p>
    <w:p w14:paraId="75D51335" w14:textId="77777777" w:rsidR="00D1584C" w:rsidRPr="00E869A4" w:rsidRDefault="00D1584C" w:rsidP="00A35FF8">
      <w:pPr>
        <w:rPr>
          <w:rFonts w:ascii="Times New Roman" w:hAnsi="Times New Roman" w:cs="Times New Roman"/>
        </w:rPr>
      </w:pPr>
    </w:p>
    <w:p w14:paraId="535CD099" w14:textId="77777777" w:rsidR="00C07CE0" w:rsidRPr="00E869A4" w:rsidRDefault="00D1584C" w:rsidP="00A35FF8">
      <w:pPr>
        <w:rPr>
          <w:rFonts w:ascii="Times New Roman" w:hAnsi="Times New Roman" w:cs="Times New Roman"/>
        </w:rPr>
      </w:pPr>
      <w:r w:rsidRPr="00E869A4">
        <w:rPr>
          <w:rFonts w:ascii="Times New Roman" w:hAnsi="Times New Roman" w:cs="Times New Roman"/>
          <w:noProof/>
        </w:rPr>
        <w:drawing>
          <wp:inline distT="0" distB="0" distL="0" distR="0" wp14:anchorId="3C2D3885" wp14:editId="2DDE1152">
            <wp:extent cx="5576455" cy="6989617"/>
            <wp:effectExtent l="0" t="0" r="5715" b="1905"/>
            <wp:docPr id="29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5" cstate="print"/>
                    <a:srcRect/>
                    <a:stretch>
                      <a:fillRect/>
                    </a:stretch>
                  </pic:blipFill>
                  <pic:spPr>
                    <a:xfrm>
                      <a:off x="0" y="0"/>
                      <a:ext cx="5578255" cy="6991874"/>
                    </a:xfrm>
                    <a:prstGeom prst="rect">
                      <a:avLst/>
                    </a:prstGeom>
                    <a:ln/>
                  </pic:spPr>
                </pic:pic>
              </a:graphicData>
            </a:graphic>
          </wp:inline>
        </w:drawing>
      </w:r>
      <w:r w:rsidRPr="00E869A4">
        <w:rPr>
          <w:rFonts w:ascii="Times New Roman" w:hAnsi="Times New Roman" w:cs="Times New Roman"/>
        </w:rPr>
        <w:br w:type="page"/>
      </w:r>
      <w:bookmarkStart w:id="477" w:name="_Toc507909131"/>
    </w:p>
    <w:p w14:paraId="4B045FE0" w14:textId="5141D355" w:rsidR="00C07CE0" w:rsidRPr="00E869A4" w:rsidRDefault="00C07CE0" w:rsidP="00FB4041">
      <w:pPr>
        <w:ind w:firstLine="0"/>
        <w:rPr>
          <w:b/>
          <w:u w:val="single"/>
        </w:rPr>
      </w:pPr>
      <w:r w:rsidRPr="00E869A4">
        <w:rPr>
          <w:b/>
          <w:u w:val="single"/>
        </w:rPr>
        <w:lastRenderedPageBreak/>
        <w:t xml:space="preserve">B. </w:t>
      </w:r>
      <w:r w:rsidR="002D7B86" w:rsidRPr="00E869A4">
        <w:rPr>
          <w:b/>
          <w:u w:val="single"/>
        </w:rPr>
        <w:t>SURVEY ADVERTISEMENT ON UWI’S WEBSITE</w:t>
      </w:r>
    </w:p>
    <w:p w14:paraId="6FF5FD54" w14:textId="77777777" w:rsidR="00C07CE0" w:rsidRPr="00E869A4" w:rsidRDefault="00C07CE0" w:rsidP="00C07CE0">
      <w:pPr>
        <w:ind w:firstLine="0"/>
        <w:rPr>
          <w:rFonts w:ascii="Times New Roman" w:hAnsi="Times New Roman" w:cs="Times New Roman"/>
        </w:rPr>
      </w:pPr>
    </w:p>
    <w:bookmarkEnd w:id="477"/>
    <w:p w14:paraId="0A467B1F" w14:textId="50055C9F" w:rsidR="00D1584C" w:rsidRPr="00E869A4" w:rsidRDefault="00D1584C" w:rsidP="00C07CE0">
      <w:pPr>
        <w:ind w:firstLine="0"/>
        <w:rPr>
          <w:rFonts w:ascii="Times New Roman" w:eastAsiaTheme="majorEastAsia" w:hAnsi="Times New Roman" w:cs="Times New Roman"/>
          <w:b/>
          <w:iCs/>
          <w:szCs w:val="28"/>
          <w:u w:val="single"/>
        </w:rPr>
      </w:pPr>
      <w:r w:rsidRPr="00E869A4">
        <w:rPr>
          <w:rFonts w:ascii="Times New Roman" w:eastAsiaTheme="majorEastAsia" w:hAnsi="Times New Roman" w:cs="Times New Roman"/>
          <w:b/>
          <w:iCs/>
          <w:szCs w:val="28"/>
          <w:u w:val="single"/>
        </w:rPr>
        <w:t>Taking care of the elderly</w:t>
      </w:r>
    </w:p>
    <w:p w14:paraId="4CEE0C28" w14:textId="77777777" w:rsidR="00D1584C" w:rsidRPr="00E869A4" w:rsidRDefault="00D1584C" w:rsidP="00A35FF8">
      <w:pPr>
        <w:rPr>
          <w:rFonts w:ascii="Times New Roman" w:hAnsi="Times New Roman" w:cs="Times New Roman"/>
        </w:rPr>
      </w:pPr>
      <w:r w:rsidRPr="00E869A4">
        <w:rPr>
          <w:rFonts w:ascii="Times New Roman" w:eastAsia="Calibri" w:hAnsi="Times New Roman" w:cs="Times New Roman"/>
        </w:rPr>
        <w:t> </w:t>
      </w:r>
    </w:p>
    <w:p w14:paraId="635547B3" w14:textId="18B4024D" w:rsidR="00D1584C" w:rsidRPr="00E869A4" w:rsidRDefault="00D1584C" w:rsidP="00A35FF8">
      <w:pPr>
        <w:rPr>
          <w:rFonts w:ascii="Times New Roman" w:hAnsi="Times New Roman" w:cs="Times New Roman"/>
          <w:b/>
        </w:rPr>
      </w:pPr>
      <w:r w:rsidRPr="00E869A4">
        <w:rPr>
          <w:rFonts w:ascii="Times New Roman" w:eastAsia="Century Gothic" w:hAnsi="Times New Roman" w:cs="Times New Roman"/>
        </w:rPr>
        <w:t xml:space="preserve">Share your views on family care for older persons in </w:t>
      </w:r>
      <w:r w:rsidR="008C76CE" w:rsidRPr="00E869A4">
        <w:rPr>
          <w:rFonts w:ascii="Times New Roman" w:eastAsiaTheme="majorEastAsia" w:hAnsi="Times New Roman" w:cs="Times New Roman"/>
          <w:bCs/>
          <w:szCs w:val="26"/>
        </w:rPr>
        <w:t>T&amp;T</w:t>
      </w:r>
      <w:r w:rsidRPr="00E869A4">
        <w:rPr>
          <w:rFonts w:ascii="Times New Roman" w:eastAsia="Century Gothic" w:hAnsi="Times New Roman" w:cs="Times New Roman"/>
        </w:rPr>
        <w:t xml:space="preserve"> with an online survey. Your feedback will help to generate policy recommendations to improve the services and support systems for older persons and their caregivers. You also have the chance to enter a raffle for a $200 Bmobile or Digicel top-up at the end of the survey.</w:t>
      </w:r>
      <w:r w:rsidRPr="00E869A4">
        <w:rPr>
          <w:rFonts w:ascii="Times New Roman" w:eastAsia="Century Gothic" w:hAnsi="Times New Roman" w:cs="Times New Roman"/>
        </w:rPr>
        <w:br/>
      </w:r>
      <w:r w:rsidRPr="00E869A4">
        <w:rPr>
          <w:rFonts w:ascii="Times New Roman" w:eastAsia="Century Gothic" w:hAnsi="Times New Roman" w:cs="Times New Roman"/>
        </w:rPr>
        <w:br/>
        <w:t>This survey has received ethics approval from the University of Sheffield. It is voluntary and all responses are anonymous and strictly confidential. </w:t>
      </w:r>
      <w:r w:rsidRPr="00E869A4">
        <w:rPr>
          <w:rFonts w:ascii="Times New Roman" w:eastAsia="Century Gothic" w:hAnsi="Times New Roman" w:cs="Times New Roman"/>
        </w:rPr>
        <w:br/>
      </w:r>
      <w:r w:rsidRPr="00E869A4">
        <w:rPr>
          <w:rFonts w:ascii="Times New Roman" w:eastAsia="Century Gothic" w:hAnsi="Times New Roman" w:cs="Times New Roman"/>
        </w:rPr>
        <w:br/>
        <w:t>To participate, please click </w:t>
      </w:r>
      <w:hyperlink r:id="rId76">
        <w:r w:rsidRPr="00E869A4">
          <w:rPr>
            <w:rFonts w:ascii="Times New Roman" w:eastAsia="Century Gothic" w:hAnsi="Times New Roman" w:cs="Times New Roman"/>
            <w:u w:val="single"/>
          </w:rPr>
          <w:t>here</w:t>
        </w:r>
      </w:hyperlink>
    </w:p>
    <w:p w14:paraId="59AC90D1" w14:textId="77777777" w:rsidR="00D1584C" w:rsidRPr="00E869A4" w:rsidRDefault="00D1584C" w:rsidP="00A35FF8">
      <w:pPr>
        <w:pStyle w:val="Caption"/>
        <w:spacing w:line="360" w:lineRule="auto"/>
      </w:pPr>
      <w:r w:rsidRPr="00E869A4">
        <w:br w:type="page"/>
      </w:r>
    </w:p>
    <w:p w14:paraId="126B58FA" w14:textId="558250A4" w:rsidR="00CB6F46" w:rsidRPr="00E869A4" w:rsidRDefault="00CB6F46" w:rsidP="00B31B47">
      <w:pPr>
        <w:pStyle w:val="Caption"/>
        <w:ind w:firstLine="0"/>
        <w:rPr>
          <w:b/>
          <w:i w:val="0"/>
          <w:noProof/>
          <w:sz w:val="28"/>
        </w:rPr>
      </w:pPr>
      <w:bookmarkStart w:id="478" w:name="_vx1227" w:colFirst="0" w:colLast="0"/>
      <w:bookmarkStart w:id="479" w:name="_Toc506373367"/>
      <w:bookmarkStart w:id="480" w:name="_Toc507909134"/>
      <w:bookmarkStart w:id="481" w:name="_Toc40436627"/>
      <w:bookmarkEnd w:id="478"/>
      <w:r w:rsidRPr="00E869A4">
        <w:rPr>
          <w:b/>
          <w:i w:val="0"/>
          <w:sz w:val="28"/>
        </w:rPr>
        <w:lastRenderedPageBreak/>
        <w:t xml:space="preserve">Appendix </w:t>
      </w:r>
      <w:r w:rsidRPr="00E869A4">
        <w:rPr>
          <w:b/>
          <w:i w:val="0"/>
          <w:sz w:val="28"/>
        </w:rPr>
        <w:fldChar w:fldCharType="begin"/>
      </w:r>
      <w:r w:rsidRPr="00E869A4">
        <w:rPr>
          <w:b/>
          <w:i w:val="0"/>
          <w:sz w:val="28"/>
        </w:rPr>
        <w:instrText xml:space="preserve"> SEQ Appendix \* ARABIC </w:instrText>
      </w:r>
      <w:r w:rsidRPr="00E869A4">
        <w:rPr>
          <w:b/>
          <w:i w:val="0"/>
          <w:sz w:val="28"/>
        </w:rPr>
        <w:fldChar w:fldCharType="separate"/>
      </w:r>
      <w:r w:rsidR="00D7239F">
        <w:rPr>
          <w:b/>
          <w:i w:val="0"/>
          <w:noProof/>
          <w:sz w:val="28"/>
        </w:rPr>
        <w:t>7</w:t>
      </w:r>
      <w:r w:rsidRPr="00E869A4">
        <w:rPr>
          <w:b/>
          <w:i w:val="0"/>
          <w:sz w:val="28"/>
        </w:rPr>
        <w:fldChar w:fldCharType="end"/>
      </w:r>
      <w:r w:rsidRPr="00E869A4">
        <w:rPr>
          <w:b/>
          <w:i w:val="0"/>
          <w:sz w:val="28"/>
        </w:rPr>
        <w:t xml:space="preserve">: </w:t>
      </w:r>
      <w:r w:rsidRPr="00E869A4">
        <w:rPr>
          <w:b/>
          <w:i w:val="0"/>
          <w:noProof/>
          <w:sz w:val="28"/>
        </w:rPr>
        <w:t>Willingness to Care Survey Questionnaire</w:t>
      </w:r>
      <w:bookmarkEnd w:id="481"/>
    </w:p>
    <w:p w14:paraId="25BF57BE" w14:textId="77777777" w:rsidR="00CB6F46" w:rsidRPr="00E869A4" w:rsidRDefault="00CB6F46" w:rsidP="00CB6F46"/>
    <w:bookmarkEnd w:id="479"/>
    <w:bookmarkEnd w:id="480"/>
    <w:p w14:paraId="526F5675"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drawing>
          <wp:inline distT="0" distB="0" distL="0" distR="0" wp14:anchorId="3B4B49CF" wp14:editId="525B6DEE">
            <wp:extent cx="5334000" cy="703361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34000" cy="7033611"/>
                    </a:xfrm>
                    <a:prstGeom prst="rect">
                      <a:avLst/>
                    </a:prstGeom>
                    <a:noFill/>
                    <a:ln>
                      <a:noFill/>
                    </a:ln>
                  </pic:spPr>
                </pic:pic>
              </a:graphicData>
            </a:graphic>
          </wp:inline>
        </w:drawing>
      </w:r>
    </w:p>
    <w:p w14:paraId="1454A2D2" w14:textId="77777777" w:rsidR="00D1584C" w:rsidRPr="00E869A4" w:rsidRDefault="00D1584C" w:rsidP="0051600F">
      <w:pPr>
        <w:ind w:firstLine="0"/>
        <w:rPr>
          <w:rFonts w:ascii="Times New Roman" w:hAnsi="Times New Roman" w:cs="Times New Roman"/>
        </w:rPr>
      </w:pPr>
    </w:p>
    <w:p w14:paraId="0DF6FD60"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1895143D" wp14:editId="2A36144B">
            <wp:extent cx="5781092" cy="794766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84180" cy="7951906"/>
                    </a:xfrm>
                    <a:prstGeom prst="rect">
                      <a:avLst/>
                    </a:prstGeom>
                    <a:noFill/>
                    <a:ln>
                      <a:noFill/>
                    </a:ln>
                  </pic:spPr>
                </pic:pic>
              </a:graphicData>
            </a:graphic>
          </wp:inline>
        </w:drawing>
      </w:r>
    </w:p>
    <w:p w14:paraId="5763105C"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77B55A8F" wp14:editId="03600D93">
            <wp:extent cx="5600700" cy="4242954"/>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00700" cy="4242954"/>
                    </a:xfrm>
                    <a:prstGeom prst="rect">
                      <a:avLst/>
                    </a:prstGeom>
                    <a:noFill/>
                    <a:ln>
                      <a:noFill/>
                    </a:ln>
                  </pic:spPr>
                </pic:pic>
              </a:graphicData>
            </a:graphic>
          </wp:inline>
        </w:drawing>
      </w:r>
    </w:p>
    <w:p w14:paraId="0E777403"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16F569FE" wp14:editId="5FEFE17B">
            <wp:extent cx="5895027" cy="7139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96511" cy="7141737"/>
                    </a:xfrm>
                    <a:prstGeom prst="rect">
                      <a:avLst/>
                    </a:prstGeom>
                    <a:noFill/>
                    <a:ln>
                      <a:noFill/>
                    </a:ln>
                  </pic:spPr>
                </pic:pic>
              </a:graphicData>
            </a:graphic>
          </wp:inline>
        </w:drawing>
      </w:r>
    </w:p>
    <w:p w14:paraId="17AA61B9"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rPr>
        <w:br w:type="page"/>
      </w:r>
    </w:p>
    <w:p w14:paraId="7E73A662"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10AA0BF8" wp14:editId="6699EC3A">
            <wp:extent cx="5882640" cy="7993396"/>
            <wp:effectExtent l="0" t="0" r="381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82640" cy="7993396"/>
                    </a:xfrm>
                    <a:prstGeom prst="rect">
                      <a:avLst/>
                    </a:prstGeom>
                    <a:noFill/>
                    <a:ln>
                      <a:noFill/>
                    </a:ln>
                  </pic:spPr>
                </pic:pic>
              </a:graphicData>
            </a:graphic>
          </wp:inline>
        </w:drawing>
      </w:r>
    </w:p>
    <w:p w14:paraId="35C2F5F0"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r w:rsidRPr="00E869A4">
        <w:rPr>
          <w:rFonts w:ascii="Times New Roman" w:hAnsi="Times New Roman" w:cs="Times New Roman"/>
          <w:noProof/>
        </w:rPr>
        <w:lastRenderedPageBreak/>
        <w:drawing>
          <wp:inline distT="0" distB="0" distL="0" distR="0" wp14:anchorId="3A0863AF" wp14:editId="6EE4F8A7">
            <wp:extent cx="5935980" cy="7555983"/>
            <wp:effectExtent l="0" t="0" r="762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5980" cy="7555983"/>
                    </a:xfrm>
                    <a:prstGeom prst="rect">
                      <a:avLst/>
                    </a:prstGeom>
                    <a:noFill/>
                    <a:ln>
                      <a:noFill/>
                    </a:ln>
                  </pic:spPr>
                </pic:pic>
              </a:graphicData>
            </a:graphic>
          </wp:inline>
        </w:drawing>
      </w:r>
    </w:p>
    <w:p w14:paraId="1361C73D"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144F0F1E" w14:textId="469BBEAD"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612414D4" wp14:editId="403FF417">
            <wp:extent cx="5928360" cy="82030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28360" cy="8203059"/>
                    </a:xfrm>
                    <a:prstGeom prst="rect">
                      <a:avLst/>
                    </a:prstGeom>
                    <a:noFill/>
                    <a:ln>
                      <a:noFill/>
                    </a:ln>
                  </pic:spPr>
                </pic:pic>
              </a:graphicData>
            </a:graphic>
          </wp:inline>
        </w:drawing>
      </w:r>
      <w:r w:rsidRPr="00E869A4">
        <w:rPr>
          <w:rFonts w:ascii="Times New Roman" w:hAnsi="Times New Roman" w:cs="Times New Roman"/>
        </w:rPr>
        <w:br w:type="page"/>
      </w:r>
      <w:r w:rsidRPr="00E869A4">
        <w:rPr>
          <w:rFonts w:ascii="Times New Roman" w:hAnsi="Times New Roman" w:cs="Times New Roman"/>
          <w:noProof/>
        </w:rPr>
        <w:lastRenderedPageBreak/>
        <w:drawing>
          <wp:inline distT="0" distB="0" distL="0" distR="0" wp14:anchorId="7083DF7C" wp14:editId="0E217CAE">
            <wp:extent cx="5913120" cy="526724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13120" cy="5267242"/>
                    </a:xfrm>
                    <a:prstGeom prst="rect">
                      <a:avLst/>
                    </a:prstGeom>
                    <a:noFill/>
                    <a:ln>
                      <a:noFill/>
                    </a:ln>
                  </pic:spPr>
                </pic:pic>
              </a:graphicData>
            </a:graphic>
          </wp:inline>
        </w:drawing>
      </w:r>
    </w:p>
    <w:p w14:paraId="3803B08A" w14:textId="77777777" w:rsidR="00D1584C" w:rsidRPr="00E869A4" w:rsidRDefault="00D1584C" w:rsidP="0051600F">
      <w:pPr>
        <w:ind w:firstLine="0"/>
        <w:rPr>
          <w:rFonts w:ascii="Times New Roman" w:hAnsi="Times New Roman" w:cs="Times New Roman"/>
        </w:rPr>
      </w:pPr>
    </w:p>
    <w:p w14:paraId="00987248"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rPr>
        <w:br w:type="page"/>
      </w:r>
    </w:p>
    <w:p w14:paraId="7364E6F4"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35B8D097" wp14:editId="0E26FF3C">
            <wp:extent cx="5981700" cy="609316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81700" cy="6093160"/>
                    </a:xfrm>
                    <a:prstGeom prst="rect">
                      <a:avLst/>
                    </a:prstGeom>
                    <a:noFill/>
                    <a:ln>
                      <a:noFill/>
                    </a:ln>
                  </pic:spPr>
                </pic:pic>
              </a:graphicData>
            </a:graphic>
          </wp:inline>
        </w:drawing>
      </w:r>
    </w:p>
    <w:p w14:paraId="00FD24B1"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rPr>
        <w:br w:type="page"/>
      </w:r>
    </w:p>
    <w:p w14:paraId="0A7557AC"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091A5420" wp14:editId="521A135C">
            <wp:extent cx="5905500" cy="818316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05500" cy="8183168"/>
                    </a:xfrm>
                    <a:prstGeom prst="rect">
                      <a:avLst/>
                    </a:prstGeom>
                    <a:noFill/>
                    <a:ln>
                      <a:noFill/>
                    </a:ln>
                  </pic:spPr>
                </pic:pic>
              </a:graphicData>
            </a:graphic>
          </wp:inline>
        </w:drawing>
      </w:r>
    </w:p>
    <w:p w14:paraId="52B10BE5"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4D65920E" wp14:editId="4CA0F090">
            <wp:extent cx="5920740" cy="6189334"/>
            <wp:effectExtent l="0" t="0" r="381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20740" cy="6189334"/>
                    </a:xfrm>
                    <a:prstGeom prst="rect">
                      <a:avLst/>
                    </a:prstGeom>
                    <a:noFill/>
                    <a:ln>
                      <a:noFill/>
                    </a:ln>
                  </pic:spPr>
                </pic:pic>
              </a:graphicData>
            </a:graphic>
          </wp:inline>
        </w:drawing>
      </w:r>
    </w:p>
    <w:p w14:paraId="6D222E30"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r w:rsidRPr="00E869A4">
        <w:rPr>
          <w:rFonts w:ascii="Times New Roman" w:hAnsi="Times New Roman" w:cs="Times New Roman"/>
          <w:noProof/>
        </w:rPr>
        <w:lastRenderedPageBreak/>
        <w:drawing>
          <wp:inline distT="0" distB="0" distL="0" distR="0" wp14:anchorId="5539971B" wp14:editId="1D66DC00">
            <wp:extent cx="5913120" cy="8339015"/>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13120" cy="8339015"/>
                    </a:xfrm>
                    <a:prstGeom prst="rect">
                      <a:avLst/>
                    </a:prstGeom>
                    <a:noFill/>
                    <a:ln>
                      <a:noFill/>
                    </a:ln>
                  </pic:spPr>
                </pic:pic>
              </a:graphicData>
            </a:graphic>
          </wp:inline>
        </w:drawing>
      </w:r>
    </w:p>
    <w:p w14:paraId="5352CF70"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0E12A2C7" wp14:editId="7BFB574C">
            <wp:extent cx="5897880" cy="7327669"/>
            <wp:effectExtent l="0" t="0" r="762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97880" cy="7327669"/>
                    </a:xfrm>
                    <a:prstGeom prst="rect">
                      <a:avLst/>
                    </a:prstGeom>
                    <a:noFill/>
                    <a:ln>
                      <a:noFill/>
                    </a:ln>
                  </pic:spPr>
                </pic:pic>
              </a:graphicData>
            </a:graphic>
          </wp:inline>
        </w:drawing>
      </w:r>
    </w:p>
    <w:p w14:paraId="2AECDA06"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5B74E5F4"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745108D9" wp14:editId="63CD71FA">
            <wp:extent cx="5673141" cy="848106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73536" cy="8481651"/>
                    </a:xfrm>
                    <a:prstGeom prst="rect">
                      <a:avLst/>
                    </a:prstGeom>
                    <a:noFill/>
                    <a:ln>
                      <a:noFill/>
                    </a:ln>
                  </pic:spPr>
                </pic:pic>
              </a:graphicData>
            </a:graphic>
          </wp:inline>
        </w:drawing>
      </w:r>
    </w:p>
    <w:p w14:paraId="2EA6B050"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5B9A7B7B" wp14:editId="507FFA98">
            <wp:extent cx="5905500" cy="643806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05500" cy="6438060"/>
                    </a:xfrm>
                    <a:prstGeom prst="rect">
                      <a:avLst/>
                    </a:prstGeom>
                    <a:noFill/>
                    <a:ln>
                      <a:noFill/>
                    </a:ln>
                  </pic:spPr>
                </pic:pic>
              </a:graphicData>
            </a:graphic>
          </wp:inline>
        </w:drawing>
      </w:r>
    </w:p>
    <w:p w14:paraId="4BC6AB67"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1FAA6D0E"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58BD7C0C" wp14:editId="784CC899">
            <wp:extent cx="5897880" cy="7039018"/>
            <wp:effectExtent l="0" t="0" r="762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97880" cy="7039018"/>
                    </a:xfrm>
                    <a:prstGeom prst="rect">
                      <a:avLst/>
                    </a:prstGeom>
                    <a:noFill/>
                    <a:ln>
                      <a:noFill/>
                    </a:ln>
                  </pic:spPr>
                </pic:pic>
              </a:graphicData>
            </a:graphic>
          </wp:inline>
        </w:drawing>
      </w:r>
    </w:p>
    <w:p w14:paraId="6826755F"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26719BB3"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34B89988" wp14:editId="28E6CB4D">
            <wp:extent cx="5943600" cy="770422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7704229"/>
                    </a:xfrm>
                    <a:prstGeom prst="rect">
                      <a:avLst/>
                    </a:prstGeom>
                    <a:noFill/>
                    <a:ln>
                      <a:noFill/>
                    </a:ln>
                  </pic:spPr>
                </pic:pic>
              </a:graphicData>
            </a:graphic>
          </wp:inline>
        </w:drawing>
      </w:r>
    </w:p>
    <w:p w14:paraId="6F6EE1DD"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0BDBD233"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39121B18" wp14:editId="06A6448F">
            <wp:extent cx="6042660" cy="5381932"/>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42660" cy="5381932"/>
                    </a:xfrm>
                    <a:prstGeom prst="rect">
                      <a:avLst/>
                    </a:prstGeom>
                    <a:noFill/>
                    <a:ln>
                      <a:noFill/>
                    </a:ln>
                  </pic:spPr>
                </pic:pic>
              </a:graphicData>
            </a:graphic>
          </wp:inline>
        </w:drawing>
      </w:r>
    </w:p>
    <w:p w14:paraId="0B1BAC32"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3FA9C072"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33A0D773" wp14:editId="3C7624C7">
            <wp:extent cx="5836832" cy="8305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36832" cy="8305800"/>
                    </a:xfrm>
                    <a:prstGeom prst="rect">
                      <a:avLst/>
                    </a:prstGeom>
                    <a:noFill/>
                    <a:ln>
                      <a:noFill/>
                    </a:ln>
                  </pic:spPr>
                </pic:pic>
              </a:graphicData>
            </a:graphic>
          </wp:inline>
        </w:drawing>
      </w:r>
    </w:p>
    <w:p w14:paraId="6E48BDC9"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1B6DC382" wp14:editId="5CF20434">
            <wp:extent cx="5943600" cy="7747259"/>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7747259"/>
                    </a:xfrm>
                    <a:prstGeom prst="rect">
                      <a:avLst/>
                    </a:prstGeom>
                    <a:noFill/>
                    <a:ln>
                      <a:noFill/>
                    </a:ln>
                  </pic:spPr>
                </pic:pic>
              </a:graphicData>
            </a:graphic>
          </wp:inline>
        </w:drawing>
      </w:r>
    </w:p>
    <w:p w14:paraId="77A5C931"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2E2462B3"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4B981EA6" wp14:editId="25DCA564">
            <wp:extent cx="5882640" cy="5479719"/>
            <wp:effectExtent l="0" t="0" r="381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82640" cy="5479719"/>
                    </a:xfrm>
                    <a:prstGeom prst="rect">
                      <a:avLst/>
                    </a:prstGeom>
                    <a:noFill/>
                    <a:ln>
                      <a:noFill/>
                    </a:ln>
                  </pic:spPr>
                </pic:pic>
              </a:graphicData>
            </a:graphic>
          </wp:inline>
        </w:drawing>
      </w:r>
    </w:p>
    <w:p w14:paraId="44EB3748"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0EB49F39"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1CC1B410" wp14:editId="4E258F45">
            <wp:extent cx="5875020" cy="747729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75020" cy="7477298"/>
                    </a:xfrm>
                    <a:prstGeom prst="rect">
                      <a:avLst/>
                    </a:prstGeom>
                    <a:noFill/>
                    <a:ln>
                      <a:noFill/>
                    </a:ln>
                  </pic:spPr>
                </pic:pic>
              </a:graphicData>
            </a:graphic>
          </wp:inline>
        </w:drawing>
      </w:r>
    </w:p>
    <w:p w14:paraId="424D0DEC"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211BE3C3"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11F63285" wp14:editId="2CFCD3BC">
            <wp:extent cx="5905500" cy="68647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05500" cy="6864710"/>
                    </a:xfrm>
                    <a:prstGeom prst="rect">
                      <a:avLst/>
                    </a:prstGeom>
                    <a:noFill/>
                    <a:ln>
                      <a:noFill/>
                    </a:ln>
                  </pic:spPr>
                </pic:pic>
              </a:graphicData>
            </a:graphic>
          </wp:inline>
        </w:drawing>
      </w:r>
    </w:p>
    <w:p w14:paraId="45FD7F30"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rPr>
        <w:br w:type="page"/>
      </w:r>
    </w:p>
    <w:p w14:paraId="29053BFD"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noProof/>
        </w:rPr>
        <w:lastRenderedPageBreak/>
        <w:drawing>
          <wp:inline distT="0" distB="0" distL="0" distR="0" wp14:anchorId="7A53AEB5" wp14:editId="776246AB">
            <wp:extent cx="5890260" cy="579657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90260" cy="5796578"/>
                    </a:xfrm>
                    <a:prstGeom prst="rect">
                      <a:avLst/>
                    </a:prstGeom>
                    <a:noFill/>
                    <a:ln>
                      <a:noFill/>
                    </a:ln>
                  </pic:spPr>
                </pic:pic>
              </a:graphicData>
            </a:graphic>
          </wp:inline>
        </w:drawing>
      </w:r>
    </w:p>
    <w:p w14:paraId="48DB33CC" w14:textId="77777777" w:rsidR="00D1584C" w:rsidRPr="00E869A4" w:rsidRDefault="00D1584C" w:rsidP="0051600F">
      <w:pPr>
        <w:ind w:firstLine="0"/>
        <w:rPr>
          <w:rFonts w:ascii="Times New Roman" w:hAnsi="Times New Roman" w:cs="Times New Roman"/>
        </w:rPr>
      </w:pPr>
      <w:r w:rsidRPr="00E869A4">
        <w:rPr>
          <w:rFonts w:ascii="Times New Roman" w:hAnsi="Times New Roman" w:cs="Times New Roman"/>
        </w:rPr>
        <w:br w:type="page"/>
      </w:r>
    </w:p>
    <w:p w14:paraId="1C5EFF9D" w14:textId="77777777" w:rsidR="00D1584C" w:rsidRPr="00E869A4" w:rsidRDefault="00D1584C" w:rsidP="0051600F">
      <w:pPr>
        <w:ind w:firstLine="0"/>
        <w:rPr>
          <w:rFonts w:ascii="Times New Roman" w:hAnsi="Times New Roman" w:cs="Times New Roman"/>
          <w:b/>
          <w:bCs/>
          <w:szCs w:val="18"/>
        </w:rPr>
      </w:pPr>
      <w:r w:rsidRPr="00E869A4">
        <w:rPr>
          <w:rFonts w:ascii="Times New Roman" w:hAnsi="Times New Roman" w:cs="Times New Roman"/>
          <w:noProof/>
        </w:rPr>
        <w:lastRenderedPageBreak/>
        <w:drawing>
          <wp:inline distT="0" distB="0" distL="0" distR="0" wp14:anchorId="103E0423" wp14:editId="3631697D">
            <wp:extent cx="6057900" cy="380607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57900" cy="3806075"/>
                    </a:xfrm>
                    <a:prstGeom prst="rect">
                      <a:avLst/>
                    </a:prstGeom>
                    <a:noFill/>
                    <a:ln>
                      <a:noFill/>
                    </a:ln>
                  </pic:spPr>
                </pic:pic>
              </a:graphicData>
            </a:graphic>
          </wp:inline>
        </w:drawing>
      </w:r>
      <w:r w:rsidRPr="00E869A4">
        <w:rPr>
          <w:rFonts w:ascii="Times New Roman" w:hAnsi="Times New Roman" w:cs="Times New Roman"/>
        </w:rPr>
        <w:br w:type="page"/>
      </w:r>
    </w:p>
    <w:p w14:paraId="0CF0323D" w14:textId="7169BADE" w:rsidR="0057255C" w:rsidRPr="00E869A4" w:rsidRDefault="0057255C" w:rsidP="0057255C">
      <w:pPr>
        <w:pStyle w:val="Caption"/>
        <w:rPr>
          <w:b/>
          <w:i w:val="0"/>
          <w:sz w:val="24"/>
        </w:rPr>
      </w:pPr>
      <w:bookmarkStart w:id="482" w:name="_Toc40436628"/>
      <w:r w:rsidRPr="00E869A4">
        <w:rPr>
          <w:b/>
          <w:i w:val="0"/>
          <w:sz w:val="28"/>
        </w:rPr>
        <w:lastRenderedPageBreak/>
        <w:t xml:space="preserve">Appendix </w:t>
      </w:r>
      <w:r w:rsidRPr="00E869A4">
        <w:rPr>
          <w:b/>
          <w:i w:val="0"/>
          <w:sz w:val="28"/>
        </w:rPr>
        <w:fldChar w:fldCharType="begin"/>
      </w:r>
      <w:r w:rsidRPr="00E869A4">
        <w:rPr>
          <w:b/>
          <w:i w:val="0"/>
          <w:sz w:val="28"/>
        </w:rPr>
        <w:instrText xml:space="preserve"> SEQ Appendix \* ARABIC </w:instrText>
      </w:r>
      <w:r w:rsidRPr="00E869A4">
        <w:rPr>
          <w:b/>
          <w:i w:val="0"/>
          <w:sz w:val="28"/>
        </w:rPr>
        <w:fldChar w:fldCharType="separate"/>
      </w:r>
      <w:r w:rsidR="00D7239F">
        <w:rPr>
          <w:b/>
          <w:i w:val="0"/>
          <w:noProof/>
          <w:sz w:val="28"/>
        </w:rPr>
        <w:t>8</w:t>
      </w:r>
      <w:r w:rsidRPr="00E869A4">
        <w:rPr>
          <w:b/>
          <w:i w:val="0"/>
          <w:sz w:val="28"/>
        </w:rPr>
        <w:fldChar w:fldCharType="end"/>
      </w:r>
      <w:r w:rsidRPr="00E869A4">
        <w:rPr>
          <w:b/>
          <w:i w:val="0"/>
          <w:sz w:val="28"/>
        </w:rPr>
        <w:t xml:space="preserve">: </w:t>
      </w:r>
      <w:r w:rsidRPr="00E869A4">
        <w:rPr>
          <w:b/>
          <w:i w:val="0"/>
          <w:noProof/>
          <w:sz w:val="28"/>
        </w:rPr>
        <w:t>Focus Group Topic Guide</w:t>
      </w:r>
      <w:bookmarkEnd w:id="482"/>
    </w:p>
    <w:p w14:paraId="7DA69971" w14:textId="77777777" w:rsidR="00D1584C" w:rsidRPr="00E869A4" w:rsidRDefault="00D1584C" w:rsidP="00A35FF8">
      <w:pPr>
        <w:ind w:left="720"/>
        <w:rPr>
          <w:rFonts w:ascii="Times New Roman" w:hAnsi="Times New Roman" w:cs="Times New Roman"/>
        </w:rPr>
      </w:pPr>
    </w:p>
    <w:p w14:paraId="7B597F28" w14:textId="77777777" w:rsidR="00D1584C" w:rsidRPr="00E869A4" w:rsidRDefault="00D1584C" w:rsidP="00A35FF8">
      <w:pPr>
        <w:rPr>
          <w:rFonts w:ascii="Times New Roman" w:hAnsi="Times New Roman" w:cs="Times New Roman"/>
          <w:b/>
        </w:rPr>
      </w:pPr>
      <w:r w:rsidRPr="00E869A4">
        <w:rPr>
          <w:rFonts w:ascii="Times New Roman" w:hAnsi="Times New Roman" w:cs="Times New Roman"/>
          <w:b/>
        </w:rPr>
        <w:t>INTRODUCTION</w:t>
      </w:r>
    </w:p>
    <w:p w14:paraId="4C1C9996" w14:textId="77777777" w:rsidR="002D7B86" w:rsidRPr="00E869A4" w:rsidRDefault="002D7B86" w:rsidP="00A35FF8">
      <w:pPr>
        <w:rPr>
          <w:rFonts w:ascii="Times New Roman" w:hAnsi="Times New Roman" w:cs="Times New Roman"/>
        </w:rPr>
      </w:pPr>
    </w:p>
    <w:p w14:paraId="33700C28"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Hi everyone. My name is Hyacinth and I am a PhD student with the University of Sheffield, and this is my assistant (insert name) who is a student here at UWI and the note taker for the session. Thanks so much for coming along today. </w:t>
      </w:r>
    </w:p>
    <w:p w14:paraId="003CE8F6" w14:textId="77777777" w:rsidR="002D7B86" w:rsidRPr="00E869A4" w:rsidRDefault="002D7B86" w:rsidP="00A35FF8">
      <w:pPr>
        <w:rPr>
          <w:rFonts w:ascii="Times New Roman" w:hAnsi="Times New Roman" w:cs="Times New Roman"/>
        </w:rPr>
      </w:pPr>
    </w:p>
    <w:p w14:paraId="6C8F2049"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You’ve all been invited to this discussion because you’ve been involved in caring for an elderly relative at some point in time and, each of you participated in an online survey on this topic that I launched in April this year.  This session is a follow-up to that with the main purpose being to get greater clarity about the experience of providing care to elderly relatives here in Trinidad. </w:t>
      </w:r>
    </w:p>
    <w:p w14:paraId="3BC1D433" w14:textId="77777777" w:rsidR="002D7B86" w:rsidRPr="00E869A4" w:rsidRDefault="002D7B86" w:rsidP="00A35FF8">
      <w:pPr>
        <w:rPr>
          <w:rFonts w:ascii="Times New Roman" w:hAnsi="Times New Roman" w:cs="Times New Roman"/>
          <w:b/>
        </w:rPr>
      </w:pPr>
    </w:p>
    <w:p w14:paraId="49D694D8" w14:textId="77777777" w:rsidR="00D1584C" w:rsidRPr="00E869A4" w:rsidRDefault="00D1584C" w:rsidP="00A35FF8">
      <w:pPr>
        <w:rPr>
          <w:rFonts w:ascii="Times New Roman" w:hAnsi="Times New Roman" w:cs="Times New Roman"/>
        </w:rPr>
      </w:pPr>
      <w:r w:rsidRPr="00E869A4">
        <w:rPr>
          <w:rFonts w:ascii="Times New Roman" w:hAnsi="Times New Roman" w:cs="Times New Roman"/>
          <w:b/>
        </w:rPr>
        <w:t>HOUSEKEEPING</w:t>
      </w:r>
      <w:r w:rsidRPr="00E869A4">
        <w:rPr>
          <w:rFonts w:ascii="Times New Roman" w:hAnsi="Times New Roman" w:cs="Times New Roman"/>
        </w:rPr>
        <w:t>: Bathrooms; Refreshments; Timekeeping. Our discussion will last about 2 hours. Please help yourself to the refreshments throughout the meeting.</w:t>
      </w:r>
    </w:p>
    <w:p w14:paraId="15F6702A" w14:textId="77777777" w:rsidR="002D7B86" w:rsidRPr="00E869A4" w:rsidRDefault="002D7B86" w:rsidP="00A35FF8">
      <w:pPr>
        <w:rPr>
          <w:rFonts w:ascii="Times New Roman" w:hAnsi="Times New Roman" w:cs="Times New Roman"/>
        </w:rPr>
      </w:pPr>
    </w:p>
    <w:p w14:paraId="4818F3EA"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Your participation is voluntary so you are free to leave at any point in time though I hope you will be able to stay for the entire session. </w:t>
      </w:r>
    </w:p>
    <w:p w14:paraId="005242DC" w14:textId="77777777" w:rsidR="00D1584C" w:rsidRPr="00E869A4" w:rsidRDefault="00D1584C" w:rsidP="00A35FF8">
      <w:pPr>
        <w:rPr>
          <w:rFonts w:ascii="Times New Roman" w:hAnsi="Times New Roman" w:cs="Times New Roman"/>
        </w:rPr>
      </w:pPr>
    </w:p>
    <w:p w14:paraId="6EDBA625" w14:textId="77777777" w:rsidR="00D1584C" w:rsidRPr="00E869A4" w:rsidRDefault="00D1584C" w:rsidP="00A35FF8">
      <w:pPr>
        <w:rPr>
          <w:rFonts w:ascii="Times New Roman" w:hAnsi="Times New Roman" w:cs="Times New Roman"/>
          <w:b/>
        </w:rPr>
      </w:pPr>
      <w:r w:rsidRPr="00E869A4">
        <w:rPr>
          <w:rFonts w:ascii="Times New Roman" w:hAnsi="Times New Roman" w:cs="Times New Roman"/>
          <w:b/>
        </w:rPr>
        <w:t xml:space="preserve">GROUND RULES </w:t>
      </w:r>
    </w:p>
    <w:p w14:paraId="30DFC5F3" w14:textId="77777777" w:rsidR="0051600F" w:rsidRPr="00E869A4" w:rsidRDefault="0051600F" w:rsidP="00A35FF8">
      <w:pPr>
        <w:rPr>
          <w:rFonts w:ascii="Times New Roman" w:hAnsi="Times New Roman" w:cs="Times New Roman"/>
          <w:b/>
        </w:rPr>
      </w:pPr>
    </w:p>
    <w:p w14:paraId="7B81CA6E" w14:textId="29DE9F01" w:rsidR="00D1584C" w:rsidRPr="00E869A4" w:rsidRDefault="00D1584C" w:rsidP="009D4C5D">
      <w:pPr>
        <w:pStyle w:val="ListParagraph"/>
        <w:numPr>
          <w:ilvl w:val="0"/>
          <w:numId w:val="65"/>
        </w:numPr>
        <w:rPr>
          <w:rFonts w:ascii="Times New Roman" w:hAnsi="Times New Roman" w:cs="Times New Roman"/>
        </w:rPr>
      </w:pPr>
      <w:r w:rsidRPr="00E869A4">
        <w:rPr>
          <w:rFonts w:ascii="Times New Roman" w:hAnsi="Times New Roman" w:cs="Times New Roman"/>
        </w:rPr>
        <w:t xml:space="preserve">I WANT YOU TO DO THE TALKING. </w:t>
      </w:r>
    </w:p>
    <w:p w14:paraId="3D3FE941" w14:textId="77777777" w:rsidR="00D1584C" w:rsidRPr="00E869A4" w:rsidRDefault="00D1584C" w:rsidP="009D4C5D">
      <w:pPr>
        <w:pStyle w:val="ListParagraph"/>
        <w:numPr>
          <w:ilvl w:val="0"/>
          <w:numId w:val="62"/>
        </w:numPr>
        <w:rPr>
          <w:rFonts w:ascii="Times New Roman" w:hAnsi="Times New Roman" w:cs="Times New Roman"/>
        </w:rPr>
      </w:pPr>
      <w:r w:rsidRPr="00E869A4">
        <w:rPr>
          <w:rFonts w:ascii="Times New Roman" w:hAnsi="Times New Roman" w:cs="Times New Roman"/>
        </w:rPr>
        <w:t xml:space="preserve">Your personal opinions and views are very important for us. </w:t>
      </w:r>
    </w:p>
    <w:p w14:paraId="57E42FDD" w14:textId="77777777" w:rsidR="00D1584C" w:rsidRPr="00E869A4" w:rsidRDefault="00D1584C" w:rsidP="009D4C5D">
      <w:pPr>
        <w:pStyle w:val="ListParagraph"/>
        <w:numPr>
          <w:ilvl w:val="0"/>
          <w:numId w:val="62"/>
        </w:numPr>
        <w:rPr>
          <w:rFonts w:ascii="Times New Roman" w:hAnsi="Times New Roman" w:cs="Times New Roman"/>
        </w:rPr>
      </w:pPr>
      <w:r w:rsidRPr="00E869A4">
        <w:rPr>
          <w:rFonts w:ascii="Times New Roman" w:hAnsi="Times New Roman" w:cs="Times New Roman"/>
        </w:rPr>
        <w:t xml:space="preserve">I’d like to hear a wide range of opinions. </w:t>
      </w:r>
    </w:p>
    <w:p w14:paraId="680D1589" w14:textId="77777777" w:rsidR="00D1584C" w:rsidRPr="00E869A4" w:rsidRDefault="00D1584C" w:rsidP="009D4C5D">
      <w:pPr>
        <w:pStyle w:val="ListParagraph"/>
        <w:numPr>
          <w:ilvl w:val="0"/>
          <w:numId w:val="62"/>
        </w:numPr>
        <w:rPr>
          <w:rFonts w:ascii="Times New Roman" w:hAnsi="Times New Roman" w:cs="Times New Roman"/>
        </w:rPr>
      </w:pPr>
      <w:r w:rsidRPr="00E869A4">
        <w:rPr>
          <w:rFonts w:ascii="Times New Roman" w:hAnsi="Times New Roman" w:cs="Times New Roman"/>
        </w:rPr>
        <w:t xml:space="preserve">I encourage all of you to participate in the discussion </w:t>
      </w:r>
    </w:p>
    <w:p w14:paraId="59002A52" w14:textId="77777777" w:rsidR="00D1584C" w:rsidRPr="00E869A4" w:rsidRDefault="00D1584C" w:rsidP="009D4C5D">
      <w:pPr>
        <w:pStyle w:val="ListParagraph"/>
        <w:numPr>
          <w:ilvl w:val="0"/>
          <w:numId w:val="62"/>
        </w:numPr>
        <w:rPr>
          <w:rFonts w:ascii="Times New Roman" w:hAnsi="Times New Roman" w:cs="Times New Roman"/>
        </w:rPr>
      </w:pPr>
      <w:r w:rsidRPr="00E869A4">
        <w:rPr>
          <w:rFonts w:ascii="Times New Roman" w:hAnsi="Times New Roman" w:cs="Times New Roman"/>
        </w:rPr>
        <w:t xml:space="preserve">I may call on you if I haven't heard from you in a while. </w:t>
      </w:r>
    </w:p>
    <w:p w14:paraId="766467CC" w14:textId="77777777" w:rsidR="00D1584C" w:rsidRPr="00E869A4" w:rsidRDefault="00D1584C" w:rsidP="009D4C5D">
      <w:pPr>
        <w:pStyle w:val="ListParagraph"/>
        <w:numPr>
          <w:ilvl w:val="0"/>
          <w:numId w:val="62"/>
        </w:numPr>
        <w:rPr>
          <w:rFonts w:ascii="Times New Roman" w:hAnsi="Times New Roman" w:cs="Times New Roman"/>
        </w:rPr>
      </w:pPr>
      <w:r w:rsidRPr="00E869A4">
        <w:rPr>
          <w:rFonts w:ascii="Times New Roman" w:hAnsi="Times New Roman" w:cs="Times New Roman"/>
        </w:rPr>
        <w:t xml:space="preserve">If anybody says something you have a question about or want to comment on, please do so. While I have some questions I’ve prepared, don't feel you have to wait for me to ask you a question. My job is to focus the discussion of the issues. </w:t>
      </w:r>
    </w:p>
    <w:p w14:paraId="35492DB4" w14:textId="77777777" w:rsidR="0051600F" w:rsidRPr="00E869A4" w:rsidRDefault="0051600F" w:rsidP="00A35FF8">
      <w:pPr>
        <w:rPr>
          <w:rFonts w:ascii="Times New Roman" w:hAnsi="Times New Roman" w:cs="Times New Roman"/>
        </w:rPr>
      </w:pPr>
    </w:p>
    <w:p w14:paraId="524D3C71" w14:textId="77777777" w:rsidR="0051600F" w:rsidRPr="00E869A4" w:rsidRDefault="0051600F" w:rsidP="00A35FF8">
      <w:pPr>
        <w:rPr>
          <w:rFonts w:ascii="Times New Roman" w:hAnsi="Times New Roman" w:cs="Times New Roman"/>
        </w:rPr>
      </w:pPr>
    </w:p>
    <w:p w14:paraId="04EEFF6A" w14:textId="7B01DE2C" w:rsidR="00D1584C" w:rsidRPr="00E869A4" w:rsidRDefault="00D1584C" w:rsidP="009D4C5D">
      <w:pPr>
        <w:pStyle w:val="ListParagraph"/>
        <w:numPr>
          <w:ilvl w:val="0"/>
          <w:numId w:val="65"/>
        </w:numPr>
        <w:rPr>
          <w:rFonts w:ascii="Times New Roman" w:hAnsi="Times New Roman" w:cs="Times New Roman"/>
        </w:rPr>
      </w:pPr>
      <w:r w:rsidRPr="00E869A4">
        <w:rPr>
          <w:rFonts w:ascii="Times New Roman" w:hAnsi="Times New Roman" w:cs="Times New Roman"/>
        </w:rPr>
        <w:t xml:space="preserve">THERE ARE NO RIGHT OR WRONG ANSWERS </w:t>
      </w:r>
    </w:p>
    <w:p w14:paraId="5FC93430" w14:textId="77777777" w:rsidR="00D1584C" w:rsidRPr="00E869A4" w:rsidRDefault="00D1584C" w:rsidP="009D4C5D">
      <w:pPr>
        <w:pStyle w:val="ListParagraph"/>
        <w:numPr>
          <w:ilvl w:val="0"/>
          <w:numId w:val="62"/>
        </w:numPr>
        <w:rPr>
          <w:rFonts w:ascii="Times New Roman" w:hAnsi="Times New Roman" w:cs="Times New Roman"/>
        </w:rPr>
      </w:pPr>
      <w:r w:rsidRPr="00E869A4">
        <w:rPr>
          <w:rFonts w:ascii="Times New Roman" w:hAnsi="Times New Roman" w:cs="Times New Roman"/>
        </w:rPr>
        <w:t>Every person's experiences and opinions are important. There is no need for us to agree with each other or reach consensus.</w:t>
      </w:r>
    </w:p>
    <w:p w14:paraId="356E348E" w14:textId="77777777" w:rsidR="0051600F" w:rsidRPr="00E869A4" w:rsidRDefault="00D1584C" w:rsidP="009D4C5D">
      <w:pPr>
        <w:pStyle w:val="ListParagraph"/>
        <w:numPr>
          <w:ilvl w:val="0"/>
          <w:numId w:val="62"/>
        </w:numPr>
        <w:rPr>
          <w:rFonts w:ascii="Times New Roman" w:hAnsi="Times New Roman" w:cs="Times New Roman"/>
        </w:rPr>
      </w:pPr>
      <w:r w:rsidRPr="00E869A4">
        <w:rPr>
          <w:rFonts w:ascii="Times New Roman" w:hAnsi="Times New Roman" w:cs="Times New Roman"/>
        </w:rPr>
        <w:t>Feel free to speak up whether you agree or disagree.</w:t>
      </w:r>
    </w:p>
    <w:p w14:paraId="44E3F57F" w14:textId="5FE2F1AE" w:rsidR="00D1584C" w:rsidRPr="00E869A4" w:rsidRDefault="00D1584C" w:rsidP="0051600F">
      <w:pPr>
        <w:pStyle w:val="ListParagraph"/>
        <w:ind w:firstLine="0"/>
        <w:rPr>
          <w:rFonts w:ascii="Times New Roman" w:hAnsi="Times New Roman" w:cs="Times New Roman"/>
        </w:rPr>
      </w:pPr>
      <w:r w:rsidRPr="00E869A4">
        <w:rPr>
          <w:rFonts w:ascii="Times New Roman" w:hAnsi="Times New Roman" w:cs="Times New Roman"/>
        </w:rPr>
        <w:t xml:space="preserve"> </w:t>
      </w:r>
    </w:p>
    <w:p w14:paraId="784DDDBA" w14:textId="00E66423" w:rsidR="00D1584C" w:rsidRPr="00E869A4" w:rsidRDefault="00D1584C" w:rsidP="009D4C5D">
      <w:pPr>
        <w:pStyle w:val="ListParagraph"/>
        <w:numPr>
          <w:ilvl w:val="0"/>
          <w:numId w:val="65"/>
        </w:numPr>
        <w:rPr>
          <w:rFonts w:ascii="Times New Roman" w:hAnsi="Times New Roman" w:cs="Times New Roman"/>
        </w:rPr>
      </w:pPr>
      <w:r w:rsidRPr="00E869A4">
        <w:rPr>
          <w:rFonts w:ascii="Times New Roman" w:hAnsi="Times New Roman" w:cs="Times New Roman"/>
        </w:rPr>
        <w:t>RESPECT CONTRIBUTIONS</w:t>
      </w:r>
    </w:p>
    <w:p w14:paraId="5E402B8B" w14:textId="77777777" w:rsidR="00D1584C" w:rsidRPr="00E869A4" w:rsidRDefault="00D1584C" w:rsidP="009D4C5D">
      <w:pPr>
        <w:pStyle w:val="ListParagraph"/>
        <w:numPr>
          <w:ilvl w:val="0"/>
          <w:numId w:val="63"/>
        </w:numPr>
        <w:ind w:left="709"/>
        <w:rPr>
          <w:rFonts w:ascii="Times New Roman" w:hAnsi="Times New Roman" w:cs="Times New Roman"/>
        </w:rPr>
      </w:pPr>
      <w:r w:rsidRPr="00E869A4">
        <w:rPr>
          <w:rFonts w:ascii="Times New Roman" w:hAnsi="Times New Roman" w:cs="Times New Roman"/>
        </w:rPr>
        <w:t>Respectfully disagree if you have a different viewpoint</w:t>
      </w:r>
    </w:p>
    <w:p w14:paraId="5ED360D1" w14:textId="77777777" w:rsidR="00D1584C" w:rsidRPr="00E869A4" w:rsidRDefault="00D1584C" w:rsidP="009D4C5D">
      <w:pPr>
        <w:pStyle w:val="ListParagraph"/>
        <w:numPr>
          <w:ilvl w:val="0"/>
          <w:numId w:val="63"/>
        </w:numPr>
        <w:ind w:left="709"/>
        <w:rPr>
          <w:rFonts w:ascii="Times New Roman" w:hAnsi="Times New Roman" w:cs="Times New Roman"/>
        </w:rPr>
      </w:pPr>
      <w:r w:rsidRPr="00E869A4">
        <w:rPr>
          <w:rFonts w:ascii="Times New Roman" w:hAnsi="Times New Roman" w:cs="Times New Roman"/>
        </w:rPr>
        <w:t xml:space="preserve">One person speaking at a time for ease of recording. </w:t>
      </w:r>
    </w:p>
    <w:p w14:paraId="3CCA738E" w14:textId="77777777" w:rsidR="0051600F" w:rsidRPr="00E869A4" w:rsidRDefault="0051600F" w:rsidP="0051600F">
      <w:pPr>
        <w:pStyle w:val="ListParagraph"/>
        <w:ind w:left="709" w:firstLine="0"/>
        <w:rPr>
          <w:rFonts w:ascii="Times New Roman" w:hAnsi="Times New Roman" w:cs="Times New Roman"/>
        </w:rPr>
      </w:pPr>
    </w:p>
    <w:p w14:paraId="6E360C49" w14:textId="6993AF54" w:rsidR="00D1584C" w:rsidRPr="00E869A4" w:rsidRDefault="00D1584C" w:rsidP="009D4C5D">
      <w:pPr>
        <w:pStyle w:val="ListParagraph"/>
        <w:numPr>
          <w:ilvl w:val="0"/>
          <w:numId w:val="65"/>
        </w:numPr>
        <w:rPr>
          <w:rFonts w:ascii="Times New Roman" w:hAnsi="Times New Roman" w:cs="Times New Roman"/>
        </w:rPr>
      </w:pPr>
      <w:r w:rsidRPr="00E869A4">
        <w:rPr>
          <w:rFonts w:ascii="Times New Roman" w:hAnsi="Times New Roman" w:cs="Times New Roman"/>
        </w:rPr>
        <w:t xml:space="preserve">WHAT IS SAID IN THIS ROOM STAYS HERE </w:t>
      </w:r>
    </w:p>
    <w:p w14:paraId="2A824EF9" w14:textId="77777777" w:rsidR="00D1584C" w:rsidRPr="00E869A4" w:rsidRDefault="00D1584C" w:rsidP="009D4C5D">
      <w:pPr>
        <w:pStyle w:val="ListParagraph"/>
        <w:numPr>
          <w:ilvl w:val="0"/>
          <w:numId w:val="64"/>
        </w:numPr>
        <w:ind w:left="709"/>
        <w:rPr>
          <w:rFonts w:ascii="Times New Roman" w:hAnsi="Times New Roman" w:cs="Times New Roman"/>
        </w:rPr>
      </w:pPr>
      <w:r w:rsidRPr="00E869A4">
        <w:rPr>
          <w:rFonts w:ascii="Times New Roman" w:hAnsi="Times New Roman" w:cs="Times New Roman"/>
        </w:rPr>
        <w:t xml:space="preserve">In order for you to make an informed decision about participating, participants were informed about other persons who might be in attendance. But, I won't identify anyone by name, or the name of your agency in the report. You will remain anonymous. </w:t>
      </w:r>
    </w:p>
    <w:p w14:paraId="641C6312" w14:textId="77777777" w:rsidR="00D1584C" w:rsidRPr="00E869A4" w:rsidRDefault="00D1584C" w:rsidP="009D4C5D">
      <w:pPr>
        <w:pStyle w:val="ListParagraph"/>
        <w:numPr>
          <w:ilvl w:val="0"/>
          <w:numId w:val="64"/>
        </w:numPr>
        <w:ind w:left="709"/>
        <w:rPr>
          <w:rFonts w:ascii="Times New Roman" w:hAnsi="Times New Roman" w:cs="Times New Roman"/>
        </w:rPr>
      </w:pPr>
      <w:r w:rsidRPr="00E869A4">
        <w:rPr>
          <w:rFonts w:ascii="Times New Roman" w:hAnsi="Times New Roman" w:cs="Times New Roman"/>
        </w:rPr>
        <w:t xml:space="preserve">I will need your help in ensuring that the information shared remains confidential. </w:t>
      </w:r>
    </w:p>
    <w:p w14:paraId="1D8CAC8B" w14:textId="77777777" w:rsidR="0051600F" w:rsidRPr="00E869A4" w:rsidRDefault="0051600F" w:rsidP="0051600F">
      <w:pPr>
        <w:pStyle w:val="ListParagraph"/>
        <w:ind w:left="709" w:firstLine="0"/>
        <w:rPr>
          <w:rFonts w:ascii="Times New Roman" w:hAnsi="Times New Roman" w:cs="Times New Roman"/>
        </w:rPr>
      </w:pPr>
    </w:p>
    <w:p w14:paraId="3011A7B8" w14:textId="3C11517F" w:rsidR="00D1584C" w:rsidRPr="00E869A4" w:rsidRDefault="00D1584C" w:rsidP="009D4C5D">
      <w:pPr>
        <w:pStyle w:val="ListParagraph"/>
        <w:numPr>
          <w:ilvl w:val="0"/>
          <w:numId w:val="65"/>
        </w:numPr>
        <w:rPr>
          <w:rFonts w:ascii="Times New Roman" w:hAnsi="Times New Roman" w:cs="Times New Roman"/>
        </w:rPr>
      </w:pPr>
      <w:r w:rsidRPr="00E869A4">
        <w:rPr>
          <w:rFonts w:ascii="Times New Roman" w:hAnsi="Times New Roman" w:cs="Times New Roman"/>
        </w:rPr>
        <w:t xml:space="preserve">WE WILL BE TAPE RECORDING </w:t>
      </w:r>
    </w:p>
    <w:p w14:paraId="305C1330" w14:textId="62EA193F" w:rsidR="00D1584C" w:rsidRPr="00E869A4" w:rsidRDefault="00D1584C" w:rsidP="009D4C5D">
      <w:pPr>
        <w:pStyle w:val="ListParagraph"/>
        <w:numPr>
          <w:ilvl w:val="0"/>
          <w:numId w:val="66"/>
        </w:numPr>
        <w:ind w:left="709"/>
        <w:rPr>
          <w:rFonts w:ascii="Times New Roman" w:hAnsi="Times New Roman" w:cs="Times New Roman"/>
        </w:rPr>
      </w:pPr>
      <w:r w:rsidRPr="00E869A4">
        <w:rPr>
          <w:rFonts w:ascii="Times New Roman" w:hAnsi="Times New Roman" w:cs="Times New Roman"/>
        </w:rPr>
        <w:t xml:space="preserve">We want to capture everything you have to say. </w:t>
      </w:r>
    </w:p>
    <w:p w14:paraId="52713D85" w14:textId="77777777" w:rsidR="0051600F" w:rsidRPr="00E869A4" w:rsidRDefault="0051600F" w:rsidP="0051600F">
      <w:pPr>
        <w:pStyle w:val="ListParagraph"/>
        <w:ind w:left="709" w:firstLine="0"/>
        <w:rPr>
          <w:rFonts w:ascii="Times New Roman" w:hAnsi="Times New Roman" w:cs="Times New Roman"/>
        </w:rPr>
      </w:pPr>
    </w:p>
    <w:p w14:paraId="2711CA4B" w14:textId="06981C89" w:rsidR="0051600F" w:rsidRPr="00E869A4" w:rsidRDefault="0051600F" w:rsidP="009D4C5D">
      <w:pPr>
        <w:pStyle w:val="ListParagraph"/>
        <w:numPr>
          <w:ilvl w:val="0"/>
          <w:numId w:val="65"/>
        </w:numPr>
        <w:rPr>
          <w:rFonts w:ascii="Times New Roman" w:hAnsi="Times New Roman" w:cs="Times New Roman"/>
        </w:rPr>
      </w:pPr>
      <w:r w:rsidRPr="00E869A4">
        <w:rPr>
          <w:rFonts w:ascii="Times New Roman" w:hAnsi="Times New Roman" w:cs="Times New Roman"/>
        </w:rPr>
        <w:t>CELL PHONES:</w:t>
      </w:r>
    </w:p>
    <w:p w14:paraId="5758EE01" w14:textId="708A7244" w:rsidR="00D1584C" w:rsidRPr="00E869A4" w:rsidRDefault="00D1584C" w:rsidP="009D4C5D">
      <w:pPr>
        <w:pStyle w:val="ListParagraph"/>
        <w:numPr>
          <w:ilvl w:val="0"/>
          <w:numId w:val="66"/>
        </w:numPr>
        <w:ind w:left="709"/>
        <w:rPr>
          <w:rFonts w:ascii="Times New Roman" w:hAnsi="Times New Roman" w:cs="Times New Roman"/>
        </w:rPr>
      </w:pPr>
      <w:r w:rsidRPr="00E869A4">
        <w:rPr>
          <w:rFonts w:ascii="Times New Roman" w:hAnsi="Times New Roman" w:cs="Times New Roman"/>
        </w:rPr>
        <w:t xml:space="preserve">To ensure the smooth running of the session, please turn your cell phones off or, put it on vibrate if you are on call. </w:t>
      </w:r>
    </w:p>
    <w:p w14:paraId="3250B262" w14:textId="77777777" w:rsidR="0051600F" w:rsidRPr="00E869A4" w:rsidRDefault="0051600F" w:rsidP="0051600F">
      <w:pPr>
        <w:pStyle w:val="ListParagraph"/>
        <w:ind w:left="1353" w:firstLine="0"/>
        <w:rPr>
          <w:rFonts w:ascii="Times New Roman" w:hAnsi="Times New Roman" w:cs="Times New Roman"/>
        </w:rPr>
      </w:pPr>
    </w:p>
    <w:p w14:paraId="65E0D41D" w14:textId="5BCD1CDF" w:rsidR="0051600F" w:rsidRPr="00E869A4" w:rsidRDefault="0051600F" w:rsidP="009D4C5D">
      <w:pPr>
        <w:pStyle w:val="ListParagraph"/>
        <w:numPr>
          <w:ilvl w:val="0"/>
          <w:numId w:val="65"/>
        </w:numPr>
        <w:rPr>
          <w:rFonts w:ascii="Times New Roman" w:hAnsi="Times New Roman" w:cs="Times New Roman"/>
        </w:rPr>
      </w:pPr>
      <w:r w:rsidRPr="00E869A4">
        <w:rPr>
          <w:rFonts w:ascii="Times New Roman" w:hAnsi="Times New Roman" w:cs="Times New Roman"/>
        </w:rPr>
        <w:t>OTHER</w:t>
      </w:r>
    </w:p>
    <w:p w14:paraId="09AF86D7" w14:textId="2BDD5A60" w:rsidR="00D1584C" w:rsidRPr="00E869A4" w:rsidRDefault="00D1584C" w:rsidP="009D4C5D">
      <w:pPr>
        <w:pStyle w:val="ListParagraph"/>
        <w:numPr>
          <w:ilvl w:val="0"/>
          <w:numId w:val="66"/>
        </w:numPr>
        <w:ind w:left="709"/>
        <w:rPr>
          <w:rFonts w:ascii="Times New Roman" w:hAnsi="Times New Roman" w:cs="Times New Roman"/>
        </w:rPr>
      </w:pPr>
      <w:r w:rsidRPr="00E869A4">
        <w:rPr>
          <w:rFonts w:ascii="Times New Roman" w:hAnsi="Times New Roman" w:cs="Times New Roman"/>
        </w:rPr>
        <w:t>To keep us on track with the time, I might have to make slight interruptions to the discussion to ensure that everyone can participate and that the group stays on our topic for today.</w:t>
      </w:r>
    </w:p>
    <w:p w14:paraId="2DD49DDB" w14:textId="77777777" w:rsidR="00D1584C" w:rsidRPr="00E869A4" w:rsidRDefault="00D1584C" w:rsidP="00A35FF8">
      <w:pPr>
        <w:rPr>
          <w:rFonts w:ascii="Times New Roman" w:hAnsi="Times New Roman" w:cs="Times New Roman"/>
        </w:rPr>
      </w:pPr>
    </w:p>
    <w:p w14:paraId="50B8936E" w14:textId="2A39AFA2" w:rsidR="00D1584C" w:rsidRPr="00E869A4" w:rsidRDefault="00D1584C" w:rsidP="00A35FF8">
      <w:pPr>
        <w:rPr>
          <w:rFonts w:ascii="Times New Roman" w:hAnsi="Times New Roman" w:cs="Times New Roman"/>
        </w:rPr>
      </w:pPr>
      <w:r w:rsidRPr="00E869A4">
        <w:rPr>
          <w:rFonts w:ascii="Times New Roman" w:hAnsi="Times New Roman" w:cs="Times New Roman"/>
          <w:b/>
        </w:rPr>
        <w:t>INTRODUCTIONS / ICEBREAKER</w:t>
      </w:r>
      <w:r w:rsidRPr="00E869A4">
        <w:rPr>
          <w:rFonts w:ascii="Times New Roman" w:hAnsi="Times New Roman" w:cs="Times New Roman"/>
        </w:rPr>
        <w:t xml:space="preserve">: So let’s begin the session with you sharing your </w:t>
      </w:r>
      <w:r w:rsidRPr="00E869A4">
        <w:rPr>
          <w:rFonts w:ascii="Times New Roman" w:hAnsi="Times New Roman" w:cs="Times New Roman"/>
          <w:u w:val="single"/>
        </w:rPr>
        <w:t>first name</w:t>
      </w:r>
      <w:r w:rsidRPr="00E869A4">
        <w:rPr>
          <w:rFonts w:ascii="Times New Roman" w:hAnsi="Times New Roman" w:cs="Times New Roman"/>
        </w:rPr>
        <w:t xml:space="preserve"> and answering this question: </w:t>
      </w:r>
    </w:p>
    <w:p w14:paraId="0213B26C" w14:textId="77777777" w:rsidR="002D7B86" w:rsidRPr="00E869A4" w:rsidRDefault="002D7B86" w:rsidP="00A35FF8">
      <w:pPr>
        <w:rPr>
          <w:rFonts w:ascii="Times New Roman" w:hAnsi="Times New Roman" w:cs="Times New Roman"/>
          <w:b/>
        </w:rPr>
      </w:pPr>
    </w:p>
    <w:p w14:paraId="23C5C04F" w14:textId="77777777" w:rsidR="00AE0D5D" w:rsidRPr="00E869A4" w:rsidRDefault="00AE0D5D">
      <w:pPr>
        <w:rPr>
          <w:rFonts w:ascii="Times New Roman" w:hAnsi="Times New Roman" w:cs="Times New Roman"/>
          <w:b/>
          <w:u w:val="single"/>
        </w:rPr>
      </w:pPr>
      <w:r w:rsidRPr="00E869A4">
        <w:rPr>
          <w:rFonts w:ascii="Times New Roman" w:hAnsi="Times New Roman" w:cs="Times New Roman"/>
          <w:b/>
          <w:u w:val="single"/>
        </w:rPr>
        <w:br w:type="page"/>
      </w:r>
    </w:p>
    <w:p w14:paraId="53FCB7A1" w14:textId="50D5590A" w:rsidR="00D1584C" w:rsidRPr="00E869A4" w:rsidRDefault="00D1584C" w:rsidP="00A35FF8">
      <w:pPr>
        <w:rPr>
          <w:rFonts w:ascii="Times New Roman" w:hAnsi="Times New Roman" w:cs="Times New Roman"/>
          <w:b/>
          <w:u w:val="single"/>
        </w:rPr>
      </w:pPr>
      <w:r w:rsidRPr="00E869A4">
        <w:rPr>
          <w:rFonts w:ascii="Times New Roman" w:hAnsi="Times New Roman" w:cs="Times New Roman"/>
          <w:b/>
          <w:u w:val="single"/>
        </w:rPr>
        <w:lastRenderedPageBreak/>
        <w:t>GROUP 1: FAMILY CAREGIVER</w:t>
      </w:r>
    </w:p>
    <w:p w14:paraId="48B0812C" w14:textId="77777777" w:rsidR="002D7B86" w:rsidRPr="00E869A4" w:rsidRDefault="002D7B86" w:rsidP="00A35FF8">
      <w:pPr>
        <w:rPr>
          <w:rFonts w:ascii="Times New Roman" w:hAnsi="Times New Roman" w:cs="Times New Roman"/>
          <w:b/>
        </w:rPr>
      </w:pPr>
    </w:p>
    <w:p w14:paraId="211D7F12" w14:textId="77777777" w:rsidR="00D1584C" w:rsidRPr="00E869A4" w:rsidRDefault="00D1584C" w:rsidP="00A35FF8">
      <w:pPr>
        <w:rPr>
          <w:rFonts w:ascii="Times New Roman" w:hAnsi="Times New Roman" w:cs="Times New Roman"/>
        </w:rPr>
      </w:pPr>
      <w:r w:rsidRPr="00E869A4">
        <w:rPr>
          <w:rFonts w:ascii="Times New Roman" w:hAnsi="Times New Roman" w:cs="Times New Roman"/>
          <w:b/>
        </w:rPr>
        <w:t xml:space="preserve">ICEBREAKER: </w:t>
      </w:r>
      <w:r w:rsidRPr="00E869A4">
        <w:rPr>
          <w:rFonts w:ascii="Times New Roman" w:hAnsi="Times New Roman" w:cs="Times New Roman"/>
        </w:rPr>
        <w:t>“If you had a limitless budget, where would you vacation and why?”</w:t>
      </w:r>
    </w:p>
    <w:p w14:paraId="03A09861" w14:textId="77777777" w:rsidR="00D1584C" w:rsidRPr="00E869A4" w:rsidRDefault="00D1584C" w:rsidP="009D4C5D">
      <w:pPr>
        <w:numPr>
          <w:ilvl w:val="0"/>
          <w:numId w:val="15"/>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Now that we know a bit about each other, please tell us which relative you cared for e.g. father, mother-in-law (please don’t give their name) and why you felt it was important to come here today. </w:t>
      </w:r>
    </w:p>
    <w:p w14:paraId="4302759D" w14:textId="77777777" w:rsidR="00D1584C" w:rsidRPr="00E869A4" w:rsidRDefault="00D1584C" w:rsidP="00A35FF8">
      <w:pPr>
        <w:ind w:left="1080"/>
        <w:rPr>
          <w:rFonts w:ascii="Times New Roman" w:hAnsi="Times New Roman" w:cs="Times New Roman"/>
        </w:rPr>
      </w:pPr>
    </w:p>
    <w:p w14:paraId="5066E09A" w14:textId="77777777" w:rsidR="00D1584C" w:rsidRPr="00E869A4" w:rsidRDefault="00D1584C" w:rsidP="009D4C5D">
      <w:pPr>
        <w:numPr>
          <w:ilvl w:val="0"/>
          <w:numId w:val="15"/>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How did you feel about completing the online survey? </w:t>
      </w:r>
    </w:p>
    <w:p w14:paraId="15C34240" w14:textId="77777777" w:rsidR="00D1584C" w:rsidRPr="00E869A4" w:rsidRDefault="00D1584C" w:rsidP="009D4C5D">
      <w:pPr>
        <w:numPr>
          <w:ilvl w:val="0"/>
          <w:numId w:val="1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Was it strange? </w:t>
      </w:r>
    </w:p>
    <w:p w14:paraId="7ED13D9B" w14:textId="77777777" w:rsidR="00D1584C" w:rsidRPr="00E869A4" w:rsidRDefault="00D1584C" w:rsidP="009D4C5D">
      <w:pPr>
        <w:numPr>
          <w:ilvl w:val="0"/>
          <w:numId w:val="1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Was it difficult?</w:t>
      </w:r>
    </w:p>
    <w:p w14:paraId="3C355187" w14:textId="77777777" w:rsidR="00D1584C" w:rsidRPr="00E869A4" w:rsidRDefault="00D1584C" w:rsidP="00A35FF8">
      <w:pPr>
        <w:ind w:left="720"/>
        <w:rPr>
          <w:rFonts w:ascii="Times New Roman" w:hAnsi="Times New Roman" w:cs="Times New Roman"/>
        </w:rPr>
      </w:pPr>
    </w:p>
    <w:p w14:paraId="6485895F" w14:textId="77777777" w:rsidR="00D1584C" w:rsidRPr="00E869A4" w:rsidRDefault="00D1584C" w:rsidP="00A35FF8">
      <w:pPr>
        <w:ind w:left="360"/>
        <w:rPr>
          <w:rFonts w:ascii="Times New Roman" w:hAnsi="Times New Roman" w:cs="Times New Roman"/>
          <w:b/>
          <w:i/>
          <w:u w:val="single"/>
        </w:rPr>
      </w:pPr>
      <w:r w:rsidRPr="00E869A4">
        <w:rPr>
          <w:rFonts w:ascii="Times New Roman" w:hAnsi="Times New Roman" w:cs="Times New Roman"/>
          <w:b/>
          <w:i/>
          <w:u w:val="single"/>
        </w:rPr>
        <w:t xml:space="preserve">Distribute Newspaper article. Invite a volunteer to read it. </w:t>
      </w:r>
    </w:p>
    <w:p w14:paraId="71F3FFD7" w14:textId="77777777" w:rsidR="00D1584C" w:rsidRPr="00E869A4" w:rsidRDefault="00D1584C" w:rsidP="00A35FF8">
      <w:pPr>
        <w:ind w:left="1080"/>
        <w:rPr>
          <w:rFonts w:ascii="Times New Roman" w:hAnsi="Times New Roman" w:cs="Times New Roman"/>
        </w:rPr>
      </w:pPr>
    </w:p>
    <w:p w14:paraId="38AABE63" w14:textId="77777777" w:rsidR="00D1584C" w:rsidRPr="00E869A4" w:rsidRDefault="00D1584C" w:rsidP="009D4C5D">
      <w:pPr>
        <w:numPr>
          <w:ilvl w:val="0"/>
          <w:numId w:val="15"/>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did you know about caring for an elderly relative before you actually started providing care?</w:t>
      </w:r>
    </w:p>
    <w:p w14:paraId="0956A95F" w14:textId="77777777" w:rsidR="00D1584C" w:rsidRPr="00E869A4" w:rsidRDefault="00D1584C" w:rsidP="009D4C5D">
      <w:pPr>
        <w:numPr>
          <w:ilvl w:val="0"/>
          <w:numId w:val="14"/>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Were there any surprises when you started giving care?</w:t>
      </w:r>
    </w:p>
    <w:p w14:paraId="5CAC46F9" w14:textId="77777777" w:rsidR="00D1584C" w:rsidRPr="00E869A4" w:rsidRDefault="00D1584C" w:rsidP="00A35FF8">
      <w:pPr>
        <w:ind w:left="1080"/>
        <w:rPr>
          <w:rFonts w:ascii="Times New Roman" w:hAnsi="Times New Roman" w:cs="Times New Roman"/>
        </w:rPr>
      </w:pPr>
    </w:p>
    <w:p w14:paraId="582BB7C4" w14:textId="77777777" w:rsidR="00D1584C" w:rsidRPr="00E869A4" w:rsidRDefault="00D1584C" w:rsidP="009D4C5D">
      <w:pPr>
        <w:numPr>
          <w:ilvl w:val="0"/>
          <w:numId w:val="15"/>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 xml:space="preserve">How has caring for your elderly relative affected you? </w:t>
      </w:r>
    </w:p>
    <w:p w14:paraId="2035B6F7"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impact did caring have on your daily life (e.g. socializing)</w:t>
      </w:r>
    </w:p>
    <w:p w14:paraId="47B8F6A0"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was the most challenging part about providing care?</w:t>
      </w:r>
    </w:p>
    <w:p w14:paraId="1DDA2A40"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Did it get easier with time?  Did it change over time?</w:t>
      </w:r>
    </w:p>
    <w:p w14:paraId="55938FB9" w14:textId="77777777" w:rsidR="00D1584C" w:rsidRPr="00E869A4" w:rsidRDefault="00D1584C" w:rsidP="00A35FF8">
      <w:pPr>
        <w:ind w:left="1080"/>
        <w:rPr>
          <w:rFonts w:ascii="Times New Roman" w:hAnsi="Times New Roman" w:cs="Times New Roman"/>
        </w:rPr>
      </w:pPr>
    </w:p>
    <w:p w14:paraId="18FD8812" w14:textId="77777777" w:rsidR="00D1584C" w:rsidRPr="00E869A4" w:rsidRDefault="00D1584C" w:rsidP="009D4C5D">
      <w:pPr>
        <w:numPr>
          <w:ilvl w:val="0"/>
          <w:numId w:val="15"/>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did you do to make things easier? How did you deal with problems?</w:t>
      </w:r>
    </w:p>
    <w:p w14:paraId="5159E88A"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sorts of things helped you as a caregiver? (Health care professionals, information (sources), social networks)</w:t>
      </w:r>
    </w:p>
    <w:p w14:paraId="013AD359"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Why do you think most caregivers (61%) received no support from civil society agencies?</w:t>
      </w:r>
    </w:p>
    <w:p w14:paraId="48CAAF4F" w14:textId="77777777" w:rsidR="00D1584C" w:rsidRPr="00E869A4" w:rsidRDefault="00D1584C" w:rsidP="00A35FF8">
      <w:pPr>
        <w:ind w:left="1080"/>
        <w:rPr>
          <w:rFonts w:ascii="Times New Roman" w:hAnsi="Times New Roman" w:cs="Times New Roman"/>
        </w:rPr>
      </w:pPr>
    </w:p>
    <w:p w14:paraId="22B44976" w14:textId="77777777" w:rsidR="00D1584C" w:rsidRPr="00E869A4" w:rsidRDefault="00D1584C" w:rsidP="009D4C5D">
      <w:pPr>
        <w:numPr>
          <w:ilvl w:val="0"/>
          <w:numId w:val="15"/>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In terms of service provision for caregivers like yourself, what would you like to see done to support you in caring for elderly relatives?</w:t>
      </w:r>
    </w:p>
    <w:p w14:paraId="7972F80C"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Why do you think most persons (46% of the survey) would never want to place their elderly relative in a long term care facility?</w:t>
      </w:r>
    </w:p>
    <w:p w14:paraId="4AA2EFCD"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lastRenderedPageBreak/>
        <w:t>The survey showed that about 43% of caregivers were single and never had a partner.</w:t>
      </w:r>
      <w:r w:rsidRPr="00E869A4">
        <w:rPr>
          <w:rFonts w:ascii="Times New Roman" w:hAnsi="Times New Roman" w:cs="Times New Roman"/>
          <w:vertAlign w:val="superscript"/>
        </w:rPr>
        <w:footnoteReference w:id="132"/>
      </w:r>
      <w:r w:rsidRPr="00E869A4">
        <w:rPr>
          <w:rFonts w:ascii="Times New Roman" w:hAnsi="Times New Roman" w:cs="Times New Roman"/>
        </w:rPr>
        <w:t xml:space="preserve"> Why do you think this is the case?</w:t>
      </w:r>
    </w:p>
    <w:p w14:paraId="67D666A9" w14:textId="77777777" w:rsidR="00D1584C" w:rsidRPr="00E869A4" w:rsidRDefault="00D1584C" w:rsidP="00A35FF8">
      <w:pPr>
        <w:ind w:left="1080"/>
        <w:rPr>
          <w:rFonts w:ascii="Times New Roman" w:hAnsi="Times New Roman" w:cs="Times New Roman"/>
        </w:rPr>
      </w:pPr>
    </w:p>
    <w:p w14:paraId="272D3D69" w14:textId="77777777" w:rsidR="00D1584C" w:rsidRPr="00E869A4" w:rsidRDefault="00D1584C" w:rsidP="009D4C5D">
      <w:pPr>
        <w:numPr>
          <w:ilvl w:val="0"/>
          <w:numId w:val="15"/>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Looking back on your own experiences, what advice would you offer to someone who is about to start caring for an elderly relative?</w:t>
      </w:r>
    </w:p>
    <w:p w14:paraId="0D999AB9" w14:textId="77777777" w:rsidR="00D1584C" w:rsidRPr="00E869A4" w:rsidRDefault="00D1584C" w:rsidP="00A35FF8">
      <w:pPr>
        <w:ind w:left="720"/>
        <w:rPr>
          <w:rFonts w:ascii="Times New Roman" w:hAnsi="Times New Roman" w:cs="Times New Roman"/>
        </w:rPr>
      </w:pPr>
    </w:p>
    <w:p w14:paraId="58D159D0" w14:textId="77777777" w:rsidR="00D1584C" w:rsidRPr="00E869A4" w:rsidRDefault="00D1584C" w:rsidP="009D4C5D">
      <w:pPr>
        <w:numPr>
          <w:ilvl w:val="0"/>
          <w:numId w:val="15"/>
        </w:numPr>
        <w:pBdr>
          <w:top w:val="nil"/>
          <w:left w:val="nil"/>
          <w:bottom w:val="nil"/>
          <w:right w:val="nil"/>
          <w:between w:val="nil"/>
        </w:pBdr>
        <w:rPr>
          <w:rFonts w:ascii="Times New Roman" w:hAnsi="Times New Roman" w:cs="Times New Roman"/>
          <w:b/>
        </w:rPr>
      </w:pPr>
      <w:r w:rsidRPr="00E869A4">
        <w:rPr>
          <w:rFonts w:ascii="Times New Roman" w:hAnsi="Times New Roman" w:cs="Times New Roman"/>
        </w:rPr>
        <w:t>Is there anything else you would like to share about caring for an elderly relative?</w:t>
      </w:r>
    </w:p>
    <w:p w14:paraId="726F59A6" w14:textId="77777777" w:rsidR="00D4124E" w:rsidRPr="00E869A4" w:rsidRDefault="00D4124E" w:rsidP="00A35FF8">
      <w:pPr>
        <w:rPr>
          <w:rFonts w:ascii="Times New Roman" w:hAnsi="Times New Roman" w:cs="Times New Roman"/>
          <w:b/>
        </w:rPr>
      </w:pPr>
    </w:p>
    <w:p w14:paraId="3CCDC2AF" w14:textId="77777777" w:rsidR="0051600F" w:rsidRPr="00E869A4" w:rsidRDefault="0051600F">
      <w:pPr>
        <w:rPr>
          <w:rFonts w:ascii="Times New Roman" w:hAnsi="Times New Roman" w:cs="Times New Roman"/>
          <w:b/>
        </w:rPr>
      </w:pPr>
      <w:r w:rsidRPr="00E869A4">
        <w:rPr>
          <w:rFonts w:ascii="Times New Roman" w:hAnsi="Times New Roman" w:cs="Times New Roman"/>
          <w:b/>
        </w:rPr>
        <w:br w:type="page"/>
      </w:r>
    </w:p>
    <w:p w14:paraId="34CF3462" w14:textId="303A0490" w:rsidR="00D1584C" w:rsidRPr="00E869A4" w:rsidRDefault="00D1584C" w:rsidP="00A35FF8">
      <w:pPr>
        <w:rPr>
          <w:rFonts w:ascii="Times New Roman" w:hAnsi="Times New Roman" w:cs="Times New Roman"/>
          <w:b/>
          <w:u w:val="single"/>
        </w:rPr>
      </w:pPr>
      <w:r w:rsidRPr="00E869A4">
        <w:rPr>
          <w:rFonts w:ascii="Times New Roman" w:hAnsi="Times New Roman" w:cs="Times New Roman"/>
          <w:b/>
          <w:u w:val="single"/>
        </w:rPr>
        <w:lastRenderedPageBreak/>
        <w:t>GROUP 2: SERVICE PROVIDERS</w:t>
      </w:r>
    </w:p>
    <w:p w14:paraId="3CB27A28" w14:textId="77777777" w:rsidR="0051600F" w:rsidRPr="00E869A4" w:rsidRDefault="0051600F" w:rsidP="00A35FF8">
      <w:pPr>
        <w:rPr>
          <w:rFonts w:ascii="Times New Roman" w:hAnsi="Times New Roman" w:cs="Times New Roman"/>
          <w:b/>
        </w:rPr>
      </w:pPr>
    </w:p>
    <w:p w14:paraId="0C196FD7" w14:textId="77777777" w:rsidR="00D1584C" w:rsidRPr="00E869A4" w:rsidRDefault="00D1584C" w:rsidP="00A35FF8">
      <w:pPr>
        <w:rPr>
          <w:rFonts w:ascii="Times New Roman" w:hAnsi="Times New Roman" w:cs="Times New Roman"/>
          <w:b/>
        </w:rPr>
      </w:pPr>
      <w:r w:rsidRPr="00E869A4">
        <w:rPr>
          <w:rFonts w:ascii="Times New Roman" w:hAnsi="Times New Roman" w:cs="Times New Roman"/>
          <w:b/>
        </w:rPr>
        <w:t>INTRODUCTION</w:t>
      </w:r>
    </w:p>
    <w:p w14:paraId="60BDA0FE" w14:textId="77777777" w:rsidR="0051600F" w:rsidRPr="00E869A4" w:rsidRDefault="0051600F" w:rsidP="00A35FF8">
      <w:pPr>
        <w:rPr>
          <w:rFonts w:ascii="Times New Roman" w:hAnsi="Times New Roman" w:cs="Times New Roman"/>
        </w:rPr>
      </w:pPr>
    </w:p>
    <w:p w14:paraId="46E45596"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Hi everyone. My name is Hyacinth Blake and I am a PhD student with the University of Sheffield and this is my assistant </w:t>
      </w:r>
      <w:proofErr w:type="spellStart"/>
      <w:r w:rsidRPr="00E869A4">
        <w:rPr>
          <w:rFonts w:ascii="Times New Roman" w:hAnsi="Times New Roman" w:cs="Times New Roman"/>
        </w:rPr>
        <w:t>Christal</w:t>
      </w:r>
      <w:proofErr w:type="spellEnd"/>
      <w:r w:rsidRPr="00E869A4">
        <w:rPr>
          <w:rFonts w:ascii="Times New Roman" w:hAnsi="Times New Roman" w:cs="Times New Roman"/>
        </w:rPr>
        <w:t xml:space="preserve"> who is a student here at UWI and the note taker for the session. Thanks so much for coming along today. </w:t>
      </w:r>
    </w:p>
    <w:p w14:paraId="40B42419" w14:textId="77777777" w:rsidR="00D1584C" w:rsidRPr="00E869A4" w:rsidRDefault="00D1584C" w:rsidP="00A35FF8">
      <w:pPr>
        <w:rPr>
          <w:rFonts w:ascii="Times New Roman" w:hAnsi="Times New Roman" w:cs="Times New Roman"/>
        </w:rPr>
      </w:pPr>
      <w:r w:rsidRPr="00E869A4">
        <w:rPr>
          <w:rFonts w:ascii="Times New Roman" w:hAnsi="Times New Roman" w:cs="Times New Roman"/>
        </w:rPr>
        <w:t xml:space="preserve">Before this session, I conducted in-depth interviews and an online survey to obtain insights into the experiences and needs of family caregivers of elderly relatives. I will provide you with a summary of some of the key findings of the survey at the end of the session. </w:t>
      </w:r>
    </w:p>
    <w:p w14:paraId="0EDA0AC3" w14:textId="365847B5" w:rsidR="00D1584C" w:rsidRPr="00E869A4" w:rsidRDefault="00D1584C" w:rsidP="00A35FF8">
      <w:pPr>
        <w:rPr>
          <w:rFonts w:ascii="Times New Roman" w:hAnsi="Times New Roman" w:cs="Times New Roman"/>
        </w:rPr>
      </w:pPr>
      <w:r w:rsidRPr="00E869A4">
        <w:rPr>
          <w:rFonts w:ascii="Times New Roman" w:hAnsi="Times New Roman" w:cs="Times New Roman"/>
        </w:rPr>
        <w:t>You’ve all been invited to this discussion because your agency provides support to older persons and / or their family members. The main purpose of this session is to obtain your views on ways in which support to family caregivers and their older relatives can be strengthened and improved.</w:t>
      </w:r>
    </w:p>
    <w:p w14:paraId="5DDB9F9F" w14:textId="77777777" w:rsidR="00D1584C" w:rsidRPr="00E869A4" w:rsidRDefault="00D1584C" w:rsidP="00A35FF8">
      <w:pPr>
        <w:rPr>
          <w:rFonts w:ascii="Times New Roman" w:hAnsi="Times New Roman" w:cs="Times New Roman"/>
        </w:rPr>
      </w:pPr>
    </w:p>
    <w:p w14:paraId="4D878D39" w14:textId="77777777" w:rsidR="00D1584C" w:rsidRPr="00E869A4" w:rsidRDefault="00D1584C" w:rsidP="00A35FF8">
      <w:pPr>
        <w:rPr>
          <w:rFonts w:ascii="Times New Roman" w:hAnsi="Times New Roman" w:cs="Times New Roman"/>
        </w:rPr>
      </w:pPr>
      <w:r w:rsidRPr="00E869A4">
        <w:rPr>
          <w:rFonts w:ascii="Times New Roman" w:hAnsi="Times New Roman" w:cs="Times New Roman"/>
          <w:b/>
        </w:rPr>
        <w:t>GROUND RULES</w:t>
      </w:r>
      <w:r w:rsidRPr="00E869A4">
        <w:rPr>
          <w:rFonts w:ascii="Times New Roman" w:hAnsi="Times New Roman" w:cs="Times New Roman"/>
        </w:rPr>
        <w:t xml:space="preserve"> (see previous)</w:t>
      </w:r>
    </w:p>
    <w:p w14:paraId="65D62948" w14:textId="77777777" w:rsidR="0051600F" w:rsidRPr="00E869A4" w:rsidRDefault="0051600F" w:rsidP="00A35FF8">
      <w:pPr>
        <w:rPr>
          <w:rFonts w:ascii="Times New Roman" w:hAnsi="Times New Roman" w:cs="Times New Roman"/>
          <w:b/>
        </w:rPr>
      </w:pPr>
    </w:p>
    <w:p w14:paraId="6441A436" w14:textId="77777777" w:rsidR="00D1584C" w:rsidRPr="00E869A4" w:rsidRDefault="00D1584C" w:rsidP="00A35FF8">
      <w:pPr>
        <w:rPr>
          <w:rFonts w:ascii="Times New Roman" w:hAnsi="Times New Roman" w:cs="Times New Roman"/>
        </w:rPr>
      </w:pPr>
      <w:r w:rsidRPr="00E869A4">
        <w:rPr>
          <w:rFonts w:ascii="Times New Roman" w:hAnsi="Times New Roman" w:cs="Times New Roman"/>
          <w:b/>
        </w:rPr>
        <w:t>INTRODUCTIONS / ICEBREAKER</w:t>
      </w:r>
      <w:r w:rsidRPr="00E869A4">
        <w:rPr>
          <w:rFonts w:ascii="Times New Roman" w:hAnsi="Times New Roman" w:cs="Times New Roman"/>
        </w:rPr>
        <w:t xml:space="preserve">: So let’s begin the session with you sharing your </w:t>
      </w:r>
      <w:r w:rsidRPr="00E869A4">
        <w:rPr>
          <w:rFonts w:ascii="Times New Roman" w:hAnsi="Times New Roman" w:cs="Times New Roman"/>
          <w:u w:val="single"/>
        </w:rPr>
        <w:t>first name</w:t>
      </w:r>
      <w:r w:rsidRPr="00E869A4">
        <w:rPr>
          <w:rFonts w:ascii="Times New Roman" w:hAnsi="Times New Roman" w:cs="Times New Roman"/>
        </w:rPr>
        <w:t xml:space="preserve"> and answering this question: if they could interview anyone in history, who would that be and why? What one or two questions would you want to ask?</w:t>
      </w:r>
    </w:p>
    <w:p w14:paraId="73C3C99C" w14:textId="77777777" w:rsidR="002D7B86" w:rsidRPr="00E869A4" w:rsidRDefault="002D7B86" w:rsidP="00A35FF8">
      <w:pPr>
        <w:rPr>
          <w:rFonts w:ascii="Times New Roman" w:hAnsi="Times New Roman" w:cs="Times New Roman"/>
        </w:rPr>
      </w:pPr>
    </w:p>
    <w:p w14:paraId="4545AA05" w14:textId="77777777" w:rsidR="00D1584C" w:rsidRPr="00E869A4" w:rsidRDefault="00D1584C" w:rsidP="009D4C5D">
      <w:pPr>
        <w:numPr>
          <w:ilvl w:val="0"/>
          <w:numId w:val="16"/>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Now that we know a little more about each other, please tell us what kind of work you do to support older persons and their relatives.</w:t>
      </w:r>
    </w:p>
    <w:p w14:paraId="1C986C11" w14:textId="77777777" w:rsidR="00D1584C" w:rsidRPr="00E869A4" w:rsidRDefault="00D1584C" w:rsidP="00A35FF8">
      <w:pPr>
        <w:ind w:left="720"/>
        <w:rPr>
          <w:rFonts w:ascii="Times New Roman" w:hAnsi="Times New Roman" w:cs="Times New Roman"/>
        </w:rPr>
      </w:pPr>
    </w:p>
    <w:p w14:paraId="1E769162" w14:textId="77777777" w:rsidR="00D1584C" w:rsidRPr="00E869A4" w:rsidRDefault="00D1584C" w:rsidP="00A35FF8">
      <w:pPr>
        <w:ind w:left="360"/>
        <w:rPr>
          <w:rFonts w:ascii="Times New Roman" w:hAnsi="Times New Roman" w:cs="Times New Roman"/>
          <w:b/>
          <w:i/>
          <w:u w:val="single"/>
        </w:rPr>
      </w:pPr>
      <w:r w:rsidRPr="00E869A4">
        <w:rPr>
          <w:rFonts w:ascii="Times New Roman" w:hAnsi="Times New Roman" w:cs="Times New Roman"/>
          <w:b/>
          <w:i/>
          <w:u w:val="single"/>
        </w:rPr>
        <w:t xml:space="preserve">Distribute Newspaper article. Invite a volunteer to read it. </w:t>
      </w:r>
    </w:p>
    <w:p w14:paraId="45B421D6" w14:textId="77777777" w:rsidR="00D1584C" w:rsidRPr="00E869A4" w:rsidRDefault="00D1584C" w:rsidP="009D4C5D">
      <w:pPr>
        <w:numPr>
          <w:ilvl w:val="0"/>
          <w:numId w:val="16"/>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do you think should be done to better assist a) family caregivers of elderly relatives; b) older persons?</w:t>
      </w:r>
    </w:p>
    <w:p w14:paraId="7A2FF8A9"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are the main challenges you / your agency experience in providing support to: a) older persons; b) their relatives</w:t>
      </w:r>
    </w:p>
    <w:p w14:paraId="1D636C0D"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do you think should be done to help you / your agency?</w:t>
      </w:r>
    </w:p>
    <w:p w14:paraId="29245838" w14:textId="77777777" w:rsidR="00D1584C" w:rsidRPr="00E869A4" w:rsidRDefault="00D1584C" w:rsidP="009D4C5D">
      <w:pPr>
        <w:numPr>
          <w:ilvl w:val="0"/>
          <w:numId w:val="16"/>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are your views on placing older persons in institutional facilities in Trinidad?</w:t>
      </w:r>
    </w:p>
    <w:p w14:paraId="725928B1"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lastRenderedPageBreak/>
        <w:t>Do you support this?</w:t>
      </w:r>
    </w:p>
    <w:p w14:paraId="617B1206"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Should this be  supported? If so, how</w:t>
      </w:r>
    </w:p>
    <w:p w14:paraId="496F569B"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Under what circumstances</w:t>
      </w:r>
    </w:p>
    <w:p w14:paraId="4F5A5DC3" w14:textId="77777777" w:rsidR="00D1584C" w:rsidRPr="00E869A4" w:rsidRDefault="00D1584C" w:rsidP="00A35FF8">
      <w:pPr>
        <w:ind w:left="1080"/>
        <w:rPr>
          <w:rFonts w:ascii="Times New Roman" w:hAnsi="Times New Roman" w:cs="Times New Roman"/>
        </w:rPr>
      </w:pPr>
    </w:p>
    <w:p w14:paraId="6FA515C5" w14:textId="64BAD554" w:rsidR="00D1584C" w:rsidRPr="00E869A4" w:rsidRDefault="00D1584C" w:rsidP="0051600F">
      <w:pPr>
        <w:ind w:left="360"/>
        <w:rPr>
          <w:rFonts w:ascii="Times New Roman" w:hAnsi="Times New Roman" w:cs="Times New Roman"/>
        </w:rPr>
      </w:pPr>
      <w:r w:rsidRPr="00E869A4">
        <w:rPr>
          <w:rFonts w:ascii="Times New Roman" w:hAnsi="Times New Roman" w:cs="Times New Roman"/>
          <w:b/>
          <w:i/>
          <w:u w:val="single"/>
        </w:rPr>
        <w:t xml:space="preserve">Distribute Survey Summary. </w:t>
      </w:r>
      <w:r w:rsidRPr="00E869A4">
        <w:rPr>
          <w:rFonts w:ascii="Times New Roman" w:hAnsi="Times New Roman" w:cs="Times New Roman"/>
        </w:rPr>
        <w:t>Give parti</w:t>
      </w:r>
      <w:r w:rsidR="0051600F" w:rsidRPr="00E869A4">
        <w:rPr>
          <w:rFonts w:ascii="Times New Roman" w:hAnsi="Times New Roman" w:cs="Times New Roman"/>
        </w:rPr>
        <w:t>cipants time to review content</w:t>
      </w:r>
    </w:p>
    <w:p w14:paraId="6E96F4CB" w14:textId="77777777" w:rsidR="0051600F" w:rsidRPr="00E869A4" w:rsidRDefault="0051600F" w:rsidP="0051600F">
      <w:pPr>
        <w:ind w:left="360"/>
        <w:rPr>
          <w:rFonts w:ascii="Times New Roman" w:hAnsi="Times New Roman" w:cs="Times New Roman"/>
        </w:rPr>
      </w:pPr>
    </w:p>
    <w:p w14:paraId="2B410FEB" w14:textId="77777777" w:rsidR="00D1584C" w:rsidRPr="00E869A4" w:rsidRDefault="00D1584C" w:rsidP="009D4C5D">
      <w:pPr>
        <w:numPr>
          <w:ilvl w:val="0"/>
          <w:numId w:val="16"/>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Several persons in the survey indicated that they were not aware of state service provision. In some cases, half the participants were not aware of grants such as the dietary grant and spectacles grant. Why do you think this is so? What do you think should be done about this?</w:t>
      </w:r>
    </w:p>
    <w:p w14:paraId="7A0C6CD4" w14:textId="77777777" w:rsidR="00D1584C" w:rsidRPr="00E869A4" w:rsidRDefault="00D1584C" w:rsidP="00A35FF8">
      <w:pPr>
        <w:ind w:left="720"/>
        <w:rPr>
          <w:rFonts w:ascii="Times New Roman" w:hAnsi="Times New Roman" w:cs="Times New Roman"/>
        </w:rPr>
      </w:pPr>
    </w:p>
    <w:p w14:paraId="49B805A3" w14:textId="77777777" w:rsidR="00D1584C" w:rsidRPr="00E869A4" w:rsidRDefault="00D1584C" w:rsidP="009D4C5D">
      <w:pPr>
        <w:numPr>
          <w:ilvl w:val="0"/>
          <w:numId w:val="16"/>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Most survey participants (61%) indicated that most persons received no support from civil society agencies. Why do you think this is so?</w:t>
      </w:r>
    </w:p>
    <w:p w14:paraId="33BD2B89" w14:textId="77777777" w:rsidR="00D1584C" w:rsidRPr="00E869A4" w:rsidRDefault="00D1584C" w:rsidP="009D4C5D">
      <w:pPr>
        <w:numPr>
          <w:ilvl w:val="0"/>
          <w:numId w:val="13"/>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What, do you think should be done about this?</w:t>
      </w:r>
    </w:p>
    <w:p w14:paraId="7B3C0121" w14:textId="77777777" w:rsidR="00D1584C" w:rsidRPr="00E869A4" w:rsidRDefault="00D1584C" w:rsidP="00A35FF8">
      <w:pPr>
        <w:ind w:left="720"/>
        <w:rPr>
          <w:rFonts w:ascii="Times New Roman" w:hAnsi="Times New Roman" w:cs="Times New Roman"/>
        </w:rPr>
      </w:pPr>
      <w:r w:rsidRPr="00E869A4">
        <w:rPr>
          <w:rFonts w:ascii="Times New Roman" w:hAnsi="Times New Roman" w:cs="Times New Roman"/>
        </w:rPr>
        <w:t>Most persons (would not place their elderly relative in a long term care facility under any circumstances. The main reasons provided were quality of care (about 60% strongly agreed when compared to 47% strongly agreeing that the main reason was the cost of institutional care). What are your thoughts on this?</w:t>
      </w:r>
    </w:p>
    <w:p w14:paraId="48045170" w14:textId="77777777" w:rsidR="00D1584C" w:rsidRPr="00E869A4" w:rsidRDefault="00D1584C" w:rsidP="00A35FF8">
      <w:pPr>
        <w:ind w:left="720"/>
        <w:rPr>
          <w:rFonts w:ascii="Times New Roman" w:hAnsi="Times New Roman" w:cs="Times New Roman"/>
        </w:rPr>
      </w:pPr>
    </w:p>
    <w:p w14:paraId="68B518AA" w14:textId="77777777" w:rsidR="00D1584C" w:rsidRPr="00E869A4" w:rsidRDefault="00D1584C" w:rsidP="009D4C5D">
      <w:pPr>
        <w:numPr>
          <w:ilvl w:val="0"/>
          <w:numId w:val="16"/>
        </w:numPr>
        <w:pBdr>
          <w:top w:val="nil"/>
          <w:left w:val="nil"/>
          <w:bottom w:val="nil"/>
          <w:right w:val="nil"/>
          <w:between w:val="nil"/>
        </w:pBdr>
        <w:rPr>
          <w:rFonts w:ascii="Times New Roman" w:hAnsi="Times New Roman" w:cs="Times New Roman"/>
        </w:rPr>
      </w:pPr>
      <w:r w:rsidRPr="00E869A4">
        <w:rPr>
          <w:rFonts w:ascii="Times New Roman" w:hAnsi="Times New Roman" w:cs="Times New Roman"/>
        </w:rPr>
        <w:t>Is there anything else you would like to share about providing support to older persons and their family caregivers?</w:t>
      </w:r>
    </w:p>
    <w:p w14:paraId="5350EC42" w14:textId="5AE8EEF1" w:rsidR="00B926C3" w:rsidRPr="00E869A4" w:rsidRDefault="00D1584C" w:rsidP="00B31B47">
      <w:pPr>
        <w:pStyle w:val="Caption"/>
        <w:ind w:firstLine="0"/>
        <w:rPr>
          <w:b/>
          <w:i w:val="0"/>
          <w:sz w:val="24"/>
        </w:rPr>
      </w:pPr>
      <w:r w:rsidRPr="00E869A4">
        <w:br w:type="page"/>
      </w:r>
      <w:bookmarkStart w:id="483" w:name="_Toc40436629"/>
      <w:r w:rsidR="00E976C6" w:rsidRPr="00E869A4">
        <w:rPr>
          <w:b/>
          <w:i w:val="0"/>
          <w:sz w:val="28"/>
        </w:rPr>
        <w:lastRenderedPageBreak/>
        <w:t xml:space="preserve">Appendix </w:t>
      </w:r>
      <w:r w:rsidR="00E976C6" w:rsidRPr="00E869A4">
        <w:rPr>
          <w:b/>
          <w:i w:val="0"/>
          <w:sz w:val="28"/>
        </w:rPr>
        <w:fldChar w:fldCharType="begin"/>
      </w:r>
      <w:r w:rsidR="00E976C6" w:rsidRPr="00E869A4">
        <w:rPr>
          <w:b/>
          <w:i w:val="0"/>
          <w:sz w:val="28"/>
        </w:rPr>
        <w:instrText xml:space="preserve"> SEQ Appendix \* ARABIC </w:instrText>
      </w:r>
      <w:r w:rsidR="00E976C6" w:rsidRPr="00E869A4">
        <w:rPr>
          <w:b/>
          <w:i w:val="0"/>
          <w:sz w:val="28"/>
        </w:rPr>
        <w:fldChar w:fldCharType="separate"/>
      </w:r>
      <w:r w:rsidR="00D7239F">
        <w:rPr>
          <w:b/>
          <w:i w:val="0"/>
          <w:noProof/>
          <w:sz w:val="28"/>
        </w:rPr>
        <w:t>9</w:t>
      </w:r>
      <w:r w:rsidR="00E976C6" w:rsidRPr="00E869A4">
        <w:rPr>
          <w:b/>
          <w:i w:val="0"/>
          <w:sz w:val="28"/>
        </w:rPr>
        <w:fldChar w:fldCharType="end"/>
      </w:r>
      <w:r w:rsidR="0060066D" w:rsidRPr="00E869A4">
        <w:rPr>
          <w:b/>
          <w:i w:val="0"/>
          <w:sz w:val="28"/>
        </w:rPr>
        <w:t xml:space="preserve">: </w:t>
      </w:r>
      <w:r w:rsidR="00E976C6" w:rsidRPr="00E869A4">
        <w:rPr>
          <w:b/>
          <w:i w:val="0"/>
          <w:sz w:val="28"/>
        </w:rPr>
        <w:t>Pen Portraits of Interview Participants</w:t>
      </w:r>
      <w:bookmarkEnd w:id="483"/>
      <w:r w:rsidR="00E976C6" w:rsidRPr="00E869A4">
        <w:rPr>
          <w:b/>
          <w:i w:val="0"/>
          <w:sz w:val="28"/>
        </w:rPr>
        <w:t xml:space="preserve"> </w:t>
      </w:r>
    </w:p>
    <w:p w14:paraId="087B39FA" w14:textId="77777777" w:rsidR="00AD076F" w:rsidRPr="00E869A4" w:rsidRDefault="00AD076F" w:rsidP="00A35FF8">
      <w:pPr>
        <w:rPr>
          <w:b/>
        </w:rPr>
      </w:pPr>
      <w:bookmarkStart w:id="484" w:name="_Toc507665566"/>
      <w:bookmarkStart w:id="485" w:name="_Toc507909138"/>
    </w:p>
    <w:p w14:paraId="7A6BF014" w14:textId="77777777" w:rsidR="004278CF" w:rsidRPr="00E869A4" w:rsidRDefault="00A44B8A" w:rsidP="00A35FF8">
      <w:pPr>
        <w:pStyle w:val="ListParagraph"/>
        <w:ind w:left="0"/>
        <w:contextualSpacing w:val="0"/>
        <w:rPr>
          <w:b/>
        </w:rPr>
      </w:pPr>
      <w:r w:rsidRPr="00E869A4">
        <w:rPr>
          <w:b/>
        </w:rPr>
        <w:t>(</w:t>
      </w:r>
      <w:r w:rsidR="004278CF" w:rsidRPr="00E869A4">
        <w:rPr>
          <w:b/>
        </w:rPr>
        <w:t>2011 INTERVIEWS</w:t>
      </w:r>
      <w:r w:rsidRPr="00E869A4">
        <w:rPr>
          <w:b/>
        </w:rPr>
        <w:t>)</w:t>
      </w:r>
    </w:p>
    <w:p w14:paraId="641679B6" w14:textId="77777777" w:rsidR="006B59BA" w:rsidRPr="00E869A4" w:rsidRDefault="006B59BA" w:rsidP="00A35FF8">
      <w:pPr>
        <w:pStyle w:val="ListParagraph"/>
        <w:ind w:left="0"/>
        <w:contextualSpacing w:val="0"/>
        <w:rPr>
          <w:b/>
        </w:rPr>
      </w:pPr>
    </w:p>
    <w:p w14:paraId="19E61B51" w14:textId="77777777" w:rsidR="00D1584C" w:rsidRPr="00E869A4" w:rsidRDefault="00D1584C" w:rsidP="009D4C5D">
      <w:pPr>
        <w:pStyle w:val="ListParagraph"/>
        <w:numPr>
          <w:ilvl w:val="0"/>
          <w:numId w:val="30"/>
        </w:numPr>
        <w:contextualSpacing w:val="0"/>
        <w:rPr>
          <w:b/>
        </w:rPr>
      </w:pPr>
      <w:r w:rsidRPr="00E869A4">
        <w:rPr>
          <w:b/>
        </w:rPr>
        <w:t>MOTHER FREEDA &amp; her daughter SHEILA</w:t>
      </w:r>
      <w:bookmarkEnd w:id="484"/>
      <w:bookmarkEnd w:id="485"/>
    </w:p>
    <w:p w14:paraId="2BB2A335" w14:textId="77777777" w:rsidR="00D1584C" w:rsidRPr="00E869A4" w:rsidRDefault="00D1584C" w:rsidP="00A35FF8">
      <w:pPr>
        <w:autoSpaceDE w:val="0"/>
        <w:autoSpaceDN w:val="0"/>
        <w:adjustRightInd w:val="0"/>
        <w:rPr>
          <w:rFonts w:ascii="Times New Roman" w:hAnsi="Times New Roman" w:cs="Times New Roman"/>
        </w:rPr>
      </w:pPr>
    </w:p>
    <w:tbl>
      <w:tblPr>
        <w:tblStyle w:val="MediumShading2-Accent11"/>
        <w:tblW w:w="9281" w:type="dxa"/>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3018"/>
        <w:gridCol w:w="2714"/>
      </w:tblGrid>
      <w:tr w:rsidR="00C714D3" w:rsidRPr="00E869A4" w14:paraId="17B247E1" w14:textId="77777777" w:rsidTr="0060066D">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549" w:type="dxa"/>
          </w:tcPr>
          <w:p w14:paraId="7F2BE53E" w14:textId="77777777" w:rsidR="00D1584C" w:rsidRPr="008A5F7E" w:rsidRDefault="00D1584C" w:rsidP="0060066D">
            <w:pPr>
              <w:autoSpaceDE w:val="0"/>
              <w:autoSpaceDN w:val="0"/>
              <w:adjustRightInd w:val="0"/>
              <w:ind w:firstLine="0"/>
              <w:jc w:val="center"/>
              <w:rPr>
                <w:rFonts w:ascii="Times New Roman" w:hAnsi="Times New Roman" w:cs="Times New Roman"/>
                <w:caps/>
                <w:sz w:val="23"/>
                <w:szCs w:val="23"/>
              </w:rPr>
            </w:pPr>
            <w:r w:rsidRPr="008A5F7E">
              <w:rPr>
                <w:rFonts w:ascii="Times New Roman" w:hAnsi="Times New Roman" w:cs="Times New Roman"/>
                <w:caps/>
                <w:sz w:val="23"/>
                <w:szCs w:val="23"/>
              </w:rPr>
              <w:t>Participant Category</w:t>
            </w:r>
          </w:p>
        </w:tc>
        <w:tc>
          <w:tcPr>
            <w:tcW w:w="3018" w:type="dxa"/>
          </w:tcPr>
          <w:p w14:paraId="5206762E" w14:textId="15230684" w:rsidR="00D1584C" w:rsidRPr="008A5F7E" w:rsidRDefault="009E2738" w:rsidP="0060066D">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A5F7E">
              <w:rPr>
                <w:rFonts w:ascii="Times New Roman" w:hAnsi="Times New Roman" w:cs="Times New Roman"/>
                <w:sz w:val="23"/>
                <w:szCs w:val="23"/>
              </w:rPr>
              <w:t>CARE RECIPIENT</w:t>
            </w:r>
            <w:r w:rsidR="00D1584C" w:rsidRPr="008A5F7E">
              <w:rPr>
                <w:rFonts w:ascii="Times New Roman" w:hAnsi="Times New Roman" w:cs="Times New Roman"/>
                <w:sz w:val="23"/>
                <w:szCs w:val="23"/>
              </w:rPr>
              <w:t xml:space="preserve"> (CR)</w:t>
            </w:r>
          </w:p>
        </w:tc>
        <w:tc>
          <w:tcPr>
            <w:tcW w:w="2714" w:type="dxa"/>
          </w:tcPr>
          <w:p w14:paraId="5CF0A9E3" w14:textId="77777777" w:rsidR="00D1584C" w:rsidRPr="008A5F7E" w:rsidRDefault="00D1584C" w:rsidP="0060066D">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A5F7E">
              <w:rPr>
                <w:rFonts w:ascii="Times New Roman" w:hAnsi="Times New Roman" w:cs="Times New Roman"/>
                <w:sz w:val="23"/>
                <w:szCs w:val="23"/>
              </w:rPr>
              <w:t>CAREGIVER (CG)</w:t>
            </w:r>
          </w:p>
        </w:tc>
      </w:tr>
      <w:tr w:rsidR="00C714D3" w:rsidRPr="00E869A4" w14:paraId="2704F4E3"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2D7C311F"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 xml:space="preserve">Name </w:t>
            </w:r>
          </w:p>
        </w:tc>
        <w:tc>
          <w:tcPr>
            <w:tcW w:w="3018" w:type="dxa"/>
          </w:tcPr>
          <w:p w14:paraId="10753673"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Freeda Jamieson</w:t>
            </w:r>
          </w:p>
        </w:tc>
        <w:tc>
          <w:tcPr>
            <w:tcW w:w="2714" w:type="dxa"/>
          </w:tcPr>
          <w:p w14:paraId="7BB6987D"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Sheila Jamieson-Wallace</w:t>
            </w:r>
          </w:p>
        </w:tc>
      </w:tr>
      <w:tr w:rsidR="00C714D3" w:rsidRPr="00E869A4" w14:paraId="6431AA25"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04337D83"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Relationship</w:t>
            </w:r>
          </w:p>
        </w:tc>
        <w:tc>
          <w:tcPr>
            <w:tcW w:w="3018" w:type="dxa"/>
          </w:tcPr>
          <w:p w14:paraId="4662C449"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Mother </w:t>
            </w:r>
          </w:p>
        </w:tc>
        <w:tc>
          <w:tcPr>
            <w:tcW w:w="2714" w:type="dxa"/>
          </w:tcPr>
          <w:p w14:paraId="5610F91D"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Daughter</w:t>
            </w:r>
          </w:p>
        </w:tc>
      </w:tr>
      <w:tr w:rsidR="00C714D3" w:rsidRPr="00E869A4" w14:paraId="7874B4B9"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60593AC3"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Age</w:t>
            </w:r>
          </w:p>
        </w:tc>
        <w:tc>
          <w:tcPr>
            <w:tcW w:w="3018" w:type="dxa"/>
          </w:tcPr>
          <w:p w14:paraId="5A302534"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88</w:t>
            </w:r>
          </w:p>
        </w:tc>
        <w:tc>
          <w:tcPr>
            <w:tcW w:w="2714" w:type="dxa"/>
          </w:tcPr>
          <w:p w14:paraId="041017FB"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50-59</w:t>
            </w:r>
          </w:p>
        </w:tc>
      </w:tr>
      <w:tr w:rsidR="00C714D3" w:rsidRPr="00E869A4" w14:paraId="1A91A836"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3046146B"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Gender</w:t>
            </w:r>
          </w:p>
        </w:tc>
        <w:tc>
          <w:tcPr>
            <w:tcW w:w="3018" w:type="dxa"/>
          </w:tcPr>
          <w:p w14:paraId="0B8A266A"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c>
          <w:tcPr>
            <w:tcW w:w="2714" w:type="dxa"/>
          </w:tcPr>
          <w:p w14:paraId="4DF0664E"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43FFAF67"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60EEEC58"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Ethnicity</w:t>
            </w:r>
          </w:p>
        </w:tc>
        <w:tc>
          <w:tcPr>
            <w:tcW w:w="3018" w:type="dxa"/>
          </w:tcPr>
          <w:p w14:paraId="48EDC5CF"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African-Trinidadian</w:t>
            </w:r>
          </w:p>
        </w:tc>
        <w:tc>
          <w:tcPr>
            <w:tcW w:w="2714" w:type="dxa"/>
          </w:tcPr>
          <w:p w14:paraId="64CA67DE"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African-Trinidadian</w:t>
            </w:r>
          </w:p>
        </w:tc>
      </w:tr>
      <w:tr w:rsidR="00C714D3" w:rsidRPr="00E869A4" w14:paraId="344E8976"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42F8D0A5"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Education</w:t>
            </w:r>
          </w:p>
        </w:tc>
        <w:tc>
          <w:tcPr>
            <w:tcW w:w="3018" w:type="dxa"/>
          </w:tcPr>
          <w:p w14:paraId="5E6915B1"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Primary School</w:t>
            </w:r>
          </w:p>
        </w:tc>
        <w:tc>
          <w:tcPr>
            <w:tcW w:w="2714" w:type="dxa"/>
          </w:tcPr>
          <w:p w14:paraId="007219A5"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Post-Graduate Degree</w:t>
            </w:r>
          </w:p>
        </w:tc>
      </w:tr>
      <w:tr w:rsidR="00C714D3" w:rsidRPr="00E869A4" w14:paraId="040ED7E5"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43FC4863"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Employment History / Status</w:t>
            </w:r>
          </w:p>
        </w:tc>
        <w:tc>
          <w:tcPr>
            <w:tcW w:w="3018" w:type="dxa"/>
          </w:tcPr>
          <w:p w14:paraId="4071DF1C"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Supervisor</w:t>
            </w:r>
          </w:p>
        </w:tc>
        <w:tc>
          <w:tcPr>
            <w:tcW w:w="2714" w:type="dxa"/>
          </w:tcPr>
          <w:p w14:paraId="6B890EEF"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Manager</w:t>
            </w:r>
          </w:p>
        </w:tc>
      </w:tr>
      <w:tr w:rsidR="00C714D3" w:rsidRPr="00E869A4" w14:paraId="44351C14"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487D236A"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Marital Status</w:t>
            </w:r>
          </w:p>
        </w:tc>
        <w:tc>
          <w:tcPr>
            <w:tcW w:w="3018" w:type="dxa"/>
          </w:tcPr>
          <w:p w14:paraId="03C46E55"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Widow</w:t>
            </w:r>
          </w:p>
        </w:tc>
        <w:tc>
          <w:tcPr>
            <w:tcW w:w="2714" w:type="dxa"/>
          </w:tcPr>
          <w:p w14:paraId="21C957AC"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Married </w:t>
            </w:r>
          </w:p>
        </w:tc>
      </w:tr>
      <w:tr w:rsidR="00C714D3" w:rsidRPr="00E869A4" w14:paraId="4A8951AA"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448306C1"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Number of Sons</w:t>
            </w:r>
          </w:p>
        </w:tc>
        <w:tc>
          <w:tcPr>
            <w:tcW w:w="3018" w:type="dxa"/>
          </w:tcPr>
          <w:p w14:paraId="71A6EBA2"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c>
          <w:tcPr>
            <w:tcW w:w="2714" w:type="dxa"/>
          </w:tcPr>
          <w:p w14:paraId="2BAA97AB"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41BCA14C"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110EB8BC"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Number of Daughters</w:t>
            </w:r>
          </w:p>
        </w:tc>
        <w:tc>
          <w:tcPr>
            <w:tcW w:w="3018" w:type="dxa"/>
          </w:tcPr>
          <w:p w14:paraId="7CD1ACD4"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2714" w:type="dxa"/>
          </w:tcPr>
          <w:p w14:paraId="12E04B7C"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51AA23E7"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7C84C4DC"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Total # Surviving Children</w:t>
            </w:r>
          </w:p>
        </w:tc>
        <w:tc>
          <w:tcPr>
            <w:tcW w:w="3018" w:type="dxa"/>
          </w:tcPr>
          <w:p w14:paraId="0C812D7A"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c>
          <w:tcPr>
            <w:tcW w:w="2714" w:type="dxa"/>
          </w:tcPr>
          <w:p w14:paraId="52BA570B" w14:textId="77777777" w:rsidR="00D1584C" w:rsidRPr="00E869A4" w:rsidRDefault="00D1584C" w:rsidP="0060066D">
            <w:pPr>
              <w:autoSpaceDE w:val="0"/>
              <w:autoSpaceDN w:val="0"/>
              <w:adjustRightInd w:val="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r>
      <w:tr w:rsidR="00C714D3" w:rsidRPr="00E869A4" w14:paraId="2F5594CD"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073025C5"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Level of Dependency / Care Activities</w:t>
            </w:r>
          </w:p>
        </w:tc>
        <w:tc>
          <w:tcPr>
            <w:tcW w:w="3018" w:type="dxa"/>
          </w:tcPr>
          <w:p w14:paraId="5D25A9AB"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Moderate</w:t>
            </w:r>
          </w:p>
        </w:tc>
        <w:tc>
          <w:tcPr>
            <w:tcW w:w="2714" w:type="dxa"/>
          </w:tcPr>
          <w:p w14:paraId="08EADA51"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IADL</w:t>
            </w:r>
          </w:p>
          <w:p w14:paraId="34C61D0F" w14:textId="77777777" w:rsidR="00D1584C" w:rsidRPr="00E869A4" w:rsidRDefault="00D1584C" w:rsidP="0060066D">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714D3" w:rsidRPr="00E869A4" w14:paraId="18A3D2B4"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013A59D6"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Health Challenges / Care provided</w:t>
            </w:r>
          </w:p>
        </w:tc>
        <w:tc>
          <w:tcPr>
            <w:tcW w:w="3018" w:type="dxa"/>
          </w:tcPr>
          <w:p w14:paraId="369526A8"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Diabetes</w:t>
            </w:r>
          </w:p>
          <w:p w14:paraId="12F8D28D"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Vision impairment (cataract)</w:t>
            </w:r>
          </w:p>
          <w:p w14:paraId="6EB23027"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Mobility (reluctant use of walking stick on occasion)</w:t>
            </w:r>
          </w:p>
        </w:tc>
        <w:tc>
          <w:tcPr>
            <w:tcW w:w="2714" w:type="dxa"/>
          </w:tcPr>
          <w:p w14:paraId="44EE4C91"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Preventive care</w:t>
            </w:r>
          </w:p>
          <w:p w14:paraId="04FC2F05"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59A48C36"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Emotional Support</w:t>
            </w:r>
          </w:p>
        </w:tc>
      </w:tr>
      <w:tr w:rsidR="00C714D3" w:rsidRPr="00E869A4" w14:paraId="56D4020C"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5FD70A1F"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Paid Care Work Experience</w:t>
            </w:r>
          </w:p>
        </w:tc>
        <w:tc>
          <w:tcPr>
            <w:tcW w:w="3018" w:type="dxa"/>
          </w:tcPr>
          <w:p w14:paraId="57AC3315"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2714" w:type="dxa"/>
          </w:tcPr>
          <w:p w14:paraId="04309515"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w:t>
            </w:r>
          </w:p>
        </w:tc>
      </w:tr>
      <w:tr w:rsidR="00C714D3" w:rsidRPr="00E869A4" w14:paraId="647D88DA"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1E5F61C6"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Time Spent providing Family Care to CR</w:t>
            </w:r>
          </w:p>
        </w:tc>
        <w:tc>
          <w:tcPr>
            <w:tcW w:w="3018" w:type="dxa"/>
          </w:tcPr>
          <w:p w14:paraId="4C36B37C"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2714" w:type="dxa"/>
          </w:tcPr>
          <w:p w14:paraId="69906B9E"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 years or longer</w:t>
            </w:r>
          </w:p>
        </w:tc>
      </w:tr>
      <w:tr w:rsidR="00C714D3" w:rsidRPr="00E869A4" w14:paraId="333BFDFA"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3EF80815"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Location in T&amp;T</w:t>
            </w:r>
            <w:r w:rsidRPr="008A5F7E">
              <w:rPr>
                <w:rStyle w:val="FootnoteReference"/>
                <w:rFonts w:ascii="Times New Roman" w:hAnsi="Times New Roman" w:cs="Times New Roman"/>
                <w:sz w:val="23"/>
                <w:szCs w:val="23"/>
              </w:rPr>
              <w:footnoteReference w:id="133"/>
            </w:r>
          </w:p>
        </w:tc>
        <w:tc>
          <w:tcPr>
            <w:tcW w:w="3018" w:type="dxa"/>
          </w:tcPr>
          <w:p w14:paraId="4C5AF541"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North-Central</w:t>
            </w:r>
          </w:p>
        </w:tc>
        <w:tc>
          <w:tcPr>
            <w:tcW w:w="2714" w:type="dxa"/>
          </w:tcPr>
          <w:p w14:paraId="587FA078"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North-Central</w:t>
            </w:r>
          </w:p>
        </w:tc>
      </w:tr>
      <w:tr w:rsidR="00C714D3" w:rsidRPr="00E869A4" w14:paraId="55073F62"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1F8B2641"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Access to Home / Distance between residence of CR &amp; CG</w:t>
            </w:r>
          </w:p>
        </w:tc>
        <w:tc>
          <w:tcPr>
            <w:tcW w:w="3018" w:type="dxa"/>
          </w:tcPr>
          <w:p w14:paraId="38475B90"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Flat house; no steps</w:t>
            </w:r>
          </w:p>
        </w:tc>
        <w:tc>
          <w:tcPr>
            <w:tcW w:w="2714" w:type="dxa"/>
          </w:tcPr>
          <w:p w14:paraId="249075E3"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20 minute drive</w:t>
            </w:r>
          </w:p>
        </w:tc>
      </w:tr>
      <w:tr w:rsidR="00C714D3" w:rsidRPr="00E869A4" w14:paraId="5BCB1C2F"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12177C1B"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Other Property Info.</w:t>
            </w:r>
          </w:p>
        </w:tc>
        <w:tc>
          <w:tcPr>
            <w:tcW w:w="3018" w:type="dxa"/>
          </w:tcPr>
          <w:p w14:paraId="2A00C1B2"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Lived in the community for </w:t>
            </w:r>
            <w:r w:rsidR="00EC17F7" w:rsidRPr="00E869A4">
              <w:rPr>
                <w:rFonts w:ascii="Times New Roman" w:hAnsi="Times New Roman" w:cs="Times New Roman"/>
                <w:sz w:val="23"/>
                <w:szCs w:val="23"/>
              </w:rPr>
              <w:t>more than 3 decades</w:t>
            </w:r>
          </w:p>
        </w:tc>
        <w:tc>
          <w:tcPr>
            <w:tcW w:w="2714" w:type="dxa"/>
          </w:tcPr>
          <w:p w14:paraId="7A1391BE" w14:textId="77777777" w:rsidR="00D1584C" w:rsidRPr="00E869A4" w:rsidRDefault="00D1584C" w:rsidP="00552AB2">
            <w:pPr>
              <w:tabs>
                <w:tab w:val="left" w:pos="453"/>
              </w:tabs>
              <w:autoSpaceDE w:val="0"/>
              <w:autoSpaceDN w:val="0"/>
              <w:adjustRightInd w:val="0"/>
              <w:ind w:left="17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714D3" w:rsidRPr="00E869A4" w14:paraId="2CEB6ECF"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1A052226"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Lives Alone</w:t>
            </w:r>
          </w:p>
        </w:tc>
        <w:tc>
          <w:tcPr>
            <w:tcW w:w="3018" w:type="dxa"/>
          </w:tcPr>
          <w:p w14:paraId="51FBD4EF"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 (with grandson)</w:t>
            </w:r>
          </w:p>
        </w:tc>
        <w:tc>
          <w:tcPr>
            <w:tcW w:w="2714" w:type="dxa"/>
          </w:tcPr>
          <w:p w14:paraId="4524B974" w14:textId="77777777" w:rsidR="00D1584C" w:rsidRPr="00E869A4" w:rsidRDefault="00D1584C" w:rsidP="00552AB2">
            <w:pPr>
              <w:tabs>
                <w:tab w:val="left" w:pos="453"/>
              </w:tabs>
              <w:autoSpaceDE w:val="0"/>
              <w:autoSpaceDN w:val="0"/>
              <w:adjustRightInd w:val="0"/>
              <w:ind w:left="17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C714D3" w:rsidRPr="00E869A4" w14:paraId="2A4672A0"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5F06C29B"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Support from Family Overseas</w:t>
            </w:r>
          </w:p>
        </w:tc>
        <w:tc>
          <w:tcPr>
            <w:tcW w:w="5732" w:type="dxa"/>
            <w:gridSpan w:val="2"/>
          </w:tcPr>
          <w:p w14:paraId="2164921F"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(Regularly from son)</w:t>
            </w:r>
          </w:p>
        </w:tc>
      </w:tr>
      <w:tr w:rsidR="00C714D3" w:rsidRPr="00E869A4" w14:paraId="1FAA3C5B"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6BA822EA"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Support from other relatives locally</w:t>
            </w:r>
          </w:p>
        </w:tc>
        <w:tc>
          <w:tcPr>
            <w:tcW w:w="5732" w:type="dxa"/>
            <w:gridSpan w:val="2"/>
          </w:tcPr>
          <w:p w14:paraId="2C504D17"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Yes </w:t>
            </w:r>
          </w:p>
        </w:tc>
      </w:tr>
      <w:tr w:rsidR="00C714D3" w:rsidRPr="00E869A4" w14:paraId="13A7E556"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60DA3018"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Secondary Caregivers</w:t>
            </w:r>
          </w:p>
        </w:tc>
        <w:tc>
          <w:tcPr>
            <w:tcW w:w="5732" w:type="dxa"/>
            <w:gridSpan w:val="2"/>
          </w:tcPr>
          <w:p w14:paraId="2D73FC09"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Grandson (Brandon)</w:t>
            </w:r>
          </w:p>
          <w:p w14:paraId="5598ADA6" w14:textId="77777777" w:rsidR="00D1584C" w:rsidRPr="00E869A4" w:rsidRDefault="00D1584C"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Reginald (Nephew)</w:t>
            </w:r>
          </w:p>
          <w:p w14:paraId="5D4AA4FA" w14:textId="77777777" w:rsidR="00D1584C" w:rsidRPr="00E869A4" w:rsidRDefault="0011568A" w:rsidP="009D4C5D">
            <w:pPr>
              <w:pStyle w:val="ListParagraph"/>
              <w:numPr>
                <w:ilvl w:val="0"/>
                <w:numId w:val="35"/>
              </w:numPr>
              <w:tabs>
                <w:tab w:val="left" w:pos="453"/>
              </w:tabs>
              <w:autoSpaceDE w:val="0"/>
              <w:autoSpaceDN w:val="0"/>
              <w:adjustRightInd w:val="0"/>
              <w:ind w:left="17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Winston</w:t>
            </w:r>
            <w:r w:rsidR="00D1584C" w:rsidRPr="00E869A4">
              <w:rPr>
                <w:rFonts w:ascii="Times New Roman" w:hAnsi="Times New Roman" w:cs="Times New Roman"/>
                <w:sz w:val="23"/>
                <w:szCs w:val="23"/>
              </w:rPr>
              <w:t xml:space="preserve"> (Son)</w:t>
            </w:r>
          </w:p>
        </w:tc>
      </w:tr>
      <w:tr w:rsidR="00C714D3" w:rsidRPr="00E869A4" w14:paraId="36AD8DFE" w14:textId="77777777" w:rsidTr="006006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9" w:type="dxa"/>
          </w:tcPr>
          <w:p w14:paraId="2B15D7E7"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lastRenderedPageBreak/>
              <w:t>Paid Caregivers (Part-Time )</w:t>
            </w:r>
          </w:p>
        </w:tc>
        <w:tc>
          <w:tcPr>
            <w:tcW w:w="5732" w:type="dxa"/>
            <w:gridSpan w:val="2"/>
          </w:tcPr>
          <w:p w14:paraId="00089396" w14:textId="77777777" w:rsidR="00D1584C" w:rsidRPr="00E869A4" w:rsidRDefault="00D1584C" w:rsidP="009D4C5D">
            <w:pPr>
              <w:pStyle w:val="ListParagraph"/>
              <w:numPr>
                <w:ilvl w:val="0"/>
                <w:numId w:val="29"/>
              </w:numPr>
              <w:tabs>
                <w:tab w:val="left" w:pos="676"/>
              </w:tabs>
              <w:autoSpaceDE w:val="0"/>
              <w:autoSpaceDN w:val="0"/>
              <w:adjustRightInd w:val="0"/>
              <w:ind w:left="676"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(Rachel) Physiotherapist (help with exercise &amp; massage one-day per week)</w:t>
            </w:r>
          </w:p>
          <w:p w14:paraId="64128CB9" w14:textId="77777777" w:rsidR="00D1584C" w:rsidRPr="00E869A4" w:rsidRDefault="00D1584C" w:rsidP="009D4C5D">
            <w:pPr>
              <w:pStyle w:val="ListParagraph"/>
              <w:numPr>
                <w:ilvl w:val="0"/>
                <w:numId w:val="29"/>
              </w:numPr>
              <w:tabs>
                <w:tab w:val="left" w:pos="676"/>
              </w:tabs>
              <w:autoSpaceDE w:val="0"/>
              <w:autoSpaceDN w:val="0"/>
              <w:adjustRightInd w:val="0"/>
              <w:ind w:left="676" w:hanging="28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(Natalie) Personal Care Nurse (help with bathing once a week)</w:t>
            </w:r>
          </w:p>
        </w:tc>
      </w:tr>
      <w:tr w:rsidR="00C714D3" w:rsidRPr="00E869A4" w14:paraId="1CD643CC" w14:textId="77777777" w:rsidTr="0060066D">
        <w:trPr>
          <w:jc w:val="center"/>
        </w:trPr>
        <w:tc>
          <w:tcPr>
            <w:cnfStyle w:val="001000000000" w:firstRow="0" w:lastRow="0" w:firstColumn="1" w:lastColumn="0" w:oddVBand="0" w:evenVBand="0" w:oddHBand="0" w:evenHBand="0" w:firstRowFirstColumn="0" w:firstRowLastColumn="0" w:lastRowFirstColumn="0" w:lastRowLastColumn="0"/>
            <w:tcW w:w="3549" w:type="dxa"/>
          </w:tcPr>
          <w:p w14:paraId="3B2D2942" w14:textId="77777777" w:rsidR="00D1584C" w:rsidRPr="008A5F7E" w:rsidRDefault="00D1584C" w:rsidP="0060066D">
            <w:pPr>
              <w:autoSpaceDE w:val="0"/>
              <w:autoSpaceDN w:val="0"/>
              <w:adjustRightInd w:val="0"/>
              <w:ind w:left="195" w:firstLine="0"/>
              <w:rPr>
                <w:rFonts w:ascii="Times New Roman" w:hAnsi="Times New Roman" w:cs="Times New Roman"/>
                <w:sz w:val="23"/>
                <w:szCs w:val="23"/>
              </w:rPr>
            </w:pPr>
            <w:r w:rsidRPr="008A5F7E">
              <w:rPr>
                <w:rFonts w:ascii="Times New Roman" w:hAnsi="Times New Roman" w:cs="Times New Roman"/>
                <w:sz w:val="23"/>
                <w:szCs w:val="23"/>
              </w:rPr>
              <w:t>Paid Caregiver (Temporary / Other)</w:t>
            </w:r>
          </w:p>
        </w:tc>
        <w:tc>
          <w:tcPr>
            <w:tcW w:w="5732" w:type="dxa"/>
            <w:gridSpan w:val="2"/>
          </w:tcPr>
          <w:p w14:paraId="4E94969A" w14:textId="77777777" w:rsidR="00D1584C" w:rsidRPr="00E869A4" w:rsidRDefault="00D1584C" w:rsidP="009D4C5D">
            <w:pPr>
              <w:pStyle w:val="ListParagraph"/>
              <w:numPr>
                <w:ilvl w:val="0"/>
                <w:numId w:val="35"/>
              </w:numPr>
              <w:autoSpaceDE w:val="0"/>
              <w:autoSpaceDN w:val="0"/>
              <w:adjustRightInd w:val="0"/>
              <w:ind w:left="352"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Allison (Temporary night time support)</w:t>
            </w:r>
          </w:p>
          <w:p w14:paraId="356272AE" w14:textId="77777777" w:rsidR="00D1584C" w:rsidRPr="00E869A4" w:rsidRDefault="00D1584C" w:rsidP="009D4C5D">
            <w:pPr>
              <w:pStyle w:val="ListParagraph"/>
              <w:numPr>
                <w:ilvl w:val="0"/>
                <w:numId w:val="35"/>
              </w:numPr>
              <w:autoSpaceDE w:val="0"/>
              <w:autoSpaceDN w:val="0"/>
              <w:adjustRightInd w:val="0"/>
              <w:ind w:left="352"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Esther (Housekeeper at Sheila’s home)</w:t>
            </w:r>
          </w:p>
        </w:tc>
      </w:tr>
    </w:tbl>
    <w:p w14:paraId="62F3A0A1" w14:textId="77777777" w:rsidR="00D1584C" w:rsidRPr="00E869A4" w:rsidRDefault="00D1584C" w:rsidP="00A35FF8">
      <w:pPr>
        <w:ind w:firstLine="720"/>
        <w:rPr>
          <w:rFonts w:ascii="Times New Roman" w:hAnsi="Times New Roman" w:cs="Times New Roman"/>
        </w:rPr>
      </w:pPr>
    </w:p>
    <w:p w14:paraId="667992BE" w14:textId="66BC3DDA"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Mother Freeda was very happy with the family care she was receiving. At the time of the interview, she lived in her own home in a middle-income community. She enjoyed cooking her own meals and </w:t>
      </w:r>
      <w:r w:rsidR="00B926C3" w:rsidRPr="00E869A4">
        <w:rPr>
          <w:rFonts w:ascii="Times New Roman" w:hAnsi="Times New Roman" w:cs="Times New Roman"/>
        </w:rPr>
        <w:t>managing</w:t>
      </w:r>
      <w:r w:rsidRPr="00E869A4">
        <w:rPr>
          <w:rFonts w:ascii="Times New Roman" w:hAnsi="Times New Roman" w:cs="Times New Roman"/>
        </w:rPr>
        <w:t xml:space="preserve"> some of her household affairs. She taught bible-study on occasion with one of her neighbours, and was able to get certain services in her community such as the fish vendor who passed in a van right in front of her house, and the gardener who was referred to her by a neighbour. Mother Freeda also received help with transport from her nephew (Reginald) and from members of her church who car-pooled to take her and other older members to church activities.</w:t>
      </w:r>
      <w:r w:rsidR="00181559" w:rsidRPr="00E869A4">
        <w:rPr>
          <w:rFonts w:ascii="Times New Roman" w:hAnsi="Times New Roman" w:cs="Times New Roman"/>
        </w:rPr>
        <w:t xml:space="preserve"> Her</w:t>
      </w:r>
      <w:r w:rsidRPr="00E869A4">
        <w:rPr>
          <w:rFonts w:ascii="Times New Roman" w:hAnsi="Times New Roman" w:cs="Times New Roman"/>
        </w:rPr>
        <w:t xml:space="preserve"> primary caregiver was her daughter (Sheila). Sheila lived in a different community but visited her mother every day after work, with few exceptions. Sheila arranged for Mother Freeda to get a bath, massage and some physiotherapy once a week by a nurse and a masseuse who visited Mother Freeda in her home: these were members of her church network who she hired to perform these paid services. </w:t>
      </w:r>
    </w:p>
    <w:p w14:paraId="29340B2B" w14:textId="77777777" w:rsidR="00B926C3" w:rsidRPr="00E869A4" w:rsidRDefault="00B926C3" w:rsidP="00A35FF8">
      <w:pPr>
        <w:ind w:firstLine="720"/>
        <w:rPr>
          <w:rFonts w:ascii="Times New Roman" w:hAnsi="Times New Roman" w:cs="Times New Roman"/>
        </w:rPr>
      </w:pPr>
    </w:p>
    <w:p w14:paraId="2EC9D2C8" w14:textId="77777777" w:rsidR="005D7D7F" w:rsidRPr="00E869A4" w:rsidRDefault="00D1584C" w:rsidP="005D7D7F">
      <w:pPr>
        <w:ind w:firstLine="720"/>
        <w:rPr>
          <w:rFonts w:ascii="Times New Roman" w:hAnsi="Times New Roman" w:cs="Times New Roman"/>
        </w:rPr>
      </w:pPr>
      <w:r w:rsidRPr="00E869A4">
        <w:rPr>
          <w:rFonts w:ascii="Times New Roman" w:hAnsi="Times New Roman" w:cs="Times New Roman"/>
        </w:rPr>
        <w:t>Sheila’s son (Brandon) who was a student at the University nearby</w:t>
      </w:r>
      <w:r w:rsidR="00B926C3" w:rsidRPr="00E869A4">
        <w:rPr>
          <w:rFonts w:ascii="Times New Roman" w:hAnsi="Times New Roman" w:cs="Times New Roman"/>
        </w:rPr>
        <w:t>,</w:t>
      </w:r>
      <w:r w:rsidRPr="00E869A4">
        <w:rPr>
          <w:rFonts w:ascii="Times New Roman" w:hAnsi="Times New Roman" w:cs="Times New Roman"/>
        </w:rPr>
        <w:t xml:space="preserve"> lived with Mother Freeda. Given his studies and the other activities he was involved in, it was difficult to predict when he would be at home with her. But, Mother Freeda was very happy to have him for company and was thankful that he willingly assisted her with anything she asked for. Sheila however wished that her son would show more initiative in caring and supporting his grandmother. She often worried about how her mother coped when no one was home with her. </w:t>
      </w:r>
      <w:r w:rsidR="00B926C3" w:rsidRPr="00E869A4">
        <w:rPr>
          <w:rFonts w:ascii="Times New Roman" w:hAnsi="Times New Roman" w:cs="Times New Roman"/>
        </w:rPr>
        <w:t>However</w:t>
      </w:r>
      <w:r w:rsidRPr="00E869A4">
        <w:rPr>
          <w:rFonts w:ascii="Times New Roman" w:hAnsi="Times New Roman" w:cs="Times New Roman"/>
        </w:rPr>
        <w:t xml:space="preserve">, Sheila was mindful of her mother’s desire to live in her own home after having Mother Freeda live in a room at her house for about 4 years after she had a health crisis whilst living on her own. Sheila outfitted the room with its own toilet and bath </w:t>
      </w:r>
      <w:r w:rsidR="00B926C3" w:rsidRPr="00E869A4">
        <w:rPr>
          <w:rFonts w:ascii="Times New Roman" w:hAnsi="Times New Roman" w:cs="Times New Roman"/>
        </w:rPr>
        <w:t>to</w:t>
      </w:r>
      <w:r w:rsidRPr="00E869A4">
        <w:rPr>
          <w:rFonts w:ascii="Times New Roman" w:hAnsi="Times New Roman" w:cs="Times New Roman"/>
        </w:rPr>
        <w:t xml:space="preserve"> accommodate her mother. But, despite her efforts,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was not happy living with her. Sheila was able to deduce this with the help of her housekeeper (Esther) who Mother Freeda disclosed some of her dissatisfaction</w:t>
      </w:r>
      <w:r w:rsidR="00B926C3" w:rsidRPr="00E869A4">
        <w:rPr>
          <w:rFonts w:ascii="Times New Roman" w:hAnsi="Times New Roman" w:cs="Times New Roman"/>
        </w:rPr>
        <w:t xml:space="preserve"> to</w:t>
      </w:r>
      <w:r w:rsidRPr="00E869A4">
        <w:rPr>
          <w:rFonts w:ascii="Times New Roman" w:hAnsi="Times New Roman" w:cs="Times New Roman"/>
        </w:rPr>
        <w:t xml:space="preserve">. Sheila, on realising that her mother was unhappy, set about </w:t>
      </w:r>
      <w:r w:rsidR="00B926C3" w:rsidRPr="00E869A4">
        <w:rPr>
          <w:rFonts w:ascii="Times New Roman" w:hAnsi="Times New Roman" w:cs="Times New Roman"/>
        </w:rPr>
        <w:t>arranging</w:t>
      </w:r>
      <w:r w:rsidRPr="00E869A4">
        <w:rPr>
          <w:rFonts w:ascii="Times New Roman" w:hAnsi="Times New Roman" w:cs="Times New Roman"/>
        </w:rPr>
        <w:t xml:space="preserve"> for Mother Freeda to return to her home. </w:t>
      </w:r>
      <w:r w:rsidR="0011568A" w:rsidRPr="00E869A4">
        <w:rPr>
          <w:rFonts w:ascii="Times New Roman" w:hAnsi="Times New Roman" w:cs="Times New Roman"/>
        </w:rPr>
        <w:lastRenderedPageBreak/>
        <w:t>Winston</w:t>
      </w:r>
      <w:r w:rsidRPr="00E869A4">
        <w:rPr>
          <w:rFonts w:ascii="Times New Roman" w:hAnsi="Times New Roman" w:cs="Times New Roman"/>
        </w:rPr>
        <w:t xml:space="preserve"> (Sheila’s brother) who lived abroad, assisted with the transition during one of his visits to Trinidad. Sheila </w:t>
      </w:r>
      <w:r w:rsidR="00B926C3" w:rsidRPr="00E869A4">
        <w:rPr>
          <w:rFonts w:ascii="Times New Roman" w:hAnsi="Times New Roman" w:cs="Times New Roman"/>
        </w:rPr>
        <w:t>organise</w:t>
      </w:r>
      <w:r w:rsidRPr="00E869A4">
        <w:rPr>
          <w:rFonts w:ascii="Times New Roman" w:hAnsi="Times New Roman" w:cs="Times New Roman"/>
        </w:rPr>
        <w:t xml:space="preserve">d for one of the members of their church to stay-in with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when she </w:t>
      </w:r>
      <w:r w:rsidR="00B926C3" w:rsidRPr="00E869A4">
        <w:rPr>
          <w:rFonts w:ascii="Times New Roman" w:hAnsi="Times New Roman" w:cs="Times New Roman"/>
        </w:rPr>
        <w:t xml:space="preserve">first </w:t>
      </w:r>
      <w:r w:rsidRPr="00E869A4">
        <w:rPr>
          <w:rFonts w:ascii="Times New Roman" w:hAnsi="Times New Roman" w:cs="Times New Roman"/>
        </w:rPr>
        <w:t>moved back into her home</w:t>
      </w:r>
      <w:r w:rsidR="00B926C3" w:rsidRPr="00E869A4">
        <w:rPr>
          <w:rFonts w:ascii="Times New Roman" w:hAnsi="Times New Roman" w:cs="Times New Roman"/>
        </w:rPr>
        <w:t xml:space="preserve"> on her own</w:t>
      </w:r>
      <w:r w:rsidRPr="00E869A4">
        <w:rPr>
          <w:rFonts w:ascii="Times New Roman" w:hAnsi="Times New Roman" w:cs="Times New Roman"/>
        </w:rPr>
        <w:t xml:space="preserve">, but the informal carer could not continue providing support as she had to move-in with her own mother who needed care. Thus, Brandon’s help became even more vital. </w:t>
      </w:r>
      <w:r w:rsidR="00B926C3" w:rsidRPr="00E869A4">
        <w:rPr>
          <w:rFonts w:ascii="Times New Roman" w:hAnsi="Times New Roman" w:cs="Times New Roman"/>
        </w:rPr>
        <w:t>However</w:t>
      </w:r>
      <w:r w:rsidRPr="00E869A4">
        <w:rPr>
          <w:rFonts w:ascii="Times New Roman" w:hAnsi="Times New Roman" w:cs="Times New Roman"/>
        </w:rPr>
        <w:t xml:space="preserve">, given his limited commitment to providing care to his grandmother, Sheila had to continue her daily visits and make several phone calls to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each day to ensure that she was ok. </w:t>
      </w:r>
      <w:bookmarkStart w:id="486" w:name="_Toc507665567"/>
      <w:bookmarkStart w:id="487" w:name="_Toc507909139"/>
    </w:p>
    <w:p w14:paraId="2541FC6E" w14:textId="77777777" w:rsidR="005D7D7F" w:rsidRPr="00E869A4" w:rsidRDefault="005D7D7F" w:rsidP="005D7D7F">
      <w:pPr>
        <w:ind w:firstLine="720"/>
        <w:rPr>
          <w:rFonts w:ascii="Times New Roman" w:hAnsi="Times New Roman" w:cs="Times New Roman"/>
        </w:rPr>
      </w:pPr>
    </w:p>
    <w:p w14:paraId="40E4ED16" w14:textId="1EAD9FAF" w:rsidR="00D1584C" w:rsidRPr="00E869A4" w:rsidRDefault="00D1584C" w:rsidP="009D4C5D">
      <w:pPr>
        <w:pStyle w:val="ListParagraph"/>
        <w:numPr>
          <w:ilvl w:val="0"/>
          <w:numId w:val="30"/>
        </w:numPr>
        <w:contextualSpacing w:val="0"/>
        <w:rPr>
          <w:b/>
        </w:rPr>
      </w:pPr>
      <w:r w:rsidRPr="00E869A4">
        <w:rPr>
          <w:b/>
        </w:rPr>
        <w:t>MR. KHAN &amp; his daughter SAMANTHA</w:t>
      </w:r>
      <w:bookmarkEnd w:id="486"/>
      <w:bookmarkEnd w:id="487"/>
      <w:r w:rsidRPr="00E869A4">
        <w:rPr>
          <w:b/>
        </w:rPr>
        <w:t xml:space="preserve"> </w:t>
      </w:r>
    </w:p>
    <w:p w14:paraId="296830D2" w14:textId="77777777" w:rsidR="00D1584C" w:rsidRPr="00E869A4" w:rsidRDefault="00D1584C" w:rsidP="00385EEC">
      <w:pPr>
        <w:autoSpaceDE w:val="0"/>
        <w:autoSpaceDN w:val="0"/>
        <w:adjustRightInd w:val="0"/>
        <w:ind w:left="567" w:firstLine="0"/>
        <w:rPr>
          <w:rFonts w:ascii="Times New Roman" w:hAnsi="Times New Roman" w:cs="Times New Roman"/>
        </w:rPr>
      </w:pPr>
    </w:p>
    <w:tbl>
      <w:tblPr>
        <w:tblStyle w:val="MediumShading2-Accent11"/>
        <w:tblW w:w="9416"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60"/>
        <w:gridCol w:w="3260"/>
      </w:tblGrid>
      <w:tr w:rsidR="00C714D3" w:rsidRPr="00E869A4" w14:paraId="4559FB97" w14:textId="77777777" w:rsidTr="00691B4A">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096" w:type="dxa"/>
          </w:tcPr>
          <w:p w14:paraId="1D25BB3D" w14:textId="77777777" w:rsidR="00D1584C" w:rsidRPr="008A5F7E" w:rsidRDefault="00D1584C" w:rsidP="00691B4A">
            <w:pPr>
              <w:autoSpaceDE w:val="0"/>
              <w:autoSpaceDN w:val="0"/>
              <w:adjustRightInd w:val="0"/>
              <w:ind w:left="94" w:firstLine="0"/>
              <w:jc w:val="center"/>
              <w:rPr>
                <w:rFonts w:ascii="Times New Roman" w:hAnsi="Times New Roman" w:cs="Times New Roman"/>
                <w:caps/>
                <w:sz w:val="23"/>
                <w:szCs w:val="23"/>
              </w:rPr>
            </w:pPr>
            <w:r w:rsidRPr="008A5F7E">
              <w:rPr>
                <w:rFonts w:ascii="Times New Roman" w:hAnsi="Times New Roman" w:cs="Times New Roman"/>
                <w:caps/>
                <w:sz w:val="23"/>
                <w:szCs w:val="23"/>
              </w:rPr>
              <w:t>Participant Category</w:t>
            </w:r>
          </w:p>
        </w:tc>
        <w:tc>
          <w:tcPr>
            <w:tcW w:w="3060" w:type="dxa"/>
          </w:tcPr>
          <w:p w14:paraId="4B8CC98F" w14:textId="3A5E017D" w:rsidR="00D1584C" w:rsidRPr="008A5F7E" w:rsidRDefault="009E2738" w:rsidP="00691B4A">
            <w:pPr>
              <w:autoSpaceDE w:val="0"/>
              <w:autoSpaceDN w:val="0"/>
              <w:adjustRightInd w:val="0"/>
              <w:ind w:left="94"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A5F7E">
              <w:rPr>
                <w:rFonts w:ascii="Times New Roman" w:hAnsi="Times New Roman" w:cs="Times New Roman"/>
                <w:sz w:val="23"/>
                <w:szCs w:val="23"/>
              </w:rPr>
              <w:t>CARE RECIPIENT</w:t>
            </w:r>
            <w:r w:rsidR="00D1584C" w:rsidRPr="008A5F7E">
              <w:rPr>
                <w:rFonts w:ascii="Times New Roman" w:hAnsi="Times New Roman" w:cs="Times New Roman"/>
                <w:sz w:val="23"/>
                <w:szCs w:val="23"/>
              </w:rPr>
              <w:t xml:space="preserve"> (CR)</w:t>
            </w:r>
          </w:p>
        </w:tc>
        <w:tc>
          <w:tcPr>
            <w:tcW w:w="3260" w:type="dxa"/>
          </w:tcPr>
          <w:p w14:paraId="731D47D7" w14:textId="77777777" w:rsidR="00D1584C" w:rsidRPr="008A5F7E" w:rsidRDefault="00D1584C" w:rsidP="00691B4A">
            <w:pPr>
              <w:autoSpaceDE w:val="0"/>
              <w:autoSpaceDN w:val="0"/>
              <w:adjustRightInd w:val="0"/>
              <w:ind w:left="94"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A5F7E">
              <w:rPr>
                <w:rFonts w:ascii="Times New Roman" w:hAnsi="Times New Roman" w:cs="Times New Roman"/>
                <w:sz w:val="23"/>
                <w:szCs w:val="23"/>
              </w:rPr>
              <w:t>CAREGIVER (CG)</w:t>
            </w:r>
          </w:p>
        </w:tc>
      </w:tr>
      <w:tr w:rsidR="00C714D3" w:rsidRPr="00E869A4" w14:paraId="44CF2430"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2815ACB2"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 xml:space="preserve">Name </w:t>
            </w:r>
          </w:p>
        </w:tc>
        <w:tc>
          <w:tcPr>
            <w:tcW w:w="3060" w:type="dxa"/>
          </w:tcPr>
          <w:p w14:paraId="628EDE29"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Ritvik Khan</w:t>
            </w:r>
          </w:p>
        </w:tc>
        <w:tc>
          <w:tcPr>
            <w:tcW w:w="3260" w:type="dxa"/>
          </w:tcPr>
          <w:p w14:paraId="1DEDBF43"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Samantha Khan</w:t>
            </w:r>
          </w:p>
        </w:tc>
      </w:tr>
      <w:tr w:rsidR="00C714D3" w:rsidRPr="00E869A4" w14:paraId="68880BEE"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59AC1DC7"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Relationship</w:t>
            </w:r>
          </w:p>
        </w:tc>
        <w:tc>
          <w:tcPr>
            <w:tcW w:w="3060" w:type="dxa"/>
          </w:tcPr>
          <w:p w14:paraId="3AFF3B0D"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Father</w:t>
            </w:r>
          </w:p>
        </w:tc>
        <w:tc>
          <w:tcPr>
            <w:tcW w:w="3260" w:type="dxa"/>
          </w:tcPr>
          <w:p w14:paraId="6C8940CE"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Daughter</w:t>
            </w:r>
          </w:p>
        </w:tc>
      </w:tr>
      <w:tr w:rsidR="00C714D3" w:rsidRPr="00E869A4" w14:paraId="77FC24C4"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463E9548" w14:textId="2B4F72D4"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Age</w:t>
            </w:r>
          </w:p>
        </w:tc>
        <w:tc>
          <w:tcPr>
            <w:tcW w:w="3060" w:type="dxa"/>
          </w:tcPr>
          <w:p w14:paraId="69F1D39B"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68</w:t>
            </w:r>
          </w:p>
        </w:tc>
        <w:tc>
          <w:tcPr>
            <w:tcW w:w="3260" w:type="dxa"/>
          </w:tcPr>
          <w:p w14:paraId="7D4FC316"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30-39</w:t>
            </w:r>
          </w:p>
        </w:tc>
      </w:tr>
      <w:tr w:rsidR="00C714D3" w:rsidRPr="00E869A4" w14:paraId="300E3D4F"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1F1B641F"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Gender</w:t>
            </w:r>
          </w:p>
        </w:tc>
        <w:tc>
          <w:tcPr>
            <w:tcW w:w="3060" w:type="dxa"/>
          </w:tcPr>
          <w:p w14:paraId="78DCC8E8"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Male</w:t>
            </w:r>
          </w:p>
        </w:tc>
        <w:tc>
          <w:tcPr>
            <w:tcW w:w="3260" w:type="dxa"/>
          </w:tcPr>
          <w:p w14:paraId="49146FB5"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73A65F83"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2D52CF46"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Ethnicity</w:t>
            </w:r>
          </w:p>
        </w:tc>
        <w:tc>
          <w:tcPr>
            <w:tcW w:w="3060" w:type="dxa"/>
          </w:tcPr>
          <w:p w14:paraId="5CE68685"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Indian Trinidadian</w:t>
            </w:r>
          </w:p>
        </w:tc>
        <w:tc>
          <w:tcPr>
            <w:tcW w:w="3260" w:type="dxa"/>
          </w:tcPr>
          <w:p w14:paraId="12C39135"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Indian Trinidadian</w:t>
            </w:r>
          </w:p>
        </w:tc>
      </w:tr>
      <w:tr w:rsidR="00C714D3" w:rsidRPr="00E869A4" w14:paraId="3306E50B"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50AB2CCF"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Education</w:t>
            </w:r>
          </w:p>
        </w:tc>
        <w:tc>
          <w:tcPr>
            <w:tcW w:w="3060" w:type="dxa"/>
          </w:tcPr>
          <w:p w14:paraId="51E2E3BB"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Vocational College</w:t>
            </w:r>
          </w:p>
        </w:tc>
        <w:tc>
          <w:tcPr>
            <w:tcW w:w="3260" w:type="dxa"/>
          </w:tcPr>
          <w:p w14:paraId="0847514E"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Vocational College</w:t>
            </w:r>
          </w:p>
        </w:tc>
      </w:tr>
      <w:tr w:rsidR="00C714D3" w:rsidRPr="00E869A4" w14:paraId="068B9E25"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2A8DAA51"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Employment History / Status</w:t>
            </w:r>
          </w:p>
        </w:tc>
        <w:tc>
          <w:tcPr>
            <w:tcW w:w="3060" w:type="dxa"/>
          </w:tcPr>
          <w:p w14:paraId="17CBBEAB" w14:textId="77777777" w:rsidR="00D1584C" w:rsidRPr="00E869A4" w:rsidRDefault="00D1584C" w:rsidP="00691B4A">
            <w:pPr>
              <w:tabs>
                <w:tab w:val="left" w:pos="236"/>
              </w:tabs>
              <w:autoSpaceDE w:val="0"/>
              <w:autoSpaceDN w:val="0"/>
              <w:adjustRightInd w:val="0"/>
              <w:ind w:left="25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Senior Public Officer</w:t>
            </w:r>
          </w:p>
        </w:tc>
        <w:tc>
          <w:tcPr>
            <w:tcW w:w="3260" w:type="dxa"/>
          </w:tcPr>
          <w:p w14:paraId="7E5E6668" w14:textId="77777777" w:rsidR="00D1584C" w:rsidRPr="00E869A4" w:rsidRDefault="00D1584C" w:rsidP="00691B4A">
            <w:pPr>
              <w:tabs>
                <w:tab w:val="left" w:pos="236"/>
              </w:tabs>
              <w:autoSpaceDE w:val="0"/>
              <w:autoSpaceDN w:val="0"/>
              <w:adjustRightInd w:val="0"/>
              <w:ind w:left="25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Nurse / Trained Geriatric Caregiver</w:t>
            </w:r>
          </w:p>
        </w:tc>
      </w:tr>
      <w:tr w:rsidR="00C714D3" w:rsidRPr="00E869A4" w14:paraId="431A44DA"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353E9662"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Marital Status</w:t>
            </w:r>
          </w:p>
        </w:tc>
        <w:tc>
          <w:tcPr>
            <w:tcW w:w="3060" w:type="dxa"/>
          </w:tcPr>
          <w:p w14:paraId="3D1BF622"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Widower</w:t>
            </w:r>
          </w:p>
        </w:tc>
        <w:tc>
          <w:tcPr>
            <w:tcW w:w="3260" w:type="dxa"/>
          </w:tcPr>
          <w:p w14:paraId="74BE4998"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Single </w:t>
            </w:r>
          </w:p>
        </w:tc>
      </w:tr>
      <w:tr w:rsidR="00C714D3" w:rsidRPr="00E869A4" w14:paraId="4A2FCF02"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61D04A1E"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Number of Sons</w:t>
            </w:r>
          </w:p>
        </w:tc>
        <w:tc>
          <w:tcPr>
            <w:tcW w:w="3060" w:type="dxa"/>
          </w:tcPr>
          <w:p w14:paraId="0EB84275"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w:t>
            </w:r>
          </w:p>
        </w:tc>
        <w:tc>
          <w:tcPr>
            <w:tcW w:w="3260" w:type="dxa"/>
          </w:tcPr>
          <w:p w14:paraId="4DDA4903"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7114A49C"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27254E2E"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Number of Daughters</w:t>
            </w:r>
          </w:p>
        </w:tc>
        <w:tc>
          <w:tcPr>
            <w:tcW w:w="3060" w:type="dxa"/>
          </w:tcPr>
          <w:p w14:paraId="5D34F501"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260" w:type="dxa"/>
          </w:tcPr>
          <w:p w14:paraId="53A80D57"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751C02E0"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3FFBE4FD"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Total # Surviving Children</w:t>
            </w:r>
          </w:p>
        </w:tc>
        <w:tc>
          <w:tcPr>
            <w:tcW w:w="3060" w:type="dxa"/>
          </w:tcPr>
          <w:p w14:paraId="3D8CA28A"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6</w:t>
            </w:r>
          </w:p>
        </w:tc>
        <w:tc>
          <w:tcPr>
            <w:tcW w:w="3260" w:type="dxa"/>
          </w:tcPr>
          <w:p w14:paraId="57445FCC"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7C45F03C"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4EA74F8C"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Level of Dependency / Care Activities</w:t>
            </w:r>
          </w:p>
        </w:tc>
        <w:tc>
          <w:tcPr>
            <w:tcW w:w="3060" w:type="dxa"/>
          </w:tcPr>
          <w:p w14:paraId="03A39796"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Severely dependent</w:t>
            </w:r>
          </w:p>
        </w:tc>
        <w:tc>
          <w:tcPr>
            <w:tcW w:w="3260" w:type="dxa"/>
          </w:tcPr>
          <w:p w14:paraId="35FB1448"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ADL &amp; IADL</w:t>
            </w:r>
          </w:p>
        </w:tc>
      </w:tr>
      <w:tr w:rsidR="00C714D3" w:rsidRPr="00E869A4" w14:paraId="10412546"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221E2516"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Health Challenges / Care provided</w:t>
            </w:r>
          </w:p>
        </w:tc>
        <w:tc>
          <w:tcPr>
            <w:tcW w:w="3060" w:type="dxa"/>
          </w:tcPr>
          <w:p w14:paraId="7981770F" w14:textId="77777777" w:rsidR="00D1584C" w:rsidRPr="00E869A4" w:rsidRDefault="00D1584C" w:rsidP="00691B4A">
            <w:pPr>
              <w:autoSpaceDE w:val="0"/>
              <w:autoSpaceDN w:val="0"/>
              <w:adjustRightInd w:val="0"/>
              <w:ind w:left="20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Diabetes</w:t>
            </w:r>
          </w:p>
          <w:p w14:paraId="76C171E2" w14:textId="77777777" w:rsidR="00D1584C" w:rsidRPr="00E869A4" w:rsidRDefault="00D1584C" w:rsidP="00691B4A">
            <w:pPr>
              <w:autoSpaceDE w:val="0"/>
              <w:autoSpaceDN w:val="0"/>
              <w:adjustRightInd w:val="0"/>
              <w:ind w:left="20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Kidney Disease</w:t>
            </w:r>
          </w:p>
          <w:p w14:paraId="763AD99E" w14:textId="77777777" w:rsidR="00D1584C" w:rsidRPr="00E869A4" w:rsidRDefault="00D1584C" w:rsidP="00691B4A">
            <w:pPr>
              <w:autoSpaceDE w:val="0"/>
              <w:autoSpaceDN w:val="0"/>
              <w:adjustRightInd w:val="0"/>
              <w:ind w:left="20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Mobility (used a walker or wheelchair)</w:t>
            </w:r>
          </w:p>
        </w:tc>
        <w:tc>
          <w:tcPr>
            <w:tcW w:w="3260" w:type="dxa"/>
          </w:tcPr>
          <w:p w14:paraId="4ABB7F9A"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Anticipatory care</w:t>
            </w:r>
          </w:p>
          <w:p w14:paraId="161B24DE"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Preventative care</w:t>
            </w:r>
          </w:p>
          <w:p w14:paraId="2A621E09"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1126FA64"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Instrumental care</w:t>
            </w:r>
          </w:p>
          <w:p w14:paraId="1F608DDF"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Preservative care</w:t>
            </w:r>
          </w:p>
          <w:p w14:paraId="562F58AF"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Reconstructive care</w:t>
            </w:r>
          </w:p>
          <w:p w14:paraId="716A2603"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Emotional support</w:t>
            </w:r>
          </w:p>
        </w:tc>
      </w:tr>
      <w:tr w:rsidR="00C714D3" w:rsidRPr="00E869A4" w14:paraId="52117620"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2E3F9C5D"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Paid Care Work Experience</w:t>
            </w:r>
          </w:p>
        </w:tc>
        <w:tc>
          <w:tcPr>
            <w:tcW w:w="3060" w:type="dxa"/>
          </w:tcPr>
          <w:p w14:paraId="595E5C86"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260" w:type="dxa"/>
          </w:tcPr>
          <w:p w14:paraId="14105820"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w:t>
            </w:r>
          </w:p>
        </w:tc>
      </w:tr>
      <w:tr w:rsidR="00C714D3" w:rsidRPr="00E869A4" w14:paraId="31972822"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02ED93CD"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Time Spent providing Family Care to CR</w:t>
            </w:r>
          </w:p>
        </w:tc>
        <w:tc>
          <w:tcPr>
            <w:tcW w:w="3060" w:type="dxa"/>
          </w:tcPr>
          <w:p w14:paraId="6F4BE1B5"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3260" w:type="dxa"/>
          </w:tcPr>
          <w:p w14:paraId="4D1ECC79"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 years or longer</w:t>
            </w:r>
          </w:p>
        </w:tc>
      </w:tr>
      <w:tr w:rsidR="00C714D3" w:rsidRPr="00E869A4" w14:paraId="0BB936D7"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0EEB6297"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Location in T&amp;T</w:t>
            </w:r>
            <w:r w:rsidRPr="008A5F7E">
              <w:rPr>
                <w:rStyle w:val="FootnoteReference"/>
                <w:rFonts w:ascii="Times New Roman" w:hAnsi="Times New Roman" w:cs="Times New Roman"/>
                <w:sz w:val="23"/>
                <w:szCs w:val="23"/>
              </w:rPr>
              <w:footnoteReference w:id="134"/>
            </w:r>
          </w:p>
        </w:tc>
        <w:tc>
          <w:tcPr>
            <w:tcW w:w="3060" w:type="dxa"/>
          </w:tcPr>
          <w:p w14:paraId="77320435"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Central</w:t>
            </w:r>
          </w:p>
        </w:tc>
        <w:tc>
          <w:tcPr>
            <w:tcW w:w="3260" w:type="dxa"/>
          </w:tcPr>
          <w:p w14:paraId="54D85EC9"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Central</w:t>
            </w:r>
          </w:p>
        </w:tc>
      </w:tr>
      <w:tr w:rsidR="00C714D3" w:rsidRPr="00E869A4" w14:paraId="606E3A62"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5B798635"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 xml:space="preserve">Access to Home / Distance between residence of CR &amp; </w:t>
            </w:r>
            <w:r w:rsidRPr="008A5F7E">
              <w:rPr>
                <w:rFonts w:ascii="Times New Roman" w:hAnsi="Times New Roman" w:cs="Times New Roman"/>
                <w:sz w:val="23"/>
                <w:szCs w:val="23"/>
              </w:rPr>
              <w:lastRenderedPageBreak/>
              <w:t>CG</w:t>
            </w:r>
          </w:p>
        </w:tc>
        <w:tc>
          <w:tcPr>
            <w:tcW w:w="3060" w:type="dxa"/>
          </w:tcPr>
          <w:p w14:paraId="601E909E"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One level; No steps</w:t>
            </w:r>
          </w:p>
        </w:tc>
        <w:tc>
          <w:tcPr>
            <w:tcW w:w="3260" w:type="dxa"/>
          </w:tcPr>
          <w:p w14:paraId="0F9EF6C9"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Same house</w:t>
            </w:r>
          </w:p>
        </w:tc>
      </w:tr>
      <w:tr w:rsidR="00C714D3" w:rsidRPr="00E869A4" w14:paraId="6E3DC0EB"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7FC2B8BC"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lastRenderedPageBreak/>
              <w:t>Other Property Info</w:t>
            </w:r>
          </w:p>
        </w:tc>
        <w:tc>
          <w:tcPr>
            <w:tcW w:w="6320" w:type="dxa"/>
            <w:gridSpan w:val="2"/>
          </w:tcPr>
          <w:p w14:paraId="6C35FD27" w14:textId="77777777" w:rsidR="00D1584C" w:rsidRPr="00E869A4" w:rsidRDefault="00D1584C" w:rsidP="00691B4A">
            <w:pPr>
              <w:autoSpaceDE w:val="0"/>
              <w:autoSpaceDN w:val="0"/>
              <w:adjustRightInd w:val="0"/>
              <w:ind w:left="205" w:firstLine="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Mr. Khan’s Son (Sunil) lives in a separate house on the same property with his wife and children</w:t>
            </w:r>
          </w:p>
        </w:tc>
      </w:tr>
      <w:tr w:rsidR="00C714D3" w:rsidRPr="00E869A4" w14:paraId="6C40A2FF"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521EEC09"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Support from Family Overseas</w:t>
            </w:r>
          </w:p>
        </w:tc>
        <w:tc>
          <w:tcPr>
            <w:tcW w:w="6320" w:type="dxa"/>
            <w:gridSpan w:val="2"/>
          </w:tcPr>
          <w:p w14:paraId="0751E812" w14:textId="77777777" w:rsidR="00D1584C" w:rsidRPr="00E869A4" w:rsidRDefault="00D1584C" w:rsidP="009D4C5D">
            <w:pPr>
              <w:pStyle w:val="ListParagraph"/>
              <w:numPr>
                <w:ilvl w:val="0"/>
                <w:numId w:val="34"/>
              </w:numPr>
              <w:tabs>
                <w:tab w:val="left" w:pos="259"/>
              </w:tabs>
              <w:autoSpaceDE w:val="0"/>
              <w:autoSpaceDN w:val="0"/>
              <w:adjustRightInd w:val="0"/>
              <w:ind w:left="0" w:firstLine="259"/>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(Occasionally)</w:t>
            </w:r>
          </w:p>
        </w:tc>
      </w:tr>
      <w:tr w:rsidR="00C714D3" w:rsidRPr="00E869A4" w14:paraId="33E093BE"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06BA1424"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Support from other relatives locally</w:t>
            </w:r>
          </w:p>
        </w:tc>
        <w:tc>
          <w:tcPr>
            <w:tcW w:w="6320" w:type="dxa"/>
            <w:gridSpan w:val="2"/>
          </w:tcPr>
          <w:p w14:paraId="2BA3542A" w14:textId="77777777" w:rsidR="00D1584C" w:rsidRPr="00E869A4" w:rsidRDefault="00D1584C" w:rsidP="009D4C5D">
            <w:pPr>
              <w:pStyle w:val="ListParagraph"/>
              <w:numPr>
                <w:ilvl w:val="0"/>
                <w:numId w:val="34"/>
              </w:numPr>
              <w:tabs>
                <w:tab w:val="left" w:pos="630"/>
              </w:tabs>
              <w:autoSpaceDE w:val="0"/>
              <w:autoSpaceDN w:val="0"/>
              <w:adjustRightInd w:val="0"/>
              <w:ind w:left="0" w:firstLine="205"/>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Yes </w:t>
            </w:r>
          </w:p>
        </w:tc>
      </w:tr>
      <w:tr w:rsidR="00C714D3" w:rsidRPr="00E869A4" w14:paraId="0557A6F3"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4990BA9D"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Secondary Caregivers</w:t>
            </w:r>
          </w:p>
        </w:tc>
        <w:tc>
          <w:tcPr>
            <w:tcW w:w="6320" w:type="dxa"/>
            <w:gridSpan w:val="2"/>
          </w:tcPr>
          <w:p w14:paraId="5053E3AA" w14:textId="77777777" w:rsidR="00D1584C" w:rsidRPr="00E869A4" w:rsidRDefault="00D1584C" w:rsidP="009D4C5D">
            <w:pPr>
              <w:pStyle w:val="ListParagraph"/>
              <w:numPr>
                <w:ilvl w:val="0"/>
                <w:numId w:val="75"/>
              </w:numPr>
              <w:autoSpaceDE w:val="0"/>
              <w:autoSpaceDN w:val="0"/>
              <w:adjustRightInd w:val="0"/>
              <w:ind w:left="630" w:hanging="42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Sunil (son)</w:t>
            </w:r>
          </w:p>
          <w:p w14:paraId="3D51C74D" w14:textId="77777777" w:rsidR="00D1584C" w:rsidRPr="00E869A4" w:rsidRDefault="00D1584C" w:rsidP="009D4C5D">
            <w:pPr>
              <w:pStyle w:val="ListParagraph"/>
              <w:numPr>
                <w:ilvl w:val="0"/>
                <w:numId w:val="75"/>
              </w:numPr>
              <w:autoSpaceDE w:val="0"/>
              <w:autoSpaceDN w:val="0"/>
              <w:adjustRightInd w:val="0"/>
              <w:ind w:left="630" w:hanging="42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Kalima (daughter-in-law)</w:t>
            </w:r>
          </w:p>
        </w:tc>
      </w:tr>
      <w:tr w:rsidR="00C714D3" w:rsidRPr="00E869A4" w14:paraId="6C99405F" w14:textId="77777777" w:rsidTr="00691B4A">
        <w:trPr>
          <w:jc w:val="center"/>
        </w:trPr>
        <w:tc>
          <w:tcPr>
            <w:cnfStyle w:val="001000000000" w:firstRow="0" w:lastRow="0" w:firstColumn="1" w:lastColumn="0" w:oddVBand="0" w:evenVBand="0" w:oddHBand="0" w:evenHBand="0" w:firstRowFirstColumn="0" w:firstRowLastColumn="0" w:lastRowFirstColumn="0" w:lastRowLastColumn="0"/>
            <w:tcW w:w="3096" w:type="dxa"/>
          </w:tcPr>
          <w:p w14:paraId="0EAC60D1"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Paid Caregivers</w:t>
            </w:r>
          </w:p>
        </w:tc>
        <w:tc>
          <w:tcPr>
            <w:tcW w:w="6320" w:type="dxa"/>
            <w:gridSpan w:val="2"/>
          </w:tcPr>
          <w:p w14:paraId="060AEFAC" w14:textId="77777777" w:rsidR="00D1584C" w:rsidRPr="00E869A4" w:rsidRDefault="00D1584C" w:rsidP="00691B4A">
            <w:pPr>
              <w:tabs>
                <w:tab w:val="left" w:pos="236"/>
              </w:tabs>
              <w:autoSpaceDE w:val="0"/>
              <w:autoSpaceDN w:val="0"/>
              <w:adjustRightInd w:val="0"/>
              <w:ind w:firstLine="2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None </w:t>
            </w:r>
          </w:p>
        </w:tc>
      </w:tr>
      <w:tr w:rsidR="00C714D3" w:rsidRPr="00E869A4" w14:paraId="24329B53" w14:textId="77777777" w:rsidTr="00691B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6" w:type="dxa"/>
          </w:tcPr>
          <w:p w14:paraId="4E4760C4" w14:textId="77777777" w:rsidR="00D1584C" w:rsidRPr="008A5F7E" w:rsidRDefault="00D1584C" w:rsidP="00691B4A">
            <w:pPr>
              <w:autoSpaceDE w:val="0"/>
              <w:autoSpaceDN w:val="0"/>
              <w:adjustRightInd w:val="0"/>
              <w:ind w:left="94" w:firstLine="0"/>
              <w:rPr>
                <w:rFonts w:ascii="Times New Roman" w:hAnsi="Times New Roman" w:cs="Times New Roman"/>
                <w:sz w:val="23"/>
                <w:szCs w:val="23"/>
              </w:rPr>
            </w:pPr>
            <w:r w:rsidRPr="008A5F7E">
              <w:rPr>
                <w:rFonts w:ascii="Times New Roman" w:hAnsi="Times New Roman" w:cs="Times New Roman"/>
                <w:sz w:val="23"/>
                <w:szCs w:val="23"/>
              </w:rPr>
              <w:t>Other Support</w:t>
            </w:r>
          </w:p>
        </w:tc>
        <w:tc>
          <w:tcPr>
            <w:tcW w:w="6320" w:type="dxa"/>
            <w:gridSpan w:val="2"/>
          </w:tcPr>
          <w:p w14:paraId="23581A8B"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Church (financial assistance)</w:t>
            </w:r>
          </w:p>
          <w:p w14:paraId="05FF0A16" w14:textId="77777777" w:rsidR="00D1584C" w:rsidRPr="00E869A4" w:rsidRDefault="00D1584C" w:rsidP="00691B4A">
            <w:pPr>
              <w:tabs>
                <w:tab w:val="left" w:pos="236"/>
              </w:tabs>
              <w:autoSpaceDE w:val="0"/>
              <w:autoSpaceDN w:val="0"/>
              <w:adjustRightInd w:val="0"/>
              <w:ind w:firstLine="2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Sons (some material assistance)</w:t>
            </w:r>
          </w:p>
        </w:tc>
      </w:tr>
    </w:tbl>
    <w:p w14:paraId="447D94DF" w14:textId="77777777" w:rsidR="00D1584C" w:rsidRPr="00E869A4" w:rsidRDefault="00D1584C" w:rsidP="00A35FF8">
      <w:pPr>
        <w:ind w:firstLine="720"/>
        <w:rPr>
          <w:rFonts w:ascii="Times New Roman" w:hAnsi="Times New Roman" w:cs="Times New Roman"/>
        </w:rPr>
      </w:pPr>
    </w:p>
    <w:p w14:paraId="20C5010F" w14:textId="1A912A7C"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Mr. Khan lived in his own home in a middle-income area. He was very satisfied with the care support he received from his daughter Samantha. Samantha left her job as a professional nurse and geriatric care specialist to attend to her father’s needs full time. Prior to this, Mr. Khan was receiving care support from his daughter-in-law Kalima who lived in a separate house on the same property with her husband (Sunil) and their three young daughters. However, after hearing Kalima complain about caring for her </w:t>
      </w:r>
      <w:r w:rsidR="005D7D7F" w:rsidRPr="00E869A4">
        <w:rPr>
          <w:rFonts w:ascii="Times New Roman" w:hAnsi="Times New Roman" w:cs="Times New Roman"/>
        </w:rPr>
        <w:t>father,</w:t>
      </w:r>
      <w:r w:rsidRPr="00E869A4">
        <w:rPr>
          <w:rFonts w:ascii="Times New Roman" w:hAnsi="Times New Roman" w:cs="Times New Roman"/>
        </w:rPr>
        <w:t xml:space="preserve"> and observing the negative effect this was having on </w:t>
      </w:r>
      <w:r w:rsidR="005D7D7F" w:rsidRPr="00E869A4">
        <w:rPr>
          <w:rFonts w:ascii="Times New Roman" w:hAnsi="Times New Roman" w:cs="Times New Roman"/>
        </w:rPr>
        <w:t>his</w:t>
      </w:r>
      <w:r w:rsidRPr="00E869A4">
        <w:rPr>
          <w:rFonts w:ascii="Times New Roman" w:hAnsi="Times New Roman" w:cs="Times New Roman"/>
        </w:rPr>
        <w:t xml:space="preserve"> health and wellbeing, Samantha decided that it would be best if she relieved Kalima of this care responsibility. Kalima still helped on occasion. The unfair work practices that Samantha was subject to also contributed to her decision to resign from her job outside the home and become a full time family caregiver. Samantha was also motivated by a promise she made to her </w:t>
      </w:r>
      <w:r w:rsidR="002C4D52" w:rsidRPr="00E869A4">
        <w:rPr>
          <w:rFonts w:ascii="Times New Roman" w:eastAsia="Times New Roman" w:hAnsi="Times New Roman" w:cs="Times New Roman"/>
        </w:rPr>
        <w:t>mother</w:t>
      </w:r>
      <w:r w:rsidR="005D7D7F" w:rsidRPr="00E869A4">
        <w:rPr>
          <w:rFonts w:ascii="Times New Roman" w:hAnsi="Times New Roman" w:cs="Times New Roman"/>
        </w:rPr>
        <w:t xml:space="preserve"> whilst she was on her deathbed</w:t>
      </w:r>
      <w:r w:rsidRPr="00E869A4">
        <w:rPr>
          <w:rFonts w:ascii="Times New Roman" w:hAnsi="Times New Roman" w:cs="Times New Roman"/>
        </w:rPr>
        <w:t xml:space="preserve">. Prior to her passing away, Samantha’s mother had what some might describe as a supernatural experience. It was during that experience that Samantha committed to caring for her dad when she died. </w:t>
      </w:r>
    </w:p>
    <w:p w14:paraId="21F4FBF8" w14:textId="77777777" w:rsidR="00691B4A" w:rsidRPr="00E869A4" w:rsidRDefault="00691B4A" w:rsidP="00A35FF8">
      <w:pPr>
        <w:ind w:firstLine="720"/>
        <w:rPr>
          <w:rFonts w:ascii="Times New Roman" w:hAnsi="Times New Roman" w:cs="Times New Roman"/>
        </w:rPr>
      </w:pPr>
    </w:p>
    <w:p w14:paraId="40C67251" w14:textId="1F5F5781"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Samantha described her father as being a good patient most of the times, but admitted there were times when caring for him was challenging.  These difficult periods occurred when he was </w:t>
      </w:r>
      <w:r w:rsidR="005D7D7F" w:rsidRPr="00E869A4">
        <w:rPr>
          <w:rFonts w:ascii="Times New Roman" w:hAnsi="Times New Roman" w:cs="Times New Roman"/>
        </w:rPr>
        <w:t>depressed, did not want to take medication,</w:t>
      </w:r>
      <w:r w:rsidRPr="00E869A4">
        <w:rPr>
          <w:rFonts w:ascii="Times New Roman" w:hAnsi="Times New Roman" w:cs="Times New Roman"/>
        </w:rPr>
        <w:t xml:space="preserve"> and </w:t>
      </w:r>
      <w:r w:rsidR="005D7D7F" w:rsidRPr="00E869A4">
        <w:rPr>
          <w:rFonts w:ascii="Times New Roman" w:hAnsi="Times New Roman" w:cs="Times New Roman"/>
        </w:rPr>
        <w:t>behaved aggressively</w:t>
      </w:r>
      <w:r w:rsidRPr="00E869A4">
        <w:rPr>
          <w:rFonts w:ascii="Times New Roman" w:hAnsi="Times New Roman" w:cs="Times New Roman"/>
        </w:rPr>
        <w:t xml:space="preserve">. But, the frequency of such behaviour declined when she began caring for him full time. She surmised that it may be as a result of there being toxins in his body when he didn’t dialyse properly. </w:t>
      </w:r>
      <w:r w:rsidR="004300FC" w:rsidRPr="00E869A4">
        <w:rPr>
          <w:rFonts w:ascii="Times New Roman" w:hAnsi="Times New Roman" w:cs="Times New Roman"/>
        </w:rPr>
        <w:t>W</w:t>
      </w:r>
      <w:r w:rsidRPr="00E869A4">
        <w:rPr>
          <w:rFonts w:ascii="Times New Roman" w:hAnsi="Times New Roman" w:cs="Times New Roman"/>
        </w:rPr>
        <w:t xml:space="preserve">hen she began to care for </w:t>
      </w:r>
      <w:r w:rsidR="004300FC" w:rsidRPr="00E869A4">
        <w:rPr>
          <w:rFonts w:ascii="Times New Roman" w:hAnsi="Times New Roman" w:cs="Times New Roman"/>
        </w:rPr>
        <w:t>him,</w:t>
      </w:r>
      <w:r w:rsidRPr="00E869A4">
        <w:rPr>
          <w:rFonts w:ascii="Times New Roman" w:hAnsi="Times New Roman" w:cs="Times New Roman"/>
        </w:rPr>
        <w:t xml:space="preserve"> she was</w:t>
      </w:r>
      <w:r w:rsidR="004300FC" w:rsidRPr="00E869A4">
        <w:rPr>
          <w:rFonts w:ascii="Times New Roman" w:hAnsi="Times New Roman" w:cs="Times New Roman"/>
        </w:rPr>
        <w:t>, by her estimation,</w:t>
      </w:r>
      <w:r w:rsidRPr="00E869A4">
        <w:rPr>
          <w:rFonts w:ascii="Times New Roman" w:hAnsi="Times New Roman" w:cs="Times New Roman"/>
        </w:rPr>
        <w:t xml:space="preserve"> able to bring that situation under control for the most part. Whenever she observed that he was depressed, she solicited the support of his </w:t>
      </w:r>
      <w:r w:rsidR="004300FC" w:rsidRPr="00E869A4">
        <w:rPr>
          <w:rFonts w:ascii="Times New Roman" w:hAnsi="Times New Roman" w:cs="Times New Roman"/>
        </w:rPr>
        <w:t>granddaughters</w:t>
      </w:r>
      <w:r w:rsidRPr="00E869A4">
        <w:rPr>
          <w:rFonts w:ascii="Times New Roman" w:hAnsi="Times New Roman" w:cs="Times New Roman"/>
        </w:rPr>
        <w:t xml:space="preserve"> who were of primary school aged and lived next door with </w:t>
      </w:r>
      <w:r w:rsidRPr="00E869A4">
        <w:rPr>
          <w:rFonts w:ascii="Times New Roman" w:hAnsi="Times New Roman" w:cs="Times New Roman"/>
        </w:rPr>
        <w:lastRenderedPageBreak/>
        <w:t xml:space="preserve">their parents (Kalima and his son Sunil). Their caring loving behaviour helped to cheer him up and lift his spirits. </w:t>
      </w:r>
    </w:p>
    <w:p w14:paraId="69D67FCB" w14:textId="77777777" w:rsidR="00710A04" w:rsidRPr="00E869A4" w:rsidRDefault="00710A04" w:rsidP="00A35FF8">
      <w:pPr>
        <w:ind w:firstLine="720"/>
        <w:rPr>
          <w:rFonts w:ascii="Times New Roman" w:hAnsi="Times New Roman" w:cs="Times New Roman"/>
        </w:rPr>
      </w:pPr>
    </w:p>
    <w:p w14:paraId="6EA8C04C" w14:textId="784B1401" w:rsidR="00D1584C" w:rsidRPr="00E869A4" w:rsidRDefault="00D1584C" w:rsidP="00181559">
      <w:pPr>
        <w:ind w:firstLine="720"/>
        <w:rPr>
          <w:rFonts w:ascii="Times New Roman" w:hAnsi="Times New Roman" w:cs="Times New Roman"/>
        </w:rPr>
      </w:pPr>
      <w:r w:rsidRPr="00E869A4">
        <w:rPr>
          <w:rFonts w:ascii="Times New Roman" w:hAnsi="Times New Roman" w:cs="Times New Roman"/>
        </w:rPr>
        <w:t xml:space="preserve">Though Samantha had five (5) brothers, only 3 lived in Trinidad: the other 2 lived abroad. She received assistance with transportation from her brother Sunil, but, except for the occasional financial assistance, she rarely received support from her other brothers and their wives. She and her dad received monthly financial assistance from their church which re-distributed the tithes received to all members. The church gave a greater amount of funds to members who were in difficult circumstances. Samantha was for the most part happy with her role as her father’s primary caregiver as, in her words, it gave her </w:t>
      </w:r>
      <w:r w:rsidR="004300FC" w:rsidRPr="00E869A4">
        <w:rPr>
          <w:rFonts w:ascii="Times New Roman" w:hAnsi="Times New Roman" w:cs="Times New Roman"/>
        </w:rPr>
        <w:t>‘</w:t>
      </w:r>
      <w:r w:rsidRPr="00E869A4">
        <w:rPr>
          <w:rFonts w:ascii="Times New Roman" w:hAnsi="Times New Roman" w:cs="Times New Roman"/>
          <w:i/>
        </w:rPr>
        <w:t>peace of mind</w:t>
      </w:r>
      <w:r w:rsidR="004300FC" w:rsidRPr="00E869A4">
        <w:rPr>
          <w:rFonts w:ascii="Times New Roman" w:hAnsi="Times New Roman" w:cs="Times New Roman"/>
        </w:rPr>
        <w:t>’</w:t>
      </w:r>
      <w:r w:rsidRPr="00E869A4">
        <w:rPr>
          <w:rFonts w:ascii="Times New Roman" w:hAnsi="Times New Roman" w:cs="Times New Roman"/>
        </w:rPr>
        <w:t xml:space="preserve"> to care for him. She was glad to reciprocate care to him given the support she received from him when healthier. She was confident that despite the sacrifices she made to her professional and educational development, the experience she gained from being a family caregiver would help her to easily transition back into the formal workforce when she was ready to do so. In the meantime, she had several other skills that she could fall back on if needs be. </w:t>
      </w:r>
    </w:p>
    <w:p w14:paraId="734B623F" w14:textId="77777777" w:rsidR="00181559" w:rsidRPr="00E869A4" w:rsidRDefault="00181559" w:rsidP="00181559">
      <w:pPr>
        <w:ind w:firstLine="720"/>
        <w:rPr>
          <w:rFonts w:ascii="Times New Roman" w:eastAsiaTheme="majorEastAsia" w:hAnsi="Times New Roman" w:cs="Times New Roman"/>
          <w:b/>
          <w:bCs/>
          <w:sz w:val="28"/>
          <w:szCs w:val="28"/>
        </w:rPr>
      </w:pPr>
    </w:p>
    <w:p w14:paraId="5AE6108E" w14:textId="77777777" w:rsidR="00D1584C" w:rsidRPr="00E869A4" w:rsidRDefault="00D1584C" w:rsidP="009D4C5D">
      <w:pPr>
        <w:pStyle w:val="ListParagraph"/>
        <w:numPr>
          <w:ilvl w:val="0"/>
          <w:numId w:val="74"/>
        </w:numPr>
        <w:contextualSpacing w:val="0"/>
        <w:rPr>
          <w:b/>
        </w:rPr>
      </w:pPr>
      <w:bookmarkStart w:id="488" w:name="_Toc507665568"/>
      <w:bookmarkStart w:id="489" w:name="_Toc507909140"/>
      <w:r w:rsidRPr="00E869A4">
        <w:rPr>
          <w:b/>
        </w:rPr>
        <w:t>TANTY EDNA &amp; her niece ADELINA</w:t>
      </w:r>
      <w:bookmarkEnd w:id="488"/>
      <w:bookmarkEnd w:id="489"/>
    </w:p>
    <w:p w14:paraId="4715F59F" w14:textId="77777777" w:rsidR="00D1584C" w:rsidRPr="00E869A4" w:rsidRDefault="00D1584C" w:rsidP="00A35FF8">
      <w:pPr>
        <w:autoSpaceDE w:val="0"/>
        <w:autoSpaceDN w:val="0"/>
        <w:adjustRightInd w:val="0"/>
        <w:rPr>
          <w:rFonts w:ascii="Times New Roman" w:hAnsi="Times New Roman" w:cs="Times New Roman"/>
        </w:rPr>
      </w:pPr>
    </w:p>
    <w:tbl>
      <w:tblPr>
        <w:tblStyle w:val="MediumShading2-Accent11"/>
        <w:tblW w:w="9724" w:type="dxa"/>
        <w:jc w:val="center"/>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3342"/>
        <w:gridCol w:w="3510"/>
      </w:tblGrid>
      <w:tr w:rsidR="00C714D3" w:rsidRPr="00E869A4" w14:paraId="0CB0605A" w14:textId="77777777" w:rsidTr="0018155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872" w:type="dxa"/>
          </w:tcPr>
          <w:p w14:paraId="307CAD07" w14:textId="77777777" w:rsidR="00D1584C" w:rsidRPr="008A5F7E" w:rsidRDefault="00D1584C" w:rsidP="00713AA8">
            <w:pPr>
              <w:autoSpaceDE w:val="0"/>
              <w:autoSpaceDN w:val="0"/>
              <w:adjustRightInd w:val="0"/>
              <w:ind w:left="213" w:firstLine="0"/>
              <w:jc w:val="center"/>
              <w:rPr>
                <w:rFonts w:ascii="Times New Roman" w:hAnsi="Times New Roman" w:cs="Times New Roman"/>
                <w:caps/>
                <w:sz w:val="23"/>
                <w:szCs w:val="23"/>
              </w:rPr>
            </w:pPr>
            <w:r w:rsidRPr="008A5F7E">
              <w:rPr>
                <w:rFonts w:ascii="Times New Roman" w:hAnsi="Times New Roman" w:cs="Times New Roman"/>
                <w:caps/>
                <w:sz w:val="23"/>
                <w:szCs w:val="23"/>
              </w:rPr>
              <w:t>Participant Category</w:t>
            </w:r>
          </w:p>
        </w:tc>
        <w:tc>
          <w:tcPr>
            <w:tcW w:w="3342" w:type="dxa"/>
          </w:tcPr>
          <w:p w14:paraId="3A06BE55" w14:textId="203087CD" w:rsidR="00D1584C" w:rsidRPr="008A5F7E" w:rsidRDefault="009E2738" w:rsidP="00713AA8">
            <w:pPr>
              <w:autoSpaceDE w:val="0"/>
              <w:autoSpaceDN w:val="0"/>
              <w:adjustRightInd w:val="0"/>
              <w:ind w:left="213" w:firstLine="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A5F7E">
              <w:rPr>
                <w:rFonts w:ascii="Times New Roman" w:hAnsi="Times New Roman" w:cs="Times New Roman"/>
                <w:sz w:val="23"/>
                <w:szCs w:val="23"/>
              </w:rPr>
              <w:t>CARE RECIPIENT</w:t>
            </w:r>
            <w:r w:rsidR="00D1584C" w:rsidRPr="008A5F7E">
              <w:rPr>
                <w:rFonts w:ascii="Times New Roman" w:hAnsi="Times New Roman" w:cs="Times New Roman"/>
                <w:sz w:val="23"/>
                <w:szCs w:val="23"/>
              </w:rPr>
              <w:t xml:space="preserve"> (CR)</w:t>
            </w:r>
          </w:p>
        </w:tc>
        <w:tc>
          <w:tcPr>
            <w:tcW w:w="3510" w:type="dxa"/>
          </w:tcPr>
          <w:p w14:paraId="2FC0A616" w14:textId="77777777" w:rsidR="00D1584C" w:rsidRPr="008A5F7E" w:rsidRDefault="00D1584C" w:rsidP="00713AA8">
            <w:pPr>
              <w:autoSpaceDE w:val="0"/>
              <w:autoSpaceDN w:val="0"/>
              <w:adjustRightInd w:val="0"/>
              <w:ind w:left="213" w:firstLine="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A5F7E">
              <w:rPr>
                <w:rFonts w:ascii="Times New Roman" w:hAnsi="Times New Roman" w:cs="Times New Roman"/>
                <w:sz w:val="23"/>
                <w:szCs w:val="23"/>
              </w:rPr>
              <w:t>CAREGIVER (CG)</w:t>
            </w:r>
          </w:p>
        </w:tc>
      </w:tr>
      <w:tr w:rsidR="00C714D3" w:rsidRPr="00E869A4" w14:paraId="1CC2D6A8"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656D25AC"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 xml:space="preserve">Name </w:t>
            </w:r>
          </w:p>
        </w:tc>
        <w:tc>
          <w:tcPr>
            <w:tcW w:w="3342" w:type="dxa"/>
          </w:tcPr>
          <w:p w14:paraId="274B348B"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Edna Baptiste</w:t>
            </w:r>
          </w:p>
        </w:tc>
        <w:tc>
          <w:tcPr>
            <w:tcW w:w="3510" w:type="dxa"/>
          </w:tcPr>
          <w:p w14:paraId="0B2B720B"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Adelina Baptiste-Stephens</w:t>
            </w:r>
          </w:p>
        </w:tc>
      </w:tr>
      <w:tr w:rsidR="00C714D3" w:rsidRPr="00E869A4" w14:paraId="1C75D1D2"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79B1A985"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Relationship</w:t>
            </w:r>
          </w:p>
        </w:tc>
        <w:tc>
          <w:tcPr>
            <w:tcW w:w="3342" w:type="dxa"/>
          </w:tcPr>
          <w:p w14:paraId="2FC13FE4" w14:textId="77777777" w:rsidR="00D1584C" w:rsidRPr="00E869A4" w:rsidRDefault="00D1584C" w:rsidP="008730FD">
            <w:pPr>
              <w:autoSpaceDE w:val="0"/>
              <w:autoSpaceDN w:val="0"/>
              <w:adjustRightInd w:val="0"/>
              <w:ind w:left="213" w:hanging="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Aunt</w:t>
            </w:r>
          </w:p>
        </w:tc>
        <w:tc>
          <w:tcPr>
            <w:tcW w:w="3510" w:type="dxa"/>
          </w:tcPr>
          <w:p w14:paraId="23BCC8F3" w14:textId="77777777" w:rsidR="00D1584C" w:rsidRPr="00E869A4" w:rsidRDefault="00D1584C" w:rsidP="008730FD">
            <w:pPr>
              <w:autoSpaceDE w:val="0"/>
              <w:autoSpaceDN w:val="0"/>
              <w:adjustRightInd w:val="0"/>
              <w:ind w:left="213" w:firstLine="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Niece / God-daughter</w:t>
            </w:r>
          </w:p>
        </w:tc>
      </w:tr>
      <w:tr w:rsidR="00C714D3" w:rsidRPr="00E869A4" w14:paraId="1AD89A6B"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6EFF19F6"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Age</w:t>
            </w:r>
          </w:p>
        </w:tc>
        <w:tc>
          <w:tcPr>
            <w:tcW w:w="3342" w:type="dxa"/>
          </w:tcPr>
          <w:p w14:paraId="4B93E6CE"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79</w:t>
            </w:r>
          </w:p>
        </w:tc>
        <w:tc>
          <w:tcPr>
            <w:tcW w:w="3510" w:type="dxa"/>
          </w:tcPr>
          <w:p w14:paraId="040A512B"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40-49</w:t>
            </w:r>
          </w:p>
        </w:tc>
      </w:tr>
      <w:tr w:rsidR="00C714D3" w:rsidRPr="00E869A4" w14:paraId="35491D12"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02A8AC67"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Gender</w:t>
            </w:r>
          </w:p>
        </w:tc>
        <w:tc>
          <w:tcPr>
            <w:tcW w:w="3342" w:type="dxa"/>
          </w:tcPr>
          <w:p w14:paraId="1BEAA15E" w14:textId="77777777" w:rsidR="00D1584C" w:rsidRPr="00E869A4" w:rsidRDefault="00D1584C" w:rsidP="008730FD">
            <w:pPr>
              <w:autoSpaceDE w:val="0"/>
              <w:autoSpaceDN w:val="0"/>
              <w:adjustRightInd w:val="0"/>
              <w:ind w:left="213" w:hanging="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Female </w:t>
            </w:r>
          </w:p>
        </w:tc>
        <w:tc>
          <w:tcPr>
            <w:tcW w:w="3510" w:type="dxa"/>
          </w:tcPr>
          <w:p w14:paraId="133D649A" w14:textId="77777777" w:rsidR="00D1584C" w:rsidRPr="00E869A4" w:rsidRDefault="00D1584C" w:rsidP="008730FD">
            <w:pPr>
              <w:autoSpaceDE w:val="0"/>
              <w:autoSpaceDN w:val="0"/>
              <w:adjustRightInd w:val="0"/>
              <w:ind w:left="213" w:firstLine="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605EA7FC"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50ED0D0F"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Ethnicity</w:t>
            </w:r>
          </w:p>
        </w:tc>
        <w:tc>
          <w:tcPr>
            <w:tcW w:w="3342" w:type="dxa"/>
          </w:tcPr>
          <w:p w14:paraId="311AEA44"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African-Trinidadian</w:t>
            </w:r>
          </w:p>
        </w:tc>
        <w:tc>
          <w:tcPr>
            <w:tcW w:w="3510" w:type="dxa"/>
          </w:tcPr>
          <w:p w14:paraId="709A092B"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African-Trinidadian</w:t>
            </w:r>
          </w:p>
        </w:tc>
      </w:tr>
      <w:tr w:rsidR="00C714D3" w:rsidRPr="00E869A4" w14:paraId="57FC331A"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2A5F6802"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Education</w:t>
            </w:r>
          </w:p>
        </w:tc>
        <w:tc>
          <w:tcPr>
            <w:tcW w:w="3342" w:type="dxa"/>
          </w:tcPr>
          <w:p w14:paraId="2925D910" w14:textId="77777777" w:rsidR="00D1584C" w:rsidRPr="00E869A4" w:rsidRDefault="00D1584C" w:rsidP="008730FD">
            <w:pPr>
              <w:autoSpaceDE w:val="0"/>
              <w:autoSpaceDN w:val="0"/>
              <w:adjustRightInd w:val="0"/>
              <w:ind w:left="213" w:hanging="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Primary School</w:t>
            </w:r>
          </w:p>
        </w:tc>
        <w:tc>
          <w:tcPr>
            <w:tcW w:w="3510" w:type="dxa"/>
          </w:tcPr>
          <w:p w14:paraId="2C050777" w14:textId="77777777" w:rsidR="00D1584C" w:rsidRPr="00E869A4" w:rsidRDefault="00D1584C" w:rsidP="008730FD">
            <w:pPr>
              <w:autoSpaceDE w:val="0"/>
              <w:autoSpaceDN w:val="0"/>
              <w:adjustRightInd w:val="0"/>
              <w:ind w:left="213" w:firstLine="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High School &amp; Professional Training</w:t>
            </w:r>
          </w:p>
        </w:tc>
      </w:tr>
      <w:tr w:rsidR="00C714D3" w:rsidRPr="00E869A4" w14:paraId="036EC38B"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0141423E"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Employment History / Status</w:t>
            </w:r>
          </w:p>
        </w:tc>
        <w:tc>
          <w:tcPr>
            <w:tcW w:w="3342" w:type="dxa"/>
          </w:tcPr>
          <w:p w14:paraId="3F96F72D"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General Worker; Landlady</w:t>
            </w:r>
          </w:p>
        </w:tc>
        <w:tc>
          <w:tcPr>
            <w:tcW w:w="3510" w:type="dxa"/>
          </w:tcPr>
          <w:p w14:paraId="1D954B19"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Senior Business Executive</w:t>
            </w:r>
          </w:p>
        </w:tc>
      </w:tr>
      <w:tr w:rsidR="00C714D3" w:rsidRPr="00E869A4" w14:paraId="0F4DB602"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4B506D95"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Marital Status</w:t>
            </w:r>
          </w:p>
        </w:tc>
        <w:tc>
          <w:tcPr>
            <w:tcW w:w="3342" w:type="dxa"/>
          </w:tcPr>
          <w:p w14:paraId="6788CEE9" w14:textId="77777777" w:rsidR="00D1584C" w:rsidRPr="00E869A4" w:rsidRDefault="00D1584C" w:rsidP="008730FD">
            <w:pPr>
              <w:autoSpaceDE w:val="0"/>
              <w:autoSpaceDN w:val="0"/>
              <w:adjustRightInd w:val="0"/>
              <w:ind w:left="213" w:hanging="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Single</w:t>
            </w:r>
          </w:p>
        </w:tc>
        <w:tc>
          <w:tcPr>
            <w:tcW w:w="3510" w:type="dxa"/>
          </w:tcPr>
          <w:p w14:paraId="06769C10" w14:textId="77777777" w:rsidR="00D1584C" w:rsidRPr="00E869A4" w:rsidRDefault="00D1584C" w:rsidP="008730FD">
            <w:pPr>
              <w:autoSpaceDE w:val="0"/>
              <w:autoSpaceDN w:val="0"/>
              <w:adjustRightInd w:val="0"/>
              <w:ind w:left="213" w:firstLine="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Common-Law</w:t>
            </w:r>
          </w:p>
        </w:tc>
      </w:tr>
      <w:tr w:rsidR="00C714D3" w:rsidRPr="00E869A4" w14:paraId="5F4786D6"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334C13F0"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Number of Sons</w:t>
            </w:r>
          </w:p>
        </w:tc>
        <w:tc>
          <w:tcPr>
            <w:tcW w:w="3342" w:type="dxa"/>
          </w:tcPr>
          <w:p w14:paraId="08A5B449"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510" w:type="dxa"/>
          </w:tcPr>
          <w:p w14:paraId="5801FCAE"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4F1D2935"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560CA199"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Number of Daughters</w:t>
            </w:r>
          </w:p>
        </w:tc>
        <w:tc>
          <w:tcPr>
            <w:tcW w:w="3342" w:type="dxa"/>
          </w:tcPr>
          <w:p w14:paraId="3DA04CF7" w14:textId="77777777" w:rsidR="00D1584C" w:rsidRPr="00E869A4" w:rsidRDefault="00D1584C" w:rsidP="008730FD">
            <w:pPr>
              <w:autoSpaceDE w:val="0"/>
              <w:autoSpaceDN w:val="0"/>
              <w:adjustRightInd w:val="0"/>
              <w:ind w:left="213" w:hanging="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510" w:type="dxa"/>
          </w:tcPr>
          <w:p w14:paraId="49B5662A" w14:textId="77777777" w:rsidR="00D1584C" w:rsidRPr="00E869A4" w:rsidRDefault="00D1584C" w:rsidP="008730FD">
            <w:pPr>
              <w:autoSpaceDE w:val="0"/>
              <w:autoSpaceDN w:val="0"/>
              <w:adjustRightInd w:val="0"/>
              <w:ind w:left="213" w:firstLine="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4</w:t>
            </w:r>
          </w:p>
        </w:tc>
      </w:tr>
      <w:tr w:rsidR="00C714D3" w:rsidRPr="00E869A4" w14:paraId="536B0866"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2CC2A8D4"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Total # Surviving Children</w:t>
            </w:r>
          </w:p>
        </w:tc>
        <w:tc>
          <w:tcPr>
            <w:tcW w:w="3342" w:type="dxa"/>
          </w:tcPr>
          <w:p w14:paraId="42D386EF"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c>
          <w:tcPr>
            <w:tcW w:w="3510" w:type="dxa"/>
          </w:tcPr>
          <w:p w14:paraId="47EC6853"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w:t>
            </w:r>
          </w:p>
        </w:tc>
      </w:tr>
      <w:tr w:rsidR="00C714D3" w:rsidRPr="00E869A4" w14:paraId="0D4F81D6"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4C2E1F80"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Level of Dependency / Care Activities</w:t>
            </w:r>
          </w:p>
        </w:tc>
        <w:tc>
          <w:tcPr>
            <w:tcW w:w="3342" w:type="dxa"/>
          </w:tcPr>
          <w:p w14:paraId="207B414D" w14:textId="77777777" w:rsidR="00D1584C" w:rsidRPr="00E869A4" w:rsidRDefault="00D1584C" w:rsidP="008730FD">
            <w:pPr>
              <w:autoSpaceDE w:val="0"/>
              <w:autoSpaceDN w:val="0"/>
              <w:adjustRightInd w:val="0"/>
              <w:ind w:left="213" w:hanging="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Slightly dependent</w:t>
            </w:r>
          </w:p>
        </w:tc>
        <w:tc>
          <w:tcPr>
            <w:tcW w:w="3510" w:type="dxa"/>
          </w:tcPr>
          <w:p w14:paraId="3384EB9C" w14:textId="77777777" w:rsidR="00D1584C" w:rsidRPr="00E869A4" w:rsidRDefault="00D1584C" w:rsidP="008730FD">
            <w:pPr>
              <w:autoSpaceDE w:val="0"/>
              <w:autoSpaceDN w:val="0"/>
              <w:adjustRightInd w:val="0"/>
              <w:ind w:left="213" w:firstLine="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IADL</w:t>
            </w:r>
          </w:p>
        </w:tc>
      </w:tr>
      <w:tr w:rsidR="00C714D3" w:rsidRPr="00E869A4" w14:paraId="6098B0D8"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3E34B121"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 xml:space="preserve">Health Challenges / </w:t>
            </w:r>
            <w:r w:rsidRPr="008A5F7E">
              <w:rPr>
                <w:rFonts w:ascii="Times New Roman" w:hAnsi="Times New Roman" w:cs="Times New Roman"/>
                <w:sz w:val="23"/>
                <w:szCs w:val="23"/>
              </w:rPr>
              <w:lastRenderedPageBreak/>
              <w:t>Care provided</w:t>
            </w:r>
          </w:p>
        </w:tc>
        <w:tc>
          <w:tcPr>
            <w:tcW w:w="3342" w:type="dxa"/>
          </w:tcPr>
          <w:p w14:paraId="067C1649"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Diabetes</w:t>
            </w:r>
          </w:p>
          <w:p w14:paraId="616F9315"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Mobility</w:t>
            </w:r>
          </w:p>
        </w:tc>
        <w:tc>
          <w:tcPr>
            <w:tcW w:w="3510" w:type="dxa"/>
          </w:tcPr>
          <w:p w14:paraId="106A7F0C"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Supervisory care</w:t>
            </w:r>
          </w:p>
        </w:tc>
      </w:tr>
      <w:tr w:rsidR="00C714D3" w:rsidRPr="00E869A4" w14:paraId="13B2AB6A"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5CC5453B"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lastRenderedPageBreak/>
              <w:t>Time Spent providing Family Care to CR</w:t>
            </w:r>
          </w:p>
        </w:tc>
        <w:tc>
          <w:tcPr>
            <w:tcW w:w="3342" w:type="dxa"/>
          </w:tcPr>
          <w:p w14:paraId="16FDBE74" w14:textId="77777777" w:rsidR="00D1584C" w:rsidRPr="00E869A4" w:rsidRDefault="00D1584C" w:rsidP="008730FD">
            <w:pPr>
              <w:autoSpaceDE w:val="0"/>
              <w:autoSpaceDN w:val="0"/>
              <w:adjustRightInd w:val="0"/>
              <w:ind w:left="213" w:hanging="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510" w:type="dxa"/>
          </w:tcPr>
          <w:p w14:paraId="1F802FB3" w14:textId="77777777" w:rsidR="00D1584C" w:rsidRPr="00E869A4" w:rsidRDefault="00D1584C" w:rsidP="008730FD">
            <w:pPr>
              <w:autoSpaceDE w:val="0"/>
              <w:autoSpaceDN w:val="0"/>
              <w:adjustRightInd w:val="0"/>
              <w:ind w:left="213" w:firstLine="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5 years or longer </w:t>
            </w:r>
          </w:p>
        </w:tc>
      </w:tr>
      <w:tr w:rsidR="00C714D3" w:rsidRPr="00E869A4" w14:paraId="49AF9934"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4866BCA0"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Location in T&amp;T</w:t>
            </w:r>
            <w:r w:rsidRPr="008A5F7E">
              <w:rPr>
                <w:rStyle w:val="FootnoteReference"/>
                <w:rFonts w:ascii="Times New Roman" w:hAnsi="Times New Roman" w:cs="Times New Roman"/>
                <w:sz w:val="23"/>
                <w:szCs w:val="23"/>
              </w:rPr>
              <w:footnoteReference w:id="135"/>
            </w:r>
          </w:p>
        </w:tc>
        <w:tc>
          <w:tcPr>
            <w:tcW w:w="3342" w:type="dxa"/>
          </w:tcPr>
          <w:p w14:paraId="285F2C07"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North Central </w:t>
            </w:r>
          </w:p>
        </w:tc>
        <w:tc>
          <w:tcPr>
            <w:tcW w:w="3510" w:type="dxa"/>
          </w:tcPr>
          <w:p w14:paraId="6628E394"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North Central </w:t>
            </w:r>
          </w:p>
        </w:tc>
      </w:tr>
      <w:tr w:rsidR="00C714D3" w:rsidRPr="00E869A4" w14:paraId="3E75B03C"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70954411"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Access to Home / Distance between residence of CR &amp; CG</w:t>
            </w:r>
          </w:p>
        </w:tc>
        <w:tc>
          <w:tcPr>
            <w:tcW w:w="3342" w:type="dxa"/>
          </w:tcPr>
          <w:p w14:paraId="29613AC3" w14:textId="77777777" w:rsidR="00D1584C" w:rsidRPr="00E869A4" w:rsidRDefault="00D1584C" w:rsidP="008730FD">
            <w:pPr>
              <w:autoSpaceDE w:val="0"/>
              <w:autoSpaceDN w:val="0"/>
              <w:adjustRightInd w:val="0"/>
              <w:ind w:left="213" w:hanging="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Lives Upstairs</w:t>
            </w:r>
          </w:p>
        </w:tc>
        <w:tc>
          <w:tcPr>
            <w:tcW w:w="3510" w:type="dxa"/>
          </w:tcPr>
          <w:p w14:paraId="1218049D" w14:textId="77777777" w:rsidR="00D1584C" w:rsidRPr="00E869A4" w:rsidRDefault="00D1584C" w:rsidP="008730FD">
            <w:pPr>
              <w:autoSpaceDE w:val="0"/>
              <w:autoSpaceDN w:val="0"/>
              <w:adjustRightInd w:val="0"/>
              <w:ind w:left="213" w:firstLine="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Separate houses: 50 minute drive away</w:t>
            </w:r>
          </w:p>
        </w:tc>
      </w:tr>
      <w:tr w:rsidR="00C714D3" w:rsidRPr="00E869A4" w14:paraId="69F1D635"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43F6C64A"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Lives Alone</w:t>
            </w:r>
          </w:p>
        </w:tc>
        <w:tc>
          <w:tcPr>
            <w:tcW w:w="3342" w:type="dxa"/>
          </w:tcPr>
          <w:p w14:paraId="6D21CC36" w14:textId="77777777" w:rsidR="00D1584C" w:rsidRPr="00E869A4" w:rsidRDefault="00D1584C" w:rsidP="008730FD">
            <w:pPr>
              <w:autoSpaceDE w:val="0"/>
              <w:autoSpaceDN w:val="0"/>
              <w:adjustRightInd w:val="0"/>
              <w:ind w:left="213" w:hanging="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 Grandchildren live with Tanty</w:t>
            </w:r>
          </w:p>
        </w:tc>
        <w:tc>
          <w:tcPr>
            <w:tcW w:w="3510" w:type="dxa"/>
          </w:tcPr>
          <w:p w14:paraId="44A430D3" w14:textId="77777777" w:rsidR="00D1584C" w:rsidRPr="00E869A4" w:rsidRDefault="00D1584C" w:rsidP="008730FD">
            <w:pPr>
              <w:autoSpaceDE w:val="0"/>
              <w:autoSpaceDN w:val="0"/>
              <w:adjustRightInd w:val="0"/>
              <w:ind w:left="213" w:firstLine="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C714D3" w:rsidRPr="00E869A4" w14:paraId="48A6C4A9"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7DB39AFF"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Other Property Info</w:t>
            </w:r>
          </w:p>
        </w:tc>
        <w:tc>
          <w:tcPr>
            <w:tcW w:w="6852" w:type="dxa"/>
            <w:gridSpan w:val="2"/>
          </w:tcPr>
          <w:p w14:paraId="6E4E307B" w14:textId="77777777" w:rsidR="00D1584C" w:rsidRPr="00E869A4" w:rsidRDefault="00D1584C" w:rsidP="00713AA8">
            <w:pPr>
              <w:autoSpaceDE w:val="0"/>
              <w:autoSpaceDN w:val="0"/>
              <w:adjustRightInd w:val="0"/>
              <w:ind w:left="213" w:firstLine="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Tanty’s home was Mortgaged. Marlene &amp; Adelina assisted with the Mortgage payments. The downstairs level of the property was rented.</w:t>
            </w:r>
          </w:p>
        </w:tc>
      </w:tr>
      <w:tr w:rsidR="00C714D3" w:rsidRPr="00E869A4" w14:paraId="649AB0F4"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40D3697A"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Support from Family Overseas</w:t>
            </w:r>
          </w:p>
        </w:tc>
        <w:tc>
          <w:tcPr>
            <w:tcW w:w="6852" w:type="dxa"/>
            <w:gridSpan w:val="2"/>
          </w:tcPr>
          <w:p w14:paraId="09823E3F" w14:textId="77777777" w:rsidR="00D1584C" w:rsidRPr="00E869A4" w:rsidRDefault="00D1584C" w:rsidP="009D4C5D">
            <w:pPr>
              <w:pStyle w:val="ListParagraph"/>
              <w:numPr>
                <w:ilvl w:val="0"/>
                <w:numId w:val="26"/>
              </w:numPr>
              <w:autoSpaceDE w:val="0"/>
              <w:autoSpaceDN w:val="0"/>
              <w:adjustRightInd w:val="0"/>
              <w:ind w:left="213" w:firstLine="67"/>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(Regularly)</w:t>
            </w:r>
          </w:p>
        </w:tc>
      </w:tr>
      <w:tr w:rsidR="00C714D3" w:rsidRPr="00E869A4" w14:paraId="0B2DC943"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1D837814"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Support from other relatives locally</w:t>
            </w:r>
          </w:p>
        </w:tc>
        <w:tc>
          <w:tcPr>
            <w:tcW w:w="6852" w:type="dxa"/>
            <w:gridSpan w:val="2"/>
          </w:tcPr>
          <w:p w14:paraId="57A25F45" w14:textId="77777777" w:rsidR="00D1584C" w:rsidRPr="00E869A4" w:rsidRDefault="00D1584C" w:rsidP="009D4C5D">
            <w:pPr>
              <w:pStyle w:val="ListParagraph"/>
              <w:numPr>
                <w:ilvl w:val="0"/>
                <w:numId w:val="26"/>
              </w:numPr>
              <w:autoSpaceDE w:val="0"/>
              <w:autoSpaceDN w:val="0"/>
              <w:adjustRightInd w:val="0"/>
              <w:ind w:left="213" w:firstLine="67"/>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Yes </w:t>
            </w:r>
          </w:p>
        </w:tc>
      </w:tr>
      <w:tr w:rsidR="00C714D3" w:rsidRPr="00E869A4" w14:paraId="6CDF32E7" w14:textId="77777777" w:rsidTr="00713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tcPr>
          <w:p w14:paraId="768ED818" w14:textId="77777777" w:rsidR="00D1584C" w:rsidRPr="008A5F7E" w:rsidRDefault="00D1584C" w:rsidP="00713AA8">
            <w:pPr>
              <w:autoSpaceDE w:val="0"/>
              <w:autoSpaceDN w:val="0"/>
              <w:adjustRightInd w:val="0"/>
              <w:ind w:left="213" w:firstLine="0"/>
              <w:rPr>
                <w:rFonts w:ascii="Times New Roman" w:hAnsi="Times New Roman" w:cs="Times New Roman"/>
                <w:sz w:val="23"/>
                <w:szCs w:val="23"/>
              </w:rPr>
            </w:pPr>
            <w:r w:rsidRPr="008A5F7E">
              <w:rPr>
                <w:rFonts w:ascii="Times New Roman" w:hAnsi="Times New Roman" w:cs="Times New Roman"/>
                <w:sz w:val="23"/>
                <w:szCs w:val="23"/>
              </w:rPr>
              <w:t>Secondary Caregivers</w:t>
            </w:r>
          </w:p>
        </w:tc>
        <w:tc>
          <w:tcPr>
            <w:tcW w:w="6852" w:type="dxa"/>
            <w:gridSpan w:val="2"/>
          </w:tcPr>
          <w:p w14:paraId="6104F8DE" w14:textId="77777777" w:rsidR="00D1584C" w:rsidRPr="00E869A4" w:rsidRDefault="00D1584C" w:rsidP="009D4C5D">
            <w:pPr>
              <w:pStyle w:val="ListParagraph"/>
              <w:numPr>
                <w:ilvl w:val="0"/>
                <w:numId w:val="26"/>
              </w:numPr>
              <w:autoSpaceDE w:val="0"/>
              <w:autoSpaceDN w:val="0"/>
              <w:adjustRightInd w:val="0"/>
              <w:ind w:left="213" w:firstLine="67"/>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Carol   (niece)</w:t>
            </w:r>
          </w:p>
          <w:p w14:paraId="16CC4913" w14:textId="77777777" w:rsidR="00D1584C" w:rsidRPr="00E869A4" w:rsidRDefault="00D1584C" w:rsidP="009D4C5D">
            <w:pPr>
              <w:pStyle w:val="ListParagraph"/>
              <w:numPr>
                <w:ilvl w:val="0"/>
                <w:numId w:val="26"/>
              </w:numPr>
              <w:autoSpaceDE w:val="0"/>
              <w:autoSpaceDN w:val="0"/>
              <w:adjustRightInd w:val="0"/>
              <w:ind w:left="213" w:firstLine="67"/>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Abraham (nephew)</w:t>
            </w:r>
          </w:p>
          <w:p w14:paraId="361C0B03" w14:textId="77777777" w:rsidR="00D1584C" w:rsidRPr="00E869A4" w:rsidRDefault="00D1584C" w:rsidP="009D4C5D">
            <w:pPr>
              <w:pStyle w:val="ListParagraph"/>
              <w:numPr>
                <w:ilvl w:val="0"/>
                <w:numId w:val="26"/>
              </w:numPr>
              <w:autoSpaceDE w:val="0"/>
              <w:autoSpaceDN w:val="0"/>
              <w:adjustRightInd w:val="0"/>
              <w:ind w:left="213" w:firstLine="67"/>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Marlene (grand-daughter)</w:t>
            </w:r>
          </w:p>
        </w:tc>
      </w:tr>
      <w:tr w:rsidR="00C714D3" w:rsidRPr="00E869A4" w14:paraId="59750386" w14:textId="77777777" w:rsidTr="00713AA8">
        <w:trPr>
          <w:jc w:val="center"/>
        </w:trPr>
        <w:tc>
          <w:tcPr>
            <w:cnfStyle w:val="001000000000" w:firstRow="0" w:lastRow="0" w:firstColumn="1" w:lastColumn="0" w:oddVBand="0" w:evenVBand="0" w:oddHBand="0" w:evenHBand="0" w:firstRowFirstColumn="0" w:firstRowLastColumn="0" w:lastRowFirstColumn="0" w:lastRowLastColumn="0"/>
            <w:tcW w:w="2872" w:type="dxa"/>
          </w:tcPr>
          <w:p w14:paraId="49B0A654" w14:textId="77777777" w:rsidR="00D1584C" w:rsidRPr="008A5F7E" w:rsidRDefault="00D1584C" w:rsidP="008730FD">
            <w:pPr>
              <w:autoSpaceDE w:val="0"/>
              <w:autoSpaceDN w:val="0"/>
              <w:adjustRightInd w:val="0"/>
              <w:ind w:left="213" w:hanging="19"/>
              <w:rPr>
                <w:rFonts w:ascii="Times New Roman" w:hAnsi="Times New Roman" w:cs="Times New Roman"/>
                <w:sz w:val="23"/>
                <w:szCs w:val="23"/>
              </w:rPr>
            </w:pPr>
            <w:r w:rsidRPr="008A5F7E">
              <w:rPr>
                <w:rFonts w:ascii="Times New Roman" w:hAnsi="Times New Roman" w:cs="Times New Roman"/>
                <w:sz w:val="23"/>
                <w:szCs w:val="23"/>
              </w:rPr>
              <w:t>Paid Caregivers</w:t>
            </w:r>
          </w:p>
        </w:tc>
        <w:tc>
          <w:tcPr>
            <w:tcW w:w="6852" w:type="dxa"/>
            <w:gridSpan w:val="2"/>
          </w:tcPr>
          <w:p w14:paraId="18E9B943" w14:textId="77777777" w:rsidR="00D1584C" w:rsidRPr="00E869A4" w:rsidRDefault="00D1584C" w:rsidP="00713AA8">
            <w:pPr>
              <w:autoSpaceDE w:val="0"/>
              <w:autoSpaceDN w:val="0"/>
              <w:adjustRightInd w:val="0"/>
              <w:ind w:left="213" w:firstLine="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Kasey (GAPP caregiver)</w:t>
            </w:r>
          </w:p>
        </w:tc>
      </w:tr>
    </w:tbl>
    <w:p w14:paraId="791510C1" w14:textId="77777777" w:rsidR="00D1584C" w:rsidRPr="00E869A4" w:rsidRDefault="00D1584C" w:rsidP="00A35FF8">
      <w:pPr>
        <w:autoSpaceDE w:val="0"/>
        <w:autoSpaceDN w:val="0"/>
        <w:adjustRightInd w:val="0"/>
        <w:rPr>
          <w:rFonts w:ascii="Times New Roman" w:hAnsi="Times New Roman" w:cs="Times New Roman"/>
        </w:rPr>
      </w:pPr>
    </w:p>
    <w:p w14:paraId="573C3D9D" w14:textId="46BCC6A1"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Tanty Edna’s primary caregiver was her adult niece and </w:t>
      </w:r>
      <w:r w:rsidR="00650EDC" w:rsidRPr="00E869A4">
        <w:rPr>
          <w:rFonts w:ascii="Times New Roman" w:hAnsi="Times New Roman" w:cs="Times New Roman"/>
        </w:rPr>
        <w:t>goddaughter</w:t>
      </w:r>
      <w:r w:rsidRPr="00E869A4">
        <w:rPr>
          <w:rFonts w:ascii="Times New Roman" w:hAnsi="Times New Roman" w:cs="Times New Roman"/>
        </w:rPr>
        <w:t xml:space="preserve"> (Adelina).  Adelina began providing focused care to Tanty after Tanty’s </w:t>
      </w:r>
      <w:r w:rsidR="00650EDC" w:rsidRPr="00E869A4">
        <w:rPr>
          <w:rFonts w:ascii="Times New Roman" w:hAnsi="Times New Roman" w:cs="Times New Roman"/>
        </w:rPr>
        <w:t>granddaughter</w:t>
      </w:r>
      <w:r w:rsidRPr="00E869A4">
        <w:rPr>
          <w:rFonts w:ascii="Times New Roman" w:hAnsi="Times New Roman" w:cs="Times New Roman"/>
        </w:rPr>
        <w:t xml:space="preserve"> (Marlene) migrated to Canada. Tanty had raised Marlene from childhood. When she left Trinidad, Adelina and her siblings increased their support to Tanty since Tanty’s daughter (Eleta), wa</w:t>
      </w:r>
      <w:r w:rsidR="00181559" w:rsidRPr="00E869A4">
        <w:rPr>
          <w:rFonts w:ascii="Times New Roman" w:hAnsi="Times New Roman" w:cs="Times New Roman"/>
        </w:rPr>
        <w:t xml:space="preserve">s not willing to care for her. </w:t>
      </w:r>
      <w:r w:rsidRPr="00E869A4">
        <w:rPr>
          <w:rFonts w:ascii="Times New Roman" w:hAnsi="Times New Roman" w:cs="Times New Roman"/>
        </w:rPr>
        <w:t xml:space="preserve">Eleta resided in Trinidad, </w:t>
      </w:r>
      <w:r w:rsidR="00650EDC" w:rsidRPr="00E869A4">
        <w:rPr>
          <w:rFonts w:ascii="Times New Roman" w:hAnsi="Times New Roman" w:cs="Times New Roman"/>
        </w:rPr>
        <w:t>but</w:t>
      </w:r>
      <w:r w:rsidRPr="00E869A4">
        <w:rPr>
          <w:rFonts w:ascii="Times New Roman" w:hAnsi="Times New Roman" w:cs="Times New Roman"/>
        </w:rPr>
        <w:t xml:space="preserve"> she and Tanty had an estranged relationship after they had </w:t>
      </w:r>
      <w:r w:rsidR="00650EDC" w:rsidRPr="00E869A4">
        <w:rPr>
          <w:rFonts w:ascii="Times New Roman" w:hAnsi="Times New Roman" w:cs="Times New Roman"/>
        </w:rPr>
        <w:t>an intense</w:t>
      </w:r>
      <w:r w:rsidRPr="00E869A4">
        <w:rPr>
          <w:rFonts w:ascii="Times New Roman" w:hAnsi="Times New Roman" w:cs="Times New Roman"/>
        </w:rPr>
        <w:t xml:space="preserve"> argument over finances. Tanty had one other adult child: a son (Shane) who also lived in Trinidad. </w:t>
      </w:r>
      <w:r w:rsidR="00650EDC" w:rsidRPr="00E869A4">
        <w:rPr>
          <w:rFonts w:ascii="Times New Roman" w:hAnsi="Times New Roman" w:cs="Times New Roman"/>
        </w:rPr>
        <w:t>However</w:t>
      </w:r>
      <w:r w:rsidRPr="00E869A4">
        <w:rPr>
          <w:rFonts w:ascii="Times New Roman" w:hAnsi="Times New Roman" w:cs="Times New Roman"/>
        </w:rPr>
        <w:t xml:space="preserve">, Shane was not able to provide support to Tanty because he was still recovering from a substance-abuse problem. Given this situation, Adelina arranged for Tanty to receive paid in-home care support from the Geriatric Adolescent Partnership Program (GAPP). A senior officer in the program was one of Adelina’s clients so she was able to get a caregiver for Tanty quickly. However, at the time of the interview, Tanty was unhappy with her GAPP carer (Kasey). Kasey, like Tanty’s first GAPP worker (Solange), had a poor work ethic and did not fulfil all the terms of her employment. </w:t>
      </w:r>
    </w:p>
    <w:p w14:paraId="16A842E9" w14:textId="77777777" w:rsidR="00650EDC" w:rsidRPr="00E869A4" w:rsidRDefault="00650EDC" w:rsidP="00A35FF8">
      <w:pPr>
        <w:ind w:firstLine="720"/>
        <w:rPr>
          <w:rFonts w:ascii="Times New Roman" w:hAnsi="Times New Roman" w:cs="Times New Roman"/>
        </w:rPr>
      </w:pPr>
    </w:p>
    <w:p w14:paraId="12669E45" w14:textId="5EFABD0E" w:rsidR="00B31BF1" w:rsidRPr="00E869A4" w:rsidRDefault="00D1584C" w:rsidP="00181559">
      <w:pPr>
        <w:ind w:firstLine="720"/>
        <w:rPr>
          <w:rFonts w:ascii="Times New Roman" w:hAnsi="Times New Roman" w:cs="Times New Roman"/>
        </w:rPr>
      </w:pPr>
      <w:r w:rsidRPr="00E869A4">
        <w:rPr>
          <w:rFonts w:ascii="Times New Roman" w:hAnsi="Times New Roman" w:cs="Times New Roman"/>
        </w:rPr>
        <w:lastRenderedPageBreak/>
        <w:t xml:space="preserve">Adelina also arranged for Tanty to receive Holy Communion once a month from the Catholic Church. She proposed this arrangement to Tanty after she observed that no-one from Tanty’s church visited her or attended to her spiritual needs when Tanty was no longer able to attend services. Though Tanty was Pentecostal and not Catholic, she accepted Adelina’s offer. She looked forward every month to </w:t>
      </w:r>
      <w:r w:rsidR="00650EDC" w:rsidRPr="00E869A4">
        <w:rPr>
          <w:rFonts w:ascii="Times New Roman" w:hAnsi="Times New Roman" w:cs="Times New Roman"/>
        </w:rPr>
        <w:t>the visits</w:t>
      </w:r>
      <w:r w:rsidRPr="00E869A4">
        <w:rPr>
          <w:rFonts w:ascii="Times New Roman" w:hAnsi="Times New Roman" w:cs="Times New Roman"/>
        </w:rPr>
        <w:t xml:space="preserve"> by the church representatives. While Tanty was very grateful for the assistance she received from Adelina and Adelina’s siblings, she was very distressed by the situation with her daughter. She yearned for Eleta to return home and care for her, rather than having to depend on a GAPP </w:t>
      </w:r>
      <w:r w:rsidR="003957F8" w:rsidRPr="00E869A4">
        <w:rPr>
          <w:rFonts w:ascii="Times New Roman" w:hAnsi="Times New Roman" w:cs="Times New Roman"/>
        </w:rPr>
        <w:t>care worker</w:t>
      </w:r>
      <w:r w:rsidRPr="00E869A4">
        <w:rPr>
          <w:rFonts w:ascii="Times New Roman" w:hAnsi="Times New Roman" w:cs="Times New Roman"/>
        </w:rPr>
        <w:t xml:space="preserve"> to assist her. Tanty was also worried about meeting the mortgage payments for her house. She decided to put the house in her </w:t>
      </w:r>
      <w:r w:rsidR="00650EDC" w:rsidRPr="00E869A4">
        <w:rPr>
          <w:rFonts w:ascii="Times New Roman" w:hAnsi="Times New Roman" w:cs="Times New Roman"/>
        </w:rPr>
        <w:t>granddaughter</w:t>
      </w:r>
      <w:r w:rsidRPr="00E869A4">
        <w:rPr>
          <w:rFonts w:ascii="Times New Roman" w:hAnsi="Times New Roman" w:cs="Times New Roman"/>
        </w:rPr>
        <w:t xml:space="preserve"> Marlene’s name so that Marlene would inherit it when she died. At the time of the interview, Marlene was helping her to make the mortgage payments with help from Adelina. </w:t>
      </w:r>
      <w:bookmarkStart w:id="490" w:name="_Toc507665569"/>
      <w:bookmarkStart w:id="491" w:name="_Toc507909141"/>
    </w:p>
    <w:p w14:paraId="54339A31" w14:textId="77777777" w:rsidR="00181559" w:rsidRPr="00E869A4" w:rsidRDefault="00181559" w:rsidP="00181559">
      <w:pPr>
        <w:ind w:firstLine="720"/>
        <w:rPr>
          <w:b/>
        </w:rPr>
      </w:pPr>
    </w:p>
    <w:p w14:paraId="500CFEC8" w14:textId="49F479A1" w:rsidR="00D1584C" w:rsidRPr="00E869A4" w:rsidRDefault="00D1584C" w:rsidP="009D4C5D">
      <w:pPr>
        <w:pStyle w:val="ListParagraph"/>
        <w:numPr>
          <w:ilvl w:val="0"/>
          <w:numId w:val="74"/>
        </w:numPr>
        <w:contextualSpacing w:val="0"/>
        <w:rPr>
          <w:b/>
        </w:rPr>
      </w:pPr>
      <w:r w:rsidRPr="00E869A4">
        <w:rPr>
          <w:b/>
        </w:rPr>
        <w:t>UNCLE WILTON &amp; his friend MR. BIRCH</w:t>
      </w:r>
      <w:bookmarkEnd w:id="490"/>
      <w:bookmarkEnd w:id="491"/>
    </w:p>
    <w:p w14:paraId="1D971ABF" w14:textId="77777777" w:rsidR="00D1584C" w:rsidRPr="00E869A4" w:rsidRDefault="00D1584C" w:rsidP="00A35FF8">
      <w:pPr>
        <w:autoSpaceDE w:val="0"/>
        <w:autoSpaceDN w:val="0"/>
        <w:adjustRightInd w:val="0"/>
        <w:rPr>
          <w:rFonts w:ascii="Times New Roman" w:hAnsi="Times New Roman" w:cs="Times New Roman"/>
        </w:rPr>
      </w:pPr>
    </w:p>
    <w:tbl>
      <w:tblPr>
        <w:tblStyle w:val="MediumShading2-Accent11"/>
        <w:tblW w:w="9272"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944"/>
        <w:gridCol w:w="2971"/>
      </w:tblGrid>
      <w:tr w:rsidR="00C714D3" w:rsidRPr="00E869A4" w14:paraId="11C3A474" w14:textId="77777777" w:rsidTr="00B31BF1">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357" w:type="dxa"/>
          </w:tcPr>
          <w:p w14:paraId="48E9CDEE" w14:textId="77777777" w:rsidR="00D1584C" w:rsidRPr="008A5F7E" w:rsidRDefault="00D1584C" w:rsidP="00B31BF1">
            <w:pPr>
              <w:autoSpaceDE w:val="0"/>
              <w:autoSpaceDN w:val="0"/>
              <w:adjustRightInd w:val="0"/>
              <w:ind w:left="231" w:firstLine="30"/>
              <w:jc w:val="center"/>
              <w:rPr>
                <w:rFonts w:ascii="Times New Roman" w:hAnsi="Times New Roman" w:cs="Times New Roman"/>
                <w:caps/>
                <w:sz w:val="23"/>
                <w:szCs w:val="23"/>
              </w:rPr>
            </w:pPr>
            <w:r w:rsidRPr="008A5F7E">
              <w:rPr>
                <w:rFonts w:ascii="Times New Roman" w:hAnsi="Times New Roman" w:cs="Times New Roman"/>
                <w:caps/>
                <w:sz w:val="23"/>
                <w:szCs w:val="23"/>
              </w:rPr>
              <w:t>Participant Category</w:t>
            </w:r>
          </w:p>
        </w:tc>
        <w:tc>
          <w:tcPr>
            <w:tcW w:w="2944" w:type="dxa"/>
          </w:tcPr>
          <w:p w14:paraId="4C8DF44F" w14:textId="42EDE84A" w:rsidR="00D1584C" w:rsidRPr="008A5F7E" w:rsidRDefault="009E2738" w:rsidP="00B31BF1">
            <w:pPr>
              <w:autoSpaceDE w:val="0"/>
              <w:autoSpaceDN w:val="0"/>
              <w:adjustRightInd w:val="0"/>
              <w:ind w:left="231" w:firstLine="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A5F7E">
              <w:rPr>
                <w:rFonts w:ascii="Times New Roman" w:hAnsi="Times New Roman" w:cs="Times New Roman"/>
                <w:sz w:val="23"/>
                <w:szCs w:val="23"/>
              </w:rPr>
              <w:t>CARE RECIPIENT</w:t>
            </w:r>
            <w:r w:rsidR="00D1584C" w:rsidRPr="008A5F7E">
              <w:rPr>
                <w:rFonts w:ascii="Times New Roman" w:hAnsi="Times New Roman" w:cs="Times New Roman"/>
                <w:sz w:val="23"/>
                <w:szCs w:val="23"/>
              </w:rPr>
              <w:t xml:space="preserve"> (CR)</w:t>
            </w:r>
          </w:p>
        </w:tc>
        <w:tc>
          <w:tcPr>
            <w:tcW w:w="2971" w:type="dxa"/>
          </w:tcPr>
          <w:p w14:paraId="7CE25429" w14:textId="77777777" w:rsidR="00D1584C" w:rsidRPr="008A5F7E" w:rsidRDefault="00D1584C" w:rsidP="00B31BF1">
            <w:pPr>
              <w:autoSpaceDE w:val="0"/>
              <w:autoSpaceDN w:val="0"/>
              <w:adjustRightInd w:val="0"/>
              <w:ind w:left="231" w:firstLine="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8A5F7E">
              <w:rPr>
                <w:rFonts w:ascii="Times New Roman" w:hAnsi="Times New Roman" w:cs="Times New Roman"/>
                <w:sz w:val="23"/>
                <w:szCs w:val="23"/>
              </w:rPr>
              <w:t>CAREGIVER (CG)</w:t>
            </w:r>
          </w:p>
        </w:tc>
      </w:tr>
      <w:tr w:rsidR="00C714D3" w:rsidRPr="00E869A4" w14:paraId="4A12926F"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1988BDDA"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 xml:space="preserve">Name </w:t>
            </w:r>
          </w:p>
        </w:tc>
        <w:tc>
          <w:tcPr>
            <w:tcW w:w="2944" w:type="dxa"/>
          </w:tcPr>
          <w:p w14:paraId="2DE80127"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Wilton Benjamin</w:t>
            </w:r>
          </w:p>
        </w:tc>
        <w:tc>
          <w:tcPr>
            <w:tcW w:w="2971" w:type="dxa"/>
          </w:tcPr>
          <w:p w14:paraId="38810E69"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Samuel Birch</w:t>
            </w:r>
          </w:p>
        </w:tc>
      </w:tr>
      <w:tr w:rsidR="00C714D3" w:rsidRPr="00E869A4" w14:paraId="66063A9A"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45888052"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Relationship</w:t>
            </w:r>
          </w:p>
        </w:tc>
        <w:tc>
          <w:tcPr>
            <w:tcW w:w="2944" w:type="dxa"/>
          </w:tcPr>
          <w:p w14:paraId="20AF9505"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Friend</w:t>
            </w:r>
          </w:p>
        </w:tc>
        <w:tc>
          <w:tcPr>
            <w:tcW w:w="2971" w:type="dxa"/>
          </w:tcPr>
          <w:p w14:paraId="0AF4A262"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Friend</w:t>
            </w:r>
          </w:p>
        </w:tc>
      </w:tr>
      <w:tr w:rsidR="00C714D3" w:rsidRPr="00E869A4" w14:paraId="1FC374DA"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18031E35"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Age</w:t>
            </w:r>
          </w:p>
        </w:tc>
        <w:tc>
          <w:tcPr>
            <w:tcW w:w="2944" w:type="dxa"/>
          </w:tcPr>
          <w:p w14:paraId="4AAA9F2F"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99</w:t>
            </w:r>
          </w:p>
        </w:tc>
        <w:tc>
          <w:tcPr>
            <w:tcW w:w="2971" w:type="dxa"/>
          </w:tcPr>
          <w:p w14:paraId="0EA9B64E"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60-69</w:t>
            </w:r>
          </w:p>
        </w:tc>
      </w:tr>
      <w:tr w:rsidR="00C714D3" w:rsidRPr="00E869A4" w14:paraId="5F7A6EAD"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2866909C"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Gender</w:t>
            </w:r>
          </w:p>
        </w:tc>
        <w:tc>
          <w:tcPr>
            <w:tcW w:w="2944" w:type="dxa"/>
          </w:tcPr>
          <w:p w14:paraId="01C67A1B"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Male</w:t>
            </w:r>
          </w:p>
        </w:tc>
        <w:tc>
          <w:tcPr>
            <w:tcW w:w="2971" w:type="dxa"/>
          </w:tcPr>
          <w:p w14:paraId="36471196"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Male</w:t>
            </w:r>
          </w:p>
        </w:tc>
      </w:tr>
      <w:tr w:rsidR="00C714D3" w:rsidRPr="00E869A4" w14:paraId="2C96AB55"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76F4C2C1"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Ethnicity</w:t>
            </w:r>
          </w:p>
        </w:tc>
        <w:tc>
          <w:tcPr>
            <w:tcW w:w="2944" w:type="dxa"/>
          </w:tcPr>
          <w:p w14:paraId="26E05323"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 Caribbean</w:t>
            </w:r>
            <w:r w:rsidRPr="00E869A4">
              <w:rPr>
                <w:rStyle w:val="FootnoteReference"/>
                <w:rFonts w:ascii="Times New Roman" w:hAnsi="Times New Roman" w:cs="Times New Roman"/>
                <w:sz w:val="23"/>
                <w:szCs w:val="23"/>
              </w:rPr>
              <w:footnoteReference w:id="136"/>
            </w:r>
          </w:p>
        </w:tc>
        <w:tc>
          <w:tcPr>
            <w:tcW w:w="2971" w:type="dxa"/>
          </w:tcPr>
          <w:p w14:paraId="06E22449"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 Trinidadian</w:t>
            </w:r>
          </w:p>
        </w:tc>
      </w:tr>
      <w:tr w:rsidR="00C714D3" w:rsidRPr="00E869A4" w14:paraId="3299F186"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2B37B92B"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Education</w:t>
            </w:r>
          </w:p>
        </w:tc>
        <w:tc>
          <w:tcPr>
            <w:tcW w:w="2944" w:type="dxa"/>
          </w:tcPr>
          <w:p w14:paraId="13C75F92"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Primary School</w:t>
            </w:r>
          </w:p>
        </w:tc>
        <w:tc>
          <w:tcPr>
            <w:tcW w:w="2971" w:type="dxa"/>
          </w:tcPr>
          <w:p w14:paraId="62AA1950"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Primary School</w:t>
            </w:r>
          </w:p>
        </w:tc>
      </w:tr>
      <w:tr w:rsidR="00C714D3" w:rsidRPr="00E869A4" w14:paraId="6766EFF6"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56D364E4"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Employment History / Status</w:t>
            </w:r>
          </w:p>
        </w:tc>
        <w:tc>
          <w:tcPr>
            <w:tcW w:w="2944" w:type="dxa"/>
          </w:tcPr>
          <w:p w14:paraId="06D2560C"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Labourer; Landlord</w:t>
            </w:r>
          </w:p>
        </w:tc>
        <w:tc>
          <w:tcPr>
            <w:tcW w:w="2971" w:type="dxa"/>
          </w:tcPr>
          <w:p w14:paraId="4E3BCE52"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General Worker</w:t>
            </w:r>
          </w:p>
        </w:tc>
      </w:tr>
      <w:tr w:rsidR="00C714D3" w:rsidRPr="00E869A4" w14:paraId="3F695B8A"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731097D7"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Marital Status</w:t>
            </w:r>
          </w:p>
        </w:tc>
        <w:tc>
          <w:tcPr>
            <w:tcW w:w="2944" w:type="dxa"/>
          </w:tcPr>
          <w:p w14:paraId="5E9E0D63"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Widowed</w:t>
            </w:r>
          </w:p>
        </w:tc>
        <w:tc>
          <w:tcPr>
            <w:tcW w:w="2971" w:type="dxa"/>
          </w:tcPr>
          <w:p w14:paraId="70747996"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Common - Law</w:t>
            </w:r>
          </w:p>
        </w:tc>
      </w:tr>
      <w:tr w:rsidR="00C714D3" w:rsidRPr="00E869A4" w14:paraId="602F6F2A"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47E99446"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Number of Sons</w:t>
            </w:r>
          </w:p>
        </w:tc>
        <w:tc>
          <w:tcPr>
            <w:tcW w:w="2944" w:type="dxa"/>
          </w:tcPr>
          <w:p w14:paraId="66EA24C8"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c>
          <w:tcPr>
            <w:tcW w:w="2971" w:type="dxa"/>
          </w:tcPr>
          <w:p w14:paraId="3F920750"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24FC159A"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16C875B4"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Number of Daughters</w:t>
            </w:r>
          </w:p>
        </w:tc>
        <w:tc>
          <w:tcPr>
            <w:tcW w:w="2944" w:type="dxa"/>
          </w:tcPr>
          <w:p w14:paraId="23582CE5"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c>
          <w:tcPr>
            <w:tcW w:w="2971" w:type="dxa"/>
          </w:tcPr>
          <w:p w14:paraId="08BF1101"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4101E0A9"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75D57E4C"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Total # Surviving Children</w:t>
            </w:r>
          </w:p>
        </w:tc>
        <w:tc>
          <w:tcPr>
            <w:tcW w:w="2944" w:type="dxa"/>
          </w:tcPr>
          <w:p w14:paraId="1A5B2325"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c>
          <w:tcPr>
            <w:tcW w:w="2971" w:type="dxa"/>
          </w:tcPr>
          <w:p w14:paraId="35600DE5"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r>
      <w:tr w:rsidR="00C714D3" w:rsidRPr="00E869A4" w14:paraId="1058E344"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00147E67"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Level of Dependency / Care Activities</w:t>
            </w:r>
          </w:p>
        </w:tc>
        <w:tc>
          <w:tcPr>
            <w:tcW w:w="2944" w:type="dxa"/>
          </w:tcPr>
          <w:p w14:paraId="2D41E214"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Moderately Dependent</w:t>
            </w:r>
          </w:p>
        </w:tc>
        <w:tc>
          <w:tcPr>
            <w:tcW w:w="2971" w:type="dxa"/>
          </w:tcPr>
          <w:p w14:paraId="538AD6A2"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IADL</w:t>
            </w:r>
          </w:p>
        </w:tc>
      </w:tr>
      <w:tr w:rsidR="00C714D3" w:rsidRPr="00E869A4" w14:paraId="0B5760F5"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3D135616"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Health Challenges / Care provided</w:t>
            </w:r>
          </w:p>
        </w:tc>
        <w:tc>
          <w:tcPr>
            <w:tcW w:w="2944" w:type="dxa"/>
          </w:tcPr>
          <w:p w14:paraId="29DA4E2E"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Diabetes </w:t>
            </w:r>
          </w:p>
          <w:p w14:paraId="36F5F96D"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Visually impaired</w:t>
            </w:r>
          </w:p>
          <w:p w14:paraId="156EA5B7"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Hearing impaired</w:t>
            </w:r>
          </w:p>
        </w:tc>
        <w:tc>
          <w:tcPr>
            <w:tcW w:w="2971" w:type="dxa"/>
          </w:tcPr>
          <w:p w14:paraId="50D80C29"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tc>
      </w:tr>
      <w:tr w:rsidR="00C714D3" w:rsidRPr="00E869A4" w14:paraId="03CCD9D0"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322F453C"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Time Spent Providing Informal Care to CR</w:t>
            </w:r>
          </w:p>
        </w:tc>
        <w:tc>
          <w:tcPr>
            <w:tcW w:w="2944" w:type="dxa"/>
          </w:tcPr>
          <w:p w14:paraId="5A7FEB68"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2971" w:type="dxa"/>
          </w:tcPr>
          <w:p w14:paraId="7876E219"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 years or longer as a secondary caregiver</w:t>
            </w:r>
          </w:p>
        </w:tc>
      </w:tr>
      <w:tr w:rsidR="00C714D3" w:rsidRPr="00E869A4" w14:paraId="009C964A"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64CCB66F"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Location in T&amp;T</w:t>
            </w:r>
            <w:r w:rsidRPr="008A5F7E">
              <w:rPr>
                <w:rStyle w:val="FootnoteReference"/>
                <w:rFonts w:ascii="Times New Roman" w:hAnsi="Times New Roman" w:cs="Times New Roman"/>
                <w:sz w:val="23"/>
                <w:szCs w:val="23"/>
              </w:rPr>
              <w:footnoteReference w:id="137"/>
            </w:r>
          </w:p>
        </w:tc>
        <w:tc>
          <w:tcPr>
            <w:tcW w:w="2944" w:type="dxa"/>
          </w:tcPr>
          <w:p w14:paraId="1C7FB12B"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West</w:t>
            </w:r>
          </w:p>
        </w:tc>
        <w:tc>
          <w:tcPr>
            <w:tcW w:w="2971" w:type="dxa"/>
          </w:tcPr>
          <w:p w14:paraId="69BC8739"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West</w:t>
            </w:r>
          </w:p>
        </w:tc>
      </w:tr>
      <w:tr w:rsidR="00C714D3" w:rsidRPr="00E869A4" w14:paraId="4CF8E207"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123E3CAC"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 xml:space="preserve">Access to Home / Distance </w:t>
            </w:r>
            <w:r w:rsidRPr="008A5F7E">
              <w:rPr>
                <w:rFonts w:ascii="Times New Roman" w:hAnsi="Times New Roman" w:cs="Times New Roman"/>
                <w:sz w:val="23"/>
                <w:szCs w:val="23"/>
              </w:rPr>
              <w:lastRenderedPageBreak/>
              <w:t>between residence of CR &amp; CG</w:t>
            </w:r>
          </w:p>
        </w:tc>
        <w:tc>
          <w:tcPr>
            <w:tcW w:w="2944" w:type="dxa"/>
          </w:tcPr>
          <w:p w14:paraId="78AA5744"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 xml:space="preserve">Unpaved narrow path on </w:t>
            </w:r>
            <w:r w:rsidRPr="00E869A4">
              <w:rPr>
                <w:rFonts w:ascii="Times New Roman" w:hAnsi="Times New Roman" w:cs="Times New Roman"/>
                <w:sz w:val="23"/>
                <w:szCs w:val="23"/>
              </w:rPr>
              <w:lastRenderedPageBreak/>
              <w:t>hilly terrain</w:t>
            </w:r>
          </w:p>
        </w:tc>
        <w:tc>
          <w:tcPr>
            <w:tcW w:w="2971" w:type="dxa"/>
          </w:tcPr>
          <w:p w14:paraId="39E2CDAB"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 xml:space="preserve">Separate house 2 minute </w:t>
            </w:r>
            <w:r w:rsidRPr="00E869A4">
              <w:rPr>
                <w:rFonts w:ascii="Times New Roman" w:hAnsi="Times New Roman" w:cs="Times New Roman"/>
                <w:sz w:val="23"/>
                <w:szCs w:val="23"/>
              </w:rPr>
              <w:lastRenderedPageBreak/>
              <w:t>walk away.</w:t>
            </w:r>
          </w:p>
        </w:tc>
      </w:tr>
      <w:tr w:rsidR="00C714D3" w:rsidRPr="00E869A4" w14:paraId="31159925"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0303F645"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lastRenderedPageBreak/>
              <w:t>Lives Alone</w:t>
            </w:r>
          </w:p>
        </w:tc>
        <w:tc>
          <w:tcPr>
            <w:tcW w:w="2944" w:type="dxa"/>
          </w:tcPr>
          <w:p w14:paraId="4A0B72BB"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w:t>
            </w:r>
          </w:p>
        </w:tc>
        <w:tc>
          <w:tcPr>
            <w:tcW w:w="2971" w:type="dxa"/>
          </w:tcPr>
          <w:p w14:paraId="343D5C95" w14:textId="77777777" w:rsidR="00D1584C" w:rsidRPr="00E869A4" w:rsidRDefault="00D1584C" w:rsidP="00B31BF1">
            <w:pPr>
              <w:autoSpaceDE w:val="0"/>
              <w:autoSpaceDN w:val="0"/>
              <w:adjustRightInd w:val="0"/>
              <w:ind w:left="231"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C714D3" w:rsidRPr="00E869A4" w14:paraId="0F038B37"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24A0F231"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Other Property Info.</w:t>
            </w:r>
          </w:p>
        </w:tc>
        <w:tc>
          <w:tcPr>
            <w:tcW w:w="5915" w:type="dxa"/>
            <w:gridSpan w:val="2"/>
          </w:tcPr>
          <w:p w14:paraId="4D77FBCB"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Uncle Wilton lived in a Multi-storey property. His residential quarters were at ‘street’ level. The downstairs quarters were situated below street level and rented. He owned at least 1 other property next door where apartments were rented. His niece Tricia lived there and was carded to inherit his material possessions. </w:t>
            </w:r>
          </w:p>
        </w:tc>
      </w:tr>
      <w:tr w:rsidR="00C714D3" w:rsidRPr="00E869A4" w14:paraId="57FC4FC4"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1600891C"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Support from Family Overseas</w:t>
            </w:r>
          </w:p>
        </w:tc>
        <w:tc>
          <w:tcPr>
            <w:tcW w:w="5915" w:type="dxa"/>
            <w:gridSpan w:val="2"/>
          </w:tcPr>
          <w:p w14:paraId="2D98BFA1" w14:textId="77777777" w:rsidR="00D1584C" w:rsidRPr="00E869A4" w:rsidRDefault="00D1584C" w:rsidP="009D4C5D">
            <w:pPr>
              <w:pStyle w:val="ListParagraph"/>
              <w:numPr>
                <w:ilvl w:val="0"/>
                <w:numId w:val="34"/>
              </w:numPr>
              <w:autoSpaceDE w:val="0"/>
              <w:autoSpaceDN w:val="0"/>
              <w:adjustRightInd w:val="0"/>
              <w:ind w:left="231" w:firstLine="21"/>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w:t>
            </w:r>
          </w:p>
        </w:tc>
      </w:tr>
      <w:tr w:rsidR="00C714D3" w:rsidRPr="00E869A4" w14:paraId="3E4BF98A"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058CE899"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Support from other relatives locally</w:t>
            </w:r>
          </w:p>
        </w:tc>
        <w:tc>
          <w:tcPr>
            <w:tcW w:w="5915" w:type="dxa"/>
            <w:gridSpan w:val="2"/>
          </w:tcPr>
          <w:p w14:paraId="09C3F99F" w14:textId="77777777" w:rsidR="00D1584C" w:rsidRPr="00E869A4" w:rsidRDefault="00D1584C" w:rsidP="009D4C5D">
            <w:pPr>
              <w:pStyle w:val="ListParagraph"/>
              <w:numPr>
                <w:ilvl w:val="0"/>
                <w:numId w:val="34"/>
              </w:numPr>
              <w:autoSpaceDE w:val="0"/>
              <w:autoSpaceDN w:val="0"/>
              <w:adjustRightInd w:val="0"/>
              <w:ind w:left="231" w:firstLine="21"/>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Yes </w:t>
            </w:r>
          </w:p>
        </w:tc>
      </w:tr>
      <w:tr w:rsidR="00C714D3" w:rsidRPr="00E869A4" w14:paraId="7E5B7E36" w14:textId="77777777" w:rsidTr="00B31B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7" w:type="dxa"/>
          </w:tcPr>
          <w:p w14:paraId="03B1067E" w14:textId="77777777" w:rsidR="00D1584C" w:rsidRPr="008A5F7E" w:rsidRDefault="00D1584C" w:rsidP="00B31BF1">
            <w:pPr>
              <w:autoSpaceDE w:val="0"/>
              <w:autoSpaceDN w:val="0"/>
              <w:adjustRightInd w:val="0"/>
              <w:ind w:left="110" w:firstLine="0"/>
              <w:rPr>
                <w:rFonts w:ascii="Times New Roman" w:hAnsi="Times New Roman" w:cs="Times New Roman"/>
                <w:sz w:val="23"/>
                <w:szCs w:val="23"/>
              </w:rPr>
            </w:pPr>
            <w:r w:rsidRPr="008A5F7E">
              <w:rPr>
                <w:rFonts w:ascii="Times New Roman" w:hAnsi="Times New Roman" w:cs="Times New Roman"/>
                <w:sz w:val="23"/>
                <w:szCs w:val="23"/>
              </w:rPr>
              <w:t>Other Caregivers</w:t>
            </w:r>
          </w:p>
        </w:tc>
        <w:tc>
          <w:tcPr>
            <w:tcW w:w="5915" w:type="dxa"/>
            <w:gridSpan w:val="2"/>
          </w:tcPr>
          <w:p w14:paraId="3952BDB5" w14:textId="77777777" w:rsidR="00D1584C" w:rsidRPr="00E869A4" w:rsidRDefault="00D1584C" w:rsidP="009D4C5D">
            <w:pPr>
              <w:pStyle w:val="ListParagraph"/>
              <w:numPr>
                <w:ilvl w:val="0"/>
                <w:numId w:val="31"/>
              </w:numPr>
              <w:autoSpaceDE w:val="0"/>
              <w:autoSpaceDN w:val="0"/>
              <w:adjustRightInd w:val="0"/>
              <w:ind w:left="231" w:firstLine="21"/>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Tricia (Niece / God –daughter &amp; Primary caregiver)</w:t>
            </w:r>
          </w:p>
          <w:p w14:paraId="3644897E" w14:textId="77777777" w:rsidR="00D1584C" w:rsidRPr="00E869A4" w:rsidRDefault="00D1584C" w:rsidP="009D4C5D">
            <w:pPr>
              <w:pStyle w:val="ListParagraph"/>
              <w:numPr>
                <w:ilvl w:val="0"/>
                <w:numId w:val="31"/>
              </w:numPr>
              <w:autoSpaceDE w:val="0"/>
              <w:autoSpaceDN w:val="0"/>
              <w:adjustRightInd w:val="0"/>
              <w:ind w:left="677" w:hanging="42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Ann (unclear relationship; she is referred to as his so-called daughter as Uncle Wilton is not convinced that she is his biological daughter)  </w:t>
            </w:r>
          </w:p>
        </w:tc>
      </w:tr>
      <w:tr w:rsidR="00C714D3" w:rsidRPr="00E869A4" w14:paraId="3E541FEB" w14:textId="77777777" w:rsidTr="00B31BF1">
        <w:trPr>
          <w:jc w:val="center"/>
        </w:trPr>
        <w:tc>
          <w:tcPr>
            <w:cnfStyle w:val="001000000000" w:firstRow="0" w:lastRow="0" w:firstColumn="1" w:lastColumn="0" w:oddVBand="0" w:evenVBand="0" w:oddHBand="0" w:evenHBand="0" w:firstRowFirstColumn="0" w:firstRowLastColumn="0" w:lastRowFirstColumn="0" w:lastRowLastColumn="0"/>
            <w:tcW w:w="3357" w:type="dxa"/>
          </w:tcPr>
          <w:p w14:paraId="1705DCD9" w14:textId="77777777" w:rsidR="00D1584C" w:rsidRPr="008A5F7E" w:rsidRDefault="00D1584C" w:rsidP="00B31BF1">
            <w:pPr>
              <w:autoSpaceDE w:val="0"/>
              <w:autoSpaceDN w:val="0"/>
              <w:adjustRightInd w:val="0"/>
              <w:ind w:left="110" w:firstLine="21"/>
              <w:rPr>
                <w:rFonts w:ascii="Times New Roman" w:hAnsi="Times New Roman" w:cs="Times New Roman"/>
                <w:sz w:val="23"/>
                <w:szCs w:val="23"/>
              </w:rPr>
            </w:pPr>
            <w:r w:rsidRPr="008A5F7E">
              <w:rPr>
                <w:rFonts w:ascii="Times New Roman" w:hAnsi="Times New Roman" w:cs="Times New Roman"/>
                <w:sz w:val="23"/>
                <w:szCs w:val="23"/>
              </w:rPr>
              <w:t>Paid Caregivers</w:t>
            </w:r>
          </w:p>
        </w:tc>
        <w:tc>
          <w:tcPr>
            <w:tcW w:w="5915" w:type="dxa"/>
            <w:gridSpan w:val="2"/>
          </w:tcPr>
          <w:p w14:paraId="56F634CA" w14:textId="77777777" w:rsidR="00D1584C" w:rsidRPr="00E869A4" w:rsidRDefault="00D1584C" w:rsidP="00B31BF1">
            <w:pPr>
              <w:autoSpaceDE w:val="0"/>
              <w:autoSpaceDN w:val="0"/>
              <w:adjustRightInd w:val="0"/>
              <w:ind w:left="231"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None</w:t>
            </w:r>
          </w:p>
        </w:tc>
      </w:tr>
    </w:tbl>
    <w:p w14:paraId="3C5961D9" w14:textId="77777777" w:rsidR="00D1584C" w:rsidRPr="00E869A4" w:rsidRDefault="00D1584C" w:rsidP="00A35FF8">
      <w:pPr>
        <w:rPr>
          <w:rFonts w:ascii="Times New Roman" w:hAnsi="Times New Roman" w:cs="Times New Roman"/>
        </w:rPr>
      </w:pPr>
    </w:p>
    <w:p w14:paraId="4C0B95C0" w14:textId="2CE70817" w:rsidR="00D1584C" w:rsidRPr="00E869A4" w:rsidRDefault="00D1584C" w:rsidP="00A35FF8">
      <w:pPr>
        <w:ind w:firstLine="720"/>
        <w:rPr>
          <w:rStyle w:val="Strong"/>
          <w:rFonts w:ascii="Times New Roman" w:eastAsiaTheme="majorEastAsia" w:hAnsi="Times New Roman" w:cs="Times New Roman"/>
          <w:b w:val="0"/>
          <w:bCs w:val="0"/>
        </w:rPr>
      </w:pPr>
      <w:r w:rsidRPr="00E869A4">
        <w:rPr>
          <w:rStyle w:val="Strong"/>
          <w:rFonts w:ascii="Times New Roman" w:eastAsiaTheme="majorEastAsia" w:hAnsi="Times New Roman" w:cs="Times New Roman"/>
          <w:b w:val="0"/>
        </w:rPr>
        <w:t xml:space="preserve">Uncle Wilton lived on his own in a upper-low income community. He had family members living on either side of him. His primary caregiver was his niece and </w:t>
      </w:r>
      <w:r w:rsidR="00650EDC" w:rsidRPr="00E869A4">
        <w:rPr>
          <w:rStyle w:val="Strong"/>
          <w:rFonts w:ascii="Times New Roman" w:eastAsiaTheme="majorEastAsia" w:hAnsi="Times New Roman" w:cs="Times New Roman"/>
          <w:b w:val="0"/>
        </w:rPr>
        <w:t>goddaughter</w:t>
      </w:r>
      <w:r w:rsidRPr="00E869A4">
        <w:rPr>
          <w:rStyle w:val="Strong"/>
          <w:rFonts w:ascii="Times New Roman" w:eastAsiaTheme="majorEastAsia" w:hAnsi="Times New Roman" w:cs="Times New Roman"/>
          <w:b w:val="0"/>
        </w:rPr>
        <w:t xml:space="preserve"> (Tricia) who lived in a house that he owned next door</w:t>
      </w:r>
      <w:r w:rsidR="00650EDC" w:rsidRPr="00E869A4">
        <w:rPr>
          <w:rStyle w:val="Strong"/>
          <w:rFonts w:ascii="Times New Roman" w:eastAsiaTheme="majorEastAsia" w:hAnsi="Times New Roman" w:cs="Times New Roman"/>
          <w:b w:val="0"/>
        </w:rPr>
        <w:t xml:space="preserve"> to him</w:t>
      </w:r>
      <w:r w:rsidRPr="00E869A4">
        <w:rPr>
          <w:rStyle w:val="Strong"/>
          <w:rFonts w:ascii="Times New Roman" w:eastAsiaTheme="majorEastAsia" w:hAnsi="Times New Roman" w:cs="Times New Roman"/>
          <w:b w:val="0"/>
        </w:rPr>
        <w:t xml:space="preserve">. Tricia worked in the day and had to care for her three (3) young children. She made sure that Uncle Wilton received his meals, and did some of his shopping and business transactions for him. Uncle Wilton’s friend and neighbour (Mr. Birch) provided him with secondary care support. Mr. Birch went with Uncle Wilton to his medical appointments and did errands for him such as paying bills and purchasing items. He was pleased that Uncle Wilton trusted him, and made sure to be accountable to him with any money he was entrusted with. He was, for the most part, happy to help Uncle Wilton. Despite their age difference, they were good friends for many years. Mr. Birch was grateful for the support he received from Uncle Wilton in previous times so he was willing to reciprocate care support when his health began to decline after his wife died. </w:t>
      </w:r>
    </w:p>
    <w:p w14:paraId="362E1626" w14:textId="77777777" w:rsidR="00650EDC" w:rsidRPr="00E869A4" w:rsidRDefault="00650EDC" w:rsidP="00A35FF8">
      <w:pPr>
        <w:ind w:firstLine="720"/>
        <w:rPr>
          <w:rStyle w:val="Strong"/>
          <w:rFonts w:ascii="Times New Roman" w:eastAsiaTheme="majorEastAsia" w:hAnsi="Times New Roman" w:cs="Times New Roman"/>
          <w:b w:val="0"/>
        </w:rPr>
      </w:pPr>
    </w:p>
    <w:p w14:paraId="737CD15F" w14:textId="51590D1D" w:rsidR="00D1584C" w:rsidRPr="00E869A4" w:rsidRDefault="00D1584C" w:rsidP="00A35FF8">
      <w:pPr>
        <w:ind w:firstLine="720"/>
        <w:rPr>
          <w:rStyle w:val="Strong"/>
          <w:rFonts w:ascii="Times New Roman" w:eastAsiaTheme="majorEastAsia" w:hAnsi="Times New Roman" w:cs="Times New Roman"/>
          <w:b w:val="0"/>
          <w:bCs w:val="0"/>
        </w:rPr>
      </w:pPr>
      <w:r w:rsidRPr="00E869A4">
        <w:rPr>
          <w:rStyle w:val="Strong"/>
          <w:rFonts w:ascii="Times New Roman" w:eastAsiaTheme="majorEastAsia" w:hAnsi="Times New Roman" w:cs="Times New Roman"/>
          <w:b w:val="0"/>
        </w:rPr>
        <w:t xml:space="preserve">Uncle Wilton also received assistance from Ann, a woman he referred to as his </w:t>
      </w:r>
      <w:r w:rsidR="00650EDC" w:rsidRPr="00E869A4">
        <w:rPr>
          <w:rStyle w:val="Strong"/>
          <w:rFonts w:ascii="Times New Roman" w:eastAsiaTheme="majorEastAsia" w:hAnsi="Times New Roman" w:cs="Times New Roman"/>
          <w:b w:val="0"/>
        </w:rPr>
        <w:t>‘</w:t>
      </w:r>
      <w:r w:rsidRPr="00E869A4">
        <w:rPr>
          <w:rStyle w:val="Strong"/>
          <w:rFonts w:ascii="Times New Roman" w:eastAsiaTheme="majorEastAsia" w:hAnsi="Times New Roman" w:cs="Times New Roman"/>
          <w:b w:val="0"/>
          <w:i/>
        </w:rPr>
        <w:t>so-called</w:t>
      </w:r>
      <w:r w:rsidR="00650EDC" w:rsidRPr="00E869A4">
        <w:rPr>
          <w:rStyle w:val="Strong"/>
          <w:rFonts w:ascii="Times New Roman" w:eastAsiaTheme="majorEastAsia" w:hAnsi="Times New Roman" w:cs="Times New Roman"/>
          <w:b w:val="0"/>
        </w:rPr>
        <w:t>’</w:t>
      </w:r>
      <w:r w:rsidRPr="00E869A4">
        <w:rPr>
          <w:rStyle w:val="Strong"/>
          <w:rFonts w:ascii="Times New Roman" w:eastAsiaTheme="majorEastAsia" w:hAnsi="Times New Roman" w:cs="Times New Roman"/>
          <w:b w:val="0"/>
        </w:rPr>
        <w:t xml:space="preserve"> daughter. As far as Uncle Wilton was concerned, Ann could not be his daughter because, based on his beliefs, when his first child died, the way he treated with the body, it was impossible for him to have another. Subsequent to the baby’s death, his wife who married some time afterwards, was never able to </w:t>
      </w:r>
      <w:r w:rsidRPr="00E869A4">
        <w:rPr>
          <w:rStyle w:val="Strong"/>
          <w:rFonts w:ascii="Times New Roman" w:eastAsiaTheme="majorEastAsia" w:hAnsi="Times New Roman" w:cs="Times New Roman"/>
          <w:b w:val="0"/>
        </w:rPr>
        <w:lastRenderedPageBreak/>
        <w:t xml:space="preserve">conceive a child for him, thus confirming his suspicions about his infertility. </w:t>
      </w:r>
      <w:r w:rsidR="00650EDC" w:rsidRPr="00E869A4">
        <w:rPr>
          <w:rStyle w:val="Strong"/>
          <w:rFonts w:ascii="Times New Roman" w:eastAsiaTheme="majorEastAsia" w:hAnsi="Times New Roman" w:cs="Times New Roman"/>
          <w:b w:val="0"/>
        </w:rPr>
        <w:t xml:space="preserve">However, they raised their niece ‘Maria’ as if she were their own daughter. </w:t>
      </w:r>
    </w:p>
    <w:p w14:paraId="15480559" w14:textId="77777777" w:rsidR="00650EDC" w:rsidRPr="00E869A4" w:rsidRDefault="00650EDC" w:rsidP="00710A04">
      <w:pPr>
        <w:spacing w:line="240" w:lineRule="auto"/>
        <w:rPr>
          <w:rStyle w:val="Strong"/>
          <w:rFonts w:ascii="Times New Roman" w:eastAsiaTheme="majorEastAsia" w:hAnsi="Times New Roman" w:cs="Times New Roman"/>
          <w:b w:val="0"/>
          <w:i/>
        </w:rPr>
      </w:pPr>
    </w:p>
    <w:p w14:paraId="16791590" w14:textId="68F96BC4" w:rsidR="00D1584C" w:rsidRPr="00E869A4" w:rsidRDefault="00D1584C" w:rsidP="00181559">
      <w:pPr>
        <w:spacing w:line="240" w:lineRule="auto"/>
        <w:ind w:left="567" w:firstLine="0"/>
        <w:rPr>
          <w:rStyle w:val="Strong"/>
          <w:rFonts w:ascii="Times New Roman" w:eastAsiaTheme="majorEastAsia" w:hAnsi="Times New Roman" w:cs="Times New Roman"/>
          <w:b w:val="0"/>
          <w:bCs w:val="0"/>
        </w:rPr>
      </w:pPr>
      <w:r w:rsidRPr="00E869A4">
        <w:rPr>
          <w:rStyle w:val="Strong"/>
          <w:rFonts w:ascii="Times New Roman" w:eastAsiaTheme="majorEastAsia" w:hAnsi="Times New Roman" w:cs="Times New Roman"/>
          <w:b w:val="0"/>
        </w:rPr>
        <w:t xml:space="preserve">Now de problem wid me, my first </w:t>
      </w:r>
      <w:r w:rsidR="00650EDC" w:rsidRPr="00E869A4">
        <w:rPr>
          <w:rStyle w:val="Strong"/>
          <w:rFonts w:ascii="Times New Roman" w:eastAsiaTheme="majorEastAsia" w:hAnsi="Times New Roman" w:cs="Times New Roman"/>
          <w:b w:val="0"/>
        </w:rPr>
        <w:t>chile …</w:t>
      </w:r>
      <w:r w:rsidRPr="00E869A4">
        <w:rPr>
          <w:rStyle w:val="Strong"/>
          <w:rFonts w:ascii="Times New Roman" w:eastAsiaTheme="majorEastAsia" w:hAnsi="Times New Roman" w:cs="Times New Roman"/>
          <w:b w:val="0"/>
        </w:rPr>
        <w:t xml:space="preserve"> was born dead.</w:t>
      </w:r>
      <w:r w:rsidR="00B926C3" w:rsidRPr="00E869A4">
        <w:rPr>
          <w:rStyle w:val="Strong"/>
          <w:rFonts w:ascii="Times New Roman" w:eastAsiaTheme="majorEastAsia" w:hAnsi="Times New Roman" w:cs="Times New Roman"/>
          <w:b w:val="0"/>
        </w:rPr>
        <w:t xml:space="preserve"> </w:t>
      </w:r>
      <w:r w:rsidRPr="00E869A4">
        <w:rPr>
          <w:rStyle w:val="Strong"/>
          <w:rFonts w:ascii="Times New Roman" w:eastAsiaTheme="majorEastAsia" w:hAnsi="Times New Roman" w:cs="Times New Roman"/>
          <w:b w:val="0"/>
        </w:rPr>
        <w:t xml:space="preserve">I had was to take it to de station to report it and … I had de head in front [of my bike] and de ole people told </w:t>
      </w:r>
      <w:proofErr w:type="spellStart"/>
      <w:r w:rsidRPr="00E869A4">
        <w:rPr>
          <w:rStyle w:val="Strong"/>
          <w:rFonts w:ascii="Times New Roman" w:eastAsiaTheme="majorEastAsia" w:hAnsi="Times New Roman" w:cs="Times New Roman"/>
          <w:b w:val="0"/>
        </w:rPr>
        <w:t>meh</w:t>
      </w:r>
      <w:proofErr w:type="spellEnd"/>
      <w:r w:rsidRPr="00E869A4">
        <w:rPr>
          <w:rStyle w:val="Strong"/>
          <w:rFonts w:ascii="Times New Roman" w:eastAsiaTheme="majorEastAsia" w:hAnsi="Times New Roman" w:cs="Times New Roman"/>
          <w:b w:val="0"/>
        </w:rPr>
        <w:t xml:space="preserve"> dat, </w:t>
      </w:r>
      <w:proofErr w:type="spellStart"/>
      <w:r w:rsidRPr="00E869A4">
        <w:rPr>
          <w:rStyle w:val="Strong"/>
          <w:rFonts w:ascii="Times New Roman" w:eastAsiaTheme="majorEastAsia" w:hAnsi="Times New Roman" w:cs="Times New Roman"/>
          <w:b w:val="0"/>
        </w:rPr>
        <w:t>everyone</w:t>
      </w:r>
      <w:proofErr w:type="spellEnd"/>
      <w:r w:rsidRPr="00E869A4">
        <w:rPr>
          <w:rStyle w:val="Strong"/>
          <w:rFonts w:ascii="Times New Roman" w:eastAsiaTheme="majorEastAsia" w:hAnsi="Times New Roman" w:cs="Times New Roman"/>
          <w:b w:val="0"/>
        </w:rPr>
        <w:t xml:space="preserve"> of my children [will be stillborn] [because of that]. I did not know I had was to travel with de [dead child] foot in front</w:t>
      </w:r>
      <w:r w:rsidR="00181559" w:rsidRPr="00E869A4">
        <w:rPr>
          <w:rStyle w:val="Strong"/>
          <w:rFonts w:ascii="Times New Roman" w:eastAsiaTheme="majorEastAsia" w:hAnsi="Times New Roman" w:cs="Times New Roman"/>
          <w:b w:val="0"/>
        </w:rPr>
        <w:t xml:space="preserve"> </w:t>
      </w:r>
      <w:r w:rsidRPr="00E869A4">
        <w:rPr>
          <w:rStyle w:val="Strong"/>
          <w:rFonts w:ascii="Times New Roman" w:eastAsiaTheme="majorEastAsia" w:hAnsi="Times New Roman" w:cs="Times New Roman"/>
          <w:b w:val="0"/>
        </w:rPr>
        <w:t>… and so said so done</w:t>
      </w:r>
      <w:r w:rsidR="00181559" w:rsidRPr="00E869A4">
        <w:rPr>
          <w:rStyle w:val="Strong"/>
          <w:rFonts w:ascii="Times New Roman" w:eastAsiaTheme="majorEastAsia" w:hAnsi="Times New Roman" w:cs="Times New Roman"/>
          <w:b w:val="0"/>
        </w:rPr>
        <w:t xml:space="preserve"> </w:t>
      </w:r>
      <w:r w:rsidR="005F7E01" w:rsidRPr="00E869A4">
        <w:rPr>
          <w:rStyle w:val="Strong"/>
          <w:rFonts w:ascii="Times New Roman" w:eastAsiaTheme="majorEastAsia" w:hAnsi="Times New Roman" w:cs="Times New Roman"/>
          <w:b w:val="0"/>
        </w:rPr>
        <w:t>…</w:t>
      </w:r>
      <w:r w:rsidRPr="00E869A4">
        <w:rPr>
          <w:rStyle w:val="Strong"/>
          <w:rFonts w:ascii="Times New Roman" w:eastAsiaTheme="majorEastAsia" w:hAnsi="Times New Roman" w:cs="Times New Roman"/>
          <w:b w:val="0"/>
        </w:rPr>
        <w:t xml:space="preserve"> I married, my wife: she never make any children … she [n]ever conceived</w:t>
      </w:r>
      <w:r w:rsidR="00181559" w:rsidRPr="00E869A4">
        <w:rPr>
          <w:rStyle w:val="Strong"/>
          <w:rFonts w:ascii="Times New Roman" w:eastAsiaTheme="majorEastAsia" w:hAnsi="Times New Roman" w:cs="Times New Roman"/>
          <w:b w:val="0"/>
        </w:rPr>
        <w:t xml:space="preserve"> </w:t>
      </w:r>
      <w:r w:rsidR="005F7E01" w:rsidRPr="00E869A4">
        <w:rPr>
          <w:rStyle w:val="Strong"/>
          <w:rFonts w:ascii="Times New Roman" w:eastAsiaTheme="majorEastAsia" w:hAnsi="Times New Roman" w:cs="Times New Roman"/>
          <w:b w:val="0"/>
        </w:rPr>
        <w:t>…</w:t>
      </w:r>
      <w:r w:rsidRPr="00E869A4">
        <w:rPr>
          <w:rStyle w:val="Strong"/>
          <w:rFonts w:ascii="Times New Roman" w:eastAsiaTheme="majorEastAsia" w:hAnsi="Times New Roman" w:cs="Times New Roman"/>
          <w:b w:val="0"/>
        </w:rPr>
        <w:t xml:space="preserve"> November month gone there make eleven years since she died</w:t>
      </w:r>
      <w:r w:rsidR="00181559" w:rsidRPr="00E869A4">
        <w:rPr>
          <w:rStyle w:val="Strong"/>
          <w:rFonts w:ascii="Times New Roman" w:eastAsiaTheme="majorEastAsia" w:hAnsi="Times New Roman" w:cs="Times New Roman"/>
          <w:b w:val="0"/>
        </w:rPr>
        <w:t xml:space="preserve"> </w:t>
      </w:r>
      <w:r w:rsidRPr="00E869A4">
        <w:rPr>
          <w:rStyle w:val="Strong"/>
          <w:rFonts w:ascii="Times New Roman" w:eastAsiaTheme="majorEastAsia" w:hAnsi="Times New Roman" w:cs="Times New Roman"/>
          <w:b w:val="0"/>
        </w:rPr>
        <w:t>…</w:t>
      </w:r>
      <w:r w:rsidR="007E1F80" w:rsidRPr="00E869A4">
        <w:rPr>
          <w:rStyle w:val="Strong"/>
          <w:rFonts w:ascii="Times New Roman" w:eastAsiaTheme="majorEastAsia" w:hAnsi="Times New Roman" w:cs="Times New Roman"/>
          <w:b w:val="0"/>
        </w:rPr>
        <w:t xml:space="preserve"> </w:t>
      </w:r>
      <w:r w:rsidRPr="00E869A4">
        <w:rPr>
          <w:rStyle w:val="Strong"/>
          <w:rFonts w:ascii="Times New Roman" w:eastAsiaTheme="majorEastAsia" w:hAnsi="Times New Roman" w:cs="Times New Roman"/>
          <w:b w:val="0"/>
        </w:rPr>
        <w:t>We never had ah chile. She mine [her] second-to-last brother daughter [Maria]. She grow up here with us: she is ah married woman now. (CR Uncle Wilton)</w:t>
      </w:r>
    </w:p>
    <w:p w14:paraId="13023F71" w14:textId="77777777" w:rsidR="00181559" w:rsidRPr="00E869A4" w:rsidRDefault="00181559" w:rsidP="00710A04">
      <w:pPr>
        <w:spacing w:line="240" w:lineRule="auto"/>
        <w:rPr>
          <w:rStyle w:val="Strong"/>
          <w:rFonts w:ascii="Times New Roman" w:eastAsiaTheme="majorEastAsia" w:hAnsi="Times New Roman" w:cs="Times New Roman"/>
          <w:b w:val="0"/>
        </w:rPr>
      </w:pPr>
    </w:p>
    <w:p w14:paraId="3E3CE617" w14:textId="316D7B36" w:rsidR="00D1584C" w:rsidRPr="00E869A4" w:rsidRDefault="00650EDC" w:rsidP="00650EDC">
      <w:pPr>
        <w:ind w:firstLine="0"/>
        <w:rPr>
          <w:rStyle w:val="Strong"/>
          <w:rFonts w:ascii="Times New Roman" w:eastAsiaTheme="majorEastAsia" w:hAnsi="Times New Roman" w:cs="Times New Roman"/>
          <w:b w:val="0"/>
          <w:bCs w:val="0"/>
        </w:rPr>
      </w:pPr>
      <w:r w:rsidRPr="00E869A4">
        <w:rPr>
          <w:rStyle w:val="Strong"/>
          <w:rFonts w:ascii="Times New Roman" w:eastAsiaTheme="majorEastAsia" w:hAnsi="Times New Roman" w:cs="Times New Roman"/>
          <w:b w:val="0"/>
        </w:rPr>
        <w:t>However</w:t>
      </w:r>
      <w:r w:rsidR="00D1584C" w:rsidRPr="00E869A4">
        <w:rPr>
          <w:rStyle w:val="Strong"/>
          <w:rFonts w:ascii="Times New Roman" w:eastAsiaTheme="majorEastAsia" w:hAnsi="Times New Roman" w:cs="Times New Roman"/>
          <w:b w:val="0"/>
        </w:rPr>
        <w:t xml:space="preserve">, after his wife died, Uncle Wilton received no care assistance from Maria. Instead, both Maria and Ann seemed only interested in acquiring his material possessions. </w:t>
      </w:r>
    </w:p>
    <w:p w14:paraId="501C85EE" w14:textId="77777777" w:rsidR="00650EDC" w:rsidRPr="00E869A4" w:rsidRDefault="00650EDC" w:rsidP="00A35FF8">
      <w:pPr>
        <w:ind w:firstLine="720"/>
        <w:rPr>
          <w:rStyle w:val="Strong"/>
          <w:rFonts w:ascii="Times New Roman" w:eastAsiaTheme="majorEastAsia" w:hAnsi="Times New Roman" w:cs="Times New Roman"/>
          <w:b w:val="0"/>
        </w:rPr>
      </w:pPr>
    </w:p>
    <w:p w14:paraId="4153E3B6" w14:textId="2A615D33" w:rsidR="00D1584C" w:rsidRPr="00E869A4" w:rsidRDefault="00D1584C" w:rsidP="00A35FF8">
      <w:pPr>
        <w:ind w:firstLine="720"/>
        <w:rPr>
          <w:rStyle w:val="Strong"/>
          <w:rFonts w:ascii="Times New Roman" w:eastAsiaTheme="majorEastAsia" w:hAnsi="Times New Roman" w:cs="Times New Roman"/>
          <w:b w:val="0"/>
          <w:bCs w:val="0"/>
        </w:rPr>
      </w:pPr>
      <w:r w:rsidRPr="00E869A4">
        <w:rPr>
          <w:rStyle w:val="Strong"/>
          <w:rFonts w:ascii="Times New Roman" w:eastAsiaTheme="majorEastAsia" w:hAnsi="Times New Roman" w:cs="Times New Roman"/>
          <w:b w:val="0"/>
        </w:rPr>
        <w:t xml:space="preserve">Like Tanty Edna, Uncle Wilton received Holy Communion at his home from the Catholic </w:t>
      </w:r>
      <w:r w:rsidR="00650EDC" w:rsidRPr="00E869A4">
        <w:rPr>
          <w:rStyle w:val="Strong"/>
          <w:rFonts w:ascii="Times New Roman" w:eastAsiaTheme="majorEastAsia" w:hAnsi="Times New Roman" w:cs="Times New Roman"/>
          <w:b w:val="0"/>
        </w:rPr>
        <w:t>Church</w:t>
      </w:r>
      <w:r w:rsidRPr="00E869A4">
        <w:rPr>
          <w:rStyle w:val="Strong"/>
          <w:rFonts w:ascii="Times New Roman" w:eastAsiaTheme="majorEastAsia" w:hAnsi="Times New Roman" w:cs="Times New Roman"/>
          <w:b w:val="0"/>
        </w:rPr>
        <w:t xml:space="preserve"> once a month. During the interview, he reminisced about the activities that he did with a church group that he </w:t>
      </w:r>
      <w:r w:rsidR="00650EDC" w:rsidRPr="00E869A4">
        <w:rPr>
          <w:rStyle w:val="Strong"/>
          <w:rFonts w:ascii="Times New Roman" w:eastAsiaTheme="majorEastAsia" w:hAnsi="Times New Roman" w:cs="Times New Roman"/>
          <w:b w:val="0"/>
        </w:rPr>
        <w:t>once belonged to</w:t>
      </w:r>
      <w:r w:rsidRPr="00E869A4">
        <w:rPr>
          <w:rStyle w:val="Strong"/>
          <w:rFonts w:ascii="Times New Roman" w:eastAsiaTheme="majorEastAsia" w:hAnsi="Times New Roman" w:cs="Times New Roman"/>
          <w:b w:val="0"/>
        </w:rPr>
        <w:t xml:space="preserve">. But, only one other member of the group was still alive. That member visited him with the team from the church that gave him Communion. </w:t>
      </w:r>
    </w:p>
    <w:p w14:paraId="4A539169" w14:textId="4156CA43" w:rsidR="00D1584C" w:rsidRPr="00E869A4" w:rsidRDefault="00D1584C" w:rsidP="00086DF3">
      <w:pPr>
        <w:ind w:firstLine="0"/>
        <w:rPr>
          <w:rFonts w:ascii="Times New Roman" w:eastAsiaTheme="majorEastAsia" w:hAnsi="Times New Roman" w:cs="Times New Roman"/>
          <w:b/>
          <w:bCs/>
          <w:sz w:val="28"/>
          <w:szCs w:val="28"/>
        </w:rPr>
      </w:pPr>
    </w:p>
    <w:p w14:paraId="02FE5040" w14:textId="77777777" w:rsidR="00D1584C" w:rsidRPr="00E869A4" w:rsidRDefault="00D1584C" w:rsidP="009D4C5D">
      <w:pPr>
        <w:pStyle w:val="ListParagraph"/>
        <w:numPr>
          <w:ilvl w:val="0"/>
          <w:numId w:val="74"/>
        </w:numPr>
        <w:contextualSpacing w:val="0"/>
        <w:rPr>
          <w:b/>
        </w:rPr>
      </w:pPr>
      <w:bookmarkStart w:id="492" w:name="_Toc507665570"/>
      <w:bookmarkStart w:id="493" w:name="_Toc507909142"/>
      <w:r w:rsidRPr="00E869A4">
        <w:rPr>
          <w:b/>
        </w:rPr>
        <w:t>MS. KUMAR &amp; her daughter REBECCA</w:t>
      </w:r>
      <w:bookmarkEnd w:id="492"/>
      <w:bookmarkEnd w:id="493"/>
    </w:p>
    <w:p w14:paraId="71595853" w14:textId="77777777" w:rsidR="00D1584C" w:rsidRPr="00E869A4" w:rsidRDefault="00D1584C" w:rsidP="00A35FF8">
      <w:pPr>
        <w:autoSpaceDE w:val="0"/>
        <w:autoSpaceDN w:val="0"/>
        <w:adjustRightInd w:val="0"/>
        <w:rPr>
          <w:rFonts w:ascii="Times New Roman" w:hAnsi="Times New Roman" w:cs="Times New Roman"/>
        </w:rPr>
      </w:pPr>
    </w:p>
    <w:tbl>
      <w:tblPr>
        <w:tblStyle w:val="MediumShading2-Accent11"/>
        <w:tblW w:w="9308"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3142"/>
        <w:gridCol w:w="3498"/>
      </w:tblGrid>
      <w:tr w:rsidR="00C714D3" w:rsidRPr="00E869A4" w14:paraId="1AA4B112" w14:textId="77777777" w:rsidTr="006E5FD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668" w:type="dxa"/>
          </w:tcPr>
          <w:p w14:paraId="0B9E6763" w14:textId="77777777" w:rsidR="00D1584C" w:rsidRPr="00FA19BD" w:rsidRDefault="00D1584C" w:rsidP="00947838">
            <w:pPr>
              <w:autoSpaceDE w:val="0"/>
              <w:autoSpaceDN w:val="0"/>
              <w:adjustRightInd w:val="0"/>
              <w:ind w:left="87" w:firstLine="32"/>
              <w:jc w:val="center"/>
              <w:rPr>
                <w:rFonts w:ascii="Times New Roman" w:hAnsi="Times New Roman" w:cs="Times New Roman"/>
                <w:caps/>
                <w:sz w:val="23"/>
                <w:szCs w:val="23"/>
              </w:rPr>
            </w:pPr>
            <w:r w:rsidRPr="00FA19BD">
              <w:rPr>
                <w:rFonts w:ascii="Times New Roman" w:hAnsi="Times New Roman" w:cs="Times New Roman"/>
                <w:caps/>
                <w:sz w:val="23"/>
                <w:szCs w:val="23"/>
              </w:rPr>
              <w:t>Participant Category</w:t>
            </w:r>
          </w:p>
        </w:tc>
        <w:tc>
          <w:tcPr>
            <w:tcW w:w="3142" w:type="dxa"/>
          </w:tcPr>
          <w:p w14:paraId="56F0F57D" w14:textId="480CBFAC" w:rsidR="00D1584C" w:rsidRPr="00FA19BD" w:rsidRDefault="009E2738" w:rsidP="00947838">
            <w:pPr>
              <w:autoSpaceDE w:val="0"/>
              <w:autoSpaceDN w:val="0"/>
              <w:adjustRightInd w:val="0"/>
              <w:ind w:left="87" w:firstLine="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FA19BD">
              <w:rPr>
                <w:rFonts w:ascii="Times New Roman" w:hAnsi="Times New Roman" w:cs="Times New Roman"/>
                <w:sz w:val="23"/>
                <w:szCs w:val="23"/>
              </w:rPr>
              <w:t>CARE RECIPIENT</w:t>
            </w:r>
            <w:r w:rsidR="00D1584C" w:rsidRPr="00FA19BD">
              <w:rPr>
                <w:rFonts w:ascii="Times New Roman" w:hAnsi="Times New Roman" w:cs="Times New Roman"/>
                <w:sz w:val="23"/>
                <w:szCs w:val="23"/>
              </w:rPr>
              <w:t xml:space="preserve"> (CR)</w:t>
            </w:r>
          </w:p>
        </w:tc>
        <w:tc>
          <w:tcPr>
            <w:tcW w:w="3498" w:type="dxa"/>
          </w:tcPr>
          <w:p w14:paraId="7506A2E9" w14:textId="77777777" w:rsidR="00D1584C" w:rsidRPr="00FA19BD" w:rsidRDefault="00D1584C" w:rsidP="00947838">
            <w:pPr>
              <w:autoSpaceDE w:val="0"/>
              <w:autoSpaceDN w:val="0"/>
              <w:adjustRightInd w:val="0"/>
              <w:ind w:left="87" w:firstLine="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FA19BD">
              <w:rPr>
                <w:rFonts w:ascii="Times New Roman" w:hAnsi="Times New Roman" w:cs="Times New Roman"/>
                <w:sz w:val="23"/>
                <w:szCs w:val="23"/>
              </w:rPr>
              <w:t>CAREGIVER (CG)</w:t>
            </w:r>
          </w:p>
        </w:tc>
      </w:tr>
      <w:tr w:rsidR="00C714D3" w:rsidRPr="00E869A4" w14:paraId="391A89A6"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3B29ACB9"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 xml:space="preserve">Name </w:t>
            </w:r>
          </w:p>
        </w:tc>
        <w:tc>
          <w:tcPr>
            <w:tcW w:w="3142" w:type="dxa"/>
          </w:tcPr>
          <w:p w14:paraId="48D3FCFD"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Leela Kumar </w:t>
            </w:r>
          </w:p>
        </w:tc>
        <w:tc>
          <w:tcPr>
            <w:tcW w:w="3498" w:type="dxa"/>
          </w:tcPr>
          <w:p w14:paraId="079D5034"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Rebecca Kumar - Singh</w:t>
            </w:r>
          </w:p>
        </w:tc>
      </w:tr>
      <w:tr w:rsidR="00C714D3" w:rsidRPr="00E869A4" w14:paraId="17755B32"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4A1F65F8"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Relationship</w:t>
            </w:r>
          </w:p>
        </w:tc>
        <w:tc>
          <w:tcPr>
            <w:tcW w:w="3142" w:type="dxa"/>
          </w:tcPr>
          <w:p w14:paraId="3197AB91"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Mother</w:t>
            </w:r>
          </w:p>
        </w:tc>
        <w:tc>
          <w:tcPr>
            <w:tcW w:w="3498" w:type="dxa"/>
          </w:tcPr>
          <w:p w14:paraId="229DB6AA"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Daughter</w:t>
            </w:r>
          </w:p>
        </w:tc>
      </w:tr>
      <w:tr w:rsidR="00C714D3" w:rsidRPr="00E869A4" w14:paraId="21AF1048"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0C3852ED"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Age</w:t>
            </w:r>
          </w:p>
        </w:tc>
        <w:tc>
          <w:tcPr>
            <w:tcW w:w="3142" w:type="dxa"/>
          </w:tcPr>
          <w:p w14:paraId="67D205B1"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90</w:t>
            </w:r>
          </w:p>
        </w:tc>
        <w:tc>
          <w:tcPr>
            <w:tcW w:w="3498" w:type="dxa"/>
          </w:tcPr>
          <w:p w14:paraId="7F314EF5"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40-49</w:t>
            </w:r>
          </w:p>
        </w:tc>
      </w:tr>
      <w:tr w:rsidR="00C714D3" w:rsidRPr="00E869A4" w14:paraId="5770E818"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5410569F"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Gender</w:t>
            </w:r>
          </w:p>
        </w:tc>
        <w:tc>
          <w:tcPr>
            <w:tcW w:w="3142" w:type="dxa"/>
          </w:tcPr>
          <w:p w14:paraId="11D80202"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c>
          <w:tcPr>
            <w:tcW w:w="3498" w:type="dxa"/>
          </w:tcPr>
          <w:p w14:paraId="26D1BDF3"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3994988B"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2184D23D"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Ethnicity</w:t>
            </w:r>
          </w:p>
        </w:tc>
        <w:tc>
          <w:tcPr>
            <w:tcW w:w="3142" w:type="dxa"/>
          </w:tcPr>
          <w:p w14:paraId="7F8228C0"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Indian Trinidadian</w:t>
            </w:r>
          </w:p>
        </w:tc>
        <w:tc>
          <w:tcPr>
            <w:tcW w:w="3498" w:type="dxa"/>
          </w:tcPr>
          <w:p w14:paraId="3F624F9A"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Indian Trinidadian</w:t>
            </w:r>
          </w:p>
        </w:tc>
      </w:tr>
      <w:tr w:rsidR="00C714D3" w:rsidRPr="00E869A4" w14:paraId="6BDFE734"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14ACDEEC"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Education</w:t>
            </w:r>
          </w:p>
        </w:tc>
        <w:tc>
          <w:tcPr>
            <w:tcW w:w="3142" w:type="dxa"/>
          </w:tcPr>
          <w:p w14:paraId="46F0AFB8"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High School</w:t>
            </w:r>
          </w:p>
        </w:tc>
        <w:tc>
          <w:tcPr>
            <w:tcW w:w="3498" w:type="dxa"/>
          </w:tcPr>
          <w:p w14:paraId="1A91F139"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Post Graduate Student</w:t>
            </w:r>
          </w:p>
        </w:tc>
      </w:tr>
      <w:tr w:rsidR="00C714D3" w:rsidRPr="00E869A4" w14:paraId="63195286"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07B5AB62"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Employment History / Status</w:t>
            </w:r>
          </w:p>
        </w:tc>
        <w:tc>
          <w:tcPr>
            <w:tcW w:w="3142" w:type="dxa"/>
          </w:tcPr>
          <w:p w14:paraId="5F7C7AE2"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Senior Professional</w:t>
            </w:r>
          </w:p>
        </w:tc>
        <w:tc>
          <w:tcPr>
            <w:tcW w:w="3498" w:type="dxa"/>
          </w:tcPr>
          <w:p w14:paraId="4583175A"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Public Officer</w:t>
            </w:r>
          </w:p>
          <w:p w14:paraId="5123BD13"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Landlady </w:t>
            </w:r>
          </w:p>
        </w:tc>
      </w:tr>
      <w:tr w:rsidR="00C714D3" w:rsidRPr="00E869A4" w14:paraId="336A2C6E"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5D7FC99A"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Marital Status</w:t>
            </w:r>
          </w:p>
        </w:tc>
        <w:tc>
          <w:tcPr>
            <w:tcW w:w="3142" w:type="dxa"/>
          </w:tcPr>
          <w:p w14:paraId="0A65FA81"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Common Law (Widow)</w:t>
            </w:r>
          </w:p>
        </w:tc>
        <w:tc>
          <w:tcPr>
            <w:tcW w:w="3498" w:type="dxa"/>
          </w:tcPr>
          <w:p w14:paraId="0547ED60"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Widow </w:t>
            </w:r>
          </w:p>
        </w:tc>
      </w:tr>
      <w:tr w:rsidR="00C714D3" w:rsidRPr="00E869A4" w14:paraId="58D15DC8"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0B37466A"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Number of Sons</w:t>
            </w:r>
          </w:p>
        </w:tc>
        <w:tc>
          <w:tcPr>
            <w:tcW w:w="3142" w:type="dxa"/>
          </w:tcPr>
          <w:p w14:paraId="62950ACD"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c>
          <w:tcPr>
            <w:tcW w:w="3498" w:type="dxa"/>
          </w:tcPr>
          <w:p w14:paraId="0ACC4074"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01EF39A8"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7307B1F9"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Number of Daughters</w:t>
            </w:r>
          </w:p>
        </w:tc>
        <w:tc>
          <w:tcPr>
            <w:tcW w:w="3142" w:type="dxa"/>
          </w:tcPr>
          <w:p w14:paraId="09438204"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98" w:type="dxa"/>
          </w:tcPr>
          <w:p w14:paraId="7DDF7DEF"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4A426345"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51839103"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Total # Surviving Children</w:t>
            </w:r>
          </w:p>
        </w:tc>
        <w:tc>
          <w:tcPr>
            <w:tcW w:w="3142" w:type="dxa"/>
          </w:tcPr>
          <w:p w14:paraId="3F5EF5A9"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98" w:type="dxa"/>
          </w:tcPr>
          <w:p w14:paraId="39032F82"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72D723D4"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6FE72E1F"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Level of Dependency / Care Activities</w:t>
            </w:r>
          </w:p>
        </w:tc>
        <w:tc>
          <w:tcPr>
            <w:tcW w:w="3142" w:type="dxa"/>
          </w:tcPr>
          <w:p w14:paraId="12E15639"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Moderately dependent</w:t>
            </w:r>
          </w:p>
        </w:tc>
        <w:tc>
          <w:tcPr>
            <w:tcW w:w="3498" w:type="dxa"/>
          </w:tcPr>
          <w:p w14:paraId="69B57F07"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IADL </w:t>
            </w:r>
          </w:p>
        </w:tc>
      </w:tr>
      <w:tr w:rsidR="00C714D3" w:rsidRPr="00E869A4" w14:paraId="4EBE4A0C"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4286789F"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lastRenderedPageBreak/>
              <w:t>Health Challenges / Care provided</w:t>
            </w:r>
          </w:p>
        </w:tc>
        <w:tc>
          <w:tcPr>
            <w:tcW w:w="3142" w:type="dxa"/>
          </w:tcPr>
          <w:p w14:paraId="3BCE484C"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Heart Condition</w:t>
            </w:r>
          </w:p>
          <w:p w14:paraId="73B871F5"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Mobility (used a walker or wheelchair on occasion)</w:t>
            </w:r>
          </w:p>
        </w:tc>
        <w:tc>
          <w:tcPr>
            <w:tcW w:w="3498" w:type="dxa"/>
          </w:tcPr>
          <w:p w14:paraId="05F8C8DB"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343E2EFC"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Preventive care</w:t>
            </w:r>
          </w:p>
          <w:p w14:paraId="509D4094"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14:paraId="3BC34F19"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had a temporary sprain and was using a crutch at the time of the interview)</w:t>
            </w:r>
          </w:p>
        </w:tc>
      </w:tr>
      <w:tr w:rsidR="00C714D3" w:rsidRPr="00E869A4" w14:paraId="68073625"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752B91A3"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Time Spent providing Family Care to CR</w:t>
            </w:r>
          </w:p>
        </w:tc>
        <w:tc>
          <w:tcPr>
            <w:tcW w:w="3142" w:type="dxa"/>
          </w:tcPr>
          <w:p w14:paraId="237F0DE8"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498" w:type="dxa"/>
          </w:tcPr>
          <w:p w14:paraId="5C454224"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 to 5 years</w:t>
            </w:r>
            <w:r w:rsidRPr="00E869A4">
              <w:rPr>
                <w:rStyle w:val="FootnoteReference"/>
                <w:rFonts w:ascii="Times New Roman" w:hAnsi="Times New Roman" w:cs="Times New Roman"/>
                <w:sz w:val="23"/>
                <w:szCs w:val="23"/>
              </w:rPr>
              <w:footnoteReference w:id="138"/>
            </w:r>
          </w:p>
        </w:tc>
      </w:tr>
      <w:tr w:rsidR="00C714D3" w:rsidRPr="00E869A4" w14:paraId="1BC132FA"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77B505D3"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Location in T&amp;T</w:t>
            </w:r>
            <w:r w:rsidRPr="00FA19BD">
              <w:rPr>
                <w:rStyle w:val="FootnoteReference"/>
                <w:rFonts w:ascii="Times New Roman" w:hAnsi="Times New Roman" w:cs="Times New Roman"/>
                <w:sz w:val="23"/>
                <w:szCs w:val="23"/>
              </w:rPr>
              <w:footnoteReference w:id="139"/>
            </w:r>
          </w:p>
        </w:tc>
        <w:tc>
          <w:tcPr>
            <w:tcW w:w="3142" w:type="dxa"/>
          </w:tcPr>
          <w:p w14:paraId="76AD6E6E"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Central</w:t>
            </w:r>
          </w:p>
        </w:tc>
        <w:tc>
          <w:tcPr>
            <w:tcW w:w="3498" w:type="dxa"/>
          </w:tcPr>
          <w:p w14:paraId="767258AF"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Central</w:t>
            </w:r>
          </w:p>
        </w:tc>
      </w:tr>
      <w:tr w:rsidR="00C714D3" w:rsidRPr="00E869A4" w14:paraId="590C341B"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5DCD6EF8"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Access to Home / Distance between residence of CR &amp; CG</w:t>
            </w:r>
          </w:p>
        </w:tc>
        <w:tc>
          <w:tcPr>
            <w:tcW w:w="3142" w:type="dxa"/>
          </w:tcPr>
          <w:p w14:paraId="2D270B3E"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Lived upstairs a 2 storey house</w:t>
            </w:r>
          </w:p>
        </w:tc>
        <w:tc>
          <w:tcPr>
            <w:tcW w:w="3498" w:type="dxa"/>
          </w:tcPr>
          <w:p w14:paraId="4DE7199F"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Same house</w:t>
            </w:r>
          </w:p>
          <w:p w14:paraId="35CEC945" w14:textId="77777777" w:rsidR="00D1584C" w:rsidRPr="00E869A4" w:rsidRDefault="00D1584C" w:rsidP="00947838">
            <w:pPr>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714D3" w:rsidRPr="00E869A4" w14:paraId="1C980444"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4437DA0F"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 xml:space="preserve">Other Property Info. </w:t>
            </w:r>
          </w:p>
        </w:tc>
        <w:tc>
          <w:tcPr>
            <w:tcW w:w="6640" w:type="dxa"/>
            <w:gridSpan w:val="2"/>
          </w:tcPr>
          <w:p w14:paraId="2DB53AA8" w14:textId="77777777" w:rsidR="00D1584C" w:rsidRPr="00E869A4" w:rsidRDefault="00D1584C" w:rsidP="00947838">
            <w:pPr>
              <w:autoSpaceDE w:val="0"/>
              <w:autoSpaceDN w:val="0"/>
              <w:adjustRightInd w:val="0"/>
              <w:ind w:left="22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Downstairs level rented</w:t>
            </w:r>
          </w:p>
        </w:tc>
      </w:tr>
      <w:tr w:rsidR="00C714D3" w:rsidRPr="00E869A4" w14:paraId="2166C832"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0EE87840"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Secondary Caregivers</w:t>
            </w:r>
          </w:p>
        </w:tc>
        <w:tc>
          <w:tcPr>
            <w:tcW w:w="6640" w:type="dxa"/>
            <w:gridSpan w:val="2"/>
          </w:tcPr>
          <w:p w14:paraId="0759F709" w14:textId="77777777" w:rsidR="00D1584C" w:rsidRPr="00E869A4" w:rsidRDefault="00D1584C" w:rsidP="00947838">
            <w:pPr>
              <w:autoSpaceDE w:val="0"/>
              <w:autoSpaceDN w:val="0"/>
              <w:adjustRightInd w:val="0"/>
              <w:ind w:left="22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Rebecca’s cousins i.e. Ms. Kumar’s nieces</w:t>
            </w:r>
          </w:p>
        </w:tc>
      </w:tr>
      <w:tr w:rsidR="00C714D3" w:rsidRPr="00E869A4" w14:paraId="73733B9F"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7F1AFB47"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Support from Family Overseas</w:t>
            </w:r>
          </w:p>
        </w:tc>
        <w:tc>
          <w:tcPr>
            <w:tcW w:w="6640" w:type="dxa"/>
            <w:gridSpan w:val="2"/>
          </w:tcPr>
          <w:p w14:paraId="4926E02F" w14:textId="77777777" w:rsidR="00D1584C" w:rsidRPr="00E869A4" w:rsidRDefault="00D1584C" w:rsidP="009D4C5D">
            <w:pPr>
              <w:pStyle w:val="ListParagraph"/>
              <w:numPr>
                <w:ilvl w:val="0"/>
                <w:numId w:val="34"/>
              </w:numPr>
              <w:tabs>
                <w:tab w:val="left" w:pos="452"/>
              </w:tabs>
              <w:autoSpaceDE w:val="0"/>
              <w:autoSpaceDN w:val="0"/>
              <w:adjustRightInd w:val="0"/>
              <w:ind w:left="484" w:hanging="25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(Occasionally)</w:t>
            </w:r>
          </w:p>
        </w:tc>
      </w:tr>
      <w:tr w:rsidR="00C714D3" w:rsidRPr="00E869A4" w14:paraId="51314AC5"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26C326B8"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Support from other relatives locally</w:t>
            </w:r>
          </w:p>
        </w:tc>
        <w:tc>
          <w:tcPr>
            <w:tcW w:w="6640" w:type="dxa"/>
            <w:gridSpan w:val="2"/>
          </w:tcPr>
          <w:p w14:paraId="27B1204F" w14:textId="77777777" w:rsidR="00D1584C" w:rsidRPr="00E869A4" w:rsidRDefault="00D1584C" w:rsidP="009D4C5D">
            <w:pPr>
              <w:pStyle w:val="ListParagraph"/>
              <w:numPr>
                <w:ilvl w:val="0"/>
                <w:numId w:val="34"/>
              </w:numPr>
              <w:tabs>
                <w:tab w:val="left" w:pos="452"/>
              </w:tabs>
              <w:autoSpaceDE w:val="0"/>
              <w:autoSpaceDN w:val="0"/>
              <w:adjustRightInd w:val="0"/>
              <w:ind w:left="484" w:hanging="255"/>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(Occasionally)</w:t>
            </w:r>
          </w:p>
        </w:tc>
      </w:tr>
      <w:tr w:rsidR="00C714D3" w:rsidRPr="00E869A4" w14:paraId="4032BCF8"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8" w:type="dxa"/>
          </w:tcPr>
          <w:p w14:paraId="6B0E39C3"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Paid Caregivers</w:t>
            </w:r>
          </w:p>
        </w:tc>
        <w:tc>
          <w:tcPr>
            <w:tcW w:w="6640" w:type="dxa"/>
            <w:gridSpan w:val="2"/>
          </w:tcPr>
          <w:p w14:paraId="1BCAD1A6" w14:textId="77777777" w:rsidR="00D1584C" w:rsidRPr="00E869A4" w:rsidRDefault="00D1584C" w:rsidP="009D4C5D">
            <w:pPr>
              <w:pStyle w:val="ListParagraph"/>
              <w:numPr>
                <w:ilvl w:val="0"/>
                <w:numId w:val="32"/>
              </w:numPr>
              <w:tabs>
                <w:tab w:val="left" w:pos="452"/>
              </w:tabs>
              <w:autoSpaceDE w:val="0"/>
              <w:autoSpaceDN w:val="0"/>
              <w:adjustRightInd w:val="0"/>
              <w:ind w:left="484" w:hanging="25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Ms. Sita (night time companion)</w:t>
            </w:r>
          </w:p>
          <w:p w14:paraId="4ED97EAF" w14:textId="77777777" w:rsidR="00D1584C" w:rsidRPr="00E869A4" w:rsidRDefault="00D1584C" w:rsidP="009D4C5D">
            <w:pPr>
              <w:pStyle w:val="ListParagraph"/>
              <w:numPr>
                <w:ilvl w:val="0"/>
                <w:numId w:val="32"/>
              </w:numPr>
              <w:tabs>
                <w:tab w:val="left" w:pos="452"/>
              </w:tabs>
              <w:autoSpaceDE w:val="0"/>
              <w:autoSpaceDN w:val="0"/>
              <w:adjustRightInd w:val="0"/>
              <w:ind w:left="484" w:hanging="25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Michelle (day caregiver)</w:t>
            </w:r>
          </w:p>
          <w:p w14:paraId="08DDCDF4" w14:textId="49FFE337" w:rsidR="00D1584C" w:rsidRPr="00E869A4" w:rsidRDefault="00D1584C" w:rsidP="009D4C5D">
            <w:pPr>
              <w:pStyle w:val="ListParagraph"/>
              <w:numPr>
                <w:ilvl w:val="0"/>
                <w:numId w:val="32"/>
              </w:numPr>
              <w:tabs>
                <w:tab w:val="left" w:pos="452"/>
              </w:tabs>
              <w:autoSpaceDE w:val="0"/>
              <w:autoSpaceDN w:val="0"/>
              <w:adjustRightInd w:val="0"/>
              <w:ind w:left="484" w:hanging="255"/>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Nadia (housekeeper)</w:t>
            </w:r>
          </w:p>
        </w:tc>
      </w:tr>
      <w:tr w:rsidR="00C714D3" w:rsidRPr="00E869A4" w14:paraId="1514F602"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668" w:type="dxa"/>
          </w:tcPr>
          <w:p w14:paraId="758839D3" w14:textId="77777777" w:rsidR="00D1584C" w:rsidRPr="00FA19BD" w:rsidRDefault="00D1584C" w:rsidP="00947838">
            <w:pPr>
              <w:autoSpaceDE w:val="0"/>
              <w:autoSpaceDN w:val="0"/>
              <w:adjustRightInd w:val="0"/>
              <w:ind w:left="229" w:firstLine="0"/>
              <w:rPr>
                <w:rFonts w:ascii="Times New Roman" w:hAnsi="Times New Roman" w:cs="Times New Roman"/>
                <w:sz w:val="23"/>
                <w:szCs w:val="23"/>
              </w:rPr>
            </w:pPr>
            <w:r w:rsidRPr="00FA19BD">
              <w:rPr>
                <w:rFonts w:ascii="Times New Roman" w:hAnsi="Times New Roman" w:cs="Times New Roman"/>
                <w:sz w:val="23"/>
                <w:szCs w:val="23"/>
              </w:rPr>
              <w:t>Other Support</w:t>
            </w:r>
          </w:p>
        </w:tc>
        <w:tc>
          <w:tcPr>
            <w:tcW w:w="6640" w:type="dxa"/>
            <w:gridSpan w:val="2"/>
          </w:tcPr>
          <w:p w14:paraId="061F5BA7" w14:textId="77777777" w:rsidR="00D1584C" w:rsidRPr="00E869A4" w:rsidRDefault="00D1584C" w:rsidP="009D4C5D">
            <w:pPr>
              <w:pStyle w:val="ListParagraph"/>
              <w:numPr>
                <w:ilvl w:val="0"/>
                <w:numId w:val="33"/>
              </w:numPr>
              <w:tabs>
                <w:tab w:val="left" w:pos="452"/>
              </w:tabs>
              <w:autoSpaceDE w:val="0"/>
              <w:autoSpaceDN w:val="0"/>
              <w:adjustRightInd w:val="0"/>
              <w:ind w:left="484" w:hanging="255"/>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Peer group (Golden Girls) – social events</w:t>
            </w:r>
          </w:p>
          <w:p w14:paraId="7C0BBCDA" w14:textId="77777777" w:rsidR="00D1584C" w:rsidRPr="00E869A4" w:rsidRDefault="00D1584C" w:rsidP="009D4C5D">
            <w:pPr>
              <w:pStyle w:val="ListParagraph"/>
              <w:numPr>
                <w:ilvl w:val="0"/>
                <w:numId w:val="33"/>
              </w:numPr>
              <w:tabs>
                <w:tab w:val="left" w:pos="452"/>
                <w:tab w:val="left" w:pos="626"/>
              </w:tabs>
              <w:autoSpaceDE w:val="0"/>
              <w:autoSpaceDN w:val="0"/>
              <w:adjustRightInd w:val="0"/>
              <w:ind w:left="484" w:hanging="255"/>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Church members – e.g. nurse from church monitors health &amp; gives medical advice occasionally</w:t>
            </w:r>
          </w:p>
          <w:p w14:paraId="6958F752" w14:textId="77777777" w:rsidR="00D1584C" w:rsidRPr="00E869A4" w:rsidRDefault="00D1584C" w:rsidP="009D4C5D">
            <w:pPr>
              <w:pStyle w:val="ListParagraph"/>
              <w:numPr>
                <w:ilvl w:val="0"/>
                <w:numId w:val="33"/>
              </w:numPr>
              <w:tabs>
                <w:tab w:val="left" w:pos="452"/>
              </w:tabs>
              <w:autoSpaceDE w:val="0"/>
              <w:autoSpaceDN w:val="0"/>
              <w:adjustRightInd w:val="0"/>
              <w:ind w:left="484" w:hanging="255"/>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Nieces – emotional support</w:t>
            </w:r>
          </w:p>
        </w:tc>
      </w:tr>
    </w:tbl>
    <w:p w14:paraId="602E6FCF" w14:textId="77777777" w:rsidR="00D1584C" w:rsidRPr="00E869A4" w:rsidRDefault="00D1584C" w:rsidP="00A35FF8">
      <w:pPr>
        <w:rPr>
          <w:rStyle w:val="Strong"/>
          <w:rFonts w:ascii="Times New Roman" w:hAnsi="Times New Roman" w:cs="Times New Roman"/>
        </w:rPr>
      </w:pPr>
    </w:p>
    <w:p w14:paraId="7084442B" w14:textId="0A287A9A" w:rsidR="00D1584C" w:rsidRPr="00E869A4" w:rsidRDefault="00D1584C" w:rsidP="00A35FF8">
      <w:pPr>
        <w:rPr>
          <w:rStyle w:val="Strong"/>
          <w:rFonts w:ascii="Times New Roman" w:hAnsi="Times New Roman" w:cs="Times New Roman"/>
          <w:b w:val="0"/>
        </w:rPr>
      </w:pPr>
      <w:r w:rsidRPr="00E869A4">
        <w:rPr>
          <w:rStyle w:val="Strong"/>
          <w:rFonts w:ascii="Times New Roman" w:hAnsi="Times New Roman" w:cs="Times New Roman"/>
          <w:b w:val="0"/>
        </w:rPr>
        <w:t xml:space="preserve">Ms. Kumar lived with her daughter Rebecca in an upper middle-income community. Though Rebecca described her mother as having a strong and, at times, difficult personality, she saw it as her duty to care for Ms. Kumar, especially since she was her closest surviving relative. They lived on the upper level of their house, and rented the downstairs apartments. Though it was difficult for Ms. Kumar to navigate the steps to their floor, Rebecca maintained that her </w:t>
      </w:r>
      <w:r w:rsidR="002C4D52" w:rsidRPr="00E869A4">
        <w:rPr>
          <w:rFonts w:ascii="Times New Roman" w:eastAsia="Times New Roman" w:hAnsi="Times New Roman" w:cs="Times New Roman"/>
        </w:rPr>
        <w:t>mother</w:t>
      </w:r>
      <w:r w:rsidRPr="00E869A4">
        <w:rPr>
          <w:rStyle w:val="Strong"/>
          <w:rFonts w:ascii="Times New Roman" w:hAnsi="Times New Roman" w:cs="Times New Roman"/>
          <w:b w:val="0"/>
        </w:rPr>
        <w:t xml:space="preserve"> should continue living upstairs since the space was what she was accustomed to. The money from the rent of the downstairs apartments provided income to help offset the family expenses. However, this did not remove Ms. Kumar’s concern about the financial cost of her care</w:t>
      </w:r>
    </w:p>
    <w:p w14:paraId="399A4116" w14:textId="77777777" w:rsidR="00086DF3" w:rsidRPr="00E869A4" w:rsidRDefault="00086DF3" w:rsidP="00A35FF8">
      <w:pPr>
        <w:rPr>
          <w:rStyle w:val="Strong"/>
          <w:rFonts w:ascii="Times New Roman" w:hAnsi="Times New Roman" w:cs="Times New Roman"/>
          <w:b w:val="0"/>
        </w:rPr>
      </w:pPr>
    </w:p>
    <w:p w14:paraId="1D381C03" w14:textId="0232B42F" w:rsidR="00D1584C" w:rsidRPr="00E869A4" w:rsidRDefault="00D1584C" w:rsidP="00A35FF8">
      <w:pPr>
        <w:rPr>
          <w:rStyle w:val="Strong"/>
          <w:rFonts w:ascii="Times New Roman" w:hAnsi="Times New Roman" w:cs="Times New Roman"/>
          <w:b w:val="0"/>
        </w:rPr>
      </w:pPr>
      <w:r w:rsidRPr="00E869A4">
        <w:rPr>
          <w:rStyle w:val="Strong"/>
          <w:rFonts w:ascii="Times New Roman" w:hAnsi="Times New Roman" w:cs="Times New Roman"/>
          <w:b w:val="0"/>
        </w:rPr>
        <w:lastRenderedPageBreak/>
        <w:t xml:space="preserve">Ms. Kumar had a heart attack a year before the interview and required special medication to remain stable. Her medication was very expensive and was not available via the Chronic Disease Assistance Programme (CDAP). Given her health situation, Ms. Kumar required round-the-clock care. Rebecca worked full time outside of the home. She was also pursuing a post-graduate qualification so it was difficult for her to provide direct care to her </w:t>
      </w:r>
      <w:r w:rsidR="002C4D52" w:rsidRPr="00E869A4">
        <w:rPr>
          <w:rFonts w:ascii="Times New Roman" w:eastAsia="Times New Roman" w:hAnsi="Times New Roman" w:cs="Times New Roman"/>
        </w:rPr>
        <w:t>mother</w:t>
      </w:r>
      <w:r w:rsidRPr="00E869A4">
        <w:rPr>
          <w:rStyle w:val="Strong"/>
          <w:rFonts w:ascii="Times New Roman" w:hAnsi="Times New Roman" w:cs="Times New Roman"/>
          <w:b w:val="0"/>
        </w:rPr>
        <w:t xml:space="preserve"> when she was at home. Given this, she hired paid in-formal in-home caregivers to attend to her mother’s needs during the day and the night. Another reason for her decision to hire caregivers was </w:t>
      </w:r>
      <w:r w:rsidR="00086DF3" w:rsidRPr="00E869A4">
        <w:rPr>
          <w:rStyle w:val="Strong"/>
          <w:rFonts w:ascii="Times New Roman" w:hAnsi="Times New Roman" w:cs="Times New Roman"/>
          <w:b w:val="0"/>
        </w:rPr>
        <w:t>that</w:t>
      </w:r>
      <w:r w:rsidRPr="00E869A4">
        <w:rPr>
          <w:rStyle w:val="Strong"/>
          <w:rFonts w:ascii="Times New Roman" w:hAnsi="Times New Roman" w:cs="Times New Roman"/>
          <w:b w:val="0"/>
        </w:rPr>
        <w:t xml:space="preserve"> she did not want to become too directly involved in her </w:t>
      </w:r>
      <w:r w:rsidR="002C4D52" w:rsidRPr="00E869A4">
        <w:rPr>
          <w:rFonts w:ascii="Times New Roman" w:eastAsia="Times New Roman" w:hAnsi="Times New Roman" w:cs="Times New Roman"/>
        </w:rPr>
        <w:t>mother</w:t>
      </w:r>
      <w:r w:rsidRPr="00E869A4">
        <w:rPr>
          <w:rStyle w:val="Strong"/>
          <w:rFonts w:ascii="Times New Roman" w:hAnsi="Times New Roman" w:cs="Times New Roman"/>
          <w:b w:val="0"/>
        </w:rPr>
        <w:t xml:space="preserve">’s care as she was still recovering emotionally from caring for her husband who eventually died from cancer. She was also grieving the death of her nephew who died before he became a teenager. Given these experiences, she sought to protect herself emotionally by not providing ADL assistance to her </w:t>
      </w:r>
      <w:r w:rsidR="002C4D52" w:rsidRPr="00E869A4">
        <w:rPr>
          <w:rFonts w:ascii="Times New Roman" w:eastAsia="Times New Roman" w:hAnsi="Times New Roman" w:cs="Times New Roman"/>
        </w:rPr>
        <w:t>mother</w:t>
      </w:r>
      <w:r w:rsidRPr="00E869A4">
        <w:rPr>
          <w:rStyle w:val="Strong"/>
          <w:rFonts w:ascii="Times New Roman" w:hAnsi="Times New Roman" w:cs="Times New Roman"/>
          <w:b w:val="0"/>
        </w:rPr>
        <w:t xml:space="preserve">. </w:t>
      </w:r>
    </w:p>
    <w:p w14:paraId="02DEF255" w14:textId="77777777" w:rsidR="00086DF3" w:rsidRPr="00E869A4" w:rsidRDefault="00086DF3" w:rsidP="00A35FF8">
      <w:pPr>
        <w:rPr>
          <w:rStyle w:val="Strong"/>
          <w:rFonts w:ascii="Times New Roman" w:hAnsi="Times New Roman" w:cs="Times New Roman"/>
          <w:b w:val="0"/>
        </w:rPr>
      </w:pPr>
    </w:p>
    <w:p w14:paraId="0C975245" w14:textId="6E371B21" w:rsidR="00D1584C" w:rsidRPr="00E869A4" w:rsidRDefault="00D1584C" w:rsidP="00A35FF8">
      <w:pPr>
        <w:rPr>
          <w:rStyle w:val="Strong"/>
          <w:rFonts w:ascii="Times New Roman" w:hAnsi="Times New Roman" w:cs="Times New Roman"/>
        </w:rPr>
      </w:pPr>
      <w:r w:rsidRPr="00E869A4">
        <w:rPr>
          <w:rStyle w:val="Strong"/>
          <w:rFonts w:ascii="Times New Roman" w:hAnsi="Times New Roman" w:cs="Times New Roman"/>
          <w:b w:val="0"/>
        </w:rPr>
        <w:t xml:space="preserve">Though she was grateful for Rebecca’s help, Ms. Kumar was of the opinion that, her daughter hired paid caregivers because she did not like to care for older people. Because of this, Ms. Kumar </w:t>
      </w:r>
      <w:r w:rsidR="00086DF3" w:rsidRPr="00E869A4">
        <w:rPr>
          <w:rStyle w:val="Strong"/>
          <w:rFonts w:ascii="Times New Roman" w:hAnsi="Times New Roman" w:cs="Times New Roman"/>
          <w:b w:val="0"/>
        </w:rPr>
        <w:t xml:space="preserve">said in one of the interviews that she </w:t>
      </w:r>
      <w:r w:rsidRPr="00E869A4">
        <w:rPr>
          <w:rStyle w:val="Strong"/>
          <w:rFonts w:ascii="Times New Roman" w:hAnsi="Times New Roman" w:cs="Times New Roman"/>
          <w:b w:val="0"/>
        </w:rPr>
        <w:t xml:space="preserve">wanted to be placed in a Home for Older Persons so that she could have more social interaction with persons her age. Rebecca however was adamant that her mother should continue living in the family home since it was a familiar environment and she was with people who knew her. She tried to meet Ms. Kumar’s need for social interaction by taking her to the social events that Ms. Kumar’s group of friends who she dubbed the </w:t>
      </w:r>
      <w:r w:rsidR="00086DF3" w:rsidRPr="00E869A4">
        <w:rPr>
          <w:rStyle w:val="Strong"/>
          <w:rFonts w:ascii="Times New Roman" w:hAnsi="Times New Roman" w:cs="Times New Roman"/>
          <w:b w:val="0"/>
        </w:rPr>
        <w:t>‘</w:t>
      </w:r>
      <w:r w:rsidRPr="00E869A4">
        <w:rPr>
          <w:rStyle w:val="Strong"/>
          <w:rFonts w:ascii="Times New Roman" w:hAnsi="Times New Roman" w:cs="Times New Roman"/>
          <w:b w:val="0"/>
        </w:rPr>
        <w:t>Golden Girls</w:t>
      </w:r>
      <w:r w:rsidR="00086DF3" w:rsidRPr="00E869A4">
        <w:rPr>
          <w:rStyle w:val="Strong"/>
          <w:rFonts w:ascii="Times New Roman" w:hAnsi="Times New Roman" w:cs="Times New Roman"/>
          <w:b w:val="0"/>
        </w:rPr>
        <w:t>’</w:t>
      </w:r>
      <w:r w:rsidRPr="00E869A4">
        <w:rPr>
          <w:rStyle w:val="Strong"/>
          <w:rFonts w:ascii="Times New Roman" w:hAnsi="Times New Roman" w:cs="Times New Roman"/>
          <w:b w:val="0"/>
        </w:rPr>
        <w:t xml:space="preserve"> had. The Golden Girls was a group of about 8 older women who lived in the same community. They knew each other since they were in high school, and took turns meeting at each other’s home to celebrate birthday, holidays and other special occasions. Rebecca was not always able to take her </w:t>
      </w:r>
      <w:r w:rsidR="002C4D52" w:rsidRPr="00E869A4">
        <w:rPr>
          <w:rFonts w:ascii="Times New Roman" w:eastAsia="Times New Roman" w:hAnsi="Times New Roman" w:cs="Times New Roman"/>
        </w:rPr>
        <w:t>mother</w:t>
      </w:r>
      <w:r w:rsidRPr="00E869A4">
        <w:rPr>
          <w:rStyle w:val="Strong"/>
          <w:rFonts w:ascii="Times New Roman" w:hAnsi="Times New Roman" w:cs="Times New Roman"/>
          <w:b w:val="0"/>
        </w:rPr>
        <w:t xml:space="preserve"> to the social events, but when she could, she did. She also took her </w:t>
      </w:r>
      <w:r w:rsidR="002C4D52" w:rsidRPr="00E869A4">
        <w:rPr>
          <w:rFonts w:ascii="Times New Roman" w:eastAsia="Times New Roman" w:hAnsi="Times New Roman" w:cs="Times New Roman"/>
        </w:rPr>
        <w:t>mother</w:t>
      </w:r>
      <w:r w:rsidRPr="00E869A4">
        <w:rPr>
          <w:rStyle w:val="Strong"/>
          <w:rFonts w:ascii="Times New Roman" w:hAnsi="Times New Roman" w:cs="Times New Roman"/>
          <w:b w:val="0"/>
        </w:rPr>
        <w:t xml:space="preserve"> to church on occasion, even though it meant she was not able to go to her own church: she and her </w:t>
      </w:r>
      <w:r w:rsidR="002C4D52" w:rsidRPr="00E869A4">
        <w:rPr>
          <w:rFonts w:ascii="Times New Roman" w:eastAsia="Times New Roman" w:hAnsi="Times New Roman" w:cs="Times New Roman"/>
        </w:rPr>
        <w:t>mother</w:t>
      </w:r>
      <w:r w:rsidRPr="00E869A4">
        <w:rPr>
          <w:rStyle w:val="Strong"/>
          <w:rFonts w:ascii="Times New Roman" w:hAnsi="Times New Roman" w:cs="Times New Roman"/>
          <w:b w:val="0"/>
        </w:rPr>
        <w:t xml:space="preserve"> followed different Christian denominations and fellowshipped at different locations</w:t>
      </w:r>
      <w:r w:rsidRPr="00E869A4">
        <w:rPr>
          <w:rStyle w:val="FootnoteReference"/>
          <w:rFonts w:ascii="Times New Roman" w:hAnsi="Times New Roman" w:cs="Times New Roman"/>
          <w:b/>
          <w:bCs/>
        </w:rPr>
        <w:footnoteReference w:id="140"/>
      </w:r>
      <w:r w:rsidRPr="00E869A4">
        <w:rPr>
          <w:rStyle w:val="Strong"/>
          <w:rFonts w:ascii="Times New Roman" w:hAnsi="Times New Roman" w:cs="Times New Roman"/>
          <w:b w:val="0"/>
        </w:rPr>
        <w:t>.</w:t>
      </w:r>
      <w:r w:rsidRPr="00E869A4">
        <w:rPr>
          <w:rStyle w:val="Strong"/>
          <w:rFonts w:ascii="Times New Roman" w:hAnsi="Times New Roman" w:cs="Times New Roman"/>
        </w:rPr>
        <w:t xml:space="preserve"> </w:t>
      </w:r>
    </w:p>
    <w:p w14:paraId="5318B9B3" w14:textId="77777777" w:rsidR="006E5FD0" w:rsidRPr="00E869A4" w:rsidRDefault="006E5FD0" w:rsidP="00A35FF8">
      <w:pPr>
        <w:rPr>
          <w:rStyle w:val="Strong"/>
          <w:rFonts w:ascii="Times New Roman" w:hAnsi="Times New Roman" w:cs="Times New Roman"/>
        </w:rPr>
      </w:pPr>
    </w:p>
    <w:p w14:paraId="1E77C1A5" w14:textId="77777777" w:rsidR="00615F84" w:rsidRPr="00E869A4" w:rsidRDefault="00615F84">
      <w:pPr>
        <w:rPr>
          <w:b/>
        </w:rPr>
      </w:pPr>
      <w:bookmarkStart w:id="494" w:name="_Toc507665571"/>
      <w:bookmarkStart w:id="495" w:name="_Toc507909143"/>
      <w:r w:rsidRPr="00E869A4">
        <w:rPr>
          <w:b/>
        </w:rPr>
        <w:br w:type="page"/>
      </w:r>
    </w:p>
    <w:p w14:paraId="6BB9EEED" w14:textId="0EB3B01B" w:rsidR="006B59BA" w:rsidRPr="00E869A4" w:rsidRDefault="006B59BA" w:rsidP="006B59BA">
      <w:pPr>
        <w:pStyle w:val="ListParagraph"/>
        <w:ind w:left="0"/>
        <w:contextualSpacing w:val="0"/>
        <w:rPr>
          <w:b/>
        </w:rPr>
      </w:pPr>
      <w:r w:rsidRPr="00E869A4">
        <w:rPr>
          <w:b/>
        </w:rPr>
        <w:lastRenderedPageBreak/>
        <w:t>(2013 INTERVIEWS)</w:t>
      </w:r>
    </w:p>
    <w:p w14:paraId="11176156" w14:textId="77777777" w:rsidR="006B59BA" w:rsidRPr="00E869A4" w:rsidRDefault="006B59BA" w:rsidP="006B59BA">
      <w:pPr>
        <w:pStyle w:val="ListParagraph"/>
        <w:ind w:left="0"/>
        <w:contextualSpacing w:val="0"/>
        <w:rPr>
          <w:b/>
        </w:rPr>
      </w:pPr>
    </w:p>
    <w:p w14:paraId="26AEC629" w14:textId="77777777" w:rsidR="00D1584C" w:rsidRPr="00E869A4" w:rsidRDefault="00D1584C" w:rsidP="009D4C5D">
      <w:pPr>
        <w:pStyle w:val="ListParagraph"/>
        <w:numPr>
          <w:ilvl w:val="0"/>
          <w:numId w:val="74"/>
        </w:numPr>
        <w:contextualSpacing w:val="0"/>
        <w:rPr>
          <w:b/>
        </w:rPr>
      </w:pPr>
      <w:bookmarkStart w:id="496" w:name="_Toc507665572"/>
      <w:bookmarkStart w:id="497" w:name="_Toc507909144"/>
      <w:bookmarkEnd w:id="494"/>
      <w:bookmarkEnd w:id="495"/>
      <w:r w:rsidRPr="00E869A4">
        <w:rPr>
          <w:b/>
        </w:rPr>
        <w:t>MR. DRUMAN &amp; his son TIMOTHY</w:t>
      </w:r>
      <w:bookmarkEnd w:id="496"/>
      <w:bookmarkEnd w:id="497"/>
    </w:p>
    <w:p w14:paraId="19F4DFA0" w14:textId="77777777" w:rsidR="00D1584C" w:rsidRPr="00E869A4" w:rsidRDefault="00D1584C" w:rsidP="00A35FF8">
      <w:pPr>
        <w:autoSpaceDE w:val="0"/>
        <w:autoSpaceDN w:val="0"/>
        <w:adjustRightInd w:val="0"/>
        <w:rPr>
          <w:rFonts w:ascii="Times New Roman" w:hAnsi="Times New Roman" w:cs="Times New Roman"/>
        </w:rPr>
      </w:pPr>
    </w:p>
    <w:tbl>
      <w:tblPr>
        <w:tblStyle w:val="MediumShading2-Accent11"/>
        <w:tblW w:w="9436"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980"/>
        <w:gridCol w:w="3466"/>
      </w:tblGrid>
      <w:tr w:rsidR="00C714D3" w:rsidRPr="00E869A4" w14:paraId="6A15FEAE" w14:textId="77777777" w:rsidTr="00B8508B">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990" w:type="dxa"/>
          </w:tcPr>
          <w:p w14:paraId="6233B099" w14:textId="77777777" w:rsidR="00D1584C" w:rsidRPr="00102628" w:rsidRDefault="00D1584C" w:rsidP="00B8508B">
            <w:pPr>
              <w:autoSpaceDE w:val="0"/>
              <w:autoSpaceDN w:val="0"/>
              <w:adjustRightInd w:val="0"/>
              <w:ind w:left="121" w:hanging="1"/>
              <w:jc w:val="center"/>
              <w:rPr>
                <w:rFonts w:ascii="Times New Roman" w:hAnsi="Times New Roman" w:cs="Times New Roman"/>
                <w:caps/>
                <w:sz w:val="23"/>
                <w:szCs w:val="23"/>
              </w:rPr>
            </w:pPr>
            <w:r w:rsidRPr="00102628">
              <w:rPr>
                <w:rFonts w:ascii="Times New Roman" w:hAnsi="Times New Roman" w:cs="Times New Roman"/>
                <w:caps/>
                <w:sz w:val="23"/>
                <w:szCs w:val="23"/>
              </w:rPr>
              <w:t>Participant Category</w:t>
            </w:r>
          </w:p>
        </w:tc>
        <w:tc>
          <w:tcPr>
            <w:tcW w:w="2980" w:type="dxa"/>
          </w:tcPr>
          <w:p w14:paraId="740AD59D" w14:textId="30E62D51" w:rsidR="00D1584C" w:rsidRPr="00102628" w:rsidRDefault="009E2738" w:rsidP="00B8508B">
            <w:pPr>
              <w:autoSpaceDE w:val="0"/>
              <w:autoSpaceDN w:val="0"/>
              <w:adjustRightInd w:val="0"/>
              <w:ind w:left="121" w:hang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02628">
              <w:rPr>
                <w:rFonts w:ascii="Times New Roman" w:hAnsi="Times New Roman" w:cs="Times New Roman"/>
                <w:sz w:val="23"/>
                <w:szCs w:val="23"/>
              </w:rPr>
              <w:t>CARE RECIPIENT</w:t>
            </w:r>
            <w:r w:rsidR="00D1584C" w:rsidRPr="00102628">
              <w:rPr>
                <w:rFonts w:ascii="Times New Roman" w:hAnsi="Times New Roman" w:cs="Times New Roman"/>
                <w:sz w:val="23"/>
                <w:szCs w:val="23"/>
              </w:rPr>
              <w:t xml:space="preserve"> (CR)</w:t>
            </w:r>
          </w:p>
        </w:tc>
        <w:tc>
          <w:tcPr>
            <w:tcW w:w="3466" w:type="dxa"/>
          </w:tcPr>
          <w:p w14:paraId="5EB1E7C9" w14:textId="77777777" w:rsidR="00D1584C" w:rsidRPr="00102628" w:rsidRDefault="00D1584C" w:rsidP="00B8508B">
            <w:pPr>
              <w:autoSpaceDE w:val="0"/>
              <w:autoSpaceDN w:val="0"/>
              <w:adjustRightInd w:val="0"/>
              <w:ind w:left="121" w:hang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02628">
              <w:rPr>
                <w:rFonts w:ascii="Times New Roman" w:hAnsi="Times New Roman" w:cs="Times New Roman"/>
                <w:sz w:val="23"/>
                <w:szCs w:val="23"/>
              </w:rPr>
              <w:t>CAREGIVER (CG)</w:t>
            </w:r>
          </w:p>
        </w:tc>
      </w:tr>
      <w:tr w:rsidR="00C714D3" w:rsidRPr="00E869A4" w14:paraId="594E0768"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68D8524B"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 xml:space="preserve">Name </w:t>
            </w:r>
          </w:p>
        </w:tc>
        <w:tc>
          <w:tcPr>
            <w:tcW w:w="2980" w:type="dxa"/>
          </w:tcPr>
          <w:p w14:paraId="4DD9F577"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Frederick Druman</w:t>
            </w:r>
          </w:p>
        </w:tc>
        <w:tc>
          <w:tcPr>
            <w:tcW w:w="3466" w:type="dxa"/>
          </w:tcPr>
          <w:p w14:paraId="3DAAB77D"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Timothy Druman </w:t>
            </w:r>
          </w:p>
        </w:tc>
      </w:tr>
      <w:tr w:rsidR="00C714D3" w:rsidRPr="00E869A4" w14:paraId="0B760D69"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217F082F"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Relationship</w:t>
            </w:r>
          </w:p>
        </w:tc>
        <w:tc>
          <w:tcPr>
            <w:tcW w:w="2980" w:type="dxa"/>
          </w:tcPr>
          <w:p w14:paraId="2169C007"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Father</w:t>
            </w:r>
          </w:p>
        </w:tc>
        <w:tc>
          <w:tcPr>
            <w:tcW w:w="3466" w:type="dxa"/>
          </w:tcPr>
          <w:p w14:paraId="70F894EC"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Son</w:t>
            </w:r>
          </w:p>
        </w:tc>
      </w:tr>
      <w:tr w:rsidR="00C714D3" w:rsidRPr="00E869A4" w14:paraId="249360BC"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4AED295F"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Age</w:t>
            </w:r>
          </w:p>
        </w:tc>
        <w:tc>
          <w:tcPr>
            <w:tcW w:w="2980" w:type="dxa"/>
          </w:tcPr>
          <w:p w14:paraId="0758EC25"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89</w:t>
            </w:r>
          </w:p>
        </w:tc>
        <w:tc>
          <w:tcPr>
            <w:tcW w:w="3466" w:type="dxa"/>
          </w:tcPr>
          <w:p w14:paraId="7967F79E"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60-69</w:t>
            </w:r>
          </w:p>
        </w:tc>
      </w:tr>
      <w:tr w:rsidR="00C714D3" w:rsidRPr="00E869A4" w14:paraId="6AA2F515"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44F2DB59"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Gender</w:t>
            </w:r>
          </w:p>
        </w:tc>
        <w:tc>
          <w:tcPr>
            <w:tcW w:w="2980" w:type="dxa"/>
          </w:tcPr>
          <w:p w14:paraId="33D5B103"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Male</w:t>
            </w:r>
          </w:p>
        </w:tc>
        <w:tc>
          <w:tcPr>
            <w:tcW w:w="3466" w:type="dxa"/>
          </w:tcPr>
          <w:p w14:paraId="27F4851A"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Male</w:t>
            </w:r>
          </w:p>
        </w:tc>
      </w:tr>
      <w:tr w:rsidR="00C714D3" w:rsidRPr="00E869A4" w14:paraId="6A909659"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08A12124"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Ethnicity</w:t>
            </w:r>
          </w:p>
        </w:tc>
        <w:tc>
          <w:tcPr>
            <w:tcW w:w="2980" w:type="dxa"/>
          </w:tcPr>
          <w:p w14:paraId="288114E2"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 Trinidadian</w:t>
            </w:r>
          </w:p>
        </w:tc>
        <w:tc>
          <w:tcPr>
            <w:tcW w:w="3466" w:type="dxa"/>
          </w:tcPr>
          <w:p w14:paraId="7B0ADB6B"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 Trinidadian</w:t>
            </w:r>
          </w:p>
        </w:tc>
      </w:tr>
      <w:tr w:rsidR="00C714D3" w:rsidRPr="00E869A4" w14:paraId="08FCC1BA"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47E4C58C"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Education</w:t>
            </w:r>
          </w:p>
        </w:tc>
        <w:tc>
          <w:tcPr>
            <w:tcW w:w="2980" w:type="dxa"/>
          </w:tcPr>
          <w:p w14:paraId="2E7B774F" w14:textId="77777777" w:rsidR="00D1584C" w:rsidRPr="00E869A4" w:rsidRDefault="00D1584C" w:rsidP="00B8508B">
            <w:pPr>
              <w:autoSpaceDE w:val="0"/>
              <w:autoSpaceDN w:val="0"/>
              <w:adjustRightInd w:val="0"/>
              <w:ind w:left="179"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Primary School; On the Job Training</w:t>
            </w:r>
          </w:p>
        </w:tc>
        <w:tc>
          <w:tcPr>
            <w:tcW w:w="3466" w:type="dxa"/>
          </w:tcPr>
          <w:p w14:paraId="519CD74F"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College graduate</w:t>
            </w:r>
          </w:p>
        </w:tc>
      </w:tr>
      <w:tr w:rsidR="00C714D3" w:rsidRPr="00E869A4" w14:paraId="6E8CCB05"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63A0AFBF"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Employment History / Status</w:t>
            </w:r>
          </w:p>
        </w:tc>
        <w:tc>
          <w:tcPr>
            <w:tcW w:w="2980" w:type="dxa"/>
          </w:tcPr>
          <w:p w14:paraId="26830E8D" w14:textId="77777777" w:rsidR="00D1584C" w:rsidRPr="00E869A4" w:rsidRDefault="00D1584C" w:rsidP="00B8508B">
            <w:pPr>
              <w:autoSpaceDE w:val="0"/>
              <w:autoSpaceDN w:val="0"/>
              <w:adjustRightInd w:val="0"/>
              <w:ind w:left="179"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Senior Technician</w:t>
            </w:r>
          </w:p>
        </w:tc>
        <w:tc>
          <w:tcPr>
            <w:tcW w:w="3466" w:type="dxa"/>
          </w:tcPr>
          <w:p w14:paraId="0CD1FABD"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C714D3" w:rsidRPr="00E869A4" w14:paraId="507A0896"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2A557F05"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Marital Status</w:t>
            </w:r>
          </w:p>
        </w:tc>
        <w:tc>
          <w:tcPr>
            <w:tcW w:w="2980" w:type="dxa"/>
          </w:tcPr>
          <w:p w14:paraId="2CF6B491"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Widower </w:t>
            </w:r>
          </w:p>
        </w:tc>
        <w:tc>
          <w:tcPr>
            <w:tcW w:w="3466" w:type="dxa"/>
          </w:tcPr>
          <w:p w14:paraId="0F79D8AC"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Married </w:t>
            </w:r>
          </w:p>
        </w:tc>
      </w:tr>
      <w:tr w:rsidR="00C714D3" w:rsidRPr="00E869A4" w14:paraId="7FBDC3EA"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74A854FB"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Number of Sons</w:t>
            </w:r>
          </w:p>
        </w:tc>
        <w:tc>
          <w:tcPr>
            <w:tcW w:w="2980" w:type="dxa"/>
          </w:tcPr>
          <w:p w14:paraId="78D11000"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66" w:type="dxa"/>
          </w:tcPr>
          <w:p w14:paraId="075FC2B8"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40948549"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2E11D541"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Number of Daughters</w:t>
            </w:r>
          </w:p>
        </w:tc>
        <w:tc>
          <w:tcPr>
            <w:tcW w:w="2980" w:type="dxa"/>
          </w:tcPr>
          <w:p w14:paraId="7D2EF228"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66" w:type="dxa"/>
          </w:tcPr>
          <w:p w14:paraId="0D0CD6AE"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3DFE2D56"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1CCA2494"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Total # Surviving Children</w:t>
            </w:r>
          </w:p>
        </w:tc>
        <w:tc>
          <w:tcPr>
            <w:tcW w:w="2980" w:type="dxa"/>
          </w:tcPr>
          <w:p w14:paraId="11E9FA31"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66" w:type="dxa"/>
          </w:tcPr>
          <w:p w14:paraId="582FD4A9"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0F7DE57F"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5B1E2331"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Level of Dependency / Care Activities</w:t>
            </w:r>
          </w:p>
        </w:tc>
        <w:tc>
          <w:tcPr>
            <w:tcW w:w="2980" w:type="dxa"/>
          </w:tcPr>
          <w:p w14:paraId="2E38FEAC"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Severely dependent</w:t>
            </w:r>
          </w:p>
        </w:tc>
        <w:tc>
          <w:tcPr>
            <w:tcW w:w="3466" w:type="dxa"/>
          </w:tcPr>
          <w:p w14:paraId="5B8EC73A"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IADL &amp; some  ADL </w:t>
            </w:r>
          </w:p>
        </w:tc>
      </w:tr>
      <w:tr w:rsidR="00C714D3" w:rsidRPr="00E869A4" w14:paraId="3F1FAC54"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6BDA026A"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Health Challenges / Care provided</w:t>
            </w:r>
          </w:p>
        </w:tc>
        <w:tc>
          <w:tcPr>
            <w:tcW w:w="2980" w:type="dxa"/>
          </w:tcPr>
          <w:p w14:paraId="259B8F13"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Diabetes</w:t>
            </w:r>
          </w:p>
          <w:p w14:paraId="5BCC9B66"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Mobility (wheelchair dependent)</w:t>
            </w:r>
          </w:p>
        </w:tc>
        <w:tc>
          <w:tcPr>
            <w:tcW w:w="3466" w:type="dxa"/>
          </w:tcPr>
          <w:p w14:paraId="53728D8B"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6CACE024"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Reconstructive care</w:t>
            </w:r>
          </w:p>
        </w:tc>
      </w:tr>
      <w:tr w:rsidR="00C714D3" w:rsidRPr="00E869A4" w14:paraId="6604D102"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3D22F80B"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Time spent providing Family Care to CR</w:t>
            </w:r>
          </w:p>
        </w:tc>
        <w:tc>
          <w:tcPr>
            <w:tcW w:w="2980" w:type="dxa"/>
          </w:tcPr>
          <w:p w14:paraId="01929C8F"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466" w:type="dxa"/>
          </w:tcPr>
          <w:p w14:paraId="708CD644"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 years or longer as primary caregiver</w:t>
            </w:r>
            <w:r w:rsidRPr="00E869A4">
              <w:rPr>
                <w:rStyle w:val="FootnoteReference"/>
                <w:rFonts w:ascii="Times New Roman" w:hAnsi="Times New Roman" w:cs="Times New Roman"/>
                <w:sz w:val="23"/>
                <w:szCs w:val="23"/>
              </w:rPr>
              <w:footnoteReference w:id="141"/>
            </w:r>
          </w:p>
        </w:tc>
      </w:tr>
      <w:tr w:rsidR="00C714D3" w:rsidRPr="00E869A4" w14:paraId="1EB3452E"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61D32B17"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Location in T&amp;T</w:t>
            </w:r>
            <w:r w:rsidRPr="00102628">
              <w:rPr>
                <w:rStyle w:val="FootnoteReference"/>
                <w:rFonts w:ascii="Times New Roman" w:hAnsi="Times New Roman" w:cs="Times New Roman"/>
                <w:sz w:val="23"/>
                <w:szCs w:val="23"/>
              </w:rPr>
              <w:footnoteReference w:id="142"/>
            </w:r>
          </w:p>
        </w:tc>
        <w:tc>
          <w:tcPr>
            <w:tcW w:w="2980" w:type="dxa"/>
          </w:tcPr>
          <w:p w14:paraId="7D290ABC"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Central</w:t>
            </w:r>
          </w:p>
        </w:tc>
        <w:tc>
          <w:tcPr>
            <w:tcW w:w="3466" w:type="dxa"/>
          </w:tcPr>
          <w:p w14:paraId="2A8DD864"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North Central </w:t>
            </w:r>
          </w:p>
        </w:tc>
      </w:tr>
      <w:tr w:rsidR="00C714D3" w:rsidRPr="00E869A4" w14:paraId="1CA57887"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5E71A8CF"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Access to Home / Distance between residence of CR &amp; CG</w:t>
            </w:r>
          </w:p>
        </w:tc>
        <w:tc>
          <w:tcPr>
            <w:tcW w:w="2980" w:type="dxa"/>
          </w:tcPr>
          <w:p w14:paraId="496608C1"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 steps at front of house and 3 at the side; ramp installed but too steep; used side entrance to get in and out</w:t>
            </w:r>
          </w:p>
        </w:tc>
        <w:tc>
          <w:tcPr>
            <w:tcW w:w="3466" w:type="dxa"/>
          </w:tcPr>
          <w:p w14:paraId="6A6AC21B" w14:textId="77777777" w:rsidR="00D1584C" w:rsidRPr="00E869A4" w:rsidRDefault="00D1584C" w:rsidP="00B8508B">
            <w:pPr>
              <w:autoSpaceDE w:val="0"/>
              <w:autoSpaceDN w:val="0"/>
              <w:adjustRightInd w:val="0"/>
              <w:ind w:left="121" w:firstLine="5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Different house: 15 minute drive.</w:t>
            </w:r>
          </w:p>
        </w:tc>
      </w:tr>
      <w:tr w:rsidR="00C714D3" w:rsidRPr="00E869A4" w14:paraId="7D2A7DB9"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130D8A0B"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Lives Alone</w:t>
            </w:r>
          </w:p>
        </w:tc>
        <w:tc>
          <w:tcPr>
            <w:tcW w:w="2980" w:type="dxa"/>
          </w:tcPr>
          <w:p w14:paraId="097587EA"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 Paid Caregivers work at night</w:t>
            </w:r>
          </w:p>
        </w:tc>
        <w:tc>
          <w:tcPr>
            <w:tcW w:w="3466" w:type="dxa"/>
          </w:tcPr>
          <w:p w14:paraId="7CEBCD28" w14:textId="77777777" w:rsidR="00D1584C" w:rsidRPr="00E869A4" w:rsidRDefault="00D1584C" w:rsidP="00B8508B">
            <w:pPr>
              <w:autoSpaceDE w:val="0"/>
              <w:autoSpaceDN w:val="0"/>
              <w:adjustRightInd w:val="0"/>
              <w:ind w:left="121" w:firstLine="5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C714D3" w:rsidRPr="00E869A4" w14:paraId="0D0053E4"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62262EB2"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Paid Caregivers</w:t>
            </w:r>
          </w:p>
        </w:tc>
        <w:tc>
          <w:tcPr>
            <w:tcW w:w="6446" w:type="dxa"/>
            <w:gridSpan w:val="2"/>
          </w:tcPr>
          <w:p w14:paraId="6DDA52AE" w14:textId="77777777" w:rsidR="00D1584C" w:rsidRPr="00E869A4" w:rsidRDefault="00D1584C" w:rsidP="009D4C5D">
            <w:pPr>
              <w:pStyle w:val="ListParagraph"/>
              <w:numPr>
                <w:ilvl w:val="0"/>
                <w:numId w:val="28"/>
              </w:numPr>
              <w:tabs>
                <w:tab w:val="left" w:pos="462"/>
              </w:tabs>
              <w:autoSpaceDE w:val="0"/>
              <w:autoSpaceDN w:val="0"/>
              <w:adjustRightInd w:val="0"/>
              <w:ind w:left="121" w:firstLine="58"/>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Melissa  (informal caregiver)</w:t>
            </w:r>
          </w:p>
          <w:p w14:paraId="6BA2CC41" w14:textId="77777777" w:rsidR="00D1584C" w:rsidRPr="00E869A4" w:rsidRDefault="00D1584C" w:rsidP="009D4C5D">
            <w:pPr>
              <w:pStyle w:val="ListParagraph"/>
              <w:numPr>
                <w:ilvl w:val="0"/>
                <w:numId w:val="28"/>
              </w:numPr>
              <w:tabs>
                <w:tab w:val="left" w:pos="462"/>
              </w:tabs>
              <w:autoSpaceDE w:val="0"/>
              <w:autoSpaceDN w:val="0"/>
              <w:adjustRightInd w:val="0"/>
              <w:ind w:left="121" w:firstLine="58"/>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Arlene   (night caregiver)</w:t>
            </w:r>
          </w:p>
          <w:p w14:paraId="5F82BAF2" w14:textId="77777777" w:rsidR="00D1584C" w:rsidRPr="00E869A4" w:rsidRDefault="00D1584C" w:rsidP="009D4C5D">
            <w:pPr>
              <w:pStyle w:val="ListParagraph"/>
              <w:numPr>
                <w:ilvl w:val="0"/>
                <w:numId w:val="28"/>
              </w:numPr>
              <w:tabs>
                <w:tab w:val="left" w:pos="462"/>
              </w:tabs>
              <w:autoSpaceDE w:val="0"/>
              <w:autoSpaceDN w:val="0"/>
              <w:adjustRightInd w:val="0"/>
              <w:ind w:left="121" w:firstLine="58"/>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Ingrid   (night caregiver)</w:t>
            </w:r>
          </w:p>
          <w:p w14:paraId="354AADF5" w14:textId="77777777" w:rsidR="00D1584C" w:rsidRPr="00E869A4" w:rsidRDefault="00D1584C" w:rsidP="009D4C5D">
            <w:pPr>
              <w:pStyle w:val="ListParagraph"/>
              <w:numPr>
                <w:ilvl w:val="0"/>
                <w:numId w:val="28"/>
              </w:numPr>
              <w:tabs>
                <w:tab w:val="left" w:pos="462"/>
              </w:tabs>
              <w:autoSpaceDE w:val="0"/>
              <w:autoSpaceDN w:val="0"/>
              <w:adjustRightInd w:val="0"/>
              <w:ind w:left="121" w:firstLine="58"/>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Jennifer (day caregiver)</w:t>
            </w:r>
          </w:p>
        </w:tc>
      </w:tr>
      <w:tr w:rsidR="00C714D3" w:rsidRPr="00E869A4" w14:paraId="392A20ED"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609F1B08"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 xml:space="preserve">Support from Family </w:t>
            </w:r>
            <w:r w:rsidRPr="00102628">
              <w:rPr>
                <w:rFonts w:ascii="Times New Roman" w:hAnsi="Times New Roman" w:cs="Times New Roman"/>
                <w:sz w:val="23"/>
                <w:szCs w:val="23"/>
              </w:rPr>
              <w:lastRenderedPageBreak/>
              <w:t>Overseas</w:t>
            </w:r>
          </w:p>
        </w:tc>
        <w:tc>
          <w:tcPr>
            <w:tcW w:w="6446" w:type="dxa"/>
            <w:gridSpan w:val="2"/>
          </w:tcPr>
          <w:p w14:paraId="52DCED81" w14:textId="77777777" w:rsidR="00D1584C" w:rsidRPr="00E869A4" w:rsidRDefault="00D1584C" w:rsidP="009D4C5D">
            <w:pPr>
              <w:pStyle w:val="ListParagraph"/>
              <w:numPr>
                <w:ilvl w:val="0"/>
                <w:numId w:val="28"/>
              </w:numPr>
              <w:tabs>
                <w:tab w:val="left" w:pos="462"/>
              </w:tabs>
              <w:autoSpaceDE w:val="0"/>
              <w:autoSpaceDN w:val="0"/>
              <w:adjustRightInd w:val="0"/>
              <w:ind w:left="121" w:firstLine="5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No</w:t>
            </w:r>
          </w:p>
          <w:p w14:paraId="0090416A" w14:textId="77777777" w:rsidR="00744E78" w:rsidRPr="00E869A4" w:rsidRDefault="00744E78" w:rsidP="009D4C5D">
            <w:pPr>
              <w:pStyle w:val="ListParagraph"/>
              <w:numPr>
                <w:ilvl w:val="0"/>
                <w:numId w:val="28"/>
              </w:numPr>
              <w:tabs>
                <w:tab w:val="left" w:pos="462"/>
              </w:tabs>
              <w:autoSpaceDE w:val="0"/>
              <w:autoSpaceDN w:val="0"/>
              <w:adjustRightInd w:val="0"/>
              <w:ind w:left="121" w:firstLine="5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(Previously cared for by his daughter Petra who was his primary carer before she died. Her husband David still provides some support)</w:t>
            </w:r>
          </w:p>
        </w:tc>
      </w:tr>
      <w:tr w:rsidR="00C714D3" w:rsidRPr="00E869A4" w14:paraId="286965DF" w14:textId="77777777" w:rsidTr="00B8508B">
        <w:trPr>
          <w:jc w:val="center"/>
        </w:trPr>
        <w:tc>
          <w:tcPr>
            <w:cnfStyle w:val="001000000000" w:firstRow="0" w:lastRow="0" w:firstColumn="1" w:lastColumn="0" w:oddVBand="0" w:evenVBand="0" w:oddHBand="0" w:evenHBand="0" w:firstRowFirstColumn="0" w:firstRowLastColumn="0" w:lastRowFirstColumn="0" w:lastRowLastColumn="0"/>
            <w:tcW w:w="2990" w:type="dxa"/>
          </w:tcPr>
          <w:p w14:paraId="203DFE64"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lastRenderedPageBreak/>
              <w:t>Support from other relatives locally</w:t>
            </w:r>
          </w:p>
        </w:tc>
        <w:tc>
          <w:tcPr>
            <w:tcW w:w="6446" w:type="dxa"/>
            <w:gridSpan w:val="2"/>
          </w:tcPr>
          <w:p w14:paraId="0554FC8D" w14:textId="77777777" w:rsidR="00D1584C" w:rsidRPr="00E869A4" w:rsidRDefault="00D1584C" w:rsidP="009D4C5D">
            <w:pPr>
              <w:pStyle w:val="ListParagraph"/>
              <w:numPr>
                <w:ilvl w:val="0"/>
                <w:numId w:val="28"/>
              </w:numPr>
              <w:autoSpaceDE w:val="0"/>
              <w:autoSpaceDN w:val="0"/>
              <w:adjustRightInd w:val="0"/>
              <w:ind w:left="121"/>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Yes </w:t>
            </w:r>
          </w:p>
        </w:tc>
      </w:tr>
      <w:tr w:rsidR="00C714D3" w:rsidRPr="00E869A4" w14:paraId="6EE2953C" w14:textId="77777777" w:rsidTr="00B850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14:paraId="6E75DBC6" w14:textId="77777777" w:rsidR="00D1584C" w:rsidRPr="00102628" w:rsidRDefault="00D1584C" w:rsidP="00B8508B">
            <w:pPr>
              <w:autoSpaceDE w:val="0"/>
              <w:autoSpaceDN w:val="0"/>
              <w:adjustRightInd w:val="0"/>
              <w:ind w:left="121" w:hanging="1"/>
              <w:rPr>
                <w:rFonts w:ascii="Times New Roman" w:hAnsi="Times New Roman" w:cs="Times New Roman"/>
                <w:sz w:val="23"/>
                <w:szCs w:val="23"/>
              </w:rPr>
            </w:pPr>
            <w:r w:rsidRPr="00102628">
              <w:rPr>
                <w:rFonts w:ascii="Times New Roman" w:hAnsi="Times New Roman" w:cs="Times New Roman"/>
                <w:sz w:val="23"/>
                <w:szCs w:val="23"/>
              </w:rPr>
              <w:t>Other Support</w:t>
            </w:r>
          </w:p>
        </w:tc>
        <w:tc>
          <w:tcPr>
            <w:tcW w:w="6446" w:type="dxa"/>
            <w:gridSpan w:val="2"/>
          </w:tcPr>
          <w:p w14:paraId="3A7D2AE0" w14:textId="77777777" w:rsidR="00D1584C" w:rsidRPr="00E869A4" w:rsidRDefault="00D1584C" w:rsidP="009D4C5D">
            <w:pPr>
              <w:pStyle w:val="ListParagraph"/>
              <w:numPr>
                <w:ilvl w:val="0"/>
                <w:numId w:val="28"/>
              </w:numPr>
              <w:autoSpaceDE w:val="0"/>
              <w:autoSpaceDN w:val="0"/>
              <w:adjustRightInd w:val="0"/>
              <w:ind w:left="121"/>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David (Son-in-law) – financial assistance</w:t>
            </w:r>
          </w:p>
        </w:tc>
      </w:tr>
    </w:tbl>
    <w:p w14:paraId="0584120A" w14:textId="77777777" w:rsidR="00D1584C" w:rsidRPr="00E869A4" w:rsidRDefault="00D1584C" w:rsidP="00A35FF8">
      <w:pPr>
        <w:autoSpaceDE w:val="0"/>
        <w:autoSpaceDN w:val="0"/>
        <w:adjustRightInd w:val="0"/>
        <w:rPr>
          <w:rFonts w:ascii="Times New Roman" w:hAnsi="Times New Roman" w:cs="Times New Roman"/>
        </w:rPr>
      </w:pPr>
    </w:p>
    <w:p w14:paraId="58F4774D" w14:textId="489BF1B7" w:rsidR="00D1584C" w:rsidRPr="00E869A4" w:rsidRDefault="00D1584C" w:rsidP="00A35FF8">
      <w:pPr>
        <w:ind w:firstLine="720"/>
        <w:rPr>
          <w:rStyle w:val="Strong"/>
          <w:rFonts w:ascii="Times New Roman" w:eastAsiaTheme="majorEastAsia" w:hAnsi="Times New Roman" w:cs="Times New Roman"/>
          <w:b w:val="0"/>
        </w:rPr>
      </w:pPr>
      <w:r w:rsidRPr="00E869A4">
        <w:rPr>
          <w:rStyle w:val="Strong"/>
          <w:rFonts w:ascii="Times New Roman" w:eastAsiaTheme="majorEastAsia" w:hAnsi="Times New Roman" w:cs="Times New Roman"/>
          <w:b w:val="0"/>
        </w:rPr>
        <w:t>Mr. Druman’s primary caregiver was his son Timothy. At first, Timothy’s sister Petra was the primary family caregiver to Mr. and Mrs. Druman. But when she died from cancer, Timothy had to transition from being a secon</w:t>
      </w:r>
      <w:r w:rsidR="00086DF3" w:rsidRPr="00E869A4">
        <w:rPr>
          <w:rStyle w:val="Strong"/>
          <w:rFonts w:ascii="Times New Roman" w:eastAsiaTheme="majorEastAsia" w:hAnsi="Times New Roman" w:cs="Times New Roman"/>
          <w:b w:val="0"/>
        </w:rPr>
        <w:t>dary to a primary family car</w:t>
      </w:r>
      <w:r w:rsidRPr="00E869A4">
        <w:rPr>
          <w:rStyle w:val="Strong"/>
          <w:rFonts w:ascii="Times New Roman" w:eastAsiaTheme="majorEastAsia" w:hAnsi="Times New Roman" w:cs="Times New Roman"/>
          <w:b w:val="0"/>
        </w:rPr>
        <w:t xml:space="preserve">er. Like Mother Freeda and Sheila, Timothy lived in a separate house from his father. Mr. Druman did not want to move-in with Timothy, so paid in-formal caregivers worked on a shift-basis </w:t>
      </w:r>
      <w:r w:rsidR="00B339C4" w:rsidRPr="00E869A4">
        <w:rPr>
          <w:rStyle w:val="Strong"/>
          <w:rFonts w:ascii="Times New Roman" w:eastAsiaTheme="majorEastAsia" w:hAnsi="Times New Roman" w:cs="Times New Roman"/>
          <w:b w:val="0"/>
        </w:rPr>
        <w:t>in the day and night</w:t>
      </w:r>
      <w:r w:rsidRPr="00E869A4">
        <w:rPr>
          <w:rStyle w:val="Strong"/>
          <w:rFonts w:ascii="Times New Roman" w:eastAsiaTheme="majorEastAsia" w:hAnsi="Times New Roman" w:cs="Times New Roman"/>
          <w:b w:val="0"/>
        </w:rPr>
        <w:t xml:space="preserve"> to attend to his needs. Timothy spent most weekends at his dad’s house and filled in for the paid caregivers between shifts. The paid care</w:t>
      </w:r>
      <w:r w:rsidR="00B339C4" w:rsidRPr="00E869A4">
        <w:rPr>
          <w:rStyle w:val="Strong"/>
          <w:rFonts w:ascii="Times New Roman" w:eastAsiaTheme="majorEastAsia" w:hAnsi="Times New Roman" w:cs="Times New Roman"/>
          <w:b w:val="0"/>
        </w:rPr>
        <w:t>worker</w:t>
      </w:r>
      <w:r w:rsidRPr="00E869A4">
        <w:rPr>
          <w:rStyle w:val="Strong"/>
          <w:rFonts w:ascii="Times New Roman" w:eastAsiaTheme="majorEastAsia" w:hAnsi="Times New Roman" w:cs="Times New Roman"/>
          <w:b w:val="0"/>
        </w:rPr>
        <w:t xml:space="preserve">s were hired several years </w:t>
      </w:r>
      <w:r w:rsidR="00B339C4" w:rsidRPr="00E869A4">
        <w:rPr>
          <w:rStyle w:val="Strong"/>
          <w:rFonts w:ascii="Times New Roman" w:eastAsiaTheme="majorEastAsia" w:hAnsi="Times New Roman" w:cs="Times New Roman"/>
          <w:b w:val="0"/>
        </w:rPr>
        <w:t xml:space="preserve">before the interviews, </w:t>
      </w:r>
      <w:r w:rsidRPr="00E869A4">
        <w:rPr>
          <w:rStyle w:val="Strong"/>
          <w:rFonts w:ascii="Times New Roman" w:eastAsiaTheme="majorEastAsia" w:hAnsi="Times New Roman" w:cs="Times New Roman"/>
          <w:b w:val="0"/>
        </w:rPr>
        <w:t xml:space="preserve">and cared for both Mr. Druman and his wife. When Mrs. Druman died, they continued to help Mr. Druman. </w:t>
      </w:r>
    </w:p>
    <w:p w14:paraId="7C9B50F7" w14:textId="77777777" w:rsidR="00B339C4" w:rsidRPr="00E869A4" w:rsidRDefault="00B339C4" w:rsidP="00A35FF8">
      <w:pPr>
        <w:ind w:firstLine="720"/>
        <w:rPr>
          <w:rStyle w:val="Strong"/>
          <w:rFonts w:ascii="Times New Roman" w:eastAsiaTheme="majorEastAsia" w:hAnsi="Times New Roman" w:cs="Times New Roman"/>
          <w:b w:val="0"/>
        </w:rPr>
      </w:pPr>
    </w:p>
    <w:p w14:paraId="3591B345" w14:textId="74EFB47C" w:rsidR="00D1584C" w:rsidRPr="00E869A4" w:rsidRDefault="00D1584C" w:rsidP="00A35FF8">
      <w:pPr>
        <w:ind w:firstLine="720"/>
        <w:rPr>
          <w:rStyle w:val="Strong"/>
          <w:rFonts w:ascii="Times New Roman" w:eastAsiaTheme="majorEastAsia" w:hAnsi="Times New Roman" w:cs="Times New Roman"/>
          <w:b w:val="0"/>
        </w:rPr>
      </w:pPr>
      <w:r w:rsidRPr="00E869A4">
        <w:rPr>
          <w:rStyle w:val="Strong"/>
          <w:rFonts w:ascii="Times New Roman" w:eastAsiaTheme="majorEastAsia" w:hAnsi="Times New Roman" w:cs="Times New Roman"/>
          <w:b w:val="0"/>
        </w:rPr>
        <w:t xml:space="preserve">Timothy enjoyed caring for his father and was able to relax when he spent time with him at his house. However, though Timothy was retired, he still found it challenging to manage time for rest and his other </w:t>
      </w:r>
      <w:r w:rsidR="00B339C4" w:rsidRPr="00E869A4">
        <w:rPr>
          <w:rStyle w:val="Strong"/>
          <w:rFonts w:ascii="Times New Roman" w:eastAsiaTheme="majorEastAsia" w:hAnsi="Times New Roman" w:cs="Times New Roman"/>
          <w:b w:val="0"/>
        </w:rPr>
        <w:t>commitments</w:t>
      </w:r>
      <w:r w:rsidRPr="00E869A4">
        <w:rPr>
          <w:rStyle w:val="Strong"/>
          <w:rFonts w:ascii="Times New Roman" w:eastAsiaTheme="majorEastAsia" w:hAnsi="Times New Roman" w:cs="Times New Roman"/>
          <w:b w:val="0"/>
        </w:rPr>
        <w:t xml:space="preserve">. He and his wife cared for their primary school aged </w:t>
      </w:r>
      <w:r w:rsidR="00B339C4" w:rsidRPr="00E869A4">
        <w:rPr>
          <w:rStyle w:val="Strong"/>
          <w:rFonts w:ascii="Times New Roman" w:eastAsiaTheme="majorEastAsia" w:hAnsi="Times New Roman" w:cs="Times New Roman"/>
          <w:b w:val="0"/>
        </w:rPr>
        <w:t>granddaughter</w:t>
      </w:r>
      <w:r w:rsidRPr="00E869A4">
        <w:rPr>
          <w:rStyle w:val="Strong"/>
          <w:rFonts w:ascii="Times New Roman" w:eastAsiaTheme="majorEastAsia" w:hAnsi="Times New Roman" w:cs="Times New Roman"/>
          <w:b w:val="0"/>
        </w:rPr>
        <w:t xml:space="preserve"> full-time during the week. He also had leadership responsibilities at his church. In addition to this, Timothy experienced some challenges caring for his dad. Shortly before the interview, Timothy discovered that his father had spent all his savings. Prior to this, Mr. Druman was averse to obtaining assistance from Timothy with his finances. But, after this incident, he agreed that Timothy should manage his finances. Thankfully, Mr. Druman was still in receipt of a pension. Also, his son-in-law (Petra’s husband) continued to help with some of his care expenses. However, while these sources of income helped offset his financial loss to some degree, one of the paid caregivers observed that they still seemed to be struggling financially (see the Pen Portrait of “Melissa” that follows).</w:t>
      </w:r>
    </w:p>
    <w:p w14:paraId="2AEBFA3A" w14:textId="77777777" w:rsidR="00B339C4" w:rsidRPr="00E869A4" w:rsidRDefault="00B339C4" w:rsidP="00A35FF8">
      <w:pPr>
        <w:ind w:firstLine="720"/>
        <w:rPr>
          <w:rStyle w:val="Strong"/>
          <w:rFonts w:ascii="Times New Roman" w:eastAsiaTheme="majorEastAsia" w:hAnsi="Times New Roman" w:cs="Times New Roman"/>
          <w:b w:val="0"/>
        </w:rPr>
      </w:pPr>
    </w:p>
    <w:p w14:paraId="31971FEE" w14:textId="309FCB2B" w:rsidR="00D1584C" w:rsidRPr="00E869A4" w:rsidRDefault="00D1584C" w:rsidP="00A35FF8">
      <w:pPr>
        <w:ind w:firstLine="720"/>
        <w:rPr>
          <w:rStyle w:val="Strong"/>
          <w:rFonts w:ascii="Times New Roman" w:eastAsiaTheme="majorEastAsia" w:hAnsi="Times New Roman" w:cs="Times New Roman"/>
          <w:b w:val="0"/>
        </w:rPr>
      </w:pPr>
      <w:r w:rsidRPr="00E869A4">
        <w:rPr>
          <w:rStyle w:val="Strong"/>
          <w:rFonts w:ascii="Times New Roman" w:eastAsiaTheme="majorEastAsia" w:hAnsi="Times New Roman" w:cs="Times New Roman"/>
          <w:b w:val="0"/>
        </w:rPr>
        <w:t xml:space="preserve">Another challenge Timothy experienced in caring for his dad was meeting Mr. Druman’s desire to have his life story documented and recording sermons that he was interested in sharing with young people. Because of his physical limitations, Mr. Druman was not able to see properly or hold a pen or pencil write </w:t>
      </w:r>
      <w:r w:rsidRPr="00E869A4">
        <w:rPr>
          <w:rStyle w:val="Strong"/>
          <w:rFonts w:ascii="Times New Roman" w:eastAsiaTheme="majorEastAsia" w:hAnsi="Times New Roman" w:cs="Times New Roman"/>
          <w:b w:val="0"/>
        </w:rPr>
        <w:lastRenderedPageBreak/>
        <w:t>on his own. Timothy purchased special speak-write software so that his father could record his message, but unfortunately, the software could not record the Trinidadian dialect. He even ensured that his father had cataract surgery so he could use the computer but after that was done, he was unable to manipulate the computer since his hands were not strong enough. Timothy also expressed regret for not taking his father to activities with other older persons wh</w:t>
      </w:r>
      <w:r w:rsidR="00B339C4" w:rsidRPr="00E869A4">
        <w:rPr>
          <w:rStyle w:val="Strong"/>
          <w:rFonts w:ascii="Times New Roman" w:eastAsiaTheme="majorEastAsia" w:hAnsi="Times New Roman" w:cs="Times New Roman"/>
          <w:b w:val="0"/>
        </w:rPr>
        <w:t>en</w:t>
      </w:r>
      <w:r w:rsidRPr="00E869A4">
        <w:rPr>
          <w:rStyle w:val="Strong"/>
          <w:rFonts w:ascii="Times New Roman" w:eastAsiaTheme="majorEastAsia" w:hAnsi="Times New Roman" w:cs="Times New Roman"/>
          <w:b w:val="0"/>
        </w:rPr>
        <w:t xml:space="preserve"> he was initially interested in</w:t>
      </w:r>
      <w:r w:rsidR="00B339C4" w:rsidRPr="00E869A4">
        <w:rPr>
          <w:rStyle w:val="Strong"/>
          <w:rFonts w:ascii="Times New Roman" w:eastAsiaTheme="majorEastAsia" w:hAnsi="Times New Roman" w:cs="Times New Roman"/>
          <w:b w:val="0"/>
        </w:rPr>
        <w:t xml:space="preserve"> participating</w:t>
      </w:r>
      <w:r w:rsidRPr="00E869A4">
        <w:rPr>
          <w:rStyle w:val="Strong"/>
          <w:rFonts w:ascii="Times New Roman" w:eastAsiaTheme="majorEastAsia" w:hAnsi="Times New Roman" w:cs="Times New Roman"/>
          <w:b w:val="0"/>
        </w:rPr>
        <w:t xml:space="preserve">. </w:t>
      </w:r>
      <w:r w:rsidR="00B339C4" w:rsidRPr="00E869A4">
        <w:rPr>
          <w:rStyle w:val="Strong"/>
          <w:rFonts w:ascii="Times New Roman" w:eastAsiaTheme="majorEastAsia" w:hAnsi="Times New Roman" w:cs="Times New Roman"/>
          <w:b w:val="0"/>
        </w:rPr>
        <w:t>W</w:t>
      </w:r>
      <w:r w:rsidRPr="00E869A4">
        <w:rPr>
          <w:rStyle w:val="Strong"/>
          <w:rFonts w:ascii="Times New Roman" w:eastAsiaTheme="majorEastAsia" w:hAnsi="Times New Roman" w:cs="Times New Roman"/>
          <w:b w:val="0"/>
        </w:rPr>
        <w:t xml:space="preserve">hen Timothy tried </w:t>
      </w:r>
      <w:r w:rsidR="00B339C4" w:rsidRPr="00E869A4">
        <w:rPr>
          <w:rStyle w:val="Strong"/>
          <w:rFonts w:ascii="Times New Roman" w:eastAsiaTheme="majorEastAsia" w:hAnsi="Times New Roman" w:cs="Times New Roman"/>
          <w:b w:val="0"/>
        </w:rPr>
        <w:t>sometime</w:t>
      </w:r>
      <w:r w:rsidRPr="00E869A4">
        <w:rPr>
          <w:rStyle w:val="Strong"/>
          <w:rFonts w:ascii="Times New Roman" w:eastAsiaTheme="majorEastAsia" w:hAnsi="Times New Roman" w:cs="Times New Roman"/>
          <w:b w:val="0"/>
        </w:rPr>
        <w:t xml:space="preserve"> after to get his father involved in such activities, Mr. Druman was no longer interested but preferred instead to interact with young people. </w:t>
      </w:r>
      <w:r w:rsidR="00B339C4" w:rsidRPr="00E869A4">
        <w:rPr>
          <w:rStyle w:val="Strong"/>
          <w:rFonts w:ascii="Times New Roman" w:eastAsiaTheme="majorEastAsia" w:hAnsi="Times New Roman" w:cs="Times New Roman"/>
          <w:b w:val="0"/>
        </w:rPr>
        <w:t>U</w:t>
      </w:r>
      <w:r w:rsidRPr="00E869A4">
        <w:rPr>
          <w:rStyle w:val="Strong"/>
          <w:rFonts w:ascii="Times New Roman" w:eastAsiaTheme="majorEastAsia" w:hAnsi="Times New Roman" w:cs="Times New Roman"/>
          <w:b w:val="0"/>
        </w:rPr>
        <w:t xml:space="preserve">nfortunately, as Timothy and one of the paid caregivers (Melissa) observed, his message was not always </w:t>
      </w:r>
      <w:r w:rsidR="0051600F" w:rsidRPr="00E869A4">
        <w:rPr>
          <w:rStyle w:val="Strong"/>
          <w:rFonts w:ascii="Times New Roman" w:eastAsiaTheme="majorEastAsia" w:hAnsi="Times New Roman" w:cs="Times New Roman"/>
          <w:b w:val="0"/>
        </w:rPr>
        <w:t>engaging</w:t>
      </w:r>
      <w:r w:rsidRPr="00E869A4">
        <w:rPr>
          <w:rStyle w:val="Strong"/>
          <w:rFonts w:ascii="Times New Roman" w:eastAsiaTheme="majorEastAsia" w:hAnsi="Times New Roman" w:cs="Times New Roman"/>
          <w:b w:val="0"/>
        </w:rPr>
        <w:t xml:space="preserve">, especially to the youth since he tended to ramble and was prone to having long, one-sided discourses without much consideration for the views of those who he made his captive audience. </w:t>
      </w:r>
    </w:p>
    <w:p w14:paraId="0DB0BA57" w14:textId="7D41FAB9" w:rsidR="00D1584C" w:rsidRPr="00E869A4" w:rsidRDefault="00D1584C" w:rsidP="00B339C4">
      <w:pPr>
        <w:ind w:firstLine="0"/>
        <w:rPr>
          <w:rStyle w:val="Strong"/>
          <w:rFonts w:ascii="Times New Roman" w:hAnsi="Times New Roman" w:cs="Times New Roman"/>
          <w:b w:val="0"/>
        </w:rPr>
      </w:pPr>
    </w:p>
    <w:p w14:paraId="4FE95D04" w14:textId="77777777" w:rsidR="00D1584C" w:rsidRPr="00E869A4" w:rsidRDefault="00D1584C" w:rsidP="009D4C5D">
      <w:pPr>
        <w:pStyle w:val="ListParagraph"/>
        <w:numPr>
          <w:ilvl w:val="0"/>
          <w:numId w:val="74"/>
        </w:numPr>
        <w:contextualSpacing w:val="0"/>
        <w:rPr>
          <w:b/>
        </w:rPr>
      </w:pPr>
      <w:bookmarkStart w:id="498" w:name="_Toc507665573"/>
      <w:bookmarkStart w:id="499" w:name="_Toc507909145"/>
      <w:r w:rsidRPr="00E869A4">
        <w:rPr>
          <w:b/>
        </w:rPr>
        <w:t>MELISSA (Paid Caregiver to Mr. Druman)</w:t>
      </w:r>
      <w:bookmarkEnd w:id="498"/>
      <w:bookmarkEnd w:id="499"/>
    </w:p>
    <w:p w14:paraId="46A2523F" w14:textId="77777777" w:rsidR="00D1584C" w:rsidRPr="00102628" w:rsidRDefault="00D1584C" w:rsidP="00A35FF8">
      <w:pPr>
        <w:autoSpaceDE w:val="0"/>
        <w:autoSpaceDN w:val="0"/>
        <w:adjustRightInd w:val="0"/>
        <w:rPr>
          <w:rFonts w:ascii="Times New Roman" w:hAnsi="Times New Roman" w:cs="Times New Roman"/>
          <w:b/>
          <w:color w:val="FFFFFF" w:themeColor="background1"/>
          <w:sz w:val="22"/>
        </w:rPr>
      </w:pPr>
    </w:p>
    <w:tbl>
      <w:tblPr>
        <w:tblStyle w:val="MediumShading2-Accent11"/>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029"/>
        <w:gridCol w:w="3402"/>
      </w:tblGrid>
      <w:tr w:rsidR="00C714D3" w:rsidRPr="00E869A4" w14:paraId="5E00340B" w14:textId="77777777" w:rsidTr="006E5FD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981" w:type="dxa"/>
          </w:tcPr>
          <w:p w14:paraId="5C3A1506" w14:textId="77777777" w:rsidR="00D1584C" w:rsidRPr="00102628" w:rsidRDefault="00D1584C" w:rsidP="00FF4A4A">
            <w:pPr>
              <w:autoSpaceDE w:val="0"/>
              <w:autoSpaceDN w:val="0"/>
              <w:adjustRightInd w:val="0"/>
              <w:ind w:left="121" w:hanging="1"/>
              <w:jc w:val="center"/>
              <w:rPr>
                <w:rFonts w:ascii="Times New Roman" w:hAnsi="Times New Roman" w:cs="Times New Roman"/>
                <w:caps/>
                <w:sz w:val="23"/>
                <w:szCs w:val="23"/>
              </w:rPr>
            </w:pPr>
            <w:r w:rsidRPr="00102628">
              <w:rPr>
                <w:rFonts w:ascii="Times New Roman" w:hAnsi="Times New Roman" w:cs="Times New Roman"/>
                <w:caps/>
                <w:sz w:val="23"/>
                <w:szCs w:val="23"/>
              </w:rPr>
              <w:t>Participant Category</w:t>
            </w:r>
          </w:p>
        </w:tc>
        <w:tc>
          <w:tcPr>
            <w:tcW w:w="3029" w:type="dxa"/>
          </w:tcPr>
          <w:p w14:paraId="3B4574BA" w14:textId="0C610645" w:rsidR="00D1584C" w:rsidRPr="00102628" w:rsidRDefault="009E2738" w:rsidP="00FF4A4A">
            <w:pPr>
              <w:autoSpaceDE w:val="0"/>
              <w:autoSpaceDN w:val="0"/>
              <w:adjustRightInd w:val="0"/>
              <w:ind w:left="121" w:hang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02628">
              <w:rPr>
                <w:rFonts w:ascii="Times New Roman" w:hAnsi="Times New Roman" w:cs="Times New Roman"/>
                <w:sz w:val="23"/>
                <w:szCs w:val="23"/>
              </w:rPr>
              <w:t>CARE RECIPIENT</w:t>
            </w:r>
            <w:r w:rsidR="00D1584C" w:rsidRPr="00102628">
              <w:rPr>
                <w:rFonts w:ascii="Times New Roman" w:hAnsi="Times New Roman" w:cs="Times New Roman"/>
                <w:sz w:val="23"/>
                <w:szCs w:val="23"/>
              </w:rPr>
              <w:t xml:space="preserve"> (CR)</w:t>
            </w:r>
          </w:p>
        </w:tc>
        <w:tc>
          <w:tcPr>
            <w:tcW w:w="3402" w:type="dxa"/>
          </w:tcPr>
          <w:p w14:paraId="729BCC79" w14:textId="77777777" w:rsidR="00D1584C" w:rsidRPr="00102628" w:rsidRDefault="00D1584C" w:rsidP="00FF4A4A">
            <w:pPr>
              <w:autoSpaceDE w:val="0"/>
              <w:autoSpaceDN w:val="0"/>
              <w:adjustRightInd w:val="0"/>
              <w:ind w:left="121" w:hang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02628">
              <w:rPr>
                <w:rFonts w:ascii="Times New Roman" w:hAnsi="Times New Roman" w:cs="Times New Roman"/>
                <w:sz w:val="23"/>
                <w:szCs w:val="23"/>
              </w:rPr>
              <w:t>CAREGIVER (CG)</w:t>
            </w:r>
          </w:p>
        </w:tc>
      </w:tr>
      <w:tr w:rsidR="00C714D3" w:rsidRPr="00E869A4" w14:paraId="2A57FA5C"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48D96E06"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 xml:space="preserve">Name </w:t>
            </w:r>
          </w:p>
        </w:tc>
        <w:tc>
          <w:tcPr>
            <w:tcW w:w="3029" w:type="dxa"/>
          </w:tcPr>
          <w:p w14:paraId="585EC8D3"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Frederick Druman </w:t>
            </w:r>
          </w:p>
        </w:tc>
        <w:tc>
          <w:tcPr>
            <w:tcW w:w="3402" w:type="dxa"/>
          </w:tcPr>
          <w:p w14:paraId="474B2F07"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Melissa Henry</w:t>
            </w:r>
          </w:p>
        </w:tc>
      </w:tr>
      <w:tr w:rsidR="00C714D3" w:rsidRPr="00E869A4" w14:paraId="3BBF3284"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0C2C5498"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Relationship</w:t>
            </w:r>
          </w:p>
        </w:tc>
        <w:tc>
          <w:tcPr>
            <w:tcW w:w="3029" w:type="dxa"/>
          </w:tcPr>
          <w:p w14:paraId="1BB61566"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402" w:type="dxa"/>
          </w:tcPr>
          <w:p w14:paraId="335FBD27"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Paid Caregiver</w:t>
            </w:r>
          </w:p>
          <w:p w14:paraId="7AE84580"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Friend of the Family</w:t>
            </w:r>
          </w:p>
        </w:tc>
      </w:tr>
      <w:tr w:rsidR="00C714D3" w:rsidRPr="00E869A4" w14:paraId="7F50FBE8"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3101C4E6"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Age</w:t>
            </w:r>
          </w:p>
        </w:tc>
        <w:tc>
          <w:tcPr>
            <w:tcW w:w="3029" w:type="dxa"/>
          </w:tcPr>
          <w:p w14:paraId="2BEB8851"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89</w:t>
            </w:r>
          </w:p>
        </w:tc>
        <w:tc>
          <w:tcPr>
            <w:tcW w:w="3402" w:type="dxa"/>
          </w:tcPr>
          <w:p w14:paraId="05D96053"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21-29</w:t>
            </w:r>
          </w:p>
        </w:tc>
      </w:tr>
      <w:tr w:rsidR="00C714D3" w:rsidRPr="00E869A4" w14:paraId="4A1DCF06"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60DCF67B"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Gender</w:t>
            </w:r>
          </w:p>
        </w:tc>
        <w:tc>
          <w:tcPr>
            <w:tcW w:w="3029" w:type="dxa"/>
          </w:tcPr>
          <w:p w14:paraId="17E8A8A0"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Male</w:t>
            </w:r>
          </w:p>
        </w:tc>
        <w:tc>
          <w:tcPr>
            <w:tcW w:w="3402" w:type="dxa"/>
          </w:tcPr>
          <w:p w14:paraId="5399B0BB"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4ABE0F87"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749BF1E4"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Ethnicity</w:t>
            </w:r>
          </w:p>
        </w:tc>
        <w:tc>
          <w:tcPr>
            <w:tcW w:w="3029" w:type="dxa"/>
          </w:tcPr>
          <w:p w14:paraId="1D9BBA6E"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African-Trinidadian</w:t>
            </w:r>
          </w:p>
        </w:tc>
        <w:tc>
          <w:tcPr>
            <w:tcW w:w="3402" w:type="dxa"/>
          </w:tcPr>
          <w:p w14:paraId="7A4BD883"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African-Caribbean</w:t>
            </w:r>
            <w:r w:rsidRPr="00E869A4">
              <w:rPr>
                <w:rStyle w:val="FootnoteReference"/>
                <w:rFonts w:ascii="Times New Roman" w:hAnsi="Times New Roman" w:cs="Times New Roman"/>
                <w:sz w:val="23"/>
                <w:szCs w:val="23"/>
              </w:rPr>
              <w:footnoteReference w:id="143"/>
            </w:r>
          </w:p>
        </w:tc>
      </w:tr>
      <w:tr w:rsidR="00C714D3" w:rsidRPr="00E869A4" w14:paraId="43532906"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78668448"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Education</w:t>
            </w:r>
          </w:p>
        </w:tc>
        <w:tc>
          <w:tcPr>
            <w:tcW w:w="3029" w:type="dxa"/>
          </w:tcPr>
          <w:p w14:paraId="0FEDC0FC"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Primary School; On the Job Training</w:t>
            </w:r>
          </w:p>
        </w:tc>
        <w:tc>
          <w:tcPr>
            <w:tcW w:w="3402" w:type="dxa"/>
          </w:tcPr>
          <w:p w14:paraId="2F113CB8"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University </w:t>
            </w:r>
          </w:p>
        </w:tc>
      </w:tr>
      <w:tr w:rsidR="00C714D3" w:rsidRPr="00E869A4" w14:paraId="297D5392"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68599E46"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Employment History / Status</w:t>
            </w:r>
          </w:p>
        </w:tc>
        <w:tc>
          <w:tcPr>
            <w:tcW w:w="3029" w:type="dxa"/>
          </w:tcPr>
          <w:p w14:paraId="5119CE20"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Senior Technician</w:t>
            </w:r>
          </w:p>
        </w:tc>
        <w:tc>
          <w:tcPr>
            <w:tcW w:w="3402" w:type="dxa"/>
          </w:tcPr>
          <w:p w14:paraId="660594A3"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High School Teacher (Prior to University studies) </w:t>
            </w:r>
          </w:p>
          <w:p w14:paraId="7F242A72"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Public Officer (after graduating from University)</w:t>
            </w:r>
          </w:p>
        </w:tc>
      </w:tr>
      <w:tr w:rsidR="00C714D3" w:rsidRPr="00E869A4" w14:paraId="1E084AF8"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47FBE121"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Marital Status</w:t>
            </w:r>
          </w:p>
        </w:tc>
        <w:tc>
          <w:tcPr>
            <w:tcW w:w="3029" w:type="dxa"/>
          </w:tcPr>
          <w:p w14:paraId="24F887B5"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Widower </w:t>
            </w:r>
          </w:p>
        </w:tc>
        <w:tc>
          <w:tcPr>
            <w:tcW w:w="3402" w:type="dxa"/>
          </w:tcPr>
          <w:p w14:paraId="6D7AE0A0"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Single </w:t>
            </w:r>
          </w:p>
        </w:tc>
      </w:tr>
      <w:tr w:rsidR="00C714D3" w:rsidRPr="00E869A4" w14:paraId="0DCA030A"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3F30D4D9"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Number of Sons</w:t>
            </w:r>
          </w:p>
        </w:tc>
        <w:tc>
          <w:tcPr>
            <w:tcW w:w="3029" w:type="dxa"/>
          </w:tcPr>
          <w:p w14:paraId="4F6270FB"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02" w:type="dxa"/>
          </w:tcPr>
          <w:p w14:paraId="0E953975"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0471C88C"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19E35FB1"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Number of Daughters</w:t>
            </w:r>
          </w:p>
        </w:tc>
        <w:tc>
          <w:tcPr>
            <w:tcW w:w="3029" w:type="dxa"/>
          </w:tcPr>
          <w:p w14:paraId="42DAC099"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02" w:type="dxa"/>
          </w:tcPr>
          <w:p w14:paraId="5D1B895E"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19166F8F"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1C275DD5"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Total # Surviving Children</w:t>
            </w:r>
          </w:p>
        </w:tc>
        <w:tc>
          <w:tcPr>
            <w:tcW w:w="3029" w:type="dxa"/>
          </w:tcPr>
          <w:p w14:paraId="2D4765FC"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02" w:type="dxa"/>
          </w:tcPr>
          <w:p w14:paraId="27203177"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0FEE58C6"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0CC285D0"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Level of Dependency / Care Activities</w:t>
            </w:r>
          </w:p>
        </w:tc>
        <w:tc>
          <w:tcPr>
            <w:tcW w:w="3029" w:type="dxa"/>
          </w:tcPr>
          <w:p w14:paraId="1D942D45"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402" w:type="dxa"/>
          </w:tcPr>
          <w:p w14:paraId="58996617"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714D3" w:rsidRPr="00E869A4" w14:paraId="3F292BF8"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45D0644B"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Health Challenges / Care provided</w:t>
            </w:r>
          </w:p>
        </w:tc>
        <w:tc>
          <w:tcPr>
            <w:tcW w:w="3029" w:type="dxa"/>
          </w:tcPr>
          <w:p w14:paraId="66A46C35"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Diabetes</w:t>
            </w:r>
          </w:p>
          <w:p w14:paraId="4CD81AB9"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Mobility</w:t>
            </w:r>
          </w:p>
        </w:tc>
        <w:tc>
          <w:tcPr>
            <w:tcW w:w="3402" w:type="dxa"/>
          </w:tcPr>
          <w:p w14:paraId="19861383"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Preservative care</w:t>
            </w:r>
          </w:p>
          <w:p w14:paraId="47A73612"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Preventive care</w:t>
            </w:r>
          </w:p>
          <w:p w14:paraId="74D23431"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Instrumental care</w:t>
            </w:r>
          </w:p>
        </w:tc>
      </w:tr>
      <w:tr w:rsidR="00C714D3" w:rsidRPr="00E869A4" w14:paraId="599AF9D3"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29889FCA"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lastRenderedPageBreak/>
              <w:t>Time spent providing Care to CR</w:t>
            </w:r>
          </w:p>
        </w:tc>
        <w:tc>
          <w:tcPr>
            <w:tcW w:w="3029" w:type="dxa"/>
          </w:tcPr>
          <w:p w14:paraId="7966C1ED"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402" w:type="dxa"/>
          </w:tcPr>
          <w:p w14:paraId="762A8E1E"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 – 5 years</w:t>
            </w:r>
            <w:r w:rsidRPr="00E869A4">
              <w:rPr>
                <w:rStyle w:val="FootnoteReference"/>
                <w:rFonts w:ascii="Times New Roman" w:hAnsi="Times New Roman" w:cs="Times New Roman"/>
                <w:sz w:val="23"/>
                <w:szCs w:val="23"/>
              </w:rPr>
              <w:footnoteReference w:id="144"/>
            </w:r>
          </w:p>
        </w:tc>
      </w:tr>
      <w:tr w:rsidR="00C714D3" w:rsidRPr="00E869A4" w14:paraId="644814D0"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296F0745"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Care Work History</w:t>
            </w:r>
          </w:p>
        </w:tc>
        <w:tc>
          <w:tcPr>
            <w:tcW w:w="3029" w:type="dxa"/>
          </w:tcPr>
          <w:p w14:paraId="23769FF6"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c>
          <w:tcPr>
            <w:tcW w:w="3402" w:type="dxa"/>
          </w:tcPr>
          <w:p w14:paraId="18E35532"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In-home care at the Druman’s </w:t>
            </w:r>
          </w:p>
        </w:tc>
      </w:tr>
      <w:tr w:rsidR="00C714D3" w:rsidRPr="00E869A4" w14:paraId="4563E84A"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3C534B80"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Location in T&amp;T</w:t>
            </w:r>
            <w:r w:rsidRPr="00102628">
              <w:rPr>
                <w:rStyle w:val="FootnoteReference"/>
                <w:rFonts w:ascii="Times New Roman" w:hAnsi="Times New Roman" w:cs="Times New Roman"/>
                <w:sz w:val="23"/>
                <w:szCs w:val="23"/>
              </w:rPr>
              <w:footnoteReference w:id="145"/>
            </w:r>
          </w:p>
        </w:tc>
        <w:tc>
          <w:tcPr>
            <w:tcW w:w="3029" w:type="dxa"/>
          </w:tcPr>
          <w:p w14:paraId="62844278"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North-Central</w:t>
            </w:r>
          </w:p>
        </w:tc>
        <w:tc>
          <w:tcPr>
            <w:tcW w:w="3402" w:type="dxa"/>
          </w:tcPr>
          <w:p w14:paraId="06F6CEB0" w14:textId="77777777" w:rsidR="00D1584C" w:rsidRPr="00E869A4" w:rsidRDefault="00D1584C" w:rsidP="00FF4A4A">
            <w:pPr>
              <w:autoSpaceDE w:val="0"/>
              <w:autoSpaceDN w:val="0"/>
              <w:adjustRightInd w:val="0"/>
              <w:ind w:left="12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North-Central</w:t>
            </w:r>
          </w:p>
        </w:tc>
      </w:tr>
      <w:tr w:rsidR="00C714D3" w:rsidRPr="00E869A4" w14:paraId="6860E7A0" w14:textId="77777777" w:rsidTr="006E5FD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tcPr>
          <w:p w14:paraId="24D33B1F"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Location of CR relative to CG</w:t>
            </w:r>
          </w:p>
        </w:tc>
        <w:tc>
          <w:tcPr>
            <w:tcW w:w="6431" w:type="dxa"/>
            <w:gridSpan w:val="2"/>
          </w:tcPr>
          <w:p w14:paraId="568FDEBD" w14:textId="77777777" w:rsidR="00D1584C" w:rsidRPr="00E869A4" w:rsidRDefault="00D1584C" w:rsidP="00FF4A4A">
            <w:pPr>
              <w:autoSpaceDE w:val="0"/>
              <w:autoSpaceDN w:val="0"/>
              <w:adjustRightInd w:val="0"/>
              <w:ind w:left="12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13 minute drive away</w:t>
            </w:r>
          </w:p>
        </w:tc>
      </w:tr>
      <w:tr w:rsidR="00C714D3" w:rsidRPr="00E869A4" w14:paraId="6D3A891E" w14:textId="77777777" w:rsidTr="006E5FD0">
        <w:trPr>
          <w:jc w:val="center"/>
        </w:trPr>
        <w:tc>
          <w:tcPr>
            <w:cnfStyle w:val="001000000000" w:firstRow="0" w:lastRow="0" w:firstColumn="1" w:lastColumn="0" w:oddVBand="0" w:evenVBand="0" w:oddHBand="0" w:evenHBand="0" w:firstRowFirstColumn="0" w:firstRowLastColumn="0" w:lastRowFirstColumn="0" w:lastRowLastColumn="0"/>
            <w:tcW w:w="2981" w:type="dxa"/>
          </w:tcPr>
          <w:p w14:paraId="68A2E5B3" w14:textId="77777777" w:rsidR="00D1584C" w:rsidRPr="00102628" w:rsidRDefault="00D1584C" w:rsidP="00FF4A4A">
            <w:pPr>
              <w:autoSpaceDE w:val="0"/>
              <w:autoSpaceDN w:val="0"/>
              <w:adjustRightInd w:val="0"/>
              <w:ind w:left="121" w:firstLine="0"/>
              <w:rPr>
                <w:rFonts w:ascii="Times New Roman" w:hAnsi="Times New Roman" w:cs="Times New Roman"/>
                <w:sz w:val="23"/>
                <w:szCs w:val="23"/>
              </w:rPr>
            </w:pPr>
            <w:r w:rsidRPr="00102628">
              <w:rPr>
                <w:rFonts w:ascii="Times New Roman" w:hAnsi="Times New Roman" w:cs="Times New Roman"/>
                <w:sz w:val="23"/>
                <w:szCs w:val="23"/>
              </w:rPr>
              <w:t>Other Paid Caregivers</w:t>
            </w:r>
          </w:p>
        </w:tc>
        <w:tc>
          <w:tcPr>
            <w:tcW w:w="6431" w:type="dxa"/>
            <w:gridSpan w:val="2"/>
          </w:tcPr>
          <w:p w14:paraId="4C52F88A" w14:textId="77777777" w:rsidR="00D1584C" w:rsidRPr="00E869A4" w:rsidRDefault="00D1584C" w:rsidP="009D4C5D">
            <w:pPr>
              <w:pStyle w:val="ListParagraph"/>
              <w:numPr>
                <w:ilvl w:val="0"/>
                <w:numId w:val="27"/>
              </w:numPr>
              <w:tabs>
                <w:tab w:val="left" w:pos="339"/>
              </w:tabs>
              <w:autoSpaceDE w:val="0"/>
              <w:autoSpaceDN w:val="0"/>
              <w:adjustRightInd w:val="0"/>
              <w:ind w:left="121"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Arlene   (night caregiver)</w:t>
            </w:r>
          </w:p>
          <w:p w14:paraId="2615B148" w14:textId="77777777" w:rsidR="00D1584C" w:rsidRPr="00E869A4" w:rsidRDefault="00D1584C" w:rsidP="009D4C5D">
            <w:pPr>
              <w:pStyle w:val="ListParagraph"/>
              <w:numPr>
                <w:ilvl w:val="0"/>
                <w:numId w:val="27"/>
              </w:numPr>
              <w:tabs>
                <w:tab w:val="left" w:pos="339"/>
              </w:tabs>
              <w:autoSpaceDE w:val="0"/>
              <w:autoSpaceDN w:val="0"/>
              <w:adjustRightInd w:val="0"/>
              <w:ind w:left="121"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Ingrid   (night caregiver)</w:t>
            </w:r>
          </w:p>
          <w:p w14:paraId="293EE742" w14:textId="77777777" w:rsidR="00D1584C" w:rsidRPr="00E869A4" w:rsidRDefault="00D1584C" w:rsidP="009D4C5D">
            <w:pPr>
              <w:pStyle w:val="ListParagraph"/>
              <w:numPr>
                <w:ilvl w:val="0"/>
                <w:numId w:val="25"/>
              </w:numPr>
              <w:tabs>
                <w:tab w:val="left" w:pos="339"/>
              </w:tabs>
              <w:autoSpaceDE w:val="0"/>
              <w:autoSpaceDN w:val="0"/>
              <w:adjustRightInd w:val="0"/>
              <w:ind w:left="121"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Jennifer (day caregiver)</w:t>
            </w:r>
          </w:p>
        </w:tc>
      </w:tr>
    </w:tbl>
    <w:p w14:paraId="79AB424D" w14:textId="77777777" w:rsidR="00D1584C" w:rsidRPr="00E869A4" w:rsidRDefault="00D1584C" w:rsidP="00A35FF8">
      <w:pPr>
        <w:rPr>
          <w:rFonts w:ascii="Times New Roman" w:hAnsi="Times New Roman" w:cs="Times New Roman"/>
        </w:rPr>
      </w:pPr>
    </w:p>
    <w:p w14:paraId="496329DB" w14:textId="28672592" w:rsidR="00D1584C" w:rsidRPr="00E869A4" w:rsidRDefault="00D1584C" w:rsidP="00A35FF8">
      <w:pPr>
        <w:rPr>
          <w:rStyle w:val="Strong"/>
          <w:rFonts w:ascii="Times New Roman" w:hAnsi="Times New Roman" w:cs="Times New Roman"/>
          <w:b w:val="0"/>
          <w:bCs w:val="0"/>
        </w:rPr>
      </w:pPr>
      <w:r w:rsidRPr="00E869A4">
        <w:rPr>
          <w:rStyle w:val="Strong"/>
          <w:rFonts w:ascii="Times New Roman" w:hAnsi="Times New Roman" w:cs="Times New Roman"/>
          <w:b w:val="0"/>
        </w:rPr>
        <w:t>Melissa was a member of the Druman’s church. During the time that she worked as a paid informal care worker, she was a University student and was in need of cash to offset her expenses. She was therefore very happy to accept Timothy’s offer to help care for his parents on the weekend.</w:t>
      </w:r>
      <w:r w:rsidR="00D01D39" w:rsidRPr="00E869A4">
        <w:rPr>
          <w:rStyle w:val="Strong"/>
          <w:rFonts w:ascii="Times New Roman" w:hAnsi="Times New Roman" w:cs="Times New Roman"/>
          <w:b w:val="0"/>
        </w:rPr>
        <w:t xml:space="preserve"> </w:t>
      </w:r>
      <w:r w:rsidRPr="00E869A4">
        <w:rPr>
          <w:rStyle w:val="Strong"/>
          <w:rFonts w:ascii="Times New Roman" w:hAnsi="Times New Roman" w:cs="Times New Roman"/>
          <w:b w:val="0"/>
        </w:rPr>
        <w:t xml:space="preserve">Melissa provided care support to both Mr. and Mrs. Druman but admitted that it was a very challenging experience. She had no prior care elder care experience but learned on-the-job from the other paid care workers and Timothy. Despite the challenges, she described the experience as valuable as it gave her an opportunity to develop positive characteristics such as patience, and, a better appreciation for life. </w:t>
      </w:r>
    </w:p>
    <w:p w14:paraId="0D5F04BC" w14:textId="77777777" w:rsidR="005D762D" w:rsidRPr="00E869A4" w:rsidRDefault="005D762D" w:rsidP="00A35FF8">
      <w:pPr>
        <w:rPr>
          <w:rStyle w:val="Strong"/>
          <w:rFonts w:ascii="Times New Roman" w:hAnsi="Times New Roman" w:cs="Times New Roman"/>
          <w:b w:val="0"/>
        </w:rPr>
      </w:pPr>
    </w:p>
    <w:p w14:paraId="7C49A500" w14:textId="2BF3815F" w:rsidR="00D1584C" w:rsidRPr="00E869A4" w:rsidRDefault="00D1584C" w:rsidP="00A35FF8">
      <w:pPr>
        <w:rPr>
          <w:rFonts w:ascii="Times New Roman" w:eastAsiaTheme="majorEastAsia" w:hAnsi="Times New Roman" w:cs="Times New Roman"/>
          <w:sz w:val="28"/>
          <w:szCs w:val="28"/>
        </w:rPr>
      </w:pPr>
      <w:r w:rsidRPr="00E869A4">
        <w:rPr>
          <w:rStyle w:val="Strong"/>
          <w:rFonts w:ascii="Times New Roman" w:hAnsi="Times New Roman" w:cs="Times New Roman"/>
          <w:b w:val="0"/>
        </w:rPr>
        <w:t xml:space="preserve">After she graduated and began working full-time in her chosen profession, she volunteered to provide free care support to Mr. Druman when she observed that they seemed to be struggling financially to cover care expenses. However, by the time of the interview, Timothy had not accepted her offer. Melissa suspected that he was reluctant to accept her offer because he felt he needed to be the one that was helping her financially and </w:t>
      </w:r>
      <w:r w:rsidR="005D762D" w:rsidRPr="00E869A4">
        <w:rPr>
          <w:rStyle w:val="Strong"/>
          <w:rFonts w:ascii="Times New Roman" w:hAnsi="Times New Roman" w:cs="Times New Roman"/>
          <w:b w:val="0"/>
        </w:rPr>
        <w:t>should</w:t>
      </w:r>
      <w:r w:rsidRPr="00E869A4">
        <w:rPr>
          <w:rStyle w:val="Strong"/>
          <w:rFonts w:ascii="Times New Roman" w:hAnsi="Times New Roman" w:cs="Times New Roman"/>
          <w:b w:val="0"/>
        </w:rPr>
        <w:t xml:space="preserve"> continue paying her since she still had living expenses to cover. Despite this, she remained open to assisting the Druman’s whenever they required her help. </w:t>
      </w:r>
    </w:p>
    <w:p w14:paraId="37B6D89A" w14:textId="77777777" w:rsidR="005D762D" w:rsidRPr="00E869A4" w:rsidRDefault="005D762D" w:rsidP="00A35FF8">
      <w:pPr>
        <w:rPr>
          <w:rFonts w:ascii="Times New Roman" w:hAnsi="Times New Roman" w:cs="Times New Roman"/>
        </w:rPr>
      </w:pPr>
    </w:p>
    <w:p w14:paraId="5C106967" w14:textId="77777777" w:rsidR="00615F84" w:rsidRPr="00E869A4" w:rsidRDefault="00615F84">
      <w:pPr>
        <w:rPr>
          <w:b/>
        </w:rPr>
      </w:pPr>
      <w:bookmarkStart w:id="500" w:name="_Toc507665574"/>
      <w:bookmarkStart w:id="501" w:name="_Toc507909146"/>
      <w:r w:rsidRPr="00E869A4">
        <w:rPr>
          <w:b/>
        </w:rPr>
        <w:br w:type="page"/>
      </w:r>
    </w:p>
    <w:p w14:paraId="6AEFFAF7" w14:textId="734C9581" w:rsidR="00D1584C" w:rsidRPr="00E869A4" w:rsidRDefault="00D1584C" w:rsidP="009D4C5D">
      <w:pPr>
        <w:pStyle w:val="ListParagraph"/>
        <w:numPr>
          <w:ilvl w:val="0"/>
          <w:numId w:val="74"/>
        </w:numPr>
        <w:contextualSpacing w:val="0"/>
        <w:rPr>
          <w:b/>
        </w:rPr>
      </w:pPr>
      <w:r w:rsidRPr="00E869A4">
        <w:rPr>
          <w:b/>
        </w:rPr>
        <w:lastRenderedPageBreak/>
        <w:t>MR. SANCHEZ &amp; his wife MRS. SANCHEZ</w:t>
      </w:r>
      <w:bookmarkEnd w:id="500"/>
      <w:bookmarkEnd w:id="501"/>
    </w:p>
    <w:p w14:paraId="137BC53A" w14:textId="77777777" w:rsidR="00D1584C" w:rsidRPr="00E869A4" w:rsidRDefault="00D1584C" w:rsidP="00A35FF8">
      <w:pPr>
        <w:rPr>
          <w:rFonts w:ascii="Times New Roman" w:hAnsi="Times New Roman" w:cs="Times New Roman"/>
        </w:rPr>
      </w:pPr>
    </w:p>
    <w:tbl>
      <w:tblPr>
        <w:tblStyle w:val="MediumShading2-Accent11"/>
        <w:tblW w:w="9363"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979"/>
        <w:gridCol w:w="3430"/>
      </w:tblGrid>
      <w:tr w:rsidR="00C714D3" w:rsidRPr="00E869A4" w14:paraId="32C58489" w14:textId="77777777" w:rsidTr="00B14F11">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954" w:type="dxa"/>
          </w:tcPr>
          <w:p w14:paraId="0E4A0057" w14:textId="77777777" w:rsidR="00D1584C" w:rsidRPr="00102628" w:rsidRDefault="00D1584C" w:rsidP="00C97BB5">
            <w:pPr>
              <w:autoSpaceDE w:val="0"/>
              <w:autoSpaceDN w:val="0"/>
              <w:adjustRightInd w:val="0"/>
              <w:ind w:left="231" w:firstLine="0"/>
              <w:jc w:val="center"/>
              <w:rPr>
                <w:rFonts w:ascii="Times New Roman" w:hAnsi="Times New Roman" w:cs="Times New Roman"/>
                <w:caps/>
                <w:sz w:val="23"/>
                <w:szCs w:val="23"/>
              </w:rPr>
            </w:pPr>
            <w:r w:rsidRPr="00102628">
              <w:rPr>
                <w:rFonts w:ascii="Times New Roman" w:hAnsi="Times New Roman" w:cs="Times New Roman"/>
                <w:caps/>
                <w:sz w:val="23"/>
                <w:szCs w:val="23"/>
              </w:rPr>
              <w:t>Participant Category</w:t>
            </w:r>
          </w:p>
        </w:tc>
        <w:tc>
          <w:tcPr>
            <w:tcW w:w="2979" w:type="dxa"/>
          </w:tcPr>
          <w:p w14:paraId="47FBBAE8" w14:textId="34413F85" w:rsidR="00D1584C" w:rsidRPr="00102628" w:rsidRDefault="009E2738" w:rsidP="00C97BB5">
            <w:pPr>
              <w:autoSpaceDE w:val="0"/>
              <w:autoSpaceDN w:val="0"/>
              <w:adjustRightInd w:val="0"/>
              <w:ind w:left="231"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02628">
              <w:rPr>
                <w:rFonts w:ascii="Times New Roman" w:hAnsi="Times New Roman" w:cs="Times New Roman"/>
                <w:sz w:val="23"/>
                <w:szCs w:val="23"/>
              </w:rPr>
              <w:t>CARE RECIPIENT</w:t>
            </w:r>
            <w:r w:rsidR="00D1584C" w:rsidRPr="00102628">
              <w:rPr>
                <w:rFonts w:ascii="Times New Roman" w:hAnsi="Times New Roman" w:cs="Times New Roman"/>
                <w:sz w:val="23"/>
                <w:szCs w:val="23"/>
              </w:rPr>
              <w:t xml:space="preserve"> (CR)</w:t>
            </w:r>
          </w:p>
        </w:tc>
        <w:tc>
          <w:tcPr>
            <w:tcW w:w="3430" w:type="dxa"/>
          </w:tcPr>
          <w:p w14:paraId="1F3E440E" w14:textId="77777777" w:rsidR="00D1584C" w:rsidRPr="00102628" w:rsidRDefault="00D1584C" w:rsidP="00C97BB5">
            <w:pPr>
              <w:autoSpaceDE w:val="0"/>
              <w:autoSpaceDN w:val="0"/>
              <w:adjustRightInd w:val="0"/>
              <w:ind w:left="231"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102628">
              <w:rPr>
                <w:rFonts w:ascii="Times New Roman" w:hAnsi="Times New Roman" w:cs="Times New Roman"/>
                <w:sz w:val="23"/>
                <w:szCs w:val="23"/>
              </w:rPr>
              <w:t>CAREGIVER (CG)</w:t>
            </w:r>
          </w:p>
        </w:tc>
      </w:tr>
      <w:tr w:rsidR="00C714D3" w:rsidRPr="00E869A4" w14:paraId="4398CAD1"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5E7A3F21" w14:textId="77777777" w:rsidR="00D1584C" w:rsidRPr="00102628" w:rsidRDefault="00D1584C" w:rsidP="00C97BB5">
            <w:pPr>
              <w:autoSpaceDE w:val="0"/>
              <w:autoSpaceDN w:val="0"/>
              <w:adjustRightInd w:val="0"/>
              <w:ind w:left="231" w:firstLine="0"/>
              <w:rPr>
                <w:rFonts w:ascii="Times New Roman" w:hAnsi="Times New Roman" w:cs="Times New Roman"/>
                <w:sz w:val="23"/>
                <w:szCs w:val="23"/>
              </w:rPr>
            </w:pPr>
            <w:r w:rsidRPr="00102628">
              <w:rPr>
                <w:rFonts w:ascii="Times New Roman" w:hAnsi="Times New Roman" w:cs="Times New Roman"/>
                <w:sz w:val="23"/>
                <w:szCs w:val="23"/>
              </w:rPr>
              <w:t xml:space="preserve">Name </w:t>
            </w:r>
          </w:p>
        </w:tc>
        <w:tc>
          <w:tcPr>
            <w:tcW w:w="2979" w:type="dxa"/>
          </w:tcPr>
          <w:p w14:paraId="12D4BA25"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Carlos Sanchez</w:t>
            </w:r>
          </w:p>
        </w:tc>
        <w:tc>
          <w:tcPr>
            <w:tcW w:w="3430" w:type="dxa"/>
          </w:tcPr>
          <w:p w14:paraId="05F5D92A"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Jemma Sanchez</w:t>
            </w:r>
          </w:p>
        </w:tc>
      </w:tr>
      <w:tr w:rsidR="00C714D3" w:rsidRPr="00E869A4" w14:paraId="2E05B246"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57A9945B"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Relationship</w:t>
            </w:r>
          </w:p>
        </w:tc>
        <w:tc>
          <w:tcPr>
            <w:tcW w:w="2979" w:type="dxa"/>
          </w:tcPr>
          <w:p w14:paraId="1FAD5E7F"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Husband </w:t>
            </w:r>
          </w:p>
        </w:tc>
        <w:tc>
          <w:tcPr>
            <w:tcW w:w="3430" w:type="dxa"/>
          </w:tcPr>
          <w:p w14:paraId="590EF624"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Wife</w:t>
            </w:r>
          </w:p>
        </w:tc>
      </w:tr>
      <w:tr w:rsidR="00C714D3" w:rsidRPr="00E869A4" w14:paraId="70FBBBB7"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2B94F030"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Age</w:t>
            </w:r>
          </w:p>
        </w:tc>
        <w:tc>
          <w:tcPr>
            <w:tcW w:w="2979" w:type="dxa"/>
          </w:tcPr>
          <w:p w14:paraId="0BCF233A"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83</w:t>
            </w:r>
          </w:p>
        </w:tc>
        <w:tc>
          <w:tcPr>
            <w:tcW w:w="3430" w:type="dxa"/>
          </w:tcPr>
          <w:p w14:paraId="24872DFB"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50-59</w:t>
            </w:r>
          </w:p>
        </w:tc>
      </w:tr>
      <w:tr w:rsidR="00C714D3" w:rsidRPr="00E869A4" w14:paraId="2C5DFA7E"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045D4AE7"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Gender</w:t>
            </w:r>
          </w:p>
        </w:tc>
        <w:tc>
          <w:tcPr>
            <w:tcW w:w="2979" w:type="dxa"/>
          </w:tcPr>
          <w:p w14:paraId="0A0F374B"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Male</w:t>
            </w:r>
          </w:p>
        </w:tc>
        <w:tc>
          <w:tcPr>
            <w:tcW w:w="3430" w:type="dxa"/>
          </w:tcPr>
          <w:p w14:paraId="04C8F4A4"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30C12524"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2C5F6F1E"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Ethnicity</w:t>
            </w:r>
          </w:p>
        </w:tc>
        <w:tc>
          <w:tcPr>
            <w:tcW w:w="2979" w:type="dxa"/>
          </w:tcPr>
          <w:p w14:paraId="6436A657"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Mixed</w:t>
            </w:r>
          </w:p>
        </w:tc>
        <w:tc>
          <w:tcPr>
            <w:tcW w:w="3430" w:type="dxa"/>
          </w:tcPr>
          <w:p w14:paraId="1F984CA5"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Not stated</w:t>
            </w:r>
          </w:p>
        </w:tc>
      </w:tr>
      <w:tr w:rsidR="00C714D3" w:rsidRPr="00E869A4" w14:paraId="18113275"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7CBAAFB0"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Education</w:t>
            </w:r>
          </w:p>
        </w:tc>
        <w:tc>
          <w:tcPr>
            <w:tcW w:w="2979" w:type="dxa"/>
          </w:tcPr>
          <w:p w14:paraId="20F2FC6F"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High School</w:t>
            </w:r>
          </w:p>
        </w:tc>
        <w:tc>
          <w:tcPr>
            <w:tcW w:w="3430" w:type="dxa"/>
          </w:tcPr>
          <w:p w14:paraId="24CAEDCA"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High School</w:t>
            </w:r>
          </w:p>
        </w:tc>
      </w:tr>
      <w:tr w:rsidR="00C714D3" w:rsidRPr="00E869A4" w14:paraId="31415CD2"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66C95E56"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Employment History / Status</w:t>
            </w:r>
          </w:p>
        </w:tc>
        <w:tc>
          <w:tcPr>
            <w:tcW w:w="2979" w:type="dxa"/>
          </w:tcPr>
          <w:p w14:paraId="5634ED0C" w14:textId="77777777" w:rsidR="00D1584C" w:rsidRPr="00E869A4" w:rsidRDefault="00D1584C" w:rsidP="00C97BB5">
            <w:pPr>
              <w:autoSpaceDE w:val="0"/>
              <w:autoSpaceDN w:val="0"/>
              <w:adjustRightInd w:val="0"/>
              <w:ind w:left="155"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Senior Public Officer</w:t>
            </w:r>
          </w:p>
        </w:tc>
        <w:tc>
          <w:tcPr>
            <w:tcW w:w="3430" w:type="dxa"/>
          </w:tcPr>
          <w:p w14:paraId="4776BD1A"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Hotel / Restaurant worker</w:t>
            </w:r>
          </w:p>
        </w:tc>
      </w:tr>
      <w:tr w:rsidR="00C714D3" w:rsidRPr="00E869A4" w14:paraId="372F19D7"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3392BDFB"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Marital Status</w:t>
            </w:r>
          </w:p>
        </w:tc>
        <w:tc>
          <w:tcPr>
            <w:tcW w:w="2979" w:type="dxa"/>
          </w:tcPr>
          <w:p w14:paraId="1F8F09EC"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Married </w:t>
            </w:r>
          </w:p>
        </w:tc>
        <w:tc>
          <w:tcPr>
            <w:tcW w:w="3430" w:type="dxa"/>
          </w:tcPr>
          <w:p w14:paraId="4D7C5E01"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Married</w:t>
            </w:r>
          </w:p>
        </w:tc>
      </w:tr>
      <w:tr w:rsidR="00C714D3" w:rsidRPr="00E869A4" w14:paraId="21069B45"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24FF1FE7"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Number of Sons</w:t>
            </w:r>
          </w:p>
        </w:tc>
        <w:tc>
          <w:tcPr>
            <w:tcW w:w="2979" w:type="dxa"/>
          </w:tcPr>
          <w:p w14:paraId="6A77AFBE"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430" w:type="dxa"/>
          </w:tcPr>
          <w:p w14:paraId="0C9DE92A"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4B218E7C"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157F6396"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Number of Daughters</w:t>
            </w:r>
          </w:p>
        </w:tc>
        <w:tc>
          <w:tcPr>
            <w:tcW w:w="2979" w:type="dxa"/>
          </w:tcPr>
          <w:p w14:paraId="531C29D6"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c>
          <w:tcPr>
            <w:tcW w:w="3430" w:type="dxa"/>
          </w:tcPr>
          <w:p w14:paraId="7A7DE75B" w14:textId="77777777" w:rsidR="00D1584C" w:rsidRPr="00E869A4" w:rsidRDefault="00D1584C" w:rsidP="00C97BB5">
            <w:pPr>
              <w:autoSpaceDE w:val="0"/>
              <w:autoSpaceDN w:val="0"/>
              <w:adjustRightInd w:val="0"/>
              <w:ind w:left="231" w:hanging="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43518EE9"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616411C6"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Total # Surviving Children</w:t>
            </w:r>
          </w:p>
        </w:tc>
        <w:tc>
          <w:tcPr>
            <w:tcW w:w="2979" w:type="dxa"/>
          </w:tcPr>
          <w:p w14:paraId="570AB3E4"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3</w:t>
            </w:r>
          </w:p>
        </w:tc>
        <w:tc>
          <w:tcPr>
            <w:tcW w:w="3430" w:type="dxa"/>
          </w:tcPr>
          <w:p w14:paraId="50A41F4C" w14:textId="77777777" w:rsidR="00D1584C" w:rsidRPr="00E869A4" w:rsidRDefault="00D1584C" w:rsidP="00C97BB5">
            <w:pPr>
              <w:autoSpaceDE w:val="0"/>
              <w:autoSpaceDN w:val="0"/>
              <w:adjustRightInd w:val="0"/>
              <w:ind w:left="231" w:hanging="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6FAECFCC"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2AE4547E"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Level of Dependency / Care Activities</w:t>
            </w:r>
          </w:p>
        </w:tc>
        <w:tc>
          <w:tcPr>
            <w:tcW w:w="2979" w:type="dxa"/>
          </w:tcPr>
          <w:p w14:paraId="148A2311" w14:textId="77777777" w:rsidR="00D1584C" w:rsidRPr="00E869A4" w:rsidRDefault="00D1584C" w:rsidP="00C97BB5">
            <w:pPr>
              <w:autoSpaceDE w:val="0"/>
              <w:autoSpaceDN w:val="0"/>
              <w:adjustRightInd w:val="0"/>
              <w:ind w:left="2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430" w:type="dxa"/>
          </w:tcPr>
          <w:p w14:paraId="12700CFC" w14:textId="77777777" w:rsidR="00D1584C" w:rsidRPr="00E869A4" w:rsidRDefault="00D1584C" w:rsidP="00C97BB5">
            <w:pPr>
              <w:autoSpaceDE w:val="0"/>
              <w:autoSpaceDN w:val="0"/>
              <w:adjustRightInd w:val="0"/>
              <w:ind w:left="2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714D3" w:rsidRPr="00E869A4" w14:paraId="393FCD09"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2066C46A"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Health Challenges / Care provided</w:t>
            </w:r>
          </w:p>
        </w:tc>
        <w:tc>
          <w:tcPr>
            <w:tcW w:w="2979" w:type="dxa"/>
          </w:tcPr>
          <w:p w14:paraId="2189E15D"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Diabetes</w:t>
            </w:r>
          </w:p>
          <w:p w14:paraId="419771DF"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Visually impaired</w:t>
            </w:r>
          </w:p>
          <w:p w14:paraId="69F83D9E"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Hearing impaired</w:t>
            </w:r>
          </w:p>
          <w:p w14:paraId="7360CCC8"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Mobility (one leg amputated; wheelchair dependent)</w:t>
            </w:r>
          </w:p>
        </w:tc>
        <w:tc>
          <w:tcPr>
            <w:tcW w:w="3430" w:type="dxa"/>
          </w:tcPr>
          <w:p w14:paraId="639D148F"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Instrumental care</w:t>
            </w:r>
          </w:p>
          <w:p w14:paraId="1C2A8E30"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Preservative care</w:t>
            </w:r>
          </w:p>
          <w:p w14:paraId="279D91EB"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14:paraId="62F3ACFA"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(*Suffered from migraine headaches)</w:t>
            </w:r>
          </w:p>
        </w:tc>
      </w:tr>
      <w:tr w:rsidR="00C714D3" w:rsidRPr="00E869A4" w14:paraId="6B869883"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5FA9A06B" w14:textId="77777777" w:rsidR="00D1584C" w:rsidRPr="00102628" w:rsidRDefault="00D1584C" w:rsidP="00C97BB5">
            <w:pPr>
              <w:ind w:left="231" w:firstLine="30"/>
              <w:rPr>
                <w:rFonts w:ascii="Times New Roman" w:hAnsi="Times New Roman" w:cs="Times New Roman"/>
                <w:sz w:val="23"/>
                <w:szCs w:val="23"/>
              </w:rPr>
            </w:pPr>
            <w:r w:rsidRPr="00102628">
              <w:rPr>
                <w:rFonts w:ascii="Times New Roman" w:hAnsi="Times New Roman" w:cs="Times New Roman"/>
                <w:sz w:val="23"/>
                <w:szCs w:val="23"/>
              </w:rPr>
              <w:t>Time spent providing Family Care to CR</w:t>
            </w:r>
          </w:p>
        </w:tc>
        <w:tc>
          <w:tcPr>
            <w:tcW w:w="2979" w:type="dxa"/>
          </w:tcPr>
          <w:p w14:paraId="097C1406" w14:textId="77777777" w:rsidR="00D1584C" w:rsidRPr="00E869A4" w:rsidRDefault="00D1584C" w:rsidP="0044698D">
            <w:pPr>
              <w:autoSpaceDE w:val="0"/>
              <w:autoSpaceDN w:val="0"/>
              <w:adjustRightInd w:val="0"/>
              <w:ind w:left="231" w:firstLine="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430" w:type="dxa"/>
          </w:tcPr>
          <w:p w14:paraId="7818D3E9" w14:textId="77777777" w:rsidR="00D1584C" w:rsidRPr="00E869A4" w:rsidRDefault="00D1584C" w:rsidP="0044698D">
            <w:pPr>
              <w:autoSpaceDE w:val="0"/>
              <w:autoSpaceDN w:val="0"/>
              <w:adjustRightInd w:val="0"/>
              <w:ind w:left="231" w:firstLine="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 years or longer</w:t>
            </w:r>
          </w:p>
        </w:tc>
      </w:tr>
      <w:tr w:rsidR="00C714D3" w:rsidRPr="00E869A4" w14:paraId="49B0F997"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2595D7FF"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Location in T&amp;T</w:t>
            </w:r>
            <w:r w:rsidRPr="00102628">
              <w:rPr>
                <w:rStyle w:val="FootnoteReference"/>
                <w:rFonts w:ascii="Times New Roman" w:hAnsi="Times New Roman" w:cs="Times New Roman"/>
                <w:sz w:val="23"/>
                <w:szCs w:val="23"/>
              </w:rPr>
              <w:footnoteReference w:id="146"/>
            </w:r>
          </w:p>
        </w:tc>
        <w:tc>
          <w:tcPr>
            <w:tcW w:w="2979" w:type="dxa"/>
          </w:tcPr>
          <w:p w14:paraId="008C159A" w14:textId="77777777" w:rsidR="00D1584C" w:rsidRPr="00E869A4" w:rsidRDefault="00D1584C" w:rsidP="0044698D">
            <w:pPr>
              <w:autoSpaceDE w:val="0"/>
              <w:autoSpaceDN w:val="0"/>
              <w:adjustRightInd w:val="0"/>
              <w:ind w:left="231" w:firstLine="6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North-West</w:t>
            </w:r>
          </w:p>
        </w:tc>
        <w:tc>
          <w:tcPr>
            <w:tcW w:w="3430" w:type="dxa"/>
          </w:tcPr>
          <w:p w14:paraId="19255EC2" w14:textId="77777777" w:rsidR="00D1584C" w:rsidRPr="00E869A4" w:rsidRDefault="00D1584C" w:rsidP="0044698D">
            <w:pPr>
              <w:autoSpaceDE w:val="0"/>
              <w:autoSpaceDN w:val="0"/>
              <w:adjustRightInd w:val="0"/>
              <w:ind w:left="231" w:firstLine="6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North-West</w:t>
            </w:r>
          </w:p>
        </w:tc>
      </w:tr>
      <w:tr w:rsidR="00C714D3" w:rsidRPr="00E869A4" w14:paraId="608C8A8D"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2563F547"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Location of CR relative to CG</w:t>
            </w:r>
          </w:p>
        </w:tc>
        <w:tc>
          <w:tcPr>
            <w:tcW w:w="6409" w:type="dxa"/>
            <w:gridSpan w:val="2"/>
          </w:tcPr>
          <w:p w14:paraId="06C577AB" w14:textId="77777777" w:rsidR="00D1584C" w:rsidRPr="00E869A4" w:rsidRDefault="00D1584C" w:rsidP="0044698D">
            <w:pPr>
              <w:autoSpaceDE w:val="0"/>
              <w:autoSpaceDN w:val="0"/>
              <w:adjustRightInd w:val="0"/>
              <w:ind w:left="231" w:firstLine="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Same house</w:t>
            </w:r>
          </w:p>
        </w:tc>
      </w:tr>
      <w:tr w:rsidR="00C714D3" w:rsidRPr="00E869A4" w14:paraId="0A55A1A5"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0AAC1C3E"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 xml:space="preserve">Other Property Info. </w:t>
            </w:r>
          </w:p>
        </w:tc>
        <w:tc>
          <w:tcPr>
            <w:tcW w:w="6409" w:type="dxa"/>
            <w:gridSpan w:val="2"/>
          </w:tcPr>
          <w:p w14:paraId="07C421E9" w14:textId="77777777" w:rsidR="00D1584C" w:rsidRPr="00E869A4" w:rsidRDefault="00D1584C" w:rsidP="00C97BB5">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6 steps at entrance to house. No wheelchair ramp. House owned jointly by Mr. Sanchez and his siblings. Mrs. Sanchez could not inherit the house when he died. Siblings sent her a pre-action protocol letter to vacate the property a month after Mr. Sanchez died. </w:t>
            </w:r>
          </w:p>
        </w:tc>
      </w:tr>
      <w:tr w:rsidR="00C714D3" w:rsidRPr="00E869A4" w14:paraId="5885BCD8"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1226DAAF"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Support from Family Overseas</w:t>
            </w:r>
          </w:p>
        </w:tc>
        <w:tc>
          <w:tcPr>
            <w:tcW w:w="6409" w:type="dxa"/>
            <w:gridSpan w:val="2"/>
          </w:tcPr>
          <w:p w14:paraId="77A037B3" w14:textId="77777777" w:rsidR="00D1584C" w:rsidRPr="00E869A4" w:rsidRDefault="00D1584C" w:rsidP="009D4C5D">
            <w:pPr>
              <w:pStyle w:val="ListParagraph"/>
              <w:numPr>
                <w:ilvl w:val="0"/>
                <w:numId w:val="34"/>
              </w:numPr>
              <w:tabs>
                <w:tab w:val="left" w:pos="461"/>
              </w:tabs>
              <w:autoSpaceDE w:val="0"/>
              <w:autoSpaceDN w:val="0"/>
              <w:adjustRightInd w:val="0"/>
              <w:ind w:left="231" w:hanging="53"/>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(Rarely)</w:t>
            </w:r>
          </w:p>
        </w:tc>
      </w:tr>
      <w:tr w:rsidR="00C714D3" w:rsidRPr="00E869A4" w14:paraId="49A7159A"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1DAA9D30"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Support from other relatives locally</w:t>
            </w:r>
          </w:p>
        </w:tc>
        <w:tc>
          <w:tcPr>
            <w:tcW w:w="6409" w:type="dxa"/>
            <w:gridSpan w:val="2"/>
          </w:tcPr>
          <w:p w14:paraId="355CF170" w14:textId="77777777" w:rsidR="00D1584C" w:rsidRPr="00E869A4" w:rsidRDefault="00D1584C" w:rsidP="009D4C5D">
            <w:pPr>
              <w:pStyle w:val="ListParagraph"/>
              <w:numPr>
                <w:ilvl w:val="0"/>
                <w:numId w:val="34"/>
              </w:numPr>
              <w:tabs>
                <w:tab w:val="left" w:pos="461"/>
              </w:tabs>
              <w:autoSpaceDE w:val="0"/>
              <w:autoSpaceDN w:val="0"/>
              <w:adjustRightInd w:val="0"/>
              <w:ind w:left="231" w:hanging="53"/>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(Rarely)</w:t>
            </w:r>
          </w:p>
        </w:tc>
      </w:tr>
      <w:tr w:rsidR="00C714D3" w:rsidRPr="00E869A4" w14:paraId="6EB33B14" w14:textId="77777777" w:rsidTr="00B14F11">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29F48C77"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Secondary Caregivers</w:t>
            </w:r>
          </w:p>
        </w:tc>
        <w:tc>
          <w:tcPr>
            <w:tcW w:w="6409" w:type="dxa"/>
            <w:gridSpan w:val="2"/>
          </w:tcPr>
          <w:p w14:paraId="25BD6AB4" w14:textId="77777777" w:rsidR="00D1584C" w:rsidRPr="00E869A4" w:rsidRDefault="00D1584C" w:rsidP="0044698D">
            <w:pPr>
              <w:autoSpaceDE w:val="0"/>
              <w:autoSpaceDN w:val="0"/>
              <w:adjustRightInd w:val="0"/>
              <w:ind w:left="231" w:firstLine="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None </w:t>
            </w:r>
          </w:p>
        </w:tc>
      </w:tr>
      <w:tr w:rsidR="00C714D3" w:rsidRPr="00E869A4" w14:paraId="1EDE86EF" w14:textId="77777777" w:rsidTr="00B14F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6CEE573D" w14:textId="77777777" w:rsidR="00D1584C" w:rsidRPr="00102628" w:rsidRDefault="00D1584C" w:rsidP="00C97BB5">
            <w:pPr>
              <w:autoSpaceDE w:val="0"/>
              <w:autoSpaceDN w:val="0"/>
              <w:adjustRightInd w:val="0"/>
              <w:ind w:left="231" w:firstLine="30"/>
              <w:rPr>
                <w:rFonts w:ascii="Times New Roman" w:hAnsi="Times New Roman" w:cs="Times New Roman"/>
                <w:sz w:val="23"/>
                <w:szCs w:val="23"/>
              </w:rPr>
            </w:pPr>
            <w:r w:rsidRPr="00102628">
              <w:rPr>
                <w:rFonts w:ascii="Times New Roman" w:hAnsi="Times New Roman" w:cs="Times New Roman"/>
                <w:sz w:val="23"/>
                <w:szCs w:val="23"/>
              </w:rPr>
              <w:t>Paid Caregivers</w:t>
            </w:r>
          </w:p>
        </w:tc>
        <w:tc>
          <w:tcPr>
            <w:tcW w:w="6409" w:type="dxa"/>
            <w:gridSpan w:val="2"/>
          </w:tcPr>
          <w:p w14:paraId="0E95AB6F" w14:textId="77777777" w:rsidR="00D1584C" w:rsidRPr="00E869A4" w:rsidRDefault="00D1584C" w:rsidP="0044698D">
            <w:pPr>
              <w:autoSpaceDE w:val="0"/>
              <w:autoSpaceDN w:val="0"/>
              <w:adjustRightInd w:val="0"/>
              <w:ind w:left="231" w:firstLine="6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None</w:t>
            </w:r>
          </w:p>
        </w:tc>
      </w:tr>
    </w:tbl>
    <w:p w14:paraId="59EB4ED9" w14:textId="77777777" w:rsidR="00D1584C" w:rsidRPr="00E869A4" w:rsidRDefault="00D1584C" w:rsidP="00A35FF8">
      <w:pPr>
        <w:autoSpaceDE w:val="0"/>
        <w:autoSpaceDN w:val="0"/>
        <w:adjustRightInd w:val="0"/>
        <w:rPr>
          <w:rFonts w:ascii="Times New Roman" w:hAnsi="Times New Roman" w:cs="Times New Roman"/>
        </w:rPr>
      </w:pPr>
    </w:p>
    <w:p w14:paraId="3AE07CAD" w14:textId="68FD52ED"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lastRenderedPageBreak/>
        <w:t xml:space="preserve">Mr. Sanchez was very pleased with the care support he received from his wife. Though he had several physical limitations, he was happy that he was still cognitively strong able to practise yoga daily. </w:t>
      </w:r>
      <w:r w:rsidR="005D762D" w:rsidRPr="00E869A4">
        <w:rPr>
          <w:rFonts w:ascii="Times New Roman" w:hAnsi="Times New Roman" w:cs="Times New Roman"/>
        </w:rPr>
        <w:t>However</w:t>
      </w:r>
      <w:r w:rsidRPr="00E869A4">
        <w:rPr>
          <w:rFonts w:ascii="Times New Roman" w:hAnsi="Times New Roman" w:cs="Times New Roman"/>
        </w:rPr>
        <w:t>, despite the positivity that he expressed, he admitted to being unwilling to interact with his former co-</w:t>
      </w:r>
      <w:r w:rsidR="005D762D" w:rsidRPr="00E869A4">
        <w:rPr>
          <w:rFonts w:ascii="Times New Roman" w:hAnsi="Times New Roman" w:cs="Times New Roman"/>
        </w:rPr>
        <w:t>workers,</w:t>
      </w:r>
      <w:r w:rsidRPr="00E869A4">
        <w:rPr>
          <w:rFonts w:ascii="Times New Roman" w:hAnsi="Times New Roman" w:cs="Times New Roman"/>
        </w:rPr>
        <w:t xml:space="preserve"> as he felt embarrassed by his physical limitations. His wife was unhappy with the limited support he received from his children and siblings. She explained that he had his children with his first wife, and surmised that the estrangement he experienced with his adult children may have resulted because he was physically abusive to their mother. </w:t>
      </w:r>
      <w:r w:rsidR="005D762D" w:rsidRPr="00E869A4">
        <w:rPr>
          <w:rFonts w:ascii="Times New Roman" w:hAnsi="Times New Roman" w:cs="Times New Roman"/>
        </w:rPr>
        <w:t>Nevertheless</w:t>
      </w:r>
      <w:r w:rsidRPr="00E869A4">
        <w:rPr>
          <w:rFonts w:ascii="Times New Roman" w:hAnsi="Times New Roman" w:cs="Times New Roman"/>
        </w:rPr>
        <w:t xml:space="preserve">, she maintained that as adults, they should forgive their father and do what they could to assist him. One of his sisters (Margaret) lived about a 5 minute walk from their house but she rarely gave attention to him. Mrs. Sanchez felt that he deserved more support from his siblings since he helped to send them to high school after he graduated and began working. Mr. Sanchez admitted that he was an alcoholic and had a colourful life. However, in his later years, he found </w:t>
      </w:r>
      <w:r w:rsidR="005D762D" w:rsidRPr="00E869A4">
        <w:rPr>
          <w:rFonts w:ascii="Times New Roman" w:hAnsi="Times New Roman" w:cs="Times New Roman"/>
        </w:rPr>
        <w:t>religion, which</w:t>
      </w:r>
      <w:r w:rsidRPr="00E869A4">
        <w:rPr>
          <w:rFonts w:ascii="Times New Roman" w:hAnsi="Times New Roman" w:cs="Times New Roman"/>
        </w:rPr>
        <w:t xml:space="preserve"> helped him to turn his life around.</w:t>
      </w:r>
    </w:p>
    <w:p w14:paraId="30481929" w14:textId="77777777" w:rsidR="005D762D" w:rsidRPr="00E869A4" w:rsidRDefault="005D762D" w:rsidP="00A35FF8">
      <w:pPr>
        <w:ind w:firstLine="720"/>
        <w:rPr>
          <w:rFonts w:ascii="Times New Roman" w:hAnsi="Times New Roman" w:cs="Times New Roman"/>
        </w:rPr>
      </w:pPr>
    </w:p>
    <w:p w14:paraId="3015E226" w14:textId="28FFEBB7"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Mrs. Sanchez experienced considerable anxiety over the tenuous nature of their living arrangement. The house they lived in was jointly owned by Mr. Sanchez and his siblings. Thus, Mrs. Sanchez was not entitled to inherit it after he passed away and was fearful of being homeless thereafter. The house was also in need of significant repairs. Given this situation, she saved money from his pension in the hopes of having enough for a </w:t>
      </w:r>
      <w:r w:rsidR="005D762D" w:rsidRPr="00E869A4">
        <w:rPr>
          <w:rFonts w:ascii="Times New Roman" w:hAnsi="Times New Roman" w:cs="Times New Roman"/>
        </w:rPr>
        <w:t>down payment</w:t>
      </w:r>
      <w:r w:rsidRPr="00E869A4">
        <w:rPr>
          <w:rFonts w:ascii="Times New Roman" w:hAnsi="Times New Roman" w:cs="Times New Roman"/>
        </w:rPr>
        <w:t xml:space="preserve"> for a house. She also took up part-time employment in a nearby restaurant to help achieve this goal. But, when she went to work in the evenings, she left Mr. Sanchez alone at home. Sometimes, a neighbour might check on him but this was not a standard arrangement. She gave him his dinner before leaving and left him in the bedroom with the items she felt he needed whilst she was away. In addition to the finances she obtained from working part-time, Ms. Sanchez saw her job as an opportunity to get a much needed break from her challenging care situation. She complained of having migraine </w:t>
      </w:r>
      <w:r w:rsidR="005D762D" w:rsidRPr="00E869A4">
        <w:rPr>
          <w:rFonts w:ascii="Times New Roman" w:hAnsi="Times New Roman" w:cs="Times New Roman"/>
        </w:rPr>
        <w:t>headaches that</w:t>
      </w:r>
      <w:r w:rsidRPr="00E869A4">
        <w:rPr>
          <w:rFonts w:ascii="Times New Roman" w:hAnsi="Times New Roman" w:cs="Times New Roman"/>
        </w:rPr>
        <w:t xml:space="preserve"> were probably stress-related and had to go to the public hospital on one occasion to be treated.</w:t>
      </w:r>
    </w:p>
    <w:p w14:paraId="726311EB" w14:textId="77777777" w:rsidR="005D762D" w:rsidRPr="00E869A4" w:rsidRDefault="005D762D" w:rsidP="00A35FF8">
      <w:pPr>
        <w:ind w:firstLine="720"/>
        <w:rPr>
          <w:rFonts w:ascii="Times New Roman" w:hAnsi="Times New Roman" w:cs="Times New Roman"/>
        </w:rPr>
      </w:pPr>
    </w:p>
    <w:p w14:paraId="0E3E4EA7" w14:textId="77777777" w:rsidR="005D762D"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Some months after the interview, Mr. Sanchez was hospitalised. When he was released, Mrs. Sanchez put him in a nursing </w:t>
      </w:r>
      <w:r w:rsidR="005D762D" w:rsidRPr="00E869A4">
        <w:rPr>
          <w:rFonts w:ascii="Times New Roman" w:hAnsi="Times New Roman" w:cs="Times New Roman"/>
        </w:rPr>
        <w:t>home that</w:t>
      </w:r>
      <w:r w:rsidRPr="00E869A4">
        <w:rPr>
          <w:rFonts w:ascii="Times New Roman" w:hAnsi="Times New Roman" w:cs="Times New Roman"/>
        </w:rPr>
        <w:t xml:space="preserve"> was located about a 30 minute drive from their home. He died a </w:t>
      </w:r>
      <w:r w:rsidRPr="00E869A4">
        <w:rPr>
          <w:rFonts w:ascii="Times New Roman" w:hAnsi="Times New Roman" w:cs="Times New Roman"/>
        </w:rPr>
        <w:lastRenderedPageBreak/>
        <w:t>few months later</w:t>
      </w:r>
      <w:r w:rsidRPr="00E869A4">
        <w:rPr>
          <w:rStyle w:val="FootnoteReference"/>
          <w:rFonts w:ascii="Times New Roman" w:hAnsi="Times New Roman" w:cs="Times New Roman"/>
        </w:rPr>
        <w:footnoteReference w:id="147"/>
      </w:r>
      <w:r w:rsidRPr="00E869A4">
        <w:rPr>
          <w:rFonts w:ascii="Times New Roman" w:hAnsi="Times New Roman" w:cs="Times New Roman"/>
        </w:rPr>
        <w:t xml:space="preserve">. A month after the funeral, Mr. Sanchez’s siblings served Mrs. Sanchez with a formal notice to vacate the family home. She obtained legal support and resisted their request. </w:t>
      </w:r>
    </w:p>
    <w:p w14:paraId="6FD904A6" w14:textId="77777777" w:rsidR="005D762D" w:rsidRPr="00E869A4" w:rsidRDefault="005D762D" w:rsidP="00A35FF8">
      <w:pPr>
        <w:ind w:firstLine="720"/>
        <w:rPr>
          <w:rFonts w:ascii="Times New Roman" w:hAnsi="Times New Roman" w:cs="Times New Roman"/>
        </w:rPr>
      </w:pPr>
    </w:p>
    <w:p w14:paraId="388C7C9D" w14:textId="77777777" w:rsidR="00D1584C" w:rsidRPr="00E869A4" w:rsidRDefault="00D1584C" w:rsidP="009D4C5D">
      <w:pPr>
        <w:pStyle w:val="ListParagraph"/>
        <w:numPr>
          <w:ilvl w:val="0"/>
          <w:numId w:val="74"/>
        </w:numPr>
        <w:contextualSpacing w:val="0"/>
        <w:rPr>
          <w:b/>
        </w:rPr>
      </w:pPr>
      <w:bookmarkStart w:id="502" w:name="_Toc507665575"/>
      <w:bookmarkStart w:id="503" w:name="_Toc507909147"/>
      <w:r w:rsidRPr="00E869A4">
        <w:rPr>
          <w:b/>
        </w:rPr>
        <w:t>MRS. FLORA</w:t>
      </w:r>
      <w:bookmarkEnd w:id="502"/>
      <w:bookmarkEnd w:id="503"/>
    </w:p>
    <w:p w14:paraId="7F6D5FD2" w14:textId="77777777" w:rsidR="00D1584C" w:rsidRPr="00E869A4" w:rsidRDefault="00D1584C" w:rsidP="00A35FF8">
      <w:pPr>
        <w:autoSpaceDE w:val="0"/>
        <w:autoSpaceDN w:val="0"/>
        <w:adjustRightInd w:val="0"/>
        <w:rPr>
          <w:rFonts w:ascii="Times New Roman" w:hAnsi="Times New Roman" w:cs="Times New Roman"/>
          <w:b/>
        </w:rPr>
      </w:pPr>
    </w:p>
    <w:tbl>
      <w:tblPr>
        <w:tblStyle w:val="MediumShading2-Accent11"/>
        <w:tblW w:w="9363"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167"/>
        <w:gridCol w:w="3242"/>
      </w:tblGrid>
      <w:tr w:rsidR="00C714D3" w:rsidRPr="00E869A4" w14:paraId="1622CBFF" w14:textId="77777777" w:rsidTr="00597634">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954" w:type="dxa"/>
          </w:tcPr>
          <w:p w14:paraId="2201ED68" w14:textId="77777777" w:rsidR="00D1584C" w:rsidRPr="00551DFD" w:rsidRDefault="00D1584C" w:rsidP="005D762D">
            <w:pPr>
              <w:autoSpaceDE w:val="0"/>
              <w:autoSpaceDN w:val="0"/>
              <w:adjustRightInd w:val="0"/>
              <w:ind w:firstLine="0"/>
              <w:jc w:val="center"/>
              <w:rPr>
                <w:rFonts w:ascii="Times New Roman" w:hAnsi="Times New Roman" w:cs="Times New Roman"/>
                <w:caps/>
                <w:sz w:val="23"/>
                <w:szCs w:val="23"/>
              </w:rPr>
            </w:pPr>
            <w:r w:rsidRPr="00551DFD">
              <w:rPr>
                <w:rFonts w:ascii="Times New Roman" w:hAnsi="Times New Roman" w:cs="Times New Roman"/>
                <w:caps/>
                <w:sz w:val="23"/>
                <w:szCs w:val="23"/>
              </w:rPr>
              <w:t>Participant Category</w:t>
            </w:r>
          </w:p>
        </w:tc>
        <w:tc>
          <w:tcPr>
            <w:tcW w:w="3167" w:type="dxa"/>
          </w:tcPr>
          <w:p w14:paraId="3EFD865F" w14:textId="04B439E0" w:rsidR="00D1584C" w:rsidRPr="00551DFD" w:rsidRDefault="009E2738" w:rsidP="00385EEC">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551DFD">
              <w:rPr>
                <w:rFonts w:ascii="Times New Roman" w:hAnsi="Times New Roman" w:cs="Times New Roman"/>
                <w:sz w:val="23"/>
                <w:szCs w:val="23"/>
              </w:rPr>
              <w:t>CARE RECIPIENT</w:t>
            </w:r>
            <w:r w:rsidR="00D1584C" w:rsidRPr="00551DFD">
              <w:rPr>
                <w:rFonts w:ascii="Times New Roman" w:hAnsi="Times New Roman" w:cs="Times New Roman"/>
                <w:sz w:val="23"/>
                <w:szCs w:val="23"/>
              </w:rPr>
              <w:t xml:space="preserve"> (CR)</w:t>
            </w:r>
          </w:p>
        </w:tc>
        <w:tc>
          <w:tcPr>
            <w:tcW w:w="3242" w:type="dxa"/>
          </w:tcPr>
          <w:p w14:paraId="1F18D151" w14:textId="77777777" w:rsidR="00D1584C" w:rsidRPr="00551DFD" w:rsidRDefault="00D1584C" w:rsidP="00A35FF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551DFD">
              <w:rPr>
                <w:rFonts w:ascii="Times New Roman" w:hAnsi="Times New Roman" w:cs="Times New Roman"/>
                <w:sz w:val="23"/>
                <w:szCs w:val="23"/>
              </w:rPr>
              <w:t>CAREGIVER (CG)</w:t>
            </w:r>
          </w:p>
        </w:tc>
      </w:tr>
      <w:tr w:rsidR="00C714D3" w:rsidRPr="00E869A4" w14:paraId="13C30B24"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4FF8B89F"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 xml:space="preserve">Name </w:t>
            </w:r>
          </w:p>
        </w:tc>
        <w:tc>
          <w:tcPr>
            <w:tcW w:w="3167" w:type="dxa"/>
          </w:tcPr>
          <w:p w14:paraId="13CF9471"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Mr. Wayne Flora</w:t>
            </w:r>
            <w:r w:rsidRPr="00E869A4">
              <w:rPr>
                <w:rStyle w:val="FootnoteReference"/>
                <w:rFonts w:ascii="Times New Roman" w:hAnsi="Times New Roman" w:cs="Times New Roman"/>
                <w:sz w:val="23"/>
                <w:szCs w:val="23"/>
              </w:rPr>
              <w:footnoteReference w:id="148"/>
            </w:r>
          </w:p>
        </w:tc>
        <w:tc>
          <w:tcPr>
            <w:tcW w:w="3242" w:type="dxa"/>
          </w:tcPr>
          <w:p w14:paraId="1D7E5D03"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Mrs. Francine Flora</w:t>
            </w:r>
          </w:p>
        </w:tc>
      </w:tr>
      <w:tr w:rsidR="00C714D3" w:rsidRPr="00E869A4" w14:paraId="0AB2D2DF"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3C8F2FC2"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Relationship</w:t>
            </w:r>
          </w:p>
        </w:tc>
        <w:tc>
          <w:tcPr>
            <w:tcW w:w="3167" w:type="dxa"/>
          </w:tcPr>
          <w:p w14:paraId="5C27EA7C"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Husband </w:t>
            </w:r>
          </w:p>
        </w:tc>
        <w:tc>
          <w:tcPr>
            <w:tcW w:w="3242" w:type="dxa"/>
          </w:tcPr>
          <w:p w14:paraId="025B7C0E"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Wife </w:t>
            </w:r>
          </w:p>
        </w:tc>
      </w:tr>
      <w:tr w:rsidR="00C714D3" w:rsidRPr="00E869A4" w14:paraId="64614B6C"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095067D2"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Age</w:t>
            </w:r>
          </w:p>
        </w:tc>
        <w:tc>
          <w:tcPr>
            <w:tcW w:w="3167" w:type="dxa"/>
          </w:tcPr>
          <w:p w14:paraId="6CAB8D3D"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68</w:t>
            </w:r>
          </w:p>
        </w:tc>
        <w:tc>
          <w:tcPr>
            <w:tcW w:w="3242" w:type="dxa"/>
          </w:tcPr>
          <w:p w14:paraId="0C564352"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60-69</w:t>
            </w:r>
          </w:p>
        </w:tc>
      </w:tr>
      <w:tr w:rsidR="00C714D3" w:rsidRPr="00E869A4" w14:paraId="390E30AC"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039755A4"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Gender</w:t>
            </w:r>
          </w:p>
        </w:tc>
        <w:tc>
          <w:tcPr>
            <w:tcW w:w="3167" w:type="dxa"/>
          </w:tcPr>
          <w:p w14:paraId="5FBD1B2A"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Male</w:t>
            </w:r>
          </w:p>
        </w:tc>
        <w:tc>
          <w:tcPr>
            <w:tcW w:w="3242" w:type="dxa"/>
          </w:tcPr>
          <w:p w14:paraId="74C80900"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7E78873F"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706E1112"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Ethnicity</w:t>
            </w:r>
          </w:p>
        </w:tc>
        <w:tc>
          <w:tcPr>
            <w:tcW w:w="3167" w:type="dxa"/>
          </w:tcPr>
          <w:p w14:paraId="4991D088"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Mixed</w:t>
            </w:r>
          </w:p>
        </w:tc>
        <w:tc>
          <w:tcPr>
            <w:tcW w:w="3242" w:type="dxa"/>
          </w:tcPr>
          <w:p w14:paraId="79F9C7F2"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Mixed </w:t>
            </w:r>
          </w:p>
        </w:tc>
      </w:tr>
      <w:tr w:rsidR="00C714D3" w:rsidRPr="00E869A4" w14:paraId="61FFCC9C"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70E9714C"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Education</w:t>
            </w:r>
          </w:p>
        </w:tc>
        <w:tc>
          <w:tcPr>
            <w:tcW w:w="3167" w:type="dxa"/>
          </w:tcPr>
          <w:p w14:paraId="46AC62BA"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Technical College </w:t>
            </w:r>
          </w:p>
        </w:tc>
        <w:tc>
          <w:tcPr>
            <w:tcW w:w="3242" w:type="dxa"/>
          </w:tcPr>
          <w:p w14:paraId="5E54459F"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High School</w:t>
            </w:r>
          </w:p>
        </w:tc>
      </w:tr>
      <w:tr w:rsidR="00C714D3" w:rsidRPr="00E869A4" w14:paraId="6F8C326D"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2D59736F"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Employment History / Status</w:t>
            </w:r>
          </w:p>
        </w:tc>
        <w:tc>
          <w:tcPr>
            <w:tcW w:w="3167" w:type="dxa"/>
          </w:tcPr>
          <w:p w14:paraId="5BAE3F57"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Senior Public Officer</w:t>
            </w:r>
          </w:p>
        </w:tc>
        <w:tc>
          <w:tcPr>
            <w:tcW w:w="3242" w:type="dxa"/>
          </w:tcPr>
          <w:p w14:paraId="46C0DA86"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Home-maker</w:t>
            </w:r>
          </w:p>
        </w:tc>
      </w:tr>
      <w:tr w:rsidR="00C714D3" w:rsidRPr="00E869A4" w14:paraId="7C62B93A"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70776114"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Marital Status</w:t>
            </w:r>
          </w:p>
        </w:tc>
        <w:tc>
          <w:tcPr>
            <w:tcW w:w="3167" w:type="dxa"/>
          </w:tcPr>
          <w:p w14:paraId="2ED4223F"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Married </w:t>
            </w:r>
          </w:p>
        </w:tc>
        <w:tc>
          <w:tcPr>
            <w:tcW w:w="3242" w:type="dxa"/>
          </w:tcPr>
          <w:p w14:paraId="1B32869B"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Married </w:t>
            </w:r>
          </w:p>
        </w:tc>
      </w:tr>
      <w:tr w:rsidR="00C714D3" w:rsidRPr="00E869A4" w14:paraId="2A574693"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7268ECDD"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Number of Sons</w:t>
            </w:r>
          </w:p>
        </w:tc>
        <w:tc>
          <w:tcPr>
            <w:tcW w:w="3167" w:type="dxa"/>
          </w:tcPr>
          <w:p w14:paraId="3E53D1CC"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c>
          <w:tcPr>
            <w:tcW w:w="3242" w:type="dxa"/>
          </w:tcPr>
          <w:p w14:paraId="30A44E29"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05791F72"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713B3A69"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Number of Daughters</w:t>
            </w:r>
          </w:p>
        </w:tc>
        <w:tc>
          <w:tcPr>
            <w:tcW w:w="3167" w:type="dxa"/>
          </w:tcPr>
          <w:p w14:paraId="083CB327"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c>
          <w:tcPr>
            <w:tcW w:w="3242" w:type="dxa"/>
          </w:tcPr>
          <w:p w14:paraId="1BB18CF4"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r>
      <w:tr w:rsidR="00C714D3" w:rsidRPr="00E869A4" w14:paraId="7B3C06DE"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12B811BD"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Total # Surviving Children</w:t>
            </w:r>
          </w:p>
        </w:tc>
        <w:tc>
          <w:tcPr>
            <w:tcW w:w="3167" w:type="dxa"/>
          </w:tcPr>
          <w:p w14:paraId="3A8D316A"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c>
          <w:tcPr>
            <w:tcW w:w="3242" w:type="dxa"/>
          </w:tcPr>
          <w:p w14:paraId="55AD7A5C"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r>
      <w:tr w:rsidR="00C714D3" w:rsidRPr="00E869A4" w14:paraId="71C19D00"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48E05E9F"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Level of Dependency / Care Activities</w:t>
            </w:r>
          </w:p>
        </w:tc>
        <w:tc>
          <w:tcPr>
            <w:tcW w:w="3167" w:type="dxa"/>
          </w:tcPr>
          <w:p w14:paraId="629AC9DC"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Moderately Dependent</w:t>
            </w:r>
          </w:p>
        </w:tc>
        <w:tc>
          <w:tcPr>
            <w:tcW w:w="3242" w:type="dxa"/>
          </w:tcPr>
          <w:p w14:paraId="673EDD6D"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ADL &amp; IADL </w:t>
            </w:r>
          </w:p>
        </w:tc>
      </w:tr>
      <w:tr w:rsidR="00C714D3" w:rsidRPr="00E869A4" w14:paraId="36BDB3DF"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2BB0F340"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Health Challenges / Care provided</w:t>
            </w:r>
          </w:p>
        </w:tc>
        <w:tc>
          <w:tcPr>
            <w:tcW w:w="3167" w:type="dxa"/>
          </w:tcPr>
          <w:p w14:paraId="3E70A79B"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Parkinson’s Disease</w:t>
            </w:r>
          </w:p>
        </w:tc>
        <w:tc>
          <w:tcPr>
            <w:tcW w:w="3242" w:type="dxa"/>
          </w:tcPr>
          <w:p w14:paraId="02DAB87C"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Instrumental care</w:t>
            </w:r>
          </w:p>
          <w:p w14:paraId="1BE411FD"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Preservative care</w:t>
            </w:r>
          </w:p>
          <w:p w14:paraId="1792DF72"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Anticipatory care</w:t>
            </w:r>
          </w:p>
          <w:p w14:paraId="7892DC4C"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Preventive care</w:t>
            </w:r>
          </w:p>
          <w:p w14:paraId="351A3F2E"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4AF68D05"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Emotional support</w:t>
            </w:r>
          </w:p>
          <w:p w14:paraId="6F8CD354"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14:paraId="0894278B" w14:textId="77777777" w:rsidR="00D1584C" w:rsidRPr="00E869A4" w:rsidRDefault="00D1584C" w:rsidP="00597634">
            <w:pPr>
              <w:autoSpaceDE w:val="0"/>
              <w:autoSpaceDN w:val="0"/>
              <w:adjustRightInd w:val="0"/>
              <w:ind w:left="155" w:firstLine="2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Suffered from Rheumatoid Arthritis)</w:t>
            </w:r>
          </w:p>
        </w:tc>
      </w:tr>
      <w:tr w:rsidR="00C714D3" w:rsidRPr="00E869A4" w14:paraId="275FB36A"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26AA4A94"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Time spent providing Family Care to CR</w:t>
            </w:r>
          </w:p>
        </w:tc>
        <w:tc>
          <w:tcPr>
            <w:tcW w:w="3167" w:type="dxa"/>
          </w:tcPr>
          <w:p w14:paraId="6DFBDE10"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242" w:type="dxa"/>
          </w:tcPr>
          <w:p w14:paraId="728304E5"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 years or longer</w:t>
            </w:r>
            <w:r w:rsidRPr="00E869A4">
              <w:rPr>
                <w:rStyle w:val="FootnoteReference"/>
                <w:rFonts w:ascii="Times New Roman" w:hAnsi="Times New Roman" w:cs="Times New Roman"/>
                <w:sz w:val="23"/>
                <w:szCs w:val="23"/>
              </w:rPr>
              <w:footnoteReference w:id="149"/>
            </w:r>
          </w:p>
        </w:tc>
      </w:tr>
      <w:tr w:rsidR="00C714D3" w:rsidRPr="00E869A4" w14:paraId="719280CC"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1D72A47B"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Location in T&amp;T</w:t>
            </w:r>
            <w:r w:rsidRPr="00551DFD">
              <w:rPr>
                <w:rStyle w:val="FootnoteReference"/>
                <w:rFonts w:ascii="Times New Roman" w:hAnsi="Times New Roman" w:cs="Times New Roman"/>
                <w:sz w:val="23"/>
                <w:szCs w:val="23"/>
              </w:rPr>
              <w:footnoteReference w:id="150"/>
            </w:r>
          </w:p>
        </w:tc>
        <w:tc>
          <w:tcPr>
            <w:tcW w:w="3167" w:type="dxa"/>
          </w:tcPr>
          <w:p w14:paraId="521CB449"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North-Central</w:t>
            </w:r>
          </w:p>
        </w:tc>
        <w:tc>
          <w:tcPr>
            <w:tcW w:w="3242" w:type="dxa"/>
          </w:tcPr>
          <w:p w14:paraId="323D37CD"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North-Central</w:t>
            </w:r>
          </w:p>
        </w:tc>
      </w:tr>
      <w:tr w:rsidR="00C714D3" w:rsidRPr="00E869A4" w14:paraId="1E9B0C2C"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1C63FD56"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Distance between residence of CR &amp; CG</w:t>
            </w:r>
          </w:p>
        </w:tc>
        <w:tc>
          <w:tcPr>
            <w:tcW w:w="6409" w:type="dxa"/>
            <w:gridSpan w:val="2"/>
          </w:tcPr>
          <w:p w14:paraId="42FA7D05"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Same house</w:t>
            </w:r>
          </w:p>
        </w:tc>
      </w:tr>
      <w:tr w:rsidR="00C714D3" w:rsidRPr="00E869A4" w14:paraId="3C9B52A2"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3D2EC847"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Other Property Info</w:t>
            </w:r>
          </w:p>
        </w:tc>
        <w:tc>
          <w:tcPr>
            <w:tcW w:w="6409" w:type="dxa"/>
            <w:gridSpan w:val="2"/>
          </w:tcPr>
          <w:p w14:paraId="46C632E5"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One level property but had to climb about 6 steps to access the </w:t>
            </w:r>
            <w:r w:rsidRPr="00E869A4">
              <w:rPr>
                <w:rFonts w:ascii="Times New Roman" w:hAnsi="Times New Roman" w:cs="Times New Roman"/>
                <w:sz w:val="23"/>
                <w:szCs w:val="23"/>
              </w:rPr>
              <w:lastRenderedPageBreak/>
              <w:t xml:space="preserve">house. Daughter (Francine) lived in a separate house on the same property. Mrs. Flora owned / managed several other properties on the street. </w:t>
            </w:r>
          </w:p>
        </w:tc>
      </w:tr>
      <w:tr w:rsidR="00C714D3" w:rsidRPr="00E869A4" w14:paraId="6BB21E44"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2DBDE9B8"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lastRenderedPageBreak/>
              <w:t>Support from Family Overseas</w:t>
            </w:r>
          </w:p>
        </w:tc>
        <w:tc>
          <w:tcPr>
            <w:tcW w:w="6409" w:type="dxa"/>
            <w:gridSpan w:val="2"/>
          </w:tcPr>
          <w:p w14:paraId="69BBFBA7" w14:textId="77777777" w:rsidR="00D1584C" w:rsidRPr="00E869A4" w:rsidRDefault="00D1584C" w:rsidP="009D4C5D">
            <w:pPr>
              <w:pStyle w:val="ListParagraph"/>
              <w:numPr>
                <w:ilvl w:val="0"/>
                <w:numId w:val="34"/>
              </w:numPr>
              <w:tabs>
                <w:tab w:val="left" w:pos="461"/>
              </w:tabs>
              <w:autoSpaceDE w:val="0"/>
              <w:autoSpaceDN w:val="0"/>
              <w:adjustRightInd w:val="0"/>
              <w:ind w:left="155" w:firstLine="23"/>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w:t>
            </w:r>
          </w:p>
        </w:tc>
      </w:tr>
      <w:tr w:rsidR="00C714D3" w:rsidRPr="00E869A4" w14:paraId="76A7B0F4"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2B40066C"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Support from other relatives locally</w:t>
            </w:r>
          </w:p>
        </w:tc>
        <w:tc>
          <w:tcPr>
            <w:tcW w:w="6409" w:type="dxa"/>
            <w:gridSpan w:val="2"/>
          </w:tcPr>
          <w:p w14:paraId="5243307B" w14:textId="77777777" w:rsidR="00D1584C" w:rsidRPr="00E869A4" w:rsidRDefault="00D1584C" w:rsidP="009D4C5D">
            <w:pPr>
              <w:pStyle w:val="ListParagraph"/>
              <w:numPr>
                <w:ilvl w:val="0"/>
                <w:numId w:val="34"/>
              </w:numPr>
              <w:tabs>
                <w:tab w:val="left" w:pos="461"/>
              </w:tabs>
              <w:autoSpaceDE w:val="0"/>
              <w:autoSpaceDN w:val="0"/>
              <w:adjustRightInd w:val="0"/>
              <w:ind w:left="155" w:firstLine="23"/>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(Often)</w:t>
            </w:r>
          </w:p>
        </w:tc>
      </w:tr>
      <w:tr w:rsidR="00C714D3" w:rsidRPr="00E869A4" w14:paraId="2F114FB8" w14:textId="77777777" w:rsidTr="00597634">
        <w:trPr>
          <w:jc w:val="center"/>
        </w:trPr>
        <w:tc>
          <w:tcPr>
            <w:cnfStyle w:val="001000000000" w:firstRow="0" w:lastRow="0" w:firstColumn="1" w:lastColumn="0" w:oddVBand="0" w:evenVBand="0" w:oddHBand="0" w:evenHBand="0" w:firstRowFirstColumn="0" w:firstRowLastColumn="0" w:lastRowFirstColumn="0" w:lastRowLastColumn="0"/>
            <w:tcW w:w="2954" w:type="dxa"/>
          </w:tcPr>
          <w:p w14:paraId="1A3C6B6B"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Secondary Caregivers</w:t>
            </w:r>
          </w:p>
        </w:tc>
        <w:tc>
          <w:tcPr>
            <w:tcW w:w="6409" w:type="dxa"/>
            <w:gridSpan w:val="2"/>
          </w:tcPr>
          <w:p w14:paraId="1AF19535"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Donna(Daughter)</w:t>
            </w:r>
          </w:p>
          <w:p w14:paraId="40F5C19C" w14:textId="77777777" w:rsidR="00D1584C" w:rsidRPr="00E869A4" w:rsidRDefault="00D1584C" w:rsidP="00597634">
            <w:pPr>
              <w:autoSpaceDE w:val="0"/>
              <w:autoSpaceDN w:val="0"/>
              <w:adjustRightInd w:val="0"/>
              <w:ind w:left="155"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Francine (Daughter)</w:t>
            </w:r>
          </w:p>
        </w:tc>
      </w:tr>
      <w:tr w:rsidR="00C714D3" w:rsidRPr="00E869A4" w14:paraId="3BDAB412" w14:textId="77777777" w:rsidTr="005976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4" w:type="dxa"/>
          </w:tcPr>
          <w:p w14:paraId="462C1BB6" w14:textId="77777777" w:rsidR="00D1584C" w:rsidRPr="00551DFD" w:rsidRDefault="00D1584C" w:rsidP="00597634">
            <w:pPr>
              <w:autoSpaceDE w:val="0"/>
              <w:autoSpaceDN w:val="0"/>
              <w:adjustRightInd w:val="0"/>
              <w:ind w:left="155" w:firstLine="0"/>
              <w:rPr>
                <w:rFonts w:ascii="Times New Roman" w:hAnsi="Times New Roman" w:cs="Times New Roman"/>
                <w:sz w:val="23"/>
                <w:szCs w:val="23"/>
              </w:rPr>
            </w:pPr>
            <w:r w:rsidRPr="00551DFD">
              <w:rPr>
                <w:rFonts w:ascii="Times New Roman" w:hAnsi="Times New Roman" w:cs="Times New Roman"/>
                <w:sz w:val="23"/>
                <w:szCs w:val="23"/>
              </w:rPr>
              <w:t>Paid Caregivers</w:t>
            </w:r>
          </w:p>
        </w:tc>
        <w:tc>
          <w:tcPr>
            <w:tcW w:w="6409" w:type="dxa"/>
            <w:gridSpan w:val="2"/>
          </w:tcPr>
          <w:p w14:paraId="252FF51A" w14:textId="77777777" w:rsidR="00D1584C" w:rsidRPr="00E869A4" w:rsidRDefault="00D1584C" w:rsidP="00597634">
            <w:pPr>
              <w:autoSpaceDE w:val="0"/>
              <w:autoSpaceDN w:val="0"/>
              <w:adjustRightInd w:val="0"/>
              <w:ind w:left="155"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None</w:t>
            </w:r>
          </w:p>
        </w:tc>
      </w:tr>
    </w:tbl>
    <w:p w14:paraId="503AF745" w14:textId="77777777" w:rsidR="00D1584C" w:rsidRPr="00E869A4" w:rsidRDefault="00D1584C" w:rsidP="00A35FF8">
      <w:pPr>
        <w:autoSpaceDE w:val="0"/>
        <w:autoSpaceDN w:val="0"/>
        <w:adjustRightInd w:val="0"/>
        <w:rPr>
          <w:rFonts w:ascii="Times New Roman" w:hAnsi="Times New Roman" w:cs="Times New Roman"/>
          <w:b/>
        </w:rPr>
      </w:pPr>
    </w:p>
    <w:p w14:paraId="012CFF04" w14:textId="77777777"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Mrs. Flora was the primary caregiver to her husband who suffered from Parkinson’s Disease. They were both Tobagonians, and migrated to Trinidad in their young adult years soon after they were married. They lived in a middle-income community for many years and had two daughters: Donna, who was married and lived with her husband in a community about 15 minutes’ drive away from them, and Francine, who was single and lived in a separate house on their property. Francine worked nearby (about a 5 minutes’ drive from the house). Francine and Donna provided secondary care support to their father. Mrs. Flora appreciated the assistance they provided, especially since there were days when she herself did not feel well as a result of the pain she experienced as a result of rheumatoid arthritis which she suffered from. </w:t>
      </w:r>
    </w:p>
    <w:p w14:paraId="7CA871B3" w14:textId="77777777" w:rsidR="00615F84" w:rsidRPr="00E869A4" w:rsidRDefault="00615F84" w:rsidP="00A35FF8">
      <w:pPr>
        <w:ind w:firstLine="720"/>
        <w:rPr>
          <w:rFonts w:ascii="Times New Roman" w:hAnsi="Times New Roman" w:cs="Times New Roman"/>
        </w:rPr>
      </w:pPr>
    </w:p>
    <w:p w14:paraId="363FF3FA" w14:textId="0789413C"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In addition to the assistance she received from her daughter, neighbours and friends also provided occasional assistance to the family. While the support Mrs. Flora received was ad hoc, it was frequent enough to make a significant impact on her overall wellbeing as a caregiver. Sometimes a neighbour would provide her with an extra meal or vegetables and fruits from their garden. Persons in the community would stop to give her a free lift when they saw her walking to the shops. Mrs. Flora’s strong community ties were in part a result of her own generosity to persons in her community. Mrs. Flora frequently gave clothes and other donations to people who needed assistance in the area, </w:t>
      </w:r>
      <w:r w:rsidR="005D762D" w:rsidRPr="00E869A4">
        <w:rPr>
          <w:rFonts w:ascii="Times New Roman" w:hAnsi="Times New Roman" w:cs="Times New Roman"/>
        </w:rPr>
        <w:t>and</w:t>
      </w:r>
      <w:r w:rsidRPr="00E869A4">
        <w:rPr>
          <w:rFonts w:ascii="Times New Roman" w:hAnsi="Times New Roman" w:cs="Times New Roman"/>
        </w:rPr>
        <w:t xml:space="preserve"> to a religious charity. Though the charity fell under a Christian denomination other than her own, she admired their charitable acts and decided to support them. </w:t>
      </w:r>
    </w:p>
    <w:p w14:paraId="693109FC" w14:textId="77777777" w:rsidR="005D762D" w:rsidRPr="00E869A4" w:rsidRDefault="005D762D" w:rsidP="00A35FF8">
      <w:pPr>
        <w:ind w:firstLine="720"/>
        <w:rPr>
          <w:rFonts w:ascii="Times New Roman" w:hAnsi="Times New Roman" w:cs="Times New Roman"/>
        </w:rPr>
      </w:pPr>
    </w:p>
    <w:p w14:paraId="4E7F8826" w14:textId="651EE5B3"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When asked why she cared for her husband, she explained that her mother taught her practical skills on how to care for people from a young age. Her mother was the informal mid-wife in Tobago. She </w:t>
      </w:r>
      <w:r w:rsidRPr="00E869A4">
        <w:rPr>
          <w:rFonts w:ascii="Times New Roman" w:hAnsi="Times New Roman" w:cs="Times New Roman"/>
        </w:rPr>
        <w:lastRenderedPageBreak/>
        <w:t>taught Mrs. Flora how to deliver babies, and supported her decision to provide personal care support to an older woman in their village when Mrs. Flora was just a teenager. Her mother taught her and her siblings to provide support to people in need whenever they could. As a result of her upbringing, she felt comfortable caring for her husband. She also explained that he was a good husband so this made it easy for her to care for him in return. She strongly believed however, that whether or not he was a good husband, she should care for him and felt that others in a similar situation should do the same because it was the right thing to do. Her belief system was in large part informed by her Christian values. She and her daughters attended a church near to her home. Her husband went on occasion, but, on the days that he was not well enough to go, she left him home alone and went ahead to the service.</w:t>
      </w:r>
    </w:p>
    <w:p w14:paraId="6D5EDFAA" w14:textId="77777777" w:rsidR="00615F84" w:rsidRPr="00E869A4" w:rsidRDefault="00615F84" w:rsidP="00A35FF8">
      <w:pPr>
        <w:ind w:firstLine="720"/>
        <w:rPr>
          <w:rFonts w:ascii="Times New Roman" w:hAnsi="Times New Roman" w:cs="Times New Roman"/>
        </w:rPr>
      </w:pPr>
    </w:p>
    <w:p w14:paraId="0D97064E" w14:textId="77777777" w:rsidR="00D1584C" w:rsidRPr="00E869A4" w:rsidRDefault="00D1584C" w:rsidP="009D4C5D">
      <w:pPr>
        <w:pStyle w:val="ListParagraph"/>
        <w:numPr>
          <w:ilvl w:val="0"/>
          <w:numId w:val="74"/>
        </w:numPr>
        <w:contextualSpacing w:val="0"/>
        <w:rPr>
          <w:b/>
        </w:rPr>
      </w:pPr>
      <w:bookmarkStart w:id="504" w:name="_Toc507665576"/>
      <w:bookmarkStart w:id="505" w:name="_Toc507909148"/>
      <w:r w:rsidRPr="00E869A4">
        <w:rPr>
          <w:b/>
        </w:rPr>
        <w:t>MS. SUSAN MAHARAJ (Former Caregiver)</w:t>
      </w:r>
      <w:bookmarkEnd w:id="504"/>
      <w:bookmarkEnd w:id="505"/>
    </w:p>
    <w:p w14:paraId="75D99268" w14:textId="77777777" w:rsidR="00D1584C" w:rsidRPr="00E869A4" w:rsidRDefault="00D1584C" w:rsidP="00A35FF8">
      <w:pPr>
        <w:autoSpaceDE w:val="0"/>
        <w:autoSpaceDN w:val="0"/>
        <w:adjustRightInd w:val="0"/>
        <w:rPr>
          <w:rFonts w:ascii="Times New Roman" w:hAnsi="Times New Roman" w:cs="Times New Roman"/>
          <w:b/>
        </w:rPr>
      </w:pPr>
    </w:p>
    <w:tbl>
      <w:tblPr>
        <w:tblStyle w:val="MediumShading2-Accent11"/>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5525"/>
      </w:tblGrid>
      <w:tr w:rsidR="00C714D3" w:rsidRPr="00E869A4" w14:paraId="262FD607" w14:textId="77777777" w:rsidTr="00EE3C7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419" w:type="dxa"/>
          </w:tcPr>
          <w:p w14:paraId="36D2A933" w14:textId="77777777" w:rsidR="00D1584C" w:rsidRPr="00551DFD" w:rsidRDefault="00D1584C" w:rsidP="005D762D">
            <w:pPr>
              <w:autoSpaceDE w:val="0"/>
              <w:autoSpaceDN w:val="0"/>
              <w:adjustRightInd w:val="0"/>
              <w:ind w:firstLine="18"/>
              <w:jc w:val="center"/>
              <w:rPr>
                <w:rFonts w:ascii="Times New Roman" w:hAnsi="Times New Roman" w:cs="Times New Roman"/>
                <w:caps/>
                <w:sz w:val="23"/>
                <w:szCs w:val="23"/>
              </w:rPr>
            </w:pPr>
            <w:r w:rsidRPr="00551DFD">
              <w:rPr>
                <w:rFonts w:ascii="Times New Roman" w:hAnsi="Times New Roman" w:cs="Times New Roman"/>
                <w:caps/>
                <w:sz w:val="23"/>
                <w:szCs w:val="23"/>
              </w:rPr>
              <w:t>Participant Category</w:t>
            </w:r>
          </w:p>
        </w:tc>
        <w:tc>
          <w:tcPr>
            <w:tcW w:w="5525" w:type="dxa"/>
          </w:tcPr>
          <w:p w14:paraId="4AB1E876" w14:textId="77777777" w:rsidR="00D1584C" w:rsidRPr="00551DFD" w:rsidRDefault="00D1584C" w:rsidP="00385EEC">
            <w:pPr>
              <w:autoSpaceDE w:val="0"/>
              <w:autoSpaceDN w:val="0"/>
              <w:adjustRightInd w:val="0"/>
              <w:ind w:left="585" w:firstLine="1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551DFD">
              <w:rPr>
                <w:rFonts w:ascii="Times New Roman" w:hAnsi="Times New Roman" w:cs="Times New Roman"/>
                <w:sz w:val="23"/>
                <w:szCs w:val="23"/>
              </w:rPr>
              <w:t>CAREGIVER (CG)</w:t>
            </w:r>
          </w:p>
        </w:tc>
      </w:tr>
      <w:tr w:rsidR="00C714D3" w:rsidRPr="00E869A4" w14:paraId="5B82F588"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1432983F"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 xml:space="preserve">Name </w:t>
            </w:r>
          </w:p>
        </w:tc>
        <w:tc>
          <w:tcPr>
            <w:tcW w:w="5525" w:type="dxa"/>
          </w:tcPr>
          <w:p w14:paraId="74076A39"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Susan Maharaj</w:t>
            </w:r>
          </w:p>
        </w:tc>
      </w:tr>
      <w:tr w:rsidR="00C714D3" w:rsidRPr="00E869A4" w14:paraId="7B222EC6"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4A1240BE"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CG Age</w:t>
            </w:r>
          </w:p>
        </w:tc>
        <w:tc>
          <w:tcPr>
            <w:tcW w:w="5525" w:type="dxa"/>
          </w:tcPr>
          <w:p w14:paraId="394A86CD" w14:textId="77777777" w:rsidR="00D1584C" w:rsidRPr="00E869A4" w:rsidRDefault="00D1584C" w:rsidP="001D3A78">
            <w:pPr>
              <w:autoSpaceDE w:val="0"/>
              <w:autoSpaceDN w:val="0"/>
              <w:adjustRightInd w:val="0"/>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40-49</w:t>
            </w:r>
          </w:p>
        </w:tc>
      </w:tr>
      <w:tr w:rsidR="00C714D3" w:rsidRPr="00E869A4" w14:paraId="3E45ADB7"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69696CFF"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 xml:space="preserve">Gender </w:t>
            </w:r>
          </w:p>
        </w:tc>
        <w:tc>
          <w:tcPr>
            <w:tcW w:w="5525" w:type="dxa"/>
          </w:tcPr>
          <w:p w14:paraId="0C875146"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2F04ABEB"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122623AB"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Ethnicity</w:t>
            </w:r>
          </w:p>
        </w:tc>
        <w:tc>
          <w:tcPr>
            <w:tcW w:w="5525" w:type="dxa"/>
          </w:tcPr>
          <w:p w14:paraId="5C3316F5" w14:textId="77777777" w:rsidR="00D1584C" w:rsidRPr="00E869A4" w:rsidRDefault="00D1584C" w:rsidP="001D3A78">
            <w:pPr>
              <w:autoSpaceDE w:val="0"/>
              <w:autoSpaceDN w:val="0"/>
              <w:adjustRightInd w:val="0"/>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Indian Trinidadian</w:t>
            </w:r>
          </w:p>
        </w:tc>
      </w:tr>
      <w:tr w:rsidR="00C714D3" w:rsidRPr="00E869A4" w14:paraId="2C8E547E"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614413F6"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Education</w:t>
            </w:r>
          </w:p>
        </w:tc>
        <w:tc>
          <w:tcPr>
            <w:tcW w:w="5525" w:type="dxa"/>
          </w:tcPr>
          <w:p w14:paraId="0BBEAA0C"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High School</w:t>
            </w:r>
          </w:p>
        </w:tc>
      </w:tr>
      <w:tr w:rsidR="00C714D3" w:rsidRPr="00E869A4" w14:paraId="58FFB76B"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6B4C4036"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Employment History / Status</w:t>
            </w:r>
          </w:p>
        </w:tc>
        <w:tc>
          <w:tcPr>
            <w:tcW w:w="5525" w:type="dxa"/>
          </w:tcPr>
          <w:p w14:paraId="67483AAC" w14:textId="77777777" w:rsidR="00D1584C" w:rsidRPr="00E869A4" w:rsidRDefault="00D1584C" w:rsidP="001D3A78">
            <w:pPr>
              <w:autoSpaceDE w:val="0"/>
              <w:autoSpaceDN w:val="0"/>
              <w:adjustRightInd w:val="0"/>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Small Business Owner / Entrepreneur</w:t>
            </w:r>
          </w:p>
        </w:tc>
      </w:tr>
      <w:tr w:rsidR="00C714D3" w:rsidRPr="00E869A4" w14:paraId="152ADD03"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652C6307"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Marital Status</w:t>
            </w:r>
          </w:p>
        </w:tc>
        <w:tc>
          <w:tcPr>
            <w:tcW w:w="5525" w:type="dxa"/>
          </w:tcPr>
          <w:p w14:paraId="72DFF79B"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Widow </w:t>
            </w:r>
          </w:p>
        </w:tc>
      </w:tr>
      <w:tr w:rsidR="00C714D3" w:rsidRPr="00E869A4" w14:paraId="1850ECDB"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286D7E8E"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Number of Sons</w:t>
            </w:r>
          </w:p>
        </w:tc>
        <w:tc>
          <w:tcPr>
            <w:tcW w:w="5525" w:type="dxa"/>
          </w:tcPr>
          <w:p w14:paraId="0B9CC57C" w14:textId="77777777" w:rsidR="00D1584C" w:rsidRPr="00E869A4" w:rsidRDefault="00D1584C" w:rsidP="001D3A78">
            <w:pPr>
              <w:autoSpaceDE w:val="0"/>
              <w:autoSpaceDN w:val="0"/>
              <w:adjustRightInd w:val="0"/>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5E0CFF9B"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739B59FC"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Number of Daughters</w:t>
            </w:r>
          </w:p>
        </w:tc>
        <w:tc>
          <w:tcPr>
            <w:tcW w:w="5525" w:type="dxa"/>
          </w:tcPr>
          <w:p w14:paraId="29D7FCE1"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15491E63"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33B6BC2B"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Total # Surviving Children</w:t>
            </w:r>
          </w:p>
        </w:tc>
        <w:tc>
          <w:tcPr>
            <w:tcW w:w="5525" w:type="dxa"/>
          </w:tcPr>
          <w:p w14:paraId="045D95D1" w14:textId="77777777" w:rsidR="00D1584C" w:rsidRPr="00E869A4" w:rsidRDefault="00D1584C" w:rsidP="001D3A78">
            <w:pPr>
              <w:autoSpaceDE w:val="0"/>
              <w:autoSpaceDN w:val="0"/>
              <w:adjustRightInd w:val="0"/>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4502333E"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311F7CEE"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Care Recipients</w:t>
            </w:r>
          </w:p>
          <w:p w14:paraId="20087C72"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Relationship: Name: Age Range</w:t>
            </w:r>
          </w:p>
        </w:tc>
        <w:tc>
          <w:tcPr>
            <w:tcW w:w="5525" w:type="dxa"/>
          </w:tcPr>
          <w:p w14:paraId="009AEDEC"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Mother: Indrani Rampersad: 80 and over</w:t>
            </w:r>
          </w:p>
          <w:p w14:paraId="52A6154E"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Sister: Chandika Khan: 50-59</w:t>
            </w:r>
          </w:p>
          <w:p w14:paraId="488C2F5F"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Sister: Jaishree Mohammed: 50-59</w:t>
            </w:r>
          </w:p>
        </w:tc>
      </w:tr>
      <w:tr w:rsidR="00C714D3" w:rsidRPr="00E869A4" w14:paraId="600DB51F"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0074A24D"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 xml:space="preserve">Health Challenges </w:t>
            </w:r>
          </w:p>
        </w:tc>
        <w:tc>
          <w:tcPr>
            <w:tcW w:w="5525" w:type="dxa"/>
          </w:tcPr>
          <w:p w14:paraId="1583101C" w14:textId="77777777" w:rsidR="00D1584C" w:rsidRPr="00E869A4" w:rsidRDefault="00D1584C" w:rsidP="001D3A78">
            <w:pPr>
              <w:autoSpaceDE w:val="0"/>
              <w:autoSpaceDN w:val="0"/>
              <w:adjustRightInd w:val="0"/>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Cancer </w:t>
            </w:r>
          </w:p>
        </w:tc>
      </w:tr>
      <w:tr w:rsidR="00C714D3" w:rsidRPr="00E869A4" w14:paraId="7D8A5902"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08EA5F63"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Care Provided</w:t>
            </w:r>
          </w:p>
        </w:tc>
        <w:tc>
          <w:tcPr>
            <w:tcW w:w="5525" w:type="dxa"/>
          </w:tcPr>
          <w:p w14:paraId="225A112A"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Preservative care</w:t>
            </w:r>
          </w:p>
          <w:p w14:paraId="74513492"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Instrumental care </w:t>
            </w:r>
          </w:p>
          <w:p w14:paraId="6A5ACDB5"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Preventive care</w:t>
            </w:r>
          </w:p>
          <w:p w14:paraId="38927E95"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Anticipatory</w:t>
            </w:r>
            <w:r w:rsidRPr="00E869A4">
              <w:rPr>
                <w:rStyle w:val="FootnoteReference"/>
                <w:rFonts w:ascii="Times New Roman" w:hAnsi="Times New Roman" w:cs="Times New Roman"/>
                <w:sz w:val="23"/>
                <w:szCs w:val="23"/>
              </w:rPr>
              <w:footnoteReference w:id="151"/>
            </w:r>
            <w:r w:rsidRPr="00E869A4">
              <w:rPr>
                <w:rFonts w:ascii="Times New Roman" w:hAnsi="Times New Roman" w:cs="Times New Roman"/>
                <w:sz w:val="23"/>
                <w:szCs w:val="23"/>
              </w:rPr>
              <w:t xml:space="preserve"> care </w:t>
            </w:r>
          </w:p>
          <w:p w14:paraId="670EEE32"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42D4ECB9"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Emotional support</w:t>
            </w:r>
          </w:p>
        </w:tc>
      </w:tr>
      <w:tr w:rsidR="00C714D3" w:rsidRPr="00E869A4" w14:paraId="452EB1AC"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3F859FD5"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Time spent providing Family Care to Older Relative</w:t>
            </w:r>
          </w:p>
        </w:tc>
        <w:tc>
          <w:tcPr>
            <w:tcW w:w="5525" w:type="dxa"/>
          </w:tcPr>
          <w:p w14:paraId="04517CD5" w14:textId="77777777" w:rsidR="00D1584C" w:rsidRPr="00E869A4" w:rsidRDefault="00D1584C" w:rsidP="001D3A78">
            <w:pPr>
              <w:autoSpaceDE w:val="0"/>
              <w:autoSpaceDN w:val="0"/>
              <w:adjustRightInd w:val="0"/>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 years or longer</w:t>
            </w:r>
          </w:p>
        </w:tc>
      </w:tr>
      <w:tr w:rsidR="00C714D3" w:rsidRPr="00E869A4" w14:paraId="68332C54"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2B62F977"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Location in T&amp;T</w:t>
            </w:r>
            <w:r w:rsidRPr="00551DFD">
              <w:rPr>
                <w:rStyle w:val="FootnoteReference"/>
                <w:rFonts w:ascii="Times New Roman" w:hAnsi="Times New Roman" w:cs="Times New Roman"/>
                <w:sz w:val="23"/>
                <w:szCs w:val="23"/>
              </w:rPr>
              <w:footnoteReference w:id="152"/>
            </w:r>
          </w:p>
        </w:tc>
        <w:tc>
          <w:tcPr>
            <w:tcW w:w="5525" w:type="dxa"/>
          </w:tcPr>
          <w:p w14:paraId="0F0905E0" w14:textId="77777777" w:rsidR="00D1584C" w:rsidRPr="00E869A4" w:rsidRDefault="00D1584C" w:rsidP="001D3A78">
            <w:pPr>
              <w:autoSpaceDE w:val="0"/>
              <w:autoSpaceDN w:val="0"/>
              <w:adjustRightInd w:val="0"/>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North Central </w:t>
            </w:r>
          </w:p>
        </w:tc>
      </w:tr>
      <w:tr w:rsidR="00C714D3" w:rsidRPr="00E869A4" w14:paraId="605AF5B0"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0E387713"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lastRenderedPageBreak/>
              <w:t>Location of CR relative to CG</w:t>
            </w:r>
          </w:p>
        </w:tc>
        <w:tc>
          <w:tcPr>
            <w:tcW w:w="5525" w:type="dxa"/>
          </w:tcPr>
          <w:p w14:paraId="273CBE3D" w14:textId="77777777" w:rsidR="00D1584C" w:rsidRPr="00E869A4" w:rsidRDefault="00D1584C" w:rsidP="001D3A78">
            <w:pPr>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Same house</w:t>
            </w:r>
          </w:p>
        </w:tc>
      </w:tr>
      <w:tr w:rsidR="00C714D3" w:rsidRPr="00E869A4" w14:paraId="773DE337"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9" w:type="dxa"/>
          </w:tcPr>
          <w:p w14:paraId="1C903E60"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Secondary Caregivers</w:t>
            </w:r>
          </w:p>
        </w:tc>
        <w:tc>
          <w:tcPr>
            <w:tcW w:w="5525" w:type="dxa"/>
          </w:tcPr>
          <w:p w14:paraId="64B5AFC1" w14:textId="77777777" w:rsidR="00D1584C" w:rsidRPr="00E869A4" w:rsidRDefault="00D1584C" w:rsidP="001D3A78">
            <w:pPr>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Siblings of CG</w:t>
            </w:r>
          </w:p>
          <w:p w14:paraId="292478E0" w14:textId="77777777" w:rsidR="00D1584C" w:rsidRPr="00E869A4" w:rsidRDefault="00D1584C" w:rsidP="001D3A78">
            <w:pPr>
              <w:ind w:left="163" w:firstLine="2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(7 brothers; 3 sisters)</w:t>
            </w:r>
          </w:p>
        </w:tc>
      </w:tr>
      <w:tr w:rsidR="00C714D3" w:rsidRPr="00E869A4" w14:paraId="56F45CF6"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419" w:type="dxa"/>
          </w:tcPr>
          <w:p w14:paraId="1C42BDE1" w14:textId="77777777" w:rsidR="00D1584C" w:rsidRPr="00551DFD" w:rsidRDefault="00D1584C" w:rsidP="001D3A78">
            <w:pPr>
              <w:autoSpaceDE w:val="0"/>
              <w:autoSpaceDN w:val="0"/>
              <w:adjustRightInd w:val="0"/>
              <w:ind w:left="163" w:firstLine="21"/>
              <w:rPr>
                <w:rFonts w:ascii="Times New Roman" w:hAnsi="Times New Roman" w:cs="Times New Roman"/>
                <w:sz w:val="23"/>
                <w:szCs w:val="23"/>
              </w:rPr>
            </w:pPr>
            <w:r w:rsidRPr="00551DFD">
              <w:rPr>
                <w:rFonts w:ascii="Times New Roman" w:hAnsi="Times New Roman" w:cs="Times New Roman"/>
                <w:sz w:val="23"/>
                <w:szCs w:val="23"/>
              </w:rPr>
              <w:t>Paid Caregivers</w:t>
            </w:r>
          </w:p>
        </w:tc>
        <w:tc>
          <w:tcPr>
            <w:tcW w:w="5525" w:type="dxa"/>
          </w:tcPr>
          <w:p w14:paraId="477B0ED2" w14:textId="77777777" w:rsidR="00D1584C" w:rsidRPr="00E869A4" w:rsidRDefault="00D1584C" w:rsidP="001D3A78">
            <w:pPr>
              <w:ind w:left="163" w:firstLine="2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None</w:t>
            </w:r>
          </w:p>
        </w:tc>
      </w:tr>
    </w:tbl>
    <w:p w14:paraId="37986128" w14:textId="77777777" w:rsidR="005D762D" w:rsidRPr="00E869A4" w:rsidRDefault="005D762D" w:rsidP="00A35FF8">
      <w:pPr>
        <w:rPr>
          <w:rFonts w:ascii="Times New Roman" w:hAnsi="Times New Roman" w:cs="Times New Roman"/>
        </w:rPr>
      </w:pPr>
    </w:p>
    <w:p w14:paraId="333E0A14" w14:textId="3D3145C0" w:rsidR="00D1584C" w:rsidRPr="00E869A4" w:rsidRDefault="00D1584C" w:rsidP="001D3A78">
      <w:pPr>
        <w:rPr>
          <w:rFonts w:ascii="Times New Roman" w:hAnsi="Times New Roman" w:cs="Times New Roman"/>
        </w:rPr>
      </w:pPr>
      <w:r w:rsidRPr="00E869A4">
        <w:rPr>
          <w:rFonts w:ascii="Times New Roman" w:hAnsi="Times New Roman" w:cs="Times New Roman"/>
        </w:rPr>
        <w:t xml:space="preserve">Susan was the main caregiver to three (3) of her female relatives who suffered from cancer: her mother (Indrani) and her older sisters (Chandika and Jaishree). She cared for all three of them in her own home, at different points in time.  Susan was an entrepreneur and ran her business on the same premises where she lived with her only daughter. She came from a large family: she had seven (7) brothers and five (5) sisters. Her other siblings worked full time outside of the home where she grew up. Her father died when she was just sixteen (16) years old. Given this situation, when her mother (Indrani) suffered a stroke, Susan decided to move her in to live with her. She provided direct care to Indrani for ten (10) years without the aid of any paid informal caregivers. Susan was glad that she was able to do that, rather than place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in an institution. </w:t>
      </w:r>
    </w:p>
    <w:p w14:paraId="264DA846" w14:textId="77777777" w:rsidR="001D3A78" w:rsidRPr="00E869A4" w:rsidRDefault="001D3A78" w:rsidP="00A35FF8">
      <w:pPr>
        <w:ind w:firstLine="720"/>
        <w:rPr>
          <w:rFonts w:ascii="Times New Roman" w:hAnsi="Times New Roman" w:cs="Times New Roman"/>
        </w:rPr>
      </w:pPr>
    </w:p>
    <w:p w14:paraId="44C53EA9" w14:textId="5A42522E" w:rsidR="00D1584C" w:rsidRPr="00E869A4" w:rsidRDefault="00D1584C" w:rsidP="00A35FF8">
      <w:pPr>
        <w:ind w:firstLine="720"/>
        <w:rPr>
          <w:rFonts w:ascii="Times New Roman" w:hAnsi="Times New Roman" w:cs="Times New Roman"/>
        </w:rPr>
      </w:pPr>
      <w:r w:rsidRPr="00E869A4">
        <w:rPr>
          <w:rFonts w:ascii="Times New Roman" w:hAnsi="Times New Roman" w:cs="Times New Roman"/>
        </w:rPr>
        <w:t xml:space="preserve">Susan received financial support from her siblings to help cover her mother’s health care expenses. When necessary, she received other forms of support from her siblings such as lifting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when she was unable to do so herself, and help with transportation.  Two weeks after her mother died, Susan began caring for her older sister Chandika who was also diagnosed with cancer. When Chandika died, another sister (Jaishree) was diagnosed with cancer and Susan became her primary caregiver as well. Both sisters were several years older than </w:t>
      </w:r>
      <w:r w:rsidR="005D762D" w:rsidRPr="00E869A4">
        <w:rPr>
          <w:rFonts w:ascii="Times New Roman" w:hAnsi="Times New Roman" w:cs="Times New Roman"/>
        </w:rPr>
        <w:t>she was</w:t>
      </w:r>
      <w:r w:rsidRPr="00E869A4">
        <w:rPr>
          <w:rFonts w:ascii="Times New Roman" w:hAnsi="Times New Roman" w:cs="Times New Roman"/>
        </w:rPr>
        <w:t xml:space="preserve">: Chandika was over sixty years of age at the time that she cared for her and Jaishree was in her fifties. Both of her sisters were married when they became ill, but Susan felt it was important to relocate them from their husbands since the husbands were very unkind to them and were not providing the care that they needed. Susan’s own husband died before she began providing care to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and sisters. Mr. Maharaj passed away suddenly from a work related accident shortly after they were married. Susan was left to raise their only child (Lindy) who was nine (9) months old at the time of his death. She never remarried. She began caring for her mother when Lindy was in high school. </w:t>
      </w:r>
    </w:p>
    <w:p w14:paraId="3FBDEC48" w14:textId="77777777" w:rsidR="005D762D" w:rsidRPr="00E869A4" w:rsidRDefault="005D762D" w:rsidP="00A35FF8">
      <w:pPr>
        <w:ind w:firstLine="720"/>
        <w:rPr>
          <w:rFonts w:ascii="Times New Roman" w:hAnsi="Times New Roman" w:cs="Times New Roman"/>
        </w:rPr>
      </w:pPr>
    </w:p>
    <w:p w14:paraId="5E01A6A5" w14:textId="7A05E00A" w:rsidR="00D1584C" w:rsidRPr="00E869A4" w:rsidRDefault="001D3A78" w:rsidP="00A35FF8">
      <w:pPr>
        <w:ind w:firstLine="720"/>
        <w:rPr>
          <w:rFonts w:ascii="Times New Roman" w:hAnsi="Times New Roman" w:cs="Times New Roman"/>
        </w:rPr>
      </w:pPr>
      <w:r w:rsidRPr="00E869A4">
        <w:rPr>
          <w:rFonts w:ascii="Times New Roman" w:hAnsi="Times New Roman" w:cs="Times New Roman"/>
        </w:rPr>
        <w:t>L</w:t>
      </w:r>
      <w:r w:rsidR="00D1584C" w:rsidRPr="00E869A4">
        <w:rPr>
          <w:rFonts w:ascii="Times New Roman" w:hAnsi="Times New Roman" w:cs="Times New Roman"/>
        </w:rPr>
        <w:t>ike several of the other participants,</w:t>
      </w:r>
      <w:r w:rsidRPr="00E869A4">
        <w:rPr>
          <w:rFonts w:ascii="Times New Roman" w:hAnsi="Times New Roman" w:cs="Times New Roman"/>
        </w:rPr>
        <w:t xml:space="preserve"> Susan</w:t>
      </w:r>
      <w:r w:rsidR="00D1584C" w:rsidRPr="00E869A4">
        <w:rPr>
          <w:rFonts w:ascii="Times New Roman" w:hAnsi="Times New Roman" w:cs="Times New Roman"/>
        </w:rPr>
        <w:t xml:space="preserve"> drew strength from her spiritual belief system to help her cope with the emotional and other demands of caregiving. Like Mr. Sanchez, her religious framework </w:t>
      </w:r>
      <w:r w:rsidR="00D1584C" w:rsidRPr="00E869A4">
        <w:rPr>
          <w:rFonts w:ascii="Times New Roman" w:hAnsi="Times New Roman" w:cs="Times New Roman"/>
        </w:rPr>
        <w:lastRenderedPageBreak/>
        <w:t xml:space="preserve">was very eclectic. She also used religious literature and practice to help encourage those she cared for.  During the interview, Susan became very emotional as she recalled her experience. She explained afterwards that she wanted to participate in the study as she needed to talk to someone about her experience. Despite the intense nature of the care she provided, she was still interested in caring for others. She sometimes made donations to a Home for Older Persons that a friend of hers owned. Prior to becoming a primary family caregiver to her </w:t>
      </w:r>
      <w:r w:rsidR="002C4D52" w:rsidRPr="00E869A4">
        <w:rPr>
          <w:rFonts w:ascii="Times New Roman" w:eastAsia="Times New Roman" w:hAnsi="Times New Roman" w:cs="Times New Roman"/>
        </w:rPr>
        <w:t>mother</w:t>
      </w:r>
      <w:r w:rsidR="00D1584C" w:rsidRPr="00E869A4">
        <w:rPr>
          <w:rFonts w:ascii="Times New Roman" w:hAnsi="Times New Roman" w:cs="Times New Roman"/>
        </w:rPr>
        <w:t xml:space="preserve"> and sisters, she was a volunteer with the Red Cross and did some short courses in caregiving. She also worked as a volunteer at a special ward for children in a public hospital. </w:t>
      </w:r>
    </w:p>
    <w:p w14:paraId="66824853" w14:textId="6BB75C37" w:rsidR="001D3A78" w:rsidRPr="00E869A4" w:rsidRDefault="001D3A78">
      <w:pPr>
        <w:rPr>
          <w:b/>
        </w:rPr>
      </w:pPr>
      <w:bookmarkStart w:id="506" w:name="_Toc507665577"/>
      <w:bookmarkStart w:id="507" w:name="_Toc507909149"/>
    </w:p>
    <w:p w14:paraId="6E0C1559" w14:textId="3D57A5D9" w:rsidR="00D1584C" w:rsidRPr="00E869A4" w:rsidRDefault="00D1584C" w:rsidP="009D4C5D">
      <w:pPr>
        <w:pStyle w:val="ListParagraph"/>
        <w:numPr>
          <w:ilvl w:val="0"/>
          <w:numId w:val="74"/>
        </w:numPr>
        <w:contextualSpacing w:val="0"/>
        <w:rPr>
          <w:b/>
        </w:rPr>
      </w:pPr>
      <w:r w:rsidRPr="00E869A4">
        <w:rPr>
          <w:b/>
        </w:rPr>
        <w:t>MS. DOREEN (Interested Older Person)</w:t>
      </w:r>
      <w:bookmarkEnd w:id="506"/>
      <w:bookmarkEnd w:id="507"/>
    </w:p>
    <w:p w14:paraId="609BF9B5" w14:textId="77777777" w:rsidR="00D1584C" w:rsidRPr="00E869A4" w:rsidRDefault="00D1584C" w:rsidP="00A35FF8">
      <w:pPr>
        <w:autoSpaceDE w:val="0"/>
        <w:autoSpaceDN w:val="0"/>
        <w:adjustRightInd w:val="0"/>
        <w:rPr>
          <w:rFonts w:ascii="Times New Roman" w:hAnsi="Times New Roman" w:cs="Times New Roman"/>
          <w:b/>
        </w:rPr>
      </w:pPr>
    </w:p>
    <w:tbl>
      <w:tblPr>
        <w:tblStyle w:val="MediumShading2-Accent11"/>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223"/>
      </w:tblGrid>
      <w:tr w:rsidR="00C714D3" w:rsidRPr="00E869A4" w14:paraId="18FB9A2B" w14:textId="77777777" w:rsidTr="00EE3C7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158" w:type="dxa"/>
          </w:tcPr>
          <w:p w14:paraId="5AC77F13" w14:textId="77777777" w:rsidR="00D1584C" w:rsidRPr="00484A4D" w:rsidRDefault="00D1584C" w:rsidP="00151C9D">
            <w:pPr>
              <w:autoSpaceDE w:val="0"/>
              <w:autoSpaceDN w:val="0"/>
              <w:adjustRightInd w:val="0"/>
              <w:ind w:left="231" w:firstLine="0"/>
              <w:rPr>
                <w:rFonts w:ascii="Times New Roman" w:hAnsi="Times New Roman" w:cs="Times New Roman"/>
                <w:caps/>
                <w:sz w:val="23"/>
                <w:szCs w:val="23"/>
              </w:rPr>
            </w:pPr>
            <w:r w:rsidRPr="00484A4D">
              <w:rPr>
                <w:rFonts w:ascii="Times New Roman" w:hAnsi="Times New Roman" w:cs="Times New Roman"/>
                <w:caps/>
                <w:sz w:val="23"/>
                <w:szCs w:val="23"/>
              </w:rPr>
              <w:t>Participant Category</w:t>
            </w:r>
          </w:p>
        </w:tc>
        <w:tc>
          <w:tcPr>
            <w:tcW w:w="4223" w:type="dxa"/>
          </w:tcPr>
          <w:p w14:paraId="3262F271" w14:textId="77777777" w:rsidR="00D1584C" w:rsidRPr="00484A4D" w:rsidRDefault="00D1584C" w:rsidP="00151C9D">
            <w:pPr>
              <w:autoSpaceDE w:val="0"/>
              <w:autoSpaceDN w:val="0"/>
              <w:adjustRightInd w:val="0"/>
              <w:ind w:left="231"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84A4D">
              <w:rPr>
                <w:rFonts w:ascii="Times New Roman" w:hAnsi="Times New Roman" w:cs="Times New Roman"/>
                <w:sz w:val="23"/>
                <w:szCs w:val="23"/>
              </w:rPr>
              <w:t>PARTICIPANT CHARACTERISTICS</w:t>
            </w:r>
          </w:p>
        </w:tc>
      </w:tr>
      <w:tr w:rsidR="00C714D3" w:rsidRPr="00E869A4" w14:paraId="58667724"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0756112E"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 xml:space="preserve">Name </w:t>
            </w:r>
          </w:p>
        </w:tc>
        <w:tc>
          <w:tcPr>
            <w:tcW w:w="4223" w:type="dxa"/>
          </w:tcPr>
          <w:p w14:paraId="0BDDD5F9" w14:textId="77777777" w:rsidR="00D1584C" w:rsidRPr="00E869A4" w:rsidRDefault="00D1584C" w:rsidP="00151C9D">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Doreen Thomas</w:t>
            </w:r>
          </w:p>
        </w:tc>
      </w:tr>
      <w:tr w:rsidR="00C714D3" w:rsidRPr="00E869A4" w14:paraId="15750D8B"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6DF57711"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Age</w:t>
            </w:r>
          </w:p>
        </w:tc>
        <w:tc>
          <w:tcPr>
            <w:tcW w:w="4223" w:type="dxa"/>
          </w:tcPr>
          <w:p w14:paraId="7CE5C2F4" w14:textId="77777777" w:rsidR="00D1584C" w:rsidRPr="00E869A4" w:rsidRDefault="00D1584C" w:rsidP="00151C9D">
            <w:pPr>
              <w:autoSpaceDE w:val="0"/>
              <w:autoSpaceDN w:val="0"/>
              <w:adjustRightInd w:val="0"/>
              <w:ind w:left="23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70</w:t>
            </w:r>
          </w:p>
        </w:tc>
      </w:tr>
      <w:tr w:rsidR="00C714D3" w:rsidRPr="00E869A4" w14:paraId="26F8E303"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46954D8F"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Gender</w:t>
            </w:r>
          </w:p>
        </w:tc>
        <w:tc>
          <w:tcPr>
            <w:tcW w:w="4223" w:type="dxa"/>
          </w:tcPr>
          <w:p w14:paraId="68CD4C66" w14:textId="77777777" w:rsidR="00D1584C" w:rsidRPr="00E869A4" w:rsidRDefault="00D1584C" w:rsidP="00151C9D">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3699DFCF"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3529AA87"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Ethnicity</w:t>
            </w:r>
          </w:p>
        </w:tc>
        <w:tc>
          <w:tcPr>
            <w:tcW w:w="4223" w:type="dxa"/>
          </w:tcPr>
          <w:p w14:paraId="1A7FDEFA" w14:textId="77777777" w:rsidR="00D1584C" w:rsidRPr="00E869A4" w:rsidRDefault="00D1584C" w:rsidP="00151C9D">
            <w:pPr>
              <w:autoSpaceDE w:val="0"/>
              <w:autoSpaceDN w:val="0"/>
              <w:adjustRightInd w:val="0"/>
              <w:ind w:left="23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Mixed</w:t>
            </w:r>
          </w:p>
        </w:tc>
      </w:tr>
      <w:tr w:rsidR="00C714D3" w:rsidRPr="00E869A4" w14:paraId="7B42870E"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482BCA83"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Education</w:t>
            </w:r>
          </w:p>
        </w:tc>
        <w:tc>
          <w:tcPr>
            <w:tcW w:w="4223" w:type="dxa"/>
          </w:tcPr>
          <w:p w14:paraId="5304D3EA" w14:textId="77777777" w:rsidR="00D1584C" w:rsidRPr="00E869A4" w:rsidRDefault="00D1584C" w:rsidP="00151C9D">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High School</w:t>
            </w:r>
          </w:p>
        </w:tc>
      </w:tr>
      <w:tr w:rsidR="00C714D3" w:rsidRPr="00E869A4" w14:paraId="475F3F62"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42441621"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Employment History / Status</w:t>
            </w:r>
          </w:p>
        </w:tc>
        <w:tc>
          <w:tcPr>
            <w:tcW w:w="4223" w:type="dxa"/>
          </w:tcPr>
          <w:p w14:paraId="4911B526" w14:textId="77777777" w:rsidR="00D1584C" w:rsidRPr="00E869A4" w:rsidRDefault="00D1584C" w:rsidP="00151C9D">
            <w:pPr>
              <w:autoSpaceDE w:val="0"/>
              <w:autoSpaceDN w:val="0"/>
              <w:adjustRightInd w:val="0"/>
              <w:ind w:left="23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Retired Educator</w:t>
            </w:r>
          </w:p>
        </w:tc>
      </w:tr>
      <w:tr w:rsidR="00C714D3" w:rsidRPr="00E869A4" w14:paraId="4F262EEF"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2C0F5E81"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Marital Status</w:t>
            </w:r>
          </w:p>
        </w:tc>
        <w:tc>
          <w:tcPr>
            <w:tcW w:w="4223" w:type="dxa"/>
          </w:tcPr>
          <w:p w14:paraId="64A954C6" w14:textId="77777777" w:rsidR="00D1584C" w:rsidRPr="00E869A4" w:rsidRDefault="00D1584C" w:rsidP="00151C9D">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Divorced</w:t>
            </w:r>
          </w:p>
        </w:tc>
      </w:tr>
      <w:tr w:rsidR="00C714D3" w:rsidRPr="00E869A4" w14:paraId="46C7B905"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06E35C19"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Number of Sons</w:t>
            </w:r>
          </w:p>
        </w:tc>
        <w:tc>
          <w:tcPr>
            <w:tcW w:w="4223" w:type="dxa"/>
          </w:tcPr>
          <w:p w14:paraId="5B50D351" w14:textId="77777777" w:rsidR="00D1584C" w:rsidRPr="00E869A4" w:rsidRDefault="00D1584C" w:rsidP="00151C9D">
            <w:pPr>
              <w:autoSpaceDE w:val="0"/>
              <w:autoSpaceDN w:val="0"/>
              <w:adjustRightInd w:val="0"/>
              <w:ind w:left="23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r>
      <w:tr w:rsidR="00C714D3" w:rsidRPr="00E869A4" w14:paraId="5607593E"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7711D28C"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Number of Daughters</w:t>
            </w:r>
          </w:p>
        </w:tc>
        <w:tc>
          <w:tcPr>
            <w:tcW w:w="4223" w:type="dxa"/>
          </w:tcPr>
          <w:p w14:paraId="01C74DFB" w14:textId="77777777" w:rsidR="00D1584C" w:rsidRPr="00E869A4" w:rsidRDefault="00D1584C" w:rsidP="00151C9D">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099C5660"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72F78F2B"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Total # Surviving Children</w:t>
            </w:r>
          </w:p>
        </w:tc>
        <w:tc>
          <w:tcPr>
            <w:tcW w:w="4223" w:type="dxa"/>
          </w:tcPr>
          <w:p w14:paraId="1E3C47D4" w14:textId="77777777" w:rsidR="00D1584C" w:rsidRPr="00E869A4" w:rsidRDefault="00D1584C" w:rsidP="00151C9D">
            <w:pPr>
              <w:autoSpaceDE w:val="0"/>
              <w:autoSpaceDN w:val="0"/>
              <w:adjustRightInd w:val="0"/>
              <w:ind w:left="23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p>
        </w:tc>
      </w:tr>
      <w:tr w:rsidR="00C714D3" w:rsidRPr="00E869A4" w14:paraId="26E4D514"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4DAA69DB"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Health Challenges / Care provided</w:t>
            </w:r>
          </w:p>
        </w:tc>
        <w:tc>
          <w:tcPr>
            <w:tcW w:w="4223" w:type="dxa"/>
          </w:tcPr>
          <w:p w14:paraId="1DABCD41" w14:textId="77777777" w:rsidR="00D1584C" w:rsidRPr="00E869A4" w:rsidRDefault="00D1584C" w:rsidP="00151C9D">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Mobility (used a walking stick)</w:t>
            </w:r>
          </w:p>
          <w:p w14:paraId="62EDF028" w14:textId="77777777" w:rsidR="00D1584C" w:rsidRPr="00E869A4" w:rsidRDefault="00D1584C" w:rsidP="00151C9D">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Diabetic</w:t>
            </w:r>
          </w:p>
          <w:p w14:paraId="5D231B8D" w14:textId="77777777" w:rsidR="00D1584C" w:rsidRPr="00E869A4" w:rsidRDefault="00D1584C" w:rsidP="00151C9D">
            <w:pPr>
              <w:autoSpaceDE w:val="0"/>
              <w:autoSpaceDN w:val="0"/>
              <w:adjustRightInd w:val="0"/>
              <w:ind w:left="231"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 need of cataract surgery</w:t>
            </w:r>
          </w:p>
        </w:tc>
      </w:tr>
      <w:tr w:rsidR="00C714D3" w:rsidRPr="00E869A4" w14:paraId="0683BBB9"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33CF2679" w14:textId="77777777" w:rsidR="00D1584C" w:rsidRPr="00484A4D" w:rsidRDefault="00D1584C" w:rsidP="00151C9D">
            <w:pPr>
              <w:autoSpaceDE w:val="0"/>
              <w:autoSpaceDN w:val="0"/>
              <w:adjustRightInd w:val="0"/>
              <w:ind w:left="231" w:firstLine="0"/>
              <w:rPr>
                <w:rFonts w:ascii="Times New Roman" w:hAnsi="Times New Roman" w:cs="Times New Roman"/>
                <w:sz w:val="23"/>
                <w:szCs w:val="23"/>
              </w:rPr>
            </w:pPr>
            <w:r w:rsidRPr="00484A4D">
              <w:rPr>
                <w:rFonts w:ascii="Times New Roman" w:hAnsi="Times New Roman" w:cs="Times New Roman"/>
                <w:sz w:val="23"/>
                <w:szCs w:val="23"/>
              </w:rPr>
              <w:t>Location in T&amp;T</w:t>
            </w:r>
            <w:r w:rsidRPr="00484A4D">
              <w:rPr>
                <w:rStyle w:val="FootnoteReference"/>
                <w:rFonts w:ascii="Times New Roman" w:hAnsi="Times New Roman" w:cs="Times New Roman"/>
                <w:sz w:val="23"/>
                <w:szCs w:val="23"/>
              </w:rPr>
              <w:footnoteReference w:id="153"/>
            </w:r>
          </w:p>
        </w:tc>
        <w:tc>
          <w:tcPr>
            <w:tcW w:w="4223" w:type="dxa"/>
          </w:tcPr>
          <w:p w14:paraId="2D03D15E" w14:textId="77777777" w:rsidR="00D1584C" w:rsidRPr="00E869A4" w:rsidRDefault="00D1584C" w:rsidP="00151C9D">
            <w:pPr>
              <w:autoSpaceDE w:val="0"/>
              <w:autoSpaceDN w:val="0"/>
              <w:adjustRightInd w:val="0"/>
              <w:ind w:left="231"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North-West</w:t>
            </w:r>
          </w:p>
        </w:tc>
      </w:tr>
    </w:tbl>
    <w:p w14:paraId="06C56102" w14:textId="77777777" w:rsidR="00D1584C" w:rsidRPr="00E869A4" w:rsidRDefault="00D1584C" w:rsidP="00A35FF8">
      <w:pPr>
        <w:autoSpaceDE w:val="0"/>
        <w:autoSpaceDN w:val="0"/>
        <w:adjustRightInd w:val="0"/>
        <w:rPr>
          <w:rFonts w:ascii="Times New Roman" w:hAnsi="Times New Roman" w:cs="Times New Roman"/>
        </w:rPr>
      </w:pPr>
    </w:p>
    <w:p w14:paraId="43921A83" w14:textId="7B59FF16" w:rsidR="00D1584C" w:rsidRPr="00E869A4" w:rsidRDefault="00D1584C" w:rsidP="00A35FF8">
      <w:pPr>
        <w:ind w:firstLine="720"/>
        <w:rPr>
          <w:rFonts w:ascii="Times New Roman" w:eastAsiaTheme="majorEastAsia" w:hAnsi="Times New Roman" w:cs="Times New Roman"/>
          <w:bCs/>
          <w:szCs w:val="28"/>
        </w:rPr>
      </w:pPr>
      <w:r w:rsidRPr="00E869A4">
        <w:rPr>
          <w:rFonts w:ascii="Times New Roman" w:eastAsiaTheme="majorEastAsia" w:hAnsi="Times New Roman" w:cs="Times New Roman"/>
          <w:bCs/>
          <w:szCs w:val="28"/>
        </w:rPr>
        <w:t xml:space="preserve">Ms. Doreen was a retired high school teacher and lived in an apartment that she rented with one of her two adult sons (Humphrey). She had divorced their father several years before. Both she and Humphrey were single. Her other son (Arnold) was married and lived in South Trinidad: he rarely visited her. She, like Susan, became interested in participating in the study after reading the advertisement in the newspapers. She did not identify herself as a </w:t>
      </w:r>
      <w:r w:rsidR="009E2738" w:rsidRPr="00E869A4">
        <w:rPr>
          <w:rFonts w:ascii="Times New Roman" w:eastAsiaTheme="majorEastAsia" w:hAnsi="Times New Roman" w:cs="Times New Roman"/>
          <w:bCs/>
          <w:szCs w:val="28"/>
        </w:rPr>
        <w:t>care recipient</w:t>
      </w:r>
      <w:r w:rsidRPr="00E869A4">
        <w:rPr>
          <w:rFonts w:ascii="Times New Roman" w:eastAsiaTheme="majorEastAsia" w:hAnsi="Times New Roman" w:cs="Times New Roman"/>
          <w:bCs/>
          <w:szCs w:val="28"/>
        </w:rPr>
        <w:t xml:space="preserve">, nor was she a caregiver: she simply identified herself as an interested older person. Her responses to the interview questions were often vague: she </w:t>
      </w:r>
      <w:r w:rsidRPr="00E869A4">
        <w:rPr>
          <w:rFonts w:ascii="Times New Roman" w:eastAsiaTheme="majorEastAsia" w:hAnsi="Times New Roman" w:cs="Times New Roman"/>
          <w:bCs/>
          <w:szCs w:val="28"/>
        </w:rPr>
        <w:lastRenderedPageBreak/>
        <w:t xml:space="preserve">seemed reluctant to disclose specifics about herself and tended to respond in a hypothetical manner. However, she was happy to provide recommendations on services and programmes that could be developed or strengthened </w:t>
      </w:r>
      <w:r w:rsidR="005D762D" w:rsidRPr="00E869A4">
        <w:rPr>
          <w:rFonts w:ascii="Times New Roman" w:eastAsiaTheme="majorEastAsia" w:hAnsi="Times New Roman" w:cs="Times New Roman"/>
          <w:bCs/>
          <w:szCs w:val="28"/>
        </w:rPr>
        <w:t>to</w:t>
      </w:r>
      <w:r w:rsidRPr="00E869A4">
        <w:rPr>
          <w:rFonts w:ascii="Times New Roman" w:eastAsiaTheme="majorEastAsia" w:hAnsi="Times New Roman" w:cs="Times New Roman"/>
          <w:bCs/>
          <w:szCs w:val="28"/>
        </w:rPr>
        <w:t xml:space="preserve"> improve the quality of life of older persons. </w:t>
      </w:r>
    </w:p>
    <w:p w14:paraId="5B0D867B" w14:textId="77777777" w:rsidR="005D762D" w:rsidRPr="00E869A4" w:rsidRDefault="00D1584C" w:rsidP="00A35FF8">
      <w:pPr>
        <w:rPr>
          <w:rFonts w:ascii="Times New Roman" w:eastAsiaTheme="majorEastAsia" w:hAnsi="Times New Roman" w:cs="Times New Roman"/>
          <w:bCs/>
          <w:szCs w:val="28"/>
        </w:rPr>
      </w:pPr>
      <w:r w:rsidRPr="00E869A4">
        <w:rPr>
          <w:rFonts w:ascii="Times New Roman" w:eastAsiaTheme="majorEastAsia" w:hAnsi="Times New Roman" w:cs="Times New Roman"/>
          <w:bCs/>
          <w:szCs w:val="28"/>
        </w:rPr>
        <w:tab/>
      </w:r>
    </w:p>
    <w:p w14:paraId="570FFC6A" w14:textId="13068A2A" w:rsidR="00D1584C" w:rsidRPr="00E869A4" w:rsidRDefault="00D1584C" w:rsidP="00A35FF8">
      <w:pPr>
        <w:rPr>
          <w:rFonts w:ascii="Times New Roman" w:eastAsiaTheme="majorEastAsia" w:hAnsi="Times New Roman" w:cs="Times New Roman"/>
          <w:bCs/>
          <w:szCs w:val="28"/>
        </w:rPr>
      </w:pPr>
      <w:r w:rsidRPr="00E869A4">
        <w:rPr>
          <w:rFonts w:ascii="Times New Roman" w:eastAsiaTheme="majorEastAsia" w:hAnsi="Times New Roman" w:cs="Times New Roman"/>
          <w:bCs/>
          <w:szCs w:val="28"/>
        </w:rPr>
        <w:t xml:space="preserve">Ms. Doreen suffered from a mobility challenge and used a walking stick to move about. She had to carefully navigate a long stairway to get to her apartment. During the interview, she shared about the challenges she experienced in accessing transportation, health care, recreational and other social services.  She described herself as someone who liked being </w:t>
      </w:r>
      <w:r w:rsidR="005D762D" w:rsidRPr="00E869A4">
        <w:rPr>
          <w:rFonts w:ascii="Times New Roman" w:eastAsiaTheme="majorEastAsia" w:hAnsi="Times New Roman" w:cs="Times New Roman"/>
          <w:bCs/>
          <w:szCs w:val="28"/>
        </w:rPr>
        <w:t>‘</w:t>
      </w:r>
      <w:r w:rsidRPr="00E869A4">
        <w:rPr>
          <w:rFonts w:ascii="Times New Roman" w:eastAsiaTheme="majorEastAsia" w:hAnsi="Times New Roman" w:cs="Times New Roman"/>
          <w:bCs/>
          <w:szCs w:val="28"/>
        </w:rPr>
        <w:t>out and about</w:t>
      </w:r>
      <w:r w:rsidR="005D762D" w:rsidRPr="00E869A4">
        <w:rPr>
          <w:rFonts w:ascii="Times New Roman" w:eastAsiaTheme="majorEastAsia" w:hAnsi="Times New Roman" w:cs="Times New Roman"/>
          <w:bCs/>
          <w:szCs w:val="28"/>
        </w:rPr>
        <w:t>’</w:t>
      </w:r>
      <w:r w:rsidRPr="00E869A4">
        <w:rPr>
          <w:rFonts w:ascii="Times New Roman" w:eastAsiaTheme="majorEastAsia" w:hAnsi="Times New Roman" w:cs="Times New Roman"/>
          <w:bCs/>
          <w:szCs w:val="28"/>
        </w:rPr>
        <w:t>. Even when she first began having mobility problems she still did her best to leave the house and travel to whatever location or event she was interested in</w:t>
      </w:r>
      <w:r w:rsidR="005D762D" w:rsidRPr="00E869A4">
        <w:rPr>
          <w:rFonts w:ascii="Times New Roman" w:eastAsiaTheme="majorEastAsia" w:hAnsi="Times New Roman" w:cs="Times New Roman"/>
          <w:bCs/>
          <w:szCs w:val="28"/>
        </w:rPr>
        <w:t xml:space="preserve"> attending</w:t>
      </w:r>
      <w:r w:rsidRPr="00E869A4">
        <w:rPr>
          <w:rFonts w:ascii="Times New Roman" w:eastAsiaTheme="majorEastAsia" w:hAnsi="Times New Roman" w:cs="Times New Roman"/>
          <w:bCs/>
          <w:szCs w:val="28"/>
        </w:rPr>
        <w:t>. Loneliness among community-dwelling older persons was one of the main issues she highlighted. She surmised that loneliness and the lack of social engagement could hasten the death of some older persons.</w:t>
      </w:r>
    </w:p>
    <w:p w14:paraId="1B534CC5" w14:textId="77777777" w:rsidR="00FA2D0F" w:rsidRPr="00E869A4" w:rsidRDefault="00FA2D0F" w:rsidP="00A35FF8">
      <w:pPr>
        <w:rPr>
          <w:rFonts w:ascii="Times New Roman" w:eastAsiaTheme="majorEastAsia" w:hAnsi="Times New Roman" w:cs="Times New Roman"/>
          <w:bCs/>
          <w:szCs w:val="28"/>
        </w:rPr>
      </w:pPr>
    </w:p>
    <w:p w14:paraId="65B4E85F" w14:textId="77777777" w:rsidR="00D1584C" w:rsidRPr="00E869A4" w:rsidRDefault="00D1584C" w:rsidP="009D4C5D">
      <w:pPr>
        <w:pStyle w:val="ListParagraph"/>
        <w:numPr>
          <w:ilvl w:val="0"/>
          <w:numId w:val="74"/>
        </w:numPr>
        <w:contextualSpacing w:val="0"/>
        <w:rPr>
          <w:b/>
        </w:rPr>
      </w:pPr>
      <w:bookmarkStart w:id="508" w:name="_Toc507665578"/>
      <w:bookmarkStart w:id="509" w:name="_Toc507909150"/>
      <w:r w:rsidRPr="00E869A4">
        <w:rPr>
          <w:b/>
        </w:rPr>
        <w:t>DYANN (Paid Caregiver)</w:t>
      </w:r>
      <w:bookmarkEnd w:id="508"/>
      <w:bookmarkEnd w:id="509"/>
    </w:p>
    <w:p w14:paraId="7F44A94C" w14:textId="77777777" w:rsidR="00D1584C" w:rsidRPr="00484A4D" w:rsidRDefault="00D1584C" w:rsidP="00A35FF8">
      <w:pPr>
        <w:autoSpaceDE w:val="0"/>
        <w:autoSpaceDN w:val="0"/>
        <w:adjustRightInd w:val="0"/>
        <w:rPr>
          <w:rFonts w:ascii="Times New Roman" w:hAnsi="Times New Roman" w:cs="Times New Roman"/>
          <w:b/>
          <w:color w:val="FFFFFF" w:themeColor="background1"/>
        </w:rPr>
      </w:pPr>
    </w:p>
    <w:tbl>
      <w:tblPr>
        <w:tblStyle w:val="MediumShading2-Accent11"/>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223"/>
      </w:tblGrid>
      <w:tr w:rsidR="00C714D3" w:rsidRPr="00484A4D" w14:paraId="61C871CA" w14:textId="77777777" w:rsidTr="00EE3C7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158" w:type="dxa"/>
          </w:tcPr>
          <w:p w14:paraId="081FD122" w14:textId="77777777" w:rsidR="00D1584C" w:rsidRPr="00484A4D" w:rsidRDefault="00D1584C" w:rsidP="00151C9D">
            <w:pPr>
              <w:autoSpaceDE w:val="0"/>
              <w:autoSpaceDN w:val="0"/>
              <w:adjustRightInd w:val="0"/>
              <w:ind w:left="89" w:firstLine="0"/>
              <w:rPr>
                <w:rFonts w:ascii="Times New Roman" w:hAnsi="Times New Roman" w:cs="Times New Roman"/>
                <w:caps/>
                <w:sz w:val="23"/>
                <w:szCs w:val="23"/>
              </w:rPr>
            </w:pPr>
            <w:r w:rsidRPr="00484A4D">
              <w:rPr>
                <w:rFonts w:ascii="Times New Roman" w:hAnsi="Times New Roman" w:cs="Times New Roman"/>
                <w:caps/>
                <w:sz w:val="23"/>
                <w:szCs w:val="23"/>
              </w:rPr>
              <w:t>Participant Category</w:t>
            </w:r>
          </w:p>
        </w:tc>
        <w:tc>
          <w:tcPr>
            <w:tcW w:w="4223" w:type="dxa"/>
          </w:tcPr>
          <w:p w14:paraId="47A6B707" w14:textId="77777777" w:rsidR="00D1584C" w:rsidRPr="00484A4D" w:rsidRDefault="00D1584C" w:rsidP="00151C9D">
            <w:pPr>
              <w:autoSpaceDE w:val="0"/>
              <w:autoSpaceDN w:val="0"/>
              <w:adjustRightInd w:val="0"/>
              <w:ind w:left="89"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84A4D">
              <w:rPr>
                <w:rFonts w:ascii="Times New Roman" w:hAnsi="Times New Roman" w:cs="Times New Roman"/>
                <w:sz w:val="23"/>
                <w:szCs w:val="23"/>
              </w:rPr>
              <w:t>PARTICIPANT CHARACTERISTICS</w:t>
            </w:r>
          </w:p>
        </w:tc>
      </w:tr>
      <w:tr w:rsidR="00C714D3" w:rsidRPr="00E869A4" w14:paraId="793A4EEB"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61C241F3"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 xml:space="preserve">Name </w:t>
            </w:r>
          </w:p>
        </w:tc>
        <w:tc>
          <w:tcPr>
            <w:tcW w:w="4223" w:type="dxa"/>
          </w:tcPr>
          <w:p w14:paraId="7468F2DF" w14:textId="77777777" w:rsidR="00D1584C" w:rsidRPr="00E869A4" w:rsidRDefault="00D1584C" w:rsidP="00151C9D">
            <w:pPr>
              <w:autoSpaceDE w:val="0"/>
              <w:autoSpaceDN w:val="0"/>
              <w:adjustRightInd w:val="0"/>
              <w:ind w:left="8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Dyann Charles</w:t>
            </w:r>
          </w:p>
        </w:tc>
      </w:tr>
      <w:tr w:rsidR="00C714D3" w:rsidRPr="00E869A4" w14:paraId="7077D667"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4CF27B97"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Age</w:t>
            </w:r>
          </w:p>
        </w:tc>
        <w:tc>
          <w:tcPr>
            <w:tcW w:w="4223" w:type="dxa"/>
          </w:tcPr>
          <w:p w14:paraId="0D7C3131"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50 to 59</w:t>
            </w:r>
          </w:p>
        </w:tc>
      </w:tr>
      <w:tr w:rsidR="00C714D3" w:rsidRPr="00E869A4" w14:paraId="6D8FF7C9"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406910B3"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 xml:space="preserve">Gender </w:t>
            </w:r>
          </w:p>
        </w:tc>
        <w:tc>
          <w:tcPr>
            <w:tcW w:w="4223" w:type="dxa"/>
          </w:tcPr>
          <w:p w14:paraId="19B2706E" w14:textId="77777777" w:rsidR="00D1584C" w:rsidRPr="00E869A4" w:rsidRDefault="00D1584C" w:rsidP="00151C9D">
            <w:pPr>
              <w:autoSpaceDE w:val="0"/>
              <w:autoSpaceDN w:val="0"/>
              <w:adjustRightInd w:val="0"/>
              <w:ind w:left="8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79C0CA8E"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4721D354"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Ethnicity</w:t>
            </w:r>
          </w:p>
        </w:tc>
        <w:tc>
          <w:tcPr>
            <w:tcW w:w="4223" w:type="dxa"/>
          </w:tcPr>
          <w:p w14:paraId="77B51A59"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 Trinidadian</w:t>
            </w:r>
          </w:p>
        </w:tc>
      </w:tr>
      <w:tr w:rsidR="00C714D3" w:rsidRPr="00E869A4" w14:paraId="3E23577A"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74279E19"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Education</w:t>
            </w:r>
          </w:p>
        </w:tc>
        <w:tc>
          <w:tcPr>
            <w:tcW w:w="4223" w:type="dxa"/>
          </w:tcPr>
          <w:p w14:paraId="2EE9104E" w14:textId="77777777" w:rsidR="00D1584C" w:rsidRPr="00E869A4" w:rsidRDefault="00D1584C" w:rsidP="00151C9D">
            <w:pPr>
              <w:autoSpaceDE w:val="0"/>
              <w:autoSpaceDN w:val="0"/>
              <w:adjustRightInd w:val="0"/>
              <w:ind w:left="8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Some College</w:t>
            </w:r>
            <w:r w:rsidRPr="00E869A4">
              <w:rPr>
                <w:rStyle w:val="FootnoteReference"/>
                <w:rFonts w:ascii="Times New Roman" w:hAnsi="Times New Roman" w:cs="Times New Roman"/>
                <w:sz w:val="23"/>
                <w:szCs w:val="23"/>
              </w:rPr>
              <w:footnoteReference w:id="154"/>
            </w:r>
          </w:p>
        </w:tc>
      </w:tr>
      <w:tr w:rsidR="00C714D3" w:rsidRPr="00E869A4" w14:paraId="39FD9F06"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6CDFC6AC"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Employment History / Status</w:t>
            </w:r>
          </w:p>
        </w:tc>
        <w:tc>
          <w:tcPr>
            <w:tcW w:w="4223" w:type="dxa"/>
          </w:tcPr>
          <w:p w14:paraId="5FD5AF24"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Former Paid Caregiver</w:t>
            </w:r>
          </w:p>
          <w:p w14:paraId="23ACDF42"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Janitor</w:t>
            </w:r>
          </w:p>
        </w:tc>
      </w:tr>
      <w:tr w:rsidR="00C714D3" w:rsidRPr="00E869A4" w14:paraId="1F96FC3D"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51CA7DEC"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Marital Status</w:t>
            </w:r>
          </w:p>
        </w:tc>
        <w:tc>
          <w:tcPr>
            <w:tcW w:w="4223" w:type="dxa"/>
          </w:tcPr>
          <w:p w14:paraId="604DB148" w14:textId="77777777" w:rsidR="00D1584C" w:rsidRPr="00E869A4" w:rsidRDefault="00D1584C" w:rsidP="00151C9D">
            <w:pPr>
              <w:autoSpaceDE w:val="0"/>
              <w:autoSpaceDN w:val="0"/>
              <w:adjustRightInd w:val="0"/>
              <w:ind w:left="8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Married</w:t>
            </w:r>
          </w:p>
        </w:tc>
      </w:tr>
      <w:tr w:rsidR="00C714D3" w:rsidRPr="00E869A4" w14:paraId="654B2712"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7E5764E8"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Number of Sons</w:t>
            </w:r>
          </w:p>
        </w:tc>
        <w:tc>
          <w:tcPr>
            <w:tcW w:w="4223" w:type="dxa"/>
          </w:tcPr>
          <w:p w14:paraId="79C713AF"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5D961269"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0F26B92E"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Number of Daughters</w:t>
            </w:r>
          </w:p>
        </w:tc>
        <w:tc>
          <w:tcPr>
            <w:tcW w:w="4223" w:type="dxa"/>
          </w:tcPr>
          <w:p w14:paraId="5B9AD2CE" w14:textId="77777777" w:rsidR="00D1584C" w:rsidRPr="00E869A4" w:rsidRDefault="00D1584C" w:rsidP="00151C9D">
            <w:pPr>
              <w:autoSpaceDE w:val="0"/>
              <w:autoSpaceDN w:val="0"/>
              <w:adjustRightInd w:val="0"/>
              <w:ind w:left="8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61633B8F"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614D1D5C"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Total # Surviving Children</w:t>
            </w:r>
          </w:p>
        </w:tc>
        <w:tc>
          <w:tcPr>
            <w:tcW w:w="4223" w:type="dxa"/>
          </w:tcPr>
          <w:p w14:paraId="666C3CBE"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r>
      <w:tr w:rsidR="00C714D3" w:rsidRPr="00E869A4" w14:paraId="706DA272"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36F0C46D"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Care Work History</w:t>
            </w:r>
          </w:p>
        </w:tc>
        <w:tc>
          <w:tcPr>
            <w:tcW w:w="4223" w:type="dxa"/>
          </w:tcPr>
          <w:p w14:paraId="4DAC5D84" w14:textId="77777777" w:rsidR="00D1584C" w:rsidRPr="00E869A4" w:rsidRDefault="00D1584C" w:rsidP="00151C9D">
            <w:pPr>
              <w:autoSpaceDE w:val="0"/>
              <w:autoSpaceDN w:val="0"/>
              <w:adjustRightInd w:val="0"/>
              <w:ind w:left="8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In-home care</w:t>
            </w:r>
          </w:p>
          <w:p w14:paraId="688C7B93" w14:textId="77777777" w:rsidR="00D1584C" w:rsidRPr="00E869A4" w:rsidRDefault="00D1584C" w:rsidP="00151C9D">
            <w:pPr>
              <w:autoSpaceDE w:val="0"/>
              <w:autoSpaceDN w:val="0"/>
              <w:adjustRightInd w:val="0"/>
              <w:ind w:left="8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Nursing home</w:t>
            </w:r>
          </w:p>
        </w:tc>
      </w:tr>
      <w:tr w:rsidR="00C714D3" w:rsidRPr="00E869A4" w14:paraId="11BE1361" w14:textId="77777777" w:rsidTr="00EE3C70">
        <w:trPr>
          <w:jc w:val="center"/>
        </w:trPr>
        <w:tc>
          <w:tcPr>
            <w:cnfStyle w:val="001000000000" w:firstRow="0" w:lastRow="0" w:firstColumn="1" w:lastColumn="0" w:oddVBand="0" w:evenVBand="0" w:oddHBand="0" w:evenHBand="0" w:firstRowFirstColumn="0" w:firstRowLastColumn="0" w:lastRowFirstColumn="0" w:lastRowLastColumn="0"/>
            <w:tcW w:w="4158" w:type="dxa"/>
          </w:tcPr>
          <w:p w14:paraId="38FDECC5"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t>Care Provided</w:t>
            </w:r>
          </w:p>
        </w:tc>
        <w:tc>
          <w:tcPr>
            <w:tcW w:w="4223" w:type="dxa"/>
          </w:tcPr>
          <w:p w14:paraId="00711710"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Preservative care</w:t>
            </w:r>
          </w:p>
          <w:p w14:paraId="0D8E7DF5"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Reconstructive care </w:t>
            </w:r>
          </w:p>
          <w:p w14:paraId="2E82DBE0"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Instrumental care</w:t>
            </w:r>
          </w:p>
          <w:p w14:paraId="6D39E45F"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60FAF759"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Preventive care </w:t>
            </w:r>
          </w:p>
          <w:p w14:paraId="16F00A0B" w14:textId="77777777" w:rsidR="00D1584C" w:rsidRPr="00E869A4" w:rsidRDefault="00D1584C" w:rsidP="00151C9D">
            <w:pPr>
              <w:autoSpaceDE w:val="0"/>
              <w:autoSpaceDN w:val="0"/>
              <w:adjustRightInd w:val="0"/>
              <w:ind w:left="8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Emotional support</w:t>
            </w:r>
          </w:p>
        </w:tc>
      </w:tr>
      <w:tr w:rsidR="00C714D3" w:rsidRPr="00E869A4" w14:paraId="282C9DA6" w14:textId="77777777" w:rsidTr="00EE3C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14:paraId="43FA1960" w14:textId="77777777" w:rsidR="00D1584C" w:rsidRPr="00484A4D" w:rsidRDefault="00D1584C" w:rsidP="00151C9D">
            <w:pPr>
              <w:autoSpaceDE w:val="0"/>
              <w:autoSpaceDN w:val="0"/>
              <w:adjustRightInd w:val="0"/>
              <w:ind w:left="89" w:firstLine="0"/>
              <w:rPr>
                <w:rFonts w:ascii="Times New Roman" w:hAnsi="Times New Roman" w:cs="Times New Roman"/>
                <w:sz w:val="23"/>
                <w:szCs w:val="23"/>
              </w:rPr>
            </w:pPr>
            <w:r w:rsidRPr="00484A4D">
              <w:rPr>
                <w:rFonts w:ascii="Times New Roman" w:hAnsi="Times New Roman" w:cs="Times New Roman"/>
                <w:sz w:val="23"/>
                <w:szCs w:val="23"/>
              </w:rPr>
              <w:lastRenderedPageBreak/>
              <w:t>Location in T&amp;T</w:t>
            </w:r>
            <w:r w:rsidRPr="00484A4D">
              <w:rPr>
                <w:rStyle w:val="FootnoteReference"/>
                <w:rFonts w:ascii="Times New Roman" w:hAnsi="Times New Roman" w:cs="Times New Roman"/>
                <w:sz w:val="23"/>
                <w:szCs w:val="23"/>
              </w:rPr>
              <w:footnoteReference w:id="155"/>
            </w:r>
          </w:p>
        </w:tc>
        <w:tc>
          <w:tcPr>
            <w:tcW w:w="4223" w:type="dxa"/>
          </w:tcPr>
          <w:p w14:paraId="6CAC46FF" w14:textId="77777777" w:rsidR="00D1584C" w:rsidRPr="00E869A4" w:rsidRDefault="00D1584C" w:rsidP="00151C9D">
            <w:pPr>
              <w:autoSpaceDE w:val="0"/>
              <w:autoSpaceDN w:val="0"/>
              <w:adjustRightInd w:val="0"/>
              <w:ind w:left="8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Central</w:t>
            </w:r>
          </w:p>
        </w:tc>
      </w:tr>
    </w:tbl>
    <w:p w14:paraId="52A8AA44" w14:textId="77777777" w:rsidR="00D1584C" w:rsidRPr="00E869A4" w:rsidRDefault="00D1584C" w:rsidP="00A35FF8">
      <w:pPr>
        <w:rPr>
          <w:rFonts w:ascii="Times New Roman" w:hAnsi="Times New Roman" w:cs="Times New Roman"/>
        </w:rPr>
      </w:pPr>
    </w:p>
    <w:p w14:paraId="59283466" w14:textId="657120E4" w:rsidR="00D1584C" w:rsidRPr="00E869A4" w:rsidRDefault="00D1584C" w:rsidP="00151C9D">
      <w:pPr>
        <w:ind w:firstLine="720"/>
        <w:rPr>
          <w:rFonts w:ascii="Times New Roman" w:hAnsi="Times New Roman" w:cs="Times New Roman"/>
        </w:rPr>
      </w:pPr>
      <w:r w:rsidRPr="00E869A4">
        <w:rPr>
          <w:rFonts w:ascii="Times New Roman" w:hAnsi="Times New Roman" w:cs="Times New Roman"/>
        </w:rPr>
        <w:t>Dyann worked for several years as a paid in-home caregiver before moving on to work as a janitor and study part-time. Her first experience as an informal caregiver was when she cared for her grandparents. She and her sister were raised by their grandparents after their parents died. She was eleven (11) years old when she moved in with them. When she became a teenager, her grandmother became senile, and her gra</w:t>
      </w:r>
      <w:r w:rsidR="00176780" w:rsidRPr="00E869A4">
        <w:rPr>
          <w:rFonts w:ascii="Times New Roman" w:hAnsi="Times New Roman" w:cs="Times New Roman"/>
        </w:rPr>
        <w:t>ndfather suffered a stroke some</w:t>
      </w:r>
      <w:r w:rsidRPr="00E869A4">
        <w:rPr>
          <w:rFonts w:ascii="Times New Roman" w:hAnsi="Times New Roman" w:cs="Times New Roman"/>
        </w:rPr>
        <w:t>time after. She helped to care for them with the assistance of her aunt until they passed away. Carol lived in another community, but visited her parents while they were alive to help her nieces care for them. Carol was a trained nurse. She helped to financially support Dyann and her sister when they were children.</w:t>
      </w:r>
      <w:r w:rsidR="00151C9D" w:rsidRPr="00E869A4">
        <w:rPr>
          <w:rFonts w:ascii="Times New Roman" w:hAnsi="Times New Roman" w:cs="Times New Roman"/>
        </w:rPr>
        <w:t xml:space="preserve"> </w:t>
      </w:r>
      <w:r w:rsidRPr="00E869A4">
        <w:rPr>
          <w:rFonts w:ascii="Times New Roman" w:hAnsi="Times New Roman" w:cs="Times New Roman"/>
        </w:rPr>
        <w:t xml:space="preserve">Given these experiences, Dyann wanted to become a qualified nurse just like her aunt Carol when she graduated from high school. Unfortunately, she did not meet the minimum requirements to qualify for the nurse training programme. After her grandparents died, she worked as an informal paid caregiver to an older person in her neighbourhood. She subsequently did several short courses on geriatric care and continued working as a paid caregiver for some time. </w:t>
      </w:r>
    </w:p>
    <w:p w14:paraId="766F0551" w14:textId="77777777" w:rsidR="00D1584C" w:rsidRPr="00E869A4" w:rsidRDefault="00D1584C" w:rsidP="00A35FF8">
      <w:pPr>
        <w:autoSpaceDE w:val="0"/>
        <w:autoSpaceDN w:val="0"/>
        <w:adjustRightInd w:val="0"/>
        <w:rPr>
          <w:rFonts w:ascii="Times New Roman" w:hAnsi="Times New Roman" w:cs="Times New Roman"/>
        </w:rPr>
      </w:pPr>
    </w:p>
    <w:p w14:paraId="1C2BF395" w14:textId="77777777" w:rsidR="00D1584C" w:rsidRPr="00E869A4" w:rsidRDefault="00D1584C" w:rsidP="00A35FF8">
      <w:pPr>
        <w:autoSpaceDE w:val="0"/>
        <w:autoSpaceDN w:val="0"/>
        <w:adjustRightInd w:val="0"/>
        <w:ind w:firstLine="720"/>
        <w:rPr>
          <w:rFonts w:ascii="Times New Roman" w:hAnsi="Times New Roman" w:cs="Times New Roman"/>
        </w:rPr>
      </w:pPr>
      <w:r w:rsidRPr="00E869A4">
        <w:rPr>
          <w:rFonts w:ascii="Times New Roman" w:hAnsi="Times New Roman" w:cs="Times New Roman"/>
        </w:rPr>
        <w:t xml:space="preserve">After working as a paid geriatric caregiver for many years, she decided to pursue a Certificate Programme in Social Work at the local University. Her goal was to be the Owner and Manager of either a Home for Older Persons or, a Senior Activity Centre. In the meantime, she worked as a janitor in a school to earn an income. She was not happy with this job, but it suited her study schedule and allowed her to have enough time to care for her only son who was preparing for the high school entrance exam i.e. the Secondary Entrance Assessment Exam (SEA). </w:t>
      </w:r>
    </w:p>
    <w:p w14:paraId="5D2C580B" w14:textId="77777777" w:rsidR="00D1584C" w:rsidRPr="00E869A4" w:rsidRDefault="00D1584C" w:rsidP="00A35FF8">
      <w:pPr>
        <w:autoSpaceDE w:val="0"/>
        <w:autoSpaceDN w:val="0"/>
        <w:adjustRightInd w:val="0"/>
        <w:rPr>
          <w:rFonts w:ascii="Times New Roman" w:hAnsi="Times New Roman" w:cs="Times New Roman"/>
        </w:rPr>
      </w:pPr>
    </w:p>
    <w:p w14:paraId="093A91B0" w14:textId="3C26C24B" w:rsidR="00D1584C" w:rsidRPr="00E869A4" w:rsidRDefault="00D1584C" w:rsidP="00A35FF8">
      <w:pPr>
        <w:autoSpaceDE w:val="0"/>
        <w:autoSpaceDN w:val="0"/>
        <w:adjustRightInd w:val="0"/>
        <w:ind w:firstLine="720"/>
        <w:rPr>
          <w:rStyle w:val="Strong"/>
          <w:rFonts w:ascii="Times New Roman" w:hAnsi="Times New Roman" w:cs="Times New Roman"/>
          <w:sz w:val="44"/>
          <w:u w:val="single"/>
        </w:rPr>
      </w:pPr>
      <w:r w:rsidRPr="00E869A4">
        <w:rPr>
          <w:rFonts w:ascii="Times New Roman" w:hAnsi="Times New Roman" w:cs="Times New Roman"/>
        </w:rPr>
        <w:t xml:space="preserve">She shared several </w:t>
      </w:r>
      <w:r w:rsidR="005D762D" w:rsidRPr="00E869A4">
        <w:rPr>
          <w:rFonts w:ascii="Times New Roman" w:hAnsi="Times New Roman" w:cs="Times New Roman"/>
        </w:rPr>
        <w:t>stories that</w:t>
      </w:r>
      <w:r w:rsidRPr="00E869A4">
        <w:rPr>
          <w:rFonts w:ascii="Times New Roman" w:hAnsi="Times New Roman" w:cs="Times New Roman"/>
        </w:rPr>
        <w:t xml:space="preserve"> highlighted the benefits and challenges of working as a paid informal caregiver in Trinidad. For her, the joy of seeing her patient’s health improve as a result of the care she provided was </w:t>
      </w:r>
      <w:r w:rsidR="005D762D" w:rsidRPr="00E869A4">
        <w:rPr>
          <w:rFonts w:ascii="Times New Roman" w:hAnsi="Times New Roman" w:cs="Times New Roman"/>
        </w:rPr>
        <w:t>very rewarding. But, she faced various</w:t>
      </w:r>
      <w:r w:rsidRPr="00E869A4">
        <w:rPr>
          <w:rFonts w:ascii="Times New Roman" w:hAnsi="Times New Roman" w:cs="Times New Roman"/>
        </w:rPr>
        <w:t xml:space="preserve"> challenges as an in-home care worker including: role ambiguity, conflict in the patient’s home, lack of appreciation from the family members of the patient, inadequate pay, challenging work hours and family commitments. These factors contributed to her decision to discontinue work as a paid in-home caregiver. </w:t>
      </w:r>
    </w:p>
    <w:p w14:paraId="2B7E85E1" w14:textId="77777777" w:rsidR="00615F84" w:rsidRPr="00E869A4" w:rsidRDefault="00615F84">
      <w:pPr>
        <w:rPr>
          <w:b/>
        </w:rPr>
      </w:pPr>
      <w:bookmarkStart w:id="510" w:name="_Toc507665579"/>
      <w:bookmarkStart w:id="511" w:name="_Toc507909151"/>
      <w:r w:rsidRPr="00E869A4">
        <w:rPr>
          <w:b/>
        </w:rPr>
        <w:br w:type="page"/>
      </w:r>
    </w:p>
    <w:p w14:paraId="4D4837A6" w14:textId="7459938D" w:rsidR="006B59BA" w:rsidRPr="00E869A4" w:rsidRDefault="006B59BA" w:rsidP="006B59BA">
      <w:pPr>
        <w:pStyle w:val="ListParagraph"/>
        <w:ind w:left="0"/>
        <w:contextualSpacing w:val="0"/>
        <w:rPr>
          <w:b/>
        </w:rPr>
      </w:pPr>
      <w:r w:rsidRPr="00E869A4">
        <w:rPr>
          <w:b/>
        </w:rPr>
        <w:lastRenderedPageBreak/>
        <w:t>(2014 INTERVIEWS)</w:t>
      </w:r>
    </w:p>
    <w:bookmarkEnd w:id="510"/>
    <w:bookmarkEnd w:id="511"/>
    <w:p w14:paraId="712AD8BB" w14:textId="77777777" w:rsidR="003F471E" w:rsidRPr="00E869A4" w:rsidRDefault="003F471E" w:rsidP="00A35FF8"/>
    <w:p w14:paraId="13C97CCA" w14:textId="77777777" w:rsidR="00D1584C" w:rsidRPr="00E869A4" w:rsidRDefault="00D1584C" w:rsidP="009D4C5D">
      <w:pPr>
        <w:pStyle w:val="ListParagraph"/>
        <w:numPr>
          <w:ilvl w:val="0"/>
          <w:numId w:val="74"/>
        </w:numPr>
        <w:contextualSpacing w:val="0"/>
        <w:rPr>
          <w:b/>
        </w:rPr>
      </w:pPr>
      <w:bookmarkStart w:id="512" w:name="_Toc507665580"/>
      <w:bookmarkStart w:id="513" w:name="_Toc507909152"/>
      <w:r w:rsidRPr="00E869A4">
        <w:rPr>
          <w:b/>
        </w:rPr>
        <w:t>MS. VIOLET &amp; her daughter MARIAN</w:t>
      </w:r>
      <w:bookmarkEnd w:id="512"/>
      <w:bookmarkEnd w:id="513"/>
    </w:p>
    <w:p w14:paraId="0119BC3A" w14:textId="77777777" w:rsidR="00151C9D" w:rsidRPr="00E869A4" w:rsidRDefault="00151C9D" w:rsidP="00151C9D">
      <w:pPr>
        <w:pStyle w:val="ListParagraph"/>
        <w:ind w:firstLine="0"/>
        <w:contextualSpacing w:val="0"/>
        <w:rPr>
          <w:b/>
        </w:rPr>
      </w:pPr>
    </w:p>
    <w:tbl>
      <w:tblPr>
        <w:tblStyle w:val="MediumShading2-Accent11"/>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19"/>
        <w:gridCol w:w="3620"/>
      </w:tblGrid>
      <w:tr w:rsidR="00C714D3" w:rsidRPr="00E869A4" w14:paraId="037189D6" w14:textId="77777777" w:rsidTr="0036315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130" w:type="dxa"/>
          </w:tcPr>
          <w:p w14:paraId="33C518CA" w14:textId="77777777" w:rsidR="00D1584C" w:rsidRPr="00484A4D" w:rsidRDefault="00D1584C" w:rsidP="005D762D">
            <w:pPr>
              <w:autoSpaceDE w:val="0"/>
              <w:autoSpaceDN w:val="0"/>
              <w:adjustRightInd w:val="0"/>
              <w:ind w:firstLine="0"/>
              <w:jc w:val="center"/>
              <w:rPr>
                <w:rFonts w:ascii="Times New Roman" w:hAnsi="Times New Roman" w:cs="Times New Roman"/>
                <w:caps/>
                <w:sz w:val="23"/>
                <w:szCs w:val="23"/>
              </w:rPr>
            </w:pPr>
            <w:r w:rsidRPr="00484A4D">
              <w:rPr>
                <w:rFonts w:ascii="Times New Roman" w:hAnsi="Times New Roman" w:cs="Times New Roman"/>
                <w:caps/>
                <w:sz w:val="23"/>
                <w:szCs w:val="23"/>
              </w:rPr>
              <w:t>Participant Category</w:t>
            </w:r>
          </w:p>
        </w:tc>
        <w:tc>
          <w:tcPr>
            <w:tcW w:w="3119" w:type="dxa"/>
          </w:tcPr>
          <w:p w14:paraId="2B54DB32" w14:textId="2C4417D4" w:rsidR="00D1584C" w:rsidRPr="00484A4D" w:rsidRDefault="009E2738" w:rsidP="005D762D">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84A4D">
              <w:rPr>
                <w:rFonts w:ascii="Times New Roman" w:hAnsi="Times New Roman" w:cs="Times New Roman"/>
                <w:sz w:val="23"/>
                <w:szCs w:val="23"/>
              </w:rPr>
              <w:t>CARE RECIPIENT</w:t>
            </w:r>
            <w:r w:rsidR="00D1584C" w:rsidRPr="00484A4D">
              <w:rPr>
                <w:rFonts w:ascii="Times New Roman" w:hAnsi="Times New Roman" w:cs="Times New Roman"/>
                <w:sz w:val="23"/>
                <w:szCs w:val="23"/>
              </w:rPr>
              <w:t xml:space="preserve"> (CR)</w:t>
            </w:r>
          </w:p>
        </w:tc>
        <w:tc>
          <w:tcPr>
            <w:tcW w:w="3620" w:type="dxa"/>
          </w:tcPr>
          <w:p w14:paraId="7169D086" w14:textId="77777777" w:rsidR="00D1584C" w:rsidRPr="00484A4D" w:rsidRDefault="00D1584C" w:rsidP="005D762D">
            <w:pPr>
              <w:autoSpaceDE w:val="0"/>
              <w:autoSpaceDN w:val="0"/>
              <w:adjustRightInd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84A4D">
              <w:rPr>
                <w:rFonts w:ascii="Times New Roman" w:hAnsi="Times New Roman" w:cs="Times New Roman"/>
                <w:sz w:val="23"/>
                <w:szCs w:val="23"/>
              </w:rPr>
              <w:t>CAREGIVER (CG)</w:t>
            </w:r>
          </w:p>
        </w:tc>
      </w:tr>
      <w:tr w:rsidR="00C714D3" w:rsidRPr="00E869A4" w14:paraId="147BC568"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35C1929C"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 xml:space="preserve">Name </w:t>
            </w:r>
          </w:p>
        </w:tc>
        <w:tc>
          <w:tcPr>
            <w:tcW w:w="3119" w:type="dxa"/>
          </w:tcPr>
          <w:p w14:paraId="5E224988"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Violet Richardson</w:t>
            </w:r>
          </w:p>
        </w:tc>
        <w:tc>
          <w:tcPr>
            <w:tcW w:w="3620" w:type="dxa"/>
          </w:tcPr>
          <w:p w14:paraId="646BBE98"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Marian Richardson - Morris</w:t>
            </w:r>
          </w:p>
        </w:tc>
      </w:tr>
      <w:tr w:rsidR="00C714D3" w:rsidRPr="00E869A4" w14:paraId="67593320"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6B50E7BE"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Relationship</w:t>
            </w:r>
          </w:p>
        </w:tc>
        <w:tc>
          <w:tcPr>
            <w:tcW w:w="3119" w:type="dxa"/>
          </w:tcPr>
          <w:p w14:paraId="19D7505F"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Mother</w:t>
            </w:r>
          </w:p>
        </w:tc>
        <w:tc>
          <w:tcPr>
            <w:tcW w:w="3620" w:type="dxa"/>
          </w:tcPr>
          <w:p w14:paraId="74331929"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Daughter</w:t>
            </w:r>
          </w:p>
        </w:tc>
      </w:tr>
      <w:tr w:rsidR="00C714D3" w:rsidRPr="00E869A4" w14:paraId="2C572F33"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640B4EEE"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Age</w:t>
            </w:r>
          </w:p>
        </w:tc>
        <w:tc>
          <w:tcPr>
            <w:tcW w:w="3119" w:type="dxa"/>
          </w:tcPr>
          <w:p w14:paraId="20DFE76A"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104</w:t>
            </w:r>
          </w:p>
        </w:tc>
        <w:tc>
          <w:tcPr>
            <w:tcW w:w="3620" w:type="dxa"/>
          </w:tcPr>
          <w:p w14:paraId="48BD9703"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70 to 79</w:t>
            </w:r>
          </w:p>
        </w:tc>
      </w:tr>
      <w:tr w:rsidR="00C714D3" w:rsidRPr="00E869A4" w14:paraId="2C3E44CC"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27BA7A97"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Gender</w:t>
            </w:r>
          </w:p>
        </w:tc>
        <w:tc>
          <w:tcPr>
            <w:tcW w:w="3119" w:type="dxa"/>
          </w:tcPr>
          <w:p w14:paraId="37FDBC23"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c>
          <w:tcPr>
            <w:tcW w:w="3620" w:type="dxa"/>
          </w:tcPr>
          <w:p w14:paraId="1C2756EB"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4982833C"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6BE20E43"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Ethnicity</w:t>
            </w:r>
          </w:p>
        </w:tc>
        <w:tc>
          <w:tcPr>
            <w:tcW w:w="3119" w:type="dxa"/>
          </w:tcPr>
          <w:p w14:paraId="5A4A1D78"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 Trinidadian</w:t>
            </w:r>
          </w:p>
        </w:tc>
        <w:tc>
          <w:tcPr>
            <w:tcW w:w="3620" w:type="dxa"/>
          </w:tcPr>
          <w:p w14:paraId="68596B9E"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 Trinidadian</w:t>
            </w:r>
          </w:p>
        </w:tc>
      </w:tr>
      <w:tr w:rsidR="00C714D3" w:rsidRPr="00E869A4" w14:paraId="3E31E560"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2EF171C9"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Education</w:t>
            </w:r>
          </w:p>
        </w:tc>
        <w:tc>
          <w:tcPr>
            <w:tcW w:w="3119" w:type="dxa"/>
          </w:tcPr>
          <w:p w14:paraId="7FA6EF74"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Primary School</w:t>
            </w:r>
          </w:p>
        </w:tc>
        <w:tc>
          <w:tcPr>
            <w:tcW w:w="3620" w:type="dxa"/>
          </w:tcPr>
          <w:p w14:paraId="423D2143"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College </w:t>
            </w:r>
          </w:p>
        </w:tc>
      </w:tr>
      <w:tr w:rsidR="00C714D3" w:rsidRPr="00E869A4" w14:paraId="7895C3EA"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1B396C25"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Employment History / Status</w:t>
            </w:r>
          </w:p>
        </w:tc>
        <w:tc>
          <w:tcPr>
            <w:tcW w:w="3119" w:type="dxa"/>
          </w:tcPr>
          <w:p w14:paraId="04F679DF"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Factory worker</w:t>
            </w:r>
          </w:p>
        </w:tc>
        <w:tc>
          <w:tcPr>
            <w:tcW w:w="3620" w:type="dxa"/>
          </w:tcPr>
          <w:p w14:paraId="7EAE1CDA"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Retired Business Professional </w:t>
            </w:r>
          </w:p>
        </w:tc>
      </w:tr>
      <w:tr w:rsidR="00C714D3" w:rsidRPr="00E869A4" w14:paraId="424B3120"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2489D76E"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Marital Status</w:t>
            </w:r>
          </w:p>
        </w:tc>
        <w:tc>
          <w:tcPr>
            <w:tcW w:w="3119" w:type="dxa"/>
          </w:tcPr>
          <w:p w14:paraId="571A4E55"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Single</w:t>
            </w:r>
          </w:p>
        </w:tc>
        <w:tc>
          <w:tcPr>
            <w:tcW w:w="3620" w:type="dxa"/>
          </w:tcPr>
          <w:p w14:paraId="273BF5A3"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Divorced </w:t>
            </w:r>
          </w:p>
        </w:tc>
      </w:tr>
      <w:tr w:rsidR="00C714D3" w:rsidRPr="00E869A4" w14:paraId="76465536"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59A87A55"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Number of Sons</w:t>
            </w:r>
          </w:p>
        </w:tc>
        <w:tc>
          <w:tcPr>
            <w:tcW w:w="3119" w:type="dxa"/>
          </w:tcPr>
          <w:p w14:paraId="2F69E353"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c>
          <w:tcPr>
            <w:tcW w:w="3620" w:type="dxa"/>
          </w:tcPr>
          <w:p w14:paraId="0C42B5D5"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3</w:t>
            </w:r>
          </w:p>
        </w:tc>
      </w:tr>
      <w:tr w:rsidR="00C714D3" w:rsidRPr="00E869A4" w14:paraId="44024E19"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033FF899"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Number of Daughters</w:t>
            </w:r>
          </w:p>
        </w:tc>
        <w:tc>
          <w:tcPr>
            <w:tcW w:w="3119" w:type="dxa"/>
          </w:tcPr>
          <w:p w14:paraId="4830C259"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2</w:t>
            </w:r>
            <w:r w:rsidRPr="00E869A4">
              <w:rPr>
                <w:rStyle w:val="FootnoteReference"/>
                <w:rFonts w:ascii="Times New Roman" w:hAnsi="Times New Roman" w:cs="Times New Roman"/>
                <w:sz w:val="23"/>
                <w:szCs w:val="23"/>
              </w:rPr>
              <w:footnoteReference w:id="156"/>
            </w:r>
          </w:p>
        </w:tc>
        <w:tc>
          <w:tcPr>
            <w:tcW w:w="3620" w:type="dxa"/>
          </w:tcPr>
          <w:p w14:paraId="119CB617"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0</w:t>
            </w:r>
          </w:p>
        </w:tc>
      </w:tr>
      <w:tr w:rsidR="00C714D3" w:rsidRPr="00E869A4" w14:paraId="78ABA424"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277AE256"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Total # Surviving Children</w:t>
            </w:r>
          </w:p>
        </w:tc>
        <w:tc>
          <w:tcPr>
            <w:tcW w:w="3119" w:type="dxa"/>
          </w:tcPr>
          <w:p w14:paraId="3049BB22"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w:t>
            </w:r>
          </w:p>
        </w:tc>
        <w:tc>
          <w:tcPr>
            <w:tcW w:w="3620" w:type="dxa"/>
          </w:tcPr>
          <w:p w14:paraId="179CE28B"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3</w:t>
            </w:r>
          </w:p>
        </w:tc>
      </w:tr>
      <w:tr w:rsidR="00C714D3" w:rsidRPr="00E869A4" w14:paraId="74C06984"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6BC4FB60"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Level of Dependency / Care Activities</w:t>
            </w:r>
          </w:p>
        </w:tc>
        <w:tc>
          <w:tcPr>
            <w:tcW w:w="3119" w:type="dxa"/>
          </w:tcPr>
          <w:p w14:paraId="7EEC8D47"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Severely Dependent</w:t>
            </w:r>
          </w:p>
        </w:tc>
        <w:tc>
          <w:tcPr>
            <w:tcW w:w="3620" w:type="dxa"/>
          </w:tcPr>
          <w:p w14:paraId="53F4E34A"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IADL</w:t>
            </w:r>
          </w:p>
        </w:tc>
      </w:tr>
      <w:tr w:rsidR="00C714D3" w:rsidRPr="00E869A4" w14:paraId="0F24D10D"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149CF2C7"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Health Challenges / Care provided</w:t>
            </w:r>
          </w:p>
        </w:tc>
        <w:tc>
          <w:tcPr>
            <w:tcW w:w="3119" w:type="dxa"/>
          </w:tcPr>
          <w:p w14:paraId="641A7FA7"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Incontinence </w:t>
            </w:r>
          </w:p>
          <w:p w14:paraId="67A00ED2"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Mobility (wheel chair dependent)</w:t>
            </w:r>
          </w:p>
        </w:tc>
        <w:tc>
          <w:tcPr>
            <w:tcW w:w="3620" w:type="dxa"/>
          </w:tcPr>
          <w:p w14:paraId="02657060"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0894BD70"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Preventive care</w:t>
            </w:r>
          </w:p>
          <w:p w14:paraId="4D342BC2"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Emotional support </w:t>
            </w:r>
          </w:p>
          <w:p w14:paraId="657F998A"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Anticipatory care</w:t>
            </w:r>
          </w:p>
          <w:p w14:paraId="6B323F83"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14:paraId="01BB7284"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(*Marian was in need of hip-replacement surgery)</w:t>
            </w:r>
          </w:p>
        </w:tc>
      </w:tr>
      <w:tr w:rsidR="00C714D3" w:rsidRPr="00E869A4" w14:paraId="3E0F0792"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1274A1D1"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Time spent providing Family Care to CR</w:t>
            </w:r>
          </w:p>
        </w:tc>
        <w:tc>
          <w:tcPr>
            <w:tcW w:w="3119" w:type="dxa"/>
          </w:tcPr>
          <w:p w14:paraId="1F707AFC"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c>
          <w:tcPr>
            <w:tcW w:w="3620" w:type="dxa"/>
          </w:tcPr>
          <w:p w14:paraId="392AE7E5"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1 to 5 years as primary caregiver</w:t>
            </w:r>
            <w:r w:rsidRPr="00E869A4">
              <w:rPr>
                <w:rStyle w:val="FootnoteReference"/>
                <w:rFonts w:ascii="Times New Roman" w:hAnsi="Times New Roman" w:cs="Times New Roman"/>
                <w:sz w:val="23"/>
                <w:szCs w:val="23"/>
              </w:rPr>
              <w:footnoteReference w:id="157"/>
            </w:r>
          </w:p>
        </w:tc>
      </w:tr>
      <w:tr w:rsidR="00C714D3" w:rsidRPr="00E869A4" w14:paraId="62402503"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61A23B89"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Location in T&amp;T</w:t>
            </w:r>
            <w:r w:rsidRPr="00484A4D">
              <w:rPr>
                <w:rStyle w:val="FootnoteReference"/>
                <w:rFonts w:ascii="Times New Roman" w:hAnsi="Times New Roman" w:cs="Times New Roman"/>
                <w:sz w:val="23"/>
                <w:szCs w:val="23"/>
              </w:rPr>
              <w:footnoteReference w:id="158"/>
            </w:r>
          </w:p>
        </w:tc>
        <w:tc>
          <w:tcPr>
            <w:tcW w:w="3119" w:type="dxa"/>
          </w:tcPr>
          <w:p w14:paraId="27D2EC42"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North West </w:t>
            </w:r>
          </w:p>
        </w:tc>
        <w:tc>
          <w:tcPr>
            <w:tcW w:w="3620" w:type="dxa"/>
          </w:tcPr>
          <w:p w14:paraId="61BE729F"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North West</w:t>
            </w:r>
          </w:p>
        </w:tc>
      </w:tr>
      <w:tr w:rsidR="00C714D3" w:rsidRPr="00E869A4" w14:paraId="72DD2079"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51D8C978"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Location of CR relative to CG</w:t>
            </w:r>
          </w:p>
        </w:tc>
        <w:tc>
          <w:tcPr>
            <w:tcW w:w="6739" w:type="dxa"/>
            <w:gridSpan w:val="2"/>
          </w:tcPr>
          <w:p w14:paraId="04B5D138"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Same house</w:t>
            </w:r>
            <w:r w:rsidRPr="00E869A4">
              <w:rPr>
                <w:rStyle w:val="FootnoteReference"/>
                <w:rFonts w:ascii="Times New Roman" w:hAnsi="Times New Roman" w:cs="Times New Roman"/>
                <w:sz w:val="23"/>
                <w:szCs w:val="23"/>
              </w:rPr>
              <w:footnoteReference w:id="159"/>
            </w:r>
          </w:p>
          <w:p w14:paraId="4E2815E7"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tc>
      </w:tr>
      <w:tr w:rsidR="00C714D3" w:rsidRPr="00E869A4" w14:paraId="23736C26"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2833AED4"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 xml:space="preserve">Other Property Info. </w:t>
            </w:r>
          </w:p>
        </w:tc>
        <w:tc>
          <w:tcPr>
            <w:tcW w:w="6739" w:type="dxa"/>
            <w:gridSpan w:val="2"/>
          </w:tcPr>
          <w:p w14:paraId="61C6D201"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There were steps inside the house. Ms. Violet could only access the lower level part of the property. There were no steps required to get in and out of the house.</w:t>
            </w:r>
          </w:p>
        </w:tc>
      </w:tr>
      <w:tr w:rsidR="00C714D3" w:rsidRPr="00E869A4" w14:paraId="084C3A79"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1E08A3FB"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Support from Family Overseas</w:t>
            </w:r>
          </w:p>
        </w:tc>
        <w:tc>
          <w:tcPr>
            <w:tcW w:w="6739" w:type="dxa"/>
            <w:gridSpan w:val="2"/>
          </w:tcPr>
          <w:p w14:paraId="4C87942C"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Yes (Often)</w:t>
            </w:r>
          </w:p>
        </w:tc>
      </w:tr>
      <w:tr w:rsidR="00C714D3" w:rsidRPr="00E869A4" w14:paraId="171B8D5F"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6F6BE94E"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 xml:space="preserve">Support from other relatives </w:t>
            </w:r>
            <w:r w:rsidRPr="00484A4D">
              <w:rPr>
                <w:rFonts w:ascii="Times New Roman" w:hAnsi="Times New Roman" w:cs="Times New Roman"/>
                <w:sz w:val="23"/>
                <w:szCs w:val="23"/>
              </w:rPr>
              <w:lastRenderedPageBreak/>
              <w:t>locally</w:t>
            </w:r>
          </w:p>
        </w:tc>
        <w:tc>
          <w:tcPr>
            <w:tcW w:w="6739" w:type="dxa"/>
            <w:gridSpan w:val="2"/>
          </w:tcPr>
          <w:p w14:paraId="19E23BC4" w14:textId="77777777" w:rsidR="00D1584C" w:rsidRPr="00E869A4" w:rsidRDefault="00D1584C" w:rsidP="00363150">
            <w:pPr>
              <w:autoSpaceDE w:val="0"/>
              <w:autoSpaceDN w:val="0"/>
              <w:adjustRightInd w:val="0"/>
              <w:ind w:left="113"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lastRenderedPageBreak/>
              <w:t>No</w:t>
            </w:r>
            <w:r w:rsidRPr="00E869A4">
              <w:rPr>
                <w:rStyle w:val="FootnoteReference"/>
                <w:rFonts w:ascii="Times New Roman" w:hAnsi="Times New Roman" w:cs="Times New Roman"/>
                <w:sz w:val="23"/>
                <w:szCs w:val="23"/>
              </w:rPr>
              <w:footnoteReference w:id="160"/>
            </w:r>
            <w:r w:rsidRPr="00E869A4">
              <w:rPr>
                <w:rFonts w:ascii="Times New Roman" w:hAnsi="Times New Roman" w:cs="Times New Roman"/>
                <w:sz w:val="23"/>
                <w:szCs w:val="23"/>
              </w:rPr>
              <w:t xml:space="preserve">. Ms. Violet’s initial primary caregiver was her unmarried and </w:t>
            </w:r>
            <w:r w:rsidRPr="00E869A4">
              <w:rPr>
                <w:rFonts w:ascii="Times New Roman" w:hAnsi="Times New Roman" w:cs="Times New Roman"/>
                <w:sz w:val="23"/>
                <w:szCs w:val="23"/>
              </w:rPr>
              <w:lastRenderedPageBreak/>
              <w:t xml:space="preserve">childless adult daughter (Avalon) who succumbed to cancer. </w:t>
            </w:r>
          </w:p>
        </w:tc>
      </w:tr>
      <w:tr w:rsidR="00C714D3" w:rsidRPr="00D86E6E" w14:paraId="53F193A1"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170B2DB6"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lastRenderedPageBreak/>
              <w:t>Secondary Caregivers</w:t>
            </w:r>
          </w:p>
        </w:tc>
        <w:tc>
          <w:tcPr>
            <w:tcW w:w="6739" w:type="dxa"/>
            <w:gridSpan w:val="2"/>
          </w:tcPr>
          <w:p w14:paraId="22E55B70" w14:textId="77777777" w:rsidR="00D1584C" w:rsidRPr="00E869A4" w:rsidRDefault="00D1584C" w:rsidP="00363150">
            <w:pPr>
              <w:autoSpaceDE w:val="0"/>
              <w:autoSpaceDN w:val="0"/>
              <w:adjustRightInd w:val="0"/>
              <w:ind w:left="11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fr-FR"/>
              </w:rPr>
            </w:pPr>
            <w:r w:rsidRPr="00E869A4">
              <w:rPr>
                <w:rFonts w:ascii="Times New Roman" w:hAnsi="Times New Roman" w:cs="Times New Roman"/>
                <w:sz w:val="23"/>
                <w:szCs w:val="23"/>
                <w:lang w:val="fr-FR"/>
              </w:rPr>
              <w:t>Ms. Violet’s grandsons i.e. Marian’s sons</w:t>
            </w:r>
            <w:r w:rsidRPr="00E869A4">
              <w:rPr>
                <w:rStyle w:val="FootnoteReference"/>
                <w:rFonts w:ascii="Times New Roman" w:hAnsi="Times New Roman" w:cs="Times New Roman"/>
                <w:sz w:val="23"/>
                <w:szCs w:val="23"/>
              </w:rPr>
              <w:footnoteReference w:id="161"/>
            </w:r>
            <w:r w:rsidRPr="00E869A4">
              <w:rPr>
                <w:rFonts w:ascii="Times New Roman" w:hAnsi="Times New Roman" w:cs="Times New Roman"/>
                <w:sz w:val="23"/>
                <w:szCs w:val="23"/>
                <w:lang w:val="fr-FR"/>
              </w:rPr>
              <w:t xml:space="preserve"> </w:t>
            </w:r>
          </w:p>
        </w:tc>
      </w:tr>
      <w:tr w:rsidR="00C714D3" w:rsidRPr="00E869A4" w14:paraId="0868FF1A" w14:textId="77777777" w:rsidTr="00363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30" w:type="dxa"/>
          </w:tcPr>
          <w:p w14:paraId="75B96D50"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Paid Caregivers</w:t>
            </w:r>
          </w:p>
        </w:tc>
        <w:tc>
          <w:tcPr>
            <w:tcW w:w="6739" w:type="dxa"/>
            <w:gridSpan w:val="2"/>
          </w:tcPr>
          <w:p w14:paraId="65A3907E" w14:textId="77777777" w:rsidR="00D1584C" w:rsidRPr="00E869A4" w:rsidRDefault="00D1584C" w:rsidP="009D4C5D">
            <w:pPr>
              <w:pStyle w:val="ListParagraph"/>
              <w:numPr>
                <w:ilvl w:val="0"/>
                <w:numId w:val="25"/>
              </w:numPr>
              <w:tabs>
                <w:tab w:val="left" w:pos="376"/>
              </w:tabs>
              <w:autoSpaceDE w:val="0"/>
              <w:autoSpaceDN w:val="0"/>
              <w:adjustRightInd w:val="0"/>
              <w:ind w:left="113"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Onella (immigrant care worker)</w:t>
            </w:r>
          </w:p>
          <w:p w14:paraId="4EEB2A7B" w14:textId="50848498" w:rsidR="00D1584C" w:rsidRPr="00E869A4" w:rsidRDefault="00363150" w:rsidP="009D4C5D">
            <w:pPr>
              <w:pStyle w:val="ListParagraph"/>
              <w:numPr>
                <w:ilvl w:val="0"/>
                <w:numId w:val="25"/>
              </w:numPr>
              <w:tabs>
                <w:tab w:val="left" w:pos="376"/>
              </w:tabs>
              <w:autoSpaceDE w:val="0"/>
              <w:autoSpaceDN w:val="0"/>
              <w:adjustRightInd w:val="0"/>
              <w:ind w:left="113"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Francine</w:t>
            </w:r>
            <w:r w:rsidR="00D1584C" w:rsidRPr="00E869A4">
              <w:rPr>
                <w:rFonts w:ascii="Times New Roman" w:hAnsi="Times New Roman" w:cs="Times New Roman"/>
                <w:sz w:val="23"/>
                <w:szCs w:val="23"/>
              </w:rPr>
              <w:t xml:space="preserve"> (GAPP caregiver)</w:t>
            </w:r>
          </w:p>
          <w:p w14:paraId="2EC9A26D" w14:textId="77777777" w:rsidR="00D1584C" w:rsidRPr="00E869A4" w:rsidRDefault="00D1584C" w:rsidP="009D4C5D">
            <w:pPr>
              <w:pStyle w:val="ListParagraph"/>
              <w:numPr>
                <w:ilvl w:val="0"/>
                <w:numId w:val="25"/>
              </w:numPr>
              <w:tabs>
                <w:tab w:val="left" w:pos="376"/>
              </w:tabs>
              <w:ind w:left="113"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Imani  (former immigrant care worker</w:t>
            </w:r>
            <w:r w:rsidRPr="00E869A4">
              <w:rPr>
                <w:rStyle w:val="FootnoteReference"/>
                <w:rFonts w:ascii="Times New Roman" w:hAnsi="Times New Roman" w:cs="Times New Roman"/>
                <w:sz w:val="23"/>
                <w:szCs w:val="23"/>
              </w:rPr>
              <w:footnoteReference w:id="162"/>
            </w:r>
            <w:r w:rsidRPr="00E869A4">
              <w:rPr>
                <w:rFonts w:ascii="Times New Roman" w:hAnsi="Times New Roman" w:cs="Times New Roman"/>
                <w:sz w:val="23"/>
                <w:szCs w:val="23"/>
              </w:rPr>
              <w:t>)</w:t>
            </w:r>
          </w:p>
        </w:tc>
      </w:tr>
      <w:tr w:rsidR="00C714D3" w:rsidRPr="00E869A4" w14:paraId="1C87E09B" w14:textId="77777777" w:rsidTr="00363150">
        <w:trPr>
          <w:jc w:val="center"/>
        </w:trPr>
        <w:tc>
          <w:tcPr>
            <w:cnfStyle w:val="001000000000" w:firstRow="0" w:lastRow="0" w:firstColumn="1" w:lastColumn="0" w:oddVBand="0" w:evenVBand="0" w:oddHBand="0" w:evenHBand="0" w:firstRowFirstColumn="0" w:firstRowLastColumn="0" w:lastRowFirstColumn="0" w:lastRowLastColumn="0"/>
            <w:tcW w:w="3130" w:type="dxa"/>
          </w:tcPr>
          <w:p w14:paraId="3F0F3135" w14:textId="77777777" w:rsidR="00D1584C" w:rsidRPr="00484A4D" w:rsidRDefault="00D1584C" w:rsidP="005D762D">
            <w:pPr>
              <w:autoSpaceDE w:val="0"/>
              <w:autoSpaceDN w:val="0"/>
              <w:adjustRightInd w:val="0"/>
              <w:ind w:firstLine="0"/>
              <w:rPr>
                <w:rFonts w:ascii="Times New Roman" w:hAnsi="Times New Roman" w:cs="Times New Roman"/>
                <w:sz w:val="23"/>
                <w:szCs w:val="23"/>
              </w:rPr>
            </w:pPr>
            <w:r w:rsidRPr="00484A4D">
              <w:rPr>
                <w:rFonts w:ascii="Times New Roman" w:hAnsi="Times New Roman" w:cs="Times New Roman"/>
                <w:sz w:val="23"/>
                <w:szCs w:val="23"/>
              </w:rPr>
              <w:t>Other Support</w:t>
            </w:r>
          </w:p>
        </w:tc>
        <w:tc>
          <w:tcPr>
            <w:tcW w:w="6739" w:type="dxa"/>
            <w:gridSpan w:val="2"/>
          </w:tcPr>
          <w:p w14:paraId="44DF90E6" w14:textId="77777777" w:rsidR="00D1584C" w:rsidRPr="00E869A4" w:rsidRDefault="00D1584C" w:rsidP="009D4C5D">
            <w:pPr>
              <w:pStyle w:val="ListParagraph"/>
              <w:numPr>
                <w:ilvl w:val="0"/>
                <w:numId w:val="25"/>
              </w:numPr>
              <w:tabs>
                <w:tab w:val="left" w:pos="376"/>
              </w:tabs>
              <w:autoSpaceDE w:val="0"/>
              <w:autoSpaceDN w:val="0"/>
              <w:adjustRightInd w:val="0"/>
              <w:ind w:left="113"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Tim (Church pastor); transport</w:t>
            </w:r>
          </w:p>
          <w:p w14:paraId="4FC6AECE" w14:textId="77777777" w:rsidR="00D1584C" w:rsidRPr="00E869A4" w:rsidRDefault="00D1584C" w:rsidP="009D4C5D">
            <w:pPr>
              <w:pStyle w:val="ListParagraph"/>
              <w:numPr>
                <w:ilvl w:val="0"/>
                <w:numId w:val="25"/>
              </w:numPr>
              <w:tabs>
                <w:tab w:val="left" w:pos="376"/>
              </w:tabs>
              <w:ind w:left="113"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Naila (8 year old daughter of Onella); emotional support</w:t>
            </w:r>
          </w:p>
          <w:p w14:paraId="142CFA38" w14:textId="77777777" w:rsidR="00D1584C" w:rsidRPr="00E869A4" w:rsidRDefault="00D1584C" w:rsidP="009D4C5D">
            <w:pPr>
              <w:pStyle w:val="ListParagraph"/>
              <w:numPr>
                <w:ilvl w:val="0"/>
                <w:numId w:val="25"/>
              </w:numPr>
              <w:tabs>
                <w:tab w:val="left" w:pos="376"/>
              </w:tabs>
              <w:autoSpaceDE w:val="0"/>
              <w:autoSpaceDN w:val="0"/>
              <w:adjustRightInd w:val="0"/>
              <w:ind w:left="113"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Germaine (Onella’s sister; lodger)</w:t>
            </w:r>
          </w:p>
        </w:tc>
      </w:tr>
    </w:tbl>
    <w:p w14:paraId="23C05EDF" w14:textId="77777777" w:rsidR="00D1584C" w:rsidRPr="00E869A4" w:rsidRDefault="00D1584C" w:rsidP="00A35FF8">
      <w:pPr>
        <w:autoSpaceDE w:val="0"/>
        <w:autoSpaceDN w:val="0"/>
        <w:adjustRightInd w:val="0"/>
        <w:ind w:firstLine="720"/>
        <w:rPr>
          <w:rFonts w:ascii="Times New Roman" w:hAnsi="Times New Roman" w:cs="Times New Roman"/>
        </w:rPr>
      </w:pPr>
    </w:p>
    <w:p w14:paraId="3E5636C2" w14:textId="49AE3A66" w:rsidR="00D1584C" w:rsidRPr="00E869A4" w:rsidRDefault="00D1584C" w:rsidP="00A35FF8">
      <w:pPr>
        <w:autoSpaceDE w:val="0"/>
        <w:autoSpaceDN w:val="0"/>
        <w:adjustRightInd w:val="0"/>
        <w:ind w:firstLine="720"/>
        <w:rPr>
          <w:rFonts w:ascii="Times New Roman" w:hAnsi="Times New Roman" w:cs="Times New Roman"/>
        </w:rPr>
      </w:pPr>
      <w:r w:rsidRPr="00E869A4">
        <w:rPr>
          <w:rFonts w:ascii="Times New Roman" w:hAnsi="Times New Roman" w:cs="Times New Roman"/>
        </w:rPr>
        <w:t xml:space="preserve">At one hundred and four (104) years of age, Ms. Violet was the oldest participant in this study. She was not diagnosed with any particular illness, but she was physically weak which contributed to her being incontinent and unable to move about without assistance. Given this, she was severely dependent and needed round-the-clock care. She had two daughters (Marian and Avalon) but only Marian was alive at the time of the study. Avalon was initially her primary caregiver and had lived with Ms. Violet all her life. She never married nor had children of her own. She died from cancer about four (4) years before the interview. But before she passed away, Marian and her sons arranged for Avalon to receive palliative care in the USA. They did this in order to ensure that she received good quality care and had minimal pain during her final months. Marian became Avalon’s main family caregiver. To facilitate her migration to the USA, Marian arranged for an informal caregiver (Onella) to stay with Ms. Violet during the time they were abroad. </w:t>
      </w:r>
      <w:r w:rsidR="00385EEC" w:rsidRPr="00E869A4">
        <w:rPr>
          <w:rFonts w:ascii="Times New Roman" w:hAnsi="Times New Roman" w:cs="Times New Roman"/>
        </w:rPr>
        <w:t>A mutual friend referred Onella to Marian.</w:t>
      </w:r>
      <w:r w:rsidRPr="00E869A4">
        <w:rPr>
          <w:rFonts w:ascii="Times New Roman" w:hAnsi="Times New Roman" w:cs="Times New Roman"/>
        </w:rPr>
        <w:t xml:space="preserve"> </w:t>
      </w:r>
      <w:r w:rsidR="00385EEC" w:rsidRPr="00E869A4">
        <w:rPr>
          <w:rFonts w:ascii="Times New Roman" w:hAnsi="Times New Roman" w:cs="Times New Roman"/>
        </w:rPr>
        <w:t>S</w:t>
      </w:r>
      <w:r w:rsidRPr="00E869A4">
        <w:rPr>
          <w:rFonts w:ascii="Times New Roman" w:hAnsi="Times New Roman" w:cs="Times New Roman"/>
        </w:rPr>
        <w:t xml:space="preserve">he migrated from Guyana and began caring for another older person in Trinidad before caring for Ms. Violet. Onella did not have official permission to work in Trinidad, so Marian with the assistance of the Division of </w:t>
      </w:r>
      <w:r w:rsidR="00DD683D" w:rsidRPr="00E869A4">
        <w:rPr>
          <w:rFonts w:ascii="Times New Roman" w:hAnsi="Times New Roman" w:cs="Times New Roman"/>
        </w:rPr>
        <w:t>Ageing</w:t>
      </w:r>
      <w:r w:rsidRPr="00E869A4">
        <w:rPr>
          <w:rFonts w:ascii="Times New Roman" w:hAnsi="Times New Roman" w:cs="Times New Roman"/>
        </w:rPr>
        <w:t xml:space="preserve">, obtained a Minister’s permit through the Immigration Division so that Onella could care for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This permit gave Onella permission to care, and to receive room and board from the family who sponsored her, but, she was not entitled to a wage. Marian however still give her a monthly cash gift for the help that she provided, which was over the minimum wage rate in T&amp;T. </w:t>
      </w:r>
    </w:p>
    <w:p w14:paraId="0C7F7EEE" w14:textId="77777777" w:rsidR="00D1584C" w:rsidRPr="00E869A4" w:rsidRDefault="00D1584C" w:rsidP="00A35FF8">
      <w:pPr>
        <w:autoSpaceDE w:val="0"/>
        <w:autoSpaceDN w:val="0"/>
        <w:adjustRightInd w:val="0"/>
        <w:rPr>
          <w:rFonts w:ascii="Times New Roman" w:hAnsi="Times New Roman" w:cs="Times New Roman"/>
        </w:rPr>
      </w:pPr>
    </w:p>
    <w:p w14:paraId="102D985D" w14:textId="6147CFEA" w:rsidR="00D1584C" w:rsidRPr="00E869A4" w:rsidRDefault="00D1584C" w:rsidP="00A35FF8">
      <w:pPr>
        <w:autoSpaceDE w:val="0"/>
        <w:autoSpaceDN w:val="0"/>
        <w:adjustRightInd w:val="0"/>
        <w:ind w:firstLine="720"/>
        <w:rPr>
          <w:rFonts w:ascii="Times New Roman" w:hAnsi="Times New Roman" w:cs="Times New Roman"/>
        </w:rPr>
      </w:pPr>
      <w:r w:rsidRPr="00E869A4">
        <w:rPr>
          <w:rFonts w:ascii="Times New Roman" w:hAnsi="Times New Roman" w:cs="Times New Roman"/>
        </w:rPr>
        <w:t xml:space="preserve">After Avalon passed away, Marian became Ms. Violet’s primary caregiver. Marian, who lived in the USA for most of her adult life, had to return to Trinidad to care for her mother. Although Ms. Violet </w:t>
      </w:r>
      <w:r w:rsidRPr="00E869A4">
        <w:rPr>
          <w:rFonts w:ascii="Times New Roman" w:hAnsi="Times New Roman" w:cs="Times New Roman"/>
        </w:rPr>
        <w:lastRenderedPageBreak/>
        <w:t xml:space="preserve">wanted Marian to return to Trinidad to help care for her, she was not always trusting or complimentary of Marian’s support. According to Marian, her mother was at times insensitive to her and the paid caregivers. Despite this, Ms. Violet appeared to be better able to cope emotionally with her circumstances when Marian was physically present at her home in Trinidad. But, even though Marian was present, Ms. Violet struggled from bouts of depression. She found it difficult to maintain a desire to continue living, especially since most of the people she knew had already died. Marian tried to ensure that her mother was able to engage in some social activities which made her life meaningful. This included taking her mother to church on Sunday, which Marian did despite their differences in religious beliefs. Marian was not always happy with the way that the services were conducted at her mother’s church, but she took her mother there since Ms. Violet looked forward to this. Ms. Violet was one of the founding members of the church. The pastor provided transport and a female member of the church who Marian considered a friend assisted them whilst there. On occasion, Marian was able to take her mother on outings in town which helped to quell the depression that Ms. Violet displayed. The Pastor also helped with transport on these trips. </w:t>
      </w:r>
    </w:p>
    <w:p w14:paraId="403AF1BD" w14:textId="77777777" w:rsidR="00D1584C" w:rsidRPr="00E869A4" w:rsidRDefault="00D1584C" w:rsidP="00A35FF8">
      <w:pPr>
        <w:autoSpaceDE w:val="0"/>
        <w:autoSpaceDN w:val="0"/>
        <w:adjustRightInd w:val="0"/>
        <w:rPr>
          <w:rFonts w:ascii="Times New Roman" w:hAnsi="Times New Roman" w:cs="Times New Roman"/>
        </w:rPr>
      </w:pPr>
      <w:r w:rsidRPr="00E869A4">
        <w:rPr>
          <w:rFonts w:ascii="Times New Roman" w:hAnsi="Times New Roman" w:cs="Times New Roman"/>
        </w:rPr>
        <w:t xml:space="preserve"> </w:t>
      </w:r>
    </w:p>
    <w:p w14:paraId="3058C437" w14:textId="321E4F9B" w:rsidR="00D1584C" w:rsidRPr="00E869A4" w:rsidRDefault="00D1584C" w:rsidP="00A35FF8">
      <w:pPr>
        <w:autoSpaceDE w:val="0"/>
        <w:autoSpaceDN w:val="0"/>
        <w:adjustRightInd w:val="0"/>
        <w:ind w:firstLine="720"/>
        <w:rPr>
          <w:rFonts w:ascii="Times New Roman" w:hAnsi="Times New Roman" w:cs="Times New Roman"/>
        </w:rPr>
      </w:pPr>
      <w:r w:rsidRPr="00E869A4">
        <w:rPr>
          <w:rFonts w:ascii="Times New Roman" w:hAnsi="Times New Roman" w:cs="Times New Roman"/>
        </w:rPr>
        <w:t xml:space="preserve">Ms. Violet spent most of her day watching her favourite religious programmes on the television. The only other programmes she watched were cartoons with Naila, the 8 year old daughter of Onella. Onella was one of her paid informal caregivers. Marian was very close to Naila. She cared for her since she was a few months old and did her best to protect her from Onella. Onella wanted to abort Naila before she was born but Marian discouraged her from doing so. When Naila was just a toddler, Marian had to intervene to stop Onella from being physically abusive to her. Marian was very concerned that Onella would abuse Naila if she wasn’t around to protect her. Given these events and the attachment she and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 had to Naila, Marian found it difficult to leave the child in Onella’s care. She encouraged Onella’s younger sister (Germaine). Marian had allowed Germaine to live in the house for a minimal fee of $400 TTD a month (i.e. </w:t>
      </w:r>
      <w:r w:rsidR="008E4DF9" w:rsidRPr="00E869A4">
        <w:rPr>
          <w:rStyle w:val="CommentReference"/>
          <w:rFonts w:ascii="Times New Roman" w:hAnsi="Times New Roman" w:cs="Times New Roman"/>
          <w:sz w:val="24"/>
        </w:rPr>
        <w:t>£</w:t>
      </w:r>
      <w:r w:rsidR="008E4DF9" w:rsidRPr="00E869A4">
        <w:rPr>
          <w:rFonts w:ascii="Times New Roman" w:hAnsi="Times New Roman" w:cs="Times New Roman"/>
        </w:rPr>
        <w:t>40</w:t>
      </w:r>
      <w:r w:rsidRPr="00E869A4">
        <w:rPr>
          <w:rFonts w:ascii="Times New Roman" w:hAnsi="Times New Roman" w:cs="Times New Roman"/>
        </w:rPr>
        <w:t>) when Germaine came to Trinidad to complete her studies as a law student. At times, Germaine would voluntarily help provide care support and do a bit of housekeeping. Marian felt that Germaine acted more responsibly than Onella, and was confident that she would be a positive influence on Naila. But, at the time of the interview, Germaine had not committed to take greater care of her niece. Marian also encouraged Naila’s father (Tony) to be more involved in his daughter’s care. But he too did not commit to doing so</w:t>
      </w:r>
      <w:r w:rsidRPr="00E869A4">
        <w:rPr>
          <w:rStyle w:val="FootnoteReference"/>
          <w:rFonts w:ascii="Times New Roman" w:hAnsi="Times New Roman" w:cs="Times New Roman"/>
        </w:rPr>
        <w:footnoteReference w:id="163"/>
      </w:r>
      <w:r w:rsidRPr="00E869A4">
        <w:rPr>
          <w:rFonts w:ascii="Times New Roman" w:hAnsi="Times New Roman" w:cs="Times New Roman"/>
        </w:rPr>
        <w:t xml:space="preserve">. </w:t>
      </w:r>
    </w:p>
    <w:p w14:paraId="586C42AD" w14:textId="77777777" w:rsidR="00D1584C" w:rsidRPr="00E869A4" w:rsidRDefault="00D1584C" w:rsidP="00A35FF8">
      <w:pPr>
        <w:autoSpaceDE w:val="0"/>
        <w:autoSpaceDN w:val="0"/>
        <w:adjustRightInd w:val="0"/>
        <w:rPr>
          <w:rFonts w:ascii="Times New Roman" w:hAnsi="Times New Roman" w:cs="Times New Roman"/>
        </w:rPr>
      </w:pPr>
    </w:p>
    <w:p w14:paraId="6F3E8DF6" w14:textId="2FE2D3BE" w:rsidR="00D1584C" w:rsidRPr="00E869A4" w:rsidRDefault="00D1584C" w:rsidP="00A35FF8">
      <w:pPr>
        <w:autoSpaceDE w:val="0"/>
        <w:autoSpaceDN w:val="0"/>
        <w:adjustRightInd w:val="0"/>
        <w:ind w:firstLine="720"/>
        <w:rPr>
          <w:rFonts w:ascii="Times New Roman" w:hAnsi="Times New Roman" w:cs="Times New Roman"/>
        </w:rPr>
      </w:pPr>
      <w:r w:rsidRPr="00E869A4">
        <w:rPr>
          <w:rFonts w:ascii="Times New Roman" w:hAnsi="Times New Roman" w:cs="Times New Roman"/>
        </w:rPr>
        <w:lastRenderedPageBreak/>
        <w:t xml:space="preserve">Marian was very dissatisfied with Onella’s poor work ethic. At first, she thought that Onella did a great job caring for her </w:t>
      </w:r>
      <w:r w:rsidR="002C4D52" w:rsidRPr="00E869A4">
        <w:rPr>
          <w:rFonts w:ascii="Times New Roman" w:eastAsia="Times New Roman" w:hAnsi="Times New Roman" w:cs="Times New Roman"/>
        </w:rPr>
        <w:t>mother</w:t>
      </w:r>
      <w:r w:rsidRPr="00E869A4">
        <w:rPr>
          <w:rFonts w:ascii="Times New Roman" w:hAnsi="Times New Roman" w:cs="Times New Roman"/>
        </w:rPr>
        <w:t>. But the situation eventually deteriorated and she could no longer depend on Onella to do her job properly. Furthermore, Onella was clearly in breach of the immigration restrictions on her stay in Trinidad. She did paid housework for another person, and also worked part time as a cashier in a supermarket. She also stopped doing her full quota of work on the days that she worked with Ms. Violet. Marian was also concerned that Onella might financially abuse Ms. Violet in her absence. She observed that Ms. Violet had gifted Onella with jewellery and other material goods. On one occasion, Marian intervened.</w:t>
      </w:r>
      <w:r w:rsidR="00363150" w:rsidRPr="00E869A4">
        <w:rPr>
          <w:rFonts w:ascii="Times New Roman" w:hAnsi="Times New Roman" w:cs="Times New Roman"/>
        </w:rPr>
        <w:t xml:space="preserve"> </w:t>
      </w:r>
      <w:r w:rsidRPr="00E869A4">
        <w:rPr>
          <w:rFonts w:ascii="Times New Roman" w:hAnsi="Times New Roman" w:cs="Times New Roman"/>
        </w:rPr>
        <w:t xml:space="preserve">Given this situation, Marian was considering other care options for her mother. The situation was urgent as she needed to return to the USA to receive medical attention for herself. When the interviews ended, Marian was still trying to decide what to do about her </w:t>
      </w:r>
      <w:r w:rsidR="002C4D52" w:rsidRPr="00E869A4">
        <w:rPr>
          <w:rFonts w:ascii="Times New Roman" w:eastAsia="Times New Roman" w:hAnsi="Times New Roman" w:cs="Times New Roman"/>
        </w:rPr>
        <w:t>mother</w:t>
      </w:r>
      <w:r w:rsidRPr="00E869A4">
        <w:rPr>
          <w:rFonts w:ascii="Times New Roman" w:hAnsi="Times New Roman" w:cs="Times New Roman"/>
        </w:rPr>
        <w:t xml:space="preserve">’s care. But her religious faith helped her to be confident that the matter would be resolved. </w:t>
      </w:r>
    </w:p>
    <w:p w14:paraId="2BE1F30C" w14:textId="77777777" w:rsidR="00615F84" w:rsidRPr="00E869A4" w:rsidRDefault="00615F84" w:rsidP="00A35FF8">
      <w:pPr>
        <w:autoSpaceDE w:val="0"/>
        <w:autoSpaceDN w:val="0"/>
        <w:adjustRightInd w:val="0"/>
        <w:ind w:firstLine="720"/>
        <w:rPr>
          <w:rFonts w:ascii="Times New Roman" w:eastAsiaTheme="majorEastAsia" w:hAnsi="Times New Roman" w:cs="Times New Roman"/>
          <w:b/>
          <w:bCs/>
          <w:sz w:val="28"/>
          <w:szCs w:val="28"/>
        </w:rPr>
      </w:pPr>
    </w:p>
    <w:p w14:paraId="4DD91020" w14:textId="77777777" w:rsidR="00D1584C" w:rsidRPr="00E869A4" w:rsidRDefault="00D1584C" w:rsidP="009D4C5D">
      <w:pPr>
        <w:pStyle w:val="ListParagraph"/>
        <w:numPr>
          <w:ilvl w:val="0"/>
          <w:numId w:val="74"/>
        </w:numPr>
        <w:contextualSpacing w:val="0"/>
        <w:rPr>
          <w:b/>
        </w:rPr>
      </w:pPr>
      <w:bookmarkStart w:id="514" w:name="_Toc507665581"/>
      <w:bookmarkStart w:id="515" w:name="_Toc507909153"/>
      <w:r w:rsidRPr="00E869A4">
        <w:rPr>
          <w:b/>
        </w:rPr>
        <w:t>PROFESSOR BRENDA (Transnational Secondary Caregiver)</w:t>
      </w:r>
      <w:bookmarkEnd w:id="514"/>
      <w:bookmarkEnd w:id="515"/>
    </w:p>
    <w:p w14:paraId="1B4C7BE9" w14:textId="77777777" w:rsidR="00D1584C" w:rsidRPr="00E869A4" w:rsidRDefault="00D1584C" w:rsidP="00A35FF8">
      <w:pPr>
        <w:autoSpaceDE w:val="0"/>
        <w:autoSpaceDN w:val="0"/>
        <w:adjustRightInd w:val="0"/>
        <w:rPr>
          <w:rFonts w:ascii="Times New Roman" w:hAnsi="Times New Roman" w:cs="Times New Roman"/>
          <w:b/>
        </w:rPr>
      </w:pPr>
    </w:p>
    <w:tbl>
      <w:tblPr>
        <w:tblStyle w:val="MediumShading2-Accent11"/>
        <w:tblW w:w="9207"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5059"/>
      </w:tblGrid>
      <w:tr w:rsidR="00C714D3" w:rsidRPr="00E869A4" w14:paraId="1B28705D" w14:textId="77777777" w:rsidTr="0046391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148" w:type="dxa"/>
          </w:tcPr>
          <w:p w14:paraId="603A5CC7" w14:textId="77777777" w:rsidR="00D1584C" w:rsidRPr="00484A4D" w:rsidRDefault="00D1584C" w:rsidP="00484A4D">
            <w:pPr>
              <w:autoSpaceDE w:val="0"/>
              <w:autoSpaceDN w:val="0"/>
              <w:adjustRightInd w:val="0"/>
              <w:ind w:left="219" w:firstLine="0"/>
              <w:jc w:val="center"/>
              <w:rPr>
                <w:rFonts w:ascii="Times New Roman" w:hAnsi="Times New Roman" w:cs="Times New Roman"/>
                <w:caps/>
                <w:sz w:val="23"/>
                <w:szCs w:val="23"/>
              </w:rPr>
            </w:pPr>
            <w:r w:rsidRPr="00484A4D">
              <w:rPr>
                <w:rFonts w:ascii="Times New Roman" w:hAnsi="Times New Roman" w:cs="Times New Roman"/>
                <w:caps/>
                <w:sz w:val="23"/>
                <w:szCs w:val="23"/>
              </w:rPr>
              <w:t>Participant Category</w:t>
            </w:r>
          </w:p>
        </w:tc>
        <w:tc>
          <w:tcPr>
            <w:tcW w:w="5059" w:type="dxa"/>
          </w:tcPr>
          <w:p w14:paraId="3A0634E8" w14:textId="77777777" w:rsidR="00D1584C" w:rsidRPr="00484A4D" w:rsidRDefault="00D1584C" w:rsidP="00484A4D">
            <w:pPr>
              <w:autoSpaceDE w:val="0"/>
              <w:autoSpaceDN w:val="0"/>
              <w:adjustRightInd w:val="0"/>
              <w:ind w:left="219"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84A4D">
              <w:rPr>
                <w:rFonts w:ascii="Times New Roman" w:hAnsi="Times New Roman" w:cs="Times New Roman"/>
                <w:sz w:val="23"/>
                <w:szCs w:val="23"/>
              </w:rPr>
              <w:t>CAREGIVER (CG)</w:t>
            </w:r>
          </w:p>
        </w:tc>
      </w:tr>
      <w:tr w:rsidR="00C714D3" w:rsidRPr="00E869A4" w14:paraId="2986BE27" w14:textId="77777777" w:rsidTr="00463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Pr>
          <w:p w14:paraId="796B6F95"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 xml:space="preserve">Name </w:t>
            </w:r>
          </w:p>
        </w:tc>
        <w:tc>
          <w:tcPr>
            <w:tcW w:w="5059" w:type="dxa"/>
          </w:tcPr>
          <w:p w14:paraId="29A49221" w14:textId="77777777" w:rsidR="00D1584C" w:rsidRPr="00E869A4" w:rsidRDefault="00D1584C" w:rsidP="0046391A">
            <w:pPr>
              <w:autoSpaceDE w:val="0"/>
              <w:autoSpaceDN w:val="0"/>
              <w:adjustRightInd w:val="0"/>
              <w:ind w:left="21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Brenda Felix</w:t>
            </w:r>
          </w:p>
        </w:tc>
      </w:tr>
      <w:tr w:rsidR="00C714D3" w:rsidRPr="00E869A4" w14:paraId="186608AB" w14:textId="77777777" w:rsidTr="0046391A">
        <w:trPr>
          <w:jc w:val="center"/>
        </w:trPr>
        <w:tc>
          <w:tcPr>
            <w:cnfStyle w:val="001000000000" w:firstRow="0" w:lastRow="0" w:firstColumn="1" w:lastColumn="0" w:oddVBand="0" w:evenVBand="0" w:oddHBand="0" w:evenHBand="0" w:firstRowFirstColumn="0" w:firstRowLastColumn="0" w:lastRowFirstColumn="0" w:lastRowLastColumn="0"/>
            <w:tcW w:w="4148" w:type="dxa"/>
          </w:tcPr>
          <w:p w14:paraId="3139A08E"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CG Age</w:t>
            </w:r>
          </w:p>
        </w:tc>
        <w:tc>
          <w:tcPr>
            <w:tcW w:w="5059" w:type="dxa"/>
          </w:tcPr>
          <w:p w14:paraId="0AD13EE2" w14:textId="77777777" w:rsidR="00D1584C" w:rsidRPr="00E869A4" w:rsidRDefault="00D1584C" w:rsidP="0046391A">
            <w:pPr>
              <w:autoSpaceDE w:val="0"/>
              <w:autoSpaceDN w:val="0"/>
              <w:adjustRightInd w:val="0"/>
              <w:ind w:left="21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50-59</w:t>
            </w:r>
          </w:p>
        </w:tc>
      </w:tr>
      <w:tr w:rsidR="00C714D3" w:rsidRPr="00E869A4" w14:paraId="6140F923" w14:textId="77777777" w:rsidTr="00463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Pr>
          <w:p w14:paraId="1D67542D"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Gender</w:t>
            </w:r>
          </w:p>
        </w:tc>
        <w:tc>
          <w:tcPr>
            <w:tcW w:w="5059" w:type="dxa"/>
          </w:tcPr>
          <w:p w14:paraId="201503D6" w14:textId="77777777" w:rsidR="00D1584C" w:rsidRPr="00E869A4" w:rsidRDefault="00D1584C" w:rsidP="0046391A">
            <w:pPr>
              <w:autoSpaceDE w:val="0"/>
              <w:autoSpaceDN w:val="0"/>
              <w:adjustRightInd w:val="0"/>
              <w:ind w:left="21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Female</w:t>
            </w:r>
          </w:p>
        </w:tc>
      </w:tr>
      <w:tr w:rsidR="00C714D3" w:rsidRPr="00E869A4" w14:paraId="03B636F7" w14:textId="77777777" w:rsidTr="0046391A">
        <w:trPr>
          <w:jc w:val="center"/>
        </w:trPr>
        <w:tc>
          <w:tcPr>
            <w:cnfStyle w:val="001000000000" w:firstRow="0" w:lastRow="0" w:firstColumn="1" w:lastColumn="0" w:oddVBand="0" w:evenVBand="0" w:oddHBand="0" w:evenHBand="0" w:firstRowFirstColumn="0" w:firstRowLastColumn="0" w:lastRowFirstColumn="0" w:lastRowLastColumn="0"/>
            <w:tcW w:w="4148" w:type="dxa"/>
          </w:tcPr>
          <w:p w14:paraId="14A2B019"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Ethnicity</w:t>
            </w:r>
          </w:p>
        </w:tc>
        <w:tc>
          <w:tcPr>
            <w:tcW w:w="5059" w:type="dxa"/>
          </w:tcPr>
          <w:p w14:paraId="404A76A4" w14:textId="77777777" w:rsidR="00D1584C" w:rsidRPr="00E869A4" w:rsidRDefault="00D1584C" w:rsidP="0046391A">
            <w:pPr>
              <w:autoSpaceDE w:val="0"/>
              <w:autoSpaceDN w:val="0"/>
              <w:adjustRightInd w:val="0"/>
              <w:ind w:left="21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African Trinidadian</w:t>
            </w:r>
          </w:p>
        </w:tc>
      </w:tr>
      <w:tr w:rsidR="00C714D3" w:rsidRPr="00E869A4" w14:paraId="7C77C555" w14:textId="77777777" w:rsidTr="00463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Pr>
          <w:p w14:paraId="00675CDA"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Education</w:t>
            </w:r>
          </w:p>
        </w:tc>
        <w:tc>
          <w:tcPr>
            <w:tcW w:w="5059" w:type="dxa"/>
          </w:tcPr>
          <w:p w14:paraId="1861D6BD" w14:textId="77777777" w:rsidR="00D1584C" w:rsidRPr="00E869A4" w:rsidRDefault="00D1584C" w:rsidP="0046391A">
            <w:pPr>
              <w:autoSpaceDE w:val="0"/>
              <w:autoSpaceDN w:val="0"/>
              <w:adjustRightInd w:val="0"/>
              <w:ind w:left="21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College</w:t>
            </w:r>
          </w:p>
        </w:tc>
      </w:tr>
      <w:tr w:rsidR="00C714D3" w:rsidRPr="00E869A4" w14:paraId="709ED3E6" w14:textId="77777777" w:rsidTr="0046391A">
        <w:trPr>
          <w:jc w:val="center"/>
        </w:trPr>
        <w:tc>
          <w:tcPr>
            <w:cnfStyle w:val="001000000000" w:firstRow="0" w:lastRow="0" w:firstColumn="1" w:lastColumn="0" w:oddVBand="0" w:evenVBand="0" w:oddHBand="0" w:evenHBand="0" w:firstRowFirstColumn="0" w:firstRowLastColumn="0" w:lastRowFirstColumn="0" w:lastRowLastColumn="0"/>
            <w:tcW w:w="4148" w:type="dxa"/>
          </w:tcPr>
          <w:p w14:paraId="19DA50B0"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Employment History / Status</w:t>
            </w:r>
          </w:p>
        </w:tc>
        <w:tc>
          <w:tcPr>
            <w:tcW w:w="5059" w:type="dxa"/>
          </w:tcPr>
          <w:p w14:paraId="675630E6" w14:textId="77777777" w:rsidR="00D1584C" w:rsidRPr="00E869A4" w:rsidRDefault="00D1584C" w:rsidP="0046391A">
            <w:pPr>
              <w:autoSpaceDE w:val="0"/>
              <w:autoSpaceDN w:val="0"/>
              <w:adjustRightInd w:val="0"/>
              <w:ind w:left="21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University professor </w:t>
            </w:r>
          </w:p>
        </w:tc>
      </w:tr>
      <w:tr w:rsidR="00C714D3" w:rsidRPr="00E869A4" w14:paraId="61412C86" w14:textId="77777777" w:rsidTr="00463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Pr>
          <w:p w14:paraId="1834116C"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Marital Status</w:t>
            </w:r>
          </w:p>
        </w:tc>
        <w:tc>
          <w:tcPr>
            <w:tcW w:w="5059" w:type="dxa"/>
          </w:tcPr>
          <w:p w14:paraId="208D213F" w14:textId="77777777" w:rsidR="00D1584C" w:rsidRPr="00E869A4" w:rsidRDefault="00D1584C" w:rsidP="0046391A">
            <w:pPr>
              <w:autoSpaceDE w:val="0"/>
              <w:autoSpaceDN w:val="0"/>
              <w:adjustRightInd w:val="0"/>
              <w:ind w:left="21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Single</w:t>
            </w:r>
          </w:p>
        </w:tc>
      </w:tr>
      <w:tr w:rsidR="00C714D3" w:rsidRPr="00E869A4" w14:paraId="28E3152A" w14:textId="77777777" w:rsidTr="0046391A">
        <w:trPr>
          <w:jc w:val="center"/>
        </w:trPr>
        <w:tc>
          <w:tcPr>
            <w:cnfStyle w:val="001000000000" w:firstRow="0" w:lastRow="0" w:firstColumn="1" w:lastColumn="0" w:oddVBand="0" w:evenVBand="0" w:oddHBand="0" w:evenHBand="0" w:firstRowFirstColumn="0" w:firstRowLastColumn="0" w:lastRowFirstColumn="0" w:lastRowLastColumn="0"/>
            <w:tcW w:w="4148" w:type="dxa"/>
          </w:tcPr>
          <w:p w14:paraId="1C560B31"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Care Recipients</w:t>
            </w:r>
          </w:p>
          <w:p w14:paraId="2BF8099B"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Relationship: Name: Age Range</w:t>
            </w:r>
          </w:p>
        </w:tc>
        <w:tc>
          <w:tcPr>
            <w:tcW w:w="5059" w:type="dxa"/>
          </w:tcPr>
          <w:p w14:paraId="659538A0" w14:textId="77777777" w:rsidR="00D1584C" w:rsidRPr="00E869A4" w:rsidRDefault="00D1584C" w:rsidP="0046391A">
            <w:pPr>
              <w:autoSpaceDE w:val="0"/>
              <w:autoSpaceDN w:val="0"/>
              <w:adjustRightInd w:val="0"/>
              <w:ind w:left="21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Mother: Ms. June: </w:t>
            </w:r>
          </w:p>
          <w:p w14:paraId="28AA509B" w14:textId="77777777" w:rsidR="00D1584C" w:rsidRPr="00E869A4" w:rsidRDefault="00D1584C" w:rsidP="0046391A">
            <w:pPr>
              <w:autoSpaceDE w:val="0"/>
              <w:autoSpaceDN w:val="0"/>
              <w:adjustRightInd w:val="0"/>
              <w:ind w:left="21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Step mother: Ms. Rose: </w:t>
            </w:r>
          </w:p>
        </w:tc>
      </w:tr>
      <w:tr w:rsidR="00C714D3" w:rsidRPr="00E869A4" w14:paraId="5F67D9EC" w14:textId="77777777" w:rsidTr="00463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Pr>
          <w:p w14:paraId="2AAFB158"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 xml:space="preserve">Health Challenges </w:t>
            </w:r>
          </w:p>
        </w:tc>
        <w:tc>
          <w:tcPr>
            <w:tcW w:w="5059" w:type="dxa"/>
          </w:tcPr>
          <w:p w14:paraId="31334294" w14:textId="77777777" w:rsidR="00D1584C" w:rsidRPr="00E869A4" w:rsidRDefault="00D1584C" w:rsidP="0046391A">
            <w:pPr>
              <w:autoSpaceDE w:val="0"/>
              <w:autoSpaceDN w:val="0"/>
              <w:adjustRightInd w:val="0"/>
              <w:ind w:left="21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Ms. June: Bed sore</w:t>
            </w:r>
          </w:p>
          <w:p w14:paraId="168DF7CB" w14:textId="77777777" w:rsidR="00D1584C" w:rsidRPr="00E869A4" w:rsidRDefault="00D1584C" w:rsidP="0046391A">
            <w:pPr>
              <w:autoSpaceDE w:val="0"/>
              <w:autoSpaceDN w:val="0"/>
              <w:adjustRightInd w:val="0"/>
              <w:ind w:left="21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Ms. Rose: Diabetes; kidney disease; mobility;  incontinence </w:t>
            </w:r>
          </w:p>
        </w:tc>
      </w:tr>
      <w:tr w:rsidR="00C714D3" w:rsidRPr="00E869A4" w14:paraId="6E0708C1" w14:textId="77777777" w:rsidTr="0046391A">
        <w:trPr>
          <w:jc w:val="center"/>
        </w:trPr>
        <w:tc>
          <w:tcPr>
            <w:cnfStyle w:val="001000000000" w:firstRow="0" w:lastRow="0" w:firstColumn="1" w:lastColumn="0" w:oddVBand="0" w:evenVBand="0" w:oddHBand="0" w:evenHBand="0" w:firstRowFirstColumn="0" w:firstRowLastColumn="0" w:lastRowFirstColumn="0" w:lastRowLastColumn="0"/>
            <w:tcW w:w="4148" w:type="dxa"/>
          </w:tcPr>
          <w:p w14:paraId="2E200EE6"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Care Provided</w:t>
            </w:r>
          </w:p>
        </w:tc>
        <w:tc>
          <w:tcPr>
            <w:tcW w:w="5059" w:type="dxa"/>
          </w:tcPr>
          <w:p w14:paraId="1EE85111" w14:textId="77777777" w:rsidR="00D1584C" w:rsidRPr="00E869A4" w:rsidRDefault="00D1584C" w:rsidP="0046391A">
            <w:pPr>
              <w:autoSpaceDE w:val="0"/>
              <w:autoSpaceDN w:val="0"/>
              <w:adjustRightInd w:val="0"/>
              <w:ind w:left="21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Supervisory care</w:t>
            </w:r>
          </w:p>
          <w:p w14:paraId="517AC5E7" w14:textId="77777777" w:rsidR="00D1584C" w:rsidRPr="00E869A4" w:rsidRDefault="00D1584C" w:rsidP="0046391A">
            <w:pPr>
              <w:autoSpaceDE w:val="0"/>
              <w:autoSpaceDN w:val="0"/>
              <w:adjustRightInd w:val="0"/>
              <w:ind w:left="21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Reconstructive care</w:t>
            </w:r>
          </w:p>
        </w:tc>
      </w:tr>
      <w:tr w:rsidR="00C714D3" w:rsidRPr="00E869A4" w14:paraId="4B13B721" w14:textId="77777777" w:rsidTr="00463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Pr>
          <w:p w14:paraId="1EE7CC27"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Location in T&amp;T</w:t>
            </w:r>
            <w:r w:rsidRPr="00484A4D">
              <w:rPr>
                <w:rStyle w:val="FootnoteReference"/>
                <w:rFonts w:ascii="Times New Roman" w:hAnsi="Times New Roman" w:cs="Times New Roman"/>
                <w:sz w:val="23"/>
                <w:szCs w:val="23"/>
              </w:rPr>
              <w:footnoteReference w:id="164"/>
            </w:r>
          </w:p>
        </w:tc>
        <w:tc>
          <w:tcPr>
            <w:tcW w:w="5059" w:type="dxa"/>
          </w:tcPr>
          <w:p w14:paraId="3D8FA758" w14:textId="77777777" w:rsidR="00D1584C" w:rsidRPr="00E869A4" w:rsidRDefault="00D1584C" w:rsidP="0046391A">
            <w:pPr>
              <w:autoSpaceDE w:val="0"/>
              <w:autoSpaceDN w:val="0"/>
              <w:adjustRightInd w:val="0"/>
              <w:ind w:left="219"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C714D3" w:rsidRPr="00E869A4" w14:paraId="53AC31EE" w14:textId="77777777" w:rsidTr="0046391A">
        <w:trPr>
          <w:jc w:val="center"/>
        </w:trPr>
        <w:tc>
          <w:tcPr>
            <w:cnfStyle w:val="001000000000" w:firstRow="0" w:lastRow="0" w:firstColumn="1" w:lastColumn="0" w:oddVBand="0" w:evenVBand="0" w:oddHBand="0" w:evenHBand="0" w:firstRowFirstColumn="0" w:firstRowLastColumn="0" w:lastRowFirstColumn="0" w:lastRowLastColumn="0"/>
            <w:tcW w:w="4148" w:type="dxa"/>
          </w:tcPr>
          <w:p w14:paraId="4E6556DD"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Location of CR relative to CG</w:t>
            </w:r>
          </w:p>
        </w:tc>
        <w:tc>
          <w:tcPr>
            <w:tcW w:w="5059" w:type="dxa"/>
          </w:tcPr>
          <w:p w14:paraId="20C22904" w14:textId="77777777" w:rsidR="00D1584C" w:rsidRPr="00E869A4" w:rsidRDefault="00D1584C" w:rsidP="0046391A">
            <w:pPr>
              <w:ind w:left="219"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 xml:space="preserve">Different countries. Prof. Brenda was based in the USA and only visited Trinidad on occasion. </w:t>
            </w:r>
          </w:p>
        </w:tc>
      </w:tr>
      <w:tr w:rsidR="00C714D3" w:rsidRPr="00E869A4" w14:paraId="6F78B7ED" w14:textId="77777777" w:rsidTr="004639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8" w:type="dxa"/>
          </w:tcPr>
          <w:p w14:paraId="10044923"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t>Secondary Caregivers</w:t>
            </w:r>
          </w:p>
        </w:tc>
        <w:tc>
          <w:tcPr>
            <w:tcW w:w="5059" w:type="dxa"/>
          </w:tcPr>
          <w:p w14:paraId="4EB6253F" w14:textId="36C4F553" w:rsidR="00D1584C" w:rsidRPr="00E869A4" w:rsidRDefault="00D1584C" w:rsidP="009D4C5D">
            <w:pPr>
              <w:pStyle w:val="ListParagraph"/>
              <w:numPr>
                <w:ilvl w:val="0"/>
                <w:numId w:val="66"/>
              </w:numPr>
              <w:ind w:left="607"/>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For Ms. June (Mother)</w:t>
            </w:r>
            <w:r w:rsidR="0046391A" w:rsidRPr="00E869A4">
              <w:rPr>
                <w:rFonts w:ascii="Times New Roman" w:hAnsi="Times New Roman" w:cs="Times New Roman"/>
                <w:sz w:val="23"/>
                <w:szCs w:val="23"/>
              </w:rPr>
              <w:t xml:space="preserve">: </w:t>
            </w:r>
            <w:r w:rsidRPr="00E869A4">
              <w:rPr>
                <w:rFonts w:ascii="Times New Roman" w:hAnsi="Times New Roman" w:cs="Times New Roman"/>
                <w:sz w:val="23"/>
                <w:szCs w:val="23"/>
              </w:rPr>
              <w:t>Son-in-law (Judas)</w:t>
            </w:r>
          </w:p>
          <w:p w14:paraId="4D830C6C" w14:textId="77777777" w:rsidR="0046391A" w:rsidRPr="00E869A4" w:rsidRDefault="0046391A" w:rsidP="0046391A">
            <w:pPr>
              <w:pStyle w:val="ListParagraph"/>
              <w:ind w:left="607"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p w14:paraId="2634F658" w14:textId="707A7FCF" w:rsidR="00D1584C" w:rsidRPr="00E869A4" w:rsidRDefault="00D1584C" w:rsidP="009D4C5D">
            <w:pPr>
              <w:pStyle w:val="ListParagraph"/>
              <w:numPr>
                <w:ilvl w:val="0"/>
                <w:numId w:val="66"/>
              </w:numPr>
              <w:ind w:left="6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For Ms. Rose (Step Mother)</w:t>
            </w:r>
            <w:r w:rsidR="0046391A" w:rsidRPr="00E869A4">
              <w:rPr>
                <w:rFonts w:ascii="Times New Roman" w:hAnsi="Times New Roman" w:cs="Times New Roman"/>
                <w:sz w:val="23"/>
                <w:szCs w:val="23"/>
              </w:rPr>
              <w:t xml:space="preserve">: </w:t>
            </w:r>
            <w:r w:rsidRPr="00E869A4">
              <w:rPr>
                <w:rFonts w:ascii="Times New Roman" w:hAnsi="Times New Roman" w:cs="Times New Roman"/>
                <w:sz w:val="23"/>
                <w:szCs w:val="23"/>
              </w:rPr>
              <w:t xml:space="preserve"> Grandson (Stephen)</w:t>
            </w:r>
          </w:p>
          <w:p w14:paraId="58DB487D" w14:textId="77777777" w:rsidR="00D1584C" w:rsidRPr="00E869A4" w:rsidRDefault="00D1584C" w:rsidP="0046391A">
            <w:pPr>
              <w:pStyle w:val="ListParagraph"/>
              <w:ind w:left="219"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p>
        </w:tc>
      </w:tr>
      <w:tr w:rsidR="00C714D3" w:rsidRPr="00E869A4" w14:paraId="184BC106" w14:textId="77777777" w:rsidTr="0046391A">
        <w:trPr>
          <w:jc w:val="center"/>
        </w:trPr>
        <w:tc>
          <w:tcPr>
            <w:cnfStyle w:val="001000000000" w:firstRow="0" w:lastRow="0" w:firstColumn="1" w:lastColumn="0" w:oddVBand="0" w:evenVBand="0" w:oddHBand="0" w:evenHBand="0" w:firstRowFirstColumn="0" w:firstRowLastColumn="0" w:lastRowFirstColumn="0" w:lastRowLastColumn="0"/>
            <w:tcW w:w="4148" w:type="dxa"/>
          </w:tcPr>
          <w:p w14:paraId="0534FB1C" w14:textId="77777777" w:rsidR="00D1584C" w:rsidRPr="00484A4D" w:rsidRDefault="00D1584C" w:rsidP="0046391A">
            <w:pPr>
              <w:autoSpaceDE w:val="0"/>
              <w:autoSpaceDN w:val="0"/>
              <w:adjustRightInd w:val="0"/>
              <w:ind w:left="219" w:firstLine="0"/>
              <w:rPr>
                <w:rFonts w:ascii="Times New Roman" w:hAnsi="Times New Roman" w:cs="Times New Roman"/>
                <w:sz w:val="23"/>
                <w:szCs w:val="23"/>
              </w:rPr>
            </w:pPr>
            <w:r w:rsidRPr="00484A4D">
              <w:rPr>
                <w:rFonts w:ascii="Times New Roman" w:hAnsi="Times New Roman" w:cs="Times New Roman"/>
                <w:sz w:val="23"/>
                <w:szCs w:val="23"/>
              </w:rPr>
              <w:lastRenderedPageBreak/>
              <w:t>Paid Caregivers</w:t>
            </w:r>
          </w:p>
        </w:tc>
        <w:tc>
          <w:tcPr>
            <w:tcW w:w="5059" w:type="dxa"/>
          </w:tcPr>
          <w:p w14:paraId="68FB8F52" w14:textId="3BE8AC07" w:rsidR="00D1584C" w:rsidRPr="00E869A4" w:rsidRDefault="00D1584C" w:rsidP="009D4C5D">
            <w:pPr>
              <w:pStyle w:val="ListParagraph"/>
              <w:numPr>
                <w:ilvl w:val="0"/>
                <w:numId w:val="76"/>
              </w:numPr>
              <w:ind w:left="607"/>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For Ms. June (Mother)</w:t>
            </w:r>
            <w:r w:rsidR="0046391A" w:rsidRPr="00E869A4">
              <w:rPr>
                <w:rFonts w:ascii="Times New Roman" w:hAnsi="Times New Roman" w:cs="Times New Roman"/>
                <w:sz w:val="23"/>
                <w:szCs w:val="23"/>
              </w:rPr>
              <w:t xml:space="preserve">: </w:t>
            </w:r>
            <w:r w:rsidRPr="00E869A4">
              <w:rPr>
                <w:rFonts w:ascii="Times New Roman" w:hAnsi="Times New Roman" w:cs="Times New Roman"/>
                <w:sz w:val="23"/>
                <w:szCs w:val="23"/>
              </w:rPr>
              <w:t xml:space="preserve">Lauren </w:t>
            </w:r>
          </w:p>
          <w:p w14:paraId="268946D2" w14:textId="77777777" w:rsidR="0046391A" w:rsidRPr="00E869A4" w:rsidRDefault="0046391A" w:rsidP="0046391A">
            <w:pPr>
              <w:pStyle w:val="ListParagraph"/>
              <w:ind w:left="607"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p>
          <w:p w14:paraId="5E810FE6" w14:textId="65A7D8F7" w:rsidR="00D1584C" w:rsidRPr="00E869A4" w:rsidRDefault="00D1584C" w:rsidP="009D4C5D">
            <w:pPr>
              <w:pStyle w:val="ListParagraph"/>
              <w:numPr>
                <w:ilvl w:val="0"/>
                <w:numId w:val="76"/>
              </w:numPr>
              <w:ind w:left="607"/>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E869A4">
              <w:rPr>
                <w:rFonts w:ascii="Times New Roman" w:hAnsi="Times New Roman" w:cs="Times New Roman"/>
                <w:sz w:val="23"/>
                <w:szCs w:val="23"/>
              </w:rPr>
              <w:t>For Ms. Rose (Step Mother)</w:t>
            </w:r>
            <w:r w:rsidR="0046391A" w:rsidRPr="00E869A4">
              <w:rPr>
                <w:rFonts w:ascii="Times New Roman" w:hAnsi="Times New Roman" w:cs="Times New Roman"/>
                <w:sz w:val="23"/>
                <w:szCs w:val="23"/>
              </w:rPr>
              <w:t xml:space="preserve">: </w:t>
            </w:r>
            <w:r w:rsidRPr="00E869A4">
              <w:rPr>
                <w:rFonts w:ascii="Times New Roman" w:hAnsi="Times New Roman" w:cs="Times New Roman"/>
                <w:sz w:val="23"/>
                <w:szCs w:val="23"/>
              </w:rPr>
              <w:t xml:space="preserve">Marcia </w:t>
            </w:r>
            <w:r w:rsidR="0046391A" w:rsidRPr="00E869A4">
              <w:rPr>
                <w:rFonts w:ascii="Times New Roman" w:hAnsi="Times New Roman" w:cs="Times New Roman"/>
                <w:sz w:val="23"/>
                <w:szCs w:val="23"/>
              </w:rPr>
              <w:t xml:space="preserve">&amp; </w:t>
            </w:r>
            <w:r w:rsidRPr="00E869A4">
              <w:rPr>
                <w:rFonts w:ascii="Times New Roman" w:hAnsi="Times New Roman" w:cs="Times New Roman"/>
                <w:sz w:val="23"/>
                <w:szCs w:val="23"/>
              </w:rPr>
              <w:t xml:space="preserve">Tina </w:t>
            </w:r>
          </w:p>
        </w:tc>
      </w:tr>
    </w:tbl>
    <w:p w14:paraId="2D38CE2F" w14:textId="77777777" w:rsidR="00D1584C" w:rsidRPr="00E869A4" w:rsidRDefault="00D1584C" w:rsidP="00A35FF8">
      <w:pPr>
        <w:autoSpaceDE w:val="0"/>
        <w:autoSpaceDN w:val="0"/>
        <w:adjustRightInd w:val="0"/>
        <w:rPr>
          <w:rFonts w:ascii="Times New Roman" w:hAnsi="Times New Roman" w:cs="Times New Roman"/>
          <w:b/>
        </w:rPr>
      </w:pPr>
    </w:p>
    <w:p w14:paraId="7F0E6C9F" w14:textId="2994DDB8" w:rsidR="00D1584C" w:rsidRPr="00E869A4" w:rsidRDefault="00D1584C" w:rsidP="00A35FF8">
      <w:pPr>
        <w:autoSpaceDE w:val="0"/>
        <w:autoSpaceDN w:val="0"/>
        <w:adjustRightInd w:val="0"/>
        <w:ind w:firstLine="720"/>
        <w:rPr>
          <w:rFonts w:ascii="Times New Roman" w:hAnsi="Times New Roman" w:cs="Times New Roman"/>
        </w:rPr>
      </w:pPr>
      <w:r w:rsidRPr="00E869A4">
        <w:rPr>
          <w:rFonts w:ascii="Times New Roman" w:hAnsi="Times New Roman" w:cs="Times New Roman"/>
        </w:rPr>
        <w:t xml:space="preserve">Professor Brenda, like Ms. Marian, had migrated to the USA and lived and worked there for many years. She was a qualified nurse and trained student nurses at a college. She was visiting T&amp;T to help provide care support to her mother (Ms. June) who was hospitalised shortly before she arrived in the country. During her visit, Prof. Brenda also provided secondary care support to her step mother (Ms. Rose) who had a health crisis while she was visiting. Both Ms. June and Ms. Rose lived separately from Prof. Brenda’s father (Mr. Andrew) who was no longer in a relationship with either of them. Mr. Andrew wanted to live in Trinidad, but had to return to the USA to receive health care prior to Prof. Brenda’s visit. </w:t>
      </w:r>
    </w:p>
    <w:p w14:paraId="676A0F96" w14:textId="77777777" w:rsidR="00D1584C" w:rsidRPr="00E869A4" w:rsidRDefault="00D1584C" w:rsidP="00A35FF8">
      <w:pPr>
        <w:autoSpaceDE w:val="0"/>
        <w:autoSpaceDN w:val="0"/>
        <w:adjustRightInd w:val="0"/>
        <w:rPr>
          <w:rFonts w:ascii="Times New Roman" w:hAnsi="Times New Roman" w:cs="Times New Roman"/>
        </w:rPr>
      </w:pPr>
    </w:p>
    <w:p w14:paraId="4231E3BA" w14:textId="6708C1D7" w:rsidR="00D1584C" w:rsidRPr="00E869A4" w:rsidRDefault="00D1584C" w:rsidP="00A35FF8">
      <w:pPr>
        <w:autoSpaceDE w:val="0"/>
        <w:autoSpaceDN w:val="0"/>
        <w:adjustRightInd w:val="0"/>
        <w:ind w:firstLine="720"/>
        <w:rPr>
          <w:rFonts w:ascii="Times New Roman" w:hAnsi="Times New Roman" w:cs="Times New Roman"/>
        </w:rPr>
      </w:pPr>
      <w:r w:rsidRPr="00E869A4">
        <w:rPr>
          <w:rFonts w:ascii="Times New Roman" w:hAnsi="Times New Roman" w:cs="Times New Roman"/>
        </w:rPr>
        <w:t xml:space="preserve">Prof. Brenda was dissatisfied with the family care that her mother was receiving in Trinidad. Though Ms. June lived with relatives, they were not sufficiently attentive to her care needs. Prof. Brenda suspected that one close relative was mishandling her mother’s finances. </w:t>
      </w:r>
      <w:r w:rsidR="00385EEC" w:rsidRPr="00E869A4">
        <w:rPr>
          <w:rFonts w:ascii="Times New Roman" w:hAnsi="Times New Roman" w:cs="Times New Roman"/>
        </w:rPr>
        <w:t>She</w:t>
      </w:r>
      <w:r w:rsidRPr="00E869A4">
        <w:rPr>
          <w:rFonts w:ascii="Times New Roman" w:hAnsi="Times New Roman" w:cs="Times New Roman"/>
        </w:rPr>
        <w:t xml:space="preserve"> was of the view that her </w:t>
      </w:r>
      <w:r w:rsidR="002C4D52" w:rsidRPr="00E869A4">
        <w:rPr>
          <w:rFonts w:ascii="Times New Roman" w:eastAsia="Times New Roman" w:hAnsi="Times New Roman" w:cs="Times New Roman"/>
        </w:rPr>
        <w:t>mother</w:t>
      </w:r>
      <w:r w:rsidRPr="00E869A4">
        <w:rPr>
          <w:rFonts w:ascii="Times New Roman" w:hAnsi="Times New Roman" w:cs="Times New Roman"/>
        </w:rPr>
        <w:t>’s situation was compounded by an inadequate public health care system locally. She was also very dissatisfied with the health care that she witnessed her step</w:t>
      </w:r>
      <w:r w:rsidR="002C4D52" w:rsidRPr="00E869A4">
        <w:rPr>
          <w:rFonts w:ascii="Times New Roman" w:eastAsia="Times New Roman" w:hAnsi="Times New Roman" w:cs="Times New Roman"/>
        </w:rPr>
        <w:t xml:space="preserve"> mother</w:t>
      </w:r>
      <w:r w:rsidRPr="00E869A4">
        <w:rPr>
          <w:rFonts w:ascii="Times New Roman" w:hAnsi="Times New Roman" w:cs="Times New Roman"/>
        </w:rPr>
        <w:t xml:space="preserve"> (Ms. Rose) receiving at two (2) public hospitals. </w:t>
      </w:r>
    </w:p>
    <w:p w14:paraId="0EFA3489" w14:textId="77777777" w:rsidR="00D1584C" w:rsidRPr="00E869A4" w:rsidRDefault="00D1584C" w:rsidP="00A35FF8">
      <w:pPr>
        <w:autoSpaceDE w:val="0"/>
        <w:autoSpaceDN w:val="0"/>
        <w:adjustRightInd w:val="0"/>
        <w:rPr>
          <w:rFonts w:ascii="Times New Roman" w:hAnsi="Times New Roman" w:cs="Times New Roman"/>
        </w:rPr>
      </w:pPr>
    </w:p>
    <w:p w14:paraId="283715DE" w14:textId="5CA56803" w:rsidR="00E53916" w:rsidRPr="00E869A4" w:rsidRDefault="00D1584C" w:rsidP="004159B2">
      <w:pPr>
        <w:autoSpaceDE w:val="0"/>
        <w:autoSpaceDN w:val="0"/>
        <w:adjustRightInd w:val="0"/>
        <w:ind w:firstLine="720"/>
        <w:rPr>
          <w:rFonts w:ascii="Times New Roman" w:hAnsi="Times New Roman" w:cs="Times New Roman"/>
        </w:rPr>
        <w:sectPr w:rsidR="00E53916" w:rsidRPr="00E869A4" w:rsidSect="00A00BF8">
          <w:type w:val="continuous"/>
          <w:pgSz w:w="12240" w:h="15840"/>
          <w:pgMar w:top="1440" w:right="851" w:bottom="1440" w:left="1134" w:header="708" w:footer="708" w:gutter="0"/>
          <w:cols w:space="708"/>
          <w:titlePg/>
          <w:docGrid w:linePitch="360"/>
        </w:sectPr>
      </w:pPr>
      <w:r w:rsidRPr="00E869A4">
        <w:rPr>
          <w:rFonts w:ascii="Times New Roman" w:hAnsi="Times New Roman" w:cs="Times New Roman"/>
        </w:rPr>
        <w:t>Ms. Rose lived and worked in the USA for many years before returning to Trinidad. After being diagnosed with hypertension and renal disease, Ms. Rose decided to return to Trinidad post-retirement, because she wanted to die in her homeland. Ms. Rose’s grandson (Stephen) was her primary caregiver. He and his wife lived downstairs in the two-storey house that belonged to Ms. Rose. Unlike Ms. June’s care situation, Prof. Brenda was pleased with the in-home care support that her step</w:t>
      </w:r>
      <w:r w:rsidR="002C4D52" w:rsidRPr="00E869A4">
        <w:rPr>
          <w:rFonts w:ascii="Times New Roman" w:eastAsia="Times New Roman" w:hAnsi="Times New Roman" w:cs="Times New Roman"/>
        </w:rPr>
        <w:t xml:space="preserve"> mother</w:t>
      </w:r>
      <w:r w:rsidRPr="00E869A4">
        <w:rPr>
          <w:rFonts w:ascii="Times New Roman" w:hAnsi="Times New Roman" w:cs="Times New Roman"/>
        </w:rPr>
        <w:t xml:space="preserve"> received. But, the public health care that Ms. Rose received when she had a hypertensive crisis left much to be desired. Prior to being hospitalised, Stephen contacted Prof. Brenda for her assistance when he noticed his grandmother’s health declining rapidly. Prof. Brenda accompanied them to the hospital but was very unhappy with the service they received.  In addition to the poor treatment meted out to her step</w:t>
      </w:r>
      <w:r w:rsidR="002C4D52" w:rsidRPr="00E869A4">
        <w:rPr>
          <w:rFonts w:ascii="Times New Roman" w:eastAsia="Times New Roman" w:hAnsi="Times New Roman" w:cs="Times New Roman"/>
        </w:rPr>
        <w:t xml:space="preserve"> mother</w:t>
      </w:r>
      <w:r w:rsidRPr="00E869A4">
        <w:rPr>
          <w:rFonts w:ascii="Times New Roman" w:hAnsi="Times New Roman" w:cs="Times New Roman"/>
        </w:rPr>
        <w:t>, Prof. Brenda felt that the hospital staff treated family caregivers contemptuously.</w:t>
      </w:r>
      <w:r w:rsidR="004159B2" w:rsidRPr="00E869A4">
        <w:rPr>
          <w:rFonts w:ascii="Times New Roman" w:hAnsi="Times New Roman" w:cs="Times New Roman"/>
        </w:rPr>
        <w:t xml:space="preserve"> </w:t>
      </w:r>
      <w:r w:rsidRPr="00E869A4">
        <w:rPr>
          <w:rFonts w:ascii="Times New Roman" w:hAnsi="Times New Roman" w:cs="Times New Roman"/>
        </w:rPr>
        <w:t xml:space="preserve">Given these challenging experiences, Prof. Brenda was considering returning to Trinidad to work in the health care industry. </w:t>
      </w:r>
    </w:p>
    <w:p w14:paraId="021B5463" w14:textId="553792D0" w:rsidR="00A63494" w:rsidRPr="00E869A4" w:rsidRDefault="00A63494" w:rsidP="00A63494">
      <w:pPr>
        <w:pStyle w:val="Caption"/>
        <w:rPr>
          <w:b/>
          <w:i w:val="0"/>
          <w:sz w:val="28"/>
        </w:rPr>
      </w:pPr>
      <w:bookmarkStart w:id="516" w:name="_Toc40436630"/>
      <w:r w:rsidRPr="00E869A4">
        <w:rPr>
          <w:b/>
          <w:i w:val="0"/>
          <w:sz w:val="28"/>
        </w:rPr>
        <w:lastRenderedPageBreak/>
        <w:t xml:space="preserve">Appendix </w:t>
      </w:r>
      <w:r w:rsidRPr="00E869A4">
        <w:rPr>
          <w:b/>
          <w:i w:val="0"/>
          <w:sz w:val="28"/>
        </w:rPr>
        <w:fldChar w:fldCharType="begin"/>
      </w:r>
      <w:r w:rsidRPr="00E869A4">
        <w:rPr>
          <w:b/>
          <w:i w:val="0"/>
          <w:sz w:val="28"/>
        </w:rPr>
        <w:instrText xml:space="preserve"> SEQ Appendix \* ARABIC </w:instrText>
      </w:r>
      <w:r w:rsidRPr="00E869A4">
        <w:rPr>
          <w:b/>
          <w:i w:val="0"/>
          <w:sz w:val="28"/>
        </w:rPr>
        <w:fldChar w:fldCharType="separate"/>
      </w:r>
      <w:r w:rsidR="00D7239F">
        <w:rPr>
          <w:b/>
          <w:i w:val="0"/>
          <w:noProof/>
          <w:sz w:val="28"/>
        </w:rPr>
        <w:t>10</w:t>
      </w:r>
      <w:r w:rsidRPr="00E869A4">
        <w:rPr>
          <w:b/>
          <w:i w:val="0"/>
          <w:sz w:val="28"/>
        </w:rPr>
        <w:fldChar w:fldCharType="end"/>
      </w:r>
      <w:r w:rsidRPr="00E869A4">
        <w:rPr>
          <w:b/>
          <w:i w:val="0"/>
          <w:sz w:val="28"/>
        </w:rPr>
        <w:t>: Survey Results - Quality of Sate Services for Older Persons</w:t>
      </w:r>
      <w:bookmarkEnd w:id="516"/>
    </w:p>
    <w:p w14:paraId="782C0513" w14:textId="77777777" w:rsidR="00E53916" w:rsidRPr="00E869A4" w:rsidRDefault="00E53916" w:rsidP="00A35FF8">
      <w:pPr>
        <w:rPr>
          <w:rFonts w:ascii="Times New Roman" w:hAnsi="Times New Roman" w:cs="Times New Roman"/>
        </w:rPr>
      </w:pPr>
    </w:p>
    <w:tbl>
      <w:tblPr>
        <w:tblStyle w:val="TableGrid"/>
        <w:tblW w:w="0" w:type="auto"/>
        <w:jc w:val="center"/>
        <w:tblLook w:val="04A0" w:firstRow="1" w:lastRow="0" w:firstColumn="1" w:lastColumn="0" w:noHBand="0" w:noVBand="1"/>
      </w:tblPr>
      <w:tblGrid>
        <w:gridCol w:w="7080"/>
        <w:gridCol w:w="1162"/>
        <w:gridCol w:w="1268"/>
        <w:gridCol w:w="2070"/>
        <w:gridCol w:w="1260"/>
        <w:gridCol w:w="1260"/>
        <w:gridCol w:w="1440"/>
        <w:gridCol w:w="1195"/>
      </w:tblGrid>
      <w:tr w:rsidR="00C714D3" w:rsidRPr="00E869A4" w14:paraId="1F03AB68"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4BCB8EFB"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STATE SERVICE</w:t>
            </w:r>
          </w:p>
        </w:tc>
        <w:tc>
          <w:tcPr>
            <w:tcW w:w="1162" w:type="dxa"/>
            <w:tcBorders>
              <w:top w:val="single" w:sz="4" w:space="0" w:color="auto"/>
              <w:left w:val="single" w:sz="4" w:space="0" w:color="auto"/>
              <w:bottom w:val="single" w:sz="4" w:space="0" w:color="auto"/>
              <w:right w:val="single" w:sz="4" w:space="0" w:color="auto"/>
            </w:tcBorders>
            <w:hideMark/>
          </w:tcPr>
          <w:p w14:paraId="5B390E5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Very Good</w:t>
            </w:r>
          </w:p>
        </w:tc>
        <w:tc>
          <w:tcPr>
            <w:tcW w:w="1268" w:type="dxa"/>
            <w:tcBorders>
              <w:top w:val="single" w:sz="4" w:space="0" w:color="auto"/>
              <w:left w:val="single" w:sz="4" w:space="0" w:color="auto"/>
              <w:bottom w:val="single" w:sz="4" w:space="0" w:color="auto"/>
              <w:right w:val="single" w:sz="4" w:space="0" w:color="auto"/>
            </w:tcBorders>
            <w:hideMark/>
          </w:tcPr>
          <w:p w14:paraId="36E92E8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Good</w:t>
            </w:r>
          </w:p>
        </w:tc>
        <w:tc>
          <w:tcPr>
            <w:tcW w:w="2070" w:type="dxa"/>
            <w:tcBorders>
              <w:top w:val="single" w:sz="4" w:space="0" w:color="auto"/>
              <w:left w:val="single" w:sz="4" w:space="0" w:color="auto"/>
              <w:bottom w:val="single" w:sz="4" w:space="0" w:color="auto"/>
              <w:right w:val="single" w:sz="4" w:space="0" w:color="auto"/>
            </w:tcBorders>
            <w:hideMark/>
          </w:tcPr>
          <w:p w14:paraId="2AAAA69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Neither good nor bad</w:t>
            </w:r>
          </w:p>
        </w:tc>
        <w:tc>
          <w:tcPr>
            <w:tcW w:w="1260" w:type="dxa"/>
            <w:tcBorders>
              <w:top w:val="single" w:sz="4" w:space="0" w:color="auto"/>
              <w:left w:val="single" w:sz="4" w:space="0" w:color="auto"/>
              <w:bottom w:val="single" w:sz="4" w:space="0" w:color="auto"/>
              <w:right w:val="single" w:sz="4" w:space="0" w:color="auto"/>
            </w:tcBorders>
            <w:hideMark/>
          </w:tcPr>
          <w:p w14:paraId="6FC6D05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Bad</w:t>
            </w:r>
          </w:p>
        </w:tc>
        <w:tc>
          <w:tcPr>
            <w:tcW w:w="1260" w:type="dxa"/>
            <w:tcBorders>
              <w:top w:val="single" w:sz="4" w:space="0" w:color="auto"/>
              <w:left w:val="single" w:sz="4" w:space="0" w:color="auto"/>
              <w:bottom w:val="single" w:sz="4" w:space="0" w:color="auto"/>
              <w:right w:val="single" w:sz="4" w:space="0" w:color="auto"/>
            </w:tcBorders>
            <w:hideMark/>
          </w:tcPr>
          <w:p w14:paraId="39347F3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Very Bad</w:t>
            </w:r>
          </w:p>
        </w:tc>
        <w:tc>
          <w:tcPr>
            <w:tcW w:w="1440" w:type="dxa"/>
            <w:tcBorders>
              <w:top w:val="single" w:sz="4" w:space="0" w:color="auto"/>
              <w:left w:val="single" w:sz="4" w:space="0" w:color="auto"/>
              <w:bottom w:val="single" w:sz="4" w:space="0" w:color="auto"/>
              <w:right w:val="single" w:sz="4" w:space="0" w:color="auto"/>
            </w:tcBorders>
            <w:hideMark/>
          </w:tcPr>
          <w:p w14:paraId="2E021FF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Not Sure</w:t>
            </w:r>
          </w:p>
        </w:tc>
        <w:tc>
          <w:tcPr>
            <w:tcW w:w="1195" w:type="dxa"/>
            <w:tcBorders>
              <w:top w:val="single" w:sz="4" w:space="0" w:color="auto"/>
              <w:left w:val="single" w:sz="4" w:space="0" w:color="auto"/>
              <w:bottom w:val="single" w:sz="4" w:space="0" w:color="auto"/>
              <w:right w:val="single" w:sz="4" w:space="0" w:color="auto"/>
            </w:tcBorders>
            <w:hideMark/>
          </w:tcPr>
          <w:p w14:paraId="2290907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Responses</w:t>
            </w:r>
          </w:p>
        </w:tc>
      </w:tr>
      <w:tr w:rsidR="00C714D3" w:rsidRPr="00E869A4" w14:paraId="05236611"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6AD37DC2"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Chronic Disease Assistance Programme</w:t>
            </w:r>
          </w:p>
        </w:tc>
        <w:tc>
          <w:tcPr>
            <w:tcW w:w="1162" w:type="dxa"/>
            <w:tcBorders>
              <w:top w:val="single" w:sz="4" w:space="0" w:color="auto"/>
              <w:left w:val="single" w:sz="4" w:space="0" w:color="auto"/>
              <w:bottom w:val="single" w:sz="4" w:space="0" w:color="auto"/>
              <w:right w:val="single" w:sz="4" w:space="0" w:color="auto"/>
            </w:tcBorders>
            <w:hideMark/>
          </w:tcPr>
          <w:p w14:paraId="4E8C788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14.58%</w:t>
            </w:r>
          </w:p>
        </w:tc>
        <w:tc>
          <w:tcPr>
            <w:tcW w:w="1268" w:type="dxa"/>
            <w:tcBorders>
              <w:top w:val="single" w:sz="4" w:space="0" w:color="auto"/>
              <w:left w:val="single" w:sz="4" w:space="0" w:color="auto"/>
              <w:bottom w:val="single" w:sz="4" w:space="0" w:color="auto"/>
              <w:right w:val="single" w:sz="4" w:space="0" w:color="auto"/>
            </w:tcBorders>
            <w:hideMark/>
          </w:tcPr>
          <w:p w14:paraId="7DF8D963"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39.58%</w:t>
            </w:r>
          </w:p>
        </w:tc>
        <w:tc>
          <w:tcPr>
            <w:tcW w:w="2070" w:type="dxa"/>
            <w:tcBorders>
              <w:top w:val="single" w:sz="4" w:space="0" w:color="auto"/>
              <w:left w:val="single" w:sz="4" w:space="0" w:color="auto"/>
              <w:bottom w:val="single" w:sz="4" w:space="0" w:color="auto"/>
              <w:right w:val="single" w:sz="4" w:space="0" w:color="auto"/>
            </w:tcBorders>
            <w:hideMark/>
          </w:tcPr>
          <w:p w14:paraId="4EB89EF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16.15%</w:t>
            </w:r>
          </w:p>
        </w:tc>
        <w:tc>
          <w:tcPr>
            <w:tcW w:w="1260" w:type="dxa"/>
            <w:tcBorders>
              <w:top w:val="single" w:sz="4" w:space="0" w:color="auto"/>
              <w:left w:val="single" w:sz="4" w:space="0" w:color="auto"/>
              <w:bottom w:val="single" w:sz="4" w:space="0" w:color="auto"/>
              <w:right w:val="single" w:sz="4" w:space="0" w:color="auto"/>
            </w:tcBorders>
            <w:hideMark/>
          </w:tcPr>
          <w:p w14:paraId="1BB6D76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6.25%</w:t>
            </w:r>
          </w:p>
        </w:tc>
        <w:tc>
          <w:tcPr>
            <w:tcW w:w="1260" w:type="dxa"/>
            <w:tcBorders>
              <w:top w:val="single" w:sz="4" w:space="0" w:color="auto"/>
              <w:left w:val="single" w:sz="4" w:space="0" w:color="auto"/>
              <w:bottom w:val="single" w:sz="4" w:space="0" w:color="auto"/>
              <w:right w:val="single" w:sz="4" w:space="0" w:color="auto"/>
            </w:tcBorders>
            <w:hideMark/>
          </w:tcPr>
          <w:p w14:paraId="5071447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5.21%</w:t>
            </w:r>
          </w:p>
        </w:tc>
        <w:tc>
          <w:tcPr>
            <w:tcW w:w="1440" w:type="dxa"/>
            <w:tcBorders>
              <w:top w:val="single" w:sz="4" w:space="0" w:color="auto"/>
              <w:left w:val="single" w:sz="4" w:space="0" w:color="auto"/>
              <w:bottom w:val="single" w:sz="4" w:space="0" w:color="auto"/>
              <w:right w:val="single" w:sz="4" w:space="0" w:color="auto"/>
            </w:tcBorders>
            <w:hideMark/>
          </w:tcPr>
          <w:p w14:paraId="245C1A6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18.23%</w:t>
            </w:r>
          </w:p>
        </w:tc>
        <w:tc>
          <w:tcPr>
            <w:tcW w:w="1195" w:type="dxa"/>
            <w:tcBorders>
              <w:top w:val="single" w:sz="4" w:space="0" w:color="auto"/>
              <w:left w:val="single" w:sz="4" w:space="0" w:color="auto"/>
              <w:bottom w:val="single" w:sz="4" w:space="0" w:color="auto"/>
              <w:right w:val="single" w:sz="4" w:space="0" w:color="auto"/>
            </w:tcBorders>
            <w:hideMark/>
          </w:tcPr>
          <w:p w14:paraId="7C6D38A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192</w:t>
            </w:r>
          </w:p>
        </w:tc>
      </w:tr>
      <w:tr w:rsidR="00C714D3" w:rsidRPr="00E869A4" w14:paraId="65BCE5FB"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3A0F5658"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Dietary Grant</w:t>
            </w:r>
          </w:p>
        </w:tc>
        <w:tc>
          <w:tcPr>
            <w:tcW w:w="1162" w:type="dxa"/>
            <w:tcBorders>
              <w:top w:val="single" w:sz="4" w:space="0" w:color="auto"/>
              <w:left w:val="single" w:sz="4" w:space="0" w:color="auto"/>
              <w:bottom w:val="single" w:sz="4" w:space="0" w:color="auto"/>
              <w:right w:val="single" w:sz="4" w:space="0" w:color="auto"/>
            </w:tcBorders>
            <w:hideMark/>
          </w:tcPr>
          <w:p w14:paraId="7970425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2.44%</w:t>
            </w:r>
          </w:p>
        </w:tc>
        <w:tc>
          <w:tcPr>
            <w:tcW w:w="1268" w:type="dxa"/>
            <w:tcBorders>
              <w:top w:val="single" w:sz="4" w:space="0" w:color="auto"/>
              <w:left w:val="single" w:sz="4" w:space="0" w:color="auto"/>
              <w:bottom w:val="single" w:sz="4" w:space="0" w:color="auto"/>
              <w:right w:val="single" w:sz="4" w:space="0" w:color="auto"/>
            </w:tcBorders>
            <w:hideMark/>
          </w:tcPr>
          <w:p w14:paraId="62ADCB4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12.20%</w:t>
            </w:r>
          </w:p>
        </w:tc>
        <w:tc>
          <w:tcPr>
            <w:tcW w:w="2070" w:type="dxa"/>
            <w:tcBorders>
              <w:top w:val="single" w:sz="4" w:space="0" w:color="auto"/>
              <w:left w:val="single" w:sz="4" w:space="0" w:color="auto"/>
              <w:bottom w:val="single" w:sz="4" w:space="0" w:color="auto"/>
              <w:right w:val="single" w:sz="4" w:space="0" w:color="auto"/>
            </w:tcBorders>
            <w:hideMark/>
          </w:tcPr>
          <w:p w14:paraId="405D8F7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19.51%</w:t>
            </w:r>
          </w:p>
        </w:tc>
        <w:tc>
          <w:tcPr>
            <w:tcW w:w="1260" w:type="dxa"/>
            <w:tcBorders>
              <w:top w:val="single" w:sz="4" w:space="0" w:color="auto"/>
              <w:left w:val="single" w:sz="4" w:space="0" w:color="auto"/>
              <w:bottom w:val="single" w:sz="4" w:space="0" w:color="auto"/>
              <w:right w:val="single" w:sz="4" w:space="0" w:color="auto"/>
            </w:tcBorders>
            <w:hideMark/>
          </w:tcPr>
          <w:p w14:paraId="60555BB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11.38%</w:t>
            </w:r>
          </w:p>
        </w:tc>
        <w:tc>
          <w:tcPr>
            <w:tcW w:w="1260" w:type="dxa"/>
            <w:tcBorders>
              <w:top w:val="single" w:sz="4" w:space="0" w:color="auto"/>
              <w:left w:val="single" w:sz="4" w:space="0" w:color="auto"/>
              <w:bottom w:val="single" w:sz="4" w:space="0" w:color="auto"/>
              <w:right w:val="single" w:sz="4" w:space="0" w:color="auto"/>
            </w:tcBorders>
            <w:hideMark/>
          </w:tcPr>
          <w:p w14:paraId="45AC37A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4.88%</w:t>
            </w:r>
          </w:p>
        </w:tc>
        <w:tc>
          <w:tcPr>
            <w:tcW w:w="1440" w:type="dxa"/>
            <w:tcBorders>
              <w:top w:val="single" w:sz="4" w:space="0" w:color="auto"/>
              <w:left w:val="single" w:sz="4" w:space="0" w:color="auto"/>
              <w:bottom w:val="single" w:sz="4" w:space="0" w:color="auto"/>
              <w:right w:val="single" w:sz="4" w:space="0" w:color="auto"/>
            </w:tcBorders>
            <w:hideMark/>
          </w:tcPr>
          <w:p w14:paraId="7ADFAFA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49.59%</w:t>
            </w:r>
          </w:p>
        </w:tc>
        <w:tc>
          <w:tcPr>
            <w:tcW w:w="1195" w:type="dxa"/>
            <w:tcBorders>
              <w:top w:val="single" w:sz="4" w:space="0" w:color="auto"/>
              <w:left w:val="single" w:sz="4" w:space="0" w:color="auto"/>
              <w:bottom w:val="single" w:sz="4" w:space="0" w:color="auto"/>
              <w:right w:val="single" w:sz="4" w:space="0" w:color="auto"/>
            </w:tcBorders>
            <w:hideMark/>
          </w:tcPr>
          <w:p w14:paraId="7263478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123</w:t>
            </w:r>
          </w:p>
        </w:tc>
      </w:tr>
      <w:tr w:rsidR="00C714D3" w:rsidRPr="00E869A4" w14:paraId="57000316"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1ACFAE78"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Disability Grant</w:t>
            </w:r>
          </w:p>
        </w:tc>
        <w:tc>
          <w:tcPr>
            <w:tcW w:w="1162" w:type="dxa"/>
            <w:tcBorders>
              <w:top w:val="single" w:sz="4" w:space="0" w:color="auto"/>
              <w:left w:val="single" w:sz="4" w:space="0" w:color="auto"/>
              <w:bottom w:val="single" w:sz="4" w:space="0" w:color="auto"/>
              <w:right w:val="single" w:sz="4" w:space="0" w:color="auto"/>
            </w:tcBorders>
            <w:hideMark/>
          </w:tcPr>
          <w:p w14:paraId="2C64F4BB"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6.67%</w:t>
            </w:r>
          </w:p>
        </w:tc>
        <w:tc>
          <w:tcPr>
            <w:tcW w:w="1268" w:type="dxa"/>
            <w:tcBorders>
              <w:top w:val="single" w:sz="4" w:space="0" w:color="auto"/>
              <w:left w:val="single" w:sz="4" w:space="0" w:color="auto"/>
              <w:bottom w:val="single" w:sz="4" w:space="0" w:color="auto"/>
              <w:right w:val="single" w:sz="4" w:space="0" w:color="auto"/>
            </w:tcBorders>
            <w:hideMark/>
          </w:tcPr>
          <w:p w14:paraId="380D7A2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31.11%</w:t>
            </w:r>
          </w:p>
        </w:tc>
        <w:tc>
          <w:tcPr>
            <w:tcW w:w="2070" w:type="dxa"/>
            <w:tcBorders>
              <w:top w:val="single" w:sz="4" w:space="0" w:color="auto"/>
              <w:left w:val="single" w:sz="4" w:space="0" w:color="auto"/>
              <w:bottom w:val="single" w:sz="4" w:space="0" w:color="auto"/>
              <w:right w:val="single" w:sz="4" w:space="0" w:color="auto"/>
            </w:tcBorders>
            <w:hideMark/>
          </w:tcPr>
          <w:p w14:paraId="7815252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18.33%</w:t>
            </w:r>
          </w:p>
        </w:tc>
        <w:tc>
          <w:tcPr>
            <w:tcW w:w="1260" w:type="dxa"/>
            <w:tcBorders>
              <w:top w:val="single" w:sz="4" w:space="0" w:color="auto"/>
              <w:left w:val="single" w:sz="4" w:space="0" w:color="auto"/>
              <w:bottom w:val="single" w:sz="4" w:space="0" w:color="auto"/>
              <w:right w:val="single" w:sz="4" w:space="0" w:color="auto"/>
            </w:tcBorders>
            <w:hideMark/>
          </w:tcPr>
          <w:p w14:paraId="5E3F3F5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12.22%</w:t>
            </w:r>
          </w:p>
        </w:tc>
        <w:tc>
          <w:tcPr>
            <w:tcW w:w="1260" w:type="dxa"/>
            <w:tcBorders>
              <w:top w:val="single" w:sz="4" w:space="0" w:color="auto"/>
              <w:left w:val="single" w:sz="4" w:space="0" w:color="auto"/>
              <w:bottom w:val="single" w:sz="4" w:space="0" w:color="auto"/>
              <w:right w:val="single" w:sz="4" w:space="0" w:color="auto"/>
            </w:tcBorders>
            <w:hideMark/>
          </w:tcPr>
          <w:p w14:paraId="3B6D649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6.67%</w:t>
            </w:r>
          </w:p>
        </w:tc>
        <w:tc>
          <w:tcPr>
            <w:tcW w:w="1440" w:type="dxa"/>
            <w:tcBorders>
              <w:top w:val="single" w:sz="4" w:space="0" w:color="auto"/>
              <w:left w:val="single" w:sz="4" w:space="0" w:color="auto"/>
              <w:bottom w:val="single" w:sz="4" w:space="0" w:color="auto"/>
              <w:right w:val="single" w:sz="4" w:space="0" w:color="auto"/>
            </w:tcBorders>
            <w:hideMark/>
          </w:tcPr>
          <w:p w14:paraId="6EB8BDF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25.00%</w:t>
            </w:r>
          </w:p>
        </w:tc>
        <w:tc>
          <w:tcPr>
            <w:tcW w:w="1195" w:type="dxa"/>
            <w:tcBorders>
              <w:top w:val="single" w:sz="4" w:space="0" w:color="auto"/>
              <w:left w:val="single" w:sz="4" w:space="0" w:color="auto"/>
              <w:bottom w:val="single" w:sz="4" w:space="0" w:color="auto"/>
              <w:right w:val="single" w:sz="4" w:space="0" w:color="auto"/>
            </w:tcBorders>
            <w:hideMark/>
          </w:tcPr>
          <w:p w14:paraId="405D512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180</w:t>
            </w:r>
          </w:p>
        </w:tc>
      </w:tr>
      <w:tr w:rsidR="00C714D3" w:rsidRPr="00E869A4" w14:paraId="0D3AFFCE"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368357BB"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Division of Ageing</w:t>
            </w:r>
          </w:p>
        </w:tc>
        <w:tc>
          <w:tcPr>
            <w:tcW w:w="1162" w:type="dxa"/>
            <w:tcBorders>
              <w:top w:val="single" w:sz="4" w:space="0" w:color="auto"/>
              <w:left w:val="single" w:sz="4" w:space="0" w:color="auto"/>
              <w:bottom w:val="single" w:sz="4" w:space="0" w:color="auto"/>
              <w:right w:val="single" w:sz="4" w:space="0" w:color="auto"/>
            </w:tcBorders>
            <w:hideMark/>
          </w:tcPr>
          <w:p w14:paraId="67C97A9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9.36%</w:t>
            </w:r>
          </w:p>
        </w:tc>
        <w:tc>
          <w:tcPr>
            <w:tcW w:w="1268" w:type="dxa"/>
            <w:tcBorders>
              <w:top w:val="single" w:sz="4" w:space="0" w:color="auto"/>
              <w:left w:val="single" w:sz="4" w:space="0" w:color="auto"/>
              <w:bottom w:val="single" w:sz="4" w:space="0" w:color="auto"/>
              <w:right w:val="single" w:sz="4" w:space="0" w:color="auto"/>
            </w:tcBorders>
            <w:hideMark/>
          </w:tcPr>
          <w:p w14:paraId="37720FD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20.47%</w:t>
            </w:r>
          </w:p>
        </w:tc>
        <w:tc>
          <w:tcPr>
            <w:tcW w:w="2070" w:type="dxa"/>
            <w:tcBorders>
              <w:top w:val="single" w:sz="4" w:space="0" w:color="auto"/>
              <w:left w:val="single" w:sz="4" w:space="0" w:color="auto"/>
              <w:bottom w:val="single" w:sz="4" w:space="0" w:color="auto"/>
              <w:right w:val="single" w:sz="4" w:space="0" w:color="auto"/>
            </w:tcBorders>
            <w:hideMark/>
          </w:tcPr>
          <w:p w14:paraId="2DD74C8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23.98%</w:t>
            </w:r>
          </w:p>
        </w:tc>
        <w:tc>
          <w:tcPr>
            <w:tcW w:w="1260" w:type="dxa"/>
            <w:tcBorders>
              <w:top w:val="single" w:sz="4" w:space="0" w:color="auto"/>
              <w:left w:val="single" w:sz="4" w:space="0" w:color="auto"/>
              <w:bottom w:val="single" w:sz="4" w:space="0" w:color="auto"/>
              <w:right w:val="single" w:sz="4" w:space="0" w:color="auto"/>
            </w:tcBorders>
            <w:hideMark/>
          </w:tcPr>
          <w:p w14:paraId="37A0B11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8.77%</w:t>
            </w:r>
          </w:p>
        </w:tc>
        <w:tc>
          <w:tcPr>
            <w:tcW w:w="1260" w:type="dxa"/>
            <w:tcBorders>
              <w:top w:val="single" w:sz="4" w:space="0" w:color="auto"/>
              <w:left w:val="single" w:sz="4" w:space="0" w:color="auto"/>
              <w:bottom w:val="single" w:sz="4" w:space="0" w:color="auto"/>
              <w:right w:val="single" w:sz="4" w:space="0" w:color="auto"/>
            </w:tcBorders>
            <w:hideMark/>
          </w:tcPr>
          <w:p w14:paraId="2AB5859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4.09%</w:t>
            </w:r>
          </w:p>
        </w:tc>
        <w:tc>
          <w:tcPr>
            <w:tcW w:w="1440" w:type="dxa"/>
            <w:tcBorders>
              <w:top w:val="single" w:sz="4" w:space="0" w:color="auto"/>
              <w:left w:val="single" w:sz="4" w:space="0" w:color="auto"/>
              <w:bottom w:val="single" w:sz="4" w:space="0" w:color="auto"/>
              <w:right w:val="single" w:sz="4" w:space="0" w:color="auto"/>
            </w:tcBorders>
            <w:hideMark/>
          </w:tcPr>
          <w:p w14:paraId="10D3808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33.33%</w:t>
            </w:r>
          </w:p>
        </w:tc>
        <w:tc>
          <w:tcPr>
            <w:tcW w:w="1195" w:type="dxa"/>
            <w:tcBorders>
              <w:top w:val="single" w:sz="4" w:space="0" w:color="auto"/>
              <w:left w:val="single" w:sz="4" w:space="0" w:color="auto"/>
              <w:bottom w:val="single" w:sz="4" w:space="0" w:color="auto"/>
              <w:right w:val="single" w:sz="4" w:space="0" w:color="auto"/>
            </w:tcBorders>
            <w:hideMark/>
          </w:tcPr>
          <w:p w14:paraId="1CF5654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171</w:t>
            </w:r>
          </w:p>
        </w:tc>
      </w:tr>
      <w:tr w:rsidR="00C714D3" w:rsidRPr="00E869A4" w14:paraId="488C14A5"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2B743F5B"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ELDAMO (Older and Differently Abled Mobile Service)</w:t>
            </w:r>
          </w:p>
        </w:tc>
        <w:tc>
          <w:tcPr>
            <w:tcW w:w="1162" w:type="dxa"/>
            <w:tcBorders>
              <w:top w:val="single" w:sz="4" w:space="0" w:color="auto"/>
              <w:left w:val="single" w:sz="4" w:space="0" w:color="auto"/>
              <w:bottom w:val="single" w:sz="4" w:space="0" w:color="auto"/>
              <w:right w:val="single" w:sz="4" w:space="0" w:color="auto"/>
            </w:tcBorders>
            <w:hideMark/>
          </w:tcPr>
          <w:p w14:paraId="25AF3E6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6.99%</w:t>
            </w:r>
          </w:p>
        </w:tc>
        <w:tc>
          <w:tcPr>
            <w:tcW w:w="1268" w:type="dxa"/>
            <w:tcBorders>
              <w:top w:val="single" w:sz="4" w:space="0" w:color="auto"/>
              <w:left w:val="single" w:sz="4" w:space="0" w:color="auto"/>
              <w:bottom w:val="single" w:sz="4" w:space="0" w:color="auto"/>
              <w:right w:val="single" w:sz="4" w:space="0" w:color="auto"/>
            </w:tcBorders>
            <w:hideMark/>
          </w:tcPr>
          <w:p w14:paraId="4EF9E60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26.88%</w:t>
            </w:r>
          </w:p>
        </w:tc>
        <w:tc>
          <w:tcPr>
            <w:tcW w:w="2070" w:type="dxa"/>
            <w:tcBorders>
              <w:top w:val="single" w:sz="4" w:space="0" w:color="auto"/>
              <w:left w:val="single" w:sz="4" w:space="0" w:color="auto"/>
              <w:bottom w:val="single" w:sz="4" w:space="0" w:color="auto"/>
              <w:right w:val="single" w:sz="4" w:space="0" w:color="auto"/>
            </w:tcBorders>
            <w:hideMark/>
          </w:tcPr>
          <w:p w14:paraId="63FAC15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17.74%</w:t>
            </w:r>
          </w:p>
        </w:tc>
        <w:tc>
          <w:tcPr>
            <w:tcW w:w="1260" w:type="dxa"/>
            <w:tcBorders>
              <w:top w:val="single" w:sz="4" w:space="0" w:color="auto"/>
              <w:left w:val="single" w:sz="4" w:space="0" w:color="auto"/>
              <w:bottom w:val="single" w:sz="4" w:space="0" w:color="auto"/>
              <w:right w:val="single" w:sz="4" w:space="0" w:color="auto"/>
            </w:tcBorders>
            <w:hideMark/>
          </w:tcPr>
          <w:p w14:paraId="25D7C07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8.06%</w:t>
            </w:r>
          </w:p>
        </w:tc>
        <w:tc>
          <w:tcPr>
            <w:tcW w:w="1260" w:type="dxa"/>
            <w:tcBorders>
              <w:top w:val="single" w:sz="4" w:space="0" w:color="auto"/>
              <w:left w:val="single" w:sz="4" w:space="0" w:color="auto"/>
              <w:bottom w:val="single" w:sz="4" w:space="0" w:color="auto"/>
              <w:right w:val="single" w:sz="4" w:space="0" w:color="auto"/>
            </w:tcBorders>
            <w:hideMark/>
          </w:tcPr>
          <w:p w14:paraId="60FF158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5.91%</w:t>
            </w:r>
          </w:p>
        </w:tc>
        <w:tc>
          <w:tcPr>
            <w:tcW w:w="1440" w:type="dxa"/>
            <w:tcBorders>
              <w:top w:val="single" w:sz="4" w:space="0" w:color="auto"/>
              <w:left w:val="single" w:sz="4" w:space="0" w:color="auto"/>
              <w:bottom w:val="single" w:sz="4" w:space="0" w:color="auto"/>
              <w:right w:val="single" w:sz="4" w:space="0" w:color="auto"/>
            </w:tcBorders>
            <w:hideMark/>
          </w:tcPr>
          <w:p w14:paraId="34E9D1C2"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34.41%</w:t>
            </w:r>
          </w:p>
        </w:tc>
        <w:tc>
          <w:tcPr>
            <w:tcW w:w="1195" w:type="dxa"/>
            <w:tcBorders>
              <w:top w:val="single" w:sz="4" w:space="0" w:color="auto"/>
              <w:left w:val="single" w:sz="4" w:space="0" w:color="auto"/>
              <w:bottom w:val="single" w:sz="4" w:space="0" w:color="auto"/>
              <w:right w:val="single" w:sz="4" w:space="0" w:color="auto"/>
            </w:tcBorders>
            <w:hideMark/>
          </w:tcPr>
          <w:p w14:paraId="0920C0AB"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186</w:t>
            </w:r>
          </w:p>
        </w:tc>
      </w:tr>
      <w:tr w:rsidR="00C714D3" w:rsidRPr="00E869A4" w14:paraId="577EED1D"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4100E472"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Emergency Housing Grant</w:t>
            </w:r>
          </w:p>
        </w:tc>
        <w:tc>
          <w:tcPr>
            <w:tcW w:w="1162" w:type="dxa"/>
            <w:tcBorders>
              <w:top w:val="single" w:sz="4" w:space="0" w:color="auto"/>
              <w:left w:val="single" w:sz="4" w:space="0" w:color="auto"/>
              <w:bottom w:val="single" w:sz="4" w:space="0" w:color="auto"/>
              <w:right w:val="single" w:sz="4" w:space="0" w:color="auto"/>
            </w:tcBorders>
            <w:hideMark/>
          </w:tcPr>
          <w:p w14:paraId="5A48AF7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1.13%</w:t>
            </w:r>
          </w:p>
        </w:tc>
        <w:tc>
          <w:tcPr>
            <w:tcW w:w="1268" w:type="dxa"/>
            <w:tcBorders>
              <w:top w:val="single" w:sz="4" w:space="0" w:color="auto"/>
              <w:left w:val="single" w:sz="4" w:space="0" w:color="auto"/>
              <w:bottom w:val="single" w:sz="4" w:space="0" w:color="auto"/>
              <w:right w:val="single" w:sz="4" w:space="0" w:color="auto"/>
            </w:tcBorders>
            <w:hideMark/>
          </w:tcPr>
          <w:p w14:paraId="3180886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12.99%</w:t>
            </w:r>
          </w:p>
        </w:tc>
        <w:tc>
          <w:tcPr>
            <w:tcW w:w="2070" w:type="dxa"/>
            <w:tcBorders>
              <w:top w:val="single" w:sz="4" w:space="0" w:color="auto"/>
              <w:left w:val="single" w:sz="4" w:space="0" w:color="auto"/>
              <w:bottom w:val="single" w:sz="4" w:space="0" w:color="auto"/>
              <w:right w:val="single" w:sz="4" w:space="0" w:color="auto"/>
            </w:tcBorders>
            <w:hideMark/>
          </w:tcPr>
          <w:p w14:paraId="2AFEA4C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24.29%</w:t>
            </w:r>
          </w:p>
        </w:tc>
        <w:tc>
          <w:tcPr>
            <w:tcW w:w="1260" w:type="dxa"/>
            <w:tcBorders>
              <w:top w:val="single" w:sz="4" w:space="0" w:color="auto"/>
              <w:left w:val="single" w:sz="4" w:space="0" w:color="auto"/>
              <w:bottom w:val="single" w:sz="4" w:space="0" w:color="auto"/>
              <w:right w:val="single" w:sz="4" w:space="0" w:color="auto"/>
            </w:tcBorders>
            <w:hideMark/>
          </w:tcPr>
          <w:p w14:paraId="06041E5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14.69%</w:t>
            </w:r>
          </w:p>
        </w:tc>
        <w:tc>
          <w:tcPr>
            <w:tcW w:w="1260" w:type="dxa"/>
            <w:tcBorders>
              <w:top w:val="single" w:sz="4" w:space="0" w:color="auto"/>
              <w:left w:val="single" w:sz="4" w:space="0" w:color="auto"/>
              <w:bottom w:val="single" w:sz="4" w:space="0" w:color="auto"/>
              <w:right w:val="single" w:sz="4" w:space="0" w:color="auto"/>
            </w:tcBorders>
            <w:hideMark/>
          </w:tcPr>
          <w:p w14:paraId="670CC45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9.60%</w:t>
            </w:r>
          </w:p>
        </w:tc>
        <w:tc>
          <w:tcPr>
            <w:tcW w:w="1440" w:type="dxa"/>
            <w:tcBorders>
              <w:top w:val="single" w:sz="4" w:space="0" w:color="auto"/>
              <w:left w:val="single" w:sz="4" w:space="0" w:color="auto"/>
              <w:bottom w:val="single" w:sz="4" w:space="0" w:color="auto"/>
              <w:right w:val="single" w:sz="4" w:space="0" w:color="auto"/>
            </w:tcBorders>
            <w:hideMark/>
          </w:tcPr>
          <w:p w14:paraId="6FD574E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37.29%</w:t>
            </w:r>
          </w:p>
        </w:tc>
        <w:tc>
          <w:tcPr>
            <w:tcW w:w="1195" w:type="dxa"/>
            <w:tcBorders>
              <w:top w:val="single" w:sz="4" w:space="0" w:color="auto"/>
              <w:left w:val="single" w:sz="4" w:space="0" w:color="auto"/>
              <w:bottom w:val="single" w:sz="4" w:space="0" w:color="auto"/>
              <w:right w:val="single" w:sz="4" w:space="0" w:color="auto"/>
            </w:tcBorders>
            <w:hideMark/>
          </w:tcPr>
          <w:p w14:paraId="6AF1C0D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177</w:t>
            </w:r>
          </w:p>
        </w:tc>
      </w:tr>
      <w:tr w:rsidR="00C714D3" w:rsidRPr="00E869A4" w14:paraId="7953F99A"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3B5B4D9F"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Geriatric Adolescent Partnership Programme (GAPP)</w:t>
            </w:r>
          </w:p>
        </w:tc>
        <w:tc>
          <w:tcPr>
            <w:tcW w:w="1162" w:type="dxa"/>
            <w:tcBorders>
              <w:top w:val="single" w:sz="4" w:space="0" w:color="auto"/>
              <w:left w:val="single" w:sz="4" w:space="0" w:color="auto"/>
              <w:bottom w:val="single" w:sz="4" w:space="0" w:color="auto"/>
              <w:right w:val="single" w:sz="4" w:space="0" w:color="auto"/>
            </w:tcBorders>
            <w:hideMark/>
          </w:tcPr>
          <w:p w14:paraId="38BDAFAB"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6.70%</w:t>
            </w:r>
          </w:p>
        </w:tc>
        <w:tc>
          <w:tcPr>
            <w:tcW w:w="1268" w:type="dxa"/>
            <w:tcBorders>
              <w:top w:val="single" w:sz="4" w:space="0" w:color="auto"/>
              <w:left w:val="single" w:sz="4" w:space="0" w:color="auto"/>
              <w:bottom w:val="single" w:sz="4" w:space="0" w:color="auto"/>
              <w:right w:val="single" w:sz="4" w:space="0" w:color="auto"/>
            </w:tcBorders>
            <w:hideMark/>
          </w:tcPr>
          <w:p w14:paraId="600903F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21.79%</w:t>
            </w:r>
          </w:p>
        </w:tc>
        <w:tc>
          <w:tcPr>
            <w:tcW w:w="2070" w:type="dxa"/>
            <w:tcBorders>
              <w:top w:val="single" w:sz="4" w:space="0" w:color="auto"/>
              <w:left w:val="single" w:sz="4" w:space="0" w:color="auto"/>
              <w:bottom w:val="single" w:sz="4" w:space="0" w:color="auto"/>
              <w:right w:val="single" w:sz="4" w:space="0" w:color="auto"/>
            </w:tcBorders>
            <w:hideMark/>
          </w:tcPr>
          <w:p w14:paraId="54EA1A8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26.26%</w:t>
            </w:r>
          </w:p>
        </w:tc>
        <w:tc>
          <w:tcPr>
            <w:tcW w:w="1260" w:type="dxa"/>
            <w:tcBorders>
              <w:top w:val="single" w:sz="4" w:space="0" w:color="auto"/>
              <w:left w:val="single" w:sz="4" w:space="0" w:color="auto"/>
              <w:bottom w:val="single" w:sz="4" w:space="0" w:color="auto"/>
              <w:right w:val="single" w:sz="4" w:space="0" w:color="auto"/>
            </w:tcBorders>
            <w:hideMark/>
          </w:tcPr>
          <w:p w14:paraId="3409B52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7.26%</w:t>
            </w:r>
          </w:p>
        </w:tc>
        <w:tc>
          <w:tcPr>
            <w:tcW w:w="1260" w:type="dxa"/>
            <w:tcBorders>
              <w:top w:val="single" w:sz="4" w:space="0" w:color="auto"/>
              <w:left w:val="single" w:sz="4" w:space="0" w:color="auto"/>
              <w:bottom w:val="single" w:sz="4" w:space="0" w:color="auto"/>
              <w:right w:val="single" w:sz="4" w:space="0" w:color="auto"/>
            </w:tcBorders>
            <w:hideMark/>
          </w:tcPr>
          <w:p w14:paraId="73771412"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3.91%</w:t>
            </w:r>
          </w:p>
        </w:tc>
        <w:tc>
          <w:tcPr>
            <w:tcW w:w="1440" w:type="dxa"/>
            <w:tcBorders>
              <w:top w:val="single" w:sz="4" w:space="0" w:color="auto"/>
              <w:left w:val="single" w:sz="4" w:space="0" w:color="auto"/>
              <w:bottom w:val="single" w:sz="4" w:space="0" w:color="auto"/>
              <w:right w:val="single" w:sz="4" w:space="0" w:color="auto"/>
            </w:tcBorders>
            <w:hideMark/>
          </w:tcPr>
          <w:p w14:paraId="3A49E94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34.08%</w:t>
            </w:r>
          </w:p>
        </w:tc>
        <w:tc>
          <w:tcPr>
            <w:tcW w:w="1195" w:type="dxa"/>
            <w:tcBorders>
              <w:top w:val="single" w:sz="4" w:space="0" w:color="auto"/>
              <w:left w:val="single" w:sz="4" w:space="0" w:color="auto"/>
              <w:bottom w:val="single" w:sz="4" w:space="0" w:color="auto"/>
              <w:right w:val="single" w:sz="4" w:space="0" w:color="auto"/>
            </w:tcBorders>
            <w:hideMark/>
          </w:tcPr>
          <w:p w14:paraId="4086400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179</w:t>
            </w:r>
          </w:p>
        </w:tc>
      </w:tr>
      <w:tr w:rsidR="00C714D3" w:rsidRPr="00E869A4" w14:paraId="22EDD965"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259B82B5"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Free Bus Service for Older Persons</w:t>
            </w:r>
          </w:p>
        </w:tc>
        <w:tc>
          <w:tcPr>
            <w:tcW w:w="1162" w:type="dxa"/>
            <w:tcBorders>
              <w:top w:val="single" w:sz="4" w:space="0" w:color="auto"/>
              <w:left w:val="single" w:sz="4" w:space="0" w:color="auto"/>
              <w:bottom w:val="single" w:sz="4" w:space="0" w:color="auto"/>
              <w:right w:val="single" w:sz="4" w:space="0" w:color="auto"/>
            </w:tcBorders>
            <w:hideMark/>
          </w:tcPr>
          <w:p w14:paraId="59F213A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36.13%</w:t>
            </w:r>
          </w:p>
        </w:tc>
        <w:tc>
          <w:tcPr>
            <w:tcW w:w="1268" w:type="dxa"/>
            <w:tcBorders>
              <w:top w:val="single" w:sz="4" w:space="0" w:color="auto"/>
              <w:left w:val="single" w:sz="4" w:space="0" w:color="auto"/>
              <w:bottom w:val="single" w:sz="4" w:space="0" w:color="auto"/>
              <w:right w:val="single" w:sz="4" w:space="0" w:color="auto"/>
            </w:tcBorders>
            <w:hideMark/>
          </w:tcPr>
          <w:p w14:paraId="36E996F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36.13%</w:t>
            </w:r>
          </w:p>
        </w:tc>
        <w:tc>
          <w:tcPr>
            <w:tcW w:w="2070" w:type="dxa"/>
            <w:tcBorders>
              <w:top w:val="single" w:sz="4" w:space="0" w:color="auto"/>
              <w:left w:val="single" w:sz="4" w:space="0" w:color="auto"/>
              <w:bottom w:val="single" w:sz="4" w:space="0" w:color="auto"/>
              <w:right w:val="single" w:sz="4" w:space="0" w:color="auto"/>
            </w:tcBorders>
            <w:hideMark/>
          </w:tcPr>
          <w:p w14:paraId="3A5211C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10.99%</w:t>
            </w:r>
          </w:p>
        </w:tc>
        <w:tc>
          <w:tcPr>
            <w:tcW w:w="1260" w:type="dxa"/>
            <w:tcBorders>
              <w:top w:val="single" w:sz="4" w:space="0" w:color="auto"/>
              <w:left w:val="single" w:sz="4" w:space="0" w:color="auto"/>
              <w:bottom w:val="single" w:sz="4" w:space="0" w:color="auto"/>
              <w:right w:val="single" w:sz="4" w:space="0" w:color="auto"/>
            </w:tcBorders>
            <w:hideMark/>
          </w:tcPr>
          <w:p w14:paraId="7981873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2.09%</w:t>
            </w:r>
          </w:p>
        </w:tc>
        <w:tc>
          <w:tcPr>
            <w:tcW w:w="1260" w:type="dxa"/>
            <w:tcBorders>
              <w:top w:val="single" w:sz="4" w:space="0" w:color="auto"/>
              <w:left w:val="single" w:sz="4" w:space="0" w:color="auto"/>
              <w:bottom w:val="single" w:sz="4" w:space="0" w:color="auto"/>
              <w:right w:val="single" w:sz="4" w:space="0" w:color="auto"/>
            </w:tcBorders>
            <w:hideMark/>
          </w:tcPr>
          <w:p w14:paraId="792C329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2.62%</w:t>
            </w:r>
          </w:p>
        </w:tc>
        <w:tc>
          <w:tcPr>
            <w:tcW w:w="1440" w:type="dxa"/>
            <w:tcBorders>
              <w:top w:val="single" w:sz="4" w:space="0" w:color="auto"/>
              <w:left w:val="single" w:sz="4" w:space="0" w:color="auto"/>
              <w:bottom w:val="single" w:sz="4" w:space="0" w:color="auto"/>
              <w:right w:val="single" w:sz="4" w:space="0" w:color="auto"/>
            </w:tcBorders>
            <w:hideMark/>
          </w:tcPr>
          <w:p w14:paraId="2F9E02A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12.04%</w:t>
            </w:r>
          </w:p>
        </w:tc>
        <w:tc>
          <w:tcPr>
            <w:tcW w:w="1195" w:type="dxa"/>
            <w:tcBorders>
              <w:top w:val="single" w:sz="4" w:space="0" w:color="auto"/>
              <w:left w:val="single" w:sz="4" w:space="0" w:color="auto"/>
              <w:bottom w:val="single" w:sz="4" w:space="0" w:color="auto"/>
              <w:right w:val="single" w:sz="4" w:space="0" w:color="auto"/>
            </w:tcBorders>
            <w:hideMark/>
          </w:tcPr>
          <w:p w14:paraId="5BD8B03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191</w:t>
            </w:r>
          </w:p>
        </w:tc>
      </w:tr>
      <w:tr w:rsidR="00C714D3" w:rsidRPr="00E869A4" w14:paraId="0CDA971B"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19B9CB3D"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Free Ferry Service for Older Persons</w:t>
            </w:r>
          </w:p>
        </w:tc>
        <w:tc>
          <w:tcPr>
            <w:tcW w:w="1162" w:type="dxa"/>
            <w:tcBorders>
              <w:top w:val="single" w:sz="4" w:space="0" w:color="auto"/>
              <w:left w:val="single" w:sz="4" w:space="0" w:color="auto"/>
              <w:bottom w:val="single" w:sz="4" w:space="0" w:color="auto"/>
              <w:right w:val="single" w:sz="4" w:space="0" w:color="auto"/>
            </w:tcBorders>
            <w:hideMark/>
          </w:tcPr>
          <w:p w14:paraId="07B6AAF2"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37.11%</w:t>
            </w:r>
          </w:p>
        </w:tc>
        <w:tc>
          <w:tcPr>
            <w:tcW w:w="1268" w:type="dxa"/>
            <w:tcBorders>
              <w:top w:val="single" w:sz="4" w:space="0" w:color="auto"/>
              <w:left w:val="single" w:sz="4" w:space="0" w:color="auto"/>
              <w:bottom w:val="single" w:sz="4" w:space="0" w:color="auto"/>
              <w:right w:val="single" w:sz="4" w:space="0" w:color="auto"/>
            </w:tcBorders>
            <w:hideMark/>
          </w:tcPr>
          <w:p w14:paraId="05C8B9D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39.18%</w:t>
            </w:r>
          </w:p>
        </w:tc>
        <w:tc>
          <w:tcPr>
            <w:tcW w:w="2070" w:type="dxa"/>
            <w:tcBorders>
              <w:top w:val="single" w:sz="4" w:space="0" w:color="auto"/>
              <w:left w:val="single" w:sz="4" w:space="0" w:color="auto"/>
              <w:bottom w:val="single" w:sz="4" w:space="0" w:color="auto"/>
              <w:right w:val="single" w:sz="4" w:space="0" w:color="auto"/>
            </w:tcBorders>
            <w:hideMark/>
          </w:tcPr>
          <w:p w14:paraId="008E423A"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8.76%</w:t>
            </w:r>
          </w:p>
        </w:tc>
        <w:tc>
          <w:tcPr>
            <w:tcW w:w="1260" w:type="dxa"/>
            <w:tcBorders>
              <w:top w:val="single" w:sz="4" w:space="0" w:color="auto"/>
              <w:left w:val="single" w:sz="4" w:space="0" w:color="auto"/>
              <w:bottom w:val="single" w:sz="4" w:space="0" w:color="auto"/>
              <w:right w:val="single" w:sz="4" w:space="0" w:color="auto"/>
            </w:tcBorders>
            <w:hideMark/>
          </w:tcPr>
          <w:p w14:paraId="6C8F6BBB"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0%</w:t>
            </w:r>
          </w:p>
        </w:tc>
        <w:tc>
          <w:tcPr>
            <w:tcW w:w="1260" w:type="dxa"/>
            <w:tcBorders>
              <w:top w:val="single" w:sz="4" w:space="0" w:color="auto"/>
              <w:left w:val="single" w:sz="4" w:space="0" w:color="auto"/>
              <w:bottom w:val="single" w:sz="4" w:space="0" w:color="auto"/>
              <w:right w:val="single" w:sz="4" w:space="0" w:color="auto"/>
            </w:tcBorders>
            <w:hideMark/>
          </w:tcPr>
          <w:p w14:paraId="5524DBC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2.06%</w:t>
            </w:r>
          </w:p>
        </w:tc>
        <w:tc>
          <w:tcPr>
            <w:tcW w:w="1440" w:type="dxa"/>
            <w:tcBorders>
              <w:top w:val="single" w:sz="4" w:space="0" w:color="auto"/>
              <w:left w:val="single" w:sz="4" w:space="0" w:color="auto"/>
              <w:bottom w:val="single" w:sz="4" w:space="0" w:color="auto"/>
              <w:right w:val="single" w:sz="4" w:space="0" w:color="auto"/>
            </w:tcBorders>
            <w:hideMark/>
          </w:tcPr>
          <w:p w14:paraId="020FFD1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12.89%</w:t>
            </w:r>
          </w:p>
        </w:tc>
        <w:tc>
          <w:tcPr>
            <w:tcW w:w="1195" w:type="dxa"/>
            <w:tcBorders>
              <w:top w:val="single" w:sz="4" w:space="0" w:color="auto"/>
              <w:left w:val="single" w:sz="4" w:space="0" w:color="auto"/>
              <w:bottom w:val="single" w:sz="4" w:space="0" w:color="auto"/>
              <w:right w:val="single" w:sz="4" w:space="0" w:color="auto"/>
            </w:tcBorders>
            <w:hideMark/>
          </w:tcPr>
          <w:p w14:paraId="3A6D441B"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194</w:t>
            </w:r>
          </w:p>
        </w:tc>
      </w:tr>
      <w:tr w:rsidR="00C714D3" w:rsidRPr="00E869A4" w14:paraId="00EE5681"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38E3A261"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Household Items Grant</w:t>
            </w:r>
          </w:p>
        </w:tc>
        <w:tc>
          <w:tcPr>
            <w:tcW w:w="1162" w:type="dxa"/>
            <w:tcBorders>
              <w:top w:val="single" w:sz="4" w:space="0" w:color="auto"/>
              <w:left w:val="single" w:sz="4" w:space="0" w:color="auto"/>
              <w:bottom w:val="single" w:sz="4" w:space="0" w:color="auto"/>
              <w:right w:val="single" w:sz="4" w:space="0" w:color="auto"/>
            </w:tcBorders>
            <w:hideMark/>
          </w:tcPr>
          <w:p w14:paraId="0FD9263A"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6.50%</w:t>
            </w:r>
          </w:p>
        </w:tc>
        <w:tc>
          <w:tcPr>
            <w:tcW w:w="1268" w:type="dxa"/>
            <w:tcBorders>
              <w:top w:val="single" w:sz="4" w:space="0" w:color="auto"/>
              <w:left w:val="single" w:sz="4" w:space="0" w:color="auto"/>
              <w:bottom w:val="single" w:sz="4" w:space="0" w:color="auto"/>
              <w:right w:val="single" w:sz="4" w:space="0" w:color="auto"/>
            </w:tcBorders>
            <w:hideMark/>
          </w:tcPr>
          <w:p w14:paraId="189C4162"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17.07%</w:t>
            </w:r>
          </w:p>
        </w:tc>
        <w:tc>
          <w:tcPr>
            <w:tcW w:w="2070" w:type="dxa"/>
            <w:tcBorders>
              <w:top w:val="single" w:sz="4" w:space="0" w:color="auto"/>
              <w:left w:val="single" w:sz="4" w:space="0" w:color="auto"/>
              <w:bottom w:val="single" w:sz="4" w:space="0" w:color="auto"/>
              <w:right w:val="single" w:sz="4" w:space="0" w:color="auto"/>
            </w:tcBorders>
            <w:hideMark/>
          </w:tcPr>
          <w:p w14:paraId="3D851CE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21.14%</w:t>
            </w:r>
          </w:p>
        </w:tc>
        <w:tc>
          <w:tcPr>
            <w:tcW w:w="1260" w:type="dxa"/>
            <w:tcBorders>
              <w:top w:val="single" w:sz="4" w:space="0" w:color="auto"/>
              <w:left w:val="single" w:sz="4" w:space="0" w:color="auto"/>
              <w:bottom w:val="single" w:sz="4" w:space="0" w:color="auto"/>
              <w:right w:val="single" w:sz="4" w:space="0" w:color="auto"/>
            </w:tcBorders>
            <w:hideMark/>
          </w:tcPr>
          <w:p w14:paraId="36B37F2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9.76%</w:t>
            </w:r>
          </w:p>
        </w:tc>
        <w:tc>
          <w:tcPr>
            <w:tcW w:w="1260" w:type="dxa"/>
            <w:tcBorders>
              <w:top w:val="single" w:sz="4" w:space="0" w:color="auto"/>
              <w:left w:val="single" w:sz="4" w:space="0" w:color="auto"/>
              <w:bottom w:val="single" w:sz="4" w:space="0" w:color="auto"/>
              <w:right w:val="single" w:sz="4" w:space="0" w:color="auto"/>
            </w:tcBorders>
            <w:hideMark/>
          </w:tcPr>
          <w:p w14:paraId="1F21A07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2.44%</w:t>
            </w:r>
          </w:p>
        </w:tc>
        <w:tc>
          <w:tcPr>
            <w:tcW w:w="1440" w:type="dxa"/>
            <w:tcBorders>
              <w:top w:val="single" w:sz="4" w:space="0" w:color="auto"/>
              <w:left w:val="single" w:sz="4" w:space="0" w:color="auto"/>
              <w:bottom w:val="single" w:sz="4" w:space="0" w:color="auto"/>
              <w:right w:val="single" w:sz="4" w:space="0" w:color="auto"/>
            </w:tcBorders>
            <w:hideMark/>
          </w:tcPr>
          <w:p w14:paraId="68167A0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43.09%</w:t>
            </w:r>
          </w:p>
        </w:tc>
        <w:tc>
          <w:tcPr>
            <w:tcW w:w="1195" w:type="dxa"/>
            <w:tcBorders>
              <w:top w:val="single" w:sz="4" w:space="0" w:color="auto"/>
              <w:left w:val="single" w:sz="4" w:space="0" w:color="auto"/>
              <w:bottom w:val="single" w:sz="4" w:space="0" w:color="auto"/>
              <w:right w:val="single" w:sz="4" w:space="0" w:color="auto"/>
            </w:tcBorders>
            <w:hideMark/>
          </w:tcPr>
          <w:p w14:paraId="4155501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123</w:t>
            </w:r>
          </w:p>
        </w:tc>
      </w:tr>
      <w:tr w:rsidR="00C714D3" w:rsidRPr="00E869A4" w14:paraId="510B2C97"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527945AA"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Medical Equipment Grant</w:t>
            </w:r>
          </w:p>
        </w:tc>
        <w:tc>
          <w:tcPr>
            <w:tcW w:w="1162" w:type="dxa"/>
            <w:tcBorders>
              <w:top w:val="single" w:sz="4" w:space="0" w:color="auto"/>
              <w:left w:val="single" w:sz="4" w:space="0" w:color="auto"/>
              <w:bottom w:val="single" w:sz="4" w:space="0" w:color="auto"/>
              <w:right w:val="single" w:sz="4" w:space="0" w:color="auto"/>
            </w:tcBorders>
            <w:hideMark/>
          </w:tcPr>
          <w:p w14:paraId="11726A72"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3.31%</w:t>
            </w:r>
          </w:p>
        </w:tc>
        <w:tc>
          <w:tcPr>
            <w:tcW w:w="1268" w:type="dxa"/>
            <w:tcBorders>
              <w:top w:val="single" w:sz="4" w:space="0" w:color="auto"/>
              <w:left w:val="single" w:sz="4" w:space="0" w:color="auto"/>
              <w:bottom w:val="single" w:sz="4" w:space="0" w:color="auto"/>
              <w:right w:val="single" w:sz="4" w:space="0" w:color="auto"/>
            </w:tcBorders>
            <w:hideMark/>
          </w:tcPr>
          <w:p w14:paraId="6D6A54A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19.83%</w:t>
            </w:r>
          </w:p>
        </w:tc>
        <w:tc>
          <w:tcPr>
            <w:tcW w:w="2070" w:type="dxa"/>
            <w:tcBorders>
              <w:top w:val="single" w:sz="4" w:space="0" w:color="auto"/>
              <w:left w:val="single" w:sz="4" w:space="0" w:color="auto"/>
              <w:bottom w:val="single" w:sz="4" w:space="0" w:color="auto"/>
              <w:right w:val="single" w:sz="4" w:space="0" w:color="auto"/>
            </w:tcBorders>
            <w:hideMark/>
          </w:tcPr>
          <w:p w14:paraId="233D8DB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19.83%</w:t>
            </w:r>
          </w:p>
        </w:tc>
        <w:tc>
          <w:tcPr>
            <w:tcW w:w="1260" w:type="dxa"/>
            <w:tcBorders>
              <w:top w:val="single" w:sz="4" w:space="0" w:color="auto"/>
              <w:left w:val="single" w:sz="4" w:space="0" w:color="auto"/>
              <w:bottom w:val="single" w:sz="4" w:space="0" w:color="auto"/>
              <w:right w:val="single" w:sz="4" w:space="0" w:color="auto"/>
            </w:tcBorders>
            <w:hideMark/>
          </w:tcPr>
          <w:p w14:paraId="0B7173A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10.74%</w:t>
            </w:r>
          </w:p>
        </w:tc>
        <w:tc>
          <w:tcPr>
            <w:tcW w:w="1260" w:type="dxa"/>
            <w:tcBorders>
              <w:top w:val="single" w:sz="4" w:space="0" w:color="auto"/>
              <w:left w:val="single" w:sz="4" w:space="0" w:color="auto"/>
              <w:bottom w:val="single" w:sz="4" w:space="0" w:color="auto"/>
              <w:right w:val="single" w:sz="4" w:space="0" w:color="auto"/>
            </w:tcBorders>
            <w:hideMark/>
          </w:tcPr>
          <w:p w14:paraId="1A6F8C6A"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4.96%</w:t>
            </w:r>
          </w:p>
        </w:tc>
        <w:tc>
          <w:tcPr>
            <w:tcW w:w="1440" w:type="dxa"/>
            <w:tcBorders>
              <w:top w:val="single" w:sz="4" w:space="0" w:color="auto"/>
              <w:left w:val="single" w:sz="4" w:space="0" w:color="auto"/>
              <w:bottom w:val="single" w:sz="4" w:space="0" w:color="auto"/>
              <w:right w:val="single" w:sz="4" w:space="0" w:color="auto"/>
            </w:tcBorders>
            <w:hideMark/>
          </w:tcPr>
          <w:p w14:paraId="446A8CC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41.32%</w:t>
            </w:r>
          </w:p>
        </w:tc>
        <w:tc>
          <w:tcPr>
            <w:tcW w:w="1195" w:type="dxa"/>
            <w:tcBorders>
              <w:top w:val="single" w:sz="4" w:space="0" w:color="auto"/>
              <w:left w:val="single" w:sz="4" w:space="0" w:color="auto"/>
              <w:bottom w:val="single" w:sz="4" w:space="0" w:color="auto"/>
              <w:right w:val="single" w:sz="4" w:space="0" w:color="auto"/>
            </w:tcBorders>
            <w:hideMark/>
          </w:tcPr>
          <w:p w14:paraId="46A8B3E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121</w:t>
            </w:r>
          </w:p>
        </w:tc>
      </w:tr>
      <w:tr w:rsidR="00C714D3" w:rsidRPr="00E869A4" w14:paraId="2FE2D894"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34BA7E1D"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Ministry of Housing &amp; Environment Home Improvement Grant</w:t>
            </w:r>
          </w:p>
        </w:tc>
        <w:tc>
          <w:tcPr>
            <w:tcW w:w="1162" w:type="dxa"/>
            <w:tcBorders>
              <w:top w:val="single" w:sz="4" w:space="0" w:color="auto"/>
              <w:left w:val="single" w:sz="4" w:space="0" w:color="auto"/>
              <w:bottom w:val="single" w:sz="4" w:space="0" w:color="auto"/>
              <w:right w:val="single" w:sz="4" w:space="0" w:color="auto"/>
            </w:tcBorders>
            <w:hideMark/>
          </w:tcPr>
          <w:p w14:paraId="7184EF8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2.48%</w:t>
            </w:r>
          </w:p>
        </w:tc>
        <w:tc>
          <w:tcPr>
            <w:tcW w:w="1268" w:type="dxa"/>
            <w:tcBorders>
              <w:top w:val="single" w:sz="4" w:space="0" w:color="auto"/>
              <w:left w:val="single" w:sz="4" w:space="0" w:color="auto"/>
              <w:bottom w:val="single" w:sz="4" w:space="0" w:color="auto"/>
              <w:right w:val="single" w:sz="4" w:space="0" w:color="auto"/>
            </w:tcBorders>
            <w:hideMark/>
          </w:tcPr>
          <w:p w14:paraId="13E61BC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22.31%</w:t>
            </w:r>
          </w:p>
        </w:tc>
        <w:tc>
          <w:tcPr>
            <w:tcW w:w="2070" w:type="dxa"/>
            <w:tcBorders>
              <w:top w:val="single" w:sz="4" w:space="0" w:color="auto"/>
              <w:left w:val="single" w:sz="4" w:space="0" w:color="auto"/>
              <w:bottom w:val="single" w:sz="4" w:space="0" w:color="auto"/>
              <w:right w:val="single" w:sz="4" w:space="0" w:color="auto"/>
            </w:tcBorders>
            <w:hideMark/>
          </w:tcPr>
          <w:p w14:paraId="7DC5A12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20.66%</w:t>
            </w:r>
          </w:p>
        </w:tc>
        <w:tc>
          <w:tcPr>
            <w:tcW w:w="1260" w:type="dxa"/>
            <w:tcBorders>
              <w:top w:val="single" w:sz="4" w:space="0" w:color="auto"/>
              <w:left w:val="single" w:sz="4" w:space="0" w:color="auto"/>
              <w:bottom w:val="single" w:sz="4" w:space="0" w:color="auto"/>
              <w:right w:val="single" w:sz="4" w:space="0" w:color="auto"/>
            </w:tcBorders>
            <w:hideMark/>
          </w:tcPr>
          <w:p w14:paraId="21C41D8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9.92%</w:t>
            </w:r>
          </w:p>
        </w:tc>
        <w:tc>
          <w:tcPr>
            <w:tcW w:w="1260" w:type="dxa"/>
            <w:tcBorders>
              <w:top w:val="single" w:sz="4" w:space="0" w:color="auto"/>
              <w:left w:val="single" w:sz="4" w:space="0" w:color="auto"/>
              <w:bottom w:val="single" w:sz="4" w:space="0" w:color="auto"/>
              <w:right w:val="single" w:sz="4" w:space="0" w:color="auto"/>
            </w:tcBorders>
            <w:hideMark/>
          </w:tcPr>
          <w:p w14:paraId="7BAE6FA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7.44%</w:t>
            </w:r>
          </w:p>
        </w:tc>
        <w:tc>
          <w:tcPr>
            <w:tcW w:w="1440" w:type="dxa"/>
            <w:tcBorders>
              <w:top w:val="single" w:sz="4" w:space="0" w:color="auto"/>
              <w:left w:val="single" w:sz="4" w:space="0" w:color="auto"/>
              <w:bottom w:val="single" w:sz="4" w:space="0" w:color="auto"/>
              <w:right w:val="single" w:sz="4" w:space="0" w:color="auto"/>
            </w:tcBorders>
            <w:hideMark/>
          </w:tcPr>
          <w:p w14:paraId="6DFF4EA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37.19%</w:t>
            </w:r>
          </w:p>
        </w:tc>
        <w:tc>
          <w:tcPr>
            <w:tcW w:w="1195" w:type="dxa"/>
            <w:tcBorders>
              <w:top w:val="single" w:sz="4" w:space="0" w:color="auto"/>
              <w:left w:val="single" w:sz="4" w:space="0" w:color="auto"/>
              <w:bottom w:val="single" w:sz="4" w:space="0" w:color="auto"/>
              <w:right w:val="single" w:sz="4" w:space="0" w:color="auto"/>
            </w:tcBorders>
            <w:hideMark/>
          </w:tcPr>
          <w:p w14:paraId="76798B53"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121</w:t>
            </w:r>
          </w:p>
        </w:tc>
      </w:tr>
      <w:tr w:rsidR="00C714D3" w:rsidRPr="00E869A4" w14:paraId="618E5161"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2C9B6F1F"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Old Age Pension (Senior Citizens Grant)</w:t>
            </w:r>
          </w:p>
        </w:tc>
        <w:tc>
          <w:tcPr>
            <w:tcW w:w="1162" w:type="dxa"/>
            <w:tcBorders>
              <w:top w:val="single" w:sz="4" w:space="0" w:color="auto"/>
              <w:left w:val="single" w:sz="4" w:space="0" w:color="auto"/>
              <w:bottom w:val="single" w:sz="4" w:space="0" w:color="auto"/>
              <w:right w:val="single" w:sz="4" w:space="0" w:color="auto"/>
            </w:tcBorders>
            <w:hideMark/>
          </w:tcPr>
          <w:p w14:paraId="6202CB6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24.61%</w:t>
            </w:r>
          </w:p>
        </w:tc>
        <w:tc>
          <w:tcPr>
            <w:tcW w:w="1268" w:type="dxa"/>
            <w:tcBorders>
              <w:top w:val="single" w:sz="4" w:space="0" w:color="auto"/>
              <w:left w:val="single" w:sz="4" w:space="0" w:color="auto"/>
              <w:bottom w:val="single" w:sz="4" w:space="0" w:color="auto"/>
              <w:right w:val="single" w:sz="4" w:space="0" w:color="auto"/>
            </w:tcBorders>
            <w:hideMark/>
          </w:tcPr>
          <w:p w14:paraId="20432CA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43.46%</w:t>
            </w:r>
          </w:p>
        </w:tc>
        <w:tc>
          <w:tcPr>
            <w:tcW w:w="2070" w:type="dxa"/>
            <w:tcBorders>
              <w:top w:val="single" w:sz="4" w:space="0" w:color="auto"/>
              <w:left w:val="single" w:sz="4" w:space="0" w:color="auto"/>
              <w:bottom w:val="single" w:sz="4" w:space="0" w:color="auto"/>
              <w:right w:val="single" w:sz="4" w:space="0" w:color="auto"/>
            </w:tcBorders>
            <w:hideMark/>
          </w:tcPr>
          <w:p w14:paraId="4C13E50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15.71%</w:t>
            </w:r>
          </w:p>
        </w:tc>
        <w:tc>
          <w:tcPr>
            <w:tcW w:w="1260" w:type="dxa"/>
            <w:tcBorders>
              <w:top w:val="single" w:sz="4" w:space="0" w:color="auto"/>
              <w:left w:val="single" w:sz="4" w:space="0" w:color="auto"/>
              <w:bottom w:val="single" w:sz="4" w:space="0" w:color="auto"/>
              <w:right w:val="single" w:sz="4" w:space="0" w:color="auto"/>
            </w:tcBorders>
            <w:hideMark/>
          </w:tcPr>
          <w:p w14:paraId="3245C41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8.90%</w:t>
            </w:r>
          </w:p>
        </w:tc>
        <w:tc>
          <w:tcPr>
            <w:tcW w:w="1260" w:type="dxa"/>
            <w:tcBorders>
              <w:top w:val="single" w:sz="4" w:space="0" w:color="auto"/>
              <w:left w:val="single" w:sz="4" w:space="0" w:color="auto"/>
              <w:bottom w:val="single" w:sz="4" w:space="0" w:color="auto"/>
              <w:right w:val="single" w:sz="4" w:space="0" w:color="auto"/>
            </w:tcBorders>
            <w:hideMark/>
          </w:tcPr>
          <w:p w14:paraId="397F6C1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2.62%</w:t>
            </w:r>
          </w:p>
        </w:tc>
        <w:tc>
          <w:tcPr>
            <w:tcW w:w="1440" w:type="dxa"/>
            <w:tcBorders>
              <w:top w:val="single" w:sz="4" w:space="0" w:color="auto"/>
              <w:left w:val="single" w:sz="4" w:space="0" w:color="auto"/>
              <w:bottom w:val="single" w:sz="4" w:space="0" w:color="auto"/>
              <w:right w:val="single" w:sz="4" w:space="0" w:color="auto"/>
            </w:tcBorders>
            <w:hideMark/>
          </w:tcPr>
          <w:p w14:paraId="68624C6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4.71%</w:t>
            </w:r>
          </w:p>
        </w:tc>
        <w:tc>
          <w:tcPr>
            <w:tcW w:w="1195" w:type="dxa"/>
            <w:tcBorders>
              <w:top w:val="single" w:sz="4" w:space="0" w:color="auto"/>
              <w:left w:val="single" w:sz="4" w:space="0" w:color="auto"/>
              <w:bottom w:val="single" w:sz="4" w:space="0" w:color="auto"/>
              <w:right w:val="single" w:sz="4" w:space="0" w:color="auto"/>
            </w:tcBorders>
            <w:hideMark/>
          </w:tcPr>
          <w:p w14:paraId="1E19DF0A"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191</w:t>
            </w:r>
          </w:p>
        </w:tc>
      </w:tr>
      <w:tr w:rsidR="00C714D3" w:rsidRPr="00E869A4" w14:paraId="4497C8B3"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2BD4F2C5"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Pharmaceutical Grant (for drugs not available at public dispensaries)</w:t>
            </w:r>
          </w:p>
        </w:tc>
        <w:tc>
          <w:tcPr>
            <w:tcW w:w="1162" w:type="dxa"/>
            <w:tcBorders>
              <w:top w:val="single" w:sz="4" w:space="0" w:color="auto"/>
              <w:left w:val="single" w:sz="4" w:space="0" w:color="auto"/>
              <w:bottom w:val="single" w:sz="4" w:space="0" w:color="auto"/>
              <w:right w:val="single" w:sz="4" w:space="0" w:color="auto"/>
            </w:tcBorders>
            <w:hideMark/>
          </w:tcPr>
          <w:p w14:paraId="2372451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9.38%</w:t>
            </w:r>
          </w:p>
        </w:tc>
        <w:tc>
          <w:tcPr>
            <w:tcW w:w="1268" w:type="dxa"/>
            <w:tcBorders>
              <w:top w:val="single" w:sz="4" w:space="0" w:color="auto"/>
              <w:left w:val="single" w:sz="4" w:space="0" w:color="auto"/>
              <w:bottom w:val="single" w:sz="4" w:space="0" w:color="auto"/>
              <w:right w:val="single" w:sz="4" w:space="0" w:color="auto"/>
            </w:tcBorders>
            <w:hideMark/>
          </w:tcPr>
          <w:p w14:paraId="71D033F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25.78%</w:t>
            </w:r>
          </w:p>
        </w:tc>
        <w:tc>
          <w:tcPr>
            <w:tcW w:w="2070" w:type="dxa"/>
            <w:tcBorders>
              <w:top w:val="single" w:sz="4" w:space="0" w:color="auto"/>
              <w:left w:val="single" w:sz="4" w:space="0" w:color="auto"/>
              <w:bottom w:val="single" w:sz="4" w:space="0" w:color="auto"/>
              <w:right w:val="single" w:sz="4" w:space="0" w:color="auto"/>
            </w:tcBorders>
            <w:hideMark/>
          </w:tcPr>
          <w:p w14:paraId="5B65F9D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21.09%</w:t>
            </w:r>
          </w:p>
        </w:tc>
        <w:tc>
          <w:tcPr>
            <w:tcW w:w="1260" w:type="dxa"/>
            <w:tcBorders>
              <w:top w:val="single" w:sz="4" w:space="0" w:color="auto"/>
              <w:left w:val="single" w:sz="4" w:space="0" w:color="auto"/>
              <w:bottom w:val="single" w:sz="4" w:space="0" w:color="auto"/>
              <w:right w:val="single" w:sz="4" w:space="0" w:color="auto"/>
            </w:tcBorders>
            <w:hideMark/>
          </w:tcPr>
          <w:p w14:paraId="722FBEF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7.81%</w:t>
            </w:r>
          </w:p>
        </w:tc>
        <w:tc>
          <w:tcPr>
            <w:tcW w:w="1260" w:type="dxa"/>
            <w:tcBorders>
              <w:top w:val="single" w:sz="4" w:space="0" w:color="auto"/>
              <w:left w:val="single" w:sz="4" w:space="0" w:color="auto"/>
              <w:bottom w:val="single" w:sz="4" w:space="0" w:color="auto"/>
              <w:right w:val="single" w:sz="4" w:space="0" w:color="auto"/>
            </w:tcBorders>
            <w:hideMark/>
          </w:tcPr>
          <w:p w14:paraId="2CBD2913"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4.69%</w:t>
            </w:r>
          </w:p>
        </w:tc>
        <w:tc>
          <w:tcPr>
            <w:tcW w:w="1440" w:type="dxa"/>
            <w:tcBorders>
              <w:top w:val="single" w:sz="4" w:space="0" w:color="auto"/>
              <w:left w:val="single" w:sz="4" w:space="0" w:color="auto"/>
              <w:bottom w:val="single" w:sz="4" w:space="0" w:color="auto"/>
              <w:right w:val="single" w:sz="4" w:space="0" w:color="auto"/>
            </w:tcBorders>
            <w:hideMark/>
          </w:tcPr>
          <w:p w14:paraId="6FDD8BC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31.25%</w:t>
            </w:r>
          </w:p>
        </w:tc>
        <w:tc>
          <w:tcPr>
            <w:tcW w:w="1195" w:type="dxa"/>
            <w:tcBorders>
              <w:top w:val="single" w:sz="4" w:space="0" w:color="auto"/>
              <w:left w:val="single" w:sz="4" w:space="0" w:color="auto"/>
              <w:bottom w:val="single" w:sz="4" w:space="0" w:color="auto"/>
              <w:right w:val="single" w:sz="4" w:space="0" w:color="auto"/>
            </w:tcBorders>
            <w:hideMark/>
          </w:tcPr>
          <w:p w14:paraId="21473A6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128</w:t>
            </w:r>
          </w:p>
        </w:tc>
      </w:tr>
      <w:tr w:rsidR="00C714D3" w:rsidRPr="00E869A4" w14:paraId="7512BE6E"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0DFB419D"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Public Assistance Grant</w:t>
            </w:r>
          </w:p>
        </w:tc>
        <w:tc>
          <w:tcPr>
            <w:tcW w:w="1162" w:type="dxa"/>
            <w:tcBorders>
              <w:top w:val="single" w:sz="4" w:space="0" w:color="auto"/>
              <w:left w:val="single" w:sz="4" w:space="0" w:color="auto"/>
              <w:bottom w:val="single" w:sz="4" w:space="0" w:color="auto"/>
              <w:right w:val="single" w:sz="4" w:space="0" w:color="auto"/>
            </w:tcBorders>
            <w:hideMark/>
          </w:tcPr>
          <w:p w14:paraId="7B10DB8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10.33%</w:t>
            </w:r>
          </w:p>
        </w:tc>
        <w:tc>
          <w:tcPr>
            <w:tcW w:w="1268" w:type="dxa"/>
            <w:tcBorders>
              <w:top w:val="single" w:sz="4" w:space="0" w:color="auto"/>
              <w:left w:val="single" w:sz="4" w:space="0" w:color="auto"/>
              <w:bottom w:val="single" w:sz="4" w:space="0" w:color="auto"/>
              <w:right w:val="single" w:sz="4" w:space="0" w:color="auto"/>
            </w:tcBorders>
            <w:hideMark/>
          </w:tcPr>
          <w:p w14:paraId="50C3C74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28.26%</w:t>
            </w:r>
          </w:p>
        </w:tc>
        <w:tc>
          <w:tcPr>
            <w:tcW w:w="2070" w:type="dxa"/>
            <w:tcBorders>
              <w:top w:val="single" w:sz="4" w:space="0" w:color="auto"/>
              <w:left w:val="single" w:sz="4" w:space="0" w:color="auto"/>
              <w:bottom w:val="single" w:sz="4" w:space="0" w:color="auto"/>
              <w:right w:val="single" w:sz="4" w:space="0" w:color="auto"/>
            </w:tcBorders>
            <w:hideMark/>
          </w:tcPr>
          <w:p w14:paraId="01C0CFD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21.20%</w:t>
            </w:r>
          </w:p>
        </w:tc>
        <w:tc>
          <w:tcPr>
            <w:tcW w:w="1260" w:type="dxa"/>
            <w:tcBorders>
              <w:top w:val="single" w:sz="4" w:space="0" w:color="auto"/>
              <w:left w:val="single" w:sz="4" w:space="0" w:color="auto"/>
              <w:bottom w:val="single" w:sz="4" w:space="0" w:color="auto"/>
              <w:right w:val="single" w:sz="4" w:space="0" w:color="auto"/>
            </w:tcBorders>
            <w:hideMark/>
          </w:tcPr>
          <w:p w14:paraId="5CF1B41B"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8.15%</w:t>
            </w:r>
          </w:p>
        </w:tc>
        <w:tc>
          <w:tcPr>
            <w:tcW w:w="1260" w:type="dxa"/>
            <w:tcBorders>
              <w:top w:val="single" w:sz="4" w:space="0" w:color="auto"/>
              <w:left w:val="single" w:sz="4" w:space="0" w:color="auto"/>
              <w:bottom w:val="single" w:sz="4" w:space="0" w:color="auto"/>
              <w:right w:val="single" w:sz="4" w:space="0" w:color="auto"/>
            </w:tcBorders>
            <w:hideMark/>
          </w:tcPr>
          <w:p w14:paraId="3F976393"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5.98%</w:t>
            </w:r>
          </w:p>
        </w:tc>
        <w:tc>
          <w:tcPr>
            <w:tcW w:w="1440" w:type="dxa"/>
            <w:tcBorders>
              <w:top w:val="single" w:sz="4" w:space="0" w:color="auto"/>
              <w:left w:val="single" w:sz="4" w:space="0" w:color="auto"/>
              <w:bottom w:val="single" w:sz="4" w:space="0" w:color="auto"/>
              <w:right w:val="single" w:sz="4" w:space="0" w:color="auto"/>
            </w:tcBorders>
            <w:hideMark/>
          </w:tcPr>
          <w:p w14:paraId="2DD3E13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26.09%</w:t>
            </w:r>
          </w:p>
        </w:tc>
        <w:tc>
          <w:tcPr>
            <w:tcW w:w="1195" w:type="dxa"/>
            <w:tcBorders>
              <w:top w:val="single" w:sz="4" w:space="0" w:color="auto"/>
              <w:left w:val="single" w:sz="4" w:space="0" w:color="auto"/>
              <w:bottom w:val="single" w:sz="4" w:space="0" w:color="auto"/>
              <w:right w:val="single" w:sz="4" w:space="0" w:color="auto"/>
            </w:tcBorders>
            <w:hideMark/>
          </w:tcPr>
          <w:p w14:paraId="347484A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184</w:t>
            </w:r>
          </w:p>
        </w:tc>
      </w:tr>
      <w:tr w:rsidR="00C714D3" w:rsidRPr="00E869A4" w14:paraId="2CAEACB1"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6B207D24"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Public Health Care</w:t>
            </w:r>
          </w:p>
        </w:tc>
        <w:tc>
          <w:tcPr>
            <w:tcW w:w="1162" w:type="dxa"/>
            <w:tcBorders>
              <w:top w:val="single" w:sz="4" w:space="0" w:color="auto"/>
              <w:left w:val="single" w:sz="4" w:space="0" w:color="auto"/>
              <w:bottom w:val="single" w:sz="4" w:space="0" w:color="auto"/>
              <w:right w:val="single" w:sz="4" w:space="0" w:color="auto"/>
            </w:tcBorders>
            <w:hideMark/>
          </w:tcPr>
          <w:p w14:paraId="586DBF9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7.14%</w:t>
            </w:r>
          </w:p>
        </w:tc>
        <w:tc>
          <w:tcPr>
            <w:tcW w:w="1268" w:type="dxa"/>
            <w:tcBorders>
              <w:top w:val="single" w:sz="4" w:space="0" w:color="auto"/>
              <w:left w:val="single" w:sz="4" w:space="0" w:color="auto"/>
              <w:bottom w:val="single" w:sz="4" w:space="0" w:color="auto"/>
              <w:right w:val="single" w:sz="4" w:space="0" w:color="auto"/>
            </w:tcBorders>
            <w:hideMark/>
          </w:tcPr>
          <w:p w14:paraId="055C0B4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15.38%</w:t>
            </w:r>
          </w:p>
        </w:tc>
        <w:tc>
          <w:tcPr>
            <w:tcW w:w="2070" w:type="dxa"/>
            <w:tcBorders>
              <w:top w:val="single" w:sz="4" w:space="0" w:color="auto"/>
              <w:left w:val="single" w:sz="4" w:space="0" w:color="auto"/>
              <w:bottom w:val="single" w:sz="4" w:space="0" w:color="auto"/>
              <w:right w:val="single" w:sz="4" w:space="0" w:color="auto"/>
            </w:tcBorders>
            <w:hideMark/>
          </w:tcPr>
          <w:p w14:paraId="372878B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21.43%</w:t>
            </w:r>
          </w:p>
        </w:tc>
        <w:tc>
          <w:tcPr>
            <w:tcW w:w="1260" w:type="dxa"/>
            <w:tcBorders>
              <w:top w:val="single" w:sz="4" w:space="0" w:color="auto"/>
              <w:left w:val="single" w:sz="4" w:space="0" w:color="auto"/>
              <w:bottom w:val="single" w:sz="4" w:space="0" w:color="auto"/>
              <w:right w:val="single" w:sz="4" w:space="0" w:color="auto"/>
            </w:tcBorders>
            <w:hideMark/>
          </w:tcPr>
          <w:p w14:paraId="26AB852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26.92%</w:t>
            </w:r>
          </w:p>
        </w:tc>
        <w:tc>
          <w:tcPr>
            <w:tcW w:w="1260" w:type="dxa"/>
            <w:tcBorders>
              <w:top w:val="single" w:sz="4" w:space="0" w:color="auto"/>
              <w:left w:val="single" w:sz="4" w:space="0" w:color="auto"/>
              <w:bottom w:val="single" w:sz="4" w:space="0" w:color="auto"/>
              <w:right w:val="single" w:sz="4" w:space="0" w:color="auto"/>
            </w:tcBorders>
            <w:hideMark/>
          </w:tcPr>
          <w:p w14:paraId="1D201B5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17.03%</w:t>
            </w:r>
          </w:p>
        </w:tc>
        <w:tc>
          <w:tcPr>
            <w:tcW w:w="1440" w:type="dxa"/>
            <w:tcBorders>
              <w:top w:val="single" w:sz="4" w:space="0" w:color="auto"/>
              <w:left w:val="single" w:sz="4" w:space="0" w:color="auto"/>
              <w:bottom w:val="single" w:sz="4" w:space="0" w:color="auto"/>
              <w:right w:val="single" w:sz="4" w:space="0" w:color="auto"/>
            </w:tcBorders>
            <w:hideMark/>
          </w:tcPr>
          <w:p w14:paraId="73C66B5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12.09%</w:t>
            </w:r>
          </w:p>
        </w:tc>
        <w:tc>
          <w:tcPr>
            <w:tcW w:w="1195" w:type="dxa"/>
            <w:tcBorders>
              <w:top w:val="single" w:sz="4" w:space="0" w:color="auto"/>
              <w:left w:val="single" w:sz="4" w:space="0" w:color="auto"/>
              <w:bottom w:val="single" w:sz="4" w:space="0" w:color="auto"/>
              <w:right w:val="single" w:sz="4" w:space="0" w:color="auto"/>
            </w:tcBorders>
            <w:hideMark/>
          </w:tcPr>
          <w:p w14:paraId="1E11D1E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182</w:t>
            </w:r>
          </w:p>
        </w:tc>
      </w:tr>
      <w:tr w:rsidR="00C714D3" w:rsidRPr="00E869A4" w14:paraId="21CE572B"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4423BBFF"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Self Help Minor Repairs Grant / Reconstruction Grant</w:t>
            </w:r>
          </w:p>
        </w:tc>
        <w:tc>
          <w:tcPr>
            <w:tcW w:w="1162" w:type="dxa"/>
            <w:tcBorders>
              <w:top w:val="single" w:sz="4" w:space="0" w:color="auto"/>
              <w:left w:val="single" w:sz="4" w:space="0" w:color="auto"/>
              <w:bottom w:val="single" w:sz="4" w:space="0" w:color="auto"/>
              <w:right w:val="single" w:sz="4" w:space="0" w:color="auto"/>
            </w:tcBorders>
            <w:hideMark/>
          </w:tcPr>
          <w:p w14:paraId="29EFFA3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4.03%</w:t>
            </w:r>
          </w:p>
        </w:tc>
        <w:tc>
          <w:tcPr>
            <w:tcW w:w="1268" w:type="dxa"/>
            <w:tcBorders>
              <w:top w:val="single" w:sz="4" w:space="0" w:color="auto"/>
              <w:left w:val="single" w:sz="4" w:space="0" w:color="auto"/>
              <w:bottom w:val="single" w:sz="4" w:space="0" w:color="auto"/>
              <w:right w:val="single" w:sz="4" w:space="0" w:color="auto"/>
            </w:tcBorders>
            <w:hideMark/>
          </w:tcPr>
          <w:p w14:paraId="765F860B"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18.55%</w:t>
            </w:r>
          </w:p>
        </w:tc>
        <w:tc>
          <w:tcPr>
            <w:tcW w:w="2070" w:type="dxa"/>
            <w:tcBorders>
              <w:top w:val="single" w:sz="4" w:space="0" w:color="auto"/>
              <w:left w:val="single" w:sz="4" w:space="0" w:color="auto"/>
              <w:bottom w:val="single" w:sz="4" w:space="0" w:color="auto"/>
              <w:right w:val="single" w:sz="4" w:space="0" w:color="auto"/>
            </w:tcBorders>
            <w:hideMark/>
          </w:tcPr>
          <w:p w14:paraId="49A6415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18.55%</w:t>
            </w:r>
          </w:p>
        </w:tc>
        <w:tc>
          <w:tcPr>
            <w:tcW w:w="1260" w:type="dxa"/>
            <w:tcBorders>
              <w:top w:val="single" w:sz="4" w:space="0" w:color="auto"/>
              <w:left w:val="single" w:sz="4" w:space="0" w:color="auto"/>
              <w:bottom w:val="single" w:sz="4" w:space="0" w:color="auto"/>
              <w:right w:val="single" w:sz="4" w:space="0" w:color="auto"/>
            </w:tcBorders>
            <w:hideMark/>
          </w:tcPr>
          <w:p w14:paraId="0A249AD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10.48%</w:t>
            </w:r>
          </w:p>
        </w:tc>
        <w:tc>
          <w:tcPr>
            <w:tcW w:w="1260" w:type="dxa"/>
            <w:tcBorders>
              <w:top w:val="single" w:sz="4" w:space="0" w:color="auto"/>
              <w:left w:val="single" w:sz="4" w:space="0" w:color="auto"/>
              <w:bottom w:val="single" w:sz="4" w:space="0" w:color="auto"/>
              <w:right w:val="single" w:sz="4" w:space="0" w:color="auto"/>
            </w:tcBorders>
            <w:hideMark/>
          </w:tcPr>
          <w:p w14:paraId="3955F35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8.06%</w:t>
            </w:r>
          </w:p>
        </w:tc>
        <w:tc>
          <w:tcPr>
            <w:tcW w:w="1440" w:type="dxa"/>
            <w:tcBorders>
              <w:top w:val="single" w:sz="4" w:space="0" w:color="auto"/>
              <w:left w:val="single" w:sz="4" w:space="0" w:color="auto"/>
              <w:bottom w:val="single" w:sz="4" w:space="0" w:color="auto"/>
              <w:right w:val="single" w:sz="4" w:space="0" w:color="auto"/>
            </w:tcBorders>
            <w:hideMark/>
          </w:tcPr>
          <w:p w14:paraId="31652F6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40.32%</w:t>
            </w:r>
          </w:p>
        </w:tc>
        <w:tc>
          <w:tcPr>
            <w:tcW w:w="1195" w:type="dxa"/>
            <w:tcBorders>
              <w:top w:val="single" w:sz="4" w:space="0" w:color="auto"/>
              <w:left w:val="single" w:sz="4" w:space="0" w:color="auto"/>
              <w:bottom w:val="single" w:sz="4" w:space="0" w:color="auto"/>
              <w:right w:val="single" w:sz="4" w:space="0" w:color="auto"/>
            </w:tcBorders>
            <w:hideMark/>
          </w:tcPr>
          <w:p w14:paraId="11D7E08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124</w:t>
            </w:r>
          </w:p>
        </w:tc>
      </w:tr>
      <w:tr w:rsidR="00C714D3" w:rsidRPr="00E869A4" w14:paraId="21432CA9"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03F2CD37"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Senior Activity Centre</w:t>
            </w:r>
          </w:p>
        </w:tc>
        <w:tc>
          <w:tcPr>
            <w:tcW w:w="1162" w:type="dxa"/>
            <w:tcBorders>
              <w:top w:val="single" w:sz="4" w:space="0" w:color="auto"/>
              <w:left w:val="single" w:sz="4" w:space="0" w:color="auto"/>
              <w:bottom w:val="single" w:sz="4" w:space="0" w:color="auto"/>
              <w:right w:val="single" w:sz="4" w:space="0" w:color="auto"/>
            </w:tcBorders>
            <w:hideMark/>
          </w:tcPr>
          <w:p w14:paraId="14B75A20"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9.66%</w:t>
            </w:r>
          </w:p>
        </w:tc>
        <w:tc>
          <w:tcPr>
            <w:tcW w:w="1268" w:type="dxa"/>
            <w:tcBorders>
              <w:top w:val="single" w:sz="4" w:space="0" w:color="auto"/>
              <w:left w:val="single" w:sz="4" w:space="0" w:color="auto"/>
              <w:bottom w:val="single" w:sz="4" w:space="0" w:color="auto"/>
              <w:right w:val="single" w:sz="4" w:space="0" w:color="auto"/>
            </w:tcBorders>
            <w:hideMark/>
          </w:tcPr>
          <w:p w14:paraId="5909385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18.18%</w:t>
            </w:r>
          </w:p>
        </w:tc>
        <w:tc>
          <w:tcPr>
            <w:tcW w:w="2070" w:type="dxa"/>
            <w:tcBorders>
              <w:top w:val="single" w:sz="4" w:space="0" w:color="auto"/>
              <w:left w:val="single" w:sz="4" w:space="0" w:color="auto"/>
              <w:bottom w:val="single" w:sz="4" w:space="0" w:color="auto"/>
              <w:right w:val="single" w:sz="4" w:space="0" w:color="auto"/>
            </w:tcBorders>
            <w:hideMark/>
          </w:tcPr>
          <w:p w14:paraId="51C45792"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23.86%</w:t>
            </w:r>
          </w:p>
        </w:tc>
        <w:tc>
          <w:tcPr>
            <w:tcW w:w="1260" w:type="dxa"/>
            <w:tcBorders>
              <w:top w:val="single" w:sz="4" w:space="0" w:color="auto"/>
              <w:left w:val="single" w:sz="4" w:space="0" w:color="auto"/>
              <w:bottom w:val="single" w:sz="4" w:space="0" w:color="auto"/>
              <w:right w:val="single" w:sz="4" w:space="0" w:color="auto"/>
            </w:tcBorders>
            <w:hideMark/>
          </w:tcPr>
          <w:p w14:paraId="74606BA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7.39%</w:t>
            </w:r>
          </w:p>
        </w:tc>
        <w:tc>
          <w:tcPr>
            <w:tcW w:w="1260" w:type="dxa"/>
            <w:tcBorders>
              <w:top w:val="single" w:sz="4" w:space="0" w:color="auto"/>
              <w:left w:val="single" w:sz="4" w:space="0" w:color="auto"/>
              <w:bottom w:val="single" w:sz="4" w:space="0" w:color="auto"/>
              <w:right w:val="single" w:sz="4" w:space="0" w:color="auto"/>
            </w:tcBorders>
            <w:hideMark/>
          </w:tcPr>
          <w:p w14:paraId="320FE4C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5.68%</w:t>
            </w:r>
          </w:p>
        </w:tc>
        <w:tc>
          <w:tcPr>
            <w:tcW w:w="1440" w:type="dxa"/>
            <w:tcBorders>
              <w:top w:val="single" w:sz="4" w:space="0" w:color="auto"/>
              <w:left w:val="single" w:sz="4" w:space="0" w:color="auto"/>
              <w:bottom w:val="single" w:sz="4" w:space="0" w:color="auto"/>
              <w:right w:val="single" w:sz="4" w:space="0" w:color="auto"/>
            </w:tcBorders>
            <w:hideMark/>
          </w:tcPr>
          <w:p w14:paraId="26C875CB"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35.23%</w:t>
            </w:r>
          </w:p>
        </w:tc>
        <w:tc>
          <w:tcPr>
            <w:tcW w:w="1195" w:type="dxa"/>
            <w:tcBorders>
              <w:top w:val="single" w:sz="4" w:space="0" w:color="auto"/>
              <w:left w:val="single" w:sz="4" w:space="0" w:color="auto"/>
              <w:bottom w:val="single" w:sz="4" w:space="0" w:color="auto"/>
              <w:right w:val="single" w:sz="4" w:space="0" w:color="auto"/>
            </w:tcBorders>
            <w:hideMark/>
          </w:tcPr>
          <w:p w14:paraId="735BBBDE"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176</w:t>
            </w:r>
          </w:p>
        </w:tc>
      </w:tr>
      <w:tr w:rsidR="00C714D3" w:rsidRPr="00E869A4" w14:paraId="7D132235"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2915105C"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Social Welfare Home Improvement Grant</w:t>
            </w:r>
          </w:p>
        </w:tc>
        <w:tc>
          <w:tcPr>
            <w:tcW w:w="1162" w:type="dxa"/>
            <w:tcBorders>
              <w:top w:val="single" w:sz="4" w:space="0" w:color="auto"/>
              <w:left w:val="single" w:sz="4" w:space="0" w:color="auto"/>
              <w:bottom w:val="single" w:sz="4" w:space="0" w:color="auto"/>
              <w:right w:val="single" w:sz="4" w:space="0" w:color="auto"/>
            </w:tcBorders>
            <w:hideMark/>
          </w:tcPr>
          <w:p w14:paraId="28215F6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3.17%</w:t>
            </w:r>
          </w:p>
        </w:tc>
        <w:tc>
          <w:tcPr>
            <w:tcW w:w="1268" w:type="dxa"/>
            <w:tcBorders>
              <w:top w:val="single" w:sz="4" w:space="0" w:color="auto"/>
              <w:left w:val="single" w:sz="4" w:space="0" w:color="auto"/>
              <w:bottom w:val="single" w:sz="4" w:space="0" w:color="auto"/>
              <w:right w:val="single" w:sz="4" w:space="0" w:color="auto"/>
            </w:tcBorders>
            <w:hideMark/>
          </w:tcPr>
          <w:p w14:paraId="2355E54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16.67%</w:t>
            </w:r>
          </w:p>
        </w:tc>
        <w:tc>
          <w:tcPr>
            <w:tcW w:w="2070" w:type="dxa"/>
            <w:tcBorders>
              <w:top w:val="single" w:sz="4" w:space="0" w:color="auto"/>
              <w:left w:val="single" w:sz="4" w:space="0" w:color="auto"/>
              <w:bottom w:val="single" w:sz="4" w:space="0" w:color="auto"/>
              <w:right w:val="single" w:sz="4" w:space="0" w:color="auto"/>
            </w:tcBorders>
            <w:hideMark/>
          </w:tcPr>
          <w:p w14:paraId="3149E67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21.43%</w:t>
            </w:r>
          </w:p>
        </w:tc>
        <w:tc>
          <w:tcPr>
            <w:tcW w:w="1260" w:type="dxa"/>
            <w:tcBorders>
              <w:top w:val="single" w:sz="4" w:space="0" w:color="auto"/>
              <w:left w:val="single" w:sz="4" w:space="0" w:color="auto"/>
              <w:bottom w:val="single" w:sz="4" w:space="0" w:color="auto"/>
              <w:right w:val="single" w:sz="4" w:space="0" w:color="auto"/>
            </w:tcBorders>
            <w:hideMark/>
          </w:tcPr>
          <w:p w14:paraId="7B1ACE2C"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11.11%</w:t>
            </w:r>
          </w:p>
        </w:tc>
        <w:tc>
          <w:tcPr>
            <w:tcW w:w="1260" w:type="dxa"/>
            <w:tcBorders>
              <w:top w:val="single" w:sz="4" w:space="0" w:color="auto"/>
              <w:left w:val="single" w:sz="4" w:space="0" w:color="auto"/>
              <w:bottom w:val="single" w:sz="4" w:space="0" w:color="auto"/>
              <w:right w:val="single" w:sz="4" w:space="0" w:color="auto"/>
            </w:tcBorders>
            <w:hideMark/>
          </w:tcPr>
          <w:p w14:paraId="4E646C9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6.35%</w:t>
            </w:r>
          </w:p>
        </w:tc>
        <w:tc>
          <w:tcPr>
            <w:tcW w:w="1440" w:type="dxa"/>
            <w:tcBorders>
              <w:top w:val="single" w:sz="4" w:space="0" w:color="auto"/>
              <w:left w:val="single" w:sz="4" w:space="0" w:color="auto"/>
              <w:bottom w:val="single" w:sz="4" w:space="0" w:color="auto"/>
              <w:right w:val="single" w:sz="4" w:space="0" w:color="auto"/>
            </w:tcBorders>
            <w:hideMark/>
          </w:tcPr>
          <w:p w14:paraId="7DA79BF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41.27%</w:t>
            </w:r>
          </w:p>
        </w:tc>
        <w:tc>
          <w:tcPr>
            <w:tcW w:w="1195" w:type="dxa"/>
            <w:tcBorders>
              <w:top w:val="single" w:sz="4" w:space="0" w:color="auto"/>
              <w:left w:val="single" w:sz="4" w:space="0" w:color="auto"/>
              <w:bottom w:val="single" w:sz="4" w:space="0" w:color="auto"/>
              <w:right w:val="single" w:sz="4" w:space="0" w:color="auto"/>
            </w:tcBorders>
            <w:hideMark/>
          </w:tcPr>
          <w:p w14:paraId="2217909A"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126</w:t>
            </w:r>
          </w:p>
        </w:tc>
      </w:tr>
      <w:tr w:rsidR="00C714D3" w:rsidRPr="00E869A4" w14:paraId="7D601A15"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62144948"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Spectacles Grant</w:t>
            </w:r>
          </w:p>
        </w:tc>
        <w:tc>
          <w:tcPr>
            <w:tcW w:w="1162" w:type="dxa"/>
            <w:tcBorders>
              <w:top w:val="single" w:sz="4" w:space="0" w:color="auto"/>
              <w:left w:val="single" w:sz="4" w:space="0" w:color="auto"/>
              <w:bottom w:val="single" w:sz="4" w:space="0" w:color="auto"/>
              <w:right w:val="single" w:sz="4" w:space="0" w:color="auto"/>
            </w:tcBorders>
            <w:hideMark/>
          </w:tcPr>
          <w:p w14:paraId="3F4C3D1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4.10%</w:t>
            </w:r>
          </w:p>
        </w:tc>
        <w:tc>
          <w:tcPr>
            <w:tcW w:w="1268" w:type="dxa"/>
            <w:tcBorders>
              <w:top w:val="single" w:sz="4" w:space="0" w:color="auto"/>
              <w:left w:val="single" w:sz="4" w:space="0" w:color="auto"/>
              <w:bottom w:val="single" w:sz="4" w:space="0" w:color="auto"/>
              <w:right w:val="single" w:sz="4" w:space="0" w:color="auto"/>
            </w:tcBorders>
            <w:hideMark/>
          </w:tcPr>
          <w:p w14:paraId="6ACFEDA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17.21%</w:t>
            </w:r>
          </w:p>
        </w:tc>
        <w:tc>
          <w:tcPr>
            <w:tcW w:w="2070" w:type="dxa"/>
            <w:tcBorders>
              <w:top w:val="single" w:sz="4" w:space="0" w:color="auto"/>
              <w:left w:val="single" w:sz="4" w:space="0" w:color="auto"/>
              <w:bottom w:val="single" w:sz="4" w:space="0" w:color="auto"/>
              <w:right w:val="single" w:sz="4" w:space="0" w:color="auto"/>
            </w:tcBorders>
            <w:hideMark/>
          </w:tcPr>
          <w:p w14:paraId="45DCDAC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18.85%</w:t>
            </w:r>
          </w:p>
        </w:tc>
        <w:tc>
          <w:tcPr>
            <w:tcW w:w="1260" w:type="dxa"/>
            <w:tcBorders>
              <w:top w:val="single" w:sz="4" w:space="0" w:color="auto"/>
              <w:left w:val="single" w:sz="4" w:space="0" w:color="auto"/>
              <w:bottom w:val="single" w:sz="4" w:space="0" w:color="auto"/>
              <w:right w:val="single" w:sz="4" w:space="0" w:color="auto"/>
            </w:tcBorders>
            <w:hideMark/>
          </w:tcPr>
          <w:p w14:paraId="44C236F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8.20%</w:t>
            </w:r>
          </w:p>
        </w:tc>
        <w:tc>
          <w:tcPr>
            <w:tcW w:w="1260" w:type="dxa"/>
            <w:tcBorders>
              <w:top w:val="single" w:sz="4" w:space="0" w:color="auto"/>
              <w:left w:val="single" w:sz="4" w:space="0" w:color="auto"/>
              <w:bottom w:val="single" w:sz="4" w:space="0" w:color="auto"/>
              <w:right w:val="single" w:sz="4" w:space="0" w:color="auto"/>
            </w:tcBorders>
            <w:hideMark/>
          </w:tcPr>
          <w:p w14:paraId="69C4B6A4"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5.74%</w:t>
            </w:r>
          </w:p>
        </w:tc>
        <w:tc>
          <w:tcPr>
            <w:tcW w:w="1440" w:type="dxa"/>
            <w:tcBorders>
              <w:top w:val="single" w:sz="4" w:space="0" w:color="auto"/>
              <w:left w:val="single" w:sz="4" w:space="0" w:color="auto"/>
              <w:bottom w:val="single" w:sz="4" w:space="0" w:color="auto"/>
              <w:right w:val="single" w:sz="4" w:space="0" w:color="auto"/>
            </w:tcBorders>
            <w:hideMark/>
          </w:tcPr>
          <w:p w14:paraId="3A9FA1E5"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45.90%</w:t>
            </w:r>
          </w:p>
        </w:tc>
        <w:tc>
          <w:tcPr>
            <w:tcW w:w="1195" w:type="dxa"/>
            <w:tcBorders>
              <w:top w:val="single" w:sz="4" w:space="0" w:color="auto"/>
              <w:left w:val="single" w:sz="4" w:space="0" w:color="auto"/>
              <w:bottom w:val="single" w:sz="4" w:space="0" w:color="auto"/>
              <w:right w:val="single" w:sz="4" w:space="0" w:color="auto"/>
            </w:tcBorders>
            <w:hideMark/>
          </w:tcPr>
          <w:p w14:paraId="1912B2B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122</w:t>
            </w:r>
          </w:p>
        </w:tc>
      </w:tr>
      <w:tr w:rsidR="00C714D3" w:rsidRPr="00E869A4" w14:paraId="3B99966E"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6AD58985"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Temporary Food Card</w:t>
            </w:r>
          </w:p>
        </w:tc>
        <w:tc>
          <w:tcPr>
            <w:tcW w:w="1162" w:type="dxa"/>
            <w:tcBorders>
              <w:top w:val="single" w:sz="4" w:space="0" w:color="auto"/>
              <w:left w:val="single" w:sz="4" w:space="0" w:color="auto"/>
              <w:bottom w:val="single" w:sz="4" w:space="0" w:color="auto"/>
              <w:right w:val="single" w:sz="4" w:space="0" w:color="auto"/>
            </w:tcBorders>
            <w:hideMark/>
          </w:tcPr>
          <w:p w14:paraId="1D0990C1"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4.97%</w:t>
            </w:r>
          </w:p>
        </w:tc>
        <w:tc>
          <w:tcPr>
            <w:tcW w:w="1268" w:type="dxa"/>
            <w:tcBorders>
              <w:top w:val="single" w:sz="4" w:space="0" w:color="auto"/>
              <w:left w:val="single" w:sz="4" w:space="0" w:color="auto"/>
              <w:bottom w:val="single" w:sz="4" w:space="0" w:color="auto"/>
              <w:right w:val="single" w:sz="4" w:space="0" w:color="auto"/>
            </w:tcBorders>
            <w:hideMark/>
          </w:tcPr>
          <w:p w14:paraId="13030313"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25.97%</w:t>
            </w:r>
          </w:p>
        </w:tc>
        <w:tc>
          <w:tcPr>
            <w:tcW w:w="2070" w:type="dxa"/>
            <w:tcBorders>
              <w:top w:val="single" w:sz="4" w:space="0" w:color="auto"/>
              <w:left w:val="single" w:sz="4" w:space="0" w:color="auto"/>
              <w:bottom w:val="single" w:sz="4" w:space="0" w:color="auto"/>
              <w:right w:val="single" w:sz="4" w:space="0" w:color="auto"/>
            </w:tcBorders>
            <w:hideMark/>
          </w:tcPr>
          <w:p w14:paraId="7599A3E6"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22.10%</w:t>
            </w:r>
          </w:p>
        </w:tc>
        <w:tc>
          <w:tcPr>
            <w:tcW w:w="1260" w:type="dxa"/>
            <w:tcBorders>
              <w:top w:val="single" w:sz="4" w:space="0" w:color="auto"/>
              <w:left w:val="single" w:sz="4" w:space="0" w:color="auto"/>
              <w:bottom w:val="single" w:sz="4" w:space="0" w:color="auto"/>
              <w:right w:val="single" w:sz="4" w:space="0" w:color="auto"/>
            </w:tcBorders>
            <w:hideMark/>
          </w:tcPr>
          <w:p w14:paraId="2231B102"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7.18%</w:t>
            </w:r>
          </w:p>
        </w:tc>
        <w:tc>
          <w:tcPr>
            <w:tcW w:w="1260" w:type="dxa"/>
            <w:tcBorders>
              <w:top w:val="single" w:sz="4" w:space="0" w:color="auto"/>
              <w:left w:val="single" w:sz="4" w:space="0" w:color="auto"/>
              <w:bottom w:val="single" w:sz="4" w:space="0" w:color="auto"/>
              <w:right w:val="single" w:sz="4" w:space="0" w:color="auto"/>
            </w:tcBorders>
            <w:hideMark/>
          </w:tcPr>
          <w:p w14:paraId="6760565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7.73%</w:t>
            </w:r>
          </w:p>
        </w:tc>
        <w:tc>
          <w:tcPr>
            <w:tcW w:w="1440" w:type="dxa"/>
            <w:tcBorders>
              <w:top w:val="single" w:sz="4" w:space="0" w:color="auto"/>
              <w:left w:val="single" w:sz="4" w:space="0" w:color="auto"/>
              <w:bottom w:val="single" w:sz="4" w:space="0" w:color="auto"/>
              <w:right w:val="single" w:sz="4" w:space="0" w:color="auto"/>
            </w:tcBorders>
            <w:hideMark/>
          </w:tcPr>
          <w:p w14:paraId="75DD45C8"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32.04%</w:t>
            </w:r>
          </w:p>
        </w:tc>
        <w:tc>
          <w:tcPr>
            <w:tcW w:w="1195" w:type="dxa"/>
            <w:tcBorders>
              <w:top w:val="single" w:sz="4" w:space="0" w:color="auto"/>
              <w:left w:val="single" w:sz="4" w:space="0" w:color="auto"/>
              <w:bottom w:val="single" w:sz="4" w:space="0" w:color="auto"/>
              <w:right w:val="single" w:sz="4" w:space="0" w:color="auto"/>
            </w:tcBorders>
            <w:hideMark/>
          </w:tcPr>
          <w:p w14:paraId="44CB055D"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181</w:t>
            </w:r>
          </w:p>
        </w:tc>
      </w:tr>
      <w:tr w:rsidR="00C714D3" w:rsidRPr="00E869A4" w14:paraId="60B91A2D" w14:textId="77777777" w:rsidTr="00B237A7">
        <w:trPr>
          <w:jc w:val="center"/>
        </w:trPr>
        <w:tc>
          <w:tcPr>
            <w:tcW w:w="7080" w:type="dxa"/>
            <w:tcBorders>
              <w:top w:val="single" w:sz="4" w:space="0" w:color="auto"/>
              <w:left w:val="single" w:sz="4" w:space="0" w:color="auto"/>
              <w:bottom w:val="single" w:sz="4" w:space="0" w:color="auto"/>
              <w:right w:val="single" w:sz="4" w:space="0" w:color="auto"/>
            </w:tcBorders>
            <w:hideMark/>
          </w:tcPr>
          <w:p w14:paraId="0E2CC50B" w14:textId="77777777" w:rsidR="00E53916" w:rsidRPr="00E869A4" w:rsidRDefault="00E53916" w:rsidP="00A35FF8">
            <w:pPr>
              <w:rPr>
                <w:rStyle w:val="SubtleEmphasis"/>
                <w:rFonts w:ascii="Times New Roman" w:hAnsi="Times New Roman" w:cs="Times New Roman"/>
                <w:color w:val="auto"/>
              </w:rPr>
            </w:pPr>
            <w:r w:rsidRPr="00E869A4">
              <w:rPr>
                <w:rStyle w:val="SubtleEmphasis"/>
                <w:rFonts w:ascii="Times New Roman" w:hAnsi="Times New Roman" w:cs="Times New Roman"/>
                <w:color w:val="auto"/>
              </w:rPr>
              <w:t>Utilities Assistance Programme</w:t>
            </w:r>
          </w:p>
        </w:tc>
        <w:tc>
          <w:tcPr>
            <w:tcW w:w="1162" w:type="dxa"/>
            <w:tcBorders>
              <w:top w:val="single" w:sz="4" w:space="0" w:color="auto"/>
              <w:left w:val="single" w:sz="4" w:space="0" w:color="auto"/>
              <w:bottom w:val="single" w:sz="4" w:space="0" w:color="auto"/>
              <w:right w:val="single" w:sz="4" w:space="0" w:color="auto"/>
            </w:tcBorders>
            <w:hideMark/>
          </w:tcPr>
          <w:p w14:paraId="668FEA9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9.24%</w:t>
            </w:r>
          </w:p>
        </w:tc>
        <w:tc>
          <w:tcPr>
            <w:tcW w:w="1268" w:type="dxa"/>
            <w:tcBorders>
              <w:top w:val="single" w:sz="4" w:space="0" w:color="auto"/>
              <w:left w:val="single" w:sz="4" w:space="0" w:color="auto"/>
              <w:bottom w:val="single" w:sz="4" w:space="0" w:color="auto"/>
              <w:right w:val="single" w:sz="4" w:space="0" w:color="auto"/>
            </w:tcBorders>
            <w:hideMark/>
          </w:tcPr>
          <w:p w14:paraId="3A28B55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16.30%</w:t>
            </w:r>
          </w:p>
        </w:tc>
        <w:tc>
          <w:tcPr>
            <w:tcW w:w="2070" w:type="dxa"/>
            <w:tcBorders>
              <w:top w:val="single" w:sz="4" w:space="0" w:color="auto"/>
              <w:left w:val="single" w:sz="4" w:space="0" w:color="auto"/>
              <w:bottom w:val="single" w:sz="4" w:space="0" w:color="auto"/>
              <w:right w:val="single" w:sz="4" w:space="0" w:color="auto"/>
            </w:tcBorders>
            <w:hideMark/>
          </w:tcPr>
          <w:p w14:paraId="46C2CEA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20.11%</w:t>
            </w:r>
          </w:p>
        </w:tc>
        <w:tc>
          <w:tcPr>
            <w:tcW w:w="1260" w:type="dxa"/>
            <w:tcBorders>
              <w:top w:val="single" w:sz="4" w:space="0" w:color="auto"/>
              <w:left w:val="single" w:sz="4" w:space="0" w:color="auto"/>
              <w:bottom w:val="single" w:sz="4" w:space="0" w:color="auto"/>
              <w:right w:val="single" w:sz="4" w:space="0" w:color="auto"/>
            </w:tcBorders>
            <w:hideMark/>
          </w:tcPr>
          <w:p w14:paraId="3A7EF85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8.70%</w:t>
            </w:r>
          </w:p>
        </w:tc>
        <w:tc>
          <w:tcPr>
            <w:tcW w:w="1260" w:type="dxa"/>
            <w:tcBorders>
              <w:top w:val="single" w:sz="4" w:space="0" w:color="auto"/>
              <w:left w:val="single" w:sz="4" w:space="0" w:color="auto"/>
              <w:bottom w:val="single" w:sz="4" w:space="0" w:color="auto"/>
              <w:right w:val="single" w:sz="4" w:space="0" w:color="auto"/>
            </w:tcBorders>
            <w:hideMark/>
          </w:tcPr>
          <w:p w14:paraId="340B1939"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4.89%</w:t>
            </w:r>
          </w:p>
        </w:tc>
        <w:tc>
          <w:tcPr>
            <w:tcW w:w="1440" w:type="dxa"/>
            <w:tcBorders>
              <w:top w:val="single" w:sz="4" w:space="0" w:color="auto"/>
              <w:left w:val="single" w:sz="4" w:space="0" w:color="auto"/>
              <w:bottom w:val="single" w:sz="4" w:space="0" w:color="auto"/>
              <w:right w:val="single" w:sz="4" w:space="0" w:color="auto"/>
            </w:tcBorders>
            <w:hideMark/>
          </w:tcPr>
          <w:p w14:paraId="28D368D7"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40.76%</w:t>
            </w:r>
          </w:p>
        </w:tc>
        <w:tc>
          <w:tcPr>
            <w:tcW w:w="1195" w:type="dxa"/>
            <w:tcBorders>
              <w:top w:val="single" w:sz="4" w:space="0" w:color="auto"/>
              <w:left w:val="single" w:sz="4" w:space="0" w:color="auto"/>
              <w:bottom w:val="single" w:sz="4" w:space="0" w:color="auto"/>
              <w:right w:val="single" w:sz="4" w:space="0" w:color="auto"/>
            </w:tcBorders>
            <w:hideMark/>
          </w:tcPr>
          <w:p w14:paraId="5169BE5F" w14:textId="77777777" w:rsidR="00E53916" w:rsidRPr="00E869A4" w:rsidRDefault="00E53916" w:rsidP="009A0BB2">
            <w:pPr>
              <w:ind w:hanging="21"/>
              <w:rPr>
                <w:rStyle w:val="SubtleEmphasis"/>
                <w:rFonts w:ascii="Times New Roman" w:hAnsi="Times New Roman" w:cs="Times New Roman"/>
                <w:color w:val="auto"/>
              </w:rPr>
            </w:pPr>
            <w:r w:rsidRPr="00E869A4">
              <w:rPr>
                <w:rStyle w:val="SubtleEmphasis"/>
                <w:rFonts w:ascii="Times New Roman" w:hAnsi="Times New Roman" w:cs="Times New Roman"/>
                <w:color w:val="auto"/>
              </w:rPr>
              <w:t>184</w:t>
            </w:r>
          </w:p>
        </w:tc>
      </w:tr>
    </w:tbl>
    <w:p w14:paraId="382E1E1E" w14:textId="77777777" w:rsidR="00E53916" w:rsidRPr="00E869A4" w:rsidRDefault="00E53916" w:rsidP="00A35FF8">
      <w:pPr>
        <w:rPr>
          <w:rFonts w:ascii="Times New Roman" w:hAnsi="Times New Roman" w:cs="Times New Roman"/>
          <w:szCs w:val="24"/>
        </w:rPr>
        <w:sectPr w:rsidR="00E53916" w:rsidRPr="00E869A4" w:rsidSect="00446CB8">
          <w:type w:val="nextColumn"/>
          <w:pgSz w:w="20160" w:h="12240" w:orient="landscape" w:code="5"/>
          <w:pgMar w:top="1440" w:right="851" w:bottom="1440" w:left="1134" w:header="708" w:footer="708" w:gutter="0"/>
          <w:cols w:space="708"/>
          <w:titlePg/>
          <w:docGrid w:linePitch="360"/>
        </w:sectPr>
      </w:pPr>
    </w:p>
    <w:p w14:paraId="707CA1E0" w14:textId="77777777" w:rsidR="00E53916" w:rsidRPr="00F853DD" w:rsidRDefault="004226C5" w:rsidP="00D20B2D">
      <w:pPr>
        <w:pStyle w:val="Heading1"/>
        <w:rPr>
          <w:lang w:val="es-ES"/>
        </w:rPr>
      </w:pPr>
      <w:bookmarkStart w:id="517" w:name="_Toc40436598"/>
      <w:r w:rsidRPr="00F853DD">
        <w:rPr>
          <w:lang w:val="es-ES"/>
        </w:rPr>
        <w:lastRenderedPageBreak/>
        <w:t>BIBLIOGRAPHY</w:t>
      </w:r>
      <w:bookmarkEnd w:id="517"/>
    </w:p>
    <w:p w14:paraId="2E659C0D" w14:textId="3F70C39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shd w:val="clear" w:color="auto" w:fill="FFFFFF"/>
          <w:lang w:val="es-ES"/>
        </w:rPr>
        <w:t>Abajo, M., Rodríguez-Sanz, M., Malmusi, D., Salvador, M. and Borrell, C.</w:t>
      </w:r>
      <w:r w:rsidR="00706B9A" w:rsidRPr="00F853DD">
        <w:rPr>
          <w:rFonts w:ascii="Times" w:hAnsi="Times" w:cs="Times New Roman"/>
          <w:sz w:val="23"/>
          <w:szCs w:val="23"/>
          <w:shd w:val="clear" w:color="auto" w:fill="FFFFFF"/>
          <w:lang w:val="es-ES"/>
        </w:rPr>
        <w:t>,</w:t>
      </w:r>
      <w:r w:rsidRPr="00F853DD">
        <w:rPr>
          <w:rFonts w:ascii="Times" w:hAnsi="Times" w:cs="Times New Roman"/>
          <w:sz w:val="23"/>
          <w:szCs w:val="23"/>
          <w:shd w:val="clear" w:color="auto" w:fill="FFFFFF"/>
          <w:lang w:val="es-ES"/>
        </w:rPr>
        <w:t xml:space="preserve"> (2016). </w:t>
      </w:r>
      <w:r w:rsidRPr="00F853DD">
        <w:rPr>
          <w:rFonts w:ascii="Times" w:hAnsi="Times" w:cs="Times New Roman"/>
          <w:sz w:val="23"/>
          <w:szCs w:val="23"/>
          <w:shd w:val="clear" w:color="auto" w:fill="FFFFFF"/>
        </w:rPr>
        <w:t>Gender and socio-economic inequalities in health and living conditions among co-resident informal caregivers: a nationwide survey in Spain. </w:t>
      </w:r>
      <w:r w:rsidRPr="00F853DD">
        <w:rPr>
          <w:rFonts w:ascii="Times" w:hAnsi="Times" w:cs="Times New Roman"/>
          <w:i/>
          <w:iCs/>
          <w:sz w:val="23"/>
          <w:szCs w:val="23"/>
          <w:shd w:val="clear" w:color="auto" w:fill="FFFFFF"/>
        </w:rPr>
        <w:t>Journal of Advanced Nursing</w:t>
      </w:r>
      <w:r w:rsidR="00914EBD" w:rsidRPr="00F853DD">
        <w:rPr>
          <w:rFonts w:ascii="Times" w:hAnsi="Times" w:cs="Times New Roman"/>
          <w:i/>
          <w:iCs/>
          <w:sz w:val="23"/>
          <w:szCs w:val="23"/>
          <w:shd w:val="clear" w:color="auto" w:fill="FFFFFF"/>
        </w:rPr>
        <w:t xml:space="preserve"> </w:t>
      </w:r>
      <w:r w:rsidR="00914EBD" w:rsidRPr="00F853DD">
        <w:rPr>
          <w:rFonts w:ascii="Times" w:hAnsi="Times" w:cs="Times New Roman"/>
          <w:sz w:val="23"/>
          <w:szCs w:val="23"/>
        </w:rPr>
        <w:t>[online].</w:t>
      </w:r>
      <w:r w:rsidRPr="00F853DD">
        <w:rPr>
          <w:rFonts w:ascii="Times" w:hAnsi="Times" w:cs="Times New Roman"/>
          <w:sz w:val="23"/>
          <w:szCs w:val="23"/>
          <w:shd w:val="clear" w:color="auto" w:fill="FFFFFF"/>
        </w:rPr>
        <w:t xml:space="preserve"> </w:t>
      </w:r>
      <w:r w:rsidRPr="00F853DD">
        <w:rPr>
          <w:rFonts w:ascii="Times" w:hAnsi="Times" w:cs="Times New Roman"/>
          <w:b/>
          <w:sz w:val="23"/>
          <w:szCs w:val="23"/>
          <w:shd w:val="clear" w:color="auto" w:fill="FFFFFF"/>
        </w:rPr>
        <w:t>73</w:t>
      </w:r>
      <w:r w:rsidRPr="00F853DD">
        <w:rPr>
          <w:rFonts w:ascii="Times" w:hAnsi="Times" w:cs="Times New Roman"/>
          <w:sz w:val="23"/>
          <w:szCs w:val="23"/>
          <w:shd w:val="clear" w:color="auto" w:fill="FFFFFF"/>
        </w:rPr>
        <w:t>(3), 700-715.</w:t>
      </w:r>
      <w:r w:rsidR="003833F0" w:rsidRPr="00F853DD">
        <w:rPr>
          <w:rFonts w:ascii="Times" w:hAnsi="Times" w:cs="Times New Roman"/>
          <w:sz w:val="23"/>
          <w:szCs w:val="23"/>
          <w:shd w:val="clear" w:color="auto" w:fill="FFFFFF"/>
        </w:rPr>
        <w:t xml:space="preserve"> </w:t>
      </w:r>
      <w:r w:rsidR="003833F0" w:rsidRPr="00F853DD">
        <w:rPr>
          <w:rFonts w:ascii="Times" w:hAnsi="Times" w:cs="Times New Roman"/>
          <w:sz w:val="23"/>
          <w:szCs w:val="23"/>
        </w:rPr>
        <w:t>[Viewed 3 November 2017]. Available from: https://doi.org/10.1111/jan.13172</w:t>
      </w:r>
    </w:p>
    <w:p w14:paraId="0B207CC3" w14:textId="640B9F37"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pt-PT"/>
        </w:rPr>
        <w:t>Abdala, G., Kimura, M., Duarte, Y., Lebrao, M.</w:t>
      </w:r>
      <w:r w:rsidR="00DF05BD" w:rsidRPr="00F853DD">
        <w:rPr>
          <w:rFonts w:ascii="Times" w:hAnsi="Times" w:cs="Times New Roman"/>
          <w:sz w:val="23"/>
          <w:szCs w:val="23"/>
          <w:lang w:val="pt-PT"/>
        </w:rPr>
        <w:t xml:space="preserve"> and Dos Santos, B.</w:t>
      </w:r>
      <w:r w:rsidR="00706B9A" w:rsidRPr="00F853DD">
        <w:rPr>
          <w:rFonts w:ascii="Times" w:hAnsi="Times" w:cs="Times New Roman"/>
          <w:sz w:val="23"/>
          <w:szCs w:val="23"/>
          <w:lang w:val="pt-PT"/>
        </w:rPr>
        <w:t>,</w:t>
      </w:r>
      <w:r w:rsidR="00DF05BD" w:rsidRPr="00F853DD">
        <w:rPr>
          <w:rFonts w:ascii="Times" w:hAnsi="Times" w:cs="Times New Roman"/>
          <w:sz w:val="23"/>
          <w:szCs w:val="23"/>
          <w:lang w:val="pt-PT"/>
        </w:rPr>
        <w:t xml:space="preserve"> (2015). </w:t>
      </w:r>
      <w:r w:rsidR="00DF05BD" w:rsidRPr="00F853DD">
        <w:rPr>
          <w:rFonts w:ascii="Times" w:hAnsi="Times" w:cs="Times New Roman"/>
          <w:sz w:val="23"/>
          <w:szCs w:val="23"/>
        </w:rPr>
        <w:t xml:space="preserve">Religiosity and health-related quality of life of the older adults. </w:t>
      </w:r>
      <w:r w:rsidR="00DF05BD" w:rsidRPr="00F853DD">
        <w:rPr>
          <w:rFonts w:ascii="Times" w:hAnsi="Times" w:cs="Times New Roman"/>
          <w:i/>
          <w:sz w:val="23"/>
          <w:szCs w:val="23"/>
        </w:rPr>
        <w:t>Revista De Saude Publica</w:t>
      </w:r>
      <w:r w:rsidR="00914EBD" w:rsidRPr="00F853DD">
        <w:rPr>
          <w:rFonts w:ascii="Times" w:hAnsi="Times" w:cs="Times New Roman"/>
          <w:i/>
          <w:sz w:val="23"/>
          <w:szCs w:val="23"/>
        </w:rPr>
        <w:t xml:space="preserve"> </w:t>
      </w:r>
      <w:r w:rsidR="00914EBD" w:rsidRPr="00F853DD">
        <w:rPr>
          <w:rFonts w:ascii="Times" w:hAnsi="Times" w:cs="Times New Roman"/>
          <w:sz w:val="23"/>
          <w:szCs w:val="23"/>
        </w:rPr>
        <w:t>[online].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49</w:t>
      </w:r>
      <w:r w:rsidR="00DF05BD" w:rsidRPr="00F853DD">
        <w:rPr>
          <w:rFonts w:ascii="Times" w:hAnsi="Times" w:cs="Times New Roman"/>
          <w:sz w:val="23"/>
          <w:szCs w:val="23"/>
        </w:rPr>
        <w:t xml:space="preserve">, </w:t>
      </w:r>
      <w:r w:rsidR="0084136D" w:rsidRPr="00F853DD">
        <w:rPr>
          <w:rFonts w:ascii="Times" w:hAnsi="Times" w:cs="Times New Roman"/>
          <w:sz w:val="23"/>
          <w:szCs w:val="23"/>
        </w:rPr>
        <w:t>55</w:t>
      </w:r>
      <w:r w:rsidR="00DF05BD" w:rsidRPr="00F853DD">
        <w:rPr>
          <w:rFonts w:ascii="Times" w:hAnsi="Times" w:cs="Times New Roman"/>
          <w:sz w:val="23"/>
          <w:szCs w:val="23"/>
        </w:rPr>
        <w:t>.</w:t>
      </w:r>
      <w:r w:rsidR="0084136D" w:rsidRPr="00F853DD">
        <w:rPr>
          <w:rFonts w:ascii="Times" w:hAnsi="Times" w:cs="Times New Roman"/>
          <w:sz w:val="23"/>
          <w:szCs w:val="23"/>
        </w:rPr>
        <w:t xml:space="preserve"> </w:t>
      </w:r>
      <w:r w:rsidR="00233E49" w:rsidRPr="00F853DD">
        <w:rPr>
          <w:rFonts w:ascii="Times" w:hAnsi="Times" w:cs="Times New Roman"/>
          <w:sz w:val="23"/>
          <w:szCs w:val="23"/>
        </w:rPr>
        <w:t xml:space="preserve">[Viewed 18 May 2017]. </w:t>
      </w:r>
      <w:r w:rsidR="0084136D" w:rsidRPr="00F853DD">
        <w:rPr>
          <w:rFonts w:ascii="Times" w:hAnsi="Times" w:cs="Times New Roman"/>
          <w:sz w:val="23"/>
          <w:szCs w:val="23"/>
        </w:rPr>
        <w:t xml:space="preserve">Available from: http://www.scielo.br/scielo.php?script=sci_arttext&amp;pid=S0034-89102015000100240&amp;lng=en.  </w:t>
      </w:r>
    </w:p>
    <w:p w14:paraId="785F023E" w14:textId="1BA16B2B" w:rsidR="00DF05BD" w:rsidRPr="00F853DD" w:rsidRDefault="00233E4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Abdollahpour, I., Nedjat, S., Noroozian, M., Salimi, Y. and Majdzadeh, R.,</w:t>
      </w:r>
      <w:r w:rsidR="00DF05BD" w:rsidRPr="00F853DD">
        <w:rPr>
          <w:rFonts w:ascii="Times" w:hAnsi="Times" w:cs="Times New Roman"/>
          <w:sz w:val="23"/>
          <w:szCs w:val="23"/>
        </w:rPr>
        <w:t xml:space="preserve"> (2017). Positive aspects of caregiving questionnaire: </w:t>
      </w:r>
      <w:r w:rsidR="00706B9A" w:rsidRPr="00F853DD">
        <w:rPr>
          <w:rFonts w:ascii="Times" w:hAnsi="Times" w:cs="Times New Roman"/>
          <w:sz w:val="23"/>
          <w:szCs w:val="23"/>
        </w:rPr>
        <w:t>a</w:t>
      </w:r>
      <w:r w:rsidR="00DF05BD" w:rsidRPr="00F853DD">
        <w:rPr>
          <w:rFonts w:ascii="Times" w:hAnsi="Times" w:cs="Times New Roman"/>
          <w:sz w:val="23"/>
          <w:szCs w:val="23"/>
        </w:rPr>
        <w:t xml:space="preserve"> validation study in caregivers of patients with dementia. </w:t>
      </w:r>
      <w:r w:rsidR="00DF05BD" w:rsidRPr="00F853DD">
        <w:rPr>
          <w:rFonts w:ascii="Times" w:hAnsi="Times" w:cs="Times New Roman"/>
          <w:i/>
          <w:sz w:val="23"/>
          <w:szCs w:val="23"/>
        </w:rPr>
        <w:t>Journal of Geriatric Psychiatry and Neurology</w:t>
      </w:r>
      <w:r w:rsidR="00914EBD" w:rsidRPr="00F853DD">
        <w:rPr>
          <w:rFonts w:ascii="Times" w:hAnsi="Times" w:cs="Times New Roman"/>
          <w:sz w:val="23"/>
          <w:szCs w:val="23"/>
        </w:rPr>
        <w:t xml:space="preserve"> [online]. </w:t>
      </w:r>
      <w:r w:rsidR="00DF05BD" w:rsidRPr="00F853DD">
        <w:rPr>
          <w:rFonts w:ascii="Times" w:hAnsi="Times" w:cs="Times New Roman"/>
          <w:b/>
          <w:sz w:val="23"/>
          <w:szCs w:val="23"/>
        </w:rPr>
        <w:t>30</w:t>
      </w:r>
      <w:r w:rsidR="00DF05BD" w:rsidRPr="00F853DD">
        <w:rPr>
          <w:rFonts w:ascii="Times" w:hAnsi="Times" w:cs="Times New Roman"/>
          <w:sz w:val="23"/>
          <w:szCs w:val="23"/>
        </w:rPr>
        <w:t>, 77-83.</w:t>
      </w:r>
      <w:r w:rsidR="00BB3BE7" w:rsidRPr="00F853DD">
        <w:rPr>
          <w:rFonts w:ascii="Times" w:hAnsi="Times" w:cs="Times New Roman"/>
          <w:sz w:val="23"/>
          <w:szCs w:val="23"/>
        </w:rPr>
        <w:t xml:space="preserve"> [Viewed 26 November 2017]. Available from: doi: 10.1177/0891988716686831</w:t>
      </w:r>
    </w:p>
    <w:p w14:paraId="6FE5EBF6" w14:textId="4B4DD02D" w:rsidR="00DF05BD" w:rsidRPr="00F853DD" w:rsidRDefault="00BF7831" w:rsidP="003833F0">
      <w:pPr>
        <w:autoSpaceDE w:val="0"/>
        <w:autoSpaceDN w:val="0"/>
        <w:adjustRightInd w:val="0"/>
        <w:spacing w:line="240" w:lineRule="auto"/>
        <w:ind w:left="567" w:right="-235" w:hanging="567"/>
        <w:rPr>
          <w:rFonts w:ascii="Times" w:hAnsi="Times" w:cs="Times New Roman"/>
          <w:sz w:val="23"/>
          <w:szCs w:val="23"/>
        </w:rPr>
      </w:pPr>
      <w:r w:rsidRPr="00F853DD">
        <w:rPr>
          <w:rFonts w:ascii="Times" w:hAnsi="Times" w:cs="Times New Roman"/>
          <w:sz w:val="23"/>
          <w:szCs w:val="23"/>
        </w:rPr>
        <w:t>Abel, E.</w:t>
      </w:r>
      <w:r w:rsidR="00DF05BD" w:rsidRPr="00F853DD">
        <w:rPr>
          <w:rFonts w:ascii="Times" w:hAnsi="Times" w:cs="Times New Roman"/>
          <w:sz w:val="23"/>
          <w:szCs w:val="23"/>
        </w:rPr>
        <w:t xml:space="preserve"> (1990). Informal </w:t>
      </w:r>
      <w:r w:rsidR="00706B9A" w:rsidRPr="00F853DD">
        <w:rPr>
          <w:rFonts w:ascii="Times" w:hAnsi="Times" w:cs="Times New Roman"/>
          <w:sz w:val="23"/>
          <w:szCs w:val="23"/>
        </w:rPr>
        <w:t>care for the disabled elderly: a</w:t>
      </w:r>
      <w:r w:rsidR="00DF05BD" w:rsidRPr="00F853DD">
        <w:rPr>
          <w:rFonts w:ascii="Times" w:hAnsi="Times" w:cs="Times New Roman"/>
          <w:sz w:val="23"/>
          <w:szCs w:val="23"/>
        </w:rPr>
        <w:t xml:space="preserve"> critique of recent literature. </w:t>
      </w:r>
      <w:r w:rsidR="00DF05BD" w:rsidRPr="00F853DD">
        <w:rPr>
          <w:rFonts w:ascii="Times" w:hAnsi="Times" w:cs="Times New Roman"/>
          <w:i/>
          <w:sz w:val="23"/>
          <w:szCs w:val="23"/>
        </w:rPr>
        <w:t>Research on Aging</w:t>
      </w:r>
      <w:r w:rsidR="00914EBD" w:rsidRPr="00F853DD">
        <w:rPr>
          <w:rFonts w:ascii="Times" w:hAnsi="Times" w:cs="Times New Roman"/>
          <w:i/>
          <w:sz w:val="23"/>
          <w:szCs w:val="23"/>
        </w:rPr>
        <w:t xml:space="preserve"> </w:t>
      </w:r>
      <w:r w:rsidR="00914EBD" w:rsidRPr="00F853DD">
        <w:rPr>
          <w:rFonts w:ascii="Times" w:hAnsi="Times" w:cs="Times New Roman"/>
          <w:sz w:val="23"/>
          <w:szCs w:val="23"/>
        </w:rPr>
        <w:t>[online].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12</w:t>
      </w:r>
      <w:r w:rsidR="00BB3BE7" w:rsidRPr="00F853DD">
        <w:rPr>
          <w:rFonts w:ascii="Times" w:hAnsi="Times" w:cs="Times New Roman"/>
          <w:sz w:val="23"/>
          <w:szCs w:val="23"/>
        </w:rPr>
        <w:t>(2)</w:t>
      </w:r>
      <w:r w:rsidR="00DF05BD" w:rsidRPr="00F853DD">
        <w:rPr>
          <w:rFonts w:ascii="Times" w:hAnsi="Times" w:cs="Times New Roman"/>
          <w:sz w:val="23"/>
          <w:szCs w:val="23"/>
        </w:rPr>
        <w:t>, 139-157.</w:t>
      </w:r>
      <w:r w:rsidR="00BB3BE7" w:rsidRPr="00F853DD">
        <w:rPr>
          <w:rFonts w:ascii="Times" w:hAnsi="Times" w:cs="Times New Roman"/>
          <w:sz w:val="23"/>
          <w:szCs w:val="23"/>
        </w:rPr>
        <w:t xml:space="preserve"> [Viewed 26 November 2017]. Available from: </w:t>
      </w:r>
      <w:r w:rsidR="00752F3D" w:rsidRPr="00F853DD">
        <w:rPr>
          <w:rFonts w:ascii="Times" w:hAnsi="Times" w:cs="Times New Roman"/>
          <w:sz w:val="23"/>
          <w:szCs w:val="23"/>
        </w:rPr>
        <w:t>doi</w:t>
      </w:r>
      <w:r w:rsidR="003833F0" w:rsidRPr="00F853DD">
        <w:rPr>
          <w:rFonts w:ascii="Times" w:hAnsi="Times" w:cs="Times New Roman"/>
          <w:sz w:val="23"/>
          <w:szCs w:val="23"/>
        </w:rPr>
        <w:t xml:space="preserve">: </w:t>
      </w:r>
      <w:r w:rsidR="00752F3D" w:rsidRPr="00F853DD">
        <w:rPr>
          <w:rFonts w:ascii="Times" w:hAnsi="Times" w:cs="Times New Roman"/>
          <w:sz w:val="23"/>
          <w:szCs w:val="23"/>
        </w:rPr>
        <w:t>10.1177/0164027590122001</w:t>
      </w:r>
    </w:p>
    <w:p w14:paraId="59C9CC1B" w14:textId="5C10C607" w:rsidR="00C46285"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Abel, W.</w:t>
      </w:r>
      <w:r w:rsidR="00DF05BD" w:rsidRPr="00F853DD">
        <w:rPr>
          <w:rFonts w:ascii="Times" w:hAnsi="Times" w:cs="Times New Roman"/>
          <w:sz w:val="23"/>
          <w:szCs w:val="23"/>
        </w:rPr>
        <w:t>, Kestel, D., Eldemire-Shearer, D., Sewell, C. and Whitehorne-Smith, P.</w:t>
      </w:r>
      <w:r w:rsidR="00BB3BE7" w:rsidRPr="00F853DD">
        <w:rPr>
          <w:rFonts w:ascii="Times" w:hAnsi="Times" w:cs="Times New Roman"/>
          <w:sz w:val="23"/>
          <w:szCs w:val="23"/>
        </w:rPr>
        <w:t>,</w:t>
      </w:r>
      <w:r w:rsidR="00DF05BD" w:rsidRPr="00F853DD">
        <w:rPr>
          <w:rFonts w:ascii="Times" w:hAnsi="Times" w:cs="Times New Roman"/>
          <w:sz w:val="23"/>
          <w:szCs w:val="23"/>
        </w:rPr>
        <w:t xml:space="preserve"> (2012). Mental health policy and service system development in the English-speaking Caribbean. </w:t>
      </w:r>
      <w:r w:rsidR="00DF05BD" w:rsidRPr="00F853DD">
        <w:rPr>
          <w:rFonts w:ascii="Times" w:hAnsi="Times" w:cs="Times New Roman"/>
          <w:i/>
          <w:sz w:val="23"/>
          <w:szCs w:val="23"/>
        </w:rPr>
        <w:t>West Indian Medical Journal</w:t>
      </w:r>
      <w:r w:rsidR="00914EBD" w:rsidRPr="00F853DD">
        <w:rPr>
          <w:rFonts w:ascii="Times" w:hAnsi="Times" w:cs="Times New Roman"/>
          <w:i/>
          <w:sz w:val="23"/>
          <w:szCs w:val="23"/>
        </w:rPr>
        <w:t xml:space="preserve"> </w:t>
      </w:r>
      <w:r w:rsidR="00914EBD" w:rsidRPr="00F853DD">
        <w:rPr>
          <w:rFonts w:ascii="Times" w:hAnsi="Times" w:cs="Times New Roman"/>
          <w:sz w:val="23"/>
          <w:szCs w:val="23"/>
        </w:rPr>
        <w:t>[online].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61</w:t>
      </w:r>
      <w:r w:rsidR="00C46285" w:rsidRPr="00F853DD">
        <w:rPr>
          <w:rFonts w:ascii="Times" w:hAnsi="Times" w:cs="Times New Roman"/>
          <w:sz w:val="23"/>
          <w:szCs w:val="23"/>
        </w:rPr>
        <w:t>(5)</w:t>
      </w:r>
      <w:r w:rsidR="00DF05BD" w:rsidRPr="00F853DD">
        <w:rPr>
          <w:rFonts w:ascii="Times" w:hAnsi="Times" w:cs="Times New Roman"/>
          <w:sz w:val="23"/>
          <w:szCs w:val="23"/>
        </w:rPr>
        <w:t>, 475-482.</w:t>
      </w:r>
      <w:r w:rsidR="00BB3BE7" w:rsidRPr="00F853DD">
        <w:rPr>
          <w:rFonts w:ascii="Times" w:hAnsi="Times" w:cs="Times New Roman"/>
          <w:sz w:val="23"/>
          <w:szCs w:val="23"/>
        </w:rPr>
        <w:t xml:space="preserve"> </w:t>
      </w:r>
      <w:r w:rsidR="00C46285" w:rsidRPr="00F853DD">
        <w:rPr>
          <w:rFonts w:ascii="Times" w:hAnsi="Times" w:cs="Times New Roman"/>
          <w:sz w:val="23"/>
          <w:szCs w:val="23"/>
        </w:rPr>
        <w:t>[Viewed 19 October 2017]. Available from: http://westindies.scielo.org/scielo.php?script=sci_arttext&amp;pid=S0043-31442012000500002&amp;lng=en</w:t>
      </w:r>
    </w:p>
    <w:p w14:paraId="67DBE418" w14:textId="7CCEA9C7" w:rsidR="002B2C50" w:rsidRPr="00F853DD" w:rsidRDefault="00DF05BD" w:rsidP="002B2C50">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Abell, N.</w:t>
      </w:r>
      <w:r w:rsidR="002B2C50" w:rsidRPr="00F853DD">
        <w:rPr>
          <w:rFonts w:ascii="Times" w:hAnsi="Times" w:cs="Times New Roman"/>
          <w:sz w:val="23"/>
          <w:szCs w:val="23"/>
        </w:rPr>
        <w:t>,</w:t>
      </w:r>
      <w:r w:rsidRPr="00F853DD">
        <w:rPr>
          <w:rFonts w:ascii="Times" w:hAnsi="Times" w:cs="Times New Roman"/>
          <w:sz w:val="23"/>
          <w:szCs w:val="23"/>
        </w:rPr>
        <w:t xml:space="preserve"> (2001). Assessing willingness to care for persons with AIDS: </w:t>
      </w:r>
      <w:r w:rsidR="00706B9A" w:rsidRPr="00F853DD">
        <w:rPr>
          <w:rFonts w:ascii="Times" w:hAnsi="Times" w:cs="Times New Roman"/>
          <w:sz w:val="23"/>
          <w:szCs w:val="23"/>
        </w:rPr>
        <w:t>v</w:t>
      </w:r>
      <w:r w:rsidRPr="00F853DD">
        <w:rPr>
          <w:rFonts w:ascii="Times" w:hAnsi="Times" w:cs="Times New Roman"/>
          <w:sz w:val="23"/>
          <w:szCs w:val="23"/>
        </w:rPr>
        <w:t xml:space="preserve">alidation of a new measure. </w:t>
      </w:r>
      <w:r w:rsidRPr="00F853DD">
        <w:rPr>
          <w:rFonts w:ascii="Times" w:hAnsi="Times" w:cs="Times New Roman"/>
          <w:i/>
          <w:sz w:val="23"/>
          <w:szCs w:val="23"/>
        </w:rPr>
        <w:t>Research on Social Work Practice</w:t>
      </w:r>
      <w:r w:rsidR="00914EBD" w:rsidRPr="00F853DD">
        <w:rPr>
          <w:rFonts w:ascii="Times" w:hAnsi="Times" w:cs="Times New Roman"/>
          <w:i/>
          <w:sz w:val="23"/>
          <w:szCs w:val="23"/>
        </w:rPr>
        <w:t xml:space="preserve"> </w:t>
      </w:r>
      <w:r w:rsidR="00914EBD" w:rsidRPr="00F853DD">
        <w:rPr>
          <w:rFonts w:ascii="Times" w:hAnsi="Times" w:cs="Times New Roman"/>
          <w:sz w:val="23"/>
          <w:szCs w:val="23"/>
        </w:rPr>
        <w:t>[online].</w:t>
      </w:r>
      <w:r w:rsidRPr="00F853DD">
        <w:rPr>
          <w:rFonts w:ascii="Times" w:hAnsi="Times" w:cs="Times New Roman"/>
          <w:sz w:val="23"/>
          <w:szCs w:val="23"/>
        </w:rPr>
        <w:t xml:space="preserve"> </w:t>
      </w:r>
      <w:r w:rsidRPr="00F853DD">
        <w:rPr>
          <w:rFonts w:ascii="Times" w:hAnsi="Times" w:cs="Times New Roman"/>
          <w:b/>
          <w:sz w:val="23"/>
          <w:szCs w:val="23"/>
        </w:rPr>
        <w:t>11</w:t>
      </w:r>
      <w:r w:rsidR="002B2C50" w:rsidRPr="00F853DD">
        <w:rPr>
          <w:rFonts w:ascii="Times" w:hAnsi="Times" w:cs="Times New Roman"/>
          <w:sz w:val="23"/>
          <w:szCs w:val="23"/>
        </w:rPr>
        <w:t>(1)</w:t>
      </w:r>
      <w:r w:rsidRPr="00F853DD">
        <w:rPr>
          <w:rFonts w:ascii="Times" w:hAnsi="Times" w:cs="Times New Roman"/>
          <w:sz w:val="23"/>
          <w:szCs w:val="23"/>
        </w:rPr>
        <w:t>, 118-130.</w:t>
      </w:r>
      <w:r w:rsidR="002B2C50" w:rsidRPr="00F853DD">
        <w:rPr>
          <w:rFonts w:ascii="Times" w:hAnsi="Times" w:cs="Times New Roman"/>
          <w:sz w:val="23"/>
          <w:szCs w:val="23"/>
        </w:rPr>
        <w:t xml:space="preserve"> [Viewed 18 May 2017]. Available from: </w:t>
      </w:r>
      <w:r w:rsidR="000D462C" w:rsidRPr="00F853DD">
        <w:rPr>
          <w:rFonts w:ascii="Times" w:hAnsi="Times" w:cs="Times New Roman"/>
          <w:sz w:val="23"/>
          <w:szCs w:val="23"/>
        </w:rPr>
        <w:t>doi</w:t>
      </w:r>
      <w:r w:rsidR="00CA7F17" w:rsidRPr="00F853DD">
        <w:rPr>
          <w:rFonts w:ascii="Times" w:hAnsi="Times" w:cs="Times New Roman"/>
          <w:sz w:val="23"/>
          <w:szCs w:val="23"/>
        </w:rPr>
        <w:t xml:space="preserve">: </w:t>
      </w:r>
      <w:r w:rsidR="000D462C" w:rsidRPr="00F853DD">
        <w:rPr>
          <w:rFonts w:ascii="Times" w:hAnsi="Times" w:cs="Times New Roman"/>
          <w:sz w:val="23"/>
          <w:szCs w:val="23"/>
        </w:rPr>
        <w:t>10.1177/104973150101100108</w:t>
      </w:r>
    </w:p>
    <w:p w14:paraId="1D84C325" w14:textId="7BD960C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Abley, C., Bond, J. and Robinson, L.</w:t>
      </w:r>
      <w:r w:rsidR="007B1411" w:rsidRPr="00F853DD">
        <w:rPr>
          <w:rFonts w:ascii="Times" w:hAnsi="Times" w:cs="Times New Roman"/>
          <w:sz w:val="23"/>
          <w:szCs w:val="23"/>
        </w:rPr>
        <w:t>,</w:t>
      </w:r>
      <w:r w:rsidRPr="00F853DD">
        <w:rPr>
          <w:rFonts w:ascii="Times" w:hAnsi="Times" w:cs="Times New Roman"/>
          <w:sz w:val="23"/>
          <w:szCs w:val="23"/>
        </w:rPr>
        <w:t xml:space="preserve"> (2011). Improving interprofessional practice for vulnerable older people: </w:t>
      </w:r>
      <w:r w:rsidR="00706B9A" w:rsidRPr="00F853DD">
        <w:rPr>
          <w:rFonts w:ascii="Times" w:hAnsi="Times" w:cs="Times New Roman"/>
          <w:sz w:val="23"/>
          <w:szCs w:val="23"/>
        </w:rPr>
        <w:t>g</w:t>
      </w:r>
      <w:r w:rsidRPr="00F853DD">
        <w:rPr>
          <w:rFonts w:ascii="Times" w:hAnsi="Times" w:cs="Times New Roman"/>
          <w:sz w:val="23"/>
          <w:szCs w:val="23"/>
        </w:rPr>
        <w:t xml:space="preserve">aining a better understanding of vulnerability. </w:t>
      </w:r>
      <w:r w:rsidRPr="00F853DD">
        <w:rPr>
          <w:rFonts w:ascii="Times" w:hAnsi="Times" w:cs="Times New Roman"/>
          <w:i/>
          <w:sz w:val="23"/>
          <w:szCs w:val="23"/>
        </w:rPr>
        <w:t>Journal of Interprofessional Care</w:t>
      </w:r>
      <w:r w:rsidR="00F00E8D" w:rsidRPr="00F853DD">
        <w:rPr>
          <w:rFonts w:ascii="Times" w:hAnsi="Times" w:cs="Times New Roman"/>
          <w:i/>
          <w:sz w:val="23"/>
          <w:szCs w:val="23"/>
        </w:rPr>
        <w:t xml:space="preserve"> </w:t>
      </w:r>
      <w:r w:rsidR="00F00E8D" w:rsidRPr="00F853DD">
        <w:rPr>
          <w:rFonts w:ascii="Times" w:hAnsi="Times" w:cs="Times New Roman"/>
          <w:sz w:val="23"/>
          <w:szCs w:val="23"/>
        </w:rPr>
        <w:t>[online].</w:t>
      </w:r>
      <w:r w:rsidR="007B1411" w:rsidRPr="00F853DD">
        <w:rPr>
          <w:rFonts w:ascii="Times" w:hAnsi="Times" w:cs="Times New Roman"/>
          <w:sz w:val="23"/>
          <w:szCs w:val="23"/>
        </w:rPr>
        <w:t xml:space="preserve"> </w:t>
      </w:r>
      <w:r w:rsidR="007B1411" w:rsidRPr="00F853DD">
        <w:rPr>
          <w:rFonts w:ascii="Times" w:hAnsi="Times" w:cs="Times New Roman"/>
          <w:b/>
          <w:sz w:val="23"/>
          <w:szCs w:val="23"/>
        </w:rPr>
        <w:t>25</w:t>
      </w:r>
      <w:r w:rsidR="007B1411" w:rsidRPr="00F853DD">
        <w:rPr>
          <w:rFonts w:ascii="Times" w:hAnsi="Times" w:cs="Times New Roman"/>
          <w:sz w:val="23"/>
          <w:szCs w:val="23"/>
        </w:rPr>
        <w:t>(5), 359-365.</w:t>
      </w:r>
      <w:r w:rsidRPr="00F853DD">
        <w:rPr>
          <w:rFonts w:ascii="Times" w:hAnsi="Times" w:cs="Arial"/>
          <w:sz w:val="23"/>
          <w:szCs w:val="23"/>
          <w:shd w:val="clear" w:color="auto" w:fill="FFFFFF"/>
        </w:rPr>
        <w:t xml:space="preserve"> </w:t>
      </w:r>
      <w:r w:rsidR="007B1411" w:rsidRPr="00F853DD">
        <w:rPr>
          <w:rFonts w:ascii="Times" w:hAnsi="Times" w:cs="Arial"/>
          <w:sz w:val="23"/>
          <w:szCs w:val="23"/>
          <w:shd w:val="clear" w:color="auto" w:fill="FFFFFF"/>
        </w:rPr>
        <w:t xml:space="preserve">[Viewed 18 May 2017]. Available from: </w:t>
      </w:r>
      <w:r w:rsidR="00CA7F17" w:rsidRPr="00F853DD">
        <w:rPr>
          <w:rFonts w:ascii="Times" w:hAnsi="Times" w:cs="Arial"/>
          <w:sz w:val="23"/>
          <w:szCs w:val="23"/>
          <w:shd w:val="clear" w:color="auto" w:fill="FFFFFF"/>
        </w:rPr>
        <w:t xml:space="preserve"> </w:t>
      </w:r>
      <w:r w:rsidR="002C49C6" w:rsidRPr="00F853DD">
        <w:rPr>
          <w:rFonts w:ascii="Times" w:hAnsi="Times" w:cs="Arial"/>
          <w:sz w:val="23"/>
          <w:szCs w:val="23"/>
          <w:shd w:val="clear" w:color="auto" w:fill="FFFFFF"/>
        </w:rPr>
        <w:t>doi</w:t>
      </w:r>
      <w:r w:rsidR="00CA7F17" w:rsidRPr="00F853DD">
        <w:rPr>
          <w:rFonts w:ascii="Times" w:hAnsi="Times" w:cs="Arial"/>
          <w:sz w:val="23"/>
          <w:szCs w:val="23"/>
          <w:shd w:val="clear" w:color="auto" w:fill="FFFFFF"/>
        </w:rPr>
        <w:t xml:space="preserve">: </w:t>
      </w:r>
      <w:r w:rsidR="002C49C6" w:rsidRPr="00F853DD">
        <w:rPr>
          <w:rFonts w:ascii="Times" w:hAnsi="Times" w:cs="Arial"/>
          <w:sz w:val="23"/>
          <w:szCs w:val="23"/>
          <w:shd w:val="clear" w:color="auto" w:fill="FFFFFF"/>
        </w:rPr>
        <w:t>10.3109/13561820.2011.579195</w:t>
      </w:r>
    </w:p>
    <w:p w14:paraId="4B37265C" w14:textId="0EE3601F" w:rsidR="008C0411" w:rsidRPr="00F853DD" w:rsidRDefault="00DF05BD" w:rsidP="00E1694A">
      <w:pPr>
        <w:autoSpaceDE w:val="0"/>
        <w:autoSpaceDN w:val="0"/>
        <w:adjustRightInd w:val="0"/>
        <w:spacing w:line="240" w:lineRule="auto"/>
        <w:ind w:left="567" w:hanging="567"/>
        <w:rPr>
          <w:rFonts w:ascii="Times" w:hAnsi="Times" w:cs="Arial"/>
          <w:sz w:val="23"/>
          <w:szCs w:val="23"/>
          <w:shd w:val="clear" w:color="auto" w:fill="FFFFFF"/>
        </w:rPr>
      </w:pPr>
      <w:r w:rsidRPr="00F853DD">
        <w:rPr>
          <w:rFonts w:ascii="Times" w:hAnsi="Times" w:cs="Times New Roman"/>
          <w:sz w:val="23"/>
          <w:szCs w:val="23"/>
        </w:rPr>
        <w:t>Abolfathi Momtaz, Y., Hamid, T. A. and Ibrahim, R.</w:t>
      </w:r>
      <w:r w:rsidR="008C0411" w:rsidRPr="00F853DD">
        <w:rPr>
          <w:rFonts w:ascii="Times" w:hAnsi="Times" w:cs="Times New Roman"/>
          <w:sz w:val="23"/>
          <w:szCs w:val="23"/>
        </w:rPr>
        <w:t>,</w:t>
      </w:r>
      <w:r w:rsidRPr="00F853DD">
        <w:rPr>
          <w:rFonts w:ascii="Times" w:hAnsi="Times" w:cs="Times New Roman"/>
          <w:sz w:val="23"/>
          <w:szCs w:val="23"/>
        </w:rPr>
        <w:t xml:space="preserve"> (2013). Theories and measures of elder abuse. </w:t>
      </w:r>
      <w:r w:rsidRPr="00F853DD">
        <w:rPr>
          <w:rFonts w:ascii="Times" w:hAnsi="Times" w:cs="Times New Roman"/>
          <w:i/>
          <w:sz w:val="23"/>
          <w:szCs w:val="23"/>
        </w:rPr>
        <w:t>Psychogeriatrics</w:t>
      </w:r>
      <w:r w:rsidR="00914EBD" w:rsidRPr="00F853DD">
        <w:rPr>
          <w:rFonts w:ascii="Times" w:hAnsi="Times" w:cs="Times New Roman"/>
          <w:i/>
          <w:sz w:val="23"/>
          <w:szCs w:val="23"/>
        </w:rPr>
        <w:t xml:space="preserve"> </w:t>
      </w:r>
      <w:r w:rsidR="00914EBD" w:rsidRPr="00F853DD">
        <w:rPr>
          <w:rFonts w:ascii="Times" w:hAnsi="Times" w:cs="Times New Roman"/>
          <w:sz w:val="23"/>
          <w:szCs w:val="23"/>
        </w:rPr>
        <w:t>[online].</w:t>
      </w:r>
      <w:r w:rsidRPr="00F853DD">
        <w:rPr>
          <w:rFonts w:ascii="Times" w:hAnsi="Times" w:cs="Times New Roman"/>
          <w:sz w:val="23"/>
          <w:szCs w:val="23"/>
        </w:rPr>
        <w:t xml:space="preserve"> </w:t>
      </w:r>
      <w:r w:rsidRPr="00F853DD">
        <w:rPr>
          <w:rFonts w:ascii="Times" w:hAnsi="Times" w:cs="Times New Roman"/>
          <w:b/>
          <w:sz w:val="23"/>
          <w:szCs w:val="23"/>
        </w:rPr>
        <w:t>13</w:t>
      </w:r>
      <w:r w:rsidR="008C0411" w:rsidRPr="00F853DD">
        <w:rPr>
          <w:rFonts w:ascii="Times" w:hAnsi="Times" w:cs="Times New Roman"/>
          <w:sz w:val="23"/>
          <w:szCs w:val="23"/>
        </w:rPr>
        <w:t>(3)</w:t>
      </w:r>
      <w:r w:rsidRPr="00F853DD">
        <w:rPr>
          <w:rFonts w:ascii="Times" w:hAnsi="Times" w:cs="Times New Roman"/>
          <w:sz w:val="23"/>
          <w:szCs w:val="23"/>
        </w:rPr>
        <w:t>, 182-188.</w:t>
      </w:r>
      <w:r w:rsidR="008C0411" w:rsidRPr="00F853DD">
        <w:rPr>
          <w:rFonts w:ascii="Times" w:hAnsi="Times" w:cs="Times New Roman"/>
          <w:sz w:val="23"/>
          <w:szCs w:val="23"/>
        </w:rPr>
        <w:t xml:space="preserve"> </w:t>
      </w:r>
      <w:r w:rsidR="008C0411" w:rsidRPr="00F853DD">
        <w:rPr>
          <w:rFonts w:ascii="Times" w:hAnsi="Times" w:cs="Arial"/>
          <w:sz w:val="23"/>
          <w:szCs w:val="23"/>
          <w:shd w:val="clear" w:color="auto" w:fill="FFFFFF"/>
        </w:rPr>
        <w:t>[Viewed 26 November 2017]. Available from: doi</w:t>
      </w:r>
      <w:r w:rsidR="00CA7F17" w:rsidRPr="00F853DD">
        <w:rPr>
          <w:rFonts w:ascii="Times" w:hAnsi="Times" w:cs="Arial"/>
          <w:sz w:val="23"/>
          <w:szCs w:val="23"/>
          <w:shd w:val="clear" w:color="auto" w:fill="FFFFFF"/>
        </w:rPr>
        <w:t xml:space="preserve">: </w:t>
      </w:r>
      <w:r w:rsidR="008C0411" w:rsidRPr="00F853DD">
        <w:rPr>
          <w:rFonts w:ascii="Times" w:hAnsi="Times" w:cs="Arial"/>
          <w:sz w:val="23"/>
          <w:szCs w:val="23"/>
          <w:shd w:val="clear" w:color="auto" w:fill="FFFFFF"/>
        </w:rPr>
        <w:t>10.1111/psyg.12009</w:t>
      </w:r>
    </w:p>
    <w:p w14:paraId="59297123" w14:textId="61CF36D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Abraham, S.</w:t>
      </w:r>
      <w:r w:rsidR="00480787" w:rsidRPr="00F853DD">
        <w:rPr>
          <w:rFonts w:ascii="Times" w:hAnsi="Times" w:cs="Times New Roman"/>
          <w:sz w:val="23"/>
          <w:szCs w:val="23"/>
        </w:rPr>
        <w:t>,</w:t>
      </w:r>
      <w:r w:rsidRPr="00F853DD">
        <w:rPr>
          <w:rFonts w:ascii="Times" w:hAnsi="Times" w:cs="Times New Roman"/>
          <w:sz w:val="23"/>
          <w:szCs w:val="23"/>
        </w:rPr>
        <w:t xml:space="preserve"> (2001). The shifting sources of racial definition in Trinidad and Tobago, and Guyana: a research agenda. </w:t>
      </w:r>
      <w:r w:rsidRPr="00F853DD">
        <w:rPr>
          <w:rFonts w:ascii="Times" w:hAnsi="Times" w:cs="Times New Roman"/>
          <w:i/>
          <w:sz w:val="23"/>
          <w:szCs w:val="23"/>
        </w:rPr>
        <w:t>Ethnic and Racial Studies</w:t>
      </w:r>
      <w:r w:rsidR="00914EBD" w:rsidRPr="00F853DD">
        <w:rPr>
          <w:rFonts w:ascii="Times" w:hAnsi="Times" w:cs="Times New Roman"/>
          <w:i/>
          <w:sz w:val="23"/>
          <w:szCs w:val="23"/>
        </w:rPr>
        <w:t xml:space="preserve"> </w:t>
      </w:r>
      <w:r w:rsidR="00914EBD" w:rsidRPr="00F853DD">
        <w:rPr>
          <w:rFonts w:ascii="Times" w:hAnsi="Times" w:cs="Times New Roman"/>
          <w:sz w:val="23"/>
          <w:szCs w:val="23"/>
        </w:rPr>
        <w:t>[online].</w:t>
      </w:r>
      <w:r w:rsidRPr="00F853DD">
        <w:rPr>
          <w:rFonts w:ascii="Times" w:hAnsi="Times" w:cs="Times New Roman"/>
          <w:sz w:val="23"/>
          <w:szCs w:val="23"/>
        </w:rPr>
        <w:t xml:space="preserve"> </w:t>
      </w:r>
      <w:r w:rsidRPr="00F853DD">
        <w:rPr>
          <w:rFonts w:ascii="Times" w:hAnsi="Times" w:cs="Times New Roman"/>
          <w:b/>
          <w:sz w:val="23"/>
          <w:szCs w:val="23"/>
        </w:rPr>
        <w:t>24</w:t>
      </w:r>
      <w:r w:rsidR="00480787" w:rsidRPr="00F853DD">
        <w:rPr>
          <w:rFonts w:ascii="Times" w:hAnsi="Times" w:cs="Times New Roman"/>
          <w:sz w:val="23"/>
          <w:szCs w:val="23"/>
        </w:rPr>
        <w:t>(6)</w:t>
      </w:r>
      <w:r w:rsidRPr="00F853DD">
        <w:rPr>
          <w:rFonts w:ascii="Times" w:hAnsi="Times" w:cs="Times New Roman"/>
          <w:sz w:val="23"/>
          <w:szCs w:val="23"/>
        </w:rPr>
        <w:t>, 979-997.</w:t>
      </w:r>
      <w:r w:rsidR="00480787" w:rsidRPr="00F853DD">
        <w:rPr>
          <w:rFonts w:ascii="Times" w:hAnsi="Times" w:cs="Times New Roman"/>
          <w:sz w:val="23"/>
          <w:szCs w:val="23"/>
        </w:rPr>
        <w:t xml:space="preserve"> [Viewed 20 August 2017]. Available from: doi</w:t>
      </w:r>
      <w:r w:rsidR="00CA7F17" w:rsidRPr="00F853DD">
        <w:rPr>
          <w:rFonts w:ascii="Times" w:hAnsi="Times" w:cs="Times New Roman"/>
          <w:sz w:val="23"/>
          <w:szCs w:val="23"/>
        </w:rPr>
        <w:t xml:space="preserve">: </w:t>
      </w:r>
      <w:r w:rsidR="00480787" w:rsidRPr="00F853DD">
        <w:rPr>
          <w:rFonts w:ascii="Times" w:hAnsi="Times" w:cs="Times New Roman"/>
          <w:sz w:val="23"/>
          <w:szCs w:val="23"/>
        </w:rPr>
        <w:t>10.1080/01419870120077931</w:t>
      </w:r>
    </w:p>
    <w:p w14:paraId="25E64147" w14:textId="4EE3EBE4"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Adams, A. and Cox, A</w:t>
      </w:r>
      <w:r w:rsidR="00DF05BD" w:rsidRPr="00F853DD">
        <w:rPr>
          <w:rFonts w:ascii="Times" w:hAnsi="Times" w:cs="Times New Roman"/>
          <w:sz w:val="23"/>
          <w:szCs w:val="23"/>
        </w:rPr>
        <w:t>.</w:t>
      </w:r>
      <w:r w:rsidR="005C56CA" w:rsidRPr="00F853DD">
        <w:rPr>
          <w:rFonts w:ascii="Times" w:hAnsi="Times" w:cs="Times New Roman"/>
          <w:sz w:val="23"/>
          <w:szCs w:val="23"/>
        </w:rPr>
        <w:t>,</w:t>
      </w:r>
      <w:r w:rsidR="00DF05BD" w:rsidRPr="00F853DD">
        <w:rPr>
          <w:rFonts w:ascii="Times" w:hAnsi="Times" w:cs="Times New Roman"/>
          <w:sz w:val="23"/>
          <w:szCs w:val="23"/>
        </w:rPr>
        <w:t xml:space="preserve"> (2008). Questionnaires, in-depth interviews and focus groups. In: A.L. Cox, and P. Cairns, eds. </w:t>
      </w:r>
      <w:r w:rsidR="00DF05BD" w:rsidRPr="00F853DD">
        <w:rPr>
          <w:rFonts w:ascii="Times" w:hAnsi="Times" w:cs="Times New Roman"/>
          <w:i/>
          <w:sz w:val="23"/>
          <w:szCs w:val="23"/>
        </w:rPr>
        <w:t>Research methods for human-computer interaction</w:t>
      </w:r>
      <w:r w:rsidR="00DF05BD" w:rsidRPr="00F853DD">
        <w:rPr>
          <w:rFonts w:ascii="Times" w:hAnsi="Times" w:cs="Times New Roman"/>
          <w:sz w:val="23"/>
          <w:szCs w:val="23"/>
        </w:rPr>
        <w:t>. Cambridge: Cambridge University Press.</w:t>
      </w:r>
      <w:r w:rsidR="005C56CA" w:rsidRPr="00F853DD">
        <w:rPr>
          <w:rFonts w:ascii="Times" w:hAnsi="Times" w:cs="Times New Roman"/>
          <w:sz w:val="23"/>
          <w:szCs w:val="23"/>
        </w:rPr>
        <w:t xml:space="preserve"> pp. 17-34.</w:t>
      </w:r>
    </w:p>
    <w:p w14:paraId="0D631A69" w14:textId="2EB4205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Adams, V. and Sharp, R.</w:t>
      </w:r>
      <w:r w:rsidR="00D6034A" w:rsidRPr="00F853DD">
        <w:rPr>
          <w:rFonts w:ascii="Times" w:hAnsi="Times" w:cs="Times New Roman"/>
          <w:sz w:val="23"/>
          <w:szCs w:val="23"/>
        </w:rPr>
        <w:t>,</w:t>
      </w:r>
      <w:r w:rsidRPr="00F853DD">
        <w:rPr>
          <w:rFonts w:ascii="Times" w:hAnsi="Times" w:cs="Times New Roman"/>
          <w:sz w:val="23"/>
          <w:szCs w:val="23"/>
        </w:rPr>
        <w:t xml:space="preserve"> (2013). Reciprocity in caring labor: </w:t>
      </w:r>
      <w:r w:rsidR="00706B9A" w:rsidRPr="00F853DD">
        <w:rPr>
          <w:rFonts w:ascii="Times" w:hAnsi="Times" w:cs="Times New Roman"/>
          <w:sz w:val="23"/>
          <w:szCs w:val="23"/>
        </w:rPr>
        <w:t>n</w:t>
      </w:r>
      <w:r w:rsidRPr="00F853DD">
        <w:rPr>
          <w:rFonts w:ascii="Times" w:hAnsi="Times" w:cs="Times New Roman"/>
          <w:sz w:val="23"/>
          <w:szCs w:val="23"/>
        </w:rPr>
        <w:t xml:space="preserve">urses' work in residential aged care in Australia. </w:t>
      </w:r>
      <w:r w:rsidRPr="00F853DD">
        <w:rPr>
          <w:rFonts w:ascii="Times" w:hAnsi="Times" w:cs="Times New Roman"/>
          <w:i/>
          <w:sz w:val="23"/>
          <w:szCs w:val="23"/>
        </w:rPr>
        <w:t>Feminist Economics</w:t>
      </w:r>
      <w:r w:rsidR="00914EBD"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19</w:t>
      </w:r>
      <w:r w:rsidR="00215228" w:rsidRPr="00F853DD">
        <w:rPr>
          <w:rFonts w:ascii="Times" w:hAnsi="Times" w:cs="Times New Roman"/>
          <w:sz w:val="23"/>
          <w:szCs w:val="23"/>
        </w:rPr>
        <w:t>(22)</w:t>
      </w:r>
      <w:r w:rsidRPr="00F853DD">
        <w:rPr>
          <w:rFonts w:ascii="Times" w:hAnsi="Times" w:cs="Times New Roman"/>
          <w:sz w:val="23"/>
          <w:szCs w:val="23"/>
        </w:rPr>
        <w:t>, 100-121.</w:t>
      </w:r>
      <w:r w:rsidR="00215228" w:rsidRPr="00F853DD">
        <w:rPr>
          <w:rFonts w:ascii="Times" w:hAnsi="Times" w:cs="Times New Roman"/>
          <w:sz w:val="23"/>
          <w:szCs w:val="23"/>
        </w:rPr>
        <w:t xml:space="preserve"> </w:t>
      </w:r>
      <w:r w:rsidR="00215228" w:rsidRPr="00F853DD">
        <w:rPr>
          <w:rFonts w:ascii="Times" w:hAnsi="Times" w:cs="Arial"/>
          <w:sz w:val="23"/>
          <w:szCs w:val="23"/>
          <w:shd w:val="clear" w:color="auto" w:fill="FFFFFF"/>
        </w:rPr>
        <w:t xml:space="preserve">[Viewed 19 September 2017]. Available from: </w:t>
      </w:r>
      <w:r w:rsidR="00D6034A" w:rsidRPr="00F853DD">
        <w:rPr>
          <w:rFonts w:ascii="Times" w:hAnsi="Times" w:cs="Arial"/>
          <w:sz w:val="23"/>
          <w:szCs w:val="23"/>
          <w:shd w:val="clear" w:color="auto" w:fill="FFFFFF"/>
        </w:rPr>
        <w:t>doi</w:t>
      </w:r>
      <w:r w:rsidR="00CA7F17" w:rsidRPr="00F853DD">
        <w:rPr>
          <w:rFonts w:ascii="Times" w:hAnsi="Times" w:cs="Arial"/>
          <w:sz w:val="23"/>
          <w:szCs w:val="23"/>
          <w:shd w:val="clear" w:color="auto" w:fill="FFFFFF"/>
        </w:rPr>
        <w:t xml:space="preserve">: </w:t>
      </w:r>
      <w:r w:rsidR="00D6034A" w:rsidRPr="00F853DD">
        <w:rPr>
          <w:rFonts w:ascii="Times" w:hAnsi="Times" w:cs="Arial"/>
          <w:sz w:val="23"/>
          <w:szCs w:val="23"/>
          <w:shd w:val="clear" w:color="auto" w:fill="FFFFFF"/>
        </w:rPr>
        <w:t>10.1080/13545701.2013.767982</w:t>
      </w:r>
    </w:p>
    <w:p w14:paraId="2DF8EAEA" w14:textId="789DD56D"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Adelman, R., Tmanova, L.</w:t>
      </w:r>
      <w:r w:rsidR="00DF05BD" w:rsidRPr="00F853DD">
        <w:rPr>
          <w:rFonts w:ascii="Times" w:hAnsi="Times" w:cs="Times New Roman"/>
          <w:sz w:val="23"/>
          <w:szCs w:val="23"/>
        </w:rPr>
        <w:t>, Delgad</w:t>
      </w:r>
      <w:r w:rsidRPr="00F853DD">
        <w:rPr>
          <w:rFonts w:ascii="Times" w:hAnsi="Times" w:cs="Times New Roman"/>
          <w:sz w:val="23"/>
          <w:szCs w:val="23"/>
        </w:rPr>
        <w:t>o, D., Dion, S. and Lachs, M.</w:t>
      </w:r>
      <w:r w:rsidR="0030145D" w:rsidRPr="00F853DD">
        <w:rPr>
          <w:rFonts w:ascii="Times" w:hAnsi="Times" w:cs="Times New Roman"/>
          <w:sz w:val="23"/>
          <w:szCs w:val="23"/>
        </w:rPr>
        <w:t>,</w:t>
      </w:r>
      <w:r w:rsidR="00DF05BD" w:rsidRPr="00F853DD">
        <w:rPr>
          <w:rFonts w:ascii="Times" w:hAnsi="Times" w:cs="Times New Roman"/>
          <w:sz w:val="23"/>
          <w:szCs w:val="23"/>
        </w:rPr>
        <w:t xml:space="preserve"> (2014). Caregiver burden a clinical review. </w:t>
      </w:r>
      <w:r w:rsidR="00DF05BD" w:rsidRPr="00F853DD">
        <w:rPr>
          <w:rFonts w:ascii="Times" w:hAnsi="Times" w:cs="Times New Roman"/>
          <w:i/>
          <w:sz w:val="23"/>
          <w:szCs w:val="23"/>
        </w:rPr>
        <w:t>Jama-Journal of the American Medical Association</w:t>
      </w:r>
      <w:r w:rsidR="00914EBD" w:rsidRPr="00F853DD">
        <w:rPr>
          <w:rFonts w:ascii="Times" w:hAnsi="Times" w:cs="Times New Roman"/>
          <w:i/>
          <w:sz w:val="23"/>
          <w:szCs w:val="23"/>
        </w:rPr>
        <w:t xml:space="preserve"> </w:t>
      </w:r>
      <w:r w:rsidR="00914EBD" w:rsidRPr="00F853DD">
        <w:rPr>
          <w:rFonts w:ascii="Times" w:hAnsi="Times" w:cs="Times New Roman"/>
          <w:sz w:val="23"/>
          <w:szCs w:val="23"/>
        </w:rPr>
        <w:t>[online].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311</w:t>
      </w:r>
      <w:r w:rsidR="008B5335" w:rsidRPr="00F853DD">
        <w:rPr>
          <w:rFonts w:ascii="Times" w:hAnsi="Times" w:cs="Times New Roman"/>
          <w:sz w:val="23"/>
          <w:szCs w:val="23"/>
        </w:rPr>
        <w:t>(10)</w:t>
      </w:r>
      <w:r w:rsidR="00DF05BD" w:rsidRPr="00F853DD">
        <w:rPr>
          <w:rFonts w:ascii="Times" w:hAnsi="Times" w:cs="Times New Roman"/>
          <w:sz w:val="23"/>
          <w:szCs w:val="23"/>
        </w:rPr>
        <w:t>, 1052-1059.</w:t>
      </w:r>
      <w:r w:rsidR="008B5335" w:rsidRPr="00F853DD">
        <w:rPr>
          <w:rFonts w:ascii="Times" w:hAnsi="Times" w:cs="Times New Roman"/>
          <w:sz w:val="23"/>
          <w:szCs w:val="23"/>
        </w:rPr>
        <w:t xml:space="preserve"> </w:t>
      </w:r>
      <w:r w:rsidR="008B5335" w:rsidRPr="00F853DD">
        <w:rPr>
          <w:rFonts w:ascii="Times" w:hAnsi="Times" w:cs="Arial"/>
          <w:sz w:val="23"/>
          <w:szCs w:val="23"/>
          <w:shd w:val="clear" w:color="auto" w:fill="FFFFFF"/>
        </w:rPr>
        <w:t xml:space="preserve">[Viewed 3 November 2017]. Available from: </w:t>
      </w:r>
      <w:r w:rsidR="00CA7F17" w:rsidRPr="00F853DD">
        <w:rPr>
          <w:rFonts w:ascii="Times" w:hAnsi="Times" w:cs="Arial"/>
          <w:sz w:val="23"/>
          <w:szCs w:val="23"/>
          <w:shd w:val="clear" w:color="auto" w:fill="FFFFFF"/>
        </w:rPr>
        <w:t>doi: 10.1001/jama.2014.304</w:t>
      </w:r>
    </w:p>
    <w:p w14:paraId="5434C051" w14:textId="1EAFF49C" w:rsidR="006342A2" w:rsidRPr="00F853DD" w:rsidRDefault="00BF7831" w:rsidP="00CA7F17">
      <w:pPr>
        <w:autoSpaceDE w:val="0"/>
        <w:autoSpaceDN w:val="0"/>
        <w:adjustRightInd w:val="0"/>
        <w:spacing w:line="240" w:lineRule="auto"/>
        <w:ind w:left="567" w:right="-235" w:hanging="567"/>
        <w:rPr>
          <w:rFonts w:ascii="Times" w:hAnsi="Times" w:cs="Times New Roman"/>
          <w:sz w:val="23"/>
          <w:szCs w:val="23"/>
        </w:rPr>
      </w:pPr>
      <w:r w:rsidRPr="00F853DD">
        <w:rPr>
          <w:rFonts w:ascii="Times" w:hAnsi="Times" w:cs="Times New Roman"/>
          <w:sz w:val="23"/>
          <w:szCs w:val="23"/>
        </w:rPr>
        <w:t>Adger, W.</w:t>
      </w:r>
      <w:r w:rsidR="0030145D" w:rsidRPr="00F853DD">
        <w:rPr>
          <w:rFonts w:ascii="Times" w:hAnsi="Times" w:cs="Times New Roman"/>
          <w:sz w:val="23"/>
          <w:szCs w:val="23"/>
        </w:rPr>
        <w:t>,</w:t>
      </w:r>
      <w:r w:rsidR="00DF05BD" w:rsidRPr="00F853DD">
        <w:rPr>
          <w:rFonts w:ascii="Times" w:hAnsi="Times" w:cs="Times New Roman"/>
          <w:sz w:val="23"/>
          <w:szCs w:val="23"/>
        </w:rPr>
        <w:t xml:space="preserve"> (2000). Social and ecological resilience: are they related? </w:t>
      </w:r>
      <w:r w:rsidR="00DF05BD" w:rsidRPr="00F853DD">
        <w:rPr>
          <w:rFonts w:ascii="Times" w:hAnsi="Times" w:cs="Times New Roman"/>
          <w:i/>
          <w:sz w:val="23"/>
          <w:szCs w:val="23"/>
        </w:rPr>
        <w:t>Progress in Human Geography</w:t>
      </w:r>
      <w:r w:rsidR="00914EBD" w:rsidRPr="00F853DD">
        <w:rPr>
          <w:rFonts w:ascii="Times" w:hAnsi="Times" w:cs="Times New Roman"/>
          <w:i/>
          <w:sz w:val="23"/>
          <w:szCs w:val="23"/>
        </w:rPr>
        <w:t xml:space="preserve"> </w:t>
      </w:r>
      <w:r w:rsidR="00914EBD" w:rsidRPr="00F853DD">
        <w:rPr>
          <w:rFonts w:ascii="Times" w:hAnsi="Times" w:cs="Times New Roman"/>
          <w:sz w:val="23"/>
          <w:szCs w:val="23"/>
        </w:rPr>
        <w:t xml:space="preserve">[online]. </w:t>
      </w:r>
      <w:r w:rsidR="00DF05BD" w:rsidRPr="00F853DD">
        <w:rPr>
          <w:rFonts w:ascii="Times" w:hAnsi="Times" w:cs="Times New Roman"/>
          <w:b/>
          <w:sz w:val="23"/>
          <w:szCs w:val="23"/>
        </w:rPr>
        <w:t>24</w:t>
      </w:r>
      <w:r w:rsidR="006342A2" w:rsidRPr="00F853DD">
        <w:rPr>
          <w:rFonts w:ascii="Times" w:hAnsi="Times" w:cs="Times New Roman"/>
          <w:sz w:val="23"/>
          <w:szCs w:val="23"/>
        </w:rPr>
        <w:t>(3)</w:t>
      </w:r>
      <w:r w:rsidR="00DF05BD" w:rsidRPr="00F853DD">
        <w:rPr>
          <w:rFonts w:ascii="Times" w:hAnsi="Times" w:cs="Times New Roman"/>
          <w:sz w:val="23"/>
          <w:szCs w:val="23"/>
        </w:rPr>
        <w:t>, 347-364.</w:t>
      </w:r>
      <w:r w:rsidR="006342A2" w:rsidRPr="00F853DD">
        <w:rPr>
          <w:rFonts w:ascii="Times" w:hAnsi="Times" w:cs="Times New Roman"/>
          <w:sz w:val="23"/>
          <w:szCs w:val="23"/>
        </w:rPr>
        <w:t xml:space="preserve"> </w:t>
      </w:r>
      <w:r w:rsidR="006342A2" w:rsidRPr="00F853DD">
        <w:rPr>
          <w:rFonts w:ascii="Times" w:hAnsi="Times" w:cs="Arial"/>
          <w:sz w:val="23"/>
          <w:szCs w:val="23"/>
          <w:shd w:val="clear" w:color="auto" w:fill="FFFFFF"/>
        </w:rPr>
        <w:t xml:space="preserve">[Viewed </w:t>
      </w:r>
      <w:r w:rsidR="00DD7DAA" w:rsidRPr="00F853DD">
        <w:rPr>
          <w:rFonts w:ascii="Times" w:hAnsi="Times" w:cs="Arial"/>
          <w:sz w:val="23"/>
          <w:szCs w:val="23"/>
          <w:shd w:val="clear" w:color="auto" w:fill="FFFFFF"/>
        </w:rPr>
        <w:t>24 October</w:t>
      </w:r>
      <w:r w:rsidR="006342A2" w:rsidRPr="00F853DD">
        <w:rPr>
          <w:rFonts w:ascii="Times" w:hAnsi="Times" w:cs="Arial"/>
          <w:sz w:val="23"/>
          <w:szCs w:val="23"/>
          <w:shd w:val="clear" w:color="auto" w:fill="FFFFFF"/>
        </w:rPr>
        <w:t xml:space="preserve"> 2017]. Available from: </w:t>
      </w:r>
      <w:r w:rsidR="00DD7DAA" w:rsidRPr="00F853DD">
        <w:rPr>
          <w:rFonts w:ascii="Times" w:hAnsi="Times" w:cs="Arial"/>
          <w:sz w:val="23"/>
          <w:szCs w:val="23"/>
          <w:shd w:val="clear" w:color="auto" w:fill="FFFFFF"/>
        </w:rPr>
        <w:t>doi</w:t>
      </w:r>
      <w:r w:rsidR="00CA7F17" w:rsidRPr="00F853DD">
        <w:rPr>
          <w:rFonts w:ascii="Times" w:hAnsi="Times" w:cs="Arial"/>
          <w:sz w:val="23"/>
          <w:szCs w:val="23"/>
          <w:shd w:val="clear" w:color="auto" w:fill="FFFFFF"/>
        </w:rPr>
        <w:t xml:space="preserve">: </w:t>
      </w:r>
      <w:r w:rsidR="00DD7DAA" w:rsidRPr="00F853DD">
        <w:rPr>
          <w:rFonts w:ascii="Times" w:hAnsi="Times" w:cs="Arial"/>
          <w:sz w:val="23"/>
          <w:szCs w:val="23"/>
          <w:shd w:val="clear" w:color="auto" w:fill="FFFFFF"/>
        </w:rPr>
        <w:t>10.1191/030913200701540465</w:t>
      </w:r>
    </w:p>
    <w:p w14:paraId="798A06EA" w14:textId="2E947FB7" w:rsidR="00DD7DAA" w:rsidRPr="00F853DD" w:rsidRDefault="00BF7831" w:rsidP="00E1694A">
      <w:pPr>
        <w:autoSpaceDE w:val="0"/>
        <w:autoSpaceDN w:val="0"/>
        <w:adjustRightInd w:val="0"/>
        <w:spacing w:line="240" w:lineRule="auto"/>
        <w:ind w:left="567" w:hanging="567"/>
        <w:rPr>
          <w:rFonts w:ascii="Times" w:hAnsi="Times" w:cs="Arial"/>
          <w:sz w:val="23"/>
          <w:szCs w:val="23"/>
          <w:shd w:val="clear" w:color="auto" w:fill="FFFFFF"/>
        </w:rPr>
      </w:pPr>
      <w:r w:rsidRPr="00F853DD">
        <w:rPr>
          <w:rFonts w:ascii="Times" w:hAnsi="Times" w:cs="Times New Roman"/>
          <w:sz w:val="23"/>
          <w:szCs w:val="23"/>
        </w:rPr>
        <w:t>Adger, W., Kelly, P., Winkels, A., Huy, L.</w:t>
      </w:r>
      <w:r w:rsidR="00DF05BD" w:rsidRPr="00F853DD">
        <w:rPr>
          <w:rFonts w:ascii="Times" w:hAnsi="Times" w:cs="Times New Roman"/>
          <w:sz w:val="23"/>
          <w:szCs w:val="23"/>
        </w:rPr>
        <w:t xml:space="preserve"> and Locke, C.</w:t>
      </w:r>
      <w:r w:rsidR="00DD7DAA" w:rsidRPr="00F853DD">
        <w:rPr>
          <w:rFonts w:ascii="Times" w:hAnsi="Times" w:cs="Times New Roman"/>
          <w:sz w:val="23"/>
          <w:szCs w:val="23"/>
        </w:rPr>
        <w:t>,</w:t>
      </w:r>
      <w:r w:rsidR="00DF05BD" w:rsidRPr="00F853DD">
        <w:rPr>
          <w:rFonts w:ascii="Times" w:hAnsi="Times" w:cs="Times New Roman"/>
          <w:sz w:val="23"/>
          <w:szCs w:val="23"/>
        </w:rPr>
        <w:t xml:space="preserve"> (2002). Migration, remittances, livelihood trajectories, and social resilience. </w:t>
      </w:r>
      <w:r w:rsidR="00DF05BD" w:rsidRPr="00F853DD">
        <w:rPr>
          <w:rFonts w:ascii="Times" w:hAnsi="Times" w:cs="Times New Roman"/>
          <w:i/>
          <w:sz w:val="23"/>
          <w:szCs w:val="23"/>
        </w:rPr>
        <w:t>Ambio</w:t>
      </w:r>
      <w:r w:rsidR="00F00E8D" w:rsidRPr="00F853DD">
        <w:rPr>
          <w:rFonts w:ascii="Times" w:hAnsi="Times" w:cs="Times New Roman"/>
          <w:sz w:val="23"/>
          <w:szCs w:val="23"/>
        </w:rPr>
        <w:t xml:space="preserve"> </w:t>
      </w:r>
      <w:r w:rsidR="00914EBD" w:rsidRPr="00F853DD">
        <w:rPr>
          <w:rFonts w:ascii="Times" w:hAnsi="Times" w:cs="Times New Roman"/>
          <w:sz w:val="23"/>
          <w:szCs w:val="23"/>
        </w:rPr>
        <w:t>[online].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31</w:t>
      </w:r>
      <w:r w:rsidR="00DF05BD" w:rsidRPr="00F853DD">
        <w:rPr>
          <w:rFonts w:ascii="Times" w:hAnsi="Times" w:cs="Times New Roman"/>
          <w:sz w:val="23"/>
          <w:szCs w:val="23"/>
        </w:rPr>
        <w:t xml:space="preserve">(4), 358-366. </w:t>
      </w:r>
      <w:r w:rsidR="00DD7DAA" w:rsidRPr="00F853DD">
        <w:rPr>
          <w:rFonts w:ascii="Times" w:hAnsi="Times" w:cs="Arial"/>
          <w:sz w:val="23"/>
          <w:szCs w:val="23"/>
          <w:shd w:val="clear" w:color="auto" w:fill="FFFFFF"/>
        </w:rPr>
        <w:t xml:space="preserve">[Viewed 24 January 2018]. Available from: </w:t>
      </w:r>
      <w:r w:rsidR="00CA7F17" w:rsidRPr="00F853DD">
        <w:rPr>
          <w:rFonts w:ascii="Times" w:hAnsi="Times" w:cs="Arial"/>
          <w:sz w:val="23"/>
          <w:szCs w:val="23"/>
          <w:shd w:val="clear" w:color="auto" w:fill="FFFFFF"/>
        </w:rPr>
        <w:t>doi: 10.1579/0044-7447-31.4.358</w:t>
      </w:r>
    </w:p>
    <w:p w14:paraId="2F51B4DA" w14:textId="0C831FA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Agbayani-Siewert, P., Aneshensel, C., Avison, W. and Boyer, C.</w:t>
      </w:r>
      <w:r w:rsidR="00266DE5" w:rsidRPr="00F853DD">
        <w:rPr>
          <w:rFonts w:ascii="Times" w:hAnsi="Times" w:cs="Times New Roman"/>
          <w:sz w:val="23"/>
          <w:szCs w:val="23"/>
        </w:rPr>
        <w:t>,</w:t>
      </w:r>
      <w:r w:rsidRPr="00F853DD">
        <w:rPr>
          <w:rFonts w:ascii="Times" w:hAnsi="Times" w:cs="Times New Roman"/>
          <w:sz w:val="23"/>
          <w:szCs w:val="23"/>
        </w:rPr>
        <w:t xml:space="preserve"> (1999). </w:t>
      </w:r>
      <w:r w:rsidRPr="00F853DD">
        <w:rPr>
          <w:rFonts w:ascii="Times" w:hAnsi="Times" w:cs="Times New Roman"/>
          <w:i/>
          <w:sz w:val="23"/>
          <w:szCs w:val="23"/>
        </w:rPr>
        <w:t>Handbook of the sociology of mental health</w:t>
      </w:r>
      <w:r w:rsidRPr="00F853DD">
        <w:rPr>
          <w:rFonts w:ascii="Times" w:hAnsi="Times" w:cs="Times New Roman"/>
          <w:sz w:val="23"/>
          <w:szCs w:val="23"/>
        </w:rPr>
        <w:t xml:space="preserve">. New York: Springer. </w:t>
      </w:r>
      <w:r w:rsidR="00266DE5" w:rsidRPr="00F853DD">
        <w:rPr>
          <w:rFonts w:ascii="Times" w:hAnsi="Times" w:cs="Times New Roman"/>
          <w:sz w:val="23"/>
          <w:szCs w:val="23"/>
        </w:rPr>
        <w:t>pp. 3-18.</w:t>
      </w:r>
    </w:p>
    <w:p w14:paraId="6C93CC42" w14:textId="7B9304A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Age UK</w:t>
      </w:r>
      <w:r w:rsidR="0018076E" w:rsidRPr="00F853DD">
        <w:rPr>
          <w:rFonts w:ascii="Times" w:hAnsi="Times" w:cs="Times New Roman"/>
          <w:sz w:val="23"/>
          <w:szCs w:val="23"/>
        </w:rPr>
        <w:t>.,</w:t>
      </w:r>
      <w:r w:rsidRPr="00F853DD">
        <w:rPr>
          <w:rFonts w:ascii="Times" w:hAnsi="Times" w:cs="Times New Roman"/>
          <w:sz w:val="23"/>
          <w:szCs w:val="23"/>
        </w:rPr>
        <w:t xml:space="preserve"> (2018). “Why call it care when nobody cares?” An Age UK campaign report about how older people and their families experience the crisis in social care [online]. </w:t>
      </w:r>
      <w:r w:rsidRPr="00F853DD">
        <w:rPr>
          <w:rFonts w:ascii="Times" w:hAnsi="Times" w:cs="Times New Roman"/>
          <w:i/>
          <w:sz w:val="23"/>
          <w:szCs w:val="23"/>
        </w:rPr>
        <w:t xml:space="preserve">Age UK. </w:t>
      </w:r>
      <w:r w:rsidRPr="00F853DD">
        <w:rPr>
          <w:rFonts w:ascii="Times" w:hAnsi="Times" w:cs="Times New Roman"/>
          <w:sz w:val="23"/>
          <w:szCs w:val="23"/>
        </w:rPr>
        <w:t xml:space="preserve">[Viewed 25 June 2019]. Available from:   </w:t>
      </w:r>
      <w:hyperlink r:id="rId102">
        <w:r w:rsidRPr="00F853DD">
          <w:rPr>
            <w:rFonts w:ascii="Times" w:hAnsi="Times" w:cs="Times New Roman"/>
            <w:sz w:val="23"/>
            <w:szCs w:val="23"/>
          </w:rPr>
          <w:t>https://www.ageuk.org.uk/globalassets/age-uk/documents/reports-and-publications/reports-and-briefings/care--support/RB_mar18_social_care_campaignreport.pdf</w:t>
        </w:r>
      </w:hyperlink>
    </w:p>
    <w:p w14:paraId="7D100199" w14:textId="37EAC95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Ahern, D., Guberman, N., Levine, C., Maslow, K., Montgomery, A., Reinhard, S. and Zarit, S.</w:t>
      </w:r>
      <w:r w:rsidR="00E10157" w:rsidRPr="00F853DD">
        <w:rPr>
          <w:rFonts w:ascii="Times" w:hAnsi="Times" w:cs="Times New Roman"/>
          <w:sz w:val="23"/>
          <w:szCs w:val="23"/>
        </w:rPr>
        <w:t>,</w:t>
      </w:r>
      <w:r w:rsidRPr="00F853DD">
        <w:rPr>
          <w:rFonts w:ascii="Times" w:hAnsi="Times" w:cs="Times New Roman"/>
          <w:sz w:val="23"/>
          <w:szCs w:val="23"/>
        </w:rPr>
        <w:t xml:space="preserve"> (2006). Caregiver assessment: Voices and views from the field [online]. </w:t>
      </w:r>
      <w:r w:rsidRPr="00F853DD">
        <w:rPr>
          <w:rFonts w:ascii="Times" w:hAnsi="Times" w:cs="Times New Roman"/>
          <w:i/>
          <w:sz w:val="23"/>
          <w:szCs w:val="23"/>
        </w:rPr>
        <w:t>Report from a National Consensus Development Conference</w:t>
      </w:r>
      <w:r w:rsidR="00F00E8D" w:rsidRPr="00F853DD">
        <w:rPr>
          <w:rFonts w:ascii="Times" w:hAnsi="Times" w:cs="Times New Roman"/>
          <w:i/>
          <w:sz w:val="23"/>
          <w:szCs w:val="23"/>
        </w:rPr>
        <w:t xml:space="preserve"> </w:t>
      </w:r>
      <w:r w:rsidR="00F00E8D" w:rsidRPr="00F853DD">
        <w:rPr>
          <w:rFonts w:ascii="Times" w:hAnsi="Times" w:cs="Times New Roman"/>
          <w:sz w:val="23"/>
          <w:szCs w:val="23"/>
        </w:rPr>
        <w:t>[online].</w:t>
      </w:r>
      <w:r w:rsidRPr="00F853DD">
        <w:rPr>
          <w:rFonts w:ascii="Times" w:hAnsi="Times" w:cs="Times New Roman"/>
          <w:sz w:val="23"/>
          <w:szCs w:val="23"/>
        </w:rPr>
        <w:t xml:space="preserve"> [Viewed 8</w:t>
      </w:r>
      <w:r w:rsidRPr="00F853DD">
        <w:rPr>
          <w:rFonts w:ascii="Times" w:hAnsi="Times" w:cs="Times New Roman"/>
          <w:sz w:val="23"/>
          <w:szCs w:val="23"/>
          <w:vertAlign w:val="superscript"/>
        </w:rPr>
        <w:t xml:space="preserve"> </w:t>
      </w:r>
      <w:r w:rsidRPr="00F853DD">
        <w:rPr>
          <w:rFonts w:ascii="Times" w:hAnsi="Times" w:cs="Times New Roman"/>
          <w:sz w:val="23"/>
          <w:szCs w:val="23"/>
        </w:rPr>
        <w:t>October 2019]. Available from: https://www.caregiver.org/sites/fca.huang.radicaldesigns.org/files/pdfs/v2_consensus.pdf</w:t>
      </w:r>
    </w:p>
    <w:p w14:paraId="6A1A53EC" w14:textId="78A5DABC" w:rsidR="00DF05BD" w:rsidRPr="00F853DD" w:rsidRDefault="00DF05BD" w:rsidP="00E1694A">
      <w:pPr>
        <w:autoSpaceDE w:val="0"/>
        <w:autoSpaceDN w:val="0"/>
        <w:adjustRightInd w:val="0"/>
        <w:spacing w:line="240" w:lineRule="auto"/>
        <w:ind w:left="567" w:hanging="567"/>
        <w:rPr>
          <w:rStyle w:val="Hyperlink"/>
          <w:rFonts w:ascii="Times" w:hAnsi="Times"/>
          <w:color w:val="auto"/>
          <w:sz w:val="23"/>
          <w:szCs w:val="23"/>
        </w:rPr>
      </w:pPr>
      <w:r w:rsidRPr="00F853DD">
        <w:rPr>
          <w:rFonts w:ascii="Times" w:hAnsi="Times" w:cs="Times New Roman"/>
          <w:sz w:val="23"/>
          <w:szCs w:val="23"/>
        </w:rPr>
        <w:t>Ahmed-Refat, A.</w:t>
      </w:r>
      <w:r w:rsidR="00E10157" w:rsidRPr="00F853DD">
        <w:rPr>
          <w:rFonts w:ascii="Times" w:hAnsi="Times" w:cs="Times New Roman"/>
          <w:sz w:val="23"/>
          <w:szCs w:val="23"/>
        </w:rPr>
        <w:t>,</w:t>
      </w:r>
      <w:r w:rsidRPr="00F853DD">
        <w:rPr>
          <w:rFonts w:ascii="Times" w:hAnsi="Times" w:cs="Times New Roman"/>
          <w:sz w:val="23"/>
          <w:szCs w:val="23"/>
        </w:rPr>
        <w:t xml:space="preserve"> (2012). Health models and health system models. </w:t>
      </w:r>
      <w:r w:rsidRPr="00F853DD">
        <w:rPr>
          <w:rFonts w:ascii="Times" w:hAnsi="Times" w:cs="Times New Roman"/>
          <w:i/>
          <w:sz w:val="23"/>
          <w:szCs w:val="23"/>
        </w:rPr>
        <w:t>Slideshare</w:t>
      </w:r>
      <w:r w:rsidR="00F00E8D" w:rsidRPr="00F853DD">
        <w:rPr>
          <w:rFonts w:ascii="Times" w:hAnsi="Times" w:cs="Times New Roman"/>
          <w:sz w:val="23"/>
          <w:szCs w:val="23"/>
        </w:rPr>
        <w:t xml:space="preserve"> [online]</w:t>
      </w:r>
      <w:r w:rsidRPr="00F853DD">
        <w:rPr>
          <w:rFonts w:ascii="Times" w:hAnsi="Times" w:cs="Times New Roman"/>
          <w:sz w:val="23"/>
          <w:szCs w:val="23"/>
        </w:rPr>
        <w:t xml:space="preserve">. [Viewed 1 August 2017]. Available from: </w:t>
      </w:r>
      <w:hyperlink r:id="rId103" w:history="1">
        <w:r w:rsidRPr="00F853DD">
          <w:rPr>
            <w:rStyle w:val="Hyperlink"/>
            <w:rFonts w:ascii="Times" w:hAnsi="Times"/>
            <w:color w:val="auto"/>
            <w:sz w:val="23"/>
            <w:szCs w:val="23"/>
            <w:u w:val="none"/>
          </w:rPr>
          <w:t>http://www.SlideShare.net/AhmedRefat</w:t>
        </w:r>
      </w:hyperlink>
    </w:p>
    <w:p w14:paraId="0F1282FE" w14:textId="680CD4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Style w:val="Hyperlink"/>
          <w:rFonts w:ascii="Times" w:hAnsi="Times"/>
          <w:color w:val="auto"/>
          <w:sz w:val="23"/>
          <w:szCs w:val="23"/>
          <w:u w:val="none"/>
        </w:rPr>
        <w:t>A</w:t>
      </w:r>
      <w:r w:rsidRPr="00F853DD">
        <w:rPr>
          <w:rFonts w:ascii="Times" w:hAnsi="Times" w:cs="Times New Roman"/>
          <w:sz w:val="23"/>
          <w:szCs w:val="23"/>
        </w:rPr>
        <w:t>izer, A.</w:t>
      </w:r>
      <w:r w:rsidR="00E10157" w:rsidRPr="00F853DD">
        <w:rPr>
          <w:rFonts w:ascii="Times" w:hAnsi="Times" w:cs="Times New Roman"/>
          <w:sz w:val="23"/>
          <w:szCs w:val="23"/>
        </w:rPr>
        <w:t>,</w:t>
      </w:r>
      <w:r w:rsidRPr="00F853DD">
        <w:rPr>
          <w:rFonts w:ascii="Times" w:hAnsi="Times" w:cs="Times New Roman"/>
          <w:sz w:val="23"/>
          <w:szCs w:val="23"/>
        </w:rPr>
        <w:t xml:space="preserve"> (2010). The gender wage gap and domestic violence. </w:t>
      </w:r>
      <w:r w:rsidRPr="00F853DD">
        <w:rPr>
          <w:rFonts w:ascii="Times" w:hAnsi="Times" w:cs="Times New Roman"/>
          <w:i/>
          <w:sz w:val="23"/>
          <w:szCs w:val="23"/>
        </w:rPr>
        <w:t>American Economic Review</w:t>
      </w:r>
      <w:r w:rsidR="00F00E8D" w:rsidRPr="00F853DD">
        <w:rPr>
          <w:rFonts w:ascii="Times" w:hAnsi="Times" w:cs="Times New Roman"/>
          <w:i/>
          <w:sz w:val="23"/>
          <w:szCs w:val="23"/>
        </w:rPr>
        <w:t xml:space="preserve"> </w:t>
      </w:r>
      <w:r w:rsidR="00F00E8D" w:rsidRPr="00F853DD">
        <w:rPr>
          <w:rFonts w:ascii="Times" w:hAnsi="Times" w:cs="Times New Roman"/>
          <w:sz w:val="23"/>
          <w:szCs w:val="23"/>
        </w:rPr>
        <w:t>[online].</w:t>
      </w:r>
      <w:r w:rsidRPr="00F853DD">
        <w:rPr>
          <w:rFonts w:ascii="Times" w:hAnsi="Times" w:cs="Times New Roman"/>
          <w:sz w:val="23"/>
          <w:szCs w:val="23"/>
        </w:rPr>
        <w:t xml:space="preserve"> </w:t>
      </w:r>
      <w:r w:rsidRPr="00F853DD">
        <w:rPr>
          <w:rFonts w:ascii="Times" w:hAnsi="Times" w:cs="Times New Roman"/>
          <w:b/>
          <w:sz w:val="23"/>
          <w:szCs w:val="23"/>
        </w:rPr>
        <w:t>100</w:t>
      </w:r>
      <w:r w:rsidRPr="00F853DD">
        <w:rPr>
          <w:rFonts w:ascii="Times" w:hAnsi="Times" w:cs="Times New Roman"/>
          <w:sz w:val="23"/>
          <w:szCs w:val="23"/>
        </w:rPr>
        <w:t>(4), 1847-</w:t>
      </w:r>
      <w:r w:rsidR="00F00E8D" w:rsidRPr="00F853DD">
        <w:rPr>
          <w:rFonts w:ascii="Times" w:hAnsi="Times" w:cs="Times New Roman"/>
          <w:sz w:val="23"/>
          <w:szCs w:val="23"/>
        </w:rPr>
        <w:t>18</w:t>
      </w:r>
      <w:r w:rsidRPr="00F853DD">
        <w:rPr>
          <w:rFonts w:ascii="Times" w:hAnsi="Times" w:cs="Times New Roman"/>
          <w:sz w:val="23"/>
          <w:szCs w:val="23"/>
        </w:rPr>
        <w:t>59.</w:t>
      </w:r>
      <w:r w:rsidR="00F00E8D" w:rsidRPr="00F853DD">
        <w:rPr>
          <w:rFonts w:ascii="Times" w:hAnsi="Times" w:cs="Times New Roman"/>
          <w:sz w:val="23"/>
          <w:szCs w:val="23"/>
        </w:rPr>
        <w:t xml:space="preserve"> [Viewed 17 July 2019]. Available from: https://www-ncbi-nlm-nih-gov.sheffield.idm.oclc.org/pmc/articles/PMC4123456/</w:t>
      </w:r>
    </w:p>
    <w:p w14:paraId="50F7113E" w14:textId="6F2FDF8D" w:rsidR="000671E0" w:rsidRPr="00F853DD" w:rsidRDefault="00DF05BD" w:rsidP="003F2100">
      <w:pPr>
        <w:autoSpaceDE w:val="0"/>
        <w:autoSpaceDN w:val="0"/>
        <w:adjustRightInd w:val="0"/>
        <w:spacing w:line="240" w:lineRule="auto"/>
        <w:ind w:left="567" w:right="49" w:hanging="567"/>
        <w:rPr>
          <w:rFonts w:ascii="Times" w:hAnsi="Times" w:cs="Times New Roman"/>
          <w:sz w:val="23"/>
          <w:szCs w:val="23"/>
        </w:rPr>
      </w:pPr>
      <w:r w:rsidRPr="00F853DD">
        <w:rPr>
          <w:rFonts w:ascii="Times" w:hAnsi="Times" w:cs="Times New Roman"/>
          <w:sz w:val="23"/>
          <w:szCs w:val="23"/>
        </w:rPr>
        <w:t>Albertini, M. and Mencarini, L.</w:t>
      </w:r>
      <w:r w:rsidR="00E10157" w:rsidRPr="00F853DD">
        <w:rPr>
          <w:rFonts w:ascii="Times" w:hAnsi="Times" w:cs="Times New Roman"/>
          <w:sz w:val="23"/>
          <w:szCs w:val="23"/>
        </w:rPr>
        <w:t>,</w:t>
      </w:r>
      <w:r w:rsidRPr="00F853DD">
        <w:rPr>
          <w:rFonts w:ascii="Times" w:hAnsi="Times" w:cs="Times New Roman"/>
          <w:sz w:val="23"/>
          <w:szCs w:val="23"/>
        </w:rPr>
        <w:t xml:space="preserve"> (2014). Childlessness and support networks in later life: new pressures on familistic welfare states? </w:t>
      </w:r>
      <w:r w:rsidRPr="00F853DD">
        <w:rPr>
          <w:rFonts w:ascii="Times" w:hAnsi="Times" w:cs="Times New Roman"/>
          <w:i/>
          <w:sz w:val="23"/>
          <w:szCs w:val="23"/>
        </w:rPr>
        <w:t>Journal of Family Issues</w:t>
      </w:r>
      <w:r w:rsidR="000B6B41"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35</w:t>
      </w:r>
      <w:r w:rsidR="000671E0" w:rsidRPr="00F853DD">
        <w:rPr>
          <w:rFonts w:ascii="Times" w:hAnsi="Times" w:cs="Times New Roman"/>
          <w:sz w:val="23"/>
          <w:szCs w:val="23"/>
        </w:rPr>
        <w:t>(3)</w:t>
      </w:r>
      <w:r w:rsidRPr="00F853DD">
        <w:rPr>
          <w:rFonts w:ascii="Times" w:hAnsi="Times" w:cs="Times New Roman"/>
          <w:sz w:val="23"/>
          <w:szCs w:val="23"/>
        </w:rPr>
        <w:t>, 331-357.</w:t>
      </w:r>
      <w:r w:rsidR="000671E0" w:rsidRPr="00F853DD">
        <w:rPr>
          <w:rFonts w:ascii="Times" w:hAnsi="Times" w:cs="Times New Roman"/>
          <w:sz w:val="23"/>
          <w:szCs w:val="23"/>
        </w:rPr>
        <w:t xml:space="preserve"> [Viewed 18 May 2017]. Available from: doi</w:t>
      </w:r>
      <w:r w:rsidR="003F2100" w:rsidRPr="00F853DD">
        <w:rPr>
          <w:rFonts w:ascii="Times" w:hAnsi="Times" w:cs="Times New Roman"/>
          <w:sz w:val="23"/>
          <w:szCs w:val="23"/>
        </w:rPr>
        <w:t xml:space="preserve">: </w:t>
      </w:r>
      <w:r w:rsidR="000671E0" w:rsidRPr="00F853DD">
        <w:rPr>
          <w:rFonts w:ascii="Times" w:hAnsi="Times" w:cs="Times New Roman"/>
          <w:sz w:val="23"/>
          <w:szCs w:val="23"/>
        </w:rPr>
        <w:t>10.1177/0192513X12462537</w:t>
      </w:r>
    </w:p>
    <w:p w14:paraId="036D5C28" w14:textId="3047658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Aldwin, C.</w:t>
      </w:r>
      <w:r w:rsidR="00E10157" w:rsidRPr="00F853DD">
        <w:rPr>
          <w:rFonts w:ascii="Times" w:hAnsi="Times" w:cs="Times New Roman"/>
          <w:sz w:val="23"/>
          <w:szCs w:val="23"/>
        </w:rPr>
        <w:t>,</w:t>
      </w:r>
      <w:r w:rsidRPr="00F853DD">
        <w:rPr>
          <w:rFonts w:ascii="Times" w:hAnsi="Times" w:cs="Times New Roman"/>
          <w:sz w:val="23"/>
          <w:szCs w:val="23"/>
        </w:rPr>
        <w:t xml:space="preserve"> (2007). Stress, coping and development: </w:t>
      </w:r>
      <w:r w:rsidR="00706B9A" w:rsidRPr="00F853DD">
        <w:rPr>
          <w:rFonts w:ascii="Times" w:hAnsi="Times" w:cs="Times New Roman"/>
          <w:sz w:val="23"/>
          <w:szCs w:val="23"/>
        </w:rPr>
        <w:t>a</w:t>
      </w:r>
      <w:r w:rsidRPr="00F853DD">
        <w:rPr>
          <w:rFonts w:ascii="Times" w:hAnsi="Times" w:cs="Times New Roman"/>
          <w:sz w:val="23"/>
          <w:szCs w:val="23"/>
        </w:rPr>
        <w:t>n integrative perspective. 2nd ed. New York: The Guilford Press.</w:t>
      </w:r>
    </w:p>
    <w:p w14:paraId="15752F05" w14:textId="0475FF28" w:rsidR="00DF05BD" w:rsidRPr="00F853DD" w:rsidRDefault="00DF05BD" w:rsidP="00D24F2B">
      <w:pPr>
        <w:autoSpaceDE w:val="0"/>
        <w:autoSpaceDN w:val="0"/>
        <w:adjustRightInd w:val="0"/>
        <w:spacing w:line="240" w:lineRule="auto"/>
        <w:ind w:left="567" w:right="-377" w:hanging="567"/>
        <w:rPr>
          <w:rFonts w:ascii="Times" w:hAnsi="Times" w:cs="Times New Roman"/>
          <w:sz w:val="23"/>
          <w:szCs w:val="23"/>
        </w:rPr>
      </w:pPr>
      <w:r w:rsidRPr="00F853DD">
        <w:rPr>
          <w:rFonts w:ascii="Times" w:hAnsi="Times" w:cs="Times New Roman"/>
          <w:sz w:val="23"/>
          <w:szCs w:val="23"/>
        </w:rPr>
        <w:t>Alea, N., Ali, S. and Marcano, B.</w:t>
      </w:r>
      <w:r w:rsidR="00E10157" w:rsidRPr="00F853DD">
        <w:rPr>
          <w:rFonts w:ascii="Times" w:hAnsi="Times" w:cs="Times New Roman"/>
          <w:sz w:val="23"/>
          <w:szCs w:val="23"/>
        </w:rPr>
        <w:t>,</w:t>
      </w:r>
      <w:r w:rsidRPr="00F853DD">
        <w:rPr>
          <w:rFonts w:ascii="Times" w:hAnsi="Times" w:cs="Times New Roman"/>
          <w:sz w:val="23"/>
          <w:szCs w:val="23"/>
        </w:rPr>
        <w:t xml:space="preserve"> (2014). The bumps in Trinidadian life: reminiscence bumps for positive and negative life events. </w:t>
      </w:r>
      <w:r w:rsidRPr="00F853DD">
        <w:rPr>
          <w:rFonts w:ascii="Times" w:hAnsi="Times" w:cs="Times New Roman"/>
          <w:i/>
          <w:sz w:val="23"/>
          <w:szCs w:val="23"/>
        </w:rPr>
        <w:t>Applied Cognitive Psychology</w:t>
      </w:r>
      <w:r w:rsidR="000B6B41"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28</w:t>
      </w:r>
      <w:r w:rsidR="000B6B41" w:rsidRPr="00F853DD">
        <w:rPr>
          <w:rFonts w:ascii="Times" w:hAnsi="Times" w:cs="Times New Roman"/>
          <w:b/>
          <w:sz w:val="23"/>
          <w:szCs w:val="23"/>
        </w:rPr>
        <w:t>(2)</w:t>
      </w:r>
      <w:r w:rsidRPr="00F853DD">
        <w:rPr>
          <w:rFonts w:ascii="Times" w:hAnsi="Times" w:cs="Times New Roman"/>
          <w:sz w:val="23"/>
          <w:szCs w:val="23"/>
        </w:rPr>
        <w:t>, 174-184.</w:t>
      </w:r>
      <w:r w:rsidR="000B6B41" w:rsidRPr="00F853DD">
        <w:rPr>
          <w:rFonts w:ascii="Times" w:hAnsi="Times" w:cs="Times New Roman"/>
          <w:sz w:val="23"/>
          <w:szCs w:val="23"/>
        </w:rPr>
        <w:t xml:space="preserve"> [Viewed 18 May 2017]. Available from:</w:t>
      </w:r>
      <w:r w:rsidR="00D24F2B" w:rsidRPr="00F853DD">
        <w:rPr>
          <w:rFonts w:ascii="Times" w:hAnsi="Times" w:cs="Times New Roman"/>
          <w:sz w:val="23"/>
          <w:szCs w:val="23"/>
        </w:rPr>
        <w:t xml:space="preserve"> doi</w:t>
      </w:r>
      <w:r w:rsidR="003F2100" w:rsidRPr="00F853DD">
        <w:rPr>
          <w:rFonts w:ascii="Times" w:hAnsi="Times" w:cs="Times New Roman"/>
          <w:sz w:val="23"/>
          <w:szCs w:val="23"/>
        </w:rPr>
        <w:t xml:space="preserve">: </w:t>
      </w:r>
      <w:r w:rsidR="00D24F2B" w:rsidRPr="00F853DD">
        <w:rPr>
          <w:rFonts w:ascii="Times" w:hAnsi="Times" w:cs="Times New Roman"/>
          <w:sz w:val="23"/>
          <w:szCs w:val="23"/>
        </w:rPr>
        <w:t>10.1002/acp.2975</w:t>
      </w:r>
    </w:p>
    <w:p w14:paraId="4B99870B" w14:textId="00EB870F" w:rsidR="00DF05BD" w:rsidRPr="00F853DD" w:rsidRDefault="00BF7831" w:rsidP="003F2100">
      <w:pPr>
        <w:autoSpaceDE w:val="0"/>
        <w:autoSpaceDN w:val="0"/>
        <w:adjustRightInd w:val="0"/>
        <w:spacing w:line="240" w:lineRule="auto"/>
        <w:ind w:left="567" w:right="49" w:hanging="567"/>
        <w:rPr>
          <w:rFonts w:ascii="Times" w:hAnsi="Times" w:cs="Times New Roman"/>
          <w:sz w:val="23"/>
          <w:szCs w:val="23"/>
        </w:rPr>
      </w:pPr>
      <w:r w:rsidRPr="00F853DD">
        <w:rPr>
          <w:rFonts w:ascii="Times" w:hAnsi="Times" w:cs="Times New Roman"/>
          <w:sz w:val="23"/>
          <w:szCs w:val="23"/>
        </w:rPr>
        <w:t>Alea, N., Arneaud, M.</w:t>
      </w:r>
      <w:r w:rsidR="00DF05BD" w:rsidRPr="00F853DD">
        <w:rPr>
          <w:rFonts w:ascii="Times" w:hAnsi="Times" w:cs="Times New Roman"/>
          <w:sz w:val="23"/>
          <w:szCs w:val="23"/>
        </w:rPr>
        <w:t xml:space="preserve"> and Ali, S.</w:t>
      </w:r>
      <w:r w:rsidR="00E10157" w:rsidRPr="00F853DD">
        <w:rPr>
          <w:rFonts w:ascii="Times" w:hAnsi="Times" w:cs="Times New Roman"/>
          <w:sz w:val="23"/>
          <w:szCs w:val="23"/>
        </w:rPr>
        <w:t>,</w:t>
      </w:r>
      <w:r w:rsidR="00DF05BD" w:rsidRPr="00F853DD">
        <w:rPr>
          <w:rFonts w:ascii="Times" w:hAnsi="Times" w:cs="Times New Roman"/>
          <w:sz w:val="23"/>
          <w:szCs w:val="23"/>
        </w:rPr>
        <w:t xml:space="preserve"> (2013). The quality of self, social, and directive memories</w:t>
      </w:r>
      <w:r w:rsidR="00706B9A" w:rsidRPr="00F853DD">
        <w:rPr>
          <w:rFonts w:ascii="Times" w:hAnsi="Times" w:cs="Times New Roman"/>
          <w:sz w:val="23"/>
          <w:szCs w:val="23"/>
        </w:rPr>
        <w:t>.</w:t>
      </w:r>
      <w:r w:rsidR="00DF05BD" w:rsidRPr="00F853DD">
        <w:rPr>
          <w:rFonts w:ascii="Times" w:hAnsi="Times" w:cs="Times New Roman"/>
          <w:sz w:val="23"/>
          <w:szCs w:val="23"/>
        </w:rPr>
        <w:t xml:space="preserve"> Are there adult age group differences? </w:t>
      </w:r>
      <w:r w:rsidR="00DF05BD" w:rsidRPr="00F853DD">
        <w:rPr>
          <w:rFonts w:ascii="Times" w:hAnsi="Times" w:cs="Times New Roman"/>
          <w:i/>
          <w:sz w:val="23"/>
          <w:szCs w:val="23"/>
        </w:rPr>
        <w:t>International Journal of Behavioral Development</w:t>
      </w:r>
      <w:r w:rsidR="00D24F2B" w:rsidRPr="00F853DD">
        <w:rPr>
          <w:rFonts w:ascii="Times" w:hAnsi="Times" w:cs="Times New Roman"/>
          <w:sz w:val="23"/>
          <w:szCs w:val="23"/>
        </w:rPr>
        <w:t xml:space="preserve"> [online].</w:t>
      </w:r>
      <w:r w:rsidR="00DF05BD" w:rsidRPr="00F853DD">
        <w:rPr>
          <w:rFonts w:ascii="Times" w:hAnsi="Times" w:cs="Times New Roman"/>
          <w:b/>
          <w:sz w:val="23"/>
          <w:szCs w:val="23"/>
        </w:rPr>
        <w:t xml:space="preserve"> 37</w:t>
      </w:r>
      <w:r w:rsidR="00D24F2B" w:rsidRPr="00F853DD">
        <w:rPr>
          <w:rFonts w:ascii="Times" w:hAnsi="Times" w:cs="Times New Roman"/>
          <w:sz w:val="23"/>
          <w:szCs w:val="23"/>
        </w:rPr>
        <w:t>(5)</w:t>
      </w:r>
      <w:r w:rsidR="00DF05BD" w:rsidRPr="00F853DD">
        <w:rPr>
          <w:rFonts w:ascii="Times" w:hAnsi="Times" w:cs="Times New Roman"/>
          <w:sz w:val="23"/>
          <w:szCs w:val="23"/>
        </w:rPr>
        <w:t>, 395-406.</w:t>
      </w:r>
      <w:r w:rsidR="00D24F2B" w:rsidRPr="00F853DD">
        <w:rPr>
          <w:rFonts w:ascii="Times" w:hAnsi="Times" w:cs="Times New Roman"/>
          <w:sz w:val="23"/>
          <w:szCs w:val="23"/>
        </w:rPr>
        <w:t xml:space="preserve"> [Viewed 12 September 2017]. Available from: </w:t>
      </w:r>
      <w:r w:rsidR="003F2100" w:rsidRPr="00F853DD">
        <w:rPr>
          <w:rFonts w:ascii="Times" w:hAnsi="Times" w:cs="Times New Roman"/>
          <w:sz w:val="23"/>
          <w:szCs w:val="23"/>
        </w:rPr>
        <w:t>doi: 10.1177/0165025413484244</w:t>
      </w:r>
    </w:p>
    <w:p w14:paraId="5BDE7BA0" w14:textId="54BA078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Alea, N. and Bluck, S.</w:t>
      </w:r>
      <w:r w:rsidR="00E10157" w:rsidRPr="00F853DD">
        <w:rPr>
          <w:rFonts w:ascii="Times" w:hAnsi="Times" w:cs="Times New Roman"/>
          <w:sz w:val="23"/>
          <w:szCs w:val="23"/>
        </w:rPr>
        <w:t>,</w:t>
      </w:r>
      <w:r w:rsidRPr="00F853DD">
        <w:rPr>
          <w:rFonts w:ascii="Times" w:hAnsi="Times" w:cs="Times New Roman"/>
          <w:sz w:val="23"/>
          <w:szCs w:val="23"/>
        </w:rPr>
        <w:t xml:space="preserve"> (2013). When does meaning making predict subjective well-being? Examining young and older adults in two cultures.</w:t>
      </w:r>
      <w:r w:rsidRPr="00F853DD">
        <w:rPr>
          <w:rFonts w:ascii="Times" w:hAnsi="Times" w:cs="Times New Roman"/>
          <w:i/>
          <w:sz w:val="23"/>
          <w:szCs w:val="23"/>
        </w:rPr>
        <w:t xml:space="preserve"> Memory</w:t>
      </w:r>
      <w:r w:rsidR="00CF1BDC" w:rsidRPr="00F853DD">
        <w:rPr>
          <w:rFonts w:ascii="Times" w:hAnsi="Times" w:cs="Times New Roman"/>
          <w:i/>
          <w:sz w:val="23"/>
          <w:szCs w:val="23"/>
        </w:rPr>
        <w:t xml:space="preserve"> </w:t>
      </w:r>
      <w:r w:rsidR="00CF1BDC" w:rsidRPr="00F853DD">
        <w:rPr>
          <w:rFonts w:ascii="Times" w:hAnsi="Times" w:cs="Times New Roman"/>
          <w:sz w:val="23"/>
          <w:szCs w:val="23"/>
        </w:rPr>
        <w:t>[online].</w:t>
      </w:r>
      <w:r w:rsidRPr="00F853DD">
        <w:rPr>
          <w:rFonts w:ascii="Times" w:hAnsi="Times" w:cs="Times New Roman"/>
          <w:sz w:val="23"/>
          <w:szCs w:val="23"/>
        </w:rPr>
        <w:t xml:space="preserve"> </w:t>
      </w:r>
      <w:r w:rsidRPr="00F853DD">
        <w:rPr>
          <w:rFonts w:ascii="Times" w:hAnsi="Times" w:cs="Times New Roman"/>
          <w:b/>
          <w:sz w:val="23"/>
          <w:szCs w:val="23"/>
        </w:rPr>
        <w:t>21</w:t>
      </w:r>
      <w:r w:rsidR="00CF1BDC" w:rsidRPr="00F853DD">
        <w:rPr>
          <w:rFonts w:ascii="Times" w:hAnsi="Times" w:cs="Times New Roman"/>
          <w:sz w:val="23"/>
          <w:szCs w:val="23"/>
        </w:rPr>
        <w:t>(1)</w:t>
      </w:r>
      <w:r w:rsidRPr="00F853DD">
        <w:rPr>
          <w:rFonts w:ascii="Times" w:hAnsi="Times" w:cs="Times New Roman"/>
          <w:sz w:val="23"/>
          <w:szCs w:val="23"/>
        </w:rPr>
        <w:t>, 44-63.</w:t>
      </w:r>
      <w:r w:rsidR="00CF1BDC" w:rsidRPr="00F853DD">
        <w:rPr>
          <w:rFonts w:ascii="Times" w:hAnsi="Times" w:cs="Times New Roman"/>
          <w:sz w:val="23"/>
          <w:szCs w:val="23"/>
        </w:rPr>
        <w:t xml:space="preserve"> [Viewed 12 September 2017]. Available from:</w:t>
      </w:r>
      <w:r w:rsidR="009D2481" w:rsidRPr="00F853DD">
        <w:rPr>
          <w:rFonts w:ascii="Times" w:hAnsi="Times" w:cs="Times New Roman"/>
          <w:sz w:val="23"/>
          <w:szCs w:val="23"/>
        </w:rPr>
        <w:t xml:space="preserve"> doi</w:t>
      </w:r>
      <w:r w:rsidR="003F2100" w:rsidRPr="00F853DD">
        <w:rPr>
          <w:rFonts w:ascii="Times" w:hAnsi="Times" w:cs="Times New Roman"/>
          <w:sz w:val="23"/>
          <w:szCs w:val="23"/>
        </w:rPr>
        <w:t xml:space="preserve">: </w:t>
      </w:r>
      <w:r w:rsidR="009D2481" w:rsidRPr="00F853DD">
        <w:rPr>
          <w:rFonts w:ascii="Times" w:hAnsi="Times" w:cs="Times New Roman"/>
          <w:sz w:val="23"/>
          <w:szCs w:val="23"/>
        </w:rPr>
        <w:t>10.1080/09658211.2012.704927</w:t>
      </w:r>
    </w:p>
    <w:p w14:paraId="01397FAC" w14:textId="79453F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Alea, N., Bluck, S. and Ali, S.</w:t>
      </w:r>
      <w:r w:rsidR="00E10157" w:rsidRPr="00F853DD">
        <w:rPr>
          <w:rFonts w:ascii="Times" w:hAnsi="Times" w:cs="Times New Roman"/>
          <w:sz w:val="23"/>
          <w:szCs w:val="23"/>
        </w:rPr>
        <w:t>,</w:t>
      </w:r>
      <w:r w:rsidRPr="00F853DD">
        <w:rPr>
          <w:rFonts w:ascii="Times" w:hAnsi="Times" w:cs="Times New Roman"/>
          <w:sz w:val="23"/>
          <w:szCs w:val="23"/>
        </w:rPr>
        <w:t xml:space="preserve"> (2015). Function in context: </w:t>
      </w:r>
      <w:r w:rsidR="00706B9A" w:rsidRPr="00F853DD">
        <w:rPr>
          <w:rFonts w:ascii="Times" w:hAnsi="Times" w:cs="Times New Roman"/>
          <w:sz w:val="23"/>
          <w:szCs w:val="23"/>
        </w:rPr>
        <w:t>w</w:t>
      </w:r>
      <w:r w:rsidRPr="00F853DD">
        <w:rPr>
          <w:rFonts w:ascii="Times" w:hAnsi="Times" w:cs="Times New Roman"/>
          <w:sz w:val="23"/>
          <w:szCs w:val="23"/>
        </w:rPr>
        <w:t xml:space="preserve">hy American and Trinidadian young and older adults remember the personal past. </w:t>
      </w:r>
      <w:r w:rsidRPr="00F853DD">
        <w:rPr>
          <w:rFonts w:ascii="Times" w:hAnsi="Times" w:cs="Times New Roman"/>
          <w:i/>
          <w:sz w:val="23"/>
          <w:szCs w:val="23"/>
        </w:rPr>
        <w:t>Memory</w:t>
      </w:r>
      <w:r w:rsidR="007369FD" w:rsidRPr="00F853DD">
        <w:rPr>
          <w:rFonts w:ascii="Times" w:hAnsi="Times" w:cs="Times New Roman"/>
          <w:i/>
          <w:sz w:val="23"/>
          <w:szCs w:val="23"/>
        </w:rPr>
        <w:t xml:space="preserve"> </w:t>
      </w:r>
      <w:r w:rsidR="007369FD" w:rsidRPr="00F853DD">
        <w:rPr>
          <w:rFonts w:ascii="Times" w:hAnsi="Times" w:cs="Times New Roman"/>
          <w:sz w:val="23"/>
          <w:szCs w:val="23"/>
        </w:rPr>
        <w:t>[online].</w:t>
      </w:r>
      <w:r w:rsidRPr="00F853DD">
        <w:rPr>
          <w:rFonts w:ascii="Times" w:hAnsi="Times" w:cs="Times New Roman"/>
          <w:sz w:val="23"/>
          <w:szCs w:val="23"/>
        </w:rPr>
        <w:t xml:space="preserve"> </w:t>
      </w:r>
      <w:r w:rsidRPr="00F853DD">
        <w:rPr>
          <w:rFonts w:ascii="Times" w:hAnsi="Times" w:cs="Times New Roman"/>
          <w:b/>
          <w:sz w:val="23"/>
          <w:szCs w:val="23"/>
        </w:rPr>
        <w:t>23</w:t>
      </w:r>
      <w:r w:rsidR="007369FD" w:rsidRPr="00F853DD">
        <w:rPr>
          <w:rFonts w:ascii="Times" w:hAnsi="Times" w:cs="Times New Roman"/>
          <w:sz w:val="23"/>
          <w:szCs w:val="23"/>
        </w:rPr>
        <w:t>(1)</w:t>
      </w:r>
      <w:r w:rsidR="00474560" w:rsidRPr="00F853DD">
        <w:rPr>
          <w:rFonts w:ascii="Times" w:hAnsi="Times" w:cs="Times New Roman"/>
          <w:sz w:val="23"/>
          <w:szCs w:val="23"/>
        </w:rPr>
        <w:t>, 55-68</w:t>
      </w:r>
      <w:r w:rsidR="00A6278E" w:rsidRPr="00F853DD">
        <w:rPr>
          <w:rFonts w:ascii="Times" w:hAnsi="Times" w:cs="Times New Roman"/>
          <w:sz w:val="23"/>
          <w:szCs w:val="23"/>
        </w:rPr>
        <w:t>. [Viewed 12 September 2017]. Available from:</w:t>
      </w:r>
      <w:r w:rsidR="00E145B7" w:rsidRPr="00F853DD">
        <w:rPr>
          <w:rFonts w:ascii="Times" w:hAnsi="Times" w:cs="Times New Roman"/>
          <w:sz w:val="23"/>
          <w:szCs w:val="23"/>
        </w:rPr>
        <w:t xml:space="preserve"> </w:t>
      </w:r>
      <w:r w:rsidR="007F024E" w:rsidRPr="00F853DD">
        <w:rPr>
          <w:rFonts w:ascii="Times" w:hAnsi="Times" w:cs="Times New Roman"/>
          <w:sz w:val="23"/>
          <w:szCs w:val="23"/>
        </w:rPr>
        <w:t>https://doi-org.sheffield.idm.oclc.org/10.1080/09658211.2014.929704</w:t>
      </w:r>
    </w:p>
    <w:p w14:paraId="15E39518" w14:textId="7B0EC58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Alex, L.</w:t>
      </w:r>
      <w:r w:rsidR="00E10157" w:rsidRPr="00F853DD">
        <w:rPr>
          <w:rFonts w:ascii="Times" w:hAnsi="Times" w:cs="Times New Roman"/>
          <w:sz w:val="23"/>
          <w:szCs w:val="23"/>
        </w:rPr>
        <w:t>,</w:t>
      </w:r>
      <w:r w:rsidRPr="00F853DD">
        <w:rPr>
          <w:rFonts w:ascii="Times" w:hAnsi="Times" w:cs="Times New Roman"/>
          <w:sz w:val="23"/>
          <w:szCs w:val="23"/>
        </w:rPr>
        <w:t xml:space="preserve"> (2016). Resilience among old Sami women. </w:t>
      </w:r>
      <w:r w:rsidRPr="00F853DD">
        <w:rPr>
          <w:rFonts w:ascii="Times" w:hAnsi="Times" w:cs="Times New Roman"/>
          <w:i/>
          <w:sz w:val="23"/>
          <w:szCs w:val="23"/>
        </w:rPr>
        <w:t>Ageing and Society</w:t>
      </w:r>
      <w:r w:rsidR="007F024E"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36</w:t>
      </w:r>
      <w:r w:rsidR="007F024E" w:rsidRPr="00F853DD">
        <w:rPr>
          <w:rFonts w:ascii="Times" w:hAnsi="Times" w:cs="Times New Roman"/>
          <w:sz w:val="23"/>
          <w:szCs w:val="23"/>
        </w:rPr>
        <w:t>(8)</w:t>
      </w:r>
      <w:r w:rsidRPr="00F853DD">
        <w:rPr>
          <w:rFonts w:ascii="Times" w:hAnsi="Times" w:cs="Times New Roman"/>
          <w:sz w:val="23"/>
          <w:szCs w:val="23"/>
        </w:rPr>
        <w:t>, 1738-1756.</w:t>
      </w:r>
      <w:r w:rsidR="007F024E" w:rsidRPr="00F853DD">
        <w:rPr>
          <w:rFonts w:ascii="Times" w:hAnsi="Times" w:cs="Times New Roman"/>
          <w:sz w:val="23"/>
          <w:szCs w:val="23"/>
        </w:rPr>
        <w:t xml:space="preserve"> [Viewed 24 October 2017]. Available from: doi: 10.107/S0144686X15000719</w:t>
      </w:r>
    </w:p>
    <w:p w14:paraId="56DB889E" w14:textId="7CE641CF" w:rsidR="00DF05BD" w:rsidRPr="00F853DD" w:rsidRDefault="00DF05BD" w:rsidP="00F25D57">
      <w:pPr>
        <w:autoSpaceDE w:val="0"/>
        <w:autoSpaceDN w:val="0"/>
        <w:adjustRightInd w:val="0"/>
        <w:spacing w:line="240" w:lineRule="auto"/>
        <w:ind w:left="567" w:right="49" w:hanging="567"/>
        <w:rPr>
          <w:rFonts w:ascii="Times" w:hAnsi="Times" w:cs="Times New Roman"/>
          <w:sz w:val="23"/>
          <w:szCs w:val="23"/>
        </w:rPr>
      </w:pPr>
      <w:r w:rsidRPr="00F853DD">
        <w:rPr>
          <w:rFonts w:ascii="Times" w:hAnsi="Times" w:cs="Times New Roman"/>
          <w:sz w:val="23"/>
          <w:szCs w:val="23"/>
        </w:rPr>
        <w:t>Ali, S</w:t>
      </w:r>
      <w:r w:rsidR="00E10157" w:rsidRPr="00F853DD">
        <w:rPr>
          <w:rFonts w:ascii="Times" w:hAnsi="Times" w:cs="Times New Roman"/>
          <w:sz w:val="23"/>
          <w:szCs w:val="23"/>
        </w:rPr>
        <w:t>.,</w:t>
      </w:r>
      <w:r w:rsidRPr="00F853DD">
        <w:rPr>
          <w:rFonts w:ascii="Times" w:hAnsi="Times" w:cs="Times New Roman"/>
          <w:sz w:val="23"/>
          <w:szCs w:val="23"/>
        </w:rPr>
        <w:t xml:space="preserve"> (2014). ‘Raw deal for domestic workers: </w:t>
      </w:r>
      <w:r w:rsidR="00706B9A" w:rsidRPr="00F853DD">
        <w:rPr>
          <w:rFonts w:ascii="Times" w:hAnsi="Times" w:cs="Times New Roman"/>
          <w:sz w:val="23"/>
          <w:szCs w:val="23"/>
        </w:rPr>
        <w:t>r</w:t>
      </w:r>
      <w:r w:rsidRPr="00F853DD">
        <w:rPr>
          <w:rFonts w:ascii="Times" w:hAnsi="Times" w:cs="Times New Roman"/>
          <w:sz w:val="23"/>
          <w:szCs w:val="23"/>
        </w:rPr>
        <w:t xml:space="preserve">ecognise our work as valid’ [online]. </w:t>
      </w:r>
      <w:r w:rsidRPr="00F853DD">
        <w:rPr>
          <w:rFonts w:ascii="Times" w:hAnsi="Times" w:cs="Times New Roman"/>
          <w:i/>
          <w:sz w:val="23"/>
          <w:szCs w:val="23"/>
        </w:rPr>
        <w:t xml:space="preserve">The </w:t>
      </w:r>
      <w:r w:rsidR="00F25D57" w:rsidRPr="00F853DD">
        <w:rPr>
          <w:rFonts w:ascii="Times" w:hAnsi="Times" w:cs="Times New Roman"/>
          <w:i/>
          <w:sz w:val="23"/>
          <w:szCs w:val="23"/>
        </w:rPr>
        <w:t xml:space="preserve">T&amp;T </w:t>
      </w:r>
      <w:r w:rsidRPr="00F853DD">
        <w:rPr>
          <w:rFonts w:ascii="Times" w:hAnsi="Times" w:cs="Times New Roman"/>
          <w:i/>
          <w:sz w:val="23"/>
          <w:szCs w:val="23"/>
        </w:rPr>
        <w:t xml:space="preserve">Guardian. </w:t>
      </w:r>
      <w:r w:rsidRPr="00F853DD">
        <w:rPr>
          <w:rFonts w:ascii="Times" w:hAnsi="Times" w:cs="Times New Roman"/>
          <w:sz w:val="23"/>
          <w:szCs w:val="23"/>
        </w:rPr>
        <w:t>[Viewed 24 November 2019]. Available from: https://libguides.ioe.ac.uk/harvard/newspaperonline.</w:t>
      </w:r>
    </w:p>
    <w:p w14:paraId="3F150501" w14:textId="6A93D2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Allan, G.</w:t>
      </w:r>
      <w:r w:rsidR="00E10157" w:rsidRPr="00F853DD">
        <w:rPr>
          <w:rFonts w:ascii="Times" w:hAnsi="Times" w:cs="Times New Roman"/>
          <w:sz w:val="23"/>
          <w:szCs w:val="23"/>
        </w:rPr>
        <w:t>,</w:t>
      </w:r>
      <w:r w:rsidR="00F25D57" w:rsidRPr="00F853DD">
        <w:rPr>
          <w:rFonts w:ascii="Times" w:hAnsi="Times" w:cs="Times New Roman"/>
          <w:sz w:val="23"/>
          <w:szCs w:val="23"/>
        </w:rPr>
        <w:t xml:space="preserve"> (1980). A n</w:t>
      </w:r>
      <w:r w:rsidRPr="00F853DD">
        <w:rPr>
          <w:rFonts w:ascii="Times" w:hAnsi="Times" w:cs="Times New Roman"/>
          <w:sz w:val="23"/>
          <w:szCs w:val="23"/>
        </w:rPr>
        <w:t xml:space="preserve">ote on interviewing spouses together. </w:t>
      </w:r>
      <w:r w:rsidRPr="00F853DD">
        <w:rPr>
          <w:rFonts w:ascii="Times" w:hAnsi="Times" w:cs="Times New Roman"/>
          <w:i/>
          <w:sz w:val="23"/>
          <w:szCs w:val="23"/>
        </w:rPr>
        <w:t>Journal of Marriage and the Family</w:t>
      </w:r>
      <w:r w:rsidR="00F25D57"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00F25D57" w:rsidRPr="00F853DD">
        <w:rPr>
          <w:rFonts w:ascii="Times" w:hAnsi="Times" w:cs="Times New Roman"/>
          <w:sz w:val="23"/>
          <w:szCs w:val="23"/>
        </w:rPr>
        <w:t>(1)</w:t>
      </w:r>
      <w:r w:rsidRPr="00F853DD">
        <w:rPr>
          <w:rFonts w:ascii="Times" w:hAnsi="Times" w:cs="Times New Roman"/>
          <w:sz w:val="23"/>
          <w:szCs w:val="23"/>
        </w:rPr>
        <w:t>, 205-210.</w:t>
      </w:r>
      <w:r w:rsidR="00F25D57" w:rsidRPr="00F853DD">
        <w:rPr>
          <w:rFonts w:ascii="Times" w:hAnsi="Times" w:cs="Times New Roman"/>
          <w:sz w:val="23"/>
          <w:szCs w:val="23"/>
        </w:rPr>
        <w:t xml:space="preserve"> </w:t>
      </w:r>
    </w:p>
    <w:p w14:paraId="246DD34D" w14:textId="48B3CCEF"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Allan, H.</w:t>
      </w:r>
      <w:r w:rsidR="00E10157" w:rsidRPr="00F853DD">
        <w:rPr>
          <w:rFonts w:ascii="Times" w:hAnsi="Times" w:cs="Times New Roman"/>
          <w:sz w:val="23"/>
          <w:szCs w:val="23"/>
        </w:rPr>
        <w:t>,</w:t>
      </w:r>
      <w:r w:rsidR="00DF05BD" w:rsidRPr="00F853DD">
        <w:rPr>
          <w:rFonts w:ascii="Times" w:hAnsi="Times" w:cs="Times New Roman"/>
          <w:sz w:val="23"/>
          <w:szCs w:val="23"/>
        </w:rPr>
        <w:t xml:space="preserve"> (1993). Feminism</w:t>
      </w:r>
      <w:r w:rsidR="004A6493" w:rsidRPr="00F853DD">
        <w:rPr>
          <w:rFonts w:ascii="Times" w:hAnsi="Times" w:cs="Times New Roman"/>
          <w:sz w:val="23"/>
          <w:szCs w:val="23"/>
        </w:rPr>
        <w:t>:</w:t>
      </w:r>
      <w:r w:rsidR="00DF05BD" w:rsidRPr="00F853DD">
        <w:rPr>
          <w:rFonts w:ascii="Times" w:hAnsi="Times" w:cs="Times New Roman"/>
          <w:sz w:val="23"/>
          <w:szCs w:val="23"/>
        </w:rPr>
        <w:t xml:space="preserve"> a concept analysis. </w:t>
      </w:r>
      <w:r w:rsidR="00DF05BD" w:rsidRPr="00F853DD">
        <w:rPr>
          <w:rFonts w:ascii="Times" w:hAnsi="Times" w:cs="Times New Roman"/>
          <w:i/>
          <w:sz w:val="23"/>
          <w:szCs w:val="23"/>
        </w:rPr>
        <w:t>Journal of Advanced Nursing</w:t>
      </w:r>
      <w:r w:rsidR="00F25D57" w:rsidRPr="00F853DD">
        <w:rPr>
          <w:rFonts w:ascii="Times" w:hAnsi="Times" w:cs="Times New Roman"/>
          <w:sz w:val="23"/>
          <w:szCs w:val="23"/>
        </w:rPr>
        <w:t xml:space="preserve"> [online]</w:t>
      </w:r>
      <w:r w:rsidR="00F25D57"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F25D57" w:rsidRPr="00F853DD">
        <w:rPr>
          <w:rFonts w:ascii="Times" w:hAnsi="Times" w:cs="Times New Roman"/>
          <w:sz w:val="23"/>
          <w:szCs w:val="23"/>
        </w:rPr>
        <w:t>(10)</w:t>
      </w:r>
      <w:r w:rsidR="00DF05BD" w:rsidRPr="00F853DD">
        <w:rPr>
          <w:rFonts w:ascii="Times" w:hAnsi="Times" w:cs="Times New Roman"/>
          <w:sz w:val="23"/>
          <w:szCs w:val="23"/>
        </w:rPr>
        <w:t>, 1547-1553.</w:t>
      </w:r>
      <w:r w:rsidR="004A6493" w:rsidRPr="00F853DD">
        <w:rPr>
          <w:rFonts w:ascii="Times" w:hAnsi="Times" w:cs="Times New Roman"/>
          <w:sz w:val="23"/>
          <w:szCs w:val="23"/>
        </w:rPr>
        <w:t xml:space="preserve"> [Viewed 17 December 2017]. Available from: doi: 10.1046/j.1365-2648.1993.18101547.x</w:t>
      </w:r>
    </w:p>
    <w:p w14:paraId="245005F1" w14:textId="00D63AD9"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Allen, A., Goldwasser, E., and Leary, M.</w:t>
      </w:r>
      <w:r w:rsidR="00E10157" w:rsidRPr="00F853DD">
        <w:rPr>
          <w:rFonts w:ascii="Times" w:hAnsi="Times" w:cs="Times New Roman"/>
          <w:sz w:val="23"/>
          <w:szCs w:val="23"/>
        </w:rPr>
        <w:t>,</w:t>
      </w:r>
      <w:r w:rsidR="00DF05BD" w:rsidRPr="00F853DD">
        <w:rPr>
          <w:rFonts w:ascii="Times" w:hAnsi="Times" w:cs="Times New Roman"/>
          <w:sz w:val="23"/>
          <w:szCs w:val="23"/>
        </w:rPr>
        <w:t xml:space="preserve"> (2012). Self-compassion and well-being among older adults. </w:t>
      </w:r>
      <w:r w:rsidR="00DF05BD" w:rsidRPr="00F853DD">
        <w:rPr>
          <w:rFonts w:ascii="Times" w:hAnsi="Times" w:cs="Times New Roman"/>
          <w:i/>
          <w:sz w:val="23"/>
          <w:szCs w:val="23"/>
        </w:rPr>
        <w:t>Self and Identity</w:t>
      </w:r>
      <w:r w:rsidR="00DF05BD" w:rsidRPr="00F853DD">
        <w:rPr>
          <w:rFonts w:ascii="Times" w:hAnsi="Times" w:cs="Times New Roman"/>
          <w:sz w:val="23"/>
          <w:szCs w:val="23"/>
        </w:rPr>
        <w:t xml:space="preserve">, </w:t>
      </w:r>
      <w:r w:rsidR="00DF05BD" w:rsidRPr="00F853DD">
        <w:rPr>
          <w:rFonts w:ascii="Times" w:hAnsi="Times" w:cs="Times New Roman"/>
          <w:b/>
          <w:sz w:val="23"/>
          <w:szCs w:val="23"/>
        </w:rPr>
        <w:t>11</w:t>
      </w:r>
      <w:r w:rsidR="00DF05BD" w:rsidRPr="00F853DD">
        <w:rPr>
          <w:rFonts w:ascii="Times" w:hAnsi="Times" w:cs="Times New Roman"/>
          <w:sz w:val="23"/>
          <w:szCs w:val="23"/>
        </w:rPr>
        <w:t xml:space="preserve">(4), 428-453. </w:t>
      </w:r>
      <w:r w:rsidR="002A0594" w:rsidRPr="00F853DD">
        <w:rPr>
          <w:rFonts w:ascii="Times" w:hAnsi="Times" w:cs="Times New Roman"/>
          <w:sz w:val="23"/>
          <w:szCs w:val="23"/>
        </w:rPr>
        <w:t>[Viewed 25 May 2017]. Available from: doi: full/10.1080/15298868.2011.595082</w:t>
      </w:r>
    </w:p>
    <w:p w14:paraId="2D00C7A4" w14:textId="2344A310"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Allen, K.</w:t>
      </w:r>
      <w:r w:rsidR="00DF05BD" w:rsidRPr="00F853DD">
        <w:rPr>
          <w:rFonts w:ascii="Times" w:hAnsi="Times" w:cs="Times New Roman"/>
          <w:sz w:val="23"/>
          <w:szCs w:val="23"/>
        </w:rPr>
        <w:t>,</w:t>
      </w:r>
      <w:r w:rsidRPr="00F853DD">
        <w:rPr>
          <w:rFonts w:ascii="Times" w:hAnsi="Times" w:cs="Times New Roman"/>
          <w:sz w:val="23"/>
          <w:szCs w:val="23"/>
        </w:rPr>
        <w:t xml:space="preserve"> Blieszner, R. and Roberto, K</w:t>
      </w:r>
      <w:r w:rsidR="00DF05BD" w:rsidRPr="00F853DD">
        <w:rPr>
          <w:rFonts w:ascii="Times" w:hAnsi="Times" w:cs="Times New Roman"/>
          <w:sz w:val="23"/>
          <w:szCs w:val="23"/>
        </w:rPr>
        <w:t>.</w:t>
      </w:r>
      <w:r w:rsidR="002A1C4E" w:rsidRPr="00F853DD">
        <w:rPr>
          <w:rFonts w:ascii="Times" w:hAnsi="Times" w:cs="Times New Roman"/>
          <w:sz w:val="23"/>
          <w:szCs w:val="23"/>
        </w:rPr>
        <w:t>,</w:t>
      </w:r>
      <w:r w:rsidR="00DF05BD" w:rsidRPr="00F853DD">
        <w:rPr>
          <w:rFonts w:ascii="Times" w:hAnsi="Times" w:cs="Times New Roman"/>
          <w:sz w:val="23"/>
          <w:szCs w:val="23"/>
        </w:rPr>
        <w:t xml:space="preserve"> (2011)a. Perspectives on extended family and fictive kin in the later years: Strategies and meanings of kin reinterpretation. </w:t>
      </w:r>
      <w:r w:rsidR="00DF05BD" w:rsidRPr="00F853DD">
        <w:rPr>
          <w:rFonts w:ascii="Times" w:hAnsi="Times" w:cs="Times New Roman"/>
          <w:i/>
          <w:sz w:val="23"/>
          <w:szCs w:val="23"/>
        </w:rPr>
        <w:t>Journal of Family Issues</w:t>
      </w:r>
      <w:r w:rsidR="00DF05BD" w:rsidRPr="00F853DD">
        <w:rPr>
          <w:rFonts w:ascii="Times" w:hAnsi="Times" w:cs="Times New Roman"/>
          <w:sz w:val="23"/>
          <w:szCs w:val="23"/>
        </w:rPr>
        <w:t xml:space="preserve">, </w:t>
      </w:r>
      <w:r w:rsidR="00DF05BD" w:rsidRPr="00F853DD">
        <w:rPr>
          <w:rFonts w:ascii="Times" w:hAnsi="Times" w:cs="Times New Roman"/>
          <w:b/>
          <w:sz w:val="23"/>
          <w:szCs w:val="23"/>
        </w:rPr>
        <w:t>32</w:t>
      </w:r>
      <w:r w:rsidR="00C96F0E" w:rsidRPr="00F853DD">
        <w:rPr>
          <w:rFonts w:ascii="Times" w:hAnsi="Times" w:cs="Times New Roman"/>
          <w:sz w:val="23"/>
          <w:szCs w:val="23"/>
        </w:rPr>
        <w:t>(9)</w:t>
      </w:r>
      <w:r w:rsidR="00DF05BD" w:rsidRPr="00F853DD">
        <w:rPr>
          <w:rFonts w:ascii="Times" w:hAnsi="Times" w:cs="Times New Roman"/>
          <w:sz w:val="23"/>
          <w:szCs w:val="23"/>
        </w:rPr>
        <w:t>, 1156-1177.</w:t>
      </w:r>
      <w:r w:rsidR="00C96F0E" w:rsidRPr="00F853DD">
        <w:rPr>
          <w:rFonts w:ascii="Times" w:hAnsi="Times" w:cs="Times New Roman"/>
          <w:sz w:val="23"/>
          <w:szCs w:val="23"/>
        </w:rPr>
        <w:t xml:space="preserve">  [Viewed 9 January 2018]. Available from: doi: 10.1177/0192513X11404335</w:t>
      </w:r>
    </w:p>
    <w:p w14:paraId="11F7B74C" w14:textId="3DB9420E"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Allen, R., Haley, P., Harris, G., Fowler, S.</w:t>
      </w:r>
      <w:r w:rsidR="00DF05BD" w:rsidRPr="00F853DD">
        <w:rPr>
          <w:rFonts w:ascii="Times" w:hAnsi="Times" w:cs="Times New Roman"/>
          <w:sz w:val="23"/>
          <w:szCs w:val="23"/>
        </w:rPr>
        <w:t xml:space="preserve"> and Pruthi, R.</w:t>
      </w:r>
      <w:r w:rsidR="002A1C4E" w:rsidRPr="00F853DD">
        <w:rPr>
          <w:rFonts w:ascii="Times" w:hAnsi="Times" w:cs="Times New Roman"/>
          <w:sz w:val="23"/>
          <w:szCs w:val="23"/>
        </w:rPr>
        <w:t>,</w:t>
      </w:r>
      <w:r w:rsidR="00DF05BD" w:rsidRPr="00F853DD">
        <w:rPr>
          <w:rFonts w:ascii="Times" w:hAnsi="Times" w:cs="Times New Roman"/>
          <w:sz w:val="23"/>
          <w:szCs w:val="23"/>
        </w:rPr>
        <w:t xml:space="preserve"> (2011)b. Resilience: definitions, ambiguities, and applications. In: Resnick, B., Gwyther, L. P. and Robert, K.A. eds. </w:t>
      </w:r>
      <w:r w:rsidR="00DF05BD" w:rsidRPr="00F853DD">
        <w:rPr>
          <w:rFonts w:ascii="Times" w:hAnsi="Times" w:cs="Times New Roman"/>
          <w:i/>
          <w:sz w:val="23"/>
          <w:szCs w:val="23"/>
        </w:rPr>
        <w:t xml:space="preserve">Resilience in aging: concepts, research, and outcomes. </w:t>
      </w:r>
      <w:r w:rsidR="00DF05BD" w:rsidRPr="00F853DD">
        <w:rPr>
          <w:rFonts w:ascii="Times" w:hAnsi="Times" w:cs="Times New Roman"/>
          <w:sz w:val="23"/>
          <w:szCs w:val="23"/>
        </w:rPr>
        <w:t>New York: Springer. pp. 1-13.</w:t>
      </w:r>
    </w:p>
    <w:p w14:paraId="673F947B" w14:textId="12C1993D"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Allen, S.</w:t>
      </w:r>
      <w:r w:rsidR="00DF05BD" w:rsidRPr="00F853DD">
        <w:rPr>
          <w:rFonts w:ascii="Times" w:hAnsi="Times" w:cs="Times New Roman"/>
          <w:sz w:val="23"/>
          <w:szCs w:val="23"/>
        </w:rPr>
        <w:t xml:space="preserve">, </w:t>
      </w:r>
      <w:r w:rsidRPr="00F853DD">
        <w:rPr>
          <w:rFonts w:ascii="Times" w:hAnsi="Times" w:cs="Times New Roman"/>
          <w:sz w:val="23"/>
          <w:szCs w:val="23"/>
        </w:rPr>
        <w:t>Lima, J., Goldscheider, F.</w:t>
      </w:r>
      <w:r w:rsidR="00DF05BD" w:rsidRPr="00F853DD">
        <w:rPr>
          <w:rFonts w:ascii="Times" w:hAnsi="Times" w:cs="Times New Roman"/>
          <w:sz w:val="23"/>
          <w:szCs w:val="23"/>
        </w:rPr>
        <w:t xml:space="preserve"> and Roy, J.</w:t>
      </w:r>
      <w:r w:rsidR="002A1C4E" w:rsidRPr="00F853DD">
        <w:rPr>
          <w:rFonts w:ascii="Times" w:hAnsi="Times" w:cs="Times New Roman"/>
          <w:sz w:val="23"/>
          <w:szCs w:val="23"/>
        </w:rPr>
        <w:t>,</w:t>
      </w:r>
      <w:r w:rsidR="00DF05BD" w:rsidRPr="00F853DD">
        <w:rPr>
          <w:rFonts w:ascii="Times" w:hAnsi="Times" w:cs="Times New Roman"/>
          <w:sz w:val="23"/>
          <w:szCs w:val="23"/>
        </w:rPr>
        <w:t xml:space="preserve"> (2012)b. Primary caregiver characteristics and transitions in community-based care. </w:t>
      </w:r>
      <w:r w:rsidR="00DF05BD" w:rsidRPr="00F853DD">
        <w:rPr>
          <w:rFonts w:ascii="Times" w:hAnsi="Times" w:cs="Times New Roman"/>
          <w:i/>
          <w:sz w:val="23"/>
          <w:szCs w:val="23"/>
        </w:rPr>
        <w:t>Journals of Gerontology Series B-Psychological Sciences and Social Sciences</w:t>
      </w:r>
      <w:r w:rsidR="00C841C8"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67</w:t>
      </w:r>
      <w:r w:rsidR="00C841C8" w:rsidRPr="00F853DD">
        <w:rPr>
          <w:rFonts w:ascii="Times" w:hAnsi="Times" w:cs="Times New Roman"/>
          <w:sz w:val="23"/>
          <w:szCs w:val="23"/>
        </w:rPr>
        <w:t>(3)</w:t>
      </w:r>
      <w:r w:rsidR="00DF05BD" w:rsidRPr="00F853DD">
        <w:rPr>
          <w:rFonts w:ascii="Times" w:hAnsi="Times" w:cs="Times New Roman"/>
          <w:sz w:val="23"/>
          <w:szCs w:val="23"/>
        </w:rPr>
        <w:t>, 362-371.</w:t>
      </w:r>
      <w:r w:rsidR="00C841C8" w:rsidRPr="00F853DD">
        <w:rPr>
          <w:rFonts w:ascii="Times" w:hAnsi="Times" w:cs="Times New Roman"/>
          <w:sz w:val="23"/>
          <w:szCs w:val="23"/>
        </w:rPr>
        <w:t xml:space="preserve"> [Viewed 11 November 2017]. Available from: https://doi-org.sheffield.idm.oclc.org/10.1093/geronb/gbs032</w:t>
      </w:r>
    </w:p>
    <w:p w14:paraId="0D302387" w14:textId="00C722E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Almberg, B., Grafstrom, M. and Winblad, B.</w:t>
      </w:r>
      <w:r w:rsidR="002A1C4E" w:rsidRPr="00F853DD">
        <w:rPr>
          <w:rFonts w:ascii="Times" w:hAnsi="Times" w:cs="Times New Roman"/>
          <w:sz w:val="23"/>
          <w:szCs w:val="23"/>
        </w:rPr>
        <w:t>,</w:t>
      </w:r>
      <w:r w:rsidRPr="00F853DD">
        <w:rPr>
          <w:rFonts w:ascii="Times" w:hAnsi="Times" w:cs="Times New Roman"/>
          <w:sz w:val="23"/>
          <w:szCs w:val="23"/>
        </w:rPr>
        <w:t xml:space="preserve"> (1997). Major strain and coping strategies as reported by family members who care for aged demented relatives. </w:t>
      </w:r>
      <w:r w:rsidRPr="00F853DD">
        <w:rPr>
          <w:rFonts w:ascii="Times" w:hAnsi="Times" w:cs="Times New Roman"/>
          <w:i/>
          <w:sz w:val="23"/>
          <w:szCs w:val="23"/>
        </w:rPr>
        <w:t>Journal of Advanced Nursing</w:t>
      </w:r>
      <w:r w:rsidR="009248B4"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26</w:t>
      </w:r>
      <w:r w:rsidR="009248B4" w:rsidRPr="00F853DD">
        <w:rPr>
          <w:rFonts w:ascii="Times" w:hAnsi="Times" w:cs="Times New Roman"/>
          <w:sz w:val="23"/>
          <w:szCs w:val="23"/>
        </w:rPr>
        <w:t>(4)</w:t>
      </w:r>
      <w:r w:rsidRPr="00F853DD">
        <w:rPr>
          <w:rFonts w:ascii="Times" w:hAnsi="Times" w:cs="Times New Roman"/>
          <w:sz w:val="23"/>
          <w:szCs w:val="23"/>
        </w:rPr>
        <w:t>, 683-691.</w:t>
      </w:r>
      <w:r w:rsidR="00EF26B6" w:rsidRPr="00F853DD">
        <w:rPr>
          <w:rFonts w:ascii="Times" w:hAnsi="Times" w:cs="Times New Roman"/>
          <w:sz w:val="23"/>
          <w:szCs w:val="23"/>
        </w:rPr>
        <w:t xml:space="preserve"> [Viewed 26 November 2017]. Available from: doi: 10.1046/j.1365-2648.1997.00392.x</w:t>
      </w:r>
    </w:p>
    <w:p w14:paraId="0ACFBAA7" w14:textId="3D388413"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Almedom, A.</w:t>
      </w:r>
      <w:r w:rsidR="002A1C4E" w:rsidRPr="00F853DD">
        <w:rPr>
          <w:rFonts w:ascii="Times" w:hAnsi="Times" w:cs="Times New Roman"/>
          <w:sz w:val="23"/>
          <w:szCs w:val="23"/>
        </w:rPr>
        <w:t>,</w:t>
      </w:r>
      <w:r w:rsidR="00DF05BD" w:rsidRPr="00F853DD">
        <w:rPr>
          <w:rFonts w:ascii="Times" w:hAnsi="Times" w:cs="Times New Roman"/>
          <w:sz w:val="23"/>
          <w:szCs w:val="23"/>
        </w:rPr>
        <w:t xml:space="preserve"> (2008). Resilience research and policy/practice discourse in health, social, behavioral, and environmental sciences over the last ten years. </w:t>
      </w:r>
      <w:r w:rsidR="00DF05BD" w:rsidRPr="00F853DD">
        <w:rPr>
          <w:rFonts w:ascii="Times" w:hAnsi="Times" w:cs="Times New Roman"/>
          <w:i/>
          <w:sz w:val="23"/>
          <w:szCs w:val="23"/>
        </w:rPr>
        <w:t>African Health Sciences</w:t>
      </w:r>
      <w:r w:rsidR="00DF05BD" w:rsidRPr="00F853DD">
        <w:rPr>
          <w:rFonts w:ascii="Times" w:hAnsi="Times" w:cs="Times New Roman"/>
          <w:sz w:val="23"/>
          <w:szCs w:val="23"/>
        </w:rPr>
        <w:t xml:space="preserve">, </w:t>
      </w:r>
      <w:r w:rsidR="00DF05BD" w:rsidRPr="00F853DD">
        <w:rPr>
          <w:rFonts w:ascii="Times" w:hAnsi="Times" w:cs="Times New Roman"/>
          <w:b/>
          <w:sz w:val="23"/>
          <w:szCs w:val="23"/>
        </w:rPr>
        <w:t>8</w:t>
      </w:r>
      <w:r w:rsidR="004E2C68" w:rsidRPr="00F853DD">
        <w:rPr>
          <w:rFonts w:ascii="Times" w:hAnsi="Times" w:cs="Times New Roman"/>
          <w:sz w:val="23"/>
          <w:szCs w:val="23"/>
        </w:rPr>
        <w:t>(Suppl 1)</w:t>
      </w:r>
      <w:r w:rsidR="00DF05BD" w:rsidRPr="00F853DD">
        <w:rPr>
          <w:rFonts w:ascii="Times" w:hAnsi="Times" w:cs="Times New Roman"/>
          <w:sz w:val="23"/>
          <w:szCs w:val="23"/>
        </w:rPr>
        <w:t>, S5-S13.</w:t>
      </w:r>
      <w:r w:rsidR="004E2C68" w:rsidRPr="00F853DD">
        <w:rPr>
          <w:rFonts w:ascii="Times" w:hAnsi="Times" w:cs="Times New Roman"/>
          <w:sz w:val="23"/>
          <w:szCs w:val="23"/>
        </w:rPr>
        <w:t xml:space="preserve"> [Viewed 24 October 2017]. Available from:</w:t>
      </w:r>
      <w:r w:rsidR="004E2C68" w:rsidRPr="00F853DD">
        <w:t xml:space="preserve"> </w:t>
      </w:r>
      <w:r w:rsidR="004E2C68" w:rsidRPr="00F853DD">
        <w:rPr>
          <w:rFonts w:ascii="Times" w:hAnsi="Times" w:cs="Times New Roman"/>
          <w:sz w:val="23"/>
          <w:szCs w:val="23"/>
        </w:rPr>
        <w:t>https://www.ncbi.nlm.nih.gov/pmc/articles/PMC3060725/</w:t>
      </w:r>
    </w:p>
    <w:p w14:paraId="5E384C84" w14:textId="0390F3D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Alméras, D.</w:t>
      </w:r>
      <w:r w:rsidR="002A1C4E" w:rsidRPr="00F853DD">
        <w:rPr>
          <w:rFonts w:ascii="Times" w:hAnsi="Times" w:cs="Times New Roman"/>
          <w:sz w:val="23"/>
          <w:szCs w:val="23"/>
        </w:rPr>
        <w:t>,</w:t>
      </w:r>
      <w:r w:rsidRPr="00F853DD">
        <w:rPr>
          <w:rFonts w:ascii="Times" w:hAnsi="Times" w:cs="Times New Roman"/>
          <w:sz w:val="23"/>
          <w:szCs w:val="23"/>
        </w:rPr>
        <w:t xml:space="preserve"> (2014). Regional </w:t>
      </w:r>
      <w:r w:rsidR="00F77E04" w:rsidRPr="00F853DD">
        <w:rPr>
          <w:rFonts w:ascii="Times" w:hAnsi="Times" w:cs="Times New Roman"/>
          <w:sz w:val="23"/>
          <w:szCs w:val="23"/>
        </w:rPr>
        <w:t>r</w:t>
      </w:r>
      <w:r w:rsidRPr="00F853DD">
        <w:rPr>
          <w:rFonts w:ascii="Times" w:hAnsi="Times" w:cs="Times New Roman"/>
          <w:sz w:val="23"/>
          <w:szCs w:val="23"/>
        </w:rPr>
        <w:t xml:space="preserve">eport on </w:t>
      </w:r>
      <w:r w:rsidR="00F77E04" w:rsidRPr="00F853DD">
        <w:rPr>
          <w:rFonts w:ascii="Times" w:hAnsi="Times" w:cs="Times New Roman"/>
          <w:sz w:val="23"/>
          <w:szCs w:val="23"/>
        </w:rPr>
        <w:t>m</w:t>
      </w:r>
      <w:r w:rsidRPr="00F853DD">
        <w:rPr>
          <w:rFonts w:ascii="Times" w:hAnsi="Times" w:cs="Times New Roman"/>
          <w:sz w:val="23"/>
          <w:szCs w:val="23"/>
        </w:rPr>
        <w:t xml:space="preserve">easuring </w:t>
      </w:r>
      <w:r w:rsidR="00F77E04" w:rsidRPr="00F853DD">
        <w:rPr>
          <w:rFonts w:ascii="Times" w:hAnsi="Times" w:cs="Times New Roman"/>
          <w:sz w:val="23"/>
          <w:szCs w:val="23"/>
        </w:rPr>
        <w:t>d</w:t>
      </w:r>
      <w:r w:rsidRPr="00F853DD">
        <w:rPr>
          <w:rFonts w:ascii="Times" w:hAnsi="Times" w:cs="Times New Roman"/>
          <w:sz w:val="23"/>
          <w:szCs w:val="23"/>
        </w:rPr>
        <w:t xml:space="preserve">isability: Overview of the </w:t>
      </w:r>
      <w:r w:rsidR="00F77E04" w:rsidRPr="00F853DD">
        <w:rPr>
          <w:rFonts w:ascii="Times" w:hAnsi="Times" w:cs="Times New Roman"/>
          <w:sz w:val="23"/>
          <w:szCs w:val="23"/>
        </w:rPr>
        <w:t>m</w:t>
      </w:r>
      <w:r w:rsidRPr="00F853DD">
        <w:rPr>
          <w:rFonts w:ascii="Times" w:hAnsi="Times" w:cs="Times New Roman"/>
          <w:sz w:val="23"/>
          <w:szCs w:val="23"/>
        </w:rPr>
        <w:t xml:space="preserve">easurement </w:t>
      </w:r>
      <w:r w:rsidR="00F77E04" w:rsidRPr="00F853DD">
        <w:rPr>
          <w:rFonts w:ascii="Times" w:hAnsi="Times" w:cs="Times New Roman"/>
          <w:sz w:val="23"/>
          <w:szCs w:val="23"/>
        </w:rPr>
        <w:t>p</w:t>
      </w:r>
      <w:r w:rsidRPr="00F853DD">
        <w:rPr>
          <w:rFonts w:ascii="Times" w:hAnsi="Times" w:cs="Times New Roman"/>
          <w:sz w:val="23"/>
          <w:szCs w:val="23"/>
        </w:rPr>
        <w:t xml:space="preserve">rocedures in Latin America and the Caribbean. In: </w:t>
      </w:r>
      <w:r w:rsidR="00F77E04" w:rsidRPr="00F853DD">
        <w:rPr>
          <w:rFonts w:ascii="Times" w:hAnsi="Times" w:cs="Times New Roman"/>
          <w:sz w:val="23"/>
          <w:szCs w:val="23"/>
        </w:rPr>
        <w:t>Task force on disability measurement</w:t>
      </w:r>
      <w:r w:rsidRPr="00F853DD">
        <w:rPr>
          <w:rFonts w:ascii="Times" w:hAnsi="Times" w:cs="Times New Roman"/>
          <w:sz w:val="23"/>
          <w:szCs w:val="23"/>
        </w:rPr>
        <w:t xml:space="preserve"> </w:t>
      </w:r>
      <w:r w:rsidR="00F77E04" w:rsidRPr="00F853DD">
        <w:rPr>
          <w:rFonts w:ascii="Times" w:hAnsi="Times" w:cs="Times New Roman"/>
          <w:sz w:val="23"/>
          <w:szCs w:val="23"/>
        </w:rPr>
        <w:t xml:space="preserve">statistical conference of the Americas (SCA), </w:t>
      </w:r>
      <w:r w:rsidRPr="00F853DD">
        <w:rPr>
          <w:rFonts w:ascii="Times" w:hAnsi="Times" w:cs="Times New Roman"/>
          <w:sz w:val="23"/>
          <w:szCs w:val="23"/>
        </w:rPr>
        <w:t xml:space="preserve">(ed.) </w:t>
      </w:r>
      <w:r w:rsidRPr="00F853DD">
        <w:rPr>
          <w:rFonts w:ascii="Times" w:hAnsi="Times" w:cs="Times New Roman"/>
          <w:i/>
          <w:sz w:val="23"/>
          <w:szCs w:val="23"/>
        </w:rPr>
        <w:t>Thirteenth meeting of the Executive Committee of the Statistical Conference of the Americas of the Economic Commission for Latin America and the Caribbean</w:t>
      </w:r>
      <w:r w:rsidR="00F77E04" w:rsidRPr="00F853DD">
        <w:rPr>
          <w:rFonts w:ascii="Times" w:hAnsi="Times" w:cs="Times New Roman"/>
          <w:i/>
          <w:sz w:val="23"/>
          <w:szCs w:val="23"/>
        </w:rPr>
        <w:t xml:space="preserve"> </w:t>
      </w:r>
      <w:r w:rsidR="00F77E04" w:rsidRPr="00F853DD">
        <w:rPr>
          <w:rFonts w:ascii="Times" w:hAnsi="Times" w:cs="Times New Roman"/>
          <w:sz w:val="23"/>
          <w:szCs w:val="23"/>
        </w:rPr>
        <w:t>[online]</w:t>
      </w:r>
      <w:r w:rsidRPr="00F853DD">
        <w:rPr>
          <w:rFonts w:ascii="Times" w:hAnsi="Times" w:cs="Times New Roman"/>
          <w:sz w:val="23"/>
          <w:szCs w:val="23"/>
        </w:rPr>
        <w:t xml:space="preserve">. Santiago: UNECLAC. </w:t>
      </w:r>
      <w:r w:rsidR="00F77E04" w:rsidRPr="00F853DD">
        <w:rPr>
          <w:rFonts w:ascii="Times" w:hAnsi="Times" w:cs="Times New Roman"/>
          <w:sz w:val="23"/>
          <w:szCs w:val="23"/>
        </w:rPr>
        <w:t>[Viewed 22 August 2017]. Available from:</w:t>
      </w:r>
      <w:r w:rsidR="00F77E04" w:rsidRPr="00F853DD">
        <w:t xml:space="preserve"> https://www.cepal.org/en/publications/36945-regional-report-measuring-disability-overview-disability-measurement-procedures</w:t>
      </w:r>
    </w:p>
    <w:p w14:paraId="30DC5878" w14:textId="250FD1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Alonso-Borrego, C. and Carrasco, R.</w:t>
      </w:r>
      <w:r w:rsidR="002A1C4E" w:rsidRPr="00F853DD">
        <w:rPr>
          <w:rFonts w:ascii="Times" w:hAnsi="Times" w:cs="Times New Roman"/>
          <w:sz w:val="23"/>
          <w:szCs w:val="23"/>
        </w:rPr>
        <w:t>,</w:t>
      </w:r>
      <w:r w:rsidRPr="00F853DD">
        <w:rPr>
          <w:rFonts w:ascii="Times" w:hAnsi="Times" w:cs="Times New Roman"/>
          <w:sz w:val="23"/>
          <w:szCs w:val="23"/>
        </w:rPr>
        <w:t xml:space="preserve"> (201</w:t>
      </w:r>
      <w:r w:rsidR="00746E8D" w:rsidRPr="00F853DD">
        <w:rPr>
          <w:rFonts w:ascii="Times" w:hAnsi="Times" w:cs="Times New Roman"/>
          <w:sz w:val="23"/>
          <w:szCs w:val="23"/>
        </w:rPr>
        <w:t>7</w:t>
      </w:r>
      <w:r w:rsidRPr="00F853DD">
        <w:rPr>
          <w:rFonts w:ascii="Times" w:hAnsi="Times" w:cs="Times New Roman"/>
          <w:sz w:val="23"/>
          <w:szCs w:val="23"/>
        </w:rPr>
        <w:t xml:space="preserve">). Employment and the risk of domestic violence: does the breadwinner’s gender matter? </w:t>
      </w:r>
      <w:r w:rsidRPr="00F853DD">
        <w:rPr>
          <w:rFonts w:ascii="Times" w:hAnsi="Times" w:cs="Times New Roman"/>
          <w:i/>
          <w:sz w:val="23"/>
          <w:szCs w:val="23"/>
        </w:rPr>
        <w:t>Applied Economics</w:t>
      </w:r>
      <w:r w:rsidR="00746E8D" w:rsidRPr="00F853DD">
        <w:rPr>
          <w:rFonts w:ascii="Times" w:hAnsi="Times" w:cs="Times New Roman"/>
          <w:sz w:val="23"/>
          <w:szCs w:val="23"/>
        </w:rPr>
        <w:t xml:space="preserve"> [online]</w:t>
      </w:r>
      <w:r w:rsidR="0099419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49</w:t>
      </w:r>
      <w:r w:rsidRPr="00F853DD">
        <w:rPr>
          <w:rFonts w:ascii="Times" w:hAnsi="Times" w:cs="Times New Roman"/>
          <w:sz w:val="23"/>
          <w:szCs w:val="23"/>
        </w:rPr>
        <w:t>(50), 5074-5091.</w:t>
      </w:r>
      <w:r w:rsidR="00746E8D" w:rsidRPr="00F853DD">
        <w:rPr>
          <w:rFonts w:ascii="Times" w:hAnsi="Times" w:cs="Times New Roman"/>
          <w:sz w:val="23"/>
          <w:szCs w:val="23"/>
        </w:rPr>
        <w:t xml:space="preserve"> </w:t>
      </w:r>
      <w:r w:rsidR="0099419B" w:rsidRPr="00F853DD">
        <w:rPr>
          <w:rFonts w:ascii="Times" w:hAnsi="Times" w:cs="Times New Roman"/>
          <w:sz w:val="23"/>
          <w:szCs w:val="23"/>
        </w:rPr>
        <w:t>[Viewed 17 July 2019]. Available from: d</w:t>
      </w:r>
      <w:r w:rsidR="00746E8D" w:rsidRPr="00F853DD">
        <w:rPr>
          <w:rFonts w:ascii="Times" w:hAnsi="Times" w:cs="Times New Roman"/>
          <w:sz w:val="23"/>
          <w:szCs w:val="23"/>
        </w:rPr>
        <w:t>oi</w:t>
      </w:r>
      <w:r w:rsidR="0099419B" w:rsidRPr="00F853DD">
        <w:rPr>
          <w:rFonts w:ascii="Times" w:hAnsi="Times" w:cs="Times New Roman"/>
          <w:sz w:val="23"/>
          <w:szCs w:val="23"/>
        </w:rPr>
        <w:t xml:space="preserve">: </w:t>
      </w:r>
      <w:r w:rsidR="00746E8D" w:rsidRPr="00F853DD">
        <w:rPr>
          <w:rFonts w:ascii="Times" w:hAnsi="Times" w:cs="Times New Roman"/>
          <w:sz w:val="23"/>
          <w:szCs w:val="23"/>
        </w:rPr>
        <w:t>10.1080/00036846.2017.1299103</w:t>
      </w:r>
    </w:p>
    <w:p w14:paraId="103AB862" w14:textId="05C4EFFF"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Alt, J.</w:t>
      </w:r>
      <w:r w:rsidR="00DF05BD" w:rsidRPr="00F853DD">
        <w:rPr>
          <w:rFonts w:ascii="Times" w:hAnsi="Times" w:cs="Times New Roman"/>
          <w:sz w:val="23"/>
          <w:szCs w:val="23"/>
        </w:rPr>
        <w:t>, Marks, L. D. and Clarke-Mitchell, J. F.</w:t>
      </w:r>
      <w:r w:rsidR="002A1C4E" w:rsidRPr="00F853DD">
        <w:rPr>
          <w:rFonts w:ascii="Times" w:hAnsi="Times" w:cs="Times New Roman"/>
          <w:sz w:val="23"/>
          <w:szCs w:val="23"/>
        </w:rPr>
        <w:t>,</w:t>
      </w:r>
      <w:r w:rsidR="00DF05BD" w:rsidRPr="00F853DD">
        <w:rPr>
          <w:rFonts w:ascii="Times" w:hAnsi="Times" w:cs="Times New Roman"/>
          <w:sz w:val="23"/>
          <w:szCs w:val="23"/>
        </w:rPr>
        <w:t xml:space="preserve"> (2016). A qualitative study of the black mother-daughter relationship: lessons learned about self-esteem, coping, and resilience. </w:t>
      </w:r>
      <w:r w:rsidR="00DF05BD" w:rsidRPr="00F853DD">
        <w:rPr>
          <w:rFonts w:ascii="Times" w:hAnsi="Times" w:cs="Times New Roman"/>
          <w:i/>
          <w:sz w:val="23"/>
          <w:szCs w:val="23"/>
        </w:rPr>
        <w:t>Journal of Black Studies</w:t>
      </w:r>
      <w:r w:rsidR="0072570C"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47</w:t>
      </w:r>
      <w:r w:rsidR="0072570C" w:rsidRPr="00F853DD">
        <w:rPr>
          <w:rFonts w:ascii="Times" w:hAnsi="Times" w:cs="Times New Roman"/>
          <w:sz w:val="23"/>
          <w:szCs w:val="23"/>
        </w:rPr>
        <w:t>(4)</w:t>
      </w:r>
      <w:r w:rsidR="00DF05BD" w:rsidRPr="00F853DD">
        <w:rPr>
          <w:rFonts w:ascii="Times" w:hAnsi="Times" w:cs="Times New Roman"/>
          <w:sz w:val="23"/>
          <w:szCs w:val="23"/>
        </w:rPr>
        <w:t>, 334-350.</w:t>
      </w:r>
      <w:r w:rsidR="0072570C" w:rsidRPr="00F853DD">
        <w:rPr>
          <w:rFonts w:ascii="Times" w:hAnsi="Times" w:cs="Times New Roman"/>
          <w:sz w:val="23"/>
          <w:szCs w:val="23"/>
        </w:rPr>
        <w:t xml:space="preserve"> [Viewed 24 October 2017]. Available from: doi: 10.1177/0021934716629339</w:t>
      </w:r>
    </w:p>
    <w:p w14:paraId="37C03156" w14:textId="206BCE38"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Alvarado, B., Zunzunegui, M.</w:t>
      </w:r>
      <w:r w:rsidR="00DF05BD" w:rsidRPr="00F853DD">
        <w:rPr>
          <w:rFonts w:ascii="Times" w:hAnsi="Times" w:cs="Times New Roman"/>
          <w:sz w:val="23"/>
          <w:szCs w:val="23"/>
          <w:lang w:val="de-DE"/>
        </w:rPr>
        <w:t>, Beland, F., Sicotte, M. and Tellechea, L.</w:t>
      </w:r>
      <w:r w:rsidR="002A1C4E" w:rsidRPr="00F853DD">
        <w:rPr>
          <w:rFonts w:ascii="Times" w:hAnsi="Times" w:cs="Times New Roman"/>
          <w:sz w:val="23"/>
          <w:szCs w:val="23"/>
          <w:lang w:val="de-DE"/>
        </w:rPr>
        <w:t>,</w:t>
      </w:r>
      <w:r w:rsidR="00DF05BD" w:rsidRPr="00F853DD">
        <w:rPr>
          <w:rFonts w:ascii="Times" w:hAnsi="Times" w:cs="Times New Roman"/>
          <w:sz w:val="23"/>
          <w:szCs w:val="23"/>
          <w:lang w:val="de-DE"/>
        </w:rPr>
        <w:t xml:space="preserve"> (2007). </w:t>
      </w:r>
      <w:r w:rsidR="00DF05BD" w:rsidRPr="00F853DD">
        <w:rPr>
          <w:rFonts w:ascii="Times" w:hAnsi="Times" w:cs="Times New Roman"/>
          <w:sz w:val="23"/>
          <w:szCs w:val="23"/>
        </w:rPr>
        <w:t>Social and gender inequalities in depressive symptoms among urban older adults of Latin America and the Caribbean. J</w:t>
      </w:r>
      <w:r w:rsidR="00DF05BD" w:rsidRPr="00F853DD">
        <w:rPr>
          <w:rFonts w:ascii="Times" w:hAnsi="Times" w:cs="Times New Roman"/>
          <w:i/>
          <w:sz w:val="23"/>
          <w:szCs w:val="23"/>
        </w:rPr>
        <w:t>ournals of Gerontology Series B-Psychological Sciences and Social Sciences</w:t>
      </w:r>
      <w:r w:rsidR="00073364"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62</w:t>
      </w:r>
      <w:r w:rsidR="00073364" w:rsidRPr="00F853DD">
        <w:rPr>
          <w:rFonts w:ascii="Times" w:hAnsi="Times" w:cs="Times New Roman"/>
          <w:sz w:val="23"/>
          <w:szCs w:val="23"/>
        </w:rPr>
        <w:t>(4)</w:t>
      </w:r>
      <w:r w:rsidR="00DF05BD" w:rsidRPr="00F853DD">
        <w:rPr>
          <w:rFonts w:ascii="Times" w:hAnsi="Times" w:cs="Times New Roman"/>
          <w:sz w:val="23"/>
          <w:szCs w:val="23"/>
        </w:rPr>
        <w:t>, S226-S237.</w:t>
      </w:r>
      <w:r w:rsidR="00073364" w:rsidRPr="00F853DD">
        <w:rPr>
          <w:rFonts w:ascii="Times" w:hAnsi="Times" w:cs="Times New Roman"/>
          <w:sz w:val="23"/>
          <w:szCs w:val="23"/>
        </w:rPr>
        <w:t xml:space="preserve"> [Viewed 21 August 2017]. Available from: https://doi-org.sheffield.idm.oclc.org/10.1093/geronb/62.4.S226</w:t>
      </w:r>
    </w:p>
    <w:p w14:paraId="633190BF" w14:textId="42968A1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Alzheimer’s Association</w:t>
      </w:r>
      <w:r w:rsidR="002A1C4E" w:rsidRPr="00F853DD">
        <w:rPr>
          <w:rFonts w:ascii="Times" w:hAnsi="Times" w:cs="Times New Roman"/>
          <w:sz w:val="23"/>
          <w:szCs w:val="23"/>
        </w:rPr>
        <w:t>,</w:t>
      </w:r>
      <w:r w:rsidRPr="00F853DD">
        <w:rPr>
          <w:rFonts w:ascii="Times" w:hAnsi="Times" w:cs="Times New Roman"/>
          <w:sz w:val="23"/>
          <w:szCs w:val="23"/>
        </w:rPr>
        <w:t xml:space="preserve"> (2007). Person </w:t>
      </w:r>
      <w:r w:rsidR="00706B9A" w:rsidRPr="00F853DD">
        <w:rPr>
          <w:rFonts w:ascii="Times" w:hAnsi="Times" w:cs="Times New Roman"/>
          <w:sz w:val="23"/>
          <w:szCs w:val="23"/>
        </w:rPr>
        <w:t>c</w:t>
      </w:r>
      <w:r w:rsidRPr="00F853DD">
        <w:rPr>
          <w:rFonts w:ascii="Times" w:hAnsi="Times" w:cs="Times New Roman"/>
          <w:sz w:val="23"/>
          <w:szCs w:val="23"/>
        </w:rPr>
        <w:t xml:space="preserve">entered </w:t>
      </w:r>
      <w:r w:rsidR="00706B9A" w:rsidRPr="00F853DD">
        <w:rPr>
          <w:rFonts w:ascii="Times" w:hAnsi="Times" w:cs="Times New Roman"/>
          <w:sz w:val="23"/>
          <w:szCs w:val="23"/>
        </w:rPr>
        <w:t>c</w:t>
      </w:r>
      <w:r w:rsidRPr="00F853DD">
        <w:rPr>
          <w:rFonts w:ascii="Times" w:hAnsi="Times" w:cs="Times New Roman"/>
          <w:sz w:val="23"/>
          <w:szCs w:val="23"/>
        </w:rPr>
        <w:t xml:space="preserve">are in </w:t>
      </w:r>
      <w:r w:rsidR="00706B9A" w:rsidRPr="00F853DD">
        <w:rPr>
          <w:rFonts w:ascii="Times" w:hAnsi="Times" w:cs="Times New Roman"/>
          <w:sz w:val="23"/>
          <w:szCs w:val="23"/>
        </w:rPr>
        <w:t>n</w:t>
      </w:r>
      <w:r w:rsidRPr="00F853DD">
        <w:rPr>
          <w:rFonts w:ascii="Times" w:hAnsi="Times" w:cs="Times New Roman"/>
          <w:sz w:val="23"/>
          <w:szCs w:val="23"/>
        </w:rPr>
        <w:t xml:space="preserve">ursing </w:t>
      </w:r>
      <w:r w:rsidR="00706B9A" w:rsidRPr="00F853DD">
        <w:rPr>
          <w:rFonts w:ascii="Times" w:hAnsi="Times" w:cs="Times New Roman"/>
          <w:sz w:val="23"/>
          <w:szCs w:val="23"/>
        </w:rPr>
        <w:t>h</w:t>
      </w:r>
      <w:r w:rsidRPr="00F853DD">
        <w:rPr>
          <w:rFonts w:ascii="Times" w:hAnsi="Times" w:cs="Times New Roman"/>
          <w:sz w:val="23"/>
          <w:szCs w:val="23"/>
        </w:rPr>
        <w:t xml:space="preserve">omes and </w:t>
      </w:r>
      <w:r w:rsidR="00706B9A" w:rsidRPr="00F853DD">
        <w:rPr>
          <w:rFonts w:ascii="Times" w:hAnsi="Times" w:cs="Times New Roman"/>
          <w:sz w:val="23"/>
          <w:szCs w:val="23"/>
        </w:rPr>
        <w:t>a</w:t>
      </w:r>
      <w:r w:rsidRPr="00F853DD">
        <w:rPr>
          <w:rFonts w:ascii="Times" w:hAnsi="Times" w:cs="Times New Roman"/>
          <w:sz w:val="23"/>
          <w:szCs w:val="23"/>
        </w:rPr>
        <w:t xml:space="preserve">ssisted </w:t>
      </w:r>
      <w:r w:rsidR="00706B9A" w:rsidRPr="00F853DD">
        <w:rPr>
          <w:rFonts w:ascii="Times" w:hAnsi="Times" w:cs="Times New Roman"/>
          <w:sz w:val="23"/>
          <w:szCs w:val="23"/>
        </w:rPr>
        <w:t>l</w:t>
      </w:r>
      <w:r w:rsidRPr="00F853DD">
        <w:rPr>
          <w:rFonts w:ascii="Times" w:hAnsi="Times" w:cs="Times New Roman"/>
          <w:sz w:val="23"/>
          <w:szCs w:val="23"/>
        </w:rPr>
        <w:t>iving</w:t>
      </w:r>
      <w:r w:rsidR="00706B9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i/>
          <w:sz w:val="23"/>
          <w:szCs w:val="23"/>
        </w:rPr>
        <w:t>Alzheimer’s Association</w:t>
      </w:r>
      <w:r w:rsidR="00706B9A" w:rsidRPr="00F853DD">
        <w:rPr>
          <w:rFonts w:ascii="Times" w:hAnsi="Times" w:cs="Times New Roman"/>
          <w:i/>
          <w:sz w:val="23"/>
          <w:szCs w:val="23"/>
        </w:rPr>
        <w:t xml:space="preserve"> </w:t>
      </w:r>
      <w:r w:rsidR="00706B9A" w:rsidRPr="00F853DD">
        <w:rPr>
          <w:rFonts w:ascii="Times" w:hAnsi="Times" w:cs="Times New Roman"/>
          <w:sz w:val="23"/>
          <w:szCs w:val="23"/>
        </w:rPr>
        <w:t>[online]</w:t>
      </w:r>
      <w:r w:rsidRPr="00F853DD">
        <w:rPr>
          <w:rFonts w:ascii="Times" w:hAnsi="Times" w:cs="Times New Roman"/>
          <w:sz w:val="23"/>
          <w:szCs w:val="23"/>
        </w:rPr>
        <w:t xml:space="preserve">. [Viewed 20 October 2019]. Available from: https://www.alz.org/media/greatermissouri/Person_Centered_Care.pdf </w:t>
      </w:r>
    </w:p>
    <w:p w14:paraId="7F8AEDCA" w14:textId="6464EF87"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Amaro, L. and Miller, K.</w:t>
      </w:r>
      <w:r w:rsidR="00DF05BD" w:rsidRPr="00F853DD">
        <w:rPr>
          <w:rFonts w:ascii="Times" w:hAnsi="Times" w:cs="Times New Roman"/>
          <w:sz w:val="23"/>
          <w:szCs w:val="23"/>
        </w:rPr>
        <w:t xml:space="preserve">, (2016). Discussion of care, contribution, and perceived (in)gratitude in the family caregiver and sibling relationship. </w:t>
      </w:r>
      <w:r w:rsidR="00DF05BD" w:rsidRPr="00F853DD">
        <w:rPr>
          <w:rFonts w:ascii="Times" w:hAnsi="Times" w:cs="Times New Roman"/>
          <w:i/>
          <w:sz w:val="23"/>
          <w:szCs w:val="23"/>
        </w:rPr>
        <w:t xml:space="preserve">Personal Relationships </w:t>
      </w:r>
      <w:r w:rsidR="00DF05BD" w:rsidRPr="00F853DD">
        <w:rPr>
          <w:rFonts w:ascii="Times" w:hAnsi="Times" w:cs="Times New Roman"/>
          <w:sz w:val="23"/>
          <w:szCs w:val="23"/>
        </w:rPr>
        <w:t xml:space="preserve">[online]. </w:t>
      </w:r>
      <w:r w:rsidR="00DF05BD" w:rsidRPr="00F853DD">
        <w:rPr>
          <w:rFonts w:ascii="Times" w:hAnsi="Times" w:cs="Times New Roman"/>
          <w:b/>
          <w:sz w:val="23"/>
          <w:szCs w:val="23"/>
        </w:rPr>
        <w:t>23</w:t>
      </w:r>
      <w:r w:rsidR="00074ED9" w:rsidRPr="00F853DD">
        <w:rPr>
          <w:rFonts w:ascii="Times" w:hAnsi="Times" w:cs="Times New Roman"/>
          <w:sz w:val="23"/>
          <w:szCs w:val="23"/>
        </w:rPr>
        <w:t>(1)</w:t>
      </w:r>
      <w:r w:rsidR="00DF05BD" w:rsidRPr="00F853DD">
        <w:rPr>
          <w:rFonts w:ascii="Times" w:hAnsi="Times" w:cs="Times New Roman"/>
          <w:sz w:val="23"/>
          <w:szCs w:val="23"/>
        </w:rPr>
        <w:t xml:space="preserve">, 98-110. [Viewed 13 September 2017]. Available from: doi: </w:t>
      </w:r>
      <w:r w:rsidR="00DF05BD" w:rsidRPr="00F853DD">
        <w:rPr>
          <w:rFonts w:ascii="Times" w:hAnsi="Times" w:cs="Times New Roman"/>
          <w:sz w:val="23"/>
          <w:szCs w:val="23"/>
          <w:shd w:val="clear" w:color="auto" w:fill="FFFFFF"/>
        </w:rPr>
        <w:t>10.1111/pere.12113.x</w:t>
      </w:r>
    </w:p>
    <w:p w14:paraId="0FD148A2"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Ambrose, F., Chappell, R., Jefferies, J. and Wainman, G., (2005). The UK population: past, present and future. In: C. Roma, ed. </w:t>
      </w:r>
      <w:r w:rsidRPr="00F853DD">
        <w:rPr>
          <w:rFonts w:ascii="Times" w:hAnsi="Times" w:cs="Times New Roman"/>
          <w:i/>
          <w:sz w:val="23"/>
          <w:szCs w:val="23"/>
        </w:rPr>
        <w:t>Focus on people and migration</w:t>
      </w:r>
      <w:r w:rsidRPr="00F853DD">
        <w:rPr>
          <w:rFonts w:ascii="Times" w:hAnsi="Times" w:cs="Times New Roman"/>
          <w:sz w:val="23"/>
          <w:szCs w:val="23"/>
        </w:rPr>
        <w:t>. New York: Palgrave Macmillan.</w:t>
      </w:r>
    </w:p>
    <w:p w14:paraId="6ADC380E" w14:textId="4C3F5A5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Anaf, J., Baum, F., Newman, L., Ziersch, A. and Jolley, G.</w:t>
      </w:r>
      <w:r w:rsidR="002A1C4E" w:rsidRPr="00F853DD">
        <w:rPr>
          <w:rFonts w:ascii="Times" w:hAnsi="Times" w:cs="Times New Roman"/>
          <w:sz w:val="23"/>
          <w:szCs w:val="23"/>
        </w:rPr>
        <w:t>,</w:t>
      </w:r>
      <w:r w:rsidRPr="00F853DD">
        <w:rPr>
          <w:rFonts w:ascii="Times" w:hAnsi="Times" w:cs="Times New Roman"/>
          <w:sz w:val="23"/>
          <w:szCs w:val="23"/>
        </w:rPr>
        <w:t xml:space="preserve"> (2013). The interplay between structure and agency in shaping the mental health consequences of job loss. </w:t>
      </w:r>
      <w:r w:rsidRPr="00F853DD">
        <w:rPr>
          <w:rFonts w:ascii="Times" w:hAnsi="Times" w:cs="Times New Roman"/>
          <w:i/>
          <w:sz w:val="23"/>
          <w:szCs w:val="23"/>
        </w:rPr>
        <w:t>BMC Public Health</w:t>
      </w:r>
      <w:r w:rsidR="00EA29DC"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13</w:t>
      </w:r>
      <w:r w:rsidR="00EA29DC" w:rsidRPr="00F853DD">
        <w:rPr>
          <w:rFonts w:ascii="Times" w:hAnsi="Times" w:cs="Times New Roman"/>
          <w:sz w:val="23"/>
          <w:szCs w:val="23"/>
        </w:rPr>
        <w:t>(1)</w:t>
      </w:r>
      <w:r w:rsidRPr="00F853DD">
        <w:rPr>
          <w:rFonts w:ascii="Times" w:hAnsi="Times" w:cs="Times New Roman"/>
          <w:sz w:val="23"/>
          <w:szCs w:val="23"/>
        </w:rPr>
        <w:t>, 1</w:t>
      </w:r>
      <w:r w:rsidR="00EA29DC" w:rsidRPr="00F853DD">
        <w:rPr>
          <w:rFonts w:ascii="Times" w:hAnsi="Times" w:cs="Times New Roman"/>
          <w:sz w:val="23"/>
          <w:szCs w:val="23"/>
        </w:rPr>
        <w:t>10</w:t>
      </w:r>
      <w:r w:rsidRPr="00F853DD">
        <w:rPr>
          <w:rFonts w:ascii="Times" w:hAnsi="Times" w:cs="Times New Roman"/>
          <w:sz w:val="23"/>
          <w:szCs w:val="23"/>
        </w:rPr>
        <w:t>.</w:t>
      </w:r>
      <w:r w:rsidR="00074ED9" w:rsidRPr="00F853DD">
        <w:rPr>
          <w:rFonts w:ascii="Times" w:hAnsi="Times" w:cs="Times New Roman"/>
          <w:sz w:val="23"/>
          <w:szCs w:val="23"/>
        </w:rPr>
        <w:t xml:space="preserve"> [Viewed 28 May 2017]. Available from: doi: 10.1186/1471-2458-13-110</w:t>
      </w:r>
    </w:p>
    <w:p w14:paraId="1D5F5CAF" w14:textId="6B5065A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Anderberg, D., Rainer, H., Wadsworth, J. and Wilson, T.</w:t>
      </w:r>
      <w:r w:rsidR="002A1C4E" w:rsidRPr="00F853DD">
        <w:rPr>
          <w:rFonts w:ascii="Times" w:hAnsi="Times" w:cs="Times New Roman"/>
          <w:sz w:val="23"/>
          <w:szCs w:val="23"/>
        </w:rPr>
        <w:t>,</w:t>
      </w:r>
      <w:r w:rsidRPr="00F853DD">
        <w:rPr>
          <w:rFonts w:ascii="Times" w:hAnsi="Times" w:cs="Times New Roman"/>
          <w:sz w:val="23"/>
          <w:szCs w:val="23"/>
        </w:rPr>
        <w:t xml:space="preserve"> (2015). Unemployment and domestic violence: Theory and evidence. </w:t>
      </w:r>
      <w:r w:rsidRPr="00F853DD">
        <w:rPr>
          <w:rFonts w:ascii="Times" w:hAnsi="Times" w:cs="Times New Roman"/>
          <w:i/>
          <w:sz w:val="23"/>
          <w:szCs w:val="23"/>
        </w:rPr>
        <w:t>The Economic Journal</w:t>
      </w:r>
      <w:r w:rsidRPr="00F853DD">
        <w:rPr>
          <w:rFonts w:ascii="Times" w:hAnsi="Times" w:cs="Times New Roman"/>
          <w:sz w:val="23"/>
          <w:szCs w:val="23"/>
        </w:rPr>
        <w:t xml:space="preserve">, </w:t>
      </w:r>
      <w:r w:rsidRPr="00F853DD">
        <w:rPr>
          <w:rFonts w:ascii="Times" w:hAnsi="Times" w:cs="Times New Roman"/>
          <w:b/>
          <w:sz w:val="23"/>
          <w:szCs w:val="23"/>
        </w:rPr>
        <w:t>126</w:t>
      </w:r>
      <w:r w:rsidRPr="00F853DD">
        <w:rPr>
          <w:rFonts w:ascii="Times" w:hAnsi="Times" w:cs="Times New Roman"/>
          <w:sz w:val="23"/>
          <w:szCs w:val="23"/>
        </w:rPr>
        <w:t>(597), 1947-1979</w:t>
      </w:r>
      <w:r w:rsidR="00C86FAD" w:rsidRPr="00F853DD">
        <w:rPr>
          <w:rFonts w:ascii="Times" w:hAnsi="Times" w:cs="Times New Roman"/>
          <w:sz w:val="23"/>
          <w:szCs w:val="23"/>
        </w:rPr>
        <w:t>. [Viewed 17 July 2019]. Available from: https://doi-org.sheffield.idm.oclc.org/10.1111/ecoj.12246</w:t>
      </w:r>
    </w:p>
    <w:p w14:paraId="6E73791E" w14:textId="760A49C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Andersen, M., and Taylor, H.F.</w:t>
      </w:r>
      <w:r w:rsidR="002A1C4E" w:rsidRPr="00F853DD">
        <w:rPr>
          <w:rFonts w:ascii="Times" w:hAnsi="Times" w:cs="Times New Roman"/>
          <w:sz w:val="23"/>
          <w:szCs w:val="23"/>
        </w:rPr>
        <w:t>,</w:t>
      </w:r>
      <w:r w:rsidRPr="00F853DD">
        <w:rPr>
          <w:rFonts w:ascii="Times" w:hAnsi="Times" w:cs="Times New Roman"/>
          <w:sz w:val="23"/>
          <w:szCs w:val="23"/>
        </w:rPr>
        <w:t xml:space="preserve"> (2011). Sociology:</w:t>
      </w:r>
      <w:r w:rsidR="00706B9A" w:rsidRPr="00F853DD">
        <w:rPr>
          <w:rFonts w:ascii="Times" w:hAnsi="Times" w:cs="Times New Roman"/>
          <w:sz w:val="23"/>
          <w:szCs w:val="23"/>
        </w:rPr>
        <w:t xml:space="preserve"> the e</w:t>
      </w:r>
      <w:r w:rsidRPr="00F853DD">
        <w:rPr>
          <w:rFonts w:ascii="Times" w:hAnsi="Times" w:cs="Times New Roman"/>
          <w:sz w:val="23"/>
          <w:szCs w:val="23"/>
        </w:rPr>
        <w:t>ssentials</w:t>
      </w:r>
      <w:r w:rsidR="00760393" w:rsidRPr="00F853DD">
        <w:rPr>
          <w:rFonts w:ascii="Times" w:hAnsi="Times" w:cs="Times New Roman"/>
          <w:sz w:val="23"/>
          <w:szCs w:val="23"/>
        </w:rPr>
        <w:t>.</w:t>
      </w:r>
      <w:r w:rsidRPr="00F853DD">
        <w:rPr>
          <w:rFonts w:ascii="Times" w:hAnsi="Times" w:cs="Times New Roman"/>
          <w:sz w:val="23"/>
          <w:szCs w:val="23"/>
        </w:rPr>
        <w:t xml:space="preserve"> </w:t>
      </w:r>
      <w:r w:rsidR="00760393" w:rsidRPr="00F853DD">
        <w:rPr>
          <w:rFonts w:ascii="Times" w:hAnsi="Times" w:cs="Times New Roman"/>
          <w:sz w:val="23"/>
          <w:szCs w:val="23"/>
        </w:rPr>
        <w:t xml:space="preserve">In: G. Ferraro. </w:t>
      </w:r>
      <w:r w:rsidR="00760393" w:rsidRPr="00F853DD">
        <w:rPr>
          <w:rFonts w:ascii="Times" w:hAnsi="Times" w:cs="Times New Roman"/>
          <w:i/>
          <w:sz w:val="23"/>
          <w:szCs w:val="23"/>
        </w:rPr>
        <w:t>Cultural Anthropology: An Applied Perspective</w:t>
      </w:r>
      <w:r w:rsidR="00760317" w:rsidRPr="00F853DD">
        <w:rPr>
          <w:rFonts w:ascii="Times" w:hAnsi="Times" w:cs="Times New Roman"/>
          <w:sz w:val="23"/>
          <w:szCs w:val="23"/>
        </w:rPr>
        <w:t xml:space="preserve">. Boston: Wadsworth, Cengage Learning. </w:t>
      </w:r>
      <w:r w:rsidR="00760393" w:rsidRPr="00F853DD">
        <w:rPr>
          <w:rFonts w:ascii="Times" w:hAnsi="Times" w:cs="Times New Roman"/>
          <w:sz w:val="23"/>
          <w:szCs w:val="23"/>
        </w:rPr>
        <w:t>pp.60-81.</w:t>
      </w:r>
    </w:p>
    <w:p w14:paraId="5EFA620B" w14:textId="4C28A3A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Andersen, R. and Newman, J. F.</w:t>
      </w:r>
      <w:r w:rsidR="002A1C4E" w:rsidRPr="00F853DD">
        <w:rPr>
          <w:rFonts w:ascii="Times" w:hAnsi="Times" w:cs="Times New Roman"/>
          <w:sz w:val="23"/>
          <w:szCs w:val="23"/>
        </w:rPr>
        <w:t>,</w:t>
      </w:r>
      <w:r w:rsidRPr="00F853DD">
        <w:rPr>
          <w:rFonts w:ascii="Times" w:hAnsi="Times" w:cs="Times New Roman"/>
          <w:sz w:val="23"/>
          <w:szCs w:val="23"/>
        </w:rPr>
        <w:t xml:space="preserve"> (1973). Societal and individual determinants of medical care utilization in United States. </w:t>
      </w:r>
      <w:r w:rsidR="00630DAB" w:rsidRPr="00F853DD">
        <w:rPr>
          <w:rFonts w:ascii="Times" w:hAnsi="Times" w:cs="Times New Roman"/>
          <w:i/>
          <w:sz w:val="23"/>
          <w:szCs w:val="23"/>
        </w:rPr>
        <w:t xml:space="preserve">The </w:t>
      </w:r>
      <w:r w:rsidRPr="00F853DD">
        <w:rPr>
          <w:rFonts w:ascii="Times" w:hAnsi="Times" w:cs="Times New Roman"/>
          <w:i/>
          <w:sz w:val="23"/>
          <w:szCs w:val="23"/>
        </w:rPr>
        <w:t>Milbank Memorial Fund Quarterly-Health and Society</w:t>
      </w:r>
      <w:r w:rsidRPr="00F853DD">
        <w:rPr>
          <w:rFonts w:ascii="Times" w:hAnsi="Times" w:cs="Times New Roman"/>
          <w:sz w:val="23"/>
          <w:szCs w:val="23"/>
        </w:rPr>
        <w:t xml:space="preserve">, </w:t>
      </w:r>
      <w:r w:rsidRPr="00F853DD">
        <w:rPr>
          <w:rFonts w:ascii="Times" w:hAnsi="Times" w:cs="Times New Roman"/>
          <w:b/>
          <w:sz w:val="23"/>
          <w:szCs w:val="23"/>
        </w:rPr>
        <w:t>51</w:t>
      </w:r>
      <w:r w:rsidRPr="00F853DD">
        <w:rPr>
          <w:rFonts w:ascii="Times" w:hAnsi="Times" w:cs="Times New Roman"/>
          <w:sz w:val="23"/>
          <w:szCs w:val="23"/>
        </w:rPr>
        <w:t>, 95-124.</w:t>
      </w:r>
    </w:p>
    <w:p w14:paraId="46901A49"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 xml:space="preserve">Andersen, R. M., (1995). Revisiting the behavioral-model and access to medical-care - does it matter. </w:t>
      </w:r>
      <w:r w:rsidRPr="00F853DD">
        <w:rPr>
          <w:rFonts w:ascii="Times" w:hAnsi="Times" w:cs="Times New Roman"/>
          <w:i/>
          <w:sz w:val="23"/>
          <w:szCs w:val="23"/>
        </w:rPr>
        <w:t>Journal of Health and Social Behavior</w:t>
      </w:r>
      <w:r w:rsidRPr="00F853DD">
        <w:rPr>
          <w:rFonts w:ascii="Times" w:hAnsi="Times" w:cs="Times New Roman"/>
          <w:sz w:val="23"/>
          <w:szCs w:val="23"/>
        </w:rPr>
        <w:t xml:space="preserve"> [online]. </w:t>
      </w:r>
      <w:r w:rsidRPr="00F853DD">
        <w:rPr>
          <w:rFonts w:ascii="Times" w:hAnsi="Times" w:cs="Times New Roman"/>
          <w:b/>
          <w:sz w:val="23"/>
          <w:szCs w:val="23"/>
        </w:rPr>
        <w:t>36</w:t>
      </w:r>
      <w:r w:rsidRPr="00F853DD">
        <w:rPr>
          <w:rFonts w:ascii="Times" w:hAnsi="Times" w:cs="Times New Roman"/>
          <w:sz w:val="23"/>
          <w:szCs w:val="23"/>
        </w:rPr>
        <w:t>(1), 1-10. [Viewed 19 September 2017]. Available from: doi: 10.2307/2137284.x</w:t>
      </w:r>
    </w:p>
    <w:p w14:paraId="214D37A4" w14:textId="237CF84C" w:rsidR="00DF05BD" w:rsidRPr="00F853DD" w:rsidRDefault="00BF7831" w:rsidP="00E1694A">
      <w:pPr>
        <w:spacing w:line="240" w:lineRule="auto"/>
        <w:ind w:left="567" w:hanging="567"/>
        <w:rPr>
          <w:rFonts w:ascii="Times" w:hAnsi="Times" w:cs="Times New Roman"/>
          <w:sz w:val="23"/>
          <w:szCs w:val="23"/>
        </w:rPr>
      </w:pPr>
      <w:r w:rsidRPr="00F853DD">
        <w:rPr>
          <w:rFonts w:ascii="Times" w:hAnsi="Times" w:cs="Times New Roman"/>
          <w:sz w:val="23"/>
          <w:szCs w:val="23"/>
        </w:rPr>
        <w:t>Anderson, N.</w:t>
      </w:r>
      <w:r w:rsidR="00DF05BD" w:rsidRPr="00F853DD">
        <w:rPr>
          <w:rFonts w:ascii="Times" w:hAnsi="Times" w:cs="Times New Roman"/>
          <w:sz w:val="23"/>
          <w:szCs w:val="23"/>
        </w:rPr>
        <w:t>, (1967). Effects of institutionalization on self-esteem. </w:t>
      </w:r>
      <w:r w:rsidR="00DF05BD" w:rsidRPr="00F853DD">
        <w:rPr>
          <w:rFonts w:ascii="Times" w:hAnsi="Times" w:cs="Times New Roman"/>
          <w:i/>
          <w:sz w:val="23"/>
          <w:szCs w:val="23"/>
        </w:rPr>
        <w:t>Journal of Gerontology</w:t>
      </w:r>
      <w:r w:rsidR="00DF05BD" w:rsidRPr="00F853DD">
        <w:rPr>
          <w:rFonts w:ascii="Times" w:hAnsi="Times" w:cs="Times New Roman"/>
          <w:sz w:val="23"/>
          <w:szCs w:val="23"/>
        </w:rPr>
        <w:t>, </w:t>
      </w:r>
      <w:r w:rsidR="00DF05BD" w:rsidRPr="00F853DD">
        <w:rPr>
          <w:rFonts w:ascii="Times" w:hAnsi="Times" w:cs="Times New Roman"/>
          <w:b/>
          <w:sz w:val="23"/>
          <w:szCs w:val="23"/>
        </w:rPr>
        <w:t>22</w:t>
      </w:r>
      <w:r w:rsidR="00DF05BD" w:rsidRPr="00F853DD">
        <w:rPr>
          <w:rFonts w:ascii="Times" w:hAnsi="Times" w:cs="Times New Roman"/>
          <w:sz w:val="23"/>
          <w:szCs w:val="23"/>
        </w:rPr>
        <w:t>(3), 313-317.</w:t>
      </w:r>
    </w:p>
    <w:p w14:paraId="2A5C4F3E" w14:textId="5EC9E634"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 xml:space="preserve">Anderson, B., (2015). What </w:t>
      </w:r>
      <w:r w:rsidR="00706B9A" w:rsidRPr="00F853DD">
        <w:rPr>
          <w:rFonts w:ascii="Times" w:hAnsi="Times" w:cs="Times New Roman"/>
          <w:sz w:val="23"/>
          <w:szCs w:val="23"/>
        </w:rPr>
        <w:t>k</w:t>
      </w:r>
      <w:r w:rsidRPr="00F853DD">
        <w:rPr>
          <w:rFonts w:ascii="Times" w:hAnsi="Times" w:cs="Times New Roman"/>
          <w:sz w:val="23"/>
          <w:szCs w:val="23"/>
        </w:rPr>
        <w:t xml:space="preserve">ind of </w:t>
      </w:r>
      <w:r w:rsidR="00706B9A" w:rsidRPr="00F853DD">
        <w:rPr>
          <w:rFonts w:ascii="Times" w:hAnsi="Times" w:cs="Times New Roman"/>
          <w:sz w:val="23"/>
          <w:szCs w:val="23"/>
        </w:rPr>
        <w:t>t</w:t>
      </w:r>
      <w:r w:rsidRPr="00F853DD">
        <w:rPr>
          <w:rFonts w:ascii="Times" w:hAnsi="Times" w:cs="Times New Roman"/>
          <w:sz w:val="23"/>
          <w:szCs w:val="23"/>
        </w:rPr>
        <w:t xml:space="preserve">hing is </w:t>
      </w:r>
      <w:r w:rsidR="00706B9A" w:rsidRPr="00F853DD">
        <w:rPr>
          <w:rFonts w:ascii="Times" w:hAnsi="Times" w:cs="Times New Roman"/>
          <w:sz w:val="23"/>
          <w:szCs w:val="23"/>
        </w:rPr>
        <w:t>r</w:t>
      </w:r>
      <w:r w:rsidRPr="00F853DD">
        <w:rPr>
          <w:rFonts w:ascii="Times" w:hAnsi="Times" w:cs="Times New Roman"/>
          <w:sz w:val="23"/>
          <w:szCs w:val="23"/>
        </w:rPr>
        <w:t xml:space="preserve">esilience? </w:t>
      </w:r>
      <w:r w:rsidRPr="00F853DD">
        <w:rPr>
          <w:rFonts w:ascii="Times" w:hAnsi="Times" w:cs="Times New Roman"/>
          <w:i/>
          <w:sz w:val="23"/>
          <w:szCs w:val="23"/>
        </w:rPr>
        <w:t>Politics</w:t>
      </w:r>
      <w:r w:rsidRPr="00F853DD">
        <w:rPr>
          <w:rFonts w:ascii="Times" w:hAnsi="Times" w:cs="Times New Roman"/>
          <w:sz w:val="23"/>
          <w:szCs w:val="23"/>
        </w:rPr>
        <w:t xml:space="preserve"> [online]. </w:t>
      </w:r>
      <w:r w:rsidRPr="00F853DD">
        <w:rPr>
          <w:rFonts w:ascii="Times" w:hAnsi="Times" w:cs="Times New Roman"/>
          <w:b/>
          <w:sz w:val="23"/>
          <w:szCs w:val="23"/>
        </w:rPr>
        <w:t>35</w:t>
      </w:r>
      <w:r w:rsidRPr="00F853DD">
        <w:rPr>
          <w:rFonts w:ascii="Times" w:hAnsi="Times" w:cs="Times New Roman"/>
          <w:sz w:val="23"/>
          <w:szCs w:val="23"/>
        </w:rPr>
        <w:t xml:space="preserve">(1), 60-66. [Viewed 24 October 2017]. Available from: doi: </w:t>
      </w:r>
      <w:r w:rsidRPr="00F853DD">
        <w:rPr>
          <w:rFonts w:ascii="Times" w:eastAsia="Times New Roman" w:hAnsi="Times" w:cs="Times New Roman"/>
          <w:sz w:val="23"/>
          <w:szCs w:val="23"/>
        </w:rPr>
        <w:t>10.1111/1467-9256.12079.</w:t>
      </w:r>
      <w:r w:rsidRPr="00F853DD">
        <w:rPr>
          <w:rFonts w:ascii="Times" w:hAnsi="Times" w:cs="Times New Roman"/>
          <w:sz w:val="23"/>
          <w:szCs w:val="23"/>
        </w:rPr>
        <w:t>x</w:t>
      </w:r>
    </w:p>
    <w:p w14:paraId="3258CDFF" w14:textId="03E46643" w:rsidR="00DF05BD" w:rsidRPr="00F853DD" w:rsidRDefault="00BF7831" w:rsidP="00E1694A">
      <w:pPr>
        <w:spacing w:line="240" w:lineRule="auto"/>
        <w:ind w:left="567" w:hanging="567"/>
        <w:rPr>
          <w:rFonts w:ascii="Times" w:eastAsia="Times New Roman" w:hAnsi="Times" w:cs="Times New Roman"/>
          <w:sz w:val="23"/>
          <w:szCs w:val="23"/>
        </w:rPr>
      </w:pPr>
      <w:r w:rsidRPr="00F853DD">
        <w:rPr>
          <w:rFonts w:ascii="Times" w:hAnsi="Times" w:cs="Times New Roman"/>
          <w:sz w:val="23"/>
          <w:szCs w:val="23"/>
        </w:rPr>
        <w:t>Anderson, W.</w:t>
      </w:r>
      <w:r w:rsidR="00DF05BD" w:rsidRPr="00F853DD">
        <w:rPr>
          <w:rFonts w:ascii="Times" w:hAnsi="Times" w:cs="Times New Roman"/>
          <w:sz w:val="23"/>
          <w:szCs w:val="23"/>
        </w:rPr>
        <w:t xml:space="preserve">, Kools, S. and Lyndon, A., (2013). Dancing around death: hospitalist-patient communication about serious illness. </w:t>
      </w:r>
      <w:r w:rsidR="00DF05BD" w:rsidRPr="00F853DD">
        <w:rPr>
          <w:rFonts w:ascii="Times" w:hAnsi="Times" w:cs="Times New Roman"/>
          <w:i/>
          <w:sz w:val="23"/>
          <w:szCs w:val="23"/>
        </w:rPr>
        <w:t>Qualitative Health Research</w:t>
      </w:r>
      <w:r w:rsidR="00DF05BD" w:rsidRPr="00F853DD">
        <w:rPr>
          <w:rFonts w:ascii="Times" w:hAnsi="Times" w:cs="Times New Roman"/>
          <w:sz w:val="23"/>
          <w:szCs w:val="23"/>
        </w:rPr>
        <w:t xml:space="preserve"> [online]. </w:t>
      </w:r>
      <w:r w:rsidR="00DF05BD" w:rsidRPr="00F853DD">
        <w:rPr>
          <w:rFonts w:ascii="Times" w:hAnsi="Times" w:cs="Times New Roman"/>
          <w:b/>
          <w:sz w:val="23"/>
          <w:szCs w:val="23"/>
        </w:rPr>
        <w:t>23</w:t>
      </w:r>
      <w:r w:rsidR="00DF05BD" w:rsidRPr="00F853DD">
        <w:rPr>
          <w:rFonts w:ascii="Times" w:hAnsi="Times" w:cs="Times New Roman"/>
          <w:sz w:val="23"/>
          <w:szCs w:val="23"/>
        </w:rPr>
        <w:t xml:space="preserve">(1), 3-13. [Viewed 18 May 2017]. Available from: doi: </w:t>
      </w:r>
      <w:r w:rsidR="00DF05BD" w:rsidRPr="00F853DD">
        <w:rPr>
          <w:rFonts w:ascii="Times" w:eastAsia="Times New Roman" w:hAnsi="Times" w:cs="Times New Roman"/>
          <w:sz w:val="23"/>
          <w:szCs w:val="23"/>
        </w:rPr>
        <w:t>10.1177/1049732312461728.x</w:t>
      </w:r>
    </w:p>
    <w:p w14:paraId="13E38CA0"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Andren, S. and Elmstahl, S., (2005). Family caregivers' subjective experiences of satisfaction in dementia care: aspects of burden, subjective health and sense of coherence. </w:t>
      </w:r>
      <w:r w:rsidRPr="00F853DD">
        <w:rPr>
          <w:rFonts w:ascii="Times" w:hAnsi="Times" w:cs="Times New Roman"/>
          <w:i/>
          <w:sz w:val="23"/>
          <w:szCs w:val="23"/>
        </w:rPr>
        <w:t>Scandinavian Journal of Caring Sciences</w:t>
      </w:r>
      <w:r w:rsidRPr="00F853DD">
        <w:rPr>
          <w:rFonts w:ascii="Times" w:hAnsi="Times" w:cs="Times New Roman"/>
          <w:sz w:val="23"/>
          <w:szCs w:val="23"/>
        </w:rPr>
        <w:t xml:space="preserve"> [online]. </w:t>
      </w:r>
      <w:r w:rsidRPr="00F853DD">
        <w:rPr>
          <w:rFonts w:ascii="Times" w:hAnsi="Times" w:cs="Times New Roman"/>
          <w:b/>
          <w:sz w:val="23"/>
          <w:szCs w:val="23"/>
        </w:rPr>
        <w:t>19</w:t>
      </w:r>
      <w:r w:rsidRPr="00F853DD">
        <w:rPr>
          <w:rFonts w:ascii="Times" w:hAnsi="Times" w:cs="Times New Roman"/>
          <w:sz w:val="23"/>
          <w:szCs w:val="23"/>
        </w:rPr>
        <w:t xml:space="preserve">(2), 157-168. [Viewed 3 November 2017]. Available from: doi: </w:t>
      </w:r>
      <w:r w:rsidRPr="00F853DD">
        <w:rPr>
          <w:rFonts w:ascii="Times" w:hAnsi="Times" w:cs="Times New Roman"/>
          <w:sz w:val="23"/>
          <w:szCs w:val="23"/>
          <w:shd w:val="clear" w:color="auto" w:fill="FFFFFF"/>
        </w:rPr>
        <w:t>10.1111/j.1471-6712.2005.00328.x</w:t>
      </w:r>
    </w:p>
    <w:p w14:paraId="1B969990" w14:textId="77421C2E"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Aneshensel, C.</w:t>
      </w:r>
      <w:r w:rsidR="002A1C4E" w:rsidRPr="00F853DD">
        <w:rPr>
          <w:rFonts w:ascii="Times" w:hAnsi="Times" w:cs="Times New Roman"/>
          <w:sz w:val="23"/>
          <w:szCs w:val="23"/>
        </w:rPr>
        <w:t>,</w:t>
      </w:r>
      <w:r w:rsidR="00EF3848" w:rsidRPr="00F853DD">
        <w:rPr>
          <w:rFonts w:ascii="Times" w:hAnsi="Times" w:cs="Times New Roman"/>
          <w:sz w:val="23"/>
          <w:szCs w:val="23"/>
        </w:rPr>
        <w:t xml:space="preserve"> (1992). Social stress </w:t>
      </w:r>
      <w:r w:rsidR="00DF05BD" w:rsidRPr="00F853DD">
        <w:rPr>
          <w:rFonts w:ascii="Times" w:hAnsi="Times" w:cs="Times New Roman"/>
          <w:sz w:val="23"/>
          <w:szCs w:val="23"/>
        </w:rPr>
        <w:t xml:space="preserve">theory and research. </w:t>
      </w:r>
      <w:r w:rsidR="00DF05BD" w:rsidRPr="00F853DD">
        <w:rPr>
          <w:rFonts w:ascii="Times" w:hAnsi="Times" w:cs="Times New Roman"/>
          <w:i/>
          <w:sz w:val="23"/>
          <w:szCs w:val="23"/>
        </w:rPr>
        <w:t>Annual Review of Sociology</w:t>
      </w:r>
      <w:r w:rsidR="002D6F4E"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2D6F4E" w:rsidRPr="00F853DD">
        <w:rPr>
          <w:rFonts w:ascii="Times" w:hAnsi="Times" w:cs="Times New Roman"/>
          <w:sz w:val="23"/>
          <w:szCs w:val="23"/>
        </w:rPr>
        <w:t>(1)</w:t>
      </w:r>
      <w:r w:rsidR="00DF05BD" w:rsidRPr="00F853DD">
        <w:rPr>
          <w:rFonts w:ascii="Times" w:hAnsi="Times" w:cs="Times New Roman"/>
          <w:sz w:val="23"/>
          <w:szCs w:val="23"/>
        </w:rPr>
        <w:t>, 15-38.</w:t>
      </w:r>
      <w:r w:rsidR="002D6F4E" w:rsidRPr="00F853DD">
        <w:rPr>
          <w:rFonts w:ascii="Times" w:hAnsi="Times" w:cs="Times New Roman"/>
          <w:sz w:val="23"/>
          <w:szCs w:val="23"/>
        </w:rPr>
        <w:t xml:space="preserve"> [Viewed 26 March 2018]. Available from: doi: 10.1146/annurev.so.18.080192.000311</w:t>
      </w:r>
    </w:p>
    <w:p w14:paraId="7B8DEF11" w14:textId="758300EB"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Aneshensel, C</w:t>
      </w:r>
      <w:r w:rsidR="00DF05BD" w:rsidRPr="00F853DD">
        <w:rPr>
          <w:rFonts w:ascii="Times" w:hAnsi="Times" w:cs="Times New Roman"/>
          <w:sz w:val="23"/>
          <w:szCs w:val="23"/>
        </w:rPr>
        <w:t>. and Avison, W. R.</w:t>
      </w:r>
      <w:r w:rsidR="002A1C4E" w:rsidRPr="00F853DD">
        <w:rPr>
          <w:rFonts w:ascii="Times" w:hAnsi="Times" w:cs="Times New Roman"/>
          <w:sz w:val="23"/>
          <w:szCs w:val="23"/>
        </w:rPr>
        <w:t>,</w:t>
      </w:r>
      <w:r w:rsidR="00DF05BD" w:rsidRPr="00F853DD">
        <w:rPr>
          <w:rFonts w:ascii="Times" w:hAnsi="Times" w:cs="Times New Roman"/>
          <w:sz w:val="23"/>
          <w:szCs w:val="23"/>
        </w:rPr>
        <w:t xml:space="preserve"> (2015). The stress process: an appreciation of Leonard I. Pearlin. </w:t>
      </w:r>
      <w:r w:rsidR="00DF05BD" w:rsidRPr="00F853DD">
        <w:rPr>
          <w:rFonts w:ascii="Times" w:hAnsi="Times" w:cs="Times New Roman"/>
          <w:i/>
          <w:sz w:val="23"/>
          <w:szCs w:val="23"/>
        </w:rPr>
        <w:t>Society and Mental Health</w:t>
      </w:r>
      <w:r w:rsidR="00DF05BD" w:rsidRPr="00F853DD">
        <w:rPr>
          <w:rFonts w:ascii="Times" w:hAnsi="Times" w:cs="Times New Roman"/>
          <w:sz w:val="23"/>
          <w:szCs w:val="23"/>
        </w:rPr>
        <w:t xml:space="preserve"> [online]. </w:t>
      </w:r>
      <w:r w:rsidR="00DF05BD" w:rsidRPr="00F853DD">
        <w:rPr>
          <w:rFonts w:ascii="Times" w:hAnsi="Times" w:cs="Times New Roman"/>
          <w:b/>
          <w:sz w:val="23"/>
          <w:szCs w:val="23"/>
        </w:rPr>
        <w:t>5</w:t>
      </w:r>
      <w:r w:rsidR="00630DAB" w:rsidRPr="00F853DD">
        <w:rPr>
          <w:rFonts w:ascii="Times" w:hAnsi="Times" w:cs="Times New Roman"/>
          <w:sz w:val="23"/>
          <w:szCs w:val="23"/>
        </w:rPr>
        <w:t>(2), 67-85. [Viewed 27 Octo</w:t>
      </w:r>
      <w:r w:rsidR="00DF05BD" w:rsidRPr="00F853DD">
        <w:rPr>
          <w:rFonts w:ascii="Times" w:hAnsi="Times" w:cs="Times New Roman"/>
          <w:sz w:val="23"/>
          <w:szCs w:val="23"/>
        </w:rPr>
        <w:t xml:space="preserve">ber 2017]. Available from: doi: </w:t>
      </w:r>
      <w:r w:rsidR="00DF05BD" w:rsidRPr="00F853DD">
        <w:rPr>
          <w:rFonts w:ascii="Times" w:hAnsi="Times" w:cs="Times New Roman"/>
          <w:sz w:val="23"/>
          <w:szCs w:val="23"/>
          <w:shd w:val="clear" w:color="auto" w:fill="FFFFFF"/>
        </w:rPr>
        <w:t>10.1177/2156869315585388.x</w:t>
      </w:r>
    </w:p>
    <w:p w14:paraId="0F196381" w14:textId="0DDD6631" w:rsidR="00DF05BD" w:rsidRPr="00F853DD" w:rsidRDefault="00BF7831" w:rsidP="00E1694A">
      <w:pPr>
        <w:spacing w:line="240" w:lineRule="auto"/>
        <w:ind w:left="567" w:hanging="567"/>
        <w:rPr>
          <w:rFonts w:ascii="Times" w:eastAsia="Times New Roman" w:hAnsi="Times" w:cs="Times New Roman"/>
          <w:sz w:val="23"/>
          <w:szCs w:val="23"/>
        </w:rPr>
      </w:pPr>
      <w:r w:rsidRPr="00F853DD">
        <w:rPr>
          <w:rFonts w:ascii="Times" w:hAnsi="Times" w:cs="Times New Roman"/>
          <w:sz w:val="23"/>
          <w:szCs w:val="23"/>
          <w:lang w:val="de-DE"/>
        </w:rPr>
        <w:t>Aneshensel, C., Rutter, C. and Lachenbruch, P.</w:t>
      </w:r>
      <w:r w:rsidR="002A1C4E" w:rsidRPr="00F853DD">
        <w:rPr>
          <w:rFonts w:ascii="Times" w:hAnsi="Times" w:cs="Times New Roman"/>
          <w:sz w:val="23"/>
          <w:szCs w:val="23"/>
          <w:lang w:val="de-DE"/>
        </w:rPr>
        <w:t>,</w:t>
      </w:r>
      <w:r w:rsidR="00DF05BD" w:rsidRPr="00F853DD">
        <w:rPr>
          <w:rFonts w:ascii="Times" w:hAnsi="Times" w:cs="Times New Roman"/>
          <w:sz w:val="23"/>
          <w:szCs w:val="23"/>
          <w:lang w:val="de-DE"/>
        </w:rPr>
        <w:t xml:space="preserve"> (1991). </w:t>
      </w:r>
      <w:r w:rsidR="00EF3848" w:rsidRPr="00F853DD">
        <w:rPr>
          <w:rFonts w:ascii="Times" w:hAnsi="Times" w:cs="Times New Roman"/>
          <w:sz w:val="23"/>
          <w:szCs w:val="23"/>
        </w:rPr>
        <w:t>Social-s</w:t>
      </w:r>
      <w:r w:rsidR="00DF05BD" w:rsidRPr="00F853DD">
        <w:rPr>
          <w:rFonts w:ascii="Times" w:hAnsi="Times" w:cs="Times New Roman"/>
          <w:sz w:val="23"/>
          <w:szCs w:val="23"/>
        </w:rPr>
        <w:t xml:space="preserve">tructure, stress, and mental-health - competing conceptual and analytic models. </w:t>
      </w:r>
      <w:r w:rsidR="00DF05BD" w:rsidRPr="00F853DD">
        <w:rPr>
          <w:rFonts w:ascii="Times" w:hAnsi="Times" w:cs="Times New Roman"/>
          <w:i/>
          <w:sz w:val="23"/>
          <w:szCs w:val="23"/>
        </w:rPr>
        <w:t>American Sociological Review</w:t>
      </w:r>
      <w:r w:rsidR="00DF05BD" w:rsidRPr="00F853DD">
        <w:rPr>
          <w:rFonts w:ascii="Times" w:hAnsi="Times" w:cs="Times New Roman"/>
          <w:sz w:val="23"/>
          <w:szCs w:val="23"/>
        </w:rPr>
        <w:t xml:space="preserve"> [online]. </w:t>
      </w:r>
      <w:r w:rsidR="00DF05BD" w:rsidRPr="00F853DD">
        <w:rPr>
          <w:rFonts w:ascii="Times" w:hAnsi="Times" w:cs="Times New Roman"/>
          <w:b/>
          <w:sz w:val="23"/>
          <w:szCs w:val="23"/>
        </w:rPr>
        <w:t>56</w:t>
      </w:r>
      <w:r w:rsidR="00DF05BD" w:rsidRPr="00F853DD">
        <w:rPr>
          <w:rFonts w:ascii="Times" w:hAnsi="Times" w:cs="Times New Roman"/>
          <w:sz w:val="23"/>
          <w:szCs w:val="23"/>
        </w:rPr>
        <w:t xml:space="preserve">(2), 166-178. [Viewed 26 March 2018]. Available from: doi: </w:t>
      </w:r>
      <w:r w:rsidR="00DF05BD" w:rsidRPr="00F853DD">
        <w:rPr>
          <w:rFonts w:ascii="Times" w:eastAsia="Times New Roman" w:hAnsi="Times" w:cs="Times New Roman"/>
          <w:sz w:val="23"/>
          <w:szCs w:val="23"/>
        </w:rPr>
        <w:t>10.2307/2095777.x</w:t>
      </w:r>
    </w:p>
    <w:p w14:paraId="5C0AF6CC" w14:textId="5D2F6A30"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Anetzberger, G.</w:t>
      </w:r>
      <w:r w:rsidR="002A1C4E" w:rsidRPr="00F853DD">
        <w:rPr>
          <w:rFonts w:ascii="Times" w:hAnsi="Times" w:cs="Times New Roman"/>
          <w:sz w:val="23"/>
          <w:szCs w:val="23"/>
        </w:rPr>
        <w:t>,</w:t>
      </w:r>
      <w:r w:rsidR="00EF3848" w:rsidRPr="00F853DD">
        <w:rPr>
          <w:rFonts w:ascii="Times" w:hAnsi="Times" w:cs="Times New Roman"/>
          <w:sz w:val="23"/>
          <w:szCs w:val="23"/>
        </w:rPr>
        <w:t xml:space="preserve"> (2000). Caregiving: p</w:t>
      </w:r>
      <w:r w:rsidR="00DF05BD" w:rsidRPr="00F853DD">
        <w:rPr>
          <w:rFonts w:ascii="Times" w:hAnsi="Times" w:cs="Times New Roman"/>
          <w:sz w:val="23"/>
          <w:szCs w:val="23"/>
        </w:rPr>
        <w:t xml:space="preserve">rimary cause of elder abuse? </w:t>
      </w:r>
      <w:r w:rsidR="00DF05BD" w:rsidRPr="00F853DD">
        <w:rPr>
          <w:rFonts w:ascii="Times" w:hAnsi="Times" w:cs="Times New Roman"/>
          <w:i/>
          <w:sz w:val="23"/>
          <w:szCs w:val="23"/>
        </w:rPr>
        <w:t>Generations-Journal of the American Society on Aging</w:t>
      </w:r>
      <w:r w:rsidR="0087213E"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24</w:t>
      </w:r>
      <w:r w:rsidR="00DF05BD" w:rsidRPr="00F853DD">
        <w:rPr>
          <w:rFonts w:ascii="Times" w:hAnsi="Times" w:cs="Times New Roman"/>
          <w:sz w:val="23"/>
          <w:szCs w:val="23"/>
        </w:rPr>
        <w:t>(2), 46-51.</w:t>
      </w:r>
      <w:r w:rsidR="0087213E" w:rsidRPr="00F853DD">
        <w:rPr>
          <w:rFonts w:ascii="Times" w:hAnsi="Times" w:cs="Times New Roman"/>
          <w:sz w:val="23"/>
          <w:szCs w:val="23"/>
        </w:rPr>
        <w:t xml:space="preserve"> </w:t>
      </w:r>
    </w:p>
    <w:p w14:paraId="2BAACD06"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Angel, R. and Angel, J. (1997)., </w:t>
      </w:r>
      <w:r w:rsidRPr="00F853DD">
        <w:rPr>
          <w:rFonts w:ascii="Times" w:hAnsi="Times" w:cs="Times New Roman"/>
          <w:i/>
          <w:sz w:val="23"/>
          <w:szCs w:val="23"/>
        </w:rPr>
        <w:t>Who will care for us? Aging and longterm care in multicultural America.</w:t>
      </w:r>
      <w:r w:rsidRPr="00F853DD">
        <w:rPr>
          <w:rFonts w:ascii="Times" w:hAnsi="Times" w:cs="Times New Roman"/>
          <w:sz w:val="23"/>
          <w:szCs w:val="23"/>
        </w:rPr>
        <w:t xml:space="preserve"> New York and London: New York University Press.</w:t>
      </w:r>
    </w:p>
    <w:p w14:paraId="52881BA5" w14:textId="665E8CD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Angus, J., Kontos, P., Dyck, I., Mckeever, P. and Poland, B., (2005). The personal significance of home: habitus and the experience of receiving long-term home care. </w:t>
      </w:r>
      <w:r w:rsidRPr="00F853DD">
        <w:rPr>
          <w:rFonts w:ascii="Times" w:hAnsi="Times" w:cs="Times New Roman"/>
          <w:i/>
          <w:sz w:val="23"/>
          <w:szCs w:val="23"/>
        </w:rPr>
        <w:t>Sociology of Health and Illness</w:t>
      </w:r>
      <w:r w:rsidR="00610627"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27</w:t>
      </w:r>
      <w:r w:rsidR="00610627" w:rsidRPr="00F853DD">
        <w:rPr>
          <w:rFonts w:ascii="Times" w:hAnsi="Times" w:cs="Times New Roman"/>
          <w:sz w:val="23"/>
          <w:szCs w:val="23"/>
        </w:rPr>
        <w:t>(2)</w:t>
      </w:r>
      <w:r w:rsidRPr="00F853DD">
        <w:rPr>
          <w:rFonts w:ascii="Times" w:hAnsi="Times" w:cs="Times New Roman"/>
          <w:sz w:val="23"/>
          <w:szCs w:val="23"/>
        </w:rPr>
        <w:t>, 161-187.</w:t>
      </w:r>
      <w:r w:rsidR="00610627" w:rsidRPr="00F853DD">
        <w:rPr>
          <w:rFonts w:ascii="Times" w:hAnsi="Times" w:cs="Times New Roman"/>
          <w:sz w:val="23"/>
          <w:szCs w:val="23"/>
        </w:rPr>
        <w:t xml:space="preserve"> [Viewed 11 December 2015]. Available from: doi: 10.1111/j.1467-9566.2005.00438.x</w:t>
      </w:r>
    </w:p>
    <w:p w14:paraId="4A99792F" w14:textId="1A7941F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Annas, P., Clayton-Turner, A., Fraser, J., Gove, D., Gzil, F., Jansen, S., Mckillop, J., Petrini, C., Sorbi, S., Frãœhwald, T., Holmerovã, I., Ruseckiene, R. and Van Den Block, L.</w:t>
      </w:r>
      <w:r w:rsidR="002A1C4E" w:rsidRPr="00F853DD">
        <w:rPr>
          <w:rFonts w:ascii="Times" w:hAnsi="Times" w:cs="Times New Roman"/>
          <w:sz w:val="23"/>
          <w:szCs w:val="23"/>
        </w:rPr>
        <w:t>,</w:t>
      </w:r>
      <w:r w:rsidRPr="00F853DD">
        <w:rPr>
          <w:rFonts w:ascii="Times" w:hAnsi="Times" w:cs="Times New Roman"/>
          <w:sz w:val="23"/>
          <w:szCs w:val="23"/>
        </w:rPr>
        <w:t xml:space="preserve"> (2011). </w:t>
      </w:r>
      <w:r w:rsidRPr="00F853DD">
        <w:rPr>
          <w:rFonts w:ascii="Times" w:hAnsi="Times" w:cs="Times New Roman"/>
          <w:i/>
          <w:sz w:val="23"/>
          <w:szCs w:val="23"/>
        </w:rPr>
        <w:t xml:space="preserve">Ethics of </w:t>
      </w:r>
      <w:r w:rsidR="00EF3848" w:rsidRPr="00F853DD">
        <w:rPr>
          <w:rFonts w:ascii="Times" w:hAnsi="Times" w:cs="Times New Roman"/>
          <w:i/>
          <w:sz w:val="23"/>
          <w:szCs w:val="23"/>
        </w:rPr>
        <w:t>d</w:t>
      </w:r>
      <w:r w:rsidRPr="00F853DD">
        <w:rPr>
          <w:rFonts w:ascii="Times" w:hAnsi="Times" w:cs="Times New Roman"/>
          <w:i/>
          <w:sz w:val="23"/>
          <w:szCs w:val="23"/>
        </w:rPr>
        <w:t xml:space="preserve">ementia </w:t>
      </w:r>
      <w:r w:rsidR="00EF3848" w:rsidRPr="00F853DD">
        <w:rPr>
          <w:rFonts w:ascii="Times" w:hAnsi="Times" w:cs="Times New Roman"/>
          <w:i/>
          <w:sz w:val="23"/>
          <w:szCs w:val="23"/>
        </w:rPr>
        <w:t>r</w:t>
      </w:r>
      <w:r w:rsidRPr="00F853DD">
        <w:rPr>
          <w:rFonts w:ascii="Times" w:hAnsi="Times" w:cs="Times New Roman"/>
          <w:i/>
          <w:sz w:val="23"/>
          <w:szCs w:val="23"/>
        </w:rPr>
        <w:t xml:space="preserve">esearch: </w:t>
      </w:r>
      <w:r w:rsidR="00EF3848" w:rsidRPr="00F853DD">
        <w:rPr>
          <w:rFonts w:ascii="Times" w:hAnsi="Times" w:cs="Times New Roman"/>
          <w:i/>
          <w:sz w:val="23"/>
          <w:szCs w:val="23"/>
        </w:rPr>
        <w:t>e</w:t>
      </w:r>
      <w:r w:rsidRPr="00F853DD">
        <w:rPr>
          <w:rFonts w:ascii="Times" w:hAnsi="Times" w:cs="Times New Roman"/>
          <w:i/>
          <w:sz w:val="23"/>
          <w:szCs w:val="23"/>
        </w:rPr>
        <w:t xml:space="preserve">thical </w:t>
      </w:r>
      <w:r w:rsidR="00EF3848" w:rsidRPr="00F853DD">
        <w:rPr>
          <w:rFonts w:ascii="Times" w:hAnsi="Times" w:cs="Times New Roman"/>
          <w:i/>
          <w:sz w:val="23"/>
          <w:szCs w:val="23"/>
        </w:rPr>
        <w:t>i</w:t>
      </w:r>
      <w:r w:rsidRPr="00F853DD">
        <w:rPr>
          <w:rFonts w:ascii="Times" w:hAnsi="Times" w:cs="Times New Roman"/>
          <w:i/>
          <w:sz w:val="23"/>
          <w:szCs w:val="23"/>
        </w:rPr>
        <w:t xml:space="preserve">ssues in </w:t>
      </w:r>
      <w:r w:rsidR="00EF3848" w:rsidRPr="00F853DD">
        <w:rPr>
          <w:rFonts w:ascii="Times" w:hAnsi="Times" w:cs="Times New Roman"/>
          <w:i/>
          <w:sz w:val="23"/>
          <w:szCs w:val="23"/>
        </w:rPr>
        <w:t>p</w:t>
      </w:r>
      <w:r w:rsidRPr="00F853DD">
        <w:rPr>
          <w:rFonts w:ascii="Times" w:hAnsi="Times" w:cs="Times New Roman"/>
          <w:i/>
          <w:sz w:val="23"/>
          <w:szCs w:val="23"/>
        </w:rPr>
        <w:t>ractice</w:t>
      </w:r>
      <w:r w:rsidRPr="00F853DD">
        <w:rPr>
          <w:rFonts w:ascii="Times" w:hAnsi="Times" w:cs="Times New Roman"/>
          <w:sz w:val="23"/>
          <w:szCs w:val="23"/>
        </w:rPr>
        <w:t>. Alzheimer</w:t>
      </w:r>
      <w:r w:rsidR="00EF3848" w:rsidRPr="00F853DD">
        <w:rPr>
          <w:rFonts w:ascii="Times" w:hAnsi="Times" w:cs="Times New Roman"/>
          <w:sz w:val="23"/>
          <w:szCs w:val="23"/>
        </w:rPr>
        <w:t>s</w:t>
      </w:r>
      <w:r w:rsidRPr="00F853DD">
        <w:rPr>
          <w:rFonts w:ascii="Times" w:hAnsi="Times" w:cs="Times New Roman"/>
          <w:sz w:val="23"/>
          <w:szCs w:val="23"/>
        </w:rPr>
        <w:t xml:space="preserve"> Europe. Last Updated: Thursday 29 </w:t>
      </w:r>
      <w:r w:rsidR="002E47C7" w:rsidRPr="00F853DD">
        <w:rPr>
          <w:rFonts w:ascii="Times" w:hAnsi="Times" w:cs="Times New Roman"/>
          <w:sz w:val="23"/>
          <w:szCs w:val="23"/>
        </w:rPr>
        <w:t>M</w:t>
      </w:r>
      <w:r w:rsidRPr="00F853DD">
        <w:rPr>
          <w:rFonts w:ascii="Times" w:hAnsi="Times" w:cs="Times New Roman"/>
          <w:sz w:val="23"/>
          <w:szCs w:val="23"/>
        </w:rPr>
        <w:t>arch, 2012. [Viewed 20 February 2018] Available from: http://www.alzheimer-europe.org/Ethics/Ethical-issues-in-practice/2011-Ethics-of-dementia-research</w:t>
      </w:r>
    </w:p>
    <w:p w14:paraId="7CCADDA8" w14:textId="35C2653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pt-PT"/>
        </w:rPr>
        <w:t xml:space="preserve">Ano, G. G. and Vasconcelles, E. B., (2005). </w:t>
      </w:r>
      <w:r w:rsidRPr="00F853DD">
        <w:rPr>
          <w:rFonts w:ascii="Times" w:hAnsi="Times" w:cs="Times New Roman"/>
          <w:sz w:val="23"/>
          <w:szCs w:val="23"/>
        </w:rPr>
        <w:t xml:space="preserve">Religious coping and psychological adjustment to stress: </w:t>
      </w:r>
      <w:r w:rsidR="00EF3848" w:rsidRPr="00F853DD">
        <w:rPr>
          <w:rFonts w:ascii="Times" w:hAnsi="Times" w:cs="Times New Roman"/>
          <w:sz w:val="23"/>
          <w:szCs w:val="23"/>
        </w:rPr>
        <w:t>a</w:t>
      </w:r>
      <w:r w:rsidRPr="00F853DD">
        <w:rPr>
          <w:rFonts w:ascii="Times" w:hAnsi="Times" w:cs="Times New Roman"/>
          <w:sz w:val="23"/>
          <w:szCs w:val="23"/>
        </w:rPr>
        <w:t xml:space="preserve"> meta-analysis. </w:t>
      </w:r>
      <w:r w:rsidRPr="00F853DD">
        <w:rPr>
          <w:rFonts w:ascii="Times" w:hAnsi="Times" w:cs="Times New Roman"/>
          <w:i/>
          <w:sz w:val="23"/>
          <w:szCs w:val="23"/>
        </w:rPr>
        <w:t>Journal of Clinical Psychology</w:t>
      </w:r>
      <w:r w:rsidR="00FF6CEE"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61</w:t>
      </w:r>
      <w:r w:rsidRPr="00F853DD">
        <w:rPr>
          <w:rFonts w:ascii="Times" w:hAnsi="Times" w:cs="Times New Roman"/>
          <w:sz w:val="23"/>
          <w:szCs w:val="23"/>
        </w:rPr>
        <w:t>(4), 461-480.</w:t>
      </w:r>
      <w:r w:rsidR="00FF6CEE" w:rsidRPr="00F853DD">
        <w:rPr>
          <w:rFonts w:ascii="Times" w:hAnsi="Times" w:cs="Times New Roman"/>
          <w:sz w:val="23"/>
          <w:szCs w:val="23"/>
        </w:rPr>
        <w:t xml:space="preserve"> [Viewed 29 October 2017]. Available from: doi: 10.1002/jclp.20049</w:t>
      </w:r>
    </w:p>
    <w:p w14:paraId="0DA67137" w14:textId="2419840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Antoine, P., Quandalle, S. and Christophe, V.</w:t>
      </w:r>
      <w:r w:rsidR="002A1C4E" w:rsidRPr="00F853DD">
        <w:rPr>
          <w:rFonts w:ascii="Times" w:hAnsi="Times" w:cs="Times New Roman"/>
          <w:sz w:val="23"/>
          <w:szCs w:val="23"/>
        </w:rPr>
        <w:t>,</w:t>
      </w:r>
      <w:r w:rsidRPr="00F853DD">
        <w:rPr>
          <w:rFonts w:ascii="Times" w:hAnsi="Times" w:cs="Times New Roman"/>
          <w:sz w:val="23"/>
          <w:szCs w:val="23"/>
        </w:rPr>
        <w:t xml:space="preserve"> (2010). Living with a chronically ill relative: </w:t>
      </w:r>
      <w:r w:rsidR="00EF3848" w:rsidRPr="00F853DD">
        <w:rPr>
          <w:rFonts w:ascii="Times" w:hAnsi="Times" w:cs="Times New Roman"/>
          <w:sz w:val="23"/>
          <w:szCs w:val="23"/>
        </w:rPr>
        <w:t>a</w:t>
      </w:r>
      <w:r w:rsidRPr="00F853DD">
        <w:rPr>
          <w:rFonts w:ascii="Times" w:hAnsi="Times" w:cs="Times New Roman"/>
          <w:sz w:val="23"/>
          <w:szCs w:val="23"/>
        </w:rPr>
        <w:t>ssessment of positive and negative dimensions of the experience of natural caregiver</w:t>
      </w:r>
      <w:r w:rsidRPr="00F853DD">
        <w:rPr>
          <w:rFonts w:ascii="Times" w:hAnsi="Times" w:cs="Times New Roman"/>
          <w:i/>
          <w:sz w:val="23"/>
          <w:szCs w:val="23"/>
        </w:rPr>
        <w:t>. Annales Medico-Psychologiques</w:t>
      </w:r>
      <w:r w:rsidR="002A2FE2"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168</w:t>
      </w:r>
      <w:r w:rsidR="002A2FE2" w:rsidRPr="00F853DD">
        <w:rPr>
          <w:rFonts w:ascii="Times" w:hAnsi="Times" w:cs="Times New Roman"/>
          <w:sz w:val="23"/>
          <w:szCs w:val="23"/>
        </w:rPr>
        <w:t>(4)</w:t>
      </w:r>
      <w:r w:rsidRPr="00F853DD">
        <w:rPr>
          <w:rFonts w:ascii="Times" w:hAnsi="Times" w:cs="Times New Roman"/>
          <w:sz w:val="23"/>
          <w:szCs w:val="23"/>
        </w:rPr>
        <w:t>, 273-282.</w:t>
      </w:r>
      <w:r w:rsidR="002A2FE2" w:rsidRPr="00F853DD">
        <w:rPr>
          <w:rFonts w:ascii="Times" w:hAnsi="Times" w:cs="Times New Roman"/>
          <w:sz w:val="23"/>
          <w:szCs w:val="23"/>
        </w:rPr>
        <w:t xml:space="preserve"> [Viewed 15 December 2017]. Available from: https://doi-org.sheffield.idm.oclc.org/10.1016/j.amp.2007.06.012</w:t>
      </w:r>
    </w:p>
    <w:p w14:paraId="45521622" w14:textId="1FA34ABC"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Antonucci, T., Ajrouch, K. and Birditt, K.</w:t>
      </w:r>
      <w:r w:rsidR="002A1C4E" w:rsidRPr="00F853DD">
        <w:rPr>
          <w:rFonts w:ascii="Times" w:hAnsi="Times" w:cs="Times New Roman"/>
          <w:sz w:val="23"/>
          <w:szCs w:val="23"/>
        </w:rPr>
        <w:t>,</w:t>
      </w:r>
      <w:r w:rsidR="00DF05BD" w:rsidRPr="00F853DD">
        <w:rPr>
          <w:rFonts w:ascii="Times" w:hAnsi="Times" w:cs="Times New Roman"/>
          <w:sz w:val="23"/>
          <w:szCs w:val="23"/>
        </w:rPr>
        <w:t xml:space="preserve"> (2014). The </w:t>
      </w:r>
      <w:r w:rsidR="00EF3848" w:rsidRPr="00F853DD">
        <w:rPr>
          <w:rFonts w:ascii="Times" w:hAnsi="Times" w:cs="Times New Roman"/>
          <w:sz w:val="23"/>
          <w:szCs w:val="23"/>
        </w:rPr>
        <w:t>c</w:t>
      </w:r>
      <w:r w:rsidR="00DF05BD" w:rsidRPr="00F853DD">
        <w:rPr>
          <w:rFonts w:ascii="Times" w:hAnsi="Times" w:cs="Times New Roman"/>
          <w:sz w:val="23"/>
          <w:szCs w:val="23"/>
        </w:rPr>
        <w:t xml:space="preserve">onvoy </w:t>
      </w:r>
      <w:r w:rsidR="00EF3848" w:rsidRPr="00F853DD">
        <w:rPr>
          <w:rFonts w:ascii="Times" w:hAnsi="Times" w:cs="Times New Roman"/>
          <w:sz w:val="23"/>
          <w:szCs w:val="23"/>
        </w:rPr>
        <w:t>m</w:t>
      </w:r>
      <w:r w:rsidR="00DF05BD" w:rsidRPr="00F853DD">
        <w:rPr>
          <w:rFonts w:ascii="Times" w:hAnsi="Times" w:cs="Times New Roman"/>
          <w:sz w:val="23"/>
          <w:szCs w:val="23"/>
        </w:rPr>
        <w:t xml:space="preserve">odel: </w:t>
      </w:r>
      <w:r w:rsidR="00EF3848" w:rsidRPr="00F853DD">
        <w:rPr>
          <w:rFonts w:ascii="Times" w:hAnsi="Times" w:cs="Times New Roman"/>
          <w:sz w:val="23"/>
          <w:szCs w:val="23"/>
        </w:rPr>
        <w:t>e</w:t>
      </w:r>
      <w:r w:rsidR="00DF05BD" w:rsidRPr="00F853DD">
        <w:rPr>
          <w:rFonts w:ascii="Times" w:hAnsi="Times" w:cs="Times New Roman"/>
          <w:sz w:val="23"/>
          <w:szCs w:val="23"/>
        </w:rPr>
        <w:t xml:space="preserve">xplaining social relations from a multidisciplinary perspective. </w:t>
      </w:r>
      <w:r w:rsidR="00DF05BD" w:rsidRPr="00F853DD">
        <w:rPr>
          <w:rFonts w:ascii="Times" w:hAnsi="Times" w:cs="Times New Roman"/>
          <w:i/>
          <w:sz w:val="23"/>
          <w:szCs w:val="23"/>
        </w:rPr>
        <w:t>Gerontologist</w:t>
      </w:r>
      <w:r w:rsidR="002A2FE2"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54</w:t>
      </w:r>
      <w:r w:rsidR="002A2FE2" w:rsidRPr="00F853DD">
        <w:rPr>
          <w:rFonts w:ascii="Times" w:hAnsi="Times" w:cs="Times New Roman"/>
          <w:sz w:val="23"/>
          <w:szCs w:val="23"/>
        </w:rPr>
        <w:t>(1)</w:t>
      </w:r>
      <w:r w:rsidR="00DF05BD" w:rsidRPr="00F853DD">
        <w:rPr>
          <w:rFonts w:ascii="Times" w:hAnsi="Times" w:cs="Times New Roman"/>
          <w:sz w:val="23"/>
          <w:szCs w:val="23"/>
        </w:rPr>
        <w:t>, 82-92.</w:t>
      </w:r>
      <w:r w:rsidR="002A2FE2" w:rsidRPr="00F853DD">
        <w:rPr>
          <w:rFonts w:ascii="Times" w:hAnsi="Times" w:cs="Times New Roman"/>
          <w:sz w:val="23"/>
          <w:szCs w:val="23"/>
        </w:rPr>
        <w:t xml:space="preserve"> [Viewed </w:t>
      </w:r>
      <w:r w:rsidR="00C83631" w:rsidRPr="00F853DD">
        <w:rPr>
          <w:rFonts w:ascii="Times" w:hAnsi="Times" w:cs="Times New Roman"/>
          <w:sz w:val="23"/>
          <w:szCs w:val="23"/>
        </w:rPr>
        <w:t>19 October</w:t>
      </w:r>
      <w:r w:rsidR="002A2FE2" w:rsidRPr="00F853DD">
        <w:rPr>
          <w:rFonts w:ascii="Times" w:hAnsi="Times" w:cs="Times New Roman"/>
          <w:sz w:val="23"/>
          <w:szCs w:val="23"/>
        </w:rPr>
        <w:t xml:space="preserve"> 2017]. Available from:</w:t>
      </w:r>
      <w:r w:rsidR="00C83631" w:rsidRPr="00F853DD">
        <w:rPr>
          <w:rFonts w:ascii="Times" w:hAnsi="Times" w:cs="Times New Roman"/>
          <w:sz w:val="23"/>
          <w:szCs w:val="23"/>
        </w:rPr>
        <w:t xml:space="preserve"> https://doi.org/10.1093/geront/gnt118</w:t>
      </w:r>
    </w:p>
    <w:p w14:paraId="7927F74E" w14:textId="7D84D1B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American Psychological Association.</w:t>
      </w:r>
      <w:r w:rsidR="002A1C4E" w:rsidRPr="00F853DD">
        <w:rPr>
          <w:rFonts w:ascii="Times" w:hAnsi="Times" w:cs="Times New Roman"/>
          <w:sz w:val="23"/>
          <w:szCs w:val="23"/>
        </w:rPr>
        <w:t>,</w:t>
      </w:r>
      <w:r w:rsidRPr="00F853DD">
        <w:rPr>
          <w:rFonts w:ascii="Times" w:hAnsi="Times" w:cs="Times New Roman"/>
          <w:sz w:val="23"/>
          <w:szCs w:val="23"/>
        </w:rPr>
        <w:t xml:space="preserve"> (2016).</w:t>
      </w:r>
      <w:r w:rsidR="00C83631" w:rsidRPr="00F853DD">
        <w:rPr>
          <w:rFonts w:ascii="Times" w:hAnsi="Times" w:cs="Times New Roman"/>
          <w:sz w:val="23"/>
          <w:szCs w:val="23"/>
        </w:rPr>
        <w:t xml:space="preserve"> The road to resilience</w:t>
      </w:r>
      <w:r w:rsidRPr="00F853DD">
        <w:rPr>
          <w:rFonts w:ascii="Times" w:hAnsi="Times" w:cs="Times New Roman"/>
          <w:sz w:val="23"/>
          <w:szCs w:val="23"/>
        </w:rPr>
        <w:t xml:space="preserve">. </w:t>
      </w:r>
      <w:r w:rsidRPr="00F853DD">
        <w:rPr>
          <w:rFonts w:ascii="Times" w:hAnsi="Times" w:cs="Times New Roman"/>
          <w:i/>
          <w:sz w:val="23"/>
          <w:szCs w:val="23"/>
        </w:rPr>
        <w:t>Psychology Help Center</w:t>
      </w:r>
      <w:r w:rsidR="00C83631" w:rsidRPr="00F853DD">
        <w:rPr>
          <w:rFonts w:ascii="Times" w:hAnsi="Times" w:cs="Times New Roman"/>
          <w:sz w:val="23"/>
          <w:szCs w:val="23"/>
        </w:rPr>
        <w:t xml:space="preserve"> [online]</w:t>
      </w:r>
      <w:r w:rsidRPr="00F853DD">
        <w:rPr>
          <w:rFonts w:ascii="Times" w:hAnsi="Times" w:cs="Times New Roman"/>
          <w:sz w:val="23"/>
          <w:szCs w:val="23"/>
        </w:rPr>
        <w:t xml:space="preserve">. [Viewed 9 March 2016]. Available from: </w:t>
      </w:r>
      <w:hyperlink r:id="rId104" w:history="1">
        <w:r w:rsidRPr="00F853DD">
          <w:rPr>
            <w:rStyle w:val="Hyperlink"/>
            <w:rFonts w:ascii="Times" w:hAnsi="Times"/>
            <w:color w:val="auto"/>
            <w:sz w:val="23"/>
            <w:szCs w:val="23"/>
          </w:rPr>
          <w:t>http://www.apa.org/helpcenter/road-resilience.aspx</w:t>
        </w:r>
      </w:hyperlink>
      <w:r w:rsidRPr="00F853DD">
        <w:rPr>
          <w:rFonts w:ascii="Times" w:hAnsi="Times" w:cs="Times New Roman"/>
          <w:sz w:val="23"/>
          <w:szCs w:val="23"/>
        </w:rPr>
        <w:t xml:space="preserve"> </w:t>
      </w:r>
    </w:p>
    <w:p w14:paraId="7614C575" w14:textId="265BEA70" w:rsidR="009676B2" w:rsidRPr="00F853DD" w:rsidRDefault="00BF7831" w:rsidP="009676B2">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Aranda, M. and Knight, B.</w:t>
      </w:r>
      <w:r w:rsidR="002A1C4E" w:rsidRPr="00F853DD">
        <w:rPr>
          <w:rFonts w:ascii="Times" w:hAnsi="Times" w:cs="Times New Roman"/>
          <w:sz w:val="23"/>
          <w:szCs w:val="23"/>
        </w:rPr>
        <w:t>,</w:t>
      </w:r>
      <w:r w:rsidR="00DF05BD" w:rsidRPr="00F853DD">
        <w:rPr>
          <w:rFonts w:ascii="Times" w:hAnsi="Times" w:cs="Times New Roman"/>
          <w:sz w:val="23"/>
          <w:szCs w:val="23"/>
        </w:rPr>
        <w:t xml:space="preserve"> (1997). The influence of ethnicity and culture on the caregiver stress and coping process: </w:t>
      </w:r>
      <w:r w:rsidR="00EF3848" w:rsidRPr="00F853DD">
        <w:rPr>
          <w:rFonts w:ascii="Times" w:hAnsi="Times" w:cs="Times New Roman"/>
          <w:sz w:val="23"/>
          <w:szCs w:val="23"/>
        </w:rPr>
        <w:t>a</w:t>
      </w:r>
      <w:r w:rsidR="00DF05BD" w:rsidRPr="00F853DD">
        <w:rPr>
          <w:rFonts w:ascii="Times" w:hAnsi="Times" w:cs="Times New Roman"/>
          <w:sz w:val="23"/>
          <w:szCs w:val="23"/>
        </w:rPr>
        <w:t xml:space="preserve"> sociocultural review and analysis. </w:t>
      </w:r>
      <w:r w:rsidR="00DF05BD" w:rsidRPr="00F853DD">
        <w:rPr>
          <w:rFonts w:ascii="Times" w:hAnsi="Times" w:cs="Times New Roman"/>
          <w:i/>
          <w:sz w:val="23"/>
          <w:szCs w:val="23"/>
        </w:rPr>
        <w:t>Gerontologist</w:t>
      </w:r>
      <w:r w:rsidR="00C83631"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37</w:t>
      </w:r>
      <w:r w:rsidR="00C83631" w:rsidRPr="00F853DD">
        <w:rPr>
          <w:rFonts w:ascii="Times" w:hAnsi="Times" w:cs="Times New Roman"/>
          <w:sz w:val="23"/>
          <w:szCs w:val="23"/>
        </w:rPr>
        <w:t>(3)</w:t>
      </w:r>
      <w:r w:rsidR="00DF05BD" w:rsidRPr="00F853DD">
        <w:rPr>
          <w:rFonts w:ascii="Times" w:hAnsi="Times" w:cs="Times New Roman"/>
          <w:sz w:val="23"/>
          <w:szCs w:val="23"/>
        </w:rPr>
        <w:t>, 342-354.</w:t>
      </w:r>
      <w:r w:rsidR="009676B2" w:rsidRPr="00F853DD">
        <w:rPr>
          <w:rFonts w:ascii="Times" w:hAnsi="Times" w:cs="Times New Roman"/>
          <w:sz w:val="23"/>
          <w:szCs w:val="23"/>
        </w:rPr>
        <w:t xml:space="preserve"> [Viewed 19 </w:t>
      </w:r>
      <w:r w:rsidR="009676B2" w:rsidRPr="00F853DD">
        <w:rPr>
          <w:rFonts w:ascii="Times" w:hAnsi="Times" w:cs="Times New Roman"/>
          <w:sz w:val="23"/>
          <w:szCs w:val="23"/>
        </w:rPr>
        <w:lastRenderedPageBreak/>
        <w:t>November 2017]. Available from: https://academic-oup-com.sheffield.idm.oclc.org/gerontologist/article-pdf/37/3/342/2211307/37-3-342.pdf</w:t>
      </w:r>
    </w:p>
    <w:p w14:paraId="08349C0A" w14:textId="113F8DB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Arber, S. and Timonen, V.</w:t>
      </w:r>
      <w:r w:rsidR="002A1C4E"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Contemporary grandparenting [electronic resource]: Changing family relationships in global contexts</w:t>
      </w:r>
      <w:r w:rsidRPr="00F853DD">
        <w:rPr>
          <w:rFonts w:ascii="Times" w:hAnsi="Times" w:cs="Times New Roman"/>
          <w:sz w:val="23"/>
          <w:szCs w:val="23"/>
        </w:rPr>
        <w:t xml:space="preserve">. Bristol: Policy, p. </w:t>
      </w:r>
      <w:r w:rsidR="007F0387" w:rsidRPr="00F853DD">
        <w:rPr>
          <w:rFonts w:ascii="Times" w:hAnsi="Times" w:cs="Times New Roman"/>
          <w:sz w:val="23"/>
          <w:szCs w:val="23"/>
        </w:rPr>
        <w:t>1-24</w:t>
      </w:r>
      <w:r w:rsidRPr="00F853DD">
        <w:rPr>
          <w:rFonts w:ascii="Times" w:hAnsi="Times" w:cs="Times New Roman"/>
          <w:sz w:val="23"/>
          <w:szCs w:val="23"/>
        </w:rPr>
        <w:t>.</w:t>
      </w:r>
    </w:p>
    <w:p w14:paraId="6552D7B0" w14:textId="65249D78"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Archbold, P.</w:t>
      </w:r>
      <w:r w:rsidR="002A1C4E" w:rsidRPr="00F853DD">
        <w:rPr>
          <w:rFonts w:ascii="Times" w:hAnsi="Times" w:cs="Times New Roman"/>
          <w:sz w:val="23"/>
          <w:szCs w:val="23"/>
        </w:rPr>
        <w:t>,</w:t>
      </w:r>
      <w:r w:rsidR="00DF05BD" w:rsidRPr="00F853DD">
        <w:rPr>
          <w:rFonts w:ascii="Times" w:hAnsi="Times" w:cs="Times New Roman"/>
          <w:sz w:val="23"/>
          <w:szCs w:val="23"/>
        </w:rPr>
        <w:t xml:space="preserve"> (1980). Impact of parent caring on middle-aged offspring. </w:t>
      </w:r>
      <w:r w:rsidR="00DF05BD" w:rsidRPr="00F853DD">
        <w:rPr>
          <w:rFonts w:ascii="Times" w:hAnsi="Times" w:cs="Times New Roman"/>
          <w:i/>
          <w:sz w:val="23"/>
          <w:szCs w:val="23"/>
        </w:rPr>
        <w:t>Journal of gerontological nursing</w:t>
      </w:r>
      <w:r w:rsidR="00DF05BD" w:rsidRPr="00F853DD">
        <w:rPr>
          <w:rFonts w:ascii="Times" w:hAnsi="Times" w:cs="Times New Roman"/>
          <w:sz w:val="23"/>
          <w:szCs w:val="23"/>
        </w:rPr>
        <w:t xml:space="preserve">, </w:t>
      </w:r>
      <w:r w:rsidR="00DF05BD" w:rsidRPr="00F853DD">
        <w:rPr>
          <w:rFonts w:ascii="Times" w:hAnsi="Times" w:cs="Times New Roman"/>
          <w:b/>
          <w:sz w:val="23"/>
          <w:szCs w:val="23"/>
        </w:rPr>
        <w:t>6</w:t>
      </w:r>
      <w:r w:rsidR="007F0387" w:rsidRPr="00F853DD">
        <w:rPr>
          <w:rFonts w:ascii="Times" w:hAnsi="Times" w:cs="Times New Roman"/>
          <w:sz w:val="23"/>
          <w:szCs w:val="23"/>
        </w:rPr>
        <w:t>(2)</w:t>
      </w:r>
      <w:r w:rsidR="00DF05BD" w:rsidRPr="00F853DD">
        <w:rPr>
          <w:rFonts w:ascii="Times" w:hAnsi="Times" w:cs="Times New Roman"/>
          <w:sz w:val="23"/>
          <w:szCs w:val="23"/>
        </w:rPr>
        <w:t>, 79-85.</w:t>
      </w:r>
    </w:p>
    <w:p w14:paraId="362973A6" w14:textId="485B34C6"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Archbold, P., Stewart, B., Carter, J. and Lyons, K.</w:t>
      </w:r>
      <w:r w:rsidR="002A1C4E" w:rsidRPr="00F853DD">
        <w:rPr>
          <w:rFonts w:ascii="Times" w:hAnsi="Times" w:cs="Times New Roman"/>
          <w:sz w:val="23"/>
          <w:szCs w:val="23"/>
        </w:rPr>
        <w:t>,</w:t>
      </w:r>
      <w:r w:rsidR="00DF05BD" w:rsidRPr="00F853DD">
        <w:rPr>
          <w:rFonts w:ascii="Times" w:hAnsi="Times" w:cs="Times New Roman"/>
          <w:sz w:val="23"/>
          <w:szCs w:val="23"/>
        </w:rPr>
        <w:t xml:space="preserve"> (2006). Interventions to strengthen family care. </w:t>
      </w:r>
      <w:r w:rsidR="00DF05BD" w:rsidRPr="00F853DD">
        <w:rPr>
          <w:rFonts w:ascii="Times" w:hAnsi="Times" w:cs="Times New Roman"/>
          <w:i/>
          <w:sz w:val="23"/>
          <w:szCs w:val="23"/>
        </w:rPr>
        <w:t>Movement Disorders</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DF05BD" w:rsidRPr="00F853DD">
        <w:rPr>
          <w:rFonts w:ascii="Times" w:hAnsi="Times" w:cs="Times New Roman"/>
          <w:sz w:val="23"/>
          <w:szCs w:val="23"/>
        </w:rPr>
        <w:t>, S48-S48.</w:t>
      </w:r>
    </w:p>
    <w:p w14:paraId="6F4672AE" w14:textId="3C542BC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Arksey, H.</w:t>
      </w:r>
      <w:r w:rsidR="002A1C4E" w:rsidRPr="00F853DD">
        <w:rPr>
          <w:rFonts w:ascii="Times" w:hAnsi="Times" w:cs="Times New Roman"/>
          <w:sz w:val="23"/>
          <w:szCs w:val="23"/>
        </w:rPr>
        <w:t>,</w:t>
      </w:r>
      <w:r w:rsidRPr="00F853DD">
        <w:rPr>
          <w:rFonts w:ascii="Times" w:hAnsi="Times" w:cs="Times New Roman"/>
          <w:sz w:val="23"/>
          <w:szCs w:val="23"/>
        </w:rPr>
        <w:t xml:space="preserve"> (1996). Collecting data through joint interviews [online]. </w:t>
      </w:r>
      <w:r w:rsidRPr="00F853DD">
        <w:rPr>
          <w:rFonts w:ascii="Times" w:hAnsi="Times" w:cs="Times New Roman"/>
          <w:i/>
          <w:sz w:val="23"/>
          <w:szCs w:val="23"/>
        </w:rPr>
        <w:t>Social Research Update</w:t>
      </w:r>
      <w:r w:rsidRPr="00F853DD">
        <w:rPr>
          <w:rFonts w:ascii="Times" w:hAnsi="Times" w:cs="Times New Roman"/>
          <w:sz w:val="23"/>
          <w:szCs w:val="23"/>
        </w:rPr>
        <w:t xml:space="preserve">. [Viewed 26 February 2018]. Available from: http://sru.soc.surrey.ac.uk/SRU15.html </w:t>
      </w:r>
    </w:p>
    <w:p w14:paraId="7CAA7312" w14:textId="41B5C21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Arksey, H. and Morée, M.</w:t>
      </w:r>
      <w:r w:rsidR="002A1C4E" w:rsidRPr="00F853DD">
        <w:rPr>
          <w:rFonts w:ascii="Times" w:hAnsi="Times" w:cs="Times New Roman"/>
          <w:sz w:val="23"/>
          <w:szCs w:val="23"/>
        </w:rPr>
        <w:t>,</w:t>
      </w:r>
      <w:r w:rsidRPr="00F853DD">
        <w:rPr>
          <w:rFonts w:ascii="Times" w:hAnsi="Times" w:cs="Times New Roman"/>
          <w:sz w:val="23"/>
          <w:szCs w:val="23"/>
        </w:rPr>
        <w:t xml:space="preserve"> (2008). Supporting working carers: do policies in England and The Netherlands reflect ‘doulia rights’?. </w:t>
      </w:r>
      <w:r w:rsidRPr="00F853DD">
        <w:rPr>
          <w:rFonts w:ascii="Times" w:hAnsi="Times" w:cs="Times New Roman"/>
          <w:i/>
          <w:sz w:val="23"/>
          <w:szCs w:val="23"/>
        </w:rPr>
        <w:t>Health &amp; social care in the community</w:t>
      </w:r>
      <w:r w:rsidR="00822CEE"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(6), 649-657.</w:t>
      </w:r>
      <w:r w:rsidR="00822CEE" w:rsidRPr="00F853DD">
        <w:rPr>
          <w:rFonts w:ascii="Times" w:hAnsi="Times" w:cs="Times New Roman"/>
          <w:sz w:val="23"/>
          <w:szCs w:val="23"/>
        </w:rPr>
        <w:t xml:space="preserve"> [Viewed 3 January 2018]. Available from: doi: 10.1111/j.1365-2524.2008.00791.x</w:t>
      </w:r>
    </w:p>
    <w:p w14:paraId="320D6F1A" w14:textId="00BF5BD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Arman, M. and Rehnsfeldt, A.</w:t>
      </w:r>
      <w:r w:rsidR="002A1C4E" w:rsidRPr="00F853DD">
        <w:rPr>
          <w:rFonts w:ascii="Times" w:hAnsi="Times" w:cs="Times New Roman"/>
          <w:sz w:val="23"/>
          <w:szCs w:val="23"/>
        </w:rPr>
        <w:t>,</w:t>
      </w:r>
      <w:r w:rsidR="007E59D1" w:rsidRPr="00F853DD">
        <w:rPr>
          <w:rFonts w:ascii="Times" w:hAnsi="Times" w:cs="Times New Roman"/>
          <w:sz w:val="23"/>
          <w:szCs w:val="23"/>
        </w:rPr>
        <w:t xml:space="preserve"> (2007). The ‘little extra’</w:t>
      </w:r>
      <w:r w:rsidRPr="00F853DD">
        <w:rPr>
          <w:rFonts w:ascii="Times" w:hAnsi="Times" w:cs="Times New Roman"/>
          <w:sz w:val="23"/>
          <w:szCs w:val="23"/>
        </w:rPr>
        <w:t xml:space="preserve"> that alleviates suffering. </w:t>
      </w:r>
      <w:r w:rsidRPr="00F853DD">
        <w:rPr>
          <w:rFonts w:ascii="Times" w:hAnsi="Times" w:cs="Times New Roman"/>
          <w:i/>
          <w:sz w:val="23"/>
          <w:szCs w:val="23"/>
        </w:rPr>
        <w:t>Nursing Ethics</w:t>
      </w:r>
      <w:r w:rsidR="00AF77FC" w:rsidRPr="00F853DD">
        <w:t xml:space="preserve"> [online]</w:t>
      </w:r>
      <w:r w:rsidR="00AF77FC" w:rsidRPr="00F853DD">
        <w:rPr>
          <w:rFonts w:ascii="Times" w:hAnsi="Times" w:cs="Times New Roman"/>
          <w:sz w:val="23"/>
          <w:szCs w:val="23"/>
        </w:rPr>
        <w:t xml:space="preserve">. </w:t>
      </w:r>
      <w:r w:rsidRPr="00F853DD">
        <w:rPr>
          <w:rFonts w:ascii="Times" w:hAnsi="Times" w:cs="Times New Roman"/>
          <w:b/>
          <w:sz w:val="23"/>
          <w:szCs w:val="23"/>
        </w:rPr>
        <w:t>14</w:t>
      </w:r>
      <w:r w:rsidR="00AF77FC" w:rsidRPr="00F853DD">
        <w:rPr>
          <w:rFonts w:ascii="Times" w:hAnsi="Times" w:cs="Times New Roman"/>
          <w:sz w:val="23"/>
          <w:szCs w:val="23"/>
        </w:rPr>
        <w:t>(3)</w:t>
      </w:r>
      <w:r w:rsidRPr="00F853DD">
        <w:rPr>
          <w:rFonts w:ascii="Times" w:hAnsi="Times" w:cs="Times New Roman"/>
          <w:sz w:val="23"/>
          <w:szCs w:val="23"/>
        </w:rPr>
        <w:t>, 372-384.</w:t>
      </w:r>
      <w:r w:rsidR="00AF77FC" w:rsidRPr="00F853DD">
        <w:rPr>
          <w:rFonts w:ascii="Times" w:hAnsi="Times" w:cs="Times New Roman"/>
          <w:sz w:val="23"/>
          <w:szCs w:val="23"/>
        </w:rPr>
        <w:t xml:space="preserve"> [Viewed 19 September 2017]. Available from: doi: 10.1177/0969733007075877</w:t>
      </w:r>
    </w:p>
    <w:p w14:paraId="486C1222" w14:textId="70B74E0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Armit</w:t>
      </w:r>
      <w:r w:rsidR="007E59D1" w:rsidRPr="00F853DD">
        <w:rPr>
          <w:rFonts w:ascii="Times" w:hAnsi="Times" w:cs="Times New Roman"/>
          <w:sz w:val="23"/>
          <w:szCs w:val="23"/>
        </w:rPr>
        <w:t>age, D., Bene, C., Charles, A., Johnson, D. and Allison, E</w:t>
      </w:r>
      <w:r w:rsidRPr="00F853DD">
        <w:rPr>
          <w:rFonts w:ascii="Times" w:hAnsi="Times" w:cs="Times New Roman"/>
          <w:sz w:val="23"/>
          <w:szCs w:val="23"/>
        </w:rPr>
        <w:t>.</w:t>
      </w:r>
      <w:r w:rsidR="002A1C4E" w:rsidRPr="00F853DD">
        <w:rPr>
          <w:rFonts w:ascii="Times" w:hAnsi="Times" w:cs="Times New Roman"/>
          <w:sz w:val="23"/>
          <w:szCs w:val="23"/>
        </w:rPr>
        <w:t>,</w:t>
      </w:r>
      <w:r w:rsidRPr="00F853DD">
        <w:rPr>
          <w:rFonts w:ascii="Times" w:hAnsi="Times" w:cs="Times New Roman"/>
          <w:sz w:val="23"/>
          <w:szCs w:val="23"/>
        </w:rPr>
        <w:t xml:space="preserve"> (2012). The interplay of well-being and resilience in applying a social-ecological perspective. </w:t>
      </w:r>
      <w:r w:rsidRPr="00F853DD">
        <w:rPr>
          <w:rFonts w:ascii="Times" w:hAnsi="Times" w:cs="Times New Roman"/>
          <w:i/>
          <w:sz w:val="23"/>
          <w:szCs w:val="23"/>
        </w:rPr>
        <w:t>Ecology and Society</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17.</w:t>
      </w:r>
    </w:p>
    <w:p w14:paraId="75008C72" w14:textId="57F337BE"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Arneaud, M.</w:t>
      </w:r>
      <w:r w:rsidR="00DF05BD" w:rsidRPr="00F853DD">
        <w:rPr>
          <w:rFonts w:ascii="Times" w:hAnsi="Times" w:cs="Times New Roman"/>
          <w:sz w:val="23"/>
          <w:szCs w:val="23"/>
        </w:rPr>
        <w:t>, Alea, N. and Espinet, M.</w:t>
      </w:r>
      <w:r w:rsidR="002A1C4E" w:rsidRPr="00F853DD">
        <w:rPr>
          <w:rFonts w:ascii="Times" w:hAnsi="Times" w:cs="Times New Roman"/>
          <w:sz w:val="23"/>
          <w:szCs w:val="23"/>
        </w:rPr>
        <w:t>,</w:t>
      </w:r>
      <w:r w:rsidR="007E59D1" w:rsidRPr="00F853DD">
        <w:rPr>
          <w:rFonts w:ascii="Times" w:hAnsi="Times" w:cs="Times New Roman"/>
          <w:sz w:val="23"/>
          <w:szCs w:val="23"/>
        </w:rPr>
        <w:t xml:space="preserve"> (2016). Identity development in Trinidad: status differences by a</w:t>
      </w:r>
      <w:r w:rsidR="00DF05BD" w:rsidRPr="00F853DD">
        <w:rPr>
          <w:rFonts w:ascii="Times" w:hAnsi="Times" w:cs="Times New Roman"/>
          <w:sz w:val="23"/>
          <w:szCs w:val="23"/>
        </w:rPr>
        <w:t xml:space="preserve">ge, </w:t>
      </w:r>
      <w:r w:rsidR="007E59D1" w:rsidRPr="00F853DD">
        <w:rPr>
          <w:rFonts w:ascii="Times" w:hAnsi="Times" w:cs="Times New Roman"/>
          <w:sz w:val="23"/>
          <w:szCs w:val="23"/>
        </w:rPr>
        <w:t>adulthood transitions, and c</w:t>
      </w:r>
      <w:r w:rsidR="00DF05BD" w:rsidRPr="00F853DD">
        <w:rPr>
          <w:rFonts w:ascii="Times" w:hAnsi="Times" w:cs="Times New Roman"/>
          <w:sz w:val="23"/>
          <w:szCs w:val="23"/>
        </w:rPr>
        <w:t xml:space="preserve">ulture. </w:t>
      </w:r>
      <w:r w:rsidR="00DF05BD" w:rsidRPr="00F853DD">
        <w:rPr>
          <w:rFonts w:ascii="Times" w:hAnsi="Times" w:cs="Times New Roman"/>
          <w:i/>
          <w:sz w:val="23"/>
          <w:szCs w:val="23"/>
        </w:rPr>
        <w:t>Identity</w:t>
      </w:r>
      <w:r w:rsidR="00831E9D" w:rsidRPr="00F853DD">
        <w:rPr>
          <w:rFonts w:ascii="Times" w:hAnsi="Times" w:cs="Times New Roman"/>
          <w:i/>
          <w:sz w:val="23"/>
          <w:szCs w:val="23"/>
        </w:rPr>
        <w:t xml:space="preserve">: </w:t>
      </w:r>
      <w:r w:rsidR="00DF05BD" w:rsidRPr="00F853DD">
        <w:rPr>
          <w:rFonts w:ascii="Times" w:hAnsi="Times" w:cs="Times New Roman"/>
          <w:i/>
          <w:sz w:val="23"/>
          <w:szCs w:val="23"/>
        </w:rPr>
        <w:t>An International Journal of Theory and Research</w:t>
      </w:r>
      <w:r w:rsidR="00831E9D"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AF77FC" w:rsidRPr="00F853DD">
        <w:rPr>
          <w:rFonts w:ascii="Times" w:hAnsi="Times" w:cs="Times New Roman"/>
          <w:sz w:val="23"/>
          <w:szCs w:val="23"/>
        </w:rPr>
        <w:t>(1)</w:t>
      </w:r>
      <w:r w:rsidR="00831E9D" w:rsidRPr="00F853DD">
        <w:rPr>
          <w:rFonts w:ascii="Times" w:hAnsi="Times" w:cs="Times New Roman"/>
          <w:sz w:val="23"/>
          <w:szCs w:val="23"/>
        </w:rPr>
        <w:t>, 59-71. [Viewed 12 September 2017]. Available from: doi: 10.1080/15283488.2015.1121818</w:t>
      </w:r>
    </w:p>
    <w:p w14:paraId="3118F969" w14:textId="1D334C4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Aronson, J. and Neysmith, S.</w:t>
      </w:r>
      <w:r w:rsidR="002A1C4E" w:rsidRPr="00F853DD">
        <w:rPr>
          <w:rFonts w:ascii="Times" w:hAnsi="Times" w:cs="Times New Roman"/>
          <w:sz w:val="23"/>
          <w:szCs w:val="23"/>
        </w:rPr>
        <w:t>,</w:t>
      </w:r>
      <w:r w:rsidR="007E59D1" w:rsidRPr="00F853DD">
        <w:rPr>
          <w:rFonts w:ascii="Times" w:hAnsi="Times" w:cs="Times New Roman"/>
          <w:sz w:val="23"/>
          <w:szCs w:val="23"/>
        </w:rPr>
        <w:t xml:space="preserve"> (1997). The retreat of the state and long-term care p</w:t>
      </w:r>
      <w:r w:rsidRPr="00F853DD">
        <w:rPr>
          <w:rFonts w:ascii="Times" w:hAnsi="Times" w:cs="Times New Roman"/>
          <w:sz w:val="23"/>
          <w:szCs w:val="23"/>
        </w:rPr>
        <w:t xml:space="preserve">rovision: </w:t>
      </w:r>
      <w:r w:rsidR="007E59D1" w:rsidRPr="00F853DD">
        <w:rPr>
          <w:rFonts w:ascii="Times" w:hAnsi="Times" w:cs="Times New Roman"/>
          <w:sz w:val="23"/>
          <w:szCs w:val="23"/>
        </w:rPr>
        <w:t>implications for frail elderly people, unpaid family carers and paid home care w</w:t>
      </w:r>
      <w:r w:rsidRPr="00F853DD">
        <w:rPr>
          <w:rFonts w:ascii="Times" w:hAnsi="Times" w:cs="Times New Roman"/>
          <w:sz w:val="23"/>
          <w:szCs w:val="23"/>
        </w:rPr>
        <w:t>orkers</w:t>
      </w:r>
      <w:r w:rsidRPr="00F853DD">
        <w:rPr>
          <w:rFonts w:ascii="Times" w:hAnsi="Times" w:cs="Times New Roman"/>
          <w:i/>
          <w:sz w:val="23"/>
          <w:szCs w:val="23"/>
        </w:rPr>
        <w:t xml:space="preserve"> </w:t>
      </w:r>
      <w:r w:rsidRPr="00F853DD">
        <w:rPr>
          <w:rFonts w:ascii="Times" w:hAnsi="Times" w:cs="Times New Roman"/>
          <w:sz w:val="23"/>
          <w:szCs w:val="23"/>
        </w:rPr>
        <w:t xml:space="preserve">[online]. </w:t>
      </w:r>
      <w:r w:rsidRPr="00F853DD">
        <w:rPr>
          <w:rFonts w:ascii="Times" w:hAnsi="Times" w:cs="Times New Roman"/>
          <w:i/>
          <w:sz w:val="23"/>
          <w:szCs w:val="23"/>
        </w:rPr>
        <w:t>Studies in Political Economy: A Socialist Review</w:t>
      </w:r>
      <w:r w:rsidR="00AF77FC" w:rsidRPr="00F853DD">
        <w:rPr>
          <w:rFonts w:ascii="Times" w:hAnsi="Times" w:cs="Times New Roman"/>
          <w:sz w:val="23"/>
          <w:szCs w:val="23"/>
        </w:rPr>
        <w:t xml:space="preserve"> [online]</w:t>
      </w:r>
      <w:r w:rsidRPr="00F853DD">
        <w:rPr>
          <w:rFonts w:ascii="Times" w:hAnsi="Times" w:cs="Times New Roman"/>
          <w:i/>
          <w:sz w:val="23"/>
          <w:szCs w:val="23"/>
        </w:rPr>
        <w:t>.</w:t>
      </w:r>
      <w:r w:rsidRPr="00F853DD">
        <w:rPr>
          <w:rFonts w:ascii="Times" w:hAnsi="Times" w:cs="Times New Roman"/>
          <w:sz w:val="23"/>
          <w:szCs w:val="23"/>
        </w:rPr>
        <w:t xml:space="preserve"> [Viewed 18 May 2017]. Available from: </w:t>
      </w:r>
      <w:r w:rsidRPr="00F853DD">
        <w:rPr>
          <w:rFonts w:ascii="Times" w:hAnsi="Times"/>
          <w:sz w:val="23"/>
          <w:szCs w:val="23"/>
        </w:rPr>
        <w:t>http://www.tandfonline.com/loi/rsor20</w:t>
      </w:r>
      <w:r w:rsidRPr="00F853DD">
        <w:rPr>
          <w:rFonts w:ascii="Times" w:hAnsi="Times" w:cs="Times New Roman"/>
          <w:sz w:val="23"/>
          <w:szCs w:val="23"/>
        </w:rPr>
        <w:t xml:space="preserve"> </w:t>
      </w:r>
    </w:p>
    <w:p w14:paraId="3B6C6B84" w14:textId="2E583597" w:rsidR="00831E9D" w:rsidRPr="00F853DD" w:rsidRDefault="00831E9D" w:rsidP="00831E9D">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Aronson, J. and Neysmith, S., (1996). “You</w:t>
      </w:r>
      <w:r w:rsidR="007E59D1" w:rsidRPr="00F853DD">
        <w:rPr>
          <w:rFonts w:ascii="Times" w:hAnsi="Times" w:cs="Times New Roman"/>
          <w:sz w:val="23"/>
          <w:szCs w:val="23"/>
        </w:rPr>
        <w:t>’</w:t>
      </w:r>
      <w:r w:rsidRPr="00F853DD">
        <w:rPr>
          <w:rFonts w:ascii="Times" w:hAnsi="Times" w:cs="Times New Roman"/>
          <w:sz w:val="23"/>
          <w:szCs w:val="23"/>
        </w:rPr>
        <w:t>re not just in there to do the work”</w:t>
      </w:r>
      <w:r w:rsidR="007E59D1" w:rsidRPr="00F853DD">
        <w:rPr>
          <w:rFonts w:ascii="Times" w:hAnsi="Times" w:cs="Times New Roman"/>
          <w:sz w:val="23"/>
          <w:szCs w:val="23"/>
        </w:rPr>
        <w:t>: depersonalizing policies and the exploitation of home care workers’ l</w:t>
      </w:r>
      <w:r w:rsidRPr="00F853DD">
        <w:rPr>
          <w:rFonts w:ascii="Times" w:hAnsi="Times" w:cs="Times New Roman"/>
          <w:sz w:val="23"/>
          <w:szCs w:val="23"/>
        </w:rPr>
        <w:t xml:space="preserve">abor. </w:t>
      </w:r>
      <w:r w:rsidRPr="00F853DD">
        <w:rPr>
          <w:rFonts w:ascii="Times" w:hAnsi="Times" w:cs="Times New Roman"/>
          <w:i/>
          <w:sz w:val="23"/>
          <w:szCs w:val="23"/>
        </w:rPr>
        <w:t>Gender &amp; Society</w:t>
      </w:r>
      <w:r w:rsidR="007E59D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(1), 59-77.</w:t>
      </w:r>
      <w:r w:rsidR="00457AD6" w:rsidRPr="00F853DD">
        <w:rPr>
          <w:rFonts w:ascii="Times" w:hAnsi="Times" w:cs="Times New Roman"/>
          <w:sz w:val="23"/>
          <w:szCs w:val="23"/>
        </w:rPr>
        <w:t xml:space="preserve"> [Viewed 18 May 2017]. Available from: doi: 10.1177/089124396010001005</w:t>
      </w:r>
    </w:p>
    <w:p w14:paraId="3DEB5C24" w14:textId="08C587B5" w:rsidR="00233769" w:rsidRPr="00F853DD" w:rsidRDefault="00DF05BD" w:rsidP="00233769">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Aronson, J. and Neysmith, S.</w:t>
      </w:r>
      <w:r w:rsidR="002A1C4E" w:rsidRPr="00F853DD">
        <w:rPr>
          <w:rFonts w:ascii="Times" w:hAnsi="Times" w:cs="Times New Roman"/>
          <w:sz w:val="23"/>
          <w:szCs w:val="23"/>
        </w:rPr>
        <w:t>,</w:t>
      </w:r>
      <w:r w:rsidRPr="00F853DD">
        <w:rPr>
          <w:rFonts w:ascii="Times" w:hAnsi="Times" w:cs="Times New Roman"/>
          <w:sz w:val="23"/>
          <w:szCs w:val="23"/>
        </w:rPr>
        <w:t xml:space="preserve"> (1997). The retreat of the state</w:t>
      </w:r>
      <w:r w:rsidR="007E59D1" w:rsidRPr="00F853DD">
        <w:rPr>
          <w:rFonts w:ascii="Times" w:hAnsi="Times" w:cs="Times New Roman"/>
          <w:sz w:val="23"/>
          <w:szCs w:val="23"/>
        </w:rPr>
        <w:t xml:space="preserve"> and long-term care provision: i</w:t>
      </w:r>
      <w:r w:rsidRPr="00F853DD">
        <w:rPr>
          <w:rFonts w:ascii="Times" w:hAnsi="Times" w:cs="Times New Roman"/>
          <w:sz w:val="23"/>
          <w:szCs w:val="23"/>
        </w:rPr>
        <w:t xml:space="preserve">mplications for frail elderly people, unpaid family carers and paid home care workers. </w:t>
      </w:r>
      <w:r w:rsidRPr="00F853DD">
        <w:rPr>
          <w:rFonts w:ascii="Times" w:hAnsi="Times" w:cs="Times New Roman"/>
          <w:i/>
          <w:sz w:val="23"/>
          <w:szCs w:val="23"/>
        </w:rPr>
        <w:t>Studies in Political Economy</w:t>
      </w:r>
      <w:r w:rsidR="00233769"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53</w:t>
      </w:r>
      <w:r w:rsidRPr="00F853DD">
        <w:rPr>
          <w:rFonts w:ascii="Times" w:hAnsi="Times" w:cs="Times New Roman"/>
          <w:sz w:val="23"/>
          <w:szCs w:val="23"/>
        </w:rPr>
        <w:t>(1), 37-66.</w:t>
      </w:r>
      <w:r w:rsidR="00233769" w:rsidRPr="00F853DD">
        <w:rPr>
          <w:rFonts w:ascii="Times" w:hAnsi="Times" w:cs="Times New Roman"/>
          <w:sz w:val="23"/>
          <w:szCs w:val="23"/>
        </w:rPr>
        <w:t xml:space="preserve"> [Viewed 18 May 2017]. Available from: doi: 10.1080/19187033.1997.11675315</w:t>
      </w:r>
    </w:p>
    <w:p w14:paraId="425EB274" w14:textId="1157932D" w:rsidR="005B5CE3" w:rsidRPr="00F853DD" w:rsidRDefault="007E59D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Asiskovitch, S., 2013. The long-term care insurance p</w:t>
      </w:r>
      <w:r w:rsidR="005B5CE3" w:rsidRPr="00F853DD">
        <w:rPr>
          <w:rFonts w:ascii="Times" w:hAnsi="Times" w:cs="Times New Roman"/>
          <w:sz w:val="23"/>
          <w:szCs w:val="23"/>
        </w:rPr>
        <w:t xml:space="preserve">rogram in Israel: solidarity with the elderly in a changing society. </w:t>
      </w:r>
      <w:r w:rsidR="005B5CE3" w:rsidRPr="00F853DD">
        <w:rPr>
          <w:rFonts w:ascii="Times" w:hAnsi="Times" w:cs="Times New Roman"/>
          <w:i/>
          <w:sz w:val="23"/>
          <w:szCs w:val="23"/>
        </w:rPr>
        <w:t>Israel Journal of Health Policy Research</w:t>
      </w:r>
      <w:r w:rsidR="00A36937" w:rsidRPr="00F853DD">
        <w:rPr>
          <w:rFonts w:ascii="Times" w:hAnsi="Times" w:cs="Times New Roman"/>
          <w:sz w:val="23"/>
          <w:szCs w:val="23"/>
        </w:rPr>
        <w:t xml:space="preserve"> [online].</w:t>
      </w:r>
      <w:r w:rsidR="005B5CE3" w:rsidRPr="00F853DD">
        <w:rPr>
          <w:rFonts w:ascii="Times" w:hAnsi="Times" w:cs="Times New Roman"/>
          <w:sz w:val="23"/>
          <w:szCs w:val="23"/>
        </w:rPr>
        <w:t xml:space="preserve"> </w:t>
      </w:r>
      <w:r w:rsidR="005B5CE3" w:rsidRPr="00F853DD">
        <w:rPr>
          <w:rFonts w:ascii="Times" w:hAnsi="Times" w:cs="Times New Roman"/>
          <w:b/>
          <w:sz w:val="23"/>
          <w:szCs w:val="23"/>
        </w:rPr>
        <w:t>2</w:t>
      </w:r>
      <w:r w:rsidR="005B5CE3" w:rsidRPr="00F853DD">
        <w:rPr>
          <w:rFonts w:ascii="Times" w:hAnsi="Times" w:cs="Times New Roman"/>
          <w:sz w:val="23"/>
          <w:szCs w:val="23"/>
        </w:rPr>
        <w:t>(1), p.3.</w:t>
      </w:r>
      <w:r w:rsidR="00A36937" w:rsidRPr="00F853DD">
        <w:rPr>
          <w:rFonts w:ascii="Times" w:hAnsi="Times" w:cs="Times New Roman"/>
          <w:sz w:val="23"/>
          <w:szCs w:val="23"/>
        </w:rPr>
        <w:t xml:space="preserve"> [Viewed 18 May 2019]. Available from: doi:</w:t>
      </w:r>
      <w:r w:rsidR="001D775B" w:rsidRPr="00F853DD">
        <w:rPr>
          <w:rFonts w:ascii="Times" w:hAnsi="Times" w:cs="Times New Roman"/>
          <w:sz w:val="23"/>
          <w:szCs w:val="23"/>
        </w:rPr>
        <w:t xml:space="preserve"> 10.1186/2045-4015-2-3</w:t>
      </w:r>
    </w:p>
    <w:p w14:paraId="464BF158" w14:textId="277388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Atcha, F.</w:t>
      </w:r>
      <w:r w:rsidR="002A1C4E" w:rsidRPr="00F853DD">
        <w:rPr>
          <w:rFonts w:ascii="Times" w:hAnsi="Times" w:cs="Times New Roman"/>
          <w:sz w:val="23"/>
          <w:szCs w:val="23"/>
        </w:rPr>
        <w:t>,</w:t>
      </w:r>
      <w:r w:rsidRPr="00F853DD">
        <w:rPr>
          <w:rFonts w:ascii="Times" w:hAnsi="Times" w:cs="Times New Roman"/>
          <w:sz w:val="23"/>
          <w:szCs w:val="23"/>
        </w:rPr>
        <w:t xml:space="preserve"> (2018). Legislation supporting family caregivers in Canadian jurisdictions and selected international jurisdictions [online]. </w:t>
      </w:r>
      <w:r w:rsidRPr="00F853DD">
        <w:rPr>
          <w:rFonts w:ascii="Times" w:hAnsi="Times" w:cs="Times New Roman"/>
          <w:i/>
          <w:sz w:val="23"/>
          <w:szCs w:val="23"/>
        </w:rPr>
        <w:t>The Change Foundation.</w:t>
      </w:r>
    </w:p>
    <w:p w14:paraId="03A6CA07" w14:textId="294C9163" w:rsidR="003F0729" w:rsidRPr="00F853DD" w:rsidRDefault="00BF7831" w:rsidP="003F0729">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Atieno, O.</w:t>
      </w:r>
      <w:r w:rsidR="002A1C4E" w:rsidRPr="00F853DD">
        <w:rPr>
          <w:rFonts w:ascii="Times" w:hAnsi="Times" w:cs="Times New Roman"/>
          <w:sz w:val="23"/>
          <w:szCs w:val="23"/>
        </w:rPr>
        <w:t>,</w:t>
      </w:r>
      <w:r w:rsidR="00DF05BD" w:rsidRPr="00F853DD">
        <w:rPr>
          <w:rFonts w:ascii="Times" w:hAnsi="Times" w:cs="Times New Roman"/>
          <w:sz w:val="23"/>
          <w:szCs w:val="23"/>
        </w:rPr>
        <w:t xml:space="preserve"> (2009). An analysis of the strengths and limitation of qualitative and quantitative research paradigms. </w:t>
      </w:r>
      <w:r w:rsidR="00DF05BD" w:rsidRPr="00F853DD">
        <w:rPr>
          <w:rFonts w:ascii="Times" w:hAnsi="Times" w:cs="Times New Roman"/>
          <w:i/>
          <w:sz w:val="23"/>
          <w:szCs w:val="23"/>
        </w:rPr>
        <w:t>Problems of Education in the 21st Century</w:t>
      </w:r>
      <w:r w:rsidR="007A7ACC"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13</w:t>
      </w:r>
      <w:r w:rsidR="003F0729" w:rsidRPr="00F853DD">
        <w:rPr>
          <w:rFonts w:ascii="Times" w:hAnsi="Times" w:cs="Times New Roman"/>
          <w:sz w:val="23"/>
          <w:szCs w:val="23"/>
        </w:rPr>
        <w:t>(1), 13-38. [Viewed 26 February 2018]. Available from: http://www.scientiasocial/files/pdf/Atieno_Vol.13.pdf is.lt/pec/node</w:t>
      </w:r>
    </w:p>
    <w:p w14:paraId="61C3BD89" w14:textId="5462F221"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Atkinson, P.</w:t>
      </w:r>
      <w:r w:rsidR="00DF05BD" w:rsidRPr="00F853DD">
        <w:rPr>
          <w:rFonts w:ascii="Times" w:hAnsi="Times" w:cs="Times New Roman"/>
          <w:sz w:val="23"/>
          <w:szCs w:val="23"/>
        </w:rPr>
        <w:t>, Martin</w:t>
      </w:r>
      <w:r w:rsidRPr="00F853DD">
        <w:rPr>
          <w:rFonts w:ascii="Times" w:hAnsi="Times" w:cs="Times New Roman"/>
          <w:sz w:val="23"/>
          <w:szCs w:val="23"/>
        </w:rPr>
        <w:t>, C.</w:t>
      </w:r>
      <w:r w:rsidR="00DF05BD" w:rsidRPr="00F853DD">
        <w:rPr>
          <w:rFonts w:ascii="Times" w:hAnsi="Times" w:cs="Times New Roman"/>
          <w:sz w:val="23"/>
          <w:szCs w:val="23"/>
        </w:rPr>
        <w:t xml:space="preserve"> and Rankin, J. (2009). Resilience revisited. </w:t>
      </w:r>
      <w:r w:rsidR="00DF05BD" w:rsidRPr="00F853DD">
        <w:rPr>
          <w:rFonts w:ascii="Times" w:hAnsi="Times" w:cs="Times New Roman"/>
          <w:i/>
          <w:sz w:val="23"/>
          <w:szCs w:val="23"/>
        </w:rPr>
        <w:t>Journal of Psychiatric and Mental Health Nursing</w:t>
      </w:r>
      <w:r w:rsidR="007A7ACC" w:rsidRPr="00F853DD">
        <w:rPr>
          <w:rFonts w:ascii="Times" w:hAnsi="Times" w:cs="Times New Roman"/>
          <w:sz w:val="23"/>
          <w:szCs w:val="23"/>
        </w:rPr>
        <w:t xml:space="preserve"> [online].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3F0729" w:rsidRPr="00F853DD">
        <w:rPr>
          <w:rFonts w:ascii="Times" w:hAnsi="Times" w:cs="Times New Roman"/>
          <w:sz w:val="23"/>
          <w:szCs w:val="23"/>
        </w:rPr>
        <w:t>(2)</w:t>
      </w:r>
      <w:r w:rsidR="00DF05BD" w:rsidRPr="00F853DD">
        <w:rPr>
          <w:rFonts w:ascii="Times" w:hAnsi="Times" w:cs="Times New Roman"/>
          <w:sz w:val="23"/>
          <w:szCs w:val="23"/>
        </w:rPr>
        <w:t>, 137-145.</w:t>
      </w:r>
      <w:r w:rsidR="003F0729" w:rsidRPr="00F853DD">
        <w:rPr>
          <w:rFonts w:ascii="Times" w:hAnsi="Times" w:cs="Times New Roman"/>
          <w:sz w:val="23"/>
          <w:szCs w:val="23"/>
        </w:rPr>
        <w:t xml:space="preserve"> [Viewed 26 February 2018]. Available from:</w:t>
      </w:r>
      <w:r w:rsidR="00556585" w:rsidRPr="00F853DD">
        <w:rPr>
          <w:rFonts w:ascii="Times" w:hAnsi="Times" w:cs="Times New Roman"/>
          <w:sz w:val="23"/>
          <w:szCs w:val="23"/>
        </w:rPr>
        <w:t xml:space="preserve"> doi: 10.1111/j.1365-2850.2008.01341.x</w:t>
      </w:r>
    </w:p>
    <w:p w14:paraId="2D4B11BA" w14:textId="3CDC974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Attree, M.</w:t>
      </w:r>
      <w:r w:rsidR="002A1C4E" w:rsidRPr="00F853DD">
        <w:rPr>
          <w:rFonts w:ascii="Times" w:hAnsi="Times" w:cs="Times New Roman"/>
          <w:sz w:val="23"/>
          <w:szCs w:val="23"/>
        </w:rPr>
        <w:t>,</w:t>
      </w:r>
      <w:r w:rsidRPr="00F853DD">
        <w:rPr>
          <w:rFonts w:ascii="Times" w:hAnsi="Times" w:cs="Times New Roman"/>
          <w:sz w:val="23"/>
          <w:szCs w:val="23"/>
        </w:rPr>
        <w:t xml:space="preserve"> (2001). Patients' and relatives' e</w:t>
      </w:r>
      <w:r w:rsidR="007E59D1" w:rsidRPr="00F853DD">
        <w:rPr>
          <w:rFonts w:ascii="Times" w:hAnsi="Times" w:cs="Times New Roman"/>
          <w:sz w:val="23"/>
          <w:szCs w:val="23"/>
        </w:rPr>
        <w:t>xperiences and perspectives of ‘Good’ and ‘Not so Good’</w:t>
      </w:r>
      <w:r w:rsidRPr="00F853DD">
        <w:rPr>
          <w:rFonts w:ascii="Times" w:hAnsi="Times" w:cs="Times New Roman"/>
          <w:sz w:val="23"/>
          <w:szCs w:val="23"/>
        </w:rPr>
        <w:t xml:space="preserve"> quality care. </w:t>
      </w:r>
      <w:r w:rsidRPr="00F853DD">
        <w:rPr>
          <w:rFonts w:ascii="Times" w:hAnsi="Times" w:cs="Times New Roman"/>
          <w:i/>
          <w:sz w:val="23"/>
          <w:szCs w:val="23"/>
        </w:rPr>
        <w:t>Journal of Advanced Nursing</w:t>
      </w:r>
      <w:r w:rsidR="007A7ACC"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33</w:t>
      </w:r>
      <w:r w:rsidR="007A7ACC" w:rsidRPr="00F853DD">
        <w:rPr>
          <w:rFonts w:ascii="Times" w:hAnsi="Times" w:cs="Times New Roman"/>
          <w:sz w:val="23"/>
          <w:szCs w:val="23"/>
        </w:rPr>
        <w:t>(4)</w:t>
      </w:r>
      <w:r w:rsidRPr="00F853DD">
        <w:rPr>
          <w:rFonts w:ascii="Times" w:hAnsi="Times" w:cs="Times New Roman"/>
          <w:sz w:val="23"/>
          <w:szCs w:val="23"/>
        </w:rPr>
        <w:t>, 456-466.</w:t>
      </w:r>
      <w:r w:rsidR="00B67051" w:rsidRPr="00F853DD">
        <w:rPr>
          <w:rFonts w:ascii="Times" w:hAnsi="Times" w:cs="Times New Roman"/>
          <w:sz w:val="23"/>
          <w:szCs w:val="23"/>
        </w:rPr>
        <w:t xml:space="preserve"> [Viewed 18 September 2017]. Available from: doi: 10.1046/j.1365-2648.2001.01689.x</w:t>
      </w:r>
    </w:p>
    <w:p w14:paraId="2F1A58F9" w14:textId="49C5B72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Ayalon, L. and Green, O.</w:t>
      </w:r>
      <w:r w:rsidR="002A1C4E" w:rsidRPr="00F853DD">
        <w:rPr>
          <w:rFonts w:ascii="Times" w:hAnsi="Times" w:cs="Times New Roman"/>
          <w:sz w:val="23"/>
          <w:szCs w:val="23"/>
        </w:rPr>
        <w:t>,</w:t>
      </w:r>
      <w:r w:rsidRPr="00F853DD">
        <w:rPr>
          <w:rFonts w:ascii="Times" w:hAnsi="Times" w:cs="Times New Roman"/>
          <w:sz w:val="23"/>
          <w:szCs w:val="23"/>
        </w:rPr>
        <w:t xml:space="preserve"> (2015). Live-in versus live-out home care in Israel: satisfaction with services and caregivers' outcomes. </w:t>
      </w:r>
      <w:r w:rsidRPr="00F853DD">
        <w:rPr>
          <w:rFonts w:ascii="Times" w:hAnsi="Times" w:cs="Times New Roman"/>
          <w:i/>
          <w:sz w:val="23"/>
          <w:szCs w:val="23"/>
        </w:rPr>
        <w:t>Gerontologist</w:t>
      </w:r>
      <w:r w:rsidR="0025720D" w:rsidRPr="00F853DD">
        <w:rPr>
          <w:rFonts w:ascii="Times" w:hAnsi="Times" w:cs="Times New Roman"/>
          <w:i/>
          <w:sz w:val="23"/>
          <w:szCs w:val="23"/>
        </w:rPr>
        <w:t xml:space="preserve"> </w:t>
      </w:r>
      <w:r w:rsidR="0025720D" w:rsidRPr="00F853DD">
        <w:rPr>
          <w:rFonts w:ascii="Times" w:hAnsi="Times" w:cs="Times New Roman"/>
          <w:sz w:val="23"/>
          <w:szCs w:val="23"/>
        </w:rPr>
        <w:t>[online]. </w:t>
      </w:r>
      <w:r w:rsidRPr="00F853DD">
        <w:rPr>
          <w:rFonts w:ascii="Times" w:hAnsi="Times" w:cs="Times New Roman"/>
          <w:sz w:val="23"/>
          <w:szCs w:val="23"/>
        </w:rPr>
        <w:t xml:space="preserve"> </w:t>
      </w:r>
      <w:r w:rsidRPr="00F853DD">
        <w:rPr>
          <w:rFonts w:ascii="Times" w:hAnsi="Times" w:cs="Times New Roman"/>
          <w:b/>
          <w:sz w:val="23"/>
          <w:szCs w:val="23"/>
        </w:rPr>
        <w:t>55</w:t>
      </w:r>
      <w:r w:rsidR="0025720D" w:rsidRPr="00F853DD">
        <w:rPr>
          <w:rFonts w:ascii="Times" w:hAnsi="Times" w:cs="Times New Roman"/>
          <w:sz w:val="23"/>
          <w:szCs w:val="23"/>
        </w:rPr>
        <w:t>(4)</w:t>
      </w:r>
      <w:r w:rsidRPr="00F853DD">
        <w:rPr>
          <w:rFonts w:ascii="Times" w:hAnsi="Times" w:cs="Times New Roman"/>
          <w:sz w:val="23"/>
          <w:szCs w:val="23"/>
        </w:rPr>
        <w:t>, 628-642.</w:t>
      </w:r>
      <w:r w:rsidR="0025720D" w:rsidRPr="00F853DD">
        <w:rPr>
          <w:rFonts w:ascii="Times" w:hAnsi="Times" w:cs="Times New Roman"/>
          <w:sz w:val="23"/>
          <w:szCs w:val="23"/>
        </w:rPr>
        <w:t xml:space="preserve"> [Viewed 19 September 2017]. Available from: https://doi-org.sheffield.idm.oclc.org/10.1093/geront/gnt122</w:t>
      </w:r>
    </w:p>
    <w:p w14:paraId="20D413E9" w14:textId="4FB8B35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Baars, J., Dannefer, D., Phillipson, C., Walker, A. and Baars, J.</w:t>
      </w:r>
      <w:r w:rsidR="002A1C4E"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Aging, globalization and inequality: the new critical gerontology</w:t>
      </w:r>
      <w:r w:rsidRPr="00F853DD">
        <w:rPr>
          <w:rFonts w:ascii="Times" w:hAnsi="Times" w:cs="Times New Roman"/>
          <w:sz w:val="23"/>
          <w:szCs w:val="23"/>
        </w:rPr>
        <w:t>, London: Routledge, Taylor and Francis Group.</w:t>
      </w:r>
    </w:p>
    <w:p w14:paraId="030CA81E" w14:textId="6C84FE4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Babitsch, B., Gohl, D. and Von Lengerke, T.</w:t>
      </w:r>
      <w:r w:rsidR="002A1C4E" w:rsidRPr="00F853DD">
        <w:rPr>
          <w:rFonts w:ascii="Times" w:hAnsi="Times" w:cs="Times New Roman"/>
          <w:sz w:val="23"/>
          <w:szCs w:val="23"/>
          <w:lang w:val="de-DE"/>
        </w:rPr>
        <w:t>,</w:t>
      </w:r>
      <w:r w:rsidRPr="00F853DD">
        <w:rPr>
          <w:rFonts w:ascii="Times" w:hAnsi="Times" w:cs="Times New Roman"/>
          <w:sz w:val="23"/>
          <w:szCs w:val="23"/>
          <w:lang w:val="de-DE"/>
        </w:rPr>
        <w:t xml:space="preserve"> (2012). </w:t>
      </w:r>
      <w:r w:rsidRPr="00F853DD">
        <w:rPr>
          <w:rFonts w:ascii="Times" w:hAnsi="Times" w:cs="Times New Roman"/>
          <w:sz w:val="23"/>
          <w:szCs w:val="23"/>
        </w:rPr>
        <w:t xml:space="preserve">Re-revisiting Andersen's Behavioral Model of Health Services Use: a systematic review of studies from 1998-2011. </w:t>
      </w:r>
      <w:r w:rsidRPr="00F853DD">
        <w:rPr>
          <w:rFonts w:ascii="Times" w:hAnsi="Times" w:cs="Times New Roman"/>
          <w:i/>
          <w:sz w:val="23"/>
          <w:szCs w:val="23"/>
        </w:rPr>
        <w:t>Psycho-social medicine</w:t>
      </w:r>
      <w:r w:rsidR="0025720D"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 Doc11.</w:t>
      </w:r>
      <w:r w:rsidR="0025720D" w:rsidRPr="00F853DD">
        <w:rPr>
          <w:rFonts w:ascii="Times" w:hAnsi="Times" w:cs="Times New Roman"/>
          <w:sz w:val="23"/>
          <w:szCs w:val="23"/>
        </w:rPr>
        <w:t xml:space="preserve"> [Viewed 10 September 2017]. Available from:</w:t>
      </w:r>
      <w:r w:rsidR="0025720D" w:rsidRPr="00F853DD">
        <w:t xml:space="preserve"> </w:t>
      </w:r>
      <w:r w:rsidR="0025720D" w:rsidRPr="00F853DD">
        <w:rPr>
          <w:rFonts w:ascii="Times" w:hAnsi="Times" w:cs="Times New Roman"/>
          <w:sz w:val="23"/>
          <w:szCs w:val="23"/>
        </w:rPr>
        <w:t xml:space="preserve">10.3205/psm000089 </w:t>
      </w:r>
    </w:p>
    <w:p w14:paraId="5043D2FB" w14:textId="13DE1E28" w:rsidR="00C35491" w:rsidRPr="00F853DD" w:rsidRDefault="00C35491" w:rsidP="00E1694A">
      <w:pPr>
        <w:autoSpaceDE w:val="0"/>
        <w:autoSpaceDN w:val="0"/>
        <w:adjustRightInd w:val="0"/>
        <w:spacing w:line="240" w:lineRule="auto"/>
        <w:ind w:left="567" w:hanging="567"/>
        <w:rPr>
          <w:rFonts w:ascii="Times New Roman" w:hAnsi="Times New Roman" w:cs="Times New Roman"/>
          <w:sz w:val="23"/>
          <w:szCs w:val="23"/>
        </w:rPr>
      </w:pPr>
      <w:r w:rsidRPr="00F853DD">
        <w:rPr>
          <w:rFonts w:ascii="Times New Roman" w:hAnsi="Times New Roman" w:cs="Times New Roman"/>
          <w:sz w:val="23"/>
          <w:szCs w:val="23"/>
          <w:lang w:val="en"/>
        </w:rPr>
        <w:t>Baboolal, Y., (2011). Govt to grant 35 schols in health and social work.</w:t>
      </w:r>
      <w:r w:rsidRPr="00F853DD">
        <w:rPr>
          <w:rStyle w:val="Emphasis"/>
          <w:rFonts w:ascii="Times New Roman" w:hAnsi="Times New Roman" w:cs="Times New Roman"/>
          <w:sz w:val="23"/>
          <w:szCs w:val="23"/>
          <w:lang w:val="en"/>
        </w:rPr>
        <w:t xml:space="preserve"> T&amp;T Guardian</w:t>
      </w:r>
      <w:r w:rsidRPr="00F853DD">
        <w:rPr>
          <w:rFonts w:ascii="Times New Roman" w:hAnsi="Times New Roman" w:cs="Times New Roman"/>
          <w:sz w:val="23"/>
          <w:szCs w:val="23"/>
          <w:lang w:val="en"/>
        </w:rPr>
        <w:t xml:space="preserve"> [online]. 4 January 2020. Updated 18 August 2011. [Viewed 4 January 2020]. Available from: https://guardian.co.tt/news/govt-grant-35-schols-health-and-social-work-6.2.448833.9f9ea2be62</w:t>
      </w:r>
    </w:p>
    <w:p w14:paraId="179A2B8B" w14:textId="2845FF1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Bachner, F., Bobek, J., Habimana, K., Ladurner, J., Lepuschutz, L., Ostermann, H., Rainer, L., Schmidt, A., Zuba, M., Quentin, W. and Winkelmann, J.</w:t>
      </w:r>
      <w:r w:rsidR="002A1C4E" w:rsidRPr="00F853DD">
        <w:rPr>
          <w:rFonts w:ascii="Times" w:hAnsi="Times" w:cs="Times New Roman"/>
          <w:sz w:val="23"/>
          <w:szCs w:val="23"/>
          <w:lang w:val="de-DE"/>
        </w:rPr>
        <w:t>,</w:t>
      </w:r>
      <w:r w:rsidRPr="00F853DD">
        <w:rPr>
          <w:rFonts w:ascii="Times" w:hAnsi="Times" w:cs="Times New Roman"/>
          <w:sz w:val="23"/>
          <w:szCs w:val="23"/>
          <w:lang w:val="de-DE"/>
        </w:rPr>
        <w:t xml:space="preserve"> (2018). </w:t>
      </w:r>
      <w:r w:rsidRPr="00F853DD">
        <w:rPr>
          <w:rFonts w:ascii="Times" w:hAnsi="Times" w:cs="Times New Roman"/>
          <w:sz w:val="23"/>
          <w:szCs w:val="23"/>
        </w:rPr>
        <w:t xml:space="preserve">Austria: Health System Review. </w:t>
      </w:r>
      <w:r w:rsidRPr="00F853DD">
        <w:rPr>
          <w:rFonts w:ascii="Times" w:hAnsi="Times" w:cs="Times New Roman"/>
          <w:i/>
          <w:sz w:val="23"/>
          <w:szCs w:val="23"/>
        </w:rPr>
        <w:t>Health systems in transition</w:t>
      </w:r>
      <w:r w:rsidR="0025720D"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xml:space="preserve">(3), 1-254. [Viewed 17 November 2019]. Available from: http://www.euro.who.int/__data/assets/pdf_file/0009/382167/hit-austria-eng.pdf?ua=1 </w:t>
      </w:r>
    </w:p>
    <w:p w14:paraId="10852029" w14:textId="0414E0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Backhaus, P. (Ed.).</w:t>
      </w:r>
      <w:r w:rsidR="002A1C4E" w:rsidRPr="00F853DD">
        <w:rPr>
          <w:rFonts w:ascii="Times" w:hAnsi="Times" w:cs="Times New Roman"/>
          <w:sz w:val="23"/>
          <w:szCs w:val="23"/>
        </w:rPr>
        <w:t>,</w:t>
      </w:r>
      <w:r w:rsidRPr="00F853DD">
        <w:rPr>
          <w:rFonts w:ascii="Times" w:hAnsi="Times" w:cs="Times New Roman"/>
          <w:sz w:val="23"/>
          <w:szCs w:val="23"/>
        </w:rPr>
        <w:t xml:space="preserve"> (2011). </w:t>
      </w:r>
      <w:r w:rsidR="007E59D1" w:rsidRPr="00F853DD">
        <w:rPr>
          <w:rFonts w:ascii="Times" w:hAnsi="Times" w:cs="Times New Roman"/>
          <w:sz w:val="23"/>
          <w:szCs w:val="23"/>
        </w:rPr>
        <w:t>Communication in elderly care: c</w:t>
      </w:r>
      <w:r w:rsidRPr="00F853DD">
        <w:rPr>
          <w:rFonts w:ascii="Times" w:hAnsi="Times" w:cs="Times New Roman"/>
          <w:sz w:val="23"/>
          <w:szCs w:val="23"/>
        </w:rPr>
        <w:t xml:space="preserve">ross-cultural perspectives. Bloomsbury Publishing. </w:t>
      </w:r>
    </w:p>
    <w:p w14:paraId="5E2F72E6" w14:textId="61E48D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Bagshaw, D., Adams, V., Zannettino, L. and Wendt, S.</w:t>
      </w:r>
      <w:r w:rsidR="002A1C4E" w:rsidRPr="00F853DD">
        <w:rPr>
          <w:rFonts w:ascii="Times" w:hAnsi="Times" w:cs="Times New Roman"/>
          <w:sz w:val="23"/>
          <w:szCs w:val="23"/>
        </w:rPr>
        <w:t>,</w:t>
      </w:r>
      <w:r w:rsidRPr="00F853DD">
        <w:rPr>
          <w:rFonts w:ascii="Times" w:hAnsi="Times" w:cs="Times New Roman"/>
          <w:sz w:val="23"/>
          <w:szCs w:val="23"/>
        </w:rPr>
        <w:t xml:space="preserve"> (2015). Elder mediation and the financial abuse of older people by a family member. </w:t>
      </w:r>
      <w:r w:rsidRPr="00F853DD">
        <w:rPr>
          <w:rFonts w:ascii="Times" w:hAnsi="Times" w:cs="Times New Roman"/>
          <w:i/>
          <w:sz w:val="23"/>
          <w:szCs w:val="23"/>
        </w:rPr>
        <w:t>Conflict Resolution Quarterly</w:t>
      </w:r>
      <w:r w:rsidR="0025720D" w:rsidRPr="00F853DD">
        <w:rPr>
          <w:rFonts w:ascii="Times" w:hAnsi="Times" w:cs="Times New Roman"/>
          <w:i/>
          <w:sz w:val="23"/>
          <w:szCs w:val="23"/>
        </w:rPr>
        <w:t xml:space="preserve"> </w:t>
      </w:r>
      <w:r w:rsidR="0025720D" w:rsidRPr="00F853DD">
        <w:rPr>
          <w:rFonts w:ascii="Times" w:hAnsi="Times" w:cs="Times New Roman"/>
          <w:sz w:val="23"/>
          <w:szCs w:val="23"/>
        </w:rPr>
        <w:t xml:space="preserve">[online]. </w:t>
      </w:r>
      <w:r w:rsidRPr="00F853DD">
        <w:rPr>
          <w:rFonts w:ascii="Times" w:hAnsi="Times" w:cs="Times New Roman"/>
          <w:sz w:val="23"/>
          <w:szCs w:val="23"/>
        </w:rPr>
        <w:t xml:space="preserve"> </w:t>
      </w:r>
      <w:r w:rsidRPr="00F853DD">
        <w:rPr>
          <w:rFonts w:ascii="Times" w:hAnsi="Times" w:cs="Times New Roman"/>
          <w:b/>
          <w:sz w:val="23"/>
          <w:szCs w:val="23"/>
        </w:rPr>
        <w:t>32</w:t>
      </w:r>
      <w:r w:rsidR="0025720D" w:rsidRPr="00F853DD">
        <w:rPr>
          <w:rFonts w:ascii="Times" w:hAnsi="Times" w:cs="Times New Roman"/>
          <w:sz w:val="23"/>
          <w:szCs w:val="23"/>
        </w:rPr>
        <w:t>(4)</w:t>
      </w:r>
      <w:r w:rsidRPr="00F853DD">
        <w:rPr>
          <w:rFonts w:ascii="Times" w:hAnsi="Times" w:cs="Times New Roman"/>
          <w:sz w:val="23"/>
          <w:szCs w:val="23"/>
        </w:rPr>
        <w:t>, 443-480.</w:t>
      </w:r>
      <w:r w:rsidR="0025720D" w:rsidRPr="00F853DD">
        <w:rPr>
          <w:rFonts w:ascii="Times" w:hAnsi="Times" w:cs="Times New Roman"/>
          <w:sz w:val="23"/>
          <w:szCs w:val="23"/>
        </w:rPr>
        <w:t xml:space="preserve"> [Viewed </w:t>
      </w:r>
      <w:r w:rsidR="00656510" w:rsidRPr="00F853DD">
        <w:rPr>
          <w:rFonts w:ascii="Times" w:hAnsi="Times" w:cs="Times New Roman"/>
          <w:sz w:val="23"/>
          <w:szCs w:val="23"/>
        </w:rPr>
        <w:t>3 February</w:t>
      </w:r>
      <w:r w:rsidR="0025720D" w:rsidRPr="00F853DD">
        <w:rPr>
          <w:rFonts w:ascii="Times" w:hAnsi="Times" w:cs="Times New Roman"/>
          <w:sz w:val="23"/>
          <w:szCs w:val="23"/>
        </w:rPr>
        <w:t xml:space="preserve"> 201</w:t>
      </w:r>
      <w:r w:rsidR="00656510" w:rsidRPr="00F853DD">
        <w:rPr>
          <w:rFonts w:ascii="Times" w:hAnsi="Times" w:cs="Times New Roman"/>
          <w:sz w:val="23"/>
          <w:szCs w:val="23"/>
        </w:rPr>
        <w:t>6</w:t>
      </w:r>
      <w:r w:rsidR="0025720D" w:rsidRPr="00F853DD">
        <w:rPr>
          <w:rFonts w:ascii="Times" w:hAnsi="Times" w:cs="Times New Roman"/>
          <w:sz w:val="23"/>
          <w:szCs w:val="23"/>
        </w:rPr>
        <w:t>]. Available from:</w:t>
      </w:r>
      <w:r w:rsidR="00656510" w:rsidRPr="00F853DD">
        <w:rPr>
          <w:rFonts w:ascii="Times" w:hAnsi="Times" w:cs="Times New Roman"/>
          <w:sz w:val="23"/>
          <w:szCs w:val="23"/>
        </w:rPr>
        <w:t xml:space="preserve"> doi: 10.1002/crq.21117</w:t>
      </w:r>
    </w:p>
    <w:p w14:paraId="5D57CF9F" w14:textId="16CAF4C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Bagshaw, D., Wendt, S., Zannettino, L. and Adams, V.</w:t>
      </w:r>
      <w:r w:rsidR="002A1C4E" w:rsidRPr="00F853DD">
        <w:rPr>
          <w:rFonts w:ascii="Times" w:hAnsi="Times" w:cs="Times New Roman"/>
          <w:sz w:val="23"/>
          <w:szCs w:val="23"/>
        </w:rPr>
        <w:t>,</w:t>
      </w:r>
      <w:r w:rsidRPr="00F853DD">
        <w:rPr>
          <w:rFonts w:ascii="Times" w:hAnsi="Times" w:cs="Times New Roman"/>
          <w:sz w:val="23"/>
          <w:szCs w:val="23"/>
        </w:rPr>
        <w:t xml:space="preserve"> (2013). Financial abuse of older people by family members: views and experiences of older Australians and their family members. </w:t>
      </w:r>
      <w:r w:rsidRPr="00F853DD">
        <w:rPr>
          <w:rFonts w:ascii="Times" w:hAnsi="Times" w:cs="Times New Roman"/>
          <w:i/>
          <w:sz w:val="23"/>
          <w:szCs w:val="23"/>
        </w:rPr>
        <w:t>Australian Social Work</w:t>
      </w:r>
      <w:r w:rsidRPr="00F853DD">
        <w:rPr>
          <w:rFonts w:ascii="Times" w:hAnsi="Times" w:cs="Times New Roman"/>
          <w:sz w:val="23"/>
          <w:szCs w:val="23"/>
        </w:rPr>
        <w:t xml:space="preserve">, </w:t>
      </w:r>
      <w:r w:rsidRPr="00F853DD">
        <w:rPr>
          <w:rFonts w:ascii="Times" w:hAnsi="Times" w:cs="Times New Roman"/>
          <w:b/>
          <w:sz w:val="23"/>
          <w:szCs w:val="23"/>
        </w:rPr>
        <w:t>66</w:t>
      </w:r>
      <w:r w:rsidR="00582E43" w:rsidRPr="00F853DD">
        <w:rPr>
          <w:rFonts w:ascii="Times" w:hAnsi="Times" w:cs="Times New Roman"/>
          <w:sz w:val="23"/>
          <w:szCs w:val="23"/>
        </w:rPr>
        <w:t>(1)</w:t>
      </w:r>
      <w:r w:rsidRPr="00F853DD">
        <w:rPr>
          <w:rFonts w:ascii="Times" w:hAnsi="Times" w:cs="Times New Roman"/>
          <w:sz w:val="23"/>
          <w:szCs w:val="23"/>
        </w:rPr>
        <w:t>, 86-103.</w:t>
      </w:r>
    </w:p>
    <w:p w14:paraId="0CC50073" w14:textId="704ADB4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Baider, L. and Surbone, A.</w:t>
      </w:r>
      <w:r w:rsidR="002A1C4E" w:rsidRPr="00F853DD">
        <w:rPr>
          <w:rFonts w:ascii="Times" w:hAnsi="Times" w:cs="Times New Roman"/>
          <w:sz w:val="23"/>
          <w:szCs w:val="23"/>
        </w:rPr>
        <w:t>,</w:t>
      </w:r>
      <w:r w:rsidRPr="00F853DD">
        <w:rPr>
          <w:rFonts w:ascii="Times" w:hAnsi="Times" w:cs="Times New Roman"/>
          <w:sz w:val="23"/>
          <w:szCs w:val="23"/>
        </w:rPr>
        <w:t xml:space="preserve"> (2014). Universality of aging: family caregivers for elderly cancer patients. </w:t>
      </w:r>
      <w:r w:rsidRPr="00F853DD">
        <w:rPr>
          <w:rFonts w:ascii="Times" w:hAnsi="Times" w:cs="Times New Roman"/>
          <w:i/>
          <w:sz w:val="23"/>
          <w:szCs w:val="23"/>
        </w:rPr>
        <w:t>Frontiers in Psychology</w:t>
      </w:r>
      <w:r w:rsidRPr="00F853DD">
        <w:rPr>
          <w:rFonts w:ascii="Times" w:hAnsi="Times" w:cs="Times New Roman"/>
          <w:sz w:val="23"/>
          <w:szCs w:val="23"/>
        </w:rPr>
        <w:t>,</w:t>
      </w:r>
      <w:r w:rsidRPr="00F853DD">
        <w:rPr>
          <w:rFonts w:ascii="Times" w:hAnsi="Times" w:cs="Times New Roman"/>
          <w:b/>
          <w:sz w:val="23"/>
          <w:szCs w:val="23"/>
        </w:rPr>
        <w:t xml:space="preserve"> 5</w:t>
      </w:r>
      <w:r w:rsidRPr="00F853DD">
        <w:rPr>
          <w:rFonts w:ascii="Times" w:hAnsi="Times" w:cs="Times New Roman"/>
          <w:sz w:val="23"/>
          <w:szCs w:val="23"/>
        </w:rPr>
        <w:t>, 7.</w:t>
      </w:r>
    </w:p>
    <w:p w14:paraId="7CAEEEA6" w14:textId="084783F0"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Bailey, C., Clarke, C</w:t>
      </w:r>
      <w:r w:rsidR="00DF05BD" w:rsidRPr="00F853DD">
        <w:rPr>
          <w:rFonts w:ascii="Times" w:hAnsi="Times" w:cs="Times New Roman"/>
          <w:sz w:val="23"/>
          <w:szCs w:val="23"/>
        </w:rPr>
        <w:t>., Gibb, C., Haining, S., Wilkinson, H. and Tiplady, S.</w:t>
      </w:r>
      <w:r w:rsidR="002A1C4E" w:rsidRPr="00F853DD">
        <w:rPr>
          <w:rFonts w:ascii="Times" w:hAnsi="Times" w:cs="Times New Roman"/>
          <w:sz w:val="23"/>
          <w:szCs w:val="23"/>
        </w:rPr>
        <w:t>,</w:t>
      </w:r>
      <w:r w:rsidR="00DF05BD" w:rsidRPr="00F853DD">
        <w:rPr>
          <w:rFonts w:ascii="Times" w:hAnsi="Times" w:cs="Times New Roman"/>
          <w:sz w:val="23"/>
          <w:szCs w:val="23"/>
        </w:rPr>
        <w:t xml:space="preserve"> (2013). Risky and resilient life with dementia: review of and reflections on the literature. </w:t>
      </w:r>
      <w:r w:rsidR="00DF05BD" w:rsidRPr="00F853DD">
        <w:rPr>
          <w:rFonts w:ascii="Times" w:hAnsi="Times" w:cs="Times New Roman"/>
          <w:i/>
          <w:sz w:val="23"/>
          <w:szCs w:val="23"/>
        </w:rPr>
        <w:t>Health Risk and Society</w:t>
      </w:r>
      <w:r w:rsidR="00DF05BD" w:rsidRPr="00F853DD">
        <w:rPr>
          <w:rFonts w:ascii="Times" w:hAnsi="Times" w:cs="Times New Roman"/>
          <w:sz w:val="23"/>
          <w:szCs w:val="23"/>
        </w:rPr>
        <w:t xml:space="preserve">, </w:t>
      </w:r>
      <w:r w:rsidR="00DF05BD" w:rsidRPr="00F853DD">
        <w:rPr>
          <w:rFonts w:ascii="Times" w:hAnsi="Times" w:cs="Times New Roman"/>
          <w:b/>
          <w:sz w:val="23"/>
          <w:szCs w:val="23"/>
        </w:rPr>
        <w:t>15</w:t>
      </w:r>
      <w:r w:rsidR="00582E43" w:rsidRPr="00F853DD">
        <w:rPr>
          <w:rFonts w:ascii="Times" w:hAnsi="Times" w:cs="Times New Roman"/>
          <w:sz w:val="23"/>
          <w:szCs w:val="23"/>
        </w:rPr>
        <w:t>(5)</w:t>
      </w:r>
      <w:r w:rsidR="00DF05BD" w:rsidRPr="00F853DD">
        <w:rPr>
          <w:rFonts w:ascii="Times" w:hAnsi="Times" w:cs="Times New Roman"/>
          <w:sz w:val="23"/>
          <w:szCs w:val="23"/>
        </w:rPr>
        <w:t>, 390-401.</w:t>
      </w:r>
    </w:p>
    <w:p w14:paraId="5E066351" w14:textId="63A76FE8"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Bailey, D. and Jackson, J.</w:t>
      </w:r>
      <w:r w:rsidR="002A1C4E" w:rsidRPr="00F853DD">
        <w:rPr>
          <w:rFonts w:ascii="Times" w:hAnsi="Times" w:cs="Times New Roman"/>
          <w:sz w:val="23"/>
          <w:szCs w:val="23"/>
        </w:rPr>
        <w:t>,</w:t>
      </w:r>
      <w:r w:rsidR="00DF05BD" w:rsidRPr="00F853DD">
        <w:rPr>
          <w:rFonts w:ascii="Times" w:hAnsi="Times" w:cs="Times New Roman"/>
          <w:sz w:val="23"/>
          <w:szCs w:val="23"/>
        </w:rPr>
        <w:t xml:space="preserve"> (200</w:t>
      </w:r>
      <w:r w:rsidR="007E59D1" w:rsidRPr="00F853DD">
        <w:rPr>
          <w:rFonts w:ascii="Times" w:hAnsi="Times" w:cs="Times New Roman"/>
          <w:sz w:val="23"/>
          <w:szCs w:val="23"/>
        </w:rPr>
        <w:t>3). Qualitative data analysis: c</w:t>
      </w:r>
      <w:r w:rsidR="00DF05BD" w:rsidRPr="00F853DD">
        <w:rPr>
          <w:rFonts w:ascii="Times" w:hAnsi="Times" w:cs="Times New Roman"/>
          <w:sz w:val="23"/>
          <w:szCs w:val="23"/>
        </w:rPr>
        <w:t xml:space="preserve">hallenges and dilemmas related to theory and method. </w:t>
      </w:r>
      <w:r w:rsidR="00DF05BD" w:rsidRPr="00F853DD">
        <w:rPr>
          <w:rFonts w:ascii="Times" w:hAnsi="Times" w:cs="Times New Roman"/>
          <w:i/>
          <w:sz w:val="23"/>
          <w:szCs w:val="23"/>
        </w:rPr>
        <w:t>American Journal of Occupational Therapy</w:t>
      </w:r>
      <w:r w:rsidR="00DF05BD" w:rsidRPr="00F853DD">
        <w:rPr>
          <w:rFonts w:ascii="Times" w:hAnsi="Times" w:cs="Times New Roman"/>
          <w:sz w:val="23"/>
          <w:szCs w:val="23"/>
        </w:rPr>
        <w:t xml:space="preserve">, </w:t>
      </w:r>
      <w:r w:rsidR="00DF05BD" w:rsidRPr="00F853DD">
        <w:rPr>
          <w:rFonts w:ascii="Times" w:hAnsi="Times" w:cs="Times New Roman"/>
          <w:b/>
          <w:sz w:val="23"/>
          <w:szCs w:val="23"/>
        </w:rPr>
        <w:t>57</w:t>
      </w:r>
      <w:r w:rsidR="00582E43" w:rsidRPr="00F853DD">
        <w:rPr>
          <w:rFonts w:ascii="Times" w:hAnsi="Times" w:cs="Times New Roman"/>
          <w:sz w:val="23"/>
          <w:szCs w:val="23"/>
        </w:rPr>
        <w:t>(1)</w:t>
      </w:r>
      <w:r w:rsidR="00DF05BD" w:rsidRPr="00F853DD">
        <w:rPr>
          <w:rFonts w:ascii="Times" w:hAnsi="Times" w:cs="Times New Roman"/>
          <w:sz w:val="23"/>
          <w:szCs w:val="23"/>
        </w:rPr>
        <w:t>, 57-65.</w:t>
      </w:r>
    </w:p>
    <w:p w14:paraId="361D14C9" w14:textId="44B819C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Bailly, N., Joulain, M., Herve, C. and Alaphilippe, D.</w:t>
      </w:r>
      <w:r w:rsidR="002A1C4E" w:rsidRPr="00F853DD">
        <w:rPr>
          <w:rFonts w:ascii="Times" w:hAnsi="Times" w:cs="Times New Roman"/>
          <w:sz w:val="23"/>
          <w:szCs w:val="23"/>
        </w:rPr>
        <w:t>,</w:t>
      </w:r>
      <w:r w:rsidRPr="00F853DD">
        <w:rPr>
          <w:rFonts w:ascii="Times" w:hAnsi="Times" w:cs="Times New Roman"/>
          <w:sz w:val="23"/>
          <w:szCs w:val="23"/>
        </w:rPr>
        <w:t xml:space="preserve"> (2012). Coping with ne</w:t>
      </w:r>
      <w:r w:rsidR="007E59D1" w:rsidRPr="00F853DD">
        <w:rPr>
          <w:rFonts w:ascii="Times" w:hAnsi="Times" w:cs="Times New Roman"/>
          <w:sz w:val="23"/>
          <w:szCs w:val="23"/>
        </w:rPr>
        <w:t>gative life events in old age: t</w:t>
      </w:r>
      <w:r w:rsidRPr="00F853DD">
        <w:rPr>
          <w:rFonts w:ascii="Times" w:hAnsi="Times" w:cs="Times New Roman"/>
          <w:sz w:val="23"/>
          <w:szCs w:val="23"/>
        </w:rPr>
        <w:t xml:space="preserve">he role of tenacious goal pursuit and flexible goal adjustment. </w:t>
      </w:r>
      <w:r w:rsidRPr="00F853DD">
        <w:rPr>
          <w:rFonts w:ascii="Times" w:hAnsi="Times" w:cs="Times New Roman"/>
          <w:i/>
          <w:sz w:val="23"/>
          <w:szCs w:val="23"/>
        </w:rPr>
        <w:t>Aging and Mental Health</w:t>
      </w:r>
      <w:r w:rsidRPr="00F853DD">
        <w:rPr>
          <w:rFonts w:ascii="Times" w:hAnsi="Times" w:cs="Times New Roman"/>
          <w:sz w:val="23"/>
          <w:szCs w:val="23"/>
        </w:rPr>
        <w:t xml:space="preserve">, </w:t>
      </w:r>
      <w:r w:rsidRPr="00F853DD">
        <w:rPr>
          <w:rFonts w:ascii="Times" w:hAnsi="Times" w:cs="Times New Roman"/>
          <w:b/>
          <w:sz w:val="23"/>
          <w:szCs w:val="23"/>
        </w:rPr>
        <w:t>16</w:t>
      </w:r>
      <w:r w:rsidR="00582E43" w:rsidRPr="00F853DD">
        <w:rPr>
          <w:rFonts w:ascii="Times" w:hAnsi="Times" w:cs="Times New Roman"/>
          <w:sz w:val="23"/>
          <w:szCs w:val="23"/>
        </w:rPr>
        <w:t>(4)</w:t>
      </w:r>
      <w:r w:rsidRPr="00F853DD">
        <w:rPr>
          <w:rFonts w:ascii="Times" w:hAnsi="Times" w:cs="Times New Roman"/>
          <w:sz w:val="23"/>
          <w:szCs w:val="23"/>
        </w:rPr>
        <w:t>, 431-437.</w:t>
      </w:r>
    </w:p>
    <w:p w14:paraId="14B32E40" w14:textId="01A9124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Baizan, P., D</w:t>
      </w:r>
      <w:r w:rsidR="00BF7831" w:rsidRPr="00F853DD">
        <w:rPr>
          <w:rFonts w:ascii="Times" w:hAnsi="Times" w:cs="Times New Roman"/>
          <w:sz w:val="23"/>
          <w:szCs w:val="23"/>
        </w:rPr>
        <w:t>ominguez, M. and Gonzalez, M.</w:t>
      </w:r>
      <w:r w:rsidR="002A1C4E" w:rsidRPr="00F853DD">
        <w:rPr>
          <w:rFonts w:ascii="Times" w:hAnsi="Times" w:cs="Times New Roman"/>
          <w:sz w:val="23"/>
          <w:szCs w:val="23"/>
        </w:rPr>
        <w:t>,</w:t>
      </w:r>
      <w:r w:rsidRPr="00F853DD">
        <w:rPr>
          <w:rFonts w:ascii="Times" w:hAnsi="Times" w:cs="Times New Roman"/>
          <w:sz w:val="23"/>
          <w:szCs w:val="23"/>
        </w:rPr>
        <w:t xml:space="preserve"> (2014). Couple bargaining or socio-economic status? Why some parents spend more time with their children than others. </w:t>
      </w:r>
      <w:r w:rsidRPr="00F853DD">
        <w:rPr>
          <w:rFonts w:ascii="Times" w:hAnsi="Times" w:cs="Times New Roman"/>
          <w:i/>
          <w:sz w:val="23"/>
          <w:szCs w:val="23"/>
        </w:rPr>
        <w:t>European Societies</w:t>
      </w:r>
      <w:r w:rsidRPr="00F853DD">
        <w:rPr>
          <w:rFonts w:ascii="Times" w:hAnsi="Times" w:cs="Times New Roman"/>
          <w:sz w:val="23"/>
          <w:szCs w:val="23"/>
        </w:rPr>
        <w:t xml:space="preserve">, </w:t>
      </w:r>
      <w:r w:rsidRPr="00F853DD">
        <w:rPr>
          <w:rFonts w:ascii="Times" w:hAnsi="Times" w:cs="Times New Roman"/>
          <w:b/>
          <w:sz w:val="23"/>
          <w:szCs w:val="23"/>
        </w:rPr>
        <w:t>16</w:t>
      </w:r>
      <w:r w:rsidR="00582E43" w:rsidRPr="00F853DD">
        <w:rPr>
          <w:rFonts w:ascii="Times" w:hAnsi="Times" w:cs="Times New Roman"/>
          <w:sz w:val="23"/>
          <w:szCs w:val="23"/>
        </w:rPr>
        <w:t>(1)</w:t>
      </w:r>
      <w:r w:rsidRPr="00F853DD">
        <w:rPr>
          <w:rFonts w:ascii="Times" w:hAnsi="Times" w:cs="Times New Roman"/>
          <w:sz w:val="23"/>
          <w:szCs w:val="23"/>
        </w:rPr>
        <w:t>, 3-27.</w:t>
      </w:r>
    </w:p>
    <w:p w14:paraId="39020ED0" w14:textId="0933259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Bajeka</w:t>
      </w:r>
      <w:r w:rsidR="00BF7831" w:rsidRPr="00F853DD">
        <w:rPr>
          <w:rFonts w:ascii="Times" w:hAnsi="Times" w:cs="Times New Roman"/>
          <w:sz w:val="23"/>
          <w:szCs w:val="23"/>
        </w:rPr>
        <w:t>l, M., Blane, D., Grewal, I.</w:t>
      </w:r>
      <w:r w:rsidRPr="00F853DD">
        <w:rPr>
          <w:rFonts w:ascii="Times" w:hAnsi="Times" w:cs="Times New Roman"/>
          <w:sz w:val="23"/>
          <w:szCs w:val="23"/>
        </w:rPr>
        <w:t>, Karlsen, S. and Nazroo, J.</w:t>
      </w:r>
      <w:r w:rsidR="002A1C4E" w:rsidRPr="00F853DD">
        <w:rPr>
          <w:rFonts w:ascii="Times" w:hAnsi="Times" w:cs="Times New Roman"/>
          <w:sz w:val="23"/>
          <w:szCs w:val="23"/>
        </w:rPr>
        <w:t>,</w:t>
      </w:r>
      <w:r w:rsidRPr="00F853DD">
        <w:rPr>
          <w:rFonts w:ascii="Times" w:hAnsi="Times" w:cs="Times New Roman"/>
          <w:sz w:val="23"/>
          <w:szCs w:val="23"/>
        </w:rPr>
        <w:t xml:space="preserve"> (2004). Ethnic differences in influences on quality of life at older ages: a quantitative analysis. Ageing &amp; Society, </w:t>
      </w:r>
      <w:r w:rsidRPr="00F853DD">
        <w:rPr>
          <w:rFonts w:ascii="Times" w:hAnsi="Times" w:cs="Times New Roman"/>
          <w:b/>
          <w:sz w:val="23"/>
          <w:szCs w:val="23"/>
        </w:rPr>
        <w:t>24</w:t>
      </w:r>
      <w:r w:rsidRPr="00F853DD">
        <w:rPr>
          <w:rFonts w:ascii="Times" w:hAnsi="Times" w:cs="Times New Roman"/>
          <w:sz w:val="23"/>
          <w:szCs w:val="23"/>
        </w:rPr>
        <w:t>(5), 709-728.</w:t>
      </w:r>
    </w:p>
    <w:p w14:paraId="1EFF18EE" w14:textId="5AE03B2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Baldassar, L.</w:t>
      </w:r>
      <w:r w:rsidR="002A1C4E" w:rsidRPr="00F853DD">
        <w:rPr>
          <w:rFonts w:ascii="Times" w:hAnsi="Times" w:cs="Times New Roman"/>
          <w:sz w:val="23"/>
          <w:szCs w:val="23"/>
        </w:rPr>
        <w:t>,</w:t>
      </w:r>
      <w:r w:rsidRPr="00F853DD">
        <w:rPr>
          <w:rFonts w:ascii="Times" w:hAnsi="Times" w:cs="Times New Roman"/>
          <w:sz w:val="23"/>
          <w:szCs w:val="23"/>
        </w:rPr>
        <w:t xml:space="preserve"> (2007)a. </w:t>
      </w:r>
      <w:r w:rsidRPr="00F853DD">
        <w:rPr>
          <w:rFonts w:ascii="Times" w:hAnsi="Times" w:cs="Times New Roman"/>
          <w:i/>
          <w:sz w:val="23"/>
          <w:szCs w:val="23"/>
        </w:rPr>
        <w:t>Families caring across borders [electronic resource]: migration, ageing and transnational caregiving</w:t>
      </w:r>
      <w:r w:rsidR="002A1C4E" w:rsidRPr="00F853DD">
        <w:rPr>
          <w:rFonts w:ascii="Times" w:hAnsi="Times" w:cs="Times New Roman"/>
          <w:sz w:val="23"/>
          <w:szCs w:val="23"/>
        </w:rPr>
        <w:t>. Basingstoke, Basingstoke</w:t>
      </w:r>
      <w:r w:rsidRPr="00F853DD">
        <w:rPr>
          <w:rFonts w:ascii="Times" w:hAnsi="Times" w:cs="Times New Roman"/>
          <w:sz w:val="23"/>
          <w:szCs w:val="23"/>
        </w:rPr>
        <w:t>: Palgrave Macmillan.</w:t>
      </w:r>
    </w:p>
    <w:p w14:paraId="3B6C345C" w14:textId="1D52F34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Baldassar, L.</w:t>
      </w:r>
      <w:r w:rsidR="002A1C4E" w:rsidRPr="00F853DD">
        <w:rPr>
          <w:rFonts w:ascii="Times" w:hAnsi="Times" w:cs="Times New Roman"/>
          <w:sz w:val="23"/>
          <w:szCs w:val="23"/>
        </w:rPr>
        <w:t>,</w:t>
      </w:r>
      <w:r w:rsidR="007E59D1" w:rsidRPr="00F853DD">
        <w:rPr>
          <w:rFonts w:ascii="Times" w:hAnsi="Times" w:cs="Times New Roman"/>
          <w:sz w:val="23"/>
          <w:szCs w:val="23"/>
        </w:rPr>
        <w:t xml:space="preserve"> (2007)b. Transnational families and the provision of moral and emotional support: the relationship between truth and d</w:t>
      </w:r>
      <w:r w:rsidRPr="00F853DD">
        <w:rPr>
          <w:rFonts w:ascii="Times" w:hAnsi="Times" w:cs="Times New Roman"/>
          <w:sz w:val="23"/>
          <w:szCs w:val="23"/>
        </w:rPr>
        <w:t xml:space="preserve">istance. </w:t>
      </w:r>
      <w:r w:rsidRPr="00F853DD">
        <w:rPr>
          <w:rFonts w:ascii="Times" w:hAnsi="Times" w:cs="Times New Roman"/>
          <w:i/>
          <w:sz w:val="23"/>
          <w:szCs w:val="23"/>
        </w:rPr>
        <w:t>Identities: Global Studies in Culture and Power</w:t>
      </w:r>
      <w:r w:rsidRPr="00F853DD">
        <w:rPr>
          <w:rFonts w:ascii="Times" w:hAnsi="Times" w:cs="Times New Roman"/>
          <w:sz w:val="23"/>
          <w:szCs w:val="23"/>
        </w:rPr>
        <w:t xml:space="preserve">, </w:t>
      </w:r>
      <w:r w:rsidRPr="00F853DD">
        <w:rPr>
          <w:rFonts w:ascii="Times" w:hAnsi="Times" w:cs="Times New Roman"/>
          <w:b/>
          <w:sz w:val="23"/>
          <w:szCs w:val="23"/>
        </w:rPr>
        <w:t>14</w:t>
      </w:r>
      <w:r w:rsidR="00582E43" w:rsidRPr="00F853DD">
        <w:rPr>
          <w:rFonts w:ascii="Times" w:hAnsi="Times" w:cs="Times New Roman"/>
          <w:sz w:val="23"/>
          <w:szCs w:val="23"/>
        </w:rPr>
        <w:t>(4)</w:t>
      </w:r>
      <w:r w:rsidRPr="00F853DD">
        <w:rPr>
          <w:rFonts w:ascii="Times" w:hAnsi="Times" w:cs="Times New Roman"/>
          <w:sz w:val="23"/>
          <w:szCs w:val="23"/>
        </w:rPr>
        <w:t>, 385-409.</w:t>
      </w:r>
    </w:p>
    <w:p w14:paraId="4121755A" w14:textId="4F3D461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Baldu</w:t>
      </w:r>
      <w:r w:rsidR="00BF7831" w:rsidRPr="00F853DD">
        <w:rPr>
          <w:rFonts w:ascii="Times" w:hAnsi="Times" w:cs="Times New Roman"/>
          <w:sz w:val="23"/>
          <w:szCs w:val="23"/>
        </w:rPr>
        <w:t>cci, C., Mnich, E., Mckee, K.</w:t>
      </w:r>
      <w:r w:rsidRPr="00F853DD">
        <w:rPr>
          <w:rFonts w:ascii="Times" w:hAnsi="Times" w:cs="Times New Roman"/>
          <w:sz w:val="23"/>
          <w:szCs w:val="23"/>
        </w:rPr>
        <w:t>, Lamura, G., Beckmann</w:t>
      </w:r>
      <w:r w:rsidR="00BF7831" w:rsidRPr="00F853DD">
        <w:rPr>
          <w:rFonts w:ascii="Times" w:hAnsi="Times" w:cs="Times New Roman"/>
          <w:sz w:val="23"/>
          <w:szCs w:val="23"/>
        </w:rPr>
        <w:t>, A., Krevers, B., Wojszel, Z</w:t>
      </w:r>
      <w:r w:rsidRPr="00F853DD">
        <w:rPr>
          <w:rFonts w:ascii="Times" w:hAnsi="Times" w:cs="Times New Roman"/>
          <w:sz w:val="23"/>
          <w:szCs w:val="23"/>
        </w:rPr>
        <w:t>., Nolan, M., Prouskas, C., Bien, B. and Oberg, B.</w:t>
      </w:r>
      <w:r w:rsidR="002A1C4E" w:rsidRPr="00F853DD">
        <w:rPr>
          <w:rFonts w:ascii="Times" w:hAnsi="Times" w:cs="Times New Roman"/>
          <w:sz w:val="23"/>
          <w:szCs w:val="23"/>
        </w:rPr>
        <w:t>,</w:t>
      </w:r>
      <w:r w:rsidRPr="00F853DD">
        <w:rPr>
          <w:rFonts w:ascii="Times" w:hAnsi="Times" w:cs="Times New Roman"/>
          <w:sz w:val="23"/>
          <w:szCs w:val="23"/>
        </w:rPr>
        <w:t xml:space="preserve"> (2008). Negative impact and</w:t>
      </w:r>
      <w:r w:rsidR="007E59D1" w:rsidRPr="00F853DD">
        <w:rPr>
          <w:rFonts w:ascii="Times" w:hAnsi="Times" w:cs="Times New Roman"/>
          <w:sz w:val="23"/>
          <w:szCs w:val="23"/>
        </w:rPr>
        <w:t xml:space="preserve"> positive value in caregiving: v</w:t>
      </w:r>
      <w:r w:rsidRPr="00F853DD">
        <w:rPr>
          <w:rFonts w:ascii="Times" w:hAnsi="Times" w:cs="Times New Roman"/>
          <w:sz w:val="23"/>
          <w:szCs w:val="23"/>
        </w:rPr>
        <w:t xml:space="preserve">alidation of the COPE Index in a six-country sample of carers. </w:t>
      </w:r>
      <w:r w:rsidRPr="00F853DD">
        <w:rPr>
          <w:rFonts w:ascii="Times" w:hAnsi="Times" w:cs="Times New Roman"/>
          <w:i/>
          <w:sz w:val="23"/>
          <w:szCs w:val="23"/>
        </w:rPr>
        <w:t>Gerontologist</w:t>
      </w:r>
      <w:r w:rsidRPr="00F853DD">
        <w:rPr>
          <w:rFonts w:ascii="Times" w:hAnsi="Times" w:cs="Times New Roman"/>
          <w:sz w:val="23"/>
          <w:szCs w:val="23"/>
        </w:rPr>
        <w:t xml:space="preserve">, </w:t>
      </w:r>
      <w:r w:rsidRPr="00F853DD">
        <w:rPr>
          <w:rFonts w:ascii="Times" w:hAnsi="Times" w:cs="Times New Roman"/>
          <w:b/>
          <w:sz w:val="23"/>
          <w:szCs w:val="23"/>
        </w:rPr>
        <w:t>48</w:t>
      </w:r>
      <w:r w:rsidR="000C4C80" w:rsidRPr="00F853DD">
        <w:rPr>
          <w:rFonts w:ascii="Times" w:hAnsi="Times" w:cs="Times New Roman"/>
          <w:sz w:val="23"/>
          <w:szCs w:val="23"/>
        </w:rPr>
        <w:t>(3)</w:t>
      </w:r>
      <w:r w:rsidRPr="00F853DD">
        <w:rPr>
          <w:rFonts w:ascii="Times" w:hAnsi="Times" w:cs="Times New Roman"/>
          <w:sz w:val="23"/>
          <w:szCs w:val="23"/>
        </w:rPr>
        <w:t>, 276-286.</w:t>
      </w:r>
    </w:p>
    <w:p w14:paraId="3B9FE5EC" w14:textId="6A2B495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Bambra, C.</w:t>
      </w:r>
      <w:r w:rsidR="00A41A49" w:rsidRPr="00F853DD">
        <w:rPr>
          <w:rFonts w:ascii="Times" w:hAnsi="Times" w:cs="Times New Roman"/>
          <w:sz w:val="23"/>
          <w:szCs w:val="23"/>
        </w:rPr>
        <w:t>,</w:t>
      </w:r>
      <w:r w:rsidRPr="00F853DD">
        <w:rPr>
          <w:rFonts w:ascii="Times" w:hAnsi="Times" w:cs="Times New Roman"/>
          <w:sz w:val="23"/>
          <w:szCs w:val="23"/>
        </w:rPr>
        <w:t xml:space="preserve"> (2007). Defamilisation and welfare state regimes: a cluster analysis. </w:t>
      </w:r>
      <w:r w:rsidRPr="00F853DD">
        <w:rPr>
          <w:rFonts w:ascii="Times" w:hAnsi="Times" w:cs="Times New Roman"/>
          <w:i/>
          <w:sz w:val="23"/>
          <w:szCs w:val="23"/>
        </w:rPr>
        <w:t>International Journal of Social Welfare</w:t>
      </w:r>
      <w:r w:rsidRPr="00F853DD">
        <w:rPr>
          <w:rFonts w:ascii="Times" w:hAnsi="Times" w:cs="Times New Roman"/>
          <w:sz w:val="23"/>
          <w:szCs w:val="23"/>
        </w:rPr>
        <w:t xml:space="preserve">, </w:t>
      </w:r>
      <w:r w:rsidRPr="00F853DD">
        <w:rPr>
          <w:rFonts w:ascii="Times" w:hAnsi="Times" w:cs="Times New Roman"/>
          <w:b/>
          <w:sz w:val="23"/>
          <w:szCs w:val="23"/>
        </w:rPr>
        <w:t>16</w:t>
      </w:r>
      <w:r w:rsidR="000C4C80" w:rsidRPr="00F853DD">
        <w:rPr>
          <w:rFonts w:ascii="Times" w:hAnsi="Times" w:cs="Times New Roman"/>
          <w:sz w:val="23"/>
          <w:szCs w:val="23"/>
        </w:rPr>
        <w:t>(4)</w:t>
      </w:r>
      <w:r w:rsidRPr="00F853DD">
        <w:rPr>
          <w:rFonts w:ascii="Times" w:hAnsi="Times" w:cs="Times New Roman"/>
          <w:sz w:val="23"/>
          <w:szCs w:val="23"/>
        </w:rPr>
        <w:t>, 326-338.</w:t>
      </w:r>
    </w:p>
    <w:p w14:paraId="00445B9D" w14:textId="69948E7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Bando, R., Galiani, S. and Gertle, P.</w:t>
      </w:r>
      <w:r w:rsidR="00A41A49" w:rsidRPr="00F853DD">
        <w:rPr>
          <w:rFonts w:ascii="Times" w:hAnsi="Times" w:cs="Times New Roman"/>
          <w:sz w:val="23"/>
          <w:szCs w:val="23"/>
        </w:rPr>
        <w:t>,</w:t>
      </w:r>
      <w:r w:rsidR="007E59D1" w:rsidRPr="00F853DD">
        <w:rPr>
          <w:rFonts w:ascii="Times" w:hAnsi="Times" w:cs="Times New Roman"/>
          <w:sz w:val="23"/>
          <w:szCs w:val="23"/>
        </w:rPr>
        <w:t xml:space="preserve"> (2016). The effects of non-contributory pensions on material and s</w:t>
      </w:r>
      <w:r w:rsidRPr="00F853DD">
        <w:rPr>
          <w:rFonts w:ascii="Times" w:hAnsi="Times" w:cs="Times New Roman"/>
          <w:sz w:val="23"/>
          <w:szCs w:val="23"/>
        </w:rPr>
        <w:t>ubjectiv</w:t>
      </w:r>
      <w:r w:rsidR="007E59D1" w:rsidRPr="00F853DD">
        <w:rPr>
          <w:rFonts w:ascii="Times" w:hAnsi="Times" w:cs="Times New Roman"/>
          <w:sz w:val="23"/>
          <w:szCs w:val="23"/>
        </w:rPr>
        <w:t>e w</w:t>
      </w:r>
      <w:r w:rsidRPr="00F853DD">
        <w:rPr>
          <w:rFonts w:ascii="Times" w:hAnsi="Times" w:cs="Times New Roman"/>
          <w:sz w:val="23"/>
          <w:szCs w:val="23"/>
        </w:rPr>
        <w:t xml:space="preserve">ellbeing. </w:t>
      </w:r>
      <w:r w:rsidR="007F5569" w:rsidRPr="00F853DD">
        <w:rPr>
          <w:rFonts w:ascii="Times" w:hAnsi="Times" w:cs="Times New Roman"/>
          <w:sz w:val="23"/>
          <w:szCs w:val="23"/>
        </w:rPr>
        <w:t xml:space="preserve">In: </w:t>
      </w:r>
      <w:r w:rsidR="007F5569" w:rsidRPr="00F853DD">
        <w:rPr>
          <w:rFonts w:ascii="Times" w:hAnsi="Times" w:cs="Times New Roman"/>
          <w:i/>
          <w:sz w:val="23"/>
          <w:szCs w:val="23"/>
        </w:rPr>
        <w:t>National Bureau of Economic Research</w:t>
      </w:r>
      <w:r w:rsidR="007F5569" w:rsidRPr="00F853DD">
        <w:rPr>
          <w:rFonts w:ascii="Times" w:hAnsi="Times" w:cs="Times New Roman"/>
          <w:sz w:val="23"/>
          <w:szCs w:val="23"/>
        </w:rPr>
        <w:t>. (No. w22995).</w:t>
      </w:r>
    </w:p>
    <w:p w14:paraId="597B5772" w14:textId="18DF48BA"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Bangerter, L.</w:t>
      </w:r>
      <w:r w:rsidR="00DF05BD" w:rsidRPr="00F853DD">
        <w:rPr>
          <w:rFonts w:ascii="Times" w:hAnsi="Times" w:cs="Times New Roman"/>
          <w:sz w:val="23"/>
          <w:szCs w:val="23"/>
        </w:rPr>
        <w:t>,</w:t>
      </w:r>
      <w:r w:rsidRPr="00F853DD">
        <w:rPr>
          <w:rFonts w:ascii="Times" w:hAnsi="Times" w:cs="Times New Roman"/>
          <w:sz w:val="23"/>
          <w:szCs w:val="23"/>
        </w:rPr>
        <w:t xml:space="preserve"> Kim, K., Zarit, S.</w:t>
      </w:r>
      <w:r w:rsidR="00DF05BD" w:rsidRPr="00F853DD">
        <w:rPr>
          <w:rFonts w:ascii="Times" w:hAnsi="Times" w:cs="Times New Roman"/>
          <w:sz w:val="23"/>
          <w:szCs w:val="23"/>
        </w:rPr>
        <w:t>, Bir</w:t>
      </w:r>
      <w:r w:rsidRPr="00F853DD">
        <w:rPr>
          <w:rFonts w:ascii="Times" w:hAnsi="Times" w:cs="Times New Roman"/>
          <w:sz w:val="23"/>
          <w:szCs w:val="23"/>
        </w:rPr>
        <w:t>ditt, K. and Fingerman, K.</w:t>
      </w:r>
      <w:r w:rsidR="00441CE7" w:rsidRPr="00F853DD">
        <w:rPr>
          <w:rFonts w:ascii="Times" w:hAnsi="Times" w:cs="Times New Roman"/>
          <w:sz w:val="23"/>
          <w:szCs w:val="23"/>
        </w:rPr>
        <w:t>,</w:t>
      </w:r>
      <w:r w:rsidR="00DF05BD" w:rsidRPr="00F853DD">
        <w:rPr>
          <w:rFonts w:ascii="Times" w:hAnsi="Times" w:cs="Times New Roman"/>
          <w:sz w:val="23"/>
          <w:szCs w:val="23"/>
        </w:rPr>
        <w:t xml:space="preserve"> (2015). Perceptions of giving support and depressive symptoms in late life. </w:t>
      </w:r>
      <w:r w:rsidR="00DF05BD" w:rsidRPr="00F853DD">
        <w:rPr>
          <w:rFonts w:ascii="Times" w:hAnsi="Times" w:cs="Times New Roman"/>
          <w:i/>
          <w:sz w:val="23"/>
          <w:szCs w:val="23"/>
        </w:rPr>
        <w:t>Gerontologist</w:t>
      </w:r>
      <w:r w:rsidR="00DF05BD" w:rsidRPr="00F853DD">
        <w:rPr>
          <w:rFonts w:ascii="Times" w:hAnsi="Times" w:cs="Times New Roman"/>
          <w:sz w:val="23"/>
          <w:szCs w:val="23"/>
        </w:rPr>
        <w:t xml:space="preserve">, </w:t>
      </w:r>
      <w:r w:rsidR="00DF05BD" w:rsidRPr="00F853DD">
        <w:rPr>
          <w:rFonts w:ascii="Times" w:hAnsi="Times" w:cs="Times New Roman"/>
          <w:b/>
          <w:sz w:val="23"/>
          <w:szCs w:val="23"/>
        </w:rPr>
        <w:t>55</w:t>
      </w:r>
      <w:r w:rsidR="000C4C80" w:rsidRPr="00F853DD">
        <w:rPr>
          <w:rFonts w:ascii="Times" w:hAnsi="Times" w:cs="Times New Roman"/>
          <w:sz w:val="23"/>
          <w:szCs w:val="23"/>
        </w:rPr>
        <w:t>(5)</w:t>
      </w:r>
      <w:r w:rsidR="00DF05BD" w:rsidRPr="00F853DD">
        <w:rPr>
          <w:rFonts w:ascii="Times" w:hAnsi="Times" w:cs="Times New Roman"/>
          <w:sz w:val="23"/>
          <w:szCs w:val="23"/>
        </w:rPr>
        <w:t>, 770-779.</w:t>
      </w:r>
    </w:p>
    <w:p w14:paraId="6BD6A035" w14:textId="4B1DA2FF" w:rsidR="00DF05BD" w:rsidRPr="00F853DD" w:rsidRDefault="00DF05BD"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Bangura, Y.</w:t>
      </w:r>
      <w:r w:rsidR="00441CE7" w:rsidRPr="00F853DD">
        <w:rPr>
          <w:rFonts w:ascii="Times" w:hAnsi="Times" w:cs="Times New Roman"/>
          <w:sz w:val="23"/>
          <w:szCs w:val="23"/>
        </w:rPr>
        <w:t>,</w:t>
      </w:r>
      <w:r w:rsidRPr="00F853DD">
        <w:rPr>
          <w:rFonts w:ascii="Times" w:hAnsi="Times" w:cs="Times New Roman"/>
          <w:sz w:val="23"/>
          <w:szCs w:val="23"/>
        </w:rPr>
        <w:t xml:space="preserve"> (2005). </w:t>
      </w:r>
      <w:r w:rsidR="007E59D1" w:rsidRPr="00F853DD">
        <w:rPr>
          <w:rFonts w:ascii="Times" w:hAnsi="Times" w:cs="Times New Roman"/>
          <w:i/>
          <w:sz w:val="23"/>
          <w:szCs w:val="23"/>
        </w:rPr>
        <w:t>Ethnicity, i</w:t>
      </w:r>
      <w:r w:rsidRPr="00F853DD">
        <w:rPr>
          <w:rFonts w:ascii="Times" w:hAnsi="Times" w:cs="Times New Roman"/>
          <w:i/>
          <w:sz w:val="23"/>
          <w:szCs w:val="23"/>
        </w:rPr>
        <w:t>nequal</w:t>
      </w:r>
      <w:r w:rsidR="007E59D1" w:rsidRPr="00F853DD">
        <w:rPr>
          <w:rFonts w:ascii="Times" w:hAnsi="Times" w:cs="Times New Roman"/>
          <w:i/>
          <w:sz w:val="23"/>
          <w:szCs w:val="23"/>
        </w:rPr>
        <w:t>ity and the p</w:t>
      </w:r>
      <w:r w:rsidRPr="00F853DD">
        <w:rPr>
          <w:rFonts w:ascii="Times" w:hAnsi="Times" w:cs="Times New Roman"/>
          <w:i/>
          <w:sz w:val="23"/>
          <w:szCs w:val="23"/>
        </w:rPr>
        <w:t xml:space="preserve">ublic Sector: </w:t>
      </w:r>
      <w:r w:rsidR="007E59D1" w:rsidRPr="00F853DD">
        <w:rPr>
          <w:rFonts w:ascii="Times" w:hAnsi="Times" w:cs="Times New Roman"/>
          <w:i/>
          <w:sz w:val="23"/>
          <w:szCs w:val="23"/>
        </w:rPr>
        <w:t>a</w:t>
      </w:r>
      <w:r w:rsidRPr="00F853DD">
        <w:rPr>
          <w:rFonts w:ascii="Times" w:hAnsi="Times" w:cs="Times New Roman"/>
          <w:i/>
          <w:sz w:val="23"/>
          <w:szCs w:val="23"/>
        </w:rPr>
        <w:t xml:space="preserve"> </w:t>
      </w:r>
      <w:r w:rsidR="007E59D1" w:rsidRPr="00F853DD">
        <w:rPr>
          <w:rFonts w:ascii="Times" w:hAnsi="Times" w:cs="Times New Roman"/>
          <w:i/>
          <w:sz w:val="23"/>
          <w:szCs w:val="23"/>
        </w:rPr>
        <w:t>c</w:t>
      </w:r>
      <w:r w:rsidRPr="00F853DD">
        <w:rPr>
          <w:rFonts w:ascii="Times" w:hAnsi="Times" w:cs="Times New Roman"/>
          <w:i/>
          <w:sz w:val="23"/>
          <w:szCs w:val="23"/>
        </w:rPr>
        <w:t xml:space="preserve">omparative </w:t>
      </w:r>
      <w:r w:rsidR="007E59D1" w:rsidRPr="00F853DD">
        <w:rPr>
          <w:rFonts w:ascii="Times" w:hAnsi="Times" w:cs="Times New Roman"/>
          <w:i/>
          <w:sz w:val="23"/>
          <w:szCs w:val="23"/>
        </w:rPr>
        <w:t>s</w:t>
      </w:r>
      <w:r w:rsidRPr="00F853DD">
        <w:rPr>
          <w:rFonts w:ascii="Times" w:hAnsi="Times" w:cs="Times New Roman"/>
          <w:i/>
          <w:sz w:val="23"/>
          <w:szCs w:val="23"/>
        </w:rPr>
        <w:t>tudy</w:t>
      </w:r>
      <w:r w:rsidRPr="00F853DD">
        <w:rPr>
          <w:rFonts w:ascii="Times" w:hAnsi="Times" w:cs="Times New Roman"/>
          <w:sz w:val="23"/>
          <w:szCs w:val="23"/>
        </w:rPr>
        <w:t>. Geneva, Switzerland: UNRISD.</w:t>
      </w:r>
    </w:p>
    <w:p w14:paraId="23CCF9C8" w14:textId="5C8E5C01"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Barakat, L.</w:t>
      </w:r>
      <w:r w:rsidR="00441CE7" w:rsidRPr="00F853DD">
        <w:rPr>
          <w:rFonts w:ascii="Times" w:hAnsi="Times" w:cs="Times New Roman"/>
          <w:sz w:val="23"/>
          <w:szCs w:val="23"/>
        </w:rPr>
        <w:t>,</w:t>
      </w:r>
      <w:r w:rsidR="002E3FCC" w:rsidRPr="00F853DD">
        <w:rPr>
          <w:rFonts w:ascii="Times" w:hAnsi="Times" w:cs="Times New Roman"/>
          <w:sz w:val="23"/>
          <w:szCs w:val="23"/>
        </w:rPr>
        <w:t xml:space="preserve"> (2012). Advancing the family management style framework: incorporating social e</w:t>
      </w:r>
      <w:r w:rsidR="00DF05BD" w:rsidRPr="00F853DD">
        <w:rPr>
          <w:rFonts w:ascii="Times" w:hAnsi="Times" w:cs="Times New Roman"/>
          <w:sz w:val="23"/>
          <w:szCs w:val="23"/>
        </w:rPr>
        <w:t xml:space="preserve">cology. </w:t>
      </w:r>
      <w:r w:rsidR="00DF05BD" w:rsidRPr="00F853DD">
        <w:rPr>
          <w:rFonts w:ascii="Times" w:hAnsi="Times" w:cs="Times New Roman"/>
          <w:i/>
          <w:sz w:val="23"/>
          <w:szCs w:val="23"/>
        </w:rPr>
        <w:t>Journal of Family Nursing</w:t>
      </w:r>
      <w:r w:rsidR="002E3FC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DF05BD" w:rsidRPr="00F853DD">
        <w:rPr>
          <w:rFonts w:ascii="Times" w:hAnsi="Times" w:cs="Times New Roman"/>
          <w:sz w:val="23"/>
          <w:szCs w:val="23"/>
        </w:rPr>
        <w:t>, 5-10.</w:t>
      </w:r>
    </w:p>
    <w:p w14:paraId="0997301F" w14:textId="4FE745E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Barbour, R. and Kitzinger, J.</w:t>
      </w:r>
      <w:r w:rsidR="00441CE7" w:rsidRPr="00F853DD">
        <w:rPr>
          <w:rFonts w:ascii="Times" w:hAnsi="Times" w:cs="Times New Roman"/>
          <w:sz w:val="23"/>
          <w:szCs w:val="23"/>
        </w:rPr>
        <w:t>,</w:t>
      </w:r>
      <w:r w:rsidRPr="00F853DD">
        <w:rPr>
          <w:rFonts w:ascii="Times" w:hAnsi="Times" w:cs="Times New Roman"/>
          <w:sz w:val="23"/>
          <w:szCs w:val="23"/>
        </w:rPr>
        <w:t xml:space="preserve"> (1999). </w:t>
      </w:r>
      <w:r w:rsidRPr="00F853DD">
        <w:rPr>
          <w:rFonts w:ascii="Times" w:hAnsi="Times" w:cs="Times New Roman"/>
          <w:i/>
          <w:sz w:val="23"/>
          <w:szCs w:val="23"/>
        </w:rPr>
        <w:t>Developing focus group research [electronic resource]: politics, theory, and practice</w:t>
      </w:r>
      <w:r w:rsidRPr="00F853DD">
        <w:rPr>
          <w:rFonts w:ascii="Times" w:hAnsi="Times" w:cs="Times New Roman"/>
          <w:sz w:val="23"/>
          <w:szCs w:val="23"/>
        </w:rPr>
        <w:t>. London, Thousand Oaks: SAGE Publications.</w:t>
      </w:r>
    </w:p>
    <w:p w14:paraId="081DCD29" w14:textId="1F7BCE9E"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Barer, B. and Johnson, C.</w:t>
      </w:r>
      <w:r w:rsidR="00441CE7" w:rsidRPr="00F853DD">
        <w:rPr>
          <w:rFonts w:ascii="Times" w:hAnsi="Times" w:cs="Times New Roman"/>
          <w:sz w:val="23"/>
          <w:szCs w:val="23"/>
        </w:rPr>
        <w:t>,</w:t>
      </w:r>
      <w:r w:rsidR="00DF05BD" w:rsidRPr="00F853DD">
        <w:rPr>
          <w:rFonts w:ascii="Times" w:hAnsi="Times" w:cs="Times New Roman"/>
          <w:sz w:val="23"/>
          <w:szCs w:val="23"/>
        </w:rPr>
        <w:t xml:space="preserve"> (1990). A critique of the caregiving literature. </w:t>
      </w:r>
      <w:r w:rsidR="00DF05BD" w:rsidRPr="00F853DD">
        <w:rPr>
          <w:rFonts w:ascii="Times" w:hAnsi="Times" w:cs="Times New Roman"/>
          <w:i/>
          <w:sz w:val="23"/>
          <w:szCs w:val="23"/>
        </w:rPr>
        <w:t>Gerontologist</w:t>
      </w:r>
      <w:r w:rsidR="002E3FC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115E96" w:rsidRPr="00F853DD">
        <w:rPr>
          <w:rFonts w:ascii="Times" w:hAnsi="Times" w:cs="Times New Roman"/>
          <w:sz w:val="23"/>
          <w:szCs w:val="23"/>
        </w:rPr>
        <w:t>(1)</w:t>
      </w:r>
      <w:r w:rsidR="00DF05BD" w:rsidRPr="00F853DD">
        <w:rPr>
          <w:rFonts w:ascii="Times" w:hAnsi="Times" w:cs="Times New Roman"/>
          <w:sz w:val="23"/>
          <w:szCs w:val="23"/>
        </w:rPr>
        <w:t>, 26-29.</w:t>
      </w:r>
    </w:p>
    <w:p w14:paraId="7A5464B3"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w:t>
      </w:r>
      <w:r w:rsidRPr="00F853DD">
        <w:rPr>
          <w:rFonts w:ascii="Times" w:hAnsi="Times" w:cs="Arial"/>
          <w:sz w:val="23"/>
          <w:szCs w:val="23"/>
          <w:bdr w:val="none" w:sz="0" w:space="0" w:color="auto" w:frame="1"/>
        </w:rPr>
        <w:t>rker, G. (2008). Engaging men and boys in caregiving: reflections from research, practice and policy advocacy in Latin America [online]. </w:t>
      </w:r>
      <w:r w:rsidRPr="00F853DD">
        <w:rPr>
          <w:rFonts w:ascii="Times" w:hAnsi="Times" w:cs="Arial"/>
          <w:i/>
          <w:iCs/>
          <w:sz w:val="23"/>
          <w:szCs w:val="23"/>
          <w:lang w:val="es-ES"/>
        </w:rPr>
        <w:t>Preparado para la reunión del Grupo de Expertos sobre el reparto equitativo de las responsabilidades entre mujeres y hombres, incluidos los cuidados prestados en el contexto del VIH/SIDA, organizado por la División de las Naciones Unidas para el Adelanto de la Mujer, Ginebra</w:t>
      </w:r>
      <w:r w:rsidRPr="00F853DD">
        <w:rPr>
          <w:rFonts w:ascii="Times" w:hAnsi="Times" w:cs="Arial"/>
          <w:sz w:val="23"/>
          <w:szCs w:val="23"/>
          <w:bdr w:val="none" w:sz="0" w:space="0" w:color="auto" w:frame="1"/>
          <w:lang w:val="es-ES"/>
        </w:rPr>
        <w:t>.</w:t>
      </w:r>
      <w:r w:rsidRPr="00F853DD">
        <w:rPr>
          <w:rFonts w:ascii="Times" w:hAnsi="Times"/>
          <w:sz w:val="23"/>
          <w:szCs w:val="23"/>
          <w:lang w:val="es-ES"/>
        </w:rPr>
        <w:t xml:space="preserve"> </w:t>
      </w:r>
      <w:r w:rsidRPr="00F853DD">
        <w:rPr>
          <w:rFonts w:ascii="Times" w:hAnsi="Times"/>
          <w:sz w:val="23"/>
          <w:szCs w:val="23"/>
        </w:rPr>
        <w:t>[Viewed 22 November 2019]. Available from: </w:t>
      </w:r>
      <w:r w:rsidRPr="00F853DD">
        <w:rPr>
          <w:rFonts w:ascii="Times" w:hAnsi="Times"/>
          <w:sz w:val="23"/>
          <w:szCs w:val="23"/>
          <w:bdr w:val="none" w:sz="0" w:space="0" w:color="auto" w:frame="1"/>
        </w:rPr>
        <w:t>https://pdfs.semanticscholar.org/5376/47bff6c1be7bb51847e0e3280eb2ae1b78a5.pdf?_ga=2.100667393.143067866.1574952202-757829244.1560866386</w:t>
      </w:r>
    </w:p>
    <w:p w14:paraId="12A819D2" w14:textId="11436871" w:rsidR="00DF05BD" w:rsidRPr="00F853DD" w:rsidRDefault="00BF7831"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Barnabe, N.</w:t>
      </w:r>
      <w:r w:rsidR="00441CE7" w:rsidRPr="00F853DD">
        <w:rPr>
          <w:rFonts w:ascii="Times" w:hAnsi="Times" w:cs="Times New Roman"/>
          <w:sz w:val="23"/>
          <w:szCs w:val="23"/>
        </w:rPr>
        <w:t xml:space="preserve"> and Dell'acqua, M.,</w:t>
      </w:r>
      <w:r w:rsidR="00DF05BD" w:rsidRPr="00F853DD">
        <w:rPr>
          <w:rFonts w:ascii="Times" w:hAnsi="Times" w:cs="Times New Roman"/>
          <w:sz w:val="23"/>
          <w:szCs w:val="23"/>
        </w:rPr>
        <w:t xml:space="preserve"> (2008). Coping strategies of ostomized individuals. </w:t>
      </w:r>
      <w:r w:rsidR="00DF05BD" w:rsidRPr="00F853DD">
        <w:rPr>
          <w:rFonts w:ascii="Times" w:hAnsi="Times" w:cs="Times New Roman"/>
          <w:i/>
          <w:sz w:val="23"/>
          <w:szCs w:val="23"/>
          <w:lang w:val="en-TT"/>
        </w:rPr>
        <w:t>Revista Latino-Americana De Enfermagem</w:t>
      </w:r>
      <w:r w:rsidR="002E3FCC" w:rsidRPr="00F853DD">
        <w:rPr>
          <w:rFonts w:ascii="Times" w:hAnsi="Times" w:cs="Times New Roman"/>
          <w:sz w:val="23"/>
          <w:szCs w:val="23"/>
          <w:lang w:val="en-TT"/>
        </w:rPr>
        <w:t>.</w:t>
      </w:r>
      <w:r w:rsidR="00DF05BD" w:rsidRPr="00F853DD">
        <w:rPr>
          <w:rFonts w:ascii="Times" w:hAnsi="Times" w:cs="Times New Roman"/>
          <w:sz w:val="23"/>
          <w:szCs w:val="23"/>
          <w:lang w:val="en-TT"/>
        </w:rPr>
        <w:t xml:space="preserve"> </w:t>
      </w:r>
      <w:r w:rsidR="00DF05BD" w:rsidRPr="00F853DD">
        <w:rPr>
          <w:rFonts w:ascii="Times" w:hAnsi="Times" w:cs="Times New Roman"/>
          <w:b/>
          <w:sz w:val="23"/>
          <w:szCs w:val="23"/>
          <w:lang w:val="en-TT"/>
        </w:rPr>
        <w:t>16</w:t>
      </w:r>
      <w:r w:rsidR="00115E96" w:rsidRPr="00F853DD">
        <w:rPr>
          <w:rFonts w:ascii="Times" w:hAnsi="Times" w:cs="Times New Roman"/>
          <w:sz w:val="23"/>
          <w:szCs w:val="23"/>
          <w:lang w:val="en-TT"/>
        </w:rPr>
        <w:t>(4)</w:t>
      </w:r>
      <w:r w:rsidR="00DF05BD" w:rsidRPr="00F853DD">
        <w:rPr>
          <w:rFonts w:ascii="Times" w:hAnsi="Times" w:cs="Times New Roman"/>
          <w:sz w:val="23"/>
          <w:szCs w:val="23"/>
          <w:lang w:val="en-TT"/>
        </w:rPr>
        <w:t>, 712-719.</w:t>
      </w:r>
    </w:p>
    <w:p w14:paraId="55F34B41" w14:textId="13C49813"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lang w:val="en-TT"/>
        </w:rPr>
        <w:t>Barnay, T. and Juin, S.</w:t>
      </w:r>
      <w:r w:rsidR="00441CE7" w:rsidRPr="00F853DD">
        <w:rPr>
          <w:rFonts w:ascii="Times" w:hAnsi="Times" w:cs="Times New Roman"/>
          <w:sz w:val="23"/>
          <w:szCs w:val="23"/>
          <w:lang w:val="en-TT"/>
        </w:rPr>
        <w:t>,</w:t>
      </w:r>
      <w:r w:rsidRPr="00F853DD">
        <w:rPr>
          <w:rFonts w:ascii="Times" w:hAnsi="Times" w:cs="Times New Roman"/>
          <w:sz w:val="23"/>
          <w:szCs w:val="23"/>
          <w:lang w:val="en-TT"/>
        </w:rPr>
        <w:t xml:space="preserve"> (2015). </w:t>
      </w:r>
      <w:r w:rsidRPr="00F853DD">
        <w:rPr>
          <w:rFonts w:ascii="Times" w:hAnsi="Times" w:cs="Times New Roman"/>
          <w:i/>
          <w:sz w:val="23"/>
          <w:szCs w:val="23"/>
        </w:rPr>
        <w:t>Does Care to Dependent Elderly People Living at Home Increase their Mental Health?</w:t>
      </w:r>
      <w:r w:rsidRPr="00F853DD">
        <w:rPr>
          <w:rFonts w:ascii="Times" w:hAnsi="Times" w:cs="Times New Roman"/>
          <w:sz w:val="23"/>
          <w:szCs w:val="23"/>
        </w:rPr>
        <w:t xml:space="preserve"> TEPP Working Paper 2014-6 </w:t>
      </w:r>
      <w:r w:rsidRPr="00F853DD">
        <w:rPr>
          <w:rFonts w:ascii="Times" w:hAnsi="Times" w:cs="Times New Roman"/>
          <w:sz w:val="23"/>
          <w:szCs w:val="23"/>
          <w:lang w:val="en-TT"/>
        </w:rPr>
        <w:t xml:space="preserve">[online]. Available from: https://halshs.archives-ouvertes.fr/halshs-01100236/document </w:t>
      </w:r>
    </w:p>
    <w:p w14:paraId="719ADEC4" w14:textId="780AD1F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Barnes, M.</w:t>
      </w:r>
      <w:r w:rsidR="00441CE7" w:rsidRPr="00F853DD">
        <w:rPr>
          <w:rFonts w:ascii="Times" w:hAnsi="Times" w:cs="Times New Roman"/>
          <w:sz w:val="23"/>
          <w:szCs w:val="23"/>
          <w:lang w:val="en-TT"/>
        </w:rPr>
        <w:t>,</w:t>
      </w:r>
      <w:r w:rsidRPr="00F853DD">
        <w:rPr>
          <w:rFonts w:ascii="Times" w:hAnsi="Times" w:cs="Times New Roman"/>
          <w:sz w:val="23"/>
          <w:szCs w:val="23"/>
          <w:lang w:val="en-TT"/>
        </w:rPr>
        <w:t xml:space="preserve"> (1997). </w:t>
      </w:r>
      <w:r w:rsidRPr="00F853DD">
        <w:rPr>
          <w:rFonts w:ascii="Times" w:hAnsi="Times" w:cs="Times New Roman"/>
          <w:i/>
          <w:sz w:val="23"/>
          <w:szCs w:val="23"/>
        </w:rPr>
        <w:t>Care, communities and citizens</w:t>
      </w:r>
      <w:r w:rsidRPr="00F853DD">
        <w:rPr>
          <w:rFonts w:ascii="Times" w:hAnsi="Times" w:cs="Times New Roman"/>
          <w:sz w:val="23"/>
          <w:szCs w:val="23"/>
        </w:rPr>
        <w:t>. London: Longman.</w:t>
      </w:r>
    </w:p>
    <w:p w14:paraId="5D610375" w14:textId="5224D78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Barnes, M.</w:t>
      </w:r>
      <w:r w:rsidR="00441CE7" w:rsidRPr="00F853DD">
        <w:rPr>
          <w:rFonts w:ascii="Times" w:hAnsi="Times" w:cs="Times New Roman"/>
          <w:sz w:val="23"/>
          <w:szCs w:val="23"/>
        </w:rPr>
        <w:t>,</w:t>
      </w:r>
      <w:r w:rsidRPr="00F853DD">
        <w:rPr>
          <w:rFonts w:ascii="Times" w:hAnsi="Times" w:cs="Times New Roman"/>
          <w:sz w:val="23"/>
          <w:szCs w:val="23"/>
        </w:rPr>
        <w:t xml:space="preserve"> (2006). </w:t>
      </w:r>
      <w:r w:rsidRPr="00F853DD">
        <w:rPr>
          <w:rFonts w:ascii="Times" w:hAnsi="Times" w:cs="Times New Roman"/>
          <w:i/>
          <w:sz w:val="23"/>
          <w:szCs w:val="23"/>
        </w:rPr>
        <w:t>Caring and Social Justice.</w:t>
      </w:r>
      <w:r w:rsidRPr="00F853DD">
        <w:rPr>
          <w:rFonts w:ascii="Times" w:hAnsi="Times" w:cs="Times New Roman"/>
          <w:sz w:val="23"/>
          <w:szCs w:val="23"/>
        </w:rPr>
        <w:t xml:space="preserve"> New York: Palgrave Macmillan.</w:t>
      </w:r>
    </w:p>
    <w:p w14:paraId="6DCE7BE3" w14:textId="6A6C385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Barnes, M.</w:t>
      </w:r>
      <w:r w:rsidR="00441CE7" w:rsidRPr="00F853DD">
        <w:rPr>
          <w:rFonts w:ascii="Times" w:hAnsi="Times" w:cs="Times New Roman"/>
          <w:sz w:val="23"/>
          <w:szCs w:val="23"/>
        </w:rPr>
        <w:t>,</w:t>
      </w:r>
      <w:r w:rsidRPr="00F853DD">
        <w:rPr>
          <w:rFonts w:ascii="Times" w:hAnsi="Times" w:cs="Times New Roman"/>
          <w:sz w:val="23"/>
          <w:szCs w:val="23"/>
        </w:rPr>
        <w:t xml:space="preserve"> (2012)a. An ethic of care and sibling care in older age</w:t>
      </w:r>
      <w:r w:rsidRPr="00F853DD">
        <w:rPr>
          <w:rFonts w:ascii="Times" w:hAnsi="Times" w:cs="Times New Roman"/>
          <w:i/>
          <w:sz w:val="23"/>
          <w:szCs w:val="23"/>
        </w:rPr>
        <w:t>. Families Relationships and Societies</w:t>
      </w:r>
      <w:r w:rsidRPr="00F853DD">
        <w:rPr>
          <w:rFonts w:ascii="Times" w:hAnsi="Times" w:cs="Times New Roman"/>
          <w:sz w:val="23"/>
          <w:szCs w:val="23"/>
        </w:rPr>
        <w:t xml:space="preserve">, </w:t>
      </w:r>
      <w:r w:rsidRPr="00F853DD">
        <w:rPr>
          <w:rFonts w:ascii="Times" w:hAnsi="Times" w:cs="Times New Roman"/>
          <w:b/>
          <w:sz w:val="23"/>
          <w:szCs w:val="23"/>
        </w:rPr>
        <w:t>1</w:t>
      </w:r>
      <w:r w:rsidRPr="00F853DD">
        <w:rPr>
          <w:rFonts w:ascii="Times" w:hAnsi="Times" w:cs="Times New Roman"/>
          <w:sz w:val="23"/>
          <w:szCs w:val="23"/>
        </w:rPr>
        <w:t>, 7-23.</w:t>
      </w:r>
    </w:p>
    <w:p w14:paraId="2573B23F" w14:textId="54B96E1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Barnes, M.</w:t>
      </w:r>
      <w:r w:rsidR="00441CE7" w:rsidRPr="00F853DD">
        <w:rPr>
          <w:rFonts w:ascii="Times" w:hAnsi="Times" w:cs="Times New Roman"/>
          <w:sz w:val="23"/>
          <w:szCs w:val="23"/>
        </w:rPr>
        <w:t>,</w:t>
      </w:r>
      <w:r w:rsidRPr="00F853DD">
        <w:rPr>
          <w:rFonts w:ascii="Times" w:hAnsi="Times" w:cs="Times New Roman"/>
          <w:sz w:val="23"/>
          <w:szCs w:val="23"/>
        </w:rPr>
        <w:t xml:space="preserve"> (2012)b. </w:t>
      </w:r>
      <w:r w:rsidRPr="00F853DD">
        <w:rPr>
          <w:rFonts w:ascii="Times" w:hAnsi="Times" w:cs="Times New Roman"/>
          <w:i/>
          <w:sz w:val="23"/>
          <w:szCs w:val="23"/>
        </w:rPr>
        <w:t>Care In Everyday Life: An ethic of care in practice Introduction. Care in Everyday Life: an Ethic of Care in Practice</w:t>
      </w:r>
      <w:r w:rsidRPr="00F853DD">
        <w:rPr>
          <w:rFonts w:ascii="Times" w:hAnsi="Times" w:cs="Times New Roman"/>
          <w:sz w:val="23"/>
          <w:szCs w:val="23"/>
        </w:rPr>
        <w:t>. Bristol: Policy Press.</w:t>
      </w:r>
    </w:p>
    <w:p w14:paraId="6289DB40" w14:textId="045B337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Barnes, M.</w:t>
      </w:r>
      <w:r w:rsidR="00441CE7" w:rsidRPr="00F853DD">
        <w:rPr>
          <w:rFonts w:ascii="Times" w:hAnsi="Times" w:cs="Times New Roman"/>
          <w:sz w:val="23"/>
          <w:szCs w:val="23"/>
        </w:rPr>
        <w:t>,</w:t>
      </w:r>
      <w:r w:rsidRPr="00F853DD">
        <w:rPr>
          <w:rFonts w:ascii="Times" w:hAnsi="Times" w:cs="Times New Roman"/>
          <w:sz w:val="23"/>
          <w:szCs w:val="23"/>
        </w:rPr>
        <w:t xml:space="preserve"> (2012)c</w:t>
      </w:r>
      <w:r w:rsidRPr="00F853DD">
        <w:rPr>
          <w:rFonts w:ascii="Times" w:hAnsi="Times" w:cs="Times New Roman"/>
          <w:i/>
          <w:sz w:val="23"/>
          <w:szCs w:val="23"/>
        </w:rPr>
        <w:t>. Care in ever</w:t>
      </w:r>
      <w:r w:rsidR="002E3FCC" w:rsidRPr="00F853DD">
        <w:rPr>
          <w:rFonts w:ascii="Times" w:hAnsi="Times" w:cs="Times New Roman"/>
          <w:i/>
          <w:sz w:val="23"/>
          <w:szCs w:val="23"/>
        </w:rPr>
        <w:t>yday life [electronic resource]</w:t>
      </w:r>
      <w:r w:rsidRPr="00F853DD">
        <w:rPr>
          <w:rFonts w:ascii="Times" w:hAnsi="Times" w:cs="Times New Roman"/>
          <w:i/>
          <w:sz w:val="23"/>
          <w:szCs w:val="23"/>
        </w:rPr>
        <w:t>: an ethic of care in practice</w:t>
      </w:r>
      <w:r w:rsidRPr="00F853DD">
        <w:rPr>
          <w:rFonts w:ascii="Times" w:hAnsi="Times" w:cs="Times New Roman"/>
          <w:sz w:val="23"/>
          <w:szCs w:val="23"/>
        </w:rPr>
        <w:t>. Bristol: Policy Press.</w:t>
      </w:r>
    </w:p>
    <w:p w14:paraId="5DAD0136" w14:textId="36129D1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Barnes, M.</w:t>
      </w:r>
      <w:r w:rsidR="00441CE7" w:rsidRPr="00F853DD">
        <w:rPr>
          <w:rFonts w:ascii="Times" w:hAnsi="Times" w:cs="Times New Roman"/>
          <w:sz w:val="23"/>
          <w:szCs w:val="23"/>
        </w:rPr>
        <w:t>,</w:t>
      </w:r>
      <w:r w:rsidRPr="00F853DD">
        <w:rPr>
          <w:rFonts w:ascii="Times" w:hAnsi="Times" w:cs="Times New Roman"/>
          <w:sz w:val="23"/>
          <w:szCs w:val="23"/>
        </w:rPr>
        <w:t xml:space="preserve"> (2012)d. </w:t>
      </w:r>
      <w:r w:rsidRPr="00F853DD">
        <w:rPr>
          <w:rFonts w:ascii="Times" w:hAnsi="Times" w:cs="Times New Roman"/>
          <w:i/>
          <w:sz w:val="23"/>
          <w:szCs w:val="23"/>
        </w:rPr>
        <w:t>Care: ethics, policy and politics. Care in Everyday Life: an Ethic of Care in Practice</w:t>
      </w:r>
      <w:r w:rsidRPr="00F853DD">
        <w:rPr>
          <w:rFonts w:ascii="Times" w:hAnsi="Times" w:cs="Times New Roman"/>
          <w:sz w:val="23"/>
          <w:szCs w:val="23"/>
        </w:rPr>
        <w:t>. Bristol: Policy Press.</w:t>
      </w:r>
    </w:p>
    <w:p w14:paraId="51146216" w14:textId="19D2CC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Barnes, M.</w:t>
      </w:r>
      <w:r w:rsidR="00441CE7" w:rsidRPr="00F853DD">
        <w:rPr>
          <w:rFonts w:ascii="Times" w:hAnsi="Times" w:cs="Times New Roman"/>
          <w:sz w:val="23"/>
          <w:szCs w:val="23"/>
        </w:rPr>
        <w:t>,</w:t>
      </w:r>
      <w:r w:rsidRPr="00F853DD">
        <w:rPr>
          <w:rFonts w:ascii="Times" w:hAnsi="Times" w:cs="Times New Roman"/>
          <w:sz w:val="23"/>
          <w:szCs w:val="23"/>
        </w:rPr>
        <w:t xml:space="preserve"> (2012)e. </w:t>
      </w:r>
      <w:r w:rsidRPr="00F853DD">
        <w:rPr>
          <w:rFonts w:ascii="Times" w:hAnsi="Times" w:cs="Times New Roman"/>
          <w:i/>
          <w:sz w:val="23"/>
          <w:szCs w:val="23"/>
        </w:rPr>
        <w:t xml:space="preserve">Civility, </w:t>
      </w:r>
      <w:r w:rsidR="002E3FCC" w:rsidRPr="00F853DD">
        <w:rPr>
          <w:rFonts w:ascii="Times" w:hAnsi="Times" w:cs="Times New Roman"/>
          <w:i/>
          <w:sz w:val="23"/>
          <w:szCs w:val="23"/>
        </w:rPr>
        <w:t>respect, care and justice: the ‘comfort of strangers’? Care in everyday l</w:t>
      </w:r>
      <w:r w:rsidRPr="00F853DD">
        <w:rPr>
          <w:rFonts w:ascii="Times" w:hAnsi="Times" w:cs="Times New Roman"/>
          <w:i/>
          <w:sz w:val="23"/>
          <w:szCs w:val="23"/>
        </w:rPr>
        <w:t xml:space="preserve">ife: an </w:t>
      </w:r>
      <w:r w:rsidR="002E3FCC" w:rsidRPr="00F853DD">
        <w:rPr>
          <w:rFonts w:ascii="Times" w:hAnsi="Times" w:cs="Times New Roman"/>
          <w:i/>
          <w:sz w:val="23"/>
          <w:szCs w:val="23"/>
        </w:rPr>
        <w:t>ethic of care in p</w:t>
      </w:r>
      <w:r w:rsidRPr="00F853DD">
        <w:rPr>
          <w:rFonts w:ascii="Times" w:hAnsi="Times" w:cs="Times New Roman"/>
          <w:i/>
          <w:sz w:val="23"/>
          <w:szCs w:val="23"/>
        </w:rPr>
        <w:t>ractice</w:t>
      </w:r>
      <w:r w:rsidRPr="00F853DD">
        <w:rPr>
          <w:rFonts w:ascii="Times" w:hAnsi="Times" w:cs="Times New Roman"/>
          <w:sz w:val="23"/>
          <w:szCs w:val="23"/>
        </w:rPr>
        <w:t>. Bristol: Policy Press.</w:t>
      </w:r>
    </w:p>
    <w:p w14:paraId="1603CE4C" w14:textId="352D3D1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Barnes, M., Conradi, E. and Vosman, F.</w:t>
      </w:r>
      <w:r w:rsidR="00441CE7" w:rsidRPr="00F853DD">
        <w:rPr>
          <w:rFonts w:ascii="Times" w:hAnsi="Times" w:cs="Times New Roman"/>
          <w:sz w:val="23"/>
          <w:szCs w:val="23"/>
        </w:rPr>
        <w:t>,</w:t>
      </w:r>
      <w:r w:rsidR="002E3FCC" w:rsidRPr="00F853DD">
        <w:rPr>
          <w:rFonts w:ascii="Times" w:hAnsi="Times" w:cs="Times New Roman"/>
          <w:sz w:val="23"/>
          <w:szCs w:val="23"/>
        </w:rPr>
        <w:t xml:space="preserve"> (2015). Deliberation and transformation from the ethics of c</w:t>
      </w:r>
      <w:r w:rsidRPr="00F853DD">
        <w:rPr>
          <w:rFonts w:ascii="Times" w:hAnsi="Times" w:cs="Times New Roman"/>
          <w:sz w:val="23"/>
          <w:szCs w:val="23"/>
        </w:rPr>
        <w:t xml:space="preserve">are. </w:t>
      </w:r>
      <w:r w:rsidRPr="00F853DD">
        <w:rPr>
          <w:rFonts w:ascii="Times" w:hAnsi="Times" w:cs="Times New Roman"/>
          <w:i/>
          <w:sz w:val="23"/>
          <w:szCs w:val="23"/>
        </w:rPr>
        <w:t>Ethics and Social Welfare</w:t>
      </w:r>
      <w:r w:rsidR="002E3F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 109-112.</w:t>
      </w:r>
    </w:p>
    <w:p w14:paraId="2B0DE718" w14:textId="7060F56B"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Barnett, A.</w:t>
      </w:r>
      <w:r w:rsidR="00441CE7" w:rsidRPr="00F853DD">
        <w:rPr>
          <w:rFonts w:ascii="Times" w:hAnsi="Times" w:cs="Times New Roman"/>
          <w:sz w:val="23"/>
          <w:szCs w:val="23"/>
        </w:rPr>
        <w:t>,</w:t>
      </w:r>
      <w:r w:rsidR="002E3FCC" w:rsidRPr="00F853DD">
        <w:rPr>
          <w:rFonts w:ascii="Times" w:hAnsi="Times" w:cs="Times New Roman"/>
          <w:sz w:val="23"/>
          <w:szCs w:val="23"/>
        </w:rPr>
        <w:t xml:space="preserve"> (2013). Pathways of adult children providing care to older p</w:t>
      </w:r>
      <w:r w:rsidR="00DF05BD" w:rsidRPr="00F853DD">
        <w:rPr>
          <w:rFonts w:ascii="Times" w:hAnsi="Times" w:cs="Times New Roman"/>
          <w:sz w:val="23"/>
          <w:szCs w:val="23"/>
        </w:rPr>
        <w:t>arents</w:t>
      </w:r>
      <w:r w:rsidR="00DF05BD" w:rsidRPr="00F853DD">
        <w:rPr>
          <w:rFonts w:ascii="Times" w:hAnsi="Times" w:cs="Times New Roman"/>
          <w:i/>
          <w:sz w:val="23"/>
          <w:szCs w:val="23"/>
        </w:rPr>
        <w:t>. Journal of Marriage and Family</w:t>
      </w:r>
      <w:r w:rsidR="00DF05BD" w:rsidRPr="00F853DD">
        <w:rPr>
          <w:rFonts w:ascii="Times" w:hAnsi="Times" w:cs="Times New Roman"/>
          <w:sz w:val="23"/>
          <w:szCs w:val="23"/>
        </w:rPr>
        <w:t xml:space="preserve">, </w:t>
      </w:r>
      <w:r w:rsidR="00DF05BD" w:rsidRPr="00F853DD">
        <w:rPr>
          <w:rFonts w:ascii="Times" w:hAnsi="Times" w:cs="Times New Roman"/>
          <w:b/>
          <w:sz w:val="23"/>
          <w:szCs w:val="23"/>
        </w:rPr>
        <w:t>75</w:t>
      </w:r>
      <w:r w:rsidR="00DF05BD" w:rsidRPr="00F853DD">
        <w:rPr>
          <w:rFonts w:ascii="Times" w:hAnsi="Times" w:cs="Times New Roman"/>
          <w:sz w:val="23"/>
          <w:szCs w:val="23"/>
        </w:rPr>
        <w:t>, 178-190.</w:t>
      </w:r>
    </w:p>
    <w:p w14:paraId="4F674102" w14:textId="275C260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Barnhart, M. and Peñaloza, L.</w:t>
      </w:r>
      <w:r w:rsidR="00441CE7" w:rsidRPr="00F853DD">
        <w:rPr>
          <w:rFonts w:ascii="Times" w:hAnsi="Times" w:cs="Times New Roman"/>
          <w:sz w:val="23"/>
          <w:szCs w:val="23"/>
        </w:rPr>
        <w:t>,</w:t>
      </w:r>
      <w:r w:rsidRPr="00F853DD">
        <w:rPr>
          <w:rFonts w:ascii="Times" w:hAnsi="Times" w:cs="Times New Roman"/>
          <w:sz w:val="23"/>
          <w:szCs w:val="23"/>
        </w:rPr>
        <w:t xml:space="preserve"> (2012). Who are you calling old? Negotiating old age identity in the elderly consumption ensemble. </w:t>
      </w:r>
      <w:r w:rsidRPr="00F853DD">
        <w:rPr>
          <w:rFonts w:ascii="Times" w:hAnsi="Times" w:cs="Times New Roman"/>
          <w:i/>
          <w:sz w:val="23"/>
          <w:szCs w:val="23"/>
        </w:rPr>
        <w:t>Journal of Consumer Research</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(6), 1133-1153.</w:t>
      </w:r>
    </w:p>
    <w:p w14:paraId="4735D9E5" w14:textId="0C3D346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Barrett, P., Hale, B. and Butler, M.</w:t>
      </w:r>
      <w:r w:rsidR="00441CE7" w:rsidRPr="00F853DD">
        <w:rPr>
          <w:rFonts w:ascii="Times" w:hAnsi="Times" w:cs="Times New Roman"/>
          <w:sz w:val="23"/>
          <w:szCs w:val="23"/>
        </w:rPr>
        <w:t>,</w:t>
      </w:r>
      <w:r w:rsidR="002E3FCC" w:rsidRPr="00F853DD">
        <w:rPr>
          <w:rFonts w:ascii="Times" w:hAnsi="Times" w:cs="Times New Roman"/>
          <w:sz w:val="23"/>
          <w:szCs w:val="23"/>
        </w:rPr>
        <w:t xml:space="preserve"> (2014). Family care and social capital: t</w:t>
      </w:r>
      <w:r w:rsidRPr="00F853DD">
        <w:rPr>
          <w:rFonts w:ascii="Times" w:hAnsi="Times" w:cs="Times New Roman"/>
          <w:sz w:val="23"/>
          <w:szCs w:val="23"/>
        </w:rPr>
        <w:t>ran</w:t>
      </w:r>
      <w:r w:rsidR="002E3FCC" w:rsidRPr="00F853DD">
        <w:rPr>
          <w:rFonts w:ascii="Times" w:hAnsi="Times" w:cs="Times New Roman"/>
          <w:sz w:val="23"/>
          <w:szCs w:val="23"/>
        </w:rPr>
        <w:t>sitions in informal c</w:t>
      </w:r>
      <w:r w:rsidRPr="00F853DD">
        <w:rPr>
          <w:rFonts w:ascii="Times" w:hAnsi="Times" w:cs="Times New Roman"/>
          <w:sz w:val="23"/>
          <w:szCs w:val="23"/>
        </w:rPr>
        <w:t>are. [Viewed 3 November 2017]. Springer.</w:t>
      </w:r>
    </w:p>
    <w:p w14:paraId="77F4FCCE" w14:textId="640461DE" w:rsidR="00DF05BD" w:rsidRPr="00F853DD" w:rsidRDefault="00DF05BD" w:rsidP="00E1694A">
      <w:pPr>
        <w:spacing w:line="240" w:lineRule="auto"/>
        <w:ind w:left="567" w:hanging="567"/>
        <w:rPr>
          <w:rFonts w:ascii="Times" w:eastAsia="Times New Roman" w:hAnsi="Times" w:cs="Times New Roman"/>
          <w:sz w:val="23"/>
          <w:szCs w:val="23"/>
        </w:rPr>
      </w:pPr>
      <w:r w:rsidRPr="00F853DD">
        <w:rPr>
          <w:rFonts w:ascii="Times" w:hAnsi="Times" w:cs="Times New Roman"/>
          <w:sz w:val="23"/>
          <w:szCs w:val="23"/>
        </w:rPr>
        <w:t>Barrow, C.</w:t>
      </w:r>
      <w:r w:rsidR="00441CE7" w:rsidRPr="00F853DD">
        <w:rPr>
          <w:rFonts w:ascii="Times" w:hAnsi="Times" w:cs="Times New Roman"/>
          <w:sz w:val="23"/>
          <w:szCs w:val="23"/>
        </w:rPr>
        <w:t>,</w:t>
      </w:r>
      <w:r w:rsidR="002E3FCC" w:rsidRPr="00F853DD">
        <w:rPr>
          <w:rFonts w:ascii="Times" w:hAnsi="Times" w:cs="Times New Roman"/>
          <w:sz w:val="23"/>
          <w:szCs w:val="23"/>
        </w:rPr>
        <w:t xml:space="preserve"> (2001). Men, women and f</w:t>
      </w:r>
      <w:r w:rsidRPr="00F853DD">
        <w:rPr>
          <w:rFonts w:ascii="Times" w:hAnsi="Times" w:cs="Times New Roman"/>
          <w:sz w:val="23"/>
          <w:szCs w:val="23"/>
        </w:rPr>
        <w:t xml:space="preserve">amily in the Caribbean: </w:t>
      </w:r>
      <w:r w:rsidR="002E3FCC" w:rsidRPr="00F853DD">
        <w:rPr>
          <w:rFonts w:ascii="Times" w:hAnsi="Times" w:cs="Times New Roman"/>
          <w:sz w:val="23"/>
          <w:szCs w:val="23"/>
        </w:rPr>
        <w:t>a</w:t>
      </w:r>
      <w:r w:rsidRPr="00F853DD">
        <w:rPr>
          <w:rFonts w:ascii="Times" w:hAnsi="Times" w:cs="Times New Roman"/>
          <w:sz w:val="23"/>
          <w:szCs w:val="23"/>
        </w:rPr>
        <w:t xml:space="preserve"> review. In: C. Barrow, and R. Reddock, eds. </w:t>
      </w:r>
      <w:r w:rsidRPr="00F853DD">
        <w:rPr>
          <w:rFonts w:ascii="Times" w:eastAsia="Times New Roman" w:hAnsi="Times" w:cs="Times New Roman"/>
          <w:i/>
          <w:sz w:val="23"/>
          <w:szCs w:val="23"/>
        </w:rPr>
        <w:t>Caribbean sociology: introductory readings</w:t>
      </w:r>
      <w:r w:rsidRPr="00F853DD">
        <w:rPr>
          <w:rFonts w:ascii="Times" w:eastAsia="Times New Roman" w:hAnsi="Times" w:cs="Times New Roman"/>
          <w:sz w:val="23"/>
          <w:szCs w:val="23"/>
        </w:rPr>
        <w:t>. USA, UK: James Currey Publishers; Markus Wiener Publishers. pp. 418-426.</w:t>
      </w:r>
    </w:p>
    <w:p w14:paraId="0C936A24" w14:textId="6D3A09A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Barrow, C. and Reddock, R.</w:t>
      </w:r>
      <w:r w:rsidR="00441CE7" w:rsidRPr="00F853DD">
        <w:rPr>
          <w:rFonts w:ascii="Times" w:hAnsi="Times" w:cs="Times New Roman"/>
          <w:sz w:val="23"/>
          <w:szCs w:val="23"/>
        </w:rPr>
        <w:t>,</w:t>
      </w:r>
      <w:r w:rsidRPr="00F853DD">
        <w:rPr>
          <w:rFonts w:ascii="Times" w:hAnsi="Times" w:cs="Times New Roman"/>
          <w:sz w:val="23"/>
          <w:szCs w:val="23"/>
        </w:rPr>
        <w:t xml:space="preserve"> (eds.) (2001). </w:t>
      </w:r>
      <w:r w:rsidR="002E3FCC" w:rsidRPr="00F853DD">
        <w:rPr>
          <w:rFonts w:ascii="Times" w:hAnsi="Times" w:cs="Times New Roman"/>
          <w:i/>
          <w:sz w:val="23"/>
          <w:szCs w:val="23"/>
        </w:rPr>
        <w:t>Caribbean sociology: introductory r</w:t>
      </w:r>
      <w:r w:rsidRPr="00F853DD">
        <w:rPr>
          <w:rFonts w:ascii="Times" w:hAnsi="Times" w:cs="Times New Roman"/>
          <w:i/>
          <w:sz w:val="23"/>
          <w:szCs w:val="23"/>
        </w:rPr>
        <w:t>eadings</w:t>
      </w:r>
      <w:r w:rsidRPr="00F853DD">
        <w:rPr>
          <w:rFonts w:ascii="Times" w:hAnsi="Times" w:cs="Times New Roman"/>
          <w:sz w:val="23"/>
          <w:szCs w:val="23"/>
        </w:rPr>
        <w:t>, UK, USA: James Currey Publishers; Markus Wiener Publishers.</w:t>
      </w:r>
    </w:p>
    <w:p w14:paraId="0E5BB1EF" w14:textId="19BC8B8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Bartlett, D.</w:t>
      </w:r>
      <w:r w:rsidR="00441CE7" w:rsidRPr="00F853DD">
        <w:rPr>
          <w:rFonts w:ascii="Times" w:hAnsi="Times" w:cs="Times New Roman"/>
          <w:sz w:val="23"/>
          <w:szCs w:val="23"/>
        </w:rPr>
        <w:t>,</w:t>
      </w:r>
      <w:r w:rsidRPr="00F853DD">
        <w:rPr>
          <w:rFonts w:ascii="Times" w:hAnsi="Times" w:cs="Times New Roman"/>
          <w:sz w:val="23"/>
          <w:szCs w:val="23"/>
        </w:rPr>
        <w:t xml:space="preserve"> (ed.) (2002). </w:t>
      </w:r>
      <w:r w:rsidR="002E3FCC" w:rsidRPr="00F853DD">
        <w:rPr>
          <w:rFonts w:ascii="Times" w:hAnsi="Times" w:cs="Times New Roman"/>
          <w:i/>
          <w:sz w:val="23"/>
          <w:szCs w:val="23"/>
        </w:rPr>
        <w:t>Stress: perspectives and p</w:t>
      </w:r>
      <w:r w:rsidRPr="00F853DD">
        <w:rPr>
          <w:rFonts w:ascii="Times" w:hAnsi="Times" w:cs="Times New Roman"/>
          <w:i/>
          <w:sz w:val="23"/>
          <w:szCs w:val="23"/>
        </w:rPr>
        <w:t>rocesses</w:t>
      </w:r>
      <w:r w:rsidRPr="00F853DD">
        <w:rPr>
          <w:rFonts w:ascii="Times" w:hAnsi="Times" w:cs="Times New Roman"/>
          <w:sz w:val="23"/>
          <w:szCs w:val="23"/>
        </w:rPr>
        <w:t>: Open University Press.</w:t>
      </w:r>
    </w:p>
    <w:p w14:paraId="6EC5E2E8" w14:textId="274692BF"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Barusch, A.</w:t>
      </w:r>
      <w:r w:rsidR="00441CE7" w:rsidRPr="00F853DD">
        <w:rPr>
          <w:rFonts w:ascii="Times" w:hAnsi="Times" w:cs="Times New Roman"/>
          <w:sz w:val="23"/>
          <w:szCs w:val="23"/>
        </w:rPr>
        <w:t>,</w:t>
      </w:r>
      <w:r w:rsidR="00DF05BD" w:rsidRPr="00F853DD">
        <w:rPr>
          <w:rFonts w:ascii="Times" w:hAnsi="Times" w:cs="Times New Roman"/>
          <w:sz w:val="23"/>
          <w:szCs w:val="23"/>
        </w:rPr>
        <w:t xml:space="preserve"> (1995). Programming for family care of elderly dependents: mandates, incentives, and service rationing. </w:t>
      </w:r>
      <w:r w:rsidR="00DF05BD" w:rsidRPr="00F853DD">
        <w:rPr>
          <w:rFonts w:ascii="Times" w:hAnsi="Times" w:cs="Times New Roman"/>
          <w:i/>
          <w:sz w:val="23"/>
          <w:szCs w:val="23"/>
        </w:rPr>
        <w:t>Social work</w:t>
      </w:r>
      <w:r w:rsidR="002E3FC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40</w:t>
      </w:r>
      <w:r w:rsidR="00115E96" w:rsidRPr="00F853DD">
        <w:rPr>
          <w:rFonts w:ascii="Times" w:hAnsi="Times" w:cs="Times New Roman"/>
          <w:sz w:val="23"/>
          <w:szCs w:val="23"/>
        </w:rPr>
        <w:t>(3)</w:t>
      </w:r>
      <w:r w:rsidR="00DF05BD" w:rsidRPr="00F853DD">
        <w:rPr>
          <w:rFonts w:ascii="Times" w:hAnsi="Times" w:cs="Times New Roman"/>
          <w:sz w:val="23"/>
          <w:szCs w:val="23"/>
        </w:rPr>
        <w:t>, 315-322.</w:t>
      </w:r>
    </w:p>
    <w:p w14:paraId="389ECA41" w14:textId="2AF08F0F"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Bass, D.</w:t>
      </w:r>
      <w:r w:rsidR="00DF05BD" w:rsidRPr="00F853DD">
        <w:rPr>
          <w:rFonts w:ascii="Times" w:hAnsi="Times" w:cs="Times New Roman"/>
          <w:sz w:val="23"/>
          <w:szCs w:val="23"/>
        </w:rPr>
        <w:t xml:space="preserve"> and Bowman, K.</w:t>
      </w:r>
      <w:r w:rsidR="00441CE7" w:rsidRPr="00F853DD">
        <w:rPr>
          <w:rFonts w:ascii="Times" w:hAnsi="Times" w:cs="Times New Roman"/>
          <w:sz w:val="23"/>
          <w:szCs w:val="23"/>
        </w:rPr>
        <w:t>,</w:t>
      </w:r>
      <w:r w:rsidR="00DF05BD" w:rsidRPr="00F853DD">
        <w:rPr>
          <w:rFonts w:ascii="Times" w:hAnsi="Times" w:cs="Times New Roman"/>
          <w:sz w:val="23"/>
          <w:szCs w:val="23"/>
        </w:rPr>
        <w:t xml:space="preserve"> (1990). The transition fr</w:t>
      </w:r>
      <w:r w:rsidR="002E3FCC" w:rsidRPr="00F853DD">
        <w:rPr>
          <w:rFonts w:ascii="Times" w:hAnsi="Times" w:cs="Times New Roman"/>
          <w:sz w:val="23"/>
          <w:szCs w:val="23"/>
        </w:rPr>
        <w:t>om caregiving to bereavement: t</w:t>
      </w:r>
      <w:r w:rsidR="00DF05BD" w:rsidRPr="00F853DD">
        <w:rPr>
          <w:rFonts w:ascii="Times" w:hAnsi="Times" w:cs="Times New Roman"/>
          <w:sz w:val="23"/>
          <w:szCs w:val="23"/>
        </w:rPr>
        <w:t xml:space="preserve">he relationship of care-related strain and adjustment in death. </w:t>
      </w:r>
      <w:r w:rsidR="00DF05BD" w:rsidRPr="00F853DD">
        <w:rPr>
          <w:rFonts w:ascii="Times" w:hAnsi="Times" w:cs="Times New Roman"/>
          <w:i/>
          <w:sz w:val="23"/>
          <w:szCs w:val="23"/>
        </w:rPr>
        <w:t>Gerontologist</w:t>
      </w:r>
      <w:r w:rsidR="002E3FC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115E96" w:rsidRPr="00F853DD">
        <w:rPr>
          <w:rFonts w:ascii="Times" w:hAnsi="Times" w:cs="Times New Roman"/>
          <w:sz w:val="23"/>
          <w:szCs w:val="23"/>
        </w:rPr>
        <w:t>(1)</w:t>
      </w:r>
      <w:r w:rsidR="00DF05BD" w:rsidRPr="00F853DD">
        <w:rPr>
          <w:rFonts w:ascii="Times" w:hAnsi="Times" w:cs="Times New Roman"/>
          <w:sz w:val="23"/>
          <w:szCs w:val="23"/>
        </w:rPr>
        <w:t>, 35-42.</w:t>
      </w:r>
    </w:p>
    <w:p w14:paraId="3EC1EFB6" w14:textId="5DCAC43A"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Bass, D., Noelker, L. and Rechlin, L.</w:t>
      </w:r>
      <w:r w:rsidR="00441CE7" w:rsidRPr="00F853DD">
        <w:rPr>
          <w:rFonts w:ascii="Times" w:hAnsi="Times" w:cs="Times New Roman"/>
          <w:sz w:val="23"/>
          <w:szCs w:val="23"/>
        </w:rPr>
        <w:t>,</w:t>
      </w:r>
      <w:r w:rsidR="00DF05BD" w:rsidRPr="00F853DD">
        <w:rPr>
          <w:rFonts w:ascii="Times" w:hAnsi="Times" w:cs="Times New Roman"/>
          <w:sz w:val="23"/>
          <w:szCs w:val="23"/>
        </w:rPr>
        <w:t xml:space="preserve"> (1996). The moderating influence of service use on negative caregiving consequences. </w:t>
      </w:r>
      <w:r w:rsidR="00DF05BD" w:rsidRPr="00F853DD">
        <w:rPr>
          <w:rFonts w:ascii="Times" w:hAnsi="Times" w:cs="Times New Roman"/>
          <w:i/>
          <w:sz w:val="23"/>
          <w:szCs w:val="23"/>
        </w:rPr>
        <w:t>Journals of Gerontology Series B-Psychological Sciences and Social Sciences</w:t>
      </w:r>
      <w:r w:rsidR="00B6779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51</w:t>
      </w:r>
      <w:r w:rsidR="00F31C4B" w:rsidRPr="00F853DD">
        <w:rPr>
          <w:rFonts w:ascii="Times" w:hAnsi="Times" w:cs="Times New Roman"/>
          <w:sz w:val="23"/>
          <w:szCs w:val="23"/>
        </w:rPr>
        <w:t>(3)</w:t>
      </w:r>
      <w:r w:rsidR="00DF05BD" w:rsidRPr="00F853DD">
        <w:rPr>
          <w:rFonts w:ascii="Times" w:hAnsi="Times" w:cs="Times New Roman"/>
          <w:sz w:val="23"/>
          <w:szCs w:val="23"/>
        </w:rPr>
        <w:t>, S121-S131.</w:t>
      </w:r>
    </w:p>
    <w:p w14:paraId="3115F9A0" w14:textId="0BAED18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Bastawrous, M., Gignac, M. A., Kapral, M. K. and Cameron, J. I.</w:t>
      </w:r>
      <w:r w:rsidR="00441CE7" w:rsidRPr="00F853DD">
        <w:rPr>
          <w:rFonts w:ascii="Times" w:hAnsi="Times" w:cs="Times New Roman"/>
          <w:sz w:val="23"/>
          <w:szCs w:val="23"/>
        </w:rPr>
        <w:t>,</w:t>
      </w:r>
      <w:r w:rsidRPr="00F853DD">
        <w:rPr>
          <w:rFonts w:ascii="Times" w:hAnsi="Times" w:cs="Times New Roman"/>
          <w:sz w:val="23"/>
          <w:szCs w:val="23"/>
        </w:rPr>
        <w:t xml:space="preserve"> (2015)a. Adult daughters providing post-stroke care to a parent: a qualitative study of the impact that role overload has on lifestyle, participation and family relationships. </w:t>
      </w:r>
      <w:r w:rsidRPr="00F853DD">
        <w:rPr>
          <w:rFonts w:ascii="Times" w:hAnsi="Times" w:cs="Times New Roman"/>
          <w:i/>
          <w:sz w:val="23"/>
          <w:szCs w:val="23"/>
        </w:rPr>
        <w:t>Clinical Rehabilitation</w:t>
      </w:r>
      <w:r w:rsidR="00B67791" w:rsidRPr="00F853DD">
        <w:rPr>
          <w:rFonts w:ascii="Times" w:hAnsi="Times" w:cs="Times New Roman"/>
          <w:sz w:val="23"/>
          <w:szCs w:val="23"/>
        </w:rPr>
        <w:t xml:space="preserve">. </w:t>
      </w:r>
      <w:r w:rsidRPr="00F853DD">
        <w:rPr>
          <w:rFonts w:ascii="Times" w:hAnsi="Times" w:cs="Times New Roman"/>
          <w:b/>
          <w:sz w:val="23"/>
          <w:szCs w:val="23"/>
        </w:rPr>
        <w:t>29</w:t>
      </w:r>
      <w:r w:rsidR="00F31C4B" w:rsidRPr="00F853DD">
        <w:rPr>
          <w:rFonts w:ascii="Times" w:hAnsi="Times" w:cs="Times New Roman"/>
          <w:sz w:val="23"/>
          <w:szCs w:val="23"/>
        </w:rPr>
        <w:t>(6)</w:t>
      </w:r>
      <w:r w:rsidRPr="00F853DD">
        <w:rPr>
          <w:rFonts w:ascii="Times" w:hAnsi="Times" w:cs="Times New Roman"/>
          <w:sz w:val="23"/>
          <w:szCs w:val="23"/>
        </w:rPr>
        <w:t>, 592-600.</w:t>
      </w:r>
    </w:p>
    <w:p w14:paraId="3316472B" w14:textId="40D919E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Bastawrous, M., Gignac, M. A., Kapral, M. K. and Cameron, J. I.</w:t>
      </w:r>
      <w:r w:rsidR="00441CE7" w:rsidRPr="00F853DD">
        <w:rPr>
          <w:rFonts w:ascii="Times" w:hAnsi="Times" w:cs="Times New Roman"/>
          <w:sz w:val="23"/>
          <w:szCs w:val="23"/>
        </w:rPr>
        <w:t>,</w:t>
      </w:r>
      <w:r w:rsidRPr="00F853DD">
        <w:rPr>
          <w:rFonts w:ascii="Times" w:hAnsi="Times" w:cs="Times New Roman"/>
          <w:sz w:val="23"/>
          <w:szCs w:val="23"/>
        </w:rPr>
        <w:t xml:space="preserve"> (2015)b. Factors that contribute to adult children caregivers' well-being: a scoping review. </w:t>
      </w:r>
      <w:r w:rsidRPr="00F853DD">
        <w:rPr>
          <w:rFonts w:ascii="Times" w:hAnsi="Times" w:cs="Times New Roman"/>
          <w:i/>
          <w:sz w:val="23"/>
          <w:szCs w:val="23"/>
        </w:rPr>
        <w:t>Health and Social Care in the Community</w:t>
      </w:r>
      <w:r w:rsidR="00B6779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00F31C4B" w:rsidRPr="00F853DD">
        <w:rPr>
          <w:rFonts w:ascii="Times" w:hAnsi="Times" w:cs="Times New Roman"/>
          <w:sz w:val="23"/>
          <w:szCs w:val="23"/>
        </w:rPr>
        <w:t>(5)</w:t>
      </w:r>
      <w:r w:rsidRPr="00F853DD">
        <w:rPr>
          <w:rFonts w:ascii="Times" w:hAnsi="Times" w:cs="Times New Roman"/>
          <w:sz w:val="23"/>
          <w:szCs w:val="23"/>
        </w:rPr>
        <w:t>, 449-466.</w:t>
      </w:r>
    </w:p>
    <w:p w14:paraId="78B50081" w14:textId="4B84410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Baumbusch, J. and Phinney, A.</w:t>
      </w:r>
      <w:r w:rsidR="00441CE7" w:rsidRPr="00F853DD">
        <w:rPr>
          <w:rFonts w:ascii="Times" w:hAnsi="Times" w:cs="Times New Roman"/>
          <w:sz w:val="23"/>
          <w:szCs w:val="23"/>
        </w:rPr>
        <w:t>,</w:t>
      </w:r>
      <w:r w:rsidRPr="00F853DD">
        <w:rPr>
          <w:rFonts w:ascii="Times" w:hAnsi="Times" w:cs="Times New Roman"/>
          <w:sz w:val="23"/>
          <w:szCs w:val="23"/>
        </w:rPr>
        <w:t xml:space="preserve"> (2014). Invisible hands: the role of highly involved families in long-term residential care. </w:t>
      </w:r>
      <w:r w:rsidRPr="00F853DD">
        <w:rPr>
          <w:rFonts w:ascii="Times" w:hAnsi="Times" w:cs="Times New Roman"/>
          <w:i/>
          <w:sz w:val="23"/>
          <w:szCs w:val="23"/>
        </w:rPr>
        <w:t>Journal of Family Nursing</w:t>
      </w:r>
      <w:r w:rsidR="00B6779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00F31C4B" w:rsidRPr="00F853DD">
        <w:rPr>
          <w:rFonts w:ascii="Times" w:hAnsi="Times" w:cs="Times New Roman"/>
          <w:sz w:val="23"/>
          <w:szCs w:val="23"/>
        </w:rPr>
        <w:t>(1)</w:t>
      </w:r>
      <w:r w:rsidRPr="00F853DD">
        <w:rPr>
          <w:rFonts w:ascii="Times" w:hAnsi="Times" w:cs="Times New Roman"/>
          <w:sz w:val="23"/>
          <w:szCs w:val="23"/>
        </w:rPr>
        <w:t>, 73-97.</w:t>
      </w:r>
    </w:p>
    <w:p w14:paraId="52E1446E" w14:textId="0FA0876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Baxter, S., Johnson, M., Chambers, D., Sutton, A., Goyder, E. and Booth, A.</w:t>
      </w:r>
      <w:r w:rsidR="00441CE7" w:rsidRPr="00F853DD">
        <w:rPr>
          <w:rFonts w:ascii="Times" w:hAnsi="Times" w:cs="Times New Roman"/>
          <w:sz w:val="23"/>
          <w:szCs w:val="23"/>
        </w:rPr>
        <w:t>,</w:t>
      </w:r>
      <w:r w:rsidRPr="00F853DD">
        <w:rPr>
          <w:rFonts w:ascii="Times" w:hAnsi="Times" w:cs="Times New Roman"/>
          <w:sz w:val="23"/>
          <w:szCs w:val="23"/>
        </w:rPr>
        <w:t xml:space="preserve"> (2018). The effects of integrated care: a systematic review of UK and international evidence. </w:t>
      </w:r>
      <w:r w:rsidRPr="00F853DD">
        <w:rPr>
          <w:rFonts w:ascii="Times" w:hAnsi="Times" w:cs="Times New Roman"/>
          <w:i/>
          <w:sz w:val="23"/>
          <w:szCs w:val="23"/>
        </w:rPr>
        <w:t>BMC health services research</w:t>
      </w:r>
      <w:r w:rsidR="00B67791"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xml:space="preserve">(1), 350. [Viewed 24 November 2019]. Available from: https://bmchealthservres.biomedcentral.com/articles/10.1186/s12913-018-3161-3  </w:t>
      </w:r>
    </w:p>
    <w:p w14:paraId="270B1BA2" w14:textId="275E88BC"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Beach, S.</w:t>
      </w:r>
      <w:r w:rsidR="00DF05BD" w:rsidRPr="00F853DD">
        <w:rPr>
          <w:rFonts w:ascii="Times" w:hAnsi="Times" w:cs="Times New Roman"/>
          <w:sz w:val="23"/>
          <w:szCs w:val="23"/>
          <w:lang w:val="de-DE"/>
        </w:rPr>
        <w:t xml:space="preserve">, Schulz, </w:t>
      </w:r>
      <w:r w:rsidRPr="00F853DD">
        <w:rPr>
          <w:rFonts w:ascii="Times" w:hAnsi="Times" w:cs="Times New Roman"/>
          <w:sz w:val="23"/>
          <w:szCs w:val="23"/>
          <w:lang w:val="de-DE"/>
        </w:rPr>
        <w:t>R., Williamson, G., Miller, L., Weiner, M. and Lance, C</w:t>
      </w:r>
      <w:r w:rsidR="00DF05BD" w:rsidRPr="00F853DD">
        <w:rPr>
          <w:rFonts w:ascii="Times" w:hAnsi="Times" w:cs="Times New Roman"/>
          <w:sz w:val="23"/>
          <w:szCs w:val="23"/>
          <w:lang w:val="de-DE"/>
        </w:rPr>
        <w:t>.</w:t>
      </w:r>
      <w:r w:rsidR="00441CE7" w:rsidRPr="00F853DD">
        <w:rPr>
          <w:rFonts w:ascii="Times" w:hAnsi="Times" w:cs="Times New Roman"/>
          <w:sz w:val="23"/>
          <w:szCs w:val="23"/>
          <w:lang w:val="de-DE"/>
        </w:rPr>
        <w:t>,</w:t>
      </w:r>
      <w:r w:rsidR="00DF05BD" w:rsidRPr="00F853DD">
        <w:rPr>
          <w:rFonts w:ascii="Times" w:hAnsi="Times" w:cs="Times New Roman"/>
          <w:sz w:val="23"/>
          <w:szCs w:val="23"/>
          <w:lang w:val="de-DE"/>
        </w:rPr>
        <w:t xml:space="preserve"> (2005). </w:t>
      </w:r>
      <w:r w:rsidR="00DF05BD" w:rsidRPr="00F853DD">
        <w:rPr>
          <w:rFonts w:ascii="Times" w:hAnsi="Times" w:cs="Times New Roman"/>
          <w:sz w:val="23"/>
          <w:szCs w:val="23"/>
        </w:rPr>
        <w:t xml:space="preserve">Risk factors for potentially harmful informal caregiver behavior. </w:t>
      </w:r>
      <w:r w:rsidR="00DF05BD" w:rsidRPr="00F853DD">
        <w:rPr>
          <w:rFonts w:ascii="Times" w:hAnsi="Times" w:cs="Times New Roman"/>
          <w:i/>
          <w:sz w:val="23"/>
          <w:szCs w:val="23"/>
        </w:rPr>
        <w:t>Journal of the American Geriatrics Society</w:t>
      </w:r>
      <w:r w:rsidR="00B6779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53</w:t>
      </w:r>
      <w:r w:rsidR="00F31C4B" w:rsidRPr="00F853DD">
        <w:rPr>
          <w:rFonts w:ascii="Times" w:hAnsi="Times" w:cs="Times New Roman"/>
          <w:sz w:val="23"/>
          <w:szCs w:val="23"/>
        </w:rPr>
        <w:t>(2)</w:t>
      </w:r>
      <w:r w:rsidR="00DF05BD" w:rsidRPr="00F853DD">
        <w:rPr>
          <w:rFonts w:ascii="Times" w:hAnsi="Times" w:cs="Times New Roman"/>
          <w:sz w:val="23"/>
          <w:szCs w:val="23"/>
        </w:rPr>
        <w:t>, 255-261.</w:t>
      </w:r>
    </w:p>
    <w:p w14:paraId="702FF05D" w14:textId="0C8C5EA1"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Beach, S., Schulz, R., Yee, J.</w:t>
      </w:r>
      <w:r w:rsidR="00DF05BD" w:rsidRPr="00F853DD">
        <w:rPr>
          <w:rFonts w:ascii="Times" w:hAnsi="Times" w:cs="Times New Roman"/>
          <w:sz w:val="23"/>
          <w:szCs w:val="23"/>
        </w:rPr>
        <w:t xml:space="preserve"> and Jackson, S.</w:t>
      </w:r>
      <w:r w:rsidR="00441CE7" w:rsidRPr="00F853DD">
        <w:rPr>
          <w:rFonts w:ascii="Times" w:hAnsi="Times" w:cs="Times New Roman"/>
          <w:sz w:val="23"/>
          <w:szCs w:val="23"/>
        </w:rPr>
        <w:t>,</w:t>
      </w:r>
      <w:r w:rsidR="00DF05BD" w:rsidRPr="00F853DD">
        <w:rPr>
          <w:rFonts w:ascii="Times" w:hAnsi="Times" w:cs="Times New Roman"/>
          <w:sz w:val="23"/>
          <w:szCs w:val="23"/>
        </w:rPr>
        <w:t xml:space="preserve"> (2000). Negative and positive health effects of casing for a disabled spouse: Longitudinal findings from the caregiver health effects study. </w:t>
      </w:r>
      <w:r w:rsidR="00DF05BD" w:rsidRPr="00F853DD">
        <w:rPr>
          <w:rFonts w:ascii="Times" w:hAnsi="Times" w:cs="Times New Roman"/>
          <w:i/>
          <w:sz w:val="23"/>
          <w:szCs w:val="23"/>
        </w:rPr>
        <w:t>Psychology and Aging</w:t>
      </w:r>
      <w:r w:rsidR="00B6779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15</w:t>
      </w:r>
      <w:r w:rsidR="00F31C4B" w:rsidRPr="00F853DD">
        <w:rPr>
          <w:rFonts w:ascii="Times" w:hAnsi="Times" w:cs="Times New Roman"/>
          <w:sz w:val="23"/>
          <w:szCs w:val="23"/>
        </w:rPr>
        <w:t>(2)</w:t>
      </w:r>
      <w:r w:rsidR="00DF05BD" w:rsidRPr="00F853DD">
        <w:rPr>
          <w:rFonts w:ascii="Times" w:hAnsi="Times" w:cs="Times New Roman"/>
          <w:sz w:val="23"/>
          <w:szCs w:val="23"/>
        </w:rPr>
        <w:t>, 259-271.</w:t>
      </w:r>
    </w:p>
    <w:p w14:paraId="7A2509CE" w14:textId="34239B9E"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Beck, C., Marren, J.</w:t>
      </w:r>
      <w:r w:rsidR="00DF05BD" w:rsidRPr="00F853DD">
        <w:rPr>
          <w:rFonts w:ascii="Times" w:hAnsi="Times" w:cs="Times New Roman"/>
          <w:sz w:val="23"/>
          <w:szCs w:val="23"/>
        </w:rPr>
        <w:t xml:space="preserve"> and Schumacher, K.</w:t>
      </w:r>
      <w:r w:rsidR="00441CE7" w:rsidRPr="00F853DD">
        <w:rPr>
          <w:rFonts w:ascii="Times" w:hAnsi="Times" w:cs="Times New Roman"/>
          <w:sz w:val="23"/>
          <w:szCs w:val="23"/>
        </w:rPr>
        <w:t>,</w:t>
      </w:r>
      <w:r w:rsidR="00DF05BD" w:rsidRPr="00F853DD">
        <w:rPr>
          <w:rFonts w:ascii="Times" w:hAnsi="Times" w:cs="Times New Roman"/>
          <w:sz w:val="23"/>
          <w:szCs w:val="23"/>
        </w:rPr>
        <w:t xml:space="preserve"> (2006). Family caregivers. </w:t>
      </w:r>
      <w:r w:rsidR="00DF05BD" w:rsidRPr="00F853DD">
        <w:rPr>
          <w:rFonts w:ascii="Times" w:hAnsi="Times" w:cs="Times New Roman"/>
          <w:i/>
          <w:sz w:val="23"/>
          <w:szCs w:val="23"/>
        </w:rPr>
        <w:t>The American journal of nursing</w:t>
      </w:r>
      <w:r w:rsidR="00B6779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106</w:t>
      </w:r>
      <w:r w:rsidR="00F31C4B" w:rsidRPr="00F853DD">
        <w:rPr>
          <w:rFonts w:ascii="Times" w:hAnsi="Times" w:cs="Times New Roman"/>
          <w:sz w:val="23"/>
          <w:szCs w:val="23"/>
        </w:rPr>
        <w:t>(8)</w:t>
      </w:r>
      <w:r w:rsidR="00DF05BD" w:rsidRPr="00F853DD">
        <w:rPr>
          <w:rFonts w:ascii="Times" w:hAnsi="Times" w:cs="Times New Roman"/>
          <w:sz w:val="23"/>
          <w:szCs w:val="23"/>
        </w:rPr>
        <w:t>, 40-49.</w:t>
      </w:r>
    </w:p>
    <w:p w14:paraId="79F624EF" w14:textId="71C88015"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Beeber, A.</w:t>
      </w:r>
      <w:r w:rsidR="00DF05BD" w:rsidRPr="00F853DD">
        <w:rPr>
          <w:rFonts w:ascii="Times" w:hAnsi="Times" w:cs="Times New Roman"/>
          <w:sz w:val="23"/>
          <w:szCs w:val="23"/>
        </w:rPr>
        <w:t xml:space="preserve"> and Zimmerman, S.</w:t>
      </w:r>
      <w:r w:rsidR="00441CE7" w:rsidRPr="00F853DD">
        <w:rPr>
          <w:rFonts w:ascii="Times" w:hAnsi="Times" w:cs="Times New Roman"/>
          <w:sz w:val="23"/>
          <w:szCs w:val="23"/>
        </w:rPr>
        <w:t>,</w:t>
      </w:r>
      <w:r w:rsidR="00DF05BD" w:rsidRPr="00F853DD">
        <w:rPr>
          <w:rFonts w:ascii="Times" w:hAnsi="Times" w:cs="Times New Roman"/>
          <w:sz w:val="23"/>
          <w:szCs w:val="23"/>
        </w:rPr>
        <w:t xml:space="preserve"> (2012). Adapting the family management style framework for families caring for older adults with dementia. </w:t>
      </w:r>
      <w:r w:rsidR="00DF05BD" w:rsidRPr="00F853DD">
        <w:rPr>
          <w:rFonts w:ascii="Times" w:hAnsi="Times" w:cs="Times New Roman"/>
          <w:i/>
          <w:sz w:val="23"/>
          <w:szCs w:val="23"/>
        </w:rPr>
        <w:t>Journal of Family Nursing</w:t>
      </w:r>
      <w:r w:rsidR="00B6779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F7164D" w:rsidRPr="00F853DD">
        <w:rPr>
          <w:rFonts w:ascii="Times" w:hAnsi="Times" w:cs="Times New Roman"/>
          <w:sz w:val="23"/>
          <w:szCs w:val="23"/>
        </w:rPr>
        <w:t>(1)</w:t>
      </w:r>
      <w:r w:rsidR="00DF05BD" w:rsidRPr="00F853DD">
        <w:rPr>
          <w:rFonts w:ascii="Times" w:hAnsi="Times" w:cs="Times New Roman"/>
          <w:sz w:val="23"/>
          <w:szCs w:val="23"/>
        </w:rPr>
        <w:t>, 123-145.</w:t>
      </w:r>
    </w:p>
    <w:p w14:paraId="72F3E3D3"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Bell, J. (2014). </w:t>
      </w:r>
      <w:r w:rsidRPr="00F853DD">
        <w:rPr>
          <w:rFonts w:ascii="Times" w:hAnsi="Times" w:cs="Times New Roman"/>
          <w:i/>
          <w:sz w:val="23"/>
          <w:szCs w:val="23"/>
        </w:rPr>
        <w:t xml:space="preserve">Doing your research project [electronic resource]: a guide for first-time researchers. </w:t>
      </w:r>
      <w:r w:rsidRPr="00F853DD">
        <w:rPr>
          <w:rFonts w:ascii="Times" w:hAnsi="Times" w:cs="Times New Roman"/>
          <w:sz w:val="23"/>
          <w:szCs w:val="23"/>
        </w:rPr>
        <w:t>Berkshire: Open University Press, 2014.</w:t>
      </w:r>
    </w:p>
    <w:p w14:paraId="1178115D" w14:textId="7728905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Bengtson, V. and Allen, K.</w:t>
      </w:r>
      <w:r w:rsidR="00441CE7" w:rsidRPr="00F853DD">
        <w:rPr>
          <w:rFonts w:ascii="Times" w:hAnsi="Times" w:cs="Times New Roman"/>
          <w:sz w:val="23"/>
          <w:szCs w:val="23"/>
        </w:rPr>
        <w:t>,</w:t>
      </w:r>
      <w:r w:rsidRPr="00F853DD">
        <w:rPr>
          <w:rFonts w:ascii="Times" w:hAnsi="Times" w:cs="Times New Roman"/>
          <w:sz w:val="23"/>
          <w:szCs w:val="23"/>
        </w:rPr>
        <w:t xml:space="preserve"> (1993). The life course perspective applied to families over time. In: Doherty, B., Larossa, W., Schumm, W. and Steinmetz, S. (eds.) </w:t>
      </w:r>
      <w:r w:rsidRPr="00F853DD">
        <w:rPr>
          <w:rFonts w:ascii="Times" w:hAnsi="Times" w:cs="Times New Roman"/>
          <w:i/>
          <w:sz w:val="23"/>
          <w:szCs w:val="23"/>
        </w:rPr>
        <w:t>Sourcebook of Family Theories and Methods: A Contextual Approach</w:t>
      </w:r>
      <w:r w:rsidRPr="00F853DD">
        <w:rPr>
          <w:rFonts w:ascii="Times" w:hAnsi="Times" w:cs="Times New Roman"/>
          <w:sz w:val="23"/>
          <w:szCs w:val="23"/>
        </w:rPr>
        <w:t>. New York: Plenum Press.</w:t>
      </w:r>
    </w:p>
    <w:p w14:paraId="463ECC11" w14:textId="25C5DEE6"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Bengtson, V.</w:t>
      </w:r>
      <w:r w:rsidR="00441CE7" w:rsidRPr="00F853DD">
        <w:rPr>
          <w:rFonts w:ascii="Times" w:hAnsi="Times" w:cs="Times New Roman"/>
          <w:sz w:val="23"/>
          <w:szCs w:val="23"/>
        </w:rPr>
        <w:t>,</w:t>
      </w:r>
      <w:r w:rsidR="00DF05BD" w:rsidRPr="00F853DD">
        <w:rPr>
          <w:rFonts w:ascii="Times" w:hAnsi="Times" w:cs="Times New Roman"/>
          <w:sz w:val="23"/>
          <w:szCs w:val="23"/>
        </w:rPr>
        <w:t xml:space="preserve"> (1996). </w:t>
      </w:r>
      <w:r w:rsidR="00DF05BD" w:rsidRPr="00F853DD">
        <w:rPr>
          <w:rFonts w:ascii="Times" w:hAnsi="Times" w:cs="Times New Roman"/>
          <w:i/>
          <w:sz w:val="23"/>
          <w:szCs w:val="23"/>
        </w:rPr>
        <w:t>Adulthood and aging: research on continuities and discontinuities</w:t>
      </w:r>
      <w:r w:rsidR="00DF05BD" w:rsidRPr="00F853DD">
        <w:rPr>
          <w:rFonts w:ascii="Times" w:hAnsi="Times" w:cs="Times New Roman"/>
          <w:sz w:val="23"/>
          <w:szCs w:val="23"/>
        </w:rPr>
        <w:t>. New York: Springer.</w:t>
      </w:r>
    </w:p>
    <w:p w14:paraId="72277340" w14:textId="51FF8B28"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Bengtson, V.</w:t>
      </w:r>
      <w:r w:rsidR="00441CE7" w:rsidRPr="00F853DD">
        <w:rPr>
          <w:rFonts w:ascii="Times" w:hAnsi="Times" w:cs="Times New Roman"/>
          <w:sz w:val="23"/>
          <w:szCs w:val="23"/>
        </w:rPr>
        <w:t>,</w:t>
      </w:r>
      <w:r w:rsidR="00DF05BD" w:rsidRPr="00F853DD">
        <w:rPr>
          <w:rFonts w:ascii="Times" w:hAnsi="Times" w:cs="Times New Roman"/>
          <w:sz w:val="23"/>
          <w:szCs w:val="23"/>
        </w:rPr>
        <w:t xml:space="preserve"> (2005).</w:t>
      </w:r>
      <w:r w:rsidR="00DF05BD" w:rsidRPr="00F853DD">
        <w:rPr>
          <w:rFonts w:ascii="Times" w:hAnsi="Times" w:cs="Times New Roman"/>
          <w:i/>
          <w:sz w:val="23"/>
          <w:szCs w:val="23"/>
        </w:rPr>
        <w:t xml:space="preserve"> Sourcebook of family theory and research</w:t>
      </w:r>
      <w:r w:rsidR="00075628" w:rsidRPr="00F853DD">
        <w:rPr>
          <w:rFonts w:ascii="Times" w:hAnsi="Times" w:cs="Times New Roman"/>
          <w:sz w:val="23"/>
          <w:szCs w:val="23"/>
        </w:rPr>
        <w:t xml:space="preserve"> [electronic resource].</w:t>
      </w:r>
      <w:r w:rsidR="00DF05BD" w:rsidRPr="00F853DD">
        <w:rPr>
          <w:rFonts w:ascii="Times" w:hAnsi="Times" w:cs="Times New Roman"/>
          <w:sz w:val="23"/>
          <w:szCs w:val="23"/>
        </w:rPr>
        <w:t xml:space="preserve"> Thousand Oaks, Calif.: Sage.</w:t>
      </w:r>
    </w:p>
    <w:p w14:paraId="6E7D5E9A" w14:textId="71B21D8F"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Bengtson, V., Burgess, E. and Parrott, T.</w:t>
      </w:r>
      <w:r w:rsidR="00441CE7" w:rsidRPr="00F853DD">
        <w:rPr>
          <w:rFonts w:ascii="Times" w:hAnsi="Times" w:cs="Times New Roman"/>
          <w:sz w:val="23"/>
          <w:szCs w:val="23"/>
        </w:rPr>
        <w:t>,</w:t>
      </w:r>
      <w:r w:rsidR="00DF05BD" w:rsidRPr="00F853DD">
        <w:rPr>
          <w:rFonts w:ascii="Times" w:hAnsi="Times" w:cs="Times New Roman"/>
          <w:sz w:val="23"/>
          <w:szCs w:val="23"/>
        </w:rPr>
        <w:t xml:space="preserve"> (1997). Theory, explanation, and a third generation of theoretical development in social gerontology. </w:t>
      </w:r>
      <w:r w:rsidR="00DF05BD" w:rsidRPr="00F853DD">
        <w:rPr>
          <w:rFonts w:ascii="Times" w:hAnsi="Times" w:cs="Times New Roman"/>
          <w:i/>
          <w:sz w:val="23"/>
          <w:szCs w:val="23"/>
        </w:rPr>
        <w:t>Journals of Gerontology Series B-Psychological Sciences and Social Sciences</w:t>
      </w:r>
      <w:r w:rsidR="00075628"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52</w:t>
      </w:r>
      <w:r w:rsidR="00F7164D" w:rsidRPr="00F853DD">
        <w:rPr>
          <w:rFonts w:ascii="Times" w:hAnsi="Times" w:cs="Times New Roman"/>
          <w:sz w:val="23"/>
          <w:szCs w:val="23"/>
        </w:rPr>
        <w:t>(2)</w:t>
      </w:r>
      <w:r w:rsidR="00DF05BD" w:rsidRPr="00F853DD">
        <w:rPr>
          <w:rFonts w:ascii="Times" w:hAnsi="Times" w:cs="Times New Roman"/>
          <w:sz w:val="23"/>
          <w:szCs w:val="23"/>
        </w:rPr>
        <w:t>, S72-S88.</w:t>
      </w:r>
    </w:p>
    <w:p w14:paraId="5AA319A1" w14:textId="59E15D7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Bengt</w:t>
      </w:r>
      <w:r w:rsidR="00BF7831" w:rsidRPr="00F853DD">
        <w:rPr>
          <w:rFonts w:ascii="Times" w:hAnsi="Times" w:cs="Times New Roman"/>
          <w:sz w:val="23"/>
          <w:szCs w:val="23"/>
        </w:rPr>
        <w:t>son, V.</w:t>
      </w:r>
      <w:r w:rsidR="00441CE7" w:rsidRPr="00F853DD">
        <w:rPr>
          <w:rFonts w:ascii="Times" w:hAnsi="Times" w:cs="Times New Roman"/>
          <w:sz w:val="23"/>
          <w:szCs w:val="23"/>
        </w:rPr>
        <w:t xml:space="preserve"> and Roberts, R.,</w:t>
      </w:r>
      <w:r w:rsidRPr="00F853DD">
        <w:rPr>
          <w:rFonts w:ascii="Times" w:hAnsi="Times" w:cs="Times New Roman"/>
          <w:sz w:val="23"/>
          <w:szCs w:val="23"/>
        </w:rPr>
        <w:t xml:space="preserve"> (1991). Intergenerational solidarity in aging families: An example of formal theory construction. </w:t>
      </w:r>
      <w:r w:rsidRPr="00F853DD">
        <w:rPr>
          <w:rFonts w:ascii="Times" w:hAnsi="Times" w:cs="Times New Roman"/>
          <w:i/>
          <w:sz w:val="23"/>
          <w:szCs w:val="23"/>
        </w:rPr>
        <w:t>Journal of Marriage and the Family</w:t>
      </w:r>
      <w:r w:rsidRPr="00F853DD">
        <w:rPr>
          <w:rFonts w:ascii="Times" w:hAnsi="Times" w:cs="Times New Roman"/>
          <w:sz w:val="23"/>
          <w:szCs w:val="23"/>
        </w:rPr>
        <w:t xml:space="preserve">, </w:t>
      </w:r>
      <w:r w:rsidRPr="00F853DD">
        <w:rPr>
          <w:rFonts w:ascii="Times" w:hAnsi="Times" w:cs="Times New Roman"/>
          <w:b/>
          <w:sz w:val="23"/>
          <w:szCs w:val="23"/>
        </w:rPr>
        <w:t>53</w:t>
      </w:r>
      <w:r w:rsidRPr="00F853DD">
        <w:rPr>
          <w:rFonts w:ascii="Times" w:hAnsi="Times" w:cs="Times New Roman"/>
          <w:sz w:val="23"/>
          <w:szCs w:val="23"/>
        </w:rPr>
        <w:t>, 856-870.</w:t>
      </w:r>
    </w:p>
    <w:p w14:paraId="3E1B0DAE" w14:textId="373979E8"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Bengtson, V.</w:t>
      </w:r>
      <w:r w:rsidR="00DF05BD" w:rsidRPr="00F853DD">
        <w:rPr>
          <w:rFonts w:ascii="Times" w:hAnsi="Times" w:cs="Times New Roman"/>
          <w:sz w:val="23"/>
          <w:szCs w:val="23"/>
        </w:rPr>
        <w:t>, Silverstein, M., Putney, N. and Gans, D.</w:t>
      </w:r>
      <w:r w:rsidR="00441CE7" w:rsidRPr="00F853DD">
        <w:rPr>
          <w:rFonts w:ascii="Times" w:hAnsi="Times" w:cs="Times New Roman"/>
          <w:sz w:val="23"/>
          <w:szCs w:val="23"/>
        </w:rPr>
        <w:t>,</w:t>
      </w:r>
      <w:r w:rsidR="00DF05BD" w:rsidRPr="00F853DD">
        <w:rPr>
          <w:rFonts w:ascii="Times" w:hAnsi="Times" w:cs="Times New Roman"/>
          <w:sz w:val="23"/>
          <w:szCs w:val="23"/>
        </w:rPr>
        <w:t xml:space="preserve"> (2009). </w:t>
      </w:r>
      <w:r w:rsidR="00777196" w:rsidRPr="00F853DD">
        <w:rPr>
          <w:rFonts w:ascii="Times" w:hAnsi="Times" w:cs="Times New Roman"/>
          <w:i/>
          <w:sz w:val="23"/>
          <w:szCs w:val="23"/>
        </w:rPr>
        <w:t>Handbook of theories of a</w:t>
      </w:r>
      <w:r w:rsidR="00DF05BD" w:rsidRPr="00F853DD">
        <w:rPr>
          <w:rFonts w:ascii="Times" w:hAnsi="Times" w:cs="Times New Roman"/>
          <w:i/>
          <w:sz w:val="23"/>
          <w:szCs w:val="23"/>
        </w:rPr>
        <w:t>ging</w:t>
      </w:r>
      <w:r w:rsidR="00DF05BD" w:rsidRPr="00F853DD">
        <w:rPr>
          <w:rFonts w:ascii="Times" w:hAnsi="Times" w:cs="Times New Roman"/>
          <w:sz w:val="23"/>
          <w:szCs w:val="23"/>
        </w:rPr>
        <w:t>. 2nd ed. New York: Springer Publishing.</w:t>
      </w:r>
    </w:p>
    <w:p w14:paraId="2EE89E09" w14:textId="2A9CE5DD"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Benjamin, A. and Matthias, R.</w:t>
      </w:r>
      <w:r w:rsidR="00441CE7" w:rsidRPr="00F853DD">
        <w:rPr>
          <w:rFonts w:ascii="Times" w:hAnsi="Times" w:cs="Times New Roman"/>
          <w:sz w:val="23"/>
          <w:szCs w:val="23"/>
        </w:rPr>
        <w:t>,</w:t>
      </w:r>
      <w:r w:rsidR="00DF05BD" w:rsidRPr="00F853DD">
        <w:rPr>
          <w:rFonts w:ascii="Times" w:hAnsi="Times" w:cs="Times New Roman"/>
          <w:sz w:val="23"/>
          <w:szCs w:val="23"/>
        </w:rPr>
        <w:t xml:space="preserve"> (2013). Whose choice? Self-determination and the motivations of paid family and friend caregivers. </w:t>
      </w:r>
      <w:r w:rsidR="00DF05BD" w:rsidRPr="00F853DD">
        <w:rPr>
          <w:rFonts w:ascii="Times" w:hAnsi="Times" w:cs="Times New Roman"/>
          <w:i/>
          <w:sz w:val="23"/>
          <w:szCs w:val="23"/>
        </w:rPr>
        <w:t>Journal of comparative family studies</w:t>
      </w:r>
      <w:r w:rsidR="00075628"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44</w:t>
      </w:r>
      <w:r w:rsidR="00F7164D" w:rsidRPr="00F853DD">
        <w:rPr>
          <w:rFonts w:ascii="Times" w:hAnsi="Times" w:cs="Times New Roman"/>
          <w:sz w:val="23"/>
          <w:szCs w:val="23"/>
        </w:rPr>
        <w:t>(4)</w:t>
      </w:r>
      <w:r w:rsidR="00DF05BD" w:rsidRPr="00F853DD">
        <w:rPr>
          <w:rFonts w:ascii="Times" w:hAnsi="Times" w:cs="Times New Roman"/>
          <w:sz w:val="23"/>
          <w:szCs w:val="23"/>
        </w:rPr>
        <w:t>, 519.</w:t>
      </w:r>
    </w:p>
    <w:p w14:paraId="2D03803C" w14:textId="53F2749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Bennett, K. 2015. Emotional and Personal Resilience Through Life. In: </w:t>
      </w:r>
      <w:r w:rsidR="002E3369" w:rsidRPr="00F853DD">
        <w:rPr>
          <w:rFonts w:ascii="Times" w:hAnsi="Times" w:cs="Times New Roman"/>
          <w:i/>
          <w:sz w:val="23"/>
          <w:szCs w:val="23"/>
        </w:rPr>
        <w:t>The Future of an Ageing Population: Evidence Review</w:t>
      </w:r>
      <w:r w:rsidR="002E3369" w:rsidRPr="00F853DD">
        <w:rPr>
          <w:rFonts w:ascii="Times" w:hAnsi="Times" w:cs="Times New Roman"/>
          <w:sz w:val="23"/>
          <w:szCs w:val="23"/>
        </w:rPr>
        <w:t>.</w:t>
      </w:r>
    </w:p>
    <w:p w14:paraId="7A5B43C7" w14:textId="661542F4"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Bennett, K.</w:t>
      </w:r>
      <w:r w:rsidR="00DF05BD" w:rsidRPr="00F853DD">
        <w:rPr>
          <w:rFonts w:ascii="Times" w:hAnsi="Times" w:cs="Times New Roman"/>
          <w:sz w:val="23"/>
          <w:szCs w:val="23"/>
        </w:rPr>
        <w:t>, Balgova, E., Donnellan, W. and Roper, L.</w:t>
      </w:r>
      <w:r w:rsidR="00441CE7" w:rsidRPr="00F853DD">
        <w:rPr>
          <w:rFonts w:ascii="Times" w:hAnsi="Times" w:cs="Times New Roman"/>
          <w:sz w:val="23"/>
          <w:szCs w:val="23"/>
        </w:rPr>
        <w:t>,</w:t>
      </w:r>
      <w:r w:rsidR="00DF05BD" w:rsidRPr="00F853DD">
        <w:rPr>
          <w:rFonts w:ascii="Times" w:hAnsi="Times" w:cs="Times New Roman"/>
          <w:sz w:val="23"/>
          <w:szCs w:val="23"/>
        </w:rPr>
        <w:t xml:space="preserve"> (2016). Refining the ecological model of resilience for older widowed men and women. </w:t>
      </w:r>
      <w:r w:rsidR="00DF05BD" w:rsidRPr="00F853DD">
        <w:rPr>
          <w:rFonts w:ascii="Times" w:hAnsi="Times" w:cs="Times New Roman"/>
          <w:i/>
          <w:sz w:val="23"/>
          <w:szCs w:val="23"/>
        </w:rPr>
        <w:t>Gerontologist</w:t>
      </w:r>
      <w:r w:rsidR="00075628"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56</w:t>
      </w:r>
      <w:r w:rsidR="00DF05BD" w:rsidRPr="00F853DD">
        <w:rPr>
          <w:rFonts w:ascii="Times" w:hAnsi="Times" w:cs="Times New Roman"/>
          <w:sz w:val="23"/>
          <w:szCs w:val="23"/>
        </w:rPr>
        <w:t>, 383-383.</w:t>
      </w:r>
    </w:p>
    <w:p w14:paraId="1A441C29" w14:textId="20B7AF38"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Bennett, P</w:t>
      </w:r>
      <w:r w:rsidR="00DF05BD" w:rsidRPr="00F853DD">
        <w:rPr>
          <w:rFonts w:ascii="Times" w:hAnsi="Times" w:cs="Times New Roman"/>
          <w:sz w:val="23"/>
          <w:szCs w:val="23"/>
        </w:rPr>
        <w:t>., Wang, W., Moore, M. and Nagle, C.</w:t>
      </w:r>
      <w:r w:rsidR="00441CE7" w:rsidRPr="00F853DD">
        <w:rPr>
          <w:rFonts w:ascii="Times" w:hAnsi="Times" w:cs="Times New Roman"/>
          <w:sz w:val="23"/>
          <w:szCs w:val="23"/>
        </w:rPr>
        <w:t>,</w:t>
      </w:r>
      <w:r w:rsidR="00DF05BD" w:rsidRPr="00F853DD">
        <w:rPr>
          <w:rFonts w:ascii="Times" w:hAnsi="Times" w:cs="Times New Roman"/>
          <w:sz w:val="23"/>
          <w:szCs w:val="23"/>
        </w:rPr>
        <w:t xml:space="preserve"> (2017). Care partner: A concept analysis. </w:t>
      </w:r>
      <w:r w:rsidR="00DF05BD" w:rsidRPr="00F853DD">
        <w:rPr>
          <w:rFonts w:ascii="Times" w:hAnsi="Times" w:cs="Times New Roman"/>
          <w:i/>
          <w:sz w:val="23"/>
          <w:szCs w:val="23"/>
        </w:rPr>
        <w:t>Nursing Outlook</w:t>
      </w:r>
      <w:r w:rsidR="00075628"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65</w:t>
      </w:r>
      <w:r w:rsidR="00F7164D" w:rsidRPr="00F853DD">
        <w:rPr>
          <w:rFonts w:ascii="Times" w:hAnsi="Times" w:cs="Times New Roman"/>
          <w:sz w:val="23"/>
          <w:szCs w:val="23"/>
        </w:rPr>
        <w:t>(2)</w:t>
      </w:r>
      <w:r w:rsidR="00DF05BD" w:rsidRPr="00F853DD">
        <w:rPr>
          <w:rFonts w:ascii="Times" w:hAnsi="Times" w:cs="Times New Roman"/>
          <w:sz w:val="23"/>
          <w:szCs w:val="23"/>
        </w:rPr>
        <w:t>, 184-194.</w:t>
      </w:r>
    </w:p>
    <w:p w14:paraId="41F915E7" w14:textId="39D1E019"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Benson, C.</w:t>
      </w:r>
      <w:r w:rsidR="00441CE7" w:rsidRPr="00F853DD">
        <w:rPr>
          <w:rFonts w:ascii="Times" w:hAnsi="Times" w:cs="Times New Roman"/>
          <w:sz w:val="23"/>
          <w:szCs w:val="23"/>
        </w:rPr>
        <w:t>,</w:t>
      </w:r>
      <w:r w:rsidR="00DF05BD" w:rsidRPr="00F853DD">
        <w:rPr>
          <w:rFonts w:ascii="Times" w:hAnsi="Times" w:cs="Times New Roman"/>
          <w:sz w:val="23"/>
          <w:szCs w:val="23"/>
        </w:rPr>
        <w:t xml:space="preserve"> (1971). Problems in terminology, concept formation, and theory construction. </w:t>
      </w:r>
      <w:r w:rsidR="00DF05BD" w:rsidRPr="00F853DD">
        <w:rPr>
          <w:rFonts w:ascii="Times" w:hAnsi="Times" w:cs="Times New Roman"/>
          <w:i/>
          <w:sz w:val="23"/>
          <w:szCs w:val="23"/>
        </w:rPr>
        <w:t>Sociological Focus</w:t>
      </w:r>
      <w:r w:rsidR="0077719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w:t>
      </w:r>
      <w:r w:rsidR="00F7164D" w:rsidRPr="00F853DD">
        <w:rPr>
          <w:rFonts w:ascii="Times" w:hAnsi="Times" w:cs="Times New Roman"/>
          <w:sz w:val="23"/>
          <w:szCs w:val="23"/>
        </w:rPr>
        <w:t>(4)</w:t>
      </w:r>
      <w:r w:rsidR="00DF05BD" w:rsidRPr="00F853DD">
        <w:rPr>
          <w:rFonts w:ascii="Times" w:hAnsi="Times" w:cs="Times New Roman"/>
          <w:sz w:val="23"/>
          <w:szCs w:val="23"/>
        </w:rPr>
        <w:t>, 107-125.</w:t>
      </w:r>
    </w:p>
    <w:p w14:paraId="0BCA23ED" w14:textId="7D4A4C63" w:rsidR="00DF05BD" w:rsidRPr="00F853DD" w:rsidRDefault="00BF783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Benzies, K. and Allen, M.</w:t>
      </w:r>
      <w:r w:rsidR="00441CE7" w:rsidRPr="00F853DD">
        <w:rPr>
          <w:rFonts w:ascii="Times" w:hAnsi="Times" w:cs="Times New Roman"/>
          <w:sz w:val="23"/>
          <w:szCs w:val="23"/>
        </w:rPr>
        <w:t>,</w:t>
      </w:r>
      <w:r w:rsidR="00DF05BD" w:rsidRPr="00F853DD">
        <w:rPr>
          <w:rFonts w:ascii="Times" w:hAnsi="Times" w:cs="Times New Roman"/>
          <w:sz w:val="23"/>
          <w:szCs w:val="23"/>
        </w:rPr>
        <w:t xml:space="preserve"> (2001). Symbolic interactionism as a theoretical perspective for multiple method research. </w:t>
      </w:r>
      <w:r w:rsidR="00DF05BD" w:rsidRPr="00F853DD">
        <w:rPr>
          <w:rFonts w:ascii="Times" w:hAnsi="Times" w:cs="Times New Roman"/>
          <w:i/>
          <w:sz w:val="23"/>
          <w:szCs w:val="23"/>
        </w:rPr>
        <w:t>Journal of Advanced Nursing</w:t>
      </w:r>
      <w:r w:rsidR="0077719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33</w:t>
      </w:r>
      <w:r w:rsidR="00F7164D" w:rsidRPr="00F853DD">
        <w:rPr>
          <w:rFonts w:ascii="Times" w:hAnsi="Times" w:cs="Times New Roman"/>
          <w:sz w:val="23"/>
          <w:szCs w:val="23"/>
        </w:rPr>
        <w:t>(4)</w:t>
      </w:r>
      <w:r w:rsidR="00DF05BD" w:rsidRPr="00F853DD">
        <w:rPr>
          <w:rFonts w:ascii="Times" w:hAnsi="Times" w:cs="Times New Roman"/>
          <w:sz w:val="23"/>
          <w:szCs w:val="23"/>
        </w:rPr>
        <w:t>, 541-547.</w:t>
      </w:r>
    </w:p>
    <w:p w14:paraId="64D0E8E0" w14:textId="2BFAB6A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Bergman, H., Ferrucci, L., Guralnik, J., Hogan, D. B., Hummel, S., Karunananthan, S. and Wolfson, C.</w:t>
      </w:r>
      <w:r w:rsidR="00441CE7" w:rsidRPr="00F853DD">
        <w:rPr>
          <w:rFonts w:ascii="Times" w:hAnsi="Times" w:cs="Times New Roman"/>
          <w:sz w:val="23"/>
          <w:szCs w:val="23"/>
        </w:rPr>
        <w:t>,</w:t>
      </w:r>
      <w:r w:rsidRPr="00F853DD">
        <w:rPr>
          <w:rFonts w:ascii="Times" w:hAnsi="Times" w:cs="Times New Roman"/>
          <w:sz w:val="23"/>
          <w:szCs w:val="23"/>
        </w:rPr>
        <w:t xml:space="preserve"> (2007). Frailty: An emerging re</w:t>
      </w:r>
      <w:r w:rsidR="00777196" w:rsidRPr="00F853DD">
        <w:rPr>
          <w:rFonts w:ascii="Times" w:hAnsi="Times" w:cs="Times New Roman"/>
          <w:sz w:val="23"/>
          <w:szCs w:val="23"/>
        </w:rPr>
        <w:t>search and clinical paradigm: i</w:t>
      </w:r>
      <w:r w:rsidRPr="00F853DD">
        <w:rPr>
          <w:rFonts w:ascii="Times" w:hAnsi="Times" w:cs="Times New Roman"/>
          <w:sz w:val="23"/>
          <w:szCs w:val="23"/>
        </w:rPr>
        <w:t xml:space="preserve">ssues and controversies. </w:t>
      </w:r>
      <w:r w:rsidRPr="00F853DD">
        <w:rPr>
          <w:rFonts w:ascii="Times" w:hAnsi="Times" w:cs="Times New Roman"/>
          <w:i/>
          <w:sz w:val="23"/>
          <w:szCs w:val="23"/>
        </w:rPr>
        <w:t>Journals of Gerontology Series a-Biological Sciences and Medical Sciences</w:t>
      </w:r>
      <w:r w:rsidR="0077719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62</w:t>
      </w:r>
      <w:r w:rsidR="00F7164D" w:rsidRPr="00F853DD">
        <w:rPr>
          <w:rFonts w:ascii="Times" w:hAnsi="Times" w:cs="Times New Roman"/>
          <w:sz w:val="23"/>
          <w:szCs w:val="23"/>
        </w:rPr>
        <w:t>(7)</w:t>
      </w:r>
      <w:r w:rsidRPr="00F853DD">
        <w:rPr>
          <w:rFonts w:ascii="Times" w:hAnsi="Times" w:cs="Times New Roman"/>
          <w:sz w:val="23"/>
          <w:szCs w:val="23"/>
        </w:rPr>
        <w:t>, 731-737.</w:t>
      </w:r>
    </w:p>
    <w:p w14:paraId="3D82D8E7" w14:textId="76D8073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Bergman, H., Karu</w:t>
      </w:r>
      <w:r w:rsidR="00BF7831" w:rsidRPr="00F853DD">
        <w:rPr>
          <w:rFonts w:ascii="Times" w:hAnsi="Times" w:cs="Times New Roman"/>
          <w:sz w:val="23"/>
          <w:szCs w:val="23"/>
        </w:rPr>
        <w:t>nananthan, S., Robledo, L.</w:t>
      </w:r>
      <w:r w:rsidRPr="00F853DD">
        <w:rPr>
          <w:rFonts w:ascii="Times" w:hAnsi="Times" w:cs="Times New Roman"/>
          <w:sz w:val="23"/>
          <w:szCs w:val="23"/>
        </w:rPr>
        <w:t>, Brodsky, J., Chan, P., Cheung, M. and Bovet, P.</w:t>
      </w:r>
      <w:r w:rsidR="00441CE7" w:rsidRPr="00F853DD">
        <w:rPr>
          <w:rFonts w:ascii="Times" w:hAnsi="Times" w:cs="Times New Roman"/>
          <w:sz w:val="23"/>
          <w:szCs w:val="23"/>
        </w:rPr>
        <w:t>,</w:t>
      </w:r>
      <w:r w:rsidRPr="00F853DD">
        <w:rPr>
          <w:rFonts w:ascii="Times" w:hAnsi="Times" w:cs="Times New Roman"/>
          <w:sz w:val="23"/>
          <w:szCs w:val="23"/>
        </w:rPr>
        <w:t xml:space="preserve"> (2013). Understanding and meeting the needs of the older population: a global challenge. </w:t>
      </w:r>
      <w:r w:rsidRPr="00F853DD">
        <w:rPr>
          <w:rFonts w:ascii="Times" w:hAnsi="Times" w:cs="Times New Roman"/>
          <w:i/>
          <w:sz w:val="23"/>
          <w:szCs w:val="23"/>
        </w:rPr>
        <w:t>Canadian Geriatrics Journal</w:t>
      </w:r>
      <w:r w:rsidR="0077719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00F8527F" w:rsidRPr="00F853DD">
        <w:rPr>
          <w:rFonts w:ascii="Times" w:hAnsi="Times" w:cs="Times New Roman"/>
          <w:sz w:val="23"/>
          <w:szCs w:val="23"/>
        </w:rPr>
        <w:t>(2)</w:t>
      </w:r>
      <w:r w:rsidRPr="00F853DD">
        <w:rPr>
          <w:rFonts w:ascii="Times" w:hAnsi="Times" w:cs="Times New Roman"/>
          <w:sz w:val="23"/>
          <w:szCs w:val="23"/>
        </w:rPr>
        <w:t>, 61-5.</w:t>
      </w:r>
    </w:p>
    <w:p w14:paraId="5FC7F59A" w14:textId="6969E49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Bergman, M., Johansson, P., Lundberg, S. and Spagnolo, G.</w:t>
      </w:r>
      <w:r w:rsidR="00441CE7" w:rsidRPr="00F853DD">
        <w:rPr>
          <w:rFonts w:ascii="Times" w:hAnsi="Times" w:cs="Times New Roman"/>
          <w:sz w:val="23"/>
          <w:szCs w:val="23"/>
        </w:rPr>
        <w:t>,</w:t>
      </w:r>
      <w:r w:rsidRPr="00F853DD">
        <w:rPr>
          <w:rFonts w:ascii="Times" w:hAnsi="Times" w:cs="Times New Roman"/>
          <w:sz w:val="23"/>
          <w:szCs w:val="23"/>
        </w:rPr>
        <w:t xml:space="preserve"> (201</w:t>
      </w:r>
      <w:r w:rsidR="00777196" w:rsidRPr="00F853DD">
        <w:rPr>
          <w:rFonts w:ascii="Times" w:hAnsi="Times" w:cs="Times New Roman"/>
          <w:sz w:val="23"/>
          <w:szCs w:val="23"/>
        </w:rPr>
        <w:t>6). Privatization and quality: e</w:t>
      </w:r>
      <w:r w:rsidRPr="00F853DD">
        <w:rPr>
          <w:rFonts w:ascii="Times" w:hAnsi="Times" w:cs="Times New Roman"/>
          <w:sz w:val="23"/>
          <w:szCs w:val="23"/>
        </w:rPr>
        <w:t xml:space="preserve">vidence from elderly care in Sweden. </w:t>
      </w:r>
      <w:r w:rsidRPr="00F853DD">
        <w:rPr>
          <w:rFonts w:ascii="Times" w:hAnsi="Times" w:cs="Times New Roman"/>
          <w:i/>
          <w:sz w:val="23"/>
          <w:szCs w:val="23"/>
        </w:rPr>
        <w:t>Journal of Health Economics</w:t>
      </w:r>
      <w:r w:rsidR="0077719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49</w:t>
      </w:r>
      <w:r w:rsidRPr="00F853DD">
        <w:rPr>
          <w:rFonts w:ascii="Times" w:hAnsi="Times" w:cs="Times New Roman"/>
          <w:sz w:val="23"/>
          <w:szCs w:val="23"/>
        </w:rPr>
        <w:t>, 109-119.</w:t>
      </w:r>
    </w:p>
    <w:p w14:paraId="1525ED10" w14:textId="554F13B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Bergstrand, K., Mayer, B., Brumback, B. and Zhang, Y.</w:t>
      </w:r>
      <w:r w:rsidR="00441CE7" w:rsidRPr="00F853DD">
        <w:rPr>
          <w:rFonts w:ascii="Times" w:hAnsi="Times" w:cs="Times New Roman"/>
          <w:sz w:val="23"/>
          <w:szCs w:val="23"/>
        </w:rPr>
        <w:t>,</w:t>
      </w:r>
      <w:r w:rsidRPr="00F853DD">
        <w:rPr>
          <w:rFonts w:ascii="Times" w:hAnsi="Times" w:cs="Times New Roman"/>
          <w:sz w:val="23"/>
          <w:szCs w:val="23"/>
        </w:rPr>
        <w:t xml:space="preserve"> (2015). Assessing the relationship between social vulnerability and community resilience to hazards. </w:t>
      </w:r>
      <w:r w:rsidRPr="00F853DD">
        <w:rPr>
          <w:rFonts w:ascii="Times" w:hAnsi="Times" w:cs="Times New Roman"/>
          <w:i/>
          <w:sz w:val="23"/>
          <w:szCs w:val="23"/>
        </w:rPr>
        <w:t>Social Indicators Research</w:t>
      </w:r>
      <w:r w:rsidR="0077719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122</w:t>
      </w:r>
      <w:r w:rsidR="00F8527F" w:rsidRPr="00F853DD">
        <w:rPr>
          <w:rFonts w:ascii="Times" w:hAnsi="Times" w:cs="Times New Roman"/>
          <w:sz w:val="23"/>
          <w:szCs w:val="23"/>
        </w:rPr>
        <w:t>(2)</w:t>
      </w:r>
      <w:r w:rsidRPr="00F853DD">
        <w:rPr>
          <w:rFonts w:ascii="Times" w:hAnsi="Times" w:cs="Times New Roman"/>
          <w:sz w:val="23"/>
          <w:szCs w:val="23"/>
        </w:rPr>
        <w:t>, 391-409.</w:t>
      </w:r>
    </w:p>
    <w:p w14:paraId="6B0449AA" w14:textId="59B425C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Bericat, E.</w:t>
      </w:r>
      <w:r w:rsidR="00441CE7" w:rsidRPr="00F853DD">
        <w:rPr>
          <w:rFonts w:ascii="Times" w:hAnsi="Times" w:cs="Times New Roman"/>
          <w:sz w:val="23"/>
          <w:szCs w:val="23"/>
        </w:rPr>
        <w:t>,</w:t>
      </w:r>
      <w:r w:rsidRPr="00F853DD">
        <w:rPr>
          <w:rFonts w:ascii="Times" w:hAnsi="Times" w:cs="Times New Roman"/>
          <w:sz w:val="23"/>
          <w:szCs w:val="23"/>
        </w:rPr>
        <w:t xml:space="preserve"> (2016). The sociology of emotions: Four decades of progress. </w:t>
      </w:r>
      <w:r w:rsidRPr="00F853DD">
        <w:rPr>
          <w:rFonts w:ascii="Times" w:hAnsi="Times" w:cs="Times New Roman"/>
          <w:i/>
          <w:sz w:val="23"/>
          <w:szCs w:val="23"/>
        </w:rPr>
        <w:t>Current Sociology</w:t>
      </w:r>
      <w:r w:rsidRPr="00F853DD">
        <w:rPr>
          <w:rFonts w:ascii="Times" w:hAnsi="Times" w:cs="Times New Roman"/>
          <w:sz w:val="23"/>
          <w:szCs w:val="23"/>
        </w:rPr>
        <w:t>,</w:t>
      </w:r>
      <w:r w:rsidRPr="00F853DD">
        <w:rPr>
          <w:rFonts w:ascii="Times" w:hAnsi="Times" w:cs="Times New Roman"/>
          <w:b/>
          <w:sz w:val="23"/>
          <w:szCs w:val="23"/>
        </w:rPr>
        <w:t xml:space="preserve"> 64</w:t>
      </w:r>
      <w:r w:rsidR="00F8527F" w:rsidRPr="00F853DD">
        <w:rPr>
          <w:rFonts w:ascii="Times" w:hAnsi="Times" w:cs="Times New Roman"/>
          <w:sz w:val="23"/>
          <w:szCs w:val="23"/>
        </w:rPr>
        <w:t>(3)</w:t>
      </w:r>
      <w:r w:rsidRPr="00F853DD">
        <w:rPr>
          <w:rFonts w:ascii="Times" w:hAnsi="Times" w:cs="Times New Roman"/>
          <w:sz w:val="23"/>
          <w:szCs w:val="23"/>
        </w:rPr>
        <w:t>, 491-513.</w:t>
      </w:r>
    </w:p>
    <w:p w14:paraId="1E8AEA35" w14:textId="5CDD548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Berry, R.</w:t>
      </w:r>
      <w:r w:rsidR="00441CE7" w:rsidRPr="00F853DD">
        <w:rPr>
          <w:rFonts w:ascii="Times" w:hAnsi="Times" w:cs="Times New Roman"/>
          <w:sz w:val="23"/>
          <w:szCs w:val="23"/>
        </w:rPr>
        <w:t>,</w:t>
      </w:r>
      <w:r w:rsidRPr="00F853DD">
        <w:rPr>
          <w:rFonts w:ascii="Times" w:hAnsi="Times" w:cs="Times New Roman"/>
          <w:sz w:val="23"/>
          <w:szCs w:val="23"/>
        </w:rPr>
        <w:t xml:space="preserve"> (2011). Older people and the internet: Towards a “system map</w:t>
      </w:r>
      <w:r w:rsidRPr="00F853DD">
        <w:rPr>
          <w:rFonts w:ascii="Times New Roman" w:hAnsi="Times New Roman" w:cs="Times New Roman"/>
          <w:sz w:val="23"/>
          <w:szCs w:val="23"/>
        </w:rPr>
        <w:t>‟</w:t>
      </w:r>
      <w:r w:rsidRPr="00F853DD">
        <w:rPr>
          <w:rFonts w:ascii="Times" w:hAnsi="Times" w:cs="Times New Roman"/>
          <w:sz w:val="23"/>
          <w:szCs w:val="23"/>
        </w:rPr>
        <w:t xml:space="preserve"> of digital exclusion.  </w:t>
      </w:r>
      <w:r w:rsidRPr="00F853DD">
        <w:rPr>
          <w:rFonts w:ascii="Times" w:hAnsi="Times" w:cs="Times New Roman"/>
          <w:i/>
          <w:sz w:val="23"/>
          <w:szCs w:val="23"/>
        </w:rPr>
        <w:t>International Longevity Centre-UK</w:t>
      </w:r>
      <w:r w:rsidRPr="00F853DD">
        <w:rPr>
          <w:rFonts w:ascii="Times" w:hAnsi="Times" w:cs="Times New Roman"/>
          <w:sz w:val="23"/>
          <w:szCs w:val="23"/>
        </w:rPr>
        <w:t>.</w:t>
      </w:r>
    </w:p>
    <w:p w14:paraId="5247B8DD" w14:textId="584C142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Bertelsen, F. and Zalmienè, L.</w:t>
      </w:r>
      <w:r w:rsidR="00441CE7" w:rsidRPr="00F853DD">
        <w:rPr>
          <w:rFonts w:ascii="Times" w:hAnsi="Times" w:cs="Times New Roman"/>
          <w:sz w:val="23"/>
          <w:szCs w:val="23"/>
        </w:rPr>
        <w:t>,</w:t>
      </w:r>
      <w:r w:rsidR="00777196" w:rsidRPr="00F853DD">
        <w:rPr>
          <w:rFonts w:ascii="Times" w:hAnsi="Times" w:cs="Times New Roman"/>
          <w:sz w:val="23"/>
          <w:szCs w:val="23"/>
        </w:rPr>
        <w:t xml:space="preserve"> (2004). Social policy and community social service d</w:t>
      </w:r>
      <w:r w:rsidRPr="00F853DD">
        <w:rPr>
          <w:rFonts w:ascii="Times" w:hAnsi="Times" w:cs="Times New Roman"/>
          <w:sz w:val="23"/>
          <w:szCs w:val="23"/>
        </w:rPr>
        <w:t>evelop</w:t>
      </w:r>
      <w:r w:rsidR="00777196" w:rsidRPr="00F853DD">
        <w:rPr>
          <w:rFonts w:ascii="Times" w:hAnsi="Times" w:cs="Times New Roman"/>
          <w:sz w:val="23"/>
          <w:szCs w:val="23"/>
        </w:rPr>
        <w:t>ment p</w:t>
      </w:r>
      <w:r w:rsidRPr="00F853DD">
        <w:rPr>
          <w:rFonts w:ascii="Times" w:hAnsi="Times" w:cs="Times New Roman"/>
          <w:sz w:val="23"/>
          <w:szCs w:val="23"/>
        </w:rPr>
        <w:t xml:space="preserve">roject in Lithuania [online]. </w:t>
      </w:r>
      <w:r w:rsidRPr="00F853DD">
        <w:rPr>
          <w:rFonts w:ascii="Times" w:hAnsi="Times" w:cs="Times New Roman"/>
          <w:i/>
          <w:sz w:val="23"/>
          <w:szCs w:val="23"/>
        </w:rPr>
        <w:t>Swedish International Development Cooperation Agency</w:t>
      </w:r>
      <w:r w:rsidRPr="00F853DD">
        <w:rPr>
          <w:rFonts w:ascii="Times" w:hAnsi="Times" w:cs="Times New Roman"/>
          <w:sz w:val="23"/>
          <w:szCs w:val="23"/>
        </w:rPr>
        <w:t>. [Viewed 10</w:t>
      </w:r>
      <w:r w:rsidRPr="00F853DD">
        <w:rPr>
          <w:rFonts w:ascii="Times" w:hAnsi="Times" w:cs="Times New Roman"/>
          <w:sz w:val="23"/>
          <w:szCs w:val="23"/>
          <w:vertAlign w:val="superscript"/>
        </w:rPr>
        <w:t xml:space="preserve"> </w:t>
      </w:r>
      <w:r w:rsidRPr="00F853DD">
        <w:rPr>
          <w:rFonts w:ascii="Times" w:hAnsi="Times" w:cs="Times New Roman"/>
          <w:sz w:val="23"/>
          <w:szCs w:val="23"/>
        </w:rPr>
        <w:t xml:space="preserve">November 2019]. Available from: https://www.sida.se/contentassets/b1442fc38d6f442c95a45919eb308fb1/social-policy-and-community-social-service-development-project-in-lithuania_2141.pdf </w:t>
      </w:r>
    </w:p>
    <w:p w14:paraId="248BC650" w14:textId="5AFBD30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Bertera, C.</w:t>
      </w:r>
      <w:r w:rsidR="00441CE7" w:rsidRPr="00F853DD">
        <w:rPr>
          <w:rFonts w:ascii="Times" w:hAnsi="Times" w:cs="Times New Roman"/>
          <w:sz w:val="23"/>
          <w:szCs w:val="23"/>
        </w:rPr>
        <w:t>,</w:t>
      </w:r>
      <w:r w:rsidRPr="00F853DD">
        <w:rPr>
          <w:rFonts w:ascii="Times" w:hAnsi="Times" w:cs="Times New Roman"/>
          <w:sz w:val="23"/>
          <w:szCs w:val="23"/>
        </w:rPr>
        <w:t xml:space="preserve"> (2012). Grounded theory methodology: Has it become a movement? [online]. </w:t>
      </w:r>
      <w:r w:rsidRPr="00F853DD">
        <w:rPr>
          <w:rFonts w:ascii="Times" w:hAnsi="Times" w:cs="Times New Roman"/>
          <w:i/>
          <w:sz w:val="23"/>
          <w:szCs w:val="23"/>
        </w:rPr>
        <w:t>International Journal of Qualitative Health Studies and Wellbeing</w:t>
      </w:r>
      <w:r w:rsidRPr="00F853DD">
        <w:rPr>
          <w:rFonts w:ascii="Times" w:hAnsi="Times" w:cs="Times New Roman"/>
          <w:sz w:val="23"/>
          <w:szCs w:val="23"/>
        </w:rPr>
        <w:t>. Available from: http://www.ncbi.nlm.nih.gov/pmc/articles/PMC3376761/.</w:t>
      </w:r>
    </w:p>
    <w:p w14:paraId="21439E3E" w14:textId="407084A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Bettio, F. and Verashchagina, A.</w:t>
      </w:r>
      <w:r w:rsidR="00441CE7" w:rsidRPr="00F853DD">
        <w:rPr>
          <w:rFonts w:ascii="Times" w:hAnsi="Times" w:cs="Times New Roman"/>
          <w:sz w:val="23"/>
          <w:szCs w:val="23"/>
        </w:rPr>
        <w:t>,</w:t>
      </w:r>
      <w:r w:rsidRPr="00F853DD">
        <w:rPr>
          <w:rFonts w:ascii="Times" w:hAnsi="Times" w:cs="Times New Roman"/>
          <w:sz w:val="23"/>
          <w:szCs w:val="23"/>
        </w:rPr>
        <w:t xml:space="preserve"> (2010). </w:t>
      </w:r>
      <w:r w:rsidR="00777196" w:rsidRPr="00F853DD">
        <w:rPr>
          <w:rFonts w:ascii="Times" w:hAnsi="Times" w:cs="Times New Roman"/>
          <w:i/>
          <w:sz w:val="23"/>
          <w:szCs w:val="23"/>
        </w:rPr>
        <w:t>Long-term care for the e</w:t>
      </w:r>
      <w:r w:rsidRPr="00F853DD">
        <w:rPr>
          <w:rFonts w:ascii="Times" w:hAnsi="Times" w:cs="Times New Roman"/>
          <w:i/>
          <w:sz w:val="23"/>
          <w:szCs w:val="23"/>
        </w:rPr>
        <w:t>lderly</w:t>
      </w:r>
      <w:r w:rsidR="00777196" w:rsidRPr="00F853DD">
        <w:rPr>
          <w:rFonts w:ascii="Times" w:hAnsi="Times" w:cs="Times New Roman"/>
          <w:sz w:val="23"/>
          <w:szCs w:val="23"/>
        </w:rPr>
        <w:t>. Provisions and p</w:t>
      </w:r>
      <w:r w:rsidRPr="00F853DD">
        <w:rPr>
          <w:rFonts w:ascii="Times" w:hAnsi="Times" w:cs="Times New Roman"/>
          <w:sz w:val="23"/>
          <w:szCs w:val="23"/>
        </w:rPr>
        <w:t>roviders in 33 European Countries. Luxembourg.</w:t>
      </w:r>
    </w:p>
    <w:p w14:paraId="3A1A6653" w14:textId="66EE9AC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Bettio, F. and Plantenga, J.</w:t>
      </w:r>
      <w:r w:rsidR="00441CE7" w:rsidRPr="00F853DD">
        <w:rPr>
          <w:rFonts w:ascii="Times" w:hAnsi="Times" w:cs="Times New Roman"/>
          <w:sz w:val="23"/>
          <w:szCs w:val="23"/>
        </w:rPr>
        <w:t>,</w:t>
      </w:r>
      <w:r w:rsidRPr="00F853DD">
        <w:rPr>
          <w:rFonts w:ascii="Times" w:hAnsi="Times" w:cs="Times New Roman"/>
          <w:sz w:val="23"/>
          <w:szCs w:val="23"/>
        </w:rPr>
        <w:t xml:space="preserve"> (2004). Comparing care regimes in Europe. </w:t>
      </w:r>
      <w:r w:rsidR="00777196" w:rsidRPr="00F853DD">
        <w:rPr>
          <w:rFonts w:ascii="Times" w:hAnsi="Times" w:cs="Times New Roman"/>
          <w:i/>
          <w:sz w:val="23"/>
          <w:szCs w:val="23"/>
        </w:rPr>
        <w:t>Feminist E</w:t>
      </w:r>
      <w:r w:rsidRPr="00F853DD">
        <w:rPr>
          <w:rFonts w:ascii="Times" w:hAnsi="Times" w:cs="Times New Roman"/>
          <w:i/>
          <w:sz w:val="23"/>
          <w:szCs w:val="23"/>
        </w:rPr>
        <w:t>conomics</w:t>
      </w:r>
      <w:r w:rsidR="00777196"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 xml:space="preserve">(1), 85-113. [Viewed 17 November 2019]. Available from: </w:t>
      </w:r>
      <w:r w:rsidR="00170342" w:rsidRPr="00F853DD">
        <w:rPr>
          <w:rFonts w:ascii="Times" w:hAnsi="Times" w:cs="Times New Roman"/>
          <w:sz w:val="23"/>
          <w:szCs w:val="23"/>
        </w:rPr>
        <w:t>https://www.csus.edu/indiv/c/chalmersk/ECON184SP09/ComparingCareRegimesInEurope.pdf</w:t>
      </w:r>
      <w:r w:rsidRPr="00F853DD">
        <w:rPr>
          <w:rFonts w:ascii="Times" w:hAnsi="Times" w:cs="Times New Roman"/>
          <w:sz w:val="23"/>
          <w:szCs w:val="23"/>
        </w:rPr>
        <w:t xml:space="preserve"> </w:t>
      </w:r>
    </w:p>
    <w:p w14:paraId="7C9A0E5F" w14:textId="0888A3E6" w:rsidR="00170342" w:rsidRPr="00F853DD" w:rsidRDefault="0017034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Bhalla, A. and Blakemore, K., 1981. Elders of the ethnic minority groups. Birmingham, AFFOR.</w:t>
      </w:r>
    </w:p>
    <w:p w14:paraId="21D441AA" w14:textId="313DBC0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Bhamra, R., Dani, S. and Burnard, K.</w:t>
      </w:r>
      <w:r w:rsidR="00441CE7" w:rsidRPr="00F853DD">
        <w:rPr>
          <w:rFonts w:ascii="Times" w:hAnsi="Times" w:cs="Times New Roman"/>
          <w:sz w:val="23"/>
          <w:szCs w:val="23"/>
        </w:rPr>
        <w:t>,</w:t>
      </w:r>
      <w:r w:rsidRPr="00F853DD">
        <w:rPr>
          <w:rFonts w:ascii="Times" w:hAnsi="Times" w:cs="Times New Roman"/>
          <w:sz w:val="23"/>
          <w:szCs w:val="23"/>
        </w:rPr>
        <w:t xml:space="preserve"> (2011). Resilience: the concept, a literature review and future directions. </w:t>
      </w:r>
      <w:r w:rsidRPr="00F853DD">
        <w:rPr>
          <w:rFonts w:ascii="Times" w:hAnsi="Times" w:cs="Times New Roman"/>
          <w:i/>
          <w:sz w:val="23"/>
          <w:szCs w:val="23"/>
        </w:rPr>
        <w:t>International Journal of Production Research</w:t>
      </w:r>
      <w:r w:rsidRPr="00F853DD">
        <w:rPr>
          <w:rFonts w:ascii="Times" w:hAnsi="Times" w:cs="Times New Roman"/>
          <w:sz w:val="23"/>
          <w:szCs w:val="23"/>
        </w:rPr>
        <w:t xml:space="preserve">, </w:t>
      </w:r>
      <w:r w:rsidRPr="00F853DD">
        <w:rPr>
          <w:rFonts w:ascii="Times" w:hAnsi="Times" w:cs="Times New Roman"/>
          <w:b/>
          <w:sz w:val="23"/>
          <w:szCs w:val="23"/>
        </w:rPr>
        <w:t>49</w:t>
      </w:r>
      <w:r w:rsidR="008530D7" w:rsidRPr="00F853DD">
        <w:rPr>
          <w:rFonts w:ascii="Times" w:hAnsi="Times" w:cs="Times New Roman"/>
          <w:sz w:val="23"/>
          <w:szCs w:val="23"/>
        </w:rPr>
        <w:t>(18)</w:t>
      </w:r>
      <w:r w:rsidRPr="00F853DD">
        <w:rPr>
          <w:rFonts w:ascii="Times" w:hAnsi="Times" w:cs="Times New Roman"/>
          <w:sz w:val="23"/>
          <w:szCs w:val="23"/>
        </w:rPr>
        <w:t>, 5375-5393.</w:t>
      </w:r>
    </w:p>
    <w:p w14:paraId="66E7E37B" w14:textId="163FB7D1" w:rsidR="00DF05BD" w:rsidRPr="00F853DD" w:rsidRDefault="00A430E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Biddle, B.</w:t>
      </w:r>
      <w:r w:rsidR="00441CE7" w:rsidRPr="00F853DD">
        <w:rPr>
          <w:rFonts w:ascii="Times" w:hAnsi="Times" w:cs="Times New Roman"/>
          <w:sz w:val="23"/>
          <w:szCs w:val="23"/>
        </w:rPr>
        <w:t>,</w:t>
      </w:r>
      <w:r w:rsidR="00DF05BD" w:rsidRPr="00F853DD">
        <w:rPr>
          <w:rFonts w:ascii="Times" w:hAnsi="Times" w:cs="Times New Roman"/>
          <w:sz w:val="23"/>
          <w:szCs w:val="23"/>
        </w:rPr>
        <w:t xml:space="preserve"> (1986). Recent Developments in Role Theory. </w:t>
      </w:r>
      <w:r w:rsidR="00DF05BD" w:rsidRPr="00F853DD">
        <w:rPr>
          <w:rFonts w:ascii="Times" w:hAnsi="Times" w:cs="Times New Roman"/>
          <w:i/>
          <w:sz w:val="23"/>
          <w:szCs w:val="23"/>
        </w:rPr>
        <w:t>Annual Review of Sociology</w:t>
      </w:r>
      <w:r w:rsidR="0077719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12</w:t>
      </w:r>
      <w:r w:rsidR="008530D7" w:rsidRPr="00F853DD">
        <w:rPr>
          <w:rFonts w:ascii="Times" w:hAnsi="Times" w:cs="Times New Roman"/>
          <w:sz w:val="23"/>
          <w:szCs w:val="23"/>
        </w:rPr>
        <w:t>(1)</w:t>
      </w:r>
      <w:r w:rsidR="00DF05BD" w:rsidRPr="00F853DD">
        <w:rPr>
          <w:rFonts w:ascii="Times" w:hAnsi="Times" w:cs="Times New Roman"/>
          <w:sz w:val="23"/>
          <w:szCs w:val="23"/>
        </w:rPr>
        <w:t>, 67-92.</w:t>
      </w:r>
    </w:p>
    <w:p w14:paraId="690EE5E2" w14:textId="3A387784" w:rsidR="00DF05BD" w:rsidRPr="00F853DD" w:rsidRDefault="00A430E9"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Bierhals, Dos Santos, N., Fengler, F., Raubustt, K.</w:t>
      </w:r>
      <w:r w:rsidR="00DF05BD" w:rsidRPr="00F853DD">
        <w:rPr>
          <w:rFonts w:ascii="Times" w:hAnsi="Times" w:cs="Times New Roman"/>
          <w:sz w:val="23"/>
          <w:szCs w:val="23"/>
        </w:rPr>
        <w:t>, Forb</w:t>
      </w:r>
      <w:r w:rsidRPr="00F853DD">
        <w:rPr>
          <w:rFonts w:ascii="Times" w:hAnsi="Times" w:cs="Times New Roman"/>
          <w:sz w:val="23"/>
          <w:szCs w:val="23"/>
        </w:rPr>
        <w:t>es, D., and Paskulin, L.</w:t>
      </w:r>
      <w:r w:rsidR="00441CE7" w:rsidRPr="00F853DD">
        <w:rPr>
          <w:rFonts w:ascii="Times" w:hAnsi="Times" w:cs="Times New Roman"/>
          <w:sz w:val="23"/>
          <w:szCs w:val="23"/>
        </w:rPr>
        <w:t>,</w:t>
      </w:r>
      <w:r w:rsidR="00DF05BD" w:rsidRPr="00F853DD">
        <w:rPr>
          <w:rFonts w:ascii="Times" w:hAnsi="Times" w:cs="Times New Roman"/>
          <w:sz w:val="23"/>
          <w:szCs w:val="23"/>
        </w:rPr>
        <w:t xml:space="preserve"> (2017). Needs of family caregivers in home care for older adults. </w:t>
      </w:r>
      <w:r w:rsidR="00DF05BD" w:rsidRPr="00F853DD">
        <w:rPr>
          <w:rFonts w:ascii="Times" w:hAnsi="Times" w:cs="Times New Roman"/>
          <w:i/>
          <w:sz w:val="23"/>
          <w:szCs w:val="23"/>
          <w:lang w:val="en-TT"/>
        </w:rPr>
        <w:t>Revista Latino-Americana De Enfermagem</w:t>
      </w:r>
      <w:r w:rsidR="00777196" w:rsidRPr="00F853DD">
        <w:rPr>
          <w:rFonts w:ascii="Times" w:hAnsi="Times" w:cs="Times New Roman"/>
          <w:i/>
          <w:sz w:val="23"/>
          <w:szCs w:val="23"/>
          <w:lang w:val="en-TT"/>
        </w:rPr>
        <w:t>.</w:t>
      </w:r>
      <w:r w:rsidR="00DF05BD" w:rsidRPr="00F853DD">
        <w:rPr>
          <w:rFonts w:ascii="Times" w:hAnsi="Times" w:cs="Times New Roman"/>
          <w:sz w:val="23"/>
          <w:szCs w:val="23"/>
          <w:lang w:val="en-TT"/>
        </w:rPr>
        <w:t xml:space="preserve"> </w:t>
      </w:r>
      <w:r w:rsidR="00DF05BD" w:rsidRPr="00F853DD">
        <w:rPr>
          <w:rFonts w:ascii="Times" w:hAnsi="Times" w:cs="Times New Roman"/>
          <w:b/>
          <w:sz w:val="23"/>
          <w:szCs w:val="23"/>
          <w:lang w:val="en-TT"/>
        </w:rPr>
        <w:t>25</w:t>
      </w:r>
      <w:r w:rsidR="00DF05BD" w:rsidRPr="00F853DD">
        <w:rPr>
          <w:rFonts w:ascii="Times" w:hAnsi="Times" w:cs="Times New Roman"/>
          <w:sz w:val="23"/>
          <w:szCs w:val="23"/>
          <w:lang w:val="en-TT"/>
        </w:rPr>
        <w:t>, 8.</w:t>
      </w:r>
    </w:p>
    <w:p w14:paraId="7B960722" w14:textId="0110892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Biggs, S. and Haapala, I.</w:t>
      </w:r>
      <w:r w:rsidR="00441CE7" w:rsidRPr="00F853DD">
        <w:rPr>
          <w:rFonts w:ascii="Times" w:hAnsi="Times" w:cs="Times New Roman"/>
          <w:sz w:val="23"/>
          <w:szCs w:val="23"/>
          <w:lang w:val="en-TT"/>
        </w:rPr>
        <w:t>,</w:t>
      </w:r>
      <w:r w:rsidRPr="00F853DD">
        <w:rPr>
          <w:rFonts w:ascii="Times" w:hAnsi="Times" w:cs="Times New Roman"/>
          <w:sz w:val="23"/>
          <w:szCs w:val="23"/>
          <w:lang w:val="en-TT"/>
        </w:rPr>
        <w:t xml:space="preserve"> (2013). </w:t>
      </w:r>
      <w:r w:rsidRPr="00F853DD">
        <w:rPr>
          <w:rFonts w:ascii="Times" w:hAnsi="Times" w:cs="Times New Roman"/>
          <w:sz w:val="23"/>
          <w:szCs w:val="23"/>
        </w:rPr>
        <w:t xml:space="preserve">Elder mistreatment, ageism, and human rights. </w:t>
      </w:r>
      <w:r w:rsidRPr="00F853DD">
        <w:rPr>
          <w:rFonts w:ascii="Times" w:hAnsi="Times" w:cs="Times New Roman"/>
          <w:i/>
          <w:sz w:val="23"/>
          <w:szCs w:val="23"/>
        </w:rPr>
        <w:t>International Psychogeriatrics</w:t>
      </w:r>
      <w:r w:rsidRPr="00F853DD">
        <w:rPr>
          <w:rFonts w:ascii="Times" w:hAnsi="Times" w:cs="Times New Roman"/>
          <w:sz w:val="23"/>
          <w:szCs w:val="23"/>
        </w:rPr>
        <w:t xml:space="preserve">, </w:t>
      </w:r>
      <w:r w:rsidRPr="00F853DD">
        <w:rPr>
          <w:rFonts w:ascii="Times" w:hAnsi="Times" w:cs="Times New Roman"/>
          <w:b/>
          <w:sz w:val="23"/>
          <w:szCs w:val="23"/>
        </w:rPr>
        <w:t>25</w:t>
      </w:r>
      <w:r w:rsidR="008530D7" w:rsidRPr="00F853DD">
        <w:rPr>
          <w:rFonts w:ascii="Times" w:hAnsi="Times" w:cs="Times New Roman"/>
          <w:sz w:val="23"/>
          <w:szCs w:val="23"/>
        </w:rPr>
        <w:t>(8)</w:t>
      </w:r>
      <w:r w:rsidRPr="00F853DD">
        <w:rPr>
          <w:rFonts w:ascii="Times" w:hAnsi="Times" w:cs="Times New Roman"/>
          <w:sz w:val="23"/>
          <w:szCs w:val="23"/>
        </w:rPr>
        <w:t>, 1299-1306.</w:t>
      </w:r>
    </w:p>
    <w:p w14:paraId="459CA31B" w14:textId="10B74135"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Birkeland, A. and Natvig, G.</w:t>
      </w:r>
      <w:r w:rsidR="00441CE7" w:rsidRPr="00F853DD">
        <w:rPr>
          <w:rFonts w:ascii="Times" w:hAnsi="Times" w:cs="Times New Roman"/>
          <w:sz w:val="23"/>
          <w:szCs w:val="23"/>
        </w:rPr>
        <w:t>,</w:t>
      </w:r>
      <w:r w:rsidR="00DF05BD" w:rsidRPr="00F853DD">
        <w:rPr>
          <w:rFonts w:ascii="Times" w:hAnsi="Times" w:cs="Times New Roman"/>
          <w:sz w:val="23"/>
          <w:szCs w:val="23"/>
        </w:rPr>
        <w:t xml:space="preserve"> (2009). Coping with ageing and failing health: </w:t>
      </w:r>
      <w:r w:rsidR="00777196" w:rsidRPr="00F853DD">
        <w:rPr>
          <w:rFonts w:ascii="Times" w:hAnsi="Times" w:cs="Times New Roman"/>
          <w:sz w:val="23"/>
          <w:szCs w:val="23"/>
        </w:rPr>
        <w:t>a</w:t>
      </w:r>
      <w:r w:rsidR="00DF05BD" w:rsidRPr="00F853DD">
        <w:rPr>
          <w:rFonts w:ascii="Times" w:hAnsi="Times" w:cs="Times New Roman"/>
          <w:sz w:val="23"/>
          <w:szCs w:val="23"/>
        </w:rPr>
        <w:t xml:space="preserve"> qualitative study among elderly living alone. </w:t>
      </w:r>
      <w:r w:rsidR="00DF05BD" w:rsidRPr="00F853DD">
        <w:rPr>
          <w:rFonts w:ascii="Times" w:hAnsi="Times" w:cs="Times New Roman"/>
          <w:i/>
          <w:sz w:val="23"/>
          <w:szCs w:val="23"/>
        </w:rPr>
        <w:t>International Journal of Nursing Practice</w:t>
      </w:r>
      <w:r w:rsidR="0077719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15</w:t>
      </w:r>
      <w:r w:rsidR="008530D7" w:rsidRPr="00F853DD">
        <w:rPr>
          <w:rFonts w:ascii="Times" w:hAnsi="Times" w:cs="Times New Roman"/>
          <w:sz w:val="23"/>
          <w:szCs w:val="23"/>
        </w:rPr>
        <w:t>(4)</w:t>
      </w:r>
      <w:r w:rsidR="00DF05BD" w:rsidRPr="00F853DD">
        <w:rPr>
          <w:rFonts w:ascii="Times" w:hAnsi="Times" w:cs="Times New Roman"/>
          <w:sz w:val="23"/>
          <w:szCs w:val="23"/>
        </w:rPr>
        <w:t>, 257-264.</w:t>
      </w:r>
    </w:p>
    <w:p w14:paraId="252A111C" w14:textId="25AF62D8"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Birren, J.</w:t>
      </w:r>
      <w:r w:rsidR="00441CE7" w:rsidRPr="00F853DD">
        <w:rPr>
          <w:rFonts w:ascii="Times" w:hAnsi="Times" w:cs="Times New Roman"/>
          <w:sz w:val="23"/>
          <w:szCs w:val="23"/>
        </w:rPr>
        <w:t>,</w:t>
      </w:r>
      <w:r w:rsidR="00DF05BD" w:rsidRPr="00F853DD">
        <w:rPr>
          <w:rFonts w:ascii="Times" w:hAnsi="Times" w:cs="Times New Roman"/>
          <w:sz w:val="23"/>
          <w:szCs w:val="23"/>
        </w:rPr>
        <w:t xml:space="preserve"> (2007). </w:t>
      </w:r>
      <w:r w:rsidR="00DF05BD" w:rsidRPr="00F853DD">
        <w:rPr>
          <w:rFonts w:ascii="Times" w:hAnsi="Times" w:cs="Times New Roman"/>
          <w:i/>
          <w:sz w:val="23"/>
          <w:szCs w:val="23"/>
        </w:rPr>
        <w:t>Encyclopedia of Gerontology</w:t>
      </w:r>
      <w:r w:rsidR="00DF05BD" w:rsidRPr="00F853DD">
        <w:rPr>
          <w:rFonts w:ascii="Times" w:hAnsi="Times" w:cs="Times New Roman"/>
          <w:sz w:val="23"/>
          <w:szCs w:val="23"/>
        </w:rPr>
        <w:t>. In: BIRREN, J. E. (ed.) 2nd ed. California: Elsevier Inc.</w:t>
      </w:r>
    </w:p>
    <w:p w14:paraId="59DF31E4" w14:textId="2DDB184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Bissessar, A.</w:t>
      </w:r>
      <w:r w:rsidR="00441CE7" w:rsidRPr="00F853DD">
        <w:rPr>
          <w:rFonts w:ascii="Times" w:hAnsi="Times" w:cs="Times New Roman"/>
          <w:sz w:val="23"/>
          <w:szCs w:val="23"/>
        </w:rPr>
        <w:t>,</w:t>
      </w:r>
      <w:r w:rsidRPr="00F853DD">
        <w:rPr>
          <w:rFonts w:ascii="Times" w:hAnsi="Times" w:cs="Times New Roman"/>
          <w:sz w:val="23"/>
          <w:szCs w:val="23"/>
        </w:rPr>
        <w:t xml:space="preserve"> (2009). Challenges facing senior public servants in a plural society. </w:t>
      </w:r>
      <w:r w:rsidRPr="00F853DD">
        <w:rPr>
          <w:rFonts w:ascii="Times" w:hAnsi="Times" w:cs="Times New Roman"/>
          <w:i/>
          <w:sz w:val="23"/>
          <w:szCs w:val="23"/>
        </w:rPr>
        <w:t>Public Personnel Management</w:t>
      </w:r>
      <w:r w:rsidR="0077719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38</w:t>
      </w:r>
      <w:r w:rsidR="008530D7" w:rsidRPr="00F853DD">
        <w:rPr>
          <w:rFonts w:ascii="Times" w:hAnsi="Times" w:cs="Times New Roman"/>
          <w:sz w:val="23"/>
          <w:szCs w:val="23"/>
        </w:rPr>
        <w:t>(1)</w:t>
      </w:r>
      <w:r w:rsidRPr="00F853DD">
        <w:rPr>
          <w:rFonts w:ascii="Times" w:hAnsi="Times" w:cs="Times New Roman"/>
          <w:sz w:val="23"/>
          <w:szCs w:val="23"/>
        </w:rPr>
        <w:t>, 1-15.</w:t>
      </w:r>
    </w:p>
    <w:p w14:paraId="6289E60C" w14:textId="510DB73B"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Blair, M.</w:t>
      </w:r>
      <w:r w:rsidR="00441CE7" w:rsidRPr="00F853DD">
        <w:rPr>
          <w:rFonts w:ascii="Times" w:hAnsi="Times" w:cs="Times New Roman"/>
          <w:sz w:val="23"/>
          <w:szCs w:val="23"/>
        </w:rPr>
        <w:t>,</w:t>
      </w:r>
      <w:r w:rsidR="00DF05BD" w:rsidRPr="00F853DD">
        <w:rPr>
          <w:rFonts w:ascii="Times" w:hAnsi="Times" w:cs="Times New Roman"/>
          <w:sz w:val="23"/>
          <w:szCs w:val="23"/>
        </w:rPr>
        <w:t xml:space="preserve"> (1972). Evaluation of Bardis Familism scale. </w:t>
      </w:r>
      <w:r w:rsidR="00DF05BD" w:rsidRPr="00F853DD">
        <w:rPr>
          <w:rFonts w:ascii="Times" w:hAnsi="Times" w:cs="Times New Roman"/>
          <w:i/>
          <w:sz w:val="23"/>
          <w:szCs w:val="23"/>
        </w:rPr>
        <w:t>Journal of Marriage and the Family</w:t>
      </w:r>
      <w:r w:rsidR="0077719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34</w:t>
      </w:r>
      <w:r w:rsidR="00DF05BD" w:rsidRPr="00F853DD">
        <w:rPr>
          <w:rFonts w:ascii="Times" w:hAnsi="Times" w:cs="Times New Roman"/>
          <w:sz w:val="23"/>
          <w:szCs w:val="23"/>
        </w:rPr>
        <w:t>, 265-268.</w:t>
      </w:r>
    </w:p>
    <w:p w14:paraId="06EEC88E" w14:textId="09821556" w:rsidR="00D76309" w:rsidRPr="00F853DD" w:rsidRDefault="00D7630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Blake, H.</w:t>
      </w:r>
      <w:r w:rsidR="00441CE7" w:rsidRPr="00F853DD">
        <w:rPr>
          <w:rFonts w:ascii="Times" w:hAnsi="Times" w:cs="Times New Roman"/>
          <w:sz w:val="23"/>
          <w:szCs w:val="23"/>
        </w:rPr>
        <w:t>,</w:t>
      </w:r>
      <w:r w:rsidRPr="00F853DD">
        <w:rPr>
          <w:rFonts w:ascii="Times" w:hAnsi="Times" w:cs="Times New Roman"/>
          <w:sz w:val="23"/>
          <w:szCs w:val="23"/>
        </w:rPr>
        <w:t xml:space="preserve"> (2003)., </w:t>
      </w:r>
      <w:r w:rsidRPr="00F853DD">
        <w:rPr>
          <w:rFonts w:ascii="Times" w:hAnsi="Times" w:cs="Times New Roman"/>
          <w:i/>
          <w:sz w:val="23"/>
          <w:szCs w:val="23"/>
        </w:rPr>
        <w:t xml:space="preserve">Humanization in </w:t>
      </w:r>
      <w:r w:rsidR="00777196" w:rsidRPr="00F853DD">
        <w:rPr>
          <w:rFonts w:ascii="Times" w:hAnsi="Times" w:cs="Times New Roman"/>
          <w:i/>
          <w:sz w:val="23"/>
          <w:szCs w:val="23"/>
        </w:rPr>
        <w:t>c</w:t>
      </w:r>
      <w:r w:rsidRPr="00F853DD">
        <w:rPr>
          <w:rFonts w:ascii="Times" w:hAnsi="Times" w:cs="Times New Roman"/>
          <w:i/>
          <w:sz w:val="23"/>
          <w:szCs w:val="23"/>
        </w:rPr>
        <w:t xml:space="preserve">ommunity Homes for the </w:t>
      </w:r>
      <w:r w:rsidR="00777196" w:rsidRPr="00F853DD">
        <w:rPr>
          <w:rFonts w:ascii="Times" w:hAnsi="Times" w:cs="Times New Roman"/>
          <w:i/>
          <w:sz w:val="23"/>
          <w:szCs w:val="23"/>
        </w:rPr>
        <w:t>a</w:t>
      </w:r>
      <w:r w:rsidRPr="00F853DD">
        <w:rPr>
          <w:rFonts w:ascii="Times" w:hAnsi="Times" w:cs="Times New Roman"/>
          <w:i/>
          <w:sz w:val="23"/>
          <w:szCs w:val="23"/>
        </w:rPr>
        <w:t xml:space="preserve">ged: </w:t>
      </w:r>
      <w:r w:rsidR="00777196" w:rsidRPr="00F853DD">
        <w:rPr>
          <w:rFonts w:ascii="Times" w:hAnsi="Times" w:cs="Times New Roman"/>
          <w:i/>
          <w:sz w:val="23"/>
          <w:szCs w:val="23"/>
        </w:rPr>
        <w:t>a p</w:t>
      </w:r>
      <w:r w:rsidRPr="00F853DD">
        <w:rPr>
          <w:rFonts w:ascii="Times" w:hAnsi="Times" w:cs="Times New Roman"/>
          <w:i/>
          <w:sz w:val="23"/>
          <w:szCs w:val="23"/>
        </w:rPr>
        <w:t xml:space="preserve">reliminary </w:t>
      </w:r>
      <w:r w:rsidR="00777196" w:rsidRPr="00F853DD">
        <w:rPr>
          <w:rFonts w:ascii="Times" w:hAnsi="Times" w:cs="Times New Roman"/>
          <w:i/>
          <w:sz w:val="23"/>
          <w:szCs w:val="23"/>
        </w:rPr>
        <w:t>a</w:t>
      </w:r>
      <w:r w:rsidRPr="00F853DD">
        <w:rPr>
          <w:rFonts w:ascii="Times" w:hAnsi="Times" w:cs="Times New Roman"/>
          <w:i/>
          <w:sz w:val="23"/>
          <w:szCs w:val="23"/>
        </w:rPr>
        <w:t xml:space="preserve">ssessment of the </w:t>
      </w:r>
      <w:r w:rsidR="00777196" w:rsidRPr="00F853DD">
        <w:rPr>
          <w:rFonts w:ascii="Times" w:hAnsi="Times" w:cs="Times New Roman"/>
          <w:i/>
          <w:sz w:val="23"/>
          <w:szCs w:val="23"/>
        </w:rPr>
        <w:t>s</w:t>
      </w:r>
      <w:r w:rsidRPr="00F853DD">
        <w:rPr>
          <w:rFonts w:ascii="Times" w:hAnsi="Times" w:cs="Times New Roman"/>
          <w:i/>
          <w:sz w:val="23"/>
          <w:szCs w:val="23"/>
        </w:rPr>
        <w:t xml:space="preserve">ervices </w:t>
      </w:r>
      <w:r w:rsidR="00777196" w:rsidRPr="00F853DD">
        <w:rPr>
          <w:rFonts w:ascii="Times" w:hAnsi="Times" w:cs="Times New Roman"/>
          <w:i/>
          <w:sz w:val="23"/>
          <w:szCs w:val="23"/>
        </w:rPr>
        <w:t>p</w:t>
      </w:r>
      <w:r w:rsidRPr="00F853DD">
        <w:rPr>
          <w:rFonts w:ascii="Times" w:hAnsi="Times" w:cs="Times New Roman"/>
          <w:i/>
          <w:sz w:val="23"/>
          <w:szCs w:val="23"/>
        </w:rPr>
        <w:t xml:space="preserve">rovided and the </w:t>
      </w:r>
      <w:r w:rsidR="00777196" w:rsidRPr="00F853DD">
        <w:rPr>
          <w:rFonts w:ascii="Times" w:hAnsi="Times" w:cs="Times New Roman"/>
          <w:i/>
          <w:sz w:val="23"/>
          <w:szCs w:val="23"/>
        </w:rPr>
        <w:t>c</w:t>
      </w:r>
      <w:r w:rsidRPr="00F853DD">
        <w:rPr>
          <w:rFonts w:ascii="Times" w:hAnsi="Times" w:cs="Times New Roman"/>
          <w:i/>
          <w:sz w:val="23"/>
          <w:szCs w:val="23"/>
        </w:rPr>
        <w:t xml:space="preserve">hallenges </w:t>
      </w:r>
      <w:r w:rsidR="00777196" w:rsidRPr="00F853DD">
        <w:rPr>
          <w:rFonts w:ascii="Times" w:hAnsi="Times" w:cs="Times New Roman"/>
          <w:i/>
          <w:sz w:val="23"/>
          <w:szCs w:val="23"/>
        </w:rPr>
        <w:t>f</w:t>
      </w:r>
      <w:r w:rsidRPr="00F853DD">
        <w:rPr>
          <w:rFonts w:ascii="Times" w:hAnsi="Times" w:cs="Times New Roman"/>
          <w:i/>
          <w:sz w:val="23"/>
          <w:szCs w:val="23"/>
        </w:rPr>
        <w:t xml:space="preserve">aced in the </w:t>
      </w:r>
      <w:r w:rsidR="00777196" w:rsidRPr="00F853DD">
        <w:rPr>
          <w:rFonts w:ascii="Times" w:hAnsi="Times" w:cs="Times New Roman"/>
          <w:i/>
          <w:sz w:val="23"/>
          <w:szCs w:val="23"/>
        </w:rPr>
        <w:t>p</w:t>
      </w:r>
      <w:r w:rsidRPr="00F853DD">
        <w:rPr>
          <w:rFonts w:ascii="Times" w:hAnsi="Times" w:cs="Times New Roman"/>
          <w:i/>
          <w:sz w:val="23"/>
          <w:szCs w:val="23"/>
        </w:rPr>
        <w:t xml:space="preserve">rovision of </w:t>
      </w:r>
      <w:r w:rsidR="00777196" w:rsidRPr="00F853DD">
        <w:rPr>
          <w:rFonts w:ascii="Times" w:hAnsi="Times" w:cs="Times New Roman"/>
          <w:i/>
          <w:sz w:val="23"/>
          <w:szCs w:val="23"/>
        </w:rPr>
        <w:t>r</w:t>
      </w:r>
      <w:r w:rsidRPr="00F853DD">
        <w:rPr>
          <w:rFonts w:ascii="Times" w:hAnsi="Times" w:cs="Times New Roman"/>
          <w:i/>
          <w:sz w:val="23"/>
          <w:szCs w:val="23"/>
        </w:rPr>
        <w:t xml:space="preserve">esidential </w:t>
      </w:r>
      <w:r w:rsidR="00777196" w:rsidRPr="00F853DD">
        <w:rPr>
          <w:rFonts w:ascii="Times" w:hAnsi="Times" w:cs="Times New Roman"/>
          <w:i/>
          <w:sz w:val="23"/>
          <w:szCs w:val="23"/>
        </w:rPr>
        <w:t>c</w:t>
      </w:r>
      <w:r w:rsidRPr="00F853DD">
        <w:rPr>
          <w:rFonts w:ascii="Times" w:hAnsi="Times" w:cs="Times New Roman"/>
          <w:i/>
          <w:sz w:val="23"/>
          <w:szCs w:val="23"/>
        </w:rPr>
        <w:t xml:space="preserve">are for </w:t>
      </w:r>
      <w:r w:rsidR="00777196" w:rsidRPr="00F853DD">
        <w:rPr>
          <w:rFonts w:ascii="Times" w:hAnsi="Times" w:cs="Times New Roman"/>
          <w:i/>
          <w:sz w:val="23"/>
          <w:szCs w:val="23"/>
        </w:rPr>
        <w:t>o</w:t>
      </w:r>
      <w:r w:rsidRPr="00F853DD">
        <w:rPr>
          <w:rFonts w:ascii="Times" w:hAnsi="Times" w:cs="Times New Roman"/>
          <w:i/>
          <w:sz w:val="23"/>
          <w:szCs w:val="23"/>
        </w:rPr>
        <w:t xml:space="preserve">lder </w:t>
      </w:r>
      <w:r w:rsidR="00777196" w:rsidRPr="00F853DD">
        <w:rPr>
          <w:rFonts w:ascii="Times" w:hAnsi="Times" w:cs="Times New Roman"/>
          <w:i/>
          <w:sz w:val="23"/>
          <w:szCs w:val="23"/>
        </w:rPr>
        <w:t>p</w:t>
      </w:r>
      <w:r w:rsidRPr="00F853DD">
        <w:rPr>
          <w:rFonts w:ascii="Times" w:hAnsi="Times" w:cs="Times New Roman"/>
          <w:i/>
          <w:sz w:val="23"/>
          <w:szCs w:val="23"/>
        </w:rPr>
        <w:t>ersons in Trinidad</w:t>
      </w:r>
      <w:r w:rsidRPr="00F853DD">
        <w:rPr>
          <w:rFonts w:ascii="Times" w:hAnsi="Times" w:cs="Times New Roman"/>
          <w:sz w:val="23"/>
          <w:szCs w:val="23"/>
        </w:rPr>
        <w:t>. MSc. Dissertation, University of the West Indies (Mona).</w:t>
      </w:r>
    </w:p>
    <w:p w14:paraId="5F4B3B9D" w14:textId="0644357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Blakemore, K.</w:t>
      </w:r>
      <w:r w:rsidR="00441CE7" w:rsidRPr="00F853DD">
        <w:rPr>
          <w:rFonts w:ascii="Times" w:hAnsi="Times" w:cs="Times New Roman"/>
          <w:sz w:val="23"/>
          <w:szCs w:val="23"/>
        </w:rPr>
        <w:t>,</w:t>
      </w:r>
      <w:r w:rsidRPr="00F853DD">
        <w:rPr>
          <w:rFonts w:ascii="Times" w:hAnsi="Times" w:cs="Times New Roman"/>
          <w:sz w:val="23"/>
          <w:szCs w:val="23"/>
        </w:rPr>
        <w:t xml:space="preserve"> (1982). Health and illness among the elderly of minority ethnic groups living in Birmingham: some new findings. </w:t>
      </w:r>
      <w:r w:rsidRPr="00F853DD">
        <w:rPr>
          <w:rFonts w:ascii="Times" w:hAnsi="Times" w:cs="Times New Roman"/>
          <w:i/>
          <w:sz w:val="23"/>
          <w:szCs w:val="23"/>
        </w:rPr>
        <w:t>Health Trends</w:t>
      </w:r>
      <w:r w:rsidR="00D800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(3), 69-72.</w:t>
      </w:r>
    </w:p>
    <w:p w14:paraId="643AED65" w14:textId="704C184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Blakemore, K.</w:t>
      </w:r>
      <w:r w:rsidR="00441CE7" w:rsidRPr="00F853DD">
        <w:rPr>
          <w:rFonts w:ascii="Times" w:hAnsi="Times" w:cs="Times New Roman"/>
          <w:sz w:val="23"/>
          <w:szCs w:val="23"/>
        </w:rPr>
        <w:t>,</w:t>
      </w:r>
      <w:r w:rsidRPr="00F853DD">
        <w:rPr>
          <w:rFonts w:ascii="Times" w:hAnsi="Times" w:cs="Times New Roman"/>
          <w:sz w:val="23"/>
          <w:szCs w:val="23"/>
        </w:rPr>
        <w:t xml:space="preserve"> (1983). Ethnicity, self-reported illness and use of medical services by the elderly. </w:t>
      </w:r>
      <w:r w:rsidRPr="00F853DD">
        <w:rPr>
          <w:rFonts w:ascii="Times" w:hAnsi="Times" w:cs="Times New Roman"/>
          <w:i/>
          <w:sz w:val="23"/>
          <w:szCs w:val="23"/>
        </w:rPr>
        <w:t>Postgraduate medical journal</w:t>
      </w:r>
      <w:r w:rsidR="00D800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59</w:t>
      </w:r>
      <w:r w:rsidRPr="00F853DD">
        <w:rPr>
          <w:rFonts w:ascii="Times" w:hAnsi="Times" w:cs="Times New Roman"/>
          <w:sz w:val="23"/>
          <w:szCs w:val="23"/>
        </w:rPr>
        <w:t>(696), 668-670.</w:t>
      </w:r>
    </w:p>
    <w:p w14:paraId="43B22318" w14:textId="0C66BD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Blakemore, K. and Boneham, M.</w:t>
      </w:r>
      <w:r w:rsidR="00441CE7" w:rsidRPr="00F853DD">
        <w:rPr>
          <w:rFonts w:ascii="Times" w:hAnsi="Times" w:cs="Times New Roman"/>
          <w:sz w:val="23"/>
          <w:szCs w:val="23"/>
        </w:rPr>
        <w:t>,</w:t>
      </w:r>
      <w:r w:rsidRPr="00F853DD">
        <w:rPr>
          <w:rFonts w:ascii="Times" w:hAnsi="Times" w:cs="Times New Roman"/>
          <w:sz w:val="23"/>
          <w:szCs w:val="23"/>
        </w:rPr>
        <w:t xml:space="preserve"> (1994). </w:t>
      </w:r>
      <w:r w:rsidRPr="00F853DD">
        <w:rPr>
          <w:rFonts w:ascii="Times" w:hAnsi="Times" w:cs="Times New Roman"/>
          <w:i/>
          <w:sz w:val="23"/>
          <w:szCs w:val="23"/>
        </w:rPr>
        <w:t xml:space="preserve">Age, </w:t>
      </w:r>
      <w:r w:rsidR="00D8000E" w:rsidRPr="00F853DD">
        <w:rPr>
          <w:rFonts w:ascii="Times" w:hAnsi="Times" w:cs="Times New Roman"/>
          <w:i/>
          <w:sz w:val="23"/>
          <w:szCs w:val="23"/>
        </w:rPr>
        <w:t>r</w:t>
      </w:r>
      <w:r w:rsidRPr="00F853DD">
        <w:rPr>
          <w:rFonts w:ascii="Times" w:hAnsi="Times" w:cs="Times New Roman"/>
          <w:i/>
          <w:sz w:val="23"/>
          <w:szCs w:val="23"/>
        </w:rPr>
        <w:t xml:space="preserve">ace and </w:t>
      </w:r>
      <w:r w:rsidR="00D8000E" w:rsidRPr="00F853DD">
        <w:rPr>
          <w:rFonts w:ascii="Times" w:hAnsi="Times" w:cs="Times New Roman"/>
          <w:i/>
          <w:sz w:val="23"/>
          <w:szCs w:val="23"/>
        </w:rPr>
        <w:t>e</w:t>
      </w:r>
      <w:r w:rsidRPr="00F853DD">
        <w:rPr>
          <w:rFonts w:ascii="Times" w:hAnsi="Times" w:cs="Times New Roman"/>
          <w:i/>
          <w:sz w:val="23"/>
          <w:szCs w:val="23"/>
        </w:rPr>
        <w:t xml:space="preserve">thnicity: </w:t>
      </w:r>
      <w:r w:rsidR="00D8000E" w:rsidRPr="00F853DD">
        <w:rPr>
          <w:rFonts w:ascii="Times" w:hAnsi="Times" w:cs="Times New Roman"/>
          <w:i/>
          <w:sz w:val="23"/>
          <w:szCs w:val="23"/>
        </w:rPr>
        <w:t>a</w:t>
      </w:r>
      <w:r w:rsidRPr="00F853DD">
        <w:rPr>
          <w:rFonts w:ascii="Times" w:hAnsi="Times" w:cs="Times New Roman"/>
          <w:i/>
          <w:sz w:val="23"/>
          <w:szCs w:val="23"/>
        </w:rPr>
        <w:t xml:space="preserve"> </w:t>
      </w:r>
      <w:r w:rsidR="00D8000E" w:rsidRPr="00F853DD">
        <w:rPr>
          <w:rFonts w:ascii="Times" w:hAnsi="Times" w:cs="Times New Roman"/>
          <w:i/>
          <w:sz w:val="23"/>
          <w:szCs w:val="23"/>
        </w:rPr>
        <w:t>c</w:t>
      </w:r>
      <w:r w:rsidRPr="00F853DD">
        <w:rPr>
          <w:rFonts w:ascii="Times" w:hAnsi="Times" w:cs="Times New Roman"/>
          <w:i/>
          <w:sz w:val="23"/>
          <w:szCs w:val="23"/>
        </w:rPr>
        <w:t xml:space="preserve">omparative </w:t>
      </w:r>
      <w:r w:rsidR="00D8000E" w:rsidRPr="00F853DD">
        <w:rPr>
          <w:rFonts w:ascii="Times" w:hAnsi="Times" w:cs="Times New Roman"/>
          <w:i/>
          <w:sz w:val="23"/>
          <w:szCs w:val="23"/>
        </w:rPr>
        <w:t>a</w:t>
      </w:r>
      <w:r w:rsidRPr="00F853DD">
        <w:rPr>
          <w:rFonts w:ascii="Times" w:hAnsi="Times" w:cs="Times New Roman"/>
          <w:i/>
          <w:sz w:val="23"/>
          <w:szCs w:val="23"/>
        </w:rPr>
        <w:t>pproach (Rethinking Ageing).</w:t>
      </w:r>
      <w:r w:rsidRPr="00F853DD">
        <w:rPr>
          <w:rFonts w:ascii="Times" w:hAnsi="Times" w:cs="Times New Roman"/>
          <w:sz w:val="23"/>
          <w:szCs w:val="23"/>
        </w:rPr>
        <w:t xml:space="preserve"> Open University Press.</w:t>
      </w:r>
    </w:p>
    <w:p w14:paraId="23F91CAC" w14:textId="5C46060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Blane, D., Wiggins, R., Montgomery, S., Hildon, Z. and Netuveli, G.</w:t>
      </w:r>
      <w:r w:rsidR="00441CE7" w:rsidRPr="00F853DD">
        <w:rPr>
          <w:rFonts w:ascii="Times" w:hAnsi="Times" w:cs="Times New Roman"/>
          <w:sz w:val="23"/>
          <w:szCs w:val="23"/>
        </w:rPr>
        <w:t>,</w:t>
      </w:r>
      <w:r w:rsidRPr="00F853DD">
        <w:rPr>
          <w:rFonts w:ascii="Times" w:hAnsi="Times" w:cs="Times New Roman"/>
          <w:sz w:val="23"/>
          <w:szCs w:val="23"/>
        </w:rPr>
        <w:t xml:space="preserve"> (2011).</w:t>
      </w:r>
      <w:r w:rsidRPr="00F853DD">
        <w:rPr>
          <w:rFonts w:ascii="Times" w:hAnsi="Times" w:cs="Times New Roman"/>
          <w:i/>
          <w:sz w:val="23"/>
          <w:szCs w:val="23"/>
        </w:rPr>
        <w:t xml:space="preserve"> </w:t>
      </w:r>
      <w:r w:rsidRPr="00F853DD">
        <w:rPr>
          <w:rFonts w:ascii="Times" w:hAnsi="Times" w:cs="Times New Roman"/>
          <w:sz w:val="23"/>
          <w:szCs w:val="23"/>
        </w:rPr>
        <w:t>Resilience at older ages: the importance of social relations and implications for policy</w:t>
      </w:r>
      <w:r w:rsidRPr="00F853DD">
        <w:rPr>
          <w:rFonts w:ascii="Times" w:hAnsi="Times" w:cs="Times New Roman"/>
          <w:i/>
          <w:sz w:val="23"/>
          <w:szCs w:val="23"/>
        </w:rPr>
        <w:t xml:space="preserve"> </w:t>
      </w:r>
      <w:r w:rsidRPr="00F853DD">
        <w:rPr>
          <w:rFonts w:ascii="Times" w:hAnsi="Times" w:cs="Times New Roman"/>
          <w:sz w:val="23"/>
          <w:szCs w:val="23"/>
        </w:rPr>
        <w:t>[online</w:t>
      </w:r>
      <w:r w:rsidRPr="00F853DD">
        <w:rPr>
          <w:rFonts w:ascii="Times" w:hAnsi="Times" w:cs="Times New Roman"/>
          <w:i/>
          <w:sz w:val="23"/>
          <w:szCs w:val="23"/>
        </w:rPr>
        <w:t>]. International Centre for Life Course Studies (ICLS) Occasional Paper Series</w:t>
      </w:r>
      <w:r w:rsidRPr="00F853DD">
        <w:rPr>
          <w:rFonts w:ascii="Times" w:hAnsi="Times" w:cs="Times New Roman"/>
          <w:sz w:val="23"/>
          <w:szCs w:val="23"/>
        </w:rPr>
        <w:t>. Available from: https://www.ucl.ac.uk/icls/publications/op/op3.pdf.</w:t>
      </w:r>
    </w:p>
    <w:p w14:paraId="26CDBADE" w14:textId="7D4CA8D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s-ES"/>
        </w:rPr>
        <w:t>Bloeck, M., Galiani, S. and Ibarrarán, P.</w:t>
      </w:r>
      <w:r w:rsidR="00441CE7" w:rsidRPr="00F853DD">
        <w:rPr>
          <w:rFonts w:ascii="Times" w:hAnsi="Times" w:cs="Times New Roman"/>
          <w:sz w:val="23"/>
          <w:szCs w:val="23"/>
          <w:lang w:val="es-ES"/>
        </w:rPr>
        <w:t>,</w:t>
      </w:r>
      <w:r w:rsidRPr="00F853DD">
        <w:rPr>
          <w:rFonts w:ascii="Times" w:hAnsi="Times" w:cs="Times New Roman"/>
          <w:sz w:val="23"/>
          <w:szCs w:val="23"/>
          <w:lang w:val="es-ES"/>
        </w:rPr>
        <w:t xml:space="preserve"> (2018). </w:t>
      </w:r>
      <w:r w:rsidRPr="00F853DD">
        <w:rPr>
          <w:rFonts w:ascii="Times" w:hAnsi="Times" w:cs="Times New Roman"/>
          <w:i/>
          <w:sz w:val="23"/>
          <w:szCs w:val="23"/>
        </w:rPr>
        <w:t>Long-</w:t>
      </w:r>
      <w:r w:rsidR="00D8000E" w:rsidRPr="00F853DD">
        <w:rPr>
          <w:rFonts w:ascii="Times" w:hAnsi="Times" w:cs="Times New Roman"/>
          <w:i/>
          <w:sz w:val="23"/>
          <w:szCs w:val="23"/>
        </w:rPr>
        <w:t>t</w:t>
      </w:r>
      <w:r w:rsidRPr="00F853DD">
        <w:rPr>
          <w:rFonts w:ascii="Times" w:hAnsi="Times" w:cs="Times New Roman"/>
          <w:i/>
          <w:sz w:val="23"/>
          <w:szCs w:val="23"/>
        </w:rPr>
        <w:t xml:space="preserve">erm </w:t>
      </w:r>
      <w:r w:rsidR="00D8000E" w:rsidRPr="00F853DD">
        <w:rPr>
          <w:rFonts w:ascii="Times" w:hAnsi="Times" w:cs="Times New Roman"/>
          <w:i/>
          <w:sz w:val="23"/>
          <w:szCs w:val="23"/>
        </w:rPr>
        <w:t>c</w:t>
      </w:r>
      <w:r w:rsidRPr="00F853DD">
        <w:rPr>
          <w:rFonts w:ascii="Times" w:hAnsi="Times" w:cs="Times New Roman"/>
          <w:i/>
          <w:sz w:val="23"/>
          <w:szCs w:val="23"/>
        </w:rPr>
        <w:t>are in Latin America and the Caribbean?</w:t>
      </w:r>
      <w:r w:rsidRPr="00F853DD">
        <w:rPr>
          <w:rFonts w:ascii="Times" w:hAnsi="Times" w:cs="Times New Roman"/>
          <w:sz w:val="23"/>
          <w:szCs w:val="23"/>
        </w:rPr>
        <w:t>. IDB Working Paper Series No. 834 [online]. Inter-American Development Bank: Social Protection and Health Division. [Viewed 28 November 2019]. Available from:  </w:t>
      </w:r>
      <w:hyperlink r:id="rId105" w:tgtFrame="_blank" w:history="1">
        <w:r w:rsidRPr="00F853DD">
          <w:rPr>
            <w:rFonts w:ascii="Times" w:hAnsi="Times" w:cs="Times New Roman"/>
            <w:sz w:val="23"/>
            <w:szCs w:val="23"/>
          </w:rPr>
          <w:t>https://publications.iadb.org/publications/english/document/Long-Term-Care-in-Latin-America-and-the-Caribbean-Theory-and-Policy-Considerations.pdf</w:t>
        </w:r>
      </w:hyperlink>
      <w:r w:rsidRPr="00F853DD">
        <w:rPr>
          <w:rFonts w:ascii="Times" w:hAnsi="Times" w:cs="Times New Roman"/>
          <w:sz w:val="23"/>
          <w:szCs w:val="23"/>
        </w:rPr>
        <w:t xml:space="preserve">. </w:t>
      </w:r>
    </w:p>
    <w:p w14:paraId="3D869BF5" w14:textId="6F9E29C8"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lang w:val="en-TT"/>
        </w:rPr>
        <w:t>Blomqvist, P. and Winblad, U.</w:t>
      </w:r>
      <w:r w:rsidR="00441CE7" w:rsidRPr="00F853DD">
        <w:rPr>
          <w:rFonts w:ascii="Times" w:hAnsi="Times" w:cs="Times New Roman"/>
          <w:sz w:val="23"/>
          <w:szCs w:val="23"/>
          <w:lang w:val="en-TT"/>
        </w:rPr>
        <w:t>,</w:t>
      </w:r>
      <w:r w:rsidRPr="00F853DD">
        <w:rPr>
          <w:rFonts w:ascii="Times" w:hAnsi="Times" w:cs="Times New Roman"/>
          <w:sz w:val="23"/>
          <w:szCs w:val="23"/>
          <w:lang w:val="en-TT"/>
        </w:rPr>
        <w:t xml:space="preserve"> (2019). Why </w:t>
      </w:r>
      <w:r w:rsidR="00D8000E" w:rsidRPr="00F853DD">
        <w:rPr>
          <w:rFonts w:ascii="Times" w:hAnsi="Times" w:cs="Times New Roman"/>
          <w:sz w:val="23"/>
          <w:szCs w:val="23"/>
          <w:lang w:val="en-TT"/>
        </w:rPr>
        <w:t>n</w:t>
      </w:r>
      <w:r w:rsidRPr="00F853DD">
        <w:rPr>
          <w:rFonts w:ascii="Times" w:hAnsi="Times" w:cs="Times New Roman"/>
          <w:sz w:val="23"/>
          <w:szCs w:val="23"/>
          <w:lang w:val="en-TT"/>
        </w:rPr>
        <w:t xml:space="preserve">o </w:t>
      </w:r>
      <w:r w:rsidR="00D8000E" w:rsidRPr="00F853DD">
        <w:rPr>
          <w:rFonts w:ascii="Times" w:hAnsi="Times" w:cs="Times New Roman"/>
          <w:sz w:val="23"/>
          <w:szCs w:val="23"/>
          <w:lang w:val="en-TT"/>
        </w:rPr>
        <w:t>non-profits</w:t>
      </w:r>
      <w:r w:rsidRPr="00F853DD">
        <w:rPr>
          <w:rFonts w:ascii="Times" w:hAnsi="Times" w:cs="Times New Roman"/>
          <w:sz w:val="23"/>
          <w:szCs w:val="23"/>
          <w:lang w:val="en-TT"/>
        </w:rPr>
        <w:t xml:space="preserve">? State, </w:t>
      </w:r>
      <w:r w:rsidR="00D8000E" w:rsidRPr="00F853DD">
        <w:rPr>
          <w:rFonts w:ascii="Times" w:hAnsi="Times" w:cs="Times New Roman"/>
          <w:sz w:val="23"/>
          <w:szCs w:val="23"/>
          <w:lang w:val="en-TT"/>
        </w:rPr>
        <w:t>m</w:t>
      </w:r>
      <w:r w:rsidRPr="00F853DD">
        <w:rPr>
          <w:rFonts w:ascii="Times" w:hAnsi="Times" w:cs="Times New Roman"/>
          <w:sz w:val="23"/>
          <w:szCs w:val="23"/>
          <w:lang w:val="en-TT"/>
        </w:rPr>
        <w:t xml:space="preserve">arket, and the </w:t>
      </w:r>
      <w:r w:rsidR="00D8000E" w:rsidRPr="00F853DD">
        <w:rPr>
          <w:rFonts w:ascii="Times" w:hAnsi="Times" w:cs="Times New Roman"/>
          <w:sz w:val="23"/>
          <w:szCs w:val="23"/>
          <w:lang w:val="en-TT"/>
        </w:rPr>
        <w:t>s</w:t>
      </w:r>
      <w:r w:rsidRPr="00F853DD">
        <w:rPr>
          <w:rFonts w:ascii="Times" w:hAnsi="Times" w:cs="Times New Roman"/>
          <w:sz w:val="23"/>
          <w:szCs w:val="23"/>
          <w:lang w:val="en-TT"/>
        </w:rPr>
        <w:t xml:space="preserve">trive for </w:t>
      </w:r>
      <w:r w:rsidR="00D8000E" w:rsidRPr="00F853DD">
        <w:rPr>
          <w:rFonts w:ascii="Times" w:hAnsi="Times" w:cs="Times New Roman"/>
          <w:sz w:val="23"/>
          <w:szCs w:val="23"/>
          <w:lang w:val="en-TT"/>
        </w:rPr>
        <w:t>universalism in Swedish elder c</w:t>
      </w:r>
      <w:r w:rsidRPr="00F853DD">
        <w:rPr>
          <w:rFonts w:ascii="Times" w:hAnsi="Times" w:cs="Times New Roman"/>
          <w:sz w:val="23"/>
          <w:szCs w:val="23"/>
          <w:lang w:val="en-TT"/>
        </w:rPr>
        <w:t xml:space="preserve">are. </w:t>
      </w:r>
      <w:r w:rsidRPr="00F853DD">
        <w:rPr>
          <w:rFonts w:ascii="Times" w:hAnsi="Times" w:cs="Times New Roman"/>
          <w:i/>
          <w:sz w:val="23"/>
          <w:szCs w:val="23"/>
          <w:lang w:val="en-TT"/>
        </w:rPr>
        <w:t>Nonprofit and Voluntary Sector Quarterly</w:t>
      </w:r>
      <w:r w:rsidRPr="00F853DD">
        <w:rPr>
          <w:rFonts w:ascii="Times" w:hAnsi="Times" w:cs="Times New Roman"/>
          <w:sz w:val="23"/>
          <w:szCs w:val="23"/>
          <w:lang w:val="en-TT"/>
        </w:rPr>
        <w:t>, p.0899764018819870.</w:t>
      </w:r>
    </w:p>
    <w:p w14:paraId="7019E084" w14:textId="76F930E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Bloor, M., Frankland, J., Thomas, M. and Robson, K.</w:t>
      </w:r>
      <w:r w:rsidR="00441CE7" w:rsidRPr="00F853DD">
        <w:rPr>
          <w:rFonts w:ascii="Times" w:hAnsi="Times" w:cs="Times New Roman"/>
          <w:sz w:val="23"/>
          <w:szCs w:val="23"/>
        </w:rPr>
        <w:t>,</w:t>
      </w:r>
      <w:r w:rsidRPr="00F853DD">
        <w:rPr>
          <w:rFonts w:ascii="Times" w:hAnsi="Times" w:cs="Times New Roman"/>
          <w:sz w:val="23"/>
          <w:szCs w:val="23"/>
        </w:rPr>
        <w:t xml:space="preserve"> (2001). </w:t>
      </w:r>
      <w:r w:rsidR="00D8000E" w:rsidRPr="00F853DD">
        <w:rPr>
          <w:rFonts w:ascii="Times" w:hAnsi="Times" w:cs="Times New Roman"/>
          <w:i/>
          <w:sz w:val="23"/>
          <w:szCs w:val="23"/>
        </w:rPr>
        <w:t>Focus g</w:t>
      </w:r>
      <w:r w:rsidRPr="00F853DD">
        <w:rPr>
          <w:rFonts w:ascii="Times" w:hAnsi="Times" w:cs="Times New Roman"/>
          <w:i/>
          <w:sz w:val="23"/>
          <w:szCs w:val="23"/>
        </w:rPr>
        <w:t xml:space="preserve">roups in </w:t>
      </w:r>
      <w:r w:rsidR="00D8000E" w:rsidRPr="00F853DD">
        <w:rPr>
          <w:rFonts w:ascii="Times" w:hAnsi="Times" w:cs="Times New Roman"/>
          <w:i/>
          <w:sz w:val="23"/>
          <w:szCs w:val="23"/>
        </w:rPr>
        <w:t>social r</w:t>
      </w:r>
      <w:r w:rsidRPr="00F853DD">
        <w:rPr>
          <w:rFonts w:ascii="Times" w:hAnsi="Times" w:cs="Times New Roman"/>
          <w:i/>
          <w:sz w:val="23"/>
          <w:szCs w:val="23"/>
        </w:rPr>
        <w:t>esearch</w:t>
      </w:r>
      <w:r w:rsidRPr="00F853DD">
        <w:rPr>
          <w:rFonts w:ascii="Times" w:hAnsi="Times" w:cs="Times New Roman"/>
          <w:sz w:val="23"/>
          <w:szCs w:val="23"/>
        </w:rPr>
        <w:t xml:space="preserve">. London, England: SAGE Publications Ltd. </w:t>
      </w:r>
    </w:p>
    <w:p w14:paraId="2BC711FA" w14:textId="19180DE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Bluck, S., Alea, N., Baron-Lee, J. M. and Davis, D. K.</w:t>
      </w:r>
      <w:r w:rsidR="00441CE7" w:rsidRPr="00F853DD">
        <w:rPr>
          <w:rFonts w:ascii="Times" w:hAnsi="Times" w:cs="Times New Roman"/>
          <w:sz w:val="23"/>
          <w:szCs w:val="23"/>
        </w:rPr>
        <w:t>,</w:t>
      </w:r>
      <w:r w:rsidRPr="00F853DD">
        <w:rPr>
          <w:rFonts w:ascii="Times" w:hAnsi="Times" w:cs="Times New Roman"/>
          <w:sz w:val="23"/>
          <w:szCs w:val="23"/>
        </w:rPr>
        <w:t xml:space="preserve"> (2016). Story asides as a useful construct in examining adults' story recall. </w:t>
      </w:r>
      <w:r w:rsidRPr="00F853DD">
        <w:rPr>
          <w:rFonts w:ascii="Times" w:hAnsi="Times" w:cs="Times New Roman"/>
          <w:i/>
          <w:sz w:val="23"/>
          <w:szCs w:val="23"/>
        </w:rPr>
        <w:t>Psychology and Aging</w:t>
      </w:r>
      <w:r w:rsidR="00D800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00233D69" w:rsidRPr="00F853DD">
        <w:rPr>
          <w:rFonts w:ascii="Times" w:hAnsi="Times" w:cs="Times New Roman"/>
          <w:sz w:val="23"/>
          <w:szCs w:val="23"/>
        </w:rPr>
        <w:t>(1)</w:t>
      </w:r>
      <w:r w:rsidRPr="00F853DD">
        <w:rPr>
          <w:rFonts w:ascii="Times" w:hAnsi="Times" w:cs="Times New Roman"/>
          <w:sz w:val="23"/>
          <w:szCs w:val="23"/>
        </w:rPr>
        <w:t>, 42-57.</w:t>
      </w:r>
    </w:p>
    <w:p w14:paraId="0F097E90" w14:textId="342D982B"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Boaz, R., Hu, J. and Ye, Y</w:t>
      </w:r>
      <w:r w:rsidR="00DF05BD" w:rsidRPr="00F853DD">
        <w:rPr>
          <w:rFonts w:ascii="Times" w:hAnsi="Times" w:cs="Times New Roman"/>
          <w:sz w:val="23"/>
          <w:szCs w:val="23"/>
        </w:rPr>
        <w:t>.</w:t>
      </w:r>
      <w:r w:rsidR="00441CE7" w:rsidRPr="00F853DD">
        <w:rPr>
          <w:rFonts w:ascii="Times" w:hAnsi="Times" w:cs="Times New Roman"/>
          <w:sz w:val="23"/>
          <w:szCs w:val="23"/>
        </w:rPr>
        <w:t>,</w:t>
      </w:r>
      <w:r w:rsidR="00DF05BD" w:rsidRPr="00F853DD">
        <w:rPr>
          <w:rFonts w:ascii="Times" w:hAnsi="Times" w:cs="Times New Roman"/>
          <w:sz w:val="23"/>
          <w:szCs w:val="23"/>
        </w:rPr>
        <w:t xml:space="preserve"> (1999). The transfer of resources from middle-aged children to functionally limited elderly parents: Providing time, giving money, sharing space. </w:t>
      </w:r>
      <w:r w:rsidR="00DF05BD" w:rsidRPr="00F853DD">
        <w:rPr>
          <w:rFonts w:ascii="Times" w:hAnsi="Times" w:cs="Times New Roman"/>
          <w:i/>
          <w:sz w:val="23"/>
          <w:szCs w:val="23"/>
        </w:rPr>
        <w:t>Gerontologist</w:t>
      </w:r>
      <w:r w:rsidR="00D8000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39</w:t>
      </w:r>
      <w:r w:rsidR="00233D69" w:rsidRPr="00F853DD">
        <w:rPr>
          <w:rFonts w:ascii="Times" w:hAnsi="Times" w:cs="Times New Roman"/>
          <w:sz w:val="23"/>
          <w:szCs w:val="23"/>
        </w:rPr>
        <w:t>(6)</w:t>
      </w:r>
      <w:r w:rsidR="00DF05BD" w:rsidRPr="00F853DD">
        <w:rPr>
          <w:rFonts w:ascii="Times" w:hAnsi="Times" w:cs="Times New Roman"/>
          <w:sz w:val="23"/>
          <w:szCs w:val="23"/>
        </w:rPr>
        <w:t>, 648-657.</w:t>
      </w:r>
    </w:p>
    <w:p w14:paraId="7A490C83" w14:textId="6AE5E323"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Boelk, A.</w:t>
      </w:r>
      <w:r w:rsidR="00DF05BD" w:rsidRPr="00F853DD">
        <w:rPr>
          <w:rFonts w:ascii="Times" w:hAnsi="Times" w:cs="Times New Roman"/>
          <w:sz w:val="23"/>
          <w:szCs w:val="23"/>
        </w:rPr>
        <w:t xml:space="preserve"> and Kramer, </w:t>
      </w:r>
      <w:r w:rsidRPr="00F853DD">
        <w:rPr>
          <w:rFonts w:ascii="Times" w:hAnsi="Times" w:cs="Times New Roman"/>
          <w:sz w:val="23"/>
          <w:szCs w:val="23"/>
        </w:rPr>
        <w:t>B.</w:t>
      </w:r>
      <w:r w:rsidR="00441CE7" w:rsidRPr="00F853DD">
        <w:rPr>
          <w:rFonts w:ascii="Times" w:hAnsi="Times" w:cs="Times New Roman"/>
          <w:sz w:val="23"/>
          <w:szCs w:val="23"/>
        </w:rPr>
        <w:t>,</w:t>
      </w:r>
      <w:r w:rsidR="00DF05BD" w:rsidRPr="00F853DD">
        <w:rPr>
          <w:rFonts w:ascii="Times" w:hAnsi="Times" w:cs="Times New Roman"/>
          <w:sz w:val="23"/>
          <w:szCs w:val="23"/>
        </w:rPr>
        <w:t xml:space="preserve"> (2012). Advancing theory of family conflict at the end of life: a hospice case study. </w:t>
      </w:r>
      <w:r w:rsidR="00DF05BD" w:rsidRPr="00F853DD">
        <w:rPr>
          <w:rFonts w:ascii="Times" w:hAnsi="Times" w:cs="Times New Roman"/>
          <w:i/>
          <w:sz w:val="23"/>
          <w:szCs w:val="23"/>
        </w:rPr>
        <w:t>Journal of Pain and Symptom Management</w:t>
      </w:r>
      <w:r w:rsidR="00D8000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44</w:t>
      </w:r>
      <w:r w:rsidR="00233D69" w:rsidRPr="00F853DD">
        <w:rPr>
          <w:rFonts w:ascii="Times" w:hAnsi="Times" w:cs="Times New Roman"/>
          <w:sz w:val="23"/>
          <w:szCs w:val="23"/>
        </w:rPr>
        <w:t>(5)</w:t>
      </w:r>
      <w:r w:rsidR="00DF05BD" w:rsidRPr="00F853DD">
        <w:rPr>
          <w:rFonts w:ascii="Times" w:hAnsi="Times" w:cs="Times New Roman"/>
          <w:sz w:val="23"/>
          <w:szCs w:val="23"/>
        </w:rPr>
        <w:t>, 655-670.</w:t>
      </w:r>
    </w:p>
    <w:p w14:paraId="5F71F240" w14:textId="6D127775"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Boisaubin, E., Chu, A. and Catalano, J.</w:t>
      </w:r>
      <w:r w:rsidR="00D014FE" w:rsidRPr="00F853DD">
        <w:rPr>
          <w:rFonts w:ascii="Times" w:hAnsi="Times" w:cs="Times New Roman"/>
          <w:sz w:val="23"/>
          <w:szCs w:val="23"/>
        </w:rPr>
        <w:t>,</w:t>
      </w:r>
      <w:r w:rsidR="00DF05BD" w:rsidRPr="00F853DD">
        <w:rPr>
          <w:rFonts w:ascii="Times" w:hAnsi="Times" w:cs="Times New Roman"/>
          <w:sz w:val="23"/>
          <w:szCs w:val="23"/>
        </w:rPr>
        <w:t xml:space="preserve"> (2007). Perceptions of long-term care, autonomy, and dignity, by residents, family and care-givers: the Houston experience. </w:t>
      </w:r>
      <w:r w:rsidR="00DF05BD" w:rsidRPr="00F853DD">
        <w:rPr>
          <w:rFonts w:ascii="Times" w:hAnsi="Times" w:cs="Times New Roman"/>
          <w:i/>
          <w:sz w:val="23"/>
          <w:szCs w:val="23"/>
        </w:rPr>
        <w:t>Journal of Medicine and Philosophy</w:t>
      </w:r>
      <w:r w:rsidR="00D8000E"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32</w:t>
      </w:r>
      <w:r w:rsidR="00233D69" w:rsidRPr="00F853DD">
        <w:rPr>
          <w:rFonts w:ascii="Times" w:hAnsi="Times" w:cs="Times New Roman"/>
          <w:sz w:val="23"/>
          <w:szCs w:val="23"/>
        </w:rPr>
        <w:t>(5)</w:t>
      </w:r>
      <w:r w:rsidR="00DF05BD" w:rsidRPr="00F853DD">
        <w:rPr>
          <w:rFonts w:ascii="Times" w:hAnsi="Times" w:cs="Times New Roman"/>
          <w:sz w:val="23"/>
          <w:szCs w:val="23"/>
        </w:rPr>
        <w:t>, 447-464.</w:t>
      </w:r>
    </w:p>
    <w:p w14:paraId="31677A69" w14:textId="60FAA2B3"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Bond, M. and Butler, K.</w:t>
      </w:r>
      <w:r w:rsidR="00D014FE" w:rsidRPr="00F853DD">
        <w:rPr>
          <w:rFonts w:ascii="Times" w:hAnsi="Times" w:cs="Times New Roman"/>
          <w:sz w:val="23"/>
          <w:szCs w:val="23"/>
        </w:rPr>
        <w:t>,</w:t>
      </w:r>
      <w:r w:rsidR="00DF05BD" w:rsidRPr="00F853DD">
        <w:rPr>
          <w:rFonts w:ascii="Times" w:hAnsi="Times" w:cs="Times New Roman"/>
          <w:sz w:val="23"/>
          <w:szCs w:val="23"/>
        </w:rPr>
        <w:t xml:space="preserve"> (2013). Elder abuse and neglect definitions, epidemiology, and approaches to emergency department screening. </w:t>
      </w:r>
      <w:r w:rsidR="00DF05BD" w:rsidRPr="00F853DD">
        <w:rPr>
          <w:rFonts w:ascii="Times" w:hAnsi="Times" w:cs="Times New Roman"/>
          <w:i/>
          <w:sz w:val="23"/>
          <w:szCs w:val="23"/>
        </w:rPr>
        <w:t>Clinics in Geriatric Medicine</w:t>
      </w:r>
      <w:r w:rsidR="00D8000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29</w:t>
      </w:r>
      <w:r w:rsidR="00233D69" w:rsidRPr="00F853DD">
        <w:rPr>
          <w:rFonts w:ascii="Times" w:hAnsi="Times" w:cs="Times New Roman"/>
          <w:sz w:val="23"/>
          <w:szCs w:val="23"/>
        </w:rPr>
        <w:t>(1)</w:t>
      </w:r>
      <w:r w:rsidR="00DF05BD" w:rsidRPr="00F853DD">
        <w:rPr>
          <w:rFonts w:ascii="Times" w:hAnsi="Times" w:cs="Times New Roman"/>
          <w:sz w:val="23"/>
          <w:szCs w:val="23"/>
        </w:rPr>
        <w:t>, 257.</w:t>
      </w:r>
    </w:p>
    <w:p w14:paraId="69CFDCF8" w14:textId="45A1375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Bookman, A. and Kimbrel, D.</w:t>
      </w:r>
      <w:r w:rsidR="00D014FE" w:rsidRPr="00F853DD">
        <w:rPr>
          <w:rFonts w:ascii="Times" w:hAnsi="Times" w:cs="Times New Roman"/>
          <w:sz w:val="23"/>
          <w:szCs w:val="23"/>
        </w:rPr>
        <w:t>,</w:t>
      </w:r>
      <w:r w:rsidRPr="00F853DD">
        <w:rPr>
          <w:rFonts w:ascii="Times" w:hAnsi="Times" w:cs="Times New Roman"/>
          <w:sz w:val="23"/>
          <w:szCs w:val="23"/>
        </w:rPr>
        <w:t xml:space="preserve"> (2011). Families and elder care in the twenty-first century. </w:t>
      </w:r>
      <w:r w:rsidRPr="00F853DD">
        <w:rPr>
          <w:rFonts w:ascii="Times" w:hAnsi="Times" w:cs="Times New Roman"/>
          <w:i/>
          <w:sz w:val="23"/>
          <w:szCs w:val="23"/>
        </w:rPr>
        <w:t>Future of Children</w:t>
      </w:r>
      <w:r w:rsidR="00D800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00233D69" w:rsidRPr="00F853DD">
        <w:rPr>
          <w:rFonts w:ascii="Times" w:hAnsi="Times" w:cs="Times New Roman"/>
          <w:sz w:val="23"/>
          <w:szCs w:val="23"/>
        </w:rPr>
        <w:t>(2)</w:t>
      </w:r>
      <w:r w:rsidRPr="00F853DD">
        <w:rPr>
          <w:rFonts w:ascii="Times" w:hAnsi="Times" w:cs="Times New Roman"/>
          <w:sz w:val="23"/>
          <w:szCs w:val="23"/>
        </w:rPr>
        <w:t>, 117-140.</w:t>
      </w:r>
    </w:p>
    <w:p w14:paraId="665CF33A" w14:textId="4995A02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Boss, P.</w:t>
      </w:r>
      <w:r w:rsidR="00D014FE" w:rsidRPr="00F853DD">
        <w:rPr>
          <w:rFonts w:ascii="Times" w:hAnsi="Times" w:cs="Times New Roman"/>
          <w:sz w:val="23"/>
          <w:szCs w:val="23"/>
        </w:rPr>
        <w:t>,</w:t>
      </w:r>
      <w:r w:rsidRPr="00F853DD">
        <w:rPr>
          <w:rFonts w:ascii="Times" w:hAnsi="Times" w:cs="Times New Roman"/>
          <w:sz w:val="23"/>
          <w:szCs w:val="23"/>
        </w:rPr>
        <w:t xml:space="preserve"> (2014). Family Stress. In: Michalos, A. (ed.) </w:t>
      </w:r>
      <w:r w:rsidRPr="00F853DD">
        <w:rPr>
          <w:rFonts w:ascii="Times" w:hAnsi="Times" w:cs="Times New Roman"/>
          <w:i/>
          <w:sz w:val="23"/>
          <w:szCs w:val="23"/>
        </w:rPr>
        <w:t xml:space="preserve">Encyclopedia of </w:t>
      </w:r>
      <w:r w:rsidR="00D8000E" w:rsidRPr="00F853DD">
        <w:rPr>
          <w:rFonts w:ascii="Times" w:hAnsi="Times" w:cs="Times New Roman"/>
          <w:i/>
          <w:sz w:val="23"/>
          <w:szCs w:val="23"/>
        </w:rPr>
        <w:t>q</w:t>
      </w:r>
      <w:r w:rsidRPr="00F853DD">
        <w:rPr>
          <w:rFonts w:ascii="Times" w:hAnsi="Times" w:cs="Times New Roman"/>
          <w:i/>
          <w:sz w:val="23"/>
          <w:szCs w:val="23"/>
        </w:rPr>
        <w:t xml:space="preserve">uality of </w:t>
      </w:r>
      <w:r w:rsidR="00D8000E" w:rsidRPr="00F853DD">
        <w:rPr>
          <w:rFonts w:ascii="Times" w:hAnsi="Times" w:cs="Times New Roman"/>
          <w:i/>
          <w:sz w:val="23"/>
          <w:szCs w:val="23"/>
        </w:rPr>
        <w:t>life and wellbeing r</w:t>
      </w:r>
      <w:r w:rsidRPr="00F853DD">
        <w:rPr>
          <w:rFonts w:ascii="Times" w:hAnsi="Times" w:cs="Times New Roman"/>
          <w:i/>
          <w:sz w:val="23"/>
          <w:szCs w:val="23"/>
        </w:rPr>
        <w:t>esearch</w:t>
      </w:r>
      <w:r w:rsidRPr="00F853DD">
        <w:rPr>
          <w:rFonts w:ascii="Times" w:hAnsi="Times" w:cs="Times New Roman"/>
          <w:sz w:val="23"/>
          <w:szCs w:val="23"/>
        </w:rPr>
        <w:t>. Netherlands: Springer.</w:t>
      </w:r>
    </w:p>
    <w:p w14:paraId="16EBEFCF" w14:textId="3FAA1A8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Bourke, S., Cikoratic, J. and Mack, G.</w:t>
      </w:r>
      <w:r w:rsidR="00D014FE" w:rsidRPr="00F853DD">
        <w:rPr>
          <w:rFonts w:ascii="Times" w:hAnsi="Times" w:cs="Times New Roman"/>
          <w:sz w:val="23"/>
          <w:szCs w:val="23"/>
        </w:rPr>
        <w:t>,</w:t>
      </w:r>
      <w:r w:rsidRPr="00F853DD">
        <w:rPr>
          <w:rFonts w:ascii="Times" w:hAnsi="Times" w:cs="Times New Roman"/>
          <w:sz w:val="23"/>
          <w:szCs w:val="23"/>
        </w:rPr>
        <w:t xml:space="preserve"> (1999). </w:t>
      </w:r>
      <w:r w:rsidRPr="00F853DD">
        <w:rPr>
          <w:rFonts w:ascii="Times" w:hAnsi="Times" w:cs="Times New Roman"/>
          <w:i/>
          <w:sz w:val="23"/>
          <w:szCs w:val="23"/>
        </w:rPr>
        <w:t xml:space="preserve">Researching </w:t>
      </w:r>
      <w:r w:rsidR="00D8000E" w:rsidRPr="00F853DD">
        <w:rPr>
          <w:rFonts w:ascii="Times" w:hAnsi="Times" w:cs="Times New Roman"/>
          <w:i/>
          <w:sz w:val="23"/>
          <w:szCs w:val="23"/>
        </w:rPr>
        <w:t>o</w:t>
      </w:r>
      <w:r w:rsidRPr="00F853DD">
        <w:rPr>
          <w:rFonts w:ascii="Times" w:hAnsi="Times" w:cs="Times New Roman"/>
          <w:i/>
          <w:sz w:val="23"/>
          <w:szCs w:val="23"/>
        </w:rPr>
        <w:t xml:space="preserve">rganizational </w:t>
      </w:r>
      <w:r w:rsidR="00D8000E" w:rsidRPr="00F853DD">
        <w:rPr>
          <w:rFonts w:ascii="Times" w:hAnsi="Times" w:cs="Times New Roman"/>
          <w:i/>
          <w:sz w:val="23"/>
          <w:szCs w:val="23"/>
        </w:rPr>
        <w:t>b</w:t>
      </w:r>
      <w:r w:rsidRPr="00F853DD">
        <w:rPr>
          <w:rFonts w:ascii="Times" w:hAnsi="Times" w:cs="Times New Roman"/>
          <w:i/>
          <w:sz w:val="23"/>
          <w:szCs w:val="23"/>
        </w:rPr>
        <w:t xml:space="preserve">ehaviour: </w:t>
      </w:r>
      <w:r w:rsidR="00D8000E" w:rsidRPr="00F853DD">
        <w:rPr>
          <w:rFonts w:ascii="Times" w:hAnsi="Times" w:cs="Times New Roman"/>
          <w:i/>
          <w:sz w:val="23"/>
          <w:szCs w:val="23"/>
        </w:rPr>
        <w:t>an i</w:t>
      </w:r>
      <w:r w:rsidRPr="00F853DD">
        <w:rPr>
          <w:rFonts w:ascii="Times" w:hAnsi="Times" w:cs="Times New Roman"/>
          <w:i/>
          <w:sz w:val="23"/>
          <w:szCs w:val="23"/>
        </w:rPr>
        <w:t xml:space="preserve">ntroduction to </w:t>
      </w:r>
      <w:r w:rsidR="00D8000E" w:rsidRPr="00F853DD">
        <w:rPr>
          <w:rFonts w:ascii="Times" w:hAnsi="Times" w:cs="Times New Roman"/>
          <w:i/>
          <w:sz w:val="23"/>
          <w:szCs w:val="23"/>
        </w:rPr>
        <w:t>g</w:t>
      </w:r>
      <w:r w:rsidRPr="00F853DD">
        <w:rPr>
          <w:rFonts w:ascii="Times" w:hAnsi="Times" w:cs="Times New Roman"/>
          <w:i/>
          <w:sz w:val="23"/>
          <w:szCs w:val="23"/>
        </w:rPr>
        <w:t xml:space="preserve">rounded </w:t>
      </w:r>
      <w:r w:rsidR="00D8000E" w:rsidRPr="00F853DD">
        <w:rPr>
          <w:rFonts w:ascii="Times" w:hAnsi="Times" w:cs="Times New Roman"/>
          <w:i/>
          <w:sz w:val="23"/>
          <w:szCs w:val="23"/>
        </w:rPr>
        <w:t>t</w:t>
      </w:r>
      <w:r w:rsidRPr="00F853DD">
        <w:rPr>
          <w:rFonts w:ascii="Times" w:hAnsi="Times" w:cs="Times New Roman"/>
          <w:i/>
          <w:sz w:val="23"/>
          <w:szCs w:val="23"/>
        </w:rPr>
        <w:t>heory</w:t>
      </w:r>
      <w:r w:rsidRPr="00F853DD">
        <w:rPr>
          <w:rFonts w:ascii="Times" w:hAnsi="Times" w:cs="Times New Roman"/>
          <w:sz w:val="23"/>
          <w:szCs w:val="23"/>
        </w:rPr>
        <w:t>. [Unpublished item].</w:t>
      </w:r>
    </w:p>
    <w:p w14:paraId="745B95B6" w14:textId="0BD00DC9"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Bourne, P.</w:t>
      </w:r>
      <w:r w:rsidR="00D014FE" w:rsidRPr="00F853DD">
        <w:rPr>
          <w:rFonts w:ascii="Times" w:hAnsi="Times" w:cs="Times New Roman"/>
          <w:sz w:val="23"/>
          <w:szCs w:val="23"/>
        </w:rPr>
        <w:t>,</w:t>
      </w:r>
      <w:r w:rsidR="00DF05BD" w:rsidRPr="00F853DD">
        <w:rPr>
          <w:rFonts w:ascii="Times" w:hAnsi="Times" w:cs="Times New Roman"/>
          <w:sz w:val="23"/>
          <w:szCs w:val="23"/>
        </w:rPr>
        <w:t xml:space="preserve"> (2008). Health</w:t>
      </w:r>
      <w:r w:rsidR="00D8000E" w:rsidRPr="00F853DD">
        <w:rPr>
          <w:rFonts w:ascii="Times" w:hAnsi="Times" w:cs="Times New Roman"/>
          <w:sz w:val="23"/>
          <w:szCs w:val="23"/>
        </w:rPr>
        <w:t xml:space="preserve"> determinants: using secondary d</w:t>
      </w:r>
      <w:r w:rsidR="00DF05BD" w:rsidRPr="00F853DD">
        <w:rPr>
          <w:rFonts w:ascii="Times" w:hAnsi="Times" w:cs="Times New Roman"/>
          <w:sz w:val="23"/>
          <w:szCs w:val="23"/>
        </w:rPr>
        <w:t xml:space="preserve">ata to </w:t>
      </w:r>
      <w:r w:rsidR="00D8000E" w:rsidRPr="00F853DD">
        <w:rPr>
          <w:rFonts w:ascii="Times" w:hAnsi="Times" w:cs="Times New Roman"/>
          <w:sz w:val="23"/>
          <w:szCs w:val="23"/>
        </w:rPr>
        <w:t>model predictors of w</w:t>
      </w:r>
      <w:r w:rsidR="00DF05BD" w:rsidRPr="00F853DD">
        <w:rPr>
          <w:rFonts w:ascii="Times" w:hAnsi="Times" w:cs="Times New Roman"/>
          <w:sz w:val="23"/>
          <w:szCs w:val="23"/>
        </w:rPr>
        <w:t>ell-</w:t>
      </w:r>
      <w:r w:rsidR="00D8000E" w:rsidRPr="00F853DD">
        <w:rPr>
          <w:rFonts w:ascii="Times" w:hAnsi="Times" w:cs="Times New Roman"/>
          <w:sz w:val="23"/>
          <w:szCs w:val="23"/>
        </w:rPr>
        <w:t>b</w:t>
      </w:r>
      <w:r w:rsidR="00DF05BD" w:rsidRPr="00F853DD">
        <w:rPr>
          <w:rFonts w:ascii="Times" w:hAnsi="Times" w:cs="Times New Roman"/>
          <w:sz w:val="23"/>
          <w:szCs w:val="23"/>
        </w:rPr>
        <w:t xml:space="preserve">eing of Jamaicans. </w:t>
      </w:r>
      <w:r w:rsidR="00DF05BD" w:rsidRPr="00F853DD">
        <w:rPr>
          <w:rFonts w:ascii="Times" w:hAnsi="Times" w:cs="Times New Roman"/>
          <w:i/>
          <w:sz w:val="23"/>
          <w:szCs w:val="23"/>
        </w:rPr>
        <w:t>West Indian Medical Journal</w:t>
      </w:r>
      <w:r w:rsidR="00D8000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57</w:t>
      </w:r>
      <w:r w:rsidR="00233D69" w:rsidRPr="00F853DD">
        <w:rPr>
          <w:rFonts w:ascii="Times" w:hAnsi="Times" w:cs="Times New Roman"/>
          <w:sz w:val="23"/>
          <w:szCs w:val="23"/>
        </w:rPr>
        <w:t>(5)</w:t>
      </w:r>
      <w:r w:rsidR="00DF05BD" w:rsidRPr="00F853DD">
        <w:rPr>
          <w:rFonts w:ascii="Times" w:hAnsi="Times" w:cs="Times New Roman"/>
          <w:sz w:val="23"/>
          <w:szCs w:val="23"/>
        </w:rPr>
        <w:t>, 476-481.</w:t>
      </w:r>
    </w:p>
    <w:p w14:paraId="788B6C30" w14:textId="0326B733"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Bourne, P. and McGrowder, D</w:t>
      </w:r>
      <w:r w:rsidR="00DF05BD" w:rsidRPr="00F853DD">
        <w:rPr>
          <w:rFonts w:ascii="Times" w:hAnsi="Times" w:cs="Times New Roman"/>
          <w:sz w:val="23"/>
          <w:szCs w:val="23"/>
        </w:rPr>
        <w:t>.</w:t>
      </w:r>
      <w:r w:rsidR="00D014FE" w:rsidRPr="00F853DD">
        <w:rPr>
          <w:rFonts w:ascii="Times" w:hAnsi="Times" w:cs="Times New Roman"/>
          <w:sz w:val="23"/>
          <w:szCs w:val="23"/>
        </w:rPr>
        <w:t>,</w:t>
      </w:r>
      <w:r w:rsidR="00DF05BD" w:rsidRPr="00F853DD">
        <w:rPr>
          <w:rFonts w:ascii="Times" w:hAnsi="Times" w:cs="Times New Roman"/>
          <w:sz w:val="23"/>
          <w:szCs w:val="23"/>
        </w:rPr>
        <w:t xml:space="preserve"> (2009). Rural health in Jamaica: examining and refining the predictive factors of good health status of rural residents. </w:t>
      </w:r>
      <w:r w:rsidR="00DF05BD" w:rsidRPr="00F853DD">
        <w:rPr>
          <w:rFonts w:ascii="Times" w:hAnsi="Times" w:cs="Times New Roman"/>
          <w:i/>
          <w:sz w:val="23"/>
          <w:szCs w:val="23"/>
        </w:rPr>
        <w:t>Rural and Remote Health</w:t>
      </w:r>
      <w:r w:rsidR="00D8000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w:t>
      </w:r>
      <w:r w:rsidR="00233D69" w:rsidRPr="00F853DD">
        <w:rPr>
          <w:rFonts w:ascii="Times" w:hAnsi="Times" w:cs="Times New Roman"/>
          <w:sz w:val="23"/>
          <w:szCs w:val="23"/>
        </w:rPr>
        <w:t>(2)</w:t>
      </w:r>
      <w:r w:rsidR="00DF05BD" w:rsidRPr="00F853DD">
        <w:rPr>
          <w:rFonts w:ascii="Times" w:hAnsi="Times" w:cs="Times New Roman"/>
          <w:sz w:val="23"/>
          <w:szCs w:val="23"/>
        </w:rPr>
        <w:t>, 13.</w:t>
      </w:r>
    </w:p>
    <w:p w14:paraId="17C25E0F" w14:textId="6FC92E15" w:rsidR="00DF05BD" w:rsidRPr="00F853DD" w:rsidRDefault="001002AC"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Bovenberg, A.</w:t>
      </w:r>
      <w:r w:rsidR="00D014FE" w:rsidRPr="00F853DD">
        <w:rPr>
          <w:rFonts w:ascii="Times" w:hAnsi="Times" w:cs="Times New Roman"/>
          <w:sz w:val="23"/>
          <w:szCs w:val="23"/>
        </w:rPr>
        <w:t>,</w:t>
      </w:r>
      <w:r w:rsidR="00D8000E" w:rsidRPr="00F853DD">
        <w:rPr>
          <w:rFonts w:ascii="Times" w:hAnsi="Times" w:cs="Times New Roman"/>
          <w:sz w:val="23"/>
          <w:szCs w:val="23"/>
        </w:rPr>
        <w:t xml:space="preserve"> (2007). The life-course perspective and social policies: an issues n</w:t>
      </w:r>
      <w:r w:rsidR="00DF05BD" w:rsidRPr="00F853DD">
        <w:rPr>
          <w:rFonts w:ascii="Times" w:hAnsi="Times" w:cs="Times New Roman"/>
          <w:sz w:val="23"/>
          <w:szCs w:val="23"/>
        </w:rPr>
        <w:t xml:space="preserve">ote. In: Labour, S. P. (ed.) </w:t>
      </w:r>
      <w:r w:rsidR="00DF05BD" w:rsidRPr="00F853DD">
        <w:rPr>
          <w:rFonts w:ascii="Times" w:hAnsi="Times" w:cs="Times New Roman"/>
          <w:i/>
          <w:sz w:val="23"/>
          <w:szCs w:val="23"/>
        </w:rPr>
        <w:t>Seminar on Life Risks, Life Course and Social Policy Organized by the Social Policy Division of the Directorate for Employment, Labour and Social Affairs of the OECD.</w:t>
      </w:r>
    </w:p>
    <w:p w14:paraId="169F193A" w14:textId="6EF7A21B"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Bowes, A.</w:t>
      </w:r>
      <w:r w:rsidR="00D8000E" w:rsidRPr="00F853DD">
        <w:rPr>
          <w:rFonts w:ascii="Times" w:hAnsi="Times" w:cs="Times New Roman"/>
          <w:sz w:val="23"/>
          <w:szCs w:val="23"/>
        </w:rPr>
        <w:t xml:space="preserve"> and Dar, N</w:t>
      </w:r>
      <w:r w:rsidR="00DF05BD" w:rsidRPr="00F853DD">
        <w:rPr>
          <w:rFonts w:ascii="Times" w:hAnsi="Times" w:cs="Times New Roman"/>
          <w:sz w:val="23"/>
          <w:szCs w:val="23"/>
        </w:rPr>
        <w:t>.</w:t>
      </w:r>
      <w:r w:rsidR="00D014FE" w:rsidRPr="00F853DD">
        <w:rPr>
          <w:rFonts w:ascii="Times" w:hAnsi="Times" w:cs="Times New Roman"/>
          <w:sz w:val="23"/>
          <w:szCs w:val="23"/>
        </w:rPr>
        <w:t>,</w:t>
      </w:r>
      <w:r w:rsidR="00DF05BD" w:rsidRPr="00F853DD">
        <w:rPr>
          <w:rFonts w:ascii="Times" w:hAnsi="Times" w:cs="Times New Roman"/>
          <w:sz w:val="23"/>
          <w:szCs w:val="23"/>
        </w:rPr>
        <w:t xml:space="preserve"> (2000). Researching social care for</w:t>
      </w:r>
      <w:r w:rsidR="00D8000E" w:rsidRPr="00F853DD">
        <w:rPr>
          <w:rFonts w:ascii="Times" w:hAnsi="Times" w:cs="Times New Roman"/>
          <w:sz w:val="23"/>
          <w:szCs w:val="23"/>
        </w:rPr>
        <w:t xml:space="preserve"> minority ethnic older people: i</w:t>
      </w:r>
      <w:r w:rsidR="00DF05BD" w:rsidRPr="00F853DD">
        <w:rPr>
          <w:rFonts w:ascii="Times" w:hAnsi="Times" w:cs="Times New Roman"/>
          <w:sz w:val="23"/>
          <w:szCs w:val="23"/>
        </w:rPr>
        <w:t xml:space="preserve">mplications of some Scottish research. </w:t>
      </w:r>
      <w:r w:rsidR="00DF05BD" w:rsidRPr="00F853DD">
        <w:rPr>
          <w:rFonts w:ascii="Times" w:hAnsi="Times" w:cs="Times New Roman"/>
          <w:i/>
          <w:sz w:val="23"/>
          <w:szCs w:val="23"/>
        </w:rPr>
        <w:t>British Journal of Social Work</w:t>
      </w:r>
      <w:r w:rsidR="00D8000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C15FF5" w:rsidRPr="00F853DD">
        <w:rPr>
          <w:rFonts w:ascii="Times" w:hAnsi="Times" w:cs="Times New Roman"/>
          <w:sz w:val="23"/>
          <w:szCs w:val="23"/>
        </w:rPr>
        <w:t>(3)</w:t>
      </w:r>
      <w:r w:rsidR="00DF05BD" w:rsidRPr="00F853DD">
        <w:rPr>
          <w:rFonts w:ascii="Times" w:hAnsi="Times" w:cs="Times New Roman"/>
          <w:sz w:val="23"/>
          <w:szCs w:val="23"/>
        </w:rPr>
        <w:t>, 305-321.</w:t>
      </w:r>
    </w:p>
    <w:p w14:paraId="70978D40" w14:textId="04ED1B3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Braine, M. and Wray, J.</w:t>
      </w:r>
      <w:r w:rsidR="00D014FE"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Supporting Families and Carers: A Nursing Perspective</w:t>
      </w:r>
      <w:r w:rsidRPr="00F853DD">
        <w:rPr>
          <w:rFonts w:ascii="Times" w:hAnsi="Times" w:cs="Times New Roman"/>
          <w:sz w:val="23"/>
          <w:szCs w:val="23"/>
        </w:rPr>
        <w:t>. CRC Press.</w:t>
      </w:r>
    </w:p>
    <w:p w14:paraId="0112BF86" w14:textId="45561C4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Braithwaite, V.</w:t>
      </w:r>
      <w:r w:rsidR="00D014FE" w:rsidRPr="00F853DD">
        <w:rPr>
          <w:rFonts w:ascii="Times" w:hAnsi="Times" w:cs="Times New Roman"/>
          <w:sz w:val="23"/>
          <w:szCs w:val="23"/>
        </w:rPr>
        <w:t>,</w:t>
      </w:r>
      <w:r w:rsidRPr="00F853DD">
        <w:rPr>
          <w:rFonts w:ascii="Times" w:hAnsi="Times" w:cs="Times New Roman"/>
          <w:sz w:val="23"/>
          <w:szCs w:val="23"/>
        </w:rPr>
        <w:t xml:space="preserve"> (1992). Caregiving Burden. </w:t>
      </w:r>
      <w:r w:rsidRPr="00F853DD">
        <w:rPr>
          <w:rFonts w:ascii="Times" w:hAnsi="Times" w:cs="Times New Roman"/>
          <w:i/>
          <w:sz w:val="23"/>
          <w:szCs w:val="23"/>
        </w:rPr>
        <w:t>Research on Aging</w:t>
      </w:r>
      <w:r w:rsidR="00D800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00C15FF5" w:rsidRPr="00F853DD">
        <w:rPr>
          <w:rFonts w:ascii="Times" w:hAnsi="Times" w:cs="Times New Roman"/>
          <w:sz w:val="23"/>
          <w:szCs w:val="23"/>
        </w:rPr>
        <w:t>(1)</w:t>
      </w:r>
      <w:r w:rsidRPr="00F853DD">
        <w:rPr>
          <w:rFonts w:ascii="Times" w:hAnsi="Times" w:cs="Times New Roman"/>
          <w:sz w:val="23"/>
          <w:szCs w:val="23"/>
        </w:rPr>
        <w:t>, 3-27.</w:t>
      </w:r>
    </w:p>
    <w:p w14:paraId="474A211D" w14:textId="0E2303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Braithwaite, V.</w:t>
      </w:r>
      <w:r w:rsidR="00D014FE" w:rsidRPr="00F853DD">
        <w:rPr>
          <w:rFonts w:ascii="Times" w:hAnsi="Times" w:cs="Times New Roman"/>
          <w:sz w:val="23"/>
          <w:szCs w:val="23"/>
        </w:rPr>
        <w:t>,</w:t>
      </w:r>
      <w:r w:rsidRPr="00F853DD">
        <w:rPr>
          <w:rFonts w:ascii="Times" w:hAnsi="Times" w:cs="Times New Roman"/>
          <w:sz w:val="23"/>
          <w:szCs w:val="23"/>
        </w:rPr>
        <w:t xml:space="preserve"> (1996). Between stressors and outcomes: Can we simplify caregiving variables? </w:t>
      </w:r>
      <w:r w:rsidRPr="00F853DD">
        <w:rPr>
          <w:rFonts w:ascii="Times" w:hAnsi="Times" w:cs="Times New Roman"/>
          <w:i/>
          <w:sz w:val="23"/>
          <w:szCs w:val="23"/>
        </w:rPr>
        <w:t>The Gerontologist</w:t>
      </w:r>
      <w:r w:rsidRPr="00F853DD">
        <w:rPr>
          <w:rFonts w:ascii="Times" w:hAnsi="Times" w:cs="Times New Roman"/>
          <w:sz w:val="23"/>
          <w:szCs w:val="23"/>
        </w:rPr>
        <w:t xml:space="preserve"> [online].</w:t>
      </w:r>
    </w:p>
    <w:p w14:paraId="01E5408A" w14:textId="5BA381A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w:t>
      </w:r>
      <w:r w:rsidR="001002AC" w:rsidRPr="00F853DD">
        <w:rPr>
          <w:rFonts w:ascii="Times" w:hAnsi="Times" w:cs="Times New Roman"/>
          <w:sz w:val="23"/>
          <w:szCs w:val="23"/>
        </w:rPr>
        <w:t>ranch, L. and Jette, A.</w:t>
      </w:r>
      <w:r w:rsidR="00D014FE" w:rsidRPr="00F853DD">
        <w:rPr>
          <w:rFonts w:ascii="Times" w:hAnsi="Times" w:cs="Times New Roman"/>
          <w:sz w:val="23"/>
          <w:szCs w:val="23"/>
        </w:rPr>
        <w:t>,</w:t>
      </w:r>
      <w:r w:rsidRPr="00F853DD">
        <w:rPr>
          <w:rFonts w:ascii="Times" w:hAnsi="Times" w:cs="Times New Roman"/>
          <w:sz w:val="23"/>
          <w:szCs w:val="23"/>
        </w:rPr>
        <w:t xml:space="preserve"> (1983). Elders use of informal long-term care assistance. </w:t>
      </w:r>
      <w:r w:rsidRPr="00F853DD">
        <w:rPr>
          <w:rFonts w:ascii="Times" w:hAnsi="Times" w:cs="Times New Roman"/>
          <w:i/>
          <w:sz w:val="23"/>
          <w:szCs w:val="23"/>
        </w:rPr>
        <w:t>Gerontologist</w:t>
      </w:r>
      <w:r w:rsidR="004B67A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00C15FF5" w:rsidRPr="00F853DD">
        <w:rPr>
          <w:rFonts w:ascii="Times" w:hAnsi="Times" w:cs="Times New Roman"/>
          <w:sz w:val="23"/>
          <w:szCs w:val="23"/>
        </w:rPr>
        <w:t>(1)</w:t>
      </w:r>
      <w:r w:rsidRPr="00F853DD">
        <w:rPr>
          <w:rFonts w:ascii="Times" w:hAnsi="Times" w:cs="Times New Roman"/>
          <w:sz w:val="23"/>
          <w:szCs w:val="23"/>
        </w:rPr>
        <w:t>, 51-56.</w:t>
      </w:r>
    </w:p>
    <w:p w14:paraId="52E99565" w14:textId="7CBD150D"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Brank, E.  and Wylie, L.</w:t>
      </w:r>
      <w:r w:rsidR="00D014FE" w:rsidRPr="00F853DD">
        <w:rPr>
          <w:rFonts w:ascii="Times" w:hAnsi="Times" w:cs="Times New Roman"/>
          <w:sz w:val="23"/>
          <w:szCs w:val="23"/>
        </w:rPr>
        <w:t>,</w:t>
      </w:r>
      <w:r w:rsidR="00DF05BD" w:rsidRPr="00F853DD">
        <w:rPr>
          <w:rFonts w:ascii="Times" w:hAnsi="Times" w:cs="Times New Roman"/>
          <w:sz w:val="23"/>
          <w:szCs w:val="23"/>
        </w:rPr>
        <w:t xml:space="preserve"> (2016). Differing perspectives on older adult caregiving. </w:t>
      </w:r>
      <w:r w:rsidR="00DF05BD" w:rsidRPr="00F853DD">
        <w:rPr>
          <w:rFonts w:ascii="Times" w:hAnsi="Times" w:cs="Times New Roman"/>
          <w:i/>
          <w:sz w:val="23"/>
          <w:szCs w:val="23"/>
        </w:rPr>
        <w:t>Journal of Applied Gerontology</w:t>
      </w:r>
      <w:r w:rsidR="00DF05BD" w:rsidRPr="00F853DD">
        <w:rPr>
          <w:rFonts w:ascii="Times" w:hAnsi="Times" w:cs="Times New Roman"/>
          <w:sz w:val="23"/>
          <w:szCs w:val="23"/>
        </w:rPr>
        <w:t xml:space="preserve">, </w:t>
      </w:r>
      <w:r w:rsidR="00DF05BD" w:rsidRPr="00F853DD">
        <w:rPr>
          <w:rFonts w:ascii="Times" w:hAnsi="Times" w:cs="Times New Roman"/>
          <w:b/>
          <w:sz w:val="23"/>
          <w:szCs w:val="23"/>
        </w:rPr>
        <w:t>35</w:t>
      </w:r>
      <w:r w:rsidR="00C15FF5" w:rsidRPr="00F853DD">
        <w:rPr>
          <w:rFonts w:ascii="Times" w:hAnsi="Times" w:cs="Times New Roman"/>
          <w:sz w:val="23"/>
          <w:szCs w:val="23"/>
        </w:rPr>
        <w:t>(7)</w:t>
      </w:r>
      <w:r w:rsidR="00DF05BD" w:rsidRPr="00F853DD">
        <w:rPr>
          <w:rFonts w:ascii="Times" w:hAnsi="Times" w:cs="Times New Roman"/>
          <w:sz w:val="23"/>
          <w:szCs w:val="23"/>
        </w:rPr>
        <w:t>, 698-720.</w:t>
      </w:r>
    </w:p>
    <w:p w14:paraId="6615246D" w14:textId="69F30489" w:rsidR="00DF05BD" w:rsidRPr="00F853DD" w:rsidRDefault="00D014F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Braun, V.,</w:t>
      </w:r>
      <w:r w:rsidR="00DF05BD" w:rsidRPr="00F853DD">
        <w:rPr>
          <w:rFonts w:ascii="Times" w:hAnsi="Times" w:cs="Times New Roman"/>
          <w:sz w:val="23"/>
          <w:szCs w:val="23"/>
        </w:rPr>
        <w:t xml:space="preserve"> (2006). Using Thematic Analysis in Psychology. </w:t>
      </w:r>
      <w:r w:rsidR="00DF05BD" w:rsidRPr="00F853DD">
        <w:rPr>
          <w:rFonts w:ascii="Times" w:hAnsi="Times" w:cs="Times New Roman"/>
          <w:i/>
          <w:sz w:val="23"/>
          <w:szCs w:val="23"/>
        </w:rPr>
        <w:t>Qualitative Research in Psychology</w:t>
      </w:r>
      <w:r w:rsidR="004B67A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w:t>
      </w:r>
      <w:r w:rsidR="00C15FF5" w:rsidRPr="00F853DD">
        <w:rPr>
          <w:rFonts w:ascii="Times" w:hAnsi="Times" w:cs="Times New Roman"/>
          <w:sz w:val="23"/>
          <w:szCs w:val="23"/>
        </w:rPr>
        <w:t>(2)</w:t>
      </w:r>
      <w:r w:rsidR="00DF05BD" w:rsidRPr="00F853DD">
        <w:rPr>
          <w:rFonts w:ascii="Times" w:hAnsi="Times" w:cs="Times New Roman"/>
          <w:sz w:val="23"/>
          <w:szCs w:val="23"/>
        </w:rPr>
        <w:t>, 77-101.</w:t>
      </w:r>
    </w:p>
    <w:p w14:paraId="5423472F" w14:textId="4DB4D81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Brereton, L. and Nolan, M.</w:t>
      </w:r>
      <w:r w:rsidR="00D014FE" w:rsidRPr="00F853DD">
        <w:rPr>
          <w:rFonts w:ascii="Times" w:hAnsi="Times" w:cs="Times New Roman"/>
          <w:sz w:val="23"/>
          <w:szCs w:val="23"/>
        </w:rPr>
        <w:t>,</w:t>
      </w:r>
      <w:r w:rsidRPr="00F853DD">
        <w:rPr>
          <w:rFonts w:ascii="Times" w:hAnsi="Times" w:cs="Times New Roman"/>
          <w:sz w:val="23"/>
          <w:szCs w:val="23"/>
        </w:rPr>
        <w:t xml:space="preserve"> (2000). ‘You do know he’s had a stroke, don’t you?’ Preparation for family care</w:t>
      </w:r>
      <w:r w:rsidRPr="00F853DD">
        <w:rPr>
          <w:rFonts w:ascii="Cambria Math" w:hAnsi="Cambria Math" w:cs="Cambria Math"/>
          <w:sz w:val="23"/>
          <w:szCs w:val="23"/>
        </w:rPr>
        <w:t>‐</w:t>
      </w:r>
      <w:r w:rsidRPr="00F853DD">
        <w:rPr>
          <w:rFonts w:ascii="Times" w:hAnsi="Times" w:cs="Times New Roman"/>
          <w:sz w:val="23"/>
          <w:szCs w:val="23"/>
        </w:rPr>
        <w:t xml:space="preserve">giving–the neglected dimension. </w:t>
      </w:r>
      <w:r w:rsidRPr="00F853DD">
        <w:rPr>
          <w:rFonts w:ascii="Times" w:hAnsi="Times" w:cs="Times New Roman"/>
          <w:i/>
          <w:sz w:val="23"/>
          <w:szCs w:val="23"/>
        </w:rPr>
        <w:t>Journal of Clinical Nursing</w:t>
      </w:r>
      <w:r w:rsidRPr="00F853DD">
        <w:rPr>
          <w:rFonts w:ascii="Times" w:hAnsi="Times" w:cs="Times New Roman"/>
          <w:b/>
          <w:sz w:val="23"/>
          <w:szCs w:val="23"/>
        </w:rPr>
        <w:t>, 9</w:t>
      </w:r>
      <w:r w:rsidRPr="00F853DD">
        <w:rPr>
          <w:rFonts w:ascii="Times" w:hAnsi="Times" w:cs="Times New Roman"/>
          <w:sz w:val="23"/>
          <w:szCs w:val="23"/>
        </w:rPr>
        <w:t>(4), 498-506.</w:t>
      </w:r>
    </w:p>
    <w:p w14:paraId="686EAAE4" w14:textId="2EF5976E" w:rsidR="00DF05BD" w:rsidRPr="00F853DD" w:rsidRDefault="001002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Brett, A.</w:t>
      </w:r>
      <w:r w:rsidR="00D014FE" w:rsidRPr="00F853DD">
        <w:rPr>
          <w:rFonts w:ascii="Times" w:hAnsi="Times" w:cs="Times New Roman"/>
          <w:sz w:val="23"/>
          <w:szCs w:val="23"/>
        </w:rPr>
        <w:t>,</w:t>
      </w:r>
      <w:r w:rsidR="00DF05BD" w:rsidRPr="00F853DD">
        <w:rPr>
          <w:rFonts w:ascii="Times" w:hAnsi="Times" w:cs="Times New Roman"/>
          <w:sz w:val="23"/>
          <w:szCs w:val="23"/>
        </w:rPr>
        <w:t xml:space="preserve"> (2</w:t>
      </w:r>
      <w:r w:rsidR="004B67AD" w:rsidRPr="00F853DD">
        <w:rPr>
          <w:rFonts w:ascii="Times" w:hAnsi="Times" w:cs="Times New Roman"/>
          <w:sz w:val="23"/>
          <w:szCs w:val="23"/>
        </w:rPr>
        <w:t>007). Two-tiered health care: a</w:t>
      </w:r>
      <w:r w:rsidR="00DF05BD" w:rsidRPr="00F853DD">
        <w:rPr>
          <w:rFonts w:ascii="Times" w:hAnsi="Times" w:cs="Times New Roman"/>
          <w:sz w:val="23"/>
          <w:szCs w:val="23"/>
        </w:rPr>
        <w:t xml:space="preserve"> problematic double standard. </w:t>
      </w:r>
      <w:r w:rsidR="00DF05BD" w:rsidRPr="00F853DD">
        <w:rPr>
          <w:rFonts w:ascii="Times" w:hAnsi="Times" w:cs="Times New Roman"/>
          <w:i/>
          <w:sz w:val="23"/>
          <w:szCs w:val="23"/>
        </w:rPr>
        <w:t>Archives of Internal Medicine</w:t>
      </w:r>
      <w:r w:rsidR="004B67A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167</w:t>
      </w:r>
      <w:r w:rsidR="00DF05BD" w:rsidRPr="00F853DD">
        <w:rPr>
          <w:rFonts w:ascii="Times" w:hAnsi="Times" w:cs="Times New Roman"/>
          <w:sz w:val="23"/>
          <w:szCs w:val="23"/>
        </w:rPr>
        <w:t>, 430-432.</w:t>
      </w:r>
    </w:p>
    <w:p w14:paraId="789EDE57" w14:textId="296380D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Brijnath, B.</w:t>
      </w:r>
      <w:r w:rsidR="00D014FE" w:rsidRPr="00F853DD">
        <w:rPr>
          <w:rFonts w:ascii="Times" w:hAnsi="Times" w:cs="Times New Roman"/>
          <w:sz w:val="23"/>
          <w:szCs w:val="23"/>
        </w:rPr>
        <w:t>,</w:t>
      </w:r>
      <w:r w:rsidRPr="00F853DD">
        <w:rPr>
          <w:rFonts w:ascii="Times" w:hAnsi="Times" w:cs="Times New Roman"/>
          <w:sz w:val="23"/>
          <w:szCs w:val="23"/>
        </w:rPr>
        <w:t xml:space="preserve"> (2009). Familial bonds and boarding passes: understanding caregiving in transnational context. </w:t>
      </w:r>
      <w:r w:rsidRPr="00F853DD">
        <w:rPr>
          <w:rFonts w:ascii="Times" w:hAnsi="Times" w:cs="Times New Roman"/>
          <w:i/>
          <w:sz w:val="23"/>
          <w:szCs w:val="23"/>
        </w:rPr>
        <w:t>Identities: Global Studies in Culture and Power</w:t>
      </w:r>
      <w:r w:rsidR="004B67A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003D03BC" w:rsidRPr="00F853DD">
        <w:rPr>
          <w:rFonts w:ascii="Times" w:hAnsi="Times" w:cs="Times New Roman"/>
          <w:sz w:val="23"/>
          <w:szCs w:val="23"/>
        </w:rPr>
        <w:t>(1)</w:t>
      </w:r>
      <w:r w:rsidRPr="00F853DD">
        <w:rPr>
          <w:rFonts w:ascii="Times" w:hAnsi="Times" w:cs="Times New Roman"/>
          <w:sz w:val="23"/>
          <w:szCs w:val="23"/>
        </w:rPr>
        <w:t>, 83-101.</w:t>
      </w:r>
    </w:p>
    <w:p w14:paraId="01C4B6EE" w14:textId="45178F2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Brocklehurst, H. and Laurenson, M.</w:t>
      </w:r>
      <w:r w:rsidR="00D014FE" w:rsidRPr="00F853DD">
        <w:rPr>
          <w:rFonts w:ascii="Times" w:hAnsi="Times" w:cs="Times New Roman"/>
          <w:sz w:val="23"/>
          <w:szCs w:val="23"/>
        </w:rPr>
        <w:t>,</w:t>
      </w:r>
      <w:r w:rsidRPr="00F853DD">
        <w:rPr>
          <w:rFonts w:ascii="Times" w:hAnsi="Times" w:cs="Times New Roman"/>
          <w:sz w:val="23"/>
          <w:szCs w:val="23"/>
        </w:rPr>
        <w:t xml:space="preserve"> (2008). A concept analysis examining the vulnerability of older people. </w:t>
      </w:r>
      <w:r w:rsidRPr="00F853DD">
        <w:rPr>
          <w:rFonts w:ascii="Times" w:hAnsi="Times" w:cs="Times New Roman"/>
          <w:i/>
          <w:sz w:val="23"/>
          <w:szCs w:val="23"/>
        </w:rPr>
        <w:t>British Journal of Nursing</w:t>
      </w:r>
      <w:r w:rsidR="004B67AD" w:rsidRPr="00F853DD">
        <w:rPr>
          <w:rFonts w:ascii="Times" w:hAnsi="Times" w:cs="Times New Roman"/>
          <w:sz w:val="23"/>
          <w:szCs w:val="23"/>
        </w:rPr>
        <w:t xml:space="preserve"> (Mark Allen Publishing).</w:t>
      </w:r>
      <w:r w:rsidRPr="00F853DD">
        <w:rPr>
          <w:rFonts w:ascii="Times" w:hAnsi="Times" w:cs="Times New Roman"/>
          <w:sz w:val="23"/>
          <w:szCs w:val="23"/>
        </w:rPr>
        <w:t xml:space="preserve"> </w:t>
      </w:r>
      <w:r w:rsidRPr="00F853DD">
        <w:rPr>
          <w:rFonts w:ascii="Times" w:hAnsi="Times" w:cs="Times New Roman"/>
          <w:b/>
          <w:sz w:val="23"/>
          <w:szCs w:val="23"/>
        </w:rPr>
        <w:t>17</w:t>
      </w:r>
      <w:r w:rsidR="003D03BC" w:rsidRPr="00F853DD">
        <w:rPr>
          <w:rFonts w:ascii="Times" w:hAnsi="Times" w:cs="Times New Roman"/>
          <w:sz w:val="23"/>
          <w:szCs w:val="23"/>
        </w:rPr>
        <w:t>(21)</w:t>
      </w:r>
      <w:r w:rsidRPr="00F853DD">
        <w:rPr>
          <w:rFonts w:ascii="Times" w:hAnsi="Times" w:cs="Times New Roman"/>
          <w:sz w:val="23"/>
          <w:szCs w:val="23"/>
        </w:rPr>
        <w:t>, 1354-7.</w:t>
      </w:r>
    </w:p>
    <w:p w14:paraId="72AA7D95" w14:textId="04998882"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t>Brodaty, H. and Donkin, M.</w:t>
      </w:r>
      <w:r w:rsidR="00D014FE" w:rsidRPr="00F853DD">
        <w:rPr>
          <w:rFonts w:ascii="Times" w:hAnsi="Times" w:cs="Times New Roman"/>
          <w:sz w:val="23"/>
          <w:szCs w:val="23"/>
        </w:rPr>
        <w:t>,</w:t>
      </w:r>
      <w:r w:rsidRPr="00F853DD">
        <w:rPr>
          <w:rFonts w:ascii="Times" w:hAnsi="Times" w:cs="Times New Roman"/>
          <w:sz w:val="23"/>
          <w:szCs w:val="23"/>
        </w:rPr>
        <w:t xml:space="preserve"> (2009). Family caregivers of people with dementia</w:t>
      </w:r>
      <w:r w:rsidR="004B67A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i/>
          <w:sz w:val="23"/>
          <w:szCs w:val="23"/>
          <w:lang w:val="fr-FR"/>
        </w:rPr>
        <w:t>Dialogues In Clinical Neuroscience</w:t>
      </w:r>
      <w:r w:rsidR="004B67AD" w:rsidRPr="00F853DD">
        <w:rPr>
          <w:rFonts w:ascii="Times" w:hAnsi="Times" w:cs="Times New Roman"/>
          <w:i/>
          <w:sz w:val="23"/>
          <w:szCs w:val="23"/>
          <w:lang w:val="fr-FR"/>
        </w:rPr>
        <w:t xml:space="preserve"> </w:t>
      </w:r>
      <w:r w:rsidR="004B67AD" w:rsidRPr="00F853DD">
        <w:rPr>
          <w:rFonts w:ascii="Times" w:hAnsi="Times" w:cs="Times New Roman"/>
          <w:sz w:val="23"/>
          <w:szCs w:val="23"/>
          <w:lang w:val="fr-FR"/>
        </w:rPr>
        <w:t>[online].</w:t>
      </w:r>
      <w:r w:rsidRPr="00F853DD">
        <w:rPr>
          <w:rFonts w:ascii="Times" w:hAnsi="Times" w:cs="Times New Roman"/>
          <w:sz w:val="23"/>
          <w:szCs w:val="23"/>
          <w:lang w:val="fr-FR"/>
        </w:rPr>
        <w:t xml:space="preserve"> </w:t>
      </w:r>
      <w:r w:rsidRPr="00F853DD">
        <w:rPr>
          <w:rFonts w:ascii="Times" w:hAnsi="Times" w:cs="Times New Roman"/>
          <w:b/>
          <w:sz w:val="23"/>
          <w:szCs w:val="23"/>
          <w:lang w:val="fr-FR"/>
        </w:rPr>
        <w:t>11</w:t>
      </w:r>
      <w:r w:rsidR="003D03BC" w:rsidRPr="00F853DD">
        <w:rPr>
          <w:rFonts w:ascii="Times" w:hAnsi="Times" w:cs="Times New Roman"/>
          <w:sz w:val="23"/>
          <w:szCs w:val="23"/>
          <w:lang w:val="fr-FR"/>
        </w:rPr>
        <w:t>(2)</w:t>
      </w:r>
      <w:r w:rsidRPr="00F853DD">
        <w:rPr>
          <w:rFonts w:ascii="Times" w:hAnsi="Times" w:cs="Times New Roman"/>
          <w:sz w:val="23"/>
          <w:szCs w:val="23"/>
          <w:lang w:val="fr-FR"/>
        </w:rPr>
        <w:t xml:space="preserve">. Available from: https://www.ncbi.nlm.nih.gov/pmc/articles/PMC3181916/. </w:t>
      </w:r>
    </w:p>
    <w:p w14:paraId="4A5FC2A0" w14:textId="0D8F9E16" w:rsidR="005C76F8" w:rsidRPr="00F853DD" w:rsidRDefault="005C76F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Brodsky, J., Habib, J., Mizrahi, I., Team, L.T.C. and World Health Organization, 2000. Long-term care laws in five developed countries: </w:t>
      </w:r>
      <w:r w:rsidR="004B67AD" w:rsidRPr="00F853DD">
        <w:rPr>
          <w:rFonts w:ascii="Times" w:hAnsi="Times" w:cs="Times New Roman"/>
          <w:sz w:val="23"/>
          <w:szCs w:val="23"/>
        </w:rPr>
        <w:t>a</w:t>
      </w:r>
      <w:r w:rsidRPr="00F853DD">
        <w:rPr>
          <w:rFonts w:ascii="Times" w:hAnsi="Times" w:cs="Times New Roman"/>
          <w:sz w:val="23"/>
          <w:szCs w:val="23"/>
        </w:rPr>
        <w:t xml:space="preserve"> review (No. WHO/NMH/CCL/00.2). World Health Organization.</w:t>
      </w:r>
    </w:p>
    <w:p w14:paraId="5D4D3CD5" w14:textId="201F42F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Brodsky, J., Habib, J., Hirschfeld, M. and Hirschfeld, M.</w:t>
      </w:r>
      <w:r w:rsidR="00D014FE" w:rsidRPr="00F853DD">
        <w:rPr>
          <w:rFonts w:ascii="Times" w:hAnsi="Times" w:cs="Times New Roman"/>
          <w:sz w:val="23"/>
          <w:szCs w:val="23"/>
        </w:rPr>
        <w:t>,</w:t>
      </w:r>
      <w:r w:rsidRPr="00F853DD">
        <w:rPr>
          <w:rFonts w:ascii="Times" w:hAnsi="Times" w:cs="Times New Roman"/>
          <w:sz w:val="23"/>
          <w:szCs w:val="23"/>
        </w:rPr>
        <w:t xml:space="preserve"> (eds). (2003). Key policy issues in long-term care [online]. </w:t>
      </w:r>
      <w:r w:rsidRPr="00F853DD">
        <w:rPr>
          <w:rFonts w:ascii="Times" w:hAnsi="Times" w:cs="Times New Roman"/>
          <w:i/>
          <w:sz w:val="23"/>
          <w:szCs w:val="23"/>
        </w:rPr>
        <w:t>World Health Organization</w:t>
      </w:r>
      <w:r w:rsidRPr="00F853DD">
        <w:rPr>
          <w:rFonts w:ascii="Times" w:hAnsi="Times" w:cs="Times New Roman"/>
          <w:sz w:val="23"/>
          <w:szCs w:val="23"/>
        </w:rPr>
        <w:t xml:space="preserve">. [Viewed 20 October 2019]. Available from: https://www.who.int/chp/knowledge/publications/policy_issues_ltc.pdf. </w:t>
      </w:r>
    </w:p>
    <w:p w14:paraId="1B19DAC2" w14:textId="6A59E1B6" w:rsidR="005C76F8" w:rsidRPr="00F853DD" w:rsidRDefault="005C76F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Brodsky, J., Resnizki, S. and Citron, D.</w:t>
      </w:r>
      <w:r w:rsidR="00D014FE" w:rsidRPr="00F853DD">
        <w:rPr>
          <w:rFonts w:ascii="Times" w:hAnsi="Times" w:cs="Times New Roman"/>
          <w:sz w:val="23"/>
          <w:szCs w:val="23"/>
        </w:rPr>
        <w:t>,</w:t>
      </w:r>
      <w:r w:rsidRPr="00F853DD">
        <w:rPr>
          <w:rFonts w:ascii="Times" w:hAnsi="Times" w:cs="Times New Roman"/>
          <w:sz w:val="23"/>
          <w:szCs w:val="23"/>
        </w:rPr>
        <w:t xml:space="preserve"> (2011)</w:t>
      </w:r>
      <w:r w:rsidRPr="00F853DD">
        <w:rPr>
          <w:rFonts w:ascii="Times" w:hAnsi="Times" w:cs="Times New Roman"/>
          <w:i/>
          <w:sz w:val="23"/>
          <w:szCs w:val="23"/>
        </w:rPr>
        <w:t>. Issues in family care of the elderly: characteristics of care, burden on family members and support programs</w:t>
      </w:r>
      <w:r w:rsidRPr="00F853DD">
        <w:rPr>
          <w:rFonts w:ascii="Times" w:hAnsi="Times" w:cs="Times New Roman"/>
          <w:sz w:val="23"/>
          <w:szCs w:val="23"/>
        </w:rPr>
        <w:t>. The Association for the Planning and Development of Services for the Aged in Israel.</w:t>
      </w:r>
    </w:p>
    <w:p w14:paraId="7723A42C" w14:textId="125EDA5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Brody, E.</w:t>
      </w:r>
      <w:r w:rsidR="00D014FE" w:rsidRPr="00F853DD">
        <w:rPr>
          <w:rFonts w:ascii="Times" w:hAnsi="Times" w:cs="Times New Roman"/>
          <w:sz w:val="23"/>
          <w:szCs w:val="23"/>
        </w:rPr>
        <w:t>,</w:t>
      </w:r>
      <w:r w:rsidRPr="00F853DD">
        <w:rPr>
          <w:rFonts w:ascii="Times" w:hAnsi="Times" w:cs="Times New Roman"/>
          <w:sz w:val="23"/>
          <w:szCs w:val="23"/>
        </w:rPr>
        <w:t xml:space="preserve"> (1995). Prospects for </w:t>
      </w:r>
      <w:r w:rsidR="00DE7110" w:rsidRPr="00F853DD">
        <w:rPr>
          <w:rFonts w:ascii="Times" w:hAnsi="Times" w:cs="Times New Roman"/>
          <w:sz w:val="23"/>
          <w:szCs w:val="23"/>
        </w:rPr>
        <w:t>f</w:t>
      </w:r>
      <w:r w:rsidRPr="00F853DD">
        <w:rPr>
          <w:rFonts w:ascii="Times" w:hAnsi="Times" w:cs="Times New Roman"/>
          <w:sz w:val="23"/>
          <w:szCs w:val="23"/>
        </w:rPr>
        <w:t xml:space="preserve">amily Caregiving: </w:t>
      </w:r>
      <w:r w:rsidR="00DE7110" w:rsidRPr="00F853DD">
        <w:rPr>
          <w:rFonts w:ascii="Times" w:hAnsi="Times" w:cs="Times New Roman"/>
          <w:sz w:val="23"/>
          <w:szCs w:val="23"/>
        </w:rPr>
        <w:t>r</w:t>
      </w:r>
      <w:r w:rsidRPr="00F853DD">
        <w:rPr>
          <w:rFonts w:ascii="Times" w:hAnsi="Times" w:cs="Times New Roman"/>
          <w:sz w:val="23"/>
          <w:szCs w:val="23"/>
        </w:rPr>
        <w:t xml:space="preserve">esponse to </w:t>
      </w:r>
      <w:r w:rsidR="00DE7110" w:rsidRPr="00F853DD">
        <w:rPr>
          <w:rFonts w:ascii="Times" w:hAnsi="Times" w:cs="Times New Roman"/>
          <w:sz w:val="23"/>
          <w:szCs w:val="23"/>
        </w:rPr>
        <w:t>c</w:t>
      </w:r>
      <w:r w:rsidRPr="00F853DD">
        <w:rPr>
          <w:rFonts w:ascii="Times" w:hAnsi="Times" w:cs="Times New Roman"/>
          <w:sz w:val="23"/>
          <w:szCs w:val="23"/>
        </w:rPr>
        <w:t xml:space="preserve">hange, </w:t>
      </w:r>
      <w:r w:rsidR="00DE7110" w:rsidRPr="00F853DD">
        <w:rPr>
          <w:rFonts w:ascii="Times" w:hAnsi="Times" w:cs="Times New Roman"/>
          <w:sz w:val="23"/>
          <w:szCs w:val="23"/>
        </w:rPr>
        <w:t>c</w:t>
      </w:r>
      <w:r w:rsidRPr="00F853DD">
        <w:rPr>
          <w:rFonts w:ascii="Times" w:hAnsi="Times" w:cs="Times New Roman"/>
          <w:sz w:val="23"/>
          <w:szCs w:val="23"/>
        </w:rPr>
        <w:t xml:space="preserve">ontinuity, and </w:t>
      </w:r>
      <w:r w:rsidR="00DE7110" w:rsidRPr="00F853DD">
        <w:rPr>
          <w:rFonts w:ascii="Times" w:hAnsi="Times" w:cs="Times New Roman"/>
          <w:sz w:val="23"/>
          <w:szCs w:val="23"/>
        </w:rPr>
        <w:t>d</w:t>
      </w:r>
      <w:r w:rsidRPr="00F853DD">
        <w:rPr>
          <w:rFonts w:ascii="Times" w:hAnsi="Times" w:cs="Times New Roman"/>
          <w:sz w:val="23"/>
          <w:szCs w:val="23"/>
        </w:rPr>
        <w:t xml:space="preserve">iversity. In: Kane, R. and Penrod, J. (eds.) </w:t>
      </w:r>
      <w:r w:rsidRPr="00F853DD">
        <w:rPr>
          <w:rFonts w:ascii="Times" w:hAnsi="Times" w:cs="Times New Roman"/>
          <w:i/>
          <w:sz w:val="23"/>
          <w:szCs w:val="23"/>
        </w:rPr>
        <w:t>Family Caregiving in an Aging Society: Policy Perspectives</w:t>
      </w:r>
      <w:r w:rsidRPr="00F853DD">
        <w:rPr>
          <w:rFonts w:ascii="Times" w:hAnsi="Times" w:cs="Times New Roman"/>
          <w:sz w:val="23"/>
          <w:szCs w:val="23"/>
        </w:rPr>
        <w:t>. USA: Sage.</w:t>
      </w:r>
    </w:p>
    <w:p w14:paraId="2D5E224C" w14:textId="033343A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Brody, E. M., Litvin, S. J., Hoffman, C., and Kleban, M. H.</w:t>
      </w:r>
      <w:r w:rsidR="00D014FE" w:rsidRPr="00F853DD">
        <w:rPr>
          <w:rFonts w:ascii="Times" w:hAnsi="Times" w:cs="Times New Roman"/>
          <w:sz w:val="23"/>
          <w:szCs w:val="23"/>
        </w:rPr>
        <w:t>,</w:t>
      </w:r>
      <w:r w:rsidRPr="00F853DD">
        <w:rPr>
          <w:rFonts w:ascii="Times" w:hAnsi="Times" w:cs="Times New Roman"/>
          <w:sz w:val="23"/>
          <w:szCs w:val="23"/>
        </w:rPr>
        <w:t xml:space="preserve"> (1995). Marital status of caregiving daughters and co-residence with dependent parents. </w:t>
      </w:r>
      <w:r w:rsidRPr="00F853DD">
        <w:rPr>
          <w:rFonts w:ascii="Times" w:hAnsi="Times" w:cs="Times New Roman"/>
          <w:i/>
          <w:sz w:val="23"/>
          <w:szCs w:val="23"/>
        </w:rPr>
        <w:t>The Gerontologist</w:t>
      </w:r>
      <w:r w:rsidR="00DE711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35</w:t>
      </w:r>
      <w:r w:rsidRPr="00F853DD">
        <w:rPr>
          <w:rFonts w:ascii="Times" w:hAnsi="Times" w:cs="Times New Roman"/>
          <w:sz w:val="23"/>
          <w:szCs w:val="23"/>
        </w:rPr>
        <w:t>(1), 75-85.</w:t>
      </w:r>
    </w:p>
    <w:p w14:paraId="0F569042" w14:textId="0BB9C80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Brody, E.</w:t>
      </w:r>
      <w:r w:rsidR="00D014FE" w:rsidRPr="00F853DD">
        <w:rPr>
          <w:rFonts w:ascii="Times" w:hAnsi="Times" w:cs="Times New Roman"/>
          <w:sz w:val="23"/>
          <w:szCs w:val="23"/>
        </w:rPr>
        <w:t>,</w:t>
      </w:r>
      <w:r w:rsidRPr="00F853DD">
        <w:rPr>
          <w:rFonts w:ascii="Times" w:hAnsi="Times" w:cs="Times New Roman"/>
          <w:sz w:val="23"/>
          <w:szCs w:val="23"/>
        </w:rPr>
        <w:t xml:space="preserve"> (2003). </w:t>
      </w:r>
      <w:r w:rsidR="00DE7110" w:rsidRPr="00F853DD">
        <w:rPr>
          <w:rFonts w:ascii="Times" w:hAnsi="Times" w:cs="Times New Roman"/>
          <w:i/>
          <w:sz w:val="23"/>
          <w:szCs w:val="23"/>
        </w:rPr>
        <w:t>Women in the middle: t</w:t>
      </w:r>
      <w:r w:rsidRPr="00F853DD">
        <w:rPr>
          <w:rFonts w:ascii="Times" w:hAnsi="Times" w:cs="Times New Roman"/>
          <w:i/>
          <w:sz w:val="23"/>
          <w:szCs w:val="23"/>
        </w:rPr>
        <w:t>heir parent-care years</w:t>
      </w:r>
      <w:r w:rsidRPr="00F853DD">
        <w:rPr>
          <w:rFonts w:ascii="Times" w:hAnsi="Times" w:cs="Times New Roman"/>
          <w:sz w:val="23"/>
          <w:szCs w:val="23"/>
        </w:rPr>
        <w:t>. Springer Publishing Company.</w:t>
      </w:r>
    </w:p>
    <w:p w14:paraId="06E8F4DE" w14:textId="7B031D5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Brotman, S.</w:t>
      </w:r>
      <w:r w:rsidR="00D014FE" w:rsidRPr="00F853DD">
        <w:rPr>
          <w:rFonts w:ascii="Times" w:hAnsi="Times" w:cs="Times New Roman"/>
          <w:sz w:val="23"/>
          <w:szCs w:val="23"/>
        </w:rPr>
        <w:t>,</w:t>
      </w:r>
      <w:r w:rsidRPr="00F853DD">
        <w:rPr>
          <w:rFonts w:ascii="Times" w:hAnsi="Times" w:cs="Times New Roman"/>
          <w:sz w:val="23"/>
          <w:szCs w:val="23"/>
        </w:rPr>
        <w:t xml:space="preserve"> (2003). The limits of multiculturalism in elder care services. </w:t>
      </w:r>
      <w:r w:rsidRPr="00F853DD">
        <w:rPr>
          <w:rFonts w:ascii="Times" w:hAnsi="Times" w:cs="Times New Roman"/>
          <w:i/>
          <w:sz w:val="23"/>
          <w:szCs w:val="23"/>
        </w:rPr>
        <w:t>Journal of Aging Studies</w:t>
      </w:r>
      <w:r w:rsidR="00DE711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003D03BC" w:rsidRPr="00F853DD">
        <w:rPr>
          <w:rFonts w:ascii="Times" w:hAnsi="Times" w:cs="Times New Roman"/>
          <w:sz w:val="23"/>
          <w:szCs w:val="23"/>
        </w:rPr>
        <w:t>(2)</w:t>
      </w:r>
      <w:r w:rsidRPr="00F853DD">
        <w:rPr>
          <w:rFonts w:ascii="Times" w:hAnsi="Times" w:cs="Times New Roman"/>
          <w:sz w:val="23"/>
          <w:szCs w:val="23"/>
        </w:rPr>
        <w:t>, 209-229.</w:t>
      </w:r>
    </w:p>
    <w:p w14:paraId="3206A7AA" w14:textId="6812BFF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Brown, L. and Walter, T.</w:t>
      </w:r>
      <w:r w:rsidR="00D014FE" w:rsidRPr="00F853DD">
        <w:rPr>
          <w:rFonts w:ascii="Times" w:hAnsi="Times" w:cs="Times New Roman"/>
          <w:sz w:val="23"/>
          <w:szCs w:val="23"/>
        </w:rPr>
        <w:t>,</w:t>
      </w:r>
      <w:r w:rsidRPr="00F853DD">
        <w:rPr>
          <w:rFonts w:ascii="Times" w:hAnsi="Times" w:cs="Times New Roman"/>
          <w:sz w:val="23"/>
          <w:szCs w:val="23"/>
        </w:rPr>
        <w:t xml:space="preserve"> (2014). Towards a social model of end-of-life care</w:t>
      </w:r>
      <w:r w:rsidRPr="00F853DD">
        <w:rPr>
          <w:rFonts w:ascii="Times" w:hAnsi="Times" w:cs="Times New Roman"/>
          <w:i/>
          <w:sz w:val="23"/>
          <w:szCs w:val="23"/>
        </w:rPr>
        <w:t>. British Journal of Social Work</w:t>
      </w:r>
      <w:r w:rsidR="00DE711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44</w:t>
      </w:r>
      <w:r w:rsidR="003D03BC" w:rsidRPr="00F853DD">
        <w:rPr>
          <w:rFonts w:ascii="Times" w:hAnsi="Times" w:cs="Times New Roman"/>
          <w:sz w:val="23"/>
          <w:szCs w:val="23"/>
        </w:rPr>
        <w:t>(8)</w:t>
      </w:r>
      <w:r w:rsidRPr="00F853DD">
        <w:rPr>
          <w:rFonts w:ascii="Times" w:hAnsi="Times" w:cs="Times New Roman"/>
          <w:sz w:val="23"/>
          <w:szCs w:val="23"/>
        </w:rPr>
        <w:t>, 2375-2390.</w:t>
      </w:r>
    </w:p>
    <w:p w14:paraId="445AF561" w14:textId="2838970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Brown, M. A. and Stetz, K.</w:t>
      </w:r>
      <w:r w:rsidR="00D014FE" w:rsidRPr="00F853DD">
        <w:rPr>
          <w:rFonts w:ascii="Times" w:hAnsi="Times" w:cs="Times New Roman"/>
          <w:sz w:val="23"/>
          <w:szCs w:val="23"/>
        </w:rPr>
        <w:t>,</w:t>
      </w:r>
      <w:r w:rsidRPr="00F853DD">
        <w:rPr>
          <w:rFonts w:ascii="Times" w:hAnsi="Times" w:cs="Times New Roman"/>
          <w:sz w:val="23"/>
          <w:szCs w:val="23"/>
        </w:rPr>
        <w:t xml:space="preserve"> (1999). The labor of caregiving: </w:t>
      </w:r>
      <w:r w:rsidR="00DE7110" w:rsidRPr="00F853DD">
        <w:rPr>
          <w:rFonts w:ascii="Times" w:hAnsi="Times" w:cs="Times New Roman"/>
          <w:sz w:val="23"/>
          <w:szCs w:val="23"/>
        </w:rPr>
        <w:t>a</w:t>
      </w:r>
      <w:r w:rsidRPr="00F853DD">
        <w:rPr>
          <w:rFonts w:ascii="Times" w:hAnsi="Times" w:cs="Times New Roman"/>
          <w:sz w:val="23"/>
          <w:szCs w:val="23"/>
        </w:rPr>
        <w:t xml:space="preserve"> theoretical model of caregiving during potentially fatal illness. </w:t>
      </w:r>
      <w:r w:rsidRPr="00F853DD">
        <w:rPr>
          <w:rFonts w:ascii="Times" w:hAnsi="Times" w:cs="Times New Roman"/>
          <w:i/>
          <w:sz w:val="23"/>
          <w:szCs w:val="23"/>
        </w:rPr>
        <w:t>Qualitative Health Research,</w:t>
      </w:r>
      <w:r w:rsidRPr="00F853DD">
        <w:rPr>
          <w:rFonts w:ascii="Times" w:hAnsi="Times" w:cs="Times New Roman"/>
          <w:sz w:val="23"/>
          <w:szCs w:val="23"/>
        </w:rPr>
        <w:t xml:space="preserve"> </w:t>
      </w:r>
      <w:r w:rsidRPr="00F853DD">
        <w:rPr>
          <w:rFonts w:ascii="Times" w:hAnsi="Times" w:cs="Times New Roman"/>
          <w:b/>
          <w:sz w:val="23"/>
          <w:szCs w:val="23"/>
        </w:rPr>
        <w:t>9</w:t>
      </w:r>
      <w:r w:rsidR="003D03BC" w:rsidRPr="00F853DD">
        <w:rPr>
          <w:rFonts w:ascii="Times" w:hAnsi="Times" w:cs="Times New Roman"/>
          <w:sz w:val="23"/>
          <w:szCs w:val="23"/>
        </w:rPr>
        <w:t>(2)</w:t>
      </w:r>
      <w:r w:rsidRPr="00F853DD">
        <w:rPr>
          <w:rFonts w:ascii="Times" w:hAnsi="Times" w:cs="Times New Roman"/>
          <w:sz w:val="23"/>
          <w:szCs w:val="23"/>
        </w:rPr>
        <w:t>, 182-197.</w:t>
      </w:r>
    </w:p>
    <w:p w14:paraId="70847529" w14:textId="1C593B31" w:rsidR="00DF05BD" w:rsidRPr="00F853DD" w:rsidRDefault="005B6E5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Brown, R.</w:t>
      </w:r>
      <w:r w:rsidR="00DF05BD" w:rsidRPr="00F853DD">
        <w:rPr>
          <w:rFonts w:ascii="Times" w:hAnsi="Times" w:cs="Times New Roman"/>
          <w:sz w:val="23"/>
          <w:szCs w:val="23"/>
        </w:rPr>
        <w:t xml:space="preserve"> and Brow</w:t>
      </w:r>
      <w:r w:rsidRPr="00F853DD">
        <w:rPr>
          <w:rFonts w:ascii="Times" w:hAnsi="Times" w:cs="Times New Roman"/>
          <w:sz w:val="23"/>
          <w:szCs w:val="23"/>
        </w:rPr>
        <w:t>n, S.</w:t>
      </w:r>
      <w:r w:rsidR="00D014FE" w:rsidRPr="00F853DD">
        <w:rPr>
          <w:rFonts w:ascii="Times" w:hAnsi="Times" w:cs="Times New Roman"/>
          <w:sz w:val="23"/>
          <w:szCs w:val="23"/>
        </w:rPr>
        <w:t>,</w:t>
      </w:r>
      <w:r w:rsidR="00DF05BD" w:rsidRPr="00F853DD">
        <w:rPr>
          <w:rFonts w:ascii="Times" w:hAnsi="Times" w:cs="Times New Roman"/>
          <w:sz w:val="23"/>
          <w:szCs w:val="23"/>
        </w:rPr>
        <w:t xml:space="preserve"> (2014). Informal </w:t>
      </w:r>
      <w:r w:rsidR="00DE7110" w:rsidRPr="00F853DD">
        <w:rPr>
          <w:rFonts w:ascii="Times" w:hAnsi="Times" w:cs="Times New Roman"/>
          <w:sz w:val="23"/>
          <w:szCs w:val="23"/>
        </w:rPr>
        <w:t>c</w:t>
      </w:r>
      <w:r w:rsidR="00DF05BD" w:rsidRPr="00F853DD">
        <w:rPr>
          <w:rFonts w:ascii="Times" w:hAnsi="Times" w:cs="Times New Roman"/>
          <w:sz w:val="23"/>
          <w:szCs w:val="23"/>
        </w:rPr>
        <w:t xml:space="preserve">aregiving: </w:t>
      </w:r>
      <w:r w:rsidR="00DE7110" w:rsidRPr="00F853DD">
        <w:rPr>
          <w:rFonts w:ascii="Times" w:hAnsi="Times" w:cs="Times New Roman"/>
          <w:sz w:val="23"/>
          <w:szCs w:val="23"/>
        </w:rPr>
        <w:t>a</w:t>
      </w:r>
      <w:r w:rsidR="00DF05BD" w:rsidRPr="00F853DD">
        <w:rPr>
          <w:rFonts w:ascii="Times" w:hAnsi="Times" w:cs="Times New Roman"/>
          <w:sz w:val="23"/>
          <w:szCs w:val="23"/>
        </w:rPr>
        <w:t xml:space="preserve"> </w:t>
      </w:r>
      <w:r w:rsidR="00DE7110" w:rsidRPr="00F853DD">
        <w:rPr>
          <w:rFonts w:ascii="Times" w:hAnsi="Times" w:cs="Times New Roman"/>
          <w:sz w:val="23"/>
          <w:szCs w:val="23"/>
        </w:rPr>
        <w:t>r</w:t>
      </w:r>
      <w:r w:rsidR="00DF05BD" w:rsidRPr="00F853DD">
        <w:rPr>
          <w:rFonts w:ascii="Times" w:hAnsi="Times" w:cs="Times New Roman"/>
          <w:sz w:val="23"/>
          <w:szCs w:val="23"/>
        </w:rPr>
        <w:t xml:space="preserve">eappraisal of </w:t>
      </w:r>
      <w:r w:rsidR="00DE7110" w:rsidRPr="00F853DD">
        <w:rPr>
          <w:rFonts w:ascii="Times" w:hAnsi="Times" w:cs="Times New Roman"/>
          <w:sz w:val="23"/>
          <w:szCs w:val="23"/>
        </w:rPr>
        <w:t>e</w:t>
      </w:r>
      <w:r w:rsidR="00DF05BD" w:rsidRPr="00F853DD">
        <w:rPr>
          <w:rFonts w:ascii="Times" w:hAnsi="Times" w:cs="Times New Roman"/>
          <w:sz w:val="23"/>
          <w:szCs w:val="23"/>
        </w:rPr>
        <w:t xml:space="preserve">ffects on </w:t>
      </w:r>
      <w:r w:rsidR="00DE7110" w:rsidRPr="00F853DD">
        <w:rPr>
          <w:rFonts w:ascii="Times" w:hAnsi="Times" w:cs="Times New Roman"/>
          <w:sz w:val="23"/>
          <w:szCs w:val="23"/>
        </w:rPr>
        <w:t>c</w:t>
      </w:r>
      <w:r w:rsidR="00DF05BD" w:rsidRPr="00F853DD">
        <w:rPr>
          <w:rFonts w:ascii="Times" w:hAnsi="Times" w:cs="Times New Roman"/>
          <w:sz w:val="23"/>
          <w:szCs w:val="23"/>
        </w:rPr>
        <w:t xml:space="preserve">aregivers. </w:t>
      </w:r>
      <w:r w:rsidR="00DF05BD" w:rsidRPr="00F853DD">
        <w:rPr>
          <w:rFonts w:ascii="Times" w:hAnsi="Times" w:cs="Times New Roman"/>
          <w:i/>
          <w:sz w:val="23"/>
          <w:szCs w:val="23"/>
        </w:rPr>
        <w:t>Social Issues and Policy Review</w:t>
      </w:r>
      <w:r w:rsidR="00DE7110"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8</w:t>
      </w:r>
      <w:r w:rsidR="003D03BC" w:rsidRPr="00F853DD">
        <w:rPr>
          <w:rFonts w:ascii="Times" w:hAnsi="Times" w:cs="Times New Roman"/>
          <w:sz w:val="23"/>
          <w:szCs w:val="23"/>
        </w:rPr>
        <w:t>(1)</w:t>
      </w:r>
      <w:r w:rsidR="00DF05BD" w:rsidRPr="00F853DD">
        <w:rPr>
          <w:rFonts w:ascii="Times" w:hAnsi="Times" w:cs="Times New Roman"/>
          <w:sz w:val="23"/>
          <w:szCs w:val="23"/>
        </w:rPr>
        <w:t>, 74-102.</w:t>
      </w:r>
    </w:p>
    <w:p w14:paraId="248F8774" w14:textId="6E83F92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Brown, J., Anderson, P. and Chevannes, B.</w:t>
      </w:r>
      <w:r w:rsidR="00D014FE" w:rsidRPr="00F853DD">
        <w:rPr>
          <w:rFonts w:ascii="Times" w:hAnsi="Times" w:cs="Times New Roman"/>
          <w:sz w:val="23"/>
          <w:szCs w:val="23"/>
        </w:rPr>
        <w:t>,</w:t>
      </w:r>
      <w:r w:rsidRPr="00F853DD">
        <w:rPr>
          <w:rFonts w:ascii="Times" w:hAnsi="Times" w:cs="Times New Roman"/>
          <w:sz w:val="23"/>
          <w:szCs w:val="23"/>
        </w:rPr>
        <w:t xml:space="preserve"> (1992). Report on the contribution of Caribbean men to the family: A Jamaican pilot study.</w:t>
      </w:r>
    </w:p>
    <w:p w14:paraId="314C33A6" w14:textId="5356287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Brown-Borg, H. and Crowther, M.</w:t>
      </w:r>
      <w:r w:rsidR="00D014FE" w:rsidRPr="00F853DD">
        <w:rPr>
          <w:rFonts w:ascii="Times" w:hAnsi="Times" w:cs="Times New Roman"/>
          <w:sz w:val="23"/>
          <w:szCs w:val="23"/>
        </w:rPr>
        <w:t>,</w:t>
      </w:r>
      <w:r w:rsidR="00DE7110" w:rsidRPr="00F853DD">
        <w:rPr>
          <w:rFonts w:ascii="Times" w:hAnsi="Times" w:cs="Times New Roman"/>
          <w:sz w:val="23"/>
          <w:szCs w:val="23"/>
        </w:rPr>
        <w:t xml:space="preserve"> (2008). Surviving and t</w:t>
      </w:r>
      <w:r w:rsidRPr="00F853DD">
        <w:rPr>
          <w:rFonts w:ascii="Times" w:hAnsi="Times" w:cs="Times New Roman"/>
          <w:sz w:val="23"/>
          <w:szCs w:val="23"/>
        </w:rPr>
        <w:t xml:space="preserve">hriving! Potential </w:t>
      </w:r>
      <w:r w:rsidR="00DE7110" w:rsidRPr="00F853DD">
        <w:rPr>
          <w:rFonts w:ascii="Times" w:hAnsi="Times" w:cs="Times New Roman"/>
          <w:sz w:val="23"/>
          <w:szCs w:val="23"/>
        </w:rPr>
        <w:t>adaptive mechanisms of resilience: biological, psychosocial and policy i</w:t>
      </w:r>
      <w:r w:rsidRPr="00F853DD">
        <w:rPr>
          <w:rFonts w:ascii="Times" w:hAnsi="Times" w:cs="Times New Roman"/>
          <w:sz w:val="23"/>
          <w:szCs w:val="23"/>
        </w:rPr>
        <w:t xml:space="preserve">mplications. </w:t>
      </w:r>
      <w:r w:rsidR="00DE7110" w:rsidRPr="00F853DD">
        <w:rPr>
          <w:rFonts w:ascii="Times" w:hAnsi="Times" w:cs="Times New Roman"/>
          <w:i/>
          <w:sz w:val="23"/>
          <w:szCs w:val="23"/>
        </w:rPr>
        <w:t>Gerontologist.</w:t>
      </w:r>
      <w:r w:rsidRPr="00F853DD">
        <w:rPr>
          <w:rFonts w:ascii="Times" w:hAnsi="Times" w:cs="Times New Roman"/>
          <w:sz w:val="23"/>
          <w:szCs w:val="23"/>
        </w:rPr>
        <w:t xml:space="preserve"> </w:t>
      </w:r>
      <w:r w:rsidRPr="00F853DD">
        <w:rPr>
          <w:rFonts w:ascii="Times" w:hAnsi="Times" w:cs="Times New Roman"/>
          <w:b/>
          <w:sz w:val="23"/>
          <w:szCs w:val="23"/>
        </w:rPr>
        <w:t>48</w:t>
      </w:r>
      <w:r w:rsidRPr="00F853DD">
        <w:rPr>
          <w:rFonts w:ascii="Times" w:hAnsi="Times" w:cs="Times New Roman"/>
          <w:sz w:val="23"/>
          <w:szCs w:val="23"/>
        </w:rPr>
        <w:t>, 42-42.</w:t>
      </w:r>
    </w:p>
    <w:p w14:paraId="53663E38" w14:textId="2081D8A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Browne, C. V., Mokuau, N. and Braun, K. L.</w:t>
      </w:r>
      <w:r w:rsidR="00D014FE" w:rsidRPr="00F853DD">
        <w:rPr>
          <w:rFonts w:ascii="Times" w:hAnsi="Times" w:cs="Times New Roman"/>
          <w:sz w:val="23"/>
          <w:szCs w:val="23"/>
        </w:rPr>
        <w:t>,</w:t>
      </w:r>
      <w:r w:rsidRPr="00F853DD">
        <w:rPr>
          <w:rFonts w:ascii="Times" w:hAnsi="Times" w:cs="Times New Roman"/>
          <w:sz w:val="23"/>
          <w:szCs w:val="23"/>
        </w:rPr>
        <w:t xml:space="preserve"> (2009). Adversity and resiliency in the lives of native Hawaiian elders. </w:t>
      </w:r>
      <w:r w:rsidRPr="00F853DD">
        <w:rPr>
          <w:rFonts w:ascii="Times" w:hAnsi="Times" w:cs="Times New Roman"/>
          <w:i/>
          <w:sz w:val="23"/>
          <w:szCs w:val="23"/>
        </w:rPr>
        <w:t>Social Work</w:t>
      </w:r>
      <w:r w:rsidR="00DE711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54</w:t>
      </w:r>
      <w:r w:rsidR="006836EB" w:rsidRPr="00F853DD">
        <w:rPr>
          <w:rFonts w:ascii="Times" w:hAnsi="Times" w:cs="Times New Roman"/>
          <w:sz w:val="23"/>
          <w:szCs w:val="23"/>
        </w:rPr>
        <w:t>(3)</w:t>
      </w:r>
      <w:r w:rsidRPr="00F853DD">
        <w:rPr>
          <w:rFonts w:ascii="Times" w:hAnsi="Times" w:cs="Times New Roman"/>
          <w:sz w:val="23"/>
          <w:szCs w:val="23"/>
        </w:rPr>
        <w:t>, 253-261.</w:t>
      </w:r>
    </w:p>
    <w:p w14:paraId="146DDF29" w14:textId="7A9CF86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Browne, J., Ventura, A., Mosely, K. and Speight, J.</w:t>
      </w:r>
      <w:r w:rsidR="00D014FE" w:rsidRPr="00F853DD">
        <w:rPr>
          <w:rFonts w:ascii="Times" w:hAnsi="Times" w:cs="Times New Roman"/>
          <w:sz w:val="23"/>
          <w:szCs w:val="23"/>
        </w:rPr>
        <w:t>,</w:t>
      </w:r>
      <w:r w:rsidRPr="00F853DD">
        <w:rPr>
          <w:rFonts w:ascii="Times" w:hAnsi="Times" w:cs="Times New Roman"/>
          <w:sz w:val="23"/>
          <w:szCs w:val="23"/>
        </w:rPr>
        <w:t xml:space="preserve"> (2013). I call it the blame and shame disease: a qualitative study about perceptions of social stigma surrounding type 2 diabetes [online]. </w:t>
      </w:r>
      <w:r w:rsidRPr="00F853DD">
        <w:rPr>
          <w:rFonts w:ascii="Times" w:hAnsi="Times" w:cs="Times New Roman"/>
          <w:i/>
          <w:sz w:val="23"/>
          <w:szCs w:val="23"/>
        </w:rPr>
        <w:t>British Medical Journal</w:t>
      </w:r>
      <w:r w:rsidRPr="00F853DD">
        <w:rPr>
          <w:rFonts w:ascii="Times" w:hAnsi="Times" w:cs="Times New Roman"/>
          <w:sz w:val="23"/>
          <w:szCs w:val="23"/>
        </w:rPr>
        <w:t xml:space="preserve">. Available from: http://bmjopen.bmj.com/content/bmjopen/3/11/e003384.full.pdf. </w:t>
      </w:r>
    </w:p>
    <w:p w14:paraId="5616E230" w14:textId="3CF8096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Browne-Yung, K., Walker, R. B. and Luszcz, M. A.</w:t>
      </w:r>
      <w:r w:rsidR="00D014FE" w:rsidRPr="00F853DD">
        <w:rPr>
          <w:rFonts w:ascii="Times" w:hAnsi="Times" w:cs="Times New Roman"/>
          <w:sz w:val="23"/>
          <w:szCs w:val="23"/>
        </w:rPr>
        <w:t>,</w:t>
      </w:r>
      <w:r w:rsidRPr="00F853DD">
        <w:rPr>
          <w:rFonts w:ascii="Times" w:hAnsi="Times" w:cs="Times New Roman"/>
          <w:sz w:val="23"/>
          <w:szCs w:val="23"/>
        </w:rPr>
        <w:t xml:space="preserve"> (2017). An examination of resilience and coping in the oldest old using life narrative method. </w:t>
      </w:r>
      <w:r w:rsidRPr="00F853DD">
        <w:rPr>
          <w:rFonts w:ascii="Times" w:hAnsi="Times" w:cs="Times New Roman"/>
          <w:i/>
          <w:sz w:val="23"/>
          <w:szCs w:val="23"/>
        </w:rPr>
        <w:t>Gerontologist</w:t>
      </w:r>
      <w:r w:rsidR="00F10D76" w:rsidRPr="00F853DD">
        <w:rPr>
          <w:rFonts w:ascii="Times" w:hAnsi="Times" w:cs="Times New Roman"/>
          <w:sz w:val="23"/>
          <w:szCs w:val="23"/>
        </w:rPr>
        <w:t xml:space="preserve">. </w:t>
      </w:r>
      <w:r w:rsidRPr="00F853DD">
        <w:rPr>
          <w:rFonts w:ascii="Times" w:hAnsi="Times" w:cs="Times New Roman"/>
          <w:b/>
          <w:sz w:val="23"/>
          <w:szCs w:val="23"/>
        </w:rPr>
        <w:t>57</w:t>
      </w:r>
      <w:r w:rsidR="006836EB" w:rsidRPr="00F853DD">
        <w:rPr>
          <w:rFonts w:ascii="Times" w:hAnsi="Times" w:cs="Times New Roman"/>
          <w:sz w:val="23"/>
          <w:szCs w:val="23"/>
        </w:rPr>
        <w:t>(2)</w:t>
      </w:r>
      <w:r w:rsidRPr="00F853DD">
        <w:rPr>
          <w:rFonts w:ascii="Times" w:hAnsi="Times" w:cs="Times New Roman"/>
          <w:sz w:val="23"/>
          <w:szCs w:val="23"/>
        </w:rPr>
        <w:t>, 282-291.</w:t>
      </w:r>
    </w:p>
    <w:p w14:paraId="46F0316A" w14:textId="44A14C8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Bryman, A.</w:t>
      </w:r>
      <w:r w:rsidR="00D014FE" w:rsidRPr="00F853DD">
        <w:rPr>
          <w:rFonts w:ascii="Times" w:hAnsi="Times" w:cs="Times New Roman"/>
          <w:sz w:val="23"/>
          <w:szCs w:val="23"/>
        </w:rPr>
        <w:t>,</w:t>
      </w:r>
      <w:r w:rsidRPr="00F853DD">
        <w:rPr>
          <w:rFonts w:ascii="Times" w:hAnsi="Times" w:cs="Times New Roman"/>
          <w:sz w:val="23"/>
          <w:szCs w:val="23"/>
        </w:rPr>
        <w:t xml:space="preserve"> (2006). </w:t>
      </w:r>
      <w:r w:rsidRPr="00F853DD">
        <w:rPr>
          <w:rFonts w:ascii="Times" w:hAnsi="Times" w:cs="Times New Roman"/>
          <w:i/>
          <w:sz w:val="23"/>
          <w:szCs w:val="23"/>
        </w:rPr>
        <w:t>Quantity and quality in social research</w:t>
      </w:r>
      <w:r w:rsidRPr="00F853DD">
        <w:rPr>
          <w:rFonts w:ascii="Times" w:hAnsi="Times" w:cs="Times New Roman"/>
          <w:sz w:val="23"/>
          <w:szCs w:val="23"/>
        </w:rPr>
        <w:t xml:space="preserve"> [online]. London: Routledge.</w:t>
      </w:r>
    </w:p>
    <w:p w14:paraId="07A49185" w14:textId="7B00F3C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Bryman, A.</w:t>
      </w:r>
      <w:r w:rsidR="00D014FE"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Social research methods</w:t>
      </w:r>
      <w:r w:rsidRPr="00F853DD">
        <w:rPr>
          <w:rFonts w:ascii="Times" w:hAnsi="Times" w:cs="Times New Roman"/>
          <w:sz w:val="23"/>
          <w:szCs w:val="23"/>
        </w:rPr>
        <w:t>. Oxford, United Kingdom: Oxford University Press.</w:t>
      </w:r>
    </w:p>
    <w:p w14:paraId="4F6F3EE8" w14:textId="73DA2FF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Bryman, A., Becker, S. and Sempik, J.</w:t>
      </w:r>
      <w:r w:rsidR="00D014FE" w:rsidRPr="00F853DD">
        <w:rPr>
          <w:rFonts w:ascii="Times" w:hAnsi="Times" w:cs="Times New Roman"/>
          <w:sz w:val="23"/>
          <w:szCs w:val="23"/>
        </w:rPr>
        <w:t>,</w:t>
      </w:r>
      <w:r w:rsidRPr="00F853DD">
        <w:rPr>
          <w:rFonts w:ascii="Times" w:hAnsi="Times" w:cs="Times New Roman"/>
          <w:sz w:val="23"/>
          <w:szCs w:val="23"/>
        </w:rPr>
        <w:t xml:space="preserve"> (2008). Quality </w:t>
      </w:r>
      <w:r w:rsidR="00F10D76" w:rsidRPr="00F853DD">
        <w:rPr>
          <w:rFonts w:ascii="Times" w:hAnsi="Times" w:cs="Times New Roman"/>
          <w:sz w:val="23"/>
          <w:szCs w:val="23"/>
        </w:rPr>
        <w:t>c</w:t>
      </w:r>
      <w:r w:rsidRPr="00F853DD">
        <w:rPr>
          <w:rFonts w:ascii="Times" w:hAnsi="Times" w:cs="Times New Roman"/>
          <w:sz w:val="23"/>
          <w:szCs w:val="23"/>
        </w:rPr>
        <w:t xml:space="preserve">riteria for </w:t>
      </w:r>
      <w:r w:rsidR="00F10D76" w:rsidRPr="00F853DD">
        <w:rPr>
          <w:rFonts w:ascii="Times" w:hAnsi="Times" w:cs="Times New Roman"/>
          <w:sz w:val="23"/>
          <w:szCs w:val="23"/>
        </w:rPr>
        <w:t>q</w:t>
      </w:r>
      <w:r w:rsidRPr="00F853DD">
        <w:rPr>
          <w:rFonts w:ascii="Times" w:hAnsi="Times" w:cs="Times New Roman"/>
          <w:sz w:val="23"/>
          <w:szCs w:val="23"/>
        </w:rPr>
        <w:t xml:space="preserve">uantitative, </w:t>
      </w:r>
      <w:r w:rsidR="00F10D76" w:rsidRPr="00F853DD">
        <w:rPr>
          <w:rFonts w:ascii="Times" w:hAnsi="Times" w:cs="Times New Roman"/>
          <w:sz w:val="23"/>
          <w:szCs w:val="23"/>
        </w:rPr>
        <w:t>q</w:t>
      </w:r>
      <w:r w:rsidRPr="00F853DD">
        <w:rPr>
          <w:rFonts w:ascii="Times" w:hAnsi="Times" w:cs="Times New Roman"/>
          <w:sz w:val="23"/>
          <w:szCs w:val="23"/>
        </w:rPr>
        <w:t xml:space="preserve">ualitative and </w:t>
      </w:r>
      <w:r w:rsidR="00F10D76" w:rsidRPr="00F853DD">
        <w:rPr>
          <w:rFonts w:ascii="Times" w:hAnsi="Times" w:cs="Times New Roman"/>
          <w:sz w:val="23"/>
          <w:szCs w:val="23"/>
        </w:rPr>
        <w:t>mixed m</w:t>
      </w:r>
      <w:r w:rsidRPr="00F853DD">
        <w:rPr>
          <w:rFonts w:ascii="Times" w:hAnsi="Times" w:cs="Times New Roman"/>
          <w:sz w:val="23"/>
          <w:szCs w:val="23"/>
        </w:rPr>
        <w:t xml:space="preserve">ethods </w:t>
      </w:r>
      <w:r w:rsidR="00F10D76" w:rsidRPr="00F853DD">
        <w:rPr>
          <w:rFonts w:ascii="Times" w:hAnsi="Times" w:cs="Times New Roman"/>
          <w:sz w:val="23"/>
          <w:szCs w:val="23"/>
        </w:rPr>
        <w:t>r</w:t>
      </w:r>
      <w:r w:rsidRPr="00F853DD">
        <w:rPr>
          <w:rFonts w:ascii="Times" w:hAnsi="Times" w:cs="Times New Roman"/>
          <w:sz w:val="23"/>
          <w:szCs w:val="23"/>
        </w:rPr>
        <w:t xml:space="preserve">esearch: </w:t>
      </w:r>
      <w:r w:rsidR="00F10D76" w:rsidRPr="00F853DD">
        <w:rPr>
          <w:rFonts w:ascii="Times" w:hAnsi="Times" w:cs="Times New Roman"/>
          <w:sz w:val="23"/>
          <w:szCs w:val="23"/>
        </w:rPr>
        <w:t>a</w:t>
      </w:r>
      <w:r w:rsidRPr="00F853DD">
        <w:rPr>
          <w:rFonts w:ascii="Times" w:hAnsi="Times" w:cs="Times New Roman"/>
          <w:sz w:val="23"/>
          <w:szCs w:val="23"/>
        </w:rPr>
        <w:t xml:space="preserve"> </w:t>
      </w:r>
      <w:r w:rsidR="00F10D76" w:rsidRPr="00F853DD">
        <w:rPr>
          <w:rFonts w:ascii="Times" w:hAnsi="Times" w:cs="Times New Roman"/>
          <w:sz w:val="23"/>
          <w:szCs w:val="23"/>
        </w:rPr>
        <w:t>v</w:t>
      </w:r>
      <w:r w:rsidRPr="00F853DD">
        <w:rPr>
          <w:rFonts w:ascii="Times" w:hAnsi="Times" w:cs="Times New Roman"/>
          <w:sz w:val="23"/>
          <w:szCs w:val="23"/>
        </w:rPr>
        <w:t xml:space="preserve">iew from </w:t>
      </w:r>
      <w:r w:rsidR="00F10D76" w:rsidRPr="00F853DD">
        <w:rPr>
          <w:rFonts w:ascii="Times" w:hAnsi="Times" w:cs="Times New Roman"/>
          <w:sz w:val="23"/>
          <w:szCs w:val="23"/>
        </w:rPr>
        <w:t>s</w:t>
      </w:r>
      <w:r w:rsidRPr="00F853DD">
        <w:rPr>
          <w:rFonts w:ascii="Times" w:hAnsi="Times" w:cs="Times New Roman"/>
          <w:sz w:val="23"/>
          <w:szCs w:val="23"/>
        </w:rPr>
        <w:t xml:space="preserve">ocial </w:t>
      </w:r>
      <w:r w:rsidR="00F10D76" w:rsidRPr="00F853DD">
        <w:rPr>
          <w:rFonts w:ascii="Times" w:hAnsi="Times" w:cs="Times New Roman"/>
          <w:sz w:val="23"/>
          <w:szCs w:val="23"/>
        </w:rPr>
        <w:t>p</w:t>
      </w:r>
      <w:r w:rsidRPr="00F853DD">
        <w:rPr>
          <w:rFonts w:ascii="Times" w:hAnsi="Times" w:cs="Times New Roman"/>
          <w:sz w:val="23"/>
          <w:szCs w:val="23"/>
        </w:rPr>
        <w:t xml:space="preserve">olicy. </w:t>
      </w:r>
      <w:r w:rsidRPr="00F853DD">
        <w:rPr>
          <w:rFonts w:ascii="Times" w:hAnsi="Times" w:cs="Times New Roman"/>
          <w:i/>
          <w:sz w:val="23"/>
          <w:szCs w:val="23"/>
        </w:rPr>
        <w:t>International Journal of Social Research Methodology</w:t>
      </w:r>
      <w:r w:rsidR="00F10D76" w:rsidRPr="00F853DD">
        <w:rPr>
          <w:rFonts w:ascii="Times" w:hAnsi="Times" w:cs="Times New Roman"/>
          <w:sz w:val="23"/>
          <w:szCs w:val="23"/>
        </w:rPr>
        <w:t xml:space="preserve">. </w:t>
      </w:r>
      <w:r w:rsidRPr="00F853DD">
        <w:rPr>
          <w:rFonts w:ascii="Times" w:hAnsi="Times" w:cs="Times New Roman"/>
          <w:sz w:val="23"/>
          <w:szCs w:val="23"/>
        </w:rPr>
        <w:t>11, 261-276.</w:t>
      </w:r>
    </w:p>
    <w:p w14:paraId="79CD2ED5" w14:textId="3BAA0F1F" w:rsidR="00DF05BD" w:rsidRPr="00F853DD" w:rsidRDefault="005B6E5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Bryman, A., Burgess, R. and Bryman, A.</w:t>
      </w:r>
      <w:r w:rsidR="00D014FE" w:rsidRPr="00F853DD">
        <w:rPr>
          <w:rFonts w:ascii="Times" w:hAnsi="Times" w:cs="Times New Roman"/>
          <w:sz w:val="23"/>
          <w:szCs w:val="23"/>
        </w:rPr>
        <w:t>,</w:t>
      </w:r>
      <w:r w:rsidR="00DF05BD" w:rsidRPr="00F853DD">
        <w:rPr>
          <w:rFonts w:ascii="Times" w:hAnsi="Times" w:cs="Times New Roman"/>
          <w:sz w:val="23"/>
          <w:szCs w:val="23"/>
        </w:rPr>
        <w:t xml:space="preserve"> (1994). </w:t>
      </w:r>
      <w:r w:rsidR="00DF05BD" w:rsidRPr="00F853DD">
        <w:rPr>
          <w:rFonts w:ascii="Times" w:hAnsi="Times" w:cs="Times New Roman"/>
          <w:i/>
          <w:sz w:val="23"/>
          <w:szCs w:val="23"/>
        </w:rPr>
        <w:t>Analyzing qualit</w:t>
      </w:r>
      <w:r w:rsidR="00F10D76" w:rsidRPr="00F853DD">
        <w:rPr>
          <w:rFonts w:ascii="Times" w:hAnsi="Times" w:cs="Times New Roman"/>
          <w:i/>
          <w:sz w:val="23"/>
          <w:szCs w:val="23"/>
        </w:rPr>
        <w:t>ative data.</w:t>
      </w:r>
      <w:r w:rsidR="00DF05BD" w:rsidRPr="00F853DD">
        <w:rPr>
          <w:rFonts w:ascii="Times" w:hAnsi="Times" w:cs="Times New Roman"/>
          <w:sz w:val="23"/>
          <w:szCs w:val="23"/>
        </w:rPr>
        <w:t xml:space="preserve"> New York: Routledge.</w:t>
      </w:r>
    </w:p>
    <w:p w14:paraId="4F8A9870" w14:textId="118FEFF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Buch, E</w:t>
      </w:r>
      <w:r w:rsidR="00D014FE" w:rsidRPr="00F853DD">
        <w:rPr>
          <w:rFonts w:ascii="Times" w:hAnsi="Times" w:cs="Times New Roman"/>
          <w:sz w:val="23"/>
          <w:szCs w:val="23"/>
        </w:rPr>
        <w:t>.</w:t>
      </w:r>
      <w:r w:rsidRPr="00F853DD">
        <w:rPr>
          <w:rFonts w:ascii="Times" w:hAnsi="Times" w:cs="Times New Roman"/>
          <w:sz w:val="23"/>
          <w:szCs w:val="23"/>
        </w:rPr>
        <w:t xml:space="preserve">, </w:t>
      </w:r>
      <w:r w:rsidR="00F10D76" w:rsidRPr="00F853DD">
        <w:rPr>
          <w:rFonts w:ascii="Times" w:hAnsi="Times" w:cs="Times New Roman"/>
          <w:sz w:val="23"/>
          <w:szCs w:val="23"/>
        </w:rPr>
        <w:t>(2018). Inequalities of aging: p</w:t>
      </w:r>
      <w:r w:rsidRPr="00F853DD">
        <w:rPr>
          <w:rFonts w:ascii="Times" w:hAnsi="Times" w:cs="Times New Roman"/>
          <w:sz w:val="23"/>
          <w:szCs w:val="23"/>
        </w:rPr>
        <w:t xml:space="preserve">aradoxes of </w:t>
      </w:r>
      <w:r w:rsidR="00F10D76" w:rsidRPr="00F853DD">
        <w:rPr>
          <w:rFonts w:ascii="Times" w:hAnsi="Times" w:cs="Times New Roman"/>
          <w:sz w:val="23"/>
          <w:szCs w:val="23"/>
        </w:rPr>
        <w:t>independence in American Home c</w:t>
      </w:r>
      <w:r w:rsidRPr="00F853DD">
        <w:rPr>
          <w:rFonts w:ascii="Times" w:hAnsi="Times" w:cs="Times New Roman"/>
          <w:sz w:val="23"/>
          <w:szCs w:val="23"/>
        </w:rPr>
        <w:t>are</w:t>
      </w:r>
      <w:r w:rsidR="00F10D76" w:rsidRPr="00F853DD">
        <w:rPr>
          <w:rFonts w:ascii="Times" w:hAnsi="Times" w:cs="Times New Roman"/>
          <w:sz w:val="23"/>
          <w:szCs w:val="23"/>
        </w:rPr>
        <w:t xml:space="preserve">. </w:t>
      </w:r>
      <w:r w:rsidRPr="00F853DD">
        <w:rPr>
          <w:rFonts w:ascii="Times" w:hAnsi="Times" w:cs="Times New Roman"/>
          <w:i/>
          <w:sz w:val="23"/>
          <w:szCs w:val="23"/>
        </w:rPr>
        <w:t>Anthropologies of American Medicin</w:t>
      </w:r>
      <w:r w:rsidR="00F10D76" w:rsidRPr="00F853DD">
        <w:rPr>
          <w:rFonts w:ascii="Times" w:hAnsi="Times" w:cs="Times New Roman"/>
          <w:i/>
          <w:sz w:val="23"/>
          <w:szCs w:val="23"/>
        </w:rPr>
        <w:t>e: Culture, Power, and Practice</w:t>
      </w:r>
      <w:r w:rsidRPr="00F853DD">
        <w:rPr>
          <w:rFonts w:ascii="Times" w:hAnsi="Times" w:cs="Times New Roman"/>
          <w:sz w:val="23"/>
          <w:szCs w:val="23"/>
        </w:rPr>
        <w:t xml:space="preserve">. New York: University Press. </w:t>
      </w:r>
    </w:p>
    <w:p w14:paraId="1306F2A8" w14:textId="02BDB288" w:rsidR="00DF05BD" w:rsidRPr="00F853DD" w:rsidRDefault="005B6E5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Bull, M. and Jervis, L</w:t>
      </w:r>
      <w:r w:rsidR="00DF05BD" w:rsidRPr="00F853DD">
        <w:rPr>
          <w:rFonts w:ascii="Times" w:hAnsi="Times" w:cs="Times New Roman"/>
          <w:sz w:val="23"/>
          <w:szCs w:val="23"/>
        </w:rPr>
        <w:t>.</w:t>
      </w:r>
      <w:r w:rsidR="00D014FE" w:rsidRPr="00F853DD">
        <w:rPr>
          <w:rFonts w:ascii="Times" w:hAnsi="Times" w:cs="Times New Roman"/>
          <w:sz w:val="23"/>
          <w:szCs w:val="23"/>
        </w:rPr>
        <w:t>,</w:t>
      </w:r>
      <w:r w:rsidR="00DF05BD" w:rsidRPr="00F853DD">
        <w:rPr>
          <w:rFonts w:ascii="Times" w:hAnsi="Times" w:cs="Times New Roman"/>
          <w:sz w:val="23"/>
          <w:szCs w:val="23"/>
        </w:rPr>
        <w:t xml:space="preserve"> (1997). Strategies used by chronically ill older women and their caregiving daughters in managing post hospital care. </w:t>
      </w:r>
      <w:r w:rsidR="00DF05BD" w:rsidRPr="00F853DD">
        <w:rPr>
          <w:rFonts w:ascii="Times" w:hAnsi="Times" w:cs="Times New Roman"/>
          <w:i/>
          <w:sz w:val="23"/>
          <w:szCs w:val="23"/>
        </w:rPr>
        <w:t>Journal of Advanced Nursing</w:t>
      </w:r>
      <w:r w:rsidR="00DF05BD" w:rsidRPr="00F853DD">
        <w:rPr>
          <w:rFonts w:ascii="Times" w:hAnsi="Times" w:cs="Times New Roman"/>
          <w:sz w:val="23"/>
          <w:szCs w:val="23"/>
        </w:rPr>
        <w:t>,</w:t>
      </w:r>
      <w:r w:rsidR="00F10D7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134C6C" w:rsidRPr="00F853DD">
        <w:rPr>
          <w:rFonts w:ascii="Times" w:hAnsi="Times" w:cs="Times New Roman"/>
          <w:sz w:val="23"/>
          <w:szCs w:val="23"/>
        </w:rPr>
        <w:t>(3)</w:t>
      </w:r>
      <w:r w:rsidR="00DF05BD" w:rsidRPr="00F853DD">
        <w:rPr>
          <w:rFonts w:ascii="Times" w:hAnsi="Times" w:cs="Times New Roman"/>
          <w:sz w:val="23"/>
          <w:szCs w:val="23"/>
        </w:rPr>
        <w:t>, 541-547.</w:t>
      </w:r>
    </w:p>
    <w:p w14:paraId="0C97D513" w14:textId="717A937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Budlender, D.</w:t>
      </w:r>
      <w:r w:rsidR="00D014FE" w:rsidRPr="00F853DD">
        <w:rPr>
          <w:rFonts w:ascii="Times" w:hAnsi="Times" w:cs="Times New Roman"/>
          <w:sz w:val="23"/>
          <w:szCs w:val="23"/>
        </w:rPr>
        <w:t>,</w:t>
      </w:r>
      <w:r w:rsidRPr="00F853DD">
        <w:rPr>
          <w:rFonts w:ascii="Times" w:hAnsi="Times" w:cs="Times New Roman"/>
          <w:sz w:val="23"/>
          <w:szCs w:val="23"/>
        </w:rPr>
        <w:t xml:space="preserve"> (2015). </w:t>
      </w:r>
      <w:r w:rsidR="00F10D76" w:rsidRPr="00F853DD">
        <w:rPr>
          <w:rFonts w:ascii="Times" w:hAnsi="Times" w:cs="Times New Roman"/>
          <w:i/>
          <w:sz w:val="23"/>
          <w:szCs w:val="23"/>
        </w:rPr>
        <w:t>Financial s</w:t>
      </w:r>
      <w:r w:rsidRPr="00F853DD">
        <w:rPr>
          <w:rFonts w:ascii="Times" w:hAnsi="Times" w:cs="Times New Roman"/>
          <w:i/>
          <w:sz w:val="23"/>
          <w:szCs w:val="23"/>
        </w:rPr>
        <w:t xml:space="preserve">upport for </w:t>
      </w:r>
      <w:r w:rsidR="00F10D76" w:rsidRPr="00F853DD">
        <w:rPr>
          <w:rFonts w:ascii="Times" w:hAnsi="Times" w:cs="Times New Roman"/>
          <w:i/>
          <w:sz w:val="23"/>
          <w:szCs w:val="23"/>
        </w:rPr>
        <w:t>s</w:t>
      </w:r>
      <w:r w:rsidRPr="00F853DD">
        <w:rPr>
          <w:rFonts w:ascii="Times" w:hAnsi="Times" w:cs="Times New Roman"/>
          <w:i/>
          <w:sz w:val="23"/>
          <w:szCs w:val="23"/>
        </w:rPr>
        <w:t>ing</w:t>
      </w:r>
      <w:r w:rsidR="00F10D76" w:rsidRPr="00F853DD">
        <w:rPr>
          <w:rFonts w:ascii="Times" w:hAnsi="Times" w:cs="Times New Roman"/>
          <w:i/>
          <w:sz w:val="23"/>
          <w:szCs w:val="23"/>
        </w:rPr>
        <w:t>le parents in caring for their c</w:t>
      </w:r>
      <w:r w:rsidRPr="00F853DD">
        <w:rPr>
          <w:rFonts w:ascii="Times" w:hAnsi="Times" w:cs="Times New Roman"/>
          <w:i/>
          <w:sz w:val="23"/>
          <w:szCs w:val="23"/>
        </w:rPr>
        <w:t xml:space="preserve">hildren: </w:t>
      </w:r>
      <w:r w:rsidR="00F10D76" w:rsidRPr="00F853DD">
        <w:rPr>
          <w:rFonts w:ascii="Times" w:hAnsi="Times" w:cs="Times New Roman"/>
          <w:i/>
          <w:sz w:val="23"/>
          <w:szCs w:val="23"/>
        </w:rPr>
        <w:t>private child Support and social assistance (final r</w:t>
      </w:r>
      <w:r w:rsidRPr="00F853DD">
        <w:rPr>
          <w:rFonts w:ascii="Times" w:hAnsi="Times" w:cs="Times New Roman"/>
          <w:i/>
          <w:sz w:val="23"/>
          <w:szCs w:val="23"/>
        </w:rPr>
        <w:t>eport)</w:t>
      </w:r>
      <w:r w:rsidR="00F10D76" w:rsidRPr="00F853DD">
        <w:rPr>
          <w:rFonts w:ascii="Times" w:hAnsi="Times" w:cs="Times New Roman"/>
          <w:sz w:val="23"/>
          <w:szCs w:val="23"/>
        </w:rPr>
        <w:t xml:space="preserve"> [online]</w:t>
      </w:r>
      <w:r w:rsidRPr="00F853DD">
        <w:rPr>
          <w:rFonts w:ascii="Times" w:hAnsi="Times" w:cs="Times New Roman"/>
          <w:sz w:val="23"/>
          <w:szCs w:val="23"/>
        </w:rPr>
        <w:t xml:space="preserve">. [Viewed 26 July, 2019]. Available from: http://socialprotection-humanrights.org/wp-content/uploads/2016/06/16012808Financial-Support-for-Single-Parents-in-Caring-for-their-ChildrenLR.pdf. </w:t>
      </w:r>
    </w:p>
    <w:p w14:paraId="37D5FCAA" w14:textId="3EE183EC" w:rsidR="00DF05BD" w:rsidRPr="00F853DD" w:rsidRDefault="005B6E5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Bureau, U</w:t>
      </w:r>
      <w:r w:rsidR="00DF05BD" w:rsidRPr="00F853DD">
        <w:rPr>
          <w:rFonts w:ascii="Times" w:hAnsi="Times" w:cs="Times New Roman"/>
          <w:sz w:val="23"/>
          <w:szCs w:val="23"/>
        </w:rPr>
        <w:t>.</w:t>
      </w:r>
      <w:r w:rsidR="00D014FE" w:rsidRPr="00F853DD">
        <w:rPr>
          <w:rFonts w:ascii="Times" w:hAnsi="Times" w:cs="Times New Roman"/>
          <w:sz w:val="23"/>
          <w:szCs w:val="23"/>
        </w:rPr>
        <w:t>,</w:t>
      </w:r>
      <w:r w:rsidR="00F10D76" w:rsidRPr="00F853DD">
        <w:rPr>
          <w:rFonts w:ascii="Times" w:hAnsi="Times" w:cs="Times New Roman"/>
          <w:sz w:val="23"/>
          <w:szCs w:val="23"/>
        </w:rPr>
        <w:t xml:space="preserve"> (2015). Current population survey: subject d</w:t>
      </w:r>
      <w:r w:rsidR="00DF05BD" w:rsidRPr="00F853DD">
        <w:rPr>
          <w:rFonts w:ascii="Times" w:hAnsi="Times" w:cs="Times New Roman"/>
          <w:sz w:val="23"/>
          <w:szCs w:val="23"/>
        </w:rPr>
        <w:t xml:space="preserve">efinitions [online]. Available from: https://www.census.gov/programs-surveys/cps/technical-documentation/subject-definitions.html </w:t>
      </w:r>
    </w:p>
    <w:p w14:paraId="274AD988" w14:textId="3DC1440B" w:rsidR="00DF05BD" w:rsidRPr="00F853DD" w:rsidRDefault="005B6E5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Burgess, E</w:t>
      </w:r>
      <w:r w:rsidR="00DF05BD" w:rsidRPr="00F853DD">
        <w:rPr>
          <w:rFonts w:ascii="Times" w:hAnsi="Times" w:cs="Times New Roman"/>
          <w:sz w:val="23"/>
          <w:szCs w:val="23"/>
        </w:rPr>
        <w:t>.</w:t>
      </w:r>
      <w:r w:rsidR="00D014FE" w:rsidRPr="00F853DD">
        <w:rPr>
          <w:rFonts w:ascii="Times" w:hAnsi="Times" w:cs="Times New Roman"/>
          <w:sz w:val="23"/>
          <w:szCs w:val="23"/>
        </w:rPr>
        <w:t>,</w:t>
      </w:r>
      <w:r w:rsidR="00F10D76" w:rsidRPr="00F853DD">
        <w:rPr>
          <w:rFonts w:ascii="Times" w:hAnsi="Times" w:cs="Times New Roman"/>
          <w:sz w:val="23"/>
          <w:szCs w:val="23"/>
        </w:rPr>
        <w:t xml:space="preserve"> (1931). Family tradition and p</w:t>
      </w:r>
      <w:r w:rsidR="00DF05BD" w:rsidRPr="00F853DD">
        <w:rPr>
          <w:rFonts w:ascii="Times" w:hAnsi="Times" w:cs="Times New Roman"/>
          <w:sz w:val="23"/>
          <w:szCs w:val="23"/>
        </w:rPr>
        <w:t xml:space="preserve">ersonality. In: Young, K. (ed.) </w:t>
      </w:r>
      <w:r w:rsidR="00DF05BD" w:rsidRPr="00F853DD">
        <w:rPr>
          <w:rFonts w:ascii="Times" w:hAnsi="Times" w:cs="Times New Roman"/>
          <w:i/>
          <w:sz w:val="23"/>
          <w:szCs w:val="23"/>
        </w:rPr>
        <w:t>Social Attitudes</w:t>
      </w:r>
      <w:r w:rsidR="00DF05BD" w:rsidRPr="00F853DD">
        <w:rPr>
          <w:rFonts w:ascii="Times" w:hAnsi="Times" w:cs="Times New Roman"/>
          <w:sz w:val="23"/>
          <w:szCs w:val="23"/>
        </w:rPr>
        <w:t>. New York: Henry Holt.</w:t>
      </w:r>
    </w:p>
    <w:p w14:paraId="7D87ECBA" w14:textId="012AEC8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Burnes, D</w:t>
      </w:r>
      <w:r w:rsidR="005B6E59" w:rsidRPr="00F853DD">
        <w:rPr>
          <w:rFonts w:ascii="Times" w:hAnsi="Times" w:cs="Times New Roman"/>
          <w:sz w:val="23"/>
          <w:szCs w:val="23"/>
        </w:rPr>
        <w:t>., Pillemer, K., Caccamise, P., Mason, A., Henderson, C., Berman, J., Cook, A.</w:t>
      </w:r>
      <w:r w:rsidRPr="00F853DD">
        <w:rPr>
          <w:rFonts w:ascii="Times" w:hAnsi="Times" w:cs="Times New Roman"/>
          <w:sz w:val="23"/>
          <w:szCs w:val="23"/>
        </w:rPr>
        <w:t xml:space="preserve">, Shukoff, D., Brownell, P., Powell, </w:t>
      </w:r>
      <w:r w:rsidR="005B6E59" w:rsidRPr="00F853DD">
        <w:rPr>
          <w:rFonts w:ascii="Times" w:hAnsi="Times" w:cs="Times New Roman"/>
          <w:sz w:val="23"/>
          <w:szCs w:val="23"/>
        </w:rPr>
        <w:t>M., Salamone, A. and Lachs, M</w:t>
      </w:r>
      <w:r w:rsidRPr="00F853DD">
        <w:rPr>
          <w:rFonts w:ascii="Times" w:hAnsi="Times" w:cs="Times New Roman"/>
          <w:sz w:val="23"/>
          <w:szCs w:val="23"/>
        </w:rPr>
        <w:t>.</w:t>
      </w:r>
      <w:r w:rsidR="00D014FE" w:rsidRPr="00F853DD">
        <w:rPr>
          <w:rFonts w:ascii="Times" w:hAnsi="Times" w:cs="Times New Roman"/>
          <w:sz w:val="23"/>
          <w:szCs w:val="23"/>
        </w:rPr>
        <w:t>,</w:t>
      </w:r>
      <w:r w:rsidR="00F10D76" w:rsidRPr="00F853DD">
        <w:rPr>
          <w:rFonts w:ascii="Times" w:hAnsi="Times" w:cs="Times New Roman"/>
          <w:sz w:val="23"/>
          <w:szCs w:val="23"/>
        </w:rPr>
        <w:t xml:space="preserve"> (2015). Prevalence of and risk factors for elder abuse and n</w:t>
      </w:r>
      <w:r w:rsidRPr="00F853DD">
        <w:rPr>
          <w:rFonts w:ascii="Times" w:hAnsi="Times" w:cs="Times New Roman"/>
          <w:sz w:val="23"/>
          <w:szCs w:val="23"/>
        </w:rPr>
        <w:t>e</w:t>
      </w:r>
      <w:r w:rsidR="00F10D76" w:rsidRPr="00F853DD">
        <w:rPr>
          <w:rFonts w:ascii="Times" w:hAnsi="Times" w:cs="Times New Roman"/>
          <w:sz w:val="23"/>
          <w:szCs w:val="23"/>
        </w:rPr>
        <w:t>glect in the community: A population-based s</w:t>
      </w:r>
      <w:r w:rsidRPr="00F853DD">
        <w:rPr>
          <w:rFonts w:ascii="Times" w:hAnsi="Times" w:cs="Times New Roman"/>
          <w:sz w:val="23"/>
          <w:szCs w:val="23"/>
        </w:rPr>
        <w:t xml:space="preserve">tudy. </w:t>
      </w:r>
      <w:r w:rsidRPr="00F853DD">
        <w:rPr>
          <w:rFonts w:ascii="Times" w:hAnsi="Times" w:cs="Times New Roman"/>
          <w:i/>
          <w:sz w:val="23"/>
          <w:szCs w:val="23"/>
        </w:rPr>
        <w:t>Journal of the American Geriatrics Society</w:t>
      </w:r>
      <w:r w:rsidR="00F10D7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63</w:t>
      </w:r>
      <w:r w:rsidR="00134C6C" w:rsidRPr="00F853DD">
        <w:rPr>
          <w:rFonts w:ascii="Times" w:hAnsi="Times" w:cs="Times New Roman"/>
          <w:sz w:val="23"/>
          <w:szCs w:val="23"/>
        </w:rPr>
        <w:t>(9)</w:t>
      </w:r>
      <w:r w:rsidRPr="00F853DD">
        <w:rPr>
          <w:rFonts w:ascii="Times" w:hAnsi="Times" w:cs="Times New Roman"/>
          <w:sz w:val="23"/>
          <w:szCs w:val="23"/>
        </w:rPr>
        <w:t>, 1906-1912.</w:t>
      </w:r>
    </w:p>
    <w:p w14:paraId="62918FDB" w14:textId="2AF115E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Burnett, J., Dyer, C. B.,</w:t>
      </w:r>
      <w:r w:rsidR="005B6E59" w:rsidRPr="00F853DD">
        <w:rPr>
          <w:rFonts w:ascii="Times" w:hAnsi="Times" w:cs="Times New Roman"/>
          <w:sz w:val="23"/>
          <w:szCs w:val="23"/>
        </w:rPr>
        <w:t xml:space="preserve"> Halphen, J. M., Achenbaum, W., Green, C.</w:t>
      </w:r>
      <w:r w:rsidRPr="00F853DD">
        <w:rPr>
          <w:rFonts w:ascii="Times" w:hAnsi="Times" w:cs="Times New Roman"/>
          <w:sz w:val="23"/>
          <w:szCs w:val="23"/>
        </w:rPr>
        <w:t>, Booker, J. G. and Diamond, P. M.</w:t>
      </w:r>
      <w:r w:rsidR="00D014FE" w:rsidRPr="00F853DD">
        <w:rPr>
          <w:rFonts w:ascii="Times" w:hAnsi="Times" w:cs="Times New Roman"/>
          <w:sz w:val="23"/>
          <w:szCs w:val="23"/>
        </w:rPr>
        <w:t>,</w:t>
      </w:r>
      <w:r w:rsidRPr="00F853DD">
        <w:rPr>
          <w:rFonts w:ascii="Times" w:hAnsi="Times" w:cs="Times New Roman"/>
          <w:sz w:val="23"/>
          <w:szCs w:val="23"/>
        </w:rPr>
        <w:t xml:space="preserve"> (2014). Four subtypes of self-neglect in older adults: results of a latent class analysis. </w:t>
      </w:r>
      <w:r w:rsidRPr="00F853DD">
        <w:rPr>
          <w:rFonts w:ascii="Times" w:hAnsi="Times" w:cs="Times New Roman"/>
          <w:i/>
          <w:sz w:val="23"/>
          <w:szCs w:val="23"/>
        </w:rPr>
        <w:t>Journal of the American Geriatrics Society</w:t>
      </w:r>
      <w:r w:rsidR="00F10D7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62</w:t>
      </w:r>
      <w:r w:rsidR="00134C6C" w:rsidRPr="00F853DD">
        <w:rPr>
          <w:rFonts w:ascii="Times" w:hAnsi="Times" w:cs="Times New Roman"/>
          <w:sz w:val="23"/>
          <w:szCs w:val="23"/>
        </w:rPr>
        <w:t>(6)</w:t>
      </w:r>
      <w:r w:rsidRPr="00F853DD">
        <w:rPr>
          <w:rFonts w:ascii="Times" w:hAnsi="Times" w:cs="Times New Roman"/>
          <w:sz w:val="23"/>
          <w:szCs w:val="23"/>
        </w:rPr>
        <w:t>, 1127-1132.</w:t>
      </w:r>
    </w:p>
    <w:p w14:paraId="0548C12B" w14:textId="3E3A9CDF" w:rsidR="00DF05BD" w:rsidRPr="00F853DD" w:rsidRDefault="005B6E5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Burt, C.</w:t>
      </w:r>
      <w:r w:rsidR="00DF05BD" w:rsidRPr="00F853DD">
        <w:rPr>
          <w:rFonts w:ascii="Times" w:hAnsi="Times" w:cs="Times New Roman"/>
          <w:sz w:val="23"/>
          <w:szCs w:val="23"/>
        </w:rPr>
        <w:t>,</w:t>
      </w:r>
      <w:r w:rsidRPr="00F853DD">
        <w:rPr>
          <w:rFonts w:ascii="Times" w:hAnsi="Times" w:cs="Times New Roman"/>
          <w:sz w:val="23"/>
          <w:szCs w:val="23"/>
        </w:rPr>
        <w:t xml:space="preserve"> Simons, R. L. and Gibbons, F</w:t>
      </w:r>
      <w:r w:rsidR="00DF05BD" w:rsidRPr="00F853DD">
        <w:rPr>
          <w:rFonts w:ascii="Times" w:hAnsi="Times" w:cs="Times New Roman"/>
          <w:sz w:val="23"/>
          <w:szCs w:val="23"/>
        </w:rPr>
        <w:t>.</w:t>
      </w:r>
      <w:r w:rsidR="00D014FE" w:rsidRPr="00F853DD">
        <w:rPr>
          <w:rFonts w:ascii="Times" w:hAnsi="Times" w:cs="Times New Roman"/>
          <w:sz w:val="23"/>
          <w:szCs w:val="23"/>
        </w:rPr>
        <w:t>,</w:t>
      </w:r>
      <w:r w:rsidR="00DF05BD" w:rsidRPr="00F853DD">
        <w:rPr>
          <w:rFonts w:ascii="Times" w:hAnsi="Times" w:cs="Times New Roman"/>
          <w:sz w:val="23"/>
          <w:szCs w:val="23"/>
        </w:rPr>
        <w:t xml:space="preserve"> (2012). Racial discrimination, ethnic-racial socialization, and crime: a micro-sociological model of risk and resilience. </w:t>
      </w:r>
      <w:r w:rsidR="00DF05BD" w:rsidRPr="00F853DD">
        <w:rPr>
          <w:rFonts w:ascii="Times" w:hAnsi="Times" w:cs="Times New Roman"/>
          <w:i/>
          <w:sz w:val="23"/>
          <w:szCs w:val="23"/>
        </w:rPr>
        <w:t>American Sociological Review</w:t>
      </w:r>
      <w:r w:rsidR="00F10D7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77</w:t>
      </w:r>
      <w:r w:rsidR="00134C6C" w:rsidRPr="00F853DD">
        <w:rPr>
          <w:rFonts w:ascii="Times" w:hAnsi="Times" w:cs="Times New Roman"/>
          <w:sz w:val="23"/>
          <w:szCs w:val="23"/>
        </w:rPr>
        <w:t>(4)</w:t>
      </w:r>
      <w:r w:rsidR="00DF05BD" w:rsidRPr="00F853DD">
        <w:rPr>
          <w:rFonts w:ascii="Times" w:hAnsi="Times" w:cs="Times New Roman"/>
          <w:sz w:val="23"/>
          <w:szCs w:val="23"/>
        </w:rPr>
        <w:t>, 648-677.</w:t>
      </w:r>
    </w:p>
    <w:p w14:paraId="2484263B" w14:textId="4151D0C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Bury, M.</w:t>
      </w:r>
      <w:r w:rsidR="00D014FE" w:rsidRPr="00F853DD">
        <w:rPr>
          <w:rFonts w:ascii="Times" w:hAnsi="Times" w:cs="Times New Roman"/>
          <w:sz w:val="23"/>
          <w:szCs w:val="23"/>
        </w:rPr>
        <w:t>, (1991)</w:t>
      </w:r>
      <w:r w:rsidRPr="00F853DD">
        <w:rPr>
          <w:rFonts w:ascii="Times" w:hAnsi="Times" w:cs="Times New Roman"/>
          <w:sz w:val="23"/>
          <w:szCs w:val="23"/>
        </w:rPr>
        <w:t xml:space="preserve">. The sociology of chronic illness: a review of research and prospects [online] </w:t>
      </w:r>
      <w:r w:rsidRPr="00F853DD">
        <w:rPr>
          <w:rFonts w:ascii="Times" w:hAnsi="Times" w:cs="Times New Roman"/>
          <w:i/>
          <w:sz w:val="23"/>
          <w:szCs w:val="23"/>
        </w:rPr>
        <w:t>Sociology of Health and Illness</w:t>
      </w:r>
      <w:r w:rsidR="00F10D7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00134C6C" w:rsidRPr="00F853DD">
        <w:rPr>
          <w:rFonts w:ascii="Times" w:hAnsi="Times" w:cs="Times New Roman"/>
          <w:sz w:val="23"/>
          <w:szCs w:val="23"/>
        </w:rPr>
        <w:t>(4)</w:t>
      </w:r>
      <w:r w:rsidRPr="00F853DD">
        <w:rPr>
          <w:rFonts w:ascii="Times" w:hAnsi="Times" w:cs="Times New Roman"/>
          <w:sz w:val="23"/>
          <w:szCs w:val="23"/>
        </w:rPr>
        <w:t>. Available from: doi</w:t>
      </w:r>
      <w:r w:rsidR="00D014FE" w:rsidRPr="00F853DD">
        <w:rPr>
          <w:rFonts w:ascii="Times" w:hAnsi="Times" w:cs="Times New Roman"/>
          <w:sz w:val="23"/>
          <w:szCs w:val="23"/>
        </w:rPr>
        <w:t>:</w:t>
      </w:r>
      <w:r w:rsidRPr="00F853DD">
        <w:rPr>
          <w:rFonts w:ascii="Times" w:hAnsi="Times" w:cs="Times New Roman"/>
          <w:sz w:val="23"/>
          <w:szCs w:val="23"/>
        </w:rPr>
        <w:t>10.1111/j.1467-9566.1991.tb00522.x/</w:t>
      </w:r>
      <w:proofErr w:type="spellStart"/>
      <w:r w:rsidRPr="00F853DD">
        <w:rPr>
          <w:rFonts w:ascii="Times" w:hAnsi="Times" w:cs="Times New Roman"/>
          <w:sz w:val="23"/>
          <w:szCs w:val="23"/>
        </w:rPr>
        <w:t>epdf</w:t>
      </w:r>
      <w:proofErr w:type="spellEnd"/>
      <w:r w:rsidRPr="00F853DD">
        <w:rPr>
          <w:rFonts w:ascii="Times" w:hAnsi="Times" w:cs="Times New Roman"/>
          <w:sz w:val="23"/>
          <w:szCs w:val="23"/>
        </w:rPr>
        <w:t xml:space="preserve">. </w:t>
      </w:r>
    </w:p>
    <w:p w14:paraId="7CBB61AC" w14:textId="272C44E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Bury, M.</w:t>
      </w:r>
      <w:r w:rsidR="00D014FE" w:rsidRPr="00F853DD">
        <w:rPr>
          <w:rFonts w:ascii="Times" w:hAnsi="Times" w:cs="Times New Roman"/>
          <w:sz w:val="23"/>
          <w:szCs w:val="23"/>
        </w:rPr>
        <w:t>,</w:t>
      </w:r>
      <w:r w:rsidRPr="00F853DD">
        <w:rPr>
          <w:rFonts w:ascii="Times" w:hAnsi="Times" w:cs="Times New Roman"/>
          <w:sz w:val="23"/>
          <w:szCs w:val="23"/>
        </w:rPr>
        <w:t xml:space="preserve"> (2001). Illness narratives: fact or fiction? </w:t>
      </w:r>
      <w:r w:rsidRPr="00F853DD">
        <w:rPr>
          <w:rFonts w:ascii="Times" w:hAnsi="Times" w:cs="Times New Roman"/>
          <w:i/>
          <w:sz w:val="23"/>
          <w:szCs w:val="23"/>
        </w:rPr>
        <w:t>Sociology of Health and Illness</w:t>
      </w:r>
      <w:r w:rsidR="00F10D7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00134C6C" w:rsidRPr="00F853DD">
        <w:rPr>
          <w:rFonts w:ascii="Times" w:hAnsi="Times" w:cs="Times New Roman"/>
          <w:sz w:val="23"/>
          <w:szCs w:val="23"/>
        </w:rPr>
        <w:t>(3)</w:t>
      </w:r>
      <w:r w:rsidRPr="00F853DD">
        <w:rPr>
          <w:rFonts w:ascii="Times" w:hAnsi="Times" w:cs="Times New Roman"/>
          <w:sz w:val="23"/>
          <w:szCs w:val="23"/>
        </w:rPr>
        <w:t>, 263-285.</w:t>
      </w:r>
    </w:p>
    <w:p w14:paraId="3B9F0530" w14:textId="00C44E1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Bury, M. and Holme, A.</w:t>
      </w:r>
      <w:r w:rsidR="00D014FE" w:rsidRPr="00F853DD">
        <w:rPr>
          <w:rFonts w:ascii="Times" w:hAnsi="Times" w:cs="Times New Roman"/>
          <w:sz w:val="23"/>
          <w:szCs w:val="23"/>
        </w:rPr>
        <w:t>,</w:t>
      </w:r>
      <w:r w:rsidRPr="00F853DD">
        <w:rPr>
          <w:rFonts w:ascii="Times" w:hAnsi="Times" w:cs="Times New Roman"/>
          <w:sz w:val="23"/>
          <w:szCs w:val="23"/>
        </w:rPr>
        <w:t xml:space="preserve"> 1990. Quality-of-</w:t>
      </w:r>
      <w:r w:rsidR="00F10D76" w:rsidRPr="00F853DD">
        <w:rPr>
          <w:rFonts w:ascii="Times" w:hAnsi="Times" w:cs="Times New Roman"/>
          <w:sz w:val="23"/>
          <w:szCs w:val="23"/>
        </w:rPr>
        <w:t>l</w:t>
      </w:r>
      <w:r w:rsidRPr="00F853DD">
        <w:rPr>
          <w:rFonts w:ascii="Times" w:hAnsi="Times" w:cs="Times New Roman"/>
          <w:sz w:val="23"/>
          <w:szCs w:val="23"/>
        </w:rPr>
        <w:t xml:space="preserve">ife </w:t>
      </w:r>
      <w:r w:rsidR="00F10D76" w:rsidRPr="00F853DD">
        <w:rPr>
          <w:rFonts w:ascii="Times" w:hAnsi="Times" w:cs="Times New Roman"/>
          <w:sz w:val="23"/>
          <w:szCs w:val="23"/>
        </w:rPr>
        <w:t>and social support in the very o</w:t>
      </w:r>
      <w:r w:rsidRPr="00F853DD">
        <w:rPr>
          <w:rFonts w:ascii="Times" w:hAnsi="Times" w:cs="Times New Roman"/>
          <w:sz w:val="23"/>
          <w:szCs w:val="23"/>
        </w:rPr>
        <w:t xml:space="preserve">ld.  </w:t>
      </w:r>
      <w:r w:rsidRPr="00F853DD">
        <w:rPr>
          <w:rFonts w:ascii="Times" w:hAnsi="Times" w:cs="Times New Roman"/>
          <w:i/>
          <w:sz w:val="23"/>
          <w:szCs w:val="23"/>
        </w:rPr>
        <w:t>Journal of Aging Studies</w:t>
      </w:r>
      <w:r w:rsidR="00F10D76"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w:t>
      </w:r>
      <w:r w:rsidR="00134C6C" w:rsidRPr="00F853DD">
        <w:rPr>
          <w:rFonts w:ascii="Times" w:hAnsi="Times" w:cs="Times New Roman"/>
          <w:sz w:val="23"/>
          <w:szCs w:val="23"/>
        </w:rPr>
        <w:t>(4)</w:t>
      </w:r>
      <w:r w:rsidRPr="00F853DD">
        <w:rPr>
          <w:rFonts w:ascii="Times" w:hAnsi="Times" w:cs="Times New Roman"/>
          <w:sz w:val="23"/>
          <w:szCs w:val="23"/>
        </w:rPr>
        <w:t>, 345-357.</w:t>
      </w:r>
    </w:p>
    <w:p w14:paraId="5E96C619" w14:textId="3AF8B8E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Buvinić, M. and Gupta, G.</w:t>
      </w:r>
      <w:r w:rsidR="00D014FE" w:rsidRPr="00F853DD">
        <w:rPr>
          <w:rFonts w:ascii="Times" w:hAnsi="Times" w:cs="Times New Roman"/>
          <w:sz w:val="23"/>
          <w:szCs w:val="23"/>
        </w:rPr>
        <w:t>,</w:t>
      </w:r>
      <w:r w:rsidRPr="00F853DD">
        <w:rPr>
          <w:rFonts w:ascii="Times" w:hAnsi="Times" w:cs="Times New Roman"/>
          <w:sz w:val="23"/>
          <w:szCs w:val="23"/>
        </w:rPr>
        <w:t xml:space="preserve"> (1997). Female-headed households and female-maintained families: are they worth targeting to reduce poverty in developing countries? </w:t>
      </w:r>
      <w:r w:rsidRPr="00F853DD">
        <w:rPr>
          <w:rFonts w:ascii="Times" w:hAnsi="Times" w:cs="Times New Roman"/>
          <w:i/>
          <w:sz w:val="23"/>
          <w:szCs w:val="23"/>
        </w:rPr>
        <w:t>Economic development and cultural change</w:t>
      </w:r>
      <w:r w:rsidRPr="00F853DD">
        <w:rPr>
          <w:rFonts w:ascii="Times" w:hAnsi="Times" w:cs="Times New Roman"/>
          <w:sz w:val="23"/>
          <w:szCs w:val="23"/>
        </w:rPr>
        <w:t xml:space="preserve">, </w:t>
      </w:r>
      <w:r w:rsidRPr="00F853DD">
        <w:rPr>
          <w:rFonts w:ascii="Times" w:hAnsi="Times" w:cs="Times New Roman"/>
          <w:b/>
          <w:sz w:val="23"/>
          <w:szCs w:val="23"/>
        </w:rPr>
        <w:t>45</w:t>
      </w:r>
      <w:r w:rsidRPr="00F853DD">
        <w:rPr>
          <w:rFonts w:ascii="Times" w:hAnsi="Times" w:cs="Times New Roman"/>
          <w:sz w:val="23"/>
          <w:szCs w:val="23"/>
        </w:rPr>
        <w:t>(2), 259-280.</w:t>
      </w:r>
    </w:p>
    <w:p w14:paraId="593A87BE" w14:textId="5FED693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Byrne, K., Frazee, K., Sims-Gould, J. and Martin-Matthews, A.</w:t>
      </w:r>
      <w:r w:rsidR="00D014FE" w:rsidRPr="00F853DD">
        <w:rPr>
          <w:rFonts w:ascii="Times" w:hAnsi="Times" w:cs="Times New Roman"/>
          <w:sz w:val="23"/>
          <w:szCs w:val="23"/>
        </w:rPr>
        <w:t>,</w:t>
      </w:r>
      <w:r w:rsidRPr="00F853DD">
        <w:rPr>
          <w:rFonts w:ascii="Times" w:hAnsi="Times" w:cs="Times New Roman"/>
          <w:sz w:val="23"/>
          <w:szCs w:val="23"/>
        </w:rPr>
        <w:t xml:space="preserve"> (2012). Valuing the older person in the context of delivery and receipt of home support: client perspectives. </w:t>
      </w:r>
      <w:r w:rsidRPr="00F853DD">
        <w:rPr>
          <w:rFonts w:ascii="Times" w:hAnsi="Times" w:cs="Times New Roman"/>
          <w:i/>
          <w:sz w:val="23"/>
          <w:szCs w:val="23"/>
        </w:rPr>
        <w:t>Journal of Applied Gerontology</w:t>
      </w:r>
      <w:r w:rsidRPr="00F853DD">
        <w:rPr>
          <w:rFonts w:ascii="Times" w:hAnsi="Times" w:cs="Times New Roman"/>
          <w:sz w:val="23"/>
          <w:szCs w:val="23"/>
        </w:rPr>
        <w:t xml:space="preserve">, </w:t>
      </w:r>
      <w:r w:rsidRPr="00F853DD">
        <w:rPr>
          <w:rFonts w:ascii="Times" w:hAnsi="Times" w:cs="Times New Roman"/>
          <w:b/>
          <w:sz w:val="23"/>
          <w:szCs w:val="23"/>
        </w:rPr>
        <w:t>31</w:t>
      </w:r>
      <w:r w:rsidR="0083692A" w:rsidRPr="00F853DD">
        <w:rPr>
          <w:rFonts w:ascii="Times" w:hAnsi="Times" w:cs="Times New Roman"/>
          <w:sz w:val="23"/>
          <w:szCs w:val="23"/>
        </w:rPr>
        <w:t>(3)</w:t>
      </w:r>
      <w:r w:rsidRPr="00F853DD">
        <w:rPr>
          <w:rFonts w:ascii="Times" w:hAnsi="Times" w:cs="Times New Roman"/>
          <w:sz w:val="23"/>
          <w:szCs w:val="23"/>
        </w:rPr>
        <w:t>, 377-401.</w:t>
      </w:r>
    </w:p>
    <w:p w14:paraId="35767BFC" w14:textId="4F3037F1" w:rsidR="00DF05BD" w:rsidRPr="00F853DD" w:rsidRDefault="003E48A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Cahill, E., Lewis, L.</w:t>
      </w:r>
      <w:r w:rsidR="005B6E59" w:rsidRPr="00F853DD">
        <w:rPr>
          <w:rFonts w:ascii="Times" w:hAnsi="Times" w:cs="Times New Roman"/>
          <w:sz w:val="23"/>
          <w:szCs w:val="23"/>
        </w:rPr>
        <w:t>, Barg, F. and Bogner, H.</w:t>
      </w:r>
      <w:r w:rsidR="00D014FE" w:rsidRPr="00F853DD">
        <w:rPr>
          <w:rFonts w:ascii="Times" w:hAnsi="Times" w:cs="Times New Roman"/>
          <w:sz w:val="23"/>
          <w:szCs w:val="23"/>
        </w:rPr>
        <w:t>,</w:t>
      </w:r>
      <w:r w:rsidR="004F0DF2" w:rsidRPr="00F853DD">
        <w:rPr>
          <w:rFonts w:ascii="Times" w:hAnsi="Times" w:cs="Times New Roman"/>
          <w:sz w:val="23"/>
          <w:szCs w:val="23"/>
        </w:rPr>
        <w:t xml:space="preserve"> (2009). “You don't want to burden them”: older a</w:t>
      </w:r>
      <w:r w:rsidR="00DF05BD" w:rsidRPr="00F853DD">
        <w:rPr>
          <w:rFonts w:ascii="Times" w:hAnsi="Times" w:cs="Times New Roman"/>
          <w:sz w:val="23"/>
          <w:szCs w:val="23"/>
        </w:rPr>
        <w:t>dults</w:t>
      </w:r>
      <w:r w:rsidR="004F0DF2" w:rsidRPr="00F853DD">
        <w:rPr>
          <w:rFonts w:ascii="Times" w:hAnsi="Times" w:cs="Times New Roman"/>
          <w:sz w:val="23"/>
          <w:szCs w:val="23"/>
        </w:rPr>
        <w:t>’</w:t>
      </w:r>
      <w:r w:rsidR="00DF05BD" w:rsidRPr="00F853DD">
        <w:rPr>
          <w:rFonts w:ascii="Times" w:hAnsi="Times" w:cs="Times New Roman"/>
          <w:sz w:val="23"/>
          <w:szCs w:val="23"/>
        </w:rPr>
        <w:t xml:space="preserve"> </w:t>
      </w:r>
      <w:r w:rsidR="004F0DF2" w:rsidRPr="00F853DD">
        <w:rPr>
          <w:rFonts w:ascii="Times" w:hAnsi="Times" w:cs="Times New Roman"/>
          <w:sz w:val="23"/>
          <w:szCs w:val="23"/>
        </w:rPr>
        <w:t>views on family involvement in c</w:t>
      </w:r>
      <w:r w:rsidR="00DF05BD" w:rsidRPr="00F853DD">
        <w:rPr>
          <w:rFonts w:ascii="Times" w:hAnsi="Times" w:cs="Times New Roman"/>
          <w:sz w:val="23"/>
          <w:szCs w:val="23"/>
        </w:rPr>
        <w:t xml:space="preserve">are. </w:t>
      </w:r>
      <w:r w:rsidR="00DF05BD" w:rsidRPr="00F853DD">
        <w:rPr>
          <w:rFonts w:ascii="Times" w:hAnsi="Times" w:cs="Times New Roman"/>
          <w:i/>
          <w:sz w:val="23"/>
          <w:szCs w:val="23"/>
        </w:rPr>
        <w:t>Journal of Family Nursing</w:t>
      </w:r>
      <w:r w:rsidR="004F0DF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15</w:t>
      </w:r>
      <w:r w:rsidR="0083692A" w:rsidRPr="00F853DD">
        <w:rPr>
          <w:rFonts w:ascii="Times" w:hAnsi="Times" w:cs="Times New Roman"/>
          <w:sz w:val="23"/>
          <w:szCs w:val="23"/>
        </w:rPr>
        <w:t>(3)</w:t>
      </w:r>
      <w:r w:rsidR="00DF05BD" w:rsidRPr="00F853DD">
        <w:rPr>
          <w:rFonts w:ascii="Times" w:hAnsi="Times" w:cs="Times New Roman"/>
          <w:sz w:val="23"/>
          <w:szCs w:val="23"/>
        </w:rPr>
        <w:t>, 295-317.</w:t>
      </w:r>
    </w:p>
    <w:p w14:paraId="1D7F44F8" w14:textId="0FA99DD4"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Cairns, P. and Cox, A.</w:t>
      </w:r>
      <w:r w:rsidR="00D014FE" w:rsidRPr="00F853DD">
        <w:rPr>
          <w:rFonts w:ascii="Times" w:hAnsi="Times" w:cs="Times New Roman"/>
          <w:sz w:val="23"/>
          <w:szCs w:val="23"/>
        </w:rPr>
        <w:t>,</w:t>
      </w:r>
      <w:r w:rsidR="00DF05BD" w:rsidRPr="00F853DD">
        <w:rPr>
          <w:rFonts w:ascii="Times" w:hAnsi="Times" w:cs="Times New Roman"/>
          <w:sz w:val="23"/>
          <w:szCs w:val="23"/>
        </w:rPr>
        <w:t xml:space="preserve"> (2008). </w:t>
      </w:r>
      <w:r w:rsidR="004F0DF2" w:rsidRPr="00F853DD">
        <w:rPr>
          <w:rFonts w:ascii="Times" w:hAnsi="Times" w:cs="Times New Roman"/>
          <w:i/>
          <w:sz w:val="23"/>
          <w:szCs w:val="23"/>
        </w:rPr>
        <w:t>Research methods for human-computer i</w:t>
      </w:r>
      <w:r w:rsidR="00DF05BD" w:rsidRPr="00F853DD">
        <w:rPr>
          <w:rFonts w:ascii="Times" w:hAnsi="Times" w:cs="Times New Roman"/>
          <w:i/>
          <w:sz w:val="23"/>
          <w:szCs w:val="23"/>
        </w:rPr>
        <w:t>nteraction</w:t>
      </w:r>
      <w:r w:rsidR="00DF05BD" w:rsidRPr="00F853DD">
        <w:rPr>
          <w:rFonts w:ascii="Times" w:hAnsi="Times" w:cs="Times New Roman"/>
          <w:sz w:val="23"/>
          <w:szCs w:val="23"/>
        </w:rPr>
        <w:t>. Cambridge: Cambridge University Press.</w:t>
      </w:r>
    </w:p>
    <w:p w14:paraId="3685B071" w14:textId="3EB633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Calasanti, T. and Bowe</w:t>
      </w:r>
      <w:r w:rsidR="00FF647E" w:rsidRPr="00F853DD">
        <w:rPr>
          <w:rFonts w:ascii="Times" w:hAnsi="Times" w:cs="Times New Roman"/>
          <w:sz w:val="23"/>
          <w:szCs w:val="23"/>
        </w:rPr>
        <w:t>n, M.</w:t>
      </w:r>
      <w:r w:rsidR="00D014FE" w:rsidRPr="00F853DD">
        <w:rPr>
          <w:rFonts w:ascii="Times" w:hAnsi="Times" w:cs="Times New Roman"/>
          <w:sz w:val="23"/>
          <w:szCs w:val="23"/>
        </w:rPr>
        <w:t>,</w:t>
      </w:r>
      <w:r w:rsidRPr="00F853DD">
        <w:rPr>
          <w:rFonts w:ascii="Times" w:hAnsi="Times" w:cs="Times New Roman"/>
          <w:sz w:val="23"/>
          <w:szCs w:val="23"/>
        </w:rPr>
        <w:t xml:space="preserve"> (2006). Spousal caregiving and crossing gender boundaries: Maintaining gendered identities. </w:t>
      </w:r>
      <w:r w:rsidRPr="00F853DD">
        <w:rPr>
          <w:rFonts w:ascii="Times" w:hAnsi="Times" w:cs="Times New Roman"/>
          <w:i/>
          <w:sz w:val="23"/>
          <w:szCs w:val="23"/>
        </w:rPr>
        <w:t>Journal of Aging Studies</w:t>
      </w:r>
      <w:r w:rsidR="004F0DF2"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20</w:t>
      </w:r>
      <w:r w:rsidRPr="00F853DD">
        <w:rPr>
          <w:rFonts w:ascii="Times" w:hAnsi="Times" w:cs="Times New Roman"/>
          <w:sz w:val="23"/>
          <w:szCs w:val="23"/>
        </w:rPr>
        <w:t>(3), 253-263.</w:t>
      </w:r>
    </w:p>
    <w:p w14:paraId="41CEAA6E" w14:textId="650B00E2"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Call, K., Finch, M., Huck, S. and Kane, R.</w:t>
      </w:r>
      <w:r w:rsidR="00D014FE" w:rsidRPr="00F853DD">
        <w:rPr>
          <w:rFonts w:ascii="Times" w:hAnsi="Times" w:cs="Times New Roman"/>
          <w:sz w:val="23"/>
          <w:szCs w:val="23"/>
        </w:rPr>
        <w:t>,</w:t>
      </w:r>
      <w:r w:rsidR="00DF05BD" w:rsidRPr="00F853DD">
        <w:rPr>
          <w:rFonts w:ascii="Times" w:hAnsi="Times" w:cs="Times New Roman"/>
          <w:sz w:val="23"/>
          <w:szCs w:val="23"/>
        </w:rPr>
        <w:t xml:space="preserve"> (1999). Caregiver burden from a social exchange perspective: Caring for older people after hospital discharge. </w:t>
      </w:r>
      <w:r w:rsidR="00DF05BD" w:rsidRPr="00F853DD">
        <w:rPr>
          <w:rFonts w:ascii="Times" w:hAnsi="Times" w:cs="Times New Roman"/>
          <w:i/>
          <w:sz w:val="23"/>
          <w:szCs w:val="23"/>
        </w:rPr>
        <w:t>Journal of Marriage and Family</w:t>
      </w:r>
      <w:r w:rsidR="004F0DF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61</w:t>
      </w:r>
      <w:r w:rsidR="00DF05BD" w:rsidRPr="00F853DD">
        <w:rPr>
          <w:rFonts w:ascii="Times" w:hAnsi="Times" w:cs="Times New Roman"/>
          <w:sz w:val="23"/>
          <w:szCs w:val="23"/>
        </w:rPr>
        <w:t>, 688-699.</w:t>
      </w:r>
    </w:p>
    <w:p w14:paraId="306D0D76" w14:textId="4778A84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Cambridge, I.</w:t>
      </w:r>
      <w:r w:rsidR="00D014FE" w:rsidRPr="00F853DD">
        <w:rPr>
          <w:rFonts w:ascii="Times" w:hAnsi="Times" w:cs="Times New Roman"/>
          <w:sz w:val="23"/>
          <w:szCs w:val="23"/>
        </w:rPr>
        <w:t>,</w:t>
      </w:r>
      <w:r w:rsidRPr="00F853DD">
        <w:rPr>
          <w:rFonts w:ascii="Times" w:hAnsi="Times" w:cs="Times New Roman"/>
          <w:sz w:val="23"/>
          <w:szCs w:val="23"/>
        </w:rPr>
        <w:t xml:space="preserve"> (2004). Grandparents as Carers. In: J. Rawlins ed. </w:t>
      </w:r>
      <w:r w:rsidRPr="00F853DD">
        <w:rPr>
          <w:rFonts w:ascii="Times" w:hAnsi="Times" w:cs="Times New Roman"/>
          <w:i/>
          <w:sz w:val="23"/>
          <w:szCs w:val="23"/>
        </w:rPr>
        <w:t xml:space="preserve">Ageing: </w:t>
      </w:r>
      <w:r w:rsidR="003E48AA" w:rsidRPr="00F853DD">
        <w:rPr>
          <w:rFonts w:ascii="Times" w:hAnsi="Times" w:cs="Times New Roman"/>
          <w:i/>
          <w:sz w:val="23"/>
          <w:szCs w:val="23"/>
        </w:rPr>
        <w:t>d</w:t>
      </w:r>
      <w:r w:rsidRPr="00F853DD">
        <w:rPr>
          <w:rFonts w:ascii="Times" w:hAnsi="Times" w:cs="Times New Roman"/>
          <w:i/>
          <w:sz w:val="23"/>
          <w:szCs w:val="23"/>
        </w:rPr>
        <w:t>iscussing the issues in Trinidad</w:t>
      </w:r>
      <w:r w:rsidRPr="00F853DD">
        <w:rPr>
          <w:rFonts w:ascii="Times" w:hAnsi="Times" w:cs="Times New Roman"/>
          <w:sz w:val="23"/>
          <w:szCs w:val="23"/>
        </w:rPr>
        <w:t>. TT: UWISC. pp. 54 - 65</w:t>
      </w:r>
    </w:p>
    <w:p w14:paraId="62AA36FD" w14:textId="6170417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Cambridge, I.</w:t>
      </w:r>
      <w:r w:rsidR="00D014FE" w:rsidRPr="00F853DD">
        <w:rPr>
          <w:rFonts w:ascii="Times" w:hAnsi="Times" w:cs="Times New Roman"/>
          <w:sz w:val="23"/>
          <w:szCs w:val="23"/>
        </w:rPr>
        <w:t>,</w:t>
      </w:r>
      <w:r w:rsidRPr="00F853DD">
        <w:rPr>
          <w:rFonts w:ascii="Times" w:hAnsi="Times" w:cs="Times New Roman"/>
          <w:sz w:val="23"/>
          <w:szCs w:val="23"/>
        </w:rPr>
        <w:t xml:space="preserve"> (2007). Development planning: </w:t>
      </w:r>
      <w:r w:rsidR="003E48AA" w:rsidRPr="00F853DD">
        <w:rPr>
          <w:rFonts w:ascii="Times" w:hAnsi="Times" w:cs="Times New Roman"/>
          <w:sz w:val="23"/>
          <w:szCs w:val="23"/>
        </w:rPr>
        <w:t>c</w:t>
      </w:r>
      <w:r w:rsidRPr="00F853DD">
        <w:rPr>
          <w:rFonts w:ascii="Times" w:hAnsi="Times" w:cs="Times New Roman"/>
          <w:sz w:val="23"/>
          <w:szCs w:val="23"/>
        </w:rPr>
        <w:t xml:space="preserve">oncepts and tools for planners, managers and facilitators. </w:t>
      </w:r>
      <w:r w:rsidRPr="00F853DD">
        <w:rPr>
          <w:rFonts w:ascii="Times" w:hAnsi="Times" w:cs="Times New Roman"/>
          <w:i/>
          <w:sz w:val="23"/>
          <w:szCs w:val="23"/>
        </w:rPr>
        <w:t>Development and Change</w:t>
      </w:r>
      <w:r w:rsidR="003E48AA" w:rsidRPr="00F853DD">
        <w:rPr>
          <w:rFonts w:ascii="Times" w:hAnsi="Times" w:cs="Times New Roman"/>
          <w:sz w:val="23"/>
          <w:szCs w:val="23"/>
        </w:rPr>
        <w:t xml:space="preserve">. </w:t>
      </w:r>
      <w:r w:rsidRPr="00F853DD">
        <w:rPr>
          <w:rFonts w:ascii="Times" w:hAnsi="Times" w:cs="Times New Roman"/>
          <w:b/>
          <w:sz w:val="23"/>
          <w:szCs w:val="23"/>
        </w:rPr>
        <w:t>38</w:t>
      </w:r>
      <w:r w:rsidR="00F40C53" w:rsidRPr="00F853DD">
        <w:rPr>
          <w:rFonts w:ascii="Times" w:hAnsi="Times" w:cs="Times New Roman"/>
          <w:sz w:val="23"/>
          <w:szCs w:val="23"/>
        </w:rPr>
        <w:t>(5)</w:t>
      </w:r>
      <w:r w:rsidRPr="00F853DD">
        <w:rPr>
          <w:rFonts w:ascii="Times" w:hAnsi="Times" w:cs="Times New Roman"/>
          <w:sz w:val="23"/>
          <w:szCs w:val="23"/>
        </w:rPr>
        <w:t>, 959-961.</w:t>
      </w:r>
    </w:p>
    <w:p w14:paraId="370C80EC" w14:textId="7E8488A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Cambridge, I., Foster, J. and Mallalieu, K.</w:t>
      </w:r>
      <w:r w:rsidR="00D014FE"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 xml:space="preserve">Understanding </w:t>
      </w:r>
      <w:r w:rsidR="003E48AA" w:rsidRPr="00F853DD">
        <w:rPr>
          <w:rFonts w:ascii="Times" w:hAnsi="Times" w:cs="Times New Roman"/>
          <w:i/>
          <w:sz w:val="23"/>
          <w:szCs w:val="23"/>
        </w:rPr>
        <w:t>p</w:t>
      </w:r>
      <w:r w:rsidRPr="00F853DD">
        <w:rPr>
          <w:rFonts w:ascii="Times" w:hAnsi="Times" w:cs="Times New Roman"/>
          <w:i/>
          <w:sz w:val="23"/>
          <w:szCs w:val="23"/>
        </w:rPr>
        <w:t>overty in Trinidad and Tobago: </w:t>
      </w:r>
      <w:r w:rsidR="003E48AA" w:rsidRPr="00F853DD">
        <w:rPr>
          <w:rFonts w:ascii="Times" w:hAnsi="Times" w:cs="Times New Roman"/>
          <w:i/>
          <w:sz w:val="23"/>
          <w:szCs w:val="23"/>
        </w:rPr>
        <w:t>a</w:t>
      </w:r>
      <w:r w:rsidRPr="00F853DD">
        <w:rPr>
          <w:rFonts w:ascii="Times" w:hAnsi="Times" w:cs="Times New Roman"/>
          <w:i/>
          <w:sz w:val="23"/>
          <w:szCs w:val="23"/>
        </w:rPr>
        <w:t xml:space="preserve"> </w:t>
      </w:r>
      <w:r w:rsidR="003E48AA" w:rsidRPr="00F853DD">
        <w:rPr>
          <w:rFonts w:ascii="Times" w:hAnsi="Times" w:cs="Times New Roman"/>
          <w:i/>
          <w:sz w:val="23"/>
          <w:szCs w:val="23"/>
        </w:rPr>
        <w:t>r</w:t>
      </w:r>
      <w:r w:rsidRPr="00F853DD">
        <w:rPr>
          <w:rFonts w:ascii="Times" w:hAnsi="Times" w:cs="Times New Roman"/>
          <w:i/>
          <w:sz w:val="23"/>
          <w:szCs w:val="23"/>
        </w:rPr>
        <w:t xml:space="preserve">eview of the </w:t>
      </w:r>
      <w:r w:rsidR="003E48AA" w:rsidRPr="00F853DD">
        <w:rPr>
          <w:rFonts w:ascii="Times" w:hAnsi="Times" w:cs="Times New Roman"/>
          <w:i/>
          <w:sz w:val="23"/>
          <w:szCs w:val="23"/>
        </w:rPr>
        <w:t>l</w:t>
      </w:r>
      <w:r w:rsidRPr="00F853DD">
        <w:rPr>
          <w:rFonts w:ascii="Times" w:hAnsi="Times" w:cs="Times New Roman"/>
          <w:i/>
          <w:sz w:val="23"/>
          <w:szCs w:val="23"/>
        </w:rPr>
        <w:t>iterature</w:t>
      </w:r>
      <w:r w:rsidRPr="00F853DD">
        <w:rPr>
          <w:rFonts w:ascii="Times" w:hAnsi="Times" w:cs="Times New Roman"/>
          <w:sz w:val="23"/>
          <w:szCs w:val="23"/>
        </w:rPr>
        <w:t>.</w:t>
      </w:r>
    </w:p>
    <w:p w14:paraId="75BA9E9F" w14:textId="3E96699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Camden, A., Livingston, G., and Cooper, C.</w:t>
      </w:r>
      <w:r w:rsidR="00D014FE" w:rsidRPr="00F853DD">
        <w:rPr>
          <w:rFonts w:ascii="Times" w:hAnsi="Times" w:cs="Times New Roman"/>
          <w:sz w:val="23"/>
          <w:szCs w:val="23"/>
        </w:rPr>
        <w:t>,</w:t>
      </w:r>
      <w:r w:rsidRPr="00F853DD">
        <w:rPr>
          <w:rFonts w:ascii="Times" w:hAnsi="Times" w:cs="Times New Roman"/>
          <w:sz w:val="23"/>
          <w:szCs w:val="23"/>
        </w:rPr>
        <w:t xml:space="preserve"> (2011). Reasons why family members become carers and the outcome for the person with dementia: results from the card study. </w:t>
      </w:r>
      <w:r w:rsidRPr="00F853DD">
        <w:rPr>
          <w:rFonts w:ascii="Times" w:hAnsi="Times" w:cs="Times New Roman"/>
          <w:i/>
          <w:sz w:val="23"/>
          <w:szCs w:val="23"/>
        </w:rPr>
        <w:t>International Psychogeriatrics</w:t>
      </w:r>
      <w:r w:rsidR="003E48A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xml:space="preserve">(9), 1442-1450. </w:t>
      </w:r>
    </w:p>
    <w:p w14:paraId="13641F25" w14:textId="50A83FF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Campbell, C.</w:t>
      </w:r>
      <w:r w:rsidR="00D014FE" w:rsidRPr="00F853DD">
        <w:rPr>
          <w:rFonts w:ascii="Times" w:hAnsi="Times" w:cs="Times New Roman"/>
          <w:sz w:val="23"/>
          <w:szCs w:val="23"/>
        </w:rPr>
        <w:t>,</w:t>
      </w:r>
      <w:r w:rsidRPr="00F853DD">
        <w:rPr>
          <w:rFonts w:ascii="Times" w:hAnsi="Times" w:cs="Times New Roman"/>
          <w:sz w:val="23"/>
          <w:szCs w:val="23"/>
        </w:rPr>
        <w:t xml:space="preserve"> (1996). On the concept of motive in sociology. </w:t>
      </w:r>
      <w:r w:rsidRPr="00F853DD">
        <w:rPr>
          <w:rFonts w:ascii="Times" w:hAnsi="Times" w:cs="Times New Roman"/>
          <w:i/>
          <w:sz w:val="23"/>
          <w:szCs w:val="23"/>
        </w:rPr>
        <w:t>Sociology-the Journal of the British Sociological Association</w:t>
      </w:r>
      <w:r w:rsidR="003E48A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00196EC1" w:rsidRPr="00F853DD">
        <w:rPr>
          <w:rFonts w:ascii="Times" w:hAnsi="Times" w:cs="Times New Roman"/>
          <w:sz w:val="23"/>
          <w:szCs w:val="23"/>
        </w:rPr>
        <w:t>(1)</w:t>
      </w:r>
      <w:r w:rsidRPr="00F853DD">
        <w:rPr>
          <w:rFonts w:ascii="Times" w:hAnsi="Times" w:cs="Times New Roman"/>
          <w:sz w:val="23"/>
          <w:szCs w:val="23"/>
        </w:rPr>
        <w:t>, 101-114.</w:t>
      </w:r>
    </w:p>
    <w:p w14:paraId="030B78C8" w14:textId="1C72BC1F"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Campbell, L.</w:t>
      </w:r>
      <w:r w:rsidR="00DF05BD" w:rsidRPr="00F853DD">
        <w:rPr>
          <w:rFonts w:ascii="Times" w:hAnsi="Times" w:cs="Times New Roman"/>
          <w:sz w:val="23"/>
          <w:szCs w:val="23"/>
        </w:rPr>
        <w:t xml:space="preserve"> and Martin-Matthews, A.</w:t>
      </w:r>
      <w:r w:rsidR="00D014FE" w:rsidRPr="00F853DD">
        <w:rPr>
          <w:rFonts w:ascii="Times" w:hAnsi="Times" w:cs="Times New Roman"/>
          <w:sz w:val="23"/>
          <w:szCs w:val="23"/>
        </w:rPr>
        <w:t>,</w:t>
      </w:r>
      <w:r w:rsidR="00DF05BD" w:rsidRPr="00F853DD">
        <w:rPr>
          <w:rFonts w:ascii="Times" w:hAnsi="Times" w:cs="Times New Roman"/>
          <w:sz w:val="23"/>
          <w:szCs w:val="23"/>
        </w:rPr>
        <w:t xml:space="preserve"> (2000). Primary and proximate - The importance of coresidence and being primary provider of care for men's filial care involvement. </w:t>
      </w:r>
      <w:r w:rsidR="00DF05BD" w:rsidRPr="00F853DD">
        <w:rPr>
          <w:rFonts w:ascii="Times" w:hAnsi="Times" w:cs="Times New Roman"/>
          <w:i/>
          <w:sz w:val="23"/>
          <w:szCs w:val="23"/>
        </w:rPr>
        <w:t>Journal of Family Issues</w:t>
      </w:r>
      <w:r w:rsidR="003E48AA"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196EC1" w:rsidRPr="00F853DD">
        <w:rPr>
          <w:rFonts w:ascii="Times" w:hAnsi="Times" w:cs="Times New Roman"/>
          <w:sz w:val="23"/>
          <w:szCs w:val="23"/>
        </w:rPr>
        <w:t>(8)</w:t>
      </w:r>
      <w:r w:rsidR="00DF05BD" w:rsidRPr="00F853DD">
        <w:rPr>
          <w:rFonts w:ascii="Times" w:hAnsi="Times" w:cs="Times New Roman"/>
          <w:sz w:val="23"/>
          <w:szCs w:val="23"/>
        </w:rPr>
        <w:t>, 1006-1030.</w:t>
      </w:r>
    </w:p>
    <w:p w14:paraId="6A2535D2" w14:textId="61900EC0"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Campbell-Sills, L., Cohan, S. and Stein, M.</w:t>
      </w:r>
      <w:r w:rsidR="00D014FE" w:rsidRPr="00F853DD">
        <w:rPr>
          <w:rFonts w:ascii="Times" w:hAnsi="Times" w:cs="Times New Roman"/>
          <w:sz w:val="23"/>
          <w:szCs w:val="23"/>
        </w:rPr>
        <w:t>,</w:t>
      </w:r>
      <w:r w:rsidR="00DF05BD" w:rsidRPr="00F853DD">
        <w:rPr>
          <w:rFonts w:ascii="Times" w:hAnsi="Times" w:cs="Times New Roman"/>
          <w:sz w:val="23"/>
          <w:szCs w:val="23"/>
        </w:rPr>
        <w:t xml:space="preserve"> (2006). Relationship of resilience to personality, coping, and psychiatric symptoms in young adults. </w:t>
      </w:r>
      <w:r w:rsidR="00DF05BD" w:rsidRPr="00F853DD">
        <w:rPr>
          <w:rFonts w:ascii="Times" w:hAnsi="Times" w:cs="Times New Roman"/>
          <w:i/>
          <w:sz w:val="23"/>
          <w:szCs w:val="23"/>
        </w:rPr>
        <w:t>Behaviour Research and Therapy</w:t>
      </w:r>
      <w:r w:rsidR="003E48AA"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44</w:t>
      </w:r>
      <w:r w:rsidR="00196EC1" w:rsidRPr="00F853DD">
        <w:rPr>
          <w:rFonts w:ascii="Times" w:hAnsi="Times" w:cs="Times New Roman"/>
          <w:sz w:val="23"/>
          <w:szCs w:val="23"/>
        </w:rPr>
        <w:t>(4)</w:t>
      </w:r>
      <w:r w:rsidR="00DF05BD" w:rsidRPr="00F853DD">
        <w:rPr>
          <w:rFonts w:ascii="Times" w:hAnsi="Times" w:cs="Times New Roman"/>
          <w:sz w:val="23"/>
          <w:szCs w:val="23"/>
        </w:rPr>
        <w:t>, 585-599.</w:t>
      </w:r>
    </w:p>
    <w:p w14:paraId="308E96BA" w14:textId="1DE72111"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Cantor, M.</w:t>
      </w:r>
      <w:r w:rsidR="00D014FE" w:rsidRPr="00F853DD">
        <w:rPr>
          <w:rFonts w:ascii="Times" w:hAnsi="Times" w:cs="Times New Roman"/>
          <w:sz w:val="23"/>
          <w:szCs w:val="23"/>
        </w:rPr>
        <w:t>,</w:t>
      </w:r>
      <w:r w:rsidR="00DF05BD" w:rsidRPr="00F853DD">
        <w:rPr>
          <w:rFonts w:ascii="Times" w:hAnsi="Times" w:cs="Times New Roman"/>
          <w:sz w:val="23"/>
          <w:szCs w:val="23"/>
        </w:rPr>
        <w:t xml:space="preserve"> (1979). Neighbors and friends: </w:t>
      </w:r>
      <w:r w:rsidR="003E48AA" w:rsidRPr="00F853DD">
        <w:rPr>
          <w:rFonts w:ascii="Times" w:hAnsi="Times" w:cs="Times New Roman"/>
          <w:sz w:val="23"/>
          <w:szCs w:val="23"/>
        </w:rPr>
        <w:t>a</w:t>
      </w:r>
      <w:r w:rsidR="00DF05BD" w:rsidRPr="00F853DD">
        <w:rPr>
          <w:rFonts w:ascii="Times" w:hAnsi="Times" w:cs="Times New Roman"/>
          <w:sz w:val="23"/>
          <w:szCs w:val="23"/>
        </w:rPr>
        <w:t xml:space="preserve">n overlooked resource in the informal support system. </w:t>
      </w:r>
      <w:r w:rsidR="00DF05BD" w:rsidRPr="00F853DD">
        <w:rPr>
          <w:rFonts w:ascii="Times" w:hAnsi="Times" w:cs="Times New Roman"/>
          <w:i/>
          <w:sz w:val="23"/>
          <w:szCs w:val="23"/>
        </w:rPr>
        <w:t>Research on Aging</w:t>
      </w:r>
      <w:r w:rsidR="00DF05BD" w:rsidRPr="00F853DD">
        <w:rPr>
          <w:rFonts w:ascii="Times" w:hAnsi="Times" w:cs="Times New Roman"/>
          <w:sz w:val="23"/>
          <w:szCs w:val="23"/>
        </w:rPr>
        <w:t xml:space="preserve">, </w:t>
      </w:r>
      <w:r w:rsidR="00DF05BD" w:rsidRPr="00F853DD">
        <w:rPr>
          <w:rFonts w:ascii="Times" w:hAnsi="Times" w:cs="Times New Roman"/>
          <w:b/>
          <w:sz w:val="23"/>
          <w:szCs w:val="23"/>
        </w:rPr>
        <w:t>1</w:t>
      </w:r>
      <w:r w:rsidR="00DF05BD" w:rsidRPr="00F853DD">
        <w:rPr>
          <w:rFonts w:ascii="Times" w:hAnsi="Times" w:cs="Times New Roman"/>
          <w:sz w:val="23"/>
          <w:szCs w:val="23"/>
        </w:rPr>
        <w:t>, 434-63.</w:t>
      </w:r>
    </w:p>
    <w:p w14:paraId="69393B74" w14:textId="435F1BC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Cantor, M.</w:t>
      </w:r>
      <w:r w:rsidR="00D014FE" w:rsidRPr="00F853DD">
        <w:rPr>
          <w:rFonts w:ascii="Times" w:hAnsi="Times" w:cs="Times New Roman"/>
          <w:sz w:val="23"/>
          <w:szCs w:val="23"/>
        </w:rPr>
        <w:t>,</w:t>
      </w:r>
      <w:r w:rsidRPr="00F853DD">
        <w:rPr>
          <w:rFonts w:ascii="Times" w:hAnsi="Times" w:cs="Times New Roman"/>
          <w:sz w:val="23"/>
          <w:szCs w:val="23"/>
        </w:rPr>
        <w:t xml:space="preserve"> (1991). Family and community: Changing roles in an aging society. </w:t>
      </w:r>
      <w:r w:rsidRPr="00F853DD">
        <w:rPr>
          <w:rFonts w:ascii="Times" w:hAnsi="Times" w:cs="Times New Roman"/>
          <w:i/>
          <w:sz w:val="23"/>
          <w:szCs w:val="23"/>
        </w:rPr>
        <w:t>The Gerontologist</w:t>
      </w:r>
      <w:r w:rsidR="003E48A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(3), 337-346.</w:t>
      </w:r>
    </w:p>
    <w:p w14:paraId="53AAC1D5" w14:textId="420B4135"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Cantor, M.</w:t>
      </w:r>
      <w:r w:rsidR="00DF05BD" w:rsidRPr="00F853DD">
        <w:rPr>
          <w:rFonts w:ascii="Times" w:hAnsi="Times" w:cs="Times New Roman"/>
          <w:sz w:val="23"/>
          <w:szCs w:val="23"/>
        </w:rPr>
        <w:t>, Brennan, M. and Sainz, A.</w:t>
      </w:r>
      <w:r w:rsidR="00D014FE" w:rsidRPr="00F853DD">
        <w:rPr>
          <w:rFonts w:ascii="Times" w:hAnsi="Times" w:cs="Times New Roman"/>
          <w:sz w:val="23"/>
          <w:szCs w:val="23"/>
        </w:rPr>
        <w:t>,</w:t>
      </w:r>
      <w:r w:rsidR="00DF05BD" w:rsidRPr="00F853DD">
        <w:rPr>
          <w:rFonts w:ascii="Times" w:hAnsi="Times" w:cs="Times New Roman"/>
          <w:sz w:val="23"/>
          <w:szCs w:val="23"/>
        </w:rPr>
        <w:t xml:space="preserve"> (1994). The importance of ethnicity in the social support of older New Yorkers: A longitudinal perspective (1970 to 1990). </w:t>
      </w:r>
      <w:r w:rsidR="00DF05BD" w:rsidRPr="00F853DD">
        <w:rPr>
          <w:rFonts w:ascii="Times" w:hAnsi="Times" w:cs="Times New Roman"/>
          <w:i/>
          <w:sz w:val="23"/>
          <w:szCs w:val="23"/>
        </w:rPr>
        <w:t>Journal of Gerontological Social Work</w:t>
      </w:r>
      <w:r w:rsidR="0071533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22</w:t>
      </w:r>
      <w:r w:rsidR="00DF05BD" w:rsidRPr="00F853DD">
        <w:rPr>
          <w:rFonts w:ascii="Times" w:hAnsi="Times" w:cs="Times New Roman"/>
          <w:sz w:val="23"/>
          <w:szCs w:val="23"/>
        </w:rPr>
        <w:t>(2/3), 95-128.</w:t>
      </w:r>
    </w:p>
    <w:p w14:paraId="58DAE969" w14:textId="4C2DB47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Cantor, M. and Brennan, M.</w:t>
      </w:r>
      <w:r w:rsidR="00D014FE" w:rsidRPr="00F853DD">
        <w:rPr>
          <w:rFonts w:ascii="Times" w:hAnsi="Times" w:cs="Times New Roman"/>
          <w:sz w:val="23"/>
          <w:szCs w:val="23"/>
        </w:rPr>
        <w:t>,</w:t>
      </w:r>
      <w:r w:rsidRPr="00F853DD">
        <w:rPr>
          <w:rFonts w:ascii="Times" w:hAnsi="Times" w:cs="Times New Roman"/>
          <w:sz w:val="23"/>
          <w:szCs w:val="23"/>
        </w:rPr>
        <w:t xml:space="preserve"> (2000). </w:t>
      </w:r>
      <w:r w:rsidR="0071533C" w:rsidRPr="00F853DD">
        <w:rPr>
          <w:rFonts w:ascii="Times" w:hAnsi="Times" w:cs="Times New Roman"/>
          <w:i/>
          <w:sz w:val="23"/>
          <w:szCs w:val="23"/>
        </w:rPr>
        <w:t>Social care of the elderly: t</w:t>
      </w:r>
      <w:r w:rsidRPr="00F853DD">
        <w:rPr>
          <w:rFonts w:ascii="Times" w:hAnsi="Times" w:cs="Times New Roman"/>
          <w:i/>
          <w:sz w:val="23"/>
          <w:szCs w:val="23"/>
        </w:rPr>
        <w:t xml:space="preserve">he effects of ethnicity, class and culture. </w:t>
      </w:r>
      <w:r w:rsidRPr="00F853DD">
        <w:rPr>
          <w:rFonts w:ascii="Times" w:hAnsi="Times" w:cs="Times New Roman"/>
          <w:sz w:val="23"/>
          <w:szCs w:val="23"/>
        </w:rPr>
        <w:t>New York: Springer.</w:t>
      </w:r>
    </w:p>
    <w:p w14:paraId="61394399" w14:textId="31FC48D1"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Canzan, F., Heilemann, M.</w:t>
      </w:r>
      <w:r w:rsidR="00DF05BD" w:rsidRPr="00F853DD">
        <w:rPr>
          <w:rFonts w:ascii="Times" w:hAnsi="Times" w:cs="Times New Roman"/>
          <w:sz w:val="23"/>
          <w:szCs w:val="23"/>
        </w:rPr>
        <w:t>, Saiani, L., Mortari, L. and Ambrosi, E.</w:t>
      </w:r>
      <w:r w:rsidR="00D014FE" w:rsidRPr="00F853DD">
        <w:rPr>
          <w:rFonts w:ascii="Times" w:hAnsi="Times" w:cs="Times New Roman"/>
          <w:sz w:val="23"/>
          <w:szCs w:val="23"/>
        </w:rPr>
        <w:t>,</w:t>
      </w:r>
      <w:r w:rsidR="00DF05BD" w:rsidRPr="00F853DD">
        <w:rPr>
          <w:rFonts w:ascii="Times" w:hAnsi="Times" w:cs="Times New Roman"/>
          <w:sz w:val="23"/>
          <w:szCs w:val="23"/>
        </w:rPr>
        <w:t xml:space="preserve"> (2014). Visible and invisible caring in nursing from the perspectives of patients and nurses in the gerontological context. </w:t>
      </w:r>
      <w:r w:rsidR="00DF05BD" w:rsidRPr="00F853DD">
        <w:rPr>
          <w:rFonts w:ascii="Times" w:hAnsi="Times" w:cs="Times New Roman"/>
          <w:i/>
          <w:sz w:val="23"/>
          <w:szCs w:val="23"/>
        </w:rPr>
        <w:t>Scandinavian Journal of Caring Sciences</w:t>
      </w:r>
      <w:r w:rsidR="0071533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196EC1" w:rsidRPr="00F853DD">
        <w:rPr>
          <w:rFonts w:ascii="Times" w:hAnsi="Times" w:cs="Times New Roman"/>
          <w:sz w:val="23"/>
          <w:szCs w:val="23"/>
        </w:rPr>
        <w:t>(4)</w:t>
      </w:r>
      <w:r w:rsidR="00DF05BD" w:rsidRPr="00F853DD">
        <w:rPr>
          <w:rFonts w:ascii="Times" w:hAnsi="Times" w:cs="Times New Roman"/>
          <w:sz w:val="23"/>
          <w:szCs w:val="23"/>
        </w:rPr>
        <w:t>, 732-740.</w:t>
      </w:r>
    </w:p>
    <w:p w14:paraId="45B1043E" w14:textId="756B52C4" w:rsidR="00283F29"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Carney, M.</w:t>
      </w:r>
      <w:r w:rsidR="00283F29" w:rsidRPr="00F853DD">
        <w:rPr>
          <w:rFonts w:ascii="Times" w:hAnsi="Times" w:cs="Times New Roman"/>
          <w:sz w:val="23"/>
          <w:szCs w:val="23"/>
        </w:rPr>
        <w:t xml:space="preserve">, Fujiwara, </w:t>
      </w:r>
      <w:r w:rsidRPr="00F853DD">
        <w:rPr>
          <w:rFonts w:ascii="Times" w:hAnsi="Times" w:cs="Times New Roman"/>
          <w:sz w:val="23"/>
          <w:szCs w:val="23"/>
        </w:rPr>
        <w:t>J., Emmert, B., Liberman, T.</w:t>
      </w:r>
      <w:r w:rsidR="00283F29" w:rsidRPr="00F853DD">
        <w:rPr>
          <w:rFonts w:ascii="Times" w:hAnsi="Times" w:cs="Times New Roman"/>
          <w:sz w:val="23"/>
          <w:szCs w:val="23"/>
        </w:rPr>
        <w:t xml:space="preserve"> and Paris, B., 2016. Elder orphans hiding in plain sight: </w:t>
      </w:r>
      <w:r w:rsidR="0071533C" w:rsidRPr="00F853DD">
        <w:rPr>
          <w:rFonts w:ascii="Times" w:hAnsi="Times" w:cs="Times New Roman"/>
          <w:sz w:val="23"/>
          <w:szCs w:val="23"/>
        </w:rPr>
        <w:t>a</w:t>
      </w:r>
      <w:r w:rsidR="00283F29" w:rsidRPr="00F853DD">
        <w:rPr>
          <w:rFonts w:ascii="Times" w:hAnsi="Times" w:cs="Times New Roman"/>
          <w:sz w:val="23"/>
          <w:szCs w:val="23"/>
        </w:rPr>
        <w:t xml:space="preserve"> growing vulnerable population. </w:t>
      </w:r>
      <w:r w:rsidR="00283F29" w:rsidRPr="00F853DD">
        <w:rPr>
          <w:rFonts w:ascii="Times" w:hAnsi="Times" w:cs="Times New Roman"/>
          <w:i/>
          <w:sz w:val="23"/>
          <w:szCs w:val="23"/>
        </w:rPr>
        <w:t>Current gerontology and geriatrics research</w:t>
      </w:r>
      <w:r w:rsidR="00283F29" w:rsidRPr="00F853DD">
        <w:rPr>
          <w:rFonts w:ascii="Times" w:hAnsi="Times" w:cs="Times New Roman"/>
          <w:sz w:val="23"/>
          <w:szCs w:val="23"/>
        </w:rPr>
        <w:t>.</w:t>
      </w:r>
    </w:p>
    <w:p w14:paraId="63F57A28" w14:textId="4EE76B07"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Caron, C. and Bowers, B.</w:t>
      </w:r>
      <w:r w:rsidR="00D014FE" w:rsidRPr="00F853DD">
        <w:rPr>
          <w:rFonts w:ascii="Times" w:hAnsi="Times" w:cs="Times New Roman"/>
          <w:sz w:val="23"/>
          <w:szCs w:val="23"/>
        </w:rPr>
        <w:t>,</w:t>
      </w:r>
      <w:r w:rsidR="00DF05BD" w:rsidRPr="00F853DD">
        <w:rPr>
          <w:rFonts w:ascii="Times" w:hAnsi="Times" w:cs="Times New Roman"/>
          <w:sz w:val="23"/>
          <w:szCs w:val="23"/>
        </w:rPr>
        <w:t xml:space="preserve"> (2003). Deciding whether to continue, sh</w:t>
      </w:r>
      <w:r w:rsidR="0071533C" w:rsidRPr="00F853DD">
        <w:rPr>
          <w:rFonts w:ascii="Times" w:hAnsi="Times" w:cs="Times New Roman"/>
          <w:sz w:val="23"/>
          <w:szCs w:val="23"/>
        </w:rPr>
        <w:t>are, or relinquish caregiving: c</w:t>
      </w:r>
      <w:r w:rsidR="00DF05BD" w:rsidRPr="00F853DD">
        <w:rPr>
          <w:rFonts w:ascii="Times" w:hAnsi="Times" w:cs="Times New Roman"/>
          <w:sz w:val="23"/>
          <w:szCs w:val="23"/>
        </w:rPr>
        <w:t xml:space="preserve">aregiver views. </w:t>
      </w:r>
      <w:r w:rsidR="00DF05BD" w:rsidRPr="00F853DD">
        <w:rPr>
          <w:rFonts w:ascii="Times" w:hAnsi="Times" w:cs="Times New Roman"/>
          <w:i/>
          <w:sz w:val="23"/>
          <w:szCs w:val="23"/>
        </w:rPr>
        <w:t>Qualitative Health Research</w:t>
      </w:r>
      <w:r w:rsidR="0071533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13</w:t>
      </w:r>
      <w:r w:rsidR="00196EC1" w:rsidRPr="00F853DD">
        <w:rPr>
          <w:rFonts w:ascii="Times" w:hAnsi="Times" w:cs="Times New Roman"/>
          <w:sz w:val="23"/>
          <w:szCs w:val="23"/>
        </w:rPr>
        <w:t>(9)</w:t>
      </w:r>
      <w:r w:rsidR="00DF05BD" w:rsidRPr="00F853DD">
        <w:rPr>
          <w:rFonts w:ascii="Times" w:hAnsi="Times" w:cs="Times New Roman"/>
          <w:sz w:val="23"/>
          <w:szCs w:val="23"/>
        </w:rPr>
        <w:t>, 1252-1271.</w:t>
      </w:r>
    </w:p>
    <w:p w14:paraId="5B5C49D7" w14:textId="4885E1C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Carpenter, B.</w:t>
      </w:r>
      <w:r w:rsidR="00D014FE" w:rsidRPr="00F853DD">
        <w:rPr>
          <w:rFonts w:ascii="Times" w:hAnsi="Times" w:cs="Times New Roman"/>
          <w:sz w:val="23"/>
          <w:szCs w:val="23"/>
        </w:rPr>
        <w:t>,</w:t>
      </w:r>
      <w:r w:rsidRPr="00F853DD">
        <w:rPr>
          <w:rFonts w:ascii="Times" w:hAnsi="Times" w:cs="Times New Roman"/>
          <w:sz w:val="23"/>
          <w:szCs w:val="23"/>
        </w:rPr>
        <w:t xml:space="preserve"> (1992). </w:t>
      </w:r>
      <w:r w:rsidRPr="00F853DD">
        <w:rPr>
          <w:rFonts w:ascii="Times" w:hAnsi="Times" w:cs="Times New Roman"/>
          <w:i/>
          <w:sz w:val="23"/>
          <w:szCs w:val="23"/>
        </w:rPr>
        <w:t>Personal Coping: Theory, Research and Application</w:t>
      </w:r>
      <w:r w:rsidRPr="00F853DD">
        <w:rPr>
          <w:rFonts w:ascii="Times" w:hAnsi="Times" w:cs="Times New Roman"/>
          <w:sz w:val="23"/>
          <w:szCs w:val="23"/>
        </w:rPr>
        <w:t>. USA: Praeger Publishers.</w:t>
      </w:r>
    </w:p>
    <w:p w14:paraId="7E8999DD" w14:textId="1B9A86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Carpenter, I., Gambassi, G., Topinkova, E., Schroll, M., Finne-Soveri, H., Henrard, J. C., Garms-Homolova, V., Jonsson, P., Frijters, D., Ljunggren, G., Sorbye, L.W., Wagner, C., Onder, G., Pedone, C. and Bernabei, R.</w:t>
      </w:r>
      <w:r w:rsidR="00D014FE" w:rsidRPr="00F853DD">
        <w:rPr>
          <w:rFonts w:ascii="Times" w:hAnsi="Times" w:cs="Times New Roman"/>
          <w:sz w:val="23"/>
          <w:szCs w:val="23"/>
        </w:rPr>
        <w:t>,</w:t>
      </w:r>
      <w:r w:rsidRPr="00F853DD">
        <w:rPr>
          <w:rFonts w:ascii="Times" w:hAnsi="Times" w:cs="Times New Roman"/>
          <w:sz w:val="23"/>
          <w:szCs w:val="23"/>
        </w:rPr>
        <w:t xml:space="preserve"> (2004). Community care in Europe. The aged in home care project (AdHOC). </w:t>
      </w:r>
      <w:r w:rsidRPr="00F853DD">
        <w:rPr>
          <w:rFonts w:ascii="Times" w:hAnsi="Times" w:cs="Times New Roman"/>
          <w:i/>
          <w:sz w:val="23"/>
          <w:szCs w:val="23"/>
        </w:rPr>
        <w:t>Aging Clinical and Experimental Research</w:t>
      </w:r>
      <w:r w:rsidR="00715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00196EC1" w:rsidRPr="00F853DD">
        <w:rPr>
          <w:rFonts w:ascii="Times" w:hAnsi="Times" w:cs="Times New Roman"/>
          <w:sz w:val="23"/>
          <w:szCs w:val="23"/>
        </w:rPr>
        <w:t>(4)</w:t>
      </w:r>
      <w:r w:rsidRPr="00F853DD">
        <w:rPr>
          <w:rFonts w:ascii="Times" w:hAnsi="Times" w:cs="Times New Roman"/>
          <w:sz w:val="23"/>
          <w:szCs w:val="23"/>
        </w:rPr>
        <w:t>, 259-269.</w:t>
      </w:r>
    </w:p>
    <w:p w14:paraId="7FE0AE8A" w14:textId="3A725D8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Carradice, A., Shankland, M. C. and Beail, N.</w:t>
      </w:r>
      <w:r w:rsidR="00D014FE" w:rsidRPr="00F853DD">
        <w:rPr>
          <w:rFonts w:ascii="Times" w:hAnsi="Times" w:cs="Times New Roman"/>
          <w:sz w:val="23"/>
          <w:szCs w:val="23"/>
        </w:rPr>
        <w:t>,</w:t>
      </w:r>
      <w:r w:rsidRPr="00F853DD">
        <w:rPr>
          <w:rFonts w:ascii="Times" w:hAnsi="Times" w:cs="Times New Roman"/>
          <w:sz w:val="23"/>
          <w:szCs w:val="23"/>
        </w:rPr>
        <w:t xml:space="preserve"> (2002). A qualitative study of the theoretical models used by UK mental health nurses to guide their assessments with family caregivers of people with dementia. </w:t>
      </w:r>
      <w:r w:rsidRPr="00F853DD">
        <w:rPr>
          <w:rFonts w:ascii="Times" w:hAnsi="Times" w:cs="Times New Roman"/>
          <w:i/>
          <w:sz w:val="23"/>
          <w:szCs w:val="23"/>
        </w:rPr>
        <w:t>International Journal of Nursing Studies</w:t>
      </w:r>
      <w:r w:rsidR="00715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39</w:t>
      </w:r>
      <w:r w:rsidR="00196EC1" w:rsidRPr="00F853DD">
        <w:rPr>
          <w:rFonts w:ascii="Times" w:hAnsi="Times" w:cs="Times New Roman"/>
          <w:sz w:val="23"/>
          <w:szCs w:val="23"/>
        </w:rPr>
        <w:t>(1)</w:t>
      </w:r>
      <w:r w:rsidRPr="00F853DD">
        <w:rPr>
          <w:rFonts w:ascii="Times" w:hAnsi="Times" w:cs="Times New Roman"/>
          <w:sz w:val="23"/>
          <w:szCs w:val="23"/>
        </w:rPr>
        <w:t>, 17-26.</w:t>
      </w:r>
    </w:p>
    <w:p w14:paraId="6994DCB1" w14:textId="69DDCFA2"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Carrion, I.</w:t>
      </w:r>
      <w:r w:rsidR="00DF05BD" w:rsidRPr="00F853DD">
        <w:rPr>
          <w:rFonts w:ascii="Times" w:hAnsi="Times" w:cs="Times New Roman"/>
          <w:sz w:val="23"/>
          <w:szCs w:val="23"/>
        </w:rPr>
        <w:t>, Nedjat-Haiem, F., Macip-Billbe, M. and Black, R.</w:t>
      </w:r>
      <w:r w:rsidR="00D014FE" w:rsidRPr="00F853DD">
        <w:rPr>
          <w:rFonts w:ascii="Times" w:hAnsi="Times" w:cs="Times New Roman"/>
          <w:sz w:val="23"/>
          <w:szCs w:val="23"/>
        </w:rPr>
        <w:t>,</w:t>
      </w:r>
      <w:r w:rsidR="0071533C" w:rsidRPr="00F853DD">
        <w:rPr>
          <w:rFonts w:ascii="Times" w:hAnsi="Times" w:cs="Times New Roman"/>
          <w:sz w:val="23"/>
          <w:szCs w:val="23"/>
        </w:rPr>
        <w:t xml:space="preserve"> (2017). “I told myself to stay positive”</w:t>
      </w:r>
      <w:r w:rsidR="00E869A4" w:rsidRPr="00F853DD">
        <w:rPr>
          <w:rFonts w:ascii="Times" w:hAnsi="Times" w:cs="Times New Roman"/>
          <w:sz w:val="23"/>
          <w:szCs w:val="23"/>
        </w:rPr>
        <w:t xml:space="preserve"> perceptions of coping among L</w:t>
      </w:r>
      <w:r w:rsidR="00DF05BD" w:rsidRPr="00F853DD">
        <w:rPr>
          <w:rFonts w:ascii="Times" w:hAnsi="Times" w:cs="Times New Roman"/>
          <w:sz w:val="23"/>
          <w:szCs w:val="23"/>
        </w:rPr>
        <w:t xml:space="preserve">atinos with a cancer diagnosis living in the United States. </w:t>
      </w:r>
      <w:r w:rsidR="00DF05BD" w:rsidRPr="00F853DD">
        <w:rPr>
          <w:rFonts w:ascii="Times" w:hAnsi="Times" w:cs="Times New Roman"/>
          <w:i/>
          <w:sz w:val="23"/>
          <w:szCs w:val="23"/>
        </w:rPr>
        <w:t>American Journal of Hospice and Palliative Medicine</w:t>
      </w:r>
      <w:r w:rsidR="0071533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34</w:t>
      </w:r>
      <w:r w:rsidR="00156F0A" w:rsidRPr="00F853DD">
        <w:rPr>
          <w:rFonts w:ascii="Times" w:hAnsi="Times" w:cs="Times New Roman"/>
          <w:sz w:val="23"/>
          <w:szCs w:val="23"/>
        </w:rPr>
        <w:t>(3)</w:t>
      </w:r>
      <w:r w:rsidR="00DF05BD" w:rsidRPr="00F853DD">
        <w:rPr>
          <w:rFonts w:ascii="Times" w:hAnsi="Times" w:cs="Times New Roman"/>
          <w:sz w:val="23"/>
          <w:szCs w:val="23"/>
        </w:rPr>
        <w:t>, 233-240.</w:t>
      </w:r>
    </w:p>
    <w:p w14:paraId="0EE3562F" w14:textId="247EB595"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Carrion, I. and Nedjat-Haiem, F.</w:t>
      </w:r>
      <w:r w:rsidR="00D014FE" w:rsidRPr="00F853DD">
        <w:rPr>
          <w:rFonts w:ascii="Times" w:hAnsi="Times" w:cs="Times New Roman"/>
          <w:sz w:val="23"/>
          <w:szCs w:val="23"/>
        </w:rPr>
        <w:t>,</w:t>
      </w:r>
      <w:r w:rsidR="00E869A4" w:rsidRPr="00F853DD">
        <w:rPr>
          <w:rFonts w:ascii="Times" w:hAnsi="Times" w:cs="Times New Roman"/>
          <w:sz w:val="23"/>
          <w:szCs w:val="23"/>
        </w:rPr>
        <w:t xml:space="preserve"> (2013). Caregiving for older L</w:t>
      </w:r>
      <w:r w:rsidR="00DF05BD" w:rsidRPr="00F853DD">
        <w:rPr>
          <w:rFonts w:ascii="Times" w:hAnsi="Times" w:cs="Times New Roman"/>
          <w:sz w:val="23"/>
          <w:szCs w:val="23"/>
        </w:rPr>
        <w:t xml:space="preserve">atinos at end of life: perspectives from paid and family (unpaid) caregivers. </w:t>
      </w:r>
      <w:r w:rsidR="00DF05BD" w:rsidRPr="00F853DD">
        <w:rPr>
          <w:rFonts w:ascii="Times" w:hAnsi="Times" w:cs="Times New Roman"/>
          <w:i/>
          <w:sz w:val="23"/>
          <w:szCs w:val="23"/>
        </w:rPr>
        <w:t>American Journal of Hospice and Palliative Medicine</w:t>
      </w:r>
      <w:r w:rsidR="0071533C"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156F0A" w:rsidRPr="00F853DD">
        <w:rPr>
          <w:rFonts w:ascii="Times" w:hAnsi="Times" w:cs="Times New Roman"/>
          <w:sz w:val="23"/>
          <w:szCs w:val="23"/>
        </w:rPr>
        <w:t>(2)</w:t>
      </w:r>
      <w:r w:rsidR="00DF05BD" w:rsidRPr="00F853DD">
        <w:rPr>
          <w:rFonts w:ascii="Times" w:hAnsi="Times" w:cs="Times New Roman"/>
          <w:sz w:val="23"/>
          <w:szCs w:val="23"/>
        </w:rPr>
        <w:t>, 183-191.</w:t>
      </w:r>
    </w:p>
    <w:p w14:paraId="426E016C" w14:textId="69CFDAB1"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Carrion, I., Nedjat-Haiem, F.</w:t>
      </w:r>
      <w:r w:rsidR="00DF05BD" w:rsidRPr="00F853DD">
        <w:rPr>
          <w:rFonts w:ascii="Times" w:hAnsi="Times" w:cs="Times New Roman"/>
          <w:sz w:val="23"/>
          <w:szCs w:val="23"/>
        </w:rPr>
        <w:t xml:space="preserve"> and Macip-Billbe, M. (2013). Res</w:t>
      </w:r>
      <w:r w:rsidR="00E869A4" w:rsidRPr="00F853DD">
        <w:rPr>
          <w:rFonts w:ascii="Times" w:hAnsi="Times" w:cs="Times New Roman"/>
          <w:sz w:val="23"/>
          <w:szCs w:val="23"/>
        </w:rPr>
        <w:t>ilience and coping among older L</w:t>
      </w:r>
      <w:r w:rsidR="00DF05BD" w:rsidRPr="00F853DD">
        <w:rPr>
          <w:rFonts w:ascii="Times" w:hAnsi="Times" w:cs="Times New Roman"/>
          <w:sz w:val="23"/>
          <w:szCs w:val="23"/>
        </w:rPr>
        <w:t xml:space="preserve">atino men and women with a cancer diagnosis. </w:t>
      </w:r>
      <w:r w:rsidR="00DF05BD" w:rsidRPr="00F853DD">
        <w:rPr>
          <w:rFonts w:ascii="Times" w:hAnsi="Times" w:cs="Times New Roman"/>
          <w:i/>
          <w:sz w:val="23"/>
          <w:szCs w:val="23"/>
        </w:rPr>
        <w:t>Gerontologist</w:t>
      </w:r>
      <w:r w:rsidR="0071533C" w:rsidRPr="00F853DD">
        <w:rPr>
          <w:rFonts w:ascii="Times" w:hAnsi="Times" w:cs="Times New Roman"/>
          <w:sz w:val="23"/>
          <w:szCs w:val="23"/>
        </w:rPr>
        <w:t xml:space="preserve">. </w:t>
      </w:r>
      <w:r w:rsidR="00DF05BD" w:rsidRPr="00F853DD">
        <w:rPr>
          <w:rFonts w:ascii="Times" w:hAnsi="Times" w:cs="Times New Roman"/>
          <w:b/>
          <w:sz w:val="23"/>
          <w:szCs w:val="23"/>
        </w:rPr>
        <w:t>53</w:t>
      </w:r>
      <w:r w:rsidR="00DF05BD" w:rsidRPr="00F853DD">
        <w:rPr>
          <w:rFonts w:ascii="Times" w:hAnsi="Times" w:cs="Times New Roman"/>
          <w:sz w:val="23"/>
          <w:szCs w:val="23"/>
        </w:rPr>
        <w:t>, 579-579.</w:t>
      </w:r>
    </w:p>
    <w:p w14:paraId="1139567E" w14:textId="6D69BA9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Carruth, A. (1996). Motivating factors, exchange patterns, and reciprocity among caregivers of parents with and without dementia. </w:t>
      </w:r>
      <w:r w:rsidRPr="00F853DD">
        <w:rPr>
          <w:rFonts w:ascii="Times" w:hAnsi="Times" w:cs="Times New Roman"/>
          <w:i/>
          <w:sz w:val="23"/>
          <w:szCs w:val="23"/>
        </w:rPr>
        <w:t>Research in Nursing and Health</w:t>
      </w:r>
      <w:r w:rsidR="0035557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00156F0A" w:rsidRPr="00F853DD">
        <w:rPr>
          <w:rFonts w:ascii="Times" w:hAnsi="Times" w:cs="Times New Roman"/>
          <w:sz w:val="23"/>
          <w:szCs w:val="23"/>
        </w:rPr>
        <w:t>(5)</w:t>
      </w:r>
      <w:r w:rsidRPr="00F853DD">
        <w:rPr>
          <w:rFonts w:ascii="Times" w:hAnsi="Times" w:cs="Times New Roman"/>
          <w:sz w:val="23"/>
          <w:szCs w:val="23"/>
        </w:rPr>
        <w:t>, 409-419.</w:t>
      </w:r>
    </w:p>
    <w:p w14:paraId="2A38AF89" w14:textId="5247A8A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Carruth, A., Tate, U., Moffett, B. and Hill, K.</w:t>
      </w:r>
      <w:r w:rsidR="00586AC1" w:rsidRPr="00F853DD">
        <w:rPr>
          <w:rFonts w:ascii="Times" w:hAnsi="Times" w:cs="Times New Roman"/>
          <w:sz w:val="23"/>
          <w:szCs w:val="23"/>
        </w:rPr>
        <w:t>,</w:t>
      </w:r>
      <w:r w:rsidRPr="00F853DD">
        <w:rPr>
          <w:rFonts w:ascii="Times" w:hAnsi="Times" w:cs="Times New Roman"/>
          <w:sz w:val="23"/>
          <w:szCs w:val="23"/>
        </w:rPr>
        <w:t xml:space="preserve"> (1997). Reciprocity, emotional well-being, and family functioning as determinants of family satisfaction in caregivers of elderly parents. </w:t>
      </w:r>
      <w:r w:rsidRPr="00F853DD">
        <w:rPr>
          <w:rFonts w:ascii="Times" w:hAnsi="Times" w:cs="Times New Roman"/>
          <w:i/>
          <w:sz w:val="23"/>
          <w:szCs w:val="23"/>
        </w:rPr>
        <w:t>Nursing Research</w:t>
      </w:r>
      <w:r w:rsidR="0035557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46</w:t>
      </w:r>
      <w:r w:rsidRPr="00F853DD">
        <w:rPr>
          <w:rFonts w:ascii="Times" w:hAnsi="Times" w:cs="Times New Roman"/>
          <w:sz w:val="23"/>
          <w:szCs w:val="23"/>
        </w:rPr>
        <w:t>(2), 93-100.</w:t>
      </w:r>
    </w:p>
    <w:p w14:paraId="5BB2E7CB" w14:textId="3EC23025"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Carter, J., Lyons, K., Stewart, B., Archbold, P. </w:t>
      </w:r>
      <w:r w:rsidR="00DF05BD" w:rsidRPr="00F853DD">
        <w:rPr>
          <w:rFonts w:ascii="Times" w:hAnsi="Times" w:cs="Times New Roman"/>
          <w:sz w:val="23"/>
          <w:szCs w:val="23"/>
        </w:rPr>
        <w:t>and Scobee, R.</w:t>
      </w:r>
      <w:r w:rsidR="00586AC1" w:rsidRPr="00F853DD">
        <w:rPr>
          <w:rFonts w:ascii="Times" w:hAnsi="Times" w:cs="Times New Roman"/>
          <w:sz w:val="23"/>
          <w:szCs w:val="23"/>
        </w:rPr>
        <w:t>,</w:t>
      </w:r>
      <w:r w:rsidR="00DF05BD" w:rsidRPr="00F853DD">
        <w:rPr>
          <w:rFonts w:ascii="Times" w:hAnsi="Times" w:cs="Times New Roman"/>
          <w:sz w:val="23"/>
          <w:szCs w:val="23"/>
        </w:rPr>
        <w:t xml:space="preserve"> (2010)a. Does age make a difference in caregiver strain? Comparison of young versus older caregivers in early-stage Parkinson's disease. </w:t>
      </w:r>
      <w:r w:rsidR="00DF05BD" w:rsidRPr="00F853DD">
        <w:rPr>
          <w:rFonts w:ascii="Times" w:hAnsi="Times" w:cs="Times New Roman"/>
          <w:i/>
          <w:sz w:val="23"/>
          <w:szCs w:val="23"/>
        </w:rPr>
        <w:t>Movement Disorders</w:t>
      </w:r>
      <w:r w:rsidR="0035557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156F0A" w:rsidRPr="00F853DD">
        <w:rPr>
          <w:rFonts w:ascii="Times" w:hAnsi="Times" w:cs="Times New Roman"/>
          <w:sz w:val="23"/>
          <w:szCs w:val="23"/>
        </w:rPr>
        <w:t>(6)</w:t>
      </w:r>
      <w:r w:rsidR="00DF05BD" w:rsidRPr="00F853DD">
        <w:rPr>
          <w:rFonts w:ascii="Times" w:hAnsi="Times" w:cs="Times New Roman"/>
          <w:sz w:val="23"/>
          <w:szCs w:val="23"/>
        </w:rPr>
        <w:t>, 724-730.</w:t>
      </w:r>
    </w:p>
    <w:p w14:paraId="79734C75" w14:textId="06A32D42"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Carter, J. and Nutt, J.,</w:t>
      </w:r>
      <w:r w:rsidR="00DF05BD" w:rsidRPr="00F853DD">
        <w:rPr>
          <w:rFonts w:ascii="Times" w:hAnsi="Times" w:cs="Times New Roman"/>
          <w:sz w:val="23"/>
          <w:szCs w:val="23"/>
        </w:rPr>
        <w:t xml:space="preserve"> (1998).</w:t>
      </w:r>
      <w:r w:rsidR="00586AC1" w:rsidRPr="00F853DD">
        <w:rPr>
          <w:rFonts w:ascii="Times" w:hAnsi="Times" w:cs="Times New Roman"/>
          <w:sz w:val="23"/>
          <w:szCs w:val="23"/>
        </w:rPr>
        <w:t>,</w:t>
      </w:r>
      <w:r w:rsidR="00355579" w:rsidRPr="00F853DD">
        <w:rPr>
          <w:rFonts w:ascii="Times" w:hAnsi="Times" w:cs="Times New Roman"/>
          <w:sz w:val="23"/>
          <w:szCs w:val="23"/>
        </w:rPr>
        <w:t xml:space="preserve"> Family caregiving: a</w:t>
      </w:r>
      <w:r w:rsidR="00DF05BD" w:rsidRPr="00F853DD">
        <w:rPr>
          <w:rFonts w:ascii="Times" w:hAnsi="Times" w:cs="Times New Roman"/>
          <w:sz w:val="23"/>
          <w:szCs w:val="23"/>
        </w:rPr>
        <w:t xml:space="preserve"> neglected and hidden part of health care delivery. </w:t>
      </w:r>
      <w:r w:rsidR="00DF05BD" w:rsidRPr="00F853DD">
        <w:rPr>
          <w:rFonts w:ascii="Times" w:hAnsi="Times" w:cs="Times New Roman"/>
          <w:i/>
          <w:sz w:val="23"/>
          <w:szCs w:val="23"/>
        </w:rPr>
        <w:t>Neurology</w:t>
      </w:r>
      <w:r w:rsidR="00DF05BD" w:rsidRPr="00F853DD">
        <w:rPr>
          <w:rFonts w:ascii="Times" w:hAnsi="Times" w:cs="Times New Roman"/>
          <w:sz w:val="23"/>
          <w:szCs w:val="23"/>
        </w:rPr>
        <w:t xml:space="preserve">, </w:t>
      </w:r>
      <w:r w:rsidR="00DF05BD" w:rsidRPr="00F853DD">
        <w:rPr>
          <w:rFonts w:ascii="Times" w:hAnsi="Times" w:cs="Times New Roman"/>
          <w:b/>
          <w:sz w:val="23"/>
          <w:szCs w:val="23"/>
        </w:rPr>
        <w:t>51</w:t>
      </w:r>
      <w:r w:rsidR="00DF05BD" w:rsidRPr="00F853DD">
        <w:rPr>
          <w:rFonts w:ascii="Times" w:hAnsi="Times" w:cs="Times New Roman"/>
          <w:sz w:val="23"/>
          <w:szCs w:val="23"/>
        </w:rPr>
        <w:t>, 1245-1246.</w:t>
      </w:r>
    </w:p>
    <w:p w14:paraId="57490C0E" w14:textId="7C4C88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Carter, M. and Fuller, C.</w:t>
      </w:r>
      <w:r w:rsidR="00586AC1" w:rsidRPr="00F853DD">
        <w:rPr>
          <w:rFonts w:ascii="Times" w:hAnsi="Times" w:cs="Times New Roman"/>
          <w:sz w:val="23"/>
          <w:szCs w:val="23"/>
        </w:rPr>
        <w:t>,</w:t>
      </w:r>
      <w:r w:rsidR="00355579" w:rsidRPr="00F853DD">
        <w:rPr>
          <w:rFonts w:ascii="Times" w:hAnsi="Times" w:cs="Times New Roman"/>
          <w:sz w:val="23"/>
          <w:szCs w:val="23"/>
        </w:rPr>
        <w:t xml:space="preserve"> (2015). Symbolic i</w:t>
      </w:r>
      <w:r w:rsidRPr="00F853DD">
        <w:rPr>
          <w:rFonts w:ascii="Times" w:hAnsi="Times" w:cs="Times New Roman"/>
          <w:sz w:val="23"/>
          <w:szCs w:val="23"/>
        </w:rPr>
        <w:t xml:space="preserve">nteractionism. </w:t>
      </w:r>
      <w:r w:rsidRPr="00F853DD">
        <w:rPr>
          <w:rFonts w:ascii="Times" w:hAnsi="Times" w:cs="Times New Roman"/>
          <w:i/>
          <w:sz w:val="23"/>
          <w:szCs w:val="23"/>
        </w:rPr>
        <w:t>Sociopedia</w:t>
      </w:r>
      <w:r w:rsidRPr="00F853DD">
        <w:rPr>
          <w:rFonts w:ascii="Times" w:hAnsi="Times" w:cs="Times New Roman"/>
          <w:sz w:val="23"/>
          <w:szCs w:val="23"/>
        </w:rPr>
        <w:t>.isa.</w:t>
      </w:r>
    </w:p>
    <w:p w14:paraId="28604FFA" w14:textId="7DC747F2"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Carver, C.</w:t>
      </w:r>
      <w:r w:rsidR="00DF05BD" w:rsidRPr="00F853DD">
        <w:rPr>
          <w:rFonts w:ascii="Times" w:hAnsi="Times" w:cs="Times New Roman"/>
          <w:sz w:val="23"/>
          <w:szCs w:val="23"/>
        </w:rPr>
        <w:t xml:space="preserve"> (1997). You want to measure coping but your protocol's too long: Consider the brief C</w:t>
      </w:r>
      <w:r w:rsidR="00156F0A" w:rsidRPr="00F853DD">
        <w:rPr>
          <w:rFonts w:ascii="Times" w:hAnsi="Times" w:cs="Times New Roman"/>
          <w:sz w:val="23"/>
          <w:szCs w:val="23"/>
        </w:rPr>
        <w:t>OPE</w:t>
      </w:r>
      <w:r w:rsidR="00DF05BD" w:rsidRPr="00F853DD">
        <w:rPr>
          <w:rFonts w:ascii="Times" w:hAnsi="Times" w:cs="Times New Roman"/>
          <w:sz w:val="23"/>
          <w:szCs w:val="23"/>
        </w:rPr>
        <w:t xml:space="preserve">. </w:t>
      </w:r>
      <w:r w:rsidR="00DF05BD" w:rsidRPr="00F853DD">
        <w:rPr>
          <w:rFonts w:ascii="Times" w:hAnsi="Times" w:cs="Times New Roman"/>
          <w:i/>
          <w:sz w:val="23"/>
          <w:szCs w:val="23"/>
        </w:rPr>
        <w:t>International Journal of Behavioral Medicine</w:t>
      </w:r>
      <w:r w:rsidR="0035557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w:t>
      </w:r>
      <w:r w:rsidR="00156F0A" w:rsidRPr="00F853DD">
        <w:rPr>
          <w:rFonts w:ascii="Times" w:hAnsi="Times" w:cs="Times New Roman"/>
          <w:sz w:val="23"/>
          <w:szCs w:val="23"/>
        </w:rPr>
        <w:t>(1)</w:t>
      </w:r>
      <w:r w:rsidR="00DF05BD" w:rsidRPr="00F853DD">
        <w:rPr>
          <w:rFonts w:ascii="Times" w:hAnsi="Times" w:cs="Times New Roman"/>
          <w:sz w:val="23"/>
          <w:szCs w:val="23"/>
        </w:rPr>
        <w:t>, 92-100.</w:t>
      </w:r>
    </w:p>
    <w:p w14:paraId="11E8E9F6" w14:textId="7BC127BC"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Carver, C.</w:t>
      </w:r>
      <w:r w:rsidR="00586AC1" w:rsidRPr="00F853DD">
        <w:rPr>
          <w:rFonts w:ascii="Times" w:hAnsi="Times" w:cs="Times New Roman"/>
          <w:sz w:val="23"/>
          <w:szCs w:val="23"/>
        </w:rPr>
        <w:t>,</w:t>
      </w:r>
      <w:r w:rsidR="00DF05BD" w:rsidRPr="00F853DD">
        <w:rPr>
          <w:rFonts w:ascii="Times" w:hAnsi="Times" w:cs="Times New Roman"/>
          <w:sz w:val="23"/>
          <w:szCs w:val="23"/>
        </w:rPr>
        <w:t xml:space="preserve"> (1</w:t>
      </w:r>
      <w:r w:rsidR="00355579" w:rsidRPr="00F853DD">
        <w:rPr>
          <w:rFonts w:ascii="Times" w:hAnsi="Times" w:cs="Times New Roman"/>
          <w:sz w:val="23"/>
          <w:szCs w:val="23"/>
        </w:rPr>
        <w:t>998). Resilience and thriving: i</w:t>
      </w:r>
      <w:r w:rsidR="00DF05BD" w:rsidRPr="00F853DD">
        <w:rPr>
          <w:rFonts w:ascii="Times" w:hAnsi="Times" w:cs="Times New Roman"/>
          <w:sz w:val="23"/>
          <w:szCs w:val="23"/>
        </w:rPr>
        <w:t xml:space="preserve">ssues, models, and linkages. </w:t>
      </w:r>
      <w:r w:rsidR="00DF05BD" w:rsidRPr="00F853DD">
        <w:rPr>
          <w:rFonts w:ascii="Times" w:hAnsi="Times" w:cs="Times New Roman"/>
          <w:i/>
          <w:sz w:val="23"/>
          <w:szCs w:val="23"/>
        </w:rPr>
        <w:t>Journal of Social Issues</w:t>
      </w:r>
      <w:r w:rsidR="0035557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54</w:t>
      </w:r>
      <w:r w:rsidR="007B6DF3" w:rsidRPr="00F853DD">
        <w:rPr>
          <w:rFonts w:ascii="Times" w:hAnsi="Times" w:cs="Times New Roman"/>
          <w:sz w:val="23"/>
          <w:szCs w:val="23"/>
        </w:rPr>
        <w:t>(2)</w:t>
      </w:r>
      <w:r w:rsidR="00DF05BD" w:rsidRPr="00F853DD">
        <w:rPr>
          <w:rFonts w:ascii="Times" w:hAnsi="Times" w:cs="Times New Roman"/>
          <w:sz w:val="23"/>
          <w:szCs w:val="23"/>
        </w:rPr>
        <w:t>, 245-266.</w:t>
      </w:r>
    </w:p>
    <w:p w14:paraId="2F64486D" w14:textId="40720F9B"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Carver, C., Scheier, M. and Weintraub, J.</w:t>
      </w:r>
      <w:r w:rsidR="00586AC1" w:rsidRPr="00F853DD">
        <w:rPr>
          <w:rFonts w:ascii="Times" w:hAnsi="Times" w:cs="Times New Roman"/>
          <w:sz w:val="23"/>
          <w:szCs w:val="23"/>
        </w:rPr>
        <w:t>,</w:t>
      </w:r>
      <w:r w:rsidR="00355579" w:rsidRPr="00F853DD">
        <w:rPr>
          <w:rFonts w:ascii="Times" w:hAnsi="Times" w:cs="Times New Roman"/>
          <w:sz w:val="23"/>
          <w:szCs w:val="23"/>
        </w:rPr>
        <w:t xml:space="preserve"> (1989). Assessing coping s</w:t>
      </w:r>
      <w:r w:rsidR="00DF05BD" w:rsidRPr="00F853DD">
        <w:rPr>
          <w:rFonts w:ascii="Times" w:hAnsi="Times" w:cs="Times New Roman"/>
          <w:sz w:val="23"/>
          <w:szCs w:val="23"/>
        </w:rPr>
        <w:t xml:space="preserve">trategies: </w:t>
      </w:r>
      <w:r w:rsidR="00355579" w:rsidRPr="00F853DD">
        <w:rPr>
          <w:rFonts w:ascii="Times" w:hAnsi="Times" w:cs="Times New Roman"/>
          <w:sz w:val="23"/>
          <w:szCs w:val="23"/>
        </w:rPr>
        <w:t>a theoretically b</w:t>
      </w:r>
      <w:r w:rsidR="00DF05BD" w:rsidRPr="00F853DD">
        <w:rPr>
          <w:rFonts w:ascii="Times" w:hAnsi="Times" w:cs="Times New Roman"/>
          <w:sz w:val="23"/>
          <w:szCs w:val="23"/>
        </w:rPr>
        <w:t xml:space="preserve">ased Approach. </w:t>
      </w:r>
      <w:r w:rsidR="00DF05BD" w:rsidRPr="00F853DD">
        <w:rPr>
          <w:rFonts w:ascii="Times" w:hAnsi="Times" w:cs="Times New Roman"/>
          <w:i/>
          <w:sz w:val="23"/>
          <w:szCs w:val="23"/>
        </w:rPr>
        <w:t>Journal of Personality and Social Psychology</w:t>
      </w:r>
      <w:r w:rsidR="0035557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56</w:t>
      </w:r>
      <w:r w:rsidR="00156F0A" w:rsidRPr="00F853DD">
        <w:rPr>
          <w:rFonts w:ascii="Times" w:hAnsi="Times" w:cs="Times New Roman"/>
          <w:sz w:val="23"/>
          <w:szCs w:val="23"/>
        </w:rPr>
        <w:t>(2)</w:t>
      </w:r>
      <w:r w:rsidR="00DF05BD" w:rsidRPr="00F853DD">
        <w:rPr>
          <w:rFonts w:ascii="Times" w:hAnsi="Times" w:cs="Times New Roman"/>
          <w:sz w:val="23"/>
          <w:szCs w:val="23"/>
        </w:rPr>
        <w:t>, 267-283.</w:t>
      </w:r>
    </w:p>
    <w:p w14:paraId="353B5112" w14:textId="5D5FF95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w:t>
      </w:r>
      <w:r w:rsidR="00FF647E" w:rsidRPr="00F853DD">
        <w:rPr>
          <w:rFonts w:ascii="Times" w:hAnsi="Times" w:cs="Times New Roman"/>
          <w:sz w:val="23"/>
          <w:szCs w:val="23"/>
        </w:rPr>
        <w:t>ry, M., Hill, L.</w:t>
      </w:r>
      <w:r w:rsidRPr="00F853DD">
        <w:rPr>
          <w:rFonts w:ascii="Times" w:hAnsi="Times" w:cs="Times New Roman"/>
          <w:sz w:val="23"/>
          <w:szCs w:val="23"/>
        </w:rPr>
        <w:t>, Walker, J. and Whitfield, K.</w:t>
      </w:r>
      <w:r w:rsidR="00586AC1" w:rsidRPr="00F853DD">
        <w:rPr>
          <w:rFonts w:ascii="Times" w:hAnsi="Times" w:cs="Times New Roman"/>
          <w:sz w:val="23"/>
          <w:szCs w:val="23"/>
        </w:rPr>
        <w:t>,</w:t>
      </w:r>
      <w:r w:rsidRPr="00F853DD">
        <w:rPr>
          <w:rFonts w:ascii="Times" w:hAnsi="Times" w:cs="Times New Roman"/>
          <w:sz w:val="23"/>
          <w:szCs w:val="23"/>
        </w:rPr>
        <w:t xml:space="preserve"> (2016). Psychosocial factors, functioning and resilience among older African American women.  </w:t>
      </w:r>
      <w:r w:rsidRPr="00F853DD">
        <w:rPr>
          <w:rFonts w:ascii="Times" w:hAnsi="Times" w:cs="Times New Roman"/>
          <w:i/>
          <w:sz w:val="23"/>
          <w:szCs w:val="23"/>
        </w:rPr>
        <w:t>Gerontologist</w:t>
      </w:r>
      <w:r w:rsidR="0035557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w:t>
      </w:r>
      <w:r w:rsidRPr="00F853DD">
        <w:rPr>
          <w:rFonts w:ascii="Times" w:hAnsi="Times" w:cs="Times New Roman"/>
          <w:sz w:val="23"/>
          <w:szCs w:val="23"/>
        </w:rPr>
        <w:t>, 472-473.</w:t>
      </w:r>
    </w:p>
    <w:p w14:paraId="3FA1E05A" w14:textId="1220E8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Cass,</w:t>
      </w:r>
      <w:r w:rsidR="00355579" w:rsidRPr="00F853DD">
        <w:rPr>
          <w:rFonts w:ascii="Times" w:hAnsi="Times" w:cs="Times New Roman"/>
          <w:sz w:val="23"/>
          <w:szCs w:val="23"/>
        </w:rPr>
        <w:t xml:space="preserve"> B. Young carers in Australia: u</w:t>
      </w:r>
      <w:r w:rsidRPr="00F853DD">
        <w:rPr>
          <w:rFonts w:ascii="Times" w:hAnsi="Times" w:cs="Times New Roman"/>
          <w:sz w:val="23"/>
          <w:szCs w:val="23"/>
        </w:rPr>
        <w:t xml:space="preserve">nderstanding the advantages and disadvantages of their care giving. In: families, community services and indigenous affairs (ed.) No. 38 </w:t>
      </w:r>
    </w:p>
    <w:p w14:paraId="4028BB1B" w14:textId="5CDA702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w:t>
      </w:r>
      <w:r w:rsidRPr="00F853DD">
        <w:rPr>
          <w:rFonts w:ascii="Times" w:hAnsi="Times"/>
          <w:sz w:val="23"/>
          <w:szCs w:val="23"/>
        </w:rPr>
        <w:t>astiello, M., del Barrio, É., Castejon, P., Tortosa, M., Sundström, G., Malmberg, B. and Johansson, L</w:t>
      </w:r>
      <w:r w:rsidR="00586AC1" w:rsidRPr="00F853DD">
        <w:rPr>
          <w:rFonts w:ascii="Times" w:hAnsi="Times"/>
          <w:sz w:val="23"/>
          <w:szCs w:val="23"/>
        </w:rPr>
        <w:t>.,</w:t>
      </w:r>
      <w:r w:rsidRPr="00F853DD">
        <w:rPr>
          <w:rFonts w:ascii="Times" w:hAnsi="Times"/>
          <w:sz w:val="23"/>
          <w:szCs w:val="23"/>
        </w:rPr>
        <w:t xml:space="preserve"> (2008). </w:t>
      </w:r>
      <w:r w:rsidRPr="00F853DD">
        <w:rPr>
          <w:rFonts w:ascii="Times" w:hAnsi="Times"/>
          <w:i/>
          <w:sz w:val="23"/>
          <w:szCs w:val="23"/>
        </w:rPr>
        <w:t>Fam</w:t>
      </w:r>
      <w:r w:rsidR="00355579" w:rsidRPr="00F853DD">
        <w:rPr>
          <w:rFonts w:ascii="Times" w:hAnsi="Times"/>
          <w:i/>
          <w:sz w:val="23"/>
          <w:szCs w:val="23"/>
        </w:rPr>
        <w:t>ily care for elders in Europe: p</w:t>
      </w:r>
      <w:r w:rsidRPr="00F853DD">
        <w:rPr>
          <w:rFonts w:ascii="Times" w:hAnsi="Times"/>
          <w:i/>
          <w:sz w:val="23"/>
          <w:szCs w:val="23"/>
        </w:rPr>
        <w:t>olicies and practices.</w:t>
      </w:r>
    </w:p>
    <w:p w14:paraId="759ECF8D" w14:textId="6B5F805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Castle, N.G.</w:t>
      </w:r>
      <w:r w:rsidR="00586AC1" w:rsidRPr="00F853DD">
        <w:rPr>
          <w:rFonts w:ascii="Times" w:hAnsi="Times" w:cs="Times New Roman"/>
          <w:sz w:val="23"/>
          <w:szCs w:val="23"/>
        </w:rPr>
        <w:t>,</w:t>
      </w:r>
      <w:r w:rsidRPr="00F853DD">
        <w:rPr>
          <w:rFonts w:ascii="Times" w:hAnsi="Times" w:cs="Times New Roman"/>
          <w:sz w:val="23"/>
          <w:szCs w:val="23"/>
        </w:rPr>
        <w:t xml:space="preserve"> (2001). Relocation of the elderly. </w:t>
      </w:r>
      <w:r w:rsidRPr="00F853DD">
        <w:rPr>
          <w:rFonts w:ascii="Times" w:hAnsi="Times" w:cs="Times New Roman"/>
          <w:i/>
          <w:sz w:val="23"/>
          <w:szCs w:val="23"/>
        </w:rPr>
        <w:t>Medical care research and review</w:t>
      </w:r>
      <w:r w:rsidR="00BE485F"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58</w:t>
      </w:r>
      <w:r w:rsidRPr="00F853DD">
        <w:rPr>
          <w:rFonts w:ascii="Times" w:hAnsi="Times" w:cs="Times New Roman"/>
          <w:sz w:val="23"/>
          <w:szCs w:val="23"/>
        </w:rPr>
        <w:t>(3), 291-333. </w:t>
      </w:r>
    </w:p>
    <w:p w14:paraId="688D3EC5" w14:textId="3DDB2CD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Cepoiu-Martin, M., Tam-Tham, H., Patten, S.,</w:t>
      </w:r>
      <w:r w:rsidR="00FF647E" w:rsidRPr="00F853DD">
        <w:rPr>
          <w:rFonts w:ascii="Times" w:hAnsi="Times" w:cs="Times New Roman"/>
          <w:sz w:val="23"/>
          <w:szCs w:val="23"/>
        </w:rPr>
        <w:t xml:space="preserve"> Maxwell, C. and Hogan, D.</w:t>
      </w:r>
      <w:r w:rsidR="00586AC1" w:rsidRPr="00F853DD">
        <w:rPr>
          <w:rFonts w:ascii="Times" w:hAnsi="Times" w:cs="Times New Roman"/>
          <w:sz w:val="23"/>
          <w:szCs w:val="23"/>
        </w:rPr>
        <w:t>,</w:t>
      </w:r>
      <w:r w:rsidRPr="00F853DD">
        <w:rPr>
          <w:rFonts w:ascii="Times" w:hAnsi="Times" w:cs="Times New Roman"/>
          <w:sz w:val="23"/>
          <w:szCs w:val="23"/>
        </w:rPr>
        <w:t xml:space="preserve"> (2016). Predictors of long-term care placement in persons with dementia: a systematic review and meta-analysis. </w:t>
      </w:r>
      <w:r w:rsidRPr="00F853DD">
        <w:rPr>
          <w:rFonts w:ascii="Times" w:hAnsi="Times" w:cs="Times New Roman"/>
          <w:i/>
          <w:sz w:val="23"/>
          <w:szCs w:val="23"/>
        </w:rPr>
        <w:t>International Journal of Geriatric Psychiatry</w:t>
      </w:r>
      <w:r w:rsidR="00BE48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007B6DF3" w:rsidRPr="00F853DD">
        <w:rPr>
          <w:rFonts w:ascii="Times" w:hAnsi="Times" w:cs="Times New Roman"/>
          <w:sz w:val="23"/>
          <w:szCs w:val="23"/>
        </w:rPr>
        <w:t>(11)</w:t>
      </w:r>
      <w:r w:rsidRPr="00F853DD">
        <w:rPr>
          <w:rFonts w:ascii="Times" w:hAnsi="Times" w:cs="Times New Roman"/>
          <w:sz w:val="23"/>
          <w:szCs w:val="23"/>
        </w:rPr>
        <w:t>, 1151-1171.</w:t>
      </w:r>
    </w:p>
    <w:p w14:paraId="0DADF0A6" w14:textId="2E1ADE00" w:rsidR="00DF05BD" w:rsidRPr="00F853DD" w:rsidRDefault="00586AC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Chalcroft, S.,</w:t>
      </w:r>
      <w:r w:rsidR="00DF05BD" w:rsidRPr="00F853DD">
        <w:rPr>
          <w:rFonts w:ascii="Times" w:hAnsi="Times" w:cs="Times New Roman"/>
          <w:sz w:val="23"/>
          <w:szCs w:val="23"/>
        </w:rPr>
        <w:t xml:space="preserve"> (2010</w:t>
      </w:r>
      <w:r w:rsidR="00BE485F" w:rsidRPr="00F853DD">
        <w:rPr>
          <w:rFonts w:ascii="Times" w:hAnsi="Times" w:cs="Times New Roman"/>
          <w:sz w:val="23"/>
          <w:szCs w:val="23"/>
        </w:rPr>
        <w:t>). Assigning “</w:t>
      </w:r>
      <w:r w:rsidR="00DF05BD" w:rsidRPr="00F853DD">
        <w:rPr>
          <w:rFonts w:ascii="Times" w:hAnsi="Times" w:cs="Times New Roman"/>
          <w:sz w:val="23"/>
          <w:szCs w:val="23"/>
        </w:rPr>
        <w:t>frailty</w:t>
      </w:r>
      <w:r w:rsidR="00BE485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i/>
          <w:sz w:val="23"/>
          <w:szCs w:val="23"/>
        </w:rPr>
        <w:t>Age and ageing</w:t>
      </w:r>
      <w:r w:rsidR="00BE485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39</w:t>
      </w:r>
      <w:r w:rsidR="007B6DF3" w:rsidRPr="00F853DD">
        <w:rPr>
          <w:rFonts w:ascii="Times" w:hAnsi="Times" w:cs="Times New Roman"/>
          <w:sz w:val="23"/>
          <w:szCs w:val="23"/>
        </w:rPr>
        <w:t>(3)</w:t>
      </w:r>
      <w:r w:rsidR="00DF05BD" w:rsidRPr="00F853DD">
        <w:rPr>
          <w:rFonts w:ascii="Times" w:hAnsi="Times" w:cs="Times New Roman"/>
          <w:sz w:val="23"/>
          <w:szCs w:val="23"/>
        </w:rPr>
        <w:t>, 405</w:t>
      </w:r>
    </w:p>
    <w:p w14:paraId="64F5C50D" w14:textId="4A754F4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Chan, S.</w:t>
      </w:r>
      <w:r w:rsidR="00586AC1" w:rsidRPr="00F853DD">
        <w:rPr>
          <w:rFonts w:ascii="Times" w:hAnsi="Times" w:cs="Times New Roman"/>
          <w:sz w:val="23"/>
          <w:szCs w:val="23"/>
        </w:rPr>
        <w:t>,</w:t>
      </w:r>
      <w:r w:rsidRPr="00F853DD">
        <w:rPr>
          <w:rFonts w:ascii="Times" w:hAnsi="Times" w:cs="Times New Roman"/>
          <w:sz w:val="23"/>
          <w:szCs w:val="23"/>
        </w:rPr>
        <w:t xml:space="preserve"> (2010). </w:t>
      </w:r>
      <w:r w:rsidR="00BE485F" w:rsidRPr="00F853DD">
        <w:rPr>
          <w:rFonts w:ascii="Times" w:hAnsi="Times" w:cs="Times New Roman"/>
          <w:sz w:val="23"/>
          <w:szCs w:val="23"/>
        </w:rPr>
        <w:t>Family caregiving in dementia: t</w:t>
      </w:r>
      <w:r w:rsidRPr="00F853DD">
        <w:rPr>
          <w:rFonts w:ascii="Times" w:hAnsi="Times" w:cs="Times New Roman"/>
          <w:sz w:val="23"/>
          <w:szCs w:val="23"/>
        </w:rPr>
        <w:t xml:space="preserve">he Asian perspective of a global problem. </w:t>
      </w:r>
      <w:r w:rsidRPr="00F853DD">
        <w:rPr>
          <w:rFonts w:ascii="Times" w:hAnsi="Times" w:cs="Times New Roman"/>
          <w:i/>
          <w:sz w:val="23"/>
          <w:szCs w:val="23"/>
        </w:rPr>
        <w:t>Dementia and geriatric cognitive disorders</w:t>
      </w:r>
      <w:r w:rsidR="00BE48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007B6DF3" w:rsidRPr="00F853DD">
        <w:rPr>
          <w:rFonts w:ascii="Times" w:hAnsi="Times" w:cs="Times New Roman"/>
          <w:sz w:val="23"/>
          <w:szCs w:val="23"/>
        </w:rPr>
        <w:t>(6)</w:t>
      </w:r>
      <w:r w:rsidRPr="00F853DD">
        <w:rPr>
          <w:rFonts w:ascii="Times" w:hAnsi="Times" w:cs="Times New Roman"/>
          <w:sz w:val="23"/>
          <w:szCs w:val="23"/>
        </w:rPr>
        <w:t>, 469-478.</w:t>
      </w:r>
    </w:p>
    <w:p w14:paraId="43957F21" w14:textId="168A1F6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Chang, B., Noonan, A. and Tennstedt, S.</w:t>
      </w:r>
      <w:r w:rsidR="00586AC1" w:rsidRPr="00F853DD">
        <w:rPr>
          <w:rFonts w:ascii="Times" w:hAnsi="Times" w:cs="Times New Roman"/>
          <w:sz w:val="23"/>
          <w:szCs w:val="23"/>
        </w:rPr>
        <w:t>,</w:t>
      </w:r>
      <w:r w:rsidRPr="00F853DD">
        <w:rPr>
          <w:rFonts w:ascii="Times" w:hAnsi="Times" w:cs="Times New Roman"/>
          <w:sz w:val="23"/>
          <w:szCs w:val="23"/>
        </w:rPr>
        <w:t xml:space="preserve"> (1998). The role of religion/spirituality in coping with caregiving for dis</w:t>
      </w:r>
      <w:r w:rsidR="00BE485F" w:rsidRPr="00F853DD">
        <w:rPr>
          <w:rFonts w:ascii="Times" w:hAnsi="Times" w:cs="Times New Roman"/>
          <w:sz w:val="23"/>
          <w:szCs w:val="23"/>
        </w:rPr>
        <w:t xml:space="preserve">abled elders. </w:t>
      </w:r>
      <w:r w:rsidR="00BE485F" w:rsidRPr="00F853DD">
        <w:rPr>
          <w:rFonts w:ascii="Times" w:hAnsi="Times" w:cs="Times New Roman"/>
          <w:i/>
          <w:sz w:val="23"/>
          <w:szCs w:val="23"/>
        </w:rPr>
        <w:t>The Gerontologist</w:t>
      </w:r>
      <w:r w:rsidR="00BE48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(4), 463-470.</w:t>
      </w:r>
    </w:p>
    <w:p w14:paraId="45D7A1F4" w14:textId="26A42B8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Chandran, D., Corbin, J. and Shillam, C.</w:t>
      </w:r>
      <w:r w:rsidR="00586AC1" w:rsidRPr="00F853DD">
        <w:rPr>
          <w:rFonts w:ascii="Times" w:hAnsi="Times" w:cs="Times New Roman"/>
          <w:sz w:val="23"/>
          <w:szCs w:val="23"/>
        </w:rPr>
        <w:t>,</w:t>
      </w:r>
      <w:r w:rsidRPr="00F853DD">
        <w:rPr>
          <w:rFonts w:ascii="Times" w:hAnsi="Times" w:cs="Times New Roman"/>
          <w:sz w:val="23"/>
          <w:szCs w:val="23"/>
        </w:rPr>
        <w:t xml:space="preserve"> (2016). An ecological understanding of caregiver experiences in palliative care. </w:t>
      </w:r>
      <w:r w:rsidRPr="00F853DD">
        <w:rPr>
          <w:rFonts w:ascii="Times" w:hAnsi="Times" w:cs="Times New Roman"/>
          <w:i/>
          <w:sz w:val="23"/>
          <w:szCs w:val="23"/>
        </w:rPr>
        <w:t>Journal of Social Work in End-of-Life and Palliative Car</w:t>
      </w:r>
      <w:r w:rsidR="00BE485F" w:rsidRPr="00F853DD">
        <w:rPr>
          <w:rFonts w:ascii="Times" w:hAnsi="Times" w:cs="Times New Roman"/>
          <w:sz w:val="23"/>
          <w:szCs w:val="23"/>
        </w:rPr>
        <w:t>e.</w:t>
      </w:r>
      <w:r w:rsidRPr="00F853DD">
        <w:rPr>
          <w:rFonts w:ascii="Times" w:hAnsi="Times" w:cs="Times New Roman"/>
          <w:sz w:val="23"/>
          <w:szCs w:val="23"/>
        </w:rPr>
        <w:t xml:space="preserve"> </w:t>
      </w:r>
      <w:r w:rsidRPr="00F853DD">
        <w:rPr>
          <w:rFonts w:ascii="Times" w:hAnsi="Times" w:cs="Times New Roman"/>
          <w:b/>
          <w:sz w:val="23"/>
          <w:szCs w:val="23"/>
        </w:rPr>
        <w:t>12</w:t>
      </w:r>
      <w:r w:rsidR="007B6DF3" w:rsidRPr="00F853DD">
        <w:rPr>
          <w:rFonts w:ascii="Times" w:hAnsi="Times" w:cs="Times New Roman"/>
          <w:sz w:val="23"/>
          <w:szCs w:val="23"/>
        </w:rPr>
        <w:t>(1-2)</w:t>
      </w:r>
      <w:r w:rsidRPr="00F853DD">
        <w:rPr>
          <w:rFonts w:ascii="Times" w:hAnsi="Times" w:cs="Times New Roman"/>
          <w:sz w:val="23"/>
          <w:szCs w:val="23"/>
        </w:rPr>
        <w:t>, 162-182.</w:t>
      </w:r>
    </w:p>
    <w:p w14:paraId="7C6CEA40" w14:textId="2152493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Chao, D.</w:t>
      </w:r>
      <w:r w:rsidR="00586AC1" w:rsidRPr="00F853DD">
        <w:rPr>
          <w:rFonts w:ascii="Times" w:hAnsi="Times" w:cs="Times New Roman"/>
          <w:sz w:val="23"/>
          <w:szCs w:val="23"/>
        </w:rPr>
        <w:t>,</w:t>
      </w:r>
      <w:r w:rsidRPr="00F853DD">
        <w:rPr>
          <w:rFonts w:ascii="Times" w:hAnsi="Times" w:cs="Times New Roman"/>
          <w:sz w:val="23"/>
          <w:szCs w:val="23"/>
        </w:rPr>
        <w:t xml:space="preserve"> (2000). Appraisals of strain and of gain: effects on psychological wellbeing of caregivers of dementia patients. </w:t>
      </w:r>
      <w:r w:rsidRPr="00F853DD">
        <w:rPr>
          <w:rFonts w:ascii="Times" w:hAnsi="Times" w:cs="Times New Roman"/>
          <w:i/>
          <w:sz w:val="23"/>
          <w:szCs w:val="23"/>
        </w:rPr>
        <w:t>Aging and Mental Health</w:t>
      </w:r>
      <w:r w:rsidR="00BE48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w:t>
      </w:r>
      <w:r w:rsidR="007B6DF3" w:rsidRPr="00F853DD">
        <w:rPr>
          <w:rFonts w:ascii="Times" w:hAnsi="Times" w:cs="Times New Roman"/>
          <w:sz w:val="23"/>
          <w:szCs w:val="23"/>
        </w:rPr>
        <w:t>(2)</w:t>
      </w:r>
      <w:r w:rsidRPr="00F853DD">
        <w:rPr>
          <w:rFonts w:ascii="Times" w:hAnsi="Times" w:cs="Times New Roman"/>
          <w:sz w:val="23"/>
          <w:szCs w:val="23"/>
        </w:rPr>
        <w:t>, 142-147.</w:t>
      </w:r>
    </w:p>
    <w:p w14:paraId="79638691" w14:textId="64738C67" w:rsidR="00DF05BD" w:rsidRPr="00F853DD" w:rsidRDefault="00FF647E"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t>Chappell, N. and Funk, L.</w:t>
      </w:r>
      <w:r w:rsidR="00586AC1" w:rsidRPr="00F853DD">
        <w:rPr>
          <w:rFonts w:ascii="Times" w:hAnsi="Times" w:cs="Times New Roman"/>
          <w:sz w:val="23"/>
          <w:szCs w:val="23"/>
        </w:rPr>
        <w:t>,</w:t>
      </w:r>
      <w:r w:rsidR="00DF05BD" w:rsidRPr="00F853DD">
        <w:rPr>
          <w:rFonts w:ascii="Times" w:hAnsi="Times" w:cs="Times New Roman"/>
          <w:sz w:val="23"/>
          <w:szCs w:val="23"/>
        </w:rPr>
        <w:t xml:space="preserve"> (2011). Social support, caregiving, and aging. </w:t>
      </w:r>
      <w:r w:rsidR="00DF05BD" w:rsidRPr="00F853DD">
        <w:rPr>
          <w:rFonts w:ascii="Times" w:hAnsi="Times" w:cs="Times New Roman"/>
          <w:i/>
          <w:sz w:val="23"/>
          <w:szCs w:val="23"/>
          <w:lang w:val="fr-FR"/>
        </w:rPr>
        <w:t>Canadian Journal on Aging-Revue Canadienne Du Vieillissement</w:t>
      </w:r>
      <w:r w:rsidR="00BE485F" w:rsidRPr="00F853DD">
        <w:rPr>
          <w:rFonts w:ascii="Times" w:hAnsi="Times" w:cs="Times New Roman"/>
          <w:sz w:val="23"/>
          <w:szCs w:val="23"/>
          <w:lang w:val="fr-FR"/>
        </w:rPr>
        <w:t>.</w:t>
      </w:r>
      <w:r w:rsidR="00DF05BD" w:rsidRPr="00F853DD">
        <w:rPr>
          <w:rFonts w:ascii="Times" w:hAnsi="Times" w:cs="Times New Roman"/>
          <w:sz w:val="23"/>
          <w:szCs w:val="23"/>
          <w:lang w:val="fr-FR"/>
        </w:rPr>
        <w:t xml:space="preserve"> </w:t>
      </w:r>
      <w:r w:rsidR="00DF05BD" w:rsidRPr="00F853DD">
        <w:rPr>
          <w:rFonts w:ascii="Times" w:hAnsi="Times" w:cs="Times New Roman"/>
          <w:b/>
          <w:sz w:val="23"/>
          <w:szCs w:val="23"/>
          <w:lang w:val="fr-FR"/>
        </w:rPr>
        <w:t>30</w:t>
      </w:r>
      <w:r w:rsidR="007B6DF3" w:rsidRPr="00F853DD">
        <w:rPr>
          <w:rFonts w:ascii="Times" w:hAnsi="Times" w:cs="Times New Roman"/>
          <w:sz w:val="23"/>
          <w:szCs w:val="23"/>
          <w:lang w:val="fr-FR"/>
        </w:rPr>
        <w:t>(3)</w:t>
      </w:r>
      <w:r w:rsidR="00DF05BD" w:rsidRPr="00F853DD">
        <w:rPr>
          <w:rFonts w:ascii="Times" w:hAnsi="Times" w:cs="Times New Roman"/>
          <w:sz w:val="23"/>
          <w:szCs w:val="23"/>
          <w:lang w:val="fr-FR"/>
        </w:rPr>
        <w:t>, 355-370.</w:t>
      </w:r>
    </w:p>
    <w:p w14:paraId="7A2E6979" w14:textId="6124191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fr-FR"/>
        </w:rPr>
        <w:t>Chapple, A. and Rogers, A.</w:t>
      </w:r>
      <w:r w:rsidR="00586AC1" w:rsidRPr="00F853DD">
        <w:rPr>
          <w:rFonts w:ascii="Times" w:hAnsi="Times" w:cs="Times New Roman"/>
          <w:sz w:val="23"/>
          <w:szCs w:val="23"/>
          <w:lang w:val="fr-FR"/>
        </w:rPr>
        <w:t>,</w:t>
      </w:r>
      <w:r w:rsidRPr="00F853DD">
        <w:rPr>
          <w:rFonts w:ascii="Times" w:hAnsi="Times" w:cs="Times New Roman"/>
          <w:sz w:val="23"/>
          <w:szCs w:val="23"/>
          <w:lang w:val="fr-FR"/>
        </w:rPr>
        <w:t xml:space="preserve"> (1999). </w:t>
      </w:r>
      <w:r w:rsidR="00BE485F" w:rsidRPr="00F853DD">
        <w:rPr>
          <w:rFonts w:ascii="Times" w:hAnsi="Times" w:cs="Times New Roman"/>
          <w:sz w:val="23"/>
          <w:szCs w:val="23"/>
        </w:rPr>
        <w:t>‘Self-care’</w:t>
      </w:r>
      <w:r w:rsidRPr="00F853DD">
        <w:rPr>
          <w:rFonts w:ascii="Times" w:hAnsi="Times" w:cs="Times New Roman"/>
          <w:sz w:val="23"/>
          <w:szCs w:val="23"/>
        </w:rPr>
        <w:t xml:space="preserve"> and its relevance to developing demand management strategies: a review of qualitative research. </w:t>
      </w:r>
      <w:r w:rsidRPr="00F853DD">
        <w:rPr>
          <w:rFonts w:ascii="Times" w:hAnsi="Times" w:cs="Times New Roman"/>
          <w:i/>
          <w:sz w:val="23"/>
          <w:szCs w:val="23"/>
        </w:rPr>
        <w:t>Health and Social Care in the Community</w:t>
      </w:r>
      <w:r w:rsidR="00BE48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007B6DF3" w:rsidRPr="00F853DD">
        <w:rPr>
          <w:rFonts w:ascii="Times" w:hAnsi="Times" w:cs="Times New Roman"/>
          <w:sz w:val="23"/>
          <w:szCs w:val="23"/>
        </w:rPr>
        <w:t>(6)</w:t>
      </w:r>
      <w:r w:rsidRPr="00F853DD">
        <w:rPr>
          <w:rFonts w:ascii="Times" w:hAnsi="Times" w:cs="Times New Roman"/>
          <w:sz w:val="23"/>
          <w:szCs w:val="23"/>
        </w:rPr>
        <w:t>, 445-454.</w:t>
      </w:r>
    </w:p>
    <w:p w14:paraId="61915073" w14:textId="0CBE4B2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Cha</w:t>
      </w:r>
      <w:r w:rsidR="00FF647E" w:rsidRPr="00F853DD">
        <w:rPr>
          <w:rFonts w:ascii="Times" w:hAnsi="Times" w:cs="Times New Roman"/>
          <w:sz w:val="23"/>
          <w:szCs w:val="23"/>
        </w:rPr>
        <w:t>ri, A., Engberg, J., Ray, K.</w:t>
      </w:r>
      <w:r w:rsidRPr="00F853DD">
        <w:rPr>
          <w:rFonts w:ascii="Times" w:hAnsi="Times" w:cs="Times New Roman"/>
          <w:sz w:val="23"/>
          <w:szCs w:val="23"/>
        </w:rPr>
        <w:t xml:space="preserve"> and Mehrotra, A., 2015. The opportunity costs of informal elder</w:t>
      </w:r>
      <w:r w:rsidRPr="00F853DD">
        <w:rPr>
          <w:rFonts w:ascii="Cambria Math" w:hAnsi="Cambria Math" w:cs="Cambria Math"/>
          <w:sz w:val="23"/>
          <w:szCs w:val="23"/>
        </w:rPr>
        <w:t>‐</w:t>
      </w:r>
      <w:r w:rsidRPr="00F853DD">
        <w:rPr>
          <w:rFonts w:ascii="Times" w:hAnsi="Times" w:cs="Times New Roman"/>
          <w:sz w:val="23"/>
          <w:szCs w:val="23"/>
        </w:rPr>
        <w:t xml:space="preserve">care in the United States: new estimates from the American time use survey. </w:t>
      </w:r>
      <w:r w:rsidRPr="00F853DD">
        <w:rPr>
          <w:rFonts w:ascii="Times" w:hAnsi="Times" w:cs="Times New Roman"/>
          <w:i/>
          <w:sz w:val="23"/>
          <w:szCs w:val="23"/>
        </w:rPr>
        <w:t xml:space="preserve">Health </w:t>
      </w:r>
      <w:r w:rsidR="00BE485F" w:rsidRPr="00F853DD">
        <w:rPr>
          <w:rFonts w:ascii="Times" w:hAnsi="Times" w:cs="Times New Roman"/>
          <w:i/>
          <w:sz w:val="23"/>
          <w:szCs w:val="23"/>
        </w:rPr>
        <w:t>S</w:t>
      </w:r>
      <w:r w:rsidRPr="00F853DD">
        <w:rPr>
          <w:rFonts w:ascii="Times" w:hAnsi="Times" w:cs="Times New Roman"/>
          <w:i/>
          <w:sz w:val="23"/>
          <w:szCs w:val="23"/>
        </w:rPr>
        <w:t xml:space="preserve">ervices </w:t>
      </w:r>
      <w:r w:rsidR="00BE485F" w:rsidRPr="00F853DD">
        <w:rPr>
          <w:rFonts w:ascii="Times" w:hAnsi="Times" w:cs="Times New Roman"/>
          <w:i/>
          <w:sz w:val="23"/>
          <w:szCs w:val="23"/>
        </w:rPr>
        <w:t>R</w:t>
      </w:r>
      <w:r w:rsidRPr="00F853DD">
        <w:rPr>
          <w:rFonts w:ascii="Times" w:hAnsi="Times" w:cs="Times New Roman"/>
          <w:i/>
          <w:sz w:val="23"/>
          <w:szCs w:val="23"/>
        </w:rPr>
        <w:t>esearch</w:t>
      </w:r>
      <w:r w:rsidR="00BE48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50</w:t>
      </w:r>
      <w:r w:rsidRPr="00F853DD">
        <w:rPr>
          <w:rFonts w:ascii="Times" w:hAnsi="Times" w:cs="Times New Roman"/>
          <w:sz w:val="23"/>
          <w:szCs w:val="23"/>
        </w:rPr>
        <w:t>(3), 871-882.</w:t>
      </w:r>
    </w:p>
    <w:p w14:paraId="1EC8319B" w14:textId="2E473EF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Charlesworth, S., Baines, D. and Cunningham, I.</w:t>
      </w:r>
      <w:r w:rsidR="00586AC1" w:rsidRPr="00F853DD">
        <w:rPr>
          <w:rFonts w:ascii="Times" w:hAnsi="Times" w:cs="Times New Roman"/>
          <w:sz w:val="23"/>
          <w:szCs w:val="23"/>
        </w:rPr>
        <w:t>,</w:t>
      </w:r>
      <w:r w:rsidR="00F246EE" w:rsidRPr="00F853DD">
        <w:rPr>
          <w:rFonts w:ascii="Times" w:hAnsi="Times" w:cs="Times New Roman"/>
          <w:sz w:val="23"/>
          <w:szCs w:val="23"/>
        </w:rPr>
        <w:t xml:space="preserve"> (2015). “</w:t>
      </w:r>
      <w:r w:rsidRPr="00F853DD">
        <w:rPr>
          <w:rFonts w:ascii="Times" w:hAnsi="Times" w:cs="Times New Roman"/>
          <w:sz w:val="23"/>
          <w:szCs w:val="23"/>
        </w:rPr>
        <w:t>If I had a family, there is no way that I could afford to work here</w:t>
      </w:r>
      <w:r w:rsidR="00F246EE" w:rsidRPr="00F853DD">
        <w:rPr>
          <w:rFonts w:ascii="Times" w:hAnsi="Times" w:cs="Times New Roman"/>
          <w:sz w:val="23"/>
          <w:szCs w:val="23"/>
        </w:rPr>
        <w:t>”: j</w:t>
      </w:r>
      <w:r w:rsidRPr="00F853DD">
        <w:rPr>
          <w:rFonts w:ascii="Times" w:hAnsi="Times" w:cs="Times New Roman"/>
          <w:sz w:val="23"/>
          <w:szCs w:val="23"/>
        </w:rPr>
        <w:t xml:space="preserve">uggling paid and unpaid care work in social services. </w:t>
      </w:r>
      <w:r w:rsidRPr="00F853DD">
        <w:rPr>
          <w:rFonts w:ascii="Times" w:hAnsi="Times" w:cs="Times New Roman"/>
          <w:i/>
          <w:sz w:val="23"/>
          <w:szCs w:val="23"/>
        </w:rPr>
        <w:t>Gender Work and Organization</w:t>
      </w:r>
      <w:r w:rsidR="00F246E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00CB3B64" w:rsidRPr="00F853DD">
        <w:rPr>
          <w:rFonts w:ascii="Times" w:hAnsi="Times" w:cs="Times New Roman"/>
          <w:sz w:val="23"/>
          <w:szCs w:val="23"/>
        </w:rPr>
        <w:t>(6)</w:t>
      </w:r>
      <w:r w:rsidRPr="00F853DD">
        <w:rPr>
          <w:rFonts w:ascii="Times" w:hAnsi="Times" w:cs="Times New Roman"/>
          <w:sz w:val="23"/>
          <w:szCs w:val="23"/>
        </w:rPr>
        <w:t>, 596-613.</w:t>
      </w:r>
    </w:p>
    <w:p w14:paraId="0123DB62" w14:textId="0109EAD6"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Chau, R., Foster, L. and Yu, S.</w:t>
      </w:r>
      <w:r w:rsidR="00586AC1" w:rsidRPr="00F853DD">
        <w:rPr>
          <w:rFonts w:ascii="Times" w:hAnsi="Times" w:cs="Times New Roman"/>
          <w:sz w:val="23"/>
          <w:szCs w:val="23"/>
        </w:rPr>
        <w:t>,</w:t>
      </w:r>
      <w:r w:rsidR="00DF05BD" w:rsidRPr="00F853DD">
        <w:rPr>
          <w:rFonts w:ascii="Times" w:hAnsi="Times" w:cs="Times New Roman"/>
          <w:sz w:val="23"/>
          <w:szCs w:val="23"/>
        </w:rPr>
        <w:t xml:space="preserve"> The effects of defamilization and familization measures on the accumulation of retirement income for women in the UK. </w:t>
      </w:r>
      <w:r w:rsidR="00DF05BD" w:rsidRPr="00F853DD">
        <w:rPr>
          <w:rFonts w:ascii="Times" w:hAnsi="Times" w:cs="Times New Roman"/>
          <w:i/>
          <w:sz w:val="23"/>
          <w:szCs w:val="23"/>
        </w:rPr>
        <w:t>Journal of Women and Aging</w:t>
      </w:r>
      <w:r w:rsidR="00F246E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29</w:t>
      </w:r>
      <w:r w:rsidR="00CB3B64" w:rsidRPr="00F853DD">
        <w:rPr>
          <w:rFonts w:ascii="Times" w:hAnsi="Times" w:cs="Times New Roman"/>
          <w:sz w:val="23"/>
          <w:szCs w:val="23"/>
        </w:rPr>
        <w:t>(6)</w:t>
      </w:r>
      <w:r w:rsidR="00DF05BD" w:rsidRPr="00F853DD">
        <w:rPr>
          <w:rFonts w:ascii="Times" w:hAnsi="Times" w:cs="Times New Roman"/>
          <w:sz w:val="23"/>
          <w:szCs w:val="23"/>
        </w:rPr>
        <w:t>, 551-561.</w:t>
      </w:r>
    </w:p>
    <w:p w14:paraId="57A3EA6F" w14:textId="55DD4B7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Cheal, D.</w:t>
      </w:r>
      <w:r w:rsidR="00586AC1" w:rsidRPr="00F853DD">
        <w:rPr>
          <w:rFonts w:ascii="Times" w:hAnsi="Times" w:cs="Times New Roman"/>
          <w:sz w:val="23"/>
          <w:szCs w:val="23"/>
        </w:rPr>
        <w:t>,</w:t>
      </w:r>
      <w:r w:rsidR="00F246EE" w:rsidRPr="00F853DD">
        <w:rPr>
          <w:rFonts w:ascii="Times" w:hAnsi="Times" w:cs="Times New Roman"/>
          <w:sz w:val="23"/>
          <w:szCs w:val="23"/>
        </w:rPr>
        <w:t xml:space="preserve"> (1999). The one and the many: modernity and p</w:t>
      </w:r>
      <w:r w:rsidRPr="00F853DD">
        <w:rPr>
          <w:rFonts w:ascii="Times" w:hAnsi="Times" w:cs="Times New Roman"/>
          <w:sz w:val="23"/>
          <w:szCs w:val="23"/>
        </w:rPr>
        <w:t xml:space="preserve">ostmodernity. In: Allan, G. (ed.) </w:t>
      </w:r>
      <w:r w:rsidR="00F246EE" w:rsidRPr="00F853DD">
        <w:rPr>
          <w:rFonts w:ascii="Times" w:hAnsi="Times" w:cs="Times New Roman"/>
          <w:i/>
          <w:sz w:val="23"/>
          <w:szCs w:val="23"/>
        </w:rPr>
        <w:t>The Sociology of the F</w:t>
      </w:r>
      <w:r w:rsidRPr="00F853DD">
        <w:rPr>
          <w:rFonts w:ascii="Times" w:hAnsi="Times" w:cs="Times New Roman"/>
          <w:i/>
          <w:sz w:val="23"/>
          <w:szCs w:val="23"/>
        </w:rPr>
        <w:t>amily: A reader</w:t>
      </w:r>
      <w:r w:rsidRPr="00F853DD">
        <w:rPr>
          <w:rFonts w:ascii="Times" w:hAnsi="Times" w:cs="Times New Roman"/>
          <w:sz w:val="23"/>
          <w:szCs w:val="23"/>
        </w:rPr>
        <w:t>. United Kingdom: Blackwell Publishers Ltd.</w:t>
      </w:r>
    </w:p>
    <w:p w14:paraId="46658821" w14:textId="6550AF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Cheal, D.</w:t>
      </w:r>
      <w:r w:rsidR="00586AC1" w:rsidRPr="00F853DD">
        <w:rPr>
          <w:rFonts w:ascii="Times" w:hAnsi="Times" w:cs="Times New Roman"/>
          <w:sz w:val="23"/>
          <w:szCs w:val="23"/>
        </w:rPr>
        <w:t>,</w:t>
      </w:r>
      <w:r w:rsidRPr="00F853DD">
        <w:rPr>
          <w:rFonts w:ascii="Times" w:hAnsi="Times" w:cs="Times New Roman"/>
          <w:sz w:val="23"/>
          <w:szCs w:val="23"/>
        </w:rPr>
        <w:t xml:space="preserve"> (2002). </w:t>
      </w:r>
      <w:r w:rsidR="00F246EE" w:rsidRPr="00F853DD">
        <w:rPr>
          <w:rFonts w:ascii="Times" w:hAnsi="Times" w:cs="Times New Roman"/>
          <w:i/>
          <w:sz w:val="23"/>
          <w:szCs w:val="23"/>
        </w:rPr>
        <w:t>Sociology of f</w:t>
      </w:r>
      <w:r w:rsidRPr="00F853DD">
        <w:rPr>
          <w:rFonts w:ascii="Times" w:hAnsi="Times" w:cs="Times New Roman"/>
          <w:i/>
          <w:sz w:val="23"/>
          <w:szCs w:val="23"/>
        </w:rPr>
        <w:t xml:space="preserve">amily </w:t>
      </w:r>
      <w:r w:rsidR="00F246EE" w:rsidRPr="00F853DD">
        <w:rPr>
          <w:rFonts w:ascii="Times" w:hAnsi="Times" w:cs="Times New Roman"/>
          <w:i/>
          <w:sz w:val="23"/>
          <w:szCs w:val="23"/>
        </w:rPr>
        <w:t>l</w:t>
      </w:r>
      <w:r w:rsidRPr="00F853DD">
        <w:rPr>
          <w:rFonts w:ascii="Times" w:hAnsi="Times" w:cs="Times New Roman"/>
          <w:i/>
          <w:sz w:val="23"/>
          <w:szCs w:val="23"/>
        </w:rPr>
        <w:t>ife</w:t>
      </w:r>
      <w:r w:rsidRPr="00F853DD">
        <w:rPr>
          <w:rFonts w:ascii="Times" w:hAnsi="Times" w:cs="Times New Roman"/>
          <w:sz w:val="23"/>
          <w:szCs w:val="23"/>
        </w:rPr>
        <w:t>. United Kingdom: Palgrave Macmillan.</w:t>
      </w:r>
    </w:p>
    <w:p w14:paraId="40243D32" w14:textId="71CAF117" w:rsidR="00DF05BD"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Checkovich, T</w:t>
      </w:r>
      <w:r w:rsidR="00DF05BD" w:rsidRPr="00F853DD">
        <w:rPr>
          <w:rFonts w:ascii="Times" w:hAnsi="Times" w:cs="Times New Roman"/>
          <w:sz w:val="23"/>
          <w:szCs w:val="23"/>
        </w:rPr>
        <w:t>.</w:t>
      </w:r>
      <w:r w:rsidR="00586AC1" w:rsidRPr="00F853DD">
        <w:rPr>
          <w:rFonts w:ascii="Times" w:hAnsi="Times" w:cs="Times New Roman"/>
          <w:sz w:val="23"/>
          <w:szCs w:val="23"/>
        </w:rPr>
        <w:t>,</w:t>
      </w:r>
      <w:r w:rsidR="00DF05BD" w:rsidRPr="00F853DD">
        <w:rPr>
          <w:rFonts w:ascii="Times" w:hAnsi="Times" w:cs="Times New Roman"/>
          <w:sz w:val="23"/>
          <w:szCs w:val="23"/>
        </w:rPr>
        <w:t xml:space="preserve"> And Stern, S. (2002). Shared caregiving responsibilities of adult siblings with elderly parents. </w:t>
      </w:r>
      <w:r w:rsidR="00DF05BD" w:rsidRPr="00F853DD">
        <w:rPr>
          <w:rFonts w:ascii="Times" w:hAnsi="Times" w:cs="Times New Roman"/>
          <w:i/>
          <w:sz w:val="23"/>
          <w:szCs w:val="23"/>
        </w:rPr>
        <w:t>Journal of Human Resources</w:t>
      </w:r>
      <w:r w:rsidR="00F246E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37</w:t>
      </w:r>
      <w:r w:rsidR="00DF05BD" w:rsidRPr="00F853DD">
        <w:rPr>
          <w:rFonts w:ascii="Times" w:hAnsi="Times" w:cs="Times New Roman"/>
          <w:sz w:val="23"/>
          <w:szCs w:val="23"/>
        </w:rPr>
        <w:t>, 441-478.</w:t>
      </w:r>
    </w:p>
    <w:p w14:paraId="0E4044B8" w14:textId="137C80E7" w:rsidR="00586AC1" w:rsidRPr="00F853DD" w:rsidRDefault="00586AC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Chen</w:t>
      </w:r>
      <w:r w:rsidRPr="00F853DD">
        <w:rPr>
          <w:rFonts w:ascii="Times" w:hAnsi="Times" w:cs="Times New Roman"/>
          <w:sz w:val="23"/>
          <w:szCs w:val="23"/>
          <w:lang w:val="en-TT"/>
        </w:rPr>
        <w:t>, J. and Jordan, L., (201</w:t>
      </w:r>
      <w:r w:rsidR="00CB3B64" w:rsidRPr="00F853DD">
        <w:rPr>
          <w:rFonts w:ascii="Times" w:hAnsi="Times" w:cs="Times New Roman"/>
          <w:sz w:val="23"/>
          <w:szCs w:val="23"/>
          <w:lang w:val="en-TT"/>
        </w:rPr>
        <w:t>8</w:t>
      </w:r>
      <w:r w:rsidRPr="00F853DD">
        <w:rPr>
          <w:rFonts w:ascii="Times" w:hAnsi="Times" w:cs="Times New Roman"/>
          <w:sz w:val="23"/>
          <w:szCs w:val="23"/>
          <w:lang w:val="en-TT"/>
        </w:rPr>
        <w:t xml:space="preserve">). </w:t>
      </w:r>
      <w:r w:rsidRPr="00F853DD">
        <w:rPr>
          <w:rFonts w:ascii="Times" w:hAnsi="Times" w:cs="Times New Roman"/>
          <w:sz w:val="23"/>
          <w:szCs w:val="23"/>
        </w:rPr>
        <w:t xml:space="preserve">Intergenerational support and life satisfaction of young, old- and oldest-old adults in China. </w:t>
      </w:r>
      <w:r w:rsidRPr="00F853DD">
        <w:rPr>
          <w:rFonts w:ascii="Times" w:hAnsi="Times" w:cs="Times New Roman"/>
          <w:i/>
          <w:sz w:val="23"/>
          <w:szCs w:val="23"/>
        </w:rPr>
        <w:t>Aging And Mental Health</w:t>
      </w:r>
      <w:r w:rsidR="00F246EE" w:rsidRPr="00F853DD">
        <w:rPr>
          <w:rFonts w:ascii="Times" w:hAnsi="Times" w:cs="Times New Roman"/>
          <w:sz w:val="23"/>
          <w:szCs w:val="23"/>
        </w:rPr>
        <w:t>.</w:t>
      </w:r>
      <w:r w:rsidRPr="00F853DD">
        <w:rPr>
          <w:rFonts w:ascii="Times" w:hAnsi="Times" w:cs="Times New Roman"/>
          <w:sz w:val="23"/>
          <w:szCs w:val="23"/>
        </w:rPr>
        <w:t xml:space="preserve"> </w:t>
      </w:r>
      <w:r w:rsidR="00CB3B64" w:rsidRPr="00F853DD">
        <w:rPr>
          <w:rFonts w:ascii="Times" w:hAnsi="Times" w:cs="Times New Roman"/>
          <w:sz w:val="23"/>
          <w:szCs w:val="23"/>
        </w:rPr>
        <w:t>22(3), pp.412-420.</w:t>
      </w:r>
    </w:p>
    <w:p w14:paraId="529904CF" w14:textId="29D97C36" w:rsidR="00586AC1" w:rsidRPr="00F853DD" w:rsidRDefault="00586AC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Chen, L., (2017). Power and ambivalence in in</w:t>
      </w:r>
      <w:r w:rsidR="00F246EE" w:rsidRPr="00F853DD">
        <w:rPr>
          <w:rFonts w:ascii="Times" w:hAnsi="Times" w:cs="Times New Roman"/>
          <w:sz w:val="23"/>
          <w:szCs w:val="23"/>
        </w:rPr>
        <w:t>tergenerational communication: d</w:t>
      </w:r>
      <w:r w:rsidRPr="00F853DD">
        <w:rPr>
          <w:rFonts w:ascii="Times" w:hAnsi="Times" w:cs="Times New Roman"/>
          <w:sz w:val="23"/>
          <w:szCs w:val="23"/>
        </w:rPr>
        <w:t xml:space="preserve">eciding to institutionalize in Shanghai. </w:t>
      </w:r>
      <w:r w:rsidRPr="00F853DD">
        <w:rPr>
          <w:rFonts w:ascii="Times" w:hAnsi="Times" w:cs="Times New Roman"/>
          <w:i/>
          <w:sz w:val="23"/>
          <w:szCs w:val="23"/>
        </w:rPr>
        <w:t>Journal of Aging Studies</w:t>
      </w:r>
      <w:r w:rsidR="00F246E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41</w:t>
      </w:r>
      <w:r w:rsidRPr="00F853DD">
        <w:rPr>
          <w:rFonts w:ascii="Times" w:hAnsi="Times" w:cs="Times New Roman"/>
          <w:sz w:val="23"/>
          <w:szCs w:val="23"/>
        </w:rPr>
        <w:t>, 44-51.</w:t>
      </w:r>
    </w:p>
    <w:p w14:paraId="535A5B5B" w14:textId="1D54D43C" w:rsidR="00586AC1" w:rsidRPr="00F853DD" w:rsidRDefault="00586AC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Chen, M., (2014). The growing costs and burden of family caregiving of older adults: A review of paid sick leave and family leave policies. </w:t>
      </w:r>
      <w:r w:rsidRPr="00F853DD">
        <w:rPr>
          <w:rFonts w:ascii="Times" w:hAnsi="Times" w:cs="Times New Roman"/>
          <w:i/>
          <w:sz w:val="23"/>
          <w:szCs w:val="23"/>
        </w:rPr>
        <w:t>The Gerontologist</w:t>
      </w:r>
      <w:r w:rsidR="00F246E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w:t>
      </w:r>
      <w:r w:rsidRPr="00F853DD">
        <w:rPr>
          <w:rFonts w:ascii="Times" w:hAnsi="Times" w:cs="Times New Roman"/>
          <w:sz w:val="23"/>
          <w:szCs w:val="23"/>
        </w:rPr>
        <w:t>(3), 391-396.</w:t>
      </w:r>
    </w:p>
    <w:p w14:paraId="4C6F89F3" w14:textId="7D6C8792" w:rsidR="00586AC1" w:rsidRPr="00F853DD" w:rsidRDefault="00FF647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Chen, W., Zhang, Z. and Hua, Z.</w:t>
      </w:r>
      <w:r w:rsidR="00586AC1" w:rsidRPr="00F853DD">
        <w:rPr>
          <w:rFonts w:ascii="Times" w:hAnsi="Times" w:cs="Times New Roman"/>
          <w:sz w:val="23"/>
          <w:szCs w:val="23"/>
        </w:rPr>
        <w:t xml:space="preserve">, (2015). Analysis of two-tier public service systems under a government subsidy policy. </w:t>
      </w:r>
      <w:r w:rsidR="00586AC1" w:rsidRPr="00F853DD">
        <w:rPr>
          <w:rFonts w:ascii="Times" w:hAnsi="Times" w:cs="Times New Roman"/>
          <w:i/>
          <w:sz w:val="23"/>
          <w:szCs w:val="23"/>
        </w:rPr>
        <w:t>Computers and Industrial Engineering</w:t>
      </w:r>
      <w:r w:rsidR="00F246EE" w:rsidRPr="00F853DD">
        <w:rPr>
          <w:rFonts w:ascii="Times" w:hAnsi="Times" w:cs="Times New Roman"/>
          <w:sz w:val="23"/>
          <w:szCs w:val="23"/>
        </w:rPr>
        <w:t>.</w:t>
      </w:r>
      <w:r w:rsidR="00586AC1" w:rsidRPr="00F853DD">
        <w:rPr>
          <w:rFonts w:ascii="Times" w:hAnsi="Times" w:cs="Times New Roman"/>
          <w:sz w:val="23"/>
          <w:szCs w:val="23"/>
        </w:rPr>
        <w:t xml:space="preserve"> </w:t>
      </w:r>
      <w:r w:rsidR="00586AC1" w:rsidRPr="00F853DD">
        <w:rPr>
          <w:rFonts w:ascii="Times" w:hAnsi="Times" w:cs="Times New Roman"/>
          <w:b/>
          <w:sz w:val="23"/>
          <w:szCs w:val="23"/>
        </w:rPr>
        <w:t>90</w:t>
      </w:r>
      <w:r w:rsidR="00586AC1" w:rsidRPr="00F853DD">
        <w:rPr>
          <w:rFonts w:ascii="Times" w:hAnsi="Times" w:cs="Times New Roman"/>
          <w:sz w:val="23"/>
          <w:szCs w:val="23"/>
        </w:rPr>
        <w:t>, 146-157.</w:t>
      </w:r>
    </w:p>
    <w:p w14:paraId="6E0C0B96" w14:textId="74F7F010" w:rsidR="00586AC1" w:rsidRPr="00F853DD" w:rsidRDefault="00586AC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Chen, X. and Silverstein, M., (2000). Intergenerational social support and the psychological well-being of older parents in China</w:t>
      </w:r>
      <w:r w:rsidRPr="00F853DD">
        <w:rPr>
          <w:rFonts w:ascii="Times" w:hAnsi="Times" w:cs="Times New Roman"/>
          <w:i/>
          <w:sz w:val="23"/>
          <w:szCs w:val="23"/>
        </w:rPr>
        <w:t>. Research on aging</w:t>
      </w:r>
      <w:r w:rsidR="00F246EE"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22</w:t>
      </w:r>
      <w:r w:rsidRPr="00F853DD">
        <w:rPr>
          <w:rFonts w:ascii="Times" w:hAnsi="Times" w:cs="Times New Roman"/>
          <w:sz w:val="23"/>
          <w:szCs w:val="23"/>
        </w:rPr>
        <w:t>(1), 43-65.</w:t>
      </w:r>
    </w:p>
    <w:p w14:paraId="5F25714D" w14:textId="2B460D65" w:rsidR="00586AC1" w:rsidRPr="00F853DD" w:rsidRDefault="00F3630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Chen, Y.</w:t>
      </w:r>
      <w:r w:rsidR="00586AC1" w:rsidRPr="00F853DD">
        <w:rPr>
          <w:rFonts w:ascii="Times" w:hAnsi="Times" w:cs="Times New Roman"/>
          <w:sz w:val="23"/>
          <w:szCs w:val="23"/>
        </w:rPr>
        <w:t xml:space="preserve">, Chen, H. and Song, P., (2018). Promises and pitfalls of integrating home-based health services into Shanghai's elder-care system. </w:t>
      </w:r>
      <w:r w:rsidR="00586AC1" w:rsidRPr="00F853DD">
        <w:rPr>
          <w:rFonts w:ascii="Times" w:hAnsi="Times" w:cs="Times New Roman"/>
          <w:i/>
          <w:sz w:val="23"/>
          <w:szCs w:val="23"/>
        </w:rPr>
        <w:t>Ageing &amp; Society</w:t>
      </w:r>
      <w:r w:rsidR="00F246EE" w:rsidRPr="00F853DD">
        <w:rPr>
          <w:rFonts w:ascii="Times" w:hAnsi="Times" w:cs="Times New Roman"/>
          <w:sz w:val="23"/>
          <w:szCs w:val="23"/>
        </w:rPr>
        <w:t>.</w:t>
      </w:r>
      <w:r w:rsidR="00586AC1" w:rsidRPr="00F853DD">
        <w:rPr>
          <w:rFonts w:ascii="Times" w:hAnsi="Times" w:cs="Times New Roman"/>
          <w:sz w:val="23"/>
          <w:szCs w:val="23"/>
        </w:rPr>
        <w:t xml:space="preserve"> 1-21.</w:t>
      </w:r>
    </w:p>
    <w:p w14:paraId="120E5223" w14:textId="2F7FA0CA" w:rsidR="00116D4D" w:rsidRPr="00F853DD" w:rsidRDefault="00116D4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Chernichovsky, D., Kaplan, A., Regev, E. and</w:t>
      </w:r>
      <w:r w:rsidR="00F246EE" w:rsidRPr="00F853DD">
        <w:rPr>
          <w:rFonts w:ascii="Times" w:hAnsi="Times" w:cs="Times New Roman"/>
          <w:sz w:val="23"/>
          <w:szCs w:val="23"/>
        </w:rPr>
        <w:t xml:space="preserve"> Stessman, J., 2017. </w:t>
      </w:r>
      <w:r w:rsidR="00F246EE" w:rsidRPr="00F853DD">
        <w:rPr>
          <w:rFonts w:ascii="Times" w:hAnsi="Times" w:cs="Times New Roman"/>
          <w:i/>
          <w:sz w:val="23"/>
          <w:szCs w:val="23"/>
        </w:rPr>
        <w:t>Long-term c</w:t>
      </w:r>
      <w:r w:rsidRPr="00F853DD">
        <w:rPr>
          <w:rFonts w:ascii="Times" w:hAnsi="Times" w:cs="Times New Roman"/>
          <w:i/>
          <w:sz w:val="23"/>
          <w:szCs w:val="23"/>
        </w:rPr>
        <w:t>are in Israel: funding and organization issues</w:t>
      </w:r>
      <w:r w:rsidRPr="00F853DD">
        <w:rPr>
          <w:rFonts w:ascii="Times" w:hAnsi="Times" w:cs="Times New Roman"/>
          <w:sz w:val="23"/>
          <w:szCs w:val="23"/>
        </w:rPr>
        <w:t>. Jerusalem: Taub Center for Social Policy Studies in Israel.</w:t>
      </w:r>
    </w:p>
    <w:p w14:paraId="62D8552D" w14:textId="5A7E0337" w:rsidR="00F3630B" w:rsidRPr="00F853DD" w:rsidRDefault="00F3630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Cheung, C. and Chow, E.,(2006). Spilling over strain between elders and their caregivers in Hong Kong. International </w:t>
      </w:r>
      <w:r w:rsidRPr="00F853DD">
        <w:rPr>
          <w:rFonts w:ascii="Times" w:hAnsi="Times" w:cs="Times New Roman"/>
          <w:i/>
          <w:sz w:val="23"/>
          <w:szCs w:val="23"/>
        </w:rPr>
        <w:t>Journal of Aging and Human Development</w:t>
      </w:r>
      <w:r w:rsidR="00F246E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63</w:t>
      </w:r>
      <w:r w:rsidR="00121E0E" w:rsidRPr="00F853DD">
        <w:rPr>
          <w:rFonts w:ascii="Times" w:hAnsi="Times" w:cs="Times New Roman"/>
          <w:sz w:val="23"/>
          <w:szCs w:val="23"/>
        </w:rPr>
        <w:t>(1)</w:t>
      </w:r>
      <w:r w:rsidRPr="00F853DD">
        <w:rPr>
          <w:rFonts w:ascii="Times" w:hAnsi="Times" w:cs="Times New Roman"/>
          <w:sz w:val="23"/>
          <w:szCs w:val="23"/>
        </w:rPr>
        <w:t>, 73-93.</w:t>
      </w:r>
    </w:p>
    <w:p w14:paraId="20488A33" w14:textId="0290C4ED" w:rsidR="00F3630B" w:rsidRPr="00F853DD" w:rsidRDefault="00F3630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Cheung, C. and Kam, P., (2012). Resiliency in older Hong Kong Chinese: Using the grounded theory approach to reveal social and spiritual conditions. </w:t>
      </w:r>
      <w:r w:rsidRPr="00F853DD">
        <w:rPr>
          <w:rFonts w:ascii="Times" w:hAnsi="Times" w:cs="Times New Roman"/>
          <w:i/>
          <w:sz w:val="23"/>
          <w:szCs w:val="23"/>
        </w:rPr>
        <w:t>Journal of Aging Studies</w:t>
      </w:r>
      <w:r w:rsidR="00F246E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001902D8" w:rsidRPr="00F853DD">
        <w:rPr>
          <w:rFonts w:ascii="Times" w:hAnsi="Times" w:cs="Times New Roman"/>
          <w:sz w:val="23"/>
          <w:szCs w:val="23"/>
        </w:rPr>
        <w:t>(3)</w:t>
      </w:r>
      <w:r w:rsidRPr="00F853DD">
        <w:rPr>
          <w:rFonts w:ascii="Times" w:hAnsi="Times" w:cs="Times New Roman"/>
          <w:sz w:val="23"/>
          <w:szCs w:val="23"/>
        </w:rPr>
        <w:t>, 355-367.</w:t>
      </w:r>
    </w:p>
    <w:p w14:paraId="19EA7AC1" w14:textId="24312547" w:rsidR="00F3630B" w:rsidRPr="00F853DD" w:rsidRDefault="00F3630B" w:rsidP="00E1694A">
      <w:pPr>
        <w:spacing w:line="240" w:lineRule="auto"/>
        <w:ind w:left="567" w:hanging="567"/>
        <w:rPr>
          <w:rFonts w:ascii="Times" w:hAnsi="Times" w:cs="Times New Roman"/>
          <w:sz w:val="23"/>
          <w:szCs w:val="23"/>
        </w:rPr>
      </w:pPr>
      <w:r w:rsidRPr="00F853DD">
        <w:rPr>
          <w:rFonts w:ascii="Times" w:hAnsi="Times" w:cs="Times New Roman"/>
          <w:sz w:val="23"/>
          <w:szCs w:val="23"/>
        </w:rPr>
        <w:t xml:space="preserve">Cheung, C. and Kwan, A. (2009). The erosion of filial piety by modernisation in Chinese cities. </w:t>
      </w:r>
      <w:r w:rsidRPr="00F853DD">
        <w:rPr>
          <w:rFonts w:ascii="Times" w:hAnsi="Times" w:cs="Times New Roman"/>
          <w:i/>
          <w:sz w:val="23"/>
          <w:szCs w:val="23"/>
        </w:rPr>
        <w:t>Ageing &amp; Society</w:t>
      </w:r>
      <w:r w:rsidR="00F246E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(2), 179-198.</w:t>
      </w:r>
    </w:p>
    <w:p w14:paraId="54C656B0" w14:textId="2DAB9DAB" w:rsidR="00FB4FDA" w:rsidRPr="00F853DD" w:rsidRDefault="00FB4FDA" w:rsidP="00E1694A">
      <w:pPr>
        <w:spacing w:line="240" w:lineRule="auto"/>
        <w:ind w:left="567" w:hanging="567"/>
        <w:rPr>
          <w:rFonts w:ascii="Times" w:hAnsi="Times" w:cs="Times New Roman"/>
          <w:sz w:val="23"/>
          <w:szCs w:val="23"/>
        </w:rPr>
      </w:pPr>
      <w:r w:rsidRPr="00F853DD">
        <w:rPr>
          <w:rFonts w:ascii="Times" w:hAnsi="Times" w:cs="Times New Roman"/>
          <w:sz w:val="23"/>
          <w:szCs w:val="23"/>
        </w:rPr>
        <w:t xml:space="preserve">Chevreul, K. and Brigham, K.B., 2013. </w:t>
      </w:r>
      <w:r w:rsidRPr="00F853DD">
        <w:rPr>
          <w:rFonts w:ascii="Times" w:hAnsi="Times" w:cs="Times New Roman"/>
          <w:i/>
          <w:sz w:val="23"/>
          <w:szCs w:val="23"/>
        </w:rPr>
        <w:t xml:space="preserve">Financing long-term care for frail elderly in France: </w:t>
      </w:r>
      <w:r w:rsidR="00F246EE" w:rsidRPr="00F853DD">
        <w:rPr>
          <w:rFonts w:ascii="Times" w:hAnsi="Times" w:cs="Times New Roman"/>
          <w:i/>
          <w:sz w:val="23"/>
          <w:szCs w:val="23"/>
        </w:rPr>
        <w:t>the ghost reform. Health policy.</w:t>
      </w:r>
      <w:r w:rsidR="00E32277" w:rsidRPr="00F853DD">
        <w:rPr>
          <w:rFonts w:ascii="Times" w:hAnsi="Times" w:cs="Times New Roman"/>
          <w:sz w:val="23"/>
          <w:szCs w:val="23"/>
        </w:rPr>
        <w:t xml:space="preserve"> 111(3), </w:t>
      </w:r>
      <w:r w:rsidRPr="00F853DD">
        <w:rPr>
          <w:rFonts w:ascii="Times" w:hAnsi="Times" w:cs="Times New Roman"/>
          <w:sz w:val="23"/>
          <w:szCs w:val="23"/>
        </w:rPr>
        <w:t>.213-220.</w:t>
      </w:r>
    </w:p>
    <w:p w14:paraId="7EA13E8E" w14:textId="5D142A3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Chiatti, C., Di Rosa, M., Melch</w:t>
      </w:r>
      <w:r w:rsidR="00FF647E" w:rsidRPr="00F853DD">
        <w:rPr>
          <w:rFonts w:ascii="Times" w:hAnsi="Times" w:cs="Times New Roman"/>
          <w:sz w:val="23"/>
          <w:szCs w:val="23"/>
        </w:rPr>
        <w:t>iorre, M., Manzoli, L., Rimland, J.</w:t>
      </w:r>
      <w:r w:rsidRPr="00F853DD">
        <w:rPr>
          <w:rFonts w:ascii="Times" w:hAnsi="Times" w:cs="Times New Roman"/>
          <w:sz w:val="23"/>
          <w:szCs w:val="23"/>
        </w:rPr>
        <w:t xml:space="preserve"> and Lamura, G.</w:t>
      </w:r>
      <w:r w:rsidR="00761809" w:rsidRPr="00F853DD">
        <w:rPr>
          <w:rFonts w:ascii="Times" w:hAnsi="Times" w:cs="Times New Roman"/>
          <w:sz w:val="23"/>
          <w:szCs w:val="23"/>
        </w:rPr>
        <w:t>,</w:t>
      </w:r>
      <w:r w:rsidRPr="00F853DD">
        <w:rPr>
          <w:rFonts w:ascii="Times" w:hAnsi="Times" w:cs="Times New Roman"/>
          <w:sz w:val="23"/>
          <w:szCs w:val="23"/>
        </w:rPr>
        <w:t xml:space="preserve"> (2013). Migrant care workers as protective factor against caregiver burden: results from a longitudinal analysis of the Eurofamcare study in Italy. </w:t>
      </w:r>
      <w:r w:rsidRPr="00F853DD">
        <w:rPr>
          <w:rFonts w:ascii="Times" w:hAnsi="Times" w:cs="Times New Roman"/>
          <w:i/>
          <w:sz w:val="23"/>
          <w:szCs w:val="23"/>
        </w:rPr>
        <w:t>Aging and Mental Health</w:t>
      </w:r>
      <w:r w:rsidR="00F246E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00E32277" w:rsidRPr="00F853DD">
        <w:rPr>
          <w:rFonts w:ascii="Times" w:hAnsi="Times" w:cs="Times New Roman"/>
          <w:sz w:val="23"/>
          <w:szCs w:val="23"/>
        </w:rPr>
        <w:t>(5)</w:t>
      </w:r>
      <w:r w:rsidRPr="00F853DD">
        <w:rPr>
          <w:rFonts w:ascii="Times" w:hAnsi="Times" w:cs="Times New Roman"/>
          <w:sz w:val="23"/>
          <w:szCs w:val="23"/>
        </w:rPr>
        <w:t>, 609-614.</w:t>
      </w:r>
    </w:p>
    <w:p w14:paraId="0AE9C1A7" w14:textId="23EAF45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Chibucos, T.</w:t>
      </w:r>
      <w:r w:rsidR="00761809" w:rsidRPr="00F853DD">
        <w:rPr>
          <w:rFonts w:ascii="Times" w:hAnsi="Times" w:cs="Times New Roman"/>
          <w:sz w:val="23"/>
          <w:szCs w:val="23"/>
        </w:rPr>
        <w:t>,</w:t>
      </w:r>
      <w:r w:rsidRPr="00F853DD">
        <w:rPr>
          <w:rFonts w:ascii="Times" w:hAnsi="Times" w:cs="Times New Roman"/>
          <w:sz w:val="23"/>
          <w:szCs w:val="23"/>
        </w:rPr>
        <w:t xml:space="preserve"> (2005). The Social Exchange Theory. In: Chibucos, T. and Leite, R. (eds.) </w:t>
      </w:r>
      <w:r w:rsidRPr="00F853DD">
        <w:rPr>
          <w:rFonts w:ascii="Times" w:hAnsi="Times" w:cs="Times New Roman"/>
          <w:i/>
          <w:sz w:val="23"/>
          <w:szCs w:val="23"/>
        </w:rPr>
        <w:t>Readings in Family Theory</w:t>
      </w:r>
      <w:r w:rsidRPr="00F853DD">
        <w:rPr>
          <w:rFonts w:ascii="Times" w:hAnsi="Times" w:cs="Times New Roman"/>
          <w:sz w:val="23"/>
          <w:szCs w:val="23"/>
        </w:rPr>
        <w:t>. United Kingdom: SAGE.</w:t>
      </w:r>
    </w:p>
    <w:p w14:paraId="44B6E515" w14:textId="024554F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Child, A.</w:t>
      </w:r>
      <w:r w:rsidR="00761809" w:rsidRPr="00F853DD">
        <w:rPr>
          <w:rFonts w:ascii="Times" w:hAnsi="Times" w:cs="Times New Roman"/>
          <w:sz w:val="23"/>
          <w:szCs w:val="23"/>
        </w:rPr>
        <w:t>,</w:t>
      </w:r>
      <w:r w:rsidRPr="00F853DD">
        <w:rPr>
          <w:rFonts w:ascii="Times" w:hAnsi="Times" w:cs="Times New Roman"/>
          <w:sz w:val="23"/>
          <w:szCs w:val="23"/>
        </w:rPr>
        <w:t xml:space="preserve"> (1950). The sociology of perception. </w:t>
      </w:r>
      <w:r w:rsidRPr="00F853DD">
        <w:rPr>
          <w:rFonts w:ascii="Times" w:hAnsi="Times" w:cs="Times New Roman"/>
          <w:i/>
          <w:sz w:val="23"/>
          <w:szCs w:val="23"/>
        </w:rPr>
        <w:t>Journal of genetic psychology</w:t>
      </w:r>
      <w:r w:rsidRPr="00F853DD">
        <w:rPr>
          <w:rFonts w:ascii="Times" w:hAnsi="Times" w:cs="Times New Roman"/>
          <w:sz w:val="23"/>
          <w:szCs w:val="23"/>
        </w:rPr>
        <w:t xml:space="preserve">: </w:t>
      </w:r>
      <w:r w:rsidRPr="00F853DD">
        <w:rPr>
          <w:rFonts w:ascii="Times" w:hAnsi="Times" w:cs="Times New Roman"/>
          <w:i/>
          <w:sz w:val="23"/>
          <w:szCs w:val="23"/>
        </w:rPr>
        <w:t>research and theory on human development</w:t>
      </w:r>
      <w:r w:rsidR="00FF2E2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77</w:t>
      </w:r>
      <w:r w:rsidR="00E32277" w:rsidRPr="00F853DD">
        <w:rPr>
          <w:rFonts w:ascii="Times" w:hAnsi="Times" w:cs="Times New Roman"/>
          <w:sz w:val="23"/>
          <w:szCs w:val="23"/>
        </w:rPr>
        <w:t>(2)</w:t>
      </w:r>
      <w:r w:rsidRPr="00F853DD">
        <w:rPr>
          <w:rFonts w:ascii="Times" w:hAnsi="Times" w:cs="Times New Roman"/>
          <w:sz w:val="23"/>
          <w:szCs w:val="23"/>
        </w:rPr>
        <w:t>, 293-303.</w:t>
      </w:r>
    </w:p>
    <w:p w14:paraId="377F200F"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w:t>
      </w:r>
      <w:r w:rsidRPr="00F853DD">
        <w:rPr>
          <w:rFonts w:ascii="Times" w:eastAsia="Times New Roman" w:hAnsi="Times" w:cs="Tahoma"/>
          <w:sz w:val="23"/>
          <w:szCs w:val="23"/>
          <w:shd w:val="clear" w:color="auto" w:fill="FFFFFF"/>
          <w:lang w:val="en-TT" w:eastAsia="en-US"/>
        </w:rPr>
        <w:t>hildlinett.org. (2019). </w:t>
      </w:r>
      <w:r w:rsidRPr="00F853DD">
        <w:rPr>
          <w:rFonts w:ascii="Times" w:eastAsia="Times New Roman" w:hAnsi="Times" w:cs="Tahoma"/>
          <w:i/>
          <w:iCs/>
          <w:sz w:val="23"/>
          <w:szCs w:val="23"/>
          <w:shd w:val="clear" w:color="auto" w:fill="FFFFFF"/>
          <w:lang w:val="en-TT" w:eastAsia="en-US"/>
        </w:rPr>
        <w:t>About Us | Childline Trinidad &amp; Tobago</w:t>
      </w:r>
      <w:r w:rsidRPr="00F853DD">
        <w:rPr>
          <w:rFonts w:ascii="Times" w:eastAsia="Times New Roman" w:hAnsi="Times" w:cs="Tahoma"/>
          <w:sz w:val="23"/>
          <w:szCs w:val="23"/>
          <w:shd w:val="clear" w:color="auto" w:fill="FFFFFF"/>
          <w:lang w:val="en-TT" w:eastAsia="en-US"/>
        </w:rPr>
        <w:t xml:space="preserve">. [online] Available from: http://childlinett.org/cms/about-us/. </w:t>
      </w:r>
    </w:p>
    <w:p w14:paraId="7AC59D09" w14:textId="7B8E26B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Chin, C. and Phua, K.</w:t>
      </w:r>
      <w:r w:rsidR="00761809" w:rsidRPr="00F853DD">
        <w:rPr>
          <w:rFonts w:ascii="Times" w:hAnsi="Times" w:cs="Times New Roman"/>
          <w:sz w:val="23"/>
          <w:szCs w:val="23"/>
        </w:rPr>
        <w:t>,</w:t>
      </w:r>
      <w:r w:rsidRPr="00F853DD">
        <w:rPr>
          <w:rFonts w:ascii="Times" w:hAnsi="Times" w:cs="Times New Roman"/>
          <w:sz w:val="23"/>
          <w:szCs w:val="23"/>
        </w:rPr>
        <w:t xml:space="preserve"> (2016). Long-term care policy: Singapore’s experience. </w:t>
      </w:r>
      <w:r w:rsidRPr="00F853DD">
        <w:rPr>
          <w:rFonts w:ascii="Times" w:hAnsi="Times" w:cs="Times New Roman"/>
          <w:i/>
          <w:sz w:val="23"/>
          <w:szCs w:val="23"/>
        </w:rPr>
        <w:t>Journal of Aging &amp; Social Policy</w:t>
      </w:r>
      <w:r w:rsidR="00FF2E2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(2), 113-129.</w:t>
      </w:r>
    </w:p>
    <w:p w14:paraId="0A26518B" w14:textId="0839C0C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Chinapoo, C.</w:t>
      </w:r>
      <w:r w:rsidR="00761809" w:rsidRPr="00F853DD">
        <w:rPr>
          <w:rFonts w:ascii="Times" w:hAnsi="Times" w:cs="Times New Roman"/>
          <w:sz w:val="23"/>
          <w:szCs w:val="23"/>
        </w:rPr>
        <w:t>,</w:t>
      </w:r>
      <w:r w:rsidRPr="00F853DD">
        <w:rPr>
          <w:rFonts w:ascii="Times" w:hAnsi="Times" w:cs="Times New Roman"/>
          <w:sz w:val="23"/>
          <w:szCs w:val="23"/>
        </w:rPr>
        <w:t xml:space="preserve"> (1979). </w:t>
      </w:r>
      <w:r w:rsidR="00FF2E23" w:rsidRPr="00F853DD">
        <w:rPr>
          <w:rFonts w:ascii="Times" w:hAnsi="Times" w:cs="Times New Roman"/>
          <w:i/>
          <w:sz w:val="23"/>
          <w:szCs w:val="23"/>
        </w:rPr>
        <w:t>Chinese i</w:t>
      </w:r>
      <w:r w:rsidRPr="00F853DD">
        <w:rPr>
          <w:rFonts w:ascii="Times" w:hAnsi="Times" w:cs="Times New Roman"/>
          <w:i/>
          <w:sz w:val="23"/>
          <w:szCs w:val="23"/>
        </w:rPr>
        <w:t>mmigration into Trinidad</w:t>
      </w:r>
      <w:r w:rsidRPr="00F853DD">
        <w:rPr>
          <w:rFonts w:ascii="Times" w:hAnsi="Times" w:cs="Times New Roman"/>
          <w:sz w:val="23"/>
          <w:szCs w:val="23"/>
        </w:rPr>
        <w:t>. M.A., University of the West Indies (St. Augustine).</w:t>
      </w:r>
    </w:p>
    <w:p w14:paraId="7B12EAEE" w14:textId="4529AB6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 xml:space="preserve">Choi, H. J., Schoeni, R. F., Langa, K. M. and Heisler, M. M. (2015). Older adults' residential proximity to their children: changes after cardiovascular events. </w:t>
      </w:r>
      <w:r w:rsidRPr="00F853DD">
        <w:rPr>
          <w:rFonts w:ascii="Times" w:hAnsi="Times" w:cs="Times New Roman"/>
          <w:i/>
          <w:sz w:val="23"/>
          <w:szCs w:val="23"/>
        </w:rPr>
        <w:t>Journals of Gerontology Series B-Psychological Sciences and Social Sciences</w:t>
      </w:r>
      <w:r w:rsidR="00FF2E2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70</w:t>
      </w:r>
      <w:r w:rsidR="005C6AA4" w:rsidRPr="00F853DD">
        <w:rPr>
          <w:rFonts w:ascii="Times" w:hAnsi="Times" w:cs="Times New Roman"/>
          <w:sz w:val="23"/>
          <w:szCs w:val="23"/>
        </w:rPr>
        <w:t>(6)</w:t>
      </w:r>
      <w:r w:rsidRPr="00F853DD">
        <w:rPr>
          <w:rFonts w:ascii="Times" w:hAnsi="Times" w:cs="Times New Roman"/>
          <w:sz w:val="23"/>
          <w:szCs w:val="23"/>
        </w:rPr>
        <w:t>, 995-1004.</w:t>
      </w:r>
    </w:p>
    <w:p w14:paraId="1FCB9776" w14:textId="163A5D3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Choi, J. Y. and Sok, S. R.</w:t>
      </w:r>
      <w:r w:rsidR="00761809" w:rsidRPr="00F853DD">
        <w:rPr>
          <w:rFonts w:ascii="Times" w:hAnsi="Times" w:cs="Times New Roman"/>
          <w:sz w:val="23"/>
          <w:szCs w:val="23"/>
        </w:rPr>
        <w:t>,</w:t>
      </w:r>
      <w:r w:rsidRPr="00F853DD">
        <w:rPr>
          <w:rFonts w:ascii="Times" w:hAnsi="Times" w:cs="Times New Roman"/>
          <w:sz w:val="23"/>
          <w:szCs w:val="23"/>
        </w:rPr>
        <w:t xml:space="preserve"> (2012). Relationships among family support, health status, burnout, and the burden of the family caregiver caring for Korean older adults. </w:t>
      </w:r>
      <w:r w:rsidRPr="00F853DD">
        <w:rPr>
          <w:rFonts w:ascii="Times" w:hAnsi="Times" w:cs="Times New Roman"/>
          <w:i/>
          <w:sz w:val="23"/>
          <w:szCs w:val="23"/>
        </w:rPr>
        <w:t>Journal of Hospice and Palliative Nursing</w:t>
      </w:r>
      <w:r w:rsidR="00C652E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005C6AA4" w:rsidRPr="00F853DD">
        <w:rPr>
          <w:rFonts w:ascii="Times" w:hAnsi="Times" w:cs="Times New Roman"/>
          <w:sz w:val="23"/>
          <w:szCs w:val="23"/>
        </w:rPr>
        <w:t>(8)</w:t>
      </w:r>
      <w:r w:rsidRPr="00F853DD">
        <w:rPr>
          <w:rFonts w:ascii="Times" w:hAnsi="Times" w:cs="Times New Roman"/>
          <w:sz w:val="23"/>
          <w:szCs w:val="23"/>
        </w:rPr>
        <w:t>, E1-E8.</w:t>
      </w:r>
    </w:p>
    <w:p w14:paraId="607E4C07" w14:textId="42CA5AA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Choi, N</w:t>
      </w:r>
      <w:r w:rsidR="00761809" w:rsidRPr="00F853DD">
        <w:rPr>
          <w:rFonts w:ascii="Times" w:hAnsi="Times" w:cs="Times New Roman"/>
          <w:sz w:val="23"/>
          <w:szCs w:val="23"/>
        </w:rPr>
        <w:t>.</w:t>
      </w:r>
      <w:r w:rsidRPr="00F853DD">
        <w:rPr>
          <w:rFonts w:ascii="Times" w:hAnsi="Times" w:cs="Times New Roman"/>
          <w:sz w:val="23"/>
          <w:szCs w:val="23"/>
        </w:rPr>
        <w:t xml:space="preserve"> and M</w:t>
      </w:r>
      <w:r w:rsidR="00761809" w:rsidRPr="00F853DD">
        <w:rPr>
          <w:rFonts w:ascii="Times" w:hAnsi="Times" w:cs="Times New Roman"/>
          <w:sz w:val="23"/>
          <w:szCs w:val="23"/>
        </w:rPr>
        <w:t>ayer</w:t>
      </w:r>
      <w:r w:rsidRPr="00F853DD">
        <w:rPr>
          <w:rFonts w:ascii="Times" w:hAnsi="Times" w:cs="Times New Roman"/>
          <w:sz w:val="23"/>
          <w:szCs w:val="23"/>
        </w:rPr>
        <w:t>, J.</w:t>
      </w:r>
      <w:r w:rsidR="00761809" w:rsidRPr="00F853DD">
        <w:rPr>
          <w:rFonts w:ascii="Times" w:hAnsi="Times" w:cs="Times New Roman"/>
          <w:sz w:val="23"/>
          <w:szCs w:val="23"/>
        </w:rPr>
        <w:t>,</w:t>
      </w:r>
      <w:r w:rsidRPr="00F853DD">
        <w:rPr>
          <w:rFonts w:ascii="Times" w:hAnsi="Times" w:cs="Times New Roman"/>
          <w:sz w:val="23"/>
          <w:szCs w:val="23"/>
        </w:rPr>
        <w:t xml:space="preserve"> (2000). Elder abuse, neglect, and exploitation: Risk factors and prevention strategies. </w:t>
      </w:r>
      <w:r w:rsidRPr="00F853DD">
        <w:rPr>
          <w:rFonts w:ascii="Times" w:hAnsi="Times" w:cs="Times New Roman"/>
          <w:i/>
          <w:sz w:val="23"/>
          <w:szCs w:val="23"/>
        </w:rPr>
        <w:t>Journal of Gerontological Social Work</w:t>
      </w:r>
      <w:r w:rsidR="00C652E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005C6AA4" w:rsidRPr="00F853DD">
        <w:rPr>
          <w:rFonts w:ascii="Times" w:hAnsi="Times" w:cs="Times New Roman"/>
          <w:sz w:val="23"/>
          <w:szCs w:val="23"/>
        </w:rPr>
        <w:t>(2)</w:t>
      </w:r>
      <w:r w:rsidRPr="00F853DD">
        <w:rPr>
          <w:rFonts w:ascii="Times" w:hAnsi="Times" w:cs="Times New Roman"/>
          <w:sz w:val="23"/>
          <w:szCs w:val="23"/>
        </w:rPr>
        <w:t>, 5-25.</w:t>
      </w:r>
    </w:p>
    <w:p w14:paraId="6837914A" w14:textId="33E5B8AE" w:rsidR="00DF05BD" w:rsidRPr="00F853DD" w:rsidRDefault="0076180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Choi, S.,</w:t>
      </w:r>
      <w:r w:rsidR="00DF05BD" w:rsidRPr="00F853DD">
        <w:rPr>
          <w:rFonts w:ascii="Times" w:hAnsi="Times" w:cs="Times New Roman"/>
          <w:sz w:val="23"/>
          <w:szCs w:val="23"/>
        </w:rPr>
        <w:t xml:space="preserve"> (1996). The family and ageing in Korea: </w:t>
      </w:r>
      <w:r w:rsidR="00C652E6" w:rsidRPr="00F853DD">
        <w:rPr>
          <w:rFonts w:ascii="Times" w:hAnsi="Times" w:cs="Times New Roman"/>
          <w:sz w:val="23"/>
          <w:szCs w:val="23"/>
        </w:rPr>
        <w:t>a</w:t>
      </w:r>
      <w:r w:rsidR="00DF05BD" w:rsidRPr="00F853DD">
        <w:rPr>
          <w:rFonts w:ascii="Times" w:hAnsi="Times" w:cs="Times New Roman"/>
          <w:sz w:val="23"/>
          <w:szCs w:val="23"/>
        </w:rPr>
        <w:t xml:space="preserve"> new concern and challenge. </w:t>
      </w:r>
      <w:r w:rsidR="00DF05BD" w:rsidRPr="00F853DD">
        <w:rPr>
          <w:rFonts w:ascii="Times" w:hAnsi="Times" w:cs="Times New Roman"/>
          <w:i/>
          <w:sz w:val="23"/>
          <w:szCs w:val="23"/>
        </w:rPr>
        <w:t>Ageing and Society</w:t>
      </w:r>
      <w:r w:rsidR="00C652E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5C6AA4" w:rsidRPr="00F853DD">
        <w:rPr>
          <w:rFonts w:ascii="Times" w:hAnsi="Times" w:cs="Times New Roman"/>
          <w:sz w:val="23"/>
          <w:szCs w:val="23"/>
        </w:rPr>
        <w:t>(1),1-25.</w:t>
      </w:r>
    </w:p>
    <w:p w14:paraId="36CDC18A" w14:textId="5BDEE03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Chon, Y.</w:t>
      </w:r>
      <w:r w:rsidR="00761809" w:rsidRPr="00F853DD">
        <w:rPr>
          <w:rFonts w:ascii="Times" w:hAnsi="Times" w:cs="Times New Roman"/>
          <w:sz w:val="23"/>
          <w:szCs w:val="23"/>
        </w:rPr>
        <w:t>,</w:t>
      </w:r>
      <w:r w:rsidRPr="00F853DD">
        <w:rPr>
          <w:rFonts w:ascii="Times" w:hAnsi="Times" w:cs="Times New Roman"/>
          <w:sz w:val="23"/>
          <w:szCs w:val="23"/>
        </w:rPr>
        <w:t xml:space="preserve"> (2015). An exploratory qualitative study on relationships between older people and home care workers in South Korea: the view from family carers and service providers. </w:t>
      </w:r>
      <w:r w:rsidRPr="00F853DD">
        <w:rPr>
          <w:rFonts w:ascii="Times" w:hAnsi="Times" w:cs="Times New Roman"/>
          <w:i/>
          <w:sz w:val="23"/>
          <w:szCs w:val="23"/>
        </w:rPr>
        <w:t>Ageing and Society</w:t>
      </w:r>
      <w:r w:rsidR="00C652E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35</w:t>
      </w:r>
      <w:r w:rsidR="005C6AA4" w:rsidRPr="00F853DD">
        <w:rPr>
          <w:rFonts w:ascii="Times" w:hAnsi="Times" w:cs="Times New Roman"/>
          <w:sz w:val="23"/>
          <w:szCs w:val="23"/>
        </w:rPr>
        <w:t>(3)</w:t>
      </w:r>
      <w:r w:rsidRPr="00F853DD">
        <w:rPr>
          <w:rFonts w:ascii="Times" w:hAnsi="Times" w:cs="Times New Roman"/>
          <w:sz w:val="23"/>
          <w:szCs w:val="23"/>
        </w:rPr>
        <w:t>, 629-652.</w:t>
      </w:r>
    </w:p>
    <w:p w14:paraId="0E869610" w14:textId="35076C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Choowattanapakorn, T., Alex, L., Lundman, B., Norberg, A. and Nygren, B.</w:t>
      </w:r>
      <w:r w:rsidR="00761809" w:rsidRPr="00F853DD">
        <w:rPr>
          <w:rFonts w:ascii="Times" w:hAnsi="Times" w:cs="Times New Roman"/>
          <w:sz w:val="23"/>
          <w:szCs w:val="23"/>
        </w:rPr>
        <w:t>,</w:t>
      </w:r>
      <w:r w:rsidRPr="00F853DD">
        <w:rPr>
          <w:rFonts w:ascii="Times" w:hAnsi="Times" w:cs="Times New Roman"/>
          <w:sz w:val="23"/>
          <w:szCs w:val="23"/>
        </w:rPr>
        <w:t xml:space="preserve"> (2010). Resilience among women and men aged 60 years and over in Sweden and in Thailand. </w:t>
      </w:r>
      <w:r w:rsidRPr="00F853DD">
        <w:rPr>
          <w:rFonts w:ascii="Times" w:hAnsi="Times" w:cs="Times New Roman"/>
          <w:i/>
          <w:sz w:val="23"/>
          <w:szCs w:val="23"/>
        </w:rPr>
        <w:t>Nursing and Health Sciences</w:t>
      </w:r>
      <w:r w:rsidR="00C652E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w:t>
      </w:r>
      <w:r w:rsidR="005C6AA4" w:rsidRPr="00F853DD">
        <w:rPr>
          <w:rFonts w:ascii="Times" w:hAnsi="Times" w:cs="Times New Roman"/>
          <w:sz w:val="23"/>
          <w:szCs w:val="23"/>
        </w:rPr>
        <w:t>(3)</w:t>
      </w:r>
      <w:r w:rsidRPr="00F853DD">
        <w:rPr>
          <w:rFonts w:ascii="Times" w:hAnsi="Times" w:cs="Times New Roman"/>
          <w:sz w:val="23"/>
          <w:szCs w:val="23"/>
        </w:rPr>
        <w:t>, 329-335.</w:t>
      </w:r>
    </w:p>
    <w:p w14:paraId="5C37AFDD" w14:textId="1BD3618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Chou, R.</w:t>
      </w:r>
      <w:r w:rsidR="00761809" w:rsidRPr="00F853DD">
        <w:rPr>
          <w:rFonts w:ascii="Times" w:hAnsi="Times" w:cs="Times New Roman"/>
          <w:sz w:val="23"/>
          <w:szCs w:val="23"/>
        </w:rPr>
        <w:t>,</w:t>
      </w:r>
      <w:r w:rsidRPr="00F853DD">
        <w:rPr>
          <w:rFonts w:ascii="Times" w:hAnsi="Times" w:cs="Times New Roman"/>
          <w:sz w:val="23"/>
          <w:szCs w:val="23"/>
        </w:rPr>
        <w:t xml:space="preserve"> (2010). Filial piety by contract? The emergence, implementation, and implications of the “family support agreement” in China. </w:t>
      </w:r>
      <w:r w:rsidRPr="00F853DD">
        <w:rPr>
          <w:rFonts w:ascii="Times" w:hAnsi="Times" w:cs="Times New Roman"/>
          <w:i/>
          <w:sz w:val="23"/>
          <w:szCs w:val="23"/>
        </w:rPr>
        <w:t>The Gerontologist</w:t>
      </w:r>
      <w:r w:rsidR="00C652E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51</w:t>
      </w:r>
      <w:r w:rsidRPr="00F853DD">
        <w:rPr>
          <w:rFonts w:ascii="Times" w:hAnsi="Times" w:cs="Times New Roman"/>
          <w:sz w:val="23"/>
          <w:szCs w:val="23"/>
        </w:rPr>
        <w:t>(1), 3-16.</w:t>
      </w:r>
    </w:p>
    <w:p w14:paraId="5F629922" w14:textId="24E0C2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Christie, J., Smith, G. R., Williamson, G. M., Lance, C. E., Shovali, T. E. and Silva, L. C.</w:t>
      </w:r>
      <w:r w:rsidR="00761809" w:rsidRPr="00F853DD">
        <w:rPr>
          <w:rFonts w:ascii="Times" w:hAnsi="Times" w:cs="Times New Roman"/>
          <w:sz w:val="23"/>
          <w:szCs w:val="23"/>
        </w:rPr>
        <w:t>,</w:t>
      </w:r>
      <w:r w:rsidRPr="00F853DD">
        <w:rPr>
          <w:rFonts w:ascii="Times" w:hAnsi="Times" w:cs="Times New Roman"/>
          <w:sz w:val="23"/>
          <w:szCs w:val="23"/>
        </w:rPr>
        <w:t xml:space="preserve"> (2009). Quality of Informal Care Is Multidimensional. </w:t>
      </w:r>
      <w:r w:rsidRPr="00F853DD">
        <w:rPr>
          <w:rFonts w:ascii="Times" w:hAnsi="Times" w:cs="Times New Roman"/>
          <w:i/>
          <w:sz w:val="23"/>
          <w:szCs w:val="23"/>
        </w:rPr>
        <w:t>Rehabilitation Psychology</w:t>
      </w:r>
      <w:r w:rsidR="00C652E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54</w:t>
      </w:r>
      <w:r w:rsidR="005C6AA4" w:rsidRPr="00F853DD">
        <w:rPr>
          <w:rFonts w:ascii="Times" w:hAnsi="Times" w:cs="Times New Roman"/>
          <w:sz w:val="23"/>
          <w:szCs w:val="23"/>
        </w:rPr>
        <w:t>(2)</w:t>
      </w:r>
      <w:r w:rsidRPr="00F853DD">
        <w:rPr>
          <w:rFonts w:ascii="Times" w:hAnsi="Times" w:cs="Times New Roman"/>
          <w:sz w:val="23"/>
          <w:szCs w:val="23"/>
        </w:rPr>
        <w:t>, 173-181.</w:t>
      </w:r>
    </w:p>
    <w:p w14:paraId="6499A41C" w14:textId="0DD9E4F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Christenson, J. and Merritts, A.</w:t>
      </w:r>
      <w:r w:rsidR="00761809"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Family Therapy with Adolescents in Residential Treatment</w:t>
      </w:r>
      <w:r w:rsidRPr="00F853DD">
        <w:rPr>
          <w:rFonts w:ascii="Times" w:hAnsi="Times" w:cs="Times New Roman"/>
          <w:sz w:val="23"/>
          <w:szCs w:val="23"/>
        </w:rPr>
        <w:t>. Springer International Publishing.</w:t>
      </w:r>
    </w:p>
    <w:p w14:paraId="7539C28D" w14:textId="7EE7E8F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Chun, M., Knight, B. G. And Youn, G.</w:t>
      </w:r>
      <w:r w:rsidR="00761809" w:rsidRPr="00F853DD">
        <w:rPr>
          <w:rFonts w:ascii="Times" w:hAnsi="Times" w:cs="Times New Roman"/>
          <w:sz w:val="23"/>
          <w:szCs w:val="23"/>
        </w:rPr>
        <w:t>,</w:t>
      </w:r>
      <w:r w:rsidRPr="00F853DD">
        <w:rPr>
          <w:rFonts w:ascii="Times" w:hAnsi="Times" w:cs="Times New Roman"/>
          <w:sz w:val="23"/>
          <w:szCs w:val="23"/>
        </w:rPr>
        <w:t xml:space="preserve"> (2007). Differences in stress and coping models of emotional distress among Korean, Korean-American and White-American caregivers. </w:t>
      </w:r>
      <w:r w:rsidRPr="00F853DD">
        <w:rPr>
          <w:rFonts w:ascii="Times" w:hAnsi="Times" w:cs="Times New Roman"/>
          <w:i/>
          <w:sz w:val="23"/>
          <w:szCs w:val="23"/>
        </w:rPr>
        <w:t>Aging and Mental Health</w:t>
      </w:r>
      <w:r w:rsidR="00C652E6"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00560F0E" w:rsidRPr="00F853DD">
        <w:rPr>
          <w:rFonts w:ascii="Times" w:hAnsi="Times" w:cs="Times New Roman"/>
          <w:sz w:val="23"/>
          <w:szCs w:val="23"/>
        </w:rPr>
        <w:t>(1)</w:t>
      </w:r>
      <w:r w:rsidRPr="00F853DD">
        <w:rPr>
          <w:rFonts w:ascii="Times" w:hAnsi="Times" w:cs="Times New Roman"/>
          <w:sz w:val="23"/>
          <w:szCs w:val="23"/>
        </w:rPr>
        <w:t>, 20-29.</w:t>
      </w:r>
    </w:p>
    <w:p w14:paraId="43E98924"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Arial"/>
          <w:sz w:val="23"/>
          <w:szCs w:val="23"/>
          <w:shd w:val="clear" w:color="auto" w:fill="FFFFFF"/>
        </w:rPr>
        <w:t>CIA World Factbook (2014). </w:t>
      </w:r>
      <w:r w:rsidRPr="00F853DD">
        <w:rPr>
          <w:rFonts w:ascii="Times" w:hAnsi="Times" w:cs="Arial"/>
          <w:i/>
          <w:iCs/>
          <w:sz w:val="23"/>
          <w:szCs w:val="23"/>
          <w:shd w:val="clear" w:color="auto" w:fill="FFFFFF"/>
        </w:rPr>
        <w:t>Trinidad and Tobago Age structure - Demographics</w:t>
      </w:r>
      <w:r w:rsidRPr="00F853DD">
        <w:rPr>
          <w:rFonts w:ascii="Times" w:hAnsi="Times" w:cs="Arial"/>
          <w:sz w:val="23"/>
          <w:szCs w:val="23"/>
          <w:shd w:val="clear" w:color="auto" w:fill="FFFFFF"/>
        </w:rPr>
        <w:t xml:space="preserve">. [online] Indexmundi.com. Available from: http://www.indexmundi.com/trinidad_and_tobago/age_structure.html. </w:t>
      </w:r>
    </w:p>
    <w:p w14:paraId="713F15E6" w14:textId="0A697F5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Cicchetti, D.</w:t>
      </w:r>
      <w:r w:rsidR="00761809" w:rsidRPr="00F853DD">
        <w:rPr>
          <w:rFonts w:ascii="Times" w:hAnsi="Times" w:cs="Times New Roman"/>
          <w:sz w:val="23"/>
          <w:szCs w:val="23"/>
        </w:rPr>
        <w:t>,</w:t>
      </w:r>
      <w:r w:rsidRPr="00F853DD">
        <w:rPr>
          <w:rFonts w:ascii="Times" w:hAnsi="Times" w:cs="Times New Roman"/>
          <w:sz w:val="23"/>
          <w:szCs w:val="23"/>
        </w:rPr>
        <w:t xml:space="preserve"> (2010). Resilience under conditions of extreme stress: a multilevel perspective. </w:t>
      </w:r>
      <w:r w:rsidRPr="00F853DD">
        <w:rPr>
          <w:rFonts w:ascii="Times" w:hAnsi="Times" w:cs="Times New Roman"/>
          <w:i/>
          <w:sz w:val="23"/>
          <w:szCs w:val="23"/>
        </w:rPr>
        <w:t>World Psychiatry</w:t>
      </w:r>
      <w:r w:rsidR="00C652E6" w:rsidRPr="00F853DD">
        <w:rPr>
          <w:rFonts w:ascii="Times" w:hAnsi="Times" w:cs="Times New Roman"/>
          <w:sz w:val="23"/>
          <w:szCs w:val="23"/>
        </w:rPr>
        <w:t>.</w:t>
      </w:r>
      <w:r w:rsidRPr="00F853DD">
        <w:rPr>
          <w:rFonts w:ascii="Times" w:hAnsi="Times" w:cs="Times New Roman"/>
          <w:b/>
          <w:sz w:val="23"/>
          <w:szCs w:val="23"/>
        </w:rPr>
        <w:t xml:space="preserve"> 9</w:t>
      </w:r>
      <w:r w:rsidR="00560F0E" w:rsidRPr="00F853DD">
        <w:rPr>
          <w:rFonts w:ascii="Times" w:hAnsi="Times" w:cs="Times New Roman"/>
          <w:sz w:val="23"/>
          <w:szCs w:val="23"/>
        </w:rPr>
        <w:t>(3)</w:t>
      </w:r>
      <w:r w:rsidRPr="00F853DD">
        <w:rPr>
          <w:rFonts w:ascii="Times" w:hAnsi="Times" w:cs="Times New Roman"/>
          <w:sz w:val="23"/>
          <w:szCs w:val="23"/>
        </w:rPr>
        <w:t>, 145-154.</w:t>
      </w:r>
    </w:p>
    <w:p w14:paraId="1C380102" w14:textId="279088CC" w:rsidR="00DF05BD" w:rsidRPr="00F853DD" w:rsidRDefault="0076180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Cicchetti, D. and Rogosch, F.,</w:t>
      </w:r>
      <w:r w:rsidR="00DF05BD" w:rsidRPr="00F853DD">
        <w:rPr>
          <w:rFonts w:ascii="Times" w:hAnsi="Times" w:cs="Times New Roman"/>
          <w:sz w:val="23"/>
          <w:szCs w:val="23"/>
        </w:rPr>
        <w:t xml:space="preserve"> (2009). Adaptive coping under conditions of extreme stress: multilevel influences on the determinants of resilience in maltreated children. In: Skinner, E. A. and Zimmergembeck, M. J. (eds.) </w:t>
      </w:r>
      <w:r w:rsidR="00DF05BD" w:rsidRPr="00F853DD">
        <w:rPr>
          <w:rFonts w:ascii="Times" w:hAnsi="Times" w:cs="Times New Roman"/>
          <w:i/>
          <w:sz w:val="23"/>
          <w:szCs w:val="23"/>
        </w:rPr>
        <w:t>Coping and the Development of Regulation</w:t>
      </w:r>
      <w:r w:rsidR="00DF05BD" w:rsidRPr="00F853DD">
        <w:rPr>
          <w:rFonts w:ascii="Times" w:hAnsi="Times" w:cs="Times New Roman"/>
          <w:sz w:val="23"/>
          <w:szCs w:val="23"/>
        </w:rPr>
        <w:t>. San Francisco: Wiley Periodicals.</w:t>
      </w:r>
    </w:p>
    <w:p w14:paraId="2B8B6525" w14:textId="4ACC268C" w:rsidR="00DF05BD" w:rsidRPr="00F853DD" w:rsidRDefault="00761809"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 xml:space="preserve">Cicirelli, V., </w:t>
      </w:r>
      <w:r w:rsidR="00DF05BD" w:rsidRPr="00F853DD">
        <w:rPr>
          <w:rFonts w:ascii="Times" w:hAnsi="Times" w:cs="Times New Roman"/>
          <w:sz w:val="23"/>
          <w:szCs w:val="23"/>
        </w:rPr>
        <w:t xml:space="preserve">(1993). Attachment and obligation as daughters motives for caregiving behavior and subsequent effect on subjective burden. </w:t>
      </w:r>
      <w:r w:rsidR="00DF05BD" w:rsidRPr="00F853DD">
        <w:rPr>
          <w:rFonts w:ascii="Times" w:hAnsi="Times" w:cs="Times New Roman"/>
          <w:i/>
          <w:sz w:val="23"/>
          <w:szCs w:val="23"/>
          <w:lang w:val="nl-NL"/>
        </w:rPr>
        <w:t>Psychology and Aging</w:t>
      </w:r>
      <w:r w:rsidR="00C652E6" w:rsidRPr="00F853DD">
        <w:rPr>
          <w:rFonts w:ascii="Times" w:hAnsi="Times" w:cs="Times New Roman"/>
          <w:sz w:val="23"/>
          <w:szCs w:val="23"/>
          <w:lang w:val="nl-NL"/>
        </w:rPr>
        <w:t>.</w:t>
      </w:r>
      <w:r w:rsidR="00DF05BD" w:rsidRPr="00F853DD">
        <w:rPr>
          <w:rFonts w:ascii="Times" w:hAnsi="Times" w:cs="Times New Roman"/>
          <w:sz w:val="23"/>
          <w:szCs w:val="23"/>
          <w:lang w:val="nl-NL"/>
        </w:rPr>
        <w:t xml:space="preserve"> </w:t>
      </w:r>
      <w:r w:rsidR="00DF05BD" w:rsidRPr="00F853DD">
        <w:rPr>
          <w:rFonts w:ascii="Times" w:hAnsi="Times" w:cs="Times New Roman"/>
          <w:b/>
          <w:sz w:val="23"/>
          <w:szCs w:val="23"/>
          <w:lang w:val="nl-NL"/>
        </w:rPr>
        <w:t>8</w:t>
      </w:r>
      <w:r w:rsidR="00560F0E" w:rsidRPr="00F853DD">
        <w:rPr>
          <w:rFonts w:ascii="Times" w:hAnsi="Times" w:cs="Times New Roman"/>
          <w:sz w:val="23"/>
          <w:szCs w:val="23"/>
          <w:lang w:val="nl-NL"/>
        </w:rPr>
        <w:t>(2)</w:t>
      </w:r>
      <w:r w:rsidR="00DF05BD" w:rsidRPr="00F853DD">
        <w:rPr>
          <w:rFonts w:ascii="Times" w:hAnsi="Times" w:cs="Times New Roman"/>
          <w:sz w:val="23"/>
          <w:szCs w:val="23"/>
          <w:lang w:val="nl-NL"/>
        </w:rPr>
        <w:t>, 144-155.</w:t>
      </w:r>
    </w:p>
    <w:p w14:paraId="1DB417DB" w14:textId="3F330E7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Cl</w:t>
      </w:r>
      <w:r w:rsidR="003F246B" w:rsidRPr="00F853DD">
        <w:rPr>
          <w:rFonts w:ascii="Times" w:hAnsi="Times" w:cs="Times New Roman"/>
          <w:sz w:val="23"/>
          <w:szCs w:val="23"/>
          <w:lang w:val="nl-NL"/>
        </w:rPr>
        <w:t>aassens, L., Widdershoven, G., Van Rhijn, S.</w:t>
      </w:r>
      <w:r w:rsidRPr="00F853DD">
        <w:rPr>
          <w:rFonts w:ascii="Times" w:hAnsi="Times" w:cs="Times New Roman"/>
          <w:sz w:val="23"/>
          <w:szCs w:val="23"/>
          <w:lang w:val="nl-NL"/>
        </w:rPr>
        <w:t>, Van Nes, F., Va</w:t>
      </w:r>
      <w:r w:rsidR="003F246B" w:rsidRPr="00F853DD">
        <w:rPr>
          <w:rFonts w:ascii="Times" w:hAnsi="Times" w:cs="Times New Roman"/>
          <w:sz w:val="23"/>
          <w:szCs w:val="23"/>
          <w:lang w:val="nl-NL"/>
        </w:rPr>
        <w:t>n Groenou, M., Deeg, D.</w:t>
      </w:r>
      <w:r w:rsidRPr="00F853DD">
        <w:rPr>
          <w:rFonts w:ascii="Times" w:hAnsi="Times" w:cs="Times New Roman"/>
          <w:sz w:val="23"/>
          <w:szCs w:val="23"/>
          <w:lang w:val="nl-NL"/>
        </w:rPr>
        <w:t xml:space="preserve"> and Huisman, M.</w:t>
      </w:r>
      <w:r w:rsidR="00DF2E8E" w:rsidRPr="00F853DD">
        <w:rPr>
          <w:rFonts w:ascii="Times" w:hAnsi="Times" w:cs="Times New Roman"/>
          <w:sz w:val="23"/>
          <w:szCs w:val="23"/>
          <w:lang w:val="nl-NL"/>
        </w:rPr>
        <w:t>,</w:t>
      </w:r>
      <w:r w:rsidRPr="00F853DD">
        <w:rPr>
          <w:rFonts w:ascii="Times" w:hAnsi="Times" w:cs="Times New Roman"/>
          <w:sz w:val="23"/>
          <w:szCs w:val="23"/>
          <w:lang w:val="nl-NL"/>
        </w:rPr>
        <w:t xml:space="preserve"> (2014). </w:t>
      </w:r>
      <w:r w:rsidRPr="00F853DD">
        <w:rPr>
          <w:rFonts w:ascii="Times" w:hAnsi="Times" w:cs="Times New Roman"/>
          <w:sz w:val="23"/>
          <w:szCs w:val="23"/>
        </w:rPr>
        <w:t>Perceived cont</w:t>
      </w:r>
      <w:r w:rsidR="00C652E6" w:rsidRPr="00F853DD">
        <w:rPr>
          <w:rFonts w:ascii="Times" w:hAnsi="Times" w:cs="Times New Roman"/>
          <w:sz w:val="23"/>
          <w:szCs w:val="23"/>
        </w:rPr>
        <w:t>rol in health care: a</w:t>
      </w:r>
      <w:r w:rsidRPr="00F853DD">
        <w:rPr>
          <w:rFonts w:ascii="Times" w:hAnsi="Times" w:cs="Times New Roman"/>
          <w:sz w:val="23"/>
          <w:szCs w:val="23"/>
        </w:rPr>
        <w:t xml:space="preserve"> conceptual model based on experiences of frail older adults. </w:t>
      </w:r>
      <w:r w:rsidRPr="00F853DD">
        <w:rPr>
          <w:rFonts w:ascii="Times" w:hAnsi="Times" w:cs="Times New Roman"/>
          <w:i/>
          <w:sz w:val="23"/>
          <w:szCs w:val="23"/>
        </w:rPr>
        <w:t>Journal of Aging Studies</w:t>
      </w:r>
      <w:r w:rsidR="00C652E6"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159-170.</w:t>
      </w:r>
    </w:p>
    <w:p w14:paraId="2103F71D" w14:textId="5C546A0E" w:rsidR="00DF05BD" w:rsidRPr="00F853DD" w:rsidRDefault="003F246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Clark, P., Burbank, P.</w:t>
      </w:r>
      <w:r w:rsidR="00DF05BD" w:rsidRPr="00F853DD">
        <w:rPr>
          <w:rFonts w:ascii="Times" w:hAnsi="Times" w:cs="Times New Roman"/>
          <w:sz w:val="23"/>
          <w:szCs w:val="23"/>
        </w:rPr>
        <w:t>, Greene, G., Owens, N. and Riehe, D.</w:t>
      </w:r>
      <w:r w:rsidR="00DF2E8E" w:rsidRPr="00F853DD">
        <w:rPr>
          <w:rFonts w:ascii="Times" w:hAnsi="Times" w:cs="Times New Roman"/>
          <w:sz w:val="23"/>
          <w:szCs w:val="23"/>
        </w:rPr>
        <w:t>,</w:t>
      </w:r>
      <w:r w:rsidR="00DF05BD" w:rsidRPr="00F853DD">
        <w:rPr>
          <w:rFonts w:ascii="Times" w:hAnsi="Times" w:cs="Times New Roman"/>
          <w:sz w:val="23"/>
          <w:szCs w:val="23"/>
        </w:rPr>
        <w:t xml:space="preserve"> (2011). What do we know about resilience in older adults? An exploration of some facts, factors, and facets. In: Resnick, B., G</w:t>
      </w:r>
      <w:r w:rsidRPr="00F853DD">
        <w:rPr>
          <w:rFonts w:ascii="Times" w:hAnsi="Times" w:cs="Times New Roman"/>
          <w:sz w:val="23"/>
          <w:szCs w:val="23"/>
        </w:rPr>
        <w:t>wyther, L. and Roberto, K.</w:t>
      </w:r>
      <w:r w:rsidR="00DF05BD" w:rsidRPr="00F853DD">
        <w:rPr>
          <w:rFonts w:ascii="Times" w:hAnsi="Times" w:cs="Times New Roman"/>
          <w:sz w:val="23"/>
          <w:szCs w:val="23"/>
        </w:rPr>
        <w:t xml:space="preserve"> (eds.) </w:t>
      </w:r>
      <w:r w:rsidR="00DF05BD" w:rsidRPr="00F853DD">
        <w:rPr>
          <w:rFonts w:ascii="Times" w:hAnsi="Times" w:cs="Times New Roman"/>
          <w:i/>
          <w:sz w:val="23"/>
          <w:szCs w:val="23"/>
        </w:rPr>
        <w:t>Resilience in aging: Concepts, Research, and Outcomes</w:t>
      </w:r>
      <w:r w:rsidR="00DF05BD" w:rsidRPr="00F853DD">
        <w:rPr>
          <w:rFonts w:ascii="Times" w:hAnsi="Times" w:cs="Times New Roman"/>
          <w:sz w:val="23"/>
          <w:szCs w:val="23"/>
        </w:rPr>
        <w:t>. New York: Springer.</w:t>
      </w:r>
    </w:p>
    <w:p w14:paraId="302BE31C" w14:textId="5DA51B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Clarke, E.</w:t>
      </w:r>
      <w:r w:rsidR="00DF2E8E" w:rsidRPr="00F853DD">
        <w:rPr>
          <w:rFonts w:ascii="Times" w:hAnsi="Times" w:cs="Times New Roman"/>
          <w:sz w:val="23"/>
          <w:szCs w:val="23"/>
        </w:rPr>
        <w:t>,</w:t>
      </w:r>
      <w:r w:rsidRPr="00F853DD">
        <w:rPr>
          <w:rFonts w:ascii="Times" w:hAnsi="Times" w:cs="Times New Roman"/>
          <w:sz w:val="23"/>
          <w:szCs w:val="23"/>
        </w:rPr>
        <w:t xml:space="preserve"> (1957). My </w:t>
      </w:r>
      <w:r w:rsidRPr="00F853DD">
        <w:rPr>
          <w:rFonts w:ascii="Times" w:hAnsi="Times" w:cs="Times New Roman"/>
          <w:i/>
          <w:sz w:val="23"/>
          <w:szCs w:val="23"/>
        </w:rPr>
        <w:t>mother who fathered me: a study of the family in three selected communities in Jamaica, London</w:t>
      </w:r>
      <w:r w:rsidRPr="00F853DD">
        <w:rPr>
          <w:rFonts w:ascii="Times" w:hAnsi="Times" w:cs="Times New Roman"/>
          <w:sz w:val="23"/>
          <w:szCs w:val="23"/>
        </w:rPr>
        <w:t>, Allen and Unwin.</w:t>
      </w:r>
    </w:p>
    <w:p w14:paraId="1EB47F44" w14:textId="045B9DB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Clarke, E.</w:t>
      </w:r>
      <w:r w:rsidR="00DF2E8E" w:rsidRPr="00F853DD">
        <w:rPr>
          <w:rFonts w:ascii="Times" w:hAnsi="Times" w:cs="Times New Roman"/>
          <w:sz w:val="23"/>
          <w:szCs w:val="23"/>
        </w:rPr>
        <w:t>,</w:t>
      </w:r>
      <w:r w:rsidRPr="00F853DD">
        <w:rPr>
          <w:rFonts w:ascii="Times" w:hAnsi="Times" w:cs="Times New Roman"/>
          <w:sz w:val="23"/>
          <w:szCs w:val="23"/>
        </w:rPr>
        <w:t xml:space="preserve"> (2001). Role conflicts and co</w:t>
      </w:r>
      <w:r w:rsidR="00C652E6" w:rsidRPr="00F853DD">
        <w:rPr>
          <w:rFonts w:ascii="Times" w:hAnsi="Times" w:cs="Times New Roman"/>
          <w:sz w:val="23"/>
          <w:szCs w:val="23"/>
        </w:rPr>
        <w:t>ping strategies in caregiving: a</w:t>
      </w:r>
      <w:r w:rsidRPr="00F853DD">
        <w:rPr>
          <w:rFonts w:ascii="Times" w:hAnsi="Times" w:cs="Times New Roman"/>
          <w:sz w:val="23"/>
          <w:szCs w:val="23"/>
        </w:rPr>
        <w:t xml:space="preserve"> symbolic interactionist view. </w:t>
      </w:r>
      <w:r w:rsidRPr="00F853DD">
        <w:rPr>
          <w:rFonts w:ascii="Times" w:hAnsi="Times" w:cs="Times New Roman"/>
          <w:i/>
          <w:sz w:val="23"/>
          <w:szCs w:val="23"/>
        </w:rPr>
        <w:t>Journal of psychosocial nursing and mental health services</w:t>
      </w:r>
      <w:r w:rsidR="00C652E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39</w:t>
      </w:r>
      <w:r w:rsidR="00560F0E" w:rsidRPr="00F853DD">
        <w:rPr>
          <w:rFonts w:ascii="Times" w:hAnsi="Times" w:cs="Times New Roman"/>
          <w:sz w:val="23"/>
          <w:szCs w:val="23"/>
        </w:rPr>
        <w:t>(1)</w:t>
      </w:r>
      <w:r w:rsidRPr="00F853DD">
        <w:rPr>
          <w:rFonts w:ascii="Times" w:hAnsi="Times" w:cs="Times New Roman"/>
          <w:sz w:val="23"/>
          <w:szCs w:val="23"/>
        </w:rPr>
        <w:t>, 28-37.</w:t>
      </w:r>
    </w:p>
    <w:p w14:paraId="0D83223B" w14:textId="70B5346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Clasen, J.</w:t>
      </w:r>
      <w:r w:rsidR="00DF2E8E" w:rsidRPr="00F853DD">
        <w:rPr>
          <w:rFonts w:ascii="Times" w:hAnsi="Times" w:cs="Times New Roman"/>
          <w:sz w:val="23"/>
          <w:szCs w:val="23"/>
        </w:rPr>
        <w:t>,</w:t>
      </w:r>
      <w:r w:rsidRPr="00F853DD">
        <w:rPr>
          <w:rFonts w:ascii="Times" w:hAnsi="Times" w:cs="Times New Roman"/>
          <w:sz w:val="23"/>
          <w:szCs w:val="23"/>
        </w:rPr>
        <w:t xml:space="preserve"> (2005). </w:t>
      </w:r>
      <w:r w:rsidRPr="00F853DD">
        <w:rPr>
          <w:rFonts w:ascii="Times" w:hAnsi="Times" w:cs="Times New Roman"/>
          <w:i/>
          <w:sz w:val="23"/>
          <w:szCs w:val="23"/>
        </w:rPr>
        <w:t>Reformin</w:t>
      </w:r>
      <w:r w:rsidR="00C652E6" w:rsidRPr="00F853DD">
        <w:rPr>
          <w:rFonts w:ascii="Times" w:hAnsi="Times" w:cs="Times New Roman"/>
          <w:i/>
          <w:sz w:val="23"/>
          <w:szCs w:val="23"/>
        </w:rPr>
        <w:t>g European welfare s</w:t>
      </w:r>
      <w:r w:rsidRPr="00F853DD">
        <w:rPr>
          <w:rFonts w:ascii="Times" w:hAnsi="Times" w:cs="Times New Roman"/>
          <w:i/>
          <w:sz w:val="23"/>
          <w:szCs w:val="23"/>
        </w:rPr>
        <w:t xml:space="preserve">tates: Germany and the United Kingdom </w:t>
      </w:r>
      <w:r w:rsidR="00C652E6" w:rsidRPr="00F853DD">
        <w:rPr>
          <w:rFonts w:ascii="Times" w:hAnsi="Times" w:cs="Times New Roman"/>
          <w:i/>
          <w:sz w:val="23"/>
          <w:szCs w:val="23"/>
        </w:rPr>
        <w:t>c</w:t>
      </w:r>
      <w:r w:rsidRPr="00F853DD">
        <w:rPr>
          <w:rFonts w:ascii="Times" w:hAnsi="Times" w:cs="Times New Roman"/>
          <w:i/>
          <w:sz w:val="23"/>
          <w:szCs w:val="23"/>
        </w:rPr>
        <w:t>ompared</w:t>
      </w:r>
      <w:r w:rsidRPr="00F853DD">
        <w:rPr>
          <w:rFonts w:ascii="Times" w:hAnsi="Times" w:cs="Times New Roman"/>
          <w:sz w:val="23"/>
          <w:szCs w:val="23"/>
        </w:rPr>
        <w:t>. Oxford: Oxford University Press.</w:t>
      </w:r>
    </w:p>
    <w:p w14:paraId="7AC4F2B1" w14:textId="2AB6B392" w:rsidR="00DF05BD" w:rsidRPr="00F853DD" w:rsidRDefault="00DF2E8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 xml:space="preserve">Clauss-Ehlers, C., </w:t>
      </w:r>
      <w:r w:rsidR="00DF05BD" w:rsidRPr="00F853DD">
        <w:rPr>
          <w:rFonts w:ascii="Times" w:hAnsi="Times" w:cs="Times New Roman"/>
          <w:sz w:val="23"/>
          <w:szCs w:val="23"/>
        </w:rPr>
        <w:t>(2008). Sociocultural fa</w:t>
      </w:r>
      <w:r w:rsidR="00C652E6" w:rsidRPr="00F853DD">
        <w:rPr>
          <w:rFonts w:ascii="Times" w:hAnsi="Times" w:cs="Times New Roman"/>
          <w:sz w:val="23"/>
          <w:szCs w:val="23"/>
        </w:rPr>
        <w:t>ctors, resilience, and coping: s</w:t>
      </w:r>
      <w:r w:rsidR="00DF05BD" w:rsidRPr="00F853DD">
        <w:rPr>
          <w:rFonts w:ascii="Times" w:hAnsi="Times" w:cs="Times New Roman"/>
          <w:sz w:val="23"/>
          <w:szCs w:val="23"/>
        </w:rPr>
        <w:t xml:space="preserve">upport for a culturally sensitive measure of resilience. </w:t>
      </w:r>
      <w:r w:rsidR="00DF05BD" w:rsidRPr="00F853DD">
        <w:rPr>
          <w:rFonts w:ascii="Times" w:hAnsi="Times" w:cs="Times New Roman"/>
          <w:i/>
          <w:sz w:val="23"/>
          <w:szCs w:val="23"/>
        </w:rPr>
        <w:t>Journal of Applied Developmental Psychology</w:t>
      </w:r>
      <w:r w:rsidR="00C652E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29</w:t>
      </w:r>
      <w:r w:rsidR="00060F8B" w:rsidRPr="00F853DD">
        <w:rPr>
          <w:rFonts w:ascii="Times" w:hAnsi="Times" w:cs="Times New Roman"/>
          <w:sz w:val="23"/>
          <w:szCs w:val="23"/>
        </w:rPr>
        <w:t>(3)</w:t>
      </w:r>
      <w:r w:rsidR="00DF05BD" w:rsidRPr="00F853DD">
        <w:rPr>
          <w:rFonts w:ascii="Times" w:hAnsi="Times" w:cs="Times New Roman"/>
          <w:sz w:val="23"/>
          <w:szCs w:val="23"/>
        </w:rPr>
        <w:t>, 197-212.</w:t>
      </w:r>
    </w:p>
    <w:p w14:paraId="709F7885" w14:textId="6422D147" w:rsidR="00DF05BD" w:rsidRPr="00F853DD" w:rsidRDefault="003F246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Clancy, R., Fisher, G., Daigle, K., Henle, C.</w:t>
      </w:r>
      <w:r w:rsidR="00DF05BD" w:rsidRPr="00F853DD">
        <w:rPr>
          <w:rFonts w:ascii="Times" w:hAnsi="Times" w:cs="Times New Roman"/>
          <w:sz w:val="23"/>
          <w:szCs w:val="23"/>
        </w:rPr>
        <w:t>, McCarthy, J.</w:t>
      </w:r>
      <w:r w:rsidRPr="00F853DD">
        <w:rPr>
          <w:rFonts w:ascii="Times" w:hAnsi="Times" w:cs="Times New Roman"/>
          <w:sz w:val="23"/>
          <w:szCs w:val="23"/>
        </w:rPr>
        <w:t xml:space="preserve"> and Fruhauf, C.</w:t>
      </w:r>
      <w:r w:rsidR="00C652E6" w:rsidRPr="00F853DD">
        <w:rPr>
          <w:rFonts w:ascii="Times" w:hAnsi="Times" w:cs="Times New Roman"/>
          <w:sz w:val="23"/>
          <w:szCs w:val="23"/>
        </w:rPr>
        <w:t xml:space="preserve"> (2019). Eldercare and work a</w:t>
      </w:r>
      <w:r w:rsidR="00DF05BD" w:rsidRPr="00F853DD">
        <w:rPr>
          <w:rFonts w:ascii="Times" w:hAnsi="Times" w:cs="Times New Roman"/>
          <w:sz w:val="23"/>
          <w:szCs w:val="23"/>
        </w:rPr>
        <w:t xml:space="preserve">mong </w:t>
      </w:r>
      <w:r w:rsidR="00C652E6" w:rsidRPr="00F853DD">
        <w:rPr>
          <w:rFonts w:ascii="Times" w:hAnsi="Times" w:cs="Times New Roman"/>
          <w:sz w:val="23"/>
          <w:szCs w:val="23"/>
        </w:rPr>
        <w:t>informal c</w:t>
      </w:r>
      <w:r w:rsidR="00DF05BD" w:rsidRPr="00F853DD">
        <w:rPr>
          <w:rFonts w:ascii="Times" w:hAnsi="Times" w:cs="Times New Roman"/>
          <w:sz w:val="23"/>
          <w:szCs w:val="23"/>
        </w:rPr>
        <w:t xml:space="preserve">aregivers: </w:t>
      </w:r>
      <w:r w:rsidR="00C652E6" w:rsidRPr="00F853DD">
        <w:rPr>
          <w:rFonts w:ascii="Times" w:hAnsi="Times" w:cs="Times New Roman"/>
          <w:sz w:val="23"/>
          <w:szCs w:val="23"/>
        </w:rPr>
        <w:t>a multidisciplinary review and recommendations for future r</w:t>
      </w:r>
      <w:r w:rsidR="00DF05BD" w:rsidRPr="00F853DD">
        <w:rPr>
          <w:rFonts w:ascii="Times" w:hAnsi="Times" w:cs="Times New Roman"/>
          <w:sz w:val="23"/>
          <w:szCs w:val="23"/>
        </w:rPr>
        <w:t xml:space="preserve">esearch. </w:t>
      </w:r>
      <w:r w:rsidR="00DF05BD" w:rsidRPr="00F853DD">
        <w:rPr>
          <w:rFonts w:ascii="Times" w:hAnsi="Times" w:cs="Times New Roman"/>
          <w:i/>
          <w:sz w:val="23"/>
          <w:szCs w:val="23"/>
        </w:rPr>
        <w:t>Journal of Business and Psychology</w:t>
      </w:r>
      <w:r w:rsidR="00C652E6" w:rsidRPr="00F853DD">
        <w:rPr>
          <w:rFonts w:ascii="Times" w:hAnsi="Times" w:cs="Times New Roman"/>
          <w:sz w:val="23"/>
          <w:szCs w:val="23"/>
        </w:rPr>
        <w:t>.</w:t>
      </w:r>
      <w:r w:rsidR="00DF05BD" w:rsidRPr="00F853DD">
        <w:rPr>
          <w:rFonts w:ascii="Times" w:hAnsi="Times" w:cs="Times New Roman"/>
          <w:sz w:val="23"/>
          <w:szCs w:val="23"/>
        </w:rPr>
        <w:t xml:space="preserve"> 1-19.</w:t>
      </w:r>
    </w:p>
    <w:p w14:paraId="30DF68B3" w14:textId="73AFDBD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Cloos, P.</w:t>
      </w:r>
      <w:r w:rsidR="00DF2E8E" w:rsidRPr="00F853DD">
        <w:rPr>
          <w:rFonts w:ascii="Times" w:hAnsi="Times" w:cs="Times New Roman"/>
          <w:sz w:val="23"/>
          <w:szCs w:val="23"/>
        </w:rPr>
        <w:t>,</w:t>
      </w:r>
      <w:r w:rsidRPr="00F853DD">
        <w:rPr>
          <w:rFonts w:ascii="Times" w:hAnsi="Times" w:cs="Times New Roman"/>
          <w:sz w:val="23"/>
          <w:szCs w:val="23"/>
        </w:rPr>
        <w:t xml:space="preserve"> (2010). Health inequalities in the Caribbean: increasing opportunities and resources. </w:t>
      </w:r>
      <w:r w:rsidRPr="00F853DD">
        <w:rPr>
          <w:rFonts w:ascii="Times" w:hAnsi="Times" w:cs="Times New Roman"/>
          <w:i/>
          <w:sz w:val="23"/>
          <w:szCs w:val="23"/>
        </w:rPr>
        <w:t>Global Health Promotion</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00060F8B" w:rsidRPr="00F853DD">
        <w:rPr>
          <w:rFonts w:ascii="Times" w:hAnsi="Times" w:cs="Times New Roman"/>
          <w:sz w:val="23"/>
          <w:szCs w:val="23"/>
        </w:rPr>
        <w:t>(1)</w:t>
      </w:r>
      <w:r w:rsidRPr="00F853DD">
        <w:rPr>
          <w:rFonts w:ascii="Times" w:hAnsi="Times" w:cs="Times New Roman"/>
          <w:sz w:val="23"/>
          <w:szCs w:val="23"/>
        </w:rPr>
        <w:t>, 73-76.</w:t>
      </w:r>
    </w:p>
    <w:p w14:paraId="05C0618A" w14:textId="7514A0A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Cloos, P., Allen,</w:t>
      </w:r>
      <w:r w:rsidR="003F246B" w:rsidRPr="00F853DD">
        <w:rPr>
          <w:rFonts w:ascii="Times" w:hAnsi="Times" w:cs="Times New Roman"/>
          <w:sz w:val="23"/>
          <w:szCs w:val="23"/>
        </w:rPr>
        <w:t xml:space="preserve"> C., Alvarado, B., Zunzunegui, M., Simeon, D.</w:t>
      </w:r>
      <w:r w:rsidRPr="00F853DD">
        <w:rPr>
          <w:rFonts w:ascii="Times" w:hAnsi="Times" w:cs="Times New Roman"/>
          <w:sz w:val="23"/>
          <w:szCs w:val="23"/>
        </w:rPr>
        <w:t xml:space="preserve"> and Eldemire-Shearer, D.</w:t>
      </w:r>
      <w:r w:rsidR="00DF2E8E" w:rsidRPr="00F853DD">
        <w:rPr>
          <w:rFonts w:ascii="Times" w:hAnsi="Times" w:cs="Times New Roman"/>
          <w:sz w:val="23"/>
          <w:szCs w:val="23"/>
        </w:rPr>
        <w:t>,</w:t>
      </w:r>
      <w:r w:rsidR="00693069" w:rsidRPr="00F853DD">
        <w:rPr>
          <w:rFonts w:ascii="Times" w:hAnsi="Times" w:cs="Times New Roman"/>
          <w:sz w:val="23"/>
          <w:szCs w:val="23"/>
        </w:rPr>
        <w:t xml:space="preserve"> (2010). ‘</w:t>
      </w:r>
      <w:r w:rsidRPr="00F853DD">
        <w:rPr>
          <w:rFonts w:ascii="Times" w:hAnsi="Times" w:cs="Times New Roman"/>
          <w:sz w:val="23"/>
          <w:szCs w:val="23"/>
        </w:rPr>
        <w:t xml:space="preserve">Active ageing': a qualitative study in six Caribbean countries. </w:t>
      </w:r>
      <w:r w:rsidRPr="00F853DD">
        <w:rPr>
          <w:rFonts w:ascii="Times" w:hAnsi="Times" w:cs="Times New Roman"/>
          <w:i/>
          <w:sz w:val="23"/>
          <w:szCs w:val="23"/>
        </w:rPr>
        <w:t>Ageing and Society</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00060F8B" w:rsidRPr="00F853DD">
        <w:rPr>
          <w:rFonts w:ascii="Times" w:hAnsi="Times" w:cs="Times New Roman"/>
          <w:sz w:val="23"/>
          <w:szCs w:val="23"/>
        </w:rPr>
        <w:t>(1)</w:t>
      </w:r>
      <w:r w:rsidRPr="00F853DD">
        <w:rPr>
          <w:rFonts w:ascii="Times" w:hAnsi="Times" w:cs="Times New Roman"/>
          <w:sz w:val="23"/>
          <w:szCs w:val="23"/>
        </w:rPr>
        <w:t>, 79-101.</w:t>
      </w:r>
    </w:p>
    <w:p w14:paraId="406A9BB0" w14:textId="7DFBDAF8" w:rsidR="00DF05BD" w:rsidRPr="00F853DD" w:rsidRDefault="003F246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Coeling, H.</w:t>
      </w:r>
      <w:r w:rsidR="00DF05BD" w:rsidRPr="00F853DD">
        <w:rPr>
          <w:rFonts w:ascii="Times" w:hAnsi="Times" w:cs="Times New Roman"/>
          <w:sz w:val="23"/>
          <w:szCs w:val="23"/>
        </w:rPr>
        <w:t xml:space="preserve"> and Biordi, D.</w:t>
      </w:r>
      <w:r w:rsidR="00DF2E8E" w:rsidRPr="00F853DD">
        <w:rPr>
          <w:rFonts w:ascii="Times" w:hAnsi="Times" w:cs="Times New Roman"/>
          <w:sz w:val="23"/>
          <w:szCs w:val="23"/>
        </w:rPr>
        <w:t>,</w:t>
      </w:r>
      <w:r w:rsidR="00DF05BD" w:rsidRPr="00F853DD">
        <w:rPr>
          <w:rFonts w:ascii="Times" w:hAnsi="Times" w:cs="Times New Roman"/>
          <w:sz w:val="23"/>
          <w:szCs w:val="23"/>
        </w:rPr>
        <w:t xml:space="preserve"> (2000). The relationship between work strategies used by informal caregivers and care receivers and clinical outcomes. </w:t>
      </w:r>
      <w:r w:rsidR="00DF05BD" w:rsidRPr="00F853DD">
        <w:rPr>
          <w:rFonts w:ascii="Times" w:hAnsi="Times" w:cs="Times New Roman"/>
          <w:i/>
          <w:sz w:val="23"/>
          <w:szCs w:val="23"/>
        </w:rPr>
        <w:t>Journal of Applied Gerontology</w:t>
      </w:r>
      <w:r w:rsidR="0069306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060F8B" w:rsidRPr="00F853DD">
        <w:rPr>
          <w:rFonts w:ascii="Times" w:hAnsi="Times" w:cs="Times New Roman"/>
          <w:sz w:val="23"/>
          <w:szCs w:val="23"/>
        </w:rPr>
        <w:t>(3)</w:t>
      </w:r>
      <w:r w:rsidR="00DF05BD" w:rsidRPr="00F853DD">
        <w:rPr>
          <w:rFonts w:ascii="Times" w:hAnsi="Times" w:cs="Times New Roman"/>
          <w:sz w:val="23"/>
          <w:szCs w:val="23"/>
        </w:rPr>
        <w:t>, 264-283.</w:t>
      </w:r>
    </w:p>
    <w:p w14:paraId="54E37D63" w14:textId="6789AA5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Cohen, S. and </w:t>
      </w:r>
      <w:r w:rsidR="00DF2E8E" w:rsidRPr="00F853DD">
        <w:rPr>
          <w:rFonts w:ascii="Times" w:hAnsi="Times" w:cs="Times New Roman"/>
          <w:sz w:val="23"/>
          <w:szCs w:val="23"/>
        </w:rPr>
        <w:t>Wills, T.,</w:t>
      </w:r>
      <w:r w:rsidRPr="00F853DD">
        <w:rPr>
          <w:rFonts w:ascii="Times" w:hAnsi="Times" w:cs="Times New Roman"/>
          <w:sz w:val="23"/>
          <w:szCs w:val="23"/>
        </w:rPr>
        <w:t xml:space="preserve"> (1985). Stress, social support, and the buffering hypothesis. </w:t>
      </w:r>
      <w:r w:rsidRPr="00F853DD">
        <w:rPr>
          <w:rFonts w:ascii="Times" w:hAnsi="Times" w:cs="Times New Roman"/>
          <w:i/>
          <w:sz w:val="23"/>
          <w:szCs w:val="23"/>
        </w:rPr>
        <w:t>Psychological Bulletin</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98</w:t>
      </w:r>
      <w:r w:rsidR="00060F8B" w:rsidRPr="00F853DD">
        <w:rPr>
          <w:rFonts w:ascii="Times" w:hAnsi="Times" w:cs="Times New Roman"/>
          <w:sz w:val="23"/>
          <w:szCs w:val="23"/>
        </w:rPr>
        <w:t>(2)</w:t>
      </w:r>
      <w:r w:rsidRPr="00F853DD">
        <w:rPr>
          <w:rFonts w:ascii="Times" w:hAnsi="Times" w:cs="Times New Roman"/>
          <w:sz w:val="23"/>
          <w:szCs w:val="23"/>
        </w:rPr>
        <w:t>, 310-357.</w:t>
      </w:r>
    </w:p>
    <w:p w14:paraId="364E1FA0" w14:textId="45DA8DF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Cohen-Mansfield, J. and Parpura-Gill, A.</w:t>
      </w:r>
      <w:r w:rsidR="00DF2E8E" w:rsidRPr="00F853DD">
        <w:rPr>
          <w:rFonts w:ascii="Times" w:hAnsi="Times" w:cs="Times New Roman"/>
          <w:sz w:val="23"/>
          <w:szCs w:val="23"/>
        </w:rPr>
        <w:t>,</w:t>
      </w:r>
      <w:r w:rsidRPr="00F853DD">
        <w:rPr>
          <w:rFonts w:ascii="Times" w:hAnsi="Times" w:cs="Times New Roman"/>
          <w:sz w:val="23"/>
          <w:szCs w:val="23"/>
        </w:rPr>
        <w:t xml:space="preserve"> (2007). Loneliness in older persons: a theoretical model and empirical findings. </w:t>
      </w:r>
      <w:r w:rsidRPr="00F853DD">
        <w:rPr>
          <w:rFonts w:ascii="Times" w:hAnsi="Times" w:cs="Times New Roman"/>
          <w:i/>
          <w:sz w:val="23"/>
          <w:szCs w:val="23"/>
        </w:rPr>
        <w:t>International Psychogeriatrics</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00060F8B" w:rsidRPr="00F853DD">
        <w:rPr>
          <w:rFonts w:ascii="Times" w:hAnsi="Times" w:cs="Times New Roman"/>
          <w:sz w:val="23"/>
          <w:szCs w:val="23"/>
        </w:rPr>
        <w:t>(2)</w:t>
      </w:r>
      <w:r w:rsidRPr="00F853DD">
        <w:rPr>
          <w:rFonts w:ascii="Times" w:hAnsi="Times" w:cs="Times New Roman"/>
          <w:sz w:val="23"/>
          <w:szCs w:val="23"/>
        </w:rPr>
        <w:t>, 279-294.</w:t>
      </w:r>
    </w:p>
    <w:p w14:paraId="6E1FFCBD" w14:textId="6BB99FC2" w:rsidR="00DF05BD" w:rsidRPr="00F853DD" w:rsidRDefault="003F246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Colgrove, L.</w:t>
      </w:r>
      <w:r w:rsidR="00DF05BD" w:rsidRPr="00F853DD">
        <w:rPr>
          <w:rFonts w:ascii="Times" w:hAnsi="Times" w:cs="Times New Roman"/>
          <w:sz w:val="23"/>
          <w:szCs w:val="23"/>
        </w:rPr>
        <w:t>, Kim, Y. and Thompson, N.</w:t>
      </w:r>
      <w:r w:rsidR="00DF2E8E" w:rsidRPr="00F853DD">
        <w:rPr>
          <w:rFonts w:ascii="Times" w:hAnsi="Times" w:cs="Times New Roman"/>
          <w:sz w:val="23"/>
          <w:szCs w:val="23"/>
        </w:rPr>
        <w:t>,</w:t>
      </w:r>
      <w:r w:rsidR="00DF05BD" w:rsidRPr="00F853DD">
        <w:rPr>
          <w:rFonts w:ascii="Times" w:hAnsi="Times" w:cs="Times New Roman"/>
          <w:sz w:val="23"/>
          <w:szCs w:val="23"/>
        </w:rPr>
        <w:t xml:space="preserve"> (2007). The effect of spirituality and gender on the quality of life of spousal caregivers of cancer survivors. </w:t>
      </w:r>
      <w:r w:rsidR="00DF05BD" w:rsidRPr="00F853DD">
        <w:rPr>
          <w:rFonts w:ascii="Times" w:hAnsi="Times" w:cs="Times New Roman"/>
          <w:i/>
          <w:sz w:val="23"/>
          <w:szCs w:val="23"/>
        </w:rPr>
        <w:t>Annals of Behavioral Medicine</w:t>
      </w:r>
      <w:r w:rsidR="0069306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33</w:t>
      </w:r>
      <w:r w:rsidR="00EB1989" w:rsidRPr="00F853DD">
        <w:rPr>
          <w:rFonts w:ascii="Times" w:hAnsi="Times" w:cs="Times New Roman"/>
          <w:sz w:val="23"/>
          <w:szCs w:val="23"/>
        </w:rPr>
        <w:t>(1)</w:t>
      </w:r>
      <w:r w:rsidR="00DF05BD" w:rsidRPr="00F853DD">
        <w:rPr>
          <w:rFonts w:ascii="Times" w:hAnsi="Times" w:cs="Times New Roman"/>
          <w:sz w:val="23"/>
          <w:szCs w:val="23"/>
        </w:rPr>
        <w:t>, 90-98.</w:t>
      </w:r>
    </w:p>
    <w:p w14:paraId="5C2FC0AA" w14:textId="4E36AFDA" w:rsidR="00DF05BD" w:rsidRPr="00F853DD" w:rsidRDefault="003F246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Collins, J.</w:t>
      </w:r>
      <w:r w:rsidR="00DF05BD" w:rsidRPr="00F853DD">
        <w:rPr>
          <w:rFonts w:ascii="Times" w:hAnsi="Times" w:cs="Times New Roman"/>
          <w:sz w:val="23"/>
          <w:szCs w:val="23"/>
        </w:rPr>
        <w:t xml:space="preserve"> and Fauser, B.</w:t>
      </w:r>
      <w:r w:rsidR="00DF2E8E" w:rsidRPr="00F853DD">
        <w:rPr>
          <w:rFonts w:ascii="Times" w:hAnsi="Times" w:cs="Times New Roman"/>
          <w:sz w:val="23"/>
          <w:szCs w:val="23"/>
        </w:rPr>
        <w:t>,</w:t>
      </w:r>
      <w:r w:rsidR="00DF05BD" w:rsidRPr="00F853DD">
        <w:rPr>
          <w:rFonts w:ascii="Times" w:hAnsi="Times" w:cs="Times New Roman"/>
          <w:sz w:val="23"/>
          <w:szCs w:val="23"/>
        </w:rPr>
        <w:t xml:space="preserve"> (2005). Balancing the strengths of systematic and narrative reviews. </w:t>
      </w:r>
      <w:r w:rsidR="00DF05BD" w:rsidRPr="00F853DD">
        <w:rPr>
          <w:rFonts w:ascii="Times" w:hAnsi="Times" w:cs="Times New Roman"/>
          <w:i/>
          <w:sz w:val="23"/>
          <w:szCs w:val="23"/>
        </w:rPr>
        <w:t>Human Reproduction Update</w:t>
      </w:r>
      <w:r w:rsidR="0069306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11</w:t>
      </w:r>
      <w:r w:rsidR="00DF05BD" w:rsidRPr="00F853DD">
        <w:rPr>
          <w:rFonts w:ascii="Times" w:hAnsi="Times" w:cs="Times New Roman"/>
          <w:sz w:val="23"/>
          <w:szCs w:val="23"/>
        </w:rPr>
        <w:t>, 103-104.</w:t>
      </w:r>
    </w:p>
    <w:p w14:paraId="2EFF2A14" w14:textId="11900B7D"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s-ES"/>
        </w:rPr>
      </w:pPr>
      <w:r w:rsidRPr="00F853DD">
        <w:rPr>
          <w:rFonts w:ascii="Times" w:hAnsi="Times" w:cs="Times New Roman"/>
          <w:sz w:val="23"/>
          <w:szCs w:val="23"/>
        </w:rPr>
        <w:t>Collins, K.</w:t>
      </w:r>
      <w:r w:rsidR="00DF2E8E" w:rsidRPr="00F853DD">
        <w:rPr>
          <w:rFonts w:ascii="Times" w:hAnsi="Times" w:cs="Times New Roman"/>
          <w:sz w:val="23"/>
          <w:szCs w:val="23"/>
        </w:rPr>
        <w:t>,</w:t>
      </w:r>
      <w:r w:rsidR="00693069" w:rsidRPr="00F853DD">
        <w:rPr>
          <w:rFonts w:ascii="Times" w:hAnsi="Times" w:cs="Times New Roman"/>
          <w:sz w:val="23"/>
          <w:szCs w:val="23"/>
        </w:rPr>
        <w:t xml:space="preserve"> (2006). Elder maltreatment: a</w:t>
      </w:r>
      <w:r w:rsidRPr="00F853DD">
        <w:rPr>
          <w:rFonts w:ascii="Times" w:hAnsi="Times" w:cs="Times New Roman"/>
          <w:sz w:val="23"/>
          <w:szCs w:val="23"/>
        </w:rPr>
        <w:t xml:space="preserve"> review. </w:t>
      </w:r>
      <w:r w:rsidRPr="00F853DD">
        <w:rPr>
          <w:rFonts w:ascii="Times" w:hAnsi="Times" w:cs="Times New Roman"/>
          <w:i/>
          <w:sz w:val="23"/>
          <w:szCs w:val="23"/>
        </w:rPr>
        <w:t>Archives of Pathology and Laboratory Medicine</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lang w:val="es-ES"/>
        </w:rPr>
        <w:t>130</w:t>
      </w:r>
      <w:r w:rsidR="00EB1989" w:rsidRPr="00F853DD">
        <w:rPr>
          <w:rFonts w:ascii="Times" w:hAnsi="Times" w:cs="Times New Roman"/>
          <w:sz w:val="23"/>
          <w:szCs w:val="23"/>
          <w:lang w:val="es-ES"/>
        </w:rPr>
        <w:t>(9)</w:t>
      </w:r>
      <w:r w:rsidRPr="00F853DD">
        <w:rPr>
          <w:rFonts w:ascii="Times" w:hAnsi="Times" w:cs="Times New Roman"/>
          <w:sz w:val="23"/>
          <w:szCs w:val="23"/>
          <w:lang w:val="es-ES"/>
        </w:rPr>
        <w:t>, 1290-1296.</w:t>
      </w:r>
    </w:p>
    <w:p w14:paraId="0DFDFF76" w14:textId="0903D46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s-ES"/>
        </w:rPr>
        <w:t>Colombo, F., Llena-Nozal, A., Mercier, J. and Tjadens, F.</w:t>
      </w:r>
      <w:r w:rsidR="00DF2E8E" w:rsidRPr="00F853DD">
        <w:rPr>
          <w:rFonts w:ascii="Times" w:hAnsi="Times" w:cs="Times New Roman"/>
          <w:sz w:val="23"/>
          <w:szCs w:val="23"/>
          <w:lang w:val="es-ES"/>
        </w:rPr>
        <w:t>,</w:t>
      </w:r>
      <w:r w:rsidRPr="00F853DD">
        <w:rPr>
          <w:rFonts w:ascii="Times" w:hAnsi="Times" w:cs="Times New Roman"/>
          <w:sz w:val="23"/>
          <w:szCs w:val="23"/>
          <w:lang w:val="es-ES"/>
        </w:rPr>
        <w:t xml:space="preserve"> (2011). </w:t>
      </w:r>
      <w:r w:rsidRPr="00F853DD">
        <w:rPr>
          <w:rFonts w:ascii="Times" w:hAnsi="Times" w:cs="Times New Roman"/>
          <w:sz w:val="23"/>
          <w:szCs w:val="23"/>
        </w:rPr>
        <w:t xml:space="preserve">Policies to Support Family Carers. In: Chap 4. </w:t>
      </w:r>
      <w:r w:rsidRPr="00F853DD">
        <w:rPr>
          <w:rFonts w:ascii="Times" w:hAnsi="Times" w:cs="Times New Roman"/>
          <w:i/>
          <w:sz w:val="23"/>
          <w:szCs w:val="23"/>
        </w:rPr>
        <w:t xml:space="preserve">Help wanted? Providing and paying for long-term care </w:t>
      </w:r>
      <w:r w:rsidRPr="00F853DD">
        <w:rPr>
          <w:rFonts w:ascii="Times" w:hAnsi="Times" w:cs="Times New Roman"/>
          <w:sz w:val="23"/>
          <w:szCs w:val="23"/>
        </w:rPr>
        <w:t>[online]</w:t>
      </w:r>
      <w:r w:rsidRPr="00F853DD">
        <w:rPr>
          <w:rFonts w:ascii="Times" w:hAnsi="Times" w:cs="Times New Roman"/>
          <w:i/>
          <w:sz w:val="23"/>
          <w:szCs w:val="23"/>
        </w:rPr>
        <w:t>.</w:t>
      </w:r>
      <w:r w:rsidRPr="00F853DD">
        <w:rPr>
          <w:rFonts w:ascii="Times" w:hAnsi="Times" w:cs="Times New Roman"/>
          <w:sz w:val="23"/>
          <w:szCs w:val="23"/>
        </w:rPr>
        <w:t xml:space="preserve"> OECD. [Viewed 17 2019]. Available from:  https://www.oecd.org/els/health-systems/47884889.pdf. </w:t>
      </w:r>
    </w:p>
    <w:p w14:paraId="643DFC33" w14:textId="17BDB59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s-UY"/>
        </w:rPr>
        <w:t>Coma, M., Munoz, J., Postigo, P., Ayuso, M., Sierra, C. and Sayrol, T.</w:t>
      </w:r>
      <w:r w:rsidR="00DF2E8E" w:rsidRPr="00F853DD">
        <w:rPr>
          <w:rFonts w:ascii="Times" w:hAnsi="Times" w:cs="Times New Roman"/>
          <w:sz w:val="23"/>
          <w:szCs w:val="23"/>
          <w:lang w:val="es-UY"/>
        </w:rPr>
        <w:t>,</w:t>
      </w:r>
      <w:r w:rsidRPr="00F853DD">
        <w:rPr>
          <w:rFonts w:ascii="Times" w:hAnsi="Times" w:cs="Times New Roman"/>
          <w:sz w:val="23"/>
          <w:szCs w:val="23"/>
          <w:lang w:val="es-UY"/>
        </w:rPr>
        <w:t xml:space="preserve"> (2007). </w:t>
      </w:r>
      <w:r w:rsidRPr="00F853DD">
        <w:rPr>
          <w:rFonts w:ascii="Times" w:hAnsi="Times" w:cs="Times New Roman"/>
          <w:sz w:val="23"/>
          <w:szCs w:val="23"/>
        </w:rPr>
        <w:t xml:space="preserve">Primary care doctors' and nurses' opinion of elder abuse and neglect. </w:t>
      </w:r>
      <w:r w:rsidRPr="00F853DD">
        <w:rPr>
          <w:rFonts w:ascii="Times" w:hAnsi="Times" w:cs="Times New Roman"/>
          <w:i/>
          <w:sz w:val="23"/>
          <w:szCs w:val="23"/>
        </w:rPr>
        <w:t>Gaceta Sanitaria</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00EB1989" w:rsidRPr="00F853DD">
        <w:rPr>
          <w:rFonts w:ascii="Times" w:hAnsi="Times" w:cs="Times New Roman"/>
          <w:sz w:val="23"/>
          <w:szCs w:val="23"/>
        </w:rPr>
        <w:t>(3)</w:t>
      </w:r>
      <w:r w:rsidRPr="00F853DD">
        <w:rPr>
          <w:rFonts w:ascii="Times" w:hAnsi="Times" w:cs="Times New Roman"/>
          <w:sz w:val="23"/>
          <w:szCs w:val="23"/>
        </w:rPr>
        <w:t>, 235-241.</w:t>
      </w:r>
    </w:p>
    <w:p w14:paraId="3901226B" w14:textId="7482C01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Commonwealth Secretariat</w:t>
      </w:r>
      <w:r w:rsidR="00DF2E8E" w:rsidRPr="00F853DD">
        <w:rPr>
          <w:rFonts w:ascii="Times" w:hAnsi="Times" w:cs="Times New Roman"/>
          <w:sz w:val="23"/>
          <w:szCs w:val="23"/>
        </w:rPr>
        <w:t>,</w:t>
      </w:r>
      <w:r w:rsidRPr="00F853DD">
        <w:rPr>
          <w:rFonts w:ascii="Times" w:hAnsi="Times" w:cs="Times New Roman"/>
          <w:sz w:val="23"/>
          <w:szCs w:val="23"/>
        </w:rPr>
        <w:t xml:space="preserve"> (2</w:t>
      </w:r>
      <w:r w:rsidR="00693069" w:rsidRPr="00F853DD">
        <w:rPr>
          <w:rFonts w:ascii="Times" w:hAnsi="Times" w:cs="Times New Roman"/>
          <w:sz w:val="23"/>
          <w:szCs w:val="23"/>
        </w:rPr>
        <w:t>016). Key principles of public s</w:t>
      </w:r>
      <w:r w:rsidRPr="00F853DD">
        <w:rPr>
          <w:rFonts w:ascii="Times" w:hAnsi="Times" w:cs="Times New Roman"/>
          <w:sz w:val="23"/>
          <w:szCs w:val="23"/>
        </w:rPr>
        <w:t>ec</w:t>
      </w:r>
      <w:r w:rsidR="00693069" w:rsidRPr="00F853DD">
        <w:rPr>
          <w:rFonts w:ascii="Times" w:hAnsi="Times" w:cs="Times New Roman"/>
          <w:sz w:val="23"/>
          <w:szCs w:val="23"/>
        </w:rPr>
        <w:t>tor reforms: case studies and f</w:t>
      </w:r>
      <w:r w:rsidRPr="00F853DD">
        <w:rPr>
          <w:rFonts w:ascii="Times" w:hAnsi="Times" w:cs="Times New Roman"/>
          <w:sz w:val="23"/>
          <w:szCs w:val="23"/>
        </w:rPr>
        <w:t xml:space="preserve">rameworks. Available from: </w:t>
      </w:r>
      <w:r w:rsidRPr="00F853DD">
        <w:rPr>
          <w:rFonts w:ascii="Times" w:hAnsi="Times"/>
          <w:sz w:val="23"/>
          <w:szCs w:val="23"/>
        </w:rPr>
        <w:t>https://thecommonwealth.org/sites/default/files/news-items/documents/P14763_PSG_PGSU.pdf.</w:t>
      </w:r>
    </w:p>
    <w:p w14:paraId="7B92404E" w14:textId="1BA674C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Cong, Z. and Silverstein, M.</w:t>
      </w:r>
      <w:r w:rsidR="00DF2E8E" w:rsidRPr="00F853DD">
        <w:rPr>
          <w:rFonts w:ascii="Times" w:hAnsi="Times" w:cs="Times New Roman"/>
          <w:sz w:val="23"/>
          <w:szCs w:val="23"/>
        </w:rPr>
        <w:t>,</w:t>
      </w:r>
      <w:r w:rsidR="00693069" w:rsidRPr="00F853DD">
        <w:rPr>
          <w:rFonts w:ascii="Times" w:hAnsi="Times" w:cs="Times New Roman"/>
          <w:sz w:val="23"/>
          <w:szCs w:val="23"/>
        </w:rPr>
        <w:t xml:space="preserve"> (2014). Parents’</w:t>
      </w:r>
      <w:r w:rsidRPr="00F853DD">
        <w:rPr>
          <w:rFonts w:ascii="Times" w:hAnsi="Times" w:cs="Times New Roman"/>
          <w:sz w:val="23"/>
          <w:szCs w:val="23"/>
        </w:rPr>
        <w:t xml:space="preserve"> preferred care-givers in rural China: gender, migration and intergenerational exchanges. </w:t>
      </w:r>
      <w:r w:rsidRPr="00F853DD">
        <w:rPr>
          <w:rFonts w:ascii="Times" w:hAnsi="Times" w:cs="Times New Roman"/>
          <w:i/>
          <w:sz w:val="23"/>
          <w:szCs w:val="23"/>
        </w:rPr>
        <w:t>Ageing and Society</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00EB1989" w:rsidRPr="00F853DD">
        <w:rPr>
          <w:rFonts w:ascii="Times" w:hAnsi="Times" w:cs="Times New Roman"/>
          <w:sz w:val="23"/>
          <w:szCs w:val="23"/>
        </w:rPr>
        <w:t>(5)</w:t>
      </w:r>
      <w:r w:rsidRPr="00F853DD">
        <w:rPr>
          <w:rFonts w:ascii="Times" w:hAnsi="Times" w:cs="Times New Roman"/>
          <w:sz w:val="23"/>
          <w:szCs w:val="23"/>
        </w:rPr>
        <w:t>, 727-752.</w:t>
      </w:r>
    </w:p>
    <w:p w14:paraId="34B9DD95" w14:textId="0E7CD709" w:rsidR="00DF05BD" w:rsidRPr="00F853DD" w:rsidRDefault="003F246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Conner, N. and Chase, S.</w:t>
      </w:r>
      <w:r w:rsidR="00DF2E8E" w:rsidRPr="00F853DD">
        <w:rPr>
          <w:rFonts w:ascii="Times" w:hAnsi="Times" w:cs="Times New Roman"/>
          <w:sz w:val="23"/>
          <w:szCs w:val="23"/>
        </w:rPr>
        <w:t>,</w:t>
      </w:r>
      <w:r w:rsidR="00DF05BD" w:rsidRPr="00F853DD">
        <w:rPr>
          <w:rFonts w:ascii="Times" w:hAnsi="Times" w:cs="Times New Roman"/>
          <w:sz w:val="23"/>
          <w:szCs w:val="23"/>
        </w:rPr>
        <w:t xml:space="preserve"> (2015). Decisions and caregiving: end of life among blacks from the perspective of informal caregivers and decision makers. </w:t>
      </w:r>
      <w:r w:rsidR="00DF05BD" w:rsidRPr="00F853DD">
        <w:rPr>
          <w:rFonts w:ascii="Times" w:hAnsi="Times" w:cs="Times New Roman"/>
          <w:i/>
          <w:sz w:val="23"/>
          <w:szCs w:val="23"/>
        </w:rPr>
        <w:t>American Journal of Hospice and Palliative Medicine</w:t>
      </w:r>
      <w:r w:rsidR="0069306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32</w:t>
      </w:r>
      <w:r w:rsidR="00EB1989" w:rsidRPr="00F853DD">
        <w:rPr>
          <w:rFonts w:ascii="Times" w:hAnsi="Times" w:cs="Times New Roman"/>
          <w:sz w:val="23"/>
          <w:szCs w:val="23"/>
        </w:rPr>
        <w:t>(4)</w:t>
      </w:r>
      <w:r w:rsidR="00DF05BD" w:rsidRPr="00F853DD">
        <w:rPr>
          <w:rFonts w:ascii="Times" w:hAnsi="Times" w:cs="Times New Roman"/>
          <w:sz w:val="23"/>
          <w:szCs w:val="23"/>
        </w:rPr>
        <w:t>, 454-463.</w:t>
      </w:r>
    </w:p>
    <w:p w14:paraId="59767086" w14:textId="441A92D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Connidis, I</w:t>
      </w:r>
      <w:r w:rsidR="006B56FB" w:rsidRPr="00F853DD">
        <w:rPr>
          <w:rFonts w:ascii="Times" w:hAnsi="Times" w:cs="Times New Roman"/>
          <w:sz w:val="23"/>
          <w:szCs w:val="23"/>
        </w:rPr>
        <w:t>. and Mcmullin, J.</w:t>
      </w:r>
      <w:r w:rsidR="00DF2E8E" w:rsidRPr="00F853DD">
        <w:rPr>
          <w:rFonts w:ascii="Times" w:hAnsi="Times" w:cs="Times New Roman"/>
          <w:sz w:val="23"/>
          <w:szCs w:val="23"/>
        </w:rPr>
        <w:t>,</w:t>
      </w:r>
      <w:r w:rsidRPr="00F853DD">
        <w:rPr>
          <w:rFonts w:ascii="Times" w:hAnsi="Times" w:cs="Times New Roman"/>
          <w:sz w:val="23"/>
          <w:szCs w:val="23"/>
        </w:rPr>
        <w:t xml:space="preserve"> (2002). Sociological ambivalence and family ties: a critical perspective. </w:t>
      </w:r>
      <w:r w:rsidRPr="00F853DD">
        <w:rPr>
          <w:rFonts w:ascii="Times" w:hAnsi="Times" w:cs="Times New Roman"/>
          <w:i/>
          <w:sz w:val="23"/>
          <w:szCs w:val="23"/>
        </w:rPr>
        <w:t>Journal of Marriage and The Family</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64</w:t>
      </w:r>
      <w:r w:rsidR="00EB1989" w:rsidRPr="00F853DD">
        <w:rPr>
          <w:rFonts w:ascii="Times" w:hAnsi="Times" w:cs="Times New Roman"/>
          <w:sz w:val="23"/>
          <w:szCs w:val="23"/>
        </w:rPr>
        <w:t>(3)</w:t>
      </w:r>
      <w:r w:rsidRPr="00F853DD">
        <w:rPr>
          <w:rFonts w:ascii="Times" w:hAnsi="Times" w:cs="Times New Roman"/>
          <w:sz w:val="23"/>
          <w:szCs w:val="23"/>
        </w:rPr>
        <w:t>, 558-567.</w:t>
      </w:r>
    </w:p>
    <w:p w14:paraId="2FC7A4E4" w14:textId="4A43F0A9" w:rsidR="00DF05BD" w:rsidRPr="00F853DD" w:rsidRDefault="006B56F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Connor, K. and Davidson, J.</w:t>
      </w:r>
      <w:r w:rsidR="00DF2E8E" w:rsidRPr="00F853DD">
        <w:rPr>
          <w:rFonts w:ascii="Times" w:hAnsi="Times" w:cs="Times New Roman"/>
          <w:sz w:val="23"/>
          <w:szCs w:val="23"/>
        </w:rPr>
        <w:t>,</w:t>
      </w:r>
      <w:r w:rsidRPr="00F853DD">
        <w:rPr>
          <w:rFonts w:ascii="Times" w:hAnsi="Times" w:cs="Times New Roman"/>
          <w:sz w:val="23"/>
          <w:szCs w:val="23"/>
        </w:rPr>
        <w:t xml:space="preserve"> </w:t>
      </w:r>
      <w:r w:rsidR="00DF05BD" w:rsidRPr="00F853DD">
        <w:rPr>
          <w:rFonts w:ascii="Times" w:hAnsi="Times" w:cs="Times New Roman"/>
          <w:sz w:val="23"/>
          <w:szCs w:val="23"/>
        </w:rPr>
        <w:t>(2003). Developm</w:t>
      </w:r>
      <w:r w:rsidR="00693069" w:rsidRPr="00F853DD">
        <w:rPr>
          <w:rFonts w:ascii="Times" w:hAnsi="Times" w:cs="Times New Roman"/>
          <w:sz w:val="23"/>
          <w:szCs w:val="23"/>
        </w:rPr>
        <w:t>ent of a new resilience scale: t</w:t>
      </w:r>
      <w:r w:rsidR="00DF05BD" w:rsidRPr="00F853DD">
        <w:rPr>
          <w:rFonts w:ascii="Times" w:hAnsi="Times" w:cs="Times New Roman"/>
          <w:sz w:val="23"/>
          <w:szCs w:val="23"/>
        </w:rPr>
        <w:t xml:space="preserve">he Connor-Davidson Resilience scale (CD-RISC). </w:t>
      </w:r>
      <w:r w:rsidR="00DF05BD" w:rsidRPr="00F853DD">
        <w:rPr>
          <w:rFonts w:ascii="Times" w:hAnsi="Times" w:cs="Times New Roman"/>
          <w:i/>
          <w:sz w:val="23"/>
          <w:szCs w:val="23"/>
        </w:rPr>
        <w:t>Depression and Anxiety</w:t>
      </w:r>
      <w:r w:rsidR="0069306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EB1989" w:rsidRPr="00F853DD">
        <w:rPr>
          <w:rFonts w:ascii="Times" w:hAnsi="Times" w:cs="Times New Roman"/>
          <w:sz w:val="23"/>
          <w:szCs w:val="23"/>
        </w:rPr>
        <w:t>(2)</w:t>
      </w:r>
      <w:r w:rsidR="00DF05BD" w:rsidRPr="00F853DD">
        <w:rPr>
          <w:rFonts w:ascii="Times" w:hAnsi="Times" w:cs="Times New Roman"/>
          <w:sz w:val="23"/>
          <w:szCs w:val="23"/>
        </w:rPr>
        <w:t>, 76-82.</w:t>
      </w:r>
    </w:p>
    <w:p w14:paraId="190D7B00" w14:textId="0105086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Coon, D.</w:t>
      </w:r>
      <w:r w:rsidR="00DF2E8E" w:rsidRPr="00F853DD">
        <w:rPr>
          <w:rFonts w:ascii="Times" w:hAnsi="Times" w:cs="Times New Roman"/>
          <w:sz w:val="23"/>
          <w:szCs w:val="23"/>
        </w:rPr>
        <w:t>,</w:t>
      </w:r>
      <w:r w:rsidRPr="00F853DD">
        <w:rPr>
          <w:rFonts w:ascii="Times" w:hAnsi="Times" w:cs="Times New Roman"/>
          <w:sz w:val="23"/>
          <w:szCs w:val="23"/>
        </w:rPr>
        <w:t xml:space="preserve"> (2012). Resilience and family caregiving. In: Hayslip, B. and Smith, G. C. (eds.) Annual review of gerontology and geriatrics, Vol. 32: </w:t>
      </w:r>
      <w:r w:rsidRPr="00F853DD">
        <w:rPr>
          <w:rFonts w:ascii="Times" w:hAnsi="Times" w:cs="Times New Roman"/>
          <w:i/>
          <w:sz w:val="23"/>
          <w:szCs w:val="23"/>
        </w:rPr>
        <w:t>Emerging perspectives on resilience in adulthood and later life</w:t>
      </w:r>
      <w:r w:rsidRPr="00F853DD">
        <w:rPr>
          <w:rFonts w:ascii="Times" w:hAnsi="Times" w:cs="Times New Roman"/>
          <w:sz w:val="23"/>
          <w:szCs w:val="23"/>
        </w:rPr>
        <w:t>. New York: Springer Publishing Co.</w:t>
      </w:r>
    </w:p>
    <w:p w14:paraId="35345D02" w14:textId="1928644E" w:rsidR="00DF05BD" w:rsidRPr="00F853DD" w:rsidRDefault="006B56F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Cooney, T. and Dykstra, P</w:t>
      </w:r>
      <w:r w:rsidR="00DF05BD" w:rsidRPr="00F853DD">
        <w:rPr>
          <w:rFonts w:ascii="Times" w:hAnsi="Times" w:cs="Times New Roman"/>
          <w:sz w:val="23"/>
          <w:szCs w:val="23"/>
        </w:rPr>
        <w:t>.</w:t>
      </w:r>
      <w:r w:rsidR="00DF2E8E" w:rsidRPr="00F853DD">
        <w:rPr>
          <w:rFonts w:ascii="Times" w:hAnsi="Times" w:cs="Times New Roman"/>
          <w:sz w:val="23"/>
          <w:szCs w:val="23"/>
        </w:rPr>
        <w:t>,</w:t>
      </w:r>
      <w:r w:rsidR="00DF05BD" w:rsidRPr="00F853DD">
        <w:rPr>
          <w:rFonts w:ascii="Times" w:hAnsi="Times" w:cs="Times New Roman"/>
          <w:sz w:val="23"/>
          <w:szCs w:val="23"/>
        </w:rPr>
        <w:t xml:space="preserve"> (2011). Family obligations and support behaviour: a United States-Netherlands comparison. </w:t>
      </w:r>
      <w:r w:rsidR="00DF05BD" w:rsidRPr="00F853DD">
        <w:rPr>
          <w:rFonts w:ascii="Times" w:hAnsi="Times" w:cs="Times New Roman"/>
          <w:i/>
          <w:sz w:val="23"/>
          <w:szCs w:val="23"/>
        </w:rPr>
        <w:t>Ageing and Society</w:t>
      </w:r>
      <w:r w:rsidR="0069306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31</w:t>
      </w:r>
      <w:r w:rsidR="00EB1989" w:rsidRPr="00F853DD">
        <w:rPr>
          <w:rFonts w:ascii="Times" w:hAnsi="Times" w:cs="Times New Roman"/>
          <w:sz w:val="23"/>
          <w:szCs w:val="23"/>
        </w:rPr>
        <w:t>(6)</w:t>
      </w:r>
      <w:r w:rsidR="00DF05BD" w:rsidRPr="00F853DD">
        <w:rPr>
          <w:rFonts w:ascii="Times" w:hAnsi="Times" w:cs="Times New Roman"/>
          <w:sz w:val="23"/>
          <w:szCs w:val="23"/>
        </w:rPr>
        <w:t>, 1026-1050.</w:t>
      </w:r>
    </w:p>
    <w:p w14:paraId="34E0DD6F" w14:textId="01715EC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Cooper, C., Katona, C., Orrell, M. and Livingston, G.</w:t>
      </w:r>
      <w:r w:rsidR="00DF2E8E" w:rsidRPr="00F853DD">
        <w:rPr>
          <w:rFonts w:ascii="Times" w:hAnsi="Times" w:cs="Times New Roman"/>
          <w:sz w:val="23"/>
          <w:szCs w:val="23"/>
        </w:rPr>
        <w:t>,</w:t>
      </w:r>
      <w:r w:rsidRPr="00F853DD">
        <w:rPr>
          <w:rFonts w:ascii="Times" w:hAnsi="Times" w:cs="Times New Roman"/>
          <w:sz w:val="23"/>
          <w:szCs w:val="23"/>
        </w:rPr>
        <w:t xml:space="preserve"> (2008). Coping strategies, anxiety and depression in caregivers of people with Alzheimer's disease. </w:t>
      </w:r>
      <w:r w:rsidRPr="00F853DD">
        <w:rPr>
          <w:rFonts w:ascii="Times" w:hAnsi="Times" w:cs="Times New Roman"/>
          <w:i/>
          <w:sz w:val="23"/>
          <w:szCs w:val="23"/>
        </w:rPr>
        <w:t>International Journal of Geriatric Psychiatry</w:t>
      </w:r>
      <w:r w:rsidR="006930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00EB1989" w:rsidRPr="00F853DD">
        <w:rPr>
          <w:rFonts w:ascii="Times" w:hAnsi="Times" w:cs="Times New Roman"/>
          <w:sz w:val="23"/>
          <w:szCs w:val="23"/>
        </w:rPr>
        <w:t>(9)</w:t>
      </w:r>
      <w:r w:rsidRPr="00F853DD">
        <w:rPr>
          <w:rFonts w:ascii="Times" w:hAnsi="Times" w:cs="Times New Roman"/>
          <w:sz w:val="23"/>
          <w:szCs w:val="23"/>
        </w:rPr>
        <w:t>, 929-936.</w:t>
      </w:r>
    </w:p>
    <w:p w14:paraId="319BBEA5" w14:textId="3FF544E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Cooperman, A., Funk, C. and Masci, D.</w:t>
      </w:r>
      <w:r w:rsidR="00DF2E8E" w:rsidRPr="00F853DD">
        <w:rPr>
          <w:rFonts w:ascii="Times" w:hAnsi="Times" w:cs="Times New Roman"/>
          <w:sz w:val="23"/>
          <w:szCs w:val="23"/>
        </w:rPr>
        <w:t>,</w:t>
      </w:r>
      <w:r w:rsidRPr="00F853DD">
        <w:rPr>
          <w:rFonts w:ascii="Times" w:hAnsi="Times" w:cs="Times New Roman"/>
          <w:sz w:val="23"/>
          <w:szCs w:val="23"/>
        </w:rPr>
        <w:t xml:space="preserve"> (2014). Table: religious diversity index scores by country. </w:t>
      </w:r>
      <w:r w:rsidRPr="00F853DD">
        <w:rPr>
          <w:rFonts w:ascii="Times" w:hAnsi="Times" w:cs="Times New Roman"/>
          <w:i/>
          <w:sz w:val="23"/>
          <w:szCs w:val="23"/>
        </w:rPr>
        <w:t>Religion and Public Life</w:t>
      </w:r>
      <w:r w:rsidRPr="00F853DD">
        <w:rPr>
          <w:rFonts w:ascii="Times" w:hAnsi="Times" w:cs="Times New Roman"/>
          <w:sz w:val="23"/>
          <w:szCs w:val="23"/>
        </w:rPr>
        <w:t>. April 4, 2014 ed.: Pew Research Center.</w:t>
      </w:r>
    </w:p>
    <w:p w14:paraId="3EED992E"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Cornell, N. (2014). </w:t>
      </w:r>
      <w:r w:rsidRPr="00F853DD">
        <w:rPr>
          <w:rFonts w:ascii="Times" w:hAnsi="Times" w:cs="Times New Roman"/>
          <w:i/>
          <w:sz w:val="23"/>
          <w:szCs w:val="23"/>
        </w:rPr>
        <w:t>Factors influencing the likelihood of using religion as a coping mechanism in response to life event stressors</w:t>
      </w:r>
      <w:r w:rsidRPr="00F853DD">
        <w:rPr>
          <w:rFonts w:ascii="Times" w:hAnsi="Times" w:cs="Times New Roman"/>
          <w:sz w:val="23"/>
          <w:szCs w:val="23"/>
        </w:rPr>
        <w:t>. Honors Theses, Paper 84.</w:t>
      </w:r>
    </w:p>
    <w:p w14:paraId="3C1A605D" w14:textId="3B5F313B"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Cosco, T</w:t>
      </w:r>
      <w:r w:rsidR="00DF05BD" w:rsidRPr="00F853DD">
        <w:rPr>
          <w:rFonts w:ascii="Times" w:hAnsi="Times" w:cs="Times New Roman"/>
          <w:sz w:val="23"/>
          <w:szCs w:val="23"/>
        </w:rPr>
        <w:t>., Cooper, R., Kuh, D. and Stafford, M.</w:t>
      </w:r>
      <w:r w:rsidR="00DF2E8E" w:rsidRPr="00F853DD">
        <w:rPr>
          <w:rFonts w:ascii="Times" w:hAnsi="Times" w:cs="Times New Roman"/>
          <w:sz w:val="23"/>
          <w:szCs w:val="23"/>
        </w:rPr>
        <w:t>,</w:t>
      </w:r>
      <w:r w:rsidR="00DF05BD" w:rsidRPr="00F853DD">
        <w:rPr>
          <w:rFonts w:ascii="Times" w:hAnsi="Times" w:cs="Times New Roman"/>
          <w:sz w:val="23"/>
          <w:szCs w:val="23"/>
        </w:rPr>
        <w:t xml:space="preserve"> (2016). Socioeconomic position, social mobility, and resilience. </w:t>
      </w:r>
      <w:r w:rsidR="00DF05BD" w:rsidRPr="00F853DD">
        <w:rPr>
          <w:rFonts w:ascii="Times" w:hAnsi="Times" w:cs="Times New Roman"/>
          <w:i/>
          <w:sz w:val="23"/>
          <w:szCs w:val="23"/>
        </w:rPr>
        <w:t>Gerontologist</w:t>
      </w:r>
      <w:r w:rsidR="0069306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56</w:t>
      </w:r>
      <w:r w:rsidR="00DF05BD" w:rsidRPr="00F853DD">
        <w:rPr>
          <w:rFonts w:ascii="Times" w:hAnsi="Times" w:cs="Times New Roman"/>
          <w:sz w:val="23"/>
          <w:szCs w:val="23"/>
        </w:rPr>
        <w:t>, 489</w:t>
      </w:r>
    </w:p>
    <w:p w14:paraId="5AEFA3C7" w14:textId="5E464A1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Costa, P., Somerfield, M. and McCrae, R. (1996). Personality and coping: </w:t>
      </w:r>
      <w:r w:rsidR="00876034" w:rsidRPr="00F853DD">
        <w:rPr>
          <w:rFonts w:ascii="Times" w:hAnsi="Times" w:cs="Times New Roman"/>
          <w:sz w:val="23"/>
          <w:szCs w:val="23"/>
        </w:rPr>
        <w:t>a</w:t>
      </w:r>
      <w:r w:rsidRPr="00F853DD">
        <w:rPr>
          <w:rFonts w:ascii="Times" w:hAnsi="Times" w:cs="Times New Roman"/>
          <w:sz w:val="23"/>
          <w:szCs w:val="23"/>
        </w:rPr>
        <w:t xml:space="preserve"> reconceptualization. In: Zeidner, M. and Endler, N. (eds.) </w:t>
      </w:r>
      <w:r w:rsidRPr="00F853DD">
        <w:rPr>
          <w:rFonts w:ascii="Times" w:hAnsi="Times" w:cs="Times New Roman"/>
          <w:i/>
          <w:sz w:val="23"/>
          <w:szCs w:val="23"/>
        </w:rPr>
        <w:t>Handbook of Coping: Theory, Research, Applications</w:t>
      </w:r>
      <w:r w:rsidRPr="00F853DD">
        <w:rPr>
          <w:rFonts w:ascii="Times" w:hAnsi="Times" w:cs="Times New Roman"/>
          <w:sz w:val="23"/>
          <w:szCs w:val="23"/>
        </w:rPr>
        <w:t>. New York: Wiley.</w:t>
      </w:r>
    </w:p>
    <w:p w14:paraId="366AFAE3" w14:textId="52C4D66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w:t>
      </w:r>
      <w:r w:rsidRPr="00F853DD">
        <w:rPr>
          <w:rFonts w:ascii="Times" w:hAnsi="Times" w:cs="Segoe UI"/>
          <w:sz w:val="23"/>
          <w:szCs w:val="23"/>
          <w:shd w:val="clear" w:color="auto" w:fill="FFFFFF"/>
        </w:rPr>
        <w:t>sta</w:t>
      </w:r>
      <w:r w:rsidRPr="00F853DD">
        <w:rPr>
          <w:rFonts w:ascii="Cambria Math" w:hAnsi="Cambria Math" w:cs="Cambria Math"/>
          <w:sz w:val="23"/>
          <w:szCs w:val="23"/>
          <w:shd w:val="clear" w:color="auto" w:fill="FFFFFF"/>
        </w:rPr>
        <w:t>‐</w:t>
      </w:r>
      <w:r w:rsidRPr="00F853DD">
        <w:rPr>
          <w:rFonts w:ascii="Times" w:hAnsi="Times" w:cs="Segoe UI"/>
          <w:sz w:val="23"/>
          <w:szCs w:val="23"/>
          <w:shd w:val="clear" w:color="auto" w:fill="FFFFFF"/>
        </w:rPr>
        <w:t>font, J., Courbage, C. and Swartz, K.</w:t>
      </w:r>
      <w:r w:rsidR="00DF2E8E" w:rsidRPr="00F853DD">
        <w:rPr>
          <w:rFonts w:ascii="Times" w:hAnsi="Times" w:cs="Segoe UI"/>
          <w:sz w:val="23"/>
          <w:szCs w:val="23"/>
          <w:shd w:val="clear" w:color="auto" w:fill="FFFFFF"/>
        </w:rPr>
        <w:t>,</w:t>
      </w:r>
      <w:r w:rsidRPr="00F853DD">
        <w:rPr>
          <w:rFonts w:ascii="Times" w:hAnsi="Times" w:cs="Segoe UI"/>
          <w:sz w:val="23"/>
          <w:szCs w:val="23"/>
          <w:shd w:val="clear" w:color="auto" w:fill="FFFFFF"/>
        </w:rPr>
        <w:t xml:space="preserve"> (2015). Financing long</w:t>
      </w:r>
      <w:r w:rsidRPr="00F853DD">
        <w:rPr>
          <w:rFonts w:ascii="Cambria Math" w:hAnsi="Cambria Math" w:cs="Cambria Math"/>
          <w:sz w:val="23"/>
          <w:szCs w:val="23"/>
          <w:shd w:val="clear" w:color="auto" w:fill="FFFFFF"/>
        </w:rPr>
        <w:t>‐</w:t>
      </w:r>
      <w:r w:rsidRPr="00F853DD">
        <w:rPr>
          <w:rFonts w:ascii="Times" w:hAnsi="Times" w:cs="Segoe UI"/>
          <w:sz w:val="23"/>
          <w:szCs w:val="23"/>
          <w:shd w:val="clear" w:color="auto" w:fill="FFFFFF"/>
        </w:rPr>
        <w:t>term care: ex ante, ex post or both?. </w:t>
      </w:r>
      <w:r w:rsidRPr="00F853DD">
        <w:rPr>
          <w:rFonts w:ascii="Times" w:hAnsi="Times" w:cs="Segoe UI"/>
          <w:i/>
          <w:iCs/>
          <w:sz w:val="23"/>
          <w:szCs w:val="23"/>
          <w:shd w:val="clear" w:color="auto" w:fill="FFFFFF"/>
        </w:rPr>
        <w:t>Health economics</w:t>
      </w:r>
      <w:r w:rsidR="00876034" w:rsidRPr="00F853DD">
        <w:rPr>
          <w:rFonts w:ascii="Times" w:hAnsi="Times" w:cs="Segoe UI"/>
          <w:sz w:val="23"/>
          <w:szCs w:val="23"/>
          <w:shd w:val="clear" w:color="auto" w:fill="FFFFFF"/>
        </w:rPr>
        <w:t>.</w:t>
      </w:r>
      <w:r w:rsidRPr="00F853DD">
        <w:rPr>
          <w:rFonts w:ascii="Times" w:hAnsi="Times" w:cs="Segoe UI"/>
          <w:sz w:val="23"/>
          <w:szCs w:val="23"/>
          <w:shd w:val="clear" w:color="auto" w:fill="FFFFFF"/>
        </w:rPr>
        <w:t> </w:t>
      </w:r>
      <w:r w:rsidRPr="00F853DD">
        <w:rPr>
          <w:rFonts w:ascii="Times" w:hAnsi="Times" w:cs="Segoe UI"/>
          <w:b/>
          <w:iCs/>
          <w:sz w:val="23"/>
          <w:szCs w:val="23"/>
          <w:shd w:val="clear" w:color="auto" w:fill="FFFFFF"/>
        </w:rPr>
        <w:t>24</w:t>
      </w:r>
      <w:r w:rsidRPr="00F853DD">
        <w:rPr>
          <w:rFonts w:ascii="Times" w:hAnsi="Times" w:cs="Segoe UI"/>
          <w:sz w:val="23"/>
          <w:szCs w:val="23"/>
          <w:shd w:val="clear" w:color="auto" w:fill="FFFFFF"/>
        </w:rPr>
        <w:t>, 45-57.</w:t>
      </w:r>
    </w:p>
    <w:p w14:paraId="41279807" w14:textId="769EDA3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Costa-Font, J. and Zigante, V.</w:t>
      </w:r>
      <w:r w:rsidR="00DF2E8E" w:rsidRPr="00F853DD">
        <w:rPr>
          <w:rFonts w:ascii="Times" w:hAnsi="Times" w:cs="Times New Roman"/>
          <w:sz w:val="23"/>
          <w:szCs w:val="23"/>
        </w:rPr>
        <w:t>,</w:t>
      </w:r>
      <w:r w:rsidRPr="00F853DD">
        <w:rPr>
          <w:rFonts w:ascii="Times" w:hAnsi="Times" w:cs="Times New Roman"/>
          <w:sz w:val="23"/>
          <w:szCs w:val="23"/>
        </w:rPr>
        <w:t xml:space="preserve"> (2016). The choice agenda in European health systems: the role of middle-class demands. </w:t>
      </w:r>
      <w:r w:rsidRPr="00F853DD">
        <w:rPr>
          <w:rFonts w:ascii="Times" w:hAnsi="Times" w:cs="Times New Roman"/>
          <w:i/>
          <w:sz w:val="23"/>
          <w:szCs w:val="23"/>
        </w:rPr>
        <w:t>Public Money &amp; Management</w:t>
      </w:r>
      <w:r w:rsidR="0087603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(6), 409-416.</w:t>
      </w:r>
    </w:p>
    <w:p w14:paraId="27001BE9" w14:textId="686191F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Costa</w:t>
      </w:r>
      <w:r w:rsidRPr="00F853DD">
        <w:rPr>
          <w:rFonts w:ascii="Cambria Math" w:hAnsi="Cambria Math" w:cs="Cambria Math"/>
          <w:sz w:val="23"/>
          <w:szCs w:val="23"/>
        </w:rPr>
        <w:t>‐</w:t>
      </w:r>
      <w:r w:rsidRPr="00F853DD">
        <w:rPr>
          <w:rFonts w:ascii="Times" w:hAnsi="Times" w:cs="Times New Roman"/>
          <w:sz w:val="23"/>
          <w:szCs w:val="23"/>
        </w:rPr>
        <w:t>Font, J., Karlsson, M. and Øien, H.</w:t>
      </w:r>
      <w:r w:rsidR="00DF2E8E" w:rsidRPr="00F853DD">
        <w:rPr>
          <w:rFonts w:ascii="Times" w:hAnsi="Times" w:cs="Times New Roman"/>
          <w:sz w:val="23"/>
          <w:szCs w:val="23"/>
        </w:rPr>
        <w:t>,</w:t>
      </w:r>
      <w:r w:rsidR="00876034" w:rsidRPr="00F853DD">
        <w:rPr>
          <w:rFonts w:ascii="Times" w:hAnsi="Times" w:cs="Times New Roman"/>
          <w:sz w:val="23"/>
          <w:szCs w:val="23"/>
        </w:rPr>
        <w:t xml:space="preserve"> (2016). Careful in the crisis? Determinants of older p</w:t>
      </w:r>
      <w:r w:rsidRPr="00F853DD">
        <w:rPr>
          <w:rFonts w:ascii="Times" w:hAnsi="Times" w:cs="Times New Roman"/>
          <w:sz w:val="23"/>
          <w:szCs w:val="23"/>
        </w:rPr>
        <w:t>eople's Informal Care Receipt in Crisis</w:t>
      </w:r>
      <w:r w:rsidRPr="00F853DD">
        <w:rPr>
          <w:rFonts w:ascii="Cambria Math" w:hAnsi="Cambria Math" w:cs="Cambria Math"/>
          <w:sz w:val="23"/>
          <w:szCs w:val="23"/>
        </w:rPr>
        <w:t>‐</w:t>
      </w:r>
      <w:r w:rsidRPr="00F853DD">
        <w:rPr>
          <w:rFonts w:ascii="Times" w:hAnsi="Times" w:cs="Times New Roman"/>
          <w:sz w:val="23"/>
          <w:szCs w:val="23"/>
        </w:rPr>
        <w:t>Struck Europ</w:t>
      </w:r>
      <w:r w:rsidR="00876034" w:rsidRPr="00F853DD">
        <w:rPr>
          <w:rFonts w:ascii="Times" w:hAnsi="Times" w:cs="Times New Roman"/>
          <w:sz w:val="23"/>
          <w:szCs w:val="23"/>
        </w:rPr>
        <w:t xml:space="preserve">ean Countries. </w:t>
      </w:r>
      <w:r w:rsidR="00876034" w:rsidRPr="00F853DD">
        <w:rPr>
          <w:rFonts w:ascii="Times" w:hAnsi="Times" w:cs="Times New Roman"/>
          <w:i/>
          <w:sz w:val="23"/>
          <w:szCs w:val="23"/>
        </w:rPr>
        <w:t>Health Economics</w:t>
      </w:r>
      <w:r w:rsidR="0087603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25-42.</w:t>
      </w:r>
    </w:p>
    <w:p w14:paraId="4A3B8B8A" w14:textId="4AC204A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w:t>
      </w:r>
      <w:r w:rsidRPr="00F853DD">
        <w:rPr>
          <w:rFonts w:ascii="Times" w:hAnsi="Times" w:cs="Arial"/>
          <w:sz w:val="23"/>
          <w:szCs w:val="23"/>
          <w:bdr w:val="none" w:sz="0" w:space="0" w:color="auto" w:frame="1"/>
          <w:shd w:val="clear" w:color="auto" w:fill="FFFFFF"/>
        </w:rPr>
        <w:t>ourtin, E., Jemiai, N. and Mossialos, E.</w:t>
      </w:r>
      <w:r w:rsidR="00DF2E8E" w:rsidRPr="00F853DD">
        <w:rPr>
          <w:rFonts w:ascii="Times" w:hAnsi="Times" w:cs="Arial"/>
          <w:sz w:val="23"/>
          <w:szCs w:val="23"/>
          <w:bdr w:val="none" w:sz="0" w:space="0" w:color="auto" w:frame="1"/>
          <w:shd w:val="clear" w:color="auto" w:fill="FFFFFF"/>
        </w:rPr>
        <w:t>,</w:t>
      </w:r>
      <w:r w:rsidRPr="00F853DD">
        <w:rPr>
          <w:rFonts w:ascii="Times" w:hAnsi="Times" w:cs="Arial"/>
          <w:sz w:val="23"/>
          <w:szCs w:val="23"/>
          <w:bdr w:val="none" w:sz="0" w:space="0" w:color="auto" w:frame="1"/>
          <w:shd w:val="clear" w:color="auto" w:fill="FFFFFF"/>
        </w:rPr>
        <w:t xml:space="preserve"> (2014). Mapping support policies for informal carers across the European Union. </w:t>
      </w:r>
      <w:r w:rsidRPr="00F853DD">
        <w:rPr>
          <w:rFonts w:ascii="Times" w:hAnsi="Times" w:cs="Arial"/>
          <w:i/>
          <w:iCs/>
          <w:sz w:val="23"/>
          <w:szCs w:val="23"/>
          <w:shd w:val="clear" w:color="auto" w:fill="FFFFFF"/>
        </w:rPr>
        <w:t xml:space="preserve">Health </w:t>
      </w:r>
      <w:r w:rsidR="00876034" w:rsidRPr="00F853DD">
        <w:rPr>
          <w:rFonts w:ascii="Times" w:hAnsi="Times" w:cs="Arial"/>
          <w:i/>
          <w:iCs/>
          <w:sz w:val="23"/>
          <w:szCs w:val="23"/>
          <w:shd w:val="clear" w:color="auto" w:fill="FFFFFF"/>
        </w:rPr>
        <w:t>P</w:t>
      </w:r>
      <w:r w:rsidRPr="00F853DD">
        <w:rPr>
          <w:rFonts w:ascii="Times" w:hAnsi="Times" w:cs="Arial"/>
          <w:i/>
          <w:iCs/>
          <w:sz w:val="23"/>
          <w:szCs w:val="23"/>
          <w:shd w:val="clear" w:color="auto" w:fill="FFFFFF"/>
        </w:rPr>
        <w:t>olicy</w:t>
      </w:r>
      <w:r w:rsidR="00876034" w:rsidRPr="00F853DD">
        <w:rPr>
          <w:rFonts w:ascii="Times" w:hAnsi="Times" w:cs="Arial"/>
          <w:i/>
          <w:iCs/>
          <w:sz w:val="23"/>
          <w:szCs w:val="23"/>
          <w:shd w:val="clear" w:color="auto" w:fill="FFFFFF"/>
        </w:rPr>
        <w:t>.</w:t>
      </w:r>
      <w:r w:rsidRPr="00F853DD">
        <w:rPr>
          <w:rFonts w:ascii="Times" w:hAnsi="Times" w:cs="Arial"/>
          <w:sz w:val="23"/>
          <w:szCs w:val="23"/>
          <w:bdr w:val="none" w:sz="0" w:space="0" w:color="auto" w:frame="1"/>
          <w:shd w:val="clear" w:color="auto" w:fill="FFFFFF"/>
        </w:rPr>
        <w:t> </w:t>
      </w:r>
      <w:r w:rsidRPr="00F853DD">
        <w:rPr>
          <w:rFonts w:ascii="Times" w:hAnsi="Times" w:cs="Arial"/>
          <w:b/>
          <w:iCs/>
          <w:sz w:val="23"/>
          <w:szCs w:val="23"/>
          <w:shd w:val="clear" w:color="auto" w:fill="FFFFFF"/>
        </w:rPr>
        <w:t>118</w:t>
      </w:r>
      <w:r w:rsidRPr="00F853DD">
        <w:rPr>
          <w:rFonts w:ascii="Times" w:hAnsi="Times" w:cs="Arial"/>
          <w:sz w:val="23"/>
          <w:szCs w:val="23"/>
          <w:bdr w:val="none" w:sz="0" w:space="0" w:color="auto" w:frame="1"/>
          <w:shd w:val="clear" w:color="auto" w:fill="FFFFFF"/>
        </w:rPr>
        <w:t>(1), 84-94.</w:t>
      </w:r>
    </w:p>
    <w:p w14:paraId="66DA0CD2" w14:textId="08F7A58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Covert, A., Rodrigues, T. and Solomon, K.</w:t>
      </w:r>
      <w:r w:rsidR="00DF2E8E" w:rsidRPr="00F853DD">
        <w:rPr>
          <w:rFonts w:ascii="Times" w:hAnsi="Times" w:cs="Times New Roman"/>
          <w:sz w:val="23"/>
          <w:szCs w:val="23"/>
        </w:rPr>
        <w:t>,</w:t>
      </w:r>
      <w:r w:rsidRPr="00F853DD">
        <w:rPr>
          <w:rFonts w:ascii="Times" w:hAnsi="Times" w:cs="Times New Roman"/>
          <w:sz w:val="23"/>
          <w:szCs w:val="23"/>
        </w:rPr>
        <w:t xml:space="preserve"> (1977). The use of mechanical and chemical restraints in nursing homes. </w:t>
      </w:r>
      <w:r w:rsidRPr="00F853DD">
        <w:rPr>
          <w:rFonts w:ascii="Times" w:hAnsi="Times" w:cs="Times New Roman"/>
          <w:i/>
          <w:sz w:val="23"/>
          <w:szCs w:val="23"/>
        </w:rPr>
        <w:t>Journal of the American Geriatrics Society</w:t>
      </w:r>
      <w:r w:rsidR="0087603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(2), 85-89.</w:t>
      </w:r>
    </w:p>
    <w:p w14:paraId="562AC787" w14:textId="04934F49"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Craft, B.</w:t>
      </w:r>
      <w:r w:rsidR="00DF05BD" w:rsidRPr="00F853DD">
        <w:rPr>
          <w:rFonts w:ascii="Times" w:hAnsi="Times" w:cs="Times New Roman"/>
          <w:sz w:val="23"/>
          <w:szCs w:val="23"/>
        </w:rPr>
        <w:t xml:space="preserve"> and Grasser, C.</w:t>
      </w:r>
      <w:r w:rsidR="00DF2E8E" w:rsidRPr="00F853DD">
        <w:rPr>
          <w:rFonts w:ascii="Times" w:hAnsi="Times" w:cs="Times New Roman"/>
          <w:sz w:val="23"/>
          <w:szCs w:val="23"/>
        </w:rPr>
        <w:t>,</w:t>
      </w:r>
      <w:r w:rsidR="00DF05BD" w:rsidRPr="00F853DD">
        <w:rPr>
          <w:rFonts w:ascii="Times" w:hAnsi="Times" w:cs="Times New Roman"/>
          <w:sz w:val="23"/>
          <w:szCs w:val="23"/>
        </w:rPr>
        <w:t xml:space="preserve"> (1998). The relationship of reciprocity to self-health care in older women. </w:t>
      </w:r>
      <w:r w:rsidR="00DF05BD" w:rsidRPr="00F853DD">
        <w:rPr>
          <w:rFonts w:ascii="Times" w:hAnsi="Times" w:cs="Times New Roman"/>
          <w:i/>
          <w:sz w:val="23"/>
          <w:szCs w:val="23"/>
        </w:rPr>
        <w:t>Journal of Women and Aging</w:t>
      </w:r>
      <w:r w:rsidR="00876034"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w:t>
      </w:r>
      <w:r w:rsidR="009E004A" w:rsidRPr="00F853DD">
        <w:rPr>
          <w:rFonts w:ascii="Times" w:hAnsi="Times" w:cs="Times New Roman"/>
          <w:sz w:val="23"/>
          <w:szCs w:val="23"/>
        </w:rPr>
        <w:t>(2)</w:t>
      </w:r>
      <w:r w:rsidR="00DF05BD" w:rsidRPr="00F853DD">
        <w:rPr>
          <w:rFonts w:ascii="Times" w:hAnsi="Times" w:cs="Times New Roman"/>
          <w:sz w:val="23"/>
          <w:szCs w:val="23"/>
        </w:rPr>
        <w:t>, 35-47.</w:t>
      </w:r>
    </w:p>
    <w:p w14:paraId="42356DD2" w14:textId="66493E8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Craig, S.</w:t>
      </w:r>
      <w:r w:rsidR="00DF2E8E" w:rsidRPr="00F853DD">
        <w:rPr>
          <w:rFonts w:ascii="Times" w:hAnsi="Times" w:cs="Times New Roman"/>
          <w:sz w:val="23"/>
          <w:szCs w:val="23"/>
        </w:rPr>
        <w:t>,</w:t>
      </w:r>
      <w:r w:rsidRPr="00F853DD">
        <w:rPr>
          <w:rFonts w:ascii="Times" w:hAnsi="Times" w:cs="Times New Roman"/>
          <w:sz w:val="23"/>
          <w:szCs w:val="23"/>
        </w:rPr>
        <w:t xml:space="preserve"> (1979). Milestone and Milestones. </w:t>
      </w:r>
      <w:r w:rsidRPr="00F853DD">
        <w:rPr>
          <w:rFonts w:ascii="Times" w:hAnsi="Times" w:cs="Times New Roman"/>
          <w:i/>
          <w:sz w:val="23"/>
          <w:szCs w:val="23"/>
        </w:rPr>
        <w:t>Latin American Research Review</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256 - 263.</w:t>
      </w:r>
    </w:p>
    <w:p w14:paraId="16C2DAB9" w14:textId="3F862D12"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Creasy, K., Lutz, B., Young, M.</w:t>
      </w:r>
      <w:r w:rsidR="00DF05BD" w:rsidRPr="00F853DD">
        <w:rPr>
          <w:rFonts w:ascii="Times" w:hAnsi="Times" w:cs="Times New Roman"/>
          <w:sz w:val="23"/>
          <w:szCs w:val="23"/>
        </w:rPr>
        <w:t>, Ford, A. and Martz, C.</w:t>
      </w:r>
      <w:r w:rsidR="00DF2E8E" w:rsidRPr="00F853DD">
        <w:rPr>
          <w:rFonts w:ascii="Times" w:hAnsi="Times" w:cs="Times New Roman"/>
          <w:sz w:val="23"/>
          <w:szCs w:val="23"/>
        </w:rPr>
        <w:t>,</w:t>
      </w:r>
      <w:r w:rsidR="00DF05BD" w:rsidRPr="00F853DD">
        <w:rPr>
          <w:rFonts w:ascii="Times" w:hAnsi="Times" w:cs="Times New Roman"/>
          <w:sz w:val="23"/>
          <w:szCs w:val="23"/>
        </w:rPr>
        <w:t xml:space="preserve"> (2013). The impact of interactions with providers on stroke caregivers' needs. </w:t>
      </w:r>
      <w:r w:rsidR="00DF05BD" w:rsidRPr="00F853DD">
        <w:rPr>
          <w:rFonts w:ascii="Times" w:hAnsi="Times" w:cs="Times New Roman"/>
          <w:i/>
          <w:sz w:val="23"/>
          <w:szCs w:val="23"/>
        </w:rPr>
        <w:t>Rehabilitation Nursing</w:t>
      </w:r>
      <w:r w:rsidR="00876034"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38</w:t>
      </w:r>
      <w:r w:rsidR="009E004A" w:rsidRPr="00F853DD">
        <w:rPr>
          <w:rFonts w:ascii="Times" w:hAnsi="Times" w:cs="Times New Roman"/>
          <w:sz w:val="23"/>
          <w:szCs w:val="23"/>
        </w:rPr>
        <w:t>(2)</w:t>
      </w:r>
      <w:r w:rsidR="00DF05BD" w:rsidRPr="00F853DD">
        <w:rPr>
          <w:rFonts w:ascii="Times" w:hAnsi="Times" w:cs="Times New Roman"/>
          <w:sz w:val="23"/>
          <w:szCs w:val="23"/>
        </w:rPr>
        <w:t>, 88-98.</w:t>
      </w:r>
    </w:p>
    <w:p w14:paraId="0A1FB043" w14:textId="0D84E382" w:rsidR="00DB6A80"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Cree, V.</w:t>
      </w:r>
      <w:r w:rsidR="00DB6A80" w:rsidRPr="00F853DD">
        <w:rPr>
          <w:rFonts w:ascii="Times" w:hAnsi="Times" w:cs="Times New Roman"/>
          <w:sz w:val="23"/>
          <w:szCs w:val="23"/>
        </w:rPr>
        <w:t>, 2010. Sociology for social workers and probation officers. Routledge.</w:t>
      </w:r>
    </w:p>
    <w:p w14:paraId="4C4D9EFB" w14:textId="2CEC3733"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Creswell, J.</w:t>
      </w:r>
      <w:r w:rsidR="00DF2E8E" w:rsidRPr="00F853DD">
        <w:rPr>
          <w:rFonts w:ascii="Times" w:hAnsi="Times" w:cs="Times New Roman"/>
          <w:sz w:val="23"/>
          <w:szCs w:val="23"/>
        </w:rPr>
        <w:t>,</w:t>
      </w:r>
      <w:r w:rsidR="00DF05BD" w:rsidRPr="00F853DD">
        <w:rPr>
          <w:rFonts w:ascii="Times" w:hAnsi="Times" w:cs="Times New Roman"/>
          <w:sz w:val="23"/>
          <w:szCs w:val="23"/>
        </w:rPr>
        <w:t xml:space="preserve"> (2013). </w:t>
      </w:r>
      <w:r w:rsidR="00DF05BD" w:rsidRPr="00F853DD">
        <w:rPr>
          <w:rFonts w:ascii="Times" w:hAnsi="Times" w:cs="Times New Roman"/>
          <w:i/>
          <w:sz w:val="23"/>
          <w:szCs w:val="23"/>
        </w:rPr>
        <w:t>Qualitative inquiry and research design: choosing among five approaches</w:t>
      </w:r>
      <w:r w:rsidR="00DF05BD" w:rsidRPr="00F853DD">
        <w:rPr>
          <w:rFonts w:ascii="Times" w:hAnsi="Times" w:cs="Times New Roman"/>
          <w:sz w:val="23"/>
          <w:szCs w:val="23"/>
        </w:rPr>
        <w:t>. Los Angeles: SAGE Publications.</w:t>
      </w:r>
    </w:p>
    <w:p w14:paraId="6A04057E" w14:textId="5BBAB1F4" w:rsidR="003A6B87"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Creswell, J. and Clark, V.</w:t>
      </w:r>
      <w:r w:rsidR="003A6B87" w:rsidRPr="00F853DD">
        <w:rPr>
          <w:rFonts w:ascii="Times" w:hAnsi="Times" w:cs="Times New Roman"/>
          <w:sz w:val="23"/>
          <w:szCs w:val="23"/>
        </w:rPr>
        <w:t>, 2017. Designing and conducting mixed methods research. Sage publications.</w:t>
      </w:r>
    </w:p>
    <w:p w14:paraId="58D8F0BA" w14:textId="393E9EDD"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Crewe, S.</w:t>
      </w:r>
      <w:r w:rsidR="00DF05BD" w:rsidRPr="00F853DD">
        <w:rPr>
          <w:rFonts w:ascii="Times" w:hAnsi="Times" w:cs="Times New Roman"/>
          <w:sz w:val="23"/>
          <w:szCs w:val="23"/>
        </w:rPr>
        <w:t xml:space="preserve"> (2005). Ethnogerontology: Preparing culturally competent social workers for the diverse facing of ageing. </w:t>
      </w:r>
      <w:r w:rsidR="00DF05BD" w:rsidRPr="00F853DD">
        <w:rPr>
          <w:rFonts w:ascii="Times" w:hAnsi="Times" w:cs="Times New Roman"/>
          <w:i/>
          <w:sz w:val="23"/>
          <w:szCs w:val="23"/>
        </w:rPr>
        <w:t>Journal of Gerontological Social Work</w:t>
      </w:r>
      <w:r w:rsidR="0087603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43</w:t>
      </w:r>
      <w:r w:rsidR="009E004A" w:rsidRPr="00F853DD">
        <w:rPr>
          <w:rFonts w:ascii="Times" w:hAnsi="Times" w:cs="Times New Roman"/>
          <w:sz w:val="23"/>
          <w:szCs w:val="23"/>
        </w:rPr>
        <w:t>(4)</w:t>
      </w:r>
      <w:r w:rsidR="00DF05BD" w:rsidRPr="00F853DD">
        <w:rPr>
          <w:rFonts w:ascii="Times" w:hAnsi="Times" w:cs="Times New Roman"/>
          <w:sz w:val="23"/>
          <w:szCs w:val="23"/>
        </w:rPr>
        <w:t>, 45-58.</w:t>
      </w:r>
    </w:p>
    <w:p w14:paraId="1597FED7" w14:textId="4A0B269F"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Crimmins, E.</w:t>
      </w:r>
      <w:r w:rsidR="00DF05BD" w:rsidRPr="00F853DD">
        <w:rPr>
          <w:rFonts w:ascii="Times" w:hAnsi="Times" w:cs="Times New Roman"/>
          <w:sz w:val="23"/>
          <w:szCs w:val="23"/>
        </w:rPr>
        <w:t xml:space="preserve"> and Solã-Aurã, A.</w:t>
      </w:r>
      <w:r w:rsidR="00DF2E8E" w:rsidRPr="00F853DD">
        <w:rPr>
          <w:rFonts w:ascii="Times" w:hAnsi="Times" w:cs="Times New Roman"/>
          <w:sz w:val="23"/>
          <w:szCs w:val="23"/>
        </w:rPr>
        <w:t>,</w:t>
      </w:r>
      <w:r w:rsidR="00DF05BD" w:rsidRPr="00F853DD">
        <w:rPr>
          <w:rFonts w:ascii="Times" w:hAnsi="Times" w:cs="Times New Roman"/>
          <w:sz w:val="23"/>
          <w:szCs w:val="23"/>
        </w:rPr>
        <w:t xml:space="preserve"> (2014). Who cares? A comparison of informal and formal care provision in Spain, England and the USA. </w:t>
      </w:r>
      <w:r w:rsidR="00DF05BD" w:rsidRPr="00F853DD">
        <w:rPr>
          <w:rFonts w:ascii="Times" w:hAnsi="Times" w:cs="Times New Roman"/>
          <w:i/>
          <w:sz w:val="23"/>
          <w:szCs w:val="23"/>
        </w:rPr>
        <w:t>Ageing and Society</w:t>
      </w:r>
      <w:r w:rsidR="0087603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34</w:t>
      </w:r>
      <w:r w:rsidR="009E004A" w:rsidRPr="00F853DD">
        <w:rPr>
          <w:rFonts w:ascii="Times" w:hAnsi="Times" w:cs="Times New Roman"/>
          <w:sz w:val="23"/>
          <w:szCs w:val="23"/>
        </w:rPr>
        <w:t>(3)</w:t>
      </w:r>
      <w:r w:rsidR="00DF05BD" w:rsidRPr="00F853DD">
        <w:rPr>
          <w:rFonts w:ascii="Times" w:hAnsi="Times" w:cs="Times New Roman"/>
          <w:sz w:val="23"/>
          <w:szCs w:val="23"/>
        </w:rPr>
        <w:t>, 495-517.</w:t>
      </w:r>
    </w:p>
    <w:p w14:paraId="03184DD5" w14:textId="52C952E0"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Criss, M.</w:t>
      </w:r>
      <w:r w:rsidR="00DF05BD" w:rsidRPr="00F853DD">
        <w:rPr>
          <w:rFonts w:ascii="Times" w:hAnsi="Times" w:cs="Times New Roman"/>
          <w:sz w:val="23"/>
          <w:szCs w:val="23"/>
        </w:rPr>
        <w:t>, Henry, C</w:t>
      </w:r>
      <w:r w:rsidRPr="00F853DD">
        <w:rPr>
          <w:rFonts w:ascii="Times" w:hAnsi="Times" w:cs="Times New Roman"/>
          <w:sz w:val="23"/>
          <w:szCs w:val="23"/>
        </w:rPr>
        <w:t>., Harrist, A. and Larzelere, R.</w:t>
      </w:r>
      <w:r w:rsidR="00DF2E8E" w:rsidRPr="00F853DD">
        <w:rPr>
          <w:rFonts w:ascii="Times" w:hAnsi="Times" w:cs="Times New Roman"/>
          <w:sz w:val="23"/>
          <w:szCs w:val="23"/>
        </w:rPr>
        <w:t>,</w:t>
      </w:r>
      <w:r w:rsidR="00876034" w:rsidRPr="00F853DD">
        <w:rPr>
          <w:rFonts w:ascii="Times" w:hAnsi="Times" w:cs="Times New Roman"/>
          <w:sz w:val="23"/>
          <w:szCs w:val="23"/>
        </w:rPr>
        <w:t xml:space="preserve"> (2015). Interdisciplinary and innovative approaches to s</w:t>
      </w:r>
      <w:r w:rsidR="00DF05BD" w:rsidRPr="00F853DD">
        <w:rPr>
          <w:rFonts w:ascii="Times" w:hAnsi="Times" w:cs="Times New Roman"/>
          <w:sz w:val="23"/>
          <w:szCs w:val="23"/>
        </w:rPr>
        <w:t>tre</w:t>
      </w:r>
      <w:r w:rsidR="00876034" w:rsidRPr="00F853DD">
        <w:rPr>
          <w:rFonts w:ascii="Times" w:hAnsi="Times" w:cs="Times New Roman"/>
          <w:sz w:val="23"/>
          <w:szCs w:val="23"/>
        </w:rPr>
        <w:t>ngthening f</w:t>
      </w:r>
      <w:r w:rsidR="00DF05BD" w:rsidRPr="00F853DD">
        <w:rPr>
          <w:rFonts w:ascii="Times" w:hAnsi="Times" w:cs="Times New Roman"/>
          <w:sz w:val="23"/>
          <w:szCs w:val="23"/>
        </w:rPr>
        <w:t>am</w:t>
      </w:r>
      <w:r w:rsidR="00876034" w:rsidRPr="00F853DD">
        <w:rPr>
          <w:rFonts w:ascii="Times" w:hAnsi="Times" w:cs="Times New Roman"/>
          <w:sz w:val="23"/>
          <w:szCs w:val="23"/>
        </w:rPr>
        <w:t>ily and individual resilience: an introduction to the special i</w:t>
      </w:r>
      <w:r w:rsidR="00DF05BD" w:rsidRPr="00F853DD">
        <w:rPr>
          <w:rFonts w:ascii="Times" w:hAnsi="Times" w:cs="Times New Roman"/>
          <w:sz w:val="23"/>
          <w:szCs w:val="23"/>
        </w:rPr>
        <w:t xml:space="preserve">ssue. </w:t>
      </w:r>
      <w:r w:rsidR="00DF05BD" w:rsidRPr="00F853DD">
        <w:rPr>
          <w:rFonts w:ascii="Times" w:hAnsi="Times" w:cs="Times New Roman"/>
          <w:i/>
          <w:sz w:val="23"/>
          <w:szCs w:val="23"/>
        </w:rPr>
        <w:t>Family Relations</w:t>
      </w:r>
      <w:r w:rsidR="0087603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64</w:t>
      </w:r>
      <w:r w:rsidR="009E004A" w:rsidRPr="00F853DD">
        <w:rPr>
          <w:rFonts w:ascii="Times" w:hAnsi="Times" w:cs="Times New Roman"/>
          <w:sz w:val="23"/>
          <w:szCs w:val="23"/>
        </w:rPr>
        <w:t>(1)</w:t>
      </w:r>
      <w:r w:rsidR="00DF05BD" w:rsidRPr="00F853DD">
        <w:rPr>
          <w:rFonts w:ascii="Times" w:hAnsi="Times" w:cs="Times New Roman"/>
          <w:sz w:val="23"/>
          <w:szCs w:val="23"/>
        </w:rPr>
        <w:t>, 1-4.</w:t>
      </w:r>
    </w:p>
    <w:p w14:paraId="566EA20B" w14:textId="151C6B68"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Cromwell, S., Russell, C., Lim, Y.</w:t>
      </w:r>
      <w:r w:rsidR="00DF05BD" w:rsidRPr="00F853DD">
        <w:rPr>
          <w:rFonts w:ascii="Times" w:hAnsi="Times" w:cs="Times New Roman"/>
          <w:sz w:val="23"/>
          <w:szCs w:val="23"/>
        </w:rPr>
        <w:t>, Luna, I., De</w:t>
      </w:r>
      <w:r w:rsidRPr="00F853DD">
        <w:rPr>
          <w:rFonts w:ascii="Times" w:hAnsi="Times" w:cs="Times New Roman"/>
          <w:sz w:val="23"/>
          <w:szCs w:val="23"/>
        </w:rPr>
        <w:t>ardon, E. T. and Phillips, L.</w:t>
      </w:r>
      <w:r w:rsidR="00DF2E8E" w:rsidRPr="00F853DD">
        <w:rPr>
          <w:rFonts w:ascii="Times" w:hAnsi="Times" w:cs="Times New Roman"/>
          <w:sz w:val="23"/>
          <w:szCs w:val="23"/>
        </w:rPr>
        <w:t>,</w:t>
      </w:r>
      <w:r w:rsidR="00DF05BD" w:rsidRPr="00F853DD">
        <w:rPr>
          <w:rFonts w:ascii="Times" w:hAnsi="Times" w:cs="Times New Roman"/>
          <w:sz w:val="23"/>
          <w:szCs w:val="23"/>
        </w:rPr>
        <w:t xml:space="preserve"> (1996). Uncovering the cultural context for quality of family caregiving for elders. </w:t>
      </w:r>
      <w:r w:rsidR="00DF05BD" w:rsidRPr="00F853DD">
        <w:rPr>
          <w:rFonts w:ascii="Times" w:hAnsi="Times" w:cs="Times New Roman"/>
          <w:i/>
          <w:sz w:val="23"/>
          <w:szCs w:val="23"/>
        </w:rPr>
        <w:t>Western</w:t>
      </w:r>
      <w:r w:rsidR="00DF05BD" w:rsidRPr="00F853DD">
        <w:rPr>
          <w:rFonts w:ascii="Times" w:hAnsi="Times" w:cs="Times New Roman"/>
          <w:sz w:val="23"/>
          <w:szCs w:val="23"/>
        </w:rPr>
        <w:t xml:space="preserve"> </w:t>
      </w:r>
      <w:r w:rsidR="00DF05BD" w:rsidRPr="00F853DD">
        <w:rPr>
          <w:rFonts w:ascii="Times" w:hAnsi="Times" w:cs="Times New Roman"/>
          <w:i/>
          <w:sz w:val="23"/>
          <w:szCs w:val="23"/>
        </w:rPr>
        <w:t>Journal of Nursing Research</w:t>
      </w:r>
      <w:r w:rsidR="0087603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9E004A" w:rsidRPr="00F853DD">
        <w:rPr>
          <w:rFonts w:ascii="Times" w:hAnsi="Times" w:cs="Times New Roman"/>
          <w:sz w:val="23"/>
          <w:szCs w:val="23"/>
        </w:rPr>
        <w:t>(3)</w:t>
      </w:r>
      <w:r w:rsidR="00DF05BD" w:rsidRPr="00F853DD">
        <w:rPr>
          <w:rFonts w:ascii="Times" w:hAnsi="Times" w:cs="Times New Roman"/>
          <w:sz w:val="23"/>
          <w:szCs w:val="23"/>
        </w:rPr>
        <w:t>, 284-298.</w:t>
      </w:r>
    </w:p>
    <w:p w14:paraId="6D4B6CA4" w14:textId="69222E6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Cronin, P., Hynes, G., Breen, M., McCarron, M., McCallion, P. and O'Sullivan, L.</w:t>
      </w:r>
      <w:r w:rsidR="00DF2E8E" w:rsidRPr="00F853DD">
        <w:rPr>
          <w:rFonts w:ascii="Times" w:hAnsi="Times" w:cs="Times New Roman"/>
          <w:sz w:val="23"/>
          <w:szCs w:val="23"/>
        </w:rPr>
        <w:t>,</w:t>
      </w:r>
      <w:r w:rsidRPr="00F853DD">
        <w:rPr>
          <w:rFonts w:ascii="Times" w:hAnsi="Times" w:cs="Times New Roman"/>
          <w:sz w:val="23"/>
          <w:szCs w:val="23"/>
        </w:rPr>
        <w:t xml:space="preserve"> (2015). Between worlds: the experiences and needs of former family carers. </w:t>
      </w:r>
      <w:r w:rsidRPr="00F853DD">
        <w:rPr>
          <w:rFonts w:ascii="Times" w:hAnsi="Times" w:cs="Times New Roman"/>
          <w:i/>
          <w:sz w:val="23"/>
          <w:szCs w:val="23"/>
        </w:rPr>
        <w:t>Health and Social Care in the Community</w:t>
      </w:r>
      <w:r w:rsidR="0087603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009E004A" w:rsidRPr="00F853DD">
        <w:rPr>
          <w:rFonts w:ascii="Times" w:hAnsi="Times" w:cs="Times New Roman"/>
          <w:sz w:val="23"/>
          <w:szCs w:val="23"/>
        </w:rPr>
        <w:t>(1)</w:t>
      </w:r>
      <w:r w:rsidRPr="00F853DD">
        <w:rPr>
          <w:rFonts w:ascii="Times" w:hAnsi="Times" w:cs="Times New Roman"/>
          <w:sz w:val="23"/>
          <w:szCs w:val="23"/>
        </w:rPr>
        <w:t>, 88-96.</w:t>
      </w:r>
    </w:p>
    <w:p w14:paraId="0193CEF6" w14:textId="3048570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Cukier, W. and Thomlinson, N.</w:t>
      </w:r>
      <w:r w:rsidR="00DF2E8E" w:rsidRPr="00F853DD">
        <w:rPr>
          <w:rFonts w:ascii="Times" w:hAnsi="Times" w:cs="Times New Roman"/>
          <w:sz w:val="23"/>
          <w:szCs w:val="23"/>
        </w:rPr>
        <w:t>,</w:t>
      </w:r>
      <w:r w:rsidRPr="00F853DD">
        <w:rPr>
          <w:rFonts w:ascii="Times" w:hAnsi="Times" w:cs="Times New Roman"/>
          <w:sz w:val="23"/>
          <w:szCs w:val="23"/>
        </w:rPr>
        <w:t xml:space="preserve"> (2005). Two-tier health care, education, and policing: A comparative analysis of the discourses of privatization. </w:t>
      </w:r>
      <w:r w:rsidRPr="00F853DD">
        <w:rPr>
          <w:rFonts w:ascii="Times" w:hAnsi="Times" w:cs="Times New Roman"/>
          <w:i/>
          <w:sz w:val="23"/>
          <w:szCs w:val="23"/>
        </w:rPr>
        <w:t>Canadian Journal of C</w:t>
      </w:r>
      <w:r w:rsidR="00876034" w:rsidRPr="00F853DD">
        <w:rPr>
          <w:rFonts w:ascii="Times" w:hAnsi="Times" w:cs="Times New Roman"/>
          <w:i/>
          <w:sz w:val="23"/>
          <w:szCs w:val="23"/>
        </w:rPr>
        <w:t xml:space="preserve">riminology and Criminal Justice. </w:t>
      </w:r>
      <w:r w:rsidRPr="00F853DD">
        <w:rPr>
          <w:rFonts w:ascii="Times" w:hAnsi="Times" w:cs="Times New Roman"/>
          <w:b/>
          <w:sz w:val="23"/>
          <w:szCs w:val="23"/>
        </w:rPr>
        <w:t>47</w:t>
      </w:r>
      <w:r w:rsidR="009E004A" w:rsidRPr="00F853DD">
        <w:rPr>
          <w:rFonts w:ascii="Times" w:hAnsi="Times" w:cs="Times New Roman"/>
          <w:sz w:val="23"/>
          <w:szCs w:val="23"/>
        </w:rPr>
        <w:t>(1)</w:t>
      </w:r>
      <w:r w:rsidRPr="00F853DD">
        <w:rPr>
          <w:rFonts w:ascii="Times" w:hAnsi="Times" w:cs="Times New Roman"/>
          <w:sz w:val="23"/>
          <w:szCs w:val="23"/>
        </w:rPr>
        <w:t>, 87-126.</w:t>
      </w:r>
    </w:p>
    <w:p w14:paraId="1E775EC1" w14:textId="6BB7515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Curry, M., Ebaugh, H. R. And Curry, M.</w:t>
      </w:r>
      <w:r w:rsidR="00DF2E8E" w:rsidRPr="00F853DD">
        <w:rPr>
          <w:rFonts w:ascii="Times" w:hAnsi="Times" w:cs="Times New Roman"/>
          <w:sz w:val="23"/>
          <w:szCs w:val="23"/>
        </w:rPr>
        <w:t>,</w:t>
      </w:r>
      <w:r w:rsidR="00876034" w:rsidRPr="00F853DD">
        <w:rPr>
          <w:rFonts w:ascii="Times" w:hAnsi="Times" w:cs="Times New Roman"/>
          <w:sz w:val="23"/>
          <w:szCs w:val="23"/>
        </w:rPr>
        <w:t xml:space="preserve"> (2000). Fictive kin as social capital in n</w:t>
      </w:r>
      <w:r w:rsidRPr="00F853DD">
        <w:rPr>
          <w:rFonts w:ascii="Times" w:hAnsi="Times" w:cs="Times New Roman"/>
          <w:sz w:val="23"/>
          <w:szCs w:val="23"/>
        </w:rPr>
        <w:t xml:space="preserve">ew </w:t>
      </w:r>
      <w:r w:rsidR="00876034" w:rsidRPr="00F853DD">
        <w:rPr>
          <w:rFonts w:ascii="Times" w:hAnsi="Times" w:cs="Times New Roman"/>
          <w:sz w:val="23"/>
          <w:szCs w:val="23"/>
        </w:rPr>
        <w:t>immigrant c</w:t>
      </w:r>
      <w:r w:rsidRPr="00F853DD">
        <w:rPr>
          <w:rFonts w:ascii="Times" w:hAnsi="Times" w:cs="Times New Roman"/>
          <w:sz w:val="23"/>
          <w:szCs w:val="23"/>
        </w:rPr>
        <w:t xml:space="preserve">ommunities. </w:t>
      </w:r>
      <w:r w:rsidRPr="00F853DD">
        <w:rPr>
          <w:rFonts w:ascii="Times" w:hAnsi="Times" w:cs="Times New Roman"/>
          <w:i/>
          <w:sz w:val="23"/>
          <w:szCs w:val="23"/>
        </w:rPr>
        <w:t>Sociological Perspectives</w:t>
      </w:r>
      <w:r w:rsidR="0087603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43</w:t>
      </w:r>
      <w:r w:rsidR="009E004A" w:rsidRPr="00F853DD">
        <w:rPr>
          <w:rFonts w:ascii="Times" w:hAnsi="Times" w:cs="Times New Roman"/>
          <w:sz w:val="23"/>
          <w:szCs w:val="23"/>
        </w:rPr>
        <w:t>(2)</w:t>
      </w:r>
      <w:r w:rsidRPr="00F853DD">
        <w:rPr>
          <w:rFonts w:ascii="Times" w:hAnsi="Times" w:cs="Times New Roman"/>
          <w:sz w:val="23"/>
          <w:szCs w:val="23"/>
        </w:rPr>
        <w:t>, 189-209.</w:t>
      </w:r>
    </w:p>
    <w:p w14:paraId="647ACC1B" w14:textId="5B02542D"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Cutter, S.</w:t>
      </w:r>
      <w:r w:rsidR="00DF05BD" w:rsidRPr="00F853DD">
        <w:rPr>
          <w:rFonts w:ascii="Times" w:hAnsi="Times" w:cs="Times New Roman"/>
          <w:sz w:val="23"/>
          <w:szCs w:val="23"/>
        </w:rPr>
        <w:t>, Barnes, L., Berry, M., Burton, C., Evans, E., Tate, E. and Webb, J. (2008).</w:t>
      </w:r>
      <w:r w:rsidR="00DF2E8E" w:rsidRPr="00F853DD">
        <w:rPr>
          <w:rFonts w:ascii="Times" w:hAnsi="Times" w:cs="Times New Roman"/>
          <w:sz w:val="23"/>
          <w:szCs w:val="23"/>
        </w:rPr>
        <w:t>,</w:t>
      </w:r>
      <w:r w:rsidR="00DF05BD" w:rsidRPr="00F853DD">
        <w:rPr>
          <w:rFonts w:ascii="Times" w:hAnsi="Times" w:cs="Times New Roman"/>
          <w:sz w:val="23"/>
          <w:szCs w:val="23"/>
        </w:rPr>
        <w:t xml:space="preserve"> A place-based model for understanding community resilience to natural disasters. </w:t>
      </w:r>
      <w:r w:rsidR="00DF05BD" w:rsidRPr="00F853DD">
        <w:rPr>
          <w:rFonts w:ascii="Times" w:hAnsi="Times" w:cs="Times New Roman"/>
          <w:i/>
          <w:sz w:val="23"/>
          <w:szCs w:val="23"/>
        </w:rPr>
        <w:t>Global Environmental Change-Human and Policy Dimensions</w:t>
      </w:r>
      <w:r w:rsidR="0087603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FB6AC1" w:rsidRPr="00F853DD">
        <w:rPr>
          <w:rFonts w:ascii="Times" w:hAnsi="Times" w:cs="Times New Roman"/>
          <w:sz w:val="23"/>
          <w:szCs w:val="23"/>
        </w:rPr>
        <w:t>(4)</w:t>
      </w:r>
      <w:r w:rsidR="00DF05BD" w:rsidRPr="00F853DD">
        <w:rPr>
          <w:rFonts w:ascii="Times" w:hAnsi="Times" w:cs="Times New Roman"/>
          <w:sz w:val="23"/>
          <w:szCs w:val="23"/>
        </w:rPr>
        <w:t>, 598-606.</w:t>
      </w:r>
    </w:p>
    <w:p w14:paraId="55F523C7" w14:textId="2A45CAB3"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Cutter, S., Boruff, B.</w:t>
      </w:r>
      <w:r w:rsidR="00DF05BD" w:rsidRPr="00F853DD">
        <w:rPr>
          <w:rFonts w:ascii="Times" w:hAnsi="Times" w:cs="Times New Roman"/>
          <w:sz w:val="23"/>
          <w:szCs w:val="23"/>
        </w:rPr>
        <w:t xml:space="preserve"> and Shirley, W. L.</w:t>
      </w:r>
      <w:r w:rsidR="00DF2E8E" w:rsidRPr="00F853DD">
        <w:rPr>
          <w:rFonts w:ascii="Times" w:hAnsi="Times" w:cs="Times New Roman"/>
          <w:sz w:val="23"/>
          <w:szCs w:val="23"/>
        </w:rPr>
        <w:t>,</w:t>
      </w:r>
      <w:r w:rsidR="00DF05BD" w:rsidRPr="00F853DD">
        <w:rPr>
          <w:rFonts w:ascii="Times" w:hAnsi="Times" w:cs="Times New Roman"/>
          <w:sz w:val="23"/>
          <w:szCs w:val="23"/>
        </w:rPr>
        <w:t xml:space="preserve"> (2003). Social vulnerability to environmental hazards. </w:t>
      </w:r>
      <w:r w:rsidR="00DF05BD" w:rsidRPr="00F853DD">
        <w:rPr>
          <w:rFonts w:ascii="Times" w:hAnsi="Times" w:cs="Times New Roman"/>
          <w:i/>
          <w:sz w:val="23"/>
          <w:szCs w:val="23"/>
        </w:rPr>
        <w:t>Social Science Quarterly</w:t>
      </w:r>
      <w:r w:rsidR="0087603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84</w:t>
      </w:r>
      <w:r w:rsidR="00FB6AC1" w:rsidRPr="00F853DD">
        <w:rPr>
          <w:rFonts w:ascii="Times" w:hAnsi="Times" w:cs="Times New Roman"/>
          <w:sz w:val="23"/>
          <w:szCs w:val="23"/>
        </w:rPr>
        <w:t>(2)</w:t>
      </w:r>
      <w:r w:rsidR="00DF05BD" w:rsidRPr="00F853DD">
        <w:rPr>
          <w:rFonts w:ascii="Times" w:hAnsi="Times" w:cs="Times New Roman"/>
          <w:sz w:val="23"/>
          <w:szCs w:val="23"/>
        </w:rPr>
        <w:t>, 242-261.</w:t>
      </w:r>
    </w:p>
    <w:p w14:paraId="386A641B" w14:textId="6F06FB9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 Roit, B., Hoogenboom, M. and Weicht, B.</w:t>
      </w:r>
      <w:r w:rsidR="00DF2E8E" w:rsidRPr="00F853DD">
        <w:rPr>
          <w:rFonts w:ascii="Times" w:hAnsi="Times" w:cs="Times New Roman"/>
          <w:sz w:val="23"/>
          <w:szCs w:val="23"/>
        </w:rPr>
        <w:t>,</w:t>
      </w:r>
      <w:r w:rsidRPr="00F853DD">
        <w:rPr>
          <w:rFonts w:ascii="Times" w:hAnsi="Times" w:cs="Times New Roman"/>
          <w:sz w:val="23"/>
          <w:szCs w:val="23"/>
        </w:rPr>
        <w:t xml:space="preserve"> (2015). The Gender Informal Care Gap: A fuzzy-set analysis of cross-country variations. </w:t>
      </w:r>
      <w:r w:rsidRPr="00F853DD">
        <w:rPr>
          <w:rFonts w:ascii="Times" w:hAnsi="Times" w:cs="Times New Roman"/>
          <w:i/>
          <w:sz w:val="23"/>
          <w:szCs w:val="23"/>
        </w:rPr>
        <w:t>European Societies</w:t>
      </w:r>
      <w:r w:rsidR="0087603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00FB6AC1" w:rsidRPr="00F853DD">
        <w:rPr>
          <w:rFonts w:ascii="Times" w:hAnsi="Times" w:cs="Times New Roman"/>
          <w:sz w:val="23"/>
          <w:szCs w:val="23"/>
        </w:rPr>
        <w:t>(2)</w:t>
      </w:r>
      <w:r w:rsidRPr="00F853DD">
        <w:rPr>
          <w:rFonts w:ascii="Times" w:hAnsi="Times" w:cs="Times New Roman"/>
          <w:sz w:val="23"/>
          <w:szCs w:val="23"/>
        </w:rPr>
        <w:t>, 199-218.</w:t>
      </w:r>
    </w:p>
    <w:p w14:paraId="648F3F57" w14:textId="6332351F"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Daatland, S.</w:t>
      </w:r>
      <w:r w:rsidR="00DF05BD" w:rsidRPr="00F853DD">
        <w:rPr>
          <w:rFonts w:ascii="Times" w:hAnsi="Times" w:cs="Times New Roman"/>
          <w:sz w:val="23"/>
          <w:szCs w:val="23"/>
        </w:rPr>
        <w:t xml:space="preserve"> and Herlofson, K.</w:t>
      </w:r>
      <w:r w:rsidR="00DF2E8E" w:rsidRPr="00F853DD">
        <w:rPr>
          <w:rFonts w:ascii="Times" w:hAnsi="Times" w:cs="Times New Roman"/>
          <w:sz w:val="23"/>
          <w:szCs w:val="23"/>
        </w:rPr>
        <w:t>,</w:t>
      </w:r>
      <w:r w:rsidR="00DF05BD" w:rsidRPr="00F853DD">
        <w:rPr>
          <w:rFonts w:ascii="Times" w:hAnsi="Times" w:cs="Times New Roman"/>
          <w:sz w:val="23"/>
          <w:szCs w:val="23"/>
        </w:rPr>
        <w:t xml:space="preserve"> (2001). </w:t>
      </w:r>
      <w:r w:rsidR="00DF05BD" w:rsidRPr="00F853DD">
        <w:rPr>
          <w:rFonts w:ascii="Times" w:hAnsi="Times" w:cs="Times New Roman"/>
          <w:i/>
          <w:sz w:val="23"/>
          <w:szCs w:val="23"/>
        </w:rPr>
        <w:t>Ageing, intergenerational relations, care systems and quality of life: an introduction to the oasis project</w:t>
      </w:r>
      <w:r w:rsidR="00DF05BD" w:rsidRPr="00F853DD">
        <w:rPr>
          <w:rFonts w:ascii="Times" w:hAnsi="Times" w:cs="Times New Roman"/>
          <w:sz w:val="23"/>
          <w:szCs w:val="23"/>
        </w:rPr>
        <w:t xml:space="preserve">. </w:t>
      </w:r>
      <w:r w:rsidR="00DF05BD" w:rsidRPr="00F853DD">
        <w:rPr>
          <w:rFonts w:ascii="Times" w:hAnsi="Times" w:cs="Times New Roman"/>
          <w:bCs/>
          <w:sz w:val="23"/>
          <w:szCs w:val="23"/>
          <w:shd w:val="clear" w:color="auto" w:fill="FFFFFF"/>
        </w:rPr>
        <w:t>The Norwegian Institute for Research on Growth, Welfare and Aging</w:t>
      </w:r>
      <w:r w:rsidR="00DF05BD" w:rsidRPr="00F853DD">
        <w:rPr>
          <w:rFonts w:ascii="Times" w:hAnsi="Times" w:cs="Times New Roman"/>
          <w:sz w:val="23"/>
          <w:szCs w:val="23"/>
        </w:rPr>
        <w:t xml:space="preserve"> (NOVA) Norwegian Social Research.</w:t>
      </w:r>
    </w:p>
    <w:p w14:paraId="667DDD25" w14:textId="5BD49610"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Daatland, S.</w:t>
      </w:r>
      <w:r w:rsidR="00DF05BD" w:rsidRPr="00F853DD">
        <w:rPr>
          <w:rFonts w:ascii="Times" w:hAnsi="Times" w:cs="Times New Roman"/>
          <w:sz w:val="23"/>
          <w:szCs w:val="23"/>
        </w:rPr>
        <w:t xml:space="preserve"> and Lowenstein, A.</w:t>
      </w:r>
      <w:r w:rsidR="00DF2E8E" w:rsidRPr="00F853DD">
        <w:rPr>
          <w:rFonts w:ascii="Times" w:hAnsi="Times" w:cs="Times New Roman"/>
          <w:sz w:val="23"/>
          <w:szCs w:val="23"/>
        </w:rPr>
        <w:t>,</w:t>
      </w:r>
      <w:r w:rsidR="00736653" w:rsidRPr="00F853DD">
        <w:rPr>
          <w:rFonts w:ascii="Times" w:hAnsi="Times" w:cs="Times New Roman"/>
          <w:sz w:val="23"/>
          <w:szCs w:val="23"/>
        </w:rPr>
        <w:t xml:space="preserve"> (2005). Intergenerational solidarity and the family: welfare s</w:t>
      </w:r>
      <w:r w:rsidR="00DF05BD" w:rsidRPr="00F853DD">
        <w:rPr>
          <w:rFonts w:ascii="Times" w:hAnsi="Times" w:cs="Times New Roman"/>
          <w:sz w:val="23"/>
          <w:szCs w:val="23"/>
        </w:rPr>
        <w:t xml:space="preserve">tate </w:t>
      </w:r>
      <w:r w:rsidR="00736653" w:rsidRPr="00F853DD">
        <w:rPr>
          <w:rFonts w:ascii="Times" w:hAnsi="Times" w:cs="Times New Roman"/>
          <w:sz w:val="23"/>
          <w:szCs w:val="23"/>
        </w:rPr>
        <w:t>b</w:t>
      </w:r>
      <w:r w:rsidR="00DF05BD" w:rsidRPr="00F853DD">
        <w:rPr>
          <w:rFonts w:ascii="Times" w:hAnsi="Times" w:cs="Times New Roman"/>
          <w:sz w:val="23"/>
          <w:szCs w:val="23"/>
        </w:rPr>
        <w:t>alance</w:t>
      </w:r>
      <w:r w:rsidR="0073665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i/>
          <w:sz w:val="23"/>
          <w:szCs w:val="23"/>
        </w:rPr>
        <w:t>European Journal of Ageing</w:t>
      </w:r>
      <w:r w:rsidR="00736653" w:rsidRPr="00F853DD">
        <w:rPr>
          <w:rFonts w:ascii="Times" w:hAnsi="Times" w:cs="Times New Roman"/>
          <w:i/>
          <w:sz w:val="23"/>
          <w:szCs w:val="23"/>
        </w:rPr>
        <w:t xml:space="preserve"> </w:t>
      </w:r>
      <w:r w:rsidR="00736653" w:rsidRPr="00F853DD">
        <w:rPr>
          <w:rFonts w:ascii="Times" w:hAnsi="Times" w:cs="Times New Roman"/>
          <w:sz w:val="23"/>
          <w:szCs w:val="23"/>
        </w:rPr>
        <w:t>[online].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2</w:t>
      </w:r>
      <w:r w:rsidR="00DF05BD" w:rsidRPr="00F853DD">
        <w:rPr>
          <w:rFonts w:ascii="Times" w:hAnsi="Times" w:cs="Times New Roman"/>
          <w:sz w:val="23"/>
          <w:szCs w:val="23"/>
        </w:rPr>
        <w:t xml:space="preserve">. Available from: https://www.ncbi.nlm.nih.gov/pmc/articles/PMC5546341/. </w:t>
      </w:r>
    </w:p>
    <w:p w14:paraId="0599CDE7" w14:textId="426A941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Dagdeviren, H., Donoghue, M. and Promberger, M.</w:t>
      </w:r>
      <w:r w:rsidR="00DF2E8E" w:rsidRPr="00F853DD">
        <w:rPr>
          <w:rFonts w:ascii="Times" w:hAnsi="Times" w:cs="Times New Roman"/>
          <w:sz w:val="23"/>
          <w:szCs w:val="23"/>
        </w:rPr>
        <w:t>,</w:t>
      </w:r>
      <w:r w:rsidR="00736653" w:rsidRPr="00F853DD">
        <w:rPr>
          <w:rFonts w:ascii="Times" w:hAnsi="Times" w:cs="Times New Roman"/>
          <w:sz w:val="23"/>
          <w:szCs w:val="23"/>
        </w:rPr>
        <w:t xml:space="preserve"> (2016). Resilience, hardship and social c</w:t>
      </w:r>
      <w:r w:rsidRPr="00F853DD">
        <w:rPr>
          <w:rFonts w:ascii="Times" w:hAnsi="Times" w:cs="Times New Roman"/>
          <w:sz w:val="23"/>
          <w:szCs w:val="23"/>
        </w:rPr>
        <w:t xml:space="preserve">onditions. </w:t>
      </w:r>
      <w:r w:rsidRPr="00F853DD">
        <w:rPr>
          <w:rFonts w:ascii="Times" w:hAnsi="Times" w:cs="Times New Roman"/>
          <w:i/>
          <w:sz w:val="23"/>
          <w:szCs w:val="23"/>
        </w:rPr>
        <w:t>Journal of Social Policy</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45</w:t>
      </w:r>
      <w:r w:rsidR="00FB6AC1" w:rsidRPr="00F853DD">
        <w:rPr>
          <w:rFonts w:ascii="Times" w:hAnsi="Times" w:cs="Times New Roman"/>
          <w:sz w:val="23"/>
          <w:szCs w:val="23"/>
        </w:rPr>
        <w:t>(1)</w:t>
      </w:r>
      <w:r w:rsidRPr="00F853DD">
        <w:rPr>
          <w:rFonts w:ascii="Times" w:hAnsi="Times" w:cs="Times New Roman"/>
          <w:sz w:val="23"/>
          <w:szCs w:val="23"/>
        </w:rPr>
        <w:t>, 1-20.</w:t>
      </w:r>
    </w:p>
    <w:p w14:paraId="787CDB40" w14:textId="10D4F3C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Dahl, H.</w:t>
      </w:r>
      <w:r w:rsidR="00DF2E8E"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 xml:space="preserve">Struggles in (elderly) care: </w:t>
      </w:r>
      <w:r w:rsidR="00736653" w:rsidRPr="00F853DD">
        <w:rPr>
          <w:rFonts w:ascii="Times" w:hAnsi="Times" w:cs="Times New Roman"/>
          <w:i/>
          <w:sz w:val="23"/>
          <w:szCs w:val="23"/>
        </w:rPr>
        <w:t>a</w:t>
      </w:r>
      <w:r w:rsidRPr="00F853DD">
        <w:rPr>
          <w:rFonts w:ascii="Times" w:hAnsi="Times" w:cs="Times New Roman"/>
          <w:i/>
          <w:sz w:val="23"/>
          <w:szCs w:val="23"/>
        </w:rPr>
        <w:t xml:space="preserve"> feminist view</w:t>
      </w:r>
      <w:r w:rsidRPr="00F853DD">
        <w:rPr>
          <w:rFonts w:ascii="Times" w:hAnsi="Times" w:cs="Times New Roman"/>
          <w:sz w:val="23"/>
          <w:szCs w:val="23"/>
        </w:rPr>
        <w:t xml:space="preserve">. Springer Publishing. </w:t>
      </w:r>
    </w:p>
    <w:p w14:paraId="68F41943" w14:textId="21932A2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Daly, M. and Clavero, S.</w:t>
      </w:r>
      <w:r w:rsidR="00DF2E8E" w:rsidRPr="00F853DD">
        <w:rPr>
          <w:rFonts w:ascii="Times" w:hAnsi="Times" w:cs="Times New Roman"/>
          <w:sz w:val="23"/>
          <w:szCs w:val="23"/>
        </w:rPr>
        <w:t>,</w:t>
      </w:r>
      <w:r w:rsidRPr="00F853DD">
        <w:rPr>
          <w:rFonts w:ascii="Times" w:hAnsi="Times" w:cs="Times New Roman"/>
          <w:sz w:val="23"/>
          <w:szCs w:val="23"/>
        </w:rPr>
        <w:t xml:space="preserve"> (2004). Contemporary fami</w:t>
      </w:r>
      <w:r w:rsidR="00736653" w:rsidRPr="00F853DD">
        <w:rPr>
          <w:rFonts w:ascii="Times" w:hAnsi="Times" w:cs="Times New Roman"/>
          <w:sz w:val="23"/>
          <w:szCs w:val="23"/>
        </w:rPr>
        <w:t xml:space="preserve">ly policy in Ireland and Europe. </w:t>
      </w:r>
      <w:r w:rsidRPr="00F853DD">
        <w:rPr>
          <w:rFonts w:ascii="Times" w:hAnsi="Times" w:cs="Times New Roman"/>
          <w:i/>
          <w:sz w:val="23"/>
          <w:szCs w:val="23"/>
        </w:rPr>
        <w:t>School of Sociology and Social Policy</w:t>
      </w:r>
      <w:r w:rsidR="00736653" w:rsidRPr="00F853DD">
        <w:rPr>
          <w:rFonts w:ascii="Times" w:hAnsi="Times" w:cs="Times New Roman"/>
          <w:i/>
          <w:sz w:val="23"/>
          <w:szCs w:val="23"/>
        </w:rPr>
        <w:t xml:space="preserve"> </w:t>
      </w:r>
      <w:r w:rsidR="00736653" w:rsidRPr="00F853DD">
        <w:rPr>
          <w:rFonts w:ascii="Times" w:hAnsi="Times" w:cs="Times New Roman"/>
          <w:sz w:val="23"/>
          <w:szCs w:val="23"/>
        </w:rPr>
        <w:t xml:space="preserve">[online]. </w:t>
      </w:r>
      <w:r w:rsidRPr="00F853DD">
        <w:rPr>
          <w:rFonts w:ascii="Times" w:hAnsi="Times" w:cs="Times New Roman"/>
          <w:sz w:val="23"/>
          <w:szCs w:val="23"/>
        </w:rPr>
        <w:t xml:space="preserve">[Viewed 9 November 2019]. Available from: http://www.welfare.ie/en/downloads/cfpreport.pdf </w:t>
      </w:r>
    </w:p>
    <w:p w14:paraId="777A18A5" w14:textId="002AB6A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Daly, M.</w:t>
      </w:r>
      <w:r w:rsidR="00DF2E8E" w:rsidRPr="00F853DD">
        <w:rPr>
          <w:rFonts w:ascii="Times" w:hAnsi="Times" w:cs="Times New Roman"/>
          <w:sz w:val="23"/>
          <w:szCs w:val="23"/>
        </w:rPr>
        <w:t>,</w:t>
      </w:r>
      <w:r w:rsidRPr="00F853DD">
        <w:rPr>
          <w:rFonts w:ascii="Times" w:hAnsi="Times" w:cs="Times New Roman"/>
          <w:sz w:val="23"/>
          <w:szCs w:val="23"/>
        </w:rPr>
        <w:t xml:space="preserve"> (2001). Feminism and the family. </w:t>
      </w:r>
      <w:r w:rsidRPr="00F853DD">
        <w:rPr>
          <w:rFonts w:ascii="Times" w:hAnsi="Times" w:cs="Times New Roman"/>
          <w:i/>
          <w:sz w:val="23"/>
          <w:szCs w:val="23"/>
        </w:rPr>
        <w:t>Journal of Social Policy</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 742-743.</w:t>
      </w:r>
    </w:p>
    <w:p w14:paraId="22107511" w14:textId="476E4A5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Daly, M. And Borrell-Porta, M.</w:t>
      </w:r>
      <w:r w:rsidR="00DF2E8E"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The oxford family policy database: conceptual framework and methodological report</w:t>
      </w:r>
      <w:r w:rsidRPr="00F853DD">
        <w:rPr>
          <w:rFonts w:ascii="Times" w:hAnsi="Times" w:cs="Times New Roman"/>
          <w:sz w:val="23"/>
          <w:szCs w:val="23"/>
        </w:rPr>
        <w:t>. Department of Social Policy and Intervention, University of Oxford.</w:t>
      </w:r>
    </w:p>
    <w:p w14:paraId="6C67E211" w14:textId="787DE32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Daly, M. and Lewis, J.</w:t>
      </w:r>
      <w:r w:rsidR="00DF2E8E" w:rsidRPr="00F853DD">
        <w:rPr>
          <w:rFonts w:ascii="Times" w:hAnsi="Times" w:cs="Times New Roman"/>
          <w:sz w:val="23"/>
          <w:szCs w:val="23"/>
        </w:rPr>
        <w:t>,</w:t>
      </w:r>
      <w:r w:rsidRPr="00F853DD">
        <w:rPr>
          <w:rFonts w:ascii="Times" w:hAnsi="Times" w:cs="Times New Roman"/>
          <w:sz w:val="23"/>
          <w:szCs w:val="23"/>
        </w:rPr>
        <w:t xml:space="preserve"> (2000). The concept of social care and the analysis of contemporary welfare states. </w:t>
      </w:r>
      <w:r w:rsidRPr="00F853DD">
        <w:rPr>
          <w:rFonts w:ascii="Times" w:hAnsi="Times" w:cs="Times New Roman"/>
          <w:i/>
          <w:sz w:val="23"/>
          <w:szCs w:val="23"/>
        </w:rPr>
        <w:t>British Journal of Sociology</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51</w:t>
      </w:r>
      <w:r w:rsidR="00FB6AC1" w:rsidRPr="00F853DD">
        <w:rPr>
          <w:rFonts w:ascii="Times" w:hAnsi="Times" w:cs="Times New Roman"/>
          <w:sz w:val="23"/>
          <w:szCs w:val="23"/>
        </w:rPr>
        <w:t>(2)</w:t>
      </w:r>
      <w:r w:rsidRPr="00F853DD">
        <w:rPr>
          <w:rFonts w:ascii="Times" w:hAnsi="Times" w:cs="Times New Roman"/>
          <w:sz w:val="23"/>
          <w:szCs w:val="23"/>
        </w:rPr>
        <w:t>, 281-298.</w:t>
      </w:r>
    </w:p>
    <w:p w14:paraId="68589EA9" w14:textId="10A79DA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Damiani, G., Farelli, V., Anselmi, A., Sicuro, L., Solipa</w:t>
      </w:r>
      <w:r w:rsidR="00B14A2A" w:rsidRPr="00F853DD">
        <w:rPr>
          <w:rFonts w:ascii="Times" w:hAnsi="Times" w:cs="Times New Roman"/>
          <w:sz w:val="23"/>
          <w:szCs w:val="23"/>
        </w:rPr>
        <w:t>ca, A., Burgio, A., Iezzi, D.</w:t>
      </w:r>
      <w:r w:rsidRPr="00F853DD">
        <w:rPr>
          <w:rFonts w:ascii="Times" w:hAnsi="Times" w:cs="Times New Roman"/>
          <w:sz w:val="23"/>
          <w:szCs w:val="23"/>
        </w:rPr>
        <w:t xml:space="preserve"> and Ricciardi, W.</w:t>
      </w:r>
      <w:r w:rsidR="00DF2E8E" w:rsidRPr="00F853DD">
        <w:rPr>
          <w:rFonts w:ascii="Times" w:hAnsi="Times" w:cs="Times New Roman"/>
          <w:sz w:val="23"/>
          <w:szCs w:val="23"/>
        </w:rPr>
        <w:t>,</w:t>
      </w:r>
      <w:r w:rsidRPr="00F853DD">
        <w:rPr>
          <w:rFonts w:ascii="Times" w:hAnsi="Times" w:cs="Times New Roman"/>
          <w:sz w:val="23"/>
          <w:szCs w:val="23"/>
        </w:rPr>
        <w:t xml:space="preserve"> (2011). Patterns of long term care in 29 European countries: evidence from an exploratory study. </w:t>
      </w:r>
      <w:r w:rsidRPr="00F853DD">
        <w:rPr>
          <w:rFonts w:ascii="Times" w:hAnsi="Times" w:cs="Times New Roman"/>
          <w:i/>
          <w:sz w:val="23"/>
          <w:szCs w:val="23"/>
        </w:rPr>
        <w:t>BMC Health Services Research</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00FB6AC1" w:rsidRPr="00F853DD">
        <w:rPr>
          <w:rFonts w:ascii="Times" w:hAnsi="Times" w:cs="Times New Roman"/>
          <w:sz w:val="23"/>
          <w:szCs w:val="23"/>
        </w:rPr>
        <w:t>(1)</w:t>
      </w:r>
      <w:r w:rsidRPr="00F853DD">
        <w:rPr>
          <w:rFonts w:ascii="Times" w:hAnsi="Times" w:cs="Times New Roman"/>
          <w:sz w:val="23"/>
          <w:szCs w:val="23"/>
        </w:rPr>
        <w:t>, 9.</w:t>
      </w:r>
    </w:p>
    <w:p w14:paraId="2ACB963B" w14:textId="46FFA64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Daniels, R., Metzelthin, S., Van Rossum, E., De Witte, L. and Van Den Heuvel, W.</w:t>
      </w:r>
      <w:r w:rsidR="00DF2E8E" w:rsidRPr="00F853DD">
        <w:rPr>
          <w:rFonts w:ascii="Times" w:hAnsi="Times" w:cs="Times New Roman"/>
          <w:sz w:val="23"/>
          <w:szCs w:val="23"/>
        </w:rPr>
        <w:t>,</w:t>
      </w:r>
      <w:r w:rsidRPr="00F853DD">
        <w:rPr>
          <w:rFonts w:ascii="Times" w:hAnsi="Times" w:cs="Times New Roman"/>
          <w:sz w:val="23"/>
          <w:szCs w:val="23"/>
        </w:rPr>
        <w:t xml:space="preserve"> (2010). Interventions to prevent disability in frail community-dwelling older persons: an overview. </w:t>
      </w:r>
      <w:r w:rsidRPr="00F853DD">
        <w:rPr>
          <w:rFonts w:ascii="Times" w:hAnsi="Times" w:cs="Times New Roman"/>
          <w:i/>
          <w:sz w:val="23"/>
          <w:szCs w:val="23"/>
        </w:rPr>
        <w:t>European Journal of Ageing</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00FB6AC1" w:rsidRPr="00F853DD">
        <w:rPr>
          <w:rFonts w:ascii="Times" w:hAnsi="Times" w:cs="Times New Roman"/>
          <w:sz w:val="23"/>
          <w:szCs w:val="23"/>
        </w:rPr>
        <w:t>(1)</w:t>
      </w:r>
      <w:r w:rsidRPr="00F853DD">
        <w:rPr>
          <w:rFonts w:ascii="Times" w:hAnsi="Times" w:cs="Times New Roman"/>
          <w:sz w:val="23"/>
          <w:szCs w:val="23"/>
        </w:rPr>
        <w:t>, 37-55.</w:t>
      </w:r>
    </w:p>
    <w:p w14:paraId="5F4F314B" w14:textId="48D36DF4"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Davey, A., Femia, E., Zarit, S., Shea, D.</w:t>
      </w:r>
      <w:r w:rsidR="00DF05BD" w:rsidRPr="00F853DD">
        <w:rPr>
          <w:rFonts w:ascii="Times" w:hAnsi="Times" w:cs="Times New Roman"/>
          <w:sz w:val="23"/>
          <w:szCs w:val="23"/>
        </w:rPr>
        <w:t>, Sunds</w:t>
      </w:r>
      <w:r w:rsidRPr="00F853DD">
        <w:rPr>
          <w:rFonts w:ascii="Times" w:hAnsi="Times" w:cs="Times New Roman"/>
          <w:sz w:val="23"/>
          <w:szCs w:val="23"/>
        </w:rPr>
        <w:t>trom, G., Berg, S., Smyer, M.</w:t>
      </w:r>
      <w:r w:rsidR="00DF05BD" w:rsidRPr="00F853DD">
        <w:rPr>
          <w:rFonts w:ascii="Times" w:hAnsi="Times" w:cs="Times New Roman"/>
          <w:sz w:val="23"/>
          <w:szCs w:val="23"/>
        </w:rPr>
        <w:t xml:space="preserve"> and Savla, J.</w:t>
      </w:r>
      <w:r w:rsidR="00DF2E8E" w:rsidRPr="00F853DD">
        <w:rPr>
          <w:rFonts w:ascii="Times" w:hAnsi="Times" w:cs="Times New Roman"/>
          <w:sz w:val="23"/>
          <w:szCs w:val="23"/>
        </w:rPr>
        <w:t>,</w:t>
      </w:r>
      <w:r w:rsidR="00DF05BD" w:rsidRPr="00F853DD">
        <w:rPr>
          <w:rFonts w:ascii="Times" w:hAnsi="Times" w:cs="Times New Roman"/>
          <w:sz w:val="23"/>
          <w:szCs w:val="23"/>
        </w:rPr>
        <w:t xml:space="preserve"> (</w:t>
      </w:r>
      <w:r w:rsidR="00736653" w:rsidRPr="00F853DD">
        <w:rPr>
          <w:rFonts w:ascii="Times" w:hAnsi="Times" w:cs="Times New Roman"/>
          <w:sz w:val="23"/>
          <w:szCs w:val="23"/>
        </w:rPr>
        <w:t>2005). Life on the edge: p</w:t>
      </w:r>
      <w:r w:rsidR="00DF05BD" w:rsidRPr="00F853DD">
        <w:rPr>
          <w:rFonts w:ascii="Times" w:hAnsi="Times" w:cs="Times New Roman"/>
          <w:sz w:val="23"/>
          <w:szCs w:val="23"/>
        </w:rPr>
        <w:t xml:space="preserve">atterns of formal and informal help to older adults in the United States and Sweden. </w:t>
      </w:r>
      <w:r w:rsidR="00DF05BD" w:rsidRPr="00F853DD">
        <w:rPr>
          <w:rFonts w:ascii="Times" w:hAnsi="Times" w:cs="Times New Roman"/>
          <w:i/>
          <w:sz w:val="23"/>
          <w:szCs w:val="23"/>
        </w:rPr>
        <w:t>Journals of Gerontology Series B-Psychological Sciences and Social Sciences</w:t>
      </w:r>
      <w:r w:rsidR="0073665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60</w:t>
      </w:r>
      <w:r w:rsidR="00FB6AC1" w:rsidRPr="00F853DD">
        <w:rPr>
          <w:rFonts w:ascii="Times" w:hAnsi="Times" w:cs="Times New Roman"/>
          <w:sz w:val="23"/>
          <w:szCs w:val="23"/>
        </w:rPr>
        <w:t>(5)</w:t>
      </w:r>
      <w:r w:rsidR="00DF05BD" w:rsidRPr="00F853DD">
        <w:rPr>
          <w:rFonts w:ascii="Times" w:hAnsi="Times" w:cs="Times New Roman"/>
          <w:sz w:val="23"/>
          <w:szCs w:val="23"/>
        </w:rPr>
        <w:t>, S281-S288.</w:t>
      </w:r>
    </w:p>
    <w:p w14:paraId="7C22FE9B" w14:textId="0257028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Davidson, C.</w:t>
      </w:r>
      <w:r w:rsidR="00DF2E8E" w:rsidRPr="00F853DD">
        <w:rPr>
          <w:rFonts w:ascii="Times" w:hAnsi="Times" w:cs="Times New Roman"/>
          <w:sz w:val="23"/>
          <w:szCs w:val="23"/>
        </w:rPr>
        <w:t>,</w:t>
      </w:r>
      <w:r w:rsidR="00736653" w:rsidRPr="00F853DD">
        <w:rPr>
          <w:rFonts w:ascii="Times" w:hAnsi="Times" w:cs="Times New Roman"/>
          <w:sz w:val="23"/>
          <w:szCs w:val="23"/>
        </w:rPr>
        <w:t xml:space="preserve"> (2009). Transcription: i</w:t>
      </w:r>
      <w:r w:rsidRPr="00F853DD">
        <w:rPr>
          <w:rFonts w:ascii="Times" w:hAnsi="Times" w:cs="Times New Roman"/>
          <w:sz w:val="23"/>
          <w:szCs w:val="23"/>
        </w:rPr>
        <w:t xml:space="preserve">mperatives for </w:t>
      </w:r>
      <w:r w:rsidR="00736653" w:rsidRPr="00F853DD">
        <w:rPr>
          <w:rFonts w:ascii="Times" w:hAnsi="Times" w:cs="Times New Roman"/>
          <w:sz w:val="23"/>
          <w:szCs w:val="23"/>
        </w:rPr>
        <w:t>qualitative r</w:t>
      </w:r>
      <w:r w:rsidRPr="00F853DD">
        <w:rPr>
          <w:rFonts w:ascii="Times" w:hAnsi="Times" w:cs="Times New Roman"/>
          <w:sz w:val="23"/>
          <w:szCs w:val="23"/>
        </w:rPr>
        <w:t xml:space="preserve">esearch. </w:t>
      </w:r>
      <w:r w:rsidRPr="00F853DD">
        <w:rPr>
          <w:rFonts w:ascii="Times" w:hAnsi="Times" w:cs="Times New Roman"/>
          <w:i/>
          <w:sz w:val="23"/>
          <w:szCs w:val="23"/>
        </w:rPr>
        <w:t>International Journal of Qualitative Methods</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8</w:t>
      </w:r>
      <w:r w:rsidR="00FB6AC1" w:rsidRPr="00F853DD">
        <w:rPr>
          <w:rFonts w:ascii="Times" w:hAnsi="Times" w:cs="Times New Roman"/>
          <w:sz w:val="23"/>
          <w:szCs w:val="23"/>
        </w:rPr>
        <w:t>(2)</w:t>
      </w:r>
      <w:r w:rsidRPr="00F853DD">
        <w:rPr>
          <w:rFonts w:ascii="Times" w:hAnsi="Times" w:cs="Times New Roman"/>
          <w:sz w:val="23"/>
          <w:szCs w:val="23"/>
        </w:rPr>
        <w:t>, 35-52.</w:t>
      </w:r>
    </w:p>
    <w:p w14:paraId="658E83E1" w14:textId="6DFD87CA"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Davis, L.</w:t>
      </w:r>
      <w:r w:rsidR="00DF05BD" w:rsidRPr="00F853DD">
        <w:rPr>
          <w:rFonts w:ascii="Times" w:hAnsi="Times" w:cs="Times New Roman"/>
          <w:sz w:val="23"/>
          <w:szCs w:val="23"/>
        </w:rPr>
        <w:t>, Chestnutt, D., Molloy, M., Deshefy-Longhi,</w:t>
      </w:r>
      <w:r w:rsidRPr="00F853DD">
        <w:rPr>
          <w:rFonts w:ascii="Times" w:hAnsi="Times" w:cs="Times New Roman"/>
          <w:sz w:val="23"/>
          <w:szCs w:val="23"/>
        </w:rPr>
        <w:t xml:space="preserve"> T., Shim, B. and Gilliss, C.</w:t>
      </w:r>
      <w:r w:rsidR="00DF2E8E" w:rsidRPr="00F853DD">
        <w:rPr>
          <w:rFonts w:ascii="Times" w:hAnsi="Times" w:cs="Times New Roman"/>
          <w:sz w:val="23"/>
          <w:szCs w:val="23"/>
        </w:rPr>
        <w:t>,</w:t>
      </w:r>
      <w:r w:rsidR="00DF05BD" w:rsidRPr="00F853DD">
        <w:rPr>
          <w:rFonts w:ascii="Times" w:hAnsi="Times" w:cs="Times New Roman"/>
          <w:sz w:val="23"/>
          <w:szCs w:val="23"/>
        </w:rPr>
        <w:t xml:space="preserve"> (2014). </w:t>
      </w:r>
      <w:r w:rsidR="00736653" w:rsidRPr="00F853DD">
        <w:rPr>
          <w:rFonts w:ascii="Times" w:hAnsi="Times" w:cs="Times New Roman"/>
          <w:sz w:val="23"/>
          <w:szCs w:val="23"/>
        </w:rPr>
        <w:t>Adapters, strugglers, and case m</w:t>
      </w:r>
      <w:r w:rsidR="00DF05BD" w:rsidRPr="00F853DD">
        <w:rPr>
          <w:rFonts w:ascii="Times" w:hAnsi="Times" w:cs="Times New Roman"/>
          <w:sz w:val="23"/>
          <w:szCs w:val="23"/>
        </w:rPr>
        <w:t xml:space="preserve">anagers: </w:t>
      </w:r>
      <w:r w:rsidR="00736653" w:rsidRPr="00F853DD">
        <w:rPr>
          <w:rFonts w:ascii="Times" w:hAnsi="Times" w:cs="Times New Roman"/>
          <w:sz w:val="23"/>
          <w:szCs w:val="23"/>
        </w:rPr>
        <w:t>a typology of spouse c</w:t>
      </w:r>
      <w:r w:rsidR="00DF05BD" w:rsidRPr="00F853DD">
        <w:rPr>
          <w:rFonts w:ascii="Times" w:hAnsi="Times" w:cs="Times New Roman"/>
          <w:sz w:val="23"/>
          <w:szCs w:val="23"/>
        </w:rPr>
        <w:t xml:space="preserve">aregivers. </w:t>
      </w:r>
      <w:r w:rsidR="00DF05BD" w:rsidRPr="00F853DD">
        <w:rPr>
          <w:rFonts w:ascii="Times" w:hAnsi="Times" w:cs="Times New Roman"/>
          <w:i/>
          <w:sz w:val="23"/>
          <w:szCs w:val="23"/>
        </w:rPr>
        <w:t>Qualitative Health Research</w:t>
      </w:r>
      <w:r w:rsidR="0073665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24</w:t>
      </w:r>
      <w:r w:rsidR="00FB6AC1" w:rsidRPr="00F853DD">
        <w:rPr>
          <w:rFonts w:ascii="Times" w:hAnsi="Times" w:cs="Times New Roman"/>
          <w:sz w:val="23"/>
          <w:szCs w:val="23"/>
        </w:rPr>
        <w:t>(11)</w:t>
      </w:r>
      <w:r w:rsidR="00DF05BD" w:rsidRPr="00F853DD">
        <w:rPr>
          <w:rFonts w:ascii="Times" w:hAnsi="Times" w:cs="Times New Roman"/>
          <w:sz w:val="23"/>
          <w:szCs w:val="23"/>
        </w:rPr>
        <w:t>, 1492-1500.</w:t>
      </w:r>
    </w:p>
    <w:p w14:paraId="27664D72" w14:textId="5195FD4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Davison, I.</w:t>
      </w:r>
      <w:r w:rsidR="004A5806" w:rsidRPr="00F853DD">
        <w:rPr>
          <w:rFonts w:ascii="Times" w:hAnsi="Times" w:cs="Times New Roman"/>
          <w:sz w:val="23"/>
          <w:szCs w:val="23"/>
        </w:rPr>
        <w:t>,</w:t>
      </w:r>
      <w:r w:rsidR="00736653" w:rsidRPr="00F853DD">
        <w:rPr>
          <w:rFonts w:ascii="Times" w:hAnsi="Times" w:cs="Times New Roman"/>
          <w:sz w:val="23"/>
          <w:szCs w:val="23"/>
        </w:rPr>
        <w:t xml:space="preserve"> (2011). Handbook of adult r</w:t>
      </w:r>
      <w:r w:rsidRPr="00F853DD">
        <w:rPr>
          <w:rFonts w:ascii="Times" w:hAnsi="Times" w:cs="Times New Roman"/>
          <w:sz w:val="23"/>
          <w:szCs w:val="23"/>
        </w:rPr>
        <w:t xml:space="preserve">esilience. </w:t>
      </w:r>
      <w:r w:rsidRPr="00F853DD">
        <w:rPr>
          <w:rFonts w:ascii="Times" w:hAnsi="Times" w:cs="Times New Roman"/>
          <w:i/>
          <w:sz w:val="23"/>
          <w:szCs w:val="23"/>
        </w:rPr>
        <w:t>Psychologist</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193</w:t>
      </w:r>
    </w:p>
    <w:p w14:paraId="1AB5C7D0" w14:textId="7628D680"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Davydov, D.</w:t>
      </w:r>
      <w:r w:rsidR="00DF05BD" w:rsidRPr="00F853DD">
        <w:rPr>
          <w:rFonts w:ascii="Times" w:hAnsi="Times" w:cs="Times New Roman"/>
          <w:sz w:val="23"/>
          <w:szCs w:val="23"/>
        </w:rPr>
        <w:t>, Stewart, R., Ritchie, K. and Chaudieu, I.</w:t>
      </w:r>
      <w:r w:rsidR="004A5806" w:rsidRPr="00F853DD">
        <w:rPr>
          <w:rFonts w:ascii="Times" w:hAnsi="Times" w:cs="Times New Roman"/>
          <w:sz w:val="23"/>
          <w:szCs w:val="23"/>
        </w:rPr>
        <w:t>,</w:t>
      </w:r>
      <w:r w:rsidR="00DF05BD" w:rsidRPr="00F853DD">
        <w:rPr>
          <w:rFonts w:ascii="Times" w:hAnsi="Times" w:cs="Times New Roman"/>
          <w:sz w:val="23"/>
          <w:szCs w:val="23"/>
        </w:rPr>
        <w:t xml:space="preserve"> (2010). Resilience and mental health. </w:t>
      </w:r>
      <w:r w:rsidR="00DF05BD" w:rsidRPr="00F853DD">
        <w:rPr>
          <w:rFonts w:ascii="Times" w:hAnsi="Times" w:cs="Times New Roman"/>
          <w:i/>
          <w:sz w:val="23"/>
          <w:szCs w:val="23"/>
        </w:rPr>
        <w:t>Clinical Psychology Review</w:t>
      </w:r>
      <w:r w:rsidR="0073665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FB6AC1" w:rsidRPr="00F853DD">
        <w:rPr>
          <w:rFonts w:ascii="Times" w:hAnsi="Times" w:cs="Times New Roman"/>
          <w:sz w:val="23"/>
          <w:szCs w:val="23"/>
        </w:rPr>
        <w:t>(5)</w:t>
      </w:r>
      <w:r w:rsidR="00DF05BD" w:rsidRPr="00F853DD">
        <w:rPr>
          <w:rFonts w:ascii="Times" w:hAnsi="Times" w:cs="Times New Roman"/>
          <w:sz w:val="23"/>
          <w:szCs w:val="23"/>
        </w:rPr>
        <w:t>, 479-495.</w:t>
      </w:r>
    </w:p>
    <w:p w14:paraId="4ABF2F48" w14:textId="66EA152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w:t>
      </w:r>
      <w:r w:rsidR="00B14A2A" w:rsidRPr="00F853DD">
        <w:rPr>
          <w:rFonts w:ascii="Times" w:hAnsi="Times" w:cs="Times New Roman"/>
          <w:sz w:val="23"/>
          <w:szCs w:val="23"/>
        </w:rPr>
        <w:t xml:space="preserve"> Ardon, E. and Briones, G.</w:t>
      </w:r>
      <w:r w:rsidR="004A5806" w:rsidRPr="00F853DD">
        <w:rPr>
          <w:rFonts w:ascii="Times" w:hAnsi="Times" w:cs="Times New Roman"/>
          <w:sz w:val="23"/>
          <w:szCs w:val="23"/>
        </w:rPr>
        <w:t>,</w:t>
      </w:r>
      <w:r w:rsidRPr="00F853DD">
        <w:rPr>
          <w:rFonts w:ascii="Times" w:hAnsi="Times" w:cs="Times New Roman"/>
          <w:sz w:val="23"/>
          <w:szCs w:val="23"/>
        </w:rPr>
        <w:t xml:space="preserve"> (2000). Abuse of female caregivers by care recipients: Another form of elder abuse. </w:t>
      </w:r>
      <w:r w:rsidRPr="00F853DD">
        <w:rPr>
          <w:rFonts w:ascii="Times" w:hAnsi="Times" w:cs="Times New Roman"/>
          <w:i/>
          <w:sz w:val="23"/>
          <w:szCs w:val="23"/>
        </w:rPr>
        <w:t>Journal Of Elder Abuse And Neglect</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w:t>
      </w:r>
      <w:r w:rsidR="00FB6AC1" w:rsidRPr="00F853DD">
        <w:rPr>
          <w:rFonts w:ascii="Times" w:hAnsi="Times" w:cs="Times New Roman"/>
          <w:sz w:val="23"/>
          <w:szCs w:val="23"/>
        </w:rPr>
        <w:t>(3-4)</w:t>
      </w:r>
      <w:r w:rsidRPr="00F853DD">
        <w:rPr>
          <w:rFonts w:ascii="Times" w:hAnsi="Times" w:cs="Times New Roman"/>
          <w:sz w:val="23"/>
          <w:szCs w:val="23"/>
        </w:rPr>
        <w:t>, 123-143.</w:t>
      </w:r>
    </w:p>
    <w:p w14:paraId="2385CA41" w14:textId="330E74C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 Costa, A.</w:t>
      </w:r>
      <w:r w:rsidR="00B14A2A" w:rsidRPr="00F853DD">
        <w:rPr>
          <w:rFonts w:ascii="Times" w:hAnsi="Times" w:cs="Times New Roman"/>
          <w:sz w:val="23"/>
          <w:szCs w:val="23"/>
        </w:rPr>
        <w:t>, Johansson, E. and Diwan, V.</w:t>
      </w:r>
      <w:r w:rsidR="004A5806" w:rsidRPr="00F853DD">
        <w:rPr>
          <w:rFonts w:ascii="Times" w:hAnsi="Times" w:cs="Times New Roman"/>
          <w:sz w:val="23"/>
          <w:szCs w:val="23"/>
        </w:rPr>
        <w:t>,</w:t>
      </w:r>
      <w:r w:rsidRPr="00F853DD">
        <w:rPr>
          <w:rFonts w:ascii="Times" w:hAnsi="Times" w:cs="Times New Roman"/>
          <w:sz w:val="23"/>
          <w:szCs w:val="23"/>
        </w:rPr>
        <w:t xml:space="preserve"> (2008). Barriers of mistrust: public and private health sectors</w:t>
      </w:r>
      <w:r w:rsidR="00FB6AC1" w:rsidRPr="00F853DD">
        <w:rPr>
          <w:rFonts w:ascii="Times" w:hAnsi="Times" w:cs="Times New Roman"/>
          <w:sz w:val="23"/>
          <w:szCs w:val="23"/>
        </w:rPr>
        <w:t>’</w:t>
      </w:r>
      <w:r w:rsidRPr="00F853DD">
        <w:rPr>
          <w:rFonts w:ascii="Times" w:hAnsi="Times" w:cs="Times New Roman"/>
          <w:sz w:val="23"/>
          <w:szCs w:val="23"/>
        </w:rPr>
        <w:t xml:space="preserve"> perceptions of each other in Madhya Pradesh, India. </w:t>
      </w:r>
      <w:r w:rsidRPr="00F853DD">
        <w:rPr>
          <w:rFonts w:ascii="Times" w:hAnsi="Times" w:cs="Times New Roman"/>
          <w:i/>
          <w:sz w:val="23"/>
          <w:szCs w:val="23"/>
        </w:rPr>
        <w:t>Qualitative Health Research</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00FB6AC1" w:rsidRPr="00F853DD">
        <w:rPr>
          <w:rFonts w:ascii="Times" w:hAnsi="Times" w:cs="Times New Roman"/>
          <w:sz w:val="23"/>
          <w:szCs w:val="23"/>
        </w:rPr>
        <w:t>(6)</w:t>
      </w:r>
      <w:r w:rsidRPr="00F853DD">
        <w:rPr>
          <w:rFonts w:ascii="Times" w:hAnsi="Times" w:cs="Times New Roman"/>
          <w:sz w:val="23"/>
          <w:szCs w:val="23"/>
        </w:rPr>
        <w:t>, 756-766.</w:t>
      </w:r>
    </w:p>
    <w:p w14:paraId="5EACE512" w14:textId="31CA97E6"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De Guzman, A.</w:t>
      </w:r>
      <w:r w:rsidR="00DF05BD" w:rsidRPr="00F853DD">
        <w:rPr>
          <w:rFonts w:ascii="Times" w:hAnsi="Times" w:cs="Times New Roman"/>
          <w:sz w:val="23"/>
          <w:szCs w:val="23"/>
        </w:rPr>
        <w:t>, Santos, C</w:t>
      </w:r>
      <w:r w:rsidRPr="00F853DD">
        <w:rPr>
          <w:rFonts w:ascii="Times" w:hAnsi="Times" w:cs="Times New Roman"/>
          <w:sz w:val="23"/>
          <w:szCs w:val="23"/>
        </w:rPr>
        <w:t>., Santos, I., Santos, J., Santos, J., Santos, J. and Santos, V.</w:t>
      </w:r>
      <w:r w:rsidR="004A5806" w:rsidRPr="00F853DD">
        <w:rPr>
          <w:rFonts w:ascii="Times" w:hAnsi="Times" w:cs="Times New Roman"/>
          <w:sz w:val="23"/>
          <w:szCs w:val="23"/>
        </w:rPr>
        <w:t>,</w:t>
      </w:r>
      <w:r w:rsidR="00DF05BD" w:rsidRPr="00F853DD">
        <w:rPr>
          <w:rFonts w:ascii="Times" w:hAnsi="Times" w:cs="Times New Roman"/>
          <w:sz w:val="23"/>
          <w:szCs w:val="23"/>
        </w:rPr>
        <w:t xml:space="preserve"> (2012). Concept of Care, Caring Expectations, and Caring Frustrations of the Elderly Suffering from Chronic Illness. </w:t>
      </w:r>
      <w:r w:rsidR="00DF05BD" w:rsidRPr="00F853DD">
        <w:rPr>
          <w:rFonts w:ascii="Times" w:hAnsi="Times" w:cs="Times New Roman"/>
          <w:i/>
          <w:sz w:val="23"/>
          <w:szCs w:val="23"/>
        </w:rPr>
        <w:t>Educational Gerontology</w:t>
      </w:r>
      <w:r w:rsidR="0073665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38</w:t>
      </w:r>
      <w:r w:rsidR="0071006B" w:rsidRPr="00F853DD">
        <w:rPr>
          <w:rFonts w:ascii="Times" w:hAnsi="Times" w:cs="Times New Roman"/>
          <w:sz w:val="23"/>
          <w:szCs w:val="23"/>
        </w:rPr>
        <w:t>(5)</w:t>
      </w:r>
      <w:r w:rsidR="00DF05BD" w:rsidRPr="00F853DD">
        <w:rPr>
          <w:rFonts w:ascii="Times" w:hAnsi="Times" w:cs="Times New Roman"/>
          <w:sz w:val="23"/>
          <w:szCs w:val="23"/>
        </w:rPr>
        <w:t>, 299-313.</w:t>
      </w:r>
    </w:p>
    <w:p w14:paraId="29DCCBFE" w14:textId="16148F4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 Jong Gierveld, J.</w:t>
      </w:r>
      <w:r w:rsidR="004A5806" w:rsidRPr="00F853DD">
        <w:rPr>
          <w:rFonts w:ascii="Times" w:hAnsi="Times" w:cs="Times New Roman"/>
          <w:sz w:val="23"/>
          <w:szCs w:val="23"/>
        </w:rPr>
        <w:t>,</w:t>
      </w:r>
      <w:r w:rsidRPr="00F853DD">
        <w:rPr>
          <w:rFonts w:ascii="Times" w:hAnsi="Times" w:cs="Times New Roman"/>
          <w:sz w:val="23"/>
          <w:szCs w:val="23"/>
        </w:rPr>
        <w:t xml:space="preserve"> (2015). Intra-couple caregiving of older adults living apart together: commitment and independence. </w:t>
      </w:r>
      <w:r w:rsidRPr="00F853DD">
        <w:rPr>
          <w:rFonts w:ascii="Times" w:hAnsi="Times" w:cs="Times New Roman"/>
          <w:i/>
          <w:sz w:val="23"/>
          <w:szCs w:val="23"/>
        </w:rPr>
        <w:t>Canadian Journal on Aging</w:t>
      </w:r>
      <w:r w:rsidRPr="00F853DD">
        <w:rPr>
          <w:rFonts w:ascii="Times" w:hAnsi="Times" w:cs="Times New Roman"/>
          <w:sz w:val="23"/>
          <w:szCs w:val="23"/>
        </w:rPr>
        <w:t xml:space="preserve">, </w:t>
      </w:r>
      <w:r w:rsidRPr="00F853DD">
        <w:rPr>
          <w:rFonts w:ascii="Times" w:hAnsi="Times" w:cs="Times New Roman"/>
          <w:b/>
          <w:sz w:val="23"/>
          <w:szCs w:val="23"/>
        </w:rPr>
        <w:t>34</w:t>
      </w:r>
      <w:r w:rsidR="0071006B" w:rsidRPr="00F853DD">
        <w:rPr>
          <w:rFonts w:ascii="Times" w:hAnsi="Times" w:cs="Times New Roman"/>
          <w:sz w:val="23"/>
          <w:szCs w:val="23"/>
        </w:rPr>
        <w:t>(3)</w:t>
      </w:r>
      <w:r w:rsidRPr="00F853DD">
        <w:rPr>
          <w:rFonts w:ascii="Times" w:hAnsi="Times" w:cs="Times New Roman"/>
          <w:sz w:val="23"/>
          <w:szCs w:val="23"/>
        </w:rPr>
        <w:t>, 356.</w:t>
      </w:r>
    </w:p>
    <w:p w14:paraId="168A8AB2" w14:textId="61A8F79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 La Cuesta-Benjumea, C. and Roe, B.</w:t>
      </w:r>
      <w:r w:rsidR="004A5806" w:rsidRPr="00F853DD">
        <w:rPr>
          <w:rFonts w:ascii="Times" w:hAnsi="Times" w:cs="Times New Roman"/>
          <w:sz w:val="23"/>
          <w:szCs w:val="23"/>
        </w:rPr>
        <w:t>,</w:t>
      </w:r>
      <w:r w:rsidRPr="00F853DD">
        <w:rPr>
          <w:rFonts w:ascii="Times" w:hAnsi="Times" w:cs="Times New Roman"/>
          <w:sz w:val="23"/>
          <w:szCs w:val="23"/>
        </w:rPr>
        <w:t xml:space="preserve"> (2014). The experience of family care-givers and migrant paid care-givers' relief of burden: a contrasted qualitative analysis. </w:t>
      </w:r>
      <w:r w:rsidRPr="00F853DD">
        <w:rPr>
          <w:rFonts w:ascii="Times" w:hAnsi="Times" w:cs="Times New Roman"/>
          <w:i/>
          <w:sz w:val="23"/>
          <w:szCs w:val="23"/>
        </w:rPr>
        <w:t>Ageing and Society</w:t>
      </w:r>
      <w:r w:rsidR="00736653"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0071006B" w:rsidRPr="00F853DD">
        <w:rPr>
          <w:rFonts w:ascii="Times" w:hAnsi="Times" w:cs="Times New Roman"/>
          <w:sz w:val="23"/>
          <w:szCs w:val="23"/>
        </w:rPr>
        <w:t>(7)</w:t>
      </w:r>
      <w:r w:rsidRPr="00F853DD">
        <w:rPr>
          <w:rFonts w:ascii="Times" w:hAnsi="Times" w:cs="Times New Roman"/>
          <w:sz w:val="23"/>
          <w:szCs w:val="23"/>
        </w:rPr>
        <w:t>, 1219-1242.</w:t>
      </w:r>
    </w:p>
    <w:p w14:paraId="5BF783B6" w14:textId="38CE022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De Labra, C., Millan-Calenti, J. C., Bujan, A., </w:t>
      </w:r>
      <w:r w:rsidR="00B14A2A" w:rsidRPr="00F853DD">
        <w:rPr>
          <w:rFonts w:ascii="Times" w:hAnsi="Times" w:cs="Times New Roman"/>
          <w:sz w:val="23"/>
          <w:szCs w:val="23"/>
        </w:rPr>
        <w:t>Nunez-Naveira, L., Jensen, A., Peersen, M.</w:t>
      </w:r>
      <w:r w:rsidRPr="00F853DD">
        <w:rPr>
          <w:rFonts w:ascii="Times" w:hAnsi="Times" w:cs="Times New Roman"/>
          <w:sz w:val="23"/>
          <w:szCs w:val="23"/>
        </w:rPr>
        <w:t>, Mojs, E., Samborski, W. and Maseda, A.</w:t>
      </w:r>
      <w:r w:rsidR="004A5806" w:rsidRPr="00F853DD">
        <w:rPr>
          <w:rFonts w:ascii="Times" w:hAnsi="Times" w:cs="Times New Roman"/>
          <w:sz w:val="23"/>
          <w:szCs w:val="23"/>
        </w:rPr>
        <w:t>,</w:t>
      </w:r>
      <w:r w:rsidRPr="00F853DD">
        <w:rPr>
          <w:rFonts w:ascii="Times" w:hAnsi="Times" w:cs="Times New Roman"/>
          <w:sz w:val="23"/>
          <w:szCs w:val="23"/>
        </w:rPr>
        <w:t xml:space="preserve"> (2015). Predictors of caregiving satisfaction in informal caregivers of people with dementia. </w:t>
      </w:r>
      <w:r w:rsidRPr="00F853DD">
        <w:rPr>
          <w:rFonts w:ascii="Times" w:hAnsi="Times" w:cs="Times New Roman"/>
          <w:i/>
          <w:sz w:val="23"/>
          <w:szCs w:val="23"/>
        </w:rPr>
        <w:t>Archives of Gerontology and Geriatrics</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60</w:t>
      </w:r>
      <w:r w:rsidR="0071006B" w:rsidRPr="00F853DD">
        <w:rPr>
          <w:rFonts w:ascii="Times" w:hAnsi="Times" w:cs="Times New Roman"/>
          <w:sz w:val="23"/>
          <w:szCs w:val="23"/>
        </w:rPr>
        <w:t>(3)</w:t>
      </w:r>
      <w:r w:rsidRPr="00F853DD">
        <w:rPr>
          <w:rFonts w:ascii="Times" w:hAnsi="Times" w:cs="Times New Roman"/>
          <w:sz w:val="23"/>
          <w:szCs w:val="23"/>
        </w:rPr>
        <w:t>, 380-388.</w:t>
      </w:r>
    </w:p>
    <w:p w14:paraId="4184CE09" w14:textId="0EE5D43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Delp, L., Wallace, S., Geiger</w:t>
      </w:r>
      <w:r w:rsidRPr="00F853DD">
        <w:rPr>
          <w:rFonts w:ascii="Cambria Math" w:hAnsi="Cambria Math" w:cs="Cambria Math"/>
          <w:sz w:val="23"/>
          <w:szCs w:val="23"/>
        </w:rPr>
        <w:t>‐</w:t>
      </w:r>
      <w:r w:rsidRPr="00F853DD">
        <w:rPr>
          <w:rFonts w:ascii="Times" w:hAnsi="Times" w:cs="Times New Roman"/>
          <w:sz w:val="23"/>
          <w:szCs w:val="23"/>
        </w:rPr>
        <w:t>Brown, J. and Muntaner, C.</w:t>
      </w:r>
      <w:r w:rsidR="004A5806" w:rsidRPr="00F853DD">
        <w:rPr>
          <w:rFonts w:ascii="Times" w:hAnsi="Times" w:cs="Times New Roman"/>
          <w:sz w:val="23"/>
          <w:szCs w:val="23"/>
        </w:rPr>
        <w:t>,</w:t>
      </w:r>
      <w:r w:rsidRPr="00F853DD">
        <w:rPr>
          <w:rFonts w:ascii="Times" w:hAnsi="Times" w:cs="Times New Roman"/>
          <w:sz w:val="23"/>
          <w:szCs w:val="23"/>
        </w:rPr>
        <w:t xml:space="preserve"> (2010). Job str</w:t>
      </w:r>
      <w:r w:rsidR="00651EE4" w:rsidRPr="00F853DD">
        <w:rPr>
          <w:rFonts w:ascii="Times" w:hAnsi="Times" w:cs="Times New Roman"/>
          <w:sz w:val="23"/>
          <w:szCs w:val="23"/>
        </w:rPr>
        <w:t>ess and job satisfaction: Home care w</w:t>
      </w:r>
      <w:r w:rsidRPr="00F853DD">
        <w:rPr>
          <w:rFonts w:ascii="Times" w:hAnsi="Times" w:cs="Times New Roman"/>
          <w:sz w:val="23"/>
          <w:szCs w:val="23"/>
        </w:rPr>
        <w:t>orkers in a consumer</w:t>
      </w:r>
      <w:r w:rsidRPr="00F853DD">
        <w:rPr>
          <w:rFonts w:ascii="Cambria Math" w:hAnsi="Cambria Math" w:cs="Cambria Math"/>
          <w:sz w:val="23"/>
          <w:szCs w:val="23"/>
        </w:rPr>
        <w:t>‐</w:t>
      </w:r>
      <w:r w:rsidRPr="00F853DD">
        <w:rPr>
          <w:rFonts w:ascii="Times" w:hAnsi="Times" w:cs="Times New Roman"/>
          <w:sz w:val="23"/>
          <w:szCs w:val="23"/>
        </w:rPr>
        <w:t xml:space="preserve">directed model of care. </w:t>
      </w:r>
      <w:r w:rsidRPr="00F853DD">
        <w:rPr>
          <w:rFonts w:ascii="Times" w:hAnsi="Times" w:cs="Times New Roman"/>
          <w:i/>
          <w:sz w:val="23"/>
          <w:szCs w:val="23"/>
        </w:rPr>
        <w:t>Health services research</w:t>
      </w:r>
      <w:r w:rsidR="007366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45</w:t>
      </w:r>
      <w:r w:rsidRPr="00F853DD">
        <w:rPr>
          <w:rFonts w:ascii="Times" w:hAnsi="Times" w:cs="Times New Roman"/>
          <w:sz w:val="23"/>
          <w:szCs w:val="23"/>
        </w:rPr>
        <w:t>(4), 922-940.</w:t>
      </w:r>
    </w:p>
    <w:p w14:paraId="1EE0FED9" w14:textId="4B139AF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 São Jose, J., Barros, R., Samitca, S. and Teixeira, A.</w:t>
      </w:r>
      <w:r w:rsidR="004A5806" w:rsidRPr="00F853DD">
        <w:rPr>
          <w:rFonts w:ascii="Times" w:hAnsi="Times" w:cs="Times New Roman"/>
          <w:sz w:val="23"/>
          <w:szCs w:val="23"/>
        </w:rPr>
        <w:t>,</w:t>
      </w:r>
      <w:r w:rsidRPr="00F853DD">
        <w:rPr>
          <w:rFonts w:ascii="Times" w:hAnsi="Times" w:cs="Times New Roman"/>
          <w:sz w:val="23"/>
          <w:szCs w:val="23"/>
        </w:rPr>
        <w:t xml:space="preserve"> (2016). Older persons' experiences and perspectives of receiving social care: a systematic review of the qualitative literature. </w:t>
      </w:r>
      <w:r w:rsidRPr="00F853DD">
        <w:rPr>
          <w:rFonts w:ascii="Times" w:hAnsi="Times" w:cs="Times New Roman"/>
          <w:i/>
          <w:sz w:val="23"/>
          <w:szCs w:val="23"/>
        </w:rPr>
        <w:t>Health and Social Care in the Community</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0071006B" w:rsidRPr="00F853DD">
        <w:rPr>
          <w:rFonts w:ascii="Times" w:hAnsi="Times" w:cs="Times New Roman"/>
          <w:sz w:val="23"/>
          <w:szCs w:val="23"/>
        </w:rPr>
        <w:t>(1)</w:t>
      </w:r>
      <w:r w:rsidRPr="00F853DD">
        <w:rPr>
          <w:rFonts w:ascii="Times" w:hAnsi="Times" w:cs="Times New Roman"/>
          <w:sz w:val="23"/>
          <w:szCs w:val="23"/>
        </w:rPr>
        <w:t>, 1-11.</w:t>
      </w:r>
    </w:p>
    <w:p w14:paraId="389D7A90" w14:textId="4406F4C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 São Jose, J.</w:t>
      </w:r>
      <w:r w:rsidR="004A5806" w:rsidRPr="00F853DD">
        <w:rPr>
          <w:rFonts w:ascii="Times" w:hAnsi="Times" w:cs="Times New Roman"/>
          <w:sz w:val="23"/>
          <w:szCs w:val="23"/>
        </w:rPr>
        <w:t>,</w:t>
      </w:r>
      <w:r w:rsidRPr="00F853DD">
        <w:rPr>
          <w:rFonts w:ascii="Times" w:hAnsi="Times" w:cs="Times New Roman"/>
          <w:sz w:val="23"/>
          <w:szCs w:val="23"/>
        </w:rPr>
        <w:t xml:space="preserve"> (2016). What are we talking about when we talk about care? A conceptual review of the literature [online]. </w:t>
      </w:r>
      <w:r w:rsidRPr="00F853DD">
        <w:rPr>
          <w:rFonts w:ascii="Times" w:hAnsi="Times" w:cs="Times New Roman"/>
          <w:i/>
          <w:sz w:val="23"/>
          <w:szCs w:val="23"/>
        </w:rPr>
        <w:t>Sociologia, Problemas e Pr</w:t>
      </w:r>
      <w:r w:rsidRPr="00F853DD">
        <w:rPr>
          <w:i/>
          <w:sz w:val="23"/>
          <w:szCs w:val="23"/>
          <w:lang w:val="es-SV"/>
        </w:rPr>
        <w:sym w:font="Bookshelf Symbol 7" w:char="F043"/>
      </w:r>
      <w:r w:rsidRPr="00F853DD">
        <w:rPr>
          <w:rFonts w:ascii="Times" w:hAnsi="Times" w:cs="Times New Roman"/>
          <w:i/>
          <w:sz w:val="23"/>
          <w:szCs w:val="23"/>
        </w:rPr>
        <w:t>cticas</w:t>
      </w:r>
      <w:r w:rsidRPr="00F853DD">
        <w:rPr>
          <w:rFonts w:ascii="Times" w:hAnsi="Times" w:cs="Times New Roman"/>
          <w:sz w:val="23"/>
          <w:szCs w:val="23"/>
        </w:rPr>
        <w:t>.</w:t>
      </w:r>
    </w:p>
    <w:p w14:paraId="0C73B4D7" w14:textId="28DE6FE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 Tavernier, W</w:t>
      </w:r>
      <w:r w:rsidR="00B14A2A" w:rsidRPr="00F853DD">
        <w:rPr>
          <w:rFonts w:ascii="Times" w:hAnsi="Times" w:cs="Times New Roman"/>
          <w:sz w:val="23"/>
          <w:szCs w:val="23"/>
        </w:rPr>
        <w:t>., Peeters, H. And Wouter, D.</w:t>
      </w:r>
      <w:r w:rsidR="004A5806" w:rsidRPr="00F853DD">
        <w:rPr>
          <w:rFonts w:ascii="Times" w:hAnsi="Times" w:cs="Times New Roman"/>
          <w:sz w:val="23"/>
          <w:szCs w:val="23"/>
        </w:rPr>
        <w:t>,</w:t>
      </w:r>
      <w:r w:rsidRPr="00F853DD">
        <w:rPr>
          <w:rFonts w:ascii="Times" w:hAnsi="Times" w:cs="Times New Roman"/>
          <w:sz w:val="23"/>
          <w:szCs w:val="23"/>
        </w:rPr>
        <w:t xml:space="preserve"> (2015). Life courses, pensions and poverty among elderly women in Belgium: interactions between family history, work history and pension regulations. </w:t>
      </w:r>
      <w:r w:rsidRPr="00F853DD">
        <w:rPr>
          <w:rFonts w:ascii="Times" w:hAnsi="Times" w:cs="Times New Roman"/>
          <w:i/>
          <w:sz w:val="23"/>
          <w:szCs w:val="23"/>
        </w:rPr>
        <w:t>Ageing and Society</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35</w:t>
      </w:r>
      <w:r w:rsidR="0071006B" w:rsidRPr="00F853DD">
        <w:rPr>
          <w:rFonts w:ascii="Times" w:hAnsi="Times" w:cs="Times New Roman"/>
          <w:sz w:val="23"/>
          <w:szCs w:val="23"/>
        </w:rPr>
        <w:t>(6)</w:t>
      </w:r>
      <w:r w:rsidRPr="00F853DD">
        <w:rPr>
          <w:rFonts w:ascii="Times" w:hAnsi="Times" w:cs="Times New Roman"/>
          <w:sz w:val="23"/>
          <w:szCs w:val="23"/>
        </w:rPr>
        <w:t>, 1171-1199.</w:t>
      </w:r>
    </w:p>
    <w:p w14:paraId="4DED5D5E" w14:textId="55C571DC"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 Valk, H.</w:t>
      </w:r>
      <w:r w:rsidR="00DF05BD" w:rsidRPr="00F853DD">
        <w:rPr>
          <w:rFonts w:ascii="Times" w:hAnsi="Times" w:cs="Times New Roman"/>
          <w:sz w:val="23"/>
          <w:szCs w:val="23"/>
        </w:rPr>
        <w:t xml:space="preserve"> and Schans, D.</w:t>
      </w:r>
      <w:r w:rsidR="004A5806" w:rsidRPr="00F853DD">
        <w:rPr>
          <w:rFonts w:ascii="Times" w:hAnsi="Times" w:cs="Times New Roman"/>
          <w:sz w:val="23"/>
          <w:szCs w:val="23"/>
        </w:rPr>
        <w:t>,</w:t>
      </w:r>
      <w:r w:rsidR="00DF05BD" w:rsidRPr="00F853DD">
        <w:rPr>
          <w:rFonts w:ascii="Times" w:hAnsi="Times" w:cs="Times New Roman"/>
          <w:sz w:val="23"/>
          <w:szCs w:val="23"/>
        </w:rPr>
        <w:t xml:space="preserve"> (2008). 'They ought to do this for their parents': perceptions of filial obligations among immigrant and Dutch older people. </w:t>
      </w:r>
      <w:r w:rsidR="00DF05BD" w:rsidRPr="00F853DD">
        <w:rPr>
          <w:rFonts w:ascii="Times" w:hAnsi="Times" w:cs="Times New Roman"/>
          <w:i/>
          <w:sz w:val="23"/>
          <w:szCs w:val="23"/>
        </w:rPr>
        <w:t>Ageing and Society</w:t>
      </w:r>
      <w:r w:rsidR="00651EE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D05BA0" w:rsidRPr="00F853DD">
        <w:rPr>
          <w:rFonts w:ascii="Times" w:hAnsi="Times" w:cs="Times New Roman"/>
          <w:sz w:val="23"/>
          <w:szCs w:val="23"/>
        </w:rPr>
        <w:t>(1)</w:t>
      </w:r>
      <w:r w:rsidR="00DF05BD" w:rsidRPr="00F853DD">
        <w:rPr>
          <w:rFonts w:ascii="Times" w:hAnsi="Times" w:cs="Times New Roman"/>
          <w:sz w:val="23"/>
          <w:szCs w:val="23"/>
        </w:rPr>
        <w:t>, 49-66.</w:t>
      </w:r>
    </w:p>
    <w:p w14:paraId="2623C102" w14:textId="1F873C3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 Wulf, M.</w:t>
      </w:r>
      <w:r w:rsidR="004A5806"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Population Pyramids of the World: from 1930 to 2100</w:t>
      </w:r>
      <w:r w:rsidRPr="00F853DD">
        <w:rPr>
          <w:rFonts w:ascii="Times" w:hAnsi="Times" w:cs="Times New Roman"/>
          <w:sz w:val="23"/>
          <w:szCs w:val="23"/>
        </w:rPr>
        <w:t xml:space="preserve"> [online]. Available from: https://www.populationpyramid.net/trinidad-and-tobago/2018/. </w:t>
      </w:r>
    </w:p>
    <w:p w14:paraId="44B025BF" w14:textId="249030B7" w:rsidR="00DF05BD" w:rsidRPr="00F853DD" w:rsidRDefault="00B14A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Deeken, J., Taylor, K., Mangan, P., Yabroff, K. and Ingham, J.</w:t>
      </w:r>
      <w:r w:rsidR="004A5806" w:rsidRPr="00F853DD">
        <w:rPr>
          <w:rFonts w:ascii="Times" w:hAnsi="Times" w:cs="Times New Roman"/>
          <w:sz w:val="23"/>
          <w:szCs w:val="23"/>
        </w:rPr>
        <w:t>,</w:t>
      </w:r>
      <w:r w:rsidR="00DF05BD" w:rsidRPr="00F853DD">
        <w:rPr>
          <w:rFonts w:ascii="Times" w:hAnsi="Times" w:cs="Times New Roman"/>
          <w:sz w:val="23"/>
          <w:szCs w:val="23"/>
        </w:rPr>
        <w:t xml:space="preserve"> (2</w:t>
      </w:r>
      <w:r w:rsidR="00651EE4" w:rsidRPr="00F853DD">
        <w:rPr>
          <w:rFonts w:ascii="Times" w:hAnsi="Times" w:cs="Times New Roman"/>
          <w:sz w:val="23"/>
          <w:szCs w:val="23"/>
        </w:rPr>
        <w:t>003). Care for the caregivers: a</w:t>
      </w:r>
      <w:r w:rsidR="00DF05BD" w:rsidRPr="00F853DD">
        <w:rPr>
          <w:rFonts w:ascii="Times" w:hAnsi="Times" w:cs="Times New Roman"/>
          <w:sz w:val="23"/>
          <w:szCs w:val="23"/>
        </w:rPr>
        <w:t xml:space="preserve"> review of self-report instruments developed to measure the burden, needs, and quality of life of informal caregivers. </w:t>
      </w:r>
      <w:r w:rsidR="00DF05BD" w:rsidRPr="00F853DD">
        <w:rPr>
          <w:rFonts w:ascii="Times" w:hAnsi="Times" w:cs="Times New Roman"/>
          <w:i/>
          <w:sz w:val="23"/>
          <w:szCs w:val="23"/>
        </w:rPr>
        <w:t>Journal of Pain and Symptom Management</w:t>
      </w:r>
      <w:r w:rsidR="00651EE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26</w:t>
      </w:r>
      <w:r w:rsidR="00D05BA0" w:rsidRPr="00F853DD">
        <w:rPr>
          <w:rFonts w:ascii="Times" w:hAnsi="Times" w:cs="Times New Roman"/>
          <w:sz w:val="23"/>
          <w:szCs w:val="23"/>
        </w:rPr>
        <w:t>(4)</w:t>
      </w:r>
      <w:r w:rsidR="00DF05BD" w:rsidRPr="00F853DD">
        <w:rPr>
          <w:rFonts w:ascii="Times" w:hAnsi="Times" w:cs="Times New Roman"/>
          <w:sz w:val="23"/>
          <w:szCs w:val="23"/>
        </w:rPr>
        <w:t>, 922-953.</w:t>
      </w:r>
    </w:p>
    <w:p w14:paraId="34A4D6D2" w14:textId="1DAD22E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Degiuli, F.</w:t>
      </w:r>
      <w:r w:rsidR="004A5806"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Caring for a living: migrant women, aging citizens, and Italian families</w:t>
      </w:r>
      <w:r w:rsidR="00651EE4" w:rsidRPr="00F853DD">
        <w:rPr>
          <w:rFonts w:ascii="Times" w:hAnsi="Times" w:cs="Times New Roman"/>
          <w:sz w:val="23"/>
          <w:szCs w:val="23"/>
        </w:rPr>
        <w:t>. New York</w:t>
      </w:r>
      <w:r w:rsidRPr="00F853DD">
        <w:rPr>
          <w:rFonts w:ascii="Times" w:hAnsi="Times" w:cs="Times New Roman"/>
          <w:sz w:val="23"/>
          <w:szCs w:val="23"/>
        </w:rPr>
        <w:t>: Oxford University Press.</w:t>
      </w:r>
    </w:p>
    <w:p w14:paraId="32D2063D" w14:textId="3F43DCC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Deindl, C. and Brandt, M.</w:t>
      </w:r>
      <w:r w:rsidR="004A5806" w:rsidRPr="00F853DD">
        <w:rPr>
          <w:rFonts w:ascii="Times" w:hAnsi="Times" w:cs="Times New Roman"/>
          <w:sz w:val="23"/>
          <w:szCs w:val="23"/>
        </w:rPr>
        <w:t>,</w:t>
      </w:r>
      <w:r w:rsidRPr="00F853DD">
        <w:rPr>
          <w:rFonts w:ascii="Times" w:hAnsi="Times" w:cs="Times New Roman"/>
          <w:sz w:val="23"/>
          <w:szCs w:val="23"/>
        </w:rPr>
        <w:t xml:space="preserve"> (2017). Support networks of childless older people: informal and formal support in Europe. </w:t>
      </w:r>
      <w:r w:rsidRPr="00F853DD">
        <w:rPr>
          <w:rFonts w:ascii="Times" w:hAnsi="Times" w:cs="Times New Roman"/>
          <w:i/>
          <w:sz w:val="23"/>
          <w:szCs w:val="23"/>
        </w:rPr>
        <w:t>Ageing and Society</w:t>
      </w:r>
      <w:r w:rsidR="00651EE4"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w:t>
      </w:r>
      <w:r w:rsidR="00D05BA0" w:rsidRPr="00F853DD">
        <w:rPr>
          <w:rFonts w:ascii="Times" w:hAnsi="Times" w:cs="Times New Roman"/>
          <w:sz w:val="23"/>
          <w:szCs w:val="23"/>
        </w:rPr>
        <w:t>(8)</w:t>
      </w:r>
      <w:r w:rsidRPr="00F853DD">
        <w:rPr>
          <w:rFonts w:ascii="Times" w:hAnsi="Times" w:cs="Times New Roman"/>
          <w:sz w:val="23"/>
          <w:szCs w:val="23"/>
        </w:rPr>
        <w:t>, 1543-1567.</w:t>
      </w:r>
    </w:p>
    <w:p w14:paraId="3E4624BB" w14:textId="745E3BFB"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Dellmann</w:t>
      </w:r>
      <w:r w:rsidRPr="00F853DD">
        <w:rPr>
          <w:rFonts w:ascii="Cambria Math" w:hAnsi="Cambria Math" w:cs="Cambria Math"/>
          <w:sz w:val="23"/>
          <w:szCs w:val="23"/>
        </w:rPr>
        <w:t>‐</w:t>
      </w:r>
      <w:r w:rsidRPr="00F853DD">
        <w:rPr>
          <w:rFonts w:ascii="Times" w:hAnsi="Times" w:cs="Times New Roman"/>
          <w:sz w:val="23"/>
          <w:szCs w:val="23"/>
        </w:rPr>
        <w:t>Jenkins, M., Blankemeyer, M. and Pinkard, O., (2000). Young adult children and grandchildren in primary caregiver roles to older relatives and their service needs. </w:t>
      </w:r>
      <w:r w:rsidRPr="00F853DD">
        <w:rPr>
          <w:rFonts w:ascii="Times" w:hAnsi="Times" w:cs="Times New Roman"/>
          <w:i/>
          <w:sz w:val="23"/>
          <w:szCs w:val="23"/>
          <w:lang w:val="en-TT"/>
        </w:rPr>
        <w:t>Family Relations</w:t>
      </w:r>
      <w:r w:rsidR="00651EE4" w:rsidRPr="00F853DD">
        <w:rPr>
          <w:rFonts w:ascii="Times" w:hAnsi="Times" w:cs="Times New Roman"/>
          <w:i/>
          <w:sz w:val="23"/>
          <w:szCs w:val="23"/>
          <w:lang w:val="en-TT"/>
        </w:rPr>
        <w:t>.</w:t>
      </w:r>
      <w:r w:rsidRPr="00F853DD">
        <w:rPr>
          <w:rFonts w:ascii="Times" w:hAnsi="Times" w:cs="Times New Roman"/>
          <w:sz w:val="23"/>
          <w:szCs w:val="23"/>
          <w:lang w:val="en-TT"/>
        </w:rPr>
        <w:t> </w:t>
      </w:r>
      <w:r w:rsidRPr="00F853DD">
        <w:rPr>
          <w:rFonts w:ascii="Times" w:hAnsi="Times" w:cs="Times New Roman"/>
          <w:b/>
          <w:sz w:val="23"/>
          <w:szCs w:val="23"/>
          <w:lang w:val="en-TT"/>
        </w:rPr>
        <w:t>49</w:t>
      </w:r>
      <w:r w:rsidRPr="00F853DD">
        <w:rPr>
          <w:rFonts w:ascii="Times" w:hAnsi="Times" w:cs="Times New Roman"/>
          <w:sz w:val="23"/>
          <w:szCs w:val="23"/>
          <w:lang w:val="en-TT"/>
        </w:rPr>
        <w:t>(2), 177-186.</w:t>
      </w:r>
    </w:p>
    <w:p w14:paraId="23FBFA38" w14:textId="7DEAF39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 xml:space="preserve">Del-Pino-Casado, R., Frias-Osuna, A. and Palomino-Moral, </w:t>
      </w:r>
      <w:r w:rsidR="00651EE4" w:rsidRPr="00F853DD">
        <w:rPr>
          <w:rFonts w:ascii="Times" w:hAnsi="Times" w:cs="Times New Roman"/>
          <w:sz w:val="23"/>
          <w:szCs w:val="23"/>
          <w:lang w:val="en-TT"/>
        </w:rPr>
        <w:t>P.</w:t>
      </w:r>
      <w:r w:rsidR="004A5806" w:rsidRPr="00F853DD">
        <w:rPr>
          <w:rFonts w:ascii="Times" w:hAnsi="Times" w:cs="Times New Roman"/>
          <w:sz w:val="23"/>
          <w:szCs w:val="23"/>
          <w:lang w:val="en-TT"/>
        </w:rPr>
        <w:t>,</w:t>
      </w:r>
      <w:r w:rsidRPr="00F853DD">
        <w:rPr>
          <w:rFonts w:ascii="Times" w:hAnsi="Times" w:cs="Times New Roman"/>
          <w:sz w:val="23"/>
          <w:szCs w:val="23"/>
          <w:lang w:val="en-TT"/>
        </w:rPr>
        <w:t xml:space="preserve"> (2011). </w:t>
      </w:r>
      <w:r w:rsidRPr="00F853DD">
        <w:rPr>
          <w:rFonts w:ascii="Times" w:hAnsi="Times" w:cs="Times New Roman"/>
          <w:sz w:val="23"/>
          <w:szCs w:val="23"/>
        </w:rPr>
        <w:t xml:space="preserve">Subjective burden and cultural motives for caregiving in informal caregivers of older people. </w:t>
      </w:r>
      <w:r w:rsidRPr="00F853DD">
        <w:rPr>
          <w:rFonts w:ascii="Times" w:hAnsi="Times" w:cs="Times New Roman"/>
          <w:i/>
          <w:sz w:val="23"/>
          <w:szCs w:val="23"/>
        </w:rPr>
        <w:t>Journal of Nursing Scholarship</w:t>
      </w:r>
      <w:r w:rsidR="00651EE4"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43</w:t>
      </w:r>
      <w:r w:rsidR="00D05BA0" w:rsidRPr="00F853DD">
        <w:rPr>
          <w:rFonts w:ascii="Times" w:hAnsi="Times" w:cs="Times New Roman"/>
          <w:sz w:val="23"/>
          <w:szCs w:val="23"/>
        </w:rPr>
        <w:t>(3)</w:t>
      </w:r>
      <w:r w:rsidRPr="00F853DD">
        <w:rPr>
          <w:rFonts w:ascii="Times" w:hAnsi="Times" w:cs="Times New Roman"/>
          <w:sz w:val="23"/>
          <w:szCs w:val="23"/>
        </w:rPr>
        <w:t>, 282-291.</w:t>
      </w:r>
    </w:p>
    <w:p w14:paraId="14BAF97C" w14:textId="6416FE7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Del-Pino-Casado, R., Frias-</w:t>
      </w:r>
      <w:r w:rsidR="00B14A2A" w:rsidRPr="00F853DD">
        <w:rPr>
          <w:rFonts w:ascii="Times" w:hAnsi="Times" w:cs="Times New Roman"/>
          <w:sz w:val="23"/>
          <w:szCs w:val="23"/>
        </w:rPr>
        <w:t>Osuna, A., Palomino-Moral, P. and Pancorbo-Hidalgo, P.</w:t>
      </w:r>
      <w:r w:rsidR="004A5806" w:rsidRPr="00F853DD">
        <w:rPr>
          <w:rFonts w:ascii="Times" w:hAnsi="Times" w:cs="Times New Roman"/>
          <w:sz w:val="23"/>
          <w:szCs w:val="23"/>
        </w:rPr>
        <w:t>,</w:t>
      </w:r>
      <w:r w:rsidRPr="00F853DD">
        <w:rPr>
          <w:rFonts w:ascii="Times" w:hAnsi="Times" w:cs="Times New Roman"/>
          <w:sz w:val="23"/>
          <w:szCs w:val="23"/>
        </w:rPr>
        <w:t xml:space="preserve"> (2011). Coping and subjective burden in caregivers of older relatives: a quantitative systematic review. </w:t>
      </w:r>
      <w:r w:rsidRPr="00F853DD">
        <w:rPr>
          <w:rFonts w:ascii="Times" w:hAnsi="Times" w:cs="Times New Roman"/>
          <w:i/>
          <w:sz w:val="23"/>
          <w:szCs w:val="23"/>
        </w:rPr>
        <w:t>Journal of advanced nursing</w:t>
      </w:r>
      <w:r w:rsidR="00651EE4"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67</w:t>
      </w:r>
      <w:r w:rsidR="00D05BA0" w:rsidRPr="00F853DD">
        <w:rPr>
          <w:rFonts w:ascii="Times" w:hAnsi="Times" w:cs="Times New Roman"/>
          <w:sz w:val="23"/>
          <w:szCs w:val="23"/>
        </w:rPr>
        <w:t>(11)</w:t>
      </w:r>
      <w:r w:rsidRPr="00F853DD">
        <w:rPr>
          <w:rFonts w:ascii="Times" w:hAnsi="Times" w:cs="Times New Roman"/>
          <w:sz w:val="23"/>
          <w:szCs w:val="23"/>
        </w:rPr>
        <w:t>, 2311-2322.</w:t>
      </w:r>
    </w:p>
    <w:p w14:paraId="6401B3EE" w14:textId="48BAFB9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Del-Pin</w:t>
      </w:r>
      <w:r w:rsidR="00B14A2A" w:rsidRPr="00F853DD">
        <w:rPr>
          <w:rFonts w:ascii="Times" w:hAnsi="Times" w:cs="Times New Roman"/>
          <w:sz w:val="23"/>
          <w:szCs w:val="23"/>
        </w:rPr>
        <w:t>o-Casado, R., Millan-Cobo, M., Palomino-Moral, P.</w:t>
      </w:r>
      <w:r w:rsidRPr="00F853DD">
        <w:rPr>
          <w:rFonts w:ascii="Times" w:hAnsi="Times" w:cs="Times New Roman"/>
          <w:sz w:val="23"/>
          <w:szCs w:val="23"/>
        </w:rPr>
        <w:t xml:space="preserve"> and Frias-Osuna, A.</w:t>
      </w:r>
      <w:r w:rsidR="004A5806" w:rsidRPr="00F853DD">
        <w:rPr>
          <w:rFonts w:ascii="Times" w:hAnsi="Times" w:cs="Times New Roman"/>
          <w:sz w:val="23"/>
          <w:szCs w:val="23"/>
        </w:rPr>
        <w:t>,</w:t>
      </w:r>
      <w:r w:rsidRPr="00F853DD">
        <w:rPr>
          <w:rFonts w:ascii="Times" w:hAnsi="Times" w:cs="Times New Roman"/>
          <w:sz w:val="23"/>
          <w:szCs w:val="23"/>
        </w:rPr>
        <w:t xml:space="preserve"> (2014). </w:t>
      </w:r>
      <w:r w:rsidR="00651EE4" w:rsidRPr="00F853DD">
        <w:rPr>
          <w:rFonts w:ascii="Times" w:hAnsi="Times" w:cs="Times New Roman"/>
          <w:sz w:val="23"/>
          <w:szCs w:val="23"/>
        </w:rPr>
        <w:t>Cultural correlates of burden in p</w:t>
      </w:r>
      <w:r w:rsidRPr="00F853DD">
        <w:rPr>
          <w:rFonts w:ascii="Times" w:hAnsi="Times" w:cs="Times New Roman"/>
          <w:sz w:val="23"/>
          <w:szCs w:val="23"/>
        </w:rPr>
        <w:t>rimary</w:t>
      </w:r>
      <w:r w:rsidR="00651EE4" w:rsidRPr="00F853DD">
        <w:rPr>
          <w:rFonts w:ascii="Times" w:hAnsi="Times" w:cs="Times New Roman"/>
          <w:sz w:val="23"/>
          <w:szCs w:val="23"/>
        </w:rPr>
        <w:t xml:space="preserve"> c</w:t>
      </w:r>
      <w:r w:rsidRPr="00F853DD">
        <w:rPr>
          <w:rFonts w:ascii="Times" w:hAnsi="Times" w:cs="Times New Roman"/>
          <w:sz w:val="23"/>
          <w:szCs w:val="23"/>
        </w:rPr>
        <w:t>a</w:t>
      </w:r>
      <w:r w:rsidR="00651EE4" w:rsidRPr="00F853DD">
        <w:rPr>
          <w:rFonts w:ascii="Times" w:hAnsi="Times" w:cs="Times New Roman"/>
          <w:sz w:val="23"/>
          <w:szCs w:val="23"/>
        </w:rPr>
        <w:t>regivers of older relatives: a cross-sectional s</w:t>
      </w:r>
      <w:r w:rsidRPr="00F853DD">
        <w:rPr>
          <w:rFonts w:ascii="Times" w:hAnsi="Times" w:cs="Times New Roman"/>
          <w:sz w:val="23"/>
          <w:szCs w:val="23"/>
        </w:rPr>
        <w:t xml:space="preserve">tudy. </w:t>
      </w:r>
      <w:r w:rsidRPr="00F853DD">
        <w:rPr>
          <w:rFonts w:ascii="Times" w:hAnsi="Times" w:cs="Times New Roman"/>
          <w:i/>
          <w:sz w:val="23"/>
          <w:szCs w:val="23"/>
        </w:rPr>
        <w:t>Journal of Nursing Scholarship</w:t>
      </w:r>
      <w:r w:rsidRPr="00F853DD">
        <w:rPr>
          <w:rFonts w:ascii="Times" w:hAnsi="Times" w:cs="Times New Roman"/>
          <w:sz w:val="23"/>
          <w:szCs w:val="23"/>
        </w:rPr>
        <w:t xml:space="preserve">, </w:t>
      </w:r>
      <w:r w:rsidRPr="00F853DD">
        <w:rPr>
          <w:rFonts w:ascii="Times" w:hAnsi="Times" w:cs="Times New Roman"/>
          <w:b/>
          <w:sz w:val="23"/>
          <w:szCs w:val="23"/>
        </w:rPr>
        <w:t>46</w:t>
      </w:r>
      <w:r w:rsidR="00D05BA0" w:rsidRPr="00F853DD">
        <w:rPr>
          <w:rFonts w:ascii="Times" w:hAnsi="Times" w:cs="Times New Roman"/>
          <w:sz w:val="23"/>
          <w:szCs w:val="23"/>
        </w:rPr>
        <w:t>(3)</w:t>
      </w:r>
      <w:r w:rsidRPr="00F853DD">
        <w:rPr>
          <w:rFonts w:ascii="Times" w:hAnsi="Times" w:cs="Times New Roman"/>
          <w:sz w:val="23"/>
          <w:szCs w:val="23"/>
        </w:rPr>
        <w:t>, 176-186.</w:t>
      </w:r>
    </w:p>
    <w:p w14:paraId="30609FE8" w14:textId="3F25924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Deliema, M., Navarro, A., Enguidanos, S. and Wilber, K.</w:t>
      </w:r>
      <w:r w:rsidR="004A5806" w:rsidRPr="00F853DD">
        <w:rPr>
          <w:rFonts w:ascii="Times" w:hAnsi="Times" w:cs="Times New Roman"/>
          <w:sz w:val="23"/>
          <w:szCs w:val="23"/>
        </w:rPr>
        <w:t>,</w:t>
      </w:r>
      <w:r w:rsidRPr="00F853DD">
        <w:rPr>
          <w:rFonts w:ascii="Times" w:hAnsi="Times" w:cs="Times New Roman"/>
          <w:sz w:val="23"/>
          <w:szCs w:val="23"/>
        </w:rPr>
        <w:t xml:space="preserve"> (2015). Voices from the frontlines: examining elder abuse from multiple professional perspectives. </w:t>
      </w:r>
      <w:r w:rsidRPr="00F853DD">
        <w:rPr>
          <w:rFonts w:ascii="Times" w:hAnsi="Times" w:cs="Times New Roman"/>
          <w:i/>
          <w:sz w:val="23"/>
          <w:szCs w:val="23"/>
        </w:rPr>
        <w:t>Health and Social Work</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40</w:t>
      </w:r>
      <w:r w:rsidR="00D05BA0" w:rsidRPr="00F853DD">
        <w:rPr>
          <w:rFonts w:ascii="Times" w:hAnsi="Times" w:cs="Times New Roman"/>
          <w:sz w:val="23"/>
          <w:szCs w:val="23"/>
        </w:rPr>
        <w:t>(2)</w:t>
      </w:r>
      <w:r w:rsidRPr="00F853DD">
        <w:rPr>
          <w:rFonts w:ascii="Times" w:hAnsi="Times" w:cs="Times New Roman"/>
          <w:sz w:val="23"/>
          <w:szCs w:val="23"/>
        </w:rPr>
        <w:t>, E15-E24.</w:t>
      </w:r>
    </w:p>
    <w:p w14:paraId="05E35715" w14:textId="2FF9CD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Demakakos, P., Netuveli, G., Cable, N. and Blane, D.</w:t>
      </w:r>
      <w:r w:rsidR="004A5806" w:rsidRPr="00F853DD">
        <w:rPr>
          <w:rFonts w:ascii="Times" w:hAnsi="Times" w:cs="Times New Roman"/>
          <w:sz w:val="23"/>
          <w:szCs w:val="23"/>
        </w:rPr>
        <w:t>,</w:t>
      </w:r>
      <w:r w:rsidRPr="00F853DD">
        <w:rPr>
          <w:rFonts w:ascii="Times" w:hAnsi="Times" w:cs="Times New Roman"/>
          <w:sz w:val="23"/>
          <w:szCs w:val="23"/>
        </w:rPr>
        <w:t xml:space="preserve"> (2008). Resilience in older age: a depression-related approach. In: Banks, J., Breeze, E., Lessof, C. and Nazroo, J. (eds.) Living in the 21st century: older people in England. </w:t>
      </w:r>
      <w:r w:rsidRPr="00F853DD">
        <w:rPr>
          <w:rFonts w:ascii="Times" w:hAnsi="Times" w:cs="Times New Roman"/>
          <w:i/>
          <w:sz w:val="23"/>
          <w:szCs w:val="23"/>
        </w:rPr>
        <w:t>The 2006 Longitudinal Study of Ageing</w:t>
      </w:r>
      <w:r w:rsidRPr="00F853DD">
        <w:rPr>
          <w:rFonts w:ascii="Times" w:hAnsi="Times" w:cs="Times New Roman"/>
          <w:sz w:val="23"/>
          <w:szCs w:val="23"/>
        </w:rPr>
        <w:t xml:space="preserve"> (Wave 3).</w:t>
      </w:r>
    </w:p>
    <w:p w14:paraId="7D908543" w14:textId="2885B799"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lastRenderedPageBreak/>
        <w:t>Denton, M.</w:t>
      </w:r>
      <w:r w:rsidR="004A5806" w:rsidRPr="00F853DD">
        <w:rPr>
          <w:rFonts w:ascii="Times" w:hAnsi="Times" w:cs="Times New Roman"/>
          <w:sz w:val="23"/>
          <w:szCs w:val="23"/>
        </w:rPr>
        <w:t>,</w:t>
      </w:r>
      <w:r w:rsidRPr="00F853DD">
        <w:rPr>
          <w:rFonts w:ascii="Times" w:hAnsi="Times" w:cs="Times New Roman"/>
          <w:sz w:val="23"/>
          <w:szCs w:val="23"/>
        </w:rPr>
        <w:t xml:space="preserve"> (1997). The linkages between informal and formal care of the elderly. </w:t>
      </w:r>
      <w:r w:rsidRPr="00F853DD">
        <w:rPr>
          <w:rFonts w:ascii="Times" w:hAnsi="Times" w:cs="Times New Roman"/>
          <w:i/>
          <w:sz w:val="23"/>
          <w:szCs w:val="23"/>
          <w:lang w:val="fr-FR"/>
        </w:rPr>
        <w:t>Canadian Journal on Aging-Revue Canadienne Du Vieillissement</w:t>
      </w:r>
      <w:r w:rsidR="00651EE4" w:rsidRPr="00F853DD">
        <w:rPr>
          <w:rFonts w:ascii="Times" w:hAnsi="Times" w:cs="Times New Roman"/>
          <w:sz w:val="23"/>
          <w:szCs w:val="23"/>
          <w:lang w:val="fr-FR"/>
        </w:rPr>
        <w:t>.</w:t>
      </w:r>
      <w:r w:rsidRPr="00F853DD">
        <w:rPr>
          <w:rFonts w:ascii="Times" w:hAnsi="Times" w:cs="Times New Roman"/>
          <w:sz w:val="23"/>
          <w:szCs w:val="23"/>
          <w:lang w:val="fr-FR"/>
        </w:rPr>
        <w:t xml:space="preserve"> </w:t>
      </w:r>
      <w:r w:rsidRPr="00F853DD">
        <w:rPr>
          <w:rFonts w:ascii="Times" w:hAnsi="Times" w:cs="Times New Roman"/>
          <w:b/>
          <w:sz w:val="23"/>
          <w:szCs w:val="23"/>
          <w:lang w:val="fr-FR"/>
        </w:rPr>
        <w:t>16</w:t>
      </w:r>
      <w:r w:rsidR="00FC39C0" w:rsidRPr="00F853DD">
        <w:rPr>
          <w:rFonts w:ascii="Times" w:hAnsi="Times" w:cs="Times New Roman"/>
          <w:sz w:val="23"/>
          <w:szCs w:val="23"/>
          <w:lang w:val="fr-FR"/>
        </w:rPr>
        <w:t>(1)</w:t>
      </w:r>
      <w:r w:rsidRPr="00F853DD">
        <w:rPr>
          <w:rFonts w:ascii="Times" w:hAnsi="Times" w:cs="Times New Roman"/>
          <w:sz w:val="23"/>
          <w:szCs w:val="23"/>
          <w:lang w:val="fr-FR"/>
        </w:rPr>
        <w:t>, 30-50.</w:t>
      </w:r>
    </w:p>
    <w:p w14:paraId="2C5543DE" w14:textId="2D77495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fr-FR"/>
        </w:rPr>
        <w:t>Desbiens, N. A., Mueller-Rizner, N., Virnig, B., Lynn, J. and Investigators, H.</w:t>
      </w:r>
      <w:r w:rsidR="004A5806" w:rsidRPr="00F853DD">
        <w:rPr>
          <w:rFonts w:ascii="Times" w:hAnsi="Times" w:cs="Times New Roman"/>
          <w:sz w:val="23"/>
          <w:szCs w:val="23"/>
          <w:lang w:val="fr-FR"/>
        </w:rPr>
        <w:t>,</w:t>
      </w:r>
      <w:r w:rsidRPr="00F853DD">
        <w:rPr>
          <w:rFonts w:ascii="Times" w:hAnsi="Times" w:cs="Times New Roman"/>
          <w:sz w:val="23"/>
          <w:szCs w:val="23"/>
          <w:lang w:val="fr-FR"/>
        </w:rPr>
        <w:t xml:space="preserve"> (2001). </w:t>
      </w:r>
      <w:r w:rsidRPr="00F853DD">
        <w:rPr>
          <w:rFonts w:ascii="Times" w:hAnsi="Times" w:cs="Times New Roman"/>
          <w:sz w:val="23"/>
          <w:szCs w:val="23"/>
        </w:rPr>
        <w:t xml:space="preserve">Stress in caregivers of hospitalized oldest-old patients. </w:t>
      </w:r>
      <w:r w:rsidRPr="00F853DD">
        <w:rPr>
          <w:rFonts w:ascii="Times" w:hAnsi="Times" w:cs="Times New Roman"/>
          <w:i/>
          <w:sz w:val="23"/>
          <w:szCs w:val="23"/>
        </w:rPr>
        <w:t>Journals of Gerontology Series a-Biological Sciences and Medical Sciences</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w:t>
      </w:r>
      <w:r w:rsidR="00FC39C0" w:rsidRPr="00F853DD">
        <w:rPr>
          <w:rFonts w:ascii="Times" w:hAnsi="Times" w:cs="Times New Roman"/>
          <w:sz w:val="23"/>
          <w:szCs w:val="23"/>
        </w:rPr>
        <w:t>(4)</w:t>
      </w:r>
      <w:r w:rsidRPr="00F853DD">
        <w:rPr>
          <w:rFonts w:ascii="Times" w:hAnsi="Times" w:cs="Times New Roman"/>
          <w:sz w:val="23"/>
          <w:szCs w:val="23"/>
        </w:rPr>
        <w:t>, M231-M235.</w:t>
      </w:r>
    </w:p>
    <w:p w14:paraId="5E195E1C" w14:textId="6A0B75D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Devine, F. and Heath, S.</w:t>
      </w:r>
      <w:r w:rsidR="004A5806" w:rsidRPr="00F853DD">
        <w:rPr>
          <w:rFonts w:ascii="Times" w:hAnsi="Times" w:cs="Times New Roman"/>
          <w:sz w:val="23"/>
          <w:szCs w:val="23"/>
        </w:rPr>
        <w:t>,</w:t>
      </w:r>
      <w:r w:rsidRPr="00F853DD">
        <w:rPr>
          <w:rFonts w:ascii="Times" w:hAnsi="Times" w:cs="Times New Roman"/>
          <w:sz w:val="23"/>
          <w:szCs w:val="23"/>
        </w:rPr>
        <w:t xml:space="preserve"> (1999). </w:t>
      </w:r>
      <w:r w:rsidRPr="00F853DD">
        <w:rPr>
          <w:rFonts w:ascii="Times" w:hAnsi="Times" w:cs="Times New Roman"/>
          <w:i/>
          <w:sz w:val="23"/>
          <w:szCs w:val="23"/>
        </w:rPr>
        <w:t>Sociological research methods in context</w:t>
      </w:r>
      <w:r w:rsidRPr="00F853DD">
        <w:rPr>
          <w:rFonts w:ascii="Times" w:hAnsi="Times" w:cs="Times New Roman"/>
          <w:sz w:val="23"/>
          <w:szCs w:val="23"/>
        </w:rPr>
        <w:t>. Basingstoke: Palgrave.</w:t>
      </w:r>
    </w:p>
    <w:p w14:paraId="0E3C366F" w14:textId="54B46E6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Dey, I.</w:t>
      </w:r>
      <w:r w:rsidR="004A5806" w:rsidRPr="00F853DD">
        <w:rPr>
          <w:rFonts w:ascii="Times" w:hAnsi="Times" w:cs="Times New Roman"/>
          <w:sz w:val="23"/>
          <w:szCs w:val="23"/>
        </w:rPr>
        <w:t>,</w:t>
      </w:r>
      <w:r w:rsidRPr="00F853DD">
        <w:rPr>
          <w:rFonts w:ascii="Times" w:hAnsi="Times" w:cs="Times New Roman"/>
          <w:sz w:val="23"/>
          <w:szCs w:val="23"/>
        </w:rPr>
        <w:t xml:space="preserve"> (2005). </w:t>
      </w:r>
      <w:r w:rsidRPr="00F853DD">
        <w:rPr>
          <w:rFonts w:ascii="Times" w:hAnsi="Times" w:cs="Times New Roman"/>
          <w:i/>
          <w:sz w:val="23"/>
          <w:szCs w:val="23"/>
        </w:rPr>
        <w:t>Qualitative data analysis: a user-friendly guide for social scientists</w:t>
      </w:r>
      <w:r w:rsidRPr="00F853DD">
        <w:rPr>
          <w:rFonts w:ascii="Times" w:hAnsi="Times" w:cs="Times New Roman"/>
          <w:sz w:val="23"/>
          <w:szCs w:val="23"/>
        </w:rPr>
        <w:t>. London: Routledge.</w:t>
      </w:r>
    </w:p>
    <w:p w14:paraId="37010722" w14:textId="28FB5EB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Di Fiore, D.</w:t>
      </w:r>
      <w:r w:rsidR="004A5806" w:rsidRPr="00F853DD">
        <w:rPr>
          <w:rFonts w:ascii="Times" w:hAnsi="Times" w:cs="Times New Roman"/>
          <w:sz w:val="23"/>
          <w:szCs w:val="23"/>
        </w:rPr>
        <w:t>,</w:t>
      </w:r>
      <w:r w:rsidRPr="00F853DD">
        <w:rPr>
          <w:rFonts w:ascii="Times" w:hAnsi="Times" w:cs="Times New Roman"/>
          <w:sz w:val="23"/>
          <w:szCs w:val="23"/>
        </w:rPr>
        <w:t xml:space="preserve"> (2007). Attachment, caregiving, and terminal illness in marital relationships: A qualitative study using attachment theory as a frame for the experience of the well-spouse. </w:t>
      </w:r>
      <w:r w:rsidRPr="00F853DD">
        <w:rPr>
          <w:rFonts w:ascii="Times" w:hAnsi="Times" w:cs="Times New Roman"/>
          <w:i/>
          <w:sz w:val="23"/>
          <w:szCs w:val="23"/>
        </w:rPr>
        <w:t>Doctor of Philosophy with a concentration in Clinical Psychology</w:t>
      </w:r>
      <w:r w:rsidRPr="00F853DD">
        <w:rPr>
          <w:rFonts w:ascii="Times" w:hAnsi="Times" w:cs="Times New Roman"/>
          <w:sz w:val="23"/>
          <w:szCs w:val="23"/>
        </w:rPr>
        <w:t>, Union Institute and University.</w:t>
      </w:r>
    </w:p>
    <w:p w14:paraId="3D7B6FC7" w14:textId="3F14E3F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Di Novi, C., Jacobs, R. and Migheli, M.</w:t>
      </w:r>
      <w:r w:rsidR="004A5806" w:rsidRPr="00F853DD">
        <w:rPr>
          <w:rFonts w:ascii="Times" w:hAnsi="Times" w:cs="Times New Roman"/>
          <w:sz w:val="23"/>
          <w:szCs w:val="23"/>
        </w:rPr>
        <w:t>,</w:t>
      </w:r>
      <w:r w:rsidRPr="00F853DD">
        <w:rPr>
          <w:rFonts w:ascii="Times" w:hAnsi="Times" w:cs="Times New Roman"/>
          <w:sz w:val="23"/>
          <w:szCs w:val="23"/>
        </w:rPr>
        <w:t xml:space="preserve"> (2015). The quality of life of female informal caregivers: from Scandinavia to the Mediterranean sea. </w:t>
      </w:r>
      <w:r w:rsidRPr="00F853DD">
        <w:rPr>
          <w:rFonts w:ascii="Times" w:hAnsi="Times" w:cs="Times New Roman"/>
          <w:i/>
          <w:sz w:val="23"/>
          <w:szCs w:val="23"/>
        </w:rPr>
        <w:t>European Journal of Population</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00FC39C0" w:rsidRPr="00F853DD">
        <w:rPr>
          <w:rFonts w:ascii="Times" w:hAnsi="Times" w:cs="Times New Roman"/>
          <w:sz w:val="23"/>
          <w:szCs w:val="23"/>
        </w:rPr>
        <w:t>(3)</w:t>
      </w:r>
      <w:r w:rsidRPr="00F853DD">
        <w:rPr>
          <w:rFonts w:ascii="Times" w:hAnsi="Times" w:cs="Times New Roman"/>
          <w:sz w:val="23"/>
          <w:szCs w:val="23"/>
        </w:rPr>
        <w:t>, 309-333.</w:t>
      </w:r>
    </w:p>
    <w:p w14:paraId="437C099F" w14:textId="02E195F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Dill, J., Ericks</w:t>
      </w:r>
      <w:r w:rsidR="005B61F4" w:rsidRPr="00F853DD">
        <w:rPr>
          <w:rFonts w:ascii="Times" w:hAnsi="Times" w:cs="Times New Roman"/>
          <w:sz w:val="23"/>
          <w:szCs w:val="23"/>
        </w:rPr>
        <w:t>on, R. and Diefendorff, J.</w:t>
      </w:r>
      <w:r w:rsidR="004A5806" w:rsidRPr="00F853DD">
        <w:rPr>
          <w:rFonts w:ascii="Times" w:hAnsi="Times" w:cs="Times New Roman"/>
          <w:sz w:val="23"/>
          <w:szCs w:val="23"/>
        </w:rPr>
        <w:t>,</w:t>
      </w:r>
      <w:r w:rsidRPr="00F853DD">
        <w:rPr>
          <w:rFonts w:ascii="Times" w:hAnsi="Times" w:cs="Times New Roman"/>
          <w:sz w:val="23"/>
          <w:szCs w:val="23"/>
        </w:rPr>
        <w:t xml:space="preserve"> (2016</w:t>
      </w:r>
      <w:r w:rsidR="00651EE4" w:rsidRPr="00F853DD">
        <w:rPr>
          <w:rFonts w:ascii="Times" w:hAnsi="Times" w:cs="Times New Roman"/>
          <w:sz w:val="23"/>
          <w:szCs w:val="23"/>
        </w:rPr>
        <w:t>). Motivation in caring labor: i</w:t>
      </w:r>
      <w:r w:rsidRPr="00F853DD">
        <w:rPr>
          <w:rFonts w:ascii="Times" w:hAnsi="Times" w:cs="Times New Roman"/>
          <w:sz w:val="23"/>
          <w:szCs w:val="23"/>
        </w:rPr>
        <w:t>mplications for the well-being and employment outcomes of nurses</w:t>
      </w:r>
      <w:r w:rsidRPr="00F853DD">
        <w:rPr>
          <w:rFonts w:ascii="Times" w:hAnsi="Times" w:cs="Times New Roman"/>
          <w:i/>
          <w:sz w:val="23"/>
          <w:szCs w:val="23"/>
        </w:rPr>
        <w:t>. Social Science and Medicine</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167</w:t>
      </w:r>
      <w:r w:rsidRPr="00F853DD">
        <w:rPr>
          <w:rFonts w:ascii="Times" w:hAnsi="Times" w:cs="Times New Roman"/>
          <w:sz w:val="23"/>
          <w:szCs w:val="23"/>
        </w:rPr>
        <w:t>, 99-106.</w:t>
      </w:r>
    </w:p>
    <w:p w14:paraId="0889FAEC" w14:textId="3684F2D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Dilwo</w:t>
      </w:r>
      <w:r w:rsidR="005B61F4" w:rsidRPr="00F853DD">
        <w:rPr>
          <w:rFonts w:ascii="Times" w:hAnsi="Times" w:cs="Times New Roman"/>
          <w:sz w:val="23"/>
          <w:szCs w:val="23"/>
        </w:rPr>
        <w:t>rth-Anderson, P., Goodwin, P. and Williams, S.</w:t>
      </w:r>
      <w:r w:rsidR="004A5806" w:rsidRPr="00F853DD">
        <w:rPr>
          <w:rFonts w:ascii="Times" w:hAnsi="Times" w:cs="Times New Roman"/>
          <w:sz w:val="23"/>
          <w:szCs w:val="23"/>
        </w:rPr>
        <w:t>,</w:t>
      </w:r>
      <w:r w:rsidRPr="00F853DD">
        <w:rPr>
          <w:rFonts w:ascii="Times" w:hAnsi="Times" w:cs="Times New Roman"/>
          <w:sz w:val="23"/>
          <w:szCs w:val="23"/>
        </w:rPr>
        <w:t xml:space="preserve"> (2004). Can culture help explain the physical health effects of caregiving over time among African American caregivers? </w:t>
      </w:r>
      <w:r w:rsidRPr="00F853DD">
        <w:rPr>
          <w:rFonts w:ascii="Times" w:hAnsi="Times" w:cs="Times New Roman"/>
          <w:i/>
          <w:sz w:val="23"/>
          <w:szCs w:val="23"/>
        </w:rPr>
        <w:t>Journals of Gerontology Series B-Psychological Sciences and Social Sciences</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59</w:t>
      </w:r>
      <w:r w:rsidR="00FC39C0" w:rsidRPr="00F853DD">
        <w:rPr>
          <w:rFonts w:ascii="Times" w:hAnsi="Times" w:cs="Times New Roman"/>
          <w:sz w:val="23"/>
          <w:szCs w:val="23"/>
        </w:rPr>
        <w:t>(3)</w:t>
      </w:r>
      <w:r w:rsidRPr="00F853DD">
        <w:rPr>
          <w:rFonts w:ascii="Times" w:hAnsi="Times" w:cs="Times New Roman"/>
          <w:sz w:val="23"/>
          <w:szCs w:val="23"/>
        </w:rPr>
        <w:t>, S138-S145.</w:t>
      </w:r>
    </w:p>
    <w:p w14:paraId="306BE143" w14:textId="4161127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Dilwor</w:t>
      </w:r>
      <w:r w:rsidR="005B61F4" w:rsidRPr="00F853DD">
        <w:rPr>
          <w:rFonts w:ascii="Times" w:hAnsi="Times" w:cs="Times New Roman"/>
          <w:sz w:val="23"/>
          <w:szCs w:val="23"/>
        </w:rPr>
        <w:t>th-Anderson, P., Williams, I. and Gibson, B.</w:t>
      </w:r>
      <w:r w:rsidR="004A5806" w:rsidRPr="00F853DD">
        <w:rPr>
          <w:rFonts w:ascii="Times" w:hAnsi="Times" w:cs="Times New Roman"/>
          <w:sz w:val="23"/>
          <w:szCs w:val="23"/>
        </w:rPr>
        <w:t>,</w:t>
      </w:r>
      <w:r w:rsidRPr="00F853DD">
        <w:rPr>
          <w:rFonts w:ascii="Times" w:hAnsi="Times" w:cs="Times New Roman"/>
          <w:sz w:val="23"/>
          <w:szCs w:val="23"/>
        </w:rPr>
        <w:t xml:space="preserve"> (2002). Issues of race, ethnicity, and culture in caregiving research: A 20-year review (1980-2000). </w:t>
      </w:r>
      <w:r w:rsidRPr="00F853DD">
        <w:rPr>
          <w:rFonts w:ascii="Times" w:hAnsi="Times" w:cs="Times New Roman"/>
          <w:i/>
          <w:sz w:val="23"/>
          <w:szCs w:val="23"/>
        </w:rPr>
        <w:t>Gerontologist</w:t>
      </w:r>
      <w:r w:rsidR="00651EE4" w:rsidRPr="00F853DD">
        <w:rPr>
          <w:rFonts w:ascii="Times" w:hAnsi="Times" w:cs="Times New Roman"/>
          <w:sz w:val="23"/>
          <w:szCs w:val="23"/>
        </w:rPr>
        <w:t xml:space="preserve">. </w:t>
      </w:r>
      <w:r w:rsidRPr="00F853DD">
        <w:rPr>
          <w:rFonts w:ascii="Times" w:hAnsi="Times" w:cs="Times New Roman"/>
          <w:b/>
          <w:sz w:val="23"/>
          <w:szCs w:val="23"/>
        </w:rPr>
        <w:t>42</w:t>
      </w:r>
      <w:r w:rsidR="00FC39C0" w:rsidRPr="00F853DD">
        <w:rPr>
          <w:rFonts w:ascii="Times" w:hAnsi="Times" w:cs="Times New Roman"/>
          <w:sz w:val="23"/>
          <w:szCs w:val="23"/>
        </w:rPr>
        <w:t>(2)</w:t>
      </w:r>
      <w:r w:rsidRPr="00F853DD">
        <w:rPr>
          <w:rFonts w:ascii="Times" w:hAnsi="Times" w:cs="Times New Roman"/>
          <w:sz w:val="23"/>
          <w:szCs w:val="23"/>
        </w:rPr>
        <w:t>, 237-272.</w:t>
      </w:r>
    </w:p>
    <w:p w14:paraId="35ADA3A7" w14:textId="0C83E4C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Dionne-</w:t>
      </w:r>
      <w:r w:rsidR="005B61F4" w:rsidRPr="00F853DD">
        <w:rPr>
          <w:rFonts w:ascii="Times" w:hAnsi="Times" w:cs="Times New Roman"/>
          <w:sz w:val="23"/>
          <w:szCs w:val="23"/>
        </w:rPr>
        <w:t>Odom, J., Hooker, S.</w:t>
      </w:r>
      <w:r w:rsidRPr="00F853DD">
        <w:rPr>
          <w:rFonts w:ascii="Times" w:hAnsi="Times" w:cs="Times New Roman"/>
          <w:sz w:val="23"/>
          <w:szCs w:val="23"/>
        </w:rPr>
        <w:t>, Bekelman, D., Ejem, D., Mcghan, G., Kitko, L., Stromberg, A., We</w:t>
      </w:r>
      <w:r w:rsidR="005B61F4" w:rsidRPr="00F853DD">
        <w:rPr>
          <w:rFonts w:ascii="Times" w:hAnsi="Times" w:cs="Times New Roman"/>
          <w:sz w:val="23"/>
          <w:szCs w:val="23"/>
        </w:rPr>
        <w:t>lls, R., Astin, M., Metin, Z.</w:t>
      </w:r>
      <w:r w:rsidRPr="00F853DD">
        <w:rPr>
          <w:rFonts w:ascii="Times" w:hAnsi="Times" w:cs="Times New Roman"/>
          <w:sz w:val="23"/>
          <w:szCs w:val="23"/>
        </w:rPr>
        <w:t>, M</w:t>
      </w:r>
      <w:r w:rsidR="005B61F4" w:rsidRPr="00F853DD">
        <w:rPr>
          <w:rFonts w:ascii="Times" w:hAnsi="Times" w:cs="Times New Roman"/>
          <w:sz w:val="23"/>
          <w:szCs w:val="23"/>
        </w:rPr>
        <w:t>ancarella, G., Pamboukian, S., Evangelista, L., Buck, H., Bakitas, M. and Workgroup, I.</w:t>
      </w:r>
      <w:r w:rsidR="004A5806" w:rsidRPr="00F853DD">
        <w:rPr>
          <w:rFonts w:ascii="Times" w:hAnsi="Times" w:cs="Times New Roman"/>
          <w:sz w:val="23"/>
          <w:szCs w:val="23"/>
        </w:rPr>
        <w:t>,</w:t>
      </w:r>
      <w:r w:rsidRPr="00F853DD">
        <w:rPr>
          <w:rFonts w:ascii="Times" w:hAnsi="Times" w:cs="Times New Roman"/>
          <w:sz w:val="23"/>
          <w:szCs w:val="23"/>
        </w:rPr>
        <w:t xml:space="preserve"> (2017). Family caregiving for persons with heart failure at the intersection of heart failure and palliative care: a state-of-the-science review. </w:t>
      </w:r>
      <w:r w:rsidRPr="00F853DD">
        <w:rPr>
          <w:rFonts w:ascii="Times" w:hAnsi="Times" w:cs="Times New Roman"/>
          <w:i/>
          <w:sz w:val="23"/>
          <w:szCs w:val="23"/>
        </w:rPr>
        <w:t>Heart Failure Reviews</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00FC39C0" w:rsidRPr="00F853DD">
        <w:rPr>
          <w:rFonts w:ascii="Times" w:hAnsi="Times" w:cs="Times New Roman"/>
          <w:sz w:val="23"/>
          <w:szCs w:val="23"/>
        </w:rPr>
        <w:t>(5)</w:t>
      </w:r>
      <w:r w:rsidRPr="00F853DD">
        <w:rPr>
          <w:rFonts w:ascii="Times" w:hAnsi="Times" w:cs="Times New Roman"/>
          <w:sz w:val="23"/>
          <w:szCs w:val="23"/>
        </w:rPr>
        <w:t>, 543-557.</w:t>
      </w:r>
    </w:p>
    <w:p w14:paraId="616C0F1D" w14:textId="2B3746C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DOA</w:t>
      </w:r>
      <w:r w:rsidR="004A5806"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National Report Republic of Trinidad and Tobago</w:t>
      </w:r>
      <w:r w:rsidRPr="00F853DD">
        <w:rPr>
          <w:rFonts w:ascii="Times" w:hAnsi="Times" w:cs="Times New Roman"/>
          <w:sz w:val="23"/>
          <w:szCs w:val="23"/>
        </w:rPr>
        <w:t>. Third regional intergovernmental conference on ageing. Costa Rica.</w:t>
      </w:r>
    </w:p>
    <w:p w14:paraId="098CB663" w14:textId="57E0F5E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Dodge, R., Daly, A., Huyton, J. and Sanders, L.</w:t>
      </w:r>
      <w:r w:rsidR="004A5806" w:rsidRPr="00F853DD">
        <w:rPr>
          <w:rFonts w:ascii="Times" w:hAnsi="Times" w:cs="Times New Roman"/>
          <w:sz w:val="23"/>
          <w:szCs w:val="23"/>
        </w:rPr>
        <w:t>,</w:t>
      </w:r>
      <w:r w:rsidRPr="00F853DD">
        <w:rPr>
          <w:rFonts w:ascii="Times" w:hAnsi="Times" w:cs="Times New Roman"/>
          <w:sz w:val="23"/>
          <w:szCs w:val="23"/>
        </w:rPr>
        <w:t xml:space="preserve"> (2012). The </w:t>
      </w:r>
      <w:r w:rsidR="00651EE4" w:rsidRPr="00F853DD">
        <w:rPr>
          <w:rFonts w:ascii="Times" w:hAnsi="Times" w:cs="Times New Roman"/>
          <w:sz w:val="23"/>
          <w:szCs w:val="23"/>
        </w:rPr>
        <w:t>challenge of defining w</w:t>
      </w:r>
      <w:r w:rsidRPr="00F853DD">
        <w:rPr>
          <w:rFonts w:ascii="Times" w:hAnsi="Times" w:cs="Times New Roman"/>
          <w:sz w:val="23"/>
          <w:szCs w:val="23"/>
        </w:rPr>
        <w:t xml:space="preserve">ellbeing [online]. </w:t>
      </w:r>
      <w:r w:rsidRPr="00F853DD">
        <w:rPr>
          <w:rFonts w:ascii="Times" w:hAnsi="Times" w:cs="Times New Roman"/>
          <w:i/>
          <w:sz w:val="23"/>
          <w:szCs w:val="23"/>
        </w:rPr>
        <w:t>International Journal of Wellbeing</w:t>
      </w:r>
      <w:r w:rsidR="00651EE4" w:rsidRPr="00F853DD">
        <w:rPr>
          <w:rFonts w:ascii="Times" w:hAnsi="Times" w:cs="Times New Roman"/>
          <w:sz w:val="23"/>
          <w:szCs w:val="23"/>
        </w:rPr>
        <w:t xml:space="preserve">. </w:t>
      </w:r>
      <w:r w:rsidRPr="00F853DD">
        <w:rPr>
          <w:rFonts w:ascii="Times" w:hAnsi="Times" w:cs="Times New Roman"/>
          <w:b/>
          <w:sz w:val="23"/>
          <w:szCs w:val="23"/>
        </w:rPr>
        <w:t>2</w:t>
      </w:r>
      <w:r w:rsidR="00FC39C0" w:rsidRPr="00F853DD">
        <w:rPr>
          <w:rFonts w:ascii="Times" w:hAnsi="Times" w:cs="Times New Roman"/>
          <w:sz w:val="23"/>
          <w:szCs w:val="23"/>
        </w:rPr>
        <w:t>(3)</w:t>
      </w:r>
      <w:r w:rsidRPr="00F853DD">
        <w:rPr>
          <w:rFonts w:ascii="Times" w:hAnsi="Times" w:cs="Times New Roman"/>
          <w:sz w:val="23"/>
          <w:szCs w:val="23"/>
        </w:rPr>
        <w:t xml:space="preserve">. Available from: https://internationaljournalofwellbeing.org/index.php/ijow/article/view/89. </w:t>
      </w:r>
    </w:p>
    <w:p w14:paraId="763DA830" w14:textId="73EDC38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Doebler, S., Ryan, A., Shortall, S. and Maguire, A.</w:t>
      </w:r>
      <w:r w:rsidR="004A5806" w:rsidRPr="00F853DD">
        <w:rPr>
          <w:rFonts w:ascii="Times" w:hAnsi="Times" w:cs="Times New Roman"/>
          <w:sz w:val="23"/>
          <w:szCs w:val="23"/>
        </w:rPr>
        <w:t>,</w:t>
      </w:r>
      <w:r w:rsidRPr="00F853DD">
        <w:rPr>
          <w:rFonts w:ascii="Times" w:hAnsi="Times" w:cs="Times New Roman"/>
          <w:sz w:val="23"/>
          <w:szCs w:val="23"/>
        </w:rPr>
        <w:t xml:space="preserve"> (2017). Informal care-giving and mental ill-health - differential relationships by workload, gender, age and area-remoteness in a UK region. </w:t>
      </w:r>
      <w:r w:rsidRPr="00F853DD">
        <w:rPr>
          <w:rFonts w:ascii="Times" w:hAnsi="Times" w:cs="Times New Roman"/>
          <w:i/>
          <w:sz w:val="23"/>
          <w:szCs w:val="23"/>
        </w:rPr>
        <w:t>Health and Social Care in the Community</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00FC39C0" w:rsidRPr="00F853DD">
        <w:rPr>
          <w:rFonts w:ascii="Times" w:hAnsi="Times" w:cs="Times New Roman"/>
          <w:sz w:val="23"/>
          <w:szCs w:val="23"/>
        </w:rPr>
        <w:t>(3)</w:t>
      </w:r>
      <w:r w:rsidRPr="00F853DD">
        <w:rPr>
          <w:rFonts w:ascii="Times" w:hAnsi="Times" w:cs="Times New Roman"/>
          <w:sz w:val="23"/>
          <w:szCs w:val="23"/>
        </w:rPr>
        <w:t>, 987-999.</w:t>
      </w:r>
    </w:p>
    <w:p w14:paraId="366A2A6E" w14:textId="347A352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Doh</w:t>
      </w:r>
      <w:r w:rsidR="004A5806" w:rsidRPr="00F853DD">
        <w:rPr>
          <w:rFonts w:ascii="Times" w:hAnsi="Times" w:cs="Times New Roman"/>
          <w:sz w:val="23"/>
          <w:szCs w:val="23"/>
        </w:rPr>
        <w:t>renwend, B.,</w:t>
      </w:r>
      <w:r w:rsidRPr="00F853DD">
        <w:rPr>
          <w:rFonts w:ascii="Times" w:hAnsi="Times" w:cs="Times New Roman"/>
          <w:sz w:val="23"/>
          <w:szCs w:val="23"/>
        </w:rPr>
        <w:t xml:space="preserve"> (1998). </w:t>
      </w:r>
      <w:r w:rsidRPr="00F853DD">
        <w:rPr>
          <w:rFonts w:ascii="Times" w:hAnsi="Times" w:cs="Times New Roman"/>
          <w:i/>
          <w:sz w:val="23"/>
          <w:szCs w:val="23"/>
        </w:rPr>
        <w:t>Adversity, stress and psychopathology</w:t>
      </w:r>
      <w:r w:rsidRPr="00F853DD">
        <w:rPr>
          <w:rFonts w:ascii="Times" w:hAnsi="Times" w:cs="Times New Roman"/>
          <w:sz w:val="23"/>
          <w:szCs w:val="23"/>
        </w:rPr>
        <w:t xml:space="preserve">. </w:t>
      </w:r>
      <w:r w:rsidRPr="00F853DD">
        <w:rPr>
          <w:rFonts w:ascii="Times" w:hAnsi="Times" w:cs="Times New Roman"/>
          <w:sz w:val="23"/>
          <w:szCs w:val="23"/>
          <w:lang w:val="de-DE"/>
        </w:rPr>
        <w:t xml:space="preserve">In: Dohrenwend, B., P. (ed.). </w:t>
      </w:r>
      <w:r w:rsidRPr="00F853DD">
        <w:rPr>
          <w:rFonts w:ascii="Times" w:hAnsi="Times" w:cs="Times New Roman"/>
          <w:sz w:val="23"/>
          <w:szCs w:val="23"/>
        </w:rPr>
        <w:t>Oxford University Press.</w:t>
      </w:r>
    </w:p>
    <w:p w14:paraId="21EA9481" w14:textId="1525ED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w:t>
      </w:r>
      <w:r w:rsidR="005B61F4" w:rsidRPr="00F853DD">
        <w:rPr>
          <w:rFonts w:ascii="Times" w:hAnsi="Times" w:cs="Times New Roman"/>
          <w:sz w:val="23"/>
          <w:szCs w:val="23"/>
        </w:rPr>
        <w:t>okken, D.</w:t>
      </w:r>
      <w:r w:rsidRPr="00F853DD">
        <w:rPr>
          <w:rFonts w:ascii="Times" w:hAnsi="Times" w:cs="Times New Roman"/>
          <w:sz w:val="23"/>
          <w:szCs w:val="23"/>
        </w:rPr>
        <w:t>, Kaufman, J., Johnson, B., Perkins, S., Benepal, J., Roth, A., Dutton, K. and Jones, A.</w:t>
      </w:r>
      <w:r w:rsidR="004A5806" w:rsidRPr="00F853DD">
        <w:rPr>
          <w:rFonts w:ascii="Times" w:hAnsi="Times" w:cs="Times New Roman"/>
          <w:sz w:val="23"/>
          <w:szCs w:val="23"/>
        </w:rPr>
        <w:t>,</w:t>
      </w:r>
      <w:r w:rsidRPr="00F853DD">
        <w:rPr>
          <w:rFonts w:ascii="Times" w:hAnsi="Times" w:cs="Times New Roman"/>
          <w:sz w:val="23"/>
          <w:szCs w:val="23"/>
        </w:rPr>
        <w:t xml:space="preserve"> (2015). Changing hospital visiting polic</w:t>
      </w:r>
      <w:r w:rsidR="00651EE4" w:rsidRPr="00F853DD">
        <w:rPr>
          <w:rFonts w:ascii="Times" w:hAnsi="Times" w:cs="Times New Roman"/>
          <w:sz w:val="23"/>
          <w:szCs w:val="23"/>
        </w:rPr>
        <w:t>ies: from families as “visitors”</w:t>
      </w:r>
      <w:r w:rsidRPr="00F853DD">
        <w:rPr>
          <w:rFonts w:ascii="Times" w:hAnsi="Times" w:cs="Times New Roman"/>
          <w:sz w:val="23"/>
          <w:szCs w:val="23"/>
        </w:rPr>
        <w:t xml:space="preserve"> to families as partners. </w:t>
      </w:r>
      <w:r w:rsidRPr="00F853DD">
        <w:rPr>
          <w:rFonts w:ascii="Times" w:hAnsi="Times" w:cs="Times New Roman"/>
          <w:i/>
          <w:sz w:val="23"/>
          <w:szCs w:val="23"/>
        </w:rPr>
        <w:t>Journal of Clinical Outcomes Management</w:t>
      </w:r>
      <w:r w:rsidRPr="00F853DD">
        <w:rPr>
          <w:rFonts w:ascii="Times" w:hAnsi="Times" w:cs="Times New Roman"/>
          <w:sz w:val="23"/>
          <w:szCs w:val="23"/>
        </w:rPr>
        <w:t xml:space="preserve">. [Viewed 19 October 2019] Available from: https://pdfs.semanticscholar.org/327e/264ee0641affb492dfd1f781111df6684b80.pdf  </w:t>
      </w:r>
    </w:p>
    <w:p w14:paraId="3F4FEAD6" w14:textId="3606C9FB"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Dong, X.</w:t>
      </w:r>
      <w:r w:rsidR="004A5806" w:rsidRPr="00F853DD">
        <w:rPr>
          <w:rFonts w:ascii="Times" w:hAnsi="Times" w:cs="Times New Roman"/>
          <w:sz w:val="23"/>
          <w:szCs w:val="23"/>
        </w:rPr>
        <w:t>,</w:t>
      </w:r>
      <w:r w:rsidR="00DF05BD" w:rsidRPr="00F853DD">
        <w:rPr>
          <w:rFonts w:ascii="Times" w:hAnsi="Times" w:cs="Times New Roman"/>
          <w:sz w:val="23"/>
          <w:szCs w:val="23"/>
        </w:rPr>
        <w:t xml:space="preserve"> (2014). Elder </w:t>
      </w:r>
      <w:r w:rsidR="00FC39C0" w:rsidRPr="00F853DD">
        <w:rPr>
          <w:rFonts w:ascii="Times" w:hAnsi="Times" w:cs="Times New Roman"/>
          <w:sz w:val="23"/>
          <w:szCs w:val="23"/>
        </w:rPr>
        <w:t>a</w:t>
      </w:r>
      <w:r w:rsidR="00DF05BD" w:rsidRPr="00F853DD">
        <w:rPr>
          <w:rFonts w:ascii="Times" w:hAnsi="Times" w:cs="Times New Roman"/>
          <w:sz w:val="23"/>
          <w:szCs w:val="23"/>
        </w:rPr>
        <w:t xml:space="preserve">buse: </w:t>
      </w:r>
      <w:r w:rsidR="00FC39C0" w:rsidRPr="00F853DD">
        <w:rPr>
          <w:rFonts w:ascii="Times" w:hAnsi="Times" w:cs="Times New Roman"/>
          <w:sz w:val="23"/>
          <w:szCs w:val="23"/>
        </w:rPr>
        <w:t>r</w:t>
      </w:r>
      <w:r w:rsidR="00DF05BD" w:rsidRPr="00F853DD">
        <w:rPr>
          <w:rFonts w:ascii="Times" w:hAnsi="Times" w:cs="Times New Roman"/>
          <w:sz w:val="23"/>
          <w:szCs w:val="23"/>
        </w:rPr>
        <w:t xml:space="preserve">esearch, </w:t>
      </w:r>
      <w:r w:rsidR="00FC39C0" w:rsidRPr="00F853DD">
        <w:rPr>
          <w:rFonts w:ascii="Times" w:hAnsi="Times" w:cs="Times New Roman"/>
          <w:sz w:val="23"/>
          <w:szCs w:val="23"/>
        </w:rPr>
        <w:t>p</w:t>
      </w:r>
      <w:r w:rsidR="00DF05BD" w:rsidRPr="00F853DD">
        <w:rPr>
          <w:rFonts w:ascii="Times" w:hAnsi="Times" w:cs="Times New Roman"/>
          <w:sz w:val="23"/>
          <w:szCs w:val="23"/>
        </w:rPr>
        <w:t xml:space="preserve">ractice, and </w:t>
      </w:r>
      <w:r w:rsidR="00FC39C0" w:rsidRPr="00F853DD">
        <w:rPr>
          <w:rFonts w:ascii="Times" w:hAnsi="Times" w:cs="Times New Roman"/>
          <w:sz w:val="23"/>
          <w:szCs w:val="23"/>
        </w:rPr>
        <w:t>h</w:t>
      </w:r>
      <w:r w:rsidR="00DF05BD" w:rsidRPr="00F853DD">
        <w:rPr>
          <w:rFonts w:ascii="Times" w:hAnsi="Times" w:cs="Times New Roman"/>
          <w:sz w:val="23"/>
          <w:szCs w:val="23"/>
        </w:rPr>
        <w:t xml:space="preserve">ealth </w:t>
      </w:r>
      <w:r w:rsidR="00FC39C0" w:rsidRPr="00F853DD">
        <w:rPr>
          <w:rFonts w:ascii="Times" w:hAnsi="Times" w:cs="Times New Roman"/>
          <w:sz w:val="23"/>
          <w:szCs w:val="23"/>
        </w:rPr>
        <w:t>p</w:t>
      </w:r>
      <w:r w:rsidR="00DF05BD" w:rsidRPr="00F853DD">
        <w:rPr>
          <w:rFonts w:ascii="Times" w:hAnsi="Times" w:cs="Times New Roman"/>
          <w:sz w:val="23"/>
          <w:szCs w:val="23"/>
        </w:rPr>
        <w:t xml:space="preserve">olicy. The 2012 GSA Maxwell Pollack Award Lecture. </w:t>
      </w:r>
      <w:r w:rsidR="00DF05BD" w:rsidRPr="00F853DD">
        <w:rPr>
          <w:rFonts w:ascii="Times" w:hAnsi="Times" w:cs="Times New Roman"/>
          <w:i/>
          <w:sz w:val="23"/>
          <w:szCs w:val="23"/>
        </w:rPr>
        <w:t>Gerontologist</w:t>
      </w:r>
      <w:r w:rsidR="00651EE4" w:rsidRPr="00F853DD">
        <w:rPr>
          <w:rFonts w:ascii="Times" w:hAnsi="Times" w:cs="Times New Roman"/>
          <w:sz w:val="23"/>
          <w:szCs w:val="23"/>
        </w:rPr>
        <w:t xml:space="preserve">. </w:t>
      </w:r>
      <w:r w:rsidR="00DF05BD" w:rsidRPr="00F853DD">
        <w:rPr>
          <w:rFonts w:ascii="Times" w:hAnsi="Times" w:cs="Times New Roman"/>
          <w:b/>
          <w:sz w:val="23"/>
          <w:szCs w:val="23"/>
        </w:rPr>
        <w:t>54</w:t>
      </w:r>
      <w:r w:rsidR="00FC39C0" w:rsidRPr="00F853DD">
        <w:rPr>
          <w:rFonts w:ascii="Times" w:hAnsi="Times" w:cs="Times New Roman"/>
          <w:sz w:val="23"/>
          <w:szCs w:val="23"/>
        </w:rPr>
        <w:t>(2)</w:t>
      </w:r>
      <w:r w:rsidR="00DF05BD" w:rsidRPr="00F853DD">
        <w:rPr>
          <w:rFonts w:ascii="Times" w:hAnsi="Times" w:cs="Times New Roman"/>
          <w:sz w:val="23"/>
          <w:szCs w:val="23"/>
        </w:rPr>
        <w:t>, 153-162.</w:t>
      </w:r>
    </w:p>
    <w:p w14:paraId="77F0E2A3" w14:textId="5F6F5C38" w:rsidR="00DF05BD" w:rsidRPr="00F853DD" w:rsidRDefault="004A58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Dong, X.,</w:t>
      </w:r>
      <w:r w:rsidR="00651EE4" w:rsidRPr="00F853DD">
        <w:rPr>
          <w:rFonts w:ascii="Times" w:hAnsi="Times" w:cs="Times New Roman"/>
          <w:sz w:val="23"/>
          <w:szCs w:val="23"/>
        </w:rPr>
        <w:t xml:space="preserve"> (2015). Elder abuse: systematic r</w:t>
      </w:r>
      <w:r w:rsidR="00DF05BD" w:rsidRPr="00F853DD">
        <w:rPr>
          <w:rFonts w:ascii="Times" w:hAnsi="Times" w:cs="Times New Roman"/>
          <w:sz w:val="23"/>
          <w:szCs w:val="23"/>
        </w:rPr>
        <w:t xml:space="preserve">eview and </w:t>
      </w:r>
      <w:r w:rsidR="00651EE4" w:rsidRPr="00F853DD">
        <w:rPr>
          <w:rFonts w:ascii="Times" w:hAnsi="Times" w:cs="Times New Roman"/>
          <w:sz w:val="23"/>
          <w:szCs w:val="23"/>
        </w:rPr>
        <w:t>implications for p</w:t>
      </w:r>
      <w:r w:rsidR="00DF05BD" w:rsidRPr="00F853DD">
        <w:rPr>
          <w:rFonts w:ascii="Times" w:hAnsi="Times" w:cs="Times New Roman"/>
          <w:sz w:val="23"/>
          <w:szCs w:val="23"/>
        </w:rPr>
        <w:t xml:space="preserve">ractice. </w:t>
      </w:r>
      <w:r w:rsidR="00DF05BD" w:rsidRPr="00F853DD">
        <w:rPr>
          <w:rFonts w:ascii="Times" w:hAnsi="Times" w:cs="Times New Roman"/>
          <w:i/>
          <w:sz w:val="23"/>
          <w:szCs w:val="23"/>
        </w:rPr>
        <w:t>Journal of the American Geriatrics Society</w:t>
      </w:r>
      <w:r w:rsidR="00651EE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63</w:t>
      </w:r>
      <w:r w:rsidR="00FC39C0" w:rsidRPr="00F853DD">
        <w:rPr>
          <w:rFonts w:ascii="Times" w:hAnsi="Times" w:cs="Times New Roman"/>
          <w:sz w:val="23"/>
          <w:szCs w:val="23"/>
        </w:rPr>
        <w:t>(6)</w:t>
      </w:r>
      <w:r w:rsidR="00DF05BD" w:rsidRPr="00F853DD">
        <w:rPr>
          <w:rFonts w:ascii="Times" w:hAnsi="Times" w:cs="Times New Roman"/>
          <w:sz w:val="23"/>
          <w:szCs w:val="23"/>
        </w:rPr>
        <w:t>, 1214-1238.</w:t>
      </w:r>
    </w:p>
    <w:p w14:paraId="6F3391AE" w14:textId="3B209C5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Dong</w:t>
      </w:r>
      <w:r w:rsidR="005B61F4" w:rsidRPr="00F853DD">
        <w:rPr>
          <w:rFonts w:ascii="Times" w:hAnsi="Times" w:cs="Times New Roman"/>
          <w:sz w:val="23"/>
          <w:szCs w:val="23"/>
        </w:rPr>
        <w:t>, X., Simon, M., De Leon, C.</w:t>
      </w:r>
      <w:r w:rsidRPr="00F853DD">
        <w:rPr>
          <w:rFonts w:ascii="Times" w:hAnsi="Times" w:cs="Times New Roman"/>
          <w:sz w:val="23"/>
          <w:szCs w:val="23"/>
        </w:rPr>
        <w:t>, Fulmer, T., Beck, T., Hebert, L., Dyer, C., Paveza, G. and Evans, D.</w:t>
      </w:r>
      <w:r w:rsidR="004A5806" w:rsidRPr="00F853DD">
        <w:rPr>
          <w:rFonts w:ascii="Times" w:hAnsi="Times" w:cs="Times New Roman"/>
          <w:sz w:val="23"/>
          <w:szCs w:val="23"/>
        </w:rPr>
        <w:t>,</w:t>
      </w:r>
      <w:r w:rsidRPr="00F853DD">
        <w:rPr>
          <w:rFonts w:ascii="Times" w:hAnsi="Times" w:cs="Times New Roman"/>
          <w:sz w:val="23"/>
          <w:szCs w:val="23"/>
        </w:rPr>
        <w:t xml:space="preserve"> (2009). Elder self-neglect and abuse and mortality risk in a community-dwelling population. </w:t>
      </w:r>
      <w:r w:rsidRPr="00F853DD">
        <w:rPr>
          <w:rFonts w:ascii="Times" w:hAnsi="Times" w:cs="Times New Roman"/>
          <w:i/>
          <w:sz w:val="23"/>
          <w:szCs w:val="23"/>
        </w:rPr>
        <w:t>Jama-Journal of the American Medical Association</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302</w:t>
      </w:r>
      <w:r w:rsidR="00FC39C0" w:rsidRPr="00F853DD">
        <w:rPr>
          <w:rFonts w:ascii="Times" w:hAnsi="Times" w:cs="Times New Roman"/>
          <w:sz w:val="23"/>
          <w:szCs w:val="23"/>
        </w:rPr>
        <w:t>(5)</w:t>
      </w:r>
      <w:r w:rsidRPr="00F853DD">
        <w:rPr>
          <w:rFonts w:ascii="Times" w:hAnsi="Times" w:cs="Times New Roman"/>
          <w:sz w:val="23"/>
          <w:szCs w:val="23"/>
        </w:rPr>
        <w:t>, 517-526.</w:t>
      </w:r>
    </w:p>
    <w:p w14:paraId="2868B3D4" w14:textId="02480E5D"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Donnellan, W., Bennett, K. and Soulsby, L.</w:t>
      </w:r>
      <w:r w:rsidR="004A5806" w:rsidRPr="00F853DD">
        <w:rPr>
          <w:rFonts w:ascii="Times" w:hAnsi="Times" w:cs="Times New Roman"/>
          <w:sz w:val="23"/>
          <w:szCs w:val="23"/>
        </w:rPr>
        <w:t>,</w:t>
      </w:r>
      <w:r w:rsidR="00DF05BD" w:rsidRPr="00F853DD">
        <w:rPr>
          <w:rFonts w:ascii="Times" w:hAnsi="Times" w:cs="Times New Roman"/>
          <w:sz w:val="23"/>
          <w:szCs w:val="23"/>
        </w:rPr>
        <w:t xml:space="preserve"> (2015). What are the factors that facilitate or hinder resilience in older spousal dementia carers? A qualitative study. </w:t>
      </w:r>
      <w:r w:rsidR="00DF05BD" w:rsidRPr="00F853DD">
        <w:rPr>
          <w:rFonts w:ascii="Times" w:hAnsi="Times" w:cs="Times New Roman"/>
          <w:i/>
          <w:sz w:val="23"/>
          <w:szCs w:val="23"/>
        </w:rPr>
        <w:t>Aging and Mental Health</w:t>
      </w:r>
      <w:r w:rsidR="00651EE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FC39C0" w:rsidRPr="00F853DD">
        <w:rPr>
          <w:rFonts w:ascii="Times" w:hAnsi="Times" w:cs="Times New Roman"/>
          <w:sz w:val="23"/>
          <w:szCs w:val="23"/>
        </w:rPr>
        <w:t>(10)</w:t>
      </w:r>
      <w:r w:rsidR="00DF05BD" w:rsidRPr="00F853DD">
        <w:rPr>
          <w:rFonts w:ascii="Times" w:hAnsi="Times" w:cs="Times New Roman"/>
          <w:sz w:val="23"/>
          <w:szCs w:val="23"/>
        </w:rPr>
        <w:t>, 932-939.</w:t>
      </w:r>
    </w:p>
    <w:p w14:paraId="53C789FB" w14:textId="3242ACC9"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Donnellan, W., Bennett, K.</w:t>
      </w:r>
      <w:r w:rsidR="00DF05BD" w:rsidRPr="00F853DD">
        <w:rPr>
          <w:rFonts w:ascii="Times" w:hAnsi="Times" w:cs="Times New Roman"/>
          <w:sz w:val="23"/>
          <w:szCs w:val="23"/>
        </w:rPr>
        <w:t xml:space="preserve"> and Sou</w:t>
      </w:r>
      <w:r w:rsidRPr="00F853DD">
        <w:rPr>
          <w:rFonts w:ascii="Times" w:hAnsi="Times" w:cs="Times New Roman"/>
          <w:sz w:val="23"/>
          <w:szCs w:val="23"/>
        </w:rPr>
        <w:t>lsby, L.</w:t>
      </w:r>
      <w:r w:rsidR="004A5806" w:rsidRPr="00F853DD">
        <w:rPr>
          <w:rFonts w:ascii="Times" w:hAnsi="Times" w:cs="Times New Roman"/>
          <w:sz w:val="23"/>
          <w:szCs w:val="23"/>
        </w:rPr>
        <w:t>,</w:t>
      </w:r>
      <w:r w:rsidR="00DF05BD" w:rsidRPr="00F853DD">
        <w:rPr>
          <w:rFonts w:ascii="Times" w:hAnsi="Times" w:cs="Times New Roman"/>
          <w:sz w:val="23"/>
          <w:szCs w:val="23"/>
        </w:rPr>
        <w:t xml:space="preserve"> (2016). Family close but friends closer: Exploring social support and resilience in older spousal dementia care [online]. </w:t>
      </w:r>
      <w:r w:rsidR="00DF05BD" w:rsidRPr="00F853DD">
        <w:rPr>
          <w:rFonts w:ascii="Times" w:hAnsi="Times" w:cs="Times New Roman"/>
          <w:i/>
          <w:sz w:val="23"/>
          <w:szCs w:val="23"/>
        </w:rPr>
        <w:t>Aging and Mental Health</w:t>
      </w:r>
      <w:r w:rsidR="00651EE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660D6E" w:rsidRPr="00F853DD">
        <w:rPr>
          <w:rFonts w:ascii="Times" w:hAnsi="Times" w:cs="Times New Roman"/>
          <w:sz w:val="23"/>
          <w:szCs w:val="23"/>
        </w:rPr>
        <w:t>(11), 1222-1228</w:t>
      </w:r>
      <w:r w:rsidR="00DF05BD" w:rsidRPr="00F853DD">
        <w:rPr>
          <w:rFonts w:ascii="Times" w:hAnsi="Times" w:cs="Times New Roman"/>
          <w:sz w:val="23"/>
          <w:szCs w:val="23"/>
        </w:rPr>
        <w:t>.</w:t>
      </w:r>
    </w:p>
    <w:p w14:paraId="29054457" w14:textId="43C8C4F2"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Dooley, W., Shaffer, D., Lance, C. and Williamson, G.</w:t>
      </w:r>
      <w:r w:rsidR="004A5806" w:rsidRPr="00F853DD">
        <w:rPr>
          <w:rFonts w:ascii="Times" w:hAnsi="Times" w:cs="Times New Roman"/>
          <w:sz w:val="23"/>
          <w:szCs w:val="23"/>
        </w:rPr>
        <w:t>,</w:t>
      </w:r>
      <w:r w:rsidR="00DF05BD" w:rsidRPr="00F853DD">
        <w:rPr>
          <w:rFonts w:ascii="Times" w:hAnsi="Times" w:cs="Times New Roman"/>
          <w:sz w:val="23"/>
          <w:szCs w:val="23"/>
        </w:rPr>
        <w:t xml:space="preserve"> (2007). Informal care can be better than adequate: Development and evaluation of the exemplary care scale. </w:t>
      </w:r>
      <w:r w:rsidR="00DF05BD" w:rsidRPr="00F853DD">
        <w:rPr>
          <w:rFonts w:ascii="Times" w:hAnsi="Times" w:cs="Times New Roman"/>
          <w:i/>
          <w:sz w:val="23"/>
          <w:szCs w:val="23"/>
        </w:rPr>
        <w:t>Rehabilitation Psychology</w:t>
      </w:r>
      <w:r w:rsidR="00651EE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52</w:t>
      </w:r>
      <w:r w:rsidR="00660D6E" w:rsidRPr="00F853DD">
        <w:rPr>
          <w:rFonts w:ascii="Times" w:hAnsi="Times" w:cs="Times New Roman"/>
          <w:sz w:val="23"/>
          <w:szCs w:val="23"/>
        </w:rPr>
        <w:t>(4)</w:t>
      </w:r>
      <w:r w:rsidR="00DF05BD" w:rsidRPr="00F853DD">
        <w:rPr>
          <w:rFonts w:ascii="Times" w:hAnsi="Times" w:cs="Times New Roman"/>
          <w:sz w:val="23"/>
          <w:szCs w:val="23"/>
        </w:rPr>
        <w:t>, 359-369.</w:t>
      </w:r>
    </w:p>
    <w:p w14:paraId="4A1B957F" w14:textId="5AE5E38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Dorfman, M. And Forteza, A.</w:t>
      </w:r>
      <w:r w:rsidR="004A5806" w:rsidRPr="00F853DD">
        <w:rPr>
          <w:rFonts w:ascii="Times" w:hAnsi="Times" w:cs="Times New Roman"/>
          <w:sz w:val="23"/>
          <w:szCs w:val="23"/>
        </w:rPr>
        <w:t>,</w:t>
      </w:r>
      <w:r w:rsidRPr="00F853DD">
        <w:rPr>
          <w:rFonts w:ascii="Times" w:hAnsi="Times" w:cs="Times New Roman"/>
          <w:sz w:val="23"/>
          <w:szCs w:val="23"/>
        </w:rPr>
        <w:t xml:space="preserve"> (2009). </w:t>
      </w:r>
      <w:r w:rsidR="00651EE4" w:rsidRPr="00F853DD">
        <w:rPr>
          <w:rFonts w:ascii="Times" w:hAnsi="Times" w:cs="Times New Roman"/>
          <w:i/>
          <w:sz w:val="23"/>
          <w:szCs w:val="23"/>
        </w:rPr>
        <w:t>Strengthening Caribbean pensions: improving equity and s</w:t>
      </w:r>
      <w:r w:rsidRPr="00F853DD">
        <w:rPr>
          <w:rFonts w:ascii="Times" w:hAnsi="Times" w:cs="Times New Roman"/>
          <w:i/>
          <w:sz w:val="23"/>
          <w:szCs w:val="23"/>
        </w:rPr>
        <w:t>ustainability</w:t>
      </w:r>
      <w:r w:rsidRPr="00F853DD">
        <w:rPr>
          <w:rFonts w:ascii="Times" w:hAnsi="Times" w:cs="Times New Roman"/>
          <w:sz w:val="23"/>
          <w:szCs w:val="23"/>
        </w:rPr>
        <w:t>. World Bank.</w:t>
      </w:r>
    </w:p>
    <w:p w14:paraId="1F430573" w14:textId="613D190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Doty, P.</w:t>
      </w:r>
      <w:r w:rsidR="004A5806" w:rsidRPr="00F853DD">
        <w:rPr>
          <w:rFonts w:ascii="Times" w:hAnsi="Times" w:cs="Times New Roman"/>
          <w:sz w:val="23"/>
          <w:szCs w:val="23"/>
        </w:rPr>
        <w:t>,</w:t>
      </w:r>
      <w:r w:rsidRPr="00F853DD">
        <w:rPr>
          <w:rFonts w:ascii="Times" w:hAnsi="Times" w:cs="Times New Roman"/>
          <w:sz w:val="23"/>
          <w:szCs w:val="23"/>
        </w:rPr>
        <w:t xml:space="preserve"> (1986)</w:t>
      </w:r>
      <w:r w:rsidR="00CB1ECE" w:rsidRPr="00F853DD">
        <w:rPr>
          <w:rFonts w:ascii="Times" w:hAnsi="Times" w:cs="Times New Roman"/>
          <w:sz w:val="23"/>
          <w:szCs w:val="23"/>
        </w:rPr>
        <w:t>. Family care of the elderly: t</w:t>
      </w:r>
      <w:r w:rsidRPr="00F853DD">
        <w:rPr>
          <w:rFonts w:ascii="Times" w:hAnsi="Times" w:cs="Times New Roman"/>
          <w:sz w:val="23"/>
          <w:szCs w:val="23"/>
        </w:rPr>
        <w:t xml:space="preserve">he role of public-policy. </w:t>
      </w:r>
      <w:r w:rsidRPr="00F853DD">
        <w:rPr>
          <w:rFonts w:ascii="Times" w:hAnsi="Times" w:cs="Times New Roman"/>
          <w:i/>
          <w:sz w:val="23"/>
          <w:szCs w:val="23"/>
        </w:rPr>
        <w:t>Milbank Quarterly</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64</w:t>
      </w:r>
      <w:r w:rsidRPr="00F853DD">
        <w:rPr>
          <w:rFonts w:ascii="Times" w:hAnsi="Times" w:cs="Times New Roman"/>
          <w:sz w:val="23"/>
          <w:szCs w:val="23"/>
        </w:rPr>
        <w:t>, 34-75.</w:t>
      </w:r>
    </w:p>
    <w:p w14:paraId="6934DE39" w14:textId="7E2BD0A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Dow, B. and McDonald, J.</w:t>
      </w:r>
      <w:r w:rsidR="004A5806" w:rsidRPr="00F853DD">
        <w:rPr>
          <w:rFonts w:ascii="Times" w:hAnsi="Times" w:cs="Times New Roman"/>
          <w:sz w:val="23"/>
          <w:szCs w:val="23"/>
        </w:rPr>
        <w:t>,</w:t>
      </w:r>
      <w:r w:rsidRPr="00F853DD">
        <w:rPr>
          <w:rFonts w:ascii="Times" w:hAnsi="Times" w:cs="Times New Roman"/>
          <w:sz w:val="23"/>
          <w:szCs w:val="23"/>
        </w:rPr>
        <w:t xml:space="preserve"> (2003). Social support or structural change? Social work theory and research on care-giving [online]. </w:t>
      </w:r>
      <w:r w:rsidRPr="00F853DD">
        <w:rPr>
          <w:rFonts w:ascii="Times" w:hAnsi="Times" w:cs="Times New Roman"/>
          <w:i/>
          <w:sz w:val="23"/>
          <w:szCs w:val="23"/>
        </w:rPr>
        <w:t>Australian Social Work</w:t>
      </w:r>
      <w:r w:rsidR="00651EE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w:t>
      </w:r>
      <w:r w:rsidRPr="00F853DD">
        <w:rPr>
          <w:rFonts w:ascii="Times" w:hAnsi="Times" w:cs="Times New Roman"/>
          <w:sz w:val="23"/>
          <w:szCs w:val="23"/>
        </w:rPr>
        <w:t>.</w:t>
      </w:r>
    </w:p>
    <w:p w14:paraId="2C3E1B8E" w14:textId="686FB341" w:rsidR="00DF05BD" w:rsidRPr="00F853DD" w:rsidRDefault="004A58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Dowd, J.,</w:t>
      </w:r>
      <w:r w:rsidR="00DF05BD" w:rsidRPr="00F853DD">
        <w:rPr>
          <w:rFonts w:ascii="Times" w:hAnsi="Times" w:cs="Times New Roman"/>
          <w:sz w:val="23"/>
          <w:szCs w:val="23"/>
        </w:rPr>
        <w:t xml:space="preserve"> (1975). Aging as </w:t>
      </w:r>
      <w:r w:rsidR="00651EE4" w:rsidRPr="00F853DD">
        <w:rPr>
          <w:rFonts w:ascii="Times" w:hAnsi="Times" w:cs="Times New Roman"/>
          <w:sz w:val="23"/>
          <w:szCs w:val="23"/>
        </w:rPr>
        <w:t>exchange: preface to t</w:t>
      </w:r>
      <w:r w:rsidR="00DF05BD" w:rsidRPr="00F853DD">
        <w:rPr>
          <w:rFonts w:ascii="Times" w:hAnsi="Times" w:cs="Times New Roman"/>
          <w:sz w:val="23"/>
          <w:szCs w:val="23"/>
        </w:rPr>
        <w:t xml:space="preserve">heory. </w:t>
      </w:r>
      <w:r w:rsidR="00DF05BD" w:rsidRPr="00F853DD">
        <w:rPr>
          <w:rFonts w:ascii="Times" w:hAnsi="Times" w:cs="Times New Roman"/>
          <w:i/>
          <w:sz w:val="23"/>
          <w:szCs w:val="23"/>
        </w:rPr>
        <w:t>Journals of Gerontology</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651EE4" w:rsidRPr="00F853DD">
        <w:rPr>
          <w:rFonts w:ascii="Times" w:hAnsi="Times" w:cs="Times New Roman"/>
          <w:sz w:val="23"/>
          <w:szCs w:val="23"/>
        </w:rPr>
        <w:t>.</w:t>
      </w:r>
      <w:r w:rsidR="00DF05BD" w:rsidRPr="00F853DD">
        <w:rPr>
          <w:rFonts w:ascii="Times" w:hAnsi="Times" w:cs="Times New Roman"/>
          <w:sz w:val="23"/>
          <w:szCs w:val="23"/>
        </w:rPr>
        <w:t xml:space="preserve"> 584-594.</w:t>
      </w:r>
    </w:p>
    <w:p w14:paraId="65B3F12C" w14:textId="510297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Dozier, M. (2000). Motivation for caregiving from an ethological perspective. </w:t>
      </w:r>
      <w:r w:rsidRPr="00F853DD">
        <w:rPr>
          <w:rFonts w:ascii="Times" w:hAnsi="Times" w:cs="Times New Roman"/>
          <w:i/>
          <w:sz w:val="23"/>
          <w:szCs w:val="23"/>
        </w:rPr>
        <w:t>Psychological Inquiry</w:t>
      </w:r>
      <w:r w:rsidR="00651EE4"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97.</w:t>
      </w:r>
    </w:p>
    <w:p w14:paraId="433815FA" w14:textId="55774E93"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Draper, H. and Sorell, T.</w:t>
      </w:r>
      <w:r w:rsidR="004A5806" w:rsidRPr="00F853DD">
        <w:rPr>
          <w:rFonts w:ascii="Times" w:hAnsi="Times" w:cs="Times New Roman"/>
          <w:sz w:val="23"/>
          <w:szCs w:val="23"/>
        </w:rPr>
        <w:t>,</w:t>
      </w:r>
      <w:r w:rsidRPr="00F853DD">
        <w:rPr>
          <w:rFonts w:ascii="Times" w:hAnsi="Times" w:cs="Times New Roman"/>
          <w:sz w:val="23"/>
          <w:szCs w:val="23"/>
        </w:rPr>
        <w:t xml:space="preserve"> (2013). Telecare, Remote Monitoring and Care. </w:t>
      </w:r>
      <w:r w:rsidRPr="00F853DD">
        <w:rPr>
          <w:rFonts w:ascii="Times" w:hAnsi="Times" w:cs="Times New Roman"/>
          <w:i/>
          <w:sz w:val="23"/>
          <w:szCs w:val="23"/>
          <w:lang w:val="nl-NL"/>
        </w:rPr>
        <w:t>Bioethics</w:t>
      </w:r>
      <w:r w:rsidR="00651EE4" w:rsidRPr="00F853DD">
        <w:rPr>
          <w:rFonts w:ascii="Times" w:hAnsi="Times" w:cs="Times New Roman"/>
          <w:sz w:val="23"/>
          <w:szCs w:val="23"/>
          <w:lang w:val="nl-NL"/>
        </w:rPr>
        <w:t>.</w:t>
      </w:r>
      <w:r w:rsidRPr="00F853DD">
        <w:rPr>
          <w:rFonts w:ascii="Times" w:hAnsi="Times" w:cs="Times New Roman"/>
          <w:sz w:val="23"/>
          <w:szCs w:val="23"/>
          <w:lang w:val="nl-NL"/>
        </w:rPr>
        <w:t xml:space="preserve"> </w:t>
      </w:r>
      <w:r w:rsidRPr="00F853DD">
        <w:rPr>
          <w:rFonts w:ascii="Times" w:hAnsi="Times" w:cs="Times New Roman"/>
          <w:b/>
          <w:sz w:val="23"/>
          <w:szCs w:val="23"/>
          <w:lang w:val="nl-NL"/>
        </w:rPr>
        <w:t>27</w:t>
      </w:r>
      <w:r w:rsidR="00651EE4" w:rsidRPr="00F853DD">
        <w:rPr>
          <w:rFonts w:ascii="Times" w:hAnsi="Times" w:cs="Times New Roman"/>
          <w:sz w:val="23"/>
          <w:szCs w:val="23"/>
          <w:lang w:val="nl-NL"/>
        </w:rPr>
        <w:t>.</w:t>
      </w:r>
      <w:r w:rsidRPr="00F853DD">
        <w:rPr>
          <w:rFonts w:ascii="Times" w:hAnsi="Times" w:cs="Times New Roman"/>
          <w:sz w:val="23"/>
          <w:szCs w:val="23"/>
          <w:lang w:val="nl-NL"/>
        </w:rPr>
        <w:t xml:space="preserve"> 365-372.</w:t>
      </w:r>
    </w:p>
    <w:p w14:paraId="59AFEE5C" w14:textId="432B9E7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 xml:space="preserve">Drewes, Y. M., Koenen, J. M., De Ruijter, W., Van Dijk-Van Dijk, D. D. A., Van Der Weele, G. M., Middelkoop, B. J. C., Reis, R., Assendelft, W. J. J. and Gussekloo, J. (2012). </w:t>
      </w:r>
      <w:r w:rsidRPr="00F853DD">
        <w:rPr>
          <w:rFonts w:ascii="Times" w:hAnsi="Times" w:cs="Times New Roman"/>
          <w:sz w:val="23"/>
          <w:szCs w:val="23"/>
        </w:rPr>
        <w:t xml:space="preserve">GPs' perspectives on preventive care for older people: a focus group study. </w:t>
      </w:r>
      <w:r w:rsidRPr="00F853DD">
        <w:rPr>
          <w:rFonts w:ascii="Times" w:hAnsi="Times" w:cs="Times New Roman"/>
          <w:i/>
          <w:sz w:val="23"/>
          <w:szCs w:val="23"/>
        </w:rPr>
        <w:t>British Journal of General Practice</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62</w:t>
      </w:r>
      <w:r w:rsidRPr="00F853DD">
        <w:rPr>
          <w:rFonts w:ascii="Times" w:hAnsi="Times" w:cs="Times New Roman"/>
          <w:sz w:val="23"/>
          <w:szCs w:val="23"/>
        </w:rPr>
        <w:t>, 2.</w:t>
      </w:r>
    </w:p>
    <w:p w14:paraId="4D5837C2" w14:textId="33E62EE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Du Mont, J., Kosa, D., Macdonald, S., Elliot, S. and Yaffe, M.</w:t>
      </w:r>
      <w:r w:rsidR="004A5806" w:rsidRPr="00F853DD">
        <w:rPr>
          <w:rFonts w:ascii="Times" w:hAnsi="Times" w:cs="Times New Roman"/>
          <w:sz w:val="23"/>
          <w:szCs w:val="23"/>
        </w:rPr>
        <w:t>,</w:t>
      </w:r>
      <w:r w:rsidRPr="00F853DD">
        <w:rPr>
          <w:rFonts w:ascii="Times" w:hAnsi="Times" w:cs="Times New Roman"/>
          <w:sz w:val="23"/>
          <w:szCs w:val="23"/>
        </w:rPr>
        <w:t xml:space="preserve"> (2015). Determining possible professionals and respective roles and responsibilities for a model comprehensive elder abuse intervention: A Delphi consensus survey. </w:t>
      </w:r>
      <w:r w:rsidRPr="00F853DD">
        <w:rPr>
          <w:rFonts w:ascii="Times" w:hAnsi="Times" w:cs="Times New Roman"/>
          <w:i/>
          <w:sz w:val="23"/>
          <w:szCs w:val="23"/>
        </w:rPr>
        <w:t>Plus One</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 24.</w:t>
      </w:r>
    </w:p>
    <w:p w14:paraId="4C5FDC60" w14:textId="0203E0D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Duhachek, A. and Kelting, K.</w:t>
      </w:r>
      <w:r w:rsidR="004A5806" w:rsidRPr="00F853DD">
        <w:rPr>
          <w:rFonts w:ascii="Times" w:hAnsi="Times" w:cs="Times New Roman"/>
          <w:sz w:val="23"/>
          <w:szCs w:val="23"/>
        </w:rPr>
        <w:t>,</w:t>
      </w:r>
      <w:r w:rsidR="00CB1ECE" w:rsidRPr="00F853DD">
        <w:rPr>
          <w:rFonts w:ascii="Times" w:hAnsi="Times" w:cs="Times New Roman"/>
          <w:sz w:val="23"/>
          <w:szCs w:val="23"/>
        </w:rPr>
        <w:t xml:space="preserve"> (2009). Coping repertoire: i</w:t>
      </w:r>
      <w:r w:rsidRPr="00F853DD">
        <w:rPr>
          <w:rFonts w:ascii="Times" w:hAnsi="Times" w:cs="Times New Roman"/>
          <w:sz w:val="23"/>
          <w:szCs w:val="23"/>
        </w:rPr>
        <w:t xml:space="preserve">ntegrating a new conceptualization of coping with transactional theory. </w:t>
      </w:r>
      <w:r w:rsidRPr="00F853DD">
        <w:rPr>
          <w:rFonts w:ascii="Times" w:hAnsi="Times" w:cs="Times New Roman"/>
          <w:i/>
          <w:sz w:val="23"/>
          <w:szCs w:val="23"/>
        </w:rPr>
        <w:t>Journal of Consumer Psychology</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 473-485.</w:t>
      </w:r>
    </w:p>
    <w:p w14:paraId="149632FB" w14:textId="4FFF57E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Dumitru, S.</w:t>
      </w:r>
      <w:r w:rsidR="004A5806" w:rsidRPr="00F853DD">
        <w:rPr>
          <w:rFonts w:ascii="Times" w:hAnsi="Times" w:cs="Times New Roman"/>
          <w:sz w:val="23"/>
          <w:szCs w:val="23"/>
        </w:rPr>
        <w:t>,</w:t>
      </w:r>
      <w:r w:rsidRPr="00F853DD">
        <w:rPr>
          <w:rFonts w:ascii="Times" w:hAnsi="Times" w:cs="Times New Roman"/>
          <w:sz w:val="23"/>
          <w:szCs w:val="23"/>
        </w:rPr>
        <w:t xml:space="preserve"> (2014). F</w:t>
      </w:r>
      <w:r w:rsidR="00CB1ECE" w:rsidRPr="00F853DD">
        <w:rPr>
          <w:rFonts w:ascii="Times" w:hAnsi="Times" w:cs="Times New Roman"/>
          <w:sz w:val="23"/>
          <w:szCs w:val="23"/>
        </w:rPr>
        <w:t>rom brain drain to care drain: w</w:t>
      </w:r>
      <w:r w:rsidRPr="00F853DD">
        <w:rPr>
          <w:rFonts w:ascii="Times" w:hAnsi="Times" w:cs="Times New Roman"/>
          <w:sz w:val="23"/>
          <w:szCs w:val="23"/>
        </w:rPr>
        <w:t xml:space="preserve">omen's labor migration and methodological sexism. </w:t>
      </w:r>
      <w:r w:rsidRPr="00F853DD">
        <w:rPr>
          <w:rFonts w:ascii="Times" w:hAnsi="Times" w:cs="Times New Roman"/>
          <w:i/>
          <w:sz w:val="23"/>
          <w:szCs w:val="23"/>
        </w:rPr>
        <w:t>Women's Studies International Forum</w:t>
      </w:r>
      <w:r w:rsidR="00CB1ECE"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 203-212.</w:t>
      </w:r>
    </w:p>
    <w:p w14:paraId="612E946F" w14:textId="1ABBF74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Dumont, R. G. and Wilson, W. J.</w:t>
      </w:r>
      <w:r w:rsidR="004A5806" w:rsidRPr="00F853DD">
        <w:rPr>
          <w:rFonts w:ascii="Times" w:hAnsi="Times" w:cs="Times New Roman"/>
          <w:sz w:val="23"/>
          <w:szCs w:val="23"/>
        </w:rPr>
        <w:t>,</w:t>
      </w:r>
      <w:r w:rsidR="00CB1ECE" w:rsidRPr="00F853DD">
        <w:rPr>
          <w:rFonts w:ascii="Times" w:hAnsi="Times" w:cs="Times New Roman"/>
          <w:sz w:val="23"/>
          <w:szCs w:val="23"/>
        </w:rPr>
        <w:t xml:space="preserve"> (1967). Aspects of concept formation, e</w:t>
      </w:r>
      <w:r w:rsidRPr="00F853DD">
        <w:rPr>
          <w:rFonts w:ascii="Times" w:hAnsi="Times" w:cs="Times New Roman"/>
          <w:sz w:val="23"/>
          <w:szCs w:val="23"/>
        </w:rPr>
        <w:t xml:space="preserve">xplication, and </w:t>
      </w:r>
      <w:r w:rsidR="00CB1ECE" w:rsidRPr="00F853DD">
        <w:rPr>
          <w:rFonts w:ascii="Times" w:hAnsi="Times" w:cs="Times New Roman"/>
          <w:sz w:val="23"/>
          <w:szCs w:val="23"/>
        </w:rPr>
        <w:t>t</w:t>
      </w:r>
      <w:r w:rsidRPr="00F853DD">
        <w:rPr>
          <w:rFonts w:ascii="Times" w:hAnsi="Times" w:cs="Times New Roman"/>
          <w:sz w:val="23"/>
          <w:szCs w:val="23"/>
        </w:rPr>
        <w:t xml:space="preserve">heory </w:t>
      </w:r>
      <w:r w:rsidR="00CB1ECE" w:rsidRPr="00F853DD">
        <w:rPr>
          <w:rFonts w:ascii="Times" w:hAnsi="Times" w:cs="Times New Roman"/>
          <w:sz w:val="23"/>
          <w:szCs w:val="23"/>
        </w:rPr>
        <w:t>c</w:t>
      </w:r>
      <w:r w:rsidRPr="00F853DD">
        <w:rPr>
          <w:rFonts w:ascii="Times" w:hAnsi="Times" w:cs="Times New Roman"/>
          <w:sz w:val="23"/>
          <w:szCs w:val="23"/>
        </w:rPr>
        <w:t xml:space="preserve">onstruction in Sociology. </w:t>
      </w:r>
      <w:r w:rsidRPr="00F853DD">
        <w:rPr>
          <w:rFonts w:ascii="Times" w:hAnsi="Times" w:cs="Times New Roman"/>
          <w:i/>
          <w:sz w:val="23"/>
          <w:szCs w:val="23"/>
        </w:rPr>
        <w:t>American Sociological Review</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32</w:t>
      </w:r>
      <w:r w:rsidRPr="00F853DD">
        <w:rPr>
          <w:rFonts w:ascii="Times" w:hAnsi="Times" w:cs="Times New Roman"/>
          <w:sz w:val="23"/>
          <w:szCs w:val="23"/>
        </w:rPr>
        <w:t>, 985-995.</w:t>
      </w:r>
    </w:p>
    <w:p w14:paraId="53014A94" w14:textId="02936F4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Dunahoo, C. L., Hobfoll, S. E., Monnier, J., Hulsizer, M. R. and Johnson, R.</w:t>
      </w:r>
      <w:r w:rsidR="004A5806" w:rsidRPr="00F853DD">
        <w:rPr>
          <w:rFonts w:ascii="Times" w:hAnsi="Times" w:cs="Times New Roman"/>
          <w:sz w:val="23"/>
          <w:szCs w:val="23"/>
        </w:rPr>
        <w:t>,</w:t>
      </w:r>
      <w:r w:rsidRPr="00F853DD">
        <w:rPr>
          <w:rFonts w:ascii="Times" w:hAnsi="Times" w:cs="Times New Roman"/>
          <w:sz w:val="23"/>
          <w:szCs w:val="23"/>
        </w:rPr>
        <w:t xml:space="preserve"> (1998). There's more than rugged individualism in coping. Part 1: </w:t>
      </w:r>
      <w:r w:rsidR="00CB1ECE" w:rsidRPr="00F853DD">
        <w:rPr>
          <w:rFonts w:ascii="Times" w:hAnsi="Times" w:cs="Times New Roman"/>
          <w:sz w:val="23"/>
          <w:szCs w:val="23"/>
        </w:rPr>
        <w:t>even the lone r</w:t>
      </w:r>
      <w:r w:rsidRPr="00F853DD">
        <w:rPr>
          <w:rFonts w:ascii="Times" w:hAnsi="Times" w:cs="Times New Roman"/>
          <w:sz w:val="23"/>
          <w:szCs w:val="23"/>
        </w:rPr>
        <w:t xml:space="preserve">anger had Tonto. </w:t>
      </w:r>
      <w:r w:rsidRPr="00F853DD">
        <w:rPr>
          <w:rFonts w:ascii="Times" w:hAnsi="Times" w:cs="Times New Roman"/>
          <w:i/>
          <w:sz w:val="23"/>
          <w:szCs w:val="23"/>
        </w:rPr>
        <w:t>Anxiety Stress and Coping</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137-165.</w:t>
      </w:r>
    </w:p>
    <w:p w14:paraId="7396EAF3" w14:textId="6E22D77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Dunnell, K.</w:t>
      </w:r>
      <w:r w:rsidR="004A5806" w:rsidRPr="00F853DD">
        <w:rPr>
          <w:rFonts w:ascii="Times" w:hAnsi="Times" w:cs="Times New Roman"/>
          <w:sz w:val="23"/>
          <w:szCs w:val="23"/>
        </w:rPr>
        <w:t>,</w:t>
      </w:r>
      <w:r w:rsidRPr="00F853DD">
        <w:rPr>
          <w:rFonts w:ascii="Times" w:hAnsi="Times" w:cs="Times New Roman"/>
          <w:sz w:val="23"/>
          <w:szCs w:val="23"/>
        </w:rPr>
        <w:t xml:space="preserve"> (2008). Ageing and Mortality in the UK. In: </w:t>
      </w:r>
      <w:r w:rsidRPr="00F853DD">
        <w:rPr>
          <w:rFonts w:ascii="Times" w:hAnsi="Times" w:cs="Times New Roman"/>
          <w:i/>
          <w:sz w:val="23"/>
          <w:szCs w:val="23"/>
        </w:rPr>
        <w:t>Statistics</w:t>
      </w:r>
      <w:r w:rsidRPr="00F853DD">
        <w:rPr>
          <w:rFonts w:ascii="Times" w:hAnsi="Times" w:cs="Times New Roman"/>
          <w:sz w:val="23"/>
          <w:szCs w:val="23"/>
        </w:rPr>
        <w:t>, O. F. N. (ed.).</w:t>
      </w:r>
    </w:p>
    <w:p w14:paraId="7FC06EA6" w14:textId="32C5042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Dunér, A. (2010). Motives, experiences and strategies of next of kin helping older relatives in the Swedish welfare context: A qualitative study. </w:t>
      </w:r>
      <w:r w:rsidRPr="00F853DD">
        <w:rPr>
          <w:rFonts w:ascii="Times" w:hAnsi="Times" w:cs="Times New Roman"/>
          <w:i/>
          <w:sz w:val="23"/>
          <w:szCs w:val="23"/>
        </w:rPr>
        <w:t>International Journal of Social Welfare</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 54-62.</w:t>
      </w:r>
    </w:p>
    <w:p w14:paraId="1461D89C" w14:textId="771EE79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Dunér, A. and Nordström, M.</w:t>
      </w:r>
      <w:r w:rsidR="004A5806" w:rsidRPr="00F853DD">
        <w:rPr>
          <w:rFonts w:ascii="Times" w:hAnsi="Times" w:cs="Times New Roman"/>
          <w:sz w:val="23"/>
          <w:szCs w:val="23"/>
        </w:rPr>
        <w:t>,</w:t>
      </w:r>
      <w:r w:rsidRPr="00F853DD">
        <w:rPr>
          <w:rFonts w:ascii="Times" w:hAnsi="Times" w:cs="Times New Roman"/>
          <w:sz w:val="23"/>
          <w:szCs w:val="23"/>
        </w:rPr>
        <w:t xml:space="preserve"> (2005). Intentions and st</w:t>
      </w:r>
      <w:r w:rsidR="00CB1ECE" w:rsidRPr="00F853DD">
        <w:rPr>
          <w:rFonts w:ascii="Times" w:hAnsi="Times" w:cs="Times New Roman"/>
          <w:sz w:val="23"/>
          <w:szCs w:val="23"/>
        </w:rPr>
        <w:t>rategies among elderly people: c</w:t>
      </w:r>
      <w:r w:rsidRPr="00F853DD">
        <w:rPr>
          <w:rFonts w:ascii="Times" w:hAnsi="Times" w:cs="Times New Roman"/>
          <w:sz w:val="23"/>
          <w:szCs w:val="23"/>
        </w:rPr>
        <w:t xml:space="preserve">oping in everyday life. </w:t>
      </w:r>
      <w:r w:rsidRPr="00F853DD">
        <w:rPr>
          <w:rFonts w:ascii="Times" w:hAnsi="Times" w:cs="Times New Roman"/>
          <w:i/>
          <w:sz w:val="23"/>
          <w:szCs w:val="23"/>
        </w:rPr>
        <w:t>Journal of Aging Studies</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 437-451.</w:t>
      </w:r>
    </w:p>
    <w:p w14:paraId="08BF875B" w14:textId="43023F2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Durant, T. and Christian, O.</w:t>
      </w:r>
      <w:r w:rsidR="004A5806" w:rsidRPr="00F853DD">
        <w:rPr>
          <w:rFonts w:ascii="Times" w:hAnsi="Times" w:cs="Times New Roman"/>
          <w:sz w:val="23"/>
          <w:szCs w:val="23"/>
        </w:rPr>
        <w:t>,</w:t>
      </w:r>
      <w:r w:rsidRPr="00F853DD">
        <w:rPr>
          <w:rFonts w:ascii="Times" w:hAnsi="Times" w:cs="Times New Roman"/>
          <w:sz w:val="23"/>
          <w:szCs w:val="23"/>
        </w:rPr>
        <w:t xml:space="preserve"> (2006) </w:t>
      </w:r>
      <w:r w:rsidRPr="00F853DD">
        <w:rPr>
          <w:rFonts w:ascii="Times" w:hAnsi="Times" w:cs="Times New Roman"/>
          <w:i/>
          <w:sz w:val="23"/>
          <w:szCs w:val="23"/>
        </w:rPr>
        <w:t>Caregiving to aging Parents</w:t>
      </w:r>
      <w:r w:rsidRPr="00F853DD">
        <w:rPr>
          <w:rFonts w:ascii="Times" w:hAnsi="Times" w:cs="Times New Roman"/>
          <w:sz w:val="23"/>
          <w:szCs w:val="23"/>
        </w:rPr>
        <w:t>. Forum on Public Policy.</w:t>
      </w:r>
    </w:p>
    <w:p w14:paraId="36B867C1" w14:textId="18FBE8D1"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Dwyer, J., Lee, G. And Jankowski, T.</w:t>
      </w:r>
      <w:r w:rsidR="004A5806" w:rsidRPr="00F853DD">
        <w:rPr>
          <w:rFonts w:ascii="Times" w:hAnsi="Times" w:cs="Times New Roman"/>
          <w:sz w:val="23"/>
          <w:szCs w:val="23"/>
        </w:rPr>
        <w:t>,</w:t>
      </w:r>
      <w:r w:rsidR="00DF05BD" w:rsidRPr="00F853DD">
        <w:rPr>
          <w:rFonts w:ascii="Times" w:hAnsi="Times" w:cs="Times New Roman"/>
          <w:sz w:val="23"/>
          <w:szCs w:val="23"/>
        </w:rPr>
        <w:t xml:space="preserve"> (1994). Reciprocity, elder satisfaction, and caregiver stress and burden: the exchange of aid in the family caregiving relationship. </w:t>
      </w:r>
      <w:r w:rsidR="00DF05BD" w:rsidRPr="00F853DD">
        <w:rPr>
          <w:rFonts w:ascii="Times" w:hAnsi="Times" w:cs="Times New Roman"/>
          <w:i/>
          <w:sz w:val="23"/>
          <w:szCs w:val="23"/>
        </w:rPr>
        <w:t>Journal of Marriage and the Family</w:t>
      </w:r>
      <w:r w:rsidR="00CB1EC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56</w:t>
      </w:r>
      <w:r w:rsidR="00DF05BD" w:rsidRPr="00F853DD">
        <w:rPr>
          <w:rFonts w:ascii="Times" w:hAnsi="Times" w:cs="Times New Roman"/>
          <w:sz w:val="23"/>
          <w:szCs w:val="23"/>
        </w:rPr>
        <w:t>, 35-43.</w:t>
      </w:r>
    </w:p>
    <w:p w14:paraId="5B712BB5" w14:textId="3544DEEF"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Dyer, J.</w:t>
      </w:r>
      <w:r w:rsidR="00DF05BD" w:rsidRPr="00F853DD">
        <w:rPr>
          <w:rFonts w:ascii="Times" w:hAnsi="Times" w:cs="Times New Roman"/>
          <w:sz w:val="23"/>
          <w:szCs w:val="23"/>
        </w:rPr>
        <w:t xml:space="preserve"> and McGuinness</w:t>
      </w:r>
      <w:r w:rsidRPr="00F853DD">
        <w:rPr>
          <w:rFonts w:ascii="Times" w:hAnsi="Times" w:cs="Times New Roman"/>
          <w:sz w:val="23"/>
          <w:szCs w:val="23"/>
        </w:rPr>
        <w:t>, T.</w:t>
      </w:r>
      <w:r w:rsidR="004A5806" w:rsidRPr="00F853DD">
        <w:rPr>
          <w:rFonts w:ascii="Times" w:hAnsi="Times" w:cs="Times New Roman"/>
          <w:sz w:val="23"/>
          <w:szCs w:val="23"/>
        </w:rPr>
        <w:t>,</w:t>
      </w:r>
      <w:r w:rsidR="00DF05BD" w:rsidRPr="00F853DD">
        <w:rPr>
          <w:rFonts w:ascii="Times" w:hAnsi="Times" w:cs="Times New Roman"/>
          <w:sz w:val="23"/>
          <w:szCs w:val="23"/>
        </w:rPr>
        <w:t xml:space="preserve"> (1996). Resilience: Analysis of the concept. </w:t>
      </w:r>
      <w:r w:rsidR="00DF05BD" w:rsidRPr="00F853DD">
        <w:rPr>
          <w:rFonts w:ascii="Times" w:hAnsi="Times" w:cs="Times New Roman"/>
          <w:i/>
          <w:sz w:val="23"/>
          <w:szCs w:val="23"/>
        </w:rPr>
        <w:t>Archives of Psychiatric Nursing</w:t>
      </w:r>
      <w:r w:rsidR="00CB1EC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w:t>
      </w:r>
      <w:r w:rsidR="00DF05BD" w:rsidRPr="00F853DD">
        <w:rPr>
          <w:rFonts w:ascii="Times" w:hAnsi="Times" w:cs="Times New Roman"/>
          <w:sz w:val="23"/>
          <w:szCs w:val="23"/>
        </w:rPr>
        <w:t>, 276-282.</w:t>
      </w:r>
    </w:p>
    <w:p w14:paraId="55A32C1B" w14:textId="7152EBA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Dyk, P. And Schvaneveldt, J.</w:t>
      </w:r>
      <w:r w:rsidR="007F4C43" w:rsidRPr="00F853DD">
        <w:rPr>
          <w:rFonts w:ascii="Times" w:hAnsi="Times" w:cs="Times New Roman"/>
          <w:sz w:val="23"/>
          <w:szCs w:val="23"/>
        </w:rPr>
        <w:t>,</w:t>
      </w:r>
      <w:r w:rsidR="007B026D" w:rsidRPr="00F853DD">
        <w:rPr>
          <w:rFonts w:ascii="Times" w:hAnsi="Times" w:cs="Times New Roman"/>
          <w:sz w:val="23"/>
          <w:szCs w:val="23"/>
        </w:rPr>
        <w:t xml:space="preserve"> (1987). Coping as a concept in family t</w:t>
      </w:r>
      <w:r w:rsidRPr="00F853DD">
        <w:rPr>
          <w:rFonts w:ascii="Times" w:hAnsi="Times" w:cs="Times New Roman"/>
          <w:sz w:val="23"/>
          <w:szCs w:val="23"/>
        </w:rPr>
        <w:t>heory</w:t>
      </w:r>
      <w:r w:rsidR="007B026D" w:rsidRPr="00F853DD">
        <w:rPr>
          <w:rFonts w:ascii="Times" w:hAnsi="Times" w:cs="Times New Roman"/>
          <w:sz w:val="23"/>
          <w:szCs w:val="23"/>
        </w:rPr>
        <w:t xml:space="preserve">. </w:t>
      </w:r>
      <w:r w:rsidRPr="00F853DD">
        <w:rPr>
          <w:rFonts w:ascii="Times" w:hAnsi="Times" w:cs="Times New Roman"/>
          <w:i/>
          <w:sz w:val="23"/>
          <w:szCs w:val="23"/>
        </w:rPr>
        <w:t>Family Science Review</w:t>
      </w:r>
      <w:r w:rsidR="007B026D" w:rsidRPr="00F853DD">
        <w:rPr>
          <w:rFonts w:ascii="Times" w:hAnsi="Times" w:cs="Times New Roman"/>
          <w:i/>
          <w:sz w:val="23"/>
          <w:szCs w:val="23"/>
        </w:rPr>
        <w:t xml:space="preserve"> </w:t>
      </w:r>
      <w:r w:rsidR="007B026D" w:rsidRPr="00F853DD">
        <w:rPr>
          <w:rFonts w:ascii="Times" w:hAnsi="Times" w:cs="Times New Roman"/>
          <w:sz w:val="23"/>
          <w:szCs w:val="23"/>
        </w:rPr>
        <w:t>[online].</w:t>
      </w:r>
      <w:r w:rsidRPr="00F853DD">
        <w:rPr>
          <w:rFonts w:ascii="Times" w:hAnsi="Times" w:cs="Times New Roman"/>
          <w:sz w:val="23"/>
          <w:szCs w:val="23"/>
        </w:rPr>
        <w:t xml:space="preserve"> </w:t>
      </w:r>
      <w:r w:rsidRPr="00F853DD">
        <w:rPr>
          <w:rFonts w:ascii="Times" w:hAnsi="Times" w:cs="Times New Roman"/>
          <w:b/>
          <w:sz w:val="23"/>
          <w:szCs w:val="23"/>
        </w:rPr>
        <w:t>1</w:t>
      </w:r>
      <w:r w:rsidRPr="00F853DD">
        <w:rPr>
          <w:rFonts w:ascii="Times" w:hAnsi="Times" w:cs="Times New Roman"/>
          <w:sz w:val="23"/>
          <w:szCs w:val="23"/>
        </w:rPr>
        <w:t xml:space="preserve">. Available from: http://www.familyscienceassociation.org/sites/default/files/Vol%201%20No%201%20Article%202.PDF. Dykstra, P. A. (2007). Aging and social support. In </w:t>
      </w:r>
      <w:r w:rsidRPr="00F853DD">
        <w:rPr>
          <w:rFonts w:ascii="Times" w:hAnsi="Times" w:cs="Times New Roman"/>
          <w:i/>
          <w:sz w:val="23"/>
          <w:szCs w:val="23"/>
        </w:rPr>
        <w:t>The Blackwell encyclopedia of sociology</w:t>
      </w:r>
      <w:r w:rsidRPr="00F853DD">
        <w:rPr>
          <w:rFonts w:ascii="Times" w:hAnsi="Times" w:cs="Times New Roman"/>
          <w:sz w:val="23"/>
          <w:szCs w:val="23"/>
        </w:rPr>
        <w:t>. Malden, MA [etc.]: Blackwell Publishing.</w:t>
      </w:r>
    </w:p>
    <w:p w14:paraId="6FDFE22B" w14:textId="7941032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Döhner, H., Kofahl, C., Lamura, G. and Triantafillou, J.</w:t>
      </w:r>
      <w:r w:rsidR="007F4C43" w:rsidRPr="00F853DD">
        <w:rPr>
          <w:rFonts w:ascii="Times" w:hAnsi="Times" w:cs="Times New Roman"/>
          <w:sz w:val="23"/>
          <w:szCs w:val="23"/>
        </w:rPr>
        <w:t>,</w:t>
      </w:r>
      <w:r w:rsidRPr="00F853DD">
        <w:rPr>
          <w:rFonts w:ascii="Times" w:hAnsi="Times" w:cs="Times New Roman"/>
          <w:sz w:val="23"/>
          <w:szCs w:val="23"/>
        </w:rPr>
        <w:t xml:space="preserve"> (2006). </w:t>
      </w:r>
      <w:r w:rsidRPr="00F853DD">
        <w:rPr>
          <w:rFonts w:ascii="Times" w:hAnsi="Times" w:cs="Times New Roman"/>
          <w:i/>
          <w:sz w:val="23"/>
          <w:szCs w:val="23"/>
        </w:rPr>
        <w:t>Services for supporting family carers of older dependent people in Europe: Characteristics, Coverage and Usage</w:t>
      </w:r>
      <w:r w:rsidRPr="00F853DD">
        <w:rPr>
          <w:rFonts w:ascii="Times" w:hAnsi="Times" w:cs="Times New Roman"/>
          <w:sz w:val="23"/>
          <w:szCs w:val="23"/>
        </w:rPr>
        <w:t xml:space="preserve"> (Trans-European Survey Report). EUROFAMCARE Consortium.</w:t>
      </w:r>
    </w:p>
    <w:p w14:paraId="7AF48E11" w14:textId="253F7EF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Earvolino-Ramirez, M.</w:t>
      </w:r>
      <w:r w:rsidR="007F4C43" w:rsidRPr="00F853DD">
        <w:rPr>
          <w:rFonts w:ascii="Times" w:hAnsi="Times" w:cs="Times New Roman"/>
          <w:sz w:val="23"/>
          <w:szCs w:val="23"/>
        </w:rPr>
        <w:t>,</w:t>
      </w:r>
      <w:r w:rsidRPr="00F853DD">
        <w:rPr>
          <w:rFonts w:ascii="Times" w:hAnsi="Times" w:cs="Times New Roman"/>
          <w:sz w:val="23"/>
          <w:szCs w:val="23"/>
        </w:rPr>
        <w:t xml:space="preserve"> (2007)a. Resilience: </w:t>
      </w:r>
      <w:r w:rsidR="00CB1ECE" w:rsidRPr="00F853DD">
        <w:rPr>
          <w:rFonts w:ascii="Times" w:hAnsi="Times" w:cs="Times New Roman"/>
          <w:sz w:val="23"/>
          <w:szCs w:val="23"/>
        </w:rPr>
        <w:t>a concept a</w:t>
      </w:r>
      <w:r w:rsidRPr="00F853DD">
        <w:rPr>
          <w:rFonts w:ascii="Times" w:hAnsi="Times" w:cs="Times New Roman"/>
          <w:sz w:val="23"/>
          <w:szCs w:val="23"/>
        </w:rPr>
        <w:t xml:space="preserve">nalysis [online]. </w:t>
      </w:r>
      <w:r w:rsidRPr="00F853DD">
        <w:rPr>
          <w:rFonts w:ascii="Times" w:hAnsi="Times" w:cs="Times New Roman"/>
          <w:i/>
          <w:sz w:val="23"/>
          <w:szCs w:val="23"/>
        </w:rPr>
        <w:t>Nursing Forum</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 xml:space="preserve">. Available from: http://www.nursingacademy.com/uploads/6/4/8/8/6488931/resilienceaconceptanalysis.pdf. </w:t>
      </w:r>
    </w:p>
    <w:p w14:paraId="12FB2B86" w14:textId="69DB6D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Earvolino-Ramirez, M.</w:t>
      </w:r>
      <w:r w:rsidR="007F4C43" w:rsidRPr="00F853DD">
        <w:rPr>
          <w:rFonts w:ascii="Times" w:hAnsi="Times" w:cs="Times New Roman"/>
          <w:sz w:val="23"/>
          <w:szCs w:val="23"/>
        </w:rPr>
        <w:t>,</w:t>
      </w:r>
      <w:r w:rsidRPr="00F853DD">
        <w:rPr>
          <w:rFonts w:ascii="Times" w:hAnsi="Times" w:cs="Times New Roman"/>
          <w:sz w:val="23"/>
          <w:szCs w:val="23"/>
        </w:rPr>
        <w:t xml:space="preserve"> (2007)b. Resilience: a concept analysis. </w:t>
      </w:r>
      <w:r w:rsidRPr="00F853DD">
        <w:rPr>
          <w:rFonts w:ascii="Times" w:hAnsi="Times" w:cs="Times New Roman"/>
          <w:i/>
          <w:sz w:val="23"/>
          <w:szCs w:val="23"/>
        </w:rPr>
        <w:t>Nursing Forum</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 73-82.</w:t>
      </w:r>
    </w:p>
    <w:p w14:paraId="48C16535" w14:textId="476404B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Eckenwiler, L.</w:t>
      </w:r>
      <w:r w:rsidR="007F4C43" w:rsidRPr="00F853DD">
        <w:rPr>
          <w:rFonts w:ascii="Times" w:hAnsi="Times" w:cs="Times New Roman"/>
          <w:sz w:val="23"/>
          <w:szCs w:val="23"/>
        </w:rPr>
        <w:t>,</w:t>
      </w:r>
      <w:r w:rsidRPr="00F853DD">
        <w:rPr>
          <w:rFonts w:ascii="Times" w:hAnsi="Times" w:cs="Times New Roman"/>
          <w:sz w:val="23"/>
          <w:szCs w:val="23"/>
        </w:rPr>
        <w:t xml:space="preserve"> (2014). Care worker migration, global health equity, and ethical place-making. </w:t>
      </w:r>
      <w:r w:rsidRPr="00F853DD">
        <w:rPr>
          <w:rFonts w:ascii="Times" w:hAnsi="Times" w:cs="Times New Roman"/>
          <w:i/>
          <w:sz w:val="23"/>
          <w:szCs w:val="23"/>
        </w:rPr>
        <w:t>Women's Studies International Forum</w:t>
      </w:r>
      <w:r w:rsidR="00CB1EC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 213-222.</w:t>
      </w:r>
    </w:p>
    <w:p w14:paraId="3E547E91" w14:textId="0C5A782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Eckenwiler, L. A.</w:t>
      </w:r>
      <w:r w:rsidR="007F4C43" w:rsidRPr="00F853DD">
        <w:rPr>
          <w:rFonts w:ascii="Times" w:hAnsi="Times" w:cs="Times New Roman"/>
          <w:sz w:val="23"/>
          <w:szCs w:val="23"/>
        </w:rPr>
        <w:t>,</w:t>
      </w:r>
      <w:r w:rsidRPr="00F853DD">
        <w:rPr>
          <w:rFonts w:ascii="Times" w:hAnsi="Times" w:cs="Times New Roman"/>
          <w:sz w:val="23"/>
          <w:szCs w:val="23"/>
        </w:rPr>
        <w:t xml:space="preserve"> (2007). An ecological framework for caregiving. </w:t>
      </w:r>
      <w:r w:rsidRPr="00F853DD">
        <w:rPr>
          <w:rFonts w:ascii="Times" w:hAnsi="Times" w:cs="Times New Roman"/>
          <w:i/>
          <w:sz w:val="23"/>
          <w:szCs w:val="23"/>
        </w:rPr>
        <w:t>American Journal of Public Health</w:t>
      </w:r>
      <w:r w:rsidR="007B026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97</w:t>
      </w:r>
      <w:r w:rsidRPr="00F853DD">
        <w:rPr>
          <w:rFonts w:ascii="Times" w:hAnsi="Times" w:cs="Times New Roman"/>
          <w:sz w:val="23"/>
          <w:szCs w:val="23"/>
        </w:rPr>
        <w:t>, 1930-1931.</w:t>
      </w:r>
    </w:p>
    <w:p w14:paraId="4A88521F" w14:textId="5E0F7C2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ECLAC</w:t>
      </w:r>
      <w:r w:rsidR="007F4C43" w:rsidRPr="00F853DD">
        <w:rPr>
          <w:rFonts w:ascii="Times" w:hAnsi="Times" w:cs="Times New Roman"/>
          <w:sz w:val="23"/>
          <w:szCs w:val="23"/>
        </w:rPr>
        <w:t>,</w:t>
      </w:r>
      <w:r w:rsidRPr="00F853DD">
        <w:rPr>
          <w:rFonts w:ascii="Times" w:hAnsi="Times" w:cs="Times New Roman"/>
          <w:sz w:val="23"/>
          <w:szCs w:val="23"/>
        </w:rPr>
        <w:t xml:space="preserve"> (2016). </w:t>
      </w:r>
      <w:r w:rsidR="007B026D" w:rsidRPr="00F853DD">
        <w:rPr>
          <w:rFonts w:ascii="Times" w:hAnsi="Times" w:cs="Times New Roman"/>
          <w:i/>
          <w:sz w:val="23"/>
          <w:szCs w:val="23"/>
        </w:rPr>
        <w:t>Preliminary overview of the e</w:t>
      </w:r>
      <w:r w:rsidRPr="00F853DD">
        <w:rPr>
          <w:rFonts w:ascii="Times" w:hAnsi="Times" w:cs="Times New Roman"/>
          <w:i/>
          <w:sz w:val="23"/>
          <w:szCs w:val="23"/>
        </w:rPr>
        <w:t>conomies of Latin America and the Caribbean</w:t>
      </w:r>
      <w:r w:rsidRPr="00F853DD">
        <w:rPr>
          <w:rFonts w:ascii="Times" w:hAnsi="Times" w:cs="Times New Roman"/>
          <w:sz w:val="23"/>
          <w:szCs w:val="23"/>
        </w:rPr>
        <w:t>. Santiago.</w:t>
      </w:r>
    </w:p>
    <w:p w14:paraId="6AC35A1B" w14:textId="065643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ECLAC</w:t>
      </w:r>
      <w:r w:rsidR="007F4C43"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Challenges to the autonomy and interdependent rights of older persons. Chile</w:t>
      </w:r>
      <w:r w:rsidRPr="00F853DD">
        <w:rPr>
          <w:rFonts w:ascii="Times" w:hAnsi="Times" w:cs="Times New Roman"/>
          <w:sz w:val="23"/>
          <w:szCs w:val="23"/>
        </w:rPr>
        <w:t xml:space="preserve"> (Santiago). </w:t>
      </w:r>
    </w:p>
    <w:p w14:paraId="6364BEC2" w14:textId="2FF10CD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Edelman, P. and Hughes, S.</w:t>
      </w:r>
      <w:r w:rsidR="007F4C43" w:rsidRPr="00F853DD">
        <w:rPr>
          <w:rFonts w:ascii="Times" w:hAnsi="Times" w:cs="Times New Roman"/>
          <w:sz w:val="23"/>
          <w:szCs w:val="23"/>
        </w:rPr>
        <w:t>,</w:t>
      </w:r>
      <w:r w:rsidR="007B026D" w:rsidRPr="00F853DD">
        <w:rPr>
          <w:rFonts w:ascii="Times" w:hAnsi="Times" w:cs="Times New Roman"/>
          <w:sz w:val="23"/>
          <w:szCs w:val="23"/>
        </w:rPr>
        <w:t xml:space="preserve"> (1990). The i</w:t>
      </w:r>
      <w:r w:rsidRPr="00F853DD">
        <w:rPr>
          <w:rFonts w:ascii="Times" w:hAnsi="Times" w:cs="Times New Roman"/>
          <w:sz w:val="23"/>
          <w:szCs w:val="23"/>
        </w:rPr>
        <w:t xml:space="preserve">mpact of community care on provision of informal care to homebound elderly persons. </w:t>
      </w:r>
      <w:r w:rsidRPr="00F853DD">
        <w:rPr>
          <w:rFonts w:ascii="Times" w:hAnsi="Times" w:cs="Times New Roman"/>
          <w:i/>
          <w:sz w:val="23"/>
          <w:szCs w:val="23"/>
        </w:rPr>
        <w:t>Journals of Gerontology</w:t>
      </w:r>
      <w:r w:rsidR="007B026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45</w:t>
      </w:r>
      <w:r w:rsidRPr="00F853DD">
        <w:rPr>
          <w:rFonts w:ascii="Times" w:hAnsi="Times" w:cs="Times New Roman"/>
          <w:sz w:val="23"/>
          <w:szCs w:val="23"/>
        </w:rPr>
        <w:t>, S74-S84.</w:t>
      </w:r>
    </w:p>
    <w:p w14:paraId="2AF70978" w14:textId="4ABC130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Edwards, E. and Hall, J.</w:t>
      </w:r>
      <w:r w:rsidR="007F4C43" w:rsidRPr="00F853DD">
        <w:rPr>
          <w:rFonts w:ascii="Times" w:hAnsi="Times" w:cs="Times New Roman"/>
          <w:sz w:val="23"/>
          <w:szCs w:val="23"/>
        </w:rPr>
        <w:t>,</w:t>
      </w:r>
      <w:r w:rsidRPr="00F853DD">
        <w:rPr>
          <w:rFonts w:ascii="Times" w:hAnsi="Times" w:cs="Times New Roman"/>
          <w:sz w:val="23"/>
          <w:szCs w:val="23"/>
        </w:rPr>
        <w:t xml:space="preserve"> (2015). Resilience in </w:t>
      </w:r>
      <w:r w:rsidR="007B026D" w:rsidRPr="00F853DD">
        <w:rPr>
          <w:rFonts w:ascii="Times" w:hAnsi="Times" w:cs="Times New Roman"/>
          <w:sz w:val="23"/>
          <w:szCs w:val="23"/>
        </w:rPr>
        <w:t>a</w:t>
      </w:r>
      <w:r w:rsidRPr="00F853DD">
        <w:rPr>
          <w:rFonts w:ascii="Times" w:hAnsi="Times" w:cs="Times New Roman"/>
          <w:sz w:val="23"/>
          <w:szCs w:val="23"/>
        </w:rPr>
        <w:t>ging</w:t>
      </w:r>
      <w:r w:rsidR="007B026D" w:rsidRPr="00F853DD">
        <w:rPr>
          <w:rFonts w:ascii="Times" w:hAnsi="Times" w:cs="Times New Roman"/>
          <w:sz w:val="23"/>
          <w:szCs w:val="23"/>
        </w:rPr>
        <w:t xml:space="preserve">. </w:t>
      </w:r>
      <w:r w:rsidR="007B026D" w:rsidRPr="00F853DD">
        <w:rPr>
          <w:rFonts w:ascii="Times" w:hAnsi="Times" w:cs="Times New Roman"/>
          <w:i/>
          <w:sz w:val="23"/>
          <w:szCs w:val="23"/>
        </w:rPr>
        <w:t xml:space="preserve">Elder Care: </w:t>
      </w:r>
      <w:r w:rsidR="00066C38" w:rsidRPr="00F853DD">
        <w:rPr>
          <w:rFonts w:ascii="Times" w:hAnsi="Times" w:cs="Times New Roman"/>
          <w:i/>
          <w:sz w:val="23"/>
          <w:szCs w:val="23"/>
        </w:rPr>
        <w:t>a</w:t>
      </w:r>
      <w:r w:rsidR="007B026D" w:rsidRPr="00F853DD">
        <w:rPr>
          <w:rFonts w:ascii="Times" w:hAnsi="Times" w:cs="Times New Roman"/>
          <w:i/>
          <w:sz w:val="23"/>
          <w:szCs w:val="23"/>
        </w:rPr>
        <w:t xml:space="preserve"> r</w:t>
      </w:r>
      <w:r w:rsidR="00066C38" w:rsidRPr="00F853DD">
        <w:rPr>
          <w:rFonts w:ascii="Times" w:hAnsi="Times" w:cs="Times New Roman"/>
          <w:i/>
          <w:sz w:val="23"/>
          <w:szCs w:val="23"/>
        </w:rPr>
        <w:t>esource for interprofessional p</w:t>
      </w:r>
      <w:r w:rsidRPr="00F853DD">
        <w:rPr>
          <w:rFonts w:ascii="Times" w:hAnsi="Times" w:cs="Times New Roman"/>
          <w:i/>
          <w:sz w:val="23"/>
          <w:szCs w:val="23"/>
        </w:rPr>
        <w:t>roviders.</w:t>
      </w:r>
      <w:r w:rsidRPr="00F853DD">
        <w:rPr>
          <w:rFonts w:ascii="Times" w:hAnsi="Times" w:cs="Times New Roman"/>
          <w:sz w:val="23"/>
          <w:szCs w:val="23"/>
        </w:rPr>
        <w:t xml:space="preserve"> Available from: https://nursingandhealth.asu.edu/sites/default/files/resilience-in-aging.pdf. </w:t>
      </w:r>
    </w:p>
    <w:p w14:paraId="62331722" w14:textId="5954E9AC" w:rsidR="00DF05BD" w:rsidRPr="00F853DD" w:rsidRDefault="005B61F4" w:rsidP="00E1694A">
      <w:pPr>
        <w:shd w:val="clear" w:color="auto" w:fill="FFFFFF"/>
        <w:spacing w:line="240" w:lineRule="auto"/>
        <w:ind w:left="567" w:hanging="567"/>
        <w:rPr>
          <w:rFonts w:ascii="Times" w:eastAsia="Times New Roman" w:hAnsi="Times" w:cs="Times New Roman"/>
          <w:sz w:val="23"/>
          <w:szCs w:val="23"/>
        </w:rPr>
      </w:pPr>
      <w:r w:rsidRPr="00F853DD">
        <w:rPr>
          <w:rFonts w:ascii="Times" w:eastAsia="Times New Roman" w:hAnsi="Times" w:cs="Times New Roman"/>
          <w:sz w:val="23"/>
          <w:szCs w:val="23"/>
        </w:rPr>
        <w:t>Edwards, A., Zarit, S., Stephens, M.</w:t>
      </w:r>
      <w:r w:rsidR="00DF05BD" w:rsidRPr="00F853DD">
        <w:rPr>
          <w:rFonts w:ascii="Times" w:eastAsia="Times New Roman" w:hAnsi="Times" w:cs="Times New Roman"/>
          <w:sz w:val="23"/>
          <w:szCs w:val="23"/>
        </w:rPr>
        <w:t xml:space="preserve"> and Townsend, A.</w:t>
      </w:r>
      <w:r w:rsidR="004844C6" w:rsidRPr="00F853DD">
        <w:rPr>
          <w:rFonts w:ascii="Times" w:eastAsia="Times New Roman" w:hAnsi="Times" w:cs="Times New Roman"/>
          <w:sz w:val="23"/>
          <w:szCs w:val="23"/>
        </w:rPr>
        <w:t>,</w:t>
      </w:r>
      <w:r w:rsidR="00DF05BD" w:rsidRPr="00F853DD">
        <w:rPr>
          <w:rFonts w:ascii="Times" w:eastAsia="Times New Roman" w:hAnsi="Times" w:cs="Times New Roman"/>
          <w:sz w:val="23"/>
          <w:szCs w:val="23"/>
        </w:rPr>
        <w:t xml:space="preserve"> (2002). Employed family caregivers of</w:t>
      </w:r>
      <w:r w:rsidR="00066C38" w:rsidRPr="00F853DD">
        <w:rPr>
          <w:rFonts w:ascii="Times" w:eastAsia="Times New Roman" w:hAnsi="Times" w:cs="Times New Roman"/>
          <w:sz w:val="23"/>
          <w:szCs w:val="23"/>
        </w:rPr>
        <w:t xml:space="preserve"> cognitively impaired elderly: a</w:t>
      </w:r>
      <w:r w:rsidR="00DF05BD" w:rsidRPr="00F853DD">
        <w:rPr>
          <w:rFonts w:ascii="Times" w:eastAsia="Times New Roman" w:hAnsi="Times" w:cs="Times New Roman"/>
          <w:sz w:val="23"/>
          <w:szCs w:val="23"/>
        </w:rPr>
        <w:t>n examination of role strain and depressive symptoms. </w:t>
      </w:r>
      <w:r w:rsidR="00DF05BD" w:rsidRPr="00F853DD">
        <w:rPr>
          <w:rFonts w:ascii="Times" w:eastAsia="Times New Roman" w:hAnsi="Times" w:cs="Times New Roman"/>
          <w:i/>
          <w:iCs/>
          <w:sz w:val="23"/>
          <w:szCs w:val="23"/>
        </w:rPr>
        <w:t>Aging &amp; Mental Health</w:t>
      </w:r>
      <w:r w:rsidR="00A36DC4" w:rsidRPr="00F853DD">
        <w:rPr>
          <w:rFonts w:ascii="Times" w:eastAsia="Times New Roman" w:hAnsi="Times" w:cs="Times New Roman"/>
          <w:sz w:val="23"/>
          <w:szCs w:val="23"/>
        </w:rPr>
        <w:t>.</w:t>
      </w:r>
      <w:r w:rsidR="00DF05BD" w:rsidRPr="00F853DD">
        <w:rPr>
          <w:rFonts w:ascii="Times" w:eastAsia="Times New Roman" w:hAnsi="Times" w:cs="Times New Roman"/>
          <w:sz w:val="23"/>
          <w:szCs w:val="23"/>
        </w:rPr>
        <w:t> </w:t>
      </w:r>
      <w:r w:rsidR="00DF05BD" w:rsidRPr="00F853DD">
        <w:rPr>
          <w:rFonts w:ascii="Times" w:eastAsia="Times New Roman" w:hAnsi="Times" w:cs="Times New Roman"/>
          <w:b/>
          <w:i/>
          <w:iCs/>
          <w:sz w:val="23"/>
          <w:szCs w:val="23"/>
        </w:rPr>
        <w:t>6</w:t>
      </w:r>
      <w:r w:rsidR="00DF05BD" w:rsidRPr="00F853DD">
        <w:rPr>
          <w:rFonts w:ascii="Times" w:eastAsia="Times New Roman" w:hAnsi="Times" w:cs="Times New Roman"/>
          <w:sz w:val="23"/>
          <w:szCs w:val="23"/>
        </w:rPr>
        <w:t>(1), 55-61.</w:t>
      </w:r>
    </w:p>
    <w:p w14:paraId="5D0B6BAF" w14:textId="2A45C17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Egeland, B., Carlson, E. an</w:t>
      </w:r>
      <w:r w:rsidR="005B61F4" w:rsidRPr="00F853DD">
        <w:rPr>
          <w:rFonts w:ascii="Times" w:hAnsi="Times" w:cs="Times New Roman"/>
          <w:sz w:val="23"/>
          <w:szCs w:val="23"/>
        </w:rPr>
        <w:t>d Sroufe, L.</w:t>
      </w:r>
      <w:r w:rsidR="004844C6" w:rsidRPr="00F853DD">
        <w:rPr>
          <w:rFonts w:ascii="Times" w:hAnsi="Times" w:cs="Times New Roman"/>
          <w:sz w:val="23"/>
          <w:szCs w:val="23"/>
        </w:rPr>
        <w:t>,</w:t>
      </w:r>
      <w:r w:rsidR="00066C38" w:rsidRPr="00F853DD">
        <w:rPr>
          <w:rFonts w:ascii="Times" w:hAnsi="Times" w:cs="Times New Roman"/>
          <w:sz w:val="23"/>
          <w:szCs w:val="23"/>
        </w:rPr>
        <w:t xml:space="preserve"> (1993). Resilience as p</w:t>
      </w:r>
      <w:r w:rsidRPr="00F853DD">
        <w:rPr>
          <w:rFonts w:ascii="Times" w:hAnsi="Times" w:cs="Times New Roman"/>
          <w:sz w:val="23"/>
          <w:szCs w:val="23"/>
        </w:rPr>
        <w:t xml:space="preserve">rocess. </w:t>
      </w:r>
      <w:r w:rsidRPr="00F853DD">
        <w:rPr>
          <w:rFonts w:ascii="Times" w:hAnsi="Times" w:cs="Times New Roman"/>
          <w:i/>
          <w:sz w:val="23"/>
          <w:szCs w:val="23"/>
        </w:rPr>
        <w:t>Development and Psychopathology</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 517-528.</w:t>
      </w:r>
    </w:p>
    <w:p w14:paraId="1A2F0DD7" w14:textId="5DD67B3B"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Ehrlich, K., Bostrom, A.</w:t>
      </w:r>
      <w:r w:rsidR="00DF05BD" w:rsidRPr="00F853DD">
        <w:rPr>
          <w:rFonts w:ascii="Times" w:hAnsi="Times" w:cs="Times New Roman"/>
          <w:sz w:val="23"/>
          <w:szCs w:val="23"/>
          <w:lang w:val="de-DE"/>
        </w:rPr>
        <w:t>, Mazaheri, M., Heikkila, K. and Emami, A.</w:t>
      </w:r>
      <w:r w:rsidR="004844C6" w:rsidRPr="00F853DD">
        <w:rPr>
          <w:rFonts w:ascii="Times" w:hAnsi="Times" w:cs="Times New Roman"/>
          <w:sz w:val="23"/>
          <w:szCs w:val="23"/>
          <w:lang w:val="de-DE"/>
        </w:rPr>
        <w:t>,</w:t>
      </w:r>
      <w:r w:rsidR="00DF05BD" w:rsidRPr="00F853DD">
        <w:rPr>
          <w:rFonts w:ascii="Times" w:hAnsi="Times" w:cs="Times New Roman"/>
          <w:sz w:val="23"/>
          <w:szCs w:val="23"/>
          <w:lang w:val="de-DE"/>
        </w:rPr>
        <w:t xml:space="preserve"> (2015). </w:t>
      </w:r>
      <w:r w:rsidR="00066C38" w:rsidRPr="00F853DD">
        <w:rPr>
          <w:rFonts w:ascii="Times" w:hAnsi="Times" w:cs="Times New Roman"/>
          <w:sz w:val="23"/>
          <w:szCs w:val="23"/>
        </w:rPr>
        <w:t>Family caregivers’</w:t>
      </w:r>
      <w:r w:rsidR="00DF05BD" w:rsidRPr="00F853DD">
        <w:rPr>
          <w:rFonts w:ascii="Times" w:hAnsi="Times" w:cs="Times New Roman"/>
          <w:sz w:val="23"/>
          <w:szCs w:val="23"/>
        </w:rPr>
        <w:t xml:space="preserve"> assessments of caring for a relative with dementia: a comparison of urban and rural areas. </w:t>
      </w:r>
      <w:r w:rsidR="00DF05BD" w:rsidRPr="00F853DD">
        <w:rPr>
          <w:rFonts w:ascii="Times" w:hAnsi="Times" w:cs="Times New Roman"/>
          <w:i/>
          <w:sz w:val="23"/>
          <w:szCs w:val="23"/>
        </w:rPr>
        <w:t>International Journal of Older People Nursing</w:t>
      </w:r>
      <w:r w:rsidR="00A36DC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w:t>
      </w:r>
      <w:r w:rsidR="00DF05BD" w:rsidRPr="00F853DD">
        <w:rPr>
          <w:rFonts w:ascii="Times" w:hAnsi="Times" w:cs="Times New Roman"/>
          <w:sz w:val="23"/>
          <w:szCs w:val="23"/>
        </w:rPr>
        <w:t>, 27-37.</w:t>
      </w:r>
    </w:p>
    <w:p w14:paraId="1A32AED9" w14:textId="6B94734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Ekerdt, D.</w:t>
      </w:r>
      <w:r w:rsidR="004844C6" w:rsidRPr="00F853DD">
        <w:rPr>
          <w:rFonts w:ascii="Times" w:hAnsi="Times" w:cs="Times New Roman"/>
          <w:sz w:val="23"/>
          <w:szCs w:val="23"/>
        </w:rPr>
        <w:t>,</w:t>
      </w:r>
      <w:r w:rsidR="00A36DC4" w:rsidRPr="00F853DD">
        <w:rPr>
          <w:rFonts w:ascii="Times" w:hAnsi="Times" w:cs="Times New Roman"/>
          <w:sz w:val="23"/>
          <w:szCs w:val="23"/>
        </w:rPr>
        <w:t xml:space="preserve"> (ed.) (2002). </w:t>
      </w:r>
      <w:r w:rsidR="00A36DC4" w:rsidRPr="00F853DD">
        <w:rPr>
          <w:rFonts w:ascii="Times" w:hAnsi="Times" w:cs="Times New Roman"/>
          <w:i/>
          <w:sz w:val="23"/>
          <w:szCs w:val="23"/>
        </w:rPr>
        <w:t>Encyclopedia of a</w:t>
      </w:r>
      <w:r w:rsidRPr="00F853DD">
        <w:rPr>
          <w:rFonts w:ascii="Times" w:hAnsi="Times" w:cs="Times New Roman"/>
          <w:i/>
          <w:sz w:val="23"/>
          <w:szCs w:val="23"/>
        </w:rPr>
        <w:t>ging</w:t>
      </w:r>
      <w:r w:rsidR="00A36DC4" w:rsidRPr="00F853DD">
        <w:rPr>
          <w:rFonts w:ascii="Times" w:hAnsi="Times" w:cs="Times New Roman"/>
          <w:i/>
          <w:sz w:val="23"/>
          <w:szCs w:val="23"/>
        </w:rPr>
        <w:t>.</w:t>
      </w:r>
      <w:r w:rsidRPr="00F853DD">
        <w:rPr>
          <w:rFonts w:ascii="Times" w:hAnsi="Times" w:cs="Times New Roman"/>
          <w:sz w:val="23"/>
          <w:szCs w:val="23"/>
        </w:rPr>
        <w:t xml:space="preserve"> USA: Macmillan Reference.</w:t>
      </w:r>
    </w:p>
    <w:p w14:paraId="256A8816" w14:textId="7EAE0CD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Ekwall, A.,</w:t>
      </w:r>
      <w:r w:rsidR="005B61F4" w:rsidRPr="00F853DD">
        <w:rPr>
          <w:rFonts w:ascii="Times" w:hAnsi="Times" w:cs="Times New Roman"/>
          <w:sz w:val="23"/>
          <w:szCs w:val="23"/>
        </w:rPr>
        <w:t xml:space="preserve"> Sivberg, B. and Hallberg, I.</w:t>
      </w:r>
      <w:r w:rsidRPr="00F853DD">
        <w:rPr>
          <w:rFonts w:ascii="Times" w:hAnsi="Times" w:cs="Times New Roman"/>
          <w:sz w:val="23"/>
          <w:szCs w:val="23"/>
        </w:rPr>
        <w:t xml:space="preserve"> (2004). Dimensions of informal care and quality of life among elderly family caregivers. </w:t>
      </w:r>
      <w:r w:rsidRPr="00F853DD">
        <w:rPr>
          <w:rFonts w:ascii="Times" w:hAnsi="Times" w:cs="Times New Roman"/>
          <w:i/>
          <w:sz w:val="23"/>
          <w:szCs w:val="23"/>
        </w:rPr>
        <w:t>Scandinavian Journal of Caring Sciences</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239-248.</w:t>
      </w:r>
    </w:p>
    <w:p w14:paraId="02F371E3" w14:textId="644E104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Eldar-Avidan, D., Haj-Y</w:t>
      </w:r>
      <w:r w:rsidR="00A36DC4" w:rsidRPr="00F853DD">
        <w:rPr>
          <w:rFonts w:ascii="Times" w:hAnsi="Times" w:cs="Times New Roman"/>
          <w:sz w:val="23"/>
          <w:szCs w:val="23"/>
        </w:rPr>
        <w:t>ahia, M.</w:t>
      </w:r>
      <w:r w:rsidR="005B61F4" w:rsidRPr="00F853DD">
        <w:rPr>
          <w:rFonts w:ascii="Times" w:hAnsi="Times" w:cs="Times New Roman"/>
          <w:sz w:val="23"/>
          <w:szCs w:val="23"/>
        </w:rPr>
        <w:t xml:space="preserve"> and Greenbaum, C.</w:t>
      </w:r>
      <w:r w:rsidR="004844C6" w:rsidRPr="00F853DD">
        <w:rPr>
          <w:rFonts w:ascii="Times" w:hAnsi="Times" w:cs="Times New Roman"/>
          <w:sz w:val="23"/>
          <w:szCs w:val="23"/>
        </w:rPr>
        <w:t>,</w:t>
      </w:r>
      <w:r w:rsidRPr="00F853DD">
        <w:rPr>
          <w:rFonts w:ascii="Times" w:hAnsi="Times" w:cs="Times New Roman"/>
          <w:sz w:val="23"/>
          <w:szCs w:val="23"/>
        </w:rPr>
        <w:t xml:space="preserve"> (2009).</w:t>
      </w:r>
      <w:r w:rsidR="00A36DC4" w:rsidRPr="00F853DD">
        <w:rPr>
          <w:rFonts w:ascii="Times" w:hAnsi="Times" w:cs="Times New Roman"/>
          <w:sz w:val="23"/>
          <w:szCs w:val="23"/>
        </w:rPr>
        <w:t xml:space="preserve"> Divorce is a part of my life.</w:t>
      </w:r>
      <w:r w:rsidRPr="00F853DD">
        <w:rPr>
          <w:rFonts w:ascii="Times" w:hAnsi="Times" w:cs="Times New Roman"/>
          <w:sz w:val="23"/>
          <w:szCs w:val="23"/>
        </w:rPr>
        <w:t xml:space="preserve"> Resilience, </w:t>
      </w:r>
      <w:r w:rsidR="00A36DC4" w:rsidRPr="00F853DD">
        <w:rPr>
          <w:rFonts w:ascii="Times" w:hAnsi="Times" w:cs="Times New Roman"/>
          <w:sz w:val="23"/>
          <w:szCs w:val="23"/>
        </w:rPr>
        <w:t>survival, and vulnerability: young adults’ perception of the implications of parental d</w:t>
      </w:r>
      <w:r w:rsidRPr="00F853DD">
        <w:rPr>
          <w:rFonts w:ascii="Times" w:hAnsi="Times" w:cs="Times New Roman"/>
          <w:sz w:val="23"/>
          <w:szCs w:val="23"/>
        </w:rPr>
        <w:t xml:space="preserve">ivorce. </w:t>
      </w:r>
      <w:r w:rsidRPr="00F853DD">
        <w:rPr>
          <w:rFonts w:ascii="Times" w:hAnsi="Times" w:cs="Times New Roman"/>
          <w:i/>
          <w:sz w:val="23"/>
          <w:szCs w:val="23"/>
        </w:rPr>
        <w:t>Journal of Marital and Family Therapy</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35</w:t>
      </w:r>
      <w:r w:rsidRPr="00F853DD">
        <w:rPr>
          <w:rFonts w:ascii="Times" w:hAnsi="Times" w:cs="Times New Roman"/>
          <w:sz w:val="23"/>
          <w:szCs w:val="23"/>
        </w:rPr>
        <w:t>, 30-46.</w:t>
      </w:r>
    </w:p>
    <w:p w14:paraId="5064C64A" w14:textId="1878411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Eldermire, D.</w:t>
      </w:r>
      <w:r w:rsidR="004844C6" w:rsidRPr="00F853DD">
        <w:rPr>
          <w:rFonts w:ascii="Times" w:hAnsi="Times" w:cs="Times New Roman"/>
          <w:sz w:val="23"/>
          <w:szCs w:val="23"/>
        </w:rPr>
        <w:t>,</w:t>
      </w:r>
      <w:r w:rsidR="00A36DC4" w:rsidRPr="00F853DD">
        <w:rPr>
          <w:rFonts w:ascii="Times" w:hAnsi="Times" w:cs="Times New Roman"/>
          <w:sz w:val="23"/>
          <w:szCs w:val="23"/>
        </w:rPr>
        <w:t xml:space="preserve"> (1997). Health of the elderly. Health c</w:t>
      </w:r>
      <w:r w:rsidRPr="00F853DD">
        <w:rPr>
          <w:rFonts w:ascii="Times" w:hAnsi="Times" w:cs="Times New Roman"/>
          <w:sz w:val="23"/>
          <w:szCs w:val="23"/>
        </w:rPr>
        <w:t xml:space="preserve">onditions in the Caribbean. New York: </w:t>
      </w:r>
      <w:r w:rsidRPr="00F853DD">
        <w:rPr>
          <w:rFonts w:ascii="Times" w:hAnsi="Times" w:cs="Times New Roman"/>
          <w:i/>
          <w:sz w:val="23"/>
          <w:szCs w:val="23"/>
        </w:rPr>
        <w:t>Pan American Health Organization Scientific Publication</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561</w:t>
      </w:r>
      <w:r w:rsidRPr="00F853DD">
        <w:rPr>
          <w:rFonts w:ascii="Times" w:hAnsi="Times" w:cs="Times New Roman"/>
          <w:sz w:val="23"/>
          <w:szCs w:val="23"/>
        </w:rPr>
        <w:t>, 251-263.</w:t>
      </w:r>
    </w:p>
    <w:p w14:paraId="4517E0E6" w14:textId="12605E0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Eldemire-Shearer, D.</w:t>
      </w:r>
      <w:r w:rsidR="004844C6" w:rsidRPr="00F853DD">
        <w:rPr>
          <w:rFonts w:ascii="Times" w:hAnsi="Times" w:cs="Times New Roman"/>
          <w:sz w:val="23"/>
          <w:szCs w:val="23"/>
        </w:rPr>
        <w:t>,</w:t>
      </w:r>
      <w:r w:rsidR="00A36DC4" w:rsidRPr="00F853DD">
        <w:rPr>
          <w:rFonts w:ascii="Times" w:hAnsi="Times" w:cs="Times New Roman"/>
          <w:sz w:val="23"/>
          <w:szCs w:val="23"/>
        </w:rPr>
        <w:t xml:space="preserve"> (2008). Ageing: the response yesterday, today and t</w:t>
      </w:r>
      <w:r w:rsidRPr="00F853DD">
        <w:rPr>
          <w:rFonts w:ascii="Times" w:hAnsi="Times" w:cs="Times New Roman"/>
          <w:sz w:val="23"/>
          <w:szCs w:val="23"/>
        </w:rPr>
        <w:t xml:space="preserve">omorrow. </w:t>
      </w:r>
      <w:r w:rsidRPr="00F853DD">
        <w:rPr>
          <w:rFonts w:ascii="Times" w:hAnsi="Times" w:cs="Times New Roman"/>
          <w:i/>
          <w:sz w:val="23"/>
          <w:szCs w:val="23"/>
        </w:rPr>
        <w:t>West Indian Medical Journal</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57</w:t>
      </w:r>
      <w:r w:rsidRPr="00F853DD">
        <w:rPr>
          <w:rFonts w:ascii="Times" w:hAnsi="Times" w:cs="Times New Roman"/>
          <w:sz w:val="23"/>
          <w:szCs w:val="23"/>
        </w:rPr>
        <w:t>, 577-588.</w:t>
      </w:r>
    </w:p>
    <w:p w14:paraId="401BA422" w14:textId="3E73D3E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Eldemire-Shearer, D., Holder-Nevins, D., Morris, C. and James, K.</w:t>
      </w:r>
      <w:r w:rsidR="004844C6" w:rsidRPr="00F853DD">
        <w:rPr>
          <w:rFonts w:ascii="Times" w:hAnsi="Times" w:cs="Times New Roman"/>
          <w:sz w:val="23"/>
          <w:szCs w:val="23"/>
        </w:rPr>
        <w:t>,</w:t>
      </w:r>
      <w:r w:rsidR="00A36DC4" w:rsidRPr="00F853DD">
        <w:rPr>
          <w:rFonts w:ascii="Times" w:hAnsi="Times" w:cs="Times New Roman"/>
          <w:sz w:val="23"/>
          <w:szCs w:val="23"/>
        </w:rPr>
        <w:t xml:space="preserve"> (2009). Prevention for better health among older persons are primary healthcare clinics in Jamaica meeting the c</w:t>
      </w:r>
      <w:r w:rsidRPr="00F853DD">
        <w:rPr>
          <w:rFonts w:ascii="Times" w:hAnsi="Times" w:cs="Times New Roman"/>
          <w:sz w:val="23"/>
          <w:szCs w:val="23"/>
        </w:rPr>
        <w:t xml:space="preserve">hallenge? </w:t>
      </w:r>
      <w:r w:rsidRPr="00F853DD">
        <w:rPr>
          <w:rFonts w:ascii="Times" w:hAnsi="Times" w:cs="Times New Roman"/>
          <w:i/>
          <w:sz w:val="23"/>
          <w:szCs w:val="23"/>
        </w:rPr>
        <w:t>West Indian Medical Journal</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58</w:t>
      </w:r>
      <w:r w:rsidRPr="00F853DD">
        <w:rPr>
          <w:rFonts w:ascii="Times" w:hAnsi="Times" w:cs="Times New Roman"/>
          <w:sz w:val="23"/>
          <w:szCs w:val="23"/>
        </w:rPr>
        <w:t>, 319-325.</w:t>
      </w:r>
    </w:p>
    <w:p w14:paraId="7F747840" w14:textId="0322639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Eldemire-Shearer, D., James, K., Morris, C., Holder-Nevins, D., Lawes, H. And Harris, M.</w:t>
      </w:r>
      <w:r w:rsidR="004844C6" w:rsidRPr="00F853DD">
        <w:rPr>
          <w:rFonts w:ascii="Times" w:hAnsi="Times" w:cs="Times New Roman"/>
          <w:sz w:val="23"/>
          <w:szCs w:val="23"/>
        </w:rPr>
        <w:t>,</w:t>
      </w:r>
      <w:r w:rsidRPr="00F853DD">
        <w:rPr>
          <w:rFonts w:ascii="Times" w:hAnsi="Times" w:cs="Times New Roman"/>
          <w:sz w:val="23"/>
          <w:szCs w:val="23"/>
        </w:rPr>
        <w:t xml:space="preserve"> (2011). Chronic disease and ageing in the Caribbean: opportunities knock at the door. </w:t>
      </w:r>
      <w:r w:rsidRPr="00F853DD">
        <w:rPr>
          <w:rFonts w:ascii="Times" w:hAnsi="Times" w:cs="Times New Roman"/>
          <w:i/>
          <w:sz w:val="23"/>
          <w:szCs w:val="23"/>
        </w:rPr>
        <w:t>West Indian Medical Journal</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60</w:t>
      </w:r>
      <w:r w:rsidRPr="00F853DD">
        <w:rPr>
          <w:rFonts w:ascii="Times" w:hAnsi="Times" w:cs="Times New Roman"/>
          <w:sz w:val="23"/>
          <w:szCs w:val="23"/>
        </w:rPr>
        <w:t>, 471-477.</w:t>
      </w:r>
    </w:p>
    <w:p w14:paraId="32362F87" w14:textId="0DD9C1D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Eldemire-Shearer, D.</w:t>
      </w:r>
      <w:r w:rsidR="004844C6" w:rsidRPr="00F853DD">
        <w:rPr>
          <w:rFonts w:ascii="Times" w:hAnsi="Times" w:cs="Times New Roman"/>
          <w:sz w:val="23"/>
          <w:szCs w:val="23"/>
        </w:rPr>
        <w:t>,</w:t>
      </w:r>
      <w:r w:rsidRPr="00F853DD">
        <w:rPr>
          <w:rFonts w:ascii="Times" w:hAnsi="Times" w:cs="Times New Roman"/>
          <w:sz w:val="23"/>
          <w:szCs w:val="23"/>
        </w:rPr>
        <w:t xml:space="preserve"> (2012). From ageing research to policy and practice. </w:t>
      </w:r>
      <w:r w:rsidRPr="00F853DD">
        <w:rPr>
          <w:rFonts w:ascii="Times" w:hAnsi="Times" w:cs="Times New Roman"/>
          <w:i/>
          <w:sz w:val="23"/>
          <w:szCs w:val="23"/>
        </w:rPr>
        <w:t>West Indian Medical Journal</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61</w:t>
      </w:r>
      <w:r w:rsidRPr="00F853DD">
        <w:rPr>
          <w:rFonts w:ascii="Times" w:hAnsi="Times" w:cs="Times New Roman"/>
          <w:sz w:val="23"/>
          <w:szCs w:val="23"/>
        </w:rPr>
        <w:t>, 380-386.</w:t>
      </w:r>
    </w:p>
    <w:p w14:paraId="63CA26AE" w14:textId="2A58410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Eldemire-Shearer, D., Mitchell-Fearon, K., Laws, H., Waldron, N., James, K. and Holder-Nevin</w:t>
      </w:r>
      <w:r w:rsidR="005B61F4" w:rsidRPr="00F853DD">
        <w:rPr>
          <w:rFonts w:ascii="Times" w:hAnsi="Times" w:cs="Times New Roman"/>
          <w:sz w:val="23"/>
          <w:szCs w:val="23"/>
        </w:rPr>
        <w:t>s, D.</w:t>
      </w:r>
      <w:r w:rsidR="00CA4144" w:rsidRPr="00F853DD">
        <w:rPr>
          <w:rFonts w:ascii="Times" w:hAnsi="Times" w:cs="Times New Roman"/>
          <w:sz w:val="23"/>
          <w:szCs w:val="23"/>
        </w:rPr>
        <w:t>,</w:t>
      </w:r>
      <w:r w:rsidRPr="00F853DD">
        <w:rPr>
          <w:rFonts w:ascii="Times" w:hAnsi="Times" w:cs="Times New Roman"/>
          <w:sz w:val="23"/>
          <w:szCs w:val="23"/>
        </w:rPr>
        <w:t xml:space="preserve"> (2014). Ageing of Jamaica's population - What are the implications for healthcare? </w:t>
      </w:r>
      <w:r w:rsidRPr="00F853DD">
        <w:rPr>
          <w:rFonts w:ascii="Times" w:hAnsi="Times" w:cs="Times New Roman"/>
          <w:i/>
          <w:sz w:val="23"/>
          <w:szCs w:val="23"/>
        </w:rPr>
        <w:t>West Indian Medical Journal</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63</w:t>
      </w:r>
      <w:r w:rsidRPr="00F853DD">
        <w:rPr>
          <w:rFonts w:ascii="Times" w:hAnsi="Times" w:cs="Times New Roman"/>
          <w:sz w:val="23"/>
          <w:szCs w:val="23"/>
        </w:rPr>
        <w:t>, 3-8.</w:t>
      </w:r>
    </w:p>
    <w:p w14:paraId="5D3ADCD7" w14:textId="752BF3F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w:t>
      </w:r>
      <w:r w:rsidR="005B61F4" w:rsidRPr="00F853DD">
        <w:rPr>
          <w:rFonts w:ascii="Times" w:hAnsi="Times" w:cs="Times New Roman"/>
          <w:sz w:val="23"/>
          <w:szCs w:val="23"/>
        </w:rPr>
        <w:t>ldemire-Shearer, D., Paul, T.</w:t>
      </w:r>
      <w:r w:rsidRPr="00F853DD">
        <w:rPr>
          <w:rFonts w:ascii="Times" w:hAnsi="Times" w:cs="Times New Roman"/>
          <w:sz w:val="23"/>
          <w:szCs w:val="23"/>
        </w:rPr>
        <w:t xml:space="preserve"> and Morris, C.</w:t>
      </w:r>
      <w:r w:rsidR="00CA4144" w:rsidRPr="00F853DD">
        <w:rPr>
          <w:rFonts w:ascii="Times" w:hAnsi="Times" w:cs="Times New Roman"/>
          <w:sz w:val="23"/>
          <w:szCs w:val="23"/>
        </w:rPr>
        <w:t>,</w:t>
      </w:r>
      <w:r w:rsidR="00A36DC4" w:rsidRPr="00F853DD">
        <w:rPr>
          <w:rFonts w:ascii="Times" w:hAnsi="Times" w:cs="Times New Roman"/>
          <w:sz w:val="23"/>
          <w:szCs w:val="23"/>
        </w:rPr>
        <w:t xml:space="preserve"> (2002). Ageing males: a</w:t>
      </w:r>
      <w:r w:rsidRPr="00F853DD">
        <w:rPr>
          <w:rFonts w:ascii="Times" w:hAnsi="Times" w:cs="Times New Roman"/>
          <w:sz w:val="23"/>
          <w:szCs w:val="23"/>
        </w:rPr>
        <w:t xml:space="preserve">n emerging area of concern. </w:t>
      </w:r>
      <w:r w:rsidRPr="00F853DD">
        <w:rPr>
          <w:rFonts w:ascii="Times" w:hAnsi="Times" w:cs="Times New Roman"/>
          <w:i/>
          <w:sz w:val="23"/>
          <w:szCs w:val="23"/>
        </w:rPr>
        <w:t>West Indian Medical Journal</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51</w:t>
      </w:r>
      <w:r w:rsidRPr="00F853DD">
        <w:rPr>
          <w:rFonts w:ascii="Times" w:hAnsi="Times" w:cs="Times New Roman"/>
          <w:sz w:val="23"/>
          <w:szCs w:val="23"/>
        </w:rPr>
        <w:t>, 139-142.</w:t>
      </w:r>
    </w:p>
    <w:p w14:paraId="36371912" w14:textId="43CD2E7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Ellenbecker, C., Samia, L., Cushman, M. and Alster, K.</w:t>
      </w:r>
      <w:r w:rsidR="00CA4144" w:rsidRPr="00F853DD">
        <w:rPr>
          <w:rFonts w:ascii="Times" w:hAnsi="Times" w:cs="Times New Roman"/>
          <w:sz w:val="23"/>
          <w:szCs w:val="23"/>
        </w:rPr>
        <w:t>,</w:t>
      </w:r>
      <w:r w:rsidRPr="00F853DD">
        <w:rPr>
          <w:rFonts w:ascii="Times" w:hAnsi="Times" w:cs="Times New Roman"/>
          <w:sz w:val="23"/>
          <w:szCs w:val="23"/>
        </w:rPr>
        <w:t xml:space="preserve"> (2008). Patient safety and quality in home health care [online]. In: </w:t>
      </w:r>
      <w:r w:rsidRPr="00F853DD">
        <w:rPr>
          <w:rFonts w:ascii="Times" w:hAnsi="Times" w:cs="Times New Roman"/>
          <w:i/>
          <w:sz w:val="23"/>
          <w:szCs w:val="23"/>
        </w:rPr>
        <w:t>Patient safety and quality: an evidence-based handbook for nurses</w:t>
      </w:r>
      <w:r w:rsidRPr="00F853DD">
        <w:rPr>
          <w:rFonts w:ascii="Times" w:hAnsi="Times" w:cs="Times New Roman"/>
          <w:sz w:val="23"/>
          <w:szCs w:val="23"/>
        </w:rPr>
        <w:t>.</w:t>
      </w:r>
      <w:r w:rsidRPr="00F853DD">
        <w:rPr>
          <w:rFonts w:ascii="Times" w:hAnsi="Times" w:cs="Times New Roman"/>
          <w:i/>
          <w:sz w:val="23"/>
          <w:szCs w:val="23"/>
        </w:rPr>
        <w:t xml:space="preserve"> </w:t>
      </w:r>
      <w:r w:rsidRPr="00F853DD">
        <w:rPr>
          <w:rFonts w:ascii="Times" w:hAnsi="Times" w:cs="Times New Roman"/>
          <w:sz w:val="23"/>
          <w:szCs w:val="23"/>
        </w:rPr>
        <w:t xml:space="preserve">Agency for Healthcare Research and Quality (US). [Viewed 30 November 2019]. Available from: </w:t>
      </w:r>
      <w:hyperlink r:id="rId106" w:history="1">
        <w:r w:rsidRPr="00F853DD">
          <w:rPr>
            <w:rFonts w:ascii="Times" w:hAnsi="Times" w:cs="Times New Roman"/>
            <w:sz w:val="23"/>
            <w:szCs w:val="23"/>
          </w:rPr>
          <w:t>https://www.ncbi.nlm.nih.gov/books/NBK2631/</w:t>
        </w:r>
      </w:hyperlink>
      <w:r w:rsidRPr="00F853DD">
        <w:rPr>
          <w:rFonts w:ascii="Times" w:hAnsi="Times" w:cs="Times New Roman"/>
          <w:sz w:val="23"/>
          <w:szCs w:val="23"/>
        </w:rPr>
        <w:t>.</w:t>
      </w:r>
    </w:p>
    <w:p w14:paraId="7AC98FC4" w14:textId="20B9750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Ellingsæter, A.</w:t>
      </w:r>
      <w:r w:rsidR="00CA4144" w:rsidRPr="00F853DD">
        <w:rPr>
          <w:rFonts w:ascii="Times" w:hAnsi="Times" w:cs="Times New Roman"/>
          <w:sz w:val="23"/>
          <w:szCs w:val="23"/>
        </w:rPr>
        <w:t>,</w:t>
      </w:r>
      <w:r w:rsidRPr="00F853DD">
        <w:rPr>
          <w:rFonts w:ascii="Times" w:hAnsi="Times" w:cs="Times New Roman"/>
          <w:sz w:val="23"/>
          <w:szCs w:val="23"/>
        </w:rPr>
        <w:t xml:space="preserve"> (1998</w:t>
      </w:r>
      <w:r w:rsidR="00A36DC4" w:rsidRPr="00F853DD">
        <w:rPr>
          <w:rFonts w:ascii="Times" w:hAnsi="Times" w:cs="Times New Roman"/>
          <w:sz w:val="23"/>
          <w:szCs w:val="23"/>
        </w:rPr>
        <w:t>). Dual breadwinner societies: p</w:t>
      </w:r>
      <w:r w:rsidRPr="00F853DD">
        <w:rPr>
          <w:rFonts w:ascii="Times" w:hAnsi="Times" w:cs="Times New Roman"/>
          <w:sz w:val="23"/>
          <w:szCs w:val="23"/>
        </w:rPr>
        <w:t xml:space="preserve">rovider models in the Scandinavian welfare states. </w:t>
      </w:r>
      <w:r w:rsidRPr="00F853DD">
        <w:rPr>
          <w:rFonts w:ascii="Times" w:hAnsi="Times" w:cs="Times New Roman"/>
          <w:i/>
          <w:sz w:val="23"/>
          <w:szCs w:val="23"/>
        </w:rPr>
        <w:t>Acta Sociologica</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41</w:t>
      </w:r>
      <w:r w:rsidRPr="00F853DD">
        <w:rPr>
          <w:rFonts w:ascii="Times" w:hAnsi="Times" w:cs="Times New Roman"/>
          <w:sz w:val="23"/>
          <w:szCs w:val="23"/>
        </w:rPr>
        <w:t>(1), 59-73.</w:t>
      </w:r>
    </w:p>
    <w:p w14:paraId="219D564E" w14:textId="3EFA7C8E"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Elliott, K., Stirling, C., Martin, A.</w:t>
      </w:r>
      <w:r w:rsidR="00DF05BD" w:rsidRPr="00F853DD">
        <w:rPr>
          <w:rFonts w:ascii="Times" w:hAnsi="Times" w:cs="Times New Roman"/>
          <w:sz w:val="23"/>
          <w:szCs w:val="23"/>
        </w:rPr>
        <w:t xml:space="preserve">, </w:t>
      </w:r>
      <w:r w:rsidRPr="00F853DD">
        <w:rPr>
          <w:rFonts w:ascii="Times" w:hAnsi="Times" w:cs="Times New Roman"/>
          <w:sz w:val="23"/>
          <w:szCs w:val="23"/>
        </w:rPr>
        <w:t>Robinson, A. and Scott, J.</w:t>
      </w:r>
      <w:r w:rsidR="00CA4144" w:rsidRPr="00F853DD">
        <w:rPr>
          <w:rFonts w:ascii="Times" w:hAnsi="Times" w:cs="Times New Roman"/>
          <w:sz w:val="23"/>
          <w:szCs w:val="23"/>
        </w:rPr>
        <w:t>,</w:t>
      </w:r>
      <w:r w:rsidR="00DF05BD" w:rsidRPr="00F853DD">
        <w:rPr>
          <w:rFonts w:ascii="Times" w:hAnsi="Times" w:cs="Times New Roman"/>
          <w:sz w:val="23"/>
          <w:szCs w:val="23"/>
        </w:rPr>
        <w:t xml:space="preserve"> (2016). We are not all coping: a cross-sectional investigation of resilience in the dementia care workforce. </w:t>
      </w:r>
      <w:r w:rsidR="00DF05BD" w:rsidRPr="00F853DD">
        <w:rPr>
          <w:rFonts w:ascii="Times" w:hAnsi="Times" w:cs="Times New Roman"/>
          <w:i/>
          <w:sz w:val="23"/>
          <w:szCs w:val="23"/>
        </w:rPr>
        <w:t>Health Expectations</w:t>
      </w:r>
      <w:r w:rsidR="00A36DC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 1251-1264.</w:t>
      </w:r>
    </w:p>
    <w:p w14:paraId="2C04AACE" w14:textId="69841895"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Elliott, T., Berry, J., Richards, J. and Shewchuk, R.</w:t>
      </w:r>
      <w:r w:rsidR="00CA4144" w:rsidRPr="00F853DD">
        <w:rPr>
          <w:rFonts w:ascii="Times" w:hAnsi="Times" w:cs="Times New Roman"/>
          <w:sz w:val="23"/>
          <w:szCs w:val="23"/>
        </w:rPr>
        <w:t>,</w:t>
      </w:r>
      <w:r w:rsidR="00DF05BD" w:rsidRPr="00F853DD">
        <w:rPr>
          <w:rFonts w:ascii="Times" w:hAnsi="Times" w:cs="Times New Roman"/>
          <w:sz w:val="23"/>
          <w:szCs w:val="23"/>
        </w:rPr>
        <w:t xml:space="preserve"> (2014). Resilience in the initial year of caregiving for a family member with a traumatic spinal cord injury. </w:t>
      </w:r>
      <w:r w:rsidR="00DF05BD" w:rsidRPr="00F853DD">
        <w:rPr>
          <w:rFonts w:ascii="Times" w:hAnsi="Times" w:cs="Times New Roman"/>
          <w:i/>
          <w:sz w:val="23"/>
          <w:szCs w:val="23"/>
        </w:rPr>
        <w:t>Journal of Consulting and Clinical Psychology</w:t>
      </w:r>
      <w:r w:rsidR="00A36DC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82</w:t>
      </w:r>
      <w:r w:rsidR="00DF05BD" w:rsidRPr="00F853DD">
        <w:rPr>
          <w:rFonts w:ascii="Times" w:hAnsi="Times" w:cs="Times New Roman"/>
          <w:sz w:val="23"/>
          <w:szCs w:val="23"/>
        </w:rPr>
        <w:t>, 1072-1086.</w:t>
      </w:r>
    </w:p>
    <w:p w14:paraId="4A196AB7" w14:textId="7724609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Elmstahl, S., Malmberg, B. and Annerstedt, L.</w:t>
      </w:r>
      <w:r w:rsidR="00CA4144" w:rsidRPr="00F853DD">
        <w:rPr>
          <w:rFonts w:ascii="Times" w:hAnsi="Times" w:cs="Times New Roman"/>
          <w:sz w:val="23"/>
          <w:szCs w:val="23"/>
        </w:rPr>
        <w:t>,</w:t>
      </w:r>
      <w:r w:rsidRPr="00F853DD">
        <w:rPr>
          <w:rFonts w:ascii="Times" w:hAnsi="Times" w:cs="Times New Roman"/>
          <w:sz w:val="23"/>
          <w:szCs w:val="23"/>
        </w:rPr>
        <w:t xml:space="preserve"> (1996). Caregiver's burden of patients three years after stroke assessed by a novel caregiver burden scale. </w:t>
      </w:r>
      <w:r w:rsidRPr="00F853DD">
        <w:rPr>
          <w:rFonts w:ascii="Times" w:hAnsi="Times" w:cs="Times New Roman"/>
          <w:i/>
          <w:sz w:val="23"/>
          <w:szCs w:val="23"/>
        </w:rPr>
        <w:t>Archives of Physical Medicine and Rehabilitation</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77</w:t>
      </w:r>
      <w:r w:rsidRPr="00F853DD">
        <w:rPr>
          <w:rFonts w:ascii="Times" w:hAnsi="Times" w:cs="Times New Roman"/>
          <w:sz w:val="23"/>
          <w:szCs w:val="23"/>
        </w:rPr>
        <w:t>, 177-182.</w:t>
      </w:r>
    </w:p>
    <w:p w14:paraId="4C1FCC11" w14:textId="5A87CAB9" w:rsidR="00DF05BD" w:rsidRPr="00F853DD" w:rsidRDefault="00CA414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Elo, I.,</w:t>
      </w:r>
      <w:r w:rsidR="00DF05BD" w:rsidRPr="00F853DD">
        <w:rPr>
          <w:rFonts w:ascii="Times" w:hAnsi="Times" w:cs="Times New Roman"/>
          <w:sz w:val="23"/>
          <w:szCs w:val="23"/>
        </w:rPr>
        <w:t xml:space="preserve"> (2009). Social class differen</w:t>
      </w:r>
      <w:r w:rsidR="00A36DC4" w:rsidRPr="00F853DD">
        <w:rPr>
          <w:rFonts w:ascii="Times" w:hAnsi="Times" w:cs="Times New Roman"/>
          <w:sz w:val="23"/>
          <w:szCs w:val="23"/>
        </w:rPr>
        <w:t>tials in health and mortality: p</w:t>
      </w:r>
      <w:r w:rsidR="00DF05BD" w:rsidRPr="00F853DD">
        <w:rPr>
          <w:rFonts w:ascii="Times" w:hAnsi="Times" w:cs="Times New Roman"/>
          <w:sz w:val="23"/>
          <w:szCs w:val="23"/>
        </w:rPr>
        <w:t xml:space="preserve">atterns and explanations in comparative perspective. </w:t>
      </w:r>
      <w:r w:rsidR="00DF05BD" w:rsidRPr="00F853DD">
        <w:rPr>
          <w:rFonts w:ascii="Times" w:hAnsi="Times" w:cs="Times New Roman"/>
          <w:i/>
          <w:sz w:val="23"/>
          <w:szCs w:val="23"/>
        </w:rPr>
        <w:t>Annual Review of Sociology</w:t>
      </w:r>
      <w:r w:rsidR="00DF05BD" w:rsidRPr="00F853DD">
        <w:rPr>
          <w:rFonts w:ascii="Times" w:hAnsi="Times" w:cs="Times New Roman"/>
          <w:sz w:val="23"/>
          <w:szCs w:val="23"/>
        </w:rPr>
        <w:t>. Palo Alto: Annual Reviews.</w:t>
      </w:r>
    </w:p>
    <w:p w14:paraId="7AE47CFE" w14:textId="099CDC3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Ema</w:t>
      </w:r>
      <w:r w:rsidR="005B61F4" w:rsidRPr="00F853DD">
        <w:rPr>
          <w:rFonts w:ascii="Times" w:hAnsi="Times" w:cs="Times New Roman"/>
          <w:sz w:val="23"/>
          <w:szCs w:val="23"/>
        </w:rPr>
        <w:t>mi, A., Torres, S., Lipson, J. and Ekman, S.</w:t>
      </w:r>
      <w:r w:rsidR="00CA4144" w:rsidRPr="00F853DD">
        <w:rPr>
          <w:rFonts w:ascii="Times" w:hAnsi="Times" w:cs="Times New Roman"/>
          <w:sz w:val="23"/>
          <w:szCs w:val="23"/>
        </w:rPr>
        <w:t>,</w:t>
      </w:r>
      <w:r w:rsidRPr="00F853DD">
        <w:rPr>
          <w:rFonts w:ascii="Times" w:hAnsi="Times" w:cs="Times New Roman"/>
          <w:sz w:val="23"/>
          <w:szCs w:val="23"/>
        </w:rPr>
        <w:t xml:space="preserve"> (2000). An ethnographic study of a day care center for Iranian immigrant seniors. </w:t>
      </w:r>
      <w:r w:rsidRPr="00F853DD">
        <w:rPr>
          <w:rFonts w:ascii="Times" w:hAnsi="Times" w:cs="Times New Roman"/>
          <w:i/>
          <w:sz w:val="23"/>
          <w:szCs w:val="23"/>
        </w:rPr>
        <w:t>Western journal of nursing research</w:t>
      </w:r>
      <w:r w:rsidR="00A36DC4"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22</w:t>
      </w:r>
      <w:r w:rsidRPr="00F853DD">
        <w:rPr>
          <w:rFonts w:ascii="Times" w:hAnsi="Times" w:cs="Times New Roman"/>
          <w:sz w:val="23"/>
          <w:szCs w:val="23"/>
        </w:rPr>
        <w:t>(2), 169-188.</w:t>
      </w:r>
    </w:p>
    <w:p w14:paraId="2A9C0DCB" w14:textId="676E494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Emerald, E., Lisahunter, N. and Emerald, E.</w:t>
      </w:r>
      <w:r w:rsidR="00CA4144" w:rsidRPr="00F853DD">
        <w:rPr>
          <w:rFonts w:ascii="Times" w:hAnsi="Times" w:cs="Times New Roman"/>
          <w:sz w:val="23"/>
          <w:szCs w:val="23"/>
        </w:rPr>
        <w:t>,</w:t>
      </w:r>
      <w:r w:rsidRPr="00F853DD">
        <w:rPr>
          <w:rFonts w:ascii="Times" w:hAnsi="Times" w:cs="Times New Roman"/>
          <w:sz w:val="23"/>
          <w:szCs w:val="23"/>
        </w:rPr>
        <w:t xml:space="preserve"> (2016). Sensory narratives: capturing embodiment in narratives of movement, sport, leisure and health. </w:t>
      </w:r>
      <w:r w:rsidRPr="00F853DD">
        <w:rPr>
          <w:rFonts w:ascii="Times" w:hAnsi="Times" w:cs="Times New Roman"/>
          <w:i/>
          <w:sz w:val="23"/>
          <w:szCs w:val="23"/>
        </w:rPr>
        <w:t>Sport, Education and Society</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 28-46.</w:t>
      </w:r>
    </w:p>
    <w:p w14:paraId="3FC9DF6A" w14:textId="223D610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Empeno, J., </w:t>
      </w:r>
      <w:r w:rsidR="005B61F4" w:rsidRPr="00F853DD">
        <w:rPr>
          <w:rFonts w:ascii="Times" w:hAnsi="Times" w:cs="Times New Roman"/>
          <w:sz w:val="23"/>
          <w:szCs w:val="23"/>
        </w:rPr>
        <w:t>Raming, N., Irwin, S., Nelesen, R. and Lloyd, L.</w:t>
      </w:r>
      <w:r w:rsidR="00CA4144" w:rsidRPr="00F853DD">
        <w:rPr>
          <w:rFonts w:ascii="Times" w:hAnsi="Times" w:cs="Times New Roman"/>
          <w:sz w:val="23"/>
          <w:szCs w:val="23"/>
        </w:rPr>
        <w:t>,</w:t>
      </w:r>
      <w:r w:rsidRPr="00F853DD">
        <w:rPr>
          <w:rFonts w:ascii="Times" w:hAnsi="Times" w:cs="Times New Roman"/>
          <w:sz w:val="23"/>
          <w:szCs w:val="23"/>
        </w:rPr>
        <w:t xml:space="preserve"> (2011). The Hospice Caregiver Support Project: Providing Support to Reduce Caregiver Stress. </w:t>
      </w:r>
      <w:r w:rsidRPr="00F853DD">
        <w:rPr>
          <w:rFonts w:ascii="Times" w:hAnsi="Times" w:cs="Times New Roman"/>
          <w:i/>
          <w:sz w:val="23"/>
          <w:szCs w:val="23"/>
        </w:rPr>
        <w:t>Journal of Palliative Medicine</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593-597.</w:t>
      </w:r>
    </w:p>
    <w:p w14:paraId="3E8CC7F7" w14:textId="4A70A73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Endress, M.</w:t>
      </w:r>
      <w:r w:rsidR="00CA4144" w:rsidRPr="00F853DD">
        <w:rPr>
          <w:rFonts w:ascii="Times" w:hAnsi="Times" w:cs="Times New Roman"/>
          <w:sz w:val="23"/>
          <w:szCs w:val="23"/>
        </w:rPr>
        <w:t>,</w:t>
      </w:r>
      <w:r w:rsidRPr="00F853DD">
        <w:rPr>
          <w:rFonts w:ascii="Times" w:hAnsi="Times" w:cs="Times New Roman"/>
          <w:sz w:val="23"/>
          <w:szCs w:val="23"/>
        </w:rPr>
        <w:t xml:space="preserve"> (2015). The Social Constructedness of Resilience [online]. </w:t>
      </w:r>
      <w:r w:rsidRPr="00F853DD">
        <w:rPr>
          <w:rFonts w:ascii="Times" w:hAnsi="Times" w:cs="Times New Roman"/>
          <w:i/>
          <w:sz w:val="23"/>
          <w:szCs w:val="23"/>
        </w:rPr>
        <w:t>Social Sciences</w:t>
      </w:r>
      <w:r w:rsidRPr="00F853DD">
        <w:rPr>
          <w:rFonts w:ascii="Times" w:hAnsi="Times" w:cs="Times New Roman"/>
          <w:sz w:val="23"/>
          <w:szCs w:val="23"/>
        </w:rPr>
        <w:t xml:space="preserve">. Available from: http://www.mdpi.com/2076-0760/4/3/533/pdf. </w:t>
      </w:r>
    </w:p>
    <w:p w14:paraId="39E01C22" w14:textId="3AD3D7B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England, P.</w:t>
      </w:r>
      <w:r w:rsidR="00CA4144" w:rsidRPr="00F853DD">
        <w:rPr>
          <w:rFonts w:ascii="Times" w:hAnsi="Times" w:cs="Times New Roman"/>
          <w:sz w:val="23"/>
          <w:szCs w:val="23"/>
        </w:rPr>
        <w:t>,</w:t>
      </w:r>
      <w:r w:rsidRPr="00F853DD">
        <w:rPr>
          <w:rFonts w:ascii="Times" w:hAnsi="Times" w:cs="Times New Roman"/>
          <w:sz w:val="23"/>
          <w:szCs w:val="23"/>
        </w:rPr>
        <w:t xml:space="preserve"> (2005). Emerging theories of care work. </w:t>
      </w:r>
      <w:r w:rsidRPr="00F853DD">
        <w:rPr>
          <w:rFonts w:ascii="Times" w:hAnsi="Times" w:cs="Times New Roman"/>
          <w:i/>
          <w:sz w:val="23"/>
          <w:szCs w:val="23"/>
        </w:rPr>
        <w:t>Annual Review of Sociology</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381-399.</w:t>
      </w:r>
    </w:p>
    <w:p w14:paraId="65A4102D" w14:textId="5A14ADF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Epiphaniou, E., Hamilton, D., Bridger, S., Robinson, V., Rob, G., Beynon, T., Higginson, I. and Harding, R.</w:t>
      </w:r>
      <w:r w:rsidR="00CA4144" w:rsidRPr="00F853DD">
        <w:rPr>
          <w:rFonts w:ascii="Times" w:hAnsi="Times" w:cs="Times New Roman"/>
          <w:sz w:val="23"/>
          <w:szCs w:val="23"/>
        </w:rPr>
        <w:t>,</w:t>
      </w:r>
      <w:r w:rsidRPr="00F853DD">
        <w:rPr>
          <w:rFonts w:ascii="Times" w:hAnsi="Times" w:cs="Times New Roman"/>
          <w:sz w:val="23"/>
          <w:szCs w:val="23"/>
        </w:rPr>
        <w:t xml:space="preserve"> (2012). Adjusting to the caregiving role: the importance of coping and support. </w:t>
      </w:r>
      <w:r w:rsidRPr="00F853DD">
        <w:rPr>
          <w:rFonts w:ascii="Times" w:hAnsi="Times" w:cs="Times New Roman"/>
          <w:i/>
          <w:sz w:val="23"/>
          <w:szCs w:val="23"/>
        </w:rPr>
        <w:t>International Journal of Palliative Nursing</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541-5.</w:t>
      </w:r>
    </w:p>
    <w:p w14:paraId="620D87A8" w14:textId="529ED89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Epps, F.</w:t>
      </w:r>
      <w:r w:rsidR="00CA4144" w:rsidRPr="00F853DD">
        <w:rPr>
          <w:rFonts w:ascii="Times" w:hAnsi="Times" w:cs="Times New Roman"/>
          <w:sz w:val="23"/>
          <w:szCs w:val="23"/>
        </w:rPr>
        <w:t>,</w:t>
      </w:r>
      <w:r w:rsidRPr="00F853DD">
        <w:rPr>
          <w:rFonts w:ascii="Times" w:hAnsi="Times" w:cs="Times New Roman"/>
          <w:sz w:val="23"/>
          <w:szCs w:val="23"/>
        </w:rPr>
        <w:t xml:space="preserve"> (2014). The relationship between family obligation and religiosity on caregiving. </w:t>
      </w:r>
      <w:r w:rsidRPr="00F853DD">
        <w:rPr>
          <w:rFonts w:ascii="Times" w:hAnsi="Times" w:cs="Times New Roman"/>
          <w:i/>
          <w:sz w:val="23"/>
          <w:szCs w:val="23"/>
        </w:rPr>
        <w:t>Geriatric Nursing</w:t>
      </w:r>
      <w:r w:rsidRPr="00F853DD">
        <w:rPr>
          <w:rFonts w:ascii="Times" w:hAnsi="Times" w:cs="Times New Roman"/>
          <w:sz w:val="23"/>
          <w:szCs w:val="23"/>
        </w:rPr>
        <w:t xml:space="preserve">, </w:t>
      </w:r>
      <w:r w:rsidRPr="00F853DD">
        <w:rPr>
          <w:rFonts w:ascii="Times" w:hAnsi="Times" w:cs="Times New Roman"/>
          <w:b/>
          <w:sz w:val="23"/>
          <w:szCs w:val="23"/>
        </w:rPr>
        <w:t>35</w:t>
      </w:r>
      <w:r w:rsidRPr="00F853DD">
        <w:rPr>
          <w:rFonts w:ascii="Times" w:hAnsi="Times" w:cs="Times New Roman"/>
          <w:sz w:val="23"/>
          <w:szCs w:val="23"/>
        </w:rPr>
        <w:t>, 126-131.</w:t>
      </w:r>
    </w:p>
    <w:p w14:paraId="3C1A14CB" w14:textId="32E8CD7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Esping-Andersen, G.</w:t>
      </w:r>
      <w:r w:rsidR="00CA4144" w:rsidRPr="00F853DD">
        <w:rPr>
          <w:rFonts w:ascii="Times" w:hAnsi="Times" w:cs="Times New Roman"/>
          <w:sz w:val="23"/>
          <w:szCs w:val="23"/>
        </w:rPr>
        <w:t>,</w:t>
      </w:r>
      <w:r w:rsidRPr="00F853DD">
        <w:rPr>
          <w:rFonts w:ascii="Times" w:hAnsi="Times" w:cs="Times New Roman"/>
          <w:sz w:val="23"/>
          <w:szCs w:val="23"/>
        </w:rPr>
        <w:t xml:space="preserve"> (1990). </w:t>
      </w:r>
      <w:r w:rsidRPr="00F853DD">
        <w:rPr>
          <w:rFonts w:ascii="Times" w:hAnsi="Times" w:cs="Times New Roman"/>
          <w:i/>
          <w:sz w:val="23"/>
          <w:szCs w:val="23"/>
        </w:rPr>
        <w:t>The three worlds of welfare capitalism</w:t>
      </w:r>
      <w:r w:rsidRPr="00F853DD">
        <w:rPr>
          <w:rFonts w:ascii="Times" w:hAnsi="Times" w:cs="Times New Roman"/>
          <w:sz w:val="23"/>
          <w:szCs w:val="23"/>
        </w:rPr>
        <w:t>. Cambridge, England: Polity Press.</w:t>
      </w:r>
    </w:p>
    <w:p w14:paraId="4F9C84A4" w14:textId="281FEEB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Esping-Andersen, G.</w:t>
      </w:r>
      <w:r w:rsidR="00CA4144" w:rsidRPr="00F853DD">
        <w:rPr>
          <w:rFonts w:ascii="Times" w:hAnsi="Times" w:cs="Times New Roman"/>
          <w:sz w:val="23"/>
          <w:szCs w:val="23"/>
        </w:rPr>
        <w:t>,</w:t>
      </w:r>
      <w:r w:rsidRPr="00F853DD">
        <w:rPr>
          <w:rFonts w:ascii="Times" w:hAnsi="Times" w:cs="Times New Roman"/>
          <w:sz w:val="23"/>
          <w:szCs w:val="23"/>
        </w:rPr>
        <w:t xml:space="preserve"> (1999). </w:t>
      </w:r>
      <w:r w:rsidRPr="00F853DD">
        <w:rPr>
          <w:rFonts w:ascii="Times" w:hAnsi="Times" w:cs="Times New Roman"/>
          <w:i/>
          <w:sz w:val="23"/>
          <w:szCs w:val="23"/>
        </w:rPr>
        <w:t>Social foundations of postindustrial economies</w:t>
      </w:r>
      <w:r w:rsidRPr="00F853DD">
        <w:rPr>
          <w:rFonts w:ascii="Times" w:hAnsi="Times" w:cs="Times New Roman"/>
          <w:sz w:val="23"/>
          <w:szCs w:val="23"/>
        </w:rPr>
        <w:t>.  Oxford: Oxford University Press.</w:t>
      </w:r>
    </w:p>
    <w:p w14:paraId="429959B3" w14:textId="2D87A8C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Es</w:t>
      </w:r>
      <w:r w:rsidR="005B61F4" w:rsidRPr="00F853DD">
        <w:rPr>
          <w:rFonts w:ascii="Times" w:hAnsi="Times" w:cs="Times New Roman"/>
          <w:sz w:val="23"/>
          <w:szCs w:val="23"/>
        </w:rPr>
        <w:t>tes, C.</w:t>
      </w:r>
      <w:r w:rsidRPr="00F853DD">
        <w:rPr>
          <w:rFonts w:ascii="Times" w:hAnsi="Times" w:cs="Times New Roman"/>
          <w:sz w:val="23"/>
          <w:szCs w:val="23"/>
        </w:rPr>
        <w:t xml:space="preserve"> and Phillipson, C.</w:t>
      </w:r>
      <w:r w:rsidR="00CA4144" w:rsidRPr="00F853DD">
        <w:rPr>
          <w:rFonts w:ascii="Times" w:hAnsi="Times" w:cs="Times New Roman"/>
          <w:sz w:val="23"/>
          <w:szCs w:val="23"/>
        </w:rPr>
        <w:t>,</w:t>
      </w:r>
      <w:r w:rsidR="00A36DC4" w:rsidRPr="00F853DD">
        <w:rPr>
          <w:rFonts w:ascii="Times" w:hAnsi="Times" w:cs="Times New Roman"/>
          <w:sz w:val="23"/>
          <w:szCs w:val="23"/>
        </w:rPr>
        <w:t xml:space="preserve"> (2002). The globalization of capital, the welfare state, and old age p</w:t>
      </w:r>
      <w:r w:rsidRPr="00F853DD">
        <w:rPr>
          <w:rFonts w:ascii="Times" w:hAnsi="Times" w:cs="Times New Roman"/>
          <w:sz w:val="23"/>
          <w:szCs w:val="23"/>
        </w:rPr>
        <w:t xml:space="preserve">olicy. </w:t>
      </w:r>
      <w:r w:rsidRPr="00F853DD">
        <w:rPr>
          <w:rFonts w:ascii="Times" w:hAnsi="Times" w:cs="Times New Roman"/>
          <w:i/>
          <w:sz w:val="23"/>
          <w:szCs w:val="23"/>
        </w:rPr>
        <w:t>International Journal of Health Services</w:t>
      </w:r>
      <w:r w:rsidR="00A36DC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32</w:t>
      </w:r>
      <w:r w:rsidRPr="00F853DD">
        <w:rPr>
          <w:rFonts w:ascii="Times" w:hAnsi="Times" w:cs="Times New Roman"/>
          <w:sz w:val="23"/>
          <w:szCs w:val="23"/>
        </w:rPr>
        <w:t>, 279-297.</w:t>
      </w:r>
    </w:p>
    <w:p w14:paraId="101304DE" w14:textId="61620BD3"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pt-PT"/>
        </w:rPr>
      </w:pPr>
      <w:r w:rsidRPr="00F853DD">
        <w:rPr>
          <w:rFonts w:ascii="Times" w:hAnsi="Times" w:cs="Times New Roman"/>
          <w:sz w:val="23"/>
          <w:szCs w:val="23"/>
        </w:rPr>
        <w:t>Estes, C.</w:t>
      </w:r>
      <w:r w:rsidR="00CA4144" w:rsidRPr="00F853DD">
        <w:rPr>
          <w:rFonts w:ascii="Times" w:hAnsi="Times" w:cs="Times New Roman"/>
          <w:sz w:val="23"/>
          <w:szCs w:val="23"/>
        </w:rPr>
        <w:t>,</w:t>
      </w:r>
      <w:r w:rsidRPr="00F853DD">
        <w:rPr>
          <w:rFonts w:ascii="Times" w:hAnsi="Times" w:cs="Times New Roman"/>
          <w:sz w:val="23"/>
          <w:szCs w:val="23"/>
        </w:rPr>
        <w:t xml:space="preserve"> (1993). The aging enterprise revisited. </w:t>
      </w:r>
      <w:r w:rsidRPr="00F853DD">
        <w:rPr>
          <w:rFonts w:ascii="Times" w:hAnsi="Times" w:cs="Times New Roman"/>
          <w:i/>
          <w:sz w:val="23"/>
          <w:szCs w:val="23"/>
          <w:lang w:val="pt-PT"/>
        </w:rPr>
        <w:t>The gerontologist</w:t>
      </w:r>
      <w:r w:rsidR="00A36DC4" w:rsidRPr="00F853DD">
        <w:rPr>
          <w:rFonts w:ascii="Times" w:hAnsi="Times" w:cs="Times New Roman"/>
          <w:sz w:val="23"/>
          <w:szCs w:val="23"/>
          <w:lang w:val="pt-PT"/>
        </w:rPr>
        <w:t>.</w:t>
      </w:r>
      <w:r w:rsidRPr="00F853DD">
        <w:rPr>
          <w:rFonts w:ascii="Times" w:hAnsi="Times" w:cs="Times New Roman"/>
          <w:sz w:val="23"/>
          <w:szCs w:val="23"/>
          <w:lang w:val="pt-PT"/>
        </w:rPr>
        <w:t xml:space="preserve"> </w:t>
      </w:r>
      <w:r w:rsidRPr="00F853DD">
        <w:rPr>
          <w:rFonts w:ascii="Times" w:hAnsi="Times" w:cs="Times New Roman"/>
          <w:b/>
          <w:sz w:val="23"/>
          <w:szCs w:val="23"/>
          <w:lang w:val="pt-PT"/>
        </w:rPr>
        <w:t>33</w:t>
      </w:r>
      <w:r w:rsidRPr="00F853DD">
        <w:rPr>
          <w:rFonts w:ascii="Times" w:hAnsi="Times" w:cs="Times New Roman"/>
          <w:sz w:val="23"/>
          <w:szCs w:val="23"/>
          <w:lang w:val="pt-PT"/>
        </w:rPr>
        <w:t>(3), 292-298.</w:t>
      </w:r>
    </w:p>
    <w:p w14:paraId="44AE6E26" w14:textId="7C2F9D7B"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pt-PT"/>
        </w:rPr>
      </w:pPr>
      <w:r w:rsidRPr="00F853DD">
        <w:rPr>
          <w:rFonts w:ascii="Times" w:hAnsi="Times" w:cs="Times New Roman"/>
          <w:sz w:val="23"/>
          <w:szCs w:val="23"/>
          <w:lang w:val="pt-PT"/>
        </w:rPr>
        <w:t>Estêvão, P., Calado, A. and Capucha, L.</w:t>
      </w:r>
      <w:r w:rsidR="00CA4144" w:rsidRPr="00F853DD">
        <w:rPr>
          <w:rFonts w:ascii="Times" w:hAnsi="Times" w:cs="Times New Roman"/>
          <w:sz w:val="23"/>
          <w:szCs w:val="23"/>
          <w:lang w:val="pt-PT"/>
        </w:rPr>
        <w:t>,</w:t>
      </w:r>
      <w:r w:rsidRPr="00F853DD">
        <w:rPr>
          <w:rFonts w:ascii="Times" w:hAnsi="Times" w:cs="Times New Roman"/>
          <w:sz w:val="23"/>
          <w:szCs w:val="23"/>
          <w:lang w:val="pt-PT"/>
        </w:rPr>
        <w:t xml:space="preserve"> (2017). </w:t>
      </w:r>
      <w:r w:rsidRPr="00F853DD">
        <w:rPr>
          <w:rFonts w:ascii="Times" w:hAnsi="Times" w:cs="Times New Roman"/>
          <w:sz w:val="23"/>
          <w:szCs w:val="23"/>
        </w:rPr>
        <w:t xml:space="preserve">Resilience: Moving from a notion to a sociological concept [online]. </w:t>
      </w:r>
      <w:r w:rsidRPr="00F853DD">
        <w:rPr>
          <w:rFonts w:ascii="Times" w:hAnsi="Times" w:cs="Times New Roman"/>
          <w:i/>
          <w:sz w:val="23"/>
          <w:szCs w:val="23"/>
          <w:lang w:val="pt-PT"/>
        </w:rPr>
        <w:t>Sociologia, Problemas E Práticas</w:t>
      </w:r>
      <w:r w:rsidRPr="00F853DD">
        <w:rPr>
          <w:rFonts w:ascii="Times" w:hAnsi="Times" w:cs="Times New Roman"/>
          <w:sz w:val="23"/>
          <w:szCs w:val="23"/>
          <w:lang w:val="pt-PT"/>
        </w:rPr>
        <w:t>. Available from: http://revistas.rcaap.pt/sociologiapp/article/viewFile/10115/9696.</w:t>
      </w:r>
    </w:p>
    <w:p w14:paraId="72C475CD" w14:textId="23C050F6"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lang w:val="en-TT"/>
        </w:rPr>
        <w:t xml:space="preserve">Evandrou, M., 2000. Ethnic inequalities in health in later life. </w:t>
      </w:r>
      <w:r w:rsidRPr="00F853DD">
        <w:rPr>
          <w:rFonts w:ascii="Times" w:hAnsi="Times" w:cs="Times New Roman"/>
          <w:i/>
          <w:sz w:val="23"/>
          <w:szCs w:val="23"/>
          <w:lang w:val="en-TT"/>
        </w:rPr>
        <w:t>Health Statistics Quarterly</w:t>
      </w:r>
      <w:r w:rsidR="00A36DC4" w:rsidRPr="00F853DD">
        <w:rPr>
          <w:rFonts w:ascii="Times" w:hAnsi="Times" w:cs="Times New Roman"/>
          <w:sz w:val="23"/>
          <w:szCs w:val="23"/>
          <w:lang w:val="en-TT"/>
        </w:rPr>
        <w:t>.</w:t>
      </w:r>
      <w:r w:rsidRPr="00F853DD">
        <w:rPr>
          <w:rFonts w:ascii="Times" w:hAnsi="Times" w:cs="Times New Roman"/>
          <w:sz w:val="23"/>
          <w:szCs w:val="23"/>
          <w:lang w:val="en-TT"/>
        </w:rPr>
        <w:t xml:space="preserve"> (8), 20-28.</w:t>
      </w:r>
    </w:p>
    <w:p w14:paraId="75E83D0B" w14:textId="21647D1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Evans, H. and Davies, R.</w:t>
      </w:r>
      <w:r w:rsidR="008A4176" w:rsidRPr="00F853DD">
        <w:rPr>
          <w:rFonts w:ascii="Times" w:hAnsi="Times" w:cs="Times New Roman"/>
          <w:sz w:val="23"/>
          <w:szCs w:val="23"/>
        </w:rPr>
        <w:t>,</w:t>
      </w:r>
      <w:r w:rsidR="00A36DC4" w:rsidRPr="00F853DD">
        <w:rPr>
          <w:rFonts w:ascii="Times" w:hAnsi="Times" w:cs="Times New Roman"/>
          <w:sz w:val="23"/>
          <w:szCs w:val="23"/>
        </w:rPr>
        <w:t xml:space="preserve"> (1997). Overview issues in child s</w:t>
      </w:r>
      <w:r w:rsidRPr="00F853DD">
        <w:rPr>
          <w:rFonts w:ascii="Times" w:hAnsi="Times" w:cs="Times New Roman"/>
          <w:sz w:val="23"/>
          <w:szCs w:val="23"/>
        </w:rPr>
        <w:t xml:space="preserve">ocialisation in the Caribbean. In: Roopnarine, J. and Brown, J. (eds.) </w:t>
      </w:r>
      <w:r w:rsidRPr="00F853DD">
        <w:rPr>
          <w:rFonts w:ascii="Times" w:hAnsi="Times" w:cs="Times New Roman"/>
          <w:i/>
          <w:sz w:val="23"/>
          <w:szCs w:val="23"/>
        </w:rPr>
        <w:t>Caribbean Families: Diversity Among Ethnic Groups</w:t>
      </w:r>
      <w:r w:rsidRPr="00F853DD">
        <w:rPr>
          <w:rFonts w:ascii="Times" w:hAnsi="Times" w:cs="Times New Roman"/>
          <w:sz w:val="23"/>
          <w:szCs w:val="23"/>
        </w:rPr>
        <w:t>. Greenwich: Ablex Publishing Corporation.</w:t>
      </w:r>
    </w:p>
    <w:p w14:paraId="697ACDB3" w14:textId="01F5895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Evans, R.</w:t>
      </w:r>
      <w:r w:rsidR="008A4176" w:rsidRPr="00F853DD">
        <w:rPr>
          <w:rFonts w:ascii="Times" w:hAnsi="Times" w:cs="Times New Roman"/>
          <w:sz w:val="23"/>
          <w:szCs w:val="23"/>
        </w:rPr>
        <w:t>,</w:t>
      </w:r>
      <w:r w:rsidRPr="00F853DD">
        <w:rPr>
          <w:rFonts w:ascii="Times" w:hAnsi="Times" w:cs="Times New Roman"/>
          <w:sz w:val="23"/>
          <w:szCs w:val="23"/>
        </w:rPr>
        <w:t xml:space="preserve"> (2015). HIV-related stigma, asset inheritance and chronic poverty:</w:t>
      </w:r>
      <w:r w:rsidR="00A36DC4" w:rsidRPr="00F853DD">
        <w:rPr>
          <w:rFonts w:ascii="Times" w:hAnsi="Times" w:cs="Times New Roman"/>
          <w:sz w:val="23"/>
          <w:szCs w:val="23"/>
        </w:rPr>
        <w:t xml:space="preserve"> v</w:t>
      </w:r>
      <w:r w:rsidRPr="00F853DD">
        <w:rPr>
          <w:rFonts w:ascii="Times" w:hAnsi="Times" w:cs="Times New Roman"/>
          <w:sz w:val="23"/>
          <w:szCs w:val="23"/>
        </w:rPr>
        <w:t xml:space="preserve">ulnerability and resilience of widows and caregiving children and youth in Tanzania and Uganda. </w:t>
      </w:r>
      <w:r w:rsidRPr="00F853DD">
        <w:rPr>
          <w:rFonts w:ascii="Times" w:hAnsi="Times" w:cs="Times New Roman"/>
          <w:i/>
          <w:sz w:val="23"/>
          <w:szCs w:val="23"/>
        </w:rPr>
        <w:t>Progress in Development Studies</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326-342.</w:t>
      </w:r>
    </w:p>
    <w:p w14:paraId="27322BDD" w14:textId="26909C10"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Ewen, H., Chahal, J. and Fenster, E.,</w:t>
      </w:r>
      <w:r w:rsidR="00DF05BD" w:rsidRPr="00F853DD">
        <w:rPr>
          <w:rFonts w:ascii="Times" w:hAnsi="Times" w:cs="Times New Roman"/>
          <w:sz w:val="23"/>
          <w:szCs w:val="23"/>
        </w:rPr>
        <w:t xml:space="preserve"> (2015). A</w:t>
      </w:r>
      <w:r w:rsidR="00A36DC4" w:rsidRPr="00F853DD">
        <w:rPr>
          <w:rFonts w:ascii="Times" w:hAnsi="Times" w:cs="Times New Roman"/>
          <w:sz w:val="23"/>
          <w:szCs w:val="23"/>
        </w:rPr>
        <w:t xml:space="preserve"> portrait of resilience in c</w:t>
      </w:r>
      <w:r w:rsidR="00DF05BD" w:rsidRPr="00F853DD">
        <w:rPr>
          <w:rFonts w:ascii="Times" w:hAnsi="Times" w:cs="Times New Roman"/>
          <w:sz w:val="23"/>
          <w:szCs w:val="23"/>
        </w:rPr>
        <w:t xml:space="preserve">aregiving. </w:t>
      </w:r>
      <w:r w:rsidR="00DF05BD" w:rsidRPr="00F853DD">
        <w:rPr>
          <w:rFonts w:ascii="Times" w:hAnsi="Times" w:cs="Times New Roman"/>
          <w:i/>
          <w:sz w:val="23"/>
          <w:szCs w:val="23"/>
        </w:rPr>
        <w:t>Research in Gerontological Nursing</w:t>
      </w:r>
      <w:r w:rsidR="00A36DC4" w:rsidRPr="00F853DD">
        <w:rPr>
          <w:rFonts w:ascii="Times" w:hAnsi="Times" w:cs="Times New Roman"/>
          <w:sz w:val="23"/>
          <w:szCs w:val="23"/>
        </w:rPr>
        <w:t xml:space="preserve">. </w:t>
      </w:r>
      <w:r w:rsidR="00DF05BD" w:rsidRPr="00F853DD">
        <w:rPr>
          <w:rFonts w:ascii="Times" w:hAnsi="Times" w:cs="Times New Roman"/>
          <w:b/>
          <w:sz w:val="23"/>
          <w:szCs w:val="23"/>
        </w:rPr>
        <w:t>8</w:t>
      </w:r>
      <w:r w:rsidR="00DF05BD" w:rsidRPr="00F853DD">
        <w:rPr>
          <w:rFonts w:ascii="Times" w:hAnsi="Times" w:cs="Times New Roman"/>
          <w:sz w:val="23"/>
          <w:szCs w:val="23"/>
        </w:rPr>
        <w:t>, 27-36.</w:t>
      </w:r>
    </w:p>
    <w:p w14:paraId="4AC97CF9" w14:textId="6BAF7491"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Faigin, C. and Pargament, K.,</w:t>
      </w:r>
      <w:r w:rsidR="00DF05BD" w:rsidRPr="00F853DD">
        <w:rPr>
          <w:rFonts w:ascii="Times" w:hAnsi="Times" w:cs="Times New Roman"/>
          <w:sz w:val="23"/>
          <w:szCs w:val="23"/>
        </w:rPr>
        <w:t xml:space="preserve"> (2011</w:t>
      </w:r>
      <w:r w:rsidR="00A36DC4" w:rsidRPr="00F853DD">
        <w:rPr>
          <w:rFonts w:ascii="Times" w:hAnsi="Times" w:cs="Times New Roman"/>
          <w:sz w:val="23"/>
          <w:szCs w:val="23"/>
        </w:rPr>
        <w:t>). Strengthened by the spirit: r</w:t>
      </w:r>
      <w:r w:rsidR="00DF05BD" w:rsidRPr="00F853DD">
        <w:rPr>
          <w:rFonts w:ascii="Times" w:hAnsi="Times" w:cs="Times New Roman"/>
          <w:sz w:val="23"/>
          <w:szCs w:val="23"/>
        </w:rPr>
        <w:t>eligion, spirituality, and resilience through adulthood and aging.</w:t>
      </w:r>
      <w:r w:rsidRPr="00F853DD">
        <w:rPr>
          <w:rFonts w:ascii="Times" w:hAnsi="Times" w:cs="Times New Roman"/>
          <w:sz w:val="23"/>
          <w:szCs w:val="23"/>
        </w:rPr>
        <w:t xml:space="preserve"> In: Resnick, B., Gwyther, L. and Roberto, K.</w:t>
      </w:r>
      <w:r w:rsidR="00DF05BD" w:rsidRPr="00F853DD">
        <w:rPr>
          <w:rFonts w:ascii="Times" w:hAnsi="Times" w:cs="Times New Roman"/>
          <w:sz w:val="23"/>
          <w:szCs w:val="23"/>
        </w:rPr>
        <w:t xml:space="preserve"> (eds.) </w:t>
      </w:r>
      <w:r w:rsidR="00DF05BD" w:rsidRPr="00F853DD">
        <w:rPr>
          <w:rFonts w:ascii="Times" w:hAnsi="Times" w:cs="Times New Roman"/>
          <w:i/>
          <w:sz w:val="23"/>
          <w:szCs w:val="23"/>
        </w:rPr>
        <w:t>Resilience in Aging: Concepts, Research, and Outcomes</w:t>
      </w:r>
      <w:r w:rsidR="00DF05BD" w:rsidRPr="00F853DD">
        <w:rPr>
          <w:rFonts w:ascii="Times" w:hAnsi="Times" w:cs="Times New Roman"/>
          <w:sz w:val="23"/>
          <w:szCs w:val="23"/>
        </w:rPr>
        <w:t>. New York: Springer.</w:t>
      </w:r>
    </w:p>
    <w:p w14:paraId="2ECC456F" w14:textId="73F2578E" w:rsidR="00DF05BD" w:rsidRPr="00F853DD" w:rsidRDefault="00DF05BD" w:rsidP="005B61F4">
      <w:pPr>
        <w:autoSpaceDE w:val="0"/>
        <w:autoSpaceDN w:val="0"/>
        <w:adjustRightInd w:val="0"/>
        <w:spacing w:line="240" w:lineRule="auto"/>
        <w:ind w:left="567" w:right="-93" w:hanging="567"/>
        <w:rPr>
          <w:rFonts w:ascii="Times" w:hAnsi="Times" w:cs="Times New Roman"/>
          <w:sz w:val="23"/>
          <w:szCs w:val="23"/>
        </w:rPr>
      </w:pPr>
      <w:r w:rsidRPr="00F853DD">
        <w:rPr>
          <w:rFonts w:ascii="Times" w:hAnsi="Times" w:cs="Times New Roman"/>
          <w:sz w:val="23"/>
          <w:szCs w:val="23"/>
        </w:rPr>
        <w:lastRenderedPageBreak/>
        <w:t>Family Caregiver Alliance</w:t>
      </w:r>
      <w:r w:rsidR="005B61F4" w:rsidRPr="00F853DD">
        <w:rPr>
          <w:rFonts w:ascii="Times" w:hAnsi="Times" w:cs="Times New Roman"/>
          <w:sz w:val="23"/>
          <w:szCs w:val="23"/>
        </w:rPr>
        <w:t>,</w:t>
      </w:r>
      <w:r w:rsidRPr="00F853DD">
        <w:rPr>
          <w:rFonts w:ascii="Times" w:hAnsi="Times" w:cs="Times New Roman"/>
          <w:sz w:val="23"/>
          <w:szCs w:val="23"/>
        </w:rPr>
        <w:t xml:space="preserve"> (2012). Selected </w:t>
      </w:r>
      <w:r w:rsidR="00A36DC4" w:rsidRPr="00F853DD">
        <w:rPr>
          <w:rFonts w:ascii="Times" w:hAnsi="Times" w:cs="Times New Roman"/>
          <w:sz w:val="23"/>
          <w:szCs w:val="23"/>
        </w:rPr>
        <w:t>caregiver assessment measures: a</w:t>
      </w:r>
      <w:r w:rsidRPr="00F853DD">
        <w:rPr>
          <w:rFonts w:ascii="Times" w:hAnsi="Times" w:cs="Times New Roman"/>
          <w:sz w:val="23"/>
          <w:szCs w:val="23"/>
        </w:rPr>
        <w:t xml:space="preserve"> resource inventory for practitioners [online] </w:t>
      </w:r>
      <w:r w:rsidRPr="00F853DD">
        <w:rPr>
          <w:rFonts w:ascii="Times" w:hAnsi="Times" w:cs="Times New Roman"/>
          <w:i/>
          <w:sz w:val="23"/>
          <w:szCs w:val="23"/>
        </w:rPr>
        <w:t>Family Caregiver Alliance</w:t>
      </w:r>
      <w:r w:rsidRPr="00F853DD">
        <w:rPr>
          <w:rFonts w:ascii="Times" w:hAnsi="Times" w:cs="Times New Roman"/>
          <w:sz w:val="23"/>
          <w:szCs w:val="23"/>
        </w:rPr>
        <w:t xml:space="preserve">. San Francisco, CA. [Viewed 8 October 2019]. Available from: https://www.caregiver.org/sites/caregiver.org/files/pdfs/SelCGAssmtMeas_ResInv_FINAL_12.10.12.pdf </w:t>
      </w:r>
    </w:p>
    <w:p w14:paraId="6D907928" w14:textId="67544C07"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Fang, X., Vincent, W., Calabrese, S.</w:t>
      </w:r>
      <w:r w:rsidR="00DF05BD" w:rsidRPr="00F853DD">
        <w:rPr>
          <w:rFonts w:ascii="Times" w:hAnsi="Times" w:cs="Times New Roman"/>
          <w:sz w:val="23"/>
          <w:szCs w:val="23"/>
        </w:rPr>
        <w:t>,</w:t>
      </w:r>
      <w:r w:rsidRPr="00F853DD">
        <w:rPr>
          <w:rFonts w:ascii="Times" w:hAnsi="Times" w:cs="Times New Roman"/>
          <w:sz w:val="23"/>
          <w:szCs w:val="23"/>
        </w:rPr>
        <w:t xml:space="preserve"> Heckman, T., Sikkema, K., Humphries, D. and Hansen, N.,</w:t>
      </w:r>
      <w:r w:rsidR="00DF05BD" w:rsidRPr="00F853DD">
        <w:rPr>
          <w:rFonts w:ascii="Times" w:hAnsi="Times" w:cs="Times New Roman"/>
          <w:sz w:val="23"/>
          <w:szCs w:val="23"/>
        </w:rPr>
        <w:t xml:space="preserve"> (2015). Resilience, stress, and life quality in older adults living with HIV/AIDS. </w:t>
      </w:r>
      <w:r w:rsidR="00DF05BD" w:rsidRPr="00F853DD">
        <w:rPr>
          <w:rFonts w:ascii="Times" w:hAnsi="Times" w:cs="Times New Roman"/>
          <w:i/>
          <w:sz w:val="23"/>
          <w:szCs w:val="23"/>
        </w:rPr>
        <w:t>Aging and Mental Health</w:t>
      </w:r>
      <w:r w:rsidR="00A36DC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 1015-1021.</w:t>
      </w:r>
    </w:p>
    <w:p w14:paraId="5A84D875" w14:textId="53F0BFC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Farquhar, C. and Das, R.</w:t>
      </w:r>
      <w:r w:rsidR="005B61F4" w:rsidRPr="00F853DD">
        <w:rPr>
          <w:rFonts w:ascii="Times" w:hAnsi="Times" w:cs="Times New Roman"/>
          <w:sz w:val="23"/>
          <w:szCs w:val="23"/>
        </w:rPr>
        <w:t>,</w:t>
      </w:r>
      <w:r w:rsidRPr="00F853DD">
        <w:rPr>
          <w:rFonts w:ascii="Times" w:hAnsi="Times" w:cs="Times New Roman"/>
          <w:sz w:val="23"/>
          <w:szCs w:val="23"/>
        </w:rPr>
        <w:t xml:space="preserve"> (1999). Are focus groups suitable for 'sensitive' topics? In: Barbour, R. And Kitzinger, J. (eds.) </w:t>
      </w:r>
      <w:r w:rsidRPr="00F853DD">
        <w:rPr>
          <w:rFonts w:ascii="Times" w:hAnsi="Times" w:cs="Times New Roman"/>
          <w:i/>
          <w:sz w:val="23"/>
          <w:szCs w:val="23"/>
        </w:rPr>
        <w:t>Developing Focus Group Research</w:t>
      </w:r>
      <w:r w:rsidRPr="00F853DD">
        <w:rPr>
          <w:rFonts w:ascii="Times" w:hAnsi="Times" w:cs="Times New Roman"/>
          <w:sz w:val="23"/>
          <w:szCs w:val="23"/>
        </w:rPr>
        <w:t>. London: SAGE Publications Ltd.</w:t>
      </w:r>
    </w:p>
    <w:p w14:paraId="3570F41F" w14:textId="138BB944"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Farran, C.</w:t>
      </w:r>
      <w:r w:rsidR="00DF05BD" w:rsidRPr="00F853DD">
        <w:rPr>
          <w:rFonts w:ascii="Times" w:hAnsi="Times" w:cs="Times New Roman"/>
          <w:sz w:val="23"/>
          <w:szCs w:val="23"/>
        </w:rPr>
        <w:t>, Keane-Hagerty, E., Salloway, S</w:t>
      </w:r>
      <w:r w:rsidRPr="00F853DD">
        <w:rPr>
          <w:rFonts w:ascii="Times" w:hAnsi="Times" w:cs="Times New Roman"/>
          <w:sz w:val="23"/>
          <w:szCs w:val="23"/>
        </w:rPr>
        <w:t>., Kupferer, S. and Wilken, C.,</w:t>
      </w:r>
      <w:r w:rsidR="00DF05BD" w:rsidRPr="00F853DD">
        <w:rPr>
          <w:rFonts w:ascii="Times" w:hAnsi="Times" w:cs="Times New Roman"/>
          <w:sz w:val="23"/>
          <w:szCs w:val="23"/>
        </w:rPr>
        <w:t xml:space="preserve"> (1991). Finding meaning: An alternative paradigm for Alzheimer's disease family caregivers.  </w:t>
      </w:r>
      <w:r w:rsidR="00DF05BD" w:rsidRPr="00F853DD">
        <w:rPr>
          <w:rFonts w:ascii="Times" w:hAnsi="Times" w:cs="Times New Roman"/>
          <w:i/>
          <w:sz w:val="23"/>
          <w:szCs w:val="23"/>
        </w:rPr>
        <w:t>Gerontologist</w:t>
      </w:r>
      <w:r w:rsidR="00A36DC4" w:rsidRPr="00F853DD">
        <w:rPr>
          <w:rFonts w:ascii="Times" w:hAnsi="Times" w:cs="Times New Roman"/>
          <w:sz w:val="23"/>
          <w:szCs w:val="23"/>
        </w:rPr>
        <w:t>.</w:t>
      </w:r>
      <w:r w:rsidR="00DF05BD" w:rsidRPr="00F853DD">
        <w:rPr>
          <w:rFonts w:ascii="Times" w:hAnsi="Times" w:cs="Times New Roman"/>
          <w:b/>
          <w:sz w:val="23"/>
          <w:szCs w:val="23"/>
        </w:rPr>
        <w:t> 31</w:t>
      </w:r>
      <w:r w:rsidR="00DF05BD" w:rsidRPr="00F853DD">
        <w:rPr>
          <w:rFonts w:ascii="Times" w:hAnsi="Times" w:cs="Times New Roman"/>
          <w:sz w:val="23"/>
          <w:szCs w:val="23"/>
        </w:rPr>
        <w:t>(4), 483-489.</w:t>
      </w:r>
    </w:p>
    <w:p w14:paraId="49520727" w14:textId="16B17C57"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Farran, C.,</w:t>
      </w:r>
      <w:r w:rsidR="00DF05BD" w:rsidRPr="00F853DD">
        <w:rPr>
          <w:rFonts w:ascii="Times" w:hAnsi="Times" w:cs="Times New Roman"/>
          <w:sz w:val="23"/>
          <w:szCs w:val="23"/>
        </w:rPr>
        <w:t xml:space="preserve"> (1997). Theoretical perspectives concerning positive aspects of caring for </w:t>
      </w:r>
      <w:r w:rsidR="001177B4" w:rsidRPr="00F853DD">
        <w:rPr>
          <w:rFonts w:ascii="Times" w:hAnsi="Times" w:cs="Times New Roman"/>
          <w:sz w:val="23"/>
          <w:szCs w:val="23"/>
        </w:rPr>
        <w:t>elderly persons with dementia: s</w:t>
      </w:r>
      <w:r w:rsidR="00DF05BD" w:rsidRPr="00F853DD">
        <w:rPr>
          <w:rFonts w:ascii="Times" w:hAnsi="Times" w:cs="Times New Roman"/>
          <w:sz w:val="23"/>
          <w:szCs w:val="23"/>
        </w:rPr>
        <w:t xml:space="preserve">tress/adaptation and existentialism. </w:t>
      </w:r>
      <w:r w:rsidR="00DF05BD" w:rsidRPr="00F853DD">
        <w:rPr>
          <w:rFonts w:ascii="Times" w:hAnsi="Times" w:cs="Times New Roman"/>
          <w:i/>
          <w:sz w:val="23"/>
          <w:szCs w:val="23"/>
        </w:rPr>
        <w:t>Gerontologist</w:t>
      </w:r>
      <w:r w:rsidR="001177B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37</w:t>
      </w:r>
      <w:r w:rsidR="00DF05BD" w:rsidRPr="00F853DD">
        <w:rPr>
          <w:rFonts w:ascii="Times" w:hAnsi="Times" w:cs="Times New Roman"/>
          <w:sz w:val="23"/>
          <w:szCs w:val="23"/>
        </w:rPr>
        <w:t>, 250-256.</w:t>
      </w:r>
    </w:p>
    <w:p w14:paraId="6AE93E5A" w14:textId="1882920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Farrell, N. and Guertin, G.</w:t>
      </w:r>
      <w:r w:rsidR="005B61F4" w:rsidRPr="00F853DD">
        <w:rPr>
          <w:rFonts w:ascii="Times" w:hAnsi="Times" w:cs="Times New Roman"/>
          <w:sz w:val="23"/>
          <w:szCs w:val="23"/>
        </w:rPr>
        <w:t>,</w:t>
      </w:r>
      <w:r w:rsidRPr="00F853DD">
        <w:rPr>
          <w:rFonts w:ascii="Times" w:hAnsi="Times" w:cs="Times New Roman"/>
          <w:sz w:val="23"/>
          <w:szCs w:val="23"/>
        </w:rPr>
        <w:t xml:space="preserve"> (2</w:t>
      </w:r>
      <w:r w:rsidR="001177B4" w:rsidRPr="00F853DD">
        <w:rPr>
          <w:rFonts w:ascii="Times" w:hAnsi="Times" w:cs="Times New Roman"/>
          <w:sz w:val="23"/>
          <w:szCs w:val="23"/>
        </w:rPr>
        <w:t>007). Old problem, new tactic: m</w:t>
      </w:r>
      <w:r w:rsidRPr="00F853DD">
        <w:rPr>
          <w:rFonts w:ascii="Times" w:hAnsi="Times" w:cs="Times New Roman"/>
          <w:sz w:val="23"/>
          <w:szCs w:val="23"/>
        </w:rPr>
        <w:t>aking the case for legislation to combat employment discrimination based on family caregiver status. </w:t>
      </w:r>
      <w:r w:rsidRPr="00F853DD">
        <w:rPr>
          <w:rFonts w:ascii="Times" w:hAnsi="Times" w:cs="Times New Roman"/>
          <w:i/>
          <w:sz w:val="23"/>
          <w:szCs w:val="23"/>
        </w:rPr>
        <w:t>Hastings Law Journal</w:t>
      </w:r>
      <w:r w:rsidR="001177B4"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59</w:t>
      </w:r>
      <w:r w:rsidRPr="00F853DD">
        <w:rPr>
          <w:rFonts w:ascii="Times" w:hAnsi="Times" w:cs="Times New Roman"/>
          <w:sz w:val="23"/>
          <w:szCs w:val="23"/>
        </w:rPr>
        <w:t>(6), 1463.</w:t>
      </w:r>
    </w:p>
    <w:p w14:paraId="110A0513" w14:textId="25DEFF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Fatima, S., Kanwal, F. and Khurram, S.</w:t>
      </w:r>
      <w:r w:rsidR="005B61F4" w:rsidRPr="00F853DD">
        <w:rPr>
          <w:rFonts w:ascii="Times" w:hAnsi="Times" w:cs="Times New Roman"/>
          <w:sz w:val="23"/>
          <w:szCs w:val="23"/>
        </w:rPr>
        <w:t>,</w:t>
      </w:r>
      <w:r w:rsidRPr="00F853DD">
        <w:rPr>
          <w:rFonts w:ascii="Times" w:hAnsi="Times" w:cs="Times New Roman"/>
          <w:sz w:val="23"/>
          <w:szCs w:val="23"/>
        </w:rPr>
        <w:t xml:space="preserve"> (2017). Factors associated with caregivers burden: do coping strategies make any difference?  </w:t>
      </w:r>
      <w:r w:rsidRPr="00F853DD">
        <w:rPr>
          <w:rFonts w:ascii="Times" w:hAnsi="Times" w:cs="Times New Roman"/>
          <w:i/>
          <w:sz w:val="23"/>
          <w:szCs w:val="23"/>
        </w:rPr>
        <w:t>Pakistan Heart Journal</w:t>
      </w:r>
      <w:r w:rsidR="001177B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50</w:t>
      </w:r>
      <w:r w:rsidRPr="00F853DD">
        <w:rPr>
          <w:rFonts w:ascii="Times" w:hAnsi="Times" w:cs="Times New Roman"/>
          <w:sz w:val="23"/>
          <w:szCs w:val="23"/>
        </w:rPr>
        <w:t>, 19-25.</w:t>
      </w:r>
    </w:p>
    <w:p w14:paraId="48715F7A" w14:textId="7A0D87A1"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Feeney, B. and Collins, N</w:t>
      </w:r>
      <w:r w:rsidR="00DF05BD" w:rsidRPr="00F853DD">
        <w:rPr>
          <w:rFonts w:ascii="Times" w:hAnsi="Times" w:cs="Times New Roman"/>
          <w:sz w:val="23"/>
          <w:szCs w:val="23"/>
        </w:rPr>
        <w:t>., (2001). Predictors of caregiving in</w:t>
      </w:r>
      <w:r w:rsidR="001177B4" w:rsidRPr="00F853DD">
        <w:rPr>
          <w:rFonts w:ascii="Times" w:hAnsi="Times" w:cs="Times New Roman"/>
          <w:sz w:val="23"/>
          <w:szCs w:val="23"/>
        </w:rPr>
        <w:t xml:space="preserve"> adult intimate relationships: a</w:t>
      </w:r>
      <w:r w:rsidR="00DF05BD" w:rsidRPr="00F853DD">
        <w:rPr>
          <w:rFonts w:ascii="Times" w:hAnsi="Times" w:cs="Times New Roman"/>
          <w:sz w:val="23"/>
          <w:szCs w:val="23"/>
        </w:rPr>
        <w:t xml:space="preserve">n attachment theoretical perspective. </w:t>
      </w:r>
      <w:r w:rsidR="00DF05BD" w:rsidRPr="00F853DD">
        <w:rPr>
          <w:rFonts w:ascii="Times" w:hAnsi="Times" w:cs="Times New Roman"/>
          <w:i/>
          <w:sz w:val="23"/>
          <w:szCs w:val="23"/>
        </w:rPr>
        <w:t>Journal of Personality and Social Psychology</w:t>
      </w:r>
      <w:r w:rsidR="001177B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80</w:t>
      </w:r>
      <w:r w:rsidR="00DF05BD" w:rsidRPr="00F853DD">
        <w:rPr>
          <w:rFonts w:ascii="Times" w:hAnsi="Times" w:cs="Times New Roman"/>
          <w:sz w:val="23"/>
          <w:szCs w:val="23"/>
        </w:rPr>
        <w:t>(6), 972.</w:t>
      </w:r>
    </w:p>
    <w:p w14:paraId="4068A04A" w14:textId="01E7F6EC"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Feeney, B. and Collins, N</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(2003). Motivations for caregiving in adult intimate relationships: Influence on caregiving behavior and relationship functioning. </w:t>
      </w:r>
      <w:r w:rsidR="00DF05BD" w:rsidRPr="00F853DD">
        <w:rPr>
          <w:rFonts w:ascii="Times" w:hAnsi="Times" w:cs="Times New Roman"/>
          <w:i/>
          <w:sz w:val="23"/>
          <w:szCs w:val="23"/>
        </w:rPr>
        <w:t>Personality and Social Psychology Bulletin</w:t>
      </w:r>
      <w:r w:rsidR="001177B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29</w:t>
      </w:r>
      <w:r w:rsidR="00DF05BD" w:rsidRPr="00F853DD">
        <w:rPr>
          <w:rFonts w:ascii="Times" w:hAnsi="Times" w:cs="Times New Roman"/>
          <w:sz w:val="23"/>
          <w:szCs w:val="23"/>
        </w:rPr>
        <w:t>, 950-968.</w:t>
      </w:r>
    </w:p>
    <w:p w14:paraId="08DA0FFA" w14:textId="6511DBD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Feinberg, L.</w:t>
      </w:r>
      <w:r w:rsidR="005B61F4" w:rsidRPr="00F853DD">
        <w:rPr>
          <w:rFonts w:ascii="Times" w:hAnsi="Times" w:cs="Times New Roman"/>
          <w:sz w:val="23"/>
          <w:szCs w:val="23"/>
        </w:rPr>
        <w:t>,</w:t>
      </w:r>
      <w:r w:rsidRPr="00F853DD">
        <w:rPr>
          <w:rFonts w:ascii="Times" w:hAnsi="Times" w:cs="Times New Roman"/>
          <w:sz w:val="23"/>
          <w:szCs w:val="23"/>
        </w:rPr>
        <w:t xml:space="preserve"> (2018). Breaking new ground: supporting employed family caregivers with workplace leave policies. </w:t>
      </w:r>
      <w:r w:rsidRPr="00F853DD">
        <w:rPr>
          <w:rFonts w:ascii="Times" w:hAnsi="Times" w:cs="Times New Roman"/>
          <w:i/>
          <w:sz w:val="23"/>
          <w:szCs w:val="23"/>
        </w:rPr>
        <w:t>AARP Public Policy Institute</w:t>
      </w:r>
      <w:r w:rsidR="001177B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136</w:t>
      </w:r>
      <w:r w:rsidRPr="00F853DD">
        <w:rPr>
          <w:rFonts w:ascii="Times" w:hAnsi="Times" w:cs="Times New Roman"/>
          <w:sz w:val="23"/>
          <w:szCs w:val="23"/>
        </w:rPr>
        <w:t>, 1-28.</w:t>
      </w:r>
    </w:p>
    <w:p w14:paraId="30A39C2C" w14:textId="38C98A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w:t>
      </w:r>
      <w:r w:rsidRPr="00F853DD">
        <w:rPr>
          <w:rFonts w:ascii="Times" w:eastAsia="Times New Roman" w:hAnsi="Times" w:cs="Times New Roman"/>
          <w:sz w:val="23"/>
          <w:szCs w:val="23"/>
          <w:lang w:eastAsia="en-TT"/>
        </w:rPr>
        <w:t>einberg, L. and Houser, A.</w:t>
      </w:r>
      <w:r w:rsidR="005B61F4" w:rsidRPr="00F853DD">
        <w:rPr>
          <w:rFonts w:ascii="Times" w:eastAsia="Times New Roman" w:hAnsi="Times" w:cs="Times New Roman"/>
          <w:sz w:val="23"/>
          <w:szCs w:val="23"/>
          <w:lang w:eastAsia="en-TT"/>
        </w:rPr>
        <w:t>,</w:t>
      </w:r>
      <w:r w:rsidRPr="00F853DD">
        <w:rPr>
          <w:rFonts w:ascii="Times" w:eastAsia="Times New Roman" w:hAnsi="Times" w:cs="Times New Roman"/>
          <w:sz w:val="23"/>
          <w:szCs w:val="23"/>
          <w:lang w:eastAsia="en-TT"/>
        </w:rPr>
        <w:t xml:space="preserve"> (2012). </w:t>
      </w:r>
      <w:r w:rsidRPr="00F853DD">
        <w:rPr>
          <w:rFonts w:ascii="Times" w:eastAsia="Times New Roman" w:hAnsi="Times" w:cs="Times New Roman"/>
          <w:iCs/>
          <w:sz w:val="23"/>
          <w:szCs w:val="23"/>
          <w:lang w:eastAsia="en-TT"/>
        </w:rPr>
        <w:t>Ass</w:t>
      </w:r>
      <w:r w:rsidR="001177B4" w:rsidRPr="00F853DD">
        <w:rPr>
          <w:rFonts w:ascii="Times" w:eastAsia="Times New Roman" w:hAnsi="Times" w:cs="Times New Roman"/>
          <w:iCs/>
          <w:sz w:val="23"/>
          <w:szCs w:val="23"/>
          <w:lang w:eastAsia="en-TT"/>
        </w:rPr>
        <w:t>essing family caregiver needs: p</w:t>
      </w:r>
      <w:r w:rsidRPr="00F853DD">
        <w:rPr>
          <w:rFonts w:ascii="Times" w:eastAsia="Times New Roman" w:hAnsi="Times" w:cs="Times New Roman"/>
          <w:iCs/>
          <w:sz w:val="23"/>
          <w:szCs w:val="23"/>
          <w:lang w:eastAsia="en-TT"/>
        </w:rPr>
        <w:t>olicy and practice considerations</w:t>
      </w:r>
      <w:r w:rsidRPr="00F853DD">
        <w:rPr>
          <w:rFonts w:ascii="Times" w:eastAsia="Times New Roman" w:hAnsi="Times" w:cs="Times New Roman"/>
          <w:sz w:val="23"/>
          <w:szCs w:val="23"/>
          <w:lang w:eastAsia="en-TT"/>
        </w:rPr>
        <w:t xml:space="preserve">. </w:t>
      </w:r>
      <w:r w:rsidRPr="00F853DD">
        <w:rPr>
          <w:rFonts w:ascii="Times" w:eastAsia="Times New Roman" w:hAnsi="Times" w:cs="Times New Roman"/>
          <w:i/>
          <w:sz w:val="23"/>
          <w:szCs w:val="23"/>
          <w:lang w:eastAsia="en-TT"/>
        </w:rPr>
        <w:t>AARP Public Policy Institute</w:t>
      </w:r>
      <w:r w:rsidRPr="00F853DD">
        <w:rPr>
          <w:rFonts w:ascii="Times" w:eastAsia="Times New Roman" w:hAnsi="Times" w:cs="Times New Roman"/>
          <w:sz w:val="23"/>
          <w:szCs w:val="23"/>
          <w:lang w:eastAsia="en-TT"/>
        </w:rPr>
        <w:t>.</w:t>
      </w:r>
    </w:p>
    <w:p w14:paraId="0FAB2039" w14:textId="28E14F01"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Feinson, M. and Thoits, P.,</w:t>
      </w:r>
      <w:r w:rsidR="00DF05BD" w:rsidRPr="00F853DD">
        <w:rPr>
          <w:rFonts w:ascii="Times" w:hAnsi="Times" w:cs="Times New Roman"/>
          <w:sz w:val="23"/>
          <w:szCs w:val="23"/>
        </w:rPr>
        <w:t xml:space="preserve"> (1986). The distribution of distress among elders. </w:t>
      </w:r>
      <w:r w:rsidR="00DF05BD" w:rsidRPr="00F853DD">
        <w:rPr>
          <w:rFonts w:ascii="Times" w:hAnsi="Times" w:cs="Times New Roman"/>
          <w:i/>
          <w:sz w:val="23"/>
          <w:szCs w:val="23"/>
        </w:rPr>
        <w:t>Journals of Gerontology</w:t>
      </w:r>
      <w:r w:rsidR="001177B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41</w:t>
      </w:r>
      <w:r w:rsidR="00DF05BD" w:rsidRPr="00F853DD">
        <w:rPr>
          <w:rFonts w:ascii="Times" w:hAnsi="Times" w:cs="Times New Roman"/>
          <w:sz w:val="23"/>
          <w:szCs w:val="23"/>
        </w:rPr>
        <w:t>, 225-233.</w:t>
      </w:r>
    </w:p>
    <w:p w14:paraId="32FFF530" w14:textId="3DDC8581"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Feld, S., Dunkle, R.</w:t>
      </w:r>
      <w:r w:rsidR="00DF05BD" w:rsidRPr="00F853DD">
        <w:rPr>
          <w:rFonts w:ascii="Times" w:hAnsi="Times" w:cs="Times New Roman"/>
          <w:sz w:val="23"/>
          <w:szCs w:val="23"/>
        </w:rPr>
        <w:t xml:space="preserve"> and Schroepfer, T.</w:t>
      </w:r>
      <w:r w:rsidRPr="00F853DD">
        <w:rPr>
          <w:rFonts w:ascii="Times" w:hAnsi="Times" w:cs="Times New Roman"/>
          <w:sz w:val="23"/>
          <w:szCs w:val="23"/>
        </w:rPr>
        <w:t>,</w:t>
      </w:r>
      <w:r w:rsidR="00DF05BD" w:rsidRPr="00F853DD">
        <w:rPr>
          <w:rFonts w:ascii="Times" w:hAnsi="Times" w:cs="Times New Roman"/>
          <w:sz w:val="23"/>
          <w:szCs w:val="23"/>
        </w:rPr>
        <w:t xml:space="preserve"> (2004). Race/ethnicity and marital status in IADL caregiver networks. </w:t>
      </w:r>
      <w:r w:rsidR="00DF05BD" w:rsidRPr="00F853DD">
        <w:rPr>
          <w:rFonts w:ascii="Times" w:hAnsi="Times" w:cs="Times New Roman"/>
          <w:i/>
          <w:sz w:val="23"/>
          <w:szCs w:val="23"/>
        </w:rPr>
        <w:t>Research on Aging</w:t>
      </w:r>
      <w:r w:rsidR="001177B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26</w:t>
      </w:r>
      <w:r w:rsidR="00DF05BD" w:rsidRPr="00F853DD">
        <w:rPr>
          <w:rFonts w:ascii="Times" w:hAnsi="Times" w:cs="Times New Roman"/>
          <w:sz w:val="23"/>
          <w:szCs w:val="23"/>
        </w:rPr>
        <w:t>, 531-558.</w:t>
      </w:r>
    </w:p>
    <w:p w14:paraId="206DFB0C" w14:textId="55B4A89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Feldman, S., Radermacher, H., Browning, C., Bird, S. and Thomas, S.</w:t>
      </w:r>
      <w:r w:rsidR="005B61F4" w:rsidRPr="00F853DD">
        <w:rPr>
          <w:rFonts w:ascii="Times" w:hAnsi="Times" w:cs="Times New Roman"/>
          <w:sz w:val="23"/>
          <w:szCs w:val="23"/>
        </w:rPr>
        <w:t>,</w:t>
      </w:r>
      <w:r w:rsidRPr="00F853DD">
        <w:rPr>
          <w:rFonts w:ascii="Times" w:hAnsi="Times" w:cs="Times New Roman"/>
          <w:sz w:val="23"/>
          <w:szCs w:val="23"/>
        </w:rPr>
        <w:t xml:space="preserve"> (2008). Challenges of recruitment and retention of older people from culturally diverse communities in research. </w:t>
      </w:r>
      <w:r w:rsidRPr="00F853DD">
        <w:rPr>
          <w:rFonts w:ascii="Times" w:hAnsi="Times" w:cs="Times New Roman"/>
          <w:i/>
          <w:sz w:val="23"/>
          <w:szCs w:val="23"/>
        </w:rPr>
        <w:t>Ageing and Society</w:t>
      </w:r>
      <w:r w:rsidR="001177B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 473-493.</w:t>
      </w:r>
    </w:p>
    <w:p w14:paraId="3644AF36" w14:textId="2716208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Felten, B. S.</w:t>
      </w:r>
      <w:r w:rsidR="005B61F4" w:rsidRPr="00F853DD">
        <w:rPr>
          <w:rFonts w:ascii="Times" w:hAnsi="Times" w:cs="Times New Roman"/>
          <w:sz w:val="23"/>
          <w:szCs w:val="23"/>
        </w:rPr>
        <w:t>,</w:t>
      </w:r>
      <w:r w:rsidRPr="00F853DD">
        <w:rPr>
          <w:rFonts w:ascii="Times" w:hAnsi="Times" w:cs="Times New Roman"/>
          <w:sz w:val="23"/>
          <w:szCs w:val="23"/>
        </w:rPr>
        <w:t xml:space="preserve"> (2000). Resilience in a multicultural sample of community-dwelling women older than age 85. </w:t>
      </w:r>
      <w:r w:rsidRPr="00F853DD">
        <w:rPr>
          <w:rFonts w:ascii="Times" w:hAnsi="Times" w:cs="Times New Roman"/>
          <w:i/>
          <w:sz w:val="23"/>
          <w:szCs w:val="23"/>
        </w:rPr>
        <w:t>Clinical Nursing Research</w:t>
      </w:r>
      <w:r w:rsidR="001177B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 102-23.</w:t>
      </w:r>
    </w:p>
    <w:p w14:paraId="040278C5" w14:textId="6480CAD3" w:rsidR="00DF05BD" w:rsidRPr="00F853DD" w:rsidRDefault="005B61F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Felten, B.  and Hall, J.,</w:t>
      </w:r>
      <w:r w:rsidR="00DF05BD" w:rsidRPr="00F853DD">
        <w:rPr>
          <w:rFonts w:ascii="Times" w:hAnsi="Times" w:cs="Times New Roman"/>
          <w:sz w:val="23"/>
          <w:szCs w:val="23"/>
        </w:rPr>
        <w:t xml:space="preserve"> (2001). Conceptualizing resilience in women older than 85: overcoming adversity from illness or loss. </w:t>
      </w:r>
      <w:r w:rsidR="00DF05BD" w:rsidRPr="00F853DD">
        <w:rPr>
          <w:rFonts w:ascii="Times" w:hAnsi="Times" w:cs="Times New Roman"/>
          <w:i/>
          <w:sz w:val="23"/>
          <w:szCs w:val="23"/>
        </w:rPr>
        <w:t>Journal of Gerontological Nursing</w:t>
      </w:r>
      <w:r w:rsidR="001177B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46-53.</w:t>
      </w:r>
    </w:p>
    <w:p w14:paraId="6DDFE259" w14:textId="4957B9EF"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de-DE"/>
        </w:rPr>
      </w:pPr>
      <w:r w:rsidRPr="00F853DD">
        <w:rPr>
          <w:rFonts w:ascii="Times" w:hAnsi="Times" w:cs="Times New Roman"/>
          <w:sz w:val="23"/>
          <w:szCs w:val="23"/>
        </w:rPr>
        <w:t xml:space="preserve">Feng, Q. </w:t>
      </w:r>
      <w:r w:rsidR="005B61F4" w:rsidRPr="00F853DD">
        <w:rPr>
          <w:rFonts w:ascii="Times" w:hAnsi="Times" w:cs="Times New Roman"/>
          <w:sz w:val="23"/>
          <w:szCs w:val="23"/>
        </w:rPr>
        <w:t>and Straughan, P.,</w:t>
      </w:r>
      <w:r w:rsidRPr="00F853DD">
        <w:rPr>
          <w:rFonts w:ascii="Times" w:hAnsi="Times" w:cs="Times New Roman"/>
          <w:sz w:val="23"/>
          <w:szCs w:val="23"/>
        </w:rPr>
        <w:t xml:space="preserve"> (2017). What does successful aging mean? Lay perception of successful aging among elderly Singaporeans. </w:t>
      </w:r>
      <w:r w:rsidRPr="00F853DD">
        <w:rPr>
          <w:rFonts w:ascii="Times" w:hAnsi="Times" w:cs="Times New Roman"/>
          <w:i/>
          <w:sz w:val="23"/>
          <w:szCs w:val="23"/>
        </w:rPr>
        <w:t>Journals of Gerontology Series B-Psychological Sciences and Social Sciences</w:t>
      </w:r>
      <w:r w:rsidR="001177B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lang w:val="de-DE"/>
        </w:rPr>
        <w:t>72</w:t>
      </w:r>
      <w:r w:rsidRPr="00F853DD">
        <w:rPr>
          <w:rFonts w:ascii="Times" w:hAnsi="Times" w:cs="Times New Roman"/>
          <w:sz w:val="23"/>
          <w:szCs w:val="23"/>
          <w:lang w:val="de-DE"/>
        </w:rPr>
        <w:t>, 204-213.</w:t>
      </w:r>
    </w:p>
    <w:p w14:paraId="40FB66CB" w14:textId="17FAD21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Fernan</w:t>
      </w:r>
      <w:r w:rsidR="004B2217" w:rsidRPr="00F853DD">
        <w:rPr>
          <w:rFonts w:ascii="Times" w:hAnsi="Times" w:cs="Times New Roman"/>
          <w:sz w:val="23"/>
          <w:szCs w:val="23"/>
          <w:lang w:val="de-DE"/>
        </w:rPr>
        <w:t>des, R., Osarch, S., Bell, C., Flynn, B., Nguyen, L., Abad, M., Wen, A. and Masaki, K.</w:t>
      </w:r>
      <w:r w:rsidR="005B61F4" w:rsidRPr="00F853DD">
        <w:rPr>
          <w:rFonts w:ascii="Times" w:hAnsi="Times" w:cs="Times New Roman"/>
          <w:sz w:val="23"/>
          <w:szCs w:val="23"/>
          <w:lang w:val="de-DE"/>
        </w:rPr>
        <w:t>,</w:t>
      </w:r>
      <w:r w:rsidRPr="00F853DD">
        <w:rPr>
          <w:rFonts w:ascii="Times" w:hAnsi="Times" w:cs="Times New Roman"/>
          <w:sz w:val="23"/>
          <w:szCs w:val="23"/>
          <w:lang w:val="de-DE"/>
        </w:rPr>
        <w:t xml:space="preserve"> (2013). </w:t>
      </w:r>
      <w:r w:rsidRPr="00F853DD">
        <w:rPr>
          <w:rFonts w:ascii="Times" w:hAnsi="Times" w:cs="Times New Roman"/>
          <w:sz w:val="23"/>
          <w:szCs w:val="23"/>
        </w:rPr>
        <w:t xml:space="preserve">Aging and caregiving in the Republic of Palau. </w:t>
      </w:r>
      <w:r w:rsidRPr="00F853DD">
        <w:rPr>
          <w:rFonts w:ascii="Times" w:hAnsi="Times" w:cs="Times New Roman"/>
          <w:i/>
          <w:sz w:val="23"/>
          <w:szCs w:val="23"/>
        </w:rPr>
        <w:t>Journal of Cross-Cultural Gerontology</w:t>
      </w:r>
      <w:r w:rsidR="001177B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 167-180.</w:t>
      </w:r>
    </w:p>
    <w:p w14:paraId="07A35A55" w14:textId="18C95FD2" w:rsidR="00DF05BD" w:rsidRPr="00F853DD" w:rsidRDefault="004B221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Fernando, A. and Consedine, N.,</w:t>
      </w:r>
      <w:r w:rsidR="001177B4" w:rsidRPr="00F853DD">
        <w:rPr>
          <w:rFonts w:ascii="Times" w:hAnsi="Times" w:cs="Times New Roman"/>
          <w:sz w:val="23"/>
          <w:szCs w:val="23"/>
        </w:rPr>
        <w:t xml:space="preserve"> (2014). Beyond compassion fatigue: t</w:t>
      </w:r>
      <w:r w:rsidR="00DF05BD" w:rsidRPr="00F853DD">
        <w:rPr>
          <w:rFonts w:ascii="Times" w:hAnsi="Times" w:cs="Times New Roman"/>
          <w:sz w:val="23"/>
          <w:szCs w:val="23"/>
        </w:rPr>
        <w:t xml:space="preserve">he </w:t>
      </w:r>
      <w:r w:rsidR="001177B4" w:rsidRPr="00F853DD">
        <w:rPr>
          <w:rFonts w:ascii="Times" w:hAnsi="Times" w:cs="Times New Roman"/>
          <w:sz w:val="23"/>
          <w:szCs w:val="23"/>
        </w:rPr>
        <w:t>transactional model of p</w:t>
      </w:r>
      <w:r w:rsidR="00DF05BD" w:rsidRPr="00F853DD">
        <w:rPr>
          <w:rFonts w:ascii="Times" w:hAnsi="Times" w:cs="Times New Roman"/>
          <w:sz w:val="23"/>
          <w:szCs w:val="23"/>
        </w:rPr>
        <w:t xml:space="preserve">hysician Compassion. </w:t>
      </w:r>
      <w:r w:rsidR="00DF05BD" w:rsidRPr="00F853DD">
        <w:rPr>
          <w:rFonts w:ascii="Times" w:hAnsi="Times" w:cs="Times New Roman"/>
          <w:i/>
          <w:sz w:val="23"/>
          <w:szCs w:val="23"/>
        </w:rPr>
        <w:t>Journal of Pain and Symptom Management</w:t>
      </w:r>
      <w:r w:rsidR="001177B4"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48</w:t>
      </w:r>
      <w:r w:rsidR="00DF05BD" w:rsidRPr="00F853DD">
        <w:rPr>
          <w:rFonts w:ascii="Times" w:hAnsi="Times" w:cs="Times New Roman"/>
          <w:sz w:val="23"/>
          <w:szCs w:val="23"/>
        </w:rPr>
        <w:t>, 289-298.</w:t>
      </w:r>
    </w:p>
    <w:p w14:paraId="20CD2787" w14:textId="45E2D3A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Ferrari, R.</w:t>
      </w:r>
      <w:r w:rsidR="007757B0" w:rsidRPr="00F853DD">
        <w:rPr>
          <w:rFonts w:ascii="Times" w:hAnsi="Times" w:cs="Times New Roman"/>
          <w:sz w:val="23"/>
          <w:szCs w:val="23"/>
        </w:rPr>
        <w:t>,</w:t>
      </w:r>
      <w:r w:rsidRPr="00F853DD">
        <w:rPr>
          <w:rFonts w:ascii="Times" w:hAnsi="Times" w:cs="Times New Roman"/>
          <w:sz w:val="23"/>
          <w:szCs w:val="23"/>
        </w:rPr>
        <w:t xml:space="preserve"> (2015). Writing Narrative Style Literature Reviews [online]. </w:t>
      </w:r>
      <w:r w:rsidRPr="00F853DD">
        <w:rPr>
          <w:rFonts w:ascii="Times" w:hAnsi="Times" w:cs="Times New Roman"/>
          <w:i/>
          <w:sz w:val="23"/>
          <w:szCs w:val="23"/>
        </w:rPr>
        <w:t>Medical Writing</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xml:space="preserve">. Available from: http://journal.emwa.org/media/2209/2047480615z2e000000000329.pdf. </w:t>
      </w:r>
    </w:p>
    <w:p w14:paraId="797225CE" w14:textId="15D5AAD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Figueira, D.</w:t>
      </w:r>
      <w:r w:rsidR="007757B0" w:rsidRPr="00F853DD">
        <w:rPr>
          <w:rFonts w:ascii="Times" w:hAnsi="Times" w:cs="Times New Roman"/>
          <w:sz w:val="23"/>
          <w:szCs w:val="23"/>
        </w:rPr>
        <w:t>,</w:t>
      </w:r>
      <w:r w:rsidRPr="00F853DD">
        <w:rPr>
          <w:rFonts w:ascii="Times" w:hAnsi="Times" w:cs="Times New Roman"/>
          <w:sz w:val="23"/>
          <w:szCs w:val="23"/>
        </w:rPr>
        <w:t xml:space="preserve"> (2004). </w:t>
      </w:r>
      <w:r w:rsidR="001177B4" w:rsidRPr="00F853DD">
        <w:rPr>
          <w:rFonts w:ascii="Times" w:hAnsi="Times" w:cs="Times New Roman"/>
          <w:i/>
          <w:sz w:val="23"/>
          <w:szCs w:val="23"/>
        </w:rPr>
        <w:t xml:space="preserve">Cocaine and </w:t>
      </w:r>
      <w:proofErr w:type="spellStart"/>
      <w:r w:rsidR="001177B4" w:rsidRPr="00F853DD">
        <w:rPr>
          <w:rFonts w:ascii="Times" w:hAnsi="Times" w:cs="Times New Roman"/>
          <w:i/>
          <w:sz w:val="23"/>
          <w:szCs w:val="23"/>
        </w:rPr>
        <w:t>heroine</w:t>
      </w:r>
      <w:proofErr w:type="spellEnd"/>
      <w:r w:rsidR="001177B4" w:rsidRPr="00F853DD">
        <w:rPr>
          <w:rFonts w:ascii="Times" w:hAnsi="Times" w:cs="Times New Roman"/>
          <w:i/>
          <w:sz w:val="23"/>
          <w:szCs w:val="23"/>
        </w:rPr>
        <w:t xml:space="preserve"> t</w:t>
      </w:r>
      <w:r w:rsidRPr="00F853DD">
        <w:rPr>
          <w:rFonts w:ascii="Times" w:hAnsi="Times" w:cs="Times New Roman"/>
          <w:i/>
          <w:sz w:val="23"/>
          <w:szCs w:val="23"/>
        </w:rPr>
        <w:t>rafficking in the Caribbean</w:t>
      </w:r>
      <w:r w:rsidR="001177B4" w:rsidRPr="00F853DD">
        <w:rPr>
          <w:rFonts w:ascii="Times" w:hAnsi="Times" w:cs="Times New Roman"/>
          <w:sz w:val="23"/>
          <w:szCs w:val="23"/>
        </w:rPr>
        <w:t>: the c</w:t>
      </w:r>
      <w:r w:rsidRPr="00F853DD">
        <w:rPr>
          <w:rFonts w:ascii="Times" w:hAnsi="Times" w:cs="Times New Roman"/>
          <w:sz w:val="23"/>
          <w:szCs w:val="23"/>
        </w:rPr>
        <w:t>ase of Trinidad and Tobago, Jamaica and Guyana, USA, iUniverse Inc.</w:t>
      </w:r>
    </w:p>
    <w:p w14:paraId="2B213FC8" w14:textId="1902093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Finch, J. (1989). </w:t>
      </w:r>
      <w:r w:rsidRPr="00F853DD">
        <w:rPr>
          <w:rFonts w:ascii="Times" w:hAnsi="Times" w:cs="Times New Roman"/>
          <w:i/>
          <w:sz w:val="23"/>
          <w:szCs w:val="23"/>
        </w:rPr>
        <w:t>Family obligations and social change</w:t>
      </w:r>
      <w:r w:rsidR="00D414F0" w:rsidRPr="00F853DD">
        <w:rPr>
          <w:rFonts w:ascii="Times" w:hAnsi="Times" w:cs="Times New Roman"/>
          <w:sz w:val="23"/>
          <w:szCs w:val="23"/>
        </w:rPr>
        <w:t xml:space="preserve">. </w:t>
      </w:r>
      <w:r w:rsidR="00D414F0" w:rsidRPr="00F853DD">
        <w:rPr>
          <w:rFonts w:ascii="Times" w:hAnsi="Times" w:cs="Times New Roman"/>
          <w:i/>
          <w:sz w:val="23"/>
          <w:szCs w:val="23"/>
        </w:rPr>
        <w:t>Family Life Series</w:t>
      </w:r>
      <w:r w:rsidRPr="00F853DD">
        <w:rPr>
          <w:rFonts w:ascii="Times" w:hAnsi="Times" w:cs="Times New Roman"/>
          <w:sz w:val="23"/>
          <w:szCs w:val="23"/>
        </w:rPr>
        <w:t>. Cambridge: Polity.</w:t>
      </w:r>
    </w:p>
    <w:p w14:paraId="5C7FF4A3" w14:textId="50F87E73" w:rsidR="0005792A" w:rsidRPr="00F853DD" w:rsidRDefault="0005792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Finch, J. and Mason, J., 1990. Filial obligations and kin support for elderly people. </w:t>
      </w:r>
      <w:r w:rsidRPr="00F853DD">
        <w:rPr>
          <w:rFonts w:ascii="Times" w:hAnsi="Times" w:cs="Times New Roman"/>
          <w:i/>
          <w:sz w:val="23"/>
          <w:szCs w:val="23"/>
        </w:rPr>
        <w:t>Ageing &amp; Society</w:t>
      </w:r>
      <w:r w:rsidR="00D414F0" w:rsidRPr="00F853DD">
        <w:rPr>
          <w:rFonts w:ascii="Times" w:hAnsi="Times" w:cs="Times New Roman"/>
          <w:i/>
          <w:sz w:val="23"/>
          <w:szCs w:val="23"/>
        </w:rPr>
        <w:t>.</w:t>
      </w:r>
      <w:r w:rsidRPr="00F853DD">
        <w:rPr>
          <w:rFonts w:ascii="Times" w:hAnsi="Times" w:cs="Times New Roman"/>
          <w:sz w:val="23"/>
          <w:szCs w:val="23"/>
        </w:rPr>
        <w:t xml:space="preserve"> 10(2), pp.151-175.</w:t>
      </w:r>
    </w:p>
    <w:p w14:paraId="35989D5F" w14:textId="5592CBFE"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Finch, J., and Mason, J.,</w:t>
      </w:r>
      <w:r w:rsidR="00DF05BD" w:rsidRPr="00F853DD">
        <w:rPr>
          <w:rFonts w:ascii="Times" w:hAnsi="Times" w:cs="Times New Roman"/>
          <w:sz w:val="23"/>
          <w:szCs w:val="23"/>
        </w:rPr>
        <w:t xml:space="preserve"> (1993). </w:t>
      </w:r>
      <w:r w:rsidR="00DF05BD" w:rsidRPr="00F853DD">
        <w:rPr>
          <w:rFonts w:ascii="Times" w:hAnsi="Times" w:cs="Times New Roman"/>
          <w:i/>
          <w:sz w:val="23"/>
          <w:szCs w:val="23"/>
        </w:rPr>
        <w:t>Negotiating family responsibilities</w:t>
      </w:r>
      <w:r w:rsidR="00DF05BD" w:rsidRPr="00F853DD">
        <w:rPr>
          <w:rFonts w:ascii="Times" w:hAnsi="Times" w:cs="Times New Roman"/>
          <w:sz w:val="23"/>
          <w:szCs w:val="23"/>
        </w:rPr>
        <w:t>. London: Routledge.</w:t>
      </w:r>
    </w:p>
    <w:p w14:paraId="3ADA0474" w14:textId="10781A7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Finch, J.</w:t>
      </w:r>
      <w:r w:rsidR="007757B0" w:rsidRPr="00F853DD">
        <w:rPr>
          <w:rFonts w:ascii="Times" w:hAnsi="Times" w:cs="Times New Roman"/>
          <w:sz w:val="23"/>
          <w:szCs w:val="23"/>
        </w:rPr>
        <w:t>,</w:t>
      </w:r>
      <w:r w:rsidRPr="00F853DD">
        <w:rPr>
          <w:rFonts w:ascii="Times" w:hAnsi="Times" w:cs="Times New Roman"/>
          <w:sz w:val="23"/>
          <w:szCs w:val="23"/>
        </w:rPr>
        <w:t xml:space="preserve"> (2007). Displaying families. </w:t>
      </w:r>
      <w:r w:rsidRPr="00F853DD">
        <w:rPr>
          <w:rFonts w:ascii="Times" w:hAnsi="Times" w:cs="Times New Roman"/>
          <w:i/>
          <w:sz w:val="23"/>
          <w:szCs w:val="23"/>
        </w:rPr>
        <w:t>Sociology</w:t>
      </w:r>
      <w:r w:rsidR="000D299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41</w:t>
      </w:r>
      <w:r w:rsidRPr="00F853DD">
        <w:rPr>
          <w:rFonts w:ascii="Times" w:hAnsi="Times" w:cs="Times New Roman"/>
          <w:sz w:val="23"/>
          <w:szCs w:val="23"/>
        </w:rPr>
        <w:t>(1), 65-81.</w:t>
      </w:r>
    </w:p>
    <w:p w14:paraId="58E99FCB" w14:textId="275B6A1B"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s-ES"/>
        </w:rPr>
      </w:pPr>
      <w:r w:rsidRPr="00F853DD">
        <w:rPr>
          <w:rFonts w:ascii="Times" w:hAnsi="Times" w:cs="Times New Roman"/>
          <w:sz w:val="23"/>
          <w:szCs w:val="23"/>
        </w:rPr>
        <w:t>Fink, A.</w:t>
      </w:r>
      <w:r w:rsidR="007757B0" w:rsidRPr="00F853DD">
        <w:rPr>
          <w:rFonts w:ascii="Times" w:hAnsi="Times" w:cs="Times New Roman"/>
          <w:sz w:val="23"/>
          <w:szCs w:val="23"/>
        </w:rPr>
        <w:t>,</w:t>
      </w:r>
      <w:r w:rsidRPr="00F853DD">
        <w:rPr>
          <w:rFonts w:ascii="Times" w:hAnsi="Times" w:cs="Times New Roman"/>
          <w:sz w:val="23"/>
          <w:szCs w:val="23"/>
        </w:rPr>
        <w:t xml:space="preserve"> (2017). </w:t>
      </w:r>
      <w:r w:rsidR="000D2992" w:rsidRPr="00F853DD">
        <w:rPr>
          <w:rFonts w:ascii="Times" w:hAnsi="Times" w:cs="Times New Roman"/>
          <w:i/>
          <w:sz w:val="23"/>
          <w:szCs w:val="23"/>
        </w:rPr>
        <w:t>How to conduct s</w:t>
      </w:r>
      <w:r w:rsidRPr="00F853DD">
        <w:rPr>
          <w:rFonts w:ascii="Times" w:hAnsi="Times" w:cs="Times New Roman"/>
          <w:i/>
          <w:sz w:val="23"/>
          <w:szCs w:val="23"/>
        </w:rPr>
        <w:t xml:space="preserve">urveys: </w:t>
      </w:r>
      <w:r w:rsidR="000D2992" w:rsidRPr="00F853DD">
        <w:rPr>
          <w:rFonts w:ascii="Times" w:hAnsi="Times" w:cs="Times New Roman"/>
          <w:i/>
          <w:sz w:val="23"/>
          <w:szCs w:val="23"/>
        </w:rPr>
        <w:t>a step-by-step g</w:t>
      </w:r>
      <w:r w:rsidRPr="00F853DD">
        <w:rPr>
          <w:rFonts w:ascii="Times" w:hAnsi="Times" w:cs="Times New Roman"/>
          <w:i/>
          <w:sz w:val="23"/>
          <w:szCs w:val="23"/>
        </w:rPr>
        <w:t>uide</w:t>
      </w:r>
      <w:r w:rsidRPr="00F853DD">
        <w:rPr>
          <w:rFonts w:ascii="Times" w:hAnsi="Times" w:cs="Times New Roman"/>
          <w:sz w:val="23"/>
          <w:szCs w:val="23"/>
        </w:rPr>
        <w:t xml:space="preserve">. </w:t>
      </w:r>
      <w:r w:rsidR="000D2992" w:rsidRPr="00F853DD">
        <w:rPr>
          <w:rFonts w:ascii="Times" w:hAnsi="Times" w:cs="Times New Roman"/>
          <w:sz w:val="23"/>
          <w:szCs w:val="23"/>
          <w:lang w:val="es-ES"/>
        </w:rPr>
        <w:t>Los A</w:t>
      </w:r>
      <w:r w:rsidRPr="00F853DD">
        <w:rPr>
          <w:rFonts w:ascii="Times" w:hAnsi="Times" w:cs="Times New Roman"/>
          <w:sz w:val="23"/>
          <w:szCs w:val="23"/>
          <w:lang w:val="es-ES"/>
        </w:rPr>
        <w:t>ngeles: SAGE.</w:t>
      </w:r>
    </w:p>
    <w:p w14:paraId="15A41DCB" w14:textId="34F6F56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s-ES"/>
        </w:rPr>
        <w:t>Fiore, G.</w:t>
      </w:r>
      <w:r w:rsidR="007757B0" w:rsidRPr="00F853DD">
        <w:rPr>
          <w:rFonts w:ascii="Times" w:hAnsi="Times" w:cs="Times New Roman"/>
          <w:sz w:val="23"/>
          <w:szCs w:val="23"/>
          <w:lang w:val="es-ES"/>
        </w:rPr>
        <w:t>,</w:t>
      </w:r>
      <w:r w:rsidRPr="00F853DD">
        <w:rPr>
          <w:rFonts w:ascii="Times" w:hAnsi="Times" w:cs="Times New Roman"/>
          <w:sz w:val="23"/>
          <w:szCs w:val="23"/>
          <w:lang w:val="es-ES"/>
        </w:rPr>
        <w:t xml:space="preserve"> (2014). </w:t>
      </w:r>
      <w:r w:rsidRPr="00F853DD">
        <w:rPr>
          <w:rFonts w:ascii="Times" w:hAnsi="Times" w:cs="Times New Roman"/>
          <w:i/>
          <w:sz w:val="23"/>
          <w:szCs w:val="23"/>
        </w:rPr>
        <w:t>Decay and reverence: conceptions of old age in ancient Greece and China</w:t>
      </w:r>
      <w:r w:rsidRPr="00F853DD">
        <w:rPr>
          <w:rFonts w:ascii="Times" w:hAnsi="Times" w:cs="Times New Roman"/>
          <w:sz w:val="23"/>
          <w:szCs w:val="23"/>
        </w:rPr>
        <w:t xml:space="preserve"> [online]. Available from: https://www.mcgill.ca/classics/files/classics/2014-15-09.pdf.  </w:t>
      </w:r>
    </w:p>
    <w:p w14:paraId="5EDEC3E9" w14:textId="4C07B6E5" w:rsidR="00405D0F" w:rsidRPr="00F853DD" w:rsidRDefault="00405D0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Fi</w:t>
      </w:r>
      <w:r w:rsidR="00D414F0" w:rsidRPr="00F853DD">
        <w:rPr>
          <w:rFonts w:ascii="Times" w:hAnsi="Times" w:cs="Times New Roman"/>
          <w:sz w:val="23"/>
          <w:szCs w:val="23"/>
        </w:rPr>
        <w:t>sher, M., 1994. Man-made care: c</w:t>
      </w:r>
      <w:r w:rsidRPr="00F853DD">
        <w:rPr>
          <w:rFonts w:ascii="Times" w:hAnsi="Times" w:cs="Times New Roman"/>
          <w:sz w:val="23"/>
          <w:szCs w:val="23"/>
        </w:rPr>
        <w:t xml:space="preserve">ommunity care and older male carers. </w:t>
      </w:r>
      <w:r w:rsidRPr="00F853DD">
        <w:rPr>
          <w:rFonts w:ascii="Times" w:hAnsi="Times" w:cs="Times New Roman"/>
          <w:i/>
          <w:sz w:val="23"/>
          <w:szCs w:val="23"/>
        </w:rPr>
        <w:t>The British Journal of Social Work</w:t>
      </w:r>
      <w:r w:rsidRPr="00F853DD">
        <w:rPr>
          <w:rFonts w:ascii="Times" w:hAnsi="Times" w:cs="Times New Roman"/>
          <w:sz w:val="23"/>
          <w:szCs w:val="23"/>
        </w:rPr>
        <w:t>, 24(6), pp.659-680.</w:t>
      </w:r>
    </w:p>
    <w:p w14:paraId="5417AF90" w14:textId="691D813A"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Fischer, J., Peterson, G., Gardner, T., Gordon, L.</w:t>
      </w:r>
      <w:r w:rsidR="00DF05BD" w:rsidRPr="00F853DD">
        <w:rPr>
          <w:rFonts w:ascii="Times" w:hAnsi="Times" w:cs="Times New Roman"/>
          <w:sz w:val="23"/>
          <w:szCs w:val="23"/>
        </w:rPr>
        <w:t xml:space="preserve">, Fazey, I., Elmqvist, T., Felton, A., Folke, C. and Dovers, S. (2009). Integrating resilience thinking and optimisation for conservation. </w:t>
      </w:r>
      <w:r w:rsidR="00DF05BD" w:rsidRPr="00F853DD">
        <w:rPr>
          <w:rFonts w:ascii="Times" w:hAnsi="Times" w:cs="Times New Roman"/>
          <w:i/>
          <w:sz w:val="23"/>
          <w:szCs w:val="23"/>
        </w:rPr>
        <w:t>Trends in Ecology and Evolution</w:t>
      </w:r>
      <w:r w:rsidR="001504B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24</w:t>
      </w:r>
      <w:r w:rsidR="00DF05BD" w:rsidRPr="00F853DD">
        <w:rPr>
          <w:rFonts w:ascii="Times" w:hAnsi="Times" w:cs="Times New Roman"/>
          <w:sz w:val="23"/>
          <w:szCs w:val="23"/>
        </w:rPr>
        <w:t>, 549-554.</w:t>
      </w:r>
    </w:p>
    <w:p w14:paraId="2BB717B5" w14:textId="36F9C3E2"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Fisher, L., and Lieberman, M.,</w:t>
      </w:r>
      <w:r w:rsidR="00DF05BD" w:rsidRPr="00F853DD">
        <w:rPr>
          <w:rFonts w:ascii="Times" w:hAnsi="Times" w:cs="Times New Roman"/>
          <w:sz w:val="23"/>
          <w:szCs w:val="23"/>
        </w:rPr>
        <w:t xml:space="preserve"> (1999). A longitudinal study of predictors of nursing home placement for patients with dementia: the contribution of family characteristics. </w:t>
      </w:r>
      <w:r w:rsidR="00DF05BD" w:rsidRPr="00F853DD">
        <w:rPr>
          <w:rFonts w:ascii="Times" w:hAnsi="Times" w:cs="Times New Roman"/>
          <w:i/>
          <w:sz w:val="23"/>
          <w:szCs w:val="23"/>
        </w:rPr>
        <w:t>The Gerontologist</w:t>
      </w:r>
      <w:r w:rsidR="001504B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39</w:t>
      </w:r>
      <w:r w:rsidR="00DF05BD" w:rsidRPr="00F853DD">
        <w:rPr>
          <w:rFonts w:ascii="Times" w:hAnsi="Times" w:cs="Times New Roman"/>
          <w:sz w:val="23"/>
          <w:szCs w:val="23"/>
        </w:rPr>
        <w:t>(6), 677-686.</w:t>
      </w:r>
      <w:r w:rsidR="00DF05BD" w:rsidRPr="00F853DD">
        <w:rPr>
          <w:rFonts w:ascii="Times" w:hAnsi="Times" w:cs="Times New Roman"/>
          <w:sz w:val="23"/>
          <w:szCs w:val="23"/>
        </w:rPr>
        <w:fldChar w:fldCharType="begin"/>
      </w:r>
      <w:r w:rsidR="00DF05BD" w:rsidRPr="00F853DD">
        <w:rPr>
          <w:rFonts w:ascii="Times" w:hAnsi="Times" w:cs="Times New Roman"/>
          <w:sz w:val="23"/>
          <w:szCs w:val="23"/>
        </w:rPr>
        <w:instrText xml:space="preserve"> HYPERLINK "http://find.shef.ac.uk/primo_library/libweb/action/search.do?vl(freeText0)=Fitting%2c+M+&amp;vl(38298064UI0)=creator&amp;vl(1233920717074UI1)=all_items&amp;fn=search&amp;tab=everything&amp;mode=Basic&amp;vid=SFD_VU2&amp;scp.scps=scope%3a(44SFD)%2cprimo_central_multiple_fe&amp;ct=lateralLinking" \o "Find all records containing" \t "_blank" </w:instrText>
      </w:r>
      <w:r w:rsidR="00DF05BD" w:rsidRPr="00F853DD">
        <w:rPr>
          <w:rFonts w:ascii="Times" w:hAnsi="Times" w:cs="Times New Roman"/>
          <w:sz w:val="23"/>
          <w:szCs w:val="23"/>
        </w:rPr>
        <w:fldChar w:fldCharType="separate"/>
      </w:r>
    </w:p>
    <w:p w14:paraId="2A153FEA" w14:textId="73D522B5" w:rsidR="00DF05BD" w:rsidRPr="00F853DD" w:rsidRDefault="00DF05BD" w:rsidP="00E1694A">
      <w:pPr>
        <w:pStyle w:val="NoSpacing"/>
        <w:ind w:left="567" w:hanging="567"/>
        <w:rPr>
          <w:rFonts w:ascii="Times" w:hAnsi="Times" w:cs="Times New Roman"/>
          <w:sz w:val="23"/>
          <w:szCs w:val="23"/>
          <w:lang w:eastAsia="en-GB"/>
        </w:rPr>
      </w:pPr>
      <w:r w:rsidRPr="00F853DD">
        <w:rPr>
          <w:rFonts w:ascii="Times" w:hAnsi="Times" w:cs="Times New Roman"/>
          <w:sz w:val="23"/>
          <w:szCs w:val="23"/>
          <w:lang w:eastAsia="en-GB"/>
        </w:rPr>
        <w:t>Fitting, M., </w:t>
      </w:r>
      <w:r w:rsidRPr="00F853DD">
        <w:rPr>
          <w:rFonts w:ascii="Times" w:hAnsi="Times" w:cs="Times New Roman"/>
          <w:sz w:val="23"/>
          <w:szCs w:val="23"/>
          <w:lang w:eastAsia="en-GB"/>
        </w:rPr>
        <w:fldChar w:fldCharType="end"/>
      </w:r>
      <w:hyperlink r:id="rId107" w:tgtFrame="_blank" w:tooltip="Find all records containing" w:history="1">
        <w:r w:rsidRPr="00F853DD">
          <w:rPr>
            <w:rFonts w:ascii="Times" w:hAnsi="Times" w:cs="Times New Roman"/>
            <w:sz w:val="23"/>
            <w:szCs w:val="23"/>
            <w:lang w:eastAsia="en-GB"/>
          </w:rPr>
          <w:t>Rabins, P.,</w:t>
        </w:r>
      </w:hyperlink>
      <w:r w:rsidRPr="00F853DD">
        <w:rPr>
          <w:rFonts w:ascii="Times" w:hAnsi="Times" w:cs="Times New Roman"/>
          <w:sz w:val="23"/>
          <w:szCs w:val="23"/>
          <w:lang w:eastAsia="en-GB"/>
        </w:rPr>
        <w:t xml:space="preserve"> </w:t>
      </w:r>
      <w:hyperlink r:id="rId108" w:tgtFrame="_blank" w:tooltip="Find all records containing" w:history="1">
        <w:r w:rsidR="007757B0" w:rsidRPr="00F853DD">
          <w:rPr>
            <w:rFonts w:ascii="Times" w:hAnsi="Times" w:cs="Times New Roman"/>
            <w:sz w:val="23"/>
            <w:szCs w:val="23"/>
            <w:lang w:eastAsia="en-GB"/>
          </w:rPr>
          <w:t>Lucas, M.</w:t>
        </w:r>
        <w:r w:rsidRPr="00F853DD">
          <w:rPr>
            <w:rFonts w:ascii="Times" w:hAnsi="Times" w:cs="Times New Roman"/>
            <w:sz w:val="23"/>
            <w:szCs w:val="23"/>
            <w:lang w:eastAsia="en-GB"/>
          </w:rPr>
          <w:t xml:space="preserve"> and</w:t>
        </w:r>
      </w:hyperlink>
      <w:r w:rsidRPr="00F853DD">
        <w:rPr>
          <w:rFonts w:ascii="Times" w:hAnsi="Times" w:cs="Times New Roman"/>
          <w:sz w:val="23"/>
          <w:szCs w:val="23"/>
          <w:lang w:eastAsia="en-GB"/>
        </w:rPr>
        <w:t xml:space="preserve"> </w:t>
      </w:r>
      <w:hyperlink r:id="rId109" w:tgtFrame="_blank" w:tooltip="Find all records containing" w:history="1">
        <w:r w:rsidRPr="00F853DD">
          <w:rPr>
            <w:rFonts w:ascii="Times" w:hAnsi="Times" w:cs="Times New Roman"/>
            <w:sz w:val="23"/>
            <w:szCs w:val="23"/>
            <w:lang w:eastAsia="en-GB"/>
          </w:rPr>
          <w:t>Eastham, J</w:t>
        </w:r>
      </w:hyperlink>
      <w:r w:rsidRPr="00F853DD">
        <w:rPr>
          <w:rFonts w:ascii="Times" w:hAnsi="Times" w:cs="Times New Roman"/>
          <w:sz w:val="23"/>
          <w:szCs w:val="23"/>
          <w:lang w:eastAsia="en-GB"/>
        </w:rPr>
        <w:t>.</w:t>
      </w:r>
      <w:r w:rsidR="007757B0" w:rsidRPr="00F853DD">
        <w:rPr>
          <w:rFonts w:ascii="Times" w:hAnsi="Times" w:cs="Times New Roman"/>
          <w:sz w:val="23"/>
          <w:szCs w:val="23"/>
          <w:lang w:eastAsia="en-GB"/>
        </w:rPr>
        <w:t>,</w:t>
      </w:r>
      <w:r w:rsidRPr="00F853DD">
        <w:rPr>
          <w:rFonts w:ascii="Times" w:hAnsi="Times" w:cs="Times New Roman"/>
          <w:sz w:val="23"/>
          <w:szCs w:val="23"/>
          <w:lang w:eastAsia="en-GB"/>
        </w:rPr>
        <w:t xml:space="preserve"> (1986). Caregivers for dementia patients: a comparison of husbands and wives. </w:t>
      </w:r>
      <w:r w:rsidRPr="00F853DD">
        <w:rPr>
          <w:rFonts w:ascii="Times" w:hAnsi="Times" w:cs="Times New Roman"/>
          <w:i/>
          <w:sz w:val="23"/>
          <w:szCs w:val="23"/>
          <w:lang w:eastAsia="en-GB"/>
        </w:rPr>
        <w:t>The Gerontologist</w:t>
      </w:r>
      <w:r w:rsidR="001504B6" w:rsidRPr="00F853DD">
        <w:rPr>
          <w:rFonts w:ascii="Times" w:hAnsi="Times" w:cs="Times New Roman"/>
          <w:sz w:val="23"/>
          <w:szCs w:val="23"/>
          <w:lang w:eastAsia="en-GB"/>
        </w:rPr>
        <w:t>.</w:t>
      </w:r>
      <w:r w:rsidRPr="00F853DD">
        <w:rPr>
          <w:rFonts w:ascii="Times" w:hAnsi="Times" w:cs="Times New Roman"/>
          <w:sz w:val="23"/>
          <w:szCs w:val="23"/>
          <w:lang w:eastAsia="en-GB"/>
        </w:rPr>
        <w:t xml:space="preserve"> </w:t>
      </w:r>
      <w:r w:rsidRPr="00F853DD">
        <w:rPr>
          <w:rFonts w:ascii="Times" w:hAnsi="Times" w:cs="Times New Roman"/>
          <w:b/>
          <w:sz w:val="23"/>
          <w:szCs w:val="23"/>
          <w:lang w:eastAsia="en-GB"/>
        </w:rPr>
        <w:t xml:space="preserve">26 </w:t>
      </w:r>
      <w:r w:rsidRPr="00F853DD">
        <w:rPr>
          <w:rFonts w:ascii="Times" w:hAnsi="Times" w:cs="Times New Roman"/>
          <w:sz w:val="23"/>
          <w:szCs w:val="23"/>
          <w:lang w:eastAsia="en-GB"/>
        </w:rPr>
        <w:t>(3), 248-252</w:t>
      </w:r>
    </w:p>
    <w:p w14:paraId="0C41C097" w14:textId="6DCE9AFD"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Fitzpatrick, J.,</w:t>
      </w:r>
      <w:r w:rsidR="00DF05BD" w:rsidRPr="00F853DD">
        <w:rPr>
          <w:rFonts w:ascii="Times" w:hAnsi="Times" w:cs="Times New Roman"/>
          <w:sz w:val="23"/>
          <w:szCs w:val="23"/>
        </w:rPr>
        <w:t xml:space="preserve"> (</w:t>
      </w:r>
      <w:r w:rsidR="001504B6" w:rsidRPr="00F853DD">
        <w:rPr>
          <w:rFonts w:ascii="Times" w:hAnsi="Times" w:cs="Times New Roman"/>
          <w:sz w:val="23"/>
          <w:szCs w:val="23"/>
        </w:rPr>
        <w:t>2013). Resilience interventions</w:t>
      </w:r>
      <w:r w:rsidR="00DF05BD" w:rsidRPr="00F853DD">
        <w:rPr>
          <w:rFonts w:ascii="Times" w:hAnsi="Times" w:cs="Times New Roman"/>
          <w:sz w:val="23"/>
          <w:szCs w:val="23"/>
        </w:rPr>
        <w:t xml:space="preserve">. </w:t>
      </w:r>
      <w:r w:rsidR="00DF05BD" w:rsidRPr="00F853DD">
        <w:rPr>
          <w:rFonts w:ascii="Times" w:hAnsi="Times" w:cs="Times New Roman"/>
          <w:i/>
          <w:sz w:val="23"/>
          <w:szCs w:val="23"/>
        </w:rPr>
        <w:t>Archives of Psychiatric Nursing</w:t>
      </w:r>
      <w:r w:rsidR="001504B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111.</w:t>
      </w:r>
    </w:p>
    <w:p w14:paraId="51860665" w14:textId="693CA3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Fitzpatrick, T. and Freed, A.</w:t>
      </w:r>
      <w:r w:rsidR="007757B0" w:rsidRPr="00F853DD">
        <w:rPr>
          <w:rFonts w:ascii="Times" w:hAnsi="Times" w:cs="Times New Roman"/>
          <w:sz w:val="23"/>
          <w:szCs w:val="23"/>
        </w:rPr>
        <w:t>,</w:t>
      </w:r>
      <w:r w:rsidRPr="00F853DD">
        <w:rPr>
          <w:rFonts w:ascii="Times" w:hAnsi="Times" w:cs="Times New Roman"/>
          <w:sz w:val="23"/>
          <w:szCs w:val="23"/>
        </w:rPr>
        <w:t xml:space="preserve"> (2000). Older </w:t>
      </w:r>
      <w:r w:rsidR="001504B6" w:rsidRPr="00F853DD">
        <w:rPr>
          <w:rFonts w:ascii="Times" w:hAnsi="Times" w:cs="Times New Roman"/>
          <w:sz w:val="23"/>
          <w:szCs w:val="23"/>
        </w:rPr>
        <w:t>Russian immigrants to the USA: t</w:t>
      </w:r>
      <w:r w:rsidRPr="00F853DD">
        <w:rPr>
          <w:rFonts w:ascii="Times" w:hAnsi="Times" w:cs="Times New Roman"/>
          <w:sz w:val="23"/>
          <w:szCs w:val="23"/>
        </w:rPr>
        <w:t>heir utilization of health services [online]. </w:t>
      </w:r>
      <w:r w:rsidRPr="00F853DD">
        <w:rPr>
          <w:rFonts w:ascii="Times" w:hAnsi="Times" w:cs="Times New Roman"/>
          <w:i/>
          <w:sz w:val="23"/>
          <w:szCs w:val="23"/>
        </w:rPr>
        <w:t>International Social Work</w:t>
      </w:r>
      <w:r w:rsidR="001504B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43</w:t>
      </w:r>
      <w:r w:rsidRPr="00F853DD">
        <w:rPr>
          <w:rFonts w:ascii="Times" w:hAnsi="Times" w:cs="Times New Roman"/>
          <w:sz w:val="23"/>
          <w:szCs w:val="23"/>
        </w:rPr>
        <w:t>.</w:t>
      </w:r>
    </w:p>
    <w:p w14:paraId="1DB02A9C" w14:textId="6AE19A0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Fjordside, S. and Morville, A.</w:t>
      </w:r>
      <w:r w:rsidR="007757B0" w:rsidRPr="00F853DD">
        <w:rPr>
          <w:rFonts w:ascii="Times" w:hAnsi="Times" w:cs="Times New Roman"/>
          <w:sz w:val="23"/>
          <w:szCs w:val="23"/>
        </w:rPr>
        <w:t>,</w:t>
      </w:r>
      <w:r w:rsidRPr="00F853DD">
        <w:rPr>
          <w:rFonts w:ascii="Times" w:hAnsi="Times" w:cs="Times New Roman"/>
          <w:sz w:val="23"/>
          <w:szCs w:val="23"/>
        </w:rPr>
        <w:t xml:space="preserve"> (2016). Factors influencing older peoples experiences of participation in autonomous decisions concerning their daily care in their own homes: a review of the literature. </w:t>
      </w:r>
      <w:r w:rsidRPr="00F853DD">
        <w:rPr>
          <w:rFonts w:ascii="Times" w:hAnsi="Times" w:cs="Times New Roman"/>
          <w:i/>
          <w:sz w:val="23"/>
          <w:szCs w:val="23"/>
        </w:rPr>
        <w:t>International Journal of Older People Nursing</w:t>
      </w:r>
      <w:r w:rsidR="001504B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284-297.</w:t>
      </w:r>
    </w:p>
    <w:p w14:paraId="0A5F54F4" w14:textId="6198C0A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Fleming, J. and Ledogar, R.</w:t>
      </w:r>
      <w:r w:rsidR="007757B0" w:rsidRPr="00F853DD">
        <w:rPr>
          <w:rFonts w:ascii="Times" w:hAnsi="Times" w:cs="Times New Roman"/>
          <w:sz w:val="23"/>
          <w:szCs w:val="23"/>
        </w:rPr>
        <w:t>,</w:t>
      </w:r>
      <w:r w:rsidRPr="00F853DD">
        <w:rPr>
          <w:rFonts w:ascii="Times" w:hAnsi="Times" w:cs="Times New Roman"/>
          <w:sz w:val="23"/>
          <w:szCs w:val="23"/>
        </w:rPr>
        <w:t xml:space="preserve"> (2008). Resilience, an evolving concept: </w:t>
      </w:r>
      <w:r w:rsidR="001504B6" w:rsidRPr="00F853DD">
        <w:rPr>
          <w:rFonts w:ascii="Times" w:hAnsi="Times" w:cs="Times New Roman"/>
          <w:sz w:val="23"/>
          <w:szCs w:val="23"/>
        </w:rPr>
        <w:t>a</w:t>
      </w:r>
      <w:r w:rsidRPr="00F853DD">
        <w:rPr>
          <w:rFonts w:ascii="Times" w:hAnsi="Times" w:cs="Times New Roman"/>
          <w:sz w:val="23"/>
          <w:szCs w:val="23"/>
        </w:rPr>
        <w:t xml:space="preserve"> review of literature relevant to aboriginal research [online]. </w:t>
      </w:r>
      <w:r w:rsidRPr="00F853DD">
        <w:rPr>
          <w:rFonts w:ascii="Times" w:hAnsi="Times" w:cs="Times New Roman"/>
          <w:i/>
          <w:sz w:val="23"/>
          <w:szCs w:val="23"/>
        </w:rPr>
        <w:t>Pimatisiwin</w:t>
      </w:r>
      <w:r w:rsidR="001504B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w:t>
      </w:r>
      <w:r w:rsidRPr="00F853DD">
        <w:rPr>
          <w:rFonts w:ascii="Times" w:hAnsi="Times" w:cs="Times New Roman"/>
          <w:sz w:val="23"/>
          <w:szCs w:val="23"/>
        </w:rPr>
        <w:t xml:space="preserve">. Available from: https://www.ncbi.nlm.nih.gov/pmc/articles/PMC2956753/. </w:t>
      </w:r>
    </w:p>
    <w:p w14:paraId="064AC38D" w14:textId="340EFC02"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Flick, U., Kardorff, E.</w:t>
      </w:r>
      <w:r w:rsidR="00DF05BD" w:rsidRPr="00F853DD">
        <w:rPr>
          <w:rFonts w:ascii="Times" w:hAnsi="Times" w:cs="Times New Roman"/>
          <w:sz w:val="23"/>
          <w:szCs w:val="23"/>
          <w:lang w:val="de-DE"/>
        </w:rPr>
        <w:t>, Steinke, I., Von</w:t>
      </w:r>
      <w:r w:rsidRPr="00F853DD">
        <w:rPr>
          <w:rFonts w:ascii="Times" w:hAnsi="Times" w:cs="Times New Roman"/>
          <w:sz w:val="23"/>
          <w:szCs w:val="23"/>
          <w:lang w:val="de-DE"/>
        </w:rPr>
        <w:t xml:space="preserve"> Kardorff, E. and Kardoff, E.,</w:t>
      </w:r>
      <w:r w:rsidR="00DF05BD" w:rsidRPr="00F853DD">
        <w:rPr>
          <w:rFonts w:ascii="Times" w:hAnsi="Times" w:cs="Times New Roman"/>
          <w:sz w:val="23"/>
          <w:szCs w:val="23"/>
          <w:lang w:val="de-DE"/>
        </w:rPr>
        <w:t xml:space="preserve"> (2005). </w:t>
      </w:r>
      <w:r w:rsidR="00DF05BD" w:rsidRPr="00F853DD">
        <w:rPr>
          <w:rFonts w:ascii="Times" w:hAnsi="Times" w:cs="Times New Roman"/>
          <w:i/>
          <w:sz w:val="23"/>
          <w:szCs w:val="23"/>
        </w:rPr>
        <w:t>A companion to qualitative research</w:t>
      </w:r>
      <w:r w:rsidR="001504B6" w:rsidRPr="00F853DD">
        <w:rPr>
          <w:rFonts w:ascii="Times" w:hAnsi="Times" w:cs="Times New Roman"/>
          <w:sz w:val="23"/>
          <w:szCs w:val="23"/>
        </w:rPr>
        <w:t>. London:</w:t>
      </w:r>
      <w:r w:rsidR="00DF05BD" w:rsidRPr="00F853DD">
        <w:rPr>
          <w:rFonts w:ascii="Times" w:hAnsi="Times" w:cs="Times New Roman"/>
          <w:sz w:val="23"/>
          <w:szCs w:val="23"/>
        </w:rPr>
        <w:t xml:space="preserve"> Thousand Oaks, Calif.: SAGE Publications.</w:t>
      </w:r>
    </w:p>
    <w:p w14:paraId="7D3CA075" w14:textId="78288C2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Flores, Y. G., Hinton, L., Barker, J. C., Franz, C. E. and Velasquez, A.</w:t>
      </w:r>
      <w:r w:rsidR="007757B0" w:rsidRPr="00F853DD">
        <w:rPr>
          <w:rFonts w:ascii="Times" w:hAnsi="Times" w:cs="Times New Roman"/>
          <w:sz w:val="23"/>
          <w:szCs w:val="23"/>
        </w:rPr>
        <w:t>,</w:t>
      </w:r>
      <w:r w:rsidRPr="00F853DD">
        <w:rPr>
          <w:rFonts w:ascii="Times" w:hAnsi="Times" w:cs="Times New Roman"/>
          <w:sz w:val="23"/>
          <w:szCs w:val="23"/>
        </w:rPr>
        <w:t xml:space="preserve"> (2009). Beyond familism: a case st</w:t>
      </w:r>
      <w:r w:rsidR="001504B6" w:rsidRPr="00F853DD">
        <w:rPr>
          <w:rFonts w:ascii="Times" w:hAnsi="Times" w:cs="Times New Roman"/>
          <w:sz w:val="23"/>
          <w:szCs w:val="23"/>
        </w:rPr>
        <w:t>udy of the ethics of care of a L</w:t>
      </w:r>
      <w:r w:rsidRPr="00F853DD">
        <w:rPr>
          <w:rFonts w:ascii="Times" w:hAnsi="Times" w:cs="Times New Roman"/>
          <w:sz w:val="23"/>
          <w:szCs w:val="23"/>
        </w:rPr>
        <w:t xml:space="preserve">atina caregiver of an elderly parent with dementia. </w:t>
      </w:r>
      <w:r w:rsidRPr="00F853DD">
        <w:rPr>
          <w:rFonts w:ascii="Times" w:hAnsi="Times" w:cs="Times New Roman"/>
          <w:i/>
          <w:sz w:val="23"/>
          <w:szCs w:val="23"/>
        </w:rPr>
        <w:t>Health Care for Women International</w:t>
      </w:r>
      <w:r w:rsidR="001504B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 1055-1072.</w:t>
      </w:r>
    </w:p>
    <w:p w14:paraId="19E4971A" w14:textId="113465D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Foc</w:t>
      </w:r>
      <w:r w:rsidR="001504B6" w:rsidRPr="00F853DD">
        <w:rPr>
          <w:rFonts w:ascii="Times" w:hAnsi="Times" w:cs="Times New Roman"/>
          <w:sz w:val="23"/>
          <w:szCs w:val="23"/>
        </w:rPr>
        <w:t>useconomics (2015)a. Consensus f</w:t>
      </w:r>
      <w:r w:rsidRPr="00F853DD">
        <w:rPr>
          <w:rFonts w:ascii="Times" w:hAnsi="Times" w:cs="Times New Roman"/>
          <w:sz w:val="23"/>
          <w:szCs w:val="23"/>
        </w:rPr>
        <w:t>orecast Trinidad and Tobago.</w:t>
      </w:r>
    </w:p>
    <w:p w14:paraId="718577D1" w14:textId="0F0436F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Foc</w:t>
      </w:r>
      <w:r w:rsidR="001504B6" w:rsidRPr="00F853DD">
        <w:rPr>
          <w:rFonts w:ascii="Times" w:hAnsi="Times" w:cs="Times New Roman"/>
          <w:sz w:val="23"/>
          <w:szCs w:val="23"/>
        </w:rPr>
        <w:t>useconomics (2015)b. Consensus r</w:t>
      </w:r>
      <w:r w:rsidRPr="00F853DD">
        <w:rPr>
          <w:rFonts w:ascii="Times" w:hAnsi="Times" w:cs="Times New Roman"/>
          <w:sz w:val="23"/>
          <w:szCs w:val="23"/>
        </w:rPr>
        <w:t>eport United States.</w:t>
      </w:r>
    </w:p>
    <w:p w14:paraId="28526FAF" w14:textId="582DC84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Fo</w:t>
      </w:r>
      <w:r w:rsidR="001504B6" w:rsidRPr="00F853DD">
        <w:rPr>
          <w:rFonts w:ascii="Times" w:hAnsi="Times" w:cs="Times New Roman"/>
          <w:sz w:val="23"/>
          <w:szCs w:val="23"/>
        </w:rPr>
        <w:t>cuseconomics (2016). Consensus f</w:t>
      </w:r>
      <w:r w:rsidRPr="00F853DD">
        <w:rPr>
          <w:rFonts w:ascii="Times" w:hAnsi="Times" w:cs="Times New Roman"/>
          <w:sz w:val="23"/>
          <w:szCs w:val="23"/>
        </w:rPr>
        <w:t>orecast United Kingdom.</w:t>
      </w:r>
    </w:p>
    <w:p w14:paraId="7D934F7B" w14:textId="0C3CFF5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Folbre, N.</w:t>
      </w:r>
      <w:r w:rsidR="007757B0" w:rsidRPr="00F853DD">
        <w:rPr>
          <w:rFonts w:ascii="Times" w:hAnsi="Times" w:cs="Times New Roman"/>
          <w:sz w:val="23"/>
          <w:szCs w:val="23"/>
        </w:rPr>
        <w:t>,</w:t>
      </w:r>
      <w:r w:rsidR="001504B6" w:rsidRPr="00F853DD">
        <w:rPr>
          <w:rFonts w:ascii="Times" w:hAnsi="Times" w:cs="Times New Roman"/>
          <w:sz w:val="23"/>
          <w:szCs w:val="23"/>
        </w:rPr>
        <w:t xml:space="preserve"> (2018). Developing care: r</w:t>
      </w:r>
      <w:r w:rsidRPr="00F853DD">
        <w:rPr>
          <w:rFonts w:ascii="Times" w:hAnsi="Times" w:cs="Times New Roman"/>
          <w:sz w:val="23"/>
          <w:szCs w:val="23"/>
        </w:rPr>
        <w:t xml:space="preserve">ecent research on the care economy and economic development </w:t>
      </w:r>
      <w:r w:rsidRPr="00F853DD">
        <w:rPr>
          <w:rFonts w:ascii="Times" w:hAnsi="Times" w:cs="Times New Roman"/>
          <w:i/>
          <w:sz w:val="23"/>
          <w:szCs w:val="23"/>
        </w:rPr>
        <w:t>Political Economy Research Institute</w:t>
      </w:r>
      <w:r w:rsidR="001504B6" w:rsidRPr="00F853DD">
        <w:rPr>
          <w:rFonts w:ascii="Times" w:hAnsi="Times" w:cs="Times New Roman"/>
          <w:i/>
          <w:sz w:val="23"/>
          <w:szCs w:val="23"/>
        </w:rPr>
        <w:t xml:space="preserve"> </w:t>
      </w:r>
      <w:r w:rsidR="001504B6" w:rsidRPr="00F853DD">
        <w:rPr>
          <w:rFonts w:ascii="Times" w:hAnsi="Times" w:cs="Times New Roman"/>
          <w:sz w:val="23"/>
          <w:szCs w:val="23"/>
        </w:rPr>
        <w:t>[online].</w:t>
      </w:r>
      <w:r w:rsidRPr="00F853DD">
        <w:rPr>
          <w:rFonts w:ascii="Times" w:hAnsi="Times" w:cs="Times New Roman"/>
          <w:i/>
          <w:sz w:val="23"/>
          <w:szCs w:val="23"/>
        </w:rPr>
        <w:t xml:space="preserve">. </w:t>
      </w:r>
      <w:r w:rsidRPr="00F853DD">
        <w:rPr>
          <w:rFonts w:ascii="Times" w:hAnsi="Times" w:cs="Times New Roman"/>
          <w:sz w:val="23"/>
          <w:szCs w:val="23"/>
        </w:rPr>
        <w:t>[Viewed 4 July 2019]. Available from: https://www.peri.umass.edu/economists/nancy-folbre/item/1111-developing-care-recent-research-on-the-care-economy-and-economic-development.</w:t>
      </w:r>
    </w:p>
    <w:p w14:paraId="175D29C2" w14:textId="4F792D6A"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Folkman, S. and Moskowitz, J.,</w:t>
      </w:r>
      <w:r w:rsidR="001504B6" w:rsidRPr="00F853DD">
        <w:rPr>
          <w:rFonts w:ascii="Times" w:hAnsi="Times" w:cs="Times New Roman"/>
          <w:sz w:val="23"/>
          <w:szCs w:val="23"/>
        </w:rPr>
        <w:t xml:space="preserve"> (2004). Coping: p</w:t>
      </w:r>
      <w:r w:rsidR="00DF05BD" w:rsidRPr="00F853DD">
        <w:rPr>
          <w:rFonts w:ascii="Times" w:hAnsi="Times" w:cs="Times New Roman"/>
          <w:sz w:val="23"/>
          <w:szCs w:val="23"/>
        </w:rPr>
        <w:t xml:space="preserve">itfalls and promise. </w:t>
      </w:r>
      <w:r w:rsidR="00DF05BD" w:rsidRPr="00F853DD">
        <w:rPr>
          <w:rFonts w:ascii="Times" w:hAnsi="Times" w:cs="Times New Roman"/>
          <w:i/>
          <w:sz w:val="23"/>
          <w:szCs w:val="23"/>
        </w:rPr>
        <w:t>Annual Review of Psychology</w:t>
      </w:r>
      <w:r w:rsidR="001504B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55</w:t>
      </w:r>
      <w:r w:rsidR="00DF05BD" w:rsidRPr="00F853DD">
        <w:rPr>
          <w:rFonts w:ascii="Times" w:hAnsi="Times" w:cs="Times New Roman"/>
          <w:sz w:val="23"/>
          <w:szCs w:val="23"/>
        </w:rPr>
        <w:t>, 745-774.</w:t>
      </w:r>
    </w:p>
    <w:p w14:paraId="6C17A58E" w14:textId="283A2438"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Fontes, A., and Neri, A.,</w:t>
      </w:r>
      <w:r w:rsidR="00DF05BD" w:rsidRPr="00F853DD">
        <w:rPr>
          <w:rFonts w:ascii="Times" w:hAnsi="Times" w:cs="Times New Roman"/>
          <w:sz w:val="23"/>
          <w:szCs w:val="23"/>
        </w:rPr>
        <w:t xml:space="preserve"> (2015). Resilience in aging: literature review. </w:t>
      </w:r>
      <w:r w:rsidR="00DF05BD" w:rsidRPr="00F853DD">
        <w:rPr>
          <w:rFonts w:ascii="Times" w:hAnsi="Times" w:cs="Times New Roman"/>
          <w:i/>
          <w:sz w:val="23"/>
          <w:szCs w:val="23"/>
        </w:rPr>
        <w:t>Ciencia and Saude Coletiva</w:t>
      </w:r>
      <w:r w:rsidR="001504B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20</w:t>
      </w:r>
      <w:r w:rsidR="00DF05BD" w:rsidRPr="00F853DD">
        <w:rPr>
          <w:rFonts w:ascii="Times" w:hAnsi="Times" w:cs="Times New Roman"/>
          <w:sz w:val="23"/>
          <w:szCs w:val="23"/>
        </w:rPr>
        <w:t>, 1474-1494.</w:t>
      </w:r>
    </w:p>
    <w:p w14:paraId="62372D9F" w14:textId="101B0169"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Fortinsky, R., Tennen, H. and Steffens, D.,</w:t>
      </w:r>
      <w:r w:rsidR="001504B6" w:rsidRPr="00F853DD">
        <w:rPr>
          <w:rFonts w:ascii="Times" w:hAnsi="Times" w:cs="Times New Roman"/>
          <w:sz w:val="23"/>
          <w:szCs w:val="23"/>
        </w:rPr>
        <w:t xml:space="preserve"> (2013). Resilience in the face of chronic illness and f</w:t>
      </w:r>
      <w:r w:rsidR="00DF05BD" w:rsidRPr="00F853DD">
        <w:rPr>
          <w:rFonts w:ascii="Times" w:hAnsi="Times" w:cs="Times New Roman"/>
          <w:sz w:val="23"/>
          <w:szCs w:val="23"/>
        </w:rPr>
        <w:t xml:space="preserve">amily Caregiving in Middle and Later Life. </w:t>
      </w:r>
      <w:r w:rsidR="00DF05BD" w:rsidRPr="00F853DD">
        <w:rPr>
          <w:rFonts w:ascii="Times" w:hAnsi="Times" w:cs="Times New Roman"/>
          <w:i/>
          <w:sz w:val="23"/>
          <w:szCs w:val="23"/>
        </w:rPr>
        <w:t>Psychiatric Annals</w:t>
      </w:r>
      <w:r w:rsidR="001504B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43</w:t>
      </w:r>
      <w:r w:rsidR="00DF05BD" w:rsidRPr="00F853DD">
        <w:rPr>
          <w:rFonts w:ascii="Times" w:hAnsi="Times" w:cs="Times New Roman"/>
          <w:sz w:val="23"/>
          <w:szCs w:val="23"/>
        </w:rPr>
        <w:t>, 549-554.</w:t>
      </w:r>
    </w:p>
    <w:p w14:paraId="79DE2252" w14:textId="3E71595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Frankland, J. and Bloor, M.</w:t>
      </w:r>
      <w:r w:rsidR="007757B0" w:rsidRPr="00F853DD">
        <w:rPr>
          <w:rFonts w:ascii="Times" w:hAnsi="Times" w:cs="Times New Roman"/>
          <w:sz w:val="23"/>
          <w:szCs w:val="23"/>
        </w:rPr>
        <w:t>,</w:t>
      </w:r>
      <w:r w:rsidRPr="00F853DD">
        <w:rPr>
          <w:rFonts w:ascii="Times" w:hAnsi="Times" w:cs="Times New Roman"/>
          <w:sz w:val="23"/>
          <w:szCs w:val="23"/>
        </w:rPr>
        <w:t xml:space="preserve"> (1999). </w:t>
      </w:r>
      <w:r w:rsidRPr="00F853DD">
        <w:rPr>
          <w:rFonts w:ascii="Times" w:hAnsi="Times" w:cs="Times New Roman"/>
          <w:i/>
          <w:sz w:val="23"/>
          <w:szCs w:val="23"/>
        </w:rPr>
        <w:t>Some issues arising in the systematic analysis of focus group materials.</w:t>
      </w:r>
      <w:r w:rsidRPr="00F853DD">
        <w:rPr>
          <w:rFonts w:ascii="Times" w:hAnsi="Times" w:cs="Times New Roman"/>
          <w:sz w:val="23"/>
          <w:szCs w:val="23"/>
        </w:rPr>
        <w:t xml:space="preserve"> Developing focus group research. London: SAGE Publications Ltd.</w:t>
      </w:r>
    </w:p>
    <w:p w14:paraId="59D7A3C4" w14:textId="0F6C5B7F"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Fried, E</w:t>
      </w:r>
      <w:r w:rsidR="00DF05BD" w:rsidRPr="00F853DD">
        <w:rPr>
          <w:rFonts w:ascii="Times" w:hAnsi="Times" w:cs="Times New Roman"/>
          <w:sz w:val="23"/>
          <w:szCs w:val="23"/>
        </w:rPr>
        <w:t>., Bockting, C., Arjadi, R., Borsboom, D</w:t>
      </w:r>
      <w:r w:rsidRPr="00F853DD">
        <w:rPr>
          <w:rFonts w:ascii="Times" w:hAnsi="Times" w:cs="Times New Roman"/>
          <w:sz w:val="23"/>
          <w:szCs w:val="23"/>
        </w:rPr>
        <w:t>., Amshoff, M., Cramer, A.</w:t>
      </w:r>
      <w:r w:rsidR="00DF05BD" w:rsidRPr="00F853DD">
        <w:rPr>
          <w:rFonts w:ascii="Times" w:hAnsi="Times" w:cs="Times New Roman"/>
          <w:sz w:val="23"/>
          <w:szCs w:val="23"/>
        </w:rPr>
        <w:t>, Epskamp, S., Tuerlinckx, F., Carr, D. and Stroebe, M.</w:t>
      </w:r>
      <w:r w:rsidRPr="00F853DD">
        <w:rPr>
          <w:rFonts w:ascii="Times" w:hAnsi="Times" w:cs="Times New Roman"/>
          <w:sz w:val="23"/>
          <w:szCs w:val="23"/>
        </w:rPr>
        <w:t>,</w:t>
      </w:r>
      <w:r w:rsidR="001504B6" w:rsidRPr="00F853DD">
        <w:rPr>
          <w:rFonts w:ascii="Times" w:hAnsi="Times" w:cs="Times New Roman"/>
          <w:sz w:val="23"/>
          <w:szCs w:val="23"/>
        </w:rPr>
        <w:t xml:space="preserve"> (2015). From loss to loneliness: the r</w:t>
      </w:r>
      <w:r w:rsidR="00DF05BD" w:rsidRPr="00F853DD">
        <w:rPr>
          <w:rFonts w:ascii="Times" w:hAnsi="Times" w:cs="Times New Roman"/>
          <w:sz w:val="23"/>
          <w:szCs w:val="23"/>
        </w:rPr>
        <w:t>elat</w:t>
      </w:r>
      <w:r w:rsidR="001504B6" w:rsidRPr="00F853DD">
        <w:rPr>
          <w:rFonts w:ascii="Times" w:hAnsi="Times" w:cs="Times New Roman"/>
          <w:sz w:val="23"/>
          <w:szCs w:val="23"/>
        </w:rPr>
        <w:t>ionship b</w:t>
      </w:r>
      <w:r w:rsidR="00DF05BD" w:rsidRPr="00F853DD">
        <w:rPr>
          <w:rFonts w:ascii="Times" w:hAnsi="Times" w:cs="Times New Roman"/>
          <w:sz w:val="23"/>
          <w:szCs w:val="23"/>
        </w:rPr>
        <w:t xml:space="preserve">etween </w:t>
      </w:r>
      <w:r w:rsidR="001504B6" w:rsidRPr="00F853DD">
        <w:rPr>
          <w:rFonts w:ascii="Times" w:hAnsi="Times" w:cs="Times New Roman"/>
          <w:sz w:val="23"/>
          <w:szCs w:val="23"/>
        </w:rPr>
        <w:t>bereavement and depressive s</w:t>
      </w:r>
      <w:r w:rsidR="00DF05BD" w:rsidRPr="00F853DD">
        <w:rPr>
          <w:rFonts w:ascii="Times" w:hAnsi="Times" w:cs="Times New Roman"/>
          <w:sz w:val="23"/>
          <w:szCs w:val="23"/>
        </w:rPr>
        <w:t xml:space="preserve">ymptoms. </w:t>
      </w:r>
      <w:r w:rsidR="00DF05BD" w:rsidRPr="00F853DD">
        <w:rPr>
          <w:rFonts w:ascii="Times" w:hAnsi="Times" w:cs="Times New Roman"/>
          <w:i/>
          <w:sz w:val="23"/>
          <w:szCs w:val="23"/>
        </w:rPr>
        <w:t>Journal of Abnormal Psychology</w:t>
      </w:r>
      <w:r w:rsidR="001504B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124</w:t>
      </w:r>
      <w:r w:rsidR="00DF05BD" w:rsidRPr="00F853DD">
        <w:rPr>
          <w:rFonts w:ascii="Times" w:hAnsi="Times" w:cs="Times New Roman"/>
          <w:sz w:val="23"/>
          <w:szCs w:val="23"/>
        </w:rPr>
        <w:t>, 256-265.</w:t>
      </w:r>
    </w:p>
    <w:p w14:paraId="40B27955" w14:textId="2E813A3F"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Fried, L., Tangen, C., Walston, J., Newman, A.</w:t>
      </w:r>
      <w:r w:rsidR="00DF05BD" w:rsidRPr="00F853DD">
        <w:rPr>
          <w:rFonts w:ascii="Times" w:hAnsi="Times" w:cs="Times New Roman"/>
          <w:sz w:val="23"/>
          <w:szCs w:val="23"/>
        </w:rPr>
        <w:t>, Hirsch, C., Gottdiener, J., Se</w:t>
      </w:r>
      <w:r w:rsidRPr="00F853DD">
        <w:rPr>
          <w:rFonts w:ascii="Times" w:hAnsi="Times" w:cs="Times New Roman"/>
          <w:sz w:val="23"/>
          <w:szCs w:val="23"/>
        </w:rPr>
        <w:t>eman, T., Tracy, R., Kop, W., Burke, G., McBurnie, M.</w:t>
      </w:r>
      <w:r w:rsidR="00DF05BD" w:rsidRPr="00F853DD">
        <w:rPr>
          <w:rFonts w:ascii="Times" w:hAnsi="Times" w:cs="Times New Roman"/>
          <w:sz w:val="23"/>
          <w:szCs w:val="23"/>
        </w:rPr>
        <w:t xml:space="preserve"> and Cardiovascular Health Study</w:t>
      </w:r>
      <w:r w:rsidRPr="00F853DD">
        <w:rPr>
          <w:rFonts w:ascii="Times" w:hAnsi="Times" w:cs="Times New Roman"/>
          <w:sz w:val="23"/>
          <w:szCs w:val="23"/>
        </w:rPr>
        <w:t>,</w:t>
      </w:r>
      <w:r w:rsidR="00DF05BD" w:rsidRPr="00F853DD">
        <w:rPr>
          <w:rFonts w:ascii="Times" w:hAnsi="Times" w:cs="Times New Roman"/>
          <w:sz w:val="23"/>
          <w:szCs w:val="23"/>
        </w:rPr>
        <w:t xml:space="preserve"> (2001). Frailty in older adults: Evidence for a phenotype. </w:t>
      </w:r>
      <w:r w:rsidR="00DF05BD" w:rsidRPr="00F853DD">
        <w:rPr>
          <w:rFonts w:ascii="Times" w:hAnsi="Times" w:cs="Times New Roman"/>
          <w:i/>
          <w:sz w:val="23"/>
          <w:szCs w:val="23"/>
        </w:rPr>
        <w:t>Journals of Gerontology Series a-Biological Sciences and Medical Sciences</w:t>
      </w:r>
      <w:r w:rsidR="001504B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56</w:t>
      </w:r>
      <w:r w:rsidR="00DF05BD" w:rsidRPr="00F853DD">
        <w:rPr>
          <w:rFonts w:ascii="Times" w:hAnsi="Times" w:cs="Times New Roman"/>
          <w:sz w:val="23"/>
          <w:szCs w:val="23"/>
        </w:rPr>
        <w:t>, M146-M156.</w:t>
      </w:r>
    </w:p>
    <w:p w14:paraId="19E597A2" w14:textId="72AB7B8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Friedemann-Sanc</w:t>
      </w:r>
      <w:r w:rsidR="007757B0" w:rsidRPr="00F853DD">
        <w:rPr>
          <w:rFonts w:ascii="Times" w:hAnsi="Times" w:cs="Times New Roman"/>
          <w:sz w:val="23"/>
          <w:szCs w:val="23"/>
        </w:rPr>
        <w:t>hez, G. and Griffin, J.,</w:t>
      </w:r>
      <w:r w:rsidRPr="00F853DD">
        <w:rPr>
          <w:rFonts w:ascii="Times" w:hAnsi="Times" w:cs="Times New Roman"/>
          <w:sz w:val="23"/>
          <w:szCs w:val="23"/>
        </w:rPr>
        <w:t xml:space="preserve"> (2011). Defining the boundaries between unpaid labor and unpaid caregiving: review of the social and health sciences literature. </w:t>
      </w:r>
      <w:r w:rsidRPr="00F853DD">
        <w:rPr>
          <w:rFonts w:ascii="Times" w:hAnsi="Times" w:cs="Times New Roman"/>
          <w:i/>
          <w:sz w:val="23"/>
          <w:szCs w:val="23"/>
        </w:rPr>
        <w:t>Journal of human development and capabilities</w:t>
      </w:r>
      <w:r w:rsidR="001504B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 511-534.</w:t>
      </w:r>
    </w:p>
    <w:p w14:paraId="17F6EEF5" w14:textId="5202C3B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w:t>
      </w:r>
      <w:r w:rsidRPr="00F853DD">
        <w:rPr>
          <w:rFonts w:ascii="Times" w:eastAsia="Times New Roman" w:hAnsi="Times" w:cs="Segoe UI"/>
          <w:sz w:val="23"/>
          <w:szCs w:val="23"/>
          <w:lang w:eastAsia="en-US"/>
        </w:rPr>
        <w:t>riedemann, M. and Buckwalter, K.</w:t>
      </w:r>
      <w:r w:rsidR="007757B0" w:rsidRPr="00F853DD">
        <w:rPr>
          <w:rFonts w:ascii="Times" w:eastAsia="Times New Roman" w:hAnsi="Times" w:cs="Segoe UI"/>
          <w:sz w:val="23"/>
          <w:szCs w:val="23"/>
          <w:lang w:eastAsia="en-US"/>
        </w:rPr>
        <w:t>,</w:t>
      </w:r>
      <w:r w:rsidRPr="00F853DD">
        <w:rPr>
          <w:rFonts w:ascii="Times" w:eastAsia="Times New Roman" w:hAnsi="Times" w:cs="Segoe UI"/>
          <w:sz w:val="23"/>
          <w:szCs w:val="23"/>
          <w:lang w:eastAsia="en-US"/>
        </w:rPr>
        <w:t xml:space="preserve"> (2014). </w:t>
      </w:r>
      <w:r w:rsidRPr="00F853DD">
        <w:rPr>
          <w:rFonts w:ascii="Times" w:eastAsia="Times New Roman" w:hAnsi="Times" w:cs="Segoe UI"/>
          <w:sz w:val="23"/>
          <w:szCs w:val="23"/>
          <w:lang w:val="en-TT" w:eastAsia="en-US"/>
        </w:rPr>
        <w:t>Family caregiver role and burden related to gender and family relationships. </w:t>
      </w:r>
      <w:r w:rsidRPr="00F853DD">
        <w:rPr>
          <w:rFonts w:ascii="Times" w:eastAsia="Times New Roman" w:hAnsi="Times" w:cs="Segoe UI"/>
          <w:i/>
          <w:iCs/>
          <w:sz w:val="23"/>
          <w:szCs w:val="23"/>
          <w:lang w:val="en-TT" w:eastAsia="en-US"/>
        </w:rPr>
        <w:t>Journal of family nursing</w:t>
      </w:r>
      <w:r w:rsidRPr="00F853DD">
        <w:rPr>
          <w:rFonts w:ascii="Times" w:eastAsia="Times New Roman" w:hAnsi="Times" w:cs="Segoe UI"/>
          <w:sz w:val="23"/>
          <w:szCs w:val="23"/>
          <w:lang w:val="en-TT" w:eastAsia="en-US"/>
        </w:rPr>
        <w:t>, </w:t>
      </w:r>
      <w:r w:rsidRPr="00F853DD">
        <w:rPr>
          <w:rFonts w:ascii="Times" w:eastAsia="Times New Roman" w:hAnsi="Times" w:cs="Segoe UI"/>
          <w:b/>
          <w:iCs/>
          <w:sz w:val="23"/>
          <w:szCs w:val="23"/>
          <w:lang w:val="en-TT" w:eastAsia="en-US"/>
        </w:rPr>
        <w:t>20</w:t>
      </w:r>
      <w:r w:rsidRPr="00F853DD">
        <w:rPr>
          <w:rFonts w:ascii="Times" w:eastAsia="Times New Roman" w:hAnsi="Times" w:cs="Segoe UI"/>
          <w:sz w:val="23"/>
          <w:szCs w:val="23"/>
          <w:lang w:val="en-TT" w:eastAsia="en-US"/>
        </w:rPr>
        <w:t>(3), 313-336.</w:t>
      </w:r>
    </w:p>
    <w:p w14:paraId="7739DCF4" w14:textId="0A40DE2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Friedman, A.</w:t>
      </w:r>
      <w:r w:rsidR="007757B0" w:rsidRPr="00F853DD">
        <w:rPr>
          <w:rFonts w:ascii="Times" w:hAnsi="Times" w:cs="Times New Roman"/>
          <w:sz w:val="23"/>
          <w:szCs w:val="23"/>
        </w:rPr>
        <w:t>,</w:t>
      </w:r>
      <w:r w:rsidRPr="00F853DD">
        <w:rPr>
          <w:rFonts w:ascii="Times" w:hAnsi="Times" w:cs="Times New Roman"/>
          <w:sz w:val="23"/>
          <w:szCs w:val="23"/>
        </w:rPr>
        <w:t xml:space="preserve"> (2011). Toward a sociology of perception: sight, sex, and gender. </w:t>
      </w:r>
      <w:r w:rsidRPr="00F853DD">
        <w:rPr>
          <w:rFonts w:ascii="Times" w:hAnsi="Times" w:cs="Times New Roman"/>
          <w:i/>
          <w:sz w:val="23"/>
          <w:szCs w:val="23"/>
        </w:rPr>
        <w:t>Cultural Sociology</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 187-206.</w:t>
      </w:r>
    </w:p>
    <w:p w14:paraId="01DE8670" w14:textId="3E0EA10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Friedman, A.</w:t>
      </w:r>
      <w:r w:rsidR="007757B0" w:rsidRPr="00F853DD">
        <w:rPr>
          <w:rFonts w:ascii="Times" w:hAnsi="Times" w:cs="Times New Roman"/>
          <w:sz w:val="23"/>
          <w:szCs w:val="23"/>
        </w:rPr>
        <w:t>,</w:t>
      </w:r>
      <w:r w:rsidRPr="00F853DD">
        <w:rPr>
          <w:rFonts w:ascii="Times" w:hAnsi="Times" w:cs="Times New Roman"/>
          <w:sz w:val="23"/>
          <w:szCs w:val="23"/>
        </w:rPr>
        <w:t xml:space="preserve"> (2012)a. Anchoring the sociology of sensory perception. </w:t>
      </w:r>
      <w:r w:rsidRPr="00F853DD">
        <w:rPr>
          <w:rFonts w:ascii="Times" w:hAnsi="Times" w:cs="Times New Roman"/>
          <w:i/>
          <w:sz w:val="23"/>
          <w:szCs w:val="23"/>
        </w:rPr>
        <w:t>Symbolic Interaction</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35</w:t>
      </w:r>
      <w:r w:rsidRPr="00F853DD">
        <w:rPr>
          <w:rFonts w:ascii="Times" w:hAnsi="Times" w:cs="Times New Roman"/>
          <w:sz w:val="23"/>
          <w:szCs w:val="23"/>
        </w:rPr>
        <w:t>, 504-506.</w:t>
      </w:r>
    </w:p>
    <w:p w14:paraId="50D82BA9" w14:textId="30F9AA4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Friedman, A.</w:t>
      </w:r>
      <w:r w:rsidR="007757B0" w:rsidRPr="00F853DD">
        <w:rPr>
          <w:rFonts w:ascii="Times" w:hAnsi="Times" w:cs="Times New Roman"/>
          <w:sz w:val="23"/>
          <w:szCs w:val="23"/>
        </w:rPr>
        <w:t>,</w:t>
      </w:r>
      <w:r w:rsidRPr="00F853DD">
        <w:rPr>
          <w:rFonts w:ascii="Times" w:hAnsi="Times" w:cs="Times New Roman"/>
          <w:sz w:val="23"/>
          <w:szCs w:val="23"/>
        </w:rPr>
        <w:t xml:space="preserve"> (2012)b. </w:t>
      </w:r>
      <w:r w:rsidRPr="00F853DD">
        <w:rPr>
          <w:rFonts w:ascii="Times" w:hAnsi="Times" w:cs="Times New Roman"/>
          <w:i/>
          <w:sz w:val="23"/>
          <w:szCs w:val="23"/>
        </w:rPr>
        <w:t xml:space="preserve">Perception: </w:t>
      </w:r>
      <w:r w:rsidR="00AF37BB" w:rsidRPr="00F853DD">
        <w:rPr>
          <w:rFonts w:ascii="Times" w:hAnsi="Times" w:cs="Times New Roman"/>
          <w:i/>
          <w:sz w:val="23"/>
          <w:szCs w:val="23"/>
        </w:rPr>
        <w:t>a</w:t>
      </w:r>
      <w:r w:rsidRPr="00F853DD">
        <w:rPr>
          <w:rFonts w:ascii="Times" w:hAnsi="Times" w:cs="Times New Roman"/>
          <w:i/>
          <w:sz w:val="23"/>
          <w:szCs w:val="23"/>
        </w:rPr>
        <w:t xml:space="preserve"> cognitive sociological approach</w:t>
      </w:r>
      <w:r w:rsidRPr="00F853DD">
        <w:rPr>
          <w:rFonts w:ascii="Times" w:hAnsi="Times" w:cs="Times New Roman"/>
          <w:sz w:val="23"/>
          <w:szCs w:val="23"/>
        </w:rPr>
        <w:t xml:space="preserve">. Available from: https://numerons.files.wordpress.com/2012/04/47-perception-a-cognitive-sociological-approach.pdf. </w:t>
      </w:r>
    </w:p>
    <w:p w14:paraId="100FDC59" w14:textId="063DBB28" w:rsidR="00DF05BD"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Friedman, A.,</w:t>
      </w:r>
      <w:r w:rsidR="00DF05BD" w:rsidRPr="00F853DD">
        <w:rPr>
          <w:rFonts w:ascii="Times" w:hAnsi="Times" w:cs="Times New Roman"/>
          <w:sz w:val="23"/>
          <w:szCs w:val="23"/>
        </w:rPr>
        <w:t xml:space="preserve"> (2016). Perceptual construction: rereading the social construction of reality through the sociology of the senses. </w:t>
      </w:r>
      <w:r w:rsidR="00DF05BD" w:rsidRPr="00F853DD">
        <w:rPr>
          <w:rFonts w:ascii="Times" w:hAnsi="Times" w:cs="Times New Roman"/>
          <w:i/>
          <w:sz w:val="23"/>
          <w:szCs w:val="23"/>
        </w:rPr>
        <w:t>Cultural Sociology</w:t>
      </w:r>
      <w:r w:rsidR="00AF37BB"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w:t>
      </w:r>
      <w:r w:rsidR="00DF05BD" w:rsidRPr="00F853DD">
        <w:rPr>
          <w:rFonts w:ascii="Times" w:hAnsi="Times" w:cs="Times New Roman"/>
          <w:sz w:val="23"/>
          <w:szCs w:val="23"/>
        </w:rPr>
        <w:t>, 77-92.</w:t>
      </w:r>
    </w:p>
    <w:p w14:paraId="4B8506AB" w14:textId="0A1B1B4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Froggatt, A.</w:t>
      </w:r>
      <w:r w:rsidR="007757B0" w:rsidRPr="00F853DD">
        <w:rPr>
          <w:rFonts w:ascii="Times" w:hAnsi="Times" w:cs="Times New Roman"/>
          <w:sz w:val="23"/>
          <w:szCs w:val="23"/>
        </w:rPr>
        <w:t>,</w:t>
      </w:r>
      <w:r w:rsidRPr="00F853DD">
        <w:rPr>
          <w:rFonts w:ascii="Times" w:hAnsi="Times" w:cs="Times New Roman"/>
          <w:sz w:val="23"/>
          <w:szCs w:val="23"/>
        </w:rPr>
        <w:t xml:space="preserve"> (1990). </w:t>
      </w:r>
      <w:r w:rsidR="00AF37BB" w:rsidRPr="00F853DD">
        <w:rPr>
          <w:rFonts w:ascii="Times" w:hAnsi="Times" w:cs="Times New Roman"/>
          <w:i/>
          <w:sz w:val="23"/>
          <w:szCs w:val="23"/>
        </w:rPr>
        <w:t>Family work with elderly p</w:t>
      </w:r>
      <w:r w:rsidRPr="00F853DD">
        <w:rPr>
          <w:rFonts w:ascii="Times" w:hAnsi="Times" w:cs="Times New Roman"/>
          <w:i/>
          <w:sz w:val="23"/>
          <w:szCs w:val="23"/>
        </w:rPr>
        <w:t>eople</w:t>
      </w:r>
      <w:r w:rsidRPr="00F853DD">
        <w:rPr>
          <w:rFonts w:ascii="Times" w:hAnsi="Times" w:cs="Times New Roman"/>
          <w:sz w:val="23"/>
          <w:szCs w:val="23"/>
        </w:rPr>
        <w:t>. London: Macmillan.</w:t>
      </w:r>
    </w:p>
    <w:p w14:paraId="495D9AC6" w14:textId="3AB0A36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Fry, P. and Keyes, C.</w:t>
      </w:r>
      <w:r w:rsidR="007757B0" w:rsidRPr="00F853DD">
        <w:rPr>
          <w:rFonts w:ascii="Times" w:hAnsi="Times" w:cs="Times New Roman"/>
          <w:sz w:val="23"/>
          <w:szCs w:val="23"/>
        </w:rPr>
        <w:t>,</w:t>
      </w:r>
      <w:r w:rsidRPr="00F853DD">
        <w:rPr>
          <w:rFonts w:ascii="Times" w:hAnsi="Times" w:cs="Times New Roman"/>
          <w:sz w:val="23"/>
          <w:szCs w:val="23"/>
        </w:rPr>
        <w:t xml:space="preserve"> (eds.) (2013). </w:t>
      </w:r>
      <w:r w:rsidRPr="00F853DD">
        <w:rPr>
          <w:rFonts w:ascii="Times" w:hAnsi="Times" w:cs="Times New Roman"/>
          <w:i/>
          <w:sz w:val="23"/>
          <w:szCs w:val="23"/>
        </w:rPr>
        <w:t>New frontiers in resilient aging: life strengths and well-being in late life</w:t>
      </w:r>
      <w:r w:rsidRPr="00F853DD">
        <w:rPr>
          <w:rFonts w:ascii="Times" w:hAnsi="Times" w:cs="Times New Roman"/>
          <w:sz w:val="23"/>
          <w:szCs w:val="23"/>
        </w:rPr>
        <w:t>. Cambridge University Press.</w:t>
      </w:r>
    </w:p>
    <w:p w14:paraId="270770CD" w14:textId="2170F3D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Fuller-Iglesias, H., </w:t>
      </w:r>
      <w:r w:rsidR="007757B0" w:rsidRPr="00F853DD">
        <w:rPr>
          <w:rFonts w:ascii="Times" w:hAnsi="Times" w:cs="Times New Roman"/>
          <w:sz w:val="23"/>
          <w:szCs w:val="23"/>
        </w:rPr>
        <w:t>Sellars, B. and Antonucci, T.,</w:t>
      </w:r>
      <w:r w:rsidRPr="00F853DD">
        <w:rPr>
          <w:rFonts w:ascii="Times" w:hAnsi="Times" w:cs="Times New Roman"/>
          <w:sz w:val="23"/>
          <w:szCs w:val="23"/>
        </w:rPr>
        <w:t xml:space="preserve"> </w:t>
      </w:r>
      <w:r w:rsidR="00AF37BB" w:rsidRPr="00F853DD">
        <w:rPr>
          <w:rFonts w:ascii="Times" w:hAnsi="Times" w:cs="Times New Roman"/>
          <w:sz w:val="23"/>
          <w:szCs w:val="23"/>
        </w:rPr>
        <w:t>(2008). Resilience in old age: s</w:t>
      </w:r>
      <w:r w:rsidRPr="00F853DD">
        <w:rPr>
          <w:rFonts w:ascii="Times" w:hAnsi="Times" w:cs="Times New Roman"/>
          <w:sz w:val="23"/>
          <w:szCs w:val="23"/>
        </w:rPr>
        <w:t xml:space="preserve">ocial relations as a protective factor. </w:t>
      </w:r>
      <w:r w:rsidRPr="00F853DD">
        <w:rPr>
          <w:rFonts w:ascii="Times" w:hAnsi="Times" w:cs="Times New Roman"/>
          <w:i/>
          <w:sz w:val="23"/>
          <w:szCs w:val="23"/>
        </w:rPr>
        <w:t>Research in Human Development</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 181-193.</w:t>
      </w:r>
    </w:p>
    <w:p w14:paraId="637F3E44" w14:textId="4A2187C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Fulmer, T., Paveza, G., Vandeweerd, C., Fairchild, S., Guadagno, L., Bolton-Blatt, M. and Norman, R.</w:t>
      </w:r>
      <w:r w:rsidR="007757B0" w:rsidRPr="00F853DD">
        <w:rPr>
          <w:rFonts w:ascii="Times" w:hAnsi="Times" w:cs="Times New Roman"/>
          <w:sz w:val="23"/>
          <w:szCs w:val="23"/>
        </w:rPr>
        <w:t>,</w:t>
      </w:r>
      <w:r w:rsidRPr="00F853DD">
        <w:rPr>
          <w:rFonts w:ascii="Times" w:hAnsi="Times" w:cs="Times New Roman"/>
          <w:sz w:val="23"/>
          <w:szCs w:val="23"/>
        </w:rPr>
        <w:t xml:space="preserve"> (2005). Dyadic vulnerability and risk profiling for elder neglect. </w:t>
      </w:r>
      <w:r w:rsidRPr="00F853DD">
        <w:rPr>
          <w:rFonts w:ascii="Times" w:hAnsi="Times" w:cs="Times New Roman"/>
          <w:i/>
          <w:sz w:val="23"/>
          <w:szCs w:val="23"/>
        </w:rPr>
        <w:t>Gerontologist</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45</w:t>
      </w:r>
      <w:r w:rsidRPr="00F853DD">
        <w:rPr>
          <w:rFonts w:ascii="Times" w:hAnsi="Times" w:cs="Times New Roman"/>
          <w:sz w:val="23"/>
          <w:szCs w:val="23"/>
        </w:rPr>
        <w:t>, 525.</w:t>
      </w:r>
    </w:p>
    <w:p w14:paraId="6AE37F65" w14:textId="64F373AE" w:rsidR="007757B0"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Funk, L. and Kobayashi, K., (2009).</w:t>
      </w:r>
      <w:r w:rsidR="00AF37BB" w:rsidRPr="00F853DD">
        <w:rPr>
          <w:rFonts w:ascii="Times" w:hAnsi="Times" w:cs="Times New Roman"/>
          <w:sz w:val="23"/>
          <w:szCs w:val="23"/>
        </w:rPr>
        <w:t xml:space="preserve"> “Choice” in filial care work: m</w:t>
      </w:r>
      <w:r w:rsidRPr="00F853DD">
        <w:rPr>
          <w:rFonts w:ascii="Times" w:hAnsi="Times" w:cs="Times New Roman"/>
          <w:sz w:val="23"/>
          <w:szCs w:val="23"/>
        </w:rPr>
        <w:t xml:space="preserve">oving beyond a dichotomy. </w:t>
      </w:r>
      <w:r w:rsidRPr="00F853DD">
        <w:rPr>
          <w:rFonts w:ascii="Times" w:hAnsi="Times" w:cs="Times New Roman"/>
          <w:i/>
          <w:sz w:val="23"/>
          <w:szCs w:val="23"/>
        </w:rPr>
        <w:t>Canadian Review of Sociology</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46</w:t>
      </w:r>
      <w:r w:rsidRPr="00F853DD">
        <w:rPr>
          <w:rFonts w:ascii="Times" w:hAnsi="Times" w:cs="Times New Roman"/>
          <w:sz w:val="23"/>
          <w:szCs w:val="23"/>
        </w:rPr>
        <w:t>, 235-252.</w:t>
      </w:r>
    </w:p>
    <w:p w14:paraId="349B314A" w14:textId="1D41697B" w:rsidR="007757B0"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Funk, L., (2010)a. The interpretive dynamics of filial and collective responsibility for elderly people. </w:t>
      </w:r>
      <w:r w:rsidRPr="00F853DD">
        <w:rPr>
          <w:rFonts w:ascii="Times" w:hAnsi="Times" w:cs="Times New Roman"/>
          <w:i/>
          <w:sz w:val="23"/>
          <w:szCs w:val="23"/>
        </w:rPr>
        <w:t>Canadian Review of Sociology</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 71-92.</w:t>
      </w:r>
    </w:p>
    <w:p w14:paraId="40BEB76E" w14:textId="2DB9484B" w:rsidR="007757B0"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Funk, L., (2010)b. Prioritizing parental autonomy: </w:t>
      </w:r>
      <w:r w:rsidR="00AF37BB" w:rsidRPr="00F853DD">
        <w:rPr>
          <w:rFonts w:ascii="Times" w:hAnsi="Times" w:cs="Times New Roman"/>
          <w:sz w:val="23"/>
          <w:szCs w:val="23"/>
        </w:rPr>
        <w:t>a</w:t>
      </w:r>
      <w:r w:rsidRPr="00F853DD">
        <w:rPr>
          <w:rFonts w:ascii="Times" w:hAnsi="Times" w:cs="Times New Roman"/>
          <w:sz w:val="23"/>
          <w:szCs w:val="23"/>
        </w:rPr>
        <w:t xml:space="preserve">dult children's accounts of feeling responsible and supporting aging parents. </w:t>
      </w:r>
      <w:r w:rsidRPr="00F853DD">
        <w:rPr>
          <w:rFonts w:ascii="Times" w:hAnsi="Times" w:cs="Times New Roman"/>
          <w:i/>
          <w:sz w:val="23"/>
          <w:szCs w:val="23"/>
        </w:rPr>
        <w:t>Journal of Aging Studies</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57-64.</w:t>
      </w:r>
    </w:p>
    <w:p w14:paraId="6F8FBEBD" w14:textId="6C695CDB" w:rsidR="007757B0"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Funk, L., (2012). 'Returning the love', not 'balancing the books': talk about delayed reciprocity in supporting ageing parents. </w:t>
      </w:r>
      <w:r w:rsidRPr="00F853DD">
        <w:rPr>
          <w:rFonts w:ascii="Times" w:hAnsi="Times" w:cs="Times New Roman"/>
          <w:i/>
          <w:sz w:val="23"/>
          <w:szCs w:val="23"/>
        </w:rPr>
        <w:t>Ageing and Society</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32</w:t>
      </w:r>
      <w:r w:rsidRPr="00F853DD">
        <w:rPr>
          <w:rFonts w:ascii="Times" w:hAnsi="Times" w:cs="Times New Roman"/>
          <w:sz w:val="23"/>
          <w:szCs w:val="23"/>
        </w:rPr>
        <w:t>, 634-654.</w:t>
      </w:r>
    </w:p>
    <w:p w14:paraId="7895594F" w14:textId="50105AE7" w:rsidR="007757B0" w:rsidRPr="00F853DD" w:rsidRDefault="007757B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Funk, L., (2015). Constructing the meaning of filial responsibility: choice and obligation in the accounts of adult children. </w:t>
      </w:r>
      <w:r w:rsidRPr="00F853DD">
        <w:rPr>
          <w:rFonts w:ascii="Times" w:hAnsi="Times" w:cs="Times New Roman"/>
          <w:i/>
          <w:sz w:val="23"/>
          <w:szCs w:val="23"/>
        </w:rPr>
        <w:t>Families Relationships and Societies</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w:t>
      </w:r>
      <w:r w:rsidRPr="00F853DD">
        <w:rPr>
          <w:rFonts w:ascii="Times" w:hAnsi="Times" w:cs="Times New Roman"/>
          <w:sz w:val="23"/>
          <w:szCs w:val="23"/>
        </w:rPr>
        <w:t>, 383-399.</w:t>
      </w:r>
    </w:p>
    <w:p w14:paraId="6B88D41E" w14:textId="1B5AF4A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Fyrand, L. (2010). Reciprocity: </w:t>
      </w:r>
      <w:r w:rsidR="00AF37BB" w:rsidRPr="00F853DD">
        <w:rPr>
          <w:rFonts w:ascii="Times" w:hAnsi="Times" w:cs="Times New Roman"/>
          <w:sz w:val="23"/>
          <w:szCs w:val="23"/>
        </w:rPr>
        <w:t>a</w:t>
      </w:r>
      <w:r w:rsidRPr="00F853DD">
        <w:rPr>
          <w:rFonts w:ascii="Times" w:hAnsi="Times" w:cs="Times New Roman"/>
          <w:sz w:val="23"/>
          <w:szCs w:val="23"/>
        </w:rPr>
        <w:t xml:space="preserve"> predictor of mental health and continuity in elderly people's relationships? A Review [online]. </w:t>
      </w:r>
      <w:r w:rsidRPr="00F853DD">
        <w:rPr>
          <w:rFonts w:ascii="Times" w:hAnsi="Times" w:cs="Times New Roman"/>
          <w:i/>
          <w:sz w:val="23"/>
          <w:szCs w:val="23"/>
        </w:rPr>
        <w:t>Current</w:t>
      </w:r>
      <w:r w:rsidRPr="00F853DD">
        <w:rPr>
          <w:rFonts w:ascii="Times" w:hAnsi="Times" w:cs="Times New Roman"/>
          <w:sz w:val="23"/>
          <w:szCs w:val="23"/>
        </w:rPr>
        <w:t xml:space="preserve"> </w:t>
      </w:r>
      <w:r w:rsidRPr="00F853DD">
        <w:rPr>
          <w:rFonts w:ascii="Times" w:hAnsi="Times" w:cs="Times New Roman"/>
          <w:i/>
          <w:sz w:val="23"/>
          <w:szCs w:val="23"/>
        </w:rPr>
        <w:t>Gerontology and Geriatrics Research</w:t>
      </w:r>
      <w:r w:rsidRPr="00F853DD">
        <w:rPr>
          <w:rFonts w:ascii="Times" w:hAnsi="Times" w:cs="Times New Roman"/>
          <w:sz w:val="23"/>
          <w:szCs w:val="23"/>
        </w:rPr>
        <w:t xml:space="preserve">. Available from: https://www.hindawi.com/journals/cggr/2010/340161/. </w:t>
      </w:r>
    </w:p>
    <w:p w14:paraId="7B3E7FA7" w14:textId="4C97BA58"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Gaines, S., Marelich, W., Bledsoe, K., Steers, W., Henderson, M., Granrose, C.</w:t>
      </w:r>
      <w:r w:rsidR="00DF05BD" w:rsidRPr="00F853DD">
        <w:rPr>
          <w:rFonts w:ascii="Times" w:hAnsi="Times" w:cs="Times New Roman"/>
          <w:sz w:val="23"/>
          <w:szCs w:val="23"/>
        </w:rPr>
        <w:t>, Barãjas, L., Hicks, D., Lyde, M., Takahashi, Y., Yu</w:t>
      </w:r>
      <w:r w:rsidRPr="00F853DD">
        <w:rPr>
          <w:rFonts w:ascii="Times" w:hAnsi="Times" w:cs="Times New Roman"/>
          <w:sz w:val="23"/>
          <w:szCs w:val="23"/>
        </w:rPr>
        <w:t>m, N., Rios, D., Garciã, B., Farris, K. and Page, M.,</w:t>
      </w:r>
      <w:r w:rsidR="00DF05BD" w:rsidRPr="00F853DD">
        <w:rPr>
          <w:rFonts w:ascii="Times" w:hAnsi="Times" w:cs="Times New Roman"/>
          <w:sz w:val="23"/>
          <w:szCs w:val="23"/>
        </w:rPr>
        <w:t xml:space="preserve"> (1997). Links between race/ethnicity and cultural values as mediated by racial/ethnic identity and moderated by gender. </w:t>
      </w:r>
      <w:r w:rsidR="00DF05BD" w:rsidRPr="00F853DD">
        <w:rPr>
          <w:rFonts w:ascii="Times" w:hAnsi="Times" w:cs="Times New Roman"/>
          <w:i/>
          <w:sz w:val="23"/>
          <w:szCs w:val="23"/>
        </w:rPr>
        <w:t>Journal of Personality and Social Psychology</w:t>
      </w:r>
      <w:r w:rsidR="00AF37BB"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72</w:t>
      </w:r>
      <w:r w:rsidR="00DF05BD" w:rsidRPr="00F853DD">
        <w:rPr>
          <w:rFonts w:ascii="Times" w:hAnsi="Times" w:cs="Times New Roman"/>
          <w:sz w:val="23"/>
          <w:szCs w:val="23"/>
        </w:rPr>
        <w:t>, 1460-1476.</w:t>
      </w:r>
    </w:p>
    <w:p w14:paraId="27B41425" w14:textId="3D47D2E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Gallagher, R., Donoghue, J., Chenoweth, L. and Stein-Parbury, J.</w:t>
      </w:r>
      <w:r w:rsidR="00E735D9" w:rsidRPr="00F853DD">
        <w:rPr>
          <w:rFonts w:ascii="Times" w:hAnsi="Times" w:cs="Times New Roman"/>
          <w:sz w:val="23"/>
          <w:szCs w:val="23"/>
        </w:rPr>
        <w:t>,</w:t>
      </w:r>
      <w:r w:rsidRPr="00F853DD">
        <w:rPr>
          <w:rFonts w:ascii="Times" w:hAnsi="Times" w:cs="Times New Roman"/>
          <w:sz w:val="23"/>
          <w:szCs w:val="23"/>
        </w:rPr>
        <w:t xml:space="preserve"> (2008). Self-management in older patients with chronic illness. </w:t>
      </w:r>
      <w:r w:rsidRPr="00F853DD">
        <w:rPr>
          <w:rFonts w:ascii="Times" w:hAnsi="Times" w:cs="Times New Roman"/>
          <w:i/>
          <w:sz w:val="23"/>
          <w:szCs w:val="23"/>
        </w:rPr>
        <w:t>International Journal of Nursing Practice</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373-382.</w:t>
      </w:r>
    </w:p>
    <w:p w14:paraId="42758743" w14:textId="42EE51A8"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lastRenderedPageBreak/>
        <w:t>Gallagher-Thompson, D., Solano, N., Coon, D. and Areãn, P.</w:t>
      </w:r>
      <w:r w:rsidR="00E735D9" w:rsidRPr="00F853DD">
        <w:rPr>
          <w:rFonts w:ascii="Times" w:hAnsi="Times" w:cs="Times New Roman"/>
          <w:sz w:val="23"/>
          <w:szCs w:val="23"/>
        </w:rPr>
        <w:t>,</w:t>
      </w:r>
      <w:r w:rsidRPr="00F853DD">
        <w:rPr>
          <w:rFonts w:ascii="Times" w:hAnsi="Times" w:cs="Times New Roman"/>
          <w:sz w:val="23"/>
          <w:szCs w:val="23"/>
        </w:rPr>
        <w:t xml:space="preserve"> (2003). Recruitment and retention of Latino dementia family caregi</w:t>
      </w:r>
      <w:r w:rsidR="00AF37BB" w:rsidRPr="00F853DD">
        <w:rPr>
          <w:rFonts w:ascii="Times" w:hAnsi="Times" w:cs="Times New Roman"/>
          <w:sz w:val="23"/>
          <w:szCs w:val="23"/>
        </w:rPr>
        <w:t>vers in intervention research: issues to face, l</w:t>
      </w:r>
      <w:r w:rsidRPr="00F853DD">
        <w:rPr>
          <w:rFonts w:ascii="Times" w:hAnsi="Times" w:cs="Times New Roman"/>
          <w:sz w:val="23"/>
          <w:szCs w:val="23"/>
        </w:rPr>
        <w:t xml:space="preserve">essons to learn. </w:t>
      </w:r>
      <w:r w:rsidRPr="00F853DD">
        <w:rPr>
          <w:rFonts w:ascii="Times" w:hAnsi="Times" w:cs="Times New Roman"/>
          <w:i/>
          <w:sz w:val="23"/>
          <w:szCs w:val="23"/>
          <w:lang w:val="en-TT"/>
        </w:rPr>
        <w:t>The Gerontologist</w:t>
      </w:r>
      <w:r w:rsidRPr="00F853DD">
        <w:rPr>
          <w:rFonts w:ascii="Times" w:hAnsi="Times" w:cs="Times New Roman"/>
          <w:sz w:val="23"/>
          <w:szCs w:val="23"/>
          <w:lang w:val="en-TT"/>
        </w:rPr>
        <w:t xml:space="preserve">, </w:t>
      </w:r>
      <w:r w:rsidRPr="00F853DD">
        <w:rPr>
          <w:rFonts w:ascii="Times" w:hAnsi="Times" w:cs="Times New Roman"/>
          <w:b/>
          <w:sz w:val="23"/>
          <w:szCs w:val="23"/>
          <w:lang w:val="en-TT"/>
        </w:rPr>
        <w:t>43</w:t>
      </w:r>
      <w:r w:rsidR="00AF37BB" w:rsidRPr="00F853DD">
        <w:rPr>
          <w:rFonts w:ascii="Times" w:hAnsi="Times" w:cs="Times New Roman"/>
          <w:sz w:val="23"/>
          <w:szCs w:val="23"/>
          <w:lang w:val="en-TT"/>
        </w:rPr>
        <w:t>.</w:t>
      </w:r>
      <w:r w:rsidRPr="00F853DD">
        <w:rPr>
          <w:rFonts w:ascii="Times" w:hAnsi="Times" w:cs="Times New Roman"/>
          <w:sz w:val="23"/>
          <w:szCs w:val="23"/>
          <w:lang w:val="en-TT"/>
        </w:rPr>
        <w:t xml:space="preserve"> 45-51.</w:t>
      </w:r>
    </w:p>
    <w:p w14:paraId="31D2FB8B" w14:textId="0B683CB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Gallego-Alberto, L., Losada, A., Marquez-Gonzalez, M., Romero-Moreno, R. and Vara, C.</w:t>
      </w:r>
      <w:r w:rsidR="00E735D9" w:rsidRPr="00F853DD">
        <w:rPr>
          <w:rFonts w:ascii="Times" w:hAnsi="Times" w:cs="Times New Roman"/>
          <w:sz w:val="23"/>
          <w:szCs w:val="23"/>
          <w:lang w:val="en-TT"/>
        </w:rPr>
        <w:t>,</w:t>
      </w:r>
      <w:r w:rsidRPr="00F853DD">
        <w:rPr>
          <w:rFonts w:ascii="Times" w:hAnsi="Times" w:cs="Times New Roman"/>
          <w:sz w:val="23"/>
          <w:szCs w:val="23"/>
          <w:lang w:val="en-TT"/>
        </w:rPr>
        <w:t xml:space="preserve"> (2017). </w:t>
      </w:r>
      <w:r w:rsidRPr="00F853DD">
        <w:rPr>
          <w:rFonts w:ascii="Times" w:hAnsi="Times" w:cs="Times New Roman"/>
          <w:sz w:val="23"/>
          <w:szCs w:val="23"/>
        </w:rPr>
        <w:t xml:space="preserve">Commitment to personal values and guilt feelings in dementia caregivers. </w:t>
      </w:r>
      <w:r w:rsidRPr="00F853DD">
        <w:rPr>
          <w:rFonts w:ascii="Times" w:hAnsi="Times" w:cs="Times New Roman"/>
          <w:i/>
          <w:sz w:val="23"/>
          <w:szCs w:val="23"/>
        </w:rPr>
        <w:t>International Psychogeriatrics</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57-65.</w:t>
      </w:r>
    </w:p>
    <w:p w14:paraId="0608D40C" w14:textId="0A56A1E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Gans, D., Schiamberg, L. B. and Gans, D.</w:t>
      </w:r>
      <w:r w:rsidR="00E735D9" w:rsidRPr="00F853DD">
        <w:rPr>
          <w:rFonts w:ascii="Times" w:hAnsi="Times" w:cs="Times New Roman"/>
          <w:sz w:val="23"/>
          <w:szCs w:val="23"/>
        </w:rPr>
        <w:t>,</w:t>
      </w:r>
      <w:r w:rsidRPr="00F853DD">
        <w:rPr>
          <w:rFonts w:ascii="Times" w:hAnsi="Times" w:cs="Times New Roman"/>
          <w:sz w:val="23"/>
          <w:szCs w:val="23"/>
        </w:rPr>
        <w:t xml:space="preserve"> (2000). Elder abuse by adult children: an applied ecological framework for understanding contextual risk factors and the intergenerational character of quality of life. </w:t>
      </w:r>
      <w:r w:rsidRPr="00F853DD">
        <w:rPr>
          <w:rFonts w:ascii="Times" w:hAnsi="Times" w:cs="Times New Roman"/>
          <w:i/>
          <w:sz w:val="23"/>
          <w:szCs w:val="23"/>
        </w:rPr>
        <w:t>The International Journal of Aging and Human Development</w:t>
      </w:r>
      <w:r w:rsidR="00AF37B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50</w:t>
      </w:r>
      <w:r w:rsidRPr="00F853DD">
        <w:rPr>
          <w:rFonts w:ascii="Times" w:hAnsi="Times" w:cs="Times New Roman"/>
          <w:sz w:val="23"/>
          <w:szCs w:val="23"/>
        </w:rPr>
        <w:t>, 329-359.</w:t>
      </w:r>
    </w:p>
    <w:p w14:paraId="1BBB8DF4" w14:textId="7ED8752D"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Gans, D., Yang, F.</w:t>
      </w:r>
      <w:r w:rsidR="00DF05BD" w:rsidRPr="00F853DD">
        <w:rPr>
          <w:rFonts w:ascii="Times" w:hAnsi="Times" w:cs="Times New Roman"/>
          <w:sz w:val="23"/>
          <w:szCs w:val="23"/>
        </w:rPr>
        <w:t xml:space="preserve"> and Silverstein, M.</w:t>
      </w:r>
      <w:r w:rsidRPr="00F853DD">
        <w:rPr>
          <w:rFonts w:ascii="Times" w:hAnsi="Times" w:cs="Times New Roman"/>
          <w:sz w:val="23"/>
          <w:szCs w:val="23"/>
        </w:rPr>
        <w:t>,</w:t>
      </w:r>
      <w:r w:rsidR="00017A05" w:rsidRPr="00F853DD">
        <w:rPr>
          <w:rFonts w:ascii="Times" w:hAnsi="Times" w:cs="Times New Roman"/>
          <w:sz w:val="23"/>
          <w:szCs w:val="23"/>
        </w:rPr>
        <w:t xml:space="preserve"> (2006). Intergenerational support to aging p</w:t>
      </w:r>
      <w:r w:rsidR="00DF05BD" w:rsidRPr="00F853DD">
        <w:rPr>
          <w:rFonts w:ascii="Times" w:hAnsi="Times" w:cs="Times New Roman"/>
          <w:sz w:val="23"/>
          <w:szCs w:val="23"/>
        </w:rPr>
        <w:t xml:space="preserve">arents. </w:t>
      </w:r>
      <w:r w:rsidR="00DF05BD" w:rsidRPr="00F853DD">
        <w:rPr>
          <w:rFonts w:ascii="Times" w:hAnsi="Times" w:cs="Times New Roman"/>
          <w:i/>
          <w:sz w:val="23"/>
          <w:szCs w:val="23"/>
        </w:rPr>
        <w:t>Journal of Family Issues</w:t>
      </w:r>
      <w:r w:rsidR="00AF37BB"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1068-1084.</w:t>
      </w:r>
    </w:p>
    <w:p w14:paraId="054188F5" w14:textId="0D9AFB38"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Ganzer, C. and England, S.,</w:t>
      </w:r>
      <w:r w:rsidR="00DF05BD" w:rsidRPr="00F853DD">
        <w:rPr>
          <w:rFonts w:ascii="Times" w:hAnsi="Times" w:cs="Times New Roman"/>
          <w:sz w:val="23"/>
          <w:szCs w:val="23"/>
        </w:rPr>
        <w:t xml:space="preserve"> (1994). Alzheimer's care and service utilization. </w:t>
      </w:r>
      <w:r w:rsidR="00DF05BD" w:rsidRPr="00F853DD">
        <w:rPr>
          <w:rFonts w:ascii="Times" w:hAnsi="Times" w:cs="Times New Roman"/>
          <w:i/>
          <w:sz w:val="23"/>
          <w:szCs w:val="23"/>
        </w:rPr>
        <w:t>Health and Social Work</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 174-181.</w:t>
      </w:r>
    </w:p>
    <w:p w14:paraId="3E2FE523" w14:textId="7D3E4523"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Garcia-Dia, M., Dinapoli, J.</w:t>
      </w:r>
      <w:r w:rsidR="00DF05BD" w:rsidRPr="00F853DD">
        <w:rPr>
          <w:rFonts w:ascii="Times" w:hAnsi="Times" w:cs="Times New Roman"/>
          <w:sz w:val="23"/>
          <w:szCs w:val="23"/>
        </w:rPr>
        <w:t>, Garcia-Ona, L., Jakubowski, R. and O’Flaherty, D.</w:t>
      </w:r>
      <w:r w:rsidRPr="00F853DD">
        <w:rPr>
          <w:rFonts w:ascii="Times" w:hAnsi="Times" w:cs="Times New Roman"/>
          <w:sz w:val="23"/>
          <w:szCs w:val="23"/>
        </w:rPr>
        <w:t>,</w:t>
      </w:r>
      <w:r w:rsidR="00DF05BD" w:rsidRPr="00F853DD">
        <w:rPr>
          <w:rFonts w:ascii="Times" w:hAnsi="Times" w:cs="Times New Roman"/>
          <w:sz w:val="23"/>
          <w:szCs w:val="23"/>
        </w:rPr>
        <w:t xml:space="preserve"> (2013). Concept </w:t>
      </w:r>
      <w:r w:rsidR="00017A05" w:rsidRPr="00F853DD">
        <w:rPr>
          <w:rFonts w:ascii="Times" w:hAnsi="Times" w:cs="Times New Roman"/>
          <w:sz w:val="23"/>
          <w:szCs w:val="23"/>
        </w:rPr>
        <w:t>analysis: r</w:t>
      </w:r>
      <w:r w:rsidR="00DF05BD" w:rsidRPr="00F853DD">
        <w:rPr>
          <w:rFonts w:ascii="Times" w:hAnsi="Times" w:cs="Times New Roman"/>
          <w:sz w:val="23"/>
          <w:szCs w:val="23"/>
        </w:rPr>
        <w:t xml:space="preserve">esilience. </w:t>
      </w:r>
      <w:r w:rsidR="00DF05BD" w:rsidRPr="00F853DD">
        <w:rPr>
          <w:rFonts w:ascii="Times" w:hAnsi="Times" w:cs="Times New Roman"/>
          <w:i/>
          <w:sz w:val="23"/>
          <w:szCs w:val="23"/>
        </w:rPr>
        <w:t>Archives of Psychiatric Nursing</w:t>
      </w:r>
      <w:r w:rsidR="00017A05"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264-270.</w:t>
      </w:r>
    </w:p>
    <w:p w14:paraId="4E764A27" w14:textId="6DB4B4B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Garcia-Willix, D. and Sferrazza, P.</w:t>
      </w:r>
      <w:r w:rsidR="00E735D9" w:rsidRPr="00F853DD">
        <w:rPr>
          <w:rFonts w:ascii="Times" w:hAnsi="Times" w:cs="Times New Roman"/>
          <w:sz w:val="23"/>
          <w:szCs w:val="23"/>
        </w:rPr>
        <w:t>,</w:t>
      </w:r>
      <w:r w:rsidRPr="00F853DD">
        <w:rPr>
          <w:rFonts w:ascii="Times" w:hAnsi="Times" w:cs="Times New Roman"/>
          <w:sz w:val="23"/>
          <w:szCs w:val="23"/>
        </w:rPr>
        <w:t xml:space="preserve"> (2010). Research and nursing theory on family caregiving. </w:t>
      </w:r>
      <w:r w:rsidRPr="00F853DD">
        <w:rPr>
          <w:rFonts w:ascii="Times" w:hAnsi="Times" w:cs="Times New Roman"/>
          <w:i/>
          <w:sz w:val="23"/>
          <w:szCs w:val="23"/>
        </w:rPr>
        <w:t>Home Healthcare Nurse</w:t>
      </w:r>
      <w:r w:rsidR="00017A05"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 264-9.</w:t>
      </w:r>
    </w:p>
    <w:p w14:paraId="2B079D3A" w14:textId="760A8C75"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Gassoumis, Z., Navarro, A.</w:t>
      </w:r>
      <w:r w:rsidR="00DF05BD" w:rsidRPr="00F853DD">
        <w:rPr>
          <w:rFonts w:ascii="Times" w:hAnsi="Times" w:cs="Times New Roman"/>
          <w:sz w:val="23"/>
          <w:szCs w:val="23"/>
        </w:rPr>
        <w:t xml:space="preserve"> and Wilber, K</w:t>
      </w:r>
      <w:r w:rsidRPr="00F853DD">
        <w:rPr>
          <w:rFonts w:ascii="Times" w:hAnsi="Times" w:cs="Times New Roman"/>
          <w:sz w:val="23"/>
          <w:szCs w:val="23"/>
        </w:rPr>
        <w:t>.,</w:t>
      </w:r>
      <w:r w:rsidR="00DF05BD" w:rsidRPr="00F853DD">
        <w:rPr>
          <w:rFonts w:ascii="Times" w:hAnsi="Times" w:cs="Times New Roman"/>
          <w:sz w:val="23"/>
          <w:szCs w:val="23"/>
        </w:rPr>
        <w:t xml:space="preserve"> (2015). Protecting victims of elder financial exploitation: the role of an elder abuse forensic center in referring victims for conservatorship. </w:t>
      </w:r>
      <w:r w:rsidR="00DF05BD" w:rsidRPr="00F853DD">
        <w:rPr>
          <w:rFonts w:ascii="Times" w:hAnsi="Times" w:cs="Times New Roman"/>
          <w:i/>
          <w:sz w:val="23"/>
          <w:szCs w:val="23"/>
        </w:rPr>
        <w:t>Aging and Mental Health</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 790-798.</w:t>
      </w:r>
    </w:p>
    <w:p w14:paraId="5E27727D" w14:textId="6A079A6E"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Gaugler, J. and Kane, R.,</w:t>
      </w:r>
      <w:r w:rsidR="00DF05BD" w:rsidRPr="00F853DD">
        <w:rPr>
          <w:rFonts w:ascii="Times" w:hAnsi="Times" w:cs="Times New Roman"/>
          <w:sz w:val="23"/>
          <w:szCs w:val="23"/>
        </w:rPr>
        <w:t xml:space="preserve"> (2007). Families and assisted living. </w:t>
      </w:r>
      <w:r w:rsidR="00DF05BD" w:rsidRPr="00F853DD">
        <w:rPr>
          <w:rFonts w:ascii="Times" w:hAnsi="Times" w:cs="Times New Roman"/>
          <w:i/>
          <w:sz w:val="23"/>
          <w:szCs w:val="23"/>
        </w:rPr>
        <w:t>Gerontologist</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47</w:t>
      </w:r>
      <w:r w:rsidR="00DF05BD" w:rsidRPr="00F853DD">
        <w:rPr>
          <w:rFonts w:ascii="Times" w:hAnsi="Times" w:cs="Times New Roman"/>
          <w:sz w:val="23"/>
          <w:szCs w:val="23"/>
        </w:rPr>
        <w:t>, 83-99.</w:t>
      </w:r>
    </w:p>
    <w:p w14:paraId="2A601CFF" w14:textId="17093C60"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Gaugler, J., Kane, R.</w:t>
      </w:r>
      <w:r w:rsidR="00DF05BD" w:rsidRPr="00F853DD">
        <w:rPr>
          <w:rFonts w:ascii="Times" w:hAnsi="Times" w:cs="Times New Roman"/>
          <w:sz w:val="23"/>
          <w:szCs w:val="23"/>
        </w:rPr>
        <w:t xml:space="preserve"> and Newcomer, R.</w:t>
      </w:r>
      <w:r w:rsidRPr="00F853DD">
        <w:rPr>
          <w:rFonts w:ascii="Times" w:hAnsi="Times" w:cs="Times New Roman"/>
          <w:sz w:val="23"/>
          <w:szCs w:val="23"/>
        </w:rPr>
        <w:t>,</w:t>
      </w:r>
      <w:r w:rsidR="00DF05BD" w:rsidRPr="00F853DD">
        <w:rPr>
          <w:rFonts w:ascii="Times" w:hAnsi="Times" w:cs="Times New Roman"/>
          <w:sz w:val="23"/>
          <w:szCs w:val="23"/>
        </w:rPr>
        <w:t xml:space="preserve"> (2007). Resilience and transitions from dementia caregiving. </w:t>
      </w:r>
      <w:r w:rsidR="00DF05BD" w:rsidRPr="00F853DD">
        <w:rPr>
          <w:rFonts w:ascii="Times" w:hAnsi="Times" w:cs="Times New Roman"/>
          <w:i/>
          <w:sz w:val="23"/>
          <w:szCs w:val="23"/>
        </w:rPr>
        <w:t>Journals of Gerontology Series B-Psychological Sciences and Social Sciences</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62</w:t>
      </w:r>
      <w:r w:rsidR="00DF05BD" w:rsidRPr="00F853DD">
        <w:rPr>
          <w:rFonts w:ascii="Times" w:hAnsi="Times" w:cs="Times New Roman"/>
          <w:sz w:val="23"/>
          <w:szCs w:val="23"/>
        </w:rPr>
        <w:t>, 38-44.</w:t>
      </w:r>
    </w:p>
    <w:p w14:paraId="44453894" w14:textId="23C7539F"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Gaugler, J., Zarit, S.</w:t>
      </w:r>
      <w:r w:rsidR="00DF05BD" w:rsidRPr="00F853DD">
        <w:rPr>
          <w:rFonts w:ascii="Times" w:hAnsi="Times" w:cs="Times New Roman"/>
          <w:sz w:val="23"/>
          <w:szCs w:val="23"/>
        </w:rPr>
        <w:t xml:space="preserve"> and Pe</w:t>
      </w:r>
      <w:r w:rsidRPr="00F853DD">
        <w:rPr>
          <w:rFonts w:ascii="Times" w:hAnsi="Times" w:cs="Times New Roman"/>
          <w:sz w:val="23"/>
          <w:szCs w:val="23"/>
        </w:rPr>
        <w:t>arlin, L.,</w:t>
      </w:r>
      <w:r w:rsidR="00DF05BD" w:rsidRPr="00F853DD">
        <w:rPr>
          <w:rFonts w:ascii="Times" w:hAnsi="Times" w:cs="Times New Roman"/>
          <w:sz w:val="23"/>
          <w:szCs w:val="23"/>
        </w:rPr>
        <w:t xml:space="preserve"> (2003)a. Family involvement following institutionalization: Modeling nursing home visits over time. </w:t>
      </w:r>
      <w:r w:rsidR="00DF05BD" w:rsidRPr="00F853DD">
        <w:rPr>
          <w:rFonts w:ascii="Times" w:hAnsi="Times" w:cs="Times New Roman"/>
          <w:i/>
          <w:sz w:val="23"/>
          <w:szCs w:val="23"/>
        </w:rPr>
        <w:t>International Journal of Aging and Human Development</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57</w:t>
      </w:r>
      <w:r w:rsidR="00DF05BD" w:rsidRPr="00F853DD">
        <w:rPr>
          <w:rFonts w:ascii="Times" w:hAnsi="Times" w:cs="Times New Roman"/>
          <w:sz w:val="23"/>
          <w:szCs w:val="23"/>
        </w:rPr>
        <w:t>, 91-117.</w:t>
      </w:r>
    </w:p>
    <w:p w14:paraId="2E986CB8" w14:textId="1217B5B8"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Gaugler, J., Zarit, S. and Pearlin, L.,</w:t>
      </w:r>
      <w:r w:rsidR="00DF05BD" w:rsidRPr="00F853DD">
        <w:rPr>
          <w:rFonts w:ascii="Times" w:hAnsi="Times" w:cs="Times New Roman"/>
          <w:sz w:val="23"/>
          <w:szCs w:val="23"/>
        </w:rPr>
        <w:t xml:space="preserve"> (2003)b. The onset of dementia caregiving and its longitudinal implications. </w:t>
      </w:r>
      <w:r w:rsidR="00DF05BD" w:rsidRPr="00F853DD">
        <w:rPr>
          <w:rFonts w:ascii="Times" w:hAnsi="Times" w:cs="Times New Roman"/>
          <w:i/>
          <w:sz w:val="23"/>
          <w:szCs w:val="23"/>
        </w:rPr>
        <w:t>Psychology and Aging</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DF05BD" w:rsidRPr="00F853DD">
        <w:rPr>
          <w:rFonts w:ascii="Times" w:hAnsi="Times" w:cs="Times New Roman"/>
          <w:sz w:val="23"/>
          <w:szCs w:val="23"/>
        </w:rPr>
        <w:t>, 171-180.</w:t>
      </w:r>
    </w:p>
    <w:p w14:paraId="288F985A" w14:textId="119BF59A"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Gavrilov, L.</w:t>
      </w:r>
      <w:r w:rsidR="00DF05BD" w:rsidRPr="00F853DD">
        <w:rPr>
          <w:rFonts w:ascii="Times" w:hAnsi="Times" w:cs="Times New Roman"/>
          <w:sz w:val="23"/>
          <w:szCs w:val="23"/>
        </w:rPr>
        <w:t xml:space="preserve"> and Heuveline, P.</w:t>
      </w:r>
      <w:r w:rsidRPr="00F853DD">
        <w:rPr>
          <w:rFonts w:ascii="Times" w:hAnsi="Times" w:cs="Times New Roman"/>
          <w:sz w:val="23"/>
          <w:szCs w:val="23"/>
        </w:rPr>
        <w:t>,</w:t>
      </w:r>
      <w:r w:rsidR="00017A05" w:rsidRPr="00F853DD">
        <w:rPr>
          <w:rFonts w:ascii="Times" w:hAnsi="Times" w:cs="Times New Roman"/>
          <w:sz w:val="23"/>
          <w:szCs w:val="23"/>
        </w:rPr>
        <w:t xml:space="preserve"> (2003). Aging of p</w:t>
      </w:r>
      <w:r w:rsidR="00DF05BD" w:rsidRPr="00F853DD">
        <w:rPr>
          <w:rFonts w:ascii="Times" w:hAnsi="Times" w:cs="Times New Roman"/>
          <w:sz w:val="23"/>
          <w:szCs w:val="23"/>
        </w:rPr>
        <w:t xml:space="preserve">opulation. In: Demeny, P. and Mcnicoll, G. (eds.) </w:t>
      </w:r>
      <w:r w:rsidR="00DF05BD" w:rsidRPr="00F853DD">
        <w:rPr>
          <w:rFonts w:ascii="Times" w:hAnsi="Times" w:cs="Times New Roman"/>
          <w:i/>
          <w:sz w:val="23"/>
          <w:szCs w:val="23"/>
        </w:rPr>
        <w:t>The Encyclopedia of Population</w:t>
      </w:r>
      <w:r w:rsidR="00DF05BD" w:rsidRPr="00F853DD">
        <w:rPr>
          <w:rFonts w:ascii="Times" w:hAnsi="Times" w:cs="Times New Roman"/>
          <w:sz w:val="23"/>
          <w:szCs w:val="23"/>
        </w:rPr>
        <w:t>. New York, USA: Macmillan Reference.</w:t>
      </w:r>
    </w:p>
    <w:p w14:paraId="27D46F71" w14:textId="52C5A2B0" w:rsidR="00DF05BD" w:rsidRPr="00F853DD" w:rsidRDefault="00DF05BD" w:rsidP="00E1694A">
      <w:pPr>
        <w:pStyle w:val="NoSpacing"/>
        <w:ind w:left="567" w:hanging="567"/>
        <w:rPr>
          <w:rFonts w:ascii="Times" w:eastAsia="Times New Roman" w:hAnsi="Times" w:cs="Times New Roman"/>
          <w:sz w:val="23"/>
          <w:szCs w:val="23"/>
          <w:lang w:eastAsia="en-GB"/>
        </w:rPr>
      </w:pPr>
      <w:r w:rsidRPr="00F853DD">
        <w:rPr>
          <w:rFonts w:ascii="Times" w:hAnsi="Times" w:cs="Times New Roman"/>
          <w:sz w:val="23"/>
          <w:szCs w:val="23"/>
          <w:lang w:eastAsia="en-GB"/>
        </w:rPr>
        <w:t>Gecas, V.</w:t>
      </w:r>
      <w:r w:rsidR="00E735D9" w:rsidRPr="00F853DD">
        <w:rPr>
          <w:rFonts w:ascii="Times" w:hAnsi="Times" w:cs="Times New Roman"/>
          <w:sz w:val="23"/>
          <w:szCs w:val="23"/>
          <w:lang w:eastAsia="en-GB"/>
        </w:rPr>
        <w:t>,</w:t>
      </w:r>
      <w:r w:rsidR="00017A05" w:rsidRPr="00F853DD">
        <w:rPr>
          <w:rFonts w:ascii="Times" w:hAnsi="Times" w:cs="Times New Roman"/>
          <w:sz w:val="23"/>
          <w:szCs w:val="23"/>
          <w:lang w:eastAsia="en-GB"/>
        </w:rPr>
        <w:t xml:space="preserve"> (1989). The social psychology of s</w:t>
      </w:r>
      <w:r w:rsidRPr="00F853DD">
        <w:rPr>
          <w:rFonts w:ascii="Times" w:hAnsi="Times" w:cs="Times New Roman"/>
          <w:sz w:val="23"/>
          <w:szCs w:val="23"/>
          <w:lang w:eastAsia="en-GB"/>
        </w:rPr>
        <w:t>elf-</w:t>
      </w:r>
      <w:r w:rsidR="00017A05" w:rsidRPr="00F853DD">
        <w:rPr>
          <w:rFonts w:ascii="Times" w:hAnsi="Times" w:cs="Times New Roman"/>
          <w:sz w:val="23"/>
          <w:szCs w:val="23"/>
          <w:lang w:eastAsia="en-GB"/>
        </w:rPr>
        <w:t>e</w:t>
      </w:r>
      <w:r w:rsidRPr="00F853DD">
        <w:rPr>
          <w:rFonts w:ascii="Times" w:hAnsi="Times" w:cs="Times New Roman"/>
          <w:sz w:val="23"/>
          <w:szCs w:val="23"/>
          <w:lang w:eastAsia="en-GB"/>
        </w:rPr>
        <w:t xml:space="preserve">fficacy. </w:t>
      </w:r>
      <w:r w:rsidRPr="00F853DD">
        <w:rPr>
          <w:rFonts w:ascii="Times" w:eastAsia="Times New Roman" w:hAnsi="Times" w:cs="Times New Roman"/>
          <w:i/>
          <w:sz w:val="23"/>
          <w:szCs w:val="23"/>
          <w:lang w:eastAsia="en-GB"/>
        </w:rPr>
        <w:t>Annual Review of Sociology</w:t>
      </w:r>
      <w:r w:rsidR="00017A05" w:rsidRPr="00F853DD">
        <w:rPr>
          <w:rFonts w:ascii="Times" w:eastAsia="Times New Roman" w:hAnsi="Times" w:cs="Times New Roman"/>
          <w:sz w:val="23"/>
          <w:szCs w:val="23"/>
          <w:lang w:eastAsia="en-GB"/>
        </w:rPr>
        <w:t>.</w:t>
      </w:r>
      <w:r w:rsidRPr="00F853DD">
        <w:rPr>
          <w:rFonts w:ascii="Times" w:eastAsia="Times New Roman" w:hAnsi="Times" w:cs="Times New Roman"/>
          <w:sz w:val="23"/>
          <w:szCs w:val="23"/>
          <w:lang w:eastAsia="en-GB"/>
        </w:rPr>
        <w:t xml:space="preserve"> </w:t>
      </w:r>
      <w:r w:rsidRPr="00F853DD">
        <w:rPr>
          <w:rFonts w:ascii="Times" w:eastAsia="Times New Roman" w:hAnsi="Times" w:cs="Times New Roman"/>
          <w:b/>
          <w:sz w:val="23"/>
          <w:szCs w:val="23"/>
          <w:lang w:eastAsia="en-GB"/>
        </w:rPr>
        <w:t>15</w:t>
      </w:r>
      <w:r w:rsidRPr="00F853DD">
        <w:rPr>
          <w:rFonts w:ascii="Times" w:eastAsia="Times New Roman" w:hAnsi="Times" w:cs="Times New Roman"/>
          <w:sz w:val="23"/>
          <w:szCs w:val="23"/>
          <w:lang w:eastAsia="en-GB"/>
        </w:rPr>
        <w:t>(1), 291-316.</w:t>
      </w:r>
    </w:p>
    <w:p w14:paraId="1BC4051D" w14:textId="585F2A53"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Gemmill, R., Williams, A.</w:t>
      </w:r>
      <w:r w:rsidR="00DF05BD" w:rsidRPr="00F853DD">
        <w:rPr>
          <w:rFonts w:ascii="Times" w:hAnsi="Times" w:cs="Times New Roman"/>
          <w:sz w:val="23"/>
          <w:szCs w:val="23"/>
        </w:rPr>
        <w:t>, Cooke, L. and Grant, M.</w:t>
      </w:r>
      <w:r w:rsidRPr="00F853DD">
        <w:rPr>
          <w:rFonts w:ascii="Times" w:hAnsi="Times" w:cs="Times New Roman"/>
          <w:sz w:val="23"/>
          <w:szCs w:val="23"/>
        </w:rPr>
        <w:t>,</w:t>
      </w:r>
      <w:r w:rsidR="00DF05BD" w:rsidRPr="00F853DD">
        <w:rPr>
          <w:rFonts w:ascii="Times" w:hAnsi="Times" w:cs="Times New Roman"/>
          <w:sz w:val="23"/>
          <w:szCs w:val="23"/>
        </w:rPr>
        <w:t xml:space="preserve"> (2012). Challenges and strategies for recruitment and retention of vul</w:t>
      </w:r>
      <w:r w:rsidR="00017A05" w:rsidRPr="00F853DD">
        <w:rPr>
          <w:rFonts w:ascii="Times" w:hAnsi="Times" w:cs="Times New Roman"/>
          <w:sz w:val="23"/>
          <w:szCs w:val="23"/>
        </w:rPr>
        <w:t>nerable research participants: p</w:t>
      </w:r>
      <w:r w:rsidR="00DF05BD" w:rsidRPr="00F853DD">
        <w:rPr>
          <w:rFonts w:ascii="Times" w:hAnsi="Times" w:cs="Times New Roman"/>
          <w:sz w:val="23"/>
          <w:szCs w:val="23"/>
        </w:rPr>
        <w:t xml:space="preserve">romoting the benefits of participation. </w:t>
      </w:r>
      <w:r w:rsidR="00DF05BD" w:rsidRPr="00F853DD">
        <w:rPr>
          <w:rFonts w:ascii="Times" w:hAnsi="Times" w:cs="Times New Roman"/>
          <w:i/>
          <w:sz w:val="23"/>
          <w:szCs w:val="23"/>
        </w:rPr>
        <w:t>Applied Nursing Research</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 101-107.</w:t>
      </w:r>
    </w:p>
    <w:p w14:paraId="4A04F2D1" w14:textId="47891CEE"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Genet, N., Boerma, W., Kringos, D., Bouman, A., Francke, A.</w:t>
      </w:r>
      <w:r w:rsidR="00DF05BD" w:rsidRPr="00F853DD">
        <w:rPr>
          <w:rFonts w:ascii="Times" w:hAnsi="Times" w:cs="Times New Roman"/>
          <w:sz w:val="23"/>
          <w:szCs w:val="23"/>
        </w:rPr>
        <w:t>, F</w:t>
      </w:r>
      <w:r w:rsidRPr="00F853DD">
        <w:rPr>
          <w:rFonts w:ascii="Times" w:hAnsi="Times" w:cs="Times New Roman"/>
          <w:sz w:val="23"/>
          <w:szCs w:val="23"/>
        </w:rPr>
        <w:t>agerstrom, C., Melchiorre, M.</w:t>
      </w:r>
      <w:r w:rsidR="00DF05BD" w:rsidRPr="00F853DD">
        <w:rPr>
          <w:rFonts w:ascii="Times" w:hAnsi="Times" w:cs="Times New Roman"/>
          <w:sz w:val="23"/>
          <w:szCs w:val="23"/>
        </w:rPr>
        <w:t>, Greco, C. and Deville, W.</w:t>
      </w:r>
      <w:r w:rsidRPr="00F853DD">
        <w:rPr>
          <w:rFonts w:ascii="Times" w:hAnsi="Times" w:cs="Times New Roman"/>
          <w:sz w:val="23"/>
          <w:szCs w:val="23"/>
        </w:rPr>
        <w:t>,</w:t>
      </w:r>
      <w:r w:rsidR="00DF05BD" w:rsidRPr="00F853DD">
        <w:rPr>
          <w:rFonts w:ascii="Times" w:hAnsi="Times" w:cs="Times New Roman"/>
          <w:sz w:val="23"/>
          <w:szCs w:val="23"/>
        </w:rPr>
        <w:t xml:space="preserve"> (2011). Home care in Europe: a systematic literature review. </w:t>
      </w:r>
      <w:r w:rsidR="00DF05BD" w:rsidRPr="00F853DD">
        <w:rPr>
          <w:rFonts w:ascii="Times" w:hAnsi="Times" w:cs="Times New Roman"/>
          <w:i/>
          <w:sz w:val="23"/>
          <w:szCs w:val="23"/>
        </w:rPr>
        <w:t>BMC Health Services Research</w:t>
      </w:r>
      <w:r w:rsidR="00DF05BD" w:rsidRPr="00F853DD">
        <w:rPr>
          <w:rFonts w:ascii="Times" w:hAnsi="Times" w:cs="Times New Roman"/>
          <w:sz w:val="23"/>
          <w:szCs w:val="23"/>
        </w:rPr>
        <w:t xml:space="preserve">, </w:t>
      </w:r>
      <w:r w:rsidR="00DF05BD" w:rsidRPr="00F853DD">
        <w:rPr>
          <w:rFonts w:ascii="Times" w:hAnsi="Times" w:cs="Times New Roman"/>
          <w:b/>
          <w:sz w:val="23"/>
          <w:szCs w:val="23"/>
        </w:rPr>
        <w:t>11</w:t>
      </w:r>
      <w:r w:rsidR="00DF05BD" w:rsidRPr="00F853DD">
        <w:rPr>
          <w:rFonts w:ascii="Times" w:hAnsi="Times" w:cs="Times New Roman"/>
          <w:sz w:val="23"/>
          <w:szCs w:val="23"/>
        </w:rPr>
        <w:t>, 14.</w:t>
      </w:r>
    </w:p>
    <w:p w14:paraId="3AE40821" w14:textId="55E7A1A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Genet, N.</w:t>
      </w:r>
      <w:r w:rsidR="00E735D9" w:rsidRPr="00F853DD">
        <w:rPr>
          <w:rFonts w:ascii="Times" w:hAnsi="Times" w:cs="Times New Roman"/>
          <w:sz w:val="23"/>
          <w:szCs w:val="23"/>
        </w:rPr>
        <w:t>,</w:t>
      </w:r>
      <w:r w:rsidRPr="00F853DD">
        <w:rPr>
          <w:rFonts w:ascii="Times" w:hAnsi="Times" w:cs="Times New Roman"/>
          <w:sz w:val="23"/>
          <w:szCs w:val="23"/>
        </w:rPr>
        <w:t xml:space="preserve"> (ed) (2012). Home care across Europe. </w:t>
      </w:r>
      <w:r w:rsidRPr="00F853DD">
        <w:rPr>
          <w:rFonts w:ascii="Times" w:hAnsi="Times" w:cs="Times New Roman"/>
          <w:i/>
          <w:sz w:val="23"/>
          <w:szCs w:val="23"/>
        </w:rPr>
        <w:t>European Observatory on Health Systems and Policies</w:t>
      </w:r>
      <w:r w:rsidR="00017A05" w:rsidRPr="00F853DD">
        <w:rPr>
          <w:rFonts w:ascii="Times" w:hAnsi="Times" w:cs="Times New Roman"/>
          <w:sz w:val="23"/>
          <w:szCs w:val="23"/>
        </w:rPr>
        <w:t xml:space="preserve"> [online]</w:t>
      </w:r>
      <w:r w:rsidRPr="00F853DD">
        <w:rPr>
          <w:rFonts w:ascii="Times" w:hAnsi="Times" w:cs="Times New Roman"/>
          <w:sz w:val="23"/>
          <w:szCs w:val="23"/>
        </w:rPr>
        <w:t xml:space="preserve">. [Viewed 10 November 2019]. Available from: http://www.euro.who.int/__data/assets/pdf_file/0008/181799/e96757.pdf </w:t>
      </w:r>
    </w:p>
    <w:p w14:paraId="5918A969" w14:textId="3603ECB5"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Gentner, D. and Markman, A.,</w:t>
      </w:r>
      <w:r w:rsidR="00DF05BD" w:rsidRPr="00F853DD">
        <w:rPr>
          <w:rFonts w:ascii="Times" w:hAnsi="Times" w:cs="Times New Roman"/>
          <w:sz w:val="23"/>
          <w:szCs w:val="23"/>
        </w:rPr>
        <w:t xml:space="preserve"> (1997). Structure mapping in analogy and similarity. </w:t>
      </w:r>
      <w:r w:rsidR="00DF05BD" w:rsidRPr="00F853DD">
        <w:rPr>
          <w:rFonts w:ascii="Times" w:hAnsi="Times" w:cs="Times New Roman"/>
          <w:i/>
          <w:sz w:val="23"/>
          <w:szCs w:val="23"/>
        </w:rPr>
        <w:t>American Psychologist</w:t>
      </w:r>
      <w:r w:rsidR="00017A05" w:rsidRPr="00F853DD">
        <w:rPr>
          <w:rFonts w:ascii="Times" w:hAnsi="Times" w:cs="Times New Roman"/>
          <w:sz w:val="23"/>
          <w:szCs w:val="23"/>
        </w:rPr>
        <w:t xml:space="preserve">. </w:t>
      </w:r>
      <w:r w:rsidR="00DF05BD" w:rsidRPr="00F853DD">
        <w:rPr>
          <w:rFonts w:ascii="Times" w:hAnsi="Times" w:cs="Times New Roman"/>
          <w:b/>
          <w:sz w:val="23"/>
          <w:szCs w:val="23"/>
        </w:rPr>
        <w:t>52</w:t>
      </w:r>
      <w:r w:rsidR="00DF05BD" w:rsidRPr="00F853DD">
        <w:rPr>
          <w:rFonts w:ascii="Times" w:hAnsi="Times" w:cs="Times New Roman"/>
          <w:sz w:val="23"/>
          <w:szCs w:val="23"/>
        </w:rPr>
        <w:t>, 45-56.</w:t>
      </w:r>
    </w:p>
    <w:p w14:paraId="22280FAA" w14:textId="469100B0" w:rsidR="00DF05BD" w:rsidRPr="00F853DD" w:rsidRDefault="00E735D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George, L.,</w:t>
      </w:r>
      <w:r w:rsidR="00DF05BD" w:rsidRPr="00F853DD">
        <w:rPr>
          <w:rFonts w:ascii="Times" w:hAnsi="Times" w:cs="Times New Roman"/>
          <w:sz w:val="23"/>
          <w:szCs w:val="23"/>
        </w:rPr>
        <w:t xml:space="preserve"> (1994). Caregiver burden and well-being: an elusive distinction. </w:t>
      </w:r>
      <w:r w:rsidR="00DF05BD" w:rsidRPr="00F853DD">
        <w:rPr>
          <w:rFonts w:ascii="Times" w:hAnsi="Times" w:cs="Times New Roman"/>
          <w:i/>
          <w:sz w:val="23"/>
          <w:szCs w:val="23"/>
        </w:rPr>
        <w:t>The Gerontologist</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34</w:t>
      </w:r>
      <w:r w:rsidR="00DF05BD" w:rsidRPr="00F853DD">
        <w:rPr>
          <w:rFonts w:ascii="Times" w:hAnsi="Times" w:cs="Times New Roman"/>
          <w:sz w:val="23"/>
          <w:szCs w:val="23"/>
        </w:rPr>
        <w:t>, 6-7.</w:t>
      </w:r>
    </w:p>
    <w:p w14:paraId="75EDC386" w14:textId="40F58ABD" w:rsidR="00DF05BD" w:rsidRPr="00F853DD" w:rsidRDefault="006550B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George, L.</w:t>
      </w:r>
      <w:r w:rsidR="00DF05BD" w:rsidRPr="00F853DD">
        <w:rPr>
          <w:rFonts w:ascii="Times" w:hAnsi="Times" w:cs="Times New Roman"/>
          <w:sz w:val="23"/>
          <w:szCs w:val="23"/>
        </w:rPr>
        <w:t xml:space="preserve"> and</w:t>
      </w:r>
      <w:r w:rsidRPr="00F853DD">
        <w:rPr>
          <w:rFonts w:ascii="Times" w:hAnsi="Times" w:cs="Times New Roman"/>
          <w:sz w:val="23"/>
          <w:szCs w:val="23"/>
        </w:rPr>
        <w:t xml:space="preserve"> Gwyther, L.,</w:t>
      </w:r>
      <w:r w:rsidR="00DF05BD" w:rsidRPr="00F853DD">
        <w:rPr>
          <w:rFonts w:ascii="Times" w:hAnsi="Times" w:cs="Times New Roman"/>
          <w:sz w:val="23"/>
          <w:szCs w:val="23"/>
        </w:rPr>
        <w:t xml:space="preserve"> (1986). Caregiver well-being: a multidimensional examination of family caregivers of demented adults. </w:t>
      </w:r>
      <w:r w:rsidR="00DF05BD" w:rsidRPr="00F853DD">
        <w:rPr>
          <w:rFonts w:ascii="Times" w:hAnsi="Times" w:cs="Times New Roman"/>
          <w:i/>
          <w:sz w:val="23"/>
          <w:szCs w:val="23"/>
        </w:rPr>
        <w:t>Gerontologist</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26</w:t>
      </w:r>
      <w:r w:rsidR="00DF05BD" w:rsidRPr="00F853DD">
        <w:rPr>
          <w:rFonts w:ascii="Times" w:hAnsi="Times" w:cs="Times New Roman"/>
          <w:sz w:val="23"/>
          <w:szCs w:val="23"/>
        </w:rPr>
        <w:t>, 253-259.</w:t>
      </w:r>
    </w:p>
    <w:p w14:paraId="3D72D28F" w14:textId="443F149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Gerhardt, U.</w:t>
      </w:r>
      <w:r w:rsidR="006550B9" w:rsidRPr="00F853DD">
        <w:rPr>
          <w:rFonts w:ascii="Times" w:hAnsi="Times" w:cs="Times New Roman"/>
          <w:sz w:val="23"/>
          <w:szCs w:val="23"/>
        </w:rPr>
        <w:t>,</w:t>
      </w:r>
      <w:r w:rsidRPr="00F853DD">
        <w:rPr>
          <w:rFonts w:ascii="Times" w:hAnsi="Times" w:cs="Times New Roman"/>
          <w:sz w:val="23"/>
          <w:szCs w:val="23"/>
        </w:rPr>
        <w:t xml:space="preserve"> (1979). Coping and social action: theoretical reconstruction of a life-event approach [online]. </w:t>
      </w:r>
      <w:r w:rsidRPr="00F853DD">
        <w:rPr>
          <w:rFonts w:ascii="Times" w:hAnsi="Times" w:cs="Times New Roman"/>
          <w:i/>
          <w:sz w:val="23"/>
          <w:szCs w:val="23"/>
        </w:rPr>
        <w:t>Sociology of Health and Illness</w:t>
      </w:r>
      <w:r w:rsidRPr="00F853DD">
        <w:rPr>
          <w:rFonts w:ascii="Times" w:hAnsi="Times" w:cs="Times New Roman"/>
          <w:sz w:val="23"/>
          <w:szCs w:val="23"/>
        </w:rPr>
        <w:t xml:space="preserve">, </w:t>
      </w:r>
      <w:r w:rsidRPr="00F853DD">
        <w:rPr>
          <w:rFonts w:ascii="Times" w:hAnsi="Times" w:cs="Times New Roman"/>
          <w:b/>
          <w:sz w:val="23"/>
          <w:szCs w:val="23"/>
        </w:rPr>
        <w:t>1</w:t>
      </w:r>
      <w:r w:rsidRPr="00F853DD">
        <w:rPr>
          <w:rFonts w:ascii="Times" w:hAnsi="Times" w:cs="Times New Roman"/>
          <w:sz w:val="23"/>
          <w:szCs w:val="23"/>
        </w:rPr>
        <w:t xml:space="preserve">. Available from: http://onlinelibrary.wiley.com/doi/10.1111/1467-9566.ep10478961/pdf. </w:t>
      </w:r>
    </w:p>
    <w:p w14:paraId="79047A8F" w14:textId="4304B84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Gerring, J.</w:t>
      </w:r>
      <w:r w:rsidR="006550B9" w:rsidRPr="00F853DD">
        <w:rPr>
          <w:rFonts w:ascii="Times" w:hAnsi="Times" w:cs="Times New Roman"/>
          <w:sz w:val="23"/>
          <w:szCs w:val="23"/>
        </w:rPr>
        <w:t>,</w:t>
      </w:r>
      <w:r w:rsidRPr="00F853DD">
        <w:rPr>
          <w:rFonts w:ascii="Times" w:hAnsi="Times" w:cs="Times New Roman"/>
          <w:sz w:val="23"/>
          <w:szCs w:val="23"/>
        </w:rPr>
        <w:t xml:space="preserve"> (1999). What makes a concept good? A criterial framework for understanding concept formation in the social sciences. </w:t>
      </w:r>
      <w:r w:rsidRPr="00F853DD">
        <w:rPr>
          <w:rFonts w:ascii="Times" w:hAnsi="Times" w:cs="Times New Roman"/>
          <w:i/>
          <w:sz w:val="23"/>
          <w:szCs w:val="23"/>
        </w:rPr>
        <w:t>Polity</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357-393.</w:t>
      </w:r>
    </w:p>
    <w:p w14:paraId="3BDEAC25" w14:textId="271F093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Gerst-Emerson, K. and Jayawardhana, J.</w:t>
      </w:r>
      <w:r w:rsidR="006550B9" w:rsidRPr="00F853DD">
        <w:rPr>
          <w:rFonts w:ascii="Times" w:hAnsi="Times" w:cs="Times New Roman"/>
          <w:sz w:val="23"/>
          <w:szCs w:val="23"/>
        </w:rPr>
        <w:t>,</w:t>
      </w:r>
      <w:r w:rsidRPr="00F853DD">
        <w:rPr>
          <w:rFonts w:ascii="Times" w:hAnsi="Times" w:cs="Times New Roman"/>
          <w:sz w:val="23"/>
          <w:szCs w:val="23"/>
        </w:rPr>
        <w:t xml:space="preserve"> (2015). Loneliness as a public health issue: the impact of loneliness on health care utilization among older adults. </w:t>
      </w:r>
      <w:r w:rsidRPr="00F853DD">
        <w:rPr>
          <w:rFonts w:ascii="Times" w:hAnsi="Times" w:cs="Times New Roman"/>
          <w:i/>
          <w:sz w:val="23"/>
          <w:szCs w:val="23"/>
        </w:rPr>
        <w:t>American Journal of Public Health</w:t>
      </w:r>
      <w:r w:rsidRPr="00F853DD">
        <w:rPr>
          <w:rFonts w:ascii="Times" w:hAnsi="Times" w:cs="Times New Roman"/>
          <w:sz w:val="23"/>
          <w:szCs w:val="23"/>
        </w:rPr>
        <w:t xml:space="preserve">, </w:t>
      </w:r>
      <w:r w:rsidRPr="00F853DD">
        <w:rPr>
          <w:rFonts w:ascii="Times" w:hAnsi="Times" w:cs="Times New Roman"/>
          <w:b/>
          <w:sz w:val="23"/>
          <w:szCs w:val="23"/>
        </w:rPr>
        <w:t>105</w:t>
      </w:r>
      <w:r w:rsidRPr="00F853DD">
        <w:rPr>
          <w:rFonts w:ascii="Times" w:hAnsi="Times" w:cs="Times New Roman"/>
          <w:sz w:val="23"/>
          <w:szCs w:val="23"/>
        </w:rPr>
        <w:t>, 1013-1019.</w:t>
      </w:r>
    </w:p>
    <w:p w14:paraId="687EEC5E" w14:textId="224AA8E4" w:rsidR="00DF05BD" w:rsidRPr="00F853DD" w:rsidRDefault="006550B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Getzel, G.,</w:t>
      </w:r>
      <w:r w:rsidR="00017A05" w:rsidRPr="00F853DD">
        <w:rPr>
          <w:rFonts w:ascii="Times" w:hAnsi="Times" w:cs="Times New Roman"/>
          <w:sz w:val="23"/>
          <w:szCs w:val="23"/>
        </w:rPr>
        <w:t xml:space="preserve"> (1987). Helping the elderly: t</w:t>
      </w:r>
      <w:r w:rsidR="00DF05BD" w:rsidRPr="00F853DD">
        <w:rPr>
          <w:rFonts w:ascii="Times" w:hAnsi="Times" w:cs="Times New Roman"/>
          <w:sz w:val="23"/>
          <w:szCs w:val="23"/>
        </w:rPr>
        <w:t xml:space="preserve">he complementary roles of informal networks and formal systems - Litwak, E. </w:t>
      </w:r>
      <w:r w:rsidR="00DF05BD" w:rsidRPr="00F853DD">
        <w:rPr>
          <w:rFonts w:ascii="Times" w:hAnsi="Times" w:cs="Times New Roman"/>
          <w:i/>
          <w:sz w:val="23"/>
          <w:szCs w:val="23"/>
        </w:rPr>
        <w:t>Social Work</w:t>
      </w:r>
      <w:r w:rsidR="00017A05"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32</w:t>
      </w:r>
      <w:r w:rsidR="00DF05BD" w:rsidRPr="00F853DD">
        <w:rPr>
          <w:rFonts w:ascii="Times" w:hAnsi="Times" w:cs="Times New Roman"/>
          <w:sz w:val="23"/>
          <w:szCs w:val="23"/>
        </w:rPr>
        <w:t>, 86-87.</w:t>
      </w:r>
    </w:p>
    <w:p w14:paraId="683EC5B0" w14:textId="2184F8B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Ghosh, S., Capistrant, B. and Friedemann-Sãnchez, G.</w:t>
      </w:r>
      <w:r w:rsidR="006550B9" w:rsidRPr="00F853DD">
        <w:rPr>
          <w:rFonts w:ascii="Times" w:hAnsi="Times" w:cs="Times New Roman"/>
          <w:sz w:val="23"/>
          <w:szCs w:val="23"/>
        </w:rPr>
        <w:t>,</w:t>
      </w:r>
      <w:r w:rsidRPr="00F853DD">
        <w:rPr>
          <w:rFonts w:ascii="Times" w:hAnsi="Times" w:cs="Times New Roman"/>
          <w:sz w:val="23"/>
          <w:szCs w:val="23"/>
        </w:rPr>
        <w:t xml:space="preserve"> (2017). Who will care for the elder caregiver? </w:t>
      </w:r>
      <w:r w:rsidR="00A648C0" w:rsidRPr="00F853DD">
        <w:rPr>
          <w:rFonts w:ascii="Times" w:hAnsi="Times" w:cs="Times New Roman"/>
          <w:sz w:val="23"/>
          <w:szCs w:val="23"/>
        </w:rPr>
        <w:t>Outlining</w:t>
      </w:r>
      <w:r w:rsidRPr="00F853DD">
        <w:rPr>
          <w:rFonts w:ascii="Times" w:hAnsi="Times" w:cs="Times New Roman"/>
          <w:sz w:val="23"/>
          <w:szCs w:val="23"/>
        </w:rPr>
        <w:t xml:space="preserve"> theoretical approaches and future research questions. In: Samantha, T. (ed.) </w:t>
      </w:r>
      <w:r w:rsidRPr="00F853DD">
        <w:rPr>
          <w:rFonts w:ascii="Times" w:hAnsi="Times" w:cs="Times New Roman"/>
          <w:i/>
          <w:sz w:val="23"/>
          <w:szCs w:val="23"/>
        </w:rPr>
        <w:t>Cross-cultural and cross-disciplinary perspectives in social gerontology</w:t>
      </w:r>
      <w:r w:rsidRPr="00F853DD">
        <w:rPr>
          <w:rFonts w:ascii="Times" w:hAnsi="Times" w:cs="Times New Roman"/>
          <w:sz w:val="23"/>
          <w:szCs w:val="23"/>
        </w:rPr>
        <w:t>. Singapore: Springer.</w:t>
      </w:r>
    </w:p>
    <w:p w14:paraId="4B32CE39" w14:textId="316CD392" w:rsidR="00DF05BD" w:rsidRPr="00F853DD" w:rsidRDefault="006550B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Giarrusso, R., Mabry, J.</w:t>
      </w:r>
      <w:r w:rsidR="00DF05BD" w:rsidRPr="00F853DD">
        <w:rPr>
          <w:rFonts w:ascii="Times" w:hAnsi="Times" w:cs="Times New Roman"/>
          <w:sz w:val="23"/>
          <w:szCs w:val="23"/>
        </w:rPr>
        <w:t>, Silverstein, M., Bengtson</w:t>
      </w:r>
      <w:r w:rsidRPr="00F853DD">
        <w:rPr>
          <w:rFonts w:ascii="Times" w:hAnsi="Times" w:cs="Times New Roman"/>
          <w:sz w:val="23"/>
          <w:szCs w:val="23"/>
        </w:rPr>
        <w:t>, V., Giarrusso, R., Mabry, J</w:t>
      </w:r>
      <w:r w:rsidR="00DF05BD" w:rsidRPr="00F853DD">
        <w:rPr>
          <w:rFonts w:ascii="Times" w:hAnsi="Times" w:cs="Times New Roman"/>
          <w:sz w:val="23"/>
          <w:szCs w:val="23"/>
        </w:rPr>
        <w:t>. and Silverstein, M.</w:t>
      </w:r>
      <w:r w:rsidRPr="00F853DD">
        <w:rPr>
          <w:rFonts w:ascii="Times" w:hAnsi="Times" w:cs="Times New Roman"/>
          <w:sz w:val="23"/>
          <w:szCs w:val="23"/>
        </w:rPr>
        <w:t>,</w:t>
      </w:r>
      <w:r w:rsidR="00DF05BD" w:rsidRPr="00F853DD">
        <w:rPr>
          <w:rFonts w:ascii="Times" w:hAnsi="Times" w:cs="Times New Roman"/>
          <w:sz w:val="23"/>
          <w:szCs w:val="23"/>
        </w:rPr>
        <w:t xml:space="preserve"> (2002). Solidarity, conflict, and ambivalence: complementary or competing perspectives on intergenerational relationships? </w:t>
      </w:r>
      <w:r w:rsidR="00DF05BD" w:rsidRPr="00F853DD">
        <w:rPr>
          <w:rFonts w:ascii="Times" w:hAnsi="Times" w:cs="Times New Roman"/>
          <w:i/>
          <w:sz w:val="23"/>
          <w:szCs w:val="23"/>
        </w:rPr>
        <w:t>Journal of marriage and the family</w:t>
      </w:r>
      <w:r w:rsidR="00802AF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64</w:t>
      </w:r>
      <w:r w:rsidR="00DF05BD" w:rsidRPr="00F853DD">
        <w:rPr>
          <w:rFonts w:ascii="Times" w:hAnsi="Times" w:cs="Times New Roman"/>
          <w:sz w:val="23"/>
          <w:szCs w:val="23"/>
        </w:rPr>
        <w:t>, 568-576.</w:t>
      </w:r>
    </w:p>
    <w:p w14:paraId="771E4003" w14:textId="51ED8D74"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s-ES"/>
        </w:rPr>
      </w:pPr>
      <w:r w:rsidRPr="00F853DD">
        <w:rPr>
          <w:rFonts w:ascii="Times" w:hAnsi="Times" w:cs="Times New Roman"/>
          <w:sz w:val="23"/>
          <w:szCs w:val="23"/>
        </w:rPr>
        <w:t>Gibbs, G.</w:t>
      </w:r>
      <w:r w:rsidR="006550B9" w:rsidRPr="00F853DD">
        <w:rPr>
          <w:rFonts w:ascii="Times" w:hAnsi="Times" w:cs="Times New Roman"/>
          <w:sz w:val="23"/>
          <w:szCs w:val="23"/>
        </w:rPr>
        <w:t>,</w:t>
      </w:r>
      <w:r w:rsidRPr="00F853DD">
        <w:rPr>
          <w:rFonts w:ascii="Times" w:hAnsi="Times" w:cs="Times New Roman"/>
          <w:sz w:val="23"/>
          <w:szCs w:val="23"/>
        </w:rPr>
        <w:t xml:space="preserve"> (2007). </w:t>
      </w:r>
      <w:r w:rsidRPr="00F853DD">
        <w:rPr>
          <w:rFonts w:ascii="Times" w:hAnsi="Times" w:cs="Times New Roman"/>
          <w:i/>
          <w:sz w:val="23"/>
          <w:szCs w:val="23"/>
        </w:rPr>
        <w:t>Analyzing qualitative data</w:t>
      </w:r>
      <w:r w:rsidRPr="00F853DD">
        <w:rPr>
          <w:rFonts w:ascii="Times" w:hAnsi="Times" w:cs="Times New Roman"/>
          <w:sz w:val="23"/>
          <w:szCs w:val="23"/>
        </w:rPr>
        <w:t xml:space="preserve">. </w:t>
      </w:r>
      <w:r w:rsidRPr="00F853DD">
        <w:rPr>
          <w:rFonts w:ascii="Times" w:hAnsi="Times" w:cs="Times New Roman"/>
          <w:sz w:val="23"/>
          <w:szCs w:val="23"/>
          <w:lang w:val="es-ES"/>
        </w:rPr>
        <w:t>Los Angeles, CA; London: SAGE.</w:t>
      </w:r>
    </w:p>
    <w:p w14:paraId="5E8AB517" w14:textId="2E596C2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Gibson, R., Gander, P., Alpass, F. and Stephens, C.</w:t>
      </w:r>
      <w:r w:rsidR="006550B9" w:rsidRPr="00F853DD">
        <w:rPr>
          <w:rFonts w:ascii="Times" w:hAnsi="Times" w:cs="Times New Roman"/>
          <w:sz w:val="23"/>
          <w:szCs w:val="23"/>
        </w:rPr>
        <w:t>,</w:t>
      </w:r>
      <w:r w:rsidRPr="00F853DD">
        <w:rPr>
          <w:rFonts w:ascii="Times" w:hAnsi="Times" w:cs="Times New Roman"/>
          <w:sz w:val="23"/>
          <w:szCs w:val="23"/>
        </w:rPr>
        <w:t xml:space="preserve"> (2015). Effect of caregiving status on the sleep of older New Zealanders. </w:t>
      </w:r>
      <w:r w:rsidRPr="00F853DD">
        <w:rPr>
          <w:rFonts w:ascii="Times" w:hAnsi="Times" w:cs="Times New Roman"/>
          <w:i/>
          <w:sz w:val="23"/>
          <w:szCs w:val="23"/>
        </w:rPr>
        <w:t>Australasian Journal on Ageing</w:t>
      </w:r>
      <w:r w:rsidR="00802AF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 155-159.</w:t>
      </w:r>
    </w:p>
    <w:p w14:paraId="0A5212E5" w14:textId="52FF71C9" w:rsidR="00DF05BD" w:rsidRPr="00F853DD" w:rsidRDefault="006550B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Gibson, R., Neita, S., Abel, W.</w:t>
      </w:r>
      <w:r w:rsidR="00DF05BD" w:rsidRPr="00F853DD">
        <w:rPr>
          <w:rFonts w:ascii="Times" w:hAnsi="Times" w:cs="Times New Roman"/>
          <w:sz w:val="23"/>
          <w:szCs w:val="23"/>
        </w:rPr>
        <w:t>, James, K. and Eldemire-Shearer, D.</w:t>
      </w:r>
      <w:r w:rsidRPr="00F853DD">
        <w:rPr>
          <w:rFonts w:ascii="Times" w:hAnsi="Times" w:cs="Times New Roman"/>
          <w:sz w:val="23"/>
          <w:szCs w:val="23"/>
        </w:rPr>
        <w:t>,</w:t>
      </w:r>
      <w:r w:rsidR="00DF05BD" w:rsidRPr="00F853DD">
        <w:rPr>
          <w:rFonts w:ascii="Times" w:hAnsi="Times" w:cs="Times New Roman"/>
          <w:sz w:val="23"/>
          <w:szCs w:val="23"/>
        </w:rPr>
        <w:t xml:space="preserve"> (2013). Sociodemographic factors associated with depressive symptoms among elderly persons from two communities in Kingston, Jamaica. </w:t>
      </w:r>
      <w:r w:rsidR="00DF05BD" w:rsidRPr="00F853DD">
        <w:rPr>
          <w:rFonts w:ascii="Times" w:hAnsi="Times" w:cs="Times New Roman"/>
          <w:i/>
          <w:sz w:val="23"/>
          <w:szCs w:val="23"/>
        </w:rPr>
        <w:t>West Indian Medical Journal</w:t>
      </w:r>
      <w:r w:rsidR="00802AF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62</w:t>
      </w:r>
      <w:r w:rsidR="00DF05BD" w:rsidRPr="00F853DD">
        <w:rPr>
          <w:rFonts w:ascii="Times" w:hAnsi="Times" w:cs="Times New Roman"/>
          <w:sz w:val="23"/>
          <w:szCs w:val="23"/>
        </w:rPr>
        <w:t>, 615-619.</w:t>
      </w:r>
    </w:p>
    <w:p w14:paraId="09AB7F03" w14:textId="6D1A7D9F" w:rsidR="00DF05BD" w:rsidRPr="00F853DD" w:rsidRDefault="006550B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Giesbrecht, M., Crooks, V</w:t>
      </w:r>
      <w:r w:rsidR="00DF05BD" w:rsidRPr="00F853DD">
        <w:rPr>
          <w:rFonts w:ascii="Times" w:hAnsi="Times" w:cs="Times New Roman"/>
          <w:sz w:val="23"/>
          <w:szCs w:val="23"/>
        </w:rPr>
        <w:t>. and Williams, A.</w:t>
      </w:r>
      <w:r w:rsidRPr="00F853DD">
        <w:rPr>
          <w:rFonts w:ascii="Times" w:hAnsi="Times" w:cs="Times New Roman"/>
          <w:sz w:val="23"/>
          <w:szCs w:val="23"/>
        </w:rPr>
        <w:t>,</w:t>
      </w:r>
      <w:r w:rsidR="00DF05BD" w:rsidRPr="00F853DD">
        <w:rPr>
          <w:rFonts w:ascii="Times" w:hAnsi="Times" w:cs="Times New Roman"/>
          <w:sz w:val="23"/>
          <w:szCs w:val="23"/>
        </w:rPr>
        <w:t xml:space="preserve"> (2010). Scale as an explanatory concept: evaluating Canada's Compassionate Care Benefit. </w:t>
      </w:r>
      <w:r w:rsidR="00DF05BD" w:rsidRPr="00F853DD">
        <w:rPr>
          <w:rFonts w:ascii="Times" w:hAnsi="Times" w:cs="Times New Roman"/>
          <w:i/>
          <w:sz w:val="23"/>
          <w:szCs w:val="23"/>
        </w:rPr>
        <w:t>Area</w:t>
      </w:r>
      <w:r w:rsidR="00802AF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42</w:t>
      </w:r>
      <w:r w:rsidR="00DF05BD" w:rsidRPr="00F853DD">
        <w:rPr>
          <w:rFonts w:ascii="Times" w:hAnsi="Times" w:cs="Times New Roman"/>
          <w:sz w:val="23"/>
          <w:szCs w:val="23"/>
        </w:rPr>
        <w:t>, 457-467.</w:t>
      </w:r>
    </w:p>
    <w:p w14:paraId="133442D3" w14:textId="698C666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Giesbrecht, M., Williams, A., Duggleby, W., Ploeg, J. and Markle-Reid, M.</w:t>
      </w:r>
      <w:r w:rsidR="006550B9" w:rsidRPr="00F853DD">
        <w:rPr>
          <w:rFonts w:ascii="Times" w:hAnsi="Times" w:cs="Times New Roman"/>
          <w:sz w:val="23"/>
          <w:szCs w:val="23"/>
        </w:rPr>
        <w:t>,</w:t>
      </w:r>
      <w:r w:rsidRPr="00F853DD">
        <w:rPr>
          <w:rFonts w:ascii="Times" w:hAnsi="Times" w:cs="Times New Roman"/>
          <w:sz w:val="23"/>
          <w:szCs w:val="23"/>
        </w:rPr>
        <w:t xml:space="preserve"> (2016). Exploring the daily geographies of diverse men caregiving for family members with multiple chronic conditions. </w:t>
      </w:r>
      <w:r w:rsidRPr="00F853DD">
        <w:rPr>
          <w:rFonts w:ascii="Times" w:hAnsi="Times" w:cs="Times New Roman"/>
          <w:i/>
          <w:sz w:val="23"/>
          <w:szCs w:val="23"/>
        </w:rPr>
        <w:t>Gender Place and Culture</w:t>
      </w:r>
      <w:r w:rsidR="00802AF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1586-1598.</w:t>
      </w:r>
    </w:p>
    <w:p w14:paraId="56F45CFC" w14:textId="37F0E69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Gillespie, A., Murphy, J. and Place, M.</w:t>
      </w:r>
      <w:r w:rsidR="006550B9" w:rsidRPr="00F853DD">
        <w:rPr>
          <w:rFonts w:ascii="Times" w:hAnsi="Times" w:cs="Times New Roman"/>
          <w:sz w:val="23"/>
          <w:szCs w:val="23"/>
        </w:rPr>
        <w:t>,</w:t>
      </w:r>
      <w:r w:rsidRPr="00F853DD">
        <w:rPr>
          <w:rFonts w:ascii="Times" w:hAnsi="Times" w:cs="Times New Roman"/>
          <w:sz w:val="23"/>
          <w:szCs w:val="23"/>
        </w:rPr>
        <w:t xml:space="preserve"> (2010). Divergences of perspective between people with aphasia and their family caregivers. </w:t>
      </w:r>
      <w:r w:rsidRPr="00F853DD">
        <w:rPr>
          <w:rFonts w:ascii="Times" w:hAnsi="Times" w:cs="Times New Roman"/>
          <w:i/>
          <w:sz w:val="23"/>
          <w:szCs w:val="23"/>
        </w:rPr>
        <w:t>Aphasiology</w:t>
      </w:r>
      <w:r w:rsidR="00802AF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1559-1575.</w:t>
      </w:r>
    </w:p>
    <w:p w14:paraId="77A0228F" w14:textId="3898B299" w:rsidR="00DF05BD" w:rsidRPr="00F853DD" w:rsidRDefault="006550B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Gillespie, B.</w:t>
      </w:r>
      <w:r w:rsidR="00DF05BD" w:rsidRPr="00F853DD">
        <w:rPr>
          <w:rFonts w:ascii="Times" w:hAnsi="Times" w:cs="Times New Roman"/>
          <w:sz w:val="23"/>
          <w:szCs w:val="23"/>
        </w:rPr>
        <w:t xml:space="preserve"> and Van Der Lippe, T.</w:t>
      </w:r>
      <w:r w:rsidRPr="00F853DD">
        <w:rPr>
          <w:rFonts w:ascii="Times" w:hAnsi="Times" w:cs="Times New Roman"/>
          <w:sz w:val="23"/>
          <w:szCs w:val="23"/>
        </w:rPr>
        <w:t>,</w:t>
      </w:r>
      <w:r w:rsidR="00DF05BD" w:rsidRPr="00F853DD">
        <w:rPr>
          <w:rFonts w:ascii="Times" w:hAnsi="Times" w:cs="Times New Roman"/>
          <w:sz w:val="23"/>
          <w:szCs w:val="23"/>
        </w:rPr>
        <w:t xml:space="preserve"> (2015). Intergenerational cohesiveness and later geographic distance to parents in the Netherlands. </w:t>
      </w:r>
      <w:r w:rsidR="00DF05BD" w:rsidRPr="00F853DD">
        <w:rPr>
          <w:rFonts w:ascii="Times" w:hAnsi="Times" w:cs="Times New Roman"/>
          <w:i/>
          <w:sz w:val="23"/>
          <w:szCs w:val="23"/>
        </w:rPr>
        <w:t>Advances in Life Course Research</w:t>
      </w:r>
      <w:r w:rsidR="00802AF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23</w:t>
      </w:r>
      <w:r w:rsidR="00DF05BD" w:rsidRPr="00F853DD">
        <w:rPr>
          <w:rFonts w:ascii="Times" w:hAnsi="Times" w:cs="Times New Roman"/>
          <w:sz w:val="23"/>
          <w:szCs w:val="23"/>
        </w:rPr>
        <w:t>, 56-66.</w:t>
      </w:r>
    </w:p>
    <w:p w14:paraId="555AC12F" w14:textId="3EC07B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Gillespie, H., Kelly, M., Duggan, S. and Dornan, T.</w:t>
      </w:r>
      <w:r w:rsidR="006550B9" w:rsidRPr="00F853DD">
        <w:rPr>
          <w:rFonts w:ascii="Times" w:hAnsi="Times" w:cs="Times New Roman"/>
          <w:sz w:val="23"/>
          <w:szCs w:val="23"/>
        </w:rPr>
        <w:t>,</w:t>
      </w:r>
      <w:r w:rsidRPr="00F853DD">
        <w:rPr>
          <w:rFonts w:ascii="Times" w:hAnsi="Times" w:cs="Times New Roman"/>
          <w:sz w:val="23"/>
          <w:szCs w:val="23"/>
        </w:rPr>
        <w:t xml:space="preserve"> (2017). How do patients experience caring? Scoping review. </w:t>
      </w:r>
      <w:r w:rsidRPr="00F853DD">
        <w:rPr>
          <w:rFonts w:ascii="Times" w:hAnsi="Times" w:cs="Times New Roman"/>
          <w:i/>
          <w:sz w:val="23"/>
          <w:szCs w:val="23"/>
        </w:rPr>
        <w:t>Patient Education and Counseling</w:t>
      </w:r>
      <w:r w:rsidR="00802AF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100</w:t>
      </w:r>
      <w:r w:rsidRPr="00F853DD">
        <w:rPr>
          <w:rFonts w:ascii="Times" w:hAnsi="Times" w:cs="Times New Roman"/>
          <w:sz w:val="23"/>
          <w:szCs w:val="23"/>
        </w:rPr>
        <w:t>, 1622-1633.</w:t>
      </w:r>
    </w:p>
    <w:p w14:paraId="15B1FDDF" w14:textId="42936C0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Gillies, V.</w:t>
      </w:r>
      <w:r w:rsidR="006550B9" w:rsidRPr="00F853DD">
        <w:rPr>
          <w:rFonts w:ascii="Times" w:hAnsi="Times" w:cs="Times New Roman"/>
          <w:sz w:val="23"/>
          <w:szCs w:val="23"/>
        </w:rPr>
        <w:t>,</w:t>
      </w:r>
      <w:r w:rsidRPr="00F853DD">
        <w:rPr>
          <w:rFonts w:ascii="Times" w:hAnsi="Times" w:cs="Times New Roman"/>
          <w:sz w:val="23"/>
          <w:szCs w:val="23"/>
        </w:rPr>
        <w:t xml:space="preserve"> (2003). </w:t>
      </w:r>
      <w:r w:rsidR="00802AF2" w:rsidRPr="00F853DD">
        <w:rPr>
          <w:rFonts w:ascii="Times" w:hAnsi="Times" w:cs="Times New Roman"/>
          <w:i/>
          <w:sz w:val="23"/>
          <w:szCs w:val="23"/>
        </w:rPr>
        <w:t>Family and intimate r</w:t>
      </w:r>
      <w:r w:rsidRPr="00F853DD">
        <w:rPr>
          <w:rFonts w:ascii="Times" w:hAnsi="Times" w:cs="Times New Roman"/>
          <w:i/>
          <w:sz w:val="23"/>
          <w:szCs w:val="23"/>
        </w:rPr>
        <w:t>elationships</w:t>
      </w:r>
      <w:r w:rsidRPr="00F853DD">
        <w:rPr>
          <w:rFonts w:ascii="Times" w:hAnsi="Times" w:cs="Times New Roman"/>
          <w:sz w:val="23"/>
          <w:szCs w:val="23"/>
        </w:rPr>
        <w:t xml:space="preserve">: </w:t>
      </w:r>
      <w:r w:rsidR="00802AF2" w:rsidRPr="00F853DD">
        <w:rPr>
          <w:rFonts w:ascii="Times" w:hAnsi="Times" w:cs="Times New Roman"/>
          <w:i/>
          <w:sz w:val="23"/>
          <w:szCs w:val="23"/>
        </w:rPr>
        <w:t>a</w:t>
      </w:r>
      <w:r w:rsidRPr="00F853DD">
        <w:rPr>
          <w:rFonts w:ascii="Times" w:hAnsi="Times" w:cs="Times New Roman"/>
          <w:i/>
          <w:sz w:val="23"/>
          <w:szCs w:val="23"/>
        </w:rPr>
        <w:t xml:space="preserve"> </w:t>
      </w:r>
      <w:r w:rsidR="00802AF2" w:rsidRPr="00F853DD">
        <w:rPr>
          <w:rFonts w:ascii="Times" w:hAnsi="Times" w:cs="Times New Roman"/>
          <w:i/>
          <w:sz w:val="23"/>
          <w:szCs w:val="23"/>
        </w:rPr>
        <w:t>r</w:t>
      </w:r>
      <w:r w:rsidRPr="00F853DD">
        <w:rPr>
          <w:rFonts w:ascii="Times" w:hAnsi="Times" w:cs="Times New Roman"/>
          <w:i/>
          <w:sz w:val="23"/>
          <w:szCs w:val="23"/>
        </w:rPr>
        <w:t>eview of the sociological research</w:t>
      </w:r>
      <w:r w:rsidRPr="00F853DD">
        <w:rPr>
          <w:rFonts w:ascii="Times" w:hAnsi="Times" w:cs="Times New Roman"/>
          <w:sz w:val="23"/>
          <w:szCs w:val="23"/>
        </w:rPr>
        <w:t>. Working Paper No. 2. Families and Social Capital ESRC Research Group.</w:t>
      </w:r>
    </w:p>
    <w:p w14:paraId="686506A9" w14:textId="2F358F18" w:rsidR="00DF05BD" w:rsidRPr="00F853DD" w:rsidRDefault="006550B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Gitlin, L., Winter, L., Dennis, M.</w:t>
      </w:r>
      <w:r w:rsidR="00DF05BD" w:rsidRPr="00F853DD">
        <w:rPr>
          <w:rFonts w:ascii="Times" w:hAnsi="Times" w:cs="Times New Roman"/>
          <w:sz w:val="23"/>
          <w:szCs w:val="23"/>
        </w:rPr>
        <w:t>, Corcoran, M., Schinfeld, S. and</w:t>
      </w:r>
      <w:r w:rsidRPr="00F853DD">
        <w:rPr>
          <w:rFonts w:ascii="Times" w:hAnsi="Times" w:cs="Times New Roman"/>
          <w:sz w:val="23"/>
          <w:szCs w:val="23"/>
        </w:rPr>
        <w:t xml:space="preserve"> Hauck, W.,</w:t>
      </w:r>
      <w:r w:rsidR="00DF05BD" w:rsidRPr="00F853DD">
        <w:rPr>
          <w:rFonts w:ascii="Times" w:hAnsi="Times" w:cs="Times New Roman"/>
          <w:sz w:val="23"/>
          <w:szCs w:val="23"/>
        </w:rPr>
        <w:t xml:space="preserve"> (2002). Strategies used by families to simplify tasks for individuals with Alzheimer's disease an</w:t>
      </w:r>
      <w:r w:rsidR="00802AF2" w:rsidRPr="00F853DD">
        <w:rPr>
          <w:rFonts w:ascii="Times" w:hAnsi="Times" w:cs="Times New Roman"/>
          <w:sz w:val="23"/>
          <w:szCs w:val="23"/>
        </w:rPr>
        <w:t>d related disorders: p</w:t>
      </w:r>
      <w:r w:rsidR="00DF05BD" w:rsidRPr="00F853DD">
        <w:rPr>
          <w:rFonts w:ascii="Times" w:hAnsi="Times" w:cs="Times New Roman"/>
          <w:sz w:val="23"/>
          <w:szCs w:val="23"/>
        </w:rPr>
        <w:t xml:space="preserve">sychometric analysis of the task management strategy Index (TMSI). </w:t>
      </w:r>
      <w:r w:rsidR="00DF05BD" w:rsidRPr="00F853DD">
        <w:rPr>
          <w:rFonts w:ascii="Times" w:hAnsi="Times" w:cs="Times New Roman"/>
          <w:i/>
          <w:sz w:val="23"/>
          <w:szCs w:val="23"/>
        </w:rPr>
        <w:t>Gerontologis</w:t>
      </w:r>
      <w:r w:rsidR="00DF05BD" w:rsidRPr="00F853DD">
        <w:rPr>
          <w:rFonts w:ascii="Times" w:hAnsi="Times" w:cs="Times New Roman"/>
          <w:sz w:val="23"/>
          <w:szCs w:val="23"/>
        </w:rPr>
        <w:t xml:space="preserve">t, </w:t>
      </w:r>
      <w:r w:rsidR="00DF05BD" w:rsidRPr="00F853DD">
        <w:rPr>
          <w:rFonts w:ascii="Times" w:hAnsi="Times" w:cs="Times New Roman"/>
          <w:b/>
          <w:sz w:val="23"/>
          <w:szCs w:val="23"/>
        </w:rPr>
        <w:t>42</w:t>
      </w:r>
      <w:r w:rsidR="00DF05BD" w:rsidRPr="00F853DD">
        <w:rPr>
          <w:rFonts w:ascii="Times" w:hAnsi="Times" w:cs="Times New Roman"/>
          <w:sz w:val="23"/>
          <w:szCs w:val="23"/>
        </w:rPr>
        <w:t>, 61-69.</w:t>
      </w:r>
    </w:p>
    <w:p w14:paraId="06BD7982" w14:textId="5E0A07AF" w:rsidR="00DF05BD" w:rsidRPr="00F853DD" w:rsidRDefault="006550B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Gitlin, L.</w:t>
      </w:r>
      <w:r w:rsidR="00DF05BD" w:rsidRPr="00F853DD">
        <w:rPr>
          <w:rFonts w:ascii="Times" w:hAnsi="Times" w:cs="Times New Roman"/>
          <w:sz w:val="23"/>
          <w:szCs w:val="23"/>
        </w:rPr>
        <w:t xml:space="preserve"> and Wolff, J.</w:t>
      </w:r>
      <w:r w:rsidRPr="00F853DD">
        <w:rPr>
          <w:rFonts w:ascii="Times" w:hAnsi="Times" w:cs="Times New Roman"/>
          <w:sz w:val="23"/>
          <w:szCs w:val="23"/>
        </w:rPr>
        <w:t>,</w:t>
      </w:r>
      <w:r w:rsidR="00DF05BD" w:rsidRPr="00F853DD">
        <w:rPr>
          <w:rFonts w:ascii="Times" w:hAnsi="Times" w:cs="Times New Roman"/>
          <w:sz w:val="23"/>
          <w:szCs w:val="23"/>
        </w:rPr>
        <w:t xml:space="preserve"> (2011). Family involvement in care transitions of older adults what do we know and where do we go from here? In: Dilworth-Anderson, P. </w:t>
      </w:r>
      <w:r w:rsidR="00A648C0" w:rsidRPr="00F853DD">
        <w:rPr>
          <w:rFonts w:ascii="Times" w:hAnsi="Times" w:cs="Times New Roman"/>
          <w:sz w:val="23"/>
          <w:szCs w:val="23"/>
        </w:rPr>
        <w:t>a</w:t>
      </w:r>
      <w:r w:rsidR="00BD729E" w:rsidRPr="00F853DD">
        <w:rPr>
          <w:rFonts w:ascii="Times" w:hAnsi="Times" w:cs="Times New Roman"/>
          <w:sz w:val="23"/>
          <w:szCs w:val="23"/>
        </w:rPr>
        <w:t>nd Palmer, M.,</w:t>
      </w:r>
      <w:r w:rsidR="00DF05BD" w:rsidRPr="00F853DD">
        <w:rPr>
          <w:rFonts w:ascii="Times" w:hAnsi="Times" w:cs="Times New Roman"/>
          <w:sz w:val="23"/>
          <w:szCs w:val="23"/>
        </w:rPr>
        <w:t xml:space="preserve"> (eds.) </w:t>
      </w:r>
      <w:r w:rsidR="00DF05BD" w:rsidRPr="00F853DD">
        <w:rPr>
          <w:rFonts w:ascii="Times" w:hAnsi="Times" w:cs="Times New Roman"/>
          <w:i/>
          <w:sz w:val="23"/>
          <w:szCs w:val="23"/>
        </w:rPr>
        <w:t>Pathways through the transitions of care for older adults</w:t>
      </w:r>
      <w:r w:rsidR="00DF05BD" w:rsidRPr="00F853DD">
        <w:rPr>
          <w:rFonts w:ascii="Times" w:hAnsi="Times" w:cs="Times New Roman"/>
          <w:sz w:val="23"/>
          <w:szCs w:val="23"/>
        </w:rPr>
        <w:t>. New York: Springer Publishing Co.</w:t>
      </w:r>
    </w:p>
    <w:p w14:paraId="2DEB2A39" w14:textId="0C02A1C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Given, B. and Given, C.</w:t>
      </w:r>
      <w:r w:rsidR="006550B9" w:rsidRPr="00F853DD">
        <w:rPr>
          <w:rFonts w:ascii="Times" w:hAnsi="Times" w:cs="Times New Roman"/>
          <w:sz w:val="23"/>
          <w:szCs w:val="23"/>
        </w:rPr>
        <w:t>,</w:t>
      </w:r>
      <w:r w:rsidRPr="00F853DD">
        <w:rPr>
          <w:rFonts w:ascii="Times" w:hAnsi="Times" w:cs="Times New Roman"/>
          <w:sz w:val="23"/>
          <w:szCs w:val="23"/>
        </w:rPr>
        <w:t xml:space="preserve"> (1991). Family caregiving for the elderly. In: Fitzpatrick, J., Taunton, R. </w:t>
      </w:r>
      <w:r w:rsidR="00A648C0" w:rsidRPr="00F853DD">
        <w:rPr>
          <w:rFonts w:ascii="Times" w:hAnsi="Times" w:cs="Times New Roman"/>
          <w:sz w:val="23"/>
          <w:szCs w:val="23"/>
        </w:rPr>
        <w:t>a</w:t>
      </w:r>
      <w:r w:rsidRPr="00F853DD">
        <w:rPr>
          <w:rFonts w:ascii="Times" w:hAnsi="Times" w:cs="Times New Roman"/>
          <w:sz w:val="23"/>
          <w:szCs w:val="23"/>
        </w:rPr>
        <w:t xml:space="preserve">nd Jacox, A. (eds.) </w:t>
      </w:r>
      <w:r w:rsidRPr="00F853DD">
        <w:rPr>
          <w:rFonts w:ascii="Times" w:hAnsi="Times" w:cs="Times New Roman"/>
          <w:i/>
          <w:sz w:val="23"/>
          <w:szCs w:val="23"/>
        </w:rPr>
        <w:t>Annual Review of Nursing Research</w:t>
      </w:r>
      <w:r w:rsidRPr="00F853DD">
        <w:rPr>
          <w:rFonts w:ascii="Times" w:hAnsi="Times" w:cs="Times New Roman"/>
          <w:sz w:val="23"/>
          <w:szCs w:val="23"/>
        </w:rPr>
        <w:t>. New York: Springer Publishing Company.</w:t>
      </w:r>
    </w:p>
    <w:p w14:paraId="31BF96D0" w14:textId="60397C2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Given, B. and Reinhard, S.</w:t>
      </w:r>
      <w:r w:rsidR="006550B9" w:rsidRPr="00F853DD">
        <w:rPr>
          <w:rFonts w:ascii="Times" w:hAnsi="Times" w:cs="Times New Roman"/>
          <w:sz w:val="23"/>
          <w:szCs w:val="23"/>
        </w:rPr>
        <w:t>,</w:t>
      </w:r>
      <w:r w:rsidRPr="00F853DD">
        <w:rPr>
          <w:rFonts w:ascii="Times" w:hAnsi="Times" w:cs="Times New Roman"/>
          <w:sz w:val="23"/>
          <w:szCs w:val="23"/>
        </w:rPr>
        <w:t xml:space="preserve"> (2017). Caregiving at the </w:t>
      </w:r>
      <w:r w:rsidR="00802AF2" w:rsidRPr="00F853DD">
        <w:rPr>
          <w:rFonts w:ascii="Times" w:hAnsi="Times" w:cs="Times New Roman"/>
          <w:sz w:val="23"/>
          <w:szCs w:val="23"/>
        </w:rPr>
        <w:t>end of life: the challenges for family c</w:t>
      </w:r>
      <w:r w:rsidRPr="00F853DD">
        <w:rPr>
          <w:rFonts w:ascii="Times" w:hAnsi="Times" w:cs="Times New Roman"/>
          <w:sz w:val="23"/>
          <w:szCs w:val="23"/>
        </w:rPr>
        <w:t xml:space="preserve">aregivers. </w:t>
      </w:r>
      <w:r w:rsidRPr="00F853DD">
        <w:rPr>
          <w:rFonts w:ascii="Times" w:hAnsi="Times" w:cs="Times New Roman"/>
          <w:i/>
          <w:sz w:val="23"/>
          <w:szCs w:val="23"/>
        </w:rPr>
        <w:t>Generations</w:t>
      </w:r>
      <w:r w:rsidR="00802AF2" w:rsidRPr="00F853DD">
        <w:rPr>
          <w:rFonts w:ascii="Times" w:hAnsi="Times" w:cs="Times New Roman"/>
          <w:sz w:val="23"/>
          <w:szCs w:val="23"/>
        </w:rPr>
        <w:t>.</w:t>
      </w:r>
      <w:r w:rsidRPr="00F853DD">
        <w:rPr>
          <w:rFonts w:ascii="Times" w:hAnsi="Times" w:cs="Times New Roman"/>
          <w:b/>
          <w:sz w:val="23"/>
          <w:szCs w:val="23"/>
        </w:rPr>
        <w:t xml:space="preserve"> 41</w:t>
      </w:r>
      <w:r w:rsidRPr="00F853DD">
        <w:rPr>
          <w:rFonts w:ascii="Times" w:hAnsi="Times" w:cs="Times New Roman"/>
          <w:sz w:val="23"/>
          <w:szCs w:val="23"/>
        </w:rPr>
        <w:t>, 50-57.</w:t>
      </w:r>
    </w:p>
    <w:p w14:paraId="1E0975B1" w14:textId="49E3C13F" w:rsidR="00DF05BD" w:rsidRPr="00F853DD" w:rsidRDefault="00BD729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Given, B., Sherwood, P. and Given, C.,</w:t>
      </w:r>
      <w:r w:rsidR="00DF05BD" w:rsidRPr="00F853DD">
        <w:rPr>
          <w:rFonts w:ascii="Times" w:hAnsi="Times" w:cs="Times New Roman"/>
          <w:sz w:val="23"/>
          <w:szCs w:val="23"/>
        </w:rPr>
        <w:t xml:space="preserve"> (2008). What Knowledge and Skills Do Caregivers Need? [online]. </w:t>
      </w:r>
      <w:r w:rsidR="00DF05BD" w:rsidRPr="00F853DD">
        <w:rPr>
          <w:rFonts w:ascii="Times" w:hAnsi="Times" w:cs="Times New Roman"/>
          <w:i/>
          <w:sz w:val="23"/>
          <w:szCs w:val="23"/>
        </w:rPr>
        <w:t>The American Journal of Nursing</w:t>
      </w:r>
      <w:r w:rsidR="00802AF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108</w:t>
      </w:r>
      <w:r w:rsidR="00DF05BD" w:rsidRPr="00F853DD">
        <w:rPr>
          <w:rFonts w:ascii="Times" w:hAnsi="Times" w:cs="Times New Roman"/>
          <w:sz w:val="23"/>
          <w:szCs w:val="23"/>
        </w:rPr>
        <w:t>.</w:t>
      </w:r>
    </w:p>
    <w:p w14:paraId="6BF4CFC1" w14:textId="68E9439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Given, B., Stommel, M., Collins, C., King, S. an</w:t>
      </w:r>
      <w:r w:rsidR="00BD729E" w:rsidRPr="00F853DD">
        <w:rPr>
          <w:rFonts w:ascii="Times" w:hAnsi="Times" w:cs="Times New Roman"/>
          <w:sz w:val="23"/>
          <w:szCs w:val="23"/>
        </w:rPr>
        <w:t>d Given, C.,</w:t>
      </w:r>
      <w:r w:rsidRPr="00F853DD">
        <w:rPr>
          <w:rFonts w:ascii="Times" w:hAnsi="Times" w:cs="Times New Roman"/>
          <w:sz w:val="23"/>
          <w:szCs w:val="23"/>
        </w:rPr>
        <w:t xml:space="preserve"> (1990). Responses of Elderly Spouse Caregivers. </w:t>
      </w:r>
      <w:r w:rsidRPr="00F853DD">
        <w:rPr>
          <w:rFonts w:ascii="Times" w:hAnsi="Times" w:cs="Times New Roman"/>
          <w:i/>
          <w:sz w:val="23"/>
          <w:szCs w:val="23"/>
        </w:rPr>
        <w:t>Research in Nursing and Health</w:t>
      </w:r>
      <w:r w:rsidR="00802AF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Pr="00F853DD">
        <w:rPr>
          <w:rFonts w:ascii="Times" w:hAnsi="Times" w:cs="Times New Roman"/>
          <w:sz w:val="23"/>
          <w:szCs w:val="23"/>
        </w:rPr>
        <w:t>, 77-85.</w:t>
      </w:r>
    </w:p>
    <w:p w14:paraId="29D311C1" w14:textId="735161CF" w:rsidR="00DF05BD" w:rsidRPr="00F853DD" w:rsidRDefault="00BD729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Given, L.,</w:t>
      </w:r>
      <w:r w:rsidR="00DF05BD" w:rsidRPr="00F853DD">
        <w:rPr>
          <w:rFonts w:ascii="Times" w:hAnsi="Times" w:cs="Times New Roman"/>
          <w:sz w:val="23"/>
          <w:szCs w:val="23"/>
        </w:rPr>
        <w:t xml:space="preserve"> (2008). </w:t>
      </w:r>
      <w:r w:rsidR="00802AF2" w:rsidRPr="00F853DD">
        <w:rPr>
          <w:rFonts w:ascii="Times" w:hAnsi="Times" w:cs="Times New Roman"/>
          <w:i/>
          <w:sz w:val="23"/>
          <w:szCs w:val="23"/>
        </w:rPr>
        <w:t>Sage encyclopedia of qualitative research m</w:t>
      </w:r>
      <w:r w:rsidR="00DF05BD" w:rsidRPr="00F853DD">
        <w:rPr>
          <w:rFonts w:ascii="Times" w:hAnsi="Times" w:cs="Times New Roman"/>
          <w:i/>
          <w:sz w:val="23"/>
          <w:szCs w:val="23"/>
        </w:rPr>
        <w:t>ethods</w:t>
      </w:r>
      <w:r w:rsidR="00DF05BD" w:rsidRPr="00F853DD">
        <w:rPr>
          <w:rFonts w:ascii="Times" w:hAnsi="Times" w:cs="Times New Roman"/>
          <w:sz w:val="23"/>
          <w:szCs w:val="23"/>
        </w:rPr>
        <w:t>. Thousand Oaks, CA: SAGE Publications, Inc.</w:t>
      </w:r>
    </w:p>
    <w:p w14:paraId="215CEF82" w14:textId="7DA2C5E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Glauber, R.</w:t>
      </w:r>
      <w:r w:rsidR="00BD729E" w:rsidRPr="00F853DD">
        <w:rPr>
          <w:rFonts w:ascii="Times" w:hAnsi="Times" w:cs="Times New Roman"/>
          <w:sz w:val="23"/>
          <w:szCs w:val="23"/>
        </w:rPr>
        <w:t>,</w:t>
      </w:r>
      <w:r w:rsidRPr="00F853DD">
        <w:rPr>
          <w:rFonts w:ascii="Times" w:hAnsi="Times" w:cs="Times New Roman"/>
          <w:sz w:val="23"/>
          <w:szCs w:val="23"/>
        </w:rPr>
        <w:t xml:space="preserve"> (2017). Gender differences in spousal care across the later life course. </w:t>
      </w:r>
      <w:r w:rsidRPr="00F853DD">
        <w:rPr>
          <w:rFonts w:ascii="Times" w:hAnsi="Times" w:cs="Times New Roman"/>
          <w:i/>
          <w:sz w:val="23"/>
          <w:szCs w:val="23"/>
        </w:rPr>
        <w:t>Research on Aging</w:t>
      </w:r>
      <w:r w:rsidR="00802AF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 934-959.</w:t>
      </w:r>
    </w:p>
    <w:p w14:paraId="055D1244" w14:textId="49F24C7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Glazer, S.</w:t>
      </w:r>
      <w:r w:rsidR="00BD729E" w:rsidRPr="00F853DD">
        <w:rPr>
          <w:rFonts w:ascii="Times" w:hAnsi="Times" w:cs="Times New Roman"/>
          <w:sz w:val="23"/>
          <w:szCs w:val="23"/>
        </w:rPr>
        <w:t>,</w:t>
      </w:r>
      <w:r w:rsidRPr="00F853DD">
        <w:rPr>
          <w:rFonts w:ascii="Times" w:hAnsi="Times" w:cs="Times New Roman"/>
          <w:sz w:val="23"/>
          <w:szCs w:val="23"/>
        </w:rPr>
        <w:t xml:space="preserve"> (2006). Social support across cultures. </w:t>
      </w:r>
      <w:r w:rsidRPr="00F853DD">
        <w:rPr>
          <w:rFonts w:ascii="Times" w:hAnsi="Times" w:cs="Times New Roman"/>
          <w:i/>
          <w:sz w:val="23"/>
          <w:szCs w:val="23"/>
        </w:rPr>
        <w:t>International Journal of Intercultural Relations</w:t>
      </w:r>
      <w:r w:rsidR="00802AF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 605-622.</w:t>
      </w:r>
    </w:p>
    <w:p w14:paraId="5E926B7B" w14:textId="6F6D7EA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w:t>
      </w:r>
      <w:r w:rsidRPr="00F853DD">
        <w:rPr>
          <w:rFonts w:ascii="Times" w:eastAsia="Times New Roman" w:hAnsi="Times" w:cs="Arial"/>
          <w:sz w:val="23"/>
          <w:szCs w:val="23"/>
          <w:shd w:val="clear" w:color="auto" w:fill="FFFFFF"/>
          <w:lang w:val="en-TT" w:eastAsia="en-US"/>
        </w:rPr>
        <w:t>lobaledge.</w:t>
      </w:r>
      <w:r w:rsidR="00BD729E" w:rsidRPr="00F853DD">
        <w:rPr>
          <w:rFonts w:ascii="Times" w:eastAsia="Times New Roman" w:hAnsi="Times" w:cs="Arial"/>
          <w:sz w:val="23"/>
          <w:szCs w:val="23"/>
          <w:shd w:val="clear" w:color="auto" w:fill="FFFFFF"/>
          <w:lang w:val="en-TT" w:eastAsia="en-US"/>
        </w:rPr>
        <w:t>,</w:t>
      </w:r>
      <w:r w:rsidRPr="00F853DD">
        <w:rPr>
          <w:rFonts w:ascii="Times" w:eastAsia="Times New Roman" w:hAnsi="Times" w:cs="Arial"/>
          <w:sz w:val="23"/>
          <w:szCs w:val="23"/>
          <w:shd w:val="clear" w:color="auto" w:fill="FFFFFF"/>
          <w:lang w:val="en-TT" w:eastAsia="en-US"/>
        </w:rPr>
        <w:t xml:space="preserve"> (2017). </w:t>
      </w:r>
      <w:r w:rsidRPr="00F853DD">
        <w:rPr>
          <w:rFonts w:ascii="Times" w:eastAsia="Times New Roman" w:hAnsi="Times" w:cs="Arial"/>
          <w:i/>
          <w:iCs/>
          <w:sz w:val="23"/>
          <w:szCs w:val="23"/>
          <w:shd w:val="clear" w:color="auto" w:fill="FFFFFF"/>
          <w:lang w:val="en-TT" w:eastAsia="en-US"/>
        </w:rPr>
        <w:t xml:space="preserve">Country Comparator </w:t>
      </w:r>
      <w:r w:rsidRPr="00F853DD">
        <w:rPr>
          <w:rFonts w:ascii="Times" w:eastAsia="Times New Roman" w:hAnsi="Times" w:cs="Arial"/>
          <w:sz w:val="23"/>
          <w:szCs w:val="23"/>
          <w:shd w:val="clear" w:color="auto" w:fill="FFFFFF"/>
          <w:lang w:val="en-TT" w:eastAsia="en-US"/>
        </w:rPr>
        <w:t>[online]. Available from: https://globaledge.msu.edu/comparator/home [Accessed 15 Dec. 2019].</w:t>
      </w:r>
    </w:p>
    <w:p w14:paraId="3232310A" w14:textId="170DD7D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Globerman, J.</w:t>
      </w:r>
      <w:r w:rsidR="00BD729E" w:rsidRPr="00F853DD">
        <w:rPr>
          <w:rFonts w:ascii="Times" w:hAnsi="Times" w:cs="Times New Roman"/>
          <w:sz w:val="23"/>
          <w:szCs w:val="23"/>
        </w:rPr>
        <w:t>,</w:t>
      </w:r>
      <w:r w:rsidRPr="00F853DD">
        <w:rPr>
          <w:rFonts w:ascii="Times" w:hAnsi="Times" w:cs="Times New Roman"/>
          <w:sz w:val="23"/>
          <w:szCs w:val="23"/>
        </w:rPr>
        <w:t xml:space="preserve"> (1996)</w:t>
      </w:r>
      <w:r w:rsidR="00802AF2" w:rsidRPr="00F853DD">
        <w:rPr>
          <w:rFonts w:ascii="Times" w:hAnsi="Times" w:cs="Times New Roman"/>
          <w:sz w:val="23"/>
          <w:szCs w:val="23"/>
        </w:rPr>
        <w:t>. Motivations to care: d</w:t>
      </w:r>
      <w:r w:rsidRPr="00F853DD">
        <w:rPr>
          <w:rFonts w:ascii="Times" w:hAnsi="Times" w:cs="Times New Roman"/>
          <w:sz w:val="23"/>
          <w:szCs w:val="23"/>
        </w:rPr>
        <w:t xml:space="preserve">aughters-and sons-in-law caring for relatives with Alzheimer's disease. </w:t>
      </w:r>
      <w:r w:rsidRPr="00F853DD">
        <w:rPr>
          <w:rFonts w:ascii="Times" w:hAnsi="Times" w:cs="Times New Roman"/>
          <w:i/>
          <w:sz w:val="23"/>
          <w:szCs w:val="23"/>
        </w:rPr>
        <w:t>Family Relations</w:t>
      </w:r>
      <w:r w:rsidR="00802AF2" w:rsidRPr="00F853DD">
        <w:rPr>
          <w:rFonts w:ascii="Times" w:hAnsi="Times" w:cs="Times New Roman"/>
          <w:sz w:val="23"/>
          <w:szCs w:val="23"/>
        </w:rPr>
        <w:t>.</w:t>
      </w:r>
      <w:r w:rsidRPr="00F853DD">
        <w:rPr>
          <w:rFonts w:ascii="Times" w:hAnsi="Times" w:cs="Times New Roman"/>
          <w:sz w:val="23"/>
          <w:szCs w:val="23"/>
        </w:rPr>
        <w:t xml:space="preserve"> 37-45.</w:t>
      </w:r>
    </w:p>
    <w:p w14:paraId="4A9020ED" w14:textId="3ABF002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Gl</w:t>
      </w:r>
      <w:r w:rsidRPr="00F853DD">
        <w:rPr>
          <w:rFonts w:ascii="Times" w:hAnsi="Times" w:cs="Segoe UI"/>
          <w:sz w:val="23"/>
          <w:szCs w:val="23"/>
        </w:rPr>
        <w:t>ozman, J.</w:t>
      </w:r>
      <w:r w:rsidR="00BD729E" w:rsidRPr="00F853DD">
        <w:rPr>
          <w:rFonts w:ascii="Times" w:hAnsi="Times" w:cs="Segoe UI"/>
          <w:sz w:val="23"/>
          <w:szCs w:val="23"/>
        </w:rPr>
        <w:t>,</w:t>
      </w:r>
      <w:r w:rsidRPr="00F853DD">
        <w:rPr>
          <w:rFonts w:ascii="Times" w:hAnsi="Times" w:cs="Segoe UI"/>
          <w:sz w:val="23"/>
          <w:szCs w:val="23"/>
        </w:rPr>
        <w:t xml:space="preserve"> (2004). Quality of life of caregivers. </w:t>
      </w:r>
      <w:r w:rsidRPr="00F853DD">
        <w:rPr>
          <w:rFonts w:ascii="Times" w:hAnsi="Times" w:cs="Segoe UI"/>
          <w:i/>
          <w:iCs/>
          <w:sz w:val="23"/>
          <w:szCs w:val="23"/>
        </w:rPr>
        <w:t>Neuropsychology review</w:t>
      </w:r>
      <w:r w:rsidR="00802AF2" w:rsidRPr="00F853DD">
        <w:rPr>
          <w:rFonts w:ascii="Times" w:hAnsi="Times" w:cs="Segoe UI"/>
          <w:sz w:val="23"/>
          <w:szCs w:val="23"/>
        </w:rPr>
        <w:t>.</w:t>
      </w:r>
      <w:r w:rsidRPr="00F853DD">
        <w:rPr>
          <w:rFonts w:ascii="Times" w:hAnsi="Times" w:cs="Segoe UI"/>
          <w:sz w:val="23"/>
          <w:szCs w:val="23"/>
        </w:rPr>
        <w:t> </w:t>
      </w:r>
      <w:r w:rsidRPr="00F853DD">
        <w:rPr>
          <w:rFonts w:ascii="Times" w:hAnsi="Times" w:cs="Segoe UI"/>
          <w:b/>
          <w:i/>
          <w:iCs/>
          <w:sz w:val="23"/>
          <w:szCs w:val="23"/>
        </w:rPr>
        <w:t>14</w:t>
      </w:r>
      <w:r w:rsidRPr="00F853DD">
        <w:rPr>
          <w:rFonts w:ascii="Times" w:hAnsi="Times" w:cs="Segoe UI"/>
          <w:sz w:val="23"/>
          <w:szCs w:val="23"/>
        </w:rPr>
        <w:t>(4), 183-196.</w:t>
      </w:r>
    </w:p>
    <w:p w14:paraId="164C0B34" w14:textId="3FC93E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Gläser, J. and Laudel, G.</w:t>
      </w:r>
      <w:r w:rsidR="00BD729E" w:rsidRPr="00F853DD">
        <w:rPr>
          <w:rFonts w:ascii="Times" w:hAnsi="Times" w:cs="Times New Roman"/>
          <w:sz w:val="23"/>
          <w:szCs w:val="23"/>
        </w:rPr>
        <w:t>,</w:t>
      </w:r>
      <w:r w:rsidRPr="00F853DD">
        <w:rPr>
          <w:rFonts w:ascii="Times" w:hAnsi="Times" w:cs="Times New Roman"/>
          <w:sz w:val="23"/>
          <w:szCs w:val="23"/>
        </w:rPr>
        <w:t xml:space="preserve"> (2013). Life with and without coding: two methods for early-stage data analysis in qualitative research aiming at causal explanations [online]. </w:t>
      </w:r>
      <w:r w:rsidRPr="00F853DD">
        <w:rPr>
          <w:rFonts w:ascii="Times" w:hAnsi="Times" w:cs="Times New Roman"/>
          <w:i/>
          <w:sz w:val="23"/>
          <w:szCs w:val="23"/>
        </w:rPr>
        <w:t>Forum Qualitative Sozialforschung</w:t>
      </w:r>
      <w:r w:rsidRPr="00F853DD">
        <w:rPr>
          <w:rFonts w:ascii="Times" w:hAnsi="Times" w:cs="Times New Roman"/>
          <w:sz w:val="23"/>
          <w:szCs w:val="23"/>
        </w:rPr>
        <w:t xml:space="preserve"> / </w:t>
      </w:r>
      <w:r w:rsidRPr="00F853DD">
        <w:rPr>
          <w:rFonts w:ascii="Times" w:hAnsi="Times" w:cs="Times New Roman"/>
          <w:i/>
          <w:sz w:val="23"/>
          <w:szCs w:val="23"/>
        </w:rPr>
        <w:t>Forum: Qualitative Social Research</w:t>
      </w:r>
      <w:r w:rsidR="009D1C51" w:rsidRPr="00F853DD">
        <w:rPr>
          <w:rFonts w:ascii="Times" w:hAnsi="Times" w:cs="Times New Roman"/>
          <w:sz w:val="23"/>
          <w:szCs w:val="23"/>
        </w:rPr>
        <w:t>.</w:t>
      </w:r>
      <w:r w:rsidRPr="00F853DD">
        <w:rPr>
          <w:rFonts w:ascii="Times" w:hAnsi="Times" w:cs="Times New Roman"/>
          <w:sz w:val="23"/>
          <w:szCs w:val="23"/>
        </w:rPr>
        <w:t xml:space="preserve"> 14. [Viewed on 1 October 2016]. Available from: http://www.qualitative-research.net/index.php/fqs/article/view/1886. </w:t>
      </w:r>
    </w:p>
    <w:p w14:paraId="7E567AF7" w14:textId="5021DA52" w:rsidR="00DF05BD" w:rsidRPr="00F853DD" w:rsidRDefault="00BD729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Gobbens, R., Luijkx, K., Wijnen-Sponselee, M. and Schols, J.,</w:t>
      </w:r>
      <w:r w:rsidR="00DF05BD" w:rsidRPr="00F853DD">
        <w:rPr>
          <w:rFonts w:ascii="Times" w:hAnsi="Times" w:cs="Times New Roman"/>
          <w:sz w:val="23"/>
          <w:szCs w:val="23"/>
          <w:lang w:val="nl-NL"/>
        </w:rPr>
        <w:t xml:space="preserve"> (2010). </w:t>
      </w:r>
      <w:r w:rsidR="00DF05BD" w:rsidRPr="00F853DD">
        <w:rPr>
          <w:rFonts w:ascii="Times" w:hAnsi="Times" w:cs="Times New Roman"/>
          <w:sz w:val="23"/>
          <w:szCs w:val="23"/>
        </w:rPr>
        <w:t xml:space="preserve">Toward a conceptual definition of frail community dwelling older people. </w:t>
      </w:r>
      <w:r w:rsidR="00DF05BD" w:rsidRPr="00F853DD">
        <w:rPr>
          <w:rFonts w:ascii="Times" w:hAnsi="Times" w:cs="Times New Roman"/>
          <w:i/>
          <w:sz w:val="23"/>
          <w:szCs w:val="23"/>
        </w:rPr>
        <w:t>Nursing Outlook</w:t>
      </w:r>
      <w:r w:rsidR="009D1C5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58</w:t>
      </w:r>
      <w:r w:rsidR="00DF05BD" w:rsidRPr="00F853DD">
        <w:rPr>
          <w:rFonts w:ascii="Times" w:hAnsi="Times" w:cs="Times New Roman"/>
          <w:sz w:val="23"/>
          <w:szCs w:val="23"/>
        </w:rPr>
        <w:t>, 76-86.</w:t>
      </w:r>
    </w:p>
    <w:p w14:paraId="56B854F5" w14:textId="5FDD476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Goergen, T. and Beaulieu, M.</w:t>
      </w:r>
      <w:r w:rsidR="00BD729E" w:rsidRPr="00F853DD">
        <w:rPr>
          <w:rFonts w:ascii="Times" w:hAnsi="Times" w:cs="Times New Roman"/>
          <w:sz w:val="23"/>
          <w:szCs w:val="23"/>
        </w:rPr>
        <w:t>,</w:t>
      </w:r>
      <w:r w:rsidRPr="00F853DD">
        <w:rPr>
          <w:rFonts w:ascii="Times" w:hAnsi="Times" w:cs="Times New Roman"/>
          <w:sz w:val="23"/>
          <w:szCs w:val="23"/>
        </w:rPr>
        <w:t xml:space="preserve"> (2013). Critical concepts in elder abuse research. </w:t>
      </w:r>
      <w:r w:rsidRPr="00F853DD">
        <w:rPr>
          <w:rFonts w:ascii="Times" w:hAnsi="Times" w:cs="Times New Roman"/>
          <w:i/>
          <w:sz w:val="23"/>
          <w:szCs w:val="23"/>
        </w:rPr>
        <w:t>International Psychogeriatrics</w:t>
      </w:r>
      <w:r w:rsidR="009D1C5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1217-1228.</w:t>
      </w:r>
    </w:p>
    <w:p w14:paraId="78A0252D" w14:textId="60D73A87" w:rsidR="00DF05BD" w:rsidRPr="00F853DD" w:rsidRDefault="00BD729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Gonyea, J</w:t>
      </w:r>
      <w:r w:rsidR="00DF05BD" w:rsidRPr="00F853DD">
        <w:rPr>
          <w:rFonts w:ascii="Times" w:hAnsi="Times" w:cs="Times New Roman"/>
          <w:sz w:val="23"/>
          <w:szCs w:val="23"/>
        </w:rPr>
        <w:t>., Pa</w:t>
      </w:r>
      <w:r w:rsidRPr="00F853DD">
        <w:rPr>
          <w:rFonts w:ascii="Times" w:hAnsi="Times" w:cs="Times New Roman"/>
          <w:sz w:val="23"/>
          <w:szCs w:val="23"/>
        </w:rPr>
        <w:t>ris, R. and Zerden, L.,</w:t>
      </w:r>
      <w:r w:rsidR="00DF05BD" w:rsidRPr="00F853DD">
        <w:rPr>
          <w:rFonts w:ascii="Times" w:hAnsi="Times" w:cs="Times New Roman"/>
          <w:sz w:val="23"/>
          <w:szCs w:val="23"/>
        </w:rPr>
        <w:t xml:space="preserve"> (2008). Adul</w:t>
      </w:r>
      <w:r w:rsidR="009D1C51" w:rsidRPr="00F853DD">
        <w:rPr>
          <w:rFonts w:ascii="Times" w:hAnsi="Times" w:cs="Times New Roman"/>
          <w:sz w:val="23"/>
          <w:szCs w:val="23"/>
        </w:rPr>
        <w:t>t daughters and aging mothers: t</w:t>
      </w:r>
      <w:r w:rsidR="00DF05BD" w:rsidRPr="00F853DD">
        <w:rPr>
          <w:rFonts w:ascii="Times" w:hAnsi="Times" w:cs="Times New Roman"/>
          <w:sz w:val="23"/>
          <w:szCs w:val="23"/>
        </w:rPr>
        <w:t xml:space="preserve">he role of guilt in the experience of caregiver burden. </w:t>
      </w:r>
      <w:r w:rsidR="00DF05BD" w:rsidRPr="00F853DD">
        <w:rPr>
          <w:rFonts w:ascii="Times" w:hAnsi="Times" w:cs="Times New Roman"/>
          <w:i/>
          <w:sz w:val="23"/>
          <w:szCs w:val="23"/>
        </w:rPr>
        <w:t>Aging and Mental Health</w:t>
      </w:r>
      <w:r w:rsidR="009D1C5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12</w:t>
      </w:r>
      <w:r w:rsidR="00DF05BD" w:rsidRPr="00F853DD">
        <w:rPr>
          <w:rFonts w:ascii="Times" w:hAnsi="Times" w:cs="Times New Roman"/>
          <w:sz w:val="23"/>
          <w:szCs w:val="23"/>
        </w:rPr>
        <w:t>, 559-567.</w:t>
      </w:r>
    </w:p>
    <w:p w14:paraId="32BF17F3" w14:textId="15EAC767" w:rsidR="00DF05BD" w:rsidRPr="00F853DD" w:rsidRDefault="00BD729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Gonzalez, V., Sierra, M., Martinez, B</w:t>
      </w:r>
      <w:r w:rsidR="00DF05BD" w:rsidRPr="00F853DD">
        <w:rPr>
          <w:rFonts w:ascii="Times" w:hAnsi="Times" w:cs="Times New Roman"/>
          <w:sz w:val="23"/>
          <w:szCs w:val="23"/>
        </w:rPr>
        <w:t>., Mart</w:t>
      </w:r>
      <w:r w:rsidRPr="00F853DD">
        <w:rPr>
          <w:rFonts w:ascii="Times" w:hAnsi="Times" w:cs="Times New Roman"/>
          <w:sz w:val="23"/>
          <w:szCs w:val="23"/>
        </w:rPr>
        <w:t>inez-Molina, A. and Ponce, F.,</w:t>
      </w:r>
      <w:r w:rsidR="00DF05BD" w:rsidRPr="00F853DD">
        <w:rPr>
          <w:rFonts w:ascii="Times" w:hAnsi="Times" w:cs="Times New Roman"/>
          <w:sz w:val="23"/>
          <w:szCs w:val="23"/>
        </w:rPr>
        <w:t xml:space="preserve"> (2015). An in-depth psychometric analysis of the Connor-Davidson Resilience Scale: calibration with Rasch-Andrich model. </w:t>
      </w:r>
      <w:r w:rsidR="00DF05BD" w:rsidRPr="00F853DD">
        <w:rPr>
          <w:rFonts w:ascii="Times" w:hAnsi="Times" w:cs="Times New Roman"/>
          <w:i/>
          <w:sz w:val="23"/>
          <w:szCs w:val="23"/>
        </w:rPr>
        <w:t>Health and Quality of Life Outcomes</w:t>
      </w:r>
      <w:r w:rsidR="009D1C5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13</w:t>
      </w:r>
      <w:r w:rsidR="00DF05BD" w:rsidRPr="00F853DD">
        <w:rPr>
          <w:rFonts w:ascii="Times" w:hAnsi="Times" w:cs="Times New Roman"/>
          <w:sz w:val="23"/>
          <w:szCs w:val="23"/>
        </w:rPr>
        <w:t>, 12.</w:t>
      </w:r>
    </w:p>
    <w:p w14:paraId="68068EA1" w14:textId="2707C11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w:t>
      </w:r>
      <w:r w:rsidRPr="00F853DD">
        <w:rPr>
          <w:rFonts w:ascii="Times" w:eastAsia="Times New Roman" w:hAnsi="Times" w:cs="Arial"/>
          <w:sz w:val="23"/>
          <w:szCs w:val="23"/>
          <w:shd w:val="clear" w:color="auto" w:fill="FFFFFF"/>
          <w:lang w:val="en-TT" w:eastAsia="en-US"/>
        </w:rPr>
        <w:t>onzález, C.</w:t>
      </w:r>
      <w:r w:rsidR="00BD729E" w:rsidRPr="00F853DD">
        <w:rPr>
          <w:rFonts w:ascii="Times" w:eastAsia="Times New Roman" w:hAnsi="Times" w:cs="Arial"/>
          <w:sz w:val="23"/>
          <w:szCs w:val="23"/>
          <w:shd w:val="clear" w:color="auto" w:fill="FFFFFF"/>
          <w:lang w:val="en-TT" w:eastAsia="en-US"/>
        </w:rPr>
        <w:t>,</w:t>
      </w:r>
      <w:r w:rsidRPr="00F853DD">
        <w:rPr>
          <w:rFonts w:ascii="Times" w:eastAsia="Times New Roman" w:hAnsi="Times" w:cs="Arial"/>
          <w:sz w:val="23"/>
          <w:szCs w:val="23"/>
          <w:shd w:val="clear" w:color="auto" w:fill="FFFFFF"/>
          <w:lang w:val="en-TT" w:eastAsia="en-US"/>
        </w:rPr>
        <w:t xml:space="preserve"> (2015). Social Policies in Contemporary Latin America: Families and Poverty in the Social Protection Systems. </w:t>
      </w:r>
      <w:r w:rsidRPr="00F853DD">
        <w:rPr>
          <w:rFonts w:ascii="Times" w:eastAsia="Times New Roman" w:hAnsi="Times" w:cs="Arial"/>
          <w:i/>
          <w:iCs/>
          <w:sz w:val="23"/>
          <w:szCs w:val="23"/>
          <w:shd w:val="clear" w:color="auto" w:fill="FFFFFF"/>
          <w:lang w:val="en-TT" w:eastAsia="en-US"/>
        </w:rPr>
        <w:t>Social Sciences</w:t>
      </w:r>
      <w:r w:rsidR="009D1C51" w:rsidRPr="00F853DD">
        <w:rPr>
          <w:rFonts w:ascii="Times" w:eastAsia="Times New Roman" w:hAnsi="Times" w:cs="Arial"/>
          <w:sz w:val="23"/>
          <w:szCs w:val="23"/>
          <w:shd w:val="clear" w:color="auto" w:fill="FFFFFF"/>
          <w:lang w:val="en-TT" w:eastAsia="en-US"/>
        </w:rPr>
        <w:t>.</w:t>
      </w:r>
      <w:r w:rsidRPr="00F853DD">
        <w:rPr>
          <w:rFonts w:ascii="Times" w:eastAsia="Times New Roman" w:hAnsi="Times" w:cs="Arial"/>
          <w:sz w:val="23"/>
          <w:szCs w:val="23"/>
          <w:shd w:val="clear" w:color="auto" w:fill="FFFFFF"/>
          <w:lang w:val="en-TT" w:eastAsia="en-US"/>
        </w:rPr>
        <w:t xml:space="preserve"> </w:t>
      </w:r>
      <w:r w:rsidRPr="00F853DD">
        <w:rPr>
          <w:rFonts w:ascii="Times" w:eastAsia="Times New Roman" w:hAnsi="Times" w:cs="Arial"/>
          <w:b/>
          <w:sz w:val="23"/>
          <w:szCs w:val="23"/>
          <w:shd w:val="clear" w:color="auto" w:fill="FFFFFF"/>
          <w:lang w:val="en-TT" w:eastAsia="en-US"/>
        </w:rPr>
        <w:t>4</w:t>
      </w:r>
      <w:r w:rsidRPr="00F853DD">
        <w:rPr>
          <w:rFonts w:ascii="Times" w:eastAsia="Times New Roman" w:hAnsi="Times" w:cs="Arial"/>
          <w:sz w:val="23"/>
          <w:szCs w:val="23"/>
          <w:shd w:val="clear" w:color="auto" w:fill="FFFFFF"/>
          <w:lang w:val="en-TT" w:eastAsia="en-US"/>
        </w:rPr>
        <w:t>(1), 134-147</w:t>
      </w:r>
    </w:p>
    <w:p w14:paraId="5E9AB005" w14:textId="16091B7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Goodhead, A. and McDonald, J.</w:t>
      </w:r>
      <w:r w:rsidR="00BD729E" w:rsidRPr="00F853DD">
        <w:rPr>
          <w:rFonts w:ascii="Times" w:hAnsi="Times" w:cs="Times New Roman"/>
          <w:sz w:val="23"/>
          <w:szCs w:val="23"/>
        </w:rPr>
        <w:t>,</w:t>
      </w:r>
      <w:r w:rsidRPr="00F853DD">
        <w:rPr>
          <w:rFonts w:ascii="Times" w:hAnsi="Times" w:cs="Times New Roman"/>
          <w:sz w:val="23"/>
          <w:szCs w:val="23"/>
        </w:rPr>
        <w:t xml:space="preserve"> (2007). </w:t>
      </w:r>
      <w:r w:rsidR="009D1C51" w:rsidRPr="00F853DD">
        <w:rPr>
          <w:rFonts w:ascii="Times" w:hAnsi="Times" w:cs="Times New Roman"/>
          <w:i/>
          <w:sz w:val="23"/>
          <w:szCs w:val="23"/>
        </w:rPr>
        <w:t>Informal c</w:t>
      </w:r>
      <w:r w:rsidRPr="00F853DD">
        <w:rPr>
          <w:rFonts w:ascii="Times" w:hAnsi="Times" w:cs="Times New Roman"/>
          <w:i/>
          <w:sz w:val="23"/>
          <w:szCs w:val="23"/>
        </w:rPr>
        <w:t xml:space="preserve">aregivers </w:t>
      </w:r>
      <w:r w:rsidR="009D1C51" w:rsidRPr="00F853DD">
        <w:rPr>
          <w:rFonts w:ascii="Times" w:hAnsi="Times" w:cs="Times New Roman"/>
          <w:i/>
          <w:sz w:val="23"/>
          <w:szCs w:val="23"/>
        </w:rPr>
        <w:t>literature r</w:t>
      </w:r>
      <w:r w:rsidRPr="00F853DD">
        <w:rPr>
          <w:rFonts w:ascii="Times" w:hAnsi="Times" w:cs="Times New Roman"/>
          <w:i/>
          <w:sz w:val="23"/>
          <w:szCs w:val="23"/>
        </w:rPr>
        <w:t xml:space="preserve">eview: </w:t>
      </w:r>
      <w:r w:rsidR="009D1C51" w:rsidRPr="00F853DD">
        <w:rPr>
          <w:rFonts w:ascii="Times" w:hAnsi="Times" w:cs="Times New Roman"/>
          <w:i/>
          <w:sz w:val="23"/>
          <w:szCs w:val="23"/>
        </w:rPr>
        <w:t>a</w:t>
      </w:r>
      <w:r w:rsidRPr="00F853DD">
        <w:rPr>
          <w:rFonts w:ascii="Times" w:hAnsi="Times" w:cs="Times New Roman"/>
          <w:i/>
          <w:sz w:val="23"/>
          <w:szCs w:val="23"/>
        </w:rPr>
        <w:t xml:space="preserve"> report prepared for the National Health Committee.</w:t>
      </w:r>
      <w:r w:rsidRPr="00F853DD">
        <w:rPr>
          <w:rFonts w:ascii="Times" w:hAnsi="Times" w:cs="Times New Roman"/>
          <w:sz w:val="23"/>
          <w:szCs w:val="23"/>
        </w:rPr>
        <w:t xml:space="preserve"> In: Centre, H. S. R. (ed.). New Zealand: Victoria University of Wellington.</w:t>
      </w:r>
    </w:p>
    <w:p w14:paraId="6F5FA17B" w14:textId="108322FE" w:rsidR="00DF05BD" w:rsidRPr="00F853DD" w:rsidRDefault="00BD729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Gooding, P.</w:t>
      </w:r>
      <w:r w:rsidR="00DF05BD" w:rsidRPr="00F853DD">
        <w:rPr>
          <w:rFonts w:ascii="Times" w:hAnsi="Times" w:cs="Times New Roman"/>
          <w:sz w:val="23"/>
          <w:szCs w:val="23"/>
        </w:rPr>
        <w:t>, Hurst, A., Johnson, J. and Tarrier, N.</w:t>
      </w:r>
      <w:r w:rsidRPr="00F853DD">
        <w:rPr>
          <w:rFonts w:ascii="Times" w:hAnsi="Times" w:cs="Times New Roman"/>
          <w:sz w:val="23"/>
          <w:szCs w:val="23"/>
        </w:rPr>
        <w:t>,</w:t>
      </w:r>
      <w:r w:rsidR="00DF05BD" w:rsidRPr="00F853DD">
        <w:rPr>
          <w:rFonts w:ascii="Times" w:hAnsi="Times" w:cs="Times New Roman"/>
          <w:sz w:val="23"/>
          <w:szCs w:val="23"/>
        </w:rPr>
        <w:t xml:space="preserve"> (2012). Psychological resilience in young and older adults. </w:t>
      </w:r>
      <w:r w:rsidR="00DF05BD" w:rsidRPr="00F853DD">
        <w:rPr>
          <w:rFonts w:ascii="Times" w:hAnsi="Times" w:cs="Times New Roman"/>
          <w:i/>
          <w:sz w:val="23"/>
          <w:szCs w:val="23"/>
        </w:rPr>
        <w:t>International Journal of Geriatric Psychiatry</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262-270.</w:t>
      </w:r>
    </w:p>
    <w:p w14:paraId="42C2DA94" w14:textId="6E9D30AD" w:rsidR="00DF05BD" w:rsidRPr="00F853DD" w:rsidRDefault="00BD729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Gorbien, M. and Eisenstein, A.,</w:t>
      </w:r>
      <w:r w:rsidR="00DF05BD" w:rsidRPr="00F853DD">
        <w:rPr>
          <w:rFonts w:ascii="Times" w:hAnsi="Times" w:cs="Times New Roman"/>
          <w:sz w:val="23"/>
          <w:szCs w:val="23"/>
        </w:rPr>
        <w:t xml:space="preserve"> (2</w:t>
      </w:r>
      <w:r w:rsidR="009D1C51" w:rsidRPr="00F853DD">
        <w:rPr>
          <w:rFonts w:ascii="Times" w:hAnsi="Times" w:cs="Times New Roman"/>
          <w:sz w:val="23"/>
          <w:szCs w:val="23"/>
        </w:rPr>
        <w:t>005). Elder abuse and neglect: a</w:t>
      </w:r>
      <w:r w:rsidR="00DF05BD" w:rsidRPr="00F853DD">
        <w:rPr>
          <w:rFonts w:ascii="Times" w:hAnsi="Times" w:cs="Times New Roman"/>
          <w:sz w:val="23"/>
          <w:szCs w:val="23"/>
        </w:rPr>
        <w:t xml:space="preserve">n overview. </w:t>
      </w:r>
      <w:r w:rsidR="00DF05BD" w:rsidRPr="00F853DD">
        <w:rPr>
          <w:rFonts w:ascii="Times" w:hAnsi="Times" w:cs="Times New Roman"/>
          <w:i/>
          <w:sz w:val="23"/>
          <w:szCs w:val="23"/>
        </w:rPr>
        <w:t>Clinics in Geriatric Medicine</w:t>
      </w:r>
      <w:r w:rsidR="009D1C51"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DF05BD" w:rsidRPr="00F853DD">
        <w:rPr>
          <w:rFonts w:ascii="Times" w:hAnsi="Times" w:cs="Times New Roman"/>
          <w:sz w:val="23"/>
          <w:szCs w:val="23"/>
        </w:rPr>
        <w:t>, 279.</w:t>
      </w:r>
    </w:p>
    <w:p w14:paraId="48483303" w14:textId="5262BE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Gorgen, T. and Nagele, B.</w:t>
      </w:r>
      <w:r w:rsidR="00BD729E" w:rsidRPr="00F853DD">
        <w:rPr>
          <w:rFonts w:ascii="Times" w:hAnsi="Times" w:cs="Times New Roman"/>
          <w:sz w:val="23"/>
          <w:szCs w:val="23"/>
        </w:rPr>
        <w:t>,</w:t>
      </w:r>
      <w:r w:rsidRPr="00F853DD">
        <w:rPr>
          <w:rFonts w:ascii="Times" w:hAnsi="Times" w:cs="Times New Roman"/>
          <w:sz w:val="23"/>
          <w:szCs w:val="23"/>
        </w:rPr>
        <w:t xml:space="preserve"> (2005). Dom</w:t>
      </w:r>
      <w:r w:rsidR="009D1C51" w:rsidRPr="00F853DD">
        <w:rPr>
          <w:rFonts w:ascii="Times" w:hAnsi="Times" w:cs="Times New Roman"/>
          <w:sz w:val="23"/>
          <w:szCs w:val="23"/>
        </w:rPr>
        <w:t xml:space="preserve">estic elder abuse and neglect: </w:t>
      </w:r>
      <w:r w:rsidRPr="00F853DD">
        <w:rPr>
          <w:rFonts w:ascii="Times" w:hAnsi="Times" w:cs="Times New Roman"/>
          <w:sz w:val="23"/>
          <w:szCs w:val="23"/>
        </w:rPr>
        <w:t xml:space="preserve">confusions from the evaluation of a model project. </w:t>
      </w:r>
      <w:r w:rsidRPr="00F853DD">
        <w:rPr>
          <w:rFonts w:ascii="Times" w:hAnsi="Times" w:cs="Times New Roman"/>
          <w:i/>
          <w:sz w:val="23"/>
          <w:szCs w:val="23"/>
        </w:rPr>
        <w:t>Journal of Gerontology and Geriatrics</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 4-9.</w:t>
      </w:r>
    </w:p>
    <w:p w14:paraId="0281D033" w14:textId="64AB795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GORTT</w:t>
      </w:r>
      <w:r w:rsidR="00BD729E"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 xml:space="preserve">Trinidad and Tobago </w:t>
      </w:r>
      <w:r w:rsidR="009D1C51" w:rsidRPr="00F853DD">
        <w:rPr>
          <w:rFonts w:ascii="Times" w:hAnsi="Times" w:cs="Times New Roman"/>
          <w:i/>
          <w:sz w:val="23"/>
          <w:szCs w:val="23"/>
        </w:rPr>
        <w:t>population and housing census d</w:t>
      </w:r>
      <w:r w:rsidRPr="00F853DD">
        <w:rPr>
          <w:rFonts w:ascii="Times" w:hAnsi="Times" w:cs="Times New Roman"/>
          <w:i/>
          <w:sz w:val="23"/>
          <w:szCs w:val="23"/>
        </w:rPr>
        <w:t>emogr</w:t>
      </w:r>
      <w:r w:rsidR="009D1C51" w:rsidRPr="00F853DD">
        <w:rPr>
          <w:rFonts w:ascii="Times" w:hAnsi="Times" w:cs="Times New Roman"/>
          <w:i/>
          <w:sz w:val="23"/>
          <w:szCs w:val="23"/>
        </w:rPr>
        <w:t>aphic r</w:t>
      </w:r>
      <w:r w:rsidRPr="00F853DD">
        <w:rPr>
          <w:rFonts w:ascii="Times" w:hAnsi="Times" w:cs="Times New Roman"/>
          <w:i/>
          <w:sz w:val="23"/>
          <w:szCs w:val="23"/>
        </w:rPr>
        <w:t>eport</w:t>
      </w:r>
      <w:r w:rsidRPr="00F853DD">
        <w:rPr>
          <w:rFonts w:ascii="Times" w:hAnsi="Times" w:cs="Times New Roman"/>
          <w:sz w:val="23"/>
          <w:szCs w:val="23"/>
        </w:rPr>
        <w:t>. In: Central Statistical Office, M</w:t>
      </w:r>
      <w:r w:rsidR="00894FA9" w:rsidRPr="00F853DD">
        <w:rPr>
          <w:rFonts w:ascii="Times" w:hAnsi="Times" w:cs="Times New Roman"/>
          <w:sz w:val="23"/>
          <w:szCs w:val="23"/>
        </w:rPr>
        <w:t>inistry of Planning and Sustainable Development</w:t>
      </w:r>
      <w:r w:rsidRPr="00F853DD">
        <w:rPr>
          <w:rFonts w:ascii="Times" w:hAnsi="Times" w:cs="Times New Roman"/>
          <w:sz w:val="23"/>
          <w:szCs w:val="23"/>
        </w:rPr>
        <w:t xml:space="preserve"> (ed.). Trinidad.</w:t>
      </w:r>
    </w:p>
    <w:p w14:paraId="491CE1C9" w14:textId="1155158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GORTT</w:t>
      </w:r>
      <w:r w:rsidR="00BD729E" w:rsidRPr="00F853DD">
        <w:rPr>
          <w:rFonts w:ascii="Times" w:hAnsi="Times" w:cs="Times New Roman"/>
          <w:sz w:val="23"/>
          <w:szCs w:val="23"/>
        </w:rPr>
        <w:t>,</w:t>
      </w:r>
      <w:r w:rsidRPr="00F853DD">
        <w:rPr>
          <w:rFonts w:ascii="Times" w:hAnsi="Times" w:cs="Times New Roman"/>
          <w:sz w:val="23"/>
          <w:szCs w:val="23"/>
        </w:rPr>
        <w:t xml:space="preserve"> (2016)a. </w:t>
      </w:r>
      <w:r w:rsidR="00894FA9" w:rsidRPr="00F853DD">
        <w:rPr>
          <w:rFonts w:ascii="Times" w:hAnsi="Times" w:cs="Times New Roman"/>
          <w:i/>
          <w:sz w:val="23"/>
          <w:szCs w:val="23"/>
        </w:rPr>
        <w:t>Draft n</w:t>
      </w:r>
      <w:r w:rsidRPr="00F853DD">
        <w:rPr>
          <w:rFonts w:ascii="Times" w:hAnsi="Times" w:cs="Times New Roman"/>
          <w:i/>
          <w:sz w:val="23"/>
          <w:szCs w:val="23"/>
        </w:rPr>
        <w:t xml:space="preserve">ational </w:t>
      </w:r>
      <w:r w:rsidR="00894FA9" w:rsidRPr="00F853DD">
        <w:rPr>
          <w:rFonts w:ascii="Times" w:hAnsi="Times" w:cs="Times New Roman"/>
          <w:i/>
          <w:sz w:val="23"/>
          <w:szCs w:val="23"/>
        </w:rPr>
        <w:t>d</w:t>
      </w:r>
      <w:r w:rsidRPr="00F853DD">
        <w:rPr>
          <w:rFonts w:ascii="Times" w:hAnsi="Times" w:cs="Times New Roman"/>
          <w:i/>
          <w:sz w:val="23"/>
          <w:szCs w:val="23"/>
        </w:rPr>
        <w:t xml:space="preserve">evelopment </w:t>
      </w:r>
      <w:r w:rsidR="00894FA9" w:rsidRPr="00F853DD">
        <w:rPr>
          <w:rFonts w:ascii="Times" w:hAnsi="Times" w:cs="Times New Roman"/>
          <w:i/>
          <w:sz w:val="23"/>
          <w:szCs w:val="23"/>
        </w:rPr>
        <w:t>s</w:t>
      </w:r>
      <w:r w:rsidRPr="00F853DD">
        <w:rPr>
          <w:rFonts w:ascii="Times" w:hAnsi="Times" w:cs="Times New Roman"/>
          <w:i/>
          <w:sz w:val="23"/>
          <w:szCs w:val="23"/>
        </w:rPr>
        <w:t>trategy</w:t>
      </w:r>
      <w:r w:rsidRPr="00F853DD">
        <w:rPr>
          <w:rFonts w:ascii="Times" w:hAnsi="Times" w:cs="Times New Roman"/>
          <w:sz w:val="23"/>
          <w:szCs w:val="23"/>
        </w:rPr>
        <w:t xml:space="preserve"> 2016 - 2030 (Vision 2030).</w:t>
      </w:r>
    </w:p>
    <w:p w14:paraId="740EAAC5" w14:textId="44904330" w:rsidR="00DF05BD" w:rsidRPr="00F853DD" w:rsidRDefault="00DF05BD"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GORTT</w:t>
      </w:r>
      <w:r w:rsidR="00BD729E" w:rsidRPr="00F853DD">
        <w:rPr>
          <w:rFonts w:ascii="Times" w:hAnsi="Times" w:cs="Times New Roman"/>
          <w:sz w:val="23"/>
          <w:szCs w:val="23"/>
        </w:rPr>
        <w:t>,</w:t>
      </w:r>
      <w:r w:rsidRPr="00F853DD">
        <w:rPr>
          <w:rFonts w:ascii="Times" w:hAnsi="Times" w:cs="Times New Roman"/>
          <w:sz w:val="23"/>
          <w:szCs w:val="23"/>
        </w:rPr>
        <w:t xml:space="preserve"> (2016)b. </w:t>
      </w:r>
      <w:r w:rsidRPr="00F853DD">
        <w:rPr>
          <w:rFonts w:ascii="Times" w:hAnsi="Times" w:cs="Times New Roman"/>
          <w:i/>
          <w:sz w:val="23"/>
          <w:szCs w:val="23"/>
        </w:rPr>
        <w:t xml:space="preserve">Shaping a </w:t>
      </w:r>
      <w:r w:rsidR="00894FA9" w:rsidRPr="00F853DD">
        <w:rPr>
          <w:rFonts w:ascii="Times" w:hAnsi="Times" w:cs="Times New Roman"/>
          <w:i/>
          <w:sz w:val="23"/>
          <w:szCs w:val="23"/>
        </w:rPr>
        <w:t>b</w:t>
      </w:r>
      <w:r w:rsidRPr="00F853DD">
        <w:rPr>
          <w:rFonts w:ascii="Times" w:hAnsi="Times" w:cs="Times New Roman"/>
          <w:i/>
          <w:sz w:val="23"/>
          <w:szCs w:val="23"/>
        </w:rPr>
        <w:t xml:space="preserve">righter </w:t>
      </w:r>
      <w:r w:rsidR="00894FA9" w:rsidRPr="00F853DD">
        <w:rPr>
          <w:rFonts w:ascii="Times" w:hAnsi="Times" w:cs="Times New Roman"/>
          <w:i/>
          <w:sz w:val="23"/>
          <w:szCs w:val="23"/>
        </w:rPr>
        <w:t>f</w:t>
      </w:r>
      <w:r w:rsidRPr="00F853DD">
        <w:rPr>
          <w:rFonts w:ascii="Times" w:hAnsi="Times" w:cs="Times New Roman"/>
          <w:i/>
          <w:sz w:val="23"/>
          <w:szCs w:val="23"/>
        </w:rPr>
        <w:t xml:space="preserve">uture: </w:t>
      </w:r>
      <w:r w:rsidR="00894FA9" w:rsidRPr="00F853DD">
        <w:rPr>
          <w:rFonts w:ascii="Times" w:hAnsi="Times" w:cs="Times New Roman"/>
          <w:i/>
          <w:sz w:val="23"/>
          <w:szCs w:val="23"/>
        </w:rPr>
        <w:t>a</w:t>
      </w:r>
      <w:r w:rsidRPr="00F853DD">
        <w:rPr>
          <w:rFonts w:ascii="Times" w:hAnsi="Times" w:cs="Times New Roman"/>
          <w:i/>
          <w:sz w:val="23"/>
          <w:szCs w:val="23"/>
        </w:rPr>
        <w:t xml:space="preserve"> Blueprint for Transformation and Growth.</w:t>
      </w:r>
    </w:p>
    <w:p w14:paraId="71BA34BC" w14:textId="0AA19EF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GORTT</w:t>
      </w:r>
      <w:r w:rsidR="00BD729E" w:rsidRPr="00F853DD">
        <w:rPr>
          <w:rFonts w:ascii="Times" w:hAnsi="Times" w:cs="Times New Roman"/>
          <w:sz w:val="23"/>
          <w:szCs w:val="23"/>
        </w:rPr>
        <w:t>,</w:t>
      </w:r>
      <w:r w:rsidRPr="00F853DD">
        <w:rPr>
          <w:rFonts w:ascii="Times" w:hAnsi="Times" w:cs="Times New Roman"/>
          <w:sz w:val="23"/>
          <w:szCs w:val="23"/>
        </w:rPr>
        <w:t xml:space="preserve"> (2016)c. </w:t>
      </w:r>
      <w:r w:rsidR="00894FA9" w:rsidRPr="00F853DD">
        <w:rPr>
          <w:rFonts w:ascii="Times" w:hAnsi="Times" w:cs="Times New Roman"/>
          <w:i/>
          <w:sz w:val="23"/>
          <w:szCs w:val="23"/>
        </w:rPr>
        <w:t>Social sector i</w:t>
      </w:r>
      <w:r w:rsidRPr="00F853DD">
        <w:rPr>
          <w:rFonts w:ascii="Times" w:hAnsi="Times" w:cs="Times New Roman"/>
          <w:i/>
          <w:sz w:val="23"/>
          <w:szCs w:val="23"/>
        </w:rPr>
        <w:t>nvestmen</w:t>
      </w:r>
      <w:r w:rsidR="00894FA9" w:rsidRPr="00F853DD">
        <w:rPr>
          <w:rFonts w:ascii="Times" w:hAnsi="Times" w:cs="Times New Roman"/>
          <w:i/>
          <w:sz w:val="23"/>
          <w:szCs w:val="23"/>
        </w:rPr>
        <w:t>t p</w:t>
      </w:r>
      <w:r w:rsidRPr="00F853DD">
        <w:rPr>
          <w:rFonts w:ascii="Times" w:hAnsi="Times" w:cs="Times New Roman"/>
          <w:i/>
          <w:sz w:val="23"/>
          <w:szCs w:val="23"/>
        </w:rPr>
        <w:t>rogramme</w:t>
      </w:r>
      <w:r w:rsidRPr="00F853DD">
        <w:rPr>
          <w:rFonts w:ascii="Times" w:hAnsi="Times" w:cs="Times New Roman"/>
          <w:sz w:val="23"/>
          <w:szCs w:val="23"/>
        </w:rPr>
        <w:t xml:space="preserve"> 2017. In: Services, M</w:t>
      </w:r>
      <w:r w:rsidR="00894FA9" w:rsidRPr="00F853DD">
        <w:rPr>
          <w:rFonts w:ascii="Times" w:hAnsi="Times" w:cs="Times New Roman"/>
          <w:sz w:val="23"/>
          <w:szCs w:val="23"/>
        </w:rPr>
        <w:t>inistry of Social Development and Family Services</w:t>
      </w:r>
      <w:r w:rsidRPr="00F853DD">
        <w:rPr>
          <w:rFonts w:ascii="Times" w:hAnsi="Times" w:cs="Times New Roman"/>
          <w:sz w:val="23"/>
          <w:szCs w:val="23"/>
        </w:rPr>
        <w:t xml:space="preserve"> (ed.). Trinidad W.I.</w:t>
      </w:r>
    </w:p>
    <w:p w14:paraId="0F86032A" w14:textId="3AF3DC9D"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G</w:t>
      </w:r>
      <w:r w:rsidR="00243FE6" w:rsidRPr="00F853DD">
        <w:rPr>
          <w:rFonts w:ascii="Times" w:hAnsi="Times" w:cs="Times New Roman"/>
          <w:sz w:val="23"/>
          <w:szCs w:val="23"/>
        </w:rPr>
        <w:t>oto, N., Hamaker, M., Willems, H., Verhaar, M. and Emmelot-Vonk, M</w:t>
      </w:r>
      <w:r w:rsidRPr="00F853DD">
        <w:rPr>
          <w:rFonts w:ascii="Times" w:hAnsi="Times" w:cs="Times New Roman"/>
          <w:sz w:val="23"/>
          <w:szCs w:val="23"/>
        </w:rPr>
        <w:t xml:space="preserve">., 2019. </w:t>
      </w:r>
      <w:r w:rsidRPr="00F853DD">
        <w:rPr>
          <w:rFonts w:ascii="Times" w:hAnsi="Times" w:cs="Times New Roman"/>
          <w:sz w:val="23"/>
          <w:szCs w:val="23"/>
          <w:lang w:val="en-TT"/>
        </w:rPr>
        <w:t xml:space="preserve">Accidental falling in community-dwelling elderly with chronic kidney disease. </w:t>
      </w:r>
      <w:r w:rsidRPr="00F853DD">
        <w:rPr>
          <w:rFonts w:ascii="Times" w:hAnsi="Times" w:cs="Times New Roman"/>
          <w:i/>
          <w:sz w:val="23"/>
          <w:szCs w:val="23"/>
          <w:lang w:val="en-TT"/>
        </w:rPr>
        <w:t>International urology and nephrology</w:t>
      </w:r>
      <w:r w:rsidR="00894FA9" w:rsidRPr="00F853DD">
        <w:rPr>
          <w:rFonts w:ascii="Times" w:hAnsi="Times" w:cs="Times New Roman"/>
          <w:sz w:val="23"/>
          <w:szCs w:val="23"/>
          <w:lang w:val="en-TT"/>
        </w:rPr>
        <w:t>.</w:t>
      </w:r>
      <w:r w:rsidRPr="00F853DD">
        <w:rPr>
          <w:rFonts w:ascii="Times" w:hAnsi="Times" w:cs="Times New Roman"/>
          <w:sz w:val="23"/>
          <w:szCs w:val="23"/>
          <w:lang w:val="en-TT"/>
        </w:rPr>
        <w:t xml:space="preserve"> </w:t>
      </w:r>
      <w:r w:rsidRPr="00F853DD">
        <w:rPr>
          <w:rFonts w:ascii="Times" w:hAnsi="Times" w:cs="Times New Roman"/>
          <w:b/>
          <w:sz w:val="23"/>
          <w:szCs w:val="23"/>
          <w:lang w:val="en-TT"/>
        </w:rPr>
        <w:t>51</w:t>
      </w:r>
      <w:r w:rsidRPr="00F853DD">
        <w:rPr>
          <w:rFonts w:ascii="Times" w:hAnsi="Times" w:cs="Times New Roman"/>
          <w:sz w:val="23"/>
          <w:szCs w:val="23"/>
          <w:lang w:val="en-TT"/>
        </w:rPr>
        <w:t>(1), 119-127.</w:t>
      </w:r>
    </w:p>
    <w:p w14:paraId="23342745" w14:textId="533B8E0C"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Gottlieb, B. and Bergen, A.,</w:t>
      </w:r>
      <w:r w:rsidR="00DF05BD" w:rsidRPr="00F853DD">
        <w:rPr>
          <w:rFonts w:ascii="Times" w:hAnsi="Times" w:cs="Times New Roman"/>
          <w:sz w:val="23"/>
          <w:szCs w:val="23"/>
        </w:rPr>
        <w:t xml:space="preserve"> (2010). Social support concepts and measures. </w:t>
      </w:r>
      <w:r w:rsidR="00DF05BD" w:rsidRPr="00F853DD">
        <w:rPr>
          <w:rFonts w:ascii="Times" w:hAnsi="Times" w:cs="Times New Roman"/>
          <w:i/>
          <w:sz w:val="23"/>
          <w:szCs w:val="23"/>
        </w:rPr>
        <w:t>Journal of Psychosomatic Research</w:t>
      </w:r>
      <w:r w:rsidR="00894FA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69</w:t>
      </w:r>
      <w:r w:rsidR="00DF05BD" w:rsidRPr="00F853DD">
        <w:rPr>
          <w:rFonts w:ascii="Times" w:hAnsi="Times" w:cs="Times New Roman"/>
          <w:sz w:val="23"/>
          <w:szCs w:val="23"/>
        </w:rPr>
        <w:t>, 511-520.</w:t>
      </w:r>
    </w:p>
    <w:p w14:paraId="22D340B5" w14:textId="62386474"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Gottlieb, B., Maitland, S.</w:t>
      </w:r>
      <w:r w:rsidR="00DF05BD" w:rsidRPr="00F853DD">
        <w:rPr>
          <w:rFonts w:ascii="Times" w:hAnsi="Times" w:cs="Times New Roman"/>
          <w:sz w:val="23"/>
          <w:szCs w:val="23"/>
        </w:rPr>
        <w:t xml:space="preserve"> and Brown, J.</w:t>
      </w:r>
      <w:r w:rsidRPr="00F853DD">
        <w:rPr>
          <w:rFonts w:ascii="Times" w:hAnsi="Times" w:cs="Times New Roman"/>
          <w:sz w:val="23"/>
          <w:szCs w:val="23"/>
        </w:rPr>
        <w:t>,</w:t>
      </w:r>
      <w:r w:rsidR="00DF05BD" w:rsidRPr="00F853DD">
        <w:rPr>
          <w:rFonts w:ascii="Times" w:hAnsi="Times" w:cs="Times New Roman"/>
          <w:sz w:val="23"/>
          <w:szCs w:val="23"/>
        </w:rPr>
        <w:t xml:space="preserve"> (2014). Social Support and Adjustment Among Wives of Men with Prostate Cancer. </w:t>
      </w:r>
      <w:r w:rsidR="00DF05BD" w:rsidRPr="00F853DD">
        <w:rPr>
          <w:rFonts w:ascii="Times" w:hAnsi="Times" w:cs="Times New Roman"/>
          <w:i/>
          <w:sz w:val="23"/>
          <w:szCs w:val="23"/>
        </w:rPr>
        <w:t>Journal of Psychosocial Oncology</w:t>
      </w:r>
      <w:r w:rsidR="00894FA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32</w:t>
      </w:r>
      <w:r w:rsidR="00DF05BD" w:rsidRPr="00F853DD">
        <w:rPr>
          <w:rFonts w:ascii="Times" w:hAnsi="Times" w:cs="Times New Roman"/>
          <w:sz w:val="23"/>
          <w:szCs w:val="23"/>
        </w:rPr>
        <w:t>, 16-36.</w:t>
      </w:r>
    </w:p>
    <w:p w14:paraId="1D6633E7" w14:textId="4FA84F3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Grabovschi, C., Loignon, C. and Fortin, M.</w:t>
      </w:r>
      <w:r w:rsidR="00243FE6" w:rsidRPr="00F853DD">
        <w:rPr>
          <w:rFonts w:ascii="Times" w:hAnsi="Times" w:cs="Times New Roman"/>
          <w:sz w:val="23"/>
          <w:szCs w:val="23"/>
        </w:rPr>
        <w:t>,</w:t>
      </w:r>
      <w:r w:rsidRPr="00F853DD">
        <w:rPr>
          <w:rFonts w:ascii="Times" w:hAnsi="Times" w:cs="Times New Roman"/>
          <w:sz w:val="23"/>
          <w:szCs w:val="23"/>
        </w:rPr>
        <w:t xml:space="preserve"> (2013). Mapping the concept of vulnerability related to health care disparities: a scoping review. </w:t>
      </w:r>
      <w:r w:rsidRPr="00F853DD">
        <w:rPr>
          <w:rFonts w:ascii="Times" w:hAnsi="Times" w:cs="Times New Roman"/>
          <w:i/>
          <w:sz w:val="23"/>
          <w:szCs w:val="23"/>
        </w:rPr>
        <w:t>Bmc Health Services Research</w:t>
      </w:r>
      <w:r w:rsidR="00894FA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Pr="00F853DD">
        <w:rPr>
          <w:rFonts w:ascii="Times" w:hAnsi="Times" w:cs="Times New Roman"/>
          <w:sz w:val="23"/>
          <w:szCs w:val="23"/>
        </w:rPr>
        <w:t>.</w:t>
      </w:r>
    </w:p>
    <w:p w14:paraId="1DAF18D6" w14:textId="2D068668" w:rsidR="006A00A8" w:rsidRPr="00F853DD" w:rsidRDefault="006A00A8" w:rsidP="006A00A8">
      <w:pPr>
        <w:autoSpaceDE w:val="0"/>
        <w:autoSpaceDN w:val="0"/>
        <w:adjustRightInd w:val="0"/>
        <w:spacing w:before="0" w:line="240" w:lineRule="auto"/>
        <w:ind w:left="567" w:hanging="567"/>
        <w:rPr>
          <w:rFonts w:ascii="Times New Roman" w:eastAsia="Times New Roman" w:hAnsi="Times New Roman" w:cs="Times New Roman"/>
          <w:sz w:val="23"/>
          <w:szCs w:val="23"/>
        </w:rPr>
      </w:pPr>
      <w:r w:rsidRPr="00F853DD">
        <w:rPr>
          <w:rFonts w:ascii="Times New Roman" w:eastAsiaTheme="minorHAnsi" w:hAnsi="Times New Roman" w:cs="Times New Roman"/>
          <w:sz w:val="23"/>
          <w:szCs w:val="23"/>
          <w:lang w:eastAsia="en-US"/>
        </w:rPr>
        <w:lastRenderedPageBreak/>
        <w:t>Graham, H.</w:t>
      </w:r>
      <w:r w:rsidR="00243FE6" w:rsidRPr="00F853DD">
        <w:rPr>
          <w:rFonts w:ascii="Times New Roman" w:eastAsiaTheme="minorHAnsi" w:hAnsi="Times New Roman" w:cs="Times New Roman"/>
          <w:sz w:val="23"/>
          <w:szCs w:val="23"/>
          <w:lang w:eastAsia="en-US"/>
        </w:rPr>
        <w:t>,</w:t>
      </w:r>
      <w:r w:rsidR="00894FA9" w:rsidRPr="00F853DD">
        <w:rPr>
          <w:rFonts w:ascii="Times New Roman" w:eastAsiaTheme="minorHAnsi" w:hAnsi="Times New Roman" w:cs="Times New Roman"/>
          <w:sz w:val="23"/>
          <w:szCs w:val="23"/>
          <w:lang w:eastAsia="en-US"/>
        </w:rPr>
        <w:t xml:space="preserve"> (1991) ‘</w:t>
      </w:r>
      <w:r w:rsidRPr="00F853DD">
        <w:rPr>
          <w:rFonts w:ascii="Times New Roman" w:eastAsiaTheme="minorHAnsi" w:hAnsi="Times New Roman" w:cs="Times New Roman"/>
          <w:sz w:val="23"/>
          <w:szCs w:val="23"/>
          <w:lang w:eastAsia="en-US"/>
        </w:rPr>
        <w:t>The concept of caring in feminist researc</w:t>
      </w:r>
      <w:r w:rsidR="00894FA9" w:rsidRPr="00F853DD">
        <w:rPr>
          <w:rFonts w:ascii="Times New Roman" w:eastAsiaTheme="minorHAnsi" w:hAnsi="Times New Roman" w:cs="Times New Roman"/>
          <w:sz w:val="23"/>
          <w:szCs w:val="23"/>
          <w:lang w:eastAsia="en-US"/>
        </w:rPr>
        <w:t>h: the case of domestic service’.</w:t>
      </w:r>
      <w:r w:rsidRPr="00F853DD">
        <w:rPr>
          <w:rFonts w:ascii="Times New Roman" w:eastAsiaTheme="minorHAnsi" w:hAnsi="Times New Roman" w:cs="Times New Roman"/>
          <w:sz w:val="23"/>
          <w:szCs w:val="23"/>
          <w:lang w:eastAsia="en-US"/>
        </w:rPr>
        <w:t xml:space="preserve"> </w:t>
      </w:r>
      <w:r w:rsidR="00894FA9" w:rsidRPr="00F853DD">
        <w:rPr>
          <w:rFonts w:ascii="Times New Roman" w:eastAsiaTheme="minorHAnsi" w:hAnsi="Times New Roman" w:cs="Times New Roman"/>
          <w:i/>
          <w:iCs/>
          <w:sz w:val="23"/>
          <w:szCs w:val="23"/>
          <w:lang w:eastAsia="en-US"/>
        </w:rPr>
        <w:t>Sociology.</w:t>
      </w:r>
      <w:r w:rsidRPr="00F853DD">
        <w:rPr>
          <w:rFonts w:ascii="Times New Roman" w:eastAsiaTheme="minorHAnsi" w:hAnsi="Times New Roman" w:cs="Times New Roman"/>
          <w:i/>
          <w:iCs/>
          <w:sz w:val="23"/>
          <w:szCs w:val="23"/>
          <w:lang w:eastAsia="en-US"/>
        </w:rPr>
        <w:t xml:space="preserve"> </w:t>
      </w:r>
      <w:r w:rsidRPr="00F853DD">
        <w:rPr>
          <w:rFonts w:ascii="Times New Roman" w:eastAsiaTheme="minorHAnsi" w:hAnsi="Times New Roman" w:cs="Times New Roman"/>
          <w:b/>
          <w:bCs/>
          <w:sz w:val="23"/>
          <w:szCs w:val="23"/>
          <w:lang w:eastAsia="en-US"/>
        </w:rPr>
        <w:t>25</w:t>
      </w:r>
      <w:r w:rsidRPr="00F853DD">
        <w:rPr>
          <w:rFonts w:ascii="Times New Roman" w:eastAsiaTheme="minorHAnsi" w:hAnsi="Times New Roman" w:cs="Times New Roman"/>
          <w:bCs/>
          <w:sz w:val="23"/>
          <w:szCs w:val="23"/>
          <w:lang w:eastAsia="en-US"/>
        </w:rPr>
        <w:t>(1),</w:t>
      </w:r>
      <w:r w:rsidRPr="00F853DD">
        <w:rPr>
          <w:rFonts w:ascii="Times New Roman" w:eastAsiaTheme="minorHAnsi" w:hAnsi="Times New Roman" w:cs="Times New Roman"/>
          <w:b/>
          <w:bCs/>
          <w:sz w:val="23"/>
          <w:szCs w:val="23"/>
          <w:lang w:eastAsia="en-US"/>
        </w:rPr>
        <w:t xml:space="preserve"> </w:t>
      </w:r>
      <w:r w:rsidRPr="00F853DD">
        <w:rPr>
          <w:rFonts w:ascii="Times New Roman" w:eastAsiaTheme="minorHAnsi" w:hAnsi="Times New Roman" w:cs="Times New Roman"/>
          <w:sz w:val="23"/>
          <w:szCs w:val="23"/>
          <w:lang w:eastAsia="en-US"/>
        </w:rPr>
        <w:t>61-78.</w:t>
      </w:r>
    </w:p>
    <w:p w14:paraId="6631F69D" w14:textId="75070519" w:rsidR="006A00A8" w:rsidRPr="00F853DD" w:rsidRDefault="006A00A8" w:rsidP="006A00A8">
      <w:pPr>
        <w:spacing w:before="0" w:line="240" w:lineRule="auto"/>
        <w:ind w:left="567" w:hanging="567"/>
        <w:rPr>
          <w:rFonts w:ascii="Times New Roman" w:eastAsia="Times New Roman" w:hAnsi="Times New Roman" w:cs="Times New Roman"/>
          <w:sz w:val="23"/>
          <w:szCs w:val="23"/>
        </w:rPr>
      </w:pPr>
      <w:r w:rsidRPr="00F853DD">
        <w:rPr>
          <w:rFonts w:ascii="Times New Roman" w:eastAsia="Times New Roman" w:hAnsi="Times New Roman" w:cs="Times New Roman"/>
          <w:sz w:val="23"/>
          <w:szCs w:val="23"/>
        </w:rPr>
        <w:t xml:space="preserve">Graham, H., 1997. Feminist perspectives on caring. In </w:t>
      </w:r>
      <w:r w:rsidRPr="00F853DD">
        <w:rPr>
          <w:rFonts w:ascii="Times New Roman" w:eastAsia="Times New Roman" w:hAnsi="Times New Roman" w:cs="Times New Roman"/>
          <w:i/>
          <w:iCs/>
          <w:sz w:val="23"/>
          <w:szCs w:val="23"/>
        </w:rPr>
        <w:t>Community care: A reader.</w:t>
      </w:r>
      <w:r w:rsidRPr="00F853DD">
        <w:rPr>
          <w:rFonts w:ascii="Times New Roman" w:eastAsia="Times New Roman" w:hAnsi="Times New Roman" w:cs="Times New Roman"/>
          <w:iCs/>
          <w:sz w:val="23"/>
          <w:szCs w:val="23"/>
        </w:rPr>
        <w:t>UK:</w:t>
      </w:r>
      <w:r w:rsidRPr="00F853DD">
        <w:rPr>
          <w:rFonts w:ascii="Times New Roman" w:eastAsia="Times New Roman" w:hAnsi="Times New Roman" w:cs="Times New Roman"/>
          <w:sz w:val="23"/>
          <w:szCs w:val="23"/>
        </w:rPr>
        <w:t xml:space="preserve"> Macmillan Education. (pp. 124-133). </w:t>
      </w:r>
    </w:p>
    <w:p w14:paraId="74E1D7B7" w14:textId="2AB0094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Graham, H.</w:t>
      </w:r>
      <w:r w:rsidR="00243FE6" w:rsidRPr="00F853DD">
        <w:rPr>
          <w:rFonts w:ascii="Times" w:hAnsi="Times" w:cs="Times New Roman"/>
          <w:sz w:val="23"/>
          <w:szCs w:val="23"/>
        </w:rPr>
        <w:t>,</w:t>
      </w:r>
      <w:r w:rsidR="00894FA9" w:rsidRPr="00F853DD">
        <w:rPr>
          <w:rFonts w:ascii="Times" w:hAnsi="Times" w:cs="Times New Roman"/>
          <w:sz w:val="23"/>
          <w:szCs w:val="23"/>
        </w:rPr>
        <w:t xml:space="preserve"> (1999). The informal s</w:t>
      </w:r>
      <w:r w:rsidRPr="00F853DD">
        <w:rPr>
          <w:rFonts w:ascii="Times" w:hAnsi="Times" w:cs="Times New Roman"/>
          <w:sz w:val="23"/>
          <w:szCs w:val="23"/>
        </w:rPr>
        <w:t>ector</w:t>
      </w:r>
      <w:r w:rsidR="00894FA9" w:rsidRPr="00F853DD">
        <w:rPr>
          <w:rFonts w:ascii="Times" w:hAnsi="Times" w:cs="Times New Roman"/>
          <w:sz w:val="23"/>
          <w:szCs w:val="23"/>
        </w:rPr>
        <w:t xml:space="preserve"> of w</w:t>
      </w:r>
      <w:r w:rsidRPr="00F853DD">
        <w:rPr>
          <w:rFonts w:ascii="Times" w:hAnsi="Times" w:cs="Times New Roman"/>
          <w:sz w:val="23"/>
          <w:szCs w:val="23"/>
        </w:rPr>
        <w:t xml:space="preserve">elfare: </w:t>
      </w:r>
      <w:r w:rsidR="00894FA9" w:rsidRPr="00F853DD">
        <w:rPr>
          <w:rFonts w:ascii="Times" w:hAnsi="Times" w:cs="Times New Roman"/>
          <w:sz w:val="23"/>
          <w:szCs w:val="23"/>
        </w:rPr>
        <w:t>a crisis in c</w:t>
      </w:r>
      <w:r w:rsidRPr="00F853DD">
        <w:rPr>
          <w:rFonts w:ascii="Times" w:hAnsi="Times" w:cs="Times New Roman"/>
          <w:sz w:val="23"/>
          <w:szCs w:val="23"/>
        </w:rPr>
        <w:t>aring. In: G</w:t>
      </w:r>
      <w:r w:rsidR="006A00A8" w:rsidRPr="00F853DD">
        <w:rPr>
          <w:rFonts w:ascii="Times" w:hAnsi="Times" w:cs="Times New Roman"/>
          <w:sz w:val="23"/>
          <w:szCs w:val="23"/>
        </w:rPr>
        <w:t>raham</w:t>
      </w:r>
      <w:r w:rsidRPr="00F853DD">
        <w:rPr>
          <w:rFonts w:ascii="Times" w:hAnsi="Times" w:cs="Times New Roman"/>
          <w:sz w:val="23"/>
          <w:szCs w:val="23"/>
        </w:rPr>
        <w:t xml:space="preserve">, A. (ed.) </w:t>
      </w:r>
      <w:r w:rsidRPr="00F853DD">
        <w:rPr>
          <w:rFonts w:ascii="Times" w:hAnsi="Times" w:cs="Times New Roman"/>
          <w:i/>
          <w:sz w:val="23"/>
          <w:szCs w:val="23"/>
        </w:rPr>
        <w:t>The Sociology of the Family: A Reader</w:t>
      </w:r>
      <w:r w:rsidRPr="00F853DD">
        <w:rPr>
          <w:rFonts w:ascii="Times" w:hAnsi="Times" w:cs="Times New Roman"/>
          <w:sz w:val="23"/>
          <w:szCs w:val="23"/>
        </w:rPr>
        <w:t>. United Kingdom: Blackwell Publishers Limited.</w:t>
      </w:r>
    </w:p>
    <w:p w14:paraId="171D8D88" w14:textId="3D42260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Graham, J. and Thurston, W.</w:t>
      </w:r>
      <w:r w:rsidR="00243FE6" w:rsidRPr="00F853DD">
        <w:rPr>
          <w:rFonts w:ascii="Times" w:hAnsi="Times" w:cs="Times New Roman"/>
          <w:sz w:val="23"/>
          <w:szCs w:val="23"/>
        </w:rPr>
        <w:t>,</w:t>
      </w:r>
      <w:r w:rsidRPr="00F853DD">
        <w:rPr>
          <w:rFonts w:ascii="Times" w:hAnsi="Times" w:cs="Times New Roman"/>
          <w:sz w:val="23"/>
          <w:szCs w:val="23"/>
        </w:rPr>
        <w:t xml:space="preserve"> (2005). Overcoming adversity: resilience and coping mechanisms developed by recent immigrant women living in the inner city of Calgary, Alberta [online]. </w:t>
      </w:r>
      <w:r w:rsidRPr="00F853DD">
        <w:rPr>
          <w:rFonts w:ascii="Times" w:hAnsi="Times" w:cs="Times New Roman"/>
          <w:i/>
          <w:sz w:val="23"/>
          <w:szCs w:val="23"/>
        </w:rPr>
        <w:t>Women's Health and Urban Life</w:t>
      </w:r>
      <w:r w:rsidRPr="00F853DD">
        <w:rPr>
          <w:rFonts w:ascii="Times" w:hAnsi="Times" w:cs="Times New Roman"/>
          <w:sz w:val="23"/>
          <w:szCs w:val="23"/>
        </w:rPr>
        <w:t xml:space="preserve">, </w:t>
      </w:r>
      <w:r w:rsidRPr="00F853DD">
        <w:rPr>
          <w:rFonts w:ascii="Times" w:hAnsi="Times" w:cs="Times New Roman"/>
          <w:b/>
          <w:sz w:val="23"/>
          <w:szCs w:val="23"/>
        </w:rPr>
        <w:t>4</w:t>
      </w:r>
      <w:r w:rsidRPr="00F853DD">
        <w:rPr>
          <w:rFonts w:ascii="Times" w:hAnsi="Times" w:cs="Times New Roman"/>
          <w:sz w:val="23"/>
          <w:szCs w:val="23"/>
        </w:rPr>
        <w:t xml:space="preserve">. Available from: https://tspace.library.utoronto.ca/handle/1807/4265. </w:t>
      </w:r>
    </w:p>
    <w:p w14:paraId="63CB4C3B" w14:textId="3EA0F6C5"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Grahame, K.,</w:t>
      </w:r>
      <w:r w:rsidR="00DF05BD" w:rsidRPr="00F853DD">
        <w:rPr>
          <w:rFonts w:ascii="Times" w:hAnsi="Times" w:cs="Times New Roman"/>
          <w:sz w:val="23"/>
          <w:szCs w:val="23"/>
        </w:rPr>
        <w:t xml:space="preserve"> (2006). Shifting arrangements: Indo-Trinidadian women, globalization, and the restructuring of family life. </w:t>
      </w:r>
      <w:r w:rsidR="00DF05BD" w:rsidRPr="00F853DD">
        <w:rPr>
          <w:rFonts w:ascii="Times" w:hAnsi="Times" w:cs="Times New Roman"/>
          <w:i/>
          <w:sz w:val="23"/>
          <w:szCs w:val="23"/>
        </w:rPr>
        <w:t>Sociological Spectrum</w:t>
      </w:r>
      <w:r w:rsidR="002B381B"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26</w:t>
      </w:r>
      <w:r w:rsidR="00DF05BD" w:rsidRPr="00F853DD">
        <w:rPr>
          <w:rFonts w:ascii="Times" w:hAnsi="Times" w:cs="Times New Roman"/>
          <w:sz w:val="23"/>
          <w:szCs w:val="23"/>
        </w:rPr>
        <w:t>, 425-452.</w:t>
      </w:r>
    </w:p>
    <w:p w14:paraId="09386B9F" w14:textId="26DDB83B"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Gray, D.,</w:t>
      </w:r>
      <w:r w:rsidR="00DF05BD" w:rsidRPr="00F853DD">
        <w:rPr>
          <w:rFonts w:ascii="Times" w:hAnsi="Times" w:cs="Times New Roman"/>
          <w:sz w:val="23"/>
          <w:szCs w:val="23"/>
        </w:rPr>
        <w:t xml:space="preserve"> (2014). </w:t>
      </w:r>
      <w:r w:rsidR="002B381B" w:rsidRPr="00F853DD">
        <w:rPr>
          <w:rFonts w:ascii="Times" w:hAnsi="Times" w:cs="Times New Roman"/>
          <w:i/>
          <w:sz w:val="23"/>
          <w:szCs w:val="23"/>
        </w:rPr>
        <w:t>Doing research i</w:t>
      </w:r>
      <w:r w:rsidR="00DF05BD" w:rsidRPr="00F853DD">
        <w:rPr>
          <w:rFonts w:ascii="Times" w:hAnsi="Times" w:cs="Times New Roman"/>
          <w:i/>
          <w:sz w:val="23"/>
          <w:szCs w:val="23"/>
        </w:rPr>
        <w:t xml:space="preserve">n </w:t>
      </w:r>
      <w:r w:rsidR="002B381B" w:rsidRPr="00F853DD">
        <w:rPr>
          <w:rFonts w:ascii="Times" w:hAnsi="Times" w:cs="Times New Roman"/>
          <w:i/>
          <w:sz w:val="23"/>
          <w:szCs w:val="23"/>
        </w:rPr>
        <w:t>the r</w:t>
      </w:r>
      <w:r w:rsidR="00DF05BD" w:rsidRPr="00F853DD">
        <w:rPr>
          <w:rFonts w:ascii="Times" w:hAnsi="Times" w:cs="Times New Roman"/>
          <w:i/>
          <w:sz w:val="23"/>
          <w:szCs w:val="23"/>
        </w:rPr>
        <w:t xml:space="preserve">eal </w:t>
      </w:r>
      <w:r w:rsidR="002B381B" w:rsidRPr="00F853DD">
        <w:rPr>
          <w:rFonts w:ascii="Times" w:hAnsi="Times" w:cs="Times New Roman"/>
          <w:i/>
          <w:sz w:val="23"/>
          <w:szCs w:val="23"/>
        </w:rPr>
        <w:t>w</w:t>
      </w:r>
      <w:r w:rsidR="00DF05BD" w:rsidRPr="00F853DD">
        <w:rPr>
          <w:rFonts w:ascii="Times" w:hAnsi="Times" w:cs="Times New Roman"/>
          <w:i/>
          <w:sz w:val="23"/>
          <w:szCs w:val="23"/>
        </w:rPr>
        <w:t>orld</w:t>
      </w:r>
      <w:r w:rsidR="00DF05BD" w:rsidRPr="00F853DD">
        <w:rPr>
          <w:rFonts w:ascii="Times" w:hAnsi="Times" w:cs="Times New Roman"/>
          <w:sz w:val="23"/>
          <w:szCs w:val="23"/>
        </w:rPr>
        <w:t>. London: SAGE Publications.</w:t>
      </w:r>
    </w:p>
    <w:p w14:paraId="548573B9" w14:textId="23270267"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Gray, R.</w:t>
      </w:r>
      <w:r w:rsidR="00DF05BD" w:rsidRPr="00F853DD">
        <w:rPr>
          <w:rFonts w:ascii="Times" w:hAnsi="Times" w:cs="Times New Roman"/>
          <w:sz w:val="23"/>
          <w:szCs w:val="23"/>
        </w:rPr>
        <w:t>, Hahn, L., Thapsuwan, S. and Thongcharoenchupong, N.</w:t>
      </w:r>
      <w:r w:rsidRPr="00F853DD">
        <w:rPr>
          <w:rFonts w:ascii="Times" w:hAnsi="Times" w:cs="Times New Roman"/>
          <w:sz w:val="23"/>
          <w:szCs w:val="23"/>
        </w:rPr>
        <w:t>,</w:t>
      </w:r>
      <w:r w:rsidR="00DF05BD" w:rsidRPr="00F853DD">
        <w:rPr>
          <w:rFonts w:ascii="Times" w:hAnsi="Times" w:cs="Times New Roman"/>
          <w:sz w:val="23"/>
          <w:szCs w:val="23"/>
        </w:rPr>
        <w:t xml:space="preserve"> (2016). Strength and stress: Positive and negative impacts on caregivers for older adults in Thailand. </w:t>
      </w:r>
      <w:r w:rsidR="00DF05BD" w:rsidRPr="00F853DD">
        <w:rPr>
          <w:rFonts w:ascii="Times" w:hAnsi="Times" w:cs="Times New Roman"/>
          <w:i/>
          <w:sz w:val="23"/>
          <w:szCs w:val="23"/>
        </w:rPr>
        <w:t>Australasian</w:t>
      </w:r>
      <w:r w:rsidR="00DF05BD" w:rsidRPr="00F853DD">
        <w:rPr>
          <w:rFonts w:ascii="Times" w:hAnsi="Times" w:cs="Times New Roman"/>
          <w:sz w:val="23"/>
          <w:szCs w:val="23"/>
        </w:rPr>
        <w:t xml:space="preserve"> </w:t>
      </w:r>
      <w:r w:rsidR="00DF05BD" w:rsidRPr="00F853DD">
        <w:rPr>
          <w:rFonts w:ascii="Times" w:hAnsi="Times" w:cs="Times New Roman"/>
          <w:i/>
          <w:sz w:val="23"/>
          <w:szCs w:val="23"/>
        </w:rPr>
        <w:t>Journal on Ageing</w:t>
      </w:r>
      <w:r w:rsidR="002B381B"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35</w:t>
      </w:r>
      <w:r w:rsidR="00DF05BD" w:rsidRPr="00F853DD">
        <w:rPr>
          <w:rFonts w:ascii="Times" w:hAnsi="Times" w:cs="Times New Roman"/>
          <w:sz w:val="23"/>
          <w:szCs w:val="23"/>
        </w:rPr>
        <w:t>, E7-E12.</w:t>
      </w:r>
    </w:p>
    <w:p w14:paraId="1EB56C8E" w14:textId="32974BE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Greaves, M. and Rogers-Clark, C.</w:t>
      </w:r>
      <w:r w:rsidR="00243FE6" w:rsidRPr="00F853DD">
        <w:rPr>
          <w:rFonts w:ascii="Times" w:hAnsi="Times" w:cs="Times New Roman"/>
          <w:sz w:val="23"/>
          <w:szCs w:val="23"/>
        </w:rPr>
        <w:t>,</w:t>
      </w:r>
      <w:r w:rsidR="002B381B" w:rsidRPr="00F853DD">
        <w:rPr>
          <w:rFonts w:ascii="Times" w:hAnsi="Times" w:cs="Times New Roman"/>
          <w:sz w:val="23"/>
          <w:szCs w:val="23"/>
        </w:rPr>
        <w:t xml:space="preserve"> (2011). ‘</w:t>
      </w:r>
      <w:r w:rsidRPr="00F853DD">
        <w:rPr>
          <w:rFonts w:ascii="Times" w:hAnsi="Times" w:cs="Times New Roman"/>
          <w:sz w:val="23"/>
          <w:szCs w:val="23"/>
        </w:rPr>
        <w:t>Once I became a pensioner I</w:t>
      </w:r>
      <w:r w:rsidR="002B381B" w:rsidRPr="00F853DD">
        <w:rPr>
          <w:rFonts w:ascii="Times" w:hAnsi="Times" w:cs="Times New Roman"/>
          <w:sz w:val="23"/>
          <w:szCs w:val="23"/>
        </w:rPr>
        <w:t xml:space="preserve"> became a nobody - a non-entity’: t</w:t>
      </w:r>
      <w:r w:rsidRPr="00F853DD">
        <w:rPr>
          <w:rFonts w:ascii="Times" w:hAnsi="Times" w:cs="Times New Roman"/>
          <w:sz w:val="23"/>
          <w:szCs w:val="23"/>
        </w:rPr>
        <w:t xml:space="preserve">he story of one woman's experience of the health care system. </w:t>
      </w:r>
      <w:r w:rsidRPr="00F853DD">
        <w:rPr>
          <w:rFonts w:ascii="Times" w:hAnsi="Times" w:cs="Times New Roman"/>
          <w:i/>
          <w:sz w:val="23"/>
          <w:szCs w:val="23"/>
        </w:rPr>
        <w:t>Contemporary Nurse</w:t>
      </w:r>
      <w:r w:rsidR="002B381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w:t>
      </w:r>
      <w:r w:rsidRPr="00F853DD">
        <w:rPr>
          <w:rFonts w:ascii="Times" w:hAnsi="Times" w:cs="Times New Roman"/>
          <w:sz w:val="23"/>
          <w:szCs w:val="23"/>
        </w:rPr>
        <w:t>, 204-212.</w:t>
      </w:r>
    </w:p>
    <w:p w14:paraId="31125017" w14:textId="73081A3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Gre</w:t>
      </w:r>
      <w:r w:rsidR="00243FE6" w:rsidRPr="00F853DD">
        <w:rPr>
          <w:rFonts w:ascii="Times" w:hAnsi="Times" w:cs="Times New Roman"/>
          <w:sz w:val="23"/>
          <w:szCs w:val="23"/>
        </w:rPr>
        <w:t>en, B., Johnson, C.</w:t>
      </w:r>
      <w:r w:rsidRPr="00F853DD">
        <w:rPr>
          <w:rFonts w:ascii="Times" w:hAnsi="Times" w:cs="Times New Roman"/>
          <w:sz w:val="23"/>
          <w:szCs w:val="23"/>
        </w:rPr>
        <w:t xml:space="preserve"> and Adams, A.</w:t>
      </w:r>
      <w:r w:rsidR="00243FE6" w:rsidRPr="00F853DD">
        <w:rPr>
          <w:rFonts w:ascii="Times" w:hAnsi="Times" w:cs="Times New Roman"/>
          <w:sz w:val="23"/>
          <w:szCs w:val="23"/>
        </w:rPr>
        <w:t>,</w:t>
      </w:r>
      <w:r w:rsidRPr="00F853DD">
        <w:rPr>
          <w:rFonts w:ascii="Times" w:hAnsi="Times" w:cs="Times New Roman"/>
          <w:sz w:val="23"/>
          <w:szCs w:val="23"/>
        </w:rPr>
        <w:t xml:space="preserve"> (2006). Writing narrative literature reviews for peer-reviewed journals: secrets of the trade. </w:t>
      </w:r>
      <w:r w:rsidRPr="00F853DD">
        <w:rPr>
          <w:rFonts w:ascii="Times" w:hAnsi="Times" w:cs="Times New Roman"/>
          <w:i/>
          <w:sz w:val="23"/>
          <w:szCs w:val="23"/>
        </w:rPr>
        <w:t>Journal of Chiropractic Medicine</w:t>
      </w:r>
      <w:r w:rsidR="002B381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 101-17.</w:t>
      </w:r>
    </w:p>
    <w:p w14:paraId="2697474B" w14:textId="2C7F7A24"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Greene, V.,</w:t>
      </w:r>
      <w:r w:rsidR="00DF05BD" w:rsidRPr="00F853DD">
        <w:rPr>
          <w:rFonts w:ascii="Times" w:hAnsi="Times" w:cs="Times New Roman"/>
          <w:sz w:val="23"/>
          <w:szCs w:val="23"/>
        </w:rPr>
        <w:t xml:space="preserve"> (1983). Substituti</w:t>
      </w:r>
      <w:r w:rsidR="002B381B" w:rsidRPr="00F853DD">
        <w:rPr>
          <w:rFonts w:ascii="Times" w:hAnsi="Times" w:cs="Times New Roman"/>
          <w:sz w:val="23"/>
          <w:szCs w:val="23"/>
        </w:rPr>
        <w:t>on between formally and informally provided care for the impaired e</w:t>
      </w:r>
      <w:r w:rsidR="00DF05BD" w:rsidRPr="00F853DD">
        <w:rPr>
          <w:rFonts w:ascii="Times" w:hAnsi="Times" w:cs="Times New Roman"/>
          <w:sz w:val="23"/>
          <w:szCs w:val="23"/>
        </w:rPr>
        <w:t xml:space="preserve">lderly in the Community. </w:t>
      </w:r>
      <w:r w:rsidR="00DF05BD" w:rsidRPr="00F853DD">
        <w:rPr>
          <w:rFonts w:ascii="Times" w:hAnsi="Times" w:cs="Times New Roman"/>
          <w:i/>
          <w:sz w:val="23"/>
          <w:szCs w:val="23"/>
        </w:rPr>
        <w:t>Medical Care</w:t>
      </w:r>
      <w:r w:rsidR="002B381B"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DF05BD" w:rsidRPr="00F853DD">
        <w:rPr>
          <w:rFonts w:ascii="Times" w:hAnsi="Times" w:cs="Times New Roman"/>
          <w:sz w:val="23"/>
          <w:szCs w:val="23"/>
        </w:rPr>
        <w:t>, 609-619.</w:t>
      </w:r>
    </w:p>
    <w:p w14:paraId="1496BFEC" w14:textId="1A2A6AD4"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Greenfield, E.,</w:t>
      </w:r>
      <w:r w:rsidR="002B381B" w:rsidRPr="00F853DD">
        <w:rPr>
          <w:rFonts w:ascii="Times" w:hAnsi="Times" w:cs="Times New Roman"/>
          <w:sz w:val="23"/>
          <w:szCs w:val="23"/>
        </w:rPr>
        <w:t xml:space="preserve"> (2012). Using ecological frameworks to advance a field of research, practice, and policy on aging-in-place i</w:t>
      </w:r>
      <w:r w:rsidR="00DF05BD" w:rsidRPr="00F853DD">
        <w:rPr>
          <w:rFonts w:ascii="Times" w:hAnsi="Times" w:cs="Times New Roman"/>
          <w:sz w:val="23"/>
          <w:szCs w:val="23"/>
        </w:rPr>
        <w:t xml:space="preserve">nitiatives. </w:t>
      </w:r>
      <w:r w:rsidR="00DF05BD" w:rsidRPr="00F853DD">
        <w:rPr>
          <w:rFonts w:ascii="Times" w:hAnsi="Times" w:cs="Times New Roman"/>
          <w:i/>
          <w:sz w:val="23"/>
          <w:szCs w:val="23"/>
        </w:rPr>
        <w:t>Gerontologist</w:t>
      </w:r>
      <w:r w:rsidR="002B381B"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52</w:t>
      </w:r>
      <w:r w:rsidR="00DF05BD" w:rsidRPr="00F853DD">
        <w:rPr>
          <w:rFonts w:ascii="Times" w:hAnsi="Times" w:cs="Times New Roman"/>
          <w:sz w:val="23"/>
          <w:szCs w:val="23"/>
        </w:rPr>
        <w:t>, 1-12.</w:t>
      </w:r>
    </w:p>
    <w:p w14:paraId="764D72A2" w14:textId="3F98BA2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Greenwood, N. and Smith, R.</w:t>
      </w:r>
      <w:r w:rsidR="00243FE6" w:rsidRPr="00F853DD">
        <w:rPr>
          <w:rFonts w:ascii="Times" w:hAnsi="Times" w:cs="Times New Roman"/>
          <w:sz w:val="23"/>
          <w:szCs w:val="23"/>
        </w:rPr>
        <w:t>,</w:t>
      </w:r>
      <w:r w:rsidR="002B381B" w:rsidRPr="00F853DD">
        <w:rPr>
          <w:rFonts w:ascii="Times" w:hAnsi="Times" w:cs="Times New Roman"/>
          <w:sz w:val="23"/>
          <w:szCs w:val="23"/>
        </w:rPr>
        <w:t xml:space="preserve"> (2016). The oldest carers: a</w:t>
      </w:r>
      <w:r w:rsidRPr="00F853DD">
        <w:rPr>
          <w:rFonts w:ascii="Times" w:hAnsi="Times" w:cs="Times New Roman"/>
          <w:sz w:val="23"/>
          <w:szCs w:val="23"/>
        </w:rPr>
        <w:t xml:space="preserve"> narrative review and synthesis of the experiences of carers aged over 75 years. </w:t>
      </w:r>
      <w:r w:rsidRPr="00F853DD">
        <w:rPr>
          <w:rFonts w:ascii="Times" w:hAnsi="Times" w:cs="Times New Roman"/>
          <w:i/>
          <w:sz w:val="23"/>
          <w:szCs w:val="23"/>
        </w:rPr>
        <w:t>Maturitas</w:t>
      </w:r>
      <w:r w:rsidR="002B381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94</w:t>
      </w:r>
      <w:r w:rsidRPr="00F853DD">
        <w:rPr>
          <w:rFonts w:ascii="Times" w:hAnsi="Times" w:cs="Times New Roman"/>
          <w:sz w:val="23"/>
          <w:szCs w:val="23"/>
        </w:rPr>
        <w:t>, 161-172.</w:t>
      </w:r>
    </w:p>
    <w:p w14:paraId="1433B002" w14:textId="1930F39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Gregory, A., Mackintosh, S., Kumar, S. and Grech, C.</w:t>
      </w:r>
      <w:r w:rsidR="00243FE6" w:rsidRPr="00F853DD">
        <w:rPr>
          <w:rFonts w:ascii="Times" w:hAnsi="Times" w:cs="Times New Roman"/>
          <w:sz w:val="23"/>
          <w:szCs w:val="23"/>
        </w:rPr>
        <w:t>,</w:t>
      </w:r>
      <w:r w:rsidRPr="00F853DD">
        <w:rPr>
          <w:rFonts w:ascii="Times" w:hAnsi="Times" w:cs="Times New Roman"/>
          <w:sz w:val="23"/>
          <w:szCs w:val="23"/>
        </w:rPr>
        <w:t xml:space="preserve"> (2017). Experiences of health care for older people who need support to live at home: </w:t>
      </w:r>
      <w:r w:rsidR="002B381B" w:rsidRPr="00F853DD">
        <w:rPr>
          <w:rFonts w:ascii="Times" w:hAnsi="Times" w:cs="Times New Roman"/>
          <w:sz w:val="23"/>
          <w:szCs w:val="23"/>
        </w:rPr>
        <w:t>a</w:t>
      </w:r>
      <w:r w:rsidRPr="00F853DD">
        <w:rPr>
          <w:rFonts w:ascii="Times" w:hAnsi="Times" w:cs="Times New Roman"/>
          <w:sz w:val="23"/>
          <w:szCs w:val="23"/>
        </w:rPr>
        <w:t xml:space="preserve"> systematic review of the qualitative literature. </w:t>
      </w:r>
      <w:r w:rsidR="002B381B" w:rsidRPr="00F853DD">
        <w:rPr>
          <w:rFonts w:ascii="Times" w:hAnsi="Times" w:cs="Times New Roman"/>
          <w:i/>
          <w:sz w:val="23"/>
          <w:szCs w:val="23"/>
        </w:rPr>
        <w:t>Geriatric Nursing.</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 315-324.</w:t>
      </w:r>
    </w:p>
    <w:p w14:paraId="1DF3F9A5" w14:textId="7715CC2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Grewal, I., Nazroo, J., Bajekal, M., Blane, D. and Lewis, J.</w:t>
      </w:r>
      <w:r w:rsidR="00243FE6" w:rsidRPr="00F853DD">
        <w:rPr>
          <w:rFonts w:ascii="Times" w:hAnsi="Times" w:cs="Times New Roman"/>
          <w:sz w:val="23"/>
          <w:szCs w:val="23"/>
        </w:rPr>
        <w:t>,</w:t>
      </w:r>
      <w:r w:rsidRPr="00F853DD">
        <w:rPr>
          <w:rFonts w:ascii="Times" w:hAnsi="Times" w:cs="Times New Roman"/>
          <w:sz w:val="23"/>
          <w:szCs w:val="23"/>
        </w:rPr>
        <w:t xml:space="preserve"> (2004). Influences on quality of life: a qualitative investigation of ethnic differences among older people in England. </w:t>
      </w:r>
      <w:r w:rsidRPr="00F853DD">
        <w:rPr>
          <w:rFonts w:ascii="Times" w:hAnsi="Times" w:cs="Times New Roman"/>
          <w:i/>
          <w:sz w:val="23"/>
          <w:szCs w:val="23"/>
        </w:rPr>
        <w:t>Journal of Ethnic and Migration Studies</w:t>
      </w:r>
      <w:r w:rsidR="002B381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(4), 737-761.</w:t>
      </w:r>
    </w:p>
    <w:p w14:paraId="33BCFC45" w14:textId="64F96E1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Grigorovich, A., Rittenberg, N., Dick, T., McCann, A., Abbott, A., Kmielauskas, A., Estioko, V., Ku</w:t>
      </w:r>
      <w:r w:rsidR="00243FE6" w:rsidRPr="00F853DD">
        <w:rPr>
          <w:rFonts w:ascii="Times" w:hAnsi="Times" w:cs="Times New Roman"/>
          <w:sz w:val="23"/>
          <w:szCs w:val="23"/>
        </w:rPr>
        <w:t>lasingham, S. and Cameron, J.,</w:t>
      </w:r>
      <w:r w:rsidRPr="00F853DD">
        <w:rPr>
          <w:rFonts w:ascii="Times" w:hAnsi="Times" w:cs="Times New Roman"/>
          <w:sz w:val="23"/>
          <w:szCs w:val="23"/>
        </w:rPr>
        <w:t xml:space="preserve"> (2016). Roles and coping strategies of sons caring for a parent with dementia. </w:t>
      </w:r>
      <w:r w:rsidRPr="00F853DD">
        <w:rPr>
          <w:rFonts w:ascii="Times" w:hAnsi="Times" w:cs="Times New Roman"/>
          <w:i/>
          <w:sz w:val="23"/>
          <w:szCs w:val="23"/>
        </w:rPr>
        <w:t>American Journal of Occupational Therapy</w:t>
      </w:r>
      <w:r w:rsidR="002B381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70</w:t>
      </w:r>
      <w:r w:rsidRPr="00F853DD">
        <w:rPr>
          <w:rFonts w:ascii="Times" w:hAnsi="Times" w:cs="Times New Roman"/>
          <w:sz w:val="23"/>
          <w:szCs w:val="23"/>
        </w:rPr>
        <w:t>, 1-9.</w:t>
      </w:r>
    </w:p>
    <w:p w14:paraId="7426A7EC" w14:textId="4C0881B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Grigoryeva, A.</w:t>
      </w:r>
      <w:r w:rsidR="00243FE6" w:rsidRPr="00F853DD">
        <w:rPr>
          <w:rFonts w:ascii="Times" w:hAnsi="Times" w:cs="Times New Roman"/>
          <w:sz w:val="23"/>
          <w:szCs w:val="23"/>
        </w:rPr>
        <w:t>,</w:t>
      </w:r>
      <w:r w:rsidR="004841A5" w:rsidRPr="00F853DD">
        <w:rPr>
          <w:rFonts w:ascii="Times" w:hAnsi="Times" w:cs="Times New Roman"/>
          <w:sz w:val="23"/>
          <w:szCs w:val="23"/>
        </w:rPr>
        <w:t xml:space="preserve"> (2017). Own gender, sibling’s gender, parent's gender: The d</w:t>
      </w:r>
      <w:r w:rsidRPr="00F853DD">
        <w:rPr>
          <w:rFonts w:ascii="Times" w:hAnsi="Times" w:cs="Times New Roman"/>
          <w:sz w:val="23"/>
          <w:szCs w:val="23"/>
        </w:rPr>
        <w:t xml:space="preserve">ivision of elderly parent care among adult children. </w:t>
      </w:r>
      <w:r w:rsidRPr="00F853DD">
        <w:rPr>
          <w:rFonts w:ascii="Times" w:hAnsi="Times" w:cs="Times New Roman"/>
          <w:i/>
          <w:sz w:val="23"/>
          <w:szCs w:val="23"/>
        </w:rPr>
        <w:t>American Sociological Review</w:t>
      </w:r>
      <w:r w:rsidR="002B381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82</w:t>
      </w:r>
      <w:r w:rsidRPr="00F853DD">
        <w:rPr>
          <w:rFonts w:ascii="Times" w:hAnsi="Times" w:cs="Times New Roman"/>
          <w:sz w:val="23"/>
          <w:szCs w:val="23"/>
        </w:rPr>
        <w:t>, 116-146.</w:t>
      </w:r>
    </w:p>
    <w:p w14:paraId="5E5E4624" w14:textId="4EF954FB" w:rsidR="00497C8C" w:rsidRPr="00F853DD" w:rsidRDefault="00497C8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Grigoryeva, A., 2014. </w:t>
      </w:r>
      <w:r w:rsidRPr="00F853DD">
        <w:rPr>
          <w:rFonts w:ascii="Times" w:hAnsi="Times" w:cs="Times New Roman"/>
          <w:i/>
          <w:sz w:val="23"/>
          <w:szCs w:val="23"/>
        </w:rPr>
        <w:t>When gender trumps everything: the division of parent care among siblings.</w:t>
      </w:r>
      <w:r w:rsidRPr="00F853DD">
        <w:rPr>
          <w:rFonts w:ascii="Times" w:hAnsi="Times" w:cs="Times New Roman"/>
          <w:sz w:val="23"/>
          <w:szCs w:val="23"/>
        </w:rPr>
        <w:t xml:space="preserve"> Princeton, NJ: Center for the Study of Social Organization.</w:t>
      </w:r>
    </w:p>
    <w:p w14:paraId="0A05062B" w14:textId="5138701D"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Gruijters, R.,</w:t>
      </w:r>
      <w:r w:rsidR="00DF05BD" w:rsidRPr="00F853DD">
        <w:rPr>
          <w:rFonts w:ascii="Times" w:hAnsi="Times" w:cs="Times New Roman"/>
          <w:sz w:val="23"/>
          <w:szCs w:val="23"/>
        </w:rPr>
        <w:t xml:space="preserve"> (2017). Intergenerational co</w:t>
      </w:r>
      <w:r w:rsidR="004841A5" w:rsidRPr="00F853DD">
        <w:rPr>
          <w:rFonts w:ascii="Times" w:hAnsi="Times" w:cs="Times New Roman"/>
          <w:sz w:val="23"/>
          <w:szCs w:val="23"/>
        </w:rPr>
        <w:t>ntact in Chinese families: s</w:t>
      </w:r>
      <w:r w:rsidR="00DF05BD" w:rsidRPr="00F853DD">
        <w:rPr>
          <w:rFonts w:ascii="Times" w:hAnsi="Times" w:cs="Times New Roman"/>
          <w:sz w:val="23"/>
          <w:szCs w:val="23"/>
        </w:rPr>
        <w:t xml:space="preserve">tructural and cultural explanations. </w:t>
      </w:r>
      <w:r w:rsidR="00DF05BD" w:rsidRPr="00F853DD">
        <w:rPr>
          <w:rFonts w:ascii="Times" w:hAnsi="Times" w:cs="Times New Roman"/>
          <w:i/>
          <w:sz w:val="23"/>
          <w:szCs w:val="23"/>
        </w:rPr>
        <w:t>Journal of Marriage and Family</w:t>
      </w:r>
      <w:r w:rsidR="002B381B"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79</w:t>
      </w:r>
      <w:r w:rsidR="00DF05BD" w:rsidRPr="00F853DD">
        <w:rPr>
          <w:rFonts w:ascii="Times" w:hAnsi="Times" w:cs="Times New Roman"/>
          <w:sz w:val="23"/>
          <w:szCs w:val="23"/>
        </w:rPr>
        <w:t xml:space="preserve">(3), 758-768. </w:t>
      </w:r>
    </w:p>
    <w:p w14:paraId="7DCA55A4" w14:textId="000254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Grundy, E.</w:t>
      </w:r>
      <w:r w:rsidR="00243FE6" w:rsidRPr="00F853DD">
        <w:rPr>
          <w:rFonts w:ascii="Times" w:hAnsi="Times" w:cs="Times New Roman"/>
          <w:sz w:val="23"/>
          <w:szCs w:val="23"/>
        </w:rPr>
        <w:t>,</w:t>
      </w:r>
      <w:r w:rsidRPr="00F853DD">
        <w:rPr>
          <w:rFonts w:ascii="Times" w:hAnsi="Times" w:cs="Times New Roman"/>
          <w:sz w:val="23"/>
          <w:szCs w:val="23"/>
        </w:rPr>
        <w:t xml:space="preserve"> (2006). Ageing and vulnerable elderly people: European perspectives. </w:t>
      </w:r>
      <w:r w:rsidRPr="00F853DD">
        <w:rPr>
          <w:rFonts w:ascii="Times" w:hAnsi="Times" w:cs="Times New Roman"/>
          <w:i/>
          <w:sz w:val="23"/>
          <w:szCs w:val="23"/>
        </w:rPr>
        <w:t>Ageing and Society</w:t>
      </w:r>
      <w:r w:rsidR="004841A5"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105-134.</w:t>
      </w:r>
    </w:p>
    <w:p w14:paraId="5644735B" w14:textId="6676DFB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Grundy, E. and Henretta, J.</w:t>
      </w:r>
      <w:r w:rsidR="00243FE6" w:rsidRPr="00F853DD">
        <w:rPr>
          <w:rFonts w:ascii="Times" w:hAnsi="Times" w:cs="Times New Roman"/>
          <w:sz w:val="23"/>
          <w:szCs w:val="23"/>
        </w:rPr>
        <w:t>,</w:t>
      </w:r>
      <w:r w:rsidRPr="00F853DD">
        <w:rPr>
          <w:rFonts w:ascii="Times" w:hAnsi="Times" w:cs="Times New Roman"/>
          <w:sz w:val="23"/>
          <w:szCs w:val="23"/>
        </w:rPr>
        <w:t xml:space="preserve"> (2006). Between elderly parents and adult children: a new look at the intergenerational care provided by the ‘sandwich generation’. </w:t>
      </w:r>
      <w:r w:rsidRPr="00F853DD">
        <w:rPr>
          <w:rFonts w:ascii="Times" w:hAnsi="Times" w:cs="Times New Roman"/>
          <w:i/>
          <w:sz w:val="23"/>
          <w:szCs w:val="23"/>
        </w:rPr>
        <w:t>Ageing &amp; Society</w:t>
      </w:r>
      <w:r w:rsidR="004841A5"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(5), 707-722.</w:t>
      </w:r>
    </w:p>
    <w:p w14:paraId="1B0A50CA" w14:textId="7FDE759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Guardiancich, I.</w:t>
      </w:r>
      <w:r w:rsidR="00243FE6" w:rsidRPr="00F853DD">
        <w:rPr>
          <w:rFonts w:ascii="Times" w:hAnsi="Times" w:cs="Times New Roman"/>
          <w:sz w:val="23"/>
          <w:szCs w:val="23"/>
        </w:rPr>
        <w:t>,</w:t>
      </w:r>
      <w:r w:rsidR="004841A5" w:rsidRPr="00F853DD">
        <w:rPr>
          <w:rFonts w:ascii="Times" w:hAnsi="Times" w:cs="Times New Roman"/>
          <w:sz w:val="23"/>
          <w:szCs w:val="23"/>
        </w:rPr>
        <w:t xml:space="preserve"> (2010). United Kingdom c</w:t>
      </w:r>
      <w:r w:rsidRPr="00F853DD">
        <w:rPr>
          <w:rFonts w:ascii="Times" w:hAnsi="Times" w:cs="Times New Roman"/>
          <w:sz w:val="23"/>
          <w:szCs w:val="23"/>
        </w:rPr>
        <w:t xml:space="preserve">urrent pension system: first assessment of reform outcomes and output. In: </w:t>
      </w:r>
      <w:r w:rsidRPr="00F853DD">
        <w:rPr>
          <w:rFonts w:ascii="Times" w:hAnsi="Times" w:cs="Times New Roman"/>
          <w:i/>
          <w:sz w:val="23"/>
          <w:szCs w:val="23"/>
        </w:rPr>
        <w:t>Observatory</w:t>
      </w:r>
      <w:r w:rsidRPr="00F853DD">
        <w:rPr>
          <w:rFonts w:ascii="Times" w:hAnsi="Times" w:cs="Times New Roman"/>
          <w:sz w:val="23"/>
          <w:szCs w:val="23"/>
        </w:rPr>
        <w:t>, E. S. (ed.).</w:t>
      </w:r>
    </w:p>
    <w:p w14:paraId="75CA09FB" w14:textId="2451A74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Gugushvili, D. and Hirsch, D.</w:t>
      </w:r>
      <w:r w:rsidR="00243FE6" w:rsidRPr="00F853DD">
        <w:rPr>
          <w:rFonts w:ascii="Times" w:hAnsi="Times" w:cs="Times New Roman"/>
          <w:sz w:val="23"/>
          <w:szCs w:val="23"/>
        </w:rPr>
        <w:t>,</w:t>
      </w:r>
      <w:r w:rsidR="004841A5" w:rsidRPr="00F853DD">
        <w:rPr>
          <w:rFonts w:ascii="Times" w:hAnsi="Times" w:cs="Times New Roman"/>
          <w:sz w:val="23"/>
          <w:szCs w:val="23"/>
        </w:rPr>
        <w:t xml:space="preserve"> (2014). Means testing versus universalism: what s</w:t>
      </w:r>
      <w:r w:rsidRPr="00F853DD">
        <w:rPr>
          <w:rFonts w:ascii="Times" w:hAnsi="Times" w:cs="Times New Roman"/>
          <w:sz w:val="23"/>
          <w:szCs w:val="23"/>
        </w:rPr>
        <w:t xml:space="preserve">trategies </w:t>
      </w:r>
      <w:r w:rsidR="004841A5" w:rsidRPr="00F853DD">
        <w:rPr>
          <w:rFonts w:ascii="Times" w:hAnsi="Times" w:cs="Times New Roman"/>
          <w:sz w:val="23"/>
          <w:szCs w:val="23"/>
        </w:rPr>
        <w:t>best address p</w:t>
      </w:r>
      <w:r w:rsidRPr="00F853DD">
        <w:rPr>
          <w:rFonts w:ascii="Times" w:hAnsi="Times" w:cs="Times New Roman"/>
          <w:sz w:val="23"/>
          <w:szCs w:val="23"/>
        </w:rPr>
        <w:t xml:space="preserve">overty. </w:t>
      </w:r>
      <w:r w:rsidR="004841A5" w:rsidRPr="00F853DD">
        <w:rPr>
          <w:rFonts w:ascii="Times" w:hAnsi="Times" w:cs="Times New Roman"/>
          <w:sz w:val="23"/>
          <w:szCs w:val="23"/>
        </w:rPr>
        <w:t>a</w:t>
      </w:r>
      <w:r w:rsidRPr="00F853DD">
        <w:rPr>
          <w:rFonts w:ascii="Times" w:hAnsi="Times" w:cs="Times New Roman"/>
          <w:sz w:val="23"/>
          <w:szCs w:val="23"/>
        </w:rPr>
        <w:t xml:space="preserve"> </w:t>
      </w:r>
      <w:r w:rsidR="004841A5" w:rsidRPr="00F853DD">
        <w:rPr>
          <w:rFonts w:ascii="Times" w:hAnsi="Times" w:cs="Times New Roman"/>
          <w:sz w:val="23"/>
          <w:szCs w:val="23"/>
        </w:rPr>
        <w:t>review c</w:t>
      </w:r>
      <w:r w:rsidRPr="00F853DD">
        <w:rPr>
          <w:rFonts w:ascii="Times" w:hAnsi="Times" w:cs="Times New Roman"/>
          <w:sz w:val="23"/>
          <w:szCs w:val="23"/>
        </w:rPr>
        <w:t>ontributing t</w:t>
      </w:r>
      <w:r w:rsidR="004841A5" w:rsidRPr="00F853DD">
        <w:rPr>
          <w:rFonts w:ascii="Times" w:hAnsi="Times" w:cs="Times New Roman"/>
          <w:sz w:val="23"/>
          <w:szCs w:val="23"/>
        </w:rPr>
        <w:t>o Joseph Rowntree Foundation’s development of an anti-poverty s</w:t>
      </w:r>
      <w:r w:rsidRPr="00F853DD">
        <w:rPr>
          <w:rFonts w:ascii="Times" w:hAnsi="Times" w:cs="Times New Roman"/>
          <w:sz w:val="23"/>
          <w:szCs w:val="23"/>
        </w:rPr>
        <w:t>trategy</w:t>
      </w:r>
      <w:r w:rsidR="004841A5"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i/>
          <w:sz w:val="23"/>
          <w:szCs w:val="23"/>
        </w:rPr>
        <w:t>Centre for Research in Social Policy</w:t>
      </w:r>
      <w:r w:rsidR="004841A5" w:rsidRPr="00F853DD">
        <w:rPr>
          <w:rFonts w:ascii="Times" w:hAnsi="Times" w:cs="Times New Roman"/>
          <w:i/>
          <w:sz w:val="23"/>
          <w:szCs w:val="23"/>
        </w:rPr>
        <w:t xml:space="preserve"> </w:t>
      </w:r>
      <w:r w:rsidR="004841A5" w:rsidRPr="00F853DD">
        <w:rPr>
          <w:rFonts w:ascii="Times" w:hAnsi="Times" w:cs="Times New Roman"/>
          <w:sz w:val="23"/>
          <w:szCs w:val="23"/>
        </w:rPr>
        <w:t>[online]</w:t>
      </w:r>
      <w:r w:rsidRPr="00F853DD">
        <w:rPr>
          <w:rFonts w:ascii="Times" w:hAnsi="Times" w:cs="Times New Roman"/>
          <w:sz w:val="23"/>
          <w:szCs w:val="23"/>
        </w:rPr>
        <w:t xml:space="preserve">. Loughborough University. [Viewed 18 November 2019]. Available from: https://www.lboro.ac.uk/media/wwwlboroacuk/content/crsp/downloads/reports/Means%20testing%20or%20Universalism_Final%20Report.pdf </w:t>
      </w:r>
    </w:p>
    <w:p w14:paraId="62EDCFA7" w14:textId="7795F32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Guiaux, M., Van Ti</w:t>
      </w:r>
      <w:r w:rsidR="00243FE6" w:rsidRPr="00F853DD">
        <w:rPr>
          <w:rFonts w:ascii="Times" w:hAnsi="Times" w:cs="Times New Roman"/>
          <w:sz w:val="23"/>
          <w:szCs w:val="23"/>
          <w:lang w:val="nl-NL"/>
        </w:rPr>
        <w:t>lburg, T. and Van Groenou, M.,</w:t>
      </w:r>
      <w:r w:rsidRPr="00F853DD">
        <w:rPr>
          <w:rFonts w:ascii="Times" w:hAnsi="Times" w:cs="Times New Roman"/>
          <w:sz w:val="23"/>
          <w:szCs w:val="23"/>
          <w:lang w:val="nl-NL"/>
        </w:rPr>
        <w:t xml:space="preserve"> (2007). </w:t>
      </w:r>
      <w:r w:rsidRPr="00F853DD">
        <w:rPr>
          <w:rFonts w:ascii="Times" w:hAnsi="Times" w:cs="Times New Roman"/>
          <w:sz w:val="23"/>
          <w:szCs w:val="23"/>
        </w:rPr>
        <w:t xml:space="preserve">Changes in contact and support exchange in personal networks after widowhood. </w:t>
      </w:r>
      <w:r w:rsidRPr="00F853DD">
        <w:rPr>
          <w:rFonts w:ascii="Times" w:hAnsi="Times" w:cs="Times New Roman"/>
          <w:i/>
          <w:sz w:val="23"/>
          <w:szCs w:val="23"/>
        </w:rPr>
        <w:t>Personal Relationships</w:t>
      </w:r>
      <w:r w:rsidR="0075077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457-473.</w:t>
      </w:r>
    </w:p>
    <w:p w14:paraId="63D9D7B0" w14:textId="6FCEEFFC" w:rsidR="00170342" w:rsidRPr="00F853DD" w:rsidRDefault="0017034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Gunaratnam, Y., 1997. Breaking the silence: black and ethnic minority carers and service provision. In </w:t>
      </w:r>
      <w:r w:rsidR="00750770" w:rsidRPr="00F853DD">
        <w:rPr>
          <w:rFonts w:ascii="Times" w:hAnsi="Times" w:cs="Times New Roman"/>
          <w:i/>
          <w:sz w:val="23"/>
          <w:szCs w:val="23"/>
        </w:rPr>
        <w:t>Community Care: A R</w:t>
      </w:r>
      <w:r w:rsidRPr="00F853DD">
        <w:rPr>
          <w:rFonts w:ascii="Times" w:hAnsi="Times" w:cs="Times New Roman"/>
          <w:i/>
          <w:sz w:val="23"/>
          <w:szCs w:val="23"/>
        </w:rPr>
        <w:t>eader</w:t>
      </w:r>
      <w:r w:rsidRPr="00F853DD">
        <w:rPr>
          <w:rFonts w:ascii="Times" w:hAnsi="Times" w:cs="Times New Roman"/>
          <w:sz w:val="23"/>
          <w:szCs w:val="23"/>
        </w:rPr>
        <w:t xml:space="preserve"> (pp. 114-123). Macmillan Education UK.</w:t>
      </w:r>
    </w:p>
    <w:p w14:paraId="5844220B" w14:textId="0951467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Gunnar, M., Mangelsdorf, S., Kestenbaum, R., Lang, S. and Andreas, D.</w:t>
      </w:r>
      <w:r w:rsidR="00243FE6" w:rsidRPr="00F853DD">
        <w:rPr>
          <w:rFonts w:ascii="Times" w:hAnsi="Times" w:cs="Times New Roman"/>
          <w:sz w:val="23"/>
          <w:szCs w:val="23"/>
        </w:rPr>
        <w:t>,</w:t>
      </w:r>
      <w:r w:rsidR="00750770" w:rsidRPr="00F853DD">
        <w:rPr>
          <w:rFonts w:ascii="Times" w:hAnsi="Times" w:cs="Times New Roman"/>
          <w:sz w:val="23"/>
          <w:szCs w:val="23"/>
        </w:rPr>
        <w:t xml:space="preserve"> (1989). Stress and coping in early d</w:t>
      </w:r>
      <w:r w:rsidRPr="00F853DD">
        <w:rPr>
          <w:rFonts w:ascii="Times" w:hAnsi="Times" w:cs="Times New Roman"/>
          <w:sz w:val="23"/>
          <w:szCs w:val="23"/>
        </w:rPr>
        <w:t xml:space="preserve">evelopment. In: Cicchetti, D. (ed.) </w:t>
      </w:r>
      <w:r w:rsidRPr="00F853DD">
        <w:rPr>
          <w:rFonts w:ascii="Times" w:hAnsi="Times" w:cs="Times New Roman"/>
          <w:i/>
          <w:sz w:val="23"/>
          <w:szCs w:val="23"/>
        </w:rPr>
        <w:t>The emergence of a discipline: Rochester symposium on developmental psychopathology</w:t>
      </w:r>
      <w:r w:rsidRPr="00F853DD">
        <w:rPr>
          <w:rFonts w:ascii="Times" w:hAnsi="Times" w:cs="Times New Roman"/>
          <w:sz w:val="23"/>
          <w:szCs w:val="23"/>
        </w:rPr>
        <w:t>. New Jersey: Lawrence Erlbaum Associates Inc.</w:t>
      </w:r>
    </w:p>
    <w:p w14:paraId="48DADACF" w14:textId="46455FC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Gunnarsson, E.</w:t>
      </w:r>
      <w:r w:rsidR="00243FE6" w:rsidRPr="00F853DD">
        <w:rPr>
          <w:rFonts w:ascii="Times" w:hAnsi="Times" w:cs="Times New Roman"/>
          <w:sz w:val="23"/>
          <w:szCs w:val="23"/>
        </w:rPr>
        <w:t>,</w:t>
      </w:r>
      <w:r w:rsidR="00AE3CAC" w:rsidRPr="00F853DD">
        <w:rPr>
          <w:rFonts w:ascii="Times" w:hAnsi="Times" w:cs="Times New Roman"/>
          <w:sz w:val="23"/>
          <w:szCs w:val="23"/>
        </w:rPr>
        <w:t xml:space="preserve"> (2009). ‘I think I have had a good life’</w:t>
      </w:r>
      <w:r w:rsidRPr="00F853DD">
        <w:rPr>
          <w:rFonts w:ascii="Times" w:hAnsi="Times" w:cs="Times New Roman"/>
          <w:sz w:val="23"/>
          <w:szCs w:val="23"/>
        </w:rPr>
        <w:t xml:space="preserve">: the everyday lives of older women and men from a life course perspective. </w:t>
      </w:r>
      <w:r w:rsidRPr="00F853DD">
        <w:rPr>
          <w:rFonts w:ascii="Times" w:hAnsi="Times" w:cs="Times New Roman"/>
          <w:i/>
          <w:sz w:val="23"/>
          <w:szCs w:val="23"/>
        </w:rPr>
        <w:t>Ageing and Society</w:t>
      </w:r>
      <w:r w:rsidR="0075077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33-48.</w:t>
      </w:r>
    </w:p>
    <w:p w14:paraId="0F0916BC" w14:textId="7664DD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Gupta</w:t>
      </w:r>
      <w:r w:rsidR="00243FE6" w:rsidRPr="00F853DD">
        <w:rPr>
          <w:rFonts w:ascii="Times" w:hAnsi="Times" w:cs="Times New Roman"/>
          <w:sz w:val="23"/>
          <w:szCs w:val="23"/>
        </w:rPr>
        <w:t>, R., Rowe, N. and Pillai, V.,</w:t>
      </w:r>
      <w:r w:rsidRPr="00F853DD">
        <w:rPr>
          <w:rFonts w:ascii="Times" w:hAnsi="Times" w:cs="Times New Roman"/>
          <w:sz w:val="23"/>
          <w:szCs w:val="23"/>
        </w:rPr>
        <w:t xml:space="preserve"> (2009). Perceived Caregiver Burden in India. </w:t>
      </w:r>
      <w:r w:rsidRPr="00F853DD">
        <w:rPr>
          <w:rFonts w:ascii="Times" w:hAnsi="Times" w:cs="Times New Roman"/>
          <w:i/>
          <w:sz w:val="23"/>
          <w:szCs w:val="23"/>
        </w:rPr>
        <w:t>Affilia</w:t>
      </w:r>
      <w:r w:rsidR="0075077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69-79.</w:t>
      </w:r>
    </w:p>
    <w:p w14:paraId="6AB9F479" w14:textId="56874B93"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Guralnik, J.,</w:t>
      </w:r>
      <w:r w:rsidR="00DF05BD" w:rsidRPr="00F853DD">
        <w:rPr>
          <w:rFonts w:ascii="Times" w:hAnsi="Times" w:cs="Times New Roman"/>
          <w:sz w:val="23"/>
          <w:szCs w:val="23"/>
        </w:rPr>
        <w:t xml:space="preserve"> (1997). Assessment of physical performance and disability in older persons. Muscle and nerve. </w:t>
      </w:r>
      <w:r w:rsidR="00DF05BD" w:rsidRPr="00F853DD">
        <w:rPr>
          <w:rFonts w:ascii="Times" w:hAnsi="Times" w:cs="Times New Roman"/>
          <w:i/>
          <w:sz w:val="23"/>
          <w:szCs w:val="23"/>
        </w:rPr>
        <w:t>Supplement</w:t>
      </w:r>
      <w:r w:rsidR="00750770" w:rsidRPr="00F853DD">
        <w:rPr>
          <w:rFonts w:ascii="Times" w:hAnsi="Times" w:cs="Times New Roman"/>
          <w:sz w:val="23"/>
          <w:szCs w:val="23"/>
        </w:rPr>
        <w:t xml:space="preserve">. </w:t>
      </w:r>
      <w:r w:rsidR="00DF05BD" w:rsidRPr="00F853DD">
        <w:rPr>
          <w:rFonts w:ascii="Times" w:hAnsi="Times" w:cs="Times New Roman"/>
          <w:b/>
          <w:sz w:val="23"/>
          <w:szCs w:val="23"/>
        </w:rPr>
        <w:t>5</w:t>
      </w:r>
      <w:r w:rsidR="00DF05BD" w:rsidRPr="00F853DD">
        <w:rPr>
          <w:rFonts w:ascii="Times" w:hAnsi="Times" w:cs="Times New Roman"/>
          <w:sz w:val="23"/>
          <w:szCs w:val="23"/>
        </w:rPr>
        <w:t>, S14-S16.</w:t>
      </w:r>
    </w:p>
    <w:p w14:paraId="7AE4BF6A" w14:textId="4BDB07ED"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Gutierrez, F., Ochoa, S.</w:t>
      </w:r>
      <w:r w:rsidR="00DF05BD" w:rsidRPr="00F853DD">
        <w:rPr>
          <w:rFonts w:ascii="Times" w:hAnsi="Times" w:cs="Times New Roman"/>
          <w:sz w:val="23"/>
          <w:szCs w:val="23"/>
        </w:rPr>
        <w:t xml:space="preserve"> and ACM</w:t>
      </w:r>
      <w:r w:rsidRPr="00F853DD">
        <w:rPr>
          <w:rFonts w:ascii="Times" w:hAnsi="Times" w:cs="Times New Roman"/>
          <w:sz w:val="23"/>
          <w:szCs w:val="23"/>
        </w:rPr>
        <w:t>.,</w:t>
      </w:r>
      <w:r w:rsidR="00DF05BD" w:rsidRPr="00F853DD">
        <w:rPr>
          <w:rFonts w:ascii="Times" w:hAnsi="Times" w:cs="Times New Roman"/>
          <w:sz w:val="23"/>
          <w:szCs w:val="23"/>
        </w:rPr>
        <w:t xml:space="preserve"> (2016). </w:t>
      </w:r>
      <w:r w:rsidR="00750770" w:rsidRPr="00F853DD">
        <w:rPr>
          <w:rFonts w:ascii="Times" w:hAnsi="Times" w:cs="Times New Roman"/>
          <w:i/>
          <w:sz w:val="23"/>
          <w:szCs w:val="23"/>
        </w:rPr>
        <w:t xml:space="preserve">Mom, I do have a family! </w:t>
      </w:r>
      <w:r w:rsidR="00DF05BD" w:rsidRPr="00F853DD">
        <w:rPr>
          <w:rFonts w:ascii="Times" w:hAnsi="Times" w:cs="Times New Roman"/>
          <w:i/>
          <w:sz w:val="23"/>
          <w:szCs w:val="23"/>
        </w:rPr>
        <w:t>Attitudes, agreements, and expectations on the interaction with Chilean older adults.</w:t>
      </w:r>
      <w:r w:rsidR="00DF05BD" w:rsidRPr="00F853DD">
        <w:rPr>
          <w:rFonts w:ascii="Times" w:hAnsi="Times" w:cs="Times New Roman"/>
          <w:sz w:val="23"/>
          <w:szCs w:val="23"/>
        </w:rPr>
        <w:t xml:space="preserve"> A conference on computer-supported cooperative work and social computing (CSCW 2016), 1402-1411.</w:t>
      </w:r>
    </w:p>
    <w:p w14:paraId="34903035" w14:textId="23B7F92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Gutiérrez, L.</w:t>
      </w:r>
      <w:r w:rsidR="00243FE6" w:rsidRPr="00F853DD">
        <w:rPr>
          <w:rFonts w:ascii="Times" w:hAnsi="Times" w:cs="Times New Roman"/>
          <w:sz w:val="23"/>
          <w:szCs w:val="23"/>
        </w:rPr>
        <w:t>,</w:t>
      </w:r>
      <w:r w:rsidRPr="00F853DD">
        <w:rPr>
          <w:rFonts w:ascii="Times" w:hAnsi="Times" w:cs="Times New Roman"/>
          <w:sz w:val="23"/>
          <w:szCs w:val="23"/>
        </w:rPr>
        <w:t xml:space="preserve"> (1994). Be</w:t>
      </w:r>
      <w:r w:rsidR="00750770" w:rsidRPr="00F853DD">
        <w:rPr>
          <w:rFonts w:ascii="Times" w:hAnsi="Times" w:cs="Times New Roman"/>
          <w:sz w:val="23"/>
          <w:szCs w:val="23"/>
        </w:rPr>
        <w:t>yond c</w:t>
      </w:r>
      <w:r w:rsidRPr="00F853DD">
        <w:rPr>
          <w:rFonts w:ascii="Times" w:hAnsi="Times" w:cs="Times New Roman"/>
          <w:sz w:val="23"/>
          <w:szCs w:val="23"/>
        </w:rPr>
        <w:t xml:space="preserve">oping: </w:t>
      </w:r>
      <w:r w:rsidR="00750770" w:rsidRPr="00F853DD">
        <w:rPr>
          <w:rFonts w:ascii="Times" w:hAnsi="Times" w:cs="Times New Roman"/>
          <w:sz w:val="23"/>
          <w:szCs w:val="23"/>
        </w:rPr>
        <w:t>a</w:t>
      </w:r>
      <w:r w:rsidRPr="00F853DD">
        <w:rPr>
          <w:rFonts w:ascii="Times" w:hAnsi="Times" w:cs="Times New Roman"/>
          <w:sz w:val="23"/>
          <w:szCs w:val="23"/>
        </w:rPr>
        <w:t xml:space="preserve">n </w:t>
      </w:r>
      <w:r w:rsidR="00750770" w:rsidRPr="00F853DD">
        <w:rPr>
          <w:rFonts w:ascii="Times" w:hAnsi="Times" w:cs="Times New Roman"/>
          <w:sz w:val="23"/>
          <w:szCs w:val="23"/>
        </w:rPr>
        <w:t>empowerment perspective on stressful life e</w:t>
      </w:r>
      <w:r w:rsidRPr="00F853DD">
        <w:rPr>
          <w:rFonts w:ascii="Times" w:hAnsi="Times" w:cs="Times New Roman"/>
          <w:sz w:val="23"/>
          <w:szCs w:val="23"/>
        </w:rPr>
        <w:t>vents</w:t>
      </w:r>
      <w:r w:rsidR="00750770" w:rsidRPr="00F853DD">
        <w:rPr>
          <w:rFonts w:ascii="Times" w:hAnsi="Times" w:cs="Times New Roman"/>
          <w:sz w:val="23"/>
          <w:szCs w:val="23"/>
        </w:rPr>
        <w:t xml:space="preserve">. </w:t>
      </w:r>
      <w:r w:rsidRPr="00F853DD">
        <w:rPr>
          <w:rFonts w:ascii="Times" w:hAnsi="Times" w:cs="Times New Roman"/>
          <w:i/>
          <w:sz w:val="23"/>
          <w:szCs w:val="23"/>
        </w:rPr>
        <w:t>Journal of Sociology and Social Welfare</w:t>
      </w:r>
      <w:r w:rsidR="00750770" w:rsidRPr="00F853DD">
        <w:rPr>
          <w:rFonts w:ascii="Times" w:hAnsi="Times" w:cs="Times New Roman"/>
          <w:sz w:val="23"/>
          <w:szCs w:val="23"/>
        </w:rPr>
        <w:t xml:space="preserve"> [online]</w:t>
      </w:r>
      <w:r w:rsidR="00750770" w:rsidRPr="00F853DD">
        <w:rPr>
          <w:rFonts w:ascii="Times" w:hAnsi="Times" w:cs="Times New Roman"/>
          <w:i/>
          <w:sz w:val="23"/>
          <w:szCs w:val="23"/>
        </w:rPr>
        <w:t xml:space="preserve">. </w:t>
      </w:r>
      <w:r w:rsidR="00E85A4D" w:rsidRPr="00F853DD">
        <w:rPr>
          <w:rFonts w:ascii="Times" w:hAnsi="Times" w:cs="Times New Roman"/>
          <w:b/>
          <w:sz w:val="23"/>
          <w:szCs w:val="23"/>
        </w:rPr>
        <w:t>21</w:t>
      </w:r>
      <w:r w:rsidR="00E85A4D" w:rsidRPr="00F853DD">
        <w:rPr>
          <w:rFonts w:ascii="Times" w:hAnsi="Times" w:cs="Times New Roman"/>
          <w:sz w:val="23"/>
          <w:szCs w:val="23"/>
        </w:rPr>
        <w:t xml:space="preserve">(3), </w:t>
      </w:r>
      <w:r w:rsidRPr="00F853DD">
        <w:rPr>
          <w:rFonts w:ascii="Times" w:hAnsi="Times" w:cs="Times New Roman"/>
          <w:sz w:val="23"/>
          <w:szCs w:val="23"/>
        </w:rPr>
        <w:t>2</w:t>
      </w:r>
      <w:r w:rsidR="00E85A4D" w:rsidRPr="00F853DD">
        <w:rPr>
          <w:rFonts w:ascii="Times" w:hAnsi="Times" w:cs="Times New Roman"/>
          <w:sz w:val="23"/>
          <w:szCs w:val="23"/>
        </w:rPr>
        <w:t>0</w:t>
      </w:r>
      <w:r w:rsidRPr="00F853DD">
        <w:rPr>
          <w:rFonts w:ascii="Times" w:hAnsi="Times" w:cs="Times New Roman"/>
          <w:sz w:val="23"/>
          <w:szCs w:val="23"/>
        </w:rPr>
        <w:t>1</w:t>
      </w:r>
      <w:r w:rsidR="00E85A4D" w:rsidRPr="00F853DD">
        <w:rPr>
          <w:rFonts w:ascii="Times" w:hAnsi="Times" w:cs="Times New Roman"/>
          <w:sz w:val="23"/>
          <w:szCs w:val="23"/>
        </w:rPr>
        <w:t xml:space="preserve">-219. </w:t>
      </w:r>
      <w:r w:rsidR="00AE3CAC" w:rsidRPr="00F853DD">
        <w:rPr>
          <w:rFonts w:ascii="Times" w:hAnsi="Times" w:cs="Times New Roman"/>
          <w:sz w:val="23"/>
          <w:szCs w:val="23"/>
        </w:rPr>
        <w:t>[Viewed 25 May 2017]. Available from: https://pdfs.semanticscholar.org/4038/8121c35530e41f7c3f3ab42b49840bf95eb4.pdf</w:t>
      </w:r>
    </w:p>
    <w:p w14:paraId="1A962DE8" w14:textId="3351EA7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Gutiérrez-Robledo, L.</w:t>
      </w:r>
      <w:r w:rsidR="00243FE6" w:rsidRPr="00F853DD">
        <w:rPr>
          <w:rFonts w:ascii="Times" w:hAnsi="Times" w:cs="Times New Roman"/>
          <w:sz w:val="23"/>
          <w:szCs w:val="23"/>
        </w:rPr>
        <w:t>,</w:t>
      </w:r>
      <w:r w:rsidRPr="00F853DD">
        <w:rPr>
          <w:rFonts w:ascii="Times" w:hAnsi="Times" w:cs="Times New Roman"/>
          <w:sz w:val="23"/>
          <w:szCs w:val="23"/>
        </w:rPr>
        <w:t xml:space="preserve"> (2002). Looking at the future of geriatric care in developing countries. </w:t>
      </w:r>
      <w:r w:rsidRPr="00F853DD">
        <w:rPr>
          <w:rFonts w:ascii="Times" w:hAnsi="Times" w:cs="Times New Roman"/>
          <w:i/>
          <w:sz w:val="23"/>
          <w:szCs w:val="23"/>
        </w:rPr>
        <w:t>The Journals of Gerontology Series A: Biological Sciences and Medical Sciences</w:t>
      </w:r>
      <w:r w:rsidR="00750770"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57</w:t>
      </w:r>
      <w:r w:rsidRPr="00F853DD">
        <w:rPr>
          <w:rFonts w:ascii="Times" w:hAnsi="Times" w:cs="Times New Roman"/>
          <w:sz w:val="23"/>
          <w:szCs w:val="23"/>
        </w:rPr>
        <w:t>(3), M162-M167.</w:t>
      </w:r>
    </w:p>
    <w:p w14:paraId="0E6BF028" w14:textId="7689CB17"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Gwyther, L. and George, L.,</w:t>
      </w:r>
      <w:r w:rsidR="00DF05BD" w:rsidRPr="00F853DD">
        <w:rPr>
          <w:rFonts w:ascii="Times" w:hAnsi="Times" w:cs="Times New Roman"/>
          <w:sz w:val="23"/>
          <w:szCs w:val="23"/>
        </w:rPr>
        <w:t xml:space="preserve"> (1986). Caregivers for dementia patients: complex determinants of well-being and burden. </w:t>
      </w:r>
      <w:r w:rsidR="00DF05BD" w:rsidRPr="00F853DD">
        <w:rPr>
          <w:rFonts w:ascii="Times" w:hAnsi="Times" w:cs="Times New Roman"/>
          <w:i/>
          <w:sz w:val="23"/>
          <w:szCs w:val="23"/>
        </w:rPr>
        <w:t>The Gerontologist</w:t>
      </w:r>
      <w:r w:rsidR="00DF05BD" w:rsidRPr="00F853DD">
        <w:rPr>
          <w:rFonts w:ascii="Times" w:hAnsi="Times" w:cs="Times New Roman"/>
          <w:sz w:val="23"/>
          <w:szCs w:val="23"/>
        </w:rPr>
        <w:t xml:space="preserve">, </w:t>
      </w:r>
      <w:r w:rsidR="00DF05BD" w:rsidRPr="00F853DD">
        <w:rPr>
          <w:rFonts w:ascii="Times" w:hAnsi="Times" w:cs="Times New Roman"/>
          <w:b/>
          <w:sz w:val="23"/>
          <w:szCs w:val="23"/>
        </w:rPr>
        <w:t>26</w:t>
      </w:r>
      <w:r w:rsidR="00DF05BD" w:rsidRPr="00F853DD">
        <w:rPr>
          <w:rFonts w:ascii="Times" w:hAnsi="Times" w:cs="Times New Roman"/>
          <w:sz w:val="23"/>
          <w:szCs w:val="23"/>
        </w:rPr>
        <w:t>, 245-247.</w:t>
      </w:r>
    </w:p>
    <w:p w14:paraId="5DE8DDF6" w14:textId="0C457F3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Haas, B.</w:t>
      </w:r>
      <w:r w:rsidR="00243FE6" w:rsidRPr="00F853DD">
        <w:rPr>
          <w:rFonts w:ascii="Times" w:hAnsi="Times" w:cs="Times New Roman"/>
          <w:sz w:val="23"/>
          <w:szCs w:val="23"/>
        </w:rPr>
        <w:t>,</w:t>
      </w:r>
      <w:r w:rsidRPr="00F853DD">
        <w:rPr>
          <w:rFonts w:ascii="Times" w:hAnsi="Times" w:cs="Times New Roman"/>
          <w:sz w:val="23"/>
          <w:szCs w:val="23"/>
        </w:rPr>
        <w:t xml:space="preserve"> (1999). A multidisciplinary concept analysis of quality of life. </w:t>
      </w:r>
      <w:r w:rsidRPr="00F853DD">
        <w:rPr>
          <w:rFonts w:ascii="Times" w:hAnsi="Times" w:cs="Times New Roman"/>
          <w:i/>
          <w:sz w:val="23"/>
          <w:szCs w:val="23"/>
        </w:rPr>
        <w:t>Western Journal of Nursing Research</w:t>
      </w:r>
      <w:r w:rsidR="00750770"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(6), 728-742.</w:t>
      </w:r>
    </w:p>
    <w:p w14:paraId="4997FF62" w14:textId="20BE47A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Hacker, D.</w:t>
      </w:r>
      <w:r w:rsidR="00243FE6"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Legalized families in the era of bordered globalization</w:t>
      </w:r>
      <w:r w:rsidRPr="00F853DD">
        <w:rPr>
          <w:rFonts w:ascii="Times" w:hAnsi="Times" w:cs="Times New Roman"/>
          <w:sz w:val="23"/>
          <w:szCs w:val="23"/>
        </w:rPr>
        <w:t>. Cambridge: Cambridge University Press.</w:t>
      </w:r>
    </w:p>
    <w:p w14:paraId="672D2459" w14:textId="455D60C3" w:rsidR="00DF05BD" w:rsidRPr="00F853DD" w:rsidRDefault="00243FE6" w:rsidP="00E1694A">
      <w:pPr>
        <w:autoSpaceDE w:val="0"/>
        <w:autoSpaceDN w:val="0"/>
        <w:adjustRightInd w:val="0"/>
        <w:spacing w:line="240" w:lineRule="auto"/>
        <w:ind w:left="567" w:hanging="567"/>
        <w:rPr>
          <w:rFonts w:ascii="Times" w:hAnsi="Times" w:cs="Times New Roman"/>
          <w:sz w:val="23"/>
          <w:szCs w:val="23"/>
          <w:lang w:val="nn-NO"/>
        </w:rPr>
      </w:pPr>
      <w:r w:rsidRPr="00F853DD">
        <w:rPr>
          <w:rFonts w:ascii="Times" w:hAnsi="Times" w:cs="Times New Roman"/>
          <w:sz w:val="23"/>
          <w:szCs w:val="23"/>
        </w:rPr>
        <w:t>Haddad, Y.</w:t>
      </w:r>
      <w:r w:rsidR="00DF05BD" w:rsidRPr="00F853DD">
        <w:rPr>
          <w:rFonts w:ascii="Times" w:hAnsi="Times" w:cs="Times New Roman"/>
          <w:sz w:val="23"/>
          <w:szCs w:val="23"/>
        </w:rPr>
        <w:t xml:space="preserve"> and Smith, J.</w:t>
      </w:r>
      <w:r w:rsidRPr="00F853DD">
        <w:rPr>
          <w:rFonts w:ascii="Times" w:hAnsi="Times" w:cs="Times New Roman"/>
          <w:sz w:val="23"/>
          <w:szCs w:val="23"/>
        </w:rPr>
        <w:t>,</w:t>
      </w:r>
      <w:r w:rsidR="00DF05BD" w:rsidRPr="00F853DD">
        <w:rPr>
          <w:rFonts w:ascii="Times" w:hAnsi="Times" w:cs="Times New Roman"/>
          <w:sz w:val="23"/>
          <w:szCs w:val="23"/>
        </w:rPr>
        <w:t xml:space="preserve"> (eds.) (2002). </w:t>
      </w:r>
      <w:r w:rsidR="00DF05BD" w:rsidRPr="00F853DD">
        <w:rPr>
          <w:rFonts w:ascii="Times" w:hAnsi="Times" w:cs="Times New Roman"/>
          <w:i/>
          <w:sz w:val="23"/>
          <w:szCs w:val="23"/>
        </w:rPr>
        <w:t xml:space="preserve">Muslim </w:t>
      </w:r>
      <w:r w:rsidR="00750770" w:rsidRPr="00F853DD">
        <w:rPr>
          <w:rFonts w:ascii="Times" w:hAnsi="Times" w:cs="Times New Roman"/>
          <w:i/>
          <w:sz w:val="23"/>
          <w:szCs w:val="23"/>
        </w:rPr>
        <w:t>m</w:t>
      </w:r>
      <w:r w:rsidR="00DF05BD" w:rsidRPr="00F853DD">
        <w:rPr>
          <w:rFonts w:ascii="Times" w:hAnsi="Times" w:cs="Times New Roman"/>
          <w:i/>
          <w:sz w:val="23"/>
          <w:szCs w:val="23"/>
        </w:rPr>
        <w:t xml:space="preserve">inorities in the West: </w:t>
      </w:r>
      <w:r w:rsidR="00750770" w:rsidRPr="00F853DD">
        <w:rPr>
          <w:rFonts w:ascii="Times" w:hAnsi="Times" w:cs="Times New Roman"/>
          <w:i/>
          <w:sz w:val="23"/>
          <w:szCs w:val="23"/>
        </w:rPr>
        <w:t>v</w:t>
      </w:r>
      <w:r w:rsidR="00DF05BD" w:rsidRPr="00F853DD">
        <w:rPr>
          <w:rFonts w:ascii="Times" w:hAnsi="Times" w:cs="Times New Roman"/>
          <w:i/>
          <w:sz w:val="23"/>
          <w:szCs w:val="23"/>
        </w:rPr>
        <w:t xml:space="preserve">isible and </w:t>
      </w:r>
      <w:r w:rsidR="00750770" w:rsidRPr="00F853DD">
        <w:rPr>
          <w:rFonts w:ascii="Times" w:hAnsi="Times" w:cs="Times New Roman"/>
          <w:i/>
          <w:sz w:val="23"/>
          <w:szCs w:val="23"/>
        </w:rPr>
        <w:t>i</w:t>
      </w:r>
      <w:r w:rsidR="00DF05BD" w:rsidRPr="00F853DD">
        <w:rPr>
          <w:rFonts w:ascii="Times" w:hAnsi="Times" w:cs="Times New Roman"/>
          <w:i/>
          <w:sz w:val="23"/>
          <w:szCs w:val="23"/>
        </w:rPr>
        <w:t>nvisible</w:t>
      </w:r>
      <w:r w:rsidR="00DF05BD" w:rsidRPr="00F853DD">
        <w:rPr>
          <w:rFonts w:ascii="Times" w:hAnsi="Times" w:cs="Times New Roman"/>
          <w:sz w:val="23"/>
          <w:szCs w:val="23"/>
        </w:rPr>
        <w:t xml:space="preserve">. </w:t>
      </w:r>
      <w:r w:rsidR="00DF05BD" w:rsidRPr="00F853DD">
        <w:rPr>
          <w:rFonts w:ascii="Times" w:hAnsi="Times" w:cs="Times New Roman"/>
          <w:sz w:val="23"/>
          <w:szCs w:val="23"/>
          <w:lang w:val="nn-NO"/>
        </w:rPr>
        <w:t>England: Altamira Press.</w:t>
      </w:r>
    </w:p>
    <w:p w14:paraId="49D84AB1" w14:textId="5187D71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n-NO"/>
        </w:rPr>
        <w:t>Halaskova, R., Bednar, P. and Halaskova, M.</w:t>
      </w:r>
      <w:r w:rsidR="00243FE6" w:rsidRPr="00F853DD">
        <w:rPr>
          <w:rFonts w:ascii="Times" w:hAnsi="Times" w:cs="Times New Roman"/>
          <w:sz w:val="23"/>
          <w:szCs w:val="23"/>
          <w:lang w:val="nn-NO"/>
        </w:rPr>
        <w:t>,</w:t>
      </w:r>
      <w:r w:rsidRPr="00F853DD">
        <w:rPr>
          <w:rFonts w:ascii="Times" w:hAnsi="Times" w:cs="Times New Roman"/>
          <w:sz w:val="23"/>
          <w:szCs w:val="23"/>
          <w:lang w:val="nn-NO"/>
        </w:rPr>
        <w:t xml:space="preserve"> (2017). </w:t>
      </w:r>
      <w:r w:rsidRPr="00F853DD">
        <w:rPr>
          <w:rFonts w:ascii="Times" w:hAnsi="Times" w:cs="Times New Roman"/>
          <w:sz w:val="23"/>
          <w:szCs w:val="23"/>
        </w:rPr>
        <w:t xml:space="preserve">Forms of providing and financing long-term care in OECD Countries. </w:t>
      </w:r>
      <w:r w:rsidRPr="00F853DD">
        <w:rPr>
          <w:rFonts w:ascii="Times" w:hAnsi="Times" w:cs="Times New Roman"/>
          <w:i/>
          <w:sz w:val="23"/>
          <w:szCs w:val="23"/>
        </w:rPr>
        <w:t>Review of Economic Perspectives</w:t>
      </w:r>
      <w:r w:rsidR="0075077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159-178.</w:t>
      </w:r>
    </w:p>
    <w:p w14:paraId="09B63269" w14:textId="3B251D1B" w:rsidR="00DF05BD" w:rsidRPr="00F853DD" w:rsidRDefault="00243F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Haley, W.</w:t>
      </w:r>
      <w:r w:rsidR="00DF05BD" w:rsidRPr="00F853DD">
        <w:rPr>
          <w:rFonts w:ascii="Times" w:hAnsi="Times" w:cs="Times New Roman"/>
          <w:sz w:val="23"/>
          <w:szCs w:val="23"/>
        </w:rPr>
        <w:t>, David L., Howard,</w:t>
      </w:r>
      <w:r w:rsidRPr="00F853DD">
        <w:rPr>
          <w:rFonts w:ascii="Times" w:hAnsi="Times" w:cs="Times New Roman"/>
          <w:sz w:val="23"/>
          <w:szCs w:val="23"/>
        </w:rPr>
        <w:t xml:space="preserve"> G., Safford, M., Roth, D.</w:t>
      </w:r>
      <w:r w:rsidR="00DF05BD" w:rsidRPr="00F853DD">
        <w:rPr>
          <w:rFonts w:ascii="Times" w:hAnsi="Times" w:cs="Times New Roman"/>
          <w:sz w:val="23"/>
          <w:szCs w:val="23"/>
        </w:rPr>
        <w:t>,</w:t>
      </w:r>
      <w:r w:rsidRPr="00F853DD">
        <w:rPr>
          <w:rFonts w:ascii="Times" w:hAnsi="Times" w:cs="Times New Roman"/>
          <w:sz w:val="23"/>
          <w:szCs w:val="23"/>
        </w:rPr>
        <w:t xml:space="preserve"> Howard, G. and Safford, M.,</w:t>
      </w:r>
      <w:r w:rsidR="00DF05BD" w:rsidRPr="00F853DD">
        <w:rPr>
          <w:rFonts w:ascii="Times" w:hAnsi="Times" w:cs="Times New Roman"/>
          <w:sz w:val="23"/>
          <w:szCs w:val="23"/>
        </w:rPr>
        <w:t xml:space="preserve"> (2010). Caregiving strain and estimated risk for stroke and coronary heart disease among spouse caregivers: differential effects by race and sex. </w:t>
      </w:r>
      <w:r w:rsidR="00DF05BD" w:rsidRPr="00F853DD">
        <w:rPr>
          <w:rFonts w:ascii="Times" w:hAnsi="Times" w:cs="Times New Roman"/>
          <w:i/>
          <w:sz w:val="23"/>
          <w:szCs w:val="23"/>
        </w:rPr>
        <w:t>Stroke</w:t>
      </w:r>
      <w:r w:rsidR="00750770"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41</w:t>
      </w:r>
      <w:r w:rsidR="00DF05BD" w:rsidRPr="00F853DD">
        <w:rPr>
          <w:rFonts w:ascii="Times" w:hAnsi="Times" w:cs="Times New Roman"/>
          <w:sz w:val="23"/>
          <w:szCs w:val="23"/>
        </w:rPr>
        <w:t>, 331-336.</w:t>
      </w:r>
    </w:p>
    <w:p w14:paraId="2DB88BE9" w14:textId="04E265AA"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Halpern, J., Shroder, M.</w:t>
      </w:r>
      <w:r w:rsidR="00DF05BD" w:rsidRPr="00F853DD">
        <w:rPr>
          <w:rFonts w:ascii="Times" w:hAnsi="Times" w:cs="Times New Roman"/>
          <w:sz w:val="23"/>
          <w:szCs w:val="23"/>
        </w:rPr>
        <w:t xml:space="preserve"> and Citera, M.</w:t>
      </w:r>
      <w:r w:rsidRPr="00F853DD">
        <w:rPr>
          <w:rFonts w:ascii="Times" w:hAnsi="Times" w:cs="Times New Roman"/>
          <w:sz w:val="23"/>
          <w:szCs w:val="23"/>
        </w:rPr>
        <w:t>,</w:t>
      </w:r>
      <w:r w:rsidR="00DF05BD" w:rsidRPr="00F853DD">
        <w:rPr>
          <w:rFonts w:ascii="Times" w:hAnsi="Times" w:cs="Times New Roman"/>
          <w:sz w:val="23"/>
          <w:szCs w:val="23"/>
        </w:rPr>
        <w:t xml:space="preserve"> (1996). Perceptions by ad</w:t>
      </w:r>
      <w:r w:rsidR="00C60122" w:rsidRPr="00F853DD">
        <w:rPr>
          <w:rFonts w:ascii="Times" w:hAnsi="Times" w:cs="Times New Roman"/>
          <w:sz w:val="23"/>
          <w:szCs w:val="23"/>
        </w:rPr>
        <w:t>ult children of elderly parents’</w:t>
      </w:r>
      <w:r w:rsidR="00DF05BD" w:rsidRPr="00F853DD">
        <w:rPr>
          <w:rFonts w:ascii="Times" w:hAnsi="Times" w:cs="Times New Roman"/>
          <w:sz w:val="23"/>
          <w:szCs w:val="23"/>
        </w:rPr>
        <w:t xml:space="preserve"> needs. </w:t>
      </w:r>
      <w:r w:rsidR="00DF05BD" w:rsidRPr="00F853DD">
        <w:rPr>
          <w:rFonts w:ascii="Times" w:hAnsi="Times" w:cs="Times New Roman"/>
          <w:i/>
          <w:sz w:val="23"/>
          <w:szCs w:val="23"/>
        </w:rPr>
        <w:t>Psychological Reports</w:t>
      </w:r>
      <w:r w:rsidR="00750770"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78</w:t>
      </w:r>
      <w:r w:rsidR="00DF05BD" w:rsidRPr="00F853DD">
        <w:rPr>
          <w:rFonts w:ascii="Times" w:hAnsi="Times" w:cs="Times New Roman"/>
          <w:sz w:val="23"/>
          <w:szCs w:val="23"/>
        </w:rPr>
        <w:t>, 571-577.</w:t>
      </w:r>
    </w:p>
    <w:p w14:paraId="1BDC321A" w14:textId="1AF0A6C3"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Hambleton, I., Clarke, K., Broome, H., Fraser, H.</w:t>
      </w:r>
      <w:r w:rsidR="00DF05BD" w:rsidRPr="00F853DD">
        <w:rPr>
          <w:rFonts w:ascii="Times" w:hAnsi="Times" w:cs="Times New Roman"/>
          <w:sz w:val="23"/>
          <w:szCs w:val="23"/>
        </w:rPr>
        <w:t>, B</w:t>
      </w:r>
      <w:r w:rsidRPr="00F853DD">
        <w:rPr>
          <w:rFonts w:ascii="Times" w:hAnsi="Times" w:cs="Times New Roman"/>
          <w:sz w:val="23"/>
          <w:szCs w:val="23"/>
        </w:rPr>
        <w:t xml:space="preserve">rathwaite, F. and Hennis, A., </w:t>
      </w:r>
      <w:r w:rsidR="00DF05BD" w:rsidRPr="00F853DD">
        <w:rPr>
          <w:rFonts w:ascii="Times" w:hAnsi="Times" w:cs="Times New Roman"/>
          <w:sz w:val="23"/>
          <w:szCs w:val="23"/>
        </w:rPr>
        <w:t xml:space="preserve">(2005). Historical and current predictors of self-reported health status among elderly persons in Barbados. </w:t>
      </w:r>
      <w:r w:rsidR="00DF05BD" w:rsidRPr="00F853DD">
        <w:rPr>
          <w:rFonts w:ascii="Times" w:hAnsi="Times" w:cs="Times New Roman"/>
          <w:i/>
          <w:sz w:val="23"/>
          <w:szCs w:val="23"/>
        </w:rPr>
        <w:t>Pan American Journal of Public Health</w:t>
      </w:r>
      <w:r w:rsidR="00750770"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17</w:t>
      </w:r>
      <w:r w:rsidR="00DF05BD" w:rsidRPr="00F853DD">
        <w:rPr>
          <w:rFonts w:ascii="Times" w:hAnsi="Times" w:cs="Times New Roman"/>
          <w:sz w:val="23"/>
          <w:szCs w:val="23"/>
        </w:rPr>
        <w:t>, 342-352.</w:t>
      </w:r>
    </w:p>
    <w:p w14:paraId="697ADBB8" w14:textId="7E0B69AD"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Hamilton, I.,</w:t>
      </w:r>
      <w:r w:rsidR="00DF05BD" w:rsidRPr="00F853DD">
        <w:rPr>
          <w:rFonts w:ascii="Times" w:hAnsi="Times" w:cs="Times New Roman"/>
          <w:sz w:val="23"/>
          <w:szCs w:val="23"/>
        </w:rPr>
        <w:t xml:space="preserve"> (2000). </w:t>
      </w:r>
      <w:r w:rsidR="00C60122" w:rsidRPr="00F853DD">
        <w:rPr>
          <w:rFonts w:ascii="Times" w:hAnsi="Times" w:cs="Times New Roman"/>
          <w:i/>
          <w:sz w:val="23"/>
          <w:szCs w:val="23"/>
        </w:rPr>
        <w:t>The psychology of ageing: an i</w:t>
      </w:r>
      <w:r w:rsidR="00DF05BD" w:rsidRPr="00F853DD">
        <w:rPr>
          <w:rFonts w:ascii="Times" w:hAnsi="Times" w:cs="Times New Roman"/>
          <w:i/>
          <w:sz w:val="23"/>
          <w:szCs w:val="23"/>
        </w:rPr>
        <w:t>ntroduction</w:t>
      </w:r>
      <w:r w:rsidR="00DF05BD" w:rsidRPr="00F853DD">
        <w:rPr>
          <w:rFonts w:ascii="Times" w:hAnsi="Times" w:cs="Times New Roman"/>
          <w:sz w:val="23"/>
          <w:szCs w:val="23"/>
        </w:rPr>
        <w:t>. London: Jessica-Kingsley </w:t>
      </w:r>
    </w:p>
    <w:p w14:paraId="294C1E9A" w14:textId="75EF5A34"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Hareven, T.,</w:t>
      </w:r>
      <w:r w:rsidR="00C60122" w:rsidRPr="00F853DD">
        <w:rPr>
          <w:rFonts w:ascii="Times" w:hAnsi="Times" w:cs="Times New Roman"/>
          <w:sz w:val="23"/>
          <w:szCs w:val="23"/>
        </w:rPr>
        <w:t xml:space="preserve"> (1994). Aging and generational r</w:t>
      </w:r>
      <w:r w:rsidR="00DF05BD" w:rsidRPr="00F853DD">
        <w:rPr>
          <w:rFonts w:ascii="Times" w:hAnsi="Times" w:cs="Times New Roman"/>
          <w:sz w:val="23"/>
          <w:szCs w:val="23"/>
        </w:rPr>
        <w:t xml:space="preserve">elations: </w:t>
      </w:r>
      <w:r w:rsidR="00C60122" w:rsidRPr="00F853DD">
        <w:rPr>
          <w:rFonts w:ascii="Times" w:hAnsi="Times" w:cs="Times New Roman"/>
          <w:sz w:val="23"/>
          <w:szCs w:val="23"/>
        </w:rPr>
        <w:t>a historical and life course p</w:t>
      </w:r>
      <w:r w:rsidR="00DF05BD" w:rsidRPr="00F853DD">
        <w:rPr>
          <w:rFonts w:ascii="Times" w:hAnsi="Times" w:cs="Times New Roman"/>
          <w:sz w:val="23"/>
          <w:szCs w:val="23"/>
        </w:rPr>
        <w:t xml:space="preserve">erspective. </w:t>
      </w:r>
      <w:r w:rsidR="00DF05BD" w:rsidRPr="00F853DD">
        <w:rPr>
          <w:rFonts w:ascii="Times" w:hAnsi="Times" w:cs="Times New Roman"/>
          <w:i/>
          <w:sz w:val="23"/>
          <w:szCs w:val="23"/>
        </w:rPr>
        <w:t>Annual Review of Sociology</w:t>
      </w:r>
      <w:r w:rsidR="00C6012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20</w:t>
      </w:r>
      <w:r w:rsidR="00DF05BD" w:rsidRPr="00F853DD">
        <w:rPr>
          <w:rFonts w:ascii="Times" w:hAnsi="Times" w:cs="Times New Roman"/>
          <w:sz w:val="23"/>
          <w:szCs w:val="23"/>
        </w:rPr>
        <w:t>, 437-461.</w:t>
      </w:r>
    </w:p>
    <w:p w14:paraId="683EBDFA" w14:textId="091B92A0"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Harlton, S.</w:t>
      </w:r>
      <w:r w:rsidR="00DF05BD" w:rsidRPr="00F853DD">
        <w:rPr>
          <w:rFonts w:ascii="Times" w:hAnsi="Times" w:cs="Times New Roman"/>
          <w:sz w:val="23"/>
          <w:szCs w:val="23"/>
        </w:rPr>
        <w:t>, Keating, N. and Fast, J.</w:t>
      </w:r>
      <w:r w:rsidRPr="00F853DD">
        <w:rPr>
          <w:rFonts w:ascii="Times" w:hAnsi="Times" w:cs="Times New Roman"/>
          <w:sz w:val="23"/>
          <w:szCs w:val="23"/>
        </w:rPr>
        <w:t>,</w:t>
      </w:r>
      <w:r w:rsidR="00DF05BD" w:rsidRPr="00F853DD">
        <w:rPr>
          <w:rFonts w:ascii="Times" w:hAnsi="Times" w:cs="Times New Roman"/>
          <w:sz w:val="23"/>
          <w:szCs w:val="23"/>
        </w:rPr>
        <w:t xml:space="preserve"> (1998). Defining elde</w:t>
      </w:r>
      <w:r w:rsidR="00C60122" w:rsidRPr="00F853DD">
        <w:rPr>
          <w:rFonts w:ascii="Times" w:hAnsi="Times" w:cs="Times New Roman"/>
          <w:sz w:val="23"/>
          <w:szCs w:val="23"/>
        </w:rPr>
        <w:t>rcare for policy and practice: p</w:t>
      </w:r>
      <w:r w:rsidR="00DF05BD" w:rsidRPr="00F853DD">
        <w:rPr>
          <w:rFonts w:ascii="Times" w:hAnsi="Times" w:cs="Times New Roman"/>
          <w:sz w:val="23"/>
          <w:szCs w:val="23"/>
        </w:rPr>
        <w:t xml:space="preserve">erspectives matter. </w:t>
      </w:r>
      <w:r w:rsidR="00DF05BD" w:rsidRPr="00F853DD">
        <w:rPr>
          <w:rFonts w:ascii="Times" w:hAnsi="Times" w:cs="Times New Roman"/>
          <w:i/>
          <w:sz w:val="23"/>
          <w:szCs w:val="23"/>
        </w:rPr>
        <w:t>Family Relations</w:t>
      </w:r>
      <w:r w:rsidR="00C60122"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47</w:t>
      </w:r>
      <w:r w:rsidR="00DF05BD" w:rsidRPr="00F853DD">
        <w:rPr>
          <w:rFonts w:ascii="Times" w:hAnsi="Times" w:cs="Times New Roman"/>
          <w:sz w:val="23"/>
          <w:szCs w:val="23"/>
        </w:rPr>
        <w:t>, 281-288.</w:t>
      </w:r>
    </w:p>
    <w:p w14:paraId="2FC83B86" w14:textId="32A26E39"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Harris, P.,</w:t>
      </w:r>
      <w:r w:rsidR="00DF05BD" w:rsidRPr="00F853DD">
        <w:rPr>
          <w:rFonts w:ascii="Times" w:hAnsi="Times" w:cs="Times New Roman"/>
          <w:sz w:val="23"/>
          <w:szCs w:val="23"/>
        </w:rPr>
        <w:t xml:space="preserve"> (1998). Listening to caregiving sons</w:t>
      </w:r>
      <w:r w:rsidR="00C60122" w:rsidRPr="00F853DD">
        <w:rPr>
          <w:rFonts w:ascii="Times" w:hAnsi="Times" w:cs="Times New Roman"/>
          <w:sz w:val="23"/>
          <w:szCs w:val="23"/>
        </w:rPr>
        <w:t>: m</w:t>
      </w:r>
      <w:r w:rsidR="00196C5E" w:rsidRPr="00F853DD">
        <w:rPr>
          <w:rFonts w:ascii="Times" w:hAnsi="Times" w:cs="Times New Roman"/>
          <w:sz w:val="23"/>
          <w:szCs w:val="23"/>
        </w:rPr>
        <w:t>isunderstood realities. </w:t>
      </w:r>
      <w:r w:rsidR="00DF05BD" w:rsidRPr="00F853DD">
        <w:rPr>
          <w:rFonts w:ascii="Times" w:hAnsi="Times" w:cs="Times New Roman"/>
          <w:i/>
          <w:sz w:val="23"/>
          <w:szCs w:val="23"/>
        </w:rPr>
        <w:t>Gerontologist</w:t>
      </w:r>
      <w:r w:rsidR="00C60122" w:rsidRPr="00F853DD">
        <w:rPr>
          <w:rFonts w:ascii="Times" w:hAnsi="Times" w:cs="Times New Roman"/>
          <w:sz w:val="23"/>
          <w:szCs w:val="23"/>
        </w:rPr>
        <w:t>.</w:t>
      </w:r>
      <w:r w:rsidR="00DF05BD" w:rsidRPr="00F853DD">
        <w:rPr>
          <w:rFonts w:ascii="Times" w:hAnsi="Times" w:cs="Times New Roman"/>
          <w:sz w:val="23"/>
          <w:szCs w:val="23"/>
        </w:rPr>
        <w:t> </w:t>
      </w:r>
      <w:r w:rsidR="00DF05BD" w:rsidRPr="00F853DD">
        <w:rPr>
          <w:rFonts w:ascii="Times" w:hAnsi="Times" w:cs="Times New Roman"/>
          <w:b/>
          <w:sz w:val="23"/>
          <w:szCs w:val="23"/>
        </w:rPr>
        <w:t>38</w:t>
      </w:r>
      <w:r w:rsidR="00DF05BD" w:rsidRPr="00F853DD">
        <w:rPr>
          <w:rFonts w:ascii="Times" w:hAnsi="Times" w:cs="Times New Roman"/>
          <w:sz w:val="23"/>
          <w:szCs w:val="23"/>
        </w:rPr>
        <w:t>(3), 342-352.</w:t>
      </w:r>
    </w:p>
    <w:p w14:paraId="2FA0446B" w14:textId="5666B9B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Harris, R. and Dyson, E.</w:t>
      </w:r>
      <w:r w:rsidR="00F156E3" w:rsidRPr="00F853DD">
        <w:rPr>
          <w:rFonts w:ascii="Times" w:hAnsi="Times" w:cs="Times New Roman"/>
          <w:sz w:val="23"/>
          <w:szCs w:val="23"/>
        </w:rPr>
        <w:t>,</w:t>
      </w:r>
      <w:r w:rsidRPr="00F853DD">
        <w:rPr>
          <w:rFonts w:ascii="Times" w:hAnsi="Times" w:cs="Times New Roman"/>
          <w:sz w:val="23"/>
          <w:szCs w:val="23"/>
        </w:rPr>
        <w:t xml:space="preserve"> (2001). Recruitment of frail older people to research: lessons learnt through experience. </w:t>
      </w:r>
      <w:r w:rsidRPr="00F853DD">
        <w:rPr>
          <w:rFonts w:ascii="Times" w:hAnsi="Times" w:cs="Times New Roman"/>
          <w:i/>
          <w:sz w:val="23"/>
          <w:szCs w:val="23"/>
        </w:rPr>
        <w:t>Journal of Advanced Nursing</w:t>
      </w:r>
      <w:r w:rsidR="00C6012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 643-651.</w:t>
      </w:r>
    </w:p>
    <w:p w14:paraId="326D9450" w14:textId="1ADE714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Hassan, S. and Jamaludin, H.</w:t>
      </w:r>
      <w:r w:rsidR="00F156E3" w:rsidRPr="00F853DD">
        <w:rPr>
          <w:rFonts w:ascii="Times" w:hAnsi="Times" w:cs="Times New Roman"/>
          <w:sz w:val="23"/>
          <w:szCs w:val="23"/>
        </w:rPr>
        <w:t>,</w:t>
      </w:r>
      <w:r w:rsidRPr="00F853DD">
        <w:rPr>
          <w:rFonts w:ascii="Times" w:hAnsi="Times" w:cs="Times New Roman"/>
          <w:sz w:val="23"/>
          <w:szCs w:val="23"/>
        </w:rPr>
        <w:t xml:space="preserve"> (2014). Aging parents’ caregiving and rehabilitating a brain-injured son: an autoethnography of a 10-year journey. </w:t>
      </w:r>
      <w:r w:rsidRPr="00F853DD">
        <w:rPr>
          <w:rFonts w:ascii="Times" w:hAnsi="Times" w:cs="Times New Roman"/>
          <w:i/>
          <w:sz w:val="23"/>
          <w:szCs w:val="23"/>
        </w:rPr>
        <w:t>Electronic physician</w:t>
      </w:r>
      <w:r w:rsidR="00C6012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w:t>
      </w:r>
      <w:r w:rsidRPr="00F853DD">
        <w:rPr>
          <w:rFonts w:ascii="Times" w:hAnsi="Times" w:cs="Times New Roman"/>
          <w:sz w:val="23"/>
          <w:szCs w:val="23"/>
        </w:rPr>
        <w:t>(4), 927.</w:t>
      </w:r>
    </w:p>
    <w:p w14:paraId="30DF99EE" w14:textId="60307D9E"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Hasson, H. and Arnetz, J.,</w:t>
      </w:r>
      <w:r w:rsidR="00DF05BD" w:rsidRPr="00F853DD">
        <w:rPr>
          <w:rFonts w:ascii="Times" w:hAnsi="Times" w:cs="Times New Roman"/>
          <w:sz w:val="23"/>
          <w:szCs w:val="23"/>
        </w:rPr>
        <w:t xml:space="preserve"> (2011). Care recipients</w:t>
      </w:r>
      <w:r w:rsidR="00196C5E" w:rsidRPr="00F853DD">
        <w:rPr>
          <w:rFonts w:ascii="Times" w:hAnsi="Times" w:cs="Times New Roman"/>
          <w:sz w:val="23"/>
          <w:szCs w:val="23"/>
        </w:rPr>
        <w:t>’ and family members’</w:t>
      </w:r>
      <w:r w:rsidR="00DF05BD" w:rsidRPr="00F853DD">
        <w:rPr>
          <w:rFonts w:ascii="Times" w:hAnsi="Times" w:cs="Times New Roman"/>
          <w:sz w:val="23"/>
          <w:szCs w:val="23"/>
        </w:rPr>
        <w:t xml:space="preserve"> perceptions of quality of older people care: a comparison of home-based care and nursing homes. </w:t>
      </w:r>
      <w:r w:rsidR="00DF05BD" w:rsidRPr="00F853DD">
        <w:rPr>
          <w:rFonts w:ascii="Times" w:hAnsi="Times" w:cs="Times New Roman"/>
          <w:i/>
          <w:sz w:val="23"/>
          <w:szCs w:val="23"/>
        </w:rPr>
        <w:t>Journal of Clinical Nursing</w:t>
      </w:r>
      <w:r w:rsidR="00196C5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20</w:t>
      </w:r>
      <w:r w:rsidR="00DF05BD" w:rsidRPr="00F853DD">
        <w:rPr>
          <w:rFonts w:ascii="Times" w:hAnsi="Times" w:cs="Times New Roman"/>
          <w:sz w:val="23"/>
          <w:szCs w:val="23"/>
        </w:rPr>
        <w:t>, 1423-1435.</w:t>
      </w:r>
    </w:p>
    <w:p w14:paraId="0D210346" w14:textId="04EBAF8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Hatt, K.</w:t>
      </w:r>
      <w:r w:rsidR="00F156E3" w:rsidRPr="00F853DD">
        <w:rPr>
          <w:rFonts w:ascii="Times" w:hAnsi="Times" w:cs="Times New Roman"/>
          <w:sz w:val="23"/>
          <w:szCs w:val="23"/>
        </w:rPr>
        <w:t>,</w:t>
      </w:r>
      <w:r w:rsidRPr="00F853DD">
        <w:rPr>
          <w:rFonts w:ascii="Times" w:hAnsi="Times" w:cs="Times New Roman"/>
          <w:sz w:val="23"/>
          <w:szCs w:val="23"/>
        </w:rPr>
        <w:t xml:space="preserve"> (2013). Social </w:t>
      </w:r>
      <w:r w:rsidR="00196C5E" w:rsidRPr="00F853DD">
        <w:rPr>
          <w:rFonts w:ascii="Times" w:hAnsi="Times" w:cs="Times New Roman"/>
          <w:sz w:val="23"/>
          <w:szCs w:val="23"/>
        </w:rPr>
        <w:t>a</w:t>
      </w:r>
      <w:r w:rsidRPr="00F853DD">
        <w:rPr>
          <w:rFonts w:ascii="Times" w:hAnsi="Times" w:cs="Times New Roman"/>
          <w:sz w:val="23"/>
          <w:szCs w:val="23"/>
        </w:rPr>
        <w:t xml:space="preserve">ttractors: </w:t>
      </w:r>
      <w:r w:rsidR="00196C5E" w:rsidRPr="00F853DD">
        <w:rPr>
          <w:rFonts w:ascii="Times" w:hAnsi="Times" w:cs="Times New Roman"/>
          <w:sz w:val="23"/>
          <w:szCs w:val="23"/>
        </w:rPr>
        <w:t>a proposal to enhance “resilience t</w:t>
      </w:r>
      <w:r w:rsidRPr="00F853DD">
        <w:rPr>
          <w:rFonts w:ascii="Times" w:hAnsi="Times" w:cs="Times New Roman"/>
          <w:sz w:val="23"/>
          <w:szCs w:val="23"/>
        </w:rPr>
        <w:t>hinking</w:t>
      </w:r>
      <w:r w:rsidR="00196C5E" w:rsidRPr="00F853DD">
        <w:rPr>
          <w:rFonts w:ascii="Times" w:hAnsi="Times" w:cs="Times New Roman"/>
          <w:sz w:val="23"/>
          <w:szCs w:val="23"/>
        </w:rPr>
        <w:t>” about the s</w:t>
      </w:r>
      <w:r w:rsidRPr="00F853DD">
        <w:rPr>
          <w:rFonts w:ascii="Times" w:hAnsi="Times" w:cs="Times New Roman"/>
          <w:sz w:val="23"/>
          <w:szCs w:val="23"/>
        </w:rPr>
        <w:t xml:space="preserve">ocial. </w:t>
      </w:r>
      <w:r w:rsidRPr="00F853DD">
        <w:rPr>
          <w:rFonts w:ascii="Times" w:hAnsi="Times" w:cs="Times New Roman"/>
          <w:i/>
          <w:sz w:val="23"/>
          <w:szCs w:val="23"/>
        </w:rPr>
        <w:t>Society and Natural Resources</w:t>
      </w:r>
      <w:r w:rsidR="00196C5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30-43.</w:t>
      </w:r>
    </w:p>
    <w:p w14:paraId="468756AB" w14:textId="7ACB4E4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Haw, C. and Stubbs, J.</w:t>
      </w:r>
      <w:r w:rsidR="00F156E3" w:rsidRPr="00F853DD">
        <w:rPr>
          <w:rFonts w:ascii="Times" w:hAnsi="Times" w:cs="Times New Roman"/>
          <w:sz w:val="23"/>
          <w:szCs w:val="23"/>
        </w:rPr>
        <w:t>,</w:t>
      </w:r>
      <w:r w:rsidRPr="00F853DD">
        <w:rPr>
          <w:rFonts w:ascii="Times" w:hAnsi="Times" w:cs="Times New Roman"/>
          <w:sz w:val="23"/>
          <w:szCs w:val="23"/>
        </w:rPr>
        <w:t xml:space="preserve"> (2010). Covert administration of medication to older adults: a review of the literature and published studies. </w:t>
      </w:r>
      <w:r w:rsidRPr="00F853DD">
        <w:rPr>
          <w:rFonts w:ascii="Times" w:hAnsi="Times" w:cs="Times New Roman"/>
          <w:i/>
          <w:sz w:val="23"/>
          <w:szCs w:val="23"/>
        </w:rPr>
        <w:t>Journal of Psychiatric and Mental Health Nursing</w:t>
      </w:r>
      <w:r w:rsidR="00196C5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(9), 761-768.</w:t>
      </w:r>
    </w:p>
    <w:p w14:paraId="5114A77A" w14:textId="7099AD71"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Hayas, C., De Arroyabe, E.</w:t>
      </w:r>
      <w:r w:rsidR="00DF05BD" w:rsidRPr="00F853DD">
        <w:rPr>
          <w:rFonts w:ascii="Times" w:hAnsi="Times" w:cs="Times New Roman"/>
          <w:sz w:val="23"/>
          <w:szCs w:val="23"/>
        </w:rPr>
        <w:t xml:space="preserve"> and Calvete, E.</w:t>
      </w:r>
      <w:r w:rsidRPr="00F853DD">
        <w:rPr>
          <w:rFonts w:ascii="Times" w:hAnsi="Times" w:cs="Times New Roman"/>
          <w:sz w:val="23"/>
          <w:szCs w:val="23"/>
        </w:rPr>
        <w:t>,</w:t>
      </w:r>
      <w:r w:rsidR="00196C5E" w:rsidRPr="00F853DD">
        <w:rPr>
          <w:rFonts w:ascii="Times" w:hAnsi="Times" w:cs="Times New Roman"/>
          <w:sz w:val="23"/>
          <w:szCs w:val="23"/>
        </w:rPr>
        <w:t xml:space="preserve"> (2014). Positive aspects of c</w:t>
      </w:r>
      <w:r w:rsidR="00DF05BD" w:rsidRPr="00F853DD">
        <w:rPr>
          <w:rFonts w:ascii="Times" w:hAnsi="Times" w:cs="Times New Roman"/>
          <w:sz w:val="23"/>
          <w:szCs w:val="23"/>
        </w:rPr>
        <w:t>ar</w:t>
      </w:r>
      <w:r w:rsidR="00196C5E" w:rsidRPr="00F853DD">
        <w:rPr>
          <w:rFonts w:ascii="Times" w:hAnsi="Times" w:cs="Times New Roman"/>
          <w:sz w:val="23"/>
          <w:szCs w:val="23"/>
        </w:rPr>
        <w:t>egiving in Spanish caregivers of individuals with acquired brain i</w:t>
      </w:r>
      <w:r w:rsidR="00DF05BD" w:rsidRPr="00F853DD">
        <w:rPr>
          <w:rFonts w:ascii="Times" w:hAnsi="Times" w:cs="Times New Roman"/>
          <w:sz w:val="23"/>
          <w:szCs w:val="23"/>
        </w:rPr>
        <w:t xml:space="preserve">njury. </w:t>
      </w:r>
      <w:r w:rsidR="00DF05BD" w:rsidRPr="00F853DD">
        <w:rPr>
          <w:rFonts w:ascii="Times" w:hAnsi="Times" w:cs="Times New Roman"/>
          <w:i/>
          <w:sz w:val="23"/>
          <w:szCs w:val="23"/>
        </w:rPr>
        <w:t>Rehabilitation Psychology</w:t>
      </w:r>
      <w:r w:rsidR="00196C5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59</w:t>
      </w:r>
      <w:r w:rsidR="00DF05BD" w:rsidRPr="00F853DD">
        <w:rPr>
          <w:rFonts w:ascii="Times" w:hAnsi="Times" w:cs="Times New Roman"/>
          <w:sz w:val="23"/>
          <w:szCs w:val="23"/>
        </w:rPr>
        <w:t>, 193-202.</w:t>
      </w:r>
    </w:p>
    <w:p w14:paraId="2069C67E" w14:textId="53B8DB0E"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Hayman, K., Kerse, N. and Consedine, N.,</w:t>
      </w:r>
      <w:r w:rsidR="00DF05BD" w:rsidRPr="00F853DD">
        <w:rPr>
          <w:rFonts w:ascii="Times" w:hAnsi="Times" w:cs="Times New Roman"/>
          <w:sz w:val="23"/>
          <w:szCs w:val="23"/>
        </w:rPr>
        <w:t xml:space="preserve"> (2017). Resilience in context: the special case of advanced age. </w:t>
      </w:r>
      <w:r w:rsidR="00DF05BD" w:rsidRPr="00F853DD">
        <w:rPr>
          <w:rFonts w:ascii="Times" w:hAnsi="Times" w:cs="Times New Roman"/>
          <w:i/>
          <w:sz w:val="23"/>
          <w:szCs w:val="23"/>
        </w:rPr>
        <w:t>Aging and Mental Health</w:t>
      </w:r>
      <w:r w:rsidR="00196C5E"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DF05BD" w:rsidRPr="00F853DD">
        <w:rPr>
          <w:rFonts w:ascii="Times" w:hAnsi="Times" w:cs="Times New Roman"/>
          <w:sz w:val="23"/>
          <w:szCs w:val="23"/>
        </w:rPr>
        <w:t>, 577-585.</w:t>
      </w:r>
    </w:p>
    <w:p w14:paraId="14F09B14" w14:textId="1165829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Hayward, R. and Krause, N.</w:t>
      </w:r>
      <w:r w:rsidR="00F156E3" w:rsidRPr="00F853DD">
        <w:rPr>
          <w:rFonts w:ascii="Times" w:hAnsi="Times" w:cs="Times New Roman"/>
          <w:sz w:val="23"/>
          <w:szCs w:val="23"/>
        </w:rPr>
        <w:t>,</w:t>
      </w:r>
      <w:r w:rsidRPr="00F853DD">
        <w:rPr>
          <w:rFonts w:ascii="Times" w:hAnsi="Times" w:cs="Times New Roman"/>
          <w:sz w:val="23"/>
          <w:szCs w:val="23"/>
        </w:rPr>
        <w:t xml:space="preserve"> (2012). Changes in church-based social support relationships during older adulthood. </w:t>
      </w:r>
      <w:r w:rsidRPr="00F853DD">
        <w:rPr>
          <w:rFonts w:ascii="Times" w:hAnsi="Times" w:cs="Times New Roman"/>
          <w:i/>
          <w:sz w:val="23"/>
          <w:szCs w:val="23"/>
        </w:rPr>
        <w:t>Journals of Gerontology Series B: Psychological Sciences and Social Sciences</w:t>
      </w:r>
      <w:r w:rsidRPr="00F853DD">
        <w:rPr>
          <w:rFonts w:ascii="Times" w:hAnsi="Times" w:cs="Times New Roman"/>
          <w:sz w:val="23"/>
          <w:szCs w:val="23"/>
        </w:rPr>
        <w:t xml:space="preserve"> [online]</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68</w:t>
      </w:r>
      <w:r w:rsidRPr="00F853DD">
        <w:rPr>
          <w:rFonts w:ascii="Times" w:hAnsi="Times" w:cs="Times New Roman"/>
          <w:sz w:val="23"/>
          <w:szCs w:val="23"/>
        </w:rPr>
        <w:t xml:space="preserve">(1), 85-96. [Viewed 23 November 2019]. Available from: https://www.ncbi.nlm.nih.gov/pmc/articles/PMC3605942/ </w:t>
      </w:r>
    </w:p>
    <w:p w14:paraId="6D7A16CB" w14:textId="57DE9F45"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Headen, A.,</w:t>
      </w:r>
      <w:r w:rsidR="00DF05BD" w:rsidRPr="00F853DD">
        <w:rPr>
          <w:rFonts w:ascii="Times" w:hAnsi="Times" w:cs="Times New Roman"/>
          <w:sz w:val="23"/>
          <w:szCs w:val="23"/>
        </w:rPr>
        <w:t xml:space="preserve"> (1992). Time costs and informal social support as determinants of differences between black-and-white families in the provision of long-term care. </w:t>
      </w:r>
      <w:r w:rsidR="00DF05BD" w:rsidRPr="00F853DD">
        <w:rPr>
          <w:rFonts w:ascii="Times" w:hAnsi="Times" w:cs="Times New Roman"/>
          <w:i/>
          <w:sz w:val="23"/>
          <w:szCs w:val="23"/>
        </w:rPr>
        <w:t>Journal of Health Care Organization Provision and Financing</w:t>
      </w:r>
      <w:r w:rsidR="002E0A80"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29</w:t>
      </w:r>
      <w:r w:rsidR="00DF05BD" w:rsidRPr="00F853DD">
        <w:rPr>
          <w:rFonts w:ascii="Times" w:hAnsi="Times" w:cs="Times New Roman"/>
          <w:sz w:val="23"/>
          <w:szCs w:val="23"/>
        </w:rPr>
        <w:t>, 440-450.</w:t>
      </w:r>
    </w:p>
    <w:p w14:paraId="7FC9635A" w14:textId="2D37BAB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w:t>
      </w:r>
      <w:r w:rsidR="00F156E3" w:rsidRPr="00F853DD">
        <w:rPr>
          <w:rFonts w:ascii="Times" w:hAnsi="Times" w:cs="Arial"/>
          <w:sz w:val="23"/>
          <w:szCs w:val="23"/>
          <w:shd w:val="clear" w:color="auto" w:fill="FFFFFF"/>
        </w:rPr>
        <w:t>ealthcatalyst,</w:t>
      </w:r>
      <w:r w:rsidRPr="00F853DD">
        <w:rPr>
          <w:rFonts w:ascii="Times" w:hAnsi="Times" w:cs="Arial"/>
          <w:sz w:val="23"/>
          <w:szCs w:val="23"/>
          <w:shd w:val="clear" w:color="auto" w:fill="FFFFFF"/>
        </w:rPr>
        <w:t xml:space="preserve"> (2019). </w:t>
      </w:r>
      <w:r w:rsidR="002E0A80" w:rsidRPr="00F853DD">
        <w:rPr>
          <w:rFonts w:ascii="Times" w:hAnsi="Times" w:cs="Arial"/>
          <w:iCs/>
          <w:sz w:val="23"/>
          <w:szCs w:val="23"/>
          <w:shd w:val="clear" w:color="auto" w:fill="FFFFFF"/>
        </w:rPr>
        <w:t>ACO success requires precise patient population d</w:t>
      </w:r>
      <w:r w:rsidRPr="00F853DD">
        <w:rPr>
          <w:rFonts w:ascii="Times" w:hAnsi="Times" w:cs="Arial"/>
          <w:iCs/>
          <w:sz w:val="23"/>
          <w:szCs w:val="23"/>
          <w:shd w:val="clear" w:color="auto" w:fill="FFFFFF"/>
        </w:rPr>
        <w:t>efinitions</w:t>
      </w:r>
      <w:r w:rsidRPr="00F853DD">
        <w:rPr>
          <w:rFonts w:ascii="Times" w:hAnsi="Times" w:cs="Arial"/>
          <w:sz w:val="23"/>
          <w:szCs w:val="23"/>
          <w:shd w:val="clear" w:color="auto" w:fill="FFFFFF"/>
        </w:rPr>
        <w:t xml:space="preserve">. [online] [Viewed 30 November 2019]. Available from: https://www.healthcatalyst.com/crucial-to-ACO-Success-patient-population-definition. </w:t>
      </w:r>
    </w:p>
    <w:p w14:paraId="6BF56C67" w14:textId="4E8D679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Heenan, D.</w:t>
      </w:r>
      <w:r w:rsidR="00F156E3" w:rsidRPr="00F853DD">
        <w:rPr>
          <w:rFonts w:ascii="Times" w:hAnsi="Times" w:cs="Times New Roman"/>
          <w:sz w:val="23"/>
          <w:szCs w:val="23"/>
        </w:rPr>
        <w:t>,</w:t>
      </w:r>
      <w:r w:rsidRPr="00F853DD">
        <w:rPr>
          <w:rFonts w:ascii="Times" w:hAnsi="Times" w:cs="Times New Roman"/>
          <w:sz w:val="23"/>
          <w:szCs w:val="23"/>
        </w:rPr>
        <w:t xml:space="preserve"> (2000). Expectations and attitudes affecting patterns of informal care in farming families in Northern Ireland. </w:t>
      </w:r>
      <w:r w:rsidRPr="00F853DD">
        <w:rPr>
          <w:rFonts w:ascii="Times" w:hAnsi="Times" w:cs="Times New Roman"/>
          <w:i/>
          <w:sz w:val="23"/>
          <w:szCs w:val="23"/>
        </w:rPr>
        <w:t>Ageing and Society</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203-216.</w:t>
      </w:r>
    </w:p>
    <w:p w14:paraId="414C9D3C" w14:textId="47BBFEA2" w:rsidR="00DF05BD" w:rsidRPr="00F853DD" w:rsidRDefault="00F156E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Heller, P.,</w:t>
      </w:r>
      <w:r w:rsidR="00DF05BD" w:rsidRPr="00F853DD">
        <w:rPr>
          <w:rFonts w:ascii="Times" w:hAnsi="Times" w:cs="Times New Roman"/>
          <w:sz w:val="23"/>
          <w:szCs w:val="23"/>
        </w:rPr>
        <w:t xml:space="preserve"> (1976). Familism scale - revalidation and revision. </w:t>
      </w:r>
      <w:r w:rsidR="00DF05BD" w:rsidRPr="00F853DD">
        <w:rPr>
          <w:rFonts w:ascii="Times" w:hAnsi="Times" w:cs="Times New Roman"/>
          <w:i/>
          <w:sz w:val="23"/>
          <w:szCs w:val="23"/>
        </w:rPr>
        <w:t>Journal of Marriage and the Family</w:t>
      </w:r>
      <w:r w:rsidR="002E0A80" w:rsidRPr="00F853DD">
        <w:rPr>
          <w:rFonts w:ascii="Times" w:hAnsi="Times" w:cs="Times New Roman"/>
          <w:sz w:val="23"/>
          <w:szCs w:val="23"/>
        </w:rPr>
        <w:t xml:space="preserve">. </w:t>
      </w:r>
      <w:r w:rsidR="00DF05BD" w:rsidRPr="00F853DD">
        <w:rPr>
          <w:rFonts w:ascii="Times" w:hAnsi="Times" w:cs="Times New Roman"/>
          <w:b/>
          <w:sz w:val="23"/>
          <w:szCs w:val="23"/>
        </w:rPr>
        <w:t>38</w:t>
      </w:r>
      <w:r w:rsidR="00DF05BD" w:rsidRPr="00F853DD">
        <w:rPr>
          <w:rFonts w:ascii="Times" w:hAnsi="Times" w:cs="Times New Roman"/>
          <w:sz w:val="23"/>
          <w:szCs w:val="23"/>
        </w:rPr>
        <w:t>, 423-429.</w:t>
      </w:r>
    </w:p>
    <w:p w14:paraId="3338DD57" w14:textId="188D31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Hellström, I., Nolan, M., Nordenfelt, L. and Lundh, U.</w:t>
      </w:r>
      <w:r w:rsidR="00F156E3" w:rsidRPr="00F853DD">
        <w:rPr>
          <w:rFonts w:ascii="Times" w:hAnsi="Times" w:cs="Times New Roman"/>
          <w:sz w:val="23"/>
          <w:szCs w:val="23"/>
        </w:rPr>
        <w:t>,</w:t>
      </w:r>
      <w:r w:rsidRPr="00F853DD">
        <w:rPr>
          <w:rFonts w:ascii="Times" w:hAnsi="Times" w:cs="Times New Roman"/>
          <w:sz w:val="23"/>
          <w:szCs w:val="23"/>
        </w:rPr>
        <w:t xml:space="preserve"> (2007). Ethical and methodological issues in interviewing persons with dementia. </w:t>
      </w:r>
      <w:r w:rsidRPr="00F853DD">
        <w:rPr>
          <w:rFonts w:ascii="Times" w:hAnsi="Times" w:cs="Times New Roman"/>
          <w:i/>
          <w:sz w:val="23"/>
          <w:szCs w:val="23"/>
        </w:rPr>
        <w:t>Nursing Ethics</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608-619.</w:t>
      </w:r>
    </w:p>
    <w:p w14:paraId="27902494" w14:textId="755D939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Heltberg, R., Hossain, N., Reva, A. And Turk, C.</w:t>
      </w:r>
      <w:r w:rsidR="00F156E3" w:rsidRPr="00F853DD">
        <w:rPr>
          <w:rFonts w:ascii="Times" w:hAnsi="Times" w:cs="Times New Roman"/>
          <w:sz w:val="23"/>
          <w:szCs w:val="23"/>
        </w:rPr>
        <w:t>,</w:t>
      </w:r>
      <w:r w:rsidRPr="00F853DD">
        <w:rPr>
          <w:rFonts w:ascii="Times" w:hAnsi="Times" w:cs="Times New Roman"/>
          <w:sz w:val="23"/>
          <w:szCs w:val="23"/>
        </w:rPr>
        <w:t xml:space="preserve"> (2013). Coping and Resilience during the food, fuel, and financial crises. </w:t>
      </w:r>
      <w:r w:rsidRPr="00F853DD">
        <w:rPr>
          <w:rFonts w:ascii="Times" w:hAnsi="Times" w:cs="Times New Roman"/>
          <w:i/>
          <w:sz w:val="23"/>
          <w:szCs w:val="23"/>
        </w:rPr>
        <w:t>Journal of Development Studies</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49</w:t>
      </w:r>
      <w:r w:rsidRPr="00F853DD">
        <w:rPr>
          <w:rFonts w:ascii="Times" w:hAnsi="Times" w:cs="Times New Roman"/>
          <w:sz w:val="23"/>
          <w:szCs w:val="23"/>
        </w:rPr>
        <w:t>, 705-718.</w:t>
      </w:r>
    </w:p>
    <w:p w14:paraId="5FD810AA" w14:textId="4F6C88F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Hemmer, C.</w:t>
      </w:r>
      <w:r w:rsidR="00F156E3" w:rsidRPr="00F853DD">
        <w:rPr>
          <w:rFonts w:ascii="Times" w:hAnsi="Times" w:cs="Times New Roman"/>
          <w:sz w:val="23"/>
          <w:szCs w:val="23"/>
        </w:rPr>
        <w:t>,</w:t>
      </w:r>
      <w:r w:rsidRPr="00F853DD">
        <w:rPr>
          <w:rFonts w:ascii="Times" w:hAnsi="Times" w:cs="Times New Roman"/>
          <w:sz w:val="23"/>
          <w:szCs w:val="23"/>
        </w:rPr>
        <w:t xml:space="preserve"> (1999). Historical analogies and the definition of interests: The Iranian hostage crisis and Ronald Reagan's policy toward the hostages in Lebanon. </w:t>
      </w:r>
      <w:r w:rsidRPr="00F853DD">
        <w:rPr>
          <w:rFonts w:ascii="Times" w:hAnsi="Times" w:cs="Times New Roman"/>
          <w:i/>
          <w:sz w:val="23"/>
          <w:szCs w:val="23"/>
        </w:rPr>
        <w:t>Political Psychology</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267-289.</w:t>
      </w:r>
    </w:p>
    <w:p w14:paraId="7F042DDC" w14:textId="7B1F8B6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Henriksson, A., Carlander, I. and Arestedt, K.</w:t>
      </w:r>
      <w:r w:rsidR="00F156E3" w:rsidRPr="00F853DD">
        <w:rPr>
          <w:rFonts w:ascii="Times" w:hAnsi="Times" w:cs="Times New Roman"/>
          <w:sz w:val="23"/>
          <w:szCs w:val="23"/>
        </w:rPr>
        <w:t>,</w:t>
      </w:r>
      <w:r w:rsidRPr="00F853DD">
        <w:rPr>
          <w:rFonts w:ascii="Times" w:hAnsi="Times" w:cs="Times New Roman"/>
          <w:sz w:val="23"/>
          <w:szCs w:val="23"/>
        </w:rPr>
        <w:t xml:space="preserve"> (2015). Feelings of rewards among family caregivers during ongoing palliative care. </w:t>
      </w:r>
      <w:r w:rsidRPr="00F853DD">
        <w:rPr>
          <w:rFonts w:ascii="Times" w:hAnsi="Times" w:cs="Times New Roman"/>
          <w:i/>
          <w:sz w:val="23"/>
          <w:szCs w:val="23"/>
        </w:rPr>
        <w:t>Palliative and Supportive Care</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Pr="00F853DD">
        <w:rPr>
          <w:rFonts w:ascii="Times" w:hAnsi="Times" w:cs="Times New Roman"/>
          <w:sz w:val="23"/>
          <w:szCs w:val="23"/>
        </w:rPr>
        <w:t>, 1509-1517.</w:t>
      </w:r>
    </w:p>
    <w:p w14:paraId="5E604489" w14:textId="55EDE6B4" w:rsidR="00DF05BD" w:rsidRPr="00F853DD" w:rsidRDefault="00693E7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Henry, C., Morris, A. and Harrist, A.,</w:t>
      </w:r>
      <w:r w:rsidR="00DF05BD" w:rsidRPr="00F853DD">
        <w:rPr>
          <w:rFonts w:ascii="Times" w:hAnsi="Times" w:cs="Times New Roman"/>
          <w:sz w:val="23"/>
          <w:szCs w:val="23"/>
        </w:rPr>
        <w:t xml:space="preserve"> (201</w:t>
      </w:r>
      <w:r w:rsidR="002E0A80" w:rsidRPr="00F853DD">
        <w:rPr>
          <w:rFonts w:ascii="Times" w:hAnsi="Times" w:cs="Times New Roman"/>
          <w:sz w:val="23"/>
          <w:szCs w:val="23"/>
        </w:rPr>
        <w:t>5). Family resilience: moving into the third w</w:t>
      </w:r>
      <w:r w:rsidR="00DF05BD" w:rsidRPr="00F853DD">
        <w:rPr>
          <w:rFonts w:ascii="Times" w:hAnsi="Times" w:cs="Times New Roman"/>
          <w:sz w:val="23"/>
          <w:szCs w:val="23"/>
        </w:rPr>
        <w:t xml:space="preserve">ave. </w:t>
      </w:r>
      <w:r w:rsidR="00DF05BD" w:rsidRPr="00F853DD">
        <w:rPr>
          <w:rFonts w:ascii="Times" w:hAnsi="Times" w:cs="Times New Roman"/>
          <w:i/>
          <w:sz w:val="23"/>
          <w:szCs w:val="23"/>
        </w:rPr>
        <w:t>Family Relations</w:t>
      </w:r>
      <w:r w:rsidR="002E0A80" w:rsidRPr="00F853DD">
        <w:rPr>
          <w:rFonts w:ascii="Times" w:hAnsi="Times" w:cs="Times New Roman"/>
          <w:sz w:val="23"/>
          <w:szCs w:val="23"/>
        </w:rPr>
        <w:t xml:space="preserve">. </w:t>
      </w:r>
      <w:r w:rsidR="00DF05BD" w:rsidRPr="00F853DD">
        <w:rPr>
          <w:rFonts w:ascii="Times" w:hAnsi="Times" w:cs="Times New Roman"/>
          <w:b/>
          <w:sz w:val="23"/>
          <w:szCs w:val="23"/>
        </w:rPr>
        <w:t>64</w:t>
      </w:r>
      <w:r w:rsidR="00DF05BD" w:rsidRPr="00F853DD">
        <w:rPr>
          <w:rFonts w:ascii="Times" w:hAnsi="Times" w:cs="Times New Roman"/>
          <w:sz w:val="23"/>
          <w:szCs w:val="23"/>
        </w:rPr>
        <w:t>, 22-43.</w:t>
      </w:r>
    </w:p>
    <w:p w14:paraId="485B734A" w14:textId="3CD99B50" w:rsidR="001B679D" w:rsidRPr="00F853DD" w:rsidRDefault="001B679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Henz, U., 2009. Couples' provision of informal care for parents and parents-in-law: far from sharing equally.</w:t>
      </w:r>
    </w:p>
    <w:p w14:paraId="2E32201A" w14:textId="19CC9FB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Henz, U.</w:t>
      </w:r>
      <w:r w:rsidR="00693E7B" w:rsidRPr="00F853DD">
        <w:rPr>
          <w:rFonts w:ascii="Times" w:hAnsi="Times" w:cs="Times New Roman"/>
          <w:sz w:val="23"/>
          <w:szCs w:val="23"/>
        </w:rPr>
        <w:t>,</w:t>
      </w:r>
      <w:r w:rsidRPr="00F853DD">
        <w:rPr>
          <w:rFonts w:ascii="Times" w:hAnsi="Times" w:cs="Times New Roman"/>
          <w:sz w:val="23"/>
          <w:szCs w:val="23"/>
        </w:rPr>
        <w:t xml:space="preserve"> (2010). Parent care as unpaid family labor: How do spouses share? </w:t>
      </w:r>
      <w:r w:rsidRPr="00F853DD">
        <w:rPr>
          <w:rFonts w:ascii="Times" w:hAnsi="Times" w:cs="Times New Roman"/>
          <w:i/>
          <w:sz w:val="23"/>
          <w:szCs w:val="23"/>
        </w:rPr>
        <w:t>Journal of Marriage and Family</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72</w:t>
      </w:r>
      <w:r w:rsidRPr="00F853DD">
        <w:rPr>
          <w:rFonts w:ascii="Times" w:hAnsi="Times" w:cs="Times New Roman"/>
          <w:sz w:val="23"/>
          <w:szCs w:val="23"/>
        </w:rPr>
        <w:t>, 148-164.</w:t>
      </w:r>
    </w:p>
    <w:p w14:paraId="5406413D" w14:textId="72AA0FA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w:t>
      </w:r>
      <w:r w:rsidR="00693E7B" w:rsidRPr="00F853DD">
        <w:rPr>
          <w:rFonts w:ascii="Times" w:hAnsi="Times" w:cs="Times New Roman"/>
          <w:sz w:val="23"/>
          <w:szCs w:val="23"/>
        </w:rPr>
        <w:t>erlofson, K. and Hagestad, G.,</w:t>
      </w:r>
      <w:r w:rsidRPr="00F853DD">
        <w:rPr>
          <w:rFonts w:ascii="Times" w:hAnsi="Times" w:cs="Times New Roman"/>
          <w:sz w:val="23"/>
          <w:szCs w:val="23"/>
        </w:rPr>
        <w:t xml:space="preserve"> (2011). Challenges </w:t>
      </w:r>
      <w:r w:rsidR="002E0A80" w:rsidRPr="00F853DD">
        <w:rPr>
          <w:rFonts w:ascii="Times" w:hAnsi="Times" w:cs="Times New Roman"/>
          <w:sz w:val="23"/>
          <w:szCs w:val="23"/>
        </w:rPr>
        <w:t>in moving from macro to micro: population and f</w:t>
      </w:r>
      <w:r w:rsidRPr="00F853DD">
        <w:rPr>
          <w:rFonts w:ascii="Times" w:hAnsi="Times" w:cs="Times New Roman"/>
          <w:sz w:val="23"/>
          <w:szCs w:val="23"/>
        </w:rPr>
        <w:t xml:space="preserve">amily structures in ageing societies. </w:t>
      </w:r>
      <w:r w:rsidRPr="00F853DD">
        <w:rPr>
          <w:rFonts w:ascii="Times" w:hAnsi="Times" w:cs="Times New Roman"/>
          <w:i/>
          <w:sz w:val="23"/>
          <w:szCs w:val="23"/>
        </w:rPr>
        <w:t>Demographic Research</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337-370.</w:t>
      </w:r>
    </w:p>
    <w:p w14:paraId="0F01990E" w14:textId="0758291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Herrman, H., Singh, B., Schofield, H., Eastwood, R., Burgess, P., Lewis, V. and Scotton, R.</w:t>
      </w:r>
      <w:r w:rsidR="00693E7B" w:rsidRPr="00F853DD">
        <w:rPr>
          <w:rFonts w:ascii="Times" w:hAnsi="Times" w:cs="Times New Roman"/>
          <w:sz w:val="23"/>
          <w:szCs w:val="23"/>
        </w:rPr>
        <w:t>,</w:t>
      </w:r>
      <w:r w:rsidRPr="00F853DD">
        <w:rPr>
          <w:rFonts w:ascii="Times" w:hAnsi="Times" w:cs="Times New Roman"/>
          <w:sz w:val="23"/>
          <w:szCs w:val="23"/>
        </w:rPr>
        <w:t xml:space="preserve"> (1993). The health and wellbeing of informal caregivers: a review and study program. </w:t>
      </w:r>
      <w:r w:rsidRPr="00F853DD">
        <w:rPr>
          <w:rFonts w:ascii="Times" w:hAnsi="Times" w:cs="Times New Roman"/>
          <w:i/>
          <w:sz w:val="23"/>
          <w:szCs w:val="23"/>
        </w:rPr>
        <w:t>Australian Journal of Public Health</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261-266.</w:t>
      </w:r>
    </w:p>
    <w:p w14:paraId="4B596409" w14:textId="659E6A2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Herrm</w:t>
      </w:r>
      <w:r w:rsidR="00693E7B" w:rsidRPr="00F853DD">
        <w:rPr>
          <w:rFonts w:ascii="Times" w:hAnsi="Times" w:cs="Times New Roman"/>
          <w:sz w:val="23"/>
          <w:szCs w:val="23"/>
        </w:rPr>
        <w:t>an, H., Stewart, D.</w:t>
      </w:r>
      <w:r w:rsidRPr="00F853DD">
        <w:rPr>
          <w:rFonts w:ascii="Times" w:hAnsi="Times" w:cs="Times New Roman"/>
          <w:sz w:val="23"/>
          <w:szCs w:val="23"/>
        </w:rPr>
        <w:t xml:space="preserve">, </w:t>
      </w:r>
      <w:r w:rsidR="00693E7B" w:rsidRPr="00F853DD">
        <w:rPr>
          <w:rFonts w:ascii="Times" w:hAnsi="Times" w:cs="Times New Roman"/>
          <w:sz w:val="23"/>
          <w:szCs w:val="23"/>
        </w:rPr>
        <w:t>Diaz-Granados, N., Berger, E.</w:t>
      </w:r>
      <w:r w:rsidRPr="00F853DD">
        <w:rPr>
          <w:rFonts w:ascii="Times" w:hAnsi="Times" w:cs="Times New Roman"/>
          <w:sz w:val="23"/>
          <w:szCs w:val="23"/>
        </w:rPr>
        <w:t>, Jackson, B. and Yuen, T.</w:t>
      </w:r>
      <w:r w:rsidR="00693E7B" w:rsidRPr="00F853DD">
        <w:rPr>
          <w:rFonts w:ascii="Times" w:hAnsi="Times" w:cs="Times New Roman"/>
          <w:sz w:val="23"/>
          <w:szCs w:val="23"/>
        </w:rPr>
        <w:t>,</w:t>
      </w:r>
      <w:r w:rsidRPr="00F853DD">
        <w:rPr>
          <w:rFonts w:ascii="Times" w:hAnsi="Times" w:cs="Times New Roman"/>
          <w:sz w:val="23"/>
          <w:szCs w:val="23"/>
        </w:rPr>
        <w:t xml:space="preserve"> (2011). What is resilience? </w:t>
      </w:r>
      <w:r w:rsidRPr="00F853DD">
        <w:rPr>
          <w:rFonts w:ascii="Times" w:hAnsi="Times" w:cs="Times New Roman"/>
          <w:i/>
          <w:sz w:val="23"/>
          <w:szCs w:val="23"/>
        </w:rPr>
        <w:t>Canadian Journal of Psychiatry</w:t>
      </w:r>
      <w:r w:rsidRPr="00F853DD">
        <w:rPr>
          <w:rFonts w:ascii="Times" w:hAnsi="Times" w:cs="Times New Roman"/>
          <w:sz w:val="23"/>
          <w:szCs w:val="23"/>
        </w:rPr>
        <w:t>-</w:t>
      </w:r>
      <w:r w:rsidRPr="00F853DD">
        <w:rPr>
          <w:rFonts w:ascii="Times" w:hAnsi="Times" w:cs="Times New Roman"/>
          <w:i/>
          <w:sz w:val="23"/>
          <w:szCs w:val="23"/>
        </w:rPr>
        <w:t>Revue Canadienne De Psychiatrie</w:t>
      </w:r>
      <w:r w:rsidR="002E0A8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w:t>
      </w:r>
      <w:r w:rsidRPr="00F853DD">
        <w:rPr>
          <w:rFonts w:ascii="Times" w:hAnsi="Times" w:cs="Times New Roman"/>
          <w:sz w:val="23"/>
          <w:szCs w:val="23"/>
        </w:rPr>
        <w:t>, 258-265.</w:t>
      </w:r>
    </w:p>
    <w:p w14:paraId="3F5F7EB8" w14:textId="14EB7D6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Hermanns, M. and Mastel-Smith, B.</w:t>
      </w:r>
      <w:r w:rsidR="00693E7B" w:rsidRPr="00F853DD">
        <w:rPr>
          <w:rFonts w:ascii="Times" w:hAnsi="Times" w:cs="Times New Roman"/>
          <w:sz w:val="23"/>
          <w:szCs w:val="23"/>
        </w:rPr>
        <w:t>,</w:t>
      </w:r>
      <w:r w:rsidRPr="00F853DD">
        <w:rPr>
          <w:rFonts w:ascii="Times" w:hAnsi="Times" w:cs="Times New Roman"/>
          <w:sz w:val="23"/>
          <w:szCs w:val="23"/>
        </w:rPr>
        <w:t xml:space="preserve"> (2012). Caregiving: </w:t>
      </w:r>
      <w:r w:rsidR="002E0A80" w:rsidRPr="00F853DD">
        <w:rPr>
          <w:rFonts w:ascii="Times" w:hAnsi="Times" w:cs="Times New Roman"/>
          <w:sz w:val="23"/>
          <w:szCs w:val="23"/>
        </w:rPr>
        <w:t>a</w:t>
      </w:r>
      <w:r w:rsidRPr="00F853DD">
        <w:rPr>
          <w:rFonts w:ascii="Times" w:hAnsi="Times" w:cs="Times New Roman"/>
          <w:sz w:val="23"/>
          <w:szCs w:val="23"/>
        </w:rPr>
        <w:t xml:space="preserve"> </w:t>
      </w:r>
      <w:r w:rsidR="002E0A80" w:rsidRPr="00F853DD">
        <w:rPr>
          <w:rFonts w:ascii="Times" w:hAnsi="Times" w:cs="Times New Roman"/>
          <w:sz w:val="23"/>
          <w:szCs w:val="23"/>
        </w:rPr>
        <w:t>q</w:t>
      </w:r>
      <w:r w:rsidRPr="00F853DD">
        <w:rPr>
          <w:rFonts w:ascii="Times" w:hAnsi="Times" w:cs="Times New Roman"/>
          <w:sz w:val="23"/>
          <w:szCs w:val="23"/>
        </w:rPr>
        <w:t xml:space="preserve">ualitative </w:t>
      </w:r>
      <w:r w:rsidR="002E0A80" w:rsidRPr="00F853DD">
        <w:rPr>
          <w:rFonts w:ascii="Times" w:hAnsi="Times" w:cs="Times New Roman"/>
          <w:sz w:val="23"/>
          <w:szCs w:val="23"/>
        </w:rPr>
        <w:t>c</w:t>
      </w:r>
      <w:r w:rsidRPr="00F853DD">
        <w:rPr>
          <w:rFonts w:ascii="Times" w:hAnsi="Times" w:cs="Times New Roman"/>
          <w:sz w:val="23"/>
          <w:szCs w:val="23"/>
        </w:rPr>
        <w:t xml:space="preserve">oncept </w:t>
      </w:r>
      <w:r w:rsidR="002E0A80" w:rsidRPr="00F853DD">
        <w:rPr>
          <w:rFonts w:ascii="Times" w:hAnsi="Times" w:cs="Times New Roman"/>
          <w:sz w:val="23"/>
          <w:szCs w:val="23"/>
        </w:rPr>
        <w:t>a</w:t>
      </w:r>
      <w:r w:rsidRPr="00F853DD">
        <w:rPr>
          <w:rFonts w:ascii="Times" w:hAnsi="Times" w:cs="Times New Roman"/>
          <w:sz w:val="23"/>
          <w:szCs w:val="23"/>
        </w:rPr>
        <w:t xml:space="preserve">nalysis [online]. </w:t>
      </w:r>
      <w:r w:rsidRPr="00F853DD">
        <w:rPr>
          <w:rFonts w:ascii="Times" w:hAnsi="Times" w:cs="Times New Roman"/>
          <w:i/>
          <w:sz w:val="23"/>
          <w:szCs w:val="23"/>
        </w:rPr>
        <w:t>The Qualitative Report</w:t>
      </w:r>
      <w:r w:rsidR="002E0A80" w:rsidRPr="00F853DD">
        <w:rPr>
          <w:rFonts w:ascii="Times" w:hAnsi="Times" w:cs="Times New Roman"/>
          <w:sz w:val="23"/>
          <w:szCs w:val="23"/>
        </w:rPr>
        <w:t>.</w:t>
      </w:r>
      <w:r w:rsidRPr="00F853DD">
        <w:rPr>
          <w:rFonts w:ascii="Times" w:hAnsi="Times" w:cs="Times New Roman"/>
          <w:sz w:val="23"/>
          <w:szCs w:val="23"/>
        </w:rPr>
        <w:t xml:space="preserve"> 17. Available from: https://files.eric.ed.gov/fulltext/EJ989821.pdf. </w:t>
      </w:r>
    </w:p>
    <w:p w14:paraId="4D8D1D54" w14:textId="0699B7E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Herskovits, M. and Herskovits, F.</w:t>
      </w:r>
      <w:r w:rsidR="00693E7B" w:rsidRPr="00F853DD">
        <w:rPr>
          <w:rFonts w:ascii="Times" w:hAnsi="Times" w:cs="Times New Roman"/>
          <w:sz w:val="23"/>
          <w:szCs w:val="23"/>
        </w:rPr>
        <w:t>,</w:t>
      </w:r>
      <w:r w:rsidRPr="00F853DD">
        <w:rPr>
          <w:rFonts w:ascii="Times" w:hAnsi="Times" w:cs="Times New Roman"/>
          <w:sz w:val="23"/>
          <w:szCs w:val="23"/>
        </w:rPr>
        <w:t xml:space="preserve"> (1947). </w:t>
      </w:r>
      <w:r w:rsidRPr="00F853DD">
        <w:rPr>
          <w:rFonts w:ascii="Times" w:hAnsi="Times" w:cs="Times New Roman"/>
          <w:i/>
          <w:sz w:val="23"/>
          <w:szCs w:val="23"/>
        </w:rPr>
        <w:t>Trinidad Village</w:t>
      </w:r>
      <w:r w:rsidR="002E0A80" w:rsidRPr="00F853DD">
        <w:rPr>
          <w:rFonts w:ascii="Times" w:hAnsi="Times" w:cs="Times New Roman"/>
          <w:sz w:val="23"/>
          <w:szCs w:val="23"/>
        </w:rPr>
        <w:t>.</w:t>
      </w:r>
      <w:r w:rsidRPr="00F853DD">
        <w:rPr>
          <w:rFonts w:ascii="Times" w:hAnsi="Times" w:cs="Times New Roman"/>
          <w:sz w:val="23"/>
          <w:szCs w:val="23"/>
        </w:rPr>
        <w:t xml:space="preserve"> New York: Alfred A. Knopf.</w:t>
      </w:r>
    </w:p>
    <w:p w14:paraId="39AAFA1B" w14:textId="2679E61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Heylen, L., Mortelmans, D., Hermans, M. and Boudiny, K.</w:t>
      </w:r>
      <w:r w:rsidR="00693E7B" w:rsidRPr="00F853DD">
        <w:rPr>
          <w:rFonts w:ascii="Times" w:hAnsi="Times" w:cs="Times New Roman"/>
          <w:sz w:val="23"/>
          <w:szCs w:val="23"/>
        </w:rPr>
        <w:t>,</w:t>
      </w:r>
      <w:r w:rsidRPr="00F853DD">
        <w:rPr>
          <w:rFonts w:ascii="Times" w:hAnsi="Times" w:cs="Times New Roman"/>
          <w:sz w:val="23"/>
          <w:szCs w:val="23"/>
        </w:rPr>
        <w:t xml:space="preserve"> (2012). The intermediate effect of geographic proximity on intergenerational support: A comparison of France and Bulgaria. </w:t>
      </w:r>
      <w:r w:rsidRPr="00F853DD">
        <w:rPr>
          <w:rFonts w:ascii="Times" w:hAnsi="Times" w:cs="Times New Roman"/>
          <w:i/>
          <w:sz w:val="23"/>
          <w:szCs w:val="23"/>
        </w:rPr>
        <w:t>Demographic Research</w:t>
      </w:r>
      <w:r w:rsidR="00862A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 455-486.</w:t>
      </w:r>
    </w:p>
    <w:p w14:paraId="6F49A86F" w14:textId="50660537" w:rsidR="00DF05BD" w:rsidRPr="00F853DD" w:rsidRDefault="00693E7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Hicks, M. and Conner, N.,</w:t>
      </w:r>
      <w:r w:rsidR="00DF05BD" w:rsidRPr="00F853DD">
        <w:rPr>
          <w:rFonts w:ascii="Times" w:hAnsi="Times" w:cs="Times New Roman"/>
          <w:sz w:val="23"/>
          <w:szCs w:val="23"/>
        </w:rPr>
        <w:t xml:space="preserve"> (2014). Resilient ageing: a concept analysis. </w:t>
      </w:r>
      <w:r w:rsidR="00DF05BD" w:rsidRPr="00F853DD">
        <w:rPr>
          <w:rFonts w:ascii="Times" w:hAnsi="Times" w:cs="Times New Roman"/>
          <w:i/>
          <w:sz w:val="23"/>
          <w:szCs w:val="23"/>
        </w:rPr>
        <w:t>Journal of Advanced Nursing</w:t>
      </w:r>
      <w:r w:rsidR="00862A37"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70</w:t>
      </w:r>
      <w:r w:rsidR="00DF05BD" w:rsidRPr="00F853DD">
        <w:rPr>
          <w:rFonts w:ascii="Times" w:hAnsi="Times" w:cs="Times New Roman"/>
          <w:sz w:val="23"/>
          <w:szCs w:val="23"/>
        </w:rPr>
        <w:t>, 744-755.</w:t>
      </w:r>
    </w:p>
    <w:p w14:paraId="77CFA73A" w14:textId="1258E621" w:rsidR="00DF05BD" w:rsidRPr="00F853DD" w:rsidRDefault="00693E7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Hiel, L., Beenackers, M., Renders, C., Robroek, S.</w:t>
      </w:r>
      <w:r w:rsidR="00DF05BD" w:rsidRPr="00F853DD">
        <w:rPr>
          <w:rFonts w:ascii="Times" w:hAnsi="Times" w:cs="Times New Roman"/>
          <w:sz w:val="23"/>
          <w:szCs w:val="23"/>
        </w:rPr>
        <w:t>, Burdorf, A. and Croezen, S.</w:t>
      </w:r>
      <w:r w:rsidRPr="00F853DD">
        <w:rPr>
          <w:rFonts w:ascii="Times" w:hAnsi="Times" w:cs="Times New Roman"/>
          <w:sz w:val="23"/>
          <w:szCs w:val="23"/>
        </w:rPr>
        <w:t>,</w:t>
      </w:r>
      <w:r w:rsidR="00DF05BD" w:rsidRPr="00F853DD">
        <w:rPr>
          <w:rFonts w:ascii="Times" w:hAnsi="Times" w:cs="Times New Roman"/>
          <w:sz w:val="23"/>
          <w:szCs w:val="23"/>
        </w:rPr>
        <w:t xml:space="preserve"> (2015). Providing personal informal care to older European adults: Should we care about the caregivers' health? </w:t>
      </w:r>
      <w:r w:rsidR="00DF05BD" w:rsidRPr="00F853DD">
        <w:rPr>
          <w:rFonts w:ascii="Times" w:hAnsi="Times" w:cs="Times New Roman"/>
          <w:i/>
          <w:sz w:val="23"/>
          <w:szCs w:val="23"/>
        </w:rPr>
        <w:t>Preventive Medicine</w:t>
      </w:r>
      <w:r w:rsidR="00862A37" w:rsidRPr="00F853DD">
        <w:rPr>
          <w:rFonts w:ascii="Times" w:hAnsi="Times" w:cs="Times New Roman"/>
          <w:sz w:val="23"/>
          <w:szCs w:val="23"/>
        </w:rPr>
        <w:t xml:space="preserve">. </w:t>
      </w:r>
      <w:r w:rsidR="00DF05BD" w:rsidRPr="00F853DD">
        <w:rPr>
          <w:rFonts w:ascii="Times" w:hAnsi="Times" w:cs="Times New Roman"/>
          <w:b/>
          <w:sz w:val="23"/>
          <w:szCs w:val="23"/>
        </w:rPr>
        <w:t>70</w:t>
      </w:r>
      <w:r w:rsidR="00DF05BD" w:rsidRPr="00F853DD">
        <w:rPr>
          <w:rFonts w:ascii="Times" w:hAnsi="Times" w:cs="Times New Roman"/>
          <w:sz w:val="23"/>
          <w:szCs w:val="23"/>
        </w:rPr>
        <w:t>, 64-68.</w:t>
      </w:r>
    </w:p>
    <w:p w14:paraId="744F547A" w14:textId="32F38A2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Hildebrand, C., Taylor, M. and Bradway, C.</w:t>
      </w:r>
      <w:r w:rsidR="00693E7B" w:rsidRPr="00F853DD">
        <w:rPr>
          <w:rFonts w:ascii="Times" w:hAnsi="Times" w:cs="Times New Roman"/>
          <w:sz w:val="23"/>
          <w:szCs w:val="23"/>
        </w:rPr>
        <w:t>,</w:t>
      </w:r>
      <w:r w:rsidRPr="00F853DD">
        <w:rPr>
          <w:rFonts w:ascii="Times" w:hAnsi="Times" w:cs="Times New Roman"/>
          <w:sz w:val="23"/>
          <w:szCs w:val="23"/>
        </w:rPr>
        <w:t xml:space="preserve"> (2014). Elder self-neglect: The failure of coping because of cognitive and functional impairments. </w:t>
      </w:r>
      <w:r w:rsidRPr="00F853DD">
        <w:rPr>
          <w:rFonts w:ascii="Times" w:hAnsi="Times" w:cs="Times New Roman"/>
          <w:i/>
          <w:sz w:val="23"/>
          <w:szCs w:val="23"/>
        </w:rPr>
        <w:t>Journal of the American Association of Nurse Practitioners</w:t>
      </w:r>
      <w:r w:rsidR="00862A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452-462.</w:t>
      </w:r>
    </w:p>
    <w:p w14:paraId="2268C8A1" w14:textId="1953A17D" w:rsidR="00DF05BD" w:rsidRPr="00F853DD" w:rsidRDefault="00693E7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Hildon, Z., Montgomery, S.</w:t>
      </w:r>
      <w:r w:rsidR="00DF05BD" w:rsidRPr="00F853DD">
        <w:rPr>
          <w:rFonts w:ascii="Times" w:hAnsi="Times" w:cs="Times New Roman"/>
          <w:sz w:val="23"/>
          <w:szCs w:val="23"/>
        </w:rPr>
        <w:t>, B</w:t>
      </w:r>
      <w:r w:rsidRPr="00F853DD">
        <w:rPr>
          <w:rFonts w:ascii="Times" w:hAnsi="Times" w:cs="Times New Roman"/>
          <w:sz w:val="23"/>
          <w:szCs w:val="23"/>
        </w:rPr>
        <w:t>lane, D., Wiggins, R.</w:t>
      </w:r>
      <w:r w:rsidR="00DF05BD" w:rsidRPr="00F853DD">
        <w:rPr>
          <w:rFonts w:ascii="Times" w:hAnsi="Times" w:cs="Times New Roman"/>
          <w:sz w:val="23"/>
          <w:szCs w:val="23"/>
        </w:rPr>
        <w:t xml:space="preserve"> and Netuveli, G.</w:t>
      </w:r>
      <w:r w:rsidRPr="00F853DD">
        <w:rPr>
          <w:rFonts w:ascii="Times" w:hAnsi="Times" w:cs="Times New Roman"/>
          <w:sz w:val="23"/>
          <w:szCs w:val="23"/>
        </w:rPr>
        <w:t>,</w:t>
      </w:r>
      <w:r w:rsidR="00DF05BD" w:rsidRPr="00F853DD">
        <w:rPr>
          <w:rFonts w:ascii="Times" w:hAnsi="Times" w:cs="Times New Roman"/>
          <w:sz w:val="23"/>
          <w:szCs w:val="23"/>
        </w:rPr>
        <w:t xml:space="preserve"> (2010). Examining resilience of quality of life in the face of health-related and psychosocial ad</w:t>
      </w:r>
      <w:r w:rsidR="00862A37" w:rsidRPr="00F853DD">
        <w:rPr>
          <w:rFonts w:ascii="Times" w:hAnsi="Times" w:cs="Times New Roman"/>
          <w:sz w:val="23"/>
          <w:szCs w:val="23"/>
        </w:rPr>
        <w:t>versity at older ages: What is “</w:t>
      </w:r>
      <w:r w:rsidR="00DF05BD" w:rsidRPr="00F853DD">
        <w:rPr>
          <w:rFonts w:ascii="Times" w:hAnsi="Times" w:cs="Times New Roman"/>
          <w:sz w:val="23"/>
          <w:szCs w:val="23"/>
        </w:rPr>
        <w:t>Right</w:t>
      </w:r>
      <w:r w:rsidR="00862A37" w:rsidRPr="00F853DD">
        <w:rPr>
          <w:rFonts w:ascii="Times" w:hAnsi="Times" w:cs="Times New Roman"/>
          <w:sz w:val="23"/>
          <w:szCs w:val="23"/>
        </w:rPr>
        <w:t>” a</w:t>
      </w:r>
      <w:r w:rsidR="00DF05BD" w:rsidRPr="00F853DD">
        <w:rPr>
          <w:rFonts w:ascii="Times" w:hAnsi="Times" w:cs="Times New Roman"/>
          <w:sz w:val="23"/>
          <w:szCs w:val="23"/>
        </w:rPr>
        <w:t xml:space="preserve">bout the </w:t>
      </w:r>
      <w:r w:rsidR="00862A37" w:rsidRPr="00F853DD">
        <w:rPr>
          <w:rFonts w:ascii="Times" w:hAnsi="Times" w:cs="Times New Roman"/>
          <w:sz w:val="23"/>
          <w:szCs w:val="23"/>
        </w:rPr>
        <w:t>w</w:t>
      </w:r>
      <w:r w:rsidR="00DF05BD" w:rsidRPr="00F853DD">
        <w:rPr>
          <w:rFonts w:ascii="Times" w:hAnsi="Times" w:cs="Times New Roman"/>
          <w:sz w:val="23"/>
          <w:szCs w:val="23"/>
        </w:rPr>
        <w:t xml:space="preserve">ay </w:t>
      </w:r>
      <w:r w:rsidR="00862A37" w:rsidRPr="00F853DD">
        <w:rPr>
          <w:rFonts w:ascii="Times" w:hAnsi="Times" w:cs="Times New Roman"/>
          <w:sz w:val="23"/>
          <w:szCs w:val="23"/>
        </w:rPr>
        <w:t>w</w:t>
      </w:r>
      <w:r w:rsidR="00DF05BD" w:rsidRPr="00F853DD">
        <w:rPr>
          <w:rFonts w:ascii="Times" w:hAnsi="Times" w:cs="Times New Roman"/>
          <w:sz w:val="23"/>
          <w:szCs w:val="23"/>
        </w:rPr>
        <w:t xml:space="preserve">e </w:t>
      </w:r>
      <w:r w:rsidR="00862A37" w:rsidRPr="00F853DD">
        <w:rPr>
          <w:rFonts w:ascii="Times" w:hAnsi="Times" w:cs="Times New Roman"/>
          <w:sz w:val="23"/>
          <w:szCs w:val="23"/>
        </w:rPr>
        <w:t>a</w:t>
      </w:r>
      <w:r w:rsidR="00DF05BD" w:rsidRPr="00F853DD">
        <w:rPr>
          <w:rFonts w:ascii="Times" w:hAnsi="Times" w:cs="Times New Roman"/>
          <w:sz w:val="23"/>
          <w:szCs w:val="23"/>
        </w:rPr>
        <w:t xml:space="preserve">ge? </w:t>
      </w:r>
      <w:r w:rsidR="00DF05BD" w:rsidRPr="00F853DD">
        <w:rPr>
          <w:rFonts w:ascii="Times" w:hAnsi="Times" w:cs="Times New Roman"/>
          <w:i/>
          <w:sz w:val="23"/>
          <w:szCs w:val="23"/>
        </w:rPr>
        <w:t>Gerontologist</w:t>
      </w:r>
      <w:r w:rsidR="00862A37"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50</w:t>
      </w:r>
      <w:r w:rsidR="00DF05BD" w:rsidRPr="00F853DD">
        <w:rPr>
          <w:rFonts w:ascii="Times" w:hAnsi="Times" w:cs="Times New Roman"/>
          <w:sz w:val="23"/>
          <w:szCs w:val="23"/>
        </w:rPr>
        <w:t>, 36-47.</w:t>
      </w:r>
    </w:p>
    <w:p w14:paraId="28E58927" w14:textId="62F50CC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Hildon, Z., Smith, G., Netuveli, G. and Blane, D.</w:t>
      </w:r>
      <w:r w:rsidR="00693E7B" w:rsidRPr="00F853DD">
        <w:rPr>
          <w:rFonts w:ascii="Times" w:hAnsi="Times" w:cs="Times New Roman"/>
          <w:sz w:val="23"/>
          <w:szCs w:val="23"/>
        </w:rPr>
        <w:t>,</w:t>
      </w:r>
      <w:r w:rsidRPr="00F853DD">
        <w:rPr>
          <w:rFonts w:ascii="Times" w:hAnsi="Times" w:cs="Times New Roman"/>
          <w:sz w:val="23"/>
          <w:szCs w:val="23"/>
        </w:rPr>
        <w:t xml:space="preserve"> (2008). Understanding adversity and resilience at older ages. </w:t>
      </w:r>
      <w:r w:rsidRPr="00F853DD">
        <w:rPr>
          <w:rFonts w:ascii="Times" w:hAnsi="Times" w:cs="Times New Roman"/>
          <w:i/>
          <w:sz w:val="23"/>
          <w:szCs w:val="23"/>
        </w:rPr>
        <w:t>Sociology of Health and Illness</w:t>
      </w:r>
      <w:r w:rsidR="00862A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 726-740.</w:t>
      </w:r>
    </w:p>
    <w:p w14:paraId="08CB6DA5" w14:textId="6D93EE4B" w:rsidR="00DF05BD" w:rsidRPr="00F853DD" w:rsidRDefault="00693E7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Hilgeman, M., Durkin, D.</w:t>
      </w:r>
      <w:r w:rsidR="00DF05BD" w:rsidRPr="00F853DD">
        <w:rPr>
          <w:rFonts w:ascii="Times" w:hAnsi="Times" w:cs="Times New Roman"/>
          <w:sz w:val="23"/>
          <w:szCs w:val="23"/>
        </w:rPr>
        <w:t>, Sun</w:t>
      </w:r>
      <w:r w:rsidRPr="00F853DD">
        <w:rPr>
          <w:rFonts w:ascii="Times" w:hAnsi="Times" w:cs="Times New Roman"/>
          <w:sz w:val="23"/>
          <w:szCs w:val="23"/>
        </w:rPr>
        <w:t>, F., Decoster, J., Allen, R.</w:t>
      </w:r>
      <w:r w:rsidR="00DF05BD" w:rsidRPr="00F853DD">
        <w:rPr>
          <w:rFonts w:ascii="Times" w:hAnsi="Times" w:cs="Times New Roman"/>
          <w:sz w:val="23"/>
          <w:szCs w:val="23"/>
        </w:rPr>
        <w:t>, Gallaghe</w:t>
      </w:r>
      <w:r w:rsidRPr="00F853DD">
        <w:rPr>
          <w:rFonts w:ascii="Times" w:hAnsi="Times" w:cs="Times New Roman"/>
          <w:sz w:val="23"/>
          <w:szCs w:val="23"/>
        </w:rPr>
        <w:t>r-Thompson, D. and Burgio, L.,</w:t>
      </w:r>
      <w:r w:rsidR="00DF05BD" w:rsidRPr="00F853DD">
        <w:rPr>
          <w:rFonts w:ascii="Times" w:hAnsi="Times" w:cs="Times New Roman"/>
          <w:sz w:val="23"/>
          <w:szCs w:val="23"/>
        </w:rPr>
        <w:t xml:space="preserve"> (2009). Testing a theoretical model of the stress process in alzheimer's caregivers with race as a moderator. </w:t>
      </w:r>
      <w:r w:rsidR="00DF05BD" w:rsidRPr="00F853DD">
        <w:rPr>
          <w:rFonts w:ascii="Times" w:hAnsi="Times" w:cs="Times New Roman"/>
          <w:i/>
          <w:sz w:val="23"/>
          <w:szCs w:val="23"/>
        </w:rPr>
        <w:t>Gerontologist</w:t>
      </w:r>
      <w:r w:rsidR="00862A37"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49</w:t>
      </w:r>
      <w:r w:rsidR="00DF05BD" w:rsidRPr="00F853DD">
        <w:rPr>
          <w:rFonts w:ascii="Times" w:hAnsi="Times" w:cs="Times New Roman"/>
          <w:sz w:val="23"/>
          <w:szCs w:val="23"/>
        </w:rPr>
        <w:t>, 248-261.</w:t>
      </w:r>
    </w:p>
    <w:p w14:paraId="7F3A0990" w14:textId="2E02E28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Hill, F.</w:t>
      </w:r>
      <w:r w:rsidR="00693E7B" w:rsidRPr="00F853DD">
        <w:rPr>
          <w:rFonts w:ascii="Times" w:hAnsi="Times" w:cs="Times New Roman"/>
          <w:sz w:val="23"/>
          <w:szCs w:val="23"/>
        </w:rPr>
        <w:t>,</w:t>
      </w:r>
      <w:r w:rsidRPr="00F853DD">
        <w:rPr>
          <w:rFonts w:ascii="Times" w:hAnsi="Times" w:cs="Times New Roman"/>
          <w:sz w:val="23"/>
          <w:szCs w:val="23"/>
        </w:rPr>
        <w:t xml:space="preserve"> (2015). Prevention better than cure in Cuban healthcare system [online]. </w:t>
      </w:r>
      <w:r w:rsidRPr="00F853DD">
        <w:rPr>
          <w:rFonts w:ascii="Times" w:hAnsi="Times" w:cs="Times New Roman"/>
          <w:i/>
          <w:sz w:val="23"/>
          <w:szCs w:val="23"/>
        </w:rPr>
        <w:t>BBC World Service</w:t>
      </w:r>
      <w:r w:rsidRPr="00F853DD">
        <w:rPr>
          <w:rFonts w:ascii="Times" w:hAnsi="Times" w:cs="Times New Roman"/>
          <w:sz w:val="23"/>
          <w:szCs w:val="23"/>
        </w:rPr>
        <w:t xml:space="preserve">. [Viewed on 30 July 2017]. Available from: http://www.bbc.com/news/health-35073966. </w:t>
      </w:r>
    </w:p>
    <w:p w14:paraId="708DC31C" w14:textId="5DCA950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Hillcoat-Nallétamby, S. and Phillips, J.</w:t>
      </w:r>
      <w:r w:rsidR="00693E7B" w:rsidRPr="00F853DD">
        <w:rPr>
          <w:rFonts w:ascii="Times" w:hAnsi="Times" w:cs="Times New Roman"/>
          <w:sz w:val="23"/>
          <w:szCs w:val="23"/>
        </w:rPr>
        <w:t>,</w:t>
      </w:r>
      <w:r w:rsidRPr="00F853DD">
        <w:rPr>
          <w:rFonts w:ascii="Times" w:hAnsi="Times" w:cs="Times New Roman"/>
          <w:sz w:val="23"/>
          <w:szCs w:val="23"/>
        </w:rPr>
        <w:t xml:space="preserve"> (2011). Sociological ambivalence revisited. </w:t>
      </w:r>
      <w:r w:rsidRPr="00F853DD">
        <w:rPr>
          <w:rFonts w:ascii="Times" w:hAnsi="Times" w:cs="Times New Roman"/>
          <w:i/>
          <w:sz w:val="23"/>
          <w:szCs w:val="23"/>
        </w:rPr>
        <w:t>Sociology</w:t>
      </w:r>
      <w:r w:rsidR="00862A37"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45</w:t>
      </w:r>
      <w:r w:rsidRPr="00F853DD">
        <w:rPr>
          <w:rFonts w:ascii="Times" w:hAnsi="Times" w:cs="Times New Roman"/>
          <w:sz w:val="23"/>
          <w:szCs w:val="23"/>
        </w:rPr>
        <w:t>(2), 202-217.</w:t>
      </w:r>
    </w:p>
    <w:p w14:paraId="0982F54C" w14:textId="730DBDEC" w:rsidR="00DF05BD" w:rsidRPr="00F853DD" w:rsidRDefault="00693E7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Hilmer, S.</w:t>
      </w:r>
      <w:r w:rsidR="00DF05BD" w:rsidRPr="00F853DD">
        <w:rPr>
          <w:rFonts w:ascii="Times" w:hAnsi="Times" w:cs="Times New Roman"/>
          <w:sz w:val="23"/>
          <w:szCs w:val="23"/>
        </w:rPr>
        <w:t xml:space="preserve">, Perera, </w:t>
      </w:r>
      <w:r w:rsidRPr="00F853DD">
        <w:rPr>
          <w:rFonts w:ascii="Times" w:hAnsi="Times" w:cs="Times New Roman"/>
          <w:sz w:val="23"/>
          <w:szCs w:val="23"/>
        </w:rPr>
        <w:t>V., Mitchell, S., Murnion, B.</w:t>
      </w:r>
      <w:r w:rsidR="00DF05BD" w:rsidRPr="00F853DD">
        <w:rPr>
          <w:rFonts w:ascii="Times" w:hAnsi="Times" w:cs="Times New Roman"/>
          <w:sz w:val="23"/>
          <w:szCs w:val="23"/>
        </w:rPr>
        <w:t>, Dent, J., Bajorek, B., Matthews, S. an</w:t>
      </w:r>
      <w:r w:rsidRPr="00F853DD">
        <w:rPr>
          <w:rFonts w:ascii="Times" w:hAnsi="Times" w:cs="Times New Roman"/>
          <w:sz w:val="23"/>
          <w:szCs w:val="23"/>
        </w:rPr>
        <w:t>d Rolfson, D.,</w:t>
      </w:r>
      <w:r w:rsidR="00DF05BD" w:rsidRPr="00F853DD">
        <w:rPr>
          <w:rFonts w:ascii="Times" w:hAnsi="Times" w:cs="Times New Roman"/>
          <w:sz w:val="23"/>
          <w:szCs w:val="23"/>
        </w:rPr>
        <w:t xml:space="preserve"> (2009). The assessment of frailty in older people in acute care. </w:t>
      </w:r>
      <w:r w:rsidR="00DF05BD" w:rsidRPr="00F853DD">
        <w:rPr>
          <w:rFonts w:ascii="Times" w:hAnsi="Times" w:cs="Times New Roman"/>
          <w:i/>
          <w:sz w:val="23"/>
          <w:szCs w:val="23"/>
        </w:rPr>
        <w:t>Australasian Journal on Ageing</w:t>
      </w:r>
      <w:r w:rsidR="00862A37"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DF05BD" w:rsidRPr="00F853DD">
        <w:rPr>
          <w:rFonts w:ascii="Times" w:hAnsi="Times" w:cs="Times New Roman"/>
          <w:sz w:val="23"/>
          <w:szCs w:val="23"/>
        </w:rPr>
        <w:t>, 182-188.</w:t>
      </w:r>
    </w:p>
    <w:p w14:paraId="00091C49" w14:textId="26F1563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Hirst, M.</w:t>
      </w:r>
      <w:r w:rsidR="00693E7B" w:rsidRPr="00F853DD">
        <w:rPr>
          <w:rFonts w:ascii="Times" w:hAnsi="Times" w:cs="Times New Roman"/>
          <w:sz w:val="23"/>
          <w:szCs w:val="23"/>
        </w:rPr>
        <w:t>,</w:t>
      </w:r>
      <w:r w:rsidRPr="00F853DD">
        <w:rPr>
          <w:rFonts w:ascii="Times" w:hAnsi="Times" w:cs="Times New Roman"/>
          <w:sz w:val="23"/>
          <w:szCs w:val="23"/>
        </w:rPr>
        <w:t xml:space="preserve"> (2005). Carer distress: a prospective, population-based study. </w:t>
      </w:r>
      <w:r w:rsidRPr="00F853DD">
        <w:rPr>
          <w:rFonts w:ascii="Times" w:hAnsi="Times" w:cs="Times New Roman"/>
          <w:i/>
          <w:sz w:val="23"/>
          <w:szCs w:val="23"/>
        </w:rPr>
        <w:t>Social Science and Medicine</w:t>
      </w:r>
      <w:r w:rsidR="00862A37"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61</w:t>
      </w:r>
      <w:r w:rsidRPr="00F853DD">
        <w:rPr>
          <w:rFonts w:ascii="Times" w:hAnsi="Times" w:cs="Times New Roman"/>
          <w:sz w:val="23"/>
          <w:szCs w:val="23"/>
        </w:rPr>
        <w:t>, 697-708.</w:t>
      </w:r>
    </w:p>
    <w:p w14:paraId="788ECE6B" w14:textId="7A154F2B" w:rsidR="00DF05BD" w:rsidRPr="00F853DD" w:rsidRDefault="00693E7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Hirshorn, B.,</w:t>
      </w:r>
      <w:r w:rsidR="00DF05BD" w:rsidRPr="00F853DD">
        <w:rPr>
          <w:rFonts w:ascii="Times" w:hAnsi="Times" w:cs="Times New Roman"/>
          <w:sz w:val="23"/>
          <w:szCs w:val="23"/>
        </w:rPr>
        <w:t xml:space="preserve"> (1998). Grandparents as caregivers. </w:t>
      </w:r>
      <w:r w:rsidR="00DF05BD" w:rsidRPr="00F853DD">
        <w:rPr>
          <w:rFonts w:ascii="Times" w:hAnsi="Times" w:cs="Times New Roman"/>
          <w:i/>
          <w:sz w:val="23"/>
          <w:szCs w:val="23"/>
        </w:rPr>
        <w:t xml:space="preserve">Handbook on </w:t>
      </w:r>
      <w:r w:rsidR="00862A37" w:rsidRPr="00F853DD">
        <w:rPr>
          <w:rFonts w:ascii="Times" w:hAnsi="Times" w:cs="Times New Roman"/>
          <w:i/>
          <w:sz w:val="23"/>
          <w:szCs w:val="23"/>
        </w:rPr>
        <w:t>G</w:t>
      </w:r>
      <w:r w:rsidR="00DF05BD" w:rsidRPr="00F853DD">
        <w:rPr>
          <w:rFonts w:ascii="Times" w:hAnsi="Times" w:cs="Times New Roman"/>
          <w:i/>
          <w:sz w:val="23"/>
          <w:szCs w:val="23"/>
        </w:rPr>
        <w:t>randparenthood</w:t>
      </w:r>
      <w:r w:rsidR="00DF05BD" w:rsidRPr="00F853DD">
        <w:rPr>
          <w:rFonts w:ascii="Times" w:hAnsi="Times" w:cs="Times New Roman"/>
          <w:sz w:val="23"/>
          <w:szCs w:val="23"/>
        </w:rPr>
        <w:t>, 200-214.</w:t>
      </w:r>
    </w:p>
    <w:p w14:paraId="1991DE07" w14:textId="5B724000" w:rsidR="00DF05BD" w:rsidRPr="00F853DD" w:rsidRDefault="00693E7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Hitlin, S. and Elder, G.,</w:t>
      </w:r>
      <w:r w:rsidR="00DF05BD" w:rsidRPr="00F853DD">
        <w:rPr>
          <w:rFonts w:ascii="Times" w:hAnsi="Times" w:cs="Times New Roman"/>
          <w:sz w:val="23"/>
          <w:szCs w:val="23"/>
        </w:rPr>
        <w:t xml:space="preserve"> (2007). Time, self, and the curiously abstract concept of agency. </w:t>
      </w:r>
      <w:r w:rsidR="00DF05BD" w:rsidRPr="00F853DD">
        <w:rPr>
          <w:rFonts w:ascii="Times" w:hAnsi="Times" w:cs="Times New Roman"/>
          <w:i/>
          <w:sz w:val="23"/>
          <w:szCs w:val="23"/>
        </w:rPr>
        <w:t>Sociological Theory</w:t>
      </w:r>
      <w:r w:rsidR="00862A37"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 170-191.</w:t>
      </w:r>
    </w:p>
    <w:p w14:paraId="0BFF7D1A" w14:textId="422A526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Hjalm, A.</w:t>
      </w:r>
      <w:r w:rsidR="00693E7B" w:rsidRPr="00F853DD">
        <w:rPr>
          <w:rFonts w:ascii="Times" w:hAnsi="Times" w:cs="Times New Roman"/>
          <w:sz w:val="23"/>
          <w:szCs w:val="23"/>
        </w:rPr>
        <w:t>,</w:t>
      </w:r>
      <w:r w:rsidRPr="00F853DD">
        <w:rPr>
          <w:rFonts w:ascii="Times" w:hAnsi="Times" w:cs="Times New Roman"/>
          <w:sz w:val="23"/>
          <w:szCs w:val="23"/>
        </w:rPr>
        <w:t xml:space="preserve"> (201</w:t>
      </w:r>
      <w:r w:rsidR="00862A37" w:rsidRPr="00F853DD">
        <w:rPr>
          <w:rFonts w:ascii="Times" w:hAnsi="Times" w:cs="Times New Roman"/>
          <w:sz w:val="23"/>
          <w:szCs w:val="23"/>
        </w:rPr>
        <w:t>2). “Because we know our limits”: Elderly parents’</w:t>
      </w:r>
      <w:r w:rsidRPr="00F853DD">
        <w:rPr>
          <w:rFonts w:ascii="Times" w:hAnsi="Times" w:cs="Times New Roman"/>
          <w:sz w:val="23"/>
          <w:szCs w:val="23"/>
        </w:rPr>
        <w:t xml:space="preserve"> views on intergenerational proximity and intimacy</w:t>
      </w:r>
      <w:r w:rsidRPr="00F853DD">
        <w:rPr>
          <w:rFonts w:ascii="Times" w:hAnsi="Times" w:cs="Times New Roman"/>
          <w:i/>
          <w:sz w:val="23"/>
          <w:szCs w:val="23"/>
        </w:rPr>
        <w:t>. Journal of Aging Studies</w:t>
      </w:r>
      <w:r w:rsidR="00862A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296-308.</w:t>
      </w:r>
    </w:p>
    <w:p w14:paraId="636EF7A7" w14:textId="76425D1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Hlebec, V., Srakar, A. and Majcen, B.</w:t>
      </w:r>
      <w:r w:rsidR="00F2394B" w:rsidRPr="00F853DD">
        <w:rPr>
          <w:rFonts w:ascii="Times" w:hAnsi="Times" w:cs="Times New Roman"/>
          <w:sz w:val="23"/>
          <w:szCs w:val="23"/>
        </w:rPr>
        <w:t>,</w:t>
      </w:r>
      <w:r w:rsidRPr="00F853DD">
        <w:rPr>
          <w:rFonts w:ascii="Times" w:hAnsi="Times" w:cs="Times New Roman"/>
          <w:sz w:val="23"/>
          <w:szCs w:val="23"/>
        </w:rPr>
        <w:t xml:space="preserve"> (2016). </w:t>
      </w:r>
      <w:r w:rsidR="00F2394B" w:rsidRPr="00F853DD">
        <w:rPr>
          <w:rFonts w:ascii="Times" w:hAnsi="Times" w:cs="Times New Roman"/>
          <w:sz w:val="23"/>
          <w:szCs w:val="23"/>
        </w:rPr>
        <w:t>Care for the e</w:t>
      </w:r>
      <w:r w:rsidRPr="00F853DD">
        <w:rPr>
          <w:rFonts w:ascii="Times" w:hAnsi="Times" w:cs="Times New Roman"/>
          <w:sz w:val="23"/>
          <w:szCs w:val="23"/>
        </w:rPr>
        <w:t xml:space="preserve">lderly in Slovenia: </w:t>
      </w:r>
      <w:r w:rsidR="00F2394B" w:rsidRPr="00F853DD">
        <w:rPr>
          <w:rFonts w:ascii="Times" w:hAnsi="Times" w:cs="Times New Roman"/>
          <w:sz w:val="23"/>
          <w:szCs w:val="23"/>
        </w:rPr>
        <w:t>a c</w:t>
      </w:r>
      <w:r w:rsidRPr="00F853DD">
        <w:rPr>
          <w:rFonts w:ascii="Times" w:hAnsi="Times" w:cs="Times New Roman"/>
          <w:sz w:val="23"/>
          <w:szCs w:val="23"/>
        </w:rPr>
        <w:t xml:space="preserve">ombination of </w:t>
      </w:r>
      <w:r w:rsidR="00F2394B" w:rsidRPr="00F853DD">
        <w:rPr>
          <w:rFonts w:ascii="Times" w:hAnsi="Times" w:cs="Times New Roman"/>
          <w:sz w:val="23"/>
          <w:szCs w:val="23"/>
        </w:rPr>
        <w:t>i</w:t>
      </w:r>
      <w:r w:rsidRPr="00F853DD">
        <w:rPr>
          <w:rFonts w:ascii="Times" w:hAnsi="Times" w:cs="Times New Roman"/>
          <w:sz w:val="23"/>
          <w:szCs w:val="23"/>
        </w:rPr>
        <w:t xml:space="preserve">nformal and </w:t>
      </w:r>
      <w:r w:rsidR="00F2394B" w:rsidRPr="00F853DD">
        <w:rPr>
          <w:rFonts w:ascii="Times" w:hAnsi="Times" w:cs="Times New Roman"/>
          <w:sz w:val="23"/>
          <w:szCs w:val="23"/>
        </w:rPr>
        <w:t>f</w:t>
      </w:r>
      <w:r w:rsidRPr="00F853DD">
        <w:rPr>
          <w:rFonts w:ascii="Times" w:hAnsi="Times" w:cs="Times New Roman"/>
          <w:sz w:val="23"/>
          <w:szCs w:val="23"/>
        </w:rPr>
        <w:t xml:space="preserve">ormal </w:t>
      </w:r>
      <w:r w:rsidR="00F2394B" w:rsidRPr="00F853DD">
        <w:rPr>
          <w:rFonts w:ascii="Times" w:hAnsi="Times" w:cs="Times New Roman"/>
          <w:sz w:val="23"/>
          <w:szCs w:val="23"/>
        </w:rPr>
        <w:t>c</w:t>
      </w:r>
      <w:r w:rsidRPr="00F853DD">
        <w:rPr>
          <w:rFonts w:ascii="Times" w:hAnsi="Times" w:cs="Times New Roman"/>
          <w:sz w:val="23"/>
          <w:szCs w:val="23"/>
        </w:rPr>
        <w:t xml:space="preserve">are. </w:t>
      </w:r>
      <w:r w:rsidRPr="00F853DD">
        <w:rPr>
          <w:rFonts w:ascii="Times" w:hAnsi="Times" w:cs="Times New Roman"/>
          <w:i/>
          <w:sz w:val="23"/>
          <w:szCs w:val="23"/>
        </w:rPr>
        <w:t>Revija Za Socijalnu Politiku</w:t>
      </w:r>
      <w:r w:rsidR="00862A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159-179.</w:t>
      </w:r>
    </w:p>
    <w:p w14:paraId="331FBE20" w14:textId="272D86A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Hobfoll, S.</w:t>
      </w:r>
      <w:r w:rsidR="00F2394B" w:rsidRPr="00F853DD">
        <w:rPr>
          <w:rFonts w:ascii="Times" w:hAnsi="Times" w:cs="Times New Roman"/>
          <w:sz w:val="23"/>
          <w:szCs w:val="23"/>
        </w:rPr>
        <w:t>,</w:t>
      </w:r>
      <w:r w:rsidRPr="00F853DD">
        <w:rPr>
          <w:rFonts w:ascii="Times" w:hAnsi="Times" w:cs="Times New Roman"/>
          <w:sz w:val="23"/>
          <w:szCs w:val="23"/>
        </w:rPr>
        <w:t xml:space="preserve"> (2004). Resource caravans and stress resiliency across the lifespan. </w:t>
      </w:r>
      <w:r w:rsidRPr="00F853DD">
        <w:rPr>
          <w:rFonts w:ascii="Times" w:hAnsi="Times" w:cs="Times New Roman"/>
          <w:i/>
          <w:sz w:val="23"/>
          <w:szCs w:val="23"/>
        </w:rPr>
        <w:t>International Journal of Psychology</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 12-13.</w:t>
      </w:r>
    </w:p>
    <w:p w14:paraId="63CDA026" w14:textId="27AAA076" w:rsidR="00DF05BD" w:rsidRPr="00F853DD" w:rsidRDefault="00F2394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Hobfoll, S.,</w:t>
      </w:r>
      <w:r w:rsidR="00DF05BD" w:rsidRPr="00F853DD">
        <w:rPr>
          <w:rFonts w:ascii="Times" w:hAnsi="Times" w:cs="Times New Roman"/>
          <w:sz w:val="23"/>
          <w:szCs w:val="23"/>
        </w:rPr>
        <w:t xml:space="preserve"> (1989). Con</w:t>
      </w:r>
      <w:r w:rsidRPr="00F853DD">
        <w:rPr>
          <w:rFonts w:ascii="Times" w:hAnsi="Times" w:cs="Times New Roman"/>
          <w:sz w:val="23"/>
          <w:szCs w:val="23"/>
        </w:rPr>
        <w:t>servation of resource: a new attempt at conceptualizing s</w:t>
      </w:r>
      <w:r w:rsidR="00862A37" w:rsidRPr="00F853DD">
        <w:rPr>
          <w:rFonts w:ascii="Times" w:hAnsi="Times" w:cs="Times New Roman"/>
          <w:sz w:val="23"/>
          <w:szCs w:val="23"/>
        </w:rPr>
        <w:t xml:space="preserve">tress. </w:t>
      </w:r>
      <w:r w:rsidR="00862A37" w:rsidRPr="00F853DD">
        <w:rPr>
          <w:rFonts w:ascii="Times" w:hAnsi="Times" w:cs="Times New Roman"/>
          <w:i/>
          <w:sz w:val="23"/>
          <w:szCs w:val="23"/>
        </w:rPr>
        <w:t>American Psychologist</w:t>
      </w:r>
      <w:r w:rsidR="00862A37"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44</w:t>
      </w:r>
      <w:r w:rsidR="00DF05BD" w:rsidRPr="00F853DD">
        <w:rPr>
          <w:rFonts w:ascii="Times" w:hAnsi="Times" w:cs="Times New Roman"/>
          <w:sz w:val="23"/>
          <w:szCs w:val="23"/>
        </w:rPr>
        <w:t>, 513-524.</w:t>
      </w:r>
    </w:p>
    <w:p w14:paraId="6285B96E" w14:textId="27500221" w:rsidR="00DF05BD" w:rsidRPr="00F853DD" w:rsidRDefault="00F2394B"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lastRenderedPageBreak/>
        <w:t>Hobfoll, S.,</w:t>
      </w:r>
      <w:r w:rsidR="00DF05BD" w:rsidRPr="00F853DD">
        <w:rPr>
          <w:rFonts w:ascii="Times" w:hAnsi="Times" w:cs="Times New Roman"/>
          <w:sz w:val="23"/>
          <w:szCs w:val="23"/>
        </w:rPr>
        <w:t xml:space="preserve"> (2001). The influence of culture, community, and the nest</w:t>
      </w:r>
      <w:r w:rsidRPr="00F853DD">
        <w:rPr>
          <w:rFonts w:ascii="Times" w:hAnsi="Times" w:cs="Times New Roman"/>
          <w:sz w:val="23"/>
          <w:szCs w:val="23"/>
        </w:rPr>
        <w:t>ed-self in the stress process: a</w:t>
      </w:r>
      <w:r w:rsidR="00DF05BD" w:rsidRPr="00F853DD">
        <w:rPr>
          <w:rFonts w:ascii="Times" w:hAnsi="Times" w:cs="Times New Roman"/>
          <w:sz w:val="23"/>
          <w:szCs w:val="23"/>
        </w:rPr>
        <w:t xml:space="preserve">dvancing </w:t>
      </w:r>
      <w:r w:rsidRPr="00F853DD">
        <w:rPr>
          <w:rFonts w:ascii="Times" w:hAnsi="Times" w:cs="Times New Roman"/>
          <w:sz w:val="23"/>
          <w:szCs w:val="23"/>
        </w:rPr>
        <w:t>conservation of r</w:t>
      </w:r>
      <w:r w:rsidR="00DF05BD" w:rsidRPr="00F853DD">
        <w:rPr>
          <w:rFonts w:ascii="Times" w:hAnsi="Times" w:cs="Times New Roman"/>
          <w:sz w:val="23"/>
          <w:szCs w:val="23"/>
        </w:rPr>
        <w:t xml:space="preserve">esources theory. </w:t>
      </w:r>
      <w:r w:rsidR="00DF05BD" w:rsidRPr="00F853DD">
        <w:rPr>
          <w:rFonts w:ascii="Times" w:hAnsi="Times" w:cs="Times New Roman"/>
          <w:i/>
          <w:sz w:val="23"/>
          <w:szCs w:val="23"/>
          <w:lang w:val="fr-FR"/>
        </w:rPr>
        <w:t>Applied Psych</w:t>
      </w:r>
      <w:r w:rsidR="00862A37" w:rsidRPr="00F853DD">
        <w:rPr>
          <w:rFonts w:ascii="Times" w:hAnsi="Times" w:cs="Times New Roman"/>
          <w:i/>
          <w:sz w:val="23"/>
          <w:szCs w:val="23"/>
          <w:lang w:val="fr-FR"/>
        </w:rPr>
        <w:t xml:space="preserve">ology-an International Review. </w:t>
      </w:r>
      <w:r w:rsidR="00DF05BD" w:rsidRPr="00F853DD">
        <w:rPr>
          <w:rFonts w:ascii="Times" w:hAnsi="Times" w:cs="Times New Roman"/>
          <w:i/>
          <w:sz w:val="23"/>
          <w:szCs w:val="23"/>
          <w:lang w:val="fr-FR"/>
        </w:rPr>
        <w:t>Psychologie Appliquée -Revue Internationale</w:t>
      </w:r>
      <w:r w:rsidR="00862A37" w:rsidRPr="00F853DD">
        <w:rPr>
          <w:rFonts w:ascii="Times" w:hAnsi="Times" w:cs="Times New Roman"/>
          <w:sz w:val="23"/>
          <w:szCs w:val="23"/>
          <w:lang w:val="fr-FR"/>
        </w:rPr>
        <w:t>.</w:t>
      </w:r>
      <w:r w:rsidR="00DF05BD" w:rsidRPr="00F853DD">
        <w:rPr>
          <w:rFonts w:ascii="Times" w:hAnsi="Times" w:cs="Times New Roman"/>
          <w:sz w:val="23"/>
          <w:szCs w:val="23"/>
          <w:lang w:val="fr-FR"/>
        </w:rPr>
        <w:t xml:space="preserve"> </w:t>
      </w:r>
      <w:r w:rsidR="00DF05BD" w:rsidRPr="00F853DD">
        <w:rPr>
          <w:rFonts w:ascii="Times" w:hAnsi="Times" w:cs="Times New Roman"/>
          <w:b/>
          <w:sz w:val="23"/>
          <w:szCs w:val="23"/>
          <w:lang w:val="fr-FR"/>
        </w:rPr>
        <w:t>50</w:t>
      </w:r>
      <w:r w:rsidR="00DF05BD" w:rsidRPr="00F853DD">
        <w:rPr>
          <w:rFonts w:ascii="Times" w:hAnsi="Times" w:cs="Times New Roman"/>
          <w:sz w:val="23"/>
          <w:szCs w:val="23"/>
          <w:lang w:val="fr-FR"/>
        </w:rPr>
        <w:t>, 337-370.</w:t>
      </w:r>
    </w:p>
    <w:p w14:paraId="3F2792D1" w14:textId="7FBDE274" w:rsidR="00DF05BD" w:rsidRPr="00F853DD" w:rsidRDefault="00F2394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fr-FR"/>
        </w:rPr>
        <w:t>Hobfoll, S. and Leiberman, J.,</w:t>
      </w:r>
      <w:r w:rsidR="00DF05BD" w:rsidRPr="00F853DD">
        <w:rPr>
          <w:rFonts w:ascii="Times" w:hAnsi="Times" w:cs="Times New Roman"/>
          <w:sz w:val="23"/>
          <w:szCs w:val="23"/>
          <w:lang w:val="fr-FR"/>
        </w:rPr>
        <w:t xml:space="preserve"> (1987). </w:t>
      </w:r>
      <w:r w:rsidRPr="00F853DD">
        <w:rPr>
          <w:rFonts w:ascii="Times" w:hAnsi="Times" w:cs="Times New Roman"/>
          <w:sz w:val="23"/>
          <w:szCs w:val="23"/>
        </w:rPr>
        <w:t>Personality and social resources in immediate and continued s</w:t>
      </w:r>
      <w:r w:rsidR="00DF05BD" w:rsidRPr="00F853DD">
        <w:rPr>
          <w:rFonts w:ascii="Times" w:hAnsi="Times" w:cs="Times New Roman"/>
          <w:sz w:val="23"/>
          <w:szCs w:val="23"/>
        </w:rPr>
        <w:t xml:space="preserve">tress Resistance Among Women. </w:t>
      </w:r>
      <w:r w:rsidR="00DF05BD" w:rsidRPr="00F853DD">
        <w:rPr>
          <w:rFonts w:ascii="Times" w:hAnsi="Times" w:cs="Times New Roman"/>
          <w:i/>
          <w:sz w:val="23"/>
          <w:szCs w:val="23"/>
        </w:rPr>
        <w:t>Journal of Personality and Social Psychology</w:t>
      </w:r>
      <w:r w:rsidR="00862A37"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52</w:t>
      </w:r>
      <w:r w:rsidR="00DF05BD" w:rsidRPr="00F853DD">
        <w:rPr>
          <w:rFonts w:ascii="Times" w:hAnsi="Times" w:cs="Times New Roman"/>
          <w:sz w:val="23"/>
          <w:szCs w:val="23"/>
        </w:rPr>
        <w:t>, 18-26.</w:t>
      </w:r>
    </w:p>
    <w:p w14:paraId="6C383E4E" w14:textId="345D70A3" w:rsidR="00DF05BD" w:rsidRPr="00F853DD" w:rsidRDefault="00D451C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Hobfoll, S.</w:t>
      </w:r>
      <w:r w:rsidR="00DF05BD" w:rsidRPr="00F853DD">
        <w:rPr>
          <w:rFonts w:ascii="Times" w:hAnsi="Times" w:cs="Times New Roman"/>
          <w:sz w:val="23"/>
          <w:szCs w:val="23"/>
        </w:rPr>
        <w:t xml:space="preserve"> and Lerman, M.</w:t>
      </w:r>
      <w:r w:rsidRPr="00F853DD">
        <w:rPr>
          <w:rFonts w:ascii="Times" w:hAnsi="Times" w:cs="Times New Roman"/>
          <w:sz w:val="23"/>
          <w:szCs w:val="23"/>
        </w:rPr>
        <w:t>,</w:t>
      </w:r>
      <w:r w:rsidR="00DF05BD" w:rsidRPr="00F853DD">
        <w:rPr>
          <w:rFonts w:ascii="Times" w:hAnsi="Times" w:cs="Times New Roman"/>
          <w:sz w:val="23"/>
          <w:szCs w:val="23"/>
        </w:rPr>
        <w:t xml:space="preserve"> (1988). Personal relationships, personal attributes, and stress resistance</w:t>
      </w:r>
      <w:r w:rsidRPr="00F853DD">
        <w:rPr>
          <w:rFonts w:ascii="Times" w:hAnsi="Times" w:cs="Times New Roman"/>
          <w:sz w:val="23"/>
          <w:szCs w:val="23"/>
        </w:rPr>
        <w:t>:</w:t>
      </w:r>
      <w:r w:rsidR="00DF05BD" w:rsidRPr="00F853DD">
        <w:rPr>
          <w:rFonts w:ascii="Times" w:hAnsi="Times" w:cs="Times New Roman"/>
          <w:sz w:val="23"/>
          <w:szCs w:val="23"/>
        </w:rPr>
        <w:t xml:space="preserve"> mothers reactions to their child’s illness. </w:t>
      </w:r>
      <w:r w:rsidR="00DF05BD" w:rsidRPr="00F853DD">
        <w:rPr>
          <w:rFonts w:ascii="Times" w:hAnsi="Times" w:cs="Times New Roman"/>
          <w:i/>
          <w:sz w:val="23"/>
          <w:szCs w:val="23"/>
        </w:rPr>
        <w:t>American Journal of Community Psychology</w:t>
      </w:r>
      <w:r w:rsidR="00862A37" w:rsidRPr="00F853DD">
        <w:rPr>
          <w:rFonts w:ascii="Times" w:hAnsi="Times" w:cs="Times New Roman"/>
          <w:sz w:val="23"/>
          <w:szCs w:val="23"/>
        </w:rPr>
        <w:t xml:space="preserve">. </w:t>
      </w:r>
      <w:r w:rsidR="00DF05BD" w:rsidRPr="00F853DD">
        <w:rPr>
          <w:rFonts w:ascii="Times" w:hAnsi="Times" w:cs="Times New Roman"/>
          <w:b/>
          <w:sz w:val="23"/>
          <w:szCs w:val="23"/>
        </w:rPr>
        <w:t>16</w:t>
      </w:r>
      <w:r w:rsidR="00DF05BD" w:rsidRPr="00F853DD">
        <w:rPr>
          <w:rFonts w:ascii="Times" w:hAnsi="Times" w:cs="Times New Roman"/>
          <w:sz w:val="23"/>
          <w:szCs w:val="23"/>
        </w:rPr>
        <w:t>, 565-589.</w:t>
      </w:r>
    </w:p>
    <w:p w14:paraId="44BB2322" w14:textId="29A0C0B7" w:rsidR="00DF05BD" w:rsidRPr="00F853DD" w:rsidRDefault="00D451C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Hobfoll, S.</w:t>
      </w:r>
      <w:r w:rsidR="00DF05BD" w:rsidRPr="00F853DD">
        <w:rPr>
          <w:rFonts w:ascii="Times" w:hAnsi="Times" w:cs="Times New Roman"/>
          <w:sz w:val="23"/>
          <w:szCs w:val="23"/>
        </w:rPr>
        <w:t xml:space="preserve"> and </w:t>
      </w:r>
      <w:r w:rsidR="008F31A4" w:rsidRPr="00F853DD">
        <w:rPr>
          <w:rFonts w:ascii="Times New Roman" w:hAnsi="Times New Roman" w:cs="Times New Roman"/>
          <w:sz w:val="23"/>
          <w:szCs w:val="23"/>
        </w:rPr>
        <w:t>Schrӧder</w:t>
      </w:r>
      <w:r w:rsidRPr="00F853DD">
        <w:rPr>
          <w:rFonts w:ascii="Times" w:hAnsi="Times" w:cs="Times New Roman"/>
          <w:sz w:val="23"/>
          <w:szCs w:val="23"/>
        </w:rPr>
        <w:t>, K.,</w:t>
      </w:r>
      <w:r w:rsidR="00DF05BD" w:rsidRPr="00F853DD">
        <w:rPr>
          <w:rFonts w:ascii="Times" w:hAnsi="Times" w:cs="Times New Roman"/>
          <w:sz w:val="23"/>
          <w:szCs w:val="23"/>
        </w:rPr>
        <w:t xml:space="preserve"> (2001). Distinguishing between passive and active prosocial coping: </w:t>
      </w:r>
      <w:r w:rsidR="00862A37" w:rsidRPr="00F853DD">
        <w:rPr>
          <w:rFonts w:ascii="Times" w:hAnsi="Times" w:cs="Times New Roman"/>
          <w:sz w:val="23"/>
          <w:szCs w:val="23"/>
        </w:rPr>
        <w:t>b</w:t>
      </w:r>
      <w:r w:rsidR="00DF05BD" w:rsidRPr="00F853DD">
        <w:rPr>
          <w:rFonts w:ascii="Times" w:hAnsi="Times" w:cs="Times New Roman"/>
          <w:sz w:val="23"/>
          <w:szCs w:val="23"/>
        </w:rPr>
        <w:t xml:space="preserve">ridging inner-city women's mental health and AIDS risk behavior. </w:t>
      </w:r>
      <w:r w:rsidR="00DF05BD" w:rsidRPr="00F853DD">
        <w:rPr>
          <w:rFonts w:ascii="Times" w:hAnsi="Times" w:cs="Times New Roman"/>
          <w:i/>
          <w:sz w:val="23"/>
          <w:szCs w:val="23"/>
        </w:rPr>
        <w:t>Journal of Social and Personal Relationships</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DF05BD" w:rsidRPr="00F853DD">
        <w:rPr>
          <w:rFonts w:ascii="Times" w:hAnsi="Times" w:cs="Times New Roman"/>
          <w:sz w:val="23"/>
          <w:szCs w:val="23"/>
        </w:rPr>
        <w:t>, 201-217.</w:t>
      </w:r>
    </w:p>
    <w:p w14:paraId="5A3F9F4C" w14:textId="6A811499" w:rsidR="00DF05BD" w:rsidRPr="00F853DD" w:rsidRDefault="00D451C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Hoefman, R., Meulenkamp, T.</w:t>
      </w:r>
      <w:r w:rsidR="00DF05BD" w:rsidRPr="00F853DD">
        <w:rPr>
          <w:rFonts w:ascii="Times" w:hAnsi="Times" w:cs="Times New Roman"/>
          <w:sz w:val="23"/>
          <w:szCs w:val="23"/>
        </w:rPr>
        <w:t xml:space="preserve"> and De Jon</w:t>
      </w:r>
      <w:r w:rsidRPr="00F853DD">
        <w:rPr>
          <w:rFonts w:ascii="Times" w:hAnsi="Times" w:cs="Times New Roman"/>
          <w:sz w:val="23"/>
          <w:szCs w:val="23"/>
        </w:rPr>
        <w:t>g, J.,</w:t>
      </w:r>
      <w:r w:rsidR="00DF05BD" w:rsidRPr="00F853DD">
        <w:rPr>
          <w:rFonts w:ascii="Times" w:hAnsi="Times" w:cs="Times New Roman"/>
          <w:sz w:val="23"/>
          <w:szCs w:val="23"/>
        </w:rPr>
        <w:t xml:space="preserve"> (2017). Who is responsible for providing care? Investigating the role of care tasks and past experiences in a cross-sectional survey in the Netherlands. </w:t>
      </w:r>
      <w:r w:rsidR="00DF05BD" w:rsidRPr="00F853DD">
        <w:rPr>
          <w:rFonts w:ascii="Times" w:hAnsi="Times" w:cs="Times New Roman"/>
          <w:i/>
          <w:sz w:val="23"/>
          <w:szCs w:val="23"/>
        </w:rPr>
        <w:t>BMC Health Services Research</w:t>
      </w:r>
      <w:r w:rsidR="00111348"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17</w:t>
      </w:r>
      <w:r w:rsidR="00DF05BD" w:rsidRPr="00F853DD">
        <w:rPr>
          <w:rFonts w:ascii="Times" w:hAnsi="Times" w:cs="Times New Roman"/>
          <w:sz w:val="23"/>
          <w:szCs w:val="23"/>
        </w:rPr>
        <w:t>, 11.</w:t>
      </w:r>
    </w:p>
    <w:p w14:paraId="55CF1F8B" w14:textId="3801BB9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Hoff, A.</w:t>
      </w:r>
      <w:r w:rsidR="00D451C8"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sz w:val="23"/>
          <w:szCs w:val="23"/>
        </w:rPr>
        <w:t xml:space="preserve">Current and </w:t>
      </w:r>
      <w:r w:rsidR="00D451C8" w:rsidRPr="00F853DD">
        <w:rPr>
          <w:rFonts w:ascii="Times" w:hAnsi="Times" w:cs="Times New Roman"/>
          <w:i/>
          <w:sz w:val="23"/>
          <w:szCs w:val="23"/>
        </w:rPr>
        <w:t>f</w:t>
      </w:r>
      <w:r w:rsidRPr="00F853DD">
        <w:rPr>
          <w:rFonts w:ascii="Times" w:hAnsi="Times" w:cs="Times New Roman"/>
          <w:i/>
          <w:sz w:val="23"/>
          <w:szCs w:val="23"/>
        </w:rPr>
        <w:t xml:space="preserve">uture </w:t>
      </w:r>
      <w:r w:rsidR="00D451C8" w:rsidRPr="00F853DD">
        <w:rPr>
          <w:rFonts w:ascii="Times" w:hAnsi="Times" w:cs="Times New Roman"/>
          <w:i/>
          <w:sz w:val="23"/>
          <w:szCs w:val="23"/>
        </w:rPr>
        <w:t>c</w:t>
      </w:r>
      <w:r w:rsidRPr="00F853DD">
        <w:rPr>
          <w:rFonts w:ascii="Times" w:hAnsi="Times" w:cs="Times New Roman"/>
          <w:i/>
          <w:sz w:val="23"/>
          <w:szCs w:val="23"/>
        </w:rPr>
        <w:t xml:space="preserve">hallenges of </w:t>
      </w:r>
      <w:r w:rsidR="00D451C8" w:rsidRPr="00F853DD">
        <w:rPr>
          <w:rFonts w:ascii="Times" w:hAnsi="Times" w:cs="Times New Roman"/>
          <w:i/>
          <w:sz w:val="23"/>
          <w:szCs w:val="23"/>
        </w:rPr>
        <w:t>f</w:t>
      </w:r>
      <w:r w:rsidRPr="00F853DD">
        <w:rPr>
          <w:rFonts w:ascii="Times" w:hAnsi="Times" w:cs="Times New Roman"/>
          <w:i/>
          <w:sz w:val="23"/>
          <w:szCs w:val="23"/>
        </w:rPr>
        <w:t xml:space="preserve">amily </w:t>
      </w:r>
      <w:r w:rsidR="00D451C8" w:rsidRPr="00F853DD">
        <w:rPr>
          <w:rFonts w:ascii="Times" w:hAnsi="Times" w:cs="Times New Roman"/>
          <w:i/>
          <w:sz w:val="23"/>
          <w:szCs w:val="23"/>
        </w:rPr>
        <w:t>c</w:t>
      </w:r>
      <w:r w:rsidRPr="00F853DD">
        <w:rPr>
          <w:rFonts w:ascii="Times" w:hAnsi="Times" w:cs="Times New Roman"/>
          <w:i/>
          <w:sz w:val="23"/>
          <w:szCs w:val="23"/>
        </w:rPr>
        <w:t>are in the UK</w:t>
      </w:r>
      <w:r w:rsidRPr="00F853DD">
        <w:rPr>
          <w:rFonts w:ascii="Times" w:hAnsi="Times" w:cs="Times New Roman"/>
          <w:sz w:val="23"/>
          <w:szCs w:val="23"/>
        </w:rPr>
        <w:t>.</w:t>
      </w:r>
    </w:p>
    <w:p w14:paraId="05F9F7C8" w14:textId="3586B6B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Holloway, I.</w:t>
      </w:r>
      <w:r w:rsidR="00D451C8" w:rsidRPr="00F853DD">
        <w:rPr>
          <w:rFonts w:ascii="Times" w:hAnsi="Times" w:cs="Times New Roman"/>
          <w:sz w:val="23"/>
          <w:szCs w:val="23"/>
        </w:rPr>
        <w:t>,</w:t>
      </w:r>
      <w:r w:rsidRPr="00F853DD">
        <w:rPr>
          <w:rFonts w:ascii="Times" w:hAnsi="Times" w:cs="Times New Roman"/>
          <w:sz w:val="23"/>
          <w:szCs w:val="23"/>
        </w:rPr>
        <w:t xml:space="preserve"> (1997). </w:t>
      </w:r>
      <w:r w:rsidRPr="00F853DD">
        <w:rPr>
          <w:rFonts w:ascii="Times" w:hAnsi="Times" w:cs="Times New Roman"/>
          <w:i/>
          <w:sz w:val="23"/>
          <w:szCs w:val="23"/>
        </w:rPr>
        <w:t>Basic concepts for qualitative research</w:t>
      </w:r>
      <w:r w:rsidRPr="00F853DD">
        <w:rPr>
          <w:rFonts w:ascii="Times" w:hAnsi="Times" w:cs="Times New Roman"/>
          <w:sz w:val="23"/>
          <w:szCs w:val="23"/>
        </w:rPr>
        <w:t>. Oxford: Blackwell Science.</w:t>
      </w:r>
    </w:p>
    <w:p w14:paraId="61A376CA" w14:textId="220D0E8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Holroyd-Leduc, J., Resin, J., Ashley, L., Barwich, D., Elliott, J., Huras, P., Légaré, F., Mahoney, M., Maybee, A., McNeil, H., Pullman, D., Sawatzky, R., Stolee, P. and Muscedere, J.</w:t>
      </w:r>
      <w:r w:rsidR="00D451C8" w:rsidRPr="00F853DD">
        <w:rPr>
          <w:rFonts w:ascii="Times" w:hAnsi="Times" w:cs="Times New Roman"/>
          <w:sz w:val="23"/>
          <w:szCs w:val="23"/>
        </w:rPr>
        <w:t>,</w:t>
      </w:r>
      <w:r w:rsidRPr="00F853DD">
        <w:rPr>
          <w:rFonts w:ascii="Times" w:hAnsi="Times" w:cs="Times New Roman"/>
          <w:sz w:val="23"/>
          <w:szCs w:val="23"/>
        </w:rPr>
        <w:t xml:space="preserve"> (2016). Giving voice to older adults living with frailty and their family caregivers: engagement of older adults living with frailty in research, health care decision making, and in health policy. </w:t>
      </w:r>
      <w:r w:rsidRPr="00F853DD">
        <w:rPr>
          <w:rFonts w:ascii="Times" w:hAnsi="Times" w:cs="Times New Roman"/>
          <w:i/>
          <w:sz w:val="23"/>
          <w:szCs w:val="23"/>
        </w:rPr>
        <w:t>Research Involvement and Engagement</w:t>
      </w:r>
      <w:r w:rsidR="0011134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w:t>
      </w:r>
      <w:r w:rsidRPr="00F853DD">
        <w:rPr>
          <w:rFonts w:ascii="Times" w:hAnsi="Times" w:cs="Times New Roman"/>
          <w:sz w:val="23"/>
          <w:szCs w:val="23"/>
        </w:rPr>
        <w:t>, 23.</w:t>
      </w:r>
    </w:p>
    <w:p w14:paraId="571119FE" w14:textId="0DFD822B" w:rsidR="00DF05BD" w:rsidRPr="00F853DD" w:rsidRDefault="00D451C8" w:rsidP="00E1694A">
      <w:pPr>
        <w:autoSpaceDE w:val="0"/>
        <w:autoSpaceDN w:val="0"/>
        <w:adjustRightInd w:val="0"/>
        <w:spacing w:line="240" w:lineRule="auto"/>
        <w:ind w:left="567" w:hanging="567"/>
        <w:rPr>
          <w:rFonts w:ascii="Times" w:hAnsi="Times" w:cs="Times New Roman"/>
          <w:sz w:val="23"/>
          <w:szCs w:val="23"/>
          <w:lang w:val="de-DE"/>
        </w:rPr>
      </w:pPr>
      <w:r w:rsidRPr="00F853DD">
        <w:rPr>
          <w:rFonts w:ascii="Times" w:hAnsi="Times" w:cs="Times New Roman"/>
          <w:sz w:val="23"/>
          <w:szCs w:val="23"/>
        </w:rPr>
        <w:t>Holyoak, K.</w:t>
      </w:r>
      <w:r w:rsidR="00DF05BD" w:rsidRPr="00F853DD">
        <w:rPr>
          <w:rFonts w:ascii="Times" w:hAnsi="Times" w:cs="Times New Roman"/>
          <w:sz w:val="23"/>
          <w:szCs w:val="23"/>
        </w:rPr>
        <w:t xml:space="preserve"> and Thagard, P.</w:t>
      </w:r>
      <w:r w:rsidRPr="00F853DD">
        <w:rPr>
          <w:rFonts w:ascii="Times" w:hAnsi="Times" w:cs="Times New Roman"/>
          <w:sz w:val="23"/>
          <w:szCs w:val="23"/>
        </w:rPr>
        <w:t>,</w:t>
      </w:r>
      <w:r w:rsidR="00DF05BD" w:rsidRPr="00F853DD">
        <w:rPr>
          <w:rFonts w:ascii="Times" w:hAnsi="Times" w:cs="Times New Roman"/>
          <w:sz w:val="23"/>
          <w:szCs w:val="23"/>
        </w:rPr>
        <w:t xml:space="preserve"> (1997). The analogical mind. </w:t>
      </w:r>
      <w:r w:rsidR="00DF05BD" w:rsidRPr="00F853DD">
        <w:rPr>
          <w:rFonts w:ascii="Times" w:hAnsi="Times" w:cs="Times New Roman"/>
          <w:i/>
          <w:sz w:val="23"/>
          <w:szCs w:val="23"/>
          <w:lang w:val="de-DE"/>
        </w:rPr>
        <w:t>American Psychologist</w:t>
      </w:r>
      <w:r w:rsidR="00111348" w:rsidRPr="00F853DD">
        <w:rPr>
          <w:rFonts w:ascii="Times" w:hAnsi="Times" w:cs="Times New Roman"/>
          <w:sz w:val="23"/>
          <w:szCs w:val="23"/>
          <w:lang w:val="de-DE"/>
        </w:rPr>
        <w:t>.</w:t>
      </w:r>
      <w:r w:rsidR="00DF05BD" w:rsidRPr="00F853DD">
        <w:rPr>
          <w:rFonts w:ascii="Times" w:hAnsi="Times" w:cs="Times New Roman"/>
          <w:sz w:val="23"/>
          <w:szCs w:val="23"/>
          <w:lang w:val="de-DE"/>
        </w:rPr>
        <w:t xml:space="preserve"> </w:t>
      </w:r>
      <w:r w:rsidR="00DF05BD" w:rsidRPr="00F853DD">
        <w:rPr>
          <w:rFonts w:ascii="Times" w:hAnsi="Times" w:cs="Times New Roman"/>
          <w:b/>
          <w:sz w:val="23"/>
          <w:szCs w:val="23"/>
          <w:lang w:val="de-DE"/>
        </w:rPr>
        <w:t>52</w:t>
      </w:r>
      <w:r w:rsidR="00DF05BD" w:rsidRPr="00F853DD">
        <w:rPr>
          <w:rFonts w:ascii="Times" w:hAnsi="Times" w:cs="Times New Roman"/>
          <w:sz w:val="23"/>
          <w:szCs w:val="23"/>
          <w:lang w:val="de-DE"/>
        </w:rPr>
        <w:t>, 35-44.</w:t>
      </w:r>
    </w:p>
    <w:p w14:paraId="461F13B8" w14:textId="25943F09" w:rsidR="00DF05BD" w:rsidRPr="00F853DD" w:rsidRDefault="00D451C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Holzmann, R., Hinz, R.</w:t>
      </w:r>
      <w:r w:rsidR="00DF05BD" w:rsidRPr="00F853DD">
        <w:rPr>
          <w:rFonts w:ascii="Times" w:hAnsi="Times" w:cs="Times New Roman"/>
          <w:sz w:val="23"/>
          <w:szCs w:val="23"/>
          <w:lang w:val="de-DE"/>
        </w:rPr>
        <w:t xml:space="preserve"> and Dorfman, M.</w:t>
      </w:r>
      <w:r w:rsidRPr="00F853DD">
        <w:rPr>
          <w:rFonts w:ascii="Times" w:hAnsi="Times" w:cs="Times New Roman"/>
          <w:sz w:val="23"/>
          <w:szCs w:val="23"/>
          <w:lang w:val="de-DE"/>
        </w:rPr>
        <w:t>,</w:t>
      </w:r>
      <w:r w:rsidR="00DF05BD" w:rsidRPr="00F853DD">
        <w:rPr>
          <w:rFonts w:ascii="Times" w:hAnsi="Times" w:cs="Times New Roman"/>
          <w:sz w:val="23"/>
          <w:szCs w:val="23"/>
          <w:lang w:val="de-DE"/>
        </w:rPr>
        <w:t xml:space="preserve"> (2008). </w:t>
      </w:r>
      <w:r w:rsidR="00111348" w:rsidRPr="00F853DD">
        <w:rPr>
          <w:rFonts w:ascii="Times" w:hAnsi="Times" w:cs="Times New Roman"/>
          <w:sz w:val="23"/>
          <w:szCs w:val="23"/>
        </w:rPr>
        <w:t>Pension systems and reform c</w:t>
      </w:r>
      <w:r w:rsidR="00DF05BD" w:rsidRPr="00F853DD">
        <w:rPr>
          <w:rFonts w:ascii="Times" w:hAnsi="Times" w:cs="Times New Roman"/>
          <w:sz w:val="23"/>
          <w:szCs w:val="23"/>
        </w:rPr>
        <w:t xml:space="preserve">onceptual </w:t>
      </w:r>
      <w:r w:rsidR="00111348" w:rsidRPr="00F853DD">
        <w:rPr>
          <w:rFonts w:ascii="Times" w:hAnsi="Times" w:cs="Times New Roman"/>
          <w:sz w:val="23"/>
          <w:szCs w:val="23"/>
        </w:rPr>
        <w:t>f</w:t>
      </w:r>
      <w:r w:rsidR="00DF05BD" w:rsidRPr="00F853DD">
        <w:rPr>
          <w:rFonts w:ascii="Times" w:hAnsi="Times" w:cs="Times New Roman"/>
          <w:sz w:val="23"/>
          <w:szCs w:val="23"/>
        </w:rPr>
        <w:t xml:space="preserve">ramework. In: </w:t>
      </w:r>
      <w:r w:rsidR="00DF05BD" w:rsidRPr="00F853DD">
        <w:rPr>
          <w:rFonts w:ascii="Times" w:hAnsi="Times" w:cs="Times New Roman"/>
          <w:i/>
          <w:sz w:val="23"/>
          <w:szCs w:val="23"/>
        </w:rPr>
        <w:t>Labour,</w:t>
      </w:r>
      <w:r w:rsidR="00DF05BD" w:rsidRPr="00F853DD">
        <w:rPr>
          <w:rFonts w:ascii="Times" w:hAnsi="Times" w:cs="Times New Roman"/>
          <w:sz w:val="23"/>
          <w:szCs w:val="23"/>
        </w:rPr>
        <w:t xml:space="preserve"> S. P. (ed.). World Bank.</w:t>
      </w:r>
    </w:p>
    <w:p w14:paraId="314449A5" w14:textId="7E6C509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Hooyman, N., Gonyea, J. and Montgomery, R.</w:t>
      </w:r>
      <w:r w:rsidR="00D451C8" w:rsidRPr="00F853DD">
        <w:rPr>
          <w:rFonts w:ascii="Times" w:hAnsi="Times" w:cs="Times New Roman"/>
          <w:sz w:val="23"/>
          <w:szCs w:val="23"/>
        </w:rPr>
        <w:t>,</w:t>
      </w:r>
      <w:r w:rsidRPr="00F853DD">
        <w:rPr>
          <w:rFonts w:ascii="Times" w:hAnsi="Times" w:cs="Times New Roman"/>
          <w:sz w:val="23"/>
          <w:szCs w:val="23"/>
        </w:rPr>
        <w:t xml:space="preserve"> (1985). The impact of in-home services termination on family caregivers.  </w:t>
      </w:r>
      <w:r w:rsidRPr="00F853DD">
        <w:rPr>
          <w:rFonts w:ascii="Times" w:hAnsi="Times" w:cs="Times New Roman"/>
          <w:i/>
          <w:sz w:val="23"/>
          <w:szCs w:val="23"/>
        </w:rPr>
        <w:t>Gerontologist</w:t>
      </w:r>
      <w:r w:rsidR="00111348"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25</w:t>
      </w:r>
      <w:r w:rsidRPr="00F853DD">
        <w:rPr>
          <w:rFonts w:ascii="Times" w:hAnsi="Times" w:cs="Times New Roman"/>
          <w:sz w:val="23"/>
          <w:szCs w:val="23"/>
        </w:rPr>
        <w:t>(2), 141-145.</w:t>
      </w:r>
    </w:p>
    <w:p w14:paraId="23CA0394" w14:textId="0B478F7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Hooyman, N. and Gonyea, J.</w:t>
      </w:r>
      <w:r w:rsidR="00D451C8" w:rsidRPr="00F853DD">
        <w:rPr>
          <w:rFonts w:ascii="Times" w:hAnsi="Times" w:cs="Times New Roman"/>
          <w:sz w:val="23"/>
          <w:szCs w:val="23"/>
        </w:rPr>
        <w:t>,</w:t>
      </w:r>
      <w:r w:rsidRPr="00F853DD">
        <w:rPr>
          <w:rFonts w:ascii="Times" w:hAnsi="Times" w:cs="Times New Roman"/>
          <w:sz w:val="23"/>
          <w:szCs w:val="23"/>
        </w:rPr>
        <w:t xml:space="preserve"> (1995). </w:t>
      </w:r>
      <w:r w:rsidRPr="00F853DD">
        <w:rPr>
          <w:rFonts w:ascii="Times" w:hAnsi="Times" w:cs="Times New Roman"/>
          <w:i/>
          <w:sz w:val="23"/>
          <w:szCs w:val="23"/>
        </w:rPr>
        <w:t xml:space="preserve">Feminist </w:t>
      </w:r>
      <w:r w:rsidR="00D451C8" w:rsidRPr="00F853DD">
        <w:rPr>
          <w:rFonts w:ascii="Times" w:hAnsi="Times" w:cs="Times New Roman"/>
          <w:i/>
          <w:sz w:val="23"/>
          <w:szCs w:val="23"/>
        </w:rPr>
        <w:t>p</w:t>
      </w:r>
      <w:r w:rsidRPr="00F853DD">
        <w:rPr>
          <w:rFonts w:ascii="Times" w:hAnsi="Times" w:cs="Times New Roman"/>
          <w:i/>
          <w:sz w:val="23"/>
          <w:szCs w:val="23"/>
        </w:rPr>
        <w:t xml:space="preserve">erspectives on </w:t>
      </w:r>
      <w:r w:rsidR="00D451C8" w:rsidRPr="00F853DD">
        <w:rPr>
          <w:rFonts w:ascii="Times" w:hAnsi="Times" w:cs="Times New Roman"/>
          <w:i/>
          <w:sz w:val="23"/>
          <w:szCs w:val="23"/>
        </w:rPr>
        <w:t>f</w:t>
      </w:r>
      <w:r w:rsidRPr="00F853DD">
        <w:rPr>
          <w:rFonts w:ascii="Times" w:hAnsi="Times" w:cs="Times New Roman"/>
          <w:i/>
          <w:sz w:val="23"/>
          <w:szCs w:val="23"/>
        </w:rPr>
        <w:t xml:space="preserve">amily </w:t>
      </w:r>
      <w:r w:rsidR="00D451C8" w:rsidRPr="00F853DD">
        <w:rPr>
          <w:rFonts w:ascii="Times" w:hAnsi="Times" w:cs="Times New Roman"/>
          <w:i/>
          <w:sz w:val="23"/>
          <w:szCs w:val="23"/>
        </w:rPr>
        <w:t>c</w:t>
      </w:r>
      <w:r w:rsidRPr="00F853DD">
        <w:rPr>
          <w:rFonts w:ascii="Times" w:hAnsi="Times" w:cs="Times New Roman"/>
          <w:i/>
          <w:sz w:val="23"/>
          <w:szCs w:val="23"/>
        </w:rPr>
        <w:t xml:space="preserve">are: </w:t>
      </w:r>
      <w:r w:rsidR="00D451C8" w:rsidRPr="00F853DD">
        <w:rPr>
          <w:rFonts w:ascii="Times" w:hAnsi="Times" w:cs="Times New Roman"/>
          <w:i/>
          <w:sz w:val="23"/>
          <w:szCs w:val="23"/>
        </w:rPr>
        <w:t>p</w:t>
      </w:r>
      <w:r w:rsidRPr="00F853DD">
        <w:rPr>
          <w:rFonts w:ascii="Times" w:hAnsi="Times" w:cs="Times New Roman"/>
          <w:i/>
          <w:sz w:val="23"/>
          <w:szCs w:val="23"/>
        </w:rPr>
        <w:t xml:space="preserve">olicies for </w:t>
      </w:r>
      <w:r w:rsidR="00D451C8" w:rsidRPr="00F853DD">
        <w:rPr>
          <w:rFonts w:ascii="Times" w:hAnsi="Times" w:cs="Times New Roman"/>
          <w:i/>
          <w:sz w:val="23"/>
          <w:szCs w:val="23"/>
        </w:rPr>
        <w:t>g</w:t>
      </w:r>
      <w:r w:rsidRPr="00F853DD">
        <w:rPr>
          <w:rFonts w:ascii="Times" w:hAnsi="Times" w:cs="Times New Roman"/>
          <w:i/>
          <w:sz w:val="23"/>
          <w:szCs w:val="23"/>
        </w:rPr>
        <w:t xml:space="preserve">ender </w:t>
      </w:r>
      <w:r w:rsidR="00D451C8" w:rsidRPr="00F853DD">
        <w:rPr>
          <w:rFonts w:ascii="Times" w:hAnsi="Times" w:cs="Times New Roman"/>
          <w:i/>
          <w:sz w:val="23"/>
          <w:szCs w:val="23"/>
        </w:rPr>
        <w:t>j</w:t>
      </w:r>
      <w:r w:rsidRPr="00F853DD">
        <w:rPr>
          <w:rFonts w:ascii="Times" w:hAnsi="Times" w:cs="Times New Roman"/>
          <w:i/>
          <w:sz w:val="23"/>
          <w:szCs w:val="23"/>
        </w:rPr>
        <w:t>ustice</w:t>
      </w:r>
      <w:r w:rsidRPr="00F853DD">
        <w:rPr>
          <w:rFonts w:ascii="Times" w:hAnsi="Times" w:cs="Times New Roman"/>
          <w:sz w:val="23"/>
          <w:szCs w:val="23"/>
        </w:rPr>
        <w:t>. SAGE.</w:t>
      </w:r>
    </w:p>
    <w:p w14:paraId="17F806EE" w14:textId="61875F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Hooyman, N</w:t>
      </w:r>
      <w:r w:rsidR="00D451C8" w:rsidRPr="00F853DD">
        <w:rPr>
          <w:rFonts w:ascii="Times" w:hAnsi="Times" w:cs="Times New Roman"/>
          <w:sz w:val="23"/>
          <w:szCs w:val="23"/>
        </w:rPr>
        <w:t>.,</w:t>
      </w:r>
      <w:r w:rsidR="00111348" w:rsidRPr="00F853DD">
        <w:rPr>
          <w:rFonts w:ascii="Times" w:hAnsi="Times" w:cs="Times New Roman"/>
          <w:sz w:val="23"/>
          <w:szCs w:val="23"/>
        </w:rPr>
        <w:t xml:space="preserve"> (2009). Crisis in eldercare: gender and r</w:t>
      </w:r>
      <w:r w:rsidRPr="00F853DD">
        <w:rPr>
          <w:rFonts w:ascii="Times" w:hAnsi="Times" w:cs="Times New Roman"/>
          <w:sz w:val="23"/>
          <w:szCs w:val="23"/>
        </w:rPr>
        <w:t xml:space="preserve">acial </w:t>
      </w:r>
      <w:r w:rsidR="00111348" w:rsidRPr="00F853DD">
        <w:rPr>
          <w:rFonts w:ascii="Times" w:hAnsi="Times" w:cs="Times New Roman"/>
          <w:sz w:val="23"/>
          <w:szCs w:val="23"/>
        </w:rPr>
        <w:t>i</w:t>
      </w:r>
      <w:r w:rsidRPr="00F853DD">
        <w:rPr>
          <w:rFonts w:ascii="Times" w:hAnsi="Times" w:cs="Times New Roman"/>
          <w:sz w:val="23"/>
          <w:szCs w:val="23"/>
        </w:rPr>
        <w:t xml:space="preserve">nequities. </w:t>
      </w:r>
      <w:r w:rsidRPr="00F853DD">
        <w:rPr>
          <w:rFonts w:ascii="Times" w:hAnsi="Times" w:cs="Times New Roman"/>
          <w:i/>
          <w:sz w:val="23"/>
          <w:szCs w:val="23"/>
        </w:rPr>
        <w:t>Gerontologist</w:t>
      </w:r>
      <w:r w:rsidR="0011134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49</w:t>
      </w:r>
      <w:r w:rsidRPr="00F853DD">
        <w:rPr>
          <w:rFonts w:ascii="Times" w:hAnsi="Times" w:cs="Times New Roman"/>
          <w:sz w:val="23"/>
          <w:szCs w:val="23"/>
        </w:rPr>
        <w:t>, 386-386.</w:t>
      </w:r>
    </w:p>
    <w:p w14:paraId="212E9ADA" w14:textId="35E977D7" w:rsidR="00DF05BD" w:rsidRPr="00F853DD" w:rsidRDefault="00D451C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Hooyman, N., </w:t>
      </w:r>
      <w:r w:rsidR="00DF05BD" w:rsidRPr="00F853DD">
        <w:rPr>
          <w:rFonts w:ascii="Times" w:hAnsi="Times" w:cs="Times New Roman"/>
          <w:sz w:val="23"/>
          <w:szCs w:val="23"/>
        </w:rPr>
        <w:t xml:space="preserve">(2015). The </w:t>
      </w:r>
      <w:r w:rsidRPr="00F853DD">
        <w:rPr>
          <w:rFonts w:ascii="Times" w:hAnsi="Times" w:cs="Times New Roman"/>
          <w:sz w:val="23"/>
          <w:szCs w:val="23"/>
        </w:rPr>
        <w:t>n</w:t>
      </w:r>
      <w:r w:rsidR="00DF05BD" w:rsidRPr="00F853DD">
        <w:rPr>
          <w:rFonts w:ascii="Times" w:hAnsi="Times" w:cs="Times New Roman"/>
          <w:sz w:val="23"/>
          <w:szCs w:val="23"/>
        </w:rPr>
        <w:t xml:space="preserve">ew </w:t>
      </w:r>
      <w:r w:rsidRPr="00F853DD">
        <w:rPr>
          <w:rFonts w:ascii="Times" w:hAnsi="Times" w:cs="Times New Roman"/>
          <w:sz w:val="23"/>
          <w:szCs w:val="23"/>
        </w:rPr>
        <w:t>p</w:t>
      </w:r>
      <w:r w:rsidR="00DF05BD" w:rsidRPr="00F853DD">
        <w:rPr>
          <w:rFonts w:ascii="Times" w:hAnsi="Times" w:cs="Times New Roman"/>
          <w:sz w:val="23"/>
          <w:szCs w:val="23"/>
        </w:rPr>
        <w:t xml:space="preserve">olitics of </w:t>
      </w:r>
      <w:r w:rsidRPr="00F853DD">
        <w:rPr>
          <w:rFonts w:ascii="Times" w:hAnsi="Times" w:cs="Times New Roman"/>
          <w:sz w:val="23"/>
          <w:szCs w:val="23"/>
        </w:rPr>
        <w:t>o</w:t>
      </w:r>
      <w:r w:rsidR="00DF05BD" w:rsidRPr="00F853DD">
        <w:rPr>
          <w:rFonts w:ascii="Times" w:hAnsi="Times" w:cs="Times New Roman"/>
          <w:sz w:val="23"/>
          <w:szCs w:val="23"/>
        </w:rPr>
        <w:t xml:space="preserve">ld </w:t>
      </w:r>
      <w:r w:rsidRPr="00F853DD">
        <w:rPr>
          <w:rFonts w:ascii="Times" w:hAnsi="Times" w:cs="Times New Roman"/>
          <w:sz w:val="23"/>
          <w:szCs w:val="23"/>
        </w:rPr>
        <w:t>a</w:t>
      </w:r>
      <w:r w:rsidR="00DF05BD" w:rsidRPr="00F853DD">
        <w:rPr>
          <w:rFonts w:ascii="Times" w:hAnsi="Times" w:cs="Times New Roman"/>
          <w:sz w:val="23"/>
          <w:szCs w:val="23"/>
        </w:rPr>
        <w:t xml:space="preserve">ge </w:t>
      </w:r>
      <w:r w:rsidRPr="00F853DD">
        <w:rPr>
          <w:rFonts w:ascii="Times" w:hAnsi="Times" w:cs="Times New Roman"/>
          <w:sz w:val="23"/>
          <w:szCs w:val="23"/>
        </w:rPr>
        <w:t>p</w:t>
      </w:r>
      <w:r w:rsidR="00DF05BD" w:rsidRPr="00F853DD">
        <w:rPr>
          <w:rFonts w:ascii="Times" w:hAnsi="Times" w:cs="Times New Roman"/>
          <w:sz w:val="23"/>
          <w:szCs w:val="23"/>
        </w:rPr>
        <w:t>olicy</w:t>
      </w:r>
      <w:r w:rsidR="00111348" w:rsidRPr="00F853DD">
        <w:rPr>
          <w:rFonts w:ascii="Times" w:hAnsi="Times" w:cs="Times New Roman"/>
          <w:sz w:val="23"/>
          <w:szCs w:val="23"/>
        </w:rPr>
        <w:t xml:space="preserve"> - </w:t>
      </w:r>
      <w:r w:rsidR="00DF05BD" w:rsidRPr="00F853DD">
        <w:rPr>
          <w:rFonts w:ascii="Times" w:hAnsi="Times" w:cs="Times New Roman"/>
          <w:sz w:val="23"/>
          <w:szCs w:val="23"/>
        </w:rPr>
        <w:t xml:space="preserve">3rd edition. </w:t>
      </w:r>
      <w:r w:rsidR="00DF05BD" w:rsidRPr="00F853DD">
        <w:rPr>
          <w:rFonts w:ascii="Times" w:hAnsi="Times" w:cs="Times New Roman"/>
          <w:i/>
          <w:sz w:val="23"/>
          <w:szCs w:val="23"/>
        </w:rPr>
        <w:t>Gerontologist</w:t>
      </w:r>
      <w:r w:rsidR="00111348"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55</w:t>
      </w:r>
      <w:r w:rsidR="00DF05BD" w:rsidRPr="00F853DD">
        <w:rPr>
          <w:rFonts w:ascii="Times" w:hAnsi="Times" w:cs="Times New Roman"/>
          <w:sz w:val="23"/>
          <w:szCs w:val="23"/>
        </w:rPr>
        <w:t>, 701-702.</w:t>
      </w:r>
    </w:p>
    <w:p w14:paraId="13F74E20" w14:textId="2268724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Hooyman, N. and Gonyea, J.</w:t>
      </w:r>
      <w:r w:rsidR="00D451C8" w:rsidRPr="00F853DD">
        <w:rPr>
          <w:rFonts w:ascii="Times" w:hAnsi="Times" w:cs="Times New Roman"/>
          <w:sz w:val="23"/>
          <w:szCs w:val="23"/>
        </w:rPr>
        <w:t>,</w:t>
      </w:r>
      <w:r w:rsidRPr="00F853DD">
        <w:rPr>
          <w:rFonts w:ascii="Times" w:hAnsi="Times" w:cs="Times New Roman"/>
          <w:sz w:val="23"/>
          <w:szCs w:val="23"/>
        </w:rPr>
        <w:t xml:space="preserve"> (1999). A feminist model of family care: </w:t>
      </w:r>
      <w:r w:rsidR="00D451C8" w:rsidRPr="00F853DD">
        <w:rPr>
          <w:rFonts w:ascii="Times" w:hAnsi="Times" w:cs="Times New Roman"/>
          <w:sz w:val="23"/>
          <w:szCs w:val="23"/>
        </w:rPr>
        <w:t>p</w:t>
      </w:r>
      <w:r w:rsidRPr="00F853DD">
        <w:rPr>
          <w:rFonts w:ascii="Times" w:hAnsi="Times" w:cs="Times New Roman"/>
          <w:sz w:val="23"/>
          <w:szCs w:val="23"/>
        </w:rPr>
        <w:t xml:space="preserve">ractice and policy directions. </w:t>
      </w:r>
      <w:r w:rsidRPr="00F853DD">
        <w:rPr>
          <w:rFonts w:ascii="Times" w:hAnsi="Times" w:cs="Times New Roman"/>
          <w:i/>
          <w:sz w:val="23"/>
          <w:szCs w:val="23"/>
        </w:rPr>
        <w:t>Journal of Women and Aging</w:t>
      </w:r>
      <w:r w:rsidR="00111348"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149-169.</w:t>
      </w:r>
    </w:p>
    <w:p w14:paraId="117CEC8E" w14:textId="4699890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Horrell, B., Stephens, C. and Breheny, M. (2015)a. Capability to </w:t>
      </w:r>
      <w:r w:rsidR="00F106C4" w:rsidRPr="00F853DD">
        <w:rPr>
          <w:rFonts w:ascii="Times" w:hAnsi="Times" w:cs="Times New Roman"/>
          <w:sz w:val="23"/>
          <w:szCs w:val="23"/>
        </w:rPr>
        <w:t>c</w:t>
      </w:r>
      <w:r w:rsidRPr="00F853DD">
        <w:rPr>
          <w:rFonts w:ascii="Times" w:hAnsi="Times" w:cs="Times New Roman"/>
          <w:sz w:val="23"/>
          <w:szCs w:val="23"/>
        </w:rPr>
        <w:t xml:space="preserve">are: </w:t>
      </w:r>
      <w:r w:rsidR="00F106C4" w:rsidRPr="00F853DD">
        <w:rPr>
          <w:rFonts w:ascii="Times" w:hAnsi="Times" w:cs="Times New Roman"/>
          <w:sz w:val="23"/>
          <w:szCs w:val="23"/>
        </w:rPr>
        <w:t>s</w:t>
      </w:r>
      <w:r w:rsidRPr="00F853DD">
        <w:rPr>
          <w:rFonts w:ascii="Times" w:hAnsi="Times" w:cs="Times New Roman"/>
          <w:sz w:val="23"/>
          <w:szCs w:val="23"/>
        </w:rPr>
        <w:t xml:space="preserve">upporting the health of informal caregivers for older people. </w:t>
      </w:r>
      <w:r w:rsidRPr="00F853DD">
        <w:rPr>
          <w:rFonts w:ascii="Times" w:hAnsi="Times" w:cs="Times New Roman"/>
          <w:i/>
          <w:sz w:val="23"/>
          <w:szCs w:val="23"/>
        </w:rPr>
        <w:t>Health Psychology</w:t>
      </w:r>
      <w:r w:rsidR="00111348"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 339-348.</w:t>
      </w:r>
    </w:p>
    <w:p w14:paraId="008BCFA4" w14:textId="7E2BC9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Horrell, B., Stephens, C. and Breheny, M.</w:t>
      </w:r>
      <w:r w:rsidR="00F106C4" w:rsidRPr="00F853DD">
        <w:rPr>
          <w:rFonts w:ascii="Times" w:hAnsi="Times" w:cs="Times New Roman"/>
          <w:sz w:val="23"/>
          <w:szCs w:val="23"/>
        </w:rPr>
        <w:t>,</w:t>
      </w:r>
      <w:r w:rsidRPr="00F853DD">
        <w:rPr>
          <w:rFonts w:ascii="Times" w:hAnsi="Times" w:cs="Times New Roman"/>
          <w:sz w:val="23"/>
          <w:szCs w:val="23"/>
        </w:rPr>
        <w:t xml:space="preserve"> (2015)b. Online research with informal caregivers: Opportunities and Challenges. </w:t>
      </w:r>
      <w:r w:rsidRPr="00F853DD">
        <w:rPr>
          <w:rFonts w:ascii="Times" w:hAnsi="Times" w:cs="Times New Roman"/>
          <w:i/>
          <w:sz w:val="23"/>
          <w:szCs w:val="23"/>
        </w:rPr>
        <w:t>Qualitative Research in Psychology</w:t>
      </w:r>
      <w:r w:rsidR="00111348"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 258-271.</w:t>
      </w:r>
    </w:p>
    <w:p w14:paraId="0EA98812" w14:textId="302B4DF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Hoyer, S. and Reich, N.</w:t>
      </w:r>
      <w:r w:rsidR="00F106C4" w:rsidRPr="00F853DD">
        <w:rPr>
          <w:rFonts w:ascii="Times" w:hAnsi="Times" w:cs="Times New Roman"/>
          <w:sz w:val="23"/>
          <w:szCs w:val="23"/>
        </w:rPr>
        <w:t>,</w:t>
      </w:r>
      <w:r w:rsidRPr="00F853DD">
        <w:rPr>
          <w:rFonts w:ascii="Times" w:hAnsi="Times" w:cs="Times New Roman"/>
          <w:sz w:val="23"/>
          <w:szCs w:val="23"/>
        </w:rPr>
        <w:t xml:space="preserve"> (2016). Leave and financial support for family caregivers in EU member states [online]. </w:t>
      </w:r>
      <w:r w:rsidRPr="00F853DD">
        <w:rPr>
          <w:rFonts w:ascii="Times" w:hAnsi="Times" w:cs="Times New Roman"/>
          <w:i/>
          <w:sz w:val="23"/>
          <w:szCs w:val="23"/>
        </w:rPr>
        <w:t>Frankfurt: Institute for Social Work and Social Education</w:t>
      </w:r>
      <w:r w:rsidRPr="00F853DD">
        <w:rPr>
          <w:rFonts w:ascii="Times" w:hAnsi="Times" w:cs="Times New Roman"/>
          <w:sz w:val="23"/>
          <w:szCs w:val="23"/>
        </w:rPr>
        <w:t xml:space="preserve">. [Viewed 17 July 2019]. Available from: https://www.beobachtungsstelle-gesellschaftspolitik.de/f/04d661be68.pdf. </w:t>
      </w:r>
    </w:p>
    <w:p w14:paraId="18D5C494" w14:textId="6583036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Hsu, L.</w:t>
      </w:r>
      <w:r w:rsidR="00F106C4" w:rsidRPr="00F853DD">
        <w:rPr>
          <w:rFonts w:ascii="Times" w:hAnsi="Times" w:cs="Times New Roman"/>
          <w:sz w:val="23"/>
          <w:szCs w:val="23"/>
        </w:rPr>
        <w:t>,</w:t>
      </w:r>
      <w:r w:rsidRPr="00F853DD">
        <w:rPr>
          <w:rFonts w:ascii="Times" w:hAnsi="Times" w:cs="Times New Roman"/>
          <w:sz w:val="23"/>
          <w:szCs w:val="23"/>
        </w:rPr>
        <w:t xml:space="preserve"> (2003). T</w:t>
      </w:r>
      <w:r w:rsidR="00111348" w:rsidRPr="00F853DD">
        <w:rPr>
          <w:rFonts w:ascii="Times" w:hAnsi="Times" w:cs="Times New Roman"/>
          <w:sz w:val="23"/>
          <w:szCs w:val="23"/>
        </w:rPr>
        <w:t>he l</w:t>
      </w:r>
      <w:r w:rsidRPr="00F853DD">
        <w:rPr>
          <w:rFonts w:ascii="Times" w:hAnsi="Times" w:cs="Times New Roman"/>
          <w:sz w:val="23"/>
          <w:szCs w:val="23"/>
        </w:rPr>
        <w:t xml:space="preserve">aw and the </w:t>
      </w:r>
      <w:r w:rsidR="00F106C4" w:rsidRPr="00F853DD">
        <w:rPr>
          <w:rFonts w:ascii="Times" w:hAnsi="Times" w:cs="Times New Roman"/>
          <w:sz w:val="23"/>
          <w:szCs w:val="23"/>
        </w:rPr>
        <w:t>e</w:t>
      </w:r>
      <w:r w:rsidRPr="00F853DD">
        <w:rPr>
          <w:rFonts w:ascii="Times" w:hAnsi="Times" w:cs="Times New Roman"/>
          <w:sz w:val="23"/>
          <w:szCs w:val="23"/>
        </w:rPr>
        <w:t>lderly in Singapore</w:t>
      </w:r>
      <w:r w:rsidR="00F106C4" w:rsidRPr="00F853DD">
        <w:rPr>
          <w:rFonts w:ascii="Times" w:hAnsi="Times" w:cs="Times New Roman"/>
          <w:sz w:val="23"/>
          <w:szCs w:val="23"/>
        </w:rPr>
        <w:t xml:space="preserve">: </w:t>
      </w:r>
      <w:r w:rsidRPr="00F853DD">
        <w:rPr>
          <w:rFonts w:ascii="Times" w:hAnsi="Times" w:cs="Times New Roman"/>
          <w:sz w:val="23"/>
          <w:szCs w:val="23"/>
        </w:rPr>
        <w:t xml:space="preserve">the </w:t>
      </w:r>
      <w:r w:rsidR="00F106C4" w:rsidRPr="00F853DD">
        <w:rPr>
          <w:rFonts w:ascii="Times" w:hAnsi="Times" w:cs="Times New Roman"/>
          <w:sz w:val="23"/>
          <w:szCs w:val="23"/>
        </w:rPr>
        <w:t>l</w:t>
      </w:r>
      <w:r w:rsidRPr="00F853DD">
        <w:rPr>
          <w:rFonts w:ascii="Times" w:hAnsi="Times" w:cs="Times New Roman"/>
          <w:sz w:val="23"/>
          <w:szCs w:val="23"/>
        </w:rPr>
        <w:t xml:space="preserve">aw on </w:t>
      </w:r>
      <w:r w:rsidR="00F106C4" w:rsidRPr="00F853DD">
        <w:rPr>
          <w:rFonts w:ascii="Times" w:hAnsi="Times" w:cs="Times New Roman"/>
          <w:sz w:val="23"/>
          <w:szCs w:val="23"/>
        </w:rPr>
        <w:t>i</w:t>
      </w:r>
      <w:r w:rsidRPr="00F853DD">
        <w:rPr>
          <w:rFonts w:ascii="Times" w:hAnsi="Times" w:cs="Times New Roman"/>
          <w:sz w:val="23"/>
          <w:szCs w:val="23"/>
        </w:rPr>
        <w:t xml:space="preserve">ncome and </w:t>
      </w:r>
      <w:r w:rsidR="00F106C4" w:rsidRPr="00F853DD">
        <w:rPr>
          <w:rFonts w:ascii="Times" w:hAnsi="Times" w:cs="Times New Roman"/>
          <w:sz w:val="23"/>
          <w:szCs w:val="23"/>
        </w:rPr>
        <w:t>m</w:t>
      </w:r>
      <w:r w:rsidRPr="00F853DD">
        <w:rPr>
          <w:rFonts w:ascii="Times" w:hAnsi="Times" w:cs="Times New Roman"/>
          <w:sz w:val="23"/>
          <w:szCs w:val="23"/>
        </w:rPr>
        <w:t xml:space="preserve">aintenance for the </w:t>
      </w:r>
      <w:r w:rsidR="00F106C4" w:rsidRPr="00F853DD">
        <w:rPr>
          <w:rFonts w:ascii="Times" w:hAnsi="Times" w:cs="Times New Roman"/>
          <w:sz w:val="23"/>
          <w:szCs w:val="23"/>
        </w:rPr>
        <w:t>e</w:t>
      </w:r>
      <w:r w:rsidRPr="00F853DD">
        <w:rPr>
          <w:rFonts w:ascii="Times" w:hAnsi="Times" w:cs="Times New Roman"/>
          <w:sz w:val="23"/>
          <w:szCs w:val="23"/>
        </w:rPr>
        <w:t xml:space="preserve">lderly. </w:t>
      </w:r>
      <w:r w:rsidRPr="00F853DD">
        <w:rPr>
          <w:rFonts w:ascii="Times" w:hAnsi="Times" w:cs="Times New Roman"/>
          <w:i/>
          <w:sz w:val="23"/>
          <w:szCs w:val="23"/>
        </w:rPr>
        <w:t>Sing. J. Legal Studies</w:t>
      </w:r>
      <w:r w:rsidR="00111348" w:rsidRPr="00F853DD">
        <w:rPr>
          <w:rFonts w:ascii="Times" w:hAnsi="Times" w:cs="Times New Roman"/>
          <w:i/>
          <w:sz w:val="23"/>
          <w:szCs w:val="23"/>
        </w:rPr>
        <w:t>.</w:t>
      </w:r>
      <w:r w:rsidRPr="00F853DD">
        <w:rPr>
          <w:rFonts w:ascii="Times" w:hAnsi="Times" w:cs="Times New Roman"/>
          <w:sz w:val="23"/>
          <w:szCs w:val="23"/>
        </w:rPr>
        <w:t xml:space="preserve"> 398.</w:t>
      </w:r>
    </w:p>
    <w:p w14:paraId="5BE31CEC" w14:textId="7BB08D2E" w:rsidR="00DF05BD" w:rsidRPr="00F853DD" w:rsidRDefault="0020592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Hsu, H. and Shyu, Y.,</w:t>
      </w:r>
      <w:r w:rsidR="00DF05BD" w:rsidRPr="00F853DD">
        <w:rPr>
          <w:rFonts w:ascii="Times" w:hAnsi="Times" w:cs="Times New Roman"/>
          <w:sz w:val="23"/>
          <w:szCs w:val="23"/>
        </w:rPr>
        <w:t xml:space="preserve"> (2003). Implicit exchanges in family caregiving for frail elders in Taiwan. </w:t>
      </w:r>
      <w:r w:rsidR="00DF05BD" w:rsidRPr="00F853DD">
        <w:rPr>
          <w:rFonts w:ascii="Times" w:hAnsi="Times" w:cs="Times New Roman"/>
          <w:i/>
          <w:sz w:val="23"/>
          <w:szCs w:val="23"/>
        </w:rPr>
        <w:t>Qualitative Health Research</w:t>
      </w:r>
      <w:r w:rsidR="00111348"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13</w:t>
      </w:r>
      <w:r w:rsidR="00DF05BD" w:rsidRPr="00F853DD">
        <w:rPr>
          <w:rFonts w:ascii="Times" w:hAnsi="Times" w:cs="Times New Roman"/>
          <w:sz w:val="23"/>
          <w:szCs w:val="23"/>
        </w:rPr>
        <w:t>(8), 1078-1093.</w:t>
      </w:r>
    </w:p>
    <w:p w14:paraId="32D95FF1" w14:textId="4E78A448" w:rsidR="00DF05BD"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 A.,</w:t>
      </w:r>
      <w:r w:rsidR="00DF05BD" w:rsidRPr="00F853DD">
        <w:rPr>
          <w:rFonts w:ascii="Times" w:hAnsi="Times" w:cs="Times New Roman"/>
          <w:sz w:val="23"/>
          <w:szCs w:val="23"/>
        </w:rPr>
        <w:t xml:space="preserve"> (2017). Providing more but receiving less: daughters in intergenerational exchange in mainland China. </w:t>
      </w:r>
      <w:r w:rsidR="00DF05BD" w:rsidRPr="00F853DD">
        <w:rPr>
          <w:rFonts w:ascii="Times" w:hAnsi="Times" w:cs="Times New Roman"/>
          <w:i/>
          <w:sz w:val="23"/>
          <w:szCs w:val="23"/>
        </w:rPr>
        <w:t>Journal of Marriage and Family</w:t>
      </w:r>
      <w:r w:rsidR="00111348"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79</w:t>
      </w:r>
      <w:r w:rsidR="00DF05BD" w:rsidRPr="00F853DD">
        <w:rPr>
          <w:rFonts w:ascii="Times" w:hAnsi="Times" w:cs="Times New Roman"/>
          <w:sz w:val="23"/>
          <w:szCs w:val="23"/>
        </w:rPr>
        <w:t>, 739-757.</w:t>
      </w:r>
    </w:p>
    <w:p w14:paraId="58426662" w14:textId="7787E997" w:rsidR="00DF05BD"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Huang, Y., Chu, C., Ho, C., Lan, S., Hsieh, C. and Hsieh, Y.,</w:t>
      </w:r>
      <w:r w:rsidR="00DF05BD" w:rsidRPr="00F853DD">
        <w:rPr>
          <w:rFonts w:ascii="Times" w:hAnsi="Times" w:cs="Times New Roman"/>
          <w:sz w:val="23"/>
          <w:szCs w:val="23"/>
        </w:rPr>
        <w:t xml:space="preserve"> (2014). Decision-making factors affecting different family members regarding the placement of relatives in long-term care facilities. </w:t>
      </w:r>
      <w:r w:rsidR="00DF05BD" w:rsidRPr="00F853DD">
        <w:rPr>
          <w:rFonts w:ascii="Times" w:hAnsi="Times" w:cs="Times New Roman"/>
          <w:i/>
          <w:sz w:val="23"/>
          <w:szCs w:val="23"/>
        </w:rPr>
        <w:t>BMC Health Services Research</w:t>
      </w:r>
      <w:r w:rsidR="00111348" w:rsidRPr="00F853DD">
        <w:rPr>
          <w:rFonts w:ascii="Times" w:hAnsi="Times" w:cs="Times New Roman"/>
          <w:sz w:val="23"/>
          <w:szCs w:val="23"/>
        </w:rPr>
        <w:t xml:space="preserve">. </w:t>
      </w:r>
      <w:r w:rsidR="00DF05BD" w:rsidRPr="00F853DD">
        <w:rPr>
          <w:rFonts w:ascii="Times" w:hAnsi="Times" w:cs="Times New Roman"/>
          <w:b/>
          <w:sz w:val="23"/>
          <w:szCs w:val="23"/>
        </w:rPr>
        <w:t>14</w:t>
      </w:r>
      <w:r w:rsidR="00DF05BD" w:rsidRPr="00F853DD">
        <w:rPr>
          <w:rFonts w:ascii="Times" w:hAnsi="Times" w:cs="Times New Roman"/>
          <w:sz w:val="23"/>
          <w:szCs w:val="23"/>
        </w:rPr>
        <w:t>, 8.</w:t>
      </w:r>
    </w:p>
    <w:p w14:paraId="065EA289" w14:textId="3E251A5D" w:rsidR="00DF05BD"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Huberman, A.,</w:t>
      </w:r>
      <w:r w:rsidR="00DF05BD" w:rsidRPr="00F853DD">
        <w:rPr>
          <w:rFonts w:ascii="Times" w:hAnsi="Times" w:cs="Times New Roman"/>
          <w:sz w:val="23"/>
          <w:szCs w:val="23"/>
        </w:rPr>
        <w:t xml:space="preserve"> (2002). </w:t>
      </w:r>
      <w:r w:rsidR="00DF05BD" w:rsidRPr="00F853DD">
        <w:rPr>
          <w:rFonts w:ascii="Times" w:hAnsi="Times" w:cs="Times New Roman"/>
          <w:i/>
          <w:sz w:val="23"/>
          <w:szCs w:val="23"/>
        </w:rPr>
        <w:t xml:space="preserve">The </w:t>
      </w:r>
      <w:r w:rsidRPr="00F853DD">
        <w:rPr>
          <w:rFonts w:ascii="Times" w:hAnsi="Times" w:cs="Times New Roman"/>
          <w:i/>
          <w:sz w:val="23"/>
          <w:szCs w:val="23"/>
        </w:rPr>
        <w:t>q</w:t>
      </w:r>
      <w:r w:rsidR="00DF05BD" w:rsidRPr="00F853DD">
        <w:rPr>
          <w:rFonts w:ascii="Times" w:hAnsi="Times" w:cs="Times New Roman"/>
          <w:i/>
          <w:sz w:val="23"/>
          <w:szCs w:val="23"/>
        </w:rPr>
        <w:t xml:space="preserve">ualitative </w:t>
      </w:r>
      <w:r w:rsidRPr="00F853DD">
        <w:rPr>
          <w:rFonts w:ascii="Times" w:hAnsi="Times" w:cs="Times New Roman"/>
          <w:i/>
          <w:sz w:val="23"/>
          <w:szCs w:val="23"/>
        </w:rPr>
        <w:t>r</w:t>
      </w:r>
      <w:r w:rsidR="00DF05BD" w:rsidRPr="00F853DD">
        <w:rPr>
          <w:rFonts w:ascii="Times" w:hAnsi="Times" w:cs="Times New Roman"/>
          <w:i/>
          <w:sz w:val="23"/>
          <w:szCs w:val="23"/>
        </w:rPr>
        <w:t xml:space="preserve">esearcher's </w:t>
      </w:r>
      <w:r w:rsidRPr="00F853DD">
        <w:rPr>
          <w:rFonts w:ascii="Times" w:hAnsi="Times" w:cs="Times New Roman"/>
          <w:i/>
          <w:sz w:val="23"/>
          <w:szCs w:val="23"/>
        </w:rPr>
        <w:t>c</w:t>
      </w:r>
      <w:r w:rsidR="00DF05BD" w:rsidRPr="00F853DD">
        <w:rPr>
          <w:rFonts w:ascii="Times" w:hAnsi="Times" w:cs="Times New Roman"/>
          <w:i/>
          <w:sz w:val="23"/>
          <w:szCs w:val="23"/>
        </w:rPr>
        <w:t>ompanion</w:t>
      </w:r>
      <w:r w:rsidR="00DF05BD" w:rsidRPr="00F853DD">
        <w:rPr>
          <w:rFonts w:ascii="Times" w:hAnsi="Times" w:cs="Times New Roman"/>
          <w:sz w:val="23"/>
          <w:szCs w:val="23"/>
        </w:rPr>
        <w:t>. Thousand Oaks, CA.: Sage Publications.</w:t>
      </w:r>
    </w:p>
    <w:p w14:paraId="778E0894" w14:textId="5D0703A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 xml:space="preserve">Huenchuan, S. (2010). </w:t>
      </w:r>
      <w:r w:rsidRPr="00F853DD">
        <w:rPr>
          <w:rFonts w:ascii="Times" w:hAnsi="Times" w:cs="Times New Roman"/>
          <w:i/>
          <w:sz w:val="23"/>
          <w:szCs w:val="23"/>
        </w:rPr>
        <w:t xml:space="preserve">Ageing, </w:t>
      </w:r>
      <w:r w:rsidR="00B03C76" w:rsidRPr="00F853DD">
        <w:rPr>
          <w:rFonts w:ascii="Times" w:hAnsi="Times" w:cs="Times New Roman"/>
          <w:i/>
          <w:sz w:val="23"/>
          <w:szCs w:val="23"/>
        </w:rPr>
        <w:t>h</w:t>
      </w:r>
      <w:r w:rsidRPr="00F853DD">
        <w:rPr>
          <w:rFonts w:ascii="Times" w:hAnsi="Times" w:cs="Times New Roman"/>
          <w:i/>
          <w:sz w:val="23"/>
          <w:szCs w:val="23"/>
        </w:rPr>
        <w:t xml:space="preserve">uman </w:t>
      </w:r>
      <w:r w:rsidR="00B03C76" w:rsidRPr="00F853DD">
        <w:rPr>
          <w:rFonts w:ascii="Times" w:hAnsi="Times" w:cs="Times New Roman"/>
          <w:i/>
          <w:sz w:val="23"/>
          <w:szCs w:val="23"/>
        </w:rPr>
        <w:t>r</w:t>
      </w:r>
      <w:r w:rsidRPr="00F853DD">
        <w:rPr>
          <w:rFonts w:ascii="Times" w:hAnsi="Times" w:cs="Times New Roman"/>
          <w:i/>
          <w:sz w:val="23"/>
          <w:szCs w:val="23"/>
        </w:rPr>
        <w:t xml:space="preserve">ights and </w:t>
      </w:r>
      <w:r w:rsidR="00B03C76" w:rsidRPr="00F853DD">
        <w:rPr>
          <w:rFonts w:ascii="Times" w:hAnsi="Times" w:cs="Times New Roman"/>
          <w:i/>
          <w:sz w:val="23"/>
          <w:szCs w:val="23"/>
        </w:rPr>
        <w:t>p</w:t>
      </w:r>
      <w:r w:rsidRPr="00F853DD">
        <w:rPr>
          <w:rFonts w:ascii="Times" w:hAnsi="Times" w:cs="Times New Roman"/>
          <w:i/>
          <w:sz w:val="23"/>
          <w:szCs w:val="23"/>
        </w:rPr>
        <w:t xml:space="preserve">ublic </w:t>
      </w:r>
      <w:r w:rsidR="00B03C76" w:rsidRPr="00F853DD">
        <w:rPr>
          <w:rFonts w:ascii="Times" w:hAnsi="Times" w:cs="Times New Roman"/>
          <w:i/>
          <w:sz w:val="23"/>
          <w:szCs w:val="23"/>
        </w:rPr>
        <w:t>p</w:t>
      </w:r>
      <w:r w:rsidRPr="00F853DD">
        <w:rPr>
          <w:rFonts w:ascii="Times" w:hAnsi="Times" w:cs="Times New Roman"/>
          <w:i/>
          <w:sz w:val="23"/>
          <w:szCs w:val="23"/>
        </w:rPr>
        <w:t>olicies</w:t>
      </w:r>
      <w:r w:rsidRPr="00F853DD">
        <w:rPr>
          <w:rFonts w:ascii="Times" w:hAnsi="Times" w:cs="Times New Roman"/>
          <w:sz w:val="23"/>
          <w:szCs w:val="23"/>
        </w:rPr>
        <w:t>. In: ECLAC (ed.). Santiago de Chile.</w:t>
      </w:r>
    </w:p>
    <w:p w14:paraId="1EEC196B" w14:textId="3E7EFB4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Huenchuan, S.</w:t>
      </w:r>
      <w:r w:rsidR="00B03C76" w:rsidRPr="00F853DD">
        <w:rPr>
          <w:rFonts w:ascii="Times" w:hAnsi="Times" w:cs="Times New Roman"/>
          <w:sz w:val="23"/>
          <w:szCs w:val="23"/>
        </w:rPr>
        <w:t>,</w:t>
      </w:r>
      <w:r w:rsidRPr="00F853DD">
        <w:rPr>
          <w:rFonts w:ascii="Times" w:hAnsi="Times" w:cs="Times New Roman"/>
          <w:sz w:val="23"/>
          <w:szCs w:val="23"/>
        </w:rPr>
        <w:t xml:space="preserve"> (2013). </w:t>
      </w:r>
      <w:r w:rsidRPr="00F853DD">
        <w:rPr>
          <w:rFonts w:ascii="Times" w:hAnsi="Times" w:cs="Times New Roman"/>
          <w:i/>
          <w:sz w:val="23"/>
          <w:szCs w:val="23"/>
        </w:rPr>
        <w:t>Ageing, solidarity and social protection in Latin America and the Caribbean: </w:t>
      </w:r>
      <w:r w:rsidR="00B03C76" w:rsidRPr="00F853DD">
        <w:rPr>
          <w:rFonts w:ascii="Times" w:hAnsi="Times" w:cs="Times New Roman"/>
          <w:i/>
          <w:sz w:val="23"/>
          <w:szCs w:val="23"/>
        </w:rPr>
        <w:t>t</w:t>
      </w:r>
      <w:r w:rsidRPr="00F853DD">
        <w:rPr>
          <w:rFonts w:ascii="Times" w:hAnsi="Times" w:cs="Times New Roman"/>
          <w:i/>
          <w:sz w:val="23"/>
          <w:szCs w:val="23"/>
        </w:rPr>
        <w:t>ime for progress towards equality</w:t>
      </w:r>
      <w:r w:rsidRPr="00F853DD">
        <w:rPr>
          <w:rFonts w:ascii="Times" w:hAnsi="Times" w:cs="Times New Roman"/>
          <w:sz w:val="23"/>
          <w:szCs w:val="23"/>
        </w:rPr>
        <w:t>. In: ECLAC (ed.). United Nations.</w:t>
      </w:r>
    </w:p>
    <w:p w14:paraId="6297D6E4" w14:textId="44DFFA58" w:rsidR="00DF05BD"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Hughes, B., Lee, E., McDonough, L., O’Leary, E. and Higgins, N.,</w:t>
      </w:r>
      <w:r w:rsidR="00DF05BD" w:rsidRPr="00F853DD">
        <w:rPr>
          <w:rFonts w:ascii="Times" w:hAnsi="Times" w:cs="Times New Roman"/>
          <w:sz w:val="23"/>
          <w:szCs w:val="23"/>
        </w:rPr>
        <w:t xml:space="preserve"> (2012). Handbook of adult resilience. </w:t>
      </w:r>
      <w:r w:rsidR="00DF05BD" w:rsidRPr="00F853DD">
        <w:rPr>
          <w:rFonts w:ascii="Times" w:hAnsi="Times" w:cs="Times New Roman"/>
          <w:i/>
          <w:sz w:val="23"/>
          <w:szCs w:val="23"/>
        </w:rPr>
        <w:t>Journal of Positive Psychology</w:t>
      </w:r>
      <w:r w:rsidR="00111348"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w:t>
      </w:r>
      <w:r w:rsidR="00DF05BD" w:rsidRPr="00F853DD">
        <w:rPr>
          <w:rFonts w:ascii="Times" w:hAnsi="Times" w:cs="Times New Roman"/>
          <w:sz w:val="23"/>
          <w:szCs w:val="23"/>
        </w:rPr>
        <w:t>, 155-158.</w:t>
      </w:r>
    </w:p>
    <w:p w14:paraId="761BCB6E" w14:textId="45DDFE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Hughes, C.</w:t>
      </w:r>
      <w:r w:rsidR="00B03C76" w:rsidRPr="00F853DD">
        <w:rPr>
          <w:rFonts w:ascii="Times" w:hAnsi="Times" w:cs="Times New Roman"/>
          <w:sz w:val="23"/>
          <w:szCs w:val="23"/>
        </w:rPr>
        <w:t>,</w:t>
      </w:r>
      <w:r w:rsidRPr="00F853DD">
        <w:rPr>
          <w:rFonts w:ascii="Times" w:hAnsi="Times" w:cs="Times New Roman"/>
          <w:sz w:val="23"/>
          <w:szCs w:val="23"/>
        </w:rPr>
        <w:t xml:space="preserve"> (2002). </w:t>
      </w:r>
      <w:r w:rsidRPr="00F853DD">
        <w:rPr>
          <w:rFonts w:ascii="Times" w:hAnsi="Times" w:cs="Times New Roman"/>
          <w:i/>
          <w:sz w:val="23"/>
          <w:szCs w:val="23"/>
        </w:rPr>
        <w:t>Key concepts in feminist theory and research</w:t>
      </w:r>
      <w:r w:rsidRPr="00F853DD">
        <w:rPr>
          <w:rFonts w:ascii="Times" w:hAnsi="Times" w:cs="Times New Roman"/>
          <w:sz w:val="23"/>
          <w:szCs w:val="23"/>
        </w:rPr>
        <w:t>. London: Sage.</w:t>
      </w:r>
    </w:p>
    <w:p w14:paraId="23583CAA" w14:textId="456A511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Hughes, C., Bolis, M., Fries, R. and Finigan, S.</w:t>
      </w:r>
      <w:r w:rsidR="00B03C76" w:rsidRPr="00F853DD">
        <w:rPr>
          <w:rFonts w:ascii="Times" w:hAnsi="Times" w:cs="Times New Roman"/>
          <w:sz w:val="23"/>
          <w:szCs w:val="23"/>
        </w:rPr>
        <w:t>,</w:t>
      </w:r>
      <w:r w:rsidRPr="00F853DD">
        <w:rPr>
          <w:rFonts w:ascii="Times" w:hAnsi="Times" w:cs="Times New Roman"/>
          <w:sz w:val="23"/>
          <w:szCs w:val="23"/>
        </w:rPr>
        <w:t xml:space="preserve"> (2015). Women's economic inequality and domestic violence: exploring the links and empowering women. </w:t>
      </w:r>
      <w:r w:rsidRPr="00F853DD">
        <w:rPr>
          <w:rFonts w:ascii="Times" w:hAnsi="Times" w:cs="Times New Roman"/>
          <w:i/>
          <w:sz w:val="23"/>
          <w:szCs w:val="23"/>
        </w:rPr>
        <w:t>Gender &amp; Development</w:t>
      </w:r>
      <w:r w:rsidR="00111348"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(2), 279-297.</w:t>
      </w:r>
    </w:p>
    <w:p w14:paraId="0B1C096C" w14:textId="4ACA4BFF" w:rsidR="00DF05BD"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Hui, S., Elliott, T</w:t>
      </w:r>
      <w:r w:rsidR="00DF05BD" w:rsidRPr="00F853DD">
        <w:rPr>
          <w:rFonts w:ascii="Times" w:hAnsi="Times" w:cs="Times New Roman"/>
          <w:sz w:val="23"/>
          <w:szCs w:val="23"/>
        </w:rPr>
        <w:t>., Martin, R. and Uswatte, G.</w:t>
      </w:r>
      <w:r w:rsidRPr="00F853DD">
        <w:rPr>
          <w:rFonts w:ascii="Times" w:hAnsi="Times" w:cs="Times New Roman"/>
          <w:sz w:val="23"/>
          <w:szCs w:val="23"/>
        </w:rPr>
        <w:t>,</w:t>
      </w:r>
      <w:r w:rsidR="00917DF3" w:rsidRPr="00F853DD">
        <w:rPr>
          <w:rFonts w:ascii="Times" w:hAnsi="Times" w:cs="Times New Roman"/>
          <w:sz w:val="23"/>
          <w:szCs w:val="23"/>
        </w:rPr>
        <w:t xml:space="preserve"> (2011). Family caregivers’</w:t>
      </w:r>
      <w:r w:rsidR="00DF05BD" w:rsidRPr="00F853DD">
        <w:rPr>
          <w:rFonts w:ascii="Times" w:hAnsi="Times" w:cs="Times New Roman"/>
          <w:sz w:val="23"/>
          <w:szCs w:val="23"/>
        </w:rPr>
        <w:t xml:space="preserve"> attributions about care-recipient behaviour: </w:t>
      </w:r>
      <w:r w:rsidRPr="00F853DD">
        <w:rPr>
          <w:rFonts w:ascii="Times" w:hAnsi="Times" w:cs="Times New Roman"/>
          <w:sz w:val="23"/>
          <w:szCs w:val="23"/>
        </w:rPr>
        <w:t>d</w:t>
      </w:r>
      <w:r w:rsidR="00DF05BD" w:rsidRPr="00F853DD">
        <w:rPr>
          <w:rFonts w:ascii="Times" w:hAnsi="Times" w:cs="Times New Roman"/>
          <w:sz w:val="23"/>
          <w:szCs w:val="23"/>
        </w:rPr>
        <w:t xml:space="preserve">oes caregiver relationship satisfaction mediate the attribution-distress relationship? </w:t>
      </w:r>
      <w:r w:rsidR="00DF05BD" w:rsidRPr="00F853DD">
        <w:rPr>
          <w:rFonts w:ascii="Times" w:hAnsi="Times" w:cs="Times New Roman"/>
          <w:i/>
          <w:sz w:val="23"/>
          <w:szCs w:val="23"/>
        </w:rPr>
        <w:t>British Journal of Health Psychology</w:t>
      </w:r>
      <w:r w:rsidR="00917DF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DF05BD" w:rsidRPr="00F853DD">
        <w:rPr>
          <w:rFonts w:ascii="Times" w:hAnsi="Times" w:cs="Times New Roman"/>
          <w:sz w:val="23"/>
          <w:szCs w:val="23"/>
        </w:rPr>
        <w:t>, 642-659.</w:t>
      </w:r>
    </w:p>
    <w:p w14:paraId="32FFB228" w14:textId="1A1457EA" w:rsidR="00B03C76"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Hunt, C. (2003). Concepts in caregiver research. Journal of nursing scholarship: an official publication of Sigma Theta Tau International Honor. </w:t>
      </w:r>
      <w:r w:rsidRPr="00F853DD">
        <w:rPr>
          <w:rFonts w:ascii="Times" w:hAnsi="Times" w:cs="Times New Roman"/>
          <w:i/>
          <w:sz w:val="23"/>
          <w:szCs w:val="23"/>
        </w:rPr>
        <w:t>Society of Nursing</w:t>
      </w:r>
      <w:r w:rsidR="00917DF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35</w:t>
      </w:r>
      <w:r w:rsidRPr="00F853DD">
        <w:rPr>
          <w:rFonts w:ascii="Times" w:hAnsi="Times" w:cs="Times New Roman"/>
          <w:sz w:val="23"/>
          <w:szCs w:val="23"/>
        </w:rPr>
        <w:t>, 27-32.</w:t>
      </w:r>
    </w:p>
    <w:p w14:paraId="166281B3" w14:textId="77777777" w:rsidR="00B03C76"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Hunt, C., (2004). </w:t>
      </w:r>
      <w:r w:rsidRPr="00F853DD">
        <w:rPr>
          <w:rFonts w:ascii="Times" w:hAnsi="Times" w:cs="Times New Roman"/>
          <w:i/>
          <w:sz w:val="23"/>
          <w:szCs w:val="23"/>
        </w:rPr>
        <w:t>Stress, coping, and health in spouses of cancer patients</w:t>
      </w:r>
      <w:r w:rsidRPr="00F853DD">
        <w:rPr>
          <w:rFonts w:ascii="Times" w:hAnsi="Times" w:cs="Times New Roman"/>
          <w:sz w:val="23"/>
          <w:szCs w:val="23"/>
        </w:rPr>
        <w:t>. Doctor of Philosophy.</w:t>
      </w:r>
    </w:p>
    <w:p w14:paraId="6D47A591" w14:textId="7C852A0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w:t>
      </w:r>
      <w:r w:rsidR="00B03C76" w:rsidRPr="00F853DD">
        <w:rPr>
          <w:rFonts w:ascii="Times" w:hAnsi="Times" w:cs="Times New Roman"/>
          <w:sz w:val="23"/>
          <w:szCs w:val="23"/>
        </w:rPr>
        <w:t>unter, A. and Chandler, G.,</w:t>
      </w:r>
      <w:r w:rsidRPr="00F853DD">
        <w:rPr>
          <w:rFonts w:ascii="Times" w:hAnsi="Times" w:cs="Times New Roman"/>
          <w:sz w:val="23"/>
          <w:szCs w:val="23"/>
        </w:rPr>
        <w:t xml:space="preserve"> (1999). Adolescent resilience. </w:t>
      </w:r>
      <w:r w:rsidRPr="00F853DD">
        <w:rPr>
          <w:rFonts w:ascii="Times" w:hAnsi="Times" w:cs="Times New Roman"/>
          <w:i/>
          <w:sz w:val="23"/>
          <w:szCs w:val="23"/>
        </w:rPr>
        <w:t>The Journal of Nursing Scholarship</w:t>
      </w:r>
      <w:r w:rsidR="00917DF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243-7.</w:t>
      </w:r>
    </w:p>
    <w:p w14:paraId="70A7A462" w14:textId="0E97342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Hunter-Hernandez, M., Costas-Muniz, </w:t>
      </w:r>
      <w:r w:rsidR="00917DF3" w:rsidRPr="00F853DD">
        <w:rPr>
          <w:rFonts w:ascii="Times" w:hAnsi="Times" w:cs="Times New Roman"/>
          <w:sz w:val="23"/>
          <w:szCs w:val="23"/>
        </w:rPr>
        <w:t>R. and Gany, F. (2015). Missed opportunity: spirituality as a bridge to resilience in Latinos with c</w:t>
      </w:r>
      <w:r w:rsidRPr="00F853DD">
        <w:rPr>
          <w:rFonts w:ascii="Times" w:hAnsi="Times" w:cs="Times New Roman"/>
          <w:sz w:val="23"/>
          <w:szCs w:val="23"/>
        </w:rPr>
        <w:t xml:space="preserve">ancer. </w:t>
      </w:r>
      <w:r w:rsidRPr="00F853DD">
        <w:rPr>
          <w:rFonts w:ascii="Times" w:hAnsi="Times" w:cs="Times New Roman"/>
          <w:i/>
          <w:sz w:val="23"/>
          <w:szCs w:val="23"/>
        </w:rPr>
        <w:t>Journal of Religion and Health</w:t>
      </w:r>
      <w:r w:rsidR="00917DF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54</w:t>
      </w:r>
      <w:r w:rsidRPr="00F853DD">
        <w:rPr>
          <w:rFonts w:ascii="Times" w:hAnsi="Times" w:cs="Times New Roman"/>
          <w:sz w:val="23"/>
          <w:szCs w:val="23"/>
        </w:rPr>
        <w:t>, 2367-2375.</w:t>
      </w:r>
    </w:p>
    <w:p w14:paraId="6A5A356A" w14:textId="6C13E619" w:rsidR="00DF05BD"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Hurley, R., Patterson, T. And Cooley, S.,</w:t>
      </w:r>
      <w:r w:rsidR="00DF05BD" w:rsidRPr="00F853DD">
        <w:rPr>
          <w:rFonts w:ascii="Times" w:hAnsi="Times" w:cs="Times New Roman"/>
          <w:sz w:val="23"/>
          <w:szCs w:val="23"/>
        </w:rPr>
        <w:t xml:space="preserve"> (2014). Meditation-based interventions for family caregivers of people with dementia: a review of the empirical literature. </w:t>
      </w:r>
      <w:r w:rsidR="00DF05BD" w:rsidRPr="00F853DD">
        <w:rPr>
          <w:rFonts w:ascii="Times" w:hAnsi="Times" w:cs="Times New Roman"/>
          <w:i/>
          <w:sz w:val="23"/>
          <w:szCs w:val="23"/>
        </w:rPr>
        <w:t>Aging and Mental Health</w:t>
      </w:r>
      <w:r w:rsidR="00917DF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DF05BD" w:rsidRPr="00F853DD">
        <w:rPr>
          <w:rFonts w:ascii="Times" w:hAnsi="Times" w:cs="Times New Roman"/>
          <w:sz w:val="23"/>
          <w:szCs w:val="23"/>
        </w:rPr>
        <w:t>, 281-288.</w:t>
      </w:r>
    </w:p>
    <w:p w14:paraId="21C0206A" w14:textId="0F17E7C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Hussein, S. and Ismail, M.</w:t>
      </w:r>
      <w:r w:rsidR="00B03C76" w:rsidRPr="00F853DD">
        <w:rPr>
          <w:rFonts w:ascii="Times" w:hAnsi="Times" w:cs="Times New Roman"/>
          <w:sz w:val="23"/>
          <w:szCs w:val="23"/>
        </w:rPr>
        <w:t>,</w:t>
      </w:r>
      <w:r w:rsidRPr="00F853DD">
        <w:rPr>
          <w:rFonts w:ascii="Times" w:hAnsi="Times" w:cs="Times New Roman"/>
          <w:sz w:val="23"/>
          <w:szCs w:val="23"/>
        </w:rPr>
        <w:t xml:space="preserve"> (2017). Ageing and elderly care in the Arab region: Policy challenges and opportunities. </w:t>
      </w:r>
      <w:r w:rsidRPr="00F853DD">
        <w:rPr>
          <w:rFonts w:ascii="Times" w:hAnsi="Times" w:cs="Times New Roman"/>
          <w:i/>
          <w:sz w:val="23"/>
          <w:szCs w:val="23"/>
        </w:rPr>
        <w:t>Ageing International</w:t>
      </w:r>
      <w:r w:rsidR="00917DF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w:t>
      </w:r>
    </w:p>
    <w:p w14:paraId="62A8547A" w14:textId="05A06A2B" w:rsidR="00DF05BD"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Hutchinson, A., (2014). Surviving, c</w:t>
      </w:r>
      <w:r w:rsidR="00DF05BD" w:rsidRPr="00F853DD">
        <w:rPr>
          <w:rFonts w:ascii="Times" w:hAnsi="Times" w:cs="Times New Roman"/>
          <w:sz w:val="23"/>
          <w:szCs w:val="23"/>
        </w:rPr>
        <w:t xml:space="preserve">oping or thriving? Understanding coping and its impact on social well-being in Mozambique. </w:t>
      </w:r>
      <w:r w:rsidR="00DF05BD" w:rsidRPr="00F853DD">
        <w:rPr>
          <w:rFonts w:ascii="Times" w:hAnsi="Times" w:cs="Times New Roman"/>
          <w:i/>
          <w:sz w:val="23"/>
          <w:szCs w:val="23"/>
        </w:rPr>
        <w:t>British Journal of Social Work</w:t>
      </w:r>
      <w:r w:rsidR="00917DF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44</w:t>
      </w:r>
      <w:r w:rsidR="00DF05BD" w:rsidRPr="00F853DD">
        <w:rPr>
          <w:rFonts w:ascii="Times" w:hAnsi="Times" w:cs="Times New Roman"/>
          <w:sz w:val="23"/>
          <w:szCs w:val="23"/>
        </w:rPr>
        <w:t>, 972-991.</w:t>
      </w:r>
    </w:p>
    <w:p w14:paraId="6EBDC195" w14:textId="38FD0D2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Hynes, M.</w:t>
      </w:r>
      <w:r w:rsidR="00B03C76" w:rsidRPr="00F853DD">
        <w:rPr>
          <w:rFonts w:ascii="Times" w:hAnsi="Times" w:cs="Times New Roman"/>
          <w:sz w:val="23"/>
          <w:szCs w:val="23"/>
        </w:rPr>
        <w:t>,</w:t>
      </w:r>
      <w:r w:rsidRPr="00F853DD">
        <w:rPr>
          <w:rFonts w:ascii="Times" w:hAnsi="Times" w:cs="Times New Roman"/>
          <w:sz w:val="23"/>
          <w:szCs w:val="23"/>
        </w:rPr>
        <w:t xml:space="preserve"> (2013). Reconceptualizing resistance: sociology and the affective dimension of resistance. </w:t>
      </w:r>
      <w:r w:rsidRPr="00F853DD">
        <w:rPr>
          <w:rFonts w:ascii="Times" w:hAnsi="Times" w:cs="Times New Roman"/>
          <w:i/>
          <w:sz w:val="23"/>
          <w:szCs w:val="23"/>
        </w:rPr>
        <w:t>British Journal of Sociology</w:t>
      </w:r>
      <w:r w:rsidR="00917DF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64</w:t>
      </w:r>
      <w:r w:rsidRPr="00F853DD">
        <w:rPr>
          <w:rFonts w:ascii="Times" w:hAnsi="Times" w:cs="Times New Roman"/>
          <w:sz w:val="23"/>
          <w:szCs w:val="23"/>
        </w:rPr>
        <w:t>, 559-577.</w:t>
      </w:r>
    </w:p>
    <w:p w14:paraId="00B8553D" w14:textId="69724DDF" w:rsidR="00DF05BD" w:rsidRPr="00F853DD" w:rsidRDefault="00B03C7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Ice, G., Sadruddin, A.</w:t>
      </w:r>
      <w:r w:rsidR="00DF05BD" w:rsidRPr="00F853DD">
        <w:rPr>
          <w:rFonts w:ascii="Times" w:hAnsi="Times" w:cs="Times New Roman"/>
          <w:sz w:val="23"/>
          <w:szCs w:val="23"/>
        </w:rPr>
        <w:t>, Vagedes, A., Yogo, J. and Juma, E.</w:t>
      </w:r>
      <w:r w:rsidRPr="00F853DD">
        <w:rPr>
          <w:rFonts w:ascii="Times" w:hAnsi="Times" w:cs="Times New Roman"/>
          <w:sz w:val="23"/>
          <w:szCs w:val="23"/>
        </w:rPr>
        <w:t>,</w:t>
      </w:r>
      <w:r w:rsidR="00DF05BD" w:rsidRPr="00F853DD">
        <w:rPr>
          <w:rFonts w:ascii="Times" w:hAnsi="Times" w:cs="Times New Roman"/>
          <w:sz w:val="23"/>
          <w:szCs w:val="23"/>
        </w:rPr>
        <w:t xml:space="preserve"> (2012). Stress associated with caregiving: an examination of the stress process model among Kenyan Luo elders. </w:t>
      </w:r>
      <w:r w:rsidR="00DF05BD" w:rsidRPr="00F853DD">
        <w:rPr>
          <w:rFonts w:ascii="Times" w:hAnsi="Times" w:cs="Times New Roman"/>
          <w:i/>
          <w:sz w:val="23"/>
          <w:szCs w:val="23"/>
        </w:rPr>
        <w:t>Social Science and Medicine</w:t>
      </w:r>
      <w:r w:rsidR="00917DF3"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74</w:t>
      </w:r>
      <w:r w:rsidR="00DF05BD" w:rsidRPr="00F853DD">
        <w:rPr>
          <w:rFonts w:ascii="Times" w:hAnsi="Times" w:cs="Times New Roman"/>
          <w:sz w:val="23"/>
          <w:szCs w:val="23"/>
        </w:rPr>
        <w:t>, 2020-2027.</w:t>
      </w:r>
    </w:p>
    <w:p w14:paraId="3AAAAC0C" w14:textId="5170025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Iecovich, E.</w:t>
      </w:r>
      <w:r w:rsidR="00B03C76" w:rsidRPr="00F853DD">
        <w:rPr>
          <w:rFonts w:ascii="Times" w:hAnsi="Times" w:cs="Times New Roman"/>
          <w:sz w:val="23"/>
          <w:szCs w:val="23"/>
        </w:rPr>
        <w:t>,</w:t>
      </w:r>
      <w:r w:rsidRPr="00F853DD">
        <w:rPr>
          <w:rFonts w:ascii="Times" w:hAnsi="Times" w:cs="Times New Roman"/>
          <w:sz w:val="23"/>
          <w:szCs w:val="23"/>
        </w:rPr>
        <w:t xml:space="preserve"> (2011). What makes migrant live-in home care workers in elder care be satisfied with their job? </w:t>
      </w:r>
      <w:r w:rsidRPr="00F853DD">
        <w:rPr>
          <w:rFonts w:ascii="Times" w:hAnsi="Times" w:cs="Times New Roman"/>
          <w:i/>
          <w:sz w:val="23"/>
          <w:szCs w:val="23"/>
        </w:rPr>
        <w:t>Gerontologist</w:t>
      </w:r>
      <w:r w:rsidR="00917DF3" w:rsidRPr="00F853DD">
        <w:rPr>
          <w:rFonts w:ascii="Times" w:hAnsi="Times" w:cs="Times New Roman"/>
          <w:sz w:val="23"/>
          <w:szCs w:val="23"/>
        </w:rPr>
        <w:t xml:space="preserve">. </w:t>
      </w:r>
      <w:r w:rsidRPr="00F853DD">
        <w:rPr>
          <w:rFonts w:ascii="Times" w:hAnsi="Times" w:cs="Times New Roman"/>
          <w:sz w:val="23"/>
          <w:szCs w:val="23"/>
        </w:rPr>
        <w:t xml:space="preserve"> </w:t>
      </w:r>
      <w:r w:rsidRPr="00F853DD">
        <w:rPr>
          <w:rFonts w:ascii="Times" w:hAnsi="Times" w:cs="Times New Roman"/>
          <w:b/>
          <w:sz w:val="23"/>
          <w:szCs w:val="23"/>
        </w:rPr>
        <w:t>51</w:t>
      </w:r>
      <w:r w:rsidRPr="00F853DD">
        <w:rPr>
          <w:rFonts w:ascii="Times" w:hAnsi="Times" w:cs="Times New Roman"/>
          <w:sz w:val="23"/>
          <w:szCs w:val="23"/>
        </w:rPr>
        <w:t>, 617-629.</w:t>
      </w:r>
    </w:p>
    <w:p w14:paraId="67C9E995" w14:textId="2B403DA1" w:rsidR="00781FC6" w:rsidRPr="00F853DD" w:rsidRDefault="00781FC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Iecovich, E., 2012. The long-term care insurance law in Israel: Present and future. Journal of Aging &amp; Social Policy, 24(1), pp.77-92.</w:t>
      </w:r>
    </w:p>
    <w:p w14:paraId="40972C9D" w14:textId="584D0EC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Iecovich, E.</w:t>
      </w:r>
      <w:r w:rsidR="00B03C76" w:rsidRPr="00F853DD">
        <w:rPr>
          <w:rFonts w:ascii="Times" w:hAnsi="Times" w:cs="Times New Roman"/>
          <w:sz w:val="23"/>
          <w:szCs w:val="23"/>
        </w:rPr>
        <w:t>,</w:t>
      </w:r>
      <w:r w:rsidRPr="00F853DD">
        <w:rPr>
          <w:rFonts w:ascii="Times" w:hAnsi="Times" w:cs="Times New Roman"/>
          <w:sz w:val="23"/>
          <w:szCs w:val="23"/>
        </w:rPr>
        <w:t xml:space="preserve"> (2016). Do caregiving burden and satisfaction predict loneliness in older care recipients? </w:t>
      </w:r>
      <w:r w:rsidRPr="00F853DD">
        <w:rPr>
          <w:rFonts w:ascii="Times" w:hAnsi="Times" w:cs="Times New Roman"/>
          <w:i/>
          <w:sz w:val="23"/>
          <w:szCs w:val="23"/>
        </w:rPr>
        <w:t>Aging and Mental Health</w:t>
      </w:r>
      <w:r w:rsidR="00917DF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441-449.</w:t>
      </w:r>
    </w:p>
    <w:p w14:paraId="029769B1" w14:textId="4DA8B83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ILO</w:t>
      </w:r>
      <w:r w:rsidR="00B03C76" w:rsidRPr="00F853DD">
        <w:rPr>
          <w:rFonts w:ascii="Times" w:hAnsi="Times" w:cs="Times New Roman"/>
          <w:sz w:val="23"/>
          <w:szCs w:val="23"/>
        </w:rPr>
        <w:t>,</w:t>
      </w:r>
      <w:r w:rsidRPr="00F853DD">
        <w:rPr>
          <w:rFonts w:ascii="Times" w:hAnsi="Times" w:cs="Times New Roman"/>
          <w:sz w:val="23"/>
          <w:szCs w:val="23"/>
        </w:rPr>
        <w:t xml:space="preserve"> (2019). Universa</w:t>
      </w:r>
      <w:r w:rsidR="00917DF3" w:rsidRPr="00F853DD">
        <w:rPr>
          <w:rFonts w:ascii="Times" w:hAnsi="Times" w:cs="Times New Roman"/>
          <w:sz w:val="23"/>
          <w:szCs w:val="23"/>
        </w:rPr>
        <w:t>l social protection for human dignity, social justice and sustainable development: general survey concerning the s</w:t>
      </w:r>
      <w:r w:rsidRPr="00F853DD">
        <w:rPr>
          <w:rFonts w:ascii="Times" w:hAnsi="Times" w:cs="Times New Roman"/>
          <w:sz w:val="23"/>
          <w:szCs w:val="23"/>
        </w:rPr>
        <w:t xml:space="preserve">ocial </w:t>
      </w:r>
      <w:r w:rsidR="00917DF3" w:rsidRPr="00F853DD">
        <w:rPr>
          <w:rFonts w:ascii="Times" w:hAnsi="Times" w:cs="Times New Roman"/>
          <w:sz w:val="23"/>
          <w:szCs w:val="23"/>
        </w:rPr>
        <w:t>p</w:t>
      </w:r>
      <w:r w:rsidRPr="00F853DD">
        <w:rPr>
          <w:rFonts w:ascii="Times" w:hAnsi="Times" w:cs="Times New Roman"/>
          <w:sz w:val="23"/>
          <w:szCs w:val="23"/>
        </w:rPr>
        <w:t>r</w:t>
      </w:r>
      <w:r w:rsidR="00917DF3" w:rsidRPr="00F853DD">
        <w:rPr>
          <w:rFonts w:ascii="Times" w:hAnsi="Times" w:cs="Times New Roman"/>
          <w:sz w:val="23"/>
          <w:szCs w:val="23"/>
        </w:rPr>
        <w:t>otection floors recommendation (2012)</w:t>
      </w:r>
      <w:r w:rsidRPr="00F853DD">
        <w:rPr>
          <w:rFonts w:ascii="Times" w:hAnsi="Times" w:cs="Times New Roman"/>
          <w:sz w:val="23"/>
          <w:szCs w:val="23"/>
        </w:rPr>
        <w:t>. [Viewed 19 November 2019]. Available from: https://www.ilo.org/wcmsp5/groups/public/---ed_norm/---relconf/documents/meetingdocument/wcms_673680.pdf</w:t>
      </w:r>
      <w:r w:rsidRPr="00F853DD">
        <w:rPr>
          <w:rStyle w:val="Hyperlink"/>
          <w:rFonts w:ascii="Times" w:hAnsi="Times"/>
          <w:color w:val="auto"/>
          <w:sz w:val="23"/>
          <w:szCs w:val="23"/>
        </w:rPr>
        <w:t xml:space="preserve">. </w:t>
      </w:r>
    </w:p>
    <w:p w14:paraId="05BE58F0" w14:textId="07B64DB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Imbert, C.</w:t>
      </w:r>
      <w:r w:rsidR="00465806" w:rsidRPr="00F853DD">
        <w:rPr>
          <w:rFonts w:ascii="Times" w:hAnsi="Times" w:cs="Times New Roman"/>
          <w:sz w:val="23"/>
          <w:szCs w:val="23"/>
        </w:rPr>
        <w:t>,</w:t>
      </w:r>
      <w:r w:rsidR="00917DF3" w:rsidRPr="00F853DD">
        <w:rPr>
          <w:rFonts w:ascii="Times" w:hAnsi="Times" w:cs="Times New Roman"/>
          <w:sz w:val="23"/>
          <w:szCs w:val="23"/>
        </w:rPr>
        <w:t xml:space="preserve"> (2017). Feature a</w:t>
      </w:r>
      <w:r w:rsidRPr="00F853DD">
        <w:rPr>
          <w:rFonts w:ascii="Times" w:hAnsi="Times" w:cs="Times New Roman"/>
          <w:sz w:val="23"/>
          <w:szCs w:val="23"/>
        </w:rPr>
        <w:t>ddress</w:t>
      </w:r>
      <w:r w:rsidR="00917DF3" w:rsidRPr="00F853DD">
        <w:rPr>
          <w:rFonts w:ascii="Times" w:hAnsi="Times" w:cs="Times New Roman"/>
          <w:sz w:val="23"/>
          <w:szCs w:val="23"/>
        </w:rPr>
        <w:t xml:space="preserve"> by the Honourable Colm Imbert M</w:t>
      </w:r>
      <w:r w:rsidRPr="00F853DD">
        <w:rPr>
          <w:rFonts w:ascii="Times" w:hAnsi="Times" w:cs="Times New Roman"/>
          <w:sz w:val="23"/>
          <w:szCs w:val="23"/>
        </w:rPr>
        <w:t xml:space="preserve">inister of finance at the formal opening ceremony of the new corporate headquarters of the National Insurance Board of Trinidad and Tobago. Trinidad, W.I.: </w:t>
      </w:r>
      <w:r w:rsidRPr="00F853DD">
        <w:rPr>
          <w:rFonts w:ascii="Times" w:hAnsi="Times" w:cs="Times New Roman"/>
          <w:i/>
          <w:sz w:val="23"/>
          <w:szCs w:val="23"/>
        </w:rPr>
        <w:t>Ministry of Finance</w:t>
      </w:r>
      <w:r w:rsidRPr="00F853DD">
        <w:rPr>
          <w:rFonts w:ascii="Times" w:hAnsi="Times" w:cs="Times New Roman"/>
          <w:sz w:val="23"/>
          <w:szCs w:val="23"/>
        </w:rPr>
        <w:t>.</w:t>
      </w:r>
    </w:p>
    <w:p w14:paraId="7266940D" w14:textId="5E55621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Imbody, B. and Vandsburger, E.</w:t>
      </w:r>
      <w:r w:rsidR="00465806" w:rsidRPr="00F853DD">
        <w:rPr>
          <w:rFonts w:ascii="Times" w:hAnsi="Times" w:cs="Times New Roman"/>
          <w:sz w:val="23"/>
          <w:szCs w:val="23"/>
        </w:rPr>
        <w:t>,</w:t>
      </w:r>
      <w:r w:rsidRPr="00F853DD">
        <w:rPr>
          <w:rFonts w:ascii="Times" w:hAnsi="Times" w:cs="Times New Roman"/>
          <w:sz w:val="23"/>
          <w:szCs w:val="23"/>
        </w:rPr>
        <w:t xml:space="preserve"> (2011). Elder abuse and neglect: </w:t>
      </w:r>
      <w:r w:rsidR="00465806" w:rsidRPr="00F853DD">
        <w:rPr>
          <w:rFonts w:ascii="Times" w:hAnsi="Times" w:cs="Times New Roman"/>
          <w:sz w:val="23"/>
          <w:szCs w:val="23"/>
        </w:rPr>
        <w:t>a</w:t>
      </w:r>
      <w:r w:rsidRPr="00F853DD">
        <w:rPr>
          <w:rFonts w:ascii="Times" w:hAnsi="Times" w:cs="Times New Roman"/>
          <w:sz w:val="23"/>
          <w:szCs w:val="23"/>
        </w:rPr>
        <w:t xml:space="preserve">ssessment tools, interventions and recommendations for effective service provision. </w:t>
      </w:r>
      <w:r w:rsidRPr="00F853DD">
        <w:rPr>
          <w:rFonts w:ascii="Times" w:hAnsi="Times" w:cs="Times New Roman"/>
          <w:i/>
          <w:sz w:val="23"/>
          <w:szCs w:val="23"/>
        </w:rPr>
        <w:t>Educational Gerontology</w:t>
      </w:r>
      <w:r w:rsidR="00917DF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w:t>
      </w:r>
      <w:r w:rsidRPr="00F853DD">
        <w:rPr>
          <w:rFonts w:ascii="Times" w:hAnsi="Times" w:cs="Times New Roman"/>
          <w:sz w:val="23"/>
          <w:szCs w:val="23"/>
        </w:rPr>
        <w:t xml:space="preserve"> 634-650.</w:t>
      </w:r>
    </w:p>
    <w:p w14:paraId="644AB5A5" w14:textId="6761F5E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Inge</w:t>
      </w:r>
      <w:r w:rsidR="00465806" w:rsidRPr="00F853DD">
        <w:rPr>
          <w:rFonts w:ascii="Times" w:hAnsi="Times" w:cs="Times New Roman"/>
          <w:sz w:val="23"/>
          <w:szCs w:val="23"/>
        </w:rPr>
        <w:t>rsoll-Dayton, B., Starrels, M.</w:t>
      </w:r>
      <w:r w:rsidRPr="00F853DD">
        <w:rPr>
          <w:rFonts w:ascii="Times" w:hAnsi="Times" w:cs="Times New Roman"/>
          <w:sz w:val="23"/>
          <w:szCs w:val="23"/>
        </w:rPr>
        <w:t xml:space="preserve"> and Dowler, D.</w:t>
      </w:r>
      <w:r w:rsidR="00465806" w:rsidRPr="00F853DD">
        <w:rPr>
          <w:rFonts w:ascii="Times" w:hAnsi="Times" w:cs="Times New Roman"/>
          <w:sz w:val="23"/>
          <w:szCs w:val="23"/>
        </w:rPr>
        <w:t>,</w:t>
      </w:r>
      <w:r w:rsidRPr="00F853DD">
        <w:rPr>
          <w:rFonts w:ascii="Times" w:hAnsi="Times" w:cs="Times New Roman"/>
          <w:sz w:val="23"/>
          <w:szCs w:val="23"/>
        </w:rPr>
        <w:t xml:space="preserve"> (1996). Caregiving for parents and parents-in-law: Is gender important?. </w:t>
      </w:r>
      <w:r w:rsidRPr="00F853DD">
        <w:rPr>
          <w:rFonts w:ascii="Times" w:hAnsi="Times" w:cs="Times New Roman"/>
          <w:i/>
          <w:sz w:val="23"/>
          <w:szCs w:val="23"/>
        </w:rPr>
        <w:t>Gerontologist</w:t>
      </w:r>
      <w:r w:rsidR="00F676F4"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36</w:t>
      </w:r>
      <w:r w:rsidRPr="00F853DD">
        <w:rPr>
          <w:rFonts w:ascii="Times" w:hAnsi="Times" w:cs="Times New Roman"/>
          <w:sz w:val="23"/>
          <w:szCs w:val="23"/>
        </w:rPr>
        <w:t>(4), 483-491.</w:t>
      </w:r>
    </w:p>
    <w:p w14:paraId="212767F7" w14:textId="196AF67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Ing</w:t>
      </w:r>
      <w:r w:rsidR="00465806" w:rsidRPr="00F853DD">
        <w:rPr>
          <w:rFonts w:ascii="Times" w:hAnsi="Times" w:cs="Times New Roman"/>
          <w:sz w:val="23"/>
          <w:szCs w:val="23"/>
        </w:rPr>
        <w:t>ersoll-Dayton, B., Dowler, D., Starrels, M. and Neal, M.,</w:t>
      </w:r>
      <w:r w:rsidRPr="00F853DD">
        <w:rPr>
          <w:rFonts w:ascii="Times" w:hAnsi="Times" w:cs="Times New Roman"/>
          <w:sz w:val="23"/>
          <w:szCs w:val="23"/>
        </w:rPr>
        <w:t xml:space="preserve"> (1997). The stress of caring for a parent: effects of the elder and impairment on an employed, adult child. </w:t>
      </w:r>
      <w:r w:rsidRPr="00F853DD">
        <w:rPr>
          <w:rFonts w:ascii="Times" w:hAnsi="Times" w:cs="Times New Roman"/>
          <w:i/>
          <w:sz w:val="23"/>
          <w:szCs w:val="23"/>
        </w:rPr>
        <w:t>Journal of Marriage and the Family</w:t>
      </w:r>
      <w:r w:rsidR="00F676F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59</w:t>
      </w:r>
      <w:r w:rsidRPr="00F853DD">
        <w:rPr>
          <w:rFonts w:ascii="Times" w:hAnsi="Times" w:cs="Times New Roman"/>
          <w:sz w:val="23"/>
          <w:szCs w:val="23"/>
        </w:rPr>
        <w:t>, 860-872.</w:t>
      </w:r>
    </w:p>
    <w:p w14:paraId="7FCC2D38" w14:textId="71459B0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Innes, A., Morgan, D. and Kostineuk, J.</w:t>
      </w:r>
      <w:r w:rsidR="00465806" w:rsidRPr="00F853DD">
        <w:rPr>
          <w:rFonts w:ascii="Times" w:hAnsi="Times" w:cs="Times New Roman"/>
          <w:sz w:val="23"/>
          <w:szCs w:val="23"/>
        </w:rPr>
        <w:t>,</w:t>
      </w:r>
      <w:r w:rsidRPr="00F853DD">
        <w:rPr>
          <w:rFonts w:ascii="Times" w:hAnsi="Times" w:cs="Times New Roman"/>
          <w:sz w:val="23"/>
          <w:szCs w:val="23"/>
        </w:rPr>
        <w:t xml:space="preserve"> (2011). Dementia care in rural and remote settings: </w:t>
      </w:r>
      <w:r w:rsidR="00F676F4" w:rsidRPr="00F853DD">
        <w:rPr>
          <w:rFonts w:ascii="Times" w:hAnsi="Times" w:cs="Times New Roman"/>
          <w:sz w:val="23"/>
          <w:szCs w:val="23"/>
        </w:rPr>
        <w:t>a</w:t>
      </w:r>
      <w:r w:rsidRPr="00F853DD">
        <w:rPr>
          <w:rFonts w:ascii="Times" w:hAnsi="Times" w:cs="Times New Roman"/>
          <w:sz w:val="23"/>
          <w:szCs w:val="23"/>
        </w:rPr>
        <w:t xml:space="preserve"> systematic review of informal/family caregiving. </w:t>
      </w:r>
      <w:r w:rsidRPr="00F853DD">
        <w:rPr>
          <w:rFonts w:ascii="Times" w:hAnsi="Times" w:cs="Times New Roman"/>
          <w:i/>
          <w:sz w:val="23"/>
          <w:szCs w:val="23"/>
        </w:rPr>
        <w:t>Maturitas</w:t>
      </w:r>
      <w:r w:rsidR="00F676F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68</w:t>
      </w:r>
      <w:r w:rsidRPr="00F853DD">
        <w:rPr>
          <w:rFonts w:ascii="Times" w:hAnsi="Times" w:cs="Times New Roman"/>
          <w:sz w:val="23"/>
          <w:szCs w:val="23"/>
        </w:rPr>
        <w:t>, 34-46.</w:t>
      </w:r>
    </w:p>
    <w:p w14:paraId="56EFA9EA" w14:textId="0C82A9A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International Working Party On Family, P.</w:t>
      </w:r>
      <w:r w:rsidR="00465806" w:rsidRPr="00F853DD">
        <w:rPr>
          <w:rFonts w:ascii="Times" w:hAnsi="Times" w:cs="Times New Roman"/>
          <w:sz w:val="23"/>
          <w:szCs w:val="23"/>
        </w:rPr>
        <w:t>,</w:t>
      </w:r>
      <w:r w:rsidRPr="00F853DD">
        <w:rPr>
          <w:rFonts w:ascii="Times" w:hAnsi="Times" w:cs="Times New Roman"/>
          <w:sz w:val="23"/>
          <w:szCs w:val="23"/>
        </w:rPr>
        <w:t xml:space="preserve"> (1978). </w:t>
      </w:r>
      <w:r w:rsidRPr="00F853DD">
        <w:rPr>
          <w:rFonts w:ascii="Times" w:hAnsi="Times" w:cs="Times New Roman"/>
          <w:i/>
          <w:sz w:val="23"/>
          <w:szCs w:val="23"/>
        </w:rPr>
        <w:t>Family policy: government and families in fourteen countries</w:t>
      </w:r>
      <w:r w:rsidRPr="00F853DD">
        <w:rPr>
          <w:rFonts w:ascii="Times" w:hAnsi="Times" w:cs="Times New Roman"/>
          <w:sz w:val="23"/>
          <w:szCs w:val="23"/>
        </w:rPr>
        <w:t>. New York, Guildford: Columbia University Press.</w:t>
      </w:r>
    </w:p>
    <w:p w14:paraId="4356577D" w14:textId="7DEEC8F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IOPS.</w:t>
      </w:r>
      <w:r w:rsidR="00465806" w:rsidRPr="00F853DD">
        <w:rPr>
          <w:rFonts w:ascii="Times" w:hAnsi="Times" w:cs="Times New Roman"/>
          <w:sz w:val="23"/>
          <w:szCs w:val="23"/>
        </w:rPr>
        <w:t>, (2013). IOPS country p</w:t>
      </w:r>
      <w:r w:rsidRPr="00F853DD">
        <w:rPr>
          <w:rFonts w:ascii="Times" w:hAnsi="Times" w:cs="Times New Roman"/>
          <w:sz w:val="23"/>
          <w:szCs w:val="23"/>
        </w:rPr>
        <w:t xml:space="preserve">rofiles: </w:t>
      </w:r>
      <w:r w:rsidRPr="00F853DD">
        <w:rPr>
          <w:rFonts w:ascii="Times" w:hAnsi="Times" w:cs="Times New Roman"/>
          <w:i/>
          <w:sz w:val="23"/>
          <w:szCs w:val="23"/>
        </w:rPr>
        <w:t>Trinidad and Tobago</w:t>
      </w:r>
      <w:r w:rsidRPr="00F853DD">
        <w:rPr>
          <w:rFonts w:ascii="Times" w:hAnsi="Times" w:cs="Times New Roman"/>
          <w:sz w:val="23"/>
          <w:szCs w:val="23"/>
        </w:rPr>
        <w:t xml:space="preserve">. Available from: http://www.iopsweb.org/resources/PensionsTrinidadAndTobago.pdf. </w:t>
      </w:r>
    </w:p>
    <w:p w14:paraId="62673C50" w14:textId="77D6B6A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Isherwood, L., Luszcz, M. and King, D.</w:t>
      </w:r>
      <w:r w:rsidR="00465806" w:rsidRPr="00F853DD">
        <w:rPr>
          <w:rFonts w:ascii="Times" w:hAnsi="Times" w:cs="Times New Roman"/>
          <w:sz w:val="23"/>
          <w:szCs w:val="23"/>
        </w:rPr>
        <w:t>,</w:t>
      </w:r>
      <w:r w:rsidRPr="00F853DD">
        <w:rPr>
          <w:rFonts w:ascii="Times" w:hAnsi="Times" w:cs="Times New Roman"/>
          <w:sz w:val="23"/>
          <w:szCs w:val="23"/>
        </w:rPr>
        <w:t xml:space="preserve"> (2016). Reciprocity in material</w:t>
      </w:r>
      <w:r w:rsidR="00F676F4" w:rsidRPr="00F853DD">
        <w:rPr>
          <w:rFonts w:ascii="Times" w:hAnsi="Times" w:cs="Times New Roman"/>
          <w:sz w:val="23"/>
          <w:szCs w:val="23"/>
        </w:rPr>
        <w:t xml:space="preserve"> and time support within parent-</w:t>
      </w:r>
      <w:r w:rsidRPr="00F853DD">
        <w:rPr>
          <w:rFonts w:ascii="Times" w:hAnsi="Times" w:cs="Times New Roman"/>
          <w:sz w:val="23"/>
          <w:szCs w:val="23"/>
        </w:rPr>
        <w:t xml:space="preserve">child relationships during late-life widowhood. </w:t>
      </w:r>
      <w:r w:rsidRPr="00F853DD">
        <w:rPr>
          <w:rFonts w:ascii="Times" w:hAnsi="Times" w:cs="Times New Roman"/>
          <w:i/>
          <w:sz w:val="23"/>
          <w:szCs w:val="23"/>
        </w:rPr>
        <w:t>Ageing &amp; Society</w:t>
      </w:r>
      <w:r w:rsidR="00F676F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(8), 1668-1689.</w:t>
      </w:r>
    </w:p>
    <w:p w14:paraId="2D81A41A" w14:textId="53C16200" w:rsidR="00DF05BD" w:rsidRPr="00F853DD" w:rsidRDefault="004658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Ivery, J. and Muniz, G.,</w:t>
      </w:r>
      <w:r w:rsidR="00DF05BD" w:rsidRPr="00F853DD">
        <w:rPr>
          <w:rFonts w:ascii="Times" w:hAnsi="Times" w:cs="Times New Roman"/>
          <w:sz w:val="23"/>
          <w:szCs w:val="23"/>
        </w:rPr>
        <w:t xml:space="preserve"> (2017). Caregiving transitions: </w:t>
      </w:r>
      <w:r w:rsidR="00571A4D" w:rsidRPr="00F853DD">
        <w:rPr>
          <w:rFonts w:ascii="Times" w:hAnsi="Times" w:cs="Times New Roman"/>
          <w:sz w:val="23"/>
          <w:szCs w:val="23"/>
        </w:rPr>
        <w:t>d</w:t>
      </w:r>
      <w:r w:rsidR="00DF05BD" w:rsidRPr="00F853DD">
        <w:rPr>
          <w:rFonts w:ascii="Times" w:hAnsi="Times" w:cs="Times New Roman"/>
          <w:sz w:val="23"/>
          <w:szCs w:val="23"/>
        </w:rPr>
        <w:t xml:space="preserve">evelopmental and gendered perspectives. </w:t>
      </w:r>
      <w:r w:rsidR="00DF05BD" w:rsidRPr="00F853DD">
        <w:rPr>
          <w:rFonts w:ascii="Times" w:hAnsi="Times" w:cs="Times New Roman"/>
          <w:i/>
          <w:sz w:val="23"/>
          <w:szCs w:val="23"/>
        </w:rPr>
        <w:t>Journal of Human Behavior in the Social Environment</w:t>
      </w:r>
      <w:r w:rsidR="00571A4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311-320.</w:t>
      </w:r>
    </w:p>
    <w:p w14:paraId="61814785" w14:textId="5C3E93D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Izuhara, M.</w:t>
      </w:r>
      <w:r w:rsidR="00465806" w:rsidRPr="00F853DD">
        <w:rPr>
          <w:rFonts w:ascii="Times" w:hAnsi="Times" w:cs="Times New Roman"/>
          <w:sz w:val="23"/>
          <w:szCs w:val="23"/>
        </w:rPr>
        <w:t>,</w:t>
      </w:r>
      <w:r w:rsidRPr="00F853DD">
        <w:rPr>
          <w:rFonts w:ascii="Times" w:hAnsi="Times" w:cs="Times New Roman"/>
          <w:sz w:val="23"/>
          <w:szCs w:val="23"/>
        </w:rPr>
        <w:t xml:space="preserve"> (2010). </w:t>
      </w:r>
      <w:r w:rsidRPr="00F853DD">
        <w:rPr>
          <w:rFonts w:ascii="Times" w:hAnsi="Times" w:cs="Times New Roman"/>
          <w:i/>
          <w:sz w:val="23"/>
          <w:szCs w:val="23"/>
        </w:rPr>
        <w:t>Ageing and intergenerational relations: family reciprocity from a global perspectiv</w:t>
      </w:r>
      <w:r w:rsidRPr="00F853DD">
        <w:rPr>
          <w:rFonts w:ascii="Times" w:hAnsi="Times" w:cs="Times New Roman"/>
          <w:sz w:val="23"/>
          <w:szCs w:val="23"/>
        </w:rPr>
        <w:t>e.  Bristol: Policy.</w:t>
      </w:r>
    </w:p>
    <w:p w14:paraId="37A19D7F" w14:textId="7DEA4904" w:rsidR="00DF05BD" w:rsidRPr="00F853DD" w:rsidRDefault="004658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Jackson, S.,</w:t>
      </w:r>
      <w:r w:rsidR="00DF05BD" w:rsidRPr="00F853DD">
        <w:rPr>
          <w:rFonts w:ascii="Times" w:hAnsi="Times" w:cs="Times New Roman"/>
          <w:sz w:val="23"/>
          <w:szCs w:val="23"/>
        </w:rPr>
        <w:t xml:space="preserve"> (2016)a. All elder abuse perpetrators are not alike</w:t>
      </w:r>
      <w:r w:rsidRPr="00F853DD">
        <w:rPr>
          <w:rFonts w:ascii="Times" w:hAnsi="Times" w:cs="Times New Roman"/>
          <w:sz w:val="23"/>
          <w:szCs w:val="23"/>
        </w:rPr>
        <w:t>: t</w:t>
      </w:r>
      <w:r w:rsidR="00DF05BD" w:rsidRPr="00F853DD">
        <w:rPr>
          <w:rFonts w:ascii="Times" w:hAnsi="Times" w:cs="Times New Roman"/>
          <w:sz w:val="23"/>
          <w:szCs w:val="23"/>
        </w:rPr>
        <w:t xml:space="preserve">he heterogeneity of elder abuse perpetrators and implications for intervention. </w:t>
      </w:r>
      <w:r w:rsidR="00DF05BD" w:rsidRPr="00F853DD">
        <w:rPr>
          <w:rFonts w:ascii="Times" w:hAnsi="Times" w:cs="Times New Roman"/>
          <w:i/>
          <w:sz w:val="23"/>
          <w:szCs w:val="23"/>
        </w:rPr>
        <w:t>International Journal of Offender Therapy and Comparative Criminology</w:t>
      </w:r>
      <w:r w:rsidR="00571A4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60</w:t>
      </w:r>
      <w:r w:rsidR="00DF05BD" w:rsidRPr="00F853DD">
        <w:rPr>
          <w:rFonts w:ascii="Times" w:hAnsi="Times" w:cs="Times New Roman"/>
          <w:sz w:val="23"/>
          <w:szCs w:val="23"/>
        </w:rPr>
        <w:t>, 265-85.</w:t>
      </w:r>
    </w:p>
    <w:p w14:paraId="4E23E55B" w14:textId="3D04430A" w:rsidR="00DF05BD" w:rsidRPr="00F853DD" w:rsidRDefault="004658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Jackson, S.,</w:t>
      </w:r>
      <w:r w:rsidR="00DF05BD" w:rsidRPr="00F853DD">
        <w:rPr>
          <w:rFonts w:ascii="Times" w:hAnsi="Times" w:cs="Times New Roman"/>
          <w:sz w:val="23"/>
          <w:szCs w:val="23"/>
        </w:rPr>
        <w:t xml:space="preserve"> (2016)b. The shifting conceptualization of elder abuse in the United States: from social services, to criminal justice, and beyond. </w:t>
      </w:r>
      <w:r w:rsidR="00DF05BD" w:rsidRPr="00F853DD">
        <w:rPr>
          <w:rFonts w:ascii="Times" w:hAnsi="Times" w:cs="Times New Roman"/>
          <w:i/>
          <w:sz w:val="23"/>
          <w:szCs w:val="23"/>
        </w:rPr>
        <w:t>International Psychogeriatrics</w:t>
      </w:r>
      <w:r w:rsidR="00571A4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DF05BD" w:rsidRPr="00F853DD">
        <w:rPr>
          <w:rFonts w:ascii="Times" w:hAnsi="Times" w:cs="Times New Roman"/>
          <w:sz w:val="23"/>
          <w:szCs w:val="23"/>
        </w:rPr>
        <w:t>, 1-8.</w:t>
      </w:r>
    </w:p>
    <w:p w14:paraId="5222B431" w14:textId="6B5365CC" w:rsidR="00DF05BD" w:rsidRPr="00F853DD" w:rsidRDefault="004658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Jackson, S. and Hafemeister, T.,</w:t>
      </w:r>
      <w:r w:rsidR="00DF05BD" w:rsidRPr="00F853DD">
        <w:rPr>
          <w:rFonts w:ascii="Times" w:hAnsi="Times" w:cs="Times New Roman"/>
          <w:sz w:val="23"/>
          <w:szCs w:val="23"/>
        </w:rPr>
        <w:t xml:space="preserve"> (2011). Risk factors associated with elder abuse: </w:t>
      </w:r>
      <w:r w:rsidR="00571A4D" w:rsidRPr="00F853DD">
        <w:rPr>
          <w:rFonts w:ascii="Times" w:hAnsi="Times" w:cs="Times New Roman"/>
          <w:sz w:val="23"/>
          <w:szCs w:val="23"/>
        </w:rPr>
        <w:t>t</w:t>
      </w:r>
      <w:r w:rsidR="00DF05BD" w:rsidRPr="00F853DD">
        <w:rPr>
          <w:rFonts w:ascii="Times" w:hAnsi="Times" w:cs="Times New Roman"/>
          <w:sz w:val="23"/>
          <w:szCs w:val="23"/>
        </w:rPr>
        <w:t xml:space="preserve">he importance of differentiating by type of elder maltreatment. </w:t>
      </w:r>
      <w:r w:rsidR="00DF05BD" w:rsidRPr="00F853DD">
        <w:rPr>
          <w:rFonts w:ascii="Times" w:hAnsi="Times" w:cs="Times New Roman"/>
          <w:i/>
          <w:sz w:val="23"/>
          <w:szCs w:val="23"/>
        </w:rPr>
        <w:t>Violence and Victims</w:t>
      </w:r>
      <w:r w:rsidR="00571A4D" w:rsidRPr="00F853DD">
        <w:rPr>
          <w:rFonts w:ascii="Times" w:hAnsi="Times" w:cs="Times New Roman"/>
          <w:sz w:val="23"/>
          <w:szCs w:val="23"/>
        </w:rPr>
        <w:t>.</w:t>
      </w:r>
      <w:r w:rsidR="00DF05BD" w:rsidRPr="00F853DD">
        <w:rPr>
          <w:rFonts w:ascii="Times" w:hAnsi="Times" w:cs="Times New Roman"/>
          <w:b/>
          <w:sz w:val="23"/>
          <w:szCs w:val="23"/>
        </w:rPr>
        <w:t xml:space="preserve"> 26</w:t>
      </w:r>
      <w:r w:rsidR="00DF05BD" w:rsidRPr="00F853DD">
        <w:rPr>
          <w:rFonts w:ascii="Times" w:hAnsi="Times" w:cs="Times New Roman"/>
          <w:sz w:val="23"/>
          <w:szCs w:val="23"/>
        </w:rPr>
        <w:t>, 738-757.</w:t>
      </w:r>
    </w:p>
    <w:p w14:paraId="1867975E" w14:textId="1E293956"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J</w:t>
      </w:r>
      <w:r w:rsidR="00465806" w:rsidRPr="00F853DD">
        <w:rPr>
          <w:rFonts w:ascii="Times" w:hAnsi="Times" w:cs="Times New Roman"/>
          <w:sz w:val="23"/>
          <w:szCs w:val="23"/>
        </w:rPr>
        <w:t>acobs, M. and Van Groenou, M.,</w:t>
      </w:r>
      <w:r w:rsidRPr="00F853DD">
        <w:rPr>
          <w:rFonts w:ascii="Times" w:hAnsi="Times" w:cs="Times New Roman"/>
          <w:sz w:val="23"/>
          <w:szCs w:val="23"/>
        </w:rPr>
        <w:t xml:space="preserve"> (2013). Contact and cooperation between formal and informal caregivers in older adults’ mixed care networks. </w:t>
      </w:r>
      <w:r w:rsidRPr="00F853DD">
        <w:rPr>
          <w:rFonts w:ascii="Times" w:hAnsi="Times" w:cs="Times New Roman"/>
          <w:i/>
          <w:sz w:val="23"/>
          <w:szCs w:val="23"/>
          <w:lang w:val="nl-NL"/>
        </w:rPr>
        <w:t>Gerontologist</w:t>
      </w:r>
      <w:r w:rsidR="00571A4D" w:rsidRPr="00F853DD">
        <w:rPr>
          <w:rFonts w:ascii="Times" w:hAnsi="Times" w:cs="Times New Roman"/>
          <w:sz w:val="23"/>
          <w:szCs w:val="23"/>
          <w:lang w:val="nl-NL"/>
        </w:rPr>
        <w:t>.</w:t>
      </w:r>
      <w:r w:rsidRPr="00F853DD">
        <w:rPr>
          <w:rFonts w:ascii="Times" w:hAnsi="Times" w:cs="Times New Roman"/>
          <w:sz w:val="23"/>
          <w:szCs w:val="23"/>
          <w:lang w:val="nl-NL"/>
        </w:rPr>
        <w:t xml:space="preserve"> </w:t>
      </w:r>
      <w:r w:rsidRPr="00F853DD">
        <w:rPr>
          <w:rFonts w:ascii="Times" w:hAnsi="Times" w:cs="Times New Roman"/>
          <w:b/>
          <w:sz w:val="23"/>
          <w:szCs w:val="23"/>
          <w:lang w:val="nl-NL"/>
        </w:rPr>
        <w:t>53</w:t>
      </w:r>
      <w:r w:rsidRPr="00F853DD">
        <w:rPr>
          <w:rFonts w:ascii="Times" w:hAnsi="Times" w:cs="Times New Roman"/>
          <w:sz w:val="23"/>
          <w:szCs w:val="23"/>
          <w:lang w:val="nl-NL"/>
        </w:rPr>
        <w:t>, 268-268.</w:t>
      </w:r>
    </w:p>
    <w:p w14:paraId="5926A346" w14:textId="690FEB21" w:rsidR="00DF05BD" w:rsidRPr="00F853DD" w:rsidRDefault="004658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Jacobs, M., Van Groenou, M., De Boer, A.</w:t>
      </w:r>
      <w:r w:rsidR="00DF05BD" w:rsidRPr="00F853DD">
        <w:rPr>
          <w:rFonts w:ascii="Times" w:hAnsi="Times" w:cs="Times New Roman"/>
          <w:sz w:val="23"/>
          <w:szCs w:val="23"/>
          <w:lang w:val="nl-NL"/>
        </w:rPr>
        <w:t xml:space="preserve"> an</w:t>
      </w:r>
      <w:r w:rsidRPr="00F853DD">
        <w:rPr>
          <w:rFonts w:ascii="Times" w:hAnsi="Times" w:cs="Times New Roman"/>
          <w:sz w:val="23"/>
          <w:szCs w:val="23"/>
          <w:lang w:val="nl-NL"/>
        </w:rPr>
        <w:t>d Deeg, D.,</w:t>
      </w:r>
      <w:r w:rsidR="00DF05BD" w:rsidRPr="00F853DD">
        <w:rPr>
          <w:rFonts w:ascii="Times" w:hAnsi="Times" w:cs="Times New Roman"/>
          <w:sz w:val="23"/>
          <w:szCs w:val="23"/>
          <w:lang w:val="nl-NL"/>
        </w:rPr>
        <w:t xml:space="preserve"> (2014). </w:t>
      </w:r>
      <w:r w:rsidR="00DF05BD" w:rsidRPr="00F853DD">
        <w:rPr>
          <w:rFonts w:ascii="Times" w:hAnsi="Times" w:cs="Times New Roman"/>
          <w:sz w:val="23"/>
          <w:szCs w:val="23"/>
        </w:rPr>
        <w:t xml:space="preserve">Individual determinants of task division in older adults' mixed care networks. </w:t>
      </w:r>
      <w:r w:rsidR="00DF05BD" w:rsidRPr="00F853DD">
        <w:rPr>
          <w:rFonts w:ascii="Times" w:hAnsi="Times" w:cs="Times New Roman"/>
          <w:i/>
          <w:sz w:val="23"/>
          <w:szCs w:val="23"/>
        </w:rPr>
        <w:t>Health and Social Care in the Community</w:t>
      </w:r>
      <w:r w:rsidR="00571A4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22</w:t>
      </w:r>
      <w:r w:rsidR="00DF05BD" w:rsidRPr="00F853DD">
        <w:rPr>
          <w:rFonts w:ascii="Times" w:hAnsi="Times" w:cs="Times New Roman"/>
          <w:sz w:val="23"/>
          <w:szCs w:val="23"/>
        </w:rPr>
        <w:t>, 57-66.</w:t>
      </w:r>
    </w:p>
    <w:p w14:paraId="3A52A220" w14:textId="44D6ED2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Jacobsen, V., Fursman, L., Bryant, J., Claridge, M. and Jensen, B.</w:t>
      </w:r>
      <w:r w:rsidR="00465806" w:rsidRPr="00F853DD">
        <w:rPr>
          <w:rFonts w:ascii="Times" w:hAnsi="Times" w:cs="Times New Roman"/>
          <w:sz w:val="23"/>
          <w:szCs w:val="23"/>
        </w:rPr>
        <w:t>,</w:t>
      </w:r>
      <w:r w:rsidRPr="00F853DD">
        <w:rPr>
          <w:rFonts w:ascii="Times" w:hAnsi="Times" w:cs="Times New Roman"/>
          <w:sz w:val="23"/>
          <w:szCs w:val="23"/>
        </w:rPr>
        <w:t xml:space="preserve"> (2004). Theories of the family and policy. In: </w:t>
      </w:r>
      <w:r w:rsidRPr="00F853DD">
        <w:rPr>
          <w:rFonts w:ascii="Times" w:hAnsi="Times" w:cs="Times New Roman"/>
          <w:i/>
          <w:sz w:val="23"/>
          <w:szCs w:val="23"/>
        </w:rPr>
        <w:t>Treasury</w:t>
      </w:r>
      <w:r w:rsidRPr="00F853DD">
        <w:rPr>
          <w:rFonts w:ascii="Times" w:hAnsi="Times" w:cs="Times New Roman"/>
          <w:sz w:val="23"/>
          <w:szCs w:val="23"/>
        </w:rPr>
        <w:t>, N. Z. (ed.). New Zealand: New Zealand Treasury.</w:t>
      </w:r>
    </w:p>
    <w:p w14:paraId="0F227C78" w14:textId="7C11471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Jacobzone, S</w:t>
      </w:r>
      <w:r w:rsidR="00465806" w:rsidRPr="00F853DD">
        <w:rPr>
          <w:rFonts w:ascii="Times" w:hAnsi="Times" w:cs="Times New Roman"/>
          <w:sz w:val="23"/>
          <w:szCs w:val="23"/>
        </w:rPr>
        <w:t>., Cambois, E. and Robine, J.,</w:t>
      </w:r>
      <w:r w:rsidRPr="00F853DD">
        <w:rPr>
          <w:rFonts w:ascii="Times" w:hAnsi="Times" w:cs="Times New Roman"/>
          <w:sz w:val="23"/>
          <w:szCs w:val="23"/>
        </w:rPr>
        <w:t xml:space="preserve"> (2000). Is the health of older persons in OECD countries improving fast enough to compensate for population ageing?</w:t>
      </w:r>
    </w:p>
    <w:p w14:paraId="390DCF13" w14:textId="28A40E9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Jahangir, E., Irazola, V. and Rubinstein, A.</w:t>
      </w:r>
      <w:r w:rsidR="00465806" w:rsidRPr="00F853DD">
        <w:rPr>
          <w:rFonts w:ascii="Times" w:hAnsi="Times" w:cs="Times New Roman"/>
          <w:sz w:val="23"/>
          <w:szCs w:val="23"/>
          <w:lang w:val="de-DE"/>
        </w:rPr>
        <w:t>,</w:t>
      </w:r>
      <w:r w:rsidRPr="00F853DD">
        <w:rPr>
          <w:rFonts w:ascii="Times" w:hAnsi="Times" w:cs="Times New Roman"/>
          <w:sz w:val="23"/>
          <w:szCs w:val="23"/>
          <w:lang w:val="de-DE"/>
        </w:rPr>
        <w:t xml:space="preserve"> (2012). </w:t>
      </w:r>
      <w:r w:rsidRPr="00F853DD">
        <w:rPr>
          <w:rFonts w:ascii="Times" w:hAnsi="Times" w:cs="Times New Roman"/>
          <w:sz w:val="23"/>
          <w:szCs w:val="23"/>
        </w:rPr>
        <w:t xml:space="preserve">Need, enabling, predisposing, and behavioral determinants of access to preventative care in Argentina: analysis of the national survey of risk factors. </w:t>
      </w:r>
      <w:r w:rsidRPr="00F853DD">
        <w:rPr>
          <w:rFonts w:ascii="Times" w:hAnsi="Times" w:cs="Times New Roman"/>
          <w:i/>
          <w:sz w:val="23"/>
          <w:szCs w:val="23"/>
        </w:rPr>
        <w:t>PLUS One</w:t>
      </w:r>
      <w:r w:rsidR="00571A4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Pr="00F853DD">
        <w:rPr>
          <w:rFonts w:ascii="Times" w:hAnsi="Times" w:cs="Times New Roman"/>
          <w:sz w:val="23"/>
          <w:szCs w:val="23"/>
        </w:rPr>
        <w:t>(9), p.e45053.</w:t>
      </w:r>
    </w:p>
    <w:p w14:paraId="61CDF0AE" w14:textId="434C218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Jakway, C.</w:t>
      </w:r>
      <w:r w:rsidR="00465806" w:rsidRPr="00F853DD">
        <w:rPr>
          <w:rFonts w:ascii="Times" w:hAnsi="Times" w:cs="Times New Roman"/>
          <w:sz w:val="23"/>
          <w:szCs w:val="23"/>
        </w:rPr>
        <w:t>,</w:t>
      </w:r>
      <w:r w:rsidRPr="00F853DD">
        <w:rPr>
          <w:rFonts w:ascii="Times" w:hAnsi="Times" w:cs="Times New Roman"/>
          <w:sz w:val="23"/>
          <w:szCs w:val="23"/>
        </w:rPr>
        <w:t xml:space="preserve"> (1998). </w:t>
      </w:r>
      <w:r w:rsidRPr="00F853DD">
        <w:rPr>
          <w:rFonts w:ascii="Times" w:hAnsi="Times" w:cs="Times New Roman"/>
          <w:i/>
          <w:sz w:val="23"/>
          <w:szCs w:val="23"/>
        </w:rPr>
        <w:t>A Keerkegaardian Understanding of self and society</w:t>
      </w:r>
      <w:r w:rsidRPr="00F853DD">
        <w:rPr>
          <w:rFonts w:ascii="Times" w:hAnsi="Times" w:cs="Times New Roman"/>
          <w:sz w:val="23"/>
          <w:szCs w:val="23"/>
        </w:rPr>
        <w:t xml:space="preserve">: </w:t>
      </w:r>
      <w:r w:rsidR="00571A4D" w:rsidRPr="00F853DD">
        <w:rPr>
          <w:rFonts w:ascii="Times" w:hAnsi="Times" w:cs="Times New Roman"/>
          <w:i/>
          <w:sz w:val="23"/>
          <w:szCs w:val="23"/>
        </w:rPr>
        <w:t>a</w:t>
      </w:r>
      <w:r w:rsidRPr="00F853DD">
        <w:rPr>
          <w:rFonts w:ascii="Times" w:hAnsi="Times" w:cs="Times New Roman"/>
          <w:i/>
          <w:sz w:val="23"/>
          <w:szCs w:val="23"/>
        </w:rPr>
        <w:t>n existential sociology</w:t>
      </w:r>
      <w:r w:rsidRPr="00F853DD">
        <w:rPr>
          <w:rFonts w:ascii="Times" w:hAnsi="Times" w:cs="Times New Roman"/>
          <w:sz w:val="23"/>
          <w:szCs w:val="23"/>
        </w:rPr>
        <w:t>. Doctor of Philosophy, Western Michigan University.</w:t>
      </w:r>
    </w:p>
    <w:p w14:paraId="349728D1" w14:textId="3443ADF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James, K., Eldemire-Shearer, D., Gouldboume, J. and Morris, C.</w:t>
      </w:r>
      <w:r w:rsidR="00465806" w:rsidRPr="00F853DD">
        <w:rPr>
          <w:rFonts w:ascii="Times" w:hAnsi="Times" w:cs="Times New Roman"/>
          <w:sz w:val="23"/>
          <w:szCs w:val="23"/>
        </w:rPr>
        <w:t>,</w:t>
      </w:r>
      <w:r w:rsidRPr="00F853DD">
        <w:rPr>
          <w:rFonts w:ascii="Times" w:hAnsi="Times" w:cs="Times New Roman"/>
          <w:sz w:val="23"/>
          <w:szCs w:val="23"/>
        </w:rPr>
        <w:t xml:space="preserve"> (2007). Falls and fa</w:t>
      </w:r>
      <w:r w:rsidR="00465806" w:rsidRPr="00F853DD">
        <w:rPr>
          <w:rFonts w:ascii="Times" w:hAnsi="Times" w:cs="Times New Roman"/>
          <w:sz w:val="23"/>
          <w:szCs w:val="23"/>
        </w:rPr>
        <w:t>ll prevention in the elderly: t</w:t>
      </w:r>
      <w:r w:rsidRPr="00F853DD">
        <w:rPr>
          <w:rFonts w:ascii="Times" w:hAnsi="Times" w:cs="Times New Roman"/>
          <w:sz w:val="23"/>
          <w:szCs w:val="23"/>
        </w:rPr>
        <w:t xml:space="preserve">he Jamaican perspective. </w:t>
      </w:r>
      <w:r w:rsidRPr="00F853DD">
        <w:rPr>
          <w:rFonts w:ascii="Times" w:hAnsi="Times" w:cs="Times New Roman"/>
          <w:i/>
          <w:sz w:val="23"/>
          <w:szCs w:val="23"/>
        </w:rPr>
        <w:t>West Indian Medical Journal</w:t>
      </w:r>
      <w:r w:rsidR="00571A4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w:t>
      </w:r>
      <w:r w:rsidRPr="00F853DD">
        <w:rPr>
          <w:rFonts w:ascii="Times" w:hAnsi="Times" w:cs="Times New Roman"/>
          <w:sz w:val="23"/>
          <w:szCs w:val="23"/>
        </w:rPr>
        <w:t>, 534-539.</w:t>
      </w:r>
    </w:p>
    <w:p w14:paraId="26059918" w14:textId="015DCCC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James, K., Holder-Nevins, D., Morris, C., Eldemire-Shearer, D., Powell, J. and Laws, H.</w:t>
      </w:r>
      <w:r w:rsidR="00465806" w:rsidRPr="00F853DD">
        <w:rPr>
          <w:rFonts w:ascii="Times" w:hAnsi="Times" w:cs="Times New Roman"/>
          <w:sz w:val="23"/>
          <w:szCs w:val="23"/>
        </w:rPr>
        <w:t>, (2012). Ageing in place: i</w:t>
      </w:r>
      <w:r w:rsidRPr="00F853DD">
        <w:rPr>
          <w:rFonts w:ascii="Times" w:hAnsi="Times" w:cs="Times New Roman"/>
          <w:sz w:val="23"/>
          <w:szCs w:val="23"/>
        </w:rPr>
        <w:t xml:space="preserve">mplications of morbidity patterns among older persons - findings from a cross-sectional study in a developing country (Jamaica). </w:t>
      </w:r>
      <w:r w:rsidRPr="00F853DD">
        <w:rPr>
          <w:rFonts w:ascii="Times" w:hAnsi="Times" w:cs="Times New Roman"/>
          <w:i/>
          <w:sz w:val="23"/>
          <w:szCs w:val="23"/>
        </w:rPr>
        <w:t>Australasian Journal on Ageing</w:t>
      </w:r>
      <w:r w:rsidR="00571A4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170-175.</w:t>
      </w:r>
    </w:p>
    <w:p w14:paraId="3FCEE5EA" w14:textId="74816B4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w:t>
      </w:r>
      <w:r w:rsidR="007F70EA" w:rsidRPr="00F853DD">
        <w:rPr>
          <w:rFonts w:ascii="Times" w:hAnsi="Times" w:cs="Times New Roman"/>
          <w:sz w:val="23"/>
          <w:szCs w:val="23"/>
        </w:rPr>
        <w:t>anssen, A. and Macleod, R.,</w:t>
      </w:r>
      <w:r w:rsidRPr="00F853DD">
        <w:rPr>
          <w:rFonts w:ascii="Times" w:hAnsi="Times" w:cs="Times New Roman"/>
          <w:sz w:val="23"/>
          <w:szCs w:val="23"/>
        </w:rPr>
        <w:t xml:space="preserve"> (2010). What does care mean? Perceptions of people approaching the end of life. </w:t>
      </w:r>
      <w:r w:rsidRPr="00F853DD">
        <w:rPr>
          <w:rFonts w:ascii="Times" w:hAnsi="Times" w:cs="Times New Roman"/>
          <w:i/>
          <w:sz w:val="23"/>
          <w:szCs w:val="23"/>
        </w:rPr>
        <w:t>Palliative and Supportive Care</w:t>
      </w:r>
      <w:r w:rsidR="00571A4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8</w:t>
      </w:r>
      <w:r w:rsidRPr="00F853DD">
        <w:rPr>
          <w:rFonts w:ascii="Times" w:hAnsi="Times" w:cs="Times New Roman"/>
          <w:sz w:val="23"/>
          <w:szCs w:val="23"/>
        </w:rPr>
        <w:t>, 433-440.</w:t>
      </w:r>
    </w:p>
    <w:p w14:paraId="7F5724AF" w14:textId="45D102D9" w:rsidR="00DF05BD" w:rsidRPr="00F853DD" w:rsidRDefault="007F70EA"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Janssen, B., Abma, T.</w:t>
      </w:r>
      <w:r w:rsidR="00DF05BD" w:rsidRPr="00F853DD">
        <w:rPr>
          <w:rFonts w:ascii="Times" w:hAnsi="Times" w:cs="Times New Roman"/>
          <w:sz w:val="23"/>
          <w:szCs w:val="23"/>
        </w:rPr>
        <w:t xml:space="preserve"> and Van Regenmortel, T.</w:t>
      </w:r>
      <w:r w:rsidRPr="00F853DD">
        <w:rPr>
          <w:rFonts w:ascii="Times" w:hAnsi="Times" w:cs="Times New Roman"/>
          <w:sz w:val="23"/>
          <w:szCs w:val="23"/>
        </w:rPr>
        <w:t>,</w:t>
      </w:r>
      <w:r w:rsidR="00DF05BD" w:rsidRPr="00F853DD">
        <w:rPr>
          <w:rFonts w:ascii="Times" w:hAnsi="Times" w:cs="Times New Roman"/>
          <w:sz w:val="23"/>
          <w:szCs w:val="23"/>
        </w:rPr>
        <w:t xml:space="preserve"> (2012). Maintaining maste</w:t>
      </w:r>
      <w:r w:rsidRPr="00F853DD">
        <w:rPr>
          <w:rFonts w:ascii="Times" w:hAnsi="Times" w:cs="Times New Roman"/>
          <w:sz w:val="23"/>
          <w:szCs w:val="23"/>
        </w:rPr>
        <w:t>ry despite age related losses: t</w:t>
      </w:r>
      <w:r w:rsidR="00DF05BD" w:rsidRPr="00F853DD">
        <w:rPr>
          <w:rFonts w:ascii="Times" w:hAnsi="Times" w:cs="Times New Roman"/>
          <w:sz w:val="23"/>
          <w:szCs w:val="23"/>
        </w:rPr>
        <w:t xml:space="preserve">he resilience narratives of two older women in need of long-term community care. </w:t>
      </w:r>
      <w:r w:rsidR="00DF05BD" w:rsidRPr="00F853DD">
        <w:rPr>
          <w:rFonts w:ascii="Times" w:hAnsi="Times" w:cs="Times New Roman"/>
          <w:i/>
          <w:sz w:val="23"/>
          <w:szCs w:val="23"/>
          <w:lang w:val="nl-NL"/>
        </w:rPr>
        <w:t>Journal of Aging Studies</w:t>
      </w:r>
      <w:r w:rsidR="00571A4D" w:rsidRPr="00F853DD">
        <w:rPr>
          <w:rFonts w:ascii="Times" w:hAnsi="Times" w:cs="Times New Roman"/>
          <w:sz w:val="23"/>
          <w:szCs w:val="23"/>
          <w:lang w:val="nl-NL"/>
        </w:rPr>
        <w:t>.</w:t>
      </w:r>
      <w:r w:rsidR="00DF05BD" w:rsidRPr="00F853DD">
        <w:rPr>
          <w:rFonts w:ascii="Times" w:hAnsi="Times" w:cs="Times New Roman"/>
          <w:sz w:val="23"/>
          <w:szCs w:val="23"/>
          <w:lang w:val="nl-NL"/>
        </w:rPr>
        <w:t xml:space="preserve"> </w:t>
      </w:r>
      <w:r w:rsidR="00DF05BD" w:rsidRPr="00F853DD">
        <w:rPr>
          <w:rFonts w:ascii="Times" w:hAnsi="Times" w:cs="Times New Roman"/>
          <w:b/>
          <w:sz w:val="23"/>
          <w:szCs w:val="23"/>
          <w:lang w:val="nl-NL"/>
        </w:rPr>
        <w:t>26</w:t>
      </w:r>
      <w:r w:rsidR="00DF05BD" w:rsidRPr="00F853DD">
        <w:rPr>
          <w:rFonts w:ascii="Times" w:hAnsi="Times" w:cs="Times New Roman"/>
          <w:sz w:val="23"/>
          <w:szCs w:val="23"/>
          <w:lang w:val="nl-NL"/>
        </w:rPr>
        <w:t>, 343-354.</w:t>
      </w:r>
    </w:p>
    <w:p w14:paraId="4D27563E" w14:textId="56831520" w:rsidR="00DF05BD" w:rsidRPr="00F853DD" w:rsidRDefault="007F70E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Janssen, B.</w:t>
      </w:r>
      <w:r w:rsidR="00DF05BD" w:rsidRPr="00F853DD">
        <w:rPr>
          <w:rFonts w:ascii="Times" w:hAnsi="Times" w:cs="Times New Roman"/>
          <w:sz w:val="23"/>
          <w:szCs w:val="23"/>
          <w:lang w:val="nl-NL"/>
        </w:rPr>
        <w:t>, Van</w:t>
      </w:r>
      <w:r w:rsidRPr="00F853DD">
        <w:rPr>
          <w:rFonts w:ascii="Times" w:hAnsi="Times" w:cs="Times New Roman"/>
          <w:sz w:val="23"/>
          <w:szCs w:val="23"/>
          <w:lang w:val="nl-NL"/>
        </w:rPr>
        <w:t xml:space="preserve"> Regenmortel, T. and Abma, T.,</w:t>
      </w:r>
      <w:r w:rsidR="00DF05BD" w:rsidRPr="00F853DD">
        <w:rPr>
          <w:rFonts w:ascii="Times" w:hAnsi="Times" w:cs="Times New Roman"/>
          <w:sz w:val="23"/>
          <w:szCs w:val="23"/>
          <w:lang w:val="nl-NL"/>
        </w:rPr>
        <w:t xml:space="preserve"> (2011). </w:t>
      </w:r>
      <w:r w:rsidR="00DF05BD" w:rsidRPr="00F853DD">
        <w:rPr>
          <w:rFonts w:ascii="Times" w:hAnsi="Times" w:cs="Times New Roman"/>
          <w:sz w:val="23"/>
          <w:szCs w:val="23"/>
        </w:rPr>
        <w:t xml:space="preserve">Identifying sources of strength: resilience from the perspective of older people receiving long-term community care. </w:t>
      </w:r>
      <w:r w:rsidR="00DF05BD" w:rsidRPr="00F853DD">
        <w:rPr>
          <w:rFonts w:ascii="Times" w:hAnsi="Times" w:cs="Times New Roman"/>
          <w:i/>
          <w:sz w:val="23"/>
          <w:szCs w:val="23"/>
        </w:rPr>
        <w:t>European Journal of Ageing</w:t>
      </w:r>
      <w:r w:rsidR="00571A4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8</w:t>
      </w:r>
      <w:r w:rsidR="00DF05BD" w:rsidRPr="00F853DD">
        <w:rPr>
          <w:rFonts w:ascii="Times" w:hAnsi="Times" w:cs="Times New Roman"/>
          <w:sz w:val="23"/>
          <w:szCs w:val="23"/>
        </w:rPr>
        <w:t>, 145-156.</w:t>
      </w:r>
    </w:p>
    <w:p w14:paraId="79246E59" w14:textId="708B713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Jayachandran, S.</w:t>
      </w:r>
      <w:r w:rsidR="007F70EA" w:rsidRPr="00F853DD">
        <w:rPr>
          <w:rFonts w:ascii="Times" w:hAnsi="Times" w:cs="Times New Roman"/>
          <w:sz w:val="23"/>
          <w:szCs w:val="23"/>
        </w:rPr>
        <w:t>, (2015). The roots of gender inequality in developing c</w:t>
      </w:r>
      <w:r w:rsidRPr="00F853DD">
        <w:rPr>
          <w:rFonts w:ascii="Times" w:hAnsi="Times" w:cs="Times New Roman"/>
          <w:sz w:val="23"/>
          <w:szCs w:val="23"/>
        </w:rPr>
        <w:t xml:space="preserve">ountries. </w:t>
      </w:r>
      <w:r w:rsidRPr="00F853DD">
        <w:rPr>
          <w:rFonts w:ascii="Times" w:hAnsi="Times" w:cs="Times New Roman"/>
          <w:i/>
          <w:sz w:val="23"/>
          <w:szCs w:val="23"/>
        </w:rPr>
        <w:t>Annual Review of Economics</w:t>
      </w:r>
      <w:r w:rsidR="00571A4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Pr="00F853DD">
        <w:rPr>
          <w:rFonts w:ascii="Times" w:hAnsi="Times" w:cs="Times New Roman"/>
          <w:sz w:val="23"/>
          <w:szCs w:val="23"/>
        </w:rPr>
        <w:t>(1), 63-88.</w:t>
      </w:r>
    </w:p>
    <w:p w14:paraId="05AA46C5" w14:textId="289D0BF7" w:rsidR="00DF05BD" w:rsidRPr="00F853DD" w:rsidRDefault="007F70E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Jecker, N.,</w:t>
      </w:r>
      <w:r w:rsidR="00DF05BD" w:rsidRPr="00F853DD">
        <w:rPr>
          <w:rFonts w:ascii="Times" w:hAnsi="Times" w:cs="Times New Roman"/>
          <w:sz w:val="23"/>
          <w:szCs w:val="23"/>
        </w:rPr>
        <w:t xml:space="preserve"> (20</w:t>
      </w:r>
      <w:r w:rsidRPr="00F853DD">
        <w:rPr>
          <w:rFonts w:ascii="Times" w:hAnsi="Times" w:cs="Times New Roman"/>
          <w:sz w:val="23"/>
          <w:szCs w:val="23"/>
        </w:rPr>
        <w:t>02). Taking care of one's own: j</w:t>
      </w:r>
      <w:r w:rsidR="00DF05BD" w:rsidRPr="00F853DD">
        <w:rPr>
          <w:rFonts w:ascii="Times" w:hAnsi="Times" w:cs="Times New Roman"/>
          <w:sz w:val="23"/>
          <w:szCs w:val="23"/>
        </w:rPr>
        <w:t xml:space="preserve">ustice and family caregiving. </w:t>
      </w:r>
      <w:r w:rsidR="00DF05BD" w:rsidRPr="00F853DD">
        <w:rPr>
          <w:rFonts w:ascii="Times" w:hAnsi="Times" w:cs="Times New Roman"/>
          <w:i/>
          <w:sz w:val="23"/>
          <w:szCs w:val="23"/>
        </w:rPr>
        <w:t>Theoretical Medicine and Bioethics</w:t>
      </w:r>
      <w:r w:rsidR="00571A4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23</w:t>
      </w:r>
      <w:r w:rsidR="00DF05BD" w:rsidRPr="00F853DD">
        <w:rPr>
          <w:rFonts w:ascii="Times" w:hAnsi="Times" w:cs="Times New Roman"/>
          <w:sz w:val="23"/>
          <w:szCs w:val="23"/>
        </w:rPr>
        <w:t>, 117-133.</w:t>
      </w:r>
    </w:p>
    <w:p w14:paraId="70699F66" w14:textId="1D198224" w:rsidR="00DF05BD" w:rsidRPr="00F853DD" w:rsidRDefault="007F70E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Jensen, E.,</w:t>
      </w:r>
      <w:r w:rsidR="00DF05BD" w:rsidRPr="00F853DD">
        <w:rPr>
          <w:rFonts w:ascii="Times" w:hAnsi="Times" w:cs="Times New Roman"/>
          <w:sz w:val="23"/>
          <w:szCs w:val="23"/>
        </w:rPr>
        <w:t xml:space="preserve"> (2016). </w:t>
      </w:r>
      <w:r w:rsidR="00DF05BD" w:rsidRPr="00F853DD">
        <w:rPr>
          <w:rFonts w:ascii="Times" w:hAnsi="Times" w:cs="Times New Roman"/>
          <w:i/>
          <w:sz w:val="23"/>
          <w:szCs w:val="23"/>
        </w:rPr>
        <w:t>Doing real research: a practical guide to social research</w:t>
      </w:r>
      <w:r w:rsidR="00DF05BD" w:rsidRPr="00F853DD">
        <w:rPr>
          <w:rFonts w:ascii="Times" w:hAnsi="Times" w:cs="Times New Roman"/>
          <w:sz w:val="23"/>
          <w:szCs w:val="23"/>
        </w:rPr>
        <w:t>. London: SAGE.</w:t>
      </w:r>
    </w:p>
    <w:p w14:paraId="1F14EFDD" w14:textId="697B213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Jerneck, A. and Olsson, L.</w:t>
      </w:r>
      <w:r w:rsidR="007F70EA" w:rsidRPr="00F853DD">
        <w:rPr>
          <w:rFonts w:ascii="Times" w:hAnsi="Times" w:cs="Times New Roman"/>
          <w:sz w:val="23"/>
          <w:szCs w:val="23"/>
        </w:rPr>
        <w:t>,</w:t>
      </w:r>
      <w:r w:rsidRPr="00F853DD">
        <w:rPr>
          <w:rFonts w:ascii="Times" w:hAnsi="Times" w:cs="Times New Roman"/>
          <w:sz w:val="23"/>
          <w:szCs w:val="23"/>
        </w:rPr>
        <w:t xml:space="preserve"> (2008). Adaptation and the poor: development, resilience and transition. </w:t>
      </w:r>
      <w:r w:rsidRPr="00F853DD">
        <w:rPr>
          <w:rFonts w:ascii="Times" w:hAnsi="Times" w:cs="Times New Roman"/>
          <w:i/>
          <w:sz w:val="23"/>
          <w:szCs w:val="23"/>
        </w:rPr>
        <w:t>Climate Policy</w:t>
      </w:r>
      <w:r w:rsidR="00571A4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8</w:t>
      </w:r>
      <w:r w:rsidRPr="00F853DD">
        <w:rPr>
          <w:rFonts w:ascii="Times" w:hAnsi="Times" w:cs="Times New Roman"/>
          <w:sz w:val="23"/>
          <w:szCs w:val="23"/>
        </w:rPr>
        <w:t>, 170-182.</w:t>
      </w:r>
    </w:p>
    <w:p w14:paraId="0142A2AB" w14:textId="11A1F451" w:rsidR="00DF05BD" w:rsidRPr="00F853DD" w:rsidRDefault="007F70E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Jervis, L., Boland, M.</w:t>
      </w:r>
      <w:r w:rsidR="00DF05BD" w:rsidRPr="00F853DD">
        <w:rPr>
          <w:rFonts w:ascii="Times" w:hAnsi="Times" w:cs="Times New Roman"/>
          <w:sz w:val="23"/>
          <w:szCs w:val="23"/>
        </w:rPr>
        <w:t xml:space="preserve"> and Fickenscher, A., 2010. American Indian family caregivers’ experiences with helping elders. </w:t>
      </w:r>
      <w:r w:rsidR="00DF05BD" w:rsidRPr="00F853DD">
        <w:rPr>
          <w:rFonts w:ascii="Times" w:hAnsi="Times" w:cs="Times New Roman"/>
          <w:i/>
          <w:sz w:val="23"/>
          <w:szCs w:val="23"/>
        </w:rPr>
        <w:t>Journal of cross-cultural gerontology</w:t>
      </w:r>
      <w:r w:rsidR="00571A4D"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(4), 355-369.</w:t>
      </w:r>
    </w:p>
    <w:p w14:paraId="74672221" w14:textId="2711F87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Jesson, J. and Lacey, F.</w:t>
      </w:r>
      <w:r w:rsidR="007F70EA" w:rsidRPr="00F853DD">
        <w:rPr>
          <w:rFonts w:ascii="Times" w:hAnsi="Times" w:cs="Times New Roman"/>
          <w:sz w:val="23"/>
          <w:szCs w:val="23"/>
        </w:rPr>
        <w:t>,</w:t>
      </w:r>
      <w:r w:rsidRPr="00F853DD">
        <w:rPr>
          <w:rFonts w:ascii="Times" w:hAnsi="Times" w:cs="Times New Roman"/>
          <w:sz w:val="23"/>
          <w:szCs w:val="23"/>
        </w:rPr>
        <w:t xml:space="preserve"> (200</w:t>
      </w:r>
      <w:r w:rsidR="007F70EA" w:rsidRPr="00F853DD">
        <w:rPr>
          <w:rFonts w:ascii="Times" w:hAnsi="Times" w:cs="Times New Roman"/>
          <w:sz w:val="23"/>
          <w:szCs w:val="23"/>
        </w:rPr>
        <w:t>6). How to do (or not to do) a critical l</w:t>
      </w:r>
      <w:r w:rsidRPr="00F853DD">
        <w:rPr>
          <w:rFonts w:ascii="Times" w:hAnsi="Times" w:cs="Times New Roman"/>
          <w:sz w:val="23"/>
          <w:szCs w:val="23"/>
        </w:rPr>
        <w:t xml:space="preserve">iterature </w:t>
      </w:r>
      <w:r w:rsidR="007F70EA" w:rsidRPr="00F853DD">
        <w:rPr>
          <w:rFonts w:ascii="Times" w:hAnsi="Times" w:cs="Times New Roman"/>
          <w:sz w:val="23"/>
          <w:szCs w:val="23"/>
        </w:rPr>
        <w:t>r</w:t>
      </w:r>
      <w:r w:rsidRPr="00F853DD">
        <w:rPr>
          <w:rFonts w:ascii="Times" w:hAnsi="Times" w:cs="Times New Roman"/>
          <w:sz w:val="23"/>
          <w:szCs w:val="23"/>
        </w:rPr>
        <w:t xml:space="preserve">eview [online]. </w:t>
      </w:r>
      <w:r w:rsidRPr="00F853DD">
        <w:rPr>
          <w:rFonts w:ascii="Times" w:hAnsi="Times" w:cs="Times New Roman"/>
          <w:i/>
          <w:sz w:val="23"/>
          <w:szCs w:val="23"/>
        </w:rPr>
        <w:t>Pharmacy Education</w:t>
      </w:r>
      <w:r w:rsidRPr="00F853DD">
        <w:rPr>
          <w:rFonts w:ascii="Times" w:hAnsi="Times" w:cs="Times New Roman"/>
          <w:sz w:val="23"/>
          <w:szCs w:val="23"/>
        </w:rPr>
        <w:t xml:space="preserve">, 6. Available from: http://publications.aston.ac.uk/3431/1/Jesson_and_lacey2006.pdf. </w:t>
      </w:r>
    </w:p>
    <w:p w14:paraId="33954C0B" w14:textId="3CFE47DE" w:rsidR="00DF05BD" w:rsidRPr="00F853DD" w:rsidRDefault="007F70E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Jeste, D.</w:t>
      </w:r>
      <w:r w:rsidR="00DF05BD" w:rsidRPr="00F853DD">
        <w:rPr>
          <w:rFonts w:ascii="Times" w:hAnsi="Times" w:cs="Times New Roman"/>
          <w:sz w:val="23"/>
          <w:szCs w:val="23"/>
        </w:rPr>
        <w:t>, Savla, G</w:t>
      </w:r>
      <w:r w:rsidRPr="00F853DD">
        <w:rPr>
          <w:rFonts w:ascii="Times" w:hAnsi="Times" w:cs="Times New Roman"/>
          <w:sz w:val="23"/>
          <w:szCs w:val="23"/>
        </w:rPr>
        <w:t>., Thompson, W., Vahia, I., Glorioso, D., Martin, A.</w:t>
      </w:r>
      <w:r w:rsidR="00DF05BD" w:rsidRPr="00F853DD">
        <w:rPr>
          <w:rFonts w:ascii="Times" w:hAnsi="Times" w:cs="Times New Roman"/>
          <w:sz w:val="23"/>
          <w:szCs w:val="23"/>
        </w:rPr>
        <w:t>, Depp, C</w:t>
      </w:r>
      <w:r w:rsidRPr="00F853DD">
        <w:rPr>
          <w:rFonts w:ascii="Times" w:hAnsi="Times" w:cs="Times New Roman"/>
          <w:caps/>
          <w:sz w:val="23"/>
          <w:szCs w:val="23"/>
        </w:rPr>
        <w:t>.,</w:t>
      </w:r>
      <w:r w:rsidR="00DF05BD" w:rsidRPr="00F853DD">
        <w:rPr>
          <w:rFonts w:ascii="Times" w:hAnsi="Times" w:cs="Times New Roman"/>
          <w:sz w:val="23"/>
          <w:szCs w:val="23"/>
        </w:rPr>
        <w:t xml:space="preserve"> (2013). Older age is associat</w:t>
      </w:r>
      <w:r w:rsidRPr="00F853DD">
        <w:rPr>
          <w:rFonts w:ascii="Times" w:hAnsi="Times" w:cs="Times New Roman"/>
          <w:sz w:val="23"/>
          <w:szCs w:val="23"/>
        </w:rPr>
        <w:t>ed with more successful aging: r</w:t>
      </w:r>
      <w:r w:rsidR="00DF05BD" w:rsidRPr="00F853DD">
        <w:rPr>
          <w:rFonts w:ascii="Times" w:hAnsi="Times" w:cs="Times New Roman"/>
          <w:sz w:val="23"/>
          <w:szCs w:val="23"/>
        </w:rPr>
        <w:t xml:space="preserve">ole of resilience and depression [online]. </w:t>
      </w:r>
      <w:r w:rsidR="00DF05BD" w:rsidRPr="00F853DD">
        <w:rPr>
          <w:rFonts w:ascii="Times" w:hAnsi="Times" w:cs="Times New Roman"/>
          <w:i/>
          <w:sz w:val="23"/>
          <w:szCs w:val="23"/>
        </w:rPr>
        <w:t>Am</w:t>
      </w:r>
      <w:r w:rsidR="008F7C81" w:rsidRPr="00F853DD">
        <w:rPr>
          <w:rFonts w:ascii="Times" w:hAnsi="Times" w:cs="Times New Roman"/>
          <w:i/>
          <w:sz w:val="23"/>
          <w:szCs w:val="23"/>
        </w:rPr>
        <w:t>erican</w:t>
      </w:r>
      <w:r w:rsidR="00DF05BD" w:rsidRPr="00F853DD">
        <w:rPr>
          <w:rFonts w:ascii="Times" w:hAnsi="Times" w:cs="Times New Roman"/>
          <w:i/>
          <w:sz w:val="23"/>
          <w:szCs w:val="23"/>
        </w:rPr>
        <w:t xml:space="preserve"> J</w:t>
      </w:r>
      <w:r w:rsidR="008F7C81" w:rsidRPr="00F853DD">
        <w:rPr>
          <w:rFonts w:ascii="Times" w:hAnsi="Times" w:cs="Times New Roman"/>
          <w:i/>
          <w:sz w:val="23"/>
          <w:szCs w:val="23"/>
        </w:rPr>
        <w:t>ournal of</w:t>
      </w:r>
      <w:r w:rsidR="00DF05BD" w:rsidRPr="00F853DD">
        <w:rPr>
          <w:rFonts w:ascii="Times" w:hAnsi="Times" w:cs="Times New Roman"/>
          <w:i/>
          <w:sz w:val="23"/>
          <w:szCs w:val="23"/>
        </w:rPr>
        <w:t xml:space="preserve"> Psychiatry</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170</w:t>
      </w:r>
      <w:r w:rsidR="00DF05BD" w:rsidRPr="00F853DD">
        <w:rPr>
          <w:rFonts w:ascii="Times" w:hAnsi="Times" w:cs="Times New Roman"/>
          <w:sz w:val="23"/>
          <w:szCs w:val="23"/>
        </w:rPr>
        <w:t xml:space="preserve">. Available from: https://www.ncbi.nlm.nih.gov/pmc/articles/PMC3593664/pdf/nihms445208.pdf. </w:t>
      </w:r>
    </w:p>
    <w:p w14:paraId="01931133" w14:textId="672F1711" w:rsidR="00DF05BD" w:rsidRPr="00F853DD" w:rsidRDefault="007F70E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Jette, A.</w:t>
      </w:r>
      <w:r w:rsidR="00DF05BD" w:rsidRPr="00F853DD">
        <w:rPr>
          <w:rFonts w:ascii="Times" w:hAnsi="Times" w:cs="Times New Roman"/>
          <w:sz w:val="23"/>
          <w:szCs w:val="23"/>
        </w:rPr>
        <w:t>, Tennstedt, S. and Crawford, S.</w:t>
      </w:r>
      <w:r w:rsidRPr="00F853DD">
        <w:rPr>
          <w:rFonts w:ascii="Times" w:hAnsi="Times" w:cs="Times New Roman"/>
          <w:sz w:val="23"/>
          <w:szCs w:val="23"/>
        </w:rPr>
        <w:t>,</w:t>
      </w:r>
      <w:r w:rsidR="00DF05BD" w:rsidRPr="00F853DD">
        <w:rPr>
          <w:rFonts w:ascii="Times" w:hAnsi="Times" w:cs="Times New Roman"/>
          <w:sz w:val="23"/>
          <w:szCs w:val="23"/>
        </w:rPr>
        <w:t xml:space="preserve"> (1995). How does formal and informal community care affect nursing-home use. </w:t>
      </w:r>
      <w:r w:rsidR="00DF05BD" w:rsidRPr="00F853DD">
        <w:rPr>
          <w:rFonts w:ascii="Times" w:hAnsi="Times" w:cs="Times New Roman"/>
          <w:i/>
          <w:sz w:val="23"/>
          <w:szCs w:val="23"/>
        </w:rPr>
        <w:t>Journals of Gerontology Series B-Psychological Sciences and Social Sciences</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50</w:t>
      </w:r>
      <w:r w:rsidR="00DF05BD" w:rsidRPr="00F853DD">
        <w:rPr>
          <w:rFonts w:ascii="Times" w:hAnsi="Times" w:cs="Times New Roman"/>
          <w:sz w:val="23"/>
          <w:szCs w:val="23"/>
        </w:rPr>
        <w:t>, S4-S12.</w:t>
      </w:r>
    </w:p>
    <w:p w14:paraId="020784C8" w14:textId="2DD3F00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Johannessen, A., Engedal, K. and Thorsen, K.</w:t>
      </w:r>
      <w:r w:rsidR="007F70EA" w:rsidRPr="00F853DD">
        <w:rPr>
          <w:rFonts w:ascii="Times" w:hAnsi="Times" w:cs="Times New Roman"/>
          <w:sz w:val="23"/>
          <w:szCs w:val="23"/>
        </w:rPr>
        <w:t>,</w:t>
      </w:r>
      <w:r w:rsidRPr="00F853DD">
        <w:rPr>
          <w:rFonts w:ascii="Times" w:hAnsi="Times" w:cs="Times New Roman"/>
          <w:sz w:val="23"/>
          <w:szCs w:val="23"/>
        </w:rPr>
        <w:t xml:space="preserve"> (2016). Coping efforts and resilience among adult children who grew up with a parent with young-onset dementia: a qualitative follow-up study. </w:t>
      </w:r>
      <w:r w:rsidRPr="00F853DD">
        <w:rPr>
          <w:rFonts w:ascii="Times" w:hAnsi="Times" w:cs="Times New Roman"/>
          <w:i/>
          <w:sz w:val="23"/>
          <w:szCs w:val="23"/>
        </w:rPr>
        <w:t>International Journal of Qualitative Studies on Health and Well-Being</w:t>
      </w:r>
      <w:r w:rsidR="008F7C8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12.</w:t>
      </w:r>
    </w:p>
    <w:p w14:paraId="757DA96C" w14:textId="291F26E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Johansson, L., Long, H. and Parker, M.</w:t>
      </w:r>
      <w:r w:rsidR="007F70EA" w:rsidRPr="00F853DD">
        <w:rPr>
          <w:rFonts w:ascii="Times" w:hAnsi="Times" w:cs="Times New Roman"/>
          <w:sz w:val="23"/>
          <w:szCs w:val="23"/>
        </w:rPr>
        <w:t>,</w:t>
      </w:r>
      <w:r w:rsidRPr="00F853DD">
        <w:rPr>
          <w:rFonts w:ascii="Times" w:hAnsi="Times" w:cs="Times New Roman"/>
          <w:sz w:val="23"/>
          <w:szCs w:val="23"/>
        </w:rPr>
        <w:t xml:space="preserve"> (2011). Informal ca</w:t>
      </w:r>
      <w:r w:rsidR="007F70EA" w:rsidRPr="00F853DD">
        <w:rPr>
          <w:rFonts w:ascii="Times" w:hAnsi="Times" w:cs="Times New Roman"/>
          <w:sz w:val="23"/>
          <w:szCs w:val="23"/>
        </w:rPr>
        <w:t>regiving for elders in Sweden: a</w:t>
      </w:r>
      <w:r w:rsidRPr="00F853DD">
        <w:rPr>
          <w:rFonts w:ascii="Times" w:hAnsi="Times" w:cs="Times New Roman"/>
          <w:sz w:val="23"/>
          <w:szCs w:val="23"/>
        </w:rPr>
        <w:t xml:space="preserve">n analysis of current policy developments. </w:t>
      </w:r>
      <w:r w:rsidRPr="00F853DD">
        <w:rPr>
          <w:rFonts w:ascii="Times" w:hAnsi="Times" w:cs="Times New Roman"/>
          <w:i/>
          <w:sz w:val="23"/>
          <w:szCs w:val="23"/>
        </w:rPr>
        <w:t>Journal of aging &amp; social policy</w:t>
      </w:r>
      <w:r w:rsidR="008F7C8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(4), 335-353.</w:t>
      </w:r>
    </w:p>
    <w:p w14:paraId="70D9857C" w14:textId="41D2FDE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Johnsen, S. and Fitzpatrick, S.</w:t>
      </w:r>
      <w:r w:rsidR="007F70EA" w:rsidRPr="00F853DD">
        <w:rPr>
          <w:rFonts w:ascii="Times" w:hAnsi="Times" w:cs="Times New Roman"/>
          <w:sz w:val="23"/>
          <w:szCs w:val="23"/>
        </w:rPr>
        <w:t>,</w:t>
      </w:r>
      <w:r w:rsidRPr="00F853DD">
        <w:rPr>
          <w:rFonts w:ascii="Times" w:hAnsi="Times" w:cs="Times New Roman"/>
          <w:sz w:val="23"/>
          <w:szCs w:val="23"/>
        </w:rPr>
        <w:t xml:space="preserve"> (2007). </w:t>
      </w:r>
      <w:r w:rsidRPr="00F853DD">
        <w:rPr>
          <w:rFonts w:ascii="Times" w:hAnsi="Times" w:cs="Times New Roman"/>
          <w:i/>
          <w:sz w:val="23"/>
          <w:szCs w:val="23"/>
        </w:rPr>
        <w:t>The impact of enforcement on street users in England</w:t>
      </w:r>
      <w:r w:rsidR="008F7C8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 York: Joseph Rowntree Foundation.</w:t>
      </w:r>
    </w:p>
    <w:p w14:paraId="63E2D11E" w14:textId="1A9F3DE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Johnson, J. and Melnikov, A.</w:t>
      </w:r>
      <w:r w:rsidR="007F70EA" w:rsidRPr="00F853DD">
        <w:rPr>
          <w:rFonts w:ascii="Times" w:hAnsi="Times" w:cs="Times New Roman"/>
          <w:sz w:val="23"/>
          <w:szCs w:val="23"/>
        </w:rPr>
        <w:t>,</w:t>
      </w:r>
      <w:r w:rsidRPr="00F853DD">
        <w:rPr>
          <w:rFonts w:ascii="Times" w:hAnsi="Times" w:cs="Times New Roman"/>
          <w:sz w:val="23"/>
          <w:szCs w:val="23"/>
        </w:rPr>
        <w:t xml:space="preserve"> (2008). </w:t>
      </w:r>
      <w:r w:rsidRPr="00F853DD">
        <w:rPr>
          <w:rFonts w:ascii="Times" w:hAnsi="Times" w:cs="Times New Roman"/>
          <w:i/>
          <w:sz w:val="23"/>
          <w:szCs w:val="23"/>
        </w:rPr>
        <w:t>Existentialism and the emergence, growth, and development of existential sociology methodology, theory, and practice of the sociological analysis of a modern society: collection of scientific papers</w:t>
      </w:r>
      <w:r w:rsidRPr="00F853DD">
        <w:rPr>
          <w:rFonts w:ascii="Times" w:hAnsi="Times" w:cs="Times New Roman"/>
          <w:sz w:val="23"/>
          <w:szCs w:val="23"/>
        </w:rPr>
        <w:t xml:space="preserve"> [online]. University Press. Available from: http://hpsy.ru/public/x3693.htm. </w:t>
      </w:r>
    </w:p>
    <w:p w14:paraId="0F7D5B78" w14:textId="013635F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Johnson, M., Bengtson, V., Coleman, P. and Kirkwood, T.</w:t>
      </w:r>
      <w:r w:rsidR="007F70EA" w:rsidRPr="00F853DD">
        <w:rPr>
          <w:rFonts w:ascii="Times" w:hAnsi="Times" w:cs="Times New Roman"/>
          <w:sz w:val="23"/>
          <w:szCs w:val="23"/>
        </w:rPr>
        <w:t>,</w:t>
      </w:r>
      <w:r w:rsidRPr="00F853DD">
        <w:rPr>
          <w:rFonts w:ascii="Times" w:hAnsi="Times" w:cs="Times New Roman"/>
          <w:sz w:val="23"/>
          <w:szCs w:val="23"/>
        </w:rPr>
        <w:t xml:space="preserve"> (2005). </w:t>
      </w:r>
      <w:r w:rsidR="007F70EA" w:rsidRPr="00F853DD">
        <w:rPr>
          <w:rFonts w:ascii="Times" w:hAnsi="Times" w:cs="Times New Roman"/>
          <w:i/>
          <w:sz w:val="23"/>
          <w:szCs w:val="23"/>
        </w:rPr>
        <w:t>The Cambridge handbook of a</w:t>
      </w:r>
      <w:r w:rsidRPr="00F853DD">
        <w:rPr>
          <w:rFonts w:ascii="Times" w:hAnsi="Times" w:cs="Times New Roman"/>
          <w:i/>
          <w:sz w:val="23"/>
          <w:szCs w:val="23"/>
        </w:rPr>
        <w:t xml:space="preserve">ge and </w:t>
      </w:r>
      <w:r w:rsidR="007F70EA" w:rsidRPr="00F853DD">
        <w:rPr>
          <w:rFonts w:ascii="Times" w:hAnsi="Times" w:cs="Times New Roman"/>
          <w:i/>
          <w:sz w:val="23"/>
          <w:szCs w:val="23"/>
        </w:rPr>
        <w:t>a</w:t>
      </w:r>
      <w:r w:rsidRPr="00F853DD">
        <w:rPr>
          <w:rFonts w:ascii="Times" w:hAnsi="Times" w:cs="Times New Roman"/>
          <w:i/>
          <w:sz w:val="23"/>
          <w:szCs w:val="23"/>
        </w:rPr>
        <w:t>geing</w:t>
      </w:r>
      <w:r w:rsidRPr="00F853DD">
        <w:rPr>
          <w:rFonts w:ascii="Times" w:hAnsi="Times" w:cs="Times New Roman"/>
          <w:sz w:val="23"/>
          <w:szCs w:val="23"/>
        </w:rPr>
        <w:t>.</w:t>
      </w:r>
    </w:p>
    <w:p w14:paraId="572ACFD4" w14:textId="6BE08E29" w:rsidR="00DF05BD" w:rsidRPr="00F853DD" w:rsidRDefault="007F70E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Johnson, R.</w:t>
      </w:r>
      <w:r w:rsidR="00DF05BD" w:rsidRPr="00F853DD">
        <w:rPr>
          <w:rFonts w:ascii="Times" w:hAnsi="Times" w:cs="Times New Roman"/>
          <w:sz w:val="23"/>
          <w:szCs w:val="23"/>
        </w:rPr>
        <w:t>, Onwuegbuz</w:t>
      </w:r>
      <w:r w:rsidRPr="00F853DD">
        <w:rPr>
          <w:rFonts w:ascii="Times" w:hAnsi="Times" w:cs="Times New Roman"/>
          <w:sz w:val="23"/>
          <w:szCs w:val="23"/>
        </w:rPr>
        <w:t>ie, A. and Turner, L., (2007). Toward a d</w:t>
      </w:r>
      <w:r w:rsidR="00DF05BD" w:rsidRPr="00F853DD">
        <w:rPr>
          <w:rFonts w:ascii="Times" w:hAnsi="Times" w:cs="Times New Roman"/>
          <w:sz w:val="23"/>
          <w:szCs w:val="23"/>
        </w:rPr>
        <w:t xml:space="preserve">efinition of </w:t>
      </w:r>
      <w:r w:rsidRPr="00F853DD">
        <w:rPr>
          <w:rFonts w:ascii="Times" w:hAnsi="Times" w:cs="Times New Roman"/>
          <w:sz w:val="23"/>
          <w:szCs w:val="23"/>
        </w:rPr>
        <w:t>mixed methods r</w:t>
      </w:r>
      <w:r w:rsidR="00DF05BD" w:rsidRPr="00F853DD">
        <w:rPr>
          <w:rFonts w:ascii="Times" w:hAnsi="Times" w:cs="Times New Roman"/>
          <w:sz w:val="23"/>
          <w:szCs w:val="23"/>
        </w:rPr>
        <w:t xml:space="preserve">esearch. </w:t>
      </w:r>
      <w:r w:rsidR="00DF05BD" w:rsidRPr="00F853DD">
        <w:rPr>
          <w:rFonts w:ascii="Times" w:hAnsi="Times" w:cs="Times New Roman"/>
          <w:i/>
          <w:sz w:val="23"/>
          <w:szCs w:val="23"/>
        </w:rPr>
        <w:t>Journal of Mixed Methods Research</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w:t>
      </w:r>
      <w:r w:rsidR="00DF05BD" w:rsidRPr="00F853DD">
        <w:rPr>
          <w:rFonts w:ascii="Times" w:hAnsi="Times" w:cs="Times New Roman"/>
          <w:sz w:val="23"/>
          <w:szCs w:val="23"/>
        </w:rPr>
        <w:t>, 112-133.</w:t>
      </w:r>
    </w:p>
    <w:p w14:paraId="2073CB90" w14:textId="3375449D" w:rsidR="00DF05BD" w:rsidRPr="00F853DD" w:rsidRDefault="007F70E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Joling, K., Windle, G., Droes, R.</w:t>
      </w:r>
      <w:r w:rsidR="00DF05BD" w:rsidRPr="00F853DD">
        <w:rPr>
          <w:rFonts w:ascii="Times" w:hAnsi="Times" w:cs="Times New Roman"/>
          <w:sz w:val="23"/>
          <w:szCs w:val="23"/>
        </w:rPr>
        <w:t>,</w:t>
      </w:r>
      <w:r w:rsidR="00D16A79" w:rsidRPr="00F853DD">
        <w:rPr>
          <w:rFonts w:ascii="Times" w:hAnsi="Times" w:cs="Times New Roman"/>
          <w:sz w:val="23"/>
          <w:szCs w:val="23"/>
        </w:rPr>
        <w:t xml:space="preserve"> Meiland, F., Van Hout, H., Vroomen, J., Van De Ven, P</w:t>
      </w:r>
      <w:r w:rsidR="00DF05BD" w:rsidRPr="00F853DD">
        <w:rPr>
          <w:rFonts w:ascii="Times" w:hAnsi="Times" w:cs="Times New Roman"/>
          <w:sz w:val="23"/>
          <w:szCs w:val="23"/>
        </w:rPr>
        <w:t>., Moniz-Cook, E. and Woods, B.</w:t>
      </w:r>
      <w:r w:rsidR="00D16A79" w:rsidRPr="00F853DD">
        <w:rPr>
          <w:rFonts w:ascii="Times" w:hAnsi="Times" w:cs="Times New Roman"/>
          <w:sz w:val="23"/>
          <w:szCs w:val="23"/>
        </w:rPr>
        <w:t xml:space="preserve">, </w:t>
      </w:r>
      <w:r w:rsidR="00DF05BD" w:rsidRPr="00F853DD">
        <w:rPr>
          <w:rFonts w:ascii="Times" w:hAnsi="Times" w:cs="Times New Roman"/>
          <w:sz w:val="23"/>
          <w:szCs w:val="23"/>
        </w:rPr>
        <w:t xml:space="preserve">(2016). Factors of </w:t>
      </w:r>
      <w:r w:rsidR="00D16A79" w:rsidRPr="00F853DD">
        <w:rPr>
          <w:rFonts w:ascii="Times" w:hAnsi="Times" w:cs="Times New Roman"/>
          <w:sz w:val="23"/>
          <w:szCs w:val="23"/>
        </w:rPr>
        <w:t>r</w:t>
      </w:r>
      <w:r w:rsidR="00DF05BD" w:rsidRPr="00F853DD">
        <w:rPr>
          <w:rFonts w:ascii="Times" w:hAnsi="Times" w:cs="Times New Roman"/>
          <w:sz w:val="23"/>
          <w:szCs w:val="23"/>
        </w:rPr>
        <w:t xml:space="preserve">esilience in </w:t>
      </w:r>
      <w:r w:rsidR="00D16A79" w:rsidRPr="00F853DD">
        <w:rPr>
          <w:rFonts w:ascii="Times" w:hAnsi="Times" w:cs="Times New Roman"/>
          <w:sz w:val="23"/>
          <w:szCs w:val="23"/>
        </w:rPr>
        <w:t>informal caregivers of people with dementia from integrative international d</w:t>
      </w:r>
      <w:r w:rsidR="00DF05BD" w:rsidRPr="00F853DD">
        <w:rPr>
          <w:rFonts w:ascii="Times" w:hAnsi="Times" w:cs="Times New Roman"/>
          <w:sz w:val="23"/>
          <w:szCs w:val="23"/>
        </w:rPr>
        <w:t xml:space="preserve">ata </w:t>
      </w:r>
      <w:r w:rsidR="00D16A79" w:rsidRPr="00F853DD">
        <w:rPr>
          <w:rFonts w:ascii="Times" w:hAnsi="Times" w:cs="Times New Roman"/>
          <w:sz w:val="23"/>
          <w:szCs w:val="23"/>
        </w:rPr>
        <w:t>a</w:t>
      </w:r>
      <w:r w:rsidR="00DF05BD" w:rsidRPr="00F853DD">
        <w:rPr>
          <w:rFonts w:ascii="Times" w:hAnsi="Times" w:cs="Times New Roman"/>
          <w:sz w:val="23"/>
          <w:szCs w:val="23"/>
        </w:rPr>
        <w:t xml:space="preserve">nalysis. </w:t>
      </w:r>
      <w:r w:rsidR="00DF05BD" w:rsidRPr="00F853DD">
        <w:rPr>
          <w:rFonts w:ascii="Times" w:hAnsi="Times" w:cs="Times New Roman"/>
          <w:i/>
          <w:sz w:val="23"/>
          <w:szCs w:val="23"/>
        </w:rPr>
        <w:t>Dementia and Geriatric Cognitive Disorders</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42</w:t>
      </w:r>
      <w:r w:rsidR="00DF05BD" w:rsidRPr="00F853DD">
        <w:rPr>
          <w:rFonts w:ascii="Times" w:hAnsi="Times" w:cs="Times New Roman"/>
          <w:sz w:val="23"/>
          <w:szCs w:val="23"/>
        </w:rPr>
        <w:t>, 198-214.</w:t>
      </w:r>
    </w:p>
    <w:p w14:paraId="15551B19" w14:textId="2297E3F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Jones, F.</w:t>
      </w:r>
      <w:r w:rsidR="00D16A79" w:rsidRPr="00F853DD">
        <w:rPr>
          <w:rFonts w:ascii="Times" w:hAnsi="Times" w:cs="Times New Roman"/>
          <w:sz w:val="23"/>
          <w:szCs w:val="23"/>
        </w:rPr>
        <w:t>,</w:t>
      </w:r>
      <w:r w:rsidRPr="00F853DD">
        <w:rPr>
          <w:rFonts w:ascii="Times" w:hAnsi="Times" w:cs="Times New Roman"/>
          <w:sz w:val="23"/>
          <w:szCs w:val="23"/>
        </w:rPr>
        <w:t xml:space="preserve"> (2015). A</w:t>
      </w:r>
      <w:r w:rsidR="00D16A79" w:rsidRPr="00F853DD">
        <w:rPr>
          <w:rFonts w:ascii="Times" w:hAnsi="Times" w:cs="Times New Roman"/>
          <w:sz w:val="23"/>
          <w:szCs w:val="23"/>
        </w:rPr>
        <w:t>geing in the Caribbean and the human r</w:t>
      </w:r>
      <w:r w:rsidRPr="00F853DD">
        <w:rPr>
          <w:rFonts w:ascii="Times" w:hAnsi="Times" w:cs="Times New Roman"/>
          <w:sz w:val="23"/>
          <w:szCs w:val="23"/>
        </w:rPr>
        <w:t>ights o</w:t>
      </w:r>
      <w:r w:rsidR="00D16A79" w:rsidRPr="00F853DD">
        <w:rPr>
          <w:rFonts w:ascii="Times" w:hAnsi="Times" w:cs="Times New Roman"/>
          <w:sz w:val="23"/>
          <w:szCs w:val="23"/>
        </w:rPr>
        <w:t>f older persons: twin imperatives for a</w:t>
      </w:r>
      <w:r w:rsidRPr="00F853DD">
        <w:rPr>
          <w:rFonts w:ascii="Times" w:hAnsi="Times" w:cs="Times New Roman"/>
          <w:sz w:val="23"/>
          <w:szCs w:val="23"/>
        </w:rPr>
        <w:t>ction. In: ECLAC (ed.). United Nations.</w:t>
      </w:r>
    </w:p>
    <w:p w14:paraId="7CFD4201" w14:textId="11A4214E" w:rsidR="00DF05BD" w:rsidRPr="00F853DD" w:rsidRDefault="00D16A7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Jones, P.</w:t>
      </w:r>
      <w:r w:rsidR="00DF05BD" w:rsidRPr="00F853DD">
        <w:rPr>
          <w:rFonts w:ascii="Times" w:hAnsi="Times" w:cs="Times New Roman"/>
          <w:sz w:val="23"/>
          <w:szCs w:val="23"/>
        </w:rPr>
        <w:t>., Pothier, P. and Pan, Y.</w:t>
      </w:r>
      <w:r w:rsidRPr="00F853DD">
        <w:rPr>
          <w:rFonts w:ascii="Times" w:hAnsi="Times" w:cs="Times New Roman"/>
          <w:sz w:val="23"/>
          <w:szCs w:val="23"/>
        </w:rPr>
        <w:t>,</w:t>
      </w:r>
      <w:r w:rsidR="00DF05BD" w:rsidRPr="00F853DD">
        <w:rPr>
          <w:rFonts w:ascii="Times" w:hAnsi="Times" w:cs="Times New Roman"/>
          <w:sz w:val="23"/>
          <w:szCs w:val="23"/>
        </w:rPr>
        <w:t xml:space="preserve"> (2017). The relationship between mutuality and health-related quality of life in adult child caregivers in china. </w:t>
      </w:r>
      <w:r w:rsidR="00DF05BD" w:rsidRPr="00F853DD">
        <w:rPr>
          <w:rFonts w:ascii="Times" w:hAnsi="Times" w:cs="Times New Roman"/>
          <w:i/>
          <w:sz w:val="23"/>
          <w:szCs w:val="23"/>
        </w:rPr>
        <w:t>Journal of Family Nursing</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23</w:t>
      </w:r>
      <w:r w:rsidR="00DF05BD" w:rsidRPr="00F853DD">
        <w:rPr>
          <w:rFonts w:ascii="Times" w:hAnsi="Times" w:cs="Times New Roman"/>
          <w:sz w:val="23"/>
          <w:szCs w:val="23"/>
        </w:rPr>
        <w:t>, 366-391.</w:t>
      </w:r>
    </w:p>
    <w:p w14:paraId="1ADA1BD9" w14:textId="35C70AD1" w:rsidR="00DF05BD" w:rsidRPr="00F853DD" w:rsidRDefault="00577B5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Jones, P., Winslow, B., Lee, J., Burns, M. and Zhang, X</w:t>
      </w:r>
      <w:r w:rsidR="00DF05BD" w:rsidRPr="00F853DD">
        <w:rPr>
          <w:rFonts w:ascii="Times" w:hAnsi="Times" w:cs="Times New Roman"/>
          <w:sz w:val="23"/>
          <w:szCs w:val="23"/>
        </w:rPr>
        <w:t>.</w:t>
      </w:r>
      <w:r w:rsidRPr="00F853DD">
        <w:rPr>
          <w:rFonts w:ascii="Times" w:hAnsi="Times" w:cs="Times New Roman"/>
          <w:sz w:val="23"/>
          <w:szCs w:val="23"/>
        </w:rPr>
        <w:t>, (2011). Development of a caregiver empowerment model to promote positive o</w:t>
      </w:r>
      <w:r w:rsidR="00DF05BD" w:rsidRPr="00F853DD">
        <w:rPr>
          <w:rFonts w:ascii="Times" w:hAnsi="Times" w:cs="Times New Roman"/>
          <w:sz w:val="23"/>
          <w:szCs w:val="23"/>
        </w:rPr>
        <w:t xml:space="preserve">utcomes. </w:t>
      </w:r>
      <w:r w:rsidR="00DF05BD" w:rsidRPr="00F853DD">
        <w:rPr>
          <w:rFonts w:ascii="Times" w:hAnsi="Times" w:cs="Times New Roman"/>
          <w:i/>
          <w:sz w:val="23"/>
          <w:szCs w:val="23"/>
        </w:rPr>
        <w:t>Journal of Family Nursing</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17</w:t>
      </w:r>
      <w:r w:rsidR="00DF05BD" w:rsidRPr="00F853DD">
        <w:rPr>
          <w:rFonts w:ascii="Times" w:hAnsi="Times" w:cs="Times New Roman"/>
          <w:sz w:val="23"/>
          <w:szCs w:val="23"/>
        </w:rPr>
        <w:t>, 11-28.</w:t>
      </w:r>
    </w:p>
    <w:p w14:paraId="3C6B147F" w14:textId="260ABA60" w:rsidR="00DF05BD" w:rsidRPr="00F853DD" w:rsidRDefault="00577B5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Jones, S.</w:t>
      </w:r>
      <w:r w:rsidR="00DF05BD" w:rsidRPr="00F853DD">
        <w:rPr>
          <w:rFonts w:ascii="Times" w:hAnsi="Times" w:cs="Times New Roman"/>
          <w:sz w:val="23"/>
          <w:szCs w:val="23"/>
        </w:rPr>
        <w:t xml:space="preserve"> (1996). The association between objective and subjective caregiver burden. </w:t>
      </w:r>
      <w:r w:rsidR="00DF05BD" w:rsidRPr="00F853DD">
        <w:rPr>
          <w:rFonts w:ascii="Times" w:hAnsi="Times" w:cs="Times New Roman"/>
          <w:i/>
          <w:sz w:val="23"/>
          <w:szCs w:val="23"/>
        </w:rPr>
        <w:t>Archives of Psychiatric Nursing</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w:t>
      </w:r>
      <w:r w:rsidR="00DF05BD" w:rsidRPr="00F853DD">
        <w:rPr>
          <w:rFonts w:ascii="Times" w:hAnsi="Times" w:cs="Times New Roman"/>
          <w:sz w:val="23"/>
          <w:szCs w:val="23"/>
        </w:rPr>
        <w:t>, 77-84.</w:t>
      </w:r>
    </w:p>
    <w:p w14:paraId="72FE1C9B" w14:textId="4D9042E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Jones, F., Camarinhas, C. and Gény, L.</w:t>
      </w:r>
      <w:r w:rsidR="00577B5D" w:rsidRPr="00F853DD">
        <w:rPr>
          <w:rFonts w:ascii="Times" w:hAnsi="Times" w:cs="Times New Roman"/>
          <w:sz w:val="23"/>
          <w:szCs w:val="23"/>
        </w:rPr>
        <w:t>,</w:t>
      </w:r>
      <w:r w:rsidRPr="00F853DD">
        <w:rPr>
          <w:rFonts w:ascii="Times" w:hAnsi="Times" w:cs="Times New Roman"/>
          <w:sz w:val="23"/>
          <w:szCs w:val="23"/>
        </w:rPr>
        <w:t xml:space="preserve"> (2019). Im</w:t>
      </w:r>
      <w:r w:rsidR="00577B5D" w:rsidRPr="00F853DD">
        <w:rPr>
          <w:rFonts w:ascii="Times" w:hAnsi="Times" w:cs="Times New Roman"/>
          <w:sz w:val="23"/>
          <w:szCs w:val="23"/>
        </w:rPr>
        <w:t>plementation of the Montevideo consensus on population and d</w:t>
      </w:r>
      <w:r w:rsidRPr="00F853DD">
        <w:rPr>
          <w:rFonts w:ascii="Times" w:hAnsi="Times" w:cs="Times New Roman"/>
          <w:sz w:val="23"/>
          <w:szCs w:val="23"/>
        </w:rPr>
        <w:t>evelopment in the Caribbean: a review of the period 2013–2018.</w:t>
      </w:r>
    </w:p>
    <w:p w14:paraId="199C69A9" w14:textId="5A80AC5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Jones, H.</w:t>
      </w:r>
      <w:r w:rsidR="00577B5D" w:rsidRPr="00F853DD">
        <w:rPr>
          <w:rFonts w:ascii="Times" w:hAnsi="Times" w:cs="Times New Roman"/>
          <w:sz w:val="23"/>
          <w:szCs w:val="23"/>
        </w:rPr>
        <w:t>,</w:t>
      </w:r>
      <w:r w:rsidRPr="00F853DD">
        <w:rPr>
          <w:rFonts w:ascii="Times" w:hAnsi="Times" w:cs="Times New Roman"/>
          <w:sz w:val="23"/>
          <w:szCs w:val="23"/>
        </w:rPr>
        <w:t xml:space="preserve"> (2009). Eq</w:t>
      </w:r>
      <w:r w:rsidR="008F7C81" w:rsidRPr="00F853DD">
        <w:rPr>
          <w:rFonts w:ascii="Times" w:hAnsi="Times" w:cs="Times New Roman"/>
          <w:sz w:val="23"/>
          <w:szCs w:val="23"/>
        </w:rPr>
        <w:t>uity in development: w</w:t>
      </w:r>
      <w:r w:rsidR="00577B5D" w:rsidRPr="00F853DD">
        <w:rPr>
          <w:rFonts w:ascii="Times" w:hAnsi="Times" w:cs="Times New Roman"/>
          <w:sz w:val="23"/>
          <w:szCs w:val="23"/>
        </w:rPr>
        <w:t>hy it is i</w:t>
      </w:r>
      <w:r w:rsidRPr="00F853DD">
        <w:rPr>
          <w:rFonts w:ascii="Times" w:hAnsi="Times" w:cs="Times New Roman"/>
          <w:sz w:val="23"/>
          <w:szCs w:val="23"/>
        </w:rPr>
        <w:t xml:space="preserve">mportant and how to </w:t>
      </w:r>
      <w:r w:rsidR="00577B5D" w:rsidRPr="00F853DD">
        <w:rPr>
          <w:rFonts w:ascii="Times" w:hAnsi="Times" w:cs="Times New Roman"/>
          <w:sz w:val="23"/>
          <w:szCs w:val="23"/>
        </w:rPr>
        <w:t>a</w:t>
      </w:r>
      <w:r w:rsidRPr="00F853DD">
        <w:rPr>
          <w:rFonts w:ascii="Times" w:hAnsi="Times" w:cs="Times New Roman"/>
          <w:sz w:val="23"/>
          <w:szCs w:val="23"/>
        </w:rPr>
        <w:t>chieve. Overseas Development Institute.</w:t>
      </w:r>
    </w:p>
    <w:p w14:paraId="208E3BE8" w14:textId="2D8AE677" w:rsidR="00DF05BD" w:rsidRPr="00F853DD" w:rsidRDefault="00577B5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Jordahl, T. and Lohman, B., (2009). A b</w:t>
      </w:r>
      <w:r w:rsidR="00DF05BD" w:rsidRPr="00F853DD">
        <w:rPr>
          <w:rFonts w:ascii="Times" w:hAnsi="Times" w:cs="Times New Roman"/>
          <w:sz w:val="23"/>
          <w:szCs w:val="23"/>
        </w:rPr>
        <w:t xml:space="preserve">ioecological analysis of risk and protective factors associated with early sexual intercourse of young adolescents. </w:t>
      </w:r>
      <w:r w:rsidR="00DF05BD" w:rsidRPr="00F853DD">
        <w:rPr>
          <w:rFonts w:ascii="Times" w:hAnsi="Times" w:cs="Times New Roman"/>
          <w:i/>
          <w:sz w:val="23"/>
          <w:szCs w:val="23"/>
        </w:rPr>
        <w:t>Children and Youth Services Review</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31</w:t>
      </w:r>
      <w:r w:rsidR="00DF05BD" w:rsidRPr="00F853DD">
        <w:rPr>
          <w:rFonts w:ascii="Times" w:hAnsi="Times" w:cs="Times New Roman"/>
          <w:sz w:val="23"/>
          <w:szCs w:val="23"/>
        </w:rPr>
        <w:t>, 1272-1282.</w:t>
      </w:r>
    </w:p>
    <w:p w14:paraId="0B9D0003" w14:textId="6AEEEE8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w:t>
      </w:r>
      <w:r w:rsidR="00577B5D" w:rsidRPr="00F853DD">
        <w:rPr>
          <w:rFonts w:ascii="Times" w:hAnsi="Times" w:cs="Times New Roman"/>
          <w:sz w:val="23"/>
          <w:szCs w:val="23"/>
        </w:rPr>
        <w:t>rdan-Marsh, M. and Harden, J.,</w:t>
      </w:r>
      <w:r w:rsidRPr="00F853DD">
        <w:rPr>
          <w:rFonts w:ascii="Times" w:hAnsi="Times" w:cs="Times New Roman"/>
          <w:sz w:val="23"/>
          <w:szCs w:val="23"/>
        </w:rPr>
        <w:t xml:space="preserve"> (2005). Fictive kin: friends as family supporting older adults as they age. </w:t>
      </w:r>
      <w:r w:rsidRPr="00F853DD">
        <w:rPr>
          <w:rFonts w:ascii="Times" w:hAnsi="Times" w:cs="Times New Roman"/>
          <w:i/>
          <w:sz w:val="23"/>
          <w:szCs w:val="23"/>
        </w:rPr>
        <w:t>Journal of Gerontological Nursing</w:t>
      </w:r>
      <w:r w:rsidR="008F7C8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24-31; quiz 58-9.</w:t>
      </w:r>
    </w:p>
    <w:p w14:paraId="21162691" w14:textId="2A575B00" w:rsidR="00DF05BD" w:rsidRPr="00F853DD" w:rsidRDefault="00577B5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Jose, J.,</w:t>
      </w:r>
      <w:r w:rsidR="00DF05BD" w:rsidRPr="00F853DD">
        <w:rPr>
          <w:rFonts w:ascii="Times" w:hAnsi="Times" w:cs="Times New Roman"/>
          <w:sz w:val="23"/>
          <w:szCs w:val="23"/>
        </w:rPr>
        <w:t xml:space="preserve"> (2012). Logics of structuring the elder care arrangements over time and their foundations. </w:t>
      </w:r>
      <w:r w:rsidR="00DF05BD" w:rsidRPr="00F853DD">
        <w:rPr>
          <w:rFonts w:ascii="Times" w:hAnsi="Times" w:cs="Times New Roman"/>
          <w:i/>
          <w:sz w:val="23"/>
          <w:szCs w:val="23"/>
        </w:rPr>
        <w:t>Sociological Research Online</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17</w:t>
      </w:r>
      <w:r w:rsidR="00DF05BD" w:rsidRPr="00F853DD">
        <w:rPr>
          <w:rFonts w:ascii="Times" w:hAnsi="Times" w:cs="Times New Roman"/>
          <w:sz w:val="23"/>
          <w:szCs w:val="23"/>
        </w:rPr>
        <w:t>, 12.</w:t>
      </w:r>
    </w:p>
    <w:p w14:paraId="69D25A58" w14:textId="774C635D" w:rsidR="00DF05BD" w:rsidRPr="00F853DD" w:rsidRDefault="00577B5D" w:rsidP="00E1694A">
      <w:pPr>
        <w:spacing w:line="240" w:lineRule="auto"/>
        <w:ind w:left="567" w:hanging="567"/>
        <w:rPr>
          <w:rFonts w:ascii="Times" w:hAnsi="Times" w:cs="Times New Roman"/>
          <w:sz w:val="23"/>
          <w:szCs w:val="23"/>
          <w:shd w:val="clear" w:color="auto" w:fill="FFFFFF"/>
        </w:rPr>
      </w:pPr>
      <w:r w:rsidRPr="00F853DD">
        <w:rPr>
          <w:rFonts w:ascii="Times" w:hAnsi="Times" w:cs="Times New Roman"/>
          <w:sz w:val="23"/>
          <w:szCs w:val="23"/>
          <w:shd w:val="clear" w:color="auto" w:fill="FFFFFF"/>
        </w:rPr>
        <w:t>Joseph, A. and Hallman, B.,</w:t>
      </w:r>
      <w:r w:rsidR="00DF05BD" w:rsidRPr="00F853DD">
        <w:rPr>
          <w:rFonts w:ascii="Times" w:hAnsi="Times" w:cs="Times New Roman"/>
          <w:sz w:val="23"/>
          <w:szCs w:val="23"/>
          <w:shd w:val="clear" w:color="auto" w:fill="FFFFFF"/>
        </w:rPr>
        <w:t xml:space="preserve"> (1998). Over the hill and far away: distance as a barrier to the provision of assistance to elderly relatives. </w:t>
      </w:r>
      <w:r w:rsidR="00DF05BD" w:rsidRPr="00F853DD">
        <w:rPr>
          <w:rFonts w:ascii="Times" w:hAnsi="Times" w:cs="Times New Roman"/>
          <w:i/>
          <w:iCs/>
          <w:sz w:val="23"/>
          <w:szCs w:val="23"/>
          <w:shd w:val="clear" w:color="auto" w:fill="FFFFFF"/>
        </w:rPr>
        <w:t>Social Science &amp; Medicine</w:t>
      </w:r>
      <w:r w:rsidR="008F7C81" w:rsidRPr="00F853DD">
        <w:rPr>
          <w:rFonts w:ascii="Times" w:hAnsi="Times" w:cs="Times New Roman"/>
          <w:sz w:val="23"/>
          <w:szCs w:val="23"/>
          <w:shd w:val="clear" w:color="auto" w:fill="FFFFFF"/>
        </w:rPr>
        <w:t>.</w:t>
      </w:r>
      <w:r w:rsidR="00DF05BD" w:rsidRPr="00F853DD">
        <w:rPr>
          <w:rFonts w:ascii="Times" w:hAnsi="Times" w:cs="Times New Roman"/>
          <w:sz w:val="23"/>
          <w:szCs w:val="23"/>
          <w:shd w:val="clear" w:color="auto" w:fill="FFFFFF"/>
        </w:rPr>
        <w:t> </w:t>
      </w:r>
      <w:r w:rsidR="00DF05BD" w:rsidRPr="00F853DD">
        <w:rPr>
          <w:rFonts w:ascii="Times" w:hAnsi="Times" w:cs="Times New Roman"/>
          <w:b/>
          <w:i/>
          <w:iCs/>
          <w:sz w:val="23"/>
          <w:szCs w:val="23"/>
          <w:shd w:val="clear" w:color="auto" w:fill="FFFFFF"/>
        </w:rPr>
        <w:t>46</w:t>
      </w:r>
      <w:r w:rsidR="00DF05BD" w:rsidRPr="00F853DD">
        <w:rPr>
          <w:rFonts w:ascii="Times" w:hAnsi="Times" w:cs="Times New Roman"/>
          <w:sz w:val="23"/>
          <w:szCs w:val="23"/>
          <w:shd w:val="clear" w:color="auto" w:fill="FFFFFF"/>
        </w:rPr>
        <w:t>(6), 631-639.</w:t>
      </w:r>
    </w:p>
    <w:p w14:paraId="45E0E1B9" w14:textId="4D6A56B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Joseph, J.</w:t>
      </w:r>
      <w:r w:rsidR="00577B5D" w:rsidRPr="00F853DD">
        <w:rPr>
          <w:rFonts w:ascii="Times" w:hAnsi="Times" w:cs="Times New Roman"/>
          <w:sz w:val="23"/>
          <w:szCs w:val="23"/>
        </w:rPr>
        <w:t>,</w:t>
      </w:r>
      <w:r w:rsidRPr="00F853DD">
        <w:rPr>
          <w:rFonts w:ascii="Times" w:hAnsi="Times" w:cs="Times New Roman"/>
          <w:sz w:val="23"/>
          <w:szCs w:val="23"/>
        </w:rPr>
        <w:t xml:space="preserve"> (2013). Resilience as embedded neoliberalism: a governmentality approach. </w:t>
      </w:r>
      <w:r w:rsidRPr="00F853DD">
        <w:rPr>
          <w:rFonts w:ascii="Times" w:hAnsi="Times" w:cs="Times New Roman"/>
          <w:i/>
          <w:sz w:val="23"/>
          <w:szCs w:val="23"/>
        </w:rPr>
        <w:t xml:space="preserve">Resilience </w:t>
      </w:r>
      <w:r w:rsidRPr="00F853DD">
        <w:rPr>
          <w:rFonts w:ascii="Times" w:hAnsi="Times" w:cs="Times New Roman"/>
          <w:sz w:val="23"/>
          <w:szCs w:val="23"/>
        </w:rPr>
        <w:t>[online].</w:t>
      </w:r>
    </w:p>
    <w:p w14:paraId="5F40446E" w14:textId="5E1B5CE9"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Joseph Rowntree Foundation</w:t>
      </w:r>
      <w:r w:rsidR="00577B5D"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iCs/>
          <w:sz w:val="23"/>
          <w:szCs w:val="23"/>
        </w:rPr>
        <w:t>Building sustainable homes</w:t>
      </w:r>
      <w:r w:rsidR="008F7C81" w:rsidRPr="00F853DD">
        <w:rPr>
          <w:rFonts w:ascii="Times" w:hAnsi="Times" w:cs="Times New Roman"/>
          <w:sz w:val="23"/>
          <w:szCs w:val="23"/>
        </w:rPr>
        <w:t xml:space="preserve">. </w:t>
      </w:r>
      <w:r w:rsidRPr="00F853DD">
        <w:rPr>
          <w:rFonts w:ascii="Times" w:hAnsi="Times" w:cs="Times New Roman"/>
          <w:sz w:val="23"/>
          <w:szCs w:val="23"/>
        </w:rPr>
        <w:t>York: Joseph Rowntree Foundation. [Viewed 4 May 2017]. Available from: </w:t>
      </w:r>
      <w:hyperlink r:id="rId110" w:tgtFrame="_blank" w:history="1">
        <w:r w:rsidRPr="00F853DD">
          <w:rPr>
            <w:rFonts w:ascii="Times" w:hAnsi="Times" w:cs="Times New Roman"/>
            <w:sz w:val="23"/>
            <w:szCs w:val="23"/>
          </w:rPr>
          <w:t>https://www.jrf.org.uk/file/46481/download?token=UXZzH3XM&amp;filetype=full-report</w:t>
        </w:r>
      </w:hyperlink>
      <w:r w:rsidRPr="00F853DD">
        <w:rPr>
          <w:rFonts w:ascii="Times" w:hAnsi="Times" w:cs="Times New Roman"/>
          <w:sz w:val="23"/>
          <w:szCs w:val="23"/>
        </w:rPr>
        <w:t xml:space="preserve"> </w:t>
      </w:r>
    </w:p>
    <w:p w14:paraId="3F8E2214" w14:textId="6FF2C6F3"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J</w:t>
      </w:r>
      <w:r w:rsidRPr="00F853DD">
        <w:rPr>
          <w:rFonts w:ascii="Times" w:hAnsi="Times"/>
          <w:sz w:val="23"/>
          <w:szCs w:val="23"/>
        </w:rPr>
        <w:t>oubert, C.</w:t>
      </w:r>
      <w:r w:rsidR="00577B5D" w:rsidRPr="00F853DD">
        <w:rPr>
          <w:rFonts w:ascii="Times" w:hAnsi="Times"/>
          <w:sz w:val="23"/>
          <w:szCs w:val="23"/>
        </w:rPr>
        <w:t>,</w:t>
      </w:r>
      <w:r w:rsidRPr="00F853DD">
        <w:rPr>
          <w:rFonts w:ascii="Times" w:hAnsi="Times"/>
          <w:sz w:val="23"/>
          <w:szCs w:val="23"/>
        </w:rPr>
        <w:t xml:space="preserve"> (2017). Pensions at a </w:t>
      </w:r>
      <w:r w:rsidR="00577B5D" w:rsidRPr="00F853DD">
        <w:rPr>
          <w:rFonts w:ascii="Times" w:hAnsi="Times"/>
          <w:sz w:val="23"/>
          <w:szCs w:val="23"/>
        </w:rPr>
        <w:t>g</w:t>
      </w:r>
      <w:r w:rsidRPr="00F853DD">
        <w:rPr>
          <w:rFonts w:ascii="Times" w:hAnsi="Times"/>
          <w:sz w:val="23"/>
          <w:szCs w:val="23"/>
        </w:rPr>
        <w:t>lance: Latin America and the Caribbean. OECD, IDB and The World Bank. OECD Publishing, 2014, ISBN 978-92-64-22496-4, 176 pages. </w:t>
      </w:r>
      <w:r w:rsidRPr="00F853DD">
        <w:rPr>
          <w:rFonts w:ascii="Times" w:hAnsi="Times"/>
          <w:i/>
          <w:iCs/>
          <w:sz w:val="23"/>
          <w:szCs w:val="23"/>
        </w:rPr>
        <w:t>Journal of Pension Economics &amp; Finance</w:t>
      </w:r>
      <w:r w:rsidRPr="00F853DD">
        <w:rPr>
          <w:rFonts w:ascii="Times" w:hAnsi="Times"/>
          <w:sz w:val="23"/>
          <w:szCs w:val="23"/>
        </w:rPr>
        <w:t>, </w:t>
      </w:r>
      <w:r w:rsidRPr="00F853DD">
        <w:rPr>
          <w:rFonts w:ascii="Times" w:hAnsi="Times"/>
          <w:b/>
          <w:i/>
          <w:iCs/>
          <w:sz w:val="23"/>
          <w:szCs w:val="23"/>
        </w:rPr>
        <w:t>16</w:t>
      </w:r>
      <w:r w:rsidRPr="00F853DD">
        <w:rPr>
          <w:rFonts w:ascii="Times" w:hAnsi="Times"/>
          <w:sz w:val="23"/>
          <w:szCs w:val="23"/>
        </w:rPr>
        <w:t>(2), 270-271.</w:t>
      </w:r>
    </w:p>
    <w:p w14:paraId="4ABE253E" w14:textId="504BB070"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Juarez, G., Branin, J. and Rosales, M.</w:t>
      </w:r>
      <w:r w:rsidR="00577B5D" w:rsidRPr="00F853DD">
        <w:rPr>
          <w:rFonts w:ascii="Times" w:hAnsi="Times" w:cs="Times New Roman"/>
          <w:sz w:val="23"/>
          <w:szCs w:val="23"/>
        </w:rPr>
        <w:t>,</w:t>
      </w:r>
      <w:r w:rsidRPr="00F853DD">
        <w:rPr>
          <w:rFonts w:ascii="Times" w:hAnsi="Times" w:cs="Times New Roman"/>
          <w:sz w:val="23"/>
          <w:szCs w:val="23"/>
        </w:rPr>
        <w:t xml:space="preserve"> (2015). Perceptions of QOL among caregivers of Mexican ancestry of adults with advanced cancer. </w:t>
      </w:r>
      <w:r w:rsidRPr="00F853DD">
        <w:rPr>
          <w:rFonts w:ascii="Times" w:hAnsi="Times" w:cs="Times New Roman"/>
          <w:i/>
          <w:sz w:val="23"/>
          <w:szCs w:val="23"/>
        </w:rPr>
        <w:t>Quality of Life Research</w:t>
      </w:r>
      <w:r w:rsidR="008F7C8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xml:space="preserve">(7), 1729-1740. </w:t>
      </w:r>
    </w:p>
    <w:p w14:paraId="7BA79C67" w14:textId="38110682"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Jurkowski, E.</w:t>
      </w:r>
      <w:r w:rsidR="00577B5D" w:rsidRPr="00F853DD">
        <w:rPr>
          <w:rFonts w:ascii="Times" w:hAnsi="Times" w:cs="Times New Roman"/>
          <w:sz w:val="23"/>
          <w:szCs w:val="23"/>
        </w:rPr>
        <w:t>,</w:t>
      </w:r>
      <w:r w:rsidRPr="00F853DD">
        <w:rPr>
          <w:rFonts w:ascii="Times" w:hAnsi="Times" w:cs="Times New Roman"/>
          <w:sz w:val="23"/>
          <w:szCs w:val="23"/>
        </w:rPr>
        <w:t xml:space="preserve"> (2019). </w:t>
      </w:r>
      <w:r w:rsidRPr="00F853DD">
        <w:rPr>
          <w:rFonts w:ascii="Times" w:hAnsi="Times" w:cs="Times New Roman"/>
          <w:i/>
          <w:sz w:val="23"/>
          <w:szCs w:val="23"/>
        </w:rPr>
        <w:t xml:space="preserve">Policy and </w:t>
      </w:r>
      <w:r w:rsidR="00577B5D" w:rsidRPr="00F853DD">
        <w:rPr>
          <w:rFonts w:ascii="Times" w:hAnsi="Times" w:cs="Times New Roman"/>
          <w:i/>
          <w:sz w:val="23"/>
          <w:szCs w:val="23"/>
        </w:rPr>
        <w:t>p</w:t>
      </w:r>
      <w:r w:rsidRPr="00F853DD">
        <w:rPr>
          <w:rFonts w:ascii="Times" w:hAnsi="Times" w:cs="Times New Roman"/>
          <w:i/>
          <w:sz w:val="23"/>
          <w:szCs w:val="23"/>
        </w:rPr>
        <w:t xml:space="preserve">rogram </w:t>
      </w:r>
      <w:r w:rsidR="00577B5D" w:rsidRPr="00F853DD">
        <w:rPr>
          <w:rFonts w:ascii="Times" w:hAnsi="Times" w:cs="Times New Roman"/>
          <w:i/>
          <w:sz w:val="23"/>
          <w:szCs w:val="23"/>
        </w:rPr>
        <w:t>p</w:t>
      </w:r>
      <w:r w:rsidRPr="00F853DD">
        <w:rPr>
          <w:rFonts w:ascii="Times" w:hAnsi="Times" w:cs="Times New Roman"/>
          <w:i/>
          <w:sz w:val="23"/>
          <w:szCs w:val="23"/>
        </w:rPr>
        <w:t xml:space="preserve">lanning for </w:t>
      </w:r>
      <w:r w:rsidR="00577B5D" w:rsidRPr="00F853DD">
        <w:rPr>
          <w:rFonts w:ascii="Times" w:hAnsi="Times" w:cs="Times New Roman"/>
          <w:i/>
          <w:sz w:val="23"/>
          <w:szCs w:val="23"/>
        </w:rPr>
        <w:t>o</w:t>
      </w:r>
      <w:r w:rsidRPr="00F853DD">
        <w:rPr>
          <w:rFonts w:ascii="Times" w:hAnsi="Times" w:cs="Times New Roman"/>
          <w:i/>
          <w:sz w:val="23"/>
          <w:szCs w:val="23"/>
        </w:rPr>
        <w:t xml:space="preserve">lder </w:t>
      </w:r>
      <w:r w:rsidR="00577B5D" w:rsidRPr="00F853DD">
        <w:rPr>
          <w:rFonts w:ascii="Times" w:hAnsi="Times" w:cs="Times New Roman"/>
          <w:i/>
          <w:sz w:val="23"/>
          <w:szCs w:val="23"/>
        </w:rPr>
        <w:t>a</w:t>
      </w:r>
      <w:r w:rsidRPr="00F853DD">
        <w:rPr>
          <w:rFonts w:ascii="Times" w:hAnsi="Times" w:cs="Times New Roman"/>
          <w:i/>
          <w:sz w:val="23"/>
          <w:szCs w:val="23"/>
        </w:rPr>
        <w:t xml:space="preserve">dults and </w:t>
      </w:r>
      <w:r w:rsidR="00577B5D" w:rsidRPr="00F853DD">
        <w:rPr>
          <w:rFonts w:ascii="Times" w:hAnsi="Times" w:cs="Times New Roman"/>
          <w:i/>
          <w:sz w:val="23"/>
          <w:szCs w:val="23"/>
        </w:rPr>
        <w:t>p</w:t>
      </w:r>
      <w:r w:rsidRPr="00F853DD">
        <w:rPr>
          <w:rFonts w:ascii="Times" w:hAnsi="Times" w:cs="Times New Roman"/>
          <w:i/>
          <w:sz w:val="23"/>
          <w:szCs w:val="23"/>
        </w:rPr>
        <w:t xml:space="preserve">eople with </w:t>
      </w:r>
      <w:r w:rsidR="00577B5D" w:rsidRPr="00F853DD">
        <w:rPr>
          <w:rFonts w:ascii="Times" w:hAnsi="Times" w:cs="Times New Roman"/>
          <w:i/>
          <w:sz w:val="23"/>
          <w:szCs w:val="23"/>
        </w:rPr>
        <w:t>d</w:t>
      </w:r>
      <w:r w:rsidRPr="00F853DD">
        <w:rPr>
          <w:rFonts w:ascii="Times" w:hAnsi="Times" w:cs="Times New Roman"/>
          <w:i/>
          <w:sz w:val="23"/>
          <w:szCs w:val="23"/>
        </w:rPr>
        <w:t xml:space="preserve">isabilities: </w:t>
      </w:r>
      <w:r w:rsidR="00577B5D" w:rsidRPr="00F853DD">
        <w:rPr>
          <w:rFonts w:ascii="Times" w:hAnsi="Times" w:cs="Times New Roman"/>
          <w:i/>
          <w:sz w:val="23"/>
          <w:szCs w:val="23"/>
        </w:rPr>
        <w:t>p</w:t>
      </w:r>
      <w:r w:rsidRPr="00F853DD">
        <w:rPr>
          <w:rFonts w:ascii="Times" w:hAnsi="Times" w:cs="Times New Roman"/>
          <w:i/>
          <w:sz w:val="23"/>
          <w:szCs w:val="23"/>
        </w:rPr>
        <w:t xml:space="preserve">ractice </w:t>
      </w:r>
      <w:r w:rsidR="00577B5D" w:rsidRPr="00F853DD">
        <w:rPr>
          <w:rFonts w:ascii="Times" w:hAnsi="Times" w:cs="Times New Roman"/>
          <w:i/>
          <w:sz w:val="23"/>
          <w:szCs w:val="23"/>
        </w:rPr>
        <w:t>r</w:t>
      </w:r>
      <w:r w:rsidRPr="00F853DD">
        <w:rPr>
          <w:rFonts w:ascii="Times" w:hAnsi="Times" w:cs="Times New Roman"/>
          <w:i/>
          <w:sz w:val="23"/>
          <w:szCs w:val="23"/>
        </w:rPr>
        <w:t xml:space="preserve">ealities and </w:t>
      </w:r>
      <w:r w:rsidR="00577B5D" w:rsidRPr="00F853DD">
        <w:rPr>
          <w:rFonts w:ascii="Times" w:hAnsi="Times" w:cs="Times New Roman"/>
          <w:i/>
          <w:sz w:val="23"/>
          <w:szCs w:val="23"/>
        </w:rPr>
        <w:t>v</w:t>
      </w:r>
      <w:r w:rsidRPr="00F853DD">
        <w:rPr>
          <w:rFonts w:ascii="Times" w:hAnsi="Times" w:cs="Times New Roman"/>
          <w:i/>
          <w:sz w:val="23"/>
          <w:szCs w:val="23"/>
        </w:rPr>
        <w:t>isions</w:t>
      </w:r>
      <w:r w:rsidRPr="00F853DD">
        <w:rPr>
          <w:rFonts w:ascii="Times" w:hAnsi="Times" w:cs="Times New Roman"/>
          <w:sz w:val="23"/>
          <w:szCs w:val="23"/>
        </w:rPr>
        <w:t>. Springer Publishing Company.</w:t>
      </w:r>
    </w:p>
    <w:p w14:paraId="6828164C" w14:textId="04A12A60"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K</w:t>
      </w:r>
      <w:r w:rsidR="00577B5D" w:rsidRPr="00F853DD">
        <w:rPr>
          <w:rFonts w:ascii="Times" w:hAnsi="Times" w:cs="Times New Roman"/>
          <w:sz w:val="23"/>
          <w:szCs w:val="23"/>
        </w:rPr>
        <w:t>abitsi, N. and Powers, D.,</w:t>
      </w:r>
      <w:r w:rsidRPr="00F853DD">
        <w:rPr>
          <w:rFonts w:ascii="Times" w:hAnsi="Times" w:cs="Times New Roman"/>
          <w:sz w:val="23"/>
          <w:szCs w:val="23"/>
        </w:rPr>
        <w:t xml:space="preserve"> (2002). Spousal motivations of ca</w:t>
      </w:r>
      <w:r w:rsidR="00577B5D" w:rsidRPr="00F853DD">
        <w:rPr>
          <w:rFonts w:ascii="Times" w:hAnsi="Times" w:cs="Times New Roman"/>
          <w:sz w:val="23"/>
          <w:szCs w:val="23"/>
        </w:rPr>
        <w:t>re for demented older adults: a</w:t>
      </w:r>
      <w:r w:rsidRPr="00F853DD">
        <w:rPr>
          <w:rFonts w:ascii="Times" w:hAnsi="Times" w:cs="Times New Roman"/>
          <w:sz w:val="23"/>
          <w:szCs w:val="23"/>
        </w:rPr>
        <w:t xml:space="preserve"> cross-cultural comparison of Greek and American female caregivers. </w:t>
      </w:r>
      <w:r w:rsidR="008F7C81" w:rsidRPr="00F853DD">
        <w:rPr>
          <w:rFonts w:ascii="Times" w:hAnsi="Times" w:cs="Times New Roman"/>
          <w:i/>
          <w:sz w:val="23"/>
          <w:szCs w:val="23"/>
        </w:rPr>
        <w:t>Journal o</w:t>
      </w:r>
      <w:r w:rsidRPr="00F853DD">
        <w:rPr>
          <w:rFonts w:ascii="Times" w:hAnsi="Times" w:cs="Times New Roman"/>
          <w:i/>
          <w:sz w:val="23"/>
          <w:szCs w:val="23"/>
        </w:rPr>
        <w:t>f Aging Studies</w:t>
      </w:r>
      <w:r w:rsidR="008F7C8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383-399.</w:t>
      </w:r>
    </w:p>
    <w:p w14:paraId="64EC5D9D" w14:textId="6DE3C4D0"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Kaci, A. and Starks, H.</w:t>
      </w:r>
      <w:r w:rsidR="00577B5D" w:rsidRPr="00F853DD">
        <w:rPr>
          <w:rFonts w:ascii="Times" w:hAnsi="Times" w:cs="Times New Roman"/>
          <w:sz w:val="23"/>
          <w:szCs w:val="23"/>
        </w:rPr>
        <w:t>,</w:t>
      </w:r>
      <w:r w:rsidRPr="00F853DD">
        <w:rPr>
          <w:rFonts w:ascii="Times" w:hAnsi="Times" w:cs="Times New Roman"/>
          <w:sz w:val="23"/>
          <w:szCs w:val="23"/>
        </w:rPr>
        <w:t xml:space="preserve"> (2013). Caring for the elderly in Algeria within the discourse of</w:t>
      </w:r>
      <w:r w:rsidR="00577B5D" w:rsidRPr="00F853DD">
        <w:rPr>
          <w:rFonts w:ascii="Times" w:hAnsi="Times" w:cs="Times New Roman"/>
          <w:sz w:val="23"/>
          <w:szCs w:val="23"/>
        </w:rPr>
        <w:t xml:space="preserve"> traditionalism and modernism: i</w:t>
      </w:r>
      <w:r w:rsidRPr="00F853DD">
        <w:rPr>
          <w:rFonts w:ascii="Times" w:hAnsi="Times" w:cs="Times New Roman"/>
          <w:sz w:val="23"/>
          <w:szCs w:val="23"/>
        </w:rPr>
        <w:t>s there a Kabyle “woman problem</w:t>
      </w:r>
      <w:r w:rsidRPr="00F853DD">
        <w:rPr>
          <w:rFonts w:ascii="Times" w:hAnsi="Times" w:cs="Times New Roman"/>
          <w:i/>
          <w:sz w:val="23"/>
          <w:szCs w:val="23"/>
        </w:rPr>
        <w:t>”?. IJFAB: International Journal of Feminist Approaches to Bioethics</w:t>
      </w:r>
      <w:r w:rsidR="008F7C8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w:t>
      </w:r>
      <w:r w:rsidRPr="00F853DD">
        <w:rPr>
          <w:rFonts w:ascii="Times" w:hAnsi="Times" w:cs="Times New Roman"/>
          <w:sz w:val="23"/>
          <w:szCs w:val="23"/>
        </w:rPr>
        <w:t>(2), 160-178.</w:t>
      </w:r>
    </w:p>
    <w:p w14:paraId="5AD0417A" w14:textId="6E6D3D2A"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Kairi</w:t>
      </w:r>
      <w:r w:rsidR="00577B5D" w:rsidRPr="00F853DD">
        <w:rPr>
          <w:rFonts w:ascii="Times" w:hAnsi="Times" w:cs="Times New Roman"/>
          <w:sz w:val="23"/>
          <w:szCs w:val="23"/>
        </w:rPr>
        <w:t>,</w:t>
      </w:r>
      <w:r w:rsidRPr="00F853DD">
        <w:rPr>
          <w:rFonts w:ascii="Times" w:hAnsi="Times" w:cs="Times New Roman"/>
          <w:sz w:val="23"/>
          <w:szCs w:val="23"/>
        </w:rPr>
        <w:t xml:space="preserve">(2007). </w:t>
      </w:r>
      <w:r w:rsidRPr="00F853DD">
        <w:rPr>
          <w:rFonts w:ascii="Times" w:hAnsi="Times" w:cs="Times New Roman"/>
          <w:i/>
          <w:sz w:val="23"/>
          <w:szCs w:val="23"/>
        </w:rPr>
        <w:t>Analysis of the Trinidad and Tobago survey of living conditions</w:t>
      </w:r>
      <w:r w:rsidRPr="00F853DD">
        <w:rPr>
          <w:rFonts w:ascii="Times" w:hAnsi="Times" w:cs="Times New Roman"/>
          <w:sz w:val="23"/>
          <w:szCs w:val="23"/>
        </w:rPr>
        <w:t xml:space="preserve"> </w:t>
      </w:r>
      <w:r w:rsidRPr="00F853DD">
        <w:rPr>
          <w:rFonts w:ascii="Times" w:hAnsi="Times" w:cs="Times New Roman"/>
          <w:i/>
          <w:sz w:val="23"/>
          <w:szCs w:val="23"/>
        </w:rPr>
        <w:t>2005</w:t>
      </w:r>
      <w:r w:rsidRPr="00F853DD">
        <w:rPr>
          <w:rFonts w:ascii="Times" w:hAnsi="Times" w:cs="Times New Roman"/>
          <w:sz w:val="23"/>
          <w:szCs w:val="23"/>
        </w:rPr>
        <w:t>. Kairi Consultants Limited.</w:t>
      </w:r>
    </w:p>
    <w:p w14:paraId="026CBF50" w14:textId="326607D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Kaiser, K.</w:t>
      </w:r>
      <w:r w:rsidR="00577B5D" w:rsidRPr="00F853DD">
        <w:rPr>
          <w:rFonts w:ascii="Times" w:hAnsi="Times" w:cs="Times New Roman"/>
          <w:sz w:val="23"/>
          <w:szCs w:val="23"/>
        </w:rPr>
        <w:t>,</w:t>
      </w:r>
      <w:r w:rsidRPr="00F853DD">
        <w:rPr>
          <w:rFonts w:ascii="Times" w:hAnsi="Times" w:cs="Times New Roman"/>
          <w:sz w:val="23"/>
          <w:szCs w:val="23"/>
        </w:rPr>
        <w:t xml:space="preserve"> (2009). Protecting respondent confidentiality in qualitative research. </w:t>
      </w:r>
      <w:r w:rsidRPr="00F853DD">
        <w:rPr>
          <w:rFonts w:ascii="Times" w:hAnsi="Times" w:cs="Times New Roman"/>
          <w:i/>
          <w:sz w:val="23"/>
          <w:szCs w:val="23"/>
        </w:rPr>
        <w:t>Qualitative Health Research</w:t>
      </w:r>
      <w:r w:rsidR="008F7C8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 1632-1641.</w:t>
      </w:r>
    </w:p>
    <w:p w14:paraId="20F4194F" w14:textId="1E6F4B1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Kalache, A. and Gatti, A.</w:t>
      </w:r>
      <w:r w:rsidR="00577B5D" w:rsidRPr="00F853DD">
        <w:rPr>
          <w:rFonts w:ascii="Times" w:hAnsi="Times" w:cs="Times New Roman"/>
          <w:sz w:val="23"/>
          <w:szCs w:val="23"/>
        </w:rPr>
        <w:t>,</w:t>
      </w:r>
      <w:r w:rsidRPr="00F853DD">
        <w:rPr>
          <w:rFonts w:ascii="Times" w:hAnsi="Times" w:cs="Times New Roman"/>
          <w:sz w:val="23"/>
          <w:szCs w:val="23"/>
        </w:rPr>
        <w:t xml:space="preserve"> (2003). Acti</w:t>
      </w:r>
      <w:r w:rsidR="00577B5D" w:rsidRPr="00F853DD">
        <w:rPr>
          <w:rFonts w:ascii="Times" w:hAnsi="Times" w:cs="Times New Roman"/>
          <w:sz w:val="23"/>
          <w:szCs w:val="23"/>
        </w:rPr>
        <w:t>ve ageing: a policy framework: a</w:t>
      </w:r>
      <w:r w:rsidRPr="00F853DD">
        <w:rPr>
          <w:rFonts w:ascii="Times" w:hAnsi="Times" w:cs="Times New Roman"/>
          <w:sz w:val="23"/>
          <w:szCs w:val="23"/>
        </w:rPr>
        <w:t xml:space="preserve">dvances in gerontology. </w:t>
      </w:r>
      <w:r w:rsidRPr="00F853DD">
        <w:rPr>
          <w:rFonts w:ascii="Times" w:hAnsi="Times" w:cs="Times New Roman"/>
          <w:i/>
          <w:sz w:val="23"/>
          <w:szCs w:val="23"/>
        </w:rPr>
        <w:t>Uspekhi Gerontologii</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7-18.</w:t>
      </w:r>
    </w:p>
    <w:p w14:paraId="4F7BBCD9" w14:textId="2E9F57D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Kandel, J. and Adamec, C.</w:t>
      </w:r>
      <w:r w:rsidR="00577B5D" w:rsidRPr="00F853DD">
        <w:rPr>
          <w:rFonts w:ascii="Times" w:hAnsi="Times" w:cs="Times New Roman"/>
          <w:sz w:val="23"/>
          <w:szCs w:val="23"/>
        </w:rPr>
        <w:t>,</w:t>
      </w:r>
      <w:r w:rsidRPr="00F853DD">
        <w:rPr>
          <w:rFonts w:ascii="Times" w:hAnsi="Times" w:cs="Times New Roman"/>
          <w:sz w:val="23"/>
          <w:szCs w:val="23"/>
        </w:rPr>
        <w:t xml:space="preserve"> (2003). </w:t>
      </w:r>
      <w:r w:rsidRPr="00F853DD">
        <w:rPr>
          <w:rFonts w:ascii="Times" w:hAnsi="Times" w:cs="Times New Roman"/>
          <w:i/>
          <w:sz w:val="23"/>
          <w:szCs w:val="23"/>
        </w:rPr>
        <w:t>The encyclopedia of senior health and well-being</w:t>
      </w:r>
      <w:r w:rsidRPr="00F853DD">
        <w:rPr>
          <w:rFonts w:ascii="Times" w:hAnsi="Times" w:cs="Times New Roman"/>
          <w:sz w:val="23"/>
          <w:szCs w:val="23"/>
        </w:rPr>
        <w:t>. New York: Facts on File.</w:t>
      </w:r>
    </w:p>
    <w:p w14:paraId="5908B6CF" w14:textId="093D1D4D" w:rsidR="00DF05BD" w:rsidRPr="00F853DD" w:rsidRDefault="00577B5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Kane, R. and Kane, R.,</w:t>
      </w:r>
      <w:r w:rsidR="00DF05BD" w:rsidRPr="00F853DD">
        <w:rPr>
          <w:rFonts w:ascii="Times" w:hAnsi="Times" w:cs="Times New Roman"/>
          <w:sz w:val="23"/>
          <w:szCs w:val="23"/>
        </w:rPr>
        <w:t xml:space="preserve"> (2001). What older people want from long-term care, and how they can get it. </w:t>
      </w:r>
      <w:r w:rsidR="00DF05BD" w:rsidRPr="00F853DD">
        <w:rPr>
          <w:rFonts w:ascii="Times" w:hAnsi="Times" w:cs="Times New Roman"/>
          <w:i/>
          <w:sz w:val="23"/>
          <w:szCs w:val="23"/>
        </w:rPr>
        <w:t>Health Affa</w:t>
      </w:r>
      <w:r w:rsidR="00DF05BD" w:rsidRPr="00F853DD">
        <w:rPr>
          <w:rFonts w:ascii="Times" w:hAnsi="Times" w:cs="Times New Roman"/>
          <w:sz w:val="23"/>
          <w:szCs w:val="23"/>
        </w:rPr>
        <w:t xml:space="preserve">irs, </w:t>
      </w:r>
      <w:r w:rsidR="00DF05BD" w:rsidRPr="00F853DD">
        <w:rPr>
          <w:rFonts w:ascii="Times" w:hAnsi="Times" w:cs="Times New Roman"/>
          <w:b/>
          <w:sz w:val="23"/>
          <w:szCs w:val="23"/>
        </w:rPr>
        <w:t>20</w:t>
      </w:r>
      <w:r w:rsidR="00DF05BD" w:rsidRPr="00F853DD">
        <w:rPr>
          <w:rFonts w:ascii="Times" w:hAnsi="Times" w:cs="Times New Roman"/>
          <w:sz w:val="23"/>
          <w:szCs w:val="23"/>
        </w:rPr>
        <w:t>(6), 114-127.</w:t>
      </w:r>
    </w:p>
    <w:p w14:paraId="3E5A0535" w14:textId="27EB96B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Kane, R. and Penrod, J.</w:t>
      </w:r>
      <w:r w:rsidR="00577B5D" w:rsidRPr="00F853DD">
        <w:rPr>
          <w:rFonts w:ascii="Times" w:hAnsi="Times" w:cs="Times New Roman"/>
          <w:sz w:val="23"/>
          <w:szCs w:val="23"/>
        </w:rPr>
        <w:t>,</w:t>
      </w:r>
      <w:r w:rsidRPr="00F853DD">
        <w:rPr>
          <w:rFonts w:ascii="Times" w:hAnsi="Times" w:cs="Times New Roman"/>
          <w:sz w:val="23"/>
          <w:szCs w:val="23"/>
        </w:rPr>
        <w:t xml:space="preserve"> (eds.) (1995). </w:t>
      </w:r>
      <w:r w:rsidRPr="00F853DD">
        <w:rPr>
          <w:rFonts w:ascii="Times" w:hAnsi="Times" w:cs="Times New Roman"/>
          <w:i/>
          <w:sz w:val="23"/>
          <w:szCs w:val="23"/>
        </w:rPr>
        <w:t xml:space="preserve">Family </w:t>
      </w:r>
      <w:r w:rsidR="00577B5D" w:rsidRPr="00F853DD">
        <w:rPr>
          <w:rFonts w:ascii="Times" w:hAnsi="Times" w:cs="Times New Roman"/>
          <w:i/>
          <w:sz w:val="23"/>
          <w:szCs w:val="23"/>
        </w:rPr>
        <w:t>c</w:t>
      </w:r>
      <w:r w:rsidRPr="00F853DD">
        <w:rPr>
          <w:rFonts w:ascii="Times" w:hAnsi="Times" w:cs="Times New Roman"/>
          <w:i/>
          <w:sz w:val="23"/>
          <w:szCs w:val="23"/>
        </w:rPr>
        <w:t xml:space="preserve">aregiving in an </w:t>
      </w:r>
      <w:r w:rsidR="00577B5D" w:rsidRPr="00F853DD">
        <w:rPr>
          <w:rFonts w:ascii="Times" w:hAnsi="Times" w:cs="Times New Roman"/>
          <w:i/>
          <w:sz w:val="23"/>
          <w:szCs w:val="23"/>
        </w:rPr>
        <w:t>a</w:t>
      </w:r>
      <w:r w:rsidRPr="00F853DD">
        <w:rPr>
          <w:rFonts w:ascii="Times" w:hAnsi="Times" w:cs="Times New Roman"/>
          <w:i/>
          <w:sz w:val="23"/>
          <w:szCs w:val="23"/>
        </w:rPr>
        <w:t xml:space="preserve">ging </w:t>
      </w:r>
      <w:r w:rsidR="00577B5D" w:rsidRPr="00F853DD">
        <w:rPr>
          <w:rFonts w:ascii="Times" w:hAnsi="Times" w:cs="Times New Roman"/>
          <w:i/>
          <w:sz w:val="23"/>
          <w:szCs w:val="23"/>
        </w:rPr>
        <w:t>s</w:t>
      </w:r>
      <w:r w:rsidRPr="00F853DD">
        <w:rPr>
          <w:rFonts w:ascii="Times" w:hAnsi="Times" w:cs="Times New Roman"/>
          <w:i/>
          <w:sz w:val="23"/>
          <w:szCs w:val="23"/>
        </w:rPr>
        <w:t>ociety</w:t>
      </w:r>
      <w:r w:rsidRPr="00F853DD">
        <w:rPr>
          <w:rFonts w:ascii="Times" w:hAnsi="Times" w:cs="Times New Roman"/>
          <w:sz w:val="23"/>
          <w:szCs w:val="23"/>
        </w:rPr>
        <w:t xml:space="preserve">: </w:t>
      </w:r>
      <w:r w:rsidR="00577B5D" w:rsidRPr="00F853DD">
        <w:rPr>
          <w:rFonts w:ascii="Times" w:hAnsi="Times" w:cs="Times New Roman"/>
          <w:i/>
          <w:sz w:val="23"/>
          <w:szCs w:val="23"/>
        </w:rPr>
        <w:t>p</w:t>
      </w:r>
      <w:r w:rsidRPr="00F853DD">
        <w:rPr>
          <w:rFonts w:ascii="Times" w:hAnsi="Times" w:cs="Times New Roman"/>
          <w:i/>
          <w:sz w:val="23"/>
          <w:szCs w:val="23"/>
        </w:rPr>
        <w:t xml:space="preserve">olicy </w:t>
      </w:r>
      <w:r w:rsidR="00577B5D" w:rsidRPr="00F853DD">
        <w:rPr>
          <w:rFonts w:ascii="Times" w:hAnsi="Times" w:cs="Times New Roman"/>
          <w:i/>
          <w:sz w:val="23"/>
          <w:szCs w:val="23"/>
        </w:rPr>
        <w:t>p</w:t>
      </w:r>
      <w:r w:rsidRPr="00F853DD">
        <w:rPr>
          <w:rFonts w:ascii="Times" w:hAnsi="Times" w:cs="Times New Roman"/>
          <w:i/>
          <w:sz w:val="23"/>
          <w:szCs w:val="23"/>
        </w:rPr>
        <w:t>erspectives</w:t>
      </w:r>
      <w:r w:rsidRPr="00F853DD">
        <w:rPr>
          <w:rFonts w:ascii="Times" w:hAnsi="Times" w:cs="Times New Roman"/>
          <w:sz w:val="23"/>
          <w:szCs w:val="23"/>
        </w:rPr>
        <w:t>. USA: SAGE.</w:t>
      </w:r>
    </w:p>
    <w:p w14:paraId="1E868C36" w14:textId="6FF46517" w:rsidR="00DF05BD" w:rsidRPr="00F853DD" w:rsidRDefault="00577B5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Kang, S.,</w:t>
      </w:r>
      <w:r w:rsidR="00DF05BD" w:rsidRPr="00F853DD">
        <w:rPr>
          <w:rFonts w:ascii="Times" w:hAnsi="Times" w:cs="Times New Roman"/>
          <w:sz w:val="23"/>
          <w:szCs w:val="23"/>
        </w:rPr>
        <w:t xml:space="preserve"> (2016). Perceived overload as a predictor of physical strain among spousal and adult child caregivers of frail elders in the community. </w:t>
      </w:r>
      <w:r w:rsidR="00DF05BD" w:rsidRPr="00F853DD">
        <w:rPr>
          <w:rFonts w:ascii="Times" w:hAnsi="Times" w:cs="Times New Roman"/>
          <w:i/>
          <w:sz w:val="23"/>
          <w:szCs w:val="23"/>
        </w:rPr>
        <w:t>Journal of Human Behavior in the Social Environment</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26</w:t>
      </w:r>
      <w:r w:rsidR="00DF05BD" w:rsidRPr="00F853DD">
        <w:rPr>
          <w:rFonts w:ascii="Times" w:hAnsi="Times" w:cs="Times New Roman"/>
          <w:sz w:val="23"/>
          <w:szCs w:val="23"/>
        </w:rPr>
        <w:t>, 636-647.</w:t>
      </w:r>
    </w:p>
    <w:p w14:paraId="2ABDB1CF" w14:textId="1037253D" w:rsidR="00DF05BD" w:rsidRPr="00F853DD" w:rsidRDefault="00577B5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Karantzas, G.</w:t>
      </w:r>
      <w:r w:rsidR="00DF05BD" w:rsidRPr="00F853DD">
        <w:rPr>
          <w:rFonts w:ascii="Times" w:hAnsi="Times" w:cs="Times New Roman"/>
          <w:sz w:val="23"/>
          <w:szCs w:val="23"/>
        </w:rPr>
        <w:t>, Evans, L. and Foddy, M.</w:t>
      </w:r>
      <w:r w:rsidRPr="00F853DD">
        <w:rPr>
          <w:rFonts w:ascii="Times" w:hAnsi="Times" w:cs="Times New Roman"/>
          <w:sz w:val="23"/>
          <w:szCs w:val="23"/>
        </w:rPr>
        <w:t>, (2010). The r</w:t>
      </w:r>
      <w:r w:rsidR="00DF05BD" w:rsidRPr="00F853DD">
        <w:rPr>
          <w:rFonts w:ascii="Times" w:hAnsi="Times" w:cs="Times New Roman"/>
          <w:sz w:val="23"/>
          <w:szCs w:val="23"/>
        </w:rPr>
        <w:t xml:space="preserve">ole of attachment in current and future parent caregiving. </w:t>
      </w:r>
      <w:r w:rsidR="00DF05BD" w:rsidRPr="00F853DD">
        <w:rPr>
          <w:rFonts w:ascii="Times" w:hAnsi="Times" w:cs="Times New Roman"/>
          <w:i/>
          <w:sz w:val="23"/>
          <w:szCs w:val="23"/>
        </w:rPr>
        <w:t>Journals of Gerontology Series B-Psychological Sciences and Social Sciences</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65</w:t>
      </w:r>
      <w:r w:rsidR="00DF05BD" w:rsidRPr="00F853DD">
        <w:rPr>
          <w:rFonts w:ascii="Times" w:hAnsi="Times" w:cs="Times New Roman"/>
          <w:sz w:val="23"/>
          <w:szCs w:val="23"/>
        </w:rPr>
        <w:t>, 573-580.</w:t>
      </w:r>
    </w:p>
    <w:p w14:paraId="4A5B22E6" w14:textId="3D563E7B" w:rsidR="00DF05BD" w:rsidRPr="00F853DD" w:rsidRDefault="00DE35D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Karantzas, G.</w:t>
      </w:r>
      <w:r w:rsidR="00DF05BD" w:rsidRPr="00F853DD">
        <w:rPr>
          <w:rFonts w:ascii="Times" w:hAnsi="Times" w:cs="Times New Roman"/>
          <w:sz w:val="23"/>
          <w:szCs w:val="23"/>
        </w:rPr>
        <w:t>, Foddy, M. and Evans, L.</w:t>
      </w:r>
      <w:r w:rsidRPr="00F853DD">
        <w:rPr>
          <w:rFonts w:ascii="Times" w:hAnsi="Times" w:cs="Times New Roman"/>
          <w:sz w:val="23"/>
          <w:szCs w:val="23"/>
        </w:rPr>
        <w:t>,</w:t>
      </w:r>
      <w:r w:rsidR="00DF05BD" w:rsidRPr="00F853DD">
        <w:rPr>
          <w:rFonts w:ascii="Times" w:hAnsi="Times" w:cs="Times New Roman"/>
          <w:sz w:val="23"/>
          <w:szCs w:val="23"/>
        </w:rPr>
        <w:t xml:space="preserve"> (2003). Obligatory and discretionary motives of intergenerational caregiving. </w:t>
      </w:r>
      <w:r w:rsidR="00DF05BD" w:rsidRPr="00F853DD">
        <w:rPr>
          <w:rFonts w:ascii="Times" w:hAnsi="Times" w:cs="Times New Roman"/>
          <w:i/>
          <w:sz w:val="23"/>
          <w:szCs w:val="23"/>
        </w:rPr>
        <w:t>Australian Journal of Psychology</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55</w:t>
      </w:r>
      <w:r w:rsidR="00DF05BD" w:rsidRPr="00F853DD">
        <w:rPr>
          <w:rFonts w:ascii="Times" w:hAnsi="Times" w:cs="Times New Roman"/>
          <w:sz w:val="23"/>
          <w:szCs w:val="23"/>
        </w:rPr>
        <w:t>, 49.</w:t>
      </w:r>
    </w:p>
    <w:p w14:paraId="25569D16" w14:textId="30B35BF7" w:rsidR="00DF05BD" w:rsidRPr="00F853DD" w:rsidRDefault="00DE35D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Karlsson, S.</w:t>
      </w:r>
      <w:r w:rsidR="00DF05BD" w:rsidRPr="00F853DD">
        <w:rPr>
          <w:rFonts w:ascii="Times" w:hAnsi="Times" w:cs="Times New Roman"/>
          <w:sz w:val="23"/>
          <w:szCs w:val="23"/>
        </w:rPr>
        <w:t xml:space="preserve"> and Johansson, S.</w:t>
      </w:r>
      <w:r w:rsidRPr="00F853DD">
        <w:rPr>
          <w:rFonts w:ascii="Times" w:hAnsi="Times" w:cs="Times New Roman"/>
          <w:sz w:val="23"/>
          <w:szCs w:val="23"/>
        </w:rPr>
        <w:t>,</w:t>
      </w:r>
      <w:r w:rsidR="00DF05BD" w:rsidRPr="00F853DD">
        <w:rPr>
          <w:rFonts w:ascii="Times" w:hAnsi="Times" w:cs="Times New Roman"/>
          <w:sz w:val="23"/>
          <w:szCs w:val="23"/>
        </w:rPr>
        <w:t xml:space="preserve"> (2007</w:t>
      </w:r>
      <w:r w:rsidRPr="00F853DD">
        <w:rPr>
          <w:rFonts w:ascii="Times" w:hAnsi="Times" w:cs="Times New Roman"/>
          <w:sz w:val="23"/>
          <w:szCs w:val="23"/>
        </w:rPr>
        <w:t>). Caring while l</w:t>
      </w:r>
      <w:r w:rsidR="00DF05BD" w:rsidRPr="00F853DD">
        <w:rPr>
          <w:rFonts w:ascii="Times" w:hAnsi="Times" w:cs="Times New Roman"/>
          <w:sz w:val="23"/>
          <w:szCs w:val="23"/>
        </w:rPr>
        <w:t xml:space="preserve">iving </w:t>
      </w:r>
      <w:r w:rsidRPr="00F853DD">
        <w:rPr>
          <w:rFonts w:ascii="Times" w:hAnsi="Times" w:cs="Times New Roman"/>
          <w:sz w:val="23"/>
          <w:szCs w:val="23"/>
        </w:rPr>
        <w:t>a</w:t>
      </w:r>
      <w:r w:rsidR="00DF05BD" w:rsidRPr="00F853DD">
        <w:rPr>
          <w:rFonts w:ascii="Times" w:hAnsi="Times" w:cs="Times New Roman"/>
          <w:sz w:val="23"/>
          <w:szCs w:val="23"/>
        </w:rPr>
        <w:t xml:space="preserve">part. </w:t>
      </w:r>
      <w:r w:rsidR="00DF05BD" w:rsidRPr="00F853DD">
        <w:rPr>
          <w:rFonts w:ascii="Times" w:hAnsi="Times" w:cs="Times New Roman"/>
          <w:i/>
          <w:sz w:val="23"/>
          <w:szCs w:val="23"/>
        </w:rPr>
        <w:t>Journal of Gerontological Social Work</w:t>
      </w:r>
      <w:r w:rsidR="008F7C81"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49</w:t>
      </w:r>
      <w:r w:rsidR="00DF05BD" w:rsidRPr="00F853DD">
        <w:rPr>
          <w:rFonts w:ascii="Times" w:hAnsi="Times" w:cs="Times New Roman"/>
          <w:sz w:val="23"/>
          <w:szCs w:val="23"/>
        </w:rPr>
        <w:t>.</w:t>
      </w:r>
    </w:p>
    <w:p w14:paraId="06D50C11" w14:textId="1A14D60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Kaschowitz, J. and Brandt, M.</w:t>
      </w:r>
      <w:r w:rsidR="00DE35D4" w:rsidRPr="00F853DD">
        <w:rPr>
          <w:rFonts w:ascii="Times" w:hAnsi="Times" w:cs="Times New Roman"/>
          <w:sz w:val="23"/>
          <w:szCs w:val="23"/>
        </w:rPr>
        <w:t>,</w:t>
      </w:r>
      <w:r w:rsidRPr="00F853DD">
        <w:rPr>
          <w:rFonts w:ascii="Times" w:hAnsi="Times" w:cs="Times New Roman"/>
          <w:sz w:val="23"/>
          <w:szCs w:val="23"/>
        </w:rPr>
        <w:t xml:space="preserve"> (2017). Health effects of informal caregiving across Europe: A longitudinal approach. </w:t>
      </w:r>
      <w:r w:rsidRPr="00F853DD">
        <w:rPr>
          <w:rFonts w:ascii="Times" w:hAnsi="Times" w:cs="Times New Roman"/>
          <w:i/>
          <w:sz w:val="23"/>
          <w:szCs w:val="23"/>
        </w:rPr>
        <w:t>Social Science and Medicine</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173</w:t>
      </w:r>
      <w:r w:rsidRPr="00F853DD">
        <w:rPr>
          <w:rFonts w:ascii="Times" w:hAnsi="Times" w:cs="Times New Roman"/>
          <w:sz w:val="23"/>
          <w:szCs w:val="23"/>
        </w:rPr>
        <w:t>, 72-80.</w:t>
      </w:r>
    </w:p>
    <w:p w14:paraId="363CAF0F" w14:textId="2B80015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Kaufman, G. and Uhlenberg, P.</w:t>
      </w:r>
      <w:r w:rsidR="00DE35D4" w:rsidRPr="00F853DD">
        <w:rPr>
          <w:rFonts w:ascii="Times" w:hAnsi="Times" w:cs="Times New Roman"/>
          <w:sz w:val="23"/>
          <w:szCs w:val="23"/>
        </w:rPr>
        <w:t>,</w:t>
      </w:r>
      <w:r w:rsidRPr="00F853DD">
        <w:rPr>
          <w:rFonts w:ascii="Times" w:hAnsi="Times" w:cs="Times New Roman"/>
          <w:sz w:val="23"/>
          <w:szCs w:val="23"/>
        </w:rPr>
        <w:t xml:space="preserve"> (1998). Effects of life course transitions on the quality of relationships between adult children and their parents. </w:t>
      </w:r>
      <w:r w:rsidRPr="00F853DD">
        <w:rPr>
          <w:rFonts w:ascii="Times" w:hAnsi="Times" w:cs="Times New Roman"/>
          <w:i/>
          <w:sz w:val="23"/>
          <w:szCs w:val="23"/>
        </w:rPr>
        <w:t>Journal of Marriage and the Family</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60</w:t>
      </w:r>
      <w:r w:rsidRPr="00F853DD">
        <w:rPr>
          <w:rFonts w:ascii="Times" w:hAnsi="Times" w:cs="Times New Roman"/>
          <w:sz w:val="23"/>
          <w:szCs w:val="23"/>
        </w:rPr>
        <w:t>, 924-938.</w:t>
      </w:r>
    </w:p>
    <w:p w14:paraId="50A9C911" w14:textId="0F361D0B" w:rsidR="00E97DD6" w:rsidRPr="00F853DD" w:rsidRDefault="00DE35D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Kaushik, V. and Walsh, C.</w:t>
      </w:r>
      <w:r w:rsidR="00E97DD6" w:rsidRPr="00F853DD">
        <w:rPr>
          <w:rFonts w:ascii="Times" w:hAnsi="Times" w:cs="Times New Roman"/>
          <w:sz w:val="23"/>
          <w:szCs w:val="23"/>
        </w:rPr>
        <w:t xml:space="preserve">, 2019. Pragmatism as a </w:t>
      </w:r>
      <w:r w:rsidRPr="00F853DD">
        <w:rPr>
          <w:rFonts w:ascii="Times" w:hAnsi="Times" w:cs="Times New Roman"/>
          <w:sz w:val="23"/>
          <w:szCs w:val="23"/>
        </w:rPr>
        <w:t>research paradigm and its i</w:t>
      </w:r>
      <w:r w:rsidR="00E97DD6" w:rsidRPr="00F853DD">
        <w:rPr>
          <w:rFonts w:ascii="Times" w:hAnsi="Times" w:cs="Times New Roman"/>
          <w:sz w:val="23"/>
          <w:szCs w:val="23"/>
        </w:rPr>
        <w:t>mplicati</w:t>
      </w:r>
      <w:r w:rsidRPr="00F853DD">
        <w:rPr>
          <w:rFonts w:ascii="Times" w:hAnsi="Times" w:cs="Times New Roman"/>
          <w:sz w:val="23"/>
          <w:szCs w:val="23"/>
        </w:rPr>
        <w:t>ons for social work r</w:t>
      </w:r>
      <w:r w:rsidR="00E97DD6" w:rsidRPr="00F853DD">
        <w:rPr>
          <w:rFonts w:ascii="Times" w:hAnsi="Times" w:cs="Times New Roman"/>
          <w:sz w:val="23"/>
          <w:szCs w:val="23"/>
        </w:rPr>
        <w:t xml:space="preserve">esearch. </w:t>
      </w:r>
      <w:r w:rsidR="00E97DD6" w:rsidRPr="00F853DD">
        <w:rPr>
          <w:rFonts w:ascii="Times" w:hAnsi="Times" w:cs="Times New Roman"/>
          <w:i/>
          <w:sz w:val="23"/>
          <w:szCs w:val="23"/>
        </w:rPr>
        <w:t>Social Sciences</w:t>
      </w:r>
      <w:r w:rsidR="00E92FF6" w:rsidRPr="00F853DD">
        <w:rPr>
          <w:rFonts w:ascii="Times" w:hAnsi="Times" w:cs="Times New Roman"/>
          <w:sz w:val="23"/>
          <w:szCs w:val="23"/>
        </w:rPr>
        <w:t>.</w:t>
      </w:r>
      <w:r w:rsidR="00E97DD6" w:rsidRPr="00F853DD">
        <w:rPr>
          <w:rFonts w:ascii="Times" w:hAnsi="Times" w:cs="Times New Roman"/>
          <w:sz w:val="23"/>
          <w:szCs w:val="23"/>
        </w:rPr>
        <w:t xml:space="preserve"> 8(9), p.255.</w:t>
      </w:r>
    </w:p>
    <w:p w14:paraId="5114A5D8" w14:textId="1982215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Kean, S.</w:t>
      </w:r>
      <w:r w:rsidR="00DE35D4" w:rsidRPr="00F853DD">
        <w:rPr>
          <w:rFonts w:ascii="Times" w:hAnsi="Times" w:cs="Times New Roman"/>
          <w:sz w:val="23"/>
          <w:szCs w:val="23"/>
        </w:rPr>
        <w:t>,</w:t>
      </w:r>
      <w:r w:rsidRPr="00F853DD">
        <w:rPr>
          <w:rFonts w:ascii="Times" w:hAnsi="Times" w:cs="Times New Roman"/>
          <w:sz w:val="23"/>
          <w:szCs w:val="23"/>
        </w:rPr>
        <w:t xml:space="preserve"> (2007). </w:t>
      </w:r>
      <w:r w:rsidR="00DE35D4" w:rsidRPr="00F853DD">
        <w:rPr>
          <w:rFonts w:ascii="Times" w:hAnsi="Times" w:cs="Times New Roman"/>
          <w:i/>
          <w:sz w:val="23"/>
          <w:szCs w:val="23"/>
        </w:rPr>
        <w:t xml:space="preserve">The emergence of negotiated family care in intensive care: </w:t>
      </w:r>
      <w:r w:rsidR="00E92FF6" w:rsidRPr="00F853DD">
        <w:rPr>
          <w:rFonts w:ascii="Times" w:hAnsi="Times" w:cs="Times New Roman"/>
          <w:i/>
          <w:sz w:val="23"/>
          <w:szCs w:val="23"/>
        </w:rPr>
        <w:t>a</w:t>
      </w:r>
      <w:r w:rsidR="00DE35D4" w:rsidRPr="00F853DD">
        <w:rPr>
          <w:rFonts w:ascii="Times" w:hAnsi="Times" w:cs="Times New Roman"/>
          <w:i/>
          <w:sz w:val="23"/>
          <w:szCs w:val="23"/>
        </w:rPr>
        <w:t xml:space="preserve"> grounded theory a</w:t>
      </w:r>
      <w:r w:rsidRPr="00F853DD">
        <w:rPr>
          <w:rFonts w:ascii="Times" w:hAnsi="Times" w:cs="Times New Roman"/>
          <w:i/>
          <w:sz w:val="23"/>
          <w:szCs w:val="23"/>
        </w:rPr>
        <w:t>pproach</w:t>
      </w:r>
      <w:r w:rsidRPr="00F853DD">
        <w:rPr>
          <w:rFonts w:ascii="Times" w:hAnsi="Times" w:cs="Times New Roman"/>
          <w:sz w:val="23"/>
          <w:szCs w:val="23"/>
        </w:rPr>
        <w:t>. Doctor of Philosophy.</w:t>
      </w:r>
    </w:p>
    <w:p w14:paraId="202B2FAE" w14:textId="0840F33B" w:rsidR="00DF05BD" w:rsidRPr="00F853DD" w:rsidRDefault="006B463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Keating, N., Fast, J., Connidis, I.</w:t>
      </w:r>
      <w:r w:rsidR="00DF05BD" w:rsidRPr="00F853DD">
        <w:rPr>
          <w:rFonts w:ascii="Times" w:hAnsi="Times" w:cs="Times New Roman"/>
          <w:sz w:val="23"/>
          <w:szCs w:val="23"/>
        </w:rPr>
        <w:t>, Penning, M. and Keefe, J.</w:t>
      </w:r>
      <w:r w:rsidRPr="00F853DD">
        <w:rPr>
          <w:rFonts w:ascii="Times" w:hAnsi="Times" w:cs="Times New Roman"/>
          <w:sz w:val="23"/>
          <w:szCs w:val="23"/>
        </w:rPr>
        <w:t>,</w:t>
      </w:r>
      <w:r w:rsidR="00DF05BD" w:rsidRPr="00F853DD">
        <w:rPr>
          <w:rFonts w:ascii="Times" w:hAnsi="Times" w:cs="Times New Roman"/>
          <w:sz w:val="23"/>
          <w:szCs w:val="23"/>
        </w:rPr>
        <w:t xml:space="preserve"> (1997). Bridging policy and research in elder care. </w:t>
      </w:r>
      <w:r w:rsidR="00DF05BD" w:rsidRPr="00F853DD">
        <w:rPr>
          <w:rFonts w:ascii="Times" w:hAnsi="Times" w:cs="Times New Roman"/>
          <w:i/>
          <w:sz w:val="23"/>
          <w:szCs w:val="23"/>
        </w:rPr>
        <w:t>Canadian Journal on Aging-Revue Canadienne Du Vieillissement</w:t>
      </w:r>
      <w:r w:rsidR="00E92FF6"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DF05BD" w:rsidRPr="00F853DD">
        <w:rPr>
          <w:rFonts w:ascii="Times" w:hAnsi="Times" w:cs="Times New Roman"/>
          <w:sz w:val="23"/>
          <w:szCs w:val="23"/>
        </w:rPr>
        <w:t>, 22-41.</w:t>
      </w:r>
    </w:p>
    <w:p w14:paraId="33D0E261" w14:textId="5F634F2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Keck, M. and Sakdapolrak, P.</w:t>
      </w:r>
      <w:r w:rsidR="006B463B" w:rsidRPr="00F853DD">
        <w:rPr>
          <w:rFonts w:ascii="Times" w:hAnsi="Times" w:cs="Times New Roman"/>
          <w:sz w:val="23"/>
          <w:szCs w:val="23"/>
        </w:rPr>
        <w:t>, (2013). What is s</w:t>
      </w:r>
      <w:r w:rsidRPr="00F853DD">
        <w:rPr>
          <w:rFonts w:ascii="Times" w:hAnsi="Times" w:cs="Times New Roman"/>
          <w:sz w:val="23"/>
          <w:szCs w:val="23"/>
        </w:rPr>
        <w:t xml:space="preserve">ocial </w:t>
      </w:r>
      <w:r w:rsidR="006B463B" w:rsidRPr="00F853DD">
        <w:rPr>
          <w:rFonts w:ascii="Times" w:hAnsi="Times" w:cs="Times New Roman"/>
          <w:sz w:val="23"/>
          <w:szCs w:val="23"/>
        </w:rPr>
        <w:t>resilience? Lessons learned and ways f</w:t>
      </w:r>
      <w:r w:rsidRPr="00F853DD">
        <w:rPr>
          <w:rFonts w:ascii="Times" w:hAnsi="Times" w:cs="Times New Roman"/>
          <w:sz w:val="23"/>
          <w:szCs w:val="23"/>
        </w:rPr>
        <w:t xml:space="preserve">orward. </w:t>
      </w:r>
      <w:r w:rsidRPr="00F853DD">
        <w:rPr>
          <w:rFonts w:ascii="Times" w:hAnsi="Times" w:cs="Times New Roman"/>
          <w:i/>
          <w:sz w:val="23"/>
          <w:szCs w:val="23"/>
        </w:rPr>
        <w:t>Erdkunde</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67</w:t>
      </w:r>
      <w:r w:rsidRPr="00F853DD">
        <w:rPr>
          <w:rFonts w:ascii="Times" w:hAnsi="Times" w:cs="Times New Roman"/>
          <w:sz w:val="23"/>
          <w:szCs w:val="23"/>
        </w:rPr>
        <w:t>, 5-19.</w:t>
      </w:r>
    </w:p>
    <w:p w14:paraId="6F89779B" w14:textId="4ED2C78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Keller, H., Zach, U. and Abels, M.</w:t>
      </w:r>
      <w:r w:rsidR="006B463B" w:rsidRPr="00F853DD">
        <w:rPr>
          <w:rFonts w:ascii="Times" w:hAnsi="Times" w:cs="Times New Roman"/>
          <w:sz w:val="23"/>
          <w:szCs w:val="23"/>
        </w:rPr>
        <w:t>,</w:t>
      </w:r>
      <w:r w:rsidRPr="00F853DD">
        <w:rPr>
          <w:rFonts w:ascii="Times" w:hAnsi="Times" w:cs="Times New Roman"/>
          <w:sz w:val="23"/>
          <w:szCs w:val="23"/>
        </w:rPr>
        <w:t xml:space="preserve"> (2005). </w:t>
      </w:r>
      <w:r w:rsidR="006B463B" w:rsidRPr="00F853DD">
        <w:rPr>
          <w:rFonts w:ascii="Times" w:hAnsi="Times" w:cs="Times New Roman"/>
          <w:sz w:val="23"/>
          <w:szCs w:val="23"/>
        </w:rPr>
        <w:t>The German family: f</w:t>
      </w:r>
      <w:r w:rsidRPr="00F853DD">
        <w:rPr>
          <w:rFonts w:ascii="Times" w:hAnsi="Times" w:cs="Times New Roman"/>
          <w:sz w:val="23"/>
          <w:szCs w:val="23"/>
        </w:rPr>
        <w:t xml:space="preserve">amilies in Germany. In: Roopnarine, J. And Gielen, U. (eds.) </w:t>
      </w:r>
      <w:r w:rsidRPr="00F853DD">
        <w:rPr>
          <w:rFonts w:ascii="Times" w:hAnsi="Times" w:cs="Times New Roman"/>
          <w:i/>
          <w:sz w:val="23"/>
          <w:szCs w:val="23"/>
        </w:rPr>
        <w:t>Families in Global Perspective</w:t>
      </w:r>
      <w:r w:rsidRPr="00F853DD">
        <w:rPr>
          <w:rFonts w:ascii="Times" w:hAnsi="Times" w:cs="Times New Roman"/>
          <w:sz w:val="23"/>
          <w:szCs w:val="23"/>
        </w:rPr>
        <w:t>. USA: Pearson Education Inc.</w:t>
      </w:r>
    </w:p>
    <w:p w14:paraId="07BE6362" w14:textId="468B440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Keller, J., Nelson, S. and Wick, R.</w:t>
      </w:r>
      <w:r w:rsidR="006B463B" w:rsidRPr="00F853DD">
        <w:rPr>
          <w:rFonts w:ascii="Times" w:hAnsi="Times" w:cs="Times New Roman"/>
          <w:sz w:val="23"/>
          <w:szCs w:val="23"/>
        </w:rPr>
        <w:t>, (2003) Care ethics, service-learning, and s</w:t>
      </w:r>
      <w:r w:rsidRPr="00F853DD">
        <w:rPr>
          <w:rFonts w:ascii="Times" w:hAnsi="Times" w:cs="Times New Roman"/>
          <w:sz w:val="23"/>
          <w:szCs w:val="23"/>
        </w:rPr>
        <w:t>ocia</w:t>
      </w:r>
      <w:r w:rsidR="006B463B" w:rsidRPr="00F853DD">
        <w:rPr>
          <w:rFonts w:ascii="Times" w:hAnsi="Times" w:cs="Times New Roman"/>
          <w:sz w:val="23"/>
          <w:szCs w:val="23"/>
        </w:rPr>
        <w:t>l c</w:t>
      </w:r>
      <w:r w:rsidRPr="00F853DD">
        <w:rPr>
          <w:rFonts w:ascii="Times" w:hAnsi="Times" w:cs="Times New Roman"/>
          <w:sz w:val="23"/>
          <w:szCs w:val="23"/>
        </w:rPr>
        <w:t xml:space="preserve">hange. </w:t>
      </w:r>
      <w:r w:rsidRPr="00F853DD">
        <w:rPr>
          <w:rFonts w:ascii="Times" w:hAnsi="Times" w:cs="Times New Roman"/>
          <w:i/>
          <w:sz w:val="23"/>
          <w:szCs w:val="23"/>
        </w:rPr>
        <w:t>Michigan Journal of Community Service Learning</w:t>
      </w:r>
      <w:r w:rsidR="00E92FF6" w:rsidRPr="00F853DD">
        <w:rPr>
          <w:rFonts w:ascii="Times" w:hAnsi="Times" w:cs="Times New Roman"/>
          <w:sz w:val="23"/>
          <w:szCs w:val="23"/>
        </w:rPr>
        <w:t>.</w:t>
      </w:r>
      <w:r w:rsidRPr="00F853DD">
        <w:rPr>
          <w:rFonts w:ascii="Times" w:hAnsi="Times" w:cs="Times New Roman"/>
          <w:sz w:val="23"/>
          <w:szCs w:val="23"/>
        </w:rPr>
        <w:t xml:space="preserve"> 39-50.</w:t>
      </w:r>
    </w:p>
    <w:p w14:paraId="2DF753A3" w14:textId="487E37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Kemper, P.</w:t>
      </w:r>
      <w:r w:rsidR="006B463B" w:rsidRPr="00F853DD">
        <w:rPr>
          <w:rFonts w:ascii="Times" w:hAnsi="Times" w:cs="Times New Roman"/>
          <w:sz w:val="23"/>
          <w:szCs w:val="23"/>
        </w:rPr>
        <w:t>, (1988). The evaluation of the national long-term care demonstration: overview of the f</w:t>
      </w:r>
      <w:r w:rsidRPr="00F853DD">
        <w:rPr>
          <w:rFonts w:ascii="Times" w:hAnsi="Times" w:cs="Times New Roman"/>
          <w:sz w:val="23"/>
          <w:szCs w:val="23"/>
        </w:rPr>
        <w:t xml:space="preserve">indings. </w:t>
      </w:r>
      <w:r w:rsidRPr="00F853DD">
        <w:rPr>
          <w:rFonts w:ascii="Times" w:hAnsi="Times" w:cs="Times New Roman"/>
          <w:i/>
          <w:sz w:val="23"/>
          <w:szCs w:val="23"/>
        </w:rPr>
        <w:t>Health Services Research</w:t>
      </w:r>
      <w:r w:rsidRPr="00F853DD">
        <w:rPr>
          <w:rFonts w:ascii="Times" w:hAnsi="Times" w:cs="Times New Roman"/>
          <w:sz w:val="23"/>
          <w:szCs w:val="23"/>
        </w:rPr>
        <w:t xml:space="preserve">, </w:t>
      </w:r>
      <w:r w:rsidRPr="00F853DD">
        <w:rPr>
          <w:rFonts w:ascii="Times" w:hAnsi="Times" w:cs="Times New Roman"/>
          <w:b/>
          <w:sz w:val="23"/>
          <w:szCs w:val="23"/>
        </w:rPr>
        <w:t>23</w:t>
      </w:r>
      <w:r w:rsidR="00E92FF6" w:rsidRPr="00F853DD">
        <w:rPr>
          <w:rFonts w:ascii="Times" w:hAnsi="Times" w:cs="Times New Roman"/>
          <w:sz w:val="23"/>
          <w:szCs w:val="23"/>
        </w:rPr>
        <w:t>.</w:t>
      </w:r>
      <w:r w:rsidRPr="00F853DD">
        <w:rPr>
          <w:rFonts w:ascii="Times" w:hAnsi="Times" w:cs="Times New Roman"/>
          <w:sz w:val="23"/>
          <w:szCs w:val="23"/>
        </w:rPr>
        <w:t xml:space="preserve"> 161-174.</w:t>
      </w:r>
    </w:p>
    <w:p w14:paraId="04504E10" w14:textId="6E7F82C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Kemper, P.</w:t>
      </w:r>
      <w:r w:rsidR="006B463B" w:rsidRPr="00F853DD">
        <w:rPr>
          <w:rFonts w:ascii="Times" w:hAnsi="Times" w:cs="Times New Roman"/>
          <w:sz w:val="23"/>
          <w:szCs w:val="23"/>
        </w:rPr>
        <w:t>,</w:t>
      </w:r>
      <w:r w:rsidRPr="00F853DD">
        <w:rPr>
          <w:rFonts w:ascii="Times" w:hAnsi="Times" w:cs="Times New Roman"/>
          <w:sz w:val="23"/>
          <w:szCs w:val="23"/>
        </w:rPr>
        <w:t xml:space="preserve"> (2003). Long-term care research and policy. </w:t>
      </w:r>
      <w:r w:rsidRPr="00F853DD">
        <w:rPr>
          <w:rFonts w:ascii="Times" w:hAnsi="Times" w:cs="Times New Roman"/>
          <w:i/>
          <w:sz w:val="23"/>
          <w:szCs w:val="23"/>
        </w:rPr>
        <w:t>The Gerontologist</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43</w:t>
      </w:r>
      <w:r w:rsidRPr="00F853DD">
        <w:rPr>
          <w:rFonts w:ascii="Times" w:hAnsi="Times" w:cs="Times New Roman"/>
          <w:sz w:val="23"/>
          <w:szCs w:val="23"/>
        </w:rPr>
        <w:t>, 436-446.</w:t>
      </w:r>
    </w:p>
    <w:p w14:paraId="17CF77FC" w14:textId="723D0B3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Kendig, H., Hashimoto, A. and Coppard, L. C. (1992). </w:t>
      </w:r>
      <w:r w:rsidRPr="00F853DD">
        <w:rPr>
          <w:rFonts w:ascii="Times" w:hAnsi="Times" w:cs="Times New Roman"/>
          <w:i/>
          <w:sz w:val="23"/>
          <w:szCs w:val="23"/>
        </w:rPr>
        <w:t xml:space="preserve">Family </w:t>
      </w:r>
      <w:r w:rsidR="00E92FF6" w:rsidRPr="00F853DD">
        <w:rPr>
          <w:rFonts w:ascii="Times" w:hAnsi="Times" w:cs="Times New Roman"/>
          <w:i/>
          <w:sz w:val="23"/>
          <w:szCs w:val="23"/>
        </w:rPr>
        <w:t>s</w:t>
      </w:r>
      <w:r w:rsidRPr="00F853DD">
        <w:rPr>
          <w:rFonts w:ascii="Times" w:hAnsi="Times" w:cs="Times New Roman"/>
          <w:i/>
          <w:sz w:val="23"/>
          <w:szCs w:val="23"/>
        </w:rPr>
        <w:t xml:space="preserve">upport for the </w:t>
      </w:r>
      <w:r w:rsidR="00E92FF6" w:rsidRPr="00F853DD">
        <w:rPr>
          <w:rFonts w:ascii="Times" w:hAnsi="Times" w:cs="Times New Roman"/>
          <w:i/>
          <w:sz w:val="23"/>
          <w:szCs w:val="23"/>
        </w:rPr>
        <w:t>e</w:t>
      </w:r>
      <w:r w:rsidRPr="00F853DD">
        <w:rPr>
          <w:rFonts w:ascii="Times" w:hAnsi="Times" w:cs="Times New Roman"/>
          <w:i/>
          <w:sz w:val="23"/>
          <w:szCs w:val="23"/>
        </w:rPr>
        <w:t xml:space="preserve">lderly: </w:t>
      </w:r>
      <w:r w:rsidR="00E92FF6" w:rsidRPr="00F853DD">
        <w:rPr>
          <w:rFonts w:ascii="Times" w:hAnsi="Times" w:cs="Times New Roman"/>
          <w:i/>
          <w:sz w:val="23"/>
          <w:szCs w:val="23"/>
        </w:rPr>
        <w:t>the i</w:t>
      </w:r>
      <w:r w:rsidRPr="00F853DD">
        <w:rPr>
          <w:rFonts w:ascii="Times" w:hAnsi="Times" w:cs="Times New Roman"/>
          <w:i/>
          <w:sz w:val="23"/>
          <w:szCs w:val="23"/>
        </w:rPr>
        <w:t xml:space="preserve">nternational </w:t>
      </w:r>
      <w:r w:rsidR="00E92FF6" w:rsidRPr="00F853DD">
        <w:rPr>
          <w:rFonts w:ascii="Times" w:hAnsi="Times" w:cs="Times New Roman"/>
          <w:i/>
          <w:sz w:val="23"/>
          <w:szCs w:val="23"/>
        </w:rPr>
        <w:t>e</w:t>
      </w:r>
      <w:r w:rsidRPr="00F853DD">
        <w:rPr>
          <w:rFonts w:ascii="Times" w:hAnsi="Times" w:cs="Times New Roman"/>
          <w:i/>
          <w:sz w:val="23"/>
          <w:szCs w:val="23"/>
        </w:rPr>
        <w:t>xperience</w:t>
      </w:r>
      <w:r w:rsidRPr="00F853DD">
        <w:rPr>
          <w:rFonts w:ascii="Times" w:hAnsi="Times" w:cs="Times New Roman"/>
          <w:sz w:val="23"/>
          <w:szCs w:val="23"/>
        </w:rPr>
        <w:t>. Oxford University Press.</w:t>
      </w:r>
    </w:p>
    <w:p w14:paraId="0D3AAC8E" w14:textId="7436E6D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Kenny, L., Day, M. R., O’Connell, C., Finnerty, J., Timmons, S. and Fox, S. (2016). A qualitative exploration of the housing needs of marginalised older people in social housing: focus-groups with ‘mainstream’ and ‘sheltered’ tenants. </w:t>
      </w:r>
      <w:r w:rsidRPr="00F853DD">
        <w:rPr>
          <w:rFonts w:ascii="Times" w:hAnsi="Times" w:cs="Times New Roman"/>
          <w:i/>
          <w:sz w:val="23"/>
          <w:szCs w:val="23"/>
        </w:rPr>
        <w:t>Age and Ageing</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45</w:t>
      </w:r>
      <w:r w:rsidRPr="00F853DD">
        <w:rPr>
          <w:rFonts w:ascii="Times" w:hAnsi="Times" w:cs="Times New Roman"/>
          <w:sz w:val="23"/>
          <w:szCs w:val="23"/>
        </w:rPr>
        <w:t>, 21-21.</w:t>
      </w:r>
    </w:p>
    <w:p w14:paraId="1EFA8B4B" w14:textId="1969DE0B" w:rsidR="00DF05BD" w:rsidRPr="00F853DD" w:rsidRDefault="006B463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Kietzman, K., Benjamin, A., and Matthias, R.,</w:t>
      </w:r>
      <w:r w:rsidR="00DF05BD" w:rsidRPr="00F853DD">
        <w:rPr>
          <w:rFonts w:ascii="Times" w:hAnsi="Times" w:cs="Times New Roman"/>
          <w:sz w:val="23"/>
          <w:szCs w:val="23"/>
        </w:rPr>
        <w:t xml:space="preserve"> (2013). Whose choice? Self-determination and the motivations of paid family and friend caregivers. </w:t>
      </w:r>
      <w:r w:rsidR="00DF05BD" w:rsidRPr="00F853DD">
        <w:rPr>
          <w:rFonts w:ascii="Times" w:hAnsi="Times" w:cs="Times New Roman"/>
          <w:i/>
          <w:sz w:val="23"/>
          <w:szCs w:val="23"/>
        </w:rPr>
        <w:t>Journal of Comparative Family Studies</w:t>
      </w:r>
      <w:r w:rsidR="00E92FF6" w:rsidRPr="00F853DD">
        <w:rPr>
          <w:rFonts w:ascii="Times" w:hAnsi="Times" w:cs="Times New Roman"/>
          <w:sz w:val="23"/>
          <w:szCs w:val="23"/>
        </w:rPr>
        <w:t>.</w:t>
      </w:r>
      <w:r w:rsidR="00DF05BD" w:rsidRPr="00F853DD">
        <w:rPr>
          <w:rFonts w:ascii="Times" w:hAnsi="Times" w:cs="Times New Roman"/>
          <w:sz w:val="23"/>
          <w:szCs w:val="23"/>
        </w:rPr>
        <w:t xml:space="preserve"> 519-540.</w:t>
      </w:r>
    </w:p>
    <w:p w14:paraId="0CBE8F92" w14:textId="5322AD81" w:rsidR="00DF05BD" w:rsidRPr="00F853DD" w:rsidRDefault="006B463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Killian, T. and Ganong, L.,</w:t>
      </w:r>
      <w:r w:rsidR="00DF05BD" w:rsidRPr="00F853DD">
        <w:rPr>
          <w:rFonts w:ascii="Times" w:hAnsi="Times" w:cs="Times New Roman"/>
          <w:sz w:val="23"/>
          <w:szCs w:val="23"/>
        </w:rPr>
        <w:t xml:space="preserve"> (2002). Ideology, context, and obligations to assist older persons. </w:t>
      </w:r>
      <w:r w:rsidR="00DF05BD" w:rsidRPr="00F853DD">
        <w:rPr>
          <w:rFonts w:ascii="Times" w:hAnsi="Times" w:cs="Times New Roman"/>
          <w:i/>
          <w:sz w:val="23"/>
          <w:szCs w:val="23"/>
        </w:rPr>
        <w:t>Journal of Marriage and Family</w:t>
      </w:r>
      <w:r w:rsidR="00E92FF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64</w:t>
      </w:r>
      <w:r w:rsidR="00DF05BD" w:rsidRPr="00F853DD">
        <w:rPr>
          <w:rFonts w:ascii="Times" w:hAnsi="Times" w:cs="Times New Roman"/>
          <w:sz w:val="23"/>
          <w:szCs w:val="23"/>
        </w:rPr>
        <w:t>, 1080-1088.</w:t>
      </w:r>
    </w:p>
    <w:p w14:paraId="059686EB" w14:textId="2EA26172" w:rsidR="00DF05BD" w:rsidRPr="00F853DD" w:rsidRDefault="006B463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Kim, E., (2016). Caregiver stress and related factors in Korean households utilizing childcare support by g</w:t>
      </w:r>
      <w:r w:rsidR="00DF05BD" w:rsidRPr="00F853DD">
        <w:rPr>
          <w:rFonts w:ascii="Times" w:hAnsi="Times" w:cs="Times New Roman"/>
          <w:sz w:val="23"/>
          <w:szCs w:val="23"/>
        </w:rPr>
        <w:t xml:space="preserve">randmothers. </w:t>
      </w:r>
      <w:r w:rsidR="00DF05BD" w:rsidRPr="00F853DD">
        <w:rPr>
          <w:rFonts w:ascii="Times" w:hAnsi="Times" w:cs="Times New Roman"/>
          <w:i/>
          <w:sz w:val="23"/>
          <w:szCs w:val="23"/>
        </w:rPr>
        <w:t>Asian Social Work and Policy Review</w:t>
      </w:r>
      <w:r w:rsidR="00E92FF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w:t>
      </w:r>
      <w:r w:rsidR="00DF05BD" w:rsidRPr="00F853DD">
        <w:rPr>
          <w:rFonts w:ascii="Times" w:hAnsi="Times" w:cs="Times New Roman"/>
          <w:sz w:val="23"/>
          <w:szCs w:val="23"/>
        </w:rPr>
        <w:t>, 113-129.</w:t>
      </w:r>
    </w:p>
    <w:p w14:paraId="7AC2A5A8" w14:textId="3CA5AF93" w:rsidR="00DF05BD" w:rsidRPr="00F853DD" w:rsidRDefault="006B463B"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Kim, H.</w:t>
      </w:r>
      <w:r w:rsidR="00DF05BD" w:rsidRPr="00F853DD">
        <w:rPr>
          <w:rFonts w:ascii="Times" w:hAnsi="Times" w:cs="Times New Roman"/>
          <w:sz w:val="23"/>
          <w:szCs w:val="23"/>
        </w:rPr>
        <w:t>, Hong, S. and Kim, M.</w:t>
      </w:r>
      <w:r w:rsidRPr="00F853DD">
        <w:rPr>
          <w:rFonts w:ascii="Times" w:hAnsi="Times" w:cs="Times New Roman"/>
          <w:sz w:val="23"/>
          <w:szCs w:val="23"/>
        </w:rPr>
        <w:t>,</w:t>
      </w:r>
      <w:r w:rsidR="00DF05BD" w:rsidRPr="00F853DD">
        <w:rPr>
          <w:rFonts w:ascii="Times" w:hAnsi="Times" w:cs="Times New Roman"/>
          <w:sz w:val="23"/>
          <w:szCs w:val="23"/>
        </w:rPr>
        <w:t xml:space="preserve"> (2015). Living arrangement, social connectedness, and life satisfaction among Korean older adults with physical disabilities: The results from the national survey on persons with disabilities. </w:t>
      </w:r>
      <w:r w:rsidR="00DF05BD" w:rsidRPr="00F853DD">
        <w:rPr>
          <w:rFonts w:ascii="Times" w:hAnsi="Times" w:cs="Times New Roman"/>
          <w:i/>
          <w:sz w:val="23"/>
          <w:szCs w:val="23"/>
        </w:rPr>
        <w:t>Journal of Developmental and Physical Disabilities</w:t>
      </w:r>
      <w:r w:rsidR="00E92FF6" w:rsidRPr="00F853DD">
        <w:rPr>
          <w:rFonts w:ascii="Times" w:hAnsi="Times" w:cs="Times New Roman"/>
          <w:i/>
          <w:sz w:val="23"/>
          <w:szCs w:val="23"/>
        </w:rPr>
        <w:t>.</w:t>
      </w:r>
      <w:r w:rsidR="00DF05BD" w:rsidRPr="00F853DD">
        <w:rPr>
          <w:rFonts w:ascii="Times" w:hAnsi="Times" w:cs="Times New Roman"/>
          <w:i/>
          <w:sz w:val="23"/>
          <w:szCs w:val="23"/>
        </w:rPr>
        <w:t xml:space="preserve"> </w:t>
      </w:r>
      <w:r w:rsidR="00DF05BD" w:rsidRPr="00F853DD">
        <w:rPr>
          <w:rFonts w:ascii="Times" w:hAnsi="Times" w:cs="Times New Roman"/>
          <w:b/>
          <w:i/>
          <w:sz w:val="23"/>
          <w:szCs w:val="23"/>
        </w:rPr>
        <w:t>27</w:t>
      </w:r>
      <w:r w:rsidR="00DF05BD" w:rsidRPr="00F853DD">
        <w:rPr>
          <w:rFonts w:ascii="Times" w:hAnsi="Times" w:cs="Times New Roman"/>
          <w:i/>
          <w:sz w:val="23"/>
          <w:szCs w:val="23"/>
        </w:rPr>
        <w:t>, 307-321.</w:t>
      </w:r>
    </w:p>
    <w:p w14:paraId="185A1864" w14:textId="24B0A8DD" w:rsidR="00DF05BD" w:rsidRPr="00F853DD" w:rsidRDefault="006B463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Kim, I. and Kim, C.,</w:t>
      </w:r>
      <w:r w:rsidR="00DF05BD" w:rsidRPr="00F853DD">
        <w:rPr>
          <w:rFonts w:ascii="Times" w:hAnsi="Times" w:cs="Times New Roman"/>
          <w:sz w:val="23"/>
          <w:szCs w:val="23"/>
        </w:rPr>
        <w:t xml:space="preserve"> (2003). Patterns of family support and the quality of life of the elderly. </w:t>
      </w:r>
      <w:r w:rsidR="00DF05BD" w:rsidRPr="00F853DD">
        <w:rPr>
          <w:rFonts w:ascii="Times" w:hAnsi="Times" w:cs="Times New Roman"/>
          <w:i/>
          <w:sz w:val="23"/>
          <w:szCs w:val="23"/>
        </w:rPr>
        <w:t>Social Indicators Research</w:t>
      </w:r>
      <w:r w:rsidR="00E92FF6"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62</w:t>
      </w:r>
      <w:r w:rsidR="00DF05BD" w:rsidRPr="00F853DD">
        <w:rPr>
          <w:rFonts w:ascii="Times" w:hAnsi="Times" w:cs="Times New Roman"/>
          <w:sz w:val="23"/>
          <w:szCs w:val="23"/>
        </w:rPr>
        <w:t>(3), 437-454.</w:t>
      </w:r>
    </w:p>
    <w:p w14:paraId="53667FA1" w14:textId="722B804E" w:rsidR="00DF05BD" w:rsidRPr="00F853DD" w:rsidRDefault="006B463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Kim, K., Bangerter, L., Liu, Y., Polenick, C., Zarit, S. and Fingerman, K.,</w:t>
      </w:r>
      <w:r w:rsidR="00DF05BD" w:rsidRPr="00F853DD">
        <w:rPr>
          <w:rFonts w:ascii="Times" w:hAnsi="Times" w:cs="Times New Roman"/>
          <w:sz w:val="23"/>
          <w:szCs w:val="23"/>
        </w:rPr>
        <w:t xml:space="preserve"> (2017). Middle-aged offspring's support to aging parents with emerging disability. </w:t>
      </w:r>
      <w:r w:rsidR="00DF05BD" w:rsidRPr="00F853DD">
        <w:rPr>
          <w:rFonts w:ascii="Times" w:hAnsi="Times" w:cs="Times New Roman"/>
          <w:i/>
          <w:sz w:val="23"/>
          <w:szCs w:val="23"/>
        </w:rPr>
        <w:t>Gerontologist</w:t>
      </w:r>
      <w:r w:rsidR="00E92FF6"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57</w:t>
      </w:r>
      <w:r w:rsidR="00DF05BD" w:rsidRPr="00F853DD">
        <w:rPr>
          <w:rFonts w:ascii="Times" w:hAnsi="Times" w:cs="Times New Roman"/>
          <w:sz w:val="23"/>
          <w:szCs w:val="23"/>
        </w:rPr>
        <w:t>, 441-450.</w:t>
      </w:r>
      <w:r w:rsidR="00951940" w:rsidRPr="00F853DD">
        <w:rPr>
          <w:rFonts w:ascii="Times" w:hAnsi="Times" w:cs="Times New Roman"/>
          <w:sz w:val="23"/>
          <w:szCs w:val="23"/>
        </w:rPr>
        <w:t xml:space="preserve"> [Viewed 3 November 2017]. Available from: 10.1093/</w:t>
      </w:r>
      <w:proofErr w:type="spellStart"/>
      <w:r w:rsidR="00951940" w:rsidRPr="00F853DD">
        <w:rPr>
          <w:rFonts w:ascii="Times" w:hAnsi="Times" w:cs="Times New Roman"/>
          <w:sz w:val="23"/>
          <w:szCs w:val="23"/>
        </w:rPr>
        <w:t>geront</w:t>
      </w:r>
      <w:proofErr w:type="spellEnd"/>
      <w:r w:rsidR="00951940" w:rsidRPr="00F853DD">
        <w:rPr>
          <w:rFonts w:ascii="Times" w:hAnsi="Times" w:cs="Times New Roman"/>
          <w:sz w:val="23"/>
          <w:szCs w:val="23"/>
        </w:rPr>
        <w:t>/gnv686</w:t>
      </w:r>
    </w:p>
    <w:p w14:paraId="1E3B3262" w14:textId="0612769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proofErr w:type="spellStart"/>
      <w:r w:rsidRPr="00F853DD">
        <w:rPr>
          <w:rFonts w:ascii="Times" w:hAnsi="Times" w:cs="Times New Roman"/>
          <w:sz w:val="23"/>
          <w:szCs w:val="23"/>
        </w:rPr>
        <w:t>Kindt</w:t>
      </w:r>
      <w:proofErr w:type="spellEnd"/>
      <w:r w:rsidRPr="00F853DD">
        <w:rPr>
          <w:rFonts w:ascii="Times" w:hAnsi="Times" w:cs="Times New Roman"/>
          <w:sz w:val="23"/>
          <w:szCs w:val="23"/>
        </w:rPr>
        <w:t xml:space="preserve">, S., </w:t>
      </w:r>
      <w:proofErr w:type="spellStart"/>
      <w:r w:rsidRPr="00F853DD">
        <w:rPr>
          <w:rFonts w:ascii="Times" w:hAnsi="Times" w:cs="Times New Roman"/>
          <w:sz w:val="23"/>
          <w:szCs w:val="23"/>
        </w:rPr>
        <w:t>Vansteenkiste</w:t>
      </w:r>
      <w:proofErr w:type="spellEnd"/>
      <w:r w:rsidRPr="00F853DD">
        <w:rPr>
          <w:rFonts w:ascii="Times" w:hAnsi="Times" w:cs="Times New Roman"/>
          <w:sz w:val="23"/>
          <w:szCs w:val="23"/>
        </w:rPr>
        <w:t xml:space="preserve">, M., </w:t>
      </w:r>
      <w:proofErr w:type="spellStart"/>
      <w:r w:rsidRPr="00F853DD">
        <w:rPr>
          <w:rFonts w:ascii="Times" w:hAnsi="Times" w:cs="Times New Roman"/>
          <w:sz w:val="23"/>
          <w:szCs w:val="23"/>
        </w:rPr>
        <w:t>Loeys</w:t>
      </w:r>
      <w:proofErr w:type="spellEnd"/>
      <w:r w:rsidRPr="00F853DD">
        <w:rPr>
          <w:rFonts w:ascii="Times" w:hAnsi="Times" w:cs="Times New Roman"/>
          <w:sz w:val="23"/>
          <w:szCs w:val="23"/>
        </w:rPr>
        <w:t xml:space="preserve">, T., Cano, A., </w:t>
      </w:r>
      <w:proofErr w:type="spellStart"/>
      <w:r w:rsidRPr="00F853DD">
        <w:rPr>
          <w:rFonts w:ascii="Times" w:hAnsi="Times" w:cs="Times New Roman"/>
          <w:sz w:val="23"/>
          <w:szCs w:val="23"/>
        </w:rPr>
        <w:t>L</w:t>
      </w:r>
      <w:r w:rsidR="006B463B" w:rsidRPr="00F853DD">
        <w:rPr>
          <w:rFonts w:ascii="Times" w:hAnsi="Times" w:cs="Times New Roman"/>
          <w:sz w:val="23"/>
          <w:szCs w:val="23"/>
        </w:rPr>
        <w:t>auwerier</w:t>
      </w:r>
      <w:proofErr w:type="spellEnd"/>
      <w:r w:rsidR="006B463B" w:rsidRPr="00F853DD">
        <w:rPr>
          <w:rFonts w:ascii="Times" w:hAnsi="Times" w:cs="Times New Roman"/>
          <w:sz w:val="23"/>
          <w:szCs w:val="23"/>
        </w:rPr>
        <w:t xml:space="preserve">, E., </w:t>
      </w:r>
      <w:proofErr w:type="spellStart"/>
      <w:r w:rsidR="006B463B" w:rsidRPr="00F853DD">
        <w:rPr>
          <w:rFonts w:ascii="Times" w:hAnsi="Times" w:cs="Times New Roman"/>
          <w:sz w:val="23"/>
          <w:szCs w:val="23"/>
        </w:rPr>
        <w:t>Verhofstadt</w:t>
      </w:r>
      <w:proofErr w:type="spellEnd"/>
      <w:r w:rsidR="006B463B" w:rsidRPr="00F853DD">
        <w:rPr>
          <w:rFonts w:ascii="Times" w:hAnsi="Times" w:cs="Times New Roman"/>
          <w:sz w:val="23"/>
          <w:szCs w:val="23"/>
        </w:rPr>
        <w:t>, L.</w:t>
      </w:r>
      <w:r w:rsidRPr="00F853DD">
        <w:rPr>
          <w:rFonts w:ascii="Times" w:hAnsi="Times" w:cs="Times New Roman"/>
          <w:sz w:val="23"/>
          <w:szCs w:val="23"/>
        </w:rPr>
        <w:t xml:space="preserve"> and </w:t>
      </w:r>
      <w:proofErr w:type="spellStart"/>
      <w:r w:rsidRPr="00F853DD">
        <w:rPr>
          <w:rFonts w:ascii="Times" w:hAnsi="Times" w:cs="Times New Roman"/>
          <w:sz w:val="23"/>
          <w:szCs w:val="23"/>
        </w:rPr>
        <w:t>Goubert</w:t>
      </w:r>
      <w:proofErr w:type="spellEnd"/>
      <w:r w:rsidRPr="00F853DD">
        <w:rPr>
          <w:rFonts w:ascii="Times" w:hAnsi="Times" w:cs="Times New Roman"/>
          <w:sz w:val="23"/>
          <w:szCs w:val="23"/>
        </w:rPr>
        <w:t>, L.</w:t>
      </w:r>
      <w:r w:rsidR="006B463B" w:rsidRPr="00F853DD">
        <w:rPr>
          <w:rFonts w:ascii="Times" w:hAnsi="Times" w:cs="Times New Roman"/>
          <w:sz w:val="23"/>
          <w:szCs w:val="23"/>
        </w:rPr>
        <w:t>,</w:t>
      </w:r>
      <w:r w:rsidRPr="00F853DD">
        <w:rPr>
          <w:rFonts w:ascii="Times" w:hAnsi="Times" w:cs="Times New Roman"/>
          <w:sz w:val="23"/>
          <w:szCs w:val="23"/>
        </w:rPr>
        <w:t xml:space="preserve"> (2015). When is helping your partner with chronic pain a burden? The </w:t>
      </w:r>
      <w:r w:rsidR="00E92FF6" w:rsidRPr="00F853DD">
        <w:rPr>
          <w:rFonts w:ascii="Times" w:hAnsi="Times" w:cs="Times New Roman"/>
          <w:sz w:val="23"/>
          <w:szCs w:val="23"/>
        </w:rPr>
        <w:t>r</w:t>
      </w:r>
      <w:r w:rsidRPr="00F853DD">
        <w:rPr>
          <w:rFonts w:ascii="Times" w:hAnsi="Times" w:cs="Times New Roman"/>
          <w:sz w:val="23"/>
          <w:szCs w:val="23"/>
        </w:rPr>
        <w:t xml:space="preserve">elation between helping motivation and personal and relational functioning. </w:t>
      </w:r>
      <w:r w:rsidRPr="00F853DD">
        <w:rPr>
          <w:rFonts w:ascii="Times" w:hAnsi="Times" w:cs="Times New Roman"/>
          <w:i/>
          <w:sz w:val="23"/>
          <w:szCs w:val="23"/>
        </w:rPr>
        <w:t>Pain Medicine</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1732-1744.</w:t>
      </w:r>
    </w:p>
    <w:p w14:paraId="6008ACD8" w14:textId="2A2DFD10" w:rsidR="00DF05BD" w:rsidRPr="00F853DD" w:rsidRDefault="006B463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King, B., Gilmore-Bykovskyi, A., Roiland, R., Polnaszek, B., Bowers, B. and Kind, A.,</w:t>
      </w:r>
      <w:r w:rsidR="00DF05BD" w:rsidRPr="00F853DD">
        <w:rPr>
          <w:rFonts w:ascii="Times" w:hAnsi="Times" w:cs="Times New Roman"/>
          <w:sz w:val="23"/>
          <w:szCs w:val="23"/>
        </w:rPr>
        <w:t xml:space="preserve"> (2013). The consequences of poor communication during transitions from hospital to skilled nursing facility: </w:t>
      </w:r>
      <w:r w:rsidRPr="00F853DD">
        <w:rPr>
          <w:rFonts w:ascii="Times" w:hAnsi="Times" w:cs="Times New Roman"/>
          <w:sz w:val="23"/>
          <w:szCs w:val="23"/>
        </w:rPr>
        <w:t>a</w:t>
      </w:r>
      <w:r w:rsidR="00DF05BD" w:rsidRPr="00F853DD">
        <w:rPr>
          <w:rFonts w:ascii="Times" w:hAnsi="Times" w:cs="Times New Roman"/>
          <w:sz w:val="23"/>
          <w:szCs w:val="23"/>
        </w:rPr>
        <w:t xml:space="preserve"> qualitative study. </w:t>
      </w:r>
      <w:r w:rsidR="00DF05BD" w:rsidRPr="00F853DD">
        <w:rPr>
          <w:rFonts w:ascii="Times" w:hAnsi="Times" w:cs="Times New Roman"/>
          <w:i/>
          <w:sz w:val="23"/>
          <w:szCs w:val="23"/>
        </w:rPr>
        <w:t>Journal of the American Geriatrics Society</w:t>
      </w:r>
      <w:r w:rsidR="00E92FF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61</w:t>
      </w:r>
      <w:r w:rsidR="00DF05BD" w:rsidRPr="00F853DD">
        <w:rPr>
          <w:rFonts w:ascii="Times" w:hAnsi="Times" w:cs="Times New Roman"/>
          <w:sz w:val="23"/>
          <w:szCs w:val="23"/>
        </w:rPr>
        <w:t>, 1095-1102.</w:t>
      </w:r>
    </w:p>
    <w:p w14:paraId="47DBD31A" w14:textId="057BBC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King, D.</w:t>
      </w:r>
      <w:r w:rsidR="007377F6" w:rsidRPr="00F853DD">
        <w:rPr>
          <w:rFonts w:ascii="Times" w:hAnsi="Times" w:cs="Times New Roman"/>
          <w:sz w:val="23"/>
          <w:szCs w:val="23"/>
        </w:rPr>
        <w:t>,</w:t>
      </w:r>
      <w:r w:rsidRPr="00F853DD">
        <w:rPr>
          <w:rFonts w:ascii="Times" w:hAnsi="Times" w:cs="Times New Roman"/>
          <w:sz w:val="23"/>
          <w:szCs w:val="23"/>
        </w:rPr>
        <w:t xml:space="preserve"> (2012). It's frustrating! Managing emotional dissonance in aged care work. </w:t>
      </w:r>
      <w:r w:rsidRPr="00F853DD">
        <w:rPr>
          <w:rFonts w:ascii="Times" w:hAnsi="Times" w:cs="Times New Roman"/>
          <w:i/>
          <w:sz w:val="23"/>
          <w:szCs w:val="23"/>
        </w:rPr>
        <w:t>Australian Journal of Social Issues</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 51-70.</w:t>
      </w:r>
    </w:p>
    <w:p w14:paraId="573E7738" w14:textId="7D18313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King, N.</w:t>
      </w:r>
      <w:r w:rsidR="007377F6" w:rsidRPr="00F853DD">
        <w:rPr>
          <w:rFonts w:ascii="Times" w:hAnsi="Times" w:cs="Times New Roman"/>
          <w:sz w:val="23"/>
          <w:szCs w:val="23"/>
        </w:rPr>
        <w:t>,</w:t>
      </w:r>
      <w:r w:rsidRPr="00F853DD">
        <w:rPr>
          <w:rFonts w:ascii="Times" w:hAnsi="Times" w:cs="Times New Roman"/>
          <w:sz w:val="23"/>
          <w:szCs w:val="23"/>
        </w:rPr>
        <w:t xml:space="preserve"> (2010). </w:t>
      </w:r>
      <w:r w:rsidRPr="00F853DD">
        <w:rPr>
          <w:rFonts w:ascii="Times" w:hAnsi="Times" w:cs="Times New Roman"/>
          <w:i/>
          <w:sz w:val="23"/>
          <w:szCs w:val="23"/>
        </w:rPr>
        <w:t>Interviews in qualitative research</w:t>
      </w:r>
      <w:r w:rsidRPr="00F853DD">
        <w:rPr>
          <w:rFonts w:ascii="Times" w:hAnsi="Times" w:cs="Times New Roman"/>
          <w:sz w:val="23"/>
          <w:szCs w:val="23"/>
        </w:rPr>
        <w:t xml:space="preserve">. Los Angeles: SAGE. </w:t>
      </w:r>
    </w:p>
    <w:p w14:paraId="127072F8" w14:textId="533332A8" w:rsidR="00DF05BD" w:rsidRPr="00F853DD" w:rsidRDefault="007377F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Kinney, J. and Stephens, M.,</w:t>
      </w:r>
      <w:r w:rsidR="00DF05BD" w:rsidRPr="00F853DD">
        <w:rPr>
          <w:rFonts w:ascii="Times" w:hAnsi="Times" w:cs="Times New Roman"/>
          <w:sz w:val="23"/>
          <w:szCs w:val="23"/>
        </w:rPr>
        <w:t xml:space="preserve"> (1989). Hassles and uplifts of giving care to a family member with dementia. </w:t>
      </w:r>
      <w:r w:rsidR="00DF05BD" w:rsidRPr="00F853DD">
        <w:rPr>
          <w:rFonts w:ascii="Times" w:hAnsi="Times" w:cs="Times New Roman"/>
          <w:i/>
          <w:sz w:val="23"/>
          <w:szCs w:val="23"/>
        </w:rPr>
        <w:t>Psychology and Aging</w:t>
      </w:r>
      <w:r w:rsidR="00E92FF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w:t>
      </w:r>
      <w:r w:rsidR="00DF05BD" w:rsidRPr="00F853DD">
        <w:rPr>
          <w:rFonts w:ascii="Times" w:hAnsi="Times" w:cs="Times New Roman"/>
          <w:sz w:val="23"/>
          <w:szCs w:val="23"/>
        </w:rPr>
        <w:t>, 402-408.</w:t>
      </w:r>
    </w:p>
    <w:p w14:paraId="7EF73C7A" w14:textId="375FCAD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Kinsel, B.</w:t>
      </w:r>
      <w:r w:rsidR="007377F6" w:rsidRPr="00F853DD">
        <w:rPr>
          <w:rFonts w:ascii="Times" w:hAnsi="Times" w:cs="Times New Roman"/>
          <w:sz w:val="23"/>
          <w:szCs w:val="23"/>
        </w:rPr>
        <w:t>,</w:t>
      </w:r>
      <w:r w:rsidRPr="00F853DD">
        <w:rPr>
          <w:rFonts w:ascii="Times" w:hAnsi="Times" w:cs="Times New Roman"/>
          <w:sz w:val="23"/>
          <w:szCs w:val="23"/>
        </w:rPr>
        <w:t xml:space="preserve"> (2005). Resilience as adaptation in older women. </w:t>
      </w:r>
      <w:r w:rsidRPr="00F853DD">
        <w:rPr>
          <w:rFonts w:ascii="Times" w:hAnsi="Times" w:cs="Times New Roman"/>
          <w:i/>
          <w:sz w:val="23"/>
          <w:szCs w:val="23"/>
        </w:rPr>
        <w:t>Journal of Women and Aging</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23-39.</w:t>
      </w:r>
    </w:p>
    <w:p w14:paraId="6DD810D9" w14:textId="0DB342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Kinsella, K.</w:t>
      </w:r>
      <w:r w:rsidR="007377F6" w:rsidRPr="00F853DD">
        <w:rPr>
          <w:rFonts w:ascii="Times" w:hAnsi="Times" w:cs="Times New Roman"/>
          <w:sz w:val="23"/>
          <w:szCs w:val="23"/>
        </w:rPr>
        <w:t>,</w:t>
      </w:r>
      <w:r w:rsidRPr="00F853DD">
        <w:rPr>
          <w:rFonts w:ascii="Times" w:hAnsi="Times" w:cs="Times New Roman"/>
          <w:sz w:val="23"/>
          <w:szCs w:val="23"/>
        </w:rPr>
        <w:t xml:space="preserve"> (2000). Demographic dimensions of global aging. </w:t>
      </w:r>
      <w:r w:rsidRPr="00F853DD">
        <w:rPr>
          <w:rFonts w:ascii="Times" w:hAnsi="Times" w:cs="Times New Roman"/>
          <w:i/>
          <w:sz w:val="23"/>
          <w:szCs w:val="23"/>
        </w:rPr>
        <w:t>Journal of Family Issues</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 541-558.</w:t>
      </w:r>
    </w:p>
    <w:p w14:paraId="150B50B1" w14:textId="7E7BD41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Kirchengast, S.</w:t>
      </w:r>
      <w:r w:rsidR="007377F6" w:rsidRPr="00F853DD">
        <w:rPr>
          <w:rFonts w:ascii="Times" w:hAnsi="Times" w:cs="Times New Roman"/>
          <w:sz w:val="23"/>
          <w:szCs w:val="23"/>
        </w:rPr>
        <w:t>,</w:t>
      </w:r>
      <w:r w:rsidRPr="00F853DD">
        <w:rPr>
          <w:rFonts w:ascii="Times" w:hAnsi="Times" w:cs="Times New Roman"/>
          <w:sz w:val="23"/>
          <w:szCs w:val="23"/>
        </w:rPr>
        <w:t xml:space="preserve"> (20</w:t>
      </w:r>
      <w:r w:rsidR="00E92FF6" w:rsidRPr="00F853DD">
        <w:rPr>
          <w:rFonts w:ascii="Times" w:hAnsi="Times" w:cs="Times New Roman"/>
          <w:sz w:val="23"/>
          <w:szCs w:val="23"/>
        </w:rPr>
        <w:t xml:space="preserve">08). Childlessness in old age: </w:t>
      </w:r>
      <w:r w:rsidRPr="00F853DD">
        <w:rPr>
          <w:rFonts w:ascii="Times" w:hAnsi="Times" w:cs="Times New Roman"/>
          <w:sz w:val="23"/>
          <w:szCs w:val="23"/>
        </w:rPr>
        <w:t xml:space="preserve">an anthropological approach to a current problem. </w:t>
      </w:r>
      <w:r w:rsidRPr="00F853DD">
        <w:rPr>
          <w:rFonts w:ascii="Times" w:hAnsi="Times" w:cs="Times New Roman"/>
          <w:i/>
          <w:sz w:val="23"/>
          <w:szCs w:val="23"/>
        </w:rPr>
        <w:t>Anthropologischer Anzeiger</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66</w:t>
      </w:r>
      <w:r w:rsidRPr="00F853DD">
        <w:rPr>
          <w:rFonts w:ascii="Times" w:hAnsi="Times" w:cs="Times New Roman"/>
          <w:sz w:val="23"/>
          <w:szCs w:val="23"/>
        </w:rPr>
        <w:t>, 237-246.</w:t>
      </w:r>
    </w:p>
    <w:p w14:paraId="6E235384" w14:textId="3F642E73" w:rsidR="00DF05BD" w:rsidRPr="00F853DD" w:rsidRDefault="007377F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Kirsch, N., (2009). Elder abuse d</w:t>
      </w:r>
      <w:r w:rsidR="00DF05BD" w:rsidRPr="00F853DD">
        <w:rPr>
          <w:rFonts w:ascii="Times" w:hAnsi="Times" w:cs="Times New Roman"/>
          <w:sz w:val="23"/>
          <w:szCs w:val="23"/>
        </w:rPr>
        <w:t xml:space="preserve">etection and </w:t>
      </w:r>
      <w:r w:rsidRPr="00F853DD">
        <w:rPr>
          <w:rFonts w:ascii="Times" w:hAnsi="Times" w:cs="Times New Roman"/>
          <w:sz w:val="23"/>
          <w:szCs w:val="23"/>
        </w:rPr>
        <w:t>p</w:t>
      </w:r>
      <w:r w:rsidR="00DF05BD" w:rsidRPr="00F853DD">
        <w:rPr>
          <w:rFonts w:ascii="Times" w:hAnsi="Times" w:cs="Times New Roman"/>
          <w:sz w:val="23"/>
          <w:szCs w:val="23"/>
        </w:rPr>
        <w:t xml:space="preserve">rotection. </w:t>
      </w:r>
      <w:r w:rsidR="00DF05BD" w:rsidRPr="00F853DD">
        <w:rPr>
          <w:rFonts w:ascii="Times" w:hAnsi="Times" w:cs="Times New Roman"/>
          <w:i/>
          <w:sz w:val="23"/>
          <w:szCs w:val="23"/>
        </w:rPr>
        <w:t>Topics in Geriatric Rehabilitation</w:t>
      </w:r>
      <w:r w:rsidR="00E92FF6"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 346-354.</w:t>
      </w:r>
    </w:p>
    <w:p w14:paraId="5C47D827" w14:textId="77F6D347" w:rsidR="00DF05BD" w:rsidRPr="00F853DD" w:rsidRDefault="007377F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Kleban, M., Brody, E., Schoonover, C.</w:t>
      </w:r>
      <w:r w:rsidR="00DF05BD" w:rsidRPr="00F853DD">
        <w:rPr>
          <w:rFonts w:ascii="Times" w:hAnsi="Times" w:cs="Times New Roman"/>
          <w:sz w:val="23"/>
          <w:szCs w:val="23"/>
        </w:rPr>
        <w:t xml:space="preserve"> and Hoffman, C.</w:t>
      </w:r>
      <w:r w:rsidRPr="00F853DD">
        <w:rPr>
          <w:rFonts w:ascii="Times" w:hAnsi="Times" w:cs="Times New Roman"/>
          <w:sz w:val="23"/>
          <w:szCs w:val="23"/>
        </w:rPr>
        <w:t>,</w:t>
      </w:r>
      <w:r w:rsidR="00DF05BD" w:rsidRPr="00F853DD">
        <w:rPr>
          <w:rFonts w:ascii="Times" w:hAnsi="Times" w:cs="Times New Roman"/>
          <w:sz w:val="23"/>
          <w:szCs w:val="23"/>
        </w:rPr>
        <w:t xml:space="preserve"> (1989). Family </w:t>
      </w:r>
      <w:r w:rsidRPr="00F853DD">
        <w:rPr>
          <w:rFonts w:ascii="Times" w:hAnsi="Times" w:cs="Times New Roman"/>
          <w:sz w:val="23"/>
          <w:szCs w:val="23"/>
        </w:rPr>
        <w:t>h</w:t>
      </w:r>
      <w:r w:rsidR="00DF05BD" w:rsidRPr="00F853DD">
        <w:rPr>
          <w:rFonts w:ascii="Times" w:hAnsi="Times" w:cs="Times New Roman"/>
          <w:sz w:val="23"/>
          <w:szCs w:val="23"/>
        </w:rPr>
        <w:t xml:space="preserve">elp to the </w:t>
      </w:r>
      <w:r w:rsidRPr="00F853DD">
        <w:rPr>
          <w:rFonts w:ascii="Times" w:hAnsi="Times" w:cs="Times New Roman"/>
          <w:sz w:val="23"/>
          <w:szCs w:val="23"/>
        </w:rPr>
        <w:t>e</w:t>
      </w:r>
      <w:r w:rsidR="00DF05BD" w:rsidRPr="00F853DD">
        <w:rPr>
          <w:rFonts w:ascii="Times" w:hAnsi="Times" w:cs="Times New Roman"/>
          <w:sz w:val="23"/>
          <w:szCs w:val="23"/>
        </w:rPr>
        <w:t xml:space="preserve">lderly: </w:t>
      </w:r>
      <w:r w:rsidRPr="00F853DD">
        <w:rPr>
          <w:rFonts w:ascii="Times" w:hAnsi="Times" w:cs="Times New Roman"/>
          <w:sz w:val="23"/>
          <w:szCs w:val="23"/>
        </w:rPr>
        <w:t>p</w:t>
      </w:r>
      <w:r w:rsidR="00DF05BD" w:rsidRPr="00F853DD">
        <w:rPr>
          <w:rFonts w:ascii="Times" w:hAnsi="Times" w:cs="Times New Roman"/>
          <w:sz w:val="23"/>
          <w:szCs w:val="23"/>
        </w:rPr>
        <w:t xml:space="preserve">erceptions of </w:t>
      </w:r>
      <w:r w:rsidRPr="00F853DD">
        <w:rPr>
          <w:rFonts w:ascii="Times" w:hAnsi="Times" w:cs="Times New Roman"/>
          <w:sz w:val="23"/>
          <w:szCs w:val="23"/>
        </w:rPr>
        <w:t>sons-in-law regarding parent c</w:t>
      </w:r>
      <w:r w:rsidR="00DF05BD" w:rsidRPr="00F853DD">
        <w:rPr>
          <w:rFonts w:ascii="Times" w:hAnsi="Times" w:cs="Times New Roman"/>
          <w:sz w:val="23"/>
          <w:szCs w:val="23"/>
        </w:rPr>
        <w:t xml:space="preserve">are. </w:t>
      </w:r>
      <w:r w:rsidR="00DF05BD" w:rsidRPr="00F853DD">
        <w:rPr>
          <w:rFonts w:ascii="Times" w:hAnsi="Times" w:cs="Times New Roman"/>
          <w:i/>
          <w:sz w:val="23"/>
          <w:szCs w:val="23"/>
        </w:rPr>
        <w:t>Journal of Marriage and the Family</w:t>
      </w:r>
      <w:r w:rsidR="00E92FF6"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51</w:t>
      </w:r>
      <w:r w:rsidR="00DF05BD" w:rsidRPr="00F853DD">
        <w:rPr>
          <w:rFonts w:ascii="Times" w:hAnsi="Times" w:cs="Times New Roman"/>
          <w:sz w:val="23"/>
          <w:szCs w:val="23"/>
        </w:rPr>
        <w:t>, 303-312.</w:t>
      </w:r>
    </w:p>
    <w:p w14:paraId="4B3C2AE8" w14:textId="1A565D5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Klein, D. and White, J.</w:t>
      </w:r>
      <w:r w:rsidR="007377F6" w:rsidRPr="00F853DD">
        <w:rPr>
          <w:rFonts w:ascii="Times" w:hAnsi="Times" w:cs="Times New Roman"/>
          <w:sz w:val="23"/>
          <w:szCs w:val="23"/>
        </w:rPr>
        <w:t>,</w:t>
      </w:r>
      <w:r w:rsidRPr="00F853DD">
        <w:rPr>
          <w:rFonts w:ascii="Times" w:hAnsi="Times" w:cs="Times New Roman"/>
          <w:sz w:val="23"/>
          <w:szCs w:val="23"/>
        </w:rPr>
        <w:t xml:space="preserve"> (1996). </w:t>
      </w:r>
      <w:r w:rsidRPr="00F853DD">
        <w:rPr>
          <w:rFonts w:ascii="Times" w:hAnsi="Times" w:cs="Times New Roman"/>
          <w:i/>
          <w:sz w:val="23"/>
          <w:szCs w:val="23"/>
        </w:rPr>
        <w:t xml:space="preserve">Family </w:t>
      </w:r>
      <w:r w:rsidR="007377F6" w:rsidRPr="00F853DD">
        <w:rPr>
          <w:rFonts w:ascii="Times" w:hAnsi="Times" w:cs="Times New Roman"/>
          <w:i/>
          <w:sz w:val="23"/>
          <w:szCs w:val="23"/>
        </w:rPr>
        <w:t>t</w:t>
      </w:r>
      <w:r w:rsidRPr="00F853DD">
        <w:rPr>
          <w:rFonts w:ascii="Times" w:hAnsi="Times" w:cs="Times New Roman"/>
          <w:i/>
          <w:sz w:val="23"/>
          <w:szCs w:val="23"/>
        </w:rPr>
        <w:t xml:space="preserve">heories: </w:t>
      </w:r>
      <w:r w:rsidR="007377F6" w:rsidRPr="00F853DD">
        <w:rPr>
          <w:rFonts w:ascii="Times" w:hAnsi="Times" w:cs="Times New Roman"/>
          <w:i/>
          <w:sz w:val="23"/>
          <w:szCs w:val="23"/>
        </w:rPr>
        <w:t>a</w:t>
      </w:r>
      <w:r w:rsidRPr="00F853DD">
        <w:rPr>
          <w:rFonts w:ascii="Times" w:hAnsi="Times" w:cs="Times New Roman"/>
          <w:i/>
          <w:sz w:val="23"/>
          <w:szCs w:val="23"/>
        </w:rPr>
        <w:t xml:space="preserve">n </w:t>
      </w:r>
      <w:r w:rsidR="007377F6" w:rsidRPr="00F853DD">
        <w:rPr>
          <w:rFonts w:ascii="Times" w:hAnsi="Times" w:cs="Times New Roman"/>
          <w:i/>
          <w:sz w:val="23"/>
          <w:szCs w:val="23"/>
        </w:rPr>
        <w:t>i</w:t>
      </w:r>
      <w:r w:rsidRPr="00F853DD">
        <w:rPr>
          <w:rFonts w:ascii="Times" w:hAnsi="Times" w:cs="Times New Roman"/>
          <w:i/>
          <w:sz w:val="23"/>
          <w:szCs w:val="23"/>
        </w:rPr>
        <w:t>ntroduction</w:t>
      </w:r>
      <w:r w:rsidRPr="00F853DD">
        <w:rPr>
          <w:rFonts w:ascii="Times" w:hAnsi="Times" w:cs="Times New Roman"/>
          <w:sz w:val="23"/>
          <w:szCs w:val="23"/>
        </w:rPr>
        <w:t>. London, New Delhi: SAGE Publication.</w:t>
      </w:r>
    </w:p>
    <w:p w14:paraId="5E46DED8" w14:textId="4A494FE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Kleinman, A.</w:t>
      </w:r>
      <w:r w:rsidR="002A6558"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The art of medicine</w:t>
      </w:r>
      <w:r w:rsidR="002A6558" w:rsidRPr="00F853DD">
        <w:rPr>
          <w:rFonts w:ascii="Times" w:hAnsi="Times" w:cs="Times New Roman"/>
          <w:i/>
          <w:sz w:val="23"/>
          <w:szCs w:val="23"/>
        </w:rPr>
        <w:t>:</w:t>
      </w:r>
      <w:r w:rsidRPr="00F853DD">
        <w:rPr>
          <w:rFonts w:ascii="Times" w:hAnsi="Times" w:cs="Times New Roman"/>
          <w:i/>
          <w:sz w:val="23"/>
          <w:szCs w:val="23"/>
        </w:rPr>
        <w:t xml:space="preserve"> </w:t>
      </w:r>
      <w:r w:rsidR="002A6558" w:rsidRPr="00F853DD">
        <w:rPr>
          <w:rFonts w:ascii="Times" w:hAnsi="Times" w:cs="Times New Roman"/>
          <w:i/>
          <w:sz w:val="23"/>
          <w:szCs w:val="23"/>
        </w:rPr>
        <w:t>c</w:t>
      </w:r>
      <w:r w:rsidRPr="00F853DD">
        <w:rPr>
          <w:rFonts w:ascii="Times" w:hAnsi="Times" w:cs="Times New Roman"/>
          <w:i/>
          <w:sz w:val="23"/>
          <w:szCs w:val="23"/>
        </w:rPr>
        <w:t>aregiving as moral experience</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380</w:t>
      </w:r>
      <w:r w:rsidRPr="00F853DD">
        <w:rPr>
          <w:rFonts w:ascii="Times" w:hAnsi="Times" w:cs="Times New Roman"/>
          <w:sz w:val="23"/>
          <w:szCs w:val="23"/>
        </w:rPr>
        <w:t>, 1550-1551.</w:t>
      </w:r>
    </w:p>
    <w:p w14:paraId="5FDFF921" w14:textId="469EE1C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Kleinman, A.</w:t>
      </w:r>
      <w:r w:rsidR="002A6558" w:rsidRPr="00F853DD">
        <w:rPr>
          <w:rFonts w:ascii="Times" w:hAnsi="Times" w:cs="Times New Roman"/>
          <w:sz w:val="23"/>
          <w:szCs w:val="23"/>
        </w:rPr>
        <w:t>,</w:t>
      </w:r>
      <w:r w:rsidR="00E92FF6" w:rsidRPr="00F853DD">
        <w:rPr>
          <w:rFonts w:ascii="Times" w:hAnsi="Times" w:cs="Times New Roman"/>
          <w:sz w:val="23"/>
          <w:szCs w:val="23"/>
        </w:rPr>
        <w:t xml:space="preserve"> (2013). From i</w:t>
      </w:r>
      <w:r w:rsidRPr="00F853DD">
        <w:rPr>
          <w:rFonts w:ascii="Times" w:hAnsi="Times" w:cs="Times New Roman"/>
          <w:sz w:val="23"/>
          <w:szCs w:val="23"/>
        </w:rPr>
        <w:t xml:space="preserve">llness as culture to caregiving as moral experience. </w:t>
      </w:r>
      <w:r w:rsidRPr="00F853DD">
        <w:rPr>
          <w:rFonts w:ascii="Times" w:hAnsi="Times" w:cs="Times New Roman"/>
          <w:i/>
          <w:sz w:val="23"/>
          <w:szCs w:val="23"/>
        </w:rPr>
        <w:t>New England Journal of Medicine</w:t>
      </w:r>
      <w:r w:rsidR="00E92F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368</w:t>
      </w:r>
      <w:r w:rsidRPr="00F853DD">
        <w:rPr>
          <w:rFonts w:ascii="Times" w:hAnsi="Times" w:cs="Times New Roman"/>
          <w:sz w:val="23"/>
          <w:szCs w:val="23"/>
        </w:rPr>
        <w:t>, 1376-1377.</w:t>
      </w:r>
    </w:p>
    <w:p w14:paraId="2E656013" w14:textId="6796C7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Knight, B. G. and Sayegh, P.</w:t>
      </w:r>
      <w:r w:rsidR="002A6558" w:rsidRPr="00F853DD">
        <w:rPr>
          <w:rFonts w:ascii="Times" w:hAnsi="Times" w:cs="Times New Roman"/>
          <w:sz w:val="23"/>
          <w:szCs w:val="23"/>
        </w:rPr>
        <w:t>,</w:t>
      </w:r>
      <w:r w:rsidR="006D13B4" w:rsidRPr="00F853DD">
        <w:rPr>
          <w:rFonts w:ascii="Times" w:hAnsi="Times" w:cs="Times New Roman"/>
          <w:sz w:val="23"/>
          <w:szCs w:val="23"/>
        </w:rPr>
        <w:t xml:space="preserve"> (2010). Cultural values and caregiving: the updated sociocultural stress and coping m</w:t>
      </w:r>
      <w:r w:rsidRPr="00F853DD">
        <w:rPr>
          <w:rFonts w:ascii="Times" w:hAnsi="Times" w:cs="Times New Roman"/>
          <w:sz w:val="23"/>
          <w:szCs w:val="23"/>
        </w:rPr>
        <w:t>odel.</w:t>
      </w:r>
      <w:r w:rsidR="006D13B4" w:rsidRPr="00F853DD">
        <w:rPr>
          <w:rFonts w:ascii="Times" w:hAnsi="Times" w:cs="Times New Roman"/>
          <w:i/>
          <w:sz w:val="23"/>
          <w:szCs w:val="23"/>
        </w:rPr>
        <w:t xml:space="preserve"> </w:t>
      </w:r>
      <w:r w:rsidRPr="00F853DD">
        <w:rPr>
          <w:rFonts w:ascii="Times" w:hAnsi="Times" w:cs="Times New Roman"/>
          <w:i/>
          <w:sz w:val="23"/>
          <w:szCs w:val="23"/>
        </w:rPr>
        <w:t>Journals of Gerontology Series B-Psychological Sciences and Social Sciences</w:t>
      </w:r>
      <w:r w:rsidR="006D13B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65</w:t>
      </w:r>
      <w:r w:rsidRPr="00F853DD">
        <w:rPr>
          <w:rFonts w:ascii="Times" w:hAnsi="Times" w:cs="Times New Roman"/>
          <w:sz w:val="23"/>
          <w:szCs w:val="23"/>
        </w:rPr>
        <w:t>, 5-13.</w:t>
      </w:r>
    </w:p>
    <w:p w14:paraId="022380C3" w14:textId="770A0F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Knijn, T. and Kremer, M.</w:t>
      </w:r>
      <w:r w:rsidR="002A6558" w:rsidRPr="00F853DD">
        <w:rPr>
          <w:rFonts w:ascii="Times" w:hAnsi="Times" w:cs="Times New Roman"/>
          <w:sz w:val="23"/>
          <w:szCs w:val="23"/>
        </w:rPr>
        <w:t>, (1997). Gender and the c</w:t>
      </w:r>
      <w:r w:rsidRPr="00F853DD">
        <w:rPr>
          <w:rFonts w:ascii="Times" w:hAnsi="Times" w:cs="Times New Roman"/>
          <w:sz w:val="23"/>
          <w:szCs w:val="23"/>
        </w:rPr>
        <w:t xml:space="preserve">aring </w:t>
      </w:r>
      <w:r w:rsidR="002A6558" w:rsidRPr="00F853DD">
        <w:rPr>
          <w:rFonts w:ascii="Times" w:hAnsi="Times" w:cs="Times New Roman"/>
          <w:sz w:val="23"/>
          <w:szCs w:val="23"/>
        </w:rPr>
        <w:t>d</w:t>
      </w:r>
      <w:r w:rsidRPr="00F853DD">
        <w:rPr>
          <w:rFonts w:ascii="Times" w:hAnsi="Times" w:cs="Times New Roman"/>
          <w:sz w:val="23"/>
          <w:szCs w:val="23"/>
        </w:rPr>
        <w:t xml:space="preserve">imension of </w:t>
      </w:r>
      <w:r w:rsidR="002A6558" w:rsidRPr="00F853DD">
        <w:rPr>
          <w:rFonts w:ascii="Times" w:hAnsi="Times" w:cs="Times New Roman"/>
          <w:sz w:val="23"/>
          <w:szCs w:val="23"/>
        </w:rPr>
        <w:t>w</w:t>
      </w:r>
      <w:r w:rsidRPr="00F853DD">
        <w:rPr>
          <w:rFonts w:ascii="Times" w:hAnsi="Times" w:cs="Times New Roman"/>
          <w:sz w:val="23"/>
          <w:szCs w:val="23"/>
        </w:rPr>
        <w:t xml:space="preserve">elfare </w:t>
      </w:r>
      <w:r w:rsidR="002A6558" w:rsidRPr="00F853DD">
        <w:rPr>
          <w:rFonts w:ascii="Times" w:hAnsi="Times" w:cs="Times New Roman"/>
          <w:sz w:val="23"/>
          <w:szCs w:val="23"/>
        </w:rPr>
        <w:t>s</w:t>
      </w:r>
      <w:r w:rsidRPr="00F853DD">
        <w:rPr>
          <w:rFonts w:ascii="Times" w:hAnsi="Times" w:cs="Times New Roman"/>
          <w:sz w:val="23"/>
          <w:szCs w:val="23"/>
        </w:rPr>
        <w:t xml:space="preserve">tates: </w:t>
      </w:r>
      <w:r w:rsidR="002A6558" w:rsidRPr="00F853DD">
        <w:rPr>
          <w:rFonts w:ascii="Times" w:hAnsi="Times" w:cs="Times New Roman"/>
          <w:sz w:val="23"/>
          <w:szCs w:val="23"/>
        </w:rPr>
        <w:t>t</w:t>
      </w:r>
      <w:r w:rsidRPr="00F853DD">
        <w:rPr>
          <w:rFonts w:ascii="Times" w:hAnsi="Times" w:cs="Times New Roman"/>
          <w:sz w:val="23"/>
          <w:szCs w:val="23"/>
        </w:rPr>
        <w:t xml:space="preserve">oward </w:t>
      </w:r>
      <w:r w:rsidR="002A6558" w:rsidRPr="00F853DD">
        <w:rPr>
          <w:rFonts w:ascii="Times" w:hAnsi="Times" w:cs="Times New Roman"/>
          <w:sz w:val="23"/>
          <w:szCs w:val="23"/>
        </w:rPr>
        <w:t>i</w:t>
      </w:r>
      <w:r w:rsidRPr="00F853DD">
        <w:rPr>
          <w:rFonts w:ascii="Times" w:hAnsi="Times" w:cs="Times New Roman"/>
          <w:sz w:val="23"/>
          <w:szCs w:val="23"/>
        </w:rPr>
        <w:t xml:space="preserve">nclusive </w:t>
      </w:r>
      <w:r w:rsidR="002A6558" w:rsidRPr="00F853DD">
        <w:rPr>
          <w:rFonts w:ascii="Times" w:hAnsi="Times" w:cs="Times New Roman"/>
          <w:sz w:val="23"/>
          <w:szCs w:val="23"/>
        </w:rPr>
        <w:t>c</w:t>
      </w:r>
      <w:r w:rsidRPr="00F853DD">
        <w:rPr>
          <w:rFonts w:ascii="Times" w:hAnsi="Times" w:cs="Times New Roman"/>
          <w:sz w:val="23"/>
          <w:szCs w:val="23"/>
        </w:rPr>
        <w:t xml:space="preserve">itizenship. </w:t>
      </w:r>
      <w:r w:rsidRPr="00F853DD">
        <w:rPr>
          <w:rFonts w:ascii="Times" w:hAnsi="Times" w:cs="Times New Roman"/>
          <w:i/>
          <w:sz w:val="23"/>
          <w:szCs w:val="23"/>
        </w:rPr>
        <w:t xml:space="preserve">Social </w:t>
      </w:r>
      <w:r w:rsidR="006D13B4" w:rsidRPr="00F853DD">
        <w:rPr>
          <w:rFonts w:ascii="Times" w:hAnsi="Times" w:cs="Times New Roman"/>
          <w:i/>
          <w:sz w:val="23"/>
          <w:szCs w:val="23"/>
        </w:rPr>
        <w:t>P</w:t>
      </w:r>
      <w:r w:rsidRPr="00F853DD">
        <w:rPr>
          <w:rFonts w:ascii="Times" w:hAnsi="Times" w:cs="Times New Roman"/>
          <w:i/>
          <w:sz w:val="23"/>
          <w:szCs w:val="23"/>
        </w:rPr>
        <w:t>olitics</w:t>
      </w:r>
      <w:r w:rsidR="006D13B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w:t>
      </w:r>
      <w:r w:rsidRPr="00F853DD">
        <w:rPr>
          <w:rFonts w:ascii="Times" w:hAnsi="Times" w:cs="Times New Roman"/>
          <w:sz w:val="23"/>
          <w:szCs w:val="23"/>
        </w:rPr>
        <w:t>, 328-361.</w:t>
      </w:r>
    </w:p>
    <w:p w14:paraId="270F73BC" w14:textId="5FEB08E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 L.</w:t>
      </w:r>
      <w:r w:rsidR="002A6558" w:rsidRPr="00F853DD">
        <w:rPr>
          <w:rFonts w:ascii="Times" w:hAnsi="Times" w:cs="Times New Roman"/>
          <w:sz w:val="23"/>
          <w:szCs w:val="23"/>
        </w:rPr>
        <w:t>,</w:t>
      </w:r>
      <w:r w:rsidRPr="00F853DD">
        <w:rPr>
          <w:rFonts w:ascii="Times" w:hAnsi="Times" w:cs="Times New Roman"/>
          <w:sz w:val="23"/>
          <w:szCs w:val="23"/>
        </w:rPr>
        <w:t xml:space="preserve"> (2012). Solidarity, ambivalence and multigenerational co-residence in Hong Kong. In: Arber, S. and Timonen, V. (eds.) C</w:t>
      </w:r>
      <w:r w:rsidRPr="00F853DD">
        <w:rPr>
          <w:rFonts w:ascii="Times" w:hAnsi="Times" w:cs="Times New Roman"/>
          <w:i/>
          <w:sz w:val="23"/>
          <w:szCs w:val="23"/>
        </w:rPr>
        <w:t xml:space="preserve">ontemporary </w:t>
      </w:r>
      <w:r w:rsidR="002A6558" w:rsidRPr="00F853DD">
        <w:rPr>
          <w:rFonts w:ascii="Times" w:hAnsi="Times" w:cs="Times New Roman"/>
          <w:i/>
          <w:sz w:val="23"/>
          <w:szCs w:val="23"/>
        </w:rPr>
        <w:t>g</w:t>
      </w:r>
      <w:r w:rsidRPr="00F853DD">
        <w:rPr>
          <w:rFonts w:ascii="Times" w:hAnsi="Times" w:cs="Times New Roman"/>
          <w:i/>
          <w:sz w:val="23"/>
          <w:szCs w:val="23"/>
        </w:rPr>
        <w:t xml:space="preserve">randparenting: </w:t>
      </w:r>
      <w:r w:rsidR="002A6558" w:rsidRPr="00F853DD">
        <w:rPr>
          <w:rFonts w:ascii="Times" w:hAnsi="Times" w:cs="Times New Roman"/>
          <w:i/>
          <w:sz w:val="23"/>
          <w:szCs w:val="23"/>
        </w:rPr>
        <w:t>c</w:t>
      </w:r>
      <w:r w:rsidRPr="00F853DD">
        <w:rPr>
          <w:rFonts w:ascii="Times" w:hAnsi="Times" w:cs="Times New Roman"/>
          <w:i/>
          <w:sz w:val="23"/>
          <w:szCs w:val="23"/>
        </w:rPr>
        <w:t xml:space="preserve">hanging </w:t>
      </w:r>
      <w:r w:rsidR="002A6558" w:rsidRPr="00F853DD">
        <w:rPr>
          <w:rFonts w:ascii="Times" w:hAnsi="Times" w:cs="Times New Roman"/>
          <w:i/>
          <w:sz w:val="23"/>
          <w:szCs w:val="23"/>
        </w:rPr>
        <w:t>f</w:t>
      </w:r>
      <w:r w:rsidRPr="00F853DD">
        <w:rPr>
          <w:rFonts w:ascii="Times" w:hAnsi="Times" w:cs="Times New Roman"/>
          <w:i/>
          <w:sz w:val="23"/>
          <w:szCs w:val="23"/>
        </w:rPr>
        <w:t xml:space="preserve">amily </w:t>
      </w:r>
      <w:r w:rsidR="002A6558" w:rsidRPr="00F853DD">
        <w:rPr>
          <w:rFonts w:ascii="Times" w:hAnsi="Times" w:cs="Times New Roman"/>
          <w:i/>
          <w:sz w:val="23"/>
          <w:szCs w:val="23"/>
        </w:rPr>
        <w:t>r</w:t>
      </w:r>
      <w:r w:rsidRPr="00F853DD">
        <w:rPr>
          <w:rFonts w:ascii="Times" w:hAnsi="Times" w:cs="Times New Roman"/>
          <w:i/>
          <w:sz w:val="23"/>
          <w:szCs w:val="23"/>
        </w:rPr>
        <w:t xml:space="preserve">elationships in </w:t>
      </w:r>
      <w:r w:rsidR="002A6558" w:rsidRPr="00F853DD">
        <w:rPr>
          <w:rFonts w:ascii="Times" w:hAnsi="Times" w:cs="Times New Roman"/>
          <w:i/>
          <w:sz w:val="23"/>
          <w:szCs w:val="23"/>
        </w:rPr>
        <w:t>g</w:t>
      </w:r>
      <w:r w:rsidRPr="00F853DD">
        <w:rPr>
          <w:rFonts w:ascii="Times" w:hAnsi="Times" w:cs="Times New Roman"/>
          <w:i/>
          <w:sz w:val="23"/>
          <w:szCs w:val="23"/>
        </w:rPr>
        <w:t xml:space="preserve">lobal </w:t>
      </w:r>
      <w:r w:rsidR="002A6558" w:rsidRPr="00F853DD">
        <w:rPr>
          <w:rFonts w:ascii="Times" w:hAnsi="Times" w:cs="Times New Roman"/>
          <w:i/>
          <w:sz w:val="23"/>
          <w:szCs w:val="23"/>
        </w:rPr>
        <w:t>c</w:t>
      </w:r>
      <w:r w:rsidRPr="00F853DD">
        <w:rPr>
          <w:rFonts w:ascii="Times" w:hAnsi="Times" w:cs="Times New Roman"/>
          <w:i/>
          <w:sz w:val="23"/>
          <w:szCs w:val="23"/>
        </w:rPr>
        <w:t>ontexts</w:t>
      </w:r>
      <w:r w:rsidRPr="00F853DD">
        <w:rPr>
          <w:rFonts w:ascii="Times" w:hAnsi="Times" w:cs="Times New Roman"/>
          <w:sz w:val="23"/>
          <w:szCs w:val="23"/>
        </w:rPr>
        <w:t>. Bristol: Policy Press.</w:t>
      </w:r>
    </w:p>
    <w:p w14:paraId="16D7C44D" w14:textId="56C1099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Koch, I.</w:t>
      </w:r>
      <w:r w:rsidR="002A6558" w:rsidRPr="00F853DD">
        <w:rPr>
          <w:rFonts w:ascii="Times" w:hAnsi="Times" w:cs="Times New Roman"/>
          <w:sz w:val="23"/>
          <w:szCs w:val="23"/>
        </w:rPr>
        <w:t>,</w:t>
      </w:r>
      <w:r w:rsidRPr="00F853DD">
        <w:rPr>
          <w:rFonts w:ascii="Times" w:hAnsi="Times" w:cs="Times New Roman"/>
          <w:sz w:val="23"/>
          <w:szCs w:val="23"/>
        </w:rPr>
        <w:t xml:space="preserve"> (2018). The labour of care: why we need an alternative political economy of social care [online]. </w:t>
      </w:r>
      <w:r w:rsidRPr="00F853DD">
        <w:rPr>
          <w:rFonts w:ascii="Times" w:hAnsi="Times" w:cs="Times New Roman"/>
          <w:i/>
          <w:sz w:val="23"/>
          <w:szCs w:val="23"/>
        </w:rPr>
        <w:t>British Politics and Policy at LSE</w:t>
      </w:r>
      <w:r w:rsidRPr="00F853DD">
        <w:rPr>
          <w:rFonts w:ascii="Times" w:hAnsi="Times" w:cs="Times New Roman"/>
          <w:sz w:val="23"/>
          <w:szCs w:val="23"/>
        </w:rPr>
        <w:t xml:space="preserve">. [Viewed 12 July 2019]. Available from: </w:t>
      </w:r>
      <w:hyperlink r:id="rId111">
        <w:r w:rsidRPr="00F853DD">
          <w:rPr>
            <w:rFonts w:ascii="Times" w:hAnsi="Times" w:cs="Times New Roman"/>
            <w:sz w:val="23"/>
            <w:szCs w:val="23"/>
            <w:u w:val="single"/>
          </w:rPr>
          <w:t>https://blogs.lse.ac.uk/politicsandpolicy/the-labour-of-care/</w:t>
        </w:r>
      </w:hyperlink>
      <w:r w:rsidRPr="00F853DD">
        <w:rPr>
          <w:rFonts w:ascii="Times" w:hAnsi="Times" w:cs="Times New Roman"/>
          <w:sz w:val="23"/>
          <w:szCs w:val="23"/>
        </w:rPr>
        <w:t>.</w:t>
      </w:r>
    </w:p>
    <w:p w14:paraId="6E926FA6" w14:textId="10B571A9" w:rsidR="00DF05BD" w:rsidRPr="00F853DD" w:rsidRDefault="002A655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Koenig, H., Parkerson, G. and Meador, K.,</w:t>
      </w:r>
      <w:r w:rsidR="00DF05BD" w:rsidRPr="00F853DD">
        <w:rPr>
          <w:rFonts w:ascii="Times" w:hAnsi="Times" w:cs="Times New Roman"/>
          <w:sz w:val="23"/>
          <w:szCs w:val="23"/>
        </w:rPr>
        <w:t xml:space="preserve"> (1997). Religion index for psychiatric research. </w:t>
      </w:r>
      <w:r w:rsidR="00DF05BD" w:rsidRPr="00F853DD">
        <w:rPr>
          <w:rFonts w:ascii="Times" w:hAnsi="Times" w:cs="Times New Roman"/>
          <w:i/>
          <w:sz w:val="23"/>
          <w:szCs w:val="23"/>
        </w:rPr>
        <w:t>American Journal of Psychiatry</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154</w:t>
      </w:r>
      <w:r w:rsidR="00DF05BD" w:rsidRPr="00F853DD">
        <w:rPr>
          <w:rFonts w:ascii="Times" w:hAnsi="Times" w:cs="Times New Roman"/>
          <w:sz w:val="23"/>
          <w:szCs w:val="23"/>
        </w:rPr>
        <w:t>, 885-886.</w:t>
      </w:r>
    </w:p>
    <w:p w14:paraId="02D21D8F" w14:textId="0026B3C8" w:rsidR="00DF05BD" w:rsidRPr="00F853DD" w:rsidRDefault="002A655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Koenig, H</w:t>
      </w:r>
      <w:r w:rsidR="00DF05BD" w:rsidRPr="00F853DD">
        <w:rPr>
          <w:rFonts w:ascii="Times" w:hAnsi="Times" w:cs="Times New Roman"/>
          <w:sz w:val="23"/>
          <w:szCs w:val="23"/>
        </w:rPr>
        <w:t>. and Bussing, A.</w:t>
      </w:r>
      <w:r w:rsidRPr="00F853DD">
        <w:rPr>
          <w:rFonts w:ascii="Times" w:hAnsi="Times" w:cs="Times New Roman"/>
          <w:sz w:val="23"/>
          <w:szCs w:val="23"/>
        </w:rPr>
        <w:t>,</w:t>
      </w:r>
      <w:r w:rsidR="00DF05BD" w:rsidRPr="00F853DD">
        <w:rPr>
          <w:rFonts w:ascii="Times" w:hAnsi="Times" w:cs="Times New Roman"/>
          <w:sz w:val="23"/>
          <w:szCs w:val="23"/>
        </w:rPr>
        <w:t xml:space="preserve"> (2010). The Duke University Religion Index (DUREL): a five-item measure for use in epidemiological studies. </w:t>
      </w:r>
      <w:r w:rsidR="00DF05BD" w:rsidRPr="00F853DD">
        <w:rPr>
          <w:rFonts w:ascii="Times" w:hAnsi="Times" w:cs="Times New Roman"/>
          <w:i/>
          <w:sz w:val="23"/>
          <w:szCs w:val="23"/>
        </w:rPr>
        <w:t>Religions</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w:t>
      </w:r>
      <w:r w:rsidR="00DF05BD" w:rsidRPr="00F853DD">
        <w:rPr>
          <w:rFonts w:ascii="Times" w:hAnsi="Times" w:cs="Times New Roman"/>
          <w:sz w:val="23"/>
          <w:szCs w:val="23"/>
        </w:rPr>
        <w:t>, 78-85.</w:t>
      </w:r>
    </w:p>
    <w:p w14:paraId="51C499CA" w14:textId="0B595FE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Kofman, E. and Raghuram, P.</w:t>
      </w:r>
      <w:r w:rsidR="002A6558" w:rsidRPr="00F853DD">
        <w:rPr>
          <w:rFonts w:ascii="Times" w:hAnsi="Times" w:cs="Times New Roman"/>
          <w:sz w:val="23"/>
          <w:szCs w:val="23"/>
        </w:rPr>
        <w:t>,</w:t>
      </w:r>
      <w:r w:rsidRPr="00F853DD">
        <w:rPr>
          <w:rFonts w:ascii="Times" w:hAnsi="Times" w:cs="Times New Roman"/>
          <w:sz w:val="23"/>
          <w:szCs w:val="23"/>
        </w:rPr>
        <w:t xml:space="preserve"> (2012). Women, migration, and care: explorations of diversity and dynamism in the global south. </w:t>
      </w:r>
      <w:r w:rsidRPr="00F853DD">
        <w:rPr>
          <w:rFonts w:ascii="Times" w:hAnsi="Times" w:cs="Times New Roman"/>
          <w:i/>
          <w:sz w:val="23"/>
          <w:szCs w:val="23"/>
        </w:rPr>
        <w:t>Social Politics</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 408-432.</w:t>
      </w:r>
    </w:p>
    <w:p w14:paraId="7E4CC5FB" w14:textId="48A81A9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Kofman, E. and Raghuram, P.</w:t>
      </w:r>
      <w:r w:rsidR="002A6558" w:rsidRPr="00F853DD">
        <w:rPr>
          <w:rFonts w:ascii="Times" w:hAnsi="Times" w:cs="Times New Roman"/>
          <w:sz w:val="23"/>
          <w:szCs w:val="23"/>
        </w:rPr>
        <w:t>,</w:t>
      </w:r>
      <w:r w:rsidRPr="00F853DD">
        <w:rPr>
          <w:rFonts w:ascii="Times" w:hAnsi="Times" w:cs="Times New Roman"/>
          <w:sz w:val="23"/>
          <w:szCs w:val="23"/>
        </w:rPr>
        <w:t xml:space="preserve"> (2015). Gendered </w:t>
      </w:r>
      <w:r w:rsidR="002A6558" w:rsidRPr="00F853DD">
        <w:rPr>
          <w:rFonts w:ascii="Times" w:hAnsi="Times" w:cs="Times New Roman"/>
          <w:sz w:val="23"/>
          <w:szCs w:val="23"/>
        </w:rPr>
        <w:t>m</w:t>
      </w:r>
      <w:r w:rsidRPr="00F853DD">
        <w:rPr>
          <w:rFonts w:ascii="Times" w:hAnsi="Times" w:cs="Times New Roman"/>
          <w:sz w:val="23"/>
          <w:szCs w:val="23"/>
        </w:rPr>
        <w:t xml:space="preserve">igrations and </w:t>
      </w:r>
      <w:r w:rsidR="002A6558" w:rsidRPr="00F853DD">
        <w:rPr>
          <w:rFonts w:ascii="Times" w:hAnsi="Times" w:cs="Times New Roman"/>
          <w:sz w:val="23"/>
          <w:szCs w:val="23"/>
        </w:rPr>
        <w:t>g</w:t>
      </w:r>
      <w:r w:rsidRPr="00F853DD">
        <w:rPr>
          <w:rFonts w:ascii="Times" w:hAnsi="Times" w:cs="Times New Roman"/>
          <w:sz w:val="23"/>
          <w:szCs w:val="23"/>
        </w:rPr>
        <w:t xml:space="preserve">lobal </w:t>
      </w:r>
      <w:r w:rsidR="002A6558" w:rsidRPr="00F853DD">
        <w:rPr>
          <w:rFonts w:ascii="Times" w:hAnsi="Times" w:cs="Times New Roman"/>
          <w:sz w:val="23"/>
          <w:szCs w:val="23"/>
        </w:rPr>
        <w:t>s</w:t>
      </w:r>
      <w:r w:rsidRPr="00F853DD">
        <w:rPr>
          <w:rFonts w:ascii="Times" w:hAnsi="Times" w:cs="Times New Roman"/>
          <w:sz w:val="23"/>
          <w:szCs w:val="23"/>
        </w:rPr>
        <w:t xml:space="preserve">ocial </w:t>
      </w:r>
      <w:r w:rsidR="002A6558" w:rsidRPr="00F853DD">
        <w:rPr>
          <w:rFonts w:ascii="Times" w:hAnsi="Times" w:cs="Times New Roman"/>
          <w:sz w:val="23"/>
          <w:szCs w:val="23"/>
        </w:rPr>
        <w:t>r</w:t>
      </w:r>
      <w:r w:rsidRPr="00F853DD">
        <w:rPr>
          <w:rFonts w:ascii="Times" w:hAnsi="Times" w:cs="Times New Roman"/>
          <w:sz w:val="23"/>
          <w:szCs w:val="23"/>
        </w:rPr>
        <w:t xml:space="preserve">eproduction. </w:t>
      </w:r>
      <w:r w:rsidRPr="00F853DD">
        <w:rPr>
          <w:rFonts w:ascii="Times" w:hAnsi="Times" w:cs="Times New Roman"/>
          <w:i/>
          <w:sz w:val="23"/>
          <w:szCs w:val="23"/>
        </w:rPr>
        <w:t>Gendered migrations and global social reproduction</w:t>
      </w:r>
      <w:r w:rsidRPr="00F853DD">
        <w:rPr>
          <w:rFonts w:ascii="Times" w:hAnsi="Times" w:cs="Times New Roman"/>
          <w:sz w:val="23"/>
          <w:szCs w:val="23"/>
        </w:rPr>
        <w:t>, 1-254.</w:t>
      </w:r>
    </w:p>
    <w:p w14:paraId="625418BB" w14:textId="1CF0B7D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Kohler, S., Schreiber, D. and Döhner, H.</w:t>
      </w:r>
      <w:r w:rsidR="002A6558" w:rsidRPr="00F853DD">
        <w:rPr>
          <w:rFonts w:ascii="Times" w:hAnsi="Times" w:cs="Times New Roman"/>
          <w:sz w:val="23"/>
          <w:szCs w:val="23"/>
        </w:rPr>
        <w:t>,</w:t>
      </w:r>
      <w:r w:rsidRPr="00F853DD">
        <w:rPr>
          <w:rFonts w:ascii="Times" w:hAnsi="Times" w:cs="Times New Roman"/>
          <w:sz w:val="23"/>
          <w:szCs w:val="23"/>
        </w:rPr>
        <w:t xml:space="preserve"> (2006). Services for </w:t>
      </w:r>
      <w:r w:rsidR="002A6558" w:rsidRPr="00F853DD">
        <w:rPr>
          <w:rFonts w:ascii="Times" w:hAnsi="Times" w:cs="Times New Roman"/>
          <w:sz w:val="23"/>
          <w:szCs w:val="23"/>
        </w:rPr>
        <w:t>s</w:t>
      </w:r>
      <w:r w:rsidRPr="00F853DD">
        <w:rPr>
          <w:rFonts w:ascii="Times" w:hAnsi="Times" w:cs="Times New Roman"/>
          <w:sz w:val="23"/>
          <w:szCs w:val="23"/>
        </w:rPr>
        <w:t xml:space="preserve">upporting </w:t>
      </w:r>
      <w:r w:rsidR="002A6558" w:rsidRPr="00F853DD">
        <w:rPr>
          <w:rFonts w:ascii="Times" w:hAnsi="Times" w:cs="Times New Roman"/>
          <w:sz w:val="23"/>
          <w:szCs w:val="23"/>
        </w:rPr>
        <w:t>f</w:t>
      </w:r>
      <w:r w:rsidRPr="00F853DD">
        <w:rPr>
          <w:rFonts w:ascii="Times" w:hAnsi="Times" w:cs="Times New Roman"/>
          <w:sz w:val="23"/>
          <w:szCs w:val="23"/>
        </w:rPr>
        <w:t xml:space="preserve">amily </w:t>
      </w:r>
      <w:r w:rsidR="002A6558" w:rsidRPr="00F853DD">
        <w:rPr>
          <w:rFonts w:ascii="Times" w:hAnsi="Times" w:cs="Times New Roman"/>
          <w:sz w:val="23"/>
          <w:szCs w:val="23"/>
        </w:rPr>
        <w:t>c</w:t>
      </w:r>
      <w:r w:rsidRPr="00F853DD">
        <w:rPr>
          <w:rFonts w:ascii="Times" w:hAnsi="Times" w:cs="Times New Roman"/>
          <w:sz w:val="23"/>
          <w:szCs w:val="23"/>
        </w:rPr>
        <w:t xml:space="preserve">arers of </w:t>
      </w:r>
      <w:r w:rsidR="002A6558" w:rsidRPr="00F853DD">
        <w:rPr>
          <w:rFonts w:ascii="Times" w:hAnsi="Times" w:cs="Times New Roman"/>
          <w:sz w:val="23"/>
          <w:szCs w:val="23"/>
        </w:rPr>
        <w:t>e</w:t>
      </w:r>
      <w:r w:rsidRPr="00F853DD">
        <w:rPr>
          <w:rFonts w:ascii="Times" w:hAnsi="Times" w:cs="Times New Roman"/>
          <w:sz w:val="23"/>
          <w:szCs w:val="23"/>
        </w:rPr>
        <w:t xml:space="preserve">lderly </w:t>
      </w:r>
      <w:r w:rsidR="002A6558" w:rsidRPr="00F853DD">
        <w:rPr>
          <w:rFonts w:ascii="Times" w:hAnsi="Times" w:cs="Times New Roman"/>
          <w:sz w:val="23"/>
          <w:szCs w:val="23"/>
        </w:rPr>
        <w:t>p</w:t>
      </w:r>
      <w:r w:rsidRPr="00F853DD">
        <w:rPr>
          <w:rFonts w:ascii="Times" w:hAnsi="Times" w:cs="Times New Roman"/>
          <w:sz w:val="23"/>
          <w:szCs w:val="23"/>
        </w:rPr>
        <w:t xml:space="preserve">eople in Europe: </w:t>
      </w:r>
      <w:r w:rsidR="002A6558" w:rsidRPr="00F853DD">
        <w:rPr>
          <w:rFonts w:ascii="Times" w:hAnsi="Times" w:cs="Times New Roman"/>
          <w:sz w:val="23"/>
          <w:szCs w:val="23"/>
        </w:rPr>
        <w:t>c</w:t>
      </w:r>
      <w:r w:rsidRPr="00F853DD">
        <w:rPr>
          <w:rFonts w:ascii="Times" w:hAnsi="Times" w:cs="Times New Roman"/>
          <w:sz w:val="23"/>
          <w:szCs w:val="23"/>
        </w:rPr>
        <w:t xml:space="preserve">haracteristics, </w:t>
      </w:r>
      <w:r w:rsidR="002A6558" w:rsidRPr="00F853DD">
        <w:rPr>
          <w:rFonts w:ascii="Times" w:hAnsi="Times" w:cs="Times New Roman"/>
          <w:sz w:val="23"/>
          <w:szCs w:val="23"/>
        </w:rPr>
        <w:t>c</w:t>
      </w:r>
      <w:r w:rsidRPr="00F853DD">
        <w:rPr>
          <w:rFonts w:ascii="Times" w:hAnsi="Times" w:cs="Times New Roman"/>
          <w:sz w:val="23"/>
          <w:szCs w:val="23"/>
        </w:rPr>
        <w:t xml:space="preserve">overage and </w:t>
      </w:r>
      <w:r w:rsidR="002A6558" w:rsidRPr="00F853DD">
        <w:rPr>
          <w:rFonts w:ascii="Times" w:hAnsi="Times" w:cs="Times New Roman"/>
          <w:sz w:val="23"/>
          <w:szCs w:val="23"/>
        </w:rPr>
        <w:t>u</w:t>
      </w:r>
      <w:r w:rsidRPr="00F853DD">
        <w:rPr>
          <w:rFonts w:ascii="Times" w:hAnsi="Times" w:cs="Times New Roman"/>
          <w:sz w:val="23"/>
          <w:szCs w:val="23"/>
        </w:rPr>
        <w:t>sage.</w:t>
      </w:r>
    </w:p>
    <w:p w14:paraId="4F45A303" w14:textId="759E20B4" w:rsidR="00DF05BD" w:rsidRPr="00F853DD" w:rsidRDefault="00D52BE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Kolker, A.,</w:t>
      </w:r>
      <w:r w:rsidR="00DF05BD" w:rsidRPr="00F853DD">
        <w:rPr>
          <w:rFonts w:ascii="Times" w:hAnsi="Times" w:cs="Times New Roman"/>
          <w:sz w:val="23"/>
          <w:szCs w:val="23"/>
        </w:rPr>
        <w:t xml:space="preserve"> (2018). The </w:t>
      </w:r>
      <w:r w:rsidR="002A6558" w:rsidRPr="00F853DD">
        <w:rPr>
          <w:rFonts w:ascii="Times" w:hAnsi="Times" w:cs="Times New Roman"/>
          <w:sz w:val="23"/>
          <w:szCs w:val="23"/>
        </w:rPr>
        <w:t>p</w:t>
      </w:r>
      <w:r w:rsidR="00DF05BD" w:rsidRPr="00F853DD">
        <w:rPr>
          <w:rFonts w:ascii="Times" w:hAnsi="Times" w:cs="Times New Roman"/>
          <w:sz w:val="23"/>
          <w:szCs w:val="23"/>
        </w:rPr>
        <w:t xml:space="preserve">otency of </w:t>
      </w:r>
      <w:r w:rsidR="002A6558" w:rsidRPr="00F853DD">
        <w:rPr>
          <w:rFonts w:ascii="Times" w:hAnsi="Times" w:cs="Times New Roman"/>
          <w:sz w:val="23"/>
          <w:szCs w:val="23"/>
        </w:rPr>
        <w:t>p</w:t>
      </w:r>
      <w:r w:rsidR="00DF05BD" w:rsidRPr="00F853DD">
        <w:rPr>
          <w:rFonts w:ascii="Times" w:hAnsi="Times" w:cs="Times New Roman"/>
          <w:sz w:val="23"/>
          <w:szCs w:val="23"/>
        </w:rPr>
        <w:t xml:space="preserve">olicy?: A </w:t>
      </w:r>
      <w:r w:rsidR="002A6558" w:rsidRPr="00F853DD">
        <w:rPr>
          <w:rFonts w:ascii="Times" w:hAnsi="Times" w:cs="Times New Roman"/>
          <w:sz w:val="23"/>
          <w:szCs w:val="23"/>
        </w:rPr>
        <w:t>c</w:t>
      </w:r>
      <w:r w:rsidR="00DF05BD" w:rsidRPr="00F853DD">
        <w:rPr>
          <w:rFonts w:ascii="Times" w:hAnsi="Times" w:cs="Times New Roman"/>
          <w:sz w:val="23"/>
          <w:szCs w:val="23"/>
        </w:rPr>
        <w:t xml:space="preserve">omparative </w:t>
      </w:r>
      <w:r w:rsidR="002A6558" w:rsidRPr="00F853DD">
        <w:rPr>
          <w:rFonts w:ascii="Times" w:hAnsi="Times" w:cs="Times New Roman"/>
          <w:sz w:val="23"/>
          <w:szCs w:val="23"/>
        </w:rPr>
        <w:t>s</w:t>
      </w:r>
      <w:r w:rsidR="00DF05BD" w:rsidRPr="00F853DD">
        <w:rPr>
          <w:rFonts w:ascii="Times" w:hAnsi="Times" w:cs="Times New Roman"/>
          <w:sz w:val="23"/>
          <w:szCs w:val="23"/>
        </w:rPr>
        <w:t xml:space="preserve">tudy of Filipino </w:t>
      </w:r>
      <w:r w:rsidR="002A6558" w:rsidRPr="00F853DD">
        <w:rPr>
          <w:rFonts w:ascii="Times" w:hAnsi="Times" w:cs="Times New Roman"/>
          <w:sz w:val="23"/>
          <w:szCs w:val="23"/>
        </w:rPr>
        <w:t>e</w:t>
      </w:r>
      <w:r w:rsidR="00DF05BD" w:rsidRPr="00F853DD">
        <w:rPr>
          <w:rFonts w:ascii="Times" w:hAnsi="Times" w:cs="Times New Roman"/>
          <w:sz w:val="23"/>
          <w:szCs w:val="23"/>
        </w:rPr>
        <w:t xml:space="preserve">lder </w:t>
      </w:r>
      <w:r w:rsidR="002A6558" w:rsidRPr="00F853DD">
        <w:rPr>
          <w:rFonts w:ascii="Times" w:hAnsi="Times" w:cs="Times New Roman"/>
          <w:sz w:val="23"/>
          <w:szCs w:val="23"/>
        </w:rPr>
        <w:t>c</w:t>
      </w:r>
      <w:r w:rsidR="00DF05BD" w:rsidRPr="00F853DD">
        <w:rPr>
          <w:rFonts w:ascii="Times" w:hAnsi="Times" w:cs="Times New Roman"/>
          <w:sz w:val="23"/>
          <w:szCs w:val="23"/>
        </w:rPr>
        <w:t xml:space="preserve">are </w:t>
      </w:r>
      <w:r w:rsidR="002A6558" w:rsidRPr="00F853DD">
        <w:rPr>
          <w:rFonts w:ascii="Times" w:hAnsi="Times" w:cs="Times New Roman"/>
          <w:sz w:val="23"/>
          <w:szCs w:val="23"/>
        </w:rPr>
        <w:t>w</w:t>
      </w:r>
      <w:r w:rsidR="00DF05BD" w:rsidRPr="00F853DD">
        <w:rPr>
          <w:rFonts w:ascii="Times" w:hAnsi="Times" w:cs="Times New Roman"/>
          <w:sz w:val="23"/>
          <w:szCs w:val="23"/>
        </w:rPr>
        <w:t>orkers in the United States and Israel.</w:t>
      </w:r>
    </w:p>
    <w:p w14:paraId="3D8B8534" w14:textId="45002B1E" w:rsidR="00DF05BD" w:rsidRPr="00F853DD" w:rsidRDefault="00D52BE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Kolmer, D.</w:t>
      </w:r>
      <w:r w:rsidR="00DF05BD" w:rsidRPr="00F853DD">
        <w:rPr>
          <w:rFonts w:ascii="Times" w:hAnsi="Times" w:cs="Times New Roman"/>
          <w:sz w:val="23"/>
          <w:szCs w:val="23"/>
        </w:rPr>
        <w:t>, Tellings, A., Gelissen, J., Garretsen, H. and Bongers, I.</w:t>
      </w:r>
      <w:r w:rsidRPr="00F853DD">
        <w:rPr>
          <w:rFonts w:ascii="Times" w:hAnsi="Times" w:cs="Times New Roman"/>
          <w:sz w:val="23"/>
          <w:szCs w:val="23"/>
        </w:rPr>
        <w:t>,</w:t>
      </w:r>
      <w:r w:rsidR="00DF05BD" w:rsidRPr="00F853DD">
        <w:rPr>
          <w:rFonts w:ascii="Times" w:hAnsi="Times" w:cs="Times New Roman"/>
          <w:sz w:val="23"/>
          <w:szCs w:val="23"/>
        </w:rPr>
        <w:t xml:space="preserve"> (2008). Ranked motives of long-term care providing family caregivers. </w:t>
      </w:r>
      <w:r w:rsidR="00DF05BD" w:rsidRPr="00F853DD">
        <w:rPr>
          <w:rFonts w:ascii="Times" w:hAnsi="Times" w:cs="Times New Roman"/>
          <w:i/>
          <w:sz w:val="23"/>
          <w:szCs w:val="23"/>
        </w:rPr>
        <w:t>Scandinavian Journal of Caring Sciences</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22</w:t>
      </w:r>
      <w:r w:rsidR="00DF05BD" w:rsidRPr="00F853DD">
        <w:rPr>
          <w:rFonts w:ascii="Times" w:hAnsi="Times" w:cs="Times New Roman"/>
          <w:sz w:val="23"/>
          <w:szCs w:val="23"/>
        </w:rPr>
        <w:t>, 29-39.</w:t>
      </w:r>
    </w:p>
    <w:p w14:paraId="2C81F0F0" w14:textId="62E8BC0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Kools, S., McCarthy, M., Durham, R. and Robrecht, L.</w:t>
      </w:r>
      <w:r w:rsidR="00D52BE2" w:rsidRPr="00F853DD">
        <w:rPr>
          <w:rFonts w:ascii="Times" w:hAnsi="Times" w:cs="Times New Roman"/>
          <w:sz w:val="23"/>
          <w:szCs w:val="23"/>
        </w:rPr>
        <w:t>,</w:t>
      </w:r>
      <w:r w:rsidRPr="00F853DD">
        <w:rPr>
          <w:rFonts w:ascii="Times" w:hAnsi="Times" w:cs="Times New Roman"/>
          <w:sz w:val="23"/>
          <w:szCs w:val="23"/>
        </w:rPr>
        <w:t xml:space="preserve"> (1996). Dimensional analysis: </w:t>
      </w:r>
      <w:r w:rsidR="00D52BE2" w:rsidRPr="00F853DD">
        <w:rPr>
          <w:rFonts w:ascii="Times" w:hAnsi="Times" w:cs="Times New Roman"/>
          <w:sz w:val="23"/>
          <w:szCs w:val="23"/>
        </w:rPr>
        <w:t>b</w:t>
      </w:r>
      <w:r w:rsidRPr="00F853DD">
        <w:rPr>
          <w:rFonts w:ascii="Times" w:hAnsi="Times" w:cs="Times New Roman"/>
          <w:sz w:val="23"/>
          <w:szCs w:val="23"/>
        </w:rPr>
        <w:t xml:space="preserve">roadening the conception of grounded theory. </w:t>
      </w:r>
      <w:r w:rsidRPr="00F853DD">
        <w:rPr>
          <w:rFonts w:ascii="Times" w:hAnsi="Times" w:cs="Times New Roman"/>
          <w:i/>
          <w:sz w:val="23"/>
          <w:szCs w:val="23"/>
        </w:rPr>
        <w:t>Qualitative Health Research</w:t>
      </w:r>
      <w:r w:rsidR="004D579F"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w:t>
      </w:r>
      <w:r w:rsidRPr="00F853DD">
        <w:rPr>
          <w:rFonts w:ascii="Times" w:hAnsi="Times" w:cs="Times New Roman"/>
          <w:sz w:val="23"/>
          <w:szCs w:val="23"/>
        </w:rPr>
        <w:t>, 312-330.</w:t>
      </w:r>
    </w:p>
    <w:p w14:paraId="1004E0E3" w14:textId="54E12D4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Korcok, M.</w:t>
      </w:r>
      <w:r w:rsidR="00D52BE2" w:rsidRPr="00F853DD">
        <w:rPr>
          <w:rFonts w:ascii="Times" w:hAnsi="Times" w:cs="Times New Roman"/>
          <w:sz w:val="23"/>
          <w:szCs w:val="23"/>
        </w:rPr>
        <w:t>,</w:t>
      </w:r>
      <w:r w:rsidRPr="00F853DD">
        <w:rPr>
          <w:rFonts w:ascii="Times" w:hAnsi="Times" w:cs="Times New Roman"/>
          <w:sz w:val="23"/>
          <w:szCs w:val="23"/>
        </w:rPr>
        <w:t xml:space="preserve"> (1983). Can 2-</w:t>
      </w:r>
      <w:r w:rsidR="00D52BE2" w:rsidRPr="00F853DD">
        <w:rPr>
          <w:rFonts w:ascii="Times" w:hAnsi="Times" w:cs="Times New Roman"/>
          <w:sz w:val="23"/>
          <w:szCs w:val="23"/>
        </w:rPr>
        <w:t>t</w:t>
      </w:r>
      <w:r w:rsidRPr="00F853DD">
        <w:rPr>
          <w:rFonts w:ascii="Times" w:hAnsi="Times" w:cs="Times New Roman"/>
          <w:sz w:val="23"/>
          <w:szCs w:val="23"/>
        </w:rPr>
        <w:t xml:space="preserve">iered </w:t>
      </w:r>
      <w:r w:rsidR="00D52BE2" w:rsidRPr="00F853DD">
        <w:rPr>
          <w:rFonts w:ascii="Times" w:hAnsi="Times" w:cs="Times New Roman"/>
          <w:sz w:val="23"/>
          <w:szCs w:val="23"/>
        </w:rPr>
        <w:t>h</w:t>
      </w:r>
      <w:r w:rsidRPr="00F853DD">
        <w:rPr>
          <w:rFonts w:ascii="Times" w:hAnsi="Times" w:cs="Times New Roman"/>
          <w:sz w:val="23"/>
          <w:szCs w:val="23"/>
        </w:rPr>
        <w:t xml:space="preserve">ealth </w:t>
      </w:r>
      <w:r w:rsidR="00D52BE2" w:rsidRPr="00F853DD">
        <w:rPr>
          <w:rFonts w:ascii="Times" w:hAnsi="Times" w:cs="Times New Roman"/>
          <w:sz w:val="23"/>
          <w:szCs w:val="23"/>
        </w:rPr>
        <w:t>c</w:t>
      </w:r>
      <w:r w:rsidRPr="00F853DD">
        <w:rPr>
          <w:rFonts w:ascii="Times" w:hAnsi="Times" w:cs="Times New Roman"/>
          <w:sz w:val="23"/>
          <w:szCs w:val="23"/>
        </w:rPr>
        <w:t xml:space="preserve">are </w:t>
      </w:r>
      <w:r w:rsidR="00D52BE2" w:rsidRPr="00F853DD">
        <w:rPr>
          <w:rFonts w:ascii="Times" w:hAnsi="Times" w:cs="Times New Roman"/>
          <w:sz w:val="23"/>
          <w:szCs w:val="23"/>
        </w:rPr>
        <w:t>w</w:t>
      </w:r>
      <w:r w:rsidRPr="00F853DD">
        <w:rPr>
          <w:rFonts w:ascii="Times" w:hAnsi="Times" w:cs="Times New Roman"/>
          <w:sz w:val="23"/>
          <w:szCs w:val="23"/>
        </w:rPr>
        <w:t xml:space="preserve">ork? </w:t>
      </w:r>
      <w:r w:rsidRPr="00F853DD">
        <w:rPr>
          <w:rFonts w:ascii="Times" w:hAnsi="Times" w:cs="Times New Roman"/>
          <w:i/>
          <w:sz w:val="23"/>
          <w:szCs w:val="23"/>
        </w:rPr>
        <w:t>Canadian Medical Association Journal</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129</w:t>
      </w:r>
      <w:r w:rsidRPr="00F853DD">
        <w:rPr>
          <w:rFonts w:ascii="Times" w:hAnsi="Times" w:cs="Times New Roman"/>
          <w:sz w:val="23"/>
          <w:szCs w:val="23"/>
        </w:rPr>
        <w:t>, 629.</w:t>
      </w:r>
    </w:p>
    <w:p w14:paraId="263412B3" w14:textId="7509DDFA"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Koren, C., Simhi, S., Lipman-Schiby, S. and Fogel, S.</w:t>
      </w:r>
      <w:r w:rsidR="00D52BE2" w:rsidRPr="00F853DD">
        <w:rPr>
          <w:rFonts w:ascii="Times" w:hAnsi="Times" w:cs="Times New Roman"/>
          <w:sz w:val="23"/>
          <w:szCs w:val="23"/>
        </w:rPr>
        <w:t>,</w:t>
      </w:r>
      <w:r w:rsidRPr="00F853DD">
        <w:rPr>
          <w:rFonts w:ascii="Times" w:hAnsi="Times" w:cs="Times New Roman"/>
          <w:sz w:val="23"/>
          <w:szCs w:val="23"/>
        </w:rPr>
        <w:t xml:space="preserve"> (2016). The partner in late-life repartnering: caregiving expectations from an intergenerational perspective. </w:t>
      </w:r>
      <w:r w:rsidRPr="00F853DD">
        <w:rPr>
          <w:rFonts w:ascii="Times" w:hAnsi="Times" w:cs="Times New Roman"/>
          <w:i/>
          <w:sz w:val="23"/>
          <w:szCs w:val="23"/>
          <w:lang w:val="nl-NL"/>
        </w:rPr>
        <w:t>International Psychogeriatrics</w:t>
      </w:r>
      <w:r w:rsidR="004D579F" w:rsidRPr="00F853DD">
        <w:rPr>
          <w:rFonts w:ascii="Times" w:hAnsi="Times" w:cs="Times New Roman"/>
          <w:sz w:val="23"/>
          <w:szCs w:val="23"/>
          <w:lang w:val="nl-NL"/>
        </w:rPr>
        <w:t>.</w:t>
      </w:r>
      <w:r w:rsidRPr="00F853DD">
        <w:rPr>
          <w:rFonts w:ascii="Times" w:hAnsi="Times" w:cs="Times New Roman"/>
          <w:sz w:val="23"/>
          <w:szCs w:val="23"/>
          <w:lang w:val="nl-NL"/>
        </w:rPr>
        <w:t xml:space="preserve"> </w:t>
      </w:r>
      <w:r w:rsidRPr="00F853DD">
        <w:rPr>
          <w:rFonts w:ascii="Times" w:hAnsi="Times" w:cs="Times New Roman"/>
          <w:b/>
          <w:sz w:val="23"/>
          <w:szCs w:val="23"/>
          <w:lang w:val="nl-NL"/>
        </w:rPr>
        <w:t>28</w:t>
      </w:r>
      <w:r w:rsidRPr="00F853DD">
        <w:rPr>
          <w:rFonts w:ascii="Times" w:hAnsi="Times" w:cs="Times New Roman"/>
          <w:sz w:val="23"/>
          <w:szCs w:val="23"/>
          <w:lang w:val="nl-NL"/>
        </w:rPr>
        <w:t>, 1555-1565.</w:t>
      </w:r>
    </w:p>
    <w:p w14:paraId="36BE1347" w14:textId="655215BF" w:rsidR="00DF05BD" w:rsidRPr="00F853DD" w:rsidRDefault="00D52BE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 xml:space="preserve">Korporaal, M., Van Groenou, M. and Van Tilburg, T., </w:t>
      </w:r>
      <w:r w:rsidR="00DF05BD" w:rsidRPr="00F853DD">
        <w:rPr>
          <w:rFonts w:ascii="Times" w:hAnsi="Times" w:cs="Times New Roman"/>
          <w:sz w:val="23"/>
          <w:szCs w:val="23"/>
          <w:lang w:val="nl-NL"/>
        </w:rPr>
        <w:t xml:space="preserve">(2008). </w:t>
      </w:r>
      <w:r w:rsidR="00DF05BD" w:rsidRPr="00F853DD">
        <w:rPr>
          <w:rFonts w:ascii="Times" w:hAnsi="Times" w:cs="Times New Roman"/>
          <w:sz w:val="23"/>
          <w:szCs w:val="23"/>
        </w:rPr>
        <w:t xml:space="preserve">Effects of own and spousal disability on loneliness among older adults. </w:t>
      </w:r>
      <w:r w:rsidR="00DF05BD" w:rsidRPr="00F853DD">
        <w:rPr>
          <w:rFonts w:ascii="Times" w:hAnsi="Times" w:cs="Times New Roman"/>
          <w:i/>
          <w:sz w:val="23"/>
          <w:szCs w:val="23"/>
        </w:rPr>
        <w:t>Journal of Aging and Health</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20</w:t>
      </w:r>
      <w:r w:rsidR="00DF05BD" w:rsidRPr="00F853DD">
        <w:rPr>
          <w:rFonts w:ascii="Times" w:hAnsi="Times" w:cs="Times New Roman"/>
          <w:sz w:val="23"/>
          <w:szCs w:val="23"/>
        </w:rPr>
        <w:t>, 306-325.</w:t>
      </w:r>
    </w:p>
    <w:p w14:paraId="34F651C0" w14:textId="0A6D3280"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Kosberg, J. and Cairl, R.</w:t>
      </w:r>
      <w:r w:rsidR="00804E1B" w:rsidRPr="00F853DD">
        <w:rPr>
          <w:rFonts w:ascii="Times" w:hAnsi="Times" w:cs="Times New Roman"/>
          <w:sz w:val="23"/>
          <w:szCs w:val="23"/>
        </w:rPr>
        <w:t>,</w:t>
      </w:r>
      <w:r w:rsidRPr="00F853DD">
        <w:rPr>
          <w:rFonts w:ascii="Times" w:hAnsi="Times" w:cs="Times New Roman"/>
          <w:sz w:val="23"/>
          <w:szCs w:val="23"/>
        </w:rPr>
        <w:t xml:space="preserve"> (1986). The </w:t>
      </w:r>
      <w:r w:rsidR="00804E1B" w:rsidRPr="00F853DD">
        <w:rPr>
          <w:rFonts w:ascii="Times" w:hAnsi="Times" w:cs="Times New Roman"/>
          <w:sz w:val="23"/>
          <w:szCs w:val="23"/>
        </w:rPr>
        <w:t>c</w:t>
      </w:r>
      <w:r w:rsidRPr="00F853DD">
        <w:rPr>
          <w:rFonts w:ascii="Times" w:hAnsi="Times" w:cs="Times New Roman"/>
          <w:sz w:val="23"/>
          <w:szCs w:val="23"/>
        </w:rPr>
        <w:t xml:space="preserve">ost of </w:t>
      </w:r>
      <w:r w:rsidR="00804E1B" w:rsidRPr="00F853DD">
        <w:rPr>
          <w:rFonts w:ascii="Times" w:hAnsi="Times" w:cs="Times New Roman"/>
          <w:sz w:val="23"/>
          <w:szCs w:val="23"/>
        </w:rPr>
        <w:t>c</w:t>
      </w:r>
      <w:r w:rsidRPr="00F853DD">
        <w:rPr>
          <w:rFonts w:ascii="Times" w:hAnsi="Times" w:cs="Times New Roman"/>
          <w:sz w:val="23"/>
          <w:szCs w:val="23"/>
        </w:rPr>
        <w:t xml:space="preserve">are </w:t>
      </w:r>
      <w:r w:rsidR="00804E1B" w:rsidRPr="00F853DD">
        <w:rPr>
          <w:rFonts w:ascii="Times" w:hAnsi="Times" w:cs="Times New Roman"/>
          <w:sz w:val="23"/>
          <w:szCs w:val="23"/>
        </w:rPr>
        <w:t>i</w:t>
      </w:r>
      <w:r w:rsidRPr="00F853DD">
        <w:rPr>
          <w:rFonts w:ascii="Times" w:hAnsi="Times" w:cs="Times New Roman"/>
          <w:sz w:val="23"/>
          <w:szCs w:val="23"/>
        </w:rPr>
        <w:t xml:space="preserve">ndex: </w:t>
      </w:r>
      <w:r w:rsidR="00804E1B" w:rsidRPr="00F853DD">
        <w:rPr>
          <w:rFonts w:ascii="Times" w:hAnsi="Times" w:cs="Times New Roman"/>
          <w:sz w:val="23"/>
          <w:szCs w:val="23"/>
        </w:rPr>
        <w:t>a</w:t>
      </w:r>
      <w:r w:rsidRPr="00F853DD">
        <w:rPr>
          <w:rFonts w:ascii="Times" w:hAnsi="Times" w:cs="Times New Roman"/>
          <w:sz w:val="23"/>
          <w:szCs w:val="23"/>
        </w:rPr>
        <w:t xml:space="preserve"> </w:t>
      </w:r>
      <w:r w:rsidR="00804E1B" w:rsidRPr="00F853DD">
        <w:rPr>
          <w:rFonts w:ascii="Times" w:hAnsi="Times" w:cs="Times New Roman"/>
          <w:sz w:val="23"/>
          <w:szCs w:val="23"/>
        </w:rPr>
        <w:t>c</w:t>
      </w:r>
      <w:r w:rsidRPr="00F853DD">
        <w:rPr>
          <w:rFonts w:ascii="Times" w:hAnsi="Times" w:cs="Times New Roman"/>
          <w:sz w:val="23"/>
          <w:szCs w:val="23"/>
        </w:rPr>
        <w:t xml:space="preserve">ase </w:t>
      </w:r>
      <w:r w:rsidR="00804E1B" w:rsidRPr="00F853DD">
        <w:rPr>
          <w:rFonts w:ascii="Times" w:hAnsi="Times" w:cs="Times New Roman"/>
          <w:sz w:val="23"/>
          <w:szCs w:val="23"/>
        </w:rPr>
        <w:t>m</w:t>
      </w:r>
      <w:r w:rsidRPr="00F853DD">
        <w:rPr>
          <w:rFonts w:ascii="Times" w:hAnsi="Times" w:cs="Times New Roman"/>
          <w:sz w:val="23"/>
          <w:szCs w:val="23"/>
        </w:rPr>
        <w:t xml:space="preserve">anagement </w:t>
      </w:r>
      <w:r w:rsidR="00804E1B" w:rsidRPr="00F853DD">
        <w:rPr>
          <w:rFonts w:ascii="Times" w:hAnsi="Times" w:cs="Times New Roman"/>
          <w:sz w:val="23"/>
          <w:szCs w:val="23"/>
        </w:rPr>
        <w:t>t</w:t>
      </w:r>
      <w:r w:rsidRPr="00F853DD">
        <w:rPr>
          <w:rFonts w:ascii="Times" w:hAnsi="Times" w:cs="Times New Roman"/>
          <w:sz w:val="23"/>
          <w:szCs w:val="23"/>
        </w:rPr>
        <w:t xml:space="preserve">ool for </w:t>
      </w:r>
      <w:r w:rsidR="00804E1B" w:rsidRPr="00F853DD">
        <w:rPr>
          <w:rFonts w:ascii="Times" w:hAnsi="Times" w:cs="Times New Roman"/>
          <w:sz w:val="23"/>
          <w:szCs w:val="23"/>
        </w:rPr>
        <w:t>s</w:t>
      </w:r>
      <w:r w:rsidRPr="00F853DD">
        <w:rPr>
          <w:rFonts w:ascii="Times" w:hAnsi="Times" w:cs="Times New Roman"/>
          <w:sz w:val="23"/>
          <w:szCs w:val="23"/>
        </w:rPr>
        <w:t xml:space="preserve">creening </w:t>
      </w:r>
      <w:r w:rsidR="00804E1B" w:rsidRPr="00F853DD">
        <w:rPr>
          <w:rFonts w:ascii="Times" w:hAnsi="Times" w:cs="Times New Roman"/>
          <w:sz w:val="23"/>
          <w:szCs w:val="23"/>
        </w:rPr>
        <w:t>i</w:t>
      </w:r>
      <w:r w:rsidRPr="00F853DD">
        <w:rPr>
          <w:rFonts w:ascii="Times" w:hAnsi="Times" w:cs="Times New Roman"/>
          <w:sz w:val="23"/>
          <w:szCs w:val="23"/>
        </w:rPr>
        <w:t xml:space="preserve">nformal </w:t>
      </w:r>
      <w:r w:rsidR="00804E1B" w:rsidRPr="00F853DD">
        <w:rPr>
          <w:rFonts w:ascii="Times" w:hAnsi="Times" w:cs="Times New Roman"/>
          <w:sz w:val="23"/>
          <w:szCs w:val="23"/>
        </w:rPr>
        <w:t>c</w:t>
      </w:r>
      <w:r w:rsidRPr="00F853DD">
        <w:rPr>
          <w:rFonts w:ascii="Times" w:hAnsi="Times" w:cs="Times New Roman"/>
          <w:sz w:val="23"/>
          <w:szCs w:val="23"/>
        </w:rPr>
        <w:t xml:space="preserve">are </w:t>
      </w:r>
      <w:r w:rsidR="00804E1B" w:rsidRPr="00F853DD">
        <w:rPr>
          <w:rFonts w:ascii="Times" w:hAnsi="Times" w:cs="Times New Roman"/>
          <w:sz w:val="23"/>
          <w:szCs w:val="23"/>
        </w:rPr>
        <w:t>p</w:t>
      </w:r>
      <w:r w:rsidRPr="00F853DD">
        <w:rPr>
          <w:rFonts w:ascii="Times" w:hAnsi="Times" w:cs="Times New Roman"/>
          <w:sz w:val="23"/>
          <w:szCs w:val="23"/>
        </w:rPr>
        <w:t xml:space="preserve">roviders. </w:t>
      </w:r>
      <w:r w:rsidRPr="00F853DD">
        <w:rPr>
          <w:rFonts w:ascii="Times" w:hAnsi="Times" w:cs="Times New Roman"/>
          <w:i/>
          <w:sz w:val="23"/>
          <w:szCs w:val="23"/>
          <w:lang w:val="en-TT"/>
        </w:rPr>
        <w:t>Gerontologist</w:t>
      </w:r>
      <w:r w:rsidR="004D579F" w:rsidRPr="00F853DD">
        <w:rPr>
          <w:rFonts w:ascii="Times" w:hAnsi="Times" w:cs="Times New Roman"/>
          <w:sz w:val="23"/>
          <w:szCs w:val="23"/>
          <w:lang w:val="en-TT"/>
        </w:rPr>
        <w:t>.</w:t>
      </w:r>
      <w:r w:rsidRPr="00F853DD">
        <w:rPr>
          <w:rFonts w:ascii="Times" w:hAnsi="Times" w:cs="Times New Roman"/>
          <w:sz w:val="23"/>
          <w:szCs w:val="23"/>
          <w:lang w:val="en-TT"/>
        </w:rPr>
        <w:t xml:space="preserve"> </w:t>
      </w:r>
      <w:r w:rsidRPr="00F853DD">
        <w:rPr>
          <w:rFonts w:ascii="Times" w:hAnsi="Times" w:cs="Times New Roman"/>
          <w:b/>
          <w:sz w:val="23"/>
          <w:szCs w:val="23"/>
          <w:lang w:val="en-TT"/>
        </w:rPr>
        <w:t>26</w:t>
      </w:r>
      <w:r w:rsidRPr="00F853DD">
        <w:rPr>
          <w:rFonts w:ascii="Times" w:hAnsi="Times" w:cs="Times New Roman"/>
          <w:sz w:val="23"/>
          <w:szCs w:val="23"/>
          <w:lang w:val="en-TT"/>
        </w:rPr>
        <w:t>, 273-278.</w:t>
      </w:r>
    </w:p>
    <w:p w14:paraId="68AB0D1D" w14:textId="4ADC3E2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Kosberg, J.</w:t>
      </w:r>
      <w:r w:rsidR="00804E1B" w:rsidRPr="00F853DD">
        <w:rPr>
          <w:rFonts w:ascii="Times" w:hAnsi="Times" w:cs="Times New Roman"/>
          <w:sz w:val="23"/>
          <w:szCs w:val="23"/>
          <w:lang w:val="en-TT"/>
        </w:rPr>
        <w:t>., Kaufman, A., Burgio, L., Leeper, J.</w:t>
      </w:r>
      <w:r w:rsidRPr="00F853DD">
        <w:rPr>
          <w:rFonts w:ascii="Times" w:hAnsi="Times" w:cs="Times New Roman"/>
          <w:sz w:val="23"/>
          <w:szCs w:val="23"/>
          <w:lang w:val="en-TT"/>
        </w:rPr>
        <w:t xml:space="preserve"> and Sun, F.</w:t>
      </w:r>
      <w:r w:rsidR="00804E1B" w:rsidRPr="00F853DD">
        <w:rPr>
          <w:rFonts w:ascii="Times" w:hAnsi="Times" w:cs="Times New Roman"/>
          <w:sz w:val="23"/>
          <w:szCs w:val="23"/>
          <w:lang w:val="en-TT"/>
        </w:rPr>
        <w:t>,</w:t>
      </w:r>
      <w:r w:rsidRPr="00F853DD">
        <w:rPr>
          <w:rFonts w:ascii="Times" w:hAnsi="Times" w:cs="Times New Roman"/>
          <w:sz w:val="23"/>
          <w:szCs w:val="23"/>
          <w:lang w:val="en-TT"/>
        </w:rPr>
        <w:t xml:space="preserve"> (2007). </w:t>
      </w:r>
      <w:r w:rsidRPr="00F853DD">
        <w:rPr>
          <w:rFonts w:ascii="Times" w:hAnsi="Times" w:cs="Times New Roman"/>
          <w:sz w:val="23"/>
          <w:szCs w:val="23"/>
        </w:rPr>
        <w:t xml:space="preserve">Family caregiving to those with dementia in rural Alabama: racial similarities and differences. </w:t>
      </w:r>
      <w:r w:rsidRPr="00F853DD">
        <w:rPr>
          <w:rFonts w:ascii="Times" w:hAnsi="Times" w:cs="Times New Roman"/>
          <w:i/>
          <w:sz w:val="23"/>
          <w:szCs w:val="23"/>
        </w:rPr>
        <w:t>Journal of Aging and Health</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 3-21.</w:t>
      </w:r>
    </w:p>
    <w:p w14:paraId="0522EDA0" w14:textId="0EC21D7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Koslowski, A., Blum, S., Dobrotic, I., Moss, P. and Macht, A.</w:t>
      </w:r>
      <w:r w:rsidR="00804E1B" w:rsidRPr="00F853DD">
        <w:rPr>
          <w:rFonts w:ascii="Times" w:hAnsi="Times" w:cs="Times New Roman"/>
          <w:sz w:val="23"/>
          <w:szCs w:val="23"/>
        </w:rPr>
        <w:t>,</w:t>
      </w:r>
      <w:r w:rsidRPr="00F853DD">
        <w:rPr>
          <w:rFonts w:ascii="Times" w:hAnsi="Times" w:cs="Times New Roman"/>
          <w:sz w:val="23"/>
          <w:szCs w:val="23"/>
        </w:rPr>
        <w:t xml:space="preserve"> (2019). 15th International Review of Leave Policies and Related Research 2019 </w:t>
      </w:r>
      <w:r w:rsidRPr="00F853DD">
        <w:rPr>
          <w:rFonts w:ascii="Times" w:hAnsi="Times" w:cs="Times New Roman"/>
          <w:i/>
          <w:sz w:val="23"/>
          <w:szCs w:val="23"/>
        </w:rPr>
        <w:t>International Network on Leave Policies and Research</w:t>
      </w:r>
      <w:r w:rsidR="00804E1B" w:rsidRPr="00F853DD">
        <w:rPr>
          <w:rFonts w:ascii="Times" w:hAnsi="Times" w:cs="Times New Roman"/>
          <w:i/>
          <w:sz w:val="23"/>
          <w:szCs w:val="23"/>
        </w:rPr>
        <w:t xml:space="preserve"> </w:t>
      </w:r>
      <w:r w:rsidR="00804E1B" w:rsidRPr="00F853DD">
        <w:rPr>
          <w:rFonts w:ascii="Times" w:hAnsi="Times" w:cs="Times New Roman"/>
          <w:sz w:val="23"/>
          <w:szCs w:val="23"/>
        </w:rPr>
        <w:t>[online]</w:t>
      </w:r>
      <w:r w:rsidRPr="00F853DD">
        <w:rPr>
          <w:rFonts w:ascii="Times" w:hAnsi="Times" w:cs="Times New Roman"/>
          <w:sz w:val="23"/>
          <w:szCs w:val="23"/>
        </w:rPr>
        <w:t xml:space="preserve">. [Viewed 20 November 2019]. Available from: </w:t>
      </w:r>
      <w:r w:rsidRPr="00F853DD">
        <w:rPr>
          <w:rFonts w:ascii="Times" w:hAnsi="Times" w:cs="Times New Roman"/>
          <w:sz w:val="23"/>
          <w:szCs w:val="23"/>
        </w:rPr>
        <w:lastRenderedPageBreak/>
        <w:t xml:space="preserve">https://www.leavenetwork.org/fileadmin/user_upload/k_leavenetwork/annual_reviews/2019/2._2019_Compiled_Report_2019_0824-.pdf. </w:t>
      </w:r>
    </w:p>
    <w:p w14:paraId="2802CFAB" w14:textId="307EF40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Koyano, W.</w:t>
      </w:r>
      <w:r w:rsidR="00804E1B" w:rsidRPr="00F853DD">
        <w:rPr>
          <w:rFonts w:ascii="Times" w:hAnsi="Times" w:cs="Times New Roman"/>
          <w:sz w:val="23"/>
          <w:szCs w:val="23"/>
        </w:rPr>
        <w:t>,</w:t>
      </w:r>
      <w:r w:rsidRPr="00F853DD">
        <w:rPr>
          <w:rFonts w:ascii="Times" w:hAnsi="Times" w:cs="Times New Roman"/>
          <w:sz w:val="23"/>
          <w:szCs w:val="23"/>
        </w:rPr>
        <w:t xml:space="preserve"> (1996). Filial piety and intergenerational solidarity in Japan. </w:t>
      </w:r>
      <w:r w:rsidRPr="00F853DD">
        <w:rPr>
          <w:rFonts w:ascii="Times" w:hAnsi="Times" w:cs="Times New Roman"/>
          <w:i/>
          <w:sz w:val="23"/>
          <w:szCs w:val="23"/>
        </w:rPr>
        <w:t>Australian Journal on Ageing</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51-56.</w:t>
      </w:r>
    </w:p>
    <w:p w14:paraId="0EE5A3F9" w14:textId="2F24C6B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Koyano, W., Hashimoto, M., Fukawa, T., Shibata, H. and Gunji, A.</w:t>
      </w:r>
      <w:r w:rsidR="00804E1B" w:rsidRPr="00F853DD">
        <w:rPr>
          <w:rFonts w:ascii="Times" w:hAnsi="Times" w:cs="Times New Roman"/>
          <w:sz w:val="23"/>
          <w:szCs w:val="23"/>
        </w:rPr>
        <w:t>,</w:t>
      </w:r>
      <w:r w:rsidRPr="00F853DD">
        <w:rPr>
          <w:rFonts w:ascii="Times" w:hAnsi="Times" w:cs="Times New Roman"/>
          <w:sz w:val="23"/>
          <w:szCs w:val="23"/>
        </w:rPr>
        <w:t xml:space="preserve"> (1994). The social support system of the Japanese elderly. </w:t>
      </w:r>
      <w:r w:rsidRPr="00F853DD">
        <w:rPr>
          <w:rFonts w:ascii="Times" w:hAnsi="Times" w:cs="Times New Roman"/>
          <w:i/>
          <w:sz w:val="23"/>
          <w:szCs w:val="23"/>
        </w:rPr>
        <w:t>Journal of Cross-Cultural Gerontology</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 323-33.</w:t>
      </w:r>
    </w:p>
    <w:p w14:paraId="1AD03A90" w14:textId="37BB699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sz w:val="23"/>
          <w:szCs w:val="23"/>
        </w:rPr>
        <w:t xml:space="preserve">Kraaij, V., </w:t>
      </w:r>
      <w:proofErr w:type="spellStart"/>
      <w:r w:rsidRPr="00F853DD">
        <w:rPr>
          <w:rFonts w:ascii="Times" w:hAnsi="Times"/>
          <w:sz w:val="23"/>
          <w:szCs w:val="23"/>
        </w:rPr>
        <w:t>Arensman</w:t>
      </w:r>
      <w:proofErr w:type="spellEnd"/>
      <w:r w:rsidRPr="00F853DD">
        <w:rPr>
          <w:rFonts w:ascii="Times" w:hAnsi="Times"/>
          <w:sz w:val="23"/>
          <w:szCs w:val="23"/>
        </w:rPr>
        <w:t>, E</w:t>
      </w:r>
      <w:r w:rsidRPr="00F853DD">
        <w:rPr>
          <w:rFonts w:ascii="Times" w:hAnsi="Times" w:cs="Times New Roman"/>
          <w:sz w:val="23"/>
          <w:szCs w:val="23"/>
        </w:rPr>
        <w:t xml:space="preserve">. and </w:t>
      </w:r>
      <w:proofErr w:type="spellStart"/>
      <w:r w:rsidRPr="00F853DD">
        <w:rPr>
          <w:rFonts w:ascii="Times" w:hAnsi="Times" w:cs="Times New Roman"/>
          <w:sz w:val="23"/>
          <w:szCs w:val="23"/>
        </w:rPr>
        <w:t>Spinhoven</w:t>
      </w:r>
      <w:proofErr w:type="spellEnd"/>
      <w:r w:rsidRPr="00F853DD">
        <w:rPr>
          <w:rFonts w:ascii="Times" w:hAnsi="Times" w:cs="Times New Roman"/>
          <w:sz w:val="23"/>
          <w:szCs w:val="23"/>
        </w:rPr>
        <w:t xml:space="preserve">, P. (2002). Negative life events and depression in elderly persons: A meta-analysis. </w:t>
      </w:r>
      <w:r w:rsidRPr="00F853DD">
        <w:rPr>
          <w:rFonts w:ascii="Times" w:hAnsi="Times" w:cs="Times New Roman"/>
          <w:i/>
          <w:sz w:val="23"/>
          <w:szCs w:val="23"/>
        </w:rPr>
        <w:t>Journals of Gerontology Series B-Psychological Sciences and Social Sciences</w:t>
      </w:r>
      <w:r w:rsidR="004D579F"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57</w:t>
      </w:r>
      <w:r w:rsidRPr="00F853DD">
        <w:rPr>
          <w:rFonts w:ascii="Times" w:hAnsi="Times" w:cs="Times New Roman"/>
          <w:sz w:val="23"/>
          <w:szCs w:val="23"/>
        </w:rPr>
        <w:t>, 87-94.</w:t>
      </w:r>
    </w:p>
    <w:p w14:paraId="41635525" w14:textId="187F1975" w:rsidR="00DF05BD" w:rsidRPr="00F853DD" w:rsidRDefault="00804E1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Kraaij, V. and De Wilde, E.,</w:t>
      </w:r>
      <w:r w:rsidR="00DF05BD" w:rsidRPr="00F853DD">
        <w:rPr>
          <w:rFonts w:ascii="Times" w:hAnsi="Times" w:cs="Times New Roman"/>
          <w:sz w:val="23"/>
          <w:szCs w:val="23"/>
        </w:rPr>
        <w:t xml:space="preserve"> (2001). Negative life events and depressive symptoms in the elderly: a life span perspective. </w:t>
      </w:r>
      <w:r w:rsidR="00DF05BD" w:rsidRPr="00F853DD">
        <w:rPr>
          <w:rFonts w:ascii="Times" w:hAnsi="Times" w:cs="Times New Roman"/>
          <w:i/>
          <w:sz w:val="23"/>
          <w:szCs w:val="23"/>
        </w:rPr>
        <w:t>Aging and Mental Health</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w:t>
      </w:r>
      <w:r w:rsidR="00DF05BD" w:rsidRPr="00F853DD">
        <w:rPr>
          <w:rFonts w:ascii="Times" w:hAnsi="Times" w:cs="Times New Roman"/>
          <w:sz w:val="23"/>
          <w:szCs w:val="23"/>
        </w:rPr>
        <w:t>, 84-91.</w:t>
      </w:r>
    </w:p>
    <w:p w14:paraId="1AC63413" w14:textId="2E00D2E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Kraaij, V. and Garnefski, N.</w:t>
      </w:r>
      <w:r w:rsidR="00804E1B" w:rsidRPr="00F853DD">
        <w:rPr>
          <w:rFonts w:ascii="Times" w:hAnsi="Times" w:cs="Times New Roman"/>
          <w:sz w:val="23"/>
          <w:szCs w:val="23"/>
        </w:rPr>
        <w:t>,</w:t>
      </w:r>
      <w:r w:rsidRPr="00F853DD">
        <w:rPr>
          <w:rFonts w:ascii="Times" w:hAnsi="Times" w:cs="Times New Roman"/>
          <w:sz w:val="23"/>
          <w:szCs w:val="23"/>
        </w:rPr>
        <w:t xml:space="preserve"> (2002). Negative life events and depressive symptoms in late life: Buffering effects of parental and partner bonding? </w:t>
      </w:r>
      <w:r w:rsidRPr="00F853DD">
        <w:rPr>
          <w:rFonts w:ascii="Times" w:hAnsi="Times" w:cs="Times New Roman"/>
          <w:i/>
          <w:sz w:val="23"/>
          <w:szCs w:val="23"/>
        </w:rPr>
        <w:t>Personal Relationships</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 205-214.</w:t>
      </w:r>
    </w:p>
    <w:p w14:paraId="40C88941" w14:textId="42A97213" w:rsidR="00DF05BD" w:rsidRPr="00F853DD" w:rsidRDefault="00804E1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Kramer, B.,</w:t>
      </w:r>
      <w:r w:rsidR="00DF05BD" w:rsidRPr="00F853DD">
        <w:rPr>
          <w:rFonts w:ascii="Times" w:hAnsi="Times" w:cs="Times New Roman"/>
          <w:sz w:val="23"/>
          <w:szCs w:val="23"/>
        </w:rPr>
        <w:t xml:space="preserve"> (1997). Gain in the caregiving experience: Where are we? What next? </w:t>
      </w:r>
      <w:r w:rsidR="00DF05BD" w:rsidRPr="00F853DD">
        <w:rPr>
          <w:rFonts w:ascii="Times" w:hAnsi="Times" w:cs="Times New Roman"/>
          <w:i/>
          <w:sz w:val="23"/>
          <w:szCs w:val="23"/>
        </w:rPr>
        <w:t>Gerontologist</w:t>
      </w:r>
      <w:r w:rsidR="004D579F" w:rsidRPr="00F853DD">
        <w:rPr>
          <w:rFonts w:ascii="Times" w:hAnsi="Times" w:cs="Times New Roman"/>
          <w:i/>
          <w:sz w:val="23"/>
          <w:szCs w:val="23"/>
        </w:rPr>
        <w:t xml:space="preserve">. </w:t>
      </w:r>
      <w:r w:rsidR="00DF05BD" w:rsidRPr="00F853DD">
        <w:rPr>
          <w:rFonts w:ascii="Times" w:hAnsi="Times" w:cs="Times New Roman"/>
          <w:b/>
          <w:sz w:val="23"/>
          <w:szCs w:val="23"/>
        </w:rPr>
        <w:t>37</w:t>
      </w:r>
      <w:r w:rsidR="00DF05BD" w:rsidRPr="00F853DD">
        <w:rPr>
          <w:rFonts w:ascii="Times" w:hAnsi="Times" w:cs="Times New Roman"/>
          <w:sz w:val="23"/>
          <w:szCs w:val="23"/>
        </w:rPr>
        <w:t>, 218-232.</w:t>
      </w:r>
    </w:p>
    <w:p w14:paraId="68465FF9" w14:textId="429D1546" w:rsidR="00DF05BD" w:rsidRPr="00F853DD" w:rsidRDefault="00804E1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Kramer, B.</w:t>
      </w:r>
      <w:r w:rsidR="00DF05BD" w:rsidRPr="00F853DD">
        <w:rPr>
          <w:rFonts w:ascii="Times" w:hAnsi="Times" w:cs="Times New Roman"/>
          <w:sz w:val="23"/>
          <w:szCs w:val="23"/>
        </w:rPr>
        <w:t xml:space="preserve"> and Kipnis, S.</w:t>
      </w:r>
      <w:r w:rsidRPr="00F853DD">
        <w:rPr>
          <w:rFonts w:ascii="Times" w:hAnsi="Times" w:cs="Times New Roman"/>
          <w:sz w:val="23"/>
          <w:szCs w:val="23"/>
        </w:rPr>
        <w:t>,</w:t>
      </w:r>
      <w:r w:rsidR="00DF05BD" w:rsidRPr="00F853DD">
        <w:rPr>
          <w:rFonts w:ascii="Times" w:hAnsi="Times" w:cs="Times New Roman"/>
          <w:sz w:val="23"/>
          <w:szCs w:val="23"/>
        </w:rPr>
        <w:t xml:space="preserve"> (1995). Eldercare and work-role conflict: toward an understanding of gender differences in caregiver burden. </w:t>
      </w:r>
      <w:r w:rsidR="00DF05BD" w:rsidRPr="00F853DD">
        <w:rPr>
          <w:rFonts w:ascii="Times" w:hAnsi="Times" w:cs="Times New Roman"/>
          <w:i/>
          <w:sz w:val="23"/>
          <w:szCs w:val="23"/>
        </w:rPr>
        <w:t>The Gerontologist</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35</w:t>
      </w:r>
      <w:r w:rsidR="00DF05BD" w:rsidRPr="00F853DD">
        <w:rPr>
          <w:rFonts w:ascii="Times" w:hAnsi="Times" w:cs="Times New Roman"/>
          <w:sz w:val="23"/>
          <w:szCs w:val="23"/>
        </w:rPr>
        <w:t>, 340-348.</w:t>
      </w:r>
    </w:p>
    <w:p w14:paraId="6EDCB9BB" w14:textId="59388D6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Kroemeke, A. and Gruszczynska, E.</w:t>
      </w:r>
      <w:r w:rsidR="00804E1B" w:rsidRPr="00F853DD">
        <w:rPr>
          <w:rFonts w:ascii="Times" w:hAnsi="Times" w:cs="Times New Roman"/>
          <w:sz w:val="23"/>
          <w:szCs w:val="23"/>
        </w:rPr>
        <w:t>,</w:t>
      </w:r>
      <w:r w:rsidRPr="00F853DD">
        <w:rPr>
          <w:rFonts w:ascii="Times" w:hAnsi="Times" w:cs="Times New Roman"/>
          <w:sz w:val="23"/>
          <w:szCs w:val="23"/>
        </w:rPr>
        <w:t xml:space="preserve"> (2016). Well-being and institutional care in older adults: cross-sectional and time effects of provided and received support. </w:t>
      </w:r>
      <w:r w:rsidRPr="00F853DD">
        <w:rPr>
          <w:rFonts w:ascii="Times" w:hAnsi="Times" w:cs="Times New Roman"/>
          <w:i/>
          <w:sz w:val="23"/>
          <w:szCs w:val="23"/>
        </w:rPr>
        <w:t>PLOS ONE</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e0161328.</w:t>
      </w:r>
    </w:p>
    <w:p w14:paraId="24CE38D1" w14:textId="4035DC0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Kroger, T. (2009). Care research and disability studies: </w:t>
      </w:r>
      <w:r w:rsidR="004D579F" w:rsidRPr="00F853DD">
        <w:rPr>
          <w:rFonts w:ascii="Times" w:hAnsi="Times" w:cs="Times New Roman"/>
          <w:sz w:val="23"/>
          <w:szCs w:val="23"/>
        </w:rPr>
        <w:t>n</w:t>
      </w:r>
      <w:r w:rsidRPr="00F853DD">
        <w:rPr>
          <w:rFonts w:ascii="Times" w:hAnsi="Times" w:cs="Times New Roman"/>
          <w:sz w:val="23"/>
          <w:szCs w:val="23"/>
        </w:rPr>
        <w:t>othing in common</w:t>
      </w:r>
      <w:r w:rsidRPr="00F853DD">
        <w:rPr>
          <w:rFonts w:ascii="Times" w:hAnsi="Times" w:cs="Times New Roman"/>
          <w:i/>
          <w:sz w:val="23"/>
          <w:szCs w:val="23"/>
        </w:rPr>
        <w:t>? Critical Social Policy</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398-420.</w:t>
      </w:r>
    </w:p>
    <w:p w14:paraId="616BA038" w14:textId="75CAA399" w:rsidR="004B6ABE" w:rsidRPr="00F853DD" w:rsidRDefault="004B6ABE" w:rsidP="004B6ABE">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Kroger, T.</w:t>
      </w:r>
      <w:r w:rsidR="00FB0BAC" w:rsidRPr="00F853DD">
        <w:rPr>
          <w:rFonts w:ascii="Times" w:hAnsi="Times" w:cs="Times New Roman"/>
          <w:sz w:val="23"/>
          <w:szCs w:val="23"/>
        </w:rPr>
        <w:t xml:space="preserve"> and Yeandle, S. </w:t>
      </w:r>
      <w:r w:rsidRPr="00F853DD">
        <w:rPr>
          <w:rFonts w:ascii="Times" w:hAnsi="Times" w:cs="Times New Roman"/>
          <w:sz w:val="23"/>
          <w:szCs w:val="23"/>
        </w:rPr>
        <w:t>eds.</w:t>
      </w:r>
      <w:r w:rsidR="00FB0BAC" w:rsidRPr="00F853DD">
        <w:rPr>
          <w:rFonts w:ascii="Times" w:hAnsi="Times" w:cs="Times New Roman"/>
          <w:sz w:val="23"/>
          <w:szCs w:val="23"/>
        </w:rPr>
        <w:t>,</w:t>
      </w:r>
      <w:r w:rsidRPr="00F853DD">
        <w:rPr>
          <w:rFonts w:ascii="Times" w:hAnsi="Times" w:cs="Times New Roman"/>
          <w:sz w:val="23"/>
          <w:szCs w:val="23"/>
        </w:rPr>
        <w:t xml:space="preserve"> </w:t>
      </w:r>
      <w:r w:rsidR="00FB0BAC" w:rsidRPr="00F853DD">
        <w:rPr>
          <w:rFonts w:ascii="Times" w:hAnsi="Times" w:cs="Times New Roman"/>
          <w:sz w:val="23"/>
          <w:szCs w:val="23"/>
        </w:rPr>
        <w:t>(</w:t>
      </w:r>
      <w:r w:rsidRPr="00F853DD">
        <w:rPr>
          <w:rFonts w:ascii="Times" w:hAnsi="Times" w:cs="Times New Roman"/>
          <w:sz w:val="23"/>
          <w:szCs w:val="23"/>
        </w:rPr>
        <w:t>2014</w:t>
      </w:r>
      <w:r w:rsidR="00FB0BA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i/>
          <w:sz w:val="23"/>
          <w:szCs w:val="23"/>
        </w:rPr>
        <w:t xml:space="preserve">Combining paid work and family care: </w:t>
      </w:r>
      <w:r w:rsidR="004D579F" w:rsidRPr="00F853DD">
        <w:rPr>
          <w:rFonts w:ascii="Times" w:hAnsi="Times" w:cs="Times New Roman"/>
          <w:i/>
          <w:sz w:val="23"/>
          <w:szCs w:val="23"/>
        </w:rPr>
        <w:t>p</w:t>
      </w:r>
      <w:r w:rsidRPr="00F853DD">
        <w:rPr>
          <w:rFonts w:ascii="Times" w:hAnsi="Times" w:cs="Times New Roman"/>
          <w:i/>
          <w:sz w:val="23"/>
          <w:szCs w:val="23"/>
        </w:rPr>
        <w:t>olicies and experiences in</w:t>
      </w:r>
      <w:r w:rsidR="00FB0BAC" w:rsidRPr="00F853DD">
        <w:rPr>
          <w:rFonts w:ascii="Times" w:hAnsi="Times" w:cs="Times New Roman"/>
          <w:i/>
          <w:sz w:val="23"/>
          <w:szCs w:val="23"/>
        </w:rPr>
        <w:t xml:space="preserve"> </w:t>
      </w:r>
      <w:r w:rsidRPr="00F853DD">
        <w:rPr>
          <w:rFonts w:ascii="Times" w:hAnsi="Times" w:cs="Times New Roman"/>
          <w:i/>
          <w:sz w:val="23"/>
          <w:szCs w:val="23"/>
        </w:rPr>
        <w:t>international perspective</w:t>
      </w:r>
      <w:r w:rsidRPr="00F853DD">
        <w:rPr>
          <w:rFonts w:ascii="Times" w:hAnsi="Times" w:cs="Times New Roman"/>
          <w:sz w:val="23"/>
          <w:szCs w:val="23"/>
        </w:rPr>
        <w:t>. Bristol</w:t>
      </w:r>
      <w:r w:rsidR="00FB0BAC" w:rsidRPr="00F853DD">
        <w:rPr>
          <w:rFonts w:ascii="Times" w:hAnsi="Times" w:cs="Times New Roman"/>
          <w:sz w:val="23"/>
          <w:szCs w:val="23"/>
        </w:rPr>
        <w:t>:</w:t>
      </w:r>
      <w:r w:rsidRPr="00F853DD">
        <w:rPr>
          <w:rFonts w:ascii="Times" w:hAnsi="Times" w:cs="Times New Roman"/>
          <w:sz w:val="23"/>
          <w:szCs w:val="23"/>
        </w:rPr>
        <w:t xml:space="preserve"> Policy Press.</w:t>
      </w:r>
    </w:p>
    <w:p w14:paraId="16666366" w14:textId="7735EDD8" w:rsidR="00DF05BD" w:rsidRPr="00F853DD" w:rsidRDefault="00804E1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Krohne, H., </w:t>
      </w:r>
      <w:r w:rsidR="00DF05BD" w:rsidRPr="00F853DD">
        <w:rPr>
          <w:rFonts w:ascii="Times" w:hAnsi="Times" w:cs="Times New Roman"/>
          <w:sz w:val="23"/>
          <w:szCs w:val="23"/>
        </w:rPr>
        <w:t xml:space="preserve">(2002). </w:t>
      </w:r>
      <w:r w:rsidR="00DF05BD" w:rsidRPr="00F853DD">
        <w:rPr>
          <w:rFonts w:ascii="Times" w:hAnsi="Times" w:cs="Times New Roman"/>
          <w:i/>
          <w:sz w:val="23"/>
          <w:szCs w:val="23"/>
        </w:rPr>
        <w:t xml:space="preserve">Stress and </w:t>
      </w:r>
      <w:r w:rsidRPr="00F853DD">
        <w:rPr>
          <w:rFonts w:ascii="Times" w:hAnsi="Times" w:cs="Times New Roman"/>
          <w:i/>
          <w:sz w:val="23"/>
          <w:szCs w:val="23"/>
        </w:rPr>
        <w:t>c</w:t>
      </w:r>
      <w:r w:rsidR="00DF05BD" w:rsidRPr="00F853DD">
        <w:rPr>
          <w:rFonts w:ascii="Times" w:hAnsi="Times" w:cs="Times New Roman"/>
          <w:i/>
          <w:sz w:val="23"/>
          <w:szCs w:val="23"/>
        </w:rPr>
        <w:t xml:space="preserve">oping </w:t>
      </w:r>
      <w:r w:rsidRPr="00F853DD">
        <w:rPr>
          <w:rFonts w:ascii="Times" w:hAnsi="Times" w:cs="Times New Roman"/>
          <w:i/>
          <w:sz w:val="23"/>
          <w:szCs w:val="23"/>
        </w:rPr>
        <w:t>t</w:t>
      </w:r>
      <w:r w:rsidR="00DF05BD" w:rsidRPr="00F853DD">
        <w:rPr>
          <w:rFonts w:ascii="Times" w:hAnsi="Times" w:cs="Times New Roman"/>
          <w:i/>
          <w:sz w:val="23"/>
          <w:szCs w:val="23"/>
        </w:rPr>
        <w:t>heories</w:t>
      </w:r>
      <w:r w:rsidR="00DF05BD" w:rsidRPr="00F853DD">
        <w:rPr>
          <w:rFonts w:ascii="Times" w:hAnsi="Times" w:cs="Times New Roman"/>
          <w:sz w:val="23"/>
          <w:szCs w:val="23"/>
        </w:rPr>
        <w:t xml:space="preserve">. Available from: http://userpage.fu-berlin.de/schuez/folien/Krohne_Stress.pdf. </w:t>
      </w:r>
    </w:p>
    <w:p w14:paraId="70FFFFBE" w14:textId="6C74BB79"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de-DE"/>
        </w:rPr>
      </w:pPr>
      <w:r w:rsidRPr="00F853DD">
        <w:rPr>
          <w:rFonts w:ascii="Times" w:hAnsi="Times" w:cs="Times New Roman"/>
          <w:sz w:val="23"/>
          <w:szCs w:val="23"/>
          <w:lang w:val="en-TT"/>
        </w:rPr>
        <w:t>Kruse, A. and Wahl, H.</w:t>
      </w:r>
      <w:r w:rsidR="00804E1B" w:rsidRPr="00F853DD">
        <w:rPr>
          <w:rFonts w:ascii="Times" w:hAnsi="Times" w:cs="Times New Roman"/>
          <w:sz w:val="23"/>
          <w:szCs w:val="23"/>
          <w:lang w:val="en-TT"/>
        </w:rPr>
        <w:t xml:space="preserve">, </w:t>
      </w:r>
      <w:r w:rsidRPr="00F853DD">
        <w:rPr>
          <w:rFonts w:ascii="Times" w:hAnsi="Times" w:cs="Times New Roman"/>
          <w:sz w:val="23"/>
          <w:szCs w:val="23"/>
          <w:lang w:val="en-TT"/>
        </w:rPr>
        <w:t xml:space="preserve">(1999). III. Social </w:t>
      </w:r>
      <w:r w:rsidR="00804E1B" w:rsidRPr="00F853DD">
        <w:rPr>
          <w:rFonts w:ascii="Times" w:hAnsi="Times" w:cs="Times New Roman"/>
          <w:sz w:val="23"/>
          <w:szCs w:val="23"/>
          <w:lang w:val="en-TT"/>
        </w:rPr>
        <w:t>r</w:t>
      </w:r>
      <w:r w:rsidRPr="00F853DD">
        <w:rPr>
          <w:rFonts w:ascii="Times" w:hAnsi="Times" w:cs="Times New Roman"/>
          <w:sz w:val="23"/>
          <w:szCs w:val="23"/>
          <w:lang w:val="en-TT"/>
        </w:rPr>
        <w:t xml:space="preserve">elationships. </w:t>
      </w:r>
      <w:r w:rsidRPr="00F853DD">
        <w:rPr>
          <w:rFonts w:ascii="Times" w:hAnsi="Times" w:cs="Times New Roman"/>
          <w:i/>
          <w:sz w:val="23"/>
          <w:szCs w:val="23"/>
          <w:lang w:val="de-DE"/>
        </w:rPr>
        <w:t>Zeitschrift Fur Gerontologie Und Geriatrie</w:t>
      </w:r>
      <w:r w:rsidRPr="00F853DD">
        <w:rPr>
          <w:rFonts w:ascii="Times" w:hAnsi="Times" w:cs="Times New Roman"/>
          <w:sz w:val="23"/>
          <w:szCs w:val="23"/>
          <w:lang w:val="de-DE"/>
        </w:rPr>
        <w:t xml:space="preserve">, </w:t>
      </w:r>
      <w:r w:rsidRPr="00F853DD">
        <w:rPr>
          <w:rFonts w:ascii="Times" w:hAnsi="Times" w:cs="Times New Roman"/>
          <w:b/>
          <w:sz w:val="23"/>
          <w:szCs w:val="23"/>
          <w:lang w:val="de-DE"/>
        </w:rPr>
        <w:t>32</w:t>
      </w:r>
      <w:r w:rsidRPr="00F853DD">
        <w:rPr>
          <w:rFonts w:ascii="Times" w:hAnsi="Times" w:cs="Times New Roman"/>
          <w:sz w:val="23"/>
          <w:szCs w:val="23"/>
          <w:lang w:val="de-DE"/>
        </w:rPr>
        <w:t>, 333-347.</w:t>
      </w:r>
    </w:p>
    <w:p w14:paraId="28030500" w14:textId="00443FDB" w:rsidR="00DF05BD" w:rsidRPr="00F853DD" w:rsidRDefault="00804E1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Kasl, S.,</w:t>
      </w:r>
      <w:r w:rsidR="00DF05BD" w:rsidRPr="00F853DD">
        <w:rPr>
          <w:rFonts w:ascii="Times" w:hAnsi="Times" w:cs="Times New Roman"/>
          <w:sz w:val="23"/>
          <w:szCs w:val="23"/>
        </w:rPr>
        <w:t xml:space="preserve"> (1972). Physical and mental health effects of involuntary relocation and insti</w:t>
      </w:r>
      <w:r w:rsidRPr="00F853DD">
        <w:rPr>
          <w:rFonts w:ascii="Times" w:hAnsi="Times" w:cs="Times New Roman"/>
          <w:sz w:val="23"/>
          <w:szCs w:val="23"/>
        </w:rPr>
        <w:t xml:space="preserve">tutionalization on the elderly: </w:t>
      </w:r>
      <w:r w:rsidR="00DF05BD" w:rsidRPr="00F853DD">
        <w:rPr>
          <w:rFonts w:ascii="Times" w:hAnsi="Times" w:cs="Times New Roman"/>
          <w:sz w:val="23"/>
          <w:szCs w:val="23"/>
        </w:rPr>
        <w:t>a review. </w:t>
      </w:r>
      <w:r w:rsidR="00DF05BD" w:rsidRPr="00F853DD">
        <w:rPr>
          <w:rFonts w:ascii="Times" w:hAnsi="Times" w:cs="Times New Roman"/>
          <w:i/>
          <w:sz w:val="23"/>
          <w:szCs w:val="23"/>
        </w:rPr>
        <w:t>American Journal of Public Health</w:t>
      </w:r>
      <w:r w:rsidR="004D579F" w:rsidRPr="00F853DD">
        <w:rPr>
          <w:rFonts w:ascii="Times" w:hAnsi="Times" w:cs="Times New Roman"/>
          <w:sz w:val="23"/>
          <w:szCs w:val="23"/>
        </w:rPr>
        <w:t>.</w:t>
      </w:r>
      <w:r w:rsidR="00DF05BD" w:rsidRPr="00F853DD">
        <w:rPr>
          <w:rFonts w:ascii="Times" w:hAnsi="Times" w:cs="Times New Roman"/>
          <w:sz w:val="23"/>
          <w:szCs w:val="23"/>
        </w:rPr>
        <w:t> </w:t>
      </w:r>
      <w:r w:rsidR="00DF05BD" w:rsidRPr="00F853DD">
        <w:rPr>
          <w:rFonts w:ascii="Times" w:hAnsi="Times" w:cs="Times New Roman"/>
          <w:b/>
          <w:sz w:val="23"/>
          <w:szCs w:val="23"/>
        </w:rPr>
        <w:t>62</w:t>
      </w:r>
      <w:r w:rsidR="00DF05BD" w:rsidRPr="00F853DD">
        <w:rPr>
          <w:rFonts w:ascii="Times" w:hAnsi="Times" w:cs="Times New Roman"/>
          <w:sz w:val="23"/>
          <w:szCs w:val="23"/>
        </w:rPr>
        <w:t>(3), 377-384.</w:t>
      </w:r>
    </w:p>
    <w:p w14:paraId="16E396E9" w14:textId="4D333E25" w:rsidR="00DF05BD" w:rsidRPr="00F853DD" w:rsidRDefault="00804E1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Kuo, B., </w:t>
      </w:r>
      <w:r w:rsidR="004D579F" w:rsidRPr="00F853DD">
        <w:rPr>
          <w:rFonts w:ascii="Times" w:hAnsi="Times" w:cs="Times New Roman"/>
          <w:sz w:val="23"/>
          <w:szCs w:val="23"/>
        </w:rPr>
        <w:t>(2011). Culture’s consequences on coping: theories, evidences, and d</w:t>
      </w:r>
      <w:r w:rsidR="00DF05BD" w:rsidRPr="00F853DD">
        <w:rPr>
          <w:rFonts w:ascii="Times" w:hAnsi="Times" w:cs="Times New Roman"/>
          <w:sz w:val="23"/>
          <w:szCs w:val="23"/>
        </w:rPr>
        <w:t>imensionalities</w:t>
      </w:r>
      <w:r w:rsidR="00DF05BD" w:rsidRPr="00F853DD">
        <w:rPr>
          <w:rFonts w:ascii="Times" w:hAnsi="Times" w:cs="Times New Roman"/>
          <w:i/>
          <w:sz w:val="23"/>
          <w:szCs w:val="23"/>
        </w:rPr>
        <w:t>. Journal of Cross-Cultural Psychology</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42</w:t>
      </w:r>
      <w:r w:rsidR="00DF05BD" w:rsidRPr="00F853DD">
        <w:rPr>
          <w:rFonts w:ascii="Times" w:hAnsi="Times" w:cs="Times New Roman"/>
          <w:sz w:val="23"/>
          <w:szCs w:val="23"/>
        </w:rPr>
        <w:t>, 1084-1100.</w:t>
      </w:r>
    </w:p>
    <w:p w14:paraId="34212E2E" w14:textId="60A9109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Kurrle, S. (2004). Elder abuse. </w:t>
      </w:r>
      <w:r w:rsidRPr="00F853DD">
        <w:rPr>
          <w:rFonts w:ascii="Times" w:hAnsi="Times" w:cs="Times New Roman"/>
          <w:i/>
          <w:sz w:val="23"/>
          <w:szCs w:val="23"/>
        </w:rPr>
        <w:t>Australian Family Physician</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 807-12.</w:t>
      </w:r>
    </w:p>
    <w:p w14:paraId="77F563C3" w14:textId="0055D40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Kuuppelomaki, M., Sasaki, A., Yamada, K., Asakawa, N. and Shimanouchi, S.</w:t>
      </w:r>
      <w:r w:rsidR="00804E1B" w:rsidRPr="00F853DD">
        <w:rPr>
          <w:rFonts w:ascii="Times" w:hAnsi="Times" w:cs="Times New Roman"/>
          <w:sz w:val="23"/>
          <w:szCs w:val="23"/>
        </w:rPr>
        <w:t>,</w:t>
      </w:r>
      <w:r w:rsidRPr="00F853DD">
        <w:rPr>
          <w:rFonts w:ascii="Times" w:hAnsi="Times" w:cs="Times New Roman"/>
          <w:sz w:val="23"/>
          <w:szCs w:val="23"/>
        </w:rPr>
        <w:t xml:space="preserve"> (2004). Coping strategies of family carers for older relatives in Finland. </w:t>
      </w:r>
      <w:r w:rsidRPr="00F853DD">
        <w:rPr>
          <w:rFonts w:ascii="Times" w:hAnsi="Times" w:cs="Times New Roman"/>
          <w:i/>
          <w:sz w:val="23"/>
          <w:szCs w:val="23"/>
        </w:rPr>
        <w:t>Journal of Clinical Nursing</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Pr="00F853DD">
        <w:rPr>
          <w:rFonts w:ascii="Times" w:hAnsi="Times" w:cs="Times New Roman"/>
          <w:sz w:val="23"/>
          <w:szCs w:val="23"/>
        </w:rPr>
        <w:t>, 697-706.</w:t>
      </w:r>
    </w:p>
    <w:p w14:paraId="1C0133DE" w14:textId="18A687F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Kvale, S.</w:t>
      </w:r>
      <w:r w:rsidR="00804E1B"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sz w:val="23"/>
          <w:szCs w:val="23"/>
        </w:rPr>
        <w:t>InterViews:</w:t>
      </w:r>
      <w:r w:rsidRPr="00F853DD">
        <w:rPr>
          <w:rFonts w:ascii="Times" w:hAnsi="Times" w:cs="Times New Roman"/>
          <w:sz w:val="23"/>
          <w:szCs w:val="23"/>
        </w:rPr>
        <w:t xml:space="preserve"> </w:t>
      </w:r>
      <w:r w:rsidRPr="00F853DD">
        <w:rPr>
          <w:rFonts w:ascii="Times" w:hAnsi="Times" w:cs="Times New Roman"/>
          <w:i/>
          <w:sz w:val="23"/>
          <w:szCs w:val="23"/>
        </w:rPr>
        <w:t>Learning the Craft of Qualitative Research Interviewing</w:t>
      </w:r>
      <w:r w:rsidRPr="00F853DD">
        <w:rPr>
          <w:rFonts w:ascii="Times" w:hAnsi="Times" w:cs="Times New Roman"/>
          <w:sz w:val="23"/>
          <w:szCs w:val="23"/>
        </w:rPr>
        <w:t>. Los Angeles: Sage Publications.</w:t>
      </w:r>
    </w:p>
    <w:p w14:paraId="752F8112" w14:textId="48A44C45" w:rsidR="00DF05BD" w:rsidRPr="00F853DD" w:rsidRDefault="00804E1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Labrum, T. and Solomon, P.,</w:t>
      </w:r>
      <w:r w:rsidR="00DF05BD" w:rsidRPr="00F853DD">
        <w:rPr>
          <w:rFonts w:ascii="Times" w:hAnsi="Times" w:cs="Times New Roman"/>
          <w:sz w:val="23"/>
          <w:szCs w:val="23"/>
          <w:lang w:val="en-TT"/>
        </w:rPr>
        <w:t xml:space="preserve"> (2015). </w:t>
      </w:r>
      <w:r w:rsidR="00DF05BD" w:rsidRPr="00F853DD">
        <w:rPr>
          <w:rFonts w:ascii="Times" w:hAnsi="Times" w:cs="Times New Roman"/>
          <w:sz w:val="23"/>
          <w:szCs w:val="23"/>
        </w:rPr>
        <w:t xml:space="preserve">Physical elder abuse perpetrated by relatives with serious mental illness: </w:t>
      </w:r>
      <w:r w:rsidRPr="00F853DD">
        <w:rPr>
          <w:rFonts w:ascii="Times" w:hAnsi="Times" w:cs="Times New Roman"/>
          <w:sz w:val="23"/>
          <w:szCs w:val="23"/>
        </w:rPr>
        <w:t>a</w:t>
      </w:r>
      <w:r w:rsidR="00DF05BD" w:rsidRPr="00F853DD">
        <w:rPr>
          <w:rFonts w:ascii="Times" w:hAnsi="Times" w:cs="Times New Roman"/>
          <w:sz w:val="23"/>
          <w:szCs w:val="23"/>
        </w:rPr>
        <w:t xml:space="preserve"> preliminary conceptual social-ecological model. </w:t>
      </w:r>
      <w:r w:rsidR="00DF05BD" w:rsidRPr="00F853DD">
        <w:rPr>
          <w:rFonts w:ascii="Times" w:hAnsi="Times" w:cs="Times New Roman"/>
          <w:i/>
          <w:sz w:val="23"/>
          <w:szCs w:val="23"/>
        </w:rPr>
        <w:t>Aggression and Violent Behavior</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 293-303.</w:t>
      </w:r>
    </w:p>
    <w:p w14:paraId="3A777CEF" w14:textId="6F3916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Lachs, M. and Pillemer, K.</w:t>
      </w:r>
      <w:r w:rsidR="00804E1B" w:rsidRPr="00F853DD">
        <w:rPr>
          <w:rFonts w:ascii="Times" w:hAnsi="Times" w:cs="Times New Roman"/>
          <w:sz w:val="23"/>
          <w:szCs w:val="23"/>
        </w:rPr>
        <w:t>,</w:t>
      </w:r>
      <w:r w:rsidRPr="00F853DD">
        <w:rPr>
          <w:rFonts w:ascii="Times" w:hAnsi="Times" w:cs="Times New Roman"/>
          <w:sz w:val="23"/>
          <w:szCs w:val="23"/>
        </w:rPr>
        <w:t xml:space="preserve"> (2015). Elder Abuse. </w:t>
      </w:r>
      <w:r w:rsidRPr="00F853DD">
        <w:rPr>
          <w:rFonts w:ascii="Times" w:hAnsi="Times" w:cs="Times New Roman"/>
          <w:i/>
          <w:sz w:val="23"/>
          <w:szCs w:val="23"/>
        </w:rPr>
        <w:t>New England Journal of Medicine</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373</w:t>
      </w:r>
      <w:r w:rsidRPr="00F853DD">
        <w:rPr>
          <w:rFonts w:ascii="Times" w:hAnsi="Times" w:cs="Times New Roman"/>
          <w:sz w:val="23"/>
          <w:szCs w:val="23"/>
        </w:rPr>
        <w:t>, 1947-1956.</w:t>
      </w:r>
    </w:p>
    <w:p w14:paraId="1500BE29" w14:textId="4EF6E731"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lang w:val="en-TT"/>
        </w:rPr>
        <w:t>Lafores</w:t>
      </w:r>
      <w:r w:rsidR="00804E1B" w:rsidRPr="00F853DD">
        <w:rPr>
          <w:rFonts w:ascii="Times" w:hAnsi="Times" w:cs="Times New Roman"/>
          <w:sz w:val="23"/>
          <w:szCs w:val="23"/>
          <w:lang w:val="en-TT"/>
        </w:rPr>
        <w:t>t, S., Nour, K., Gignac, M</w:t>
      </w:r>
      <w:r w:rsidRPr="00F853DD">
        <w:rPr>
          <w:rFonts w:ascii="Times" w:hAnsi="Times" w:cs="Times New Roman"/>
          <w:sz w:val="23"/>
          <w:szCs w:val="23"/>
          <w:lang w:val="en-TT"/>
        </w:rPr>
        <w:t>., Gauvin, L. and Parisien, M.</w:t>
      </w:r>
      <w:r w:rsidR="00804E1B" w:rsidRPr="00F853DD">
        <w:rPr>
          <w:rFonts w:ascii="Times" w:hAnsi="Times" w:cs="Times New Roman"/>
          <w:sz w:val="23"/>
          <w:szCs w:val="23"/>
          <w:lang w:val="en-TT"/>
        </w:rPr>
        <w:t>,</w:t>
      </w:r>
      <w:r w:rsidRPr="00F853DD">
        <w:rPr>
          <w:rFonts w:ascii="Times" w:hAnsi="Times" w:cs="Times New Roman"/>
          <w:sz w:val="23"/>
          <w:szCs w:val="23"/>
          <w:lang w:val="en-TT"/>
        </w:rPr>
        <w:t xml:space="preserve"> (2012). </w:t>
      </w:r>
      <w:r w:rsidRPr="00F853DD">
        <w:rPr>
          <w:rFonts w:ascii="Times" w:hAnsi="Times" w:cs="Times New Roman"/>
          <w:sz w:val="23"/>
          <w:szCs w:val="23"/>
        </w:rPr>
        <w:t xml:space="preserve">The role of social reinforcement in the maintenance of short-term effects after a self-management intervention for frail housebound seniors with arthritis. </w:t>
      </w:r>
      <w:r w:rsidRPr="00F853DD">
        <w:rPr>
          <w:rFonts w:ascii="Times" w:hAnsi="Times" w:cs="Times New Roman"/>
          <w:i/>
          <w:sz w:val="23"/>
          <w:szCs w:val="23"/>
          <w:lang w:val="fr-FR"/>
        </w:rPr>
        <w:t>Canadian Journal on Aging-Revue Canadienne Du Vieillissement</w:t>
      </w:r>
      <w:r w:rsidR="004D579F" w:rsidRPr="00F853DD">
        <w:rPr>
          <w:rFonts w:ascii="Times" w:hAnsi="Times" w:cs="Times New Roman"/>
          <w:sz w:val="23"/>
          <w:szCs w:val="23"/>
          <w:lang w:val="fr-FR"/>
        </w:rPr>
        <w:t>.</w:t>
      </w:r>
      <w:r w:rsidRPr="00F853DD">
        <w:rPr>
          <w:rFonts w:ascii="Times" w:hAnsi="Times" w:cs="Times New Roman"/>
          <w:sz w:val="23"/>
          <w:szCs w:val="23"/>
          <w:lang w:val="fr-FR"/>
        </w:rPr>
        <w:t xml:space="preserve"> </w:t>
      </w:r>
      <w:r w:rsidRPr="00F853DD">
        <w:rPr>
          <w:rFonts w:ascii="Times" w:hAnsi="Times" w:cs="Times New Roman"/>
          <w:b/>
          <w:sz w:val="23"/>
          <w:szCs w:val="23"/>
          <w:lang w:val="fr-FR"/>
        </w:rPr>
        <w:t>31</w:t>
      </w:r>
      <w:r w:rsidRPr="00F853DD">
        <w:rPr>
          <w:rFonts w:ascii="Times" w:hAnsi="Times" w:cs="Times New Roman"/>
          <w:sz w:val="23"/>
          <w:szCs w:val="23"/>
          <w:lang w:val="fr-FR"/>
        </w:rPr>
        <w:t>, 195-207.</w:t>
      </w:r>
    </w:p>
    <w:p w14:paraId="588BDC7F" w14:textId="1432B9B7" w:rsidR="00DF05BD" w:rsidRPr="00F853DD" w:rsidRDefault="000255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fr-FR"/>
        </w:rPr>
        <w:t>Lai, D</w:t>
      </w:r>
      <w:r w:rsidR="00DF05BD" w:rsidRPr="00F853DD">
        <w:rPr>
          <w:rFonts w:ascii="Times" w:hAnsi="Times" w:cs="Times New Roman"/>
          <w:sz w:val="23"/>
          <w:szCs w:val="23"/>
          <w:lang w:val="fr-FR"/>
        </w:rPr>
        <w:t>.</w:t>
      </w:r>
      <w:r w:rsidRPr="00F853DD">
        <w:rPr>
          <w:rFonts w:ascii="Times" w:hAnsi="Times" w:cs="Times New Roman"/>
          <w:sz w:val="23"/>
          <w:szCs w:val="23"/>
          <w:lang w:val="fr-FR"/>
        </w:rPr>
        <w:t>,</w:t>
      </w:r>
      <w:r w:rsidR="00DF05BD" w:rsidRPr="00F853DD">
        <w:rPr>
          <w:rFonts w:ascii="Times" w:hAnsi="Times" w:cs="Times New Roman"/>
          <w:sz w:val="23"/>
          <w:szCs w:val="23"/>
          <w:lang w:val="fr-FR"/>
        </w:rPr>
        <w:t xml:space="preserve"> (2009). </w:t>
      </w:r>
      <w:r w:rsidR="00DF05BD" w:rsidRPr="00F853DD">
        <w:rPr>
          <w:rFonts w:ascii="Times" w:hAnsi="Times" w:cs="Times New Roman"/>
          <w:sz w:val="23"/>
          <w:szCs w:val="23"/>
        </w:rPr>
        <w:t xml:space="preserve">From burden to depressive symptoms: The case of Chinese-Canadian family caregivers for the elderly. </w:t>
      </w:r>
      <w:r w:rsidR="00DF05BD" w:rsidRPr="00F853DD">
        <w:rPr>
          <w:rFonts w:ascii="Times" w:hAnsi="Times" w:cs="Times New Roman"/>
          <w:i/>
          <w:sz w:val="23"/>
          <w:szCs w:val="23"/>
        </w:rPr>
        <w:t>Social Work in Health Care</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48</w:t>
      </w:r>
      <w:r w:rsidR="00DF05BD" w:rsidRPr="00F853DD">
        <w:rPr>
          <w:rFonts w:ascii="Times" w:hAnsi="Times" w:cs="Times New Roman"/>
          <w:sz w:val="23"/>
          <w:szCs w:val="23"/>
        </w:rPr>
        <w:t>, 432-449.</w:t>
      </w:r>
    </w:p>
    <w:p w14:paraId="0896D76C" w14:textId="454AEFB5" w:rsidR="00DF05BD" w:rsidRPr="00F853DD" w:rsidRDefault="000255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Lamond, A., Depp, C</w:t>
      </w:r>
      <w:r w:rsidR="00DF05BD" w:rsidRPr="00F853DD">
        <w:rPr>
          <w:rFonts w:ascii="Times" w:hAnsi="Times" w:cs="Times New Roman"/>
          <w:sz w:val="23"/>
          <w:szCs w:val="23"/>
        </w:rPr>
        <w:t xml:space="preserve">., Allison, M., Langer, </w:t>
      </w:r>
      <w:r w:rsidRPr="00F853DD">
        <w:rPr>
          <w:rFonts w:ascii="Times" w:hAnsi="Times" w:cs="Times New Roman"/>
          <w:sz w:val="23"/>
          <w:szCs w:val="23"/>
        </w:rPr>
        <w:t>R., Reichstadt, J., Moore, D., Golshan, S., Ganiats, T. and Jeste, D.,</w:t>
      </w:r>
      <w:r w:rsidR="00DF05BD" w:rsidRPr="00F853DD">
        <w:rPr>
          <w:rFonts w:ascii="Times" w:hAnsi="Times" w:cs="Times New Roman"/>
          <w:sz w:val="23"/>
          <w:szCs w:val="23"/>
        </w:rPr>
        <w:t xml:space="preserve"> (2008). Measurement and predictors of resilience among community-dwelling older women</w:t>
      </w:r>
      <w:r w:rsidR="00DF05BD" w:rsidRPr="00F853DD">
        <w:rPr>
          <w:rFonts w:ascii="Times" w:hAnsi="Times" w:cs="Times New Roman"/>
          <w:i/>
          <w:sz w:val="23"/>
          <w:szCs w:val="23"/>
        </w:rPr>
        <w:t>. Journal of Psychiatric Research</w:t>
      </w:r>
      <w:r w:rsidR="004D579F"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43</w:t>
      </w:r>
      <w:r w:rsidR="00DF05BD" w:rsidRPr="00F853DD">
        <w:rPr>
          <w:rFonts w:ascii="Times" w:hAnsi="Times" w:cs="Times New Roman"/>
          <w:sz w:val="23"/>
          <w:szCs w:val="23"/>
        </w:rPr>
        <w:t>, 148-154.</w:t>
      </w:r>
    </w:p>
    <w:p w14:paraId="1DD2F133" w14:textId="269C4D6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Landau, J.</w:t>
      </w:r>
      <w:r w:rsidR="000255E6" w:rsidRPr="00F853DD">
        <w:rPr>
          <w:rFonts w:ascii="Times" w:hAnsi="Times" w:cs="Times New Roman"/>
          <w:sz w:val="23"/>
          <w:szCs w:val="23"/>
        </w:rPr>
        <w:t>,</w:t>
      </w:r>
      <w:r w:rsidR="004D579F" w:rsidRPr="00F853DD">
        <w:rPr>
          <w:rFonts w:ascii="Times" w:hAnsi="Times" w:cs="Times New Roman"/>
          <w:sz w:val="23"/>
          <w:szCs w:val="23"/>
        </w:rPr>
        <w:t xml:space="preserve"> (2010). Communities t</w:t>
      </w:r>
      <w:r w:rsidRPr="00F853DD">
        <w:rPr>
          <w:rFonts w:ascii="Times" w:hAnsi="Times" w:cs="Times New Roman"/>
          <w:sz w:val="23"/>
          <w:szCs w:val="23"/>
        </w:rPr>
        <w:t xml:space="preserve">hat </w:t>
      </w:r>
      <w:r w:rsidR="000255E6" w:rsidRPr="00F853DD">
        <w:rPr>
          <w:rFonts w:ascii="Times" w:hAnsi="Times" w:cs="Times New Roman"/>
          <w:sz w:val="23"/>
          <w:szCs w:val="23"/>
        </w:rPr>
        <w:t>c</w:t>
      </w:r>
      <w:r w:rsidRPr="00F853DD">
        <w:rPr>
          <w:rFonts w:ascii="Times" w:hAnsi="Times" w:cs="Times New Roman"/>
          <w:sz w:val="23"/>
          <w:szCs w:val="23"/>
        </w:rPr>
        <w:t xml:space="preserve">are for </w:t>
      </w:r>
      <w:r w:rsidR="000255E6" w:rsidRPr="00F853DD">
        <w:rPr>
          <w:rFonts w:ascii="Times" w:hAnsi="Times" w:cs="Times New Roman"/>
          <w:sz w:val="23"/>
          <w:szCs w:val="23"/>
        </w:rPr>
        <w:t>f</w:t>
      </w:r>
      <w:r w:rsidRPr="00F853DD">
        <w:rPr>
          <w:rFonts w:ascii="Times" w:hAnsi="Times" w:cs="Times New Roman"/>
          <w:sz w:val="23"/>
          <w:szCs w:val="23"/>
        </w:rPr>
        <w:t xml:space="preserve">amilies: The LINC model for enhancing individual, family, and community resilience. </w:t>
      </w:r>
      <w:r w:rsidRPr="00F853DD">
        <w:rPr>
          <w:rFonts w:ascii="Times" w:hAnsi="Times" w:cs="Times New Roman"/>
          <w:i/>
          <w:sz w:val="23"/>
          <w:szCs w:val="23"/>
        </w:rPr>
        <w:t>American Journal of Orthopsychiatry</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80</w:t>
      </w:r>
      <w:r w:rsidRPr="00F853DD">
        <w:rPr>
          <w:rFonts w:ascii="Times" w:hAnsi="Times" w:cs="Times New Roman"/>
          <w:sz w:val="23"/>
          <w:szCs w:val="23"/>
        </w:rPr>
        <w:t>, 516-524.</w:t>
      </w:r>
    </w:p>
    <w:p w14:paraId="407BF663" w14:textId="168C8D2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Lane, R. and Serour, F.</w:t>
      </w:r>
      <w:r w:rsidR="000255E6" w:rsidRPr="00F853DD">
        <w:rPr>
          <w:rFonts w:ascii="Times" w:hAnsi="Times" w:cs="Times New Roman"/>
          <w:sz w:val="23"/>
          <w:szCs w:val="23"/>
        </w:rPr>
        <w:t>,</w:t>
      </w:r>
      <w:r w:rsidR="004D579F" w:rsidRPr="00F853DD">
        <w:rPr>
          <w:rFonts w:ascii="Times" w:hAnsi="Times" w:cs="Times New Roman"/>
          <w:sz w:val="23"/>
          <w:szCs w:val="23"/>
        </w:rPr>
        <w:t xml:space="preserve"> (2008). The Madrid international plan of action on a</w:t>
      </w:r>
      <w:r w:rsidRPr="00F853DD">
        <w:rPr>
          <w:rFonts w:ascii="Times" w:hAnsi="Times" w:cs="Times New Roman"/>
          <w:sz w:val="23"/>
          <w:szCs w:val="23"/>
        </w:rPr>
        <w:t xml:space="preserve">geing: </w:t>
      </w:r>
      <w:r w:rsidR="000255E6" w:rsidRPr="00F853DD">
        <w:rPr>
          <w:rFonts w:ascii="Times" w:hAnsi="Times" w:cs="Times New Roman"/>
          <w:sz w:val="23"/>
          <w:szCs w:val="23"/>
        </w:rPr>
        <w:t>g</w:t>
      </w:r>
      <w:r w:rsidRPr="00F853DD">
        <w:rPr>
          <w:rFonts w:ascii="Times" w:hAnsi="Times" w:cs="Times New Roman"/>
          <w:sz w:val="23"/>
          <w:szCs w:val="23"/>
        </w:rPr>
        <w:t xml:space="preserve">uiding </w:t>
      </w:r>
      <w:r w:rsidR="000255E6" w:rsidRPr="00F853DD">
        <w:rPr>
          <w:rFonts w:ascii="Times" w:hAnsi="Times" w:cs="Times New Roman"/>
          <w:sz w:val="23"/>
          <w:szCs w:val="23"/>
        </w:rPr>
        <w:t>f</w:t>
      </w:r>
      <w:r w:rsidRPr="00F853DD">
        <w:rPr>
          <w:rFonts w:ascii="Times" w:hAnsi="Times" w:cs="Times New Roman"/>
          <w:sz w:val="23"/>
          <w:szCs w:val="23"/>
        </w:rPr>
        <w:t xml:space="preserve">ramework and </w:t>
      </w:r>
      <w:r w:rsidR="000255E6" w:rsidRPr="00F853DD">
        <w:rPr>
          <w:rFonts w:ascii="Times" w:hAnsi="Times" w:cs="Times New Roman"/>
          <w:sz w:val="23"/>
          <w:szCs w:val="23"/>
        </w:rPr>
        <w:t>t</w:t>
      </w:r>
      <w:r w:rsidRPr="00F853DD">
        <w:rPr>
          <w:rFonts w:ascii="Times" w:hAnsi="Times" w:cs="Times New Roman"/>
          <w:sz w:val="23"/>
          <w:szCs w:val="23"/>
        </w:rPr>
        <w:t xml:space="preserve">oolkit for </w:t>
      </w:r>
      <w:r w:rsidR="000255E6" w:rsidRPr="00F853DD">
        <w:rPr>
          <w:rFonts w:ascii="Times" w:hAnsi="Times" w:cs="Times New Roman"/>
          <w:sz w:val="23"/>
          <w:szCs w:val="23"/>
        </w:rPr>
        <w:t>p</w:t>
      </w:r>
      <w:r w:rsidRPr="00F853DD">
        <w:rPr>
          <w:rFonts w:ascii="Times" w:hAnsi="Times" w:cs="Times New Roman"/>
          <w:sz w:val="23"/>
          <w:szCs w:val="23"/>
        </w:rPr>
        <w:t xml:space="preserve">ractitioners &amp; </w:t>
      </w:r>
      <w:r w:rsidR="000255E6" w:rsidRPr="00F853DD">
        <w:rPr>
          <w:rFonts w:ascii="Times" w:hAnsi="Times" w:cs="Times New Roman"/>
          <w:sz w:val="23"/>
          <w:szCs w:val="23"/>
        </w:rPr>
        <w:t>p</w:t>
      </w:r>
      <w:r w:rsidRPr="00F853DD">
        <w:rPr>
          <w:rFonts w:ascii="Times" w:hAnsi="Times" w:cs="Times New Roman"/>
          <w:sz w:val="23"/>
          <w:szCs w:val="23"/>
        </w:rPr>
        <w:t xml:space="preserve">olicy </w:t>
      </w:r>
      <w:r w:rsidR="000255E6" w:rsidRPr="00F853DD">
        <w:rPr>
          <w:rFonts w:ascii="Times" w:hAnsi="Times" w:cs="Times New Roman"/>
          <w:sz w:val="23"/>
          <w:szCs w:val="23"/>
        </w:rPr>
        <w:t>m</w:t>
      </w:r>
      <w:r w:rsidRPr="00F853DD">
        <w:rPr>
          <w:rFonts w:ascii="Times" w:hAnsi="Times" w:cs="Times New Roman"/>
          <w:sz w:val="23"/>
          <w:szCs w:val="23"/>
        </w:rPr>
        <w:t xml:space="preserve">akers [online]. </w:t>
      </w:r>
      <w:r w:rsidRPr="00F853DD">
        <w:rPr>
          <w:rFonts w:ascii="Times" w:hAnsi="Times" w:cs="Times New Roman"/>
          <w:i/>
          <w:sz w:val="23"/>
          <w:szCs w:val="23"/>
        </w:rPr>
        <w:t>United Nations, Department of Economic &amp; Social Affairs, Division for Social Policy &amp; Development.</w:t>
      </w:r>
      <w:r w:rsidRPr="00F853DD">
        <w:rPr>
          <w:rFonts w:ascii="Times" w:hAnsi="Times" w:cs="Times New Roman"/>
          <w:sz w:val="23"/>
          <w:szCs w:val="23"/>
        </w:rPr>
        <w:t xml:space="preserve"> [Viewed 11 November 2019]. Available from: https://www.un.org/esa/socdev/documents/ageing/guiding-toolkit2008.pdf</w:t>
      </w:r>
    </w:p>
    <w:p w14:paraId="6EA80B07" w14:textId="284AC3C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Lannoo, K., Barslund, M., Chmelar, A. and Von Werder, M.</w:t>
      </w:r>
      <w:r w:rsidR="000255E6" w:rsidRPr="00F853DD">
        <w:rPr>
          <w:rFonts w:ascii="Times" w:hAnsi="Times" w:cs="Times New Roman"/>
          <w:sz w:val="23"/>
          <w:szCs w:val="23"/>
        </w:rPr>
        <w:t>,</w:t>
      </w:r>
      <w:r w:rsidRPr="00F853DD">
        <w:rPr>
          <w:rFonts w:ascii="Times" w:hAnsi="Times" w:cs="Times New Roman"/>
          <w:sz w:val="23"/>
          <w:szCs w:val="23"/>
        </w:rPr>
        <w:t xml:space="preserve"> (2014). </w:t>
      </w:r>
      <w:r w:rsidRPr="00F853DD">
        <w:rPr>
          <w:rFonts w:ascii="Times" w:hAnsi="Times" w:cs="Times New Roman"/>
          <w:i/>
          <w:sz w:val="23"/>
          <w:szCs w:val="23"/>
        </w:rPr>
        <w:t xml:space="preserve">Pension schemes: </w:t>
      </w:r>
      <w:r w:rsidR="000255E6" w:rsidRPr="00F853DD">
        <w:rPr>
          <w:rFonts w:ascii="Times" w:hAnsi="Times" w:cs="Times New Roman"/>
          <w:i/>
          <w:sz w:val="23"/>
          <w:szCs w:val="23"/>
        </w:rPr>
        <w:t>s</w:t>
      </w:r>
      <w:r w:rsidRPr="00F853DD">
        <w:rPr>
          <w:rFonts w:ascii="Times" w:hAnsi="Times" w:cs="Times New Roman"/>
          <w:i/>
          <w:sz w:val="23"/>
          <w:szCs w:val="23"/>
        </w:rPr>
        <w:t>tudy for the EMPL committee</w:t>
      </w:r>
      <w:r w:rsidRPr="00F853DD">
        <w:rPr>
          <w:rFonts w:ascii="Times" w:hAnsi="Times" w:cs="Times New Roman"/>
          <w:sz w:val="23"/>
          <w:szCs w:val="23"/>
        </w:rPr>
        <w:t>. Brussels: European Union.</w:t>
      </w:r>
      <w:r w:rsidR="0011165F" w:rsidRPr="00F853DD">
        <w:rPr>
          <w:rFonts w:ascii="Times" w:hAnsi="Times" w:cs="Times New Roman"/>
          <w:sz w:val="23"/>
          <w:szCs w:val="23"/>
        </w:rPr>
        <w:t xml:space="preserve"> </w:t>
      </w:r>
      <w:r w:rsidR="0011165F" w:rsidRPr="00F853DD">
        <w:rPr>
          <w:rFonts w:ascii="Times" w:eastAsiaTheme="minorHAnsi" w:hAnsi="Times" w:cs="Times"/>
          <w:sz w:val="23"/>
          <w:szCs w:val="23"/>
          <w:lang w:eastAsia="en-US"/>
        </w:rPr>
        <w:t>[Viewed 19 October 2017]. Available from:</w:t>
      </w:r>
      <w:r w:rsidR="0011165F" w:rsidRPr="00F853DD">
        <w:rPr>
          <w:rFonts w:ascii="Times" w:hAnsi="Times" w:cs="Times New Roman"/>
          <w:sz w:val="23"/>
          <w:szCs w:val="23"/>
        </w:rPr>
        <w:t xml:space="preserve"> http://www.europarl.europa.eu/studies</w:t>
      </w:r>
    </w:p>
    <w:p w14:paraId="3FBC0E4B" w14:textId="0C3E12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Lapierre, T. A. and Keating, N.</w:t>
      </w:r>
      <w:r w:rsidR="000255E6" w:rsidRPr="00F853DD">
        <w:rPr>
          <w:rFonts w:ascii="Times" w:hAnsi="Times" w:cs="Times New Roman"/>
          <w:sz w:val="23"/>
          <w:szCs w:val="23"/>
        </w:rPr>
        <w:t>,</w:t>
      </w:r>
      <w:r w:rsidRPr="00F853DD">
        <w:rPr>
          <w:rFonts w:ascii="Times" w:hAnsi="Times" w:cs="Times New Roman"/>
          <w:sz w:val="23"/>
          <w:szCs w:val="23"/>
        </w:rPr>
        <w:t xml:space="preserve"> (2013). Characteristics and contributions of non-kin carers of older people: a closer look at friends and neighbours. </w:t>
      </w:r>
      <w:r w:rsidRPr="00F853DD">
        <w:rPr>
          <w:rFonts w:ascii="Times" w:hAnsi="Times" w:cs="Times New Roman"/>
          <w:i/>
          <w:sz w:val="23"/>
          <w:szCs w:val="23"/>
        </w:rPr>
        <w:t>Ageing and Society</w:t>
      </w:r>
      <w:r w:rsidR="004D57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 1442-1468.</w:t>
      </w:r>
    </w:p>
    <w:p w14:paraId="2C7D2BBD" w14:textId="42879A8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Larkin, M., Henwood, M. and Milne, A.</w:t>
      </w:r>
      <w:r w:rsidR="000255E6" w:rsidRPr="00F853DD">
        <w:rPr>
          <w:rFonts w:ascii="Times" w:hAnsi="Times" w:cs="Times New Roman"/>
          <w:sz w:val="23"/>
          <w:szCs w:val="23"/>
        </w:rPr>
        <w:t>,</w:t>
      </w:r>
      <w:r w:rsidRPr="00F853DD">
        <w:rPr>
          <w:rFonts w:ascii="Times" w:hAnsi="Times" w:cs="Times New Roman"/>
          <w:sz w:val="23"/>
          <w:szCs w:val="23"/>
        </w:rPr>
        <w:t xml:space="preserve"> (2019). Carer</w:t>
      </w:r>
      <w:r w:rsidRPr="00F853DD">
        <w:rPr>
          <w:rFonts w:ascii="Cambria Math" w:hAnsi="Cambria Math" w:cs="Cambria Math"/>
          <w:sz w:val="23"/>
          <w:szCs w:val="23"/>
        </w:rPr>
        <w:t>‐</w:t>
      </w:r>
      <w:r w:rsidRPr="00F853DD">
        <w:rPr>
          <w:rFonts w:ascii="Times" w:hAnsi="Times" w:cs="Times New Roman"/>
          <w:sz w:val="23"/>
          <w:szCs w:val="23"/>
        </w:rPr>
        <w:t xml:space="preserve">related research and knowledge: Findings from a scoping review. </w:t>
      </w:r>
      <w:r w:rsidRPr="00F853DD">
        <w:rPr>
          <w:rFonts w:ascii="Times" w:hAnsi="Times" w:cs="Times New Roman"/>
          <w:i/>
          <w:sz w:val="23"/>
          <w:szCs w:val="23"/>
        </w:rPr>
        <w:t>Health &amp; social care in the community</w:t>
      </w:r>
      <w:r w:rsidR="008C3C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(1), 55-67.</w:t>
      </w:r>
    </w:p>
    <w:p w14:paraId="5903B8FE" w14:textId="34238E9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Larossa, R., </w:t>
      </w:r>
      <w:r w:rsidR="000255E6" w:rsidRPr="00F853DD">
        <w:rPr>
          <w:rFonts w:ascii="Times" w:hAnsi="Times" w:cs="Times New Roman"/>
          <w:sz w:val="23"/>
          <w:szCs w:val="23"/>
        </w:rPr>
        <w:t>Bennett, L. and Gelles, R.,</w:t>
      </w:r>
      <w:r w:rsidRPr="00F853DD">
        <w:rPr>
          <w:rFonts w:ascii="Times" w:hAnsi="Times" w:cs="Times New Roman"/>
          <w:sz w:val="23"/>
          <w:szCs w:val="23"/>
        </w:rPr>
        <w:t xml:space="preserve"> (1981). Ethical dilemmas in qualitative family research. </w:t>
      </w:r>
      <w:r w:rsidRPr="00F853DD">
        <w:rPr>
          <w:rFonts w:ascii="Times" w:hAnsi="Times" w:cs="Times New Roman"/>
          <w:i/>
          <w:sz w:val="23"/>
          <w:szCs w:val="23"/>
        </w:rPr>
        <w:t>Journal of Marriage and the Famil</w:t>
      </w:r>
      <w:r w:rsidR="008C3C69" w:rsidRPr="00F853DD">
        <w:rPr>
          <w:rFonts w:ascii="Times" w:hAnsi="Times" w:cs="Times New Roman"/>
          <w:sz w:val="23"/>
          <w:szCs w:val="23"/>
        </w:rPr>
        <w:t>y.</w:t>
      </w:r>
      <w:r w:rsidRPr="00F853DD">
        <w:rPr>
          <w:rFonts w:ascii="Times" w:hAnsi="Times" w:cs="Times New Roman"/>
          <w:sz w:val="23"/>
          <w:szCs w:val="23"/>
        </w:rPr>
        <w:t xml:space="preserve"> </w:t>
      </w:r>
      <w:r w:rsidRPr="00F853DD">
        <w:rPr>
          <w:rFonts w:ascii="Times" w:hAnsi="Times" w:cs="Times New Roman"/>
          <w:b/>
          <w:sz w:val="23"/>
          <w:szCs w:val="23"/>
        </w:rPr>
        <w:t>43</w:t>
      </w:r>
      <w:r w:rsidRPr="00F853DD">
        <w:rPr>
          <w:rFonts w:ascii="Times" w:hAnsi="Times" w:cs="Times New Roman"/>
          <w:sz w:val="23"/>
          <w:szCs w:val="23"/>
        </w:rPr>
        <w:t>, 303-313.</w:t>
      </w:r>
    </w:p>
    <w:p w14:paraId="7EDCBF1D" w14:textId="7B860DA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Laslett, B. and Rapoport, R.</w:t>
      </w:r>
      <w:r w:rsidR="000255E6" w:rsidRPr="00F853DD">
        <w:rPr>
          <w:rFonts w:ascii="Times" w:hAnsi="Times" w:cs="Times New Roman"/>
          <w:sz w:val="23"/>
          <w:szCs w:val="23"/>
        </w:rPr>
        <w:t>,</w:t>
      </w:r>
      <w:r w:rsidRPr="00F853DD">
        <w:rPr>
          <w:rFonts w:ascii="Times" w:hAnsi="Times" w:cs="Times New Roman"/>
          <w:sz w:val="23"/>
          <w:szCs w:val="23"/>
        </w:rPr>
        <w:t xml:space="preserve"> (1975). Collaborative interviewing and interactive research. </w:t>
      </w:r>
      <w:r w:rsidRPr="00F853DD">
        <w:rPr>
          <w:rFonts w:ascii="Times" w:hAnsi="Times" w:cs="Times New Roman"/>
          <w:i/>
          <w:sz w:val="23"/>
          <w:szCs w:val="23"/>
        </w:rPr>
        <w:t>Journal of Marriage and the Family</w:t>
      </w:r>
      <w:r w:rsidR="008C3C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w:t>
      </w:r>
      <w:r w:rsidRPr="00F853DD">
        <w:rPr>
          <w:rFonts w:ascii="Times" w:hAnsi="Times" w:cs="Times New Roman"/>
          <w:sz w:val="23"/>
          <w:szCs w:val="23"/>
        </w:rPr>
        <w:t>, 968-977.</w:t>
      </w:r>
    </w:p>
    <w:p w14:paraId="759CA961" w14:textId="1C76D7A9" w:rsidR="00DF05BD" w:rsidRPr="00F853DD" w:rsidRDefault="000255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Lawler, E</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(2001). An affect theory of social exchange. </w:t>
      </w:r>
      <w:r w:rsidR="00DF05BD" w:rsidRPr="00F853DD">
        <w:rPr>
          <w:rFonts w:ascii="Times" w:hAnsi="Times" w:cs="Times New Roman"/>
          <w:i/>
          <w:sz w:val="23"/>
          <w:szCs w:val="23"/>
        </w:rPr>
        <w:t xml:space="preserve">American Journal </w:t>
      </w:r>
      <w:r w:rsidRPr="00F853DD">
        <w:rPr>
          <w:rFonts w:ascii="Times" w:hAnsi="Times" w:cs="Times New Roman"/>
          <w:i/>
          <w:sz w:val="23"/>
          <w:szCs w:val="23"/>
        </w:rPr>
        <w:t>o</w:t>
      </w:r>
      <w:r w:rsidR="00DF05BD" w:rsidRPr="00F853DD">
        <w:rPr>
          <w:rFonts w:ascii="Times" w:hAnsi="Times" w:cs="Times New Roman"/>
          <w:i/>
          <w:sz w:val="23"/>
          <w:szCs w:val="23"/>
        </w:rPr>
        <w:t>f Sociology</w:t>
      </w:r>
      <w:r w:rsidR="008C3C69" w:rsidRPr="00F853DD">
        <w:rPr>
          <w:rFonts w:ascii="Times" w:hAnsi="Times" w:cs="Times New Roman"/>
          <w:sz w:val="23"/>
          <w:szCs w:val="23"/>
        </w:rPr>
        <w:t xml:space="preserve">. </w:t>
      </w:r>
      <w:r w:rsidR="00DF05BD" w:rsidRPr="00F853DD">
        <w:rPr>
          <w:rFonts w:ascii="Times" w:hAnsi="Times" w:cs="Times New Roman"/>
          <w:b/>
          <w:sz w:val="23"/>
          <w:szCs w:val="23"/>
        </w:rPr>
        <w:t>107</w:t>
      </w:r>
      <w:r w:rsidR="00DF05BD" w:rsidRPr="00F853DD">
        <w:rPr>
          <w:rFonts w:ascii="Times" w:hAnsi="Times" w:cs="Times New Roman"/>
          <w:sz w:val="23"/>
          <w:szCs w:val="23"/>
        </w:rPr>
        <w:t>, 321-352.</w:t>
      </w:r>
    </w:p>
    <w:p w14:paraId="161AD305" w14:textId="2DEEFD99" w:rsidR="00DF05BD" w:rsidRPr="00F853DD" w:rsidRDefault="000255E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Lawler, E. and Thye, S.,</w:t>
      </w:r>
      <w:r w:rsidR="00DF05BD" w:rsidRPr="00F853DD">
        <w:rPr>
          <w:rFonts w:ascii="Times" w:hAnsi="Times" w:cs="Times New Roman"/>
          <w:sz w:val="23"/>
          <w:szCs w:val="23"/>
        </w:rPr>
        <w:t xml:space="preserve"> (1999). Bringing emotions into social exchange theory. </w:t>
      </w:r>
      <w:r w:rsidR="00DF05BD" w:rsidRPr="00F853DD">
        <w:rPr>
          <w:rFonts w:ascii="Times" w:hAnsi="Times" w:cs="Times New Roman"/>
          <w:i/>
          <w:sz w:val="23"/>
          <w:szCs w:val="23"/>
        </w:rPr>
        <w:t>Annual Review Of Sociology</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 217-244.</w:t>
      </w:r>
    </w:p>
    <w:p w14:paraId="1E1E2622" w14:textId="18037864" w:rsidR="00DF05BD" w:rsidRPr="00F853DD" w:rsidRDefault="00DF05BD" w:rsidP="00E1694A">
      <w:pPr>
        <w:tabs>
          <w:tab w:val="left" w:pos="2575"/>
        </w:tabs>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Lawrence, V., Banerjee, S., Bhugra, D., Sangha, K., Turner, S. and Murray, J. (2006). Coping with depression in later life: a qualitative study of help-seeking in three ethnic groups. </w:t>
      </w:r>
      <w:r w:rsidRPr="00F853DD">
        <w:rPr>
          <w:rFonts w:ascii="Times" w:hAnsi="Times" w:cs="Times New Roman"/>
          <w:i/>
          <w:sz w:val="23"/>
          <w:szCs w:val="23"/>
        </w:rPr>
        <w:t xml:space="preserve">Psychological </w:t>
      </w:r>
      <w:r w:rsidR="006A45B3" w:rsidRPr="00F853DD">
        <w:rPr>
          <w:rFonts w:ascii="Times" w:hAnsi="Times" w:cs="Times New Roman"/>
          <w:i/>
          <w:sz w:val="23"/>
          <w:szCs w:val="23"/>
        </w:rPr>
        <w:t>M</w:t>
      </w:r>
      <w:r w:rsidRPr="00F853DD">
        <w:rPr>
          <w:rFonts w:ascii="Times" w:hAnsi="Times" w:cs="Times New Roman"/>
          <w:i/>
          <w:sz w:val="23"/>
          <w:szCs w:val="23"/>
        </w:rPr>
        <w:t>edicine</w:t>
      </w:r>
      <w:r w:rsidR="008C3C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(10), 1375-1383.</w:t>
      </w:r>
    </w:p>
    <w:p w14:paraId="05A9AC7D" w14:textId="473C106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Lawson, H., Briar-Lawson, K. and Hennon, C. B. (2001). </w:t>
      </w:r>
      <w:r w:rsidRPr="00F853DD">
        <w:rPr>
          <w:rFonts w:ascii="Times" w:hAnsi="Times" w:cs="Times New Roman"/>
          <w:i/>
          <w:sz w:val="23"/>
          <w:szCs w:val="23"/>
        </w:rPr>
        <w:t xml:space="preserve">Key </w:t>
      </w:r>
      <w:r w:rsidR="008C3C69" w:rsidRPr="00F853DD">
        <w:rPr>
          <w:rFonts w:ascii="Times" w:hAnsi="Times" w:cs="Times New Roman"/>
          <w:i/>
          <w:sz w:val="23"/>
          <w:szCs w:val="23"/>
        </w:rPr>
        <w:t>s</w:t>
      </w:r>
      <w:r w:rsidRPr="00F853DD">
        <w:rPr>
          <w:rFonts w:ascii="Times" w:hAnsi="Times" w:cs="Times New Roman"/>
          <w:i/>
          <w:sz w:val="23"/>
          <w:szCs w:val="23"/>
        </w:rPr>
        <w:t xml:space="preserve">ensitizing </w:t>
      </w:r>
      <w:r w:rsidR="008C3C69" w:rsidRPr="00F853DD">
        <w:rPr>
          <w:rFonts w:ascii="Times" w:hAnsi="Times" w:cs="Times New Roman"/>
          <w:i/>
          <w:sz w:val="23"/>
          <w:szCs w:val="23"/>
        </w:rPr>
        <w:t>c</w:t>
      </w:r>
      <w:r w:rsidRPr="00F853DD">
        <w:rPr>
          <w:rFonts w:ascii="Times" w:hAnsi="Times" w:cs="Times New Roman"/>
          <w:i/>
          <w:sz w:val="23"/>
          <w:szCs w:val="23"/>
        </w:rPr>
        <w:t xml:space="preserve">oncepts, a </w:t>
      </w:r>
      <w:r w:rsidR="008C3C69" w:rsidRPr="00F853DD">
        <w:rPr>
          <w:rFonts w:ascii="Times" w:hAnsi="Times" w:cs="Times New Roman"/>
          <w:i/>
          <w:sz w:val="23"/>
          <w:szCs w:val="23"/>
        </w:rPr>
        <w:t>f</w:t>
      </w:r>
      <w:r w:rsidRPr="00F853DD">
        <w:rPr>
          <w:rFonts w:ascii="Times" w:hAnsi="Times" w:cs="Times New Roman"/>
          <w:i/>
          <w:sz w:val="23"/>
          <w:szCs w:val="23"/>
        </w:rPr>
        <w:t xml:space="preserve">amily </w:t>
      </w:r>
      <w:r w:rsidR="008C3C69" w:rsidRPr="00F853DD">
        <w:rPr>
          <w:rFonts w:ascii="Times" w:hAnsi="Times" w:cs="Times New Roman"/>
          <w:i/>
          <w:sz w:val="23"/>
          <w:szCs w:val="23"/>
        </w:rPr>
        <w:t>p</w:t>
      </w:r>
      <w:r w:rsidRPr="00F853DD">
        <w:rPr>
          <w:rFonts w:ascii="Times" w:hAnsi="Times" w:cs="Times New Roman"/>
          <w:i/>
          <w:sz w:val="23"/>
          <w:szCs w:val="23"/>
        </w:rPr>
        <w:t xml:space="preserve">olicy </w:t>
      </w:r>
      <w:r w:rsidR="008C3C69" w:rsidRPr="00F853DD">
        <w:rPr>
          <w:rFonts w:ascii="Times" w:hAnsi="Times" w:cs="Times New Roman"/>
          <w:i/>
          <w:sz w:val="23"/>
          <w:szCs w:val="23"/>
        </w:rPr>
        <w:t>c</w:t>
      </w:r>
      <w:r w:rsidRPr="00F853DD">
        <w:rPr>
          <w:rFonts w:ascii="Times" w:hAnsi="Times" w:cs="Times New Roman"/>
          <w:i/>
          <w:sz w:val="23"/>
          <w:szCs w:val="23"/>
        </w:rPr>
        <w:t xml:space="preserve">ontinuum, and </w:t>
      </w:r>
      <w:r w:rsidR="008C3C69" w:rsidRPr="00F853DD">
        <w:rPr>
          <w:rFonts w:ascii="Times" w:hAnsi="Times" w:cs="Times New Roman"/>
          <w:i/>
          <w:sz w:val="23"/>
          <w:szCs w:val="23"/>
        </w:rPr>
        <w:t>e</w:t>
      </w:r>
      <w:r w:rsidRPr="00F853DD">
        <w:rPr>
          <w:rFonts w:ascii="Times" w:hAnsi="Times" w:cs="Times New Roman"/>
          <w:i/>
          <w:sz w:val="23"/>
          <w:szCs w:val="23"/>
        </w:rPr>
        <w:t>xamples from IYF</w:t>
      </w:r>
      <w:r w:rsidRPr="00F853DD">
        <w:rPr>
          <w:rFonts w:ascii="Times" w:hAnsi="Times" w:cs="Times New Roman"/>
          <w:sz w:val="23"/>
          <w:szCs w:val="23"/>
        </w:rPr>
        <w:t xml:space="preserve">. In: Lawson, H., Briar. </w:t>
      </w:r>
    </w:p>
    <w:p w14:paraId="594AEB7C" w14:textId="7E1D00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Lawson, K. and Hennon, C. B. (eds.) </w:t>
      </w:r>
      <w:r w:rsidR="008C3C69" w:rsidRPr="00F853DD">
        <w:rPr>
          <w:rFonts w:ascii="Times" w:hAnsi="Times" w:cs="Times New Roman"/>
          <w:i/>
          <w:sz w:val="23"/>
          <w:szCs w:val="23"/>
        </w:rPr>
        <w:t>Family-c</w:t>
      </w:r>
      <w:r w:rsidRPr="00F853DD">
        <w:rPr>
          <w:rFonts w:ascii="Times" w:hAnsi="Times" w:cs="Times New Roman"/>
          <w:i/>
          <w:sz w:val="23"/>
          <w:szCs w:val="23"/>
        </w:rPr>
        <w:t xml:space="preserve">entered </w:t>
      </w:r>
      <w:r w:rsidR="008C3C69" w:rsidRPr="00F853DD">
        <w:rPr>
          <w:rFonts w:ascii="Times" w:hAnsi="Times" w:cs="Times New Roman"/>
          <w:i/>
          <w:sz w:val="23"/>
          <w:szCs w:val="23"/>
        </w:rPr>
        <w:t>p</w:t>
      </w:r>
      <w:r w:rsidRPr="00F853DD">
        <w:rPr>
          <w:rFonts w:ascii="Times" w:hAnsi="Times" w:cs="Times New Roman"/>
          <w:i/>
          <w:sz w:val="23"/>
          <w:szCs w:val="23"/>
        </w:rPr>
        <w:t xml:space="preserve">olicies and </w:t>
      </w:r>
      <w:r w:rsidR="008C3C69" w:rsidRPr="00F853DD">
        <w:rPr>
          <w:rFonts w:ascii="Times" w:hAnsi="Times" w:cs="Times New Roman"/>
          <w:i/>
          <w:sz w:val="23"/>
          <w:szCs w:val="23"/>
        </w:rPr>
        <w:t>p</w:t>
      </w:r>
      <w:r w:rsidRPr="00F853DD">
        <w:rPr>
          <w:rFonts w:ascii="Times" w:hAnsi="Times" w:cs="Times New Roman"/>
          <w:i/>
          <w:sz w:val="23"/>
          <w:szCs w:val="23"/>
        </w:rPr>
        <w:t xml:space="preserve">ractices: </w:t>
      </w:r>
      <w:r w:rsidR="008C3C69" w:rsidRPr="00F853DD">
        <w:rPr>
          <w:rFonts w:ascii="Times" w:hAnsi="Times" w:cs="Times New Roman"/>
          <w:i/>
          <w:sz w:val="23"/>
          <w:szCs w:val="23"/>
        </w:rPr>
        <w:t>i</w:t>
      </w:r>
      <w:r w:rsidRPr="00F853DD">
        <w:rPr>
          <w:rFonts w:ascii="Times" w:hAnsi="Times" w:cs="Times New Roman"/>
          <w:i/>
          <w:sz w:val="23"/>
          <w:szCs w:val="23"/>
        </w:rPr>
        <w:t xml:space="preserve">nternational </w:t>
      </w:r>
      <w:r w:rsidR="008C3C69" w:rsidRPr="00F853DD">
        <w:rPr>
          <w:rFonts w:ascii="Times" w:hAnsi="Times" w:cs="Times New Roman"/>
          <w:i/>
          <w:sz w:val="23"/>
          <w:szCs w:val="23"/>
        </w:rPr>
        <w:t>i</w:t>
      </w:r>
      <w:r w:rsidRPr="00F853DD">
        <w:rPr>
          <w:rFonts w:ascii="Times" w:hAnsi="Times" w:cs="Times New Roman"/>
          <w:i/>
          <w:sz w:val="23"/>
          <w:szCs w:val="23"/>
        </w:rPr>
        <w:t>mplications</w:t>
      </w:r>
      <w:r w:rsidRPr="00F853DD">
        <w:rPr>
          <w:rFonts w:ascii="Times" w:hAnsi="Times" w:cs="Times New Roman"/>
          <w:sz w:val="23"/>
          <w:szCs w:val="23"/>
        </w:rPr>
        <w:t>. UK: Columbia University Press.</w:t>
      </w:r>
    </w:p>
    <w:p w14:paraId="2A38D71B" w14:textId="7AFD1AAA" w:rsidR="00DF05BD" w:rsidRPr="00F853DD" w:rsidRDefault="00830B1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Lawton, M., Kleban, M</w:t>
      </w:r>
      <w:r w:rsidR="00DF05BD" w:rsidRPr="00F853DD">
        <w:rPr>
          <w:rFonts w:ascii="Times" w:hAnsi="Times" w:cs="Times New Roman"/>
          <w:sz w:val="23"/>
          <w:szCs w:val="23"/>
        </w:rPr>
        <w:t>., Moss, M., Rovine, M. and Glicksman, A.</w:t>
      </w:r>
      <w:r w:rsidRPr="00F853DD">
        <w:rPr>
          <w:rFonts w:ascii="Times" w:hAnsi="Times" w:cs="Times New Roman"/>
          <w:sz w:val="23"/>
          <w:szCs w:val="23"/>
        </w:rPr>
        <w:t>,</w:t>
      </w:r>
      <w:r w:rsidR="00DF05BD" w:rsidRPr="00F853DD">
        <w:rPr>
          <w:rFonts w:ascii="Times" w:hAnsi="Times" w:cs="Times New Roman"/>
          <w:sz w:val="23"/>
          <w:szCs w:val="23"/>
        </w:rPr>
        <w:t xml:space="preserve"> (1989). Measuring </w:t>
      </w:r>
      <w:r w:rsidRPr="00F853DD">
        <w:rPr>
          <w:rFonts w:ascii="Times" w:hAnsi="Times" w:cs="Times New Roman"/>
          <w:sz w:val="23"/>
          <w:szCs w:val="23"/>
        </w:rPr>
        <w:t>c</w:t>
      </w:r>
      <w:r w:rsidR="00DF05BD" w:rsidRPr="00F853DD">
        <w:rPr>
          <w:rFonts w:ascii="Times" w:hAnsi="Times" w:cs="Times New Roman"/>
          <w:sz w:val="23"/>
          <w:szCs w:val="23"/>
        </w:rPr>
        <w:t xml:space="preserve">aregiving </w:t>
      </w:r>
      <w:r w:rsidRPr="00F853DD">
        <w:rPr>
          <w:rFonts w:ascii="Times" w:hAnsi="Times" w:cs="Times New Roman"/>
          <w:sz w:val="23"/>
          <w:szCs w:val="23"/>
        </w:rPr>
        <w:t>a</w:t>
      </w:r>
      <w:r w:rsidR="00DF05BD" w:rsidRPr="00F853DD">
        <w:rPr>
          <w:rFonts w:ascii="Times" w:hAnsi="Times" w:cs="Times New Roman"/>
          <w:sz w:val="23"/>
          <w:szCs w:val="23"/>
        </w:rPr>
        <w:t xml:space="preserve">ppraisal. </w:t>
      </w:r>
      <w:r w:rsidR="00DF05BD" w:rsidRPr="00F853DD">
        <w:rPr>
          <w:rFonts w:ascii="Times" w:hAnsi="Times" w:cs="Times New Roman"/>
          <w:i/>
          <w:sz w:val="23"/>
          <w:szCs w:val="23"/>
        </w:rPr>
        <w:t>Journals of Gerontology</w:t>
      </w:r>
      <w:r w:rsidR="008C3C69"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44</w:t>
      </w:r>
      <w:r w:rsidR="00DF05BD" w:rsidRPr="00F853DD">
        <w:rPr>
          <w:rFonts w:ascii="Times" w:hAnsi="Times" w:cs="Times New Roman"/>
          <w:sz w:val="23"/>
          <w:szCs w:val="23"/>
        </w:rPr>
        <w:t>, 61-71.</w:t>
      </w:r>
    </w:p>
    <w:p w14:paraId="61A0DF3A" w14:textId="7BAB53C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Lazarus, R. and Folkman, S.</w:t>
      </w:r>
      <w:r w:rsidR="00830B16" w:rsidRPr="00F853DD">
        <w:rPr>
          <w:rFonts w:ascii="Times" w:hAnsi="Times" w:cs="Times New Roman"/>
          <w:sz w:val="23"/>
          <w:szCs w:val="23"/>
        </w:rPr>
        <w:t>,</w:t>
      </w:r>
      <w:r w:rsidRPr="00F853DD">
        <w:rPr>
          <w:rFonts w:ascii="Times" w:hAnsi="Times" w:cs="Times New Roman"/>
          <w:sz w:val="23"/>
          <w:szCs w:val="23"/>
        </w:rPr>
        <w:t xml:space="preserve"> (1984). </w:t>
      </w:r>
      <w:r w:rsidRPr="00F853DD">
        <w:rPr>
          <w:rFonts w:ascii="Times" w:hAnsi="Times" w:cs="Times New Roman"/>
          <w:i/>
          <w:sz w:val="23"/>
          <w:szCs w:val="23"/>
        </w:rPr>
        <w:t xml:space="preserve">Stress </w:t>
      </w:r>
      <w:r w:rsidR="00830B16" w:rsidRPr="00F853DD">
        <w:rPr>
          <w:rFonts w:ascii="Times" w:hAnsi="Times" w:cs="Times New Roman"/>
          <w:i/>
          <w:sz w:val="23"/>
          <w:szCs w:val="23"/>
        </w:rPr>
        <w:t>a</w:t>
      </w:r>
      <w:r w:rsidRPr="00F853DD">
        <w:rPr>
          <w:rFonts w:ascii="Times" w:hAnsi="Times" w:cs="Times New Roman"/>
          <w:i/>
          <w:sz w:val="23"/>
          <w:szCs w:val="23"/>
        </w:rPr>
        <w:t xml:space="preserve">ppraisal and </w:t>
      </w:r>
      <w:r w:rsidR="00830B16" w:rsidRPr="00F853DD">
        <w:rPr>
          <w:rFonts w:ascii="Times" w:hAnsi="Times" w:cs="Times New Roman"/>
          <w:i/>
          <w:sz w:val="23"/>
          <w:szCs w:val="23"/>
        </w:rPr>
        <w:t>c</w:t>
      </w:r>
      <w:r w:rsidRPr="00F853DD">
        <w:rPr>
          <w:rFonts w:ascii="Times" w:hAnsi="Times" w:cs="Times New Roman"/>
          <w:i/>
          <w:sz w:val="23"/>
          <w:szCs w:val="23"/>
        </w:rPr>
        <w:t xml:space="preserve">oping. </w:t>
      </w:r>
      <w:r w:rsidRPr="00F853DD">
        <w:rPr>
          <w:rFonts w:ascii="Times" w:hAnsi="Times" w:cs="Times New Roman"/>
          <w:sz w:val="23"/>
          <w:szCs w:val="23"/>
        </w:rPr>
        <w:t>Springer Publishing Company Inc.</w:t>
      </w:r>
    </w:p>
    <w:p w14:paraId="73A0ABA7" w14:textId="61A7845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Leathard, A.</w:t>
      </w:r>
      <w:r w:rsidR="00830B16" w:rsidRPr="00F853DD">
        <w:rPr>
          <w:rFonts w:ascii="Times" w:hAnsi="Times" w:cs="Times New Roman"/>
          <w:sz w:val="23"/>
          <w:szCs w:val="23"/>
        </w:rPr>
        <w:t>,</w:t>
      </w:r>
      <w:r w:rsidRPr="00F853DD">
        <w:rPr>
          <w:rFonts w:ascii="Times" w:hAnsi="Times" w:cs="Times New Roman"/>
          <w:sz w:val="23"/>
          <w:szCs w:val="23"/>
        </w:rPr>
        <w:t xml:space="preserve"> (ed). (1994). Going inter-professional: </w:t>
      </w:r>
      <w:r w:rsidR="00830B16" w:rsidRPr="00F853DD">
        <w:rPr>
          <w:rFonts w:ascii="Times" w:hAnsi="Times" w:cs="Times New Roman"/>
          <w:sz w:val="23"/>
          <w:szCs w:val="23"/>
        </w:rPr>
        <w:t>w</w:t>
      </w:r>
      <w:r w:rsidRPr="00F853DD">
        <w:rPr>
          <w:rFonts w:ascii="Times" w:hAnsi="Times" w:cs="Times New Roman"/>
          <w:sz w:val="23"/>
          <w:szCs w:val="23"/>
        </w:rPr>
        <w:t>orking together for health and welfare. Psychology Press.</w:t>
      </w:r>
    </w:p>
    <w:p w14:paraId="75E621F9" w14:textId="728DC97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Leavy, P.</w:t>
      </w:r>
      <w:r w:rsidR="00830B16" w:rsidRPr="00F853DD">
        <w:rPr>
          <w:rFonts w:ascii="Times" w:hAnsi="Times" w:cs="Times New Roman"/>
          <w:sz w:val="23"/>
          <w:szCs w:val="23"/>
        </w:rPr>
        <w:t>,</w:t>
      </w:r>
      <w:r w:rsidRPr="00F853DD">
        <w:rPr>
          <w:rFonts w:ascii="Times" w:hAnsi="Times" w:cs="Times New Roman"/>
          <w:sz w:val="23"/>
          <w:szCs w:val="23"/>
        </w:rPr>
        <w:t xml:space="preserve"> (2006). </w:t>
      </w:r>
      <w:r w:rsidRPr="00F853DD">
        <w:rPr>
          <w:rFonts w:ascii="Times" w:hAnsi="Times" w:cs="Times New Roman"/>
          <w:i/>
          <w:sz w:val="23"/>
          <w:szCs w:val="23"/>
        </w:rPr>
        <w:t xml:space="preserve">Emergent methods in social research. </w:t>
      </w:r>
      <w:r w:rsidRPr="00F853DD">
        <w:rPr>
          <w:rFonts w:ascii="Times" w:hAnsi="Times" w:cs="Times New Roman"/>
          <w:sz w:val="23"/>
          <w:szCs w:val="23"/>
        </w:rPr>
        <w:t>Thousand Oaks: Sage Publications.</w:t>
      </w:r>
    </w:p>
    <w:p w14:paraId="18B2347C" w14:textId="008BB3D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 Bihan, B., Da Roit, B. and Sopadzhiyan, A.</w:t>
      </w:r>
      <w:r w:rsidR="00830B16" w:rsidRPr="00F853DD">
        <w:rPr>
          <w:rFonts w:ascii="Times" w:hAnsi="Times" w:cs="Times New Roman"/>
          <w:sz w:val="23"/>
          <w:szCs w:val="23"/>
        </w:rPr>
        <w:t>,</w:t>
      </w:r>
      <w:r w:rsidRPr="00F853DD">
        <w:rPr>
          <w:rFonts w:ascii="Times" w:hAnsi="Times" w:cs="Times New Roman"/>
          <w:sz w:val="23"/>
          <w:szCs w:val="23"/>
        </w:rPr>
        <w:t xml:space="preserve"> (2019). The turn to optional familialism through the market: </w:t>
      </w:r>
      <w:r w:rsidR="00830B16" w:rsidRPr="00F853DD">
        <w:rPr>
          <w:rFonts w:ascii="Times" w:hAnsi="Times" w:cs="Times New Roman"/>
          <w:sz w:val="23"/>
          <w:szCs w:val="23"/>
        </w:rPr>
        <w:t>l</w:t>
      </w:r>
      <w:r w:rsidRPr="00F853DD">
        <w:rPr>
          <w:rFonts w:ascii="Times" w:hAnsi="Times" w:cs="Times New Roman"/>
          <w:sz w:val="23"/>
          <w:szCs w:val="23"/>
        </w:rPr>
        <w:t>ong</w:t>
      </w:r>
      <w:r w:rsidRPr="00F853DD">
        <w:rPr>
          <w:rFonts w:ascii="Cambria Math" w:hAnsi="Cambria Math" w:cs="Cambria Math"/>
          <w:sz w:val="23"/>
          <w:szCs w:val="23"/>
        </w:rPr>
        <w:t>‐</w:t>
      </w:r>
      <w:r w:rsidRPr="00F853DD">
        <w:rPr>
          <w:rFonts w:ascii="Times" w:hAnsi="Times" w:cs="Times New Roman"/>
          <w:sz w:val="23"/>
          <w:szCs w:val="23"/>
        </w:rPr>
        <w:t>term care, cash</w:t>
      </w:r>
      <w:r w:rsidRPr="00F853DD">
        <w:rPr>
          <w:rFonts w:ascii="Cambria Math" w:hAnsi="Cambria Math" w:cs="Cambria Math"/>
          <w:sz w:val="23"/>
          <w:szCs w:val="23"/>
        </w:rPr>
        <w:t>‐</w:t>
      </w:r>
      <w:r w:rsidRPr="00F853DD">
        <w:rPr>
          <w:rFonts w:ascii="Times" w:hAnsi="Times" w:cs="Times New Roman"/>
          <w:sz w:val="23"/>
          <w:szCs w:val="23"/>
        </w:rPr>
        <w:t>for</w:t>
      </w:r>
      <w:r w:rsidRPr="00F853DD">
        <w:rPr>
          <w:rFonts w:ascii="Cambria Math" w:hAnsi="Cambria Math" w:cs="Cambria Math"/>
          <w:sz w:val="23"/>
          <w:szCs w:val="23"/>
        </w:rPr>
        <w:t>‐</w:t>
      </w:r>
      <w:r w:rsidRPr="00F853DD">
        <w:rPr>
          <w:rFonts w:ascii="Times" w:hAnsi="Times" w:cs="Times New Roman"/>
          <w:sz w:val="23"/>
          <w:szCs w:val="23"/>
        </w:rPr>
        <w:t xml:space="preserve">care, and caregiving policies in Europe. </w:t>
      </w:r>
      <w:r w:rsidRPr="00F853DD">
        <w:rPr>
          <w:rFonts w:ascii="Times" w:hAnsi="Times" w:cs="Times New Roman"/>
          <w:i/>
          <w:sz w:val="23"/>
          <w:szCs w:val="23"/>
        </w:rPr>
        <w:t>Social Policy &amp; Administration</w:t>
      </w:r>
      <w:r w:rsidR="008C3C6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53</w:t>
      </w:r>
      <w:r w:rsidRPr="00F853DD">
        <w:rPr>
          <w:rFonts w:ascii="Times" w:hAnsi="Times" w:cs="Times New Roman"/>
          <w:sz w:val="23"/>
          <w:szCs w:val="23"/>
        </w:rPr>
        <w:t>(4), 579-595.</w:t>
      </w:r>
    </w:p>
    <w:p w14:paraId="07944999" w14:textId="489C6AA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 Bihan, B. and Martin, C.</w:t>
      </w:r>
      <w:r w:rsidR="00830B16" w:rsidRPr="00F853DD">
        <w:rPr>
          <w:rFonts w:ascii="Times" w:hAnsi="Times" w:cs="Times New Roman"/>
          <w:sz w:val="23"/>
          <w:szCs w:val="23"/>
        </w:rPr>
        <w:t>,</w:t>
      </w:r>
      <w:r w:rsidRPr="00F853DD">
        <w:rPr>
          <w:rFonts w:ascii="Times" w:hAnsi="Times" w:cs="Times New Roman"/>
          <w:sz w:val="23"/>
          <w:szCs w:val="23"/>
        </w:rPr>
        <w:t xml:space="preserve"> (2018). French social and long term care system. Global Social Security Review, </w:t>
      </w:r>
      <w:r w:rsidRPr="00F853DD">
        <w:rPr>
          <w:rFonts w:ascii="Times" w:hAnsi="Times" w:cs="Times New Roman"/>
          <w:i/>
          <w:sz w:val="23"/>
          <w:szCs w:val="23"/>
        </w:rPr>
        <w:t xml:space="preserve">Korean Institute for health and social affairs KIHASA </w:t>
      </w:r>
      <w:r w:rsidRPr="00F853DD">
        <w:rPr>
          <w:rFonts w:ascii="Times" w:hAnsi="Times" w:cs="Times New Roman"/>
          <w:sz w:val="23"/>
          <w:szCs w:val="23"/>
        </w:rPr>
        <w:t xml:space="preserve">[online], </w:t>
      </w:r>
      <w:r w:rsidRPr="00F853DD">
        <w:rPr>
          <w:rFonts w:ascii="Times" w:hAnsi="Times" w:cs="Times New Roman"/>
          <w:b/>
          <w:sz w:val="23"/>
          <w:szCs w:val="23"/>
        </w:rPr>
        <w:t>7</w:t>
      </w:r>
      <w:r w:rsidRPr="00F853DD">
        <w:rPr>
          <w:rFonts w:ascii="Times" w:hAnsi="Times" w:cs="Times New Roman"/>
          <w:sz w:val="23"/>
          <w:szCs w:val="23"/>
        </w:rPr>
        <w:t xml:space="preserve">, 5-15. [Viewed 17 November 2019]. Available from: https://halshs.archives-ouvertes.fr/halshs-02058183/document </w:t>
      </w:r>
    </w:p>
    <w:p w14:paraId="5ED8302C" w14:textId="33B34D5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Leduc, T.</w:t>
      </w:r>
      <w:r w:rsidR="00830B16"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World Health Rankings</w:t>
      </w:r>
      <w:r w:rsidRPr="00F853DD">
        <w:rPr>
          <w:rFonts w:ascii="Times" w:hAnsi="Times" w:cs="Times New Roman"/>
          <w:sz w:val="23"/>
          <w:szCs w:val="23"/>
        </w:rPr>
        <w:t>.</w:t>
      </w:r>
    </w:p>
    <w:p w14:paraId="26BCEDAA" w14:textId="03E70B9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Lee, Y., Tang, F., Kim, K. and Albert, S.</w:t>
      </w:r>
      <w:r w:rsidR="00830B16" w:rsidRPr="00F853DD">
        <w:rPr>
          <w:rFonts w:ascii="Times" w:hAnsi="Times" w:cs="Times New Roman"/>
          <w:sz w:val="23"/>
          <w:szCs w:val="23"/>
        </w:rPr>
        <w:t>,</w:t>
      </w:r>
      <w:r w:rsidRPr="00F853DD">
        <w:rPr>
          <w:rFonts w:ascii="Times" w:hAnsi="Times" w:cs="Times New Roman"/>
          <w:sz w:val="23"/>
          <w:szCs w:val="23"/>
        </w:rPr>
        <w:t xml:space="preserve"> (2014). The vicious cycle of parental caregiving and financial well-being: A longitudinal study of women. </w:t>
      </w:r>
      <w:r w:rsidRPr="00F853DD">
        <w:rPr>
          <w:rFonts w:ascii="Times" w:hAnsi="Times" w:cs="Times New Roman"/>
          <w:i/>
          <w:sz w:val="23"/>
          <w:szCs w:val="23"/>
        </w:rPr>
        <w:t>Journals of Gerontology Series B: Psychological Sciences and Social Sciences</w:t>
      </w:r>
      <w:r w:rsidR="006A45B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70</w:t>
      </w:r>
      <w:r w:rsidRPr="00F853DD">
        <w:rPr>
          <w:rFonts w:ascii="Times" w:hAnsi="Times" w:cs="Times New Roman"/>
          <w:sz w:val="23"/>
          <w:szCs w:val="23"/>
        </w:rPr>
        <w:t>(3), 425-431.</w:t>
      </w:r>
    </w:p>
    <w:p w14:paraId="38F658E4" w14:textId="23A21B91" w:rsidR="00DF05BD" w:rsidRPr="00F853DD" w:rsidRDefault="00972B3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Lee, J., Nam, S., Kim, A., Kim, B., Lee, M. and Lee, S.,</w:t>
      </w:r>
      <w:r w:rsidR="00DF05BD" w:rsidRPr="00F853DD">
        <w:rPr>
          <w:rFonts w:ascii="Times" w:hAnsi="Times" w:cs="Times New Roman"/>
          <w:sz w:val="23"/>
          <w:szCs w:val="23"/>
          <w:lang w:val="en-TT"/>
        </w:rPr>
        <w:t xml:space="preserve"> (2013). </w:t>
      </w:r>
      <w:r w:rsidR="00DF05BD" w:rsidRPr="00F853DD">
        <w:rPr>
          <w:rFonts w:ascii="Times" w:hAnsi="Times" w:cs="Times New Roman"/>
          <w:sz w:val="23"/>
          <w:szCs w:val="23"/>
        </w:rPr>
        <w:t xml:space="preserve">Resilience: </w:t>
      </w:r>
      <w:r w:rsidRPr="00F853DD">
        <w:rPr>
          <w:rFonts w:ascii="Times" w:hAnsi="Times" w:cs="Times New Roman"/>
          <w:sz w:val="23"/>
          <w:szCs w:val="23"/>
        </w:rPr>
        <w:t>a</w:t>
      </w:r>
      <w:r w:rsidR="00DF05BD" w:rsidRPr="00F853DD">
        <w:rPr>
          <w:rFonts w:ascii="Times" w:hAnsi="Times" w:cs="Times New Roman"/>
          <w:sz w:val="23"/>
          <w:szCs w:val="23"/>
        </w:rPr>
        <w:t xml:space="preserve"> meta-analytic approach. </w:t>
      </w:r>
      <w:r w:rsidR="00DF05BD" w:rsidRPr="00F853DD">
        <w:rPr>
          <w:rFonts w:ascii="Times" w:hAnsi="Times" w:cs="Times New Roman"/>
          <w:i/>
          <w:sz w:val="23"/>
          <w:szCs w:val="23"/>
        </w:rPr>
        <w:t>Journal of Counseling and Development</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91</w:t>
      </w:r>
      <w:r w:rsidR="00DF05BD" w:rsidRPr="00F853DD">
        <w:rPr>
          <w:rFonts w:ascii="Times" w:hAnsi="Times" w:cs="Times New Roman"/>
          <w:sz w:val="23"/>
          <w:szCs w:val="23"/>
        </w:rPr>
        <w:t>, 269-279.</w:t>
      </w:r>
    </w:p>
    <w:p w14:paraId="5DBCFD44" w14:textId="0849E08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Lee-Treweek, G. and Linkogle, S.</w:t>
      </w:r>
      <w:r w:rsidR="00972B39" w:rsidRPr="00F853DD">
        <w:rPr>
          <w:rFonts w:ascii="Times" w:hAnsi="Times" w:cs="Times New Roman"/>
          <w:sz w:val="23"/>
          <w:szCs w:val="23"/>
        </w:rPr>
        <w:t>,</w:t>
      </w:r>
      <w:r w:rsidRPr="00F853DD">
        <w:rPr>
          <w:rFonts w:ascii="Times" w:hAnsi="Times" w:cs="Times New Roman"/>
          <w:sz w:val="23"/>
          <w:szCs w:val="23"/>
        </w:rPr>
        <w:t xml:space="preserve"> (2000). </w:t>
      </w:r>
      <w:r w:rsidRPr="00F853DD">
        <w:rPr>
          <w:rFonts w:ascii="Times" w:hAnsi="Times" w:cs="Times New Roman"/>
          <w:i/>
          <w:sz w:val="23"/>
          <w:szCs w:val="23"/>
        </w:rPr>
        <w:t>Danger in the field: risk and ethics in social research</w:t>
      </w:r>
      <w:r w:rsidRPr="00F853DD">
        <w:rPr>
          <w:rFonts w:ascii="Times" w:hAnsi="Times" w:cs="Times New Roman"/>
          <w:sz w:val="23"/>
          <w:szCs w:val="23"/>
        </w:rPr>
        <w:t>. London: Routledge.</w:t>
      </w:r>
    </w:p>
    <w:p w14:paraId="364CFCC2" w14:textId="2F46EA2E" w:rsidR="00DF05BD" w:rsidRPr="00F853DD" w:rsidRDefault="00972B3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Lees, N.,</w:t>
      </w:r>
      <w:r w:rsidR="00DF05BD" w:rsidRPr="00F853DD">
        <w:rPr>
          <w:rFonts w:ascii="Times" w:hAnsi="Times" w:cs="Times New Roman"/>
          <w:sz w:val="23"/>
          <w:szCs w:val="23"/>
        </w:rPr>
        <w:t xml:space="preserve"> (2009). </w:t>
      </w:r>
      <w:r w:rsidR="00DF05BD" w:rsidRPr="00F853DD">
        <w:rPr>
          <w:rFonts w:ascii="Times" w:hAnsi="Times" w:cs="Times New Roman"/>
          <w:i/>
          <w:sz w:val="23"/>
          <w:szCs w:val="23"/>
        </w:rPr>
        <w:t xml:space="preserve">The </w:t>
      </w:r>
      <w:r w:rsidRPr="00F853DD">
        <w:rPr>
          <w:rFonts w:ascii="Times" w:hAnsi="Times" w:cs="Times New Roman"/>
          <w:i/>
          <w:sz w:val="23"/>
          <w:szCs w:val="23"/>
        </w:rPr>
        <w:t>a</w:t>
      </w:r>
      <w:r w:rsidR="00DF05BD" w:rsidRPr="00F853DD">
        <w:rPr>
          <w:rFonts w:ascii="Times" w:hAnsi="Times" w:cs="Times New Roman"/>
          <w:i/>
          <w:sz w:val="23"/>
          <w:szCs w:val="23"/>
        </w:rPr>
        <w:t xml:space="preserve">bility to </w:t>
      </w:r>
      <w:r w:rsidRPr="00F853DD">
        <w:rPr>
          <w:rFonts w:ascii="Times" w:hAnsi="Times" w:cs="Times New Roman"/>
          <w:i/>
          <w:sz w:val="23"/>
          <w:szCs w:val="23"/>
        </w:rPr>
        <w:t>b</w:t>
      </w:r>
      <w:r w:rsidR="00DF05BD" w:rsidRPr="00F853DD">
        <w:rPr>
          <w:rFonts w:ascii="Times" w:hAnsi="Times" w:cs="Times New Roman"/>
          <w:i/>
          <w:sz w:val="23"/>
          <w:szCs w:val="23"/>
        </w:rPr>
        <w:t xml:space="preserve">ounce </w:t>
      </w:r>
      <w:r w:rsidRPr="00F853DD">
        <w:rPr>
          <w:rFonts w:ascii="Times" w:hAnsi="Times" w:cs="Times New Roman"/>
          <w:i/>
          <w:sz w:val="23"/>
          <w:szCs w:val="23"/>
        </w:rPr>
        <w:t>b</w:t>
      </w:r>
      <w:r w:rsidR="00DF05BD" w:rsidRPr="00F853DD">
        <w:rPr>
          <w:rFonts w:ascii="Times" w:hAnsi="Times" w:cs="Times New Roman"/>
          <w:i/>
          <w:sz w:val="23"/>
          <w:szCs w:val="23"/>
        </w:rPr>
        <w:t xml:space="preserve">ack: </w:t>
      </w:r>
      <w:r w:rsidRPr="00F853DD">
        <w:rPr>
          <w:rFonts w:ascii="Times" w:hAnsi="Times" w:cs="Times New Roman"/>
          <w:i/>
          <w:sz w:val="23"/>
          <w:szCs w:val="23"/>
        </w:rPr>
        <w:t>t</w:t>
      </w:r>
      <w:r w:rsidR="00DF05BD" w:rsidRPr="00F853DD">
        <w:rPr>
          <w:rFonts w:ascii="Times" w:hAnsi="Times" w:cs="Times New Roman"/>
          <w:i/>
          <w:sz w:val="23"/>
          <w:szCs w:val="23"/>
        </w:rPr>
        <w:t xml:space="preserve">he </w:t>
      </w:r>
      <w:r w:rsidRPr="00F853DD">
        <w:rPr>
          <w:rFonts w:ascii="Times" w:hAnsi="Times" w:cs="Times New Roman"/>
          <w:i/>
          <w:sz w:val="23"/>
          <w:szCs w:val="23"/>
        </w:rPr>
        <w:t>r</w:t>
      </w:r>
      <w:r w:rsidR="00DF05BD" w:rsidRPr="00F853DD">
        <w:rPr>
          <w:rFonts w:ascii="Times" w:hAnsi="Times" w:cs="Times New Roman"/>
          <w:i/>
          <w:sz w:val="23"/>
          <w:szCs w:val="23"/>
        </w:rPr>
        <w:t xml:space="preserve">elationship </w:t>
      </w:r>
      <w:r w:rsidRPr="00F853DD">
        <w:rPr>
          <w:rFonts w:ascii="Times" w:hAnsi="Times" w:cs="Times New Roman"/>
          <w:i/>
          <w:sz w:val="23"/>
          <w:szCs w:val="23"/>
        </w:rPr>
        <w:t>b</w:t>
      </w:r>
      <w:r w:rsidR="00DF05BD" w:rsidRPr="00F853DD">
        <w:rPr>
          <w:rFonts w:ascii="Times" w:hAnsi="Times" w:cs="Times New Roman"/>
          <w:i/>
          <w:sz w:val="23"/>
          <w:szCs w:val="23"/>
        </w:rPr>
        <w:t xml:space="preserve">etween </w:t>
      </w:r>
      <w:r w:rsidRPr="00F853DD">
        <w:rPr>
          <w:rFonts w:ascii="Times" w:hAnsi="Times" w:cs="Times New Roman"/>
          <w:i/>
          <w:sz w:val="23"/>
          <w:szCs w:val="23"/>
        </w:rPr>
        <w:t>r</w:t>
      </w:r>
      <w:r w:rsidR="00DF05BD" w:rsidRPr="00F853DD">
        <w:rPr>
          <w:rFonts w:ascii="Times" w:hAnsi="Times" w:cs="Times New Roman"/>
          <w:i/>
          <w:sz w:val="23"/>
          <w:szCs w:val="23"/>
        </w:rPr>
        <w:t xml:space="preserve">esilience, </w:t>
      </w:r>
      <w:r w:rsidRPr="00F853DD">
        <w:rPr>
          <w:rFonts w:ascii="Times" w:hAnsi="Times" w:cs="Times New Roman"/>
          <w:i/>
          <w:sz w:val="23"/>
          <w:szCs w:val="23"/>
        </w:rPr>
        <w:t>c</w:t>
      </w:r>
      <w:r w:rsidR="00DF05BD" w:rsidRPr="00F853DD">
        <w:rPr>
          <w:rFonts w:ascii="Times" w:hAnsi="Times" w:cs="Times New Roman"/>
          <w:i/>
          <w:sz w:val="23"/>
          <w:szCs w:val="23"/>
        </w:rPr>
        <w:t xml:space="preserve">oping, and </w:t>
      </w:r>
      <w:r w:rsidRPr="00F853DD">
        <w:rPr>
          <w:rFonts w:ascii="Times" w:hAnsi="Times" w:cs="Times New Roman"/>
          <w:i/>
          <w:sz w:val="23"/>
          <w:szCs w:val="23"/>
        </w:rPr>
        <w:t>p</w:t>
      </w:r>
      <w:r w:rsidR="00DF05BD" w:rsidRPr="00F853DD">
        <w:rPr>
          <w:rFonts w:ascii="Times" w:hAnsi="Times" w:cs="Times New Roman"/>
          <w:i/>
          <w:sz w:val="23"/>
          <w:szCs w:val="23"/>
        </w:rPr>
        <w:t xml:space="preserve">ositive </w:t>
      </w:r>
      <w:r w:rsidRPr="00F853DD">
        <w:rPr>
          <w:rFonts w:ascii="Times" w:hAnsi="Times" w:cs="Times New Roman"/>
          <w:i/>
          <w:sz w:val="23"/>
          <w:szCs w:val="23"/>
        </w:rPr>
        <w:t>o</w:t>
      </w:r>
      <w:r w:rsidR="00DF05BD" w:rsidRPr="00F853DD">
        <w:rPr>
          <w:rFonts w:ascii="Times" w:hAnsi="Times" w:cs="Times New Roman"/>
          <w:i/>
          <w:sz w:val="23"/>
          <w:szCs w:val="23"/>
        </w:rPr>
        <w:t>utcomes</w:t>
      </w:r>
      <w:r w:rsidR="00DF05BD" w:rsidRPr="00F853DD">
        <w:rPr>
          <w:rFonts w:ascii="Times" w:hAnsi="Times" w:cs="Times New Roman"/>
          <w:sz w:val="23"/>
          <w:szCs w:val="23"/>
        </w:rPr>
        <w:t>.</w:t>
      </w:r>
    </w:p>
    <w:p w14:paraId="42897D43" w14:textId="6215DC35" w:rsidR="00DF05BD" w:rsidRPr="00F853DD" w:rsidRDefault="00972B3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Lefley, H</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(1997). Synthesizing the family caregiving studies: </w:t>
      </w:r>
      <w:r w:rsidRPr="00F853DD">
        <w:rPr>
          <w:rFonts w:ascii="Times" w:hAnsi="Times" w:cs="Times New Roman"/>
          <w:sz w:val="23"/>
          <w:szCs w:val="23"/>
        </w:rPr>
        <w:t>i</w:t>
      </w:r>
      <w:r w:rsidR="00DF05BD" w:rsidRPr="00F853DD">
        <w:rPr>
          <w:rFonts w:ascii="Times" w:hAnsi="Times" w:cs="Times New Roman"/>
          <w:sz w:val="23"/>
          <w:szCs w:val="23"/>
        </w:rPr>
        <w:t xml:space="preserve">mplications for service planning, social policy, and further research. </w:t>
      </w:r>
      <w:r w:rsidR="00DF05BD" w:rsidRPr="00F853DD">
        <w:rPr>
          <w:rFonts w:ascii="Times" w:hAnsi="Times" w:cs="Times New Roman"/>
          <w:i/>
          <w:sz w:val="23"/>
          <w:szCs w:val="23"/>
        </w:rPr>
        <w:t>Family Relations</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46</w:t>
      </w:r>
      <w:r w:rsidR="00DF05BD" w:rsidRPr="00F853DD">
        <w:rPr>
          <w:rFonts w:ascii="Times" w:hAnsi="Times" w:cs="Times New Roman"/>
          <w:sz w:val="23"/>
          <w:szCs w:val="23"/>
        </w:rPr>
        <w:t>, 443-450.</w:t>
      </w:r>
    </w:p>
    <w:p w14:paraId="592E1E41" w14:textId="536CB8D8" w:rsidR="00DF05BD" w:rsidRPr="00F853DD" w:rsidRDefault="00972B3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Leinonen, A.,</w:t>
      </w:r>
      <w:r w:rsidR="00DF05BD" w:rsidRPr="00F853DD">
        <w:rPr>
          <w:rFonts w:ascii="Times" w:hAnsi="Times" w:cs="Times New Roman"/>
          <w:sz w:val="23"/>
          <w:szCs w:val="23"/>
        </w:rPr>
        <w:t xml:space="preserve"> (2011). Adult children and parental care-giving: making sense of participation patterns among siblings. </w:t>
      </w:r>
      <w:r w:rsidR="00DF05BD" w:rsidRPr="00F853DD">
        <w:rPr>
          <w:rFonts w:ascii="Times" w:hAnsi="Times" w:cs="Times New Roman"/>
          <w:i/>
          <w:sz w:val="23"/>
          <w:szCs w:val="23"/>
        </w:rPr>
        <w:t>Ageing and Society</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31</w:t>
      </w:r>
      <w:r w:rsidR="00DF05BD" w:rsidRPr="00F853DD">
        <w:rPr>
          <w:rFonts w:ascii="Times" w:hAnsi="Times" w:cs="Times New Roman"/>
          <w:sz w:val="23"/>
          <w:szCs w:val="23"/>
        </w:rPr>
        <w:t>, 308-327.</w:t>
      </w:r>
    </w:p>
    <w:p w14:paraId="594B8A90" w14:textId="4051D29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Leinonen, E., K</w:t>
      </w:r>
      <w:r w:rsidR="00E154A6" w:rsidRPr="00F853DD">
        <w:rPr>
          <w:rFonts w:ascii="Times" w:hAnsi="Times" w:cs="Times New Roman"/>
          <w:sz w:val="23"/>
          <w:szCs w:val="23"/>
        </w:rPr>
        <w:t>orpisammal, L., Pulkkinen, L.</w:t>
      </w:r>
      <w:r w:rsidRPr="00F853DD">
        <w:rPr>
          <w:rFonts w:ascii="Times" w:hAnsi="Times" w:cs="Times New Roman"/>
          <w:sz w:val="23"/>
          <w:szCs w:val="23"/>
        </w:rPr>
        <w:t xml:space="preserve"> and Pukuri, T.</w:t>
      </w:r>
      <w:r w:rsidR="00E154A6" w:rsidRPr="00F853DD">
        <w:rPr>
          <w:rFonts w:ascii="Times" w:hAnsi="Times" w:cs="Times New Roman"/>
          <w:sz w:val="23"/>
          <w:szCs w:val="23"/>
        </w:rPr>
        <w:t>,</w:t>
      </w:r>
      <w:r w:rsidRPr="00F853DD">
        <w:rPr>
          <w:rFonts w:ascii="Times" w:hAnsi="Times" w:cs="Times New Roman"/>
          <w:sz w:val="23"/>
          <w:szCs w:val="23"/>
        </w:rPr>
        <w:t xml:space="preserve"> (2001). The comparison of burden between caregiving spouses of depressive and demented patients. </w:t>
      </w:r>
      <w:r w:rsidRPr="00F853DD">
        <w:rPr>
          <w:rFonts w:ascii="Times" w:hAnsi="Times" w:cs="Times New Roman"/>
          <w:i/>
          <w:sz w:val="23"/>
          <w:szCs w:val="23"/>
        </w:rPr>
        <w:t>International Journal of Geriatric Psychiatry</w:t>
      </w:r>
      <w:r w:rsidR="006A45B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387-393.</w:t>
      </w:r>
    </w:p>
    <w:p w14:paraId="420FA62E" w14:textId="380762E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Leitner, S.</w:t>
      </w:r>
      <w:r w:rsidR="00E154A6" w:rsidRPr="00F853DD">
        <w:rPr>
          <w:rFonts w:ascii="Times" w:hAnsi="Times" w:cs="Times New Roman"/>
          <w:sz w:val="23"/>
          <w:szCs w:val="23"/>
        </w:rPr>
        <w:t>,</w:t>
      </w:r>
      <w:r w:rsidRPr="00F853DD">
        <w:rPr>
          <w:rFonts w:ascii="Times" w:hAnsi="Times" w:cs="Times New Roman"/>
          <w:sz w:val="23"/>
          <w:szCs w:val="23"/>
        </w:rPr>
        <w:t xml:space="preserve"> (2003). Varieties of familialism: </w:t>
      </w:r>
      <w:r w:rsidR="00E154A6" w:rsidRPr="00F853DD">
        <w:rPr>
          <w:rFonts w:ascii="Times" w:hAnsi="Times" w:cs="Times New Roman"/>
          <w:sz w:val="23"/>
          <w:szCs w:val="23"/>
        </w:rPr>
        <w:t>t</w:t>
      </w:r>
      <w:r w:rsidRPr="00F853DD">
        <w:rPr>
          <w:rFonts w:ascii="Times" w:hAnsi="Times" w:cs="Times New Roman"/>
          <w:sz w:val="23"/>
          <w:szCs w:val="23"/>
        </w:rPr>
        <w:t xml:space="preserve">he caring function of the family in comparative perspective. European societies. </w:t>
      </w:r>
      <w:r w:rsidRPr="00F853DD">
        <w:rPr>
          <w:rFonts w:ascii="Times" w:hAnsi="Times" w:cs="Times New Roman"/>
          <w:i/>
          <w:sz w:val="23"/>
          <w:szCs w:val="23"/>
        </w:rPr>
        <w:t>The Official Journal of the European Sociological Association</w:t>
      </w:r>
      <w:r w:rsidR="006A45B3"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 353-375.</w:t>
      </w:r>
    </w:p>
    <w:p w14:paraId="6D6713D1" w14:textId="500D1B4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Leitner, S.</w:t>
      </w:r>
      <w:r w:rsidR="00E154A6" w:rsidRPr="00F853DD">
        <w:rPr>
          <w:rFonts w:ascii="Times" w:hAnsi="Times" w:cs="Times New Roman"/>
          <w:sz w:val="23"/>
          <w:szCs w:val="23"/>
        </w:rPr>
        <w:t>,</w:t>
      </w:r>
      <w:r w:rsidRPr="00F853DD">
        <w:rPr>
          <w:rFonts w:ascii="Times" w:hAnsi="Times" w:cs="Times New Roman"/>
          <w:sz w:val="23"/>
          <w:szCs w:val="23"/>
        </w:rPr>
        <w:t xml:space="preserve"> (2005). Conserva</w:t>
      </w:r>
      <w:r w:rsidR="006A45B3" w:rsidRPr="00F853DD">
        <w:rPr>
          <w:rFonts w:ascii="Times" w:hAnsi="Times" w:cs="Times New Roman"/>
          <w:sz w:val="23"/>
          <w:szCs w:val="23"/>
        </w:rPr>
        <w:t>tive familialism reconsidered: t</w:t>
      </w:r>
      <w:r w:rsidRPr="00F853DD">
        <w:rPr>
          <w:rFonts w:ascii="Times" w:hAnsi="Times" w:cs="Times New Roman"/>
          <w:sz w:val="23"/>
          <w:szCs w:val="23"/>
        </w:rPr>
        <w:t xml:space="preserve">he case of Belgium. </w:t>
      </w:r>
      <w:r w:rsidRPr="00F853DD">
        <w:rPr>
          <w:rFonts w:ascii="Times" w:hAnsi="Times" w:cs="Times New Roman"/>
          <w:i/>
          <w:sz w:val="23"/>
          <w:szCs w:val="23"/>
        </w:rPr>
        <w:t>Acta Politica</w:t>
      </w:r>
      <w:r w:rsidRPr="00F853DD">
        <w:rPr>
          <w:rFonts w:ascii="Times" w:hAnsi="Times" w:cs="Times New Roman"/>
          <w:sz w:val="23"/>
          <w:szCs w:val="23"/>
        </w:rPr>
        <w:t xml:space="preserve">, </w:t>
      </w:r>
      <w:r w:rsidRPr="00F853DD">
        <w:rPr>
          <w:rFonts w:ascii="Times" w:hAnsi="Times" w:cs="Times New Roman"/>
          <w:b/>
          <w:sz w:val="23"/>
          <w:szCs w:val="23"/>
        </w:rPr>
        <w:t>40</w:t>
      </w:r>
      <w:r w:rsidRPr="00F853DD">
        <w:rPr>
          <w:rFonts w:ascii="Times" w:hAnsi="Times" w:cs="Times New Roman"/>
          <w:sz w:val="23"/>
          <w:szCs w:val="23"/>
        </w:rPr>
        <w:t>(4), 419-439.</w:t>
      </w:r>
    </w:p>
    <w:p w14:paraId="2670225A" w14:textId="38FC153D"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de-DE"/>
        </w:rPr>
      </w:pPr>
      <w:r w:rsidRPr="00F853DD">
        <w:rPr>
          <w:rFonts w:ascii="Times" w:hAnsi="Times" w:cs="Times New Roman"/>
          <w:sz w:val="23"/>
          <w:szCs w:val="23"/>
        </w:rPr>
        <w:t>Leitner, S.</w:t>
      </w:r>
      <w:r w:rsidR="00E154A6" w:rsidRPr="00F853DD">
        <w:rPr>
          <w:rFonts w:ascii="Times" w:hAnsi="Times" w:cs="Times New Roman"/>
          <w:sz w:val="23"/>
          <w:szCs w:val="23"/>
        </w:rPr>
        <w:t>,</w:t>
      </w:r>
      <w:r w:rsidRPr="00F853DD">
        <w:rPr>
          <w:rFonts w:ascii="Times" w:hAnsi="Times" w:cs="Times New Roman"/>
          <w:sz w:val="23"/>
          <w:szCs w:val="23"/>
        </w:rPr>
        <w:t xml:space="preserve"> (20</w:t>
      </w:r>
      <w:r w:rsidR="006A45B3" w:rsidRPr="00F853DD">
        <w:rPr>
          <w:rFonts w:ascii="Times" w:hAnsi="Times" w:cs="Times New Roman"/>
          <w:sz w:val="23"/>
          <w:szCs w:val="23"/>
        </w:rPr>
        <w:t>03). Varieties of familialism: t</w:t>
      </w:r>
      <w:r w:rsidRPr="00F853DD">
        <w:rPr>
          <w:rFonts w:ascii="Times" w:hAnsi="Times" w:cs="Times New Roman"/>
          <w:sz w:val="23"/>
          <w:szCs w:val="23"/>
        </w:rPr>
        <w:t xml:space="preserve">he caring function of the family in comparative perspective. </w:t>
      </w:r>
      <w:r w:rsidRPr="00F853DD">
        <w:rPr>
          <w:rFonts w:ascii="Times" w:hAnsi="Times" w:cs="Times New Roman"/>
          <w:i/>
          <w:sz w:val="23"/>
          <w:szCs w:val="23"/>
          <w:lang w:val="de-DE"/>
        </w:rPr>
        <w:t xml:space="preserve">European </w:t>
      </w:r>
      <w:r w:rsidR="006A45B3" w:rsidRPr="00F853DD">
        <w:rPr>
          <w:rFonts w:ascii="Times" w:hAnsi="Times" w:cs="Times New Roman"/>
          <w:i/>
          <w:sz w:val="23"/>
          <w:szCs w:val="23"/>
          <w:lang w:val="de-DE"/>
        </w:rPr>
        <w:t>S</w:t>
      </w:r>
      <w:r w:rsidRPr="00F853DD">
        <w:rPr>
          <w:rFonts w:ascii="Times" w:hAnsi="Times" w:cs="Times New Roman"/>
          <w:i/>
          <w:sz w:val="23"/>
          <w:szCs w:val="23"/>
          <w:lang w:val="de-DE"/>
        </w:rPr>
        <w:t>ocieties</w:t>
      </w:r>
      <w:r w:rsidR="006A45B3" w:rsidRPr="00F853DD">
        <w:rPr>
          <w:rFonts w:ascii="Times" w:hAnsi="Times" w:cs="Times New Roman"/>
          <w:sz w:val="23"/>
          <w:szCs w:val="23"/>
          <w:lang w:val="de-DE"/>
        </w:rPr>
        <w:t>.</w:t>
      </w:r>
      <w:r w:rsidRPr="00F853DD">
        <w:rPr>
          <w:rFonts w:ascii="Times" w:hAnsi="Times" w:cs="Times New Roman"/>
          <w:sz w:val="23"/>
          <w:szCs w:val="23"/>
          <w:lang w:val="de-DE"/>
        </w:rPr>
        <w:t xml:space="preserve"> </w:t>
      </w:r>
      <w:r w:rsidRPr="00F853DD">
        <w:rPr>
          <w:rFonts w:ascii="Times" w:hAnsi="Times" w:cs="Times New Roman"/>
          <w:b/>
          <w:sz w:val="23"/>
          <w:szCs w:val="23"/>
          <w:lang w:val="de-DE"/>
        </w:rPr>
        <w:t>5</w:t>
      </w:r>
      <w:r w:rsidRPr="00F853DD">
        <w:rPr>
          <w:rFonts w:ascii="Times" w:hAnsi="Times" w:cs="Times New Roman"/>
          <w:sz w:val="23"/>
          <w:szCs w:val="23"/>
          <w:lang w:val="de-DE"/>
        </w:rPr>
        <w:t>(4), 353-375.</w:t>
      </w:r>
    </w:p>
    <w:p w14:paraId="36E2A00D" w14:textId="3B74B5E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Lehnert, T., Heuchert, M., Hussain, K. and Koenig, H.</w:t>
      </w:r>
      <w:r w:rsidR="00E154A6" w:rsidRPr="00F853DD">
        <w:rPr>
          <w:rFonts w:ascii="Times" w:hAnsi="Times" w:cs="Times New Roman"/>
          <w:sz w:val="23"/>
          <w:szCs w:val="23"/>
          <w:lang w:val="de-DE"/>
        </w:rPr>
        <w:t>,</w:t>
      </w:r>
      <w:r w:rsidRPr="00F853DD">
        <w:rPr>
          <w:rFonts w:ascii="Times" w:hAnsi="Times" w:cs="Times New Roman"/>
          <w:sz w:val="23"/>
          <w:szCs w:val="23"/>
          <w:lang w:val="de-DE"/>
        </w:rPr>
        <w:t xml:space="preserve"> (2019). </w:t>
      </w:r>
      <w:r w:rsidRPr="00F853DD">
        <w:rPr>
          <w:rFonts w:ascii="Times" w:hAnsi="Times" w:cs="Times New Roman"/>
          <w:sz w:val="23"/>
          <w:szCs w:val="23"/>
        </w:rPr>
        <w:t xml:space="preserve">Stated preferences for long-term care: </w:t>
      </w:r>
      <w:r w:rsidR="00E154A6" w:rsidRPr="00F853DD">
        <w:rPr>
          <w:rFonts w:ascii="Times" w:hAnsi="Times" w:cs="Times New Roman"/>
          <w:sz w:val="23"/>
          <w:szCs w:val="23"/>
        </w:rPr>
        <w:t>a</w:t>
      </w:r>
      <w:r w:rsidRPr="00F853DD">
        <w:rPr>
          <w:rFonts w:ascii="Times" w:hAnsi="Times" w:cs="Times New Roman"/>
          <w:sz w:val="23"/>
          <w:szCs w:val="23"/>
        </w:rPr>
        <w:t xml:space="preserve"> literature review. </w:t>
      </w:r>
      <w:r w:rsidRPr="00F853DD">
        <w:rPr>
          <w:rFonts w:ascii="Times" w:hAnsi="Times" w:cs="Times New Roman"/>
          <w:i/>
          <w:sz w:val="23"/>
          <w:szCs w:val="23"/>
        </w:rPr>
        <w:t>Ageing &amp; Society</w:t>
      </w:r>
      <w:r w:rsidR="006A45B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(9), 1873-1913.</w:t>
      </w:r>
    </w:p>
    <w:p w14:paraId="2F22E5E5" w14:textId="69106AC3" w:rsidR="00DF05BD" w:rsidRPr="00F853DD" w:rsidRDefault="00E154A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Lendon, J.,</w:t>
      </w:r>
      <w:r w:rsidR="00DF05BD" w:rsidRPr="00F853DD">
        <w:rPr>
          <w:rFonts w:ascii="Times" w:hAnsi="Times" w:cs="Times New Roman"/>
          <w:sz w:val="23"/>
          <w:szCs w:val="23"/>
        </w:rPr>
        <w:t xml:space="preserve"> (2017). A decade of love and hate: trajectories of intergenerational ambivalence experienced by two cohorts of older parents and adult children. </w:t>
      </w:r>
      <w:r w:rsidR="00DF05BD" w:rsidRPr="00F853DD">
        <w:rPr>
          <w:rFonts w:ascii="Times" w:hAnsi="Times" w:cs="Times New Roman"/>
          <w:i/>
          <w:sz w:val="23"/>
          <w:szCs w:val="23"/>
        </w:rPr>
        <w:t>Journal of Family Issues</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38</w:t>
      </w:r>
      <w:r w:rsidR="00DF05BD" w:rsidRPr="00F853DD">
        <w:rPr>
          <w:rFonts w:ascii="Times" w:hAnsi="Times" w:cs="Times New Roman"/>
          <w:sz w:val="23"/>
          <w:szCs w:val="23"/>
        </w:rPr>
        <w:t>, 336-357.</w:t>
      </w:r>
    </w:p>
    <w:p w14:paraId="68DA4D7E" w14:textId="6AFB8079" w:rsidR="00DF05BD" w:rsidRPr="00F853DD" w:rsidRDefault="00E154A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Lendon, J.</w:t>
      </w:r>
      <w:r w:rsidR="00DF05BD" w:rsidRPr="00F853DD">
        <w:rPr>
          <w:rFonts w:ascii="Times" w:hAnsi="Times" w:cs="Times New Roman"/>
          <w:sz w:val="23"/>
          <w:szCs w:val="23"/>
        </w:rPr>
        <w:t>, Silverstein, M. and Giarrusso, R.</w:t>
      </w:r>
      <w:r w:rsidRPr="00F853DD">
        <w:rPr>
          <w:rFonts w:ascii="Times" w:hAnsi="Times" w:cs="Times New Roman"/>
          <w:sz w:val="23"/>
          <w:szCs w:val="23"/>
        </w:rPr>
        <w:t>,</w:t>
      </w:r>
      <w:r w:rsidR="00DF05BD" w:rsidRPr="00F853DD">
        <w:rPr>
          <w:rFonts w:ascii="Times" w:hAnsi="Times" w:cs="Times New Roman"/>
          <w:sz w:val="23"/>
          <w:szCs w:val="23"/>
        </w:rPr>
        <w:t xml:space="preserve"> (2014). Ambivalence in older parent-adult child relationships: mixed feelings, mixed measures</w:t>
      </w:r>
      <w:r w:rsidR="00DF05BD" w:rsidRPr="00F853DD">
        <w:rPr>
          <w:rFonts w:ascii="Times" w:hAnsi="Times" w:cs="Times New Roman"/>
          <w:i/>
          <w:sz w:val="23"/>
          <w:szCs w:val="23"/>
        </w:rPr>
        <w:t>. Journal of Marriage and Family</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76</w:t>
      </w:r>
      <w:r w:rsidR="00DF05BD" w:rsidRPr="00F853DD">
        <w:rPr>
          <w:rFonts w:ascii="Times" w:hAnsi="Times" w:cs="Times New Roman"/>
          <w:sz w:val="23"/>
          <w:szCs w:val="23"/>
        </w:rPr>
        <w:t>, 272-284.</w:t>
      </w:r>
    </w:p>
    <w:p w14:paraId="19DBC9AC" w14:textId="44D261B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Leopold, T. and Raab, M.</w:t>
      </w:r>
      <w:r w:rsidR="00E154A6" w:rsidRPr="00F853DD">
        <w:rPr>
          <w:rFonts w:ascii="Times" w:hAnsi="Times" w:cs="Times New Roman"/>
          <w:sz w:val="23"/>
          <w:szCs w:val="23"/>
        </w:rPr>
        <w:t>,</w:t>
      </w:r>
      <w:r w:rsidRPr="00F853DD">
        <w:rPr>
          <w:rFonts w:ascii="Times" w:hAnsi="Times" w:cs="Times New Roman"/>
          <w:sz w:val="23"/>
          <w:szCs w:val="23"/>
        </w:rPr>
        <w:t xml:space="preserve"> (2013). The temporal structure of intergenerational exchange: </w:t>
      </w:r>
      <w:r w:rsidR="00E154A6" w:rsidRPr="00F853DD">
        <w:rPr>
          <w:rFonts w:ascii="Times" w:hAnsi="Times" w:cs="Times New Roman"/>
          <w:sz w:val="23"/>
          <w:szCs w:val="23"/>
        </w:rPr>
        <w:t>a</w:t>
      </w:r>
      <w:r w:rsidRPr="00F853DD">
        <w:rPr>
          <w:rFonts w:ascii="Times" w:hAnsi="Times" w:cs="Times New Roman"/>
          <w:sz w:val="23"/>
          <w:szCs w:val="23"/>
        </w:rPr>
        <w:t xml:space="preserve"> within-family analysis of parent-child reciprocity. </w:t>
      </w:r>
      <w:r w:rsidRPr="00F853DD">
        <w:rPr>
          <w:rFonts w:ascii="Times" w:hAnsi="Times" w:cs="Times New Roman"/>
          <w:i/>
          <w:sz w:val="23"/>
          <w:szCs w:val="23"/>
        </w:rPr>
        <w:t>Journal of Aging Studies</w:t>
      </w:r>
      <w:r w:rsidR="006A45B3"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 252-263.</w:t>
      </w:r>
    </w:p>
    <w:p w14:paraId="1FD4785E" w14:textId="4DD5B74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Leopold, T., Raab, M. and Engelhardt, H.</w:t>
      </w:r>
      <w:r w:rsidR="00E154A6" w:rsidRPr="00F853DD">
        <w:rPr>
          <w:rFonts w:ascii="Times" w:hAnsi="Times" w:cs="Times New Roman"/>
          <w:sz w:val="23"/>
          <w:szCs w:val="23"/>
        </w:rPr>
        <w:t>,</w:t>
      </w:r>
      <w:r w:rsidRPr="00F853DD">
        <w:rPr>
          <w:rFonts w:ascii="Times" w:hAnsi="Times" w:cs="Times New Roman"/>
          <w:sz w:val="23"/>
          <w:szCs w:val="23"/>
        </w:rPr>
        <w:t xml:space="preserve"> (2014). The transition to parent care: costs, commitments, and caregiver selection among children. </w:t>
      </w:r>
      <w:r w:rsidRPr="00F853DD">
        <w:rPr>
          <w:rFonts w:ascii="Times" w:hAnsi="Times" w:cs="Times New Roman"/>
          <w:i/>
          <w:sz w:val="23"/>
          <w:szCs w:val="23"/>
        </w:rPr>
        <w:t>Journal of Marriage and Family</w:t>
      </w:r>
      <w:r w:rsidR="006A45B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76</w:t>
      </w:r>
      <w:r w:rsidRPr="00F853DD">
        <w:rPr>
          <w:rFonts w:ascii="Times" w:hAnsi="Times" w:cs="Times New Roman"/>
          <w:sz w:val="23"/>
          <w:szCs w:val="23"/>
        </w:rPr>
        <w:t>, 300-318.</w:t>
      </w:r>
    </w:p>
    <w:p w14:paraId="351A806C" w14:textId="2E2EC6C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Lepore, M.</w:t>
      </w:r>
      <w:r w:rsidR="00E154A6" w:rsidRPr="00F853DD">
        <w:rPr>
          <w:rFonts w:ascii="Times" w:hAnsi="Times" w:cs="Times New Roman"/>
          <w:sz w:val="23"/>
          <w:szCs w:val="23"/>
        </w:rPr>
        <w:t>,</w:t>
      </w:r>
      <w:r w:rsidRPr="00F853DD">
        <w:rPr>
          <w:rFonts w:ascii="Times" w:hAnsi="Times" w:cs="Times New Roman"/>
          <w:sz w:val="23"/>
          <w:szCs w:val="23"/>
        </w:rPr>
        <w:t xml:space="preserve"> (2008). </w:t>
      </w:r>
      <w:r w:rsidRPr="00F853DD">
        <w:rPr>
          <w:rFonts w:ascii="Times" w:hAnsi="Times" w:cs="Times New Roman"/>
          <w:i/>
          <w:sz w:val="23"/>
          <w:szCs w:val="23"/>
        </w:rPr>
        <w:t>Care workers' motivations for employment in long-term care, assisted living, and particular facilities: reconciling inconsistent values</w:t>
      </w:r>
      <w:r w:rsidRPr="00F853DD">
        <w:rPr>
          <w:rFonts w:ascii="Times" w:hAnsi="Times" w:cs="Times New Roman"/>
          <w:sz w:val="23"/>
          <w:szCs w:val="23"/>
        </w:rPr>
        <w:t>. Georgia State University.</w:t>
      </w:r>
    </w:p>
    <w:p w14:paraId="54BD73A5" w14:textId="05F3AB1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Lesch, A.</w:t>
      </w:r>
      <w:r w:rsidR="00E154A6" w:rsidRPr="00F853DD">
        <w:rPr>
          <w:rFonts w:ascii="Times" w:hAnsi="Times" w:cs="Times New Roman"/>
          <w:sz w:val="23"/>
          <w:szCs w:val="23"/>
        </w:rPr>
        <w:t>,</w:t>
      </w:r>
      <w:r w:rsidRPr="00F853DD">
        <w:rPr>
          <w:rFonts w:ascii="Times" w:hAnsi="Times" w:cs="Times New Roman"/>
          <w:sz w:val="23"/>
          <w:szCs w:val="23"/>
        </w:rPr>
        <w:t xml:space="preserve"> (2019). </w:t>
      </w:r>
      <w:r w:rsidRPr="00F853DD">
        <w:rPr>
          <w:rFonts w:ascii="Times" w:hAnsi="Times" w:cs="Times New Roman"/>
          <w:i/>
          <w:sz w:val="23"/>
          <w:szCs w:val="23"/>
        </w:rPr>
        <w:t>Changing welfare states? A comparative study between Germany and Japan regarding long term care insurance policies between 1990 and 2018</w:t>
      </w:r>
      <w:r w:rsidR="006A45B3" w:rsidRPr="00F853DD">
        <w:rPr>
          <w:rFonts w:ascii="Times" w:hAnsi="Times" w:cs="Times New Roman"/>
          <w:sz w:val="23"/>
          <w:szCs w:val="23"/>
        </w:rPr>
        <w:t>. Bachelor’</w:t>
      </w:r>
      <w:r w:rsidRPr="00F853DD">
        <w:rPr>
          <w:rFonts w:ascii="Times" w:hAnsi="Times" w:cs="Times New Roman"/>
          <w:sz w:val="23"/>
          <w:szCs w:val="23"/>
        </w:rPr>
        <w:t>s thesis, University of Twente.</w:t>
      </w:r>
    </w:p>
    <w:p w14:paraId="030A5491" w14:textId="7297099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Levine, C.</w:t>
      </w:r>
      <w:r w:rsidR="00E154A6" w:rsidRPr="00F853DD">
        <w:rPr>
          <w:rFonts w:ascii="Times" w:hAnsi="Times" w:cs="Times New Roman"/>
          <w:sz w:val="23"/>
          <w:szCs w:val="23"/>
        </w:rPr>
        <w:t>,</w:t>
      </w:r>
      <w:r w:rsidRPr="00F853DD">
        <w:rPr>
          <w:rFonts w:ascii="Times" w:hAnsi="Times" w:cs="Times New Roman"/>
          <w:sz w:val="23"/>
          <w:szCs w:val="23"/>
        </w:rPr>
        <w:t xml:space="preserve"> (1999). The loneliness of the long-term care giver</w:t>
      </w:r>
      <w:r w:rsidRPr="00F853DD">
        <w:rPr>
          <w:rFonts w:ascii="Times" w:hAnsi="Times" w:cs="Times New Roman"/>
          <w:i/>
          <w:sz w:val="23"/>
          <w:szCs w:val="23"/>
        </w:rPr>
        <w:t>. The New England Journal of Medicine</w:t>
      </w:r>
      <w:r w:rsidR="006A45B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340</w:t>
      </w:r>
      <w:r w:rsidRPr="00F853DD">
        <w:rPr>
          <w:rFonts w:ascii="Times" w:hAnsi="Times" w:cs="Times New Roman"/>
          <w:sz w:val="23"/>
          <w:szCs w:val="23"/>
        </w:rPr>
        <w:t>, 1587-1590.</w:t>
      </w:r>
    </w:p>
    <w:p w14:paraId="3E5AE710" w14:textId="5D4B6E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Levine, C., Halper,</w:t>
      </w:r>
      <w:r w:rsidR="00E154A6" w:rsidRPr="00F853DD">
        <w:rPr>
          <w:rFonts w:ascii="Times" w:hAnsi="Times" w:cs="Times New Roman"/>
          <w:sz w:val="23"/>
          <w:szCs w:val="23"/>
          <w:lang w:val="en-TT"/>
        </w:rPr>
        <w:t xml:space="preserve"> D., Peist, A. and Gould, D., </w:t>
      </w:r>
      <w:r w:rsidRPr="00F853DD">
        <w:rPr>
          <w:rFonts w:ascii="Times" w:hAnsi="Times" w:cs="Times New Roman"/>
          <w:sz w:val="23"/>
          <w:szCs w:val="23"/>
          <w:lang w:val="en-TT"/>
        </w:rPr>
        <w:t xml:space="preserve">2010. </w:t>
      </w:r>
      <w:r w:rsidRPr="00F853DD">
        <w:rPr>
          <w:rFonts w:ascii="Times" w:hAnsi="Times" w:cs="Times New Roman"/>
          <w:sz w:val="23"/>
          <w:szCs w:val="23"/>
        </w:rPr>
        <w:t xml:space="preserve">Bridging troubled waters: family caregivers, transitions, and long-term care. </w:t>
      </w:r>
      <w:r w:rsidRPr="00F853DD">
        <w:rPr>
          <w:rFonts w:ascii="Times" w:hAnsi="Times" w:cs="Times New Roman"/>
          <w:i/>
          <w:sz w:val="23"/>
          <w:szCs w:val="23"/>
        </w:rPr>
        <w:t>Health Affairs</w:t>
      </w:r>
      <w:r w:rsidR="006A45B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116-124.</w:t>
      </w:r>
    </w:p>
    <w:p w14:paraId="405F26FC" w14:textId="17F42C5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Levkoff, </w:t>
      </w:r>
      <w:r w:rsidR="00E154A6" w:rsidRPr="00F853DD">
        <w:rPr>
          <w:rFonts w:ascii="Times" w:hAnsi="Times" w:cs="Times New Roman"/>
          <w:sz w:val="23"/>
          <w:szCs w:val="23"/>
        </w:rPr>
        <w:t>S., Levy, B. and Weitzman, P.,</w:t>
      </w:r>
      <w:r w:rsidRPr="00F853DD">
        <w:rPr>
          <w:rFonts w:ascii="Times" w:hAnsi="Times" w:cs="Times New Roman"/>
          <w:sz w:val="23"/>
          <w:szCs w:val="23"/>
        </w:rPr>
        <w:t xml:space="preserve"> (1999). The role of religion and ethnicity in the help seeking of family care</w:t>
      </w:r>
      <w:r w:rsidR="006A45B3" w:rsidRPr="00F853DD">
        <w:rPr>
          <w:rFonts w:ascii="Times" w:hAnsi="Times" w:cs="Times New Roman"/>
          <w:sz w:val="23"/>
          <w:szCs w:val="23"/>
        </w:rPr>
        <w:t>givers of elders with Alzheimer’</w:t>
      </w:r>
      <w:r w:rsidRPr="00F853DD">
        <w:rPr>
          <w:rFonts w:ascii="Times" w:hAnsi="Times" w:cs="Times New Roman"/>
          <w:sz w:val="23"/>
          <w:szCs w:val="23"/>
        </w:rPr>
        <w:t xml:space="preserve">s disease and related disorders. </w:t>
      </w:r>
      <w:r w:rsidRPr="00F853DD">
        <w:rPr>
          <w:rFonts w:ascii="Times" w:hAnsi="Times" w:cs="Times New Roman"/>
          <w:i/>
          <w:sz w:val="23"/>
          <w:szCs w:val="23"/>
        </w:rPr>
        <w:t>Journal of Cross-Cultural Gerontology</w:t>
      </w:r>
      <w:r w:rsidR="006A45B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335-356.</w:t>
      </w:r>
    </w:p>
    <w:p w14:paraId="1D6757AF" w14:textId="402E0B8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Lewinter, M.</w:t>
      </w:r>
      <w:r w:rsidR="00E154A6" w:rsidRPr="00F853DD">
        <w:rPr>
          <w:rFonts w:ascii="Times" w:hAnsi="Times" w:cs="Times New Roman"/>
          <w:sz w:val="23"/>
          <w:szCs w:val="23"/>
        </w:rPr>
        <w:t>,</w:t>
      </w:r>
      <w:r w:rsidRPr="00F853DD">
        <w:rPr>
          <w:rFonts w:ascii="Times" w:hAnsi="Times" w:cs="Times New Roman"/>
          <w:sz w:val="23"/>
          <w:szCs w:val="23"/>
        </w:rPr>
        <w:t xml:space="preserve"> (2003). Reciprocities in caregiving relationships in Danish elder care. </w:t>
      </w:r>
      <w:r w:rsidRPr="00F853DD">
        <w:rPr>
          <w:rFonts w:ascii="Times" w:hAnsi="Times" w:cs="Times New Roman"/>
          <w:i/>
          <w:sz w:val="23"/>
          <w:szCs w:val="23"/>
        </w:rPr>
        <w:t>Journal of Aging studies</w:t>
      </w:r>
      <w:r w:rsidR="006A45B3"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17</w:t>
      </w:r>
      <w:r w:rsidRPr="00F853DD">
        <w:rPr>
          <w:rFonts w:ascii="Times" w:hAnsi="Times" w:cs="Times New Roman"/>
          <w:sz w:val="23"/>
          <w:szCs w:val="23"/>
        </w:rPr>
        <w:t>(3), 357-377.</w:t>
      </w:r>
    </w:p>
    <w:p w14:paraId="209B88A7" w14:textId="7DD9C16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Lewis, J.</w:t>
      </w:r>
      <w:r w:rsidR="00E154A6" w:rsidRPr="00F853DD">
        <w:rPr>
          <w:rFonts w:ascii="Times" w:hAnsi="Times" w:cs="Times New Roman"/>
          <w:sz w:val="23"/>
          <w:szCs w:val="23"/>
        </w:rPr>
        <w:t>,</w:t>
      </w:r>
      <w:r w:rsidRPr="00F853DD">
        <w:rPr>
          <w:rFonts w:ascii="Times" w:hAnsi="Times" w:cs="Times New Roman"/>
          <w:sz w:val="23"/>
          <w:szCs w:val="23"/>
        </w:rPr>
        <w:t xml:space="preserve"> (1992). Gender and the development of welfare regimes [online]. </w:t>
      </w:r>
      <w:r w:rsidRPr="00F853DD">
        <w:rPr>
          <w:rFonts w:ascii="Times" w:hAnsi="Times" w:cs="Times New Roman"/>
          <w:i/>
          <w:sz w:val="23"/>
          <w:szCs w:val="23"/>
        </w:rPr>
        <w:t>Journal of European Social Policy</w:t>
      </w:r>
      <w:r w:rsidR="006A45B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w:t>
      </w:r>
      <w:r w:rsidRPr="00F853DD">
        <w:rPr>
          <w:rFonts w:ascii="Times" w:hAnsi="Times" w:cs="Times New Roman"/>
          <w:sz w:val="23"/>
          <w:szCs w:val="23"/>
        </w:rPr>
        <w:t>.</w:t>
      </w:r>
    </w:p>
    <w:p w14:paraId="09D62B5D" w14:textId="512BF4EA" w:rsidR="00DF05BD" w:rsidRPr="00F853DD" w:rsidRDefault="00E154A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Li, H., Stewart, B., Imle, M., Archbold, P.</w:t>
      </w:r>
      <w:r w:rsidR="00DF05BD" w:rsidRPr="00F853DD">
        <w:rPr>
          <w:rFonts w:ascii="Times" w:hAnsi="Times" w:cs="Times New Roman"/>
          <w:sz w:val="23"/>
          <w:szCs w:val="23"/>
          <w:lang w:val="en-TT"/>
        </w:rPr>
        <w:t xml:space="preserve"> and Felver, L.</w:t>
      </w:r>
      <w:r w:rsidRPr="00F853DD">
        <w:rPr>
          <w:rFonts w:ascii="Times" w:hAnsi="Times" w:cs="Times New Roman"/>
          <w:sz w:val="23"/>
          <w:szCs w:val="23"/>
          <w:lang w:val="en-TT"/>
        </w:rPr>
        <w:t>,</w:t>
      </w:r>
      <w:r w:rsidR="00DF05BD" w:rsidRPr="00F853DD">
        <w:rPr>
          <w:rFonts w:ascii="Times" w:hAnsi="Times" w:cs="Times New Roman"/>
          <w:sz w:val="23"/>
          <w:szCs w:val="23"/>
          <w:lang w:val="en-TT"/>
        </w:rPr>
        <w:t xml:space="preserve"> (2000). </w:t>
      </w:r>
      <w:r w:rsidR="00DF05BD" w:rsidRPr="00F853DD">
        <w:rPr>
          <w:rFonts w:ascii="Times" w:hAnsi="Times" w:cs="Times New Roman"/>
          <w:sz w:val="23"/>
          <w:szCs w:val="23"/>
        </w:rPr>
        <w:t xml:space="preserve">Families and hospitalized elders: </w:t>
      </w:r>
      <w:r w:rsidRPr="00F853DD">
        <w:rPr>
          <w:rFonts w:ascii="Times" w:hAnsi="Times" w:cs="Times New Roman"/>
          <w:sz w:val="23"/>
          <w:szCs w:val="23"/>
        </w:rPr>
        <w:t>a</w:t>
      </w:r>
      <w:r w:rsidR="00DF05BD" w:rsidRPr="00F853DD">
        <w:rPr>
          <w:rFonts w:ascii="Times" w:hAnsi="Times" w:cs="Times New Roman"/>
          <w:sz w:val="23"/>
          <w:szCs w:val="23"/>
        </w:rPr>
        <w:t xml:space="preserve"> typology of family care actions. </w:t>
      </w:r>
      <w:r w:rsidR="00DF05BD" w:rsidRPr="00F853DD">
        <w:rPr>
          <w:rFonts w:ascii="Times" w:hAnsi="Times" w:cs="Times New Roman"/>
          <w:i/>
          <w:sz w:val="23"/>
          <w:szCs w:val="23"/>
        </w:rPr>
        <w:t>Research in Nursing and Health</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23</w:t>
      </w:r>
      <w:r w:rsidR="00DF05BD" w:rsidRPr="00F853DD">
        <w:rPr>
          <w:rFonts w:ascii="Times" w:hAnsi="Times" w:cs="Times New Roman"/>
          <w:sz w:val="23"/>
          <w:szCs w:val="23"/>
        </w:rPr>
        <w:t>, 3-16.</w:t>
      </w:r>
    </w:p>
    <w:p w14:paraId="784A4734" w14:textId="29317A7A"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 L.</w:t>
      </w:r>
      <w:r w:rsidR="00DF05BD" w:rsidRPr="00F853DD">
        <w:rPr>
          <w:rFonts w:ascii="Times" w:hAnsi="Times" w:cs="Times New Roman"/>
          <w:sz w:val="23"/>
          <w:szCs w:val="23"/>
        </w:rPr>
        <w:t>, Long, Y., Essex, E., Sui, Y. and Gao, L.</w:t>
      </w:r>
      <w:r w:rsidRPr="00F853DD">
        <w:rPr>
          <w:rFonts w:ascii="Times" w:hAnsi="Times" w:cs="Times New Roman"/>
          <w:sz w:val="23"/>
          <w:szCs w:val="23"/>
        </w:rPr>
        <w:t>,</w:t>
      </w:r>
      <w:r w:rsidR="00DF05BD" w:rsidRPr="00F853DD">
        <w:rPr>
          <w:rFonts w:ascii="Times" w:hAnsi="Times" w:cs="Times New Roman"/>
          <w:sz w:val="23"/>
          <w:szCs w:val="23"/>
        </w:rPr>
        <w:t xml:space="preserve"> (2012). Elderly Chin</w:t>
      </w:r>
      <w:r w:rsidR="006A45B3" w:rsidRPr="00F853DD">
        <w:rPr>
          <w:rFonts w:ascii="Times" w:hAnsi="Times" w:cs="Times New Roman"/>
          <w:sz w:val="23"/>
          <w:szCs w:val="23"/>
        </w:rPr>
        <w:t>ese and their family caregivers’</w:t>
      </w:r>
      <w:r w:rsidR="00DF05BD" w:rsidRPr="00F853DD">
        <w:rPr>
          <w:rFonts w:ascii="Times" w:hAnsi="Times" w:cs="Times New Roman"/>
          <w:sz w:val="23"/>
          <w:szCs w:val="23"/>
        </w:rPr>
        <w:t xml:space="preserve"> perceptions of good care: a qualitative study in Shandong, China. </w:t>
      </w:r>
      <w:r w:rsidR="00DF05BD" w:rsidRPr="00F853DD">
        <w:rPr>
          <w:rFonts w:ascii="Times" w:hAnsi="Times" w:cs="Times New Roman"/>
          <w:i/>
          <w:sz w:val="23"/>
          <w:szCs w:val="23"/>
        </w:rPr>
        <w:t>Journal of Gerontological Social Work</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55</w:t>
      </w:r>
      <w:r w:rsidR="00DF05BD" w:rsidRPr="00F853DD">
        <w:rPr>
          <w:rFonts w:ascii="Times" w:hAnsi="Times" w:cs="Times New Roman"/>
          <w:sz w:val="23"/>
          <w:szCs w:val="23"/>
        </w:rPr>
        <w:t>, 609-25.</w:t>
      </w:r>
    </w:p>
    <w:p w14:paraId="549A8D7A" w14:textId="7431B5ED"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 T., Fok, H. and Fung, H</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(2011). Is reciprocity always beneficial? Age differences in the association between support balance and life satisfaction. </w:t>
      </w:r>
      <w:r w:rsidR="00DF05BD" w:rsidRPr="00F853DD">
        <w:rPr>
          <w:rFonts w:ascii="Times" w:hAnsi="Times" w:cs="Times New Roman"/>
          <w:i/>
          <w:sz w:val="23"/>
          <w:szCs w:val="23"/>
        </w:rPr>
        <w:t>Aging and Mental Health</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15</w:t>
      </w:r>
      <w:r w:rsidR="00DF05BD" w:rsidRPr="00F853DD">
        <w:rPr>
          <w:rFonts w:ascii="Times" w:hAnsi="Times" w:cs="Times New Roman"/>
          <w:sz w:val="23"/>
          <w:szCs w:val="23"/>
        </w:rPr>
        <w:t>, 541-547.</w:t>
      </w:r>
    </w:p>
    <w:p w14:paraId="48325743" w14:textId="23EABB55"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Lieberman, M., Prock, V. and Tobin, S</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(1968). Psychological effects of institutionalization. </w:t>
      </w:r>
      <w:r w:rsidR="00DF05BD" w:rsidRPr="00F853DD">
        <w:rPr>
          <w:rFonts w:ascii="Times" w:hAnsi="Times" w:cs="Times New Roman"/>
          <w:i/>
          <w:sz w:val="23"/>
          <w:szCs w:val="23"/>
        </w:rPr>
        <w:t>Journal of Gerontology</w:t>
      </w:r>
      <w:r w:rsidR="006A45B3" w:rsidRPr="00F853DD">
        <w:rPr>
          <w:rFonts w:ascii="Times" w:hAnsi="Times" w:cs="Times New Roman"/>
          <w:sz w:val="23"/>
          <w:szCs w:val="23"/>
        </w:rPr>
        <w:t>.</w:t>
      </w:r>
      <w:r w:rsidR="00DF05BD" w:rsidRPr="00F853DD">
        <w:rPr>
          <w:rFonts w:ascii="Times" w:hAnsi="Times" w:cs="Times New Roman"/>
          <w:sz w:val="23"/>
          <w:szCs w:val="23"/>
        </w:rPr>
        <w:t> </w:t>
      </w:r>
      <w:r w:rsidR="00DF05BD" w:rsidRPr="00F853DD">
        <w:rPr>
          <w:rFonts w:ascii="Times" w:hAnsi="Times" w:cs="Times New Roman"/>
          <w:b/>
          <w:sz w:val="23"/>
          <w:szCs w:val="23"/>
        </w:rPr>
        <w:t>23</w:t>
      </w:r>
      <w:r w:rsidR="00DF05BD" w:rsidRPr="00F853DD">
        <w:rPr>
          <w:rFonts w:ascii="Times" w:hAnsi="Times" w:cs="Times New Roman"/>
          <w:sz w:val="23"/>
          <w:szCs w:val="23"/>
        </w:rPr>
        <w:t>(3), 343-353. </w:t>
      </w:r>
    </w:p>
    <w:p w14:paraId="4E4A8C4A" w14:textId="507E2FEF"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 xml:space="preserve">Lien, Y. and Huang, H., </w:t>
      </w:r>
      <w:r w:rsidR="00DF05BD" w:rsidRPr="00F853DD">
        <w:rPr>
          <w:rFonts w:ascii="Times" w:hAnsi="Times" w:cs="Times New Roman"/>
          <w:sz w:val="23"/>
          <w:szCs w:val="23"/>
        </w:rPr>
        <w:t xml:space="preserve">(2017). Challenges in intergenerational caregiving for frail older people: </w:t>
      </w:r>
      <w:r w:rsidR="006A45B3" w:rsidRPr="00F853DD">
        <w:rPr>
          <w:rFonts w:ascii="Times" w:hAnsi="Times" w:cs="Times New Roman"/>
          <w:sz w:val="23"/>
          <w:szCs w:val="23"/>
        </w:rPr>
        <w:t>a</w:t>
      </w:r>
      <w:r w:rsidR="00DF05BD" w:rsidRPr="00F853DD">
        <w:rPr>
          <w:rFonts w:ascii="Times" w:hAnsi="Times" w:cs="Times New Roman"/>
          <w:sz w:val="23"/>
          <w:szCs w:val="23"/>
        </w:rPr>
        <w:t xml:space="preserve"> multiple case study. </w:t>
      </w:r>
      <w:r w:rsidR="00DF05BD" w:rsidRPr="00F853DD">
        <w:rPr>
          <w:rFonts w:ascii="Times" w:hAnsi="Times" w:cs="Times New Roman"/>
          <w:i/>
          <w:sz w:val="23"/>
          <w:szCs w:val="23"/>
        </w:rPr>
        <w:t>Nursing and Health Sciences</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 81-87.</w:t>
      </w:r>
    </w:p>
    <w:p w14:paraId="1CF4E2C1" w14:textId="246B2227"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Lilly, M., Robinson, C.</w:t>
      </w:r>
      <w:r w:rsidR="00DF05BD" w:rsidRPr="00F853DD">
        <w:rPr>
          <w:rFonts w:ascii="Times" w:hAnsi="Times" w:cs="Times New Roman"/>
          <w:sz w:val="23"/>
          <w:szCs w:val="23"/>
        </w:rPr>
        <w:t xml:space="preserve">, </w:t>
      </w:r>
      <w:r w:rsidRPr="00F853DD">
        <w:rPr>
          <w:rFonts w:ascii="Times" w:hAnsi="Times" w:cs="Times New Roman"/>
          <w:sz w:val="23"/>
          <w:szCs w:val="23"/>
        </w:rPr>
        <w:t>Holtzman, S. and Bottorff, J.,</w:t>
      </w:r>
      <w:r w:rsidR="00DF05BD" w:rsidRPr="00F853DD">
        <w:rPr>
          <w:rFonts w:ascii="Times" w:hAnsi="Times" w:cs="Times New Roman"/>
          <w:sz w:val="23"/>
          <w:szCs w:val="23"/>
        </w:rPr>
        <w:t xml:space="preserve"> (2012). Can we move beyond burden and burnout to support the health and wellness of family caregivers to persons with dementia? Evidence from British Columbia, Canada. </w:t>
      </w:r>
      <w:r w:rsidR="00DF05BD" w:rsidRPr="00F853DD">
        <w:rPr>
          <w:rFonts w:ascii="Times" w:hAnsi="Times" w:cs="Times New Roman"/>
          <w:i/>
          <w:sz w:val="23"/>
          <w:szCs w:val="23"/>
        </w:rPr>
        <w:t>Health and Social Care in the Community</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20</w:t>
      </w:r>
      <w:r w:rsidR="00DF05BD" w:rsidRPr="00F853DD">
        <w:rPr>
          <w:rFonts w:ascii="Times" w:hAnsi="Times" w:cs="Times New Roman"/>
          <w:sz w:val="23"/>
          <w:szCs w:val="23"/>
        </w:rPr>
        <w:t>, 103-112.</w:t>
      </w:r>
    </w:p>
    <w:p w14:paraId="79ABC0DB" w14:textId="402617D4"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Lim, L. and Kua, E.,</w:t>
      </w:r>
      <w:r w:rsidR="00DF05BD" w:rsidRPr="00F853DD">
        <w:rPr>
          <w:rFonts w:ascii="Times" w:hAnsi="Times" w:cs="Times New Roman"/>
          <w:sz w:val="23"/>
          <w:szCs w:val="23"/>
        </w:rPr>
        <w:t xml:space="preserve"> (2011). Living alone, loneliness, and psychological well-being of older persons in Singapore. </w:t>
      </w:r>
      <w:r w:rsidR="00DF05BD" w:rsidRPr="00F853DD">
        <w:rPr>
          <w:rFonts w:ascii="Times" w:hAnsi="Times" w:cs="Times New Roman"/>
          <w:i/>
          <w:sz w:val="23"/>
          <w:szCs w:val="23"/>
        </w:rPr>
        <w:t>Current Gerontology</w:t>
      </w:r>
      <w:r w:rsidR="00DF05BD" w:rsidRPr="00F853DD">
        <w:rPr>
          <w:rFonts w:ascii="Times" w:hAnsi="Times" w:cs="Times New Roman"/>
          <w:sz w:val="23"/>
          <w:szCs w:val="23"/>
        </w:rPr>
        <w:t xml:space="preserve"> </w:t>
      </w:r>
      <w:r w:rsidR="00DF05BD" w:rsidRPr="00F853DD">
        <w:rPr>
          <w:rFonts w:ascii="Times" w:hAnsi="Times" w:cs="Times New Roman"/>
          <w:i/>
          <w:sz w:val="23"/>
          <w:szCs w:val="23"/>
        </w:rPr>
        <w:t>and Geriatrics Research</w:t>
      </w:r>
      <w:r w:rsidR="006A45B3" w:rsidRPr="00F853DD">
        <w:rPr>
          <w:rFonts w:ascii="Times" w:hAnsi="Times" w:cs="Times New Roman"/>
          <w:sz w:val="23"/>
          <w:szCs w:val="23"/>
        </w:rPr>
        <w:t>.</w:t>
      </w:r>
      <w:r w:rsidR="00DF05BD" w:rsidRPr="00F853DD">
        <w:rPr>
          <w:rFonts w:ascii="Times" w:hAnsi="Times" w:cs="Times New Roman"/>
          <w:sz w:val="23"/>
          <w:szCs w:val="23"/>
        </w:rPr>
        <w:t xml:space="preserve"> 673181.</w:t>
      </w:r>
    </w:p>
    <w:p w14:paraId="4D127AFB" w14:textId="3FCE3753"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Lim, Y., Luna, I., Cromwell, S., Phillips, L., Russell, C. and Deardon, E.,</w:t>
      </w:r>
      <w:r w:rsidR="00DF05BD" w:rsidRPr="00F853DD">
        <w:rPr>
          <w:rFonts w:ascii="Times" w:hAnsi="Times" w:cs="Times New Roman"/>
          <w:sz w:val="23"/>
          <w:szCs w:val="23"/>
        </w:rPr>
        <w:t xml:space="preserve"> (1996). Toward a cross-cultural understanding of family caregiving burden. </w:t>
      </w:r>
      <w:r w:rsidR="00DF05BD" w:rsidRPr="00F853DD">
        <w:rPr>
          <w:rFonts w:ascii="Times" w:hAnsi="Times" w:cs="Times New Roman"/>
          <w:i/>
          <w:sz w:val="23"/>
          <w:szCs w:val="23"/>
        </w:rPr>
        <w:t>Western Journal of Nursing Research</w:t>
      </w:r>
      <w:r w:rsidR="006A45B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18</w:t>
      </w:r>
      <w:r w:rsidR="00DF05BD" w:rsidRPr="00F853DD">
        <w:rPr>
          <w:rFonts w:ascii="Times" w:hAnsi="Times" w:cs="Times New Roman"/>
          <w:sz w:val="23"/>
          <w:szCs w:val="23"/>
        </w:rPr>
        <w:t>, 252-266.</w:t>
      </w:r>
    </w:p>
    <w:p w14:paraId="5904DEE7" w14:textId="2EA87ADD"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Lima, J., Allen, S.</w:t>
      </w:r>
      <w:r w:rsidR="00DF05BD" w:rsidRPr="00F853DD">
        <w:rPr>
          <w:rFonts w:ascii="Times" w:hAnsi="Times" w:cs="Times New Roman"/>
          <w:sz w:val="23"/>
          <w:szCs w:val="23"/>
        </w:rPr>
        <w:t>, Goldscheider, F. and Intrator, O.</w:t>
      </w:r>
      <w:r w:rsidRPr="00F853DD">
        <w:rPr>
          <w:rFonts w:ascii="Times" w:hAnsi="Times" w:cs="Times New Roman"/>
          <w:sz w:val="23"/>
          <w:szCs w:val="23"/>
        </w:rPr>
        <w:t>,</w:t>
      </w:r>
      <w:r w:rsidR="00DF05BD" w:rsidRPr="00F853DD">
        <w:rPr>
          <w:rFonts w:ascii="Times" w:hAnsi="Times" w:cs="Times New Roman"/>
          <w:sz w:val="23"/>
          <w:szCs w:val="23"/>
        </w:rPr>
        <w:t xml:space="preserve"> (2008). Spousal caregiving in late midlife versus older ages: Implications of work and family obligations. </w:t>
      </w:r>
      <w:r w:rsidR="00DF05BD" w:rsidRPr="00F853DD">
        <w:rPr>
          <w:rFonts w:ascii="Times" w:hAnsi="Times" w:cs="Times New Roman"/>
          <w:i/>
          <w:sz w:val="23"/>
          <w:szCs w:val="23"/>
        </w:rPr>
        <w:t>Journals of Gerontology Series B-Psychological Sciences and Social Sciences</w:t>
      </w:r>
      <w:r w:rsidR="00BF2B0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63</w:t>
      </w:r>
      <w:r w:rsidR="00DF05BD" w:rsidRPr="00F853DD">
        <w:rPr>
          <w:rFonts w:ascii="Times" w:hAnsi="Times" w:cs="Times New Roman"/>
          <w:sz w:val="23"/>
          <w:szCs w:val="23"/>
        </w:rPr>
        <w:t>, S229-S238.</w:t>
      </w:r>
    </w:p>
    <w:p w14:paraId="2AE81717" w14:textId="5498C5B5"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pt-PT"/>
        </w:rPr>
        <w:t>Lima-Costa, M., Peixoto, S., Malta, D., Szwarcwald, C. and Mambrini, J.,</w:t>
      </w:r>
      <w:r w:rsidR="00DF05BD" w:rsidRPr="00F853DD">
        <w:rPr>
          <w:rFonts w:ascii="Times" w:hAnsi="Times" w:cs="Times New Roman"/>
          <w:sz w:val="23"/>
          <w:szCs w:val="23"/>
          <w:lang w:val="pt-PT"/>
        </w:rPr>
        <w:t xml:space="preserve"> (2017). </w:t>
      </w:r>
      <w:r w:rsidR="00DF05BD" w:rsidRPr="00F853DD">
        <w:rPr>
          <w:rFonts w:ascii="Times" w:hAnsi="Times" w:cs="Times New Roman"/>
          <w:sz w:val="23"/>
          <w:szCs w:val="23"/>
        </w:rPr>
        <w:t xml:space="preserve">Informal and paid care for Brazilian older adults (National Health Survey, 2013). </w:t>
      </w:r>
      <w:r w:rsidR="00DF05BD" w:rsidRPr="00F853DD">
        <w:rPr>
          <w:rFonts w:ascii="Times" w:hAnsi="Times" w:cs="Times New Roman"/>
          <w:i/>
          <w:sz w:val="23"/>
          <w:szCs w:val="23"/>
        </w:rPr>
        <w:t>Revista De Saude Publica</w:t>
      </w:r>
      <w:r w:rsidR="00BF2B0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51</w:t>
      </w:r>
      <w:r w:rsidR="00DF05BD" w:rsidRPr="00F853DD">
        <w:rPr>
          <w:rFonts w:ascii="Times" w:hAnsi="Times" w:cs="Times New Roman"/>
          <w:sz w:val="23"/>
          <w:szCs w:val="23"/>
        </w:rPr>
        <w:t>, 9.</w:t>
      </w:r>
    </w:p>
    <w:p w14:paraId="24CA98A9" w14:textId="1764A2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 xml:space="preserve">Limardi, S., Stievano, A., Rocco, G., Vellone, E. and Alvaro, R. (2016). </w:t>
      </w:r>
      <w:r w:rsidRPr="00F853DD">
        <w:rPr>
          <w:rFonts w:ascii="Times" w:hAnsi="Times" w:cs="Times New Roman"/>
          <w:sz w:val="23"/>
          <w:szCs w:val="23"/>
        </w:rPr>
        <w:t xml:space="preserve">Caregiver resilience in palliative care: a research protocol. </w:t>
      </w:r>
      <w:r w:rsidRPr="00F853DD">
        <w:rPr>
          <w:rFonts w:ascii="Times" w:hAnsi="Times" w:cs="Times New Roman"/>
          <w:i/>
          <w:sz w:val="23"/>
          <w:szCs w:val="23"/>
        </w:rPr>
        <w:t>Journal of Advanced Nursing</w:t>
      </w:r>
      <w:r w:rsidR="00BF2B0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72</w:t>
      </w:r>
      <w:r w:rsidRPr="00F853DD">
        <w:rPr>
          <w:rFonts w:ascii="Times" w:hAnsi="Times" w:cs="Times New Roman"/>
          <w:sz w:val="23"/>
          <w:szCs w:val="23"/>
        </w:rPr>
        <w:t>, 421-433.</w:t>
      </w:r>
    </w:p>
    <w:p w14:paraId="0B4F53EE" w14:textId="63D2756A"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Lin, I., Fee, H. and Wu, H.,</w:t>
      </w:r>
      <w:r w:rsidR="00DF05BD" w:rsidRPr="00F853DD">
        <w:rPr>
          <w:rFonts w:ascii="Times" w:hAnsi="Times" w:cs="Times New Roman"/>
          <w:sz w:val="23"/>
          <w:szCs w:val="23"/>
        </w:rPr>
        <w:t xml:space="preserve"> (2012). Negative and </w:t>
      </w:r>
      <w:r w:rsidRPr="00F853DD">
        <w:rPr>
          <w:rFonts w:ascii="Times" w:hAnsi="Times" w:cs="Times New Roman"/>
          <w:sz w:val="23"/>
          <w:szCs w:val="23"/>
        </w:rPr>
        <w:t>p</w:t>
      </w:r>
      <w:r w:rsidR="00DF05BD" w:rsidRPr="00F853DD">
        <w:rPr>
          <w:rFonts w:ascii="Times" w:hAnsi="Times" w:cs="Times New Roman"/>
          <w:sz w:val="23"/>
          <w:szCs w:val="23"/>
        </w:rPr>
        <w:t xml:space="preserve">ositive </w:t>
      </w:r>
      <w:r w:rsidRPr="00F853DD">
        <w:rPr>
          <w:rFonts w:ascii="Times" w:hAnsi="Times" w:cs="Times New Roman"/>
          <w:sz w:val="23"/>
          <w:szCs w:val="23"/>
        </w:rPr>
        <w:t>c</w:t>
      </w:r>
      <w:r w:rsidR="00DF05BD" w:rsidRPr="00F853DD">
        <w:rPr>
          <w:rFonts w:ascii="Times" w:hAnsi="Times" w:cs="Times New Roman"/>
          <w:sz w:val="23"/>
          <w:szCs w:val="23"/>
        </w:rPr>
        <w:t xml:space="preserve">aregiving </w:t>
      </w:r>
      <w:r w:rsidRPr="00F853DD">
        <w:rPr>
          <w:rFonts w:ascii="Times" w:hAnsi="Times" w:cs="Times New Roman"/>
          <w:sz w:val="23"/>
          <w:szCs w:val="23"/>
        </w:rPr>
        <w:t>e</w:t>
      </w:r>
      <w:r w:rsidR="00DF05BD" w:rsidRPr="00F853DD">
        <w:rPr>
          <w:rFonts w:ascii="Times" w:hAnsi="Times" w:cs="Times New Roman"/>
          <w:sz w:val="23"/>
          <w:szCs w:val="23"/>
        </w:rPr>
        <w:t xml:space="preserve">xperiences: </w:t>
      </w:r>
      <w:r w:rsidRPr="00F853DD">
        <w:rPr>
          <w:rFonts w:ascii="Times" w:hAnsi="Times" w:cs="Times New Roman"/>
          <w:sz w:val="23"/>
          <w:szCs w:val="23"/>
        </w:rPr>
        <w:t>a c</w:t>
      </w:r>
      <w:r w:rsidR="00DF05BD" w:rsidRPr="00F853DD">
        <w:rPr>
          <w:rFonts w:ascii="Times" w:hAnsi="Times" w:cs="Times New Roman"/>
          <w:sz w:val="23"/>
          <w:szCs w:val="23"/>
        </w:rPr>
        <w:t xml:space="preserve">loser </w:t>
      </w:r>
      <w:r w:rsidRPr="00F853DD">
        <w:rPr>
          <w:rFonts w:ascii="Times" w:hAnsi="Times" w:cs="Times New Roman"/>
          <w:sz w:val="23"/>
          <w:szCs w:val="23"/>
        </w:rPr>
        <w:t>l</w:t>
      </w:r>
      <w:r w:rsidR="00DF05BD" w:rsidRPr="00F853DD">
        <w:rPr>
          <w:rFonts w:ascii="Times" w:hAnsi="Times" w:cs="Times New Roman"/>
          <w:sz w:val="23"/>
          <w:szCs w:val="23"/>
        </w:rPr>
        <w:t xml:space="preserve">ook at the Intersection of Gender and Relationship. </w:t>
      </w:r>
      <w:r w:rsidR="00DF05BD" w:rsidRPr="00F853DD">
        <w:rPr>
          <w:rFonts w:ascii="Times" w:hAnsi="Times" w:cs="Times New Roman"/>
          <w:i/>
          <w:sz w:val="23"/>
          <w:szCs w:val="23"/>
        </w:rPr>
        <w:t>Family Relations</w:t>
      </w:r>
      <w:r w:rsidR="00BF2B0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61</w:t>
      </w:r>
      <w:r w:rsidR="00DF05BD" w:rsidRPr="00F853DD">
        <w:rPr>
          <w:rFonts w:ascii="Times" w:hAnsi="Times" w:cs="Times New Roman"/>
          <w:sz w:val="23"/>
          <w:szCs w:val="23"/>
        </w:rPr>
        <w:t>, 343-358.</w:t>
      </w:r>
    </w:p>
    <w:p w14:paraId="7D537E57" w14:textId="47FC83DE"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Lin, I. and Wu, H., (2014). Patterns of c</w:t>
      </w:r>
      <w:r w:rsidR="00DF05BD" w:rsidRPr="00F853DD">
        <w:rPr>
          <w:rFonts w:ascii="Times" w:hAnsi="Times" w:cs="Times New Roman"/>
          <w:sz w:val="23"/>
          <w:szCs w:val="23"/>
        </w:rPr>
        <w:t xml:space="preserve">oping </w:t>
      </w:r>
      <w:r w:rsidRPr="00F853DD">
        <w:rPr>
          <w:rFonts w:ascii="Times" w:hAnsi="Times" w:cs="Times New Roman"/>
          <w:sz w:val="23"/>
          <w:szCs w:val="23"/>
        </w:rPr>
        <w:t>a</w:t>
      </w:r>
      <w:r w:rsidR="00DF05BD" w:rsidRPr="00F853DD">
        <w:rPr>
          <w:rFonts w:ascii="Times" w:hAnsi="Times" w:cs="Times New Roman"/>
          <w:sz w:val="23"/>
          <w:szCs w:val="23"/>
        </w:rPr>
        <w:t xml:space="preserve">mong </w:t>
      </w:r>
      <w:r w:rsidRPr="00F853DD">
        <w:rPr>
          <w:rFonts w:ascii="Times" w:hAnsi="Times" w:cs="Times New Roman"/>
          <w:sz w:val="23"/>
          <w:szCs w:val="23"/>
        </w:rPr>
        <w:t>f</w:t>
      </w:r>
      <w:r w:rsidR="00DF05BD" w:rsidRPr="00F853DD">
        <w:rPr>
          <w:rFonts w:ascii="Times" w:hAnsi="Times" w:cs="Times New Roman"/>
          <w:sz w:val="23"/>
          <w:szCs w:val="23"/>
        </w:rPr>
        <w:t xml:space="preserve">amily </w:t>
      </w:r>
      <w:r w:rsidRPr="00F853DD">
        <w:rPr>
          <w:rFonts w:ascii="Times" w:hAnsi="Times" w:cs="Times New Roman"/>
          <w:sz w:val="23"/>
          <w:szCs w:val="23"/>
        </w:rPr>
        <w:t>c</w:t>
      </w:r>
      <w:r w:rsidR="00DF05BD" w:rsidRPr="00F853DD">
        <w:rPr>
          <w:rFonts w:ascii="Times" w:hAnsi="Times" w:cs="Times New Roman"/>
          <w:sz w:val="23"/>
          <w:szCs w:val="23"/>
        </w:rPr>
        <w:t xml:space="preserve">aregivers of </w:t>
      </w:r>
      <w:r w:rsidRPr="00F853DD">
        <w:rPr>
          <w:rFonts w:ascii="Times" w:hAnsi="Times" w:cs="Times New Roman"/>
          <w:sz w:val="23"/>
          <w:szCs w:val="23"/>
        </w:rPr>
        <w:t>f</w:t>
      </w:r>
      <w:r w:rsidR="00DF05BD" w:rsidRPr="00F853DD">
        <w:rPr>
          <w:rFonts w:ascii="Times" w:hAnsi="Times" w:cs="Times New Roman"/>
          <w:sz w:val="23"/>
          <w:szCs w:val="23"/>
        </w:rPr>
        <w:t xml:space="preserve">rail </w:t>
      </w:r>
      <w:r w:rsidRPr="00F853DD">
        <w:rPr>
          <w:rFonts w:ascii="Times" w:hAnsi="Times" w:cs="Times New Roman"/>
          <w:sz w:val="23"/>
          <w:szCs w:val="23"/>
        </w:rPr>
        <w:t>o</w:t>
      </w:r>
      <w:r w:rsidR="00DF05BD" w:rsidRPr="00F853DD">
        <w:rPr>
          <w:rFonts w:ascii="Times" w:hAnsi="Times" w:cs="Times New Roman"/>
          <w:sz w:val="23"/>
          <w:szCs w:val="23"/>
        </w:rPr>
        <w:t xml:space="preserve">lder </w:t>
      </w:r>
      <w:r w:rsidRPr="00F853DD">
        <w:rPr>
          <w:rFonts w:ascii="Times" w:hAnsi="Times" w:cs="Times New Roman"/>
          <w:sz w:val="23"/>
          <w:szCs w:val="23"/>
        </w:rPr>
        <w:t>a</w:t>
      </w:r>
      <w:r w:rsidR="00DF05BD" w:rsidRPr="00F853DD">
        <w:rPr>
          <w:rFonts w:ascii="Times" w:hAnsi="Times" w:cs="Times New Roman"/>
          <w:sz w:val="23"/>
          <w:szCs w:val="23"/>
        </w:rPr>
        <w:t xml:space="preserve">dults. </w:t>
      </w:r>
      <w:r w:rsidR="00DF05BD" w:rsidRPr="00F853DD">
        <w:rPr>
          <w:rFonts w:ascii="Times" w:hAnsi="Times" w:cs="Times New Roman"/>
          <w:i/>
          <w:sz w:val="23"/>
          <w:szCs w:val="23"/>
        </w:rPr>
        <w:t>Research on Aging</w:t>
      </w:r>
      <w:r w:rsidR="00BF2B0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36</w:t>
      </w:r>
      <w:r w:rsidR="00DF05BD" w:rsidRPr="00F853DD">
        <w:rPr>
          <w:rFonts w:ascii="Times" w:hAnsi="Times" w:cs="Times New Roman"/>
          <w:sz w:val="23"/>
          <w:szCs w:val="23"/>
        </w:rPr>
        <w:t>, 603-624.</w:t>
      </w:r>
    </w:p>
    <w:p w14:paraId="0722C83E" w14:textId="052B4D1C" w:rsidR="00DF05BD" w:rsidRPr="00F853DD" w:rsidRDefault="00216FD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Lin, J. and Yi, C</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(2013). A comparative analysis of intergenerational relations in East Asia. </w:t>
      </w:r>
      <w:r w:rsidR="00DF05BD" w:rsidRPr="00F853DD">
        <w:rPr>
          <w:rFonts w:ascii="Times" w:hAnsi="Times" w:cs="Times New Roman"/>
          <w:i/>
          <w:sz w:val="23"/>
          <w:szCs w:val="23"/>
        </w:rPr>
        <w:t>International Sociology</w:t>
      </w:r>
      <w:r w:rsidR="00BF2B0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DF05BD" w:rsidRPr="00F853DD">
        <w:rPr>
          <w:rFonts w:ascii="Times" w:hAnsi="Times" w:cs="Times New Roman"/>
          <w:sz w:val="23"/>
          <w:szCs w:val="23"/>
        </w:rPr>
        <w:t>, 297-315.</w:t>
      </w:r>
    </w:p>
    <w:p w14:paraId="5C68B6EE" w14:textId="69CC52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Lin, M.  and Giles, H.</w:t>
      </w:r>
      <w:r w:rsidR="00216FD0" w:rsidRPr="00F853DD">
        <w:rPr>
          <w:rFonts w:ascii="Times" w:hAnsi="Times" w:cs="Times New Roman"/>
          <w:sz w:val="23"/>
          <w:szCs w:val="23"/>
        </w:rPr>
        <w:t>,</w:t>
      </w:r>
      <w:r w:rsidRPr="00F853DD">
        <w:rPr>
          <w:rFonts w:ascii="Times" w:hAnsi="Times" w:cs="Times New Roman"/>
          <w:sz w:val="23"/>
          <w:szCs w:val="23"/>
        </w:rPr>
        <w:t xml:space="preserve"> (2013). The dark side of family communication: a communication model of elder abuse and neglect. </w:t>
      </w:r>
      <w:r w:rsidRPr="00F853DD">
        <w:rPr>
          <w:rFonts w:ascii="Times" w:hAnsi="Times" w:cs="Times New Roman"/>
          <w:i/>
          <w:sz w:val="23"/>
          <w:szCs w:val="23"/>
        </w:rPr>
        <w:t>International Psychogeriatrics</w:t>
      </w:r>
      <w:r w:rsidR="00BF2B0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1275-1290.</w:t>
      </w:r>
    </w:p>
    <w:p w14:paraId="383EC272" w14:textId="3A5D6AD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Lin, W., Chen, L. and Li, T.</w:t>
      </w:r>
      <w:r w:rsidR="00216FD0" w:rsidRPr="00F853DD">
        <w:rPr>
          <w:rFonts w:ascii="Times" w:hAnsi="Times" w:cs="Times New Roman"/>
          <w:sz w:val="23"/>
          <w:szCs w:val="23"/>
        </w:rPr>
        <w:t>,</w:t>
      </w:r>
      <w:r w:rsidRPr="00F853DD">
        <w:rPr>
          <w:rFonts w:ascii="Times" w:hAnsi="Times" w:cs="Times New Roman"/>
          <w:sz w:val="23"/>
          <w:szCs w:val="23"/>
        </w:rPr>
        <w:t xml:space="preserve"> (2013). Adult children's caregiver burden and depression: the moderating roles of parent-child relationship satisfaction and feedback from others. </w:t>
      </w:r>
      <w:r w:rsidRPr="00F853DD">
        <w:rPr>
          <w:rFonts w:ascii="Times" w:hAnsi="Times" w:cs="Times New Roman"/>
          <w:i/>
          <w:sz w:val="23"/>
          <w:szCs w:val="23"/>
        </w:rPr>
        <w:t>Journal of Happiness Studies</w:t>
      </w:r>
      <w:r w:rsidR="00BF2B0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673-687.</w:t>
      </w:r>
    </w:p>
    <w:p w14:paraId="5AB65E2A" w14:textId="3794E30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Lindquist, L., Tam, K., Friesema, E. and Martin, G.</w:t>
      </w:r>
      <w:r w:rsidR="00216FD0" w:rsidRPr="00F853DD">
        <w:rPr>
          <w:rFonts w:ascii="Times" w:hAnsi="Times" w:cs="Times New Roman"/>
          <w:sz w:val="23"/>
          <w:szCs w:val="23"/>
        </w:rPr>
        <w:t>,</w:t>
      </w:r>
      <w:r w:rsidRPr="00F853DD">
        <w:rPr>
          <w:rFonts w:ascii="Times" w:hAnsi="Times" w:cs="Times New Roman"/>
          <w:sz w:val="23"/>
          <w:szCs w:val="23"/>
        </w:rPr>
        <w:t xml:space="preserve"> (2012). Paid caregiver motivation, work conditions, and falls among senior clients. </w:t>
      </w:r>
      <w:r w:rsidRPr="00F853DD">
        <w:rPr>
          <w:rFonts w:ascii="Times" w:hAnsi="Times" w:cs="Times New Roman"/>
          <w:i/>
          <w:sz w:val="23"/>
          <w:szCs w:val="23"/>
        </w:rPr>
        <w:t>Archives of Gerontology and Geriatrics</w:t>
      </w:r>
      <w:r w:rsidR="00BF2B0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55</w:t>
      </w:r>
      <w:r w:rsidRPr="00F853DD">
        <w:rPr>
          <w:rFonts w:ascii="Times" w:hAnsi="Times" w:cs="Times New Roman"/>
          <w:sz w:val="23"/>
          <w:szCs w:val="23"/>
        </w:rPr>
        <w:t>, 442-445.</w:t>
      </w:r>
    </w:p>
    <w:p w14:paraId="2147476D" w14:textId="0EB7D7F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Lindvall, A., Kristensson, J., Willman, A. and Holst, G.</w:t>
      </w:r>
      <w:r w:rsidR="00216FD0" w:rsidRPr="00F853DD">
        <w:rPr>
          <w:rFonts w:ascii="Times" w:hAnsi="Times" w:cs="Times New Roman"/>
          <w:sz w:val="23"/>
          <w:szCs w:val="23"/>
        </w:rPr>
        <w:t>,</w:t>
      </w:r>
      <w:r w:rsidRPr="00F853DD">
        <w:rPr>
          <w:rFonts w:ascii="Times" w:hAnsi="Times" w:cs="Times New Roman"/>
          <w:sz w:val="23"/>
          <w:szCs w:val="23"/>
        </w:rPr>
        <w:t xml:space="preserve"> (2016). Informal care provided by family caregivers experiences of older adults with multimorbidity. </w:t>
      </w:r>
      <w:r w:rsidRPr="00F853DD">
        <w:rPr>
          <w:rFonts w:ascii="Times" w:hAnsi="Times" w:cs="Times New Roman"/>
          <w:i/>
          <w:sz w:val="23"/>
          <w:szCs w:val="23"/>
        </w:rPr>
        <w:t>Journal of Gerontological Nursing</w:t>
      </w:r>
      <w:r w:rsidR="00BF2B0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 24-31.</w:t>
      </w:r>
    </w:p>
    <w:p w14:paraId="468BF617" w14:textId="3EB772A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Link, B., Mirotznik, J.</w:t>
      </w:r>
      <w:r w:rsidR="00216FD0" w:rsidRPr="00F853DD">
        <w:rPr>
          <w:rFonts w:ascii="Times" w:hAnsi="Times" w:cs="Times New Roman"/>
          <w:sz w:val="23"/>
          <w:szCs w:val="23"/>
        </w:rPr>
        <w:t>, and Cullen, F.,</w:t>
      </w:r>
      <w:r w:rsidRPr="00F853DD">
        <w:rPr>
          <w:rFonts w:ascii="Times" w:hAnsi="Times" w:cs="Times New Roman"/>
          <w:sz w:val="23"/>
          <w:szCs w:val="23"/>
        </w:rPr>
        <w:t xml:space="preserve"> (1991). The effectiveness of stigma coping orientations: can negative consequences of mental illness labeling be avoided?. </w:t>
      </w:r>
      <w:r w:rsidRPr="00F853DD">
        <w:rPr>
          <w:rFonts w:ascii="Times" w:hAnsi="Times" w:cs="Times New Roman"/>
          <w:i/>
          <w:sz w:val="23"/>
          <w:szCs w:val="23"/>
        </w:rPr>
        <w:t>Journal of health and so</w:t>
      </w:r>
      <w:r w:rsidR="00BF2B09" w:rsidRPr="00F853DD">
        <w:rPr>
          <w:rFonts w:ascii="Times" w:hAnsi="Times" w:cs="Times New Roman"/>
          <w:i/>
          <w:sz w:val="23"/>
          <w:szCs w:val="23"/>
        </w:rPr>
        <w:t>cial behavior.</w:t>
      </w:r>
      <w:r w:rsidRPr="00F853DD">
        <w:rPr>
          <w:rFonts w:ascii="Times" w:hAnsi="Times" w:cs="Times New Roman"/>
          <w:sz w:val="23"/>
          <w:szCs w:val="23"/>
        </w:rPr>
        <w:t xml:space="preserve"> 302-320.</w:t>
      </w:r>
    </w:p>
    <w:p w14:paraId="026CB3DD" w14:textId="72C1A42A" w:rsidR="00DF05BD" w:rsidRPr="00F853DD" w:rsidRDefault="00DF05BD"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Litwak, E.</w:t>
      </w:r>
      <w:r w:rsidR="00216FD0" w:rsidRPr="00F853DD">
        <w:rPr>
          <w:rFonts w:ascii="Times" w:hAnsi="Times" w:cs="Times New Roman"/>
          <w:sz w:val="23"/>
          <w:szCs w:val="23"/>
        </w:rPr>
        <w:t>,</w:t>
      </w:r>
      <w:r w:rsidRPr="00F853DD">
        <w:rPr>
          <w:rFonts w:ascii="Times" w:hAnsi="Times" w:cs="Times New Roman"/>
          <w:sz w:val="23"/>
          <w:szCs w:val="23"/>
        </w:rPr>
        <w:t xml:space="preserve"> (1985). </w:t>
      </w:r>
      <w:r w:rsidRPr="00F853DD">
        <w:rPr>
          <w:rFonts w:ascii="Times" w:hAnsi="Times" w:cs="Times New Roman"/>
          <w:i/>
          <w:sz w:val="23"/>
          <w:szCs w:val="23"/>
        </w:rPr>
        <w:t xml:space="preserve">Helping the elderly: </w:t>
      </w:r>
      <w:r w:rsidR="00216FD0" w:rsidRPr="00F853DD">
        <w:rPr>
          <w:rFonts w:ascii="Times" w:hAnsi="Times" w:cs="Times New Roman"/>
          <w:i/>
          <w:sz w:val="23"/>
          <w:szCs w:val="23"/>
        </w:rPr>
        <w:t>t</w:t>
      </w:r>
      <w:r w:rsidRPr="00F853DD">
        <w:rPr>
          <w:rFonts w:ascii="Times" w:hAnsi="Times" w:cs="Times New Roman"/>
          <w:i/>
          <w:sz w:val="23"/>
          <w:szCs w:val="23"/>
        </w:rPr>
        <w:t xml:space="preserve">he complementary roles of informal and formal </w:t>
      </w:r>
      <w:r w:rsidR="00216FD0" w:rsidRPr="00F853DD">
        <w:rPr>
          <w:rFonts w:ascii="Times" w:hAnsi="Times" w:cs="Times New Roman"/>
          <w:i/>
          <w:sz w:val="23"/>
          <w:szCs w:val="23"/>
        </w:rPr>
        <w:t>s</w:t>
      </w:r>
      <w:r w:rsidRPr="00F853DD">
        <w:rPr>
          <w:rFonts w:ascii="Times" w:hAnsi="Times" w:cs="Times New Roman"/>
          <w:i/>
          <w:sz w:val="23"/>
          <w:szCs w:val="23"/>
        </w:rPr>
        <w:t>ystems</w:t>
      </w:r>
      <w:r w:rsidRPr="00F853DD">
        <w:rPr>
          <w:rFonts w:ascii="Times" w:hAnsi="Times" w:cs="Times New Roman"/>
          <w:sz w:val="23"/>
          <w:szCs w:val="23"/>
        </w:rPr>
        <w:t>. New York, NY: Guilford.</w:t>
      </w:r>
    </w:p>
    <w:p w14:paraId="1F3CE128" w14:textId="69D580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Litwin, H. and Attias-Donfut, C.</w:t>
      </w:r>
      <w:r w:rsidR="00216FD0" w:rsidRPr="00F853DD">
        <w:rPr>
          <w:rFonts w:ascii="Times" w:hAnsi="Times" w:cs="Times New Roman"/>
          <w:sz w:val="23"/>
          <w:szCs w:val="23"/>
          <w:lang w:val="en-TT"/>
        </w:rPr>
        <w:t>,</w:t>
      </w:r>
      <w:r w:rsidRPr="00F853DD">
        <w:rPr>
          <w:rFonts w:ascii="Times" w:hAnsi="Times" w:cs="Times New Roman"/>
          <w:sz w:val="23"/>
          <w:szCs w:val="23"/>
          <w:lang w:val="en-TT"/>
        </w:rPr>
        <w:t xml:space="preserve"> (2009). </w:t>
      </w:r>
      <w:r w:rsidRPr="00F853DD">
        <w:rPr>
          <w:rFonts w:ascii="Times" w:hAnsi="Times" w:cs="Times New Roman"/>
          <w:sz w:val="23"/>
          <w:szCs w:val="23"/>
        </w:rPr>
        <w:t xml:space="preserve">The inter-relationship between formal and informal care: </w:t>
      </w:r>
      <w:r w:rsidR="00216FD0" w:rsidRPr="00F853DD">
        <w:rPr>
          <w:rFonts w:ascii="Times" w:hAnsi="Times" w:cs="Times New Roman"/>
          <w:sz w:val="23"/>
          <w:szCs w:val="23"/>
        </w:rPr>
        <w:t>a</w:t>
      </w:r>
      <w:r w:rsidRPr="00F853DD">
        <w:rPr>
          <w:rFonts w:ascii="Times" w:hAnsi="Times" w:cs="Times New Roman"/>
          <w:sz w:val="23"/>
          <w:szCs w:val="23"/>
        </w:rPr>
        <w:t xml:space="preserve"> study in France and Israel [online]. </w:t>
      </w:r>
      <w:r w:rsidRPr="00F853DD">
        <w:rPr>
          <w:rFonts w:ascii="Times" w:hAnsi="Times" w:cs="Times New Roman"/>
          <w:i/>
          <w:sz w:val="23"/>
          <w:szCs w:val="23"/>
        </w:rPr>
        <w:t>Ageing Society</w:t>
      </w:r>
      <w:r w:rsidR="00BF2B0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xml:space="preserve">. Available from: https://www.ncbi.nlm.nih.gov/pmc/articles/PMC3540114/. </w:t>
      </w:r>
    </w:p>
    <w:p w14:paraId="7D967407" w14:textId="26AFA4E3"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lang w:val="de-DE"/>
        </w:rPr>
        <w:t xml:space="preserve">Liu, J. Y. and Bern-Klug, M. (2016). </w:t>
      </w:r>
      <w:r w:rsidR="001B106B" w:rsidRPr="00F853DD">
        <w:rPr>
          <w:rFonts w:ascii="Times" w:hAnsi="Times" w:cs="Times New Roman"/>
          <w:sz w:val="23"/>
          <w:szCs w:val="23"/>
        </w:rPr>
        <w:t>“</w:t>
      </w:r>
      <w:r w:rsidRPr="00F853DD">
        <w:rPr>
          <w:rFonts w:ascii="Times" w:hAnsi="Times" w:cs="Times New Roman"/>
          <w:sz w:val="23"/>
          <w:szCs w:val="23"/>
        </w:rPr>
        <w:t>I shou</w:t>
      </w:r>
      <w:r w:rsidR="001B106B" w:rsidRPr="00F853DD">
        <w:rPr>
          <w:rFonts w:ascii="Times" w:hAnsi="Times" w:cs="Times New Roman"/>
          <w:sz w:val="23"/>
          <w:szCs w:val="23"/>
        </w:rPr>
        <w:t>ld be doing more for my parent:”</w:t>
      </w:r>
      <w:r w:rsidRPr="00F853DD">
        <w:rPr>
          <w:rFonts w:ascii="Times" w:hAnsi="Times" w:cs="Times New Roman"/>
          <w:sz w:val="23"/>
          <w:szCs w:val="23"/>
        </w:rPr>
        <w:t xml:space="preserve"> Chinese adult children's worry about performance in providing care for their oldest-old parents. </w:t>
      </w:r>
      <w:r w:rsidRPr="00F853DD">
        <w:rPr>
          <w:rFonts w:ascii="Times" w:hAnsi="Times" w:cs="Times New Roman"/>
          <w:i/>
          <w:sz w:val="23"/>
          <w:szCs w:val="23"/>
          <w:lang w:val="en-TT"/>
        </w:rPr>
        <w:t>International Psychogeriatrics</w:t>
      </w:r>
      <w:r w:rsidR="001B106B" w:rsidRPr="00F853DD">
        <w:rPr>
          <w:rFonts w:ascii="Times" w:hAnsi="Times" w:cs="Times New Roman"/>
          <w:i/>
          <w:sz w:val="23"/>
          <w:szCs w:val="23"/>
          <w:lang w:val="en-TT"/>
        </w:rPr>
        <w:t>.</w:t>
      </w:r>
      <w:r w:rsidRPr="00F853DD">
        <w:rPr>
          <w:rFonts w:ascii="Times" w:hAnsi="Times" w:cs="Times New Roman"/>
          <w:sz w:val="23"/>
          <w:szCs w:val="23"/>
          <w:lang w:val="en-TT"/>
        </w:rPr>
        <w:t xml:space="preserve"> </w:t>
      </w:r>
      <w:r w:rsidRPr="00F853DD">
        <w:rPr>
          <w:rFonts w:ascii="Times" w:hAnsi="Times" w:cs="Times New Roman"/>
          <w:b/>
          <w:sz w:val="23"/>
          <w:szCs w:val="23"/>
          <w:lang w:val="en-TT"/>
        </w:rPr>
        <w:t>28</w:t>
      </w:r>
      <w:r w:rsidRPr="00F853DD">
        <w:rPr>
          <w:rFonts w:ascii="Times" w:hAnsi="Times" w:cs="Times New Roman"/>
          <w:sz w:val="23"/>
          <w:szCs w:val="23"/>
          <w:lang w:val="en-TT"/>
        </w:rPr>
        <w:t>, 303-315.</w:t>
      </w:r>
      <w:r w:rsidR="006B7440" w:rsidRPr="00F853DD">
        <w:rPr>
          <w:rFonts w:ascii="Times" w:hAnsi="Times" w:cs="Times New Roman"/>
          <w:sz w:val="23"/>
          <w:szCs w:val="23"/>
          <w:lang w:val="en-TT"/>
        </w:rPr>
        <w:t xml:space="preserve"> [Viewed 26 November 2017]. Available from: 10.1080/07317115.2017.1305033</w:t>
      </w:r>
    </w:p>
    <w:p w14:paraId="0FEE1FBD" w14:textId="4BC8405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Liu</w:t>
      </w:r>
      <w:r w:rsidR="001B106B" w:rsidRPr="00F853DD">
        <w:rPr>
          <w:rFonts w:ascii="Times" w:hAnsi="Times" w:cs="Times New Roman"/>
          <w:sz w:val="23"/>
          <w:szCs w:val="23"/>
          <w:lang w:val="en-TT"/>
        </w:rPr>
        <w:t>, J., Lu, N. and Lou, V</w:t>
      </w:r>
      <w:r w:rsidRPr="00F853DD">
        <w:rPr>
          <w:rFonts w:ascii="Times" w:hAnsi="Times" w:cs="Times New Roman"/>
          <w:sz w:val="23"/>
          <w:szCs w:val="23"/>
          <w:lang w:val="en-TT"/>
        </w:rPr>
        <w:t>.</w:t>
      </w:r>
      <w:r w:rsidR="00C714D3" w:rsidRPr="00F853DD">
        <w:rPr>
          <w:rFonts w:ascii="Times" w:hAnsi="Times" w:cs="Times New Roman"/>
          <w:sz w:val="23"/>
          <w:szCs w:val="23"/>
          <w:lang w:val="en-TT"/>
        </w:rPr>
        <w:t>,</w:t>
      </w:r>
      <w:r w:rsidR="001B106B" w:rsidRPr="00F853DD">
        <w:rPr>
          <w:rFonts w:ascii="Times" w:hAnsi="Times" w:cs="Times New Roman"/>
          <w:sz w:val="23"/>
          <w:szCs w:val="23"/>
          <w:lang w:val="en-TT"/>
        </w:rPr>
        <w:t xml:space="preserve"> (2017)</w:t>
      </w:r>
      <w:r w:rsidRPr="00F853DD">
        <w:rPr>
          <w:rFonts w:ascii="Times" w:hAnsi="Times" w:cs="Times New Roman"/>
          <w:sz w:val="23"/>
          <w:szCs w:val="23"/>
          <w:lang w:val="en-TT"/>
        </w:rPr>
        <w:t xml:space="preserve">. </w:t>
      </w:r>
      <w:r w:rsidRPr="00F853DD">
        <w:rPr>
          <w:rFonts w:ascii="Times" w:hAnsi="Times" w:cs="Times New Roman"/>
          <w:sz w:val="23"/>
          <w:szCs w:val="23"/>
        </w:rPr>
        <w:t xml:space="preserve">Care tasks in the stress process for family caregivers in urban China. </w:t>
      </w:r>
      <w:r w:rsidRPr="00F853DD">
        <w:rPr>
          <w:rFonts w:ascii="Times" w:hAnsi="Times" w:cs="Times New Roman"/>
          <w:i/>
          <w:sz w:val="23"/>
          <w:szCs w:val="23"/>
        </w:rPr>
        <w:t>Clinical Gerontologis</w:t>
      </w:r>
      <w:r w:rsidR="001B106B" w:rsidRPr="00F853DD">
        <w:rPr>
          <w:rFonts w:ascii="Times" w:hAnsi="Times" w:cs="Times New Roman"/>
          <w:i/>
          <w:sz w:val="23"/>
          <w:szCs w:val="23"/>
        </w:rPr>
        <w:t>t</w:t>
      </w:r>
      <w:r w:rsidR="00440864" w:rsidRPr="00F853DD">
        <w:rPr>
          <w:rFonts w:ascii="Times" w:hAnsi="Times" w:cs="Times New Roman"/>
          <w:sz w:val="23"/>
          <w:szCs w:val="23"/>
        </w:rPr>
        <w:t xml:space="preserve"> [online]</w:t>
      </w:r>
      <w:r w:rsidR="001B106B"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40</w:t>
      </w:r>
      <w:r w:rsidRPr="00F853DD">
        <w:rPr>
          <w:rFonts w:ascii="Times" w:hAnsi="Times" w:cs="Times New Roman"/>
          <w:sz w:val="23"/>
          <w:szCs w:val="23"/>
        </w:rPr>
        <w:t>, 428-434.</w:t>
      </w:r>
      <w:r w:rsidR="0046263F" w:rsidRPr="00F853DD">
        <w:rPr>
          <w:rFonts w:ascii="Times" w:hAnsi="Times" w:cs="Times New Roman"/>
          <w:sz w:val="23"/>
          <w:szCs w:val="23"/>
        </w:rPr>
        <w:t xml:space="preserve"> [Viewed 26 November 2017]. Available from: doi: 10.1080/07317115.2017.1305033</w:t>
      </w:r>
    </w:p>
    <w:p w14:paraId="3D445E6B" w14:textId="3EB1D7F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Liu, W. and Kendig, H.</w:t>
      </w:r>
      <w:r w:rsidR="00C714D3" w:rsidRPr="00F853DD">
        <w:rPr>
          <w:rFonts w:ascii="Times" w:hAnsi="Times" w:cs="Times New Roman"/>
          <w:sz w:val="23"/>
          <w:szCs w:val="23"/>
        </w:rPr>
        <w:t>,</w:t>
      </w:r>
      <w:r w:rsidRPr="00F853DD">
        <w:rPr>
          <w:rFonts w:ascii="Times" w:hAnsi="Times" w:cs="Times New Roman"/>
          <w:sz w:val="23"/>
          <w:szCs w:val="23"/>
        </w:rPr>
        <w:t xml:space="preserve"> (2000). </w:t>
      </w:r>
      <w:r w:rsidRPr="00F853DD">
        <w:rPr>
          <w:rFonts w:ascii="Times" w:hAnsi="Times" w:cs="Times New Roman"/>
          <w:i/>
          <w:sz w:val="23"/>
          <w:szCs w:val="23"/>
        </w:rPr>
        <w:t>Who should care for the elderly: an east-west value divide</w:t>
      </w:r>
      <w:r w:rsidRPr="00F853DD">
        <w:rPr>
          <w:rFonts w:ascii="Times" w:hAnsi="Times" w:cs="Times New Roman"/>
          <w:sz w:val="23"/>
          <w:szCs w:val="23"/>
        </w:rPr>
        <w:t>. Singapore: Singapore University Press / National University of Singapore and World Scientific Publishing Co.</w:t>
      </w:r>
      <w:r w:rsidR="00440864" w:rsidRPr="00F853DD">
        <w:rPr>
          <w:rFonts w:ascii="Times" w:hAnsi="Times" w:cs="Times New Roman"/>
          <w:sz w:val="23"/>
          <w:szCs w:val="23"/>
        </w:rPr>
        <w:t xml:space="preserve"> [online]. [Viewed 26 November 2017]. Available from: doi:10.1142/4378</w:t>
      </w:r>
    </w:p>
    <w:p w14:paraId="02E6F0AA" w14:textId="031AC6F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lastRenderedPageBreak/>
        <w:t>Li</w:t>
      </w:r>
      <w:r w:rsidR="001B106B" w:rsidRPr="00F853DD">
        <w:rPr>
          <w:rFonts w:ascii="Times" w:hAnsi="Times" w:cs="Times New Roman"/>
          <w:sz w:val="23"/>
          <w:szCs w:val="23"/>
          <w:lang w:val="en-TT"/>
        </w:rPr>
        <w:t>u, X., Lu, B. and Feng, Z., (2017)</w:t>
      </w:r>
      <w:r w:rsidRPr="00F853DD">
        <w:rPr>
          <w:rFonts w:ascii="Times" w:hAnsi="Times" w:cs="Times New Roman"/>
          <w:sz w:val="23"/>
          <w:szCs w:val="23"/>
          <w:lang w:val="en-TT"/>
        </w:rPr>
        <w:t xml:space="preserve">. </w:t>
      </w:r>
      <w:r w:rsidRPr="00F853DD">
        <w:rPr>
          <w:rFonts w:ascii="Times" w:hAnsi="Times" w:cs="Times New Roman"/>
          <w:sz w:val="23"/>
          <w:szCs w:val="23"/>
        </w:rPr>
        <w:t xml:space="preserve">Intergenerational transfers and informal care for disabled elderly persons in China: evidence from CHARLS. </w:t>
      </w:r>
      <w:r w:rsidRPr="00F853DD">
        <w:rPr>
          <w:rFonts w:ascii="Times" w:hAnsi="Times" w:cs="Times New Roman"/>
          <w:i/>
          <w:sz w:val="23"/>
          <w:szCs w:val="23"/>
        </w:rPr>
        <w:t>Health and Social Care in the Community</w:t>
      </w:r>
      <w:r w:rsidR="00E56664" w:rsidRPr="00F853DD">
        <w:rPr>
          <w:rFonts w:ascii="Times" w:hAnsi="Times" w:cs="Times New Roman"/>
          <w:i/>
          <w:sz w:val="23"/>
          <w:szCs w:val="23"/>
        </w:rPr>
        <w:t xml:space="preserve"> </w:t>
      </w:r>
      <w:r w:rsidR="00E56664" w:rsidRPr="00F853DD">
        <w:rPr>
          <w:rFonts w:ascii="Times" w:hAnsi="Times" w:cs="Times New Roman"/>
          <w:sz w:val="23"/>
          <w:szCs w:val="23"/>
        </w:rPr>
        <w:t>[online]</w:t>
      </w:r>
      <w:r w:rsidR="001B106B"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1364-1374.</w:t>
      </w:r>
      <w:r w:rsidR="00E56664" w:rsidRPr="00F853DD">
        <w:rPr>
          <w:rFonts w:ascii="Times" w:hAnsi="Times" w:cs="Times New Roman"/>
          <w:sz w:val="23"/>
          <w:szCs w:val="23"/>
        </w:rPr>
        <w:t xml:space="preserve"> [Viewed 13 September 2017]. Available from: doi: 10.1111/hsc.12441</w:t>
      </w:r>
    </w:p>
    <w:p w14:paraId="70AB494D" w14:textId="10A7787B" w:rsidR="00DF05BD" w:rsidRPr="00F853DD" w:rsidRDefault="001B106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Lloyd, C., Johnson, M., Mughal, S., Sturt, J., Collins, G.</w:t>
      </w:r>
      <w:r w:rsidR="00DF05BD" w:rsidRPr="00F853DD">
        <w:rPr>
          <w:rFonts w:ascii="Times" w:hAnsi="Times" w:cs="Times New Roman"/>
          <w:sz w:val="23"/>
          <w:szCs w:val="23"/>
        </w:rPr>
        <w:t>, Roy, T.</w:t>
      </w:r>
      <w:r w:rsidRPr="00F853DD">
        <w:rPr>
          <w:rFonts w:ascii="Times" w:hAnsi="Times" w:cs="Times New Roman"/>
          <w:sz w:val="23"/>
          <w:szCs w:val="23"/>
        </w:rPr>
        <w:t>, Bibi, R. and Barnett, A.,</w:t>
      </w:r>
      <w:r w:rsidR="00DF05BD" w:rsidRPr="00F853DD">
        <w:rPr>
          <w:rFonts w:ascii="Times" w:hAnsi="Times" w:cs="Times New Roman"/>
          <w:sz w:val="23"/>
          <w:szCs w:val="23"/>
        </w:rPr>
        <w:t xml:space="preserve"> (2008). Securing recruitment and obtaining informed consent in minority ethnic groups in the UK. </w:t>
      </w:r>
      <w:r w:rsidR="00DF05BD" w:rsidRPr="00F853DD">
        <w:rPr>
          <w:rFonts w:ascii="Times" w:hAnsi="Times" w:cs="Times New Roman"/>
          <w:i/>
          <w:sz w:val="23"/>
          <w:szCs w:val="23"/>
        </w:rPr>
        <w:t>BMC Health Services Research</w:t>
      </w:r>
      <w:r w:rsidRPr="00F853DD">
        <w:rPr>
          <w:rFonts w:ascii="Times" w:hAnsi="Times" w:cs="Times New Roman"/>
          <w:i/>
          <w:sz w:val="23"/>
          <w:szCs w:val="23"/>
        </w:rPr>
        <w:t xml:space="preserve"> </w:t>
      </w:r>
      <w:r w:rsidRPr="00F853DD">
        <w:rPr>
          <w:rFonts w:ascii="Times" w:hAnsi="Times" w:cs="Segoe UI"/>
          <w:sz w:val="23"/>
          <w:szCs w:val="23"/>
        </w:rPr>
        <w:t>[online].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8</w:t>
      </w:r>
      <w:r w:rsidR="00DF05BD" w:rsidRPr="00F853DD">
        <w:rPr>
          <w:rFonts w:ascii="Times" w:hAnsi="Times" w:cs="Times New Roman"/>
          <w:sz w:val="23"/>
          <w:szCs w:val="23"/>
        </w:rPr>
        <w:t>, 9.</w:t>
      </w:r>
    </w:p>
    <w:p w14:paraId="7627FADE" w14:textId="57381DE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w:t>
      </w:r>
      <w:r w:rsidRPr="00F853DD">
        <w:rPr>
          <w:rFonts w:ascii="Times" w:hAnsi="Times" w:cs="Segoe UI"/>
          <w:sz w:val="23"/>
          <w:szCs w:val="23"/>
        </w:rPr>
        <w:t>loyd, L., Calnan, M., Cameron, A., Seymour, J., Smith, R. and White, K.</w:t>
      </w:r>
      <w:r w:rsidR="001B106B" w:rsidRPr="00F853DD">
        <w:rPr>
          <w:rFonts w:ascii="Times" w:hAnsi="Times" w:cs="Segoe UI"/>
          <w:sz w:val="23"/>
          <w:szCs w:val="23"/>
        </w:rPr>
        <w:t>,</w:t>
      </w:r>
      <w:r w:rsidRPr="00F853DD">
        <w:rPr>
          <w:rFonts w:ascii="Times" w:hAnsi="Times" w:cs="Segoe UI"/>
          <w:sz w:val="23"/>
          <w:szCs w:val="23"/>
        </w:rPr>
        <w:t xml:space="preserve"> (2011). Maintaining dignity in later life: a longitudinal qualitative study of older people’s experiences of support and care </w:t>
      </w:r>
      <w:r w:rsidRPr="00F853DD">
        <w:rPr>
          <w:rFonts w:ascii="Times" w:hAnsi="Times" w:cs="Segoe UI"/>
          <w:i/>
          <w:iCs/>
          <w:sz w:val="23"/>
          <w:szCs w:val="23"/>
        </w:rPr>
        <w:t>University of Bristol</w:t>
      </w:r>
      <w:r w:rsidR="001B106B" w:rsidRPr="00F853DD">
        <w:rPr>
          <w:rFonts w:ascii="Times" w:hAnsi="Times" w:cs="Segoe UI"/>
          <w:i/>
          <w:iCs/>
          <w:sz w:val="23"/>
          <w:szCs w:val="23"/>
        </w:rPr>
        <w:t xml:space="preserve"> </w:t>
      </w:r>
      <w:r w:rsidR="001B106B" w:rsidRPr="00F853DD">
        <w:rPr>
          <w:rFonts w:ascii="Times" w:hAnsi="Times" w:cs="Segoe UI"/>
          <w:iCs/>
          <w:sz w:val="23"/>
          <w:szCs w:val="23"/>
        </w:rPr>
        <w:t>[online]</w:t>
      </w:r>
      <w:r w:rsidRPr="00F853DD">
        <w:rPr>
          <w:rFonts w:ascii="Times" w:hAnsi="Times" w:cs="Segoe UI"/>
          <w:i/>
          <w:iCs/>
          <w:sz w:val="23"/>
          <w:szCs w:val="23"/>
        </w:rPr>
        <w:t xml:space="preserve">. </w:t>
      </w:r>
      <w:r w:rsidRPr="00F853DD">
        <w:rPr>
          <w:rFonts w:ascii="Times" w:hAnsi="Times" w:cs="Segoe UI"/>
          <w:iCs/>
          <w:sz w:val="23"/>
          <w:szCs w:val="23"/>
        </w:rPr>
        <w:t xml:space="preserve">[Viewed 29 November 2019]. Available from: </w:t>
      </w:r>
      <w:r w:rsidRPr="00F853DD">
        <w:rPr>
          <w:rFonts w:ascii="Times" w:hAnsi="Times" w:cs="Segoe UI"/>
          <w:sz w:val="23"/>
          <w:szCs w:val="23"/>
        </w:rPr>
        <w:t>h</w:t>
      </w:r>
      <w:r w:rsidRPr="00F853DD">
        <w:rPr>
          <w:rFonts w:ascii="Times" w:hAnsi="Times" w:cs="Segoe UI"/>
          <w:sz w:val="23"/>
          <w:szCs w:val="23"/>
          <w:bdr w:val="none" w:sz="0" w:space="0" w:color="auto" w:frame="1"/>
        </w:rPr>
        <w:t>ttp://www.newdynamics.group.shef.ac.uk/assets/files/NDA%20Findings_8.pdf</w:t>
      </w:r>
      <w:r w:rsidRPr="00F853DD">
        <w:rPr>
          <w:rFonts w:ascii="Times" w:hAnsi="Times" w:cs="Segoe UI"/>
          <w:sz w:val="23"/>
          <w:szCs w:val="23"/>
        </w:rPr>
        <w:t>.</w:t>
      </w:r>
    </w:p>
    <w:p w14:paraId="76D01CFE" w14:textId="6CD191C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Lloyd, J., Patterson, T. and Muers, J.</w:t>
      </w:r>
      <w:r w:rsidR="001B106B" w:rsidRPr="00F853DD">
        <w:rPr>
          <w:rFonts w:ascii="Times" w:hAnsi="Times" w:cs="Times New Roman"/>
          <w:sz w:val="23"/>
          <w:szCs w:val="23"/>
        </w:rPr>
        <w:t>,</w:t>
      </w:r>
      <w:r w:rsidRPr="00F853DD">
        <w:rPr>
          <w:rFonts w:ascii="Times" w:hAnsi="Times" w:cs="Times New Roman"/>
          <w:sz w:val="23"/>
          <w:szCs w:val="23"/>
        </w:rPr>
        <w:t xml:space="preserve"> (2016). The positive aspects of caregiving in dementia: </w:t>
      </w:r>
      <w:r w:rsidR="001B106B" w:rsidRPr="00F853DD">
        <w:rPr>
          <w:rFonts w:ascii="Times" w:hAnsi="Times" w:cs="Times New Roman"/>
          <w:sz w:val="23"/>
          <w:szCs w:val="23"/>
        </w:rPr>
        <w:t>a</w:t>
      </w:r>
      <w:r w:rsidRPr="00F853DD">
        <w:rPr>
          <w:rFonts w:ascii="Times" w:hAnsi="Times" w:cs="Times New Roman"/>
          <w:sz w:val="23"/>
          <w:szCs w:val="23"/>
        </w:rPr>
        <w:t xml:space="preserve"> critical review of the qualitative literature. </w:t>
      </w:r>
      <w:r w:rsidRPr="00F853DD">
        <w:rPr>
          <w:rFonts w:ascii="Times" w:hAnsi="Times" w:cs="Times New Roman"/>
          <w:i/>
          <w:sz w:val="23"/>
          <w:szCs w:val="23"/>
        </w:rPr>
        <w:t>Dementia the International Journal of Social Research and Practice</w:t>
      </w:r>
      <w:r w:rsidR="001B106B"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1534-1561.</w:t>
      </w:r>
    </w:p>
    <w:p w14:paraId="28F53057" w14:textId="46F89E6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Lloyd-Sherlock, P.</w:t>
      </w:r>
      <w:r w:rsidR="001B106B" w:rsidRPr="00F853DD">
        <w:rPr>
          <w:rFonts w:ascii="Times" w:hAnsi="Times" w:cs="Times New Roman"/>
          <w:sz w:val="23"/>
          <w:szCs w:val="23"/>
        </w:rPr>
        <w:t>,</w:t>
      </w:r>
      <w:r w:rsidRPr="00F853DD">
        <w:rPr>
          <w:rFonts w:ascii="Times" w:hAnsi="Times" w:cs="Times New Roman"/>
          <w:sz w:val="23"/>
          <w:szCs w:val="23"/>
        </w:rPr>
        <w:t xml:space="preserve"> (2000). Old age and poverty in developing countries: New policy challenges. </w:t>
      </w:r>
      <w:r w:rsidRPr="00F853DD">
        <w:rPr>
          <w:rFonts w:ascii="Times" w:hAnsi="Times" w:cs="Times New Roman"/>
          <w:i/>
          <w:sz w:val="23"/>
          <w:szCs w:val="23"/>
        </w:rPr>
        <w:t>World Development</w:t>
      </w:r>
      <w:r w:rsidR="001B106B"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 2157-2168.</w:t>
      </w:r>
    </w:p>
    <w:p w14:paraId="614C3B04" w14:textId="0563952E"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Locke, C.</w:t>
      </w:r>
      <w:r w:rsidR="001B106B" w:rsidRPr="00F853DD">
        <w:rPr>
          <w:rFonts w:ascii="Times" w:hAnsi="Times" w:cs="Times New Roman"/>
          <w:sz w:val="23"/>
          <w:szCs w:val="23"/>
        </w:rPr>
        <w:t>,</w:t>
      </w:r>
      <w:r w:rsidRPr="00F853DD">
        <w:rPr>
          <w:rFonts w:ascii="Times" w:hAnsi="Times" w:cs="Times New Roman"/>
          <w:sz w:val="23"/>
          <w:szCs w:val="23"/>
        </w:rPr>
        <w:t xml:space="preserve"> 2017. Do male migrants ‘care’? How migration is reshaping the gender ethics of care. </w:t>
      </w:r>
      <w:r w:rsidRPr="00F853DD">
        <w:rPr>
          <w:rFonts w:ascii="Times" w:hAnsi="Times" w:cs="Times New Roman"/>
          <w:i/>
          <w:sz w:val="23"/>
          <w:szCs w:val="23"/>
          <w:lang w:val="en-TT"/>
        </w:rPr>
        <w:t>Ethics and Social Welfare</w:t>
      </w:r>
      <w:r w:rsidR="001B106B" w:rsidRPr="00F853DD">
        <w:rPr>
          <w:rFonts w:ascii="Times" w:hAnsi="Times" w:cs="Times New Roman"/>
          <w:i/>
          <w:sz w:val="23"/>
          <w:szCs w:val="23"/>
          <w:lang w:val="en-TT"/>
        </w:rPr>
        <w:t>.</w:t>
      </w:r>
      <w:r w:rsidRPr="00F853DD">
        <w:rPr>
          <w:rFonts w:ascii="Times" w:hAnsi="Times" w:cs="Times New Roman"/>
          <w:sz w:val="23"/>
          <w:szCs w:val="23"/>
          <w:lang w:val="en-TT"/>
        </w:rPr>
        <w:t xml:space="preserve"> </w:t>
      </w:r>
      <w:r w:rsidRPr="00F853DD">
        <w:rPr>
          <w:rFonts w:ascii="Times" w:hAnsi="Times" w:cs="Times New Roman"/>
          <w:b/>
          <w:sz w:val="23"/>
          <w:szCs w:val="23"/>
          <w:lang w:val="en-TT"/>
        </w:rPr>
        <w:t>11</w:t>
      </w:r>
      <w:r w:rsidRPr="00F853DD">
        <w:rPr>
          <w:rFonts w:ascii="Times" w:hAnsi="Times" w:cs="Times New Roman"/>
          <w:sz w:val="23"/>
          <w:szCs w:val="23"/>
          <w:lang w:val="en-TT"/>
        </w:rPr>
        <w:t>, 277-295.</w:t>
      </w:r>
    </w:p>
    <w:p w14:paraId="4480F83F" w14:textId="011B5D90" w:rsidR="00DF05BD" w:rsidRPr="00F853DD" w:rsidRDefault="001B106B" w:rsidP="00E1694A">
      <w:pPr>
        <w:autoSpaceDE w:val="0"/>
        <w:autoSpaceDN w:val="0"/>
        <w:adjustRightInd w:val="0"/>
        <w:spacing w:line="240" w:lineRule="auto"/>
        <w:ind w:left="567" w:hanging="567"/>
        <w:rPr>
          <w:rFonts w:ascii="Times" w:eastAsia="Times New Roman" w:hAnsi="Times" w:cs="Times New Roman"/>
          <w:sz w:val="23"/>
          <w:szCs w:val="23"/>
        </w:rPr>
      </w:pPr>
      <w:r w:rsidRPr="00F853DD">
        <w:rPr>
          <w:rFonts w:ascii="Times" w:eastAsia="Times New Roman" w:hAnsi="Times" w:cs="Times New Roman"/>
          <w:sz w:val="23"/>
          <w:szCs w:val="23"/>
        </w:rPr>
        <w:t>Long, S.</w:t>
      </w:r>
      <w:r w:rsidR="00DF05BD" w:rsidRPr="00F853DD">
        <w:rPr>
          <w:rFonts w:ascii="Times" w:eastAsia="Times New Roman" w:hAnsi="Times" w:cs="Times New Roman"/>
          <w:sz w:val="23"/>
          <w:szCs w:val="23"/>
        </w:rPr>
        <w:t>, Campbel</w:t>
      </w:r>
      <w:r w:rsidRPr="00F853DD">
        <w:rPr>
          <w:rFonts w:ascii="Times" w:eastAsia="Times New Roman" w:hAnsi="Times" w:cs="Times New Roman"/>
          <w:sz w:val="23"/>
          <w:szCs w:val="23"/>
        </w:rPr>
        <w:t>l, R. and Nishimura, C., (2009)</w:t>
      </w:r>
      <w:r w:rsidR="00DF05BD" w:rsidRPr="00F853DD">
        <w:rPr>
          <w:rFonts w:ascii="Times" w:eastAsia="Times New Roman" w:hAnsi="Times" w:cs="Times New Roman"/>
          <w:sz w:val="23"/>
          <w:szCs w:val="23"/>
        </w:rPr>
        <w:t>. Does it matter who cares? A comparison of daughters versus daughters-in-law in Japanese elder care. </w:t>
      </w:r>
      <w:r w:rsidR="00DF05BD" w:rsidRPr="00F853DD">
        <w:rPr>
          <w:rFonts w:ascii="Times" w:eastAsia="Times New Roman" w:hAnsi="Times" w:cs="Times New Roman"/>
          <w:i/>
          <w:iCs/>
          <w:sz w:val="23"/>
          <w:szCs w:val="23"/>
        </w:rPr>
        <w:t>Social Science Japan Journal</w:t>
      </w:r>
      <w:r w:rsidRPr="00F853DD">
        <w:rPr>
          <w:rFonts w:ascii="Times" w:eastAsia="Times New Roman" w:hAnsi="Times" w:cs="Times New Roman"/>
          <w:i/>
          <w:iCs/>
          <w:sz w:val="23"/>
          <w:szCs w:val="23"/>
        </w:rPr>
        <w:t>.</w:t>
      </w:r>
      <w:r w:rsidR="00DF05BD" w:rsidRPr="00F853DD">
        <w:rPr>
          <w:rFonts w:ascii="Times" w:eastAsia="Times New Roman" w:hAnsi="Times" w:cs="Times New Roman"/>
          <w:sz w:val="23"/>
          <w:szCs w:val="23"/>
        </w:rPr>
        <w:t> </w:t>
      </w:r>
      <w:r w:rsidR="00DF05BD" w:rsidRPr="00F853DD">
        <w:rPr>
          <w:rFonts w:ascii="Times" w:eastAsia="Times New Roman" w:hAnsi="Times" w:cs="Times New Roman"/>
          <w:b/>
          <w:i/>
          <w:iCs/>
          <w:sz w:val="23"/>
          <w:szCs w:val="23"/>
        </w:rPr>
        <w:t>12</w:t>
      </w:r>
      <w:r w:rsidR="00DF05BD" w:rsidRPr="00F853DD">
        <w:rPr>
          <w:rFonts w:ascii="Times" w:eastAsia="Times New Roman" w:hAnsi="Times" w:cs="Times New Roman"/>
          <w:sz w:val="23"/>
          <w:szCs w:val="23"/>
        </w:rPr>
        <w:t>(1), 1-21.</w:t>
      </w:r>
    </w:p>
    <w:p w14:paraId="49A3CAB9" w14:textId="461B4ACA"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Lopez, J., Romero-Moreno, R., Marquez-Gonzalez, M. and Losada, A.</w:t>
      </w:r>
      <w:r w:rsidR="001B106B" w:rsidRPr="00F853DD">
        <w:rPr>
          <w:rFonts w:ascii="Times" w:hAnsi="Times" w:cs="Times New Roman"/>
          <w:sz w:val="23"/>
          <w:szCs w:val="23"/>
        </w:rPr>
        <w:t>,</w:t>
      </w:r>
      <w:r w:rsidRPr="00F853DD">
        <w:rPr>
          <w:rFonts w:ascii="Times" w:hAnsi="Times" w:cs="Times New Roman"/>
          <w:sz w:val="23"/>
          <w:szCs w:val="23"/>
        </w:rPr>
        <w:t xml:space="preserve"> (2012). Spirituality and self-efficacy in dementia family caregiving: trust in God and in yourself. </w:t>
      </w:r>
      <w:r w:rsidRPr="00F853DD">
        <w:rPr>
          <w:rFonts w:ascii="Times" w:hAnsi="Times" w:cs="Times New Roman"/>
          <w:i/>
          <w:sz w:val="23"/>
          <w:szCs w:val="23"/>
          <w:lang w:val="en-TT"/>
        </w:rPr>
        <w:t>International Psychogeriatrics</w:t>
      </w:r>
      <w:r w:rsidR="001B106B" w:rsidRPr="00F853DD">
        <w:rPr>
          <w:rFonts w:ascii="Times" w:hAnsi="Times" w:cs="Times New Roman"/>
          <w:i/>
          <w:sz w:val="23"/>
          <w:szCs w:val="23"/>
          <w:lang w:val="en-TT"/>
        </w:rPr>
        <w:t>.</w:t>
      </w:r>
      <w:r w:rsidRPr="00F853DD">
        <w:rPr>
          <w:rFonts w:ascii="Times" w:hAnsi="Times" w:cs="Times New Roman"/>
          <w:sz w:val="23"/>
          <w:szCs w:val="23"/>
          <w:lang w:val="en-TT"/>
        </w:rPr>
        <w:t xml:space="preserve"> </w:t>
      </w:r>
      <w:r w:rsidRPr="00F853DD">
        <w:rPr>
          <w:rFonts w:ascii="Times" w:hAnsi="Times" w:cs="Times New Roman"/>
          <w:b/>
          <w:sz w:val="23"/>
          <w:szCs w:val="23"/>
          <w:lang w:val="en-TT"/>
        </w:rPr>
        <w:t>24</w:t>
      </w:r>
      <w:r w:rsidRPr="00F853DD">
        <w:rPr>
          <w:rFonts w:ascii="Times" w:hAnsi="Times" w:cs="Times New Roman"/>
          <w:sz w:val="23"/>
          <w:szCs w:val="23"/>
          <w:lang w:val="en-TT"/>
        </w:rPr>
        <w:t>, 1943-1952.</w:t>
      </w:r>
    </w:p>
    <w:p w14:paraId="2BA50A7A" w14:textId="0084DB9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Lor</w:t>
      </w:r>
      <w:r w:rsidR="001B106B" w:rsidRPr="00F853DD">
        <w:rPr>
          <w:rFonts w:ascii="Times" w:hAnsi="Times" w:cs="Times New Roman"/>
          <w:sz w:val="23"/>
          <w:szCs w:val="23"/>
          <w:lang w:val="en-TT"/>
        </w:rPr>
        <w:t>ca, M. and Ponce, M.,</w:t>
      </w:r>
      <w:r w:rsidRPr="00F853DD">
        <w:rPr>
          <w:rFonts w:ascii="Times" w:hAnsi="Times" w:cs="Times New Roman"/>
          <w:sz w:val="23"/>
          <w:szCs w:val="23"/>
          <w:lang w:val="en-TT"/>
        </w:rPr>
        <w:t xml:space="preserve"> (2015). </w:t>
      </w:r>
      <w:r w:rsidRPr="00F853DD">
        <w:rPr>
          <w:rFonts w:ascii="Times" w:hAnsi="Times" w:cs="Times New Roman"/>
          <w:sz w:val="23"/>
          <w:szCs w:val="23"/>
        </w:rPr>
        <w:t xml:space="preserve">Normative, structural, and individual factors that predispose adult children to provide social support to their elderly parents. </w:t>
      </w:r>
      <w:r w:rsidRPr="00F853DD">
        <w:rPr>
          <w:rFonts w:ascii="Times" w:hAnsi="Times" w:cs="Times New Roman"/>
          <w:i/>
          <w:sz w:val="23"/>
          <w:szCs w:val="23"/>
        </w:rPr>
        <w:t>Journal of Comparative Family Studies</w:t>
      </w:r>
      <w:r w:rsidR="001B106B"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46</w:t>
      </w:r>
      <w:r w:rsidRPr="00F853DD">
        <w:rPr>
          <w:rFonts w:ascii="Times" w:hAnsi="Times" w:cs="Times New Roman"/>
          <w:sz w:val="23"/>
          <w:szCs w:val="23"/>
        </w:rPr>
        <w:t>, 517</w:t>
      </w:r>
    </w:p>
    <w:p w14:paraId="758FBA0B" w14:textId="7A3E889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Lorenz, </w:t>
      </w:r>
      <w:r w:rsidR="001B106B" w:rsidRPr="00F853DD">
        <w:rPr>
          <w:rFonts w:ascii="Times" w:hAnsi="Times" w:cs="Times New Roman"/>
          <w:sz w:val="23"/>
          <w:szCs w:val="23"/>
        </w:rPr>
        <w:t>D.,</w:t>
      </w:r>
      <w:r w:rsidRPr="00F853DD">
        <w:rPr>
          <w:rFonts w:ascii="Times" w:hAnsi="Times" w:cs="Times New Roman"/>
          <w:sz w:val="23"/>
          <w:szCs w:val="23"/>
        </w:rPr>
        <w:t xml:space="preserve"> (2013). The diversity of resilience: contributions from a social science perspective. </w:t>
      </w:r>
      <w:r w:rsidRPr="00F853DD">
        <w:rPr>
          <w:rFonts w:ascii="Times" w:hAnsi="Times" w:cs="Times New Roman"/>
          <w:i/>
          <w:sz w:val="23"/>
          <w:szCs w:val="23"/>
        </w:rPr>
        <w:t>Natural Hazards</w:t>
      </w:r>
      <w:r w:rsidRPr="00F853DD">
        <w:rPr>
          <w:rFonts w:ascii="Times" w:hAnsi="Times" w:cs="Times New Roman"/>
          <w:sz w:val="23"/>
          <w:szCs w:val="23"/>
        </w:rPr>
        <w:t xml:space="preserve">, </w:t>
      </w:r>
      <w:r w:rsidRPr="00F853DD">
        <w:rPr>
          <w:rFonts w:ascii="Times" w:hAnsi="Times" w:cs="Times New Roman"/>
          <w:b/>
          <w:sz w:val="23"/>
          <w:szCs w:val="23"/>
        </w:rPr>
        <w:t>67</w:t>
      </w:r>
      <w:r w:rsidRPr="00F853DD">
        <w:rPr>
          <w:rFonts w:ascii="Times" w:hAnsi="Times" w:cs="Times New Roman"/>
          <w:sz w:val="23"/>
          <w:szCs w:val="23"/>
        </w:rPr>
        <w:t>, 7-24.</w:t>
      </w:r>
    </w:p>
    <w:p w14:paraId="25E11C07" w14:textId="36670FA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Losada, A., Marquez-Gonzalez, M., Knight, B. G., Yanguas, J., Sayegh, P. and Romero-Moreno, R.</w:t>
      </w:r>
      <w:r w:rsidR="001B106B" w:rsidRPr="00F853DD">
        <w:rPr>
          <w:rFonts w:ascii="Times" w:hAnsi="Times" w:cs="Times New Roman"/>
          <w:sz w:val="23"/>
          <w:szCs w:val="23"/>
        </w:rPr>
        <w:t>,</w:t>
      </w:r>
      <w:r w:rsidRPr="00F853DD">
        <w:rPr>
          <w:rFonts w:ascii="Times" w:hAnsi="Times" w:cs="Times New Roman"/>
          <w:sz w:val="23"/>
          <w:szCs w:val="23"/>
        </w:rPr>
        <w:t xml:space="preserve"> (2010). Psychosocial factors and caregivers' distress: Effects of familism and dysfunctional thoughts. </w:t>
      </w:r>
      <w:r w:rsidRPr="00F853DD">
        <w:rPr>
          <w:rFonts w:ascii="Times" w:hAnsi="Times" w:cs="Times New Roman"/>
          <w:i/>
          <w:sz w:val="23"/>
          <w:szCs w:val="23"/>
        </w:rPr>
        <w:t>Aging and Mental Health</w:t>
      </w:r>
      <w:r w:rsidR="001B106B"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193-202.</w:t>
      </w:r>
    </w:p>
    <w:p w14:paraId="47FCFEE7" w14:textId="2AD09D2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Louat, F., Grosh, M. and Van der Gaag, J.</w:t>
      </w:r>
      <w:r w:rsidR="001B106B" w:rsidRPr="00F853DD">
        <w:rPr>
          <w:rFonts w:ascii="Times" w:hAnsi="Times" w:cs="Times New Roman"/>
          <w:sz w:val="23"/>
          <w:szCs w:val="23"/>
        </w:rPr>
        <w:t>,</w:t>
      </w:r>
      <w:r w:rsidRPr="00F853DD">
        <w:rPr>
          <w:rFonts w:ascii="Times" w:hAnsi="Times" w:cs="Times New Roman"/>
          <w:sz w:val="23"/>
          <w:szCs w:val="23"/>
        </w:rPr>
        <w:t xml:space="preserve"> (1993). Welfare implications of female headship in Jamaican households. Papers 96, World Bank – Living Standards Measurement.</w:t>
      </w:r>
    </w:p>
    <w:p w14:paraId="4FCBACE6" w14:textId="1A87125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Loukas, A., Twitchell, G., Piejak, L., Fitzgerald, H. and Zucker, R.</w:t>
      </w:r>
      <w:r w:rsidR="001B106B" w:rsidRPr="00F853DD">
        <w:rPr>
          <w:rFonts w:ascii="Times" w:hAnsi="Times" w:cs="Times New Roman"/>
          <w:sz w:val="23"/>
          <w:szCs w:val="23"/>
        </w:rPr>
        <w:t>,</w:t>
      </w:r>
      <w:r w:rsidRPr="00F853DD">
        <w:rPr>
          <w:rFonts w:ascii="Times" w:hAnsi="Times" w:cs="Times New Roman"/>
          <w:sz w:val="23"/>
          <w:szCs w:val="23"/>
        </w:rPr>
        <w:t xml:space="preserve"> (1998). The family as a unity of interacting personalities. In: L'Abate, L. (ed.) </w:t>
      </w:r>
      <w:r w:rsidRPr="00F853DD">
        <w:rPr>
          <w:rFonts w:ascii="Times" w:hAnsi="Times" w:cs="Times New Roman"/>
          <w:i/>
          <w:sz w:val="23"/>
          <w:szCs w:val="23"/>
        </w:rPr>
        <w:t xml:space="preserve">Family psychopathology: </w:t>
      </w:r>
      <w:r w:rsidR="001B106B" w:rsidRPr="00F853DD">
        <w:rPr>
          <w:rFonts w:ascii="Times" w:hAnsi="Times" w:cs="Times New Roman"/>
          <w:i/>
          <w:sz w:val="23"/>
          <w:szCs w:val="23"/>
        </w:rPr>
        <w:t>t</w:t>
      </w:r>
      <w:r w:rsidRPr="00F853DD">
        <w:rPr>
          <w:rFonts w:ascii="Times" w:hAnsi="Times" w:cs="Times New Roman"/>
          <w:i/>
          <w:sz w:val="23"/>
          <w:szCs w:val="23"/>
        </w:rPr>
        <w:t xml:space="preserve">he </w:t>
      </w:r>
      <w:r w:rsidR="001B106B" w:rsidRPr="00F853DD">
        <w:rPr>
          <w:rFonts w:ascii="Times" w:hAnsi="Times" w:cs="Times New Roman"/>
          <w:i/>
          <w:sz w:val="23"/>
          <w:szCs w:val="23"/>
        </w:rPr>
        <w:t>r</w:t>
      </w:r>
      <w:r w:rsidRPr="00F853DD">
        <w:rPr>
          <w:rFonts w:ascii="Times" w:hAnsi="Times" w:cs="Times New Roman"/>
          <w:i/>
          <w:sz w:val="23"/>
          <w:szCs w:val="23"/>
        </w:rPr>
        <w:t>elational roots of dysfunctional behavior</w:t>
      </w:r>
      <w:r w:rsidRPr="00F853DD">
        <w:rPr>
          <w:rFonts w:ascii="Times" w:hAnsi="Times" w:cs="Times New Roman"/>
          <w:sz w:val="23"/>
          <w:szCs w:val="23"/>
        </w:rPr>
        <w:t>. New York: Guilford Publications.</w:t>
      </w:r>
    </w:p>
    <w:p w14:paraId="53B4CA3F" w14:textId="096BB27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Love, K.</w:t>
      </w:r>
      <w:r w:rsidR="001B106B"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Ethics in social research</w:t>
      </w:r>
      <w:r w:rsidRPr="00F853DD">
        <w:rPr>
          <w:rFonts w:ascii="Times" w:hAnsi="Times" w:cs="Times New Roman"/>
          <w:sz w:val="23"/>
          <w:szCs w:val="23"/>
        </w:rPr>
        <w:t>. Bingley: Emerald.</w:t>
      </w:r>
    </w:p>
    <w:p w14:paraId="59BFB2CB" w14:textId="5CCCB461" w:rsidR="00DF05BD" w:rsidRPr="00F853DD" w:rsidRDefault="001B106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Lowe, D.,</w:t>
      </w:r>
      <w:r w:rsidR="00DF05BD" w:rsidRPr="00F853DD">
        <w:rPr>
          <w:rFonts w:ascii="Times" w:hAnsi="Times" w:cs="Times New Roman"/>
          <w:sz w:val="23"/>
          <w:szCs w:val="23"/>
        </w:rPr>
        <w:t xml:space="preserve"> (1986). Book Reviews: Essays in the Sociology of Perception. Edited by Mary Douglas. London, Boston and Henley: Routledge and Kegan Paul, 1982. Pp. viii + 340. </w:t>
      </w:r>
      <w:r w:rsidR="00DF05BD" w:rsidRPr="00F853DD">
        <w:rPr>
          <w:rFonts w:ascii="Times" w:hAnsi="Times" w:cs="Times New Roman"/>
          <w:i/>
          <w:sz w:val="23"/>
          <w:szCs w:val="23"/>
        </w:rPr>
        <w:t>Philosophy of the social sciences</w:t>
      </w:r>
      <w:r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DF05BD" w:rsidRPr="00F853DD">
        <w:rPr>
          <w:rFonts w:ascii="Times" w:hAnsi="Times" w:cs="Times New Roman"/>
          <w:sz w:val="23"/>
          <w:szCs w:val="23"/>
        </w:rPr>
        <w:t>, 281-283.</w:t>
      </w:r>
    </w:p>
    <w:p w14:paraId="2A3B02C5" w14:textId="3430DF0E"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de-DE"/>
        </w:rPr>
      </w:pPr>
      <w:r w:rsidRPr="00F853DD">
        <w:rPr>
          <w:rFonts w:ascii="Times" w:hAnsi="Times" w:cs="Times New Roman"/>
          <w:sz w:val="23"/>
          <w:szCs w:val="23"/>
        </w:rPr>
        <w:t>Lowenstein, A.</w:t>
      </w:r>
      <w:r w:rsidR="001B106B" w:rsidRPr="00F853DD">
        <w:rPr>
          <w:rFonts w:ascii="Times" w:hAnsi="Times" w:cs="Times New Roman"/>
          <w:sz w:val="23"/>
          <w:szCs w:val="23"/>
        </w:rPr>
        <w:t>,</w:t>
      </w:r>
      <w:r w:rsidRPr="00F853DD">
        <w:rPr>
          <w:rFonts w:ascii="Times" w:hAnsi="Times" w:cs="Times New Roman"/>
          <w:sz w:val="23"/>
          <w:szCs w:val="23"/>
        </w:rPr>
        <w:t xml:space="preserve"> (1999). Intergenerational family relations and social support. </w:t>
      </w:r>
      <w:r w:rsidRPr="00F853DD">
        <w:rPr>
          <w:rFonts w:ascii="Times" w:hAnsi="Times" w:cs="Times New Roman"/>
          <w:i/>
          <w:sz w:val="23"/>
          <w:szCs w:val="23"/>
          <w:lang w:val="de-DE"/>
        </w:rPr>
        <w:t>Zeitschrift Fur Gerontologie Und Geriatrie,</w:t>
      </w:r>
      <w:r w:rsidRPr="00F853DD">
        <w:rPr>
          <w:rFonts w:ascii="Times" w:hAnsi="Times" w:cs="Times New Roman"/>
          <w:sz w:val="23"/>
          <w:szCs w:val="23"/>
          <w:lang w:val="de-DE"/>
        </w:rPr>
        <w:t xml:space="preserve"> </w:t>
      </w:r>
      <w:r w:rsidRPr="00F853DD">
        <w:rPr>
          <w:rFonts w:ascii="Times" w:hAnsi="Times" w:cs="Times New Roman"/>
          <w:b/>
          <w:sz w:val="23"/>
          <w:szCs w:val="23"/>
          <w:lang w:val="de-DE"/>
        </w:rPr>
        <w:t>32</w:t>
      </w:r>
      <w:r w:rsidRPr="00F853DD">
        <w:rPr>
          <w:rFonts w:ascii="Times" w:hAnsi="Times" w:cs="Times New Roman"/>
          <w:sz w:val="23"/>
          <w:szCs w:val="23"/>
          <w:lang w:val="de-DE"/>
        </w:rPr>
        <w:t>, 398-406.</w:t>
      </w:r>
    </w:p>
    <w:p w14:paraId="34E5FE0F" w14:textId="0011D69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 xml:space="preserve">Lu, </w:t>
      </w:r>
      <w:r w:rsidR="00C3176C" w:rsidRPr="00F853DD">
        <w:rPr>
          <w:rFonts w:ascii="Times" w:hAnsi="Times" w:cs="Times New Roman"/>
          <w:sz w:val="23"/>
          <w:szCs w:val="23"/>
          <w:lang w:val="de-DE"/>
        </w:rPr>
        <w:t>N., Liu, J. and Lou, V.,</w:t>
      </w:r>
      <w:r w:rsidRPr="00F853DD">
        <w:rPr>
          <w:rFonts w:ascii="Times" w:hAnsi="Times" w:cs="Times New Roman"/>
          <w:sz w:val="23"/>
          <w:szCs w:val="23"/>
          <w:lang w:val="de-DE"/>
        </w:rPr>
        <w:t xml:space="preserve"> (2015). </w:t>
      </w:r>
      <w:r w:rsidRPr="00F853DD">
        <w:rPr>
          <w:rFonts w:ascii="Times" w:hAnsi="Times" w:cs="Times New Roman"/>
          <w:sz w:val="23"/>
          <w:szCs w:val="23"/>
        </w:rPr>
        <w:t>Caring for frail elders with musculoskeletal conditions and family care</w:t>
      </w:r>
      <w:r w:rsidR="005B3352" w:rsidRPr="00F853DD">
        <w:rPr>
          <w:rFonts w:ascii="Times" w:hAnsi="Times" w:cs="Times New Roman"/>
          <w:sz w:val="23"/>
          <w:szCs w:val="23"/>
        </w:rPr>
        <w:t>givers' subjective well-being: t</w:t>
      </w:r>
      <w:r w:rsidRPr="00F853DD">
        <w:rPr>
          <w:rFonts w:ascii="Times" w:hAnsi="Times" w:cs="Times New Roman"/>
          <w:sz w:val="23"/>
          <w:szCs w:val="23"/>
        </w:rPr>
        <w:t xml:space="preserve">he role of multidimensional caregiver burden. </w:t>
      </w:r>
      <w:r w:rsidRPr="00F853DD">
        <w:rPr>
          <w:rFonts w:ascii="Times" w:hAnsi="Times" w:cs="Times New Roman"/>
          <w:i/>
          <w:sz w:val="23"/>
          <w:szCs w:val="23"/>
        </w:rPr>
        <w:t>Archives of Gerontology and Geriatrics</w:t>
      </w:r>
      <w:r w:rsidR="00C3176C"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61</w:t>
      </w:r>
      <w:r w:rsidRPr="00F853DD">
        <w:rPr>
          <w:rFonts w:ascii="Times" w:hAnsi="Times" w:cs="Times New Roman"/>
          <w:sz w:val="23"/>
          <w:szCs w:val="23"/>
        </w:rPr>
        <w:t>, 411-418.</w:t>
      </w:r>
    </w:p>
    <w:p w14:paraId="76504BA7" w14:textId="79012253" w:rsidR="00DF05BD" w:rsidRPr="00F853DD" w:rsidRDefault="00DF05BD"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Luc, E.</w:t>
      </w:r>
      <w:r w:rsidR="00C3176C" w:rsidRPr="00F853DD">
        <w:rPr>
          <w:rFonts w:ascii="Times" w:hAnsi="Times" w:cs="Times New Roman"/>
          <w:sz w:val="23"/>
          <w:szCs w:val="23"/>
        </w:rPr>
        <w:t>,</w:t>
      </w:r>
      <w:r w:rsidRPr="00F853DD">
        <w:rPr>
          <w:rFonts w:ascii="Times" w:hAnsi="Times" w:cs="Times New Roman"/>
          <w:sz w:val="23"/>
          <w:szCs w:val="23"/>
        </w:rPr>
        <w:t xml:space="preserve"> (2009). </w:t>
      </w:r>
      <w:r w:rsidRPr="00F853DD">
        <w:rPr>
          <w:rFonts w:ascii="Times" w:hAnsi="Times" w:cs="Times New Roman"/>
          <w:i/>
          <w:sz w:val="23"/>
          <w:szCs w:val="23"/>
        </w:rPr>
        <w:t>Unleashing your leadership potential</w:t>
      </w:r>
      <w:r w:rsidRPr="00F853DD">
        <w:rPr>
          <w:rFonts w:ascii="Times" w:hAnsi="Times" w:cs="Times New Roman"/>
          <w:sz w:val="23"/>
          <w:szCs w:val="23"/>
        </w:rPr>
        <w:t xml:space="preserve">: </w:t>
      </w:r>
      <w:r w:rsidRPr="00F853DD">
        <w:rPr>
          <w:rFonts w:ascii="Times" w:hAnsi="Times" w:cs="Times New Roman"/>
          <w:i/>
          <w:sz w:val="23"/>
          <w:szCs w:val="23"/>
        </w:rPr>
        <w:t>Seven Strategies for Success.</w:t>
      </w:r>
    </w:p>
    <w:p w14:paraId="01734D71" w14:textId="7362214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Luh, A.</w:t>
      </w:r>
      <w:r w:rsidR="005B3352" w:rsidRPr="00F853DD">
        <w:rPr>
          <w:rFonts w:ascii="Times" w:hAnsi="Times" w:cs="Times New Roman"/>
          <w:sz w:val="23"/>
          <w:szCs w:val="23"/>
        </w:rPr>
        <w:t>,</w:t>
      </w:r>
      <w:r w:rsidRPr="00F853DD">
        <w:rPr>
          <w:rFonts w:ascii="Times" w:hAnsi="Times" w:cs="Times New Roman"/>
          <w:sz w:val="23"/>
          <w:szCs w:val="23"/>
        </w:rPr>
        <w:t xml:space="preserve"> (2003). A Golden Age of the Elderly? Old age in a historical perspective sold age in a historical perspective [online]. </w:t>
      </w:r>
      <w:r w:rsidRPr="00F853DD">
        <w:rPr>
          <w:rFonts w:ascii="Times" w:hAnsi="Times" w:cs="Times New Roman"/>
          <w:i/>
          <w:sz w:val="23"/>
          <w:szCs w:val="23"/>
        </w:rPr>
        <w:t>Journal of Gerontology and Geriatrics</w:t>
      </w:r>
      <w:r w:rsidR="005B335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 Available from: http://europepmc.org/abstract/med/12937936.</w:t>
      </w:r>
    </w:p>
    <w:p w14:paraId="3F6EA09F" w14:textId="364EC0AC"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lastRenderedPageBreak/>
        <w:t>Lundgren, S.</w:t>
      </w:r>
      <w:r w:rsidR="00DF05BD" w:rsidRPr="00F853DD">
        <w:rPr>
          <w:rFonts w:ascii="Times" w:hAnsi="Times" w:cs="Times New Roman"/>
          <w:sz w:val="23"/>
          <w:szCs w:val="23"/>
          <w:lang w:val="de-DE"/>
        </w:rPr>
        <w:t xml:space="preserve"> and Berg, L.</w:t>
      </w:r>
      <w:r w:rsidRPr="00F853DD">
        <w:rPr>
          <w:rFonts w:ascii="Times" w:hAnsi="Times" w:cs="Times New Roman"/>
          <w:sz w:val="23"/>
          <w:szCs w:val="23"/>
          <w:lang w:val="de-DE"/>
        </w:rPr>
        <w:t>,</w:t>
      </w:r>
      <w:r w:rsidR="00DF05BD" w:rsidRPr="00F853DD">
        <w:rPr>
          <w:rFonts w:ascii="Times" w:hAnsi="Times" w:cs="Times New Roman"/>
          <w:sz w:val="23"/>
          <w:szCs w:val="23"/>
          <w:lang w:val="de-DE"/>
        </w:rPr>
        <w:t xml:space="preserve"> (2011). </w:t>
      </w:r>
      <w:r w:rsidR="00DF05BD" w:rsidRPr="00F853DD">
        <w:rPr>
          <w:rFonts w:ascii="Times" w:hAnsi="Times" w:cs="Times New Roman"/>
          <w:sz w:val="23"/>
          <w:szCs w:val="23"/>
        </w:rPr>
        <w:t xml:space="preserve">The meanings and implications of receiving care. </w:t>
      </w:r>
      <w:r w:rsidR="00DF05BD" w:rsidRPr="00F853DD">
        <w:rPr>
          <w:rFonts w:ascii="Times" w:hAnsi="Times" w:cs="Times New Roman"/>
          <w:i/>
          <w:sz w:val="23"/>
          <w:szCs w:val="23"/>
        </w:rPr>
        <w:t>Scandinavian Journal of Caring Sciences</w:t>
      </w:r>
      <w:r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 235-242.</w:t>
      </w:r>
    </w:p>
    <w:p w14:paraId="1214D2ED" w14:textId="61C46A7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Luong, V.</w:t>
      </w:r>
      <w:r w:rsidR="005B3352" w:rsidRPr="00F853DD">
        <w:rPr>
          <w:rFonts w:ascii="Times" w:hAnsi="Times" w:cs="Times New Roman"/>
          <w:sz w:val="23"/>
          <w:szCs w:val="23"/>
        </w:rPr>
        <w:t>,</w:t>
      </w:r>
      <w:r w:rsidRPr="00F853DD">
        <w:rPr>
          <w:rFonts w:ascii="Times" w:hAnsi="Times" w:cs="Times New Roman"/>
          <w:sz w:val="23"/>
          <w:szCs w:val="23"/>
        </w:rPr>
        <w:t xml:space="preserve"> (2000). </w:t>
      </w:r>
      <w:r w:rsidRPr="00F853DD">
        <w:rPr>
          <w:rFonts w:ascii="Times" w:hAnsi="Times" w:cs="Times New Roman"/>
          <w:i/>
          <w:sz w:val="23"/>
          <w:szCs w:val="23"/>
        </w:rPr>
        <w:t xml:space="preserve">Theoretical explanations of differences in community-based long-term care use between black and white elders. </w:t>
      </w:r>
      <w:r w:rsidRPr="00F853DD">
        <w:rPr>
          <w:rFonts w:ascii="Times" w:hAnsi="Times" w:cs="Times New Roman"/>
          <w:sz w:val="23"/>
          <w:szCs w:val="23"/>
        </w:rPr>
        <w:t xml:space="preserve">[Unpublished item]. </w:t>
      </w:r>
    </w:p>
    <w:p w14:paraId="43EC80E6" w14:textId="38BBB84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w:t>
      </w:r>
      <w:r w:rsidR="005B3352" w:rsidRPr="00F853DD">
        <w:rPr>
          <w:rFonts w:ascii="Times" w:hAnsi="Times" w:cs="Times New Roman"/>
          <w:sz w:val="23"/>
          <w:szCs w:val="23"/>
        </w:rPr>
        <w:t>urbe-Puerto, K., Leandro, M.</w:t>
      </w:r>
      <w:r w:rsidRPr="00F853DD">
        <w:rPr>
          <w:rFonts w:ascii="Times" w:hAnsi="Times" w:cs="Times New Roman"/>
          <w:sz w:val="23"/>
          <w:szCs w:val="23"/>
        </w:rPr>
        <w:t xml:space="preserve"> and Baumann, M.</w:t>
      </w:r>
      <w:r w:rsidR="005B3352" w:rsidRPr="00F853DD">
        <w:rPr>
          <w:rFonts w:ascii="Times" w:hAnsi="Times" w:cs="Times New Roman"/>
          <w:sz w:val="23"/>
          <w:szCs w:val="23"/>
        </w:rPr>
        <w:t>,</w:t>
      </w:r>
      <w:r w:rsidRPr="00F853DD">
        <w:rPr>
          <w:rFonts w:ascii="Times" w:hAnsi="Times" w:cs="Times New Roman"/>
          <w:sz w:val="23"/>
          <w:szCs w:val="23"/>
        </w:rPr>
        <w:t xml:space="preserve"> (2012). Experiences of caregiving, satisfaction of life, and social repercussions among family caregivers, two years post-stroke. </w:t>
      </w:r>
      <w:r w:rsidRPr="00F853DD">
        <w:rPr>
          <w:rFonts w:ascii="Times" w:hAnsi="Times" w:cs="Times New Roman"/>
          <w:i/>
          <w:sz w:val="23"/>
          <w:szCs w:val="23"/>
        </w:rPr>
        <w:t>Social Work in Health Care</w:t>
      </w:r>
      <w:r w:rsidR="005B335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51</w:t>
      </w:r>
      <w:r w:rsidRPr="00F853DD">
        <w:rPr>
          <w:rFonts w:ascii="Times" w:hAnsi="Times" w:cs="Times New Roman"/>
          <w:sz w:val="23"/>
          <w:szCs w:val="23"/>
        </w:rPr>
        <w:t>, 725-742.</w:t>
      </w:r>
    </w:p>
    <w:p w14:paraId="6319D73C" w14:textId="216D49A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Lüscher, K. and Pillemer, K.</w:t>
      </w:r>
      <w:r w:rsidR="005B3352" w:rsidRPr="00F853DD">
        <w:rPr>
          <w:rFonts w:ascii="Times" w:hAnsi="Times" w:cs="Times New Roman"/>
          <w:sz w:val="23"/>
          <w:szCs w:val="23"/>
        </w:rPr>
        <w:t>,</w:t>
      </w:r>
      <w:r w:rsidRPr="00F853DD">
        <w:rPr>
          <w:rFonts w:ascii="Times" w:hAnsi="Times" w:cs="Times New Roman"/>
          <w:sz w:val="23"/>
          <w:szCs w:val="23"/>
        </w:rPr>
        <w:t xml:space="preserve"> (1998). Intergenerational ambivalence: </w:t>
      </w:r>
      <w:r w:rsidR="005B3352" w:rsidRPr="00F853DD">
        <w:rPr>
          <w:rFonts w:ascii="Times" w:hAnsi="Times" w:cs="Times New Roman"/>
          <w:sz w:val="23"/>
          <w:szCs w:val="23"/>
        </w:rPr>
        <w:t>a</w:t>
      </w:r>
      <w:r w:rsidRPr="00F853DD">
        <w:rPr>
          <w:rFonts w:ascii="Times" w:hAnsi="Times" w:cs="Times New Roman"/>
          <w:sz w:val="23"/>
          <w:szCs w:val="23"/>
        </w:rPr>
        <w:t xml:space="preserve"> new approach to the study of parent-child relations in later life. </w:t>
      </w:r>
      <w:r w:rsidRPr="00F853DD">
        <w:rPr>
          <w:rFonts w:ascii="Times" w:hAnsi="Times" w:cs="Times New Roman"/>
          <w:i/>
          <w:sz w:val="23"/>
          <w:szCs w:val="23"/>
        </w:rPr>
        <w:t>Journal of Marriage and the Family</w:t>
      </w:r>
      <w:r w:rsidR="005B3352" w:rsidRPr="00F853DD">
        <w:rPr>
          <w:rFonts w:ascii="Times" w:hAnsi="Times" w:cs="Times New Roman"/>
          <w:i/>
          <w:sz w:val="23"/>
          <w:szCs w:val="23"/>
        </w:rPr>
        <w:t>.</w:t>
      </w:r>
      <w:r w:rsidRPr="00F853DD">
        <w:rPr>
          <w:rFonts w:ascii="Times" w:hAnsi="Times" w:cs="Times New Roman"/>
          <w:sz w:val="23"/>
          <w:szCs w:val="23"/>
        </w:rPr>
        <w:t xml:space="preserve"> 413-425.</w:t>
      </w:r>
    </w:p>
    <w:p w14:paraId="71631746" w14:textId="6760A987"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Luthar, S.</w:t>
      </w:r>
      <w:r w:rsidR="00DF05BD" w:rsidRPr="00F853DD">
        <w:rPr>
          <w:rFonts w:ascii="Times" w:hAnsi="Times" w:cs="Times New Roman"/>
          <w:sz w:val="23"/>
          <w:szCs w:val="23"/>
        </w:rPr>
        <w:t>, Cicchetti, D. and Becker, B.</w:t>
      </w:r>
      <w:r w:rsidRPr="00F853DD">
        <w:rPr>
          <w:rFonts w:ascii="Times" w:hAnsi="Times" w:cs="Times New Roman"/>
          <w:sz w:val="23"/>
          <w:szCs w:val="23"/>
        </w:rPr>
        <w:t>,</w:t>
      </w:r>
      <w:r w:rsidR="00DF05BD" w:rsidRPr="00F853DD">
        <w:rPr>
          <w:rFonts w:ascii="Times" w:hAnsi="Times" w:cs="Times New Roman"/>
          <w:sz w:val="23"/>
          <w:szCs w:val="23"/>
        </w:rPr>
        <w:t xml:space="preserve"> (2000). The construct of resilience: </w:t>
      </w:r>
      <w:r w:rsidRPr="00F853DD">
        <w:rPr>
          <w:rFonts w:ascii="Times" w:hAnsi="Times" w:cs="Times New Roman"/>
          <w:sz w:val="23"/>
          <w:szCs w:val="23"/>
        </w:rPr>
        <w:t>a</w:t>
      </w:r>
      <w:r w:rsidR="00DF05BD" w:rsidRPr="00F853DD">
        <w:rPr>
          <w:rFonts w:ascii="Times" w:hAnsi="Times" w:cs="Times New Roman"/>
          <w:sz w:val="23"/>
          <w:szCs w:val="23"/>
        </w:rPr>
        <w:t xml:space="preserve"> critical evaluation and guidelines for future work. </w:t>
      </w:r>
      <w:r w:rsidR="00DF05BD" w:rsidRPr="00F853DD">
        <w:rPr>
          <w:rFonts w:ascii="Times" w:hAnsi="Times" w:cs="Times New Roman"/>
          <w:i/>
          <w:sz w:val="23"/>
          <w:szCs w:val="23"/>
        </w:rPr>
        <w:t>Child Development</w:t>
      </w:r>
      <w:r w:rsidR="00DF05BD" w:rsidRPr="00F853DD">
        <w:rPr>
          <w:rFonts w:ascii="Times" w:hAnsi="Times" w:cs="Times New Roman"/>
          <w:sz w:val="23"/>
          <w:szCs w:val="23"/>
        </w:rPr>
        <w:t xml:space="preserve">, </w:t>
      </w:r>
      <w:r w:rsidR="00DF05BD" w:rsidRPr="00F853DD">
        <w:rPr>
          <w:rFonts w:ascii="Times" w:hAnsi="Times" w:cs="Times New Roman"/>
          <w:b/>
          <w:sz w:val="23"/>
          <w:szCs w:val="23"/>
        </w:rPr>
        <w:t>71</w:t>
      </w:r>
      <w:r w:rsidR="00DF05BD" w:rsidRPr="00F853DD">
        <w:rPr>
          <w:rFonts w:ascii="Times" w:hAnsi="Times" w:cs="Times New Roman"/>
          <w:sz w:val="23"/>
          <w:szCs w:val="23"/>
        </w:rPr>
        <w:t>, 543-562.</w:t>
      </w:r>
    </w:p>
    <w:p w14:paraId="0180C9A7" w14:textId="039EB4B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Llynn, J. and Adamson, D.</w:t>
      </w:r>
      <w:r w:rsidR="005B3352" w:rsidRPr="00F853DD">
        <w:rPr>
          <w:rFonts w:ascii="Times" w:hAnsi="Times" w:cs="Times New Roman"/>
          <w:sz w:val="23"/>
          <w:szCs w:val="23"/>
        </w:rPr>
        <w:t>,</w:t>
      </w:r>
      <w:r w:rsidRPr="00F853DD">
        <w:rPr>
          <w:rFonts w:ascii="Times" w:hAnsi="Times" w:cs="Times New Roman"/>
          <w:sz w:val="23"/>
          <w:szCs w:val="23"/>
        </w:rPr>
        <w:t xml:space="preserve"> (2003). L</w:t>
      </w:r>
      <w:r w:rsidR="005B3352" w:rsidRPr="00F853DD">
        <w:rPr>
          <w:rFonts w:ascii="Times" w:hAnsi="Times" w:cs="Times New Roman"/>
          <w:sz w:val="23"/>
          <w:szCs w:val="23"/>
        </w:rPr>
        <w:t>iving well at the end of life: a</w:t>
      </w:r>
      <w:r w:rsidRPr="00F853DD">
        <w:rPr>
          <w:rFonts w:ascii="Times" w:hAnsi="Times" w:cs="Times New Roman"/>
          <w:sz w:val="23"/>
          <w:szCs w:val="23"/>
        </w:rPr>
        <w:t xml:space="preserve">dapting health care to serious chronic illness in old age [online].  RAND Corp Santa Monica CA. [Viewed 26 June 2019]. Available from: https://www.rand.org/content/dam/rand/pubs/white_papers/2005/WP137.pdf   </w:t>
      </w:r>
    </w:p>
    <w:p w14:paraId="44C4AA77" w14:textId="12D30064"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Lyon, C. and Parkins, J.,</w:t>
      </w:r>
      <w:r w:rsidR="00DF05BD" w:rsidRPr="00F853DD">
        <w:rPr>
          <w:rFonts w:ascii="Times" w:hAnsi="Times" w:cs="Times New Roman"/>
          <w:sz w:val="23"/>
          <w:szCs w:val="23"/>
        </w:rPr>
        <w:t xml:space="preserve"> (2013). Toward a social theory of resilience: social systems, cultural systems, and collective action in transitioning forest-based communities. </w:t>
      </w:r>
      <w:r w:rsidR="00DF05BD" w:rsidRPr="00F853DD">
        <w:rPr>
          <w:rFonts w:ascii="Times" w:hAnsi="Times" w:cs="Times New Roman"/>
          <w:i/>
          <w:sz w:val="23"/>
          <w:szCs w:val="23"/>
        </w:rPr>
        <w:t>Rural Sociology</w:t>
      </w:r>
      <w:r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78</w:t>
      </w:r>
      <w:r w:rsidR="00DF05BD" w:rsidRPr="00F853DD">
        <w:rPr>
          <w:rFonts w:ascii="Times" w:hAnsi="Times" w:cs="Times New Roman"/>
          <w:sz w:val="23"/>
          <w:szCs w:val="23"/>
        </w:rPr>
        <w:t>, 528-549.</w:t>
      </w:r>
    </w:p>
    <w:p w14:paraId="47CC63CF" w14:textId="2688786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Lyonette, C. and Yardley, L.</w:t>
      </w:r>
      <w:r w:rsidR="005B3352" w:rsidRPr="00F853DD">
        <w:rPr>
          <w:rFonts w:ascii="Times" w:hAnsi="Times" w:cs="Times New Roman"/>
          <w:sz w:val="23"/>
          <w:szCs w:val="23"/>
        </w:rPr>
        <w:t>,</w:t>
      </w:r>
      <w:r w:rsidRPr="00F853DD">
        <w:rPr>
          <w:rFonts w:ascii="Times" w:hAnsi="Times" w:cs="Times New Roman"/>
          <w:sz w:val="23"/>
          <w:szCs w:val="23"/>
        </w:rPr>
        <w:t xml:space="preserve"> (2003). The influence on carer wellbeing of motivations to care for older people and the relationship with the care recipient. </w:t>
      </w:r>
      <w:r w:rsidRPr="00F853DD">
        <w:rPr>
          <w:rFonts w:ascii="Times" w:hAnsi="Times" w:cs="Times New Roman"/>
          <w:i/>
          <w:sz w:val="23"/>
          <w:szCs w:val="23"/>
        </w:rPr>
        <w:t>Ageing and Society</w:t>
      </w:r>
      <w:r w:rsidR="005B335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00926E57" w:rsidRPr="00F853DD">
        <w:rPr>
          <w:rFonts w:ascii="Times" w:hAnsi="Times" w:cs="Times New Roman"/>
          <w:sz w:val="23"/>
          <w:szCs w:val="23"/>
        </w:rPr>
        <w:t>(4)</w:t>
      </w:r>
      <w:r w:rsidRPr="00F853DD">
        <w:rPr>
          <w:rFonts w:ascii="Times" w:hAnsi="Times" w:cs="Times New Roman"/>
          <w:sz w:val="23"/>
          <w:szCs w:val="23"/>
        </w:rPr>
        <w:t>, 487-506.</w:t>
      </w:r>
    </w:p>
    <w:p w14:paraId="071DD392" w14:textId="1BF1DB35"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Lyons, B. and Hall, R.,</w:t>
      </w:r>
      <w:r w:rsidR="00DF05BD" w:rsidRPr="00F853DD">
        <w:rPr>
          <w:rFonts w:ascii="Times" w:hAnsi="Times" w:cs="Times New Roman"/>
          <w:sz w:val="23"/>
          <w:szCs w:val="23"/>
        </w:rPr>
        <w:t xml:space="preserve"> (2016). Outcomes of a falls prevention education program among older adults in Grenada. </w:t>
      </w:r>
      <w:r w:rsidR="00DF05BD" w:rsidRPr="00F853DD">
        <w:rPr>
          <w:rFonts w:ascii="Times" w:hAnsi="Times" w:cs="Times New Roman"/>
          <w:i/>
          <w:sz w:val="23"/>
          <w:szCs w:val="23"/>
        </w:rPr>
        <w:t>Journal of Community Health</w:t>
      </w:r>
      <w:r w:rsidR="003A3ACD" w:rsidRPr="00F853DD">
        <w:rPr>
          <w:rFonts w:ascii="Times" w:hAnsi="Times" w:cs="Times New Roman"/>
          <w:i/>
          <w:sz w:val="23"/>
          <w:szCs w:val="23"/>
        </w:rPr>
        <w:t xml:space="preserve"> </w:t>
      </w:r>
      <w:r w:rsidR="003A3ACD" w:rsidRPr="00F853DD">
        <w:rPr>
          <w:rFonts w:ascii="Times" w:hAnsi="Times" w:cs="Times New Roman"/>
          <w:sz w:val="23"/>
          <w:szCs w:val="23"/>
        </w:rPr>
        <w:t>[online].</w:t>
      </w:r>
      <w:r w:rsidR="00DF05BD" w:rsidRPr="00F853DD">
        <w:rPr>
          <w:rFonts w:ascii="Times" w:hAnsi="Times" w:cs="Times New Roman"/>
          <w:sz w:val="23"/>
          <w:szCs w:val="23"/>
        </w:rPr>
        <w:t xml:space="preserve"> </w:t>
      </w:r>
      <w:r w:rsidR="00DF05BD" w:rsidRPr="00F853DD">
        <w:rPr>
          <w:rFonts w:ascii="Times" w:hAnsi="Times" w:cs="Times New Roman"/>
          <w:b/>
          <w:sz w:val="23"/>
          <w:szCs w:val="23"/>
        </w:rPr>
        <w:t>41</w:t>
      </w:r>
      <w:r w:rsidR="003A3ACD" w:rsidRPr="00F853DD">
        <w:rPr>
          <w:rFonts w:ascii="Times" w:hAnsi="Times" w:cs="Times New Roman"/>
          <w:sz w:val="23"/>
          <w:szCs w:val="23"/>
        </w:rPr>
        <w:t>(5)</w:t>
      </w:r>
      <w:r w:rsidR="00DF05BD" w:rsidRPr="00F853DD">
        <w:rPr>
          <w:rFonts w:ascii="Times" w:hAnsi="Times" w:cs="Times New Roman"/>
          <w:sz w:val="23"/>
          <w:szCs w:val="23"/>
        </w:rPr>
        <w:t>, 1021-1026.</w:t>
      </w:r>
      <w:r w:rsidR="003A3ACD" w:rsidRPr="00F853DD">
        <w:rPr>
          <w:rFonts w:ascii="Times" w:hAnsi="Times" w:cs="Times New Roman"/>
          <w:sz w:val="23"/>
          <w:szCs w:val="23"/>
        </w:rPr>
        <w:t xml:space="preserve"> [Viewed 21 August 2017]. Available from: doi: 10.1007/s10900-016-0185-7</w:t>
      </w:r>
    </w:p>
    <w:p w14:paraId="1E4A3393" w14:textId="7A6F7742"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 S. and Wen, F.,</w:t>
      </w:r>
      <w:r w:rsidR="00DF05BD" w:rsidRPr="00F853DD">
        <w:rPr>
          <w:rFonts w:ascii="Times" w:hAnsi="Times" w:cs="Times New Roman"/>
          <w:sz w:val="23"/>
          <w:szCs w:val="23"/>
        </w:rPr>
        <w:t xml:space="preserve"> (2016). Who </w:t>
      </w:r>
      <w:r w:rsidRPr="00F853DD">
        <w:rPr>
          <w:rFonts w:ascii="Times" w:hAnsi="Times" w:cs="Times New Roman"/>
          <w:sz w:val="23"/>
          <w:szCs w:val="23"/>
        </w:rPr>
        <w:t>c</w:t>
      </w:r>
      <w:r w:rsidR="00DF05BD" w:rsidRPr="00F853DD">
        <w:rPr>
          <w:rFonts w:ascii="Times" w:hAnsi="Times" w:cs="Times New Roman"/>
          <w:sz w:val="23"/>
          <w:szCs w:val="23"/>
        </w:rPr>
        <w:t xml:space="preserve">oresides </w:t>
      </w:r>
      <w:r w:rsidRPr="00F853DD">
        <w:rPr>
          <w:rFonts w:ascii="Times" w:hAnsi="Times" w:cs="Times New Roman"/>
          <w:sz w:val="23"/>
          <w:szCs w:val="23"/>
        </w:rPr>
        <w:t>w</w:t>
      </w:r>
      <w:r w:rsidR="00DF05BD" w:rsidRPr="00F853DD">
        <w:rPr>
          <w:rFonts w:ascii="Times" w:hAnsi="Times" w:cs="Times New Roman"/>
          <w:sz w:val="23"/>
          <w:szCs w:val="23"/>
        </w:rPr>
        <w:t xml:space="preserve">ith </w:t>
      </w:r>
      <w:r w:rsidRPr="00F853DD">
        <w:rPr>
          <w:rFonts w:ascii="Times" w:hAnsi="Times" w:cs="Times New Roman"/>
          <w:sz w:val="23"/>
          <w:szCs w:val="23"/>
        </w:rPr>
        <w:t>p</w:t>
      </w:r>
      <w:r w:rsidR="00DF05BD" w:rsidRPr="00F853DD">
        <w:rPr>
          <w:rFonts w:ascii="Times" w:hAnsi="Times" w:cs="Times New Roman"/>
          <w:sz w:val="23"/>
          <w:szCs w:val="23"/>
        </w:rPr>
        <w:t xml:space="preserve">arents? An </w:t>
      </w:r>
      <w:r w:rsidRPr="00F853DD">
        <w:rPr>
          <w:rFonts w:ascii="Times" w:hAnsi="Times" w:cs="Times New Roman"/>
          <w:sz w:val="23"/>
          <w:szCs w:val="23"/>
        </w:rPr>
        <w:t>a</w:t>
      </w:r>
      <w:r w:rsidR="00DF05BD" w:rsidRPr="00F853DD">
        <w:rPr>
          <w:rFonts w:ascii="Times" w:hAnsi="Times" w:cs="Times New Roman"/>
          <w:sz w:val="23"/>
          <w:szCs w:val="23"/>
        </w:rPr>
        <w:t xml:space="preserve">nalysis </w:t>
      </w:r>
      <w:r w:rsidRPr="00F853DD">
        <w:rPr>
          <w:rFonts w:ascii="Times" w:hAnsi="Times" w:cs="Times New Roman"/>
          <w:sz w:val="23"/>
          <w:szCs w:val="23"/>
        </w:rPr>
        <w:t>b</w:t>
      </w:r>
      <w:r w:rsidR="00DF05BD" w:rsidRPr="00F853DD">
        <w:rPr>
          <w:rFonts w:ascii="Times" w:hAnsi="Times" w:cs="Times New Roman"/>
          <w:sz w:val="23"/>
          <w:szCs w:val="23"/>
        </w:rPr>
        <w:t xml:space="preserve">ased on </w:t>
      </w:r>
      <w:r w:rsidRPr="00F853DD">
        <w:rPr>
          <w:rFonts w:ascii="Times" w:hAnsi="Times" w:cs="Times New Roman"/>
          <w:sz w:val="23"/>
          <w:szCs w:val="23"/>
        </w:rPr>
        <w:t>s</w:t>
      </w:r>
      <w:r w:rsidR="00DF05BD" w:rsidRPr="00F853DD">
        <w:rPr>
          <w:rFonts w:ascii="Times" w:hAnsi="Times" w:cs="Times New Roman"/>
          <w:sz w:val="23"/>
          <w:szCs w:val="23"/>
        </w:rPr>
        <w:t xml:space="preserve">ibling </w:t>
      </w:r>
      <w:r w:rsidRPr="00F853DD">
        <w:rPr>
          <w:rFonts w:ascii="Times" w:hAnsi="Times" w:cs="Times New Roman"/>
          <w:sz w:val="23"/>
          <w:szCs w:val="23"/>
        </w:rPr>
        <w:t>c</w:t>
      </w:r>
      <w:r w:rsidR="00DF05BD" w:rsidRPr="00F853DD">
        <w:rPr>
          <w:rFonts w:ascii="Times" w:hAnsi="Times" w:cs="Times New Roman"/>
          <w:sz w:val="23"/>
          <w:szCs w:val="23"/>
        </w:rPr>
        <w:t xml:space="preserve">omparative </w:t>
      </w:r>
      <w:r w:rsidRPr="00F853DD">
        <w:rPr>
          <w:rFonts w:ascii="Times" w:hAnsi="Times" w:cs="Times New Roman"/>
          <w:sz w:val="23"/>
          <w:szCs w:val="23"/>
        </w:rPr>
        <w:t>a</w:t>
      </w:r>
      <w:r w:rsidR="00DF05BD" w:rsidRPr="00F853DD">
        <w:rPr>
          <w:rFonts w:ascii="Times" w:hAnsi="Times" w:cs="Times New Roman"/>
          <w:sz w:val="23"/>
          <w:szCs w:val="23"/>
        </w:rPr>
        <w:t xml:space="preserve">dvantage. </w:t>
      </w:r>
      <w:r w:rsidR="00DF05BD" w:rsidRPr="00F853DD">
        <w:rPr>
          <w:rFonts w:ascii="Times" w:hAnsi="Times" w:cs="Times New Roman"/>
          <w:i/>
          <w:sz w:val="23"/>
          <w:szCs w:val="23"/>
        </w:rPr>
        <w:t>Demography</w:t>
      </w:r>
      <w:r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53</w:t>
      </w:r>
      <w:r w:rsidR="00DF05BD" w:rsidRPr="00F853DD">
        <w:rPr>
          <w:rFonts w:ascii="Times" w:hAnsi="Times" w:cs="Times New Roman"/>
          <w:sz w:val="23"/>
          <w:szCs w:val="23"/>
        </w:rPr>
        <w:t>, 623-647.</w:t>
      </w:r>
    </w:p>
    <w:p w14:paraId="1FA95656" w14:textId="0076AC6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Maarse, J. and Jeurissen, P.</w:t>
      </w:r>
      <w:r w:rsidR="005B3352" w:rsidRPr="00F853DD">
        <w:rPr>
          <w:rFonts w:ascii="Times" w:hAnsi="Times" w:cs="Times New Roman"/>
          <w:sz w:val="23"/>
          <w:szCs w:val="23"/>
        </w:rPr>
        <w:t>,</w:t>
      </w:r>
      <w:r w:rsidRPr="00F853DD">
        <w:rPr>
          <w:rFonts w:ascii="Times" w:hAnsi="Times" w:cs="Times New Roman"/>
          <w:sz w:val="23"/>
          <w:szCs w:val="23"/>
        </w:rPr>
        <w:t xml:space="preserve"> (2016). The policy and politics of the 2015 long-term care reform in the Netherlands. </w:t>
      </w:r>
      <w:r w:rsidRPr="00F853DD">
        <w:rPr>
          <w:rFonts w:ascii="Times" w:hAnsi="Times" w:cs="Times New Roman"/>
          <w:i/>
          <w:sz w:val="23"/>
          <w:szCs w:val="23"/>
        </w:rPr>
        <w:t>Health Policy</w:t>
      </w:r>
      <w:r w:rsidR="005B335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120</w:t>
      </w:r>
      <w:r w:rsidRPr="00F853DD">
        <w:rPr>
          <w:rFonts w:ascii="Times" w:hAnsi="Times" w:cs="Times New Roman"/>
          <w:sz w:val="23"/>
          <w:szCs w:val="23"/>
        </w:rPr>
        <w:t>(3), 241-245.</w:t>
      </w:r>
    </w:p>
    <w:p w14:paraId="3E61E31B" w14:textId="062699D2"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Maddox, G.,</w:t>
      </w:r>
      <w:r w:rsidR="00DF05BD" w:rsidRPr="00F853DD">
        <w:rPr>
          <w:rFonts w:ascii="Times" w:hAnsi="Times" w:cs="Times New Roman"/>
          <w:sz w:val="23"/>
          <w:szCs w:val="23"/>
        </w:rPr>
        <w:t xml:space="preserve"> (1993). </w:t>
      </w:r>
      <w:r w:rsidR="00DF05BD" w:rsidRPr="00F853DD">
        <w:rPr>
          <w:rFonts w:ascii="Times" w:hAnsi="Times" w:cs="Times New Roman"/>
          <w:i/>
          <w:sz w:val="23"/>
          <w:szCs w:val="23"/>
        </w:rPr>
        <w:t>Annual Review of Gerontology and Geriatrics: Focus on Kinship, Aging, and Social Change</w:t>
      </w:r>
      <w:r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13</w:t>
      </w:r>
      <w:r w:rsidR="00DF05BD" w:rsidRPr="00F853DD">
        <w:rPr>
          <w:rFonts w:ascii="Times" w:hAnsi="Times" w:cs="Times New Roman"/>
          <w:sz w:val="23"/>
          <w:szCs w:val="23"/>
        </w:rPr>
        <w:t>. Springer Publishing Company.</w:t>
      </w:r>
    </w:p>
    <w:p w14:paraId="4C524FAF" w14:textId="50E572B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Mac Donald et al.</w:t>
      </w:r>
      <w:r w:rsidR="005B3352" w:rsidRPr="00F853DD">
        <w:rPr>
          <w:rFonts w:ascii="Times" w:hAnsi="Times" w:cs="Times New Roman"/>
          <w:sz w:val="23"/>
          <w:szCs w:val="23"/>
        </w:rPr>
        <w:t>,</w:t>
      </w:r>
      <w:r w:rsidRPr="00F853DD">
        <w:rPr>
          <w:rFonts w:ascii="Times" w:hAnsi="Times" w:cs="Times New Roman"/>
          <w:sz w:val="23"/>
          <w:szCs w:val="23"/>
        </w:rPr>
        <w:t xml:space="preserve"> (2015). Gender </w:t>
      </w:r>
      <w:r w:rsidR="005B3352" w:rsidRPr="00F853DD">
        <w:rPr>
          <w:rFonts w:ascii="Times" w:hAnsi="Times" w:cs="Times New Roman"/>
          <w:sz w:val="23"/>
          <w:szCs w:val="23"/>
        </w:rPr>
        <w:t>p</w:t>
      </w:r>
      <w:r w:rsidRPr="00F853DD">
        <w:rPr>
          <w:rFonts w:ascii="Times" w:hAnsi="Times" w:cs="Times New Roman"/>
          <w:sz w:val="23"/>
          <w:szCs w:val="23"/>
        </w:rPr>
        <w:t xml:space="preserve">rofile: Trinidad and Tobago [online]. </w:t>
      </w:r>
      <w:r w:rsidRPr="00F853DD">
        <w:rPr>
          <w:rFonts w:ascii="Times" w:hAnsi="Times" w:cs="Times New Roman"/>
          <w:i/>
          <w:sz w:val="23"/>
          <w:szCs w:val="23"/>
        </w:rPr>
        <w:t>Commonwealth of Learning</w:t>
      </w:r>
      <w:r w:rsidRPr="00F853DD">
        <w:rPr>
          <w:rFonts w:ascii="Times" w:hAnsi="Times" w:cs="Times New Roman"/>
          <w:sz w:val="23"/>
          <w:szCs w:val="23"/>
        </w:rPr>
        <w:t xml:space="preserve">. [Viewed on 14 July 2019]. Available from: http://oasis.col.org/bitstream/handle/11599/938/2015_MacDonaldE_etal_Gender-Profile-Trinidad&amp;Tobago.pdf;sequence=3 </w:t>
      </w:r>
    </w:p>
    <w:p w14:paraId="0CC7D45A" w14:textId="69309B8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w:t>
      </w:r>
      <w:r w:rsidRPr="00F853DD">
        <w:rPr>
          <w:rFonts w:ascii="Times" w:hAnsi="Times"/>
          <w:sz w:val="23"/>
          <w:szCs w:val="23"/>
        </w:rPr>
        <w:t>ack, N.</w:t>
      </w:r>
      <w:r w:rsidR="005B3352" w:rsidRPr="00F853DD">
        <w:rPr>
          <w:rFonts w:ascii="Times" w:hAnsi="Times"/>
          <w:sz w:val="23"/>
          <w:szCs w:val="23"/>
        </w:rPr>
        <w:t>,</w:t>
      </w:r>
      <w:r w:rsidRPr="00F853DD">
        <w:rPr>
          <w:rFonts w:ascii="Times" w:hAnsi="Times"/>
          <w:sz w:val="23"/>
          <w:szCs w:val="23"/>
        </w:rPr>
        <w:t xml:space="preserve"> (2005). Qualitative research methods: </w:t>
      </w:r>
      <w:r w:rsidR="005B3352" w:rsidRPr="00F853DD">
        <w:rPr>
          <w:rFonts w:ascii="Times" w:hAnsi="Times"/>
          <w:sz w:val="23"/>
          <w:szCs w:val="23"/>
        </w:rPr>
        <w:t>a</w:t>
      </w:r>
      <w:r w:rsidRPr="00F853DD">
        <w:rPr>
          <w:rFonts w:ascii="Times" w:hAnsi="Times"/>
          <w:sz w:val="23"/>
          <w:szCs w:val="23"/>
        </w:rPr>
        <w:t xml:space="preserve"> data collector’s field guide [online]. Available from: </w:t>
      </w:r>
      <w:r w:rsidRPr="00F853DD">
        <w:rPr>
          <w:rFonts w:ascii="Times" w:hAnsi="Times"/>
          <w:sz w:val="23"/>
          <w:szCs w:val="23"/>
          <w:bdr w:val="none" w:sz="0" w:space="0" w:color="auto" w:frame="1"/>
        </w:rPr>
        <w:t>http://repository.umpwr.ac.id:8080/bitstream/handle/123456789/3721/Qualitative%20Research%20Methods_Mack%20et%20al_05.pdf?sequence=1</w:t>
      </w:r>
    </w:p>
    <w:p w14:paraId="692A4A1F" w14:textId="78784C2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Macleod, S., Musich, S., Hawkins, K</w:t>
      </w:r>
      <w:r w:rsidR="005B3352" w:rsidRPr="00F853DD">
        <w:rPr>
          <w:rFonts w:ascii="Times" w:hAnsi="Times" w:cs="Times New Roman"/>
          <w:sz w:val="23"/>
          <w:szCs w:val="23"/>
        </w:rPr>
        <w:t>., Alsgaard, K. and Wicker, E</w:t>
      </w:r>
      <w:r w:rsidRPr="00F853DD">
        <w:rPr>
          <w:rFonts w:ascii="Times" w:hAnsi="Times" w:cs="Times New Roman"/>
          <w:sz w:val="23"/>
          <w:szCs w:val="23"/>
        </w:rPr>
        <w:t>.</w:t>
      </w:r>
      <w:r w:rsidR="005B3352" w:rsidRPr="00F853DD">
        <w:rPr>
          <w:rFonts w:ascii="Times" w:hAnsi="Times" w:cs="Times New Roman"/>
          <w:sz w:val="23"/>
          <w:szCs w:val="23"/>
        </w:rPr>
        <w:t>,</w:t>
      </w:r>
      <w:r w:rsidRPr="00F853DD">
        <w:rPr>
          <w:rFonts w:ascii="Times" w:hAnsi="Times" w:cs="Times New Roman"/>
          <w:sz w:val="23"/>
          <w:szCs w:val="23"/>
        </w:rPr>
        <w:t xml:space="preserve"> (2016). The impact of resilience among older adults. </w:t>
      </w:r>
      <w:r w:rsidRPr="00F853DD">
        <w:rPr>
          <w:rFonts w:ascii="Times" w:hAnsi="Times" w:cs="Times New Roman"/>
          <w:i/>
          <w:sz w:val="23"/>
          <w:szCs w:val="23"/>
        </w:rPr>
        <w:t>Geriatric Nursing</w:t>
      </w:r>
      <w:r w:rsidR="005B335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w:t>
      </w:r>
      <w:r w:rsidRPr="00F853DD">
        <w:rPr>
          <w:rFonts w:ascii="Times" w:hAnsi="Times" w:cs="Times New Roman"/>
          <w:sz w:val="23"/>
          <w:szCs w:val="23"/>
        </w:rPr>
        <w:t>, 266-272.</w:t>
      </w:r>
    </w:p>
    <w:p w14:paraId="166A87C4" w14:textId="6D3FAD7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Macphee, D., Lunkenheimer, E. and Riggs, N.</w:t>
      </w:r>
      <w:r w:rsidR="005B3352" w:rsidRPr="00F853DD">
        <w:rPr>
          <w:rFonts w:ascii="Times" w:hAnsi="Times" w:cs="Times New Roman"/>
          <w:sz w:val="23"/>
          <w:szCs w:val="23"/>
        </w:rPr>
        <w:t>,</w:t>
      </w:r>
      <w:r w:rsidRPr="00F853DD">
        <w:rPr>
          <w:rFonts w:ascii="Times" w:hAnsi="Times" w:cs="Times New Roman"/>
          <w:sz w:val="23"/>
          <w:szCs w:val="23"/>
        </w:rPr>
        <w:t xml:space="preserve"> (2015). Resilience as </w:t>
      </w:r>
      <w:r w:rsidR="005B3352" w:rsidRPr="00F853DD">
        <w:rPr>
          <w:rFonts w:ascii="Times" w:hAnsi="Times" w:cs="Times New Roman"/>
          <w:sz w:val="23"/>
          <w:szCs w:val="23"/>
        </w:rPr>
        <w:t>r</w:t>
      </w:r>
      <w:r w:rsidRPr="00F853DD">
        <w:rPr>
          <w:rFonts w:ascii="Times" w:hAnsi="Times" w:cs="Times New Roman"/>
          <w:sz w:val="23"/>
          <w:szCs w:val="23"/>
        </w:rPr>
        <w:t xml:space="preserve">egulation of </w:t>
      </w:r>
      <w:r w:rsidR="005B3352" w:rsidRPr="00F853DD">
        <w:rPr>
          <w:rFonts w:ascii="Times" w:hAnsi="Times" w:cs="Times New Roman"/>
          <w:sz w:val="23"/>
          <w:szCs w:val="23"/>
        </w:rPr>
        <w:t>d</w:t>
      </w:r>
      <w:r w:rsidRPr="00F853DD">
        <w:rPr>
          <w:rFonts w:ascii="Times" w:hAnsi="Times" w:cs="Times New Roman"/>
          <w:sz w:val="23"/>
          <w:szCs w:val="23"/>
        </w:rPr>
        <w:t xml:space="preserve">evelopmental and </w:t>
      </w:r>
      <w:r w:rsidR="005B3352" w:rsidRPr="00F853DD">
        <w:rPr>
          <w:rFonts w:ascii="Times" w:hAnsi="Times" w:cs="Times New Roman"/>
          <w:sz w:val="23"/>
          <w:szCs w:val="23"/>
        </w:rPr>
        <w:t>f</w:t>
      </w:r>
      <w:r w:rsidRPr="00F853DD">
        <w:rPr>
          <w:rFonts w:ascii="Times" w:hAnsi="Times" w:cs="Times New Roman"/>
          <w:sz w:val="23"/>
          <w:szCs w:val="23"/>
        </w:rPr>
        <w:t xml:space="preserve">amily Processes. </w:t>
      </w:r>
      <w:r w:rsidRPr="00F853DD">
        <w:rPr>
          <w:rFonts w:ascii="Times" w:hAnsi="Times" w:cs="Times New Roman"/>
          <w:i/>
          <w:sz w:val="23"/>
          <w:szCs w:val="23"/>
        </w:rPr>
        <w:t>Family Relations</w:t>
      </w:r>
      <w:r w:rsidR="005B335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64</w:t>
      </w:r>
      <w:r w:rsidRPr="00F853DD">
        <w:rPr>
          <w:rFonts w:ascii="Times" w:hAnsi="Times" w:cs="Times New Roman"/>
          <w:sz w:val="23"/>
          <w:szCs w:val="23"/>
        </w:rPr>
        <w:t>, 153-175.</w:t>
      </w:r>
    </w:p>
    <w:p w14:paraId="0FE73163" w14:textId="05886C6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Macrae, H.</w:t>
      </w:r>
      <w:r w:rsidR="005B3352" w:rsidRPr="00F853DD">
        <w:rPr>
          <w:rFonts w:ascii="Times" w:hAnsi="Times" w:cs="Times New Roman"/>
          <w:sz w:val="23"/>
          <w:szCs w:val="23"/>
        </w:rPr>
        <w:t>,</w:t>
      </w:r>
      <w:r w:rsidRPr="00F853DD">
        <w:rPr>
          <w:rFonts w:ascii="Times" w:hAnsi="Times" w:cs="Times New Roman"/>
          <w:sz w:val="23"/>
          <w:szCs w:val="23"/>
        </w:rPr>
        <w:t xml:space="preserve"> (1992). Fictive </w:t>
      </w:r>
      <w:r w:rsidR="005B3352" w:rsidRPr="00F853DD">
        <w:rPr>
          <w:rFonts w:ascii="Times" w:hAnsi="Times" w:cs="Times New Roman"/>
          <w:sz w:val="23"/>
          <w:szCs w:val="23"/>
        </w:rPr>
        <w:t>k</w:t>
      </w:r>
      <w:r w:rsidRPr="00F853DD">
        <w:rPr>
          <w:rFonts w:ascii="Times" w:hAnsi="Times" w:cs="Times New Roman"/>
          <w:sz w:val="23"/>
          <w:szCs w:val="23"/>
        </w:rPr>
        <w:t xml:space="preserve">in as a </w:t>
      </w:r>
      <w:r w:rsidR="005B3352" w:rsidRPr="00F853DD">
        <w:rPr>
          <w:rFonts w:ascii="Times" w:hAnsi="Times" w:cs="Times New Roman"/>
          <w:sz w:val="23"/>
          <w:szCs w:val="23"/>
        </w:rPr>
        <w:t>c</w:t>
      </w:r>
      <w:r w:rsidRPr="00F853DD">
        <w:rPr>
          <w:rFonts w:ascii="Times" w:hAnsi="Times" w:cs="Times New Roman"/>
          <w:sz w:val="23"/>
          <w:szCs w:val="23"/>
        </w:rPr>
        <w:t xml:space="preserve">omponent of the </w:t>
      </w:r>
      <w:r w:rsidR="005B3352" w:rsidRPr="00F853DD">
        <w:rPr>
          <w:rFonts w:ascii="Times" w:hAnsi="Times" w:cs="Times New Roman"/>
          <w:sz w:val="23"/>
          <w:szCs w:val="23"/>
        </w:rPr>
        <w:t>s</w:t>
      </w:r>
      <w:r w:rsidRPr="00F853DD">
        <w:rPr>
          <w:rFonts w:ascii="Times" w:hAnsi="Times" w:cs="Times New Roman"/>
          <w:sz w:val="23"/>
          <w:szCs w:val="23"/>
        </w:rPr>
        <w:t xml:space="preserve">ocial </w:t>
      </w:r>
      <w:r w:rsidR="005B3352" w:rsidRPr="00F853DD">
        <w:rPr>
          <w:rFonts w:ascii="Times" w:hAnsi="Times" w:cs="Times New Roman"/>
          <w:sz w:val="23"/>
          <w:szCs w:val="23"/>
        </w:rPr>
        <w:t>n</w:t>
      </w:r>
      <w:r w:rsidRPr="00F853DD">
        <w:rPr>
          <w:rFonts w:ascii="Times" w:hAnsi="Times" w:cs="Times New Roman"/>
          <w:sz w:val="23"/>
          <w:szCs w:val="23"/>
        </w:rPr>
        <w:t xml:space="preserve">etworks of </w:t>
      </w:r>
      <w:r w:rsidR="005B3352" w:rsidRPr="00F853DD">
        <w:rPr>
          <w:rFonts w:ascii="Times" w:hAnsi="Times" w:cs="Times New Roman"/>
          <w:sz w:val="23"/>
          <w:szCs w:val="23"/>
        </w:rPr>
        <w:t>o</w:t>
      </w:r>
      <w:r w:rsidRPr="00F853DD">
        <w:rPr>
          <w:rFonts w:ascii="Times" w:hAnsi="Times" w:cs="Times New Roman"/>
          <w:sz w:val="23"/>
          <w:szCs w:val="23"/>
        </w:rPr>
        <w:t xml:space="preserve">lder </w:t>
      </w:r>
      <w:r w:rsidR="005B3352" w:rsidRPr="00F853DD">
        <w:rPr>
          <w:rFonts w:ascii="Times" w:hAnsi="Times" w:cs="Times New Roman"/>
          <w:sz w:val="23"/>
          <w:szCs w:val="23"/>
        </w:rPr>
        <w:t>p</w:t>
      </w:r>
      <w:r w:rsidRPr="00F853DD">
        <w:rPr>
          <w:rFonts w:ascii="Times" w:hAnsi="Times" w:cs="Times New Roman"/>
          <w:sz w:val="23"/>
          <w:szCs w:val="23"/>
        </w:rPr>
        <w:t xml:space="preserve">eople. </w:t>
      </w:r>
      <w:r w:rsidRPr="00F853DD">
        <w:rPr>
          <w:rFonts w:ascii="Times" w:hAnsi="Times" w:cs="Times New Roman"/>
          <w:i/>
          <w:sz w:val="23"/>
          <w:szCs w:val="23"/>
        </w:rPr>
        <w:t>Research on Aging</w:t>
      </w:r>
      <w:r w:rsidR="005B335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226-247.</w:t>
      </w:r>
    </w:p>
    <w:p w14:paraId="335E6BDF" w14:textId="6243C1D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Maguire, M. and Delahunt, B.</w:t>
      </w:r>
      <w:r w:rsidR="005B3352" w:rsidRPr="00F853DD">
        <w:rPr>
          <w:rFonts w:ascii="Times" w:hAnsi="Times" w:cs="Times New Roman"/>
          <w:sz w:val="23"/>
          <w:szCs w:val="23"/>
        </w:rPr>
        <w:t>,</w:t>
      </w:r>
      <w:r w:rsidRPr="00F853DD">
        <w:rPr>
          <w:rFonts w:ascii="Times" w:hAnsi="Times" w:cs="Times New Roman"/>
          <w:sz w:val="23"/>
          <w:szCs w:val="23"/>
        </w:rPr>
        <w:t xml:space="preserve"> (2017). Doing a thematic analysis: </w:t>
      </w:r>
      <w:r w:rsidR="005B3352" w:rsidRPr="00F853DD">
        <w:rPr>
          <w:rFonts w:ascii="Times" w:hAnsi="Times" w:cs="Times New Roman"/>
          <w:sz w:val="23"/>
          <w:szCs w:val="23"/>
        </w:rPr>
        <w:t>a</w:t>
      </w:r>
      <w:r w:rsidRPr="00F853DD">
        <w:rPr>
          <w:rFonts w:ascii="Times" w:hAnsi="Times" w:cs="Times New Roman"/>
          <w:sz w:val="23"/>
          <w:szCs w:val="23"/>
        </w:rPr>
        <w:t xml:space="preserve"> practical, step-by-step guide for learning and teaching scholars. AISHE-J: </w:t>
      </w:r>
      <w:r w:rsidRPr="00F853DD">
        <w:rPr>
          <w:rFonts w:ascii="Times" w:hAnsi="Times" w:cs="Times New Roman"/>
          <w:i/>
          <w:sz w:val="23"/>
          <w:szCs w:val="23"/>
        </w:rPr>
        <w:t>The All Ireland Journal of Teaching an</w:t>
      </w:r>
      <w:r w:rsidR="005B3352" w:rsidRPr="00F853DD">
        <w:rPr>
          <w:rFonts w:ascii="Times" w:hAnsi="Times" w:cs="Times New Roman"/>
          <w:i/>
          <w:sz w:val="23"/>
          <w:szCs w:val="23"/>
        </w:rPr>
        <w:t>d Learning in Higher Education</w:t>
      </w:r>
      <w:r w:rsidR="005B3352"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(3).</w:t>
      </w:r>
    </w:p>
    <w:p w14:paraId="485D19BC" w14:textId="313811C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Mahabir, C.</w:t>
      </w:r>
      <w:r w:rsidR="005B3352" w:rsidRPr="00F853DD">
        <w:rPr>
          <w:rFonts w:ascii="Times" w:hAnsi="Times" w:cs="Times New Roman"/>
          <w:sz w:val="23"/>
          <w:szCs w:val="23"/>
        </w:rPr>
        <w:t>,</w:t>
      </w:r>
      <w:r w:rsidRPr="00F853DD">
        <w:rPr>
          <w:rFonts w:ascii="Times" w:hAnsi="Times" w:cs="Times New Roman"/>
          <w:sz w:val="23"/>
          <w:szCs w:val="23"/>
        </w:rPr>
        <w:t xml:space="preserve"> (</w:t>
      </w:r>
      <w:r w:rsidR="005B3352" w:rsidRPr="00F853DD">
        <w:rPr>
          <w:rFonts w:ascii="Times" w:hAnsi="Times" w:cs="Times New Roman"/>
          <w:sz w:val="23"/>
          <w:szCs w:val="23"/>
        </w:rPr>
        <w:t>2004). Adjudicating pluralism: t</w:t>
      </w:r>
      <w:r w:rsidRPr="00F853DD">
        <w:rPr>
          <w:rFonts w:ascii="Times" w:hAnsi="Times" w:cs="Times New Roman"/>
          <w:sz w:val="23"/>
          <w:szCs w:val="23"/>
        </w:rPr>
        <w:t xml:space="preserve">he hijab, law and social change in post-colonial Trinidad. </w:t>
      </w:r>
      <w:r w:rsidRPr="00F853DD">
        <w:rPr>
          <w:rFonts w:ascii="Times" w:hAnsi="Times" w:cs="Times New Roman"/>
          <w:i/>
          <w:sz w:val="23"/>
          <w:szCs w:val="23"/>
        </w:rPr>
        <w:t>Social and Legal Studies</w:t>
      </w:r>
      <w:r w:rsidR="005B335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Pr="00F853DD">
        <w:rPr>
          <w:rFonts w:ascii="Times" w:hAnsi="Times" w:cs="Times New Roman"/>
          <w:sz w:val="23"/>
          <w:szCs w:val="23"/>
        </w:rPr>
        <w:t>, 435-452.</w:t>
      </w:r>
    </w:p>
    <w:p w14:paraId="36B12554" w14:textId="5EE036F4" w:rsidR="00DF05BD" w:rsidRPr="00F853DD" w:rsidRDefault="00DF05BD" w:rsidP="00E1694A">
      <w:pPr>
        <w:autoSpaceDE w:val="0"/>
        <w:autoSpaceDN w:val="0"/>
        <w:adjustRightInd w:val="0"/>
        <w:spacing w:line="240" w:lineRule="auto"/>
        <w:ind w:left="567" w:hanging="567"/>
        <w:rPr>
          <w:rFonts w:ascii="Times" w:hAnsi="Times" w:cs="Segoe UI"/>
          <w:sz w:val="23"/>
          <w:szCs w:val="23"/>
        </w:rPr>
      </w:pPr>
      <w:r w:rsidRPr="00F853DD">
        <w:rPr>
          <w:rFonts w:ascii="Times" w:hAnsi="Times" w:cs="Times New Roman"/>
          <w:sz w:val="23"/>
          <w:szCs w:val="23"/>
        </w:rPr>
        <w:t>M</w:t>
      </w:r>
      <w:r w:rsidRPr="00F853DD">
        <w:rPr>
          <w:rFonts w:ascii="Times" w:hAnsi="Times" w:cs="Segoe UI"/>
          <w:sz w:val="23"/>
          <w:szCs w:val="23"/>
        </w:rPr>
        <w:t>ahabir, R., Jagessar, V., Neptune, C. and Cox, D.</w:t>
      </w:r>
      <w:r w:rsidR="005B3352" w:rsidRPr="00F853DD">
        <w:rPr>
          <w:rFonts w:ascii="Times" w:hAnsi="Times" w:cs="Segoe UI"/>
          <w:sz w:val="23"/>
          <w:szCs w:val="23"/>
        </w:rPr>
        <w:t>, (2013). Understanding wages in a small open economy: the c</w:t>
      </w:r>
      <w:r w:rsidRPr="00F853DD">
        <w:rPr>
          <w:rFonts w:ascii="Times" w:hAnsi="Times" w:cs="Segoe UI"/>
          <w:sz w:val="23"/>
          <w:szCs w:val="23"/>
        </w:rPr>
        <w:t>ase of Trinidad and Tobago [online]. </w:t>
      </w:r>
      <w:r w:rsidRPr="00F853DD">
        <w:rPr>
          <w:rFonts w:ascii="Times" w:hAnsi="Times" w:cs="Segoe UI"/>
          <w:i/>
          <w:iCs/>
          <w:sz w:val="23"/>
          <w:szCs w:val="23"/>
        </w:rPr>
        <w:t>Central Bank of Trinidad and Tobago, Independence Square</w:t>
      </w:r>
      <w:r w:rsidRPr="00F853DD">
        <w:rPr>
          <w:rFonts w:ascii="Times" w:hAnsi="Times" w:cs="Segoe UI"/>
          <w:sz w:val="23"/>
          <w:szCs w:val="23"/>
        </w:rPr>
        <w:t xml:space="preserve">. </w:t>
      </w:r>
    </w:p>
    <w:p w14:paraId="44F1CDCC" w14:textId="477893F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Mahabir, R. and Ramrattan, D.</w:t>
      </w:r>
      <w:r w:rsidR="005B3352" w:rsidRPr="00F853DD">
        <w:rPr>
          <w:rFonts w:ascii="Times" w:hAnsi="Times" w:cs="Times New Roman"/>
          <w:sz w:val="23"/>
          <w:szCs w:val="23"/>
        </w:rPr>
        <w:t>,</w:t>
      </w:r>
      <w:r w:rsidRPr="00F853DD">
        <w:rPr>
          <w:rFonts w:ascii="Times" w:hAnsi="Times" w:cs="Times New Roman"/>
          <w:sz w:val="23"/>
          <w:szCs w:val="23"/>
        </w:rPr>
        <w:t xml:space="preserve"> (2015). Influences on the gender wage gap of Trinidad and Tobago: </w:t>
      </w:r>
      <w:r w:rsidR="005B3352" w:rsidRPr="00F853DD">
        <w:rPr>
          <w:rFonts w:ascii="Times" w:hAnsi="Times" w:cs="Times New Roman"/>
          <w:sz w:val="23"/>
          <w:szCs w:val="23"/>
        </w:rPr>
        <w:t>a</w:t>
      </w:r>
      <w:r w:rsidRPr="00F853DD">
        <w:rPr>
          <w:rFonts w:ascii="Times" w:hAnsi="Times" w:cs="Times New Roman"/>
          <w:sz w:val="23"/>
          <w:szCs w:val="23"/>
        </w:rPr>
        <w:t xml:space="preserve">n economic concept or a social construct? </w:t>
      </w:r>
      <w:r w:rsidRPr="00F853DD">
        <w:rPr>
          <w:rFonts w:ascii="Times" w:hAnsi="Times" w:cs="Times New Roman"/>
          <w:i/>
          <w:sz w:val="23"/>
          <w:szCs w:val="23"/>
        </w:rPr>
        <w:t>World Journal of Entrepreneurship, Management and Sustainable Development</w:t>
      </w:r>
      <w:r w:rsidR="005B335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(2), 140-151.</w:t>
      </w:r>
    </w:p>
    <w:p w14:paraId="0B70F37D" w14:textId="0E88C845"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de-DE"/>
        </w:rPr>
      </w:pPr>
      <w:r w:rsidRPr="00F853DD">
        <w:rPr>
          <w:rFonts w:ascii="Times" w:hAnsi="Times" w:cs="Times New Roman"/>
          <w:sz w:val="23"/>
          <w:szCs w:val="23"/>
        </w:rPr>
        <w:t>Mahrer-Imhof, R., Hediger, H. and Imhof, L.</w:t>
      </w:r>
      <w:r w:rsidR="005B3352" w:rsidRPr="00F853DD">
        <w:rPr>
          <w:rFonts w:ascii="Times" w:hAnsi="Times" w:cs="Times New Roman"/>
          <w:sz w:val="23"/>
          <w:szCs w:val="23"/>
        </w:rPr>
        <w:t>,</w:t>
      </w:r>
      <w:r w:rsidRPr="00F853DD">
        <w:rPr>
          <w:rFonts w:ascii="Times" w:hAnsi="Times" w:cs="Times New Roman"/>
          <w:sz w:val="23"/>
          <w:szCs w:val="23"/>
        </w:rPr>
        <w:t xml:space="preserve"> (2015). Family caregiving for elderly parents: determinants for preparedness to care in caregivers. </w:t>
      </w:r>
      <w:r w:rsidRPr="00F853DD">
        <w:rPr>
          <w:rFonts w:ascii="Times" w:hAnsi="Times" w:cs="Times New Roman"/>
          <w:i/>
          <w:sz w:val="23"/>
          <w:szCs w:val="23"/>
          <w:lang w:val="de-DE"/>
        </w:rPr>
        <w:t>Gerontologist</w:t>
      </w:r>
      <w:r w:rsidR="005B3352" w:rsidRPr="00F853DD">
        <w:rPr>
          <w:rFonts w:ascii="Times" w:hAnsi="Times" w:cs="Times New Roman"/>
          <w:i/>
          <w:sz w:val="23"/>
          <w:szCs w:val="23"/>
          <w:lang w:val="de-DE"/>
        </w:rPr>
        <w:t>.</w:t>
      </w:r>
      <w:r w:rsidRPr="00F853DD">
        <w:rPr>
          <w:rFonts w:ascii="Times" w:hAnsi="Times" w:cs="Times New Roman"/>
          <w:sz w:val="23"/>
          <w:szCs w:val="23"/>
          <w:lang w:val="de-DE"/>
        </w:rPr>
        <w:t xml:space="preserve"> </w:t>
      </w:r>
      <w:r w:rsidRPr="00F853DD">
        <w:rPr>
          <w:rFonts w:ascii="Times" w:hAnsi="Times" w:cs="Times New Roman"/>
          <w:b/>
          <w:sz w:val="23"/>
          <w:szCs w:val="23"/>
          <w:lang w:val="de-DE"/>
        </w:rPr>
        <w:t>55</w:t>
      </w:r>
      <w:r w:rsidRPr="00F853DD">
        <w:rPr>
          <w:rFonts w:ascii="Times" w:hAnsi="Times" w:cs="Times New Roman"/>
          <w:sz w:val="23"/>
          <w:szCs w:val="23"/>
          <w:lang w:val="de-DE"/>
        </w:rPr>
        <w:t>, 862-863.</w:t>
      </w:r>
    </w:p>
    <w:p w14:paraId="0739B6DD" w14:textId="31B8EC96"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Mair, C., Chen, F., Liu, G. and Brauer, J.</w:t>
      </w:r>
      <w:r w:rsidR="00DF05BD" w:rsidRPr="00F853DD">
        <w:rPr>
          <w:rFonts w:ascii="Times" w:hAnsi="Times" w:cs="Times New Roman"/>
          <w:sz w:val="23"/>
          <w:szCs w:val="23"/>
          <w:lang w:val="de-DE"/>
        </w:rPr>
        <w:t xml:space="preserve"> (2016). </w:t>
      </w:r>
      <w:r w:rsidR="00DF05BD" w:rsidRPr="00F853DD">
        <w:rPr>
          <w:rFonts w:ascii="Times" w:hAnsi="Times" w:cs="Times New Roman"/>
          <w:sz w:val="23"/>
          <w:szCs w:val="23"/>
        </w:rPr>
        <w:t xml:space="preserve">Who in the world cares? Gender gaps in attitudes toward support for older adults in 20 nations. </w:t>
      </w:r>
      <w:r w:rsidR="00DF05BD" w:rsidRPr="00F853DD">
        <w:rPr>
          <w:rFonts w:ascii="Times" w:hAnsi="Times" w:cs="Times New Roman"/>
          <w:i/>
          <w:sz w:val="23"/>
          <w:szCs w:val="23"/>
        </w:rPr>
        <w:t>Social Forces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95</w:t>
      </w:r>
      <w:r w:rsidR="007C0407" w:rsidRPr="00F853DD">
        <w:rPr>
          <w:rFonts w:ascii="Times" w:hAnsi="Times" w:cs="Times New Roman"/>
          <w:sz w:val="23"/>
          <w:szCs w:val="23"/>
        </w:rPr>
        <w:t>(1)</w:t>
      </w:r>
      <w:r w:rsidR="00DF05BD" w:rsidRPr="00F853DD">
        <w:rPr>
          <w:rFonts w:ascii="Times" w:hAnsi="Times" w:cs="Times New Roman"/>
          <w:sz w:val="23"/>
          <w:szCs w:val="23"/>
        </w:rPr>
        <w:t>, 411-438.</w:t>
      </w:r>
      <w:r w:rsidR="007C0407" w:rsidRPr="00F853DD">
        <w:rPr>
          <w:rFonts w:ascii="Times" w:hAnsi="Times" w:cs="Times New Roman"/>
          <w:sz w:val="23"/>
          <w:szCs w:val="23"/>
        </w:rPr>
        <w:t xml:space="preserve"> </w:t>
      </w:r>
      <w:r w:rsidR="007C0407" w:rsidRPr="00F853DD">
        <w:rPr>
          <w:rFonts w:ascii="Times" w:eastAsiaTheme="minorHAnsi" w:hAnsi="Times" w:cs="Times"/>
          <w:sz w:val="23"/>
          <w:szCs w:val="23"/>
          <w:lang w:eastAsia="en-US"/>
        </w:rPr>
        <w:t>[Viewed 13 September 2017]. Available from: doi:10.1093/</w:t>
      </w:r>
      <w:proofErr w:type="spellStart"/>
      <w:r w:rsidR="007C0407" w:rsidRPr="00F853DD">
        <w:rPr>
          <w:rFonts w:ascii="Times" w:eastAsiaTheme="minorHAnsi" w:hAnsi="Times" w:cs="Times"/>
          <w:sz w:val="23"/>
          <w:szCs w:val="23"/>
          <w:lang w:eastAsia="en-US"/>
        </w:rPr>
        <w:t>geront</w:t>
      </w:r>
      <w:proofErr w:type="spellEnd"/>
      <w:r w:rsidR="007C0407" w:rsidRPr="00F853DD">
        <w:rPr>
          <w:rFonts w:ascii="Times" w:eastAsiaTheme="minorHAnsi" w:hAnsi="Times" w:cs="Times"/>
          <w:sz w:val="23"/>
          <w:szCs w:val="23"/>
          <w:lang w:eastAsia="en-US"/>
        </w:rPr>
        <w:t>/gnu119</w:t>
      </w:r>
    </w:p>
    <w:p w14:paraId="4C28F574" w14:textId="5A8E1D78"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Manne, S.</w:t>
      </w:r>
      <w:r w:rsidR="00DF05BD" w:rsidRPr="00F853DD">
        <w:rPr>
          <w:rFonts w:ascii="Times" w:hAnsi="Times" w:cs="Times New Roman"/>
          <w:sz w:val="23"/>
          <w:szCs w:val="23"/>
        </w:rPr>
        <w:t>, Myers-Virtue, S., Kashy, D., Ozga, M., Kissan</w:t>
      </w:r>
      <w:r w:rsidRPr="00F853DD">
        <w:rPr>
          <w:rFonts w:ascii="Times" w:hAnsi="Times" w:cs="Times New Roman"/>
          <w:sz w:val="23"/>
          <w:szCs w:val="23"/>
        </w:rPr>
        <w:t>e, D., Heckman, C., Rubin, S.</w:t>
      </w:r>
      <w:r w:rsidR="00DF05BD" w:rsidRPr="00F853DD">
        <w:rPr>
          <w:rFonts w:ascii="Times" w:hAnsi="Times" w:cs="Times New Roman"/>
          <w:sz w:val="23"/>
          <w:szCs w:val="23"/>
        </w:rPr>
        <w:t xml:space="preserve"> and Rosenblum, N.</w:t>
      </w:r>
      <w:r w:rsidRPr="00F853DD">
        <w:rPr>
          <w:rFonts w:ascii="Times" w:hAnsi="Times" w:cs="Times New Roman"/>
          <w:sz w:val="23"/>
          <w:szCs w:val="23"/>
        </w:rPr>
        <w:t>,</w:t>
      </w:r>
      <w:r w:rsidR="00DF05BD" w:rsidRPr="00F853DD">
        <w:rPr>
          <w:rFonts w:ascii="Times" w:hAnsi="Times" w:cs="Times New Roman"/>
          <w:sz w:val="23"/>
          <w:szCs w:val="23"/>
        </w:rPr>
        <w:t xml:space="preserve"> (2015). Resilience, positive coping, and quality of life among women newly diagnosed with gynecological cancers. </w:t>
      </w:r>
      <w:r w:rsidR="00DF05BD" w:rsidRPr="00F853DD">
        <w:rPr>
          <w:rFonts w:ascii="Times" w:hAnsi="Times" w:cs="Times New Roman"/>
          <w:i/>
          <w:sz w:val="23"/>
          <w:szCs w:val="23"/>
        </w:rPr>
        <w:t>Cancer Nursing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38</w:t>
      </w:r>
      <w:r w:rsidR="00DF05BD" w:rsidRPr="00F853DD">
        <w:rPr>
          <w:rFonts w:ascii="Times" w:hAnsi="Times" w:cs="Times New Roman"/>
          <w:sz w:val="23"/>
          <w:szCs w:val="23"/>
        </w:rPr>
        <w:t>, 375-382.</w:t>
      </w:r>
    </w:p>
    <w:p w14:paraId="5A5D53AE" w14:textId="7AC3936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Marc Jackman, W. and Morrain-Webb, J.</w:t>
      </w:r>
      <w:r w:rsidR="005B3352" w:rsidRPr="00F853DD">
        <w:rPr>
          <w:rFonts w:ascii="Times" w:hAnsi="Times" w:cs="Times New Roman"/>
          <w:sz w:val="23"/>
          <w:szCs w:val="23"/>
        </w:rPr>
        <w:t>,</w:t>
      </w:r>
      <w:r w:rsidRPr="00F853DD">
        <w:rPr>
          <w:rFonts w:ascii="Times" w:hAnsi="Times" w:cs="Times New Roman"/>
          <w:sz w:val="23"/>
          <w:szCs w:val="23"/>
        </w:rPr>
        <w:t xml:space="preserve"> (2019). Exploring gender differences in achievement through student voice: </w:t>
      </w:r>
      <w:r w:rsidR="005B3352" w:rsidRPr="00F853DD">
        <w:rPr>
          <w:rFonts w:ascii="Times" w:hAnsi="Times" w:cs="Times New Roman"/>
          <w:sz w:val="23"/>
          <w:szCs w:val="23"/>
        </w:rPr>
        <w:t>c</w:t>
      </w:r>
      <w:r w:rsidRPr="00F853DD">
        <w:rPr>
          <w:rFonts w:ascii="Times" w:hAnsi="Times" w:cs="Times New Roman"/>
          <w:sz w:val="23"/>
          <w:szCs w:val="23"/>
        </w:rPr>
        <w:t xml:space="preserve">ritical insights and analyses. </w:t>
      </w:r>
      <w:r w:rsidRPr="00F853DD">
        <w:rPr>
          <w:rFonts w:ascii="Times" w:hAnsi="Times" w:cs="Times New Roman"/>
          <w:i/>
          <w:sz w:val="23"/>
          <w:szCs w:val="23"/>
        </w:rPr>
        <w:t>Cogent Education</w:t>
      </w:r>
      <w:r w:rsidR="005B335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w:t>
      </w:r>
      <w:r w:rsidRPr="00F853DD">
        <w:rPr>
          <w:rFonts w:ascii="Times" w:hAnsi="Times" w:cs="Times New Roman"/>
          <w:sz w:val="23"/>
          <w:szCs w:val="23"/>
        </w:rPr>
        <w:t>(1), 1567895.</w:t>
      </w:r>
    </w:p>
    <w:p w14:paraId="496033AB" w14:textId="3ABC1B6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Marchack, S. n.d. </w:t>
      </w:r>
      <w:r w:rsidRPr="00F853DD">
        <w:rPr>
          <w:rFonts w:ascii="Times" w:hAnsi="Times" w:cs="Times New Roman"/>
          <w:i/>
          <w:sz w:val="23"/>
          <w:szCs w:val="23"/>
        </w:rPr>
        <w:t>Chinese Family Life in Trinidad and Tobago</w:t>
      </w:r>
      <w:r w:rsidR="005B3352" w:rsidRPr="00F853DD">
        <w:rPr>
          <w:rFonts w:ascii="Times" w:hAnsi="Times" w:cs="Times New Roman"/>
          <w:sz w:val="23"/>
          <w:szCs w:val="23"/>
        </w:rPr>
        <w:t>.</w:t>
      </w:r>
      <w:r w:rsidRPr="00F853DD">
        <w:rPr>
          <w:rFonts w:ascii="Times" w:hAnsi="Times" w:cs="Times New Roman"/>
          <w:sz w:val="23"/>
          <w:szCs w:val="23"/>
        </w:rPr>
        <w:t xml:space="preserve"> St Augustine, Trinidad, UWI.</w:t>
      </w:r>
    </w:p>
    <w:p w14:paraId="0AAB11D3" w14:textId="53FD332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Markle-Reid, M. and Browne, G.</w:t>
      </w:r>
      <w:r w:rsidR="005B3352" w:rsidRPr="00F853DD">
        <w:rPr>
          <w:rFonts w:ascii="Times" w:hAnsi="Times" w:cs="Times New Roman"/>
          <w:sz w:val="23"/>
          <w:szCs w:val="23"/>
          <w:lang w:val="en-TT"/>
        </w:rPr>
        <w:t>,</w:t>
      </w:r>
      <w:r w:rsidRPr="00F853DD">
        <w:rPr>
          <w:rFonts w:ascii="Times" w:hAnsi="Times" w:cs="Times New Roman"/>
          <w:sz w:val="23"/>
          <w:szCs w:val="23"/>
          <w:lang w:val="en-TT"/>
        </w:rPr>
        <w:t xml:space="preserve"> (2003). </w:t>
      </w:r>
      <w:r w:rsidRPr="00F853DD">
        <w:rPr>
          <w:rFonts w:ascii="Times" w:hAnsi="Times" w:cs="Times New Roman"/>
          <w:sz w:val="23"/>
          <w:szCs w:val="23"/>
        </w:rPr>
        <w:t xml:space="preserve">Conceptualizations of frailty in relation to older adults. </w:t>
      </w:r>
      <w:r w:rsidRPr="00F853DD">
        <w:rPr>
          <w:rFonts w:ascii="Times" w:hAnsi="Times" w:cs="Times New Roman"/>
          <w:i/>
          <w:sz w:val="23"/>
          <w:szCs w:val="23"/>
        </w:rPr>
        <w:t>Journal of Advanced Nursing</w:t>
      </w:r>
      <w:r w:rsidR="005B335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44</w:t>
      </w:r>
      <w:r w:rsidRPr="00F853DD">
        <w:rPr>
          <w:rFonts w:ascii="Times" w:hAnsi="Times" w:cs="Times New Roman"/>
          <w:sz w:val="23"/>
          <w:szCs w:val="23"/>
        </w:rPr>
        <w:t>, 58-68.</w:t>
      </w:r>
    </w:p>
    <w:p w14:paraId="5FD771F0" w14:textId="61EE2EBA"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Marks, N.,</w:t>
      </w:r>
      <w:r w:rsidR="00DF05BD" w:rsidRPr="00F853DD">
        <w:rPr>
          <w:rFonts w:ascii="Times" w:hAnsi="Times" w:cs="Times New Roman"/>
          <w:sz w:val="23"/>
          <w:szCs w:val="23"/>
        </w:rPr>
        <w:t xml:space="preserve"> (1998). Does it hurt to care? Caregiving, work-family conflict, and midlife well-being. </w:t>
      </w:r>
      <w:r w:rsidR="00DF05BD" w:rsidRPr="00F853DD">
        <w:rPr>
          <w:rFonts w:ascii="Times" w:hAnsi="Times" w:cs="Times New Roman"/>
          <w:i/>
          <w:sz w:val="23"/>
          <w:szCs w:val="23"/>
        </w:rPr>
        <w:t>Journal of Marriage and the Family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60</w:t>
      </w:r>
      <w:r w:rsidR="00DF05BD" w:rsidRPr="00F853DD">
        <w:rPr>
          <w:rFonts w:ascii="Times" w:hAnsi="Times" w:cs="Times New Roman"/>
          <w:sz w:val="23"/>
          <w:szCs w:val="23"/>
        </w:rPr>
        <w:t>, 951-966.</w:t>
      </w:r>
    </w:p>
    <w:p w14:paraId="673AFD6B" w14:textId="26514699" w:rsidR="00DF05BD" w:rsidRPr="00F853DD" w:rsidRDefault="005B335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Marks, N. and Lambert, J.,</w:t>
      </w:r>
      <w:r w:rsidR="00DF05BD" w:rsidRPr="00F853DD">
        <w:rPr>
          <w:rFonts w:ascii="Times" w:hAnsi="Times" w:cs="Times New Roman"/>
          <w:sz w:val="23"/>
          <w:szCs w:val="23"/>
        </w:rPr>
        <w:t xml:space="preserve"> (1997). Family caregiving: Contemporary trends and issues. In: Brubaker, T. H. (ed.) </w:t>
      </w:r>
      <w:r w:rsidR="00DF05BD" w:rsidRPr="00F853DD">
        <w:rPr>
          <w:rFonts w:ascii="Times" w:hAnsi="Times" w:cs="Times New Roman"/>
          <w:i/>
          <w:sz w:val="23"/>
          <w:szCs w:val="23"/>
        </w:rPr>
        <w:t>Family Relationships in Later Life</w:t>
      </w:r>
      <w:r w:rsidR="00DF05BD" w:rsidRPr="00F853DD">
        <w:rPr>
          <w:rFonts w:ascii="Times" w:hAnsi="Times" w:cs="Times New Roman"/>
          <w:sz w:val="23"/>
          <w:szCs w:val="23"/>
        </w:rPr>
        <w:t>. University of Wisconsin-Madison.</w:t>
      </w:r>
    </w:p>
    <w:p w14:paraId="5D18EE07" w14:textId="5983920A" w:rsidR="00DF05BD" w:rsidRPr="00F853DD" w:rsidRDefault="005B3352"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lang w:val="en-TT"/>
        </w:rPr>
        <w:t>Martin, A., Distelberg, B. and Elahad, J.</w:t>
      </w:r>
      <w:r w:rsidR="00755FC2" w:rsidRPr="00F853DD">
        <w:rPr>
          <w:rFonts w:ascii="Times" w:hAnsi="Times" w:cs="Times New Roman"/>
          <w:sz w:val="23"/>
          <w:szCs w:val="23"/>
          <w:lang w:val="en-TT"/>
        </w:rPr>
        <w:t>,</w:t>
      </w:r>
      <w:r w:rsidRPr="00F853DD">
        <w:rPr>
          <w:rFonts w:ascii="Times" w:hAnsi="Times" w:cs="Times New Roman"/>
          <w:sz w:val="23"/>
          <w:szCs w:val="23"/>
          <w:lang w:val="en-TT"/>
        </w:rPr>
        <w:t xml:space="preserve"> (2015)</w:t>
      </w:r>
      <w:r w:rsidR="00DF05BD" w:rsidRPr="00F853DD">
        <w:rPr>
          <w:rFonts w:ascii="Times" w:hAnsi="Times" w:cs="Times New Roman"/>
          <w:sz w:val="23"/>
          <w:szCs w:val="23"/>
          <w:lang w:val="en-TT"/>
        </w:rPr>
        <w:t xml:space="preserve">. </w:t>
      </w:r>
      <w:r w:rsidR="00DF05BD" w:rsidRPr="00F853DD">
        <w:rPr>
          <w:rFonts w:ascii="Times" w:hAnsi="Times" w:cs="Times New Roman"/>
          <w:sz w:val="23"/>
          <w:szCs w:val="23"/>
        </w:rPr>
        <w:t xml:space="preserve">The relationship between family resilience and aging successfully. </w:t>
      </w:r>
      <w:r w:rsidR="00DF05BD" w:rsidRPr="00F853DD">
        <w:rPr>
          <w:rFonts w:ascii="Times" w:hAnsi="Times" w:cs="Times New Roman"/>
          <w:i/>
          <w:sz w:val="23"/>
          <w:szCs w:val="23"/>
          <w:lang w:val="fr-FR"/>
        </w:rPr>
        <w:t>American Journal of Family Therapy</w:t>
      </w:r>
      <w:r w:rsidRPr="00F853DD">
        <w:rPr>
          <w:rFonts w:ascii="Times" w:hAnsi="Times" w:cs="Times New Roman"/>
          <w:sz w:val="23"/>
          <w:szCs w:val="23"/>
          <w:lang w:val="fr-FR"/>
        </w:rPr>
        <w:t>.</w:t>
      </w:r>
      <w:r w:rsidR="00DF05BD" w:rsidRPr="00F853DD">
        <w:rPr>
          <w:rFonts w:ascii="Times" w:hAnsi="Times" w:cs="Times New Roman"/>
          <w:sz w:val="23"/>
          <w:szCs w:val="23"/>
          <w:lang w:val="fr-FR"/>
        </w:rPr>
        <w:t xml:space="preserve"> </w:t>
      </w:r>
      <w:r w:rsidR="00DF05BD" w:rsidRPr="00F853DD">
        <w:rPr>
          <w:rFonts w:ascii="Times" w:hAnsi="Times" w:cs="Times New Roman"/>
          <w:b/>
          <w:sz w:val="23"/>
          <w:szCs w:val="23"/>
          <w:lang w:val="fr-FR"/>
        </w:rPr>
        <w:t>43</w:t>
      </w:r>
      <w:r w:rsidR="00DF05BD" w:rsidRPr="00F853DD">
        <w:rPr>
          <w:rFonts w:ascii="Times" w:hAnsi="Times" w:cs="Times New Roman"/>
          <w:sz w:val="23"/>
          <w:szCs w:val="23"/>
          <w:lang w:val="fr-FR"/>
        </w:rPr>
        <w:t>, 163-179.</w:t>
      </w:r>
    </w:p>
    <w:p w14:paraId="20705B8F" w14:textId="27866413"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lang w:val="fr-FR"/>
        </w:rPr>
        <w:t>Martin, C.</w:t>
      </w:r>
      <w:r w:rsidR="00755FC2" w:rsidRPr="00F853DD">
        <w:rPr>
          <w:rFonts w:ascii="Times" w:hAnsi="Times" w:cs="Times New Roman"/>
          <w:sz w:val="23"/>
          <w:szCs w:val="23"/>
          <w:lang w:val="fr-FR"/>
        </w:rPr>
        <w:t>,</w:t>
      </w:r>
      <w:r w:rsidRPr="00F853DD">
        <w:rPr>
          <w:rFonts w:ascii="Times" w:hAnsi="Times" w:cs="Times New Roman"/>
          <w:sz w:val="23"/>
          <w:szCs w:val="23"/>
          <w:lang w:val="fr-FR"/>
        </w:rPr>
        <w:t xml:space="preserve"> (2008). Qu'est-ce que le social care? Une revue de questions</w:t>
      </w:r>
      <w:r w:rsidR="00755FC2" w:rsidRPr="00F853DD">
        <w:rPr>
          <w:rFonts w:ascii="Times" w:hAnsi="Times" w:cs="Times New Roman"/>
          <w:sz w:val="23"/>
          <w:szCs w:val="23"/>
          <w:lang w:val="fr-FR"/>
        </w:rPr>
        <w:t>.</w:t>
      </w:r>
      <w:r w:rsidRPr="00F853DD">
        <w:rPr>
          <w:rFonts w:ascii="Times" w:hAnsi="Times" w:cs="Times New Roman"/>
          <w:sz w:val="23"/>
          <w:szCs w:val="23"/>
          <w:lang w:val="fr-FR"/>
        </w:rPr>
        <w:t xml:space="preserve"> </w:t>
      </w:r>
      <w:r w:rsidRPr="00F853DD">
        <w:rPr>
          <w:rFonts w:ascii="Times" w:hAnsi="Times" w:cs="Times New Roman"/>
          <w:i/>
          <w:sz w:val="23"/>
          <w:szCs w:val="23"/>
          <w:lang w:val="fr-FR"/>
        </w:rPr>
        <w:t>Revue Francaise de Socio-Economie</w:t>
      </w:r>
      <w:r w:rsidR="00755FC2" w:rsidRPr="00F853DD">
        <w:rPr>
          <w:rFonts w:ascii="Times" w:hAnsi="Times" w:cs="Times New Roman"/>
          <w:i/>
          <w:sz w:val="23"/>
          <w:szCs w:val="23"/>
          <w:lang w:val="fr-FR"/>
        </w:rPr>
        <w:t xml:space="preserve"> </w:t>
      </w:r>
      <w:r w:rsidR="00755FC2" w:rsidRPr="00F853DD">
        <w:rPr>
          <w:rFonts w:ascii="Times" w:hAnsi="Times" w:cs="Times New Roman"/>
          <w:sz w:val="23"/>
          <w:szCs w:val="23"/>
          <w:lang w:val="fr-FR"/>
        </w:rPr>
        <w:t>[online].</w:t>
      </w:r>
      <w:r w:rsidRPr="00F853DD">
        <w:rPr>
          <w:rFonts w:ascii="Times" w:hAnsi="Times" w:cs="Times New Roman"/>
          <w:sz w:val="23"/>
          <w:szCs w:val="23"/>
          <w:lang w:val="fr-FR"/>
        </w:rPr>
        <w:t xml:space="preserve"> Available from: https://www.cairn.info/revue-francaise-de-socio-economie-2008-2-page-27.html. </w:t>
      </w:r>
    </w:p>
    <w:p w14:paraId="11754EB3" w14:textId="2BA27705" w:rsidR="00DF05BD" w:rsidRPr="00F853DD" w:rsidRDefault="00755FC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Martin, C.,</w:t>
      </w:r>
      <w:r w:rsidR="00DF05BD" w:rsidRPr="00F853DD">
        <w:rPr>
          <w:rFonts w:ascii="Times" w:hAnsi="Times" w:cs="Times New Roman"/>
          <w:sz w:val="23"/>
          <w:szCs w:val="23"/>
        </w:rPr>
        <w:t xml:space="preserve"> (2000). More than </w:t>
      </w:r>
      <w:r w:rsidRPr="00F853DD">
        <w:rPr>
          <w:rFonts w:ascii="Times" w:hAnsi="Times" w:cs="Times New Roman"/>
          <w:sz w:val="23"/>
          <w:szCs w:val="23"/>
        </w:rPr>
        <w:t>the work: r</w:t>
      </w:r>
      <w:r w:rsidR="00DF05BD" w:rsidRPr="00F853DD">
        <w:rPr>
          <w:rFonts w:ascii="Times" w:hAnsi="Times" w:cs="Times New Roman"/>
          <w:sz w:val="23"/>
          <w:szCs w:val="23"/>
        </w:rPr>
        <w:t xml:space="preserve">ace and gender differences in caregiving burden. </w:t>
      </w:r>
      <w:r w:rsidR="00DF05BD" w:rsidRPr="00F853DD">
        <w:rPr>
          <w:rFonts w:ascii="Times" w:hAnsi="Times" w:cs="Times New Roman"/>
          <w:i/>
          <w:sz w:val="23"/>
          <w:szCs w:val="23"/>
        </w:rPr>
        <w:t>Journal of Family Issues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DF05BD" w:rsidRPr="00F853DD">
        <w:rPr>
          <w:rFonts w:ascii="Times" w:hAnsi="Times" w:cs="Times New Roman"/>
          <w:sz w:val="23"/>
          <w:szCs w:val="23"/>
        </w:rPr>
        <w:t>, 986-1005.</w:t>
      </w:r>
    </w:p>
    <w:p w14:paraId="5C58E305" w14:textId="575DAD3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Martin, P., Kelly, N., Kahan</w:t>
      </w:r>
      <w:r w:rsidR="00755FC2" w:rsidRPr="00F853DD">
        <w:rPr>
          <w:rFonts w:ascii="Times" w:hAnsi="Times" w:cs="Times New Roman"/>
          <w:sz w:val="23"/>
          <w:szCs w:val="23"/>
        </w:rPr>
        <w:t>a, B., Kahana, E., Willcox, B., Willcox, D. and Poon, L., (2015)</w:t>
      </w:r>
      <w:r w:rsidRPr="00F853DD">
        <w:rPr>
          <w:rFonts w:ascii="Times" w:hAnsi="Times" w:cs="Times New Roman"/>
          <w:sz w:val="23"/>
          <w:szCs w:val="23"/>
        </w:rPr>
        <w:t xml:space="preserve">. Defining successful aging: </w:t>
      </w:r>
      <w:r w:rsidR="00755FC2" w:rsidRPr="00F853DD">
        <w:rPr>
          <w:rFonts w:ascii="Times" w:hAnsi="Times" w:cs="Times New Roman"/>
          <w:sz w:val="23"/>
          <w:szCs w:val="23"/>
        </w:rPr>
        <w:t>a</w:t>
      </w:r>
      <w:r w:rsidRPr="00F853DD">
        <w:rPr>
          <w:rFonts w:ascii="Times" w:hAnsi="Times" w:cs="Times New Roman"/>
          <w:sz w:val="23"/>
          <w:szCs w:val="23"/>
        </w:rPr>
        <w:t xml:space="preserve"> tangible or elusive concept? </w:t>
      </w:r>
      <w:r w:rsidRPr="00F853DD">
        <w:rPr>
          <w:rFonts w:ascii="Times" w:hAnsi="Times" w:cs="Times New Roman"/>
          <w:i/>
          <w:sz w:val="23"/>
          <w:szCs w:val="23"/>
        </w:rPr>
        <w:t>Gerontologist</w:t>
      </w:r>
      <w:r w:rsidR="00755FC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55</w:t>
      </w:r>
      <w:r w:rsidRPr="00F853DD">
        <w:rPr>
          <w:rFonts w:ascii="Times" w:hAnsi="Times" w:cs="Times New Roman"/>
          <w:sz w:val="23"/>
          <w:szCs w:val="23"/>
        </w:rPr>
        <w:t>, 14-25.</w:t>
      </w:r>
    </w:p>
    <w:p w14:paraId="590A2748" w14:textId="4ED4E61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Martinez-Marcos, M. and De La Cuesta-Benjumea, C.</w:t>
      </w:r>
      <w:r w:rsidR="00755FC2" w:rsidRPr="00F853DD">
        <w:rPr>
          <w:rFonts w:ascii="Times" w:hAnsi="Times" w:cs="Times New Roman"/>
          <w:sz w:val="23"/>
          <w:szCs w:val="23"/>
        </w:rPr>
        <w:t>,</w:t>
      </w:r>
      <w:r w:rsidRPr="00F853DD">
        <w:rPr>
          <w:rFonts w:ascii="Times" w:hAnsi="Times" w:cs="Times New Roman"/>
          <w:sz w:val="23"/>
          <w:szCs w:val="23"/>
        </w:rPr>
        <w:t xml:space="preserve"> (2014). How women caregivers deal with their own long-term illness: a qualitative study. </w:t>
      </w:r>
      <w:r w:rsidRPr="00F853DD">
        <w:rPr>
          <w:rFonts w:ascii="Times" w:hAnsi="Times" w:cs="Times New Roman"/>
          <w:i/>
          <w:sz w:val="23"/>
          <w:szCs w:val="23"/>
        </w:rPr>
        <w:t>Journal of Advanced Nursing</w:t>
      </w:r>
      <w:r w:rsidR="00755FC2"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70</w:t>
      </w:r>
      <w:r w:rsidRPr="00F853DD">
        <w:rPr>
          <w:rFonts w:ascii="Times" w:hAnsi="Times" w:cs="Times New Roman"/>
          <w:sz w:val="23"/>
          <w:szCs w:val="23"/>
        </w:rPr>
        <w:t>, 1825-1836.</w:t>
      </w:r>
    </w:p>
    <w:p w14:paraId="7591E7A5" w14:textId="588C8DA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Martz, E., Livneh, H. and Wright, B.</w:t>
      </w:r>
      <w:r w:rsidR="00755FC2" w:rsidRPr="00F853DD">
        <w:rPr>
          <w:rFonts w:ascii="Times" w:hAnsi="Times" w:cs="Times New Roman"/>
          <w:sz w:val="23"/>
          <w:szCs w:val="23"/>
        </w:rPr>
        <w:t>,</w:t>
      </w:r>
      <w:r w:rsidRPr="00F853DD">
        <w:rPr>
          <w:rFonts w:ascii="Times" w:hAnsi="Times" w:cs="Times New Roman"/>
          <w:sz w:val="23"/>
          <w:szCs w:val="23"/>
        </w:rPr>
        <w:t xml:space="preserve"> (2007). Coping with chronic illness and disability. Springer Science and Business Media, LLC.</w:t>
      </w:r>
    </w:p>
    <w:p w14:paraId="797093C2" w14:textId="71A16346" w:rsidR="00DF05BD" w:rsidRPr="00F853DD" w:rsidRDefault="00755FC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Maru, Y., Smith, M., Sparrow, A., Pinho, P. and Dube, O.,</w:t>
      </w:r>
      <w:r w:rsidR="00DF05BD" w:rsidRPr="00F853DD">
        <w:rPr>
          <w:rFonts w:ascii="Times" w:hAnsi="Times" w:cs="Times New Roman"/>
          <w:sz w:val="23"/>
          <w:szCs w:val="23"/>
        </w:rPr>
        <w:t xml:space="preserve"> (2014). A linked vulnerability and resilience framework for adaptation pathways in remote disadvantaged communities. </w:t>
      </w:r>
      <w:r w:rsidR="00DF05BD" w:rsidRPr="00F853DD">
        <w:rPr>
          <w:rFonts w:ascii="Times" w:hAnsi="Times" w:cs="Times New Roman"/>
          <w:i/>
          <w:sz w:val="23"/>
          <w:szCs w:val="23"/>
        </w:rPr>
        <w:t>Global Environmental Change-Human and Policy Dimensions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DF05BD" w:rsidRPr="00F853DD">
        <w:rPr>
          <w:rFonts w:ascii="Times" w:hAnsi="Times" w:cs="Times New Roman"/>
          <w:sz w:val="23"/>
          <w:szCs w:val="23"/>
        </w:rPr>
        <w:t>, 337-350.</w:t>
      </w:r>
    </w:p>
    <w:p w14:paraId="6EE16C30" w14:textId="285227D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Massiah, J. (1983). </w:t>
      </w:r>
      <w:r w:rsidRPr="00F853DD">
        <w:rPr>
          <w:rFonts w:ascii="Times" w:hAnsi="Times" w:cs="Times New Roman"/>
          <w:i/>
          <w:sz w:val="23"/>
          <w:szCs w:val="23"/>
        </w:rPr>
        <w:t xml:space="preserve">Women as </w:t>
      </w:r>
      <w:r w:rsidR="00755FC2" w:rsidRPr="00F853DD">
        <w:rPr>
          <w:rFonts w:ascii="Times" w:hAnsi="Times" w:cs="Times New Roman"/>
          <w:i/>
          <w:sz w:val="23"/>
          <w:szCs w:val="23"/>
        </w:rPr>
        <w:t>h</w:t>
      </w:r>
      <w:r w:rsidRPr="00F853DD">
        <w:rPr>
          <w:rFonts w:ascii="Times" w:hAnsi="Times" w:cs="Times New Roman"/>
          <w:i/>
          <w:sz w:val="23"/>
          <w:szCs w:val="23"/>
        </w:rPr>
        <w:t xml:space="preserve">eads of </w:t>
      </w:r>
      <w:r w:rsidR="00755FC2" w:rsidRPr="00F853DD">
        <w:rPr>
          <w:rFonts w:ascii="Times" w:hAnsi="Times" w:cs="Times New Roman"/>
          <w:i/>
          <w:sz w:val="23"/>
          <w:szCs w:val="23"/>
        </w:rPr>
        <w:t>h</w:t>
      </w:r>
      <w:r w:rsidRPr="00F853DD">
        <w:rPr>
          <w:rFonts w:ascii="Times" w:hAnsi="Times" w:cs="Times New Roman"/>
          <w:i/>
          <w:sz w:val="23"/>
          <w:szCs w:val="23"/>
        </w:rPr>
        <w:t xml:space="preserve">ousehold in the </w:t>
      </w:r>
      <w:r w:rsidR="00755FC2" w:rsidRPr="00F853DD">
        <w:rPr>
          <w:rFonts w:ascii="Times" w:hAnsi="Times" w:cs="Times New Roman"/>
          <w:i/>
          <w:sz w:val="23"/>
          <w:szCs w:val="23"/>
        </w:rPr>
        <w:t>Caribbean</w:t>
      </w:r>
      <w:r w:rsidRPr="00F853DD">
        <w:rPr>
          <w:rFonts w:ascii="Times" w:hAnsi="Times" w:cs="Times New Roman"/>
          <w:i/>
          <w:sz w:val="23"/>
          <w:szCs w:val="23"/>
        </w:rPr>
        <w:t xml:space="preserve">: </w:t>
      </w:r>
      <w:r w:rsidR="00755FC2" w:rsidRPr="00F853DD">
        <w:rPr>
          <w:rFonts w:ascii="Times" w:hAnsi="Times" w:cs="Times New Roman"/>
          <w:i/>
          <w:sz w:val="23"/>
          <w:szCs w:val="23"/>
        </w:rPr>
        <w:t>f</w:t>
      </w:r>
      <w:r w:rsidRPr="00F853DD">
        <w:rPr>
          <w:rFonts w:ascii="Times" w:hAnsi="Times" w:cs="Times New Roman"/>
          <w:i/>
          <w:sz w:val="23"/>
          <w:szCs w:val="23"/>
        </w:rPr>
        <w:t xml:space="preserve">amily </w:t>
      </w:r>
      <w:r w:rsidR="00755FC2" w:rsidRPr="00F853DD">
        <w:rPr>
          <w:rFonts w:ascii="Times" w:hAnsi="Times" w:cs="Times New Roman"/>
          <w:i/>
          <w:sz w:val="23"/>
          <w:szCs w:val="23"/>
        </w:rPr>
        <w:t>s</w:t>
      </w:r>
      <w:r w:rsidRPr="00F853DD">
        <w:rPr>
          <w:rFonts w:ascii="Times" w:hAnsi="Times" w:cs="Times New Roman"/>
          <w:i/>
          <w:sz w:val="23"/>
          <w:szCs w:val="23"/>
        </w:rPr>
        <w:t xml:space="preserve">tructure and </w:t>
      </w:r>
      <w:r w:rsidR="00755FC2" w:rsidRPr="00F853DD">
        <w:rPr>
          <w:rFonts w:ascii="Times" w:hAnsi="Times" w:cs="Times New Roman"/>
          <w:i/>
          <w:sz w:val="23"/>
          <w:szCs w:val="23"/>
        </w:rPr>
        <w:t>f</w:t>
      </w:r>
      <w:r w:rsidRPr="00F853DD">
        <w:rPr>
          <w:rFonts w:ascii="Times" w:hAnsi="Times" w:cs="Times New Roman"/>
          <w:i/>
          <w:sz w:val="23"/>
          <w:szCs w:val="23"/>
        </w:rPr>
        <w:t xml:space="preserve">eminine </w:t>
      </w:r>
      <w:r w:rsidR="00755FC2" w:rsidRPr="00F853DD">
        <w:rPr>
          <w:rFonts w:ascii="Times" w:hAnsi="Times" w:cs="Times New Roman"/>
          <w:i/>
          <w:sz w:val="23"/>
          <w:szCs w:val="23"/>
        </w:rPr>
        <w:t>s</w:t>
      </w:r>
      <w:r w:rsidRPr="00F853DD">
        <w:rPr>
          <w:rFonts w:ascii="Times" w:hAnsi="Times" w:cs="Times New Roman"/>
          <w:i/>
          <w:sz w:val="23"/>
          <w:szCs w:val="23"/>
        </w:rPr>
        <w:t>tatu</w:t>
      </w:r>
      <w:r w:rsidRPr="00F853DD">
        <w:rPr>
          <w:rFonts w:ascii="Times" w:hAnsi="Times" w:cs="Times New Roman"/>
          <w:sz w:val="23"/>
          <w:szCs w:val="23"/>
        </w:rPr>
        <w:t>s. Paris: United Nations Educational, Scientific and Cultural Organization.</w:t>
      </w:r>
    </w:p>
    <w:p w14:paraId="5900713C" w14:textId="72CF38D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Masood, Y., Bower, P., Waheed, M., Brown, G. and Waheed, W.</w:t>
      </w:r>
      <w:r w:rsidR="00755FC2" w:rsidRPr="00F853DD">
        <w:rPr>
          <w:rFonts w:ascii="Times" w:hAnsi="Times" w:cs="Times New Roman"/>
          <w:sz w:val="23"/>
          <w:szCs w:val="23"/>
        </w:rPr>
        <w:t>,</w:t>
      </w:r>
      <w:r w:rsidRPr="00F853DD">
        <w:rPr>
          <w:rFonts w:ascii="Times" w:hAnsi="Times" w:cs="Times New Roman"/>
          <w:sz w:val="23"/>
          <w:szCs w:val="23"/>
        </w:rPr>
        <w:t xml:space="preserve"> (2019). Synthesis of researcher reported strategies to recruit adults of ethnic minorities to clinical trials in the United Kingdom: A systematic review. </w:t>
      </w:r>
      <w:r w:rsidRPr="00F853DD">
        <w:rPr>
          <w:rFonts w:ascii="Times" w:hAnsi="Times" w:cs="Times New Roman"/>
          <w:i/>
          <w:sz w:val="23"/>
          <w:szCs w:val="23"/>
        </w:rPr>
        <w:t>Contemporary clinical trials</w:t>
      </w:r>
      <w:r w:rsidRPr="00F853DD">
        <w:rPr>
          <w:rFonts w:ascii="Times" w:hAnsi="Times" w:cs="Times New Roman"/>
          <w:sz w:val="23"/>
          <w:szCs w:val="23"/>
        </w:rPr>
        <w:t>.</w:t>
      </w:r>
    </w:p>
    <w:p w14:paraId="0104F81F" w14:textId="12F90D00"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Masten, A.,</w:t>
      </w:r>
      <w:r w:rsidR="00DF05BD" w:rsidRPr="00F853DD">
        <w:rPr>
          <w:rFonts w:ascii="Times" w:hAnsi="Times" w:cs="Times New Roman"/>
          <w:sz w:val="23"/>
          <w:szCs w:val="23"/>
        </w:rPr>
        <w:t xml:space="preserve"> (2001). Ordinary magic</w:t>
      </w:r>
      <w:r w:rsidRPr="00F853DD">
        <w:rPr>
          <w:rFonts w:ascii="Times" w:hAnsi="Times" w:cs="Times New Roman"/>
          <w:sz w:val="23"/>
          <w:szCs w:val="23"/>
        </w:rPr>
        <w:t>:</w:t>
      </w:r>
      <w:r w:rsidR="00DF05BD" w:rsidRPr="00F853DD">
        <w:rPr>
          <w:rFonts w:ascii="Times" w:hAnsi="Times" w:cs="Times New Roman"/>
          <w:sz w:val="23"/>
          <w:szCs w:val="23"/>
        </w:rPr>
        <w:t xml:space="preserve"> </w:t>
      </w:r>
      <w:r w:rsidRPr="00F853DD">
        <w:rPr>
          <w:rFonts w:ascii="Times" w:hAnsi="Times" w:cs="Times New Roman"/>
          <w:sz w:val="23"/>
          <w:szCs w:val="23"/>
        </w:rPr>
        <w:t>r</w:t>
      </w:r>
      <w:r w:rsidR="00DF05BD" w:rsidRPr="00F853DD">
        <w:rPr>
          <w:rFonts w:ascii="Times" w:hAnsi="Times" w:cs="Times New Roman"/>
          <w:sz w:val="23"/>
          <w:szCs w:val="23"/>
        </w:rPr>
        <w:t xml:space="preserve">esilience processes in development. </w:t>
      </w:r>
      <w:r w:rsidR="00DF05BD" w:rsidRPr="00F853DD">
        <w:rPr>
          <w:rFonts w:ascii="Times" w:hAnsi="Times" w:cs="Times New Roman"/>
          <w:i/>
          <w:sz w:val="23"/>
          <w:szCs w:val="23"/>
        </w:rPr>
        <w:t>American Psychologist</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56</w:t>
      </w:r>
      <w:r w:rsidR="00DF05BD" w:rsidRPr="00F853DD">
        <w:rPr>
          <w:rFonts w:ascii="Times" w:hAnsi="Times" w:cs="Times New Roman"/>
          <w:sz w:val="23"/>
          <w:szCs w:val="23"/>
        </w:rPr>
        <w:t>, 227-238.</w:t>
      </w:r>
    </w:p>
    <w:p w14:paraId="36AF7143" w14:textId="0E3A7B85"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Masten, A.,</w:t>
      </w:r>
      <w:r w:rsidR="00DF05BD" w:rsidRPr="00F853DD">
        <w:rPr>
          <w:rFonts w:ascii="Times" w:hAnsi="Times" w:cs="Times New Roman"/>
          <w:sz w:val="23"/>
          <w:szCs w:val="23"/>
        </w:rPr>
        <w:t xml:space="preserve"> (2015). Pathways to integrated resilience science. </w:t>
      </w:r>
      <w:r w:rsidR="00DF05BD" w:rsidRPr="00F853DD">
        <w:rPr>
          <w:rFonts w:ascii="Times" w:hAnsi="Times" w:cs="Times New Roman"/>
          <w:i/>
          <w:sz w:val="23"/>
          <w:szCs w:val="23"/>
        </w:rPr>
        <w:t>Psychological Inquiry</w:t>
      </w:r>
      <w:r w:rsidR="00DF05BD" w:rsidRPr="00F853DD">
        <w:rPr>
          <w:rFonts w:ascii="Times" w:hAnsi="Times" w:cs="Times New Roman"/>
          <w:sz w:val="23"/>
          <w:szCs w:val="23"/>
        </w:rPr>
        <w:t xml:space="preserve">, </w:t>
      </w:r>
      <w:r w:rsidR="00DF05BD" w:rsidRPr="00F853DD">
        <w:rPr>
          <w:rFonts w:ascii="Times" w:hAnsi="Times" w:cs="Times New Roman"/>
          <w:b/>
          <w:sz w:val="23"/>
          <w:szCs w:val="23"/>
        </w:rPr>
        <w:t>26</w:t>
      </w:r>
      <w:r w:rsidR="00DF05BD" w:rsidRPr="00F853DD">
        <w:rPr>
          <w:rFonts w:ascii="Times" w:hAnsi="Times" w:cs="Times New Roman"/>
          <w:sz w:val="23"/>
          <w:szCs w:val="23"/>
        </w:rPr>
        <w:t>, 187-196.</w:t>
      </w:r>
    </w:p>
    <w:p w14:paraId="0398F36F" w14:textId="296B61C3"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t>Masuy, A.</w:t>
      </w:r>
      <w:r w:rsidR="00627CB8" w:rsidRPr="00F853DD">
        <w:rPr>
          <w:rFonts w:ascii="Times" w:hAnsi="Times" w:cs="Times New Roman"/>
          <w:sz w:val="23"/>
          <w:szCs w:val="23"/>
        </w:rPr>
        <w:t>,</w:t>
      </w:r>
      <w:r w:rsidRPr="00F853DD">
        <w:rPr>
          <w:rFonts w:ascii="Times" w:hAnsi="Times" w:cs="Times New Roman"/>
          <w:sz w:val="23"/>
          <w:szCs w:val="23"/>
        </w:rPr>
        <w:t xml:space="preserve"> (2018). </w:t>
      </w:r>
      <w:r w:rsidRPr="00F853DD">
        <w:rPr>
          <w:rFonts w:ascii="Times" w:hAnsi="Times" w:cs="Times New Roman"/>
          <w:i/>
          <w:sz w:val="23"/>
          <w:szCs w:val="23"/>
        </w:rPr>
        <w:t xml:space="preserve">How does elderly family care evolve over time? An analysis of the care provided to the elderly by their spouse and children in the </w:t>
      </w:r>
      <w:r w:rsidR="00627CB8" w:rsidRPr="00F853DD">
        <w:rPr>
          <w:rFonts w:ascii="Times" w:hAnsi="Times" w:cs="Times New Roman"/>
          <w:i/>
          <w:sz w:val="23"/>
          <w:szCs w:val="23"/>
        </w:rPr>
        <w:t>p</w:t>
      </w:r>
      <w:r w:rsidRPr="00F853DD">
        <w:rPr>
          <w:rFonts w:ascii="Times" w:hAnsi="Times" w:cs="Times New Roman"/>
          <w:i/>
          <w:sz w:val="23"/>
          <w:szCs w:val="23"/>
        </w:rPr>
        <w:t xml:space="preserve">anel </w:t>
      </w:r>
      <w:r w:rsidR="00627CB8" w:rsidRPr="00F853DD">
        <w:rPr>
          <w:rFonts w:ascii="Times" w:hAnsi="Times" w:cs="Times New Roman"/>
          <w:i/>
          <w:sz w:val="23"/>
          <w:szCs w:val="23"/>
        </w:rPr>
        <w:t>s</w:t>
      </w:r>
      <w:r w:rsidRPr="00F853DD">
        <w:rPr>
          <w:rFonts w:ascii="Times" w:hAnsi="Times" w:cs="Times New Roman"/>
          <w:i/>
          <w:sz w:val="23"/>
          <w:szCs w:val="23"/>
        </w:rPr>
        <w:t xml:space="preserve">tudy of Belgian </w:t>
      </w:r>
      <w:r w:rsidR="00627CB8" w:rsidRPr="00F853DD">
        <w:rPr>
          <w:rFonts w:ascii="Times" w:hAnsi="Times" w:cs="Times New Roman"/>
          <w:i/>
          <w:sz w:val="23"/>
          <w:szCs w:val="23"/>
        </w:rPr>
        <w:t>h</w:t>
      </w:r>
      <w:r w:rsidRPr="00F853DD">
        <w:rPr>
          <w:rFonts w:ascii="Times" w:hAnsi="Times" w:cs="Times New Roman"/>
          <w:i/>
          <w:sz w:val="23"/>
          <w:szCs w:val="23"/>
        </w:rPr>
        <w:t>ouseholds 1992-2002</w:t>
      </w:r>
      <w:r w:rsidRPr="00F853DD">
        <w:rPr>
          <w:rFonts w:ascii="Times" w:hAnsi="Times" w:cs="Times New Roman"/>
          <w:sz w:val="23"/>
          <w:szCs w:val="23"/>
        </w:rPr>
        <w:t xml:space="preserve">. </w:t>
      </w:r>
      <w:r w:rsidRPr="00F853DD">
        <w:rPr>
          <w:rFonts w:ascii="Times" w:hAnsi="Times" w:cs="Times New Roman"/>
          <w:sz w:val="23"/>
          <w:szCs w:val="23"/>
          <w:lang w:val="fr-FR"/>
        </w:rPr>
        <w:t>PhD. Université catholique de Louvain.</w:t>
      </w:r>
    </w:p>
    <w:p w14:paraId="1DBF8AF8" w14:textId="7177700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fr-FR"/>
        </w:rPr>
        <w:lastRenderedPageBreak/>
        <w:t>Mateos, P., Singleton, A. and Longley, P.</w:t>
      </w:r>
      <w:r w:rsidR="00627CB8" w:rsidRPr="00F853DD">
        <w:rPr>
          <w:rFonts w:ascii="Times" w:hAnsi="Times" w:cs="Times New Roman"/>
          <w:sz w:val="23"/>
          <w:szCs w:val="23"/>
          <w:lang w:val="fr-FR"/>
        </w:rPr>
        <w:t>,</w:t>
      </w:r>
      <w:r w:rsidRPr="00F853DD">
        <w:rPr>
          <w:rFonts w:ascii="Times" w:hAnsi="Times" w:cs="Times New Roman"/>
          <w:sz w:val="23"/>
          <w:szCs w:val="23"/>
          <w:lang w:val="fr-FR"/>
        </w:rPr>
        <w:t xml:space="preserve"> (2009). </w:t>
      </w:r>
      <w:r w:rsidRPr="00F853DD">
        <w:rPr>
          <w:rFonts w:ascii="Times" w:hAnsi="Times" w:cs="Times New Roman"/>
          <w:sz w:val="23"/>
          <w:szCs w:val="23"/>
        </w:rPr>
        <w:t>Uncertainty in the analysis</w:t>
      </w:r>
      <w:r w:rsidR="00627CB8" w:rsidRPr="00F853DD">
        <w:rPr>
          <w:rFonts w:ascii="Times" w:hAnsi="Times" w:cs="Times New Roman"/>
          <w:sz w:val="23"/>
          <w:szCs w:val="23"/>
        </w:rPr>
        <w:t xml:space="preserve"> of ethnicity classifications: i</w:t>
      </w:r>
      <w:r w:rsidRPr="00F853DD">
        <w:rPr>
          <w:rFonts w:ascii="Times" w:hAnsi="Times" w:cs="Times New Roman"/>
          <w:sz w:val="23"/>
          <w:szCs w:val="23"/>
        </w:rPr>
        <w:t xml:space="preserve">ssues of extent and aggregation of ethnic groups. </w:t>
      </w:r>
      <w:r w:rsidRPr="00F853DD">
        <w:rPr>
          <w:rFonts w:ascii="Times" w:hAnsi="Times" w:cs="Times New Roman"/>
          <w:i/>
          <w:sz w:val="23"/>
          <w:szCs w:val="23"/>
        </w:rPr>
        <w:t>Journal of Ethnic and Migration Studies</w:t>
      </w:r>
      <w:r w:rsidR="00627CB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35</w:t>
      </w:r>
      <w:r w:rsidRPr="00F853DD">
        <w:rPr>
          <w:rFonts w:ascii="Times" w:hAnsi="Times" w:cs="Times New Roman"/>
          <w:sz w:val="23"/>
          <w:szCs w:val="23"/>
        </w:rPr>
        <w:t>, 1437-1460.</w:t>
      </w:r>
    </w:p>
    <w:p w14:paraId="584314EC" w14:textId="7549A0A4"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Matthews, A.,</w:t>
      </w:r>
      <w:r w:rsidR="00DF05BD" w:rsidRPr="00F853DD">
        <w:rPr>
          <w:rFonts w:ascii="Times" w:hAnsi="Times" w:cs="Times New Roman"/>
          <w:sz w:val="23"/>
          <w:szCs w:val="23"/>
        </w:rPr>
        <w:t xml:space="preserve"> (1984). Social </w:t>
      </w:r>
      <w:r w:rsidRPr="00F853DD">
        <w:rPr>
          <w:rFonts w:ascii="Times" w:hAnsi="Times" w:cs="Times New Roman"/>
          <w:sz w:val="23"/>
          <w:szCs w:val="23"/>
        </w:rPr>
        <w:t>s</w:t>
      </w:r>
      <w:r w:rsidR="00DF05BD" w:rsidRPr="00F853DD">
        <w:rPr>
          <w:rFonts w:ascii="Times" w:hAnsi="Times" w:cs="Times New Roman"/>
          <w:sz w:val="23"/>
          <w:szCs w:val="23"/>
        </w:rPr>
        <w:t xml:space="preserve">upport in </w:t>
      </w:r>
      <w:r w:rsidRPr="00F853DD">
        <w:rPr>
          <w:rFonts w:ascii="Times" w:hAnsi="Times" w:cs="Times New Roman"/>
          <w:sz w:val="23"/>
          <w:szCs w:val="23"/>
        </w:rPr>
        <w:t>n</w:t>
      </w:r>
      <w:r w:rsidR="00DF05BD" w:rsidRPr="00F853DD">
        <w:rPr>
          <w:rFonts w:ascii="Times" w:hAnsi="Times" w:cs="Times New Roman"/>
          <w:sz w:val="23"/>
          <w:szCs w:val="23"/>
        </w:rPr>
        <w:t xml:space="preserve">ormal </w:t>
      </w:r>
      <w:r w:rsidRPr="00F853DD">
        <w:rPr>
          <w:rFonts w:ascii="Times" w:hAnsi="Times" w:cs="Times New Roman"/>
          <w:sz w:val="23"/>
          <w:szCs w:val="23"/>
        </w:rPr>
        <w:t>a</w:t>
      </w:r>
      <w:r w:rsidR="00DF05BD" w:rsidRPr="00F853DD">
        <w:rPr>
          <w:rFonts w:ascii="Times" w:hAnsi="Times" w:cs="Times New Roman"/>
          <w:sz w:val="23"/>
          <w:szCs w:val="23"/>
        </w:rPr>
        <w:t xml:space="preserve">ging. </w:t>
      </w:r>
      <w:r w:rsidR="00DF05BD" w:rsidRPr="00F853DD">
        <w:rPr>
          <w:rFonts w:ascii="Times" w:hAnsi="Times" w:cs="Times New Roman"/>
          <w:i/>
          <w:sz w:val="23"/>
          <w:szCs w:val="23"/>
        </w:rPr>
        <w:t>Canadian Family Physician</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DF05BD" w:rsidRPr="00F853DD">
        <w:rPr>
          <w:rFonts w:ascii="Times" w:hAnsi="Times" w:cs="Times New Roman"/>
          <w:sz w:val="23"/>
          <w:szCs w:val="23"/>
        </w:rPr>
        <w:t>, 676-680.</w:t>
      </w:r>
    </w:p>
    <w:p w14:paraId="5F17C27C" w14:textId="7B896515" w:rsidR="00313D96"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Matthews, S.</w:t>
      </w:r>
      <w:r w:rsidR="00313D96" w:rsidRPr="00F853DD">
        <w:rPr>
          <w:rFonts w:ascii="Times" w:hAnsi="Times" w:cs="Times New Roman"/>
          <w:sz w:val="23"/>
          <w:szCs w:val="23"/>
        </w:rPr>
        <w:t xml:space="preserve">, 2002. Sisters and brothers/daughters and sons: </w:t>
      </w:r>
      <w:r w:rsidRPr="00F853DD">
        <w:rPr>
          <w:rFonts w:ascii="Times" w:hAnsi="Times" w:cs="Times New Roman"/>
          <w:sz w:val="23"/>
          <w:szCs w:val="23"/>
        </w:rPr>
        <w:t>m</w:t>
      </w:r>
      <w:r w:rsidR="00313D96" w:rsidRPr="00F853DD">
        <w:rPr>
          <w:rFonts w:ascii="Times" w:hAnsi="Times" w:cs="Times New Roman"/>
          <w:sz w:val="23"/>
          <w:szCs w:val="23"/>
        </w:rPr>
        <w:t>eeting the needs of old parents. Unlimited Publishing LLC.</w:t>
      </w:r>
    </w:p>
    <w:p w14:paraId="208690DB" w14:textId="6CBE6F6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Matthews, S. H. and Rosner, T. T. (1988). Shared </w:t>
      </w:r>
      <w:r w:rsidR="00627CB8" w:rsidRPr="00F853DD">
        <w:rPr>
          <w:rFonts w:ascii="Times" w:hAnsi="Times" w:cs="Times New Roman"/>
          <w:sz w:val="23"/>
          <w:szCs w:val="23"/>
        </w:rPr>
        <w:t>filial r</w:t>
      </w:r>
      <w:r w:rsidRPr="00F853DD">
        <w:rPr>
          <w:rFonts w:ascii="Times" w:hAnsi="Times" w:cs="Times New Roman"/>
          <w:sz w:val="23"/>
          <w:szCs w:val="23"/>
        </w:rPr>
        <w:t xml:space="preserve">esponsibility: </w:t>
      </w:r>
      <w:r w:rsidR="00627CB8" w:rsidRPr="00F853DD">
        <w:rPr>
          <w:rFonts w:ascii="Times" w:hAnsi="Times" w:cs="Times New Roman"/>
          <w:sz w:val="23"/>
          <w:szCs w:val="23"/>
        </w:rPr>
        <w:t>t</w:t>
      </w:r>
      <w:r w:rsidRPr="00F853DD">
        <w:rPr>
          <w:rFonts w:ascii="Times" w:hAnsi="Times" w:cs="Times New Roman"/>
          <w:sz w:val="23"/>
          <w:szCs w:val="23"/>
        </w:rPr>
        <w:t xml:space="preserve">he </w:t>
      </w:r>
      <w:r w:rsidR="00627CB8" w:rsidRPr="00F853DD">
        <w:rPr>
          <w:rFonts w:ascii="Times" w:hAnsi="Times" w:cs="Times New Roman"/>
          <w:sz w:val="23"/>
          <w:szCs w:val="23"/>
        </w:rPr>
        <w:t>f</w:t>
      </w:r>
      <w:r w:rsidRPr="00F853DD">
        <w:rPr>
          <w:rFonts w:ascii="Times" w:hAnsi="Times" w:cs="Times New Roman"/>
          <w:sz w:val="23"/>
          <w:szCs w:val="23"/>
        </w:rPr>
        <w:t xml:space="preserve">amily as the </w:t>
      </w:r>
      <w:r w:rsidR="00627CB8" w:rsidRPr="00F853DD">
        <w:rPr>
          <w:rFonts w:ascii="Times" w:hAnsi="Times" w:cs="Times New Roman"/>
          <w:sz w:val="23"/>
          <w:szCs w:val="23"/>
        </w:rPr>
        <w:t>p</w:t>
      </w:r>
      <w:r w:rsidRPr="00F853DD">
        <w:rPr>
          <w:rFonts w:ascii="Times" w:hAnsi="Times" w:cs="Times New Roman"/>
          <w:sz w:val="23"/>
          <w:szCs w:val="23"/>
        </w:rPr>
        <w:t xml:space="preserve">rimary </w:t>
      </w:r>
      <w:r w:rsidR="00627CB8" w:rsidRPr="00F853DD">
        <w:rPr>
          <w:rFonts w:ascii="Times" w:hAnsi="Times" w:cs="Times New Roman"/>
          <w:sz w:val="23"/>
          <w:szCs w:val="23"/>
        </w:rPr>
        <w:t>c</w:t>
      </w:r>
      <w:r w:rsidRPr="00F853DD">
        <w:rPr>
          <w:rFonts w:ascii="Times" w:hAnsi="Times" w:cs="Times New Roman"/>
          <w:sz w:val="23"/>
          <w:szCs w:val="23"/>
        </w:rPr>
        <w:t xml:space="preserve">aregiver. </w:t>
      </w:r>
      <w:r w:rsidRPr="00F853DD">
        <w:rPr>
          <w:rFonts w:ascii="Times" w:hAnsi="Times" w:cs="Times New Roman"/>
          <w:i/>
          <w:sz w:val="23"/>
          <w:szCs w:val="23"/>
        </w:rPr>
        <w:t>Journal of Marriage and the Family</w:t>
      </w:r>
      <w:r w:rsidR="00627CB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50</w:t>
      </w:r>
      <w:r w:rsidRPr="00F853DD">
        <w:rPr>
          <w:rFonts w:ascii="Times" w:hAnsi="Times" w:cs="Times New Roman"/>
          <w:sz w:val="23"/>
          <w:szCs w:val="23"/>
        </w:rPr>
        <w:t>, 185-195.</w:t>
      </w:r>
    </w:p>
    <w:p w14:paraId="656FE358" w14:textId="154A84C8"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Mattlin, J.</w:t>
      </w:r>
      <w:r w:rsidR="00DF05BD" w:rsidRPr="00F853DD">
        <w:rPr>
          <w:rFonts w:ascii="Times" w:hAnsi="Times" w:cs="Times New Roman"/>
          <w:sz w:val="23"/>
          <w:szCs w:val="23"/>
        </w:rPr>
        <w:t>, W</w:t>
      </w:r>
      <w:r w:rsidRPr="00F853DD">
        <w:rPr>
          <w:rFonts w:ascii="Times" w:hAnsi="Times" w:cs="Times New Roman"/>
          <w:sz w:val="23"/>
          <w:szCs w:val="23"/>
        </w:rPr>
        <w:t>ethington, E. and Kessler, R.,</w:t>
      </w:r>
      <w:r w:rsidR="00DF05BD" w:rsidRPr="00F853DD">
        <w:rPr>
          <w:rFonts w:ascii="Times" w:hAnsi="Times" w:cs="Times New Roman"/>
          <w:sz w:val="23"/>
          <w:szCs w:val="23"/>
        </w:rPr>
        <w:t xml:space="preserve"> (1990). Situational </w:t>
      </w:r>
      <w:r w:rsidRPr="00F853DD">
        <w:rPr>
          <w:rFonts w:ascii="Times" w:hAnsi="Times" w:cs="Times New Roman"/>
          <w:sz w:val="23"/>
          <w:szCs w:val="23"/>
        </w:rPr>
        <w:t>d</w:t>
      </w:r>
      <w:r w:rsidR="00DF05BD" w:rsidRPr="00F853DD">
        <w:rPr>
          <w:rFonts w:ascii="Times" w:hAnsi="Times" w:cs="Times New Roman"/>
          <w:sz w:val="23"/>
          <w:szCs w:val="23"/>
        </w:rPr>
        <w:t xml:space="preserve">eterminants of </w:t>
      </w:r>
      <w:r w:rsidRPr="00F853DD">
        <w:rPr>
          <w:rFonts w:ascii="Times" w:hAnsi="Times" w:cs="Times New Roman"/>
          <w:sz w:val="23"/>
          <w:szCs w:val="23"/>
        </w:rPr>
        <w:t>c</w:t>
      </w:r>
      <w:r w:rsidR="00DF05BD" w:rsidRPr="00F853DD">
        <w:rPr>
          <w:rFonts w:ascii="Times" w:hAnsi="Times" w:cs="Times New Roman"/>
          <w:sz w:val="23"/>
          <w:szCs w:val="23"/>
        </w:rPr>
        <w:t xml:space="preserve">oping and </w:t>
      </w:r>
      <w:r w:rsidRPr="00F853DD">
        <w:rPr>
          <w:rFonts w:ascii="Times" w:hAnsi="Times" w:cs="Times New Roman"/>
          <w:sz w:val="23"/>
          <w:szCs w:val="23"/>
        </w:rPr>
        <w:t>c</w:t>
      </w:r>
      <w:r w:rsidR="00DF05BD" w:rsidRPr="00F853DD">
        <w:rPr>
          <w:rFonts w:ascii="Times" w:hAnsi="Times" w:cs="Times New Roman"/>
          <w:sz w:val="23"/>
          <w:szCs w:val="23"/>
        </w:rPr>
        <w:t xml:space="preserve">oping </w:t>
      </w:r>
      <w:r w:rsidRPr="00F853DD">
        <w:rPr>
          <w:rFonts w:ascii="Times" w:hAnsi="Times" w:cs="Times New Roman"/>
          <w:sz w:val="23"/>
          <w:szCs w:val="23"/>
        </w:rPr>
        <w:t>e</w:t>
      </w:r>
      <w:r w:rsidR="00DF05BD" w:rsidRPr="00F853DD">
        <w:rPr>
          <w:rFonts w:ascii="Times" w:hAnsi="Times" w:cs="Times New Roman"/>
          <w:sz w:val="23"/>
          <w:szCs w:val="23"/>
        </w:rPr>
        <w:t xml:space="preserve">ffectiveness. </w:t>
      </w:r>
      <w:r w:rsidR="00DF05BD" w:rsidRPr="00F853DD">
        <w:rPr>
          <w:rFonts w:ascii="Times" w:hAnsi="Times" w:cs="Times New Roman"/>
          <w:i/>
          <w:sz w:val="23"/>
          <w:szCs w:val="23"/>
        </w:rPr>
        <w:t>Journal of Health and Social Behavior</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31</w:t>
      </w:r>
      <w:r w:rsidR="00DF05BD" w:rsidRPr="00F853DD">
        <w:rPr>
          <w:rFonts w:ascii="Times" w:hAnsi="Times" w:cs="Times New Roman"/>
          <w:sz w:val="23"/>
          <w:szCs w:val="23"/>
        </w:rPr>
        <w:t>, 103-122.</w:t>
      </w:r>
    </w:p>
    <w:p w14:paraId="1071933E" w14:textId="7E883A28"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Maurin, J. and Boyd, C.</w:t>
      </w:r>
      <w:r w:rsidR="00DF05BD" w:rsidRPr="00F853DD">
        <w:rPr>
          <w:rFonts w:ascii="Times" w:hAnsi="Times" w:cs="Times New Roman"/>
          <w:sz w:val="23"/>
          <w:szCs w:val="23"/>
        </w:rPr>
        <w:t xml:space="preserve"> (1990). Burden of mental illness on the family: a critical review. </w:t>
      </w:r>
      <w:r w:rsidR="00DF05BD" w:rsidRPr="00F853DD">
        <w:rPr>
          <w:rFonts w:ascii="Times" w:hAnsi="Times" w:cs="Times New Roman"/>
          <w:i/>
          <w:sz w:val="23"/>
          <w:szCs w:val="23"/>
        </w:rPr>
        <w:t>Archives of Psychiatric Nursing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w:t>
      </w:r>
      <w:r w:rsidR="00DF05BD" w:rsidRPr="00F853DD">
        <w:rPr>
          <w:rFonts w:ascii="Times" w:hAnsi="Times" w:cs="Times New Roman"/>
          <w:sz w:val="23"/>
          <w:szCs w:val="23"/>
        </w:rPr>
        <w:t>, 99-107.</w:t>
      </w:r>
    </w:p>
    <w:p w14:paraId="702A770E" w14:textId="3336677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Mausb</w:t>
      </w:r>
      <w:r w:rsidR="00627CB8" w:rsidRPr="00F853DD">
        <w:rPr>
          <w:rFonts w:ascii="Times" w:hAnsi="Times" w:cs="Times New Roman"/>
          <w:sz w:val="23"/>
          <w:szCs w:val="23"/>
        </w:rPr>
        <w:t>ach, B., Chattillion, E., Ho, J., Flynn, L.</w:t>
      </w:r>
      <w:r w:rsidRPr="00F853DD">
        <w:rPr>
          <w:rFonts w:ascii="Times" w:hAnsi="Times" w:cs="Times New Roman"/>
          <w:sz w:val="23"/>
          <w:szCs w:val="23"/>
        </w:rPr>
        <w:t>, Tiznado, D.</w:t>
      </w:r>
      <w:r w:rsidR="00627CB8" w:rsidRPr="00F853DD">
        <w:rPr>
          <w:rFonts w:ascii="Times" w:hAnsi="Times" w:cs="Times New Roman"/>
          <w:sz w:val="23"/>
          <w:szCs w:val="23"/>
        </w:rPr>
        <w:t>, Von Kanel, R., Patterson, T</w:t>
      </w:r>
      <w:r w:rsidRPr="00F853DD">
        <w:rPr>
          <w:rFonts w:ascii="Times" w:hAnsi="Times" w:cs="Times New Roman"/>
          <w:sz w:val="23"/>
          <w:szCs w:val="23"/>
        </w:rPr>
        <w:t>. and Grant, I.</w:t>
      </w:r>
      <w:r w:rsidR="00627CB8" w:rsidRPr="00F853DD">
        <w:rPr>
          <w:rFonts w:ascii="Times" w:hAnsi="Times" w:cs="Times New Roman"/>
          <w:sz w:val="23"/>
          <w:szCs w:val="23"/>
        </w:rPr>
        <w:t>,</w:t>
      </w:r>
      <w:r w:rsidRPr="00F853DD">
        <w:rPr>
          <w:rFonts w:ascii="Times" w:hAnsi="Times" w:cs="Times New Roman"/>
          <w:sz w:val="23"/>
          <w:szCs w:val="23"/>
        </w:rPr>
        <w:t xml:space="preserve"> (2014). Why does placement of persons with alzheimer's disease into long-term care improve caregivers' well-being? Examination of psychological mediators. </w:t>
      </w:r>
      <w:r w:rsidRPr="00F853DD">
        <w:rPr>
          <w:rFonts w:ascii="Times" w:hAnsi="Times" w:cs="Times New Roman"/>
          <w:i/>
          <w:sz w:val="23"/>
          <w:szCs w:val="23"/>
        </w:rPr>
        <w:t>Psychology and Aging</w:t>
      </w:r>
      <w:r w:rsidR="00627CB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776-786.</w:t>
      </w:r>
    </w:p>
    <w:p w14:paraId="28264382" w14:textId="1B66BBB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Mayordomo, T., Viguer, P., Sales, A., </w:t>
      </w:r>
      <w:r w:rsidR="00627CB8" w:rsidRPr="00F853DD">
        <w:rPr>
          <w:rFonts w:ascii="Times" w:hAnsi="Times" w:cs="Times New Roman"/>
          <w:sz w:val="23"/>
          <w:szCs w:val="23"/>
        </w:rPr>
        <w:t>Satorres, E. and Melendez, J.,</w:t>
      </w:r>
      <w:r w:rsidRPr="00F853DD">
        <w:rPr>
          <w:rFonts w:ascii="Times" w:hAnsi="Times" w:cs="Times New Roman"/>
          <w:sz w:val="23"/>
          <w:szCs w:val="23"/>
        </w:rPr>
        <w:t xml:space="preserve"> (2016). Resilience and coping as predictors of well-being in adults. </w:t>
      </w:r>
      <w:r w:rsidRPr="00F853DD">
        <w:rPr>
          <w:rFonts w:ascii="Times" w:hAnsi="Times" w:cs="Times New Roman"/>
          <w:i/>
          <w:sz w:val="23"/>
          <w:szCs w:val="23"/>
        </w:rPr>
        <w:t>Journal of Psychology</w:t>
      </w:r>
      <w:r w:rsidR="00627CB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150</w:t>
      </w:r>
      <w:r w:rsidRPr="00F853DD">
        <w:rPr>
          <w:rFonts w:ascii="Times" w:hAnsi="Times" w:cs="Times New Roman"/>
          <w:sz w:val="23"/>
          <w:szCs w:val="23"/>
        </w:rPr>
        <w:t>, 809-821.</w:t>
      </w:r>
    </w:p>
    <w:p w14:paraId="5EF88999" w14:textId="307B4CF7"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McCann, T.</w:t>
      </w:r>
      <w:r w:rsidR="00DF05BD" w:rsidRPr="00F853DD">
        <w:rPr>
          <w:rFonts w:ascii="Times" w:hAnsi="Times" w:cs="Times New Roman"/>
          <w:sz w:val="23"/>
          <w:szCs w:val="23"/>
        </w:rPr>
        <w:t>, Bamberg, J. and McCann, F.</w:t>
      </w:r>
      <w:r w:rsidRPr="00F853DD">
        <w:rPr>
          <w:rFonts w:ascii="Times" w:hAnsi="Times" w:cs="Times New Roman"/>
          <w:sz w:val="23"/>
          <w:szCs w:val="23"/>
        </w:rPr>
        <w:t>,</w:t>
      </w:r>
      <w:r w:rsidR="00DF05BD" w:rsidRPr="00F853DD">
        <w:rPr>
          <w:rFonts w:ascii="Times" w:hAnsi="Times" w:cs="Times New Roman"/>
          <w:sz w:val="23"/>
          <w:szCs w:val="23"/>
        </w:rPr>
        <w:t xml:space="preserve"> (2015). Family carers' experience of caring for an older parent with severe and persistent mental illness. </w:t>
      </w:r>
      <w:r w:rsidR="00DF05BD" w:rsidRPr="00F853DD">
        <w:rPr>
          <w:rFonts w:ascii="Times" w:hAnsi="Times" w:cs="Times New Roman"/>
          <w:i/>
          <w:sz w:val="23"/>
          <w:szCs w:val="23"/>
        </w:rPr>
        <w:t>International Journal of Mental Health Nursing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24</w:t>
      </w:r>
      <w:r w:rsidR="00DF05BD" w:rsidRPr="00F853DD">
        <w:rPr>
          <w:rFonts w:ascii="Times" w:hAnsi="Times" w:cs="Times New Roman"/>
          <w:sz w:val="23"/>
          <w:szCs w:val="23"/>
        </w:rPr>
        <w:t>, 203-212.</w:t>
      </w:r>
    </w:p>
    <w:p w14:paraId="7FC39555" w14:textId="152C011A"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McCann, J., Hebert, L., Bienias, J., Morris, M. and Evans, D.</w:t>
      </w:r>
      <w:r w:rsidR="00DF05BD" w:rsidRPr="00F853DD">
        <w:rPr>
          <w:rFonts w:ascii="Times" w:hAnsi="Times" w:cs="Times New Roman"/>
          <w:sz w:val="23"/>
          <w:szCs w:val="23"/>
        </w:rPr>
        <w:t xml:space="preserve">, (2004). Predictors of beginning and ending caregiving during a 3-year period in a biracial community population of older adults. </w:t>
      </w:r>
      <w:r w:rsidR="00DF05BD" w:rsidRPr="00F853DD">
        <w:rPr>
          <w:rFonts w:ascii="Times" w:hAnsi="Times" w:cs="Times New Roman"/>
          <w:i/>
          <w:sz w:val="23"/>
          <w:szCs w:val="23"/>
        </w:rPr>
        <w:t>American Journal of Public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94</w:t>
      </w:r>
      <w:r w:rsidR="00DF05BD" w:rsidRPr="00F853DD">
        <w:rPr>
          <w:rFonts w:ascii="Times" w:hAnsi="Times" w:cs="Times New Roman"/>
          <w:sz w:val="23"/>
          <w:szCs w:val="23"/>
        </w:rPr>
        <w:t>(10), 1800-1806.</w:t>
      </w:r>
    </w:p>
    <w:p w14:paraId="0D44ED85" w14:textId="749096E1"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McClendon, M. and Smyth, K.</w:t>
      </w:r>
      <w:r w:rsidR="00DF05BD" w:rsidRPr="00F853DD">
        <w:rPr>
          <w:rFonts w:ascii="Times" w:hAnsi="Times" w:cs="Times New Roman"/>
          <w:sz w:val="23"/>
          <w:szCs w:val="23"/>
        </w:rPr>
        <w:t xml:space="preserve"> (2015). Quality of in-home care, long-term care placement, and the survival of persons with dementia. </w:t>
      </w:r>
      <w:r w:rsidR="00DF05BD" w:rsidRPr="00F853DD">
        <w:rPr>
          <w:rFonts w:ascii="Times" w:hAnsi="Times" w:cs="Times New Roman"/>
          <w:i/>
          <w:sz w:val="23"/>
          <w:szCs w:val="23"/>
        </w:rPr>
        <w:t>Aging and Mental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 1093-1102.</w:t>
      </w:r>
    </w:p>
    <w:p w14:paraId="2858C2BC" w14:textId="0806B723"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McCrae, R.,</w:t>
      </w:r>
      <w:r w:rsidR="00DF05BD" w:rsidRPr="00F853DD">
        <w:rPr>
          <w:rFonts w:ascii="Times" w:hAnsi="Times" w:cs="Times New Roman"/>
          <w:sz w:val="23"/>
          <w:szCs w:val="23"/>
        </w:rPr>
        <w:t xml:space="preserve"> (1984). Situational determinants of coping responses - loss, threat and challenge. </w:t>
      </w:r>
      <w:r w:rsidR="00DF05BD" w:rsidRPr="00F853DD">
        <w:rPr>
          <w:rFonts w:ascii="Times" w:hAnsi="Times" w:cs="Times New Roman"/>
          <w:i/>
          <w:sz w:val="23"/>
          <w:szCs w:val="23"/>
        </w:rPr>
        <w:t>Journal of Personality and Social Psychology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46</w:t>
      </w:r>
      <w:r w:rsidR="00DF05BD" w:rsidRPr="00F853DD">
        <w:rPr>
          <w:rFonts w:ascii="Times" w:hAnsi="Times" w:cs="Times New Roman"/>
          <w:sz w:val="23"/>
          <w:szCs w:val="23"/>
        </w:rPr>
        <w:t>, 919-928.</w:t>
      </w:r>
    </w:p>
    <w:p w14:paraId="703381B5" w14:textId="0028F21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w:t>
      </w:r>
      <w:r w:rsidR="00627CB8" w:rsidRPr="00F853DD">
        <w:rPr>
          <w:rFonts w:ascii="Times" w:hAnsi="Times" w:cs="Times New Roman"/>
          <w:sz w:val="23"/>
          <w:szCs w:val="23"/>
        </w:rPr>
        <w:t>Cubbin, H.,</w:t>
      </w:r>
      <w:r w:rsidRPr="00F853DD">
        <w:rPr>
          <w:rFonts w:ascii="Times" w:hAnsi="Times" w:cs="Times New Roman"/>
          <w:sz w:val="23"/>
          <w:szCs w:val="23"/>
        </w:rPr>
        <w:t xml:space="preserve"> (1979). Integrating coping behavior in family stress theory. </w:t>
      </w:r>
      <w:r w:rsidRPr="00F853DD">
        <w:rPr>
          <w:rFonts w:ascii="Times" w:hAnsi="Times" w:cs="Times New Roman"/>
          <w:i/>
          <w:sz w:val="23"/>
          <w:szCs w:val="23"/>
        </w:rPr>
        <w:t>Journal of Marriage and the Family</w:t>
      </w:r>
      <w:r w:rsidR="00627CB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41</w:t>
      </w:r>
      <w:r w:rsidRPr="00F853DD">
        <w:rPr>
          <w:rFonts w:ascii="Times" w:hAnsi="Times" w:cs="Times New Roman"/>
          <w:sz w:val="23"/>
          <w:szCs w:val="23"/>
        </w:rPr>
        <w:t>, 237-244.</w:t>
      </w:r>
    </w:p>
    <w:p w14:paraId="0303EDAD" w14:textId="5B9E16D6"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McCubbin, H., Joy, C., Cauble, A., Comeau, J., Patterson, J. and Needle, R.</w:t>
      </w:r>
      <w:r w:rsidR="00DF05BD" w:rsidRPr="00F853DD">
        <w:rPr>
          <w:rFonts w:ascii="Times" w:hAnsi="Times" w:cs="Times New Roman"/>
          <w:sz w:val="23"/>
          <w:szCs w:val="23"/>
        </w:rPr>
        <w:t xml:space="preserve"> (1980). Family </w:t>
      </w:r>
      <w:r w:rsidRPr="00F853DD">
        <w:rPr>
          <w:rFonts w:ascii="Times" w:hAnsi="Times" w:cs="Times New Roman"/>
          <w:sz w:val="23"/>
          <w:szCs w:val="23"/>
        </w:rPr>
        <w:t>s</w:t>
      </w:r>
      <w:r w:rsidR="00DF05BD" w:rsidRPr="00F853DD">
        <w:rPr>
          <w:rFonts w:ascii="Times" w:hAnsi="Times" w:cs="Times New Roman"/>
          <w:sz w:val="23"/>
          <w:szCs w:val="23"/>
        </w:rPr>
        <w:t xml:space="preserve">tress and </w:t>
      </w:r>
      <w:r w:rsidRPr="00F853DD">
        <w:rPr>
          <w:rFonts w:ascii="Times" w:hAnsi="Times" w:cs="Times New Roman"/>
          <w:sz w:val="23"/>
          <w:szCs w:val="23"/>
        </w:rPr>
        <w:t>coping:</w:t>
      </w:r>
      <w:r w:rsidR="00DF05BD" w:rsidRPr="00F853DD">
        <w:rPr>
          <w:rFonts w:ascii="Times" w:hAnsi="Times" w:cs="Times New Roman"/>
          <w:sz w:val="23"/>
          <w:szCs w:val="23"/>
        </w:rPr>
        <w:t xml:space="preserve"> </w:t>
      </w:r>
      <w:r w:rsidRPr="00F853DD">
        <w:rPr>
          <w:rFonts w:ascii="Times" w:hAnsi="Times" w:cs="Times New Roman"/>
          <w:sz w:val="23"/>
          <w:szCs w:val="23"/>
        </w:rPr>
        <w:t>a</w:t>
      </w:r>
      <w:r w:rsidR="00DF05BD" w:rsidRPr="00F853DD">
        <w:rPr>
          <w:rFonts w:ascii="Times" w:hAnsi="Times" w:cs="Times New Roman"/>
          <w:sz w:val="23"/>
          <w:szCs w:val="23"/>
        </w:rPr>
        <w:t xml:space="preserve"> decade review. </w:t>
      </w:r>
      <w:r w:rsidR="00DF05BD" w:rsidRPr="00F853DD">
        <w:rPr>
          <w:rFonts w:ascii="Times" w:hAnsi="Times" w:cs="Times New Roman"/>
          <w:i/>
          <w:sz w:val="23"/>
          <w:szCs w:val="23"/>
        </w:rPr>
        <w:t>Journal of Marriage and the Family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42</w:t>
      </w:r>
      <w:r w:rsidR="00DF05BD" w:rsidRPr="00F853DD">
        <w:rPr>
          <w:rFonts w:ascii="Times" w:hAnsi="Times" w:cs="Times New Roman"/>
          <w:sz w:val="23"/>
          <w:szCs w:val="23"/>
        </w:rPr>
        <w:t>, 855-871.</w:t>
      </w:r>
    </w:p>
    <w:p w14:paraId="48C1AF22" w14:textId="1B09B64D"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McCubbin, H. and Mccubbin, M.,</w:t>
      </w:r>
      <w:r w:rsidR="00DF05BD" w:rsidRPr="00F853DD">
        <w:rPr>
          <w:rFonts w:ascii="Times" w:hAnsi="Times" w:cs="Times New Roman"/>
          <w:sz w:val="23"/>
          <w:szCs w:val="23"/>
        </w:rPr>
        <w:t xml:space="preserve"> (1988). Typ</w:t>
      </w:r>
      <w:r w:rsidRPr="00F853DD">
        <w:rPr>
          <w:rFonts w:ascii="Times" w:hAnsi="Times" w:cs="Times New Roman"/>
          <w:sz w:val="23"/>
          <w:szCs w:val="23"/>
        </w:rPr>
        <w:t xml:space="preserve">ologies of resilient families: </w:t>
      </w:r>
      <w:r w:rsidR="00DF05BD" w:rsidRPr="00F853DD">
        <w:rPr>
          <w:rFonts w:ascii="Times" w:hAnsi="Times" w:cs="Times New Roman"/>
          <w:sz w:val="23"/>
          <w:szCs w:val="23"/>
        </w:rPr>
        <w:t xml:space="preserve">emerging roles of social-class and ethnicity. </w:t>
      </w:r>
      <w:r w:rsidR="00DF05BD" w:rsidRPr="00F853DD">
        <w:rPr>
          <w:rFonts w:ascii="Times" w:hAnsi="Times" w:cs="Times New Roman"/>
          <w:i/>
          <w:sz w:val="23"/>
          <w:szCs w:val="23"/>
        </w:rPr>
        <w:t>Family Relations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37</w:t>
      </w:r>
      <w:r w:rsidR="00DF05BD" w:rsidRPr="00F853DD">
        <w:rPr>
          <w:rFonts w:ascii="Times" w:hAnsi="Times" w:cs="Times New Roman"/>
          <w:sz w:val="23"/>
          <w:szCs w:val="23"/>
        </w:rPr>
        <w:t>, 247-254.</w:t>
      </w:r>
    </w:p>
    <w:p w14:paraId="4968886A" w14:textId="25E99EC0"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McDaniel, S. and Pisani, A.,</w:t>
      </w:r>
      <w:r w:rsidR="00DF05BD" w:rsidRPr="00F853DD">
        <w:rPr>
          <w:rFonts w:ascii="Times" w:hAnsi="Times" w:cs="Times New Roman"/>
          <w:sz w:val="23"/>
          <w:szCs w:val="23"/>
        </w:rPr>
        <w:t xml:space="preserve"> (2012). Family dynamics and caregiving for people with disabilities. In: Talley, R. C. and Crews, J. E. (eds.) </w:t>
      </w:r>
      <w:r w:rsidR="00DF05BD" w:rsidRPr="00F853DD">
        <w:rPr>
          <w:rFonts w:ascii="Times" w:hAnsi="Times" w:cs="Times New Roman"/>
          <w:i/>
          <w:sz w:val="23"/>
          <w:szCs w:val="23"/>
        </w:rPr>
        <w:t>Multiple</w:t>
      </w:r>
      <w:r w:rsidR="00DF05BD" w:rsidRPr="00F853DD">
        <w:rPr>
          <w:rFonts w:ascii="Times" w:hAnsi="Times" w:cs="Times New Roman"/>
          <w:sz w:val="23"/>
          <w:szCs w:val="23"/>
        </w:rPr>
        <w:t xml:space="preserve"> </w:t>
      </w:r>
      <w:r w:rsidR="00DF05BD" w:rsidRPr="00F853DD">
        <w:rPr>
          <w:rFonts w:ascii="Times" w:hAnsi="Times" w:cs="Times New Roman"/>
          <w:i/>
          <w:sz w:val="23"/>
          <w:szCs w:val="23"/>
        </w:rPr>
        <w:t>Dimensions of Caregiving and Disability</w:t>
      </w:r>
      <w:r w:rsidR="00DF05BD" w:rsidRPr="00F853DD">
        <w:rPr>
          <w:rFonts w:ascii="Times" w:hAnsi="Times" w:cs="Times New Roman"/>
          <w:sz w:val="23"/>
          <w:szCs w:val="23"/>
        </w:rPr>
        <w:t xml:space="preserve">: </w:t>
      </w:r>
      <w:r w:rsidR="00DF05BD" w:rsidRPr="00F853DD">
        <w:rPr>
          <w:rFonts w:ascii="Times" w:hAnsi="Times" w:cs="Times New Roman"/>
          <w:i/>
          <w:sz w:val="23"/>
          <w:szCs w:val="23"/>
        </w:rPr>
        <w:t>Research, Practice, Policy</w:t>
      </w:r>
      <w:r w:rsidR="00DF05BD" w:rsidRPr="00F853DD">
        <w:rPr>
          <w:rFonts w:ascii="Times" w:hAnsi="Times" w:cs="Times New Roman"/>
          <w:sz w:val="23"/>
          <w:szCs w:val="23"/>
        </w:rPr>
        <w:t>. New York: Springer.</w:t>
      </w:r>
    </w:p>
    <w:p w14:paraId="4A462BEA" w14:textId="73B9AE1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McDonald, M.</w:t>
      </w:r>
      <w:r w:rsidR="00627CB8" w:rsidRPr="00F853DD">
        <w:rPr>
          <w:rFonts w:ascii="Times" w:hAnsi="Times" w:cs="Times New Roman"/>
          <w:sz w:val="23"/>
          <w:szCs w:val="23"/>
        </w:rPr>
        <w:t>,</w:t>
      </w:r>
      <w:r w:rsidRPr="00F853DD">
        <w:rPr>
          <w:rFonts w:ascii="Times" w:hAnsi="Times" w:cs="Times New Roman"/>
          <w:sz w:val="23"/>
          <w:szCs w:val="23"/>
        </w:rPr>
        <w:t xml:space="preserve"> (2004). Danger in the field: </w:t>
      </w:r>
      <w:r w:rsidR="00627CB8" w:rsidRPr="00F853DD">
        <w:rPr>
          <w:rFonts w:ascii="Times" w:hAnsi="Times" w:cs="Times New Roman"/>
          <w:sz w:val="23"/>
          <w:szCs w:val="23"/>
        </w:rPr>
        <w:t>r</w:t>
      </w:r>
      <w:r w:rsidRPr="00F853DD">
        <w:rPr>
          <w:rFonts w:ascii="Times" w:hAnsi="Times" w:cs="Times New Roman"/>
          <w:sz w:val="23"/>
          <w:szCs w:val="23"/>
        </w:rPr>
        <w:t xml:space="preserve">isk and ethics in social research. </w:t>
      </w:r>
      <w:r w:rsidRPr="00F853DD">
        <w:rPr>
          <w:rFonts w:ascii="Times" w:hAnsi="Times" w:cs="Times New Roman"/>
          <w:i/>
          <w:sz w:val="23"/>
          <w:szCs w:val="23"/>
        </w:rPr>
        <w:t>Science Education</w:t>
      </w:r>
      <w:r w:rsidR="00627CB8" w:rsidRPr="00F853DD">
        <w:rPr>
          <w:rFonts w:ascii="Times" w:hAnsi="Times" w:cs="Times New Roman"/>
          <w:sz w:val="23"/>
          <w:szCs w:val="23"/>
        </w:rPr>
        <w:t xml:space="preserve">. </w:t>
      </w:r>
      <w:r w:rsidRPr="00F853DD">
        <w:rPr>
          <w:rFonts w:ascii="Times" w:hAnsi="Times" w:cs="Times New Roman"/>
          <w:b/>
          <w:sz w:val="23"/>
          <w:szCs w:val="23"/>
        </w:rPr>
        <w:t>88</w:t>
      </w:r>
      <w:r w:rsidRPr="00F853DD">
        <w:rPr>
          <w:rFonts w:ascii="Times" w:hAnsi="Times" w:cs="Times New Roman"/>
          <w:sz w:val="23"/>
          <w:szCs w:val="23"/>
        </w:rPr>
        <w:t>, 816-818.</w:t>
      </w:r>
    </w:p>
    <w:p w14:paraId="010F8EF2" w14:textId="1212A41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McFall, S., Miller, B. and McFall, S.</w:t>
      </w:r>
      <w:r w:rsidR="00627CB8" w:rsidRPr="00F853DD">
        <w:rPr>
          <w:rFonts w:ascii="Times" w:hAnsi="Times" w:cs="Times New Roman"/>
          <w:sz w:val="23"/>
          <w:szCs w:val="23"/>
        </w:rPr>
        <w:t>,</w:t>
      </w:r>
      <w:r w:rsidRPr="00F853DD">
        <w:rPr>
          <w:rFonts w:ascii="Times" w:hAnsi="Times" w:cs="Times New Roman"/>
          <w:sz w:val="23"/>
          <w:szCs w:val="23"/>
        </w:rPr>
        <w:t xml:space="preserve"> (1992). Caregiver burden and the continuum of care. </w:t>
      </w:r>
      <w:r w:rsidRPr="00F853DD">
        <w:rPr>
          <w:rFonts w:ascii="Times" w:hAnsi="Times" w:cs="Times New Roman"/>
          <w:i/>
          <w:sz w:val="23"/>
          <w:szCs w:val="23"/>
        </w:rPr>
        <w:t>Research on Aging</w:t>
      </w:r>
      <w:r w:rsidR="00627CB8"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376-398.</w:t>
      </w:r>
    </w:p>
    <w:p w14:paraId="4CEB92B6" w14:textId="589D63EC" w:rsidR="00DF05BD" w:rsidRPr="00F853DD" w:rsidRDefault="00627CB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McGraw, L.</w:t>
      </w:r>
      <w:r w:rsidR="00375F29" w:rsidRPr="00F853DD">
        <w:rPr>
          <w:rFonts w:ascii="Times" w:hAnsi="Times" w:cs="Times New Roman"/>
          <w:sz w:val="23"/>
          <w:szCs w:val="23"/>
        </w:rPr>
        <w:t xml:space="preserve"> and Walker, A.,</w:t>
      </w:r>
      <w:r w:rsidR="00DF05BD" w:rsidRPr="00F853DD">
        <w:rPr>
          <w:rFonts w:ascii="Times" w:hAnsi="Times" w:cs="Times New Roman"/>
          <w:sz w:val="23"/>
          <w:szCs w:val="23"/>
        </w:rPr>
        <w:t xml:space="preserve"> (2004). Negotiating care: ties between aging mothers and their caregiving daughters. </w:t>
      </w:r>
      <w:r w:rsidR="00DF05BD" w:rsidRPr="00F853DD">
        <w:rPr>
          <w:rFonts w:ascii="Times" w:hAnsi="Times" w:cs="Times New Roman"/>
          <w:i/>
          <w:sz w:val="23"/>
          <w:szCs w:val="23"/>
        </w:rPr>
        <w:t>Journals of Gerontology</w:t>
      </w:r>
      <w:r w:rsidR="00375F29"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59</w:t>
      </w:r>
      <w:r w:rsidR="00DF05BD" w:rsidRPr="00F853DD">
        <w:rPr>
          <w:rFonts w:ascii="Times" w:hAnsi="Times" w:cs="Times New Roman"/>
          <w:sz w:val="23"/>
          <w:szCs w:val="23"/>
        </w:rPr>
        <w:t>, S324-S332.</w:t>
      </w:r>
    </w:p>
    <w:p w14:paraId="04681DD3" w14:textId="3E1A6438" w:rsidR="00DF05BD" w:rsidRPr="00F853DD" w:rsidRDefault="00B70DB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McGrew, K.,</w:t>
      </w:r>
      <w:r w:rsidR="00DF05BD" w:rsidRPr="00F853DD">
        <w:rPr>
          <w:rFonts w:ascii="Times" w:hAnsi="Times" w:cs="Times New Roman"/>
          <w:sz w:val="23"/>
          <w:szCs w:val="23"/>
        </w:rPr>
        <w:t xml:space="preserve"> (1998). Daughters' caregiving decisions: </w:t>
      </w:r>
      <w:r w:rsidRPr="00F853DD">
        <w:rPr>
          <w:rFonts w:ascii="Times" w:hAnsi="Times" w:cs="Times New Roman"/>
          <w:sz w:val="23"/>
          <w:szCs w:val="23"/>
        </w:rPr>
        <w:t>f</w:t>
      </w:r>
      <w:r w:rsidR="00DF05BD" w:rsidRPr="00F853DD">
        <w:rPr>
          <w:rFonts w:ascii="Times" w:hAnsi="Times" w:cs="Times New Roman"/>
          <w:sz w:val="23"/>
          <w:szCs w:val="23"/>
        </w:rPr>
        <w:t>rom an impulse to a balancing point of care. </w:t>
      </w:r>
      <w:r w:rsidR="00DF05BD" w:rsidRPr="00F853DD">
        <w:rPr>
          <w:rFonts w:ascii="Times" w:hAnsi="Times" w:cs="Times New Roman"/>
          <w:i/>
          <w:sz w:val="23"/>
          <w:szCs w:val="23"/>
        </w:rPr>
        <w:t>Journal of women &amp; aging</w:t>
      </w:r>
      <w:r w:rsidRPr="00F853DD">
        <w:rPr>
          <w:rFonts w:ascii="Times" w:hAnsi="Times" w:cs="Times New Roman"/>
          <w:sz w:val="23"/>
          <w:szCs w:val="23"/>
        </w:rPr>
        <w:t>.</w:t>
      </w:r>
      <w:r w:rsidR="00DF05BD" w:rsidRPr="00F853DD">
        <w:rPr>
          <w:rFonts w:ascii="Times" w:hAnsi="Times" w:cs="Times New Roman"/>
          <w:sz w:val="23"/>
          <w:szCs w:val="23"/>
        </w:rPr>
        <w:t> </w:t>
      </w:r>
      <w:r w:rsidR="00DF05BD" w:rsidRPr="00F853DD">
        <w:rPr>
          <w:rFonts w:ascii="Times" w:hAnsi="Times" w:cs="Times New Roman"/>
          <w:b/>
          <w:sz w:val="23"/>
          <w:szCs w:val="23"/>
        </w:rPr>
        <w:t>10</w:t>
      </w:r>
      <w:r w:rsidR="00DF05BD" w:rsidRPr="00F853DD">
        <w:rPr>
          <w:rFonts w:ascii="Times" w:hAnsi="Times" w:cs="Times New Roman"/>
          <w:sz w:val="23"/>
          <w:szCs w:val="23"/>
        </w:rPr>
        <w:t>(2), 49-65.</w:t>
      </w:r>
    </w:p>
    <w:p w14:paraId="294CCE18" w14:textId="08BF4826" w:rsidR="00DF05BD" w:rsidRPr="00F853DD" w:rsidRDefault="00B70DB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McGreehan, D.</w:t>
      </w:r>
      <w:r w:rsidR="00DF05BD" w:rsidRPr="00F853DD">
        <w:rPr>
          <w:rFonts w:ascii="Times" w:hAnsi="Times" w:cs="Times New Roman"/>
          <w:sz w:val="23"/>
          <w:szCs w:val="23"/>
        </w:rPr>
        <w:t xml:space="preserve"> and Warburton, S.</w:t>
      </w:r>
      <w:r w:rsidRPr="00F853DD">
        <w:rPr>
          <w:rFonts w:ascii="Times" w:hAnsi="Times" w:cs="Times New Roman"/>
          <w:sz w:val="23"/>
          <w:szCs w:val="23"/>
        </w:rPr>
        <w:t>,</w:t>
      </w:r>
      <w:r w:rsidR="00DF05BD" w:rsidRPr="00F853DD">
        <w:rPr>
          <w:rFonts w:ascii="Times" w:hAnsi="Times" w:cs="Times New Roman"/>
          <w:sz w:val="23"/>
          <w:szCs w:val="23"/>
        </w:rPr>
        <w:t xml:space="preserve"> (1978). How to help families cope with caring for elderly members. </w:t>
      </w:r>
      <w:r w:rsidR="00DF05BD" w:rsidRPr="00F853DD">
        <w:rPr>
          <w:rFonts w:ascii="Times" w:hAnsi="Times" w:cs="Times New Roman"/>
          <w:i/>
          <w:sz w:val="23"/>
          <w:szCs w:val="23"/>
        </w:rPr>
        <w:t>Geriatrics (Basel, Switzerland)</w:t>
      </w:r>
      <w:r w:rsidRPr="00F853DD">
        <w:rPr>
          <w:rFonts w:ascii="Times" w:hAnsi="Times" w:cs="Times New Roman"/>
          <w:sz w:val="23"/>
          <w:szCs w:val="23"/>
        </w:rPr>
        <w:t>.</w:t>
      </w:r>
      <w:r w:rsidR="00DF05BD" w:rsidRPr="00F853DD">
        <w:rPr>
          <w:rFonts w:ascii="Times" w:hAnsi="Times" w:cs="Times New Roman"/>
          <w:sz w:val="23"/>
          <w:szCs w:val="23"/>
        </w:rPr>
        <w:t> </w:t>
      </w:r>
      <w:r w:rsidR="00DF05BD" w:rsidRPr="00F853DD">
        <w:rPr>
          <w:rFonts w:ascii="Times" w:hAnsi="Times" w:cs="Times New Roman"/>
          <w:b/>
          <w:sz w:val="23"/>
          <w:szCs w:val="23"/>
        </w:rPr>
        <w:t>33</w:t>
      </w:r>
      <w:r w:rsidR="00DF05BD" w:rsidRPr="00F853DD">
        <w:rPr>
          <w:rFonts w:ascii="Times" w:hAnsi="Times" w:cs="Times New Roman"/>
          <w:sz w:val="23"/>
          <w:szCs w:val="23"/>
        </w:rPr>
        <w:t>(6), 99-100.</w:t>
      </w:r>
    </w:p>
    <w:p w14:paraId="028B292B" w14:textId="53624B84" w:rsidR="00DF05BD" w:rsidRPr="00F853DD" w:rsidRDefault="00B70DB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McKee, K.</w:t>
      </w:r>
      <w:r w:rsidR="00DF05BD" w:rsidRPr="00F853DD">
        <w:rPr>
          <w:rFonts w:ascii="Times" w:hAnsi="Times" w:cs="Times New Roman"/>
          <w:sz w:val="23"/>
          <w:szCs w:val="23"/>
        </w:rPr>
        <w:t xml:space="preserve"> and Schuz, B.</w:t>
      </w:r>
      <w:r w:rsidRPr="00F853DD">
        <w:rPr>
          <w:rFonts w:ascii="Times" w:hAnsi="Times" w:cs="Times New Roman"/>
          <w:sz w:val="23"/>
          <w:szCs w:val="23"/>
        </w:rPr>
        <w:t>,</w:t>
      </w:r>
      <w:r w:rsidR="00DF05BD" w:rsidRPr="00F853DD">
        <w:rPr>
          <w:rFonts w:ascii="Times" w:hAnsi="Times" w:cs="Times New Roman"/>
          <w:sz w:val="23"/>
          <w:szCs w:val="23"/>
        </w:rPr>
        <w:t xml:space="preserve"> (2015). Psychosocial factors in healthy ageing. </w:t>
      </w:r>
      <w:r w:rsidR="00DF05BD" w:rsidRPr="00F853DD">
        <w:rPr>
          <w:rFonts w:ascii="Times" w:hAnsi="Times" w:cs="Times New Roman"/>
          <w:i/>
          <w:sz w:val="23"/>
          <w:szCs w:val="23"/>
        </w:rPr>
        <w:t>Psychology and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DF05BD" w:rsidRPr="00F853DD">
        <w:rPr>
          <w:rFonts w:ascii="Times" w:hAnsi="Times" w:cs="Times New Roman"/>
          <w:sz w:val="23"/>
          <w:szCs w:val="23"/>
        </w:rPr>
        <w:t>, 607-626.</w:t>
      </w:r>
    </w:p>
    <w:p w14:paraId="2FB6FDCF" w14:textId="700224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McKee, M.</w:t>
      </w:r>
      <w:r w:rsidR="00B70DBA" w:rsidRPr="00F853DD">
        <w:rPr>
          <w:rFonts w:ascii="Times" w:hAnsi="Times" w:cs="Times New Roman"/>
          <w:sz w:val="23"/>
          <w:szCs w:val="23"/>
        </w:rPr>
        <w:t>,</w:t>
      </w:r>
      <w:r w:rsidRPr="00F853DD">
        <w:rPr>
          <w:rFonts w:ascii="Times" w:hAnsi="Times" w:cs="Times New Roman"/>
          <w:sz w:val="23"/>
          <w:szCs w:val="23"/>
        </w:rPr>
        <w:t xml:space="preserve"> (2010). The World Health Report (2000): 10 years on. </w:t>
      </w:r>
      <w:r w:rsidRPr="00F853DD">
        <w:rPr>
          <w:rFonts w:ascii="Times" w:hAnsi="Times" w:cs="Times New Roman"/>
          <w:i/>
          <w:sz w:val="23"/>
          <w:szCs w:val="23"/>
        </w:rPr>
        <w:t>Health Policy and Planning</w:t>
      </w:r>
      <w:r w:rsidR="00B70DBA"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346-348.</w:t>
      </w:r>
    </w:p>
    <w:p w14:paraId="1A33C7F8" w14:textId="7A5D80F9" w:rsidR="00DF05BD" w:rsidRPr="00F853DD" w:rsidRDefault="00B70DB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McLean, C. and Campbell, C.,</w:t>
      </w:r>
      <w:r w:rsidR="00DF05BD" w:rsidRPr="00F853DD">
        <w:rPr>
          <w:rFonts w:ascii="Times" w:hAnsi="Times" w:cs="Times New Roman"/>
          <w:sz w:val="23"/>
          <w:szCs w:val="23"/>
        </w:rPr>
        <w:t xml:space="preserve"> (2003). Locating research informants in a multi-ethnic community: </w:t>
      </w:r>
      <w:r w:rsidRPr="00F853DD">
        <w:rPr>
          <w:rFonts w:ascii="Times" w:hAnsi="Times" w:cs="Times New Roman"/>
          <w:sz w:val="23"/>
          <w:szCs w:val="23"/>
        </w:rPr>
        <w:t>e</w:t>
      </w:r>
      <w:r w:rsidR="00DF05BD" w:rsidRPr="00F853DD">
        <w:rPr>
          <w:rFonts w:ascii="Times" w:hAnsi="Times" w:cs="Times New Roman"/>
          <w:sz w:val="23"/>
          <w:szCs w:val="23"/>
        </w:rPr>
        <w:t xml:space="preserve">thnic identities, social networks and recruitment methods. </w:t>
      </w:r>
      <w:r w:rsidR="00DF05BD" w:rsidRPr="00F853DD">
        <w:rPr>
          <w:rFonts w:ascii="Times" w:hAnsi="Times" w:cs="Times New Roman"/>
          <w:i/>
          <w:sz w:val="23"/>
          <w:szCs w:val="23"/>
        </w:rPr>
        <w:t>Ethnicity and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8</w:t>
      </w:r>
      <w:r w:rsidR="00DF05BD" w:rsidRPr="00F853DD">
        <w:rPr>
          <w:rFonts w:ascii="Times" w:hAnsi="Times" w:cs="Times New Roman"/>
          <w:sz w:val="23"/>
          <w:szCs w:val="23"/>
        </w:rPr>
        <w:t>, 41-61.</w:t>
      </w:r>
    </w:p>
    <w:p w14:paraId="4F8B3070" w14:textId="5185EECE" w:rsidR="00DF05BD" w:rsidRPr="00F853DD" w:rsidRDefault="00B70DB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McLeod, J.,</w:t>
      </w:r>
      <w:r w:rsidR="00DF05BD" w:rsidRPr="00F853DD">
        <w:rPr>
          <w:rFonts w:ascii="Times" w:hAnsi="Times" w:cs="Times New Roman"/>
          <w:sz w:val="23"/>
          <w:szCs w:val="23"/>
        </w:rPr>
        <w:t xml:space="preserve"> (2012). The </w:t>
      </w:r>
      <w:r w:rsidRPr="00F853DD">
        <w:rPr>
          <w:rFonts w:ascii="Times" w:hAnsi="Times" w:cs="Times New Roman"/>
          <w:sz w:val="23"/>
          <w:szCs w:val="23"/>
        </w:rPr>
        <w:t>m</w:t>
      </w:r>
      <w:r w:rsidR="00DF05BD" w:rsidRPr="00F853DD">
        <w:rPr>
          <w:rFonts w:ascii="Times" w:hAnsi="Times" w:cs="Times New Roman"/>
          <w:sz w:val="23"/>
          <w:szCs w:val="23"/>
        </w:rPr>
        <w:t xml:space="preserve">eanings of </w:t>
      </w:r>
      <w:r w:rsidRPr="00F853DD">
        <w:rPr>
          <w:rFonts w:ascii="Times" w:hAnsi="Times" w:cs="Times New Roman"/>
          <w:sz w:val="23"/>
          <w:szCs w:val="23"/>
        </w:rPr>
        <w:t>s</w:t>
      </w:r>
      <w:r w:rsidR="00DF05BD" w:rsidRPr="00F853DD">
        <w:rPr>
          <w:rFonts w:ascii="Times" w:hAnsi="Times" w:cs="Times New Roman"/>
          <w:sz w:val="23"/>
          <w:szCs w:val="23"/>
        </w:rPr>
        <w:t xml:space="preserve">tress: </w:t>
      </w:r>
      <w:r w:rsidRPr="00F853DD">
        <w:rPr>
          <w:rFonts w:ascii="Times" w:hAnsi="Times" w:cs="Times New Roman"/>
          <w:sz w:val="23"/>
          <w:szCs w:val="23"/>
        </w:rPr>
        <w:t>e</w:t>
      </w:r>
      <w:r w:rsidR="00DF05BD" w:rsidRPr="00F853DD">
        <w:rPr>
          <w:rFonts w:ascii="Times" w:hAnsi="Times" w:cs="Times New Roman"/>
          <w:sz w:val="23"/>
          <w:szCs w:val="23"/>
        </w:rPr>
        <w:t xml:space="preserve">xpanding the </w:t>
      </w:r>
      <w:r w:rsidRPr="00F853DD">
        <w:rPr>
          <w:rFonts w:ascii="Times" w:hAnsi="Times" w:cs="Times New Roman"/>
          <w:sz w:val="23"/>
          <w:szCs w:val="23"/>
        </w:rPr>
        <w:t>s</w:t>
      </w:r>
      <w:r w:rsidR="00DF05BD" w:rsidRPr="00F853DD">
        <w:rPr>
          <w:rFonts w:ascii="Times" w:hAnsi="Times" w:cs="Times New Roman"/>
          <w:sz w:val="23"/>
          <w:szCs w:val="23"/>
        </w:rPr>
        <w:t xml:space="preserve">tress </w:t>
      </w:r>
      <w:r w:rsidRPr="00F853DD">
        <w:rPr>
          <w:rFonts w:ascii="Times" w:hAnsi="Times" w:cs="Times New Roman"/>
          <w:sz w:val="23"/>
          <w:szCs w:val="23"/>
        </w:rPr>
        <w:t>p</w:t>
      </w:r>
      <w:r w:rsidR="00DF05BD" w:rsidRPr="00F853DD">
        <w:rPr>
          <w:rFonts w:ascii="Times" w:hAnsi="Times" w:cs="Times New Roman"/>
          <w:sz w:val="23"/>
          <w:szCs w:val="23"/>
        </w:rPr>
        <w:t xml:space="preserve">rocess </w:t>
      </w:r>
      <w:r w:rsidRPr="00F853DD">
        <w:rPr>
          <w:rFonts w:ascii="Times" w:hAnsi="Times" w:cs="Times New Roman"/>
          <w:sz w:val="23"/>
          <w:szCs w:val="23"/>
        </w:rPr>
        <w:t>m</w:t>
      </w:r>
      <w:r w:rsidR="00DF05BD" w:rsidRPr="00F853DD">
        <w:rPr>
          <w:rFonts w:ascii="Times" w:hAnsi="Times" w:cs="Times New Roman"/>
          <w:sz w:val="23"/>
          <w:szCs w:val="23"/>
        </w:rPr>
        <w:t xml:space="preserve">odel. </w:t>
      </w:r>
      <w:r w:rsidR="00DF05BD" w:rsidRPr="00F853DD">
        <w:rPr>
          <w:rFonts w:ascii="Times" w:hAnsi="Times" w:cs="Times New Roman"/>
          <w:i/>
          <w:sz w:val="23"/>
          <w:szCs w:val="23"/>
        </w:rPr>
        <w:t>Society and Mental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w:t>
      </w:r>
      <w:r w:rsidR="00DF05BD" w:rsidRPr="00F853DD">
        <w:rPr>
          <w:rFonts w:ascii="Times" w:hAnsi="Times" w:cs="Times New Roman"/>
          <w:sz w:val="23"/>
          <w:szCs w:val="23"/>
        </w:rPr>
        <w:t>, 172-186.</w:t>
      </w:r>
    </w:p>
    <w:p w14:paraId="29CE0D22" w14:textId="530C2E0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McMunn, A., Nazroo, J., Wahrendorf, M., Breeze, E. and Zaninotto, P.</w:t>
      </w:r>
      <w:r w:rsidR="00B70DBA" w:rsidRPr="00F853DD">
        <w:rPr>
          <w:rFonts w:ascii="Times" w:hAnsi="Times" w:cs="Times New Roman"/>
          <w:sz w:val="23"/>
          <w:szCs w:val="23"/>
          <w:lang w:val="en-TT"/>
        </w:rPr>
        <w:t>,</w:t>
      </w:r>
      <w:r w:rsidRPr="00F853DD">
        <w:rPr>
          <w:rFonts w:ascii="Times" w:hAnsi="Times" w:cs="Times New Roman"/>
          <w:sz w:val="23"/>
          <w:szCs w:val="23"/>
          <w:lang w:val="en-TT"/>
        </w:rPr>
        <w:t xml:space="preserve"> (2009). </w:t>
      </w:r>
      <w:r w:rsidRPr="00F853DD">
        <w:rPr>
          <w:rFonts w:ascii="Times" w:hAnsi="Times" w:cs="Times New Roman"/>
          <w:sz w:val="23"/>
          <w:szCs w:val="23"/>
        </w:rPr>
        <w:t xml:space="preserve">Participation in socially-productive activities, reciprocity and wellbeing in later life: baseline results in England. </w:t>
      </w:r>
      <w:r w:rsidRPr="00F853DD">
        <w:rPr>
          <w:rFonts w:ascii="Times" w:hAnsi="Times" w:cs="Times New Roman"/>
          <w:i/>
          <w:sz w:val="23"/>
          <w:szCs w:val="23"/>
        </w:rPr>
        <w:t>Ageing &amp; Society</w:t>
      </w:r>
      <w:r w:rsidR="00B70DB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(5), 765-782.</w:t>
      </w:r>
    </w:p>
    <w:p w14:paraId="60DAA006" w14:textId="40492FD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McSherry, W., Bloomfield</w:t>
      </w:r>
      <w:r w:rsidR="00B70DBA" w:rsidRPr="00F853DD">
        <w:rPr>
          <w:rFonts w:ascii="Times" w:hAnsi="Times" w:cs="Times New Roman"/>
          <w:sz w:val="23"/>
          <w:szCs w:val="23"/>
        </w:rPr>
        <w:t>, S., Thompson, R., Nixon, V.</w:t>
      </w:r>
      <w:r w:rsidRPr="00F853DD">
        <w:rPr>
          <w:rFonts w:ascii="Times" w:hAnsi="Times" w:cs="Times New Roman"/>
          <w:sz w:val="23"/>
          <w:szCs w:val="23"/>
        </w:rPr>
        <w:t>, Birch, C., Griffiths, N</w:t>
      </w:r>
      <w:r w:rsidR="00B70DBA" w:rsidRPr="00F853DD">
        <w:rPr>
          <w:rFonts w:ascii="Times" w:hAnsi="Times" w:cs="Times New Roman"/>
          <w:sz w:val="23"/>
          <w:szCs w:val="23"/>
        </w:rPr>
        <w:t>., Fisher, S. and Boughey, A.,</w:t>
      </w:r>
      <w:r w:rsidRPr="00F853DD">
        <w:rPr>
          <w:rFonts w:ascii="Times" w:hAnsi="Times" w:cs="Times New Roman"/>
          <w:sz w:val="23"/>
          <w:szCs w:val="23"/>
        </w:rPr>
        <w:t xml:space="preserve"> (2017). A cross-sectional analysis of the factors that shape adult nursing students' values, attitudes and perceptions of compassionate care. </w:t>
      </w:r>
      <w:r w:rsidRPr="00F853DD">
        <w:rPr>
          <w:rFonts w:ascii="Times" w:hAnsi="Times" w:cs="Times New Roman"/>
          <w:i/>
          <w:sz w:val="23"/>
          <w:szCs w:val="23"/>
        </w:rPr>
        <w:t>Journal of</w:t>
      </w:r>
      <w:r w:rsidRPr="00F853DD">
        <w:rPr>
          <w:rFonts w:ascii="Times" w:hAnsi="Times" w:cs="Times New Roman"/>
          <w:sz w:val="23"/>
          <w:szCs w:val="23"/>
        </w:rPr>
        <w:t xml:space="preserve"> </w:t>
      </w:r>
      <w:r w:rsidRPr="00F853DD">
        <w:rPr>
          <w:rFonts w:ascii="Times" w:hAnsi="Times" w:cs="Times New Roman"/>
          <w:i/>
          <w:sz w:val="23"/>
          <w:szCs w:val="23"/>
        </w:rPr>
        <w:t>Research in Nursing</w:t>
      </w:r>
      <w:r w:rsidR="00B70DB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Pr="00F853DD">
        <w:rPr>
          <w:rFonts w:ascii="Times" w:hAnsi="Times" w:cs="Times New Roman"/>
          <w:sz w:val="23"/>
          <w:szCs w:val="23"/>
        </w:rPr>
        <w:t>, 25-39.</w:t>
      </w:r>
    </w:p>
    <w:p w14:paraId="3E39FBBE" w14:textId="29001BF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Meagher, G. and Szebehely, M.</w:t>
      </w:r>
      <w:r w:rsidR="00B70DBA" w:rsidRPr="00F853DD">
        <w:rPr>
          <w:rFonts w:ascii="Times" w:hAnsi="Times" w:cs="Times New Roman"/>
          <w:sz w:val="23"/>
          <w:szCs w:val="23"/>
        </w:rPr>
        <w:t>,</w:t>
      </w:r>
      <w:r w:rsidRPr="00F853DD">
        <w:rPr>
          <w:rFonts w:ascii="Times" w:hAnsi="Times" w:cs="Times New Roman"/>
          <w:sz w:val="23"/>
          <w:szCs w:val="23"/>
        </w:rPr>
        <w:t xml:space="preserve"> (2010). Private financing of elder care in Sweden: </w:t>
      </w:r>
      <w:r w:rsidR="00B70DBA" w:rsidRPr="00F853DD">
        <w:rPr>
          <w:rFonts w:ascii="Times" w:hAnsi="Times" w:cs="Times New Roman"/>
          <w:sz w:val="23"/>
          <w:szCs w:val="23"/>
        </w:rPr>
        <w:t>a</w:t>
      </w:r>
      <w:r w:rsidRPr="00F853DD">
        <w:rPr>
          <w:rFonts w:ascii="Times" w:hAnsi="Times" w:cs="Times New Roman"/>
          <w:sz w:val="23"/>
          <w:szCs w:val="23"/>
        </w:rPr>
        <w:t>rguments for and against. [Viewed 27 August 2019]. Available from: https://core.ac.uk/download/pdf/6594179.pdf</w:t>
      </w:r>
    </w:p>
    <w:p w14:paraId="517B81A3" w14:textId="45F63EE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Mechanic, D. and Tanner, J.</w:t>
      </w:r>
      <w:r w:rsidR="00B70DBA" w:rsidRPr="00F853DD">
        <w:rPr>
          <w:rFonts w:ascii="Times" w:hAnsi="Times" w:cs="Times New Roman"/>
          <w:sz w:val="23"/>
          <w:szCs w:val="23"/>
        </w:rPr>
        <w:t>,</w:t>
      </w:r>
      <w:r w:rsidRPr="00F853DD">
        <w:rPr>
          <w:rFonts w:ascii="Times" w:hAnsi="Times" w:cs="Times New Roman"/>
          <w:sz w:val="23"/>
          <w:szCs w:val="23"/>
        </w:rPr>
        <w:t xml:space="preserve"> (2007). Vulnerable people, groups, and populations: </w:t>
      </w:r>
      <w:r w:rsidR="00B70DBA" w:rsidRPr="00F853DD">
        <w:rPr>
          <w:rFonts w:ascii="Times" w:hAnsi="Times" w:cs="Times New Roman"/>
          <w:sz w:val="23"/>
          <w:szCs w:val="23"/>
        </w:rPr>
        <w:t>s</w:t>
      </w:r>
      <w:r w:rsidRPr="00F853DD">
        <w:rPr>
          <w:rFonts w:ascii="Times" w:hAnsi="Times" w:cs="Times New Roman"/>
          <w:sz w:val="23"/>
          <w:szCs w:val="23"/>
        </w:rPr>
        <w:t xml:space="preserve">ocietal view. </w:t>
      </w:r>
      <w:r w:rsidRPr="00F853DD">
        <w:rPr>
          <w:rFonts w:ascii="Times" w:hAnsi="Times" w:cs="Times New Roman"/>
          <w:i/>
          <w:sz w:val="23"/>
          <w:szCs w:val="23"/>
        </w:rPr>
        <w:t>Health Affairs</w:t>
      </w:r>
      <w:r w:rsidR="00B70DB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1220-1230.</w:t>
      </w:r>
    </w:p>
    <w:p w14:paraId="0A292D59" w14:textId="3B5D60BB" w:rsidR="00DF05BD" w:rsidRPr="00F853DD" w:rsidRDefault="00B70DBA"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Melchiorre, M.</w:t>
      </w:r>
      <w:r w:rsidR="00DF05BD" w:rsidRPr="00F853DD">
        <w:rPr>
          <w:rFonts w:ascii="Times" w:hAnsi="Times" w:cs="Times New Roman"/>
          <w:sz w:val="23"/>
          <w:szCs w:val="23"/>
        </w:rPr>
        <w:t>, Di Rosa, M., Lamura, G., Torres-Gonzales, F., Lindert, J., Stankunas, M., Ioannidi-Kapolou, E., Barros, H.,</w:t>
      </w:r>
      <w:r w:rsidRPr="00F853DD">
        <w:rPr>
          <w:rFonts w:ascii="Times" w:hAnsi="Times" w:cs="Times New Roman"/>
          <w:sz w:val="23"/>
          <w:szCs w:val="23"/>
        </w:rPr>
        <w:t xml:space="preserve"> Macassa, G. and Soares, J</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(2016). </w:t>
      </w:r>
      <w:r w:rsidR="00DF05BD" w:rsidRPr="00F853DD">
        <w:rPr>
          <w:rFonts w:ascii="Times" w:hAnsi="Times" w:cs="Times New Roman"/>
          <w:i/>
          <w:sz w:val="23"/>
          <w:szCs w:val="23"/>
        </w:rPr>
        <w:t>Abuse of Older Men in Seven European Countries: A Multilevel Approach in the Framework of an Ecological Model</w:t>
      </w:r>
      <w:r w:rsidR="00DF05BD" w:rsidRPr="00F853DD">
        <w:rPr>
          <w:rFonts w:ascii="Times" w:hAnsi="Times" w:cs="Times New Roman"/>
          <w:sz w:val="23"/>
          <w:szCs w:val="23"/>
        </w:rPr>
        <w:t xml:space="preserve">. </w:t>
      </w:r>
      <w:r w:rsidR="00DF05BD" w:rsidRPr="00F853DD">
        <w:rPr>
          <w:rFonts w:ascii="Times" w:hAnsi="Times" w:cs="Times New Roman"/>
          <w:sz w:val="23"/>
          <w:szCs w:val="23"/>
          <w:lang w:val="en-TT"/>
        </w:rPr>
        <w:t xml:space="preserve">PloS one, </w:t>
      </w:r>
      <w:r w:rsidR="00DF05BD" w:rsidRPr="00F853DD">
        <w:rPr>
          <w:rFonts w:ascii="Times" w:hAnsi="Times" w:cs="Times New Roman"/>
          <w:b/>
          <w:sz w:val="23"/>
          <w:szCs w:val="23"/>
          <w:lang w:val="en-TT"/>
        </w:rPr>
        <w:t>11</w:t>
      </w:r>
      <w:r w:rsidR="00DF05BD" w:rsidRPr="00F853DD">
        <w:rPr>
          <w:rFonts w:ascii="Times" w:hAnsi="Times" w:cs="Times New Roman"/>
          <w:sz w:val="23"/>
          <w:szCs w:val="23"/>
          <w:lang w:val="en-TT"/>
        </w:rPr>
        <w:t>, e0146425.</w:t>
      </w:r>
    </w:p>
    <w:p w14:paraId="68BD6EB8" w14:textId="5596D99C" w:rsidR="00DF05BD" w:rsidRPr="00F853DD" w:rsidRDefault="00B70DB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Melendez, J., Fortuna, F.</w:t>
      </w:r>
      <w:r w:rsidR="00DF05BD" w:rsidRPr="00F853DD">
        <w:rPr>
          <w:rFonts w:ascii="Times" w:hAnsi="Times" w:cs="Times New Roman"/>
          <w:sz w:val="23"/>
          <w:szCs w:val="23"/>
          <w:lang w:val="en-TT"/>
        </w:rPr>
        <w:t>, Sales, A. and Mayordomo, T.</w:t>
      </w:r>
      <w:r w:rsidRPr="00F853DD">
        <w:rPr>
          <w:rFonts w:ascii="Times" w:hAnsi="Times" w:cs="Times New Roman"/>
          <w:sz w:val="23"/>
          <w:szCs w:val="23"/>
          <w:lang w:val="en-TT"/>
        </w:rPr>
        <w:t>,</w:t>
      </w:r>
      <w:r w:rsidR="00DF05BD" w:rsidRPr="00F853DD">
        <w:rPr>
          <w:rFonts w:ascii="Times" w:hAnsi="Times" w:cs="Times New Roman"/>
          <w:sz w:val="23"/>
          <w:szCs w:val="23"/>
          <w:lang w:val="en-TT"/>
        </w:rPr>
        <w:t xml:space="preserve"> (2015). </w:t>
      </w:r>
      <w:r w:rsidR="00DF05BD" w:rsidRPr="00F853DD">
        <w:rPr>
          <w:rFonts w:ascii="Times" w:hAnsi="Times" w:cs="Times New Roman"/>
          <w:sz w:val="23"/>
          <w:szCs w:val="23"/>
        </w:rPr>
        <w:t xml:space="preserve">The effects of instrumental reminiscence on resilience and coping in elderly. </w:t>
      </w:r>
      <w:r w:rsidR="00DF05BD" w:rsidRPr="00F853DD">
        <w:rPr>
          <w:rFonts w:ascii="Times" w:hAnsi="Times" w:cs="Times New Roman"/>
          <w:i/>
          <w:sz w:val="23"/>
          <w:szCs w:val="23"/>
        </w:rPr>
        <w:t>Archives of Gerontology and Geriatrics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60</w:t>
      </w:r>
      <w:r w:rsidR="00DF05BD" w:rsidRPr="00F853DD">
        <w:rPr>
          <w:rFonts w:ascii="Times" w:hAnsi="Times" w:cs="Times New Roman"/>
          <w:sz w:val="23"/>
          <w:szCs w:val="23"/>
        </w:rPr>
        <w:t>, 294-298.</w:t>
      </w:r>
    </w:p>
    <w:p w14:paraId="464D7C4F" w14:textId="6372406C" w:rsidR="00DF05BD" w:rsidRPr="00F853DD" w:rsidRDefault="00B70DB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Melnyk, T., </w:t>
      </w:r>
      <w:r w:rsidR="00DF05BD" w:rsidRPr="00F853DD">
        <w:rPr>
          <w:rFonts w:ascii="Times" w:hAnsi="Times" w:cs="Times New Roman"/>
          <w:sz w:val="23"/>
          <w:szCs w:val="23"/>
        </w:rPr>
        <w:t xml:space="preserve">(2011). </w:t>
      </w:r>
      <w:r w:rsidR="00DF05BD" w:rsidRPr="00F853DD">
        <w:rPr>
          <w:rFonts w:ascii="Times" w:hAnsi="Times" w:cs="Times New Roman"/>
          <w:i/>
          <w:sz w:val="23"/>
          <w:szCs w:val="23"/>
        </w:rPr>
        <w:t>A sociological perspective on stress, health, and coping, and an examination of a proposed coping framework: the coping repertoire approach</w:t>
      </w:r>
      <w:r w:rsidR="00DF05BD" w:rsidRPr="00F853DD">
        <w:rPr>
          <w:rFonts w:ascii="Times" w:hAnsi="Times" w:cs="Times New Roman"/>
          <w:sz w:val="23"/>
          <w:szCs w:val="23"/>
        </w:rPr>
        <w:t>. Masters of Art, University of Manitoba.</w:t>
      </w:r>
    </w:p>
    <w:p w14:paraId="25A6B905" w14:textId="7AD36B9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Mentzakis, E., McNamee, P., and Ryan, M.</w:t>
      </w:r>
      <w:r w:rsidR="00B70DBA" w:rsidRPr="00F853DD">
        <w:rPr>
          <w:rFonts w:ascii="Times" w:hAnsi="Times" w:cs="Times New Roman"/>
          <w:sz w:val="23"/>
          <w:szCs w:val="23"/>
        </w:rPr>
        <w:t>,</w:t>
      </w:r>
      <w:r w:rsidRPr="00F853DD">
        <w:rPr>
          <w:rFonts w:ascii="Times" w:hAnsi="Times" w:cs="Times New Roman"/>
          <w:sz w:val="23"/>
          <w:szCs w:val="23"/>
        </w:rPr>
        <w:t xml:space="preserve"> (2009). Who cares and how much: exploring the determinants of co-residential informal care. </w:t>
      </w:r>
      <w:r w:rsidRPr="00F853DD">
        <w:rPr>
          <w:rFonts w:ascii="Times" w:hAnsi="Times" w:cs="Times New Roman"/>
          <w:i/>
          <w:sz w:val="23"/>
          <w:szCs w:val="23"/>
        </w:rPr>
        <w:t>Review of Economics of the Household</w:t>
      </w:r>
      <w:r w:rsidR="00B70DB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Pr="00F853DD">
        <w:rPr>
          <w:rFonts w:ascii="Times" w:hAnsi="Times" w:cs="Times New Roman"/>
          <w:sz w:val="23"/>
          <w:szCs w:val="23"/>
        </w:rPr>
        <w:t>(3), 283-303.</w:t>
      </w:r>
    </w:p>
    <w:p w14:paraId="0814B1E3" w14:textId="01EDB36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Menzies, C.</w:t>
      </w:r>
      <w:r w:rsidR="00B70DBA" w:rsidRPr="00F853DD">
        <w:rPr>
          <w:rFonts w:ascii="Times" w:hAnsi="Times" w:cs="Times New Roman"/>
          <w:sz w:val="23"/>
          <w:szCs w:val="23"/>
        </w:rPr>
        <w:t>,</w:t>
      </w:r>
      <w:r w:rsidRPr="00F853DD">
        <w:rPr>
          <w:rFonts w:ascii="Times" w:hAnsi="Times" w:cs="Times New Roman"/>
          <w:sz w:val="23"/>
          <w:szCs w:val="23"/>
        </w:rPr>
        <w:t xml:space="preserve"> (2004). Caregiving and </w:t>
      </w:r>
      <w:r w:rsidR="00B70DBA" w:rsidRPr="00F853DD">
        <w:rPr>
          <w:rFonts w:ascii="Times" w:hAnsi="Times" w:cs="Times New Roman"/>
          <w:sz w:val="23"/>
          <w:szCs w:val="23"/>
        </w:rPr>
        <w:t>b</w:t>
      </w:r>
      <w:r w:rsidRPr="00F853DD">
        <w:rPr>
          <w:rFonts w:ascii="Times" w:hAnsi="Times" w:cs="Times New Roman"/>
          <w:sz w:val="23"/>
          <w:szCs w:val="23"/>
        </w:rPr>
        <w:t xml:space="preserve">eing in </w:t>
      </w:r>
      <w:r w:rsidR="00B70DBA" w:rsidRPr="00F853DD">
        <w:rPr>
          <w:rFonts w:ascii="Times" w:hAnsi="Times" w:cs="Times New Roman"/>
          <w:sz w:val="23"/>
          <w:szCs w:val="23"/>
        </w:rPr>
        <w:t>t</w:t>
      </w:r>
      <w:r w:rsidRPr="00F853DD">
        <w:rPr>
          <w:rFonts w:ascii="Times" w:hAnsi="Times" w:cs="Times New Roman"/>
          <w:sz w:val="23"/>
          <w:szCs w:val="23"/>
        </w:rPr>
        <w:t xml:space="preserve">ouch: </w:t>
      </w:r>
      <w:r w:rsidR="00B70DBA" w:rsidRPr="00F853DD">
        <w:rPr>
          <w:rFonts w:ascii="Times" w:hAnsi="Times" w:cs="Times New Roman"/>
          <w:sz w:val="23"/>
          <w:szCs w:val="23"/>
        </w:rPr>
        <w:t>l</w:t>
      </w:r>
      <w:r w:rsidRPr="00F853DD">
        <w:rPr>
          <w:rFonts w:ascii="Times" w:hAnsi="Times" w:cs="Times New Roman"/>
          <w:sz w:val="23"/>
          <w:szCs w:val="23"/>
        </w:rPr>
        <w:t>essons from my 85-</w:t>
      </w:r>
      <w:r w:rsidR="00B70DBA" w:rsidRPr="00F853DD">
        <w:rPr>
          <w:rFonts w:ascii="Times" w:hAnsi="Times" w:cs="Times New Roman"/>
          <w:sz w:val="23"/>
          <w:szCs w:val="23"/>
        </w:rPr>
        <w:t>y</w:t>
      </w:r>
      <w:r w:rsidRPr="00F853DD">
        <w:rPr>
          <w:rFonts w:ascii="Times" w:hAnsi="Times" w:cs="Times New Roman"/>
          <w:sz w:val="23"/>
          <w:szCs w:val="23"/>
        </w:rPr>
        <w:t>ear-</w:t>
      </w:r>
      <w:r w:rsidR="00B70DBA" w:rsidRPr="00F853DD">
        <w:rPr>
          <w:rFonts w:ascii="Times" w:hAnsi="Times" w:cs="Times New Roman"/>
          <w:sz w:val="23"/>
          <w:szCs w:val="23"/>
        </w:rPr>
        <w:t>o</w:t>
      </w:r>
      <w:r w:rsidRPr="00F853DD">
        <w:rPr>
          <w:rFonts w:ascii="Times" w:hAnsi="Times" w:cs="Times New Roman"/>
          <w:sz w:val="23"/>
          <w:szCs w:val="23"/>
        </w:rPr>
        <w:t xml:space="preserve">ld </w:t>
      </w:r>
      <w:r w:rsidR="00B70DBA" w:rsidRPr="00F853DD">
        <w:rPr>
          <w:rFonts w:ascii="Times" w:hAnsi="Times" w:cs="Times New Roman"/>
          <w:sz w:val="23"/>
          <w:szCs w:val="23"/>
        </w:rPr>
        <w:t>m</w:t>
      </w:r>
      <w:r w:rsidRPr="00F853DD">
        <w:rPr>
          <w:rFonts w:ascii="Times" w:hAnsi="Times" w:cs="Times New Roman"/>
          <w:sz w:val="23"/>
          <w:szCs w:val="23"/>
        </w:rPr>
        <w:t xml:space="preserve">um and </w:t>
      </w:r>
      <w:r w:rsidR="00B70DBA" w:rsidRPr="00F853DD">
        <w:rPr>
          <w:rFonts w:ascii="Times" w:hAnsi="Times" w:cs="Times New Roman"/>
          <w:sz w:val="23"/>
          <w:szCs w:val="23"/>
        </w:rPr>
        <w:t>m</w:t>
      </w:r>
      <w:r w:rsidRPr="00F853DD">
        <w:rPr>
          <w:rFonts w:ascii="Times" w:hAnsi="Times" w:cs="Times New Roman"/>
          <w:sz w:val="23"/>
          <w:szCs w:val="23"/>
        </w:rPr>
        <w:t xml:space="preserve">e. </w:t>
      </w:r>
      <w:r w:rsidRPr="00F853DD">
        <w:rPr>
          <w:rFonts w:ascii="Times" w:hAnsi="Times" w:cs="Times New Roman"/>
          <w:i/>
          <w:sz w:val="23"/>
          <w:szCs w:val="23"/>
        </w:rPr>
        <w:t>Canadian Woman Studies</w:t>
      </w:r>
      <w:r w:rsidR="00B70DB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(1).</w:t>
      </w:r>
    </w:p>
    <w:p w14:paraId="1CF9065E" w14:textId="17093D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Merleau-Ponty, M.</w:t>
      </w:r>
      <w:r w:rsidR="00B70DBA" w:rsidRPr="00F853DD">
        <w:rPr>
          <w:rFonts w:ascii="Times" w:hAnsi="Times" w:cs="Times New Roman"/>
          <w:sz w:val="23"/>
          <w:szCs w:val="23"/>
        </w:rPr>
        <w:t>,</w:t>
      </w:r>
      <w:r w:rsidRPr="00F853DD">
        <w:rPr>
          <w:rFonts w:ascii="Times" w:hAnsi="Times" w:cs="Times New Roman"/>
          <w:sz w:val="23"/>
          <w:szCs w:val="23"/>
        </w:rPr>
        <w:t xml:space="preserve"> (1945). </w:t>
      </w:r>
      <w:r w:rsidRPr="00F853DD">
        <w:rPr>
          <w:rFonts w:ascii="Times" w:hAnsi="Times" w:cs="Times New Roman"/>
          <w:i/>
          <w:sz w:val="23"/>
          <w:szCs w:val="23"/>
        </w:rPr>
        <w:t>Phenomenology of Perception</w:t>
      </w:r>
      <w:r w:rsidRPr="00F853DD">
        <w:rPr>
          <w:rFonts w:ascii="Times" w:hAnsi="Times" w:cs="Times New Roman"/>
          <w:sz w:val="23"/>
          <w:szCs w:val="23"/>
        </w:rPr>
        <w:t>. E-library: Taylor and Francis.</w:t>
      </w:r>
    </w:p>
    <w:p w14:paraId="187600C5" w14:textId="587FCC9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Merlis, M.</w:t>
      </w:r>
      <w:r w:rsidR="00B70DBA" w:rsidRPr="00F853DD">
        <w:rPr>
          <w:rFonts w:ascii="Times" w:hAnsi="Times" w:cs="Times New Roman"/>
          <w:sz w:val="23"/>
          <w:szCs w:val="23"/>
        </w:rPr>
        <w:t>,</w:t>
      </w:r>
      <w:r w:rsidRPr="00F853DD">
        <w:rPr>
          <w:rFonts w:ascii="Times" w:hAnsi="Times" w:cs="Times New Roman"/>
          <w:sz w:val="23"/>
          <w:szCs w:val="23"/>
        </w:rPr>
        <w:t xml:space="preserve"> (2004). </w:t>
      </w:r>
      <w:r w:rsidRPr="00F853DD">
        <w:rPr>
          <w:rFonts w:ascii="Times" w:hAnsi="Times" w:cs="Times New Roman"/>
          <w:i/>
          <w:sz w:val="23"/>
          <w:szCs w:val="23"/>
        </w:rPr>
        <w:t>Long-term care financing: models and issues</w:t>
      </w:r>
      <w:r w:rsidRPr="00F853DD">
        <w:rPr>
          <w:rFonts w:ascii="Times" w:hAnsi="Times" w:cs="Times New Roman"/>
          <w:sz w:val="23"/>
          <w:szCs w:val="23"/>
        </w:rPr>
        <w:t xml:space="preserve"> [online]. Washington, DC: National Academy of Social Insurance. [Viewed 17 November 2019]. Available from:  https://www.nasi.org/usr_doc/Merlis_LongTerm_Care_Financing.pdf</w:t>
      </w:r>
      <w:r w:rsidRPr="00F853DD">
        <w:rPr>
          <w:rStyle w:val="Hyperlink"/>
          <w:rFonts w:ascii="Times" w:hAnsi="Times"/>
          <w:color w:val="auto"/>
          <w:sz w:val="23"/>
          <w:szCs w:val="23"/>
        </w:rPr>
        <w:t xml:space="preserve">. </w:t>
      </w:r>
    </w:p>
    <w:p w14:paraId="02083706" w14:textId="0262E8C0" w:rsidR="00DF05BD" w:rsidRPr="00F853DD" w:rsidRDefault="00B70DB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Merrill, D.,</w:t>
      </w:r>
      <w:r w:rsidR="00DF05BD" w:rsidRPr="00F853DD">
        <w:rPr>
          <w:rFonts w:ascii="Times" w:hAnsi="Times" w:cs="Times New Roman"/>
          <w:sz w:val="23"/>
          <w:szCs w:val="23"/>
        </w:rPr>
        <w:t xml:space="preserve"> (1993). Daughters-in-law as caregivers to the elderly: </w:t>
      </w:r>
      <w:r w:rsidRPr="00F853DD">
        <w:rPr>
          <w:rFonts w:ascii="Times" w:hAnsi="Times" w:cs="Times New Roman"/>
          <w:sz w:val="23"/>
          <w:szCs w:val="23"/>
        </w:rPr>
        <w:t>d</w:t>
      </w:r>
      <w:r w:rsidR="00DF05BD" w:rsidRPr="00F853DD">
        <w:rPr>
          <w:rFonts w:ascii="Times" w:hAnsi="Times" w:cs="Times New Roman"/>
          <w:sz w:val="23"/>
          <w:szCs w:val="23"/>
        </w:rPr>
        <w:t>efining the in-law relationship. </w:t>
      </w:r>
      <w:r w:rsidR="00DF05BD" w:rsidRPr="00F853DD">
        <w:rPr>
          <w:rFonts w:ascii="Times" w:hAnsi="Times" w:cs="Times New Roman"/>
          <w:i/>
          <w:sz w:val="23"/>
          <w:szCs w:val="23"/>
        </w:rPr>
        <w:t>Research on Aging</w:t>
      </w:r>
      <w:r w:rsidR="0064743D" w:rsidRPr="00F853DD">
        <w:rPr>
          <w:rFonts w:ascii="Times" w:hAnsi="Times" w:cs="Times New Roman"/>
          <w:sz w:val="23"/>
          <w:szCs w:val="23"/>
        </w:rPr>
        <w:t>.</w:t>
      </w:r>
      <w:r w:rsidR="00DF05BD" w:rsidRPr="00F853DD">
        <w:rPr>
          <w:rFonts w:ascii="Times" w:hAnsi="Times" w:cs="Times New Roman"/>
          <w:sz w:val="23"/>
          <w:szCs w:val="23"/>
        </w:rPr>
        <w:t> </w:t>
      </w:r>
      <w:r w:rsidR="00DF05BD" w:rsidRPr="00F853DD">
        <w:rPr>
          <w:rFonts w:ascii="Times" w:hAnsi="Times" w:cs="Times New Roman"/>
          <w:b/>
          <w:sz w:val="23"/>
          <w:szCs w:val="23"/>
        </w:rPr>
        <w:t>15</w:t>
      </w:r>
      <w:r w:rsidR="00DF05BD" w:rsidRPr="00F853DD">
        <w:rPr>
          <w:rFonts w:ascii="Times" w:hAnsi="Times" w:cs="Times New Roman"/>
          <w:sz w:val="23"/>
          <w:szCs w:val="23"/>
        </w:rPr>
        <w:t>(1), 70-91.</w:t>
      </w:r>
    </w:p>
    <w:p w14:paraId="1033902A" w14:textId="3882A8FC"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Merrill, D.</w:t>
      </w:r>
      <w:r w:rsidR="0064743D" w:rsidRPr="00F853DD">
        <w:rPr>
          <w:rFonts w:ascii="Times" w:hAnsi="Times" w:cs="Times New Roman"/>
          <w:sz w:val="23"/>
          <w:szCs w:val="23"/>
        </w:rPr>
        <w:t>,</w:t>
      </w:r>
      <w:r w:rsidRPr="00F853DD">
        <w:rPr>
          <w:rFonts w:ascii="Times" w:hAnsi="Times" w:cs="Times New Roman"/>
          <w:sz w:val="23"/>
          <w:szCs w:val="23"/>
        </w:rPr>
        <w:t xml:space="preserve"> (1997). </w:t>
      </w:r>
      <w:r w:rsidRPr="00F853DD">
        <w:rPr>
          <w:rFonts w:ascii="Times" w:hAnsi="Times" w:cs="Times New Roman"/>
          <w:i/>
          <w:sz w:val="23"/>
          <w:szCs w:val="23"/>
        </w:rPr>
        <w:t xml:space="preserve">Caring for elderly parents: </w:t>
      </w:r>
      <w:r w:rsidR="0064743D" w:rsidRPr="00F853DD">
        <w:rPr>
          <w:rFonts w:ascii="Times" w:hAnsi="Times" w:cs="Times New Roman"/>
          <w:i/>
          <w:sz w:val="23"/>
          <w:szCs w:val="23"/>
        </w:rPr>
        <w:t>j</w:t>
      </w:r>
      <w:r w:rsidRPr="00F853DD">
        <w:rPr>
          <w:rFonts w:ascii="Times" w:hAnsi="Times" w:cs="Times New Roman"/>
          <w:i/>
          <w:sz w:val="23"/>
          <w:szCs w:val="23"/>
        </w:rPr>
        <w:t>uggling work, family, and caregiving in middle and working class families</w:t>
      </w:r>
      <w:r w:rsidRPr="00F853DD">
        <w:rPr>
          <w:rFonts w:ascii="Times" w:hAnsi="Times" w:cs="Times New Roman"/>
          <w:sz w:val="23"/>
          <w:szCs w:val="23"/>
        </w:rPr>
        <w:t xml:space="preserve">. </w:t>
      </w:r>
      <w:r w:rsidRPr="00F853DD">
        <w:rPr>
          <w:rFonts w:ascii="Times" w:hAnsi="Times" w:cs="Times New Roman"/>
          <w:sz w:val="23"/>
          <w:szCs w:val="23"/>
          <w:lang w:val="nl-NL"/>
        </w:rPr>
        <w:t>USA: Greenwood.</w:t>
      </w:r>
    </w:p>
    <w:p w14:paraId="252E4A78" w14:textId="1D123F22" w:rsidR="00DF05BD" w:rsidRPr="00F853DD" w:rsidRDefault="0064743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Mertens, V., Bosma, H., Groffen, D. and Van Eijk, J</w:t>
      </w:r>
      <w:r w:rsidR="00DF05BD" w:rsidRPr="00F853DD">
        <w:rPr>
          <w:rFonts w:ascii="Times" w:hAnsi="Times" w:cs="Times New Roman"/>
          <w:sz w:val="23"/>
          <w:szCs w:val="23"/>
          <w:lang w:val="nl-NL"/>
        </w:rPr>
        <w:t>.</w:t>
      </w:r>
      <w:r w:rsidRPr="00F853DD">
        <w:rPr>
          <w:rFonts w:ascii="Times" w:hAnsi="Times" w:cs="Times New Roman"/>
          <w:sz w:val="23"/>
          <w:szCs w:val="23"/>
          <w:lang w:val="nl-NL"/>
        </w:rPr>
        <w:t>,</w:t>
      </w:r>
      <w:r w:rsidR="00DF05BD" w:rsidRPr="00F853DD">
        <w:rPr>
          <w:rFonts w:ascii="Times" w:hAnsi="Times" w:cs="Times New Roman"/>
          <w:sz w:val="23"/>
          <w:szCs w:val="23"/>
          <w:lang w:val="nl-NL"/>
        </w:rPr>
        <w:t xml:space="preserve"> (2012). </w:t>
      </w:r>
      <w:r w:rsidR="00DF05BD" w:rsidRPr="00F853DD">
        <w:rPr>
          <w:rFonts w:ascii="Times" w:hAnsi="Times" w:cs="Times New Roman"/>
          <w:sz w:val="23"/>
          <w:szCs w:val="23"/>
        </w:rPr>
        <w:t xml:space="preserve">Good friends, high income or resilience? What matters most for elderly patients? </w:t>
      </w:r>
      <w:r w:rsidR="00DF05BD" w:rsidRPr="00F853DD">
        <w:rPr>
          <w:rFonts w:ascii="Times" w:hAnsi="Times" w:cs="Times New Roman"/>
          <w:i/>
          <w:sz w:val="23"/>
          <w:szCs w:val="23"/>
        </w:rPr>
        <w:t>European Journal of Public Health</w:t>
      </w:r>
      <w:r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22</w:t>
      </w:r>
      <w:r w:rsidR="00DF05BD" w:rsidRPr="00F853DD">
        <w:rPr>
          <w:rFonts w:ascii="Times" w:hAnsi="Times" w:cs="Times New Roman"/>
          <w:sz w:val="23"/>
          <w:szCs w:val="23"/>
        </w:rPr>
        <w:t>, 666-671.</w:t>
      </w:r>
    </w:p>
    <w:p w14:paraId="7BEB9257" w14:textId="059C41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Messeri, P., Silverstein, M. and Litwak, E.</w:t>
      </w:r>
      <w:r w:rsidR="0064743D" w:rsidRPr="00F853DD">
        <w:rPr>
          <w:rFonts w:ascii="Times" w:hAnsi="Times" w:cs="Times New Roman"/>
          <w:sz w:val="23"/>
          <w:szCs w:val="23"/>
        </w:rPr>
        <w:t>,</w:t>
      </w:r>
      <w:r w:rsidRPr="00F853DD">
        <w:rPr>
          <w:rFonts w:ascii="Times" w:hAnsi="Times" w:cs="Times New Roman"/>
          <w:sz w:val="23"/>
          <w:szCs w:val="23"/>
        </w:rPr>
        <w:t xml:space="preserve"> (1993). Choosing optimal support groups: A review and reformulation. </w:t>
      </w:r>
      <w:r w:rsidRPr="00F853DD">
        <w:rPr>
          <w:rFonts w:ascii="Times" w:hAnsi="Times" w:cs="Times New Roman"/>
          <w:i/>
          <w:sz w:val="23"/>
          <w:szCs w:val="23"/>
        </w:rPr>
        <w:t>Journal of Health and Social Behavior</w:t>
      </w:r>
      <w:r w:rsidR="0064743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(2), 122.</w:t>
      </w:r>
    </w:p>
    <w:p w14:paraId="175A0F04"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Mestheneos, E. and Triantafillou, J. (2005). </w:t>
      </w:r>
      <w:r w:rsidRPr="00F853DD">
        <w:rPr>
          <w:rFonts w:ascii="Times" w:hAnsi="Times" w:cs="Times New Roman"/>
          <w:i/>
          <w:sz w:val="23"/>
          <w:szCs w:val="23"/>
        </w:rPr>
        <w:t>Services for supporting family carers of elderly people in Europe: characteristics, coverage and usage</w:t>
      </w:r>
      <w:r w:rsidRPr="00F853DD">
        <w:rPr>
          <w:rFonts w:ascii="Times" w:hAnsi="Times" w:cs="Times New Roman"/>
          <w:sz w:val="23"/>
          <w:szCs w:val="23"/>
        </w:rPr>
        <w:t>. Pan-European background report.</w:t>
      </w:r>
    </w:p>
    <w:p w14:paraId="74FEC638" w14:textId="2442BCAE" w:rsidR="00DF05BD" w:rsidRPr="00F853DD" w:rsidRDefault="00B21402"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Metzelthin, S., Verbakel, E., Veenstra, M., Van Exel, J., Ambergen, A.</w:t>
      </w:r>
      <w:r w:rsidR="00DF05BD" w:rsidRPr="00F853DD">
        <w:rPr>
          <w:rFonts w:ascii="Times" w:hAnsi="Times" w:cs="Times New Roman"/>
          <w:sz w:val="23"/>
          <w:szCs w:val="23"/>
        </w:rPr>
        <w:t xml:space="preserve"> and Kempen, G. (2017). Positive and negative outcomes of informal caregiving at home and in institutionalised long-term care: a cross-sectional study. </w:t>
      </w:r>
      <w:r w:rsidR="00DF05BD" w:rsidRPr="00F853DD">
        <w:rPr>
          <w:rFonts w:ascii="Times" w:hAnsi="Times" w:cs="Times New Roman"/>
          <w:i/>
          <w:sz w:val="23"/>
          <w:szCs w:val="23"/>
          <w:lang w:val="en-TT"/>
        </w:rPr>
        <w:t>BMC Geriatrics</w:t>
      </w:r>
      <w:r w:rsidRPr="00F853DD">
        <w:rPr>
          <w:rFonts w:ascii="Times" w:hAnsi="Times" w:cs="Times New Roman"/>
          <w:sz w:val="23"/>
          <w:szCs w:val="23"/>
          <w:lang w:val="en-TT"/>
        </w:rPr>
        <w:t>.</w:t>
      </w:r>
      <w:r w:rsidR="00DF05BD" w:rsidRPr="00F853DD">
        <w:rPr>
          <w:rFonts w:ascii="Times" w:hAnsi="Times" w:cs="Times New Roman"/>
          <w:sz w:val="23"/>
          <w:szCs w:val="23"/>
          <w:lang w:val="en-TT"/>
        </w:rPr>
        <w:t xml:space="preserve"> </w:t>
      </w:r>
      <w:r w:rsidR="00DF05BD" w:rsidRPr="00F853DD">
        <w:rPr>
          <w:rFonts w:ascii="Times" w:hAnsi="Times" w:cs="Times New Roman"/>
          <w:b/>
          <w:sz w:val="23"/>
          <w:szCs w:val="23"/>
          <w:lang w:val="en-TT"/>
        </w:rPr>
        <w:t>17</w:t>
      </w:r>
      <w:r w:rsidR="00DF05BD" w:rsidRPr="00F853DD">
        <w:rPr>
          <w:rFonts w:ascii="Times" w:hAnsi="Times" w:cs="Times New Roman"/>
          <w:sz w:val="23"/>
          <w:szCs w:val="23"/>
          <w:lang w:val="en-TT"/>
        </w:rPr>
        <w:t>, 10.</w:t>
      </w:r>
    </w:p>
    <w:p w14:paraId="6D075444" w14:textId="0634B227" w:rsidR="00DF05BD" w:rsidRPr="00F853DD" w:rsidRDefault="00B214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Meyer, I., Schwartz, S. and Frost, D.,</w:t>
      </w:r>
      <w:r w:rsidR="00DF05BD" w:rsidRPr="00F853DD">
        <w:rPr>
          <w:rFonts w:ascii="Times" w:hAnsi="Times" w:cs="Times New Roman"/>
          <w:sz w:val="23"/>
          <w:szCs w:val="23"/>
        </w:rPr>
        <w:t xml:space="preserve"> (2008). Social patterning of stress and coping: </w:t>
      </w:r>
      <w:r w:rsidRPr="00F853DD">
        <w:rPr>
          <w:rFonts w:ascii="Times" w:hAnsi="Times" w:cs="Times New Roman"/>
          <w:sz w:val="23"/>
          <w:szCs w:val="23"/>
        </w:rPr>
        <w:t>d</w:t>
      </w:r>
      <w:r w:rsidR="00DF05BD" w:rsidRPr="00F853DD">
        <w:rPr>
          <w:rFonts w:ascii="Times" w:hAnsi="Times" w:cs="Times New Roman"/>
          <w:sz w:val="23"/>
          <w:szCs w:val="23"/>
        </w:rPr>
        <w:t xml:space="preserve">oes disadvantaged social statuses confer more stress and fewer coping resources? </w:t>
      </w:r>
      <w:r w:rsidR="00DF05BD" w:rsidRPr="00F853DD">
        <w:rPr>
          <w:rFonts w:ascii="Times" w:hAnsi="Times" w:cs="Times New Roman"/>
          <w:i/>
          <w:sz w:val="23"/>
          <w:szCs w:val="23"/>
        </w:rPr>
        <w:t>Social Science and Medicine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67</w:t>
      </w:r>
      <w:r w:rsidR="00DF05BD" w:rsidRPr="00F853DD">
        <w:rPr>
          <w:rFonts w:ascii="Times" w:hAnsi="Times" w:cs="Times New Roman"/>
          <w:sz w:val="23"/>
          <w:szCs w:val="23"/>
        </w:rPr>
        <w:t>, 368-379.</w:t>
      </w:r>
    </w:p>
    <w:p w14:paraId="4D38B38E" w14:textId="5BCDFFE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Meyer, M., Donelly, M. and Weerakoon, P.</w:t>
      </w:r>
      <w:r w:rsidR="00B21402" w:rsidRPr="00F853DD">
        <w:rPr>
          <w:rFonts w:ascii="Times" w:hAnsi="Times" w:cs="Times New Roman"/>
          <w:sz w:val="23"/>
          <w:szCs w:val="23"/>
        </w:rPr>
        <w:t>,</w:t>
      </w:r>
      <w:r w:rsidRPr="00F853DD">
        <w:rPr>
          <w:rFonts w:ascii="Times" w:hAnsi="Times" w:cs="Times New Roman"/>
          <w:sz w:val="23"/>
          <w:szCs w:val="23"/>
        </w:rPr>
        <w:t xml:space="preserve"> (2007). 'They're taking the place of my hands</w:t>
      </w:r>
      <w:r w:rsidR="00B21402" w:rsidRPr="00F853DD">
        <w:rPr>
          <w:rFonts w:ascii="Times" w:hAnsi="Times" w:cs="Times New Roman"/>
          <w:sz w:val="23"/>
          <w:szCs w:val="23"/>
        </w:rPr>
        <w:t>’</w:t>
      </w:r>
      <w:r w:rsidRPr="00F853DD">
        <w:rPr>
          <w:rFonts w:ascii="Times" w:hAnsi="Times" w:cs="Times New Roman"/>
          <w:sz w:val="23"/>
          <w:szCs w:val="23"/>
        </w:rPr>
        <w:t xml:space="preserve">: perspectives of people using personal care. </w:t>
      </w:r>
      <w:r w:rsidRPr="00F853DD">
        <w:rPr>
          <w:rFonts w:ascii="Times" w:hAnsi="Times" w:cs="Times New Roman"/>
          <w:i/>
          <w:sz w:val="23"/>
          <w:szCs w:val="23"/>
        </w:rPr>
        <w:t>Disability and Society</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Pr="00F853DD">
        <w:rPr>
          <w:rFonts w:ascii="Times" w:hAnsi="Times" w:cs="Times New Roman"/>
          <w:sz w:val="23"/>
          <w:szCs w:val="23"/>
        </w:rPr>
        <w:t>, 595-608.</w:t>
      </w:r>
    </w:p>
    <w:p w14:paraId="134D3C5C" w14:textId="2A28782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Michael, N., O'Callaghan, C. and Sayers, E.</w:t>
      </w:r>
      <w:r w:rsidR="00B21402" w:rsidRPr="00F853DD">
        <w:rPr>
          <w:rFonts w:ascii="Times" w:hAnsi="Times" w:cs="Times New Roman"/>
          <w:sz w:val="23"/>
          <w:szCs w:val="23"/>
        </w:rPr>
        <w:t>,</w:t>
      </w:r>
      <w:r w:rsidRPr="00F853DD">
        <w:rPr>
          <w:rFonts w:ascii="Times" w:hAnsi="Times" w:cs="Times New Roman"/>
          <w:sz w:val="23"/>
          <w:szCs w:val="23"/>
        </w:rPr>
        <w:t xml:space="preserve"> (2017). Managing 'shades of grey': a focus group study exploring community-dwellers' views on advance care planning in older people. </w:t>
      </w:r>
      <w:r w:rsidRPr="00F853DD">
        <w:rPr>
          <w:rFonts w:ascii="Times" w:hAnsi="Times" w:cs="Times New Roman"/>
          <w:i/>
          <w:sz w:val="23"/>
          <w:szCs w:val="23"/>
        </w:rPr>
        <w:t>BMC Palliative Care</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9.</w:t>
      </w:r>
    </w:p>
    <w:p w14:paraId="15114CDF" w14:textId="425748A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Michel</w:t>
      </w:r>
      <w:r w:rsidR="008A6FA2" w:rsidRPr="00F853DD">
        <w:rPr>
          <w:rFonts w:ascii="Times" w:hAnsi="Times" w:cs="Times New Roman"/>
          <w:sz w:val="23"/>
          <w:szCs w:val="23"/>
        </w:rPr>
        <w:t>l</w:t>
      </w:r>
      <w:r w:rsidRPr="00F853DD">
        <w:rPr>
          <w:rFonts w:ascii="Times" w:hAnsi="Times" w:cs="Times New Roman"/>
          <w:sz w:val="23"/>
          <w:szCs w:val="23"/>
        </w:rPr>
        <w:t>, L.</w:t>
      </w:r>
      <w:r w:rsidR="00B21402" w:rsidRPr="00F853DD">
        <w:rPr>
          <w:rFonts w:ascii="Times" w:hAnsi="Times" w:cs="Times New Roman"/>
          <w:sz w:val="23"/>
          <w:szCs w:val="23"/>
        </w:rPr>
        <w:t>,</w:t>
      </w:r>
      <w:r w:rsidRPr="00F853DD">
        <w:rPr>
          <w:rFonts w:ascii="Times" w:hAnsi="Times" w:cs="Times New Roman"/>
          <w:sz w:val="23"/>
          <w:szCs w:val="23"/>
        </w:rPr>
        <w:t xml:space="preserve"> (1999). Combining focus groups and interviews: telling how it is</w:t>
      </w:r>
      <w:r w:rsidR="00B21402" w:rsidRPr="00F853DD">
        <w:rPr>
          <w:rFonts w:ascii="Times" w:hAnsi="Times" w:cs="Times New Roman"/>
          <w:sz w:val="23"/>
          <w:szCs w:val="23"/>
        </w:rPr>
        <w:t>,</w:t>
      </w:r>
      <w:r w:rsidRPr="00F853DD">
        <w:rPr>
          <w:rFonts w:ascii="Times" w:hAnsi="Times" w:cs="Times New Roman"/>
          <w:sz w:val="23"/>
          <w:szCs w:val="23"/>
        </w:rPr>
        <w:t xml:space="preserve"> telling how it feels. In: Barbour, R. and Kitzinger, J. (eds.) </w:t>
      </w:r>
      <w:r w:rsidRPr="00F853DD">
        <w:rPr>
          <w:rFonts w:ascii="Times" w:hAnsi="Times" w:cs="Times New Roman"/>
          <w:i/>
          <w:sz w:val="23"/>
          <w:szCs w:val="23"/>
        </w:rPr>
        <w:t>Developing Focus Group Research</w:t>
      </w:r>
      <w:r w:rsidRPr="00F853DD">
        <w:rPr>
          <w:rFonts w:ascii="Times" w:hAnsi="Times" w:cs="Times New Roman"/>
          <w:sz w:val="23"/>
          <w:szCs w:val="23"/>
        </w:rPr>
        <w:t>. London: SAGE Publications Ltd.</w:t>
      </w:r>
    </w:p>
    <w:p w14:paraId="53BECA5F" w14:textId="298B9C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Arial"/>
          <w:sz w:val="23"/>
          <w:szCs w:val="23"/>
          <w:shd w:val="clear" w:color="auto" w:fill="FFFFFF"/>
        </w:rPr>
        <w:t>Michigan State University</w:t>
      </w:r>
      <w:r w:rsidR="00B21402" w:rsidRPr="00F853DD">
        <w:rPr>
          <w:rFonts w:ascii="Times" w:hAnsi="Times" w:cs="Arial"/>
          <w:sz w:val="23"/>
          <w:szCs w:val="23"/>
          <w:shd w:val="clear" w:color="auto" w:fill="FFFFFF"/>
        </w:rPr>
        <w:t>,</w:t>
      </w:r>
      <w:r w:rsidRPr="00F853DD">
        <w:rPr>
          <w:rFonts w:ascii="Times" w:hAnsi="Times" w:cs="Arial"/>
          <w:sz w:val="23"/>
          <w:szCs w:val="23"/>
          <w:shd w:val="clear" w:color="auto" w:fill="FFFFFF"/>
        </w:rPr>
        <w:t xml:space="preserve"> (2017). </w:t>
      </w:r>
      <w:r w:rsidRPr="00F853DD">
        <w:rPr>
          <w:rFonts w:ascii="Times" w:hAnsi="Times" w:cs="Arial"/>
          <w:i/>
          <w:iCs/>
          <w:sz w:val="23"/>
          <w:szCs w:val="23"/>
          <w:shd w:val="clear" w:color="auto" w:fill="FFFFFF"/>
        </w:rPr>
        <w:t>United Kingdom: Statistics</w:t>
      </w:r>
      <w:r w:rsidRPr="00F853DD">
        <w:rPr>
          <w:rFonts w:ascii="Times" w:hAnsi="Times" w:cs="Arial"/>
          <w:sz w:val="23"/>
          <w:szCs w:val="23"/>
          <w:shd w:val="clear" w:color="auto" w:fill="FFFFFF"/>
        </w:rPr>
        <w:t>. [online] Globaledge.msu.edu. Available from:  https://globaledge.msu.edu/countries/united-kingdom/statistics</w:t>
      </w:r>
    </w:p>
    <w:p w14:paraId="596683AA" w14:textId="6C1094B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w:t>
      </w:r>
      <w:r w:rsidRPr="00F853DD">
        <w:rPr>
          <w:rFonts w:ascii="Times" w:hAnsi="Times"/>
          <w:sz w:val="23"/>
          <w:szCs w:val="23"/>
        </w:rPr>
        <w:t>choń, P.</w:t>
      </w:r>
      <w:r w:rsidR="00B21402" w:rsidRPr="00F853DD">
        <w:rPr>
          <w:rFonts w:ascii="Times" w:hAnsi="Times"/>
          <w:sz w:val="23"/>
          <w:szCs w:val="23"/>
        </w:rPr>
        <w:t>,</w:t>
      </w:r>
      <w:r w:rsidRPr="00F853DD">
        <w:rPr>
          <w:rFonts w:ascii="Times" w:hAnsi="Times"/>
          <w:sz w:val="23"/>
          <w:szCs w:val="23"/>
        </w:rPr>
        <w:t xml:space="preserve"> (2008). Familisation and defamilisation policy in 22 European countries. </w:t>
      </w:r>
      <w:r w:rsidRPr="00F853DD">
        <w:rPr>
          <w:rFonts w:ascii="Times" w:hAnsi="Times"/>
          <w:i/>
          <w:iCs/>
          <w:sz w:val="23"/>
          <w:szCs w:val="23"/>
        </w:rPr>
        <w:t>Poznan university of economics review</w:t>
      </w:r>
      <w:r w:rsidRPr="00F853DD">
        <w:rPr>
          <w:rFonts w:ascii="Times" w:hAnsi="Times"/>
          <w:sz w:val="23"/>
          <w:szCs w:val="23"/>
        </w:rPr>
        <w:t xml:space="preserve"> [online], </w:t>
      </w:r>
      <w:r w:rsidRPr="00F853DD">
        <w:rPr>
          <w:rFonts w:ascii="Times" w:hAnsi="Times"/>
          <w:b/>
          <w:iCs/>
          <w:sz w:val="23"/>
          <w:szCs w:val="23"/>
        </w:rPr>
        <w:t>8</w:t>
      </w:r>
      <w:r w:rsidRPr="00F853DD">
        <w:rPr>
          <w:rFonts w:ascii="Times" w:hAnsi="Times"/>
          <w:sz w:val="23"/>
          <w:szCs w:val="23"/>
        </w:rPr>
        <w:t xml:space="preserve">(1). [Viewed 7 December 2019]. Available from: </w:t>
      </w:r>
      <w:r w:rsidRPr="00F853DD">
        <w:rPr>
          <w:rFonts w:ascii="Times" w:hAnsi="Times"/>
          <w:sz w:val="23"/>
          <w:szCs w:val="23"/>
          <w:bdr w:val="none" w:sz="0" w:space="0" w:color="auto" w:frame="1"/>
        </w:rPr>
        <w:t>https://www.ebr.edu.pl/pub/2008_1_34.pdf</w:t>
      </w:r>
    </w:p>
    <w:p w14:paraId="4D558DF7" w14:textId="246D6EEC" w:rsidR="00654820" w:rsidRPr="00F853DD" w:rsidRDefault="00654820" w:rsidP="00654820">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Miller, D</w:t>
      </w:r>
      <w:r w:rsidR="00B21402" w:rsidRPr="00F853DD">
        <w:rPr>
          <w:rFonts w:ascii="Times" w:hAnsi="Times" w:cs="Times New Roman"/>
          <w:sz w:val="23"/>
          <w:szCs w:val="23"/>
        </w:rPr>
        <w:t>.,</w:t>
      </w:r>
      <w:r w:rsidRPr="00F853DD">
        <w:rPr>
          <w:rFonts w:ascii="Times" w:hAnsi="Times" w:cs="Times New Roman"/>
          <w:sz w:val="23"/>
          <w:szCs w:val="23"/>
        </w:rPr>
        <w:t xml:space="preserve"> (1981). The ‘sandwich’ generation: </w:t>
      </w:r>
      <w:r w:rsidR="00B21402" w:rsidRPr="00F853DD">
        <w:rPr>
          <w:rFonts w:ascii="Times" w:hAnsi="Times" w:cs="Times New Roman"/>
          <w:sz w:val="23"/>
          <w:szCs w:val="23"/>
        </w:rPr>
        <w:t>a</w:t>
      </w:r>
      <w:r w:rsidRPr="00F853DD">
        <w:rPr>
          <w:rFonts w:ascii="Times" w:hAnsi="Times" w:cs="Times New Roman"/>
          <w:sz w:val="23"/>
          <w:szCs w:val="23"/>
        </w:rPr>
        <w:t xml:space="preserve">dult children of the aging. </w:t>
      </w:r>
      <w:r w:rsidRPr="00F853DD">
        <w:rPr>
          <w:rFonts w:ascii="Times" w:hAnsi="Times" w:cs="Times New Roman"/>
          <w:i/>
          <w:sz w:val="23"/>
          <w:szCs w:val="23"/>
        </w:rPr>
        <w:t>Social Work</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(5), 419-423.</w:t>
      </w:r>
    </w:p>
    <w:p w14:paraId="4CD5F2D7" w14:textId="3101F5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Miller, G.</w:t>
      </w:r>
      <w:r w:rsidR="00B21402" w:rsidRPr="00F853DD">
        <w:rPr>
          <w:rFonts w:ascii="Times" w:hAnsi="Times" w:cs="Times New Roman"/>
          <w:sz w:val="23"/>
          <w:szCs w:val="23"/>
        </w:rPr>
        <w:t>,</w:t>
      </w:r>
      <w:r w:rsidRPr="00F853DD">
        <w:rPr>
          <w:rFonts w:ascii="Times" w:hAnsi="Times" w:cs="Times New Roman"/>
          <w:sz w:val="23"/>
          <w:szCs w:val="23"/>
        </w:rPr>
        <w:t xml:space="preserve"> (2012). Application of theory to family-centered care: a role for social workers. </w:t>
      </w:r>
      <w:r w:rsidRPr="00F853DD">
        <w:rPr>
          <w:rFonts w:ascii="Times" w:hAnsi="Times" w:cs="Times New Roman"/>
          <w:i/>
          <w:sz w:val="23"/>
          <w:szCs w:val="23"/>
        </w:rPr>
        <w:t>Social Work in Health Care</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51</w:t>
      </w:r>
      <w:r w:rsidRPr="00F853DD">
        <w:rPr>
          <w:rFonts w:ascii="Times" w:hAnsi="Times" w:cs="Times New Roman"/>
          <w:sz w:val="23"/>
          <w:szCs w:val="23"/>
        </w:rPr>
        <w:t>, 89-106.</w:t>
      </w:r>
    </w:p>
    <w:p w14:paraId="46D1F307" w14:textId="57B8EBDF" w:rsidR="00DF05BD" w:rsidRPr="00F853DD" w:rsidRDefault="00B214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Miller, L., Lewis, M., Williamson, G.</w:t>
      </w:r>
      <w:r w:rsidR="00DF05BD" w:rsidRPr="00F853DD">
        <w:rPr>
          <w:rFonts w:ascii="Times" w:hAnsi="Times" w:cs="Times New Roman"/>
          <w:sz w:val="23"/>
          <w:szCs w:val="23"/>
        </w:rPr>
        <w:t>, Lance, C.</w:t>
      </w:r>
      <w:r w:rsidRPr="00F853DD">
        <w:rPr>
          <w:rFonts w:ascii="Times" w:hAnsi="Times" w:cs="Times New Roman"/>
          <w:sz w:val="23"/>
          <w:szCs w:val="23"/>
        </w:rPr>
        <w:t>, Dooley, W., Schulz, R. and Weiner, M.,</w:t>
      </w:r>
      <w:r w:rsidR="00DF05BD" w:rsidRPr="00F853DD">
        <w:rPr>
          <w:rFonts w:ascii="Times" w:hAnsi="Times" w:cs="Times New Roman"/>
          <w:sz w:val="23"/>
          <w:szCs w:val="23"/>
        </w:rPr>
        <w:t xml:space="preserve"> (2006). Caregiver cognitive status and potentially harmful caregiver behavior. </w:t>
      </w:r>
      <w:r w:rsidR="00DF05BD" w:rsidRPr="00F853DD">
        <w:rPr>
          <w:rFonts w:ascii="Times" w:hAnsi="Times" w:cs="Times New Roman"/>
          <w:i/>
          <w:sz w:val="23"/>
          <w:szCs w:val="23"/>
        </w:rPr>
        <w:t>Aging and Mental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10</w:t>
      </w:r>
      <w:r w:rsidR="00DF05BD" w:rsidRPr="00F853DD">
        <w:rPr>
          <w:rFonts w:ascii="Times" w:hAnsi="Times" w:cs="Times New Roman"/>
          <w:sz w:val="23"/>
          <w:szCs w:val="23"/>
        </w:rPr>
        <w:t>, 125-133.</w:t>
      </w:r>
    </w:p>
    <w:p w14:paraId="633723BB" w14:textId="0363CDCA" w:rsidR="00654820" w:rsidRPr="00F853DD" w:rsidRDefault="00B214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Miller, M. and Wick, J.</w:t>
      </w:r>
      <w:r w:rsidR="00654820" w:rsidRPr="00F853DD">
        <w:rPr>
          <w:rFonts w:ascii="Times" w:hAnsi="Times" w:cs="Times New Roman"/>
          <w:sz w:val="23"/>
          <w:szCs w:val="23"/>
        </w:rPr>
        <w:t xml:space="preserve">, 2020. Older </w:t>
      </w:r>
      <w:r w:rsidRPr="00F853DD">
        <w:rPr>
          <w:rFonts w:ascii="Times" w:hAnsi="Times" w:cs="Times New Roman"/>
          <w:sz w:val="23"/>
          <w:szCs w:val="23"/>
        </w:rPr>
        <w:t>a</w:t>
      </w:r>
      <w:r w:rsidR="00654820" w:rsidRPr="00F853DD">
        <w:rPr>
          <w:rFonts w:ascii="Times" w:hAnsi="Times" w:cs="Times New Roman"/>
          <w:sz w:val="23"/>
          <w:szCs w:val="23"/>
        </w:rPr>
        <w:t xml:space="preserve">dults </w:t>
      </w:r>
      <w:r w:rsidRPr="00F853DD">
        <w:rPr>
          <w:rFonts w:ascii="Times" w:hAnsi="Times" w:cs="Times New Roman"/>
          <w:sz w:val="23"/>
          <w:szCs w:val="23"/>
        </w:rPr>
        <w:t>w</w:t>
      </w:r>
      <w:r w:rsidR="00654820" w:rsidRPr="00F853DD">
        <w:rPr>
          <w:rFonts w:ascii="Times" w:hAnsi="Times" w:cs="Times New Roman"/>
          <w:sz w:val="23"/>
          <w:szCs w:val="23"/>
        </w:rPr>
        <w:t xml:space="preserve">ithout </w:t>
      </w:r>
      <w:r w:rsidRPr="00F853DD">
        <w:rPr>
          <w:rFonts w:ascii="Times" w:hAnsi="Times" w:cs="Times New Roman"/>
          <w:sz w:val="23"/>
          <w:szCs w:val="23"/>
        </w:rPr>
        <w:t>m</w:t>
      </w:r>
      <w:r w:rsidR="00654820" w:rsidRPr="00F853DD">
        <w:rPr>
          <w:rFonts w:ascii="Times" w:hAnsi="Times" w:cs="Times New Roman"/>
          <w:sz w:val="23"/>
          <w:szCs w:val="23"/>
        </w:rPr>
        <w:t xml:space="preserve">edical </w:t>
      </w:r>
      <w:r w:rsidRPr="00F853DD">
        <w:rPr>
          <w:rFonts w:ascii="Times" w:hAnsi="Times" w:cs="Times New Roman"/>
          <w:sz w:val="23"/>
          <w:szCs w:val="23"/>
        </w:rPr>
        <w:t>s</w:t>
      </w:r>
      <w:r w:rsidR="00654820" w:rsidRPr="00F853DD">
        <w:rPr>
          <w:rFonts w:ascii="Times" w:hAnsi="Times" w:cs="Times New Roman"/>
          <w:sz w:val="23"/>
          <w:szCs w:val="23"/>
        </w:rPr>
        <w:t xml:space="preserve">upport </w:t>
      </w:r>
      <w:r w:rsidRPr="00F853DD">
        <w:rPr>
          <w:rFonts w:ascii="Times" w:hAnsi="Times" w:cs="Times New Roman"/>
          <w:sz w:val="23"/>
          <w:szCs w:val="23"/>
        </w:rPr>
        <w:t>s</w:t>
      </w:r>
      <w:r w:rsidR="00654820" w:rsidRPr="00F853DD">
        <w:rPr>
          <w:rFonts w:ascii="Times" w:hAnsi="Times" w:cs="Times New Roman"/>
          <w:sz w:val="23"/>
          <w:szCs w:val="23"/>
        </w:rPr>
        <w:t xml:space="preserve">ystems: </w:t>
      </w:r>
      <w:r w:rsidRPr="00F853DD">
        <w:rPr>
          <w:rFonts w:ascii="Times" w:hAnsi="Times" w:cs="Times New Roman"/>
          <w:sz w:val="23"/>
          <w:szCs w:val="23"/>
        </w:rPr>
        <w:t>h</w:t>
      </w:r>
      <w:r w:rsidR="00654820" w:rsidRPr="00F853DD">
        <w:rPr>
          <w:rFonts w:ascii="Times" w:hAnsi="Times" w:cs="Times New Roman"/>
          <w:sz w:val="23"/>
          <w:szCs w:val="23"/>
        </w:rPr>
        <w:t xml:space="preserve">ow </w:t>
      </w:r>
      <w:r w:rsidRPr="00F853DD">
        <w:rPr>
          <w:rFonts w:ascii="Times" w:hAnsi="Times" w:cs="Times New Roman"/>
          <w:sz w:val="23"/>
          <w:szCs w:val="23"/>
        </w:rPr>
        <w:t>p</w:t>
      </w:r>
      <w:r w:rsidR="00654820" w:rsidRPr="00F853DD">
        <w:rPr>
          <w:rFonts w:ascii="Times" w:hAnsi="Times" w:cs="Times New Roman"/>
          <w:sz w:val="23"/>
          <w:szCs w:val="23"/>
        </w:rPr>
        <w:t xml:space="preserve">harmacists </w:t>
      </w:r>
      <w:r w:rsidRPr="00F853DD">
        <w:rPr>
          <w:rFonts w:ascii="Times" w:hAnsi="Times" w:cs="Times New Roman"/>
          <w:sz w:val="23"/>
          <w:szCs w:val="23"/>
        </w:rPr>
        <w:t>c</w:t>
      </w:r>
      <w:r w:rsidR="00654820" w:rsidRPr="00F853DD">
        <w:rPr>
          <w:rFonts w:ascii="Times" w:hAnsi="Times" w:cs="Times New Roman"/>
          <w:sz w:val="23"/>
          <w:szCs w:val="23"/>
        </w:rPr>
        <w:t xml:space="preserve">an </w:t>
      </w:r>
      <w:r w:rsidRPr="00F853DD">
        <w:rPr>
          <w:rFonts w:ascii="Times" w:hAnsi="Times" w:cs="Times New Roman"/>
          <w:sz w:val="23"/>
          <w:szCs w:val="23"/>
        </w:rPr>
        <w:t xml:space="preserve">help. </w:t>
      </w:r>
      <w:r w:rsidRPr="00F853DD">
        <w:rPr>
          <w:rFonts w:ascii="Times" w:hAnsi="Times" w:cs="Times New Roman"/>
          <w:i/>
          <w:sz w:val="23"/>
          <w:szCs w:val="23"/>
        </w:rPr>
        <w:t>The Senior Care Pharmacist.</w:t>
      </w:r>
      <w:r w:rsidR="00654820" w:rsidRPr="00F853DD">
        <w:rPr>
          <w:rFonts w:ascii="Times" w:hAnsi="Times" w:cs="Times New Roman"/>
          <w:i/>
          <w:sz w:val="23"/>
          <w:szCs w:val="23"/>
        </w:rPr>
        <w:t xml:space="preserve"> </w:t>
      </w:r>
      <w:r w:rsidR="00654820" w:rsidRPr="00F853DD">
        <w:rPr>
          <w:rFonts w:ascii="Times" w:hAnsi="Times" w:cs="Times New Roman"/>
          <w:sz w:val="23"/>
          <w:szCs w:val="23"/>
        </w:rPr>
        <w:t>35(1), pp.3-12.</w:t>
      </w:r>
    </w:p>
    <w:p w14:paraId="6887CEE4" w14:textId="1FA3EEE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Mínguez, A.</w:t>
      </w:r>
      <w:r w:rsidR="00B21402" w:rsidRPr="00F853DD">
        <w:rPr>
          <w:rFonts w:ascii="Times" w:hAnsi="Times" w:cs="Times New Roman"/>
          <w:sz w:val="23"/>
          <w:szCs w:val="23"/>
        </w:rPr>
        <w:t>,</w:t>
      </w:r>
      <w:r w:rsidRPr="00F853DD">
        <w:rPr>
          <w:rFonts w:ascii="Times" w:hAnsi="Times" w:cs="Times New Roman"/>
          <w:sz w:val="23"/>
          <w:szCs w:val="23"/>
        </w:rPr>
        <w:t xml:space="preserve"> (2004). The persistence of male breadwinner model in southern European countries in a compared perspective: Familism, employment and family policies. </w:t>
      </w:r>
      <w:r w:rsidRPr="00F853DD">
        <w:rPr>
          <w:rFonts w:ascii="Times" w:hAnsi="Times" w:cs="Times New Roman"/>
          <w:i/>
          <w:sz w:val="23"/>
          <w:szCs w:val="23"/>
        </w:rPr>
        <w:t>Marie Curie Annals</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w:t>
      </w:r>
      <w:r w:rsidRPr="00F853DD">
        <w:rPr>
          <w:rFonts w:ascii="Times" w:hAnsi="Times" w:cs="Times New Roman"/>
          <w:sz w:val="23"/>
          <w:szCs w:val="23"/>
        </w:rPr>
        <w:t>.</w:t>
      </w:r>
    </w:p>
    <w:p w14:paraId="3D18EF33"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Ministry of Social Development and Family Services, Trinidad and Tobago (2020) </w:t>
      </w:r>
      <w:r w:rsidRPr="00F853DD">
        <w:rPr>
          <w:rFonts w:ascii="Times" w:hAnsi="Times" w:cs="Times New Roman"/>
          <w:i/>
          <w:sz w:val="23"/>
          <w:szCs w:val="23"/>
        </w:rPr>
        <w:t>Social Sector Investment Programme 2020</w:t>
      </w:r>
      <w:r w:rsidRPr="00F853DD">
        <w:rPr>
          <w:rFonts w:ascii="Times" w:hAnsi="Times" w:cs="Times New Roman"/>
          <w:sz w:val="23"/>
          <w:szCs w:val="23"/>
        </w:rPr>
        <w:t xml:space="preserve"> [online]. Ministry of Finance. [Viewed 8 October 2019]. Available from:  https://www.finance.gov.tt/wp-content/uploads/2019/10/SOCIAL-SECTOR-INVESTMENT-PROGRAMME-2020.pdf. </w:t>
      </w:r>
    </w:p>
    <w:p w14:paraId="009D405D" w14:textId="429D7C3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Minkler, M. and Fuller-Thomson, E.</w:t>
      </w:r>
      <w:r w:rsidR="00B21402" w:rsidRPr="00F853DD">
        <w:rPr>
          <w:rFonts w:ascii="Times" w:hAnsi="Times" w:cs="Times New Roman"/>
          <w:sz w:val="23"/>
          <w:szCs w:val="23"/>
        </w:rPr>
        <w:t>,</w:t>
      </w:r>
      <w:r w:rsidRPr="00F853DD">
        <w:rPr>
          <w:rFonts w:ascii="Times" w:hAnsi="Times" w:cs="Times New Roman"/>
          <w:sz w:val="23"/>
          <w:szCs w:val="23"/>
        </w:rPr>
        <w:t xml:space="preserve"> (2000). Second time around parenting: </w:t>
      </w:r>
      <w:r w:rsidR="00B21402" w:rsidRPr="00F853DD">
        <w:rPr>
          <w:rFonts w:ascii="Times" w:hAnsi="Times" w:cs="Times New Roman"/>
          <w:sz w:val="23"/>
          <w:szCs w:val="23"/>
        </w:rPr>
        <w:t>f</w:t>
      </w:r>
      <w:r w:rsidRPr="00F853DD">
        <w:rPr>
          <w:rFonts w:ascii="Times" w:hAnsi="Times" w:cs="Times New Roman"/>
          <w:sz w:val="23"/>
          <w:szCs w:val="23"/>
        </w:rPr>
        <w:t xml:space="preserve">actors predictive of grandparents becoming caregivers for their grandchildren. </w:t>
      </w:r>
      <w:r w:rsidRPr="00F853DD">
        <w:rPr>
          <w:rFonts w:ascii="Times" w:hAnsi="Times" w:cs="Times New Roman"/>
          <w:i/>
          <w:sz w:val="23"/>
          <w:szCs w:val="23"/>
        </w:rPr>
        <w:t>The International Journal of Aging and Human Development</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50</w:t>
      </w:r>
      <w:r w:rsidRPr="00F853DD">
        <w:rPr>
          <w:rFonts w:ascii="Times" w:hAnsi="Times" w:cs="Times New Roman"/>
          <w:sz w:val="23"/>
          <w:szCs w:val="23"/>
        </w:rPr>
        <w:t>(3), 185-200.</w:t>
      </w:r>
    </w:p>
    <w:p w14:paraId="2A5418CF" w14:textId="710F5D69" w:rsidR="00AD5010" w:rsidRPr="00F853DD" w:rsidRDefault="00AD5010"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Mishra, P., 2006. </w:t>
      </w:r>
      <w:r w:rsidRPr="00F853DD">
        <w:rPr>
          <w:rFonts w:ascii="Times" w:hAnsi="Times" w:cs="Times New Roman"/>
          <w:i/>
          <w:sz w:val="23"/>
          <w:szCs w:val="23"/>
        </w:rPr>
        <w:t>Emigration and brain drain: Evidence from the Caribbean</w:t>
      </w:r>
      <w:r w:rsidRPr="00F853DD">
        <w:rPr>
          <w:rFonts w:ascii="Times" w:hAnsi="Times" w:cs="Times New Roman"/>
          <w:sz w:val="23"/>
          <w:szCs w:val="23"/>
        </w:rPr>
        <w:t xml:space="preserve"> (No. 6-25). International Monetary Fund.</w:t>
      </w:r>
    </w:p>
    <w:p w14:paraId="2BBAD22E" w14:textId="6888A4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Mitchell-Fearon, K., Waldron, N., James, K., Laws, H., Holder-Nevins, D. and Eldemire-Shearer, D.</w:t>
      </w:r>
      <w:r w:rsidR="00B21402" w:rsidRPr="00F853DD">
        <w:rPr>
          <w:rFonts w:ascii="Times" w:hAnsi="Times" w:cs="Times New Roman"/>
          <w:sz w:val="23"/>
          <w:szCs w:val="23"/>
        </w:rPr>
        <w:t>,</w:t>
      </w:r>
      <w:r w:rsidRPr="00F853DD">
        <w:rPr>
          <w:rFonts w:ascii="Times" w:hAnsi="Times" w:cs="Times New Roman"/>
          <w:sz w:val="23"/>
          <w:szCs w:val="23"/>
        </w:rPr>
        <w:t xml:space="preserve"> (2014). Hypertension and diabetes prevalence in older persons in Jamaica, 2012. </w:t>
      </w:r>
      <w:r w:rsidRPr="00F853DD">
        <w:rPr>
          <w:rFonts w:ascii="Times" w:hAnsi="Times" w:cs="Times New Roman"/>
          <w:i/>
          <w:sz w:val="23"/>
          <w:szCs w:val="23"/>
        </w:rPr>
        <w:t>West Indian Medical Journal</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63</w:t>
      </w:r>
      <w:r w:rsidRPr="00F853DD">
        <w:rPr>
          <w:rFonts w:ascii="Times" w:hAnsi="Times" w:cs="Times New Roman"/>
          <w:sz w:val="23"/>
          <w:szCs w:val="23"/>
        </w:rPr>
        <w:t>, 416-423.</w:t>
      </w:r>
    </w:p>
    <w:p w14:paraId="391DF080" w14:textId="559E24E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Mitchell-Fearon, K., Waldron, N., Laws, H., James, K., Holder-Nevins, D., Willie-Tyndale, D. and Eldemire-Shearer, D.</w:t>
      </w:r>
      <w:r w:rsidR="00B21402" w:rsidRPr="00F853DD">
        <w:rPr>
          <w:rFonts w:ascii="Times" w:hAnsi="Times" w:cs="Times New Roman"/>
          <w:sz w:val="23"/>
          <w:szCs w:val="23"/>
        </w:rPr>
        <w:t>,</w:t>
      </w:r>
      <w:r w:rsidRPr="00F853DD">
        <w:rPr>
          <w:rFonts w:ascii="Times" w:hAnsi="Times" w:cs="Times New Roman"/>
          <w:sz w:val="23"/>
          <w:szCs w:val="23"/>
        </w:rPr>
        <w:t xml:space="preserve"> (2015). Non-communicable diseases in an older, aging population: A developing country perspective (Jamaica). </w:t>
      </w:r>
      <w:r w:rsidRPr="00F853DD">
        <w:rPr>
          <w:rFonts w:ascii="Times" w:hAnsi="Times" w:cs="Times New Roman"/>
          <w:i/>
          <w:sz w:val="23"/>
          <w:szCs w:val="23"/>
        </w:rPr>
        <w:t>Journal of Health Care for the Poor and Underserved</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475-487.</w:t>
      </w:r>
    </w:p>
    <w:p w14:paraId="4CA02FE9" w14:textId="283AE2D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Mody, L</w:t>
      </w:r>
      <w:r w:rsidR="00B21402" w:rsidRPr="00F853DD">
        <w:rPr>
          <w:rFonts w:ascii="Times" w:hAnsi="Times" w:cs="Times New Roman"/>
          <w:sz w:val="23"/>
          <w:szCs w:val="23"/>
        </w:rPr>
        <w:t>., Miller, D., McGloin, J.</w:t>
      </w:r>
      <w:r w:rsidRPr="00F853DD">
        <w:rPr>
          <w:rFonts w:ascii="Times" w:hAnsi="Times" w:cs="Times New Roman"/>
          <w:sz w:val="23"/>
          <w:szCs w:val="23"/>
        </w:rPr>
        <w:t>,</w:t>
      </w:r>
      <w:r w:rsidR="00B21402" w:rsidRPr="00F853DD">
        <w:rPr>
          <w:rFonts w:ascii="Times" w:hAnsi="Times" w:cs="Times New Roman"/>
          <w:sz w:val="23"/>
          <w:szCs w:val="23"/>
        </w:rPr>
        <w:t xml:space="preserve"> Freeman, M., Marcantonio, E.</w:t>
      </w:r>
      <w:r w:rsidRPr="00F853DD">
        <w:rPr>
          <w:rFonts w:ascii="Times" w:hAnsi="Times" w:cs="Times New Roman"/>
          <w:sz w:val="23"/>
          <w:szCs w:val="23"/>
        </w:rPr>
        <w:t>, Magaziner, J. and Studenski, S.</w:t>
      </w:r>
      <w:r w:rsidR="00B21402" w:rsidRPr="00F853DD">
        <w:rPr>
          <w:rFonts w:ascii="Times" w:hAnsi="Times" w:cs="Times New Roman"/>
          <w:sz w:val="23"/>
          <w:szCs w:val="23"/>
        </w:rPr>
        <w:t>,</w:t>
      </w:r>
      <w:r w:rsidRPr="00F853DD">
        <w:rPr>
          <w:rFonts w:ascii="Times" w:hAnsi="Times" w:cs="Times New Roman"/>
          <w:sz w:val="23"/>
          <w:szCs w:val="23"/>
        </w:rPr>
        <w:t xml:space="preserve"> (2008). Recruitment and retention of older adults in aging research. </w:t>
      </w:r>
      <w:r w:rsidRPr="00F853DD">
        <w:rPr>
          <w:rFonts w:ascii="Times" w:hAnsi="Times" w:cs="Times New Roman"/>
          <w:i/>
          <w:sz w:val="23"/>
          <w:szCs w:val="23"/>
        </w:rPr>
        <w:t>Journal of the American Geriatrics Society</w:t>
      </w:r>
      <w:r w:rsidR="00B214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w:t>
      </w:r>
      <w:r w:rsidRPr="00F853DD">
        <w:rPr>
          <w:rFonts w:ascii="Times" w:hAnsi="Times" w:cs="Times New Roman"/>
          <w:sz w:val="23"/>
          <w:szCs w:val="23"/>
        </w:rPr>
        <w:t>, 2340-2348.</w:t>
      </w:r>
    </w:p>
    <w:p w14:paraId="385AD1DD" w14:textId="761DADA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Moe, A., Ekker, K. and Enmarker, I.</w:t>
      </w:r>
      <w:r w:rsidR="00B21402" w:rsidRPr="00F853DD">
        <w:rPr>
          <w:rFonts w:ascii="Times" w:hAnsi="Times" w:cs="Times New Roman"/>
          <w:sz w:val="23"/>
          <w:szCs w:val="23"/>
          <w:lang w:val="en-TT"/>
        </w:rPr>
        <w:t>,</w:t>
      </w:r>
      <w:r w:rsidRPr="00F853DD">
        <w:rPr>
          <w:rFonts w:ascii="Times" w:hAnsi="Times" w:cs="Times New Roman"/>
          <w:sz w:val="23"/>
          <w:szCs w:val="23"/>
          <w:lang w:val="en-TT"/>
        </w:rPr>
        <w:t xml:space="preserve"> (2013). </w:t>
      </w:r>
      <w:r w:rsidRPr="00F853DD">
        <w:rPr>
          <w:rFonts w:ascii="Times" w:hAnsi="Times" w:cs="Times New Roman"/>
          <w:sz w:val="23"/>
          <w:szCs w:val="23"/>
        </w:rPr>
        <w:t xml:space="preserve">A description of resilience for Norwegian home-living chronically ill oldest older persons [online]. </w:t>
      </w:r>
      <w:r w:rsidRPr="00F853DD">
        <w:rPr>
          <w:rFonts w:ascii="Times" w:hAnsi="Times" w:cs="Times New Roman"/>
          <w:i/>
          <w:sz w:val="23"/>
          <w:szCs w:val="23"/>
        </w:rPr>
        <w:t>Open Journal of Nursing</w:t>
      </w:r>
      <w:r w:rsidRPr="00F853DD">
        <w:rPr>
          <w:rFonts w:ascii="Times" w:hAnsi="Times" w:cs="Times New Roman"/>
          <w:sz w:val="23"/>
          <w:szCs w:val="23"/>
        </w:rPr>
        <w:t xml:space="preserve">. Available from: http://file.scirp.org/pdf/OJN_2013060317261687.pdf. </w:t>
      </w:r>
    </w:p>
    <w:p w14:paraId="0F31EB6C" w14:textId="0851666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Moen, P., Robison, J. and Fields, V.</w:t>
      </w:r>
      <w:r w:rsidR="00153CAC" w:rsidRPr="00F853DD">
        <w:rPr>
          <w:rFonts w:ascii="Times" w:hAnsi="Times" w:cs="Times New Roman"/>
          <w:sz w:val="23"/>
          <w:szCs w:val="23"/>
        </w:rPr>
        <w:t>,</w:t>
      </w:r>
      <w:r w:rsidRPr="00F853DD">
        <w:rPr>
          <w:rFonts w:ascii="Times" w:hAnsi="Times" w:cs="Times New Roman"/>
          <w:sz w:val="23"/>
          <w:szCs w:val="23"/>
        </w:rPr>
        <w:t xml:space="preserve"> (1994). Women’s work and caregiving roles: </w:t>
      </w:r>
      <w:r w:rsidR="00153CAC" w:rsidRPr="00F853DD">
        <w:rPr>
          <w:rFonts w:ascii="Times" w:hAnsi="Times" w:cs="Times New Roman"/>
          <w:sz w:val="23"/>
          <w:szCs w:val="23"/>
        </w:rPr>
        <w:t>a</w:t>
      </w:r>
      <w:r w:rsidRPr="00F853DD">
        <w:rPr>
          <w:rFonts w:ascii="Times" w:hAnsi="Times" w:cs="Times New Roman"/>
          <w:sz w:val="23"/>
          <w:szCs w:val="23"/>
        </w:rPr>
        <w:t xml:space="preserve"> life-course approach. </w:t>
      </w:r>
      <w:r w:rsidRPr="00F853DD">
        <w:rPr>
          <w:rFonts w:ascii="Times" w:hAnsi="Times" w:cs="Times New Roman"/>
          <w:i/>
          <w:sz w:val="23"/>
          <w:szCs w:val="23"/>
        </w:rPr>
        <w:t>Journals of Gerontology</w:t>
      </w:r>
      <w:r w:rsidR="00153CAC" w:rsidRPr="00F853DD">
        <w:rPr>
          <w:rFonts w:ascii="Times" w:hAnsi="Times" w:cs="Times New Roman"/>
          <w:sz w:val="23"/>
          <w:szCs w:val="23"/>
        </w:rPr>
        <w:t xml:space="preserve">. </w:t>
      </w:r>
      <w:r w:rsidRPr="00F853DD">
        <w:rPr>
          <w:rFonts w:ascii="Times" w:hAnsi="Times" w:cs="Times New Roman"/>
          <w:b/>
          <w:sz w:val="23"/>
          <w:szCs w:val="23"/>
        </w:rPr>
        <w:t>49</w:t>
      </w:r>
      <w:r w:rsidRPr="00F853DD">
        <w:rPr>
          <w:rFonts w:ascii="Times" w:hAnsi="Times" w:cs="Times New Roman"/>
          <w:sz w:val="23"/>
          <w:szCs w:val="23"/>
        </w:rPr>
        <w:t>, S176-S186.</w:t>
      </w:r>
    </w:p>
    <w:p w14:paraId="09214370" w14:textId="35D2BC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Moen, P.</w:t>
      </w:r>
      <w:r w:rsidR="00153CAC" w:rsidRPr="00F853DD">
        <w:rPr>
          <w:rFonts w:ascii="Times" w:hAnsi="Times" w:cs="Times New Roman"/>
          <w:sz w:val="23"/>
          <w:szCs w:val="23"/>
        </w:rPr>
        <w:t>,</w:t>
      </w:r>
      <w:r w:rsidRPr="00F853DD">
        <w:rPr>
          <w:rFonts w:ascii="Times" w:hAnsi="Times" w:cs="Times New Roman"/>
          <w:sz w:val="23"/>
          <w:szCs w:val="23"/>
        </w:rPr>
        <w:t xml:space="preserve"> (2013). Constrained choices: The shifting institutional contexts of aging and the life course. In: </w:t>
      </w:r>
      <w:r w:rsidRPr="00F853DD">
        <w:rPr>
          <w:rFonts w:ascii="Times" w:hAnsi="Times" w:cs="Times New Roman"/>
          <w:i/>
          <w:sz w:val="23"/>
          <w:szCs w:val="23"/>
        </w:rPr>
        <w:t>New directions in the sociology of aging</w:t>
      </w:r>
      <w:r w:rsidRPr="00F853DD">
        <w:rPr>
          <w:rFonts w:ascii="Times" w:hAnsi="Times" w:cs="Times New Roman"/>
          <w:sz w:val="23"/>
          <w:szCs w:val="23"/>
        </w:rPr>
        <w:t xml:space="preserve"> [online]. US: National Academies Press. [Viewed 10 July 2019]. Available from: https://scholar.harvard.edu/files/goldin/files/pm_nas.pdf.</w:t>
      </w:r>
    </w:p>
    <w:p w14:paraId="5C24D1D0" w14:textId="3C1CA5D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MOH</w:t>
      </w:r>
      <w:r w:rsidR="00153CAC"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 xml:space="preserve">Republic of Trinidad and Tobago </w:t>
      </w:r>
      <w:r w:rsidR="00153CAC" w:rsidRPr="00F853DD">
        <w:rPr>
          <w:rFonts w:ascii="Times" w:hAnsi="Times" w:cs="Times New Roman"/>
          <w:i/>
          <w:sz w:val="23"/>
          <w:szCs w:val="23"/>
        </w:rPr>
        <w:t>s</w:t>
      </w:r>
      <w:r w:rsidRPr="00F853DD">
        <w:rPr>
          <w:rFonts w:ascii="Times" w:hAnsi="Times" w:cs="Times New Roman"/>
          <w:i/>
          <w:sz w:val="23"/>
          <w:szCs w:val="23"/>
        </w:rPr>
        <w:t xml:space="preserve">trategic </w:t>
      </w:r>
      <w:r w:rsidR="00153CAC" w:rsidRPr="00F853DD">
        <w:rPr>
          <w:rFonts w:ascii="Times" w:hAnsi="Times" w:cs="Times New Roman"/>
          <w:i/>
          <w:sz w:val="23"/>
          <w:szCs w:val="23"/>
        </w:rPr>
        <w:t>p</w:t>
      </w:r>
      <w:r w:rsidRPr="00F853DD">
        <w:rPr>
          <w:rFonts w:ascii="Times" w:hAnsi="Times" w:cs="Times New Roman"/>
          <w:i/>
          <w:sz w:val="23"/>
          <w:szCs w:val="23"/>
        </w:rPr>
        <w:t xml:space="preserve">lan for </w:t>
      </w:r>
      <w:r w:rsidR="00153CAC" w:rsidRPr="00F853DD">
        <w:rPr>
          <w:rFonts w:ascii="Times" w:hAnsi="Times" w:cs="Times New Roman"/>
          <w:i/>
          <w:sz w:val="23"/>
          <w:szCs w:val="23"/>
        </w:rPr>
        <w:t>s</w:t>
      </w:r>
      <w:r w:rsidRPr="00F853DD">
        <w:rPr>
          <w:rFonts w:ascii="Times" w:hAnsi="Times" w:cs="Times New Roman"/>
          <w:i/>
          <w:sz w:val="23"/>
          <w:szCs w:val="23"/>
        </w:rPr>
        <w:t xml:space="preserve">trengthening the </w:t>
      </w:r>
      <w:r w:rsidR="00153CAC" w:rsidRPr="00F853DD">
        <w:rPr>
          <w:rFonts w:ascii="Times" w:hAnsi="Times" w:cs="Times New Roman"/>
          <w:i/>
          <w:sz w:val="23"/>
          <w:szCs w:val="23"/>
        </w:rPr>
        <w:t>n</w:t>
      </w:r>
      <w:r w:rsidRPr="00F853DD">
        <w:rPr>
          <w:rFonts w:ascii="Times" w:hAnsi="Times" w:cs="Times New Roman"/>
          <w:i/>
          <w:sz w:val="23"/>
          <w:szCs w:val="23"/>
        </w:rPr>
        <w:t xml:space="preserve">ational </w:t>
      </w:r>
      <w:r w:rsidR="00153CAC" w:rsidRPr="00F853DD">
        <w:rPr>
          <w:rFonts w:ascii="Times" w:hAnsi="Times" w:cs="Times New Roman"/>
          <w:i/>
          <w:sz w:val="23"/>
          <w:szCs w:val="23"/>
        </w:rPr>
        <w:t>h</w:t>
      </w:r>
      <w:r w:rsidRPr="00F853DD">
        <w:rPr>
          <w:rFonts w:ascii="Times" w:hAnsi="Times" w:cs="Times New Roman"/>
          <w:i/>
          <w:sz w:val="23"/>
          <w:szCs w:val="23"/>
        </w:rPr>
        <w:t xml:space="preserve">ealth </w:t>
      </w:r>
      <w:r w:rsidR="00153CAC" w:rsidRPr="00F853DD">
        <w:rPr>
          <w:rFonts w:ascii="Times" w:hAnsi="Times" w:cs="Times New Roman"/>
          <w:i/>
          <w:sz w:val="23"/>
          <w:szCs w:val="23"/>
        </w:rPr>
        <w:t>i</w:t>
      </w:r>
      <w:r w:rsidRPr="00F853DD">
        <w:rPr>
          <w:rFonts w:ascii="Times" w:hAnsi="Times" w:cs="Times New Roman"/>
          <w:i/>
          <w:sz w:val="23"/>
          <w:szCs w:val="23"/>
        </w:rPr>
        <w:t xml:space="preserve">nformation </w:t>
      </w:r>
      <w:r w:rsidR="00153CAC" w:rsidRPr="00F853DD">
        <w:rPr>
          <w:rFonts w:ascii="Times" w:hAnsi="Times" w:cs="Times New Roman"/>
          <w:i/>
          <w:sz w:val="23"/>
          <w:szCs w:val="23"/>
        </w:rPr>
        <w:t>s</w:t>
      </w:r>
      <w:r w:rsidRPr="00F853DD">
        <w:rPr>
          <w:rFonts w:ascii="Times" w:hAnsi="Times" w:cs="Times New Roman"/>
          <w:i/>
          <w:sz w:val="23"/>
          <w:szCs w:val="23"/>
        </w:rPr>
        <w:t>ystem</w:t>
      </w:r>
      <w:r w:rsidRPr="00F853DD">
        <w:rPr>
          <w:rFonts w:ascii="Times" w:hAnsi="Times" w:cs="Times New Roman"/>
          <w:sz w:val="23"/>
          <w:szCs w:val="23"/>
        </w:rPr>
        <w:t xml:space="preserve"> 2012-2016. New York: Connect-to-Health.</w:t>
      </w:r>
    </w:p>
    <w:p w14:paraId="0B920643" w14:textId="32127EC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MOH</w:t>
      </w:r>
      <w:r w:rsidR="00153CAC" w:rsidRPr="00F853DD">
        <w:rPr>
          <w:rFonts w:ascii="Times" w:hAnsi="Times" w:cs="Times New Roman"/>
          <w:sz w:val="23"/>
          <w:szCs w:val="23"/>
        </w:rPr>
        <w:t>,</w:t>
      </w:r>
      <w:r w:rsidRPr="00F853DD">
        <w:rPr>
          <w:rFonts w:ascii="Times" w:hAnsi="Times" w:cs="Times New Roman"/>
          <w:sz w:val="23"/>
          <w:szCs w:val="23"/>
        </w:rPr>
        <w:t xml:space="preserve"> (2017). National strategic plan for the prevention and control of non-communicable diseases: Trinidad and Tobago 2017 - 2021. Trinidad and Tobago: Government of the Republic of Trinidad and Tobago.</w:t>
      </w:r>
    </w:p>
    <w:p w14:paraId="7C06E8D1" w14:textId="4AF07AA6" w:rsidR="00DF05BD" w:rsidRPr="00F853DD" w:rsidRDefault="00153C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Monin, J</w:t>
      </w:r>
      <w:r w:rsidR="00DF05BD" w:rsidRPr="00F853DD">
        <w:rPr>
          <w:rFonts w:ascii="Times" w:hAnsi="Times" w:cs="Times New Roman"/>
          <w:sz w:val="23"/>
          <w:szCs w:val="23"/>
          <w:lang w:val="en-TT"/>
        </w:rPr>
        <w:t>. and Schulz, R.</w:t>
      </w:r>
      <w:r w:rsidRPr="00F853DD">
        <w:rPr>
          <w:rFonts w:ascii="Times" w:hAnsi="Times" w:cs="Times New Roman"/>
          <w:sz w:val="23"/>
          <w:szCs w:val="23"/>
          <w:lang w:val="en-TT"/>
        </w:rPr>
        <w:t>,</w:t>
      </w:r>
      <w:r w:rsidR="00DF05BD" w:rsidRPr="00F853DD">
        <w:rPr>
          <w:rFonts w:ascii="Times" w:hAnsi="Times" w:cs="Times New Roman"/>
          <w:sz w:val="23"/>
          <w:szCs w:val="23"/>
          <w:lang w:val="en-TT"/>
        </w:rPr>
        <w:t xml:space="preserve"> (2009). </w:t>
      </w:r>
      <w:r w:rsidR="00DF05BD" w:rsidRPr="00F853DD">
        <w:rPr>
          <w:rFonts w:ascii="Times" w:hAnsi="Times" w:cs="Times New Roman"/>
          <w:sz w:val="23"/>
          <w:szCs w:val="23"/>
        </w:rPr>
        <w:t xml:space="preserve">Interpersonal effects of suffering in older adult caregiving relationships. </w:t>
      </w:r>
      <w:r w:rsidR="00DF05BD" w:rsidRPr="00F853DD">
        <w:rPr>
          <w:rFonts w:ascii="Times" w:hAnsi="Times" w:cs="Times New Roman"/>
          <w:i/>
          <w:sz w:val="23"/>
          <w:szCs w:val="23"/>
        </w:rPr>
        <w:t>Psychology and Aging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24</w:t>
      </w:r>
      <w:r w:rsidR="00DF05BD" w:rsidRPr="00F853DD">
        <w:rPr>
          <w:rFonts w:ascii="Times" w:hAnsi="Times" w:cs="Times New Roman"/>
          <w:sz w:val="23"/>
          <w:szCs w:val="23"/>
        </w:rPr>
        <w:t>, 681-695.</w:t>
      </w:r>
    </w:p>
    <w:p w14:paraId="4DC258D1" w14:textId="47BB9237" w:rsidR="00D64EA3" w:rsidRPr="00F853DD" w:rsidRDefault="00D64EA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Mojica, N</w:t>
      </w:r>
      <w:r w:rsidR="00157376" w:rsidRPr="00F853DD">
        <w:rPr>
          <w:rFonts w:ascii="Times" w:hAnsi="Times" w:cs="Times New Roman"/>
          <w:sz w:val="23"/>
          <w:szCs w:val="23"/>
        </w:rPr>
        <w:t>.,</w:t>
      </w:r>
      <w:r w:rsidRPr="00F853DD">
        <w:rPr>
          <w:rFonts w:ascii="Times" w:hAnsi="Times" w:cs="Times New Roman"/>
          <w:sz w:val="23"/>
          <w:szCs w:val="23"/>
        </w:rPr>
        <w:t xml:space="preserve"> (2016)</w:t>
      </w:r>
      <w:r w:rsidR="0015737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i/>
          <w:sz w:val="23"/>
          <w:szCs w:val="23"/>
        </w:rPr>
        <w:t xml:space="preserve">Men </w:t>
      </w:r>
      <w:r w:rsidR="00153CAC" w:rsidRPr="00F853DD">
        <w:rPr>
          <w:rFonts w:ascii="Times" w:hAnsi="Times" w:cs="Times New Roman"/>
          <w:i/>
          <w:sz w:val="23"/>
          <w:szCs w:val="23"/>
        </w:rPr>
        <w:t>a</w:t>
      </w:r>
      <w:r w:rsidRPr="00F853DD">
        <w:rPr>
          <w:rFonts w:ascii="Times" w:hAnsi="Times" w:cs="Times New Roman"/>
          <w:i/>
          <w:sz w:val="23"/>
          <w:szCs w:val="23"/>
        </w:rPr>
        <w:t xml:space="preserve">s </w:t>
      </w:r>
      <w:r w:rsidR="00153CAC" w:rsidRPr="00F853DD">
        <w:rPr>
          <w:rFonts w:ascii="Times" w:hAnsi="Times" w:cs="Times New Roman"/>
          <w:i/>
          <w:sz w:val="23"/>
          <w:szCs w:val="23"/>
        </w:rPr>
        <w:t>c</w:t>
      </w:r>
      <w:r w:rsidRPr="00F853DD">
        <w:rPr>
          <w:rFonts w:ascii="Times" w:hAnsi="Times" w:cs="Times New Roman"/>
          <w:i/>
          <w:sz w:val="23"/>
          <w:szCs w:val="23"/>
        </w:rPr>
        <w:t xml:space="preserve">aregivers: Latino </w:t>
      </w:r>
      <w:r w:rsidR="00153CAC" w:rsidRPr="00F853DD">
        <w:rPr>
          <w:rFonts w:ascii="Times" w:hAnsi="Times" w:cs="Times New Roman"/>
          <w:i/>
          <w:sz w:val="23"/>
          <w:szCs w:val="23"/>
        </w:rPr>
        <w:t>f</w:t>
      </w:r>
      <w:r w:rsidRPr="00F853DD">
        <w:rPr>
          <w:rFonts w:ascii="Times" w:hAnsi="Times" w:cs="Times New Roman"/>
          <w:i/>
          <w:sz w:val="23"/>
          <w:szCs w:val="23"/>
        </w:rPr>
        <w:t xml:space="preserve">athering of </w:t>
      </w:r>
      <w:r w:rsidR="00153CAC" w:rsidRPr="00F853DD">
        <w:rPr>
          <w:rFonts w:ascii="Times" w:hAnsi="Times" w:cs="Times New Roman"/>
          <w:i/>
          <w:sz w:val="23"/>
          <w:szCs w:val="23"/>
        </w:rPr>
        <w:t>c</w:t>
      </w:r>
      <w:r w:rsidRPr="00F853DD">
        <w:rPr>
          <w:rFonts w:ascii="Times" w:hAnsi="Times" w:cs="Times New Roman"/>
          <w:i/>
          <w:sz w:val="23"/>
          <w:szCs w:val="23"/>
        </w:rPr>
        <w:t xml:space="preserve">hildren with </w:t>
      </w:r>
      <w:r w:rsidR="00153CAC" w:rsidRPr="00F853DD">
        <w:rPr>
          <w:rFonts w:ascii="Times" w:hAnsi="Times" w:cs="Times New Roman"/>
          <w:i/>
          <w:sz w:val="23"/>
          <w:szCs w:val="23"/>
        </w:rPr>
        <w:t>cancer</w:t>
      </w:r>
      <w:r w:rsidR="00153CAC" w:rsidRPr="00F853DD">
        <w:rPr>
          <w:rFonts w:ascii="Times" w:hAnsi="Times" w:cs="Times New Roman"/>
          <w:sz w:val="23"/>
          <w:szCs w:val="23"/>
        </w:rPr>
        <w:t>.</w:t>
      </w:r>
      <w:r w:rsidRPr="00F853DD">
        <w:rPr>
          <w:rFonts w:ascii="Times" w:hAnsi="Times" w:cs="Times New Roman"/>
          <w:sz w:val="23"/>
          <w:szCs w:val="23"/>
        </w:rPr>
        <w:t xml:space="preserve"> (</w:t>
      </w:r>
      <w:r w:rsidR="00157376" w:rsidRPr="00F853DD">
        <w:rPr>
          <w:rFonts w:ascii="Times" w:hAnsi="Times" w:cs="Times New Roman"/>
          <w:sz w:val="23"/>
          <w:szCs w:val="23"/>
        </w:rPr>
        <w:t>Ph.D. thesis, Loyola University Chicago</w:t>
      </w:r>
      <w:r w:rsidR="00153CAC" w:rsidRPr="00F853DD">
        <w:rPr>
          <w:rFonts w:ascii="Times" w:hAnsi="Times" w:cs="Times New Roman"/>
          <w:sz w:val="23"/>
          <w:szCs w:val="23"/>
        </w:rPr>
        <w:t xml:space="preserve"> [online]</w:t>
      </w:r>
      <w:r w:rsidR="00157376" w:rsidRPr="00F853DD">
        <w:rPr>
          <w:rFonts w:ascii="Times" w:hAnsi="Times" w:cs="Times New Roman"/>
          <w:sz w:val="23"/>
          <w:szCs w:val="23"/>
        </w:rPr>
        <w:t>. [Viewed 29 December 2019]. Available from: https://pdfs.semanticscholar.org/e9c6/74237033bf1267c460eab43ac20a53cb0aef.pdf</w:t>
      </w:r>
    </w:p>
    <w:p w14:paraId="301E87C6" w14:textId="256C9F6F" w:rsidR="00DF05BD" w:rsidRPr="00F853DD" w:rsidRDefault="00153C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Monnier, J., Hobfoll, S., Dunahoo, C., Hulsizer, M.</w:t>
      </w:r>
      <w:r w:rsidR="00DF05BD" w:rsidRPr="00F853DD">
        <w:rPr>
          <w:rFonts w:ascii="Times" w:hAnsi="Times" w:cs="Times New Roman"/>
          <w:sz w:val="23"/>
          <w:szCs w:val="23"/>
        </w:rPr>
        <w:t xml:space="preserve"> and Johnson, R.</w:t>
      </w:r>
      <w:r w:rsidRPr="00F853DD">
        <w:rPr>
          <w:rFonts w:ascii="Times" w:hAnsi="Times" w:cs="Times New Roman"/>
          <w:sz w:val="23"/>
          <w:szCs w:val="23"/>
        </w:rPr>
        <w:t>,</w:t>
      </w:r>
      <w:r w:rsidR="00DF05BD" w:rsidRPr="00F853DD">
        <w:rPr>
          <w:rFonts w:ascii="Times" w:hAnsi="Times" w:cs="Times New Roman"/>
          <w:sz w:val="23"/>
          <w:szCs w:val="23"/>
        </w:rPr>
        <w:t xml:space="preserve"> (1998). There's more than rugged individualism in coping. Part 2: Construct validity and further model testing. </w:t>
      </w:r>
      <w:r w:rsidR="00DF05BD" w:rsidRPr="00F853DD">
        <w:rPr>
          <w:rFonts w:ascii="Times" w:hAnsi="Times" w:cs="Times New Roman"/>
          <w:i/>
          <w:sz w:val="23"/>
          <w:szCs w:val="23"/>
        </w:rPr>
        <w:t>Anxiety Stress and Coping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11</w:t>
      </w:r>
      <w:r w:rsidR="00DF05BD" w:rsidRPr="00F853DD">
        <w:rPr>
          <w:rFonts w:ascii="Times" w:hAnsi="Times" w:cs="Times New Roman"/>
          <w:sz w:val="23"/>
          <w:szCs w:val="23"/>
        </w:rPr>
        <w:t>, 247-272.</w:t>
      </w:r>
    </w:p>
    <w:p w14:paraId="1E4B7559" w14:textId="46CE673F" w:rsidR="00DF05BD" w:rsidRPr="00F853DD" w:rsidRDefault="00153CA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Montas, H.,</w:t>
      </w:r>
      <w:r w:rsidR="00DF05BD" w:rsidRPr="00F853DD">
        <w:rPr>
          <w:rFonts w:ascii="Times" w:hAnsi="Times" w:cs="Times New Roman"/>
          <w:sz w:val="23"/>
          <w:szCs w:val="23"/>
        </w:rPr>
        <w:t xml:space="preserve"> (2013). </w:t>
      </w:r>
      <w:r w:rsidR="00DF05BD" w:rsidRPr="00F853DD">
        <w:rPr>
          <w:rFonts w:ascii="Times" w:hAnsi="Times" w:cs="Times New Roman"/>
          <w:i/>
          <w:sz w:val="23"/>
          <w:szCs w:val="23"/>
        </w:rPr>
        <w:t xml:space="preserve">Synopsis of the English-Speaking Caribbean </w:t>
      </w:r>
      <w:r w:rsidRPr="00F853DD">
        <w:rPr>
          <w:rFonts w:ascii="Times" w:hAnsi="Times" w:cs="Times New Roman"/>
          <w:i/>
          <w:sz w:val="23"/>
          <w:szCs w:val="23"/>
        </w:rPr>
        <w:t>s</w:t>
      </w:r>
      <w:r w:rsidR="00DF05BD" w:rsidRPr="00F853DD">
        <w:rPr>
          <w:rFonts w:ascii="Times" w:hAnsi="Times" w:cs="Times New Roman"/>
          <w:i/>
          <w:sz w:val="23"/>
          <w:szCs w:val="23"/>
        </w:rPr>
        <w:t xml:space="preserve">ocial </w:t>
      </w:r>
      <w:r w:rsidRPr="00F853DD">
        <w:rPr>
          <w:rFonts w:ascii="Times" w:hAnsi="Times" w:cs="Times New Roman"/>
          <w:i/>
          <w:sz w:val="23"/>
          <w:szCs w:val="23"/>
        </w:rPr>
        <w:t>s</w:t>
      </w:r>
      <w:r w:rsidR="00DF05BD" w:rsidRPr="00F853DD">
        <w:rPr>
          <w:rFonts w:ascii="Times" w:hAnsi="Times" w:cs="Times New Roman"/>
          <w:i/>
          <w:sz w:val="23"/>
          <w:szCs w:val="23"/>
        </w:rPr>
        <w:t xml:space="preserve">ecurity </w:t>
      </w:r>
      <w:r w:rsidRPr="00F853DD">
        <w:rPr>
          <w:rFonts w:ascii="Times" w:hAnsi="Times" w:cs="Times New Roman"/>
          <w:i/>
          <w:sz w:val="23"/>
          <w:szCs w:val="23"/>
        </w:rPr>
        <w:t>s</w:t>
      </w:r>
      <w:r w:rsidR="00DF05BD" w:rsidRPr="00F853DD">
        <w:rPr>
          <w:rFonts w:ascii="Times" w:hAnsi="Times" w:cs="Times New Roman"/>
          <w:i/>
          <w:sz w:val="23"/>
          <w:szCs w:val="23"/>
        </w:rPr>
        <w:t>ystems</w:t>
      </w:r>
      <w:r w:rsidR="00DF05BD" w:rsidRPr="00F853DD">
        <w:rPr>
          <w:rFonts w:ascii="Times" w:hAnsi="Times" w:cs="Times New Roman"/>
          <w:sz w:val="23"/>
          <w:szCs w:val="23"/>
        </w:rPr>
        <w:t>. Inter-American Center for Social Security Studies (CIESS).</w:t>
      </w:r>
    </w:p>
    <w:p w14:paraId="4FE19692" w14:textId="19E284C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Monteverde, M., Noronha, K. and Palloni, A.</w:t>
      </w:r>
      <w:r w:rsidR="00153CAC" w:rsidRPr="00F853DD">
        <w:rPr>
          <w:rFonts w:ascii="Times" w:hAnsi="Times" w:cs="Times New Roman"/>
          <w:sz w:val="23"/>
          <w:szCs w:val="23"/>
        </w:rPr>
        <w:t>,</w:t>
      </w:r>
      <w:r w:rsidRPr="00F853DD">
        <w:rPr>
          <w:rFonts w:ascii="Times" w:hAnsi="Times" w:cs="Times New Roman"/>
          <w:sz w:val="23"/>
          <w:szCs w:val="23"/>
        </w:rPr>
        <w:t xml:space="preserve"> (2009). Effect of early conditions on disability among the elderly in Latin America and the Caribbean. </w:t>
      </w:r>
      <w:r w:rsidRPr="00F853DD">
        <w:rPr>
          <w:rFonts w:ascii="Times" w:hAnsi="Times" w:cs="Times New Roman"/>
          <w:i/>
          <w:sz w:val="23"/>
          <w:szCs w:val="23"/>
        </w:rPr>
        <w:t>Population Studies-a Journal of Demography</w:t>
      </w:r>
      <w:r w:rsidR="00153CAC" w:rsidRPr="00F853DD">
        <w:rPr>
          <w:rFonts w:ascii="Times" w:hAnsi="Times" w:cs="Times New Roman"/>
          <w:sz w:val="23"/>
          <w:szCs w:val="23"/>
        </w:rPr>
        <w:t xml:space="preserve">. </w:t>
      </w:r>
      <w:r w:rsidRPr="00F853DD">
        <w:rPr>
          <w:rFonts w:ascii="Times" w:hAnsi="Times" w:cs="Times New Roman"/>
          <w:b/>
          <w:sz w:val="23"/>
          <w:szCs w:val="23"/>
        </w:rPr>
        <w:t>63</w:t>
      </w:r>
      <w:r w:rsidRPr="00F853DD">
        <w:rPr>
          <w:rFonts w:ascii="Times" w:hAnsi="Times" w:cs="Times New Roman"/>
          <w:sz w:val="23"/>
          <w:szCs w:val="23"/>
        </w:rPr>
        <w:t>, 21-35.</w:t>
      </w:r>
    </w:p>
    <w:p w14:paraId="1C5A4492" w14:textId="3302E8C2" w:rsidR="00DF05BD" w:rsidRPr="00F853DD" w:rsidRDefault="00153CAC"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Montgomery, V., Rowe, M., Kosloski, K., Dulmus, N.</w:t>
      </w:r>
      <w:r w:rsidR="00DF05BD" w:rsidRPr="00F853DD">
        <w:rPr>
          <w:rFonts w:ascii="Times" w:hAnsi="Times" w:cs="Times New Roman"/>
          <w:sz w:val="23"/>
          <w:szCs w:val="23"/>
        </w:rPr>
        <w:t xml:space="preserve"> and Blackburn, J.</w:t>
      </w:r>
      <w:r w:rsidRPr="00F853DD">
        <w:rPr>
          <w:rFonts w:ascii="Times" w:hAnsi="Times" w:cs="Times New Roman"/>
          <w:sz w:val="23"/>
          <w:szCs w:val="23"/>
        </w:rPr>
        <w:t>,</w:t>
      </w:r>
      <w:r w:rsidR="00DF05BD" w:rsidRPr="00F853DD">
        <w:rPr>
          <w:rFonts w:ascii="Times" w:hAnsi="Times" w:cs="Times New Roman"/>
          <w:sz w:val="23"/>
          <w:szCs w:val="23"/>
        </w:rPr>
        <w:t xml:space="preserve"> (2007). Family caregiving. In: Blackburn, J. and Dulmus, C. (eds.) </w:t>
      </w:r>
      <w:r w:rsidR="00DF05BD" w:rsidRPr="00F853DD">
        <w:rPr>
          <w:rFonts w:ascii="Times" w:hAnsi="Times" w:cs="Times New Roman"/>
          <w:i/>
          <w:sz w:val="23"/>
          <w:szCs w:val="23"/>
        </w:rPr>
        <w:t>Handbook of gerontology: Evidence-based approaches to theory, practice, and policy</w:t>
      </w:r>
      <w:r w:rsidR="00DF05BD" w:rsidRPr="00F853DD">
        <w:rPr>
          <w:rFonts w:ascii="Times" w:hAnsi="Times" w:cs="Times New Roman"/>
          <w:sz w:val="23"/>
          <w:szCs w:val="23"/>
        </w:rPr>
        <w:t xml:space="preserve">. </w:t>
      </w:r>
      <w:r w:rsidR="00DF05BD" w:rsidRPr="00F853DD">
        <w:rPr>
          <w:rFonts w:ascii="Times" w:hAnsi="Times" w:cs="Times New Roman"/>
          <w:sz w:val="23"/>
          <w:szCs w:val="23"/>
          <w:lang w:val="en-TT"/>
        </w:rPr>
        <w:t>Indianapolis: John Wiley and Sons.</w:t>
      </w:r>
    </w:p>
    <w:p w14:paraId="4E054D3C" w14:textId="492FB8D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Montorio, I., Losada, A., Izal, M. and Marquez, O.</w:t>
      </w:r>
      <w:r w:rsidR="00153CAC" w:rsidRPr="00F853DD">
        <w:rPr>
          <w:rFonts w:ascii="Times" w:hAnsi="Times" w:cs="Times New Roman"/>
          <w:sz w:val="23"/>
          <w:szCs w:val="23"/>
          <w:lang w:val="en-TT"/>
        </w:rPr>
        <w:t>,</w:t>
      </w:r>
      <w:r w:rsidRPr="00F853DD">
        <w:rPr>
          <w:rFonts w:ascii="Times" w:hAnsi="Times" w:cs="Times New Roman"/>
          <w:sz w:val="23"/>
          <w:szCs w:val="23"/>
          <w:lang w:val="en-TT"/>
        </w:rPr>
        <w:t xml:space="preserve"> (2009). </w:t>
      </w:r>
      <w:r w:rsidRPr="00F853DD">
        <w:rPr>
          <w:rFonts w:ascii="Times" w:hAnsi="Times" w:cs="Times New Roman"/>
          <w:sz w:val="23"/>
          <w:szCs w:val="23"/>
        </w:rPr>
        <w:t xml:space="preserve">Dysfunctional thoughts about caregiving questionnaire: psychometric properties of a new measure. </w:t>
      </w:r>
      <w:r w:rsidRPr="00F853DD">
        <w:rPr>
          <w:rFonts w:ascii="Times" w:hAnsi="Times" w:cs="Times New Roman"/>
          <w:i/>
          <w:sz w:val="23"/>
          <w:szCs w:val="23"/>
        </w:rPr>
        <w:t>International Psychogeriatrics</w:t>
      </w:r>
      <w:r w:rsidR="00153CAC"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 913-921.</w:t>
      </w:r>
    </w:p>
    <w:p w14:paraId="3C70D97A" w14:textId="27D832E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Moon, M. (2017). The Unprepared Caregiver. </w:t>
      </w:r>
      <w:r w:rsidRPr="00F853DD">
        <w:rPr>
          <w:rFonts w:ascii="Times" w:hAnsi="Times" w:cs="Times New Roman"/>
          <w:i/>
          <w:sz w:val="23"/>
          <w:szCs w:val="23"/>
        </w:rPr>
        <w:t>The Gerontologist</w:t>
      </w:r>
      <w:r w:rsidR="00153CA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57</w:t>
      </w:r>
      <w:r w:rsidRPr="00F853DD">
        <w:rPr>
          <w:rFonts w:ascii="Times" w:hAnsi="Times" w:cs="Times New Roman"/>
          <w:sz w:val="23"/>
          <w:szCs w:val="23"/>
        </w:rPr>
        <w:t>, 26-31.</w:t>
      </w:r>
    </w:p>
    <w:p w14:paraId="5053FFA0" w14:textId="1A4077D3" w:rsidR="00DF05BD" w:rsidRPr="00F853DD" w:rsidRDefault="00241E0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Moor, N., De Graaf, P.</w:t>
      </w:r>
      <w:r w:rsidR="00DF05BD" w:rsidRPr="00F853DD">
        <w:rPr>
          <w:rFonts w:ascii="Times" w:hAnsi="Times" w:cs="Times New Roman"/>
          <w:sz w:val="23"/>
          <w:szCs w:val="23"/>
        </w:rPr>
        <w:t xml:space="preserve"> and Komter, A. (2013). Family, welfare state generosity and the vulnerability of older adults: A cross-national study. </w:t>
      </w:r>
      <w:r w:rsidR="00DF05BD" w:rsidRPr="00F853DD">
        <w:rPr>
          <w:rFonts w:ascii="Times" w:hAnsi="Times" w:cs="Times New Roman"/>
          <w:i/>
          <w:sz w:val="23"/>
          <w:szCs w:val="23"/>
        </w:rPr>
        <w:t>Journal of Aging Studies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347-357.</w:t>
      </w:r>
    </w:p>
    <w:p w14:paraId="418282F4" w14:textId="529423F5" w:rsidR="00DF05BD" w:rsidRPr="00F853DD" w:rsidRDefault="00241E0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Morgan, D.</w:t>
      </w:r>
      <w:r w:rsidR="00DF05BD" w:rsidRPr="00F853DD">
        <w:rPr>
          <w:rFonts w:ascii="Times" w:hAnsi="Times" w:cs="Times New Roman"/>
          <w:sz w:val="23"/>
          <w:szCs w:val="23"/>
        </w:rPr>
        <w:t>, Ataie, J., Carder, P. and Hoffman, K.</w:t>
      </w:r>
      <w:r w:rsidRPr="00F853DD">
        <w:rPr>
          <w:rFonts w:ascii="Times" w:hAnsi="Times" w:cs="Times New Roman"/>
          <w:sz w:val="23"/>
          <w:szCs w:val="23"/>
        </w:rPr>
        <w:t>,</w:t>
      </w:r>
      <w:r w:rsidR="00DF05BD" w:rsidRPr="00F853DD">
        <w:rPr>
          <w:rFonts w:ascii="Times" w:hAnsi="Times" w:cs="Times New Roman"/>
          <w:sz w:val="23"/>
          <w:szCs w:val="23"/>
        </w:rPr>
        <w:t xml:space="preserve"> (2013). Introducing dyadic interviews as a method for collecting qualitative data. </w:t>
      </w:r>
      <w:r w:rsidR="00DF05BD" w:rsidRPr="00F853DD">
        <w:rPr>
          <w:rFonts w:ascii="Times" w:hAnsi="Times" w:cs="Times New Roman"/>
          <w:i/>
          <w:sz w:val="23"/>
          <w:szCs w:val="23"/>
        </w:rPr>
        <w:t>Qualitative Health Research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23</w:t>
      </w:r>
      <w:r w:rsidR="00DF05BD" w:rsidRPr="00F853DD">
        <w:rPr>
          <w:rFonts w:ascii="Times" w:hAnsi="Times" w:cs="Times New Roman"/>
          <w:sz w:val="23"/>
          <w:szCs w:val="23"/>
        </w:rPr>
        <w:t>, 1276-1284.</w:t>
      </w:r>
    </w:p>
    <w:p w14:paraId="46E69EB6" w14:textId="5D9AC110" w:rsidR="00DF05BD" w:rsidRPr="00F853DD" w:rsidRDefault="00241E0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Morimoto, T., Schreiner, A.</w:t>
      </w:r>
      <w:r w:rsidR="00DF05BD" w:rsidRPr="00F853DD">
        <w:rPr>
          <w:rFonts w:ascii="Times" w:hAnsi="Times" w:cs="Times New Roman"/>
          <w:sz w:val="23"/>
          <w:szCs w:val="23"/>
        </w:rPr>
        <w:t xml:space="preserve"> and Asano, H.</w:t>
      </w:r>
      <w:r w:rsidRPr="00F853DD">
        <w:rPr>
          <w:rFonts w:ascii="Times" w:hAnsi="Times" w:cs="Times New Roman"/>
          <w:sz w:val="23"/>
          <w:szCs w:val="23"/>
        </w:rPr>
        <w:t>,</w:t>
      </w:r>
      <w:r w:rsidR="00DF05BD" w:rsidRPr="00F853DD">
        <w:rPr>
          <w:rFonts w:ascii="Times" w:hAnsi="Times" w:cs="Times New Roman"/>
          <w:sz w:val="23"/>
          <w:szCs w:val="23"/>
        </w:rPr>
        <w:t xml:space="preserve"> (2003). Caregiver burden and health</w:t>
      </w:r>
      <w:r w:rsidR="00DF05BD" w:rsidRPr="00F853DD">
        <w:rPr>
          <w:rFonts w:ascii="Cambria Math" w:hAnsi="Cambria Math" w:cs="Cambria Math"/>
          <w:sz w:val="23"/>
          <w:szCs w:val="23"/>
        </w:rPr>
        <w:t>‐</w:t>
      </w:r>
      <w:r w:rsidR="00DF05BD" w:rsidRPr="00F853DD">
        <w:rPr>
          <w:rFonts w:ascii="Times" w:hAnsi="Times" w:cs="Times New Roman"/>
          <w:sz w:val="23"/>
          <w:szCs w:val="23"/>
        </w:rPr>
        <w:t>related quality of life among Japanese stroke caregivers. </w:t>
      </w:r>
      <w:r w:rsidR="00DF05BD" w:rsidRPr="00F853DD">
        <w:rPr>
          <w:rFonts w:ascii="Times" w:hAnsi="Times" w:cs="Times New Roman"/>
          <w:i/>
          <w:sz w:val="23"/>
          <w:szCs w:val="23"/>
        </w:rPr>
        <w:t>Age and Ageing</w:t>
      </w:r>
      <w:r w:rsidRPr="00F853DD">
        <w:rPr>
          <w:rFonts w:ascii="Times" w:hAnsi="Times" w:cs="Times New Roman"/>
          <w:sz w:val="23"/>
          <w:szCs w:val="23"/>
        </w:rPr>
        <w:t>.</w:t>
      </w:r>
      <w:r w:rsidR="00DF05BD" w:rsidRPr="00F853DD">
        <w:rPr>
          <w:rFonts w:ascii="Times" w:hAnsi="Times" w:cs="Times New Roman"/>
          <w:sz w:val="23"/>
          <w:szCs w:val="23"/>
        </w:rPr>
        <w:t> </w:t>
      </w:r>
      <w:r w:rsidR="00DF05BD" w:rsidRPr="00F853DD">
        <w:rPr>
          <w:rFonts w:ascii="Times" w:hAnsi="Times" w:cs="Times New Roman"/>
          <w:b/>
          <w:sz w:val="23"/>
          <w:szCs w:val="23"/>
        </w:rPr>
        <w:t>32</w:t>
      </w:r>
      <w:r w:rsidR="00DF05BD" w:rsidRPr="00F853DD">
        <w:rPr>
          <w:rFonts w:ascii="Times" w:hAnsi="Times" w:cs="Times New Roman"/>
          <w:sz w:val="23"/>
          <w:szCs w:val="23"/>
        </w:rPr>
        <w:t>(2), 218-223.</w:t>
      </w:r>
    </w:p>
    <w:p w14:paraId="18637E51" w14:textId="60E85A7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Morris, C., James, K., Laws, H. and Eldemire-Shearer, D.</w:t>
      </w:r>
      <w:r w:rsidR="00241E0A" w:rsidRPr="00F853DD">
        <w:rPr>
          <w:rFonts w:ascii="Times" w:hAnsi="Times" w:cs="Times New Roman"/>
          <w:sz w:val="23"/>
          <w:szCs w:val="23"/>
        </w:rPr>
        <w:t>,</w:t>
      </w:r>
      <w:r w:rsidRPr="00F853DD">
        <w:rPr>
          <w:rFonts w:ascii="Times" w:hAnsi="Times" w:cs="Times New Roman"/>
          <w:sz w:val="23"/>
          <w:szCs w:val="23"/>
        </w:rPr>
        <w:t xml:space="preserve"> (2011). Health status and health-seeking behaviour of Jamaican men fifty-five years and over. </w:t>
      </w:r>
      <w:r w:rsidRPr="00F853DD">
        <w:rPr>
          <w:rFonts w:ascii="Times" w:hAnsi="Times" w:cs="Times New Roman"/>
          <w:i/>
          <w:sz w:val="23"/>
          <w:szCs w:val="23"/>
        </w:rPr>
        <w:t>West Indian Medical Journal</w:t>
      </w:r>
      <w:r w:rsidR="00241E0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60</w:t>
      </w:r>
      <w:r w:rsidRPr="00F853DD">
        <w:rPr>
          <w:rFonts w:ascii="Times" w:hAnsi="Times" w:cs="Times New Roman"/>
          <w:sz w:val="23"/>
          <w:szCs w:val="23"/>
        </w:rPr>
        <w:t>, 322-329.</w:t>
      </w:r>
    </w:p>
    <w:p w14:paraId="3BF1A6DE" w14:textId="49CB9AB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Morrissey, M.B.Q., Lang, M. and Newman, B.</w:t>
      </w:r>
      <w:r w:rsidR="00241E0A" w:rsidRPr="00F853DD">
        <w:rPr>
          <w:rFonts w:ascii="Times" w:hAnsi="Times" w:cs="Times New Roman"/>
          <w:sz w:val="23"/>
          <w:szCs w:val="23"/>
        </w:rPr>
        <w:t>,</w:t>
      </w:r>
      <w:r w:rsidRPr="00F853DD">
        <w:rPr>
          <w:rFonts w:ascii="Times" w:hAnsi="Times" w:cs="Times New Roman"/>
          <w:sz w:val="23"/>
          <w:szCs w:val="23"/>
        </w:rPr>
        <w:t xml:space="preserve"> (2019). Policy recommendations for more compassionate elder care: Systems reform, social justice, and sustainable social solidarity. In: </w:t>
      </w:r>
      <w:r w:rsidRPr="00F853DD">
        <w:rPr>
          <w:rFonts w:ascii="Times" w:hAnsi="Times" w:cs="Times New Roman"/>
          <w:i/>
          <w:sz w:val="23"/>
          <w:szCs w:val="23"/>
        </w:rPr>
        <w:t xml:space="preserve">A Public </w:t>
      </w:r>
      <w:r w:rsidR="00241E0A" w:rsidRPr="00F853DD">
        <w:rPr>
          <w:rFonts w:ascii="Times" w:hAnsi="Times" w:cs="Times New Roman"/>
          <w:i/>
          <w:sz w:val="23"/>
          <w:szCs w:val="23"/>
        </w:rPr>
        <w:t>h</w:t>
      </w:r>
      <w:r w:rsidRPr="00F853DD">
        <w:rPr>
          <w:rFonts w:ascii="Times" w:hAnsi="Times" w:cs="Times New Roman"/>
          <w:i/>
          <w:sz w:val="23"/>
          <w:szCs w:val="23"/>
        </w:rPr>
        <w:t xml:space="preserve">ealth </w:t>
      </w:r>
      <w:r w:rsidR="00241E0A" w:rsidRPr="00F853DD">
        <w:rPr>
          <w:rFonts w:ascii="Times" w:hAnsi="Times" w:cs="Times New Roman"/>
          <w:i/>
          <w:sz w:val="23"/>
          <w:szCs w:val="23"/>
        </w:rPr>
        <w:t>s</w:t>
      </w:r>
      <w:r w:rsidRPr="00F853DD">
        <w:rPr>
          <w:rFonts w:ascii="Times" w:hAnsi="Times" w:cs="Times New Roman"/>
          <w:i/>
          <w:sz w:val="23"/>
          <w:szCs w:val="23"/>
        </w:rPr>
        <w:t xml:space="preserve">trategy for </w:t>
      </w:r>
      <w:r w:rsidR="00241E0A" w:rsidRPr="00F853DD">
        <w:rPr>
          <w:rFonts w:ascii="Times" w:hAnsi="Times" w:cs="Times New Roman"/>
          <w:i/>
          <w:sz w:val="23"/>
          <w:szCs w:val="23"/>
        </w:rPr>
        <w:t>l</w:t>
      </w:r>
      <w:r w:rsidRPr="00F853DD">
        <w:rPr>
          <w:rFonts w:ascii="Times" w:hAnsi="Times" w:cs="Times New Roman"/>
          <w:i/>
          <w:sz w:val="23"/>
          <w:szCs w:val="23"/>
        </w:rPr>
        <w:t xml:space="preserve">iving, </w:t>
      </w:r>
      <w:r w:rsidR="00241E0A" w:rsidRPr="00F853DD">
        <w:rPr>
          <w:rFonts w:ascii="Times" w:hAnsi="Times" w:cs="Times New Roman"/>
          <w:i/>
          <w:sz w:val="23"/>
          <w:szCs w:val="23"/>
        </w:rPr>
        <w:t>a</w:t>
      </w:r>
      <w:r w:rsidRPr="00F853DD">
        <w:rPr>
          <w:rFonts w:ascii="Times" w:hAnsi="Times" w:cs="Times New Roman"/>
          <w:i/>
          <w:sz w:val="23"/>
          <w:szCs w:val="23"/>
        </w:rPr>
        <w:t xml:space="preserve">ging, and </w:t>
      </w:r>
      <w:r w:rsidR="00241E0A" w:rsidRPr="00F853DD">
        <w:rPr>
          <w:rFonts w:ascii="Times" w:hAnsi="Times" w:cs="Times New Roman"/>
          <w:i/>
          <w:sz w:val="23"/>
          <w:szCs w:val="23"/>
        </w:rPr>
        <w:t>d</w:t>
      </w:r>
      <w:r w:rsidRPr="00F853DD">
        <w:rPr>
          <w:rFonts w:ascii="Times" w:hAnsi="Times" w:cs="Times New Roman"/>
          <w:i/>
          <w:sz w:val="23"/>
          <w:szCs w:val="23"/>
        </w:rPr>
        <w:t xml:space="preserve">ying in </w:t>
      </w:r>
      <w:r w:rsidR="00241E0A" w:rsidRPr="00F853DD">
        <w:rPr>
          <w:rFonts w:ascii="Times" w:hAnsi="Times" w:cs="Times New Roman"/>
          <w:i/>
          <w:sz w:val="23"/>
          <w:szCs w:val="23"/>
        </w:rPr>
        <w:t>s</w:t>
      </w:r>
      <w:r w:rsidRPr="00F853DD">
        <w:rPr>
          <w:rFonts w:ascii="Times" w:hAnsi="Times" w:cs="Times New Roman"/>
          <w:i/>
          <w:sz w:val="23"/>
          <w:szCs w:val="23"/>
        </w:rPr>
        <w:t xml:space="preserve">olidarity: </w:t>
      </w:r>
      <w:r w:rsidR="00241E0A" w:rsidRPr="00F853DD">
        <w:rPr>
          <w:rFonts w:ascii="Times" w:hAnsi="Times" w:cs="Times New Roman"/>
          <w:i/>
          <w:sz w:val="23"/>
          <w:szCs w:val="23"/>
        </w:rPr>
        <w:t>d</w:t>
      </w:r>
      <w:r w:rsidRPr="00F853DD">
        <w:rPr>
          <w:rFonts w:ascii="Times" w:hAnsi="Times" w:cs="Times New Roman"/>
          <w:i/>
          <w:sz w:val="23"/>
          <w:szCs w:val="23"/>
        </w:rPr>
        <w:t xml:space="preserve">esigning </w:t>
      </w:r>
      <w:r w:rsidR="00241E0A" w:rsidRPr="00F853DD">
        <w:rPr>
          <w:rFonts w:ascii="Times" w:hAnsi="Times" w:cs="Times New Roman"/>
          <w:i/>
          <w:sz w:val="23"/>
          <w:szCs w:val="23"/>
        </w:rPr>
        <w:t>e</w:t>
      </w:r>
      <w:r w:rsidRPr="00F853DD">
        <w:rPr>
          <w:rFonts w:ascii="Times" w:hAnsi="Times" w:cs="Times New Roman"/>
          <w:i/>
          <w:sz w:val="23"/>
          <w:szCs w:val="23"/>
        </w:rPr>
        <w:t>lder-</w:t>
      </w:r>
      <w:r w:rsidR="00241E0A" w:rsidRPr="00F853DD">
        <w:rPr>
          <w:rFonts w:ascii="Times" w:hAnsi="Times" w:cs="Times New Roman"/>
          <w:i/>
          <w:sz w:val="23"/>
          <w:szCs w:val="23"/>
        </w:rPr>
        <w:t>c</w:t>
      </w:r>
      <w:r w:rsidRPr="00F853DD">
        <w:rPr>
          <w:rFonts w:ascii="Times" w:hAnsi="Times" w:cs="Times New Roman"/>
          <w:i/>
          <w:sz w:val="23"/>
          <w:szCs w:val="23"/>
        </w:rPr>
        <w:t xml:space="preserve">entered and </w:t>
      </w:r>
      <w:r w:rsidR="00241E0A" w:rsidRPr="00F853DD">
        <w:rPr>
          <w:rFonts w:ascii="Times" w:hAnsi="Times" w:cs="Times New Roman"/>
          <w:i/>
          <w:sz w:val="23"/>
          <w:szCs w:val="23"/>
        </w:rPr>
        <w:t>p</w:t>
      </w:r>
      <w:r w:rsidRPr="00F853DD">
        <w:rPr>
          <w:rFonts w:ascii="Times" w:hAnsi="Times" w:cs="Times New Roman"/>
          <w:i/>
          <w:sz w:val="23"/>
          <w:szCs w:val="23"/>
        </w:rPr>
        <w:t xml:space="preserve">alliative </w:t>
      </w:r>
      <w:r w:rsidR="00241E0A" w:rsidRPr="00F853DD">
        <w:rPr>
          <w:rFonts w:ascii="Times" w:hAnsi="Times" w:cs="Times New Roman"/>
          <w:i/>
          <w:sz w:val="23"/>
          <w:szCs w:val="23"/>
        </w:rPr>
        <w:t>s</w:t>
      </w:r>
      <w:r w:rsidRPr="00F853DD">
        <w:rPr>
          <w:rFonts w:ascii="Times" w:hAnsi="Times" w:cs="Times New Roman"/>
          <w:i/>
          <w:sz w:val="23"/>
          <w:szCs w:val="23"/>
        </w:rPr>
        <w:t xml:space="preserve">ystems of </w:t>
      </w:r>
      <w:r w:rsidR="00241E0A" w:rsidRPr="00F853DD">
        <w:rPr>
          <w:rFonts w:ascii="Times" w:hAnsi="Times" w:cs="Times New Roman"/>
          <w:i/>
          <w:sz w:val="23"/>
          <w:szCs w:val="23"/>
        </w:rPr>
        <w:t>c</w:t>
      </w:r>
      <w:r w:rsidRPr="00F853DD">
        <w:rPr>
          <w:rFonts w:ascii="Times" w:hAnsi="Times" w:cs="Times New Roman"/>
          <w:i/>
          <w:sz w:val="23"/>
          <w:szCs w:val="23"/>
        </w:rPr>
        <w:t xml:space="preserve">are, </w:t>
      </w:r>
      <w:r w:rsidR="00241E0A" w:rsidRPr="00F853DD">
        <w:rPr>
          <w:rFonts w:ascii="Times" w:hAnsi="Times" w:cs="Times New Roman"/>
          <w:i/>
          <w:sz w:val="23"/>
          <w:szCs w:val="23"/>
        </w:rPr>
        <w:t>e</w:t>
      </w:r>
      <w:r w:rsidRPr="00F853DD">
        <w:rPr>
          <w:rFonts w:ascii="Times" w:hAnsi="Times" w:cs="Times New Roman"/>
          <w:i/>
          <w:sz w:val="23"/>
          <w:szCs w:val="23"/>
        </w:rPr>
        <w:t xml:space="preserve">nvironments, </w:t>
      </w:r>
      <w:r w:rsidR="00241E0A" w:rsidRPr="00F853DD">
        <w:rPr>
          <w:rFonts w:ascii="Times" w:hAnsi="Times" w:cs="Times New Roman"/>
          <w:i/>
          <w:sz w:val="23"/>
          <w:szCs w:val="23"/>
        </w:rPr>
        <w:t>s</w:t>
      </w:r>
      <w:r w:rsidRPr="00F853DD">
        <w:rPr>
          <w:rFonts w:ascii="Times" w:hAnsi="Times" w:cs="Times New Roman"/>
          <w:i/>
          <w:sz w:val="23"/>
          <w:szCs w:val="23"/>
        </w:rPr>
        <w:t xml:space="preserve">ervices, and </w:t>
      </w:r>
      <w:r w:rsidR="00241E0A" w:rsidRPr="00F853DD">
        <w:rPr>
          <w:rFonts w:ascii="Times" w:hAnsi="Times" w:cs="Times New Roman"/>
          <w:i/>
          <w:sz w:val="23"/>
          <w:szCs w:val="23"/>
        </w:rPr>
        <w:t>s</w:t>
      </w:r>
      <w:r w:rsidRPr="00F853DD">
        <w:rPr>
          <w:rFonts w:ascii="Times" w:hAnsi="Times" w:cs="Times New Roman"/>
          <w:i/>
          <w:sz w:val="23"/>
          <w:szCs w:val="23"/>
        </w:rPr>
        <w:t>upports</w:t>
      </w:r>
      <w:r w:rsidR="00241E0A" w:rsidRPr="00F853DD">
        <w:rPr>
          <w:rFonts w:ascii="Times" w:hAnsi="Times" w:cs="Times New Roman"/>
          <w:sz w:val="23"/>
          <w:szCs w:val="23"/>
        </w:rPr>
        <w:t>.</w:t>
      </w:r>
      <w:r w:rsidRPr="00F853DD">
        <w:rPr>
          <w:rFonts w:ascii="Times" w:hAnsi="Times" w:cs="Times New Roman"/>
          <w:sz w:val="23"/>
          <w:szCs w:val="23"/>
        </w:rPr>
        <w:t xml:space="preserve"> 223-226. Routledge.</w:t>
      </w:r>
    </w:p>
    <w:p w14:paraId="409B6A64" w14:textId="1202F62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Mortazavi, H., Peyrovi, H. and Joolaee, S.</w:t>
      </w:r>
      <w:r w:rsidR="00241E0A" w:rsidRPr="00F853DD">
        <w:rPr>
          <w:rFonts w:ascii="Times" w:hAnsi="Times" w:cs="Times New Roman"/>
          <w:sz w:val="23"/>
          <w:szCs w:val="23"/>
        </w:rPr>
        <w:t>,</w:t>
      </w:r>
      <w:r w:rsidRPr="00F853DD">
        <w:rPr>
          <w:rFonts w:ascii="Times" w:hAnsi="Times" w:cs="Times New Roman"/>
          <w:sz w:val="23"/>
          <w:szCs w:val="23"/>
        </w:rPr>
        <w:t xml:space="preserve"> (2015). </w:t>
      </w:r>
      <w:r w:rsidR="00241E0A" w:rsidRPr="00F853DD">
        <w:rPr>
          <w:rFonts w:ascii="Times" w:hAnsi="Times" w:cs="Times New Roman"/>
          <w:sz w:val="23"/>
          <w:szCs w:val="23"/>
        </w:rPr>
        <w:t>H</w:t>
      </w:r>
      <w:r w:rsidRPr="00F853DD">
        <w:rPr>
          <w:rFonts w:ascii="Times" w:hAnsi="Times" w:cs="Times New Roman"/>
          <w:sz w:val="23"/>
          <w:szCs w:val="23"/>
        </w:rPr>
        <w:t xml:space="preserve">ow do family caregivers of older people give up caregiving? </w:t>
      </w:r>
      <w:r w:rsidRPr="00F853DD">
        <w:rPr>
          <w:rFonts w:ascii="Times" w:hAnsi="Times" w:cs="Times New Roman"/>
          <w:i/>
          <w:sz w:val="23"/>
          <w:szCs w:val="23"/>
        </w:rPr>
        <w:t>International Journal of Community Based Nursing and Midwifery</w:t>
      </w:r>
      <w:r w:rsidR="00241E0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w:t>
      </w:r>
      <w:r w:rsidRPr="00F853DD">
        <w:rPr>
          <w:rFonts w:ascii="Times" w:hAnsi="Times" w:cs="Times New Roman"/>
          <w:sz w:val="23"/>
          <w:szCs w:val="23"/>
        </w:rPr>
        <w:t>, 187-197.</w:t>
      </w:r>
    </w:p>
    <w:p w14:paraId="254D4CB4" w14:textId="36F79D0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Moses, Y.</w:t>
      </w:r>
      <w:r w:rsidR="00241E0A" w:rsidRPr="00F853DD">
        <w:rPr>
          <w:rFonts w:ascii="Times" w:hAnsi="Times" w:cs="Times New Roman"/>
          <w:sz w:val="23"/>
          <w:szCs w:val="23"/>
        </w:rPr>
        <w:t>,</w:t>
      </w:r>
      <w:r w:rsidRPr="00F853DD">
        <w:rPr>
          <w:rFonts w:ascii="Times" w:hAnsi="Times" w:cs="Times New Roman"/>
          <w:sz w:val="23"/>
          <w:szCs w:val="23"/>
        </w:rPr>
        <w:t xml:space="preserve"> (2001). Female status, the family and male dominance in the West Indian community. In: Barrow, C. and Reddock, R. (eds.) </w:t>
      </w:r>
      <w:r w:rsidRPr="00F853DD">
        <w:rPr>
          <w:rFonts w:ascii="Times" w:hAnsi="Times" w:cs="Times New Roman"/>
          <w:i/>
          <w:sz w:val="23"/>
          <w:szCs w:val="23"/>
        </w:rPr>
        <w:t xml:space="preserve">Caribbean </w:t>
      </w:r>
      <w:r w:rsidR="00241E0A" w:rsidRPr="00F853DD">
        <w:rPr>
          <w:rFonts w:ascii="Times" w:hAnsi="Times" w:cs="Times New Roman"/>
          <w:i/>
          <w:sz w:val="23"/>
          <w:szCs w:val="23"/>
        </w:rPr>
        <w:t>s</w:t>
      </w:r>
      <w:r w:rsidRPr="00F853DD">
        <w:rPr>
          <w:rFonts w:ascii="Times" w:hAnsi="Times" w:cs="Times New Roman"/>
          <w:i/>
          <w:sz w:val="23"/>
          <w:szCs w:val="23"/>
        </w:rPr>
        <w:t xml:space="preserve">ociology: </w:t>
      </w:r>
      <w:r w:rsidR="00241E0A" w:rsidRPr="00F853DD">
        <w:rPr>
          <w:rFonts w:ascii="Times" w:hAnsi="Times" w:cs="Times New Roman"/>
          <w:i/>
          <w:sz w:val="23"/>
          <w:szCs w:val="23"/>
        </w:rPr>
        <w:t>i</w:t>
      </w:r>
      <w:r w:rsidRPr="00F853DD">
        <w:rPr>
          <w:rFonts w:ascii="Times" w:hAnsi="Times" w:cs="Times New Roman"/>
          <w:i/>
          <w:sz w:val="23"/>
          <w:szCs w:val="23"/>
        </w:rPr>
        <w:t xml:space="preserve">ntroductory </w:t>
      </w:r>
      <w:r w:rsidR="00241E0A" w:rsidRPr="00F853DD">
        <w:rPr>
          <w:rFonts w:ascii="Times" w:hAnsi="Times" w:cs="Times New Roman"/>
          <w:i/>
          <w:sz w:val="23"/>
          <w:szCs w:val="23"/>
        </w:rPr>
        <w:t>r</w:t>
      </w:r>
      <w:r w:rsidRPr="00F853DD">
        <w:rPr>
          <w:rFonts w:ascii="Times" w:hAnsi="Times" w:cs="Times New Roman"/>
          <w:i/>
          <w:sz w:val="23"/>
          <w:szCs w:val="23"/>
        </w:rPr>
        <w:t>eadings</w:t>
      </w:r>
      <w:r w:rsidRPr="00F853DD">
        <w:rPr>
          <w:rFonts w:ascii="Times" w:hAnsi="Times" w:cs="Times New Roman"/>
          <w:sz w:val="23"/>
          <w:szCs w:val="23"/>
        </w:rPr>
        <w:t>. UK, USA: James Currey Publishers; Markus Wiener Publishers.</w:t>
      </w:r>
    </w:p>
    <w:p w14:paraId="21846F15" w14:textId="1C35DEB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Moshabela, M., Sips, I. and Barten, F.</w:t>
      </w:r>
      <w:r w:rsidR="00241E0A" w:rsidRPr="00F853DD">
        <w:rPr>
          <w:rFonts w:ascii="Times" w:hAnsi="Times" w:cs="Times New Roman"/>
          <w:sz w:val="23"/>
          <w:szCs w:val="23"/>
        </w:rPr>
        <w:t>,</w:t>
      </w:r>
      <w:r w:rsidRPr="00F853DD">
        <w:rPr>
          <w:rFonts w:ascii="Times" w:hAnsi="Times" w:cs="Times New Roman"/>
          <w:sz w:val="23"/>
          <w:szCs w:val="23"/>
        </w:rPr>
        <w:t xml:space="preserve"> (2015). Needs assessment for home-based care and the strengthening of social support networks: the role of community care workers in rural South Africa. </w:t>
      </w:r>
      <w:r w:rsidRPr="00F853DD">
        <w:rPr>
          <w:rFonts w:ascii="Times" w:hAnsi="Times" w:cs="Times New Roman"/>
          <w:i/>
          <w:sz w:val="23"/>
          <w:szCs w:val="23"/>
        </w:rPr>
        <w:t>Global Health Action</w:t>
      </w:r>
      <w:r w:rsidR="00241E0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8</w:t>
      </w:r>
      <w:r w:rsidRPr="00F853DD">
        <w:rPr>
          <w:rFonts w:ascii="Times" w:hAnsi="Times" w:cs="Times New Roman"/>
          <w:sz w:val="23"/>
          <w:szCs w:val="23"/>
        </w:rPr>
        <w:t>, 10.</w:t>
      </w:r>
    </w:p>
    <w:p w14:paraId="70A63C5D" w14:textId="65F639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Mosquera, I., Vergara, I., Larranaga, I., Machón, M., Del Rio, M. and Calderon, C.</w:t>
      </w:r>
      <w:r w:rsidR="00880C22" w:rsidRPr="00F853DD">
        <w:rPr>
          <w:rFonts w:ascii="Times" w:hAnsi="Times" w:cs="Times New Roman"/>
          <w:sz w:val="23"/>
          <w:szCs w:val="23"/>
        </w:rPr>
        <w:t>,</w:t>
      </w:r>
      <w:r w:rsidRPr="00F853DD">
        <w:rPr>
          <w:rFonts w:ascii="Times" w:hAnsi="Times" w:cs="Times New Roman"/>
          <w:sz w:val="23"/>
          <w:szCs w:val="23"/>
        </w:rPr>
        <w:t xml:space="preserve"> (2016). Measuring the impact of informal elderly caregiving: a systematic review of tools. </w:t>
      </w:r>
      <w:r w:rsidRPr="00F853DD">
        <w:rPr>
          <w:rFonts w:ascii="Times" w:hAnsi="Times" w:cs="Times New Roman"/>
          <w:i/>
          <w:sz w:val="23"/>
          <w:szCs w:val="23"/>
        </w:rPr>
        <w:t>Quality of Life Research</w:t>
      </w:r>
      <w:r w:rsidR="00880C2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1059-1092.</w:t>
      </w:r>
    </w:p>
    <w:p w14:paraId="34669D6B" w14:textId="6EA250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Moyle, W., Taylor, T., Creese, J., Zimmer-Gembeck, M. and O’Dwyer, S.</w:t>
      </w:r>
      <w:r w:rsidR="00880C22" w:rsidRPr="00F853DD">
        <w:rPr>
          <w:rFonts w:ascii="Times" w:hAnsi="Times" w:cs="Times New Roman"/>
          <w:sz w:val="23"/>
          <w:szCs w:val="23"/>
        </w:rPr>
        <w:t>,</w:t>
      </w:r>
      <w:r w:rsidRPr="00F853DD">
        <w:rPr>
          <w:rFonts w:ascii="Times" w:hAnsi="Times" w:cs="Times New Roman"/>
          <w:sz w:val="23"/>
          <w:szCs w:val="23"/>
        </w:rPr>
        <w:t xml:space="preserve"> (2017). In their own words: how family carers of people with dementia understand resilience. </w:t>
      </w:r>
      <w:r w:rsidRPr="00F853DD">
        <w:rPr>
          <w:rFonts w:ascii="Times" w:hAnsi="Times" w:cs="Times New Roman"/>
          <w:i/>
          <w:sz w:val="23"/>
          <w:szCs w:val="23"/>
        </w:rPr>
        <w:t>Behavioral Sciences</w:t>
      </w:r>
      <w:r w:rsidR="00880C2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Pr="00F853DD">
        <w:rPr>
          <w:rFonts w:ascii="Times" w:hAnsi="Times" w:cs="Times New Roman"/>
          <w:sz w:val="23"/>
          <w:szCs w:val="23"/>
        </w:rPr>
        <w:t>, 57.</w:t>
      </w:r>
    </w:p>
    <w:p w14:paraId="5FB1DF6C" w14:textId="64035BD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MSU</w:t>
      </w:r>
      <w:r w:rsidR="00880C22"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Trinidad and Tobago: Trade Statistics. Michigan</w:t>
      </w:r>
      <w:r w:rsidRPr="00F853DD">
        <w:rPr>
          <w:rFonts w:ascii="Times" w:hAnsi="Times" w:cs="Times New Roman"/>
          <w:sz w:val="23"/>
          <w:szCs w:val="23"/>
        </w:rPr>
        <w:t xml:space="preserve"> State University.</w:t>
      </w:r>
    </w:p>
    <w:p w14:paraId="45D50C00" w14:textId="784C4A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Mthembu, T., Brown, Z., Cupido, A., Razack, G. and Wassung, D.</w:t>
      </w:r>
      <w:r w:rsidR="00880C22" w:rsidRPr="00F853DD">
        <w:rPr>
          <w:rFonts w:ascii="Times" w:hAnsi="Times" w:cs="Times New Roman"/>
          <w:sz w:val="23"/>
          <w:szCs w:val="23"/>
        </w:rPr>
        <w:t>, (2016). Family caregivers’</w:t>
      </w:r>
      <w:r w:rsidRPr="00F853DD">
        <w:rPr>
          <w:rFonts w:ascii="Times" w:hAnsi="Times" w:cs="Times New Roman"/>
          <w:sz w:val="23"/>
          <w:szCs w:val="23"/>
        </w:rPr>
        <w:t xml:space="preserve"> perceptions and experiences regarding caring for older adults with chronic diseases. </w:t>
      </w:r>
      <w:r w:rsidRPr="00F853DD">
        <w:rPr>
          <w:rFonts w:ascii="Times" w:hAnsi="Times" w:cs="Times New Roman"/>
          <w:i/>
          <w:sz w:val="23"/>
          <w:szCs w:val="23"/>
        </w:rPr>
        <w:t>South African Journal of Occupational Therapy</w:t>
      </w:r>
      <w:r w:rsidR="00880C22"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46</w:t>
      </w:r>
      <w:r w:rsidRPr="00F853DD">
        <w:rPr>
          <w:rFonts w:ascii="Times" w:hAnsi="Times" w:cs="Times New Roman"/>
          <w:sz w:val="23"/>
          <w:szCs w:val="23"/>
        </w:rPr>
        <w:t xml:space="preserve">. Available from: http://www.scielo.org.za/scielo.php?script=sci_arttextandpid=S2310-38332016000100015. </w:t>
      </w:r>
    </w:p>
    <w:p w14:paraId="193A26B5" w14:textId="21DB28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Muiser, J. and Carrin, G.</w:t>
      </w:r>
      <w:r w:rsidR="00880C22" w:rsidRPr="00F853DD">
        <w:rPr>
          <w:rFonts w:ascii="Times" w:hAnsi="Times" w:cs="Times New Roman"/>
          <w:sz w:val="23"/>
          <w:szCs w:val="23"/>
        </w:rPr>
        <w:t>,</w:t>
      </w:r>
      <w:r w:rsidRPr="00F853DD">
        <w:rPr>
          <w:rFonts w:ascii="Times" w:hAnsi="Times" w:cs="Times New Roman"/>
          <w:sz w:val="23"/>
          <w:szCs w:val="23"/>
        </w:rPr>
        <w:t xml:space="preserve"> (2007). </w:t>
      </w:r>
      <w:r w:rsidRPr="00F853DD">
        <w:rPr>
          <w:rFonts w:ascii="Times" w:hAnsi="Times" w:cs="Times New Roman"/>
          <w:i/>
          <w:sz w:val="23"/>
          <w:szCs w:val="23"/>
        </w:rPr>
        <w:t>Financing long-term care programmes in health systems, with a situation assessment in selected high-, middle-and low-income countries</w:t>
      </w:r>
      <w:r w:rsidRPr="00F853DD">
        <w:rPr>
          <w:rFonts w:ascii="Times" w:hAnsi="Times" w:cs="Times New Roman"/>
          <w:sz w:val="23"/>
          <w:szCs w:val="23"/>
        </w:rPr>
        <w:t>. WHO Discussion Paper No. 6 [online]. Geneva: World Health Organization. [Viewed 17 November 2019]. Available from: https://apps.who.int/iris/bitstream/handle/10665/85676/HSS_HSF_DP.07.6_eng.pdf.</w:t>
      </w:r>
    </w:p>
    <w:p w14:paraId="66EBA4E6" w14:textId="3BA48DE1" w:rsidR="00DF05BD" w:rsidRPr="00F853DD" w:rsidRDefault="00880C2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Mullen, P. and Hill, E</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(1990). Family stress theory: a perspective on pastoral care. </w:t>
      </w:r>
      <w:r w:rsidR="00DF05BD" w:rsidRPr="00F853DD">
        <w:rPr>
          <w:rFonts w:ascii="Times" w:hAnsi="Times" w:cs="Times New Roman"/>
          <w:i/>
          <w:sz w:val="23"/>
          <w:szCs w:val="23"/>
        </w:rPr>
        <w:t>Journal of Religion and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29</w:t>
      </w:r>
      <w:r w:rsidR="00DF05BD" w:rsidRPr="00F853DD">
        <w:rPr>
          <w:rFonts w:ascii="Times" w:hAnsi="Times" w:cs="Times New Roman"/>
          <w:sz w:val="23"/>
          <w:szCs w:val="23"/>
        </w:rPr>
        <w:t>, 29-39.</w:t>
      </w:r>
    </w:p>
    <w:p w14:paraId="7921FFC4" w14:textId="208FF67B" w:rsidR="00DF05BD" w:rsidRPr="00F853DD" w:rsidRDefault="00880C2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Mullins, L. </w:t>
      </w:r>
      <w:r w:rsidR="00DF05BD" w:rsidRPr="00F853DD">
        <w:rPr>
          <w:rFonts w:ascii="Times" w:hAnsi="Times" w:cs="Times New Roman"/>
          <w:sz w:val="23"/>
          <w:szCs w:val="23"/>
        </w:rPr>
        <w:t>and Mushel, M.</w:t>
      </w:r>
      <w:r w:rsidRPr="00F853DD">
        <w:rPr>
          <w:rFonts w:ascii="Times" w:hAnsi="Times" w:cs="Times New Roman"/>
          <w:sz w:val="23"/>
          <w:szCs w:val="23"/>
        </w:rPr>
        <w:t>,</w:t>
      </w:r>
      <w:r w:rsidR="00DF05BD" w:rsidRPr="00F853DD">
        <w:rPr>
          <w:rFonts w:ascii="Times" w:hAnsi="Times" w:cs="Times New Roman"/>
          <w:sz w:val="23"/>
          <w:szCs w:val="23"/>
        </w:rPr>
        <w:t xml:space="preserve"> (1992). The existence and emotional closeness of relationships with children, friends, and spouses: The effect of loneliness on older persons. </w:t>
      </w:r>
      <w:r w:rsidR="00DF05BD" w:rsidRPr="00F853DD">
        <w:rPr>
          <w:rFonts w:ascii="Times" w:hAnsi="Times" w:cs="Times New Roman"/>
          <w:i/>
          <w:sz w:val="23"/>
          <w:szCs w:val="23"/>
        </w:rPr>
        <w:t>Research on Aging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14</w:t>
      </w:r>
      <w:r w:rsidR="00DF05BD" w:rsidRPr="00F853DD">
        <w:rPr>
          <w:rFonts w:ascii="Times" w:hAnsi="Times" w:cs="Times New Roman"/>
          <w:sz w:val="23"/>
          <w:szCs w:val="23"/>
        </w:rPr>
        <w:t>, 448-470.</w:t>
      </w:r>
    </w:p>
    <w:p w14:paraId="285DF7D8" w14:textId="4DEF948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Murdoch, I., Turpin, S., Johnston, B., Maclullich, A. and Losman, E.</w:t>
      </w:r>
      <w:r w:rsidR="00880C22"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sz w:val="23"/>
          <w:szCs w:val="23"/>
        </w:rPr>
        <w:t>Vulnerable adults and elder abuse</w:t>
      </w:r>
      <w:r w:rsidRPr="00F853DD">
        <w:rPr>
          <w:rFonts w:ascii="Times" w:hAnsi="Times" w:cs="Times New Roman"/>
          <w:sz w:val="23"/>
          <w:szCs w:val="23"/>
        </w:rPr>
        <w:t>. Geriatric Emergencies. Chichester: John Wiley and Sons Ltd.</w:t>
      </w:r>
    </w:p>
    <w:p w14:paraId="37F9D3B0" w14:textId="768D9BAD" w:rsidR="00DF05BD" w:rsidRPr="00F853DD" w:rsidRDefault="00E13E0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Murray, C., Knaul, F., Ke, X., Musgrove, P. </w:t>
      </w:r>
      <w:r w:rsidR="00DF05BD" w:rsidRPr="00F853DD">
        <w:rPr>
          <w:rFonts w:ascii="Times" w:hAnsi="Times" w:cs="Times New Roman"/>
          <w:sz w:val="23"/>
          <w:szCs w:val="23"/>
        </w:rPr>
        <w:t xml:space="preserve"> and </w:t>
      </w:r>
      <w:r w:rsidRPr="00F853DD">
        <w:rPr>
          <w:rFonts w:ascii="Times" w:hAnsi="Times" w:cs="Times New Roman"/>
          <w:sz w:val="23"/>
          <w:szCs w:val="23"/>
        </w:rPr>
        <w:t>Kawabata</w:t>
      </w:r>
      <w:r w:rsidR="00DF05BD" w:rsidRPr="00F853DD">
        <w:rPr>
          <w:rFonts w:ascii="Times" w:hAnsi="Times" w:cs="Times New Roman"/>
          <w:sz w:val="23"/>
          <w:szCs w:val="23"/>
        </w:rPr>
        <w:t>, K.</w:t>
      </w:r>
      <w:r w:rsidRPr="00F853DD">
        <w:rPr>
          <w:rFonts w:ascii="Times" w:hAnsi="Times" w:cs="Times New Roman"/>
          <w:sz w:val="23"/>
          <w:szCs w:val="23"/>
        </w:rPr>
        <w:t>,</w:t>
      </w:r>
      <w:r w:rsidR="00DF05BD" w:rsidRPr="00F853DD">
        <w:rPr>
          <w:rFonts w:ascii="Times" w:hAnsi="Times" w:cs="Times New Roman"/>
          <w:sz w:val="23"/>
          <w:szCs w:val="23"/>
        </w:rPr>
        <w:t xml:space="preserve"> (2000). </w:t>
      </w:r>
      <w:r w:rsidR="00DF05BD" w:rsidRPr="00F853DD">
        <w:rPr>
          <w:rFonts w:ascii="Times" w:hAnsi="Times" w:cs="Times New Roman"/>
          <w:i/>
          <w:sz w:val="23"/>
          <w:szCs w:val="23"/>
        </w:rPr>
        <w:t>Defining and measuring fairness of financial contribution to the health system</w:t>
      </w:r>
      <w:r w:rsidR="00DF05BD" w:rsidRPr="00F853DD">
        <w:rPr>
          <w:rFonts w:ascii="Times" w:hAnsi="Times" w:cs="Times New Roman"/>
          <w:sz w:val="23"/>
          <w:szCs w:val="23"/>
        </w:rPr>
        <w:t>. Geneva: World Health Organization.</w:t>
      </w:r>
      <w:r w:rsidRPr="00F853DD">
        <w:rPr>
          <w:rFonts w:ascii="Times" w:hAnsi="Times" w:cs="Times New Roman"/>
          <w:sz w:val="23"/>
          <w:szCs w:val="23"/>
        </w:rPr>
        <w:t xml:space="preserve"> GPE Discussion Paper Series, (24) [online]. </w:t>
      </w:r>
      <w:r w:rsidRPr="00F853DD">
        <w:rPr>
          <w:rFonts w:ascii="Times" w:eastAsiaTheme="minorHAnsi" w:hAnsi="Times" w:cs="Times"/>
          <w:sz w:val="23"/>
          <w:szCs w:val="23"/>
          <w:lang w:eastAsia="en-US"/>
        </w:rPr>
        <w:t>[Viewed 5 August 2017]. Available from: https://apps.who.int/iris/bitstream/handle/10665/68706/a84047.pdf</w:t>
      </w:r>
    </w:p>
    <w:p w14:paraId="063AE5F3" w14:textId="615D9E05" w:rsidR="00DF05BD" w:rsidRPr="00F853DD" w:rsidRDefault="00880C2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Mynatt, E.</w:t>
      </w:r>
      <w:r w:rsidR="00DF05BD" w:rsidRPr="00F853DD">
        <w:rPr>
          <w:rFonts w:ascii="Times" w:hAnsi="Times" w:cs="Times New Roman"/>
          <w:sz w:val="23"/>
          <w:szCs w:val="23"/>
        </w:rPr>
        <w:t>, Essa, I. and Rogers, W. (2000). Increasing the opportunities for aging in place. In:</w:t>
      </w:r>
      <w:r w:rsidR="00DF05BD" w:rsidRPr="00F853DD">
        <w:rPr>
          <w:rFonts w:ascii="Times" w:hAnsi="Times" w:cs="Times New Roman"/>
          <w:i/>
          <w:sz w:val="23"/>
          <w:szCs w:val="23"/>
        </w:rPr>
        <w:t> Proceedings on the 2000 conference on Universal Usability</w:t>
      </w:r>
      <w:r w:rsidRPr="00F853DD">
        <w:rPr>
          <w:rFonts w:ascii="Times" w:hAnsi="Times" w:cs="Times New Roman"/>
          <w:sz w:val="23"/>
          <w:szCs w:val="23"/>
        </w:rPr>
        <w:t>.</w:t>
      </w:r>
      <w:r w:rsidR="00DF05BD" w:rsidRPr="00F853DD">
        <w:rPr>
          <w:rFonts w:ascii="Times" w:hAnsi="Times" w:cs="Times New Roman"/>
          <w:sz w:val="23"/>
          <w:szCs w:val="23"/>
        </w:rPr>
        <w:t xml:space="preserve"> 65-71. ACM. </w:t>
      </w:r>
    </w:p>
    <w:p w14:paraId="1C945B0B" w14:textId="1B337371" w:rsidR="00DF05BD" w:rsidRPr="00F853DD" w:rsidRDefault="00880C2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Mysyuk, Y., Westendorp, R.</w:t>
      </w:r>
      <w:r w:rsidR="00DF05BD" w:rsidRPr="00F853DD">
        <w:rPr>
          <w:rFonts w:ascii="Times" w:hAnsi="Times" w:cs="Times New Roman"/>
          <w:sz w:val="23"/>
          <w:szCs w:val="23"/>
        </w:rPr>
        <w:t xml:space="preserve"> and Lindenberg, J. (2016). How older persons explain why they became victims of abuse. </w:t>
      </w:r>
      <w:r w:rsidR="00DF05BD" w:rsidRPr="00F853DD">
        <w:rPr>
          <w:rFonts w:ascii="Times" w:hAnsi="Times" w:cs="Times New Roman"/>
          <w:i/>
          <w:sz w:val="23"/>
          <w:szCs w:val="23"/>
        </w:rPr>
        <w:t>Age and Ageing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45</w:t>
      </w:r>
      <w:r w:rsidR="00DF05BD" w:rsidRPr="00F853DD">
        <w:rPr>
          <w:rFonts w:ascii="Times" w:hAnsi="Times" w:cs="Times New Roman"/>
          <w:sz w:val="23"/>
          <w:szCs w:val="23"/>
        </w:rPr>
        <w:t>, 695-702.</w:t>
      </w:r>
    </w:p>
    <w:p w14:paraId="02757E94" w14:textId="2F18BC2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Naef, R., Hediger, H., Imhof, L. and Mahrer</w:t>
      </w:r>
      <w:r w:rsidRPr="00F853DD">
        <w:rPr>
          <w:rFonts w:ascii="Cambria Math" w:hAnsi="Cambria Math" w:cs="Cambria Math"/>
          <w:sz w:val="23"/>
          <w:szCs w:val="23"/>
        </w:rPr>
        <w:t>‐</w:t>
      </w:r>
      <w:r w:rsidRPr="00F853DD">
        <w:rPr>
          <w:rFonts w:ascii="Times" w:hAnsi="Times" w:cs="Times New Roman"/>
          <w:sz w:val="23"/>
          <w:szCs w:val="23"/>
        </w:rPr>
        <w:t>Imhof, R.</w:t>
      </w:r>
      <w:r w:rsidR="00880C22" w:rsidRPr="00F853DD">
        <w:rPr>
          <w:rFonts w:ascii="Times" w:hAnsi="Times" w:cs="Times New Roman"/>
          <w:sz w:val="23"/>
          <w:szCs w:val="23"/>
        </w:rPr>
        <w:t>,</w:t>
      </w:r>
      <w:r w:rsidRPr="00F853DD">
        <w:rPr>
          <w:rFonts w:ascii="Times" w:hAnsi="Times" w:cs="Times New Roman"/>
          <w:sz w:val="23"/>
          <w:szCs w:val="23"/>
        </w:rPr>
        <w:t xml:space="preserve"> (2017). Variances in family carers' quality of life based on selected relationship and caregiving indicators: </w:t>
      </w:r>
      <w:r w:rsidR="00880C22" w:rsidRPr="00F853DD">
        <w:rPr>
          <w:rFonts w:ascii="Times" w:hAnsi="Times" w:cs="Times New Roman"/>
          <w:sz w:val="23"/>
          <w:szCs w:val="23"/>
        </w:rPr>
        <w:t>a</w:t>
      </w:r>
      <w:r w:rsidRPr="00F853DD">
        <w:rPr>
          <w:rFonts w:ascii="Times" w:hAnsi="Times" w:cs="Times New Roman"/>
          <w:sz w:val="23"/>
          <w:szCs w:val="23"/>
        </w:rPr>
        <w:t xml:space="preserve"> quantitative secondary analysis. </w:t>
      </w:r>
      <w:r w:rsidRPr="00F853DD">
        <w:rPr>
          <w:rFonts w:ascii="Times" w:hAnsi="Times" w:cs="Times New Roman"/>
          <w:i/>
          <w:sz w:val="23"/>
          <w:szCs w:val="23"/>
        </w:rPr>
        <w:t>International journal of older people nursing</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(2)</w:t>
      </w:r>
      <w:r w:rsidR="00880C22" w:rsidRPr="00F853DD">
        <w:rPr>
          <w:rFonts w:ascii="Times" w:hAnsi="Times" w:cs="Times New Roman"/>
          <w:sz w:val="23"/>
          <w:szCs w:val="23"/>
        </w:rPr>
        <w:t>.</w:t>
      </w:r>
      <w:r w:rsidRPr="00F853DD">
        <w:rPr>
          <w:rFonts w:ascii="Times" w:hAnsi="Times" w:cs="Times New Roman"/>
          <w:sz w:val="23"/>
          <w:szCs w:val="23"/>
        </w:rPr>
        <w:t>.</w:t>
      </w:r>
    </w:p>
    <w:p w14:paraId="7085B57A" w14:textId="1C1D124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Naganathan, G., Kuluski, K., Gill, A., Jaakkimainen, </w:t>
      </w:r>
      <w:r w:rsidR="00880C22" w:rsidRPr="00F853DD">
        <w:rPr>
          <w:rFonts w:ascii="Times" w:hAnsi="Times" w:cs="Times New Roman"/>
          <w:sz w:val="23"/>
          <w:szCs w:val="23"/>
        </w:rPr>
        <w:t>L., Upshur, R. and Wodchis, W</w:t>
      </w:r>
      <w:r w:rsidRPr="00F853DD">
        <w:rPr>
          <w:rFonts w:ascii="Times" w:hAnsi="Times" w:cs="Times New Roman"/>
          <w:sz w:val="23"/>
          <w:szCs w:val="23"/>
        </w:rPr>
        <w:t>.</w:t>
      </w:r>
      <w:r w:rsidR="00880C22" w:rsidRPr="00F853DD">
        <w:rPr>
          <w:rFonts w:ascii="Times" w:hAnsi="Times" w:cs="Times New Roman"/>
          <w:sz w:val="23"/>
          <w:szCs w:val="23"/>
        </w:rPr>
        <w:t>,</w:t>
      </w:r>
      <w:r w:rsidRPr="00F853DD">
        <w:rPr>
          <w:rFonts w:ascii="Times" w:hAnsi="Times" w:cs="Times New Roman"/>
          <w:sz w:val="23"/>
          <w:szCs w:val="23"/>
        </w:rPr>
        <w:t xml:space="preserve"> (2016). Perceived value of support for older adults coping with multi-morbidity: patient, informal care-giver and family physician perspectives. </w:t>
      </w:r>
      <w:r w:rsidRPr="00F853DD">
        <w:rPr>
          <w:rFonts w:ascii="Times" w:hAnsi="Times" w:cs="Times New Roman"/>
          <w:i/>
          <w:sz w:val="23"/>
          <w:szCs w:val="23"/>
        </w:rPr>
        <w:t>Ageing and Society</w:t>
      </w:r>
      <w:r w:rsidR="00880C2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 1891-1914.</w:t>
      </w:r>
    </w:p>
    <w:p w14:paraId="548FEEA0" w14:textId="63ECC0C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Namey, E., Guest, G., Thairu, L. and Johnson, L.</w:t>
      </w:r>
      <w:r w:rsidR="00880C22" w:rsidRPr="00F853DD">
        <w:rPr>
          <w:rFonts w:ascii="Times" w:hAnsi="Times" w:cs="Times New Roman"/>
          <w:sz w:val="23"/>
          <w:szCs w:val="23"/>
        </w:rPr>
        <w:t>,</w:t>
      </w:r>
      <w:r w:rsidRPr="00F853DD">
        <w:rPr>
          <w:rFonts w:ascii="Times" w:hAnsi="Times" w:cs="Times New Roman"/>
          <w:sz w:val="23"/>
          <w:szCs w:val="23"/>
        </w:rPr>
        <w:t xml:space="preserve"> (2007). Data reduction techniques for large qualitative data sets. In: Guest, G. and Mac Queen, K.</w:t>
      </w:r>
      <w:r w:rsidR="00880C22" w:rsidRPr="00F853DD">
        <w:rPr>
          <w:rFonts w:ascii="Times" w:hAnsi="Times" w:cs="Times New Roman"/>
          <w:sz w:val="23"/>
          <w:szCs w:val="23"/>
        </w:rPr>
        <w:t>,</w:t>
      </w:r>
      <w:r w:rsidRPr="00F853DD">
        <w:rPr>
          <w:rFonts w:ascii="Times" w:hAnsi="Times" w:cs="Times New Roman"/>
          <w:sz w:val="23"/>
          <w:szCs w:val="23"/>
        </w:rPr>
        <w:t xml:space="preserve"> (eds.) </w:t>
      </w:r>
      <w:r w:rsidRPr="00F853DD">
        <w:rPr>
          <w:rFonts w:ascii="Times" w:hAnsi="Times" w:cs="Times New Roman"/>
          <w:i/>
          <w:sz w:val="23"/>
          <w:szCs w:val="23"/>
        </w:rPr>
        <w:t>Handbook for Team-Based Qualitative Research</w:t>
      </w:r>
      <w:r w:rsidRPr="00F853DD">
        <w:rPr>
          <w:rFonts w:ascii="Times" w:hAnsi="Times" w:cs="Times New Roman"/>
          <w:sz w:val="23"/>
          <w:szCs w:val="23"/>
        </w:rPr>
        <w:t>.</w:t>
      </w:r>
    </w:p>
    <w:p w14:paraId="30C250B5" w14:textId="710EE82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Nassar, K., Okwuokei, J., Li, M., Robinson, T. and Thomas, S.</w:t>
      </w:r>
      <w:r w:rsidR="00880C22" w:rsidRPr="00F853DD">
        <w:rPr>
          <w:rFonts w:ascii="Times" w:hAnsi="Times" w:cs="Times New Roman"/>
          <w:sz w:val="23"/>
          <w:szCs w:val="23"/>
        </w:rPr>
        <w:t>,</w:t>
      </w:r>
      <w:r w:rsidRPr="00F853DD">
        <w:rPr>
          <w:rFonts w:ascii="Times" w:hAnsi="Times" w:cs="Times New Roman"/>
          <w:sz w:val="23"/>
          <w:szCs w:val="23"/>
        </w:rPr>
        <w:t xml:space="preserve"> (2016). IMF </w:t>
      </w:r>
      <w:r w:rsidRPr="00F853DD">
        <w:rPr>
          <w:rFonts w:ascii="Times" w:hAnsi="Times" w:cs="Times New Roman"/>
          <w:i/>
          <w:sz w:val="23"/>
          <w:szCs w:val="23"/>
        </w:rPr>
        <w:t>Working Paper: National Insurance Scheme Reforms in the Caribbean</w:t>
      </w:r>
      <w:r w:rsidRPr="00F853DD">
        <w:rPr>
          <w:rFonts w:ascii="Times" w:hAnsi="Times" w:cs="Times New Roman"/>
          <w:sz w:val="23"/>
          <w:szCs w:val="23"/>
        </w:rPr>
        <w:t xml:space="preserve">. </w:t>
      </w:r>
    </w:p>
    <w:p w14:paraId="299F0EC4" w14:textId="2B4CBC9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National Academies </w:t>
      </w:r>
      <w:r w:rsidR="00880C22" w:rsidRPr="00F853DD">
        <w:rPr>
          <w:rFonts w:ascii="Times" w:hAnsi="Times" w:cs="Times New Roman"/>
          <w:sz w:val="23"/>
          <w:szCs w:val="23"/>
        </w:rPr>
        <w:t>o</w:t>
      </w:r>
      <w:r w:rsidRPr="00F853DD">
        <w:rPr>
          <w:rFonts w:ascii="Times" w:hAnsi="Times" w:cs="Times New Roman"/>
          <w:sz w:val="23"/>
          <w:szCs w:val="23"/>
        </w:rPr>
        <w:t>f Sciences, and Medicine</w:t>
      </w:r>
      <w:r w:rsidR="00880C22"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Families caring for an aging America</w:t>
      </w:r>
      <w:r w:rsidRPr="00F853DD">
        <w:rPr>
          <w:rFonts w:ascii="Times" w:hAnsi="Times" w:cs="Times New Roman"/>
          <w:sz w:val="23"/>
          <w:szCs w:val="23"/>
        </w:rPr>
        <w:t>. In: Shulz, R. and Eden, J. (eds.). Washington D.C.: The National Academies Press.</w:t>
      </w:r>
    </w:p>
    <w:p w14:paraId="560634F7" w14:textId="39ECCA9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Naughton, F.</w:t>
      </w:r>
      <w:r w:rsidR="00880C22" w:rsidRPr="00F853DD">
        <w:rPr>
          <w:rFonts w:ascii="Times" w:hAnsi="Times" w:cs="Times New Roman"/>
          <w:sz w:val="23"/>
          <w:szCs w:val="23"/>
        </w:rPr>
        <w:t>,</w:t>
      </w:r>
      <w:r w:rsidRPr="00F853DD">
        <w:rPr>
          <w:rFonts w:ascii="Times" w:hAnsi="Times" w:cs="Times New Roman"/>
          <w:sz w:val="23"/>
          <w:szCs w:val="23"/>
        </w:rPr>
        <w:t xml:space="preserve"> (1997). </w:t>
      </w:r>
      <w:r w:rsidRPr="00F853DD">
        <w:rPr>
          <w:rFonts w:ascii="Times" w:hAnsi="Times" w:cs="Times New Roman"/>
          <w:i/>
          <w:sz w:val="23"/>
          <w:szCs w:val="23"/>
        </w:rPr>
        <w:t>Stress and Coping</w:t>
      </w:r>
      <w:r w:rsidRPr="00F853DD">
        <w:rPr>
          <w:rFonts w:ascii="Times" w:hAnsi="Times" w:cs="Times New Roman"/>
          <w:sz w:val="23"/>
          <w:szCs w:val="23"/>
        </w:rPr>
        <w:t>. California State University (Northridge).</w:t>
      </w:r>
    </w:p>
    <w:p w14:paraId="472AD7AC" w14:textId="541F251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Navaie-Waliser, </w:t>
      </w:r>
      <w:r w:rsidR="00880C22" w:rsidRPr="00F853DD">
        <w:rPr>
          <w:rFonts w:ascii="Times" w:hAnsi="Times" w:cs="Times New Roman"/>
          <w:sz w:val="23"/>
          <w:szCs w:val="23"/>
        </w:rPr>
        <w:t>M., Feldman, P. H., Gould, D., Levine, C., Kuerbis, A.</w:t>
      </w:r>
      <w:r w:rsidRPr="00F853DD">
        <w:rPr>
          <w:rFonts w:ascii="Times" w:hAnsi="Times" w:cs="Times New Roman"/>
          <w:sz w:val="23"/>
          <w:szCs w:val="23"/>
        </w:rPr>
        <w:t xml:space="preserve"> and Donelan, K.</w:t>
      </w:r>
      <w:r w:rsidR="00880C22" w:rsidRPr="00F853DD">
        <w:rPr>
          <w:rFonts w:ascii="Times" w:hAnsi="Times" w:cs="Times New Roman"/>
          <w:sz w:val="23"/>
          <w:szCs w:val="23"/>
        </w:rPr>
        <w:t>,</w:t>
      </w:r>
      <w:r w:rsidRPr="00F853DD">
        <w:rPr>
          <w:rFonts w:ascii="Times" w:hAnsi="Times" w:cs="Times New Roman"/>
          <w:sz w:val="23"/>
          <w:szCs w:val="23"/>
        </w:rPr>
        <w:t xml:space="preserve"> (2002)a. When the caregiver needs care: </w:t>
      </w:r>
      <w:r w:rsidR="00880C22" w:rsidRPr="00F853DD">
        <w:rPr>
          <w:rFonts w:ascii="Times" w:hAnsi="Times" w:cs="Times New Roman"/>
          <w:sz w:val="23"/>
          <w:szCs w:val="23"/>
        </w:rPr>
        <w:t>t</w:t>
      </w:r>
      <w:r w:rsidRPr="00F853DD">
        <w:rPr>
          <w:rFonts w:ascii="Times" w:hAnsi="Times" w:cs="Times New Roman"/>
          <w:sz w:val="23"/>
          <w:szCs w:val="23"/>
        </w:rPr>
        <w:t xml:space="preserve">he plight of vulnerable caregivers. </w:t>
      </w:r>
      <w:r w:rsidRPr="00F853DD">
        <w:rPr>
          <w:rFonts w:ascii="Times" w:hAnsi="Times" w:cs="Times New Roman"/>
          <w:i/>
          <w:sz w:val="23"/>
          <w:szCs w:val="23"/>
        </w:rPr>
        <w:t>American Journal of Public Health</w:t>
      </w:r>
      <w:r w:rsidR="00880C2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92</w:t>
      </w:r>
      <w:r w:rsidRPr="00F853DD">
        <w:rPr>
          <w:rFonts w:ascii="Times" w:hAnsi="Times" w:cs="Times New Roman"/>
          <w:sz w:val="23"/>
          <w:szCs w:val="23"/>
        </w:rPr>
        <w:t>, 409-413.</w:t>
      </w:r>
    </w:p>
    <w:p w14:paraId="51A0C98F" w14:textId="3021CC9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Navaie-Waliser, M., Spriggs, A.</w:t>
      </w:r>
      <w:r w:rsidR="00880C22" w:rsidRPr="00F853DD">
        <w:rPr>
          <w:rFonts w:ascii="Times" w:hAnsi="Times" w:cs="Times New Roman"/>
          <w:sz w:val="23"/>
          <w:szCs w:val="23"/>
        </w:rPr>
        <w:t xml:space="preserve"> and Feldman, P.,</w:t>
      </w:r>
      <w:r w:rsidRPr="00F853DD">
        <w:rPr>
          <w:rFonts w:ascii="Times" w:hAnsi="Times" w:cs="Times New Roman"/>
          <w:sz w:val="23"/>
          <w:szCs w:val="23"/>
        </w:rPr>
        <w:t xml:space="preserve"> </w:t>
      </w:r>
      <w:r w:rsidR="00880C22" w:rsidRPr="00F853DD">
        <w:rPr>
          <w:rFonts w:ascii="Times" w:hAnsi="Times" w:cs="Times New Roman"/>
          <w:sz w:val="23"/>
          <w:szCs w:val="23"/>
        </w:rPr>
        <w:t>(2002)b. Informal caregiving: d</w:t>
      </w:r>
      <w:r w:rsidRPr="00F853DD">
        <w:rPr>
          <w:rFonts w:ascii="Times" w:hAnsi="Times" w:cs="Times New Roman"/>
          <w:sz w:val="23"/>
          <w:szCs w:val="23"/>
        </w:rPr>
        <w:t xml:space="preserve">ifferential experiences by gender. </w:t>
      </w:r>
      <w:r w:rsidRPr="00F853DD">
        <w:rPr>
          <w:rFonts w:ascii="Times" w:hAnsi="Times" w:cs="Times New Roman"/>
          <w:i/>
          <w:sz w:val="23"/>
          <w:szCs w:val="23"/>
        </w:rPr>
        <w:t>Medical Care</w:t>
      </w:r>
      <w:r w:rsidR="00880C2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40</w:t>
      </w:r>
      <w:r w:rsidRPr="00F853DD">
        <w:rPr>
          <w:rFonts w:ascii="Times" w:hAnsi="Times" w:cs="Times New Roman"/>
          <w:sz w:val="23"/>
          <w:szCs w:val="23"/>
        </w:rPr>
        <w:t>, 1249-1259.</w:t>
      </w:r>
    </w:p>
    <w:p w14:paraId="20615841" w14:textId="563BD94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Nazroo, J., Bajekal, M., Blane, D. and Grewal, I.</w:t>
      </w:r>
      <w:r w:rsidR="00880C22" w:rsidRPr="00F853DD">
        <w:rPr>
          <w:rFonts w:ascii="Times" w:hAnsi="Times" w:cs="Times New Roman"/>
          <w:sz w:val="23"/>
          <w:szCs w:val="23"/>
        </w:rPr>
        <w:t>,</w:t>
      </w:r>
      <w:r w:rsidRPr="00F853DD">
        <w:rPr>
          <w:rFonts w:ascii="Times" w:hAnsi="Times" w:cs="Times New Roman"/>
          <w:sz w:val="23"/>
          <w:szCs w:val="23"/>
        </w:rPr>
        <w:t xml:space="preserve"> (2004). Ethnic inequalities. </w:t>
      </w:r>
      <w:r w:rsidRPr="00F853DD">
        <w:rPr>
          <w:rFonts w:ascii="Times" w:hAnsi="Times" w:cs="Times New Roman"/>
          <w:i/>
          <w:sz w:val="23"/>
          <w:szCs w:val="23"/>
        </w:rPr>
        <w:t xml:space="preserve">Growing older: </w:t>
      </w:r>
      <w:r w:rsidR="00880C22" w:rsidRPr="00F853DD">
        <w:rPr>
          <w:rFonts w:ascii="Times" w:hAnsi="Times" w:cs="Times New Roman"/>
          <w:i/>
          <w:sz w:val="23"/>
          <w:szCs w:val="23"/>
        </w:rPr>
        <w:t>q</w:t>
      </w:r>
      <w:r w:rsidRPr="00F853DD">
        <w:rPr>
          <w:rFonts w:ascii="Times" w:hAnsi="Times" w:cs="Times New Roman"/>
          <w:i/>
          <w:sz w:val="23"/>
          <w:szCs w:val="23"/>
        </w:rPr>
        <w:t>uality of life in old age</w:t>
      </w:r>
      <w:r w:rsidR="00880C22" w:rsidRPr="00F853DD">
        <w:rPr>
          <w:rFonts w:ascii="Times" w:hAnsi="Times" w:cs="Times New Roman"/>
          <w:sz w:val="23"/>
          <w:szCs w:val="23"/>
        </w:rPr>
        <w:t>.</w:t>
      </w:r>
      <w:r w:rsidRPr="00F853DD">
        <w:rPr>
          <w:rFonts w:ascii="Times" w:hAnsi="Times" w:cs="Times New Roman"/>
          <w:sz w:val="23"/>
          <w:szCs w:val="23"/>
        </w:rPr>
        <w:t xml:space="preserve"> 35-59. Maidenhead, UK: Open University Press.</w:t>
      </w:r>
    </w:p>
    <w:p w14:paraId="51837F44" w14:textId="752C9D4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Neal, M. and Hammer, L.</w:t>
      </w:r>
      <w:r w:rsidR="00BF3CF3"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 xml:space="preserve">Working couples caring for children and aging parents: </w:t>
      </w:r>
      <w:r w:rsidR="00BF3CF3" w:rsidRPr="00F853DD">
        <w:rPr>
          <w:rFonts w:ascii="Times" w:hAnsi="Times" w:cs="Times New Roman"/>
          <w:i/>
          <w:sz w:val="23"/>
          <w:szCs w:val="23"/>
        </w:rPr>
        <w:t>e</w:t>
      </w:r>
      <w:r w:rsidRPr="00F853DD">
        <w:rPr>
          <w:rFonts w:ascii="Times" w:hAnsi="Times" w:cs="Times New Roman"/>
          <w:i/>
          <w:sz w:val="23"/>
          <w:szCs w:val="23"/>
        </w:rPr>
        <w:t>ffects on work and well-being</w:t>
      </w:r>
      <w:r w:rsidRPr="00F853DD">
        <w:rPr>
          <w:rFonts w:ascii="Times" w:hAnsi="Times" w:cs="Times New Roman"/>
          <w:sz w:val="23"/>
          <w:szCs w:val="23"/>
        </w:rPr>
        <w:t>. Psychology Press.</w:t>
      </w:r>
    </w:p>
    <w:p w14:paraId="3CB642BF" w14:textId="3913459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Neale, B.</w:t>
      </w:r>
      <w:r w:rsidR="00BF3CF3" w:rsidRPr="00F853DD">
        <w:rPr>
          <w:rFonts w:ascii="Times" w:hAnsi="Times" w:cs="Times New Roman"/>
          <w:sz w:val="23"/>
          <w:szCs w:val="23"/>
        </w:rPr>
        <w:t>,</w:t>
      </w:r>
      <w:r w:rsidRPr="00F853DD">
        <w:rPr>
          <w:rFonts w:ascii="Times" w:hAnsi="Times" w:cs="Times New Roman"/>
          <w:sz w:val="23"/>
          <w:szCs w:val="23"/>
        </w:rPr>
        <w:t xml:space="preserve"> (2000). </w:t>
      </w:r>
      <w:r w:rsidRPr="00F853DD">
        <w:rPr>
          <w:rFonts w:ascii="Times" w:hAnsi="Times" w:cs="Times New Roman"/>
          <w:i/>
          <w:sz w:val="23"/>
          <w:szCs w:val="23"/>
        </w:rPr>
        <w:t xml:space="preserve">Theorising </w:t>
      </w:r>
      <w:r w:rsidR="00BF3CF3" w:rsidRPr="00F853DD">
        <w:rPr>
          <w:rFonts w:ascii="Times" w:hAnsi="Times" w:cs="Times New Roman"/>
          <w:i/>
          <w:sz w:val="23"/>
          <w:szCs w:val="23"/>
        </w:rPr>
        <w:t>f</w:t>
      </w:r>
      <w:r w:rsidRPr="00F853DD">
        <w:rPr>
          <w:rFonts w:ascii="Times" w:hAnsi="Times" w:cs="Times New Roman"/>
          <w:i/>
          <w:sz w:val="23"/>
          <w:szCs w:val="23"/>
        </w:rPr>
        <w:t xml:space="preserve">amily, </w:t>
      </w:r>
      <w:r w:rsidR="00BF3CF3" w:rsidRPr="00F853DD">
        <w:rPr>
          <w:rFonts w:ascii="Times" w:hAnsi="Times" w:cs="Times New Roman"/>
          <w:i/>
          <w:sz w:val="23"/>
          <w:szCs w:val="23"/>
        </w:rPr>
        <w:t>k</w:t>
      </w:r>
      <w:r w:rsidRPr="00F853DD">
        <w:rPr>
          <w:rFonts w:ascii="Times" w:hAnsi="Times" w:cs="Times New Roman"/>
          <w:i/>
          <w:sz w:val="23"/>
          <w:szCs w:val="23"/>
        </w:rPr>
        <w:t xml:space="preserve">inship and </w:t>
      </w:r>
      <w:r w:rsidR="00BF3CF3" w:rsidRPr="00F853DD">
        <w:rPr>
          <w:rFonts w:ascii="Times" w:hAnsi="Times" w:cs="Times New Roman"/>
          <w:i/>
          <w:sz w:val="23"/>
          <w:szCs w:val="23"/>
        </w:rPr>
        <w:t>s</w:t>
      </w:r>
      <w:r w:rsidRPr="00F853DD">
        <w:rPr>
          <w:rFonts w:ascii="Times" w:hAnsi="Times" w:cs="Times New Roman"/>
          <w:i/>
          <w:sz w:val="23"/>
          <w:szCs w:val="23"/>
        </w:rPr>
        <w:t xml:space="preserve">ocial </w:t>
      </w:r>
      <w:r w:rsidR="00BF3CF3" w:rsidRPr="00F853DD">
        <w:rPr>
          <w:rFonts w:ascii="Times" w:hAnsi="Times" w:cs="Times New Roman"/>
          <w:i/>
          <w:sz w:val="23"/>
          <w:szCs w:val="23"/>
        </w:rPr>
        <w:t>c</w:t>
      </w:r>
      <w:r w:rsidRPr="00F853DD">
        <w:rPr>
          <w:rFonts w:ascii="Times" w:hAnsi="Times" w:cs="Times New Roman"/>
          <w:i/>
          <w:sz w:val="23"/>
          <w:szCs w:val="23"/>
        </w:rPr>
        <w:t>hange</w:t>
      </w:r>
      <w:r w:rsidRPr="00F853DD">
        <w:rPr>
          <w:rFonts w:ascii="Times" w:hAnsi="Times" w:cs="Times New Roman"/>
          <w:sz w:val="23"/>
          <w:szCs w:val="23"/>
        </w:rPr>
        <w:t>. University of Leeds.</w:t>
      </w:r>
    </w:p>
    <w:p w14:paraId="372B7A92" w14:textId="69D12A6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Nelson</w:t>
      </w:r>
      <w:r w:rsidR="00BF3CF3" w:rsidRPr="00F853DD">
        <w:rPr>
          <w:rFonts w:ascii="Times" w:hAnsi="Times" w:cs="Times New Roman"/>
          <w:sz w:val="23"/>
          <w:szCs w:val="23"/>
        </w:rPr>
        <w:t>, M.,</w:t>
      </w:r>
      <w:r w:rsidRPr="00F853DD">
        <w:rPr>
          <w:rFonts w:ascii="Times" w:hAnsi="Times" w:cs="Times New Roman"/>
          <w:sz w:val="23"/>
          <w:szCs w:val="23"/>
        </w:rPr>
        <w:t xml:space="preserve"> (2013). Fictive kin, families we choose, and voluntary kin: </w:t>
      </w:r>
      <w:r w:rsidR="00BF3CF3" w:rsidRPr="00F853DD">
        <w:rPr>
          <w:rFonts w:ascii="Times" w:hAnsi="Times" w:cs="Times New Roman"/>
          <w:sz w:val="23"/>
          <w:szCs w:val="23"/>
        </w:rPr>
        <w:t>w</w:t>
      </w:r>
      <w:r w:rsidRPr="00F853DD">
        <w:rPr>
          <w:rFonts w:ascii="Times" w:hAnsi="Times" w:cs="Times New Roman"/>
          <w:sz w:val="23"/>
          <w:szCs w:val="23"/>
        </w:rPr>
        <w:t xml:space="preserve">hat does the discourse tell us? </w:t>
      </w:r>
      <w:r w:rsidRPr="00F853DD">
        <w:rPr>
          <w:rFonts w:ascii="Times" w:hAnsi="Times" w:cs="Times New Roman"/>
          <w:i/>
          <w:sz w:val="23"/>
          <w:szCs w:val="23"/>
        </w:rPr>
        <w:t>Journal of Family Theory and Review</w:t>
      </w:r>
      <w:r w:rsidR="00BF3CF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 259-281.</w:t>
      </w:r>
    </w:p>
    <w:p w14:paraId="1A09FD12" w14:textId="6E83DB5A" w:rsidR="00DF05BD" w:rsidRPr="00F853DD" w:rsidRDefault="00BF3CF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Nelson-Becker, H.</w:t>
      </w:r>
      <w:r w:rsidR="00DF05BD" w:rsidRPr="00F853DD">
        <w:rPr>
          <w:rFonts w:ascii="Times" w:hAnsi="Times" w:cs="Times New Roman"/>
          <w:sz w:val="23"/>
          <w:szCs w:val="23"/>
        </w:rPr>
        <w:t xml:space="preserve"> and Chow, E.</w:t>
      </w:r>
      <w:r w:rsidR="00745593" w:rsidRPr="00F853DD">
        <w:rPr>
          <w:rFonts w:ascii="Times" w:hAnsi="Times" w:cs="Times New Roman"/>
          <w:sz w:val="23"/>
          <w:szCs w:val="23"/>
        </w:rPr>
        <w:t>,</w:t>
      </w:r>
      <w:r w:rsidR="00DF05BD" w:rsidRPr="00F853DD">
        <w:rPr>
          <w:rFonts w:ascii="Times" w:hAnsi="Times" w:cs="Times New Roman"/>
          <w:sz w:val="23"/>
          <w:szCs w:val="23"/>
        </w:rPr>
        <w:t xml:space="preserve"> (2008). Resilience in diverse older adults: </w:t>
      </w:r>
      <w:r w:rsidR="00745593" w:rsidRPr="00F853DD">
        <w:rPr>
          <w:rFonts w:ascii="Times" w:hAnsi="Times" w:cs="Times New Roman"/>
          <w:sz w:val="23"/>
          <w:szCs w:val="23"/>
        </w:rPr>
        <w:t>a</w:t>
      </w:r>
      <w:r w:rsidR="00DF05BD" w:rsidRPr="00F853DD">
        <w:rPr>
          <w:rFonts w:ascii="Times" w:hAnsi="Times" w:cs="Times New Roman"/>
          <w:sz w:val="23"/>
          <w:szCs w:val="23"/>
        </w:rPr>
        <w:t xml:space="preserve">n analysis of coping and wisdom development. </w:t>
      </w:r>
      <w:r w:rsidR="00DF05BD" w:rsidRPr="00F853DD">
        <w:rPr>
          <w:rFonts w:ascii="Times" w:hAnsi="Times" w:cs="Times New Roman"/>
          <w:i/>
          <w:sz w:val="23"/>
          <w:szCs w:val="23"/>
        </w:rPr>
        <w:t>Gerontologist</w:t>
      </w:r>
      <w:r w:rsidR="00745593"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48</w:t>
      </w:r>
      <w:r w:rsidR="00DF05BD" w:rsidRPr="00F853DD">
        <w:rPr>
          <w:rFonts w:ascii="Times" w:hAnsi="Times" w:cs="Times New Roman"/>
          <w:sz w:val="23"/>
          <w:szCs w:val="23"/>
        </w:rPr>
        <w:t>, 241-241.</w:t>
      </w:r>
    </w:p>
    <w:p w14:paraId="0C3E60B4" w14:textId="654DE26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Ner</w:t>
      </w:r>
      <w:r w:rsidRPr="00F853DD">
        <w:rPr>
          <w:rFonts w:ascii="Times" w:hAnsi="Times" w:cs="Segoe UI"/>
          <w:sz w:val="23"/>
          <w:szCs w:val="23"/>
        </w:rPr>
        <w:t>i, A., Yassuda, M., For</w:t>
      </w:r>
      <w:r w:rsidR="00745593" w:rsidRPr="00F853DD">
        <w:rPr>
          <w:rFonts w:ascii="Times" w:hAnsi="Times" w:cs="Segoe UI"/>
          <w:sz w:val="23"/>
          <w:szCs w:val="23"/>
        </w:rPr>
        <w:t xml:space="preserve">tes-Burgos, A., Mantovani, E., </w:t>
      </w:r>
      <w:r w:rsidRPr="00F853DD">
        <w:rPr>
          <w:rFonts w:ascii="Times" w:hAnsi="Times" w:cs="Segoe UI"/>
          <w:sz w:val="23"/>
          <w:szCs w:val="23"/>
        </w:rPr>
        <w:t>Arbex, F.,  de Souza Torres, S.,  Perracini, M. and Guariento, M.</w:t>
      </w:r>
      <w:r w:rsidR="00745593" w:rsidRPr="00F853DD">
        <w:rPr>
          <w:rFonts w:ascii="Times" w:hAnsi="Times" w:cs="Segoe UI"/>
          <w:sz w:val="23"/>
          <w:szCs w:val="23"/>
        </w:rPr>
        <w:t>,</w:t>
      </w:r>
      <w:r w:rsidRPr="00F853DD">
        <w:rPr>
          <w:rFonts w:ascii="Times" w:hAnsi="Times" w:cs="Segoe UI"/>
          <w:sz w:val="23"/>
          <w:szCs w:val="23"/>
        </w:rPr>
        <w:t xml:space="preserve"> (2012). Relationships between gender, age, family conditions, physical and mental health, and social isolation of elderly caregivers. </w:t>
      </w:r>
      <w:r w:rsidRPr="00F853DD">
        <w:rPr>
          <w:rFonts w:ascii="Times" w:hAnsi="Times" w:cs="Segoe UI"/>
          <w:i/>
          <w:iCs/>
          <w:sz w:val="23"/>
          <w:szCs w:val="23"/>
        </w:rPr>
        <w:t>International Psychogeriatrics</w:t>
      </w:r>
      <w:r w:rsidR="00745593" w:rsidRPr="00F853DD">
        <w:rPr>
          <w:rFonts w:ascii="Times" w:hAnsi="Times" w:cs="Segoe UI"/>
          <w:sz w:val="23"/>
          <w:szCs w:val="23"/>
        </w:rPr>
        <w:t>.</w:t>
      </w:r>
      <w:r w:rsidRPr="00F853DD">
        <w:rPr>
          <w:rFonts w:ascii="Times" w:hAnsi="Times" w:cs="Segoe UI"/>
          <w:sz w:val="23"/>
          <w:szCs w:val="23"/>
        </w:rPr>
        <w:t> </w:t>
      </w:r>
      <w:r w:rsidRPr="00F853DD">
        <w:rPr>
          <w:rFonts w:ascii="Times" w:hAnsi="Times" w:cs="Segoe UI"/>
          <w:b/>
          <w:iCs/>
          <w:sz w:val="23"/>
          <w:szCs w:val="23"/>
        </w:rPr>
        <w:t>24</w:t>
      </w:r>
      <w:r w:rsidRPr="00F853DD">
        <w:rPr>
          <w:rFonts w:ascii="Times" w:hAnsi="Times" w:cs="Segoe UI"/>
          <w:sz w:val="23"/>
          <w:szCs w:val="23"/>
        </w:rPr>
        <w:t>(3), 472-483.</w:t>
      </w:r>
    </w:p>
    <w:p w14:paraId="50107F9A" w14:textId="77700AFE" w:rsidR="00DF05BD"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Netuveli, G., Wiggins, R., Hildon, Z., Montgomery, S.</w:t>
      </w:r>
      <w:r w:rsidR="00DF05BD" w:rsidRPr="00F853DD">
        <w:rPr>
          <w:rFonts w:ascii="Times" w:hAnsi="Times" w:cs="Times New Roman"/>
          <w:sz w:val="23"/>
          <w:szCs w:val="23"/>
        </w:rPr>
        <w:t xml:space="preserve"> and Blane, D.</w:t>
      </w:r>
      <w:r w:rsidRPr="00F853DD">
        <w:rPr>
          <w:rFonts w:ascii="Times" w:hAnsi="Times" w:cs="Times New Roman"/>
          <w:sz w:val="23"/>
          <w:szCs w:val="23"/>
        </w:rPr>
        <w:t>,</w:t>
      </w:r>
      <w:r w:rsidR="00DF05BD" w:rsidRPr="00F853DD">
        <w:rPr>
          <w:rFonts w:ascii="Times" w:hAnsi="Times" w:cs="Times New Roman"/>
          <w:sz w:val="23"/>
          <w:szCs w:val="23"/>
        </w:rPr>
        <w:t xml:space="preserve"> (2005). Functional limitation in long standing illness and quality of life: evidence from a national survey. </w:t>
      </w:r>
      <w:r w:rsidR="00DF05BD" w:rsidRPr="00F853DD">
        <w:rPr>
          <w:rFonts w:ascii="Times" w:hAnsi="Times" w:cs="Times New Roman"/>
          <w:i/>
          <w:sz w:val="23"/>
          <w:szCs w:val="23"/>
        </w:rPr>
        <w:t>British Medical Journal</w:t>
      </w:r>
      <w:r w:rsidRPr="00F853DD">
        <w:rPr>
          <w:rFonts w:ascii="Times" w:hAnsi="Times" w:cs="Times New Roman"/>
          <w:sz w:val="23"/>
          <w:szCs w:val="23"/>
        </w:rPr>
        <w:t xml:space="preserve">. </w:t>
      </w:r>
      <w:r w:rsidR="00DF05BD" w:rsidRPr="00F853DD">
        <w:rPr>
          <w:rFonts w:ascii="Times" w:hAnsi="Times" w:cs="Times New Roman"/>
          <w:b/>
          <w:sz w:val="23"/>
          <w:szCs w:val="23"/>
        </w:rPr>
        <w:t>331</w:t>
      </w:r>
      <w:r w:rsidR="00DF05BD" w:rsidRPr="00F853DD">
        <w:rPr>
          <w:rFonts w:ascii="Times" w:hAnsi="Times" w:cs="Times New Roman"/>
          <w:sz w:val="23"/>
          <w:szCs w:val="23"/>
        </w:rPr>
        <w:t>, 1382.</w:t>
      </w:r>
    </w:p>
    <w:p w14:paraId="23FC2937" w14:textId="7E347737" w:rsidR="00DF05BD"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Netuveli, G., Wiggins, R., Hildon, Z., Montgomery, S.</w:t>
      </w:r>
      <w:r w:rsidR="00DF05BD" w:rsidRPr="00F853DD">
        <w:rPr>
          <w:rFonts w:ascii="Times" w:hAnsi="Times" w:cs="Times New Roman"/>
          <w:sz w:val="23"/>
          <w:szCs w:val="23"/>
        </w:rPr>
        <w:t xml:space="preserve"> and Blane, D.</w:t>
      </w:r>
      <w:r w:rsidRPr="00F853DD">
        <w:rPr>
          <w:rFonts w:ascii="Times" w:hAnsi="Times" w:cs="Times New Roman"/>
          <w:sz w:val="23"/>
          <w:szCs w:val="23"/>
        </w:rPr>
        <w:t>,</w:t>
      </w:r>
      <w:r w:rsidR="00DF05BD" w:rsidRPr="00F853DD">
        <w:rPr>
          <w:rFonts w:ascii="Times" w:hAnsi="Times" w:cs="Times New Roman"/>
          <w:sz w:val="23"/>
          <w:szCs w:val="23"/>
        </w:rPr>
        <w:t xml:space="preserve"> (2006). Quality of life at older ages: evidence from the English longitudinal study of aging (wave 1). </w:t>
      </w:r>
      <w:r w:rsidR="00DF05BD" w:rsidRPr="00F853DD">
        <w:rPr>
          <w:rFonts w:ascii="Times" w:hAnsi="Times" w:cs="Times New Roman"/>
          <w:i/>
          <w:sz w:val="23"/>
          <w:szCs w:val="23"/>
        </w:rPr>
        <w:t>Journal of Epidemiology and Community Health</w:t>
      </w:r>
      <w:r w:rsidRPr="00F853DD">
        <w:rPr>
          <w:rFonts w:ascii="Times" w:hAnsi="Times" w:cs="Times New Roman"/>
          <w:sz w:val="23"/>
          <w:szCs w:val="23"/>
        </w:rPr>
        <w:t xml:space="preserve">. </w:t>
      </w:r>
      <w:r w:rsidR="00DF05BD" w:rsidRPr="00F853DD">
        <w:rPr>
          <w:rFonts w:ascii="Times" w:hAnsi="Times" w:cs="Times New Roman"/>
          <w:b/>
          <w:sz w:val="23"/>
          <w:szCs w:val="23"/>
        </w:rPr>
        <w:t>60</w:t>
      </w:r>
      <w:r w:rsidR="00DF05BD" w:rsidRPr="00F853DD">
        <w:rPr>
          <w:rFonts w:ascii="Times" w:hAnsi="Times" w:cs="Times New Roman"/>
          <w:sz w:val="23"/>
          <w:szCs w:val="23"/>
        </w:rPr>
        <w:t>, 357-363.</w:t>
      </w:r>
    </w:p>
    <w:p w14:paraId="1BC5D689" w14:textId="68CBEA81" w:rsidR="00DF05BD"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Netuveli, G., Wiggins, R., Montgomery, S.</w:t>
      </w:r>
      <w:r w:rsidR="00DF05BD" w:rsidRPr="00F853DD">
        <w:rPr>
          <w:rFonts w:ascii="Times" w:hAnsi="Times" w:cs="Times New Roman"/>
          <w:sz w:val="23"/>
          <w:szCs w:val="23"/>
        </w:rPr>
        <w:t>, Hildon, Z. and Blane, D.</w:t>
      </w:r>
      <w:r w:rsidRPr="00F853DD">
        <w:rPr>
          <w:rFonts w:ascii="Times" w:hAnsi="Times" w:cs="Times New Roman"/>
          <w:sz w:val="23"/>
          <w:szCs w:val="23"/>
        </w:rPr>
        <w:t>,</w:t>
      </w:r>
      <w:r w:rsidR="00DF05BD" w:rsidRPr="00F853DD">
        <w:rPr>
          <w:rFonts w:ascii="Times" w:hAnsi="Times" w:cs="Times New Roman"/>
          <w:sz w:val="23"/>
          <w:szCs w:val="23"/>
        </w:rPr>
        <w:t xml:space="preserve"> (2008). Mental health and resilience at older ages: bouncing back after adversity in the British Household Panel Survey. </w:t>
      </w:r>
      <w:r w:rsidR="00DF05BD" w:rsidRPr="00F853DD">
        <w:rPr>
          <w:rFonts w:ascii="Times" w:hAnsi="Times" w:cs="Times New Roman"/>
          <w:i/>
          <w:sz w:val="23"/>
          <w:szCs w:val="23"/>
        </w:rPr>
        <w:t>Journal of Epidemiology and Community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62</w:t>
      </w:r>
      <w:r w:rsidR="00DF05BD" w:rsidRPr="00F853DD">
        <w:rPr>
          <w:rFonts w:ascii="Times" w:hAnsi="Times" w:cs="Times New Roman"/>
          <w:sz w:val="23"/>
          <w:szCs w:val="23"/>
        </w:rPr>
        <w:t>, 987-991.</w:t>
      </w:r>
    </w:p>
    <w:p w14:paraId="0FC3F80D" w14:textId="509C5F4A" w:rsidR="00DF05BD"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Neufeld, A. and Harrison, M.,</w:t>
      </w:r>
      <w:r w:rsidR="00DF05BD" w:rsidRPr="00F853DD">
        <w:rPr>
          <w:rFonts w:ascii="Times" w:hAnsi="Times" w:cs="Times New Roman"/>
          <w:sz w:val="23"/>
          <w:szCs w:val="23"/>
        </w:rPr>
        <w:t xml:space="preserve"> (1998). Men as caregivers: reciprocal relationships or obligation? </w:t>
      </w:r>
      <w:r w:rsidR="00DF05BD" w:rsidRPr="00F853DD">
        <w:rPr>
          <w:rFonts w:ascii="Times" w:hAnsi="Times" w:cs="Times New Roman"/>
          <w:i/>
          <w:sz w:val="23"/>
          <w:szCs w:val="23"/>
        </w:rPr>
        <w:t>Journal of Advanced Nursing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DF05BD" w:rsidRPr="00F853DD">
        <w:rPr>
          <w:rFonts w:ascii="Times" w:hAnsi="Times" w:cs="Times New Roman"/>
          <w:sz w:val="23"/>
          <w:szCs w:val="23"/>
        </w:rPr>
        <w:t>, 959-968.</w:t>
      </w:r>
    </w:p>
    <w:p w14:paraId="6C0FB9A0" w14:textId="7EBCFA1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Nevadomsky, J.</w:t>
      </w:r>
      <w:r w:rsidR="00745593" w:rsidRPr="00F853DD">
        <w:rPr>
          <w:rFonts w:ascii="Times" w:hAnsi="Times" w:cs="Times New Roman"/>
          <w:sz w:val="23"/>
          <w:szCs w:val="23"/>
        </w:rPr>
        <w:t>,</w:t>
      </w:r>
      <w:r w:rsidRPr="00F853DD">
        <w:rPr>
          <w:rFonts w:ascii="Times" w:hAnsi="Times" w:cs="Times New Roman"/>
          <w:sz w:val="23"/>
          <w:szCs w:val="23"/>
        </w:rPr>
        <w:t xml:space="preserve"> (2001). Chan</w:t>
      </w:r>
      <w:r w:rsidR="00745593" w:rsidRPr="00F853DD">
        <w:rPr>
          <w:rFonts w:ascii="Times" w:hAnsi="Times" w:cs="Times New Roman"/>
          <w:sz w:val="23"/>
          <w:szCs w:val="23"/>
        </w:rPr>
        <w:t>ges over time and space in the E</w:t>
      </w:r>
      <w:r w:rsidRPr="00F853DD">
        <w:rPr>
          <w:rFonts w:ascii="Times" w:hAnsi="Times" w:cs="Times New Roman"/>
          <w:sz w:val="23"/>
          <w:szCs w:val="23"/>
        </w:rPr>
        <w:t xml:space="preserve">ast Indian family in rural Trinidad. In: Barrow, C. and Reddock, R. (eds.) </w:t>
      </w:r>
      <w:r w:rsidRPr="00F853DD">
        <w:rPr>
          <w:rFonts w:ascii="Times" w:hAnsi="Times" w:cs="Times New Roman"/>
          <w:i/>
          <w:sz w:val="23"/>
          <w:szCs w:val="23"/>
        </w:rPr>
        <w:t>Caribbean Sociology: Introductory Readings</w:t>
      </w:r>
      <w:r w:rsidRPr="00F853DD">
        <w:rPr>
          <w:rFonts w:ascii="Times" w:hAnsi="Times" w:cs="Times New Roman"/>
          <w:sz w:val="23"/>
          <w:szCs w:val="23"/>
        </w:rPr>
        <w:t>. UK; USA: James Currey Publishers; Markus Wiener Publishers.</w:t>
      </w:r>
    </w:p>
    <w:p w14:paraId="32512417" w14:textId="479703FB" w:rsidR="00DF05BD"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Newbury, M.,</w:t>
      </w:r>
      <w:r w:rsidR="00DF05BD" w:rsidRPr="00F853DD">
        <w:rPr>
          <w:rFonts w:ascii="Times" w:hAnsi="Times" w:cs="Times New Roman"/>
          <w:sz w:val="23"/>
          <w:szCs w:val="23"/>
        </w:rPr>
        <w:t xml:space="preserve"> (2009). </w:t>
      </w:r>
      <w:r w:rsidR="00DF05BD" w:rsidRPr="00F853DD">
        <w:rPr>
          <w:rFonts w:ascii="Times" w:hAnsi="Times" w:cs="Times New Roman"/>
          <w:i/>
          <w:sz w:val="23"/>
          <w:szCs w:val="23"/>
        </w:rPr>
        <w:t xml:space="preserve">The </w:t>
      </w:r>
      <w:r w:rsidRPr="00F853DD">
        <w:rPr>
          <w:rFonts w:ascii="Times" w:hAnsi="Times" w:cs="Times New Roman"/>
          <w:i/>
          <w:sz w:val="23"/>
          <w:szCs w:val="23"/>
        </w:rPr>
        <w:t>c</w:t>
      </w:r>
      <w:r w:rsidR="00DF05BD" w:rsidRPr="00F853DD">
        <w:rPr>
          <w:rFonts w:ascii="Times" w:hAnsi="Times" w:cs="Times New Roman"/>
          <w:i/>
          <w:sz w:val="23"/>
          <w:szCs w:val="23"/>
        </w:rPr>
        <w:t xml:space="preserve">arer's </w:t>
      </w:r>
      <w:r w:rsidRPr="00F853DD">
        <w:rPr>
          <w:rFonts w:ascii="Times" w:hAnsi="Times" w:cs="Times New Roman"/>
          <w:i/>
          <w:sz w:val="23"/>
          <w:szCs w:val="23"/>
        </w:rPr>
        <w:t>i</w:t>
      </w:r>
      <w:r w:rsidR="00DF05BD" w:rsidRPr="00F853DD">
        <w:rPr>
          <w:rFonts w:ascii="Times" w:hAnsi="Times" w:cs="Times New Roman"/>
          <w:i/>
          <w:sz w:val="23"/>
          <w:szCs w:val="23"/>
        </w:rPr>
        <w:t xml:space="preserve">nitiation: </w:t>
      </w:r>
      <w:r w:rsidRPr="00F853DD">
        <w:rPr>
          <w:rFonts w:ascii="Times" w:hAnsi="Times" w:cs="Times New Roman"/>
          <w:i/>
          <w:sz w:val="23"/>
          <w:szCs w:val="23"/>
        </w:rPr>
        <w:t>a</w:t>
      </w:r>
      <w:r w:rsidR="00DF05BD" w:rsidRPr="00F853DD">
        <w:rPr>
          <w:rFonts w:ascii="Times" w:hAnsi="Times" w:cs="Times New Roman"/>
          <w:i/>
          <w:sz w:val="23"/>
          <w:szCs w:val="23"/>
        </w:rPr>
        <w:t xml:space="preserve"> </w:t>
      </w:r>
      <w:r w:rsidRPr="00F853DD">
        <w:rPr>
          <w:rFonts w:ascii="Times" w:hAnsi="Times" w:cs="Times New Roman"/>
          <w:i/>
          <w:sz w:val="23"/>
          <w:szCs w:val="23"/>
        </w:rPr>
        <w:t>q</w:t>
      </w:r>
      <w:r w:rsidR="00DF05BD" w:rsidRPr="00F853DD">
        <w:rPr>
          <w:rFonts w:ascii="Times" w:hAnsi="Times" w:cs="Times New Roman"/>
          <w:i/>
          <w:sz w:val="23"/>
          <w:szCs w:val="23"/>
        </w:rPr>
        <w:t xml:space="preserve">ualitative </w:t>
      </w:r>
      <w:r w:rsidRPr="00F853DD">
        <w:rPr>
          <w:rFonts w:ascii="Times" w:hAnsi="Times" w:cs="Times New Roman"/>
          <w:i/>
          <w:sz w:val="23"/>
          <w:szCs w:val="23"/>
        </w:rPr>
        <w:t>s</w:t>
      </w:r>
      <w:r w:rsidR="00DF05BD" w:rsidRPr="00F853DD">
        <w:rPr>
          <w:rFonts w:ascii="Times" w:hAnsi="Times" w:cs="Times New Roman"/>
          <w:i/>
          <w:sz w:val="23"/>
          <w:szCs w:val="23"/>
        </w:rPr>
        <w:t xml:space="preserve">tudy of the </w:t>
      </w:r>
      <w:r w:rsidRPr="00F853DD">
        <w:rPr>
          <w:rFonts w:ascii="Times" w:hAnsi="Times" w:cs="Times New Roman"/>
          <w:i/>
          <w:sz w:val="23"/>
          <w:szCs w:val="23"/>
        </w:rPr>
        <w:t>e</w:t>
      </w:r>
      <w:r w:rsidR="00DF05BD" w:rsidRPr="00F853DD">
        <w:rPr>
          <w:rFonts w:ascii="Times" w:hAnsi="Times" w:cs="Times New Roman"/>
          <w:i/>
          <w:sz w:val="23"/>
          <w:szCs w:val="23"/>
        </w:rPr>
        <w:t xml:space="preserve">xperience of </w:t>
      </w:r>
      <w:r w:rsidRPr="00F853DD">
        <w:rPr>
          <w:rFonts w:ascii="Times" w:hAnsi="Times" w:cs="Times New Roman"/>
          <w:i/>
          <w:sz w:val="23"/>
          <w:szCs w:val="23"/>
        </w:rPr>
        <w:t>f</w:t>
      </w:r>
      <w:r w:rsidR="00DF05BD" w:rsidRPr="00F853DD">
        <w:rPr>
          <w:rFonts w:ascii="Times" w:hAnsi="Times" w:cs="Times New Roman"/>
          <w:i/>
          <w:sz w:val="23"/>
          <w:szCs w:val="23"/>
        </w:rPr>
        <w:t xml:space="preserve">amily </w:t>
      </w:r>
      <w:r w:rsidRPr="00F853DD">
        <w:rPr>
          <w:rFonts w:ascii="Times" w:hAnsi="Times" w:cs="Times New Roman"/>
          <w:i/>
          <w:sz w:val="23"/>
          <w:szCs w:val="23"/>
        </w:rPr>
        <w:t>c</w:t>
      </w:r>
      <w:r w:rsidR="00DF05BD" w:rsidRPr="00F853DD">
        <w:rPr>
          <w:rFonts w:ascii="Times" w:hAnsi="Times" w:cs="Times New Roman"/>
          <w:i/>
          <w:sz w:val="23"/>
          <w:szCs w:val="23"/>
        </w:rPr>
        <w:t xml:space="preserve">are of the </w:t>
      </w:r>
      <w:r w:rsidRPr="00F853DD">
        <w:rPr>
          <w:rFonts w:ascii="Times" w:hAnsi="Times" w:cs="Times New Roman"/>
          <w:i/>
          <w:sz w:val="23"/>
          <w:szCs w:val="23"/>
        </w:rPr>
        <w:t>d</w:t>
      </w:r>
      <w:r w:rsidR="00DF05BD" w:rsidRPr="00F853DD">
        <w:rPr>
          <w:rFonts w:ascii="Times" w:hAnsi="Times" w:cs="Times New Roman"/>
          <w:i/>
          <w:sz w:val="23"/>
          <w:szCs w:val="23"/>
        </w:rPr>
        <w:t>ying</w:t>
      </w:r>
      <w:r w:rsidR="00DF05BD" w:rsidRPr="00F853DD">
        <w:rPr>
          <w:rFonts w:ascii="Times" w:hAnsi="Times" w:cs="Times New Roman"/>
          <w:sz w:val="23"/>
          <w:szCs w:val="23"/>
        </w:rPr>
        <w:t>. Doctor of Health, University of Bath.</w:t>
      </w:r>
    </w:p>
    <w:p w14:paraId="6DE24EA9" w14:textId="09B62248" w:rsidR="00DF05BD"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Newcomer, R.</w:t>
      </w:r>
      <w:r w:rsidR="00DF05BD" w:rsidRPr="00F853DD">
        <w:rPr>
          <w:rFonts w:ascii="Times" w:hAnsi="Times" w:cs="Times New Roman"/>
          <w:sz w:val="23"/>
          <w:szCs w:val="23"/>
        </w:rPr>
        <w:t>, Kang, T. and Doty, P.</w:t>
      </w:r>
      <w:r w:rsidRPr="00F853DD">
        <w:rPr>
          <w:rFonts w:ascii="Times" w:hAnsi="Times" w:cs="Times New Roman"/>
          <w:sz w:val="23"/>
          <w:szCs w:val="23"/>
        </w:rPr>
        <w:t>,</w:t>
      </w:r>
      <w:r w:rsidR="00DF05BD" w:rsidRPr="00F853DD">
        <w:rPr>
          <w:rFonts w:ascii="Times" w:hAnsi="Times" w:cs="Times New Roman"/>
          <w:sz w:val="23"/>
          <w:szCs w:val="23"/>
        </w:rPr>
        <w:t xml:space="preserve"> (2012). Allowing </w:t>
      </w:r>
      <w:r w:rsidRPr="00F853DD">
        <w:rPr>
          <w:rFonts w:ascii="Times" w:hAnsi="Times" w:cs="Times New Roman"/>
          <w:sz w:val="23"/>
          <w:szCs w:val="23"/>
        </w:rPr>
        <w:t>s</w:t>
      </w:r>
      <w:r w:rsidR="00DF05BD" w:rsidRPr="00F853DD">
        <w:rPr>
          <w:rFonts w:ascii="Times" w:hAnsi="Times" w:cs="Times New Roman"/>
          <w:sz w:val="23"/>
          <w:szCs w:val="23"/>
        </w:rPr>
        <w:t xml:space="preserve">pouses to be paid personal care providers: </w:t>
      </w:r>
      <w:r w:rsidRPr="00F853DD">
        <w:rPr>
          <w:rFonts w:ascii="Times" w:hAnsi="Times" w:cs="Times New Roman"/>
          <w:sz w:val="23"/>
          <w:szCs w:val="23"/>
        </w:rPr>
        <w:t>s</w:t>
      </w:r>
      <w:r w:rsidR="00DF05BD" w:rsidRPr="00F853DD">
        <w:rPr>
          <w:rFonts w:ascii="Times" w:hAnsi="Times" w:cs="Times New Roman"/>
          <w:sz w:val="23"/>
          <w:szCs w:val="23"/>
        </w:rPr>
        <w:t xml:space="preserve">pouse </w:t>
      </w:r>
      <w:r w:rsidRPr="00F853DD">
        <w:rPr>
          <w:rFonts w:ascii="Times" w:hAnsi="Times" w:cs="Times New Roman"/>
          <w:sz w:val="23"/>
          <w:szCs w:val="23"/>
        </w:rPr>
        <w:t>a</w:t>
      </w:r>
      <w:r w:rsidR="00DF05BD" w:rsidRPr="00F853DD">
        <w:rPr>
          <w:rFonts w:ascii="Times" w:hAnsi="Times" w:cs="Times New Roman"/>
          <w:sz w:val="23"/>
          <w:szCs w:val="23"/>
        </w:rPr>
        <w:t xml:space="preserve">vailability and effects on Medicaid-funded service use and expenditures. </w:t>
      </w:r>
      <w:r w:rsidR="00DF05BD" w:rsidRPr="00F853DD">
        <w:rPr>
          <w:rFonts w:ascii="Times" w:hAnsi="Times" w:cs="Times New Roman"/>
          <w:i/>
          <w:sz w:val="23"/>
          <w:szCs w:val="23"/>
        </w:rPr>
        <w:t>Gerontologist</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52</w:t>
      </w:r>
      <w:r w:rsidR="00DF05BD" w:rsidRPr="00F853DD">
        <w:rPr>
          <w:rFonts w:ascii="Times" w:hAnsi="Times" w:cs="Times New Roman"/>
          <w:sz w:val="23"/>
          <w:szCs w:val="23"/>
        </w:rPr>
        <w:t>, 517-530.</w:t>
      </w:r>
    </w:p>
    <w:p w14:paraId="02B3F8FC" w14:textId="7F616BA0" w:rsidR="00745593" w:rsidRPr="00F853DD" w:rsidRDefault="00745593" w:rsidP="00745593">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Newman, D., (1997). Responses to caregiving: a reconceptualization using the Roy adaptation model. </w:t>
      </w:r>
      <w:r w:rsidRPr="00F853DD">
        <w:rPr>
          <w:rFonts w:ascii="Times" w:hAnsi="Times" w:cs="Times New Roman"/>
          <w:i/>
          <w:sz w:val="23"/>
          <w:szCs w:val="23"/>
        </w:rPr>
        <w:t>Holistic Nursing Practice</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 80-8.</w:t>
      </w:r>
    </w:p>
    <w:p w14:paraId="3DE308AB" w14:textId="77777777" w:rsidR="00745593"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Newman, D. and Grauerholz, L., (2002). </w:t>
      </w:r>
      <w:r w:rsidRPr="00F853DD">
        <w:rPr>
          <w:rFonts w:ascii="Times" w:hAnsi="Times" w:cs="Times New Roman"/>
          <w:i/>
          <w:sz w:val="23"/>
          <w:szCs w:val="23"/>
        </w:rPr>
        <w:t>Sociology of Families</w:t>
      </w:r>
      <w:r w:rsidRPr="00F853DD">
        <w:rPr>
          <w:rFonts w:ascii="Times" w:hAnsi="Times" w:cs="Times New Roman"/>
          <w:sz w:val="23"/>
          <w:szCs w:val="23"/>
        </w:rPr>
        <w:t>. USA: Sage Publications Limited.</w:t>
      </w:r>
    </w:p>
    <w:p w14:paraId="7434DD20" w14:textId="3B8FA3D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Newsham, A., Davies, M., Ulrichs, M., Godfrey-Wood, R. and Béné, C.</w:t>
      </w:r>
      <w:r w:rsidR="00745593" w:rsidRPr="00F853DD">
        <w:rPr>
          <w:rFonts w:ascii="Times" w:hAnsi="Times" w:cs="Times New Roman"/>
          <w:sz w:val="23"/>
          <w:szCs w:val="23"/>
        </w:rPr>
        <w:t>,</w:t>
      </w:r>
      <w:r w:rsidRPr="00F853DD">
        <w:rPr>
          <w:rFonts w:ascii="Times" w:hAnsi="Times" w:cs="Times New Roman"/>
          <w:sz w:val="23"/>
          <w:szCs w:val="23"/>
        </w:rPr>
        <w:t xml:space="preserve"> (2014). Review </w:t>
      </w:r>
      <w:r w:rsidR="00745593" w:rsidRPr="00F853DD">
        <w:rPr>
          <w:rFonts w:ascii="Times" w:hAnsi="Times" w:cs="Times New Roman"/>
          <w:sz w:val="23"/>
          <w:szCs w:val="23"/>
        </w:rPr>
        <w:t>a</w:t>
      </w:r>
      <w:r w:rsidRPr="00F853DD">
        <w:rPr>
          <w:rFonts w:ascii="Times" w:hAnsi="Times" w:cs="Times New Roman"/>
          <w:sz w:val="23"/>
          <w:szCs w:val="23"/>
        </w:rPr>
        <w:t xml:space="preserve">rticle: </w:t>
      </w:r>
      <w:r w:rsidR="00745593" w:rsidRPr="00F853DD">
        <w:rPr>
          <w:rFonts w:ascii="Times" w:hAnsi="Times" w:cs="Times New Roman"/>
          <w:sz w:val="23"/>
          <w:szCs w:val="23"/>
        </w:rPr>
        <w:t>r</w:t>
      </w:r>
      <w:r w:rsidRPr="00F853DD">
        <w:rPr>
          <w:rFonts w:ascii="Times" w:hAnsi="Times" w:cs="Times New Roman"/>
          <w:sz w:val="23"/>
          <w:szCs w:val="23"/>
        </w:rPr>
        <w:t xml:space="preserve">esilience, </w:t>
      </w:r>
      <w:r w:rsidR="00745593" w:rsidRPr="00F853DD">
        <w:rPr>
          <w:rFonts w:ascii="Times" w:hAnsi="Times" w:cs="Times New Roman"/>
          <w:sz w:val="23"/>
          <w:szCs w:val="23"/>
        </w:rPr>
        <w:t>p</w:t>
      </w:r>
      <w:r w:rsidRPr="00F853DD">
        <w:rPr>
          <w:rFonts w:ascii="Times" w:hAnsi="Times" w:cs="Times New Roman"/>
          <w:sz w:val="23"/>
          <w:szCs w:val="23"/>
        </w:rPr>
        <w:t xml:space="preserve">overty and </w:t>
      </w:r>
      <w:r w:rsidR="00745593" w:rsidRPr="00F853DD">
        <w:rPr>
          <w:rFonts w:ascii="Times" w:hAnsi="Times" w:cs="Times New Roman"/>
          <w:sz w:val="23"/>
          <w:szCs w:val="23"/>
        </w:rPr>
        <w:t>d</w:t>
      </w:r>
      <w:r w:rsidRPr="00F853DD">
        <w:rPr>
          <w:rFonts w:ascii="Times" w:hAnsi="Times" w:cs="Times New Roman"/>
          <w:sz w:val="23"/>
          <w:szCs w:val="23"/>
        </w:rPr>
        <w:t xml:space="preserve">evelopment. </w:t>
      </w:r>
      <w:r w:rsidR="00446D1C" w:rsidRPr="00F853DD">
        <w:rPr>
          <w:rFonts w:ascii="Times" w:hAnsi="Times" w:cs="Times New Roman"/>
          <w:i/>
          <w:sz w:val="23"/>
          <w:szCs w:val="23"/>
        </w:rPr>
        <w:t xml:space="preserve">Journal of International Development  </w:t>
      </w:r>
      <w:r w:rsidR="00446D1C" w:rsidRPr="00F853DD">
        <w:rPr>
          <w:rFonts w:ascii="Times" w:hAnsi="Times" w:cs="Times New Roman"/>
          <w:sz w:val="23"/>
          <w:szCs w:val="23"/>
        </w:rPr>
        <w:t>[online].</w:t>
      </w:r>
      <w:r w:rsidRPr="00F853DD">
        <w:rPr>
          <w:rFonts w:ascii="Times" w:hAnsi="Times" w:cs="Times New Roman"/>
          <w:b/>
          <w:sz w:val="23"/>
          <w:szCs w:val="23"/>
        </w:rPr>
        <w:t>26</w:t>
      </w:r>
      <w:r w:rsidR="00446D1C" w:rsidRPr="00F853DD">
        <w:rPr>
          <w:rFonts w:ascii="Times" w:hAnsi="Times" w:cs="Times New Roman"/>
          <w:sz w:val="23"/>
          <w:szCs w:val="23"/>
        </w:rPr>
        <w:t>(5)</w:t>
      </w:r>
      <w:r w:rsidRPr="00F853DD">
        <w:rPr>
          <w:rFonts w:ascii="Times" w:hAnsi="Times" w:cs="Times New Roman"/>
          <w:sz w:val="23"/>
          <w:szCs w:val="23"/>
        </w:rPr>
        <w:t>, 598-623.</w:t>
      </w:r>
      <w:r w:rsidR="00446D1C" w:rsidRPr="00F853DD">
        <w:rPr>
          <w:rFonts w:ascii="Times" w:hAnsi="Times" w:cs="Times New Roman"/>
          <w:sz w:val="23"/>
          <w:szCs w:val="23"/>
        </w:rPr>
        <w:t xml:space="preserve"> </w:t>
      </w:r>
      <w:r w:rsidR="00446D1C" w:rsidRPr="00F853DD">
        <w:rPr>
          <w:rFonts w:ascii="Times" w:eastAsiaTheme="minorHAnsi" w:hAnsi="Times" w:cs="Times"/>
          <w:sz w:val="23"/>
          <w:szCs w:val="23"/>
          <w:lang w:eastAsia="en-US"/>
        </w:rPr>
        <w:t>[Viewed 23 April 2016]. Available from: doi/</w:t>
      </w:r>
      <w:proofErr w:type="spellStart"/>
      <w:r w:rsidR="00446D1C" w:rsidRPr="00F853DD">
        <w:rPr>
          <w:rFonts w:ascii="Times" w:eastAsiaTheme="minorHAnsi" w:hAnsi="Times" w:cs="Times"/>
          <w:sz w:val="23"/>
          <w:szCs w:val="23"/>
          <w:lang w:eastAsia="en-US"/>
        </w:rPr>
        <w:t>pdf</w:t>
      </w:r>
      <w:proofErr w:type="spellEnd"/>
      <w:r w:rsidR="00446D1C" w:rsidRPr="00F853DD">
        <w:rPr>
          <w:rFonts w:ascii="Times" w:eastAsiaTheme="minorHAnsi" w:hAnsi="Times" w:cs="Times"/>
          <w:sz w:val="23"/>
          <w:szCs w:val="23"/>
          <w:lang w:eastAsia="en-US"/>
        </w:rPr>
        <w:t>/10.1002/jid.2992.</w:t>
      </w:r>
    </w:p>
    <w:p w14:paraId="2B14192D" w14:textId="16EEC009" w:rsidR="00DF05BD"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Newsom, J. </w:t>
      </w:r>
      <w:r w:rsidR="00DF05BD" w:rsidRPr="00F853DD">
        <w:rPr>
          <w:rFonts w:ascii="Times" w:hAnsi="Times" w:cs="Times New Roman"/>
          <w:sz w:val="23"/>
          <w:szCs w:val="23"/>
        </w:rPr>
        <w:t>and Schulz, R.</w:t>
      </w:r>
      <w:r w:rsidRPr="00F853DD">
        <w:rPr>
          <w:rFonts w:ascii="Times" w:hAnsi="Times" w:cs="Times New Roman"/>
          <w:sz w:val="23"/>
          <w:szCs w:val="23"/>
        </w:rPr>
        <w:t>,</w:t>
      </w:r>
      <w:r w:rsidR="00DF05BD" w:rsidRPr="00F853DD">
        <w:rPr>
          <w:rFonts w:ascii="Times" w:hAnsi="Times" w:cs="Times New Roman"/>
          <w:sz w:val="23"/>
          <w:szCs w:val="23"/>
        </w:rPr>
        <w:t xml:space="preserve"> (1998). Caregiving from the recipient's perspective: </w:t>
      </w:r>
      <w:r w:rsidRPr="00F853DD">
        <w:rPr>
          <w:rFonts w:ascii="Times" w:hAnsi="Times" w:cs="Times New Roman"/>
          <w:sz w:val="23"/>
          <w:szCs w:val="23"/>
        </w:rPr>
        <w:t>n</w:t>
      </w:r>
      <w:r w:rsidR="00DF05BD" w:rsidRPr="00F853DD">
        <w:rPr>
          <w:rFonts w:ascii="Times" w:hAnsi="Times" w:cs="Times New Roman"/>
          <w:sz w:val="23"/>
          <w:szCs w:val="23"/>
        </w:rPr>
        <w:t xml:space="preserve">egative reactions to being helped. </w:t>
      </w:r>
      <w:r w:rsidR="00DF05BD" w:rsidRPr="00F853DD">
        <w:rPr>
          <w:rFonts w:ascii="Times" w:hAnsi="Times" w:cs="Times New Roman"/>
          <w:i/>
          <w:sz w:val="23"/>
          <w:szCs w:val="23"/>
        </w:rPr>
        <w:t>Health Psychology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17</w:t>
      </w:r>
      <w:r w:rsidR="00DF05BD" w:rsidRPr="00F853DD">
        <w:rPr>
          <w:rFonts w:ascii="Times" w:hAnsi="Times" w:cs="Times New Roman"/>
          <w:sz w:val="23"/>
          <w:szCs w:val="23"/>
        </w:rPr>
        <w:t>, 172-181.</w:t>
      </w:r>
    </w:p>
    <w:p w14:paraId="3D169343" w14:textId="642DDEE8" w:rsidR="00DF05BD" w:rsidRPr="00F853DD" w:rsidRDefault="007455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Ng, H., Griva, K., Lim, H., Tan, J</w:t>
      </w:r>
      <w:r w:rsidR="00DF05BD" w:rsidRPr="00F853DD">
        <w:rPr>
          <w:rFonts w:ascii="Times" w:hAnsi="Times" w:cs="Times New Roman"/>
          <w:sz w:val="23"/>
          <w:szCs w:val="23"/>
        </w:rPr>
        <w:t>. and Mahendran, R.</w:t>
      </w:r>
      <w:r w:rsidRPr="00F853DD">
        <w:rPr>
          <w:rFonts w:ascii="Times" w:hAnsi="Times" w:cs="Times New Roman"/>
          <w:sz w:val="23"/>
          <w:szCs w:val="23"/>
        </w:rPr>
        <w:t>,</w:t>
      </w:r>
      <w:r w:rsidR="00DF05BD" w:rsidRPr="00F853DD">
        <w:rPr>
          <w:rFonts w:ascii="Times" w:hAnsi="Times" w:cs="Times New Roman"/>
          <w:sz w:val="23"/>
          <w:szCs w:val="23"/>
        </w:rPr>
        <w:t xml:space="preserve"> (2016). The burden of filial piety: </w:t>
      </w:r>
      <w:r w:rsidRPr="00F853DD">
        <w:rPr>
          <w:rFonts w:ascii="Times" w:hAnsi="Times" w:cs="Times New Roman"/>
          <w:sz w:val="23"/>
          <w:szCs w:val="23"/>
        </w:rPr>
        <w:t>a</w:t>
      </w:r>
      <w:r w:rsidR="00DF05BD" w:rsidRPr="00F853DD">
        <w:rPr>
          <w:rFonts w:ascii="Times" w:hAnsi="Times" w:cs="Times New Roman"/>
          <w:sz w:val="23"/>
          <w:szCs w:val="23"/>
        </w:rPr>
        <w:t xml:space="preserve"> qualitative study on caregiving motivations amongst family caregivers of patients with cancer in Singapore. </w:t>
      </w:r>
      <w:r w:rsidR="00DF05BD" w:rsidRPr="00F853DD">
        <w:rPr>
          <w:rFonts w:ascii="Times" w:hAnsi="Times" w:cs="Times New Roman"/>
          <w:i/>
          <w:sz w:val="23"/>
          <w:szCs w:val="23"/>
        </w:rPr>
        <w:t>Psychology and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31</w:t>
      </w:r>
      <w:r w:rsidR="00DF05BD" w:rsidRPr="00F853DD">
        <w:rPr>
          <w:rFonts w:ascii="Times" w:hAnsi="Times" w:cs="Times New Roman"/>
          <w:sz w:val="23"/>
          <w:szCs w:val="23"/>
        </w:rPr>
        <w:t>, 1293-1310.</w:t>
      </w:r>
    </w:p>
    <w:p w14:paraId="261C48DC" w14:textId="27CB21B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Ng, A., Phillips, D. and Lee, W.</w:t>
      </w:r>
      <w:r w:rsidR="00745593" w:rsidRPr="00F853DD">
        <w:rPr>
          <w:rFonts w:ascii="Times" w:hAnsi="Times" w:cs="Times New Roman"/>
          <w:sz w:val="23"/>
          <w:szCs w:val="23"/>
        </w:rPr>
        <w:t>,</w:t>
      </w:r>
      <w:r w:rsidRPr="00F853DD">
        <w:rPr>
          <w:rFonts w:ascii="Times" w:hAnsi="Times" w:cs="Times New Roman"/>
          <w:sz w:val="23"/>
          <w:szCs w:val="23"/>
        </w:rPr>
        <w:t xml:space="preserve"> (2002). Persistence and challenges to filial piety and informal support of older persons in a modern Chinese society: </w:t>
      </w:r>
      <w:r w:rsidR="00745593" w:rsidRPr="00F853DD">
        <w:rPr>
          <w:rFonts w:ascii="Times" w:hAnsi="Times" w:cs="Times New Roman"/>
          <w:sz w:val="23"/>
          <w:szCs w:val="23"/>
        </w:rPr>
        <w:t>a</w:t>
      </w:r>
      <w:r w:rsidRPr="00F853DD">
        <w:rPr>
          <w:rFonts w:ascii="Times" w:hAnsi="Times" w:cs="Times New Roman"/>
          <w:sz w:val="23"/>
          <w:szCs w:val="23"/>
        </w:rPr>
        <w:t xml:space="preserve"> case study in Tuen Mun, Hong Kong. </w:t>
      </w:r>
      <w:r w:rsidRPr="00F853DD">
        <w:rPr>
          <w:rFonts w:ascii="Times" w:hAnsi="Times" w:cs="Times New Roman"/>
          <w:i/>
          <w:sz w:val="23"/>
          <w:szCs w:val="23"/>
        </w:rPr>
        <w:t>Journal of Aging Studies</w:t>
      </w:r>
      <w:r w:rsidR="0074559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(2), 135-153.</w:t>
      </w:r>
    </w:p>
    <w:p w14:paraId="2623D965" w14:textId="3039ECC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w:t>
      </w:r>
      <w:r w:rsidR="00745593" w:rsidRPr="00F853DD">
        <w:rPr>
          <w:rFonts w:ascii="Times" w:hAnsi="Times" w:cs="Times New Roman"/>
          <w:sz w:val="23"/>
          <w:szCs w:val="23"/>
        </w:rPr>
        <w:t>gangana, P., Davis, B., Burns, D., McGee, Z. and Montgomery, A.</w:t>
      </w:r>
      <w:r w:rsidRPr="00F853DD">
        <w:rPr>
          <w:rFonts w:ascii="Times" w:hAnsi="Times" w:cs="Times New Roman"/>
          <w:sz w:val="23"/>
          <w:szCs w:val="23"/>
        </w:rPr>
        <w:t xml:space="preserve"> (2016). Intra-family stressors among adult siblings sharing caregiving for parents. </w:t>
      </w:r>
      <w:r w:rsidRPr="00F853DD">
        <w:rPr>
          <w:rFonts w:ascii="Times" w:hAnsi="Times" w:cs="Times New Roman"/>
          <w:i/>
          <w:sz w:val="23"/>
          <w:szCs w:val="23"/>
        </w:rPr>
        <w:t>Journal of Advanced Nursing</w:t>
      </w:r>
      <w:r w:rsidR="0074559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72</w:t>
      </w:r>
      <w:r w:rsidRPr="00F853DD">
        <w:rPr>
          <w:rFonts w:ascii="Times" w:hAnsi="Times" w:cs="Times New Roman"/>
          <w:sz w:val="23"/>
          <w:szCs w:val="23"/>
        </w:rPr>
        <w:t>, 3169-3181.</w:t>
      </w:r>
    </w:p>
    <w:p w14:paraId="4857B761" w14:textId="5F6ADE42" w:rsidR="00DF05BD" w:rsidRPr="00F853DD" w:rsidRDefault="00745593"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Nguyen, V., Love, A. and Kunik, M.,</w:t>
      </w:r>
      <w:r w:rsidR="00DF05BD" w:rsidRPr="00F853DD">
        <w:rPr>
          <w:rFonts w:ascii="Times" w:hAnsi="Times" w:cs="Times New Roman"/>
          <w:sz w:val="23"/>
          <w:szCs w:val="23"/>
        </w:rPr>
        <w:t xml:space="preserve"> (2008). Preventing aggression in persons with dementia. </w:t>
      </w:r>
      <w:r w:rsidR="00DF05BD" w:rsidRPr="00F853DD">
        <w:rPr>
          <w:rFonts w:ascii="Times" w:hAnsi="Times" w:cs="Times New Roman"/>
          <w:i/>
          <w:sz w:val="23"/>
          <w:szCs w:val="23"/>
        </w:rPr>
        <w:t>Geriatrics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63</w:t>
      </w:r>
      <w:r w:rsidR="00446D1C" w:rsidRPr="00F853DD">
        <w:rPr>
          <w:rFonts w:ascii="Times" w:hAnsi="Times" w:cs="Times New Roman"/>
          <w:sz w:val="23"/>
          <w:szCs w:val="23"/>
        </w:rPr>
        <w:t>(11), 21-26.</w:t>
      </w:r>
    </w:p>
    <w:p w14:paraId="6822ED36" w14:textId="0C3EED8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Nhongo, T.</w:t>
      </w:r>
      <w:r w:rsidR="00745593" w:rsidRPr="00F853DD">
        <w:rPr>
          <w:rFonts w:ascii="Times" w:hAnsi="Times" w:cs="Times New Roman"/>
          <w:sz w:val="23"/>
          <w:szCs w:val="23"/>
        </w:rPr>
        <w:t>,</w:t>
      </w:r>
      <w:r w:rsidRPr="00F853DD">
        <w:rPr>
          <w:rFonts w:ascii="Times" w:hAnsi="Times" w:cs="Times New Roman"/>
          <w:sz w:val="23"/>
          <w:szCs w:val="23"/>
        </w:rPr>
        <w:t xml:space="preserve"> (2001). Elder abuse in the health care services in Kenya. Nairobi, Kenya: Help Age International–Africa Regional Development Centre.</w:t>
      </w:r>
    </w:p>
    <w:p w14:paraId="1EF31CD1" w14:textId="000009E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Nicholls, K.</w:t>
      </w:r>
      <w:r w:rsidR="002602A1" w:rsidRPr="00F853DD">
        <w:rPr>
          <w:rFonts w:ascii="Times" w:hAnsi="Times" w:cs="Times New Roman"/>
          <w:sz w:val="23"/>
          <w:szCs w:val="23"/>
        </w:rPr>
        <w:t>,</w:t>
      </w:r>
      <w:r w:rsidRPr="00F853DD">
        <w:rPr>
          <w:rFonts w:ascii="Times" w:hAnsi="Times" w:cs="Times New Roman"/>
          <w:sz w:val="23"/>
          <w:szCs w:val="23"/>
        </w:rPr>
        <w:t xml:space="preserve"> (2010). The </w:t>
      </w:r>
      <w:r w:rsidR="002602A1" w:rsidRPr="00F853DD">
        <w:rPr>
          <w:rFonts w:ascii="Times" w:hAnsi="Times" w:cs="Times New Roman"/>
          <w:sz w:val="23"/>
          <w:szCs w:val="23"/>
        </w:rPr>
        <w:t>d</w:t>
      </w:r>
      <w:r w:rsidRPr="00F853DD">
        <w:rPr>
          <w:rFonts w:ascii="Times" w:hAnsi="Times" w:cs="Times New Roman"/>
          <w:sz w:val="23"/>
          <w:szCs w:val="23"/>
        </w:rPr>
        <w:t xml:space="preserve">iabetes </w:t>
      </w:r>
      <w:r w:rsidR="002602A1" w:rsidRPr="00F853DD">
        <w:rPr>
          <w:rFonts w:ascii="Times" w:hAnsi="Times" w:cs="Times New Roman"/>
          <w:sz w:val="23"/>
          <w:szCs w:val="23"/>
        </w:rPr>
        <w:t>e</w:t>
      </w:r>
      <w:r w:rsidRPr="00F853DD">
        <w:rPr>
          <w:rFonts w:ascii="Times" w:hAnsi="Times" w:cs="Times New Roman"/>
          <w:sz w:val="23"/>
          <w:szCs w:val="23"/>
        </w:rPr>
        <w:t>pidemic in Trinidad and Tobago: </w:t>
      </w:r>
      <w:r w:rsidR="002602A1" w:rsidRPr="00F853DD">
        <w:rPr>
          <w:rFonts w:ascii="Times" w:hAnsi="Times" w:cs="Times New Roman"/>
          <w:sz w:val="23"/>
          <w:szCs w:val="23"/>
        </w:rPr>
        <w:t>a</w:t>
      </w:r>
      <w:r w:rsidRPr="00F853DD">
        <w:rPr>
          <w:rFonts w:ascii="Times" w:hAnsi="Times" w:cs="Times New Roman"/>
          <w:sz w:val="23"/>
          <w:szCs w:val="23"/>
        </w:rPr>
        <w:t xml:space="preserve">ttacking </w:t>
      </w:r>
      <w:r w:rsidR="002602A1" w:rsidRPr="00F853DD">
        <w:rPr>
          <w:rFonts w:ascii="Times" w:hAnsi="Times" w:cs="Times New Roman"/>
          <w:sz w:val="23"/>
          <w:szCs w:val="23"/>
        </w:rPr>
        <w:t>a</w:t>
      </w:r>
      <w:r w:rsidRPr="00F853DD">
        <w:rPr>
          <w:rFonts w:ascii="Times" w:hAnsi="Times" w:cs="Times New Roman"/>
          <w:sz w:val="23"/>
          <w:szCs w:val="23"/>
        </w:rPr>
        <w:t xml:space="preserve"> </w:t>
      </w:r>
      <w:r w:rsidR="002602A1" w:rsidRPr="00F853DD">
        <w:rPr>
          <w:rFonts w:ascii="Times" w:hAnsi="Times" w:cs="Times New Roman"/>
          <w:sz w:val="23"/>
          <w:szCs w:val="23"/>
        </w:rPr>
        <w:t>b</w:t>
      </w:r>
      <w:r w:rsidRPr="00F853DD">
        <w:rPr>
          <w:rFonts w:ascii="Times" w:hAnsi="Times" w:cs="Times New Roman"/>
          <w:sz w:val="23"/>
          <w:szCs w:val="23"/>
        </w:rPr>
        <w:t xml:space="preserve">urdensome </w:t>
      </w:r>
      <w:r w:rsidR="002602A1" w:rsidRPr="00F853DD">
        <w:rPr>
          <w:rFonts w:ascii="Times" w:hAnsi="Times" w:cs="Times New Roman"/>
          <w:sz w:val="23"/>
          <w:szCs w:val="23"/>
        </w:rPr>
        <w:t>d</w:t>
      </w:r>
      <w:r w:rsidRPr="00F853DD">
        <w:rPr>
          <w:rFonts w:ascii="Times" w:hAnsi="Times" w:cs="Times New Roman"/>
          <w:sz w:val="23"/>
          <w:szCs w:val="23"/>
        </w:rPr>
        <w:t xml:space="preserve">isease with </w:t>
      </w:r>
      <w:r w:rsidR="002602A1" w:rsidRPr="00F853DD">
        <w:rPr>
          <w:rFonts w:ascii="Times" w:hAnsi="Times" w:cs="Times New Roman"/>
          <w:sz w:val="23"/>
          <w:szCs w:val="23"/>
        </w:rPr>
        <w:t>c</w:t>
      </w:r>
      <w:r w:rsidRPr="00F853DD">
        <w:rPr>
          <w:rFonts w:ascii="Times" w:hAnsi="Times" w:cs="Times New Roman"/>
          <w:sz w:val="23"/>
          <w:szCs w:val="23"/>
        </w:rPr>
        <w:t xml:space="preserve">onventional </w:t>
      </w:r>
      <w:r w:rsidR="002602A1" w:rsidRPr="00F853DD">
        <w:rPr>
          <w:rFonts w:ascii="Times" w:hAnsi="Times" w:cs="Times New Roman"/>
          <w:sz w:val="23"/>
          <w:szCs w:val="23"/>
        </w:rPr>
        <w:t>w</w:t>
      </w:r>
      <w:r w:rsidRPr="00F853DD">
        <w:rPr>
          <w:rFonts w:ascii="Times" w:hAnsi="Times" w:cs="Times New Roman"/>
          <w:sz w:val="23"/>
          <w:szCs w:val="23"/>
        </w:rPr>
        <w:t>eapons.</w:t>
      </w:r>
      <w:r w:rsidR="00D86E02" w:rsidRPr="00F853DD">
        <w:rPr>
          <w:rFonts w:ascii="Times" w:hAnsi="Times" w:cs="Times New Roman"/>
          <w:sz w:val="23"/>
          <w:szCs w:val="23"/>
        </w:rPr>
        <w:t xml:space="preserve"> </w:t>
      </w:r>
      <w:r w:rsidR="00D86E02" w:rsidRPr="00F853DD">
        <w:rPr>
          <w:rFonts w:ascii="Times" w:hAnsi="Times" w:cs="Times New Roman"/>
          <w:i/>
          <w:sz w:val="23"/>
          <w:szCs w:val="23"/>
        </w:rPr>
        <w:t>Blood Glucose Monitoring.</w:t>
      </w:r>
    </w:p>
    <w:p w14:paraId="6FA53C7D" w14:textId="596CDE35" w:rsidR="00DF05BD" w:rsidRPr="00F853DD" w:rsidRDefault="002602A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Niimi, Y., (2016). The “costs”</w:t>
      </w:r>
      <w:r w:rsidR="00DF05BD" w:rsidRPr="00F853DD">
        <w:rPr>
          <w:rFonts w:ascii="Times" w:hAnsi="Times" w:cs="Times New Roman"/>
          <w:sz w:val="23"/>
          <w:szCs w:val="23"/>
        </w:rPr>
        <w:t xml:space="preserve"> of informal care: an analysis of the impac</w:t>
      </w:r>
      <w:r w:rsidRPr="00F853DD">
        <w:rPr>
          <w:rFonts w:ascii="Times" w:hAnsi="Times" w:cs="Times New Roman"/>
          <w:sz w:val="23"/>
          <w:szCs w:val="23"/>
        </w:rPr>
        <w:t>t of elderly care on caregivers’</w:t>
      </w:r>
      <w:r w:rsidR="00DF05BD" w:rsidRPr="00F853DD">
        <w:rPr>
          <w:rFonts w:ascii="Times" w:hAnsi="Times" w:cs="Times New Roman"/>
          <w:sz w:val="23"/>
          <w:szCs w:val="23"/>
        </w:rPr>
        <w:t xml:space="preserve"> subjective well-being in Japan. </w:t>
      </w:r>
      <w:r w:rsidR="00DF05BD" w:rsidRPr="00F853DD">
        <w:rPr>
          <w:rFonts w:ascii="Times" w:hAnsi="Times" w:cs="Times New Roman"/>
          <w:i/>
          <w:sz w:val="23"/>
          <w:szCs w:val="23"/>
        </w:rPr>
        <w:t>Review of Economics of the Household</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14</w:t>
      </w:r>
      <w:r w:rsidR="00DF05BD" w:rsidRPr="00F853DD">
        <w:rPr>
          <w:rFonts w:ascii="Times" w:hAnsi="Times" w:cs="Times New Roman"/>
          <w:sz w:val="23"/>
          <w:szCs w:val="23"/>
        </w:rPr>
        <w:t>, 779-810.</w:t>
      </w:r>
    </w:p>
    <w:p w14:paraId="310E7AF3" w14:textId="7D2C0CD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Nijboer, C., Triemstra, M., Tempelaar, R., Sanderm</w:t>
      </w:r>
      <w:r w:rsidR="002602A1" w:rsidRPr="00F853DD">
        <w:rPr>
          <w:rFonts w:ascii="Times" w:hAnsi="Times" w:cs="Times New Roman"/>
          <w:sz w:val="23"/>
          <w:szCs w:val="23"/>
        </w:rPr>
        <w:t xml:space="preserve">an, R. and Van Den </w:t>
      </w:r>
      <w:proofErr w:type="spellStart"/>
      <w:r w:rsidR="002602A1" w:rsidRPr="00F853DD">
        <w:rPr>
          <w:rFonts w:ascii="Times" w:hAnsi="Times" w:cs="Times New Roman"/>
          <w:sz w:val="23"/>
          <w:szCs w:val="23"/>
        </w:rPr>
        <w:t>Bos</w:t>
      </w:r>
      <w:proofErr w:type="spellEnd"/>
      <w:r w:rsidR="002602A1" w:rsidRPr="00F853DD">
        <w:rPr>
          <w:rFonts w:ascii="Times" w:hAnsi="Times" w:cs="Times New Roman"/>
          <w:sz w:val="23"/>
          <w:szCs w:val="23"/>
        </w:rPr>
        <w:t>, G.,</w:t>
      </w:r>
      <w:r w:rsidRPr="00F853DD">
        <w:rPr>
          <w:rFonts w:ascii="Times" w:hAnsi="Times" w:cs="Times New Roman"/>
          <w:sz w:val="23"/>
          <w:szCs w:val="23"/>
        </w:rPr>
        <w:t xml:space="preserve"> (1999). Measuring both negative and positive reactions to giving care to cancer patients: Psychometric qualities of the caregiver reaction assessment (CRA). </w:t>
      </w:r>
      <w:r w:rsidRPr="00F853DD">
        <w:rPr>
          <w:rFonts w:ascii="Times" w:hAnsi="Times" w:cs="Times New Roman"/>
          <w:i/>
          <w:sz w:val="23"/>
          <w:szCs w:val="23"/>
        </w:rPr>
        <w:t>Social Science and Medicine</w:t>
      </w:r>
      <w:r w:rsidR="002602A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48</w:t>
      </w:r>
      <w:r w:rsidRPr="00F853DD">
        <w:rPr>
          <w:rFonts w:ascii="Times" w:hAnsi="Times" w:cs="Times New Roman"/>
          <w:sz w:val="23"/>
          <w:szCs w:val="23"/>
        </w:rPr>
        <w:t>, 1259-1269.</w:t>
      </w:r>
    </w:p>
    <w:p w14:paraId="138F9991" w14:textId="36F9A235" w:rsidR="00DF05BD" w:rsidRPr="00F853DD" w:rsidRDefault="002602A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Nilsson, H., Bulow, P.</w:t>
      </w:r>
      <w:r w:rsidR="00DF05BD" w:rsidRPr="00F853DD">
        <w:rPr>
          <w:rFonts w:ascii="Times" w:hAnsi="Times" w:cs="Times New Roman"/>
          <w:sz w:val="23"/>
          <w:szCs w:val="23"/>
        </w:rPr>
        <w:t xml:space="preserve"> and Kazemi, A.</w:t>
      </w:r>
      <w:r w:rsidRPr="00F853DD">
        <w:rPr>
          <w:rFonts w:ascii="Times" w:hAnsi="Times" w:cs="Times New Roman"/>
          <w:sz w:val="23"/>
          <w:szCs w:val="23"/>
        </w:rPr>
        <w:t>,</w:t>
      </w:r>
      <w:r w:rsidR="00DF05BD" w:rsidRPr="00F853DD">
        <w:rPr>
          <w:rFonts w:ascii="Times" w:hAnsi="Times" w:cs="Times New Roman"/>
          <w:sz w:val="23"/>
          <w:szCs w:val="23"/>
        </w:rPr>
        <w:t xml:space="preserve"> (2015). Mindful sustainable aging: advancing a comprehensive approach to the challenges and opportunities of old age. </w:t>
      </w:r>
      <w:r w:rsidR="00DF05BD" w:rsidRPr="00F853DD">
        <w:rPr>
          <w:rFonts w:ascii="Times" w:hAnsi="Times" w:cs="Times New Roman"/>
          <w:i/>
          <w:sz w:val="23"/>
          <w:szCs w:val="23"/>
        </w:rPr>
        <w:t>Europe’s Journal of Psychology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11</w:t>
      </w:r>
      <w:r w:rsidR="00DF05BD" w:rsidRPr="00F853DD">
        <w:rPr>
          <w:rFonts w:ascii="Times" w:hAnsi="Times" w:cs="Times New Roman"/>
          <w:sz w:val="23"/>
          <w:szCs w:val="23"/>
        </w:rPr>
        <w:t>, 494-508.</w:t>
      </w:r>
    </w:p>
    <w:p w14:paraId="070308A0" w14:textId="21D09C0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Nocon, A. and Pearson, M.</w:t>
      </w:r>
      <w:r w:rsidR="002602A1" w:rsidRPr="00F853DD">
        <w:rPr>
          <w:rFonts w:ascii="Times" w:hAnsi="Times" w:cs="Times New Roman"/>
          <w:sz w:val="23"/>
          <w:szCs w:val="23"/>
        </w:rPr>
        <w:t>,</w:t>
      </w:r>
      <w:r w:rsidRPr="00F853DD">
        <w:rPr>
          <w:rFonts w:ascii="Times" w:hAnsi="Times" w:cs="Times New Roman"/>
          <w:sz w:val="23"/>
          <w:szCs w:val="23"/>
        </w:rPr>
        <w:t xml:space="preserve"> (2000). The roles of friends and neighbours in providing support for older people. </w:t>
      </w:r>
      <w:r w:rsidRPr="00F853DD">
        <w:rPr>
          <w:rFonts w:ascii="Times" w:hAnsi="Times" w:cs="Times New Roman"/>
          <w:i/>
          <w:sz w:val="23"/>
          <w:szCs w:val="23"/>
        </w:rPr>
        <w:t>Ageing &amp; Society</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(3), 341-367.</w:t>
      </w:r>
    </w:p>
    <w:p w14:paraId="1A6E9767" w14:textId="23F14C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Nolan, M., Keady, J. and Grant, G.</w:t>
      </w:r>
      <w:r w:rsidR="002602A1" w:rsidRPr="00F853DD">
        <w:rPr>
          <w:rFonts w:ascii="Times" w:hAnsi="Times" w:cs="Times New Roman"/>
          <w:sz w:val="23"/>
          <w:szCs w:val="23"/>
        </w:rPr>
        <w:t>,</w:t>
      </w:r>
      <w:r w:rsidRPr="00F853DD">
        <w:rPr>
          <w:rFonts w:ascii="Times" w:hAnsi="Times" w:cs="Times New Roman"/>
          <w:sz w:val="23"/>
          <w:szCs w:val="23"/>
        </w:rPr>
        <w:t xml:space="preserve"> (1995). Developing a typology of family care; implications for nurses and other service providers. </w:t>
      </w:r>
      <w:r w:rsidRPr="00F853DD">
        <w:rPr>
          <w:rFonts w:ascii="Times" w:hAnsi="Times" w:cs="Times New Roman"/>
          <w:i/>
          <w:sz w:val="23"/>
          <w:szCs w:val="23"/>
        </w:rPr>
        <w:t>Journal of Advanced Nursing</w:t>
      </w:r>
      <w:r w:rsidR="002602A1"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 256-265.</w:t>
      </w:r>
    </w:p>
    <w:p w14:paraId="1FB30384" w14:textId="7E364504" w:rsidR="00DF05BD" w:rsidRPr="00F853DD" w:rsidRDefault="002602A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Noltemeyer, A. and Bush, K.,</w:t>
      </w:r>
      <w:r w:rsidR="00DF05BD" w:rsidRPr="00F853DD">
        <w:rPr>
          <w:rFonts w:ascii="Times" w:hAnsi="Times" w:cs="Times New Roman"/>
          <w:sz w:val="23"/>
          <w:szCs w:val="23"/>
        </w:rPr>
        <w:t xml:space="preserve"> (2013). Adversity and resilience: </w:t>
      </w:r>
      <w:r w:rsidRPr="00F853DD">
        <w:rPr>
          <w:rFonts w:ascii="Times" w:hAnsi="Times" w:cs="Times New Roman"/>
          <w:sz w:val="23"/>
          <w:szCs w:val="23"/>
        </w:rPr>
        <w:t>a</w:t>
      </w:r>
      <w:r w:rsidR="00DF05BD" w:rsidRPr="00F853DD">
        <w:rPr>
          <w:rFonts w:ascii="Times" w:hAnsi="Times" w:cs="Times New Roman"/>
          <w:sz w:val="23"/>
          <w:szCs w:val="23"/>
        </w:rPr>
        <w:t xml:space="preserve"> synthesis of international research. </w:t>
      </w:r>
      <w:r w:rsidR="00DF05BD" w:rsidRPr="00F853DD">
        <w:rPr>
          <w:rFonts w:ascii="Times" w:hAnsi="Times" w:cs="Times New Roman"/>
          <w:i/>
          <w:sz w:val="23"/>
          <w:szCs w:val="23"/>
        </w:rPr>
        <w:t>School Psychology International</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34</w:t>
      </w:r>
      <w:r w:rsidR="00DF05BD" w:rsidRPr="00F853DD">
        <w:rPr>
          <w:rFonts w:ascii="Times" w:hAnsi="Times" w:cs="Times New Roman"/>
          <w:sz w:val="23"/>
          <w:szCs w:val="23"/>
        </w:rPr>
        <w:t>, 474-487.</w:t>
      </w:r>
    </w:p>
    <w:p w14:paraId="319AA22A" w14:textId="1506E710" w:rsidR="00DF05BD" w:rsidRPr="00F853DD" w:rsidRDefault="002602A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North, M. and Fiske, S.,</w:t>
      </w:r>
      <w:r w:rsidR="00DF05BD" w:rsidRPr="00F853DD">
        <w:rPr>
          <w:rFonts w:ascii="Times" w:hAnsi="Times" w:cs="Times New Roman"/>
          <w:sz w:val="23"/>
          <w:szCs w:val="23"/>
        </w:rPr>
        <w:t xml:space="preserve"> (2015). Modern attitudes toward older adults in the aging world: </w:t>
      </w:r>
      <w:r w:rsidRPr="00F853DD">
        <w:rPr>
          <w:rFonts w:ascii="Times" w:hAnsi="Times" w:cs="Times New Roman"/>
          <w:sz w:val="23"/>
          <w:szCs w:val="23"/>
        </w:rPr>
        <w:t>a</w:t>
      </w:r>
      <w:r w:rsidR="00DF05BD" w:rsidRPr="00F853DD">
        <w:rPr>
          <w:rFonts w:ascii="Times" w:hAnsi="Times" w:cs="Times New Roman"/>
          <w:sz w:val="23"/>
          <w:szCs w:val="23"/>
        </w:rPr>
        <w:t xml:space="preserve"> cross-cultural meta-analysis. </w:t>
      </w:r>
      <w:r w:rsidR="00DF05BD" w:rsidRPr="00F853DD">
        <w:rPr>
          <w:rFonts w:ascii="Times" w:hAnsi="Times" w:cs="Times New Roman"/>
          <w:i/>
          <w:sz w:val="23"/>
          <w:szCs w:val="23"/>
        </w:rPr>
        <w:t>Psychological Bulletin</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141</w:t>
      </w:r>
      <w:r w:rsidR="00DF05BD" w:rsidRPr="00F853DD">
        <w:rPr>
          <w:rFonts w:ascii="Times" w:hAnsi="Times" w:cs="Times New Roman"/>
          <w:sz w:val="23"/>
          <w:szCs w:val="23"/>
        </w:rPr>
        <w:t>, 993-1021.</w:t>
      </w:r>
    </w:p>
    <w:p w14:paraId="144BFC7A" w14:textId="6DF0FD2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Novak, M. and Guest, C.</w:t>
      </w:r>
      <w:r w:rsidR="002602A1" w:rsidRPr="00F853DD">
        <w:rPr>
          <w:rFonts w:ascii="Times" w:hAnsi="Times" w:cs="Times New Roman"/>
          <w:sz w:val="23"/>
          <w:szCs w:val="23"/>
        </w:rPr>
        <w:t>,</w:t>
      </w:r>
      <w:r w:rsidRPr="00F853DD">
        <w:rPr>
          <w:rFonts w:ascii="Times" w:hAnsi="Times" w:cs="Times New Roman"/>
          <w:sz w:val="23"/>
          <w:szCs w:val="23"/>
        </w:rPr>
        <w:t xml:space="preserve"> (1989). Application of multidimensional caregiver burden inventory. </w:t>
      </w:r>
      <w:r w:rsidRPr="00F853DD">
        <w:rPr>
          <w:rFonts w:ascii="Times" w:hAnsi="Times" w:cs="Times New Roman"/>
          <w:i/>
          <w:sz w:val="23"/>
          <w:szCs w:val="23"/>
        </w:rPr>
        <w:t>Gerontologist</w:t>
      </w:r>
      <w:r w:rsidR="002602A1"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798-803.</w:t>
      </w:r>
    </w:p>
    <w:p w14:paraId="42219848" w14:textId="7C28E13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Nowakowski, A.</w:t>
      </w:r>
      <w:r w:rsidR="002602A1" w:rsidRPr="00F853DD">
        <w:rPr>
          <w:rFonts w:ascii="Times" w:hAnsi="Times" w:cs="Times New Roman"/>
          <w:sz w:val="23"/>
          <w:szCs w:val="23"/>
        </w:rPr>
        <w:t>, and Sumerau, J.,</w:t>
      </w:r>
      <w:r w:rsidRPr="00F853DD">
        <w:rPr>
          <w:rFonts w:ascii="Times" w:hAnsi="Times" w:cs="Times New Roman"/>
          <w:sz w:val="23"/>
          <w:szCs w:val="23"/>
        </w:rPr>
        <w:t xml:space="preserve"> (2017). Out of the shadow: </w:t>
      </w:r>
      <w:r w:rsidR="002602A1" w:rsidRPr="00F853DD">
        <w:rPr>
          <w:rFonts w:ascii="Times" w:hAnsi="Times" w:cs="Times New Roman"/>
          <w:sz w:val="23"/>
          <w:szCs w:val="23"/>
        </w:rPr>
        <w:t>p</w:t>
      </w:r>
      <w:r w:rsidRPr="00F853DD">
        <w:rPr>
          <w:rFonts w:ascii="Times" w:hAnsi="Times" w:cs="Times New Roman"/>
          <w:sz w:val="23"/>
          <w:szCs w:val="23"/>
        </w:rPr>
        <w:t xml:space="preserve">artners managing illness together. </w:t>
      </w:r>
      <w:r w:rsidRPr="00F853DD">
        <w:rPr>
          <w:rFonts w:ascii="Times" w:hAnsi="Times" w:cs="Times New Roman"/>
          <w:i/>
          <w:sz w:val="23"/>
          <w:szCs w:val="23"/>
        </w:rPr>
        <w:t>Sociology Compass</w:t>
      </w:r>
      <w:r w:rsidR="002602A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w:t>
      </w:r>
    </w:p>
    <w:p w14:paraId="1DDBD255" w14:textId="72900957" w:rsidR="00DF05BD" w:rsidRPr="00F853DD" w:rsidRDefault="002602A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Nugent, N., Sumner, J. and Amstadter, A.,</w:t>
      </w:r>
      <w:r w:rsidR="00DF05BD" w:rsidRPr="00F853DD">
        <w:rPr>
          <w:rFonts w:ascii="Times" w:hAnsi="Times" w:cs="Times New Roman"/>
          <w:sz w:val="23"/>
          <w:szCs w:val="23"/>
        </w:rPr>
        <w:t xml:space="preserve"> (2014). Resilience after trauma: from surviving to thriving. </w:t>
      </w:r>
      <w:r w:rsidR="00DF05BD" w:rsidRPr="00F853DD">
        <w:rPr>
          <w:rFonts w:ascii="Times" w:hAnsi="Times" w:cs="Times New Roman"/>
          <w:i/>
          <w:sz w:val="23"/>
          <w:szCs w:val="23"/>
        </w:rPr>
        <w:t>European Journal of Psychotraumatology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w:t>
      </w:r>
      <w:r w:rsidR="00DF05BD" w:rsidRPr="00F853DD">
        <w:rPr>
          <w:rFonts w:ascii="Times" w:hAnsi="Times" w:cs="Times New Roman"/>
          <w:sz w:val="23"/>
          <w:szCs w:val="23"/>
        </w:rPr>
        <w:t>, 4.</w:t>
      </w:r>
    </w:p>
    <w:p w14:paraId="1520C7FF" w14:textId="48EE8CB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Nusberg, C.</w:t>
      </w:r>
      <w:r w:rsidR="00F865F6" w:rsidRPr="00F853DD">
        <w:rPr>
          <w:rFonts w:ascii="Times" w:hAnsi="Times" w:cs="Times New Roman"/>
          <w:sz w:val="23"/>
          <w:szCs w:val="23"/>
        </w:rPr>
        <w:t>,</w:t>
      </w:r>
      <w:r w:rsidRPr="00F853DD">
        <w:rPr>
          <w:rFonts w:ascii="Times" w:hAnsi="Times" w:cs="Times New Roman"/>
          <w:sz w:val="23"/>
          <w:szCs w:val="23"/>
        </w:rPr>
        <w:t xml:space="preserve"> (1993). A </w:t>
      </w:r>
      <w:r w:rsidR="00F865F6" w:rsidRPr="00F853DD">
        <w:rPr>
          <w:rFonts w:ascii="Times" w:hAnsi="Times" w:cs="Times New Roman"/>
          <w:sz w:val="23"/>
          <w:szCs w:val="23"/>
        </w:rPr>
        <w:t>g</w:t>
      </w:r>
      <w:r w:rsidRPr="00F853DD">
        <w:rPr>
          <w:rFonts w:ascii="Times" w:hAnsi="Times" w:cs="Times New Roman"/>
          <w:sz w:val="23"/>
          <w:szCs w:val="23"/>
        </w:rPr>
        <w:t xml:space="preserve">lobal </w:t>
      </w:r>
      <w:r w:rsidR="00F865F6" w:rsidRPr="00F853DD">
        <w:rPr>
          <w:rFonts w:ascii="Times" w:hAnsi="Times" w:cs="Times New Roman"/>
          <w:sz w:val="23"/>
          <w:szCs w:val="23"/>
        </w:rPr>
        <w:t>v</w:t>
      </w:r>
      <w:r w:rsidRPr="00F853DD">
        <w:rPr>
          <w:rFonts w:ascii="Times" w:hAnsi="Times" w:cs="Times New Roman"/>
          <w:sz w:val="23"/>
          <w:szCs w:val="23"/>
        </w:rPr>
        <w:t xml:space="preserve">iew of </w:t>
      </w:r>
      <w:r w:rsidR="00F865F6" w:rsidRPr="00F853DD">
        <w:rPr>
          <w:rFonts w:ascii="Times" w:hAnsi="Times" w:cs="Times New Roman"/>
          <w:sz w:val="23"/>
          <w:szCs w:val="23"/>
        </w:rPr>
        <w:t>c</w:t>
      </w:r>
      <w:r w:rsidRPr="00F853DD">
        <w:rPr>
          <w:rFonts w:ascii="Times" w:hAnsi="Times" w:cs="Times New Roman"/>
          <w:sz w:val="23"/>
          <w:szCs w:val="23"/>
        </w:rPr>
        <w:t xml:space="preserve">hanging </w:t>
      </w:r>
      <w:r w:rsidR="00F865F6" w:rsidRPr="00F853DD">
        <w:rPr>
          <w:rFonts w:ascii="Times" w:hAnsi="Times" w:cs="Times New Roman"/>
          <w:sz w:val="23"/>
          <w:szCs w:val="23"/>
        </w:rPr>
        <w:t>s</w:t>
      </w:r>
      <w:r w:rsidRPr="00F853DD">
        <w:rPr>
          <w:rFonts w:ascii="Times" w:hAnsi="Times" w:cs="Times New Roman"/>
          <w:sz w:val="23"/>
          <w:szCs w:val="23"/>
        </w:rPr>
        <w:t xml:space="preserve">tate and </w:t>
      </w:r>
      <w:r w:rsidR="00F865F6" w:rsidRPr="00F853DD">
        <w:rPr>
          <w:rFonts w:ascii="Times" w:hAnsi="Times" w:cs="Times New Roman"/>
          <w:sz w:val="23"/>
          <w:szCs w:val="23"/>
        </w:rPr>
        <w:t>f</w:t>
      </w:r>
      <w:r w:rsidRPr="00F853DD">
        <w:rPr>
          <w:rFonts w:ascii="Times" w:hAnsi="Times" w:cs="Times New Roman"/>
          <w:sz w:val="23"/>
          <w:szCs w:val="23"/>
        </w:rPr>
        <w:t xml:space="preserve">amily </w:t>
      </w:r>
      <w:r w:rsidR="00F865F6" w:rsidRPr="00F853DD">
        <w:rPr>
          <w:rFonts w:ascii="Times" w:hAnsi="Times" w:cs="Times New Roman"/>
          <w:sz w:val="23"/>
          <w:szCs w:val="23"/>
        </w:rPr>
        <w:t>s</w:t>
      </w:r>
      <w:r w:rsidRPr="00F853DD">
        <w:rPr>
          <w:rFonts w:ascii="Times" w:hAnsi="Times" w:cs="Times New Roman"/>
          <w:sz w:val="23"/>
          <w:szCs w:val="23"/>
        </w:rPr>
        <w:t xml:space="preserve">upport for </w:t>
      </w:r>
      <w:r w:rsidR="00F865F6" w:rsidRPr="00F853DD">
        <w:rPr>
          <w:rFonts w:ascii="Times" w:hAnsi="Times" w:cs="Times New Roman"/>
          <w:sz w:val="23"/>
          <w:szCs w:val="23"/>
        </w:rPr>
        <w:t>o</w:t>
      </w:r>
      <w:r w:rsidRPr="00F853DD">
        <w:rPr>
          <w:rFonts w:ascii="Times" w:hAnsi="Times" w:cs="Times New Roman"/>
          <w:sz w:val="23"/>
          <w:szCs w:val="23"/>
        </w:rPr>
        <w:t xml:space="preserve">lder </w:t>
      </w:r>
      <w:r w:rsidR="00F865F6" w:rsidRPr="00F853DD">
        <w:rPr>
          <w:rFonts w:ascii="Times" w:hAnsi="Times" w:cs="Times New Roman"/>
          <w:sz w:val="23"/>
          <w:szCs w:val="23"/>
        </w:rPr>
        <w:t>p</w:t>
      </w:r>
      <w:r w:rsidRPr="00F853DD">
        <w:rPr>
          <w:rFonts w:ascii="Times" w:hAnsi="Times" w:cs="Times New Roman"/>
          <w:sz w:val="23"/>
          <w:szCs w:val="23"/>
        </w:rPr>
        <w:t xml:space="preserve">ersons. </w:t>
      </w:r>
      <w:r w:rsidRPr="00F853DD">
        <w:rPr>
          <w:rFonts w:ascii="Times" w:hAnsi="Times" w:cs="Times New Roman"/>
          <w:i/>
          <w:sz w:val="23"/>
          <w:szCs w:val="23"/>
        </w:rPr>
        <w:t>Journal of Aging &amp; Social Policy</w:t>
      </w:r>
      <w:r w:rsidR="00F865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(1-2), 7-11.</w:t>
      </w:r>
    </w:p>
    <w:p w14:paraId="25A52F32" w14:textId="41936F5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Nygren, B., Norberg, A. and Lundman, B.</w:t>
      </w:r>
      <w:r w:rsidR="00F865F6" w:rsidRPr="00F853DD">
        <w:rPr>
          <w:rFonts w:ascii="Times" w:hAnsi="Times" w:cs="Times New Roman"/>
          <w:sz w:val="23"/>
          <w:szCs w:val="23"/>
        </w:rPr>
        <w:t>,</w:t>
      </w:r>
      <w:r w:rsidRPr="00F853DD">
        <w:rPr>
          <w:rFonts w:ascii="Times" w:hAnsi="Times" w:cs="Times New Roman"/>
          <w:sz w:val="23"/>
          <w:szCs w:val="23"/>
        </w:rPr>
        <w:t xml:space="preserve"> (2007). Inner strength as disclosed in narratives of the oldest old. </w:t>
      </w:r>
      <w:r w:rsidRPr="00F853DD">
        <w:rPr>
          <w:rFonts w:ascii="Times" w:hAnsi="Times" w:cs="Times New Roman"/>
          <w:i/>
          <w:sz w:val="23"/>
          <w:szCs w:val="23"/>
        </w:rPr>
        <w:t>Qualitative Health Research</w:t>
      </w:r>
      <w:r w:rsidR="00F865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1060-1073.</w:t>
      </w:r>
    </w:p>
    <w:p w14:paraId="4D10556C" w14:textId="39AD4895" w:rsidR="00DF05BD" w:rsidRPr="00F853DD" w:rsidRDefault="00F865F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O'Connor, D.,</w:t>
      </w:r>
      <w:r w:rsidR="00DF05BD" w:rsidRPr="00F853DD">
        <w:rPr>
          <w:rFonts w:ascii="Times" w:hAnsi="Times" w:cs="Times New Roman"/>
          <w:sz w:val="23"/>
          <w:szCs w:val="23"/>
        </w:rPr>
        <w:t xml:space="preserve"> (2007). Self-identifying as a caregiver: </w:t>
      </w:r>
      <w:r w:rsidRPr="00F853DD">
        <w:rPr>
          <w:rFonts w:ascii="Times" w:hAnsi="Times" w:cs="Times New Roman"/>
          <w:sz w:val="23"/>
          <w:szCs w:val="23"/>
        </w:rPr>
        <w:t>e</w:t>
      </w:r>
      <w:r w:rsidR="00DF05BD" w:rsidRPr="00F853DD">
        <w:rPr>
          <w:rFonts w:ascii="Times" w:hAnsi="Times" w:cs="Times New Roman"/>
          <w:sz w:val="23"/>
          <w:szCs w:val="23"/>
        </w:rPr>
        <w:t xml:space="preserve">xploring the positioning process. </w:t>
      </w:r>
      <w:r w:rsidR="00DF05BD" w:rsidRPr="00F853DD">
        <w:rPr>
          <w:rFonts w:ascii="Times" w:hAnsi="Times" w:cs="Times New Roman"/>
          <w:i/>
          <w:sz w:val="23"/>
          <w:szCs w:val="23"/>
        </w:rPr>
        <w:t>Journal of Aging Studies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DF05BD" w:rsidRPr="00F853DD">
        <w:rPr>
          <w:rFonts w:ascii="Times" w:hAnsi="Times" w:cs="Times New Roman"/>
          <w:sz w:val="23"/>
          <w:szCs w:val="23"/>
        </w:rPr>
        <w:t>(2), 165-174.</w:t>
      </w:r>
    </w:p>
    <w:p w14:paraId="06A9FC49" w14:textId="0B2498B1" w:rsidR="00DF05BD" w:rsidRPr="00F853DD" w:rsidRDefault="00F865F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O’Connor, L., Kmec, J. and Harris, E.,</w:t>
      </w:r>
      <w:r w:rsidR="00DF05BD" w:rsidRPr="00F853DD">
        <w:rPr>
          <w:rFonts w:ascii="Times" w:hAnsi="Times" w:cs="Times New Roman"/>
          <w:sz w:val="23"/>
          <w:szCs w:val="23"/>
        </w:rPr>
        <w:t xml:space="preserve"> (2015). Giving care and perceiving discrimination: The social and organizational context of family responsibilities and d</w:t>
      </w:r>
      <w:r w:rsidRPr="00F853DD">
        <w:rPr>
          <w:rFonts w:ascii="Times" w:hAnsi="Times" w:cs="Times New Roman"/>
          <w:sz w:val="23"/>
          <w:szCs w:val="23"/>
        </w:rPr>
        <w:t>iscrimination. In: Ammons, S. and Kelly, E</w:t>
      </w:r>
      <w:r w:rsidR="00DF05BD" w:rsidRPr="00F853DD">
        <w:rPr>
          <w:rFonts w:ascii="Times" w:hAnsi="Times" w:cs="Times New Roman"/>
          <w:sz w:val="23"/>
          <w:szCs w:val="23"/>
        </w:rPr>
        <w:t xml:space="preserve">. (eds.) </w:t>
      </w:r>
      <w:r w:rsidR="00DF05BD" w:rsidRPr="00F853DD">
        <w:rPr>
          <w:rFonts w:ascii="Times" w:hAnsi="Times" w:cs="Times New Roman"/>
          <w:i/>
          <w:sz w:val="23"/>
          <w:szCs w:val="23"/>
        </w:rPr>
        <w:t>Work and family in the new economy</w:t>
      </w:r>
      <w:r w:rsidR="00DF05BD" w:rsidRPr="00F853DD">
        <w:rPr>
          <w:rFonts w:ascii="Times" w:hAnsi="Times" w:cs="Times New Roman"/>
          <w:sz w:val="23"/>
          <w:szCs w:val="23"/>
        </w:rPr>
        <w:t>. Bingley: Emerald Group Publishing Ltd.</w:t>
      </w:r>
    </w:p>
    <w:p w14:paraId="42402D26" w14:textId="344BFF7D" w:rsidR="00DF05BD" w:rsidRPr="00F853DD" w:rsidRDefault="00F865F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OECD, (2017). Informal carers. </w:t>
      </w:r>
      <w:r w:rsidR="00DF05BD" w:rsidRPr="00F853DD">
        <w:rPr>
          <w:rFonts w:ascii="Times" w:hAnsi="Times" w:cs="Times New Roman"/>
          <w:sz w:val="23"/>
          <w:szCs w:val="23"/>
        </w:rPr>
        <w:t>In: </w:t>
      </w:r>
      <w:r w:rsidR="00DF05BD" w:rsidRPr="00F853DD">
        <w:rPr>
          <w:rFonts w:ascii="Times" w:hAnsi="Times" w:cs="Times New Roman"/>
          <w:i/>
          <w:sz w:val="23"/>
          <w:szCs w:val="23"/>
        </w:rPr>
        <w:t>Health at a Glance 2017: OECD Indicators</w:t>
      </w:r>
      <w:r w:rsidRPr="00F853DD">
        <w:rPr>
          <w:rFonts w:ascii="Times" w:hAnsi="Times" w:cs="Times New Roman"/>
          <w:i/>
          <w:sz w:val="23"/>
          <w:szCs w:val="23"/>
        </w:rPr>
        <w:t xml:space="preserve"> </w:t>
      </w:r>
      <w:r w:rsidRPr="00F853DD">
        <w:rPr>
          <w:rFonts w:ascii="Times" w:hAnsi="Times" w:cs="Times New Roman"/>
          <w:sz w:val="23"/>
          <w:szCs w:val="23"/>
        </w:rPr>
        <w:t>[online].</w:t>
      </w:r>
      <w:r w:rsidR="00DF05BD" w:rsidRPr="00F853DD">
        <w:rPr>
          <w:rFonts w:ascii="Times" w:hAnsi="Times" w:cs="Times New Roman"/>
          <w:sz w:val="23"/>
          <w:szCs w:val="23"/>
        </w:rPr>
        <w:t>. Paris: OECD Publishing. [Viewed 30 November 2019]. Available from: doi:  </w:t>
      </w:r>
      <w:hyperlink r:id="rId112" w:tgtFrame="_blank" w:history="1">
        <w:r w:rsidR="00DF05BD" w:rsidRPr="00F853DD">
          <w:rPr>
            <w:rFonts w:ascii="Times" w:hAnsi="Times" w:cs="Times New Roman"/>
            <w:sz w:val="23"/>
            <w:szCs w:val="23"/>
          </w:rPr>
          <w:t>https://doi.org/10.1787/health_glance-2017-78-en</w:t>
        </w:r>
      </w:hyperlink>
      <w:r w:rsidR="00DF05BD" w:rsidRPr="00F853DD">
        <w:rPr>
          <w:rFonts w:ascii="Times" w:hAnsi="Times" w:cs="Times New Roman"/>
          <w:sz w:val="23"/>
          <w:szCs w:val="23"/>
        </w:rPr>
        <w:t xml:space="preserve">. </w:t>
      </w:r>
    </w:p>
    <w:p w14:paraId="3310E039" w14:textId="176B2CA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O'reilly, D., Rosato, M., Maguire, A. and Wright, D.</w:t>
      </w:r>
      <w:r w:rsidR="00F865F6" w:rsidRPr="00F853DD">
        <w:rPr>
          <w:rFonts w:ascii="Times" w:hAnsi="Times" w:cs="Times New Roman"/>
          <w:sz w:val="23"/>
          <w:szCs w:val="23"/>
        </w:rPr>
        <w:t>,</w:t>
      </w:r>
      <w:r w:rsidRPr="00F853DD">
        <w:rPr>
          <w:rFonts w:ascii="Times" w:hAnsi="Times" w:cs="Times New Roman"/>
          <w:sz w:val="23"/>
          <w:szCs w:val="23"/>
        </w:rPr>
        <w:t xml:space="preserve"> (2015). Caregiving reduces mortality risk for most caregivers: a census-based record linkage study. </w:t>
      </w:r>
      <w:r w:rsidRPr="00F853DD">
        <w:rPr>
          <w:rFonts w:ascii="Times" w:hAnsi="Times" w:cs="Times New Roman"/>
          <w:i/>
          <w:sz w:val="23"/>
          <w:szCs w:val="23"/>
        </w:rPr>
        <w:t>International Journal of Epidemiology</w:t>
      </w:r>
      <w:r w:rsidR="00F865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44</w:t>
      </w:r>
      <w:r w:rsidRPr="00F853DD">
        <w:rPr>
          <w:rFonts w:ascii="Times" w:hAnsi="Times" w:cs="Times New Roman"/>
          <w:sz w:val="23"/>
          <w:szCs w:val="23"/>
        </w:rPr>
        <w:t>, 1959-1969.</w:t>
      </w:r>
    </w:p>
    <w:p w14:paraId="2976C73F" w14:textId="49446885" w:rsidR="00DF05BD" w:rsidRPr="00F853DD" w:rsidRDefault="00F865F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Oberst, M., Thomas, S., Gass, K.</w:t>
      </w:r>
      <w:r w:rsidR="00DF05BD" w:rsidRPr="00F853DD">
        <w:rPr>
          <w:rFonts w:ascii="Times" w:hAnsi="Times" w:cs="Times New Roman"/>
          <w:sz w:val="23"/>
          <w:szCs w:val="23"/>
        </w:rPr>
        <w:t xml:space="preserve"> and Wa</w:t>
      </w:r>
      <w:r w:rsidRPr="00F853DD">
        <w:rPr>
          <w:rFonts w:ascii="Times" w:hAnsi="Times" w:cs="Times New Roman"/>
          <w:sz w:val="23"/>
          <w:szCs w:val="23"/>
        </w:rPr>
        <w:t>rd, S.,</w:t>
      </w:r>
      <w:r w:rsidR="00DF05BD" w:rsidRPr="00F853DD">
        <w:rPr>
          <w:rFonts w:ascii="Times" w:hAnsi="Times" w:cs="Times New Roman"/>
          <w:sz w:val="23"/>
          <w:szCs w:val="23"/>
        </w:rPr>
        <w:t xml:space="preserve"> (1989). Caregiving demands and appraisal of stress among family caregivers. </w:t>
      </w:r>
      <w:r w:rsidR="00DF05BD" w:rsidRPr="00F853DD">
        <w:rPr>
          <w:rFonts w:ascii="Times" w:hAnsi="Times" w:cs="Times New Roman"/>
          <w:i/>
          <w:sz w:val="23"/>
          <w:szCs w:val="23"/>
        </w:rPr>
        <w:t>Cancer Nursing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12</w:t>
      </w:r>
      <w:r w:rsidR="00DF05BD" w:rsidRPr="00F853DD">
        <w:rPr>
          <w:rFonts w:ascii="Times" w:hAnsi="Times" w:cs="Times New Roman"/>
          <w:sz w:val="23"/>
          <w:szCs w:val="23"/>
        </w:rPr>
        <w:t>, 209-215.</w:t>
      </w:r>
    </w:p>
    <w:p w14:paraId="4CC67BE0" w14:textId="0A61C31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Obrist, B.</w:t>
      </w:r>
      <w:r w:rsidR="00F865F6" w:rsidRPr="00F853DD">
        <w:rPr>
          <w:rFonts w:ascii="Times" w:hAnsi="Times" w:cs="Times New Roman"/>
          <w:sz w:val="23"/>
          <w:szCs w:val="23"/>
        </w:rPr>
        <w:t>,</w:t>
      </w:r>
      <w:r w:rsidRPr="00F853DD">
        <w:rPr>
          <w:rFonts w:ascii="Times" w:hAnsi="Times" w:cs="Times New Roman"/>
          <w:sz w:val="23"/>
          <w:szCs w:val="23"/>
        </w:rPr>
        <w:t xml:space="preserve"> (2016).</w:t>
      </w:r>
      <w:r w:rsidR="00F865F6" w:rsidRPr="00F853DD">
        <w:rPr>
          <w:rFonts w:ascii="Times" w:hAnsi="Times" w:cs="Times New Roman"/>
          <w:sz w:val="23"/>
          <w:szCs w:val="23"/>
        </w:rPr>
        <w:t xml:space="preserve"> Social resilience and agency: p</w:t>
      </w:r>
      <w:r w:rsidRPr="00F853DD">
        <w:rPr>
          <w:rFonts w:ascii="Times" w:hAnsi="Times" w:cs="Times New Roman"/>
          <w:sz w:val="23"/>
          <w:szCs w:val="23"/>
        </w:rPr>
        <w:t xml:space="preserve">erspectives on ageing and health from Tanzania. </w:t>
      </w:r>
      <w:r w:rsidRPr="00F853DD">
        <w:rPr>
          <w:rFonts w:ascii="Times" w:hAnsi="Times" w:cs="Times New Roman"/>
          <w:i/>
          <w:sz w:val="23"/>
          <w:szCs w:val="23"/>
        </w:rPr>
        <w:t>Erde</w:t>
      </w:r>
      <w:r w:rsidR="00F865F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147</w:t>
      </w:r>
      <w:r w:rsidRPr="00F853DD">
        <w:rPr>
          <w:rFonts w:ascii="Times" w:hAnsi="Times" w:cs="Times New Roman"/>
          <w:sz w:val="23"/>
          <w:szCs w:val="23"/>
        </w:rPr>
        <w:t>, 266-274.</w:t>
      </w:r>
    </w:p>
    <w:p w14:paraId="758B1EDB" w14:textId="51CF736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OECD</w:t>
      </w:r>
      <w:r w:rsidR="00F865F6" w:rsidRPr="00F853DD">
        <w:rPr>
          <w:rFonts w:ascii="Times" w:hAnsi="Times" w:cs="Times New Roman"/>
          <w:sz w:val="23"/>
          <w:szCs w:val="23"/>
        </w:rPr>
        <w:t>,</w:t>
      </w:r>
      <w:r w:rsidRPr="00F853DD">
        <w:rPr>
          <w:rFonts w:ascii="Times" w:hAnsi="Times" w:cs="Times New Roman"/>
          <w:sz w:val="23"/>
          <w:szCs w:val="23"/>
        </w:rPr>
        <w:t xml:space="preserve"> (2008). Ageing OECD </w:t>
      </w:r>
      <w:r w:rsidR="00F865F6" w:rsidRPr="00F853DD">
        <w:rPr>
          <w:rFonts w:ascii="Times" w:hAnsi="Times" w:cs="Times New Roman"/>
          <w:sz w:val="23"/>
          <w:szCs w:val="23"/>
        </w:rPr>
        <w:t>s</w:t>
      </w:r>
      <w:r w:rsidRPr="00F853DD">
        <w:rPr>
          <w:rFonts w:ascii="Times" w:hAnsi="Times" w:cs="Times New Roman"/>
          <w:sz w:val="23"/>
          <w:szCs w:val="23"/>
        </w:rPr>
        <w:t xml:space="preserve">ocieties. </w:t>
      </w:r>
      <w:r w:rsidRPr="00F853DD">
        <w:rPr>
          <w:rFonts w:ascii="Times" w:hAnsi="Times" w:cs="Times New Roman"/>
          <w:i/>
          <w:sz w:val="23"/>
          <w:szCs w:val="23"/>
        </w:rPr>
        <w:t>Trends Shaping Education</w:t>
      </w:r>
      <w:r w:rsidRPr="00F853DD">
        <w:rPr>
          <w:rFonts w:ascii="Times" w:hAnsi="Times" w:cs="Times New Roman"/>
          <w:sz w:val="23"/>
          <w:szCs w:val="23"/>
        </w:rPr>
        <w:t>.</w:t>
      </w:r>
    </w:p>
    <w:p w14:paraId="752BB9A2" w14:textId="1E8ACEF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OECD</w:t>
      </w:r>
      <w:r w:rsidR="00F865F6" w:rsidRPr="00F853DD">
        <w:rPr>
          <w:rFonts w:ascii="Times" w:hAnsi="Times" w:cs="Times New Roman"/>
          <w:sz w:val="23"/>
          <w:szCs w:val="23"/>
        </w:rPr>
        <w:t>,</w:t>
      </w:r>
      <w:r w:rsidRPr="00F853DD">
        <w:rPr>
          <w:rFonts w:ascii="Times" w:hAnsi="Times" w:cs="Times New Roman"/>
          <w:sz w:val="23"/>
          <w:szCs w:val="23"/>
        </w:rPr>
        <w:t xml:space="preserve"> (2011). The Impact of Caring on Family Carers. In: OECD (ed.) Help Wanted? </w:t>
      </w:r>
      <w:r w:rsidRPr="00F853DD">
        <w:rPr>
          <w:rFonts w:ascii="Times" w:hAnsi="Times" w:cs="Times New Roman"/>
          <w:i/>
          <w:sz w:val="23"/>
          <w:szCs w:val="23"/>
        </w:rPr>
        <w:t>Providing and Paying for Long-Term Care</w:t>
      </w:r>
      <w:r w:rsidRPr="00F853DD">
        <w:rPr>
          <w:rFonts w:ascii="Times" w:hAnsi="Times" w:cs="Times New Roman"/>
          <w:sz w:val="23"/>
          <w:szCs w:val="23"/>
        </w:rPr>
        <w:t>.</w:t>
      </w:r>
    </w:p>
    <w:p w14:paraId="297D6248" w14:textId="47DE317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OECD</w:t>
      </w:r>
      <w:r w:rsidR="00F865F6" w:rsidRPr="00F853DD">
        <w:rPr>
          <w:rFonts w:ascii="Times" w:hAnsi="Times" w:cs="Times New Roman"/>
          <w:sz w:val="23"/>
          <w:szCs w:val="23"/>
        </w:rPr>
        <w:t>,</w:t>
      </w:r>
      <w:r w:rsidRPr="00F853DD">
        <w:rPr>
          <w:rFonts w:ascii="Times" w:hAnsi="Times" w:cs="Times New Roman"/>
          <w:sz w:val="23"/>
          <w:szCs w:val="23"/>
        </w:rPr>
        <w:t xml:space="preserve"> (2013). </w:t>
      </w:r>
      <w:r w:rsidRPr="00F853DD">
        <w:rPr>
          <w:rFonts w:ascii="Times" w:hAnsi="Times" w:cs="Times New Roman"/>
          <w:i/>
          <w:sz w:val="23"/>
          <w:szCs w:val="23"/>
        </w:rPr>
        <w:t xml:space="preserve">Pensions at a </w:t>
      </w:r>
      <w:r w:rsidR="00F865F6" w:rsidRPr="00F853DD">
        <w:rPr>
          <w:rFonts w:ascii="Times" w:hAnsi="Times" w:cs="Times New Roman"/>
          <w:i/>
          <w:sz w:val="23"/>
          <w:szCs w:val="23"/>
        </w:rPr>
        <w:t>g</w:t>
      </w:r>
      <w:r w:rsidRPr="00F853DD">
        <w:rPr>
          <w:rFonts w:ascii="Times" w:hAnsi="Times" w:cs="Times New Roman"/>
          <w:i/>
          <w:sz w:val="23"/>
          <w:szCs w:val="23"/>
        </w:rPr>
        <w:t xml:space="preserve">lance 2013: OECD and G20 </w:t>
      </w:r>
      <w:r w:rsidR="00F865F6" w:rsidRPr="00F853DD">
        <w:rPr>
          <w:rFonts w:ascii="Times" w:hAnsi="Times" w:cs="Times New Roman"/>
          <w:i/>
          <w:sz w:val="23"/>
          <w:szCs w:val="23"/>
        </w:rPr>
        <w:t>i</w:t>
      </w:r>
      <w:r w:rsidRPr="00F853DD">
        <w:rPr>
          <w:rFonts w:ascii="Times" w:hAnsi="Times" w:cs="Times New Roman"/>
          <w:i/>
          <w:sz w:val="23"/>
          <w:szCs w:val="23"/>
        </w:rPr>
        <w:t>ndicators</w:t>
      </w:r>
      <w:r w:rsidRPr="00F853DD">
        <w:rPr>
          <w:rFonts w:ascii="Times" w:hAnsi="Times" w:cs="Times New Roman"/>
          <w:sz w:val="23"/>
          <w:szCs w:val="23"/>
        </w:rPr>
        <w:t>. OECD Publishing.</w:t>
      </w:r>
    </w:p>
    <w:p w14:paraId="4A302352" w14:textId="7130CBD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OECD</w:t>
      </w:r>
      <w:r w:rsidR="00F865F6"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 xml:space="preserve">Society at a </w:t>
      </w:r>
      <w:r w:rsidR="00F865F6" w:rsidRPr="00F853DD">
        <w:rPr>
          <w:rFonts w:ascii="Times" w:hAnsi="Times" w:cs="Times New Roman"/>
          <w:i/>
          <w:sz w:val="23"/>
          <w:szCs w:val="23"/>
        </w:rPr>
        <w:t>g</w:t>
      </w:r>
      <w:r w:rsidRPr="00F853DD">
        <w:rPr>
          <w:rFonts w:ascii="Times" w:hAnsi="Times" w:cs="Times New Roman"/>
          <w:i/>
          <w:sz w:val="23"/>
          <w:szCs w:val="23"/>
        </w:rPr>
        <w:t>lance</w:t>
      </w:r>
      <w:r w:rsidRPr="00F853DD">
        <w:rPr>
          <w:rFonts w:ascii="Times" w:hAnsi="Times" w:cs="Times New Roman"/>
          <w:sz w:val="23"/>
          <w:szCs w:val="23"/>
        </w:rPr>
        <w:t xml:space="preserve"> </w:t>
      </w:r>
      <w:r w:rsidRPr="00F853DD">
        <w:rPr>
          <w:rFonts w:ascii="Times" w:hAnsi="Times" w:cs="Times New Roman"/>
          <w:i/>
          <w:sz w:val="23"/>
          <w:szCs w:val="23"/>
        </w:rPr>
        <w:t xml:space="preserve">(2016): OECD </w:t>
      </w:r>
      <w:r w:rsidR="00F865F6" w:rsidRPr="00F853DD">
        <w:rPr>
          <w:rFonts w:ascii="Times" w:hAnsi="Times" w:cs="Times New Roman"/>
          <w:i/>
          <w:sz w:val="23"/>
          <w:szCs w:val="23"/>
        </w:rPr>
        <w:t>s</w:t>
      </w:r>
      <w:r w:rsidRPr="00F853DD">
        <w:rPr>
          <w:rFonts w:ascii="Times" w:hAnsi="Times" w:cs="Times New Roman"/>
          <w:i/>
          <w:sz w:val="23"/>
          <w:szCs w:val="23"/>
        </w:rPr>
        <w:t xml:space="preserve">ocial </w:t>
      </w:r>
      <w:r w:rsidR="00F865F6" w:rsidRPr="00F853DD">
        <w:rPr>
          <w:rFonts w:ascii="Times" w:hAnsi="Times" w:cs="Times New Roman"/>
          <w:i/>
          <w:sz w:val="23"/>
          <w:szCs w:val="23"/>
        </w:rPr>
        <w:t>i</w:t>
      </w:r>
      <w:r w:rsidRPr="00F853DD">
        <w:rPr>
          <w:rFonts w:ascii="Times" w:hAnsi="Times" w:cs="Times New Roman"/>
          <w:i/>
          <w:sz w:val="23"/>
          <w:szCs w:val="23"/>
        </w:rPr>
        <w:t>ndicators</w:t>
      </w:r>
      <w:r w:rsidRPr="00F853DD">
        <w:rPr>
          <w:rFonts w:ascii="Times" w:hAnsi="Times" w:cs="Times New Roman"/>
          <w:sz w:val="23"/>
          <w:szCs w:val="23"/>
        </w:rPr>
        <w:t>. Paris: OECD Publishing.</w:t>
      </w:r>
    </w:p>
    <w:p w14:paraId="33C7DF5A" w14:textId="7821964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Oldenkamp, M., Hagedoorn, M., Wittek, R., Stolk, R. and Smidt, N.</w:t>
      </w:r>
      <w:r w:rsidR="00A113AF" w:rsidRPr="00F853DD">
        <w:rPr>
          <w:rFonts w:ascii="Times" w:hAnsi="Times" w:cs="Times New Roman"/>
          <w:sz w:val="23"/>
          <w:szCs w:val="23"/>
        </w:rPr>
        <w:t>,</w:t>
      </w:r>
      <w:r w:rsidRPr="00F853DD">
        <w:rPr>
          <w:rFonts w:ascii="Times" w:hAnsi="Times" w:cs="Times New Roman"/>
          <w:sz w:val="23"/>
          <w:szCs w:val="23"/>
        </w:rPr>
        <w:t xml:space="preserve"> (2017). The impact of older person's frailty on the care-related quality of life of their informal caregiver over time: results from the TOPICS-MDS project. </w:t>
      </w:r>
      <w:r w:rsidRPr="00F853DD">
        <w:rPr>
          <w:rFonts w:ascii="Times" w:hAnsi="Times" w:cs="Times New Roman"/>
          <w:i/>
          <w:sz w:val="23"/>
          <w:szCs w:val="23"/>
        </w:rPr>
        <w:t>Quality of Life Research</w:t>
      </w:r>
      <w:r w:rsidR="00A113A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2705-2716.</w:t>
      </w:r>
    </w:p>
    <w:p w14:paraId="15D03C04" w14:textId="18F5B5CF" w:rsidR="00DF05BD" w:rsidRPr="00F853DD" w:rsidRDefault="00A113A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Olesen, V.,</w:t>
      </w:r>
      <w:r w:rsidR="00DF05BD" w:rsidRPr="00F853DD">
        <w:rPr>
          <w:rFonts w:ascii="Times" w:hAnsi="Times" w:cs="Times New Roman"/>
          <w:sz w:val="23"/>
          <w:szCs w:val="23"/>
        </w:rPr>
        <w:t xml:space="preserve"> (1989). Caregiving, </w:t>
      </w:r>
      <w:r w:rsidRPr="00F853DD">
        <w:rPr>
          <w:rFonts w:ascii="Times" w:hAnsi="Times" w:cs="Times New Roman"/>
          <w:sz w:val="23"/>
          <w:szCs w:val="23"/>
        </w:rPr>
        <w:t>e</w:t>
      </w:r>
      <w:r w:rsidR="00DF05BD" w:rsidRPr="00F853DD">
        <w:rPr>
          <w:rFonts w:ascii="Times" w:hAnsi="Times" w:cs="Times New Roman"/>
          <w:sz w:val="23"/>
          <w:szCs w:val="23"/>
        </w:rPr>
        <w:t xml:space="preserve">thical and </w:t>
      </w:r>
      <w:r w:rsidRPr="00F853DD">
        <w:rPr>
          <w:rFonts w:ascii="Times" w:hAnsi="Times" w:cs="Times New Roman"/>
          <w:sz w:val="23"/>
          <w:szCs w:val="23"/>
        </w:rPr>
        <w:t>i</w:t>
      </w:r>
      <w:r w:rsidR="00DF05BD" w:rsidRPr="00F853DD">
        <w:rPr>
          <w:rFonts w:ascii="Times" w:hAnsi="Times" w:cs="Times New Roman"/>
          <w:sz w:val="23"/>
          <w:szCs w:val="23"/>
        </w:rPr>
        <w:t xml:space="preserve">nformal: </w:t>
      </w:r>
      <w:r w:rsidRPr="00F853DD">
        <w:rPr>
          <w:rFonts w:ascii="Times" w:hAnsi="Times" w:cs="Times New Roman"/>
          <w:sz w:val="23"/>
          <w:szCs w:val="23"/>
        </w:rPr>
        <w:t>e</w:t>
      </w:r>
      <w:r w:rsidR="00DF05BD" w:rsidRPr="00F853DD">
        <w:rPr>
          <w:rFonts w:ascii="Times" w:hAnsi="Times" w:cs="Times New Roman"/>
          <w:sz w:val="23"/>
          <w:szCs w:val="23"/>
        </w:rPr>
        <w:t xml:space="preserve">merging </w:t>
      </w:r>
      <w:r w:rsidRPr="00F853DD">
        <w:rPr>
          <w:rFonts w:ascii="Times" w:hAnsi="Times" w:cs="Times New Roman"/>
          <w:sz w:val="23"/>
          <w:szCs w:val="23"/>
        </w:rPr>
        <w:t>c</w:t>
      </w:r>
      <w:r w:rsidR="00DF05BD" w:rsidRPr="00F853DD">
        <w:rPr>
          <w:rFonts w:ascii="Times" w:hAnsi="Times" w:cs="Times New Roman"/>
          <w:sz w:val="23"/>
          <w:szCs w:val="23"/>
        </w:rPr>
        <w:t xml:space="preserve">hallenges in the </w:t>
      </w:r>
      <w:r w:rsidRPr="00F853DD">
        <w:rPr>
          <w:rFonts w:ascii="Times" w:hAnsi="Times" w:cs="Times New Roman"/>
          <w:sz w:val="23"/>
          <w:szCs w:val="23"/>
        </w:rPr>
        <w:t>s</w:t>
      </w:r>
      <w:r w:rsidR="00DF05BD" w:rsidRPr="00F853DD">
        <w:rPr>
          <w:rFonts w:ascii="Times" w:hAnsi="Times" w:cs="Times New Roman"/>
          <w:sz w:val="23"/>
          <w:szCs w:val="23"/>
        </w:rPr>
        <w:t xml:space="preserve">ociology of </w:t>
      </w:r>
      <w:r w:rsidRPr="00F853DD">
        <w:rPr>
          <w:rFonts w:ascii="Times" w:hAnsi="Times" w:cs="Times New Roman"/>
          <w:sz w:val="23"/>
          <w:szCs w:val="23"/>
        </w:rPr>
        <w:t>h</w:t>
      </w:r>
      <w:r w:rsidR="00DF05BD" w:rsidRPr="00F853DD">
        <w:rPr>
          <w:rFonts w:ascii="Times" w:hAnsi="Times" w:cs="Times New Roman"/>
          <w:sz w:val="23"/>
          <w:szCs w:val="23"/>
        </w:rPr>
        <w:t xml:space="preserve">ealth and </w:t>
      </w:r>
      <w:r w:rsidRPr="00F853DD">
        <w:rPr>
          <w:rFonts w:ascii="Times" w:hAnsi="Times" w:cs="Times New Roman"/>
          <w:sz w:val="23"/>
          <w:szCs w:val="23"/>
        </w:rPr>
        <w:t>i</w:t>
      </w:r>
      <w:r w:rsidR="00DF05BD" w:rsidRPr="00F853DD">
        <w:rPr>
          <w:rFonts w:ascii="Times" w:hAnsi="Times" w:cs="Times New Roman"/>
          <w:sz w:val="23"/>
          <w:szCs w:val="23"/>
        </w:rPr>
        <w:t xml:space="preserve">llness. </w:t>
      </w:r>
      <w:r w:rsidR="00DF05BD" w:rsidRPr="00F853DD">
        <w:rPr>
          <w:rFonts w:ascii="Times" w:hAnsi="Times" w:cs="Times New Roman"/>
          <w:i/>
          <w:sz w:val="23"/>
          <w:szCs w:val="23"/>
        </w:rPr>
        <w:t>Journal of Health and Social Behavior</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DF05BD" w:rsidRPr="00F853DD">
        <w:rPr>
          <w:rFonts w:ascii="Times" w:hAnsi="Times" w:cs="Times New Roman"/>
          <w:sz w:val="23"/>
          <w:szCs w:val="23"/>
        </w:rPr>
        <w:t>, 1-10.</w:t>
      </w:r>
    </w:p>
    <w:p w14:paraId="709B2165" w14:textId="69B106F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Oliva-Mor</w:t>
      </w:r>
      <w:r w:rsidR="00A113AF" w:rsidRPr="00F853DD">
        <w:rPr>
          <w:rFonts w:ascii="Times" w:hAnsi="Times" w:cs="Times New Roman"/>
          <w:sz w:val="23"/>
          <w:szCs w:val="23"/>
        </w:rPr>
        <w:t>eno, J., Penea-Longobardo, L.</w:t>
      </w:r>
      <w:r w:rsidRPr="00F853DD">
        <w:rPr>
          <w:rFonts w:ascii="Times" w:hAnsi="Times" w:cs="Times New Roman"/>
          <w:sz w:val="23"/>
          <w:szCs w:val="23"/>
        </w:rPr>
        <w:t>, Mar, J., Masjuan, J., Soulard, S., Gonzalez-Rojas</w:t>
      </w:r>
      <w:r w:rsidR="00A113AF" w:rsidRPr="00F853DD">
        <w:rPr>
          <w:rFonts w:ascii="Times" w:hAnsi="Times" w:cs="Times New Roman"/>
          <w:sz w:val="23"/>
          <w:szCs w:val="23"/>
        </w:rPr>
        <w:t>, N., Becerra, V., Casado, M.</w:t>
      </w:r>
      <w:r w:rsidRPr="00F853DD">
        <w:rPr>
          <w:rFonts w:ascii="Times" w:hAnsi="Times" w:cs="Times New Roman"/>
          <w:sz w:val="23"/>
          <w:szCs w:val="23"/>
        </w:rPr>
        <w:t>, Torres, C., Yebenes, M., Quintana, M. and Alvarez-Sabin, J.</w:t>
      </w:r>
      <w:r w:rsidR="00A113AF" w:rsidRPr="00F853DD">
        <w:rPr>
          <w:rFonts w:ascii="Times" w:hAnsi="Times" w:cs="Times New Roman"/>
          <w:sz w:val="23"/>
          <w:szCs w:val="23"/>
        </w:rPr>
        <w:t>,</w:t>
      </w:r>
      <w:r w:rsidRPr="00F853DD">
        <w:rPr>
          <w:rFonts w:ascii="Times" w:hAnsi="Times" w:cs="Times New Roman"/>
          <w:sz w:val="23"/>
          <w:szCs w:val="23"/>
        </w:rPr>
        <w:t xml:space="preserve"> (2018). Determinants of </w:t>
      </w:r>
      <w:r w:rsidR="00A113AF" w:rsidRPr="00F853DD">
        <w:rPr>
          <w:rFonts w:ascii="Times" w:hAnsi="Times" w:cs="Times New Roman"/>
          <w:sz w:val="23"/>
          <w:szCs w:val="23"/>
        </w:rPr>
        <w:t>i</w:t>
      </w:r>
      <w:r w:rsidRPr="00F853DD">
        <w:rPr>
          <w:rFonts w:ascii="Times" w:hAnsi="Times" w:cs="Times New Roman"/>
          <w:sz w:val="23"/>
          <w:szCs w:val="23"/>
        </w:rPr>
        <w:t xml:space="preserve">nformal </w:t>
      </w:r>
      <w:r w:rsidR="00A113AF" w:rsidRPr="00F853DD">
        <w:rPr>
          <w:rFonts w:ascii="Times" w:hAnsi="Times" w:cs="Times New Roman"/>
          <w:sz w:val="23"/>
          <w:szCs w:val="23"/>
        </w:rPr>
        <w:t>c</w:t>
      </w:r>
      <w:r w:rsidRPr="00F853DD">
        <w:rPr>
          <w:rFonts w:ascii="Times" w:hAnsi="Times" w:cs="Times New Roman"/>
          <w:sz w:val="23"/>
          <w:szCs w:val="23"/>
        </w:rPr>
        <w:t xml:space="preserve">are, </w:t>
      </w:r>
      <w:r w:rsidR="00A113AF" w:rsidRPr="00F853DD">
        <w:rPr>
          <w:rFonts w:ascii="Times" w:hAnsi="Times" w:cs="Times New Roman"/>
          <w:sz w:val="23"/>
          <w:szCs w:val="23"/>
        </w:rPr>
        <w:t>burden, and r</w:t>
      </w:r>
      <w:r w:rsidRPr="00F853DD">
        <w:rPr>
          <w:rFonts w:ascii="Times" w:hAnsi="Times" w:cs="Times New Roman"/>
          <w:sz w:val="23"/>
          <w:szCs w:val="23"/>
        </w:rPr>
        <w:t xml:space="preserve">isk of </w:t>
      </w:r>
      <w:r w:rsidR="00A113AF" w:rsidRPr="00F853DD">
        <w:rPr>
          <w:rFonts w:ascii="Times" w:hAnsi="Times" w:cs="Times New Roman"/>
          <w:sz w:val="23"/>
          <w:szCs w:val="23"/>
        </w:rPr>
        <w:t>b</w:t>
      </w:r>
      <w:r w:rsidRPr="00F853DD">
        <w:rPr>
          <w:rFonts w:ascii="Times" w:hAnsi="Times" w:cs="Times New Roman"/>
          <w:sz w:val="23"/>
          <w:szCs w:val="23"/>
        </w:rPr>
        <w:t xml:space="preserve">urnout in </w:t>
      </w:r>
      <w:r w:rsidR="00A113AF" w:rsidRPr="00F853DD">
        <w:rPr>
          <w:rFonts w:ascii="Times" w:hAnsi="Times" w:cs="Times New Roman"/>
          <w:sz w:val="23"/>
          <w:szCs w:val="23"/>
        </w:rPr>
        <w:t>c</w:t>
      </w:r>
      <w:r w:rsidRPr="00F853DD">
        <w:rPr>
          <w:rFonts w:ascii="Times" w:hAnsi="Times" w:cs="Times New Roman"/>
          <w:sz w:val="23"/>
          <w:szCs w:val="23"/>
        </w:rPr>
        <w:t xml:space="preserve">aregivers of </w:t>
      </w:r>
      <w:r w:rsidR="00A113AF" w:rsidRPr="00F853DD">
        <w:rPr>
          <w:rFonts w:ascii="Times" w:hAnsi="Times" w:cs="Times New Roman"/>
          <w:sz w:val="23"/>
          <w:szCs w:val="23"/>
        </w:rPr>
        <w:t>s</w:t>
      </w:r>
      <w:r w:rsidRPr="00F853DD">
        <w:rPr>
          <w:rFonts w:ascii="Times" w:hAnsi="Times" w:cs="Times New Roman"/>
          <w:sz w:val="23"/>
          <w:szCs w:val="23"/>
        </w:rPr>
        <w:t xml:space="preserve">troke </w:t>
      </w:r>
      <w:r w:rsidR="00A113AF" w:rsidRPr="00F853DD">
        <w:rPr>
          <w:rFonts w:ascii="Times" w:hAnsi="Times" w:cs="Times New Roman"/>
          <w:sz w:val="23"/>
          <w:szCs w:val="23"/>
        </w:rPr>
        <w:t>s</w:t>
      </w:r>
      <w:r w:rsidRPr="00F853DD">
        <w:rPr>
          <w:rFonts w:ascii="Times" w:hAnsi="Times" w:cs="Times New Roman"/>
          <w:sz w:val="23"/>
          <w:szCs w:val="23"/>
        </w:rPr>
        <w:t xml:space="preserve">urvivors: The CONOCES Study. </w:t>
      </w:r>
      <w:r w:rsidRPr="00F853DD">
        <w:rPr>
          <w:rFonts w:ascii="Times" w:hAnsi="Times" w:cs="Times New Roman"/>
          <w:i/>
          <w:sz w:val="23"/>
          <w:szCs w:val="23"/>
        </w:rPr>
        <w:t>Stroke</w:t>
      </w:r>
      <w:r w:rsidR="00A113A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49</w:t>
      </w:r>
      <w:r w:rsidRPr="00F853DD">
        <w:rPr>
          <w:rFonts w:ascii="Times" w:hAnsi="Times" w:cs="Times New Roman"/>
          <w:sz w:val="23"/>
          <w:szCs w:val="23"/>
        </w:rPr>
        <w:t>, 140-146.</w:t>
      </w:r>
    </w:p>
    <w:p w14:paraId="0A5D0586" w14:textId="447614E1" w:rsidR="00DF05BD" w:rsidRPr="00F853DD" w:rsidRDefault="00D0733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Olsen, R.,</w:t>
      </w:r>
      <w:r w:rsidR="00DF05BD" w:rsidRPr="00F853DD">
        <w:rPr>
          <w:rFonts w:ascii="Times" w:hAnsi="Times" w:cs="Times New Roman"/>
          <w:sz w:val="23"/>
          <w:szCs w:val="23"/>
        </w:rPr>
        <w:t xml:space="preserve"> (2009). Marital status in a developing economy: gender, ethnicity and family structure. </w:t>
      </w:r>
      <w:r w:rsidR="00DF05BD" w:rsidRPr="00F853DD">
        <w:rPr>
          <w:rFonts w:ascii="Times" w:hAnsi="Times" w:cs="Times New Roman"/>
          <w:i/>
          <w:sz w:val="23"/>
          <w:szCs w:val="23"/>
        </w:rPr>
        <w:t>Applied Economics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41</w:t>
      </w:r>
      <w:r w:rsidR="00DF05BD" w:rsidRPr="00F853DD">
        <w:rPr>
          <w:rFonts w:ascii="Times" w:hAnsi="Times" w:cs="Times New Roman"/>
          <w:sz w:val="23"/>
          <w:szCs w:val="23"/>
        </w:rPr>
        <w:t>, 151-169.</w:t>
      </w:r>
    </w:p>
    <w:p w14:paraId="2DA99376"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Olsson, L., Jerneck, A., Thoren, H., Persson, J. and O’Byrne, D. (2015). Why resilience is unappealing to social science: Theoretical and empirical investigations of the scientific use of resilience. </w:t>
      </w:r>
      <w:r w:rsidRPr="00F853DD">
        <w:rPr>
          <w:rFonts w:ascii="Times" w:hAnsi="Times" w:cs="Times New Roman"/>
          <w:i/>
          <w:sz w:val="23"/>
          <w:szCs w:val="23"/>
        </w:rPr>
        <w:t>Science Advances</w:t>
      </w:r>
      <w:r w:rsidRPr="00F853DD">
        <w:rPr>
          <w:rFonts w:ascii="Times" w:hAnsi="Times" w:cs="Times New Roman"/>
          <w:sz w:val="23"/>
          <w:szCs w:val="23"/>
        </w:rPr>
        <w:t xml:space="preserve">, </w:t>
      </w:r>
      <w:r w:rsidRPr="00F853DD">
        <w:rPr>
          <w:rFonts w:ascii="Times" w:hAnsi="Times" w:cs="Times New Roman"/>
          <w:b/>
          <w:sz w:val="23"/>
          <w:szCs w:val="23"/>
        </w:rPr>
        <w:t>1</w:t>
      </w:r>
      <w:r w:rsidRPr="00F853DD">
        <w:rPr>
          <w:rFonts w:ascii="Times" w:hAnsi="Times" w:cs="Times New Roman"/>
          <w:sz w:val="23"/>
          <w:szCs w:val="23"/>
        </w:rPr>
        <w:t>, 11.</w:t>
      </w:r>
    </w:p>
    <w:p w14:paraId="5D8AEF08" w14:textId="7AF88DB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Olwig, K.</w:t>
      </w:r>
      <w:r w:rsidR="00D0733C" w:rsidRPr="00F853DD">
        <w:rPr>
          <w:rFonts w:ascii="Times" w:hAnsi="Times" w:cs="Times New Roman"/>
          <w:sz w:val="23"/>
          <w:szCs w:val="23"/>
        </w:rPr>
        <w:t>,</w:t>
      </w:r>
      <w:r w:rsidRPr="00F853DD">
        <w:rPr>
          <w:rFonts w:ascii="Times" w:hAnsi="Times" w:cs="Times New Roman"/>
          <w:sz w:val="23"/>
          <w:szCs w:val="23"/>
        </w:rPr>
        <w:t xml:space="preserve"> (1995). African cultural principles in Caribbean slave societies: </w:t>
      </w:r>
      <w:r w:rsidR="00D0733C" w:rsidRPr="00F853DD">
        <w:rPr>
          <w:rFonts w:ascii="Times" w:hAnsi="Times" w:cs="Times New Roman"/>
          <w:sz w:val="23"/>
          <w:szCs w:val="23"/>
        </w:rPr>
        <w:t>a</w:t>
      </w:r>
      <w:r w:rsidRPr="00F853DD">
        <w:rPr>
          <w:rFonts w:ascii="Times" w:hAnsi="Times" w:cs="Times New Roman"/>
          <w:sz w:val="23"/>
          <w:szCs w:val="23"/>
        </w:rPr>
        <w:t xml:space="preserve"> view from the Danish West Indies. In: PALMIÃS. (ed.) </w:t>
      </w:r>
      <w:r w:rsidRPr="00F853DD">
        <w:rPr>
          <w:rFonts w:ascii="Times" w:hAnsi="Times" w:cs="Times New Roman"/>
          <w:i/>
          <w:sz w:val="23"/>
          <w:szCs w:val="23"/>
        </w:rPr>
        <w:t>Slave Cultures and the Cultures of Slavery</w:t>
      </w:r>
      <w:r w:rsidRPr="00F853DD">
        <w:rPr>
          <w:rFonts w:ascii="Times" w:hAnsi="Times" w:cs="Times New Roman"/>
          <w:sz w:val="23"/>
          <w:szCs w:val="23"/>
        </w:rPr>
        <w:t>. USA: The University of Tennessee Press.</w:t>
      </w:r>
    </w:p>
    <w:p w14:paraId="3600E597" w14:textId="60E33C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Orgeta, V. and Miranda-Castillo, C.</w:t>
      </w:r>
      <w:r w:rsidR="00D0733C" w:rsidRPr="00F853DD">
        <w:rPr>
          <w:rFonts w:ascii="Times" w:hAnsi="Times" w:cs="Times New Roman"/>
          <w:sz w:val="23"/>
          <w:szCs w:val="23"/>
          <w:lang w:val="en-TT"/>
        </w:rPr>
        <w:t>,</w:t>
      </w:r>
      <w:r w:rsidRPr="00F853DD">
        <w:rPr>
          <w:rFonts w:ascii="Times" w:hAnsi="Times" w:cs="Times New Roman"/>
          <w:sz w:val="23"/>
          <w:szCs w:val="23"/>
          <w:lang w:val="en-TT"/>
        </w:rPr>
        <w:t xml:space="preserve"> (2014). </w:t>
      </w:r>
      <w:r w:rsidRPr="00F853DD">
        <w:rPr>
          <w:rFonts w:ascii="Times" w:hAnsi="Times" w:cs="Times New Roman"/>
          <w:sz w:val="23"/>
          <w:szCs w:val="23"/>
        </w:rPr>
        <w:t xml:space="preserve">Does physical activity reduce burden in carers of people with dementia? A literature review. </w:t>
      </w:r>
      <w:r w:rsidRPr="00F853DD">
        <w:rPr>
          <w:rFonts w:ascii="Times" w:hAnsi="Times" w:cs="Times New Roman"/>
          <w:i/>
          <w:sz w:val="23"/>
          <w:szCs w:val="23"/>
        </w:rPr>
        <w:t>International Journal of Geriatric Psychiatry</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771-783.</w:t>
      </w:r>
    </w:p>
    <w:p w14:paraId="5B74A9F8" w14:textId="4182238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Orloff, A.</w:t>
      </w:r>
      <w:r w:rsidR="00D0733C" w:rsidRPr="00F853DD">
        <w:rPr>
          <w:rFonts w:ascii="Times" w:hAnsi="Times" w:cs="Times New Roman"/>
          <w:sz w:val="23"/>
          <w:szCs w:val="23"/>
        </w:rPr>
        <w:t>,</w:t>
      </w:r>
      <w:r w:rsidRPr="00F853DD">
        <w:rPr>
          <w:rFonts w:ascii="Times" w:hAnsi="Times" w:cs="Times New Roman"/>
          <w:sz w:val="23"/>
          <w:szCs w:val="23"/>
        </w:rPr>
        <w:t xml:space="preserve"> (1993). Gender and the social rights of citizenship: the comparative analysis of gender relations and welfare states. </w:t>
      </w:r>
      <w:r w:rsidRPr="00F853DD">
        <w:rPr>
          <w:rFonts w:ascii="Times" w:hAnsi="Times" w:cs="Times New Roman"/>
          <w:i/>
          <w:sz w:val="23"/>
          <w:szCs w:val="23"/>
        </w:rPr>
        <w:t>American Sociological Review</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58</w:t>
      </w:r>
      <w:r w:rsidRPr="00F853DD">
        <w:rPr>
          <w:rFonts w:ascii="Times" w:hAnsi="Times" w:cs="Times New Roman"/>
          <w:sz w:val="23"/>
          <w:szCs w:val="23"/>
        </w:rPr>
        <w:t>, 303-328.</w:t>
      </w:r>
    </w:p>
    <w:p w14:paraId="25A98050" w14:textId="7E41EA9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Ornstein, K., Smit</w:t>
      </w:r>
      <w:r w:rsidR="00D0733C" w:rsidRPr="00F853DD">
        <w:rPr>
          <w:rFonts w:ascii="Times" w:hAnsi="Times" w:cs="Times New Roman"/>
          <w:sz w:val="23"/>
          <w:szCs w:val="23"/>
        </w:rPr>
        <w:t>h, K.</w:t>
      </w:r>
      <w:r w:rsidRPr="00F853DD">
        <w:rPr>
          <w:rFonts w:ascii="Times" w:hAnsi="Times" w:cs="Times New Roman"/>
          <w:sz w:val="23"/>
          <w:szCs w:val="23"/>
        </w:rPr>
        <w:t xml:space="preserve"> and Boal, J.</w:t>
      </w:r>
      <w:r w:rsidR="00D0733C" w:rsidRPr="00F853DD">
        <w:rPr>
          <w:rFonts w:ascii="Times" w:hAnsi="Times" w:cs="Times New Roman"/>
          <w:sz w:val="23"/>
          <w:szCs w:val="23"/>
        </w:rPr>
        <w:t>,</w:t>
      </w:r>
      <w:r w:rsidRPr="00F853DD">
        <w:rPr>
          <w:rFonts w:ascii="Times" w:hAnsi="Times" w:cs="Times New Roman"/>
          <w:sz w:val="23"/>
          <w:szCs w:val="23"/>
        </w:rPr>
        <w:t xml:space="preserve"> (2009). Understanding and improving the burden and unmet needs of informal caregivers of homebound patients enrolled in a home-based primary care program. </w:t>
      </w:r>
      <w:r w:rsidRPr="00F853DD">
        <w:rPr>
          <w:rFonts w:ascii="Times" w:hAnsi="Times" w:cs="Times New Roman"/>
          <w:i/>
          <w:sz w:val="23"/>
          <w:szCs w:val="23"/>
        </w:rPr>
        <w:t>Journal of Applied Gerontology</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 482-503.</w:t>
      </w:r>
    </w:p>
    <w:p w14:paraId="72AC4225" w14:textId="6AE1A7B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Osborne, D.</w:t>
      </w:r>
      <w:r w:rsidR="00D0733C" w:rsidRPr="00F853DD">
        <w:rPr>
          <w:rFonts w:ascii="Times" w:hAnsi="Times" w:cs="Times New Roman"/>
          <w:sz w:val="23"/>
          <w:szCs w:val="23"/>
        </w:rPr>
        <w:t>,</w:t>
      </w:r>
      <w:r w:rsidRPr="00F853DD">
        <w:rPr>
          <w:rFonts w:ascii="Times" w:hAnsi="Times" w:cs="Times New Roman"/>
          <w:sz w:val="23"/>
          <w:szCs w:val="23"/>
        </w:rPr>
        <w:t xml:space="preserve"> (2011). Social </w:t>
      </w:r>
      <w:r w:rsidR="00D0733C" w:rsidRPr="00F853DD">
        <w:rPr>
          <w:rFonts w:ascii="Times" w:hAnsi="Times" w:cs="Times New Roman"/>
          <w:sz w:val="23"/>
          <w:szCs w:val="23"/>
        </w:rPr>
        <w:t>s</w:t>
      </w:r>
      <w:r w:rsidRPr="00F853DD">
        <w:rPr>
          <w:rFonts w:ascii="Times" w:hAnsi="Times" w:cs="Times New Roman"/>
          <w:sz w:val="23"/>
          <w:szCs w:val="23"/>
        </w:rPr>
        <w:t>ecurity in the English Speaking Caribbean [online]. In:</w:t>
      </w:r>
      <w:r w:rsidRPr="00F853DD">
        <w:rPr>
          <w:rFonts w:ascii="Times" w:hAnsi="Times" w:cs="Times New Roman"/>
          <w:i/>
          <w:sz w:val="23"/>
          <w:szCs w:val="23"/>
        </w:rPr>
        <w:t xml:space="preserve"> </w:t>
      </w:r>
      <w:r w:rsidR="00D0733C" w:rsidRPr="00F853DD">
        <w:rPr>
          <w:rFonts w:ascii="Times" w:hAnsi="Times" w:cs="Times New Roman"/>
          <w:i/>
          <w:sz w:val="23"/>
          <w:szCs w:val="23"/>
        </w:rPr>
        <w:t>T</w:t>
      </w:r>
      <w:r w:rsidRPr="00F853DD">
        <w:rPr>
          <w:rFonts w:ascii="Times" w:hAnsi="Times" w:cs="Times New Roman"/>
          <w:i/>
          <w:sz w:val="23"/>
          <w:szCs w:val="23"/>
        </w:rPr>
        <w:t xml:space="preserve">he </w:t>
      </w:r>
      <w:r w:rsidR="00D0733C" w:rsidRPr="00F853DD">
        <w:rPr>
          <w:rFonts w:ascii="Times" w:hAnsi="Times" w:cs="Times New Roman"/>
          <w:i/>
          <w:sz w:val="23"/>
          <w:szCs w:val="23"/>
        </w:rPr>
        <w:t>p</w:t>
      </w:r>
      <w:r w:rsidRPr="00F853DD">
        <w:rPr>
          <w:rFonts w:ascii="Times" w:hAnsi="Times" w:cs="Times New Roman"/>
          <w:i/>
          <w:sz w:val="23"/>
          <w:szCs w:val="23"/>
        </w:rPr>
        <w:t xml:space="preserve">ublic </w:t>
      </w:r>
      <w:r w:rsidR="00D0733C" w:rsidRPr="00F853DD">
        <w:rPr>
          <w:rFonts w:ascii="Times" w:hAnsi="Times" w:cs="Times New Roman"/>
          <w:i/>
          <w:sz w:val="23"/>
          <w:szCs w:val="23"/>
        </w:rPr>
        <w:t>i</w:t>
      </w:r>
      <w:r w:rsidRPr="00F853DD">
        <w:rPr>
          <w:rFonts w:ascii="Times" w:hAnsi="Times" w:cs="Times New Roman"/>
          <w:i/>
          <w:sz w:val="23"/>
          <w:szCs w:val="23"/>
        </w:rPr>
        <w:t>nterest</w:t>
      </w:r>
      <w:r w:rsidRPr="00F853DD">
        <w:rPr>
          <w:rFonts w:ascii="Times" w:hAnsi="Times" w:cs="Times New Roman"/>
          <w:sz w:val="23"/>
          <w:szCs w:val="23"/>
        </w:rPr>
        <w:t xml:space="preserve">. Available from: file:///C:/Users/User/Downloads/ipi-2011-iss4-osborne.pdf. </w:t>
      </w:r>
    </w:p>
    <w:p w14:paraId="55727169" w14:textId="1FB3265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Oshio, T.</w:t>
      </w:r>
      <w:r w:rsidR="00D0733C" w:rsidRPr="00F853DD">
        <w:rPr>
          <w:rFonts w:ascii="Times" w:hAnsi="Times" w:cs="Times New Roman"/>
          <w:sz w:val="23"/>
          <w:szCs w:val="23"/>
        </w:rPr>
        <w:t>,</w:t>
      </w:r>
      <w:r w:rsidRPr="00F853DD">
        <w:rPr>
          <w:rFonts w:ascii="Times" w:hAnsi="Times" w:cs="Times New Roman"/>
          <w:sz w:val="23"/>
          <w:szCs w:val="23"/>
        </w:rPr>
        <w:t xml:space="preserve"> (2015). How is an informal caregiver's psychological distress associated with prolonged caregiving? Evidence from a six-wave panel survey in Japan. </w:t>
      </w:r>
      <w:r w:rsidRPr="00F853DD">
        <w:rPr>
          <w:rFonts w:ascii="Times" w:hAnsi="Times" w:cs="Times New Roman"/>
          <w:i/>
          <w:sz w:val="23"/>
          <w:szCs w:val="23"/>
        </w:rPr>
        <w:t>Quality of Life Research</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2907-2915.</w:t>
      </w:r>
    </w:p>
    <w:p w14:paraId="2275BF9C" w14:textId="482DFB0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Oshio, T. and Kan, M.</w:t>
      </w:r>
      <w:r w:rsidR="00D0733C" w:rsidRPr="00F853DD">
        <w:rPr>
          <w:rFonts w:ascii="Times" w:hAnsi="Times" w:cs="Times New Roman"/>
          <w:sz w:val="23"/>
          <w:szCs w:val="23"/>
        </w:rPr>
        <w:t>,</w:t>
      </w:r>
      <w:r w:rsidRPr="00F853DD">
        <w:rPr>
          <w:rFonts w:ascii="Times" w:hAnsi="Times" w:cs="Times New Roman"/>
          <w:sz w:val="23"/>
          <w:szCs w:val="23"/>
        </w:rPr>
        <w:t xml:space="preserve"> (2016). How do social activiti</w:t>
      </w:r>
      <w:r w:rsidR="00D0733C" w:rsidRPr="00F853DD">
        <w:rPr>
          <w:rFonts w:ascii="Times" w:hAnsi="Times" w:cs="Times New Roman"/>
          <w:sz w:val="23"/>
          <w:szCs w:val="23"/>
        </w:rPr>
        <w:t>es mitigate informal caregivers’</w:t>
      </w:r>
      <w:r w:rsidRPr="00F853DD">
        <w:rPr>
          <w:rFonts w:ascii="Times" w:hAnsi="Times" w:cs="Times New Roman"/>
          <w:sz w:val="23"/>
          <w:szCs w:val="23"/>
        </w:rPr>
        <w:t xml:space="preserve"> psychological distress? Evidence from a nine-year panel survey in Japan. </w:t>
      </w:r>
      <w:r w:rsidRPr="00F853DD">
        <w:rPr>
          <w:rFonts w:ascii="Times" w:hAnsi="Times" w:cs="Times New Roman"/>
          <w:i/>
          <w:sz w:val="23"/>
          <w:szCs w:val="23"/>
        </w:rPr>
        <w:t>Health and Quality of Life Outcomes</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10.</w:t>
      </w:r>
    </w:p>
    <w:p w14:paraId="1A447DD2" w14:textId="48BCD0F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Ostner, I. and Mätzke, M.</w:t>
      </w:r>
      <w:r w:rsidR="00D0733C" w:rsidRPr="00F853DD">
        <w:rPr>
          <w:rFonts w:ascii="Times" w:hAnsi="Times" w:cs="Times New Roman"/>
          <w:sz w:val="23"/>
          <w:szCs w:val="23"/>
        </w:rPr>
        <w:t>,</w:t>
      </w:r>
      <w:r w:rsidRPr="00F853DD">
        <w:rPr>
          <w:rFonts w:ascii="Times" w:hAnsi="Times" w:cs="Times New Roman"/>
          <w:sz w:val="23"/>
          <w:szCs w:val="23"/>
        </w:rPr>
        <w:t xml:space="preserve"> (2010). Introduction: change and continuity in recent family policies. </w:t>
      </w:r>
      <w:r w:rsidRPr="00F853DD">
        <w:rPr>
          <w:rFonts w:ascii="Times" w:hAnsi="Times" w:cs="Times New Roman"/>
          <w:i/>
          <w:sz w:val="23"/>
          <w:szCs w:val="23"/>
        </w:rPr>
        <w:t>Journal of European Social Policy</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387-398.</w:t>
      </w:r>
    </w:p>
    <w:p w14:paraId="509B92F7" w14:textId="470BF8F1" w:rsidR="00DF05BD" w:rsidRPr="00F853DD" w:rsidRDefault="00D0733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Otterbein, K.,</w:t>
      </w:r>
      <w:r w:rsidR="00DF05BD" w:rsidRPr="00F853DD">
        <w:rPr>
          <w:rFonts w:ascii="Times" w:hAnsi="Times" w:cs="Times New Roman"/>
          <w:sz w:val="23"/>
          <w:szCs w:val="23"/>
        </w:rPr>
        <w:t xml:space="preserve"> (1965). Caribbean </w:t>
      </w:r>
      <w:r w:rsidRPr="00F853DD">
        <w:rPr>
          <w:rFonts w:ascii="Times" w:hAnsi="Times" w:cs="Times New Roman"/>
          <w:sz w:val="23"/>
          <w:szCs w:val="23"/>
        </w:rPr>
        <w:t>f</w:t>
      </w:r>
      <w:r w:rsidR="00DF05BD" w:rsidRPr="00F853DD">
        <w:rPr>
          <w:rFonts w:ascii="Times" w:hAnsi="Times" w:cs="Times New Roman"/>
          <w:sz w:val="23"/>
          <w:szCs w:val="23"/>
        </w:rPr>
        <w:t xml:space="preserve">amily </w:t>
      </w:r>
      <w:r w:rsidRPr="00F853DD">
        <w:rPr>
          <w:rFonts w:ascii="Times" w:hAnsi="Times" w:cs="Times New Roman"/>
          <w:sz w:val="23"/>
          <w:szCs w:val="23"/>
        </w:rPr>
        <w:t>o</w:t>
      </w:r>
      <w:r w:rsidR="00DF05BD" w:rsidRPr="00F853DD">
        <w:rPr>
          <w:rFonts w:ascii="Times" w:hAnsi="Times" w:cs="Times New Roman"/>
          <w:sz w:val="23"/>
          <w:szCs w:val="23"/>
        </w:rPr>
        <w:t xml:space="preserve">rganization: </w:t>
      </w:r>
      <w:r w:rsidRPr="00F853DD">
        <w:rPr>
          <w:rFonts w:ascii="Times" w:hAnsi="Times" w:cs="Times New Roman"/>
          <w:sz w:val="23"/>
          <w:szCs w:val="23"/>
        </w:rPr>
        <w:t>a</w:t>
      </w:r>
      <w:r w:rsidR="00DF05BD" w:rsidRPr="00F853DD">
        <w:rPr>
          <w:rFonts w:ascii="Times" w:hAnsi="Times" w:cs="Times New Roman"/>
          <w:sz w:val="23"/>
          <w:szCs w:val="23"/>
        </w:rPr>
        <w:t xml:space="preserve"> </w:t>
      </w:r>
      <w:r w:rsidRPr="00F853DD">
        <w:rPr>
          <w:rFonts w:ascii="Times" w:hAnsi="Times" w:cs="Times New Roman"/>
          <w:sz w:val="23"/>
          <w:szCs w:val="23"/>
        </w:rPr>
        <w:t>c</w:t>
      </w:r>
      <w:r w:rsidR="00DF05BD" w:rsidRPr="00F853DD">
        <w:rPr>
          <w:rFonts w:ascii="Times" w:hAnsi="Times" w:cs="Times New Roman"/>
          <w:sz w:val="23"/>
          <w:szCs w:val="23"/>
        </w:rPr>
        <w:t xml:space="preserve">omparative </w:t>
      </w:r>
      <w:r w:rsidRPr="00F853DD">
        <w:rPr>
          <w:rFonts w:ascii="Times" w:hAnsi="Times" w:cs="Times New Roman"/>
          <w:sz w:val="23"/>
          <w:szCs w:val="23"/>
        </w:rPr>
        <w:t>a</w:t>
      </w:r>
      <w:r w:rsidR="00DF05BD" w:rsidRPr="00F853DD">
        <w:rPr>
          <w:rFonts w:ascii="Times" w:hAnsi="Times" w:cs="Times New Roman"/>
          <w:sz w:val="23"/>
          <w:szCs w:val="23"/>
        </w:rPr>
        <w:t xml:space="preserve">nalysis. </w:t>
      </w:r>
      <w:r w:rsidR="00DF05BD" w:rsidRPr="00F853DD">
        <w:rPr>
          <w:rFonts w:ascii="Times" w:hAnsi="Times" w:cs="Times New Roman"/>
          <w:i/>
          <w:sz w:val="23"/>
          <w:szCs w:val="23"/>
        </w:rPr>
        <w:t>American Anthropologist</w:t>
      </w:r>
      <w:r w:rsidR="00DF05BD" w:rsidRPr="00F853DD">
        <w:rPr>
          <w:rFonts w:ascii="Times" w:hAnsi="Times" w:cs="Times New Roman"/>
          <w:sz w:val="23"/>
          <w:szCs w:val="23"/>
        </w:rPr>
        <w:t xml:space="preserve">, </w:t>
      </w:r>
      <w:r w:rsidR="00DF05BD" w:rsidRPr="00F853DD">
        <w:rPr>
          <w:rFonts w:ascii="Times" w:hAnsi="Times" w:cs="Times New Roman"/>
          <w:b/>
          <w:sz w:val="23"/>
          <w:szCs w:val="23"/>
        </w:rPr>
        <w:t>67</w:t>
      </w:r>
      <w:r w:rsidR="00DF05BD" w:rsidRPr="00F853DD">
        <w:rPr>
          <w:rFonts w:ascii="Times" w:hAnsi="Times" w:cs="Times New Roman"/>
          <w:sz w:val="23"/>
          <w:szCs w:val="23"/>
        </w:rPr>
        <w:t>, 66-79.</w:t>
      </w:r>
    </w:p>
    <w:p w14:paraId="7B61F7FA" w14:textId="39D556F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Oudijk, D., Woittiez, I. and De Boer, A.</w:t>
      </w:r>
      <w:r w:rsidR="00D0733C" w:rsidRPr="00F853DD">
        <w:rPr>
          <w:rFonts w:ascii="Times" w:hAnsi="Times" w:cs="Times New Roman"/>
          <w:sz w:val="23"/>
          <w:szCs w:val="23"/>
        </w:rPr>
        <w:t>,</w:t>
      </w:r>
      <w:r w:rsidRPr="00F853DD">
        <w:rPr>
          <w:rFonts w:ascii="Times" w:hAnsi="Times" w:cs="Times New Roman"/>
          <w:sz w:val="23"/>
          <w:szCs w:val="23"/>
        </w:rPr>
        <w:t xml:space="preserve"> (2011). More family responsibility, more informal care? The effect of motivation on the giving of informal care by people aged over 50 in the Netherlands compared to other European countries. </w:t>
      </w:r>
      <w:r w:rsidRPr="00F853DD">
        <w:rPr>
          <w:rFonts w:ascii="Times" w:hAnsi="Times" w:cs="Times New Roman"/>
          <w:i/>
          <w:sz w:val="23"/>
          <w:szCs w:val="23"/>
        </w:rPr>
        <w:t>Health Policy</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101</w:t>
      </w:r>
      <w:r w:rsidRPr="00F853DD">
        <w:rPr>
          <w:rFonts w:ascii="Times" w:hAnsi="Times" w:cs="Times New Roman"/>
          <w:sz w:val="23"/>
          <w:szCs w:val="23"/>
        </w:rPr>
        <w:t>, 228-235.</w:t>
      </w:r>
    </w:p>
    <w:p w14:paraId="78732163" w14:textId="36756E5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O</w:t>
      </w:r>
      <w:r w:rsidR="00D0733C" w:rsidRPr="00F853DD">
        <w:rPr>
          <w:rFonts w:ascii="Times" w:hAnsi="Times" w:cs="Times New Roman"/>
          <w:sz w:val="23"/>
          <w:szCs w:val="23"/>
        </w:rPr>
        <w:t>uwehand, C., De Ridder, D. and Bensing, J.,</w:t>
      </w:r>
      <w:r w:rsidRPr="00F853DD">
        <w:rPr>
          <w:rFonts w:ascii="Times" w:hAnsi="Times" w:cs="Times New Roman"/>
          <w:sz w:val="23"/>
          <w:szCs w:val="23"/>
        </w:rPr>
        <w:t xml:space="preserve"> (2007). A review of successful aging models: </w:t>
      </w:r>
      <w:r w:rsidR="00D0733C" w:rsidRPr="00F853DD">
        <w:rPr>
          <w:rFonts w:ascii="Times" w:hAnsi="Times" w:cs="Times New Roman"/>
          <w:sz w:val="23"/>
          <w:szCs w:val="23"/>
        </w:rPr>
        <w:t>p</w:t>
      </w:r>
      <w:r w:rsidRPr="00F853DD">
        <w:rPr>
          <w:rFonts w:ascii="Times" w:hAnsi="Times" w:cs="Times New Roman"/>
          <w:sz w:val="23"/>
          <w:szCs w:val="23"/>
        </w:rPr>
        <w:t xml:space="preserve">roposing proactive coping as an important additional strategy. </w:t>
      </w:r>
      <w:r w:rsidRPr="00F853DD">
        <w:rPr>
          <w:rFonts w:ascii="Times" w:hAnsi="Times" w:cs="Times New Roman"/>
          <w:i/>
          <w:sz w:val="23"/>
          <w:szCs w:val="23"/>
        </w:rPr>
        <w:t>Clinical Psychology Review</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 873-884.</w:t>
      </w:r>
    </w:p>
    <w:p w14:paraId="73D4BEA2" w14:textId="5216132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Paddison, O.</w:t>
      </w:r>
      <w:r w:rsidR="00D0733C" w:rsidRPr="00F853DD">
        <w:rPr>
          <w:rFonts w:ascii="Times" w:hAnsi="Times" w:cs="Times New Roman"/>
          <w:sz w:val="23"/>
          <w:szCs w:val="23"/>
        </w:rPr>
        <w:t>,</w:t>
      </w:r>
      <w:r w:rsidRPr="00F853DD">
        <w:rPr>
          <w:rFonts w:ascii="Times" w:hAnsi="Times" w:cs="Times New Roman"/>
          <w:sz w:val="23"/>
          <w:szCs w:val="23"/>
        </w:rPr>
        <w:t xml:space="preserve"> (2006). </w:t>
      </w:r>
      <w:r w:rsidRPr="00F853DD">
        <w:rPr>
          <w:rFonts w:ascii="Times" w:hAnsi="Times" w:cs="Times New Roman"/>
          <w:i/>
          <w:sz w:val="23"/>
          <w:szCs w:val="23"/>
        </w:rPr>
        <w:t>Social security in the English Speaking Caribbean</w:t>
      </w:r>
      <w:r w:rsidRPr="00F853DD">
        <w:rPr>
          <w:rFonts w:ascii="Times" w:hAnsi="Times" w:cs="Times New Roman"/>
          <w:sz w:val="23"/>
          <w:szCs w:val="23"/>
        </w:rPr>
        <w:t>. In: CEPAL (ed.). Santiago de Chile: United Nations.</w:t>
      </w:r>
    </w:p>
    <w:p w14:paraId="43A24DCE" w14:textId="44B1924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Page, C., Conner, T., Prokhorov, A., Fang, Y. and Post, L.</w:t>
      </w:r>
      <w:r w:rsidR="00D0733C" w:rsidRPr="00F853DD">
        <w:rPr>
          <w:rFonts w:ascii="Times" w:hAnsi="Times" w:cs="Times New Roman"/>
          <w:sz w:val="23"/>
          <w:szCs w:val="23"/>
        </w:rPr>
        <w:t>,</w:t>
      </w:r>
      <w:r w:rsidRPr="00F853DD">
        <w:rPr>
          <w:rFonts w:ascii="Times" w:hAnsi="Times" w:cs="Times New Roman"/>
          <w:sz w:val="23"/>
          <w:szCs w:val="23"/>
        </w:rPr>
        <w:t xml:space="preserve"> (2009). The effect of care setting on elder abuse: results from a Michigan survey. </w:t>
      </w:r>
      <w:r w:rsidRPr="00F853DD">
        <w:rPr>
          <w:rFonts w:ascii="Times" w:hAnsi="Times" w:cs="Times New Roman"/>
          <w:i/>
          <w:sz w:val="23"/>
          <w:szCs w:val="23"/>
        </w:rPr>
        <w:t>Journal of Elder Abuse &amp; Neglect</w:t>
      </w:r>
      <w:r w:rsidR="00D0733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(3), 239-252.</w:t>
      </w:r>
    </w:p>
    <w:p w14:paraId="448FA28A" w14:textId="6B46A86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PAHO</w:t>
      </w:r>
      <w:r w:rsidR="00D0733C" w:rsidRPr="00F853DD">
        <w:rPr>
          <w:rFonts w:ascii="Times" w:hAnsi="Times" w:cs="Times New Roman"/>
          <w:sz w:val="23"/>
          <w:szCs w:val="23"/>
        </w:rPr>
        <w:t>,</w:t>
      </w:r>
      <w:r w:rsidRPr="00F853DD">
        <w:rPr>
          <w:rFonts w:ascii="Times" w:hAnsi="Times" w:cs="Times New Roman"/>
          <w:sz w:val="23"/>
          <w:szCs w:val="23"/>
        </w:rPr>
        <w:t xml:space="preserve"> (2006). Report of the Caribbean Commission on Health and Development. In: </w:t>
      </w:r>
      <w:r w:rsidRPr="00F853DD">
        <w:rPr>
          <w:rFonts w:ascii="Times" w:hAnsi="Times" w:cs="Times New Roman"/>
          <w:i/>
          <w:sz w:val="23"/>
          <w:szCs w:val="23"/>
        </w:rPr>
        <w:t xml:space="preserve">Secretariat, P. T. C. C. </w:t>
      </w:r>
      <w:r w:rsidRPr="00F853DD">
        <w:rPr>
          <w:rFonts w:ascii="Times" w:hAnsi="Times" w:cs="Times New Roman"/>
          <w:sz w:val="23"/>
          <w:szCs w:val="23"/>
        </w:rPr>
        <w:t>(ed.). Jamaica: Ian Randle Publishers.</w:t>
      </w:r>
    </w:p>
    <w:p w14:paraId="555B65A4" w14:textId="07DF110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PAHO</w:t>
      </w:r>
      <w:r w:rsidR="00D0733C" w:rsidRPr="00F853DD">
        <w:rPr>
          <w:rFonts w:ascii="Times" w:hAnsi="Times" w:cs="Times New Roman"/>
          <w:sz w:val="23"/>
          <w:szCs w:val="23"/>
        </w:rPr>
        <w:t>,</w:t>
      </w:r>
      <w:r w:rsidRPr="00F853DD">
        <w:rPr>
          <w:rFonts w:ascii="Times" w:hAnsi="Times" w:cs="Times New Roman"/>
          <w:sz w:val="23"/>
          <w:szCs w:val="23"/>
        </w:rPr>
        <w:t xml:space="preserve"> (2012). Health </w:t>
      </w:r>
      <w:r w:rsidR="00D0733C" w:rsidRPr="00F853DD">
        <w:rPr>
          <w:rFonts w:ascii="Times" w:hAnsi="Times" w:cs="Times New Roman"/>
          <w:sz w:val="23"/>
          <w:szCs w:val="23"/>
        </w:rPr>
        <w:t>c</w:t>
      </w:r>
      <w:r w:rsidRPr="00F853DD">
        <w:rPr>
          <w:rFonts w:ascii="Times" w:hAnsi="Times" w:cs="Times New Roman"/>
          <w:sz w:val="23"/>
          <w:szCs w:val="23"/>
        </w:rPr>
        <w:t xml:space="preserve">are </w:t>
      </w:r>
      <w:r w:rsidR="00D0733C" w:rsidRPr="00F853DD">
        <w:rPr>
          <w:rFonts w:ascii="Times" w:hAnsi="Times" w:cs="Times New Roman"/>
          <w:sz w:val="23"/>
          <w:szCs w:val="23"/>
        </w:rPr>
        <w:t>e</w:t>
      </w:r>
      <w:r w:rsidRPr="00F853DD">
        <w:rPr>
          <w:rFonts w:ascii="Times" w:hAnsi="Times" w:cs="Times New Roman"/>
          <w:sz w:val="23"/>
          <w:szCs w:val="23"/>
        </w:rPr>
        <w:t xml:space="preserve">xpenditure and </w:t>
      </w:r>
      <w:r w:rsidR="00D0733C" w:rsidRPr="00F853DD">
        <w:rPr>
          <w:rFonts w:ascii="Times" w:hAnsi="Times" w:cs="Times New Roman"/>
          <w:sz w:val="23"/>
          <w:szCs w:val="23"/>
        </w:rPr>
        <w:t>f</w:t>
      </w:r>
      <w:r w:rsidRPr="00F853DD">
        <w:rPr>
          <w:rFonts w:ascii="Times" w:hAnsi="Times" w:cs="Times New Roman"/>
          <w:sz w:val="23"/>
          <w:szCs w:val="23"/>
        </w:rPr>
        <w:t xml:space="preserve">inancing in Latin America and the Caribbean [Fact sheet]. </w:t>
      </w:r>
      <w:r w:rsidR="00B81386" w:rsidRPr="00F853DD">
        <w:rPr>
          <w:rFonts w:ascii="Times" w:hAnsi="Times" w:cs="Times New Roman"/>
          <w:i/>
          <w:sz w:val="23"/>
          <w:szCs w:val="23"/>
        </w:rPr>
        <w:t>Health Economics &amp; Financing</w:t>
      </w:r>
      <w:r w:rsidR="00B81386" w:rsidRPr="00F853DD">
        <w:rPr>
          <w:rFonts w:ascii="Times" w:hAnsi="Times" w:cs="Times New Roman"/>
          <w:sz w:val="23"/>
          <w:szCs w:val="23"/>
        </w:rPr>
        <w:t xml:space="preserve"> [online]. [Viewed 9 August 2017]. Available from: https://www.paho.org/hq/dmdocuments/2013/FactsheetHEFJan31.pdf</w:t>
      </w:r>
    </w:p>
    <w:p w14:paraId="2E5738CB" w14:textId="10C9F73B" w:rsidR="00DF05BD" w:rsidRPr="00F853DD" w:rsidRDefault="00851A12"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PAHO,</w:t>
      </w:r>
      <w:r w:rsidR="00DF05BD" w:rsidRPr="00F853DD">
        <w:rPr>
          <w:rFonts w:ascii="Times" w:hAnsi="Times" w:cs="Times New Roman"/>
          <w:sz w:val="23"/>
          <w:szCs w:val="23"/>
        </w:rPr>
        <w:t xml:space="preserve"> (2014). Health </w:t>
      </w:r>
      <w:r w:rsidRPr="00F853DD">
        <w:rPr>
          <w:rFonts w:ascii="Times" w:hAnsi="Times" w:cs="Times New Roman"/>
          <w:sz w:val="23"/>
          <w:szCs w:val="23"/>
        </w:rPr>
        <w:t>e</w:t>
      </w:r>
      <w:r w:rsidR="00DF05BD" w:rsidRPr="00F853DD">
        <w:rPr>
          <w:rFonts w:ascii="Times" w:hAnsi="Times" w:cs="Times New Roman"/>
          <w:sz w:val="23"/>
          <w:szCs w:val="23"/>
        </w:rPr>
        <w:t xml:space="preserve">xpenditure </w:t>
      </w:r>
      <w:r w:rsidRPr="00F853DD">
        <w:rPr>
          <w:rFonts w:ascii="Times" w:hAnsi="Times" w:cs="Times New Roman"/>
          <w:sz w:val="23"/>
          <w:szCs w:val="23"/>
        </w:rPr>
        <w:t>p</w:t>
      </w:r>
      <w:r w:rsidR="00DF05BD" w:rsidRPr="00F853DD">
        <w:rPr>
          <w:rFonts w:ascii="Times" w:hAnsi="Times" w:cs="Times New Roman"/>
          <w:sz w:val="23"/>
          <w:szCs w:val="23"/>
        </w:rPr>
        <w:t xml:space="preserve">roportion for </w:t>
      </w:r>
      <w:r w:rsidRPr="00F853DD">
        <w:rPr>
          <w:rFonts w:ascii="Times" w:hAnsi="Times" w:cs="Times New Roman"/>
          <w:sz w:val="23"/>
          <w:szCs w:val="23"/>
        </w:rPr>
        <w:t>c</w:t>
      </w:r>
      <w:r w:rsidR="00DF05BD" w:rsidRPr="00F853DD">
        <w:rPr>
          <w:rFonts w:ascii="Times" w:hAnsi="Times" w:cs="Times New Roman"/>
          <w:sz w:val="23"/>
          <w:szCs w:val="23"/>
        </w:rPr>
        <w:t xml:space="preserve">ountries and </w:t>
      </w:r>
      <w:r w:rsidRPr="00F853DD">
        <w:rPr>
          <w:rFonts w:ascii="Times" w:hAnsi="Times" w:cs="Times New Roman"/>
          <w:sz w:val="23"/>
          <w:szCs w:val="23"/>
        </w:rPr>
        <w:t>t</w:t>
      </w:r>
      <w:r w:rsidR="00DF05BD" w:rsidRPr="00F853DD">
        <w:rPr>
          <w:rFonts w:ascii="Times" w:hAnsi="Times" w:cs="Times New Roman"/>
          <w:sz w:val="23"/>
          <w:szCs w:val="23"/>
        </w:rPr>
        <w:t xml:space="preserve">erritories of the Americas. </w:t>
      </w:r>
      <w:r w:rsidR="00DF05BD" w:rsidRPr="00F853DD">
        <w:rPr>
          <w:rFonts w:ascii="Times" w:hAnsi="Times" w:cs="Times New Roman"/>
          <w:i/>
          <w:sz w:val="23"/>
          <w:szCs w:val="23"/>
        </w:rPr>
        <w:t>Pan American Health Organization</w:t>
      </w:r>
      <w:r w:rsidRPr="00F853DD">
        <w:rPr>
          <w:rFonts w:ascii="Times" w:hAnsi="Times" w:cs="Times New Roman"/>
          <w:i/>
          <w:sz w:val="23"/>
          <w:szCs w:val="23"/>
        </w:rPr>
        <w:t xml:space="preserve"> </w:t>
      </w:r>
      <w:r w:rsidRPr="00F853DD">
        <w:rPr>
          <w:rFonts w:ascii="Times" w:hAnsi="Times" w:cs="Times New Roman"/>
          <w:sz w:val="23"/>
          <w:szCs w:val="23"/>
        </w:rPr>
        <w:t>[online]</w:t>
      </w:r>
      <w:r w:rsidR="00DF05BD" w:rsidRPr="00F853DD">
        <w:rPr>
          <w:rFonts w:ascii="Times" w:hAnsi="Times" w:cs="Times New Roman"/>
          <w:sz w:val="23"/>
          <w:szCs w:val="23"/>
        </w:rPr>
        <w:t xml:space="preserve">. [Viewed on 5 August 2017]. Available from: http://www.paho.org/data/index.php/en/indicators/health-systems-core-en/410-expenditure-en.html </w:t>
      </w:r>
    </w:p>
    <w:p w14:paraId="632A9305" w14:textId="662EA6B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PAHO/WHO</w:t>
      </w:r>
      <w:r w:rsidR="00851A12" w:rsidRPr="00F853DD">
        <w:rPr>
          <w:rFonts w:ascii="Times" w:hAnsi="Times" w:cs="Times New Roman"/>
          <w:sz w:val="23"/>
          <w:szCs w:val="23"/>
        </w:rPr>
        <w:t>,</w:t>
      </w:r>
      <w:r w:rsidRPr="00F853DD">
        <w:rPr>
          <w:rFonts w:ascii="Times" w:hAnsi="Times" w:cs="Times New Roman"/>
          <w:sz w:val="23"/>
          <w:szCs w:val="23"/>
        </w:rPr>
        <w:t xml:space="preserve"> (2008). Health systems profile Trinidad and Tobago: monitoring and analyzing health systems change/reform. </w:t>
      </w:r>
      <w:r w:rsidR="00B81386" w:rsidRPr="00F853DD">
        <w:rPr>
          <w:rFonts w:ascii="Times" w:hAnsi="Times" w:cs="Times New Roman"/>
          <w:sz w:val="23"/>
          <w:szCs w:val="23"/>
        </w:rPr>
        <w:t>[Viewed 28 August 2017]. Available from: http://apps.who.int/medicinedocs/documents/s18708en/s18708en.pdf</w:t>
      </w:r>
    </w:p>
    <w:p w14:paraId="73570765" w14:textId="2D7F6B9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Palacios, R. and Sluchynsky, O.</w:t>
      </w:r>
      <w:r w:rsidR="0044605F" w:rsidRPr="00F853DD">
        <w:rPr>
          <w:rFonts w:ascii="Times" w:hAnsi="Times" w:cs="Times New Roman"/>
          <w:sz w:val="23"/>
          <w:szCs w:val="23"/>
        </w:rPr>
        <w:t>,</w:t>
      </w:r>
      <w:r w:rsidRPr="00F853DD">
        <w:rPr>
          <w:rFonts w:ascii="Times" w:hAnsi="Times" w:cs="Times New Roman"/>
          <w:sz w:val="23"/>
          <w:szCs w:val="23"/>
        </w:rPr>
        <w:t xml:space="preserve"> (2006). </w:t>
      </w:r>
      <w:r w:rsidRPr="00F853DD">
        <w:rPr>
          <w:rFonts w:ascii="Times" w:hAnsi="Times" w:cs="Times New Roman"/>
          <w:i/>
          <w:sz w:val="23"/>
          <w:szCs w:val="23"/>
        </w:rPr>
        <w:t xml:space="preserve">Social </w:t>
      </w:r>
      <w:r w:rsidR="0044605F" w:rsidRPr="00F853DD">
        <w:rPr>
          <w:rFonts w:ascii="Times" w:hAnsi="Times" w:cs="Times New Roman"/>
          <w:i/>
          <w:sz w:val="23"/>
          <w:szCs w:val="23"/>
        </w:rPr>
        <w:t>p</w:t>
      </w:r>
      <w:r w:rsidRPr="00F853DD">
        <w:rPr>
          <w:rFonts w:ascii="Times" w:hAnsi="Times" w:cs="Times New Roman"/>
          <w:i/>
          <w:sz w:val="23"/>
          <w:szCs w:val="23"/>
        </w:rPr>
        <w:t xml:space="preserve">ensions Part I: </w:t>
      </w:r>
      <w:r w:rsidR="0044605F" w:rsidRPr="00F853DD">
        <w:rPr>
          <w:rFonts w:ascii="Times" w:hAnsi="Times" w:cs="Times New Roman"/>
          <w:i/>
          <w:sz w:val="23"/>
          <w:szCs w:val="23"/>
        </w:rPr>
        <w:t>t</w:t>
      </w:r>
      <w:r w:rsidRPr="00F853DD">
        <w:rPr>
          <w:rFonts w:ascii="Times" w:hAnsi="Times" w:cs="Times New Roman"/>
          <w:i/>
          <w:sz w:val="23"/>
          <w:szCs w:val="23"/>
        </w:rPr>
        <w:t xml:space="preserve">heir </w:t>
      </w:r>
      <w:r w:rsidR="0044605F" w:rsidRPr="00F853DD">
        <w:rPr>
          <w:rFonts w:ascii="Times" w:hAnsi="Times" w:cs="Times New Roman"/>
          <w:i/>
          <w:sz w:val="23"/>
          <w:szCs w:val="23"/>
        </w:rPr>
        <w:t>r</w:t>
      </w:r>
      <w:r w:rsidRPr="00F853DD">
        <w:rPr>
          <w:rFonts w:ascii="Times" w:hAnsi="Times" w:cs="Times New Roman"/>
          <w:i/>
          <w:sz w:val="23"/>
          <w:szCs w:val="23"/>
        </w:rPr>
        <w:t xml:space="preserve">ole in the </w:t>
      </w:r>
      <w:r w:rsidR="0044605F" w:rsidRPr="00F853DD">
        <w:rPr>
          <w:rFonts w:ascii="Times" w:hAnsi="Times" w:cs="Times New Roman"/>
          <w:i/>
          <w:sz w:val="23"/>
          <w:szCs w:val="23"/>
        </w:rPr>
        <w:t>o</w:t>
      </w:r>
      <w:r w:rsidRPr="00F853DD">
        <w:rPr>
          <w:rFonts w:ascii="Times" w:hAnsi="Times" w:cs="Times New Roman"/>
          <w:i/>
          <w:sz w:val="23"/>
          <w:szCs w:val="23"/>
        </w:rPr>
        <w:t xml:space="preserve">verall </w:t>
      </w:r>
      <w:r w:rsidR="0044605F" w:rsidRPr="00F853DD">
        <w:rPr>
          <w:rFonts w:ascii="Times" w:hAnsi="Times" w:cs="Times New Roman"/>
          <w:i/>
          <w:sz w:val="23"/>
          <w:szCs w:val="23"/>
        </w:rPr>
        <w:t>p</w:t>
      </w:r>
      <w:r w:rsidRPr="00F853DD">
        <w:rPr>
          <w:rFonts w:ascii="Times" w:hAnsi="Times" w:cs="Times New Roman"/>
          <w:i/>
          <w:sz w:val="23"/>
          <w:szCs w:val="23"/>
        </w:rPr>
        <w:t xml:space="preserve">ension </w:t>
      </w:r>
      <w:r w:rsidR="0044605F" w:rsidRPr="00F853DD">
        <w:rPr>
          <w:rFonts w:ascii="Times" w:hAnsi="Times" w:cs="Times New Roman"/>
          <w:i/>
          <w:sz w:val="23"/>
          <w:szCs w:val="23"/>
        </w:rPr>
        <w:t>s</w:t>
      </w:r>
      <w:r w:rsidRPr="00F853DD">
        <w:rPr>
          <w:rFonts w:ascii="Times" w:hAnsi="Times" w:cs="Times New Roman"/>
          <w:i/>
          <w:sz w:val="23"/>
          <w:szCs w:val="23"/>
        </w:rPr>
        <w:t>ystem.</w:t>
      </w:r>
      <w:r w:rsidRPr="00F853DD">
        <w:rPr>
          <w:rFonts w:ascii="Times" w:hAnsi="Times" w:cs="Times New Roman"/>
          <w:sz w:val="23"/>
          <w:szCs w:val="23"/>
        </w:rPr>
        <w:t xml:space="preserve"> The World Bank.</w:t>
      </w:r>
    </w:p>
    <w:p w14:paraId="6CC3B310" w14:textId="6E372A5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Palloni, A. and McEniry, M.</w:t>
      </w:r>
      <w:r w:rsidR="0044605F" w:rsidRPr="00F853DD">
        <w:rPr>
          <w:rFonts w:ascii="Times" w:hAnsi="Times" w:cs="Times New Roman"/>
          <w:sz w:val="23"/>
          <w:szCs w:val="23"/>
        </w:rPr>
        <w:t>,</w:t>
      </w:r>
      <w:r w:rsidRPr="00F853DD">
        <w:rPr>
          <w:rFonts w:ascii="Times" w:hAnsi="Times" w:cs="Times New Roman"/>
          <w:sz w:val="23"/>
          <w:szCs w:val="23"/>
        </w:rPr>
        <w:t xml:space="preserve"> (2007). Aging and health status of elderly in Latin America and the Caribbean: preliminary findings. </w:t>
      </w:r>
      <w:r w:rsidRPr="00F853DD">
        <w:rPr>
          <w:rFonts w:ascii="Times" w:hAnsi="Times" w:cs="Times New Roman"/>
          <w:i/>
          <w:sz w:val="23"/>
          <w:szCs w:val="23"/>
        </w:rPr>
        <w:t>Journal of Cross-Cultural Gerontology</w:t>
      </w:r>
      <w:r w:rsidR="004460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Pr="00F853DD">
        <w:rPr>
          <w:rFonts w:ascii="Times" w:hAnsi="Times" w:cs="Times New Roman"/>
          <w:sz w:val="23"/>
          <w:szCs w:val="23"/>
        </w:rPr>
        <w:t>, 263-85.</w:t>
      </w:r>
    </w:p>
    <w:p w14:paraId="2AB952F1" w14:textId="3E3F6DC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Palloni, A., McEniry, M., Wong, R. and Pelaez, M.</w:t>
      </w:r>
      <w:r w:rsidR="005134A8" w:rsidRPr="00F853DD">
        <w:rPr>
          <w:rFonts w:ascii="Times" w:hAnsi="Times" w:cs="Times New Roman"/>
          <w:sz w:val="23"/>
          <w:szCs w:val="23"/>
        </w:rPr>
        <w:t>, (2006). The tide to come: e</w:t>
      </w:r>
      <w:r w:rsidRPr="00F853DD">
        <w:rPr>
          <w:rFonts w:ascii="Times" w:hAnsi="Times" w:cs="Times New Roman"/>
          <w:sz w:val="23"/>
          <w:szCs w:val="23"/>
        </w:rPr>
        <w:t xml:space="preserve">lderly health in Latin America and the Caribbean. </w:t>
      </w:r>
      <w:r w:rsidRPr="00F853DD">
        <w:rPr>
          <w:rFonts w:ascii="Times" w:hAnsi="Times" w:cs="Times New Roman"/>
          <w:i/>
          <w:sz w:val="23"/>
          <w:szCs w:val="23"/>
        </w:rPr>
        <w:t>Journal of Aging and Health</w:t>
      </w:r>
      <w:r w:rsidR="005134A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180-206.</w:t>
      </w:r>
    </w:p>
    <w:p w14:paraId="22AFB135" w14:textId="7BF8676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Palm, E.</w:t>
      </w:r>
      <w:r w:rsidR="005134A8" w:rsidRPr="00F853DD">
        <w:rPr>
          <w:rFonts w:ascii="Times" w:hAnsi="Times" w:cs="Times New Roman"/>
          <w:sz w:val="23"/>
          <w:szCs w:val="23"/>
        </w:rPr>
        <w:t>,</w:t>
      </w:r>
      <w:r w:rsidRPr="00F853DD">
        <w:rPr>
          <w:rFonts w:ascii="Times" w:hAnsi="Times" w:cs="Times New Roman"/>
          <w:sz w:val="23"/>
          <w:szCs w:val="23"/>
        </w:rPr>
        <w:t xml:space="preserve"> (2013). Who </w:t>
      </w:r>
      <w:r w:rsidR="005134A8" w:rsidRPr="00F853DD">
        <w:rPr>
          <w:rFonts w:ascii="Times" w:hAnsi="Times" w:cs="Times New Roman"/>
          <w:sz w:val="23"/>
          <w:szCs w:val="23"/>
        </w:rPr>
        <w:t>c</w:t>
      </w:r>
      <w:r w:rsidRPr="00F853DD">
        <w:rPr>
          <w:rFonts w:ascii="Times" w:hAnsi="Times" w:cs="Times New Roman"/>
          <w:sz w:val="23"/>
          <w:szCs w:val="23"/>
        </w:rPr>
        <w:t xml:space="preserve">ares? Moral obligations in formal and informal care provision in the light of ICT-based home care. </w:t>
      </w:r>
      <w:r w:rsidRPr="00F853DD">
        <w:rPr>
          <w:rFonts w:ascii="Times" w:hAnsi="Times" w:cs="Times New Roman"/>
          <w:i/>
          <w:sz w:val="23"/>
          <w:szCs w:val="23"/>
        </w:rPr>
        <w:t>Health Care Analysis</w:t>
      </w:r>
      <w:r w:rsidR="005134A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00EE62CD" w:rsidRPr="00F853DD">
        <w:rPr>
          <w:rFonts w:ascii="Times" w:hAnsi="Times" w:cs="Times New Roman"/>
          <w:sz w:val="23"/>
          <w:szCs w:val="23"/>
        </w:rPr>
        <w:t>(2)</w:t>
      </w:r>
      <w:r w:rsidRPr="00F853DD">
        <w:rPr>
          <w:rFonts w:ascii="Times" w:hAnsi="Times" w:cs="Times New Roman"/>
          <w:sz w:val="23"/>
          <w:szCs w:val="23"/>
        </w:rPr>
        <w:t>, 171-188.</w:t>
      </w:r>
      <w:r w:rsidR="00EE62CD" w:rsidRPr="00F853DD">
        <w:rPr>
          <w:rFonts w:ascii="Times" w:hAnsi="Times" w:cs="Times New Roman"/>
          <w:sz w:val="23"/>
          <w:szCs w:val="23"/>
        </w:rPr>
        <w:t xml:space="preserve"> [Viewed 18 April 2017]. Available from: https://doi-org.sheffield.idm.oclc.org/10.1007/s10728-011-0199-3</w:t>
      </w:r>
    </w:p>
    <w:p w14:paraId="492E06EF" w14:textId="15099B05"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Palmer, J.., Langan, J.</w:t>
      </w:r>
      <w:r w:rsidR="00DF05BD" w:rsidRPr="00F853DD">
        <w:rPr>
          <w:rFonts w:ascii="Times" w:hAnsi="Times" w:cs="Times New Roman"/>
          <w:sz w:val="23"/>
          <w:szCs w:val="23"/>
          <w:lang w:val="de-DE"/>
        </w:rPr>
        <w:t>, Krampe</w:t>
      </w:r>
      <w:r w:rsidRPr="00F853DD">
        <w:rPr>
          <w:rFonts w:ascii="Times" w:hAnsi="Times" w:cs="Times New Roman"/>
          <w:sz w:val="23"/>
          <w:szCs w:val="23"/>
          <w:lang w:val="de-DE"/>
        </w:rPr>
        <w:t>, J., Krieger, M., Lorenz, R., Schneider, J., Smith, J. and Lach, H.</w:t>
      </w:r>
      <w:r w:rsidR="00DF05BD" w:rsidRPr="00F853DD">
        <w:rPr>
          <w:rFonts w:ascii="Times" w:hAnsi="Times" w:cs="Times New Roman"/>
          <w:sz w:val="23"/>
          <w:szCs w:val="23"/>
          <w:lang w:val="de-DE"/>
        </w:rPr>
        <w:t xml:space="preserve"> (2014). </w:t>
      </w:r>
      <w:r w:rsidR="00DF05BD" w:rsidRPr="00F853DD">
        <w:rPr>
          <w:rFonts w:ascii="Times" w:hAnsi="Times" w:cs="Times New Roman"/>
          <w:sz w:val="23"/>
          <w:szCs w:val="23"/>
        </w:rPr>
        <w:t xml:space="preserve">A model of risk reduction for older adults vulnerable to nursing home placement. </w:t>
      </w:r>
      <w:r w:rsidR="00DF05BD" w:rsidRPr="00F853DD">
        <w:rPr>
          <w:rFonts w:ascii="Times" w:hAnsi="Times" w:cs="Times New Roman"/>
          <w:i/>
          <w:sz w:val="23"/>
          <w:szCs w:val="23"/>
        </w:rPr>
        <w:t>Research and Theory for Nursing Practice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DF05BD" w:rsidRPr="00F853DD">
        <w:rPr>
          <w:rFonts w:ascii="Times" w:hAnsi="Times" w:cs="Times New Roman"/>
          <w:sz w:val="23"/>
          <w:szCs w:val="23"/>
        </w:rPr>
        <w:t>, 162-192.</w:t>
      </w:r>
    </w:p>
    <w:p w14:paraId="05CCE003" w14:textId="333C25D0"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Smith, K. and Bengtson, V.,</w:t>
      </w:r>
      <w:r w:rsidR="00DF05BD" w:rsidRPr="00F853DD">
        <w:rPr>
          <w:rFonts w:ascii="Times" w:hAnsi="Times" w:cs="Times New Roman"/>
          <w:sz w:val="23"/>
          <w:szCs w:val="23"/>
        </w:rPr>
        <w:t xml:space="preserve"> (1979). Positive consequences of institutionalization: </w:t>
      </w:r>
      <w:r w:rsidRPr="00F853DD">
        <w:rPr>
          <w:rFonts w:ascii="Times" w:hAnsi="Times" w:cs="Times New Roman"/>
          <w:sz w:val="23"/>
          <w:szCs w:val="23"/>
        </w:rPr>
        <w:t>s</w:t>
      </w:r>
      <w:r w:rsidR="00DF05BD" w:rsidRPr="00F853DD">
        <w:rPr>
          <w:rFonts w:ascii="Times" w:hAnsi="Times" w:cs="Times New Roman"/>
          <w:sz w:val="23"/>
          <w:szCs w:val="23"/>
        </w:rPr>
        <w:t>olidarity between elderly parents and their middle-aged children. </w:t>
      </w:r>
      <w:r w:rsidR="00DF05BD" w:rsidRPr="00F853DD">
        <w:rPr>
          <w:rFonts w:ascii="Times" w:hAnsi="Times" w:cs="Times New Roman"/>
          <w:i/>
          <w:sz w:val="23"/>
          <w:szCs w:val="23"/>
        </w:rPr>
        <w:t>Gerontologist</w:t>
      </w:r>
      <w:r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(5_Part_1), 438-447. </w:t>
      </w:r>
    </w:p>
    <w:p w14:paraId="1FBA76C2" w14:textId="57B7C124"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Pan, Y. and Jones, P.,</w:t>
      </w:r>
      <w:r w:rsidR="00DF05BD" w:rsidRPr="00F853DD">
        <w:rPr>
          <w:rFonts w:ascii="Times" w:hAnsi="Times" w:cs="Times New Roman"/>
          <w:sz w:val="23"/>
          <w:szCs w:val="23"/>
        </w:rPr>
        <w:t xml:space="preserve"> (2017). Correlates of perceived social support in Chinese adult child caregivers of parent stroke survivors. </w:t>
      </w:r>
      <w:r w:rsidR="00DF05BD" w:rsidRPr="00F853DD">
        <w:rPr>
          <w:rFonts w:ascii="Times" w:hAnsi="Times" w:cs="Times New Roman"/>
          <w:i/>
          <w:sz w:val="23"/>
          <w:szCs w:val="23"/>
        </w:rPr>
        <w:t>Journal of Nursing Research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 383-391.</w:t>
      </w:r>
    </w:p>
    <w:p w14:paraId="4F6AB5A2" w14:textId="23530D3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Panter-Brick, C.</w:t>
      </w:r>
      <w:r w:rsidR="005134A8" w:rsidRPr="00F853DD">
        <w:rPr>
          <w:rFonts w:ascii="Times" w:hAnsi="Times" w:cs="Times New Roman"/>
          <w:sz w:val="23"/>
          <w:szCs w:val="23"/>
        </w:rPr>
        <w:t>,</w:t>
      </w:r>
      <w:r w:rsidRPr="00F853DD">
        <w:rPr>
          <w:rFonts w:ascii="Times" w:hAnsi="Times" w:cs="Times New Roman"/>
          <w:sz w:val="23"/>
          <w:szCs w:val="23"/>
        </w:rPr>
        <w:t xml:space="preserve"> (2014). He</w:t>
      </w:r>
      <w:r w:rsidR="005134A8" w:rsidRPr="00F853DD">
        <w:rPr>
          <w:rFonts w:ascii="Times" w:hAnsi="Times" w:cs="Times New Roman"/>
          <w:sz w:val="23"/>
          <w:szCs w:val="23"/>
        </w:rPr>
        <w:t>alth, risk, and resilience: i</w:t>
      </w:r>
      <w:r w:rsidRPr="00F853DD">
        <w:rPr>
          <w:rFonts w:ascii="Times" w:hAnsi="Times" w:cs="Times New Roman"/>
          <w:sz w:val="23"/>
          <w:szCs w:val="23"/>
        </w:rPr>
        <w:t>nterdisciplinary concepts and applications. In: B</w:t>
      </w:r>
      <w:r w:rsidR="005134A8" w:rsidRPr="00F853DD">
        <w:rPr>
          <w:rFonts w:ascii="Times" w:hAnsi="Times" w:cs="Times New Roman"/>
          <w:sz w:val="23"/>
          <w:szCs w:val="23"/>
        </w:rPr>
        <w:t>renneis</w:t>
      </w:r>
      <w:r w:rsidRPr="00F853DD">
        <w:rPr>
          <w:rFonts w:ascii="Times" w:hAnsi="Times" w:cs="Times New Roman"/>
          <w:sz w:val="23"/>
          <w:szCs w:val="23"/>
        </w:rPr>
        <w:t>, D. and S</w:t>
      </w:r>
      <w:r w:rsidR="005134A8" w:rsidRPr="00F853DD">
        <w:rPr>
          <w:rFonts w:ascii="Times" w:hAnsi="Times" w:cs="Times New Roman"/>
          <w:sz w:val="23"/>
          <w:szCs w:val="23"/>
        </w:rPr>
        <w:t>trier, K.</w:t>
      </w:r>
      <w:r w:rsidRPr="00F853DD">
        <w:rPr>
          <w:rFonts w:ascii="Times" w:hAnsi="Times" w:cs="Times New Roman"/>
          <w:sz w:val="23"/>
          <w:szCs w:val="23"/>
        </w:rPr>
        <w:t xml:space="preserve"> (eds.) </w:t>
      </w:r>
      <w:r w:rsidRPr="00F853DD">
        <w:rPr>
          <w:rFonts w:ascii="Times" w:hAnsi="Times" w:cs="Times New Roman"/>
          <w:i/>
          <w:sz w:val="23"/>
          <w:szCs w:val="23"/>
        </w:rPr>
        <w:t>Annual Review of Anthropology</w:t>
      </w:r>
      <w:r w:rsidR="005134A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43</w:t>
      </w:r>
      <w:r w:rsidRPr="00F853DD">
        <w:rPr>
          <w:rFonts w:ascii="Times" w:hAnsi="Times" w:cs="Times New Roman"/>
          <w:sz w:val="23"/>
          <w:szCs w:val="23"/>
        </w:rPr>
        <w:t>. Palo Alto: Annual Reviews.</w:t>
      </w:r>
    </w:p>
    <w:p w14:paraId="4BC6FACB" w14:textId="4ECF7DB9"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Pargament, K., Koenig, H. and Perez, L.,</w:t>
      </w:r>
      <w:r w:rsidR="00DF05BD" w:rsidRPr="00F853DD">
        <w:rPr>
          <w:rFonts w:ascii="Times" w:hAnsi="Times" w:cs="Times New Roman"/>
          <w:sz w:val="23"/>
          <w:szCs w:val="23"/>
        </w:rPr>
        <w:t xml:space="preserve"> (2000). The many methods of religious coping: Developmental initial validation of the RCOPE. </w:t>
      </w:r>
      <w:r w:rsidR="00DF05BD" w:rsidRPr="00F853DD">
        <w:rPr>
          <w:rFonts w:ascii="Times" w:hAnsi="Times" w:cs="Times New Roman"/>
          <w:i/>
          <w:sz w:val="23"/>
          <w:szCs w:val="23"/>
        </w:rPr>
        <w:t>Journal of Clinical Psychology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56</w:t>
      </w:r>
      <w:r w:rsidR="00DF05BD" w:rsidRPr="00F853DD">
        <w:rPr>
          <w:rFonts w:ascii="Times" w:hAnsi="Times" w:cs="Times New Roman"/>
          <w:sz w:val="23"/>
          <w:szCs w:val="23"/>
        </w:rPr>
        <w:t>, 519-543.</w:t>
      </w:r>
    </w:p>
    <w:p w14:paraId="2B9009A6" w14:textId="3C1BCF33"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Pargament, K., Smith, B., Koenig, H.</w:t>
      </w:r>
      <w:r w:rsidR="00DF05BD" w:rsidRPr="00F853DD">
        <w:rPr>
          <w:rFonts w:ascii="Times" w:hAnsi="Times" w:cs="Times New Roman"/>
          <w:sz w:val="23"/>
          <w:szCs w:val="23"/>
        </w:rPr>
        <w:t xml:space="preserve"> and Perez, L. (1998). Patterns of positive and negative religious coping with major life stressors. </w:t>
      </w:r>
      <w:r w:rsidR="00DF05BD" w:rsidRPr="00F853DD">
        <w:rPr>
          <w:rFonts w:ascii="Times" w:hAnsi="Times" w:cs="Times New Roman"/>
          <w:i/>
          <w:sz w:val="23"/>
          <w:szCs w:val="23"/>
        </w:rPr>
        <w:t>Journal for the Scientific Study of Religion</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37</w:t>
      </w:r>
      <w:r w:rsidR="00DF05BD" w:rsidRPr="00F853DD">
        <w:rPr>
          <w:rFonts w:ascii="Times" w:hAnsi="Times" w:cs="Times New Roman"/>
          <w:sz w:val="23"/>
          <w:szCs w:val="23"/>
        </w:rPr>
        <w:t>, 710-724.</w:t>
      </w:r>
    </w:p>
    <w:p w14:paraId="4FCEFF38" w14:textId="41A480EE"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Park, E. and Schumacher, K.</w:t>
      </w:r>
      <w:r w:rsidR="00DF05BD" w:rsidRPr="00F853DD">
        <w:rPr>
          <w:rFonts w:ascii="Times" w:hAnsi="Times" w:cs="Times New Roman"/>
          <w:sz w:val="23"/>
          <w:szCs w:val="23"/>
        </w:rPr>
        <w:t xml:space="preserve"> (2014). The state of the science of family caregiver-care receiver mutuality: a systematic review. </w:t>
      </w:r>
      <w:r w:rsidR="00DF05BD" w:rsidRPr="00F853DD">
        <w:rPr>
          <w:rFonts w:ascii="Times" w:hAnsi="Times" w:cs="Times New Roman"/>
          <w:i/>
          <w:sz w:val="23"/>
          <w:szCs w:val="23"/>
        </w:rPr>
        <w:t>Nursing Inquiry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DF05BD" w:rsidRPr="00F853DD">
        <w:rPr>
          <w:rFonts w:ascii="Times" w:hAnsi="Times" w:cs="Times New Roman"/>
          <w:sz w:val="23"/>
          <w:szCs w:val="23"/>
        </w:rPr>
        <w:t>, 140-152.</w:t>
      </w:r>
    </w:p>
    <w:p w14:paraId="5321DFFC" w14:textId="1CF1DD02"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Park, M., Butcher, H.</w:t>
      </w:r>
      <w:r w:rsidR="00DF05BD" w:rsidRPr="00F853DD">
        <w:rPr>
          <w:rFonts w:ascii="Times" w:hAnsi="Times" w:cs="Times New Roman"/>
          <w:sz w:val="23"/>
          <w:szCs w:val="23"/>
        </w:rPr>
        <w:t xml:space="preserve"> and Maas, M</w:t>
      </w:r>
      <w:r w:rsidRPr="00F853DD">
        <w:rPr>
          <w:rFonts w:ascii="Times" w:hAnsi="Times" w:cs="Times New Roman"/>
          <w:sz w:val="23"/>
          <w:szCs w:val="23"/>
        </w:rPr>
        <w:t>.,</w:t>
      </w:r>
      <w:r w:rsidR="00DF05BD" w:rsidRPr="00F853DD">
        <w:rPr>
          <w:rFonts w:ascii="Times" w:hAnsi="Times" w:cs="Times New Roman"/>
          <w:sz w:val="23"/>
          <w:szCs w:val="23"/>
        </w:rPr>
        <w:t xml:space="preserve"> (2004). A thematic analysis of Korean family Caregivers' experiences in making the decision to place a family member with dementia in a long-term care facility. </w:t>
      </w:r>
      <w:r w:rsidR="00DF05BD" w:rsidRPr="00F853DD">
        <w:rPr>
          <w:rFonts w:ascii="Times" w:hAnsi="Times" w:cs="Times New Roman"/>
          <w:i/>
          <w:sz w:val="23"/>
          <w:szCs w:val="23"/>
        </w:rPr>
        <w:t>Research in Nursing and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345-356.</w:t>
      </w:r>
    </w:p>
    <w:p w14:paraId="559A9BD0" w14:textId="73FC2E2D"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Park, R.,</w:t>
      </w:r>
      <w:r w:rsidR="00DF05BD" w:rsidRPr="00F853DD">
        <w:rPr>
          <w:rFonts w:ascii="Times" w:hAnsi="Times" w:cs="Times New Roman"/>
          <w:sz w:val="23"/>
          <w:szCs w:val="23"/>
        </w:rPr>
        <w:t xml:space="preserve"> (1921). Sociology and the </w:t>
      </w:r>
      <w:r w:rsidRPr="00F853DD">
        <w:rPr>
          <w:rFonts w:ascii="Times" w:hAnsi="Times" w:cs="Times New Roman"/>
          <w:sz w:val="23"/>
          <w:szCs w:val="23"/>
        </w:rPr>
        <w:t>s</w:t>
      </w:r>
      <w:r w:rsidR="00DF05BD" w:rsidRPr="00F853DD">
        <w:rPr>
          <w:rFonts w:ascii="Times" w:hAnsi="Times" w:cs="Times New Roman"/>
          <w:sz w:val="23"/>
          <w:szCs w:val="23"/>
        </w:rPr>
        <w:t xml:space="preserve">ocial </w:t>
      </w:r>
      <w:r w:rsidRPr="00F853DD">
        <w:rPr>
          <w:rFonts w:ascii="Times" w:hAnsi="Times" w:cs="Times New Roman"/>
          <w:sz w:val="23"/>
          <w:szCs w:val="23"/>
        </w:rPr>
        <w:t>s</w:t>
      </w:r>
      <w:r w:rsidR="00DF05BD" w:rsidRPr="00F853DD">
        <w:rPr>
          <w:rFonts w:ascii="Times" w:hAnsi="Times" w:cs="Times New Roman"/>
          <w:sz w:val="23"/>
          <w:szCs w:val="23"/>
        </w:rPr>
        <w:t xml:space="preserve">ciences: The </w:t>
      </w:r>
      <w:r w:rsidRPr="00F853DD">
        <w:rPr>
          <w:rFonts w:ascii="Times" w:hAnsi="Times" w:cs="Times New Roman"/>
          <w:sz w:val="23"/>
          <w:szCs w:val="23"/>
        </w:rPr>
        <w:t>s</w:t>
      </w:r>
      <w:r w:rsidR="00DF05BD" w:rsidRPr="00F853DD">
        <w:rPr>
          <w:rFonts w:ascii="Times" w:hAnsi="Times" w:cs="Times New Roman"/>
          <w:sz w:val="23"/>
          <w:szCs w:val="23"/>
        </w:rPr>
        <w:t xml:space="preserve">ocial </w:t>
      </w:r>
      <w:r w:rsidRPr="00F853DD">
        <w:rPr>
          <w:rFonts w:ascii="Times" w:hAnsi="Times" w:cs="Times New Roman"/>
          <w:sz w:val="23"/>
          <w:szCs w:val="23"/>
        </w:rPr>
        <w:t>o</w:t>
      </w:r>
      <w:r w:rsidR="00DF05BD" w:rsidRPr="00F853DD">
        <w:rPr>
          <w:rFonts w:ascii="Times" w:hAnsi="Times" w:cs="Times New Roman"/>
          <w:sz w:val="23"/>
          <w:szCs w:val="23"/>
        </w:rPr>
        <w:t xml:space="preserve">rganism and the </w:t>
      </w:r>
      <w:r w:rsidRPr="00F853DD">
        <w:rPr>
          <w:rFonts w:ascii="Times" w:hAnsi="Times" w:cs="Times New Roman"/>
          <w:sz w:val="23"/>
          <w:szCs w:val="23"/>
        </w:rPr>
        <w:t>c</w:t>
      </w:r>
      <w:r w:rsidR="00DF05BD" w:rsidRPr="00F853DD">
        <w:rPr>
          <w:rFonts w:ascii="Times" w:hAnsi="Times" w:cs="Times New Roman"/>
          <w:sz w:val="23"/>
          <w:szCs w:val="23"/>
        </w:rPr>
        <w:t xml:space="preserve">ollective Mind. </w:t>
      </w:r>
      <w:r w:rsidR="00DF05BD" w:rsidRPr="00F853DD">
        <w:rPr>
          <w:rFonts w:ascii="Times" w:hAnsi="Times" w:cs="Times New Roman"/>
          <w:i/>
          <w:sz w:val="23"/>
          <w:szCs w:val="23"/>
        </w:rPr>
        <w:t>American Journal of Sociology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1-21.</w:t>
      </w:r>
    </w:p>
    <w:p w14:paraId="27586F87"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Parliament of The United Kingdom (2005). </w:t>
      </w:r>
      <w:r w:rsidRPr="00F853DD">
        <w:rPr>
          <w:rFonts w:ascii="Times" w:hAnsi="Times" w:cs="Times New Roman"/>
          <w:i/>
          <w:sz w:val="23"/>
          <w:szCs w:val="23"/>
        </w:rPr>
        <w:t>Mental Capacity Act</w:t>
      </w:r>
      <w:r w:rsidRPr="00F853DD">
        <w:rPr>
          <w:rFonts w:ascii="Times" w:hAnsi="Times" w:cs="Times New Roman"/>
          <w:sz w:val="23"/>
          <w:szCs w:val="23"/>
        </w:rPr>
        <w:t xml:space="preserve"> (C 9). Crown Copyright.</w:t>
      </w:r>
    </w:p>
    <w:p w14:paraId="06BB5647" w14:textId="146AC57E" w:rsidR="00DF05BD" w:rsidRPr="00F853DD" w:rsidRDefault="005134A8"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Parra-Cardona, J.</w:t>
      </w:r>
      <w:r w:rsidR="00DF05BD" w:rsidRPr="00F853DD">
        <w:rPr>
          <w:rFonts w:ascii="Times" w:hAnsi="Times" w:cs="Times New Roman"/>
          <w:sz w:val="23"/>
          <w:szCs w:val="23"/>
        </w:rPr>
        <w:t>, Meyer, E., Schiamberg, L. and Post, L.</w:t>
      </w:r>
      <w:r w:rsidRPr="00F853DD">
        <w:rPr>
          <w:rFonts w:ascii="Times" w:hAnsi="Times" w:cs="Times New Roman"/>
          <w:sz w:val="23"/>
          <w:szCs w:val="23"/>
        </w:rPr>
        <w:t>,</w:t>
      </w:r>
      <w:r w:rsidR="00DF05BD" w:rsidRPr="00F853DD">
        <w:rPr>
          <w:rFonts w:ascii="Times" w:hAnsi="Times" w:cs="Times New Roman"/>
          <w:sz w:val="23"/>
          <w:szCs w:val="23"/>
        </w:rPr>
        <w:t xml:space="preserve"> (200</w:t>
      </w:r>
      <w:r w:rsidR="00E869A4" w:rsidRPr="00F853DD">
        <w:rPr>
          <w:rFonts w:ascii="Times" w:hAnsi="Times" w:cs="Times New Roman"/>
          <w:sz w:val="23"/>
          <w:szCs w:val="23"/>
        </w:rPr>
        <w:t>7). Elder abuse and neglect in L</w:t>
      </w:r>
      <w:r w:rsidR="00DF05BD" w:rsidRPr="00F853DD">
        <w:rPr>
          <w:rFonts w:ascii="Times" w:hAnsi="Times" w:cs="Times New Roman"/>
          <w:sz w:val="23"/>
          <w:szCs w:val="23"/>
        </w:rPr>
        <w:t xml:space="preserve">atino families: </w:t>
      </w:r>
      <w:r w:rsidRPr="00F853DD">
        <w:rPr>
          <w:rFonts w:ascii="Times" w:hAnsi="Times" w:cs="Times New Roman"/>
          <w:sz w:val="23"/>
          <w:szCs w:val="23"/>
        </w:rPr>
        <w:t>a</w:t>
      </w:r>
      <w:r w:rsidR="00DF05BD" w:rsidRPr="00F853DD">
        <w:rPr>
          <w:rFonts w:ascii="Times" w:hAnsi="Times" w:cs="Times New Roman"/>
          <w:sz w:val="23"/>
          <w:szCs w:val="23"/>
        </w:rPr>
        <w:t xml:space="preserve">n ecological and culturally relevant theoretical framework for clinical practice. </w:t>
      </w:r>
      <w:r w:rsidR="00DF05BD" w:rsidRPr="00F853DD">
        <w:rPr>
          <w:rFonts w:ascii="Times" w:hAnsi="Times" w:cs="Times New Roman"/>
          <w:i/>
          <w:sz w:val="23"/>
          <w:szCs w:val="23"/>
        </w:rPr>
        <w:t>Family Process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46</w:t>
      </w:r>
      <w:r w:rsidR="00DF05BD" w:rsidRPr="00F853DD">
        <w:rPr>
          <w:rFonts w:ascii="Times" w:hAnsi="Times" w:cs="Times New Roman"/>
          <w:sz w:val="23"/>
          <w:szCs w:val="23"/>
        </w:rPr>
        <w:t>, 451-470.</w:t>
      </w:r>
    </w:p>
    <w:p w14:paraId="5BE9992A" w14:textId="0AF04E7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Parvati, R.</w:t>
      </w:r>
      <w:r w:rsidR="005134A8" w:rsidRPr="00F853DD">
        <w:rPr>
          <w:rFonts w:ascii="Times" w:hAnsi="Times" w:cs="Times New Roman"/>
          <w:sz w:val="23"/>
          <w:szCs w:val="23"/>
        </w:rPr>
        <w:t>,</w:t>
      </w:r>
      <w:r w:rsidRPr="00F853DD">
        <w:rPr>
          <w:rFonts w:ascii="Times" w:hAnsi="Times" w:cs="Times New Roman"/>
          <w:sz w:val="23"/>
          <w:szCs w:val="23"/>
        </w:rPr>
        <w:t xml:space="preserve"> (2016). Locating </w:t>
      </w:r>
      <w:r w:rsidR="005134A8" w:rsidRPr="00F853DD">
        <w:rPr>
          <w:rFonts w:ascii="Times" w:hAnsi="Times" w:cs="Times New Roman"/>
          <w:sz w:val="23"/>
          <w:szCs w:val="23"/>
        </w:rPr>
        <w:t>c</w:t>
      </w:r>
      <w:r w:rsidRPr="00F853DD">
        <w:rPr>
          <w:rFonts w:ascii="Times" w:hAnsi="Times" w:cs="Times New Roman"/>
          <w:sz w:val="23"/>
          <w:szCs w:val="23"/>
        </w:rPr>
        <w:t xml:space="preserve">are </w:t>
      </w:r>
      <w:r w:rsidR="005134A8" w:rsidRPr="00F853DD">
        <w:rPr>
          <w:rFonts w:ascii="Times" w:hAnsi="Times" w:cs="Times New Roman"/>
          <w:sz w:val="23"/>
          <w:szCs w:val="23"/>
        </w:rPr>
        <w:t>e</w:t>
      </w:r>
      <w:r w:rsidRPr="00F853DD">
        <w:rPr>
          <w:rFonts w:ascii="Times" w:hAnsi="Times" w:cs="Times New Roman"/>
          <w:sz w:val="23"/>
          <w:szCs w:val="23"/>
        </w:rPr>
        <w:t xml:space="preserve">thics </w:t>
      </w:r>
      <w:r w:rsidR="005134A8" w:rsidRPr="00F853DD">
        <w:rPr>
          <w:rFonts w:ascii="Times" w:hAnsi="Times" w:cs="Times New Roman"/>
          <w:sz w:val="23"/>
          <w:szCs w:val="23"/>
        </w:rPr>
        <w:t>b</w:t>
      </w:r>
      <w:r w:rsidRPr="00F853DD">
        <w:rPr>
          <w:rFonts w:ascii="Times" w:hAnsi="Times" w:cs="Times New Roman"/>
          <w:sz w:val="23"/>
          <w:szCs w:val="23"/>
        </w:rPr>
        <w:t xml:space="preserve">eyond the </w:t>
      </w:r>
      <w:r w:rsidR="005134A8" w:rsidRPr="00F853DD">
        <w:rPr>
          <w:rFonts w:ascii="Times" w:hAnsi="Times" w:cs="Times New Roman"/>
          <w:sz w:val="23"/>
          <w:szCs w:val="23"/>
        </w:rPr>
        <w:t>g</w:t>
      </w:r>
      <w:r w:rsidRPr="00F853DD">
        <w:rPr>
          <w:rFonts w:ascii="Times" w:hAnsi="Times" w:cs="Times New Roman"/>
          <w:sz w:val="23"/>
          <w:szCs w:val="23"/>
        </w:rPr>
        <w:t xml:space="preserve">lobal </w:t>
      </w:r>
      <w:r w:rsidR="005134A8" w:rsidRPr="00F853DD">
        <w:rPr>
          <w:rFonts w:ascii="Times" w:hAnsi="Times" w:cs="Times New Roman"/>
          <w:sz w:val="23"/>
          <w:szCs w:val="23"/>
        </w:rPr>
        <w:t>n</w:t>
      </w:r>
      <w:r w:rsidRPr="00F853DD">
        <w:rPr>
          <w:rFonts w:ascii="Times" w:hAnsi="Times" w:cs="Times New Roman"/>
          <w:sz w:val="23"/>
          <w:szCs w:val="23"/>
        </w:rPr>
        <w:t xml:space="preserve">orth. </w:t>
      </w:r>
      <w:r w:rsidRPr="00F853DD">
        <w:rPr>
          <w:rFonts w:ascii="Times" w:hAnsi="Times" w:cs="Times New Roman"/>
          <w:i/>
          <w:sz w:val="23"/>
          <w:szCs w:val="23"/>
        </w:rPr>
        <w:t>ACME an International E-journal for Critical Geographies</w:t>
      </w:r>
      <w:r w:rsidR="005134A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511-533.</w:t>
      </w:r>
    </w:p>
    <w:p w14:paraId="2BA5C304" w14:textId="2617DA7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Parveen, S. and Morrison, V.</w:t>
      </w:r>
      <w:r w:rsidR="005134A8" w:rsidRPr="00F853DD">
        <w:rPr>
          <w:rFonts w:ascii="Times" w:hAnsi="Times" w:cs="Times New Roman"/>
          <w:sz w:val="23"/>
          <w:szCs w:val="23"/>
        </w:rPr>
        <w:t>,</w:t>
      </w:r>
      <w:r w:rsidRPr="00F853DD">
        <w:rPr>
          <w:rFonts w:ascii="Times" w:hAnsi="Times" w:cs="Times New Roman"/>
          <w:sz w:val="23"/>
          <w:szCs w:val="23"/>
        </w:rPr>
        <w:t xml:space="preserve"> (2009). Predictors of </w:t>
      </w:r>
      <w:r w:rsidR="005134A8" w:rsidRPr="00F853DD">
        <w:rPr>
          <w:rFonts w:ascii="Times" w:hAnsi="Times" w:cs="Times New Roman"/>
          <w:sz w:val="23"/>
          <w:szCs w:val="23"/>
        </w:rPr>
        <w:t>f</w:t>
      </w:r>
      <w:r w:rsidRPr="00F853DD">
        <w:rPr>
          <w:rFonts w:ascii="Times" w:hAnsi="Times" w:cs="Times New Roman"/>
          <w:sz w:val="23"/>
          <w:szCs w:val="23"/>
        </w:rPr>
        <w:t xml:space="preserve">amilism in the </w:t>
      </w:r>
      <w:r w:rsidR="005134A8" w:rsidRPr="00F853DD">
        <w:rPr>
          <w:rFonts w:ascii="Times" w:hAnsi="Times" w:cs="Times New Roman"/>
          <w:sz w:val="23"/>
          <w:szCs w:val="23"/>
        </w:rPr>
        <w:t>c</w:t>
      </w:r>
      <w:r w:rsidRPr="00F853DD">
        <w:rPr>
          <w:rFonts w:ascii="Times" w:hAnsi="Times" w:cs="Times New Roman"/>
          <w:sz w:val="23"/>
          <w:szCs w:val="23"/>
        </w:rPr>
        <w:t xml:space="preserve">aregiver </w:t>
      </w:r>
      <w:r w:rsidR="005134A8" w:rsidRPr="00F853DD">
        <w:rPr>
          <w:rFonts w:ascii="Times" w:hAnsi="Times" w:cs="Times New Roman"/>
          <w:sz w:val="23"/>
          <w:szCs w:val="23"/>
        </w:rPr>
        <w:t>r</w:t>
      </w:r>
      <w:r w:rsidRPr="00F853DD">
        <w:rPr>
          <w:rFonts w:ascii="Times" w:hAnsi="Times" w:cs="Times New Roman"/>
          <w:sz w:val="23"/>
          <w:szCs w:val="23"/>
        </w:rPr>
        <w:t>ole</w:t>
      </w:r>
      <w:r w:rsidR="005134A8" w:rsidRPr="00F853DD">
        <w:rPr>
          <w:rFonts w:ascii="Times" w:hAnsi="Times" w:cs="Times New Roman"/>
          <w:sz w:val="23"/>
          <w:szCs w:val="23"/>
        </w:rPr>
        <w:t>: a</w:t>
      </w:r>
      <w:r w:rsidRPr="00F853DD">
        <w:rPr>
          <w:rFonts w:ascii="Times" w:hAnsi="Times" w:cs="Times New Roman"/>
          <w:sz w:val="23"/>
          <w:szCs w:val="23"/>
        </w:rPr>
        <w:t xml:space="preserve"> Pilot Study. </w:t>
      </w:r>
      <w:r w:rsidRPr="00F853DD">
        <w:rPr>
          <w:rFonts w:ascii="Times" w:hAnsi="Times" w:cs="Times New Roman"/>
          <w:i/>
          <w:sz w:val="23"/>
          <w:szCs w:val="23"/>
        </w:rPr>
        <w:t>Journal of Health Psychology</w:t>
      </w:r>
      <w:r w:rsidR="005134A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1135-1143.</w:t>
      </w:r>
    </w:p>
    <w:p w14:paraId="1137335E" w14:textId="0108FA0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Parveen, S., </w:t>
      </w:r>
      <w:r w:rsidR="005134A8" w:rsidRPr="00F853DD">
        <w:rPr>
          <w:rFonts w:ascii="Times" w:hAnsi="Times" w:cs="Times New Roman"/>
          <w:sz w:val="23"/>
          <w:szCs w:val="23"/>
        </w:rPr>
        <w:t>Morrison, V. and Robinson, C.,</w:t>
      </w:r>
      <w:r w:rsidRPr="00F853DD">
        <w:rPr>
          <w:rFonts w:ascii="Times" w:hAnsi="Times" w:cs="Times New Roman"/>
          <w:sz w:val="23"/>
          <w:szCs w:val="23"/>
        </w:rPr>
        <w:t xml:space="preserve"> (2011). Ethnic variations in the caregiver role: </w:t>
      </w:r>
      <w:r w:rsidR="005134A8" w:rsidRPr="00F853DD">
        <w:rPr>
          <w:rFonts w:ascii="Times" w:hAnsi="Times" w:cs="Times New Roman"/>
          <w:sz w:val="23"/>
          <w:szCs w:val="23"/>
        </w:rPr>
        <w:t>a</w:t>
      </w:r>
      <w:r w:rsidRPr="00F853DD">
        <w:rPr>
          <w:rFonts w:ascii="Times" w:hAnsi="Times" w:cs="Times New Roman"/>
          <w:sz w:val="23"/>
          <w:szCs w:val="23"/>
        </w:rPr>
        <w:t xml:space="preserve"> qualitative study. </w:t>
      </w:r>
      <w:r w:rsidRPr="00F853DD">
        <w:rPr>
          <w:rFonts w:ascii="Times" w:hAnsi="Times" w:cs="Times New Roman"/>
          <w:i/>
          <w:sz w:val="23"/>
          <w:szCs w:val="23"/>
        </w:rPr>
        <w:t>Journal of Health Psychology</w:t>
      </w:r>
      <w:r w:rsidR="005134A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862-872.</w:t>
      </w:r>
    </w:p>
    <w:p w14:paraId="0DBA587F" w14:textId="0E7DB6E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Parveen, S., </w:t>
      </w:r>
      <w:r w:rsidR="005134A8" w:rsidRPr="00F853DD">
        <w:rPr>
          <w:rFonts w:ascii="Times" w:hAnsi="Times" w:cs="Times New Roman"/>
          <w:sz w:val="23"/>
          <w:szCs w:val="23"/>
        </w:rPr>
        <w:t>Morrison, V. and Robinson, C.,</w:t>
      </w:r>
      <w:r w:rsidRPr="00F853DD">
        <w:rPr>
          <w:rFonts w:ascii="Times" w:hAnsi="Times" w:cs="Times New Roman"/>
          <w:sz w:val="23"/>
          <w:szCs w:val="23"/>
        </w:rPr>
        <w:t xml:space="preserve"> (2013). Ethnicity, familism and willingness to care: Important influences on caregiver mood? </w:t>
      </w:r>
      <w:r w:rsidRPr="00F853DD">
        <w:rPr>
          <w:rFonts w:ascii="Times" w:hAnsi="Times" w:cs="Times New Roman"/>
          <w:i/>
          <w:sz w:val="23"/>
          <w:szCs w:val="23"/>
        </w:rPr>
        <w:t>Aging and Mental Health</w:t>
      </w:r>
      <w:r w:rsidR="005134A8"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115-124.</w:t>
      </w:r>
    </w:p>
    <w:p w14:paraId="40E1AE38" w14:textId="3D42CC1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Parveen, S., </w:t>
      </w:r>
      <w:r w:rsidR="005134A8" w:rsidRPr="00F853DD">
        <w:rPr>
          <w:rFonts w:ascii="Times" w:hAnsi="Times" w:cs="Times New Roman"/>
          <w:sz w:val="23"/>
          <w:szCs w:val="23"/>
        </w:rPr>
        <w:t>Morrison, V. and Robinson, C.,</w:t>
      </w:r>
      <w:r w:rsidRPr="00F853DD">
        <w:rPr>
          <w:rFonts w:ascii="Times" w:hAnsi="Times" w:cs="Times New Roman"/>
          <w:sz w:val="23"/>
          <w:szCs w:val="23"/>
        </w:rPr>
        <w:t xml:space="preserve"> (2014). Does coping mediate the relationship between familism and caregiver outcomes. </w:t>
      </w:r>
      <w:r w:rsidRPr="00F853DD">
        <w:rPr>
          <w:rFonts w:ascii="Times" w:hAnsi="Times" w:cs="Times New Roman"/>
          <w:i/>
          <w:sz w:val="23"/>
          <w:szCs w:val="23"/>
        </w:rPr>
        <w:t>Aging and Mental Health</w:t>
      </w:r>
      <w:r w:rsidR="005134A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255-259.</w:t>
      </w:r>
    </w:p>
    <w:p w14:paraId="2CE56905" w14:textId="1516DAF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Patel, M., Doku, V. and Tennakoon, L.</w:t>
      </w:r>
      <w:r w:rsidR="00B72002" w:rsidRPr="00F853DD">
        <w:rPr>
          <w:rFonts w:ascii="Times" w:hAnsi="Times" w:cs="Times New Roman"/>
          <w:sz w:val="23"/>
          <w:szCs w:val="23"/>
        </w:rPr>
        <w:t>,</w:t>
      </w:r>
      <w:r w:rsidRPr="00F853DD">
        <w:rPr>
          <w:rFonts w:ascii="Times" w:hAnsi="Times" w:cs="Times New Roman"/>
          <w:sz w:val="23"/>
          <w:szCs w:val="23"/>
        </w:rPr>
        <w:t xml:space="preserve"> (2003). Challenges in recruitment of research participants. </w:t>
      </w:r>
      <w:r w:rsidRPr="00F853DD">
        <w:rPr>
          <w:rFonts w:ascii="Times" w:hAnsi="Times" w:cs="Times New Roman"/>
          <w:i/>
          <w:sz w:val="23"/>
          <w:szCs w:val="23"/>
        </w:rPr>
        <w:t xml:space="preserve">Advances in Psychiatric Treatment </w:t>
      </w:r>
      <w:r w:rsidRPr="00F853DD">
        <w:rPr>
          <w:rFonts w:ascii="Times" w:hAnsi="Times" w:cs="Times New Roman"/>
          <w:sz w:val="23"/>
          <w:szCs w:val="23"/>
        </w:rPr>
        <w:t xml:space="preserve">[online], </w:t>
      </w:r>
      <w:r w:rsidRPr="00F853DD">
        <w:rPr>
          <w:rFonts w:ascii="Times" w:hAnsi="Times" w:cs="Times New Roman"/>
          <w:b/>
          <w:sz w:val="23"/>
          <w:szCs w:val="23"/>
        </w:rPr>
        <w:t>9</w:t>
      </w:r>
      <w:r w:rsidRPr="00F853DD">
        <w:rPr>
          <w:rFonts w:ascii="Times" w:hAnsi="Times" w:cs="Times New Roman"/>
          <w:sz w:val="23"/>
          <w:szCs w:val="23"/>
        </w:rPr>
        <w:t>(3), 229-238. Available from:  doi:10.1192/apt.9.3.229</w:t>
      </w:r>
    </w:p>
    <w:p w14:paraId="77FAB403" w14:textId="4E85D453" w:rsidR="00DF05BD" w:rsidRPr="00F853DD" w:rsidRDefault="00B720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Patterson, J., (1989). A Family stress mode:</w:t>
      </w:r>
      <w:r w:rsidR="00DF05BD" w:rsidRPr="00F853DD">
        <w:rPr>
          <w:rFonts w:ascii="Times" w:hAnsi="Times" w:cs="Times New Roman"/>
          <w:sz w:val="23"/>
          <w:szCs w:val="23"/>
        </w:rPr>
        <w:t xml:space="preserve"> The family adjustment and adaptation response. In: Ramsey, C. N. Jr. (Ed.). </w:t>
      </w:r>
      <w:r w:rsidR="00DF05BD" w:rsidRPr="00F853DD">
        <w:rPr>
          <w:rFonts w:ascii="Times" w:hAnsi="Times" w:cs="Times New Roman"/>
          <w:i/>
          <w:sz w:val="23"/>
          <w:szCs w:val="23"/>
        </w:rPr>
        <w:t xml:space="preserve">The </w:t>
      </w:r>
      <w:r w:rsidRPr="00F853DD">
        <w:rPr>
          <w:rFonts w:ascii="Times" w:hAnsi="Times" w:cs="Times New Roman"/>
          <w:i/>
          <w:sz w:val="23"/>
          <w:szCs w:val="23"/>
        </w:rPr>
        <w:t>Guilford family</w:t>
      </w:r>
      <w:r w:rsidR="00DF05BD" w:rsidRPr="00F853DD">
        <w:rPr>
          <w:rFonts w:ascii="Times" w:hAnsi="Times" w:cs="Times New Roman"/>
          <w:i/>
          <w:sz w:val="23"/>
          <w:szCs w:val="23"/>
        </w:rPr>
        <w:t xml:space="preserve"> </w:t>
      </w:r>
      <w:r w:rsidRPr="00F853DD">
        <w:rPr>
          <w:rFonts w:ascii="Times" w:hAnsi="Times" w:cs="Times New Roman"/>
          <w:i/>
          <w:sz w:val="23"/>
          <w:szCs w:val="23"/>
        </w:rPr>
        <w:t>t</w:t>
      </w:r>
      <w:r w:rsidR="00DF05BD" w:rsidRPr="00F853DD">
        <w:rPr>
          <w:rFonts w:ascii="Times" w:hAnsi="Times" w:cs="Times New Roman"/>
          <w:i/>
          <w:sz w:val="23"/>
          <w:szCs w:val="23"/>
        </w:rPr>
        <w:t xml:space="preserve">herapy </w:t>
      </w:r>
      <w:r w:rsidRPr="00F853DD">
        <w:rPr>
          <w:rFonts w:ascii="Times" w:hAnsi="Times" w:cs="Times New Roman"/>
          <w:i/>
          <w:sz w:val="23"/>
          <w:szCs w:val="23"/>
        </w:rPr>
        <w:t>s</w:t>
      </w:r>
      <w:r w:rsidR="00DF05BD" w:rsidRPr="00F853DD">
        <w:rPr>
          <w:rFonts w:ascii="Times" w:hAnsi="Times" w:cs="Times New Roman"/>
          <w:i/>
          <w:sz w:val="23"/>
          <w:szCs w:val="23"/>
        </w:rPr>
        <w:t>eries: Family Systems in Medicine</w:t>
      </w:r>
      <w:r w:rsidR="00DF05BD" w:rsidRPr="00F853DD">
        <w:rPr>
          <w:rFonts w:ascii="Times" w:hAnsi="Times" w:cs="Times New Roman"/>
          <w:sz w:val="23"/>
          <w:szCs w:val="23"/>
        </w:rPr>
        <w:t>. New York, New York, USA; London, England, UK: Guilford Press</w:t>
      </w:r>
    </w:p>
    <w:p w14:paraId="67D8D711" w14:textId="7195D11B" w:rsidR="00DF05BD" w:rsidRPr="00F853DD" w:rsidRDefault="00B720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Patterson, J.,</w:t>
      </w:r>
      <w:r w:rsidR="00DF05BD" w:rsidRPr="00F853DD">
        <w:rPr>
          <w:rFonts w:ascii="Times" w:hAnsi="Times" w:cs="Times New Roman"/>
          <w:sz w:val="23"/>
          <w:szCs w:val="23"/>
        </w:rPr>
        <w:t xml:space="preserve"> (1991). Family resilience to the challenge of a child’s disability. </w:t>
      </w:r>
      <w:r w:rsidR="00DF05BD" w:rsidRPr="00F853DD">
        <w:rPr>
          <w:rFonts w:ascii="Times" w:hAnsi="Times" w:cs="Times New Roman"/>
          <w:i/>
          <w:sz w:val="23"/>
          <w:szCs w:val="23"/>
        </w:rPr>
        <w:t>Pediatric Annals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20</w:t>
      </w:r>
      <w:r w:rsidR="00DF05BD" w:rsidRPr="00F853DD">
        <w:rPr>
          <w:rFonts w:ascii="Times" w:hAnsi="Times" w:cs="Times New Roman"/>
          <w:sz w:val="23"/>
          <w:szCs w:val="23"/>
        </w:rPr>
        <w:t>, 491</w:t>
      </w:r>
    </w:p>
    <w:p w14:paraId="04BF8A4F" w14:textId="1F372E48" w:rsidR="00DF05BD" w:rsidRPr="00F853DD" w:rsidRDefault="00B720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Patterson, J.,</w:t>
      </w:r>
      <w:r w:rsidR="00DF05BD" w:rsidRPr="00F853DD">
        <w:rPr>
          <w:rFonts w:ascii="Times" w:hAnsi="Times" w:cs="Times New Roman"/>
          <w:sz w:val="23"/>
          <w:szCs w:val="23"/>
        </w:rPr>
        <w:t xml:space="preserve"> (1995). Promoting resilience in families experiencing stress. </w:t>
      </w:r>
      <w:r w:rsidR="00DF05BD" w:rsidRPr="00F853DD">
        <w:rPr>
          <w:rFonts w:ascii="Times" w:hAnsi="Times" w:cs="Times New Roman"/>
          <w:i/>
          <w:sz w:val="23"/>
          <w:szCs w:val="23"/>
        </w:rPr>
        <w:t>Pediatric Clinics of North America</w:t>
      </w:r>
      <w:r w:rsidRPr="00F853DD">
        <w:rPr>
          <w:rFonts w:ascii="Times" w:hAnsi="Times" w:cs="Times New Roman"/>
          <w:sz w:val="23"/>
          <w:szCs w:val="23"/>
        </w:rPr>
        <w:t xml:space="preserve">. </w:t>
      </w:r>
      <w:r w:rsidR="00DF05BD" w:rsidRPr="00F853DD">
        <w:rPr>
          <w:rFonts w:ascii="Times" w:hAnsi="Times" w:cs="Times New Roman"/>
          <w:b/>
          <w:sz w:val="23"/>
          <w:szCs w:val="23"/>
        </w:rPr>
        <w:t>42</w:t>
      </w:r>
      <w:r w:rsidR="00DF05BD" w:rsidRPr="00F853DD">
        <w:rPr>
          <w:rFonts w:ascii="Times" w:hAnsi="Times" w:cs="Times New Roman"/>
          <w:sz w:val="23"/>
          <w:szCs w:val="23"/>
        </w:rPr>
        <w:t>, 47.</w:t>
      </w:r>
    </w:p>
    <w:p w14:paraId="4329B817" w14:textId="644E9314" w:rsidR="00DF05BD" w:rsidRPr="00F853DD" w:rsidRDefault="00B720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Patterson, J.,</w:t>
      </w:r>
      <w:r w:rsidR="00DF05BD" w:rsidRPr="00F853DD">
        <w:rPr>
          <w:rFonts w:ascii="Times" w:hAnsi="Times" w:cs="Times New Roman"/>
          <w:sz w:val="23"/>
          <w:szCs w:val="23"/>
        </w:rPr>
        <w:t xml:space="preserve"> (2002)a. Integrating family resilience and family stress theory. </w:t>
      </w:r>
      <w:r w:rsidR="00DF05BD" w:rsidRPr="00F853DD">
        <w:rPr>
          <w:rFonts w:ascii="Times" w:hAnsi="Times" w:cs="Times New Roman"/>
          <w:i/>
          <w:sz w:val="23"/>
          <w:szCs w:val="23"/>
        </w:rPr>
        <w:t>Journal of Marriage and Family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64</w:t>
      </w:r>
      <w:r w:rsidR="00DF05BD" w:rsidRPr="00F853DD">
        <w:rPr>
          <w:rFonts w:ascii="Times" w:hAnsi="Times" w:cs="Times New Roman"/>
          <w:sz w:val="23"/>
          <w:szCs w:val="23"/>
        </w:rPr>
        <w:t>, 349-360.</w:t>
      </w:r>
    </w:p>
    <w:p w14:paraId="32881775" w14:textId="3B553C93" w:rsidR="00DF05BD" w:rsidRPr="00F853DD" w:rsidRDefault="00B720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Patterson, J.,</w:t>
      </w:r>
      <w:r w:rsidR="00DF05BD" w:rsidRPr="00F853DD">
        <w:rPr>
          <w:rFonts w:ascii="Times" w:hAnsi="Times" w:cs="Times New Roman"/>
          <w:sz w:val="23"/>
          <w:szCs w:val="23"/>
        </w:rPr>
        <w:t xml:space="preserve"> (2002)b. Understanding family resilience. </w:t>
      </w:r>
      <w:r w:rsidR="00DF05BD" w:rsidRPr="00F853DD">
        <w:rPr>
          <w:rFonts w:ascii="Times" w:hAnsi="Times" w:cs="Times New Roman"/>
          <w:i/>
          <w:sz w:val="23"/>
          <w:szCs w:val="23"/>
        </w:rPr>
        <w:t>Journal of Clinical Psychology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58</w:t>
      </w:r>
      <w:r w:rsidR="00DF05BD" w:rsidRPr="00F853DD">
        <w:rPr>
          <w:rFonts w:ascii="Times" w:hAnsi="Times" w:cs="Times New Roman"/>
          <w:sz w:val="23"/>
          <w:szCs w:val="23"/>
        </w:rPr>
        <w:t>, 233-246.</w:t>
      </w:r>
    </w:p>
    <w:p w14:paraId="29F8B9D3" w14:textId="62EFDF3D" w:rsidR="00DF05BD" w:rsidRPr="00F853DD" w:rsidRDefault="00B720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Patterson, T., Smith, L.</w:t>
      </w:r>
      <w:r w:rsidR="00DF05BD" w:rsidRPr="00F853DD">
        <w:rPr>
          <w:rFonts w:ascii="Times" w:hAnsi="Times" w:cs="Times New Roman"/>
          <w:sz w:val="23"/>
          <w:szCs w:val="23"/>
        </w:rPr>
        <w:t>, Grant, I., Clopton, P., Josepho, S. and Yager, J.</w:t>
      </w:r>
      <w:r w:rsidRPr="00F853DD">
        <w:rPr>
          <w:rFonts w:ascii="Times" w:hAnsi="Times" w:cs="Times New Roman"/>
          <w:sz w:val="23"/>
          <w:szCs w:val="23"/>
        </w:rPr>
        <w:t>,</w:t>
      </w:r>
      <w:r w:rsidR="00DF05BD" w:rsidRPr="00F853DD">
        <w:rPr>
          <w:rFonts w:ascii="Times" w:hAnsi="Times" w:cs="Times New Roman"/>
          <w:sz w:val="23"/>
          <w:szCs w:val="23"/>
        </w:rPr>
        <w:t xml:space="preserve"> (1990). Internal vs. external determinants of coping responses to stressful life-events in the elderly. </w:t>
      </w:r>
      <w:r w:rsidR="00DF05BD" w:rsidRPr="00F853DD">
        <w:rPr>
          <w:rFonts w:ascii="Times" w:hAnsi="Times" w:cs="Times New Roman"/>
          <w:i/>
          <w:sz w:val="23"/>
          <w:szCs w:val="23"/>
        </w:rPr>
        <w:t>British Journal of Medical Psychology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63</w:t>
      </w:r>
      <w:r w:rsidR="00DF05BD" w:rsidRPr="00F853DD">
        <w:rPr>
          <w:rFonts w:ascii="Times" w:hAnsi="Times" w:cs="Times New Roman"/>
          <w:sz w:val="23"/>
          <w:szCs w:val="23"/>
        </w:rPr>
        <w:t>, 149-160.</w:t>
      </w:r>
    </w:p>
    <w:p w14:paraId="45FD90B8" w14:textId="7BB28B4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w:t>
      </w:r>
      <w:r w:rsidRPr="00F853DD">
        <w:rPr>
          <w:rFonts w:ascii="Times" w:hAnsi="Times" w:cs="Segoe UI"/>
          <w:sz w:val="23"/>
          <w:szCs w:val="23"/>
        </w:rPr>
        <w:t>atterson, T., Semple, S., Shaw, W., Grant, I. and Jeste, D.</w:t>
      </w:r>
      <w:r w:rsidR="00B72002" w:rsidRPr="00F853DD">
        <w:rPr>
          <w:rFonts w:ascii="Times" w:hAnsi="Times" w:cs="Segoe UI"/>
          <w:sz w:val="23"/>
          <w:szCs w:val="23"/>
        </w:rPr>
        <w:t>,</w:t>
      </w:r>
      <w:r w:rsidRPr="00F853DD">
        <w:rPr>
          <w:rFonts w:ascii="Times" w:hAnsi="Times" w:cs="Segoe UI"/>
          <w:sz w:val="23"/>
          <w:szCs w:val="23"/>
        </w:rPr>
        <w:t xml:space="preserve"> (1996). Researching the caregiver: family members who care for older psychotic patients. </w:t>
      </w:r>
      <w:r w:rsidRPr="00F853DD">
        <w:rPr>
          <w:rFonts w:ascii="Times" w:hAnsi="Times" w:cs="Segoe UI"/>
          <w:i/>
          <w:iCs/>
          <w:sz w:val="23"/>
          <w:szCs w:val="23"/>
        </w:rPr>
        <w:t>Psychiatric Annals</w:t>
      </w:r>
      <w:r w:rsidR="00B72002" w:rsidRPr="00F853DD">
        <w:rPr>
          <w:rFonts w:ascii="Times" w:hAnsi="Times" w:cs="Segoe UI"/>
          <w:sz w:val="23"/>
          <w:szCs w:val="23"/>
        </w:rPr>
        <w:t>.</w:t>
      </w:r>
      <w:r w:rsidRPr="00F853DD">
        <w:rPr>
          <w:rFonts w:ascii="Times" w:hAnsi="Times" w:cs="Segoe UI"/>
          <w:sz w:val="23"/>
          <w:szCs w:val="23"/>
        </w:rPr>
        <w:t> </w:t>
      </w:r>
      <w:r w:rsidRPr="00F853DD">
        <w:rPr>
          <w:rFonts w:ascii="Times" w:hAnsi="Times" w:cs="Segoe UI"/>
          <w:b/>
          <w:iCs/>
          <w:sz w:val="23"/>
          <w:szCs w:val="23"/>
        </w:rPr>
        <w:t>26</w:t>
      </w:r>
      <w:r w:rsidRPr="00F853DD">
        <w:rPr>
          <w:rFonts w:ascii="Times" w:hAnsi="Times" w:cs="Segoe UI"/>
          <w:sz w:val="23"/>
          <w:szCs w:val="23"/>
        </w:rPr>
        <w:t>(12), 772-784.</w:t>
      </w:r>
    </w:p>
    <w:p w14:paraId="2BA5BE1C" w14:textId="66AA1EA8" w:rsidR="00DF05BD" w:rsidRPr="00F853DD" w:rsidRDefault="00B72002"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Pavalko, E.</w:t>
      </w:r>
      <w:r w:rsidR="00DF05BD" w:rsidRPr="00F853DD">
        <w:rPr>
          <w:rFonts w:ascii="Times" w:hAnsi="Times" w:cs="Times New Roman"/>
          <w:sz w:val="23"/>
          <w:szCs w:val="23"/>
        </w:rPr>
        <w:t xml:space="preserve"> and Wol</w:t>
      </w:r>
      <w:r w:rsidRPr="00F853DD">
        <w:rPr>
          <w:rFonts w:ascii="Times" w:hAnsi="Times" w:cs="Times New Roman"/>
          <w:sz w:val="23"/>
          <w:szCs w:val="23"/>
        </w:rPr>
        <w:t>fe, J.,</w:t>
      </w:r>
      <w:r w:rsidR="00DF05BD" w:rsidRPr="00F853DD">
        <w:rPr>
          <w:rFonts w:ascii="Times" w:hAnsi="Times" w:cs="Times New Roman"/>
          <w:sz w:val="23"/>
          <w:szCs w:val="23"/>
        </w:rPr>
        <w:t xml:space="preserve"> (2016). Do women still care? Cohort changes in US women's care for the ill or disabled. </w:t>
      </w:r>
      <w:r w:rsidR="00DF05BD" w:rsidRPr="00F853DD">
        <w:rPr>
          <w:rFonts w:ascii="Times" w:hAnsi="Times" w:cs="Times New Roman"/>
          <w:i/>
          <w:sz w:val="23"/>
          <w:szCs w:val="23"/>
        </w:rPr>
        <w:t>Social Forces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94</w:t>
      </w:r>
      <w:r w:rsidR="00DF05BD" w:rsidRPr="00F853DD">
        <w:rPr>
          <w:rFonts w:ascii="Times" w:hAnsi="Times" w:cs="Times New Roman"/>
          <w:sz w:val="23"/>
          <w:szCs w:val="23"/>
        </w:rPr>
        <w:t>, 1359-1384.</w:t>
      </w:r>
    </w:p>
    <w:p w14:paraId="107AF4CB" w14:textId="1DD39A8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Parsons, K.</w:t>
      </w:r>
      <w:r w:rsidR="00B72002" w:rsidRPr="00F853DD">
        <w:rPr>
          <w:rFonts w:ascii="Times" w:hAnsi="Times" w:cs="Times New Roman"/>
          <w:sz w:val="23"/>
          <w:szCs w:val="23"/>
        </w:rPr>
        <w:t>,</w:t>
      </w:r>
      <w:r w:rsidRPr="00F853DD">
        <w:rPr>
          <w:rFonts w:ascii="Times" w:hAnsi="Times" w:cs="Times New Roman"/>
          <w:sz w:val="23"/>
          <w:szCs w:val="23"/>
        </w:rPr>
        <w:t xml:space="preserve"> (1997). The male experience of caregiving for a family member with Alzheimer's disease</w:t>
      </w:r>
      <w:r w:rsidRPr="00F853DD">
        <w:rPr>
          <w:rFonts w:ascii="Times" w:hAnsi="Times" w:cs="Times New Roman"/>
          <w:i/>
          <w:sz w:val="23"/>
          <w:szCs w:val="23"/>
        </w:rPr>
        <w:t>. Qualitative Health Research</w:t>
      </w:r>
      <w:r w:rsidR="00B72002"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7</w:t>
      </w:r>
      <w:r w:rsidRPr="00F853DD">
        <w:rPr>
          <w:rFonts w:ascii="Times" w:hAnsi="Times" w:cs="Times New Roman"/>
          <w:sz w:val="23"/>
          <w:szCs w:val="23"/>
        </w:rPr>
        <w:t>(3), 391-407.</w:t>
      </w:r>
    </w:p>
    <w:p w14:paraId="580DC133" w14:textId="59DCBC9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Pavicevic, O.</w:t>
      </w:r>
      <w:r w:rsidR="00B72002" w:rsidRPr="00F853DD">
        <w:rPr>
          <w:rFonts w:ascii="Times" w:hAnsi="Times" w:cs="Times New Roman"/>
          <w:sz w:val="23"/>
          <w:szCs w:val="23"/>
        </w:rPr>
        <w:t>,</w:t>
      </w:r>
      <w:r w:rsidRPr="00F853DD">
        <w:rPr>
          <w:rFonts w:ascii="Times" w:hAnsi="Times" w:cs="Times New Roman"/>
          <w:sz w:val="23"/>
          <w:szCs w:val="23"/>
        </w:rPr>
        <w:t xml:space="preserve"> (2016). The resilience concept in sociology. </w:t>
      </w:r>
      <w:r w:rsidRPr="00F853DD">
        <w:rPr>
          <w:rFonts w:ascii="Times" w:hAnsi="Times" w:cs="Times New Roman"/>
          <w:i/>
          <w:sz w:val="23"/>
          <w:szCs w:val="23"/>
        </w:rPr>
        <w:t>Sociologija</w:t>
      </w:r>
      <w:r w:rsidRPr="00F853DD">
        <w:rPr>
          <w:rFonts w:ascii="Times" w:hAnsi="Times" w:cs="Times New Roman"/>
          <w:sz w:val="23"/>
          <w:szCs w:val="23"/>
        </w:rPr>
        <w:t xml:space="preserve">, </w:t>
      </w:r>
      <w:r w:rsidRPr="00F853DD">
        <w:rPr>
          <w:rFonts w:ascii="Times" w:hAnsi="Times" w:cs="Times New Roman"/>
          <w:b/>
          <w:sz w:val="23"/>
          <w:szCs w:val="23"/>
        </w:rPr>
        <w:t>58</w:t>
      </w:r>
      <w:r w:rsidRPr="00F853DD">
        <w:rPr>
          <w:rFonts w:ascii="Times" w:hAnsi="Times" w:cs="Times New Roman"/>
          <w:sz w:val="23"/>
          <w:szCs w:val="23"/>
        </w:rPr>
        <w:t>, 432-449.</w:t>
      </w:r>
    </w:p>
    <w:p w14:paraId="22B996DF" w14:textId="7A49DF2D"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t xml:space="preserve">Peacock, S., Sethi, B., Williams, A., Duggleby, W., Bayly, M., Swindle, J., Ploeg, J. and Markle-Reid, M. (2017). Older adult spouses with multiple chronic conditions: challenges, rewards, and coping strategies. </w:t>
      </w:r>
      <w:r w:rsidRPr="00F853DD">
        <w:rPr>
          <w:rFonts w:ascii="Times" w:hAnsi="Times" w:cs="Times New Roman"/>
          <w:i/>
          <w:sz w:val="23"/>
          <w:szCs w:val="23"/>
          <w:lang w:val="fr-FR"/>
        </w:rPr>
        <w:t>Canadian Journal on Ageing</w:t>
      </w:r>
      <w:r w:rsidRPr="00F853DD">
        <w:rPr>
          <w:rFonts w:ascii="Times" w:hAnsi="Times" w:cs="Times New Roman"/>
          <w:sz w:val="23"/>
          <w:szCs w:val="23"/>
          <w:lang w:val="fr-FR"/>
        </w:rPr>
        <w:t xml:space="preserve"> - </w:t>
      </w:r>
      <w:r w:rsidRPr="00F853DD">
        <w:rPr>
          <w:rFonts w:ascii="Times" w:hAnsi="Times" w:cs="Times New Roman"/>
          <w:i/>
          <w:sz w:val="23"/>
          <w:szCs w:val="23"/>
          <w:lang w:val="fr-FR"/>
        </w:rPr>
        <w:t>La revue canadienne du vieillissement</w:t>
      </w:r>
      <w:r w:rsidR="00B72002" w:rsidRPr="00F853DD">
        <w:rPr>
          <w:rFonts w:ascii="Times" w:hAnsi="Times" w:cs="Times New Roman"/>
          <w:sz w:val="23"/>
          <w:szCs w:val="23"/>
          <w:lang w:val="fr-FR"/>
        </w:rPr>
        <w:t>.</w:t>
      </w:r>
      <w:r w:rsidRPr="00F853DD">
        <w:rPr>
          <w:rFonts w:ascii="Times" w:hAnsi="Times" w:cs="Times New Roman"/>
          <w:sz w:val="23"/>
          <w:szCs w:val="23"/>
          <w:lang w:val="fr-FR"/>
        </w:rPr>
        <w:t xml:space="preserve"> </w:t>
      </w:r>
      <w:r w:rsidRPr="00F853DD">
        <w:rPr>
          <w:rFonts w:ascii="Times" w:hAnsi="Times" w:cs="Times New Roman"/>
          <w:b/>
          <w:sz w:val="23"/>
          <w:szCs w:val="23"/>
          <w:lang w:val="fr-FR"/>
        </w:rPr>
        <w:t>36</w:t>
      </w:r>
      <w:r w:rsidRPr="00F853DD">
        <w:rPr>
          <w:rFonts w:ascii="Times" w:hAnsi="Times" w:cs="Times New Roman"/>
          <w:sz w:val="23"/>
          <w:szCs w:val="23"/>
          <w:lang w:val="fr-FR"/>
        </w:rPr>
        <w:t>, 209-222.</w:t>
      </w:r>
    </w:p>
    <w:p w14:paraId="44DDBE94" w14:textId="653577F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fr-FR"/>
        </w:rPr>
        <w:t xml:space="preserve">Pearlin, L., Mullan, J., Semple, S. and Skaff, M. (1990). </w:t>
      </w:r>
      <w:r w:rsidRPr="00F853DD">
        <w:rPr>
          <w:rFonts w:ascii="Times" w:hAnsi="Times" w:cs="Times New Roman"/>
          <w:sz w:val="23"/>
          <w:szCs w:val="23"/>
        </w:rPr>
        <w:t xml:space="preserve">Caregiving and the </w:t>
      </w:r>
      <w:r w:rsidR="00B72002" w:rsidRPr="00F853DD">
        <w:rPr>
          <w:rFonts w:ascii="Times" w:hAnsi="Times" w:cs="Times New Roman"/>
          <w:sz w:val="23"/>
          <w:szCs w:val="23"/>
        </w:rPr>
        <w:t>s</w:t>
      </w:r>
      <w:r w:rsidRPr="00F853DD">
        <w:rPr>
          <w:rFonts w:ascii="Times" w:hAnsi="Times" w:cs="Times New Roman"/>
          <w:sz w:val="23"/>
          <w:szCs w:val="23"/>
        </w:rPr>
        <w:t xml:space="preserve">tress </w:t>
      </w:r>
      <w:r w:rsidR="00B72002" w:rsidRPr="00F853DD">
        <w:rPr>
          <w:rFonts w:ascii="Times" w:hAnsi="Times" w:cs="Times New Roman"/>
          <w:sz w:val="23"/>
          <w:szCs w:val="23"/>
        </w:rPr>
        <w:t>p</w:t>
      </w:r>
      <w:r w:rsidRPr="00F853DD">
        <w:rPr>
          <w:rFonts w:ascii="Times" w:hAnsi="Times" w:cs="Times New Roman"/>
          <w:sz w:val="23"/>
          <w:szCs w:val="23"/>
        </w:rPr>
        <w:t xml:space="preserve">rocess: </w:t>
      </w:r>
      <w:r w:rsidR="00B72002" w:rsidRPr="00F853DD">
        <w:rPr>
          <w:rFonts w:ascii="Times" w:hAnsi="Times" w:cs="Times New Roman"/>
          <w:sz w:val="23"/>
          <w:szCs w:val="23"/>
        </w:rPr>
        <w:t>a</w:t>
      </w:r>
      <w:r w:rsidRPr="00F853DD">
        <w:rPr>
          <w:rFonts w:ascii="Times" w:hAnsi="Times" w:cs="Times New Roman"/>
          <w:sz w:val="23"/>
          <w:szCs w:val="23"/>
        </w:rPr>
        <w:t xml:space="preserve">n </w:t>
      </w:r>
      <w:r w:rsidR="00B72002" w:rsidRPr="00F853DD">
        <w:rPr>
          <w:rFonts w:ascii="Times" w:hAnsi="Times" w:cs="Times New Roman"/>
          <w:sz w:val="23"/>
          <w:szCs w:val="23"/>
        </w:rPr>
        <w:t>o</w:t>
      </w:r>
      <w:r w:rsidRPr="00F853DD">
        <w:rPr>
          <w:rFonts w:ascii="Times" w:hAnsi="Times" w:cs="Times New Roman"/>
          <w:sz w:val="23"/>
          <w:szCs w:val="23"/>
        </w:rPr>
        <w:t xml:space="preserve">verview of </w:t>
      </w:r>
      <w:r w:rsidR="00B72002" w:rsidRPr="00F853DD">
        <w:rPr>
          <w:rFonts w:ascii="Times" w:hAnsi="Times" w:cs="Times New Roman"/>
          <w:sz w:val="23"/>
          <w:szCs w:val="23"/>
        </w:rPr>
        <w:t>c</w:t>
      </w:r>
      <w:r w:rsidRPr="00F853DD">
        <w:rPr>
          <w:rFonts w:ascii="Times" w:hAnsi="Times" w:cs="Times New Roman"/>
          <w:sz w:val="23"/>
          <w:szCs w:val="23"/>
        </w:rPr>
        <w:t xml:space="preserve">oncepts and </w:t>
      </w:r>
      <w:r w:rsidR="00B72002" w:rsidRPr="00F853DD">
        <w:rPr>
          <w:rFonts w:ascii="Times" w:hAnsi="Times" w:cs="Times New Roman"/>
          <w:sz w:val="23"/>
          <w:szCs w:val="23"/>
        </w:rPr>
        <w:t>t</w:t>
      </w:r>
      <w:r w:rsidRPr="00F853DD">
        <w:rPr>
          <w:rFonts w:ascii="Times" w:hAnsi="Times" w:cs="Times New Roman"/>
          <w:sz w:val="23"/>
          <w:szCs w:val="23"/>
        </w:rPr>
        <w:t xml:space="preserve">heir Measures. </w:t>
      </w:r>
      <w:r w:rsidRPr="00F853DD">
        <w:rPr>
          <w:rFonts w:ascii="Times" w:hAnsi="Times" w:cs="Times New Roman"/>
          <w:i/>
          <w:sz w:val="23"/>
          <w:szCs w:val="23"/>
        </w:rPr>
        <w:t>The Gerontologist</w:t>
      </w:r>
      <w:r w:rsidR="00B72002"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 12.</w:t>
      </w:r>
    </w:p>
    <w:p w14:paraId="09E51E3E" w14:textId="00BBAFE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Pearlin, L. And Schooler, C. (1978). The </w:t>
      </w:r>
      <w:r w:rsidR="00470C53" w:rsidRPr="00F853DD">
        <w:rPr>
          <w:rFonts w:ascii="Times" w:hAnsi="Times" w:cs="Times New Roman"/>
          <w:sz w:val="23"/>
          <w:szCs w:val="23"/>
        </w:rPr>
        <w:t>s</w:t>
      </w:r>
      <w:r w:rsidRPr="00F853DD">
        <w:rPr>
          <w:rFonts w:ascii="Times" w:hAnsi="Times" w:cs="Times New Roman"/>
          <w:sz w:val="23"/>
          <w:szCs w:val="23"/>
        </w:rPr>
        <w:t xml:space="preserve">tructure of </w:t>
      </w:r>
      <w:r w:rsidR="00470C53" w:rsidRPr="00F853DD">
        <w:rPr>
          <w:rFonts w:ascii="Times" w:hAnsi="Times" w:cs="Times New Roman"/>
          <w:sz w:val="23"/>
          <w:szCs w:val="23"/>
        </w:rPr>
        <w:t>c</w:t>
      </w:r>
      <w:r w:rsidRPr="00F853DD">
        <w:rPr>
          <w:rFonts w:ascii="Times" w:hAnsi="Times" w:cs="Times New Roman"/>
          <w:sz w:val="23"/>
          <w:szCs w:val="23"/>
        </w:rPr>
        <w:t xml:space="preserve">oping. </w:t>
      </w:r>
      <w:r w:rsidRPr="00F853DD">
        <w:rPr>
          <w:rFonts w:ascii="Times" w:hAnsi="Times" w:cs="Times New Roman"/>
          <w:i/>
          <w:sz w:val="23"/>
          <w:szCs w:val="23"/>
        </w:rPr>
        <w:t>Journal of Health and Social Behavior</w:t>
      </w:r>
      <w:r w:rsidRPr="00F853DD">
        <w:rPr>
          <w:rFonts w:ascii="Times" w:hAnsi="Times" w:cs="Times New Roman"/>
          <w:sz w:val="23"/>
          <w:szCs w:val="23"/>
        </w:rPr>
        <w:t xml:space="preserve"> [online], </w:t>
      </w:r>
      <w:r w:rsidRPr="00F853DD">
        <w:rPr>
          <w:rFonts w:ascii="Times" w:hAnsi="Times" w:cs="Times New Roman"/>
          <w:b/>
          <w:sz w:val="23"/>
          <w:szCs w:val="23"/>
        </w:rPr>
        <w:t>19</w:t>
      </w:r>
      <w:r w:rsidRPr="00F853DD">
        <w:rPr>
          <w:rFonts w:ascii="Times" w:hAnsi="Times" w:cs="Times New Roman"/>
          <w:sz w:val="23"/>
          <w:szCs w:val="23"/>
        </w:rPr>
        <w:t xml:space="preserve">. Available from: https://www.nederlandsautismeregister.nl/assets/Documenten/Mastery%20Scale.pdf. </w:t>
      </w:r>
    </w:p>
    <w:p w14:paraId="35C5E845" w14:textId="5E5FF604" w:rsidR="00DF05BD" w:rsidRPr="00F853DD" w:rsidRDefault="00470C5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Pearlin, L.</w:t>
      </w:r>
      <w:r w:rsidR="00DF05BD" w:rsidRPr="00F853DD">
        <w:rPr>
          <w:rFonts w:ascii="Times" w:hAnsi="Times" w:cs="Times New Roman"/>
          <w:sz w:val="23"/>
          <w:szCs w:val="23"/>
        </w:rPr>
        <w:t xml:space="preserve"> (1989)a. The </w:t>
      </w:r>
      <w:r w:rsidRPr="00F853DD">
        <w:rPr>
          <w:rFonts w:ascii="Times" w:hAnsi="Times" w:cs="Times New Roman"/>
          <w:sz w:val="23"/>
          <w:szCs w:val="23"/>
        </w:rPr>
        <w:t>s</w:t>
      </w:r>
      <w:r w:rsidR="00DF05BD" w:rsidRPr="00F853DD">
        <w:rPr>
          <w:rFonts w:ascii="Times" w:hAnsi="Times" w:cs="Times New Roman"/>
          <w:sz w:val="23"/>
          <w:szCs w:val="23"/>
        </w:rPr>
        <w:t xml:space="preserve">ociological </w:t>
      </w:r>
      <w:r w:rsidRPr="00F853DD">
        <w:rPr>
          <w:rFonts w:ascii="Times" w:hAnsi="Times" w:cs="Times New Roman"/>
          <w:sz w:val="23"/>
          <w:szCs w:val="23"/>
        </w:rPr>
        <w:t>s</w:t>
      </w:r>
      <w:r w:rsidR="00DF05BD" w:rsidRPr="00F853DD">
        <w:rPr>
          <w:rFonts w:ascii="Times" w:hAnsi="Times" w:cs="Times New Roman"/>
          <w:sz w:val="23"/>
          <w:szCs w:val="23"/>
        </w:rPr>
        <w:t xml:space="preserve">tudy of </w:t>
      </w:r>
      <w:r w:rsidRPr="00F853DD">
        <w:rPr>
          <w:rFonts w:ascii="Times" w:hAnsi="Times" w:cs="Times New Roman"/>
          <w:sz w:val="23"/>
          <w:szCs w:val="23"/>
        </w:rPr>
        <w:t>s</w:t>
      </w:r>
      <w:r w:rsidR="00DF05BD" w:rsidRPr="00F853DD">
        <w:rPr>
          <w:rFonts w:ascii="Times" w:hAnsi="Times" w:cs="Times New Roman"/>
          <w:sz w:val="23"/>
          <w:szCs w:val="23"/>
        </w:rPr>
        <w:t xml:space="preserve">tress. </w:t>
      </w:r>
      <w:r w:rsidR="00DF05BD" w:rsidRPr="00F853DD">
        <w:rPr>
          <w:rFonts w:ascii="Times" w:hAnsi="Times" w:cs="Times New Roman"/>
          <w:i/>
          <w:sz w:val="23"/>
          <w:szCs w:val="23"/>
        </w:rPr>
        <w:t>Journal of Health and Social Behavior</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DF05BD" w:rsidRPr="00F853DD">
        <w:rPr>
          <w:rFonts w:ascii="Times" w:hAnsi="Times" w:cs="Times New Roman"/>
          <w:sz w:val="23"/>
          <w:szCs w:val="23"/>
        </w:rPr>
        <w:t>, 241-256.</w:t>
      </w:r>
    </w:p>
    <w:p w14:paraId="046C7E4E" w14:textId="6BDA66B5" w:rsidR="00DF05BD" w:rsidRPr="00F853DD" w:rsidRDefault="00470C5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Pearlin, L.</w:t>
      </w:r>
      <w:r w:rsidR="00DF05BD" w:rsidRPr="00F853DD">
        <w:rPr>
          <w:rFonts w:ascii="Times" w:hAnsi="Times" w:cs="Times New Roman"/>
          <w:sz w:val="23"/>
          <w:szCs w:val="23"/>
        </w:rPr>
        <w:t xml:space="preserve"> (1989)b. Th</w:t>
      </w:r>
      <w:r w:rsidRPr="00F853DD">
        <w:rPr>
          <w:rFonts w:ascii="Times" w:hAnsi="Times" w:cs="Times New Roman"/>
          <w:sz w:val="23"/>
          <w:szCs w:val="23"/>
        </w:rPr>
        <w:t>e sociological study of stress: a</w:t>
      </w:r>
      <w:r w:rsidR="00DF05BD" w:rsidRPr="00F853DD">
        <w:rPr>
          <w:rFonts w:ascii="Times" w:hAnsi="Times" w:cs="Times New Roman"/>
          <w:sz w:val="23"/>
          <w:szCs w:val="23"/>
        </w:rPr>
        <w:t xml:space="preserve"> </w:t>
      </w:r>
      <w:r w:rsidRPr="00F853DD">
        <w:rPr>
          <w:rFonts w:ascii="Times" w:hAnsi="Times" w:cs="Times New Roman"/>
          <w:sz w:val="23"/>
          <w:szCs w:val="23"/>
        </w:rPr>
        <w:t>r</w:t>
      </w:r>
      <w:r w:rsidR="00DF05BD" w:rsidRPr="00F853DD">
        <w:rPr>
          <w:rFonts w:ascii="Times" w:hAnsi="Times" w:cs="Times New Roman"/>
          <w:sz w:val="23"/>
          <w:szCs w:val="23"/>
        </w:rPr>
        <w:t xml:space="preserve">eply. </w:t>
      </w:r>
      <w:r w:rsidR="00DF05BD" w:rsidRPr="00F853DD">
        <w:rPr>
          <w:rFonts w:ascii="Times" w:hAnsi="Times" w:cs="Times New Roman"/>
          <w:i/>
          <w:sz w:val="23"/>
          <w:szCs w:val="23"/>
        </w:rPr>
        <w:t>Journal of Health and Social Behavior</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DF05BD" w:rsidRPr="00F853DD">
        <w:rPr>
          <w:rFonts w:ascii="Times" w:hAnsi="Times" w:cs="Times New Roman"/>
          <w:sz w:val="23"/>
          <w:szCs w:val="23"/>
        </w:rPr>
        <w:t>, 269</w:t>
      </w:r>
    </w:p>
    <w:p w14:paraId="513624A4" w14:textId="4E15CF97" w:rsidR="00DF05BD" w:rsidRPr="00F853DD" w:rsidRDefault="00470C5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Pearlin, L., Menaghan, E., Lieberman, M. and Mullan, J</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(1981). The </w:t>
      </w:r>
      <w:r w:rsidRPr="00F853DD">
        <w:rPr>
          <w:rFonts w:ascii="Times" w:hAnsi="Times" w:cs="Times New Roman"/>
          <w:sz w:val="23"/>
          <w:szCs w:val="23"/>
        </w:rPr>
        <w:t>s</w:t>
      </w:r>
      <w:r w:rsidR="00DF05BD" w:rsidRPr="00F853DD">
        <w:rPr>
          <w:rFonts w:ascii="Times" w:hAnsi="Times" w:cs="Times New Roman"/>
          <w:sz w:val="23"/>
          <w:szCs w:val="23"/>
        </w:rPr>
        <w:t xml:space="preserve">tress </w:t>
      </w:r>
      <w:r w:rsidRPr="00F853DD">
        <w:rPr>
          <w:rFonts w:ascii="Times" w:hAnsi="Times" w:cs="Times New Roman"/>
          <w:sz w:val="23"/>
          <w:szCs w:val="23"/>
        </w:rPr>
        <w:t>p</w:t>
      </w:r>
      <w:r w:rsidR="00DF05BD" w:rsidRPr="00F853DD">
        <w:rPr>
          <w:rFonts w:ascii="Times" w:hAnsi="Times" w:cs="Times New Roman"/>
          <w:sz w:val="23"/>
          <w:szCs w:val="23"/>
        </w:rPr>
        <w:t xml:space="preserve">rocess. </w:t>
      </w:r>
      <w:r w:rsidR="00DF05BD" w:rsidRPr="00F853DD">
        <w:rPr>
          <w:rFonts w:ascii="Times" w:hAnsi="Times" w:cs="Times New Roman"/>
          <w:i/>
          <w:sz w:val="23"/>
          <w:szCs w:val="23"/>
        </w:rPr>
        <w:t>Journal of Health and Social Behavior</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22</w:t>
      </w:r>
      <w:r w:rsidR="00DF05BD" w:rsidRPr="00F853DD">
        <w:rPr>
          <w:rFonts w:ascii="Times" w:hAnsi="Times" w:cs="Times New Roman"/>
          <w:sz w:val="23"/>
          <w:szCs w:val="23"/>
        </w:rPr>
        <w:t>, 337-356.</w:t>
      </w:r>
    </w:p>
    <w:p w14:paraId="25288B29" w14:textId="5EFCDF82" w:rsidR="00DF05BD" w:rsidRPr="00F853DD" w:rsidRDefault="00470C5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Pearlin, L., Schieman, S., Fazio, E. and Meersman, S.,</w:t>
      </w:r>
      <w:r w:rsidR="00DF05BD" w:rsidRPr="00F853DD">
        <w:rPr>
          <w:rFonts w:ascii="Times" w:hAnsi="Times" w:cs="Times New Roman"/>
          <w:sz w:val="23"/>
          <w:szCs w:val="23"/>
        </w:rPr>
        <w:t xml:space="preserve"> (2005). Stress, health, and the life course: </w:t>
      </w:r>
      <w:r w:rsidRPr="00F853DD">
        <w:rPr>
          <w:rFonts w:ascii="Times" w:hAnsi="Times" w:cs="Times New Roman"/>
          <w:sz w:val="23"/>
          <w:szCs w:val="23"/>
        </w:rPr>
        <w:t>s</w:t>
      </w:r>
      <w:r w:rsidR="00DF05BD" w:rsidRPr="00F853DD">
        <w:rPr>
          <w:rFonts w:ascii="Times" w:hAnsi="Times" w:cs="Times New Roman"/>
          <w:sz w:val="23"/>
          <w:szCs w:val="23"/>
        </w:rPr>
        <w:t xml:space="preserve">ome conceptual perspectives. </w:t>
      </w:r>
      <w:r w:rsidR="00DF05BD" w:rsidRPr="00F853DD">
        <w:rPr>
          <w:rFonts w:ascii="Times" w:hAnsi="Times" w:cs="Times New Roman"/>
          <w:i/>
          <w:sz w:val="23"/>
          <w:szCs w:val="23"/>
        </w:rPr>
        <w:t>Journal of Health and Social Behavior</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46</w:t>
      </w:r>
      <w:r w:rsidR="00DF05BD" w:rsidRPr="00F853DD">
        <w:rPr>
          <w:rFonts w:ascii="Times" w:hAnsi="Times" w:cs="Times New Roman"/>
          <w:sz w:val="23"/>
          <w:szCs w:val="23"/>
        </w:rPr>
        <w:t>, 205-219.</w:t>
      </w:r>
    </w:p>
    <w:p w14:paraId="1F6F66BC" w14:textId="782306F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Pearson, K.</w:t>
      </w:r>
      <w:r w:rsidR="00470C53" w:rsidRPr="00F853DD">
        <w:rPr>
          <w:rFonts w:ascii="Times" w:hAnsi="Times" w:cs="Times New Roman"/>
          <w:sz w:val="23"/>
          <w:szCs w:val="23"/>
        </w:rPr>
        <w:t>,</w:t>
      </w:r>
      <w:r w:rsidRPr="00F853DD">
        <w:rPr>
          <w:rFonts w:ascii="Times" w:hAnsi="Times" w:cs="Times New Roman"/>
          <w:sz w:val="23"/>
          <w:szCs w:val="23"/>
        </w:rPr>
        <w:t xml:space="preserve"> (2012). Filial support laws in the modern era: </w:t>
      </w:r>
      <w:r w:rsidR="00470C53" w:rsidRPr="00F853DD">
        <w:rPr>
          <w:rFonts w:ascii="Times" w:hAnsi="Times" w:cs="Times New Roman"/>
          <w:sz w:val="23"/>
          <w:szCs w:val="23"/>
        </w:rPr>
        <w:t>d</w:t>
      </w:r>
      <w:r w:rsidRPr="00F853DD">
        <w:rPr>
          <w:rFonts w:ascii="Times" w:hAnsi="Times" w:cs="Times New Roman"/>
          <w:sz w:val="23"/>
          <w:szCs w:val="23"/>
        </w:rPr>
        <w:t xml:space="preserve">omestic and international comparison of enforcement practices for laws requiring adult children to support indigent parents. </w:t>
      </w:r>
      <w:r w:rsidRPr="00F853DD">
        <w:rPr>
          <w:rFonts w:ascii="Times" w:hAnsi="Times" w:cs="Times New Roman"/>
          <w:i/>
          <w:sz w:val="23"/>
          <w:szCs w:val="23"/>
        </w:rPr>
        <w:t>Elder Law Journal</w:t>
      </w:r>
      <w:r w:rsidR="00470C53"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xml:space="preserve">, 269. [Viewed 17 November 2019]. Available from: https://elibrary.law.psu.edu/cgi/viewcontent.cgi?article=1034&amp;context=fac_works </w:t>
      </w:r>
    </w:p>
    <w:p w14:paraId="0FC4EEAD" w14:textId="72CFC3A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Peate, I., Wild, K. and Nair, M.</w:t>
      </w:r>
      <w:r w:rsidR="00470C53" w:rsidRPr="00F853DD">
        <w:rPr>
          <w:rFonts w:ascii="Times" w:hAnsi="Times" w:cs="Times New Roman"/>
          <w:sz w:val="23"/>
          <w:szCs w:val="23"/>
        </w:rPr>
        <w:t>,</w:t>
      </w:r>
      <w:r w:rsidRPr="00F853DD">
        <w:rPr>
          <w:rFonts w:ascii="Times" w:hAnsi="Times" w:cs="Times New Roman"/>
          <w:sz w:val="23"/>
          <w:szCs w:val="23"/>
        </w:rPr>
        <w:t xml:space="preserve"> (2014). </w:t>
      </w:r>
      <w:r w:rsidRPr="00F853DD">
        <w:rPr>
          <w:rFonts w:ascii="Times" w:hAnsi="Times" w:cs="Times New Roman"/>
          <w:i/>
          <w:sz w:val="23"/>
          <w:szCs w:val="23"/>
        </w:rPr>
        <w:t>Nursing practice: knowledge and care</w:t>
      </w:r>
      <w:r w:rsidRPr="00F853DD">
        <w:rPr>
          <w:rFonts w:ascii="Times" w:hAnsi="Times" w:cs="Times New Roman"/>
          <w:sz w:val="23"/>
          <w:szCs w:val="23"/>
        </w:rPr>
        <w:t>. John Wiley and Sons.</w:t>
      </w:r>
    </w:p>
    <w:p w14:paraId="1105150E" w14:textId="2A71B67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Peerenboom, L., Collard, R. M.</w:t>
      </w:r>
      <w:r w:rsidR="00470C53" w:rsidRPr="00F853DD">
        <w:rPr>
          <w:rFonts w:ascii="Times" w:hAnsi="Times" w:cs="Times New Roman"/>
          <w:sz w:val="23"/>
          <w:szCs w:val="23"/>
        </w:rPr>
        <w:t>, Naarding, P. and Comijs, H.,</w:t>
      </w:r>
      <w:r w:rsidRPr="00F853DD">
        <w:rPr>
          <w:rFonts w:ascii="Times" w:hAnsi="Times" w:cs="Times New Roman"/>
          <w:sz w:val="23"/>
          <w:szCs w:val="23"/>
        </w:rPr>
        <w:t xml:space="preserve"> (2015). The association between depression and emotional and social loneliness in older persons and the influence of social support, cognitive functioning and personality: </w:t>
      </w:r>
      <w:r w:rsidR="00470C53" w:rsidRPr="00F853DD">
        <w:rPr>
          <w:rFonts w:ascii="Times" w:hAnsi="Times" w:cs="Times New Roman"/>
          <w:sz w:val="23"/>
          <w:szCs w:val="23"/>
        </w:rPr>
        <w:t>a</w:t>
      </w:r>
      <w:r w:rsidRPr="00F853DD">
        <w:rPr>
          <w:rFonts w:ascii="Times" w:hAnsi="Times" w:cs="Times New Roman"/>
          <w:sz w:val="23"/>
          <w:szCs w:val="23"/>
        </w:rPr>
        <w:t xml:space="preserve"> cross-sectional study. </w:t>
      </w:r>
      <w:r w:rsidRPr="00F853DD">
        <w:rPr>
          <w:rFonts w:ascii="Times" w:hAnsi="Times" w:cs="Times New Roman"/>
          <w:i/>
          <w:sz w:val="23"/>
          <w:szCs w:val="23"/>
        </w:rPr>
        <w:t>Journal of Affective Disorders</w:t>
      </w:r>
      <w:r w:rsidR="00470C5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182</w:t>
      </w:r>
      <w:r w:rsidRPr="00F853DD">
        <w:rPr>
          <w:rFonts w:ascii="Times" w:hAnsi="Times" w:cs="Times New Roman"/>
          <w:sz w:val="23"/>
          <w:szCs w:val="23"/>
        </w:rPr>
        <w:t>, 26-31.</w:t>
      </w:r>
    </w:p>
    <w:p w14:paraId="0B056207" w14:textId="23CE6751" w:rsidR="00DF05BD" w:rsidRPr="00F853DD" w:rsidRDefault="00470C5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Pel-Littel, R., Schuurmans, M., Emmelot-Vonk, M. and Verhaar, H.,</w:t>
      </w:r>
      <w:r w:rsidR="00DF05BD" w:rsidRPr="00F853DD">
        <w:rPr>
          <w:rFonts w:ascii="Times" w:hAnsi="Times" w:cs="Times New Roman"/>
          <w:sz w:val="23"/>
          <w:szCs w:val="23"/>
        </w:rPr>
        <w:t xml:space="preserve"> (2009). Frailty: </w:t>
      </w:r>
      <w:r w:rsidRPr="00F853DD">
        <w:rPr>
          <w:rFonts w:ascii="Times" w:hAnsi="Times" w:cs="Times New Roman"/>
          <w:sz w:val="23"/>
          <w:szCs w:val="23"/>
        </w:rPr>
        <w:t>d</w:t>
      </w:r>
      <w:r w:rsidR="00DF05BD" w:rsidRPr="00F853DD">
        <w:rPr>
          <w:rFonts w:ascii="Times" w:hAnsi="Times" w:cs="Times New Roman"/>
          <w:sz w:val="23"/>
          <w:szCs w:val="23"/>
        </w:rPr>
        <w:t xml:space="preserve">efining and measuring of a concept. </w:t>
      </w:r>
      <w:r w:rsidR="00DF05BD" w:rsidRPr="00F853DD">
        <w:rPr>
          <w:rFonts w:ascii="Times" w:hAnsi="Times" w:cs="Times New Roman"/>
          <w:i/>
          <w:sz w:val="23"/>
          <w:szCs w:val="23"/>
        </w:rPr>
        <w:t>Journal of Nutrition Health and Aging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13</w:t>
      </w:r>
      <w:r w:rsidR="00DF05BD" w:rsidRPr="00F853DD">
        <w:rPr>
          <w:rFonts w:ascii="Times" w:hAnsi="Times" w:cs="Times New Roman"/>
          <w:sz w:val="23"/>
          <w:szCs w:val="23"/>
        </w:rPr>
        <w:t>, 390-394.</w:t>
      </w:r>
    </w:p>
    <w:p w14:paraId="688E52E6" w14:textId="1D48C55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Peng, I. and Yeandle, S.</w:t>
      </w:r>
      <w:r w:rsidR="00470C53" w:rsidRPr="00F853DD">
        <w:rPr>
          <w:rFonts w:ascii="Times" w:hAnsi="Times" w:cs="Times New Roman"/>
          <w:sz w:val="23"/>
          <w:szCs w:val="23"/>
        </w:rPr>
        <w:t>,</w:t>
      </w:r>
      <w:r w:rsidRPr="00F853DD">
        <w:rPr>
          <w:rFonts w:ascii="Times" w:hAnsi="Times" w:cs="Times New Roman"/>
          <w:sz w:val="23"/>
          <w:szCs w:val="23"/>
        </w:rPr>
        <w:t xml:space="preserve"> (2017). Discussion paper: eldercare policies in east Asia and Europe: mapping policy changes and variations and their implications. </w:t>
      </w:r>
      <w:r w:rsidR="00383122" w:rsidRPr="00F853DD">
        <w:rPr>
          <w:rFonts w:ascii="Times" w:hAnsi="Times" w:cs="Times New Roman"/>
          <w:sz w:val="23"/>
          <w:szCs w:val="23"/>
        </w:rPr>
        <w:t>UN Women discussion paper series.</w:t>
      </w:r>
    </w:p>
    <w:p w14:paraId="370F2FC6" w14:textId="2750B5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Peng, I.</w:t>
      </w:r>
      <w:r w:rsidR="004F0606" w:rsidRPr="00F853DD">
        <w:rPr>
          <w:rFonts w:ascii="Times" w:hAnsi="Times" w:cs="Times New Roman"/>
          <w:sz w:val="23"/>
          <w:szCs w:val="23"/>
        </w:rPr>
        <w:t>,</w:t>
      </w:r>
      <w:r w:rsidRPr="00F853DD">
        <w:rPr>
          <w:rFonts w:ascii="Times" w:hAnsi="Times" w:cs="Times New Roman"/>
          <w:sz w:val="23"/>
          <w:szCs w:val="23"/>
        </w:rPr>
        <w:t xml:space="preserve"> (2012). Social and political economy of care in Japan and South Korea. </w:t>
      </w:r>
      <w:r w:rsidRPr="00F853DD">
        <w:rPr>
          <w:rFonts w:ascii="Times" w:hAnsi="Times" w:cs="Times New Roman"/>
          <w:i/>
          <w:sz w:val="23"/>
          <w:szCs w:val="23"/>
        </w:rPr>
        <w:t>International Journal of Sociology and Social Policy</w:t>
      </w:r>
      <w:r w:rsidR="004F060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32</w:t>
      </w:r>
      <w:r w:rsidRPr="00F853DD">
        <w:rPr>
          <w:rFonts w:ascii="Times" w:hAnsi="Times" w:cs="Times New Roman"/>
          <w:sz w:val="23"/>
          <w:szCs w:val="23"/>
        </w:rPr>
        <w:t>(11/12), 636-649.</w:t>
      </w:r>
    </w:p>
    <w:p w14:paraId="5CA8A02F" w14:textId="44930858" w:rsidR="00DF05BD" w:rsidRPr="00F853DD" w:rsidRDefault="004F0606"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t>Penning, M.</w:t>
      </w:r>
      <w:r w:rsidR="00DF05BD" w:rsidRPr="00F853DD">
        <w:rPr>
          <w:rFonts w:ascii="Times" w:hAnsi="Times" w:cs="Times New Roman"/>
          <w:sz w:val="23"/>
          <w:szCs w:val="23"/>
        </w:rPr>
        <w:t xml:space="preserve"> and Wu, Z.</w:t>
      </w:r>
      <w:r w:rsidRPr="00F853DD">
        <w:rPr>
          <w:rFonts w:ascii="Times" w:hAnsi="Times" w:cs="Times New Roman"/>
          <w:sz w:val="23"/>
          <w:szCs w:val="23"/>
        </w:rPr>
        <w:t>,</w:t>
      </w:r>
      <w:r w:rsidR="00DF05BD" w:rsidRPr="00F853DD">
        <w:rPr>
          <w:rFonts w:ascii="Times" w:hAnsi="Times" w:cs="Times New Roman"/>
          <w:sz w:val="23"/>
          <w:szCs w:val="23"/>
        </w:rPr>
        <w:t xml:space="preserve"> (2014). Marital status, childlessness, and social support among older Canadians. </w:t>
      </w:r>
      <w:r w:rsidR="00DF05BD" w:rsidRPr="00F853DD">
        <w:rPr>
          <w:rFonts w:ascii="Times" w:hAnsi="Times" w:cs="Times New Roman"/>
          <w:i/>
          <w:sz w:val="23"/>
          <w:szCs w:val="23"/>
          <w:lang w:val="fr-FR"/>
        </w:rPr>
        <w:t>Canadian Journal on Aging-Revue Canadienne Du Vieillissement</w:t>
      </w:r>
      <w:r w:rsidRPr="00F853DD">
        <w:rPr>
          <w:rFonts w:ascii="Times" w:hAnsi="Times" w:cs="Times New Roman"/>
          <w:sz w:val="23"/>
          <w:szCs w:val="23"/>
          <w:lang w:val="fr-FR"/>
        </w:rPr>
        <w:t>.</w:t>
      </w:r>
      <w:r w:rsidR="00DF05BD" w:rsidRPr="00F853DD">
        <w:rPr>
          <w:rFonts w:ascii="Times" w:hAnsi="Times" w:cs="Times New Roman"/>
          <w:sz w:val="23"/>
          <w:szCs w:val="23"/>
          <w:lang w:val="fr-FR"/>
        </w:rPr>
        <w:t xml:space="preserve"> </w:t>
      </w:r>
      <w:r w:rsidR="00DF05BD" w:rsidRPr="00F853DD">
        <w:rPr>
          <w:rFonts w:ascii="Times" w:hAnsi="Times" w:cs="Times New Roman"/>
          <w:b/>
          <w:sz w:val="23"/>
          <w:szCs w:val="23"/>
          <w:lang w:val="fr-FR"/>
        </w:rPr>
        <w:t>33</w:t>
      </w:r>
      <w:r w:rsidR="00DF05BD" w:rsidRPr="00F853DD">
        <w:rPr>
          <w:rFonts w:ascii="Times" w:hAnsi="Times" w:cs="Times New Roman"/>
          <w:sz w:val="23"/>
          <w:szCs w:val="23"/>
          <w:lang w:val="fr-FR"/>
        </w:rPr>
        <w:t>, 426-447.</w:t>
      </w:r>
    </w:p>
    <w:p w14:paraId="4C16226F" w14:textId="7F77E1CE" w:rsidR="00DF05BD" w:rsidRPr="00F853DD" w:rsidRDefault="004F0606"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lang w:val="fr-FR"/>
        </w:rPr>
        <w:t>Penning, M.,</w:t>
      </w:r>
      <w:r w:rsidR="00DF05BD" w:rsidRPr="00F853DD">
        <w:rPr>
          <w:rFonts w:ascii="Times" w:hAnsi="Times" w:cs="Times New Roman"/>
          <w:sz w:val="23"/>
          <w:szCs w:val="23"/>
          <w:lang w:val="fr-FR"/>
        </w:rPr>
        <w:t xml:space="preserve"> and Wu, Z.</w:t>
      </w:r>
      <w:r w:rsidRPr="00F853DD">
        <w:rPr>
          <w:rFonts w:ascii="Times" w:hAnsi="Times" w:cs="Times New Roman"/>
          <w:sz w:val="23"/>
          <w:szCs w:val="23"/>
          <w:lang w:val="fr-FR"/>
        </w:rPr>
        <w:t>,</w:t>
      </w:r>
      <w:r w:rsidR="00DF05BD" w:rsidRPr="00F853DD">
        <w:rPr>
          <w:rFonts w:ascii="Times" w:hAnsi="Times" w:cs="Times New Roman"/>
          <w:sz w:val="23"/>
          <w:szCs w:val="23"/>
          <w:lang w:val="fr-FR"/>
        </w:rPr>
        <w:t xml:space="preserve"> (2016). </w:t>
      </w:r>
      <w:r w:rsidR="00DF05BD" w:rsidRPr="00F853DD">
        <w:rPr>
          <w:rFonts w:ascii="Times" w:hAnsi="Times" w:cs="Times New Roman"/>
          <w:sz w:val="23"/>
          <w:szCs w:val="23"/>
        </w:rPr>
        <w:t xml:space="preserve">Caregiver stress and mental health: impact of caregiving relationship and gender. </w:t>
      </w:r>
      <w:r w:rsidR="00DF05BD" w:rsidRPr="00F853DD">
        <w:rPr>
          <w:rFonts w:ascii="Times" w:hAnsi="Times" w:cs="Times New Roman"/>
          <w:i/>
          <w:sz w:val="23"/>
          <w:szCs w:val="23"/>
          <w:lang w:val="nl-NL"/>
        </w:rPr>
        <w:t>Gerontologist</w:t>
      </w:r>
      <w:r w:rsidRPr="00F853DD">
        <w:rPr>
          <w:rFonts w:ascii="Times" w:hAnsi="Times" w:cs="Times New Roman"/>
          <w:sz w:val="23"/>
          <w:szCs w:val="23"/>
          <w:lang w:val="nl-NL"/>
        </w:rPr>
        <w:t>.</w:t>
      </w:r>
      <w:r w:rsidR="00DF05BD" w:rsidRPr="00F853DD">
        <w:rPr>
          <w:rFonts w:ascii="Times" w:hAnsi="Times" w:cs="Times New Roman"/>
          <w:sz w:val="23"/>
          <w:szCs w:val="23"/>
          <w:lang w:val="nl-NL"/>
        </w:rPr>
        <w:t xml:space="preserve"> </w:t>
      </w:r>
      <w:r w:rsidR="00DF05BD" w:rsidRPr="00F853DD">
        <w:rPr>
          <w:rFonts w:ascii="Times" w:hAnsi="Times" w:cs="Times New Roman"/>
          <w:b/>
          <w:sz w:val="23"/>
          <w:szCs w:val="23"/>
          <w:lang w:val="nl-NL"/>
        </w:rPr>
        <w:t>56</w:t>
      </w:r>
      <w:r w:rsidR="00DF05BD" w:rsidRPr="00F853DD">
        <w:rPr>
          <w:rFonts w:ascii="Times" w:hAnsi="Times" w:cs="Times New Roman"/>
          <w:sz w:val="23"/>
          <w:szCs w:val="23"/>
          <w:lang w:val="nl-NL"/>
        </w:rPr>
        <w:t>, 1102-1113.</w:t>
      </w:r>
    </w:p>
    <w:p w14:paraId="0833E3BB" w14:textId="1A4D4FB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 xml:space="preserve">Penninx, B., Van </w:t>
      </w:r>
      <w:r w:rsidR="004F0606" w:rsidRPr="00F853DD">
        <w:rPr>
          <w:rFonts w:ascii="Times" w:hAnsi="Times" w:cs="Times New Roman"/>
          <w:sz w:val="23"/>
          <w:szCs w:val="23"/>
          <w:lang w:val="nl-NL"/>
        </w:rPr>
        <w:t>Tilburg, T., Kriegsman, D., Boeke, A., Deeg, D., and Van Eijk, J.,</w:t>
      </w:r>
      <w:r w:rsidRPr="00F853DD">
        <w:rPr>
          <w:rFonts w:ascii="Times" w:hAnsi="Times" w:cs="Times New Roman"/>
          <w:sz w:val="23"/>
          <w:szCs w:val="23"/>
          <w:lang w:val="nl-NL"/>
        </w:rPr>
        <w:t xml:space="preserve"> (1999). </w:t>
      </w:r>
      <w:r w:rsidRPr="00F853DD">
        <w:rPr>
          <w:rFonts w:ascii="Times" w:hAnsi="Times" w:cs="Times New Roman"/>
          <w:sz w:val="23"/>
          <w:szCs w:val="23"/>
        </w:rPr>
        <w:t xml:space="preserve">Social network, social support, and loneliness in older persons with different chronic diseases. </w:t>
      </w:r>
      <w:r w:rsidRPr="00F853DD">
        <w:rPr>
          <w:rFonts w:ascii="Times" w:hAnsi="Times" w:cs="Times New Roman"/>
          <w:i/>
          <w:sz w:val="23"/>
          <w:szCs w:val="23"/>
        </w:rPr>
        <w:t>Journal of Aging and Health</w:t>
      </w:r>
      <w:r w:rsidR="004F060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151-168.</w:t>
      </w:r>
    </w:p>
    <w:p w14:paraId="49B42385" w14:textId="1CF51168"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Perissinotto, C., Cenzer, I. and Covinsky, K.,</w:t>
      </w:r>
      <w:r w:rsidR="00DF05BD" w:rsidRPr="00F853DD">
        <w:rPr>
          <w:rFonts w:ascii="Times" w:hAnsi="Times" w:cs="Times New Roman"/>
          <w:sz w:val="23"/>
          <w:szCs w:val="23"/>
        </w:rPr>
        <w:t xml:space="preserve"> (2012). Loneliness in older persons a predictor of functional decline and death. </w:t>
      </w:r>
      <w:r w:rsidR="00DF05BD" w:rsidRPr="00F853DD">
        <w:rPr>
          <w:rFonts w:ascii="Times" w:hAnsi="Times" w:cs="Times New Roman"/>
          <w:i/>
          <w:sz w:val="23"/>
          <w:szCs w:val="23"/>
        </w:rPr>
        <w:t>Archives of Internal Medicine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172</w:t>
      </w:r>
      <w:r w:rsidR="00DF05BD" w:rsidRPr="00F853DD">
        <w:rPr>
          <w:rFonts w:ascii="Times" w:hAnsi="Times" w:cs="Times New Roman"/>
          <w:sz w:val="23"/>
          <w:szCs w:val="23"/>
        </w:rPr>
        <w:t>, 1078-1083.</w:t>
      </w:r>
    </w:p>
    <w:p w14:paraId="1EC39410" w14:textId="28D83E0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Pern</w:t>
      </w:r>
      <w:r w:rsidR="004F0606" w:rsidRPr="00F853DD">
        <w:rPr>
          <w:rFonts w:ascii="Times" w:hAnsi="Times" w:cs="Times New Roman"/>
          <w:sz w:val="23"/>
          <w:szCs w:val="23"/>
        </w:rPr>
        <w:t>a, L., Mielck, A., Lacruz, M., Emeny, R.</w:t>
      </w:r>
      <w:r w:rsidRPr="00F853DD">
        <w:rPr>
          <w:rFonts w:ascii="Times" w:hAnsi="Times" w:cs="Times New Roman"/>
          <w:sz w:val="23"/>
          <w:szCs w:val="23"/>
        </w:rPr>
        <w:t>, Holle, R., B</w:t>
      </w:r>
      <w:r w:rsidR="004F0606" w:rsidRPr="00F853DD">
        <w:rPr>
          <w:rFonts w:ascii="Times" w:hAnsi="Times" w:cs="Times New Roman"/>
          <w:sz w:val="23"/>
          <w:szCs w:val="23"/>
        </w:rPr>
        <w:t>reitfelder, A. and Ladwig, K.,</w:t>
      </w:r>
      <w:r w:rsidRPr="00F853DD">
        <w:rPr>
          <w:rFonts w:ascii="Times" w:hAnsi="Times" w:cs="Times New Roman"/>
          <w:sz w:val="23"/>
          <w:szCs w:val="23"/>
        </w:rPr>
        <w:t xml:space="preserve"> (2012). Socioeconomic position, resilience, and health behaviour among elderly people</w:t>
      </w:r>
      <w:r w:rsidRPr="00F853DD">
        <w:rPr>
          <w:rFonts w:ascii="Times" w:hAnsi="Times" w:cs="Times New Roman"/>
          <w:i/>
          <w:sz w:val="23"/>
          <w:szCs w:val="23"/>
        </w:rPr>
        <w:t>. International Journal of Public Health</w:t>
      </w:r>
      <w:r w:rsidR="004F060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57</w:t>
      </w:r>
      <w:r w:rsidRPr="00F853DD">
        <w:rPr>
          <w:rFonts w:ascii="Times" w:hAnsi="Times" w:cs="Times New Roman"/>
          <w:sz w:val="23"/>
          <w:szCs w:val="23"/>
        </w:rPr>
        <w:t>, 341-349.</w:t>
      </w:r>
    </w:p>
    <w:p w14:paraId="5013EF1F" w14:textId="5B44F847"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Peters, G., Hoyt, D.</w:t>
      </w:r>
      <w:r w:rsidR="00DF05BD" w:rsidRPr="00F853DD">
        <w:rPr>
          <w:rFonts w:ascii="Times" w:hAnsi="Times" w:cs="Times New Roman"/>
          <w:sz w:val="23"/>
          <w:szCs w:val="23"/>
        </w:rPr>
        <w:t>, Babchuk, N., Kaiser, M. and Iijima, Y.</w:t>
      </w:r>
      <w:r w:rsidRPr="00F853DD">
        <w:rPr>
          <w:rFonts w:ascii="Times" w:hAnsi="Times" w:cs="Times New Roman"/>
          <w:sz w:val="23"/>
          <w:szCs w:val="23"/>
        </w:rPr>
        <w:t>,</w:t>
      </w:r>
      <w:r w:rsidR="00DF05BD" w:rsidRPr="00F853DD">
        <w:rPr>
          <w:rFonts w:ascii="Times" w:hAnsi="Times" w:cs="Times New Roman"/>
          <w:sz w:val="23"/>
          <w:szCs w:val="23"/>
        </w:rPr>
        <w:t xml:space="preserve"> (1987). Primary-group support systems of the aged. </w:t>
      </w:r>
      <w:r w:rsidR="00DF05BD" w:rsidRPr="00F853DD">
        <w:rPr>
          <w:rFonts w:ascii="Times" w:hAnsi="Times" w:cs="Times New Roman"/>
          <w:i/>
          <w:sz w:val="23"/>
          <w:szCs w:val="23"/>
        </w:rPr>
        <w:t>Research on Aging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w:t>
      </w:r>
      <w:r w:rsidR="00DF05BD" w:rsidRPr="00F853DD">
        <w:rPr>
          <w:rFonts w:ascii="Times" w:hAnsi="Times" w:cs="Times New Roman"/>
          <w:sz w:val="23"/>
          <w:szCs w:val="23"/>
        </w:rPr>
        <w:t>, 392-416.</w:t>
      </w:r>
    </w:p>
    <w:p w14:paraId="27C952C7" w14:textId="5BEB6A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Peters-D</w:t>
      </w:r>
      <w:r w:rsidR="004F0606" w:rsidRPr="00F853DD">
        <w:rPr>
          <w:rFonts w:ascii="Times" w:hAnsi="Times" w:cs="Times New Roman"/>
          <w:sz w:val="23"/>
          <w:szCs w:val="23"/>
        </w:rPr>
        <w:t>avis, N., Moss, M. and Pruchno, R.,</w:t>
      </w:r>
      <w:r w:rsidRPr="00F853DD">
        <w:rPr>
          <w:rFonts w:ascii="Times" w:hAnsi="Times" w:cs="Times New Roman"/>
          <w:sz w:val="23"/>
          <w:szCs w:val="23"/>
        </w:rPr>
        <w:t xml:space="preserve"> (1999). Children-in-law in caregiving families</w:t>
      </w:r>
      <w:r w:rsidRPr="00F853DD">
        <w:rPr>
          <w:rFonts w:ascii="Times" w:hAnsi="Times" w:cs="Times New Roman"/>
          <w:i/>
          <w:sz w:val="23"/>
          <w:szCs w:val="23"/>
        </w:rPr>
        <w:t>. Gerontologist</w:t>
      </w:r>
      <w:r w:rsidR="004F060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 66-75.</w:t>
      </w:r>
    </w:p>
    <w:p w14:paraId="71795FF3" w14:textId="716DAC7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Peterson, L. and Ralston, M.</w:t>
      </w:r>
      <w:r w:rsidR="004F0606" w:rsidRPr="00F853DD">
        <w:rPr>
          <w:rFonts w:ascii="Times" w:hAnsi="Times" w:cs="Times New Roman"/>
          <w:sz w:val="23"/>
          <w:szCs w:val="23"/>
        </w:rPr>
        <w:t>,</w:t>
      </w:r>
      <w:r w:rsidRPr="00F853DD">
        <w:rPr>
          <w:rFonts w:ascii="Times" w:hAnsi="Times" w:cs="Times New Roman"/>
          <w:sz w:val="23"/>
          <w:szCs w:val="23"/>
        </w:rPr>
        <w:t xml:space="preserve"> (2017). Valued elders or societal burden: Cross-national attitudes toward older adults. </w:t>
      </w:r>
      <w:r w:rsidRPr="00F853DD">
        <w:rPr>
          <w:rFonts w:ascii="Times" w:hAnsi="Times" w:cs="Times New Roman"/>
          <w:i/>
          <w:sz w:val="23"/>
          <w:szCs w:val="23"/>
        </w:rPr>
        <w:t>International Sociology</w:t>
      </w:r>
      <w:r w:rsidRPr="00F853DD">
        <w:rPr>
          <w:rFonts w:ascii="Times" w:hAnsi="Times" w:cs="Times New Roman"/>
          <w:sz w:val="23"/>
          <w:szCs w:val="23"/>
        </w:rPr>
        <w:t xml:space="preserve">, </w:t>
      </w:r>
      <w:r w:rsidRPr="00F853DD">
        <w:rPr>
          <w:rFonts w:ascii="Times" w:hAnsi="Times" w:cs="Times New Roman"/>
          <w:b/>
          <w:sz w:val="23"/>
          <w:szCs w:val="23"/>
        </w:rPr>
        <w:t>32</w:t>
      </w:r>
      <w:r w:rsidRPr="00F853DD">
        <w:rPr>
          <w:rFonts w:ascii="Times" w:hAnsi="Times" w:cs="Times New Roman"/>
          <w:sz w:val="23"/>
          <w:szCs w:val="23"/>
        </w:rPr>
        <w:t>, 731-754.</w:t>
      </w:r>
    </w:p>
    <w:p w14:paraId="5862EE4D" w14:textId="04CAA7B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Penning, M.J. (1990). Receipt of assistance by elderly people: Hierarchical selection and task specificity. </w:t>
      </w:r>
      <w:r w:rsidRPr="00F853DD">
        <w:rPr>
          <w:rFonts w:ascii="Times" w:hAnsi="Times" w:cs="Times New Roman"/>
          <w:i/>
          <w:sz w:val="23"/>
          <w:szCs w:val="23"/>
        </w:rPr>
        <w:t>The Gerontologist</w:t>
      </w:r>
      <w:r w:rsidR="004F060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(2), 220–227.</w:t>
      </w:r>
    </w:p>
    <w:p w14:paraId="665CF7EE" w14:textId="21B0AD06"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Pezzin, L., Pollak, R. and Schone, B.,</w:t>
      </w:r>
      <w:r w:rsidR="00DF05BD" w:rsidRPr="00F853DD">
        <w:rPr>
          <w:rFonts w:ascii="Times" w:hAnsi="Times" w:cs="Times New Roman"/>
          <w:sz w:val="23"/>
          <w:szCs w:val="23"/>
        </w:rPr>
        <w:t xml:space="preserve"> (2015). Bargaining power, parental caregiving, and intergenerational coresidence</w:t>
      </w:r>
      <w:r w:rsidR="00DF05BD" w:rsidRPr="00F853DD">
        <w:rPr>
          <w:rFonts w:ascii="Times" w:hAnsi="Times" w:cs="Times New Roman"/>
          <w:i/>
          <w:sz w:val="23"/>
          <w:szCs w:val="23"/>
        </w:rPr>
        <w:t>. Journals of Gerontology Series B-Psychological Sciences and Social Sciences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70</w:t>
      </w:r>
      <w:r w:rsidR="00DF05BD" w:rsidRPr="00F853DD">
        <w:rPr>
          <w:rFonts w:ascii="Times" w:hAnsi="Times" w:cs="Times New Roman"/>
          <w:sz w:val="23"/>
          <w:szCs w:val="23"/>
        </w:rPr>
        <w:t>, 969-980.</w:t>
      </w:r>
    </w:p>
    <w:p w14:paraId="17A05E40" w14:textId="6A460850"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Pharr, J.</w:t>
      </w:r>
      <w:r w:rsidR="00DF05BD" w:rsidRPr="00F853DD">
        <w:rPr>
          <w:rFonts w:ascii="Times" w:hAnsi="Times" w:cs="Times New Roman"/>
          <w:sz w:val="23"/>
          <w:szCs w:val="23"/>
        </w:rPr>
        <w:t>, Dodge Francis,</w:t>
      </w:r>
      <w:r w:rsidRPr="00F853DD">
        <w:rPr>
          <w:rFonts w:ascii="Times" w:hAnsi="Times" w:cs="Times New Roman"/>
          <w:sz w:val="23"/>
          <w:szCs w:val="23"/>
        </w:rPr>
        <w:t xml:space="preserve"> C., Terry, C., and Clark, M.,</w:t>
      </w:r>
      <w:r w:rsidR="00DF05BD" w:rsidRPr="00F853DD">
        <w:rPr>
          <w:rFonts w:ascii="Times" w:hAnsi="Times" w:cs="Times New Roman"/>
          <w:sz w:val="23"/>
          <w:szCs w:val="23"/>
        </w:rPr>
        <w:t xml:space="preserve"> (2014). Culture, caregiving, and health: exploring the influence of culture on family caregiver experiences. </w:t>
      </w:r>
      <w:r w:rsidR="00DF05BD" w:rsidRPr="00F853DD">
        <w:rPr>
          <w:rFonts w:ascii="Times" w:hAnsi="Times" w:cs="Times New Roman"/>
          <w:i/>
          <w:sz w:val="23"/>
          <w:szCs w:val="23"/>
        </w:rPr>
        <w:t>ISRN Public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2014</w:t>
      </w:r>
      <w:r w:rsidR="00DF05BD" w:rsidRPr="00F853DD">
        <w:rPr>
          <w:rFonts w:ascii="Times" w:hAnsi="Times" w:cs="Times New Roman"/>
          <w:sz w:val="23"/>
          <w:szCs w:val="23"/>
        </w:rPr>
        <w:t>, 1-8.</w:t>
      </w:r>
    </w:p>
    <w:p w14:paraId="7E4C693B" w14:textId="3F4D37E4"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Phillips, J.</w:t>
      </w:r>
      <w:r w:rsidR="00DF05BD" w:rsidRPr="00F853DD">
        <w:rPr>
          <w:rFonts w:ascii="Times" w:hAnsi="Times" w:cs="Times New Roman"/>
          <w:sz w:val="23"/>
          <w:szCs w:val="23"/>
        </w:rPr>
        <w:t xml:space="preserve"> and Hillcoat-Nallétamby, S.</w:t>
      </w:r>
      <w:r w:rsidRPr="00F853DD">
        <w:rPr>
          <w:rFonts w:ascii="Times" w:hAnsi="Times" w:cs="Times New Roman"/>
          <w:sz w:val="23"/>
          <w:szCs w:val="23"/>
        </w:rPr>
        <w:t>,</w:t>
      </w:r>
      <w:r w:rsidR="00DF05BD" w:rsidRPr="00F853DD">
        <w:rPr>
          <w:rFonts w:ascii="Times" w:hAnsi="Times" w:cs="Times New Roman"/>
          <w:sz w:val="23"/>
          <w:szCs w:val="23"/>
        </w:rPr>
        <w:t xml:space="preserve"> (2011). Sociological ambivalence revisited. </w:t>
      </w:r>
      <w:r w:rsidR="00DF05BD" w:rsidRPr="00F853DD">
        <w:rPr>
          <w:rFonts w:ascii="Times" w:hAnsi="Times" w:cs="Times New Roman"/>
          <w:i/>
          <w:sz w:val="23"/>
          <w:szCs w:val="23"/>
        </w:rPr>
        <w:t>Sociology</w:t>
      </w:r>
      <w:r w:rsidR="00DF05BD" w:rsidRPr="00F853DD">
        <w:rPr>
          <w:rFonts w:ascii="Times" w:hAnsi="Times" w:cs="Times New Roman"/>
          <w:sz w:val="23"/>
          <w:szCs w:val="23"/>
        </w:rPr>
        <w:t xml:space="preserve">: </w:t>
      </w:r>
      <w:r w:rsidR="00DF05BD" w:rsidRPr="00F853DD">
        <w:rPr>
          <w:rFonts w:ascii="Times" w:hAnsi="Times" w:cs="Times New Roman"/>
          <w:i/>
          <w:sz w:val="23"/>
          <w:szCs w:val="23"/>
        </w:rPr>
        <w:t>The Journal of the British Sociological Association</w:t>
      </w:r>
      <w:r w:rsidRPr="00F853DD">
        <w:rPr>
          <w:rFonts w:ascii="Times" w:hAnsi="Times" w:cs="Times New Roman"/>
          <w:sz w:val="23"/>
          <w:szCs w:val="23"/>
        </w:rPr>
        <w:t xml:space="preserve">. </w:t>
      </w:r>
      <w:r w:rsidR="00DF05BD" w:rsidRPr="00F853DD">
        <w:rPr>
          <w:rFonts w:ascii="Times" w:hAnsi="Times" w:cs="Times New Roman"/>
          <w:b/>
          <w:sz w:val="23"/>
          <w:szCs w:val="23"/>
        </w:rPr>
        <w:t>45</w:t>
      </w:r>
      <w:r w:rsidR="00DF05BD" w:rsidRPr="00F853DD">
        <w:rPr>
          <w:rFonts w:ascii="Times" w:hAnsi="Times" w:cs="Times New Roman"/>
          <w:sz w:val="23"/>
          <w:szCs w:val="23"/>
        </w:rPr>
        <w:t>, 202-217.</w:t>
      </w:r>
    </w:p>
    <w:p w14:paraId="546DEE2C" w14:textId="3E799CC2"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Phillips, L.</w:t>
      </w:r>
      <w:r w:rsidR="00DF05BD" w:rsidRPr="00F853DD">
        <w:rPr>
          <w:rFonts w:ascii="Times" w:hAnsi="Times" w:cs="Times New Roman"/>
          <w:sz w:val="23"/>
          <w:szCs w:val="23"/>
        </w:rPr>
        <w:t xml:space="preserve"> and Rem</w:t>
      </w:r>
      <w:r w:rsidRPr="00F853DD">
        <w:rPr>
          <w:rFonts w:ascii="Times" w:hAnsi="Times" w:cs="Times New Roman"/>
          <w:sz w:val="23"/>
          <w:szCs w:val="23"/>
        </w:rPr>
        <w:t>pusheski, V.,</w:t>
      </w:r>
      <w:r w:rsidR="00DF05BD" w:rsidRPr="00F853DD">
        <w:rPr>
          <w:rFonts w:ascii="Times" w:hAnsi="Times" w:cs="Times New Roman"/>
          <w:sz w:val="23"/>
          <w:szCs w:val="23"/>
        </w:rPr>
        <w:t xml:space="preserve"> (1986). Caring </w:t>
      </w:r>
      <w:r w:rsidRPr="00F853DD">
        <w:rPr>
          <w:rFonts w:ascii="Times" w:hAnsi="Times" w:cs="Times New Roman"/>
          <w:sz w:val="23"/>
          <w:szCs w:val="23"/>
        </w:rPr>
        <w:t xml:space="preserve">for the frail elderly at home: </w:t>
      </w:r>
      <w:r w:rsidR="00DF05BD" w:rsidRPr="00F853DD">
        <w:rPr>
          <w:rFonts w:ascii="Times" w:hAnsi="Times" w:cs="Times New Roman"/>
          <w:sz w:val="23"/>
          <w:szCs w:val="23"/>
        </w:rPr>
        <w:t xml:space="preserve">toward a theoretical explanation of the dynamics of poor quality family caregiving. </w:t>
      </w:r>
      <w:r w:rsidR="00DF05BD" w:rsidRPr="00F853DD">
        <w:rPr>
          <w:rFonts w:ascii="Times" w:hAnsi="Times" w:cs="Times New Roman"/>
          <w:i/>
          <w:sz w:val="23"/>
          <w:szCs w:val="23"/>
        </w:rPr>
        <w:t>Advances in Nursing Science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8</w:t>
      </w:r>
      <w:r w:rsidR="00DF05BD" w:rsidRPr="00F853DD">
        <w:rPr>
          <w:rFonts w:ascii="Times" w:hAnsi="Times" w:cs="Times New Roman"/>
          <w:sz w:val="23"/>
          <w:szCs w:val="23"/>
        </w:rPr>
        <w:t>, 62-84.</w:t>
      </w:r>
    </w:p>
    <w:p w14:paraId="185703D9" w14:textId="52CCD5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Phillipson, C.</w:t>
      </w:r>
      <w:r w:rsidR="004F0606" w:rsidRPr="00F853DD">
        <w:rPr>
          <w:rFonts w:ascii="Times" w:hAnsi="Times" w:cs="Times New Roman"/>
          <w:sz w:val="23"/>
          <w:szCs w:val="23"/>
        </w:rPr>
        <w:t>,</w:t>
      </w:r>
      <w:r w:rsidRPr="00F853DD">
        <w:rPr>
          <w:rFonts w:ascii="Times" w:hAnsi="Times" w:cs="Times New Roman"/>
          <w:sz w:val="23"/>
          <w:szCs w:val="23"/>
        </w:rPr>
        <w:t xml:space="preserve"> (1998). </w:t>
      </w:r>
      <w:r w:rsidRPr="00F853DD">
        <w:rPr>
          <w:rFonts w:ascii="Times" w:hAnsi="Times" w:cs="Times New Roman"/>
          <w:i/>
          <w:sz w:val="23"/>
          <w:szCs w:val="23"/>
        </w:rPr>
        <w:t xml:space="preserve">Reconstructing old age: </w:t>
      </w:r>
      <w:r w:rsidR="004F0606" w:rsidRPr="00F853DD">
        <w:rPr>
          <w:rFonts w:ascii="Times" w:hAnsi="Times" w:cs="Times New Roman"/>
          <w:i/>
          <w:sz w:val="23"/>
          <w:szCs w:val="23"/>
        </w:rPr>
        <w:t>n</w:t>
      </w:r>
      <w:r w:rsidRPr="00F853DD">
        <w:rPr>
          <w:rFonts w:ascii="Times" w:hAnsi="Times" w:cs="Times New Roman"/>
          <w:i/>
          <w:sz w:val="23"/>
          <w:szCs w:val="23"/>
        </w:rPr>
        <w:t xml:space="preserve">ew agendas in social theory and practice. </w:t>
      </w:r>
      <w:r w:rsidRPr="00F853DD">
        <w:rPr>
          <w:rFonts w:ascii="Times" w:hAnsi="Times" w:cs="Times New Roman"/>
          <w:sz w:val="23"/>
          <w:szCs w:val="23"/>
        </w:rPr>
        <w:t>London: SAGE.</w:t>
      </w:r>
    </w:p>
    <w:p w14:paraId="5D3B6AF4" w14:textId="688EFF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Philp, I.</w:t>
      </w:r>
      <w:r w:rsidR="004F0606" w:rsidRPr="00F853DD">
        <w:rPr>
          <w:rFonts w:ascii="Times" w:hAnsi="Times" w:cs="Times New Roman"/>
          <w:sz w:val="23"/>
          <w:szCs w:val="23"/>
        </w:rPr>
        <w:t>,</w:t>
      </w:r>
      <w:r w:rsidRPr="00F853DD">
        <w:rPr>
          <w:rFonts w:ascii="Times" w:hAnsi="Times" w:cs="Times New Roman"/>
          <w:sz w:val="23"/>
          <w:szCs w:val="23"/>
        </w:rPr>
        <w:t xml:space="preserve"> (ed.) </w:t>
      </w:r>
      <w:r w:rsidRPr="00F853DD">
        <w:rPr>
          <w:rFonts w:ascii="Times" w:hAnsi="Times" w:cs="Times New Roman"/>
          <w:i/>
          <w:sz w:val="23"/>
          <w:szCs w:val="23"/>
        </w:rPr>
        <w:t xml:space="preserve">Family </w:t>
      </w:r>
      <w:r w:rsidR="004F0606" w:rsidRPr="00F853DD">
        <w:rPr>
          <w:rFonts w:ascii="Times" w:hAnsi="Times" w:cs="Times New Roman"/>
          <w:i/>
          <w:sz w:val="23"/>
          <w:szCs w:val="23"/>
        </w:rPr>
        <w:t>c</w:t>
      </w:r>
      <w:r w:rsidRPr="00F853DD">
        <w:rPr>
          <w:rFonts w:ascii="Times" w:hAnsi="Times" w:cs="Times New Roman"/>
          <w:i/>
          <w:sz w:val="23"/>
          <w:szCs w:val="23"/>
        </w:rPr>
        <w:t xml:space="preserve">are of </w:t>
      </w:r>
      <w:r w:rsidR="004F0606" w:rsidRPr="00F853DD">
        <w:rPr>
          <w:rFonts w:ascii="Times" w:hAnsi="Times" w:cs="Times New Roman"/>
          <w:i/>
          <w:sz w:val="23"/>
          <w:szCs w:val="23"/>
        </w:rPr>
        <w:t>o</w:t>
      </w:r>
      <w:r w:rsidRPr="00F853DD">
        <w:rPr>
          <w:rFonts w:ascii="Times" w:hAnsi="Times" w:cs="Times New Roman"/>
          <w:i/>
          <w:sz w:val="23"/>
          <w:szCs w:val="23"/>
        </w:rPr>
        <w:t xml:space="preserve">lder </w:t>
      </w:r>
      <w:r w:rsidR="004F0606" w:rsidRPr="00F853DD">
        <w:rPr>
          <w:rFonts w:ascii="Times" w:hAnsi="Times" w:cs="Times New Roman"/>
          <w:i/>
          <w:sz w:val="23"/>
          <w:szCs w:val="23"/>
        </w:rPr>
        <w:t>p</w:t>
      </w:r>
      <w:r w:rsidRPr="00F853DD">
        <w:rPr>
          <w:rFonts w:ascii="Times" w:hAnsi="Times" w:cs="Times New Roman"/>
          <w:i/>
          <w:sz w:val="23"/>
          <w:szCs w:val="23"/>
        </w:rPr>
        <w:t>eople in Europe</w:t>
      </w:r>
      <w:r w:rsidR="004F0606" w:rsidRPr="00F853DD">
        <w:rPr>
          <w:rFonts w:ascii="Times" w:hAnsi="Times" w:cs="Times New Roman"/>
          <w:sz w:val="23"/>
          <w:szCs w:val="23"/>
        </w:rPr>
        <w:t>.</w:t>
      </w:r>
      <w:r w:rsidRPr="00F853DD">
        <w:rPr>
          <w:rFonts w:ascii="Times" w:hAnsi="Times" w:cs="Times New Roman"/>
          <w:sz w:val="23"/>
          <w:szCs w:val="23"/>
        </w:rPr>
        <w:t xml:space="preserve"> Netherlands: IOS Press.</w:t>
      </w:r>
    </w:p>
    <w:p w14:paraId="4B830BA6" w14:textId="39510400"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Pickering, C. E. and Phillips, L.,</w:t>
      </w:r>
      <w:r w:rsidR="00DF05BD" w:rsidRPr="00F853DD">
        <w:rPr>
          <w:rFonts w:ascii="Times" w:hAnsi="Times" w:cs="Times New Roman"/>
          <w:sz w:val="23"/>
          <w:szCs w:val="23"/>
        </w:rPr>
        <w:t xml:space="preserve"> (2014). Development of a causal model for elder mistreatment. </w:t>
      </w:r>
      <w:r w:rsidR="00DF05BD" w:rsidRPr="00F853DD">
        <w:rPr>
          <w:rFonts w:ascii="Times" w:hAnsi="Times" w:cs="Times New Roman"/>
          <w:i/>
          <w:sz w:val="23"/>
          <w:szCs w:val="23"/>
        </w:rPr>
        <w:t>Public Health Nursing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31</w:t>
      </w:r>
      <w:r w:rsidR="00DF05BD" w:rsidRPr="00F853DD">
        <w:rPr>
          <w:rFonts w:ascii="Times" w:hAnsi="Times" w:cs="Times New Roman"/>
          <w:sz w:val="23"/>
          <w:szCs w:val="23"/>
        </w:rPr>
        <w:t>, 363-372.</w:t>
      </w:r>
    </w:p>
    <w:p w14:paraId="7D62C68D" w14:textId="2741772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Piel,</w:t>
      </w:r>
      <w:r w:rsidR="004F0606" w:rsidRPr="00F853DD">
        <w:rPr>
          <w:rFonts w:ascii="Times" w:hAnsi="Times" w:cs="Times New Roman"/>
          <w:sz w:val="23"/>
          <w:szCs w:val="23"/>
        </w:rPr>
        <w:t xml:space="preserve"> M., Geiger, J., Julien-Chinn, F. and </w:t>
      </w:r>
      <w:proofErr w:type="spellStart"/>
      <w:r w:rsidR="004F0606" w:rsidRPr="00F853DD">
        <w:rPr>
          <w:rFonts w:ascii="Times" w:hAnsi="Times" w:cs="Times New Roman"/>
          <w:sz w:val="23"/>
          <w:szCs w:val="23"/>
        </w:rPr>
        <w:t>Lietz</w:t>
      </w:r>
      <w:proofErr w:type="spellEnd"/>
      <w:r w:rsidR="004F0606" w:rsidRPr="00F853DD">
        <w:rPr>
          <w:rFonts w:ascii="Times" w:hAnsi="Times" w:cs="Times New Roman"/>
          <w:sz w:val="23"/>
          <w:szCs w:val="23"/>
        </w:rPr>
        <w:t>, C.,</w:t>
      </w:r>
      <w:r w:rsidRPr="00F853DD">
        <w:rPr>
          <w:rFonts w:ascii="Times" w:hAnsi="Times" w:cs="Times New Roman"/>
          <w:sz w:val="23"/>
          <w:szCs w:val="23"/>
        </w:rPr>
        <w:t xml:space="preserve"> (2017). An ecological systems approach to understanding social support in foster family resilience. </w:t>
      </w:r>
      <w:r w:rsidRPr="00F853DD">
        <w:rPr>
          <w:rFonts w:ascii="Times" w:hAnsi="Times" w:cs="Times New Roman"/>
          <w:i/>
          <w:sz w:val="23"/>
          <w:szCs w:val="23"/>
        </w:rPr>
        <w:t>Child and Family Social Work</w:t>
      </w:r>
      <w:r w:rsidR="004F060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Pr="00F853DD">
        <w:rPr>
          <w:rFonts w:ascii="Times" w:hAnsi="Times" w:cs="Times New Roman"/>
          <w:sz w:val="23"/>
          <w:szCs w:val="23"/>
        </w:rPr>
        <w:t>, 1034-1043.</w:t>
      </w:r>
    </w:p>
    <w:p w14:paraId="51681AF7" w14:textId="73230977"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Piercy, K.,</w:t>
      </w:r>
      <w:r w:rsidR="00DF05BD" w:rsidRPr="00F853DD">
        <w:rPr>
          <w:rFonts w:ascii="Times" w:hAnsi="Times" w:cs="Times New Roman"/>
          <w:sz w:val="23"/>
          <w:szCs w:val="23"/>
        </w:rPr>
        <w:t xml:space="preserve"> (2007). Characteristics of strong commitments to intergenerational family care of older adults. </w:t>
      </w:r>
      <w:r w:rsidR="00DF05BD" w:rsidRPr="00F853DD">
        <w:rPr>
          <w:rFonts w:ascii="Times" w:hAnsi="Times" w:cs="Times New Roman"/>
          <w:i/>
          <w:sz w:val="23"/>
          <w:szCs w:val="23"/>
        </w:rPr>
        <w:t>Journals of Gerontology Series B-Psychological Sciences and Social Sciences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62</w:t>
      </w:r>
      <w:r w:rsidR="00DF05BD" w:rsidRPr="00F853DD">
        <w:rPr>
          <w:rFonts w:ascii="Times" w:hAnsi="Times" w:cs="Times New Roman"/>
          <w:sz w:val="23"/>
          <w:szCs w:val="23"/>
        </w:rPr>
        <w:t>, S381-S387.</w:t>
      </w:r>
    </w:p>
    <w:p w14:paraId="21DF466E" w14:textId="0009766C" w:rsidR="00DF05BD" w:rsidRPr="00F853DD" w:rsidRDefault="004F0606"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Piercy, K. and Chapman, J</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(2001). Adopting the </w:t>
      </w:r>
      <w:r w:rsidRPr="00F853DD">
        <w:rPr>
          <w:rFonts w:ascii="Times" w:hAnsi="Times" w:cs="Times New Roman"/>
          <w:sz w:val="23"/>
          <w:szCs w:val="23"/>
        </w:rPr>
        <w:t>caregiver role: a family legacy</w:t>
      </w:r>
      <w:r w:rsidR="00DF05BD" w:rsidRPr="00F853DD">
        <w:rPr>
          <w:rFonts w:ascii="Times" w:hAnsi="Times" w:cs="Times New Roman"/>
          <w:sz w:val="23"/>
          <w:szCs w:val="23"/>
        </w:rPr>
        <w:t xml:space="preserve">. </w:t>
      </w:r>
      <w:r w:rsidR="00DF05BD" w:rsidRPr="00F853DD">
        <w:rPr>
          <w:rFonts w:ascii="Times" w:hAnsi="Times" w:cs="Times New Roman"/>
          <w:i/>
          <w:sz w:val="23"/>
          <w:szCs w:val="23"/>
        </w:rPr>
        <w:t>Family relations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50</w:t>
      </w:r>
      <w:r w:rsidR="00DF05BD" w:rsidRPr="00F853DD">
        <w:rPr>
          <w:rFonts w:ascii="Times" w:hAnsi="Times" w:cs="Times New Roman"/>
          <w:sz w:val="23"/>
          <w:szCs w:val="23"/>
        </w:rPr>
        <w:t>, 386-393.</w:t>
      </w:r>
    </w:p>
    <w:p w14:paraId="0D9DB57E" w14:textId="537BA24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Pierret, C.</w:t>
      </w:r>
      <w:r w:rsidR="004F0606" w:rsidRPr="00F853DD">
        <w:rPr>
          <w:rFonts w:ascii="Times" w:hAnsi="Times" w:cs="Times New Roman"/>
          <w:sz w:val="23"/>
          <w:szCs w:val="23"/>
        </w:rPr>
        <w:t>,</w:t>
      </w:r>
      <w:r w:rsidRPr="00F853DD">
        <w:rPr>
          <w:rFonts w:ascii="Times" w:hAnsi="Times" w:cs="Times New Roman"/>
          <w:sz w:val="23"/>
          <w:szCs w:val="23"/>
        </w:rPr>
        <w:t xml:space="preserve"> (2006). The sandwich generation: Women caring for parents and children. </w:t>
      </w:r>
      <w:r w:rsidRPr="00F853DD">
        <w:rPr>
          <w:rFonts w:ascii="Times" w:hAnsi="Times" w:cs="Times New Roman"/>
          <w:i/>
          <w:sz w:val="23"/>
          <w:szCs w:val="23"/>
        </w:rPr>
        <w:t>Monthly Lab Rev</w:t>
      </w:r>
      <w:r w:rsidR="004F0606"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129</w:t>
      </w:r>
      <w:r w:rsidRPr="00F853DD">
        <w:rPr>
          <w:rFonts w:ascii="Times" w:hAnsi="Times" w:cs="Times New Roman"/>
          <w:sz w:val="23"/>
          <w:szCs w:val="23"/>
        </w:rPr>
        <w:t>, 3.</w:t>
      </w:r>
    </w:p>
    <w:p w14:paraId="764859D8" w14:textId="2735F3A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Pike, A., Dawley, S. and Tomaney, J.</w:t>
      </w:r>
      <w:r w:rsidR="005B2117" w:rsidRPr="00F853DD">
        <w:rPr>
          <w:rFonts w:ascii="Times" w:hAnsi="Times" w:cs="Times New Roman"/>
          <w:sz w:val="23"/>
          <w:szCs w:val="23"/>
        </w:rPr>
        <w:t>,</w:t>
      </w:r>
      <w:r w:rsidRPr="00F853DD">
        <w:rPr>
          <w:rFonts w:ascii="Times" w:hAnsi="Times" w:cs="Times New Roman"/>
          <w:sz w:val="23"/>
          <w:szCs w:val="23"/>
        </w:rPr>
        <w:t xml:space="preserve"> (2010). Resilience, adaptation and adaptability. </w:t>
      </w:r>
      <w:r w:rsidRPr="00F853DD">
        <w:rPr>
          <w:rFonts w:ascii="Times" w:hAnsi="Times" w:cs="Times New Roman"/>
          <w:i/>
          <w:sz w:val="23"/>
          <w:szCs w:val="23"/>
        </w:rPr>
        <w:t>Cambridge Journal of Regions Economy and Society</w:t>
      </w:r>
      <w:r w:rsidR="005B211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w:t>
      </w:r>
      <w:r w:rsidRPr="00F853DD">
        <w:rPr>
          <w:rFonts w:ascii="Times" w:hAnsi="Times" w:cs="Times New Roman"/>
          <w:sz w:val="23"/>
          <w:szCs w:val="23"/>
        </w:rPr>
        <w:t>, 59-70.</w:t>
      </w:r>
    </w:p>
    <w:p w14:paraId="50ABA0B7" w14:textId="4B7C7443" w:rsidR="00DF05BD" w:rsidRPr="00F853DD" w:rsidRDefault="005B2117" w:rsidP="00E1694A">
      <w:pPr>
        <w:autoSpaceDE w:val="0"/>
        <w:autoSpaceDN w:val="0"/>
        <w:adjustRightInd w:val="0"/>
        <w:spacing w:line="240" w:lineRule="auto"/>
        <w:ind w:left="567" w:hanging="567"/>
        <w:rPr>
          <w:rFonts w:ascii="Times" w:hAnsi="Times" w:cs="Times New Roman"/>
          <w:sz w:val="23"/>
          <w:szCs w:val="23"/>
          <w:lang w:val="pt-PT"/>
        </w:rPr>
      </w:pPr>
      <w:r w:rsidRPr="00F853DD">
        <w:rPr>
          <w:rFonts w:ascii="Times" w:hAnsi="Times" w:cs="Times New Roman"/>
          <w:sz w:val="23"/>
          <w:szCs w:val="23"/>
        </w:rPr>
        <w:t>Pillemer, K. and Suitor, J.,</w:t>
      </w:r>
      <w:r w:rsidR="00DF05BD" w:rsidRPr="00F853DD">
        <w:rPr>
          <w:rFonts w:ascii="Times" w:hAnsi="Times" w:cs="Times New Roman"/>
          <w:sz w:val="23"/>
          <w:szCs w:val="23"/>
        </w:rPr>
        <w:t xml:space="preserve"> (2014). Who provides care? A prospective study of caregiving among adult siblings. </w:t>
      </w:r>
      <w:r w:rsidR="00DF05BD" w:rsidRPr="00F853DD">
        <w:rPr>
          <w:rFonts w:ascii="Times" w:hAnsi="Times" w:cs="Times New Roman"/>
          <w:i/>
          <w:sz w:val="23"/>
          <w:szCs w:val="23"/>
          <w:lang w:val="pt-PT"/>
        </w:rPr>
        <w:t>Gerontologist</w:t>
      </w:r>
      <w:r w:rsidRPr="00F853DD">
        <w:rPr>
          <w:rFonts w:ascii="Times" w:hAnsi="Times" w:cs="Times New Roman"/>
          <w:sz w:val="23"/>
          <w:szCs w:val="23"/>
          <w:lang w:val="pt-PT"/>
        </w:rPr>
        <w:t>.</w:t>
      </w:r>
      <w:r w:rsidR="00DF05BD" w:rsidRPr="00F853DD">
        <w:rPr>
          <w:rFonts w:ascii="Times" w:hAnsi="Times" w:cs="Times New Roman"/>
          <w:sz w:val="23"/>
          <w:szCs w:val="23"/>
          <w:lang w:val="pt-PT"/>
        </w:rPr>
        <w:t xml:space="preserve"> </w:t>
      </w:r>
      <w:r w:rsidR="00DF05BD" w:rsidRPr="00F853DD">
        <w:rPr>
          <w:rFonts w:ascii="Times" w:hAnsi="Times" w:cs="Times New Roman"/>
          <w:b/>
          <w:sz w:val="23"/>
          <w:szCs w:val="23"/>
          <w:lang w:val="pt-PT"/>
        </w:rPr>
        <w:t>54</w:t>
      </w:r>
      <w:r w:rsidR="00DF05BD" w:rsidRPr="00F853DD">
        <w:rPr>
          <w:rFonts w:ascii="Times" w:hAnsi="Times" w:cs="Times New Roman"/>
          <w:sz w:val="23"/>
          <w:szCs w:val="23"/>
          <w:lang w:val="pt-PT"/>
        </w:rPr>
        <w:t>, 589-598.</w:t>
      </w:r>
    </w:p>
    <w:p w14:paraId="63415FE0" w14:textId="51135642"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pt-PT"/>
        </w:rPr>
      </w:pPr>
      <w:r w:rsidRPr="00F853DD">
        <w:rPr>
          <w:rFonts w:ascii="Times" w:hAnsi="Times" w:cs="Times New Roman"/>
          <w:sz w:val="23"/>
          <w:szCs w:val="23"/>
          <w:lang w:val="pt-PT"/>
        </w:rPr>
        <w:lastRenderedPageBreak/>
        <w:t>Pimenta, G., Da Costa, M., Gonclaves, L. and Alvarez, A.</w:t>
      </w:r>
      <w:r w:rsidR="005F6543" w:rsidRPr="00F853DD">
        <w:rPr>
          <w:rFonts w:ascii="Times" w:hAnsi="Times" w:cs="Times New Roman"/>
          <w:sz w:val="23"/>
          <w:szCs w:val="23"/>
          <w:lang w:val="pt-PT"/>
        </w:rPr>
        <w:t>,</w:t>
      </w:r>
      <w:r w:rsidRPr="00F853DD">
        <w:rPr>
          <w:rFonts w:ascii="Times" w:hAnsi="Times" w:cs="Times New Roman"/>
          <w:sz w:val="23"/>
          <w:szCs w:val="23"/>
          <w:lang w:val="pt-PT"/>
        </w:rPr>
        <w:t xml:space="preserve"> (2009). </w:t>
      </w:r>
      <w:r w:rsidRPr="00F853DD">
        <w:rPr>
          <w:rFonts w:ascii="Times" w:hAnsi="Times" w:cs="Times New Roman"/>
          <w:sz w:val="23"/>
          <w:szCs w:val="23"/>
        </w:rPr>
        <w:t xml:space="preserve">Profile of the caregiver of dependent elderly family members in a home environment in the city of Porto, Portugal. </w:t>
      </w:r>
      <w:r w:rsidRPr="00F853DD">
        <w:rPr>
          <w:rFonts w:ascii="Times" w:hAnsi="Times" w:cs="Times New Roman"/>
          <w:i/>
          <w:sz w:val="23"/>
          <w:szCs w:val="23"/>
          <w:lang w:val="pt-PT"/>
        </w:rPr>
        <w:t>Revista da Escola de Enfermagem da</w:t>
      </w:r>
      <w:r w:rsidR="005F6543" w:rsidRPr="00F853DD">
        <w:rPr>
          <w:rFonts w:ascii="Times" w:hAnsi="Times" w:cs="Times New Roman"/>
          <w:sz w:val="23"/>
          <w:szCs w:val="23"/>
          <w:lang w:val="pt-PT"/>
        </w:rPr>
        <w:t xml:space="preserve"> USP [online].</w:t>
      </w:r>
      <w:r w:rsidRPr="00F853DD">
        <w:rPr>
          <w:rFonts w:ascii="Times" w:hAnsi="Times" w:cs="Times New Roman"/>
          <w:sz w:val="23"/>
          <w:szCs w:val="23"/>
          <w:lang w:val="pt-PT"/>
        </w:rPr>
        <w:t xml:space="preserve"> </w:t>
      </w:r>
      <w:r w:rsidRPr="00F853DD">
        <w:rPr>
          <w:rFonts w:ascii="Times" w:hAnsi="Times" w:cs="Times New Roman"/>
          <w:b/>
          <w:sz w:val="23"/>
          <w:szCs w:val="23"/>
          <w:lang w:val="pt-PT"/>
        </w:rPr>
        <w:t>43</w:t>
      </w:r>
      <w:r w:rsidRPr="00F853DD">
        <w:rPr>
          <w:rFonts w:ascii="Times" w:hAnsi="Times" w:cs="Times New Roman"/>
          <w:sz w:val="23"/>
          <w:szCs w:val="23"/>
          <w:lang w:val="pt-PT"/>
        </w:rPr>
        <w:t>. Available from: http://www.scielo.br/scielo.php?script=sci_arttextandpid=S0080-62342009000300016.</w:t>
      </w:r>
    </w:p>
    <w:p w14:paraId="705759C3" w14:textId="543B907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Pinquart, M. and Sorensen, S.</w:t>
      </w:r>
      <w:r w:rsidR="005F6543" w:rsidRPr="00F853DD">
        <w:rPr>
          <w:rFonts w:ascii="Times" w:hAnsi="Times" w:cs="Times New Roman"/>
          <w:sz w:val="23"/>
          <w:szCs w:val="23"/>
        </w:rPr>
        <w:t>,</w:t>
      </w:r>
      <w:r w:rsidRPr="00F853DD">
        <w:rPr>
          <w:rFonts w:ascii="Times" w:hAnsi="Times" w:cs="Times New Roman"/>
          <w:sz w:val="23"/>
          <w:szCs w:val="23"/>
        </w:rPr>
        <w:t xml:space="preserve"> (2001). Influences on loneliness in older adults: </w:t>
      </w:r>
      <w:r w:rsidR="005F6543" w:rsidRPr="00F853DD">
        <w:rPr>
          <w:rFonts w:ascii="Times" w:hAnsi="Times" w:cs="Times New Roman"/>
          <w:sz w:val="23"/>
          <w:szCs w:val="23"/>
        </w:rPr>
        <w:t>a</w:t>
      </w:r>
      <w:r w:rsidRPr="00F853DD">
        <w:rPr>
          <w:rFonts w:ascii="Times" w:hAnsi="Times" w:cs="Times New Roman"/>
          <w:sz w:val="23"/>
          <w:szCs w:val="23"/>
        </w:rPr>
        <w:t xml:space="preserve"> meta-analysis. </w:t>
      </w:r>
      <w:r w:rsidRPr="00F853DD">
        <w:rPr>
          <w:rFonts w:ascii="Times" w:hAnsi="Times" w:cs="Times New Roman"/>
          <w:i/>
          <w:sz w:val="23"/>
          <w:szCs w:val="23"/>
        </w:rPr>
        <w:t>Basic and Applied Social Psychology</w:t>
      </w:r>
      <w:r w:rsidR="005F6543"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245-266.</w:t>
      </w:r>
    </w:p>
    <w:p w14:paraId="621B7BE8" w14:textId="3E58600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Pinquart, M. and Sorensen, S.</w:t>
      </w:r>
      <w:r w:rsidR="005F6543" w:rsidRPr="00F853DD">
        <w:rPr>
          <w:rFonts w:ascii="Times" w:hAnsi="Times" w:cs="Times New Roman"/>
          <w:sz w:val="23"/>
          <w:szCs w:val="23"/>
        </w:rPr>
        <w:t>,</w:t>
      </w:r>
      <w:r w:rsidRPr="00F853DD">
        <w:rPr>
          <w:rFonts w:ascii="Times" w:hAnsi="Times" w:cs="Times New Roman"/>
          <w:sz w:val="23"/>
          <w:szCs w:val="23"/>
        </w:rPr>
        <w:t xml:space="preserve"> (2003). Differences between caregivers and noncaregivers in psychological health and physical health: </w:t>
      </w:r>
      <w:r w:rsidR="005F6543" w:rsidRPr="00F853DD">
        <w:rPr>
          <w:rFonts w:ascii="Times" w:hAnsi="Times" w:cs="Times New Roman"/>
          <w:sz w:val="23"/>
          <w:szCs w:val="23"/>
        </w:rPr>
        <w:t>a</w:t>
      </w:r>
      <w:r w:rsidRPr="00F853DD">
        <w:rPr>
          <w:rFonts w:ascii="Times" w:hAnsi="Times" w:cs="Times New Roman"/>
          <w:sz w:val="23"/>
          <w:szCs w:val="23"/>
        </w:rPr>
        <w:t xml:space="preserve"> meta-analysis. </w:t>
      </w:r>
      <w:r w:rsidRPr="00F853DD">
        <w:rPr>
          <w:rFonts w:ascii="Times" w:hAnsi="Times" w:cs="Times New Roman"/>
          <w:i/>
          <w:sz w:val="23"/>
          <w:szCs w:val="23"/>
        </w:rPr>
        <w:t>Psychology and Aging</w:t>
      </w:r>
      <w:r w:rsidR="005F6543"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250-267.</w:t>
      </w:r>
    </w:p>
    <w:p w14:paraId="317A2871" w14:textId="20C0EBF2" w:rsidR="005F6543" w:rsidRPr="00F853DD" w:rsidRDefault="005F6543" w:rsidP="005F6543">
      <w:pPr>
        <w:pStyle w:val="NoSpacing"/>
        <w:ind w:left="567" w:hanging="567"/>
        <w:rPr>
          <w:rFonts w:ascii="Times" w:hAnsi="Times" w:cs="Times New Roman"/>
          <w:sz w:val="23"/>
          <w:szCs w:val="23"/>
        </w:rPr>
      </w:pPr>
      <w:r w:rsidRPr="00F853DD">
        <w:rPr>
          <w:rFonts w:ascii="Times" w:hAnsi="Times" w:cs="Times New Roman"/>
          <w:sz w:val="23"/>
          <w:szCs w:val="23"/>
        </w:rPr>
        <w:t>Pinquart, M. and Sörensen, S., 2005. Ethnic differences in stressors, resources, and psychological outcomes of family caregiving: a meta-analysis</w:t>
      </w:r>
      <w:r w:rsidRPr="00F853DD">
        <w:rPr>
          <w:rFonts w:ascii="Times" w:hAnsi="Times" w:cs="Times New Roman"/>
          <w:i/>
          <w:sz w:val="23"/>
          <w:szCs w:val="23"/>
        </w:rPr>
        <w:t>. The Gerontologist.</w:t>
      </w:r>
      <w:r w:rsidRPr="00F853DD">
        <w:rPr>
          <w:rFonts w:ascii="Times" w:hAnsi="Times" w:cs="Times New Roman"/>
          <w:sz w:val="23"/>
          <w:szCs w:val="23"/>
        </w:rPr>
        <w:t> </w:t>
      </w:r>
      <w:r w:rsidRPr="00F853DD">
        <w:rPr>
          <w:rFonts w:ascii="Times" w:hAnsi="Times" w:cs="Times New Roman"/>
          <w:b/>
          <w:sz w:val="23"/>
          <w:szCs w:val="23"/>
        </w:rPr>
        <w:t>45</w:t>
      </w:r>
      <w:r w:rsidRPr="00F853DD">
        <w:rPr>
          <w:rFonts w:ascii="Times" w:hAnsi="Times" w:cs="Times New Roman"/>
          <w:sz w:val="23"/>
          <w:szCs w:val="23"/>
        </w:rPr>
        <w:t>(1), 90-106.</w:t>
      </w:r>
    </w:p>
    <w:p w14:paraId="41054DCB" w14:textId="05F6ACF8" w:rsidR="005F6543" w:rsidRPr="00F853DD" w:rsidRDefault="005F6543" w:rsidP="005F6543">
      <w:pPr>
        <w:pStyle w:val="NoSpacing"/>
        <w:ind w:left="567" w:hanging="567"/>
        <w:rPr>
          <w:rFonts w:ascii="Times" w:eastAsiaTheme="minorEastAsia" w:hAnsi="Times" w:cs="Times New Roman"/>
          <w:sz w:val="23"/>
          <w:szCs w:val="23"/>
          <w:lang w:val="en-GB" w:eastAsia="en-GB"/>
        </w:rPr>
      </w:pPr>
      <w:r w:rsidRPr="00F853DD">
        <w:rPr>
          <w:rFonts w:ascii="Times" w:eastAsiaTheme="minorEastAsia" w:hAnsi="Times" w:cs="Times New Roman"/>
          <w:sz w:val="23"/>
          <w:szCs w:val="23"/>
          <w:lang w:val="en-GB" w:eastAsia="en-GB"/>
        </w:rPr>
        <w:t xml:space="preserve">Pinquart M. and Sorensen, S., (2010) Cultural values and caregiving: the updated sociocultural stress and coping model. </w:t>
      </w:r>
      <w:r w:rsidRPr="00F853DD">
        <w:rPr>
          <w:rFonts w:ascii="Times" w:eastAsiaTheme="minorEastAsia" w:hAnsi="Times" w:cs="Times New Roman"/>
          <w:i/>
          <w:sz w:val="23"/>
          <w:szCs w:val="23"/>
          <w:lang w:val="en-GB" w:eastAsia="en-GB"/>
        </w:rPr>
        <w:t>The Journals of Gerontology: Series B</w:t>
      </w:r>
      <w:r w:rsidRPr="00F853DD">
        <w:rPr>
          <w:rFonts w:ascii="Times" w:eastAsiaTheme="minorEastAsia" w:hAnsi="Times" w:cs="Times New Roman"/>
          <w:sz w:val="23"/>
          <w:szCs w:val="23"/>
          <w:lang w:val="en-GB" w:eastAsia="en-GB"/>
        </w:rPr>
        <w:t>, 5-13. Oxford Academic.</w:t>
      </w:r>
    </w:p>
    <w:p w14:paraId="536D6D0A" w14:textId="589522A7"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 xml:space="preserve">Pinquart, M. and Sorensen, S. (2011). Spouses, adult children, and children-in-law as caregivers of older adults: </w:t>
      </w:r>
      <w:r w:rsidR="005F6543" w:rsidRPr="00F853DD">
        <w:rPr>
          <w:rFonts w:ascii="Times" w:hAnsi="Times" w:cs="Times New Roman"/>
          <w:sz w:val="23"/>
          <w:szCs w:val="23"/>
        </w:rPr>
        <w:t>a</w:t>
      </w:r>
      <w:r w:rsidRPr="00F853DD">
        <w:rPr>
          <w:rFonts w:ascii="Times" w:hAnsi="Times" w:cs="Times New Roman"/>
          <w:sz w:val="23"/>
          <w:szCs w:val="23"/>
        </w:rPr>
        <w:t xml:space="preserve"> meta-analytic comparison. </w:t>
      </w:r>
      <w:r w:rsidRPr="00F853DD">
        <w:rPr>
          <w:rFonts w:ascii="Times" w:hAnsi="Times" w:cs="Times New Roman"/>
          <w:i/>
          <w:sz w:val="23"/>
          <w:szCs w:val="23"/>
          <w:lang w:val="nl-NL"/>
        </w:rPr>
        <w:t>Psychology and Aging</w:t>
      </w:r>
      <w:r w:rsidR="005F6543" w:rsidRPr="00F853DD">
        <w:rPr>
          <w:rFonts w:ascii="Times" w:hAnsi="Times" w:cs="Times New Roman"/>
          <w:sz w:val="23"/>
          <w:szCs w:val="23"/>
          <w:lang w:val="nl-NL"/>
        </w:rPr>
        <w:t>.</w:t>
      </w:r>
      <w:r w:rsidRPr="00F853DD">
        <w:rPr>
          <w:rFonts w:ascii="Times" w:hAnsi="Times" w:cs="Times New Roman"/>
          <w:sz w:val="23"/>
          <w:szCs w:val="23"/>
          <w:lang w:val="nl-NL"/>
        </w:rPr>
        <w:t xml:space="preserve"> </w:t>
      </w:r>
      <w:r w:rsidRPr="00F853DD">
        <w:rPr>
          <w:rFonts w:ascii="Times" w:hAnsi="Times" w:cs="Times New Roman"/>
          <w:b/>
          <w:sz w:val="23"/>
          <w:szCs w:val="23"/>
          <w:lang w:val="nl-NL"/>
        </w:rPr>
        <w:t>26</w:t>
      </w:r>
      <w:r w:rsidRPr="00F853DD">
        <w:rPr>
          <w:rFonts w:ascii="Times" w:hAnsi="Times" w:cs="Times New Roman"/>
          <w:sz w:val="23"/>
          <w:szCs w:val="23"/>
          <w:lang w:val="nl-NL"/>
        </w:rPr>
        <w:t>, 1-14.</w:t>
      </w:r>
    </w:p>
    <w:p w14:paraId="2EE332A3" w14:textId="5613BF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Plaisier, I., Verbeek-Oudijk, D. and de Klerk, M.</w:t>
      </w:r>
      <w:r w:rsidR="005F6543" w:rsidRPr="00F853DD">
        <w:rPr>
          <w:rFonts w:ascii="Times" w:hAnsi="Times" w:cs="Times New Roman"/>
          <w:sz w:val="23"/>
          <w:szCs w:val="23"/>
          <w:lang w:val="nl-NL"/>
        </w:rPr>
        <w:t>,</w:t>
      </w:r>
      <w:r w:rsidRPr="00F853DD">
        <w:rPr>
          <w:rFonts w:ascii="Times" w:hAnsi="Times" w:cs="Times New Roman"/>
          <w:sz w:val="23"/>
          <w:szCs w:val="23"/>
          <w:lang w:val="nl-NL"/>
        </w:rPr>
        <w:t xml:space="preserve"> (2017). </w:t>
      </w:r>
      <w:r w:rsidR="005F6543" w:rsidRPr="00F853DD">
        <w:rPr>
          <w:rFonts w:ascii="Times" w:hAnsi="Times" w:cs="Times New Roman"/>
          <w:sz w:val="23"/>
          <w:szCs w:val="23"/>
        </w:rPr>
        <w:t>Developments in home-care use: p</w:t>
      </w:r>
      <w:r w:rsidRPr="00F853DD">
        <w:rPr>
          <w:rFonts w:ascii="Times" w:hAnsi="Times" w:cs="Times New Roman"/>
          <w:sz w:val="23"/>
          <w:szCs w:val="23"/>
        </w:rPr>
        <w:t xml:space="preserve">olicy and changing community-based care use by independent community-dwelling adults in the Netherlands. </w:t>
      </w:r>
      <w:r w:rsidRPr="00F853DD">
        <w:rPr>
          <w:rFonts w:ascii="Times" w:hAnsi="Times" w:cs="Times New Roman"/>
          <w:i/>
          <w:sz w:val="23"/>
          <w:szCs w:val="23"/>
        </w:rPr>
        <w:t>Health Policy</w:t>
      </w:r>
      <w:r w:rsidR="005F65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121</w:t>
      </w:r>
      <w:r w:rsidRPr="00F853DD">
        <w:rPr>
          <w:rFonts w:ascii="Times" w:hAnsi="Times" w:cs="Times New Roman"/>
          <w:sz w:val="23"/>
          <w:szCs w:val="23"/>
        </w:rPr>
        <w:t>(1), 82-89.</w:t>
      </w:r>
    </w:p>
    <w:p w14:paraId="5D1A6B95" w14:textId="7961C02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Plath, D.</w:t>
      </w:r>
      <w:r w:rsidR="005F6543" w:rsidRPr="00F853DD">
        <w:rPr>
          <w:rFonts w:ascii="Times" w:hAnsi="Times" w:cs="Times New Roman"/>
          <w:sz w:val="23"/>
          <w:szCs w:val="23"/>
        </w:rPr>
        <w:t>,</w:t>
      </w:r>
      <w:r w:rsidRPr="00F853DD">
        <w:rPr>
          <w:rFonts w:ascii="Times" w:hAnsi="Times" w:cs="Times New Roman"/>
          <w:sz w:val="23"/>
          <w:szCs w:val="23"/>
        </w:rPr>
        <w:t xml:space="preserve"> (2007). Independence in old age: the route to social exclusion?. </w:t>
      </w:r>
      <w:r w:rsidRPr="00F853DD">
        <w:rPr>
          <w:rFonts w:ascii="Times" w:hAnsi="Times" w:cs="Times New Roman"/>
          <w:i/>
          <w:sz w:val="23"/>
          <w:szCs w:val="23"/>
        </w:rPr>
        <w:t>British Journal of Social Work</w:t>
      </w:r>
      <w:r w:rsidR="005F65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(7), 1353-1369.</w:t>
      </w:r>
    </w:p>
    <w:p w14:paraId="599E2133" w14:textId="77195953" w:rsidR="00DF05BD" w:rsidRPr="00F853DD" w:rsidRDefault="005F654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Podsakoff, P., Mackenzie, S. and Podsakoff, N.,</w:t>
      </w:r>
      <w:r w:rsidR="00DF05BD" w:rsidRPr="00F853DD">
        <w:rPr>
          <w:rFonts w:ascii="Times" w:hAnsi="Times" w:cs="Times New Roman"/>
          <w:sz w:val="23"/>
          <w:szCs w:val="23"/>
        </w:rPr>
        <w:t xml:space="preserve"> (2016). Recommendations for creating better concept definitions in the organizational, behavioral, and social sciences. </w:t>
      </w:r>
      <w:r w:rsidR="00DF05BD" w:rsidRPr="00F853DD">
        <w:rPr>
          <w:rFonts w:ascii="Times" w:hAnsi="Times" w:cs="Times New Roman"/>
          <w:i/>
          <w:sz w:val="23"/>
          <w:szCs w:val="23"/>
        </w:rPr>
        <w:t>Organizational Research Methods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 159-203.</w:t>
      </w:r>
    </w:p>
    <w:p w14:paraId="35CB8213" w14:textId="33D8034A" w:rsidR="00DF05BD" w:rsidRPr="00F853DD" w:rsidRDefault="005F654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Polenick, C., Zarit, S., Birditt, K., Bangerter, L., Seidel, A. and Fingerman, K.,</w:t>
      </w:r>
      <w:r w:rsidR="00DF05BD" w:rsidRPr="00F853DD">
        <w:rPr>
          <w:rFonts w:ascii="Times" w:hAnsi="Times" w:cs="Times New Roman"/>
          <w:sz w:val="23"/>
          <w:szCs w:val="23"/>
        </w:rPr>
        <w:t xml:space="preserve"> (2017). Intergenerational support and marital satisfaction: Implications of beliefs about helping aging parents. </w:t>
      </w:r>
      <w:r w:rsidR="00DF05BD" w:rsidRPr="00F853DD">
        <w:rPr>
          <w:rFonts w:ascii="Times" w:hAnsi="Times" w:cs="Times New Roman"/>
          <w:i/>
          <w:sz w:val="23"/>
          <w:szCs w:val="23"/>
        </w:rPr>
        <w:t>Journal of Marriage and Family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79</w:t>
      </w:r>
      <w:r w:rsidR="00DF05BD" w:rsidRPr="00F853DD">
        <w:rPr>
          <w:rFonts w:ascii="Times" w:hAnsi="Times" w:cs="Times New Roman"/>
          <w:sz w:val="23"/>
          <w:szCs w:val="23"/>
        </w:rPr>
        <w:t>, 131-146.</w:t>
      </w:r>
    </w:p>
    <w:p w14:paraId="5B49D331" w14:textId="20D9C9B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Polivka, L.</w:t>
      </w:r>
      <w:r w:rsidR="005F6543" w:rsidRPr="00F853DD">
        <w:rPr>
          <w:rFonts w:ascii="Times" w:hAnsi="Times" w:cs="Times New Roman"/>
          <w:sz w:val="23"/>
          <w:szCs w:val="23"/>
        </w:rPr>
        <w:t>,</w:t>
      </w:r>
      <w:r w:rsidRPr="00F853DD">
        <w:rPr>
          <w:rFonts w:ascii="Times" w:hAnsi="Times" w:cs="Times New Roman"/>
          <w:sz w:val="23"/>
          <w:szCs w:val="23"/>
        </w:rPr>
        <w:t xml:space="preserve"> (2005). The Ethics and politics of caregiving. </w:t>
      </w:r>
      <w:r w:rsidRPr="00F853DD">
        <w:rPr>
          <w:rFonts w:ascii="Times" w:hAnsi="Times" w:cs="Times New Roman"/>
          <w:i/>
          <w:sz w:val="23"/>
          <w:szCs w:val="23"/>
        </w:rPr>
        <w:t>The Gerontologist</w:t>
      </w:r>
      <w:r w:rsidR="005F65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45</w:t>
      </w:r>
      <w:r w:rsidRPr="00F853DD">
        <w:rPr>
          <w:rFonts w:ascii="Times" w:hAnsi="Times" w:cs="Times New Roman"/>
          <w:sz w:val="23"/>
          <w:szCs w:val="23"/>
        </w:rPr>
        <w:t>, 557-561.</w:t>
      </w:r>
    </w:p>
    <w:p w14:paraId="3A37D2CC" w14:textId="1B095EB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Polivka, L.</w:t>
      </w:r>
      <w:r w:rsidR="005F6543" w:rsidRPr="00F853DD">
        <w:rPr>
          <w:rFonts w:ascii="Times" w:hAnsi="Times" w:cs="Times New Roman"/>
          <w:sz w:val="23"/>
          <w:szCs w:val="23"/>
        </w:rPr>
        <w:t>,</w:t>
      </w:r>
      <w:r w:rsidRPr="00F853DD">
        <w:rPr>
          <w:rFonts w:ascii="Times" w:hAnsi="Times" w:cs="Times New Roman"/>
          <w:sz w:val="23"/>
          <w:szCs w:val="23"/>
        </w:rPr>
        <w:t xml:space="preserve"> (2016). The political economy of aging in developing countries. </w:t>
      </w:r>
      <w:r w:rsidRPr="00F853DD">
        <w:rPr>
          <w:rFonts w:ascii="Times" w:hAnsi="Times" w:cs="Times New Roman"/>
          <w:i/>
          <w:sz w:val="23"/>
          <w:szCs w:val="23"/>
        </w:rPr>
        <w:t>Gerontologist</w:t>
      </w:r>
      <w:r w:rsidR="005F65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56</w:t>
      </w:r>
      <w:r w:rsidRPr="00F853DD">
        <w:rPr>
          <w:rFonts w:ascii="Times" w:hAnsi="Times" w:cs="Times New Roman"/>
          <w:sz w:val="23"/>
          <w:szCs w:val="23"/>
        </w:rPr>
        <w:t>, 113-113.</w:t>
      </w:r>
    </w:p>
    <w:p w14:paraId="0A9EA757" w14:textId="183B5AED" w:rsidR="00DF05BD" w:rsidRPr="00F853DD" w:rsidRDefault="005F654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Polk, L.,</w:t>
      </w:r>
      <w:r w:rsidR="00DF05BD" w:rsidRPr="00F853DD">
        <w:rPr>
          <w:rFonts w:ascii="Times" w:hAnsi="Times" w:cs="Times New Roman"/>
          <w:sz w:val="23"/>
          <w:szCs w:val="23"/>
        </w:rPr>
        <w:t xml:space="preserve"> (1997). Toward a middle-range theory of resilience. </w:t>
      </w:r>
      <w:r w:rsidR="00DF05BD" w:rsidRPr="00F853DD">
        <w:rPr>
          <w:rFonts w:ascii="Times" w:hAnsi="Times" w:cs="Times New Roman"/>
          <w:i/>
          <w:sz w:val="23"/>
          <w:szCs w:val="23"/>
        </w:rPr>
        <w:t>Advances in Nursing Science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19</w:t>
      </w:r>
      <w:r w:rsidR="00DF05BD" w:rsidRPr="00F853DD">
        <w:rPr>
          <w:rFonts w:ascii="Times" w:hAnsi="Times" w:cs="Times New Roman"/>
          <w:sz w:val="23"/>
          <w:szCs w:val="23"/>
        </w:rPr>
        <w:t>, 1-13.</w:t>
      </w:r>
    </w:p>
    <w:p w14:paraId="0386762C" w14:textId="7C8871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Pollard, A.</w:t>
      </w:r>
      <w:r w:rsidR="005F6543" w:rsidRPr="00F853DD">
        <w:rPr>
          <w:rFonts w:ascii="Times" w:hAnsi="Times" w:cs="Times New Roman"/>
          <w:sz w:val="23"/>
          <w:szCs w:val="23"/>
        </w:rPr>
        <w:t>,</w:t>
      </w:r>
      <w:r w:rsidRPr="00F853DD">
        <w:rPr>
          <w:rFonts w:ascii="Times" w:hAnsi="Times" w:cs="Times New Roman"/>
          <w:sz w:val="23"/>
          <w:szCs w:val="23"/>
        </w:rPr>
        <w:t xml:space="preserve"> (1982). A Model of Classroom Coping Strategies. </w:t>
      </w:r>
      <w:r w:rsidRPr="00F853DD">
        <w:rPr>
          <w:rFonts w:ascii="Times" w:hAnsi="Times" w:cs="Times New Roman"/>
          <w:i/>
          <w:sz w:val="23"/>
          <w:szCs w:val="23"/>
        </w:rPr>
        <w:t>British Journal of Sociology of Education</w:t>
      </w:r>
      <w:r w:rsidR="005F65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w:t>
      </w:r>
      <w:r w:rsidRPr="00F853DD">
        <w:rPr>
          <w:rFonts w:ascii="Times" w:hAnsi="Times" w:cs="Times New Roman"/>
          <w:sz w:val="23"/>
          <w:szCs w:val="23"/>
        </w:rPr>
        <w:t>, 19-37.</w:t>
      </w:r>
    </w:p>
    <w:p w14:paraId="587026FC" w14:textId="386B384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Ponelis, S.</w:t>
      </w:r>
      <w:r w:rsidR="005F6543" w:rsidRPr="00F853DD">
        <w:rPr>
          <w:rFonts w:ascii="Times" w:hAnsi="Times" w:cs="Times New Roman"/>
          <w:sz w:val="23"/>
          <w:szCs w:val="23"/>
        </w:rPr>
        <w:t>,</w:t>
      </w:r>
      <w:r w:rsidRPr="00F853DD">
        <w:rPr>
          <w:rFonts w:ascii="Times" w:hAnsi="Times" w:cs="Times New Roman"/>
          <w:sz w:val="23"/>
          <w:szCs w:val="23"/>
        </w:rPr>
        <w:t xml:space="preserve"> (2015). Using interpretive qualitative case studies for exploratory research in doctoral studies:  </w:t>
      </w:r>
      <w:r w:rsidR="005F6543" w:rsidRPr="00F853DD">
        <w:rPr>
          <w:rFonts w:ascii="Times" w:hAnsi="Times" w:cs="Times New Roman"/>
          <w:sz w:val="23"/>
          <w:szCs w:val="23"/>
        </w:rPr>
        <w:t>a</w:t>
      </w:r>
      <w:r w:rsidRPr="00F853DD">
        <w:rPr>
          <w:rFonts w:ascii="Times" w:hAnsi="Times" w:cs="Times New Roman"/>
          <w:sz w:val="23"/>
          <w:szCs w:val="23"/>
        </w:rPr>
        <w:t xml:space="preserve"> case of information systems research in small and medium enterprises. </w:t>
      </w:r>
      <w:r w:rsidRPr="00F853DD">
        <w:rPr>
          <w:rFonts w:ascii="Times" w:hAnsi="Times" w:cs="Times New Roman"/>
          <w:i/>
          <w:sz w:val="23"/>
          <w:szCs w:val="23"/>
        </w:rPr>
        <w:t>International Journal of Doctoral Studies</w:t>
      </w:r>
      <w:r w:rsidR="005F6543"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 xml:space="preserve">. Available from: http://ijds.org/Volume10/IJDSv10p535-550Ponelis0624.pdf. </w:t>
      </w:r>
    </w:p>
    <w:p w14:paraId="619489CE" w14:textId="3558C2E0" w:rsidR="00DF05BD" w:rsidRPr="00F853DD" w:rsidRDefault="005F654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Pope, N.,</w:t>
      </w:r>
      <w:r w:rsidR="00DF05BD" w:rsidRPr="00F853DD">
        <w:rPr>
          <w:rFonts w:ascii="Times" w:hAnsi="Times" w:cs="Times New Roman"/>
          <w:sz w:val="23"/>
          <w:szCs w:val="23"/>
        </w:rPr>
        <w:t xml:space="preserve"> (2013). Views on aging: </w:t>
      </w:r>
      <w:r w:rsidRPr="00F853DD">
        <w:rPr>
          <w:rFonts w:ascii="Times" w:hAnsi="Times" w:cs="Times New Roman"/>
          <w:sz w:val="23"/>
          <w:szCs w:val="23"/>
        </w:rPr>
        <w:t>h</w:t>
      </w:r>
      <w:r w:rsidR="00DF05BD" w:rsidRPr="00F853DD">
        <w:rPr>
          <w:rFonts w:ascii="Times" w:hAnsi="Times" w:cs="Times New Roman"/>
          <w:sz w:val="23"/>
          <w:szCs w:val="23"/>
        </w:rPr>
        <w:t>ow caring for an aging parent influences adult daughters</w:t>
      </w:r>
      <w:r w:rsidRPr="00F853DD">
        <w:rPr>
          <w:rFonts w:ascii="Times" w:hAnsi="Times" w:cs="Times New Roman"/>
          <w:sz w:val="23"/>
          <w:szCs w:val="23"/>
        </w:rPr>
        <w:t>’</w:t>
      </w:r>
      <w:r w:rsidR="00DF05BD" w:rsidRPr="00F853DD">
        <w:rPr>
          <w:rFonts w:ascii="Times" w:hAnsi="Times" w:cs="Times New Roman"/>
          <w:sz w:val="23"/>
          <w:szCs w:val="23"/>
        </w:rPr>
        <w:t xml:space="preserve"> perspectives on later life. </w:t>
      </w:r>
      <w:r w:rsidR="00DF05BD" w:rsidRPr="00F853DD">
        <w:rPr>
          <w:rFonts w:ascii="Times" w:hAnsi="Times" w:cs="Times New Roman"/>
          <w:i/>
          <w:sz w:val="23"/>
          <w:szCs w:val="23"/>
        </w:rPr>
        <w:t>Journal of Adult Development</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20</w:t>
      </w:r>
      <w:r w:rsidR="00DF05BD" w:rsidRPr="00F853DD">
        <w:rPr>
          <w:rFonts w:ascii="Times" w:hAnsi="Times" w:cs="Times New Roman"/>
          <w:sz w:val="23"/>
          <w:szCs w:val="23"/>
        </w:rPr>
        <w:t>, 46-56.</w:t>
      </w:r>
    </w:p>
    <w:p w14:paraId="1A779222" w14:textId="2938D8E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Porta, D. and Keating, M.</w:t>
      </w:r>
      <w:r w:rsidR="005F6543" w:rsidRPr="00F853DD">
        <w:rPr>
          <w:rFonts w:ascii="Times" w:hAnsi="Times" w:cs="Times New Roman"/>
          <w:sz w:val="23"/>
          <w:szCs w:val="23"/>
        </w:rPr>
        <w:t>,</w:t>
      </w:r>
      <w:r w:rsidRPr="00F853DD">
        <w:rPr>
          <w:rFonts w:ascii="Times" w:hAnsi="Times" w:cs="Times New Roman"/>
          <w:sz w:val="23"/>
          <w:szCs w:val="23"/>
        </w:rPr>
        <w:t xml:space="preserve"> (2008). </w:t>
      </w:r>
      <w:r w:rsidRPr="00F853DD">
        <w:rPr>
          <w:rFonts w:ascii="Times" w:hAnsi="Times" w:cs="Times New Roman"/>
          <w:i/>
          <w:sz w:val="23"/>
          <w:szCs w:val="23"/>
        </w:rPr>
        <w:t>Approaches and methodologies in the social sciences: a pluralist perspective</w:t>
      </w:r>
      <w:r w:rsidRPr="00F853DD">
        <w:rPr>
          <w:rFonts w:ascii="Times" w:hAnsi="Times" w:cs="Times New Roman"/>
          <w:sz w:val="23"/>
          <w:szCs w:val="23"/>
        </w:rPr>
        <w:t>. Cambridge: Cambridge University Press.</w:t>
      </w:r>
    </w:p>
    <w:p w14:paraId="782DE436" w14:textId="7ACE4C6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Portacolone, E.</w:t>
      </w:r>
      <w:r w:rsidR="005F6543" w:rsidRPr="00F853DD">
        <w:rPr>
          <w:rFonts w:ascii="Times" w:hAnsi="Times" w:cs="Times New Roman"/>
          <w:sz w:val="23"/>
          <w:szCs w:val="23"/>
        </w:rPr>
        <w:t>,</w:t>
      </w:r>
      <w:r w:rsidRPr="00F853DD">
        <w:rPr>
          <w:rFonts w:ascii="Times" w:hAnsi="Times" w:cs="Times New Roman"/>
          <w:sz w:val="23"/>
          <w:szCs w:val="23"/>
        </w:rPr>
        <w:t xml:space="preserve"> (2013). The notion of precariousness among older adults living alone in the US. </w:t>
      </w:r>
      <w:r w:rsidRPr="00F853DD">
        <w:rPr>
          <w:rFonts w:ascii="Times" w:hAnsi="Times" w:cs="Times New Roman"/>
          <w:i/>
          <w:sz w:val="23"/>
          <w:szCs w:val="23"/>
        </w:rPr>
        <w:t>Journal of Aging Studies</w:t>
      </w:r>
      <w:r w:rsidR="005F65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 166-174.</w:t>
      </w:r>
    </w:p>
    <w:p w14:paraId="1398DEDC" w14:textId="255F4ED6" w:rsidR="00DF05BD" w:rsidRPr="00F853DD" w:rsidRDefault="005F654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Porter, E., Ganong, L., Drew, N. and Lanes, T.</w:t>
      </w:r>
      <w:r w:rsidR="00DF05BD" w:rsidRPr="00F853DD">
        <w:rPr>
          <w:rFonts w:ascii="Times" w:hAnsi="Times" w:cs="Times New Roman"/>
          <w:sz w:val="23"/>
          <w:szCs w:val="23"/>
        </w:rPr>
        <w:t xml:space="preserve"> (2004). A new typology of home-care helpers. </w:t>
      </w:r>
      <w:r w:rsidR="00DF05BD" w:rsidRPr="00F853DD">
        <w:rPr>
          <w:rFonts w:ascii="Times" w:hAnsi="Times" w:cs="Times New Roman"/>
          <w:i/>
          <w:sz w:val="23"/>
          <w:szCs w:val="23"/>
        </w:rPr>
        <w:t>Gerontologist</w:t>
      </w:r>
      <w:r w:rsidRPr="00F853DD">
        <w:rPr>
          <w:rFonts w:ascii="Times" w:hAnsi="Times" w:cs="Times New Roman"/>
          <w:sz w:val="23"/>
          <w:szCs w:val="23"/>
        </w:rPr>
        <w:t xml:space="preserve">. </w:t>
      </w:r>
      <w:r w:rsidR="00DF05BD" w:rsidRPr="00F853DD">
        <w:rPr>
          <w:rFonts w:ascii="Times" w:hAnsi="Times" w:cs="Times New Roman"/>
          <w:b/>
          <w:sz w:val="23"/>
          <w:szCs w:val="23"/>
        </w:rPr>
        <w:t>44</w:t>
      </w:r>
      <w:r w:rsidR="00DF05BD" w:rsidRPr="00F853DD">
        <w:rPr>
          <w:rFonts w:ascii="Times" w:hAnsi="Times" w:cs="Times New Roman"/>
          <w:sz w:val="23"/>
          <w:szCs w:val="23"/>
        </w:rPr>
        <w:t>, 750-759.</w:t>
      </w:r>
    </w:p>
    <w:p w14:paraId="6AAA5F55" w14:textId="76CE3072" w:rsidR="00DF05BD" w:rsidRPr="00F853DD" w:rsidRDefault="005F654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Powers, S., Bisconti, T. and Walker, R. </w:t>
      </w:r>
      <w:r w:rsidR="00DF05BD" w:rsidRPr="00F853DD">
        <w:rPr>
          <w:rFonts w:ascii="Times" w:hAnsi="Times" w:cs="Times New Roman"/>
          <w:sz w:val="23"/>
          <w:szCs w:val="23"/>
        </w:rPr>
        <w:t xml:space="preserve">(2016). Positive aspects of the caregiving experience: finding hope in the midst of the storm. </w:t>
      </w:r>
      <w:r w:rsidR="00DF05BD" w:rsidRPr="00F853DD">
        <w:rPr>
          <w:rFonts w:ascii="Times" w:hAnsi="Times" w:cs="Times New Roman"/>
          <w:i/>
          <w:sz w:val="23"/>
          <w:szCs w:val="23"/>
        </w:rPr>
        <w:t>Women and Therapy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39</w:t>
      </w:r>
      <w:r w:rsidR="00DF05BD" w:rsidRPr="00F853DD">
        <w:rPr>
          <w:rFonts w:ascii="Times" w:hAnsi="Times" w:cs="Times New Roman"/>
          <w:sz w:val="23"/>
          <w:szCs w:val="23"/>
        </w:rPr>
        <w:t>, 354-370.</w:t>
      </w:r>
    </w:p>
    <w:p w14:paraId="25182FAD" w14:textId="2CAEA1D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Pratt, C., Jones-Aust, L. and Pennington, D.</w:t>
      </w:r>
      <w:r w:rsidR="005F6543" w:rsidRPr="00F853DD">
        <w:rPr>
          <w:rFonts w:ascii="Times" w:hAnsi="Times" w:cs="Times New Roman"/>
          <w:sz w:val="23"/>
          <w:szCs w:val="23"/>
        </w:rPr>
        <w:t>,</w:t>
      </w:r>
      <w:r w:rsidRPr="00F853DD">
        <w:rPr>
          <w:rFonts w:ascii="Times" w:hAnsi="Times" w:cs="Times New Roman"/>
          <w:sz w:val="23"/>
          <w:szCs w:val="23"/>
        </w:rPr>
        <w:t xml:space="preserve"> (1993). Decision-making influence strategies of caregiving daughter and their elderly mothers. </w:t>
      </w:r>
      <w:r w:rsidRPr="00F853DD">
        <w:rPr>
          <w:rFonts w:ascii="Times" w:hAnsi="Times" w:cs="Times New Roman"/>
          <w:i/>
          <w:sz w:val="23"/>
          <w:szCs w:val="23"/>
        </w:rPr>
        <w:t>Family Relations</w:t>
      </w:r>
      <w:r w:rsidR="005F6543" w:rsidRPr="00F853DD">
        <w:rPr>
          <w:rFonts w:ascii="Times" w:hAnsi="Times" w:cs="Times New Roman"/>
          <w:sz w:val="23"/>
          <w:szCs w:val="23"/>
        </w:rPr>
        <w:t>.</w:t>
      </w:r>
      <w:r w:rsidRPr="00F853DD">
        <w:rPr>
          <w:rFonts w:ascii="Times" w:hAnsi="Times" w:cs="Times New Roman"/>
          <w:sz w:val="23"/>
          <w:szCs w:val="23"/>
        </w:rPr>
        <w:t xml:space="preserve"> 376-382.</w:t>
      </w:r>
    </w:p>
    <w:p w14:paraId="2BE9B3A0" w14:textId="389BF0C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Premdas, R.</w:t>
      </w:r>
      <w:r w:rsidR="00374F85" w:rsidRPr="00F853DD">
        <w:rPr>
          <w:rFonts w:ascii="Times" w:hAnsi="Times" w:cs="Times New Roman"/>
          <w:sz w:val="23"/>
          <w:szCs w:val="23"/>
        </w:rPr>
        <w:t>,</w:t>
      </w:r>
      <w:r w:rsidRPr="00F853DD">
        <w:rPr>
          <w:rFonts w:ascii="Times" w:hAnsi="Times" w:cs="Times New Roman"/>
          <w:sz w:val="23"/>
          <w:szCs w:val="23"/>
        </w:rPr>
        <w:t xml:space="preserve"> (1996). </w:t>
      </w:r>
      <w:r w:rsidRPr="00F853DD">
        <w:rPr>
          <w:rFonts w:ascii="Times" w:hAnsi="Times" w:cs="Times New Roman"/>
          <w:i/>
          <w:sz w:val="23"/>
          <w:szCs w:val="23"/>
        </w:rPr>
        <w:t xml:space="preserve">Ethnicity and identity in the Caribbean: </w:t>
      </w:r>
      <w:r w:rsidR="00374F85" w:rsidRPr="00F853DD">
        <w:rPr>
          <w:rFonts w:ascii="Times" w:hAnsi="Times" w:cs="Times New Roman"/>
          <w:i/>
          <w:sz w:val="23"/>
          <w:szCs w:val="23"/>
        </w:rPr>
        <w:t>d</w:t>
      </w:r>
      <w:r w:rsidRPr="00F853DD">
        <w:rPr>
          <w:rFonts w:ascii="Times" w:hAnsi="Times" w:cs="Times New Roman"/>
          <w:i/>
          <w:sz w:val="23"/>
          <w:szCs w:val="23"/>
        </w:rPr>
        <w:t>ecentering a myth. working paper</w:t>
      </w:r>
      <w:r w:rsidRPr="00F853DD">
        <w:rPr>
          <w:rFonts w:ascii="Times" w:hAnsi="Times" w:cs="Times New Roman"/>
          <w:sz w:val="23"/>
          <w:szCs w:val="23"/>
        </w:rPr>
        <w:t xml:space="preserve"> #234. The Helen Kellogg Institute for International Studies.</w:t>
      </w:r>
    </w:p>
    <w:p w14:paraId="3F9CC84F" w14:textId="3D956613" w:rsidR="00DF05BD" w:rsidRPr="00F853DD" w:rsidRDefault="00374F85"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lang w:val="en-TT"/>
        </w:rPr>
        <w:lastRenderedPageBreak/>
        <w:t>Prock, V.,</w:t>
      </w:r>
      <w:r w:rsidR="00DF05BD" w:rsidRPr="00F853DD">
        <w:rPr>
          <w:rFonts w:ascii="Times" w:hAnsi="Times" w:cs="Times New Roman"/>
          <w:sz w:val="23"/>
          <w:szCs w:val="23"/>
          <w:lang w:val="en-TT"/>
        </w:rPr>
        <w:t xml:space="preserve"> (1970). Effects Of Institutionalization: </w:t>
      </w:r>
      <w:r w:rsidRPr="00F853DD">
        <w:rPr>
          <w:rFonts w:ascii="Times" w:hAnsi="Times" w:cs="Times New Roman"/>
          <w:sz w:val="23"/>
          <w:szCs w:val="23"/>
          <w:lang w:val="en-TT"/>
        </w:rPr>
        <w:t>a</w:t>
      </w:r>
      <w:r w:rsidR="00DF05BD" w:rsidRPr="00F853DD">
        <w:rPr>
          <w:rFonts w:ascii="Times" w:hAnsi="Times" w:cs="Times New Roman"/>
          <w:sz w:val="23"/>
          <w:szCs w:val="23"/>
          <w:lang w:val="en-TT"/>
        </w:rPr>
        <w:t xml:space="preserve"> Comparison Of Community. Waiting List. And Institutionalized Aged Persons. </w:t>
      </w:r>
      <w:r w:rsidR="00DF05BD" w:rsidRPr="00F853DD">
        <w:rPr>
          <w:rFonts w:ascii="Times" w:hAnsi="Times" w:cs="Times New Roman"/>
          <w:i/>
          <w:sz w:val="23"/>
          <w:szCs w:val="23"/>
          <w:lang w:val="en-TT"/>
        </w:rPr>
        <w:t>Nursing Research</w:t>
      </w:r>
      <w:r w:rsidRPr="00F853DD">
        <w:rPr>
          <w:rFonts w:ascii="Times" w:hAnsi="Times" w:cs="Times New Roman"/>
          <w:sz w:val="23"/>
          <w:szCs w:val="23"/>
          <w:lang w:val="en-TT"/>
        </w:rPr>
        <w:t>.</w:t>
      </w:r>
      <w:r w:rsidR="00DF05BD" w:rsidRPr="00F853DD">
        <w:rPr>
          <w:rFonts w:ascii="Times" w:hAnsi="Times" w:cs="Times New Roman"/>
          <w:sz w:val="23"/>
          <w:szCs w:val="23"/>
          <w:lang w:val="en-TT"/>
        </w:rPr>
        <w:t> 19(3), 278.</w:t>
      </w:r>
    </w:p>
    <w:p w14:paraId="7CBD479A" w14:textId="74D309D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Prohaska, T. and Gravdal, J.</w:t>
      </w:r>
      <w:r w:rsidR="00374F85" w:rsidRPr="00F853DD">
        <w:rPr>
          <w:rFonts w:ascii="Times" w:hAnsi="Times" w:cs="Times New Roman"/>
          <w:sz w:val="23"/>
          <w:szCs w:val="23"/>
        </w:rPr>
        <w:t>,</w:t>
      </w:r>
      <w:r w:rsidRPr="00F853DD">
        <w:rPr>
          <w:rFonts w:ascii="Times" w:hAnsi="Times" w:cs="Times New Roman"/>
          <w:sz w:val="23"/>
          <w:szCs w:val="23"/>
        </w:rPr>
        <w:t xml:space="preserve"> (2001). Elderly patients and their accompanying caregivers on medical visits. </w:t>
      </w:r>
      <w:r w:rsidRPr="00F853DD">
        <w:rPr>
          <w:rFonts w:ascii="Times" w:hAnsi="Times" w:cs="Times New Roman"/>
          <w:i/>
          <w:sz w:val="23"/>
          <w:szCs w:val="23"/>
        </w:rPr>
        <w:t>Research on Aging</w:t>
      </w:r>
      <w:r w:rsidR="00374F85"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326-348.</w:t>
      </w:r>
    </w:p>
    <w:p w14:paraId="0470D509" w14:textId="66DCEEEB" w:rsidR="00DF05BD" w:rsidRPr="00F853DD" w:rsidRDefault="00374F85"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Pronk, M., Deeg, D. and Kramer, S.,</w:t>
      </w:r>
      <w:r w:rsidR="00DF05BD" w:rsidRPr="00F853DD">
        <w:rPr>
          <w:rFonts w:ascii="Times" w:hAnsi="Times" w:cs="Times New Roman"/>
          <w:sz w:val="23"/>
          <w:szCs w:val="23"/>
        </w:rPr>
        <w:t xml:space="preserve"> (2013). Hearing status in older persons: </w:t>
      </w:r>
      <w:r w:rsidRPr="00F853DD">
        <w:rPr>
          <w:rFonts w:ascii="Times" w:hAnsi="Times" w:cs="Times New Roman"/>
          <w:sz w:val="23"/>
          <w:szCs w:val="23"/>
        </w:rPr>
        <w:t>a</w:t>
      </w:r>
      <w:r w:rsidR="00DF05BD" w:rsidRPr="00F853DD">
        <w:rPr>
          <w:rFonts w:ascii="Times" w:hAnsi="Times" w:cs="Times New Roman"/>
          <w:sz w:val="23"/>
          <w:szCs w:val="23"/>
        </w:rPr>
        <w:t xml:space="preserve"> significant determinant of depression and loneliness? Results from the longitudinal aging study Amsterdam. </w:t>
      </w:r>
      <w:r w:rsidR="00DF05BD" w:rsidRPr="00F853DD">
        <w:rPr>
          <w:rFonts w:ascii="Times" w:hAnsi="Times" w:cs="Times New Roman"/>
          <w:i/>
          <w:sz w:val="23"/>
          <w:szCs w:val="23"/>
        </w:rPr>
        <w:t>American Journal of Audiology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22</w:t>
      </w:r>
      <w:r w:rsidR="00DF05BD" w:rsidRPr="00F853DD">
        <w:rPr>
          <w:rFonts w:ascii="Times" w:hAnsi="Times" w:cs="Times New Roman"/>
          <w:sz w:val="23"/>
          <w:szCs w:val="23"/>
        </w:rPr>
        <w:t>, 316-320.</w:t>
      </w:r>
    </w:p>
    <w:p w14:paraId="77A977EF" w14:textId="13940C34" w:rsidR="00DF05BD" w:rsidRPr="00F853DD" w:rsidRDefault="00374F85"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Pruchno, R., Dempsey, N., Carder, P. and Jcox, T.</w:t>
      </w:r>
      <w:r w:rsidR="00DF05BD" w:rsidRPr="00F853DD">
        <w:rPr>
          <w:rFonts w:ascii="Times" w:hAnsi="Times" w:cs="Times New Roman"/>
          <w:sz w:val="23"/>
          <w:szCs w:val="23"/>
        </w:rPr>
        <w:t xml:space="preserve"> (1993). Multigenerational house</w:t>
      </w:r>
      <w:r w:rsidRPr="00F853DD">
        <w:rPr>
          <w:rFonts w:ascii="Times" w:hAnsi="Times" w:cs="Times New Roman"/>
          <w:sz w:val="23"/>
          <w:szCs w:val="23"/>
        </w:rPr>
        <w:t>holds of caregiving families: n</w:t>
      </w:r>
      <w:r w:rsidR="00DF05BD" w:rsidRPr="00F853DD">
        <w:rPr>
          <w:rFonts w:ascii="Times" w:hAnsi="Times" w:cs="Times New Roman"/>
          <w:sz w:val="23"/>
          <w:szCs w:val="23"/>
        </w:rPr>
        <w:t xml:space="preserve">egotiating shared space. </w:t>
      </w:r>
      <w:r w:rsidR="00DF05BD" w:rsidRPr="00F853DD">
        <w:rPr>
          <w:rFonts w:ascii="Times" w:hAnsi="Times" w:cs="Times New Roman"/>
          <w:i/>
          <w:sz w:val="23"/>
          <w:szCs w:val="23"/>
        </w:rPr>
        <w:t>Environment and Behavior</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25</w:t>
      </w:r>
      <w:r w:rsidR="00DF05BD" w:rsidRPr="00F853DD">
        <w:rPr>
          <w:rFonts w:ascii="Times" w:hAnsi="Times" w:cs="Times New Roman"/>
          <w:sz w:val="23"/>
          <w:szCs w:val="23"/>
        </w:rPr>
        <w:t>, 349-366.</w:t>
      </w:r>
    </w:p>
    <w:p w14:paraId="3B6AF879" w14:textId="5A3EB2B3" w:rsidR="00DF05BD" w:rsidRPr="00F853DD" w:rsidRDefault="00374F85"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Pruchno, R.</w:t>
      </w:r>
      <w:r w:rsidR="00DF05BD" w:rsidRPr="00F853DD">
        <w:rPr>
          <w:rFonts w:ascii="Times" w:hAnsi="Times" w:cs="Times New Roman"/>
          <w:sz w:val="23"/>
          <w:szCs w:val="23"/>
        </w:rPr>
        <w:t>, Wil</w:t>
      </w:r>
      <w:r w:rsidRPr="00F853DD">
        <w:rPr>
          <w:rFonts w:ascii="Times" w:hAnsi="Times" w:cs="Times New Roman"/>
          <w:sz w:val="23"/>
          <w:szCs w:val="23"/>
        </w:rPr>
        <w:t>son-Genderson, M., Murphy, W., Rose, M. and Gordon, J.,</w:t>
      </w:r>
      <w:r w:rsidR="00DF05BD" w:rsidRPr="00F853DD">
        <w:rPr>
          <w:rFonts w:ascii="Times" w:hAnsi="Times" w:cs="Times New Roman"/>
          <w:sz w:val="23"/>
          <w:szCs w:val="23"/>
        </w:rPr>
        <w:t xml:space="preserve"> (2012). Balancing caregiving and work. </w:t>
      </w:r>
      <w:r w:rsidR="00DF05BD" w:rsidRPr="00F853DD">
        <w:rPr>
          <w:rFonts w:ascii="Times" w:hAnsi="Times" w:cs="Times New Roman"/>
          <w:i/>
          <w:sz w:val="23"/>
          <w:szCs w:val="23"/>
        </w:rPr>
        <w:t>Journal of Family Issues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33</w:t>
      </w:r>
      <w:r w:rsidR="00DF05BD" w:rsidRPr="00F853DD">
        <w:rPr>
          <w:rFonts w:ascii="Times" w:hAnsi="Times" w:cs="Times New Roman"/>
          <w:sz w:val="23"/>
          <w:szCs w:val="23"/>
        </w:rPr>
        <w:t>, 662-689.</w:t>
      </w:r>
    </w:p>
    <w:p w14:paraId="11CAFBF9" w14:textId="0A2AE2A3" w:rsidR="00DF05BD" w:rsidRPr="00F853DD" w:rsidRDefault="00374F85"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Pulsipher, L.</w:t>
      </w:r>
      <w:r w:rsidR="00DF05BD" w:rsidRPr="00F853DD">
        <w:rPr>
          <w:rFonts w:ascii="Times" w:hAnsi="Times" w:cs="Times New Roman"/>
          <w:sz w:val="23"/>
          <w:szCs w:val="23"/>
        </w:rPr>
        <w:t xml:space="preserve"> (1993). Changing roles in the life </w:t>
      </w:r>
      <w:r w:rsidRPr="00F853DD">
        <w:rPr>
          <w:rFonts w:ascii="Times" w:hAnsi="Times" w:cs="Times New Roman"/>
          <w:sz w:val="23"/>
          <w:szCs w:val="23"/>
        </w:rPr>
        <w:t>cycles of women in traditional W</w:t>
      </w:r>
      <w:r w:rsidR="00DF05BD" w:rsidRPr="00F853DD">
        <w:rPr>
          <w:rFonts w:ascii="Times" w:hAnsi="Times" w:cs="Times New Roman"/>
          <w:sz w:val="23"/>
          <w:szCs w:val="23"/>
        </w:rPr>
        <w:t xml:space="preserve">est Indian houseyards. In: Momsen, J. (ed.) </w:t>
      </w:r>
      <w:r w:rsidR="00DF05BD" w:rsidRPr="00F853DD">
        <w:rPr>
          <w:rFonts w:ascii="Times" w:hAnsi="Times" w:cs="Times New Roman"/>
          <w:i/>
          <w:sz w:val="23"/>
          <w:szCs w:val="23"/>
        </w:rPr>
        <w:t>Women and change in the Caribbean</w:t>
      </w:r>
      <w:r w:rsidR="00DF05BD" w:rsidRPr="00F853DD">
        <w:rPr>
          <w:rFonts w:ascii="Times" w:hAnsi="Times" w:cs="Times New Roman"/>
          <w:sz w:val="23"/>
          <w:szCs w:val="23"/>
        </w:rPr>
        <w:t>. Bloomington and Indianapolis: Indiana University Press.</w:t>
      </w:r>
    </w:p>
    <w:p w14:paraId="333133E8" w14:textId="0F726C57" w:rsidR="00DF05BD" w:rsidRPr="00F853DD" w:rsidRDefault="00374F85"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Puts, M.</w:t>
      </w:r>
      <w:r w:rsidR="00DF05BD" w:rsidRPr="00F853DD">
        <w:rPr>
          <w:rFonts w:ascii="Times" w:hAnsi="Times" w:cs="Times New Roman"/>
          <w:sz w:val="23"/>
          <w:szCs w:val="23"/>
        </w:rPr>
        <w:t>, Shekary, N., Widdershoven, G.</w:t>
      </w:r>
      <w:r w:rsidRPr="00F853DD">
        <w:rPr>
          <w:rFonts w:ascii="Times" w:hAnsi="Times" w:cs="Times New Roman"/>
          <w:sz w:val="23"/>
          <w:szCs w:val="23"/>
        </w:rPr>
        <w:t>, Heldens, J. and Deeg, D.,</w:t>
      </w:r>
      <w:r w:rsidR="00DF05BD" w:rsidRPr="00F853DD">
        <w:rPr>
          <w:rFonts w:ascii="Times" w:hAnsi="Times" w:cs="Times New Roman"/>
          <w:sz w:val="23"/>
          <w:szCs w:val="23"/>
        </w:rPr>
        <w:t xml:space="preserve"> (2009). The meaning of frailty according to Dutch older frail and non-frail persons. </w:t>
      </w:r>
      <w:r w:rsidR="00DF05BD" w:rsidRPr="00F853DD">
        <w:rPr>
          <w:rFonts w:ascii="Times" w:hAnsi="Times" w:cs="Times New Roman"/>
          <w:i/>
          <w:sz w:val="23"/>
          <w:szCs w:val="23"/>
        </w:rPr>
        <w:t>Journal of Aging Studies</w:t>
      </w:r>
      <w:r w:rsidRPr="00F853DD">
        <w:rPr>
          <w:rFonts w:ascii="Times" w:hAnsi="Times" w:cs="Times New Roman"/>
          <w:sz w:val="23"/>
          <w:szCs w:val="23"/>
        </w:rPr>
        <w:t xml:space="preserve">. </w:t>
      </w:r>
      <w:r w:rsidR="00DF05BD" w:rsidRPr="00F853DD">
        <w:rPr>
          <w:rFonts w:ascii="Times" w:hAnsi="Times" w:cs="Times New Roman"/>
          <w:b/>
          <w:sz w:val="23"/>
          <w:szCs w:val="23"/>
        </w:rPr>
        <w:t>23</w:t>
      </w:r>
      <w:r w:rsidR="00DF05BD" w:rsidRPr="00F853DD">
        <w:rPr>
          <w:rFonts w:ascii="Times" w:hAnsi="Times" w:cs="Times New Roman"/>
          <w:sz w:val="23"/>
          <w:szCs w:val="23"/>
        </w:rPr>
        <w:t>, 258-266.</w:t>
      </w:r>
    </w:p>
    <w:p w14:paraId="01A12AD2" w14:textId="3DE0466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Pyke, K.</w:t>
      </w:r>
      <w:r w:rsidR="005E2ACB" w:rsidRPr="00F853DD">
        <w:rPr>
          <w:rFonts w:ascii="Times" w:hAnsi="Times" w:cs="Times New Roman"/>
          <w:sz w:val="23"/>
          <w:szCs w:val="23"/>
        </w:rPr>
        <w:t>,</w:t>
      </w:r>
      <w:r w:rsidRPr="00F853DD">
        <w:rPr>
          <w:rFonts w:ascii="Times" w:hAnsi="Times" w:cs="Times New Roman"/>
          <w:sz w:val="23"/>
          <w:szCs w:val="23"/>
        </w:rPr>
        <w:t xml:space="preserve"> (1999). The micropolitics of care in relationships between aging parents and adult children: Individualism, collectivism, and power. </w:t>
      </w:r>
      <w:r w:rsidRPr="00F853DD">
        <w:rPr>
          <w:rFonts w:ascii="Times" w:hAnsi="Times" w:cs="Times New Roman"/>
          <w:i/>
          <w:sz w:val="23"/>
          <w:szCs w:val="23"/>
        </w:rPr>
        <w:t>Journal of Marriage and the Family</w:t>
      </w:r>
      <w:r w:rsidR="005E2ACB" w:rsidRPr="00F853DD">
        <w:rPr>
          <w:rFonts w:ascii="Times" w:hAnsi="Times" w:cs="Times New Roman"/>
          <w:sz w:val="23"/>
          <w:szCs w:val="23"/>
        </w:rPr>
        <w:t>.</w:t>
      </w:r>
      <w:r w:rsidRPr="00F853DD">
        <w:rPr>
          <w:rFonts w:ascii="Times" w:hAnsi="Times" w:cs="Times New Roman"/>
          <w:sz w:val="23"/>
          <w:szCs w:val="23"/>
        </w:rPr>
        <w:t xml:space="preserve"> 661-672.</w:t>
      </w:r>
    </w:p>
    <w:p w14:paraId="1EF45E1B" w14:textId="2E4185B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Quah, S.</w:t>
      </w:r>
      <w:r w:rsidR="005E2ACB" w:rsidRPr="00F853DD">
        <w:rPr>
          <w:rFonts w:ascii="Times" w:hAnsi="Times" w:cs="Times New Roman"/>
          <w:sz w:val="23"/>
          <w:szCs w:val="23"/>
        </w:rPr>
        <w:t>,</w:t>
      </w:r>
      <w:r w:rsidRPr="00F853DD">
        <w:rPr>
          <w:rFonts w:ascii="Times" w:hAnsi="Times" w:cs="Times New Roman"/>
          <w:sz w:val="23"/>
          <w:szCs w:val="23"/>
        </w:rPr>
        <w:t xml:space="preserve"> (2014). Caring for persons with schizophrenia at home: examining the link between family caregivers' role distress and quality of life. </w:t>
      </w:r>
      <w:r w:rsidRPr="00F853DD">
        <w:rPr>
          <w:rFonts w:ascii="Times" w:hAnsi="Times" w:cs="Times New Roman"/>
          <w:i/>
          <w:sz w:val="23"/>
          <w:szCs w:val="23"/>
        </w:rPr>
        <w:t>Sociology of Health and Illness</w:t>
      </w:r>
      <w:r w:rsidR="005E2AC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 596-612.</w:t>
      </w:r>
    </w:p>
    <w:p w14:paraId="1FCB04E8" w14:textId="79170021" w:rsidR="00DF05BD" w:rsidRPr="00F853DD" w:rsidRDefault="005E2AC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Quashie, N.,</w:t>
      </w:r>
      <w:r w:rsidR="00DF05BD" w:rsidRPr="00F853DD">
        <w:rPr>
          <w:rFonts w:ascii="Times" w:hAnsi="Times" w:cs="Times New Roman"/>
          <w:sz w:val="23"/>
          <w:szCs w:val="23"/>
        </w:rPr>
        <w:t xml:space="preserve"> (2016). Intergenerational financial transfers across seven cities in Latin America and the Caribbean: </w:t>
      </w:r>
      <w:r w:rsidRPr="00F853DD">
        <w:rPr>
          <w:rFonts w:ascii="Times" w:hAnsi="Times" w:cs="Times New Roman"/>
          <w:sz w:val="23"/>
          <w:szCs w:val="23"/>
        </w:rPr>
        <w:t>t</w:t>
      </w:r>
      <w:r w:rsidR="00DF05BD" w:rsidRPr="00F853DD">
        <w:rPr>
          <w:rFonts w:ascii="Times" w:hAnsi="Times" w:cs="Times New Roman"/>
          <w:sz w:val="23"/>
          <w:szCs w:val="23"/>
        </w:rPr>
        <w:t xml:space="preserve">he intersection of gender and proximity. </w:t>
      </w:r>
      <w:r w:rsidR="00DF05BD" w:rsidRPr="00F853DD">
        <w:rPr>
          <w:rFonts w:ascii="Times" w:hAnsi="Times" w:cs="Times New Roman"/>
          <w:i/>
          <w:sz w:val="23"/>
          <w:szCs w:val="23"/>
        </w:rPr>
        <w:t>Journal of Comparative Family Studies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47</w:t>
      </w:r>
      <w:r w:rsidR="00DF05BD" w:rsidRPr="00F853DD">
        <w:rPr>
          <w:rFonts w:ascii="Times" w:hAnsi="Times" w:cs="Times New Roman"/>
          <w:sz w:val="23"/>
          <w:szCs w:val="23"/>
        </w:rPr>
        <w:t>, 413.</w:t>
      </w:r>
    </w:p>
    <w:p w14:paraId="4A88081E" w14:textId="6169761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Quinn</w:t>
      </w:r>
      <w:r w:rsidR="005E2ACB" w:rsidRPr="00F853DD">
        <w:rPr>
          <w:rFonts w:ascii="Times" w:hAnsi="Times" w:cs="Times New Roman"/>
          <w:sz w:val="23"/>
          <w:szCs w:val="23"/>
        </w:rPr>
        <w:t>, C., Clare, L. and Woods, R.,</w:t>
      </w:r>
      <w:r w:rsidRPr="00F853DD">
        <w:rPr>
          <w:rFonts w:ascii="Times" w:hAnsi="Times" w:cs="Times New Roman"/>
          <w:sz w:val="23"/>
          <w:szCs w:val="23"/>
        </w:rPr>
        <w:t xml:space="preserve"> (2010). The impact of motivations and meanings on the wellbeing of caregivers of people with dementia: a systematic review. </w:t>
      </w:r>
      <w:r w:rsidRPr="00F853DD">
        <w:rPr>
          <w:rFonts w:ascii="Times" w:hAnsi="Times" w:cs="Times New Roman"/>
          <w:i/>
          <w:sz w:val="23"/>
          <w:szCs w:val="23"/>
        </w:rPr>
        <w:t>International Psychogeriatrics</w:t>
      </w:r>
      <w:r w:rsidR="005E2ACB" w:rsidRPr="00F853DD">
        <w:rPr>
          <w:rFonts w:ascii="Times" w:hAnsi="Times" w:cs="Times New Roman"/>
          <w:sz w:val="23"/>
          <w:szCs w:val="23"/>
        </w:rPr>
        <w:t>,.</w:t>
      </w:r>
      <w:r w:rsidRPr="00F853DD">
        <w:rPr>
          <w:rFonts w:ascii="Times" w:hAnsi="Times" w:cs="Times New Roman"/>
          <w:b/>
          <w:sz w:val="23"/>
          <w:szCs w:val="23"/>
        </w:rPr>
        <w:t>22</w:t>
      </w:r>
      <w:r w:rsidRPr="00F853DD">
        <w:rPr>
          <w:rFonts w:ascii="Times" w:hAnsi="Times" w:cs="Times New Roman"/>
          <w:sz w:val="23"/>
          <w:szCs w:val="23"/>
        </w:rPr>
        <w:t>, 43.</w:t>
      </w:r>
    </w:p>
    <w:p w14:paraId="5FAC4232" w14:textId="467CF15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Quinn, S., Butler III, J., Fryer, C., Garza, M., Kim, K., Ryan, C. and Thomas, S.</w:t>
      </w:r>
      <w:r w:rsidR="005E2ACB" w:rsidRPr="00F853DD">
        <w:rPr>
          <w:rFonts w:ascii="Times" w:hAnsi="Times" w:cs="Times New Roman"/>
          <w:sz w:val="23"/>
          <w:szCs w:val="23"/>
        </w:rPr>
        <w:t>,</w:t>
      </w:r>
      <w:r w:rsidRPr="00F853DD">
        <w:rPr>
          <w:rFonts w:ascii="Times" w:hAnsi="Times" w:cs="Times New Roman"/>
          <w:sz w:val="23"/>
          <w:szCs w:val="23"/>
        </w:rPr>
        <w:t xml:space="preserve"> (2012). Attributes of researchers and their strategies to recruit minority populations: Results of a national survey. </w:t>
      </w:r>
      <w:r w:rsidRPr="00F853DD">
        <w:rPr>
          <w:rFonts w:ascii="Times" w:hAnsi="Times" w:cs="Times New Roman"/>
          <w:i/>
          <w:sz w:val="23"/>
          <w:szCs w:val="23"/>
        </w:rPr>
        <w:t>Contemporary clinical trials</w:t>
      </w:r>
      <w:r w:rsidR="005E2ACB"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(6), 1231-1237. [Viewed 30 June 2019]. Available from: https://www.ncbi.nlm.nih.gov/pmc/articles/PMC3468713/pdf/nihms395575.pdf</w:t>
      </w:r>
      <w:r w:rsidRPr="00F853DD">
        <w:rPr>
          <w:rFonts w:ascii="Times" w:hAnsi="Times" w:cs="Times New Roman"/>
          <w:sz w:val="23"/>
          <w:szCs w:val="23"/>
          <w:u w:val="single"/>
        </w:rPr>
        <w:t>.</w:t>
      </w:r>
      <w:r w:rsidRPr="00F853DD">
        <w:rPr>
          <w:rFonts w:ascii="Times" w:hAnsi="Times" w:cs="Times New Roman"/>
          <w:sz w:val="23"/>
          <w:szCs w:val="23"/>
        </w:rPr>
        <w:t xml:space="preserve">  </w:t>
      </w:r>
    </w:p>
    <w:p w14:paraId="6E7471D8" w14:textId="70DF567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Qui</w:t>
      </w:r>
      <w:r w:rsidR="005E2ACB" w:rsidRPr="00F853DD">
        <w:rPr>
          <w:rFonts w:ascii="Times" w:hAnsi="Times" w:cs="Times New Roman"/>
          <w:sz w:val="23"/>
          <w:szCs w:val="23"/>
        </w:rPr>
        <w:t xml:space="preserve">nn, C., Clare, L. and Woods, R., </w:t>
      </w:r>
      <w:r w:rsidRPr="00F853DD">
        <w:rPr>
          <w:rFonts w:ascii="Times" w:hAnsi="Times" w:cs="Times New Roman"/>
          <w:sz w:val="23"/>
          <w:szCs w:val="23"/>
        </w:rPr>
        <w:t xml:space="preserve">(2012). What predicts whether caregivers of people with dementia find meaning in their role? </w:t>
      </w:r>
      <w:r w:rsidRPr="00F853DD">
        <w:rPr>
          <w:rFonts w:ascii="Times" w:hAnsi="Times" w:cs="Times New Roman"/>
          <w:i/>
          <w:sz w:val="23"/>
          <w:szCs w:val="23"/>
        </w:rPr>
        <w:t>International Journal of Geriatric Psychiatry</w:t>
      </w:r>
      <w:r w:rsidRPr="00F853DD">
        <w:rPr>
          <w:rFonts w:ascii="Times" w:hAnsi="Times" w:cs="Times New Roman"/>
          <w:sz w:val="23"/>
          <w:szCs w:val="23"/>
        </w:rPr>
        <w:t xml:space="preserve"> [online].</w:t>
      </w:r>
    </w:p>
    <w:p w14:paraId="04406B13" w14:textId="759963D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Qureshi, H.</w:t>
      </w:r>
      <w:r w:rsidR="005E2ACB" w:rsidRPr="00F853DD">
        <w:rPr>
          <w:rFonts w:ascii="Times" w:hAnsi="Times" w:cs="Times New Roman"/>
          <w:sz w:val="23"/>
          <w:szCs w:val="23"/>
        </w:rPr>
        <w:t>,</w:t>
      </w:r>
      <w:r w:rsidRPr="00F853DD">
        <w:rPr>
          <w:rFonts w:ascii="Times" w:hAnsi="Times" w:cs="Times New Roman"/>
          <w:sz w:val="23"/>
          <w:szCs w:val="23"/>
        </w:rPr>
        <w:t xml:space="preserve"> (2002). Social and political influences on services for older people in the United Kingdom in the late 20th century. </w:t>
      </w:r>
      <w:r w:rsidRPr="00F853DD">
        <w:rPr>
          <w:rFonts w:ascii="Times" w:hAnsi="Times" w:cs="Times New Roman"/>
          <w:i/>
          <w:sz w:val="23"/>
          <w:szCs w:val="23"/>
        </w:rPr>
        <w:t>The Journals of Gerontology</w:t>
      </w:r>
      <w:r w:rsidR="005E2ACB" w:rsidRPr="00F853DD">
        <w:rPr>
          <w:rFonts w:ascii="Times" w:hAnsi="Times" w:cs="Times New Roman"/>
          <w:sz w:val="23"/>
          <w:szCs w:val="23"/>
        </w:rPr>
        <w:t xml:space="preserve">. </w:t>
      </w:r>
      <w:r w:rsidRPr="00F853DD">
        <w:rPr>
          <w:rFonts w:ascii="Times" w:hAnsi="Times" w:cs="Times New Roman"/>
          <w:sz w:val="23"/>
          <w:szCs w:val="23"/>
        </w:rPr>
        <w:t>Series A, 57, M705-M711.</w:t>
      </w:r>
    </w:p>
    <w:p w14:paraId="36587844" w14:textId="246640B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Qureshi, H. and Walker, A.</w:t>
      </w:r>
      <w:r w:rsidR="005E2ACB" w:rsidRPr="00F853DD">
        <w:rPr>
          <w:rFonts w:ascii="Times" w:hAnsi="Times" w:cs="Times New Roman"/>
          <w:sz w:val="23"/>
          <w:szCs w:val="23"/>
        </w:rPr>
        <w:t>,</w:t>
      </w:r>
      <w:r w:rsidRPr="00F853DD">
        <w:rPr>
          <w:rFonts w:ascii="Times" w:hAnsi="Times" w:cs="Times New Roman"/>
          <w:sz w:val="23"/>
          <w:szCs w:val="23"/>
        </w:rPr>
        <w:t xml:space="preserve"> (1989). </w:t>
      </w:r>
      <w:r w:rsidRPr="00F853DD">
        <w:rPr>
          <w:rFonts w:ascii="Times" w:hAnsi="Times" w:cs="Times New Roman"/>
          <w:i/>
          <w:sz w:val="23"/>
          <w:szCs w:val="23"/>
        </w:rPr>
        <w:t xml:space="preserve">The caring relationship: </w:t>
      </w:r>
      <w:r w:rsidR="005E2ACB" w:rsidRPr="00F853DD">
        <w:rPr>
          <w:rFonts w:ascii="Times" w:hAnsi="Times" w:cs="Times New Roman"/>
          <w:i/>
          <w:sz w:val="23"/>
          <w:szCs w:val="23"/>
        </w:rPr>
        <w:t>e</w:t>
      </w:r>
      <w:r w:rsidRPr="00F853DD">
        <w:rPr>
          <w:rFonts w:ascii="Times" w:hAnsi="Times" w:cs="Times New Roman"/>
          <w:i/>
          <w:sz w:val="23"/>
          <w:szCs w:val="23"/>
        </w:rPr>
        <w:t>lderly people and their families</w:t>
      </w:r>
      <w:r w:rsidRPr="00F853DD">
        <w:rPr>
          <w:rFonts w:ascii="Times" w:hAnsi="Times" w:cs="Times New Roman"/>
          <w:sz w:val="23"/>
          <w:szCs w:val="23"/>
        </w:rPr>
        <w:t>. UK: Macmillan Education Ltd.</w:t>
      </w:r>
    </w:p>
    <w:p w14:paraId="7B0AA3AA" w14:textId="2009C61D" w:rsidR="00DF05BD" w:rsidRPr="00F853DD" w:rsidRDefault="005E2AC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Rabow, M., Hauser, J.</w:t>
      </w:r>
      <w:r w:rsidR="00DF05BD" w:rsidRPr="00F853DD">
        <w:rPr>
          <w:rFonts w:ascii="Times" w:hAnsi="Times" w:cs="Times New Roman"/>
          <w:sz w:val="23"/>
          <w:szCs w:val="23"/>
        </w:rPr>
        <w:t xml:space="preserve"> and Adams, J.</w:t>
      </w:r>
      <w:r w:rsidRPr="00F853DD">
        <w:rPr>
          <w:rFonts w:ascii="Times" w:hAnsi="Times" w:cs="Times New Roman"/>
          <w:sz w:val="23"/>
          <w:szCs w:val="23"/>
        </w:rPr>
        <w:t>,</w:t>
      </w:r>
      <w:r w:rsidR="00DF05BD" w:rsidRPr="00F853DD">
        <w:rPr>
          <w:rFonts w:ascii="Times" w:hAnsi="Times" w:cs="Times New Roman"/>
          <w:sz w:val="23"/>
          <w:szCs w:val="23"/>
        </w:rPr>
        <w:t xml:space="preserve"> (2004). Supporting family caregivers at the end of life </w:t>
      </w:r>
      <w:r w:rsidRPr="00F853DD">
        <w:rPr>
          <w:rFonts w:ascii="Times" w:hAnsi="Times" w:cs="Times New Roman"/>
          <w:sz w:val="23"/>
          <w:szCs w:val="23"/>
        </w:rPr>
        <w:t>– “They don't know what they don’t know”</w:t>
      </w:r>
      <w:r w:rsidR="00DF05BD" w:rsidRPr="00F853DD">
        <w:rPr>
          <w:rFonts w:ascii="Times" w:hAnsi="Times" w:cs="Times New Roman"/>
          <w:sz w:val="23"/>
          <w:szCs w:val="23"/>
        </w:rPr>
        <w:t xml:space="preserve">. </w:t>
      </w:r>
      <w:r w:rsidR="00DF05BD" w:rsidRPr="00F853DD">
        <w:rPr>
          <w:rFonts w:ascii="Times" w:hAnsi="Times" w:cs="Times New Roman"/>
          <w:i/>
          <w:sz w:val="23"/>
          <w:szCs w:val="23"/>
        </w:rPr>
        <w:t>Jama-Journal of the American Medical Association</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291</w:t>
      </w:r>
      <w:r w:rsidR="00DF05BD" w:rsidRPr="00F853DD">
        <w:rPr>
          <w:rFonts w:ascii="Times" w:hAnsi="Times" w:cs="Times New Roman"/>
          <w:sz w:val="23"/>
          <w:szCs w:val="23"/>
        </w:rPr>
        <w:t>, 483-491.</w:t>
      </w:r>
    </w:p>
    <w:p w14:paraId="62359E3A" w14:textId="3201FA5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Rafeeq, H. and Paul, R.</w:t>
      </w:r>
      <w:r w:rsidR="005E2ACB" w:rsidRPr="00F853DD">
        <w:rPr>
          <w:rFonts w:ascii="Times" w:hAnsi="Times" w:cs="Times New Roman"/>
          <w:sz w:val="23"/>
          <w:szCs w:val="23"/>
        </w:rPr>
        <w:t>,</w:t>
      </w:r>
      <w:r w:rsidRPr="00F853DD">
        <w:rPr>
          <w:rFonts w:ascii="Times" w:hAnsi="Times" w:cs="Times New Roman"/>
          <w:sz w:val="23"/>
          <w:szCs w:val="23"/>
        </w:rPr>
        <w:t xml:space="preserve"> (2000). </w:t>
      </w:r>
      <w:r w:rsidRPr="00F853DD">
        <w:rPr>
          <w:rFonts w:ascii="Times" w:hAnsi="Times" w:cs="Times New Roman"/>
          <w:i/>
          <w:sz w:val="23"/>
          <w:szCs w:val="23"/>
          <w:lang w:val="es-ES"/>
        </w:rPr>
        <w:t>Revista panamericana de Salud</w:t>
      </w:r>
      <w:r w:rsidRPr="00F853DD">
        <w:rPr>
          <w:rFonts w:ascii="Times" w:hAnsi="Times" w:cs="Times New Roman"/>
          <w:sz w:val="23"/>
          <w:szCs w:val="23"/>
          <w:lang w:val="es-ES"/>
        </w:rPr>
        <w:t xml:space="preserve"> Publica [online], </w:t>
      </w:r>
      <w:r w:rsidRPr="00F853DD">
        <w:rPr>
          <w:rFonts w:ascii="Times" w:hAnsi="Times" w:cs="Times New Roman"/>
          <w:b/>
          <w:sz w:val="23"/>
          <w:szCs w:val="23"/>
          <w:lang w:val="es-ES"/>
        </w:rPr>
        <w:t>8</w:t>
      </w:r>
      <w:r w:rsidRPr="00F853DD">
        <w:rPr>
          <w:rFonts w:ascii="Times" w:hAnsi="Times" w:cs="Times New Roman"/>
          <w:sz w:val="23"/>
          <w:szCs w:val="23"/>
          <w:lang w:val="es-ES"/>
        </w:rPr>
        <w:t xml:space="preserve">. </w:t>
      </w:r>
      <w:r w:rsidRPr="00F853DD">
        <w:rPr>
          <w:rFonts w:ascii="Times" w:hAnsi="Times" w:cs="Times New Roman"/>
          <w:sz w:val="23"/>
          <w:szCs w:val="23"/>
        </w:rPr>
        <w:t xml:space="preserve">Available from: http://www.scielosp.org/scielo.php?script=sci_arttextandpid=S1020-49892000000700023. </w:t>
      </w:r>
    </w:p>
    <w:p w14:paraId="3E03FF72" w14:textId="41DF1B6C" w:rsidR="00DF05BD" w:rsidRPr="00F853DD" w:rsidRDefault="005E2AC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Rafnsson, S.</w:t>
      </w:r>
      <w:r w:rsidR="00DF05BD" w:rsidRPr="00F853DD">
        <w:rPr>
          <w:rFonts w:ascii="Times" w:hAnsi="Times" w:cs="Times New Roman"/>
          <w:sz w:val="23"/>
          <w:szCs w:val="23"/>
          <w:lang w:val="en-TT"/>
        </w:rPr>
        <w:t>, Shankar, A. and Steptoe, A.</w:t>
      </w:r>
      <w:r w:rsidRPr="00F853DD">
        <w:rPr>
          <w:rFonts w:ascii="Times" w:hAnsi="Times" w:cs="Times New Roman"/>
          <w:sz w:val="23"/>
          <w:szCs w:val="23"/>
          <w:lang w:val="en-TT"/>
        </w:rPr>
        <w:t>,</w:t>
      </w:r>
      <w:r w:rsidR="00DF05BD" w:rsidRPr="00F853DD">
        <w:rPr>
          <w:rFonts w:ascii="Times" w:hAnsi="Times" w:cs="Times New Roman"/>
          <w:sz w:val="23"/>
          <w:szCs w:val="23"/>
          <w:lang w:val="en-TT"/>
        </w:rPr>
        <w:t xml:space="preserve"> (2017). </w:t>
      </w:r>
      <w:r w:rsidR="00DF05BD" w:rsidRPr="00F853DD">
        <w:rPr>
          <w:rFonts w:ascii="Times" w:hAnsi="Times" w:cs="Times New Roman"/>
          <w:sz w:val="23"/>
          <w:szCs w:val="23"/>
        </w:rPr>
        <w:t xml:space="preserve">Informal caregiving transitions, subjective well-being and depressed mood: </w:t>
      </w:r>
      <w:r w:rsidRPr="00F853DD">
        <w:rPr>
          <w:rFonts w:ascii="Times" w:hAnsi="Times" w:cs="Times New Roman"/>
          <w:sz w:val="23"/>
          <w:szCs w:val="23"/>
        </w:rPr>
        <w:t>f</w:t>
      </w:r>
      <w:r w:rsidR="00DF05BD" w:rsidRPr="00F853DD">
        <w:rPr>
          <w:rFonts w:ascii="Times" w:hAnsi="Times" w:cs="Times New Roman"/>
          <w:sz w:val="23"/>
          <w:szCs w:val="23"/>
        </w:rPr>
        <w:t xml:space="preserve">indings from the English longitudinal study of ageing. </w:t>
      </w:r>
      <w:r w:rsidR="00DF05BD" w:rsidRPr="00F853DD">
        <w:rPr>
          <w:rFonts w:ascii="Times" w:hAnsi="Times" w:cs="Times New Roman"/>
          <w:i/>
          <w:sz w:val="23"/>
          <w:szCs w:val="23"/>
        </w:rPr>
        <w:t>Aging and Mental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21</w:t>
      </w:r>
      <w:r w:rsidR="00DF05BD" w:rsidRPr="00F853DD">
        <w:rPr>
          <w:rFonts w:ascii="Times" w:hAnsi="Times" w:cs="Times New Roman"/>
          <w:sz w:val="23"/>
          <w:szCs w:val="23"/>
        </w:rPr>
        <w:t>, 104-112.</w:t>
      </w:r>
    </w:p>
    <w:p w14:paraId="3A6B933A" w14:textId="610857D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Raina, P., O’Donnell, M., Schwellnus, H., Rosenbaum, P., King, G., Brehaut, J., Russell, D., Swinton, M., K</w:t>
      </w:r>
      <w:r w:rsidR="005E2ACB" w:rsidRPr="00F853DD">
        <w:rPr>
          <w:rFonts w:ascii="Times" w:hAnsi="Times" w:cs="Times New Roman"/>
          <w:sz w:val="23"/>
          <w:szCs w:val="23"/>
        </w:rPr>
        <w:t>ing, S., Wong, M., Walter, S.</w:t>
      </w:r>
      <w:r w:rsidRPr="00F853DD">
        <w:rPr>
          <w:rFonts w:ascii="Times" w:hAnsi="Times" w:cs="Times New Roman"/>
          <w:sz w:val="23"/>
          <w:szCs w:val="23"/>
        </w:rPr>
        <w:t xml:space="preserve"> and Wood, E.</w:t>
      </w:r>
      <w:r w:rsidR="005E2ACB" w:rsidRPr="00F853DD">
        <w:rPr>
          <w:rFonts w:ascii="Times" w:hAnsi="Times" w:cs="Times New Roman"/>
          <w:sz w:val="23"/>
          <w:szCs w:val="23"/>
        </w:rPr>
        <w:t>,</w:t>
      </w:r>
      <w:r w:rsidRPr="00F853DD">
        <w:rPr>
          <w:rFonts w:ascii="Times" w:hAnsi="Times" w:cs="Times New Roman"/>
          <w:sz w:val="23"/>
          <w:szCs w:val="23"/>
        </w:rPr>
        <w:t xml:space="preserve"> (2004). Caregiving process and caregiver burden: conceptual models to guide research and practice. </w:t>
      </w:r>
      <w:r w:rsidRPr="00F853DD">
        <w:rPr>
          <w:rFonts w:ascii="Times" w:hAnsi="Times" w:cs="Times New Roman"/>
          <w:i/>
          <w:sz w:val="23"/>
          <w:szCs w:val="23"/>
        </w:rPr>
        <w:t>BMC Pediatrics</w:t>
      </w:r>
      <w:r w:rsidR="005E2AC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w:t>
      </w:r>
      <w:r w:rsidRPr="00F853DD">
        <w:rPr>
          <w:rFonts w:ascii="Times" w:hAnsi="Times" w:cs="Times New Roman"/>
          <w:sz w:val="23"/>
          <w:szCs w:val="23"/>
        </w:rPr>
        <w:t>, 1.</w:t>
      </w:r>
    </w:p>
    <w:p w14:paraId="4BFBF79A" w14:textId="181EA36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w:t>
      </w:r>
      <w:r w:rsidRPr="00F853DD">
        <w:rPr>
          <w:rFonts w:ascii="Times" w:eastAsia="Times New Roman" w:hAnsi="Times" w:cs="Arial"/>
          <w:sz w:val="23"/>
          <w:szCs w:val="23"/>
          <w:bdr w:val="none" w:sz="0" w:space="0" w:color="auto" w:frame="1"/>
          <w:lang w:val="en-TT" w:eastAsia="en-US"/>
        </w:rPr>
        <w:t>andall, M.</w:t>
      </w:r>
      <w:r w:rsidR="005E2ACB" w:rsidRPr="00F853DD">
        <w:rPr>
          <w:rFonts w:ascii="Times" w:eastAsia="Times New Roman" w:hAnsi="Times" w:cs="Arial"/>
          <w:sz w:val="23"/>
          <w:szCs w:val="23"/>
          <w:bdr w:val="none" w:sz="0" w:space="0" w:color="auto" w:frame="1"/>
          <w:lang w:val="en-TT" w:eastAsia="en-US"/>
        </w:rPr>
        <w:t>,</w:t>
      </w:r>
      <w:r w:rsidRPr="00F853DD">
        <w:rPr>
          <w:rFonts w:ascii="Times" w:eastAsia="Times New Roman" w:hAnsi="Times" w:cs="Arial"/>
          <w:sz w:val="23"/>
          <w:szCs w:val="23"/>
          <w:bdr w:val="none" w:sz="0" w:space="0" w:color="auto" w:frame="1"/>
          <w:lang w:val="en-TT" w:eastAsia="en-US"/>
        </w:rPr>
        <w:t xml:space="preserve"> (2017). Overview of the UK population: July 2017. </w:t>
      </w:r>
      <w:r w:rsidRPr="00F853DD">
        <w:rPr>
          <w:rFonts w:ascii="Times" w:eastAsia="Times New Roman" w:hAnsi="Times" w:cs="Arial"/>
          <w:i/>
          <w:iCs/>
          <w:sz w:val="23"/>
          <w:szCs w:val="23"/>
          <w:lang w:val="en-TT" w:eastAsia="en-US"/>
        </w:rPr>
        <w:t>UK Office for National Statistics.</w:t>
      </w:r>
    </w:p>
    <w:p w14:paraId="1C56BF7D" w14:textId="5EC358C7" w:rsidR="00DF05BD" w:rsidRPr="00F853DD" w:rsidRDefault="00E7095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Ranheim, A.</w:t>
      </w:r>
      <w:r w:rsidR="00DF05BD" w:rsidRPr="00F853DD">
        <w:rPr>
          <w:rFonts w:ascii="Times" w:hAnsi="Times" w:cs="Times New Roman"/>
          <w:sz w:val="23"/>
          <w:szCs w:val="23"/>
        </w:rPr>
        <w:t>, Karner, A. and Bertero, C.</w:t>
      </w:r>
      <w:r w:rsidRPr="00F853DD">
        <w:rPr>
          <w:rFonts w:ascii="Times" w:hAnsi="Times" w:cs="Times New Roman"/>
          <w:sz w:val="23"/>
          <w:szCs w:val="23"/>
        </w:rPr>
        <w:t>,</w:t>
      </w:r>
      <w:r w:rsidR="00DF05BD" w:rsidRPr="00F853DD">
        <w:rPr>
          <w:rFonts w:ascii="Times" w:hAnsi="Times" w:cs="Times New Roman"/>
          <w:sz w:val="23"/>
          <w:szCs w:val="23"/>
        </w:rPr>
        <w:t xml:space="preserve"> (2011). Eliciting reflections on caring theory in elderly caring practice. </w:t>
      </w:r>
      <w:r w:rsidR="00DF05BD" w:rsidRPr="00F853DD">
        <w:rPr>
          <w:rFonts w:ascii="Times" w:hAnsi="Times" w:cs="Times New Roman"/>
          <w:i/>
          <w:sz w:val="23"/>
          <w:szCs w:val="23"/>
        </w:rPr>
        <w:t>International Journal Qualitative Study Health Well-being</w:t>
      </w:r>
      <w:r w:rsidR="00DF05BD" w:rsidRPr="00F853DD">
        <w:rPr>
          <w:rFonts w:ascii="Times" w:hAnsi="Times" w:cs="Times New Roman"/>
          <w:sz w:val="23"/>
          <w:szCs w:val="23"/>
        </w:rPr>
        <w:t xml:space="preserve"> [online].</w:t>
      </w:r>
    </w:p>
    <w:p w14:paraId="46FCF181" w14:textId="491432E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Raschick, M. and Ingersoll-Dayton, B.</w:t>
      </w:r>
      <w:r w:rsidR="00E70957" w:rsidRPr="00F853DD">
        <w:rPr>
          <w:rFonts w:ascii="Times" w:hAnsi="Times" w:cs="Times New Roman"/>
          <w:sz w:val="23"/>
          <w:szCs w:val="23"/>
        </w:rPr>
        <w:t>,</w:t>
      </w:r>
      <w:r w:rsidRPr="00F853DD">
        <w:rPr>
          <w:rFonts w:ascii="Times" w:hAnsi="Times" w:cs="Times New Roman"/>
          <w:sz w:val="23"/>
          <w:szCs w:val="23"/>
        </w:rPr>
        <w:t xml:space="preserve"> (2004). The costs and rewards of caregiving among aging spouses and adult children. </w:t>
      </w:r>
      <w:r w:rsidRPr="00F853DD">
        <w:rPr>
          <w:rFonts w:ascii="Times" w:hAnsi="Times" w:cs="Times New Roman"/>
          <w:i/>
          <w:sz w:val="23"/>
          <w:szCs w:val="23"/>
        </w:rPr>
        <w:t>Family Relations</w:t>
      </w:r>
      <w:r w:rsidR="00E7095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53</w:t>
      </w:r>
      <w:r w:rsidRPr="00F853DD">
        <w:rPr>
          <w:rFonts w:ascii="Times" w:hAnsi="Times" w:cs="Times New Roman"/>
          <w:sz w:val="23"/>
          <w:szCs w:val="23"/>
        </w:rPr>
        <w:t>, 317-325.</w:t>
      </w:r>
    </w:p>
    <w:p w14:paraId="70C9CC8F" w14:textId="26F2C04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Ratner, C.</w:t>
      </w:r>
      <w:r w:rsidR="00E70957" w:rsidRPr="00F853DD">
        <w:rPr>
          <w:rFonts w:ascii="Times" w:hAnsi="Times" w:cs="Times New Roman"/>
          <w:sz w:val="23"/>
          <w:szCs w:val="23"/>
        </w:rPr>
        <w:t>,</w:t>
      </w:r>
      <w:r w:rsidRPr="00F853DD">
        <w:rPr>
          <w:rFonts w:ascii="Times" w:hAnsi="Times" w:cs="Times New Roman"/>
          <w:sz w:val="23"/>
          <w:szCs w:val="23"/>
        </w:rPr>
        <w:t xml:space="preserve"> (2000). Agency and culture. </w:t>
      </w:r>
      <w:r w:rsidRPr="00F853DD">
        <w:rPr>
          <w:rFonts w:ascii="Times" w:hAnsi="Times" w:cs="Times New Roman"/>
          <w:i/>
          <w:sz w:val="23"/>
          <w:szCs w:val="23"/>
        </w:rPr>
        <w:t>Journal for the Theory of Social Behaviour</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 413.</w:t>
      </w:r>
    </w:p>
    <w:p w14:paraId="08B97CF8" w14:textId="4AC807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Ravazi, S.</w:t>
      </w:r>
      <w:r w:rsidR="00E70957" w:rsidRPr="00F853DD">
        <w:rPr>
          <w:rFonts w:ascii="Times" w:hAnsi="Times" w:cs="Times New Roman"/>
          <w:sz w:val="23"/>
          <w:szCs w:val="23"/>
        </w:rPr>
        <w:t>,</w:t>
      </w:r>
      <w:r w:rsidRPr="00F853DD">
        <w:rPr>
          <w:rFonts w:ascii="Times" w:hAnsi="Times" w:cs="Times New Roman"/>
          <w:sz w:val="23"/>
          <w:szCs w:val="23"/>
        </w:rPr>
        <w:t xml:space="preserve"> (2007). The political and social economy of care in a development context: conceptual issues, research questions and policy options. </w:t>
      </w:r>
      <w:r w:rsidR="008B7D3C" w:rsidRPr="00F853DD">
        <w:rPr>
          <w:rFonts w:ascii="Times" w:hAnsi="Times" w:cs="Times New Roman"/>
          <w:sz w:val="23"/>
          <w:szCs w:val="23"/>
        </w:rPr>
        <w:t xml:space="preserve">(No. 3). United Nations Research Institute for Social Development [online]. </w:t>
      </w:r>
      <w:r w:rsidR="008B7D3C" w:rsidRPr="00F853DD">
        <w:rPr>
          <w:rFonts w:ascii="Times" w:eastAsiaTheme="minorHAnsi" w:hAnsi="Times" w:cs="Times"/>
          <w:sz w:val="23"/>
          <w:szCs w:val="23"/>
          <w:lang w:eastAsia="en-US"/>
        </w:rPr>
        <w:t>[Viewed 19 February 2018]. Available from: http://www.bdigital.unal.edu.co/40086/1/The%20Political%20and%20Social%20Economy.pdf</w:t>
      </w:r>
    </w:p>
    <w:p w14:paraId="4EFBE2AD" w14:textId="0E18FBC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Rawlins, J., Sa, B. and Brathwaite, R. (2013). Measuring medical students’ sense of preparedness for community visits to antenatal patients in the health centre setting in Trinidad. </w:t>
      </w:r>
      <w:r w:rsidRPr="00F853DD">
        <w:rPr>
          <w:rFonts w:ascii="Times" w:hAnsi="Times" w:cs="Times New Roman"/>
          <w:i/>
          <w:sz w:val="23"/>
          <w:szCs w:val="23"/>
        </w:rPr>
        <w:t>Journal of Public Health</w:t>
      </w:r>
      <w:r w:rsidR="00E70957"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21</w:t>
      </w:r>
      <w:r w:rsidRPr="00F853DD">
        <w:rPr>
          <w:rFonts w:ascii="Times" w:hAnsi="Times" w:cs="Times New Roman"/>
          <w:sz w:val="23"/>
          <w:szCs w:val="23"/>
        </w:rPr>
        <w:t>(4), 349-356.</w:t>
      </w:r>
    </w:p>
    <w:p w14:paraId="3033E39C" w14:textId="6F7F7F1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Rawlins, J. and Alea, N.</w:t>
      </w:r>
      <w:r w:rsidR="00E70957" w:rsidRPr="00F853DD">
        <w:rPr>
          <w:rFonts w:ascii="Times" w:hAnsi="Times" w:cs="Times New Roman"/>
          <w:sz w:val="23"/>
          <w:szCs w:val="23"/>
        </w:rPr>
        <w:t>,</w:t>
      </w:r>
      <w:r w:rsidRPr="00F853DD">
        <w:rPr>
          <w:rFonts w:ascii="Times" w:hAnsi="Times" w:cs="Times New Roman"/>
          <w:sz w:val="23"/>
          <w:szCs w:val="23"/>
        </w:rPr>
        <w:t xml:space="preserve"> (2014). </w:t>
      </w:r>
      <w:r w:rsidRPr="00F853DD">
        <w:rPr>
          <w:rFonts w:ascii="Times" w:hAnsi="Times" w:cs="Times New Roman"/>
          <w:i/>
          <w:sz w:val="23"/>
          <w:szCs w:val="23"/>
        </w:rPr>
        <w:t>Ageing in the Caribbean</w:t>
      </w:r>
      <w:r w:rsidRPr="00F853DD">
        <w:rPr>
          <w:rFonts w:ascii="Times" w:hAnsi="Times" w:cs="Times New Roman"/>
          <w:sz w:val="23"/>
          <w:szCs w:val="23"/>
        </w:rPr>
        <w:t>. Florida: Lifegate.</w:t>
      </w:r>
    </w:p>
    <w:p w14:paraId="51AFAC91" w14:textId="18AA766C" w:rsidR="00DF05BD" w:rsidRPr="00F853DD" w:rsidRDefault="00E7095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Rawlins, J., McGrowder, D</w:t>
      </w:r>
      <w:r w:rsidR="00DF05BD" w:rsidRPr="00F853DD">
        <w:rPr>
          <w:rFonts w:ascii="Times" w:hAnsi="Times" w:cs="Times New Roman"/>
          <w:sz w:val="23"/>
          <w:szCs w:val="23"/>
        </w:rPr>
        <w:t>., Kampradi, L., Ali, A., Austin, T., Beckles, A., Dass, R., Diaram, M., Jahorie, P., Mohammed, M. and Dialsingh, I.</w:t>
      </w:r>
      <w:r w:rsidRPr="00F853DD">
        <w:rPr>
          <w:rFonts w:ascii="Times" w:hAnsi="Times" w:cs="Times New Roman"/>
          <w:sz w:val="23"/>
          <w:szCs w:val="23"/>
        </w:rPr>
        <w:t>,</w:t>
      </w:r>
      <w:r w:rsidR="00DF05BD" w:rsidRPr="00F853DD">
        <w:rPr>
          <w:rFonts w:ascii="Times" w:hAnsi="Times" w:cs="Times New Roman"/>
          <w:sz w:val="23"/>
          <w:szCs w:val="23"/>
        </w:rPr>
        <w:t xml:space="preserve"> (2015). Attitude towards Alzheimer’s disease among undergraduate students of University of the West Indies, Trinidad and Tobago. </w:t>
      </w:r>
      <w:r w:rsidR="00DF05BD" w:rsidRPr="00F853DD">
        <w:rPr>
          <w:rFonts w:ascii="Times" w:hAnsi="Times" w:cs="Times New Roman"/>
          <w:i/>
          <w:sz w:val="23"/>
          <w:szCs w:val="23"/>
        </w:rPr>
        <w:t>Journal of clinical and diagnostic research</w:t>
      </w:r>
      <w:r w:rsidRPr="00F853DD">
        <w:rPr>
          <w:rFonts w:ascii="Times" w:hAnsi="Times" w:cs="Times New Roman"/>
          <w:i/>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w:t>
      </w:r>
      <w:r w:rsidR="00DF05BD" w:rsidRPr="00F853DD">
        <w:rPr>
          <w:rFonts w:ascii="Times" w:hAnsi="Times" w:cs="Times New Roman"/>
          <w:sz w:val="23"/>
          <w:szCs w:val="23"/>
        </w:rPr>
        <w:t>(9), LC19.</w:t>
      </w:r>
    </w:p>
    <w:p w14:paraId="5B7C08CC" w14:textId="6E94D29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shd w:val="clear" w:color="auto" w:fill="FFFFFF"/>
        </w:rPr>
        <w:t>Rawlins, J.</w:t>
      </w:r>
      <w:r w:rsidR="00E70957" w:rsidRPr="00F853DD">
        <w:rPr>
          <w:rFonts w:ascii="Times" w:hAnsi="Times" w:cs="Times New Roman"/>
          <w:sz w:val="23"/>
          <w:szCs w:val="23"/>
          <w:shd w:val="clear" w:color="auto" w:fill="FFFFFF"/>
        </w:rPr>
        <w:t>,</w:t>
      </w:r>
      <w:r w:rsidRPr="00F853DD">
        <w:rPr>
          <w:rFonts w:ascii="Times" w:hAnsi="Times" w:cs="Times New Roman"/>
          <w:sz w:val="23"/>
          <w:szCs w:val="23"/>
          <w:shd w:val="clear" w:color="auto" w:fill="FFFFFF"/>
        </w:rPr>
        <w:t xml:space="preserve"> (1989). Widowhood: </w:t>
      </w:r>
      <w:r w:rsidR="00E70957" w:rsidRPr="00F853DD">
        <w:rPr>
          <w:rFonts w:ascii="Times" w:hAnsi="Times" w:cs="Times New Roman"/>
          <w:sz w:val="23"/>
          <w:szCs w:val="23"/>
          <w:shd w:val="clear" w:color="auto" w:fill="FFFFFF"/>
        </w:rPr>
        <w:t>t</w:t>
      </w:r>
      <w:r w:rsidRPr="00F853DD">
        <w:rPr>
          <w:rFonts w:ascii="Times" w:hAnsi="Times" w:cs="Times New Roman"/>
          <w:sz w:val="23"/>
          <w:szCs w:val="23"/>
          <w:shd w:val="clear" w:color="auto" w:fill="FFFFFF"/>
        </w:rPr>
        <w:t>he social and economic consequences. In </w:t>
      </w:r>
      <w:r w:rsidRPr="00F853DD">
        <w:rPr>
          <w:rFonts w:ascii="Times" w:hAnsi="Times" w:cs="Times New Roman"/>
          <w:i/>
          <w:iCs/>
          <w:sz w:val="23"/>
          <w:szCs w:val="23"/>
          <w:shd w:val="clear" w:color="auto" w:fill="FFFFFF"/>
        </w:rPr>
        <w:t xml:space="preserve">Midlife and older women in Latin America and the Caribbean: </w:t>
      </w:r>
      <w:r w:rsidR="00E70957" w:rsidRPr="00F853DD">
        <w:rPr>
          <w:rFonts w:ascii="Times" w:hAnsi="Times" w:cs="Times New Roman"/>
          <w:i/>
          <w:iCs/>
          <w:sz w:val="23"/>
          <w:szCs w:val="23"/>
          <w:shd w:val="clear" w:color="auto" w:fill="FFFFFF"/>
        </w:rPr>
        <w:t>a</w:t>
      </w:r>
      <w:r w:rsidRPr="00F853DD">
        <w:rPr>
          <w:rFonts w:ascii="Times" w:hAnsi="Times" w:cs="Times New Roman"/>
          <w:i/>
          <w:iCs/>
          <w:sz w:val="23"/>
          <w:szCs w:val="23"/>
          <w:shd w:val="clear" w:color="auto" w:fill="FFFFFF"/>
        </w:rPr>
        <w:t xml:space="preserve"> status report</w:t>
      </w:r>
      <w:r w:rsidRPr="00F853DD">
        <w:rPr>
          <w:rFonts w:ascii="Times" w:hAnsi="Times" w:cs="Times New Roman"/>
          <w:sz w:val="23"/>
          <w:szCs w:val="23"/>
          <w:shd w:val="clear" w:color="auto" w:fill="FFFFFF"/>
        </w:rPr>
        <w:t>. Pan American Health Organization.</w:t>
      </w:r>
    </w:p>
    <w:p w14:paraId="406A56F2" w14:textId="33C6356F" w:rsidR="00DF05BD" w:rsidRPr="00F853DD" w:rsidRDefault="00E7095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Rawlins, J.,</w:t>
      </w:r>
      <w:r w:rsidR="00DF05BD" w:rsidRPr="00F853DD">
        <w:rPr>
          <w:rFonts w:ascii="Times" w:hAnsi="Times" w:cs="Times New Roman"/>
          <w:sz w:val="23"/>
          <w:szCs w:val="23"/>
        </w:rPr>
        <w:t xml:space="preserve"> (1999). Confronting ageing as a Caribbean reality. </w:t>
      </w:r>
      <w:r w:rsidR="00DF05BD" w:rsidRPr="00F853DD">
        <w:rPr>
          <w:rFonts w:ascii="Times" w:hAnsi="Times" w:cs="Times New Roman"/>
          <w:i/>
          <w:sz w:val="23"/>
          <w:szCs w:val="23"/>
        </w:rPr>
        <w:t>Journal of Sociology and Social Welfare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26</w:t>
      </w:r>
      <w:r w:rsidR="00DF05BD" w:rsidRPr="00F853DD">
        <w:rPr>
          <w:rFonts w:ascii="Times" w:hAnsi="Times" w:cs="Times New Roman"/>
          <w:sz w:val="23"/>
          <w:szCs w:val="23"/>
        </w:rPr>
        <w:t>, 143-153.</w:t>
      </w:r>
    </w:p>
    <w:p w14:paraId="4A965DC7" w14:textId="582351C5" w:rsidR="00DF05BD" w:rsidRPr="00F853DD" w:rsidRDefault="00E7095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Rawlins, J.,</w:t>
      </w:r>
      <w:r w:rsidR="00DF05BD" w:rsidRPr="00F853DD">
        <w:rPr>
          <w:rFonts w:ascii="Times" w:hAnsi="Times" w:cs="Times New Roman"/>
          <w:sz w:val="23"/>
          <w:szCs w:val="23"/>
        </w:rPr>
        <w:t xml:space="preserve"> (2001). Caring for the chronically ill elderly in Trinidad: the informal situation. </w:t>
      </w:r>
      <w:r w:rsidR="00DF05BD" w:rsidRPr="00F853DD">
        <w:rPr>
          <w:rFonts w:ascii="Times" w:hAnsi="Times" w:cs="Times New Roman"/>
          <w:i/>
          <w:sz w:val="23"/>
          <w:szCs w:val="23"/>
        </w:rPr>
        <w:t>The West Indian Medical Journal</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50</w:t>
      </w:r>
      <w:r w:rsidR="00DF05BD" w:rsidRPr="00F853DD">
        <w:rPr>
          <w:rFonts w:ascii="Times" w:hAnsi="Times" w:cs="Times New Roman"/>
          <w:sz w:val="23"/>
          <w:szCs w:val="23"/>
        </w:rPr>
        <w:t>(2), 133-136.</w:t>
      </w:r>
    </w:p>
    <w:p w14:paraId="0598694C" w14:textId="7B7588AE" w:rsidR="00DF05BD" w:rsidRPr="00F853DD" w:rsidRDefault="00E7095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Rawlins, J.,</w:t>
      </w:r>
      <w:r w:rsidR="00DF05BD" w:rsidRPr="00F853DD">
        <w:rPr>
          <w:rFonts w:ascii="Times" w:hAnsi="Times" w:cs="Times New Roman"/>
          <w:sz w:val="23"/>
          <w:szCs w:val="23"/>
        </w:rPr>
        <w:t xml:space="preserve"> and Spencer, M.</w:t>
      </w:r>
      <w:r w:rsidRPr="00F853DD">
        <w:rPr>
          <w:rFonts w:ascii="Times" w:hAnsi="Times" w:cs="Times New Roman"/>
          <w:sz w:val="23"/>
          <w:szCs w:val="23"/>
        </w:rPr>
        <w:t>,</w:t>
      </w:r>
      <w:r w:rsidR="00DF05BD" w:rsidRPr="00F853DD">
        <w:rPr>
          <w:rFonts w:ascii="Times" w:hAnsi="Times" w:cs="Times New Roman"/>
          <w:sz w:val="23"/>
          <w:szCs w:val="23"/>
        </w:rPr>
        <w:t xml:space="preserve"> (2002). Daughters and wives as informal care givers of the chronically ill elderly in Trinidad. </w:t>
      </w:r>
      <w:r w:rsidR="00DF05BD" w:rsidRPr="00F853DD">
        <w:rPr>
          <w:rFonts w:ascii="Times" w:hAnsi="Times" w:cs="Times New Roman"/>
          <w:i/>
          <w:sz w:val="23"/>
          <w:szCs w:val="23"/>
        </w:rPr>
        <w:t>Journal of Comparative Family Studies</w:t>
      </w:r>
      <w:r w:rsidRPr="00F853DD">
        <w:rPr>
          <w:rFonts w:ascii="Times" w:hAnsi="Times" w:cs="Times New Roman"/>
          <w:sz w:val="23"/>
          <w:szCs w:val="23"/>
        </w:rPr>
        <w:t>.</w:t>
      </w:r>
      <w:r w:rsidR="00DF05BD" w:rsidRPr="00F853DD">
        <w:rPr>
          <w:rFonts w:ascii="Times" w:hAnsi="Times" w:cs="Times New Roman"/>
          <w:sz w:val="23"/>
          <w:szCs w:val="23"/>
        </w:rPr>
        <w:t xml:space="preserve"> 125-137.</w:t>
      </w:r>
    </w:p>
    <w:p w14:paraId="430C3F75" w14:textId="7063539A" w:rsidR="00DF05BD" w:rsidRPr="00F853DD" w:rsidRDefault="00E7095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Rawlins, J.,</w:t>
      </w:r>
      <w:r w:rsidR="00DF05BD" w:rsidRPr="00F853DD">
        <w:rPr>
          <w:rFonts w:ascii="Times" w:hAnsi="Times" w:cs="Times New Roman"/>
          <w:sz w:val="23"/>
          <w:szCs w:val="23"/>
        </w:rPr>
        <w:t xml:space="preserve"> ed. (2004). </w:t>
      </w:r>
      <w:r w:rsidR="00DF05BD" w:rsidRPr="00F853DD">
        <w:rPr>
          <w:rFonts w:ascii="Times" w:hAnsi="Times" w:cs="Times New Roman"/>
          <w:i/>
          <w:sz w:val="23"/>
          <w:szCs w:val="23"/>
        </w:rPr>
        <w:t xml:space="preserve">Ageing: </w:t>
      </w:r>
      <w:r w:rsidRPr="00F853DD">
        <w:rPr>
          <w:rFonts w:ascii="Times" w:hAnsi="Times" w:cs="Times New Roman"/>
          <w:i/>
          <w:sz w:val="23"/>
          <w:szCs w:val="23"/>
        </w:rPr>
        <w:t>d</w:t>
      </w:r>
      <w:r w:rsidR="00DF05BD" w:rsidRPr="00F853DD">
        <w:rPr>
          <w:rFonts w:ascii="Times" w:hAnsi="Times" w:cs="Times New Roman"/>
          <w:i/>
          <w:sz w:val="23"/>
          <w:szCs w:val="23"/>
        </w:rPr>
        <w:t>iscussing the issues in Trinidad</w:t>
      </w:r>
      <w:r w:rsidR="00DF05BD" w:rsidRPr="00F853DD">
        <w:rPr>
          <w:rFonts w:ascii="Times" w:hAnsi="Times" w:cs="Times New Roman"/>
          <w:sz w:val="23"/>
          <w:szCs w:val="23"/>
        </w:rPr>
        <w:t>. University of the West Indies, School of Continuing Studies.</w:t>
      </w:r>
    </w:p>
    <w:p w14:paraId="47EB43D8" w14:textId="5F444CF3" w:rsidR="00DF05BD" w:rsidRPr="00F853DD" w:rsidRDefault="00E7095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Rawlins, J.,</w:t>
      </w:r>
      <w:r w:rsidR="00DF05BD" w:rsidRPr="00F853DD">
        <w:rPr>
          <w:rFonts w:ascii="Times" w:hAnsi="Times" w:cs="Times New Roman"/>
          <w:sz w:val="23"/>
          <w:szCs w:val="23"/>
        </w:rPr>
        <w:t xml:space="preserve"> Simeon, D</w:t>
      </w:r>
      <w:r w:rsidRPr="00F853DD">
        <w:rPr>
          <w:rFonts w:ascii="Times" w:hAnsi="Times" w:cs="Times New Roman"/>
          <w:sz w:val="23"/>
          <w:szCs w:val="23"/>
        </w:rPr>
        <w:t>., Ramdath, D. and Chadee, D.,</w:t>
      </w:r>
      <w:r w:rsidR="00DF05BD" w:rsidRPr="00F853DD">
        <w:rPr>
          <w:rFonts w:ascii="Times" w:hAnsi="Times" w:cs="Times New Roman"/>
          <w:sz w:val="23"/>
          <w:szCs w:val="23"/>
        </w:rPr>
        <w:t xml:space="preserve"> (2008). The elderly in Trinidad: </w:t>
      </w:r>
      <w:r w:rsidRPr="00F853DD">
        <w:rPr>
          <w:rFonts w:ascii="Times" w:hAnsi="Times" w:cs="Times New Roman"/>
          <w:sz w:val="23"/>
          <w:szCs w:val="23"/>
        </w:rPr>
        <w:t>h</w:t>
      </w:r>
      <w:r w:rsidR="00DF05BD" w:rsidRPr="00F853DD">
        <w:rPr>
          <w:rFonts w:ascii="Times" w:hAnsi="Times" w:cs="Times New Roman"/>
          <w:sz w:val="23"/>
          <w:szCs w:val="23"/>
        </w:rPr>
        <w:t xml:space="preserve">ealth, social and economic status and issues of loneliness. </w:t>
      </w:r>
      <w:r w:rsidR="00DF05BD" w:rsidRPr="00F853DD">
        <w:rPr>
          <w:rFonts w:ascii="Times" w:hAnsi="Times" w:cs="Times New Roman"/>
          <w:i/>
          <w:sz w:val="23"/>
          <w:szCs w:val="23"/>
        </w:rPr>
        <w:t>West Indian Medical Journal</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57</w:t>
      </w:r>
      <w:r w:rsidR="00DF05BD" w:rsidRPr="00F853DD">
        <w:rPr>
          <w:rFonts w:ascii="Times" w:hAnsi="Times" w:cs="Times New Roman"/>
          <w:sz w:val="23"/>
          <w:szCs w:val="23"/>
        </w:rPr>
        <w:t>(6), 589-595.</w:t>
      </w:r>
    </w:p>
    <w:p w14:paraId="2796953B" w14:textId="69B60957" w:rsidR="00DF05BD" w:rsidRPr="00F853DD" w:rsidRDefault="00DF05BD" w:rsidP="00E1694A">
      <w:pPr>
        <w:autoSpaceDE w:val="0"/>
        <w:autoSpaceDN w:val="0"/>
        <w:adjustRightInd w:val="0"/>
        <w:spacing w:line="240" w:lineRule="auto"/>
        <w:ind w:left="567" w:hanging="567"/>
        <w:rPr>
          <w:rFonts w:ascii="Times" w:eastAsia="Times New Roman" w:hAnsi="Times" w:cs="Times New Roman"/>
          <w:sz w:val="23"/>
          <w:szCs w:val="23"/>
        </w:rPr>
      </w:pPr>
      <w:r w:rsidRPr="00F853DD">
        <w:rPr>
          <w:rFonts w:ascii="Times" w:eastAsia="Times New Roman" w:hAnsi="Times" w:cs="Times New Roman"/>
          <w:sz w:val="23"/>
          <w:szCs w:val="23"/>
        </w:rPr>
        <w:t>Razani, J., Kakos, B., Orieta</w:t>
      </w:r>
      <w:r w:rsidRPr="00F853DD">
        <w:rPr>
          <w:rFonts w:ascii="Cambria Math" w:eastAsia="Times New Roman" w:hAnsi="Cambria Math" w:cs="Cambria Math"/>
          <w:sz w:val="23"/>
          <w:szCs w:val="23"/>
        </w:rPr>
        <w:t>‐</w:t>
      </w:r>
      <w:r w:rsidR="00E70957" w:rsidRPr="00F853DD">
        <w:rPr>
          <w:rFonts w:ascii="Times" w:eastAsia="Times New Roman" w:hAnsi="Times" w:cs="Times New Roman"/>
          <w:sz w:val="23"/>
          <w:szCs w:val="23"/>
        </w:rPr>
        <w:t>Barbalace, C., Wong, J.</w:t>
      </w:r>
      <w:r w:rsidRPr="00F853DD">
        <w:rPr>
          <w:rFonts w:ascii="Times" w:eastAsia="Times New Roman" w:hAnsi="Times" w:cs="Times New Roman"/>
          <w:sz w:val="23"/>
          <w:szCs w:val="23"/>
        </w:rPr>
        <w:t>, Casas, R., Lu, P., Alessi, C. and Josephson, K. (2007). Predicting caregiver burden from daily functional abilities of patients with mild dementia. </w:t>
      </w:r>
      <w:r w:rsidRPr="00F853DD">
        <w:rPr>
          <w:rFonts w:ascii="Times" w:eastAsia="Times New Roman" w:hAnsi="Times" w:cs="Times New Roman"/>
          <w:i/>
          <w:iCs/>
          <w:sz w:val="23"/>
          <w:szCs w:val="23"/>
        </w:rPr>
        <w:t>Journal of the American Geriatrics Society</w:t>
      </w:r>
      <w:r w:rsidR="00E70957" w:rsidRPr="00F853DD">
        <w:rPr>
          <w:rFonts w:ascii="Times" w:eastAsia="Times New Roman" w:hAnsi="Times" w:cs="Times New Roman"/>
          <w:sz w:val="23"/>
          <w:szCs w:val="23"/>
        </w:rPr>
        <w:t>.</w:t>
      </w:r>
      <w:r w:rsidRPr="00F853DD">
        <w:rPr>
          <w:rFonts w:ascii="Times" w:eastAsia="Times New Roman" w:hAnsi="Times" w:cs="Times New Roman"/>
          <w:sz w:val="23"/>
          <w:szCs w:val="23"/>
        </w:rPr>
        <w:t> </w:t>
      </w:r>
      <w:r w:rsidRPr="00F853DD">
        <w:rPr>
          <w:rFonts w:ascii="Times" w:eastAsia="Times New Roman" w:hAnsi="Times" w:cs="Times New Roman"/>
          <w:b/>
          <w:i/>
          <w:iCs/>
          <w:sz w:val="23"/>
          <w:szCs w:val="23"/>
        </w:rPr>
        <w:t>55</w:t>
      </w:r>
      <w:r w:rsidRPr="00F853DD">
        <w:rPr>
          <w:rFonts w:ascii="Times" w:eastAsia="Times New Roman" w:hAnsi="Times" w:cs="Times New Roman"/>
          <w:sz w:val="23"/>
          <w:szCs w:val="23"/>
        </w:rPr>
        <w:t>(9), 1415-1420.</w:t>
      </w:r>
    </w:p>
    <w:p w14:paraId="56E7B127" w14:textId="6B473B5A"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 xml:space="preserve">Razavi, S. and Staab, S. (2010). Underpaid and overworked: A cross-national perspective on care workers. </w:t>
      </w:r>
      <w:r w:rsidRPr="00F853DD">
        <w:rPr>
          <w:rFonts w:ascii="Times" w:hAnsi="Times" w:cs="Times New Roman"/>
          <w:i/>
          <w:sz w:val="23"/>
          <w:szCs w:val="23"/>
          <w:lang w:val="en-TT"/>
        </w:rPr>
        <w:t>International Labour Review</w:t>
      </w:r>
      <w:r w:rsidR="00E70957" w:rsidRPr="00F853DD">
        <w:rPr>
          <w:rFonts w:ascii="Times" w:hAnsi="Times" w:cs="Times New Roman"/>
          <w:sz w:val="23"/>
          <w:szCs w:val="23"/>
          <w:lang w:val="en-TT"/>
        </w:rPr>
        <w:t>.</w:t>
      </w:r>
      <w:r w:rsidRPr="00F853DD">
        <w:rPr>
          <w:rFonts w:ascii="Times" w:hAnsi="Times" w:cs="Times New Roman"/>
          <w:sz w:val="23"/>
          <w:szCs w:val="23"/>
          <w:lang w:val="en-TT"/>
        </w:rPr>
        <w:t xml:space="preserve"> </w:t>
      </w:r>
      <w:r w:rsidRPr="00F853DD">
        <w:rPr>
          <w:rFonts w:ascii="Times" w:hAnsi="Times" w:cs="Times New Roman"/>
          <w:b/>
          <w:sz w:val="23"/>
          <w:szCs w:val="23"/>
          <w:lang w:val="en-TT"/>
        </w:rPr>
        <w:t>149</w:t>
      </w:r>
      <w:r w:rsidRPr="00F853DD">
        <w:rPr>
          <w:rFonts w:ascii="Times" w:hAnsi="Times" w:cs="Times New Roman"/>
          <w:sz w:val="23"/>
          <w:szCs w:val="23"/>
          <w:lang w:val="en-TT"/>
        </w:rPr>
        <w:t>, 407-422.</w:t>
      </w:r>
    </w:p>
    <w:p w14:paraId="11841244"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Razavi, S. and Staab, S. (2008). The social and political economy of care: contesting gender and class inequalities [online]. In: </w:t>
      </w:r>
      <w:r w:rsidRPr="00F853DD">
        <w:rPr>
          <w:rFonts w:ascii="Times" w:hAnsi="Times" w:cs="Times New Roman"/>
          <w:i/>
          <w:sz w:val="23"/>
          <w:szCs w:val="23"/>
        </w:rPr>
        <w:t>Working Paper presented at the Expert Group Meeting organized by the Division for the Advancement of Women (DAW), Genf</w:t>
      </w:r>
      <w:r w:rsidRPr="00F853DD">
        <w:rPr>
          <w:rFonts w:ascii="Times" w:hAnsi="Times" w:cs="Times New Roman"/>
          <w:sz w:val="23"/>
          <w:szCs w:val="23"/>
        </w:rPr>
        <w:t xml:space="preserve"> (Vol. 6, No. 9). [Viewed 4 July 2019]. Available from: https://www.un.org/womenwatch/daw/egm/equalsharing/EGM-ESOR-2008-BP-3%20UNRISD%20Paper.pdf. </w:t>
      </w:r>
    </w:p>
    <w:p w14:paraId="12BD802A" w14:textId="77777777"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 xml:space="preserve">Razavi, S. (2007). </w:t>
      </w:r>
      <w:r w:rsidRPr="00F853DD">
        <w:rPr>
          <w:rFonts w:ascii="Times" w:hAnsi="Times" w:cs="Times New Roman"/>
          <w:i/>
          <w:sz w:val="23"/>
          <w:szCs w:val="23"/>
        </w:rPr>
        <w:t>The political and social economy of care in a development context: Conceptual issues, research questions and policy options</w:t>
      </w:r>
      <w:r w:rsidRPr="00F853DD">
        <w:rPr>
          <w:rFonts w:ascii="Times" w:hAnsi="Times" w:cs="Times New Roman"/>
          <w:sz w:val="23"/>
          <w:szCs w:val="23"/>
        </w:rPr>
        <w:t xml:space="preserve"> (No. 3) [online]. United Nations Research Institute for Social Development. [Viewed 4 July 2019]. Available from: </w:t>
      </w:r>
      <w:hyperlink r:id="rId113">
        <w:r w:rsidRPr="00F853DD">
          <w:rPr>
            <w:rFonts w:ascii="Times" w:hAnsi="Times" w:cs="Times New Roman"/>
            <w:sz w:val="23"/>
            <w:szCs w:val="23"/>
            <w:u w:val="single"/>
          </w:rPr>
          <w:t>http://www.unrisd.org/80256B3C005BCCF9/(httpAuxPages)/2DBE6A93350A7783C12573240036D5A0/$file/Razavi-paper.pdf</w:t>
        </w:r>
      </w:hyperlink>
      <w:r w:rsidRPr="00F853DD">
        <w:rPr>
          <w:rFonts w:ascii="Times" w:hAnsi="Times" w:cs="Times New Roman"/>
          <w:sz w:val="23"/>
          <w:szCs w:val="23"/>
          <w:u w:val="single"/>
        </w:rPr>
        <w:t xml:space="preserve">.   </w:t>
      </w:r>
      <w:r w:rsidRPr="00F853DD">
        <w:rPr>
          <w:rFonts w:ascii="Times" w:hAnsi="Times" w:cs="Times New Roman"/>
          <w:sz w:val="23"/>
          <w:szCs w:val="23"/>
        </w:rPr>
        <w:t xml:space="preserve"> </w:t>
      </w:r>
    </w:p>
    <w:p w14:paraId="0AEA8D59" w14:textId="08C2F689" w:rsidR="00DF05BD" w:rsidRPr="00F853DD" w:rsidRDefault="00E7095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Rchaidia, L., De Casterle, B.</w:t>
      </w:r>
      <w:r w:rsidR="00DF05BD" w:rsidRPr="00F853DD">
        <w:rPr>
          <w:rFonts w:ascii="Times" w:hAnsi="Times" w:cs="Times New Roman"/>
          <w:sz w:val="23"/>
          <w:szCs w:val="23"/>
          <w:lang w:val="en-TT"/>
        </w:rPr>
        <w:t xml:space="preserve">, De Blaeser, L. and Gastmans, C. (2009). </w:t>
      </w:r>
      <w:r w:rsidR="00DF05BD" w:rsidRPr="00F853DD">
        <w:rPr>
          <w:rFonts w:ascii="Times" w:hAnsi="Times" w:cs="Times New Roman"/>
          <w:sz w:val="23"/>
          <w:szCs w:val="23"/>
        </w:rPr>
        <w:t xml:space="preserve">Cancer patients’ perceptions of the good nurse: A literature review. </w:t>
      </w:r>
      <w:r w:rsidR="00DF05BD" w:rsidRPr="00F853DD">
        <w:rPr>
          <w:rFonts w:ascii="Times" w:hAnsi="Times" w:cs="Times New Roman"/>
          <w:i/>
          <w:sz w:val="23"/>
          <w:szCs w:val="23"/>
        </w:rPr>
        <w:t>Nursing Ethics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DF05BD" w:rsidRPr="00F853DD">
        <w:rPr>
          <w:rFonts w:ascii="Times" w:hAnsi="Times" w:cs="Times New Roman"/>
          <w:sz w:val="23"/>
          <w:szCs w:val="23"/>
        </w:rPr>
        <w:t>, 528-542.</w:t>
      </w:r>
    </w:p>
    <w:p w14:paraId="633D4AC0" w14:textId="37E204A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Reddock, R. (ed.) (1999). </w:t>
      </w:r>
      <w:r w:rsidRPr="00F853DD">
        <w:rPr>
          <w:rFonts w:ascii="Times" w:hAnsi="Times" w:cs="Times New Roman"/>
          <w:i/>
          <w:sz w:val="23"/>
          <w:szCs w:val="23"/>
        </w:rPr>
        <w:t xml:space="preserve">Women and </w:t>
      </w:r>
      <w:r w:rsidR="00E70957" w:rsidRPr="00F853DD">
        <w:rPr>
          <w:rFonts w:ascii="Times" w:hAnsi="Times" w:cs="Times New Roman"/>
          <w:i/>
          <w:sz w:val="23"/>
          <w:szCs w:val="23"/>
        </w:rPr>
        <w:t>f</w:t>
      </w:r>
      <w:r w:rsidRPr="00F853DD">
        <w:rPr>
          <w:rFonts w:ascii="Times" w:hAnsi="Times" w:cs="Times New Roman"/>
          <w:i/>
          <w:sz w:val="23"/>
          <w:szCs w:val="23"/>
        </w:rPr>
        <w:t xml:space="preserve">amily in the Caribbean: </w:t>
      </w:r>
      <w:r w:rsidR="00E70957" w:rsidRPr="00F853DD">
        <w:rPr>
          <w:rFonts w:ascii="Times" w:hAnsi="Times" w:cs="Times New Roman"/>
          <w:i/>
          <w:sz w:val="23"/>
          <w:szCs w:val="23"/>
        </w:rPr>
        <w:t>h</w:t>
      </w:r>
      <w:r w:rsidRPr="00F853DD">
        <w:rPr>
          <w:rFonts w:ascii="Times" w:hAnsi="Times" w:cs="Times New Roman"/>
          <w:i/>
          <w:sz w:val="23"/>
          <w:szCs w:val="23"/>
        </w:rPr>
        <w:t xml:space="preserve">istorical and </w:t>
      </w:r>
      <w:r w:rsidR="00E70957" w:rsidRPr="00F853DD">
        <w:rPr>
          <w:rFonts w:ascii="Times" w:hAnsi="Times" w:cs="Times New Roman"/>
          <w:i/>
          <w:sz w:val="23"/>
          <w:szCs w:val="23"/>
        </w:rPr>
        <w:t>c</w:t>
      </w:r>
      <w:r w:rsidRPr="00F853DD">
        <w:rPr>
          <w:rFonts w:ascii="Times" w:hAnsi="Times" w:cs="Times New Roman"/>
          <w:i/>
          <w:sz w:val="23"/>
          <w:szCs w:val="23"/>
        </w:rPr>
        <w:t xml:space="preserve">ontemporary </w:t>
      </w:r>
      <w:r w:rsidR="00E70957" w:rsidRPr="00F853DD">
        <w:rPr>
          <w:rFonts w:ascii="Times" w:hAnsi="Times" w:cs="Times New Roman"/>
          <w:i/>
          <w:sz w:val="23"/>
          <w:szCs w:val="23"/>
        </w:rPr>
        <w:t>c</w:t>
      </w:r>
      <w:r w:rsidRPr="00F853DD">
        <w:rPr>
          <w:rFonts w:ascii="Times" w:hAnsi="Times" w:cs="Times New Roman"/>
          <w:i/>
          <w:sz w:val="23"/>
          <w:szCs w:val="23"/>
        </w:rPr>
        <w:t>onsiderations (</w:t>
      </w:r>
      <w:r w:rsidR="00E70957" w:rsidRPr="00F853DD">
        <w:rPr>
          <w:rFonts w:ascii="Times" w:hAnsi="Times" w:cs="Times New Roman"/>
          <w:i/>
          <w:sz w:val="23"/>
          <w:szCs w:val="23"/>
        </w:rPr>
        <w:t>w</w:t>
      </w:r>
      <w:r w:rsidRPr="00F853DD">
        <w:rPr>
          <w:rFonts w:ascii="Times" w:hAnsi="Times" w:cs="Times New Roman"/>
          <w:i/>
          <w:sz w:val="23"/>
          <w:szCs w:val="23"/>
        </w:rPr>
        <w:t xml:space="preserve">ith </w:t>
      </w:r>
      <w:r w:rsidR="00E70957" w:rsidRPr="00F853DD">
        <w:rPr>
          <w:rFonts w:ascii="Times" w:hAnsi="Times" w:cs="Times New Roman"/>
          <w:i/>
          <w:sz w:val="23"/>
          <w:szCs w:val="23"/>
        </w:rPr>
        <w:t>special r</w:t>
      </w:r>
      <w:r w:rsidRPr="00F853DD">
        <w:rPr>
          <w:rFonts w:ascii="Times" w:hAnsi="Times" w:cs="Times New Roman"/>
          <w:i/>
          <w:sz w:val="23"/>
          <w:szCs w:val="23"/>
        </w:rPr>
        <w:t>eference to Jamaica and Trinidad and Tobago</w:t>
      </w:r>
      <w:r w:rsidRPr="00F853DD">
        <w:rPr>
          <w:rFonts w:ascii="Times" w:hAnsi="Times" w:cs="Times New Roman"/>
          <w:sz w:val="23"/>
          <w:szCs w:val="23"/>
        </w:rPr>
        <w:t>). Guyana: CARICOM Secretariat.</w:t>
      </w:r>
    </w:p>
    <w:p w14:paraId="4169832A" w14:textId="3970254D"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lastRenderedPageBreak/>
        <w:t>Reid, C.</w:t>
      </w:r>
      <w:r w:rsidR="00DF05BD" w:rsidRPr="00F853DD">
        <w:rPr>
          <w:rFonts w:ascii="Times" w:hAnsi="Times" w:cs="Times New Roman"/>
          <w:sz w:val="23"/>
          <w:szCs w:val="23"/>
          <w:lang w:val="en-TT"/>
        </w:rPr>
        <w:t>, Moss, S. and Hyman, G.</w:t>
      </w:r>
      <w:r w:rsidRPr="00F853DD">
        <w:rPr>
          <w:rFonts w:ascii="Times" w:hAnsi="Times" w:cs="Times New Roman"/>
          <w:sz w:val="23"/>
          <w:szCs w:val="23"/>
          <w:lang w:val="en-TT"/>
        </w:rPr>
        <w:t>,</w:t>
      </w:r>
      <w:r w:rsidR="00DF05BD" w:rsidRPr="00F853DD">
        <w:rPr>
          <w:rFonts w:ascii="Times" w:hAnsi="Times" w:cs="Times New Roman"/>
          <w:sz w:val="23"/>
          <w:szCs w:val="23"/>
          <w:lang w:val="en-TT"/>
        </w:rPr>
        <w:t xml:space="preserve"> (2005). </w:t>
      </w:r>
      <w:r w:rsidR="00DF05BD" w:rsidRPr="00F853DD">
        <w:rPr>
          <w:rFonts w:ascii="Times" w:hAnsi="Times" w:cs="Times New Roman"/>
          <w:sz w:val="23"/>
          <w:szCs w:val="23"/>
        </w:rPr>
        <w:t xml:space="preserve">Caregiver reciprocity: </w:t>
      </w:r>
      <w:r w:rsidRPr="00F853DD">
        <w:rPr>
          <w:rFonts w:ascii="Times" w:hAnsi="Times" w:cs="Times New Roman"/>
          <w:sz w:val="23"/>
          <w:szCs w:val="23"/>
        </w:rPr>
        <w:t>t</w:t>
      </w:r>
      <w:r w:rsidR="00DF05BD" w:rsidRPr="00F853DD">
        <w:rPr>
          <w:rFonts w:ascii="Times" w:hAnsi="Times" w:cs="Times New Roman"/>
          <w:sz w:val="23"/>
          <w:szCs w:val="23"/>
        </w:rPr>
        <w:t xml:space="preserve">he effect of reciprocity, carer self-esteem and motivation on the experience of caregiver burden. </w:t>
      </w:r>
      <w:r w:rsidR="00DF05BD" w:rsidRPr="00F853DD">
        <w:rPr>
          <w:rFonts w:ascii="Times" w:hAnsi="Times" w:cs="Times New Roman"/>
          <w:i/>
          <w:sz w:val="23"/>
          <w:szCs w:val="23"/>
        </w:rPr>
        <w:t>Australian Journal of Psychology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57</w:t>
      </w:r>
      <w:r w:rsidR="00DF05BD" w:rsidRPr="00F853DD">
        <w:rPr>
          <w:rFonts w:ascii="Times" w:hAnsi="Times" w:cs="Times New Roman"/>
          <w:sz w:val="23"/>
          <w:szCs w:val="23"/>
        </w:rPr>
        <w:t>, 186-196.</w:t>
      </w:r>
    </w:p>
    <w:p w14:paraId="07D9ACD1" w14:textId="7C5CC337"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Reid, R. and Botterill, L.,</w:t>
      </w:r>
      <w:r w:rsidR="00DF05BD" w:rsidRPr="00F853DD">
        <w:rPr>
          <w:rFonts w:ascii="Times" w:hAnsi="Times" w:cs="Times New Roman"/>
          <w:sz w:val="23"/>
          <w:szCs w:val="23"/>
        </w:rPr>
        <w:t xml:space="preserve"> (2013). The </w:t>
      </w:r>
      <w:r w:rsidRPr="00F853DD">
        <w:rPr>
          <w:rFonts w:ascii="Times" w:hAnsi="Times" w:cs="Times New Roman"/>
          <w:sz w:val="23"/>
          <w:szCs w:val="23"/>
        </w:rPr>
        <w:t>m</w:t>
      </w:r>
      <w:r w:rsidR="00DF05BD" w:rsidRPr="00F853DD">
        <w:rPr>
          <w:rFonts w:ascii="Times" w:hAnsi="Times" w:cs="Times New Roman"/>
          <w:sz w:val="23"/>
          <w:szCs w:val="23"/>
        </w:rPr>
        <w:t xml:space="preserve">ultiple </w:t>
      </w:r>
      <w:r w:rsidRPr="00F853DD">
        <w:rPr>
          <w:rFonts w:ascii="Times" w:hAnsi="Times" w:cs="Times New Roman"/>
          <w:sz w:val="23"/>
          <w:szCs w:val="23"/>
        </w:rPr>
        <w:t>meanings of ‘resilience’:</w:t>
      </w:r>
      <w:r w:rsidR="00DF05BD" w:rsidRPr="00F853DD">
        <w:rPr>
          <w:rFonts w:ascii="Times" w:hAnsi="Times" w:cs="Times New Roman"/>
          <w:sz w:val="23"/>
          <w:szCs w:val="23"/>
        </w:rPr>
        <w:t xml:space="preserve"> </w:t>
      </w:r>
      <w:r w:rsidRPr="00F853DD">
        <w:rPr>
          <w:rFonts w:ascii="Times" w:hAnsi="Times" w:cs="Times New Roman"/>
          <w:sz w:val="23"/>
          <w:szCs w:val="23"/>
        </w:rPr>
        <w:t>a</w:t>
      </w:r>
      <w:r w:rsidR="00DF05BD" w:rsidRPr="00F853DD">
        <w:rPr>
          <w:rFonts w:ascii="Times" w:hAnsi="Times" w:cs="Times New Roman"/>
          <w:sz w:val="23"/>
          <w:szCs w:val="23"/>
        </w:rPr>
        <w:t xml:space="preserve">n </w:t>
      </w:r>
      <w:r w:rsidRPr="00F853DD">
        <w:rPr>
          <w:rFonts w:ascii="Times" w:hAnsi="Times" w:cs="Times New Roman"/>
          <w:sz w:val="23"/>
          <w:szCs w:val="23"/>
        </w:rPr>
        <w:t>o</w:t>
      </w:r>
      <w:r w:rsidR="00DF05BD" w:rsidRPr="00F853DD">
        <w:rPr>
          <w:rFonts w:ascii="Times" w:hAnsi="Times" w:cs="Times New Roman"/>
          <w:sz w:val="23"/>
          <w:szCs w:val="23"/>
        </w:rPr>
        <w:t xml:space="preserve">verview of the </w:t>
      </w:r>
      <w:r w:rsidRPr="00F853DD">
        <w:rPr>
          <w:rFonts w:ascii="Times" w:hAnsi="Times" w:cs="Times New Roman"/>
          <w:sz w:val="23"/>
          <w:szCs w:val="23"/>
        </w:rPr>
        <w:t>l</w:t>
      </w:r>
      <w:r w:rsidR="00DF05BD" w:rsidRPr="00F853DD">
        <w:rPr>
          <w:rFonts w:ascii="Times" w:hAnsi="Times" w:cs="Times New Roman"/>
          <w:sz w:val="23"/>
          <w:szCs w:val="23"/>
        </w:rPr>
        <w:t xml:space="preserve">iterature. </w:t>
      </w:r>
      <w:r w:rsidR="00DF05BD" w:rsidRPr="00F853DD">
        <w:rPr>
          <w:rFonts w:ascii="Times" w:hAnsi="Times" w:cs="Times New Roman"/>
          <w:i/>
          <w:sz w:val="23"/>
          <w:szCs w:val="23"/>
        </w:rPr>
        <w:t>Australian Journal of Public Administration</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72</w:t>
      </w:r>
      <w:r w:rsidR="00DF05BD" w:rsidRPr="00F853DD">
        <w:rPr>
          <w:rFonts w:ascii="Times" w:hAnsi="Times" w:cs="Times New Roman"/>
          <w:sz w:val="23"/>
          <w:szCs w:val="23"/>
        </w:rPr>
        <w:t>, 31-40.</w:t>
      </w:r>
    </w:p>
    <w:p w14:paraId="44C77723" w14:textId="53D5BAE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Reil-Held, A.</w:t>
      </w:r>
      <w:r w:rsidR="007A318B" w:rsidRPr="00F853DD">
        <w:rPr>
          <w:rFonts w:ascii="Times" w:hAnsi="Times" w:cs="Times New Roman"/>
          <w:sz w:val="23"/>
          <w:szCs w:val="23"/>
        </w:rPr>
        <w:t>,</w:t>
      </w:r>
      <w:r w:rsidRPr="00F853DD">
        <w:rPr>
          <w:rFonts w:ascii="Times" w:hAnsi="Times" w:cs="Times New Roman"/>
          <w:sz w:val="23"/>
          <w:szCs w:val="23"/>
        </w:rPr>
        <w:t xml:space="preserve"> (2005). Crowding out or crowding in? </w:t>
      </w:r>
      <w:r w:rsidRPr="00F853DD">
        <w:rPr>
          <w:rFonts w:ascii="Times" w:hAnsi="Times" w:cs="Times New Roman"/>
          <w:i/>
          <w:sz w:val="23"/>
          <w:szCs w:val="23"/>
        </w:rPr>
        <w:t>Public and Private transfers in Germany</w:t>
      </w:r>
      <w:r w:rsidR="000F33AD" w:rsidRPr="00F853DD">
        <w:rPr>
          <w:rFonts w:ascii="Times" w:hAnsi="Times" w:cs="Times New Roman"/>
          <w:i/>
          <w:sz w:val="23"/>
          <w:szCs w:val="23"/>
        </w:rPr>
        <w:t xml:space="preserve"> </w:t>
      </w:r>
      <w:r w:rsidR="000F33AD" w:rsidRPr="00F853DD">
        <w:rPr>
          <w:rFonts w:ascii="Times" w:hAnsi="Times" w:cs="Times New Roman"/>
          <w:sz w:val="23"/>
          <w:szCs w:val="23"/>
        </w:rPr>
        <w:t>[online]</w:t>
      </w:r>
      <w:r w:rsidRPr="00F853DD">
        <w:rPr>
          <w:rFonts w:ascii="Times" w:hAnsi="Times" w:cs="Times New Roman"/>
          <w:i/>
          <w:sz w:val="23"/>
          <w:szCs w:val="23"/>
        </w:rPr>
        <w:t>.</w:t>
      </w:r>
      <w:r w:rsidRPr="00F853DD">
        <w:rPr>
          <w:rFonts w:ascii="Times" w:hAnsi="Times" w:cs="Times New Roman"/>
          <w:sz w:val="23"/>
          <w:szCs w:val="23"/>
        </w:rPr>
        <w:t xml:space="preserve"> </w:t>
      </w:r>
      <w:r w:rsidR="000F33AD" w:rsidRPr="00F853DD">
        <w:t>No. 05072). Munich Center for the Economics of Aging (MEA) at the Max Planck Institute for Social Law and Social Policy.</w:t>
      </w:r>
      <w:r w:rsidR="000F33AD" w:rsidRPr="00F853DD">
        <w:rPr>
          <w:rFonts w:ascii="Times" w:hAnsi="Times" w:cs="Times New Roman"/>
          <w:sz w:val="23"/>
          <w:szCs w:val="23"/>
        </w:rPr>
        <w:t xml:space="preserve"> </w:t>
      </w:r>
      <w:r w:rsidR="000F33AD" w:rsidRPr="00F853DD">
        <w:rPr>
          <w:rFonts w:ascii="Times" w:eastAsiaTheme="minorHAnsi" w:hAnsi="Times" w:cs="Times"/>
          <w:sz w:val="23"/>
          <w:szCs w:val="23"/>
          <w:lang w:eastAsia="en-US"/>
        </w:rPr>
        <w:t xml:space="preserve">[Viewed 11 February 2018]. </w:t>
      </w:r>
      <w:r w:rsidRPr="00F853DD">
        <w:rPr>
          <w:rFonts w:ascii="Times" w:hAnsi="Times" w:cs="Times New Roman"/>
          <w:sz w:val="23"/>
          <w:szCs w:val="23"/>
        </w:rPr>
        <w:t>Available from: http://www.demoscope.ru/weekly/knigi/tours_2005/papers/iussp2005s51235.pdf.</w:t>
      </w:r>
    </w:p>
    <w:p w14:paraId="33324FCF" w14:textId="5E9D5B8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Rein,</w:t>
      </w:r>
      <w:r w:rsidR="007A318B" w:rsidRPr="00F853DD">
        <w:rPr>
          <w:rFonts w:ascii="Times" w:hAnsi="Times" w:cs="Times New Roman"/>
          <w:sz w:val="23"/>
          <w:szCs w:val="23"/>
          <w:lang w:val="de-DE"/>
        </w:rPr>
        <w:t xml:space="preserve"> M., Kãœnemund, H. and Rein, M., </w:t>
      </w:r>
      <w:r w:rsidRPr="00F853DD">
        <w:rPr>
          <w:rFonts w:ascii="Times" w:hAnsi="Times" w:cs="Times New Roman"/>
          <w:sz w:val="23"/>
          <w:szCs w:val="23"/>
          <w:lang w:val="de-DE"/>
        </w:rPr>
        <w:t xml:space="preserve">(1999). </w:t>
      </w:r>
      <w:r w:rsidRPr="00F853DD">
        <w:rPr>
          <w:rFonts w:ascii="Times" w:hAnsi="Times" w:cs="Times New Roman"/>
          <w:sz w:val="23"/>
          <w:szCs w:val="23"/>
        </w:rPr>
        <w:t xml:space="preserve">There is more to receiving than needing: theoretical arguments and empirical explorations of crowding in and crowding out. </w:t>
      </w:r>
      <w:r w:rsidRPr="00F853DD">
        <w:rPr>
          <w:rFonts w:ascii="Times" w:hAnsi="Times" w:cs="Times New Roman"/>
          <w:i/>
          <w:sz w:val="23"/>
          <w:szCs w:val="23"/>
        </w:rPr>
        <w:t>Ageing and Society</w:t>
      </w:r>
      <w:r w:rsidR="007A318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 93-121.</w:t>
      </w:r>
    </w:p>
    <w:p w14:paraId="2C2C86BA" w14:textId="6CCD439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Reinhar</w:t>
      </w:r>
      <w:r w:rsidR="007A318B" w:rsidRPr="00F853DD">
        <w:rPr>
          <w:rFonts w:ascii="Times" w:hAnsi="Times" w:cs="Times New Roman"/>
          <w:sz w:val="23"/>
          <w:szCs w:val="23"/>
        </w:rPr>
        <w:t>d, S., Given, B., Petlick, N.</w:t>
      </w:r>
      <w:r w:rsidRPr="00F853DD">
        <w:rPr>
          <w:rFonts w:ascii="Times" w:hAnsi="Times" w:cs="Times New Roman"/>
          <w:sz w:val="23"/>
          <w:szCs w:val="23"/>
        </w:rPr>
        <w:t xml:space="preserve"> and Bemis, A.</w:t>
      </w:r>
      <w:r w:rsidR="007A318B" w:rsidRPr="00F853DD">
        <w:rPr>
          <w:rFonts w:ascii="Times" w:hAnsi="Times" w:cs="Times New Roman"/>
          <w:sz w:val="23"/>
          <w:szCs w:val="23"/>
        </w:rPr>
        <w:t>,</w:t>
      </w:r>
      <w:r w:rsidRPr="00F853DD">
        <w:rPr>
          <w:rFonts w:ascii="Times" w:hAnsi="Times" w:cs="Times New Roman"/>
          <w:sz w:val="23"/>
          <w:szCs w:val="23"/>
        </w:rPr>
        <w:t xml:space="preserve"> (2008)a. Supporting </w:t>
      </w:r>
      <w:r w:rsidR="007A318B" w:rsidRPr="00F853DD">
        <w:rPr>
          <w:rFonts w:ascii="Times" w:hAnsi="Times" w:cs="Times New Roman"/>
          <w:sz w:val="23"/>
          <w:szCs w:val="23"/>
        </w:rPr>
        <w:t>f</w:t>
      </w:r>
      <w:r w:rsidRPr="00F853DD">
        <w:rPr>
          <w:rFonts w:ascii="Times" w:hAnsi="Times" w:cs="Times New Roman"/>
          <w:sz w:val="23"/>
          <w:szCs w:val="23"/>
        </w:rPr>
        <w:t xml:space="preserve">amily </w:t>
      </w:r>
      <w:r w:rsidR="007A318B" w:rsidRPr="00F853DD">
        <w:rPr>
          <w:rFonts w:ascii="Times" w:hAnsi="Times" w:cs="Times New Roman"/>
          <w:sz w:val="23"/>
          <w:szCs w:val="23"/>
        </w:rPr>
        <w:t>c</w:t>
      </w:r>
      <w:r w:rsidRPr="00F853DD">
        <w:rPr>
          <w:rFonts w:ascii="Times" w:hAnsi="Times" w:cs="Times New Roman"/>
          <w:sz w:val="23"/>
          <w:szCs w:val="23"/>
        </w:rPr>
        <w:t xml:space="preserve">aregivers in </w:t>
      </w:r>
      <w:r w:rsidR="007A318B" w:rsidRPr="00F853DD">
        <w:rPr>
          <w:rFonts w:ascii="Times" w:hAnsi="Times" w:cs="Times New Roman"/>
          <w:sz w:val="23"/>
          <w:szCs w:val="23"/>
        </w:rPr>
        <w:t>p</w:t>
      </w:r>
      <w:r w:rsidRPr="00F853DD">
        <w:rPr>
          <w:rFonts w:ascii="Times" w:hAnsi="Times" w:cs="Times New Roman"/>
          <w:sz w:val="23"/>
          <w:szCs w:val="23"/>
        </w:rPr>
        <w:t xml:space="preserve">roviding </w:t>
      </w:r>
      <w:r w:rsidR="007A318B" w:rsidRPr="00F853DD">
        <w:rPr>
          <w:rFonts w:ascii="Times" w:hAnsi="Times" w:cs="Times New Roman"/>
          <w:sz w:val="23"/>
          <w:szCs w:val="23"/>
        </w:rPr>
        <w:t>c</w:t>
      </w:r>
      <w:r w:rsidRPr="00F853DD">
        <w:rPr>
          <w:rFonts w:ascii="Times" w:hAnsi="Times" w:cs="Times New Roman"/>
          <w:sz w:val="23"/>
          <w:szCs w:val="23"/>
        </w:rPr>
        <w:t xml:space="preserve">are. In: Hughes, R. (ed.) </w:t>
      </w:r>
      <w:r w:rsidRPr="00F853DD">
        <w:rPr>
          <w:rFonts w:ascii="Times" w:hAnsi="Times" w:cs="Times New Roman"/>
          <w:i/>
          <w:sz w:val="23"/>
          <w:szCs w:val="23"/>
        </w:rPr>
        <w:t xml:space="preserve">Patient </w:t>
      </w:r>
      <w:r w:rsidR="007A318B" w:rsidRPr="00F853DD">
        <w:rPr>
          <w:rFonts w:ascii="Times" w:hAnsi="Times" w:cs="Times New Roman"/>
          <w:i/>
          <w:sz w:val="23"/>
          <w:szCs w:val="23"/>
        </w:rPr>
        <w:t>s</w:t>
      </w:r>
      <w:r w:rsidRPr="00F853DD">
        <w:rPr>
          <w:rFonts w:ascii="Times" w:hAnsi="Times" w:cs="Times New Roman"/>
          <w:i/>
          <w:sz w:val="23"/>
          <w:szCs w:val="23"/>
        </w:rPr>
        <w:t xml:space="preserve">afety and </w:t>
      </w:r>
      <w:r w:rsidR="007A318B" w:rsidRPr="00F853DD">
        <w:rPr>
          <w:rFonts w:ascii="Times" w:hAnsi="Times" w:cs="Times New Roman"/>
          <w:i/>
          <w:sz w:val="23"/>
          <w:szCs w:val="23"/>
        </w:rPr>
        <w:t>q</w:t>
      </w:r>
      <w:r w:rsidRPr="00F853DD">
        <w:rPr>
          <w:rFonts w:ascii="Times" w:hAnsi="Times" w:cs="Times New Roman"/>
          <w:i/>
          <w:sz w:val="23"/>
          <w:szCs w:val="23"/>
        </w:rPr>
        <w:t xml:space="preserve">uality: </w:t>
      </w:r>
      <w:r w:rsidR="007A318B" w:rsidRPr="00F853DD">
        <w:rPr>
          <w:rFonts w:ascii="Times" w:hAnsi="Times" w:cs="Times New Roman"/>
          <w:i/>
          <w:sz w:val="23"/>
          <w:szCs w:val="23"/>
        </w:rPr>
        <w:t>a</w:t>
      </w:r>
      <w:r w:rsidRPr="00F853DD">
        <w:rPr>
          <w:rFonts w:ascii="Times" w:hAnsi="Times" w:cs="Times New Roman"/>
          <w:i/>
          <w:sz w:val="23"/>
          <w:szCs w:val="23"/>
        </w:rPr>
        <w:t xml:space="preserve">n </w:t>
      </w:r>
      <w:r w:rsidR="007A318B" w:rsidRPr="00F853DD">
        <w:rPr>
          <w:rFonts w:ascii="Times" w:hAnsi="Times" w:cs="Times New Roman"/>
          <w:i/>
          <w:sz w:val="23"/>
          <w:szCs w:val="23"/>
        </w:rPr>
        <w:t>evidence-b</w:t>
      </w:r>
      <w:r w:rsidRPr="00F853DD">
        <w:rPr>
          <w:rFonts w:ascii="Times" w:hAnsi="Times" w:cs="Times New Roman"/>
          <w:i/>
          <w:sz w:val="23"/>
          <w:szCs w:val="23"/>
        </w:rPr>
        <w:t xml:space="preserve">ased </w:t>
      </w:r>
      <w:r w:rsidR="007A318B" w:rsidRPr="00F853DD">
        <w:rPr>
          <w:rFonts w:ascii="Times" w:hAnsi="Times" w:cs="Times New Roman"/>
          <w:i/>
          <w:sz w:val="23"/>
          <w:szCs w:val="23"/>
        </w:rPr>
        <w:t>h</w:t>
      </w:r>
      <w:r w:rsidRPr="00F853DD">
        <w:rPr>
          <w:rFonts w:ascii="Times" w:hAnsi="Times" w:cs="Times New Roman"/>
          <w:i/>
          <w:sz w:val="23"/>
          <w:szCs w:val="23"/>
        </w:rPr>
        <w:t>andbook</w:t>
      </w:r>
      <w:r w:rsidRPr="00F853DD">
        <w:rPr>
          <w:rFonts w:ascii="Times" w:hAnsi="Times" w:cs="Times New Roman"/>
          <w:sz w:val="23"/>
          <w:szCs w:val="23"/>
        </w:rPr>
        <w:t>. USA: Agency of Health Care and Quality.</w:t>
      </w:r>
    </w:p>
    <w:p w14:paraId="43394ED5" w14:textId="1F25433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Reinhard, S., Redfoot, D. and Cleary, B. (2008)b. Health and long-term care: </w:t>
      </w:r>
      <w:r w:rsidR="007A318B" w:rsidRPr="00F853DD">
        <w:rPr>
          <w:rFonts w:ascii="Times" w:hAnsi="Times" w:cs="Times New Roman"/>
          <w:sz w:val="23"/>
          <w:szCs w:val="23"/>
        </w:rPr>
        <w:t>a</w:t>
      </w:r>
      <w:r w:rsidRPr="00F853DD">
        <w:rPr>
          <w:rFonts w:ascii="Times" w:hAnsi="Times" w:cs="Times New Roman"/>
          <w:sz w:val="23"/>
          <w:szCs w:val="23"/>
        </w:rPr>
        <w:t xml:space="preserve">re immigrant workers indispensable? </w:t>
      </w:r>
      <w:r w:rsidRPr="00F853DD">
        <w:rPr>
          <w:rFonts w:ascii="Times" w:hAnsi="Times" w:cs="Times New Roman"/>
          <w:i/>
          <w:sz w:val="23"/>
          <w:szCs w:val="23"/>
        </w:rPr>
        <w:t>Generations-Journal of the American Society on Aging</w:t>
      </w:r>
      <w:r w:rsidR="007A318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32</w:t>
      </w:r>
      <w:r w:rsidRPr="00F853DD">
        <w:rPr>
          <w:rFonts w:ascii="Times" w:hAnsi="Times" w:cs="Times New Roman"/>
          <w:sz w:val="23"/>
          <w:szCs w:val="23"/>
        </w:rPr>
        <w:t>, 24-30.</w:t>
      </w:r>
    </w:p>
    <w:p w14:paraId="0892233D" w14:textId="0D501BFE"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Reinhard, S., Gubman, G., Horwitz, A.</w:t>
      </w:r>
      <w:r w:rsidR="00DF05BD" w:rsidRPr="00F853DD">
        <w:rPr>
          <w:rFonts w:ascii="Times" w:hAnsi="Times" w:cs="Times New Roman"/>
          <w:sz w:val="23"/>
          <w:szCs w:val="23"/>
        </w:rPr>
        <w:t xml:space="preserve"> and Minsky, S.</w:t>
      </w:r>
      <w:r w:rsidRPr="00F853DD">
        <w:rPr>
          <w:rFonts w:ascii="Times" w:hAnsi="Times" w:cs="Times New Roman"/>
          <w:sz w:val="23"/>
          <w:szCs w:val="23"/>
        </w:rPr>
        <w:t>,</w:t>
      </w:r>
      <w:r w:rsidR="00DF05BD" w:rsidRPr="00F853DD">
        <w:rPr>
          <w:rFonts w:ascii="Times" w:hAnsi="Times" w:cs="Times New Roman"/>
          <w:sz w:val="23"/>
          <w:szCs w:val="23"/>
        </w:rPr>
        <w:t xml:space="preserve"> (1994). Burden assessment scale for families of the seriously mentally-ill. </w:t>
      </w:r>
      <w:r w:rsidR="00DF05BD" w:rsidRPr="00F853DD">
        <w:rPr>
          <w:rFonts w:ascii="Times" w:hAnsi="Times" w:cs="Times New Roman"/>
          <w:i/>
          <w:sz w:val="23"/>
          <w:szCs w:val="23"/>
        </w:rPr>
        <w:t>Evaluation and Program Planning</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17</w:t>
      </w:r>
      <w:r w:rsidR="00DF05BD" w:rsidRPr="00F853DD">
        <w:rPr>
          <w:rFonts w:ascii="Times" w:hAnsi="Times" w:cs="Times New Roman"/>
          <w:sz w:val="23"/>
          <w:szCs w:val="23"/>
        </w:rPr>
        <w:t>, 261-269.</w:t>
      </w:r>
    </w:p>
    <w:p w14:paraId="695E972D" w14:textId="1353FBE1" w:rsidR="00DF05BD" w:rsidRPr="00F853DD" w:rsidRDefault="007A318B" w:rsidP="00E1694A">
      <w:pPr>
        <w:spacing w:line="240" w:lineRule="auto"/>
        <w:ind w:left="567" w:hanging="567"/>
        <w:rPr>
          <w:rFonts w:ascii="Times" w:hAnsi="Times" w:cs="Times New Roman"/>
          <w:sz w:val="23"/>
          <w:szCs w:val="23"/>
          <w:shd w:val="clear" w:color="auto" w:fill="FFFFFF"/>
        </w:rPr>
      </w:pPr>
      <w:r w:rsidRPr="00F853DD">
        <w:rPr>
          <w:rFonts w:ascii="Times" w:hAnsi="Times" w:cs="Times New Roman"/>
          <w:sz w:val="23"/>
          <w:szCs w:val="23"/>
          <w:shd w:val="clear" w:color="auto" w:fill="FFFFFF"/>
        </w:rPr>
        <w:t>Resnick, B., Gwyther, L. and Roberto, K.</w:t>
      </w:r>
      <w:r w:rsidR="00DF05BD" w:rsidRPr="00F853DD">
        <w:rPr>
          <w:rFonts w:ascii="Times" w:hAnsi="Times" w:cs="Times New Roman"/>
          <w:sz w:val="23"/>
          <w:szCs w:val="23"/>
          <w:shd w:val="clear" w:color="auto" w:fill="FFFFFF"/>
        </w:rPr>
        <w:t xml:space="preserve"> (eds). (2010). </w:t>
      </w:r>
      <w:r w:rsidR="00DF05BD" w:rsidRPr="00F853DD">
        <w:rPr>
          <w:rFonts w:ascii="Times" w:hAnsi="Times" w:cs="Times New Roman"/>
          <w:i/>
          <w:iCs/>
          <w:sz w:val="23"/>
          <w:szCs w:val="23"/>
          <w:shd w:val="clear" w:color="auto" w:fill="FFFFFF"/>
        </w:rPr>
        <w:t xml:space="preserve">Resilience in aging: </w:t>
      </w:r>
      <w:r w:rsidRPr="00F853DD">
        <w:rPr>
          <w:rFonts w:ascii="Times" w:hAnsi="Times" w:cs="Times New Roman"/>
          <w:i/>
          <w:iCs/>
          <w:sz w:val="23"/>
          <w:szCs w:val="23"/>
          <w:shd w:val="clear" w:color="auto" w:fill="FFFFFF"/>
        </w:rPr>
        <w:t>c</w:t>
      </w:r>
      <w:r w:rsidR="00DF05BD" w:rsidRPr="00F853DD">
        <w:rPr>
          <w:rFonts w:ascii="Times" w:hAnsi="Times" w:cs="Times New Roman"/>
          <w:i/>
          <w:iCs/>
          <w:sz w:val="23"/>
          <w:szCs w:val="23"/>
          <w:shd w:val="clear" w:color="auto" w:fill="FFFFFF"/>
        </w:rPr>
        <w:t>oncepts, research, and outcomes</w:t>
      </w:r>
      <w:r w:rsidR="00DF05BD" w:rsidRPr="00F853DD">
        <w:rPr>
          <w:rFonts w:ascii="Times" w:hAnsi="Times" w:cs="Times New Roman"/>
          <w:sz w:val="23"/>
          <w:szCs w:val="23"/>
          <w:shd w:val="clear" w:color="auto" w:fill="FFFFFF"/>
        </w:rPr>
        <w:t>. Springer Science &amp; Business Media.</w:t>
      </w:r>
    </w:p>
    <w:p w14:paraId="6CDA8624" w14:textId="5E04540E"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Reyes-Ortiz, C., Burnett, J., Flores, D., Halphen, J. and Dyer, C.,</w:t>
      </w:r>
      <w:r w:rsidR="00DF05BD" w:rsidRPr="00F853DD">
        <w:rPr>
          <w:rFonts w:ascii="Times" w:hAnsi="Times" w:cs="Times New Roman"/>
          <w:sz w:val="23"/>
          <w:szCs w:val="23"/>
        </w:rPr>
        <w:t xml:space="preserve"> (2014). Medical implications of elder abuse: </w:t>
      </w:r>
      <w:r w:rsidRPr="00F853DD">
        <w:rPr>
          <w:rFonts w:ascii="Times" w:hAnsi="Times" w:cs="Times New Roman"/>
          <w:sz w:val="23"/>
          <w:szCs w:val="23"/>
        </w:rPr>
        <w:t>s</w:t>
      </w:r>
      <w:r w:rsidR="00DF05BD" w:rsidRPr="00F853DD">
        <w:rPr>
          <w:rFonts w:ascii="Times" w:hAnsi="Times" w:cs="Times New Roman"/>
          <w:sz w:val="23"/>
          <w:szCs w:val="23"/>
        </w:rPr>
        <w:t xml:space="preserve">elf-neglect. </w:t>
      </w:r>
      <w:r w:rsidR="00DF05BD" w:rsidRPr="00F853DD">
        <w:rPr>
          <w:rFonts w:ascii="Times" w:hAnsi="Times" w:cs="Times New Roman"/>
          <w:i/>
          <w:sz w:val="23"/>
          <w:szCs w:val="23"/>
        </w:rPr>
        <w:t>Clinics in Geriatric Medicine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w:t>
      </w:r>
      <w:r w:rsidR="00DF05BD" w:rsidRPr="00F853DD">
        <w:rPr>
          <w:rFonts w:ascii="Times" w:hAnsi="Times" w:cs="Times New Roman"/>
          <w:sz w:val="23"/>
          <w:szCs w:val="23"/>
        </w:rPr>
        <w:t>, 807.</w:t>
      </w:r>
    </w:p>
    <w:p w14:paraId="16590965" w14:textId="76EEA08B"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Reyes-Ortiz, C., Ostir, G.</w:t>
      </w:r>
      <w:r w:rsidR="00DF05BD" w:rsidRPr="00F853DD">
        <w:rPr>
          <w:rFonts w:ascii="Times" w:hAnsi="Times" w:cs="Times New Roman"/>
          <w:sz w:val="23"/>
          <w:szCs w:val="23"/>
        </w:rPr>
        <w:t>, Pe</w:t>
      </w:r>
      <w:r w:rsidRPr="00F853DD">
        <w:rPr>
          <w:rFonts w:ascii="Times" w:hAnsi="Times" w:cs="Times New Roman"/>
          <w:sz w:val="23"/>
          <w:szCs w:val="23"/>
        </w:rPr>
        <w:t xml:space="preserve">laez, M. and Ottenbacher, K., </w:t>
      </w:r>
      <w:r w:rsidR="00DF05BD" w:rsidRPr="00F853DD">
        <w:rPr>
          <w:rFonts w:ascii="Times" w:hAnsi="Times" w:cs="Times New Roman"/>
          <w:sz w:val="23"/>
          <w:szCs w:val="23"/>
        </w:rPr>
        <w:t xml:space="preserve">(2006). Cross-national comparison of disability in Latin American and Caribbean persons aged 75 and older. </w:t>
      </w:r>
      <w:r w:rsidR="00DF05BD" w:rsidRPr="00F853DD">
        <w:rPr>
          <w:rFonts w:ascii="Times" w:hAnsi="Times" w:cs="Times New Roman"/>
          <w:i/>
          <w:sz w:val="23"/>
          <w:szCs w:val="23"/>
        </w:rPr>
        <w:t>Archives of Gerontology and Geriatrics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42</w:t>
      </w:r>
      <w:r w:rsidR="00DF05BD" w:rsidRPr="00F853DD">
        <w:rPr>
          <w:rFonts w:ascii="Times" w:hAnsi="Times" w:cs="Times New Roman"/>
          <w:sz w:val="23"/>
          <w:szCs w:val="23"/>
        </w:rPr>
        <w:t>, 21-33.</w:t>
      </w:r>
    </w:p>
    <w:p w14:paraId="70CA13F9" w14:textId="3B91F97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Rhee, J., Done, N. and Anderson, G.</w:t>
      </w:r>
      <w:r w:rsidR="007A318B" w:rsidRPr="00F853DD">
        <w:rPr>
          <w:rFonts w:ascii="Times" w:hAnsi="Times" w:cs="Times New Roman"/>
          <w:sz w:val="23"/>
          <w:szCs w:val="23"/>
        </w:rPr>
        <w:t>,</w:t>
      </w:r>
      <w:r w:rsidRPr="00F853DD">
        <w:rPr>
          <w:rFonts w:ascii="Times" w:hAnsi="Times" w:cs="Times New Roman"/>
          <w:sz w:val="23"/>
          <w:szCs w:val="23"/>
        </w:rPr>
        <w:t xml:space="preserve"> (2015). Considering long-term care insurance for middle-income countries: comparing South Korea with Japan and Germany. </w:t>
      </w:r>
      <w:r w:rsidRPr="00F853DD">
        <w:rPr>
          <w:rFonts w:ascii="Times" w:hAnsi="Times" w:cs="Times New Roman"/>
          <w:i/>
          <w:sz w:val="23"/>
          <w:szCs w:val="23"/>
        </w:rPr>
        <w:t>Health policy</w:t>
      </w:r>
      <w:r w:rsidRPr="00F853DD">
        <w:rPr>
          <w:rFonts w:ascii="Times" w:hAnsi="Times" w:cs="Times New Roman"/>
          <w:sz w:val="23"/>
          <w:szCs w:val="23"/>
        </w:rPr>
        <w:t xml:space="preserve">, </w:t>
      </w:r>
      <w:r w:rsidRPr="00F853DD">
        <w:rPr>
          <w:rFonts w:ascii="Times" w:hAnsi="Times" w:cs="Times New Roman"/>
          <w:b/>
          <w:sz w:val="23"/>
          <w:szCs w:val="23"/>
        </w:rPr>
        <w:t>119</w:t>
      </w:r>
      <w:r w:rsidRPr="00F853DD">
        <w:rPr>
          <w:rFonts w:ascii="Times" w:hAnsi="Times" w:cs="Times New Roman"/>
          <w:sz w:val="23"/>
          <w:szCs w:val="23"/>
        </w:rPr>
        <w:t>(10), 1319-1329.</w:t>
      </w:r>
    </w:p>
    <w:p w14:paraId="136D1EB6" w14:textId="3371A85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Rhys-Taylor, A.</w:t>
      </w:r>
      <w:r w:rsidR="007A318B" w:rsidRPr="00F853DD">
        <w:rPr>
          <w:rFonts w:ascii="Times" w:hAnsi="Times" w:cs="Times New Roman"/>
          <w:sz w:val="23"/>
          <w:szCs w:val="23"/>
        </w:rPr>
        <w:t>,</w:t>
      </w:r>
      <w:r w:rsidRPr="00F853DD">
        <w:rPr>
          <w:rFonts w:ascii="Times" w:hAnsi="Times" w:cs="Times New Roman"/>
          <w:sz w:val="23"/>
          <w:szCs w:val="23"/>
        </w:rPr>
        <w:t xml:space="preserve"> (2013). Developing a </w:t>
      </w:r>
      <w:r w:rsidR="007A318B" w:rsidRPr="00F853DD">
        <w:rPr>
          <w:rFonts w:ascii="Times" w:hAnsi="Times" w:cs="Times New Roman"/>
          <w:sz w:val="23"/>
          <w:szCs w:val="23"/>
        </w:rPr>
        <w:t>s</w:t>
      </w:r>
      <w:r w:rsidRPr="00F853DD">
        <w:rPr>
          <w:rFonts w:ascii="Times" w:hAnsi="Times" w:cs="Times New Roman"/>
          <w:sz w:val="23"/>
          <w:szCs w:val="23"/>
        </w:rPr>
        <w:t xml:space="preserve">ociology of the </w:t>
      </w:r>
      <w:r w:rsidR="007A318B" w:rsidRPr="00F853DD">
        <w:rPr>
          <w:rFonts w:ascii="Times" w:hAnsi="Times" w:cs="Times New Roman"/>
          <w:sz w:val="23"/>
          <w:szCs w:val="23"/>
        </w:rPr>
        <w:t>s</w:t>
      </w:r>
      <w:r w:rsidRPr="00F853DD">
        <w:rPr>
          <w:rFonts w:ascii="Times" w:hAnsi="Times" w:cs="Times New Roman"/>
          <w:sz w:val="23"/>
          <w:szCs w:val="23"/>
        </w:rPr>
        <w:t xml:space="preserve">enses. </w:t>
      </w:r>
      <w:r w:rsidRPr="00F853DD">
        <w:rPr>
          <w:rFonts w:ascii="Times" w:hAnsi="Times" w:cs="Times New Roman"/>
          <w:i/>
          <w:sz w:val="23"/>
          <w:szCs w:val="23"/>
        </w:rPr>
        <w:t>The Senses and Society</w:t>
      </w:r>
      <w:r w:rsidR="007A318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8</w:t>
      </w:r>
      <w:r w:rsidRPr="00F853DD">
        <w:rPr>
          <w:rFonts w:ascii="Times" w:hAnsi="Times" w:cs="Times New Roman"/>
          <w:sz w:val="23"/>
          <w:szCs w:val="23"/>
        </w:rPr>
        <w:t>, 362-364.</w:t>
      </w:r>
    </w:p>
    <w:p w14:paraId="5C3FEB21" w14:textId="0E38C88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Richards, L.</w:t>
      </w:r>
      <w:r w:rsidR="007A318B" w:rsidRPr="00F853DD">
        <w:rPr>
          <w:rFonts w:ascii="Times" w:hAnsi="Times" w:cs="Times New Roman"/>
          <w:sz w:val="23"/>
          <w:szCs w:val="23"/>
        </w:rPr>
        <w:t>,</w:t>
      </w:r>
      <w:r w:rsidRPr="00F853DD">
        <w:rPr>
          <w:rFonts w:ascii="Times" w:hAnsi="Times" w:cs="Times New Roman"/>
          <w:sz w:val="23"/>
          <w:szCs w:val="23"/>
        </w:rPr>
        <w:t xml:space="preserve"> (2016). For whom money matters less: Social connectedness as a resilience resource in the UK. </w:t>
      </w:r>
      <w:r w:rsidRPr="00F853DD">
        <w:rPr>
          <w:rFonts w:ascii="Times" w:hAnsi="Times" w:cs="Times New Roman"/>
          <w:i/>
          <w:sz w:val="23"/>
          <w:szCs w:val="23"/>
        </w:rPr>
        <w:t>Social Indicators Research</w:t>
      </w:r>
      <w:r w:rsidRPr="00F853DD">
        <w:rPr>
          <w:rFonts w:ascii="Times" w:hAnsi="Times" w:cs="Times New Roman"/>
          <w:sz w:val="23"/>
          <w:szCs w:val="23"/>
        </w:rPr>
        <w:t xml:space="preserve">, </w:t>
      </w:r>
      <w:r w:rsidRPr="00F853DD">
        <w:rPr>
          <w:rFonts w:ascii="Times" w:hAnsi="Times" w:cs="Times New Roman"/>
          <w:b/>
          <w:sz w:val="23"/>
          <w:szCs w:val="23"/>
        </w:rPr>
        <w:t>125</w:t>
      </w:r>
      <w:r w:rsidRPr="00F853DD">
        <w:rPr>
          <w:rFonts w:ascii="Times" w:hAnsi="Times" w:cs="Times New Roman"/>
          <w:sz w:val="23"/>
          <w:szCs w:val="23"/>
        </w:rPr>
        <w:t>, 509-535.</w:t>
      </w:r>
    </w:p>
    <w:p w14:paraId="1B2C47FA" w14:textId="01D55E4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Richardson, G. E. (2002). The metatheory of resilience and resiliency. </w:t>
      </w:r>
      <w:r w:rsidRPr="00F853DD">
        <w:rPr>
          <w:rFonts w:ascii="Times" w:hAnsi="Times" w:cs="Times New Roman"/>
          <w:i/>
          <w:sz w:val="23"/>
          <w:szCs w:val="23"/>
        </w:rPr>
        <w:t>Journal of Clinical Psychology</w:t>
      </w:r>
      <w:r w:rsidR="007A318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58</w:t>
      </w:r>
      <w:r w:rsidRPr="00F853DD">
        <w:rPr>
          <w:rFonts w:ascii="Times" w:hAnsi="Times" w:cs="Times New Roman"/>
          <w:sz w:val="23"/>
          <w:szCs w:val="23"/>
        </w:rPr>
        <w:t>, 307-321.</w:t>
      </w:r>
    </w:p>
    <w:p w14:paraId="0CD20662" w14:textId="36385173"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Riley, L. and Bowen, C.</w:t>
      </w:r>
      <w:r w:rsidR="007A318B" w:rsidRPr="00F853DD">
        <w:rPr>
          <w:rFonts w:ascii="Times" w:hAnsi="Times" w:cs="Times New Roman"/>
          <w:sz w:val="23"/>
          <w:szCs w:val="23"/>
        </w:rPr>
        <w:t>,</w:t>
      </w:r>
      <w:r w:rsidRPr="00F853DD">
        <w:rPr>
          <w:rFonts w:ascii="Times" w:hAnsi="Times" w:cs="Times New Roman"/>
          <w:sz w:val="23"/>
          <w:szCs w:val="23"/>
        </w:rPr>
        <w:t xml:space="preserve"> (2005). The sandwich generation: </w:t>
      </w:r>
      <w:r w:rsidR="007A318B" w:rsidRPr="00F853DD">
        <w:rPr>
          <w:rFonts w:ascii="Times" w:hAnsi="Times" w:cs="Times New Roman"/>
          <w:sz w:val="23"/>
          <w:szCs w:val="23"/>
        </w:rPr>
        <w:t>c</w:t>
      </w:r>
      <w:r w:rsidRPr="00F853DD">
        <w:rPr>
          <w:rFonts w:ascii="Times" w:hAnsi="Times" w:cs="Times New Roman"/>
          <w:sz w:val="23"/>
          <w:szCs w:val="23"/>
        </w:rPr>
        <w:t xml:space="preserve">hallenges and coping strategies of multigenerational families. </w:t>
      </w:r>
      <w:r w:rsidRPr="00F853DD">
        <w:rPr>
          <w:rFonts w:ascii="Times" w:hAnsi="Times" w:cs="Times New Roman"/>
          <w:i/>
          <w:sz w:val="23"/>
          <w:szCs w:val="23"/>
        </w:rPr>
        <w:t>The Family Journal</w:t>
      </w:r>
      <w:r w:rsidR="007A318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Pr="00F853DD">
        <w:rPr>
          <w:rFonts w:ascii="Times" w:hAnsi="Times" w:cs="Times New Roman"/>
          <w:sz w:val="23"/>
          <w:szCs w:val="23"/>
        </w:rPr>
        <w:t>(1), 52-58.</w:t>
      </w:r>
    </w:p>
    <w:p w14:paraId="704B98CB" w14:textId="2999783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Ritzer, G.</w:t>
      </w:r>
      <w:r w:rsidR="007A318B" w:rsidRPr="00F853DD">
        <w:rPr>
          <w:rFonts w:ascii="Times" w:hAnsi="Times" w:cs="Times New Roman"/>
          <w:sz w:val="23"/>
          <w:szCs w:val="23"/>
        </w:rPr>
        <w:t>,</w:t>
      </w:r>
      <w:r w:rsidRPr="00F853DD">
        <w:rPr>
          <w:rFonts w:ascii="Times" w:hAnsi="Times" w:cs="Times New Roman"/>
          <w:sz w:val="23"/>
          <w:szCs w:val="23"/>
        </w:rPr>
        <w:t xml:space="preserve"> (2007). </w:t>
      </w:r>
      <w:r w:rsidRPr="00F853DD">
        <w:rPr>
          <w:rFonts w:ascii="Times" w:hAnsi="Times" w:cs="Times New Roman"/>
          <w:i/>
          <w:sz w:val="23"/>
          <w:szCs w:val="23"/>
        </w:rPr>
        <w:t>The Blackwell encyclopedia of sociology</w:t>
      </w:r>
      <w:r w:rsidRPr="00F853DD">
        <w:rPr>
          <w:rFonts w:ascii="Times" w:hAnsi="Times" w:cs="Times New Roman"/>
          <w:sz w:val="23"/>
          <w:szCs w:val="23"/>
        </w:rPr>
        <w:t>. Malden, MA: Blackwell Publishing.</w:t>
      </w:r>
    </w:p>
    <w:p w14:paraId="1F31909F" w14:textId="01A01243" w:rsidR="00DF05BD" w:rsidRPr="00F853DD" w:rsidRDefault="007A318B"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t>Roberto, K.</w:t>
      </w:r>
      <w:r w:rsidR="00DF05BD" w:rsidRPr="00F853DD">
        <w:rPr>
          <w:rFonts w:ascii="Times" w:hAnsi="Times" w:cs="Times New Roman"/>
          <w:sz w:val="23"/>
          <w:szCs w:val="23"/>
        </w:rPr>
        <w:t xml:space="preserve"> and Blieszner, R.</w:t>
      </w:r>
      <w:r w:rsidRPr="00F853DD">
        <w:rPr>
          <w:rFonts w:ascii="Times" w:hAnsi="Times" w:cs="Times New Roman"/>
          <w:sz w:val="23"/>
          <w:szCs w:val="23"/>
        </w:rPr>
        <w:t>,</w:t>
      </w:r>
      <w:r w:rsidR="00DF05BD" w:rsidRPr="00F853DD">
        <w:rPr>
          <w:rFonts w:ascii="Times" w:hAnsi="Times" w:cs="Times New Roman"/>
          <w:sz w:val="23"/>
          <w:szCs w:val="23"/>
        </w:rPr>
        <w:t xml:space="preserve"> (2015). Diverse family structures and the care of older persons. </w:t>
      </w:r>
      <w:r w:rsidR="00DF05BD" w:rsidRPr="00F853DD">
        <w:rPr>
          <w:rFonts w:ascii="Times" w:hAnsi="Times" w:cs="Times New Roman"/>
          <w:i/>
          <w:sz w:val="23"/>
          <w:szCs w:val="23"/>
          <w:lang w:val="fr-FR"/>
        </w:rPr>
        <w:t>Canadian Journal on Aging-Revue Canadienne Du Vieillissement</w:t>
      </w:r>
      <w:r w:rsidR="00DF05BD" w:rsidRPr="00F853DD">
        <w:rPr>
          <w:rFonts w:ascii="Times" w:hAnsi="Times" w:cs="Times New Roman"/>
          <w:sz w:val="23"/>
          <w:szCs w:val="23"/>
          <w:lang w:val="fr-FR"/>
        </w:rPr>
        <w:t>, 34, 305-320.</w:t>
      </w:r>
    </w:p>
    <w:p w14:paraId="4B85D464" w14:textId="47B45196"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fr-FR"/>
        </w:rPr>
        <w:t>Roberto, K., Blieszner, R. and Allen, K.,</w:t>
      </w:r>
      <w:r w:rsidR="00DF05BD" w:rsidRPr="00F853DD">
        <w:rPr>
          <w:rFonts w:ascii="Times" w:hAnsi="Times" w:cs="Times New Roman"/>
          <w:sz w:val="23"/>
          <w:szCs w:val="23"/>
          <w:lang w:val="fr-FR"/>
        </w:rPr>
        <w:t xml:space="preserve"> (2006). </w:t>
      </w:r>
      <w:r w:rsidR="00DF05BD" w:rsidRPr="00F853DD">
        <w:rPr>
          <w:rFonts w:ascii="Times" w:hAnsi="Times" w:cs="Times New Roman"/>
          <w:sz w:val="23"/>
          <w:szCs w:val="23"/>
        </w:rPr>
        <w:t xml:space="preserve">Theorizing in family gerontology: </w:t>
      </w:r>
      <w:r w:rsidRPr="00F853DD">
        <w:rPr>
          <w:rFonts w:ascii="Times" w:hAnsi="Times" w:cs="Times New Roman"/>
          <w:sz w:val="23"/>
          <w:szCs w:val="23"/>
        </w:rPr>
        <w:t>n</w:t>
      </w:r>
      <w:r w:rsidR="00DF05BD" w:rsidRPr="00F853DD">
        <w:rPr>
          <w:rFonts w:ascii="Times" w:hAnsi="Times" w:cs="Times New Roman"/>
          <w:sz w:val="23"/>
          <w:szCs w:val="23"/>
        </w:rPr>
        <w:t xml:space="preserve">ew opportunities for research and practice. </w:t>
      </w:r>
      <w:r w:rsidR="00DF05BD" w:rsidRPr="00F853DD">
        <w:rPr>
          <w:rFonts w:ascii="Times" w:hAnsi="Times" w:cs="Times New Roman"/>
          <w:i/>
          <w:sz w:val="23"/>
          <w:szCs w:val="23"/>
        </w:rPr>
        <w:t>Family Relations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55</w:t>
      </w:r>
      <w:r w:rsidR="00DF05BD" w:rsidRPr="00F853DD">
        <w:rPr>
          <w:rFonts w:ascii="Times" w:hAnsi="Times" w:cs="Times New Roman"/>
          <w:sz w:val="23"/>
          <w:szCs w:val="23"/>
        </w:rPr>
        <w:t>, 513-525.</w:t>
      </w:r>
    </w:p>
    <w:p w14:paraId="6831D5BF" w14:textId="3A281BB0"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Roberto, K., Blieszner, R., McCann, B. and McPherson, M.,</w:t>
      </w:r>
      <w:r w:rsidR="00DF05BD" w:rsidRPr="00F853DD">
        <w:rPr>
          <w:rFonts w:ascii="Times" w:hAnsi="Times" w:cs="Times New Roman"/>
          <w:sz w:val="23"/>
          <w:szCs w:val="23"/>
        </w:rPr>
        <w:t xml:space="preserve"> (2011). Family triad perceptions of mild cognitive impairment. </w:t>
      </w:r>
      <w:r w:rsidR="00DF05BD" w:rsidRPr="00F853DD">
        <w:rPr>
          <w:rFonts w:ascii="Times" w:hAnsi="Times" w:cs="Times New Roman"/>
          <w:i/>
          <w:sz w:val="23"/>
          <w:szCs w:val="23"/>
        </w:rPr>
        <w:t>Journals of Gerontology Series B-Psychological Sciences and Social Sciences</w:t>
      </w:r>
      <w:r w:rsidR="00DF05BD" w:rsidRPr="00F853DD">
        <w:rPr>
          <w:rFonts w:ascii="Times" w:hAnsi="Times" w:cs="Times New Roman"/>
          <w:sz w:val="23"/>
          <w:szCs w:val="23"/>
        </w:rPr>
        <w:t xml:space="preserve">, </w:t>
      </w:r>
      <w:r w:rsidR="00DF05BD" w:rsidRPr="00F853DD">
        <w:rPr>
          <w:rFonts w:ascii="Times" w:hAnsi="Times" w:cs="Times New Roman"/>
          <w:b/>
          <w:sz w:val="23"/>
          <w:szCs w:val="23"/>
        </w:rPr>
        <w:t>66</w:t>
      </w:r>
      <w:r w:rsidR="00DF05BD" w:rsidRPr="00F853DD">
        <w:rPr>
          <w:rFonts w:ascii="Times" w:hAnsi="Times" w:cs="Times New Roman"/>
          <w:sz w:val="23"/>
          <w:szCs w:val="23"/>
        </w:rPr>
        <w:t>, 756-768.</w:t>
      </w:r>
    </w:p>
    <w:p w14:paraId="5AE1DCEC" w14:textId="4C27D55B"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Roberto, K. and Jarrott, S</w:t>
      </w:r>
      <w:r w:rsidR="00DF05BD" w:rsidRPr="00F853DD">
        <w:rPr>
          <w:rFonts w:ascii="Times" w:hAnsi="Times" w:cs="Times New Roman"/>
          <w:sz w:val="23"/>
          <w:szCs w:val="23"/>
          <w:lang w:val="en-TT"/>
        </w:rPr>
        <w:t>.</w:t>
      </w:r>
      <w:r w:rsidRPr="00F853DD">
        <w:rPr>
          <w:rFonts w:ascii="Times" w:hAnsi="Times" w:cs="Times New Roman"/>
          <w:sz w:val="23"/>
          <w:szCs w:val="23"/>
          <w:lang w:val="en-TT"/>
        </w:rPr>
        <w:t>,</w:t>
      </w:r>
      <w:r w:rsidR="00DF05BD" w:rsidRPr="00F853DD">
        <w:rPr>
          <w:rFonts w:ascii="Times" w:hAnsi="Times" w:cs="Times New Roman"/>
          <w:sz w:val="23"/>
          <w:szCs w:val="23"/>
          <w:lang w:val="en-TT"/>
        </w:rPr>
        <w:t xml:space="preserve"> (2008). </w:t>
      </w:r>
      <w:r w:rsidR="00DF05BD" w:rsidRPr="00F853DD">
        <w:rPr>
          <w:rFonts w:ascii="Times" w:hAnsi="Times" w:cs="Times New Roman"/>
          <w:sz w:val="23"/>
          <w:szCs w:val="23"/>
        </w:rPr>
        <w:t xml:space="preserve">Family caregivers of older adults: </w:t>
      </w:r>
      <w:r w:rsidRPr="00F853DD">
        <w:rPr>
          <w:rFonts w:ascii="Times" w:hAnsi="Times" w:cs="Times New Roman"/>
          <w:sz w:val="23"/>
          <w:szCs w:val="23"/>
        </w:rPr>
        <w:t>a</w:t>
      </w:r>
      <w:r w:rsidR="00DF05BD" w:rsidRPr="00F853DD">
        <w:rPr>
          <w:rFonts w:ascii="Times" w:hAnsi="Times" w:cs="Times New Roman"/>
          <w:sz w:val="23"/>
          <w:szCs w:val="23"/>
        </w:rPr>
        <w:t xml:space="preserve"> life span perspective. </w:t>
      </w:r>
      <w:r w:rsidR="00DF05BD" w:rsidRPr="00F853DD">
        <w:rPr>
          <w:rFonts w:ascii="Times" w:hAnsi="Times" w:cs="Times New Roman"/>
          <w:i/>
          <w:sz w:val="23"/>
          <w:szCs w:val="23"/>
        </w:rPr>
        <w:t>Family Relations</w:t>
      </w:r>
      <w:r w:rsidR="00DF05BD" w:rsidRPr="00F853DD">
        <w:rPr>
          <w:rFonts w:ascii="Times" w:hAnsi="Times" w:cs="Times New Roman"/>
          <w:sz w:val="23"/>
          <w:szCs w:val="23"/>
        </w:rPr>
        <w:t xml:space="preserve">, </w:t>
      </w:r>
      <w:r w:rsidR="00DF05BD" w:rsidRPr="00F853DD">
        <w:rPr>
          <w:rFonts w:ascii="Times" w:hAnsi="Times" w:cs="Times New Roman"/>
          <w:b/>
          <w:sz w:val="23"/>
          <w:szCs w:val="23"/>
        </w:rPr>
        <w:t>57</w:t>
      </w:r>
      <w:r w:rsidR="00DF05BD" w:rsidRPr="00F853DD">
        <w:rPr>
          <w:rFonts w:ascii="Times" w:hAnsi="Times" w:cs="Times New Roman"/>
          <w:sz w:val="23"/>
          <w:szCs w:val="23"/>
        </w:rPr>
        <w:t>, 100-111.</w:t>
      </w:r>
    </w:p>
    <w:p w14:paraId="25E53017" w14:textId="1D67CB72"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Roberto, K., McCann, B.</w:t>
      </w:r>
      <w:r w:rsidR="00DF05BD" w:rsidRPr="00F853DD">
        <w:rPr>
          <w:rFonts w:ascii="Times" w:hAnsi="Times" w:cs="Times New Roman"/>
          <w:sz w:val="23"/>
          <w:szCs w:val="23"/>
        </w:rPr>
        <w:t xml:space="preserve"> and Blieszner, R.</w:t>
      </w:r>
      <w:r w:rsidRPr="00F853DD">
        <w:rPr>
          <w:rFonts w:ascii="Times" w:hAnsi="Times" w:cs="Times New Roman"/>
          <w:sz w:val="23"/>
          <w:szCs w:val="23"/>
        </w:rPr>
        <w:t>,</w:t>
      </w:r>
      <w:r w:rsidR="00DF05BD" w:rsidRPr="00F853DD">
        <w:rPr>
          <w:rFonts w:ascii="Times" w:hAnsi="Times" w:cs="Times New Roman"/>
          <w:sz w:val="23"/>
          <w:szCs w:val="23"/>
        </w:rPr>
        <w:t xml:space="preserve"> (2013). Trajectories of care: Spouses coping with changes related to mild cognitive impairment. </w:t>
      </w:r>
      <w:r w:rsidR="00DF05BD" w:rsidRPr="00F853DD">
        <w:rPr>
          <w:rFonts w:ascii="Times" w:hAnsi="Times" w:cs="Times New Roman"/>
          <w:i/>
          <w:sz w:val="23"/>
          <w:szCs w:val="23"/>
        </w:rPr>
        <w:t>Dementia-International Journal of Social Research and Practice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12</w:t>
      </w:r>
      <w:r w:rsidR="00DF05BD" w:rsidRPr="00F853DD">
        <w:rPr>
          <w:rFonts w:ascii="Times" w:hAnsi="Times" w:cs="Times New Roman"/>
          <w:sz w:val="23"/>
          <w:szCs w:val="23"/>
        </w:rPr>
        <w:t>, 45-62.</w:t>
      </w:r>
    </w:p>
    <w:p w14:paraId="64729A7A" w14:textId="2C86656E"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Roberto, K.,</w:t>
      </w:r>
      <w:r w:rsidR="00DF05BD" w:rsidRPr="00F853DD">
        <w:rPr>
          <w:rFonts w:ascii="Times" w:hAnsi="Times" w:cs="Times New Roman"/>
          <w:sz w:val="23"/>
          <w:szCs w:val="23"/>
        </w:rPr>
        <w:t xml:space="preserve"> (ed.) </w:t>
      </w:r>
      <w:r w:rsidR="00DF05BD" w:rsidRPr="00F853DD">
        <w:rPr>
          <w:rFonts w:ascii="Times" w:hAnsi="Times" w:cs="Times New Roman"/>
          <w:i/>
          <w:sz w:val="23"/>
          <w:szCs w:val="23"/>
        </w:rPr>
        <w:t xml:space="preserve">Resilience in </w:t>
      </w:r>
      <w:r w:rsidRPr="00F853DD">
        <w:rPr>
          <w:rFonts w:ascii="Times" w:hAnsi="Times" w:cs="Times New Roman"/>
          <w:i/>
          <w:sz w:val="23"/>
          <w:szCs w:val="23"/>
        </w:rPr>
        <w:t>a</w:t>
      </w:r>
      <w:r w:rsidR="00DF05BD" w:rsidRPr="00F853DD">
        <w:rPr>
          <w:rFonts w:ascii="Times" w:hAnsi="Times" w:cs="Times New Roman"/>
          <w:i/>
          <w:sz w:val="23"/>
          <w:szCs w:val="23"/>
        </w:rPr>
        <w:t xml:space="preserve">ging: </w:t>
      </w:r>
      <w:r w:rsidRPr="00F853DD">
        <w:rPr>
          <w:rFonts w:ascii="Times" w:hAnsi="Times" w:cs="Times New Roman"/>
          <w:i/>
          <w:sz w:val="23"/>
          <w:szCs w:val="23"/>
        </w:rPr>
        <w:t>c</w:t>
      </w:r>
      <w:r w:rsidR="00DF05BD" w:rsidRPr="00F853DD">
        <w:rPr>
          <w:rFonts w:ascii="Times" w:hAnsi="Times" w:cs="Times New Roman"/>
          <w:i/>
          <w:sz w:val="23"/>
          <w:szCs w:val="23"/>
        </w:rPr>
        <w:t xml:space="preserve">oncepts, </w:t>
      </w:r>
      <w:r w:rsidRPr="00F853DD">
        <w:rPr>
          <w:rFonts w:ascii="Times" w:hAnsi="Times" w:cs="Times New Roman"/>
          <w:i/>
          <w:sz w:val="23"/>
          <w:szCs w:val="23"/>
        </w:rPr>
        <w:t>r</w:t>
      </w:r>
      <w:r w:rsidR="00DF05BD" w:rsidRPr="00F853DD">
        <w:rPr>
          <w:rFonts w:ascii="Times" w:hAnsi="Times" w:cs="Times New Roman"/>
          <w:i/>
          <w:sz w:val="23"/>
          <w:szCs w:val="23"/>
        </w:rPr>
        <w:t xml:space="preserve">esearch, and </w:t>
      </w:r>
      <w:r w:rsidRPr="00F853DD">
        <w:rPr>
          <w:rFonts w:ascii="Times" w:hAnsi="Times" w:cs="Times New Roman"/>
          <w:i/>
          <w:sz w:val="23"/>
          <w:szCs w:val="23"/>
        </w:rPr>
        <w:t>o</w:t>
      </w:r>
      <w:r w:rsidR="00DF05BD" w:rsidRPr="00F853DD">
        <w:rPr>
          <w:rFonts w:ascii="Times" w:hAnsi="Times" w:cs="Times New Roman"/>
          <w:i/>
          <w:sz w:val="23"/>
          <w:szCs w:val="23"/>
        </w:rPr>
        <w:t>utcomes</w:t>
      </w:r>
      <w:r w:rsidR="00DF05BD" w:rsidRPr="00F853DD">
        <w:rPr>
          <w:rFonts w:ascii="Times" w:hAnsi="Times" w:cs="Times New Roman"/>
          <w:sz w:val="23"/>
          <w:szCs w:val="23"/>
        </w:rPr>
        <w:t xml:space="preserve">. New York: Springer. </w:t>
      </w:r>
    </w:p>
    <w:p w14:paraId="1B9D1609" w14:textId="2937C3D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w:t>
      </w:r>
      <w:r w:rsidR="007A318B" w:rsidRPr="00F853DD">
        <w:rPr>
          <w:rFonts w:ascii="Times" w:hAnsi="Times" w:cs="Times New Roman"/>
          <w:sz w:val="23"/>
          <w:szCs w:val="23"/>
        </w:rPr>
        <w:t>obertson, I. and Cooper, C.,</w:t>
      </w:r>
      <w:r w:rsidRPr="00F853DD">
        <w:rPr>
          <w:rFonts w:ascii="Times" w:hAnsi="Times" w:cs="Times New Roman"/>
          <w:sz w:val="23"/>
          <w:szCs w:val="23"/>
        </w:rPr>
        <w:t xml:space="preserve"> (2013). Resilience. </w:t>
      </w:r>
      <w:r w:rsidRPr="00F853DD">
        <w:rPr>
          <w:rFonts w:ascii="Times" w:hAnsi="Times" w:cs="Times New Roman"/>
          <w:i/>
          <w:sz w:val="23"/>
          <w:szCs w:val="23"/>
        </w:rPr>
        <w:t>Stress and health</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175-176.</w:t>
      </w:r>
    </w:p>
    <w:p w14:paraId="74631755" w14:textId="57D87424" w:rsidR="00DF05BD" w:rsidRPr="00F853DD" w:rsidRDefault="007A318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Robinson, D.</w:t>
      </w:r>
      <w:r w:rsidR="00DF05BD" w:rsidRPr="00F853DD">
        <w:rPr>
          <w:rFonts w:ascii="Times" w:hAnsi="Times" w:cs="Times New Roman"/>
          <w:sz w:val="23"/>
          <w:szCs w:val="23"/>
        </w:rPr>
        <w:t xml:space="preserve"> (1997). Family stress theory: implications for family health. </w:t>
      </w:r>
      <w:r w:rsidR="00DF05BD" w:rsidRPr="00F853DD">
        <w:rPr>
          <w:rFonts w:ascii="Times" w:hAnsi="Times" w:cs="Times New Roman"/>
          <w:i/>
          <w:sz w:val="23"/>
          <w:szCs w:val="23"/>
        </w:rPr>
        <w:t>Journal of the American Academy of Nurse Practitioners</w:t>
      </w:r>
      <w:r w:rsidR="00DF05BD" w:rsidRPr="00F853DD">
        <w:rPr>
          <w:rFonts w:ascii="Times" w:hAnsi="Times" w:cs="Times New Roman"/>
          <w:sz w:val="23"/>
          <w:szCs w:val="23"/>
        </w:rPr>
        <w:t xml:space="preserve">, </w:t>
      </w:r>
      <w:r w:rsidR="00DF05BD" w:rsidRPr="00F853DD">
        <w:rPr>
          <w:rFonts w:ascii="Times" w:hAnsi="Times" w:cs="Times New Roman"/>
          <w:b/>
          <w:sz w:val="23"/>
          <w:szCs w:val="23"/>
        </w:rPr>
        <w:t>9</w:t>
      </w:r>
      <w:r w:rsidR="00DF05BD" w:rsidRPr="00F853DD">
        <w:rPr>
          <w:rFonts w:ascii="Times" w:hAnsi="Times" w:cs="Times New Roman"/>
          <w:sz w:val="23"/>
          <w:szCs w:val="23"/>
        </w:rPr>
        <w:t>, 17-23.</w:t>
      </w:r>
    </w:p>
    <w:p w14:paraId="1882FD56" w14:textId="4E360777" w:rsidR="00DF05BD" w:rsidRPr="00F853DD" w:rsidRDefault="00A56993"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Robinson, K.,</w:t>
      </w:r>
      <w:r w:rsidR="00DF05BD" w:rsidRPr="00F853DD">
        <w:rPr>
          <w:rFonts w:ascii="Times" w:hAnsi="Times" w:cs="Times New Roman"/>
          <w:sz w:val="23"/>
          <w:szCs w:val="23"/>
        </w:rPr>
        <w:t xml:space="preserve"> (2014). The state of family caregiving: </w:t>
      </w:r>
      <w:r w:rsidRPr="00F853DD">
        <w:rPr>
          <w:rFonts w:ascii="Times" w:hAnsi="Times" w:cs="Times New Roman"/>
          <w:sz w:val="23"/>
          <w:szCs w:val="23"/>
        </w:rPr>
        <w:t>a</w:t>
      </w:r>
      <w:r w:rsidR="00DF05BD" w:rsidRPr="00F853DD">
        <w:rPr>
          <w:rFonts w:ascii="Times" w:hAnsi="Times" w:cs="Times New Roman"/>
          <w:sz w:val="23"/>
          <w:szCs w:val="23"/>
        </w:rPr>
        <w:t xml:space="preserve"> nursing perspective. In: Talley, R. C. and Travis, S. S. (eds.) </w:t>
      </w:r>
      <w:r w:rsidR="00DF05BD" w:rsidRPr="00F853DD">
        <w:rPr>
          <w:rFonts w:ascii="Times" w:hAnsi="Times" w:cs="Times New Roman"/>
          <w:i/>
          <w:sz w:val="23"/>
          <w:szCs w:val="23"/>
        </w:rPr>
        <w:t>Multidisciplinary Coordinated Caregiving</w:t>
      </w:r>
      <w:r w:rsidR="00DF05BD" w:rsidRPr="00F853DD">
        <w:rPr>
          <w:rFonts w:ascii="Times" w:hAnsi="Times" w:cs="Times New Roman"/>
          <w:sz w:val="23"/>
          <w:szCs w:val="23"/>
        </w:rPr>
        <w:t>. New York: Springer-Science.</w:t>
      </w:r>
    </w:p>
    <w:p w14:paraId="743D7D78" w14:textId="15A9791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Robison, J., Fortinsky, R., Kleppinger, A., Shugrue, N. and Porter, M.</w:t>
      </w:r>
      <w:r w:rsidR="00A56993" w:rsidRPr="00F853DD">
        <w:rPr>
          <w:rFonts w:ascii="Times" w:hAnsi="Times" w:cs="Times New Roman"/>
          <w:sz w:val="23"/>
          <w:szCs w:val="23"/>
        </w:rPr>
        <w:t>,</w:t>
      </w:r>
      <w:r w:rsidRPr="00F853DD">
        <w:rPr>
          <w:rFonts w:ascii="Times" w:hAnsi="Times" w:cs="Times New Roman"/>
          <w:sz w:val="23"/>
          <w:szCs w:val="23"/>
        </w:rPr>
        <w:t xml:space="preserve"> (2009). A broader view</w:t>
      </w:r>
      <w:r w:rsidR="00A56993" w:rsidRPr="00F853DD">
        <w:rPr>
          <w:rFonts w:ascii="Times" w:hAnsi="Times" w:cs="Times New Roman"/>
          <w:sz w:val="23"/>
          <w:szCs w:val="23"/>
        </w:rPr>
        <w:t xml:space="preserve"> of family caregiving: e</w:t>
      </w:r>
      <w:r w:rsidRPr="00F853DD">
        <w:rPr>
          <w:rFonts w:ascii="Times" w:hAnsi="Times" w:cs="Times New Roman"/>
          <w:sz w:val="23"/>
          <w:szCs w:val="23"/>
        </w:rPr>
        <w:t xml:space="preserve">ffects of caregiving and caregiver conditions on depressive symptoms, health, work, and social isolation. </w:t>
      </w:r>
      <w:r w:rsidRPr="00F853DD">
        <w:rPr>
          <w:rFonts w:ascii="Times" w:hAnsi="Times" w:cs="Times New Roman"/>
          <w:i/>
          <w:sz w:val="23"/>
          <w:szCs w:val="23"/>
        </w:rPr>
        <w:t>Journals of gerontology</w:t>
      </w:r>
      <w:r w:rsidRPr="00F853DD">
        <w:rPr>
          <w:rFonts w:ascii="Times" w:hAnsi="Times" w:cs="Times New Roman"/>
          <w:b/>
          <w:sz w:val="23"/>
          <w:szCs w:val="23"/>
        </w:rPr>
        <w:t>64</w:t>
      </w:r>
      <w:r w:rsidRPr="00F853DD">
        <w:rPr>
          <w:rFonts w:ascii="Times" w:hAnsi="Times" w:cs="Times New Roman"/>
          <w:sz w:val="23"/>
          <w:szCs w:val="23"/>
        </w:rPr>
        <w:t>, 788-798.</w:t>
      </w:r>
    </w:p>
    <w:p w14:paraId="76034B64" w14:textId="23538987" w:rsidR="00DF05BD" w:rsidRPr="00F853DD" w:rsidRDefault="00A56993" w:rsidP="00E1694A">
      <w:pPr>
        <w:autoSpaceDE w:val="0"/>
        <w:autoSpaceDN w:val="0"/>
        <w:adjustRightInd w:val="0"/>
        <w:spacing w:line="240" w:lineRule="auto"/>
        <w:ind w:left="567" w:hanging="567"/>
        <w:rPr>
          <w:rFonts w:ascii="Times" w:hAnsi="Times" w:cs="Times New Roman"/>
          <w:i/>
          <w:sz w:val="23"/>
          <w:szCs w:val="23"/>
        </w:rPr>
      </w:pPr>
      <w:r w:rsidRPr="00F853DD">
        <w:rPr>
          <w:rFonts w:ascii="Times" w:hAnsi="Times" w:cs="Times New Roman"/>
          <w:sz w:val="23"/>
          <w:szCs w:val="23"/>
        </w:rPr>
        <w:t>Robles, C. and Vargas, L.,</w:t>
      </w:r>
      <w:r w:rsidR="00DF05BD" w:rsidRPr="00F853DD">
        <w:rPr>
          <w:rFonts w:ascii="Times" w:hAnsi="Times" w:cs="Times New Roman"/>
          <w:sz w:val="23"/>
          <w:szCs w:val="23"/>
        </w:rPr>
        <w:t xml:space="preserve"> (2012). </w:t>
      </w:r>
      <w:r w:rsidR="00DF05BD" w:rsidRPr="00F853DD">
        <w:rPr>
          <w:rFonts w:ascii="Times" w:hAnsi="Times" w:cs="Times New Roman"/>
          <w:i/>
          <w:sz w:val="23"/>
          <w:szCs w:val="23"/>
        </w:rPr>
        <w:t>Social protection systems in Latin America and the Caribbean: Trinidad and Tobago</w:t>
      </w:r>
      <w:r w:rsidR="00DF05BD" w:rsidRPr="00F853DD">
        <w:rPr>
          <w:rFonts w:ascii="Times" w:hAnsi="Times" w:cs="Times New Roman"/>
          <w:sz w:val="23"/>
          <w:szCs w:val="23"/>
        </w:rPr>
        <w:t>. Chile: United Nations.</w:t>
      </w:r>
    </w:p>
    <w:p w14:paraId="7770439F" w14:textId="77616E2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Rocco, P.</w:t>
      </w:r>
      <w:r w:rsidR="00FA34DB" w:rsidRPr="00F853DD">
        <w:rPr>
          <w:rFonts w:ascii="Times" w:hAnsi="Times" w:cs="Times New Roman"/>
          <w:sz w:val="23"/>
          <w:szCs w:val="23"/>
        </w:rPr>
        <w:t>,</w:t>
      </w:r>
      <w:r w:rsidRPr="00F853DD">
        <w:rPr>
          <w:rFonts w:ascii="Times" w:hAnsi="Times" w:cs="Times New Roman"/>
          <w:sz w:val="23"/>
          <w:szCs w:val="23"/>
        </w:rPr>
        <w:t xml:space="preserve"> (2017). Informal caregiving and the politics of policy drift in the United States. </w:t>
      </w:r>
      <w:r w:rsidRPr="00F853DD">
        <w:rPr>
          <w:rFonts w:ascii="Times" w:hAnsi="Times" w:cs="Times New Roman"/>
          <w:i/>
          <w:sz w:val="23"/>
          <w:szCs w:val="23"/>
        </w:rPr>
        <w:t>Journal of Aging and Social Policy</w:t>
      </w:r>
      <w:r w:rsidR="00FA34D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413-432.</w:t>
      </w:r>
    </w:p>
    <w:p w14:paraId="28DF1430" w14:textId="5F75F357" w:rsidR="00DF05BD" w:rsidRPr="00F853DD" w:rsidRDefault="00FA34D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Rodakowski, J., Skidmore, E., Rogers, J.</w:t>
      </w:r>
      <w:r w:rsidR="00DF05BD" w:rsidRPr="00F853DD">
        <w:rPr>
          <w:rFonts w:ascii="Times" w:hAnsi="Times" w:cs="Times New Roman"/>
          <w:sz w:val="23"/>
          <w:szCs w:val="23"/>
        </w:rPr>
        <w:t xml:space="preserve"> and Schulz, R.</w:t>
      </w:r>
      <w:r w:rsidRPr="00F853DD">
        <w:rPr>
          <w:rFonts w:ascii="Times" w:hAnsi="Times" w:cs="Times New Roman"/>
          <w:sz w:val="23"/>
          <w:szCs w:val="23"/>
        </w:rPr>
        <w:t>,</w:t>
      </w:r>
      <w:r w:rsidR="00DF05BD" w:rsidRPr="00F853DD">
        <w:rPr>
          <w:rFonts w:ascii="Times" w:hAnsi="Times" w:cs="Times New Roman"/>
          <w:sz w:val="23"/>
          <w:szCs w:val="23"/>
        </w:rPr>
        <w:t xml:space="preserve"> (2012). Role of social support in predicting caregiver burden. </w:t>
      </w:r>
      <w:r w:rsidR="00DF05BD" w:rsidRPr="00F853DD">
        <w:rPr>
          <w:rFonts w:ascii="Times" w:hAnsi="Times" w:cs="Times New Roman"/>
          <w:i/>
          <w:sz w:val="23"/>
          <w:szCs w:val="23"/>
        </w:rPr>
        <w:t>Archives of Physical Medicine and Rehabilitation</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93</w:t>
      </w:r>
      <w:r w:rsidR="00DF05BD" w:rsidRPr="00F853DD">
        <w:rPr>
          <w:rFonts w:ascii="Times" w:hAnsi="Times" w:cs="Times New Roman"/>
          <w:sz w:val="23"/>
          <w:szCs w:val="23"/>
        </w:rPr>
        <w:t>, 2229-2236.</w:t>
      </w:r>
    </w:p>
    <w:p w14:paraId="11163ECC" w14:textId="7F9746D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Rodman, H.</w:t>
      </w:r>
      <w:r w:rsidR="00FA34DB" w:rsidRPr="00F853DD">
        <w:rPr>
          <w:rFonts w:ascii="Times" w:hAnsi="Times" w:cs="Times New Roman"/>
          <w:sz w:val="23"/>
          <w:szCs w:val="23"/>
        </w:rPr>
        <w:t>,</w:t>
      </w:r>
      <w:r w:rsidRPr="00F853DD">
        <w:rPr>
          <w:rFonts w:ascii="Times" w:hAnsi="Times" w:cs="Times New Roman"/>
          <w:sz w:val="23"/>
          <w:szCs w:val="23"/>
        </w:rPr>
        <w:t xml:space="preserve"> (1971). </w:t>
      </w:r>
      <w:r w:rsidRPr="00F853DD">
        <w:rPr>
          <w:rFonts w:ascii="Times" w:hAnsi="Times" w:cs="Times New Roman"/>
          <w:i/>
          <w:sz w:val="23"/>
          <w:szCs w:val="23"/>
        </w:rPr>
        <w:t xml:space="preserve">Lower-class </w:t>
      </w:r>
      <w:r w:rsidR="00FA34DB" w:rsidRPr="00F853DD">
        <w:rPr>
          <w:rFonts w:ascii="Times" w:hAnsi="Times" w:cs="Times New Roman"/>
          <w:i/>
          <w:sz w:val="23"/>
          <w:szCs w:val="23"/>
        </w:rPr>
        <w:t>f</w:t>
      </w:r>
      <w:r w:rsidRPr="00F853DD">
        <w:rPr>
          <w:rFonts w:ascii="Times" w:hAnsi="Times" w:cs="Times New Roman"/>
          <w:i/>
          <w:sz w:val="23"/>
          <w:szCs w:val="23"/>
        </w:rPr>
        <w:t>amilies: the culture of poverty in negro Trinidad</w:t>
      </w:r>
      <w:r w:rsidRPr="00F853DD">
        <w:rPr>
          <w:rFonts w:ascii="Times" w:hAnsi="Times" w:cs="Times New Roman"/>
          <w:sz w:val="23"/>
          <w:szCs w:val="23"/>
        </w:rPr>
        <w:t>. New York, Oxford University Press.</w:t>
      </w:r>
    </w:p>
    <w:p w14:paraId="1D73C4EB" w14:textId="698512EC" w:rsidR="00DF05BD" w:rsidRPr="00F853DD" w:rsidRDefault="00DF05BD" w:rsidP="00E1694A">
      <w:pPr>
        <w:autoSpaceDE w:val="0"/>
        <w:autoSpaceDN w:val="0"/>
        <w:adjustRightInd w:val="0"/>
        <w:spacing w:line="240" w:lineRule="auto"/>
        <w:ind w:left="567" w:hanging="567"/>
        <w:rPr>
          <w:rFonts w:ascii="Times" w:eastAsia="Times New Roman" w:hAnsi="Times" w:cs="Times New Roman"/>
          <w:sz w:val="23"/>
          <w:szCs w:val="23"/>
        </w:rPr>
      </w:pPr>
      <w:r w:rsidRPr="00F853DD">
        <w:rPr>
          <w:rFonts w:ascii="Times" w:eastAsia="Times New Roman" w:hAnsi="Times" w:cs="Times New Roman"/>
          <w:sz w:val="23"/>
          <w:szCs w:val="23"/>
          <w:shd w:val="clear" w:color="auto" w:fill="FFFFFF"/>
        </w:rPr>
        <w:t>Rodrigues, R., Huber, M. and Lamura, G.</w:t>
      </w:r>
      <w:r w:rsidR="00FA34DB" w:rsidRPr="00F853DD">
        <w:rPr>
          <w:rFonts w:ascii="Times" w:eastAsia="Times New Roman" w:hAnsi="Times" w:cs="Times New Roman"/>
          <w:sz w:val="23"/>
          <w:szCs w:val="23"/>
          <w:shd w:val="clear" w:color="auto" w:fill="FFFFFF"/>
        </w:rPr>
        <w:t>,</w:t>
      </w:r>
      <w:r w:rsidRPr="00F853DD">
        <w:rPr>
          <w:rFonts w:ascii="Times" w:eastAsia="Times New Roman" w:hAnsi="Times" w:cs="Times New Roman"/>
          <w:sz w:val="23"/>
          <w:szCs w:val="23"/>
          <w:shd w:val="clear" w:color="auto" w:fill="FFFFFF"/>
        </w:rPr>
        <w:t xml:space="preserve"> (2012). </w:t>
      </w:r>
      <w:r w:rsidRPr="00F853DD">
        <w:rPr>
          <w:rFonts w:ascii="Times" w:eastAsia="Times New Roman" w:hAnsi="Times" w:cs="Times New Roman"/>
          <w:i/>
          <w:sz w:val="23"/>
          <w:szCs w:val="23"/>
          <w:shd w:val="clear" w:color="auto" w:fill="FFFFFF"/>
        </w:rPr>
        <w:t>Facts and figures on healthy ageing and long-term care</w:t>
      </w:r>
      <w:r w:rsidRPr="00F853DD">
        <w:rPr>
          <w:rFonts w:ascii="Times" w:eastAsia="Times New Roman" w:hAnsi="Times" w:cs="Times New Roman"/>
          <w:sz w:val="23"/>
          <w:szCs w:val="23"/>
          <w:shd w:val="clear" w:color="auto" w:fill="FFFFFF"/>
        </w:rPr>
        <w:t xml:space="preserve"> [online].Vienna: European Centre for Social Welfare Policy and Research. [Viewed 22 November 2019]. Available from:  </w:t>
      </w:r>
      <w:r w:rsidRPr="00F853DD">
        <w:rPr>
          <w:rFonts w:ascii="Times" w:eastAsia="Times New Roman" w:hAnsi="Times" w:cs="Times New Roman"/>
          <w:sz w:val="23"/>
          <w:szCs w:val="23"/>
          <w:u w:val="single"/>
          <w:bdr w:val="none" w:sz="0" w:space="0" w:color="auto" w:frame="1"/>
          <w:shd w:val="clear" w:color="auto" w:fill="FFFFFF"/>
        </w:rPr>
        <w:t>http://citeseerx.ist.psu.edu/viewdoc/download?doi=10.1.1.303.1022&amp;rep=rep1&amp;type=pdf</w:t>
      </w:r>
    </w:p>
    <w:p w14:paraId="7D5636AC" w14:textId="3133D4C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s-UY"/>
        </w:rPr>
        <w:t>Roe, B. and De La Cuesta-Benjumea, C.</w:t>
      </w:r>
      <w:r w:rsidR="00FA34DB" w:rsidRPr="00F853DD">
        <w:rPr>
          <w:rFonts w:ascii="Times" w:hAnsi="Times" w:cs="Times New Roman"/>
          <w:sz w:val="23"/>
          <w:szCs w:val="23"/>
          <w:lang w:val="es-UY"/>
        </w:rPr>
        <w:t>,</w:t>
      </w:r>
      <w:r w:rsidRPr="00F853DD">
        <w:rPr>
          <w:rFonts w:ascii="Times" w:hAnsi="Times" w:cs="Times New Roman"/>
          <w:sz w:val="23"/>
          <w:szCs w:val="23"/>
          <w:lang w:val="es-UY"/>
        </w:rPr>
        <w:t xml:space="preserve"> (2014). </w:t>
      </w:r>
      <w:r w:rsidRPr="00F853DD">
        <w:rPr>
          <w:rFonts w:ascii="Times" w:hAnsi="Times" w:cs="Times New Roman"/>
          <w:sz w:val="23"/>
          <w:szCs w:val="23"/>
        </w:rPr>
        <w:t xml:space="preserve">The experience of family care-givers and migrant paid care-givers' relief of burden: a contrasted qualitative analysis. </w:t>
      </w:r>
      <w:r w:rsidRPr="00F853DD">
        <w:rPr>
          <w:rFonts w:ascii="Times" w:hAnsi="Times" w:cs="Times New Roman"/>
          <w:i/>
          <w:sz w:val="23"/>
          <w:szCs w:val="23"/>
        </w:rPr>
        <w:t>Ageing and Society</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 1219-1242.</w:t>
      </w:r>
    </w:p>
    <w:p w14:paraId="6F7C5360" w14:textId="77E40F6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Roe, B., Whattam, M., Young, H. and Dimond, M.</w:t>
      </w:r>
      <w:r w:rsidR="00FA34DB" w:rsidRPr="00F853DD">
        <w:rPr>
          <w:rFonts w:ascii="Times" w:hAnsi="Times" w:cs="Times New Roman"/>
          <w:sz w:val="23"/>
          <w:szCs w:val="23"/>
        </w:rPr>
        <w:t>,</w:t>
      </w:r>
      <w:r w:rsidRPr="00F853DD">
        <w:rPr>
          <w:rFonts w:ascii="Times" w:hAnsi="Times" w:cs="Times New Roman"/>
          <w:sz w:val="23"/>
          <w:szCs w:val="23"/>
        </w:rPr>
        <w:t xml:space="preserve"> (2001)a. Elders' needs and experiences of receiving formal and informal care for their activities of daily living. </w:t>
      </w:r>
      <w:r w:rsidRPr="00F853DD">
        <w:rPr>
          <w:rFonts w:ascii="Times" w:hAnsi="Times" w:cs="Times New Roman"/>
          <w:i/>
          <w:sz w:val="23"/>
          <w:szCs w:val="23"/>
        </w:rPr>
        <w:t>Journal of Clinical Nursing</w:t>
      </w:r>
      <w:r w:rsidR="00FA34D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 389-397.</w:t>
      </w:r>
    </w:p>
    <w:p w14:paraId="0F97837D" w14:textId="379B06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Roe, B., Whattam, M., Young, H. and Dimond, M. (2001)b. Elders' perceptions of formal and informal care: aspects of getting and receiving help for their activities of daily living. </w:t>
      </w:r>
      <w:r w:rsidRPr="00F853DD">
        <w:rPr>
          <w:rFonts w:ascii="Times" w:hAnsi="Times" w:cs="Times New Roman"/>
          <w:i/>
          <w:sz w:val="23"/>
          <w:szCs w:val="23"/>
        </w:rPr>
        <w:t>Journal of Clinical Nursing</w:t>
      </w:r>
      <w:r w:rsidR="00FA34D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 398-405.</w:t>
      </w:r>
    </w:p>
    <w:p w14:paraId="429BFE65" w14:textId="514A670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Rofman, R., Apella, I. and Vezza, E.</w:t>
      </w:r>
      <w:r w:rsidR="00FA34DB"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sz w:val="23"/>
          <w:szCs w:val="23"/>
        </w:rPr>
        <w:t>Beyond contributory pensions: fourteen experiences with coverage expansion in Latin America</w:t>
      </w:r>
      <w:r w:rsidRPr="00F853DD">
        <w:rPr>
          <w:rFonts w:ascii="Times" w:hAnsi="Times" w:cs="Times New Roman"/>
          <w:sz w:val="23"/>
          <w:szCs w:val="23"/>
        </w:rPr>
        <w:t>. Washington D.C.: The World Bank.</w:t>
      </w:r>
    </w:p>
    <w:p w14:paraId="757B3411" w14:textId="2E5ED8A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Rogero-Garcia, J. and Ahmed-Mohamed, K.</w:t>
      </w:r>
      <w:r w:rsidR="00FA34DB" w:rsidRPr="00F853DD">
        <w:rPr>
          <w:rFonts w:ascii="Times" w:hAnsi="Times" w:cs="Times New Roman"/>
          <w:sz w:val="23"/>
          <w:szCs w:val="23"/>
        </w:rPr>
        <w:t>,</w:t>
      </w:r>
      <w:r w:rsidRPr="00F853DD">
        <w:rPr>
          <w:rFonts w:ascii="Times" w:hAnsi="Times" w:cs="Times New Roman"/>
          <w:sz w:val="23"/>
          <w:szCs w:val="23"/>
        </w:rPr>
        <w:t xml:space="preserve"> (2014). What is the best care for community-dwelling dependent adults? Sources of care and perception of unmet needs in Spain. </w:t>
      </w:r>
      <w:r w:rsidRPr="00F853DD">
        <w:rPr>
          <w:rFonts w:ascii="Times" w:hAnsi="Times" w:cs="Times New Roman"/>
          <w:i/>
          <w:sz w:val="23"/>
          <w:szCs w:val="23"/>
        </w:rPr>
        <w:t>Revista Internacional De Sociologia</w:t>
      </w:r>
      <w:r w:rsidRPr="00F853DD">
        <w:rPr>
          <w:rFonts w:ascii="Times" w:hAnsi="Times" w:cs="Times New Roman"/>
          <w:sz w:val="23"/>
          <w:szCs w:val="23"/>
        </w:rPr>
        <w:t xml:space="preserve">, </w:t>
      </w:r>
      <w:r w:rsidRPr="00F853DD">
        <w:rPr>
          <w:rFonts w:ascii="Times" w:hAnsi="Times" w:cs="Times New Roman"/>
          <w:b/>
          <w:sz w:val="23"/>
          <w:szCs w:val="23"/>
        </w:rPr>
        <w:t>72</w:t>
      </w:r>
      <w:r w:rsidRPr="00F853DD">
        <w:rPr>
          <w:rFonts w:ascii="Times" w:hAnsi="Times" w:cs="Times New Roman"/>
          <w:sz w:val="23"/>
          <w:szCs w:val="23"/>
        </w:rPr>
        <w:t>, 403-427.</w:t>
      </w:r>
    </w:p>
    <w:p w14:paraId="1289660B" w14:textId="3526602B" w:rsidR="00DF05BD" w:rsidRPr="00F853DD" w:rsidRDefault="00FA34DB"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Rohr, M. and Lang, F.,</w:t>
      </w:r>
      <w:r w:rsidR="00DF05BD" w:rsidRPr="00F853DD">
        <w:rPr>
          <w:rFonts w:ascii="Times" w:hAnsi="Times" w:cs="Times New Roman"/>
          <w:sz w:val="23"/>
          <w:szCs w:val="23"/>
        </w:rPr>
        <w:t xml:space="preserve"> (2016). The role of anticipated gains and losses on preferences about future caregiving. </w:t>
      </w:r>
      <w:r w:rsidR="00DF05BD" w:rsidRPr="00F853DD">
        <w:rPr>
          <w:rFonts w:ascii="Times" w:hAnsi="Times" w:cs="Times New Roman"/>
          <w:i/>
          <w:sz w:val="23"/>
          <w:szCs w:val="23"/>
        </w:rPr>
        <w:t>Journals of Gerontology Series B-Psychological Sciences and Social Sciences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71</w:t>
      </w:r>
      <w:r w:rsidR="00DF05BD" w:rsidRPr="00F853DD">
        <w:rPr>
          <w:rFonts w:ascii="Times" w:hAnsi="Times" w:cs="Times New Roman"/>
          <w:sz w:val="23"/>
          <w:szCs w:val="23"/>
        </w:rPr>
        <w:t>, 405-414.</w:t>
      </w:r>
    </w:p>
    <w:p w14:paraId="3C1C5CD5" w14:textId="2F49B8B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w:t>
      </w:r>
      <w:r w:rsidRPr="00F853DD">
        <w:rPr>
          <w:rFonts w:ascii="Times" w:hAnsi="Times" w:cs="Segoe UI"/>
          <w:sz w:val="23"/>
          <w:szCs w:val="23"/>
        </w:rPr>
        <w:t>okach, A., Rosenstreich, E., Brill, S. and Aryeh, I.</w:t>
      </w:r>
      <w:r w:rsidR="00FA34DB" w:rsidRPr="00F853DD">
        <w:rPr>
          <w:rFonts w:ascii="Times" w:hAnsi="Times" w:cs="Segoe UI"/>
          <w:sz w:val="23"/>
          <w:szCs w:val="23"/>
        </w:rPr>
        <w:t>,</w:t>
      </w:r>
      <w:r w:rsidRPr="00F853DD">
        <w:rPr>
          <w:rFonts w:ascii="Times" w:hAnsi="Times" w:cs="Segoe UI"/>
          <w:sz w:val="23"/>
          <w:szCs w:val="23"/>
        </w:rPr>
        <w:t xml:space="preserve"> (2016). Caregi</w:t>
      </w:r>
      <w:r w:rsidR="00FA34DB" w:rsidRPr="00F853DD">
        <w:rPr>
          <w:rFonts w:ascii="Times" w:hAnsi="Times" w:cs="Segoe UI"/>
          <w:sz w:val="23"/>
          <w:szCs w:val="23"/>
        </w:rPr>
        <w:t>vers of chronic pain patients: t</w:t>
      </w:r>
      <w:r w:rsidRPr="00F853DD">
        <w:rPr>
          <w:rFonts w:ascii="Times" w:hAnsi="Times" w:cs="Segoe UI"/>
          <w:sz w:val="23"/>
          <w:szCs w:val="23"/>
        </w:rPr>
        <w:t>heir loneliness and burden. </w:t>
      </w:r>
      <w:r w:rsidRPr="00F853DD">
        <w:rPr>
          <w:rFonts w:ascii="Times" w:hAnsi="Times" w:cs="Segoe UI"/>
          <w:i/>
          <w:iCs/>
          <w:sz w:val="23"/>
          <w:szCs w:val="23"/>
        </w:rPr>
        <w:t>Nursing and Palliative Care</w:t>
      </w:r>
      <w:r w:rsidR="00FA34DB" w:rsidRPr="00F853DD">
        <w:rPr>
          <w:rFonts w:ascii="Times" w:hAnsi="Times" w:cs="Segoe UI"/>
          <w:sz w:val="23"/>
          <w:szCs w:val="23"/>
        </w:rPr>
        <w:t>.</w:t>
      </w:r>
      <w:r w:rsidRPr="00F853DD">
        <w:rPr>
          <w:rFonts w:ascii="Times" w:hAnsi="Times" w:cs="Segoe UI"/>
          <w:sz w:val="23"/>
          <w:szCs w:val="23"/>
        </w:rPr>
        <w:t> </w:t>
      </w:r>
      <w:r w:rsidRPr="00F853DD">
        <w:rPr>
          <w:rFonts w:ascii="Times" w:hAnsi="Times" w:cs="Segoe UI"/>
          <w:b/>
          <w:iCs/>
          <w:sz w:val="23"/>
          <w:szCs w:val="23"/>
        </w:rPr>
        <w:t>1</w:t>
      </w:r>
      <w:r w:rsidRPr="00F853DD">
        <w:rPr>
          <w:rFonts w:ascii="Times" w:hAnsi="Times" w:cs="Segoe UI"/>
          <w:sz w:val="23"/>
          <w:szCs w:val="23"/>
        </w:rPr>
        <w:t>, 111-117.</w:t>
      </w:r>
    </w:p>
    <w:p w14:paraId="272230FF" w14:textId="3A3F74E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Rolland, J.</w:t>
      </w:r>
      <w:r w:rsidR="00FA34DB" w:rsidRPr="00F853DD">
        <w:rPr>
          <w:rFonts w:ascii="Times" w:hAnsi="Times" w:cs="Times New Roman"/>
          <w:sz w:val="23"/>
          <w:szCs w:val="23"/>
        </w:rPr>
        <w:t>,</w:t>
      </w:r>
      <w:r w:rsidRPr="00F853DD">
        <w:rPr>
          <w:rFonts w:ascii="Times" w:hAnsi="Times" w:cs="Times New Roman"/>
          <w:sz w:val="23"/>
          <w:szCs w:val="23"/>
        </w:rPr>
        <w:t xml:space="preserve"> (2004). Families and chronic illness: </w:t>
      </w:r>
      <w:r w:rsidR="00FA34DB" w:rsidRPr="00F853DD">
        <w:rPr>
          <w:rFonts w:ascii="Times" w:hAnsi="Times" w:cs="Times New Roman"/>
          <w:sz w:val="23"/>
          <w:szCs w:val="23"/>
        </w:rPr>
        <w:t>a</w:t>
      </w:r>
      <w:r w:rsidRPr="00F853DD">
        <w:rPr>
          <w:rFonts w:ascii="Times" w:hAnsi="Times" w:cs="Times New Roman"/>
          <w:sz w:val="23"/>
          <w:szCs w:val="23"/>
        </w:rPr>
        <w:t xml:space="preserve">n integrative model. In: Catherhall, D. (ed.) </w:t>
      </w:r>
      <w:r w:rsidRPr="00F853DD">
        <w:rPr>
          <w:rFonts w:ascii="Times" w:hAnsi="Times" w:cs="Times New Roman"/>
          <w:i/>
          <w:sz w:val="23"/>
          <w:szCs w:val="23"/>
        </w:rPr>
        <w:t>Handbook of stress, trauma and the family</w:t>
      </w:r>
      <w:r w:rsidRPr="00F853DD">
        <w:rPr>
          <w:rFonts w:ascii="Times" w:hAnsi="Times" w:cs="Times New Roman"/>
          <w:sz w:val="23"/>
          <w:szCs w:val="23"/>
        </w:rPr>
        <w:t>. New York: Brunner-Routledge. </w:t>
      </w:r>
    </w:p>
    <w:p w14:paraId="65BE6367" w14:textId="45B388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Romero-Moreno, R., Marquez-Gonzalez, M., Losada, A. and Lopez, J.</w:t>
      </w:r>
      <w:r w:rsidR="00FA34DB" w:rsidRPr="00F853DD">
        <w:rPr>
          <w:rFonts w:ascii="Times" w:hAnsi="Times" w:cs="Times New Roman"/>
          <w:sz w:val="23"/>
          <w:szCs w:val="23"/>
        </w:rPr>
        <w:t>,</w:t>
      </w:r>
      <w:r w:rsidRPr="00F853DD">
        <w:rPr>
          <w:rFonts w:ascii="Times" w:hAnsi="Times" w:cs="Times New Roman"/>
          <w:sz w:val="23"/>
          <w:szCs w:val="23"/>
        </w:rPr>
        <w:t xml:space="preserve"> (2011). Motives for caring: relationship to stress and coping dimensions. </w:t>
      </w:r>
      <w:r w:rsidRPr="00F853DD">
        <w:rPr>
          <w:rFonts w:ascii="Times" w:hAnsi="Times" w:cs="Times New Roman"/>
          <w:i/>
          <w:sz w:val="23"/>
          <w:szCs w:val="23"/>
        </w:rPr>
        <w:t>International Psychogeriatrics</w:t>
      </w:r>
      <w:r w:rsidR="00FA34D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573-582.</w:t>
      </w:r>
    </w:p>
    <w:p w14:paraId="53F84C2B" w14:textId="3716781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Roopnarine, J. and Brown, J.</w:t>
      </w:r>
      <w:r w:rsidR="00FA34DB" w:rsidRPr="00F853DD">
        <w:rPr>
          <w:rFonts w:ascii="Times" w:hAnsi="Times" w:cs="Times New Roman"/>
          <w:sz w:val="23"/>
          <w:szCs w:val="23"/>
        </w:rPr>
        <w:t>,</w:t>
      </w:r>
      <w:r w:rsidRPr="00F853DD">
        <w:rPr>
          <w:rFonts w:ascii="Times" w:hAnsi="Times" w:cs="Times New Roman"/>
          <w:sz w:val="23"/>
          <w:szCs w:val="23"/>
        </w:rPr>
        <w:t xml:space="preserve"> (eds.) (1997). </w:t>
      </w:r>
      <w:r w:rsidRPr="00F853DD">
        <w:rPr>
          <w:rFonts w:ascii="Times" w:hAnsi="Times" w:cs="Times New Roman"/>
          <w:i/>
          <w:sz w:val="23"/>
          <w:szCs w:val="23"/>
        </w:rPr>
        <w:t xml:space="preserve">Caribbean </w:t>
      </w:r>
      <w:r w:rsidR="00FA34DB" w:rsidRPr="00F853DD">
        <w:rPr>
          <w:rFonts w:ascii="Times" w:hAnsi="Times" w:cs="Times New Roman"/>
          <w:i/>
          <w:sz w:val="23"/>
          <w:szCs w:val="23"/>
        </w:rPr>
        <w:t>f</w:t>
      </w:r>
      <w:r w:rsidRPr="00F853DD">
        <w:rPr>
          <w:rFonts w:ascii="Times" w:hAnsi="Times" w:cs="Times New Roman"/>
          <w:i/>
          <w:sz w:val="23"/>
          <w:szCs w:val="23"/>
        </w:rPr>
        <w:t xml:space="preserve">amilies: </w:t>
      </w:r>
      <w:r w:rsidR="00FA34DB" w:rsidRPr="00F853DD">
        <w:rPr>
          <w:rFonts w:ascii="Times" w:hAnsi="Times" w:cs="Times New Roman"/>
          <w:i/>
          <w:sz w:val="23"/>
          <w:szCs w:val="23"/>
        </w:rPr>
        <w:t>d</w:t>
      </w:r>
      <w:r w:rsidRPr="00F853DD">
        <w:rPr>
          <w:rFonts w:ascii="Times" w:hAnsi="Times" w:cs="Times New Roman"/>
          <w:i/>
          <w:sz w:val="23"/>
          <w:szCs w:val="23"/>
        </w:rPr>
        <w:t xml:space="preserve">iversity </w:t>
      </w:r>
      <w:r w:rsidR="00FA34DB" w:rsidRPr="00F853DD">
        <w:rPr>
          <w:rFonts w:ascii="Times" w:hAnsi="Times" w:cs="Times New Roman"/>
          <w:i/>
          <w:sz w:val="23"/>
          <w:szCs w:val="23"/>
        </w:rPr>
        <w:t>a</w:t>
      </w:r>
      <w:r w:rsidRPr="00F853DD">
        <w:rPr>
          <w:rFonts w:ascii="Times" w:hAnsi="Times" w:cs="Times New Roman"/>
          <w:i/>
          <w:sz w:val="23"/>
          <w:szCs w:val="23"/>
        </w:rPr>
        <w:t xml:space="preserve">mong </w:t>
      </w:r>
      <w:r w:rsidR="00FA34DB" w:rsidRPr="00F853DD">
        <w:rPr>
          <w:rFonts w:ascii="Times" w:hAnsi="Times" w:cs="Times New Roman"/>
          <w:i/>
          <w:sz w:val="23"/>
          <w:szCs w:val="23"/>
        </w:rPr>
        <w:t>e</w:t>
      </w:r>
      <w:r w:rsidRPr="00F853DD">
        <w:rPr>
          <w:rFonts w:ascii="Times" w:hAnsi="Times" w:cs="Times New Roman"/>
          <w:i/>
          <w:sz w:val="23"/>
          <w:szCs w:val="23"/>
        </w:rPr>
        <w:t>thnic Groups</w:t>
      </w:r>
      <w:r w:rsidRPr="00F853DD">
        <w:rPr>
          <w:rFonts w:ascii="Times" w:hAnsi="Times" w:cs="Times New Roman"/>
          <w:sz w:val="23"/>
          <w:szCs w:val="23"/>
        </w:rPr>
        <w:t>. United States: Alex Publishing Corporation.</w:t>
      </w:r>
    </w:p>
    <w:p w14:paraId="778F0115" w14:textId="624BE9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Roopnarine, J. and Gielen, U.</w:t>
      </w:r>
      <w:r w:rsidR="00FA34DB" w:rsidRPr="00F853DD">
        <w:rPr>
          <w:rFonts w:ascii="Times" w:hAnsi="Times" w:cs="Times New Roman"/>
          <w:sz w:val="23"/>
          <w:szCs w:val="23"/>
          <w:lang w:val="en-TT"/>
        </w:rPr>
        <w:t>,</w:t>
      </w:r>
      <w:r w:rsidRPr="00F853DD">
        <w:rPr>
          <w:rFonts w:ascii="Times" w:hAnsi="Times" w:cs="Times New Roman"/>
          <w:sz w:val="23"/>
          <w:szCs w:val="23"/>
          <w:lang w:val="en-TT"/>
        </w:rPr>
        <w:t xml:space="preserve"> (eds.) (2005). </w:t>
      </w:r>
      <w:r w:rsidRPr="00F853DD">
        <w:rPr>
          <w:rFonts w:ascii="Times" w:hAnsi="Times" w:cs="Times New Roman"/>
          <w:i/>
          <w:sz w:val="23"/>
          <w:szCs w:val="23"/>
        </w:rPr>
        <w:t xml:space="preserve">Families in </w:t>
      </w:r>
      <w:r w:rsidR="00FA34DB" w:rsidRPr="00F853DD">
        <w:rPr>
          <w:rFonts w:ascii="Times" w:hAnsi="Times" w:cs="Times New Roman"/>
          <w:i/>
          <w:sz w:val="23"/>
          <w:szCs w:val="23"/>
        </w:rPr>
        <w:t>g</w:t>
      </w:r>
      <w:r w:rsidRPr="00F853DD">
        <w:rPr>
          <w:rFonts w:ascii="Times" w:hAnsi="Times" w:cs="Times New Roman"/>
          <w:i/>
          <w:sz w:val="23"/>
          <w:szCs w:val="23"/>
        </w:rPr>
        <w:t xml:space="preserve">lobal </w:t>
      </w:r>
      <w:r w:rsidR="00FA34DB" w:rsidRPr="00F853DD">
        <w:rPr>
          <w:rFonts w:ascii="Times" w:hAnsi="Times" w:cs="Times New Roman"/>
          <w:i/>
          <w:sz w:val="23"/>
          <w:szCs w:val="23"/>
        </w:rPr>
        <w:t>p</w:t>
      </w:r>
      <w:r w:rsidRPr="00F853DD">
        <w:rPr>
          <w:rFonts w:ascii="Times" w:hAnsi="Times" w:cs="Times New Roman"/>
          <w:i/>
          <w:sz w:val="23"/>
          <w:szCs w:val="23"/>
        </w:rPr>
        <w:t>erspective</w:t>
      </w:r>
      <w:r w:rsidRPr="00F853DD">
        <w:rPr>
          <w:rFonts w:ascii="Times" w:hAnsi="Times" w:cs="Times New Roman"/>
          <w:sz w:val="23"/>
          <w:szCs w:val="23"/>
        </w:rPr>
        <w:t>. USA: Pearson Education Inc.</w:t>
      </w:r>
    </w:p>
    <w:p w14:paraId="44297F4F" w14:textId="4004660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Roopnarine, A. and Ramrattan, D.</w:t>
      </w:r>
      <w:r w:rsidR="00FA34DB" w:rsidRPr="00F853DD">
        <w:rPr>
          <w:rFonts w:ascii="Times" w:hAnsi="Times" w:cs="Times New Roman"/>
          <w:sz w:val="23"/>
          <w:szCs w:val="23"/>
        </w:rPr>
        <w:t>,</w:t>
      </w:r>
      <w:r w:rsidRPr="00F853DD">
        <w:rPr>
          <w:rFonts w:ascii="Times" w:hAnsi="Times" w:cs="Times New Roman"/>
          <w:sz w:val="23"/>
          <w:szCs w:val="23"/>
        </w:rPr>
        <w:t xml:space="preserve"> (2012). Female labour force participation: the case of Trinidad and Tobago. </w:t>
      </w:r>
      <w:r w:rsidRPr="00F853DD">
        <w:rPr>
          <w:rFonts w:ascii="Times" w:hAnsi="Times" w:cs="Times New Roman"/>
          <w:i/>
          <w:sz w:val="23"/>
          <w:szCs w:val="23"/>
        </w:rPr>
        <w:t>World Journal of Entrepreneurship, Management and Sustainable Development</w:t>
      </w:r>
      <w:r w:rsidR="00FA34D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8</w:t>
      </w:r>
      <w:r w:rsidRPr="00F853DD">
        <w:rPr>
          <w:rFonts w:ascii="Times" w:hAnsi="Times" w:cs="Times New Roman"/>
          <w:sz w:val="23"/>
          <w:szCs w:val="23"/>
        </w:rPr>
        <w:t xml:space="preserve">(2/3), 183-193. </w:t>
      </w:r>
    </w:p>
    <w:p w14:paraId="0705DD22" w14:textId="7AF77EB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Roos, V., Silvestre, S. and De Jager, T.</w:t>
      </w:r>
      <w:r w:rsidR="00FA34DB" w:rsidRPr="00F853DD">
        <w:rPr>
          <w:rFonts w:ascii="Times" w:hAnsi="Times" w:cs="Times New Roman"/>
          <w:sz w:val="23"/>
          <w:szCs w:val="23"/>
        </w:rPr>
        <w:t>,</w:t>
      </w:r>
      <w:r w:rsidRPr="00F853DD">
        <w:rPr>
          <w:rFonts w:ascii="Times" w:hAnsi="Times" w:cs="Times New Roman"/>
          <w:sz w:val="23"/>
          <w:szCs w:val="23"/>
        </w:rPr>
        <w:t xml:space="preserve"> (2017). Intergenerational care perceptions of older women and middle adolescents in a resource-constrained community in South Africa. </w:t>
      </w:r>
      <w:r w:rsidRPr="00F853DD">
        <w:rPr>
          <w:rFonts w:ascii="Times" w:hAnsi="Times" w:cs="Times New Roman"/>
          <w:i/>
          <w:sz w:val="23"/>
          <w:szCs w:val="23"/>
        </w:rPr>
        <w:t>Journal of Gerontological Social Work</w:t>
      </w:r>
      <w:r w:rsidR="00FA34DB"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60</w:t>
      </w:r>
      <w:r w:rsidRPr="00F853DD">
        <w:rPr>
          <w:rFonts w:ascii="Times" w:hAnsi="Times" w:cs="Times New Roman"/>
          <w:sz w:val="23"/>
          <w:szCs w:val="23"/>
        </w:rPr>
        <w:t>, 104-119.</w:t>
      </w:r>
    </w:p>
    <w:p w14:paraId="07011641" w14:textId="198CAA8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Rose, D., Thornicroft, G., Pinfold, V. and Kassam, A.</w:t>
      </w:r>
      <w:r w:rsidR="00586674" w:rsidRPr="00F853DD">
        <w:rPr>
          <w:rFonts w:ascii="Times" w:hAnsi="Times" w:cs="Times New Roman"/>
          <w:sz w:val="23"/>
          <w:szCs w:val="23"/>
        </w:rPr>
        <w:t>,</w:t>
      </w:r>
      <w:r w:rsidRPr="00F853DD">
        <w:rPr>
          <w:rFonts w:ascii="Times" w:hAnsi="Times" w:cs="Times New Roman"/>
          <w:sz w:val="23"/>
          <w:szCs w:val="23"/>
        </w:rPr>
        <w:t xml:space="preserve"> (2007). 250 Labels used to stigmatise people with mental illness. </w:t>
      </w:r>
      <w:r w:rsidRPr="00F853DD">
        <w:rPr>
          <w:rFonts w:ascii="Times" w:hAnsi="Times" w:cs="Times New Roman"/>
          <w:i/>
          <w:sz w:val="23"/>
          <w:szCs w:val="23"/>
        </w:rPr>
        <w:t>BMC Health Services Research</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Pr="00F853DD">
        <w:rPr>
          <w:rFonts w:ascii="Times" w:hAnsi="Times" w:cs="Times New Roman"/>
          <w:sz w:val="23"/>
          <w:szCs w:val="23"/>
        </w:rPr>
        <w:t>, 97.</w:t>
      </w:r>
    </w:p>
    <w:p w14:paraId="4FBF783B" w14:textId="043CA48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Rose, M., Noelker, L. and Kagan, J.</w:t>
      </w:r>
      <w:r w:rsidR="00586674" w:rsidRPr="00F853DD">
        <w:rPr>
          <w:rFonts w:ascii="Times" w:hAnsi="Times" w:cs="Times New Roman"/>
          <w:sz w:val="23"/>
          <w:szCs w:val="23"/>
        </w:rPr>
        <w:t>,</w:t>
      </w:r>
      <w:r w:rsidRPr="00F853DD">
        <w:rPr>
          <w:rFonts w:ascii="Times" w:hAnsi="Times" w:cs="Times New Roman"/>
          <w:sz w:val="23"/>
          <w:szCs w:val="23"/>
        </w:rPr>
        <w:t xml:space="preserve"> (2015). Improving policies for caregiver respite services. </w:t>
      </w:r>
      <w:r w:rsidRPr="00F853DD">
        <w:rPr>
          <w:rFonts w:ascii="Times" w:hAnsi="Times" w:cs="Times New Roman"/>
          <w:i/>
          <w:sz w:val="23"/>
          <w:szCs w:val="23"/>
        </w:rPr>
        <w:t>The Gerontologist</w:t>
      </w:r>
      <w:r w:rsidR="00586674"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55</w:t>
      </w:r>
      <w:r w:rsidRPr="00F853DD">
        <w:rPr>
          <w:rFonts w:ascii="Times" w:hAnsi="Times" w:cs="Times New Roman"/>
          <w:sz w:val="23"/>
          <w:szCs w:val="23"/>
        </w:rPr>
        <w:t xml:space="preserve">(2), 302-308. [Viewed 24 November 2019]. Available from:  https://academic.oup.com/gerontologist/article/55/2/302/655643. </w:t>
      </w:r>
    </w:p>
    <w:p w14:paraId="7F74473F" w14:textId="336B69FF" w:rsidR="00DF05BD" w:rsidRPr="00F853DD" w:rsidRDefault="0058667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Rosenthal, C.</w:t>
      </w:r>
      <w:r w:rsidR="00DF05BD" w:rsidRPr="00F853DD">
        <w:rPr>
          <w:rFonts w:ascii="Times" w:hAnsi="Times" w:cs="Times New Roman"/>
          <w:sz w:val="23"/>
          <w:szCs w:val="23"/>
        </w:rPr>
        <w:t>, Mar</w:t>
      </w:r>
      <w:r w:rsidRPr="00F853DD">
        <w:rPr>
          <w:rFonts w:ascii="Times" w:hAnsi="Times" w:cs="Times New Roman"/>
          <w:sz w:val="23"/>
          <w:szCs w:val="23"/>
        </w:rPr>
        <w:t>un-Matthews, A. and Keefe, J.,</w:t>
      </w:r>
      <w:r w:rsidR="00DF05BD" w:rsidRPr="00F853DD">
        <w:rPr>
          <w:rFonts w:ascii="Times" w:hAnsi="Times" w:cs="Times New Roman"/>
          <w:sz w:val="23"/>
          <w:szCs w:val="23"/>
        </w:rPr>
        <w:t xml:space="preserve"> (2007). Care management and care provision for older relatives amongst employed informal care-givers. </w:t>
      </w:r>
      <w:r w:rsidR="00DF05BD" w:rsidRPr="00F853DD">
        <w:rPr>
          <w:rFonts w:ascii="Times" w:hAnsi="Times" w:cs="Times New Roman"/>
          <w:i/>
          <w:sz w:val="23"/>
          <w:szCs w:val="23"/>
        </w:rPr>
        <w:t>Ageing and Society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27</w:t>
      </w:r>
      <w:r w:rsidR="00DF05BD" w:rsidRPr="00F853DD">
        <w:rPr>
          <w:rFonts w:ascii="Times" w:hAnsi="Times" w:cs="Times New Roman"/>
          <w:sz w:val="23"/>
          <w:szCs w:val="23"/>
        </w:rPr>
        <w:t>, 755-778.</w:t>
      </w:r>
    </w:p>
    <w:p w14:paraId="2ADE3798" w14:textId="3ACE361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Rosino, M.</w:t>
      </w:r>
      <w:r w:rsidR="00586674" w:rsidRPr="00F853DD">
        <w:rPr>
          <w:rFonts w:ascii="Times" w:hAnsi="Times" w:cs="Times New Roman"/>
          <w:sz w:val="23"/>
          <w:szCs w:val="23"/>
        </w:rPr>
        <w:t>,</w:t>
      </w:r>
      <w:r w:rsidRPr="00F853DD">
        <w:rPr>
          <w:rFonts w:ascii="Times" w:hAnsi="Times" w:cs="Times New Roman"/>
          <w:sz w:val="23"/>
          <w:szCs w:val="23"/>
        </w:rPr>
        <w:t xml:space="preserve"> (2016). ABC-X Model of Family Stress and Coping. In: Shehan, C. (ed.) </w:t>
      </w:r>
      <w:r w:rsidRPr="00F853DD">
        <w:rPr>
          <w:rFonts w:ascii="Times" w:hAnsi="Times" w:cs="Times New Roman"/>
          <w:i/>
          <w:sz w:val="23"/>
          <w:szCs w:val="23"/>
        </w:rPr>
        <w:t>The Wiley Blackwell Encyclopedia of Family Studies</w:t>
      </w:r>
      <w:r w:rsidRPr="00F853DD">
        <w:rPr>
          <w:rFonts w:ascii="Times" w:hAnsi="Times" w:cs="Times New Roman"/>
          <w:sz w:val="23"/>
          <w:szCs w:val="23"/>
        </w:rPr>
        <w:t>. John Wiley and Sons Inc.</w:t>
      </w:r>
    </w:p>
    <w:p w14:paraId="2A0797DD" w14:textId="011F812C" w:rsidR="00DF05BD" w:rsidRPr="00F853DD" w:rsidRDefault="0058667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Rosland, A., Piette, J.</w:t>
      </w:r>
      <w:r w:rsidR="00DF05BD" w:rsidRPr="00F853DD">
        <w:rPr>
          <w:rFonts w:ascii="Times" w:hAnsi="Times" w:cs="Times New Roman"/>
          <w:sz w:val="23"/>
          <w:szCs w:val="23"/>
        </w:rPr>
        <w:t>, Choi, H. and Heisler, M.</w:t>
      </w:r>
      <w:r w:rsidRPr="00F853DD">
        <w:rPr>
          <w:rFonts w:ascii="Times" w:hAnsi="Times" w:cs="Times New Roman"/>
          <w:sz w:val="23"/>
          <w:szCs w:val="23"/>
        </w:rPr>
        <w:t>,</w:t>
      </w:r>
      <w:r w:rsidR="00DF05BD" w:rsidRPr="00F853DD">
        <w:rPr>
          <w:rFonts w:ascii="Times" w:hAnsi="Times" w:cs="Times New Roman"/>
          <w:sz w:val="23"/>
          <w:szCs w:val="23"/>
        </w:rPr>
        <w:t xml:space="preserve"> (2011). Family and friend participation in primary care visits of patients with diabetes or heart failure patient and physician determinants and experiences. </w:t>
      </w:r>
      <w:r w:rsidR="00DF05BD" w:rsidRPr="00F853DD">
        <w:rPr>
          <w:rFonts w:ascii="Times" w:hAnsi="Times" w:cs="Times New Roman"/>
          <w:i/>
          <w:sz w:val="23"/>
          <w:szCs w:val="23"/>
        </w:rPr>
        <w:t>Medical Care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49</w:t>
      </w:r>
      <w:r w:rsidR="00DF05BD" w:rsidRPr="00F853DD">
        <w:rPr>
          <w:rFonts w:ascii="Times" w:hAnsi="Times" w:cs="Times New Roman"/>
          <w:sz w:val="23"/>
          <w:szCs w:val="23"/>
        </w:rPr>
        <w:t>, 37-45.</w:t>
      </w:r>
    </w:p>
    <w:p w14:paraId="0059C45E" w14:textId="716ED8E3" w:rsidR="00DF05BD" w:rsidRPr="00F853DD" w:rsidRDefault="0058667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Roth, D., Fredman, L. and Haley, W.,</w:t>
      </w:r>
      <w:r w:rsidR="00DF05BD" w:rsidRPr="00F853DD">
        <w:rPr>
          <w:rFonts w:ascii="Times" w:hAnsi="Times" w:cs="Times New Roman"/>
          <w:sz w:val="23"/>
          <w:szCs w:val="23"/>
        </w:rPr>
        <w:t xml:space="preserve"> (2015). Informal caregiving and its impact on health: </w:t>
      </w:r>
      <w:r w:rsidRPr="00F853DD">
        <w:rPr>
          <w:rFonts w:ascii="Times" w:hAnsi="Times" w:cs="Times New Roman"/>
          <w:sz w:val="23"/>
          <w:szCs w:val="23"/>
        </w:rPr>
        <w:t>a</w:t>
      </w:r>
      <w:r w:rsidR="00DF05BD" w:rsidRPr="00F853DD">
        <w:rPr>
          <w:rFonts w:ascii="Times" w:hAnsi="Times" w:cs="Times New Roman"/>
          <w:sz w:val="23"/>
          <w:szCs w:val="23"/>
        </w:rPr>
        <w:t xml:space="preserve"> reappraisal from population-based studies. </w:t>
      </w:r>
      <w:r w:rsidR="00DF05BD" w:rsidRPr="00F853DD">
        <w:rPr>
          <w:rFonts w:ascii="Times" w:hAnsi="Times" w:cs="Times New Roman"/>
          <w:i/>
          <w:sz w:val="23"/>
          <w:szCs w:val="23"/>
        </w:rPr>
        <w:t>Gerontologist</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55</w:t>
      </w:r>
      <w:r w:rsidR="00DF05BD" w:rsidRPr="00F853DD">
        <w:rPr>
          <w:rFonts w:ascii="Times" w:hAnsi="Times" w:cs="Times New Roman"/>
          <w:sz w:val="23"/>
          <w:szCs w:val="23"/>
        </w:rPr>
        <w:t>, 309-319.</w:t>
      </w:r>
    </w:p>
    <w:p w14:paraId="0ECEFDC7" w14:textId="281F641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Roth, D., Perkins, M., Wadley, V., Temple, E. and Haley, W.</w:t>
      </w:r>
      <w:r w:rsidR="00586674" w:rsidRPr="00F853DD">
        <w:rPr>
          <w:rFonts w:ascii="Times" w:hAnsi="Times" w:cs="Times New Roman"/>
          <w:sz w:val="23"/>
          <w:szCs w:val="23"/>
        </w:rPr>
        <w:t>,</w:t>
      </w:r>
      <w:r w:rsidRPr="00F853DD">
        <w:rPr>
          <w:rFonts w:ascii="Times" w:hAnsi="Times" w:cs="Times New Roman"/>
          <w:sz w:val="23"/>
          <w:szCs w:val="23"/>
        </w:rPr>
        <w:t xml:space="preserve"> (2009). Family caregiving and emotional strain: associations with quality of life in a large national sample of middle-aged and older adults. </w:t>
      </w:r>
      <w:r w:rsidRPr="00F853DD">
        <w:rPr>
          <w:rFonts w:ascii="Times" w:hAnsi="Times" w:cs="Times New Roman"/>
          <w:i/>
          <w:sz w:val="23"/>
          <w:szCs w:val="23"/>
        </w:rPr>
        <w:t xml:space="preserve">Quality </w:t>
      </w:r>
      <w:r w:rsidR="00586674" w:rsidRPr="00F853DD">
        <w:rPr>
          <w:rFonts w:ascii="Times" w:hAnsi="Times" w:cs="Times New Roman"/>
          <w:i/>
          <w:sz w:val="23"/>
          <w:szCs w:val="23"/>
        </w:rPr>
        <w:t>of Life Research</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(6), 679-688.</w:t>
      </w:r>
    </w:p>
    <w:p w14:paraId="35EA748A" w14:textId="395DC7DA" w:rsidR="00DF05BD" w:rsidRPr="00F853DD" w:rsidRDefault="0058667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Roth, S. and Cohen, L.,</w:t>
      </w:r>
      <w:r w:rsidR="00DF05BD" w:rsidRPr="00F853DD">
        <w:rPr>
          <w:rFonts w:ascii="Times" w:hAnsi="Times" w:cs="Times New Roman"/>
          <w:sz w:val="23"/>
          <w:szCs w:val="23"/>
        </w:rPr>
        <w:t xml:space="preserve"> (1986). Approach, avoidance and coping with stress. </w:t>
      </w:r>
      <w:r w:rsidR="00DF05BD" w:rsidRPr="00F853DD">
        <w:rPr>
          <w:rFonts w:ascii="Times" w:hAnsi="Times" w:cs="Times New Roman"/>
          <w:i/>
          <w:sz w:val="23"/>
          <w:szCs w:val="23"/>
        </w:rPr>
        <w:t>American Psychologist</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41</w:t>
      </w:r>
      <w:r w:rsidR="00DF05BD" w:rsidRPr="00F853DD">
        <w:rPr>
          <w:rFonts w:ascii="Times" w:hAnsi="Times" w:cs="Times New Roman"/>
          <w:sz w:val="23"/>
          <w:szCs w:val="23"/>
        </w:rPr>
        <w:t>, 813-819.</w:t>
      </w:r>
    </w:p>
    <w:p w14:paraId="7E85B1A5" w14:textId="6FFE3D9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Rouse, J.</w:t>
      </w:r>
      <w:r w:rsidR="00586674" w:rsidRPr="00F853DD">
        <w:rPr>
          <w:rFonts w:ascii="Times" w:hAnsi="Times" w:cs="Times New Roman"/>
          <w:sz w:val="23"/>
          <w:szCs w:val="23"/>
        </w:rPr>
        <w:t>,</w:t>
      </w:r>
      <w:r w:rsidRPr="00F853DD">
        <w:rPr>
          <w:rFonts w:ascii="Times" w:hAnsi="Times" w:cs="Times New Roman"/>
          <w:sz w:val="23"/>
          <w:szCs w:val="23"/>
        </w:rPr>
        <w:t xml:space="preserve"> (2009). </w:t>
      </w:r>
      <w:r w:rsidRPr="00F853DD">
        <w:rPr>
          <w:rFonts w:ascii="Times" w:hAnsi="Times" w:cs="Times New Roman"/>
          <w:i/>
          <w:sz w:val="23"/>
          <w:szCs w:val="23"/>
        </w:rPr>
        <w:t>Vulner</w:t>
      </w:r>
      <w:r w:rsidR="00586674" w:rsidRPr="00F853DD">
        <w:rPr>
          <w:rFonts w:ascii="Times" w:hAnsi="Times" w:cs="Times New Roman"/>
          <w:i/>
          <w:sz w:val="23"/>
          <w:szCs w:val="23"/>
        </w:rPr>
        <w:t>able groups in the Caribbean  o</w:t>
      </w:r>
      <w:r w:rsidRPr="00F853DD">
        <w:rPr>
          <w:rFonts w:ascii="Times" w:hAnsi="Times" w:cs="Times New Roman"/>
          <w:i/>
          <w:sz w:val="23"/>
          <w:szCs w:val="23"/>
        </w:rPr>
        <w:t>lder persons</w:t>
      </w:r>
      <w:r w:rsidRPr="00F853DD">
        <w:rPr>
          <w:rFonts w:ascii="Times" w:hAnsi="Times" w:cs="Times New Roman"/>
          <w:sz w:val="23"/>
          <w:szCs w:val="23"/>
        </w:rPr>
        <w:t>. ICPD Caribbean Sub-regional Expert Meeting.</w:t>
      </w:r>
    </w:p>
    <w:p w14:paraId="69FCFF59" w14:textId="52A9DF1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Rouse, J., Ramkissoon, V. and Ramdoo, P.</w:t>
      </w:r>
      <w:r w:rsidR="00586674" w:rsidRPr="00F853DD">
        <w:rPr>
          <w:rFonts w:ascii="Times" w:hAnsi="Times" w:cs="Times New Roman"/>
          <w:sz w:val="23"/>
          <w:szCs w:val="23"/>
        </w:rPr>
        <w:t>,</w:t>
      </w:r>
      <w:r w:rsidRPr="00F853DD">
        <w:rPr>
          <w:rFonts w:ascii="Times" w:hAnsi="Times" w:cs="Times New Roman"/>
          <w:sz w:val="23"/>
          <w:szCs w:val="23"/>
        </w:rPr>
        <w:t xml:space="preserve"> (2010). The dynamics and consequences of population ageing in Trinidad and Tobago: </w:t>
      </w:r>
      <w:r w:rsidR="00586674" w:rsidRPr="00F853DD">
        <w:rPr>
          <w:rFonts w:ascii="Times" w:hAnsi="Times" w:cs="Times New Roman"/>
          <w:sz w:val="23"/>
          <w:szCs w:val="23"/>
        </w:rPr>
        <w:t>a</w:t>
      </w:r>
      <w:r w:rsidRPr="00F853DD">
        <w:rPr>
          <w:rFonts w:ascii="Times" w:hAnsi="Times" w:cs="Times New Roman"/>
          <w:sz w:val="23"/>
          <w:szCs w:val="23"/>
        </w:rPr>
        <w:t xml:space="preserve"> call for responsible planning for sustainable development. </w:t>
      </w:r>
      <w:r w:rsidRPr="00F853DD">
        <w:rPr>
          <w:rFonts w:ascii="Times" w:hAnsi="Times" w:cs="Times New Roman"/>
          <w:i/>
          <w:sz w:val="23"/>
          <w:szCs w:val="23"/>
        </w:rPr>
        <w:t>Towards Epistemic Sovereignty: (Re)-Thinking Development in a Changing Global Political Economy,</w:t>
      </w:r>
      <w:r w:rsidRPr="00F853DD">
        <w:rPr>
          <w:rFonts w:ascii="Times" w:hAnsi="Times" w:cs="Times New Roman"/>
          <w:sz w:val="23"/>
          <w:szCs w:val="23"/>
        </w:rPr>
        <w:t xml:space="preserve"> 175-188.</w:t>
      </w:r>
    </w:p>
    <w:p w14:paraId="29DCF5A4" w14:textId="7F35CE9B" w:rsidR="00DF05BD" w:rsidRPr="00F853DD" w:rsidRDefault="00586674"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Rowland, K.,</w:t>
      </w:r>
      <w:r w:rsidR="00DF05BD" w:rsidRPr="00F853DD">
        <w:rPr>
          <w:rFonts w:ascii="Times" w:hAnsi="Times" w:cs="Times New Roman"/>
          <w:sz w:val="23"/>
          <w:szCs w:val="23"/>
        </w:rPr>
        <w:t xml:space="preserve"> (1977). Environmental events predicting death for the elderly. </w:t>
      </w:r>
      <w:r w:rsidR="00DF05BD" w:rsidRPr="00F853DD">
        <w:rPr>
          <w:rFonts w:ascii="Times" w:hAnsi="Times" w:cs="Times New Roman"/>
          <w:i/>
          <w:sz w:val="23"/>
          <w:szCs w:val="23"/>
        </w:rPr>
        <w:t>Psychological Bulletin</w:t>
      </w:r>
      <w:r w:rsidRPr="00F853DD">
        <w:rPr>
          <w:rFonts w:ascii="Times" w:hAnsi="Times" w:cs="Times New Roman"/>
          <w:sz w:val="23"/>
          <w:szCs w:val="23"/>
        </w:rPr>
        <w:t>.</w:t>
      </w:r>
      <w:r w:rsidR="00DF05BD" w:rsidRPr="00F853DD">
        <w:rPr>
          <w:rFonts w:ascii="Times" w:hAnsi="Times" w:cs="Times New Roman"/>
          <w:sz w:val="23"/>
          <w:szCs w:val="23"/>
        </w:rPr>
        <w:t> </w:t>
      </w:r>
      <w:r w:rsidR="00DF05BD" w:rsidRPr="00F853DD">
        <w:rPr>
          <w:rFonts w:ascii="Times" w:hAnsi="Times" w:cs="Times New Roman"/>
          <w:b/>
          <w:sz w:val="23"/>
          <w:szCs w:val="23"/>
        </w:rPr>
        <w:t>84</w:t>
      </w:r>
      <w:r w:rsidR="00DF05BD" w:rsidRPr="00F853DD">
        <w:rPr>
          <w:rFonts w:ascii="Times" w:hAnsi="Times" w:cs="Times New Roman"/>
          <w:sz w:val="23"/>
          <w:szCs w:val="23"/>
        </w:rPr>
        <w:t>(2), 349.</w:t>
      </w:r>
    </w:p>
    <w:p w14:paraId="1CC8552B" w14:textId="4E4405B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Ruggles, S.</w:t>
      </w:r>
      <w:r w:rsidR="00586674" w:rsidRPr="00F853DD">
        <w:rPr>
          <w:rFonts w:ascii="Times" w:hAnsi="Times" w:cs="Times New Roman"/>
          <w:sz w:val="23"/>
          <w:szCs w:val="23"/>
        </w:rPr>
        <w:t>,</w:t>
      </w:r>
      <w:r w:rsidRPr="00F853DD">
        <w:rPr>
          <w:rFonts w:ascii="Times" w:hAnsi="Times" w:cs="Times New Roman"/>
          <w:sz w:val="23"/>
          <w:szCs w:val="23"/>
        </w:rPr>
        <w:t xml:space="preserve"> (1994). The Transformation of American family-structure. </w:t>
      </w:r>
      <w:r w:rsidRPr="00F853DD">
        <w:rPr>
          <w:rFonts w:ascii="Times" w:hAnsi="Times" w:cs="Times New Roman"/>
          <w:i/>
          <w:sz w:val="23"/>
          <w:szCs w:val="23"/>
        </w:rPr>
        <w:t>American Historical Review</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99</w:t>
      </w:r>
      <w:r w:rsidRPr="00F853DD">
        <w:rPr>
          <w:rFonts w:ascii="Times" w:hAnsi="Times" w:cs="Times New Roman"/>
          <w:sz w:val="23"/>
          <w:szCs w:val="23"/>
        </w:rPr>
        <w:t>, 103-128.</w:t>
      </w:r>
    </w:p>
    <w:p w14:paraId="4C781C20" w14:textId="229C55F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Russell, R.</w:t>
      </w:r>
      <w:r w:rsidR="00586674" w:rsidRPr="00F853DD">
        <w:rPr>
          <w:rFonts w:ascii="Times" w:hAnsi="Times" w:cs="Times New Roman"/>
          <w:sz w:val="23"/>
          <w:szCs w:val="23"/>
        </w:rPr>
        <w:t>,</w:t>
      </w:r>
      <w:r w:rsidRPr="00F853DD">
        <w:rPr>
          <w:rFonts w:ascii="Times" w:hAnsi="Times" w:cs="Times New Roman"/>
          <w:sz w:val="23"/>
          <w:szCs w:val="23"/>
        </w:rPr>
        <w:t xml:space="preserve"> (2001). In sickness and in health. </w:t>
      </w:r>
      <w:r w:rsidRPr="00F853DD">
        <w:rPr>
          <w:rFonts w:ascii="Times" w:hAnsi="Times" w:cs="Times New Roman"/>
          <w:i/>
          <w:sz w:val="23"/>
          <w:szCs w:val="23"/>
        </w:rPr>
        <w:t>Journal of Aging Studies</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351-367.</w:t>
      </w:r>
    </w:p>
    <w:p w14:paraId="36DBD8BC" w14:textId="411C2C5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Russell, R.</w:t>
      </w:r>
      <w:r w:rsidR="00586674" w:rsidRPr="00F853DD">
        <w:rPr>
          <w:rFonts w:ascii="Times" w:hAnsi="Times" w:cs="Times New Roman"/>
          <w:sz w:val="23"/>
          <w:szCs w:val="23"/>
        </w:rPr>
        <w:t>,</w:t>
      </w:r>
      <w:r w:rsidRPr="00F853DD">
        <w:rPr>
          <w:rFonts w:ascii="Times" w:hAnsi="Times" w:cs="Times New Roman"/>
          <w:sz w:val="23"/>
          <w:szCs w:val="23"/>
        </w:rPr>
        <w:t xml:space="preserve"> (2007). The wo</w:t>
      </w:r>
      <w:r w:rsidR="00586674" w:rsidRPr="00F853DD">
        <w:rPr>
          <w:rFonts w:ascii="Times" w:hAnsi="Times" w:cs="Times New Roman"/>
          <w:sz w:val="23"/>
          <w:szCs w:val="23"/>
        </w:rPr>
        <w:t>rk of elderly men caregivers: f</w:t>
      </w:r>
      <w:r w:rsidRPr="00F853DD">
        <w:rPr>
          <w:rFonts w:ascii="Times" w:hAnsi="Times" w:cs="Times New Roman"/>
          <w:sz w:val="23"/>
          <w:szCs w:val="23"/>
        </w:rPr>
        <w:t xml:space="preserve">rom public careers to an unseen world. </w:t>
      </w:r>
      <w:r w:rsidRPr="00F853DD">
        <w:rPr>
          <w:rFonts w:ascii="Times" w:hAnsi="Times" w:cs="Times New Roman"/>
          <w:i/>
          <w:sz w:val="23"/>
          <w:szCs w:val="23"/>
        </w:rPr>
        <w:t>Men and Masculinities</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 298-314.</w:t>
      </w:r>
    </w:p>
    <w:p w14:paraId="2B16675C" w14:textId="5DBA32D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Russell-Brown, P., Norville, B. and Griffith, C.</w:t>
      </w:r>
      <w:r w:rsidR="00586674" w:rsidRPr="00F853DD">
        <w:rPr>
          <w:rFonts w:ascii="Times" w:hAnsi="Times" w:cs="Times New Roman"/>
          <w:sz w:val="23"/>
          <w:szCs w:val="23"/>
        </w:rPr>
        <w:t>,</w:t>
      </w:r>
      <w:r w:rsidRPr="00F853DD">
        <w:rPr>
          <w:rFonts w:ascii="Times" w:hAnsi="Times" w:cs="Times New Roman"/>
          <w:sz w:val="23"/>
          <w:szCs w:val="23"/>
        </w:rPr>
        <w:t xml:space="preserve"> (1997). Child shifting: A survival strategy for teenage mothers. In: Roopnarine, J. and Brown, J. (eds.) </w:t>
      </w:r>
      <w:r w:rsidRPr="00F853DD">
        <w:rPr>
          <w:rFonts w:ascii="Times" w:hAnsi="Times" w:cs="Times New Roman"/>
          <w:i/>
          <w:sz w:val="23"/>
          <w:szCs w:val="23"/>
        </w:rPr>
        <w:t>Caribbean families: diversity among ethnic groups</w:t>
      </w:r>
      <w:r w:rsidRPr="00F853DD">
        <w:rPr>
          <w:rFonts w:ascii="Times" w:hAnsi="Times" w:cs="Times New Roman"/>
          <w:sz w:val="23"/>
          <w:szCs w:val="23"/>
        </w:rPr>
        <w:t>. London: Ablex Publishing Corporation.</w:t>
      </w:r>
    </w:p>
    <w:p w14:paraId="1587FDB4" w14:textId="7642B6E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Rutter, M.</w:t>
      </w:r>
      <w:r w:rsidR="00586674" w:rsidRPr="00F853DD">
        <w:rPr>
          <w:rFonts w:ascii="Times" w:hAnsi="Times" w:cs="Times New Roman"/>
          <w:sz w:val="23"/>
          <w:szCs w:val="23"/>
        </w:rPr>
        <w:t>,</w:t>
      </w:r>
      <w:r w:rsidRPr="00F853DD">
        <w:rPr>
          <w:rFonts w:ascii="Times" w:hAnsi="Times" w:cs="Times New Roman"/>
          <w:sz w:val="23"/>
          <w:szCs w:val="23"/>
        </w:rPr>
        <w:t xml:space="preserve"> (1985). Resilience in the face of adversity – Protective factors and resistance to psychiatric disorder. </w:t>
      </w:r>
      <w:r w:rsidRPr="00F853DD">
        <w:rPr>
          <w:rFonts w:ascii="Times" w:hAnsi="Times" w:cs="Times New Roman"/>
          <w:i/>
          <w:sz w:val="23"/>
          <w:szCs w:val="23"/>
        </w:rPr>
        <w:t>British Journal of Psychiatry</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147</w:t>
      </w:r>
      <w:r w:rsidRPr="00F853DD">
        <w:rPr>
          <w:rFonts w:ascii="Times" w:hAnsi="Times" w:cs="Times New Roman"/>
          <w:sz w:val="23"/>
          <w:szCs w:val="23"/>
        </w:rPr>
        <w:t>, 598-611.</w:t>
      </w:r>
    </w:p>
    <w:p w14:paraId="1D1CAE98" w14:textId="4D3AE58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Rutter, M.</w:t>
      </w:r>
      <w:r w:rsidR="00586674" w:rsidRPr="00F853DD">
        <w:rPr>
          <w:rFonts w:ascii="Times" w:hAnsi="Times" w:cs="Times New Roman"/>
          <w:sz w:val="23"/>
          <w:szCs w:val="23"/>
        </w:rPr>
        <w:t>,</w:t>
      </w:r>
      <w:r w:rsidRPr="00F853DD">
        <w:rPr>
          <w:rFonts w:ascii="Times" w:hAnsi="Times" w:cs="Times New Roman"/>
          <w:sz w:val="23"/>
          <w:szCs w:val="23"/>
        </w:rPr>
        <w:t xml:space="preserve"> (2006). Implications of resilience concepts for scientific understanding. </w:t>
      </w:r>
      <w:r w:rsidRPr="00F853DD">
        <w:rPr>
          <w:rFonts w:ascii="Times" w:hAnsi="Times" w:cs="Times New Roman"/>
          <w:i/>
          <w:sz w:val="23"/>
          <w:szCs w:val="23"/>
        </w:rPr>
        <w:t>Resilience in Children</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1094</w:t>
      </w:r>
      <w:r w:rsidRPr="00F853DD">
        <w:rPr>
          <w:rFonts w:ascii="Times" w:hAnsi="Times" w:cs="Times New Roman"/>
          <w:sz w:val="23"/>
          <w:szCs w:val="23"/>
        </w:rPr>
        <w:t>, 1-12.</w:t>
      </w:r>
    </w:p>
    <w:p w14:paraId="7062CCA4" w14:textId="64987AF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Rutter, M.</w:t>
      </w:r>
      <w:r w:rsidR="00586674" w:rsidRPr="00F853DD">
        <w:rPr>
          <w:rFonts w:ascii="Times" w:hAnsi="Times" w:cs="Times New Roman"/>
          <w:sz w:val="23"/>
          <w:szCs w:val="23"/>
        </w:rPr>
        <w:t>,</w:t>
      </w:r>
      <w:r w:rsidRPr="00F853DD">
        <w:rPr>
          <w:rFonts w:ascii="Times" w:hAnsi="Times" w:cs="Times New Roman"/>
          <w:sz w:val="23"/>
          <w:szCs w:val="23"/>
        </w:rPr>
        <w:t xml:space="preserve"> (2007). Resilience, competence, and coping. </w:t>
      </w:r>
      <w:r w:rsidRPr="00F853DD">
        <w:rPr>
          <w:rFonts w:ascii="Times" w:hAnsi="Times" w:cs="Times New Roman"/>
          <w:i/>
          <w:sz w:val="23"/>
          <w:szCs w:val="23"/>
        </w:rPr>
        <w:t>Child Abuse and Neglect</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205-209.</w:t>
      </w:r>
    </w:p>
    <w:p w14:paraId="19519E1A" w14:textId="6AACDF3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Rutter, M.</w:t>
      </w:r>
      <w:r w:rsidR="00586674" w:rsidRPr="00F853DD">
        <w:rPr>
          <w:rFonts w:ascii="Times" w:hAnsi="Times" w:cs="Times New Roman"/>
          <w:sz w:val="23"/>
          <w:szCs w:val="23"/>
        </w:rPr>
        <w:t>,</w:t>
      </w:r>
      <w:r w:rsidRPr="00F853DD">
        <w:rPr>
          <w:rFonts w:ascii="Times" w:hAnsi="Times" w:cs="Times New Roman"/>
          <w:sz w:val="23"/>
          <w:szCs w:val="23"/>
        </w:rPr>
        <w:t xml:space="preserve"> (2012). Resilience as a dynamic concept. </w:t>
      </w:r>
      <w:r w:rsidRPr="00F853DD">
        <w:rPr>
          <w:rFonts w:ascii="Times" w:hAnsi="Times" w:cs="Times New Roman"/>
          <w:i/>
          <w:sz w:val="23"/>
          <w:szCs w:val="23"/>
        </w:rPr>
        <w:t>Development and Psychopathology</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335-344.</w:t>
      </w:r>
    </w:p>
    <w:p w14:paraId="6B2AFBEC" w14:textId="246ABDB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Ryan, G. and Bernard, H.</w:t>
      </w:r>
      <w:r w:rsidR="00586674" w:rsidRPr="00F853DD">
        <w:rPr>
          <w:rFonts w:ascii="Times" w:hAnsi="Times" w:cs="Times New Roman"/>
          <w:sz w:val="23"/>
          <w:szCs w:val="23"/>
        </w:rPr>
        <w:t>,</w:t>
      </w:r>
      <w:r w:rsidRPr="00F853DD">
        <w:rPr>
          <w:rFonts w:ascii="Times" w:hAnsi="Times" w:cs="Times New Roman"/>
          <w:sz w:val="23"/>
          <w:szCs w:val="23"/>
        </w:rPr>
        <w:t xml:space="preserve"> (2003). Techniques to identify themes in qualitative data. </w:t>
      </w:r>
      <w:r w:rsidRPr="00F853DD">
        <w:rPr>
          <w:rFonts w:ascii="Times" w:hAnsi="Times" w:cs="Times New Roman"/>
          <w:i/>
          <w:sz w:val="23"/>
          <w:szCs w:val="23"/>
        </w:rPr>
        <w:t>Field Methods</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xml:space="preserve">(1), 85-109.  </w:t>
      </w:r>
    </w:p>
    <w:p w14:paraId="6B0F7A94" w14:textId="1BA7E63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Saito</w:t>
      </w:r>
      <w:r w:rsidR="00586674" w:rsidRPr="00F853DD">
        <w:rPr>
          <w:rFonts w:ascii="Times" w:hAnsi="Times" w:cs="Times New Roman"/>
          <w:sz w:val="23"/>
          <w:szCs w:val="23"/>
        </w:rPr>
        <w:t>, T., Kai, I. and Chalise, H.,</w:t>
      </w:r>
      <w:r w:rsidRPr="00F853DD">
        <w:rPr>
          <w:rFonts w:ascii="Times" w:hAnsi="Times" w:cs="Times New Roman"/>
          <w:sz w:val="23"/>
          <w:szCs w:val="23"/>
        </w:rPr>
        <w:t xml:space="preserve"> (2008). Functional disability in activities of daily living and instrumental activities of daily living among Nepalese Newar elderly. </w:t>
      </w:r>
      <w:r w:rsidRPr="00F853DD">
        <w:rPr>
          <w:rFonts w:ascii="Times" w:hAnsi="Times" w:cs="Times New Roman"/>
          <w:i/>
          <w:sz w:val="23"/>
          <w:szCs w:val="23"/>
        </w:rPr>
        <w:t>Public Health</w:t>
      </w:r>
      <w:r w:rsidR="0058667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122</w:t>
      </w:r>
      <w:r w:rsidRPr="00F853DD">
        <w:rPr>
          <w:rFonts w:ascii="Times" w:hAnsi="Times" w:cs="Times New Roman"/>
          <w:sz w:val="23"/>
          <w:szCs w:val="23"/>
        </w:rPr>
        <w:t>, 394-396.</w:t>
      </w:r>
    </w:p>
    <w:p w14:paraId="4BDE648B" w14:textId="45BD3C97"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Sakakibara, K., Kabayama, M. and Ito, M.</w:t>
      </w:r>
      <w:r w:rsidR="00586674" w:rsidRPr="00F853DD">
        <w:rPr>
          <w:rFonts w:ascii="Times" w:hAnsi="Times" w:cs="Times New Roman"/>
          <w:sz w:val="23"/>
          <w:szCs w:val="23"/>
        </w:rPr>
        <w:t>,</w:t>
      </w:r>
      <w:r w:rsidRPr="00F853DD">
        <w:rPr>
          <w:rFonts w:ascii="Times" w:hAnsi="Times" w:cs="Times New Roman"/>
          <w:sz w:val="23"/>
          <w:szCs w:val="23"/>
        </w:rPr>
        <w:t xml:space="preserve"> </w:t>
      </w:r>
      <w:r w:rsidR="00586674" w:rsidRPr="00F853DD">
        <w:rPr>
          <w:rFonts w:ascii="Times" w:hAnsi="Times" w:cs="Times New Roman"/>
          <w:sz w:val="23"/>
          <w:szCs w:val="23"/>
        </w:rPr>
        <w:t>(2015). Experiences of “endless”</w:t>
      </w:r>
      <w:r w:rsidRPr="00F853DD">
        <w:rPr>
          <w:rFonts w:ascii="Times" w:hAnsi="Times" w:cs="Times New Roman"/>
          <w:sz w:val="23"/>
          <w:szCs w:val="23"/>
        </w:rPr>
        <w:t xml:space="preserve"> caregiving of impaired elderly at home by family caregivers: a qualitative study. </w:t>
      </w:r>
      <w:r w:rsidRPr="00F853DD">
        <w:rPr>
          <w:rFonts w:ascii="Times" w:hAnsi="Times" w:cs="Times New Roman"/>
          <w:i/>
          <w:sz w:val="23"/>
          <w:szCs w:val="23"/>
          <w:lang w:val="en-TT"/>
        </w:rPr>
        <w:t>BMC Research Notes</w:t>
      </w:r>
      <w:r w:rsidR="00586674" w:rsidRPr="00F853DD">
        <w:rPr>
          <w:rFonts w:ascii="Times" w:hAnsi="Times" w:cs="Times New Roman"/>
          <w:sz w:val="23"/>
          <w:szCs w:val="23"/>
          <w:lang w:val="en-TT"/>
        </w:rPr>
        <w:t>.</w:t>
      </w:r>
      <w:r w:rsidRPr="00F853DD">
        <w:rPr>
          <w:rFonts w:ascii="Times" w:hAnsi="Times" w:cs="Times New Roman"/>
          <w:sz w:val="23"/>
          <w:szCs w:val="23"/>
          <w:lang w:val="en-TT"/>
        </w:rPr>
        <w:t xml:space="preserve"> </w:t>
      </w:r>
      <w:r w:rsidRPr="00F853DD">
        <w:rPr>
          <w:rFonts w:ascii="Times" w:hAnsi="Times" w:cs="Times New Roman"/>
          <w:b/>
          <w:sz w:val="23"/>
          <w:szCs w:val="23"/>
          <w:lang w:val="en-TT"/>
        </w:rPr>
        <w:t>8</w:t>
      </w:r>
      <w:r w:rsidRPr="00F853DD">
        <w:rPr>
          <w:rFonts w:ascii="Times" w:hAnsi="Times" w:cs="Times New Roman"/>
          <w:sz w:val="23"/>
          <w:szCs w:val="23"/>
          <w:lang w:val="en-TT"/>
        </w:rPr>
        <w:t>, 827.</w:t>
      </w:r>
    </w:p>
    <w:p w14:paraId="2DC40E2D" w14:textId="4D442BB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lastRenderedPageBreak/>
        <w:t>Sanchez-Izquierdo, M., Pri</w:t>
      </w:r>
      <w:r w:rsidR="00141A8D" w:rsidRPr="00F853DD">
        <w:rPr>
          <w:rFonts w:ascii="Times" w:hAnsi="Times" w:cs="Times New Roman"/>
          <w:sz w:val="23"/>
          <w:szCs w:val="23"/>
          <w:lang w:val="en-TT"/>
        </w:rPr>
        <w:t>eto-Ursua, M. and Caperos, J.,</w:t>
      </w:r>
      <w:r w:rsidRPr="00F853DD">
        <w:rPr>
          <w:rFonts w:ascii="Times" w:hAnsi="Times" w:cs="Times New Roman"/>
          <w:sz w:val="23"/>
          <w:szCs w:val="23"/>
          <w:lang w:val="en-TT"/>
        </w:rPr>
        <w:t xml:space="preserve"> (2015). </w:t>
      </w:r>
      <w:r w:rsidRPr="00F853DD">
        <w:rPr>
          <w:rFonts w:ascii="Times" w:hAnsi="Times" w:cs="Times New Roman"/>
          <w:sz w:val="23"/>
          <w:szCs w:val="23"/>
        </w:rPr>
        <w:t>Positive aspects of family caregiving of dependent elderly</w:t>
      </w:r>
      <w:r w:rsidRPr="00F853DD">
        <w:rPr>
          <w:rFonts w:ascii="Times" w:hAnsi="Times" w:cs="Times New Roman"/>
          <w:i/>
          <w:sz w:val="23"/>
          <w:szCs w:val="23"/>
        </w:rPr>
        <w:t>. Educational Gerontology</w:t>
      </w:r>
      <w:r w:rsidR="00141A8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41</w:t>
      </w:r>
      <w:r w:rsidRPr="00F853DD">
        <w:rPr>
          <w:rFonts w:ascii="Times" w:hAnsi="Times" w:cs="Times New Roman"/>
          <w:sz w:val="23"/>
          <w:szCs w:val="23"/>
        </w:rPr>
        <w:t>, 745-756.</w:t>
      </w:r>
    </w:p>
    <w:p w14:paraId="55609A7B" w14:textId="74DBFB7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Sancho, J.</w:t>
      </w:r>
      <w:r w:rsidR="00141A8D" w:rsidRPr="00F853DD">
        <w:rPr>
          <w:rFonts w:ascii="Times" w:hAnsi="Times" w:cs="Times New Roman"/>
          <w:sz w:val="23"/>
          <w:szCs w:val="23"/>
        </w:rPr>
        <w:t>,</w:t>
      </w:r>
      <w:r w:rsidRPr="00F853DD">
        <w:rPr>
          <w:rFonts w:ascii="Times" w:hAnsi="Times" w:cs="Times New Roman"/>
          <w:sz w:val="23"/>
          <w:szCs w:val="23"/>
        </w:rPr>
        <w:t xml:space="preserve"> (1997). Health Reform in Trinidad and Tobago: </w:t>
      </w:r>
      <w:r w:rsidR="00141A8D" w:rsidRPr="00F853DD">
        <w:rPr>
          <w:rFonts w:ascii="Times" w:hAnsi="Times" w:cs="Times New Roman"/>
          <w:sz w:val="23"/>
          <w:szCs w:val="23"/>
        </w:rPr>
        <w:t>l</w:t>
      </w:r>
      <w:r w:rsidRPr="00F853DD">
        <w:rPr>
          <w:rFonts w:ascii="Times" w:hAnsi="Times" w:cs="Times New Roman"/>
          <w:sz w:val="23"/>
          <w:szCs w:val="23"/>
        </w:rPr>
        <w:t xml:space="preserve">essons for the Pacific Islands? </w:t>
      </w:r>
      <w:r w:rsidRPr="00F853DD">
        <w:rPr>
          <w:rFonts w:ascii="Times" w:hAnsi="Times" w:cs="Times New Roman"/>
          <w:i/>
          <w:sz w:val="23"/>
          <w:szCs w:val="23"/>
        </w:rPr>
        <w:t>Pacific Health Dialog</w:t>
      </w:r>
      <w:r w:rsidR="00141A8D"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4</w:t>
      </w:r>
      <w:r w:rsidRPr="00F853DD">
        <w:rPr>
          <w:rFonts w:ascii="Times" w:hAnsi="Times" w:cs="Times New Roman"/>
          <w:sz w:val="23"/>
          <w:szCs w:val="23"/>
        </w:rPr>
        <w:t xml:space="preserve">. Available from: http://pacifichealthdialog.org.fj/Volume204/No120Medical20Education20and20Health20Reform/Viewpoints20and20Perspectives/Health20reform20in20Trinidad20and20Tobago.pdf. </w:t>
      </w:r>
    </w:p>
    <w:p w14:paraId="76133B1E" w14:textId="169FD175"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Sander-Staudt, M.</w:t>
      </w:r>
      <w:r w:rsidR="00141A8D" w:rsidRPr="00F853DD">
        <w:rPr>
          <w:rFonts w:ascii="Times" w:hAnsi="Times" w:cs="Times New Roman"/>
          <w:sz w:val="23"/>
          <w:szCs w:val="23"/>
        </w:rPr>
        <w:t>,</w:t>
      </w:r>
      <w:r w:rsidRPr="00F853DD">
        <w:rPr>
          <w:rFonts w:ascii="Times" w:hAnsi="Times" w:cs="Times New Roman"/>
          <w:sz w:val="23"/>
          <w:szCs w:val="23"/>
        </w:rPr>
        <w:t xml:space="preserve"> (2019). </w:t>
      </w:r>
      <w:r w:rsidRPr="00F853DD">
        <w:rPr>
          <w:rFonts w:ascii="Times" w:hAnsi="Times" w:cs="Times New Roman"/>
          <w:i/>
          <w:sz w:val="23"/>
          <w:szCs w:val="23"/>
        </w:rPr>
        <w:t>Care Ethics</w:t>
      </w:r>
      <w:r w:rsidRPr="00F853DD">
        <w:rPr>
          <w:rFonts w:ascii="Times" w:hAnsi="Times" w:cs="Times New Roman"/>
          <w:sz w:val="23"/>
          <w:szCs w:val="23"/>
        </w:rPr>
        <w:t xml:space="preserve">. </w:t>
      </w:r>
      <w:r w:rsidRPr="00F853DD">
        <w:rPr>
          <w:rFonts w:ascii="Times" w:hAnsi="Times" w:cs="Times New Roman"/>
          <w:sz w:val="23"/>
          <w:szCs w:val="23"/>
          <w:lang w:val="en-TT"/>
        </w:rPr>
        <w:t>The Internet Encyclopedia of Philosophy, ISSN 2161-0002. Available from: http://www.iep.utm.edu/care-eth/.</w:t>
      </w:r>
    </w:p>
    <w:p w14:paraId="5ACFF751" w14:textId="7F08AB02" w:rsidR="00DF05BD" w:rsidRPr="00F853DD" w:rsidRDefault="00141A8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Sanuade, O.</w:t>
      </w:r>
      <w:r w:rsidR="00DF05BD" w:rsidRPr="00F853DD">
        <w:rPr>
          <w:rFonts w:ascii="Times" w:hAnsi="Times" w:cs="Times New Roman"/>
          <w:sz w:val="23"/>
          <w:szCs w:val="23"/>
        </w:rPr>
        <w:t xml:space="preserve"> and Boatemaa, S.</w:t>
      </w:r>
      <w:r w:rsidRPr="00F853DD">
        <w:rPr>
          <w:rFonts w:ascii="Times" w:hAnsi="Times" w:cs="Times New Roman"/>
          <w:sz w:val="23"/>
          <w:szCs w:val="23"/>
        </w:rPr>
        <w:t>,</w:t>
      </w:r>
      <w:r w:rsidR="00DF05BD" w:rsidRPr="00F853DD">
        <w:rPr>
          <w:rFonts w:ascii="Times" w:hAnsi="Times" w:cs="Times New Roman"/>
          <w:sz w:val="23"/>
          <w:szCs w:val="23"/>
        </w:rPr>
        <w:t xml:space="preserve"> (2015). Caregiver profiles and determinants of caregiving burden in Ghana. </w:t>
      </w:r>
      <w:r w:rsidR="00DF05BD" w:rsidRPr="00F853DD">
        <w:rPr>
          <w:rFonts w:ascii="Times" w:hAnsi="Times" w:cs="Times New Roman"/>
          <w:i/>
          <w:sz w:val="23"/>
          <w:szCs w:val="23"/>
        </w:rPr>
        <w:t>Public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129</w:t>
      </w:r>
      <w:r w:rsidR="00DF05BD" w:rsidRPr="00F853DD">
        <w:rPr>
          <w:rFonts w:ascii="Times" w:hAnsi="Times" w:cs="Times New Roman"/>
          <w:sz w:val="23"/>
          <w:szCs w:val="23"/>
        </w:rPr>
        <w:t>, 941-947.</w:t>
      </w:r>
    </w:p>
    <w:p w14:paraId="774FBD35" w14:textId="6D7878A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Saraceno, C. and Keck, W.</w:t>
      </w:r>
      <w:r w:rsidR="00141A8D" w:rsidRPr="00F853DD">
        <w:rPr>
          <w:rFonts w:ascii="Times" w:hAnsi="Times" w:cs="Times New Roman"/>
          <w:sz w:val="23"/>
          <w:szCs w:val="23"/>
        </w:rPr>
        <w:t>,</w:t>
      </w:r>
      <w:r w:rsidRPr="00F853DD">
        <w:rPr>
          <w:rFonts w:ascii="Times" w:hAnsi="Times" w:cs="Times New Roman"/>
          <w:sz w:val="23"/>
          <w:szCs w:val="23"/>
        </w:rPr>
        <w:t xml:space="preserve"> (2010). Can we identify intergenerational policy regimes in Europe? </w:t>
      </w:r>
      <w:r w:rsidRPr="00F853DD">
        <w:rPr>
          <w:rFonts w:ascii="Times" w:hAnsi="Times" w:cs="Times New Roman"/>
          <w:i/>
          <w:sz w:val="23"/>
          <w:szCs w:val="23"/>
        </w:rPr>
        <w:t>European Soc</w:t>
      </w:r>
      <w:r w:rsidR="00141A8D" w:rsidRPr="00F853DD">
        <w:rPr>
          <w:rFonts w:ascii="Times" w:hAnsi="Times" w:cs="Times New Roman"/>
          <w:i/>
          <w:sz w:val="23"/>
          <w:szCs w:val="23"/>
        </w:rPr>
        <w:t>ieties.</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 675-696.</w:t>
      </w:r>
    </w:p>
    <w:p w14:paraId="491A91D7" w14:textId="5DB3563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Sargent, C. and Harris, M.</w:t>
      </w:r>
      <w:r w:rsidR="00141A8D" w:rsidRPr="00F853DD">
        <w:rPr>
          <w:rFonts w:ascii="Times" w:hAnsi="Times" w:cs="Times New Roman"/>
          <w:sz w:val="23"/>
          <w:szCs w:val="23"/>
        </w:rPr>
        <w:t>,</w:t>
      </w:r>
      <w:r w:rsidRPr="00F853DD">
        <w:rPr>
          <w:rFonts w:ascii="Times" w:hAnsi="Times" w:cs="Times New Roman"/>
          <w:sz w:val="23"/>
          <w:szCs w:val="23"/>
        </w:rPr>
        <w:t xml:space="preserve"> (1992). Gender ideology, childrearing, and child health in Jamaica. </w:t>
      </w:r>
      <w:r w:rsidRPr="00F853DD">
        <w:rPr>
          <w:rFonts w:ascii="Times" w:hAnsi="Times" w:cs="Times New Roman"/>
          <w:i/>
          <w:sz w:val="23"/>
          <w:szCs w:val="23"/>
        </w:rPr>
        <w:t>American Ethnologist</w:t>
      </w:r>
      <w:r w:rsidR="00141A8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(3), 523-537.</w:t>
      </w:r>
    </w:p>
    <w:p w14:paraId="1B59BB0D" w14:textId="35BD08C3" w:rsidR="00DF05BD" w:rsidRPr="00F853DD" w:rsidRDefault="00141A8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Savundranayagam, M., Montgomery, R.</w:t>
      </w:r>
      <w:r w:rsidR="00DF05BD" w:rsidRPr="00F853DD">
        <w:rPr>
          <w:rFonts w:ascii="Times" w:hAnsi="Times" w:cs="Times New Roman"/>
          <w:sz w:val="23"/>
          <w:szCs w:val="23"/>
        </w:rPr>
        <w:t xml:space="preserve"> and Kosloski, K.</w:t>
      </w:r>
      <w:r w:rsidRPr="00F853DD">
        <w:rPr>
          <w:rFonts w:ascii="Times" w:hAnsi="Times" w:cs="Times New Roman"/>
          <w:sz w:val="23"/>
          <w:szCs w:val="23"/>
        </w:rPr>
        <w:t>,</w:t>
      </w:r>
      <w:r w:rsidR="00DF05BD" w:rsidRPr="00F853DD">
        <w:rPr>
          <w:rFonts w:ascii="Times" w:hAnsi="Times" w:cs="Times New Roman"/>
          <w:sz w:val="23"/>
          <w:szCs w:val="23"/>
        </w:rPr>
        <w:t xml:space="preserve"> (2011). A dimensional analysis of caregiver burden among spouses and adult children. </w:t>
      </w:r>
      <w:r w:rsidR="00DF05BD" w:rsidRPr="00F853DD">
        <w:rPr>
          <w:rFonts w:ascii="Times" w:hAnsi="Times" w:cs="Times New Roman"/>
          <w:i/>
          <w:sz w:val="23"/>
          <w:szCs w:val="23"/>
        </w:rPr>
        <w:t>The Gerontologist</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51</w:t>
      </w:r>
      <w:r w:rsidR="00DF05BD" w:rsidRPr="00F853DD">
        <w:rPr>
          <w:rFonts w:ascii="Times" w:hAnsi="Times" w:cs="Times New Roman"/>
          <w:sz w:val="23"/>
          <w:szCs w:val="23"/>
        </w:rPr>
        <w:t>, 321-331.</w:t>
      </w:r>
    </w:p>
    <w:p w14:paraId="5C69A24F" w14:textId="4BECBD13" w:rsidR="00DF05BD" w:rsidRPr="00F853DD" w:rsidRDefault="00141A8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Sayegh, P. and Knight, B.,</w:t>
      </w:r>
      <w:r w:rsidR="00DF05BD" w:rsidRPr="00F853DD">
        <w:rPr>
          <w:rFonts w:ascii="Times" w:hAnsi="Times" w:cs="Times New Roman"/>
          <w:sz w:val="23"/>
          <w:szCs w:val="23"/>
        </w:rPr>
        <w:t xml:space="preserve"> (2010). The effects of familism and cultural justification on the mental and physical health of family caregivers. </w:t>
      </w:r>
      <w:r w:rsidR="00DF05BD" w:rsidRPr="00F853DD">
        <w:rPr>
          <w:rFonts w:ascii="Times" w:hAnsi="Times" w:cs="Times New Roman"/>
          <w:i/>
          <w:sz w:val="23"/>
          <w:szCs w:val="23"/>
        </w:rPr>
        <w:t>Journals of Gerontology Series B-Psychological Sciences and Social Sciences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66</w:t>
      </w:r>
      <w:r w:rsidR="00DF05BD" w:rsidRPr="00F853DD">
        <w:rPr>
          <w:rFonts w:ascii="Times" w:hAnsi="Times" w:cs="Times New Roman"/>
          <w:sz w:val="23"/>
          <w:szCs w:val="23"/>
        </w:rPr>
        <w:t>, 3-14.</w:t>
      </w:r>
    </w:p>
    <w:p w14:paraId="4F15651E" w14:textId="0E313011" w:rsidR="003179D7" w:rsidRPr="00F853DD" w:rsidRDefault="00141A8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Scharp, K.</w:t>
      </w:r>
      <w:r w:rsidR="003179D7" w:rsidRPr="00F853DD">
        <w:rPr>
          <w:rFonts w:ascii="Times" w:hAnsi="Times" w:cs="Times New Roman"/>
          <w:sz w:val="23"/>
          <w:szCs w:val="23"/>
        </w:rPr>
        <w:t xml:space="preserve"> and Curran, T., </w:t>
      </w:r>
      <w:r w:rsidRPr="00F853DD">
        <w:rPr>
          <w:rFonts w:ascii="Times" w:hAnsi="Times" w:cs="Times New Roman"/>
          <w:sz w:val="23"/>
          <w:szCs w:val="23"/>
        </w:rPr>
        <w:t>(</w:t>
      </w:r>
      <w:r w:rsidR="003179D7" w:rsidRPr="00F853DD">
        <w:rPr>
          <w:rFonts w:ascii="Times" w:hAnsi="Times" w:cs="Times New Roman"/>
          <w:sz w:val="23"/>
          <w:szCs w:val="23"/>
        </w:rPr>
        <w:t>2018</w:t>
      </w:r>
      <w:r w:rsidRPr="00F853DD">
        <w:rPr>
          <w:rFonts w:ascii="Times" w:hAnsi="Times" w:cs="Times New Roman"/>
          <w:sz w:val="23"/>
          <w:szCs w:val="23"/>
        </w:rPr>
        <w:t>)</w:t>
      </w:r>
      <w:r w:rsidR="003179D7" w:rsidRPr="00F853DD">
        <w:rPr>
          <w:rFonts w:ascii="Times" w:hAnsi="Times" w:cs="Times New Roman"/>
          <w:sz w:val="23"/>
          <w:szCs w:val="23"/>
        </w:rPr>
        <w:t xml:space="preserve">. Caregiving </w:t>
      </w:r>
      <w:r w:rsidRPr="00F853DD">
        <w:rPr>
          <w:rFonts w:ascii="Times" w:hAnsi="Times" w:cs="Times New Roman"/>
          <w:sz w:val="23"/>
          <w:szCs w:val="23"/>
        </w:rPr>
        <w:t>w</w:t>
      </w:r>
      <w:r w:rsidR="003179D7" w:rsidRPr="00F853DD">
        <w:rPr>
          <w:rFonts w:ascii="Times" w:hAnsi="Times" w:cs="Times New Roman"/>
          <w:sz w:val="23"/>
          <w:szCs w:val="23"/>
        </w:rPr>
        <w:t xml:space="preserve">hen </w:t>
      </w:r>
      <w:r w:rsidRPr="00F853DD">
        <w:rPr>
          <w:rFonts w:ascii="Times" w:hAnsi="Times" w:cs="Times New Roman"/>
          <w:sz w:val="23"/>
          <w:szCs w:val="23"/>
        </w:rPr>
        <w:t>t</w:t>
      </w:r>
      <w:r w:rsidR="003179D7" w:rsidRPr="00F853DD">
        <w:rPr>
          <w:rFonts w:ascii="Times" w:hAnsi="Times" w:cs="Times New Roman"/>
          <w:sz w:val="23"/>
          <w:szCs w:val="23"/>
        </w:rPr>
        <w:t xml:space="preserve">here </w:t>
      </w:r>
      <w:r w:rsidRPr="00F853DD">
        <w:rPr>
          <w:rFonts w:ascii="Times" w:hAnsi="Times" w:cs="Times New Roman"/>
          <w:sz w:val="23"/>
          <w:szCs w:val="23"/>
        </w:rPr>
        <w:t>i</w:t>
      </w:r>
      <w:r w:rsidR="003179D7" w:rsidRPr="00F853DD">
        <w:rPr>
          <w:rFonts w:ascii="Times" w:hAnsi="Times" w:cs="Times New Roman"/>
          <w:sz w:val="23"/>
          <w:szCs w:val="23"/>
        </w:rPr>
        <w:t xml:space="preserve">s </w:t>
      </w:r>
      <w:r w:rsidRPr="00F853DD">
        <w:rPr>
          <w:rFonts w:ascii="Times" w:hAnsi="Times" w:cs="Times New Roman"/>
          <w:sz w:val="23"/>
          <w:szCs w:val="23"/>
        </w:rPr>
        <w:t>f</w:t>
      </w:r>
      <w:r w:rsidR="003179D7" w:rsidRPr="00F853DD">
        <w:rPr>
          <w:rFonts w:ascii="Times" w:hAnsi="Times" w:cs="Times New Roman"/>
          <w:sz w:val="23"/>
          <w:szCs w:val="23"/>
        </w:rPr>
        <w:t xml:space="preserve">amily </w:t>
      </w:r>
      <w:r w:rsidRPr="00F853DD">
        <w:rPr>
          <w:rFonts w:ascii="Times" w:hAnsi="Times" w:cs="Times New Roman"/>
          <w:sz w:val="23"/>
          <w:szCs w:val="23"/>
        </w:rPr>
        <w:t>c</w:t>
      </w:r>
      <w:r w:rsidR="003179D7" w:rsidRPr="00F853DD">
        <w:rPr>
          <w:rFonts w:ascii="Times" w:hAnsi="Times" w:cs="Times New Roman"/>
          <w:sz w:val="23"/>
          <w:szCs w:val="23"/>
        </w:rPr>
        <w:t xml:space="preserve">onflict and </w:t>
      </w:r>
      <w:r w:rsidRPr="00F853DD">
        <w:rPr>
          <w:rFonts w:ascii="Times" w:hAnsi="Times" w:cs="Times New Roman"/>
          <w:sz w:val="23"/>
          <w:szCs w:val="23"/>
        </w:rPr>
        <w:t>e</w:t>
      </w:r>
      <w:r w:rsidR="003179D7" w:rsidRPr="00F853DD">
        <w:rPr>
          <w:rFonts w:ascii="Times" w:hAnsi="Times" w:cs="Times New Roman"/>
          <w:sz w:val="23"/>
          <w:szCs w:val="23"/>
        </w:rPr>
        <w:t xml:space="preserve">strangement. </w:t>
      </w:r>
      <w:r w:rsidRPr="00F853DD">
        <w:rPr>
          <w:rFonts w:ascii="Times" w:hAnsi="Times" w:cs="Times New Roman"/>
          <w:i/>
          <w:sz w:val="23"/>
          <w:szCs w:val="23"/>
          <w:lang w:val="nl-NL"/>
        </w:rPr>
        <w:t>Generations</w:t>
      </w:r>
      <w:r w:rsidRPr="00F853DD">
        <w:rPr>
          <w:rFonts w:ascii="Times" w:hAnsi="Times" w:cs="Times New Roman"/>
          <w:sz w:val="23"/>
          <w:szCs w:val="23"/>
          <w:lang w:val="nl-NL"/>
        </w:rPr>
        <w:t xml:space="preserve">. 42(3), </w:t>
      </w:r>
      <w:r w:rsidR="003179D7" w:rsidRPr="00F853DD">
        <w:rPr>
          <w:rFonts w:ascii="Times" w:hAnsi="Times" w:cs="Times New Roman"/>
          <w:sz w:val="23"/>
          <w:szCs w:val="23"/>
          <w:lang w:val="nl-NL"/>
        </w:rPr>
        <w:t>51-56.</w:t>
      </w:r>
    </w:p>
    <w:p w14:paraId="5B84A091" w14:textId="0338BC8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Schenk, N., Dykstra, P., Maas, I. and Van Gaalen, R.</w:t>
      </w:r>
      <w:r w:rsidR="002D5EF0" w:rsidRPr="00F853DD">
        <w:rPr>
          <w:rFonts w:ascii="Times" w:hAnsi="Times" w:cs="Times New Roman"/>
          <w:sz w:val="23"/>
          <w:szCs w:val="23"/>
          <w:lang w:val="nl-NL"/>
        </w:rPr>
        <w:t>,</w:t>
      </w:r>
      <w:r w:rsidRPr="00F853DD">
        <w:rPr>
          <w:rFonts w:ascii="Times" w:hAnsi="Times" w:cs="Times New Roman"/>
          <w:sz w:val="23"/>
          <w:szCs w:val="23"/>
          <w:lang w:val="nl-NL"/>
        </w:rPr>
        <w:t xml:space="preserve"> (2014). </w:t>
      </w:r>
      <w:r w:rsidRPr="00F853DD">
        <w:rPr>
          <w:rFonts w:ascii="Times" w:hAnsi="Times" w:cs="Times New Roman"/>
          <w:sz w:val="23"/>
          <w:szCs w:val="23"/>
        </w:rPr>
        <w:t xml:space="preserve">Older adults' networks and public care receipt: do partners and adult children substitute for unskilled public care? </w:t>
      </w:r>
      <w:r w:rsidRPr="00F853DD">
        <w:rPr>
          <w:rFonts w:ascii="Times" w:hAnsi="Times" w:cs="Times New Roman"/>
          <w:i/>
          <w:sz w:val="23"/>
          <w:szCs w:val="23"/>
        </w:rPr>
        <w:t>Ageing and Society</w:t>
      </w:r>
      <w:r w:rsidR="002D5EF0"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 1711-1729.</w:t>
      </w:r>
    </w:p>
    <w:p w14:paraId="0A10BBC9" w14:textId="273B6D1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Scheyett, A.</w:t>
      </w:r>
      <w:r w:rsidR="002D5EF0" w:rsidRPr="00F853DD">
        <w:rPr>
          <w:rFonts w:ascii="Times" w:hAnsi="Times" w:cs="Times New Roman"/>
          <w:sz w:val="23"/>
          <w:szCs w:val="23"/>
        </w:rPr>
        <w:t>,</w:t>
      </w:r>
      <w:r w:rsidRPr="00F853DD">
        <w:rPr>
          <w:rFonts w:ascii="Times" w:hAnsi="Times" w:cs="Times New Roman"/>
          <w:sz w:val="23"/>
          <w:szCs w:val="23"/>
        </w:rPr>
        <w:t xml:space="preserve"> (1990). The oppression of caring: </w:t>
      </w:r>
      <w:r w:rsidR="002D5EF0" w:rsidRPr="00F853DD">
        <w:rPr>
          <w:rFonts w:ascii="Times" w:hAnsi="Times" w:cs="Times New Roman"/>
          <w:sz w:val="23"/>
          <w:szCs w:val="23"/>
        </w:rPr>
        <w:t>w</w:t>
      </w:r>
      <w:r w:rsidRPr="00F853DD">
        <w:rPr>
          <w:rFonts w:ascii="Times" w:hAnsi="Times" w:cs="Times New Roman"/>
          <w:sz w:val="23"/>
          <w:szCs w:val="23"/>
        </w:rPr>
        <w:t xml:space="preserve">omen caregivers of relatives with mental illness. </w:t>
      </w:r>
      <w:r w:rsidRPr="00F853DD">
        <w:rPr>
          <w:rFonts w:ascii="Times" w:hAnsi="Times" w:cs="Times New Roman"/>
          <w:i/>
          <w:sz w:val="23"/>
          <w:szCs w:val="23"/>
        </w:rPr>
        <w:t>Affilia</w:t>
      </w:r>
      <w:r w:rsidR="002D5EF0"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w:t>
      </w:r>
    </w:p>
    <w:p w14:paraId="3F00D115" w14:textId="7F97202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Schi</w:t>
      </w:r>
      <w:r w:rsidR="002D5EF0" w:rsidRPr="00F853DD">
        <w:rPr>
          <w:rFonts w:ascii="Times" w:hAnsi="Times" w:cs="Times New Roman"/>
          <w:sz w:val="23"/>
          <w:szCs w:val="23"/>
        </w:rPr>
        <w:t>amberg, L., Barboza, G</w:t>
      </w:r>
      <w:r w:rsidRPr="00F853DD">
        <w:rPr>
          <w:rFonts w:ascii="Times" w:hAnsi="Times" w:cs="Times New Roman"/>
          <w:sz w:val="23"/>
          <w:szCs w:val="23"/>
        </w:rPr>
        <w:t>., Oehmke</w:t>
      </w:r>
      <w:r w:rsidR="002D5EF0" w:rsidRPr="00F853DD">
        <w:rPr>
          <w:rFonts w:ascii="Times" w:hAnsi="Times" w:cs="Times New Roman"/>
          <w:sz w:val="23"/>
          <w:szCs w:val="23"/>
        </w:rPr>
        <w:t>, J., Zhang, Z., Griffore, R., Weatherill, R.</w:t>
      </w:r>
      <w:r w:rsidRPr="00F853DD">
        <w:rPr>
          <w:rFonts w:ascii="Times" w:hAnsi="Times" w:cs="Times New Roman"/>
          <w:sz w:val="23"/>
          <w:szCs w:val="23"/>
        </w:rPr>
        <w:t xml:space="preserve">, </w:t>
      </w:r>
      <w:r w:rsidR="002D5EF0" w:rsidRPr="00F853DD">
        <w:rPr>
          <w:rFonts w:ascii="Times" w:hAnsi="Times" w:cs="Times New Roman"/>
          <w:sz w:val="23"/>
          <w:szCs w:val="23"/>
        </w:rPr>
        <w:t>Von Heydrich, L. and Post, L.,</w:t>
      </w:r>
      <w:r w:rsidRPr="00F853DD">
        <w:rPr>
          <w:rFonts w:ascii="Times" w:hAnsi="Times" w:cs="Times New Roman"/>
          <w:sz w:val="23"/>
          <w:szCs w:val="23"/>
        </w:rPr>
        <w:t xml:space="preserve"> (2011). Elder abuse in nursing homes: an ecological perspective. </w:t>
      </w:r>
      <w:r w:rsidRPr="00F853DD">
        <w:rPr>
          <w:rFonts w:ascii="Times" w:hAnsi="Times" w:cs="Times New Roman"/>
          <w:i/>
          <w:sz w:val="23"/>
          <w:szCs w:val="23"/>
        </w:rPr>
        <w:t>Journal of elder abuse and neglect</w:t>
      </w:r>
      <w:r w:rsidR="002D5EF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190-21</w:t>
      </w:r>
    </w:p>
    <w:p w14:paraId="1D61DBE9" w14:textId="0EF4094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Schleutker, E.</w:t>
      </w:r>
      <w:r w:rsidR="002D5EF0" w:rsidRPr="00F853DD">
        <w:rPr>
          <w:rFonts w:ascii="Times" w:hAnsi="Times" w:cs="Times New Roman"/>
          <w:sz w:val="23"/>
          <w:szCs w:val="23"/>
        </w:rPr>
        <w:t>,</w:t>
      </w:r>
      <w:r w:rsidRPr="00F853DD">
        <w:rPr>
          <w:rFonts w:ascii="Times" w:hAnsi="Times" w:cs="Times New Roman"/>
          <w:sz w:val="23"/>
          <w:szCs w:val="23"/>
        </w:rPr>
        <w:t xml:space="preserve"> (2013). Fertility, family policy and welfare regimes. </w:t>
      </w:r>
      <w:r w:rsidRPr="00F853DD">
        <w:rPr>
          <w:rFonts w:ascii="Times" w:hAnsi="Times" w:cs="Times New Roman"/>
          <w:i/>
          <w:sz w:val="23"/>
          <w:szCs w:val="23"/>
        </w:rPr>
        <w:t>Comparative Population Studies</w:t>
      </w:r>
      <w:r w:rsidR="002D5EF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(1).</w:t>
      </w:r>
    </w:p>
    <w:p w14:paraId="4E3E45D9" w14:textId="43155AB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Schmid, K.</w:t>
      </w:r>
      <w:r w:rsidR="002D5EF0" w:rsidRPr="00F853DD">
        <w:rPr>
          <w:rFonts w:ascii="Times" w:hAnsi="Times" w:cs="Times New Roman"/>
          <w:sz w:val="23"/>
          <w:szCs w:val="23"/>
        </w:rPr>
        <w:t>,</w:t>
      </w:r>
      <w:r w:rsidRPr="00F853DD">
        <w:rPr>
          <w:rFonts w:ascii="Times" w:hAnsi="Times" w:cs="Times New Roman"/>
          <w:sz w:val="23"/>
          <w:szCs w:val="23"/>
        </w:rPr>
        <w:t xml:space="preserve"> (2006). Changing population age structures and their implications on socio-economic development in the Caribbean. </w:t>
      </w:r>
      <w:r w:rsidRPr="00F853DD">
        <w:rPr>
          <w:rFonts w:ascii="Times" w:hAnsi="Times" w:cs="Times New Roman"/>
          <w:i/>
          <w:sz w:val="23"/>
          <w:szCs w:val="23"/>
        </w:rPr>
        <w:t>Santiago</w:t>
      </w:r>
      <w:r w:rsidRPr="00F853DD">
        <w:rPr>
          <w:rFonts w:ascii="Times" w:hAnsi="Times" w:cs="Times New Roman"/>
          <w:sz w:val="23"/>
          <w:szCs w:val="23"/>
        </w:rPr>
        <w:t>: CEPAL.</w:t>
      </w:r>
    </w:p>
    <w:p w14:paraId="460A6542" w14:textId="2AABD872"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Schmid, K., Vézina, S. and Ebbeson, L.</w:t>
      </w:r>
      <w:r w:rsidR="002D5EF0" w:rsidRPr="00F853DD">
        <w:rPr>
          <w:rFonts w:ascii="Times" w:hAnsi="Times" w:cs="Times New Roman"/>
          <w:sz w:val="23"/>
          <w:szCs w:val="23"/>
        </w:rPr>
        <w:t>,</w:t>
      </w:r>
      <w:r w:rsidRPr="00F853DD">
        <w:rPr>
          <w:rFonts w:ascii="Times" w:hAnsi="Times" w:cs="Times New Roman"/>
          <w:sz w:val="23"/>
          <w:szCs w:val="23"/>
        </w:rPr>
        <w:t xml:space="preserve"> (2008)</w:t>
      </w:r>
      <w:r w:rsidR="002D5EF0" w:rsidRPr="00F853DD">
        <w:rPr>
          <w:rFonts w:ascii="Times" w:hAnsi="Times" w:cs="Times New Roman"/>
          <w:sz w:val="23"/>
          <w:szCs w:val="23"/>
        </w:rPr>
        <w:t>. Disability in the Caribbean. A</w:t>
      </w:r>
      <w:r w:rsidRPr="00F853DD">
        <w:rPr>
          <w:rFonts w:ascii="Times" w:hAnsi="Times" w:cs="Times New Roman"/>
          <w:sz w:val="23"/>
          <w:szCs w:val="23"/>
        </w:rPr>
        <w:t xml:space="preserve"> study of four countries: a socio-demographic analysis of the disabled.</w:t>
      </w:r>
      <w:r w:rsidR="00937B25" w:rsidRPr="00F853DD">
        <w:rPr>
          <w:rFonts w:ascii="Times" w:hAnsi="Times" w:cs="Times New Roman"/>
          <w:sz w:val="23"/>
          <w:szCs w:val="23"/>
        </w:rPr>
        <w:t xml:space="preserve"> (Vol. 7). United Nations Publications. [Viewed 22 August 2017]. Available from: https://repositorio.cepal.org/bitstream/handle/11362/5059/1/S2008905_en.pdf</w:t>
      </w:r>
    </w:p>
    <w:p w14:paraId="17DB5D23" w14:textId="78C4958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Schmitz, H. and Westphal, M.</w:t>
      </w:r>
      <w:r w:rsidR="002D5EF0" w:rsidRPr="00F853DD">
        <w:rPr>
          <w:rFonts w:ascii="Times" w:hAnsi="Times" w:cs="Times New Roman"/>
          <w:sz w:val="23"/>
          <w:szCs w:val="23"/>
          <w:lang w:val="de-DE"/>
        </w:rPr>
        <w:t>,</w:t>
      </w:r>
      <w:r w:rsidRPr="00F853DD">
        <w:rPr>
          <w:rFonts w:ascii="Times" w:hAnsi="Times" w:cs="Times New Roman"/>
          <w:sz w:val="23"/>
          <w:szCs w:val="23"/>
          <w:lang w:val="de-DE"/>
        </w:rPr>
        <w:t xml:space="preserve"> (2015). </w:t>
      </w:r>
      <w:r w:rsidRPr="00F853DD">
        <w:rPr>
          <w:rFonts w:ascii="Times" w:hAnsi="Times" w:cs="Times New Roman"/>
          <w:sz w:val="23"/>
          <w:szCs w:val="23"/>
        </w:rPr>
        <w:t xml:space="preserve">Short- and medium-term effects of informal care provision on female </w:t>
      </w:r>
      <w:r w:rsidR="002D5EF0" w:rsidRPr="00F853DD">
        <w:rPr>
          <w:rFonts w:ascii="Times" w:hAnsi="Times" w:cs="Times New Roman"/>
          <w:sz w:val="23"/>
          <w:szCs w:val="23"/>
        </w:rPr>
        <w:t>caregivers’</w:t>
      </w:r>
      <w:r w:rsidRPr="00F853DD">
        <w:rPr>
          <w:rFonts w:ascii="Times" w:hAnsi="Times" w:cs="Times New Roman"/>
          <w:sz w:val="23"/>
          <w:szCs w:val="23"/>
        </w:rPr>
        <w:t xml:space="preserve"> health. </w:t>
      </w:r>
      <w:r w:rsidRPr="00F853DD">
        <w:rPr>
          <w:rFonts w:ascii="Times" w:hAnsi="Times" w:cs="Times New Roman"/>
          <w:i/>
          <w:sz w:val="23"/>
          <w:szCs w:val="23"/>
        </w:rPr>
        <w:t>Journal of Health Economics</w:t>
      </w:r>
      <w:r w:rsidR="002D5EF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 174-185.</w:t>
      </w:r>
    </w:p>
    <w:p w14:paraId="5590B81E" w14:textId="323CDD2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Schnell, T.</w:t>
      </w:r>
      <w:r w:rsidR="002D5EF0" w:rsidRPr="00F853DD">
        <w:rPr>
          <w:rFonts w:ascii="Times" w:hAnsi="Times" w:cs="Times New Roman"/>
          <w:sz w:val="23"/>
          <w:szCs w:val="23"/>
        </w:rPr>
        <w:t>,</w:t>
      </w:r>
      <w:r w:rsidRPr="00F853DD">
        <w:rPr>
          <w:rFonts w:ascii="Times" w:hAnsi="Times" w:cs="Times New Roman"/>
          <w:sz w:val="23"/>
          <w:szCs w:val="23"/>
        </w:rPr>
        <w:t xml:space="preserve"> (2012). Spirituality with and without religion-differential relationships with personality. </w:t>
      </w:r>
      <w:r w:rsidRPr="00F853DD">
        <w:rPr>
          <w:rFonts w:ascii="Times" w:hAnsi="Times" w:cs="Times New Roman"/>
          <w:i/>
          <w:sz w:val="23"/>
          <w:szCs w:val="23"/>
        </w:rPr>
        <w:t>Archive for the Psychology of Religion-Archiv Fur Religion spsychologie</w:t>
      </w:r>
      <w:r w:rsidR="002D5EF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 33-61.</w:t>
      </w:r>
    </w:p>
    <w:p w14:paraId="2BF43DC7" w14:textId="63FDC99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Schofield, H., Bloch, S., Herrman, H., Murphy, G., Nankervis, J. A. and Singh, B.</w:t>
      </w:r>
      <w:r w:rsidR="002D5EF0" w:rsidRPr="00F853DD">
        <w:rPr>
          <w:rFonts w:ascii="Times" w:hAnsi="Times" w:cs="Times New Roman"/>
          <w:sz w:val="23"/>
          <w:szCs w:val="23"/>
        </w:rPr>
        <w:t>,</w:t>
      </w:r>
      <w:r w:rsidRPr="00F853DD">
        <w:rPr>
          <w:rFonts w:ascii="Times" w:hAnsi="Times" w:cs="Times New Roman"/>
          <w:sz w:val="23"/>
          <w:szCs w:val="23"/>
        </w:rPr>
        <w:t xml:space="preserve"> (1998). </w:t>
      </w:r>
      <w:r w:rsidRPr="00F853DD">
        <w:rPr>
          <w:rFonts w:ascii="Times" w:hAnsi="Times" w:cs="Times New Roman"/>
          <w:i/>
          <w:sz w:val="23"/>
          <w:szCs w:val="23"/>
        </w:rPr>
        <w:t>Family caregivers: disability, illness and ageing</w:t>
      </w:r>
      <w:r w:rsidRPr="00F853DD">
        <w:rPr>
          <w:rFonts w:ascii="Times" w:hAnsi="Times" w:cs="Times New Roman"/>
          <w:sz w:val="23"/>
          <w:szCs w:val="23"/>
        </w:rPr>
        <w:t>. Sydney: Allen and Unwin.</w:t>
      </w:r>
    </w:p>
    <w:p w14:paraId="51FA8F70" w14:textId="63B19690" w:rsidR="002D5EF0" w:rsidRPr="00F853DD" w:rsidRDefault="002D5EF0" w:rsidP="002D5EF0">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Schröder-Butterfill, E.,  (2005). The impact of kinship networks on old-age vulnerability in Indonesia. In: </w:t>
      </w:r>
      <w:r w:rsidRPr="00F853DD">
        <w:rPr>
          <w:rFonts w:ascii="Times" w:hAnsi="Times" w:cs="Times New Roman"/>
          <w:i/>
          <w:sz w:val="23"/>
          <w:szCs w:val="23"/>
        </w:rPr>
        <w:t>Annales de démographie historique</w:t>
      </w:r>
      <w:r w:rsidRPr="00F853DD">
        <w:rPr>
          <w:rFonts w:ascii="Times" w:hAnsi="Times" w:cs="Times New Roman"/>
          <w:sz w:val="23"/>
          <w:szCs w:val="23"/>
        </w:rPr>
        <w:t xml:space="preserve">. </w:t>
      </w:r>
      <w:r w:rsidRPr="00F853DD">
        <w:rPr>
          <w:rFonts w:ascii="Times" w:hAnsi="Times" w:cs="Times New Roman"/>
          <w:b/>
          <w:sz w:val="23"/>
          <w:szCs w:val="23"/>
        </w:rPr>
        <w:t>2</w:t>
      </w:r>
      <w:r w:rsidRPr="00F853DD">
        <w:rPr>
          <w:rFonts w:ascii="Times" w:hAnsi="Times" w:cs="Times New Roman"/>
          <w:sz w:val="23"/>
          <w:szCs w:val="23"/>
        </w:rPr>
        <w:t>,139-163. Belin.</w:t>
      </w:r>
    </w:p>
    <w:p w14:paraId="145D8B31" w14:textId="77777777" w:rsidR="002D5EF0" w:rsidRPr="00F853DD" w:rsidRDefault="002D5EF0" w:rsidP="002D5EF0">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Schröder-Butterfill, E. and Marianti, R. (2006). A framework for understanding old-age vulnerabilities. </w:t>
      </w:r>
      <w:r w:rsidRPr="00F853DD">
        <w:rPr>
          <w:rFonts w:ascii="Times" w:hAnsi="Times" w:cs="Times New Roman"/>
          <w:i/>
          <w:sz w:val="23"/>
          <w:szCs w:val="23"/>
        </w:rPr>
        <w:t>Ageing and Society</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(1), 9-35.</w:t>
      </w:r>
    </w:p>
    <w:p w14:paraId="53F2BDD4" w14:textId="2EEA02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Schröder-Butterfill, E.</w:t>
      </w:r>
      <w:r w:rsidR="002D5EF0"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The concept of vulnerability and its relationship to frailty</w:t>
      </w:r>
      <w:r w:rsidRPr="00F853DD">
        <w:rPr>
          <w:rFonts w:ascii="Times" w:hAnsi="Times" w:cs="Times New Roman"/>
          <w:sz w:val="23"/>
          <w:szCs w:val="23"/>
        </w:rPr>
        <w:t>. [Unpublished item].</w:t>
      </w:r>
    </w:p>
    <w:p w14:paraId="2269533F" w14:textId="3493B9D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Schröder-</w:t>
      </w:r>
      <w:r w:rsidR="002D5EF0" w:rsidRPr="00F853DD">
        <w:rPr>
          <w:rFonts w:ascii="Times" w:hAnsi="Times" w:cs="Times New Roman"/>
          <w:sz w:val="23"/>
          <w:szCs w:val="23"/>
        </w:rPr>
        <w:t>Butterfill, E. and Fithry, T.,</w:t>
      </w:r>
      <w:r w:rsidRPr="00F853DD">
        <w:rPr>
          <w:rFonts w:ascii="Times" w:hAnsi="Times" w:cs="Times New Roman"/>
          <w:sz w:val="23"/>
          <w:szCs w:val="23"/>
        </w:rPr>
        <w:t xml:space="preserve"> (2014). Care dependence in old age: preferences, practices and implications in two Indonesian communities. </w:t>
      </w:r>
      <w:r w:rsidRPr="00F853DD">
        <w:rPr>
          <w:rFonts w:ascii="Times" w:hAnsi="Times" w:cs="Times New Roman"/>
          <w:i/>
          <w:sz w:val="23"/>
          <w:szCs w:val="23"/>
        </w:rPr>
        <w:t>Ageing and Society</w:t>
      </w:r>
      <w:r w:rsidR="002D5EF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(3), 361-387.</w:t>
      </w:r>
    </w:p>
    <w:p w14:paraId="352F59B3" w14:textId="47E0F25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Schulz, R., Beach, S.R., Lind, B., Martire, L.M., Zdaniuk, B., Hirsch, C., Jackson, S. and Burton, L.</w:t>
      </w:r>
      <w:r w:rsidR="00355CCF" w:rsidRPr="00F853DD">
        <w:rPr>
          <w:rFonts w:ascii="Times" w:hAnsi="Times" w:cs="Times New Roman"/>
          <w:sz w:val="23"/>
          <w:szCs w:val="23"/>
        </w:rPr>
        <w:t>,</w:t>
      </w:r>
      <w:r w:rsidRPr="00F853DD">
        <w:rPr>
          <w:rFonts w:ascii="Times" w:hAnsi="Times" w:cs="Times New Roman"/>
          <w:sz w:val="23"/>
          <w:szCs w:val="23"/>
        </w:rPr>
        <w:t xml:space="preserve"> (2001). Involvement in caregiving and adjustment to death of a spouse: findings from the caregiver health effects study. </w:t>
      </w:r>
      <w:r w:rsidRPr="00F853DD">
        <w:rPr>
          <w:rFonts w:ascii="Times" w:hAnsi="Times" w:cs="Times New Roman"/>
          <w:i/>
          <w:sz w:val="23"/>
          <w:szCs w:val="23"/>
        </w:rPr>
        <w:t>JAMA</w:t>
      </w:r>
      <w:r w:rsidR="00355CC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285</w:t>
      </w:r>
      <w:r w:rsidRPr="00F853DD">
        <w:rPr>
          <w:rFonts w:ascii="Times" w:hAnsi="Times" w:cs="Times New Roman"/>
          <w:sz w:val="23"/>
          <w:szCs w:val="23"/>
        </w:rPr>
        <w:t>(24), 3123-3129.</w:t>
      </w:r>
    </w:p>
    <w:p w14:paraId="7490F593" w14:textId="0823116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Schulz, R. and Sher</w:t>
      </w:r>
      <w:r w:rsidR="00355CCF" w:rsidRPr="00F853DD">
        <w:rPr>
          <w:rFonts w:ascii="Times" w:hAnsi="Times" w:cs="Times New Roman"/>
          <w:sz w:val="23"/>
          <w:szCs w:val="23"/>
        </w:rPr>
        <w:t>wood, P.,</w:t>
      </w:r>
      <w:r w:rsidRPr="00F853DD">
        <w:rPr>
          <w:rFonts w:ascii="Times" w:hAnsi="Times" w:cs="Times New Roman"/>
          <w:sz w:val="23"/>
          <w:szCs w:val="23"/>
        </w:rPr>
        <w:t xml:space="preserve"> (2008). Physical and mental health effects of family caregiving. </w:t>
      </w:r>
      <w:r w:rsidRPr="00F853DD">
        <w:rPr>
          <w:rFonts w:ascii="Times" w:hAnsi="Times" w:cs="Times New Roman"/>
          <w:i/>
          <w:sz w:val="23"/>
          <w:szCs w:val="23"/>
        </w:rPr>
        <w:t>American Journal of Nursing</w:t>
      </w:r>
      <w:r w:rsidR="00355CC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108</w:t>
      </w:r>
      <w:r w:rsidRPr="00F853DD">
        <w:rPr>
          <w:rFonts w:ascii="Times" w:hAnsi="Times" w:cs="Times New Roman"/>
          <w:sz w:val="23"/>
          <w:szCs w:val="23"/>
        </w:rPr>
        <w:t>, 23-27.</w:t>
      </w:r>
    </w:p>
    <w:p w14:paraId="782A0887" w14:textId="5B4F44C8" w:rsidR="00DF05BD" w:rsidRPr="00F853DD" w:rsidRDefault="00355CC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Schulz, R., Beach, S., Cook, T.B., Martire, L., Tomlinson, J. and Monin, J.</w:t>
      </w:r>
      <w:r w:rsidR="00DF05BD" w:rsidRPr="00F853DD">
        <w:rPr>
          <w:rFonts w:ascii="Times" w:hAnsi="Times" w:cs="Times New Roman"/>
          <w:sz w:val="23"/>
          <w:szCs w:val="23"/>
        </w:rPr>
        <w:t xml:space="preserve"> (2012). Predictors and consequences of perceived lack of choice in becoming an informal caregiver. </w:t>
      </w:r>
      <w:r w:rsidR="00DF05BD" w:rsidRPr="00F853DD">
        <w:rPr>
          <w:rFonts w:ascii="Times" w:hAnsi="Times" w:cs="Times New Roman"/>
          <w:i/>
          <w:sz w:val="23"/>
          <w:szCs w:val="23"/>
        </w:rPr>
        <w:t>Aging and mental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DF05BD" w:rsidRPr="00F853DD">
        <w:rPr>
          <w:rFonts w:ascii="Times" w:hAnsi="Times" w:cs="Times New Roman"/>
          <w:sz w:val="23"/>
          <w:szCs w:val="23"/>
        </w:rPr>
        <w:t>(6), 712-721.</w:t>
      </w:r>
    </w:p>
    <w:p w14:paraId="7F96141B"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Schulz, R., Eden, J. and National Academies of Sciences, Engineering, and Medicine (2016). Family caregiving roles and impacts. In: </w:t>
      </w:r>
      <w:r w:rsidRPr="00F853DD">
        <w:rPr>
          <w:rFonts w:ascii="Times" w:hAnsi="Times" w:cs="Times New Roman"/>
          <w:i/>
          <w:sz w:val="23"/>
          <w:szCs w:val="23"/>
        </w:rPr>
        <w:t>Families caring for an aging America</w:t>
      </w:r>
      <w:r w:rsidRPr="00F853DD">
        <w:rPr>
          <w:rFonts w:ascii="Times" w:hAnsi="Times" w:cs="Times New Roman"/>
          <w:sz w:val="23"/>
          <w:szCs w:val="23"/>
        </w:rPr>
        <w:t xml:space="preserve"> [online]. US: National Academies Press. [Viewed 16 November 2019]. Available from: https://www.ncbi.nlm.nih.gov/books/NBK396398/ </w:t>
      </w:r>
    </w:p>
    <w:p w14:paraId="3B8E53C2" w14:textId="2C293E4E" w:rsidR="00DF05BD" w:rsidRPr="00F853DD" w:rsidRDefault="00355CC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Schumacher, K.,</w:t>
      </w:r>
      <w:r w:rsidR="00DF05BD" w:rsidRPr="00F853DD">
        <w:rPr>
          <w:rFonts w:ascii="Times" w:hAnsi="Times" w:cs="Times New Roman"/>
          <w:sz w:val="23"/>
          <w:szCs w:val="23"/>
        </w:rPr>
        <w:t xml:space="preserve"> (1995). Family caregiver role acquisition: role-making through situated interaction. </w:t>
      </w:r>
      <w:r w:rsidR="00DF05BD" w:rsidRPr="00F853DD">
        <w:rPr>
          <w:rFonts w:ascii="Times" w:hAnsi="Times" w:cs="Times New Roman"/>
          <w:i/>
          <w:sz w:val="23"/>
          <w:szCs w:val="23"/>
        </w:rPr>
        <w:t>Scholarly inquiry for nursing practice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w:t>
      </w:r>
      <w:r w:rsidR="00DF05BD" w:rsidRPr="00F853DD">
        <w:rPr>
          <w:rFonts w:ascii="Times" w:hAnsi="Times" w:cs="Times New Roman"/>
          <w:sz w:val="23"/>
          <w:szCs w:val="23"/>
        </w:rPr>
        <w:t>, 211-26; discussion 227.</w:t>
      </w:r>
    </w:p>
    <w:p w14:paraId="5E300E5E" w14:textId="04C5AE12" w:rsidR="00DF05BD" w:rsidRPr="00F853DD" w:rsidRDefault="00355CC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Schumacher, K., Stewart, B. and Archbold, P.</w:t>
      </w:r>
      <w:r w:rsidR="00DF05BD" w:rsidRPr="00F853DD">
        <w:rPr>
          <w:rFonts w:ascii="Times" w:hAnsi="Times" w:cs="Times New Roman"/>
          <w:sz w:val="23"/>
          <w:szCs w:val="23"/>
        </w:rPr>
        <w:t xml:space="preserve"> (1998). Conceptualization and measurement of doing family caregiving well. </w:t>
      </w:r>
      <w:r w:rsidR="00DF05BD" w:rsidRPr="00F853DD">
        <w:rPr>
          <w:rFonts w:ascii="Times" w:hAnsi="Times" w:cs="Times New Roman"/>
          <w:i/>
          <w:sz w:val="23"/>
          <w:szCs w:val="23"/>
        </w:rPr>
        <w:t>Image-The Journal of Nursing Scholarship</w:t>
      </w:r>
      <w:r w:rsidRPr="00F853DD">
        <w:rPr>
          <w:rFonts w:ascii="Times" w:hAnsi="Times" w:cs="Times New Roman"/>
          <w:sz w:val="23"/>
          <w:szCs w:val="23"/>
        </w:rPr>
        <w:t xml:space="preserve">. </w:t>
      </w:r>
      <w:r w:rsidR="00DF05BD" w:rsidRPr="00F853DD">
        <w:rPr>
          <w:rFonts w:ascii="Times" w:hAnsi="Times" w:cs="Times New Roman"/>
          <w:b/>
          <w:sz w:val="23"/>
          <w:szCs w:val="23"/>
        </w:rPr>
        <w:t>30</w:t>
      </w:r>
      <w:r w:rsidR="00DF05BD" w:rsidRPr="00F853DD">
        <w:rPr>
          <w:rFonts w:ascii="Times" w:hAnsi="Times" w:cs="Times New Roman"/>
          <w:sz w:val="23"/>
          <w:szCs w:val="23"/>
        </w:rPr>
        <w:t>, 63-9.</w:t>
      </w:r>
    </w:p>
    <w:p w14:paraId="74A424A1" w14:textId="36A8C8B2" w:rsidR="00DF05BD" w:rsidRPr="00F853DD" w:rsidRDefault="00355CC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Schumacher, K., Stewart, B., Archbold, P., Dodd, M. and Dibble, S.,</w:t>
      </w:r>
      <w:r w:rsidR="00DF05BD" w:rsidRPr="00F853DD">
        <w:rPr>
          <w:rFonts w:ascii="Times" w:hAnsi="Times" w:cs="Times New Roman"/>
          <w:sz w:val="23"/>
          <w:szCs w:val="23"/>
        </w:rPr>
        <w:t xml:space="preserve"> (2000). Family caregiving skill: </w:t>
      </w:r>
      <w:r w:rsidRPr="00F853DD">
        <w:rPr>
          <w:rFonts w:ascii="Times" w:hAnsi="Times" w:cs="Times New Roman"/>
          <w:sz w:val="23"/>
          <w:szCs w:val="23"/>
        </w:rPr>
        <w:t>d</w:t>
      </w:r>
      <w:r w:rsidR="00DF05BD" w:rsidRPr="00F853DD">
        <w:rPr>
          <w:rFonts w:ascii="Times" w:hAnsi="Times" w:cs="Times New Roman"/>
          <w:sz w:val="23"/>
          <w:szCs w:val="23"/>
        </w:rPr>
        <w:t xml:space="preserve">evelopment of the concept. </w:t>
      </w:r>
      <w:r w:rsidR="00DF05BD" w:rsidRPr="00F853DD">
        <w:rPr>
          <w:rFonts w:ascii="Times" w:hAnsi="Times" w:cs="Times New Roman"/>
          <w:i/>
          <w:sz w:val="23"/>
          <w:szCs w:val="23"/>
        </w:rPr>
        <w:t>Research in Nursing and Health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23</w:t>
      </w:r>
      <w:r w:rsidR="00DF05BD" w:rsidRPr="00F853DD">
        <w:rPr>
          <w:rFonts w:ascii="Times" w:hAnsi="Times" w:cs="Times New Roman"/>
          <w:sz w:val="23"/>
          <w:szCs w:val="23"/>
        </w:rPr>
        <w:t>, 191-203.</w:t>
      </w:r>
    </w:p>
    <w:p w14:paraId="581E37B0" w14:textId="0B6390B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Schwartz, A. and McInnis-Dittrich, K.</w:t>
      </w:r>
      <w:r w:rsidR="00355CCF" w:rsidRPr="00F853DD">
        <w:rPr>
          <w:rFonts w:ascii="Times" w:hAnsi="Times" w:cs="Times New Roman"/>
          <w:sz w:val="23"/>
          <w:szCs w:val="23"/>
        </w:rPr>
        <w:t>,</w:t>
      </w:r>
      <w:r w:rsidRPr="00F853DD">
        <w:rPr>
          <w:rFonts w:ascii="Times" w:hAnsi="Times" w:cs="Times New Roman"/>
          <w:sz w:val="23"/>
          <w:szCs w:val="23"/>
        </w:rPr>
        <w:t xml:space="preserve"> (2015). Meeting the needs of male caregivers by increasing access to accountable care organizations. </w:t>
      </w:r>
      <w:r w:rsidRPr="00F853DD">
        <w:rPr>
          <w:rFonts w:ascii="Times" w:hAnsi="Times" w:cs="Times New Roman"/>
          <w:i/>
          <w:sz w:val="23"/>
          <w:szCs w:val="23"/>
        </w:rPr>
        <w:t>Journal of Gerontological Social Work</w:t>
      </w:r>
      <w:r w:rsidR="00355CCF"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58</w:t>
      </w:r>
      <w:r w:rsidRPr="00F853DD">
        <w:rPr>
          <w:rFonts w:ascii="Times" w:hAnsi="Times" w:cs="Times New Roman"/>
          <w:sz w:val="23"/>
          <w:szCs w:val="23"/>
        </w:rPr>
        <w:t xml:space="preserve">(7-8), 655-670. [Viewed 17 November 2019]. Available from: https://www.ncbi.nlm.nih.gov/pmc/articles/PMC4785589/. </w:t>
      </w:r>
    </w:p>
    <w:p w14:paraId="1A4B36E1" w14:textId="17EF10C2" w:rsidR="00DF05BD" w:rsidRPr="00F853DD" w:rsidRDefault="00355CC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Schwartz, S., Weisskirch, R., Hurley, E.</w:t>
      </w:r>
      <w:r w:rsidR="00DF05BD" w:rsidRPr="00F853DD">
        <w:rPr>
          <w:rFonts w:ascii="Times" w:hAnsi="Times" w:cs="Times New Roman"/>
          <w:sz w:val="23"/>
          <w:szCs w:val="23"/>
        </w:rPr>
        <w:t>, Z</w:t>
      </w:r>
      <w:r w:rsidRPr="00F853DD">
        <w:rPr>
          <w:rFonts w:ascii="Times" w:hAnsi="Times" w:cs="Times New Roman"/>
          <w:sz w:val="23"/>
          <w:szCs w:val="23"/>
        </w:rPr>
        <w:t>amboanga, B., Park, I., Kim, S.</w:t>
      </w:r>
      <w:r w:rsidR="00DF05BD" w:rsidRPr="00F853DD">
        <w:rPr>
          <w:rFonts w:ascii="Times" w:hAnsi="Times" w:cs="Times New Roman"/>
          <w:sz w:val="23"/>
          <w:szCs w:val="23"/>
        </w:rPr>
        <w:t>, U</w:t>
      </w:r>
      <w:r w:rsidRPr="00F853DD">
        <w:rPr>
          <w:rFonts w:ascii="Times" w:hAnsi="Times" w:cs="Times New Roman"/>
          <w:sz w:val="23"/>
          <w:szCs w:val="23"/>
        </w:rPr>
        <w:t>mana-Taylor, A., Castillo, L., Brown, E. And Greene, A</w:t>
      </w:r>
      <w:r w:rsidR="00DF05BD" w:rsidRPr="00F853DD">
        <w:rPr>
          <w:rFonts w:ascii="Times" w:hAnsi="Times" w:cs="Times New Roman"/>
          <w:sz w:val="23"/>
          <w:szCs w:val="23"/>
        </w:rPr>
        <w:t>.</w:t>
      </w:r>
      <w:r w:rsidRPr="00F853DD">
        <w:rPr>
          <w:rFonts w:ascii="Times" w:hAnsi="Times" w:cs="Times New Roman"/>
          <w:sz w:val="23"/>
          <w:szCs w:val="23"/>
        </w:rPr>
        <w:t>,</w:t>
      </w:r>
      <w:r w:rsidR="00DF05BD" w:rsidRPr="00F853DD">
        <w:rPr>
          <w:rFonts w:ascii="Times" w:hAnsi="Times" w:cs="Times New Roman"/>
          <w:sz w:val="23"/>
          <w:szCs w:val="23"/>
        </w:rPr>
        <w:t xml:space="preserve"> (2010). Communalism, </w:t>
      </w:r>
      <w:r w:rsidRPr="00F853DD">
        <w:rPr>
          <w:rFonts w:ascii="Times" w:hAnsi="Times" w:cs="Times New Roman"/>
          <w:sz w:val="23"/>
          <w:szCs w:val="23"/>
        </w:rPr>
        <w:t>f</w:t>
      </w:r>
      <w:r w:rsidR="00DF05BD" w:rsidRPr="00F853DD">
        <w:rPr>
          <w:rFonts w:ascii="Times" w:hAnsi="Times" w:cs="Times New Roman"/>
          <w:sz w:val="23"/>
          <w:szCs w:val="23"/>
        </w:rPr>
        <w:t xml:space="preserve">amilism, and </w:t>
      </w:r>
      <w:r w:rsidRPr="00F853DD">
        <w:rPr>
          <w:rFonts w:ascii="Times" w:hAnsi="Times" w:cs="Times New Roman"/>
          <w:sz w:val="23"/>
          <w:szCs w:val="23"/>
        </w:rPr>
        <w:t>f</w:t>
      </w:r>
      <w:r w:rsidR="00DF05BD" w:rsidRPr="00F853DD">
        <w:rPr>
          <w:rFonts w:ascii="Times" w:hAnsi="Times" w:cs="Times New Roman"/>
          <w:sz w:val="23"/>
          <w:szCs w:val="23"/>
        </w:rPr>
        <w:t xml:space="preserve">ilial </w:t>
      </w:r>
      <w:r w:rsidRPr="00F853DD">
        <w:rPr>
          <w:rFonts w:ascii="Times" w:hAnsi="Times" w:cs="Times New Roman"/>
          <w:sz w:val="23"/>
          <w:szCs w:val="23"/>
        </w:rPr>
        <w:t>p</w:t>
      </w:r>
      <w:r w:rsidR="00DF05BD" w:rsidRPr="00F853DD">
        <w:rPr>
          <w:rFonts w:ascii="Times" w:hAnsi="Times" w:cs="Times New Roman"/>
          <w:sz w:val="23"/>
          <w:szCs w:val="23"/>
        </w:rPr>
        <w:t xml:space="preserve">iety: </w:t>
      </w:r>
      <w:r w:rsidRPr="00F853DD">
        <w:rPr>
          <w:rFonts w:ascii="Times" w:hAnsi="Times" w:cs="Times New Roman"/>
          <w:sz w:val="23"/>
          <w:szCs w:val="23"/>
        </w:rPr>
        <w:t>a</w:t>
      </w:r>
      <w:r w:rsidR="00DF05BD" w:rsidRPr="00F853DD">
        <w:rPr>
          <w:rFonts w:ascii="Times" w:hAnsi="Times" w:cs="Times New Roman"/>
          <w:sz w:val="23"/>
          <w:szCs w:val="23"/>
        </w:rPr>
        <w:t xml:space="preserve">re they birds of a collectivist feather? </w:t>
      </w:r>
      <w:r w:rsidR="00DF05BD" w:rsidRPr="00F853DD">
        <w:rPr>
          <w:rFonts w:ascii="Times" w:hAnsi="Times" w:cs="Times New Roman"/>
          <w:i/>
          <w:sz w:val="23"/>
          <w:szCs w:val="23"/>
        </w:rPr>
        <w:t>Cultural Diversity and Ethnic Minority Psychology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16</w:t>
      </w:r>
      <w:r w:rsidR="00DF05BD" w:rsidRPr="00F853DD">
        <w:rPr>
          <w:rFonts w:ascii="Times" w:hAnsi="Times" w:cs="Times New Roman"/>
          <w:sz w:val="23"/>
          <w:szCs w:val="23"/>
        </w:rPr>
        <w:t>, 548-560.</w:t>
      </w:r>
    </w:p>
    <w:p w14:paraId="52850458" w14:textId="3634025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Seale, C., Charteris-Black, J., Dumelow, C., Locock, L. and Ziebland, S.</w:t>
      </w:r>
      <w:r w:rsidR="00355CCF" w:rsidRPr="00F853DD">
        <w:rPr>
          <w:rFonts w:ascii="Times" w:hAnsi="Times" w:cs="Times New Roman"/>
          <w:sz w:val="23"/>
          <w:szCs w:val="23"/>
        </w:rPr>
        <w:t>,</w:t>
      </w:r>
      <w:r w:rsidRPr="00F853DD">
        <w:rPr>
          <w:rFonts w:ascii="Times" w:hAnsi="Times" w:cs="Times New Roman"/>
          <w:sz w:val="23"/>
          <w:szCs w:val="23"/>
        </w:rPr>
        <w:t xml:space="preserve"> (2008). The effect of joint interviewing on the performance of gender. </w:t>
      </w:r>
      <w:r w:rsidRPr="00F853DD">
        <w:rPr>
          <w:rFonts w:ascii="Times" w:hAnsi="Times" w:cs="Times New Roman"/>
          <w:i/>
          <w:sz w:val="23"/>
          <w:szCs w:val="23"/>
        </w:rPr>
        <w:t>Field Methods</w:t>
      </w:r>
      <w:r w:rsidR="00355CC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107-128.</w:t>
      </w:r>
    </w:p>
    <w:p w14:paraId="54047D0F" w14:textId="044A7BA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Seamer, P., Brake, S., Moore, P., Mohammed, M. and Wyatt, S.</w:t>
      </w:r>
      <w:r w:rsidR="00355CCF" w:rsidRPr="00F853DD">
        <w:rPr>
          <w:rFonts w:ascii="Times" w:hAnsi="Times" w:cs="Times New Roman"/>
          <w:sz w:val="23"/>
          <w:szCs w:val="23"/>
        </w:rPr>
        <w:t>,</w:t>
      </w:r>
      <w:r w:rsidRPr="00F853DD">
        <w:rPr>
          <w:rFonts w:ascii="Times" w:hAnsi="Times" w:cs="Times New Roman"/>
          <w:sz w:val="23"/>
          <w:szCs w:val="23"/>
        </w:rPr>
        <w:t xml:space="preserve"> (2019). Did government spending cuts to social care for older people lead to an increase in emergency hospital admissions? An ecological study, England 2005–2016. </w:t>
      </w:r>
      <w:r w:rsidRPr="00F853DD">
        <w:rPr>
          <w:rFonts w:ascii="Times" w:hAnsi="Times" w:cs="Times New Roman"/>
          <w:i/>
          <w:sz w:val="23"/>
          <w:szCs w:val="23"/>
        </w:rPr>
        <w:t>BMJ</w:t>
      </w:r>
      <w:r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(4), e024577.</w:t>
      </w:r>
    </w:p>
    <w:p w14:paraId="4B3E812A" w14:textId="2335AAEF"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s-ES"/>
        </w:rPr>
      </w:pPr>
      <w:r w:rsidRPr="00F853DD">
        <w:rPr>
          <w:rFonts w:ascii="Times" w:hAnsi="Times" w:cs="Times New Roman"/>
          <w:sz w:val="23"/>
          <w:szCs w:val="23"/>
        </w:rPr>
        <w:t>Seegobin, W.</w:t>
      </w:r>
      <w:r w:rsidR="00355CCF" w:rsidRPr="00F853DD">
        <w:rPr>
          <w:rFonts w:ascii="Times" w:hAnsi="Times" w:cs="Times New Roman"/>
          <w:sz w:val="23"/>
          <w:szCs w:val="23"/>
        </w:rPr>
        <w:t>,</w:t>
      </w:r>
      <w:r w:rsidRPr="00F853DD">
        <w:rPr>
          <w:rFonts w:ascii="Times" w:hAnsi="Times" w:cs="Times New Roman"/>
          <w:sz w:val="23"/>
          <w:szCs w:val="23"/>
        </w:rPr>
        <w:t xml:space="preserve"> (2003). </w:t>
      </w:r>
      <w:r w:rsidRPr="00F853DD">
        <w:rPr>
          <w:rFonts w:ascii="Times" w:hAnsi="Times" w:cs="Times New Roman"/>
          <w:i/>
          <w:sz w:val="23"/>
          <w:szCs w:val="23"/>
        </w:rPr>
        <w:t xml:space="preserve">Caribbean </w:t>
      </w:r>
      <w:r w:rsidR="00355CCF" w:rsidRPr="00F853DD">
        <w:rPr>
          <w:rFonts w:ascii="Times" w:hAnsi="Times" w:cs="Times New Roman"/>
          <w:i/>
          <w:sz w:val="23"/>
          <w:szCs w:val="23"/>
        </w:rPr>
        <w:t>f</w:t>
      </w:r>
      <w:r w:rsidRPr="00F853DD">
        <w:rPr>
          <w:rFonts w:ascii="Times" w:hAnsi="Times" w:cs="Times New Roman"/>
          <w:i/>
          <w:sz w:val="23"/>
          <w:szCs w:val="23"/>
        </w:rPr>
        <w:t>amilies</w:t>
      </w:r>
      <w:r w:rsidRPr="00F853DD">
        <w:rPr>
          <w:rFonts w:ascii="Times" w:hAnsi="Times" w:cs="Times New Roman"/>
          <w:sz w:val="23"/>
          <w:szCs w:val="23"/>
        </w:rPr>
        <w:t xml:space="preserve">. </w:t>
      </w:r>
      <w:r w:rsidRPr="00F853DD">
        <w:rPr>
          <w:rFonts w:ascii="Times" w:hAnsi="Times" w:cs="Times New Roman"/>
          <w:sz w:val="23"/>
          <w:szCs w:val="23"/>
          <w:lang w:val="es-ES"/>
        </w:rPr>
        <w:t>USA: Macmillan Reference.</w:t>
      </w:r>
    </w:p>
    <w:p w14:paraId="37EE047F" w14:textId="7907A16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s-ES"/>
        </w:rPr>
        <w:t>Selye, H.</w:t>
      </w:r>
      <w:r w:rsidR="00355CCF" w:rsidRPr="00F853DD">
        <w:rPr>
          <w:rFonts w:ascii="Times" w:hAnsi="Times" w:cs="Times New Roman"/>
          <w:sz w:val="23"/>
          <w:szCs w:val="23"/>
          <w:lang w:val="es-ES"/>
        </w:rPr>
        <w:t>,</w:t>
      </w:r>
      <w:r w:rsidRPr="00F853DD">
        <w:rPr>
          <w:rFonts w:ascii="Times" w:hAnsi="Times" w:cs="Times New Roman"/>
          <w:sz w:val="23"/>
          <w:szCs w:val="23"/>
          <w:lang w:val="es-ES"/>
        </w:rPr>
        <w:t xml:space="preserve"> (1936). </w:t>
      </w:r>
      <w:r w:rsidRPr="00F853DD">
        <w:rPr>
          <w:rFonts w:ascii="Times" w:hAnsi="Times" w:cs="Times New Roman"/>
          <w:sz w:val="23"/>
          <w:szCs w:val="23"/>
        </w:rPr>
        <w:t xml:space="preserve">A syndrome produced by diverse nocuous agents. </w:t>
      </w:r>
      <w:r w:rsidRPr="00F853DD">
        <w:rPr>
          <w:rFonts w:ascii="Times" w:hAnsi="Times" w:cs="Times New Roman"/>
          <w:i/>
          <w:sz w:val="23"/>
          <w:szCs w:val="23"/>
        </w:rPr>
        <w:t>Nature</w:t>
      </w:r>
      <w:r w:rsidRPr="00F853DD">
        <w:rPr>
          <w:rFonts w:ascii="Times" w:hAnsi="Times" w:cs="Times New Roman"/>
          <w:sz w:val="23"/>
          <w:szCs w:val="23"/>
        </w:rPr>
        <w:t xml:space="preserve">, </w:t>
      </w:r>
      <w:r w:rsidRPr="00F853DD">
        <w:rPr>
          <w:rFonts w:ascii="Times" w:hAnsi="Times" w:cs="Times New Roman"/>
          <w:b/>
          <w:sz w:val="23"/>
          <w:szCs w:val="23"/>
        </w:rPr>
        <w:t>138</w:t>
      </w:r>
      <w:r w:rsidRPr="00F853DD">
        <w:rPr>
          <w:rFonts w:ascii="Times" w:hAnsi="Times" w:cs="Times New Roman"/>
          <w:sz w:val="23"/>
          <w:szCs w:val="23"/>
        </w:rPr>
        <w:t>, 32-32.</w:t>
      </w:r>
    </w:p>
    <w:p w14:paraId="412F469E" w14:textId="5645F2A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Senior, O. (1991). </w:t>
      </w:r>
      <w:r w:rsidRPr="00F853DD">
        <w:rPr>
          <w:rFonts w:ascii="Times" w:hAnsi="Times" w:cs="Times New Roman"/>
          <w:i/>
          <w:sz w:val="23"/>
          <w:szCs w:val="23"/>
        </w:rPr>
        <w:t xml:space="preserve">Working </w:t>
      </w:r>
      <w:r w:rsidR="00355CCF" w:rsidRPr="00F853DD">
        <w:rPr>
          <w:rFonts w:ascii="Times" w:hAnsi="Times" w:cs="Times New Roman"/>
          <w:i/>
          <w:sz w:val="23"/>
          <w:szCs w:val="23"/>
        </w:rPr>
        <w:t>m</w:t>
      </w:r>
      <w:r w:rsidRPr="00F853DD">
        <w:rPr>
          <w:rFonts w:ascii="Times" w:hAnsi="Times" w:cs="Times New Roman"/>
          <w:i/>
          <w:sz w:val="23"/>
          <w:szCs w:val="23"/>
        </w:rPr>
        <w:t xml:space="preserve">iracles: </w:t>
      </w:r>
      <w:r w:rsidR="00355CCF" w:rsidRPr="00F853DD">
        <w:rPr>
          <w:rFonts w:ascii="Times" w:hAnsi="Times" w:cs="Times New Roman"/>
          <w:i/>
          <w:sz w:val="23"/>
          <w:szCs w:val="23"/>
        </w:rPr>
        <w:t>women’</w:t>
      </w:r>
      <w:r w:rsidRPr="00F853DD">
        <w:rPr>
          <w:rFonts w:ascii="Times" w:hAnsi="Times" w:cs="Times New Roman"/>
          <w:i/>
          <w:sz w:val="23"/>
          <w:szCs w:val="23"/>
        </w:rPr>
        <w:t>s lives in the English-speaking Caribbean</w:t>
      </w:r>
      <w:r w:rsidRPr="00F853DD">
        <w:rPr>
          <w:rFonts w:ascii="Times" w:hAnsi="Times" w:cs="Times New Roman"/>
          <w:sz w:val="23"/>
          <w:szCs w:val="23"/>
        </w:rPr>
        <w:t>. Barbados; London; Bloomington, ISER; Ian Randle: Indiana University Press.</w:t>
      </w:r>
    </w:p>
    <w:p w14:paraId="4DB4E401" w14:textId="591E2E5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Sennott-Miller, L.</w:t>
      </w:r>
      <w:r w:rsidR="00355CCF" w:rsidRPr="00F853DD">
        <w:rPr>
          <w:rFonts w:ascii="Times" w:hAnsi="Times" w:cs="Times New Roman"/>
          <w:sz w:val="23"/>
          <w:szCs w:val="23"/>
        </w:rPr>
        <w:t>,</w:t>
      </w:r>
      <w:r w:rsidRPr="00F853DD">
        <w:rPr>
          <w:rFonts w:ascii="Times" w:hAnsi="Times" w:cs="Times New Roman"/>
          <w:sz w:val="23"/>
          <w:szCs w:val="23"/>
        </w:rPr>
        <w:t xml:space="preserve"> (1989). The health and socioeconomic situation of midlife and older women in Latin America and the Caribbean. In </w:t>
      </w:r>
      <w:r w:rsidRPr="00F853DD">
        <w:rPr>
          <w:rFonts w:ascii="Times" w:hAnsi="Times" w:cs="Times New Roman"/>
          <w:i/>
          <w:sz w:val="23"/>
          <w:szCs w:val="23"/>
        </w:rPr>
        <w:t xml:space="preserve">Midlife and older women in Latin America and the Caribbean: </w:t>
      </w:r>
      <w:r w:rsidR="00355CCF" w:rsidRPr="00F853DD">
        <w:rPr>
          <w:rFonts w:ascii="Times" w:hAnsi="Times" w:cs="Times New Roman"/>
          <w:i/>
          <w:sz w:val="23"/>
          <w:szCs w:val="23"/>
        </w:rPr>
        <w:t>a</w:t>
      </w:r>
      <w:r w:rsidRPr="00F853DD">
        <w:rPr>
          <w:rFonts w:ascii="Times" w:hAnsi="Times" w:cs="Times New Roman"/>
          <w:i/>
          <w:sz w:val="23"/>
          <w:szCs w:val="23"/>
        </w:rPr>
        <w:t xml:space="preserve"> status report</w:t>
      </w:r>
      <w:r w:rsidRPr="00F853DD">
        <w:rPr>
          <w:rFonts w:ascii="Times" w:hAnsi="Times" w:cs="Times New Roman"/>
          <w:sz w:val="23"/>
          <w:szCs w:val="23"/>
        </w:rPr>
        <w:t>. Pan American Health Organization.</w:t>
      </w:r>
    </w:p>
    <w:p w14:paraId="2F9BD494" w14:textId="65913474" w:rsidR="00DF05BD" w:rsidRPr="00F853DD" w:rsidRDefault="00355CC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Seon, J.,</w:t>
      </w:r>
      <w:r w:rsidR="00DF05BD" w:rsidRPr="00F853DD">
        <w:rPr>
          <w:rFonts w:ascii="Times" w:hAnsi="Times" w:cs="Times New Roman"/>
          <w:sz w:val="23"/>
          <w:szCs w:val="23"/>
        </w:rPr>
        <w:t xml:space="preserve"> (2016). </w:t>
      </w:r>
      <w:r w:rsidR="00DF05BD" w:rsidRPr="00F853DD">
        <w:rPr>
          <w:rFonts w:ascii="Times" w:hAnsi="Times" w:cs="Times New Roman"/>
          <w:i/>
          <w:sz w:val="23"/>
          <w:szCs w:val="23"/>
        </w:rPr>
        <w:t>Family care-givers difficulties and patterns of elderly care policy in Finland and South Korea</w:t>
      </w:r>
      <w:r w:rsidR="00DF05BD" w:rsidRPr="00F853DD">
        <w:rPr>
          <w:rFonts w:ascii="Times" w:hAnsi="Times" w:cs="Times New Roman"/>
          <w:sz w:val="23"/>
          <w:szCs w:val="23"/>
        </w:rPr>
        <w:t>. Master’s Degree Programme in Corporative Social Policy and Welfare, University of Tampere.</w:t>
      </w:r>
    </w:p>
    <w:p w14:paraId="0836FFEB" w14:textId="27F796A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Se</w:t>
      </w:r>
      <w:r w:rsidRPr="00F853DD">
        <w:rPr>
          <w:rFonts w:ascii="Times" w:eastAsia="Times New Roman" w:hAnsi="Times" w:cs="Arial"/>
          <w:sz w:val="23"/>
          <w:szCs w:val="23"/>
          <w:shd w:val="clear" w:color="auto" w:fill="FFFFFF"/>
          <w:lang w:val="en-TT" w:eastAsia="en-US"/>
        </w:rPr>
        <w:t>rvice, R.</w:t>
      </w:r>
      <w:r w:rsidR="00355CCF" w:rsidRPr="00F853DD">
        <w:rPr>
          <w:rFonts w:ascii="Times" w:eastAsia="Times New Roman" w:hAnsi="Times" w:cs="Arial"/>
          <w:sz w:val="23"/>
          <w:szCs w:val="23"/>
          <w:shd w:val="clear" w:color="auto" w:fill="FFFFFF"/>
          <w:lang w:val="en-TT" w:eastAsia="en-US"/>
        </w:rPr>
        <w:t>,</w:t>
      </w:r>
      <w:r w:rsidRPr="00F853DD">
        <w:rPr>
          <w:rFonts w:ascii="Times" w:eastAsia="Times New Roman" w:hAnsi="Times" w:cs="Arial"/>
          <w:sz w:val="23"/>
          <w:szCs w:val="23"/>
          <w:shd w:val="clear" w:color="auto" w:fill="FFFFFF"/>
          <w:lang w:val="en-TT" w:eastAsia="en-US"/>
        </w:rPr>
        <w:t xml:space="preserve"> (2008). Book Review: Corbin, J., &amp; Strauss, A.</w:t>
      </w:r>
      <w:r w:rsidR="00355CCF" w:rsidRPr="00F853DD">
        <w:rPr>
          <w:rFonts w:ascii="Times" w:eastAsia="Times New Roman" w:hAnsi="Times" w:cs="Arial"/>
          <w:sz w:val="23"/>
          <w:szCs w:val="23"/>
          <w:shd w:val="clear" w:color="auto" w:fill="FFFFFF"/>
          <w:lang w:val="en-TT" w:eastAsia="en-US"/>
        </w:rPr>
        <w:t>,</w:t>
      </w:r>
      <w:r w:rsidRPr="00F853DD">
        <w:rPr>
          <w:rFonts w:ascii="Times" w:eastAsia="Times New Roman" w:hAnsi="Times" w:cs="Arial"/>
          <w:sz w:val="23"/>
          <w:szCs w:val="23"/>
          <w:shd w:val="clear" w:color="auto" w:fill="FFFFFF"/>
          <w:lang w:val="en-TT" w:eastAsia="en-US"/>
        </w:rPr>
        <w:t xml:space="preserve"> (2008). Basics of </w:t>
      </w:r>
      <w:r w:rsidR="00355CCF" w:rsidRPr="00F853DD">
        <w:rPr>
          <w:rFonts w:ascii="Times" w:eastAsia="Times New Roman" w:hAnsi="Times" w:cs="Arial"/>
          <w:sz w:val="23"/>
          <w:szCs w:val="23"/>
          <w:shd w:val="clear" w:color="auto" w:fill="FFFFFF"/>
          <w:lang w:val="en-TT" w:eastAsia="en-US"/>
        </w:rPr>
        <w:t>qualitative r</w:t>
      </w:r>
      <w:r w:rsidRPr="00F853DD">
        <w:rPr>
          <w:rFonts w:ascii="Times" w:eastAsia="Times New Roman" w:hAnsi="Times" w:cs="Arial"/>
          <w:sz w:val="23"/>
          <w:szCs w:val="23"/>
          <w:shd w:val="clear" w:color="auto" w:fill="FFFFFF"/>
          <w:lang w:val="en-TT" w:eastAsia="en-US"/>
        </w:rPr>
        <w:t>esea</w:t>
      </w:r>
      <w:r w:rsidR="00355CCF" w:rsidRPr="00F853DD">
        <w:rPr>
          <w:rFonts w:ascii="Times" w:eastAsia="Times New Roman" w:hAnsi="Times" w:cs="Arial"/>
          <w:sz w:val="23"/>
          <w:szCs w:val="23"/>
          <w:shd w:val="clear" w:color="auto" w:fill="FFFFFF"/>
          <w:lang w:val="en-TT" w:eastAsia="en-US"/>
        </w:rPr>
        <w:t>rch: techniques and procedures for developing grounded t</w:t>
      </w:r>
      <w:r w:rsidRPr="00F853DD">
        <w:rPr>
          <w:rFonts w:ascii="Times" w:eastAsia="Times New Roman" w:hAnsi="Times" w:cs="Arial"/>
          <w:sz w:val="23"/>
          <w:szCs w:val="23"/>
          <w:shd w:val="clear" w:color="auto" w:fill="FFFFFF"/>
          <w:lang w:val="en-TT" w:eastAsia="en-US"/>
        </w:rPr>
        <w:t>heory (3rd ed.). Thousand Oaks, CA: Sage. </w:t>
      </w:r>
      <w:r w:rsidRPr="00F853DD">
        <w:rPr>
          <w:rFonts w:ascii="Times" w:eastAsia="Times New Roman" w:hAnsi="Times" w:cs="Arial"/>
          <w:i/>
          <w:iCs/>
          <w:sz w:val="23"/>
          <w:szCs w:val="23"/>
          <w:shd w:val="clear" w:color="auto" w:fill="FFFFFF"/>
          <w:lang w:val="en-TT" w:eastAsia="en-US"/>
        </w:rPr>
        <w:t>Organizational Research Methods</w:t>
      </w:r>
      <w:r w:rsidR="00355CCF" w:rsidRPr="00F853DD">
        <w:rPr>
          <w:rFonts w:ascii="Times" w:eastAsia="Times New Roman" w:hAnsi="Times" w:cs="Arial"/>
          <w:sz w:val="23"/>
          <w:szCs w:val="23"/>
          <w:shd w:val="clear" w:color="auto" w:fill="FFFFFF"/>
          <w:lang w:val="en-TT" w:eastAsia="en-US"/>
        </w:rPr>
        <w:t>.</w:t>
      </w:r>
      <w:r w:rsidRPr="00F853DD">
        <w:rPr>
          <w:rFonts w:ascii="Times" w:eastAsia="Times New Roman" w:hAnsi="Times" w:cs="Arial"/>
          <w:sz w:val="23"/>
          <w:szCs w:val="23"/>
          <w:shd w:val="clear" w:color="auto" w:fill="FFFFFF"/>
          <w:lang w:val="en-TT" w:eastAsia="en-US"/>
        </w:rPr>
        <w:t xml:space="preserve"> </w:t>
      </w:r>
      <w:r w:rsidRPr="00F853DD">
        <w:rPr>
          <w:rFonts w:ascii="Times" w:eastAsia="Times New Roman" w:hAnsi="Times" w:cs="Arial"/>
          <w:b/>
          <w:sz w:val="23"/>
          <w:szCs w:val="23"/>
          <w:shd w:val="clear" w:color="auto" w:fill="FFFFFF"/>
          <w:lang w:val="en-TT" w:eastAsia="en-US"/>
        </w:rPr>
        <w:t>12</w:t>
      </w:r>
      <w:r w:rsidRPr="00F853DD">
        <w:rPr>
          <w:rFonts w:ascii="Times" w:eastAsia="Times New Roman" w:hAnsi="Times" w:cs="Arial"/>
          <w:sz w:val="23"/>
          <w:szCs w:val="23"/>
          <w:shd w:val="clear" w:color="auto" w:fill="FFFFFF"/>
          <w:lang w:val="en-TT" w:eastAsia="en-US"/>
        </w:rPr>
        <w:t>(3), 614-617.</w:t>
      </w:r>
    </w:p>
    <w:p w14:paraId="41049F28" w14:textId="4233D267" w:rsidR="00DF05BD" w:rsidRPr="00F853DD" w:rsidRDefault="00355CC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Sessums, L.</w:t>
      </w:r>
      <w:r w:rsidR="00DF05BD" w:rsidRPr="00F853DD">
        <w:rPr>
          <w:rFonts w:ascii="Times" w:hAnsi="Times" w:cs="Times New Roman"/>
          <w:sz w:val="23"/>
          <w:szCs w:val="23"/>
        </w:rPr>
        <w:t>, Z</w:t>
      </w:r>
      <w:r w:rsidRPr="00F853DD">
        <w:rPr>
          <w:rFonts w:ascii="Times" w:hAnsi="Times" w:cs="Times New Roman"/>
          <w:sz w:val="23"/>
          <w:szCs w:val="23"/>
        </w:rPr>
        <w:t>embrzuska, H. and Jackson, J.,</w:t>
      </w:r>
      <w:r w:rsidR="00DF05BD" w:rsidRPr="00F853DD">
        <w:rPr>
          <w:rFonts w:ascii="Times" w:hAnsi="Times" w:cs="Times New Roman"/>
          <w:sz w:val="23"/>
          <w:szCs w:val="23"/>
        </w:rPr>
        <w:t xml:space="preserve"> (2011). Does this patient have medical decision- making capacity? </w:t>
      </w:r>
      <w:r w:rsidR="00DF05BD" w:rsidRPr="00F853DD">
        <w:rPr>
          <w:rFonts w:ascii="Times" w:hAnsi="Times" w:cs="Times New Roman"/>
          <w:i/>
          <w:sz w:val="23"/>
          <w:szCs w:val="23"/>
        </w:rPr>
        <w:t>JAMA</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306</w:t>
      </w:r>
      <w:r w:rsidR="00DF05BD" w:rsidRPr="00F853DD">
        <w:rPr>
          <w:rFonts w:ascii="Times" w:hAnsi="Times" w:cs="Times New Roman"/>
          <w:sz w:val="23"/>
          <w:szCs w:val="23"/>
        </w:rPr>
        <w:t>, 420-427.</w:t>
      </w:r>
    </w:p>
    <w:p w14:paraId="695A91A1" w14:textId="0BCED2A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Sevenhuijsen, S.</w:t>
      </w:r>
      <w:r w:rsidR="00355CCF" w:rsidRPr="00F853DD">
        <w:rPr>
          <w:rFonts w:ascii="Times" w:hAnsi="Times" w:cs="Times New Roman"/>
          <w:sz w:val="23"/>
          <w:szCs w:val="23"/>
        </w:rPr>
        <w:t>,</w:t>
      </w:r>
      <w:r w:rsidRPr="00F853DD">
        <w:rPr>
          <w:rFonts w:ascii="Times" w:hAnsi="Times" w:cs="Times New Roman"/>
          <w:sz w:val="23"/>
          <w:szCs w:val="23"/>
        </w:rPr>
        <w:t xml:space="preserve"> (1998). </w:t>
      </w:r>
      <w:r w:rsidRPr="00F853DD">
        <w:rPr>
          <w:rFonts w:ascii="Times" w:hAnsi="Times" w:cs="Times New Roman"/>
          <w:i/>
          <w:sz w:val="23"/>
          <w:szCs w:val="23"/>
        </w:rPr>
        <w:t>Citizenship and the ethics of care: feminist considerations on justice, morality and politics</w:t>
      </w:r>
      <w:r w:rsidRPr="00F853DD">
        <w:rPr>
          <w:rFonts w:ascii="Times" w:hAnsi="Times" w:cs="Times New Roman"/>
          <w:sz w:val="23"/>
          <w:szCs w:val="23"/>
        </w:rPr>
        <w:t>. London: Routledge.</w:t>
      </w:r>
    </w:p>
    <w:p w14:paraId="5291ADFF" w14:textId="7B2E9C5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Seymour, J., Bellam</w:t>
      </w:r>
      <w:r w:rsidR="007620CC" w:rsidRPr="00F853DD">
        <w:rPr>
          <w:rFonts w:ascii="Times" w:hAnsi="Times" w:cs="Times New Roman"/>
          <w:sz w:val="23"/>
          <w:szCs w:val="23"/>
        </w:rPr>
        <w:t>y, G., Gott, M., Ahmedzai, S.</w:t>
      </w:r>
      <w:r w:rsidRPr="00F853DD">
        <w:rPr>
          <w:rFonts w:ascii="Times" w:hAnsi="Times" w:cs="Times New Roman"/>
          <w:sz w:val="23"/>
          <w:szCs w:val="23"/>
        </w:rPr>
        <w:t xml:space="preserve"> and Clark, D.</w:t>
      </w:r>
      <w:r w:rsidR="007620CC" w:rsidRPr="00F853DD">
        <w:rPr>
          <w:rFonts w:ascii="Times" w:hAnsi="Times" w:cs="Times New Roman"/>
          <w:sz w:val="23"/>
          <w:szCs w:val="23"/>
        </w:rPr>
        <w:t>,</w:t>
      </w:r>
      <w:r w:rsidRPr="00F853DD">
        <w:rPr>
          <w:rFonts w:ascii="Times" w:hAnsi="Times" w:cs="Times New Roman"/>
          <w:sz w:val="23"/>
          <w:szCs w:val="23"/>
        </w:rPr>
        <w:t xml:space="preserve"> (2002). Using focus groups to explore older people's attitudes to end of life care. </w:t>
      </w:r>
      <w:r w:rsidRPr="00F853DD">
        <w:rPr>
          <w:rFonts w:ascii="Times" w:hAnsi="Times" w:cs="Times New Roman"/>
          <w:i/>
          <w:sz w:val="23"/>
          <w:szCs w:val="23"/>
        </w:rPr>
        <w:t>Ageing and Society</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Pr="00F853DD">
        <w:rPr>
          <w:rFonts w:ascii="Times" w:hAnsi="Times" w:cs="Times New Roman"/>
          <w:sz w:val="23"/>
          <w:szCs w:val="23"/>
        </w:rPr>
        <w:t>, 517-526.</w:t>
      </w:r>
    </w:p>
    <w:p w14:paraId="39CCE7AE" w14:textId="0A206C14" w:rsidR="00DF05BD" w:rsidRPr="00F853DD" w:rsidRDefault="007620C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Shaghaghi, A., Bhopal, R.</w:t>
      </w:r>
      <w:r w:rsidR="00DF05BD" w:rsidRPr="00F853DD">
        <w:rPr>
          <w:rFonts w:ascii="Times" w:hAnsi="Times" w:cs="Times New Roman"/>
          <w:sz w:val="23"/>
          <w:szCs w:val="23"/>
        </w:rPr>
        <w:t xml:space="preserve"> and Sheikh, A.</w:t>
      </w:r>
      <w:r w:rsidRPr="00F853DD">
        <w:rPr>
          <w:rFonts w:ascii="Times" w:hAnsi="Times" w:cs="Times New Roman"/>
          <w:sz w:val="23"/>
          <w:szCs w:val="23"/>
        </w:rPr>
        <w:t>,</w:t>
      </w:r>
      <w:r w:rsidR="00DF05BD" w:rsidRPr="00F853DD">
        <w:rPr>
          <w:rFonts w:ascii="Times" w:hAnsi="Times" w:cs="Times New Roman"/>
          <w:sz w:val="23"/>
          <w:szCs w:val="23"/>
        </w:rPr>
        <w:t xml:space="preserve"> (2011). </w:t>
      </w:r>
      <w:r w:rsidR="00DF05BD" w:rsidRPr="00F853DD">
        <w:rPr>
          <w:rFonts w:ascii="Times" w:hAnsi="Times" w:cs="Times New Roman"/>
          <w:i/>
          <w:sz w:val="23"/>
          <w:szCs w:val="23"/>
        </w:rPr>
        <w:t xml:space="preserve">Approaches to </w:t>
      </w:r>
      <w:r w:rsidRPr="00F853DD">
        <w:rPr>
          <w:rFonts w:ascii="Times" w:hAnsi="Times" w:cs="Times New Roman"/>
          <w:i/>
          <w:sz w:val="23"/>
          <w:szCs w:val="23"/>
        </w:rPr>
        <w:t>r</w:t>
      </w:r>
      <w:r w:rsidR="00DF05BD" w:rsidRPr="00F853DD">
        <w:rPr>
          <w:rFonts w:ascii="Times" w:hAnsi="Times" w:cs="Times New Roman"/>
          <w:i/>
          <w:sz w:val="23"/>
          <w:szCs w:val="23"/>
        </w:rPr>
        <w:t xml:space="preserve">ecruiting </w:t>
      </w:r>
      <w:r w:rsidRPr="00F853DD">
        <w:rPr>
          <w:rFonts w:ascii="Times" w:hAnsi="Times" w:cs="Times New Roman"/>
          <w:i/>
          <w:sz w:val="23"/>
          <w:szCs w:val="23"/>
        </w:rPr>
        <w:t>h</w:t>
      </w:r>
      <w:r w:rsidR="00DF05BD" w:rsidRPr="00F853DD">
        <w:rPr>
          <w:rFonts w:ascii="Times" w:hAnsi="Times" w:cs="Times New Roman"/>
          <w:i/>
          <w:sz w:val="23"/>
          <w:szCs w:val="23"/>
        </w:rPr>
        <w:t xml:space="preserve">ard to </w:t>
      </w:r>
      <w:r w:rsidRPr="00F853DD">
        <w:rPr>
          <w:rFonts w:ascii="Times" w:hAnsi="Times" w:cs="Times New Roman"/>
          <w:i/>
          <w:sz w:val="23"/>
          <w:szCs w:val="23"/>
        </w:rPr>
        <w:t>r</w:t>
      </w:r>
      <w:r w:rsidR="00DF05BD" w:rsidRPr="00F853DD">
        <w:rPr>
          <w:rFonts w:ascii="Times" w:hAnsi="Times" w:cs="Times New Roman"/>
          <w:i/>
          <w:sz w:val="23"/>
          <w:szCs w:val="23"/>
        </w:rPr>
        <w:t xml:space="preserve">each </w:t>
      </w:r>
      <w:r w:rsidRPr="00F853DD">
        <w:rPr>
          <w:rFonts w:ascii="Times" w:hAnsi="Times" w:cs="Times New Roman"/>
          <w:i/>
          <w:sz w:val="23"/>
          <w:szCs w:val="23"/>
        </w:rPr>
        <w:t>p</w:t>
      </w:r>
      <w:r w:rsidR="00DF05BD" w:rsidRPr="00F853DD">
        <w:rPr>
          <w:rFonts w:ascii="Times" w:hAnsi="Times" w:cs="Times New Roman"/>
          <w:i/>
          <w:sz w:val="23"/>
          <w:szCs w:val="23"/>
        </w:rPr>
        <w:t xml:space="preserve">opulations into </w:t>
      </w:r>
      <w:r w:rsidRPr="00F853DD">
        <w:rPr>
          <w:rFonts w:ascii="Times" w:hAnsi="Times" w:cs="Times New Roman"/>
          <w:i/>
          <w:sz w:val="23"/>
          <w:szCs w:val="23"/>
        </w:rPr>
        <w:t>r</w:t>
      </w:r>
      <w:r w:rsidR="00DF05BD" w:rsidRPr="00F853DD">
        <w:rPr>
          <w:rFonts w:ascii="Times" w:hAnsi="Times" w:cs="Times New Roman"/>
          <w:i/>
          <w:sz w:val="23"/>
          <w:szCs w:val="23"/>
        </w:rPr>
        <w:t xml:space="preserve">e-search: </w:t>
      </w:r>
      <w:r w:rsidRPr="00F853DD">
        <w:rPr>
          <w:rFonts w:ascii="Times" w:hAnsi="Times" w:cs="Times New Roman"/>
          <w:i/>
          <w:sz w:val="23"/>
          <w:szCs w:val="23"/>
        </w:rPr>
        <w:t>a</w:t>
      </w:r>
      <w:r w:rsidR="00DF05BD" w:rsidRPr="00F853DD">
        <w:rPr>
          <w:rFonts w:ascii="Times" w:hAnsi="Times" w:cs="Times New Roman"/>
          <w:i/>
          <w:sz w:val="23"/>
          <w:szCs w:val="23"/>
        </w:rPr>
        <w:t xml:space="preserve"> </w:t>
      </w:r>
      <w:r w:rsidRPr="00F853DD">
        <w:rPr>
          <w:rFonts w:ascii="Times" w:hAnsi="Times" w:cs="Times New Roman"/>
          <w:i/>
          <w:sz w:val="23"/>
          <w:szCs w:val="23"/>
        </w:rPr>
        <w:t>r</w:t>
      </w:r>
      <w:r w:rsidR="00DF05BD" w:rsidRPr="00F853DD">
        <w:rPr>
          <w:rFonts w:ascii="Times" w:hAnsi="Times" w:cs="Times New Roman"/>
          <w:i/>
          <w:sz w:val="23"/>
          <w:szCs w:val="23"/>
        </w:rPr>
        <w:t xml:space="preserve">eview of the </w:t>
      </w:r>
      <w:r w:rsidRPr="00F853DD">
        <w:rPr>
          <w:rFonts w:ascii="Times" w:hAnsi="Times" w:cs="Times New Roman"/>
          <w:i/>
          <w:sz w:val="23"/>
          <w:szCs w:val="23"/>
        </w:rPr>
        <w:t>l</w:t>
      </w:r>
      <w:r w:rsidR="00DF05BD" w:rsidRPr="00F853DD">
        <w:rPr>
          <w:rFonts w:ascii="Times" w:hAnsi="Times" w:cs="Times New Roman"/>
          <w:i/>
          <w:sz w:val="23"/>
          <w:szCs w:val="23"/>
        </w:rPr>
        <w:t>iterature</w:t>
      </w:r>
      <w:r w:rsidR="00DF05BD" w:rsidRPr="00F853DD">
        <w:rPr>
          <w:rFonts w:ascii="Times" w:hAnsi="Times" w:cs="Times New Roman"/>
          <w:sz w:val="23"/>
          <w:szCs w:val="23"/>
        </w:rPr>
        <w:t>. Tabriz University of Medical Sciences.</w:t>
      </w:r>
    </w:p>
    <w:p w14:paraId="04E0C21A" w14:textId="1B2C447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Shaikh, A. and Kauppi, C.</w:t>
      </w:r>
      <w:r w:rsidR="007620CC" w:rsidRPr="00F853DD">
        <w:rPr>
          <w:rFonts w:ascii="Times" w:hAnsi="Times" w:cs="Times New Roman"/>
          <w:sz w:val="23"/>
          <w:szCs w:val="23"/>
        </w:rPr>
        <w:t>,</w:t>
      </w:r>
      <w:r w:rsidRPr="00F853DD">
        <w:rPr>
          <w:rFonts w:ascii="Times" w:hAnsi="Times" w:cs="Times New Roman"/>
          <w:sz w:val="23"/>
          <w:szCs w:val="23"/>
        </w:rPr>
        <w:t xml:space="preserve"> (2010). Deconstructing </w:t>
      </w:r>
      <w:r w:rsidR="007620CC" w:rsidRPr="00F853DD">
        <w:rPr>
          <w:rFonts w:ascii="Times" w:hAnsi="Times" w:cs="Times New Roman"/>
          <w:sz w:val="23"/>
          <w:szCs w:val="23"/>
        </w:rPr>
        <w:t>r</w:t>
      </w:r>
      <w:r w:rsidRPr="00F853DD">
        <w:rPr>
          <w:rFonts w:ascii="Times" w:hAnsi="Times" w:cs="Times New Roman"/>
          <w:sz w:val="23"/>
          <w:szCs w:val="23"/>
        </w:rPr>
        <w:t xml:space="preserve">esilience: </w:t>
      </w:r>
      <w:r w:rsidR="007620CC" w:rsidRPr="00F853DD">
        <w:rPr>
          <w:rFonts w:ascii="Times" w:hAnsi="Times" w:cs="Times New Roman"/>
          <w:sz w:val="23"/>
          <w:szCs w:val="23"/>
        </w:rPr>
        <w:t>m</w:t>
      </w:r>
      <w:r w:rsidRPr="00F853DD">
        <w:rPr>
          <w:rFonts w:ascii="Times" w:hAnsi="Times" w:cs="Times New Roman"/>
          <w:sz w:val="23"/>
          <w:szCs w:val="23"/>
        </w:rPr>
        <w:t xml:space="preserve">yriad </w:t>
      </w:r>
      <w:r w:rsidR="007620CC" w:rsidRPr="00F853DD">
        <w:rPr>
          <w:rFonts w:ascii="Times" w:hAnsi="Times" w:cs="Times New Roman"/>
          <w:sz w:val="23"/>
          <w:szCs w:val="23"/>
        </w:rPr>
        <w:t>c</w:t>
      </w:r>
      <w:r w:rsidRPr="00F853DD">
        <w:rPr>
          <w:rFonts w:ascii="Times" w:hAnsi="Times" w:cs="Times New Roman"/>
          <w:sz w:val="23"/>
          <w:szCs w:val="23"/>
        </w:rPr>
        <w:t xml:space="preserve">onceptualizations and </w:t>
      </w:r>
      <w:r w:rsidR="007620CC" w:rsidRPr="00F853DD">
        <w:rPr>
          <w:rFonts w:ascii="Times" w:hAnsi="Times" w:cs="Times New Roman"/>
          <w:sz w:val="23"/>
          <w:szCs w:val="23"/>
        </w:rPr>
        <w:t>i</w:t>
      </w:r>
      <w:r w:rsidRPr="00F853DD">
        <w:rPr>
          <w:rFonts w:ascii="Times" w:hAnsi="Times" w:cs="Times New Roman"/>
          <w:sz w:val="23"/>
          <w:szCs w:val="23"/>
        </w:rPr>
        <w:t xml:space="preserve">nterpretations. </w:t>
      </w:r>
      <w:r w:rsidRPr="00F853DD">
        <w:rPr>
          <w:rFonts w:ascii="Times" w:hAnsi="Times" w:cs="Times New Roman"/>
          <w:i/>
          <w:sz w:val="23"/>
          <w:szCs w:val="23"/>
        </w:rPr>
        <w:t>International Journal of Arts and Science</w:t>
      </w:r>
      <w:r w:rsidR="007620CC"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3</w:t>
      </w:r>
      <w:r w:rsidRPr="00F853DD">
        <w:rPr>
          <w:rFonts w:ascii="Times" w:hAnsi="Times" w:cs="Times New Roman"/>
          <w:sz w:val="23"/>
          <w:szCs w:val="23"/>
        </w:rPr>
        <w:t>.</w:t>
      </w:r>
    </w:p>
    <w:p w14:paraId="3D83024A" w14:textId="17CE03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Shanas, E.</w:t>
      </w:r>
      <w:r w:rsidR="007620CC" w:rsidRPr="00F853DD">
        <w:rPr>
          <w:rFonts w:ascii="Times" w:hAnsi="Times" w:cs="Times New Roman"/>
          <w:sz w:val="23"/>
          <w:szCs w:val="23"/>
        </w:rPr>
        <w:t>,</w:t>
      </w:r>
      <w:r w:rsidRPr="00F853DD">
        <w:rPr>
          <w:rFonts w:ascii="Times" w:hAnsi="Times" w:cs="Times New Roman"/>
          <w:sz w:val="23"/>
          <w:szCs w:val="23"/>
        </w:rPr>
        <w:t xml:space="preserve"> (1979). Family as a social support system in old age. </w:t>
      </w:r>
      <w:r w:rsidRPr="00F853DD">
        <w:rPr>
          <w:rFonts w:ascii="Times" w:hAnsi="Times" w:cs="Times New Roman"/>
          <w:i/>
          <w:sz w:val="23"/>
          <w:szCs w:val="23"/>
        </w:rPr>
        <w:t>Gerontologist</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19</w:t>
      </w:r>
      <w:r w:rsidRPr="00F853DD">
        <w:rPr>
          <w:rFonts w:ascii="Times" w:hAnsi="Times" w:cs="Times New Roman"/>
          <w:sz w:val="23"/>
          <w:szCs w:val="23"/>
        </w:rPr>
        <w:t>, 169-174.</w:t>
      </w:r>
    </w:p>
    <w:p w14:paraId="65FB961D" w14:textId="6AE1C58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Shaw, C., McNamara, R., Abrams, K., Cannings-John, R., Hood, K., Longo, M., Myles, S., Mahony, S., Roe, B. and Williams, K.</w:t>
      </w:r>
      <w:r w:rsidR="007620CC" w:rsidRPr="00F853DD">
        <w:rPr>
          <w:rFonts w:ascii="Times" w:hAnsi="Times" w:cs="Times New Roman"/>
          <w:sz w:val="23"/>
          <w:szCs w:val="23"/>
        </w:rPr>
        <w:t>,</w:t>
      </w:r>
      <w:r w:rsidRPr="00F853DD">
        <w:rPr>
          <w:rFonts w:ascii="Times" w:hAnsi="Times" w:cs="Times New Roman"/>
          <w:sz w:val="23"/>
          <w:szCs w:val="23"/>
        </w:rPr>
        <w:t xml:space="preserve"> (2009). Systematic review of respite care in the frail elderly. </w:t>
      </w:r>
      <w:r w:rsidRPr="00F853DD">
        <w:rPr>
          <w:rFonts w:ascii="Times" w:hAnsi="Times" w:cs="Times New Roman"/>
          <w:i/>
          <w:sz w:val="23"/>
          <w:szCs w:val="23"/>
        </w:rPr>
        <w:t>Health Technology Assessment</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Pr="00F853DD">
        <w:rPr>
          <w:rFonts w:ascii="Times" w:hAnsi="Times" w:cs="Times New Roman"/>
          <w:sz w:val="23"/>
          <w:szCs w:val="23"/>
        </w:rPr>
        <w:t>, 1-224, iii.</w:t>
      </w:r>
    </w:p>
    <w:p w14:paraId="7FBAD071" w14:textId="561EA779" w:rsidR="00DF05BD" w:rsidRPr="00F853DD" w:rsidRDefault="007620C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Shaw, J., Mclean, K.</w:t>
      </w:r>
      <w:r w:rsidR="00DF05BD" w:rsidRPr="00F853DD">
        <w:rPr>
          <w:rFonts w:ascii="Times" w:hAnsi="Times" w:cs="Times New Roman"/>
          <w:sz w:val="23"/>
          <w:szCs w:val="23"/>
        </w:rPr>
        <w:t>, Taylor, B., Swartout, K. and Querna, K.</w:t>
      </w:r>
      <w:r w:rsidRPr="00F853DD">
        <w:rPr>
          <w:rFonts w:ascii="Times" w:hAnsi="Times" w:cs="Times New Roman"/>
          <w:sz w:val="23"/>
          <w:szCs w:val="23"/>
        </w:rPr>
        <w:t>,</w:t>
      </w:r>
      <w:r w:rsidR="00DF05BD" w:rsidRPr="00F853DD">
        <w:rPr>
          <w:rFonts w:ascii="Times" w:hAnsi="Times" w:cs="Times New Roman"/>
          <w:sz w:val="23"/>
          <w:szCs w:val="23"/>
        </w:rPr>
        <w:t xml:space="preserve"> (2016). Beyond resilience: </w:t>
      </w:r>
      <w:r w:rsidRPr="00F853DD">
        <w:rPr>
          <w:rFonts w:ascii="Times" w:hAnsi="Times" w:cs="Times New Roman"/>
          <w:sz w:val="23"/>
          <w:szCs w:val="23"/>
        </w:rPr>
        <w:t>w</w:t>
      </w:r>
      <w:r w:rsidR="00DF05BD" w:rsidRPr="00F853DD">
        <w:rPr>
          <w:rFonts w:ascii="Times" w:hAnsi="Times" w:cs="Times New Roman"/>
          <w:sz w:val="23"/>
          <w:szCs w:val="23"/>
        </w:rPr>
        <w:t xml:space="preserve">hy we need to look at systems too. </w:t>
      </w:r>
      <w:r w:rsidR="00DF05BD" w:rsidRPr="00F853DD">
        <w:rPr>
          <w:rFonts w:ascii="Times" w:hAnsi="Times" w:cs="Times New Roman"/>
          <w:i/>
          <w:sz w:val="23"/>
          <w:szCs w:val="23"/>
        </w:rPr>
        <w:t>Psychology of Violence</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6</w:t>
      </w:r>
      <w:r w:rsidR="00DF05BD" w:rsidRPr="00F853DD">
        <w:rPr>
          <w:rFonts w:ascii="Times" w:hAnsi="Times" w:cs="Times New Roman"/>
          <w:sz w:val="23"/>
          <w:szCs w:val="23"/>
        </w:rPr>
        <w:t>, 34-41.</w:t>
      </w:r>
    </w:p>
    <w:p w14:paraId="3CDB6D32" w14:textId="594A780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Shen, K. and Zeng, Y.</w:t>
      </w:r>
      <w:r w:rsidR="007620CC" w:rsidRPr="00F853DD">
        <w:rPr>
          <w:rFonts w:ascii="Times" w:hAnsi="Times" w:cs="Times New Roman"/>
          <w:sz w:val="23"/>
          <w:szCs w:val="23"/>
        </w:rPr>
        <w:t>,</w:t>
      </w:r>
      <w:r w:rsidRPr="00F853DD">
        <w:rPr>
          <w:rFonts w:ascii="Times" w:hAnsi="Times" w:cs="Times New Roman"/>
          <w:sz w:val="23"/>
          <w:szCs w:val="23"/>
        </w:rPr>
        <w:t xml:space="preserve"> (2010). The association between resilience and survival among Chinese elderly. </w:t>
      </w:r>
      <w:r w:rsidRPr="00F853DD">
        <w:rPr>
          <w:rFonts w:ascii="Times" w:hAnsi="Times" w:cs="Times New Roman"/>
          <w:i/>
          <w:sz w:val="23"/>
          <w:szCs w:val="23"/>
        </w:rPr>
        <w:t>Demographic Research</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105-115.</w:t>
      </w:r>
    </w:p>
    <w:p w14:paraId="48F8F174" w14:textId="3E3CE0E2" w:rsidR="00DF05BD" w:rsidRPr="00F853DD" w:rsidRDefault="007620C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Sherwood, P., Crighton, M., Song, M., Happ, M. and Lingler, J.,</w:t>
      </w:r>
      <w:r w:rsidR="00DF05BD" w:rsidRPr="00F853DD">
        <w:rPr>
          <w:rFonts w:ascii="Times" w:hAnsi="Times" w:cs="Times New Roman"/>
          <w:sz w:val="23"/>
          <w:szCs w:val="23"/>
        </w:rPr>
        <w:t xml:space="preserve"> (2008). Conceptual challenges in the study of caregiver-care recipient relationships. </w:t>
      </w:r>
      <w:r w:rsidR="00DF05BD" w:rsidRPr="00F853DD">
        <w:rPr>
          <w:rFonts w:ascii="Times" w:hAnsi="Times" w:cs="Times New Roman"/>
          <w:i/>
          <w:sz w:val="23"/>
          <w:szCs w:val="23"/>
        </w:rPr>
        <w:t>Nursing Research</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57</w:t>
      </w:r>
      <w:r w:rsidR="00DF05BD" w:rsidRPr="00F853DD">
        <w:rPr>
          <w:rFonts w:ascii="Times" w:hAnsi="Times" w:cs="Times New Roman"/>
          <w:sz w:val="23"/>
          <w:szCs w:val="23"/>
        </w:rPr>
        <w:t>, 367-372.</w:t>
      </w:r>
    </w:p>
    <w:p w14:paraId="1153C443" w14:textId="7021F87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Shields, L., Hunsaker, D. and Hunsaker, J.</w:t>
      </w:r>
      <w:r w:rsidR="007620CC" w:rsidRPr="00F853DD">
        <w:rPr>
          <w:rFonts w:ascii="Times" w:hAnsi="Times" w:cs="Times New Roman"/>
          <w:sz w:val="23"/>
          <w:szCs w:val="23"/>
        </w:rPr>
        <w:t>,</w:t>
      </w:r>
      <w:r w:rsidRPr="00F853DD">
        <w:rPr>
          <w:rFonts w:ascii="Times" w:hAnsi="Times" w:cs="Times New Roman"/>
          <w:sz w:val="23"/>
          <w:szCs w:val="23"/>
        </w:rPr>
        <w:t xml:space="preserve"> (2004). Abuse and neglect: A ten-year review of mortality and morbidity in our elders in a large metropolitan area. </w:t>
      </w:r>
      <w:r w:rsidRPr="00F853DD">
        <w:rPr>
          <w:rFonts w:ascii="Times" w:hAnsi="Times" w:cs="Times New Roman"/>
          <w:i/>
          <w:sz w:val="23"/>
          <w:szCs w:val="23"/>
        </w:rPr>
        <w:t>Journal of Forensic Sciences</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49</w:t>
      </w:r>
      <w:r w:rsidRPr="00F853DD">
        <w:rPr>
          <w:rFonts w:ascii="Times" w:hAnsi="Times" w:cs="Times New Roman"/>
          <w:sz w:val="23"/>
          <w:szCs w:val="23"/>
        </w:rPr>
        <w:t>, 122-127.</w:t>
      </w:r>
    </w:p>
    <w:p w14:paraId="559CFF01" w14:textId="16113FDD" w:rsidR="00DF05BD" w:rsidRPr="00F853DD" w:rsidRDefault="007620C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Shim, H.,</w:t>
      </w:r>
      <w:r w:rsidR="00DF05BD" w:rsidRPr="00F853DD">
        <w:rPr>
          <w:rFonts w:ascii="Times" w:hAnsi="Times" w:cs="Times New Roman"/>
          <w:sz w:val="23"/>
          <w:szCs w:val="23"/>
        </w:rPr>
        <w:t xml:space="preserve"> (2012). Predictors of caregivers’ consideration for institutionalization of elderly care recipients with Alzheimer’s disease among three different ethnicities. </w:t>
      </w:r>
      <w:r w:rsidR="00DF05BD" w:rsidRPr="00F853DD">
        <w:rPr>
          <w:rFonts w:ascii="Times" w:hAnsi="Times" w:cs="Times New Roman"/>
          <w:i/>
          <w:sz w:val="23"/>
          <w:szCs w:val="23"/>
        </w:rPr>
        <w:t>The Journal of Nursing Home Research</w:t>
      </w:r>
      <w:r w:rsidR="00DF05BD" w:rsidRPr="00F853DD">
        <w:rPr>
          <w:rFonts w:ascii="Times" w:hAnsi="Times" w:cs="Times New Roman"/>
          <w:sz w:val="23"/>
          <w:szCs w:val="23"/>
        </w:rPr>
        <w:t xml:space="preserve">. </w:t>
      </w:r>
      <w:r w:rsidR="000528BF" w:rsidRPr="00F853DD">
        <w:rPr>
          <w:rFonts w:ascii="Times" w:hAnsi="Times" w:cs="Times New Roman"/>
          <w:sz w:val="23"/>
          <w:szCs w:val="23"/>
        </w:rPr>
        <w:t>[Viewed 14 March 2018]. Available from: http://www.jnursinghomeresearch.com/448-predictors-of-caregivers-consideration-for-institutionalization-of-elderly-care-recipients-with-alzheimers-disease-among-three-different-ethnicities.html</w:t>
      </w:r>
    </w:p>
    <w:p w14:paraId="02EF99D7" w14:textId="5F13B4B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w:t>
      </w:r>
      <w:r w:rsidRPr="00F853DD">
        <w:rPr>
          <w:rFonts w:ascii="Times" w:hAnsi="Times" w:cs="Segoe UI"/>
          <w:sz w:val="23"/>
          <w:szCs w:val="23"/>
        </w:rPr>
        <w:t>kipwith, D.</w:t>
      </w:r>
      <w:r w:rsidR="007620CC" w:rsidRPr="00F853DD">
        <w:rPr>
          <w:rFonts w:ascii="Times" w:hAnsi="Times" w:cs="Segoe UI"/>
          <w:sz w:val="23"/>
          <w:szCs w:val="23"/>
        </w:rPr>
        <w:t>,</w:t>
      </w:r>
      <w:r w:rsidRPr="00F853DD">
        <w:rPr>
          <w:rFonts w:ascii="Times" w:hAnsi="Times" w:cs="Segoe UI"/>
          <w:sz w:val="23"/>
          <w:szCs w:val="23"/>
        </w:rPr>
        <w:t xml:space="preserve"> (1994). Telephone counseling interventions with caregivers of elders. </w:t>
      </w:r>
      <w:r w:rsidRPr="00F853DD">
        <w:rPr>
          <w:rFonts w:ascii="Times" w:hAnsi="Times" w:cs="Segoe UI"/>
          <w:i/>
          <w:iCs/>
          <w:sz w:val="23"/>
          <w:szCs w:val="23"/>
        </w:rPr>
        <w:t>Journal of Psychosocial Nursing and Mental Health Services</w:t>
      </w:r>
      <w:r w:rsidR="007620CC" w:rsidRPr="00F853DD">
        <w:rPr>
          <w:rFonts w:ascii="Times" w:hAnsi="Times" w:cs="Segoe UI"/>
          <w:sz w:val="23"/>
          <w:szCs w:val="23"/>
        </w:rPr>
        <w:t>.</w:t>
      </w:r>
      <w:r w:rsidRPr="00F853DD">
        <w:rPr>
          <w:rFonts w:ascii="Times" w:hAnsi="Times" w:cs="Segoe UI"/>
          <w:sz w:val="23"/>
          <w:szCs w:val="23"/>
        </w:rPr>
        <w:t> </w:t>
      </w:r>
      <w:r w:rsidRPr="00F853DD">
        <w:rPr>
          <w:rFonts w:ascii="Times" w:hAnsi="Times" w:cs="Segoe UI"/>
          <w:b/>
          <w:iCs/>
          <w:sz w:val="23"/>
          <w:szCs w:val="23"/>
        </w:rPr>
        <w:t>32</w:t>
      </w:r>
      <w:r w:rsidRPr="00F853DD">
        <w:rPr>
          <w:rFonts w:ascii="Times" w:hAnsi="Times" w:cs="Segoe UI"/>
          <w:sz w:val="23"/>
          <w:szCs w:val="23"/>
        </w:rPr>
        <w:t>(3), 7-9.</w:t>
      </w:r>
    </w:p>
    <w:p w14:paraId="73F4F945" w14:textId="50E8C02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Shyu, Y.</w:t>
      </w:r>
      <w:r w:rsidR="007620CC" w:rsidRPr="00F853DD">
        <w:rPr>
          <w:rFonts w:ascii="Times" w:hAnsi="Times" w:cs="Times New Roman"/>
          <w:sz w:val="23"/>
          <w:szCs w:val="23"/>
        </w:rPr>
        <w:t>,</w:t>
      </w:r>
      <w:r w:rsidRPr="00F853DD">
        <w:rPr>
          <w:rFonts w:ascii="Times" w:hAnsi="Times" w:cs="Times New Roman"/>
          <w:sz w:val="23"/>
          <w:szCs w:val="23"/>
        </w:rPr>
        <w:t xml:space="preserve"> (2000). Patterns of caregiving when family caregivers face competing needs. </w:t>
      </w:r>
      <w:r w:rsidRPr="00F853DD">
        <w:rPr>
          <w:rFonts w:ascii="Times" w:hAnsi="Times" w:cs="Times New Roman"/>
          <w:i/>
          <w:sz w:val="23"/>
          <w:szCs w:val="23"/>
        </w:rPr>
        <w:t>Journal of Advanced Nursing</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35-43.</w:t>
      </w:r>
    </w:p>
    <w:p w14:paraId="61B4F51D" w14:textId="47BABAF6" w:rsidR="007620CC" w:rsidRPr="00F853DD" w:rsidRDefault="007620CC" w:rsidP="007620CC">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Shyu, Y., (2002). A conceptual framework for understanding the process of family caregiving to frail elders in Taiwan. </w:t>
      </w:r>
      <w:r w:rsidRPr="00F853DD">
        <w:rPr>
          <w:rFonts w:ascii="Times" w:hAnsi="Times" w:cs="Times New Roman"/>
          <w:i/>
          <w:sz w:val="23"/>
          <w:szCs w:val="23"/>
        </w:rPr>
        <w:t>Research in Nursing and Health</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111-121.</w:t>
      </w:r>
    </w:p>
    <w:p w14:paraId="180BC754" w14:textId="48B193F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Siegler, E., Capezuti, E., &amp; Mezey, M.</w:t>
      </w:r>
      <w:r w:rsidR="007620CC" w:rsidRPr="00F853DD">
        <w:rPr>
          <w:rFonts w:ascii="Times" w:hAnsi="Times" w:cs="Times New Roman"/>
          <w:sz w:val="23"/>
          <w:szCs w:val="23"/>
          <w:lang w:val="en-TT"/>
        </w:rPr>
        <w:t>, (eds)</w:t>
      </w:r>
      <w:r w:rsidRPr="00F853DD">
        <w:rPr>
          <w:rFonts w:ascii="Times" w:hAnsi="Times" w:cs="Times New Roman"/>
          <w:sz w:val="23"/>
          <w:szCs w:val="23"/>
          <w:lang w:val="en-TT"/>
        </w:rPr>
        <w:t xml:space="preserve"> </w:t>
      </w:r>
      <w:r w:rsidRPr="00F853DD">
        <w:rPr>
          <w:rFonts w:ascii="Times" w:hAnsi="Times" w:cs="Times New Roman"/>
          <w:sz w:val="23"/>
          <w:szCs w:val="23"/>
        </w:rPr>
        <w:t>(200</w:t>
      </w:r>
      <w:r w:rsidR="008A5EAC" w:rsidRPr="00F853DD">
        <w:rPr>
          <w:rFonts w:ascii="Times" w:hAnsi="Times" w:cs="Times New Roman"/>
          <w:sz w:val="23"/>
          <w:szCs w:val="23"/>
        </w:rPr>
        <w:t>1</w:t>
      </w:r>
      <w:r w:rsidRPr="00F853DD">
        <w:rPr>
          <w:rFonts w:ascii="Times" w:hAnsi="Times" w:cs="Times New Roman"/>
          <w:sz w:val="23"/>
          <w:szCs w:val="23"/>
        </w:rPr>
        <w:t xml:space="preserve">). </w:t>
      </w:r>
      <w:r w:rsidRPr="00F853DD">
        <w:rPr>
          <w:rFonts w:ascii="Times" w:hAnsi="Times" w:cs="Times New Roman"/>
          <w:i/>
          <w:sz w:val="23"/>
          <w:szCs w:val="23"/>
        </w:rPr>
        <w:t xml:space="preserve">The encyclopedia of elder care: the comprehensive resource on geriatric and social care </w:t>
      </w:r>
      <w:r w:rsidRPr="00F853DD">
        <w:rPr>
          <w:rFonts w:ascii="Times" w:hAnsi="Times" w:cs="Times New Roman"/>
          <w:sz w:val="23"/>
          <w:szCs w:val="23"/>
        </w:rPr>
        <w:t>[online]. Springer Publishing Company.</w:t>
      </w:r>
    </w:p>
    <w:p w14:paraId="5BED7F4F" w14:textId="4C1FDEB2" w:rsidR="008F7E2A" w:rsidRPr="00F853DD" w:rsidRDefault="007620CC"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Silverstein, M., Conroy, S.</w:t>
      </w:r>
      <w:r w:rsidR="008F7E2A" w:rsidRPr="00F853DD">
        <w:rPr>
          <w:rFonts w:ascii="Times" w:hAnsi="Times" w:cs="Times New Roman"/>
          <w:sz w:val="23"/>
          <w:szCs w:val="23"/>
        </w:rPr>
        <w:t xml:space="preserve">, Wang, H., </w:t>
      </w:r>
      <w:r w:rsidRPr="00F853DD">
        <w:rPr>
          <w:rFonts w:ascii="Times" w:hAnsi="Times" w:cs="Times New Roman"/>
          <w:sz w:val="23"/>
          <w:szCs w:val="23"/>
        </w:rPr>
        <w:t>Giarrusso, R. and Bengtson, V.</w:t>
      </w:r>
      <w:r w:rsidR="008F7E2A" w:rsidRPr="00F853DD">
        <w:rPr>
          <w:rFonts w:ascii="Times" w:hAnsi="Times" w:cs="Times New Roman"/>
          <w:sz w:val="23"/>
          <w:szCs w:val="23"/>
        </w:rPr>
        <w:t xml:space="preserve">, 2002. Reciprocity in parent–child relations over the adult life course. </w:t>
      </w:r>
      <w:r w:rsidR="008F7E2A" w:rsidRPr="00F853DD">
        <w:rPr>
          <w:rFonts w:ascii="Times" w:hAnsi="Times" w:cs="Times New Roman"/>
          <w:i/>
          <w:sz w:val="23"/>
          <w:szCs w:val="23"/>
        </w:rPr>
        <w:t>The Journals of Gerontology Series B: Psychological Sciences</w:t>
      </w:r>
      <w:r w:rsidRPr="00F853DD">
        <w:rPr>
          <w:rFonts w:ascii="Times" w:hAnsi="Times" w:cs="Times New Roman"/>
          <w:i/>
          <w:sz w:val="23"/>
          <w:szCs w:val="23"/>
        </w:rPr>
        <w:t xml:space="preserve"> and Social Sciences.</w:t>
      </w:r>
      <w:r w:rsidRPr="00F853DD">
        <w:rPr>
          <w:rFonts w:ascii="Times" w:hAnsi="Times" w:cs="Times New Roman"/>
          <w:sz w:val="23"/>
          <w:szCs w:val="23"/>
        </w:rPr>
        <w:t xml:space="preserve"> </w:t>
      </w:r>
      <w:r w:rsidRPr="00F853DD">
        <w:rPr>
          <w:rFonts w:ascii="Times" w:hAnsi="Times" w:cs="Times New Roman"/>
          <w:b/>
          <w:sz w:val="23"/>
          <w:szCs w:val="23"/>
        </w:rPr>
        <w:t>57</w:t>
      </w:r>
      <w:r w:rsidRPr="00F853DD">
        <w:rPr>
          <w:rFonts w:ascii="Times" w:hAnsi="Times" w:cs="Times New Roman"/>
          <w:sz w:val="23"/>
          <w:szCs w:val="23"/>
        </w:rPr>
        <w:t xml:space="preserve">(1), </w:t>
      </w:r>
      <w:r w:rsidR="008F7E2A" w:rsidRPr="00F853DD">
        <w:rPr>
          <w:rFonts w:ascii="Times" w:hAnsi="Times" w:cs="Times New Roman"/>
          <w:sz w:val="23"/>
          <w:szCs w:val="23"/>
        </w:rPr>
        <w:t>S3-S13.</w:t>
      </w:r>
    </w:p>
    <w:p w14:paraId="16EA8D5A" w14:textId="654CF66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Silverstein, L. and Aurebach, C.</w:t>
      </w:r>
      <w:r w:rsidR="007620CC" w:rsidRPr="00F853DD">
        <w:rPr>
          <w:rFonts w:ascii="Times" w:hAnsi="Times" w:cs="Times New Roman"/>
          <w:sz w:val="23"/>
          <w:szCs w:val="23"/>
        </w:rPr>
        <w:t>,</w:t>
      </w:r>
      <w:r w:rsidRPr="00F853DD">
        <w:rPr>
          <w:rFonts w:ascii="Times" w:hAnsi="Times" w:cs="Times New Roman"/>
          <w:sz w:val="23"/>
          <w:szCs w:val="23"/>
        </w:rPr>
        <w:t xml:space="preserve"> (2005). (Post)</w:t>
      </w:r>
      <w:r w:rsidR="007620CC" w:rsidRPr="00F853DD">
        <w:rPr>
          <w:rFonts w:ascii="Times" w:hAnsi="Times" w:cs="Times New Roman"/>
          <w:sz w:val="23"/>
          <w:szCs w:val="23"/>
        </w:rPr>
        <w:t>m</w:t>
      </w:r>
      <w:r w:rsidRPr="00F853DD">
        <w:rPr>
          <w:rFonts w:ascii="Times" w:hAnsi="Times" w:cs="Times New Roman"/>
          <w:sz w:val="23"/>
          <w:szCs w:val="23"/>
        </w:rPr>
        <w:t xml:space="preserve">odern </w:t>
      </w:r>
      <w:r w:rsidR="007620CC" w:rsidRPr="00F853DD">
        <w:rPr>
          <w:rFonts w:ascii="Times" w:hAnsi="Times" w:cs="Times New Roman"/>
          <w:sz w:val="23"/>
          <w:szCs w:val="23"/>
        </w:rPr>
        <w:t>f</w:t>
      </w:r>
      <w:r w:rsidRPr="00F853DD">
        <w:rPr>
          <w:rFonts w:ascii="Times" w:hAnsi="Times" w:cs="Times New Roman"/>
          <w:sz w:val="23"/>
          <w:szCs w:val="23"/>
        </w:rPr>
        <w:t xml:space="preserve">amilies. </w:t>
      </w:r>
      <w:r w:rsidRPr="00F853DD">
        <w:rPr>
          <w:rFonts w:ascii="Times" w:hAnsi="Times" w:cs="Times New Roman"/>
          <w:sz w:val="23"/>
          <w:szCs w:val="23"/>
          <w:lang w:val="en-TT"/>
        </w:rPr>
        <w:t xml:space="preserve">In: Roopnarine, J. and Gielen, U. (eds.) </w:t>
      </w:r>
      <w:r w:rsidRPr="00F853DD">
        <w:rPr>
          <w:rFonts w:ascii="Times" w:hAnsi="Times" w:cs="Times New Roman"/>
          <w:i/>
          <w:sz w:val="23"/>
          <w:szCs w:val="23"/>
        </w:rPr>
        <w:t>Families in Global Perspective</w:t>
      </w:r>
      <w:r w:rsidRPr="00F853DD">
        <w:rPr>
          <w:rFonts w:ascii="Times" w:hAnsi="Times" w:cs="Times New Roman"/>
          <w:sz w:val="23"/>
          <w:szCs w:val="23"/>
        </w:rPr>
        <w:t>. USA: Pearson Education Inc.</w:t>
      </w:r>
    </w:p>
    <w:p w14:paraId="3F3D7323" w14:textId="6F19112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Silverstein, M. and Giarrusso, R.</w:t>
      </w:r>
      <w:r w:rsidR="007620CC" w:rsidRPr="00F853DD">
        <w:rPr>
          <w:rFonts w:ascii="Times" w:hAnsi="Times" w:cs="Times New Roman"/>
          <w:sz w:val="23"/>
          <w:szCs w:val="23"/>
        </w:rPr>
        <w:t>,</w:t>
      </w:r>
      <w:r w:rsidRPr="00F853DD">
        <w:rPr>
          <w:rFonts w:ascii="Times" w:hAnsi="Times" w:cs="Times New Roman"/>
          <w:sz w:val="23"/>
          <w:szCs w:val="23"/>
        </w:rPr>
        <w:t xml:space="preserve"> (2010). Aging and family life: </w:t>
      </w:r>
      <w:r w:rsidR="007620CC" w:rsidRPr="00F853DD">
        <w:rPr>
          <w:rFonts w:ascii="Times" w:hAnsi="Times" w:cs="Times New Roman"/>
          <w:sz w:val="23"/>
          <w:szCs w:val="23"/>
        </w:rPr>
        <w:t>a</w:t>
      </w:r>
      <w:r w:rsidRPr="00F853DD">
        <w:rPr>
          <w:rFonts w:ascii="Times" w:hAnsi="Times" w:cs="Times New Roman"/>
          <w:sz w:val="23"/>
          <w:szCs w:val="23"/>
        </w:rPr>
        <w:t xml:space="preserve"> decade review. </w:t>
      </w:r>
      <w:r w:rsidRPr="00F853DD">
        <w:rPr>
          <w:rFonts w:ascii="Times" w:hAnsi="Times" w:cs="Times New Roman"/>
          <w:i/>
          <w:sz w:val="23"/>
          <w:szCs w:val="23"/>
        </w:rPr>
        <w:t>Journal of Marriage and Family</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72</w:t>
      </w:r>
      <w:r w:rsidRPr="00F853DD">
        <w:rPr>
          <w:rFonts w:ascii="Times" w:hAnsi="Times" w:cs="Times New Roman"/>
          <w:sz w:val="23"/>
          <w:szCs w:val="23"/>
        </w:rPr>
        <w:t>, 1039-1058.</w:t>
      </w:r>
    </w:p>
    <w:p w14:paraId="3376DD75" w14:textId="7C461BA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Silverstein, M. and Litwak, E.</w:t>
      </w:r>
      <w:r w:rsidR="007620CC" w:rsidRPr="00F853DD">
        <w:rPr>
          <w:rFonts w:ascii="Times" w:hAnsi="Times" w:cs="Times New Roman"/>
          <w:sz w:val="23"/>
          <w:szCs w:val="23"/>
        </w:rPr>
        <w:t>,</w:t>
      </w:r>
      <w:r w:rsidRPr="00F853DD">
        <w:rPr>
          <w:rFonts w:ascii="Times" w:hAnsi="Times" w:cs="Times New Roman"/>
          <w:sz w:val="23"/>
          <w:szCs w:val="23"/>
        </w:rPr>
        <w:t xml:space="preserve"> (1993). A task-specific typology of intergenerational family-structure in later life. </w:t>
      </w:r>
      <w:r w:rsidRPr="00F853DD">
        <w:rPr>
          <w:rFonts w:ascii="Times" w:hAnsi="Times" w:cs="Times New Roman"/>
          <w:i/>
          <w:sz w:val="23"/>
          <w:szCs w:val="23"/>
        </w:rPr>
        <w:t>Gerontologist</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 258-264.</w:t>
      </w:r>
    </w:p>
    <w:p w14:paraId="721A9FE0" w14:textId="2D6E59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Simms, M.</w:t>
      </w:r>
      <w:r w:rsidR="007620CC" w:rsidRPr="00F853DD">
        <w:rPr>
          <w:rFonts w:ascii="Times" w:hAnsi="Times" w:cs="Times New Roman"/>
          <w:sz w:val="23"/>
          <w:szCs w:val="23"/>
        </w:rPr>
        <w:t>,</w:t>
      </w:r>
      <w:r w:rsidRPr="00F853DD">
        <w:rPr>
          <w:rFonts w:ascii="Times" w:hAnsi="Times" w:cs="Times New Roman"/>
          <w:sz w:val="23"/>
          <w:szCs w:val="23"/>
        </w:rPr>
        <w:t xml:space="preserve"> (2003). Opening the black box of rationing care in later life. </w:t>
      </w:r>
      <w:r w:rsidRPr="00F853DD">
        <w:rPr>
          <w:rFonts w:ascii="Times" w:hAnsi="Times" w:cs="Times New Roman"/>
          <w:i/>
          <w:sz w:val="23"/>
          <w:szCs w:val="23"/>
        </w:rPr>
        <w:t>Journal of Aging and Health</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713-737.</w:t>
      </w:r>
    </w:p>
    <w:p w14:paraId="0274546E" w14:textId="0EA3C26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Sims-Gould, J., Byrne, K., Tong, C. and Martin-Matthews, A.</w:t>
      </w:r>
      <w:r w:rsidR="007620CC" w:rsidRPr="00F853DD">
        <w:rPr>
          <w:rFonts w:ascii="Times" w:hAnsi="Times" w:cs="Times New Roman"/>
          <w:sz w:val="23"/>
          <w:szCs w:val="23"/>
        </w:rPr>
        <w:t>,</w:t>
      </w:r>
      <w:r w:rsidRPr="00F853DD">
        <w:rPr>
          <w:rFonts w:ascii="Times" w:hAnsi="Times" w:cs="Times New Roman"/>
          <w:sz w:val="23"/>
          <w:szCs w:val="23"/>
        </w:rPr>
        <w:t xml:space="preserve"> (2015). Home support workers perceptions of family members of their older clients: a qualitative study. </w:t>
      </w:r>
      <w:r w:rsidRPr="00F853DD">
        <w:rPr>
          <w:rFonts w:ascii="Times" w:hAnsi="Times" w:cs="Times New Roman"/>
          <w:i/>
          <w:sz w:val="23"/>
          <w:szCs w:val="23"/>
        </w:rPr>
        <w:t>BMC Geriatrics</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9.</w:t>
      </w:r>
    </w:p>
    <w:p w14:paraId="43D7C3C5" w14:textId="5083C1A4"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fr-FR"/>
        </w:rPr>
      </w:pPr>
      <w:r w:rsidRPr="00F853DD">
        <w:rPr>
          <w:rFonts w:ascii="Times" w:hAnsi="Times" w:cs="Times New Roman"/>
          <w:sz w:val="23"/>
          <w:szCs w:val="23"/>
        </w:rPr>
        <w:t>Sims-Gould, J. and Martin-Matthews, A.</w:t>
      </w:r>
      <w:r w:rsidR="007620CC" w:rsidRPr="00F853DD">
        <w:rPr>
          <w:rFonts w:ascii="Times" w:hAnsi="Times" w:cs="Times New Roman"/>
          <w:sz w:val="23"/>
          <w:szCs w:val="23"/>
        </w:rPr>
        <w:t>,</w:t>
      </w:r>
      <w:r w:rsidRPr="00F853DD">
        <w:rPr>
          <w:rFonts w:ascii="Times" w:hAnsi="Times" w:cs="Times New Roman"/>
          <w:sz w:val="23"/>
          <w:szCs w:val="23"/>
        </w:rPr>
        <w:t xml:space="preserve"> (2007). Family caregiving or caregiving alone: who helps the helper? </w:t>
      </w:r>
      <w:r w:rsidRPr="00F853DD">
        <w:rPr>
          <w:rFonts w:ascii="Times" w:hAnsi="Times" w:cs="Times New Roman"/>
          <w:i/>
          <w:sz w:val="23"/>
          <w:szCs w:val="23"/>
          <w:lang w:val="fr-FR"/>
        </w:rPr>
        <w:t>Canadian Journal on Aging</w:t>
      </w:r>
      <w:r w:rsidRPr="00F853DD">
        <w:rPr>
          <w:rFonts w:ascii="Times" w:hAnsi="Times" w:cs="Times New Roman"/>
          <w:sz w:val="23"/>
          <w:szCs w:val="23"/>
          <w:lang w:val="fr-FR"/>
        </w:rPr>
        <w:t xml:space="preserve">. </w:t>
      </w:r>
      <w:r w:rsidRPr="00F853DD">
        <w:rPr>
          <w:rFonts w:ascii="Times" w:hAnsi="Times" w:cs="Times New Roman"/>
          <w:i/>
          <w:sz w:val="23"/>
          <w:szCs w:val="23"/>
          <w:lang w:val="fr-FR"/>
        </w:rPr>
        <w:t>La revue canadienne du vieillissement</w:t>
      </w:r>
      <w:r w:rsidR="007620CC" w:rsidRPr="00F853DD">
        <w:rPr>
          <w:rFonts w:ascii="Times" w:hAnsi="Times" w:cs="Times New Roman"/>
          <w:sz w:val="23"/>
          <w:szCs w:val="23"/>
          <w:lang w:val="fr-FR"/>
        </w:rPr>
        <w:t>.</w:t>
      </w:r>
      <w:r w:rsidRPr="00F853DD">
        <w:rPr>
          <w:rFonts w:ascii="Times" w:hAnsi="Times" w:cs="Times New Roman"/>
          <w:sz w:val="23"/>
          <w:szCs w:val="23"/>
          <w:lang w:val="fr-FR"/>
        </w:rPr>
        <w:t xml:space="preserve"> </w:t>
      </w:r>
      <w:r w:rsidRPr="00F853DD">
        <w:rPr>
          <w:rFonts w:ascii="Times" w:hAnsi="Times" w:cs="Times New Roman"/>
          <w:b/>
          <w:sz w:val="23"/>
          <w:szCs w:val="23"/>
          <w:lang w:val="fr-FR"/>
        </w:rPr>
        <w:t>26</w:t>
      </w:r>
      <w:r w:rsidRPr="00F853DD">
        <w:rPr>
          <w:rFonts w:ascii="Times" w:hAnsi="Times" w:cs="Times New Roman"/>
          <w:sz w:val="23"/>
          <w:szCs w:val="23"/>
          <w:lang w:val="fr-FR"/>
        </w:rPr>
        <w:t>(1), 27-45.</w:t>
      </w:r>
    </w:p>
    <w:p w14:paraId="477E452B" w14:textId="0001517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fr-FR"/>
        </w:rPr>
        <w:lastRenderedPageBreak/>
        <w:t>Sims-Gould, J., Martin-Matthews, A. and Gignac, M.</w:t>
      </w:r>
      <w:r w:rsidR="007620CC" w:rsidRPr="00F853DD">
        <w:rPr>
          <w:rFonts w:ascii="Times" w:hAnsi="Times" w:cs="Times New Roman"/>
          <w:sz w:val="23"/>
          <w:szCs w:val="23"/>
          <w:lang w:val="fr-FR"/>
        </w:rPr>
        <w:t>,</w:t>
      </w:r>
      <w:r w:rsidRPr="00F853DD">
        <w:rPr>
          <w:rFonts w:ascii="Times" w:hAnsi="Times" w:cs="Times New Roman"/>
          <w:sz w:val="23"/>
          <w:szCs w:val="23"/>
          <w:lang w:val="fr-FR"/>
        </w:rPr>
        <w:t xml:space="preserve"> (2008). </w:t>
      </w:r>
      <w:r w:rsidRPr="00F853DD">
        <w:rPr>
          <w:rFonts w:ascii="Times" w:hAnsi="Times" w:cs="Times New Roman"/>
          <w:sz w:val="23"/>
          <w:szCs w:val="23"/>
        </w:rPr>
        <w:t xml:space="preserve">Episodic crises in the provision of care to elderly relatives. </w:t>
      </w:r>
      <w:r w:rsidRPr="00F853DD">
        <w:rPr>
          <w:rFonts w:ascii="Times" w:hAnsi="Times" w:cs="Times New Roman"/>
          <w:i/>
          <w:sz w:val="23"/>
          <w:szCs w:val="23"/>
        </w:rPr>
        <w:t>Journal of Applied Gerontology</w:t>
      </w:r>
      <w:r w:rsidR="007620C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 123-140.</w:t>
      </w:r>
    </w:p>
    <w:p w14:paraId="523062FA" w14:textId="1588357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Sinclair, V. and Wallston, K.</w:t>
      </w:r>
      <w:r w:rsidR="007620CC" w:rsidRPr="00F853DD">
        <w:rPr>
          <w:rFonts w:ascii="Times" w:hAnsi="Times" w:cs="Times New Roman"/>
          <w:sz w:val="23"/>
          <w:szCs w:val="23"/>
        </w:rPr>
        <w:t>,</w:t>
      </w:r>
      <w:r w:rsidRPr="00F853DD">
        <w:rPr>
          <w:rFonts w:ascii="Times" w:hAnsi="Times" w:cs="Times New Roman"/>
          <w:sz w:val="23"/>
          <w:szCs w:val="23"/>
        </w:rPr>
        <w:t xml:space="preserve"> (2004). The development and psychometric evaluation of the brief resilient coping scale. </w:t>
      </w:r>
      <w:r w:rsidRPr="00F853DD">
        <w:rPr>
          <w:rFonts w:ascii="Times" w:hAnsi="Times" w:cs="Times New Roman"/>
          <w:i/>
          <w:sz w:val="23"/>
          <w:szCs w:val="23"/>
        </w:rPr>
        <w:t>Assessment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94-101.</w:t>
      </w:r>
    </w:p>
    <w:p w14:paraId="2552014A" w14:textId="52BDA9F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Singer, G., Biegel, D. and Ethridge, B.</w:t>
      </w:r>
      <w:r w:rsidR="00A840FD" w:rsidRPr="00F853DD">
        <w:rPr>
          <w:rFonts w:ascii="Times" w:hAnsi="Times" w:cs="Times New Roman"/>
          <w:sz w:val="23"/>
          <w:szCs w:val="23"/>
        </w:rPr>
        <w:t>,</w:t>
      </w:r>
      <w:r w:rsidRPr="00F853DD">
        <w:rPr>
          <w:rFonts w:ascii="Times" w:hAnsi="Times" w:cs="Times New Roman"/>
          <w:sz w:val="23"/>
          <w:szCs w:val="23"/>
        </w:rPr>
        <w:t xml:space="preserve"> (2009). Towards a cross disability view of family support for caregiving families. </w:t>
      </w:r>
      <w:r w:rsidRPr="00F853DD">
        <w:rPr>
          <w:rFonts w:ascii="Times" w:hAnsi="Times" w:cs="Times New Roman"/>
          <w:i/>
          <w:sz w:val="23"/>
          <w:szCs w:val="23"/>
        </w:rPr>
        <w:t>Journal of Family Social Work</w:t>
      </w:r>
      <w:r w:rsidR="00A840FD"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w:t>
      </w:r>
    </w:p>
    <w:p w14:paraId="56084002" w14:textId="4726E99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Singh, J. and Lee, H.</w:t>
      </w:r>
      <w:r w:rsidR="00A840FD" w:rsidRPr="00F853DD">
        <w:rPr>
          <w:rFonts w:ascii="Times" w:hAnsi="Times" w:cs="Times New Roman"/>
          <w:sz w:val="23"/>
          <w:szCs w:val="23"/>
        </w:rPr>
        <w:t>,</w:t>
      </w:r>
      <w:r w:rsidRPr="00F853DD">
        <w:rPr>
          <w:rFonts w:ascii="Times" w:hAnsi="Times" w:cs="Times New Roman"/>
          <w:sz w:val="23"/>
          <w:szCs w:val="23"/>
        </w:rPr>
        <w:t xml:space="preserve"> (2010). Appraisals, burnout and outcomes in informal caregiving. </w:t>
      </w:r>
      <w:r w:rsidRPr="00F853DD">
        <w:rPr>
          <w:rFonts w:ascii="Times" w:hAnsi="Times" w:cs="Times New Roman"/>
          <w:i/>
          <w:sz w:val="23"/>
          <w:szCs w:val="23"/>
        </w:rPr>
        <w:t>Asian Nursing Research</w:t>
      </w:r>
      <w:r w:rsidR="00A840F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w:t>
      </w:r>
      <w:r w:rsidRPr="00F853DD">
        <w:rPr>
          <w:rFonts w:ascii="Times" w:hAnsi="Times" w:cs="Times New Roman"/>
          <w:sz w:val="23"/>
          <w:szCs w:val="23"/>
        </w:rPr>
        <w:t>, 32-44.</w:t>
      </w:r>
    </w:p>
    <w:p w14:paraId="158C7B8C" w14:textId="383D5A5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Sinha, P., Yohannan, S., Thirumoorthy, A. and Sivakumar, P.</w:t>
      </w:r>
      <w:r w:rsidR="00A840FD" w:rsidRPr="00F853DD">
        <w:rPr>
          <w:rFonts w:ascii="Times" w:hAnsi="Times" w:cs="Times New Roman"/>
          <w:sz w:val="23"/>
          <w:szCs w:val="23"/>
        </w:rPr>
        <w:t>,</w:t>
      </w:r>
      <w:r w:rsidRPr="00F853DD">
        <w:rPr>
          <w:rFonts w:ascii="Times" w:hAnsi="Times" w:cs="Times New Roman"/>
          <w:sz w:val="23"/>
          <w:szCs w:val="23"/>
        </w:rPr>
        <w:t xml:space="preserve"> (2017). Predictors of desire to institutionalization in dementia caregivers from a developing country. </w:t>
      </w:r>
      <w:r w:rsidRPr="00F853DD">
        <w:rPr>
          <w:rFonts w:ascii="Times" w:hAnsi="Times" w:cs="Times New Roman"/>
          <w:i/>
          <w:sz w:val="23"/>
          <w:szCs w:val="23"/>
        </w:rPr>
        <w:t>American Journal of Alzheimer’s Disease and Other Dementias</w:t>
      </w:r>
      <w:r w:rsidR="00A840F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32</w:t>
      </w:r>
      <w:r w:rsidRPr="00F853DD">
        <w:rPr>
          <w:rFonts w:ascii="Times" w:hAnsi="Times" w:cs="Times New Roman"/>
          <w:sz w:val="23"/>
          <w:szCs w:val="23"/>
        </w:rPr>
        <w:t>, 245-251.</w:t>
      </w:r>
    </w:p>
    <w:p w14:paraId="496C7623" w14:textId="742B752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Smith, E.</w:t>
      </w:r>
      <w:r w:rsidR="00A840FD" w:rsidRPr="00F853DD">
        <w:rPr>
          <w:rFonts w:ascii="Times" w:hAnsi="Times" w:cs="Times New Roman"/>
          <w:sz w:val="23"/>
          <w:szCs w:val="23"/>
        </w:rPr>
        <w:t>,</w:t>
      </w:r>
      <w:r w:rsidRPr="00F853DD">
        <w:rPr>
          <w:rFonts w:ascii="Times" w:hAnsi="Times" w:cs="Times New Roman"/>
          <w:sz w:val="23"/>
          <w:szCs w:val="23"/>
        </w:rPr>
        <w:t xml:space="preserve"> (2007). A </w:t>
      </w:r>
      <w:r w:rsidR="00A840FD" w:rsidRPr="00F853DD">
        <w:rPr>
          <w:rFonts w:ascii="Times" w:hAnsi="Times" w:cs="Times New Roman"/>
          <w:sz w:val="23"/>
          <w:szCs w:val="23"/>
        </w:rPr>
        <w:t>two-tiered health care system: i</w:t>
      </w:r>
      <w:r w:rsidRPr="00F853DD">
        <w:rPr>
          <w:rFonts w:ascii="Times" w:hAnsi="Times" w:cs="Times New Roman"/>
          <w:sz w:val="23"/>
          <w:szCs w:val="23"/>
        </w:rPr>
        <w:t xml:space="preserve">s there anything new? </w:t>
      </w:r>
      <w:r w:rsidRPr="00F853DD">
        <w:rPr>
          <w:rFonts w:ascii="Times" w:hAnsi="Times" w:cs="Times New Roman"/>
          <w:i/>
          <w:sz w:val="23"/>
          <w:szCs w:val="23"/>
        </w:rPr>
        <w:t>Canadian Journal of Cardiology </w:t>
      </w:r>
      <w:r w:rsidRPr="00F853DD">
        <w:rPr>
          <w:rFonts w:ascii="Times" w:hAnsi="Times" w:cs="Times New Roman"/>
          <w:sz w:val="23"/>
          <w:szCs w:val="23"/>
        </w:rPr>
        <w:t xml:space="preserve">[online], </w:t>
      </w:r>
      <w:r w:rsidRPr="00F853DD">
        <w:rPr>
          <w:rFonts w:ascii="Times" w:hAnsi="Times" w:cs="Times New Roman"/>
          <w:b/>
          <w:sz w:val="23"/>
          <w:szCs w:val="23"/>
        </w:rPr>
        <w:t>23</w:t>
      </w:r>
      <w:r w:rsidRPr="00F853DD">
        <w:rPr>
          <w:rFonts w:ascii="Times" w:hAnsi="Times" w:cs="Times New Roman"/>
          <w:sz w:val="23"/>
          <w:szCs w:val="23"/>
        </w:rPr>
        <w:t xml:space="preserve">. Available from: https://www.ncbi.nlm.nih.gov/pmc/articles/PMC2651375/. </w:t>
      </w:r>
    </w:p>
    <w:p w14:paraId="60FCF31B" w14:textId="60D3670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Smith, G., Smith, M. and Toseland, R.</w:t>
      </w:r>
      <w:r w:rsidR="00A840FD" w:rsidRPr="00F853DD">
        <w:rPr>
          <w:rFonts w:ascii="Times" w:hAnsi="Times" w:cs="Times New Roman"/>
          <w:sz w:val="23"/>
          <w:szCs w:val="23"/>
        </w:rPr>
        <w:t>,</w:t>
      </w:r>
      <w:r w:rsidRPr="00F853DD">
        <w:rPr>
          <w:rFonts w:ascii="Times" w:hAnsi="Times" w:cs="Times New Roman"/>
          <w:sz w:val="23"/>
          <w:szCs w:val="23"/>
        </w:rPr>
        <w:t xml:space="preserve"> (1991). Problems identified by family caregivers in counseling. </w:t>
      </w:r>
      <w:r w:rsidRPr="00F853DD">
        <w:rPr>
          <w:rFonts w:ascii="Times" w:hAnsi="Times" w:cs="Times New Roman"/>
          <w:i/>
          <w:sz w:val="23"/>
          <w:szCs w:val="23"/>
        </w:rPr>
        <w:t>The Gerontologist</w:t>
      </w:r>
      <w:r w:rsidR="00A840F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15-22.</w:t>
      </w:r>
    </w:p>
    <w:p w14:paraId="63073D34" w14:textId="63BD11B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Smith, R. T.</w:t>
      </w:r>
      <w:r w:rsidR="00A840FD" w:rsidRPr="00F853DD">
        <w:rPr>
          <w:rFonts w:ascii="Times" w:hAnsi="Times" w:cs="Times New Roman"/>
          <w:sz w:val="23"/>
          <w:szCs w:val="23"/>
        </w:rPr>
        <w:t>,</w:t>
      </w:r>
      <w:r w:rsidRPr="00F853DD">
        <w:rPr>
          <w:rFonts w:ascii="Times" w:hAnsi="Times" w:cs="Times New Roman"/>
          <w:sz w:val="23"/>
          <w:szCs w:val="23"/>
        </w:rPr>
        <w:t xml:space="preserve"> (1956). </w:t>
      </w:r>
      <w:r w:rsidRPr="00F853DD">
        <w:rPr>
          <w:rFonts w:ascii="Times" w:hAnsi="Times" w:cs="Times New Roman"/>
          <w:i/>
          <w:sz w:val="23"/>
          <w:szCs w:val="23"/>
        </w:rPr>
        <w:t xml:space="preserve">The </w:t>
      </w:r>
      <w:r w:rsidR="00A840FD" w:rsidRPr="00F853DD">
        <w:rPr>
          <w:rFonts w:ascii="Times" w:hAnsi="Times" w:cs="Times New Roman"/>
          <w:i/>
          <w:sz w:val="23"/>
          <w:szCs w:val="23"/>
        </w:rPr>
        <w:t>n</w:t>
      </w:r>
      <w:r w:rsidRPr="00F853DD">
        <w:rPr>
          <w:rFonts w:ascii="Times" w:hAnsi="Times" w:cs="Times New Roman"/>
          <w:i/>
          <w:sz w:val="23"/>
          <w:szCs w:val="23"/>
        </w:rPr>
        <w:t xml:space="preserve">egro </w:t>
      </w:r>
      <w:r w:rsidR="00A840FD" w:rsidRPr="00F853DD">
        <w:rPr>
          <w:rFonts w:ascii="Times" w:hAnsi="Times" w:cs="Times New Roman"/>
          <w:i/>
          <w:sz w:val="23"/>
          <w:szCs w:val="23"/>
        </w:rPr>
        <w:t>f</w:t>
      </w:r>
      <w:r w:rsidRPr="00F853DD">
        <w:rPr>
          <w:rFonts w:ascii="Times" w:hAnsi="Times" w:cs="Times New Roman"/>
          <w:i/>
          <w:sz w:val="23"/>
          <w:szCs w:val="23"/>
        </w:rPr>
        <w:t>amily in British Guiana</w:t>
      </w:r>
      <w:r w:rsidRPr="00F853DD">
        <w:rPr>
          <w:rFonts w:ascii="Times" w:hAnsi="Times" w:cs="Times New Roman"/>
          <w:sz w:val="23"/>
          <w:szCs w:val="23"/>
        </w:rPr>
        <w:t>. London: Routledge and Kegan Paul Limited.</w:t>
      </w:r>
    </w:p>
    <w:p w14:paraId="27C3F166" w14:textId="32B0BF2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Smith-Lovin, L. and Thoits, P.</w:t>
      </w:r>
      <w:r w:rsidR="00A840FD" w:rsidRPr="00F853DD">
        <w:rPr>
          <w:rFonts w:ascii="Times" w:hAnsi="Times" w:cs="Times New Roman"/>
          <w:sz w:val="23"/>
          <w:szCs w:val="23"/>
        </w:rPr>
        <w:t>,</w:t>
      </w:r>
      <w:r w:rsidRPr="00F853DD">
        <w:rPr>
          <w:rFonts w:ascii="Times" w:hAnsi="Times" w:cs="Times New Roman"/>
          <w:sz w:val="23"/>
          <w:szCs w:val="23"/>
        </w:rPr>
        <w:t xml:space="preserve"> (2014). Introduction to the special section on the sociology of emotions. </w:t>
      </w:r>
      <w:r w:rsidRPr="00F853DD">
        <w:rPr>
          <w:rFonts w:ascii="Times" w:hAnsi="Times" w:cs="Times New Roman"/>
          <w:i/>
          <w:sz w:val="23"/>
          <w:szCs w:val="23"/>
        </w:rPr>
        <w:t>Emotion Review</w:t>
      </w:r>
      <w:r w:rsidR="00A840F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w:t>
      </w:r>
      <w:r w:rsidRPr="00F853DD">
        <w:rPr>
          <w:rFonts w:ascii="Times" w:hAnsi="Times" w:cs="Times New Roman"/>
          <w:sz w:val="23"/>
          <w:szCs w:val="23"/>
        </w:rPr>
        <w:t>, 187-188.</w:t>
      </w:r>
    </w:p>
    <w:p w14:paraId="2310930C" w14:textId="24EEA56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Smith, M. and Buckwalter, K.</w:t>
      </w:r>
      <w:r w:rsidR="00A840FD" w:rsidRPr="00F853DD">
        <w:rPr>
          <w:rFonts w:ascii="Times" w:hAnsi="Times" w:cs="Times New Roman"/>
          <w:sz w:val="23"/>
          <w:szCs w:val="23"/>
        </w:rPr>
        <w:t>,</w:t>
      </w:r>
      <w:r w:rsidRPr="00F853DD">
        <w:rPr>
          <w:rFonts w:ascii="Times" w:hAnsi="Times" w:cs="Times New Roman"/>
          <w:sz w:val="23"/>
          <w:szCs w:val="23"/>
        </w:rPr>
        <w:t xml:space="preserve"> (2005). Behav</w:t>
      </w:r>
      <w:r w:rsidR="00A840FD" w:rsidRPr="00F853DD">
        <w:rPr>
          <w:rFonts w:ascii="Times" w:hAnsi="Times" w:cs="Times New Roman"/>
          <w:sz w:val="23"/>
          <w:szCs w:val="23"/>
        </w:rPr>
        <w:t>iors associated with dementia: w</w:t>
      </w:r>
      <w:r w:rsidRPr="00F853DD">
        <w:rPr>
          <w:rFonts w:ascii="Times" w:hAnsi="Times" w:cs="Times New Roman"/>
          <w:sz w:val="23"/>
          <w:szCs w:val="23"/>
        </w:rPr>
        <w:t>hether resisting care or exhibiting apathy, an older adult with dementia is attempting communication. Nurses and other caregivers must learn to ‘hear’</w:t>
      </w:r>
      <w:r w:rsidR="00FB4FDA" w:rsidRPr="00F853DD">
        <w:rPr>
          <w:rFonts w:ascii="Times" w:hAnsi="Times" w:cs="Times New Roman"/>
          <w:sz w:val="23"/>
          <w:szCs w:val="23"/>
        </w:rPr>
        <w:t xml:space="preserve"> </w:t>
      </w:r>
      <w:r w:rsidRPr="00F853DD">
        <w:rPr>
          <w:rFonts w:ascii="Times" w:hAnsi="Times" w:cs="Times New Roman"/>
          <w:sz w:val="23"/>
          <w:szCs w:val="23"/>
        </w:rPr>
        <w:t xml:space="preserve">this language. </w:t>
      </w:r>
      <w:r w:rsidRPr="00F853DD">
        <w:rPr>
          <w:rFonts w:ascii="Times" w:hAnsi="Times" w:cs="Times New Roman"/>
          <w:i/>
          <w:sz w:val="23"/>
          <w:szCs w:val="23"/>
        </w:rPr>
        <w:t>AJN The American Journal of Nursing</w:t>
      </w:r>
      <w:r w:rsidR="00A840F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105</w:t>
      </w:r>
      <w:r w:rsidRPr="00F853DD">
        <w:rPr>
          <w:rFonts w:ascii="Times" w:hAnsi="Times" w:cs="Times New Roman"/>
          <w:sz w:val="23"/>
          <w:szCs w:val="23"/>
        </w:rPr>
        <w:t>(7), 40-52.</w:t>
      </w:r>
    </w:p>
    <w:p w14:paraId="4DE607A7" w14:textId="6D5EB5F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Snyder, J.</w:t>
      </w:r>
      <w:r w:rsidR="00A840FD" w:rsidRPr="00F853DD">
        <w:rPr>
          <w:rFonts w:ascii="Times" w:hAnsi="Times" w:cs="Times New Roman"/>
          <w:sz w:val="23"/>
          <w:szCs w:val="23"/>
        </w:rPr>
        <w:t>,</w:t>
      </w:r>
      <w:r w:rsidRPr="00F853DD">
        <w:rPr>
          <w:rFonts w:ascii="Times" w:hAnsi="Times" w:cs="Times New Roman"/>
          <w:sz w:val="23"/>
          <w:szCs w:val="23"/>
        </w:rPr>
        <w:t xml:space="preserve"> (2000). Impact of caregiver-receiver relationship quality on burden and satisfaction. </w:t>
      </w:r>
      <w:r w:rsidRPr="00F853DD">
        <w:rPr>
          <w:rFonts w:ascii="Times" w:hAnsi="Times" w:cs="Times New Roman"/>
          <w:i/>
          <w:sz w:val="23"/>
          <w:szCs w:val="23"/>
        </w:rPr>
        <w:t>Journal of Women &amp; Aging</w:t>
      </w:r>
      <w:r w:rsidR="00A840F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(1-2), 147-167.</w:t>
      </w:r>
    </w:p>
    <w:p w14:paraId="4EE5F502" w14:textId="1EDBC66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Sorensen, S. and Pinquart, M.</w:t>
      </w:r>
      <w:r w:rsidR="00A840FD" w:rsidRPr="00F853DD">
        <w:rPr>
          <w:rFonts w:ascii="Times" w:hAnsi="Times" w:cs="Times New Roman"/>
          <w:sz w:val="23"/>
          <w:szCs w:val="23"/>
        </w:rPr>
        <w:t>,</w:t>
      </w:r>
      <w:r w:rsidRPr="00F853DD">
        <w:rPr>
          <w:rFonts w:ascii="Times" w:hAnsi="Times" w:cs="Times New Roman"/>
          <w:sz w:val="23"/>
          <w:szCs w:val="23"/>
        </w:rPr>
        <w:t xml:space="preserve"> (2003). Associations of stressors and uplifts of caregiving with caregiver burden and depressive mood: A Meta-Analysis. </w:t>
      </w:r>
      <w:r w:rsidRPr="00F853DD">
        <w:rPr>
          <w:rFonts w:ascii="Times" w:hAnsi="Times" w:cs="Times New Roman"/>
          <w:i/>
          <w:sz w:val="23"/>
          <w:szCs w:val="23"/>
        </w:rPr>
        <w:t>Journals of Gerontology</w:t>
      </w:r>
      <w:r w:rsidR="00A840F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58</w:t>
      </w:r>
      <w:r w:rsidRPr="00F853DD">
        <w:rPr>
          <w:rFonts w:ascii="Times" w:hAnsi="Times" w:cs="Times New Roman"/>
          <w:sz w:val="23"/>
          <w:szCs w:val="23"/>
        </w:rPr>
        <w:t>, 112-128.</w:t>
      </w:r>
    </w:p>
    <w:p w14:paraId="4CA57A1D" w14:textId="32D7357E" w:rsidR="00A840FD" w:rsidRPr="00F853DD" w:rsidRDefault="00A840FD" w:rsidP="00A840FD">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Sorensen, S., Duberstein, P., Gill, D. and Pinquart, M., (2006). Dementia care: mental health effects, intervention strategies and clinical implications. </w:t>
      </w:r>
      <w:r w:rsidRPr="00F853DD">
        <w:rPr>
          <w:rFonts w:ascii="Times" w:hAnsi="Times" w:cs="Times New Roman"/>
          <w:i/>
          <w:sz w:val="23"/>
          <w:szCs w:val="23"/>
        </w:rPr>
        <w:t>Lancet Neurology</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 961-973.</w:t>
      </w:r>
    </w:p>
    <w:p w14:paraId="66F52697" w14:textId="01E3379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Soulsby, L. and Bennett, K.</w:t>
      </w:r>
      <w:r w:rsidR="00A840FD" w:rsidRPr="00F853DD">
        <w:rPr>
          <w:rFonts w:ascii="Times" w:hAnsi="Times" w:cs="Times New Roman"/>
          <w:sz w:val="23"/>
          <w:szCs w:val="23"/>
        </w:rPr>
        <w:t>,</w:t>
      </w:r>
      <w:r w:rsidRPr="00F853DD">
        <w:rPr>
          <w:rFonts w:ascii="Times" w:hAnsi="Times" w:cs="Times New Roman"/>
          <w:sz w:val="23"/>
          <w:szCs w:val="23"/>
        </w:rPr>
        <w:t xml:space="preserve"> (2015). How relationships help us to age well. </w:t>
      </w:r>
      <w:r w:rsidRPr="00F853DD">
        <w:rPr>
          <w:rFonts w:ascii="Times" w:hAnsi="Times" w:cs="Times New Roman"/>
          <w:i/>
          <w:sz w:val="23"/>
          <w:szCs w:val="23"/>
        </w:rPr>
        <w:t>Psychologist</w:t>
      </w:r>
      <w:r w:rsidR="00A840FD"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 110-113.</w:t>
      </w:r>
    </w:p>
    <w:p w14:paraId="65D65907" w14:textId="603A80B6"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pt-PT"/>
        </w:rPr>
      </w:pPr>
      <w:r w:rsidRPr="00F853DD">
        <w:rPr>
          <w:rFonts w:ascii="Times" w:hAnsi="Times" w:cs="Times New Roman"/>
          <w:sz w:val="23"/>
          <w:szCs w:val="23"/>
        </w:rPr>
        <w:t>Sousa, A. and Fedec, A.</w:t>
      </w:r>
      <w:r w:rsidR="00A840FD"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Trinidad and Tobago: Economic Indicators.</w:t>
      </w:r>
      <w:r w:rsidRPr="00F853DD">
        <w:rPr>
          <w:rFonts w:ascii="Times" w:hAnsi="Times" w:cs="Times New Roman"/>
          <w:sz w:val="23"/>
          <w:szCs w:val="23"/>
        </w:rPr>
        <w:t xml:space="preserve"> </w:t>
      </w:r>
      <w:r w:rsidRPr="00F853DD">
        <w:rPr>
          <w:rFonts w:ascii="Times" w:hAnsi="Times" w:cs="Times New Roman"/>
          <w:sz w:val="23"/>
          <w:szCs w:val="23"/>
          <w:lang w:val="pt-PT"/>
        </w:rPr>
        <w:t>New York.</w:t>
      </w:r>
    </w:p>
    <w:p w14:paraId="6B224A24" w14:textId="7D451510" w:rsidR="00DF05BD" w:rsidRPr="00F853DD" w:rsidRDefault="00A840F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pt-PT"/>
        </w:rPr>
        <w:t>Sousa, M.., Santos, R</w:t>
      </w:r>
      <w:r w:rsidR="00DF05BD" w:rsidRPr="00F853DD">
        <w:rPr>
          <w:rFonts w:ascii="Times" w:hAnsi="Times" w:cs="Times New Roman"/>
          <w:sz w:val="23"/>
          <w:szCs w:val="23"/>
          <w:lang w:val="pt-PT"/>
        </w:rPr>
        <w:t>., Turro-Garriga,</w:t>
      </w:r>
      <w:r w:rsidRPr="00F853DD">
        <w:rPr>
          <w:rFonts w:ascii="Times" w:hAnsi="Times" w:cs="Times New Roman"/>
          <w:sz w:val="23"/>
          <w:szCs w:val="23"/>
          <w:lang w:val="pt-PT"/>
        </w:rPr>
        <w:t xml:space="preserve"> O., Dias, R., Dourado, M. and Conde-Sala, J.,</w:t>
      </w:r>
      <w:r w:rsidR="00DF05BD" w:rsidRPr="00F853DD">
        <w:rPr>
          <w:rFonts w:ascii="Times" w:hAnsi="Times" w:cs="Times New Roman"/>
          <w:sz w:val="23"/>
          <w:szCs w:val="23"/>
          <w:lang w:val="pt-PT"/>
        </w:rPr>
        <w:t xml:space="preserve"> (2016). </w:t>
      </w:r>
      <w:r w:rsidR="00DF05BD" w:rsidRPr="00F853DD">
        <w:rPr>
          <w:rFonts w:ascii="Times" w:hAnsi="Times" w:cs="Times New Roman"/>
          <w:sz w:val="23"/>
          <w:szCs w:val="23"/>
        </w:rPr>
        <w:t xml:space="preserve">Factors associated with caregiver burden: comparative study between Brazilian and Spanish caregivers of patients with Alzheimer's disease (AD). </w:t>
      </w:r>
      <w:r w:rsidR="00DF05BD" w:rsidRPr="00F853DD">
        <w:rPr>
          <w:rFonts w:ascii="Times" w:hAnsi="Times" w:cs="Times New Roman"/>
          <w:i/>
          <w:sz w:val="23"/>
          <w:szCs w:val="23"/>
        </w:rPr>
        <w:t>International Psychogeriatrics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28</w:t>
      </w:r>
      <w:r w:rsidR="00DF05BD" w:rsidRPr="00F853DD">
        <w:rPr>
          <w:rFonts w:ascii="Times" w:hAnsi="Times" w:cs="Times New Roman"/>
          <w:sz w:val="23"/>
          <w:szCs w:val="23"/>
        </w:rPr>
        <w:t>, 1363-1374.</w:t>
      </w:r>
    </w:p>
    <w:p w14:paraId="1D8336CC" w14:textId="3D6E404E" w:rsidR="00DF05BD" w:rsidRPr="00F853DD" w:rsidRDefault="00A840F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Southwick, S., Bonanno, G., Masten, A</w:t>
      </w:r>
      <w:r w:rsidR="00DF05BD" w:rsidRPr="00F853DD">
        <w:rPr>
          <w:rFonts w:ascii="Times" w:hAnsi="Times" w:cs="Times New Roman"/>
          <w:sz w:val="23"/>
          <w:szCs w:val="23"/>
        </w:rPr>
        <w:t>., Panter-Brick, C. and Yehuda, R.</w:t>
      </w:r>
      <w:r w:rsidRPr="00F853DD">
        <w:rPr>
          <w:rFonts w:ascii="Times" w:hAnsi="Times" w:cs="Times New Roman"/>
          <w:sz w:val="23"/>
          <w:szCs w:val="23"/>
        </w:rPr>
        <w:t>,</w:t>
      </w:r>
      <w:r w:rsidR="00DF05BD" w:rsidRPr="00F853DD">
        <w:rPr>
          <w:rFonts w:ascii="Times" w:hAnsi="Times" w:cs="Times New Roman"/>
          <w:sz w:val="23"/>
          <w:szCs w:val="23"/>
        </w:rPr>
        <w:t xml:space="preserve"> (2014). Resilience definitions, theory, and challenges: interdisciplinary perspectives. </w:t>
      </w:r>
      <w:r w:rsidR="00DF05BD" w:rsidRPr="00F853DD">
        <w:rPr>
          <w:rFonts w:ascii="Times" w:hAnsi="Times" w:cs="Times New Roman"/>
          <w:i/>
          <w:sz w:val="23"/>
          <w:szCs w:val="23"/>
        </w:rPr>
        <w:t>European Journal of Psychotraumatology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w:t>
      </w:r>
      <w:r w:rsidR="00DF05BD" w:rsidRPr="00F853DD">
        <w:rPr>
          <w:rFonts w:ascii="Times" w:hAnsi="Times" w:cs="Times New Roman"/>
          <w:sz w:val="23"/>
          <w:szCs w:val="23"/>
        </w:rPr>
        <w:t>, 14.</w:t>
      </w:r>
    </w:p>
    <w:p w14:paraId="4DDA035B" w14:textId="49A5B8D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Spasova, S., Baeten, R., Coster, S. and Ghailani, D.</w:t>
      </w:r>
      <w:r w:rsidR="00A840FD" w:rsidRPr="00F853DD">
        <w:rPr>
          <w:rFonts w:ascii="Times" w:hAnsi="Times" w:cs="Times New Roman"/>
          <w:sz w:val="23"/>
          <w:szCs w:val="23"/>
        </w:rPr>
        <w:t>,</w:t>
      </w:r>
      <w:r w:rsidRPr="00F853DD">
        <w:rPr>
          <w:rFonts w:ascii="Times" w:hAnsi="Times" w:cs="Times New Roman"/>
          <w:sz w:val="23"/>
          <w:szCs w:val="23"/>
        </w:rPr>
        <w:t xml:space="preserve"> (2018). Challenges in long-term care in Europe. A study of national policies [online]. European social policy network (ESPN)</w:t>
      </w:r>
      <w:r w:rsidR="00A840FD" w:rsidRPr="00F853DD">
        <w:rPr>
          <w:rFonts w:ascii="Times" w:hAnsi="Times" w:cs="Times New Roman"/>
          <w:sz w:val="23"/>
          <w:szCs w:val="23"/>
        </w:rPr>
        <w:t>.</w:t>
      </w:r>
      <w:r w:rsidRPr="00F853DD">
        <w:rPr>
          <w:rFonts w:ascii="Times" w:hAnsi="Times" w:cs="Times New Roman"/>
          <w:sz w:val="23"/>
          <w:szCs w:val="23"/>
        </w:rPr>
        <w:t xml:space="preserve"> </w:t>
      </w:r>
    </w:p>
    <w:p w14:paraId="3FBF8C55" w14:textId="0A70EB0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Spend</w:t>
      </w:r>
      <w:r w:rsidR="00A840FD" w:rsidRPr="00F853DD">
        <w:rPr>
          <w:rFonts w:ascii="Times" w:hAnsi="Times" w:cs="Times New Roman"/>
          <w:sz w:val="23"/>
          <w:szCs w:val="23"/>
        </w:rPr>
        <w:t>elow, J., Adam, L. and Fairhurst, B.</w:t>
      </w:r>
      <w:r w:rsidRPr="00F853DD">
        <w:rPr>
          <w:rFonts w:ascii="Times" w:hAnsi="Times" w:cs="Times New Roman"/>
          <w:sz w:val="23"/>
          <w:szCs w:val="23"/>
        </w:rPr>
        <w:t xml:space="preserve"> (2017). Coping and </w:t>
      </w:r>
      <w:r w:rsidR="008F0110" w:rsidRPr="00F853DD">
        <w:rPr>
          <w:rFonts w:ascii="Times" w:hAnsi="Times" w:cs="Times New Roman"/>
          <w:sz w:val="23"/>
          <w:szCs w:val="23"/>
        </w:rPr>
        <w:t>a</w:t>
      </w:r>
      <w:r w:rsidRPr="00F853DD">
        <w:rPr>
          <w:rFonts w:ascii="Times" w:hAnsi="Times" w:cs="Times New Roman"/>
          <w:sz w:val="23"/>
          <w:szCs w:val="23"/>
        </w:rPr>
        <w:t xml:space="preserve">djustment in </w:t>
      </w:r>
      <w:r w:rsidR="008F0110" w:rsidRPr="00F853DD">
        <w:rPr>
          <w:rFonts w:ascii="Times" w:hAnsi="Times" w:cs="Times New Roman"/>
          <w:sz w:val="23"/>
          <w:szCs w:val="23"/>
        </w:rPr>
        <w:t>i</w:t>
      </w:r>
      <w:r w:rsidRPr="00F853DD">
        <w:rPr>
          <w:rFonts w:ascii="Times" w:hAnsi="Times" w:cs="Times New Roman"/>
          <w:sz w:val="23"/>
          <w:szCs w:val="23"/>
        </w:rPr>
        <w:t xml:space="preserve">nformal </w:t>
      </w:r>
      <w:r w:rsidR="008F0110" w:rsidRPr="00F853DD">
        <w:rPr>
          <w:rFonts w:ascii="Times" w:hAnsi="Times" w:cs="Times New Roman"/>
          <w:sz w:val="23"/>
          <w:szCs w:val="23"/>
        </w:rPr>
        <w:t>m</w:t>
      </w:r>
      <w:r w:rsidRPr="00F853DD">
        <w:rPr>
          <w:rFonts w:ascii="Times" w:hAnsi="Times" w:cs="Times New Roman"/>
          <w:sz w:val="23"/>
          <w:szCs w:val="23"/>
        </w:rPr>
        <w:t xml:space="preserve">ale </w:t>
      </w:r>
      <w:r w:rsidR="008F0110" w:rsidRPr="00F853DD">
        <w:rPr>
          <w:rFonts w:ascii="Times" w:hAnsi="Times" w:cs="Times New Roman"/>
          <w:sz w:val="23"/>
          <w:szCs w:val="23"/>
        </w:rPr>
        <w:t>c</w:t>
      </w:r>
      <w:r w:rsidRPr="00F853DD">
        <w:rPr>
          <w:rFonts w:ascii="Times" w:hAnsi="Times" w:cs="Times New Roman"/>
          <w:sz w:val="23"/>
          <w:szCs w:val="23"/>
        </w:rPr>
        <w:t xml:space="preserve">arers: </w:t>
      </w:r>
      <w:r w:rsidR="008F0110" w:rsidRPr="00F853DD">
        <w:rPr>
          <w:rFonts w:ascii="Times" w:hAnsi="Times" w:cs="Times New Roman"/>
          <w:sz w:val="23"/>
          <w:szCs w:val="23"/>
        </w:rPr>
        <w:t>a</w:t>
      </w:r>
      <w:r w:rsidRPr="00F853DD">
        <w:rPr>
          <w:rFonts w:ascii="Times" w:hAnsi="Times" w:cs="Times New Roman"/>
          <w:sz w:val="23"/>
          <w:szCs w:val="23"/>
        </w:rPr>
        <w:t xml:space="preserve"> </w:t>
      </w:r>
      <w:r w:rsidR="008F0110" w:rsidRPr="00F853DD">
        <w:rPr>
          <w:rFonts w:ascii="Times" w:hAnsi="Times" w:cs="Times New Roman"/>
          <w:sz w:val="23"/>
          <w:szCs w:val="23"/>
        </w:rPr>
        <w:t>s</w:t>
      </w:r>
      <w:r w:rsidRPr="00F853DD">
        <w:rPr>
          <w:rFonts w:ascii="Times" w:hAnsi="Times" w:cs="Times New Roman"/>
          <w:sz w:val="23"/>
          <w:szCs w:val="23"/>
        </w:rPr>
        <w:t xml:space="preserve">ystematic </w:t>
      </w:r>
      <w:r w:rsidR="008F0110" w:rsidRPr="00F853DD">
        <w:rPr>
          <w:rFonts w:ascii="Times" w:hAnsi="Times" w:cs="Times New Roman"/>
          <w:sz w:val="23"/>
          <w:szCs w:val="23"/>
        </w:rPr>
        <w:t>r</w:t>
      </w:r>
      <w:r w:rsidRPr="00F853DD">
        <w:rPr>
          <w:rFonts w:ascii="Times" w:hAnsi="Times" w:cs="Times New Roman"/>
          <w:sz w:val="23"/>
          <w:szCs w:val="23"/>
        </w:rPr>
        <w:t xml:space="preserve">eview of </w:t>
      </w:r>
      <w:r w:rsidR="008F0110" w:rsidRPr="00F853DD">
        <w:rPr>
          <w:rFonts w:ascii="Times" w:hAnsi="Times" w:cs="Times New Roman"/>
          <w:sz w:val="23"/>
          <w:szCs w:val="23"/>
        </w:rPr>
        <w:t>q</w:t>
      </w:r>
      <w:r w:rsidRPr="00F853DD">
        <w:rPr>
          <w:rFonts w:ascii="Times" w:hAnsi="Times" w:cs="Times New Roman"/>
          <w:sz w:val="23"/>
          <w:szCs w:val="23"/>
        </w:rPr>
        <w:t xml:space="preserve">ualitative </w:t>
      </w:r>
      <w:r w:rsidR="008F0110" w:rsidRPr="00F853DD">
        <w:rPr>
          <w:rFonts w:ascii="Times" w:hAnsi="Times" w:cs="Times New Roman"/>
          <w:sz w:val="23"/>
          <w:szCs w:val="23"/>
        </w:rPr>
        <w:t>s</w:t>
      </w:r>
      <w:r w:rsidRPr="00F853DD">
        <w:rPr>
          <w:rFonts w:ascii="Times" w:hAnsi="Times" w:cs="Times New Roman"/>
          <w:sz w:val="23"/>
          <w:szCs w:val="23"/>
        </w:rPr>
        <w:t xml:space="preserve">tudies. </w:t>
      </w:r>
      <w:r w:rsidRPr="00F853DD">
        <w:rPr>
          <w:rFonts w:ascii="Times" w:hAnsi="Times" w:cs="Times New Roman"/>
          <w:i/>
          <w:sz w:val="23"/>
          <w:szCs w:val="23"/>
        </w:rPr>
        <w:t>Psychology of Men and Masculinity</w:t>
      </w:r>
      <w:r w:rsidR="008F011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134-143.</w:t>
      </w:r>
    </w:p>
    <w:p w14:paraId="32775D4A" w14:textId="28F641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Spijker, J. and Zueras, P.</w:t>
      </w:r>
      <w:r w:rsidR="008F0110" w:rsidRPr="00F853DD">
        <w:rPr>
          <w:rFonts w:ascii="Times" w:hAnsi="Times" w:cs="Times New Roman"/>
          <w:sz w:val="23"/>
          <w:szCs w:val="23"/>
          <w:lang w:val="en-TT"/>
        </w:rPr>
        <w:t>,</w:t>
      </w:r>
      <w:r w:rsidRPr="00F853DD">
        <w:rPr>
          <w:rFonts w:ascii="Times" w:hAnsi="Times" w:cs="Times New Roman"/>
          <w:sz w:val="23"/>
          <w:szCs w:val="23"/>
          <w:lang w:val="en-TT"/>
        </w:rPr>
        <w:t xml:space="preserve"> (2018). </w:t>
      </w:r>
      <w:r w:rsidRPr="00F853DD">
        <w:rPr>
          <w:rFonts w:ascii="Times" w:hAnsi="Times" w:cs="Times New Roman"/>
          <w:sz w:val="23"/>
          <w:szCs w:val="23"/>
        </w:rPr>
        <w:t xml:space="preserve">Old-Age Care Provision in Spain in the Context of a New System of Long-Term Care and a Lingering Economic Crisis. </w:t>
      </w:r>
      <w:r w:rsidRPr="00F853DD">
        <w:rPr>
          <w:rFonts w:ascii="Times" w:hAnsi="Times" w:cs="Times New Roman"/>
          <w:i/>
          <w:sz w:val="23"/>
          <w:szCs w:val="23"/>
        </w:rPr>
        <w:t>Journal of Population Ageing</w:t>
      </w:r>
      <w:r w:rsidRPr="00F853DD">
        <w:rPr>
          <w:rFonts w:ascii="Times" w:hAnsi="Times" w:cs="Times New Roman"/>
          <w:sz w:val="23"/>
          <w:szCs w:val="23"/>
        </w:rPr>
        <w:t xml:space="preserve"> [online], 1-22. [Viewed 16 November 2019]. Available from: https://link.springer.com/article/10.1007/s12062-018-9232-8 </w:t>
      </w:r>
    </w:p>
    <w:p w14:paraId="2842B381" w14:textId="0A47BE9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Spillman, B., Wolff, J., Freedman, V. and Kasper, J.</w:t>
      </w:r>
      <w:r w:rsidR="008F0110" w:rsidRPr="00F853DD">
        <w:rPr>
          <w:rFonts w:ascii="Times" w:hAnsi="Times" w:cs="Times New Roman"/>
          <w:sz w:val="23"/>
          <w:szCs w:val="23"/>
        </w:rPr>
        <w:t>,</w:t>
      </w:r>
      <w:r w:rsidRPr="00F853DD">
        <w:rPr>
          <w:rFonts w:ascii="Times" w:hAnsi="Times" w:cs="Times New Roman"/>
          <w:sz w:val="23"/>
          <w:szCs w:val="23"/>
        </w:rPr>
        <w:t xml:space="preserve"> (2014). Informal caregiving for older Americans: An analysis of the 2011 national study of caregiving. In: </w:t>
      </w:r>
      <w:r w:rsidRPr="00F853DD">
        <w:rPr>
          <w:rFonts w:ascii="Times" w:hAnsi="Times" w:cs="Times New Roman"/>
          <w:i/>
          <w:sz w:val="23"/>
          <w:szCs w:val="23"/>
        </w:rPr>
        <w:t>United States Department of Health and Human Services</w:t>
      </w:r>
      <w:r w:rsidRPr="00F853DD">
        <w:rPr>
          <w:rFonts w:ascii="Times" w:hAnsi="Times" w:cs="Times New Roman"/>
          <w:sz w:val="23"/>
          <w:szCs w:val="23"/>
        </w:rPr>
        <w:t xml:space="preserve">. </w:t>
      </w:r>
    </w:p>
    <w:p w14:paraId="21ED2A9D" w14:textId="0C55887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Spillman, B. and Pezzin, L.</w:t>
      </w:r>
      <w:r w:rsidR="008F0110" w:rsidRPr="00F853DD">
        <w:rPr>
          <w:rFonts w:ascii="Times" w:hAnsi="Times" w:cs="Times New Roman"/>
          <w:sz w:val="23"/>
          <w:szCs w:val="23"/>
        </w:rPr>
        <w:t>,</w:t>
      </w:r>
      <w:r w:rsidRPr="00F853DD">
        <w:rPr>
          <w:rFonts w:ascii="Times" w:hAnsi="Times" w:cs="Times New Roman"/>
          <w:sz w:val="23"/>
          <w:szCs w:val="23"/>
        </w:rPr>
        <w:t xml:space="preserve"> (2000). Potential and active family caregivers: </w:t>
      </w:r>
      <w:r w:rsidR="008F0110" w:rsidRPr="00F853DD">
        <w:rPr>
          <w:rFonts w:ascii="Times" w:hAnsi="Times" w:cs="Times New Roman"/>
          <w:sz w:val="23"/>
          <w:szCs w:val="23"/>
        </w:rPr>
        <w:t>c</w:t>
      </w:r>
      <w:r w:rsidRPr="00F853DD">
        <w:rPr>
          <w:rFonts w:ascii="Times" w:hAnsi="Times" w:cs="Times New Roman"/>
          <w:sz w:val="23"/>
          <w:szCs w:val="23"/>
        </w:rPr>
        <w:t xml:space="preserve">hanging networks and the ‘sandwich generation’. </w:t>
      </w:r>
      <w:r w:rsidRPr="00F853DD">
        <w:rPr>
          <w:rFonts w:ascii="Times" w:hAnsi="Times" w:cs="Times New Roman"/>
          <w:i/>
          <w:sz w:val="23"/>
          <w:szCs w:val="23"/>
        </w:rPr>
        <w:t>The Milbank Quarterly</w:t>
      </w:r>
      <w:r w:rsidR="008F0110"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78</w:t>
      </w:r>
      <w:r w:rsidRPr="00F853DD">
        <w:rPr>
          <w:rFonts w:ascii="Times" w:hAnsi="Times" w:cs="Times New Roman"/>
          <w:sz w:val="23"/>
          <w:szCs w:val="23"/>
        </w:rPr>
        <w:t>(3), 347-374.</w:t>
      </w:r>
    </w:p>
    <w:p w14:paraId="22889F34" w14:textId="703DA1A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Spoorenberg, S., Reijneveld, S., Uittenbroek, R., Kremer, H. and Wynia, K.</w:t>
      </w:r>
      <w:r w:rsidR="008F0110" w:rsidRPr="00F853DD">
        <w:rPr>
          <w:rFonts w:ascii="Times" w:hAnsi="Times" w:cs="Times New Roman"/>
          <w:sz w:val="23"/>
          <w:szCs w:val="23"/>
        </w:rPr>
        <w:t>,</w:t>
      </w:r>
      <w:r w:rsidRPr="00F853DD">
        <w:rPr>
          <w:rFonts w:ascii="Times" w:hAnsi="Times" w:cs="Times New Roman"/>
          <w:sz w:val="23"/>
          <w:szCs w:val="23"/>
        </w:rPr>
        <w:t xml:space="preserve"> (2019). Health-Related Problems and Changes After 1 Year as Assessed With the Geriatric ICF Core Set (GeriatrICS). In: </w:t>
      </w:r>
      <w:r w:rsidRPr="00F853DD">
        <w:rPr>
          <w:rFonts w:ascii="Times" w:hAnsi="Times" w:cs="Times New Roman"/>
          <w:i/>
          <w:sz w:val="23"/>
          <w:szCs w:val="23"/>
        </w:rPr>
        <w:t>Community-Living Older Adults Who Are Frail Receiving Person-Centered and Integrated Care From Embrace</w:t>
      </w:r>
      <w:r w:rsidRPr="00F853DD">
        <w:rPr>
          <w:rFonts w:ascii="Times" w:hAnsi="Times" w:cs="Times New Roman"/>
          <w:sz w:val="23"/>
          <w:szCs w:val="23"/>
        </w:rPr>
        <w:t>. Archives of physical medicine and rehabilitation.</w:t>
      </w:r>
    </w:p>
    <w:p w14:paraId="6E506362" w14:textId="32C631D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Spruytte, N., Van Audenhove, C., Lammertyn, F. and Storms, G.</w:t>
      </w:r>
      <w:r w:rsidR="00F5760E" w:rsidRPr="00F853DD">
        <w:rPr>
          <w:rFonts w:ascii="Times" w:hAnsi="Times" w:cs="Times New Roman"/>
          <w:sz w:val="23"/>
          <w:szCs w:val="23"/>
        </w:rPr>
        <w:t>,</w:t>
      </w:r>
      <w:r w:rsidRPr="00F853DD">
        <w:rPr>
          <w:rFonts w:ascii="Times" w:hAnsi="Times" w:cs="Times New Roman"/>
          <w:sz w:val="23"/>
          <w:szCs w:val="23"/>
        </w:rPr>
        <w:t xml:space="preserve"> (2002). The quality of the caregiving relationship in informal care for older adults with dementia and chronic psychiatric patients. </w:t>
      </w:r>
      <w:r w:rsidRPr="00F853DD">
        <w:rPr>
          <w:rFonts w:ascii="Times" w:hAnsi="Times" w:cs="Times New Roman"/>
          <w:i/>
          <w:sz w:val="23"/>
          <w:szCs w:val="23"/>
        </w:rPr>
        <w:t>Psychology and Psychotherapy-Theory Research and Practice</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75</w:t>
      </w:r>
      <w:r w:rsidRPr="00F853DD">
        <w:rPr>
          <w:rFonts w:ascii="Times" w:hAnsi="Times" w:cs="Times New Roman"/>
          <w:sz w:val="23"/>
          <w:szCs w:val="23"/>
        </w:rPr>
        <w:t>, 295-311.</w:t>
      </w:r>
    </w:p>
    <w:p w14:paraId="1D018A1C" w14:textId="7EA1645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Stacey, C. (2005). Finding dignity in dirty work: The constraints and rewards of low</w:t>
      </w:r>
      <w:r w:rsidRPr="00F853DD">
        <w:rPr>
          <w:rFonts w:ascii="Cambria Math" w:hAnsi="Cambria Math" w:cs="Cambria Math"/>
          <w:sz w:val="23"/>
          <w:szCs w:val="23"/>
        </w:rPr>
        <w:t>‐</w:t>
      </w:r>
      <w:r w:rsidRPr="00F853DD">
        <w:rPr>
          <w:rFonts w:ascii="Times" w:hAnsi="Times" w:cs="Times New Roman"/>
          <w:sz w:val="23"/>
          <w:szCs w:val="23"/>
        </w:rPr>
        <w:t xml:space="preserve">wage home care labour. </w:t>
      </w:r>
      <w:r w:rsidRPr="00F853DD">
        <w:rPr>
          <w:rFonts w:ascii="Times" w:hAnsi="Times" w:cs="Times New Roman"/>
          <w:i/>
          <w:sz w:val="23"/>
          <w:szCs w:val="23"/>
        </w:rPr>
        <w:t>Sociology of Health &amp; Illness</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(6), 831-854.</w:t>
      </w:r>
    </w:p>
    <w:p w14:paraId="52A02E7E" w14:textId="703E61F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Starrels, M., Ingersoll-Dayton, B., Dowler, D. and Neal, M.</w:t>
      </w:r>
      <w:r w:rsidR="00F5760E" w:rsidRPr="00F853DD">
        <w:rPr>
          <w:rFonts w:ascii="Times" w:hAnsi="Times" w:cs="Times New Roman"/>
          <w:sz w:val="23"/>
          <w:szCs w:val="23"/>
        </w:rPr>
        <w:t>,</w:t>
      </w:r>
      <w:r w:rsidRPr="00F853DD">
        <w:rPr>
          <w:rFonts w:ascii="Times" w:hAnsi="Times" w:cs="Times New Roman"/>
          <w:sz w:val="23"/>
          <w:szCs w:val="23"/>
        </w:rPr>
        <w:t xml:space="preserve"> (1997). The </w:t>
      </w:r>
      <w:r w:rsidR="00F5760E" w:rsidRPr="00F853DD">
        <w:rPr>
          <w:rFonts w:ascii="Times" w:hAnsi="Times" w:cs="Times New Roman"/>
          <w:sz w:val="23"/>
          <w:szCs w:val="23"/>
        </w:rPr>
        <w:t>stress of caring for a parent: e</w:t>
      </w:r>
      <w:r w:rsidRPr="00F853DD">
        <w:rPr>
          <w:rFonts w:ascii="Times" w:hAnsi="Times" w:cs="Times New Roman"/>
          <w:sz w:val="23"/>
          <w:szCs w:val="23"/>
        </w:rPr>
        <w:t>ffects of the elder's impairment on an employed, adult child. </w:t>
      </w:r>
      <w:r w:rsidRPr="00F853DD">
        <w:rPr>
          <w:rFonts w:ascii="Times" w:hAnsi="Times" w:cs="Times New Roman"/>
          <w:i/>
          <w:sz w:val="23"/>
          <w:szCs w:val="23"/>
        </w:rPr>
        <w:t>Journal of Marriage and the Family</w:t>
      </w:r>
      <w:r w:rsidR="00F5760E" w:rsidRPr="00F853DD">
        <w:rPr>
          <w:rFonts w:ascii="Times" w:hAnsi="Times" w:cs="Times New Roman"/>
          <w:sz w:val="23"/>
          <w:szCs w:val="23"/>
        </w:rPr>
        <w:t>.</w:t>
      </w:r>
      <w:r w:rsidRPr="00F853DD">
        <w:rPr>
          <w:rFonts w:ascii="Times" w:hAnsi="Times" w:cs="Times New Roman"/>
          <w:sz w:val="23"/>
          <w:szCs w:val="23"/>
        </w:rPr>
        <w:t xml:space="preserve"> 860-872.</w:t>
      </w:r>
    </w:p>
    <w:p w14:paraId="66246FF6" w14:textId="34A3FE9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Steel, L., Kidd, W. and Brown, A.</w:t>
      </w:r>
      <w:r w:rsidR="00F5760E"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 xml:space="preserve">The Family. </w:t>
      </w:r>
      <w:r w:rsidRPr="00F853DD">
        <w:rPr>
          <w:rFonts w:ascii="Times" w:hAnsi="Times" w:cs="Times New Roman"/>
          <w:sz w:val="23"/>
          <w:szCs w:val="23"/>
        </w:rPr>
        <w:t>United Kingdom: Palgrave Macmillan.</w:t>
      </w:r>
    </w:p>
    <w:p w14:paraId="1EE8288E" w14:textId="275A118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Steidel, A. and Contreras, J.</w:t>
      </w:r>
      <w:r w:rsidR="00F5760E" w:rsidRPr="00F853DD">
        <w:rPr>
          <w:rFonts w:ascii="Times" w:hAnsi="Times" w:cs="Times New Roman"/>
          <w:sz w:val="23"/>
          <w:szCs w:val="23"/>
          <w:lang w:val="en-TT"/>
        </w:rPr>
        <w:t>,</w:t>
      </w:r>
      <w:r w:rsidRPr="00F853DD">
        <w:rPr>
          <w:rFonts w:ascii="Times" w:hAnsi="Times" w:cs="Times New Roman"/>
          <w:sz w:val="23"/>
          <w:szCs w:val="23"/>
          <w:lang w:val="en-TT"/>
        </w:rPr>
        <w:t xml:space="preserve"> (2003). </w:t>
      </w:r>
      <w:r w:rsidRPr="00F853DD">
        <w:rPr>
          <w:rFonts w:ascii="Times" w:hAnsi="Times" w:cs="Times New Roman"/>
          <w:sz w:val="23"/>
          <w:szCs w:val="23"/>
        </w:rPr>
        <w:t xml:space="preserve">A new familism scale for use with Latino populations. </w:t>
      </w:r>
      <w:r w:rsidRPr="00F853DD">
        <w:rPr>
          <w:rFonts w:ascii="Times" w:hAnsi="Times" w:cs="Times New Roman"/>
          <w:i/>
          <w:sz w:val="23"/>
          <w:szCs w:val="23"/>
        </w:rPr>
        <w:t>Hispanic Journal of Behavioral Sciences</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312-330.</w:t>
      </w:r>
    </w:p>
    <w:p w14:paraId="4B68908C" w14:textId="7C74165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Steinbach, A.</w:t>
      </w:r>
      <w:r w:rsidR="00F5760E" w:rsidRPr="00F853DD">
        <w:rPr>
          <w:rFonts w:ascii="Times" w:hAnsi="Times" w:cs="Times New Roman"/>
          <w:sz w:val="23"/>
          <w:szCs w:val="23"/>
        </w:rPr>
        <w:t>,</w:t>
      </w:r>
      <w:r w:rsidRPr="00F853DD">
        <w:rPr>
          <w:rFonts w:ascii="Times" w:hAnsi="Times" w:cs="Times New Roman"/>
          <w:sz w:val="23"/>
          <w:szCs w:val="23"/>
        </w:rPr>
        <w:t xml:space="preserve"> (2008). Intergenerational solidarity and ambiv</w:t>
      </w:r>
      <w:r w:rsidR="00F5760E" w:rsidRPr="00F853DD">
        <w:rPr>
          <w:rFonts w:ascii="Times" w:hAnsi="Times" w:cs="Times New Roman"/>
          <w:sz w:val="23"/>
          <w:szCs w:val="23"/>
        </w:rPr>
        <w:t>alence: t</w:t>
      </w:r>
      <w:r w:rsidRPr="00F853DD">
        <w:rPr>
          <w:rFonts w:ascii="Times" w:hAnsi="Times" w:cs="Times New Roman"/>
          <w:sz w:val="23"/>
          <w:szCs w:val="23"/>
        </w:rPr>
        <w:t xml:space="preserve">ypes of relationships in German families. </w:t>
      </w:r>
      <w:r w:rsidRPr="00F853DD">
        <w:rPr>
          <w:rFonts w:ascii="Times" w:hAnsi="Times" w:cs="Times New Roman"/>
          <w:i/>
          <w:sz w:val="23"/>
          <w:szCs w:val="23"/>
        </w:rPr>
        <w:t>Journal of Comparative Family Studies</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 115</w:t>
      </w:r>
    </w:p>
    <w:p w14:paraId="057E3736" w14:textId="5E344CE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Steinbock, B.</w:t>
      </w:r>
      <w:r w:rsidR="00F5760E" w:rsidRPr="00F853DD">
        <w:rPr>
          <w:rFonts w:ascii="Times" w:hAnsi="Times" w:cs="Times New Roman"/>
          <w:sz w:val="23"/>
          <w:szCs w:val="23"/>
        </w:rPr>
        <w:t>,</w:t>
      </w:r>
      <w:r w:rsidRPr="00F853DD">
        <w:rPr>
          <w:rFonts w:ascii="Times" w:hAnsi="Times" w:cs="Times New Roman"/>
          <w:sz w:val="23"/>
          <w:szCs w:val="23"/>
        </w:rPr>
        <w:t xml:space="preserve"> (ed.) (2007). </w:t>
      </w:r>
      <w:r w:rsidRPr="00F853DD">
        <w:rPr>
          <w:rFonts w:ascii="Times" w:hAnsi="Times" w:cs="Times New Roman"/>
          <w:i/>
          <w:sz w:val="23"/>
          <w:szCs w:val="23"/>
        </w:rPr>
        <w:t>The Oxford Handbook of Bioethic</w:t>
      </w:r>
      <w:r w:rsidRPr="00F853DD">
        <w:rPr>
          <w:rFonts w:ascii="Times" w:hAnsi="Times" w:cs="Times New Roman"/>
          <w:sz w:val="23"/>
          <w:szCs w:val="23"/>
        </w:rPr>
        <w:t>. Oxford University Press.</w:t>
      </w:r>
    </w:p>
    <w:p w14:paraId="5618B8C1" w14:textId="1C5B07B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Segoe UI"/>
          <w:sz w:val="23"/>
          <w:szCs w:val="23"/>
        </w:rPr>
        <w:t>Stenberg, U., Ruland, C. and Miaskowski, C.</w:t>
      </w:r>
      <w:r w:rsidR="00F5760E" w:rsidRPr="00F853DD">
        <w:rPr>
          <w:rFonts w:ascii="Times" w:hAnsi="Times" w:cs="Segoe UI"/>
          <w:sz w:val="23"/>
          <w:szCs w:val="23"/>
        </w:rPr>
        <w:t>,</w:t>
      </w:r>
      <w:r w:rsidRPr="00F853DD">
        <w:rPr>
          <w:rFonts w:ascii="Times" w:hAnsi="Times" w:cs="Segoe UI"/>
          <w:sz w:val="23"/>
          <w:szCs w:val="23"/>
        </w:rPr>
        <w:t xml:space="preserve"> (2010). Review of the literature on the effects of caring for a patient with cancer. </w:t>
      </w:r>
      <w:r w:rsidRPr="00F853DD">
        <w:rPr>
          <w:rFonts w:ascii="Times" w:hAnsi="Times" w:cs="Segoe UI"/>
          <w:i/>
          <w:iCs/>
          <w:sz w:val="23"/>
          <w:szCs w:val="23"/>
        </w:rPr>
        <w:t>Psycho</w:t>
      </w:r>
      <w:r w:rsidRPr="00F853DD">
        <w:rPr>
          <w:rFonts w:ascii="Cambria Math" w:hAnsi="Cambria Math" w:cs="Cambria Math"/>
          <w:i/>
          <w:iCs/>
          <w:sz w:val="23"/>
          <w:szCs w:val="23"/>
        </w:rPr>
        <w:t>‐</w:t>
      </w:r>
      <w:r w:rsidRPr="00F853DD">
        <w:rPr>
          <w:rFonts w:ascii="Times" w:hAnsi="Times" w:cs="Segoe UI"/>
          <w:i/>
          <w:iCs/>
          <w:sz w:val="23"/>
          <w:szCs w:val="23"/>
        </w:rPr>
        <w:t>oncology</w:t>
      </w:r>
      <w:r w:rsidR="00F5760E" w:rsidRPr="00F853DD">
        <w:rPr>
          <w:rFonts w:ascii="Times" w:hAnsi="Times" w:cs="Segoe UI"/>
          <w:sz w:val="23"/>
          <w:szCs w:val="23"/>
        </w:rPr>
        <w:t>.</w:t>
      </w:r>
      <w:r w:rsidRPr="00F853DD">
        <w:rPr>
          <w:rFonts w:ascii="Times" w:hAnsi="Times" w:cs="Segoe UI"/>
          <w:sz w:val="23"/>
          <w:szCs w:val="23"/>
        </w:rPr>
        <w:t> </w:t>
      </w:r>
      <w:r w:rsidRPr="00F853DD">
        <w:rPr>
          <w:rFonts w:ascii="Times" w:hAnsi="Times" w:cs="Segoe UI"/>
          <w:b/>
          <w:iCs/>
          <w:sz w:val="23"/>
          <w:szCs w:val="23"/>
        </w:rPr>
        <w:t>19</w:t>
      </w:r>
      <w:r w:rsidRPr="00F853DD">
        <w:rPr>
          <w:rFonts w:ascii="Times" w:hAnsi="Times" w:cs="Segoe UI"/>
          <w:sz w:val="23"/>
          <w:szCs w:val="23"/>
        </w:rPr>
        <w:t>(10), 1013-1025.</w:t>
      </w:r>
    </w:p>
    <w:p w14:paraId="0D74AF6A" w14:textId="0532931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Stenbock-Hult, B. and Sarvimaeki, A.</w:t>
      </w:r>
      <w:r w:rsidR="00F5760E" w:rsidRPr="00F853DD">
        <w:rPr>
          <w:rFonts w:ascii="Times" w:hAnsi="Times" w:cs="Times New Roman"/>
          <w:sz w:val="23"/>
          <w:szCs w:val="23"/>
        </w:rPr>
        <w:t>,</w:t>
      </w:r>
      <w:r w:rsidRPr="00F853DD">
        <w:rPr>
          <w:rFonts w:ascii="Times" w:hAnsi="Times" w:cs="Times New Roman"/>
          <w:sz w:val="23"/>
          <w:szCs w:val="23"/>
        </w:rPr>
        <w:t xml:space="preserve"> (2011). The meaning of vulnerability to nurses caring for older people. </w:t>
      </w:r>
      <w:r w:rsidRPr="00F853DD">
        <w:rPr>
          <w:rFonts w:ascii="Times" w:hAnsi="Times" w:cs="Times New Roman"/>
          <w:i/>
          <w:sz w:val="23"/>
          <w:szCs w:val="23"/>
        </w:rPr>
        <w:t>Nursing Ethics</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31-41.</w:t>
      </w:r>
    </w:p>
    <w:p w14:paraId="507A2D2E" w14:textId="065E9DB4" w:rsidR="00DF05BD" w:rsidRPr="00F853DD" w:rsidRDefault="00F5760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Stephens, M., Townsend, A., Martire, L. and Druley, J.,</w:t>
      </w:r>
      <w:r w:rsidR="00DF05BD" w:rsidRPr="00F853DD">
        <w:rPr>
          <w:rFonts w:ascii="Times" w:hAnsi="Times" w:cs="Times New Roman"/>
          <w:sz w:val="23"/>
          <w:szCs w:val="23"/>
        </w:rPr>
        <w:t xml:space="preserve"> (2001). Balancing parent care with other roles: interrole conflict of adult daughter caregivers. </w:t>
      </w:r>
      <w:r w:rsidR="00DF05BD" w:rsidRPr="00F853DD">
        <w:rPr>
          <w:rFonts w:ascii="Times" w:hAnsi="Times" w:cs="Times New Roman"/>
          <w:i/>
          <w:sz w:val="23"/>
          <w:szCs w:val="23"/>
        </w:rPr>
        <w:t>Journals of Gerontology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56</w:t>
      </w:r>
      <w:r w:rsidR="00DF05BD" w:rsidRPr="00F853DD">
        <w:rPr>
          <w:rFonts w:ascii="Times" w:hAnsi="Times" w:cs="Times New Roman"/>
          <w:sz w:val="23"/>
          <w:szCs w:val="23"/>
        </w:rPr>
        <w:t>, 24-34.</w:t>
      </w:r>
    </w:p>
    <w:p w14:paraId="7A2415F9" w14:textId="18D822D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Stephens, M. and Franks, M.</w:t>
      </w:r>
      <w:r w:rsidR="00F5760E" w:rsidRPr="00F853DD">
        <w:rPr>
          <w:rFonts w:ascii="Times" w:hAnsi="Times" w:cs="Times New Roman"/>
          <w:sz w:val="23"/>
          <w:szCs w:val="23"/>
        </w:rPr>
        <w:t>, (1995). Spillover between d</w:t>
      </w:r>
      <w:r w:rsidRPr="00F853DD">
        <w:rPr>
          <w:rFonts w:ascii="Times" w:hAnsi="Times" w:cs="Times New Roman"/>
          <w:sz w:val="23"/>
          <w:szCs w:val="23"/>
        </w:rPr>
        <w:t>aughters</w:t>
      </w:r>
      <w:r w:rsidR="00F5760E" w:rsidRPr="00F853DD">
        <w:rPr>
          <w:rFonts w:ascii="Times" w:hAnsi="Times" w:cs="Times New Roman"/>
          <w:sz w:val="23"/>
          <w:szCs w:val="23"/>
        </w:rPr>
        <w:t xml:space="preserve"> roles as caregiver and wife: i</w:t>
      </w:r>
      <w:r w:rsidRPr="00F853DD">
        <w:rPr>
          <w:rFonts w:ascii="Times" w:hAnsi="Times" w:cs="Times New Roman"/>
          <w:sz w:val="23"/>
          <w:szCs w:val="23"/>
        </w:rPr>
        <w:t xml:space="preserve">nterference or Enhancement. </w:t>
      </w:r>
      <w:r w:rsidRPr="00F853DD">
        <w:rPr>
          <w:rFonts w:ascii="Times" w:hAnsi="Times" w:cs="Times New Roman"/>
          <w:i/>
          <w:sz w:val="23"/>
          <w:szCs w:val="23"/>
        </w:rPr>
        <w:t>Journals of Gerontology Series B-Psychological Sciences and Social Sciences</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50</w:t>
      </w:r>
      <w:r w:rsidRPr="00F853DD">
        <w:rPr>
          <w:rFonts w:ascii="Times" w:hAnsi="Times" w:cs="Times New Roman"/>
          <w:sz w:val="23"/>
          <w:szCs w:val="23"/>
        </w:rPr>
        <w:t>, 9-17.</w:t>
      </w:r>
    </w:p>
    <w:p w14:paraId="556BF09C" w14:textId="3703BC2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Stevens, N.</w:t>
      </w:r>
      <w:r w:rsidR="00F5760E" w:rsidRPr="00F853DD">
        <w:rPr>
          <w:rFonts w:ascii="Times" w:hAnsi="Times" w:cs="Times New Roman"/>
          <w:sz w:val="23"/>
          <w:szCs w:val="23"/>
        </w:rPr>
        <w:t>,</w:t>
      </w:r>
      <w:r w:rsidRPr="00F853DD">
        <w:rPr>
          <w:rFonts w:ascii="Times" w:hAnsi="Times" w:cs="Times New Roman"/>
          <w:sz w:val="23"/>
          <w:szCs w:val="23"/>
        </w:rPr>
        <w:t xml:space="preserve"> (2001). Combating loneliness: a friendship enrichment programme for older women. </w:t>
      </w:r>
      <w:r w:rsidRPr="00F853DD">
        <w:rPr>
          <w:rFonts w:ascii="Times" w:hAnsi="Times" w:cs="Times New Roman"/>
          <w:i/>
          <w:sz w:val="23"/>
          <w:szCs w:val="23"/>
        </w:rPr>
        <w:t>Ageing and Society</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 183-202.</w:t>
      </w:r>
    </w:p>
    <w:p w14:paraId="28FA73F4" w14:textId="54E0513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Stols, A., Roos, V. and Hoffman, J.</w:t>
      </w:r>
      <w:r w:rsidR="00F5760E" w:rsidRPr="00F853DD">
        <w:rPr>
          <w:rFonts w:ascii="Times" w:hAnsi="Times" w:cs="Times New Roman"/>
          <w:sz w:val="23"/>
          <w:szCs w:val="23"/>
        </w:rPr>
        <w:t>,</w:t>
      </w:r>
      <w:r w:rsidRPr="00F853DD">
        <w:rPr>
          <w:rFonts w:ascii="Times" w:hAnsi="Times" w:cs="Times New Roman"/>
          <w:sz w:val="23"/>
          <w:szCs w:val="23"/>
        </w:rPr>
        <w:t xml:space="preserve"> (2016). Middle adolescents' motivations to care for older persons in an economically vulnerable community. </w:t>
      </w:r>
      <w:r w:rsidRPr="00F853DD">
        <w:rPr>
          <w:rFonts w:ascii="Times" w:hAnsi="Times" w:cs="Times New Roman"/>
          <w:i/>
          <w:sz w:val="23"/>
          <w:szCs w:val="23"/>
        </w:rPr>
        <w:t>Journal of Intergenerational Relationships</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179-196.</w:t>
      </w:r>
    </w:p>
    <w:p w14:paraId="2B3F24F8" w14:textId="6AB9AC79" w:rsidR="00DF05BD" w:rsidRPr="00F853DD" w:rsidRDefault="00DF05BD" w:rsidP="00E1694A">
      <w:pPr>
        <w:autoSpaceDE w:val="0"/>
        <w:autoSpaceDN w:val="0"/>
        <w:adjustRightInd w:val="0"/>
        <w:spacing w:line="240" w:lineRule="auto"/>
        <w:ind w:left="567" w:hanging="567"/>
        <w:rPr>
          <w:rFonts w:ascii="Times" w:eastAsia="Times New Roman" w:hAnsi="Times" w:cs="Arial"/>
          <w:sz w:val="23"/>
          <w:szCs w:val="23"/>
          <w:shd w:val="clear" w:color="auto" w:fill="FFFFFF"/>
          <w:lang w:val="en-TT" w:eastAsia="en-TT"/>
        </w:rPr>
      </w:pPr>
      <w:r w:rsidRPr="00F853DD">
        <w:rPr>
          <w:rFonts w:ascii="Times" w:hAnsi="Times" w:cs="Times New Roman"/>
          <w:sz w:val="23"/>
          <w:szCs w:val="23"/>
        </w:rPr>
        <w:t>Stone, R., Cafferata, G.  and Sangl, J.</w:t>
      </w:r>
      <w:r w:rsidR="00F5760E" w:rsidRPr="00F853DD">
        <w:rPr>
          <w:rFonts w:ascii="Times" w:hAnsi="Times" w:cs="Times New Roman"/>
          <w:sz w:val="23"/>
          <w:szCs w:val="23"/>
        </w:rPr>
        <w:t>,</w:t>
      </w:r>
      <w:r w:rsidRPr="00F853DD">
        <w:rPr>
          <w:rFonts w:ascii="Times" w:hAnsi="Times" w:cs="Times New Roman"/>
          <w:sz w:val="23"/>
          <w:szCs w:val="23"/>
        </w:rPr>
        <w:t xml:space="preserve"> (1987). Caregivers of the frail elderly: </w:t>
      </w:r>
      <w:r w:rsidR="00F5760E" w:rsidRPr="00F853DD">
        <w:rPr>
          <w:rFonts w:ascii="Times" w:hAnsi="Times" w:cs="Times New Roman"/>
          <w:sz w:val="23"/>
          <w:szCs w:val="23"/>
        </w:rPr>
        <w:t>a</w:t>
      </w:r>
      <w:r w:rsidRPr="00F853DD">
        <w:rPr>
          <w:rFonts w:ascii="Times" w:hAnsi="Times" w:cs="Times New Roman"/>
          <w:sz w:val="23"/>
          <w:szCs w:val="23"/>
        </w:rPr>
        <w:t xml:space="preserve"> national profile. </w:t>
      </w:r>
      <w:r w:rsidRPr="00F853DD">
        <w:rPr>
          <w:rFonts w:ascii="Times" w:hAnsi="Times" w:cs="Times New Roman"/>
          <w:i/>
          <w:sz w:val="23"/>
          <w:szCs w:val="23"/>
        </w:rPr>
        <w:t xml:space="preserve"> Gerontologist</w:t>
      </w:r>
      <w:r w:rsidR="00F5760E"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27</w:t>
      </w:r>
      <w:r w:rsidRPr="00F853DD">
        <w:rPr>
          <w:rFonts w:ascii="Times" w:hAnsi="Times" w:cs="Times New Roman"/>
          <w:sz w:val="23"/>
          <w:szCs w:val="23"/>
        </w:rPr>
        <w:t>(5), 616-626.</w:t>
      </w:r>
    </w:p>
    <w:p w14:paraId="307A02F4" w14:textId="32E98B6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Stone, R.</w:t>
      </w:r>
      <w:r w:rsidR="00F5760E" w:rsidRPr="00F853DD">
        <w:rPr>
          <w:rFonts w:ascii="Times" w:hAnsi="Times" w:cs="Times New Roman"/>
          <w:sz w:val="23"/>
          <w:szCs w:val="23"/>
        </w:rPr>
        <w:t>,</w:t>
      </w:r>
      <w:r w:rsidRPr="00F853DD">
        <w:rPr>
          <w:rFonts w:ascii="Times" w:hAnsi="Times" w:cs="Times New Roman"/>
          <w:sz w:val="23"/>
          <w:szCs w:val="23"/>
        </w:rPr>
        <w:t xml:space="preserve"> (1991). Defining fami</w:t>
      </w:r>
      <w:r w:rsidR="00F5760E" w:rsidRPr="00F853DD">
        <w:rPr>
          <w:rFonts w:ascii="Times" w:hAnsi="Times" w:cs="Times New Roman"/>
          <w:sz w:val="23"/>
          <w:szCs w:val="23"/>
        </w:rPr>
        <w:t>ly caregivers of the elderly: i</w:t>
      </w:r>
      <w:r w:rsidRPr="00F853DD">
        <w:rPr>
          <w:rFonts w:ascii="Times" w:hAnsi="Times" w:cs="Times New Roman"/>
          <w:sz w:val="23"/>
          <w:szCs w:val="23"/>
        </w:rPr>
        <w:t xml:space="preserve">mplications for research and public policy. </w:t>
      </w:r>
      <w:r w:rsidRPr="00F853DD">
        <w:rPr>
          <w:rFonts w:ascii="Times" w:hAnsi="Times" w:cs="Times New Roman"/>
          <w:i/>
          <w:sz w:val="23"/>
          <w:szCs w:val="23"/>
        </w:rPr>
        <w:t>Gerontologist</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 724-725.</w:t>
      </w:r>
    </w:p>
    <w:p w14:paraId="53D021B5" w14:textId="404C25D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Stones, D. and Gullifer, J.</w:t>
      </w:r>
      <w:r w:rsidR="00F5760E" w:rsidRPr="00F853DD">
        <w:rPr>
          <w:rFonts w:ascii="Times" w:hAnsi="Times" w:cs="Times New Roman"/>
          <w:sz w:val="23"/>
          <w:szCs w:val="23"/>
        </w:rPr>
        <w:t>, (2016). ‘</w:t>
      </w:r>
      <w:r w:rsidRPr="00F853DD">
        <w:rPr>
          <w:rFonts w:ascii="Times" w:hAnsi="Times" w:cs="Times New Roman"/>
          <w:sz w:val="23"/>
          <w:szCs w:val="23"/>
        </w:rPr>
        <w:t>At home it's jus</w:t>
      </w:r>
      <w:r w:rsidR="00F5760E" w:rsidRPr="00F853DD">
        <w:rPr>
          <w:rFonts w:ascii="Times" w:hAnsi="Times" w:cs="Times New Roman"/>
          <w:sz w:val="23"/>
          <w:szCs w:val="23"/>
        </w:rPr>
        <w:t>t so much easier to be yourself’</w:t>
      </w:r>
      <w:r w:rsidRPr="00F853DD">
        <w:rPr>
          <w:rFonts w:ascii="Times" w:hAnsi="Times" w:cs="Times New Roman"/>
          <w:sz w:val="23"/>
          <w:szCs w:val="23"/>
        </w:rPr>
        <w:t>: older adults</w:t>
      </w:r>
      <w:r w:rsidR="00F5760E" w:rsidRPr="00F853DD">
        <w:rPr>
          <w:rFonts w:ascii="Times" w:hAnsi="Times" w:cs="Times New Roman"/>
          <w:sz w:val="23"/>
          <w:szCs w:val="23"/>
        </w:rPr>
        <w:t>’</w:t>
      </w:r>
      <w:r w:rsidRPr="00F853DD">
        <w:rPr>
          <w:rFonts w:ascii="Times" w:hAnsi="Times" w:cs="Times New Roman"/>
          <w:sz w:val="23"/>
          <w:szCs w:val="23"/>
        </w:rPr>
        <w:t xml:space="preserve"> perceptions of ageing in place. </w:t>
      </w:r>
      <w:r w:rsidRPr="00F853DD">
        <w:rPr>
          <w:rFonts w:ascii="Times" w:hAnsi="Times" w:cs="Times New Roman"/>
          <w:i/>
          <w:sz w:val="23"/>
          <w:szCs w:val="23"/>
        </w:rPr>
        <w:t>Ageing and Society</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 449-481.</w:t>
      </w:r>
    </w:p>
    <w:p w14:paraId="72A9F923" w14:textId="6D187AD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Streib, G.</w:t>
      </w:r>
      <w:r w:rsidR="00F5760E" w:rsidRPr="00F853DD">
        <w:rPr>
          <w:rFonts w:ascii="Times" w:hAnsi="Times" w:cs="Times New Roman"/>
          <w:sz w:val="23"/>
          <w:szCs w:val="23"/>
        </w:rPr>
        <w:t>,</w:t>
      </w:r>
      <w:r w:rsidRPr="00F853DD">
        <w:rPr>
          <w:rFonts w:ascii="Times" w:hAnsi="Times" w:cs="Times New Roman"/>
          <w:sz w:val="23"/>
          <w:szCs w:val="23"/>
        </w:rPr>
        <w:t xml:space="preserve"> (1987). Helping the elderly – The complementary roles of informal networks and formal systems. </w:t>
      </w:r>
      <w:r w:rsidRPr="00F853DD">
        <w:rPr>
          <w:rFonts w:ascii="Times" w:hAnsi="Times" w:cs="Times New Roman"/>
          <w:i/>
          <w:sz w:val="23"/>
          <w:szCs w:val="23"/>
        </w:rPr>
        <w:t>Social Forces</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66</w:t>
      </w:r>
      <w:r w:rsidRPr="00F853DD">
        <w:rPr>
          <w:rFonts w:ascii="Times" w:hAnsi="Times" w:cs="Times New Roman"/>
          <w:sz w:val="23"/>
          <w:szCs w:val="23"/>
        </w:rPr>
        <w:t>, 291-292.</w:t>
      </w:r>
    </w:p>
    <w:p w14:paraId="79BD9EFA" w14:textId="6BD9FA07" w:rsidR="00F5760E"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Stuart, S (2014). Situation of unpaid work and gender in the Caribbean: </w:t>
      </w:r>
      <w:r w:rsidR="00F5760E" w:rsidRPr="00F853DD">
        <w:rPr>
          <w:rFonts w:ascii="Times" w:hAnsi="Times" w:cs="Times New Roman"/>
          <w:sz w:val="23"/>
          <w:szCs w:val="23"/>
        </w:rPr>
        <w:t>t</w:t>
      </w:r>
      <w:r w:rsidRPr="00F853DD">
        <w:rPr>
          <w:rFonts w:ascii="Times" w:hAnsi="Times" w:cs="Times New Roman"/>
          <w:sz w:val="23"/>
          <w:szCs w:val="23"/>
        </w:rPr>
        <w:t>he measurement of unpaid work through time-use studies</w:t>
      </w:r>
      <w:r w:rsidR="00F5760E" w:rsidRPr="00F853DD">
        <w:rPr>
          <w:rFonts w:ascii="Times" w:hAnsi="Times" w:cs="Times New Roman"/>
          <w:sz w:val="23"/>
          <w:szCs w:val="23"/>
        </w:rPr>
        <w:t>.</w:t>
      </w:r>
      <w:r w:rsidRPr="00F853DD">
        <w:rPr>
          <w:rFonts w:ascii="Times" w:hAnsi="Times" w:cs="Times New Roman"/>
          <w:sz w:val="23"/>
          <w:szCs w:val="23"/>
        </w:rPr>
        <w:t xml:space="preserve"> CEPAL</w:t>
      </w:r>
      <w:r w:rsidR="00F5760E" w:rsidRPr="00F853DD">
        <w:rPr>
          <w:rFonts w:ascii="Times" w:hAnsi="Times" w:cs="Times New Roman"/>
          <w:sz w:val="23"/>
          <w:szCs w:val="23"/>
        </w:rPr>
        <w:t xml:space="preserve"> [online].</w:t>
      </w:r>
      <w:r w:rsidRPr="00F853DD">
        <w:rPr>
          <w:rFonts w:ascii="Times" w:hAnsi="Times" w:cs="Times New Roman"/>
          <w:sz w:val="23"/>
          <w:szCs w:val="23"/>
        </w:rPr>
        <w:t xml:space="preserve">. [Viewed 2 July 2019]. Available from: </w:t>
      </w:r>
      <w:r w:rsidR="00F5760E" w:rsidRPr="00F853DD">
        <w:rPr>
          <w:rFonts w:ascii="Times" w:hAnsi="Times" w:cs="Times New Roman"/>
          <w:sz w:val="23"/>
          <w:szCs w:val="23"/>
        </w:rPr>
        <w:t>https://repositorio.cepal.org/bitstream/handle/11362/36619/S2014006_en.pdf?sequence=1&amp;isAllowed=.</w:t>
      </w:r>
    </w:p>
    <w:p w14:paraId="7117727F" w14:textId="28F6A48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Struchen, M., Atchison, T., Roebuck, T., Caroselli, J. and Sander, A.</w:t>
      </w:r>
      <w:r w:rsidR="00F5760E" w:rsidRPr="00F853DD">
        <w:rPr>
          <w:rFonts w:ascii="Times" w:hAnsi="Times" w:cs="Times New Roman"/>
          <w:sz w:val="23"/>
          <w:szCs w:val="23"/>
        </w:rPr>
        <w:t>,</w:t>
      </w:r>
      <w:r w:rsidRPr="00F853DD">
        <w:rPr>
          <w:rFonts w:ascii="Times" w:hAnsi="Times" w:cs="Times New Roman"/>
          <w:sz w:val="23"/>
          <w:szCs w:val="23"/>
        </w:rPr>
        <w:t xml:space="preserve"> (2002). A multidimensional measure of caregiving appraisal: </w:t>
      </w:r>
      <w:r w:rsidR="00F5760E" w:rsidRPr="00F853DD">
        <w:rPr>
          <w:rFonts w:ascii="Times" w:hAnsi="Times" w:cs="Times New Roman"/>
          <w:sz w:val="23"/>
          <w:szCs w:val="23"/>
        </w:rPr>
        <w:t>v</w:t>
      </w:r>
      <w:r w:rsidRPr="00F853DD">
        <w:rPr>
          <w:rFonts w:ascii="Times" w:hAnsi="Times" w:cs="Times New Roman"/>
          <w:sz w:val="23"/>
          <w:szCs w:val="23"/>
        </w:rPr>
        <w:t xml:space="preserve">alidation of the caregiver appraisal scale in traumatic brain injury. </w:t>
      </w:r>
      <w:r w:rsidRPr="00F853DD">
        <w:rPr>
          <w:rFonts w:ascii="Times" w:hAnsi="Times" w:cs="Times New Roman"/>
          <w:i/>
          <w:sz w:val="23"/>
          <w:szCs w:val="23"/>
        </w:rPr>
        <w:t>Journal of Head Trauma Rehabilitation</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132-154.</w:t>
      </w:r>
    </w:p>
    <w:p w14:paraId="2B90738A" w14:textId="2956CC65"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Stuifbergen, M., Dykstra, P., Lanting, K. and Van Delden, J.</w:t>
      </w:r>
      <w:r w:rsidR="00F5760E" w:rsidRPr="00F853DD">
        <w:rPr>
          <w:rFonts w:ascii="Times" w:hAnsi="Times" w:cs="Times New Roman"/>
          <w:sz w:val="23"/>
          <w:szCs w:val="23"/>
        </w:rPr>
        <w:t>,</w:t>
      </w:r>
      <w:r w:rsidRPr="00F853DD">
        <w:rPr>
          <w:rFonts w:ascii="Times" w:hAnsi="Times" w:cs="Times New Roman"/>
          <w:sz w:val="23"/>
          <w:szCs w:val="23"/>
        </w:rPr>
        <w:t xml:space="preserve"> (2010). Autonomy in an ascribed relationship: The case of adult children and elderly parents. </w:t>
      </w:r>
      <w:r w:rsidRPr="00F853DD">
        <w:rPr>
          <w:rFonts w:ascii="Times" w:hAnsi="Times" w:cs="Times New Roman"/>
          <w:i/>
          <w:sz w:val="23"/>
          <w:szCs w:val="23"/>
          <w:lang w:val="nl-NL"/>
        </w:rPr>
        <w:t>Journal of Aging Studies</w:t>
      </w:r>
      <w:r w:rsidR="00F5760E" w:rsidRPr="00F853DD">
        <w:rPr>
          <w:rFonts w:ascii="Times" w:hAnsi="Times" w:cs="Times New Roman"/>
          <w:sz w:val="23"/>
          <w:szCs w:val="23"/>
          <w:lang w:val="nl-NL"/>
        </w:rPr>
        <w:t>.</w:t>
      </w:r>
      <w:r w:rsidRPr="00F853DD">
        <w:rPr>
          <w:rFonts w:ascii="Times" w:hAnsi="Times" w:cs="Times New Roman"/>
          <w:sz w:val="23"/>
          <w:szCs w:val="23"/>
          <w:lang w:val="nl-NL"/>
        </w:rPr>
        <w:t xml:space="preserve"> </w:t>
      </w:r>
      <w:r w:rsidRPr="00F853DD">
        <w:rPr>
          <w:rFonts w:ascii="Times" w:hAnsi="Times" w:cs="Times New Roman"/>
          <w:b/>
          <w:sz w:val="23"/>
          <w:szCs w:val="23"/>
          <w:lang w:val="nl-NL"/>
        </w:rPr>
        <w:t>24</w:t>
      </w:r>
      <w:r w:rsidRPr="00F853DD">
        <w:rPr>
          <w:rFonts w:ascii="Times" w:hAnsi="Times" w:cs="Times New Roman"/>
          <w:sz w:val="23"/>
          <w:szCs w:val="23"/>
          <w:lang w:val="nl-NL"/>
        </w:rPr>
        <w:t>, 257-265.</w:t>
      </w:r>
    </w:p>
    <w:p w14:paraId="5FAD4348" w14:textId="5528FC9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Stuif</w:t>
      </w:r>
      <w:r w:rsidR="00F5760E" w:rsidRPr="00F853DD">
        <w:rPr>
          <w:rFonts w:ascii="Times" w:hAnsi="Times" w:cs="Times New Roman"/>
          <w:sz w:val="23"/>
          <w:szCs w:val="23"/>
          <w:lang w:val="nl-NL"/>
        </w:rPr>
        <w:t>bergen, M. and Van Delden, J.,</w:t>
      </w:r>
      <w:r w:rsidRPr="00F853DD">
        <w:rPr>
          <w:rFonts w:ascii="Times" w:hAnsi="Times" w:cs="Times New Roman"/>
          <w:sz w:val="23"/>
          <w:szCs w:val="23"/>
          <w:lang w:val="nl-NL"/>
        </w:rPr>
        <w:t xml:space="preserve"> (2011). </w:t>
      </w:r>
      <w:r w:rsidRPr="00F853DD">
        <w:rPr>
          <w:rFonts w:ascii="Times" w:hAnsi="Times" w:cs="Times New Roman"/>
          <w:sz w:val="23"/>
          <w:szCs w:val="23"/>
        </w:rPr>
        <w:t xml:space="preserve">Filial obligations to elderly parents: a duty to care? </w:t>
      </w:r>
      <w:r w:rsidRPr="00F853DD">
        <w:rPr>
          <w:rFonts w:ascii="Times" w:hAnsi="Times" w:cs="Times New Roman"/>
          <w:i/>
          <w:sz w:val="23"/>
          <w:szCs w:val="23"/>
        </w:rPr>
        <w:t>Medicine Health Care and Philosophy</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14</w:t>
      </w:r>
      <w:r w:rsidRPr="00F853DD">
        <w:rPr>
          <w:rFonts w:ascii="Times" w:hAnsi="Times" w:cs="Times New Roman"/>
          <w:sz w:val="23"/>
          <w:szCs w:val="23"/>
        </w:rPr>
        <w:t>, 63-71.</w:t>
      </w:r>
    </w:p>
    <w:p w14:paraId="14FB0C4F" w14:textId="7BE00F9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Stuifbergen, M., Van Delden, J. and Dykstra, P.</w:t>
      </w:r>
      <w:r w:rsidR="00F5760E" w:rsidRPr="00F853DD">
        <w:rPr>
          <w:rFonts w:ascii="Times" w:hAnsi="Times" w:cs="Times New Roman"/>
          <w:sz w:val="23"/>
          <w:szCs w:val="23"/>
        </w:rPr>
        <w:t>,</w:t>
      </w:r>
      <w:r w:rsidRPr="00F853DD">
        <w:rPr>
          <w:rFonts w:ascii="Times" w:hAnsi="Times" w:cs="Times New Roman"/>
          <w:sz w:val="23"/>
          <w:szCs w:val="23"/>
        </w:rPr>
        <w:t xml:space="preserve"> (2008). The implications of today's family structures for support giving to older parents. </w:t>
      </w:r>
      <w:r w:rsidRPr="00F853DD">
        <w:rPr>
          <w:rFonts w:ascii="Times" w:hAnsi="Times" w:cs="Times New Roman"/>
          <w:i/>
          <w:sz w:val="23"/>
          <w:szCs w:val="23"/>
        </w:rPr>
        <w:t>Ageing and Society</w:t>
      </w:r>
      <w:r w:rsidR="00F5760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 413-434.</w:t>
      </w:r>
    </w:p>
    <w:p w14:paraId="7E13DC6E" w14:textId="19A50E9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Suanet, B., Van Tilburg, T. and Van Groenou, M.</w:t>
      </w:r>
      <w:r w:rsidR="008F4C2E" w:rsidRPr="00F853DD">
        <w:rPr>
          <w:rFonts w:ascii="Times" w:hAnsi="Times" w:cs="Times New Roman"/>
          <w:sz w:val="23"/>
          <w:szCs w:val="23"/>
        </w:rPr>
        <w:t>,</w:t>
      </w:r>
      <w:r w:rsidRPr="00F853DD">
        <w:rPr>
          <w:rFonts w:ascii="Times" w:hAnsi="Times" w:cs="Times New Roman"/>
          <w:sz w:val="23"/>
          <w:szCs w:val="23"/>
        </w:rPr>
        <w:t xml:space="preserve"> (2013). Nonkin in </w:t>
      </w:r>
      <w:r w:rsidR="008F4C2E" w:rsidRPr="00F853DD">
        <w:rPr>
          <w:rFonts w:ascii="Times" w:hAnsi="Times" w:cs="Times New Roman"/>
          <w:sz w:val="23"/>
          <w:szCs w:val="23"/>
        </w:rPr>
        <w:t>o</w:t>
      </w:r>
      <w:r w:rsidRPr="00F853DD">
        <w:rPr>
          <w:rFonts w:ascii="Times" w:hAnsi="Times" w:cs="Times New Roman"/>
          <w:sz w:val="23"/>
          <w:szCs w:val="23"/>
        </w:rPr>
        <w:t xml:space="preserve">lder </w:t>
      </w:r>
      <w:r w:rsidR="008F4C2E" w:rsidRPr="00F853DD">
        <w:rPr>
          <w:rFonts w:ascii="Times" w:hAnsi="Times" w:cs="Times New Roman"/>
          <w:sz w:val="23"/>
          <w:szCs w:val="23"/>
        </w:rPr>
        <w:t>a</w:t>
      </w:r>
      <w:r w:rsidRPr="00F853DD">
        <w:rPr>
          <w:rFonts w:ascii="Times" w:hAnsi="Times" w:cs="Times New Roman"/>
          <w:sz w:val="23"/>
          <w:szCs w:val="23"/>
        </w:rPr>
        <w:t xml:space="preserve">dults </w:t>
      </w:r>
      <w:r w:rsidR="008F4C2E" w:rsidRPr="00F853DD">
        <w:rPr>
          <w:rFonts w:ascii="Times" w:hAnsi="Times" w:cs="Times New Roman"/>
          <w:sz w:val="23"/>
          <w:szCs w:val="23"/>
        </w:rPr>
        <w:t>p</w:t>
      </w:r>
      <w:r w:rsidRPr="00F853DD">
        <w:rPr>
          <w:rFonts w:ascii="Times" w:hAnsi="Times" w:cs="Times New Roman"/>
          <w:sz w:val="23"/>
          <w:szCs w:val="23"/>
        </w:rPr>
        <w:t xml:space="preserve">ersonal </w:t>
      </w:r>
      <w:r w:rsidR="008F4C2E" w:rsidRPr="00F853DD">
        <w:rPr>
          <w:rFonts w:ascii="Times" w:hAnsi="Times" w:cs="Times New Roman"/>
          <w:sz w:val="23"/>
          <w:szCs w:val="23"/>
        </w:rPr>
        <w:t>n</w:t>
      </w:r>
      <w:r w:rsidRPr="00F853DD">
        <w:rPr>
          <w:rFonts w:ascii="Times" w:hAnsi="Times" w:cs="Times New Roman"/>
          <w:sz w:val="23"/>
          <w:szCs w:val="23"/>
        </w:rPr>
        <w:t xml:space="preserve">etworks: </w:t>
      </w:r>
      <w:r w:rsidR="008F4C2E" w:rsidRPr="00F853DD">
        <w:rPr>
          <w:rFonts w:ascii="Times" w:hAnsi="Times" w:cs="Times New Roman"/>
          <w:sz w:val="23"/>
          <w:szCs w:val="23"/>
        </w:rPr>
        <w:t>m</w:t>
      </w:r>
      <w:r w:rsidRPr="00F853DD">
        <w:rPr>
          <w:rFonts w:ascii="Times" w:hAnsi="Times" w:cs="Times New Roman"/>
          <w:sz w:val="23"/>
          <w:szCs w:val="23"/>
        </w:rPr>
        <w:t xml:space="preserve">ore </w:t>
      </w:r>
      <w:r w:rsidR="008F4C2E" w:rsidRPr="00F853DD">
        <w:rPr>
          <w:rFonts w:ascii="Times" w:hAnsi="Times" w:cs="Times New Roman"/>
          <w:sz w:val="23"/>
          <w:szCs w:val="23"/>
        </w:rPr>
        <w:t>i</w:t>
      </w:r>
      <w:r w:rsidRPr="00F853DD">
        <w:rPr>
          <w:rFonts w:ascii="Times" w:hAnsi="Times" w:cs="Times New Roman"/>
          <w:sz w:val="23"/>
          <w:szCs w:val="23"/>
        </w:rPr>
        <w:t xml:space="preserve">mportant </w:t>
      </w:r>
      <w:r w:rsidR="008F4C2E" w:rsidRPr="00F853DD">
        <w:rPr>
          <w:rFonts w:ascii="Times" w:hAnsi="Times" w:cs="Times New Roman"/>
          <w:sz w:val="23"/>
          <w:szCs w:val="23"/>
        </w:rPr>
        <w:t>a</w:t>
      </w:r>
      <w:r w:rsidRPr="00F853DD">
        <w:rPr>
          <w:rFonts w:ascii="Times" w:hAnsi="Times" w:cs="Times New Roman"/>
          <w:sz w:val="23"/>
          <w:szCs w:val="23"/>
        </w:rPr>
        <w:t xml:space="preserve">mong </w:t>
      </w:r>
      <w:r w:rsidR="008F4C2E" w:rsidRPr="00F853DD">
        <w:rPr>
          <w:rFonts w:ascii="Times" w:hAnsi="Times" w:cs="Times New Roman"/>
          <w:sz w:val="23"/>
          <w:szCs w:val="23"/>
        </w:rPr>
        <w:t>l</w:t>
      </w:r>
      <w:r w:rsidRPr="00F853DD">
        <w:rPr>
          <w:rFonts w:ascii="Times" w:hAnsi="Times" w:cs="Times New Roman"/>
          <w:sz w:val="23"/>
          <w:szCs w:val="23"/>
        </w:rPr>
        <w:t xml:space="preserve">ater </w:t>
      </w:r>
      <w:r w:rsidR="008F4C2E" w:rsidRPr="00F853DD">
        <w:rPr>
          <w:rFonts w:ascii="Times" w:hAnsi="Times" w:cs="Times New Roman"/>
          <w:sz w:val="23"/>
          <w:szCs w:val="23"/>
        </w:rPr>
        <w:t>c</w:t>
      </w:r>
      <w:r w:rsidRPr="00F853DD">
        <w:rPr>
          <w:rFonts w:ascii="Times" w:hAnsi="Times" w:cs="Times New Roman"/>
          <w:sz w:val="23"/>
          <w:szCs w:val="23"/>
        </w:rPr>
        <w:t xml:space="preserve">ohorts? </w:t>
      </w:r>
      <w:r w:rsidRPr="00F853DD">
        <w:rPr>
          <w:rFonts w:ascii="Times" w:hAnsi="Times" w:cs="Times New Roman"/>
          <w:i/>
          <w:sz w:val="23"/>
          <w:szCs w:val="23"/>
        </w:rPr>
        <w:t>Journals of Gerontology Series B-Psychological Sciences and Social Sciences</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68</w:t>
      </w:r>
      <w:r w:rsidRPr="00F853DD">
        <w:rPr>
          <w:rFonts w:ascii="Times" w:hAnsi="Times" w:cs="Times New Roman"/>
          <w:sz w:val="23"/>
          <w:szCs w:val="23"/>
        </w:rPr>
        <w:t>, 633-643.</w:t>
      </w:r>
    </w:p>
    <w:p w14:paraId="5AFC6ED5" w14:textId="01865F2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Sudama, T.</w:t>
      </w:r>
      <w:r w:rsidR="008F4C2E" w:rsidRPr="00F853DD">
        <w:rPr>
          <w:rFonts w:ascii="Times" w:hAnsi="Times" w:cs="Times New Roman"/>
          <w:sz w:val="23"/>
          <w:szCs w:val="23"/>
        </w:rPr>
        <w:t>,</w:t>
      </w:r>
      <w:r w:rsidRPr="00F853DD">
        <w:rPr>
          <w:rFonts w:ascii="Times" w:hAnsi="Times" w:cs="Times New Roman"/>
          <w:sz w:val="23"/>
          <w:szCs w:val="23"/>
        </w:rPr>
        <w:t xml:space="preserve"> (1983). Class, Race, and the State in Trinidad and Tobago. </w:t>
      </w:r>
      <w:r w:rsidRPr="00F853DD">
        <w:rPr>
          <w:rFonts w:ascii="Times" w:hAnsi="Times" w:cs="Times New Roman"/>
          <w:i/>
          <w:sz w:val="23"/>
          <w:szCs w:val="23"/>
        </w:rPr>
        <w:t>Latin American Perspectives</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 75-96.</w:t>
      </w:r>
    </w:p>
    <w:p w14:paraId="2134B96C" w14:textId="1D1BC38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Sudore, R., Landefeld, C., Williams, B., Barnes, D., Lindquist, K. and Schillinger, D.</w:t>
      </w:r>
      <w:r w:rsidR="008F4C2E" w:rsidRPr="00F853DD">
        <w:rPr>
          <w:rFonts w:ascii="Times" w:hAnsi="Times" w:cs="Times New Roman"/>
          <w:sz w:val="23"/>
          <w:szCs w:val="23"/>
        </w:rPr>
        <w:t>,</w:t>
      </w:r>
      <w:r w:rsidRPr="00F853DD">
        <w:rPr>
          <w:rFonts w:ascii="Times" w:hAnsi="Times" w:cs="Times New Roman"/>
          <w:sz w:val="23"/>
          <w:szCs w:val="23"/>
        </w:rPr>
        <w:t xml:space="preserve"> (2006). Use of a modified informed consent process among vulnerable patients: a descriptive study. </w:t>
      </w:r>
      <w:r w:rsidRPr="00F853DD">
        <w:rPr>
          <w:rFonts w:ascii="Times" w:hAnsi="Times" w:cs="Times New Roman"/>
          <w:i/>
          <w:sz w:val="23"/>
          <w:szCs w:val="23"/>
        </w:rPr>
        <w:t>Journal of General Internal Medicine</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 867-873.</w:t>
      </w:r>
    </w:p>
    <w:p w14:paraId="7EBA281E" w14:textId="7BA4D13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Sue, V.</w:t>
      </w:r>
      <w:r w:rsidR="008F4C2E" w:rsidRPr="00F853DD">
        <w:rPr>
          <w:rFonts w:ascii="Times" w:hAnsi="Times" w:cs="Times New Roman"/>
          <w:sz w:val="23"/>
          <w:szCs w:val="23"/>
        </w:rPr>
        <w:t>,</w:t>
      </w:r>
      <w:r w:rsidRPr="00F853DD">
        <w:rPr>
          <w:rFonts w:ascii="Times" w:hAnsi="Times" w:cs="Times New Roman"/>
          <w:sz w:val="23"/>
          <w:szCs w:val="23"/>
        </w:rPr>
        <w:t xml:space="preserve"> (2007). </w:t>
      </w:r>
      <w:r w:rsidRPr="00F853DD">
        <w:rPr>
          <w:rFonts w:ascii="Times" w:hAnsi="Times" w:cs="Times New Roman"/>
          <w:i/>
          <w:sz w:val="23"/>
          <w:szCs w:val="23"/>
        </w:rPr>
        <w:t>Conducting Online Surveys</w:t>
      </w:r>
      <w:r w:rsidRPr="00F853DD">
        <w:rPr>
          <w:rFonts w:ascii="Times" w:hAnsi="Times" w:cs="Times New Roman"/>
          <w:sz w:val="23"/>
          <w:szCs w:val="23"/>
        </w:rPr>
        <w:t xml:space="preserve"> [online]. Los Angeles: Sage Publications.</w:t>
      </w:r>
    </w:p>
    <w:p w14:paraId="46A1F677" w14:textId="20CAD23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Sun, F., Durkin, D., Hilgeman, M., Harris, G., Gaugler, J., Wardian, J., Allen, R. and Burgio, L.</w:t>
      </w:r>
      <w:r w:rsidR="008F4C2E" w:rsidRPr="00F853DD">
        <w:rPr>
          <w:rFonts w:ascii="Times" w:hAnsi="Times" w:cs="Times New Roman"/>
          <w:sz w:val="23"/>
          <w:szCs w:val="23"/>
        </w:rPr>
        <w:t>,</w:t>
      </w:r>
      <w:r w:rsidRPr="00F853DD">
        <w:rPr>
          <w:rFonts w:ascii="Times" w:hAnsi="Times" w:cs="Times New Roman"/>
          <w:sz w:val="23"/>
          <w:szCs w:val="23"/>
        </w:rPr>
        <w:t xml:space="preserve"> (2013). Predicting desire for institutional placement among racially diverse dementia family caregivers: The role of quality of care. </w:t>
      </w:r>
      <w:r w:rsidRPr="00F853DD">
        <w:rPr>
          <w:rFonts w:ascii="Times" w:hAnsi="Times" w:cs="Times New Roman"/>
          <w:i/>
          <w:sz w:val="23"/>
          <w:szCs w:val="23"/>
        </w:rPr>
        <w:t>Gerontologist</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53</w:t>
      </w:r>
      <w:r w:rsidRPr="00F853DD">
        <w:rPr>
          <w:rFonts w:ascii="Times" w:hAnsi="Times" w:cs="Times New Roman"/>
          <w:sz w:val="23"/>
          <w:szCs w:val="23"/>
        </w:rPr>
        <w:t>, 418-429.</w:t>
      </w:r>
    </w:p>
    <w:p w14:paraId="4E791EE7" w14:textId="52DE113E" w:rsidR="00DF05BD" w:rsidRPr="00F853DD" w:rsidRDefault="008F4C2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Sun, K., (2017)</w:t>
      </w:r>
      <w:r w:rsidR="00DF05BD" w:rsidRPr="00F853DD">
        <w:rPr>
          <w:rFonts w:ascii="Times" w:hAnsi="Times" w:cs="Times New Roman"/>
          <w:sz w:val="23"/>
          <w:szCs w:val="23"/>
        </w:rPr>
        <w:t xml:space="preserve">. Negotiating transnational ambivalence: how ageing parents grapple with family separation across time. </w:t>
      </w:r>
      <w:r w:rsidR="00DF05BD" w:rsidRPr="00F853DD">
        <w:rPr>
          <w:rFonts w:ascii="Times" w:hAnsi="Times" w:cs="Times New Roman"/>
          <w:i/>
          <w:sz w:val="23"/>
          <w:szCs w:val="23"/>
        </w:rPr>
        <w:t>Identities-Global Studies in Culture and Power</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24</w:t>
      </w:r>
      <w:r w:rsidR="00DF05BD" w:rsidRPr="00F853DD">
        <w:rPr>
          <w:rFonts w:ascii="Times" w:hAnsi="Times" w:cs="Times New Roman"/>
          <w:sz w:val="23"/>
          <w:szCs w:val="23"/>
        </w:rPr>
        <w:t>, 590-605.</w:t>
      </w:r>
    </w:p>
    <w:p w14:paraId="17A35E6F" w14:textId="6CBF75F5" w:rsidR="00DF05BD" w:rsidRPr="00F853DD" w:rsidRDefault="008F4C2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Sun, Y., (2017)</w:t>
      </w:r>
      <w:r w:rsidR="00DF05BD" w:rsidRPr="00F853DD">
        <w:rPr>
          <w:rFonts w:ascii="Times" w:hAnsi="Times" w:cs="Times New Roman"/>
          <w:sz w:val="23"/>
          <w:szCs w:val="23"/>
        </w:rPr>
        <w:t xml:space="preserve">. Among a Hundred Good Virtues, Filial Piety is the First: Contemporary Moral Discourses on Filial Piety in Urban China. </w:t>
      </w:r>
      <w:r w:rsidR="00DF05BD" w:rsidRPr="00F853DD">
        <w:rPr>
          <w:rFonts w:ascii="Times" w:hAnsi="Times" w:cs="Times New Roman"/>
          <w:i/>
          <w:sz w:val="23"/>
          <w:szCs w:val="23"/>
        </w:rPr>
        <w:t>Anthropological Quarterly</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90</w:t>
      </w:r>
      <w:r w:rsidR="00DF05BD" w:rsidRPr="00F853DD">
        <w:rPr>
          <w:rFonts w:ascii="Times" w:hAnsi="Times" w:cs="Times New Roman"/>
          <w:sz w:val="23"/>
          <w:szCs w:val="23"/>
        </w:rPr>
        <w:t>, 771-799.</w:t>
      </w:r>
    </w:p>
    <w:p w14:paraId="716A8BFB" w14:textId="2B76F28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sz w:val="23"/>
          <w:szCs w:val="23"/>
        </w:rPr>
        <w:t>Sundström, G., Malmberg, B., Castiello, M., Del Barrio, É., Castejon, P., Tortosa, M. and Johansson, L.</w:t>
      </w:r>
      <w:r w:rsidR="008F4C2E" w:rsidRPr="00F853DD">
        <w:rPr>
          <w:rFonts w:ascii="Times" w:hAnsi="Times"/>
          <w:sz w:val="23"/>
          <w:szCs w:val="23"/>
        </w:rPr>
        <w:t>,</w:t>
      </w:r>
      <w:r w:rsidRPr="00F853DD">
        <w:rPr>
          <w:rFonts w:ascii="Times" w:hAnsi="Times"/>
          <w:sz w:val="23"/>
          <w:szCs w:val="23"/>
        </w:rPr>
        <w:t xml:space="preserve"> (2008). Family care for elders in Europe: policies and practices. </w:t>
      </w:r>
      <w:r w:rsidRPr="00F853DD">
        <w:rPr>
          <w:rFonts w:ascii="Times" w:hAnsi="Times"/>
          <w:i/>
          <w:iCs/>
          <w:sz w:val="23"/>
          <w:szCs w:val="23"/>
        </w:rPr>
        <w:t xml:space="preserve">Caregiver Cultural, Familial, and Societal implication. </w:t>
      </w:r>
      <w:r w:rsidRPr="00F853DD">
        <w:rPr>
          <w:rFonts w:ascii="Times" w:hAnsi="Times"/>
          <w:iCs/>
          <w:sz w:val="23"/>
          <w:szCs w:val="23"/>
        </w:rPr>
        <w:t>New York: Springer</w:t>
      </w:r>
      <w:r w:rsidRPr="00F853DD">
        <w:rPr>
          <w:rFonts w:ascii="Times" w:hAnsi="Times"/>
          <w:sz w:val="23"/>
          <w:szCs w:val="23"/>
        </w:rPr>
        <w:t>.</w:t>
      </w:r>
    </w:p>
    <w:p w14:paraId="1F891D36" w14:textId="5F844EB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Suzuki, K., Tamakoshi, K. and Sakakibara, H. (2016). Caregiving activities closely associated with the development of low-back pain among female family caregivers. </w:t>
      </w:r>
      <w:r w:rsidRPr="00F853DD">
        <w:rPr>
          <w:rFonts w:ascii="Times" w:hAnsi="Times" w:cs="Times New Roman"/>
          <w:i/>
          <w:sz w:val="23"/>
          <w:szCs w:val="23"/>
        </w:rPr>
        <w:t>Journal of Clinical Nursing</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2156-2167.</w:t>
      </w:r>
    </w:p>
    <w:p w14:paraId="6A327236" w14:textId="295CFFC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Swartz, K.</w:t>
      </w:r>
      <w:r w:rsidR="008F4C2E" w:rsidRPr="00F853DD">
        <w:rPr>
          <w:rFonts w:ascii="Times" w:hAnsi="Times" w:cs="Times New Roman"/>
          <w:sz w:val="23"/>
          <w:szCs w:val="23"/>
        </w:rPr>
        <w:t>,</w:t>
      </w:r>
      <w:r w:rsidRPr="00F853DD">
        <w:rPr>
          <w:rFonts w:ascii="Times" w:hAnsi="Times" w:cs="Times New Roman"/>
          <w:sz w:val="23"/>
          <w:szCs w:val="23"/>
        </w:rPr>
        <w:t xml:space="preserve"> (2013). Searching for a </w:t>
      </w:r>
      <w:r w:rsidR="008F4C2E" w:rsidRPr="00F853DD">
        <w:rPr>
          <w:rFonts w:ascii="Times" w:hAnsi="Times" w:cs="Times New Roman"/>
          <w:sz w:val="23"/>
          <w:szCs w:val="23"/>
        </w:rPr>
        <w:t>b</w:t>
      </w:r>
      <w:r w:rsidRPr="00F853DD">
        <w:rPr>
          <w:rFonts w:ascii="Times" w:hAnsi="Times" w:cs="Times New Roman"/>
          <w:sz w:val="23"/>
          <w:szCs w:val="23"/>
        </w:rPr>
        <w:t xml:space="preserve">alance of </w:t>
      </w:r>
      <w:r w:rsidR="008F4C2E" w:rsidRPr="00F853DD">
        <w:rPr>
          <w:rFonts w:ascii="Times" w:hAnsi="Times" w:cs="Times New Roman"/>
          <w:sz w:val="23"/>
          <w:szCs w:val="23"/>
        </w:rPr>
        <w:t>responsibilities: OECD countries’</w:t>
      </w:r>
      <w:r w:rsidRPr="00F853DD">
        <w:rPr>
          <w:rFonts w:ascii="Times" w:hAnsi="Times" w:cs="Times New Roman"/>
          <w:sz w:val="23"/>
          <w:szCs w:val="23"/>
        </w:rPr>
        <w:t xml:space="preserve"> </w:t>
      </w:r>
      <w:r w:rsidR="008F4C2E" w:rsidRPr="00F853DD">
        <w:rPr>
          <w:rFonts w:ascii="Times" w:hAnsi="Times" w:cs="Times New Roman"/>
          <w:sz w:val="23"/>
          <w:szCs w:val="23"/>
        </w:rPr>
        <w:t>c</w:t>
      </w:r>
      <w:r w:rsidRPr="00F853DD">
        <w:rPr>
          <w:rFonts w:ascii="Times" w:hAnsi="Times" w:cs="Times New Roman"/>
          <w:sz w:val="23"/>
          <w:szCs w:val="23"/>
        </w:rPr>
        <w:t xml:space="preserve">hanging </w:t>
      </w:r>
      <w:r w:rsidR="008F4C2E" w:rsidRPr="00F853DD">
        <w:rPr>
          <w:rFonts w:ascii="Times" w:hAnsi="Times" w:cs="Times New Roman"/>
          <w:sz w:val="23"/>
          <w:szCs w:val="23"/>
        </w:rPr>
        <w:t>e</w:t>
      </w:r>
      <w:r w:rsidRPr="00F853DD">
        <w:rPr>
          <w:rFonts w:ascii="Times" w:hAnsi="Times" w:cs="Times New Roman"/>
          <w:sz w:val="23"/>
          <w:szCs w:val="23"/>
        </w:rPr>
        <w:t xml:space="preserve">lderly </w:t>
      </w:r>
      <w:r w:rsidR="008F4C2E" w:rsidRPr="00F853DD">
        <w:rPr>
          <w:rFonts w:ascii="Times" w:hAnsi="Times" w:cs="Times New Roman"/>
          <w:sz w:val="23"/>
          <w:szCs w:val="23"/>
        </w:rPr>
        <w:t>a</w:t>
      </w:r>
      <w:r w:rsidRPr="00F853DD">
        <w:rPr>
          <w:rFonts w:ascii="Times" w:hAnsi="Times" w:cs="Times New Roman"/>
          <w:sz w:val="23"/>
          <w:szCs w:val="23"/>
        </w:rPr>
        <w:t xml:space="preserve">ssistance </w:t>
      </w:r>
      <w:r w:rsidR="008F4C2E" w:rsidRPr="00F853DD">
        <w:rPr>
          <w:rFonts w:ascii="Times" w:hAnsi="Times" w:cs="Times New Roman"/>
          <w:sz w:val="23"/>
          <w:szCs w:val="23"/>
        </w:rPr>
        <w:t>p</w:t>
      </w:r>
      <w:r w:rsidRPr="00F853DD">
        <w:rPr>
          <w:rFonts w:ascii="Times" w:hAnsi="Times" w:cs="Times New Roman"/>
          <w:sz w:val="23"/>
          <w:szCs w:val="23"/>
        </w:rPr>
        <w:t xml:space="preserve">olicies. In: Fielding, J. E. (ed.) </w:t>
      </w:r>
      <w:r w:rsidRPr="00F853DD">
        <w:rPr>
          <w:rFonts w:ascii="Times" w:hAnsi="Times" w:cs="Times New Roman"/>
          <w:i/>
          <w:sz w:val="23"/>
          <w:szCs w:val="23"/>
        </w:rPr>
        <w:t>Annual Review of Public Health</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 Palo Alto: Annual Reviews.</w:t>
      </w:r>
    </w:p>
    <w:p w14:paraId="2C547A67" w14:textId="6FCE53A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Swidler, A.</w:t>
      </w:r>
      <w:r w:rsidR="008F4C2E" w:rsidRPr="00F853DD">
        <w:rPr>
          <w:rFonts w:ascii="Times" w:hAnsi="Times" w:cs="Times New Roman"/>
          <w:sz w:val="23"/>
          <w:szCs w:val="23"/>
        </w:rPr>
        <w:t>,</w:t>
      </w:r>
      <w:r w:rsidRPr="00F853DD">
        <w:rPr>
          <w:rFonts w:ascii="Times" w:hAnsi="Times" w:cs="Times New Roman"/>
          <w:sz w:val="23"/>
          <w:szCs w:val="23"/>
        </w:rPr>
        <w:t xml:space="preserve"> (2013). Talk of love: </w:t>
      </w:r>
      <w:r w:rsidR="008F4C2E" w:rsidRPr="00F853DD">
        <w:rPr>
          <w:rFonts w:ascii="Times" w:hAnsi="Times" w:cs="Times New Roman"/>
          <w:sz w:val="23"/>
          <w:szCs w:val="23"/>
        </w:rPr>
        <w:t>h</w:t>
      </w:r>
      <w:r w:rsidRPr="00F853DD">
        <w:rPr>
          <w:rFonts w:ascii="Times" w:hAnsi="Times" w:cs="Times New Roman"/>
          <w:sz w:val="23"/>
          <w:szCs w:val="23"/>
        </w:rPr>
        <w:t>ow culture matters. University of Chicago Press.</w:t>
      </w:r>
    </w:p>
    <w:p w14:paraId="3FE893C4" w14:textId="0E0BA63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Swinkels, J., Tilburg, T., Verbakel, E. and Broese van Groenou, M. (2017). Explaining the gender gap in the caregiving burden of partner caregivers. </w:t>
      </w:r>
      <w:r w:rsidRPr="00F853DD">
        <w:rPr>
          <w:rFonts w:ascii="Times" w:hAnsi="Times" w:cs="Times New Roman"/>
          <w:i/>
          <w:sz w:val="23"/>
          <w:szCs w:val="23"/>
        </w:rPr>
        <w:t>The Journals of Gerontology: Series B</w:t>
      </w:r>
      <w:r w:rsidR="008F4C2E"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74</w:t>
      </w:r>
      <w:r w:rsidRPr="00F853DD">
        <w:rPr>
          <w:rFonts w:ascii="Times" w:hAnsi="Times" w:cs="Times New Roman"/>
          <w:sz w:val="23"/>
          <w:szCs w:val="23"/>
        </w:rPr>
        <w:t>(2), 309-317. [Viewed 17 November 2019]. Available from:  https://academic.oup.com/psychsocgerontology/article/74/2/309/3097902.</w:t>
      </w:r>
    </w:p>
    <w:p w14:paraId="58799194" w14:textId="62B297B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Szebehely, M. and Meagher, G.</w:t>
      </w:r>
      <w:r w:rsidR="008F4C2E" w:rsidRPr="00F853DD">
        <w:rPr>
          <w:rFonts w:ascii="Times" w:hAnsi="Times" w:cs="Times New Roman"/>
          <w:sz w:val="23"/>
          <w:szCs w:val="23"/>
        </w:rPr>
        <w:t>,</w:t>
      </w:r>
      <w:r w:rsidRPr="00F853DD">
        <w:rPr>
          <w:rFonts w:ascii="Times" w:hAnsi="Times" w:cs="Times New Roman"/>
          <w:sz w:val="23"/>
          <w:szCs w:val="23"/>
        </w:rPr>
        <w:t xml:space="preserve"> (2018). Nordic eldercare–weak universalism becoming weaker?. </w:t>
      </w:r>
      <w:r w:rsidRPr="00F853DD">
        <w:rPr>
          <w:rFonts w:ascii="Times" w:hAnsi="Times" w:cs="Times New Roman"/>
          <w:i/>
          <w:sz w:val="23"/>
          <w:szCs w:val="23"/>
        </w:rPr>
        <w:t>Journal of European Social Policy</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(3), 294-308.</w:t>
      </w:r>
    </w:p>
    <w:p w14:paraId="4AD2D0A1" w14:textId="68EACDE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Szydlik, M.</w:t>
      </w:r>
      <w:r w:rsidR="008F4C2E" w:rsidRPr="00F853DD">
        <w:rPr>
          <w:rFonts w:ascii="Times" w:hAnsi="Times" w:cs="Times New Roman"/>
          <w:sz w:val="23"/>
          <w:szCs w:val="23"/>
        </w:rPr>
        <w:t>,</w:t>
      </w:r>
      <w:r w:rsidRPr="00F853DD">
        <w:rPr>
          <w:rFonts w:ascii="Times" w:hAnsi="Times" w:cs="Times New Roman"/>
          <w:sz w:val="23"/>
          <w:szCs w:val="23"/>
        </w:rPr>
        <w:t xml:space="preserve"> (2008). Intergenerational solidarity and conflict. </w:t>
      </w:r>
      <w:r w:rsidRPr="00F853DD">
        <w:rPr>
          <w:rFonts w:ascii="Times" w:hAnsi="Times" w:cs="Times New Roman"/>
          <w:i/>
          <w:sz w:val="23"/>
          <w:szCs w:val="23"/>
        </w:rPr>
        <w:t>Journal of Comparative Family Studies</w:t>
      </w:r>
      <w:r w:rsidR="008F4C2E" w:rsidRPr="00F853DD">
        <w:rPr>
          <w:rFonts w:ascii="Times" w:hAnsi="Times" w:cs="Times New Roman"/>
          <w:sz w:val="23"/>
          <w:szCs w:val="23"/>
        </w:rPr>
        <w:t>.</w:t>
      </w:r>
      <w:r w:rsidRPr="00F853DD">
        <w:rPr>
          <w:rFonts w:ascii="Times" w:hAnsi="Times" w:cs="Times New Roman"/>
          <w:sz w:val="23"/>
          <w:szCs w:val="23"/>
        </w:rPr>
        <w:t xml:space="preserve"> 97-114.</w:t>
      </w:r>
    </w:p>
    <w:p w14:paraId="149A7F9E" w14:textId="7A9218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Takagi, E. and Saito, Y.</w:t>
      </w:r>
      <w:r w:rsidR="008F4C2E" w:rsidRPr="00F853DD">
        <w:rPr>
          <w:rFonts w:ascii="Times" w:hAnsi="Times" w:cs="Times New Roman"/>
          <w:sz w:val="23"/>
          <w:szCs w:val="23"/>
        </w:rPr>
        <w:t>,</w:t>
      </w:r>
      <w:r w:rsidRPr="00F853DD">
        <w:rPr>
          <w:rFonts w:ascii="Times" w:hAnsi="Times" w:cs="Times New Roman"/>
          <w:sz w:val="23"/>
          <w:szCs w:val="23"/>
        </w:rPr>
        <w:t xml:space="preserve"> (2013). A longitudinal analysis of the impact of family support on the morale of older parents in Japan: does the parent's normative belief in filial responsibilities make a difference? </w:t>
      </w:r>
      <w:r w:rsidRPr="00F853DD">
        <w:rPr>
          <w:rFonts w:ascii="Times" w:hAnsi="Times" w:cs="Times New Roman"/>
          <w:i/>
          <w:sz w:val="23"/>
          <w:szCs w:val="23"/>
        </w:rPr>
        <w:t>Ageing and Society</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 1053-1076.</w:t>
      </w:r>
    </w:p>
    <w:p w14:paraId="061E7CAF" w14:textId="38362D4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Takagi, E. and Silverstein, M.</w:t>
      </w:r>
      <w:r w:rsidR="008F4C2E" w:rsidRPr="00F853DD">
        <w:rPr>
          <w:rFonts w:ascii="Times" w:hAnsi="Times" w:cs="Times New Roman"/>
          <w:sz w:val="23"/>
          <w:szCs w:val="23"/>
        </w:rPr>
        <w:t>,</w:t>
      </w:r>
      <w:r w:rsidRPr="00F853DD">
        <w:rPr>
          <w:rFonts w:ascii="Times" w:hAnsi="Times" w:cs="Times New Roman"/>
          <w:sz w:val="23"/>
          <w:szCs w:val="23"/>
        </w:rPr>
        <w:t xml:space="preserve"> (2011). Pu</w:t>
      </w:r>
      <w:r w:rsidR="00A90B9F" w:rsidRPr="00F853DD">
        <w:rPr>
          <w:rFonts w:ascii="Times" w:hAnsi="Times" w:cs="Times New Roman"/>
          <w:sz w:val="23"/>
          <w:szCs w:val="23"/>
        </w:rPr>
        <w:t>rchasing piety? Coresidence of m</w:t>
      </w:r>
      <w:r w:rsidRPr="00F853DD">
        <w:rPr>
          <w:rFonts w:ascii="Times" w:hAnsi="Times" w:cs="Times New Roman"/>
          <w:sz w:val="23"/>
          <w:szCs w:val="23"/>
        </w:rPr>
        <w:t xml:space="preserve">arried </w:t>
      </w:r>
      <w:r w:rsidR="00A90B9F" w:rsidRPr="00F853DD">
        <w:rPr>
          <w:rFonts w:ascii="Times" w:hAnsi="Times" w:cs="Times New Roman"/>
          <w:sz w:val="23"/>
          <w:szCs w:val="23"/>
        </w:rPr>
        <w:t>c</w:t>
      </w:r>
      <w:r w:rsidRPr="00F853DD">
        <w:rPr>
          <w:rFonts w:ascii="Times" w:hAnsi="Times" w:cs="Times New Roman"/>
          <w:sz w:val="23"/>
          <w:szCs w:val="23"/>
        </w:rPr>
        <w:t xml:space="preserve">hildren </w:t>
      </w:r>
      <w:r w:rsidR="00A90B9F" w:rsidRPr="00F853DD">
        <w:rPr>
          <w:rFonts w:ascii="Times" w:hAnsi="Times" w:cs="Times New Roman"/>
          <w:sz w:val="23"/>
          <w:szCs w:val="23"/>
        </w:rPr>
        <w:t>with t</w:t>
      </w:r>
      <w:r w:rsidRPr="00F853DD">
        <w:rPr>
          <w:rFonts w:ascii="Times" w:hAnsi="Times" w:cs="Times New Roman"/>
          <w:sz w:val="23"/>
          <w:szCs w:val="23"/>
        </w:rPr>
        <w:t xml:space="preserve">heir </w:t>
      </w:r>
      <w:r w:rsidR="00A90B9F" w:rsidRPr="00F853DD">
        <w:rPr>
          <w:rFonts w:ascii="Times" w:hAnsi="Times" w:cs="Times New Roman"/>
          <w:sz w:val="23"/>
          <w:szCs w:val="23"/>
        </w:rPr>
        <w:t>o</w:t>
      </w:r>
      <w:r w:rsidRPr="00F853DD">
        <w:rPr>
          <w:rFonts w:ascii="Times" w:hAnsi="Times" w:cs="Times New Roman"/>
          <w:sz w:val="23"/>
          <w:szCs w:val="23"/>
        </w:rPr>
        <w:t xml:space="preserve">lder </w:t>
      </w:r>
      <w:r w:rsidR="00A90B9F" w:rsidRPr="00F853DD">
        <w:rPr>
          <w:rFonts w:ascii="Times" w:hAnsi="Times" w:cs="Times New Roman"/>
          <w:sz w:val="23"/>
          <w:szCs w:val="23"/>
        </w:rPr>
        <w:t>p</w:t>
      </w:r>
      <w:r w:rsidRPr="00F853DD">
        <w:rPr>
          <w:rFonts w:ascii="Times" w:hAnsi="Times" w:cs="Times New Roman"/>
          <w:sz w:val="23"/>
          <w:szCs w:val="23"/>
        </w:rPr>
        <w:t xml:space="preserve">arents in Japan. </w:t>
      </w:r>
      <w:r w:rsidRPr="00F853DD">
        <w:rPr>
          <w:rFonts w:ascii="Times" w:hAnsi="Times" w:cs="Times New Roman"/>
          <w:i/>
          <w:sz w:val="23"/>
          <w:szCs w:val="23"/>
        </w:rPr>
        <w:t>Demography</w:t>
      </w:r>
      <w:r w:rsidR="008F4C2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48</w:t>
      </w:r>
      <w:r w:rsidRPr="00F853DD">
        <w:rPr>
          <w:rFonts w:ascii="Times" w:hAnsi="Times" w:cs="Times New Roman"/>
          <w:sz w:val="23"/>
          <w:szCs w:val="23"/>
        </w:rPr>
        <w:t>, 1559-1579.</w:t>
      </w:r>
    </w:p>
    <w:p w14:paraId="5AA20676" w14:textId="643C2DD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Tan, H., Bloomer, M., Digby, R. and O'Connor, M.</w:t>
      </w:r>
      <w:r w:rsidR="00A90B9F" w:rsidRPr="00F853DD">
        <w:rPr>
          <w:rFonts w:ascii="Times" w:hAnsi="Times" w:cs="Times New Roman"/>
          <w:sz w:val="23"/>
          <w:szCs w:val="23"/>
        </w:rPr>
        <w:t>, (2014). End-of-life c</w:t>
      </w:r>
      <w:r w:rsidRPr="00F853DD">
        <w:rPr>
          <w:rFonts w:ascii="Times" w:hAnsi="Times" w:cs="Times New Roman"/>
          <w:sz w:val="23"/>
          <w:szCs w:val="23"/>
        </w:rPr>
        <w:t>are in an Australian rehabilitation fac</w:t>
      </w:r>
      <w:r w:rsidR="00A90B9F" w:rsidRPr="00F853DD">
        <w:rPr>
          <w:rFonts w:ascii="Times" w:hAnsi="Times" w:cs="Times New Roman"/>
          <w:sz w:val="23"/>
          <w:szCs w:val="23"/>
        </w:rPr>
        <w:t>ility for older people: s</w:t>
      </w:r>
      <w:r w:rsidRPr="00F853DD">
        <w:rPr>
          <w:rFonts w:ascii="Times" w:hAnsi="Times" w:cs="Times New Roman"/>
          <w:sz w:val="23"/>
          <w:szCs w:val="23"/>
        </w:rPr>
        <w:t xml:space="preserve">taff focus groups. </w:t>
      </w:r>
      <w:r w:rsidRPr="00F853DD">
        <w:rPr>
          <w:rFonts w:ascii="Times" w:hAnsi="Times" w:cs="Times New Roman"/>
          <w:i/>
          <w:sz w:val="23"/>
          <w:szCs w:val="23"/>
        </w:rPr>
        <w:t>Death Studies</w:t>
      </w:r>
      <w:r w:rsidR="00A90B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 186-193.</w:t>
      </w:r>
    </w:p>
    <w:p w14:paraId="14DEC240" w14:textId="1A0DEFD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Tan, J., Lim, H., Kuek, N., Kua, E. and Mahendran, R.</w:t>
      </w:r>
      <w:r w:rsidR="00A90B9F" w:rsidRPr="00F853DD">
        <w:rPr>
          <w:rFonts w:ascii="Times" w:hAnsi="Times" w:cs="Times New Roman"/>
          <w:sz w:val="23"/>
          <w:szCs w:val="23"/>
        </w:rPr>
        <w:t>,</w:t>
      </w:r>
      <w:r w:rsidRPr="00F853DD">
        <w:rPr>
          <w:rFonts w:ascii="Times" w:hAnsi="Times" w:cs="Times New Roman"/>
          <w:sz w:val="23"/>
          <w:szCs w:val="23"/>
        </w:rPr>
        <w:t xml:space="preserve"> (2015). Caring for the caregiver while caring for the patient: exploring the dyadic relationship between patient spirituality and caregiver quality of life. </w:t>
      </w:r>
      <w:r w:rsidRPr="00F853DD">
        <w:rPr>
          <w:rFonts w:ascii="Times" w:hAnsi="Times" w:cs="Times New Roman"/>
          <w:i/>
          <w:sz w:val="23"/>
          <w:szCs w:val="23"/>
        </w:rPr>
        <w:t>Supportive Care in Cancer</w:t>
      </w:r>
      <w:r w:rsidR="00A90B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3403-3406.</w:t>
      </w:r>
    </w:p>
    <w:p w14:paraId="40CEBB83" w14:textId="482918D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Tarlow, B., Wisniewski, S., Belle, S., Rubert, M., Ory, M. and Gallagher-Thompson, D.</w:t>
      </w:r>
      <w:r w:rsidR="00A90B9F" w:rsidRPr="00F853DD">
        <w:rPr>
          <w:rFonts w:ascii="Times" w:hAnsi="Times" w:cs="Times New Roman"/>
          <w:sz w:val="23"/>
          <w:szCs w:val="23"/>
        </w:rPr>
        <w:t>,</w:t>
      </w:r>
      <w:r w:rsidRPr="00F853DD">
        <w:rPr>
          <w:rFonts w:ascii="Times" w:hAnsi="Times" w:cs="Times New Roman"/>
          <w:sz w:val="23"/>
          <w:szCs w:val="23"/>
        </w:rPr>
        <w:t xml:space="preserve"> (2004). Positive </w:t>
      </w:r>
      <w:r w:rsidR="00A90B9F" w:rsidRPr="00F853DD">
        <w:rPr>
          <w:rFonts w:ascii="Times" w:hAnsi="Times" w:cs="Times New Roman"/>
          <w:sz w:val="23"/>
          <w:szCs w:val="23"/>
        </w:rPr>
        <w:t>a</w:t>
      </w:r>
      <w:r w:rsidRPr="00F853DD">
        <w:rPr>
          <w:rFonts w:ascii="Times" w:hAnsi="Times" w:cs="Times New Roman"/>
          <w:sz w:val="23"/>
          <w:szCs w:val="23"/>
        </w:rPr>
        <w:t xml:space="preserve">spects of </w:t>
      </w:r>
      <w:r w:rsidR="00A90B9F" w:rsidRPr="00F853DD">
        <w:rPr>
          <w:rFonts w:ascii="Times" w:hAnsi="Times" w:cs="Times New Roman"/>
          <w:sz w:val="23"/>
          <w:szCs w:val="23"/>
        </w:rPr>
        <w:t>c</w:t>
      </w:r>
      <w:r w:rsidRPr="00F853DD">
        <w:rPr>
          <w:rFonts w:ascii="Times" w:hAnsi="Times" w:cs="Times New Roman"/>
          <w:sz w:val="23"/>
          <w:szCs w:val="23"/>
        </w:rPr>
        <w:t xml:space="preserve">aregiving. </w:t>
      </w:r>
      <w:r w:rsidRPr="00F853DD">
        <w:rPr>
          <w:rFonts w:ascii="Times" w:hAnsi="Times" w:cs="Times New Roman"/>
          <w:i/>
          <w:sz w:val="23"/>
          <w:szCs w:val="23"/>
        </w:rPr>
        <w:t>Research on Aging</w:t>
      </w:r>
      <w:r w:rsidR="00A90B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429-453.</w:t>
      </w:r>
    </w:p>
    <w:p w14:paraId="55FC5526" w14:textId="60FB93A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Taube, E., Kristensson, J., Sandberg, M., Midlov, P. and Jakobsson, U.</w:t>
      </w:r>
      <w:r w:rsidR="00A90B9F" w:rsidRPr="00F853DD">
        <w:rPr>
          <w:rFonts w:ascii="Times" w:hAnsi="Times" w:cs="Times New Roman"/>
          <w:sz w:val="23"/>
          <w:szCs w:val="23"/>
        </w:rPr>
        <w:t>,</w:t>
      </w:r>
      <w:r w:rsidRPr="00F853DD">
        <w:rPr>
          <w:rFonts w:ascii="Times" w:hAnsi="Times" w:cs="Times New Roman"/>
          <w:sz w:val="23"/>
          <w:szCs w:val="23"/>
        </w:rPr>
        <w:t xml:space="preserve"> (2015). Loneliness and health care consumption among older people. </w:t>
      </w:r>
      <w:r w:rsidRPr="00F853DD">
        <w:rPr>
          <w:rFonts w:ascii="Times" w:hAnsi="Times" w:cs="Times New Roman"/>
          <w:i/>
          <w:sz w:val="23"/>
          <w:szCs w:val="23"/>
        </w:rPr>
        <w:t>Scandinavian Journal of Caring Sciences</w:t>
      </w:r>
      <w:r w:rsidR="00A90B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435-443.</w:t>
      </w:r>
    </w:p>
    <w:p w14:paraId="4C5B745C" w14:textId="5E5D613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Taylor, R., Chatters, L., Woodward, A. and Brown, E.</w:t>
      </w:r>
      <w:r w:rsidR="00A90B9F" w:rsidRPr="00F853DD">
        <w:rPr>
          <w:rFonts w:ascii="Times" w:hAnsi="Times" w:cs="Times New Roman"/>
          <w:sz w:val="23"/>
          <w:szCs w:val="23"/>
        </w:rPr>
        <w:t>,</w:t>
      </w:r>
      <w:r w:rsidRPr="00F853DD">
        <w:rPr>
          <w:rFonts w:ascii="Times" w:hAnsi="Times" w:cs="Times New Roman"/>
          <w:sz w:val="23"/>
          <w:szCs w:val="23"/>
        </w:rPr>
        <w:t xml:space="preserve"> (2013). Racial and </w:t>
      </w:r>
      <w:r w:rsidR="00A90B9F" w:rsidRPr="00F853DD">
        <w:rPr>
          <w:rFonts w:ascii="Times" w:hAnsi="Times" w:cs="Times New Roman"/>
          <w:sz w:val="23"/>
          <w:szCs w:val="23"/>
        </w:rPr>
        <w:t>e</w:t>
      </w:r>
      <w:r w:rsidRPr="00F853DD">
        <w:rPr>
          <w:rFonts w:ascii="Times" w:hAnsi="Times" w:cs="Times New Roman"/>
          <w:sz w:val="23"/>
          <w:szCs w:val="23"/>
        </w:rPr>
        <w:t xml:space="preserve">thnic </w:t>
      </w:r>
      <w:r w:rsidR="00A90B9F" w:rsidRPr="00F853DD">
        <w:rPr>
          <w:rFonts w:ascii="Times" w:hAnsi="Times" w:cs="Times New Roman"/>
          <w:sz w:val="23"/>
          <w:szCs w:val="23"/>
        </w:rPr>
        <w:t>d</w:t>
      </w:r>
      <w:r w:rsidRPr="00F853DD">
        <w:rPr>
          <w:rFonts w:ascii="Times" w:hAnsi="Times" w:cs="Times New Roman"/>
          <w:sz w:val="23"/>
          <w:szCs w:val="23"/>
        </w:rPr>
        <w:t xml:space="preserve">ifferences in </w:t>
      </w:r>
      <w:r w:rsidR="00A90B9F" w:rsidRPr="00F853DD">
        <w:rPr>
          <w:rFonts w:ascii="Times" w:hAnsi="Times" w:cs="Times New Roman"/>
          <w:sz w:val="23"/>
          <w:szCs w:val="23"/>
        </w:rPr>
        <w:t>e</w:t>
      </w:r>
      <w:r w:rsidRPr="00F853DD">
        <w:rPr>
          <w:rFonts w:ascii="Times" w:hAnsi="Times" w:cs="Times New Roman"/>
          <w:sz w:val="23"/>
          <w:szCs w:val="23"/>
        </w:rPr>
        <w:t xml:space="preserve">xtended </w:t>
      </w:r>
      <w:r w:rsidR="00A90B9F" w:rsidRPr="00F853DD">
        <w:rPr>
          <w:rFonts w:ascii="Times" w:hAnsi="Times" w:cs="Times New Roman"/>
          <w:sz w:val="23"/>
          <w:szCs w:val="23"/>
        </w:rPr>
        <w:t>f</w:t>
      </w:r>
      <w:r w:rsidRPr="00F853DD">
        <w:rPr>
          <w:rFonts w:ascii="Times" w:hAnsi="Times" w:cs="Times New Roman"/>
          <w:sz w:val="23"/>
          <w:szCs w:val="23"/>
        </w:rPr>
        <w:t xml:space="preserve">amily, </w:t>
      </w:r>
      <w:r w:rsidR="00A90B9F" w:rsidRPr="00F853DD">
        <w:rPr>
          <w:rFonts w:ascii="Times" w:hAnsi="Times" w:cs="Times New Roman"/>
          <w:sz w:val="23"/>
          <w:szCs w:val="23"/>
        </w:rPr>
        <w:t>f</w:t>
      </w:r>
      <w:r w:rsidRPr="00F853DD">
        <w:rPr>
          <w:rFonts w:ascii="Times" w:hAnsi="Times" w:cs="Times New Roman"/>
          <w:sz w:val="23"/>
          <w:szCs w:val="23"/>
        </w:rPr>
        <w:t xml:space="preserve">riendship, </w:t>
      </w:r>
      <w:r w:rsidR="00A90B9F" w:rsidRPr="00F853DD">
        <w:rPr>
          <w:rFonts w:ascii="Times" w:hAnsi="Times" w:cs="Times New Roman"/>
          <w:sz w:val="23"/>
          <w:szCs w:val="23"/>
        </w:rPr>
        <w:t>fictive k</w:t>
      </w:r>
      <w:r w:rsidRPr="00F853DD">
        <w:rPr>
          <w:rFonts w:ascii="Times" w:hAnsi="Times" w:cs="Times New Roman"/>
          <w:sz w:val="23"/>
          <w:szCs w:val="23"/>
        </w:rPr>
        <w:t xml:space="preserve">in, and </w:t>
      </w:r>
      <w:r w:rsidR="00A90B9F" w:rsidRPr="00F853DD">
        <w:rPr>
          <w:rFonts w:ascii="Times" w:hAnsi="Times" w:cs="Times New Roman"/>
          <w:sz w:val="23"/>
          <w:szCs w:val="23"/>
        </w:rPr>
        <w:t>congregational informal support n</w:t>
      </w:r>
      <w:r w:rsidRPr="00F853DD">
        <w:rPr>
          <w:rFonts w:ascii="Times" w:hAnsi="Times" w:cs="Times New Roman"/>
          <w:sz w:val="23"/>
          <w:szCs w:val="23"/>
        </w:rPr>
        <w:t xml:space="preserve">etworks. </w:t>
      </w:r>
      <w:r w:rsidRPr="00F853DD">
        <w:rPr>
          <w:rFonts w:ascii="Times" w:hAnsi="Times" w:cs="Times New Roman"/>
          <w:i/>
          <w:sz w:val="23"/>
          <w:szCs w:val="23"/>
        </w:rPr>
        <w:t>Family Relations</w:t>
      </w:r>
      <w:r w:rsidR="00A90B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62</w:t>
      </w:r>
      <w:r w:rsidRPr="00F853DD">
        <w:rPr>
          <w:rFonts w:ascii="Times" w:hAnsi="Times" w:cs="Times New Roman"/>
          <w:sz w:val="23"/>
          <w:szCs w:val="23"/>
        </w:rPr>
        <w:t>, 609-624.</w:t>
      </w:r>
    </w:p>
    <w:p w14:paraId="6B8BDA4A" w14:textId="4E1B7B2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Taylor, S.</w:t>
      </w:r>
      <w:r w:rsidR="00A90B9F" w:rsidRPr="00F853DD">
        <w:rPr>
          <w:rFonts w:ascii="Times" w:hAnsi="Times" w:cs="Times New Roman"/>
          <w:sz w:val="23"/>
          <w:szCs w:val="23"/>
        </w:rPr>
        <w:t>,</w:t>
      </w:r>
      <w:r w:rsidRPr="00F853DD">
        <w:rPr>
          <w:rFonts w:ascii="Times" w:hAnsi="Times" w:cs="Times New Roman"/>
          <w:sz w:val="23"/>
          <w:szCs w:val="23"/>
        </w:rPr>
        <w:t xml:space="preserve"> (1998). </w:t>
      </w:r>
      <w:r w:rsidRPr="00F853DD">
        <w:rPr>
          <w:rFonts w:ascii="Times" w:hAnsi="Times" w:cs="Times New Roman"/>
          <w:i/>
          <w:sz w:val="23"/>
          <w:szCs w:val="23"/>
        </w:rPr>
        <w:t xml:space="preserve">Coping </w:t>
      </w:r>
      <w:r w:rsidR="00A90B9F" w:rsidRPr="00F853DD">
        <w:rPr>
          <w:rFonts w:ascii="Times" w:hAnsi="Times" w:cs="Times New Roman"/>
          <w:i/>
          <w:sz w:val="23"/>
          <w:szCs w:val="23"/>
        </w:rPr>
        <w:t>s</w:t>
      </w:r>
      <w:r w:rsidRPr="00F853DD">
        <w:rPr>
          <w:rFonts w:ascii="Times" w:hAnsi="Times" w:cs="Times New Roman"/>
          <w:i/>
          <w:sz w:val="23"/>
          <w:szCs w:val="23"/>
        </w:rPr>
        <w:t>trategies</w:t>
      </w:r>
      <w:r w:rsidR="00A90B9F" w:rsidRPr="00F853DD">
        <w:rPr>
          <w:rFonts w:ascii="Times" w:hAnsi="Times" w:cs="Times New Roman"/>
          <w:i/>
          <w:sz w:val="23"/>
          <w:szCs w:val="23"/>
        </w:rPr>
        <w:t>.</w:t>
      </w:r>
      <w:r w:rsidRPr="00F853DD">
        <w:rPr>
          <w:rFonts w:ascii="Times" w:hAnsi="Times" w:cs="Times New Roman"/>
          <w:sz w:val="23"/>
          <w:szCs w:val="23"/>
        </w:rPr>
        <w:t xml:space="preserve"> University of California, San Francisco</w:t>
      </w:r>
      <w:r w:rsidR="00A90B9F" w:rsidRPr="00F853DD">
        <w:rPr>
          <w:rFonts w:ascii="Times" w:hAnsi="Times" w:cs="Times New Roman"/>
          <w:sz w:val="23"/>
          <w:szCs w:val="23"/>
        </w:rPr>
        <w:t xml:space="preserve"> [online].</w:t>
      </w:r>
      <w:r w:rsidRPr="00F853DD">
        <w:rPr>
          <w:rFonts w:ascii="Times" w:hAnsi="Times" w:cs="Times New Roman"/>
          <w:sz w:val="23"/>
          <w:szCs w:val="23"/>
        </w:rPr>
        <w:t xml:space="preserve">. [Viewed 24 June 2017]. Available from: http://www.macses.ucsf.edu/research/psychosocial/coping.php. </w:t>
      </w:r>
    </w:p>
    <w:p w14:paraId="6F424629" w14:textId="28F8699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Tebb, S. and Jivanjee, P.</w:t>
      </w:r>
      <w:r w:rsidR="00A90B9F" w:rsidRPr="00F853DD">
        <w:rPr>
          <w:rFonts w:ascii="Times" w:hAnsi="Times" w:cs="Times New Roman"/>
          <w:sz w:val="23"/>
          <w:szCs w:val="23"/>
        </w:rPr>
        <w:t>, (2000). Caregiver i</w:t>
      </w:r>
      <w:r w:rsidRPr="00F853DD">
        <w:rPr>
          <w:rFonts w:ascii="Times" w:hAnsi="Times" w:cs="Times New Roman"/>
          <w:sz w:val="23"/>
          <w:szCs w:val="23"/>
        </w:rPr>
        <w:t xml:space="preserve">solation. </w:t>
      </w:r>
      <w:r w:rsidRPr="00F853DD">
        <w:rPr>
          <w:rFonts w:ascii="Times" w:hAnsi="Times" w:cs="Times New Roman"/>
          <w:i/>
          <w:sz w:val="23"/>
          <w:szCs w:val="23"/>
        </w:rPr>
        <w:t>Journal of Gerontological Social Work</w:t>
      </w:r>
      <w:r w:rsidR="00A90B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 51-72.</w:t>
      </w:r>
    </w:p>
    <w:p w14:paraId="5C8A87B5" w14:textId="5CF6C28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Teh, J., Tey, N. and Ng, S.</w:t>
      </w:r>
      <w:r w:rsidR="00A90B9F" w:rsidRPr="00F853DD">
        <w:rPr>
          <w:rFonts w:ascii="Times" w:hAnsi="Times" w:cs="Times New Roman"/>
          <w:sz w:val="23"/>
          <w:szCs w:val="23"/>
        </w:rPr>
        <w:t>,</w:t>
      </w:r>
      <w:r w:rsidRPr="00F853DD">
        <w:rPr>
          <w:rFonts w:ascii="Times" w:hAnsi="Times" w:cs="Times New Roman"/>
          <w:sz w:val="23"/>
          <w:szCs w:val="23"/>
        </w:rPr>
        <w:t xml:space="preserve"> (2014). Family support and loneliness among older persons in multi ethnic Malaysia. </w:t>
      </w:r>
      <w:r w:rsidRPr="00F853DD">
        <w:rPr>
          <w:rFonts w:ascii="Times" w:hAnsi="Times" w:cs="Times New Roman"/>
          <w:i/>
          <w:sz w:val="23"/>
          <w:szCs w:val="23"/>
        </w:rPr>
        <w:t>The Scientific World Journal</w:t>
      </w:r>
      <w:r w:rsidR="00A90B9F" w:rsidRPr="00F853DD">
        <w:rPr>
          <w:rFonts w:ascii="Times" w:hAnsi="Times" w:cs="Times New Roman"/>
          <w:sz w:val="23"/>
          <w:szCs w:val="23"/>
        </w:rPr>
        <w:t>.</w:t>
      </w:r>
      <w:r w:rsidRPr="00F853DD">
        <w:rPr>
          <w:rFonts w:ascii="Times" w:hAnsi="Times" w:cs="Times New Roman"/>
          <w:sz w:val="23"/>
          <w:szCs w:val="23"/>
        </w:rPr>
        <w:t xml:space="preserve"> 654382.</w:t>
      </w:r>
    </w:p>
    <w:p w14:paraId="49850B7C" w14:textId="152232E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Tennstedt, S., Crawford, S. and McKinlay, J.</w:t>
      </w:r>
      <w:r w:rsidR="00A90B9F" w:rsidRPr="00F853DD">
        <w:rPr>
          <w:rFonts w:ascii="Times" w:hAnsi="Times" w:cs="Times New Roman"/>
          <w:sz w:val="23"/>
          <w:szCs w:val="23"/>
        </w:rPr>
        <w:t>,</w:t>
      </w:r>
      <w:r w:rsidRPr="00F853DD">
        <w:rPr>
          <w:rFonts w:ascii="Times" w:hAnsi="Times" w:cs="Times New Roman"/>
          <w:sz w:val="23"/>
          <w:szCs w:val="23"/>
        </w:rPr>
        <w:t xml:space="preserve"> (1993). Is family care on the decline? A longitudinal investigation of the substitution of formal long-term care services for informal care. </w:t>
      </w:r>
      <w:r w:rsidRPr="00F853DD">
        <w:rPr>
          <w:rFonts w:ascii="Times" w:hAnsi="Times" w:cs="Times New Roman"/>
          <w:i/>
          <w:sz w:val="23"/>
          <w:szCs w:val="23"/>
        </w:rPr>
        <w:t>Milbank Quarterly</w:t>
      </w:r>
      <w:r w:rsidR="00A90B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71</w:t>
      </w:r>
      <w:r w:rsidRPr="00F853DD">
        <w:rPr>
          <w:rFonts w:ascii="Times" w:hAnsi="Times" w:cs="Times New Roman"/>
          <w:sz w:val="23"/>
          <w:szCs w:val="23"/>
        </w:rPr>
        <w:t>, 601-624.</w:t>
      </w:r>
    </w:p>
    <w:p w14:paraId="101680FF" w14:textId="405075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Teo, Y.</w:t>
      </w:r>
      <w:r w:rsidR="00A90B9F" w:rsidRPr="00F853DD">
        <w:rPr>
          <w:rFonts w:ascii="Times" w:hAnsi="Times" w:cs="Times New Roman"/>
          <w:sz w:val="23"/>
          <w:szCs w:val="23"/>
        </w:rPr>
        <w:t>,</w:t>
      </w:r>
      <w:r w:rsidRPr="00F853DD">
        <w:rPr>
          <w:rFonts w:ascii="Times" w:hAnsi="Times" w:cs="Times New Roman"/>
          <w:sz w:val="23"/>
          <w:szCs w:val="23"/>
        </w:rPr>
        <w:t xml:space="preserve"> (2013). Support for deserving families: inventing the anti-welfare familialist state in Singapore. </w:t>
      </w:r>
      <w:r w:rsidRPr="00F853DD">
        <w:rPr>
          <w:rFonts w:ascii="Times" w:hAnsi="Times" w:cs="Times New Roman"/>
          <w:i/>
          <w:sz w:val="23"/>
          <w:szCs w:val="23"/>
        </w:rPr>
        <w:t>Social Politics</w:t>
      </w:r>
      <w:r w:rsidR="00A90B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(3), 387-406.</w:t>
      </w:r>
    </w:p>
    <w:p w14:paraId="4A5F6E29" w14:textId="446E1D7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Tesch-Roemer, C.</w:t>
      </w:r>
      <w:r w:rsidR="00A90B9F" w:rsidRPr="00F853DD">
        <w:rPr>
          <w:rFonts w:ascii="Times" w:hAnsi="Times" w:cs="Times New Roman"/>
          <w:sz w:val="23"/>
          <w:szCs w:val="23"/>
        </w:rPr>
        <w:t>,</w:t>
      </w:r>
      <w:r w:rsidRPr="00F853DD">
        <w:rPr>
          <w:rFonts w:ascii="Times" w:hAnsi="Times" w:cs="Times New Roman"/>
          <w:sz w:val="23"/>
          <w:szCs w:val="23"/>
        </w:rPr>
        <w:t xml:space="preserve"> (2018). Who cares? The role of family carers and elder care professionals in Europe. </w:t>
      </w:r>
      <w:r w:rsidR="004C13CF" w:rsidRPr="00F853DD">
        <w:rPr>
          <w:rFonts w:ascii="Times" w:hAnsi="Times" w:cs="Times New Roman"/>
          <w:sz w:val="23"/>
          <w:szCs w:val="23"/>
        </w:rPr>
        <w:t>Innovation in Aging.</w:t>
      </w:r>
      <w:r w:rsidRPr="00F853DD">
        <w:rPr>
          <w:rFonts w:ascii="Times" w:hAnsi="Times" w:cs="Times New Roman"/>
          <w:sz w:val="23"/>
          <w:szCs w:val="23"/>
        </w:rPr>
        <w:t xml:space="preserve"> </w:t>
      </w:r>
      <w:r w:rsidRPr="00F853DD">
        <w:rPr>
          <w:rFonts w:ascii="Times" w:hAnsi="Times" w:cs="Times New Roman"/>
          <w:b/>
          <w:sz w:val="23"/>
          <w:szCs w:val="23"/>
        </w:rPr>
        <w:t>2</w:t>
      </w:r>
      <w:r w:rsidRPr="00F853DD">
        <w:rPr>
          <w:rFonts w:ascii="Times" w:hAnsi="Times" w:cs="Times New Roman"/>
          <w:sz w:val="23"/>
          <w:szCs w:val="23"/>
        </w:rPr>
        <w:t xml:space="preserve"> (1), 197.</w:t>
      </w:r>
    </w:p>
    <w:p w14:paraId="4A11E539" w14:textId="5315490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Tetz, K., Stewart, B., Archbold, P. and Hornbrook, M.</w:t>
      </w:r>
      <w:r w:rsidR="004C13CF" w:rsidRPr="00F853DD">
        <w:rPr>
          <w:rFonts w:ascii="Times" w:hAnsi="Times" w:cs="Times New Roman"/>
          <w:sz w:val="23"/>
          <w:szCs w:val="23"/>
        </w:rPr>
        <w:t>,</w:t>
      </w:r>
      <w:r w:rsidRPr="00F853DD">
        <w:rPr>
          <w:rFonts w:ascii="Times" w:hAnsi="Times" w:cs="Times New Roman"/>
          <w:sz w:val="23"/>
          <w:szCs w:val="23"/>
        </w:rPr>
        <w:t xml:space="preserve"> (2002). Satisfaction of elder care receivers with care received from family caregivers. </w:t>
      </w:r>
      <w:r w:rsidRPr="00F853DD">
        <w:rPr>
          <w:rFonts w:ascii="Times" w:hAnsi="Times" w:cs="Times New Roman"/>
          <w:i/>
          <w:sz w:val="23"/>
          <w:szCs w:val="23"/>
        </w:rPr>
        <w:t>Gerontologist</w:t>
      </w:r>
      <w:r w:rsidR="004C13C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 181.</w:t>
      </w:r>
    </w:p>
    <w:p w14:paraId="2B939CBE" w14:textId="337EA58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Tetz, K., Archbold, P., Stewart, B., Messecar, D., Hornbrook, M. and Lucas, S.</w:t>
      </w:r>
      <w:r w:rsidR="004C13CF" w:rsidRPr="00F853DD">
        <w:rPr>
          <w:rFonts w:ascii="Times" w:hAnsi="Times" w:cs="Times New Roman"/>
          <w:sz w:val="23"/>
          <w:szCs w:val="23"/>
        </w:rPr>
        <w:t>,</w:t>
      </w:r>
      <w:r w:rsidRPr="00F853DD">
        <w:rPr>
          <w:rFonts w:ascii="Times" w:hAnsi="Times" w:cs="Times New Roman"/>
          <w:sz w:val="23"/>
          <w:szCs w:val="23"/>
        </w:rPr>
        <w:t xml:space="preserve"> (2006). How frail elders evaluate their</w:t>
      </w:r>
      <w:r w:rsidR="004C13CF" w:rsidRPr="00F853DD">
        <w:rPr>
          <w:rFonts w:ascii="Times" w:hAnsi="Times" w:cs="Times New Roman"/>
          <w:sz w:val="23"/>
          <w:szCs w:val="23"/>
        </w:rPr>
        <w:t xml:space="preserve"> caregiver's role enactment: a </w:t>
      </w:r>
      <w:r w:rsidRPr="00F853DD">
        <w:rPr>
          <w:rFonts w:ascii="Times" w:hAnsi="Times" w:cs="Times New Roman"/>
          <w:sz w:val="23"/>
          <w:szCs w:val="23"/>
        </w:rPr>
        <w:t xml:space="preserve">scale to measure affection, skill, and attentiveness. </w:t>
      </w:r>
      <w:r w:rsidRPr="00F853DD">
        <w:rPr>
          <w:rFonts w:ascii="Times" w:hAnsi="Times" w:cs="Times New Roman"/>
          <w:i/>
          <w:sz w:val="23"/>
          <w:szCs w:val="23"/>
        </w:rPr>
        <w:t>Journal of Family Nursing</w:t>
      </w:r>
      <w:r w:rsidR="004C13C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 251-275.</w:t>
      </w:r>
    </w:p>
    <w:p w14:paraId="58F0E11D" w14:textId="7AD5ACA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Thai, J., Barnhart, C., Cagle, J. and Smith, A.</w:t>
      </w:r>
      <w:r w:rsidR="004C13CF" w:rsidRPr="00F853DD">
        <w:rPr>
          <w:rFonts w:ascii="Times" w:hAnsi="Times" w:cs="Times New Roman"/>
          <w:sz w:val="23"/>
          <w:szCs w:val="23"/>
        </w:rPr>
        <w:t>, (2016). “</w:t>
      </w:r>
      <w:r w:rsidRPr="00F853DD">
        <w:rPr>
          <w:rFonts w:ascii="Times" w:hAnsi="Times" w:cs="Times New Roman"/>
          <w:sz w:val="23"/>
          <w:szCs w:val="23"/>
        </w:rPr>
        <w:t>It just cons</w:t>
      </w:r>
      <w:r w:rsidR="004C13CF" w:rsidRPr="00F853DD">
        <w:rPr>
          <w:rFonts w:ascii="Times" w:hAnsi="Times" w:cs="Times New Roman"/>
          <w:sz w:val="23"/>
          <w:szCs w:val="23"/>
        </w:rPr>
        <w:t>umes your life”</w:t>
      </w:r>
      <w:r w:rsidRPr="00F853DD">
        <w:rPr>
          <w:rFonts w:ascii="Times" w:hAnsi="Times" w:cs="Times New Roman"/>
          <w:sz w:val="23"/>
          <w:szCs w:val="23"/>
        </w:rPr>
        <w:t xml:space="preserve">: quality of life for informal caregivers of diverse older adults with late-life disability. </w:t>
      </w:r>
      <w:r w:rsidRPr="00F853DD">
        <w:rPr>
          <w:rFonts w:ascii="Times" w:hAnsi="Times" w:cs="Times New Roman"/>
          <w:i/>
          <w:sz w:val="23"/>
          <w:szCs w:val="23"/>
        </w:rPr>
        <w:t>American Journal of Hospice and Palliative Medicine</w:t>
      </w:r>
      <w:r w:rsidR="004C13C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 644-650.</w:t>
      </w:r>
    </w:p>
    <w:p w14:paraId="2BF9094D" w14:textId="49EBC4A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Thang, L. and Yeung, W.</w:t>
      </w:r>
      <w:r w:rsidR="004C13CF" w:rsidRPr="00F853DD">
        <w:rPr>
          <w:rFonts w:ascii="Times" w:hAnsi="Times" w:cs="Times New Roman"/>
          <w:sz w:val="23"/>
          <w:szCs w:val="23"/>
        </w:rPr>
        <w:t>, (2018). Introduction to the special i</w:t>
      </w:r>
      <w:r w:rsidRPr="00F853DD">
        <w:rPr>
          <w:rFonts w:ascii="Times" w:hAnsi="Times" w:cs="Times New Roman"/>
          <w:sz w:val="23"/>
          <w:szCs w:val="23"/>
        </w:rPr>
        <w:t xml:space="preserve">ssue of </w:t>
      </w:r>
      <w:r w:rsidR="004C13CF" w:rsidRPr="00F853DD">
        <w:rPr>
          <w:rFonts w:ascii="Times" w:hAnsi="Times" w:cs="Times New Roman"/>
          <w:sz w:val="23"/>
          <w:szCs w:val="23"/>
        </w:rPr>
        <w:t>the journal of c</w:t>
      </w:r>
      <w:r w:rsidRPr="00F853DD">
        <w:rPr>
          <w:rFonts w:ascii="Times" w:hAnsi="Times" w:cs="Times New Roman"/>
          <w:sz w:val="23"/>
          <w:szCs w:val="23"/>
        </w:rPr>
        <w:t xml:space="preserve">ross </w:t>
      </w:r>
      <w:r w:rsidR="004C13CF" w:rsidRPr="00F853DD">
        <w:rPr>
          <w:rFonts w:ascii="Times" w:hAnsi="Times" w:cs="Times New Roman"/>
          <w:sz w:val="23"/>
          <w:szCs w:val="23"/>
        </w:rPr>
        <w:t>cultural gerontology on elder-care i</w:t>
      </w:r>
      <w:r w:rsidRPr="00F853DD">
        <w:rPr>
          <w:rFonts w:ascii="Times" w:hAnsi="Times" w:cs="Times New Roman"/>
          <w:sz w:val="23"/>
          <w:szCs w:val="23"/>
        </w:rPr>
        <w:t xml:space="preserve">ssues in Southeast and East Asia. </w:t>
      </w:r>
      <w:r w:rsidR="004C13CF" w:rsidRPr="00F853DD">
        <w:rPr>
          <w:rFonts w:ascii="Times" w:hAnsi="Times" w:cs="Times New Roman"/>
          <w:i/>
          <w:sz w:val="23"/>
          <w:szCs w:val="23"/>
        </w:rPr>
        <w:t>Journal of Cross-C</w:t>
      </w:r>
      <w:r w:rsidRPr="00F853DD">
        <w:rPr>
          <w:rFonts w:ascii="Times" w:hAnsi="Times" w:cs="Times New Roman"/>
          <w:i/>
          <w:sz w:val="23"/>
          <w:szCs w:val="23"/>
        </w:rPr>
        <w:t>ultural gerontology</w:t>
      </w:r>
      <w:r w:rsidR="004C13CF" w:rsidRPr="00F853DD">
        <w:rPr>
          <w:rFonts w:ascii="Times" w:hAnsi="Times" w:cs="Times New Roman"/>
          <w:sz w:val="23"/>
          <w:szCs w:val="23"/>
        </w:rPr>
        <w:t>.</w:t>
      </w:r>
      <w:r w:rsidRPr="00F853DD">
        <w:rPr>
          <w:rFonts w:ascii="Times" w:hAnsi="Times" w:cs="Times New Roman"/>
          <w:sz w:val="23"/>
          <w:szCs w:val="23"/>
        </w:rPr>
        <w:t xml:space="preserve"> 1-6.</w:t>
      </w:r>
    </w:p>
    <w:p w14:paraId="0BE69ACE" w14:textId="44D83BF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Theron, L. and Theron, A.</w:t>
      </w:r>
      <w:r w:rsidR="004C13CF" w:rsidRPr="00F853DD">
        <w:rPr>
          <w:rFonts w:ascii="Times" w:hAnsi="Times" w:cs="Times New Roman"/>
          <w:sz w:val="23"/>
          <w:szCs w:val="23"/>
        </w:rPr>
        <w:t>,</w:t>
      </w:r>
      <w:r w:rsidRPr="00F853DD">
        <w:rPr>
          <w:rFonts w:ascii="Times" w:hAnsi="Times" w:cs="Times New Roman"/>
          <w:sz w:val="23"/>
          <w:szCs w:val="23"/>
        </w:rPr>
        <w:t xml:space="preserve"> (2014). Meaning-making and resilience: case studies of a multifaceted process. </w:t>
      </w:r>
      <w:r w:rsidRPr="00F853DD">
        <w:rPr>
          <w:rFonts w:ascii="Times" w:hAnsi="Times" w:cs="Times New Roman"/>
          <w:i/>
          <w:sz w:val="23"/>
          <w:szCs w:val="23"/>
        </w:rPr>
        <w:t>Journal of Psychology in Africa</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24-32.</w:t>
      </w:r>
    </w:p>
    <w:p w14:paraId="28CD7D6C" w14:textId="71F59737" w:rsidR="00DF05BD" w:rsidRPr="00F853DD" w:rsidRDefault="004C13C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Thetford, C., Bennett, K., Hodge, S., Knox, P</w:t>
      </w:r>
      <w:r w:rsidR="00DF05BD" w:rsidRPr="00F853DD">
        <w:rPr>
          <w:rFonts w:ascii="Times" w:hAnsi="Times" w:cs="Times New Roman"/>
          <w:sz w:val="23"/>
          <w:szCs w:val="23"/>
        </w:rPr>
        <w:t>. and Robinson, J.</w:t>
      </w:r>
      <w:r w:rsidRPr="00F853DD">
        <w:rPr>
          <w:rFonts w:ascii="Times" w:hAnsi="Times" w:cs="Times New Roman"/>
          <w:sz w:val="23"/>
          <w:szCs w:val="23"/>
        </w:rPr>
        <w:t>,</w:t>
      </w:r>
      <w:r w:rsidR="00DF05BD" w:rsidRPr="00F853DD">
        <w:rPr>
          <w:rFonts w:ascii="Times" w:hAnsi="Times" w:cs="Times New Roman"/>
          <w:sz w:val="23"/>
          <w:szCs w:val="23"/>
        </w:rPr>
        <w:t xml:space="preserve"> (2015). Resilience and vision impairment in older people. </w:t>
      </w:r>
      <w:r w:rsidR="00DF05BD" w:rsidRPr="00F853DD">
        <w:rPr>
          <w:rFonts w:ascii="Times" w:hAnsi="Times" w:cs="Times New Roman"/>
          <w:i/>
          <w:sz w:val="23"/>
          <w:szCs w:val="23"/>
        </w:rPr>
        <w:t>Journal of Aging Studies</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35</w:t>
      </w:r>
      <w:r w:rsidR="00DF05BD" w:rsidRPr="00F853DD">
        <w:rPr>
          <w:rFonts w:ascii="Times" w:hAnsi="Times" w:cs="Times New Roman"/>
          <w:sz w:val="23"/>
          <w:szCs w:val="23"/>
        </w:rPr>
        <w:t>, 37-48.</w:t>
      </w:r>
    </w:p>
    <w:p w14:paraId="404271BF" w14:textId="3EACEC7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Thoits, P.</w:t>
      </w:r>
      <w:r w:rsidR="00B67E5F" w:rsidRPr="00F853DD">
        <w:rPr>
          <w:rFonts w:ascii="Times" w:hAnsi="Times" w:cs="Times New Roman"/>
          <w:sz w:val="23"/>
          <w:szCs w:val="23"/>
        </w:rPr>
        <w:t>,</w:t>
      </w:r>
      <w:r w:rsidRPr="00F853DD">
        <w:rPr>
          <w:rFonts w:ascii="Times" w:hAnsi="Times" w:cs="Times New Roman"/>
          <w:sz w:val="23"/>
          <w:szCs w:val="23"/>
        </w:rPr>
        <w:t xml:space="preserve"> (1986). Social </w:t>
      </w:r>
      <w:r w:rsidR="00B67E5F" w:rsidRPr="00F853DD">
        <w:rPr>
          <w:rFonts w:ascii="Times" w:hAnsi="Times" w:cs="Times New Roman"/>
          <w:sz w:val="23"/>
          <w:szCs w:val="23"/>
        </w:rPr>
        <w:t>s</w:t>
      </w:r>
      <w:r w:rsidRPr="00F853DD">
        <w:rPr>
          <w:rFonts w:ascii="Times" w:hAnsi="Times" w:cs="Times New Roman"/>
          <w:sz w:val="23"/>
          <w:szCs w:val="23"/>
        </w:rPr>
        <w:t xml:space="preserve">upport as </w:t>
      </w:r>
      <w:r w:rsidR="00B67E5F" w:rsidRPr="00F853DD">
        <w:rPr>
          <w:rFonts w:ascii="Times" w:hAnsi="Times" w:cs="Times New Roman"/>
          <w:sz w:val="23"/>
          <w:szCs w:val="23"/>
        </w:rPr>
        <w:t>coping as</w:t>
      </w:r>
      <w:r w:rsidRPr="00F853DD">
        <w:rPr>
          <w:rFonts w:ascii="Times" w:hAnsi="Times" w:cs="Times New Roman"/>
          <w:sz w:val="23"/>
          <w:szCs w:val="23"/>
        </w:rPr>
        <w:t xml:space="preserve">sistance. </w:t>
      </w:r>
      <w:r w:rsidRPr="00F853DD">
        <w:rPr>
          <w:rFonts w:ascii="Times" w:hAnsi="Times" w:cs="Times New Roman"/>
          <w:i/>
          <w:sz w:val="23"/>
          <w:szCs w:val="23"/>
        </w:rPr>
        <w:t>Journal of Consulting and Clinical Psychology</w:t>
      </w:r>
      <w:r w:rsidR="00B67E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54</w:t>
      </w:r>
      <w:r w:rsidRPr="00F853DD">
        <w:rPr>
          <w:rFonts w:ascii="Times" w:hAnsi="Times" w:cs="Times New Roman"/>
          <w:sz w:val="23"/>
          <w:szCs w:val="23"/>
        </w:rPr>
        <w:t>, 416-423.</w:t>
      </w:r>
    </w:p>
    <w:p w14:paraId="50D7810F" w14:textId="06C1E1B3" w:rsidR="00B67E5F" w:rsidRPr="00F853DD" w:rsidRDefault="00B67E5F" w:rsidP="00B67E5F">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Thoits P., (1989). The sociology of emotions. </w:t>
      </w:r>
      <w:r w:rsidRPr="00F853DD">
        <w:rPr>
          <w:rFonts w:ascii="Times" w:hAnsi="Times" w:cs="Times New Roman"/>
          <w:i/>
          <w:sz w:val="23"/>
          <w:szCs w:val="23"/>
        </w:rPr>
        <w:t>Annual Review of Sociology</w:t>
      </w:r>
      <w:r w:rsidRPr="00F853DD">
        <w:rPr>
          <w:rFonts w:ascii="Times" w:hAnsi="Times" w:cs="Times New Roman"/>
          <w:sz w:val="23"/>
          <w:szCs w:val="23"/>
        </w:rPr>
        <w:t xml:space="preserve"> [online]. </w:t>
      </w:r>
      <w:r w:rsidRPr="00F853DD">
        <w:rPr>
          <w:rFonts w:ascii="Times" w:hAnsi="Times" w:cs="Times New Roman"/>
          <w:b/>
          <w:sz w:val="23"/>
          <w:szCs w:val="23"/>
        </w:rPr>
        <w:t>15</w:t>
      </w:r>
      <w:r w:rsidR="00815C3A" w:rsidRPr="00F853DD">
        <w:rPr>
          <w:rFonts w:ascii="Times" w:hAnsi="Times" w:cs="Times New Roman"/>
          <w:b/>
          <w:sz w:val="23"/>
          <w:szCs w:val="23"/>
        </w:rPr>
        <w:t>(</w:t>
      </w:r>
      <w:r w:rsidR="00815C3A" w:rsidRPr="00F853DD">
        <w:rPr>
          <w:rFonts w:ascii="Times" w:hAnsi="Times" w:cs="Times New Roman"/>
          <w:sz w:val="23"/>
          <w:szCs w:val="23"/>
        </w:rPr>
        <w:t xml:space="preserve">1), 317-342. </w:t>
      </w:r>
      <w:r w:rsidR="00815C3A" w:rsidRPr="00F853DD">
        <w:rPr>
          <w:rFonts w:ascii="Times" w:eastAsiaTheme="minorHAnsi" w:hAnsi="Times" w:cs="Times"/>
          <w:sz w:val="23"/>
          <w:szCs w:val="23"/>
          <w:lang w:eastAsia="en-US"/>
        </w:rPr>
        <w:t>[Viewed 19 November 2017].</w:t>
      </w:r>
      <w:r w:rsidRPr="00F853DD">
        <w:rPr>
          <w:rFonts w:ascii="Times" w:hAnsi="Times" w:cs="Times New Roman"/>
          <w:sz w:val="23"/>
          <w:szCs w:val="23"/>
        </w:rPr>
        <w:t xml:space="preserve"> Available from: </w:t>
      </w:r>
      <w:r w:rsidR="00815C3A" w:rsidRPr="00F853DD">
        <w:rPr>
          <w:rFonts w:ascii="Times" w:hAnsi="Times" w:cs="Times New Roman"/>
          <w:sz w:val="23"/>
          <w:szCs w:val="23"/>
        </w:rPr>
        <w:t>doi: 10.1146/annurev.so.15.080189.001533</w:t>
      </w:r>
    </w:p>
    <w:p w14:paraId="50127E95" w14:textId="2B20D46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Thoits, P.</w:t>
      </w:r>
      <w:r w:rsidR="00B67E5F" w:rsidRPr="00F853DD">
        <w:rPr>
          <w:rFonts w:ascii="Times" w:hAnsi="Times" w:cs="Times New Roman"/>
          <w:sz w:val="23"/>
          <w:szCs w:val="23"/>
        </w:rPr>
        <w:t>, (1995)a. Social psychology: t</w:t>
      </w:r>
      <w:r w:rsidRPr="00F853DD">
        <w:rPr>
          <w:rFonts w:ascii="Times" w:hAnsi="Times" w:cs="Times New Roman"/>
          <w:sz w:val="23"/>
          <w:szCs w:val="23"/>
        </w:rPr>
        <w:t xml:space="preserve">he interplay between sociology and psychology. </w:t>
      </w:r>
      <w:r w:rsidRPr="00F853DD">
        <w:rPr>
          <w:rFonts w:ascii="Times" w:hAnsi="Times" w:cs="Times New Roman"/>
          <w:i/>
          <w:sz w:val="23"/>
          <w:szCs w:val="23"/>
        </w:rPr>
        <w:t>Social Forces</w:t>
      </w:r>
      <w:r w:rsidR="00B67E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73</w:t>
      </w:r>
      <w:r w:rsidRPr="00F853DD">
        <w:rPr>
          <w:rFonts w:ascii="Times" w:hAnsi="Times" w:cs="Times New Roman"/>
          <w:sz w:val="23"/>
          <w:szCs w:val="23"/>
        </w:rPr>
        <w:t>, 1231-1243.</w:t>
      </w:r>
    </w:p>
    <w:p w14:paraId="708EFDEE" w14:textId="6941D3E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Thoits, P.</w:t>
      </w:r>
      <w:r w:rsidR="00B67E5F" w:rsidRPr="00F853DD">
        <w:rPr>
          <w:rFonts w:ascii="Times" w:hAnsi="Times" w:cs="Times New Roman"/>
          <w:sz w:val="23"/>
          <w:szCs w:val="23"/>
        </w:rPr>
        <w:t>,</w:t>
      </w:r>
      <w:r w:rsidRPr="00F853DD">
        <w:rPr>
          <w:rFonts w:ascii="Times" w:hAnsi="Times" w:cs="Times New Roman"/>
          <w:sz w:val="23"/>
          <w:szCs w:val="23"/>
        </w:rPr>
        <w:t xml:space="preserve"> (1995)b. Stress, coping, and social support processes: Where are we? What next? </w:t>
      </w:r>
      <w:r w:rsidRPr="00F853DD">
        <w:rPr>
          <w:rFonts w:ascii="Times" w:hAnsi="Times" w:cs="Times New Roman"/>
          <w:i/>
          <w:sz w:val="23"/>
          <w:szCs w:val="23"/>
        </w:rPr>
        <w:t>Journal of Health and Social Behavior</w:t>
      </w:r>
      <w:r w:rsidR="00B67E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35</w:t>
      </w:r>
      <w:r w:rsidRPr="00F853DD">
        <w:rPr>
          <w:rFonts w:ascii="Times" w:hAnsi="Times" w:cs="Times New Roman"/>
          <w:sz w:val="23"/>
          <w:szCs w:val="23"/>
        </w:rPr>
        <w:t>, 53-79.</w:t>
      </w:r>
    </w:p>
    <w:p w14:paraId="38B09191" w14:textId="259B137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Thoits, P.</w:t>
      </w:r>
      <w:r w:rsidR="00B67E5F" w:rsidRPr="00F853DD">
        <w:rPr>
          <w:rFonts w:ascii="Times" w:hAnsi="Times" w:cs="Times New Roman"/>
          <w:sz w:val="23"/>
          <w:szCs w:val="23"/>
        </w:rPr>
        <w:t>,</w:t>
      </w:r>
      <w:r w:rsidRPr="00F853DD">
        <w:rPr>
          <w:rFonts w:ascii="Times" w:hAnsi="Times" w:cs="Times New Roman"/>
          <w:sz w:val="23"/>
          <w:szCs w:val="23"/>
        </w:rPr>
        <w:t xml:space="preserve"> (2006). Personal agency in the stress process. </w:t>
      </w:r>
      <w:r w:rsidRPr="00F853DD">
        <w:rPr>
          <w:rFonts w:ascii="Times" w:hAnsi="Times" w:cs="Times New Roman"/>
          <w:i/>
          <w:sz w:val="23"/>
          <w:szCs w:val="23"/>
        </w:rPr>
        <w:t>Journal of Health and Social Behavior</w:t>
      </w:r>
      <w:r w:rsidR="00B67E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 309-323.</w:t>
      </w:r>
    </w:p>
    <w:p w14:paraId="68CD3620" w14:textId="00782C36" w:rsidR="00DF05BD" w:rsidRPr="00F853DD" w:rsidRDefault="00B67E5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Thoits, P., </w:t>
      </w:r>
      <w:r w:rsidR="00DF05BD" w:rsidRPr="00F853DD">
        <w:rPr>
          <w:rFonts w:ascii="Times" w:hAnsi="Times" w:cs="Times New Roman"/>
          <w:sz w:val="23"/>
          <w:szCs w:val="23"/>
        </w:rPr>
        <w:t xml:space="preserve">(2010). Stress and health: major findings and policy implications. </w:t>
      </w:r>
      <w:r w:rsidR="00DF05BD" w:rsidRPr="00F853DD">
        <w:rPr>
          <w:rFonts w:ascii="Times" w:hAnsi="Times" w:cs="Times New Roman"/>
          <w:i/>
          <w:sz w:val="23"/>
          <w:szCs w:val="23"/>
        </w:rPr>
        <w:t>Journal of Health and Social Behavior</w:t>
      </w:r>
      <w:r w:rsidRPr="00F853DD">
        <w:rPr>
          <w:rFonts w:ascii="Times" w:hAnsi="Times" w:cs="Times New Roman"/>
          <w:sz w:val="23"/>
          <w:szCs w:val="23"/>
        </w:rPr>
        <w:t>.</w:t>
      </w:r>
      <w:r w:rsidR="00DF05BD" w:rsidRPr="00F853DD">
        <w:rPr>
          <w:rFonts w:ascii="Times" w:hAnsi="Times" w:cs="Times New Roman"/>
          <w:sz w:val="23"/>
          <w:szCs w:val="23"/>
        </w:rPr>
        <w:t xml:space="preserve"> </w:t>
      </w:r>
      <w:r w:rsidR="00DF05BD" w:rsidRPr="00F853DD">
        <w:rPr>
          <w:rFonts w:ascii="Times" w:hAnsi="Times" w:cs="Times New Roman"/>
          <w:b/>
          <w:sz w:val="23"/>
          <w:szCs w:val="23"/>
        </w:rPr>
        <w:t>51</w:t>
      </w:r>
      <w:r w:rsidR="00DF05BD" w:rsidRPr="00F853DD">
        <w:rPr>
          <w:rFonts w:ascii="Times" w:hAnsi="Times" w:cs="Times New Roman"/>
          <w:sz w:val="23"/>
          <w:szCs w:val="23"/>
        </w:rPr>
        <w:t>, S41-S53.</w:t>
      </w:r>
    </w:p>
    <w:p w14:paraId="23A24A49" w14:textId="15C057F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Thoits, P.</w:t>
      </w:r>
      <w:r w:rsidR="00B67E5F" w:rsidRPr="00F853DD">
        <w:rPr>
          <w:rFonts w:ascii="Times" w:hAnsi="Times" w:cs="Times New Roman"/>
          <w:sz w:val="23"/>
          <w:szCs w:val="23"/>
        </w:rPr>
        <w:t>,</w:t>
      </w:r>
      <w:r w:rsidRPr="00F853DD">
        <w:rPr>
          <w:rFonts w:ascii="Times" w:hAnsi="Times" w:cs="Times New Roman"/>
          <w:sz w:val="23"/>
          <w:szCs w:val="23"/>
        </w:rPr>
        <w:t xml:space="preserve"> (2011). Mechanisms linking social ties and support to physical and mental health. </w:t>
      </w:r>
      <w:r w:rsidRPr="00F853DD">
        <w:rPr>
          <w:rFonts w:ascii="Times" w:hAnsi="Times" w:cs="Times New Roman"/>
          <w:i/>
          <w:sz w:val="23"/>
          <w:szCs w:val="23"/>
        </w:rPr>
        <w:t>Journal of Health and Social Behavior</w:t>
      </w:r>
      <w:r w:rsidR="00B67E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52</w:t>
      </w:r>
      <w:r w:rsidRPr="00F853DD">
        <w:rPr>
          <w:rFonts w:ascii="Times" w:hAnsi="Times" w:cs="Times New Roman"/>
          <w:sz w:val="23"/>
          <w:szCs w:val="23"/>
        </w:rPr>
        <w:t>, 145-161.</w:t>
      </w:r>
    </w:p>
    <w:p w14:paraId="24089223" w14:textId="03B2C3F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Thomas, C.</w:t>
      </w:r>
      <w:r w:rsidR="00B67E5F" w:rsidRPr="00F853DD">
        <w:rPr>
          <w:rFonts w:ascii="Times" w:hAnsi="Times" w:cs="Times New Roman"/>
          <w:sz w:val="23"/>
          <w:szCs w:val="23"/>
        </w:rPr>
        <w:t>,</w:t>
      </w:r>
      <w:r w:rsidRPr="00F853DD">
        <w:rPr>
          <w:rFonts w:ascii="Times" w:hAnsi="Times" w:cs="Times New Roman"/>
          <w:sz w:val="23"/>
          <w:szCs w:val="23"/>
        </w:rPr>
        <w:t xml:space="preserve"> (1993). De-constructing concepts of care. </w:t>
      </w:r>
      <w:r w:rsidR="00B67E5F" w:rsidRPr="00F853DD">
        <w:rPr>
          <w:rFonts w:ascii="Times" w:hAnsi="Times" w:cs="Times New Roman"/>
          <w:i/>
          <w:sz w:val="23"/>
          <w:szCs w:val="23"/>
        </w:rPr>
        <w:t>T</w:t>
      </w:r>
      <w:r w:rsidRPr="00F853DD">
        <w:rPr>
          <w:rFonts w:ascii="Times" w:hAnsi="Times" w:cs="Times New Roman"/>
          <w:i/>
          <w:sz w:val="23"/>
          <w:szCs w:val="23"/>
        </w:rPr>
        <w:t>he Journal of the British Sociological Association</w:t>
      </w:r>
      <w:r w:rsidR="00B67E5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 649-669.</w:t>
      </w:r>
    </w:p>
    <w:p w14:paraId="77DB045B" w14:textId="47B7BBB5" w:rsidR="00DF05BD" w:rsidRPr="00F853DD" w:rsidRDefault="007F526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Thomas, K. ,(2014). “Mama caregiva”: a</w:t>
      </w:r>
      <w:r w:rsidR="00DF05BD" w:rsidRPr="00F853DD">
        <w:rPr>
          <w:rFonts w:ascii="Times" w:hAnsi="Times" w:cs="Times New Roman"/>
          <w:sz w:val="23"/>
          <w:szCs w:val="23"/>
        </w:rPr>
        <w:t xml:space="preserve">n investigation of the economic vulnerability of three grandmother caregivers. In: Rawlins and Alea (eds). </w:t>
      </w:r>
      <w:r w:rsidR="00DF05BD" w:rsidRPr="00F853DD">
        <w:rPr>
          <w:rFonts w:ascii="Times" w:hAnsi="Times" w:cs="Times New Roman"/>
          <w:i/>
          <w:sz w:val="23"/>
          <w:szCs w:val="23"/>
        </w:rPr>
        <w:t>Ageing in the Caribbean</w:t>
      </w:r>
      <w:r w:rsidR="00DF05BD" w:rsidRPr="00F853DD">
        <w:rPr>
          <w:rFonts w:ascii="Times" w:hAnsi="Times" w:cs="Times New Roman"/>
          <w:sz w:val="23"/>
          <w:szCs w:val="23"/>
        </w:rPr>
        <w:t xml:space="preserve">. Florida: Lifegate. </w:t>
      </w:r>
    </w:p>
    <w:p w14:paraId="28430761" w14:textId="2028EFA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Thompson, E., Futterman, A., Gallagher Thompson, D., Rose, J. and Lovett, S.</w:t>
      </w:r>
      <w:r w:rsidR="007F526F" w:rsidRPr="00F853DD">
        <w:rPr>
          <w:rFonts w:ascii="Times" w:hAnsi="Times" w:cs="Times New Roman"/>
          <w:sz w:val="23"/>
          <w:szCs w:val="23"/>
        </w:rPr>
        <w:t>,</w:t>
      </w:r>
      <w:r w:rsidRPr="00F853DD">
        <w:rPr>
          <w:rFonts w:ascii="Times" w:hAnsi="Times" w:cs="Times New Roman"/>
          <w:sz w:val="23"/>
          <w:szCs w:val="23"/>
        </w:rPr>
        <w:t xml:space="preserve"> (1993). Social support and caregiving burden in family caregivers of frail elders. </w:t>
      </w:r>
      <w:r w:rsidRPr="00F853DD">
        <w:rPr>
          <w:rFonts w:ascii="Times" w:hAnsi="Times" w:cs="Times New Roman"/>
          <w:i/>
          <w:sz w:val="23"/>
          <w:szCs w:val="23"/>
        </w:rPr>
        <w:t>Journals of Gerontology</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48</w:t>
      </w:r>
      <w:r w:rsidRPr="00F853DD">
        <w:rPr>
          <w:rFonts w:ascii="Times" w:hAnsi="Times" w:cs="Times New Roman"/>
          <w:sz w:val="23"/>
          <w:szCs w:val="23"/>
        </w:rPr>
        <w:t>, S245-S254.</w:t>
      </w:r>
    </w:p>
    <w:p w14:paraId="2E7ED281" w14:textId="5BA32E7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Thorson, J. and Davis, R.</w:t>
      </w:r>
      <w:r w:rsidR="007F526F" w:rsidRPr="00F853DD">
        <w:rPr>
          <w:rFonts w:ascii="Times" w:hAnsi="Times" w:cs="Times New Roman"/>
          <w:sz w:val="23"/>
          <w:szCs w:val="23"/>
        </w:rPr>
        <w:t>,</w:t>
      </w:r>
      <w:r w:rsidRPr="00F853DD">
        <w:rPr>
          <w:rFonts w:ascii="Times" w:hAnsi="Times" w:cs="Times New Roman"/>
          <w:sz w:val="23"/>
          <w:szCs w:val="23"/>
        </w:rPr>
        <w:t xml:space="preserve"> (2000). Relocation of the institutionalized aged. </w:t>
      </w:r>
      <w:r w:rsidRPr="00F853DD">
        <w:rPr>
          <w:rFonts w:ascii="Times" w:hAnsi="Times" w:cs="Times New Roman"/>
          <w:i/>
          <w:sz w:val="23"/>
          <w:szCs w:val="23"/>
        </w:rPr>
        <w:t>Journal of Clinical Psychology</w:t>
      </w:r>
      <w:r w:rsidR="007F526F" w:rsidRPr="00F853DD">
        <w:rPr>
          <w:rFonts w:ascii="Times" w:hAnsi="Times" w:cs="Times New Roman"/>
          <w:sz w:val="23"/>
          <w:szCs w:val="23"/>
        </w:rPr>
        <w:t>.</w:t>
      </w:r>
      <w:r w:rsidRPr="00F853DD">
        <w:rPr>
          <w:rFonts w:ascii="Times" w:hAnsi="Times" w:cs="Times New Roman"/>
          <w:sz w:val="23"/>
          <w:szCs w:val="23"/>
        </w:rPr>
        <w:t> </w:t>
      </w:r>
      <w:r w:rsidRPr="00F853DD">
        <w:rPr>
          <w:rFonts w:ascii="Times" w:hAnsi="Times" w:cs="Times New Roman"/>
          <w:b/>
          <w:sz w:val="23"/>
          <w:szCs w:val="23"/>
        </w:rPr>
        <w:t>56</w:t>
      </w:r>
      <w:r w:rsidRPr="00F853DD">
        <w:rPr>
          <w:rFonts w:ascii="Times" w:hAnsi="Times" w:cs="Times New Roman"/>
          <w:sz w:val="23"/>
          <w:szCs w:val="23"/>
        </w:rPr>
        <w:t>(1), 131-138. </w:t>
      </w:r>
    </w:p>
    <w:p w14:paraId="525E7687" w14:textId="5C00614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Thorslund, M., Bergmark, A. and Parker, M.</w:t>
      </w:r>
      <w:r w:rsidR="007F526F" w:rsidRPr="00F853DD">
        <w:rPr>
          <w:rFonts w:ascii="Times" w:hAnsi="Times" w:cs="Times New Roman"/>
          <w:sz w:val="23"/>
          <w:szCs w:val="23"/>
        </w:rPr>
        <w:t>,</w:t>
      </w:r>
      <w:r w:rsidRPr="00F853DD">
        <w:rPr>
          <w:rFonts w:ascii="Times" w:hAnsi="Times" w:cs="Times New Roman"/>
          <w:sz w:val="23"/>
          <w:szCs w:val="23"/>
        </w:rPr>
        <w:t xml:space="preserve"> (1997). Difficult decisions on care and services for elderly people: The dilemma of setting priorities in the welfare state. </w:t>
      </w:r>
      <w:r w:rsidRPr="00F853DD">
        <w:rPr>
          <w:rFonts w:ascii="Times" w:hAnsi="Times" w:cs="Times New Roman"/>
          <w:i/>
          <w:sz w:val="23"/>
          <w:szCs w:val="23"/>
        </w:rPr>
        <w:t>Scandinavian Journal of Social Welfare</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w:t>
      </w:r>
      <w:r w:rsidRPr="00F853DD">
        <w:rPr>
          <w:rFonts w:ascii="Times" w:hAnsi="Times" w:cs="Times New Roman"/>
          <w:sz w:val="23"/>
          <w:szCs w:val="23"/>
        </w:rPr>
        <w:t>, 197-206.</w:t>
      </w:r>
    </w:p>
    <w:p w14:paraId="0CF606D1" w14:textId="65B657C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Thrush, A. and Hyder, A.</w:t>
      </w:r>
      <w:r w:rsidR="007F526F" w:rsidRPr="00F853DD">
        <w:rPr>
          <w:rFonts w:ascii="Times" w:hAnsi="Times" w:cs="Times New Roman"/>
          <w:sz w:val="23"/>
          <w:szCs w:val="23"/>
        </w:rPr>
        <w:t>,</w:t>
      </w:r>
      <w:r w:rsidRPr="00F853DD">
        <w:rPr>
          <w:rFonts w:ascii="Times" w:hAnsi="Times" w:cs="Times New Roman"/>
          <w:sz w:val="23"/>
          <w:szCs w:val="23"/>
        </w:rPr>
        <w:t xml:space="preserve"> (2014). The neglected burden of caregiving in low- and middle-income countries. </w:t>
      </w:r>
      <w:r w:rsidRPr="00F853DD">
        <w:rPr>
          <w:rFonts w:ascii="Times" w:hAnsi="Times" w:cs="Times New Roman"/>
          <w:i/>
          <w:sz w:val="23"/>
          <w:szCs w:val="23"/>
        </w:rPr>
        <w:t>Disability and Health Journal</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007F526F" w:rsidRPr="00F853DD">
        <w:rPr>
          <w:rFonts w:ascii="Times" w:hAnsi="Times" w:cs="Times New Roman"/>
          <w:sz w:val="23"/>
          <w:szCs w:val="23"/>
        </w:rPr>
        <w:t>,</w:t>
      </w:r>
      <w:r w:rsidRPr="00F853DD">
        <w:rPr>
          <w:rFonts w:ascii="Times" w:hAnsi="Times" w:cs="Times New Roman"/>
          <w:sz w:val="23"/>
          <w:szCs w:val="23"/>
        </w:rPr>
        <w:t xml:space="preserve"> 262-272.</w:t>
      </w:r>
    </w:p>
    <w:p w14:paraId="5570375F" w14:textId="3A6C939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Tiedt, A., Saito, Y. and Crimmins, E.</w:t>
      </w:r>
      <w:r w:rsidR="007F526F" w:rsidRPr="00F853DD">
        <w:rPr>
          <w:rFonts w:ascii="Times" w:hAnsi="Times" w:cs="Times New Roman"/>
          <w:sz w:val="23"/>
          <w:szCs w:val="23"/>
        </w:rPr>
        <w:t>,</w:t>
      </w:r>
      <w:r w:rsidRPr="00F853DD">
        <w:rPr>
          <w:rFonts w:ascii="Times" w:hAnsi="Times" w:cs="Times New Roman"/>
          <w:sz w:val="23"/>
          <w:szCs w:val="23"/>
        </w:rPr>
        <w:t xml:space="preserve"> (2016). Depressive symptoms, transitions to widowhood, and informal support from adult children among older women and men in Japan. </w:t>
      </w:r>
      <w:r w:rsidRPr="00F853DD">
        <w:rPr>
          <w:rFonts w:ascii="Times" w:hAnsi="Times" w:cs="Times New Roman"/>
          <w:i/>
          <w:sz w:val="23"/>
          <w:szCs w:val="23"/>
        </w:rPr>
        <w:t>Research on Aging</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 619-642.</w:t>
      </w:r>
    </w:p>
    <w:p w14:paraId="4D09213C" w14:textId="72667D1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Tillmann-Healy, L.</w:t>
      </w:r>
      <w:r w:rsidR="007F526F" w:rsidRPr="00F853DD">
        <w:rPr>
          <w:rFonts w:ascii="Times" w:hAnsi="Times" w:cs="Times New Roman"/>
          <w:sz w:val="23"/>
          <w:szCs w:val="23"/>
        </w:rPr>
        <w:t>,</w:t>
      </w:r>
      <w:r w:rsidRPr="00F853DD">
        <w:rPr>
          <w:rFonts w:ascii="Times" w:hAnsi="Times" w:cs="Times New Roman"/>
          <w:sz w:val="23"/>
          <w:szCs w:val="23"/>
        </w:rPr>
        <w:t xml:space="preserve"> (2006). Friendship as method. In: Hesse-Biber, S. and Leavy, P. (eds.) </w:t>
      </w:r>
      <w:r w:rsidRPr="00F853DD">
        <w:rPr>
          <w:rFonts w:ascii="Times" w:hAnsi="Times" w:cs="Times New Roman"/>
          <w:i/>
          <w:sz w:val="23"/>
          <w:szCs w:val="23"/>
        </w:rPr>
        <w:t>Emergent Methods in Social Research</w:t>
      </w:r>
      <w:r w:rsidRPr="00F853DD">
        <w:rPr>
          <w:rFonts w:ascii="Times" w:hAnsi="Times" w:cs="Times New Roman"/>
          <w:sz w:val="23"/>
          <w:szCs w:val="23"/>
        </w:rPr>
        <w:t>. Thousand Oaks, California: SAGE Publications.</w:t>
      </w:r>
    </w:p>
    <w:p w14:paraId="724CDFF3" w14:textId="4737266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Timasheff, N.</w:t>
      </w:r>
      <w:r w:rsidR="007F526F" w:rsidRPr="00F853DD">
        <w:rPr>
          <w:rFonts w:ascii="Times" w:hAnsi="Times" w:cs="Times New Roman"/>
          <w:sz w:val="23"/>
          <w:szCs w:val="23"/>
        </w:rPr>
        <w:t>,</w:t>
      </w:r>
      <w:r w:rsidRPr="00F853DD">
        <w:rPr>
          <w:rFonts w:ascii="Times" w:hAnsi="Times" w:cs="Times New Roman"/>
          <w:sz w:val="23"/>
          <w:szCs w:val="23"/>
        </w:rPr>
        <w:t xml:space="preserve"> (1952). The basic concepts of sociology. </w:t>
      </w:r>
      <w:r w:rsidRPr="00F853DD">
        <w:rPr>
          <w:rFonts w:ascii="Times" w:hAnsi="Times" w:cs="Times New Roman"/>
          <w:i/>
          <w:sz w:val="23"/>
          <w:szCs w:val="23"/>
        </w:rPr>
        <w:t>American Journal of Sociology</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58</w:t>
      </w:r>
      <w:r w:rsidRPr="00F853DD">
        <w:rPr>
          <w:rFonts w:ascii="Times" w:hAnsi="Times" w:cs="Times New Roman"/>
          <w:sz w:val="23"/>
          <w:szCs w:val="23"/>
        </w:rPr>
        <w:t>, 176-186.</w:t>
      </w:r>
    </w:p>
    <w:p w14:paraId="0A384F5D" w14:textId="385F355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Toljamo, M., Perala, M. and Laukkala, H.</w:t>
      </w:r>
      <w:r w:rsidR="007F526F" w:rsidRPr="00F853DD">
        <w:rPr>
          <w:rFonts w:ascii="Times" w:hAnsi="Times" w:cs="Times New Roman"/>
          <w:sz w:val="23"/>
          <w:szCs w:val="23"/>
        </w:rPr>
        <w:t>,</w:t>
      </w:r>
      <w:r w:rsidRPr="00F853DD">
        <w:rPr>
          <w:rFonts w:ascii="Times" w:hAnsi="Times" w:cs="Times New Roman"/>
          <w:sz w:val="23"/>
          <w:szCs w:val="23"/>
        </w:rPr>
        <w:t xml:space="preserve"> (2012). Impact of caregiving on Finnish family caregivers. </w:t>
      </w:r>
      <w:r w:rsidRPr="00F853DD">
        <w:rPr>
          <w:rFonts w:ascii="Times" w:hAnsi="Times" w:cs="Times New Roman"/>
          <w:i/>
          <w:sz w:val="23"/>
          <w:szCs w:val="23"/>
        </w:rPr>
        <w:t>Scandinavian Journal of Caring Sciences</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211-218.</w:t>
      </w:r>
    </w:p>
    <w:p w14:paraId="2D494D6C" w14:textId="47B3AF7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Tolkacheva, N., Van Groenou, M., De Boer, A. and Van Tilburg, T.</w:t>
      </w:r>
      <w:r w:rsidR="007F526F" w:rsidRPr="00F853DD">
        <w:rPr>
          <w:rFonts w:ascii="Times" w:hAnsi="Times" w:cs="Times New Roman"/>
          <w:sz w:val="23"/>
          <w:szCs w:val="23"/>
        </w:rPr>
        <w:t>,</w:t>
      </w:r>
      <w:r w:rsidRPr="00F853DD">
        <w:rPr>
          <w:rFonts w:ascii="Times" w:hAnsi="Times" w:cs="Times New Roman"/>
          <w:sz w:val="23"/>
          <w:szCs w:val="23"/>
        </w:rPr>
        <w:t xml:space="preserve"> (2011). The impact of informal care-giving networks on adult children's care-giver burden. </w:t>
      </w:r>
      <w:r w:rsidRPr="00F853DD">
        <w:rPr>
          <w:rFonts w:ascii="Times" w:hAnsi="Times" w:cs="Times New Roman"/>
          <w:i/>
          <w:sz w:val="23"/>
          <w:szCs w:val="23"/>
        </w:rPr>
        <w:t>Ageing and Society</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(1), 34-51.</w:t>
      </w:r>
    </w:p>
    <w:p w14:paraId="702BE945" w14:textId="043202D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Tomas, J., Sancho, P., Melendez, J. and Mayordomo, T.</w:t>
      </w:r>
      <w:r w:rsidR="007F526F" w:rsidRPr="00F853DD">
        <w:rPr>
          <w:rFonts w:ascii="Times" w:hAnsi="Times" w:cs="Times New Roman"/>
          <w:sz w:val="23"/>
          <w:szCs w:val="23"/>
        </w:rPr>
        <w:t>,</w:t>
      </w:r>
      <w:r w:rsidRPr="00F853DD">
        <w:rPr>
          <w:rFonts w:ascii="Times" w:hAnsi="Times" w:cs="Times New Roman"/>
          <w:sz w:val="23"/>
          <w:szCs w:val="23"/>
        </w:rPr>
        <w:t xml:space="preserve"> (2012). Resilience and coping as predictors of gene</w:t>
      </w:r>
      <w:r w:rsidR="007F526F" w:rsidRPr="00F853DD">
        <w:rPr>
          <w:rFonts w:ascii="Times" w:hAnsi="Times" w:cs="Times New Roman"/>
          <w:sz w:val="23"/>
          <w:szCs w:val="23"/>
        </w:rPr>
        <w:t>ral well-being in the elderly: a</w:t>
      </w:r>
      <w:r w:rsidRPr="00F853DD">
        <w:rPr>
          <w:rFonts w:ascii="Times" w:hAnsi="Times" w:cs="Times New Roman"/>
          <w:sz w:val="23"/>
          <w:szCs w:val="23"/>
        </w:rPr>
        <w:t xml:space="preserve"> structural equation modeling approach. </w:t>
      </w:r>
      <w:r w:rsidRPr="00F853DD">
        <w:rPr>
          <w:rFonts w:ascii="Times" w:hAnsi="Times" w:cs="Times New Roman"/>
          <w:i/>
          <w:sz w:val="23"/>
          <w:szCs w:val="23"/>
        </w:rPr>
        <w:t>Aging and Mental Health</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317-326.</w:t>
      </w:r>
    </w:p>
    <w:p w14:paraId="5FA0EF61" w14:textId="75A9A34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Tomini, F., Groot, W. and Tomini, S.</w:t>
      </w:r>
      <w:r w:rsidR="007F526F" w:rsidRPr="00F853DD">
        <w:rPr>
          <w:rFonts w:ascii="Times" w:hAnsi="Times" w:cs="Times New Roman"/>
          <w:sz w:val="23"/>
          <w:szCs w:val="23"/>
        </w:rPr>
        <w:t>,</w:t>
      </w:r>
      <w:r w:rsidRPr="00F853DD">
        <w:rPr>
          <w:rFonts w:ascii="Times" w:hAnsi="Times" w:cs="Times New Roman"/>
          <w:sz w:val="23"/>
          <w:szCs w:val="23"/>
        </w:rPr>
        <w:t xml:space="preserve"> (2016)a. Informal care and gifts to an</w:t>
      </w:r>
      <w:r w:rsidR="007F526F" w:rsidRPr="00F853DD">
        <w:rPr>
          <w:rFonts w:ascii="Times" w:hAnsi="Times" w:cs="Times New Roman"/>
          <w:sz w:val="23"/>
          <w:szCs w:val="23"/>
        </w:rPr>
        <w:t>d from older people in Europe: t</w:t>
      </w:r>
      <w:r w:rsidRPr="00F853DD">
        <w:rPr>
          <w:rFonts w:ascii="Times" w:hAnsi="Times" w:cs="Times New Roman"/>
          <w:sz w:val="23"/>
          <w:szCs w:val="23"/>
        </w:rPr>
        <w:t xml:space="preserve">he interlinks between giving and receiving. </w:t>
      </w:r>
      <w:r w:rsidRPr="00F853DD">
        <w:rPr>
          <w:rFonts w:ascii="Times" w:hAnsi="Times" w:cs="Times New Roman"/>
          <w:i/>
          <w:sz w:val="23"/>
          <w:szCs w:val="23"/>
        </w:rPr>
        <w:t>BMC Health Services Research</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11.</w:t>
      </w:r>
    </w:p>
    <w:p w14:paraId="3C0C4B0F" w14:textId="47CFF98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Tomini, F., Tomini, S. and Groot, W.</w:t>
      </w:r>
      <w:r w:rsidR="007F526F" w:rsidRPr="00F853DD">
        <w:rPr>
          <w:rFonts w:ascii="Times" w:hAnsi="Times" w:cs="Times New Roman"/>
          <w:sz w:val="23"/>
          <w:szCs w:val="23"/>
        </w:rPr>
        <w:t>,</w:t>
      </w:r>
      <w:r w:rsidRPr="00F853DD">
        <w:rPr>
          <w:rFonts w:ascii="Times" w:hAnsi="Times" w:cs="Times New Roman"/>
          <w:sz w:val="23"/>
          <w:szCs w:val="23"/>
        </w:rPr>
        <w:t xml:space="preserve"> (2016)b. Understanding the value of social networks in life satisfaction of elderly people: a comparative study of 16 European countries using SHARE data. </w:t>
      </w:r>
      <w:r w:rsidRPr="00F853DD">
        <w:rPr>
          <w:rFonts w:ascii="Times" w:hAnsi="Times" w:cs="Times New Roman"/>
          <w:i/>
          <w:sz w:val="23"/>
          <w:szCs w:val="23"/>
        </w:rPr>
        <w:t>BMC Geriatrics</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12.</w:t>
      </w:r>
    </w:p>
    <w:p w14:paraId="3EA84ABA" w14:textId="294F572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Torabi Chafjiri, R., Navabi, N., Shamsalinia, A. and Ghaffari, F.</w:t>
      </w:r>
      <w:r w:rsidR="007F526F" w:rsidRPr="00F853DD">
        <w:rPr>
          <w:rFonts w:ascii="Times" w:hAnsi="Times" w:cs="Times New Roman"/>
          <w:sz w:val="23"/>
          <w:szCs w:val="23"/>
        </w:rPr>
        <w:t>,</w:t>
      </w:r>
      <w:r w:rsidRPr="00F853DD">
        <w:rPr>
          <w:rFonts w:ascii="Times" w:hAnsi="Times" w:cs="Times New Roman"/>
          <w:sz w:val="23"/>
          <w:szCs w:val="23"/>
        </w:rPr>
        <w:t xml:space="preserve"> (2017). The relationship between the spiritual attitude of the family caregivers of older patients with stroke and their burden</w:t>
      </w:r>
      <w:r w:rsidRPr="00F853DD">
        <w:rPr>
          <w:rFonts w:ascii="Times" w:hAnsi="Times" w:cs="Times New Roman"/>
          <w:i/>
          <w:sz w:val="23"/>
          <w:szCs w:val="23"/>
        </w:rPr>
        <w:t>. Clinical Interventions in Aging</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 453-458.</w:t>
      </w:r>
    </w:p>
    <w:p w14:paraId="594797F6" w14:textId="35F4DAA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Torbica, A., Calciolari, S. and Fattore, G.</w:t>
      </w:r>
      <w:r w:rsidR="007F526F" w:rsidRPr="00F853DD">
        <w:rPr>
          <w:rFonts w:ascii="Times" w:hAnsi="Times" w:cs="Times New Roman"/>
          <w:sz w:val="23"/>
          <w:szCs w:val="23"/>
        </w:rPr>
        <w:t>,</w:t>
      </w:r>
      <w:r w:rsidRPr="00F853DD">
        <w:rPr>
          <w:rFonts w:ascii="Times" w:hAnsi="Times" w:cs="Times New Roman"/>
          <w:sz w:val="23"/>
          <w:szCs w:val="23"/>
        </w:rPr>
        <w:t xml:space="preserve"> (2015). Does informal care impact utilization of healthcare services? Evidence from a longitudinal study of stroke patients. </w:t>
      </w:r>
      <w:r w:rsidRPr="00F853DD">
        <w:rPr>
          <w:rFonts w:ascii="Times" w:hAnsi="Times" w:cs="Times New Roman"/>
          <w:i/>
          <w:sz w:val="23"/>
          <w:szCs w:val="23"/>
        </w:rPr>
        <w:t>Social Science and Medicine</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124</w:t>
      </w:r>
      <w:r w:rsidRPr="00F853DD">
        <w:rPr>
          <w:rFonts w:ascii="Times" w:hAnsi="Times" w:cs="Times New Roman"/>
          <w:sz w:val="23"/>
          <w:szCs w:val="23"/>
        </w:rPr>
        <w:t>, 29-38.</w:t>
      </w:r>
    </w:p>
    <w:p w14:paraId="2A9DA2C4" w14:textId="4BE416C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Torge, C. (2014). Freedom and imperative mutual care between older spouses with physical disabilities. </w:t>
      </w:r>
      <w:r w:rsidRPr="00F853DD">
        <w:rPr>
          <w:rFonts w:ascii="Times" w:hAnsi="Times" w:cs="Times New Roman"/>
          <w:i/>
          <w:sz w:val="23"/>
          <w:szCs w:val="23"/>
        </w:rPr>
        <w:t>Journal of Family Nursing</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204-225.</w:t>
      </w:r>
    </w:p>
    <w:p w14:paraId="7C7A1057" w14:textId="13862B9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Torres, J., Lima-Costa, M., Marmot, M. and De Oliveira, C.</w:t>
      </w:r>
      <w:r w:rsidR="007F526F" w:rsidRPr="00F853DD">
        <w:rPr>
          <w:rFonts w:ascii="Times" w:hAnsi="Times" w:cs="Times New Roman"/>
          <w:sz w:val="23"/>
          <w:szCs w:val="23"/>
        </w:rPr>
        <w:t>,</w:t>
      </w:r>
      <w:r w:rsidRPr="00F853DD">
        <w:rPr>
          <w:rFonts w:ascii="Times" w:hAnsi="Times" w:cs="Times New Roman"/>
          <w:sz w:val="23"/>
          <w:szCs w:val="23"/>
        </w:rPr>
        <w:t xml:space="preserve"> (2016). Wealth and disab</w:t>
      </w:r>
      <w:r w:rsidR="007F526F" w:rsidRPr="00F853DD">
        <w:rPr>
          <w:rFonts w:ascii="Times" w:hAnsi="Times" w:cs="Times New Roman"/>
          <w:sz w:val="23"/>
          <w:szCs w:val="23"/>
        </w:rPr>
        <w:t>ility in later life: t</w:t>
      </w:r>
      <w:r w:rsidRPr="00F853DD">
        <w:rPr>
          <w:rFonts w:ascii="Times" w:hAnsi="Times" w:cs="Times New Roman"/>
          <w:sz w:val="23"/>
          <w:szCs w:val="23"/>
        </w:rPr>
        <w:t xml:space="preserve">he English Longitudinal Study of Ageing (ELSA). </w:t>
      </w:r>
      <w:r w:rsidRPr="00F853DD">
        <w:rPr>
          <w:rFonts w:ascii="Times" w:hAnsi="Times" w:cs="Times New Roman"/>
          <w:i/>
          <w:sz w:val="23"/>
          <w:szCs w:val="23"/>
        </w:rPr>
        <w:t>Plos One</w:t>
      </w:r>
      <w:r w:rsidR="007F526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w:t>
      </w:r>
      <w:r w:rsidRPr="00F853DD">
        <w:rPr>
          <w:rFonts w:ascii="Times" w:hAnsi="Times" w:cs="Times New Roman"/>
          <w:sz w:val="23"/>
          <w:szCs w:val="23"/>
        </w:rPr>
        <w:t>, 12.</w:t>
      </w:r>
    </w:p>
    <w:p w14:paraId="71D1E352" w14:textId="3012FAC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Treas, J.</w:t>
      </w:r>
      <w:r w:rsidR="007F526F" w:rsidRPr="00F853DD">
        <w:rPr>
          <w:rFonts w:ascii="Times" w:hAnsi="Times" w:cs="Times New Roman"/>
          <w:sz w:val="23"/>
          <w:szCs w:val="23"/>
        </w:rPr>
        <w:t>,</w:t>
      </w:r>
      <w:r w:rsidRPr="00F853DD">
        <w:rPr>
          <w:rFonts w:ascii="Times" w:hAnsi="Times" w:cs="Times New Roman"/>
          <w:sz w:val="23"/>
          <w:szCs w:val="23"/>
        </w:rPr>
        <w:t xml:space="preserve"> (1977). Fa</w:t>
      </w:r>
      <w:r w:rsidR="007F526F" w:rsidRPr="00F853DD">
        <w:rPr>
          <w:rFonts w:ascii="Times" w:hAnsi="Times" w:cs="Times New Roman"/>
          <w:sz w:val="23"/>
          <w:szCs w:val="23"/>
        </w:rPr>
        <w:t>mily support systems for aged: s</w:t>
      </w:r>
      <w:r w:rsidRPr="00F853DD">
        <w:rPr>
          <w:rFonts w:ascii="Times" w:hAnsi="Times" w:cs="Times New Roman"/>
          <w:sz w:val="23"/>
          <w:szCs w:val="23"/>
        </w:rPr>
        <w:t xml:space="preserve">ome social and demographic considerations. </w:t>
      </w:r>
      <w:r w:rsidRPr="00F853DD">
        <w:rPr>
          <w:rFonts w:ascii="Times" w:hAnsi="Times" w:cs="Times New Roman"/>
          <w:i/>
          <w:sz w:val="23"/>
          <w:szCs w:val="23"/>
        </w:rPr>
        <w:t>Gerontologist</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486-491.</w:t>
      </w:r>
    </w:p>
    <w:p w14:paraId="1C0ABB73" w14:textId="1D55442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Triandis, H., McCusker, C. and Hui, C.</w:t>
      </w:r>
      <w:r w:rsidR="007F526F" w:rsidRPr="00F853DD">
        <w:rPr>
          <w:rFonts w:ascii="Times" w:hAnsi="Times" w:cs="Times New Roman"/>
          <w:sz w:val="23"/>
          <w:szCs w:val="23"/>
        </w:rPr>
        <w:t>,</w:t>
      </w:r>
      <w:r w:rsidRPr="00F853DD">
        <w:rPr>
          <w:rFonts w:ascii="Times" w:hAnsi="Times" w:cs="Times New Roman"/>
          <w:sz w:val="23"/>
          <w:szCs w:val="23"/>
        </w:rPr>
        <w:t xml:space="preserve"> (1990). Multimethod probes of individualism and collectivism. </w:t>
      </w:r>
      <w:r w:rsidRPr="00F853DD">
        <w:rPr>
          <w:rFonts w:ascii="Times" w:hAnsi="Times" w:cs="Times New Roman"/>
          <w:i/>
          <w:sz w:val="23"/>
          <w:szCs w:val="23"/>
        </w:rPr>
        <w:t>Journal of Personality and Social Psychology</w:t>
      </w:r>
      <w:r w:rsidRPr="00F853DD">
        <w:rPr>
          <w:rFonts w:ascii="Times" w:hAnsi="Times" w:cs="Times New Roman"/>
          <w:sz w:val="23"/>
          <w:szCs w:val="23"/>
        </w:rPr>
        <w:t xml:space="preserve">, </w:t>
      </w:r>
      <w:r w:rsidRPr="00F853DD">
        <w:rPr>
          <w:rFonts w:ascii="Times" w:hAnsi="Times" w:cs="Times New Roman"/>
          <w:b/>
          <w:sz w:val="23"/>
          <w:szCs w:val="23"/>
        </w:rPr>
        <w:t>59</w:t>
      </w:r>
      <w:r w:rsidRPr="00F853DD">
        <w:rPr>
          <w:rFonts w:ascii="Times" w:hAnsi="Times" w:cs="Times New Roman"/>
          <w:sz w:val="23"/>
          <w:szCs w:val="23"/>
        </w:rPr>
        <w:t>, 1006-1020.</w:t>
      </w:r>
    </w:p>
    <w:p w14:paraId="62C5EB97"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u w:val="single"/>
        </w:rPr>
      </w:pPr>
      <w:r w:rsidRPr="00F853DD">
        <w:rPr>
          <w:rFonts w:ascii="Times" w:hAnsi="Times" w:cs="Times New Roman"/>
          <w:sz w:val="23"/>
          <w:szCs w:val="23"/>
        </w:rPr>
        <w:t xml:space="preserve">Trading Economics (2019). </w:t>
      </w:r>
      <w:r w:rsidRPr="00F853DD">
        <w:rPr>
          <w:rFonts w:ascii="Times" w:hAnsi="Times" w:cs="Times New Roman"/>
          <w:i/>
          <w:sz w:val="23"/>
          <w:szCs w:val="23"/>
        </w:rPr>
        <w:t>Trinidad and Tobago Credit Rating</w:t>
      </w:r>
      <w:r w:rsidRPr="00F853DD">
        <w:rPr>
          <w:rFonts w:ascii="Times" w:hAnsi="Times" w:cs="Times New Roman"/>
          <w:sz w:val="23"/>
          <w:szCs w:val="23"/>
        </w:rPr>
        <w:t xml:space="preserve">. Available from: </w:t>
      </w:r>
      <w:hyperlink r:id="rId114">
        <w:r w:rsidRPr="00F853DD">
          <w:rPr>
            <w:rFonts w:ascii="Times" w:hAnsi="Times" w:cs="Times New Roman"/>
            <w:sz w:val="23"/>
            <w:szCs w:val="23"/>
          </w:rPr>
          <w:t>https://tradingeconomics.com/trinidad-and-tobago/rating</w:t>
        </w:r>
      </w:hyperlink>
      <w:r w:rsidRPr="00F853DD">
        <w:rPr>
          <w:rFonts w:ascii="Times" w:hAnsi="Times" w:cs="Times New Roman"/>
          <w:sz w:val="23"/>
          <w:szCs w:val="23"/>
          <w:u w:val="single"/>
        </w:rPr>
        <w:t xml:space="preserve">. </w:t>
      </w:r>
    </w:p>
    <w:p w14:paraId="5DEBDE43" w14:textId="213D723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Trask, B.</w:t>
      </w:r>
      <w:r w:rsidR="007F526F" w:rsidRPr="00F853DD">
        <w:rPr>
          <w:rFonts w:ascii="Times" w:hAnsi="Times" w:cs="Times New Roman"/>
          <w:sz w:val="23"/>
          <w:szCs w:val="23"/>
        </w:rPr>
        <w:t>, (2016). Improving health and well-being by promoting gender equality and empowerment: the need for a family centred implementation of the new sustainable development g</w:t>
      </w:r>
      <w:r w:rsidRPr="00F853DD">
        <w:rPr>
          <w:rFonts w:ascii="Times" w:hAnsi="Times" w:cs="Times New Roman"/>
          <w:sz w:val="23"/>
          <w:szCs w:val="23"/>
        </w:rPr>
        <w:t>oals 1-5. Available from: https://www.un.org/esa/socdev/family/docs/egm16/BahiraTrask.pdf .</w:t>
      </w:r>
    </w:p>
    <w:p w14:paraId="3CBAAB73" w14:textId="1B5BE27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Treloar, A., Beats, B. and Philpot, M.</w:t>
      </w:r>
      <w:r w:rsidR="00C457A1" w:rsidRPr="00F853DD">
        <w:rPr>
          <w:rFonts w:ascii="Times" w:hAnsi="Times" w:cs="Times New Roman"/>
          <w:sz w:val="23"/>
          <w:szCs w:val="23"/>
        </w:rPr>
        <w:t>,</w:t>
      </w:r>
      <w:r w:rsidRPr="00F853DD">
        <w:rPr>
          <w:rFonts w:ascii="Times" w:hAnsi="Times" w:cs="Times New Roman"/>
          <w:sz w:val="23"/>
          <w:szCs w:val="23"/>
        </w:rPr>
        <w:t xml:space="preserve"> (2000). A pill in the sandwich: covert medication in food and drink. </w:t>
      </w:r>
      <w:r w:rsidRPr="00F853DD">
        <w:rPr>
          <w:rFonts w:ascii="Times" w:hAnsi="Times" w:cs="Times New Roman"/>
          <w:i/>
          <w:sz w:val="23"/>
          <w:szCs w:val="23"/>
        </w:rPr>
        <w:t>Journal of the Royal Society of Medicine</w:t>
      </w:r>
      <w:r w:rsidR="00C457A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93</w:t>
      </w:r>
      <w:r w:rsidRPr="00F853DD">
        <w:rPr>
          <w:rFonts w:ascii="Times" w:hAnsi="Times" w:cs="Times New Roman"/>
          <w:sz w:val="23"/>
          <w:szCs w:val="23"/>
        </w:rPr>
        <w:t>(8), 408-411.</w:t>
      </w:r>
    </w:p>
    <w:p w14:paraId="60501EF6" w14:textId="6AB9843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Trotta, R.</w:t>
      </w:r>
      <w:r w:rsidR="00C457A1" w:rsidRPr="00F853DD">
        <w:rPr>
          <w:rFonts w:ascii="Times" w:hAnsi="Times" w:cs="Times New Roman"/>
          <w:sz w:val="23"/>
          <w:szCs w:val="23"/>
        </w:rPr>
        <w:t>,</w:t>
      </w:r>
      <w:r w:rsidRPr="00F853DD">
        <w:rPr>
          <w:rFonts w:ascii="Times" w:hAnsi="Times" w:cs="Times New Roman"/>
          <w:sz w:val="23"/>
          <w:szCs w:val="23"/>
        </w:rPr>
        <w:t xml:space="preserve"> (2007). Quality of death: </w:t>
      </w:r>
      <w:r w:rsidR="00C457A1" w:rsidRPr="00F853DD">
        <w:rPr>
          <w:rFonts w:ascii="Times" w:hAnsi="Times" w:cs="Times New Roman"/>
          <w:sz w:val="23"/>
          <w:szCs w:val="23"/>
        </w:rPr>
        <w:t>a</w:t>
      </w:r>
      <w:r w:rsidRPr="00F853DD">
        <w:rPr>
          <w:rFonts w:ascii="Times" w:hAnsi="Times" w:cs="Times New Roman"/>
          <w:sz w:val="23"/>
          <w:szCs w:val="23"/>
        </w:rPr>
        <w:t xml:space="preserve"> dimensional analysis of palliative care in the nursing home. </w:t>
      </w:r>
      <w:r w:rsidRPr="00F853DD">
        <w:rPr>
          <w:rFonts w:ascii="Times" w:hAnsi="Times" w:cs="Times New Roman"/>
          <w:i/>
          <w:sz w:val="23"/>
          <w:szCs w:val="23"/>
        </w:rPr>
        <w:t>Journal of Palliative Medicine</w:t>
      </w:r>
      <w:r w:rsidR="00C457A1"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w:t>
      </w:r>
      <w:r w:rsidRPr="00F853DD">
        <w:rPr>
          <w:rFonts w:ascii="Times" w:hAnsi="Times" w:cs="Times New Roman"/>
          <w:sz w:val="23"/>
          <w:szCs w:val="23"/>
        </w:rPr>
        <w:t>, 1116-1127.</w:t>
      </w:r>
    </w:p>
    <w:p w14:paraId="7CC0A871" w14:textId="07DED98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Truesdell, L.</w:t>
      </w:r>
      <w:r w:rsidR="00C457A1" w:rsidRPr="00F853DD">
        <w:rPr>
          <w:rFonts w:ascii="Times" w:hAnsi="Times" w:cs="Times New Roman"/>
          <w:sz w:val="23"/>
          <w:szCs w:val="23"/>
        </w:rPr>
        <w:t>,</w:t>
      </w:r>
      <w:r w:rsidRPr="00F853DD">
        <w:rPr>
          <w:rFonts w:ascii="Times" w:hAnsi="Times" w:cs="Times New Roman"/>
          <w:sz w:val="23"/>
          <w:szCs w:val="23"/>
        </w:rPr>
        <w:t xml:space="preserve"> (1938). Residual relationships and velocity of change as pitfalls in the field of statistical forecasting. </w:t>
      </w:r>
      <w:r w:rsidRPr="00F853DD">
        <w:rPr>
          <w:rFonts w:ascii="Times" w:hAnsi="Times" w:cs="Times New Roman"/>
          <w:i/>
          <w:sz w:val="23"/>
          <w:szCs w:val="23"/>
        </w:rPr>
        <w:t>Journal of the American Statistical Association</w:t>
      </w:r>
      <w:r w:rsidR="00A32C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 373-379.</w:t>
      </w:r>
    </w:p>
    <w:p w14:paraId="060AF888" w14:textId="7FE734C1"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s-ES"/>
        </w:rPr>
      </w:pPr>
      <w:r w:rsidRPr="00F853DD">
        <w:rPr>
          <w:rFonts w:ascii="Times" w:hAnsi="Times" w:cs="Times New Roman"/>
          <w:sz w:val="23"/>
          <w:szCs w:val="23"/>
        </w:rPr>
        <w:t>Truzzi, A., Valente, L., Ulstein, I., Engelhardt, E., Laks, J. and Engedal, K.</w:t>
      </w:r>
      <w:r w:rsidR="00C457A1"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sz w:val="23"/>
          <w:szCs w:val="23"/>
          <w:lang w:val="pt-PT"/>
        </w:rPr>
        <w:t xml:space="preserve">Burnout in familial caregivers of patients with dementia. </w:t>
      </w:r>
      <w:r w:rsidRPr="00F853DD">
        <w:rPr>
          <w:rFonts w:ascii="Times" w:hAnsi="Times" w:cs="Times New Roman"/>
          <w:i/>
          <w:sz w:val="23"/>
          <w:szCs w:val="23"/>
          <w:lang w:val="pt-PT"/>
        </w:rPr>
        <w:t>Revista brasileira de psiquiatria: publication of the Associacao Brasileira de Psiquiatria</w:t>
      </w:r>
      <w:r w:rsidR="00A32C43" w:rsidRPr="00F853DD">
        <w:rPr>
          <w:rFonts w:ascii="Times" w:hAnsi="Times" w:cs="Times New Roman"/>
          <w:i/>
          <w:sz w:val="23"/>
          <w:szCs w:val="23"/>
          <w:lang w:val="pt-PT"/>
        </w:rPr>
        <w:t>.</w:t>
      </w:r>
      <w:r w:rsidRPr="00F853DD">
        <w:rPr>
          <w:rFonts w:ascii="Times" w:hAnsi="Times" w:cs="Times New Roman"/>
          <w:i/>
          <w:sz w:val="23"/>
          <w:szCs w:val="23"/>
          <w:lang w:val="pt-PT"/>
        </w:rPr>
        <w:t xml:space="preserve"> </w:t>
      </w:r>
      <w:r w:rsidRPr="00F853DD">
        <w:rPr>
          <w:rFonts w:ascii="Times" w:hAnsi="Times" w:cs="Times New Roman"/>
          <w:b/>
          <w:sz w:val="23"/>
          <w:szCs w:val="23"/>
          <w:lang w:val="es-ES"/>
        </w:rPr>
        <w:t>34</w:t>
      </w:r>
      <w:r w:rsidRPr="00F853DD">
        <w:rPr>
          <w:rFonts w:ascii="Times" w:hAnsi="Times" w:cs="Times New Roman"/>
          <w:sz w:val="23"/>
          <w:szCs w:val="23"/>
          <w:lang w:val="es-ES"/>
        </w:rPr>
        <w:t>, 405-412</w:t>
      </w:r>
      <w:r w:rsidRPr="00F853DD">
        <w:rPr>
          <w:rFonts w:ascii="Times" w:hAnsi="Times" w:cs="Times New Roman"/>
          <w:i/>
          <w:sz w:val="23"/>
          <w:szCs w:val="23"/>
          <w:lang w:val="es-ES"/>
        </w:rPr>
        <w:t>.</w:t>
      </w:r>
      <w:r w:rsidRPr="00F853DD">
        <w:rPr>
          <w:rFonts w:ascii="Times" w:hAnsi="Times" w:cs="Times New Roman"/>
          <w:sz w:val="23"/>
          <w:szCs w:val="23"/>
          <w:lang w:val="es-ES"/>
        </w:rPr>
        <w:t xml:space="preserve"> Asociacion Psiquiatrica de la America Latina.</w:t>
      </w:r>
    </w:p>
    <w:p w14:paraId="6DED2816" w14:textId="1B36716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s-ES"/>
        </w:rPr>
        <w:t>Tsai, J and Levenson, R.</w:t>
      </w:r>
      <w:r w:rsidR="00C457A1" w:rsidRPr="00F853DD">
        <w:rPr>
          <w:rFonts w:ascii="Times" w:hAnsi="Times" w:cs="Times New Roman"/>
          <w:sz w:val="23"/>
          <w:szCs w:val="23"/>
          <w:lang w:val="es-ES"/>
        </w:rPr>
        <w:t>,</w:t>
      </w:r>
      <w:r w:rsidRPr="00F853DD">
        <w:rPr>
          <w:rFonts w:ascii="Times" w:hAnsi="Times" w:cs="Times New Roman"/>
          <w:sz w:val="23"/>
          <w:szCs w:val="23"/>
          <w:lang w:val="es-ES"/>
        </w:rPr>
        <w:t xml:space="preserve"> (1997). </w:t>
      </w:r>
      <w:r w:rsidRPr="00F853DD">
        <w:rPr>
          <w:rFonts w:ascii="Times" w:hAnsi="Times" w:cs="Times New Roman"/>
          <w:sz w:val="23"/>
          <w:szCs w:val="23"/>
        </w:rPr>
        <w:t xml:space="preserve">Cultural influences on emotional responding: Chinese American and European American dating couples during interpersonal conflict. </w:t>
      </w:r>
      <w:r w:rsidRPr="00F853DD">
        <w:rPr>
          <w:rFonts w:ascii="Times" w:hAnsi="Times" w:cs="Times New Roman"/>
          <w:i/>
          <w:sz w:val="23"/>
          <w:szCs w:val="23"/>
        </w:rPr>
        <w:t>Journal of Cross-Cultural Psychology</w:t>
      </w:r>
      <w:r w:rsidR="00A32C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28</w:t>
      </w:r>
      <w:r w:rsidRPr="00F853DD">
        <w:rPr>
          <w:rFonts w:ascii="Times" w:hAnsi="Times" w:cs="Times New Roman"/>
          <w:sz w:val="23"/>
          <w:szCs w:val="23"/>
        </w:rPr>
        <w:t>(5), 600-625.</w:t>
      </w:r>
    </w:p>
    <w:p w14:paraId="3E27B40D" w14:textId="69BCD1E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Tsao, C. and Ni, C.</w:t>
      </w:r>
      <w:r w:rsidR="00C457A1" w:rsidRPr="00F853DD">
        <w:rPr>
          <w:rFonts w:ascii="Times" w:hAnsi="Times" w:cs="Times New Roman"/>
          <w:sz w:val="23"/>
          <w:szCs w:val="23"/>
          <w:lang w:val="en-TT"/>
        </w:rPr>
        <w:t>,</w:t>
      </w:r>
      <w:r w:rsidRPr="00F853DD">
        <w:rPr>
          <w:rFonts w:ascii="Times" w:hAnsi="Times" w:cs="Times New Roman"/>
          <w:sz w:val="23"/>
          <w:szCs w:val="23"/>
          <w:lang w:val="en-TT"/>
        </w:rPr>
        <w:t xml:space="preserve"> (2016). </w:t>
      </w:r>
      <w:r w:rsidRPr="00F853DD">
        <w:rPr>
          <w:rFonts w:ascii="Times" w:hAnsi="Times" w:cs="Times New Roman"/>
          <w:sz w:val="23"/>
          <w:szCs w:val="23"/>
        </w:rPr>
        <w:t xml:space="preserve">Vulnerability, resilience, and the adaptive cycle in a crisis-prone tourism community. </w:t>
      </w:r>
      <w:r w:rsidRPr="00F853DD">
        <w:rPr>
          <w:rFonts w:ascii="Times" w:hAnsi="Times" w:cs="Times New Roman"/>
          <w:i/>
          <w:sz w:val="23"/>
          <w:szCs w:val="23"/>
        </w:rPr>
        <w:t>Tourism Geographies</w:t>
      </w:r>
      <w:r w:rsidR="00A32C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80-105.</w:t>
      </w:r>
    </w:p>
    <w:p w14:paraId="14332B52" w14:textId="7AA677E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Turkoski, B.</w:t>
      </w:r>
      <w:r w:rsidR="00C457A1" w:rsidRPr="00F853DD">
        <w:rPr>
          <w:rFonts w:ascii="Times" w:hAnsi="Times" w:cs="Times New Roman"/>
          <w:sz w:val="23"/>
          <w:szCs w:val="23"/>
        </w:rPr>
        <w:t>,</w:t>
      </w:r>
      <w:r w:rsidRPr="00F853DD">
        <w:rPr>
          <w:rFonts w:ascii="Times" w:hAnsi="Times" w:cs="Times New Roman"/>
          <w:sz w:val="23"/>
          <w:szCs w:val="23"/>
        </w:rPr>
        <w:t xml:space="preserve"> (2003). Ethical dilemma: is this elder abuse? </w:t>
      </w:r>
      <w:r w:rsidRPr="00F853DD">
        <w:rPr>
          <w:rFonts w:ascii="Times" w:hAnsi="Times" w:cs="Times New Roman"/>
          <w:i/>
          <w:sz w:val="23"/>
          <w:szCs w:val="23"/>
        </w:rPr>
        <w:t>Home Healthcare Nurse</w:t>
      </w:r>
      <w:r w:rsidR="00A32C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21</w:t>
      </w:r>
      <w:r w:rsidRPr="00F853DD">
        <w:rPr>
          <w:rFonts w:ascii="Times" w:hAnsi="Times" w:cs="Times New Roman"/>
          <w:sz w:val="23"/>
          <w:szCs w:val="23"/>
        </w:rPr>
        <w:t>, 518-21.</w:t>
      </w:r>
    </w:p>
    <w:p w14:paraId="0A119F0A" w14:textId="6344175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Turner, J.</w:t>
      </w:r>
      <w:r w:rsidR="00C457A1" w:rsidRPr="00F853DD">
        <w:rPr>
          <w:rFonts w:ascii="Times" w:hAnsi="Times" w:cs="Times New Roman"/>
          <w:sz w:val="23"/>
          <w:szCs w:val="23"/>
        </w:rPr>
        <w:t>,</w:t>
      </w:r>
      <w:r w:rsidRPr="00F853DD">
        <w:rPr>
          <w:rFonts w:ascii="Times" w:hAnsi="Times" w:cs="Times New Roman"/>
          <w:sz w:val="23"/>
          <w:szCs w:val="23"/>
        </w:rPr>
        <w:t xml:space="preserve"> (1987). Toward a sociological theory of motivation. </w:t>
      </w:r>
      <w:r w:rsidRPr="00F853DD">
        <w:rPr>
          <w:rFonts w:ascii="Times" w:hAnsi="Times" w:cs="Times New Roman"/>
          <w:i/>
          <w:sz w:val="23"/>
          <w:szCs w:val="23"/>
        </w:rPr>
        <w:t>American Sociological Review</w:t>
      </w:r>
      <w:r w:rsidR="00A32C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52</w:t>
      </w:r>
      <w:r w:rsidRPr="00F853DD">
        <w:rPr>
          <w:rFonts w:ascii="Times" w:hAnsi="Times" w:cs="Times New Roman"/>
          <w:sz w:val="23"/>
          <w:szCs w:val="23"/>
        </w:rPr>
        <w:t>, 15-27.</w:t>
      </w:r>
    </w:p>
    <w:p w14:paraId="610F0997" w14:textId="40C1431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Turner, J. (1999). Toward a general sociological theory of emotions. </w:t>
      </w:r>
      <w:r w:rsidRPr="00F853DD">
        <w:rPr>
          <w:rFonts w:ascii="Times" w:hAnsi="Times" w:cs="Times New Roman"/>
          <w:i/>
          <w:sz w:val="23"/>
          <w:szCs w:val="23"/>
        </w:rPr>
        <w:t>Journal for the Theory of Social Behaviour</w:t>
      </w:r>
      <w:r w:rsidR="00A32C4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133.</w:t>
      </w:r>
    </w:p>
    <w:p w14:paraId="18EFC039" w14:textId="5DBFC05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Turner, J.</w:t>
      </w:r>
      <w:r w:rsidR="00C457A1" w:rsidRPr="00F853DD">
        <w:rPr>
          <w:rFonts w:ascii="Times" w:hAnsi="Times" w:cs="Times New Roman"/>
          <w:sz w:val="23"/>
          <w:szCs w:val="23"/>
        </w:rPr>
        <w:t>,</w:t>
      </w:r>
      <w:r w:rsidRPr="00F853DD">
        <w:rPr>
          <w:rFonts w:ascii="Times" w:hAnsi="Times" w:cs="Times New Roman"/>
          <w:sz w:val="23"/>
          <w:szCs w:val="23"/>
        </w:rPr>
        <w:t xml:space="preserve"> (2005). </w:t>
      </w:r>
      <w:r w:rsidRPr="00F853DD">
        <w:rPr>
          <w:rFonts w:ascii="Times" w:hAnsi="Times" w:cs="Times New Roman"/>
          <w:i/>
          <w:sz w:val="23"/>
          <w:szCs w:val="23"/>
        </w:rPr>
        <w:t>The Sociology of Emotions.</w:t>
      </w:r>
      <w:r w:rsidRPr="00F853DD">
        <w:rPr>
          <w:rFonts w:ascii="Times" w:hAnsi="Times" w:cs="Times New Roman"/>
          <w:sz w:val="23"/>
          <w:szCs w:val="23"/>
        </w:rPr>
        <w:t xml:space="preserve"> Cambridge: University Press.</w:t>
      </w:r>
    </w:p>
    <w:p w14:paraId="40AE006E" w14:textId="5136977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Turner, J. and Stets, J.</w:t>
      </w:r>
      <w:r w:rsidR="00A32C43" w:rsidRPr="00F853DD">
        <w:rPr>
          <w:rFonts w:ascii="Times" w:hAnsi="Times" w:cs="Times New Roman"/>
          <w:sz w:val="23"/>
          <w:szCs w:val="23"/>
          <w:lang w:val="en-TT"/>
        </w:rPr>
        <w:t>,</w:t>
      </w:r>
      <w:r w:rsidRPr="00F853DD">
        <w:rPr>
          <w:rFonts w:ascii="Times" w:hAnsi="Times" w:cs="Times New Roman"/>
          <w:sz w:val="23"/>
          <w:szCs w:val="23"/>
          <w:lang w:val="en-TT"/>
        </w:rPr>
        <w:t xml:space="preserve"> (2006). </w:t>
      </w:r>
      <w:r w:rsidRPr="00F853DD">
        <w:rPr>
          <w:rFonts w:ascii="Times" w:hAnsi="Times" w:cs="Times New Roman"/>
          <w:sz w:val="23"/>
          <w:szCs w:val="23"/>
        </w:rPr>
        <w:t xml:space="preserve">Sociological theories of human emotions. </w:t>
      </w:r>
      <w:r w:rsidRPr="00F853DD">
        <w:rPr>
          <w:rFonts w:ascii="Times" w:hAnsi="Times" w:cs="Times New Roman"/>
          <w:i/>
          <w:sz w:val="23"/>
          <w:szCs w:val="23"/>
        </w:rPr>
        <w:t>Annual Review of Sociology</w:t>
      </w:r>
      <w:r w:rsidRPr="00F853DD">
        <w:rPr>
          <w:rFonts w:ascii="Times" w:hAnsi="Times" w:cs="Times New Roman"/>
          <w:sz w:val="23"/>
          <w:szCs w:val="23"/>
        </w:rPr>
        <w:t>. Palo Alto: Annual Reviews.</w:t>
      </w:r>
    </w:p>
    <w:p w14:paraId="070014D8" w14:textId="26684563" w:rsidR="006142AE" w:rsidRPr="00F853DD" w:rsidRDefault="00DF05BD" w:rsidP="006142AE">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w:t>
      </w:r>
      <w:r w:rsidR="00A32C43" w:rsidRPr="00F853DD">
        <w:rPr>
          <w:rFonts w:ascii="Times" w:hAnsi="Times" w:cs="Times New Roman"/>
          <w:sz w:val="23"/>
          <w:szCs w:val="23"/>
        </w:rPr>
        <w:t>,</w:t>
      </w:r>
      <w:r w:rsidRPr="00F853DD">
        <w:rPr>
          <w:rFonts w:ascii="Times" w:hAnsi="Times" w:cs="Times New Roman"/>
          <w:sz w:val="23"/>
          <w:szCs w:val="23"/>
        </w:rPr>
        <w:t xml:space="preserve"> (2001). Ageing and </w:t>
      </w:r>
      <w:r w:rsidR="00A32C43" w:rsidRPr="00F853DD">
        <w:rPr>
          <w:rFonts w:ascii="Times" w:hAnsi="Times" w:cs="Times New Roman"/>
          <w:sz w:val="23"/>
          <w:szCs w:val="23"/>
        </w:rPr>
        <w:t>l</w:t>
      </w:r>
      <w:r w:rsidRPr="00F853DD">
        <w:rPr>
          <w:rFonts w:ascii="Times" w:hAnsi="Times" w:cs="Times New Roman"/>
          <w:sz w:val="23"/>
          <w:szCs w:val="23"/>
        </w:rPr>
        <w:t xml:space="preserve">iving </w:t>
      </w:r>
      <w:r w:rsidR="00A32C43" w:rsidRPr="00F853DD">
        <w:rPr>
          <w:rFonts w:ascii="Times" w:hAnsi="Times" w:cs="Times New Roman"/>
          <w:sz w:val="23"/>
          <w:szCs w:val="23"/>
        </w:rPr>
        <w:t>arrangements of older persons: critical issues and policy r</w:t>
      </w:r>
      <w:r w:rsidRPr="00F853DD">
        <w:rPr>
          <w:rFonts w:ascii="Times" w:hAnsi="Times" w:cs="Times New Roman"/>
          <w:sz w:val="23"/>
          <w:szCs w:val="23"/>
        </w:rPr>
        <w:t xml:space="preserve">esponses. </w:t>
      </w:r>
      <w:r w:rsidR="006142AE" w:rsidRPr="00F853DD">
        <w:rPr>
          <w:rFonts w:ascii="Times" w:hAnsi="Times" w:cs="Times New Roman"/>
          <w:sz w:val="23"/>
          <w:szCs w:val="23"/>
        </w:rPr>
        <w:t xml:space="preserve">Special Issue Nos. 42/43. In: Population Bulletin of the UN. </w:t>
      </w:r>
      <w:r w:rsidRPr="00F853DD">
        <w:rPr>
          <w:rFonts w:ascii="Times" w:hAnsi="Times" w:cs="Times New Roman"/>
          <w:sz w:val="23"/>
          <w:szCs w:val="23"/>
        </w:rPr>
        <w:t xml:space="preserve">New York: </w:t>
      </w:r>
      <w:r w:rsidR="006142AE" w:rsidRPr="00F853DD">
        <w:rPr>
          <w:rFonts w:ascii="Times" w:hAnsi="Times" w:cs="Times New Roman"/>
          <w:sz w:val="23"/>
          <w:szCs w:val="23"/>
        </w:rPr>
        <w:t>UN</w:t>
      </w:r>
      <w:r w:rsidR="006142AE" w:rsidRPr="00F853DD">
        <w:t xml:space="preserve"> </w:t>
      </w:r>
      <w:r w:rsidR="006142AE" w:rsidRPr="00F853DD">
        <w:rPr>
          <w:rFonts w:ascii="Times" w:hAnsi="Times" w:cs="Times New Roman"/>
          <w:sz w:val="23"/>
          <w:szCs w:val="23"/>
        </w:rPr>
        <w:t>Population Division</w:t>
      </w:r>
    </w:p>
    <w:p w14:paraId="6E535EDD" w14:textId="2C4BA44C" w:rsidR="00DF05BD" w:rsidRPr="00F853DD" w:rsidRDefault="006142AE" w:rsidP="006142AE">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Department of Economic and Social Affairs.   </w:t>
      </w:r>
    </w:p>
    <w:p w14:paraId="0F6B3B80" w14:textId="5FF6948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w:t>
      </w:r>
      <w:r w:rsidR="00A32C43" w:rsidRPr="00F853DD">
        <w:rPr>
          <w:rFonts w:ascii="Times" w:hAnsi="Times" w:cs="Times New Roman"/>
          <w:sz w:val="23"/>
          <w:szCs w:val="23"/>
        </w:rPr>
        <w:t>,</w:t>
      </w:r>
      <w:r w:rsidRPr="00F853DD">
        <w:rPr>
          <w:rFonts w:ascii="Times" w:hAnsi="Times" w:cs="Times New Roman"/>
          <w:sz w:val="23"/>
          <w:szCs w:val="23"/>
        </w:rPr>
        <w:t xml:space="preserve"> (2010). World Population Ageing. In: Population Division. (ed). New York: United Nations Department of Economic and Social Affairs.</w:t>
      </w:r>
    </w:p>
    <w:p w14:paraId="67AA70D0" w14:textId="77777777" w:rsidR="0004189C" w:rsidRPr="00F853DD" w:rsidRDefault="0004189C" w:rsidP="0004189C">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UN, (2011). </w:t>
      </w:r>
      <w:r w:rsidRPr="00F853DD">
        <w:rPr>
          <w:rFonts w:ascii="Times" w:hAnsi="Times" w:cs="Times New Roman"/>
          <w:i/>
          <w:sz w:val="23"/>
          <w:szCs w:val="23"/>
        </w:rPr>
        <w:t>Current status of the social situation, well-being, participation in development and rights of older persons worldwide</w:t>
      </w:r>
      <w:r w:rsidRPr="00F853DD">
        <w:rPr>
          <w:rFonts w:ascii="Times" w:hAnsi="Times" w:cs="Times New Roman"/>
          <w:sz w:val="23"/>
          <w:szCs w:val="23"/>
        </w:rPr>
        <w:t>. New York: United Nations, Department of Economic and Social Affairs.</w:t>
      </w:r>
    </w:p>
    <w:p w14:paraId="3F05CD49" w14:textId="77777777" w:rsidR="0004189C" w:rsidRPr="00F853DD" w:rsidRDefault="0004189C" w:rsidP="0004189C">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UN, (2011). </w:t>
      </w:r>
      <w:r w:rsidRPr="0004189C">
        <w:rPr>
          <w:rFonts w:ascii="Times" w:hAnsi="Times" w:cs="Times New Roman"/>
          <w:i/>
          <w:sz w:val="23"/>
          <w:szCs w:val="23"/>
        </w:rPr>
        <w:t>Trinidad and Tobago United Nations Common Country Assessment 2012 – 2016</w:t>
      </w:r>
      <w:r w:rsidRPr="00F853DD">
        <w:rPr>
          <w:rFonts w:ascii="Times" w:hAnsi="Times" w:cs="Times New Roman"/>
          <w:sz w:val="23"/>
          <w:szCs w:val="23"/>
        </w:rPr>
        <w:t xml:space="preserve">. Available from:  https://www.undp.org/content/dam/trinidad_tobago/docs/UN_TT_Country_Assessment_2012_2016.pdf </w:t>
      </w:r>
    </w:p>
    <w:p w14:paraId="7BE1D902" w14:textId="065579E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w:t>
      </w:r>
      <w:r w:rsidR="00A32C43" w:rsidRPr="00F853DD">
        <w:rPr>
          <w:rFonts w:ascii="Times" w:hAnsi="Times" w:cs="Times New Roman"/>
          <w:sz w:val="23"/>
          <w:szCs w:val="23"/>
        </w:rPr>
        <w:t>,</w:t>
      </w:r>
      <w:r w:rsidRPr="00F853DD">
        <w:rPr>
          <w:rFonts w:ascii="Times" w:hAnsi="Times" w:cs="Times New Roman"/>
          <w:sz w:val="23"/>
          <w:szCs w:val="23"/>
        </w:rPr>
        <w:t xml:space="preserve"> </w:t>
      </w:r>
      <w:r w:rsidR="003553A1" w:rsidRPr="00F853DD">
        <w:rPr>
          <w:rFonts w:ascii="Times" w:hAnsi="Times" w:cs="Times New Roman"/>
          <w:sz w:val="23"/>
          <w:szCs w:val="23"/>
        </w:rPr>
        <w:t>(2015). World Population Ageing.</w:t>
      </w:r>
      <w:r w:rsidRPr="00F853DD">
        <w:rPr>
          <w:rFonts w:ascii="Times" w:hAnsi="Times" w:cs="Times New Roman"/>
          <w:sz w:val="23"/>
          <w:szCs w:val="23"/>
        </w:rPr>
        <w:t xml:space="preserve"> </w:t>
      </w:r>
      <w:r w:rsidR="003553A1" w:rsidRPr="00F853DD">
        <w:rPr>
          <w:rFonts w:ascii="Times" w:hAnsi="Times" w:cs="Times New Roman"/>
          <w:sz w:val="23"/>
          <w:szCs w:val="23"/>
        </w:rPr>
        <w:t>(ST/ESA/SER.A/390). New York: United Nations</w:t>
      </w:r>
      <w:r w:rsidRPr="00F853DD">
        <w:rPr>
          <w:rFonts w:ascii="Times" w:hAnsi="Times" w:cs="Times New Roman"/>
          <w:sz w:val="23"/>
          <w:szCs w:val="23"/>
        </w:rPr>
        <w:t xml:space="preserve"> </w:t>
      </w:r>
      <w:r w:rsidR="00A32C43" w:rsidRPr="00F853DD">
        <w:rPr>
          <w:rFonts w:ascii="Times" w:hAnsi="Times" w:cs="Times New Roman"/>
          <w:sz w:val="23"/>
          <w:szCs w:val="23"/>
        </w:rPr>
        <w:t>Department o</w:t>
      </w:r>
      <w:r w:rsidRPr="00F853DD">
        <w:rPr>
          <w:rFonts w:ascii="Times" w:hAnsi="Times" w:cs="Times New Roman"/>
          <w:sz w:val="23"/>
          <w:szCs w:val="23"/>
        </w:rPr>
        <w:t>f Economic And Social Affairs, P</w:t>
      </w:r>
      <w:r w:rsidR="003553A1" w:rsidRPr="00F853DD">
        <w:rPr>
          <w:rFonts w:ascii="Times" w:hAnsi="Times" w:cs="Times New Roman"/>
          <w:sz w:val="23"/>
          <w:szCs w:val="23"/>
        </w:rPr>
        <w:t xml:space="preserve">opulation </w:t>
      </w:r>
      <w:r w:rsidRPr="00F853DD">
        <w:rPr>
          <w:rFonts w:ascii="Times" w:hAnsi="Times" w:cs="Times New Roman"/>
          <w:sz w:val="23"/>
          <w:szCs w:val="23"/>
        </w:rPr>
        <w:t>D</w:t>
      </w:r>
      <w:r w:rsidR="003553A1" w:rsidRPr="00F853DD">
        <w:rPr>
          <w:rFonts w:ascii="Times" w:hAnsi="Times" w:cs="Times New Roman"/>
          <w:sz w:val="23"/>
          <w:szCs w:val="23"/>
        </w:rPr>
        <w:t>ivision.</w:t>
      </w:r>
    </w:p>
    <w:p w14:paraId="224F0B9A" w14:textId="1620AAB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w:t>
      </w:r>
      <w:r w:rsidR="00A32C43" w:rsidRPr="00F853DD">
        <w:rPr>
          <w:rFonts w:ascii="Times" w:hAnsi="Times" w:cs="Times New Roman"/>
          <w:sz w:val="23"/>
          <w:szCs w:val="23"/>
        </w:rPr>
        <w:t>,</w:t>
      </w:r>
      <w:r w:rsidRPr="00F853DD">
        <w:rPr>
          <w:rFonts w:ascii="Times" w:hAnsi="Times" w:cs="Times New Roman"/>
          <w:sz w:val="23"/>
          <w:szCs w:val="23"/>
        </w:rPr>
        <w:t xml:space="preserve"> (2017). World </w:t>
      </w:r>
      <w:r w:rsidR="00A32C43" w:rsidRPr="00F853DD">
        <w:rPr>
          <w:rFonts w:ascii="Times" w:hAnsi="Times" w:cs="Times New Roman"/>
          <w:sz w:val="23"/>
          <w:szCs w:val="23"/>
        </w:rPr>
        <w:t>Population Prospects: The 2017 r</w:t>
      </w:r>
      <w:r w:rsidRPr="00F853DD">
        <w:rPr>
          <w:rFonts w:ascii="Times" w:hAnsi="Times" w:cs="Times New Roman"/>
          <w:sz w:val="23"/>
          <w:szCs w:val="23"/>
        </w:rPr>
        <w:t>evis</w:t>
      </w:r>
      <w:r w:rsidR="00A32C43" w:rsidRPr="00F853DD">
        <w:rPr>
          <w:rFonts w:ascii="Times" w:hAnsi="Times" w:cs="Times New Roman"/>
          <w:sz w:val="23"/>
          <w:szCs w:val="23"/>
        </w:rPr>
        <w:t>ion, key findings and a</w:t>
      </w:r>
      <w:r w:rsidRPr="00F853DD">
        <w:rPr>
          <w:rFonts w:ascii="Times" w:hAnsi="Times" w:cs="Times New Roman"/>
          <w:sz w:val="23"/>
          <w:szCs w:val="23"/>
        </w:rPr>
        <w:t xml:space="preserve">dvance </w:t>
      </w:r>
      <w:r w:rsidR="00A32C43" w:rsidRPr="00F853DD">
        <w:rPr>
          <w:rFonts w:ascii="Times" w:hAnsi="Times" w:cs="Times New Roman"/>
          <w:sz w:val="23"/>
          <w:szCs w:val="23"/>
        </w:rPr>
        <w:t>t</w:t>
      </w:r>
      <w:r w:rsidRPr="00F853DD">
        <w:rPr>
          <w:rFonts w:ascii="Times" w:hAnsi="Times" w:cs="Times New Roman"/>
          <w:sz w:val="23"/>
          <w:szCs w:val="23"/>
        </w:rPr>
        <w:t xml:space="preserve">able. In: </w:t>
      </w:r>
      <w:r w:rsidR="00A32C43" w:rsidRPr="00F853DD">
        <w:rPr>
          <w:rFonts w:ascii="Times" w:hAnsi="Times" w:cs="Times New Roman"/>
          <w:i/>
          <w:sz w:val="23"/>
          <w:szCs w:val="23"/>
        </w:rPr>
        <w:t>Department o</w:t>
      </w:r>
      <w:r w:rsidRPr="00F853DD">
        <w:rPr>
          <w:rFonts w:ascii="Times" w:hAnsi="Times" w:cs="Times New Roman"/>
          <w:i/>
          <w:sz w:val="23"/>
          <w:szCs w:val="23"/>
        </w:rPr>
        <w:t>f Economic and Social Affairs</w:t>
      </w:r>
      <w:r w:rsidRPr="00F853DD">
        <w:rPr>
          <w:rFonts w:ascii="Times" w:hAnsi="Times" w:cs="Times New Roman"/>
          <w:sz w:val="23"/>
          <w:szCs w:val="23"/>
        </w:rPr>
        <w:t>, P. D. (ed.).</w:t>
      </w:r>
    </w:p>
    <w:p w14:paraId="4D7CDFBF" w14:textId="0543384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UNDESA</w:t>
      </w:r>
      <w:r w:rsidR="00A32C43" w:rsidRPr="00F853DD">
        <w:rPr>
          <w:rFonts w:ascii="Times" w:hAnsi="Times" w:cs="Times New Roman"/>
          <w:sz w:val="23"/>
          <w:szCs w:val="23"/>
        </w:rPr>
        <w:t>,</w:t>
      </w:r>
      <w:r w:rsidRPr="00F853DD">
        <w:rPr>
          <w:rFonts w:ascii="Times" w:hAnsi="Times" w:cs="Times New Roman"/>
          <w:sz w:val="23"/>
          <w:szCs w:val="23"/>
        </w:rPr>
        <w:t xml:space="preserve"> (2014). </w:t>
      </w:r>
      <w:r w:rsidRPr="00F853DD">
        <w:rPr>
          <w:rFonts w:ascii="Times" w:hAnsi="Times" w:cs="Times New Roman"/>
          <w:i/>
          <w:sz w:val="23"/>
          <w:szCs w:val="23"/>
        </w:rPr>
        <w:t>Family-oriented policies for poverty reduction, work-family balance and intergenerational solidarity</w:t>
      </w:r>
      <w:r w:rsidRPr="00F853DD">
        <w:rPr>
          <w:rFonts w:ascii="Times" w:hAnsi="Times" w:cs="Times New Roman"/>
          <w:sz w:val="23"/>
          <w:szCs w:val="23"/>
        </w:rPr>
        <w:t>. New York: Division for Social Policy and Development, United Nations Department of Economic and Social Affairs.</w:t>
      </w:r>
    </w:p>
    <w:p w14:paraId="4AA08332" w14:textId="7ED375C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UNDP</w:t>
      </w:r>
      <w:r w:rsidR="00A32C43"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Human Development for Everyone</w:t>
      </w:r>
      <w:r w:rsidRPr="00F853DD">
        <w:rPr>
          <w:rFonts w:ascii="Times" w:hAnsi="Times" w:cs="Times New Roman"/>
          <w:sz w:val="23"/>
          <w:szCs w:val="23"/>
        </w:rPr>
        <w:t>. Human Development Report.</w:t>
      </w:r>
    </w:p>
    <w:p w14:paraId="0AD5E2B8" w14:textId="63449C2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UNECLAC and CDCC</w:t>
      </w:r>
      <w:r w:rsidR="00A32C43" w:rsidRPr="00F853DD">
        <w:rPr>
          <w:rFonts w:ascii="Times" w:hAnsi="Times" w:cs="Times New Roman"/>
          <w:sz w:val="23"/>
          <w:szCs w:val="23"/>
        </w:rPr>
        <w:t>,</w:t>
      </w:r>
      <w:r w:rsidRPr="00F853DD">
        <w:rPr>
          <w:rFonts w:ascii="Times" w:hAnsi="Times" w:cs="Times New Roman"/>
          <w:sz w:val="23"/>
          <w:szCs w:val="23"/>
        </w:rPr>
        <w:t xml:space="preserve"> (2000). </w:t>
      </w:r>
      <w:r w:rsidRPr="00F853DD">
        <w:rPr>
          <w:rFonts w:ascii="Times" w:hAnsi="Times" w:cs="Times New Roman"/>
          <w:i/>
          <w:sz w:val="23"/>
          <w:szCs w:val="23"/>
        </w:rPr>
        <w:t>The phenomenon of ageing and the situation of older persons in the Caribbean</w:t>
      </w:r>
      <w:r w:rsidRPr="00F853DD">
        <w:rPr>
          <w:rFonts w:ascii="Times" w:hAnsi="Times" w:cs="Times New Roman"/>
          <w:sz w:val="23"/>
          <w:szCs w:val="23"/>
        </w:rPr>
        <w:t xml:space="preserve"> [online]. Port of Spain, Trinidad and Tobago.</w:t>
      </w:r>
    </w:p>
    <w:p w14:paraId="4A67603F" w14:textId="5A267DE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UNECLAC</w:t>
      </w:r>
      <w:r w:rsidR="00A32C43" w:rsidRPr="00F853DD">
        <w:rPr>
          <w:rFonts w:ascii="Times" w:hAnsi="Times" w:cs="Times New Roman"/>
          <w:sz w:val="23"/>
          <w:szCs w:val="23"/>
        </w:rPr>
        <w:t>,</w:t>
      </w:r>
      <w:r w:rsidRPr="00F853DD">
        <w:rPr>
          <w:rFonts w:ascii="Times" w:hAnsi="Times" w:cs="Times New Roman"/>
          <w:sz w:val="23"/>
          <w:szCs w:val="23"/>
        </w:rPr>
        <w:t xml:space="preserve"> (2004). </w:t>
      </w:r>
      <w:r w:rsidRPr="00F853DD">
        <w:rPr>
          <w:rFonts w:ascii="Times" w:hAnsi="Times" w:cs="Times New Roman"/>
          <w:i/>
          <w:sz w:val="23"/>
          <w:szCs w:val="23"/>
        </w:rPr>
        <w:t>Population, Ageing and Development</w:t>
      </w:r>
      <w:r w:rsidRPr="00F853DD">
        <w:rPr>
          <w:rFonts w:ascii="Times" w:hAnsi="Times" w:cs="Times New Roman"/>
          <w:sz w:val="23"/>
          <w:szCs w:val="23"/>
        </w:rPr>
        <w:t xml:space="preserve">. Thirtieth Session of ECLAC, San Juan, Puerto Rico, 28 June - 2 July 2004. LC/G.2235(SES.30/16) </w:t>
      </w:r>
    </w:p>
    <w:p w14:paraId="5C1299CC" w14:textId="7104489C" w:rsidR="0051021E" w:rsidRPr="00F853DD" w:rsidRDefault="0051021E"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UNECLAC</w:t>
      </w:r>
      <w:r w:rsidR="00A32C43" w:rsidRPr="00F853DD">
        <w:rPr>
          <w:rFonts w:ascii="Times" w:hAnsi="Times" w:cs="Times New Roman"/>
          <w:sz w:val="23"/>
          <w:szCs w:val="23"/>
        </w:rPr>
        <w:t>,</w:t>
      </w:r>
      <w:r w:rsidRPr="00F853DD">
        <w:rPr>
          <w:rFonts w:ascii="Times" w:hAnsi="Times" w:cs="Times New Roman"/>
          <w:sz w:val="23"/>
          <w:szCs w:val="23"/>
        </w:rPr>
        <w:t xml:space="preserve"> (2007). </w:t>
      </w:r>
      <w:r w:rsidRPr="00F853DD">
        <w:rPr>
          <w:rFonts w:ascii="Times" w:hAnsi="Times" w:cs="Times New Roman"/>
          <w:i/>
          <w:sz w:val="23"/>
          <w:szCs w:val="23"/>
        </w:rPr>
        <w:t xml:space="preserve">The </w:t>
      </w:r>
      <w:r w:rsidR="00A32C43" w:rsidRPr="00F853DD">
        <w:rPr>
          <w:rFonts w:ascii="Times" w:hAnsi="Times" w:cs="Times New Roman"/>
          <w:i/>
          <w:sz w:val="23"/>
          <w:szCs w:val="23"/>
        </w:rPr>
        <w:t>r</w:t>
      </w:r>
      <w:r w:rsidRPr="00F853DD">
        <w:rPr>
          <w:rFonts w:ascii="Times" w:hAnsi="Times" w:cs="Times New Roman"/>
          <w:i/>
          <w:sz w:val="23"/>
          <w:szCs w:val="23"/>
        </w:rPr>
        <w:t xml:space="preserve">eport on the </w:t>
      </w:r>
      <w:r w:rsidR="00A32C43" w:rsidRPr="00F853DD">
        <w:rPr>
          <w:rFonts w:ascii="Times" w:hAnsi="Times" w:cs="Times New Roman"/>
          <w:i/>
          <w:sz w:val="23"/>
          <w:szCs w:val="23"/>
        </w:rPr>
        <w:t>a</w:t>
      </w:r>
      <w:r w:rsidRPr="00F853DD">
        <w:rPr>
          <w:rFonts w:ascii="Times" w:hAnsi="Times" w:cs="Times New Roman"/>
          <w:i/>
          <w:sz w:val="23"/>
          <w:szCs w:val="23"/>
        </w:rPr>
        <w:t xml:space="preserve">pplication of the </w:t>
      </w:r>
      <w:r w:rsidR="00A32C43" w:rsidRPr="00F853DD">
        <w:rPr>
          <w:rFonts w:ascii="Times" w:hAnsi="Times" w:cs="Times New Roman"/>
          <w:i/>
          <w:sz w:val="23"/>
          <w:szCs w:val="23"/>
        </w:rPr>
        <w:t>r</w:t>
      </w:r>
      <w:r w:rsidRPr="00F853DD">
        <w:rPr>
          <w:rFonts w:ascii="Times" w:hAnsi="Times" w:cs="Times New Roman"/>
          <w:i/>
          <w:sz w:val="23"/>
          <w:szCs w:val="23"/>
        </w:rPr>
        <w:t xml:space="preserve">egional </w:t>
      </w:r>
      <w:r w:rsidR="00A32C43" w:rsidRPr="00F853DD">
        <w:rPr>
          <w:rFonts w:ascii="Times" w:hAnsi="Times" w:cs="Times New Roman"/>
          <w:i/>
          <w:sz w:val="23"/>
          <w:szCs w:val="23"/>
        </w:rPr>
        <w:t>s</w:t>
      </w:r>
      <w:r w:rsidRPr="00F853DD">
        <w:rPr>
          <w:rFonts w:ascii="Times" w:hAnsi="Times" w:cs="Times New Roman"/>
          <w:i/>
          <w:sz w:val="23"/>
          <w:szCs w:val="23"/>
        </w:rPr>
        <w:t xml:space="preserve">trategy for the </w:t>
      </w:r>
      <w:r w:rsidR="00A32C43" w:rsidRPr="00F853DD">
        <w:rPr>
          <w:rFonts w:ascii="Times" w:hAnsi="Times" w:cs="Times New Roman"/>
          <w:i/>
          <w:sz w:val="23"/>
          <w:szCs w:val="23"/>
        </w:rPr>
        <w:t>i</w:t>
      </w:r>
      <w:r w:rsidRPr="00F853DD">
        <w:rPr>
          <w:rFonts w:ascii="Times" w:hAnsi="Times" w:cs="Times New Roman"/>
          <w:i/>
          <w:sz w:val="23"/>
          <w:szCs w:val="23"/>
        </w:rPr>
        <w:t>mplementation in Latin America and the Caribbean of the Madrid International Plan of Action on Ageing</w:t>
      </w:r>
      <w:r w:rsidRPr="00F853DD">
        <w:rPr>
          <w:rFonts w:ascii="Times" w:hAnsi="Times" w:cs="Times New Roman"/>
          <w:sz w:val="23"/>
          <w:szCs w:val="23"/>
        </w:rPr>
        <w:t>. LC/L.2749(CRE-2/3) [Viewed 28 December 2019]. Available from: https://repositorio.cepal.org/handle/11362/21391</w:t>
      </w:r>
    </w:p>
    <w:p w14:paraId="7AE41B96" w14:textId="3EEA141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UNECLAC</w:t>
      </w:r>
      <w:r w:rsidR="00A32C43" w:rsidRPr="00F853DD">
        <w:rPr>
          <w:rFonts w:ascii="Times" w:hAnsi="Times" w:cs="Times New Roman"/>
          <w:sz w:val="23"/>
          <w:szCs w:val="23"/>
        </w:rPr>
        <w:t>,</w:t>
      </w:r>
      <w:r w:rsidRPr="00F853DD">
        <w:rPr>
          <w:rFonts w:ascii="Times" w:hAnsi="Times" w:cs="Times New Roman"/>
          <w:sz w:val="23"/>
          <w:szCs w:val="23"/>
        </w:rPr>
        <w:t xml:space="preserve"> (2011)a. </w:t>
      </w:r>
      <w:r w:rsidRPr="00F853DD">
        <w:rPr>
          <w:rFonts w:ascii="Times" w:hAnsi="Times" w:cs="Times New Roman"/>
          <w:i/>
          <w:sz w:val="23"/>
          <w:szCs w:val="23"/>
        </w:rPr>
        <w:t xml:space="preserve">Availability, </w:t>
      </w:r>
      <w:r w:rsidR="00A32C43" w:rsidRPr="00F853DD">
        <w:rPr>
          <w:rFonts w:ascii="Times" w:hAnsi="Times" w:cs="Times New Roman"/>
          <w:i/>
          <w:sz w:val="23"/>
          <w:szCs w:val="23"/>
        </w:rPr>
        <w:t>c</w:t>
      </w:r>
      <w:r w:rsidRPr="00F853DD">
        <w:rPr>
          <w:rFonts w:ascii="Times" w:hAnsi="Times" w:cs="Times New Roman"/>
          <w:i/>
          <w:sz w:val="23"/>
          <w:szCs w:val="23"/>
        </w:rPr>
        <w:t xml:space="preserve">ollection and </w:t>
      </w:r>
      <w:r w:rsidR="00A32C43" w:rsidRPr="00F853DD">
        <w:rPr>
          <w:rFonts w:ascii="Times" w:hAnsi="Times" w:cs="Times New Roman"/>
          <w:i/>
          <w:sz w:val="23"/>
          <w:szCs w:val="23"/>
        </w:rPr>
        <w:t>u</w:t>
      </w:r>
      <w:r w:rsidRPr="00F853DD">
        <w:rPr>
          <w:rFonts w:ascii="Times" w:hAnsi="Times" w:cs="Times New Roman"/>
          <w:i/>
          <w:sz w:val="23"/>
          <w:szCs w:val="23"/>
        </w:rPr>
        <w:t xml:space="preserve">se of </w:t>
      </w:r>
      <w:r w:rsidR="00A32C43" w:rsidRPr="00F853DD">
        <w:rPr>
          <w:rFonts w:ascii="Times" w:hAnsi="Times" w:cs="Times New Roman"/>
          <w:i/>
          <w:sz w:val="23"/>
          <w:szCs w:val="23"/>
        </w:rPr>
        <w:t>d</w:t>
      </w:r>
      <w:r w:rsidRPr="00F853DD">
        <w:rPr>
          <w:rFonts w:ascii="Times" w:hAnsi="Times" w:cs="Times New Roman"/>
          <w:i/>
          <w:sz w:val="23"/>
          <w:szCs w:val="23"/>
        </w:rPr>
        <w:t xml:space="preserve">ata on </w:t>
      </w:r>
      <w:r w:rsidR="00A32C43" w:rsidRPr="00F853DD">
        <w:rPr>
          <w:rFonts w:ascii="Times" w:hAnsi="Times" w:cs="Times New Roman"/>
          <w:i/>
          <w:sz w:val="23"/>
          <w:szCs w:val="23"/>
        </w:rPr>
        <w:t>d</w:t>
      </w:r>
      <w:r w:rsidRPr="00F853DD">
        <w:rPr>
          <w:rFonts w:ascii="Times" w:hAnsi="Times" w:cs="Times New Roman"/>
          <w:i/>
          <w:sz w:val="23"/>
          <w:szCs w:val="23"/>
        </w:rPr>
        <w:t xml:space="preserve">isability in the Caribbean </w:t>
      </w:r>
      <w:r w:rsidR="00A32C43" w:rsidRPr="00F853DD">
        <w:rPr>
          <w:rFonts w:ascii="Times" w:hAnsi="Times" w:cs="Times New Roman"/>
          <w:i/>
          <w:sz w:val="23"/>
          <w:szCs w:val="23"/>
        </w:rPr>
        <w:t>s</w:t>
      </w:r>
      <w:r w:rsidRPr="00F853DD">
        <w:rPr>
          <w:rFonts w:ascii="Times" w:hAnsi="Times" w:cs="Times New Roman"/>
          <w:i/>
          <w:sz w:val="23"/>
          <w:szCs w:val="23"/>
        </w:rPr>
        <w:t>ub-</w:t>
      </w:r>
      <w:r w:rsidR="00A32C43" w:rsidRPr="00F853DD">
        <w:rPr>
          <w:rFonts w:ascii="Times" w:hAnsi="Times" w:cs="Times New Roman"/>
          <w:i/>
          <w:sz w:val="23"/>
          <w:szCs w:val="23"/>
        </w:rPr>
        <w:t>r</w:t>
      </w:r>
      <w:r w:rsidRPr="00F853DD">
        <w:rPr>
          <w:rFonts w:ascii="Times" w:hAnsi="Times" w:cs="Times New Roman"/>
          <w:i/>
          <w:sz w:val="23"/>
          <w:szCs w:val="23"/>
        </w:rPr>
        <w:t>egio</w:t>
      </w:r>
      <w:r w:rsidRPr="00F853DD">
        <w:rPr>
          <w:rFonts w:ascii="Times" w:hAnsi="Times" w:cs="Times New Roman"/>
          <w:sz w:val="23"/>
          <w:szCs w:val="23"/>
        </w:rPr>
        <w:t>n.</w:t>
      </w:r>
    </w:p>
    <w:p w14:paraId="1C034D5E" w14:textId="7AF60D7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UNECLAC</w:t>
      </w:r>
      <w:r w:rsidR="00A32C43" w:rsidRPr="00F853DD">
        <w:rPr>
          <w:rFonts w:ascii="Times" w:hAnsi="Times" w:cs="Times New Roman"/>
          <w:sz w:val="23"/>
          <w:szCs w:val="23"/>
        </w:rPr>
        <w:t>,</w:t>
      </w:r>
      <w:r w:rsidRPr="00F853DD">
        <w:rPr>
          <w:rFonts w:ascii="Times" w:hAnsi="Times" w:cs="Times New Roman"/>
          <w:sz w:val="23"/>
          <w:szCs w:val="23"/>
        </w:rPr>
        <w:t xml:space="preserve"> (2011)b. </w:t>
      </w:r>
      <w:r w:rsidRPr="00F853DD">
        <w:rPr>
          <w:rFonts w:ascii="Times" w:hAnsi="Times" w:cs="Times New Roman"/>
          <w:i/>
          <w:sz w:val="23"/>
          <w:szCs w:val="23"/>
        </w:rPr>
        <w:t>Population ageing, intergenerational transfers and social protection in Latin America and the Caribbean</w:t>
      </w:r>
      <w:r w:rsidRPr="00F853DD">
        <w:rPr>
          <w:rFonts w:ascii="Times" w:hAnsi="Times" w:cs="Times New Roman"/>
          <w:sz w:val="23"/>
          <w:szCs w:val="23"/>
        </w:rPr>
        <w:t>.</w:t>
      </w:r>
    </w:p>
    <w:p w14:paraId="45BBDD00" w14:textId="4C6ED29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UNECLAC</w:t>
      </w:r>
      <w:r w:rsidR="00A32C43"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San Jose charter on the rights of older persons in Latin America and the Caribbean</w:t>
      </w:r>
      <w:r w:rsidRPr="00F853DD">
        <w:rPr>
          <w:rFonts w:ascii="Times" w:hAnsi="Times" w:cs="Times New Roman"/>
          <w:sz w:val="23"/>
          <w:szCs w:val="23"/>
        </w:rPr>
        <w:t>. Third Regional Intergovernmental Conference on ageing in Latin America and the Caribbean. Costa Rica.</w:t>
      </w:r>
    </w:p>
    <w:p w14:paraId="531A1846" w14:textId="4119458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UNECLAC</w:t>
      </w:r>
      <w:r w:rsidR="00A32C43"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sz w:val="23"/>
          <w:szCs w:val="23"/>
        </w:rPr>
        <w:t xml:space="preserve">Preliminary </w:t>
      </w:r>
      <w:r w:rsidR="00A32C43" w:rsidRPr="00F853DD">
        <w:rPr>
          <w:rFonts w:ascii="Times" w:hAnsi="Times" w:cs="Times New Roman"/>
          <w:i/>
          <w:sz w:val="23"/>
          <w:szCs w:val="23"/>
        </w:rPr>
        <w:t>o</w:t>
      </w:r>
      <w:r w:rsidRPr="00F853DD">
        <w:rPr>
          <w:rFonts w:ascii="Times" w:hAnsi="Times" w:cs="Times New Roman"/>
          <w:i/>
          <w:sz w:val="23"/>
          <w:szCs w:val="23"/>
        </w:rPr>
        <w:t xml:space="preserve">verview of the </w:t>
      </w:r>
      <w:r w:rsidR="00A32C43" w:rsidRPr="00F853DD">
        <w:rPr>
          <w:rFonts w:ascii="Times" w:hAnsi="Times" w:cs="Times New Roman"/>
          <w:i/>
          <w:sz w:val="23"/>
          <w:szCs w:val="23"/>
        </w:rPr>
        <w:t>e</w:t>
      </w:r>
      <w:r w:rsidRPr="00F853DD">
        <w:rPr>
          <w:rFonts w:ascii="Times" w:hAnsi="Times" w:cs="Times New Roman"/>
          <w:i/>
          <w:sz w:val="23"/>
          <w:szCs w:val="23"/>
        </w:rPr>
        <w:t>conomies of Latin America and the Caribbean</w:t>
      </w:r>
      <w:r w:rsidRPr="00F853DD">
        <w:rPr>
          <w:rFonts w:ascii="Times" w:hAnsi="Times" w:cs="Times New Roman"/>
          <w:sz w:val="23"/>
          <w:szCs w:val="23"/>
        </w:rPr>
        <w:t>. Chile.</w:t>
      </w:r>
    </w:p>
    <w:p w14:paraId="2B221604" w14:textId="72F12EF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UNECLAC</w:t>
      </w:r>
      <w:r w:rsidR="00234C9F"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 xml:space="preserve">Database on </w:t>
      </w:r>
      <w:r w:rsidR="00234C9F" w:rsidRPr="00F853DD">
        <w:rPr>
          <w:rFonts w:ascii="Times" w:hAnsi="Times" w:cs="Times New Roman"/>
          <w:i/>
          <w:sz w:val="23"/>
          <w:szCs w:val="23"/>
        </w:rPr>
        <w:t>s</w:t>
      </w:r>
      <w:r w:rsidRPr="00F853DD">
        <w:rPr>
          <w:rFonts w:ascii="Times" w:hAnsi="Times" w:cs="Times New Roman"/>
          <w:i/>
          <w:sz w:val="23"/>
          <w:szCs w:val="23"/>
        </w:rPr>
        <w:t xml:space="preserve">ocial </w:t>
      </w:r>
      <w:r w:rsidR="00234C9F" w:rsidRPr="00F853DD">
        <w:rPr>
          <w:rFonts w:ascii="Times" w:hAnsi="Times" w:cs="Times New Roman"/>
          <w:i/>
          <w:sz w:val="23"/>
          <w:szCs w:val="23"/>
        </w:rPr>
        <w:t>i</w:t>
      </w:r>
      <w:r w:rsidRPr="00F853DD">
        <w:rPr>
          <w:rFonts w:ascii="Times" w:hAnsi="Times" w:cs="Times New Roman"/>
          <w:i/>
          <w:sz w:val="23"/>
          <w:szCs w:val="23"/>
        </w:rPr>
        <w:t>nvestment in Latin America and Caribbean</w:t>
      </w:r>
      <w:r w:rsidRPr="00F853DD">
        <w:rPr>
          <w:rFonts w:ascii="Times" w:hAnsi="Times" w:cs="Times New Roman"/>
          <w:sz w:val="23"/>
          <w:szCs w:val="23"/>
        </w:rPr>
        <w:t>. New York: UN Publications.</w:t>
      </w:r>
    </w:p>
    <w:p w14:paraId="55B35019" w14:textId="29A48D9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UNECLAC</w:t>
      </w:r>
      <w:r w:rsidR="00234C9F" w:rsidRPr="00F853DD">
        <w:rPr>
          <w:rFonts w:ascii="Times" w:hAnsi="Times" w:cs="Times New Roman"/>
          <w:sz w:val="23"/>
          <w:szCs w:val="23"/>
        </w:rPr>
        <w:t>,</w:t>
      </w:r>
      <w:r w:rsidRPr="00F853DD">
        <w:rPr>
          <w:rFonts w:ascii="Times" w:hAnsi="Times" w:cs="Times New Roman"/>
          <w:sz w:val="23"/>
          <w:szCs w:val="23"/>
        </w:rPr>
        <w:t xml:space="preserve"> (2017). </w:t>
      </w:r>
      <w:r w:rsidRPr="00F853DD">
        <w:rPr>
          <w:rFonts w:ascii="Times" w:hAnsi="Times" w:cs="Times New Roman"/>
          <w:i/>
          <w:sz w:val="23"/>
          <w:szCs w:val="23"/>
        </w:rPr>
        <w:t xml:space="preserve">Trinidad and Tobago </w:t>
      </w:r>
      <w:r w:rsidR="00234C9F" w:rsidRPr="00F853DD">
        <w:rPr>
          <w:rFonts w:ascii="Times" w:hAnsi="Times" w:cs="Times New Roman"/>
          <w:i/>
          <w:sz w:val="23"/>
          <w:szCs w:val="23"/>
        </w:rPr>
        <w:t>n</w:t>
      </w:r>
      <w:r w:rsidRPr="00F853DD">
        <w:rPr>
          <w:rFonts w:ascii="Times" w:hAnsi="Times" w:cs="Times New Roman"/>
          <w:i/>
          <w:sz w:val="23"/>
          <w:szCs w:val="23"/>
        </w:rPr>
        <w:t xml:space="preserve">ational </w:t>
      </w:r>
      <w:r w:rsidR="00234C9F" w:rsidRPr="00F853DD">
        <w:rPr>
          <w:rFonts w:ascii="Times" w:hAnsi="Times" w:cs="Times New Roman"/>
          <w:i/>
          <w:sz w:val="23"/>
          <w:szCs w:val="23"/>
        </w:rPr>
        <w:t>s</w:t>
      </w:r>
      <w:r w:rsidRPr="00F853DD">
        <w:rPr>
          <w:rFonts w:ascii="Times" w:hAnsi="Times" w:cs="Times New Roman"/>
          <w:i/>
          <w:sz w:val="23"/>
          <w:szCs w:val="23"/>
        </w:rPr>
        <w:t>ocio-</w:t>
      </w:r>
      <w:r w:rsidR="00234C9F" w:rsidRPr="00F853DD">
        <w:rPr>
          <w:rFonts w:ascii="Times" w:hAnsi="Times" w:cs="Times New Roman"/>
          <w:i/>
          <w:sz w:val="23"/>
          <w:szCs w:val="23"/>
        </w:rPr>
        <w:t>d</w:t>
      </w:r>
      <w:r w:rsidRPr="00F853DD">
        <w:rPr>
          <w:rFonts w:ascii="Times" w:hAnsi="Times" w:cs="Times New Roman"/>
          <w:i/>
          <w:sz w:val="23"/>
          <w:szCs w:val="23"/>
        </w:rPr>
        <w:t xml:space="preserve">emographic </w:t>
      </w:r>
      <w:r w:rsidR="00234C9F" w:rsidRPr="00F853DD">
        <w:rPr>
          <w:rFonts w:ascii="Times" w:hAnsi="Times" w:cs="Times New Roman"/>
          <w:i/>
          <w:sz w:val="23"/>
          <w:szCs w:val="23"/>
        </w:rPr>
        <w:t>p</w:t>
      </w:r>
      <w:r w:rsidRPr="00F853DD">
        <w:rPr>
          <w:rFonts w:ascii="Times" w:hAnsi="Times" w:cs="Times New Roman"/>
          <w:i/>
          <w:sz w:val="23"/>
          <w:szCs w:val="23"/>
        </w:rPr>
        <w:t>rofile</w:t>
      </w:r>
      <w:r w:rsidRPr="00F853DD">
        <w:rPr>
          <w:rFonts w:ascii="Times" w:hAnsi="Times" w:cs="Times New Roman"/>
          <w:sz w:val="23"/>
          <w:szCs w:val="23"/>
        </w:rPr>
        <w:t>. CEPAL Stat Databases and Statistical Publications.</w:t>
      </w:r>
    </w:p>
    <w:p w14:paraId="5B14B535" w14:textId="28D7DA4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Ungar, M.</w:t>
      </w:r>
      <w:r w:rsidR="00234C9F" w:rsidRPr="00F853DD">
        <w:rPr>
          <w:rFonts w:ascii="Times" w:hAnsi="Times" w:cs="Times New Roman"/>
          <w:sz w:val="23"/>
          <w:szCs w:val="23"/>
        </w:rPr>
        <w:t>,</w:t>
      </w:r>
      <w:r w:rsidRPr="00F853DD">
        <w:rPr>
          <w:rFonts w:ascii="Times" w:hAnsi="Times" w:cs="Times New Roman"/>
          <w:sz w:val="23"/>
          <w:szCs w:val="23"/>
        </w:rPr>
        <w:t xml:space="preserve"> (2008). Resilience across cultures. </w:t>
      </w:r>
      <w:r w:rsidRPr="00F853DD">
        <w:rPr>
          <w:rFonts w:ascii="Times" w:hAnsi="Times" w:cs="Times New Roman"/>
          <w:i/>
          <w:sz w:val="23"/>
          <w:szCs w:val="23"/>
        </w:rPr>
        <w:t>British Journal of Social Work</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 218-235.</w:t>
      </w:r>
    </w:p>
    <w:p w14:paraId="4478A232" w14:textId="61CA0413" w:rsidR="00DF05B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Ungar, M.</w:t>
      </w:r>
      <w:r w:rsidR="00234C9F" w:rsidRPr="00F853DD">
        <w:rPr>
          <w:rFonts w:ascii="Times" w:hAnsi="Times" w:cs="Times New Roman"/>
          <w:sz w:val="23"/>
          <w:szCs w:val="23"/>
        </w:rPr>
        <w:t>,</w:t>
      </w:r>
      <w:r w:rsidRPr="00F853DD">
        <w:rPr>
          <w:rFonts w:ascii="Times" w:hAnsi="Times" w:cs="Times New Roman"/>
          <w:sz w:val="23"/>
          <w:szCs w:val="23"/>
        </w:rPr>
        <w:t xml:space="preserve"> (2016). Varied patterns of family resilience in challenging contexts. </w:t>
      </w:r>
      <w:r w:rsidRPr="00F853DD">
        <w:rPr>
          <w:rFonts w:ascii="Times" w:hAnsi="Times" w:cs="Times New Roman"/>
          <w:i/>
          <w:sz w:val="23"/>
          <w:szCs w:val="23"/>
        </w:rPr>
        <w:t>Journal of Marital and Family Therapy</w:t>
      </w:r>
      <w:r w:rsidR="00234C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 19-31.</w:t>
      </w:r>
    </w:p>
    <w:p w14:paraId="59C47B2D" w14:textId="1D18A36F" w:rsidR="0004189C" w:rsidRPr="00F853DD" w:rsidRDefault="0004189C" w:rsidP="00E1694A">
      <w:pPr>
        <w:autoSpaceDE w:val="0"/>
        <w:autoSpaceDN w:val="0"/>
        <w:adjustRightInd w:val="0"/>
        <w:spacing w:line="240" w:lineRule="auto"/>
        <w:ind w:left="567" w:hanging="567"/>
        <w:rPr>
          <w:rFonts w:ascii="Times" w:hAnsi="Times" w:cs="Times New Roman"/>
          <w:sz w:val="23"/>
          <w:szCs w:val="23"/>
        </w:rPr>
      </w:pPr>
      <w:r w:rsidRPr="0004189C">
        <w:rPr>
          <w:rFonts w:ascii="Times" w:hAnsi="Times" w:cs="Times New Roman"/>
          <w:sz w:val="23"/>
          <w:szCs w:val="23"/>
        </w:rPr>
        <w:t xml:space="preserve">Ungerson, C., 1990. </w:t>
      </w:r>
      <w:r w:rsidRPr="0004189C">
        <w:rPr>
          <w:rFonts w:ascii="Times" w:hAnsi="Times" w:cs="Times New Roman"/>
          <w:i/>
          <w:sz w:val="23"/>
          <w:szCs w:val="23"/>
        </w:rPr>
        <w:t>Gender and caring: Work and welfare in Britain and Scandinavia</w:t>
      </w:r>
      <w:r w:rsidRPr="0004189C">
        <w:rPr>
          <w:rFonts w:ascii="Times" w:hAnsi="Times" w:cs="Times New Roman"/>
          <w:sz w:val="23"/>
          <w:szCs w:val="23"/>
        </w:rPr>
        <w:t>. Harvester Wheatsheaf.</w:t>
      </w:r>
    </w:p>
    <w:p w14:paraId="3EB323E3" w14:textId="695DF4BE" w:rsidR="00DF05BD" w:rsidRPr="00F853DD" w:rsidRDefault="00234C9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UoS,</w:t>
      </w:r>
      <w:r w:rsidR="00DF05BD" w:rsidRPr="00F853DD">
        <w:rPr>
          <w:rFonts w:ascii="Times" w:hAnsi="Times" w:cs="Times New Roman"/>
          <w:sz w:val="23"/>
          <w:szCs w:val="23"/>
        </w:rPr>
        <w:t xml:space="preserve"> (n.d.). </w:t>
      </w:r>
      <w:r w:rsidR="00DF05BD" w:rsidRPr="00F853DD">
        <w:rPr>
          <w:rFonts w:ascii="Times" w:hAnsi="Times" w:cs="Times New Roman"/>
          <w:i/>
          <w:sz w:val="23"/>
          <w:szCs w:val="23"/>
        </w:rPr>
        <w:t xml:space="preserve">A </w:t>
      </w:r>
      <w:r w:rsidRPr="00F853DD">
        <w:rPr>
          <w:rFonts w:ascii="Times" w:hAnsi="Times" w:cs="Times New Roman"/>
          <w:i/>
          <w:sz w:val="23"/>
          <w:szCs w:val="23"/>
        </w:rPr>
        <w:t>b</w:t>
      </w:r>
      <w:r w:rsidR="00DF05BD" w:rsidRPr="00F853DD">
        <w:rPr>
          <w:rFonts w:ascii="Times" w:hAnsi="Times" w:cs="Times New Roman"/>
          <w:i/>
          <w:sz w:val="23"/>
          <w:szCs w:val="23"/>
        </w:rPr>
        <w:t xml:space="preserve">rief </w:t>
      </w:r>
      <w:r w:rsidRPr="00F853DD">
        <w:rPr>
          <w:rFonts w:ascii="Times" w:hAnsi="Times" w:cs="Times New Roman"/>
          <w:i/>
          <w:sz w:val="23"/>
          <w:szCs w:val="23"/>
        </w:rPr>
        <w:t>s</w:t>
      </w:r>
      <w:r w:rsidR="00DF05BD" w:rsidRPr="00F853DD">
        <w:rPr>
          <w:rFonts w:ascii="Times" w:hAnsi="Times" w:cs="Times New Roman"/>
          <w:i/>
          <w:sz w:val="23"/>
          <w:szCs w:val="23"/>
        </w:rPr>
        <w:t xml:space="preserve">tudent </w:t>
      </w:r>
      <w:r w:rsidRPr="00F853DD">
        <w:rPr>
          <w:rFonts w:ascii="Times" w:hAnsi="Times" w:cs="Times New Roman"/>
          <w:i/>
          <w:sz w:val="23"/>
          <w:szCs w:val="23"/>
        </w:rPr>
        <w:t>g</w:t>
      </w:r>
      <w:r w:rsidR="00DF05BD" w:rsidRPr="00F853DD">
        <w:rPr>
          <w:rFonts w:ascii="Times" w:hAnsi="Times" w:cs="Times New Roman"/>
          <w:i/>
          <w:sz w:val="23"/>
          <w:szCs w:val="23"/>
        </w:rPr>
        <w:t xml:space="preserve">uide to </w:t>
      </w:r>
      <w:r w:rsidRPr="00F853DD">
        <w:rPr>
          <w:rFonts w:ascii="Times" w:hAnsi="Times" w:cs="Times New Roman"/>
          <w:i/>
          <w:sz w:val="23"/>
          <w:szCs w:val="23"/>
        </w:rPr>
        <w:t>r</w:t>
      </w:r>
      <w:r w:rsidR="00DF05BD" w:rsidRPr="00F853DD">
        <w:rPr>
          <w:rFonts w:ascii="Times" w:hAnsi="Times" w:cs="Times New Roman"/>
          <w:i/>
          <w:sz w:val="23"/>
          <w:szCs w:val="23"/>
        </w:rPr>
        <w:t xml:space="preserve">esearch </w:t>
      </w:r>
      <w:r w:rsidRPr="00F853DD">
        <w:rPr>
          <w:rFonts w:ascii="Times" w:hAnsi="Times" w:cs="Times New Roman"/>
          <w:i/>
          <w:sz w:val="23"/>
          <w:szCs w:val="23"/>
        </w:rPr>
        <w:t>e</w:t>
      </w:r>
      <w:r w:rsidR="00DF05BD" w:rsidRPr="00F853DD">
        <w:rPr>
          <w:rFonts w:ascii="Times" w:hAnsi="Times" w:cs="Times New Roman"/>
          <w:i/>
          <w:sz w:val="23"/>
          <w:szCs w:val="23"/>
        </w:rPr>
        <w:t>thics</w:t>
      </w:r>
      <w:r w:rsidR="00DF05BD" w:rsidRPr="00F853DD">
        <w:rPr>
          <w:rFonts w:ascii="Times" w:hAnsi="Times" w:cs="Times New Roman"/>
          <w:sz w:val="23"/>
          <w:szCs w:val="23"/>
        </w:rPr>
        <w:t xml:space="preserve"> [Viewed 20 February 2018]. Available from: https://www.sheffield.ac.uk/polopoly_fs/1.221498!/file/ABriefStudentGuideToResearchEthics.pdf </w:t>
      </w:r>
    </w:p>
    <w:p w14:paraId="79748424" w14:textId="11184ADD" w:rsidR="00DF05BD" w:rsidRPr="00F853DD" w:rsidRDefault="00234C9F"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UoS,</w:t>
      </w:r>
      <w:r w:rsidR="00DF05BD" w:rsidRPr="00F853DD">
        <w:rPr>
          <w:rFonts w:ascii="Times" w:hAnsi="Times" w:cs="Times New Roman"/>
          <w:sz w:val="23"/>
          <w:szCs w:val="23"/>
        </w:rPr>
        <w:t xml:space="preserve"> (n.d.)-b. </w:t>
      </w:r>
      <w:r w:rsidR="00DF05BD" w:rsidRPr="00F853DD">
        <w:rPr>
          <w:rFonts w:ascii="Times" w:hAnsi="Times" w:cs="Times New Roman"/>
          <w:i/>
          <w:sz w:val="23"/>
          <w:szCs w:val="23"/>
        </w:rPr>
        <w:t>Specialist research ethics guidance paper: Ethical considerations in research involving older people.</w:t>
      </w:r>
    </w:p>
    <w:p w14:paraId="05FE60A1" w14:textId="0A86985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USSD (2016). Trinidad and Tobago </w:t>
      </w:r>
      <w:r w:rsidR="00234C9F" w:rsidRPr="00F853DD">
        <w:rPr>
          <w:rFonts w:ascii="Times" w:hAnsi="Times" w:cs="Times New Roman"/>
          <w:sz w:val="23"/>
          <w:szCs w:val="23"/>
        </w:rPr>
        <w:t>i</w:t>
      </w:r>
      <w:r w:rsidRPr="00F853DD">
        <w:rPr>
          <w:rFonts w:ascii="Times" w:hAnsi="Times" w:cs="Times New Roman"/>
          <w:sz w:val="23"/>
          <w:szCs w:val="23"/>
        </w:rPr>
        <w:t xml:space="preserve">nternational </w:t>
      </w:r>
      <w:r w:rsidR="00234C9F" w:rsidRPr="00F853DD">
        <w:rPr>
          <w:rFonts w:ascii="Times" w:hAnsi="Times" w:cs="Times New Roman"/>
          <w:sz w:val="23"/>
          <w:szCs w:val="23"/>
        </w:rPr>
        <w:t>r</w:t>
      </w:r>
      <w:r w:rsidRPr="00F853DD">
        <w:rPr>
          <w:rFonts w:ascii="Times" w:hAnsi="Times" w:cs="Times New Roman"/>
          <w:sz w:val="23"/>
          <w:szCs w:val="23"/>
        </w:rPr>
        <w:t xml:space="preserve">eligious </w:t>
      </w:r>
      <w:r w:rsidR="00234C9F" w:rsidRPr="00F853DD">
        <w:rPr>
          <w:rFonts w:ascii="Times" w:hAnsi="Times" w:cs="Times New Roman"/>
          <w:sz w:val="23"/>
          <w:szCs w:val="23"/>
        </w:rPr>
        <w:t>f</w:t>
      </w:r>
      <w:r w:rsidRPr="00F853DD">
        <w:rPr>
          <w:rFonts w:ascii="Times" w:hAnsi="Times" w:cs="Times New Roman"/>
          <w:sz w:val="23"/>
          <w:szCs w:val="23"/>
        </w:rPr>
        <w:t xml:space="preserve">reedom </w:t>
      </w:r>
      <w:r w:rsidR="00234C9F" w:rsidRPr="00F853DD">
        <w:rPr>
          <w:rFonts w:ascii="Times" w:hAnsi="Times" w:cs="Times New Roman"/>
          <w:sz w:val="23"/>
          <w:szCs w:val="23"/>
        </w:rPr>
        <w:t>r</w:t>
      </w:r>
      <w:r w:rsidRPr="00F853DD">
        <w:rPr>
          <w:rFonts w:ascii="Times" w:hAnsi="Times" w:cs="Times New Roman"/>
          <w:sz w:val="23"/>
          <w:szCs w:val="23"/>
        </w:rPr>
        <w:t xml:space="preserve">eport for 2016. In: </w:t>
      </w:r>
      <w:r w:rsidRPr="00F853DD">
        <w:rPr>
          <w:rFonts w:ascii="Times" w:hAnsi="Times" w:cs="Times New Roman"/>
          <w:i/>
          <w:sz w:val="23"/>
          <w:szCs w:val="23"/>
        </w:rPr>
        <w:t xml:space="preserve">Bureau </w:t>
      </w:r>
      <w:r w:rsidR="00234C9F" w:rsidRPr="00F853DD">
        <w:rPr>
          <w:rFonts w:ascii="Times" w:hAnsi="Times" w:cs="Times New Roman"/>
          <w:i/>
          <w:sz w:val="23"/>
          <w:szCs w:val="23"/>
        </w:rPr>
        <w:t>o</w:t>
      </w:r>
      <w:r w:rsidRPr="00F853DD">
        <w:rPr>
          <w:rFonts w:ascii="Times" w:hAnsi="Times" w:cs="Times New Roman"/>
          <w:i/>
          <w:sz w:val="23"/>
          <w:szCs w:val="23"/>
        </w:rPr>
        <w:t>f Democracy</w:t>
      </w:r>
      <w:r w:rsidRPr="00F853DD">
        <w:rPr>
          <w:rFonts w:ascii="Times" w:hAnsi="Times" w:cs="Times New Roman"/>
          <w:sz w:val="23"/>
          <w:szCs w:val="23"/>
        </w:rPr>
        <w:t>, H. R. L. (ed.).</w:t>
      </w:r>
    </w:p>
    <w:p w14:paraId="0ACDA43C" w14:textId="7777777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USSD (2017). Religious profile of Trinidad and Tobago. In: </w:t>
      </w:r>
      <w:r w:rsidRPr="00F853DD">
        <w:rPr>
          <w:rFonts w:ascii="Times" w:hAnsi="Times" w:cs="Times New Roman"/>
          <w:i/>
          <w:sz w:val="23"/>
          <w:szCs w:val="23"/>
        </w:rPr>
        <w:t>State</w:t>
      </w:r>
      <w:r w:rsidRPr="00F853DD">
        <w:rPr>
          <w:rFonts w:ascii="Times" w:hAnsi="Times" w:cs="Times New Roman"/>
          <w:sz w:val="23"/>
          <w:szCs w:val="23"/>
        </w:rPr>
        <w:t>, U. S. D. O. (ed.).</w:t>
      </w:r>
    </w:p>
    <w:p w14:paraId="0E223790" w14:textId="41864A8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Uwakwe, R., Ibeh, C., Modebe, A., Bo, E., Ezeama, N., Njelita, I., Ferri, C. and Prince, M.</w:t>
      </w:r>
      <w:r w:rsidR="00234C9F" w:rsidRPr="00F853DD">
        <w:rPr>
          <w:rFonts w:ascii="Times" w:hAnsi="Times" w:cs="Times New Roman"/>
          <w:sz w:val="23"/>
          <w:szCs w:val="23"/>
        </w:rPr>
        <w:t>,</w:t>
      </w:r>
      <w:r w:rsidRPr="00F853DD">
        <w:rPr>
          <w:rFonts w:ascii="Times" w:hAnsi="Times" w:cs="Times New Roman"/>
          <w:sz w:val="23"/>
          <w:szCs w:val="23"/>
        </w:rPr>
        <w:t xml:space="preserve"> (2009). The Epidemiology of Dependence in Older People in Nigeria: Prevalence, Determinants, Informal Care, and Health Service Utilization. A 10/66 Dementia Research Group Cross-Sectional Survey. </w:t>
      </w:r>
      <w:r w:rsidRPr="00F853DD">
        <w:rPr>
          <w:rFonts w:ascii="Times" w:hAnsi="Times" w:cs="Times New Roman"/>
          <w:i/>
          <w:sz w:val="23"/>
          <w:szCs w:val="23"/>
        </w:rPr>
        <w:t>Journal of the American Geriatrics Society</w:t>
      </w:r>
      <w:r w:rsidR="00234C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57</w:t>
      </w:r>
      <w:r w:rsidRPr="00F853DD">
        <w:rPr>
          <w:rFonts w:ascii="Times" w:hAnsi="Times" w:cs="Times New Roman"/>
          <w:sz w:val="23"/>
          <w:szCs w:val="23"/>
        </w:rPr>
        <w:t>, 1620-1627.</w:t>
      </w:r>
    </w:p>
    <w:p w14:paraId="51BA57C4" w14:textId="30ED89C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UWI</w:t>
      </w:r>
      <w:r w:rsidR="00234C9F" w:rsidRPr="00F853DD">
        <w:rPr>
          <w:rFonts w:ascii="Times" w:hAnsi="Times" w:cs="Times New Roman"/>
          <w:sz w:val="23"/>
          <w:szCs w:val="23"/>
        </w:rPr>
        <w:t>,</w:t>
      </w:r>
      <w:r w:rsidRPr="00F853DD">
        <w:rPr>
          <w:rFonts w:ascii="Times" w:hAnsi="Times" w:cs="Times New Roman"/>
          <w:sz w:val="23"/>
          <w:szCs w:val="23"/>
        </w:rPr>
        <w:t xml:space="preserve"> (2018). </w:t>
      </w:r>
      <w:r w:rsidRPr="00F853DD">
        <w:rPr>
          <w:rFonts w:ascii="Times" w:hAnsi="Times" w:cs="Times New Roman"/>
          <w:i/>
          <w:sz w:val="23"/>
          <w:szCs w:val="23"/>
        </w:rPr>
        <w:t>Student Statistical Digest 2012/2013 – 2016/2017</w:t>
      </w:r>
      <w:r w:rsidRPr="00F853DD">
        <w:rPr>
          <w:rFonts w:ascii="Times" w:hAnsi="Times" w:cs="Times New Roman"/>
          <w:sz w:val="23"/>
          <w:szCs w:val="23"/>
        </w:rPr>
        <w:t xml:space="preserve"> [online]. Campus Office of Planning and Institutional Research. [Viewed 14 July 2019]. Available from: </w:t>
      </w:r>
      <w:r w:rsidRPr="00F853DD">
        <w:rPr>
          <w:rFonts w:ascii="Times" w:hAnsi="Times" w:cs="Times New Roman"/>
          <w:sz w:val="23"/>
          <w:szCs w:val="23"/>
          <w:u w:val="single"/>
        </w:rPr>
        <w:t>https://sta.uwi.edu/media/documents/2017/CC%20SA%20P%201B%20%20-%20Student%20Statistical%20Digest.pdf</w:t>
      </w:r>
      <w:r w:rsidRPr="00F853DD">
        <w:rPr>
          <w:rFonts w:ascii="Times" w:hAnsi="Times" w:cs="Times New Roman"/>
          <w:sz w:val="23"/>
          <w:szCs w:val="23"/>
        </w:rPr>
        <w:t xml:space="preserve">. </w:t>
      </w:r>
    </w:p>
    <w:p w14:paraId="74C5ECD7" w14:textId="2D9BBDF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Vahia, I., Depp, C., Palmer, B., Fellows, I., Golshan, S., Thompson, W., Allison, M. and Jeste, D.</w:t>
      </w:r>
      <w:r w:rsidR="00234C9F" w:rsidRPr="00F853DD">
        <w:rPr>
          <w:rFonts w:ascii="Times" w:hAnsi="Times" w:cs="Times New Roman"/>
          <w:sz w:val="23"/>
          <w:szCs w:val="23"/>
        </w:rPr>
        <w:t>,</w:t>
      </w:r>
      <w:r w:rsidRPr="00F853DD">
        <w:rPr>
          <w:rFonts w:ascii="Times" w:hAnsi="Times" w:cs="Times New Roman"/>
          <w:sz w:val="23"/>
          <w:szCs w:val="23"/>
        </w:rPr>
        <w:t xml:space="preserve"> (2011). Correlates of spirituality in older women. </w:t>
      </w:r>
      <w:r w:rsidRPr="00F853DD">
        <w:rPr>
          <w:rFonts w:ascii="Times" w:hAnsi="Times" w:cs="Times New Roman"/>
          <w:i/>
          <w:sz w:val="23"/>
          <w:szCs w:val="23"/>
        </w:rPr>
        <w:t>Aging and Mental Health</w:t>
      </w:r>
      <w:r w:rsidR="00234C9F"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97-102.</w:t>
      </w:r>
    </w:p>
    <w:p w14:paraId="681BF0DC" w14:textId="5D2FD6C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Vaittinen, T.</w:t>
      </w:r>
      <w:r w:rsidR="00234C9F" w:rsidRPr="00F853DD">
        <w:rPr>
          <w:rFonts w:ascii="Times" w:hAnsi="Times" w:cs="Times New Roman"/>
          <w:sz w:val="23"/>
          <w:szCs w:val="23"/>
        </w:rPr>
        <w:t>,</w:t>
      </w:r>
      <w:r w:rsidRPr="00F853DD">
        <w:rPr>
          <w:rFonts w:ascii="Times" w:hAnsi="Times" w:cs="Times New Roman"/>
          <w:sz w:val="23"/>
          <w:szCs w:val="23"/>
        </w:rPr>
        <w:t xml:space="preserve"> (2014). Reading global care chains as migrant trajectories: A theoretical framework for the understanding of structural change. </w:t>
      </w:r>
      <w:r w:rsidRPr="00F853DD">
        <w:rPr>
          <w:rFonts w:ascii="Times" w:hAnsi="Times" w:cs="Times New Roman"/>
          <w:i/>
          <w:sz w:val="23"/>
          <w:szCs w:val="23"/>
        </w:rPr>
        <w:t>Women's Studies International Forum</w:t>
      </w:r>
      <w:r w:rsidR="00234C9F"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 191-202.</w:t>
      </w:r>
    </w:p>
    <w:p w14:paraId="12F41266" w14:textId="10D6C4C3"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Valentine, N., De Silva, A. and Murray, C.</w:t>
      </w:r>
      <w:r w:rsidR="00234C9F" w:rsidRPr="00F853DD">
        <w:rPr>
          <w:rFonts w:ascii="Times" w:hAnsi="Times" w:cs="Times New Roman"/>
          <w:sz w:val="23"/>
          <w:szCs w:val="23"/>
        </w:rPr>
        <w:t>,</w:t>
      </w:r>
      <w:r w:rsidRPr="00F853DD">
        <w:rPr>
          <w:rFonts w:ascii="Times" w:hAnsi="Times" w:cs="Times New Roman"/>
          <w:sz w:val="23"/>
          <w:szCs w:val="23"/>
        </w:rPr>
        <w:t xml:space="preserve"> (2000). </w:t>
      </w:r>
      <w:r w:rsidRPr="00F853DD">
        <w:rPr>
          <w:rFonts w:ascii="Times" w:hAnsi="Times" w:cs="Times New Roman"/>
          <w:i/>
          <w:sz w:val="23"/>
          <w:szCs w:val="23"/>
        </w:rPr>
        <w:t>Estimating Responsiveness Level and Distribution for 191 Countries: Methods and Results</w:t>
      </w:r>
      <w:r w:rsidRPr="00F853DD">
        <w:rPr>
          <w:rFonts w:ascii="Times" w:hAnsi="Times" w:cs="Times New Roman"/>
          <w:sz w:val="23"/>
          <w:szCs w:val="23"/>
        </w:rPr>
        <w:t xml:space="preserve">. </w:t>
      </w:r>
      <w:r w:rsidRPr="00F853DD">
        <w:rPr>
          <w:rFonts w:ascii="Times" w:hAnsi="Times" w:cs="Times New Roman"/>
          <w:sz w:val="23"/>
          <w:szCs w:val="23"/>
          <w:lang w:val="nl-NL"/>
        </w:rPr>
        <w:t>World Health Organization.</w:t>
      </w:r>
    </w:p>
    <w:p w14:paraId="38728ACD" w14:textId="4EE75E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Van Abbema, R., Bielderman, A., De Greef, M., Hobbelen, H., Krijnen, W. and Van Der Schans, C.</w:t>
      </w:r>
      <w:r w:rsidR="00234C9F" w:rsidRPr="00F853DD">
        <w:rPr>
          <w:rFonts w:ascii="Times" w:hAnsi="Times" w:cs="Times New Roman"/>
          <w:sz w:val="23"/>
          <w:szCs w:val="23"/>
          <w:lang w:val="nl-NL"/>
        </w:rPr>
        <w:t>,</w:t>
      </w:r>
      <w:r w:rsidRPr="00F853DD">
        <w:rPr>
          <w:rFonts w:ascii="Times" w:hAnsi="Times" w:cs="Times New Roman"/>
          <w:sz w:val="23"/>
          <w:szCs w:val="23"/>
          <w:lang w:val="nl-NL"/>
        </w:rPr>
        <w:t xml:space="preserve"> (2015). </w:t>
      </w:r>
      <w:r w:rsidRPr="00F853DD">
        <w:rPr>
          <w:rFonts w:ascii="Times" w:hAnsi="Times" w:cs="Times New Roman"/>
          <w:sz w:val="23"/>
          <w:szCs w:val="23"/>
        </w:rPr>
        <w:t xml:space="preserve">Building from a conceptual model of the resilience process during ageing, towards the Groningen aging resilience inventory. </w:t>
      </w:r>
      <w:r w:rsidRPr="00F853DD">
        <w:rPr>
          <w:rFonts w:ascii="Times" w:hAnsi="Times" w:cs="Times New Roman"/>
          <w:i/>
          <w:sz w:val="23"/>
          <w:szCs w:val="23"/>
        </w:rPr>
        <w:t>Journal of Advanced Nursing</w:t>
      </w:r>
      <w:r w:rsidR="00234C9F"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71</w:t>
      </w:r>
      <w:r w:rsidRPr="00F853DD">
        <w:rPr>
          <w:rFonts w:ascii="Times" w:hAnsi="Times" w:cs="Times New Roman"/>
          <w:sz w:val="23"/>
          <w:szCs w:val="23"/>
        </w:rPr>
        <w:t>, 2208-2219.</w:t>
      </w:r>
    </w:p>
    <w:p w14:paraId="1D43B9B5" w14:textId="6F75949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 Campen, C., De Boer, A. and Iedema, J.</w:t>
      </w:r>
      <w:r w:rsidR="00234C9F" w:rsidRPr="00F853DD">
        <w:rPr>
          <w:rFonts w:ascii="Times" w:hAnsi="Times" w:cs="Times New Roman"/>
          <w:sz w:val="23"/>
          <w:szCs w:val="23"/>
        </w:rPr>
        <w:t>,</w:t>
      </w:r>
      <w:r w:rsidRPr="00F853DD">
        <w:rPr>
          <w:rFonts w:ascii="Times" w:hAnsi="Times" w:cs="Times New Roman"/>
          <w:sz w:val="23"/>
          <w:szCs w:val="23"/>
        </w:rPr>
        <w:t xml:space="preserve"> (2013). Are informal caregivers less happy than noncaregivers? Happiness and the intensity of caregiving in combination with paid and voluntary work. </w:t>
      </w:r>
      <w:r w:rsidRPr="00F853DD">
        <w:rPr>
          <w:rFonts w:ascii="Times" w:hAnsi="Times" w:cs="Times New Roman"/>
          <w:i/>
          <w:sz w:val="23"/>
          <w:szCs w:val="23"/>
        </w:rPr>
        <w:t>Scandinavian Journal of Caring Sciences</w:t>
      </w:r>
      <w:r w:rsidR="00234C9F"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 44-50.</w:t>
      </w:r>
    </w:p>
    <w:p w14:paraId="4A38296C" w14:textId="611DE3C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 Cleave, J., Trotta, R., Lysaght, S., Steis, M., Lorenz, R. and Naylor, M.</w:t>
      </w:r>
      <w:r w:rsidR="00234C9F" w:rsidRPr="00F853DD">
        <w:rPr>
          <w:rFonts w:ascii="Times" w:hAnsi="Times" w:cs="Times New Roman"/>
          <w:sz w:val="23"/>
          <w:szCs w:val="23"/>
        </w:rPr>
        <w:t>,</w:t>
      </w:r>
      <w:r w:rsidRPr="00F853DD">
        <w:rPr>
          <w:rFonts w:ascii="Times" w:hAnsi="Times" w:cs="Times New Roman"/>
          <w:sz w:val="23"/>
          <w:szCs w:val="23"/>
        </w:rPr>
        <w:t xml:space="preserve"> (2013). Comorbidities in the context of care transitions. </w:t>
      </w:r>
      <w:r w:rsidRPr="00F853DD">
        <w:rPr>
          <w:rFonts w:ascii="Times" w:hAnsi="Times" w:cs="Times New Roman"/>
          <w:i/>
          <w:sz w:val="23"/>
          <w:szCs w:val="23"/>
        </w:rPr>
        <w:t>Advances in Nursing Science</w:t>
      </w:r>
      <w:r w:rsidR="00234C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36</w:t>
      </w:r>
      <w:r w:rsidRPr="00F853DD">
        <w:rPr>
          <w:rFonts w:ascii="Times" w:hAnsi="Times" w:cs="Times New Roman"/>
          <w:sz w:val="23"/>
          <w:szCs w:val="23"/>
        </w:rPr>
        <w:t>, E1-E13.</w:t>
      </w:r>
    </w:p>
    <w:p w14:paraId="6799F7D0" w14:textId="23ECD85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 Den Broek, T. and Dykstra, P.</w:t>
      </w:r>
      <w:r w:rsidR="00234C9F" w:rsidRPr="00F853DD">
        <w:rPr>
          <w:rFonts w:ascii="Times" w:hAnsi="Times" w:cs="Times New Roman"/>
          <w:sz w:val="23"/>
          <w:szCs w:val="23"/>
        </w:rPr>
        <w:t>,</w:t>
      </w:r>
      <w:r w:rsidRPr="00F853DD">
        <w:rPr>
          <w:rFonts w:ascii="Times" w:hAnsi="Times" w:cs="Times New Roman"/>
          <w:sz w:val="23"/>
          <w:szCs w:val="23"/>
        </w:rPr>
        <w:t xml:space="preserve"> (2017). Residential care and care to community-dwelling parents: out-selection, in-selection and diffusion of responsibility. </w:t>
      </w:r>
      <w:r w:rsidRPr="00F853DD">
        <w:rPr>
          <w:rFonts w:ascii="Times" w:hAnsi="Times" w:cs="Times New Roman"/>
          <w:i/>
          <w:sz w:val="23"/>
          <w:szCs w:val="23"/>
        </w:rPr>
        <w:t>Ageing and Society</w:t>
      </w:r>
      <w:r w:rsidR="00234C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w:t>
      </w:r>
      <w:r w:rsidRPr="00F853DD">
        <w:rPr>
          <w:rFonts w:ascii="Times" w:hAnsi="Times" w:cs="Times New Roman"/>
          <w:sz w:val="23"/>
          <w:szCs w:val="23"/>
        </w:rPr>
        <w:t>, 1609-1631.</w:t>
      </w:r>
    </w:p>
    <w:p w14:paraId="18C4CFC4" w14:textId="67F2B551"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rPr>
        <w:t>Van Der Elst, E., De Casterle, B. and Gastmans, C.</w:t>
      </w:r>
      <w:r w:rsidR="00234C9F" w:rsidRPr="00F853DD">
        <w:rPr>
          <w:rFonts w:ascii="Times" w:hAnsi="Times" w:cs="Times New Roman"/>
          <w:sz w:val="23"/>
          <w:szCs w:val="23"/>
        </w:rPr>
        <w:t>,</w:t>
      </w:r>
      <w:r w:rsidRPr="00F853DD">
        <w:rPr>
          <w:rFonts w:ascii="Times" w:hAnsi="Times" w:cs="Times New Roman"/>
          <w:sz w:val="23"/>
          <w:szCs w:val="23"/>
        </w:rPr>
        <w:t xml:space="preserve"> (2012). Elderly patients' and residents' perceptions of 'the good nurse': a literature review. </w:t>
      </w:r>
      <w:r w:rsidRPr="00F853DD">
        <w:rPr>
          <w:rFonts w:ascii="Times" w:hAnsi="Times" w:cs="Times New Roman"/>
          <w:i/>
          <w:sz w:val="23"/>
          <w:szCs w:val="23"/>
          <w:lang w:val="nl-NL"/>
        </w:rPr>
        <w:t>Journal of Medical Ethics</w:t>
      </w:r>
      <w:r w:rsidR="00234C9F" w:rsidRPr="00F853DD">
        <w:rPr>
          <w:rFonts w:ascii="Times" w:hAnsi="Times" w:cs="Times New Roman"/>
          <w:sz w:val="23"/>
          <w:szCs w:val="23"/>
          <w:lang w:val="nl-NL"/>
        </w:rPr>
        <w:t>.</w:t>
      </w:r>
      <w:r w:rsidRPr="00F853DD">
        <w:rPr>
          <w:rFonts w:ascii="Times" w:hAnsi="Times" w:cs="Times New Roman"/>
          <w:sz w:val="23"/>
          <w:szCs w:val="23"/>
          <w:lang w:val="nl-NL"/>
        </w:rPr>
        <w:t xml:space="preserve"> </w:t>
      </w:r>
      <w:r w:rsidRPr="00F853DD">
        <w:rPr>
          <w:rFonts w:ascii="Times" w:hAnsi="Times" w:cs="Times New Roman"/>
          <w:b/>
          <w:sz w:val="23"/>
          <w:szCs w:val="23"/>
          <w:lang w:val="nl-NL"/>
        </w:rPr>
        <w:t>38</w:t>
      </w:r>
      <w:r w:rsidRPr="00F853DD">
        <w:rPr>
          <w:rFonts w:ascii="Times" w:hAnsi="Times" w:cs="Times New Roman"/>
          <w:sz w:val="23"/>
          <w:szCs w:val="23"/>
          <w:lang w:val="nl-NL"/>
        </w:rPr>
        <w:t>, 93-97.</w:t>
      </w:r>
    </w:p>
    <w:p w14:paraId="51634694" w14:textId="0622AC3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lastRenderedPageBreak/>
        <w:t>Van Der Geest, S., Mul, A. and Vermeulen, H.</w:t>
      </w:r>
      <w:r w:rsidR="00234C9F" w:rsidRPr="00F853DD">
        <w:rPr>
          <w:rFonts w:ascii="Times" w:hAnsi="Times" w:cs="Times New Roman"/>
          <w:sz w:val="23"/>
          <w:szCs w:val="23"/>
          <w:lang w:val="nl-NL"/>
        </w:rPr>
        <w:t>,</w:t>
      </w:r>
      <w:r w:rsidRPr="00F853DD">
        <w:rPr>
          <w:rFonts w:ascii="Times" w:hAnsi="Times" w:cs="Times New Roman"/>
          <w:sz w:val="23"/>
          <w:szCs w:val="23"/>
          <w:lang w:val="nl-NL"/>
        </w:rPr>
        <w:t xml:space="preserve"> (2004). </w:t>
      </w:r>
      <w:r w:rsidRPr="00F853DD">
        <w:rPr>
          <w:rFonts w:ascii="Times" w:hAnsi="Times" w:cs="Times New Roman"/>
          <w:sz w:val="23"/>
          <w:szCs w:val="23"/>
        </w:rPr>
        <w:t xml:space="preserve">Linkages between migration and the care of frail older people: observations from Greece, Ghana and The Netherlands. </w:t>
      </w:r>
      <w:r w:rsidRPr="00F853DD">
        <w:rPr>
          <w:rFonts w:ascii="Times" w:hAnsi="Times" w:cs="Times New Roman"/>
          <w:i/>
          <w:sz w:val="23"/>
          <w:szCs w:val="23"/>
        </w:rPr>
        <w:t>Ageing and Society</w:t>
      </w:r>
      <w:r w:rsidR="00234C9F"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431-450.</w:t>
      </w:r>
    </w:p>
    <w:p w14:paraId="68977454" w14:textId="22B3E36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 Der Pers, M., Mulder, C. and Steverink, N.</w:t>
      </w:r>
      <w:r w:rsidR="00CE76E5" w:rsidRPr="00F853DD">
        <w:rPr>
          <w:rFonts w:ascii="Times" w:hAnsi="Times" w:cs="Times New Roman"/>
          <w:sz w:val="23"/>
          <w:szCs w:val="23"/>
        </w:rPr>
        <w:t>,</w:t>
      </w:r>
      <w:r w:rsidRPr="00F853DD">
        <w:rPr>
          <w:rFonts w:ascii="Times" w:hAnsi="Times" w:cs="Times New Roman"/>
          <w:sz w:val="23"/>
          <w:szCs w:val="23"/>
        </w:rPr>
        <w:t xml:space="preserve"> (2015). Geographic proximity of adult children and the well-being of older persons. </w:t>
      </w:r>
      <w:r w:rsidRPr="00F853DD">
        <w:rPr>
          <w:rFonts w:ascii="Times" w:hAnsi="Times" w:cs="Times New Roman"/>
          <w:i/>
          <w:sz w:val="23"/>
          <w:szCs w:val="23"/>
        </w:rPr>
        <w:t>Research on Aging</w:t>
      </w:r>
      <w:r w:rsidR="00CE76E5"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w:t>
      </w:r>
      <w:r w:rsidRPr="00F853DD">
        <w:rPr>
          <w:rFonts w:ascii="Times" w:hAnsi="Times" w:cs="Times New Roman"/>
          <w:sz w:val="23"/>
          <w:szCs w:val="23"/>
        </w:rPr>
        <w:t>, 524-551.</w:t>
      </w:r>
    </w:p>
    <w:p w14:paraId="1556AF2F" w14:textId="6A274A2B"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Van Der Zee, J. and Kroneman, M.</w:t>
      </w:r>
      <w:r w:rsidR="00CE76E5" w:rsidRPr="00F853DD">
        <w:rPr>
          <w:rFonts w:ascii="Times" w:hAnsi="Times" w:cs="Times New Roman"/>
          <w:sz w:val="23"/>
          <w:szCs w:val="23"/>
        </w:rPr>
        <w:t>,</w:t>
      </w:r>
      <w:r w:rsidRPr="00F853DD">
        <w:rPr>
          <w:rFonts w:ascii="Times" w:hAnsi="Times" w:cs="Times New Roman"/>
          <w:sz w:val="23"/>
          <w:szCs w:val="23"/>
        </w:rPr>
        <w:t xml:space="preserve"> (2011). A promising approach in comparative research on care for the elderly. </w:t>
      </w:r>
      <w:r w:rsidRPr="00F853DD">
        <w:rPr>
          <w:rFonts w:ascii="Times" w:hAnsi="Times" w:cs="Times New Roman"/>
          <w:i/>
          <w:sz w:val="23"/>
          <w:szCs w:val="23"/>
          <w:lang w:val="en-TT"/>
        </w:rPr>
        <w:t>BMC Medicine</w:t>
      </w:r>
      <w:r w:rsidR="00CE76E5" w:rsidRPr="00F853DD">
        <w:rPr>
          <w:rFonts w:ascii="Times" w:hAnsi="Times" w:cs="Times New Roman"/>
          <w:sz w:val="23"/>
          <w:szCs w:val="23"/>
          <w:lang w:val="en-TT"/>
        </w:rPr>
        <w:t>.</w:t>
      </w:r>
      <w:r w:rsidRPr="00F853DD">
        <w:rPr>
          <w:rFonts w:ascii="Times" w:hAnsi="Times" w:cs="Times New Roman"/>
          <w:sz w:val="23"/>
          <w:szCs w:val="23"/>
          <w:lang w:val="en-TT"/>
        </w:rPr>
        <w:t xml:space="preserve"> </w:t>
      </w:r>
      <w:r w:rsidRPr="00F853DD">
        <w:rPr>
          <w:rFonts w:ascii="Times" w:hAnsi="Times" w:cs="Times New Roman"/>
          <w:b/>
          <w:sz w:val="23"/>
          <w:szCs w:val="23"/>
          <w:lang w:val="en-TT"/>
        </w:rPr>
        <w:t>9</w:t>
      </w:r>
      <w:r w:rsidRPr="00F853DD">
        <w:rPr>
          <w:rFonts w:ascii="Times" w:hAnsi="Times" w:cs="Times New Roman"/>
          <w:sz w:val="23"/>
          <w:szCs w:val="23"/>
          <w:lang w:val="en-TT"/>
        </w:rPr>
        <w:t>, 4.</w:t>
      </w:r>
    </w:p>
    <w:p w14:paraId="398B4A6F" w14:textId="00554178"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nl-NL"/>
        </w:rPr>
      </w:pPr>
      <w:r w:rsidRPr="00F853DD">
        <w:rPr>
          <w:rFonts w:ascii="Times" w:hAnsi="Times" w:cs="Times New Roman"/>
          <w:sz w:val="23"/>
          <w:szCs w:val="23"/>
          <w:lang w:val="en-TT"/>
        </w:rPr>
        <w:t>Van Durme, T., Macq, J., Jeanmart, C. and Gobert, M.</w:t>
      </w:r>
      <w:r w:rsidR="00CE76E5" w:rsidRPr="00F853DD">
        <w:rPr>
          <w:rFonts w:ascii="Times" w:hAnsi="Times" w:cs="Times New Roman"/>
          <w:sz w:val="23"/>
          <w:szCs w:val="23"/>
          <w:lang w:val="en-TT"/>
        </w:rPr>
        <w:t>,</w:t>
      </w:r>
      <w:r w:rsidRPr="00F853DD">
        <w:rPr>
          <w:rFonts w:ascii="Times" w:hAnsi="Times" w:cs="Times New Roman"/>
          <w:sz w:val="23"/>
          <w:szCs w:val="23"/>
          <w:lang w:val="en-TT"/>
        </w:rPr>
        <w:t xml:space="preserve"> (2012). </w:t>
      </w:r>
      <w:r w:rsidRPr="00F853DD">
        <w:rPr>
          <w:rFonts w:ascii="Times" w:hAnsi="Times" w:cs="Times New Roman"/>
          <w:sz w:val="23"/>
          <w:szCs w:val="23"/>
        </w:rPr>
        <w:t>Tools for measuring the impact of infor</w:t>
      </w:r>
      <w:r w:rsidR="00CE76E5" w:rsidRPr="00F853DD">
        <w:rPr>
          <w:rFonts w:ascii="Times" w:hAnsi="Times" w:cs="Times New Roman"/>
          <w:sz w:val="23"/>
          <w:szCs w:val="23"/>
        </w:rPr>
        <w:t>mal caregiving of the elderly: a</w:t>
      </w:r>
      <w:r w:rsidRPr="00F853DD">
        <w:rPr>
          <w:rFonts w:ascii="Times" w:hAnsi="Times" w:cs="Times New Roman"/>
          <w:sz w:val="23"/>
          <w:szCs w:val="23"/>
        </w:rPr>
        <w:t xml:space="preserve"> literature review. </w:t>
      </w:r>
      <w:r w:rsidRPr="00F853DD">
        <w:rPr>
          <w:rFonts w:ascii="Times" w:hAnsi="Times" w:cs="Times New Roman"/>
          <w:i/>
          <w:sz w:val="23"/>
          <w:szCs w:val="23"/>
          <w:lang w:val="nl-NL"/>
        </w:rPr>
        <w:t>International Journal of Nursing Studies</w:t>
      </w:r>
      <w:r w:rsidR="00CE76E5" w:rsidRPr="00F853DD">
        <w:rPr>
          <w:rFonts w:ascii="Times" w:hAnsi="Times" w:cs="Times New Roman"/>
          <w:sz w:val="23"/>
          <w:szCs w:val="23"/>
          <w:lang w:val="nl-NL"/>
        </w:rPr>
        <w:t>.</w:t>
      </w:r>
      <w:r w:rsidRPr="00F853DD">
        <w:rPr>
          <w:rFonts w:ascii="Times" w:hAnsi="Times" w:cs="Times New Roman"/>
          <w:sz w:val="23"/>
          <w:szCs w:val="23"/>
          <w:lang w:val="nl-NL"/>
        </w:rPr>
        <w:t xml:space="preserve"> </w:t>
      </w:r>
      <w:r w:rsidRPr="00F853DD">
        <w:rPr>
          <w:rFonts w:ascii="Times" w:hAnsi="Times" w:cs="Times New Roman"/>
          <w:b/>
          <w:sz w:val="23"/>
          <w:szCs w:val="23"/>
          <w:lang w:val="nl-NL"/>
        </w:rPr>
        <w:t>49</w:t>
      </w:r>
      <w:r w:rsidRPr="00F853DD">
        <w:rPr>
          <w:rFonts w:ascii="Times" w:hAnsi="Times" w:cs="Times New Roman"/>
          <w:sz w:val="23"/>
          <w:szCs w:val="23"/>
          <w:lang w:val="nl-NL"/>
        </w:rPr>
        <w:t>, 490-504.</w:t>
      </w:r>
    </w:p>
    <w:p w14:paraId="2FB34C2F" w14:textId="61BD570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nl-NL"/>
        </w:rPr>
        <w:t>Van Groenou, M. and De Boer, A.</w:t>
      </w:r>
      <w:r w:rsidR="00CE76E5" w:rsidRPr="00F853DD">
        <w:rPr>
          <w:rFonts w:ascii="Times" w:hAnsi="Times" w:cs="Times New Roman"/>
          <w:sz w:val="23"/>
          <w:szCs w:val="23"/>
          <w:lang w:val="nl-NL"/>
        </w:rPr>
        <w:t>,</w:t>
      </w:r>
      <w:r w:rsidRPr="00F853DD">
        <w:rPr>
          <w:rFonts w:ascii="Times" w:hAnsi="Times" w:cs="Times New Roman"/>
          <w:sz w:val="23"/>
          <w:szCs w:val="23"/>
          <w:lang w:val="nl-NL"/>
        </w:rPr>
        <w:t xml:space="preserve"> (2016). </w:t>
      </w:r>
      <w:r w:rsidRPr="00F853DD">
        <w:rPr>
          <w:rFonts w:ascii="Times" w:hAnsi="Times" w:cs="Times New Roman"/>
          <w:sz w:val="23"/>
          <w:szCs w:val="23"/>
        </w:rPr>
        <w:t xml:space="preserve">Providing informal care in a changing society. </w:t>
      </w:r>
      <w:r w:rsidRPr="00F853DD">
        <w:rPr>
          <w:rFonts w:ascii="Times" w:hAnsi="Times" w:cs="Times New Roman"/>
          <w:i/>
          <w:sz w:val="23"/>
          <w:szCs w:val="23"/>
        </w:rPr>
        <w:t>European Journal of Ageing</w:t>
      </w:r>
      <w:r w:rsidR="00CE76E5"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13</w:t>
      </w:r>
      <w:r w:rsidRPr="00F853DD">
        <w:rPr>
          <w:rFonts w:ascii="Times" w:hAnsi="Times" w:cs="Times New Roman"/>
          <w:sz w:val="23"/>
          <w:szCs w:val="23"/>
        </w:rPr>
        <w:t>(3), 271-279.</w:t>
      </w:r>
    </w:p>
    <w:p w14:paraId="0C7E61F9" w14:textId="4F93C5B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 Kessel, G.</w:t>
      </w:r>
      <w:r w:rsidR="00CE76E5" w:rsidRPr="00F853DD">
        <w:rPr>
          <w:rFonts w:ascii="Times" w:hAnsi="Times" w:cs="Times New Roman"/>
          <w:sz w:val="23"/>
          <w:szCs w:val="23"/>
        </w:rPr>
        <w:t>,</w:t>
      </w:r>
      <w:r w:rsidRPr="00F853DD">
        <w:rPr>
          <w:rFonts w:ascii="Times" w:hAnsi="Times" w:cs="Times New Roman"/>
          <w:sz w:val="23"/>
          <w:szCs w:val="23"/>
        </w:rPr>
        <w:t xml:space="preserve"> (2013). The ability of older people to overcome adversity: A review of the resilience concept. </w:t>
      </w:r>
      <w:r w:rsidRPr="00F853DD">
        <w:rPr>
          <w:rFonts w:ascii="Times" w:hAnsi="Times" w:cs="Times New Roman"/>
          <w:i/>
          <w:sz w:val="23"/>
          <w:szCs w:val="23"/>
        </w:rPr>
        <w:t>Geriatric Nursing</w:t>
      </w:r>
      <w:r w:rsidR="00CE76E5"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34</w:t>
      </w:r>
      <w:r w:rsidRPr="00F853DD">
        <w:rPr>
          <w:rFonts w:ascii="Times" w:hAnsi="Times" w:cs="Times New Roman"/>
          <w:sz w:val="23"/>
          <w:szCs w:val="23"/>
        </w:rPr>
        <w:t>, 122-127.</w:t>
      </w:r>
    </w:p>
    <w:p w14:paraId="67813817" w14:textId="5435036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 Teijlingen, E. and Hundley, V.</w:t>
      </w:r>
      <w:r w:rsidR="00CE76E5" w:rsidRPr="00F853DD">
        <w:rPr>
          <w:rFonts w:ascii="Times" w:hAnsi="Times" w:cs="Times New Roman"/>
          <w:sz w:val="23"/>
          <w:szCs w:val="23"/>
        </w:rPr>
        <w:t>,</w:t>
      </w:r>
      <w:r w:rsidRPr="00F853DD">
        <w:rPr>
          <w:rFonts w:ascii="Times" w:hAnsi="Times" w:cs="Times New Roman"/>
          <w:sz w:val="23"/>
          <w:szCs w:val="23"/>
        </w:rPr>
        <w:t xml:space="preserve"> (2001). The Importance of Pilot Studies. </w:t>
      </w:r>
      <w:r w:rsidRPr="00F853DD">
        <w:rPr>
          <w:rFonts w:ascii="Times" w:hAnsi="Times" w:cs="Times New Roman"/>
          <w:i/>
          <w:sz w:val="23"/>
          <w:szCs w:val="23"/>
        </w:rPr>
        <w:t>Social Research Update</w:t>
      </w:r>
      <w:r w:rsidRPr="00F853DD">
        <w:rPr>
          <w:rFonts w:ascii="Times" w:hAnsi="Times" w:cs="Times New Roman"/>
          <w:sz w:val="23"/>
          <w:szCs w:val="23"/>
        </w:rPr>
        <w:t xml:space="preserve"> [online]. Available from: http://sru.soc.surrey.ac.uk/SRU35.html. </w:t>
      </w:r>
    </w:p>
    <w:p w14:paraId="6351B1C1" w14:textId="0E3B329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VanBreda, A.</w:t>
      </w:r>
      <w:r w:rsidR="00CE76E5" w:rsidRPr="00F853DD">
        <w:rPr>
          <w:rFonts w:ascii="Times" w:hAnsi="Times" w:cs="Times New Roman"/>
          <w:sz w:val="23"/>
          <w:szCs w:val="23"/>
        </w:rPr>
        <w:t>,</w:t>
      </w:r>
      <w:r w:rsidRPr="00F853DD">
        <w:rPr>
          <w:rFonts w:ascii="Times" w:hAnsi="Times" w:cs="Times New Roman"/>
          <w:sz w:val="23"/>
          <w:szCs w:val="23"/>
        </w:rPr>
        <w:t xml:space="preserve"> (2001). Resilience </w:t>
      </w:r>
      <w:r w:rsidR="00136018" w:rsidRPr="00F853DD">
        <w:rPr>
          <w:rFonts w:ascii="Times" w:hAnsi="Times" w:cs="Times New Roman"/>
          <w:sz w:val="23"/>
          <w:szCs w:val="23"/>
        </w:rPr>
        <w:t>t</w:t>
      </w:r>
      <w:r w:rsidRPr="00F853DD">
        <w:rPr>
          <w:rFonts w:ascii="Times" w:hAnsi="Times" w:cs="Times New Roman"/>
          <w:sz w:val="23"/>
          <w:szCs w:val="23"/>
        </w:rPr>
        <w:t xml:space="preserve">heory: </w:t>
      </w:r>
      <w:r w:rsidR="00136018" w:rsidRPr="00F853DD">
        <w:rPr>
          <w:rFonts w:ascii="Times" w:hAnsi="Times" w:cs="Times New Roman"/>
          <w:sz w:val="23"/>
          <w:szCs w:val="23"/>
        </w:rPr>
        <w:t>a</w:t>
      </w:r>
      <w:r w:rsidRPr="00F853DD">
        <w:rPr>
          <w:rFonts w:ascii="Times" w:hAnsi="Times" w:cs="Times New Roman"/>
          <w:sz w:val="23"/>
          <w:szCs w:val="23"/>
        </w:rPr>
        <w:t xml:space="preserve"> </w:t>
      </w:r>
      <w:r w:rsidR="00136018" w:rsidRPr="00F853DD">
        <w:rPr>
          <w:rFonts w:ascii="Times" w:hAnsi="Times" w:cs="Times New Roman"/>
          <w:sz w:val="23"/>
          <w:szCs w:val="23"/>
        </w:rPr>
        <w:t>l</w:t>
      </w:r>
      <w:r w:rsidRPr="00F853DD">
        <w:rPr>
          <w:rFonts w:ascii="Times" w:hAnsi="Times" w:cs="Times New Roman"/>
          <w:sz w:val="23"/>
          <w:szCs w:val="23"/>
        </w:rPr>
        <w:t xml:space="preserve">iterature </w:t>
      </w:r>
      <w:r w:rsidR="00136018" w:rsidRPr="00F853DD">
        <w:rPr>
          <w:rFonts w:ascii="Times" w:hAnsi="Times" w:cs="Times New Roman"/>
          <w:sz w:val="23"/>
          <w:szCs w:val="23"/>
        </w:rPr>
        <w:t>r</w:t>
      </w:r>
      <w:r w:rsidRPr="00F853DD">
        <w:rPr>
          <w:rFonts w:ascii="Times" w:hAnsi="Times" w:cs="Times New Roman"/>
          <w:sz w:val="23"/>
          <w:szCs w:val="23"/>
        </w:rPr>
        <w:t>eview</w:t>
      </w:r>
      <w:r w:rsidRPr="00F853DD">
        <w:rPr>
          <w:rFonts w:ascii="Times" w:hAnsi="Times" w:cs="Times New Roman"/>
          <w:i/>
          <w:sz w:val="23"/>
          <w:szCs w:val="23"/>
        </w:rPr>
        <w:t xml:space="preserve">. </w:t>
      </w:r>
      <w:r w:rsidRPr="00F853DD">
        <w:rPr>
          <w:rFonts w:ascii="Times" w:hAnsi="Times" w:cs="Times New Roman"/>
          <w:sz w:val="23"/>
          <w:szCs w:val="23"/>
        </w:rPr>
        <w:t>With special chapters on deployment resilience in military families and resilience theory in social work</w:t>
      </w:r>
      <w:r w:rsidR="0013601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i/>
          <w:sz w:val="23"/>
          <w:szCs w:val="23"/>
        </w:rPr>
        <w:t>South African Military Health Service, Military Psychological Institute, Social Work Research &amp; Development</w:t>
      </w:r>
      <w:r w:rsidRPr="00F853DD">
        <w:rPr>
          <w:rFonts w:ascii="Times" w:hAnsi="Times" w:cs="Times New Roman"/>
          <w:sz w:val="23"/>
          <w:szCs w:val="23"/>
        </w:rPr>
        <w:t xml:space="preserve"> </w:t>
      </w:r>
      <w:r w:rsidR="00136018" w:rsidRPr="00F853DD">
        <w:rPr>
          <w:rFonts w:ascii="Times" w:hAnsi="Times" w:cs="Times New Roman"/>
          <w:sz w:val="23"/>
          <w:szCs w:val="23"/>
        </w:rPr>
        <w:t xml:space="preserve">[online]. </w:t>
      </w:r>
      <w:r w:rsidRPr="00F853DD">
        <w:rPr>
          <w:rFonts w:ascii="Times" w:hAnsi="Times" w:cs="Times New Roman"/>
          <w:sz w:val="23"/>
          <w:szCs w:val="23"/>
        </w:rPr>
        <w:t>[Viewed 24 October 2017].</w:t>
      </w:r>
    </w:p>
    <w:p w14:paraId="501D2C6D" w14:textId="465D478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Vandecar-Burdin, T. and Payne, B.</w:t>
      </w:r>
      <w:r w:rsidR="00CE76E5" w:rsidRPr="00F853DD">
        <w:rPr>
          <w:rFonts w:ascii="Times" w:hAnsi="Times" w:cs="Times New Roman"/>
          <w:sz w:val="23"/>
          <w:szCs w:val="23"/>
          <w:lang w:val="en-TT"/>
        </w:rPr>
        <w:t>,</w:t>
      </w:r>
      <w:r w:rsidRPr="00F853DD">
        <w:rPr>
          <w:rFonts w:ascii="Times" w:hAnsi="Times" w:cs="Times New Roman"/>
          <w:sz w:val="23"/>
          <w:szCs w:val="23"/>
          <w:lang w:val="en-TT"/>
        </w:rPr>
        <w:t xml:space="preserve"> (2010). </w:t>
      </w:r>
      <w:r w:rsidRPr="00F853DD">
        <w:rPr>
          <w:rFonts w:ascii="Times" w:hAnsi="Times" w:cs="Times New Roman"/>
          <w:sz w:val="23"/>
          <w:szCs w:val="23"/>
        </w:rPr>
        <w:t xml:space="preserve">Risk factors for victimization of younger and older persons: Assessing differences in isolation, intra-individual characteristics, and health factors. </w:t>
      </w:r>
      <w:r w:rsidRPr="00F853DD">
        <w:rPr>
          <w:rFonts w:ascii="Times" w:hAnsi="Times" w:cs="Times New Roman"/>
          <w:i/>
          <w:sz w:val="23"/>
          <w:szCs w:val="23"/>
        </w:rPr>
        <w:t>Journal of Criminal Justice</w:t>
      </w:r>
      <w:r w:rsidR="0013601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 160-165.</w:t>
      </w:r>
    </w:p>
    <w:p w14:paraId="0A3E4058" w14:textId="60EFF7C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Vanderplaat, M.</w:t>
      </w:r>
      <w:r w:rsidR="00CE76E5" w:rsidRPr="00F853DD">
        <w:rPr>
          <w:rFonts w:ascii="Times" w:hAnsi="Times" w:cs="Times New Roman"/>
          <w:sz w:val="23"/>
          <w:szCs w:val="23"/>
        </w:rPr>
        <w:t>,</w:t>
      </w:r>
      <w:r w:rsidRPr="00F853DD">
        <w:rPr>
          <w:rFonts w:ascii="Times" w:hAnsi="Times" w:cs="Times New Roman"/>
          <w:sz w:val="23"/>
          <w:szCs w:val="23"/>
        </w:rPr>
        <w:t xml:space="preserve"> (2016). Activating the sociological imagination to explore the boundaries of resilience research and practice. </w:t>
      </w:r>
      <w:r w:rsidRPr="00F853DD">
        <w:rPr>
          <w:rFonts w:ascii="Times" w:hAnsi="Times" w:cs="Times New Roman"/>
          <w:i/>
          <w:sz w:val="23"/>
          <w:szCs w:val="23"/>
        </w:rPr>
        <w:t>School Psychology International</w:t>
      </w:r>
      <w:r w:rsidR="0013601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37</w:t>
      </w:r>
      <w:r w:rsidRPr="00F853DD">
        <w:rPr>
          <w:rFonts w:ascii="Times" w:hAnsi="Times" w:cs="Times New Roman"/>
          <w:sz w:val="23"/>
          <w:szCs w:val="23"/>
        </w:rPr>
        <w:t>, 189-203.</w:t>
      </w:r>
    </w:p>
    <w:p w14:paraId="11373548" w14:textId="76A8B1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Vanhoutteghem, I., Van Hove, G., D'Haene, G. and Soyez, V.</w:t>
      </w:r>
      <w:r w:rsidR="00136018" w:rsidRPr="00F853DD">
        <w:rPr>
          <w:rFonts w:ascii="Times" w:hAnsi="Times" w:cs="Times New Roman"/>
          <w:sz w:val="23"/>
          <w:szCs w:val="23"/>
        </w:rPr>
        <w:t>,</w:t>
      </w:r>
      <w:r w:rsidRPr="00F853DD">
        <w:rPr>
          <w:rFonts w:ascii="Times" w:hAnsi="Times" w:cs="Times New Roman"/>
          <w:sz w:val="23"/>
          <w:szCs w:val="23"/>
        </w:rPr>
        <w:t xml:space="preserve"> (2014). </w:t>
      </w:r>
      <w:r w:rsidR="00136018" w:rsidRPr="00F853DD">
        <w:rPr>
          <w:rFonts w:ascii="Times" w:hAnsi="Times" w:cs="Times New Roman"/>
          <w:sz w:val="23"/>
          <w:szCs w:val="23"/>
        </w:rPr>
        <w:t>‘</w:t>
      </w:r>
      <w:r w:rsidRPr="00F853DD">
        <w:rPr>
          <w:rFonts w:ascii="Times" w:hAnsi="Times" w:cs="Times New Roman"/>
          <w:sz w:val="23"/>
          <w:szCs w:val="23"/>
        </w:rPr>
        <w:t xml:space="preserve">I never </w:t>
      </w:r>
      <w:r w:rsidR="00136018" w:rsidRPr="00F853DD">
        <w:rPr>
          <w:rFonts w:ascii="Times" w:hAnsi="Times" w:cs="Times New Roman"/>
          <w:sz w:val="23"/>
          <w:szCs w:val="23"/>
        </w:rPr>
        <w:t>thought I would have to do this’</w:t>
      </w:r>
      <w:r w:rsidRPr="00F853DD">
        <w:rPr>
          <w:rFonts w:ascii="Times" w:hAnsi="Times" w:cs="Times New Roman"/>
          <w:sz w:val="23"/>
          <w:szCs w:val="23"/>
        </w:rPr>
        <w:t xml:space="preserve">: narrative study with siblings-in-law who live together with a family member with a disability. </w:t>
      </w:r>
      <w:r w:rsidRPr="00F853DD">
        <w:rPr>
          <w:rFonts w:ascii="Times" w:hAnsi="Times" w:cs="Times New Roman"/>
          <w:i/>
          <w:sz w:val="23"/>
          <w:szCs w:val="23"/>
        </w:rPr>
        <w:t>British Journal of Learning Disabilities</w:t>
      </w:r>
      <w:r w:rsidR="00661ED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 315-322.</w:t>
      </w:r>
    </w:p>
    <w:p w14:paraId="0E03BF4F" w14:textId="4635B96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Vannini, P., Waskul, D. and Gottschalk, S.</w:t>
      </w:r>
      <w:r w:rsidR="00136018" w:rsidRPr="00F853DD">
        <w:rPr>
          <w:rFonts w:ascii="Times" w:hAnsi="Times" w:cs="Times New Roman"/>
          <w:sz w:val="23"/>
          <w:szCs w:val="23"/>
        </w:rPr>
        <w:t>,</w:t>
      </w:r>
      <w:r w:rsidRPr="00F853DD">
        <w:rPr>
          <w:rFonts w:ascii="Times" w:hAnsi="Times" w:cs="Times New Roman"/>
          <w:sz w:val="23"/>
          <w:szCs w:val="23"/>
        </w:rPr>
        <w:t xml:space="preserve"> (2012). </w:t>
      </w:r>
      <w:r w:rsidRPr="00F853DD">
        <w:rPr>
          <w:rFonts w:ascii="Times" w:hAnsi="Times" w:cs="Times New Roman"/>
          <w:i/>
          <w:sz w:val="23"/>
          <w:szCs w:val="23"/>
        </w:rPr>
        <w:t xml:space="preserve">The </w:t>
      </w:r>
      <w:r w:rsidR="00136018" w:rsidRPr="00F853DD">
        <w:rPr>
          <w:rFonts w:ascii="Times" w:hAnsi="Times" w:cs="Times New Roman"/>
          <w:i/>
          <w:sz w:val="23"/>
          <w:szCs w:val="23"/>
        </w:rPr>
        <w:t>s</w:t>
      </w:r>
      <w:r w:rsidRPr="00F853DD">
        <w:rPr>
          <w:rFonts w:ascii="Times" w:hAnsi="Times" w:cs="Times New Roman"/>
          <w:i/>
          <w:sz w:val="23"/>
          <w:szCs w:val="23"/>
        </w:rPr>
        <w:t xml:space="preserve">enses in </w:t>
      </w:r>
      <w:r w:rsidR="00136018" w:rsidRPr="00F853DD">
        <w:rPr>
          <w:rFonts w:ascii="Times" w:hAnsi="Times" w:cs="Times New Roman"/>
          <w:i/>
          <w:sz w:val="23"/>
          <w:szCs w:val="23"/>
        </w:rPr>
        <w:t>s</w:t>
      </w:r>
      <w:r w:rsidRPr="00F853DD">
        <w:rPr>
          <w:rFonts w:ascii="Times" w:hAnsi="Times" w:cs="Times New Roman"/>
          <w:i/>
          <w:sz w:val="23"/>
          <w:szCs w:val="23"/>
        </w:rPr>
        <w:t xml:space="preserve">elf, </w:t>
      </w:r>
      <w:r w:rsidR="00136018" w:rsidRPr="00F853DD">
        <w:rPr>
          <w:rFonts w:ascii="Times" w:hAnsi="Times" w:cs="Times New Roman"/>
          <w:i/>
          <w:sz w:val="23"/>
          <w:szCs w:val="23"/>
        </w:rPr>
        <w:t>s</w:t>
      </w:r>
      <w:r w:rsidRPr="00F853DD">
        <w:rPr>
          <w:rFonts w:ascii="Times" w:hAnsi="Times" w:cs="Times New Roman"/>
          <w:i/>
          <w:sz w:val="23"/>
          <w:szCs w:val="23"/>
        </w:rPr>
        <w:t xml:space="preserve">ociety, and </w:t>
      </w:r>
      <w:r w:rsidR="00136018" w:rsidRPr="00F853DD">
        <w:rPr>
          <w:rFonts w:ascii="Times" w:hAnsi="Times" w:cs="Times New Roman"/>
          <w:i/>
          <w:sz w:val="23"/>
          <w:szCs w:val="23"/>
        </w:rPr>
        <w:t>c</w:t>
      </w:r>
      <w:r w:rsidRPr="00F853DD">
        <w:rPr>
          <w:rFonts w:ascii="Times" w:hAnsi="Times" w:cs="Times New Roman"/>
          <w:i/>
          <w:sz w:val="23"/>
          <w:szCs w:val="23"/>
        </w:rPr>
        <w:t>ulture</w:t>
      </w:r>
      <w:r w:rsidRPr="00F853DD">
        <w:rPr>
          <w:rFonts w:ascii="Times" w:hAnsi="Times" w:cs="Times New Roman"/>
          <w:sz w:val="23"/>
          <w:szCs w:val="23"/>
        </w:rPr>
        <w:t>. New York: Routledge.</w:t>
      </w:r>
    </w:p>
    <w:p w14:paraId="40CEFD5C" w14:textId="5D76BA8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Vellone, E., Fida, R., Cocchieri, A., Sili, A., Piras, G. and Alvaro, R.</w:t>
      </w:r>
      <w:r w:rsidR="00136018" w:rsidRPr="00F853DD">
        <w:rPr>
          <w:rFonts w:ascii="Times" w:hAnsi="Times" w:cs="Times New Roman"/>
          <w:sz w:val="23"/>
          <w:szCs w:val="23"/>
          <w:lang w:val="en-TT"/>
        </w:rPr>
        <w:t>,</w:t>
      </w:r>
      <w:r w:rsidRPr="00F853DD">
        <w:rPr>
          <w:rFonts w:ascii="Times" w:hAnsi="Times" w:cs="Times New Roman"/>
          <w:sz w:val="23"/>
          <w:szCs w:val="23"/>
          <w:lang w:val="en-TT"/>
        </w:rPr>
        <w:t xml:space="preserve"> (2011). </w:t>
      </w:r>
      <w:r w:rsidRPr="00F853DD">
        <w:rPr>
          <w:rFonts w:ascii="Times" w:hAnsi="Times" w:cs="Times New Roman"/>
          <w:sz w:val="23"/>
          <w:szCs w:val="23"/>
        </w:rPr>
        <w:t xml:space="preserve">Positive and negative impact of caregiving to older adults: a structural equation model. </w:t>
      </w:r>
      <w:r w:rsidRPr="00F853DD">
        <w:rPr>
          <w:rFonts w:ascii="Times" w:hAnsi="Times" w:cs="Times New Roman"/>
          <w:i/>
          <w:sz w:val="23"/>
          <w:szCs w:val="23"/>
        </w:rPr>
        <w:t>Professioni Infermieristiche</w:t>
      </w:r>
      <w:r w:rsidR="0013601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64</w:t>
      </w:r>
      <w:r w:rsidRPr="00F853DD">
        <w:rPr>
          <w:rFonts w:ascii="Times" w:hAnsi="Times" w:cs="Times New Roman"/>
          <w:sz w:val="23"/>
          <w:szCs w:val="23"/>
        </w:rPr>
        <w:t>, 237-48.</w:t>
      </w:r>
    </w:p>
    <w:p w14:paraId="5FDA8D15" w14:textId="5588FE9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Verbakel, E., Tamlagsronning, S., Winstone, L., Fjaer, E. and Eikemo, T. (2017). Informal care in Europe: findings from the European Social Survey (2014) special module on the social determinants of health. </w:t>
      </w:r>
      <w:r w:rsidRPr="00F853DD">
        <w:rPr>
          <w:rFonts w:ascii="Times" w:hAnsi="Times" w:cs="Times New Roman"/>
          <w:i/>
          <w:sz w:val="23"/>
          <w:szCs w:val="23"/>
        </w:rPr>
        <w:t>The European Journal of Public Health</w:t>
      </w:r>
      <w:r w:rsidR="0013601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 90-95.</w:t>
      </w:r>
    </w:p>
    <w:p w14:paraId="5E635696" w14:textId="1D0730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Verbeek-Oudijk, D., Woittiez, I., Eggink, E. and Putman, L.</w:t>
      </w:r>
      <w:r w:rsidR="00136018" w:rsidRPr="00F853DD">
        <w:rPr>
          <w:rFonts w:ascii="Times" w:hAnsi="Times" w:cs="Times New Roman"/>
          <w:sz w:val="23"/>
          <w:szCs w:val="23"/>
        </w:rPr>
        <w:t>,</w:t>
      </w:r>
      <w:r w:rsidRPr="00F853DD">
        <w:rPr>
          <w:rFonts w:ascii="Times" w:hAnsi="Times" w:cs="Times New Roman"/>
          <w:sz w:val="23"/>
          <w:szCs w:val="23"/>
        </w:rPr>
        <w:t xml:space="preserve"> (2014). </w:t>
      </w:r>
      <w:r w:rsidRPr="00F853DD">
        <w:rPr>
          <w:rFonts w:ascii="Times" w:hAnsi="Times" w:cs="Times New Roman"/>
          <w:i/>
          <w:sz w:val="23"/>
          <w:szCs w:val="23"/>
        </w:rPr>
        <w:t>Who Cares in Europe?: A Comparison of Long-term Care for the Over-50s in Sixteen European Countries.</w:t>
      </w:r>
      <w:r w:rsidRPr="00F853DD">
        <w:rPr>
          <w:rFonts w:ascii="Times" w:hAnsi="Times" w:cs="Times New Roman"/>
          <w:sz w:val="23"/>
          <w:szCs w:val="23"/>
        </w:rPr>
        <w:t xml:space="preserve"> Den Haag: Sociaal en Cultureel Planbureau.</w:t>
      </w:r>
    </w:p>
    <w:p w14:paraId="23FDB147" w14:textId="37E5D1C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Victor, L.</w:t>
      </w:r>
      <w:r w:rsidR="00136018" w:rsidRPr="00F853DD">
        <w:rPr>
          <w:rFonts w:ascii="Times" w:hAnsi="Times" w:cs="Times New Roman"/>
          <w:sz w:val="23"/>
          <w:szCs w:val="23"/>
        </w:rPr>
        <w:t>,</w:t>
      </w:r>
      <w:r w:rsidRPr="00F853DD">
        <w:rPr>
          <w:rFonts w:ascii="Times" w:hAnsi="Times" w:cs="Times New Roman"/>
          <w:sz w:val="23"/>
          <w:szCs w:val="23"/>
        </w:rPr>
        <w:t xml:space="preserve"> (2008). Systematic reviewing in the social sciences: Outcomes and explanation. </w:t>
      </w:r>
      <w:r w:rsidRPr="00F853DD">
        <w:rPr>
          <w:rFonts w:ascii="Times" w:hAnsi="Times" w:cs="Times New Roman"/>
          <w:i/>
          <w:sz w:val="23"/>
          <w:szCs w:val="23"/>
        </w:rPr>
        <w:t xml:space="preserve">Enquire </w:t>
      </w:r>
      <w:r w:rsidRPr="00F853DD">
        <w:rPr>
          <w:rFonts w:ascii="Times" w:hAnsi="Times" w:cs="Times New Roman"/>
          <w:sz w:val="23"/>
          <w:szCs w:val="23"/>
        </w:rPr>
        <w:t>[online],</w:t>
      </w:r>
      <w:r w:rsidRPr="00F853DD">
        <w:rPr>
          <w:rFonts w:ascii="Times" w:hAnsi="Times" w:cs="Times New Roman"/>
          <w:b/>
          <w:sz w:val="23"/>
          <w:szCs w:val="23"/>
        </w:rPr>
        <w:t xml:space="preserve"> 1</w:t>
      </w:r>
      <w:r w:rsidRPr="00F853DD">
        <w:rPr>
          <w:rFonts w:ascii="Times" w:hAnsi="Times" w:cs="Times New Roman"/>
          <w:sz w:val="23"/>
          <w:szCs w:val="23"/>
        </w:rPr>
        <w:t xml:space="preserve">. Available from: https://nottingham.ac.uk/sociology/documents/enquire/volume-1-issue-1-victor.pdf. </w:t>
      </w:r>
    </w:p>
    <w:p w14:paraId="5686C323" w14:textId="64006B2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Viglund, K., Jonsen, E., Lundman, B., Strandberg, G. and Nygren, B.</w:t>
      </w:r>
      <w:r w:rsidR="00136018" w:rsidRPr="00F853DD">
        <w:rPr>
          <w:rFonts w:ascii="Times" w:hAnsi="Times" w:cs="Times New Roman"/>
          <w:sz w:val="23"/>
          <w:szCs w:val="23"/>
        </w:rPr>
        <w:t>,</w:t>
      </w:r>
      <w:r w:rsidRPr="00F853DD">
        <w:rPr>
          <w:rFonts w:ascii="Times" w:hAnsi="Times" w:cs="Times New Roman"/>
          <w:sz w:val="23"/>
          <w:szCs w:val="23"/>
        </w:rPr>
        <w:t xml:space="preserve"> (2013). Inner strength in relation to age, gender and culture among old people - a cross-sectional population study in two Nordic countries. </w:t>
      </w:r>
      <w:r w:rsidRPr="00F853DD">
        <w:rPr>
          <w:rFonts w:ascii="Times" w:hAnsi="Times" w:cs="Times New Roman"/>
          <w:i/>
          <w:sz w:val="23"/>
          <w:szCs w:val="23"/>
        </w:rPr>
        <w:t>Aging and Mental Health</w:t>
      </w:r>
      <w:r w:rsidR="0013601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17</w:t>
      </w:r>
      <w:r w:rsidRPr="00F853DD">
        <w:rPr>
          <w:rFonts w:ascii="Times" w:hAnsi="Times" w:cs="Times New Roman"/>
          <w:sz w:val="23"/>
          <w:szCs w:val="23"/>
        </w:rPr>
        <w:t>, 1016-1022.</w:t>
      </w:r>
    </w:p>
    <w:p w14:paraId="0AF90776" w14:textId="32114DF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Vitaliano, P., Young, H., Russo, J., Romano, J. and Magana-Amato, A.</w:t>
      </w:r>
      <w:r w:rsidR="00136018" w:rsidRPr="00F853DD">
        <w:rPr>
          <w:rFonts w:ascii="Times" w:hAnsi="Times" w:cs="Times New Roman"/>
          <w:sz w:val="23"/>
          <w:szCs w:val="23"/>
        </w:rPr>
        <w:t>,</w:t>
      </w:r>
      <w:r w:rsidRPr="00F853DD">
        <w:rPr>
          <w:rFonts w:ascii="Times" w:hAnsi="Times" w:cs="Times New Roman"/>
          <w:sz w:val="23"/>
          <w:szCs w:val="23"/>
        </w:rPr>
        <w:t xml:space="preserve"> (1993). Does expressed emotion in spouses predict subsequent problems among care recipients with Alzheimer's disease? </w:t>
      </w:r>
      <w:r w:rsidRPr="00F853DD">
        <w:rPr>
          <w:rFonts w:ascii="Times" w:hAnsi="Times" w:cs="Times New Roman"/>
          <w:i/>
          <w:sz w:val="23"/>
          <w:szCs w:val="23"/>
        </w:rPr>
        <w:t>The Journals of Gerontology</w:t>
      </w:r>
      <w:r w:rsidR="00661ED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48</w:t>
      </w:r>
      <w:r w:rsidRPr="00F853DD">
        <w:rPr>
          <w:rFonts w:ascii="Times" w:hAnsi="Times" w:cs="Times New Roman"/>
          <w:sz w:val="23"/>
          <w:szCs w:val="23"/>
        </w:rPr>
        <w:t>, 202-209.</w:t>
      </w:r>
    </w:p>
    <w:p w14:paraId="0E9FE302" w14:textId="1FE061B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Vithayachockitikhun, N.</w:t>
      </w:r>
      <w:r w:rsidR="00661ED4" w:rsidRPr="00F853DD">
        <w:rPr>
          <w:rFonts w:ascii="Times" w:hAnsi="Times" w:cs="Times New Roman"/>
          <w:sz w:val="23"/>
          <w:szCs w:val="23"/>
        </w:rPr>
        <w:t>,</w:t>
      </w:r>
      <w:r w:rsidRPr="00F853DD">
        <w:rPr>
          <w:rFonts w:ascii="Times" w:hAnsi="Times" w:cs="Times New Roman"/>
          <w:sz w:val="23"/>
          <w:szCs w:val="23"/>
        </w:rPr>
        <w:t xml:space="preserve"> (2006). Family caregiving of persons living with HIV/AIDS in Thailand: caregiver burden, an outcome measure. </w:t>
      </w:r>
      <w:r w:rsidRPr="00F853DD">
        <w:rPr>
          <w:rFonts w:ascii="Times" w:hAnsi="Times" w:cs="Times New Roman"/>
          <w:i/>
          <w:sz w:val="23"/>
          <w:szCs w:val="23"/>
        </w:rPr>
        <w:t>International Journal of Nursing Practice</w:t>
      </w:r>
      <w:r w:rsidR="00661ED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12</w:t>
      </w:r>
      <w:r w:rsidRPr="00F853DD">
        <w:rPr>
          <w:rFonts w:ascii="Times" w:hAnsi="Times" w:cs="Times New Roman"/>
          <w:sz w:val="23"/>
          <w:szCs w:val="23"/>
        </w:rPr>
        <w:t>, 123-128.</w:t>
      </w:r>
    </w:p>
    <w:p w14:paraId="26D46C7D" w14:textId="7E1292D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Von Gleichen, R. and Seeleib-Kaiser, M.</w:t>
      </w:r>
      <w:r w:rsidR="00661ED4" w:rsidRPr="00F853DD">
        <w:rPr>
          <w:rFonts w:ascii="Times" w:hAnsi="Times" w:cs="Times New Roman"/>
          <w:sz w:val="23"/>
          <w:szCs w:val="23"/>
        </w:rPr>
        <w:t>,</w:t>
      </w:r>
      <w:r w:rsidRPr="00F853DD">
        <w:rPr>
          <w:rFonts w:ascii="Times" w:hAnsi="Times" w:cs="Times New Roman"/>
          <w:sz w:val="23"/>
          <w:szCs w:val="23"/>
        </w:rPr>
        <w:t xml:space="preserve"> (2018). Family policies and the weakening of the male-breadwinner model. In: </w:t>
      </w:r>
      <w:r w:rsidRPr="00F853DD">
        <w:rPr>
          <w:rFonts w:ascii="Times" w:hAnsi="Times" w:cs="Times New Roman"/>
          <w:i/>
          <w:sz w:val="23"/>
          <w:szCs w:val="23"/>
        </w:rPr>
        <w:t>Handbook on Gender and Social Policy</w:t>
      </w:r>
      <w:r w:rsidR="00661ED4"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153</w:t>
      </w:r>
      <w:r w:rsidRPr="00F853DD">
        <w:rPr>
          <w:rFonts w:ascii="Times" w:hAnsi="Times" w:cs="Times New Roman"/>
          <w:sz w:val="23"/>
          <w:szCs w:val="23"/>
        </w:rPr>
        <w:t>. Edward Elgar Publishing.</w:t>
      </w:r>
    </w:p>
    <w:p w14:paraId="3E52CA0E" w14:textId="563AE1D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Von Heydrich, L., Schiamberg, L. and Chee, G.</w:t>
      </w:r>
      <w:r w:rsidR="00CD7B37" w:rsidRPr="00F853DD">
        <w:rPr>
          <w:rFonts w:ascii="Times" w:hAnsi="Times" w:cs="Times New Roman"/>
          <w:sz w:val="23"/>
          <w:szCs w:val="23"/>
        </w:rPr>
        <w:t>,</w:t>
      </w:r>
      <w:r w:rsidRPr="00F853DD">
        <w:rPr>
          <w:rFonts w:ascii="Times" w:hAnsi="Times" w:cs="Times New Roman"/>
          <w:sz w:val="23"/>
          <w:szCs w:val="23"/>
        </w:rPr>
        <w:t xml:space="preserve"> (2012). Social-relational risk factors for predicting elder physical abuse: </w:t>
      </w:r>
      <w:r w:rsidR="00CD7B37" w:rsidRPr="00F853DD">
        <w:rPr>
          <w:rFonts w:ascii="Times" w:hAnsi="Times" w:cs="Times New Roman"/>
          <w:sz w:val="23"/>
          <w:szCs w:val="23"/>
        </w:rPr>
        <w:t>a</w:t>
      </w:r>
      <w:r w:rsidRPr="00F853DD">
        <w:rPr>
          <w:rFonts w:ascii="Times" w:hAnsi="Times" w:cs="Times New Roman"/>
          <w:sz w:val="23"/>
          <w:szCs w:val="23"/>
        </w:rPr>
        <w:t xml:space="preserve">n ecological bi-focal model. </w:t>
      </w:r>
      <w:r w:rsidRPr="00F853DD">
        <w:rPr>
          <w:rFonts w:ascii="Times" w:hAnsi="Times" w:cs="Times New Roman"/>
          <w:i/>
          <w:sz w:val="23"/>
          <w:szCs w:val="23"/>
        </w:rPr>
        <w:t>International Journal of Aging and Human Development</w:t>
      </w:r>
      <w:r w:rsidRPr="00F853DD">
        <w:rPr>
          <w:rFonts w:ascii="Times" w:hAnsi="Times" w:cs="Times New Roman"/>
          <w:sz w:val="23"/>
          <w:szCs w:val="23"/>
        </w:rPr>
        <w:t xml:space="preserve">, </w:t>
      </w:r>
      <w:r w:rsidRPr="00F853DD">
        <w:rPr>
          <w:rFonts w:ascii="Times" w:hAnsi="Times" w:cs="Times New Roman"/>
          <w:b/>
          <w:sz w:val="23"/>
          <w:szCs w:val="23"/>
        </w:rPr>
        <w:t>75</w:t>
      </w:r>
      <w:r w:rsidRPr="00F853DD">
        <w:rPr>
          <w:rFonts w:ascii="Times" w:hAnsi="Times" w:cs="Times New Roman"/>
          <w:sz w:val="23"/>
          <w:szCs w:val="23"/>
        </w:rPr>
        <w:t>, 71-94.</w:t>
      </w:r>
    </w:p>
    <w:p w14:paraId="091E6257" w14:textId="37F186E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Von Humboldt, S., Monteiro, A. and Leal, I.</w:t>
      </w:r>
      <w:r w:rsidR="00CD7B37" w:rsidRPr="00F853DD">
        <w:rPr>
          <w:rFonts w:ascii="Times" w:hAnsi="Times" w:cs="Times New Roman"/>
          <w:sz w:val="23"/>
          <w:szCs w:val="23"/>
        </w:rPr>
        <w:t>,</w:t>
      </w:r>
      <w:r w:rsidRPr="00F853DD">
        <w:rPr>
          <w:rFonts w:ascii="Times" w:hAnsi="Times" w:cs="Times New Roman"/>
          <w:sz w:val="23"/>
          <w:szCs w:val="23"/>
        </w:rPr>
        <w:t xml:space="preserve"> (2018). How do older adults experience intergenerational relationships? Different cultures, ambivalent feelings. </w:t>
      </w:r>
      <w:r w:rsidRPr="00F853DD">
        <w:rPr>
          <w:rFonts w:ascii="Times" w:hAnsi="Times" w:cs="Times New Roman"/>
          <w:i/>
          <w:sz w:val="23"/>
          <w:szCs w:val="23"/>
        </w:rPr>
        <w:t>Educational Gerontology</w:t>
      </w:r>
      <w:r w:rsidR="00CD7B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44</w:t>
      </w:r>
      <w:r w:rsidRPr="00F853DD">
        <w:rPr>
          <w:rFonts w:ascii="Times" w:hAnsi="Times" w:cs="Times New Roman"/>
          <w:sz w:val="23"/>
          <w:szCs w:val="23"/>
        </w:rPr>
        <w:t>(8), 501-513.</w:t>
      </w:r>
    </w:p>
    <w:p w14:paraId="6DAF629E" w14:textId="49C5A84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Voorpostel, M.</w:t>
      </w:r>
      <w:r w:rsidR="00CD7B37" w:rsidRPr="00F853DD">
        <w:rPr>
          <w:rFonts w:ascii="Times" w:hAnsi="Times" w:cs="Times New Roman"/>
          <w:sz w:val="23"/>
          <w:szCs w:val="23"/>
        </w:rPr>
        <w:t>,</w:t>
      </w:r>
      <w:r w:rsidRPr="00F853DD">
        <w:rPr>
          <w:rFonts w:ascii="Times" w:hAnsi="Times" w:cs="Times New Roman"/>
          <w:sz w:val="23"/>
          <w:szCs w:val="23"/>
        </w:rPr>
        <w:t xml:space="preserve"> (2013). Just like family: </w:t>
      </w:r>
      <w:r w:rsidR="00CD7B37" w:rsidRPr="00F853DD">
        <w:rPr>
          <w:rFonts w:ascii="Times" w:hAnsi="Times" w:cs="Times New Roman"/>
          <w:sz w:val="23"/>
          <w:szCs w:val="23"/>
        </w:rPr>
        <w:t>f</w:t>
      </w:r>
      <w:r w:rsidRPr="00F853DD">
        <w:rPr>
          <w:rFonts w:ascii="Times" w:hAnsi="Times" w:cs="Times New Roman"/>
          <w:sz w:val="23"/>
          <w:szCs w:val="23"/>
        </w:rPr>
        <w:t xml:space="preserve">ictive kin relationships in the Netherlands. </w:t>
      </w:r>
      <w:r w:rsidRPr="00F853DD">
        <w:rPr>
          <w:rFonts w:ascii="Times" w:hAnsi="Times" w:cs="Times New Roman"/>
          <w:i/>
          <w:sz w:val="23"/>
          <w:szCs w:val="23"/>
        </w:rPr>
        <w:t>Journals of Gerontology Series B-Psychological Sciences and Social Sciences</w:t>
      </w:r>
      <w:r w:rsidR="00CD7B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68</w:t>
      </w:r>
      <w:r w:rsidRPr="00F853DD">
        <w:rPr>
          <w:rFonts w:ascii="Times" w:hAnsi="Times" w:cs="Times New Roman"/>
          <w:sz w:val="23"/>
          <w:szCs w:val="23"/>
        </w:rPr>
        <w:t>, 816-824.</w:t>
      </w:r>
    </w:p>
    <w:p w14:paraId="7C673E62" w14:textId="6B7AE51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Vázquez-D’Elía, J.</w:t>
      </w:r>
      <w:r w:rsidR="00CD7B37" w:rsidRPr="00F853DD">
        <w:rPr>
          <w:rFonts w:ascii="Times" w:hAnsi="Times" w:cs="Times New Roman"/>
          <w:sz w:val="23"/>
          <w:szCs w:val="23"/>
        </w:rPr>
        <w:t>,</w:t>
      </w:r>
      <w:r w:rsidRPr="00F853DD">
        <w:rPr>
          <w:rFonts w:ascii="Times" w:hAnsi="Times" w:cs="Times New Roman"/>
          <w:sz w:val="23"/>
          <w:szCs w:val="23"/>
        </w:rPr>
        <w:t xml:space="preserve"> (2014). (Re-) </w:t>
      </w:r>
      <w:r w:rsidRPr="00F853DD">
        <w:rPr>
          <w:rFonts w:ascii="Times" w:hAnsi="Times" w:cs="Times New Roman"/>
          <w:i/>
          <w:sz w:val="23"/>
          <w:szCs w:val="23"/>
        </w:rPr>
        <w:t>Shaping the political arena? A comparative study of welfare regimes in Latin America</w:t>
      </w:r>
      <w:r w:rsidRPr="00F853DD">
        <w:rPr>
          <w:rFonts w:ascii="Times" w:hAnsi="Times" w:cs="Times New Roman"/>
          <w:sz w:val="23"/>
          <w:szCs w:val="23"/>
        </w:rPr>
        <w:t>, 1980-2010. PhD, University of Pittsburgh.</w:t>
      </w:r>
    </w:p>
    <w:p w14:paraId="1FD12087" w14:textId="1FCDC80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Wagg, A.</w:t>
      </w:r>
      <w:r w:rsidR="00CD7B37" w:rsidRPr="00F853DD">
        <w:rPr>
          <w:rFonts w:ascii="Times" w:hAnsi="Times" w:cs="Times New Roman"/>
          <w:sz w:val="23"/>
          <w:szCs w:val="23"/>
        </w:rPr>
        <w:t>,</w:t>
      </w:r>
      <w:r w:rsidRPr="00F853DD">
        <w:rPr>
          <w:rFonts w:ascii="Times" w:hAnsi="Times" w:cs="Times New Roman"/>
          <w:sz w:val="23"/>
          <w:szCs w:val="23"/>
        </w:rPr>
        <w:t xml:space="preserve"> (2019). Considerations in the Medically Complex and Frail Elderly. In: </w:t>
      </w:r>
      <w:r w:rsidRPr="00F853DD">
        <w:rPr>
          <w:rFonts w:ascii="Times" w:hAnsi="Times" w:cs="Times New Roman"/>
          <w:i/>
          <w:sz w:val="23"/>
          <w:szCs w:val="23"/>
        </w:rPr>
        <w:t>Contemporary Pharmacotherapy of Overactive Bladder</w:t>
      </w:r>
      <w:r w:rsidR="00CD7B37" w:rsidRPr="00F853DD">
        <w:rPr>
          <w:rFonts w:ascii="Times" w:hAnsi="Times" w:cs="Times New Roman"/>
          <w:sz w:val="23"/>
          <w:szCs w:val="23"/>
        </w:rPr>
        <w:t>.</w:t>
      </w:r>
      <w:r w:rsidRPr="00F853DD">
        <w:rPr>
          <w:rFonts w:ascii="Times" w:hAnsi="Times" w:cs="Times New Roman"/>
          <w:sz w:val="23"/>
          <w:szCs w:val="23"/>
        </w:rPr>
        <w:t xml:space="preserve"> 267-290. Springer, Cham.</w:t>
      </w:r>
    </w:p>
    <w:p w14:paraId="34D99650" w14:textId="1C6C387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Wagnild, G. and Collins, J.</w:t>
      </w:r>
      <w:r w:rsidR="00CD7B37" w:rsidRPr="00F853DD">
        <w:rPr>
          <w:rFonts w:ascii="Times" w:hAnsi="Times" w:cs="Times New Roman"/>
          <w:sz w:val="23"/>
          <w:szCs w:val="23"/>
        </w:rPr>
        <w:t>,</w:t>
      </w:r>
      <w:r w:rsidRPr="00F853DD">
        <w:rPr>
          <w:rFonts w:ascii="Times" w:hAnsi="Times" w:cs="Times New Roman"/>
          <w:sz w:val="23"/>
          <w:szCs w:val="23"/>
        </w:rPr>
        <w:t xml:space="preserve"> (2009). Assessing </w:t>
      </w:r>
      <w:r w:rsidR="00CD7B37" w:rsidRPr="00F853DD">
        <w:rPr>
          <w:rFonts w:ascii="Times" w:hAnsi="Times" w:cs="Times New Roman"/>
          <w:sz w:val="23"/>
          <w:szCs w:val="23"/>
        </w:rPr>
        <w:t>r</w:t>
      </w:r>
      <w:r w:rsidRPr="00F853DD">
        <w:rPr>
          <w:rFonts w:ascii="Times" w:hAnsi="Times" w:cs="Times New Roman"/>
          <w:sz w:val="23"/>
          <w:szCs w:val="23"/>
        </w:rPr>
        <w:t xml:space="preserve">esilience. </w:t>
      </w:r>
      <w:r w:rsidRPr="00F853DD">
        <w:rPr>
          <w:rFonts w:ascii="Times" w:hAnsi="Times" w:cs="Times New Roman"/>
          <w:i/>
          <w:sz w:val="23"/>
          <w:szCs w:val="23"/>
        </w:rPr>
        <w:t>Journal of Psychosocial Nursing and Mental Health Services</w:t>
      </w:r>
      <w:r w:rsidR="00CD7B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 28-33.</w:t>
      </w:r>
    </w:p>
    <w:p w14:paraId="1A68488A" w14:textId="58FEC1B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Wakabayashi, C. and Donato, K.</w:t>
      </w:r>
      <w:r w:rsidR="00CD7B37" w:rsidRPr="00F853DD">
        <w:rPr>
          <w:rFonts w:ascii="Times" w:hAnsi="Times" w:cs="Times New Roman"/>
          <w:sz w:val="23"/>
          <w:szCs w:val="23"/>
        </w:rPr>
        <w:t>,</w:t>
      </w:r>
      <w:r w:rsidRPr="00F853DD">
        <w:rPr>
          <w:rFonts w:ascii="Times" w:hAnsi="Times" w:cs="Times New Roman"/>
          <w:sz w:val="23"/>
          <w:szCs w:val="23"/>
        </w:rPr>
        <w:t xml:space="preserve"> (2006). Does caregiving increase poverty among women in later life? Evidence from the Health and Retirement Survey. </w:t>
      </w:r>
      <w:r w:rsidRPr="00F853DD">
        <w:rPr>
          <w:rFonts w:ascii="Times" w:hAnsi="Times" w:cs="Times New Roman"/>
          <w:i/>
          <w:sz w:val="23"/>
          <w:szCs w:val="23"/>
        </w:rPr>
        <w:t>Journal of Health and Social Behavior</w:t>
      </w:r>
      <w:r w:rsidR="00CD7B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(3), 258-274.</w:t>
      </w:r>
    </w:p>
    <w:p w14:paraId="2DB3A8EE" w14:textId="148F7C9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Walinga, J.</w:t>
      </w:r>
      <w:r w:rsidR="00CD7B37" w:rsidRPr="00F853DD">
        <w:rPr>
          <w:rFonts w:ascii="Times" w:hAnsi="Times" w:cs="Times New Roman"/>
          <w:sz w:val="23"/>
          <w:szCs w:val="23"/>
        </w:rPr>
        <w:t>,</w:t>
      </w:r>
      <w:r w:rsidRPr="00F853DD">
        <w:rPr>
          <w:rFonts w:ascii="Times" w:hAnsi="Times" w:cs="Times New Roman"/>
          <w:sz w:val="23"/>
          <w:szCs w:val="23"/>
        </w:rPr>
        <w:t xml:space="preserve"> (2014). Stress and coping. In: Stangor, C. and Walinga, J. (eds.) </w:t>
      </w:r>
      <w:r w:rsidRPr="00F853DD">
        <w:rPr>
          <w:rFonts w:ascii="Times" w:hAnsi="Times" w:cs="Times New Roman"/>
          <w:i/>
          <w:sz w:val="23"/>
          <w:szCs w:val="23"/>
        </w:rPr>
        <w:t>Introduction to Psychology: A 1st Canadian Edition</w:t>
      </w:r>
      <w:r w:rsidRPr="00F853DD">
        <w:rPr>
          <w:rFonts w:ascii="Times" w:hAnsi="Times" w:cs="Times New Roman"/>
          <w:sz w:val="23"/>
          <w:szCs w:val="23"/>
        </w:rPr>
        <w:t>. Canada: B.C. Open Textbook Project.</w:t>
      </w:r>
    </w:p>
    <w:p w14:paraId="60648149" w14:textId="1B6D385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Walker, A.</w:t>
      </w:r>
      <w:r w:rsidR="00CD7B37" w:rsidRPr="00F853DD">
        <w:rPr>
          <w:rFonts w:ascii="Times" w:hAnsi="Times" w:cs="Times New Roman"/>
          <w:sz w:val="23"/>
          <w:szCs w:val="23"/>
        </w:rPr>
        <w:t>,</w:t>
      </w:r>
      <w:r w:rsidRPr="00F853DD">
        <w:rPr>
          <w:rFonts w:ascii="Times" w:hAnsi="Times" w:cs="Times New Roman"/>
          <w:sz w:val="23"/>
          <w:szCs w:val="23"/>
        </w:rPr>
        <w:t xml:space="preserve"> (2018). Why the UK needs a social policy on ageing. </w:t>
      </w:r>
      <w:r w:rsidRPr="00F853DD">
        <w:rPr>
          <w:rFonts w:ascii="Times" w:hAnsi="Times" w:cs="Times New Roman"/>
          <w:i/>
          <w:sz w:val="23"/>
          <w:szCs w:val="23"/>
        </w:rPr>
        <w:t>Journal of Social Policy</w:t>
      </w:r>
      <w:r w:rsidR="00CD7B37" w:rsidRPr="00F853DD">
        <w:rPr>
          <w:rFonts w:ascii="Times" w:hAnsi="Times" w:cs="Times New Roman"/>
          <w:sz w:val="23"/>
          <w:szCs w:val="23"/>
        </w:rPr>
        <w:t xml:space="preserve"> [online].</w:t>
      </w:r>
      <w:r w:rsidRPr="00F853DD">
        <w:rPr>
          <w:rFonts w:ascii="Times" w:hAnsi="Times" w:cs="Times New Roman"/>
          <w:sz w:val="23"/>
          <w:szCs w:val="23"/>
        </w:rPr>
        <w:t xml:space="preserve"> </w:t>
      </w:r>
      <w:r w:rsidRPr="00F853DD">
        <w:rPr>
          <w:rFonts w:ascii="Times" w:hAnsi="Times" w:cs="Times New Roman"/>
          <w:b/>
          <w:sz w:val="23"/>
          <w:szCs w:val="23"/>
        </w:rPr>
        <w:t>47</w:t>
      </w:r>
      <w:r w:rsidRPr="00F853DD">
        <w:rPr>
          <w:rFonts w:ascii="Times" w:hAnsi="Times" w:cs="Times New Roman"/>
          <w:sz w:val="23"/>
          <w:szCs w:val="23"/>
        </w:rPr>
        <w:t>(2), 253-273. [Viewed 14</w:t>
      </w:r>
      <w:r w:rsidRPr="00F853DD">
        <w:rPr>
          <w:rFonts w:ascii="Times" w:hAnsi="Times" w:cs="Times New Roman"/>
          <w:sz w:val="23"/>
          <w:szCs w:val="23"/>
          <w:vertAlign w:val="superscript"/>
        </w:rPr>
        <w:t xml:space="preserve"> </w:t>
      </w:r>
      <w:r w:rsidRPr="00F853DD">
        <w:rPr>
          <w:rFonts w:ascii="Times" w:hAnsi="Times" w:cs="Times New Roman"/>
          <w:sz w:val="23"/>
          <w:szCs w:val="23"/>
        </w:rPr>
        <w:t xml:space="preserve">July 2019]. Available from: </w:t>
      </w:r>
      <w:hyperlink r:id="rId115">
        <w:r w:rsidRPr="00F853DD">
          <w:rPr>
            <w:rFonts w:ascii="Times" w:hAnsi="Times" w:cs="Times New Roman"/>
            <w:sz w:val="23"/>
            <w:szCs w:val="23"/>
            <w:u w:val="single"/>
          </w:rPr>
          <w:t>http://eprints.whiterose.ac.uk/115333/18/why_the_uk_needs_a_social_policy_on_ageing.pdf</w:t>
        </w:r>
      </w:hyperlink>
      <w:r w:rsidRPr="00F853DD">
        <w:rPr>
          <w:rFonts w:ascii="Times" w:hAnsi="Times" w:cs="Times New Roman"/>
          <w:sz w:val="23"/>
          <w:szCs w:val="23"/>
          <w:u w:val="single"/>
        </w:rPr>
        <w:t xml:space="preserve">. </w:t>
      </w:r>
      <w:r w:rsidRPr="00F853DD">
        <w:rPr>
          <w:rFonts w:ascii="Times" w:hAnsi="Times" w:cs="Times New Roman"/>
          <w:sz w:val="23"/>
          <w:szCs w:val="23"/>
        </w:rPr>
        <w:t xml:space="preserve"> </w:t>
      </w:r>
    </w:p>
    <w:p w14:paraId="24048869" w14:textId="77777777" w:rsidR="00CD7B37" w:rsidRPr="00F853DD" w:rsidRDefault="00CD7B37" w:rsidP="00CD7B37">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Walker, A. (1993). Under new management: the changing role of the state in the care of older people in the United Kingdom. </w:t>
      </w:r>
      <w:r w:rsidRPr="00F853DD">
        <w:rPr>
          <w:rFonts w:ascii="Times" w:hAnsi="Times" w:cs="Times New Roman"/>
          <w:i/>
          <w:sz w:val="23"/>
          <w:szCs w:val="23"/>
        </w:rPr>
        <w:t>Journal of Aging &amp; Social Policy</w:t>
      </w:r>
      <w:r w:rsidRPr="00F853DD">
        <w:rPr>
          <w:rFonts w:ascii="Times" w:hAnsi="Times" w:cs="Times New Roman"/>
          <w:sz w:val="23"/>
          <w:szCs w:val="23"/>
        </w:rPr>
        <w:t xml:space="preserve">, </w:t>
      </w:r>
      <w:r w:rsidRPr="00F853DD">
        <w:rPr>
          <w:rFonts w:ascii="Times" w:hAnsi="Times" w:cs="Times New Roman"/>
          <w:b/>
          <w:sz w:val="23"/>
          <w:szCs w:val="23"/>
        </w:rPr>
        <w:t>5</w:t>
      </w:r>
      <w:r w:rsidRPr="00F853DD">
        <w:rPr>
          <w:rFonts w:ascii="Times" w:hAnsi="Times" w:cs="Times New Roman"/>
          <w:sz w:val="23"/>
          <w:szCs w:val="23"/>
        </w:rPr>
        <w:t>(1-2), 127-154.</w:t>
      </w:r>
    </w:p>
    <w:p w14:paraId="5CF1E196" w14:textId="3DE2546C" w:rsidR="00CD7B37" w:rsidRPr="00F853DD" w:rsidRDefault="00CD7B3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Walker, A. (2005). 25</w:t>
      </w:r>
      <w:r w:rsidRPr="00F853DD">
        <w:rPr>
          <w:rFonts w:ascii="Times" w:hAnsi="Times" w:cs="Times New Roman"/>
          <w:sz w:val="23"/>
          <w:szCs w:val="23"/>
          <w:vertAlign w:val="superscript"/>
        </w:rPr>
        <w:t>th</w:t>
      </w:r>
      <w:r w:rsidRPr="00F853DD">
        <w:rPr>
          <w:rFonts w:ascii="Times" w:hAnsi="Times" w:cs="Times New Roman"/>
          <w:sz w:val="23"/>
          <w:szCs w:val="23"/>
        </w:rPr>
        <w:t xml:space="preserve"> volume celebration paper Towards an international political economy of ageing. </w:t>
      </w:r>
      <w:r w:rsidRPr="00F853DD">
        <w:rPr>
          <w:rFonts w:ascii="Times" w:hAnsi="Times" w:cs="Times New Roman"/>
          <w:i/>
          <w:sz w:val="23"/>
          <w:szCs w:val="23"/>
        </w:rPr>
        <w:t>Ageing &amp; Society</w:t>
      </w:r>
      <w:r w:rsidRPr="00F853DD">
        <w:rPr>
          <w:rFonts w:ascii="Times" w:hAnsi="Times" w:cs="Times New Roman"/>
          <w:sz w:val="23"/>
          <w:szCs w:val="23"/>
        </w:rPr>
        <w:t xml:space="preserve"> [online]. </w:t>
      </w:r>
      <w:r w:rsidRPr="00F853DD">
        <w:rPr>
          <w:rFonts w:ascii="Times" w:hAnsi="Times" w:cs="Times New Roman"/>
          <w:b/>
          <w:sz w:val="23"/>
          <w:szCs w:val="23"/>
        </w:rPr>
        <w:t>25</w:t>
      </w:r>
      <w:r w:rsidRPr="00F853DD">
        <w:rPr>
          <w:rFonts w:ascii="Times" w:hAnsi="Times" w:cs="Times New Roman"/>
          <w:sz w:val="23"/>
          <w:szCs w:val="23"/>
        </w:rPr>
        <w:t>(6), 815-839. [Viewed 4 July 2019]. Available from: doi: 10.1017/S0144686X05004307.</w:t>
      </w:r>
    </w:p>
    <w:p w14:paraId="46680F3C" w14:textId="34437562" w:rsidR="00CD7B37" w:rsidRPr="00F853DD" w:rsidRDefault="003553A1"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Walker, A. and Foster, L., </w:t>
      </w:r>
      <w:r w:rsidR="00CD7B37" w:rsidRPr="00F853DD">
        <w:rPr>
          <w:rFonts w:ascii="Times" w:hAnsi="Times" w:cs="Times New Roman"/>
          <w:sz w:val="23"/>
          <w:szCs w:val="23"/>
        </w:rPr>
        <w:t>eds</w:t>
      </w:r>
      <w:r w:rsidRPr="00F853DD">
        <w:rPr>
          <w:rFonts w:ascii="Times" w:hAnsi="Times" w:cs="Times New Roman"/>
          <w:sz w:val="23"/>
          <w:szCs w:val="23"/>
        </w:rPr>
        <w:t>.,</w:t>
      </w:r>
      <w:r w:rsidR="00CD7B37" w:rsidRPr="00F853DD">
        <w:rPr>
          <w:rFonts w:ascii="Times" w:hAnsi="Times" w:cs="Times New Roman"/>
          <w:sz w:val="23"/>
          <w:szCs w:val="23"/>
        </w:rPr>
        <w:t xml:space="preserve"> (2014). </w:t>
      </w:r>
      <w:r w:rsidR="00CD7B37" w:rsidRPr="00F853DD">
        <w:rPr>
          <w:rFonts w:ascii="Times" w:hAnsi="Times" w:cs="Times New Roman"/>
          <w:i/>
          <w:sz w:val="23"/>
          <w:szCs w:val="23"/>
        </w:rPr>
        <w:t>The political economy of ageing and later life: critical perspectives</w:t>
      </w:r>
      <w:r w:rsidR="00CD7B37" w:rsidRPr="00F853DD">
        <w:rPr>
          <w:rFonts w:ascii="Times" w:hAnsi="Times" w:cs="Times New Roman"/>
          <w:sz w:val="23"/>
          <w:szCs w:val="23"/>
        </w:rPr>
        <w:t>. UK and USA: Edward Elgar.</w:t>
      </w:r>
    </w:p>
    <w:p w14:paraId="211D3F2D" w14:textId="77777777" w:rsidR="00CD7B37" w:rsidRPr="00F853DD" w:rsidRDefault="00CD7B3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Walker, A. and Naegele, G., (2009). </w:t>
      </w:r>
      <w:r w:rsidRPr="00F853DD">
        <w:rPr>
          <w:rFonts w:ascii="Times" w:hAnsi="Times" w:cs="Times New Roman"/>
          <w:i/>
          <w:sz w:val="23"/>
          <w:szCs w:val="23"/>
        </w:rPr>
        <w:t>Social policy in ageing societies: Britain and Germany compared</w:t>
      </w:r>
      <w:r w:rsidRPr="00F853DD">
        <w:rPr>
          <w:rFonts w:ascii="Times" w:hAnsi="Times" w:cs="Times New Roman"/>
          <w:sz w:val="23"/>
          <w:szCs w:val="23"/>
        </w:rPr>
        <w:t>. Basingstoke: Palgrave Macmillan.</w:t>
      </w:r>
    </w:p>
    <w:p w14:paraId="7A0D54AC" w14:textId="27DFBFE7" w:rsidR="00CD7B37" w:rsidRPr="00F853DD" w:rsidRDefault="00CD7B3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Walker, A. and Pratt, C. (1991). Daughters help to mothers: intergenerational aid versus caregiving. </w:t>
      </w:r>
      <w:r w:rsidRPr="00F853DD">
        <w:rPr>
          <w:rFonts w:ascii="Times" w:hAnsi="Times" w:cs="Times New Roman"/>
          <w:i/>
          <w:sz w:val="23"/>
          <w:szCs w:val="23"/>
        </w:rPr>
        <w:t>Journal of Marriage and the Family.</w:t>
      </w:r>
      <w:r w:rsidRPr="00F853DD">
        <w:rPr>
          <w:rFonts w:ascii="Times" w:hAnsi="Times" w:cs="Times New Roman"/>
          <w:sz w:val="23"/>
          <w:szCs w:val="23"/>
        </w:rPr>
        <w:t xml:space="preserve"> </w:t>
      </w:r>
      <w:r w:rsidRPr="00F853DD">
        <w:rPr>
          <w:rFonts w:ascii="Times" w:hAnsi="Times" w:cs="Times New Roman"/>
          <w:b/>
          <w:sz w:val="23"/>
          <w:szCs w:val="23"/>
        </w:rPr>
        <w:t>53</w:t>
      </w:r>
      <w:r w:rsidRPr="00F853DD">
        <w:rPr>
          <w:rFonts w:ascii="Times" w:hAnsi="Times" w:cs="Times New Roman"/>
          <w:sz w:val="23"/>
          <w:szCs w:val="23"/>
        </w:rPr>
        <w:t>, 3-12.</w:t>
      </w:r>
    </w:p>
    <w:p w14:paraId="6C763495" w14:textId="42DE59F1" w:rsidR="00CD7B37" w:rsidRPr="00F853DD" w:rsidRDefault="00CD7B3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Walker, A., Pratt, C. and Eddy, L., (1995). Informal caregiving to aging family members: a critical review. </w:t>
      </w:r>
      <w:r w:rsidRPr="00F853DD">
        <w:rPr>
          <w:rFonts w:ascii="Times" w:hAnsi="Times" w:cs="Times New Roman"/>
          <w:i/>
          <w:sz w:val="23"/>
          <w:szCs w:val="23"/>
        </w:rPr>
        <w:t>Family Relations</w:t>
      </w:r>
      <w:r w:rsidRPr="00F853DD">
        <w:rPr>
          <w:rFonts w:ascii="Times" w:hAnsi="Times" w:cs="Times New Roman"/>
          <w:sz w:val="23"/>
          <w:szCs w:val="23"/>
        </w:rPr>
        <w:t xml:space="preserve">. </w:t>
      </w:r>
      <w:r w:rsidRPr="00F853DD">
        <w:rPr>
          <w:rFonts w:ascii="Times" w:hAnsi="Times" w:cs="Times New Roman"/>
          <w:b/>
          <w:sz w:val="23"/>
          <w:szCs w:val="23"/>
        </w:rPr>
        <w:t>44</w:t>
      </w:r>
      <w:r w:rsidRPr="00F853DD">
        <w:rPr>
          <w:rFonts w:ascii="Times" w:hAnsi="Times" w:cs="Times New Roman"/>
          <w:sz w:val="23"/>
          <w:szCs w:val="23"/>
        </w:rPr>
        <w:t>, 402-411.</w:t>
      </w:r>
    </w:p>
    <w:p w14:paraId="0DCC19C4" w14:textId="7826B43B" w:rsidR="00CD7B37" w:rsidRPr="00F853DD" w:rsidRDefault="00CD7B37"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Walker, A., Pratt, C., Shin, H. and Jones, L., (1990). Motives for parental caregiving and relationship quality. </w:t>
      </w:r>
      <w:r w:rsidRPr="00F853DD">
        <w:rPr>
          <w:rFonts w:ascii="Times" w:hAnsi="Times" w:cs="Times New Roman"/>
          <w:i/>
          <w:sz w:val="23"/>
          <w:szCs w:val="23"/>
        </w:rPr>
        <w:t>Family Relations</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 51-56.</w:t>
      </w:r>
    </w:p>
    <w:p w14:paraId="00150493" w14:textId="642EDA6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Walker, J. and Cooper, M.</w:t>
      </w:r>
      <w:r w:rsidR="00CD7B37" w:rsidRPr="00F853DD">
        <w:rPr>
          <w:rFonts w:ascii="Times" w:hAnsi="Times" w:cs="Times New Roman"/>
          <w:sz w:val="23"/>
          <w:szCs w:val="23"/>
        </w:rPr>
        <w:t>.</w:t>
      </w:r>
      <w:r w:rsidRPr="00F853DD">
        <w:rPr>
          <w:rFonts w:ascii="Times" w:hAnsi="Times" w:cs="Times New Roman"/>
          <w:sz w:val="23"/>
          <w:szCs w:val="23"/>
        </w:rPr>
        <w:t xml:space="preserve"> (2011). Genealogies of resilience: From systems ecology to the political economy of crisis adaptation. </w:t>
      </w:r>
      <w:r w:rsidRPr="00F853DD">
        <w:rPr>
          <w:rFonts w:ascii="Times" w:hAnsi="Times" w:cs="Times New Roman"/>
          <w:i/>
          <w:sz w:val="23"/>
          <w:szCs w:val="23"/>
        </w:rPr>
        <w:t>Security Dialogue</w:t>
      </w:r>
      <w:r w:rsidR="00CD7B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42</w:t>
      </w:r>
      <w:r w:rsidRPr="00F853DD">
        <w:rPr>
          <w:rFonts w:ascii="Times" w:hAnsi="Times" w:cs="Times New Roman"/>
          <w:sz w:val="23"/>
          <w:szCs w:val="23"/>
        </w:rPr>
        <w:t>, 143-160.</w:t>
      </w:r>
    </w:p>
    <w:p w14:paraId="415D2463" w14:textId="378839F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Walker, R., Newman, L., Tsianikas, M., Panagiotopoulos, G. and Hurley, C.</w:t>
      </w:r>
      <w:r w:rsidR="00CD7B37" w:rsidRPr="00F853DD">
        <w:rPr>
          <w:rFonts w:ascii="Times" w:hAnsi="Times" w:cs="Times New Roman"/>
          <w:sz w:val="23"/>
          <w:szCs w:val="23"/>
        </w:rPr>
        <w:t>,</w:t>
      </w:r>
      <w:r w:rsidRPr="00F853DD">
        <w:rPr>
          <w:rFonts w:ascii="Times" w:hAnsi="Times" w:cs="Times New Roman"/>
          <w:sz w:val="23"/>
          <w:szCs w:val="23"/>
        </w:rPr>
        <w:t xml:space="preserve"> (2013). The perspectives of older Greek-Australians toward changes in the nature of family support: Implications for family care policies. </w:t>
      </w:r>
      <w:r w:rsidRPr="00F853DD">
        <w:rPr>
          <w:rFonts w:ascii="Times" w:hAnsi="Times" w:cs="Times New Roman"/>
          <w:i/>
          <w:sz w:val="23"/>
          <w:szCs w:val="23"/>
        </w:rPr>
        <w:t>Journal of Aging and Social Policy</w:t>
      </w:r>
      <w:r w:rsidR="00CD7B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320-334.</w:t>
      </w:r>
    </w:p>
    <w:p w14:paraId="2D49D185" w14:textId="3D3362D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Walker, R., Powers, S., and Bisconti, T.</w:t>
      </w:r>
      <w:r w:rsidR="00CD7B37" w:rsidRPr="00F853DD">
        <w:rPr>
          <w:rFonts w:ascii="Times" w:hAnsi="Times" w:cs="Times New Roman"/>
          <w:sz w:val="23"/>
          <w:szCs w:val="23"/>
        </w:rPr>
        <w:t>,</w:t>
      </w:r>
      <w:r w:rsidRPr="00F853DD">
        <w:rPr>
          <w:rFonts w:ascii="Times" w:hAnsi="Times" w:cs="Times New Roman"/>
          <w:sz w:val="23"/>
          <w:szCs w:val="23"/>
        </w:rPr>
        <w:t xml:space="preserve"> (2016). Positive aspects of the caregiving experience: </w:t>
      </w:r>
      <w:r w:rsidR="00CD7B37" w:rsidRPr="00F853DD">
        <w:rPr>
          <w:rFonts w:ascii="Times" w:hAnsi="Times" w:cs="Times New Roman"/>
          <w:sz w:val="23"/>
          <w:szCs w:val="23"/>
        </w:rPr>
        <w:t>f</w:t>
      </w:r>
      <w:r w:rsidRPr="00F853DD">
        <w:rPr>
          <w:rFonts w:ascii="Times" w:hAnsi="Times" w:cs="Times New Roman"/>
          <w:sz w:val="23"/>
          <w:szCs w:val="23"/>
        </w:rPr>
        <w:t xml:space="preserve">inding hope in the midst of the storm. </w:t>
      </w:r>
      <w:r w:rsidRPr="00F853DD">
        <w:rPr>
          <w:rFonts w:ascii="Times" w:hAnsi="Times" w:cs="Times New Roman"/>
          <w:i/>
          <w:sz w:val="23"/>
          <w:szCs w:val="23"/>
        </w:rPr>
        <w:t>Women and Therapy</w:t>
      </w:r>
      <w:r w:rsidR="00CD7B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 354-370.</w:t>
      </w:r>
    </w:p>
    <w:p w14:paraId="03F79D7B" w14:textId="50168A8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Wallhagen, M. and Kagan, S.</w:t>
      </w:r>
      <w:r w:rsidR="00CD7B37" w:rsidRPr="00F853DD">
        <w:rPr>
          <w:rFonts w:ascii="Times" w:hAnsi="Times" w:cs="Times New Roman"/>
          <w:sz w:val="23"/>
          <w:szCs w:val="23"/>
        </w:rPr>
        <w:t>,</w:t>
      </w:r>
      <w:r w:rsidRPr="00F853DD">
        <w:rPr>
          <w:rFonts w:ascii="Times" w:hAnsi="Times" w:cs="Times New Roman"/>
          <w:sz w:val="23"/>
          <w:szCs w:val="23"/>
        </w:rPr>
        <w:t xml:space="preserve"> (</w:t>
      </w:r>
      <w:r w:rsidR="00CD7B37" w:rsidRPr="00F853DD">
        <w:rPr>
          <w:rFonts w:ascii="Times" w:hAnsi="Times" w:cs="Times New Roman"/>
          <w:sz w:val="23"/>
          <w:szCs w:val="23"/>
        </w:rPr>
        <w:t>1993). Staying within bounds: p</w:t>
      </w:r>
      <w:r w:rsidRPr="00F853DD">
        <w:rPr>
          <w:rFonts w:ascii="Times" w:hAnsi="Times" w:cs="Times New Roman"/>
          <w:sz w:val="23"/>
          <w:szCs w:val="23"/>
        </w:rPr>
        <w:t xml:space="preserve">erceived control and experience of elderly caregivers. </w:t>
      </w:r>
      <w:r w:rsidRPr="00F853DD">
        <w:rPr>
          <w:rFonts w:ascii="Times" w:hAnsi="Times" w:cs="Times New Roman"/>
          <w:i/>
          <w:sz w:val="23"/>
          <w:szCs w:val="23"/>
        </w:rPr>
        <w:t>Journal of Aging Studies</w:t>
      </w:r>
      <w:r w:rsidR="00CD7B37"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Pr="00F853DD">
        <w:rPr>
          <w:rFonts w:ascii="Times" w:hAnsi="Times" w:cs="Times New Roman"/>
          <w:sz w:val="23"/>
          <w:szCs w:val="23"/>
        </w:rPr>
        <w:t>, 197-213.</w:t>
      </w:r>
    </w:p>
    <w:p w14:paraId="4D613A12" w14:textId="584BD27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Walsh,</w:t>
      </w:r>
      <w:r w:rsidR="00CD7B37" w:rsidRPr="00F853DD">
        <w:rPr>
          <w:rFonts w:ascii="Times" w:hAnsi="Times" w:cs="Times New Roman"/>
          <w:sz w:val="23"/>
          <w:szCs w:val="23"/>
        </w:rPr>
        <w:t xml:space="preserve"> K., Carney, G. and Léime, N.,</w:t>
      </w:r>
      <w:r w:rsidRPr="00F853DD">
        <w:rPr>
          <w:rFonts w:ascii="Times" w:hAnsi="Times" w:cs="Times New Roman"/>
          <w:sz w:val="23"/>
          <w:szCs w:val="23"/>
        </w:rPr>
        <w:t xml:space="preserve"> (2015). </w:t>
      </w:r>
      <w:r w:rsidRPr="00F853DD">
        <w:rPr>
          <w:rFonts w:ascii="Times" w:hAnsi="Times" w:cs="Times New Roman"/>
          <w:i/>
          <w:sz w:val="23"/>
          <w:szCs w:val="23"/>
        </w:rPr>
        <w:t>Ageing through austerity: critical perspectives from Ireland</w:t>
      </w:r>
      <w:r w:rsidRPr="00F853DD">
        <w:rPr>
          <w:rFonts w:ascii="Times" w:hAnsi="Times" w:cs="Times New Roman"/>
          <w:sz w:val="23"/>
          <w:szCs w:val="23"/>
        </w:rPr>
        <w:t>.  Bristol: Policy Press.</w:t>
      </w:r>
    </w:p>
    <w:p w14:paraId="25FD9BD5" w14:textId="41382B4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Walsh, K. and Shutes, I.</w:t>
      </w:r>
      <w:r w:rsidR="009720BC" w:rsidRPr="00F853DD">
        <w:rPr>
          <w:rFonts w:ascii="Times" w:hAnsi="Times" w:cs="Times New Roman"/>
          <w:sz w:val="23"/>
          <w:szCs w:val="23"/>
        </w:rPr>
        <w:t>,</w:t>
      </w:r>
      <w:r w:rsidRPr="00F853DD">
        <w:rPr>
          <w:rFonts w:ascii="Times" w:hAnsi="Times" w:cs="Times New Roman"/>
          <w:sz w:val="23"/>
          <w:szCs w:val="23"/>
        </w:rPr>
        <w:t xml:space="preserve"> (2013). Care relationships, quality of care and migrant workers caring for older people. </w:t>
      </w:r>
      <w:r w:rsidRPr="00F853DD">
        <w:rPr>
          <w:rFonts w:ascii="Times" w:hAnsi="Times" w:cs="Times New Roman"/>
          <w:i/>
          <w:sz w:val="23"/>
          <w:szCs w:val="23"/>
        </w:rPr>
        <w:t>Ageing and Society</w:t>
      </w:r>
      <w:r w:rsidR="009720B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 393-420.</w:t>
      </w:r>
    </w:p>
    <w:p w14:paraId="0D500550" w14:textId="26DEB52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Wang, J. and Wu, B.</w:t>
      </w:r>
      <w:r w:rsidR="009720BC" w:rsidRPr="00F853DD">
        <w:rPr>
          <w:rFonts w:ascii="Times" w:hAnsi="Times" w:cs="Times New Roman"/>
          <w:sz w:val="23"/>
          <w:szCs w:val="23"/>
        </w:rPr>
        <w:t>,</w:t>
      </w:r>
      <w:r w:rsidRPr="00F853DD">
        <w:rPr>
          <w:rFonts w:ascii="Times" w:hAnsi="Times" w:cs="Times New Roman"/>
          <w:sz w:val="23"/>
          <w:szCs w:val="23"/>
        </w:rPr>
        <w:t xml:space="preserve"> (2017). Domestic helpers as frontline workers in China's home-based elder care: A systematic review. </w:t>
      </w:r>
      <w:r w:rsidR="009720BC" w:rsidRPr="00F853DD">
        <w:rPr>
          <w:rFonts w:ascii="Times" w:hAnsi="Times" w:cs="Times New Roman"/>
          <w:i/>
          <w:sz w:val="23"/>
          <w:szCs w:val="23"/>
        </w:rPr>
        <w:t>Journal of Women and Aging.</w:t>
      </w:r>
      <w:r w:rsidRPr="00F853DD">
        <w:rPr>
          <w:rFonts w:ascii="Times" w:hAnsi="Times" w:cs="Times New Roman"/>
          <w:sz w:val="23"/>
          <w:szCs w:val="23"/>
        </w:rPr>
        <w:t xml:space="preserve"> </w:t>
      </w:r>
      <w:r w:rsidRPr="00F853DD">
        <w:rPr>
          <w:rFonts w:ascii="Times" w:hAnsi="Times" w:cs="Times New Roman"/>
          <w:b/>
          <w:sz w:val="23"/>
          <w:szCs w:val="23"/>
        </w:rPr>
        <w:t>29</w:t>
      </w:r>
      <w:r w:rsidRPr="00F853DD">
        <w:rPr>
          <w:rFonts w:ascii="Times" w:hAnsi="Times" w:cs="Times New Roman"/>
          <w:sz w:val="23"/>
          <w:szCs w:val="23"/>
        </w:rPr>
        <w:t>, 294-305.</w:t>
      </w:r>
    </w:p>
    <w:p w14:paraId="51E873C0" w14:textId="48D8539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Wang, J., Xiao, L., He, G., Ullah, S. and De Bellis, A.</w:t>
      </w:r>
      <w:r w:rsidR="009720BC" w:rsidRPr="00F853DD">
        <w:rPr>
          <w:rFonts w:ascii="Times" w:hAnsi="Times" w:cs="Times New Roman"/>
          <w:sz w:val="23"/>
          <w:szCs w:val="23"/>
        </w:rPr>
        <w:t>,</w:t>
      </w:r>
      <w:r w:rsidRPr="00F853DD">
        <w:rPr>
          <w:rFonts w:ascii="Times" w:hAnsi="Times" w:cs="Times New Roman"/>
          <w:sz w:val="23"/>
          <w:szCs w:val="23"/>
        </w:rPr>
        <w:t xml:space="preserve"> (2014). Factors contributing to caregiver burden in dementia in a country without formal caregiver support. </w:t>
      </w:r>
      <w:r w:rsidRPr="00F853DD">
        <w:rPr>
          <w:rFonts w:ascii="Times" w:hAnsi="Times" w:cs="Times New Roman"/>
          <w:i/>
          <w:sz w:val="23"/>
          <w:szCs w:val="23"/>
        </w:rPr>
        <w:t>Aging and Mental Health.</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986-996.</w:t>
      </w:r>
    </w:p>
    <w:p w14:paraId="5DAD7499" w14:textId="2FEE03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Wang, M., Kang, S. and Schiamberg, L.</w:t>
      </w:r>
      <w:r w:rsidR="009720BC" w:rsidRPr="00F853DD">
        <w:rPr>
          <w:rFonts w:ascii="Times" w:hAnsi="Times" w:cs="Times New Roman"/>
          <w:sz w:val="23"/>
          <w:szCs w:val="23"/>
        </w:rPr>
        <w:t>,</w:t>
      </w:r>
      <w:r w:rsidRPr="00F853DD">
        <w:rPr>
          <w:rFonts w:ascii="Times" w:hAnsi="Times" w:cs="Times New Roman"/>
          <w:sz w:val="23"/>
          <w:szCs w:val="23"/>
        </w:rPr>
        <w:t xml:space="preserve"> (2015)a. Ecological factors associated with elder abuse in Taiwan: a systematic review. </w:t>
      </w:r>
      <w:r w:rsidRPr="00F853DD">
        <w:rPr>
          <w:rFonts w:ascii="Times" w:hAnsi="Times" w:cs="Times New Roman"/>
          <w:i/>
          <w:sz w:val="23"/>
          <w:szCs w:val="23"/>
        </w:rPr>
        <w:t>Asia Pacific Journal of Social Work and Development</w:t>
      </w:r>
      <w:r w:rsidR="009720B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25</w:t>
      </w:r>
      <w:r w:rsidRPr="00F853DD">
        <w:rPr>
          <w:rFonts w:ascii="Times" w:hAnsi="Times" w:cs="Times New Roman"/>
          <w:sz w:val="23"/>
          <w:szCs w:val="23"/>
        </w:rPr>
        <w:t>, 13-28.</w:t>
      </w:r>
    </w:p>
    <w:p w14:paraId="625F0857" w14:textId="674F81B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Wang, X., Brisbin, S., Loo, T. and Straus, S.</w:t>
      </w:r>
      <w:r w:rsidR="009720BC" w:rsidRPr="00F853DD">
        <w:rPr>
          <w:rFonts w:ascii="Times" w:hAnsi="Times" w:cs="Times New Roman"/>
          <w:sz w:val="23"/>
          <w:szCs w:val="23"/>
        </w:rPr>
        <w:t>,</w:t>
      </w:r>
      <w:r w:rsidRPr="00F853DD">
        <w:rPr>
          <w:rFonts w:ascii="Times" w:hAnsi="Times" w:cs="Times New Roman"/>
          <w:sz w:val="23"/>
          <w:szCs w:val="23"/>
        </w:rPr>
        <w:t xml:space="preserve"> (2015)b. Elder abuse: an approach to identification, assessment and intervention. </w:t>
      </w:r>
      <w:r w:rsidRPr="00F853DD">
        <w:rPr>
          <w:rFonts w:ascii="Times" w:hAnsi="Times" w:cs="Times New Roman"/>
          <w:i/>
          <w:sz w:val="23"/>
          <w:szCs w:val="23"/>
        </w:rPr>
        <w:t>Canadian Medical Association Journal</w:t>
      </w:r>
      <w:r w:rsidR="009720BC" w:rsidRPr="00F853DD">
        <w:rPr>
          <w:rFonts w:ascii="Times" w:hAnsi="Times" w:cs="Times New Roman"/>
          <w:i/>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187</w:t>
      </w:r>
      <w:r w:rsidRPr="00F853DD">
        <w:rPr>
          <w:rFonts w:ascii="Times" w:hAnsi="Times" w:cs="Times New Roman"/>
          <w:sz w:val="23"/>
          <w:szCs w:val="23"/>
        </w:rPr>
        <w:t>, 575-581.</w:t>
      </w:r>
    </w:p>
    <w:p w14:paraId="72CFEDFC" w14:textId="04CDCC1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Wang, M.</w:t>
      </w:r>
      <w:r w:rsidR="009720BC" w:rsidRPr="00F853DD">
        <w:rPr>
          <w:rFonts w:ascii="Times" w:hAnsi="Times" w:cs="Times New Roman"/>
          <w:sz w:val="23"/>
          <w:szCs w:val="23"/>
        </w:rPr>
        <w:t>,</w:t>
      </w:r>
      <w:r w:rsidRPr="00F853DD">
        <w:rPr>
          <w:rFonts w:ascii="Times" w:hAnsi="Times" w:cs="Times New Roman"/>
          <w:sz w:val="23"/>
          <w:szCs w:val="23"/>
        </w:rPr>
        <w:t xml:space="preserve"> (2007). Eastern vs. Western Culture [online]. FLL Mosaic. [Viewed 6 October 2019]. Available from: http://www.academic.fcu.edu.tw/wSite/public/Attachment/f1257146237999.pdf</w:t>
      </w:r>
      <w:r w:rsidRPr="00F853DD">
        <w:rPr>
          <w:rStyle w:val="Hyperlink"/>
          <w:rFonts w:ascii="Times" w:hAnsi="Times"/>
          <w:color w:val="auto"/>
          <w:sz w:val="23"/>
          <w:szCs w:val="23"/>
        </w:rPr>
        <w:t>.</w:t>
      </w:r>
      <w:r w:rsidRPr="00F853DD">
        <w:rPr>
          <w:rFonts w:ascii="Times" w:hAnsi="Times" w:cs="Times New Roman"/>
          <w:sz w:val="23"/>
          <w:szCs w:val="23"/>
        </w:rPr>
        <w:t xml:space="preserve"> </w:t>
      </w:r>
    </w:p>
    <w:p w14:paraId="2DE9CA78" w14:textId="0B7B62B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Ward-Griffin, C.</w:t>
      </w:r>
      <w:r w:rsidR="009720BC" w:rsidRPr="00F853DD">
        <w:rPr>
          <w:rFonts w:ascii="Times" w:hAnsi="Times" w:cs="Times New Roman"/>
          <w:sz w:val="23"/>
          <w:szCs w:val="23"/>
        </w:rPr>
        <w:t>,</w:t>
      </w:r>
      <w:r w:rsidRPr="00F853DD">
        <w:rPr>
          <w:rFonts w:ascii="Times" w:hAnsi="Times" w:cs="Times New Roman"/>
          <w:sz w:val="23"/>
          <w:szCs w:val="23"/>
        </w:rPr>
        <w:t xml:space="preserve"> (2016). Negotiating care of frail elders: relationships between community nurses and family caregivers. </w:t>
      </w:r>
      <w:r w:rsidRPr="00F853DD">
        <w:rPr>
          <w:rFonts w:ascii="Times" w:hAnsi="Times" w:cs="Times New Roman"/>
          <w:i/>
          <w:sz w:val="23"/>
          <w:szCs w:val="23"/>
        </w:rPr>
        <w:t>Canadian Journal of Nursing Research Archive</w:t>
      </w:r>
      <w:r w:rsidR="009720B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(2).</w:t>
      </w:r>
    </w:p>
    <w:p w14:paraId="7D09230D" w14:textId="28138E42"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de-DE"/>
        </w:rPr>
      </w:pPr>
      <w:r w:rsidRPr="00F853DD">
        <w:rPr>
          <w:rFonts w:ascii="Times" w:hAnsi="Times" w:cs="Times New Roman"/>
          <w:sz w:val="23"/>
          <w:szCs w:val="23"/>
        </w:rPr>
        <w:t>Ward-Griffin, C. and Marshall, V.</w:t>
      </w:r>
      <w:r w:rsidR="009720BC" w:rsidRPr="00F853DD">
        <w:rPr>
          <w:rFonts w:ascii="Times" w:hAnsi="Times" w:cs="Times New Roman"/>
          <w:sz w:val="23"/>
          <w:szCs w:val="23"/>
        </w:rPr>
        <w:t>,</w:t>
      </w:r>
      <w:r w:rsidRPr="00F853DD">
        <w:rPr>
          <w:rFonts w:ascii="Times" w:hAnsi="Times" w:cs="Times New Roman"/>
          <w:sz w:val="23"/>
          <w:szCs w:val="23"/>
        </w:rPr>
        <w:t xml:space="preserve"> (2003). Reconceptual</w:t>
      </w:r>
      <w:r w:rsidR="009720BC" w:rsidRPr="00F853DD">
        <w:rPr>
          <w:rFonts w:ascii="Times" w:hAnsi="Times" w:cs="Times New Roman"/>
          <w:sz w:val="23"/>
          <w:szCs w:val="23"/>
        </w:rPr>
        <w:t>izing the relationship between “public” and “private”</w:t>
      </w:r>
      <w:r w:rsidRPr="00F853DD">
        <w:rPr>
          <w:rFonts w:ascii="Times" w:hAnsi="Times" w:cs="Times New Roman"/>
          <w:sz w:val="23"/>
          <w:szCs w:val="23"/>
        </w:rPr>
        <w:t xml:space="preserve"> eldercare. </w:t>
      </w:r>
      <w:r w:rsidRPr="00F853DD">
        <w:rPr>
          <w:rFonts w:ascii="Times" w:hAnsi="Times" w:cs="Times New Roman"/>
          <w:i/>
          <w:sz w:val="23"/>
          <w:szCs w:val="23"/>
          <w:lang w:val="de-DE"/>
        </w:rPr>
        <w:t>Journal of Aging Studies</w:t>
      </w:r>
      <w:r w:rsidR="009720BC" w:rsidRPr="00F853DD">
        <w:rPr>
          <w:rFonts w:ascii="Times" w:hAnsi="Times" w:cs="Times New Roman"/>
          <w:sz w:val="23"/>
          <w:szCs w:val="23"/>
          <w:lang w:val="de-DE"/>
        </w:rPr>
        <w:t>.</w:t>
      </w:r>
      <w:r w:rsidRPr="00F853DD">
        <w:rPr>
          <w:rFonts w:ascii="Times" w:hAnsi="Times" w:cs="Times New Roman"/>
          <w:sz w:val="23"/>
          <w:szCs w:val="23"/>
          <w:lang w:val="de-DE"/>
        </w:rPr>
        <w:t xml:space="preserve"> </w:t>
      </w:r>
      <w:r w:rsidRPr="00F853DD">
        <w:rPr>
          <w:rFonts w:ascii="Times" w:hAnsi="Times" w:cs="Times New Roman"/>
          <w:b/>
          <w:sz w:val="23"/>
          <w:szCs w:val="23"/>
          <w:lang w:val="de-DE"/>
        </w:rPr>
        <w:t>17</w:t>
      </w:r>
      <w:r w:rsidRPr="00F853DD">
        <w:rPr>
          <w:rFonts w:ascii="Times" w:hAnsi="Times" w:cs="Times New Roman"/>
          <w:sz w:val="23"/>
          <w:szCs w:val="23"/>
          <w:lang w:val="de-DE"/>
        </w:rPr>
        <w:t>, 189-208.</w:t>
      </w:r>
    </w:p>
    <w:p w14:paraId="6292922C" w14:textId="26B1126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de-DE"/>
        </w:rPr>
        <w:t>Warner, L., Schuz, B., Wurm, S., Ziegelmann, J. and Tesch-Romer, C.</w:t>
      </w:r>
      <w:r w:rsidR="009720BC" w:rsidRPr="00F853DD">
        <w:rPr>
          <w:rFonts w:ascii="Times" w:hAnsi="Times" w:cs="Times New Roman"/>
          <w:sz w:val="23"/>
          <w:szCs w:val="23"/>
          <w:lang w:val="de-DE"/>
        </w:rPr>
        <w:t>,</w:t>
      </w:r>
      <w:r w:rsidRPr="00F853DD">
        <w:rPr>
          <w:rFonts w:ascii="Times" w:hAnsi="Times" w:cs="Times New Roman"/>
          <w:sz w:val="23"/>
          <w:szCs w:val="23"/>
          <w:lang w:val="de-DE"/>
        </w:rPr>
        <w:t xml:space="preserve"> (2010). </w:t>
      </w:r>
      <w:r w:rsidRPr="00F853DD">
        <w:rPr>
          <w:rFonts w:ascii="Times" w:hAnsi="Times" w:cs="Times New Roman"/>
          <w:sz w:val="23"/>
          <w:szCs w:val="23"/>
        </w:rPr>
        <w:t xml:space="preserve">Giving and taking-differential effects of providing, receiving and anticipating emotional support on quality of life in adults with multiple illnesses. </w:t>
      </w:r>
      <w:r w:rsidRPr="00F853DD">
        <w:rPr>
          <w:rFonts w:ascii="Times" w:hAnsi="Times" w:cs="Times New Roman"/>
          <w:i/>
          <w:sz w:val="23"/>
          <w:szCs w:val="23"/>
        </w:rPr>
        <w:t>Journal of Health Psychology</w:t>
      </w:r>
      <w:r w:rsidR="009720BC"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15</w:t>
      </w:r>
      <w:r w:rsidRPr="00F853DD">
        <w:rPr>
          <w:rFonts w:ascii="Times" w:hAnsi="Times" w:cs="Times New Roman"/>
          <w:sz w:val="23"/>
          <w:szCs w:val="23"/>
        </w:rPr>
        <w:t>, 660-670.</w:t>
      </w:r>
    </w:p>
    <w:p w14:paraId="2BFE83C4" w14:textId="33BA77AA"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pt-PT"/>
        </w:rPr>
      </w:pPr>
      <w:r w:rsidRPr="00F853DD">
        <w:rPr>
          <w:rFonts w:ascii="Times" w:hAnsi="Times" w:cs="Times New Roman"/>
          <w:sz w:val="23"/>
          <w:szCs w:val="23"/>
        </w:rPr>
        <w:t>Wasko, J.</w:t>
      </w:r>
      <w:r w:rsidR="009720BC" w:rsidRPr="00F853DD">
        <w:rPr>
          <w:rFonts w:ascii="Times" w:hAnsi="Times" w:cs="Times New Roman"/>
          <w:sz w:val="23"/>
          <w:szCs w:val="23"/>
        </w:rPr>
        <w:t>,</w:t>
      </w:r>
      <w:r w:rsidRPr="00F853DD">
        <w:rPr>
          <w:rFonts w:ascii="Times" w:hAnsi="Times" w:cs="Times New Roman"/>
          <w:sz w:val="23"/>
          <w:szCs w:val="23"/>
        </w:rPr>
        <w:t xml:space="preserve"> (2005). Studying the political economy of media and information. </w:t>
      </w:r>
      <w:r w:rsidRPr="00F853DD">
        <w:rPr>
          <w:rFonts w:ascii="Times" w:hAnsi="Times" w:cs="Times New Roman"/>
          <w:i/>
          <w:sz w:val="23"/>
          <w:szCs w:val="23"/>
          <w:lang w:val="pt-PT"/>
        </w:rPr>
        <w:t>Communicação de Sociedade</w:t>
      </w:r>
      <w:r w:rsidR="009720BC" w:rsidRPr="00F853DD">
        <w:rPr>
          <w:rFonts w:ascii="Times" w:hAnsi="Times" w:cs="Times New Roman"/>
          <w:sz w:val="23"/>
          <w:szCs w:val="23"/>
          <w:lang w:val="pt-PT"/>
        </w:rPr>
        <w:t>.</w:t>
      </w:r>
      <w:r w:rsidRPr="00F853DD">
        <w:rPr>
          <w:rFonts w:ascii="Times" w:hAnsi="Times" w:cs="Times New Roman"/>
          <w:sz w:val="23"/>
          <w:szCs w:val="23"/>
          <w:lang w:val="pt-PT"/>
        </w:rPr>
        <w:t xml:space="preserve"> </w:t>
      </w:r>
      <w:r w:rsidRPr="00F853DD">
        <w:rPr>
          <w:rFonts w:ascii="Times" w:hAnsi="Times" w:cs="Times New Roman"/>
          <w:b/>
          <w:sz w:val="23"/>
          <w:szCs w:val="23"/>
          <w:lang w:val="pt-PT"/>
        </w:rPr>
        <w:t>7</w:t>
      </w:r>
      <w:r w:rsidRPr="00F853DD">
        <w:rPr>
          <w:rFonts w:ascii="Times" w:hAnsi="Times" w:cs="Times New Roman"/>
          <w:sz w:val="23"/>
          <w:szCs w:val="23"/>
          <w:lang w:val="pt-PT"/>
        </w:rPr>
        <w:t>, 25–48.</w:t>
      </w:r>
    </w:p>
    <w:p w14:paraId="5E11D19D" w14:textId="7C6143A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pt-PT"/>
        </w:rPr>
        <w:t>Webber, S., Porter, M. and Menec, V.</w:t>
      </w:r>
      <w:r w:rsidR="009720BC" w:rsidRPr="00F853DD">
        <w:rPr>
          <w:rFonts w:ascii="Times" w:hAnsi="Times" w:cs="Times New Roman"/>
          <w:sz w:val="23"/>
          <w:szCs w:val="23"/>
          <w:lang w:val="pt-PT"/>
        </w:rPr>
        <w:t>,</w:t>
      </w:r>
      <w:r w:rsidRPr="00F853DD">
        <w:rPr>
          <w:rFonts w:ascii="Times" w:hAnsi="Times" w:cs="Times New Roman"/>
          <w:sz w:val="23"/>
          <w:szCs w:val="23"/>
          <w:lang w:val="pt-PT"/>
        </w:rPr>
        <w:t xml:space="preserve"> (2010). </w:t>
      </w:r>
      <w:r w:rsidR="009720BC" w:rsidRPr="00F853DD">
        <w:rPr>
          <w:rFonts w:ascii="Times" w:hAnsi="Times" w:cs="Times New Roman"/>
          <w:sz w:val="23"/>
          <w:szCs w:val="23"/>
        </w:rPr>
        <w:t>Mobility in older a</w:t>
      </w:r>
      <w:r w:rsidRPr="00F853DD">
        <w:rPr>
          <w:rFonts w:ascii="Times" w:hAnsi="Times" w:cs="Times New Roman"/>
          <w:sz w:val="23"/>
          <w:szCs w:val="23"/>
        </w:rPr>
        <w:t xml:space="preserve">dults: </w:t>
      </w:r>
      <w:r w:rsidR="009720BC" w:rsidRPr="00F853DD">
        <w:rPr>
          <w:rFonts w:ascii="Times" w:hAnsi="Times" w:cs="Times New Roman"/>
          <w:sz w:val="23"/>
          <w:szCs w:val="23"/>
        </w:rPr>
        <w:t>a</w:t>
      </w:r>
      <w:r w:rsidRPr="00F853DD">
        <w:rPr>
          <w:rFonts w:ascii="Times" w:hAnsi="Times" w:cs="Times New Roman"/>
          <w:sz w:val="23"/>
          <w:szCs w:val="23"/>
        </w:rPr>
        <w:t xml:space="preserve"> </w:t>
      </w:r>
      <w:r w:rsidR="009720BC" w:rsidRPr="00F853DD">
        <w:rPr>
          <w:rFonts w:ascii="Times" w:hAnsi="Times" w:cs="Times New Roman"/>
          <w:sz w:val="23"/>
          <w:szCs w:val="23"/>
        </w:rPr>
        <w:t>comprehensive f</w:t>
      </w:r>
      <w:r w:rsidRPr="00F853DD">
        <w:rPr>
          <w:rFonts w:ascii="Times" w:hAnsi="Times" w:cs="Times New Roman"/>
          <w:sz w:val="23"/>
          <w:szCs w:val="23"/>
        </w:rPr>
        <w:t xml:space="preserve">ramework. </w:t>
      </w:r>
      <w:r w:rsidRPr="00F853DD">
        <w:rPr>
          <w:rFonts w:ascii="Times" w:hAnsi="Times" w:cs="Times New Roman"/>
          <w:i/>
          <w:sz w:val="23"/>
          <w:szCs w:val="23"/>
        </w:rPr>
        <w:t>Gerontologist</w:t>
      </w:r>
      <w:r w:rsidR="00382093"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50</w:t>
      </w:r>
      <w:r w:rsidRPr="00F853DD">
        <w:rPr>
          <w:rFonts w:ascii="Times" w:hAnsi="Times" w:cs="Times New Roman"/>
          <w:sz w:val="23"/>
          <w:szCs w:val="23"/>
        </w:rPr>
        <w:t>, 443-450.</w:t>
      </w:r>
    </w:p>
    <w:p w14:paraId="6CA364F3" w14:textId="491531D2" w:rsidR="00DF05BD" w:rsidRPr="00F853DD" w:rsidRDefault="00DF05BD" w:rsidP="00E1694A">
      <w:pPr>
        <w:autoSpaceDE w:val="0"/>
        <w:autoSpaceDN w:val="0"/>
        <w:adjustRightInd w:val="0"/>
        <w:spacing w:line="240" w:lineRule="auto"/>
        <w:ind w:left="567" w:hanging="567"/>
        <w:rPr>
          <w:rFonts w:ascii="Times" w:hAnsi="Times" w:cs="Times New Roman"/>
          <w:sz w:val="23"/>
          <w:szCs w:val="23"/>
          <w:lang w:val="en-TT"/>
        </w:rPr>
      </w:pPr>
      <w:r w:rsidRPr="00F853DD">
        <w:rPr>
          <w:rFonts w:ascii="Times" w:hAnsi="Times" w:cs="Times New Roman"/>
          <w:sz w:val="23"/>
          <w:szCs w:val="23"/>
        </w:rPr>
        <w:t>Weber, J.</w:t>
      </w:r>
      <w:r w:rsidR="009720BC" w:rsidRPr="00F853DD">
        <w:rPr>
          <w:rFonts w:ascii="Times" w:hAnsi="Times" w:cs="Times New Roman"/>
          <w:sz w:val="23"/>
          <w:szCs w:val="23"/>
        </w:rPr>
        <w:t>,</w:t>
      </w:r>
      <w:r w:rsidRPr="00F853DD">
        <w:rPr>
          <w:rFonts w:ascii="Times" w:hAnsi="Times" w:cs="Times New Roman"/>
          <w:sz w:val="23"/>
          <w:szCs w:val="23"/>
        </w:rPr>
        <w:t xml:space="preserve"> (2011). Hi</w:t>
      </w:r>
      <w:r w:rsidR="009720BC" w:rsidRPr="00F853DD">
        <w:rPr>
          <w:rFonts w:ascii="Times" w:hAnsi="Times" w:cs="Times New Roman"/>
          <w:sz w:val="23"/>
          <w:szCs w:val="23"/>
        </w:rPr>
        <w:t>story and definition of stress t</w:t>
      </w:r>
      <w:r w:rsidRPr="00F853DD">
        <w:rPr>
          <w:rFonts w:ascii="Times" w:hAnsi="Times" w:cs="Times New Roman"/>
          <w:sz w:val="23"/>
          <w:szCs w:val="23"/>
        </w:rPr>
        <w:t xml:space="preserve">heory. In: </w:t>
      </w:r>
      <w:r w:rsidRPr="00F853DD">
        <w:rPr>
          <w:rFonts w:ascii="Times" w:hAnsi="Times" w:cs="Times New Roman"/>
          <w:i/>
          <w:sz w:val="23"/>
          <w:szCs w:val="23"/>
        </w:rPr>
        <w:t>Individual and Family Stress and Crises</w:t>
      </w:r>
      <w:r w:rsidRPr="00F853DD">
        <w:rPr>
          <w:rFonts w:ascii="Times" w:hAnsi="Times" w:cs="Times New Roman"/>
          <w:sz w:val="23"/>
          <w:szCs w:val="23"/>
        </w:rPr>
        <w:t xml:space="preserve">. </w:t>
      </w:r>
      <w:r w:rsidRPr="00F853DD">
        <w:rPr>
          <w:rFonts w:ascii="Times" w:hAnsi="Times" w:cs="Times New Roman"/>
          <w:sz w:val="23"/>
          <w:szCs w:val="23"/>
          <w:lang w:val="en-TT"/>
        </w:rPr>
        <w:t>USA: SAGE.</w:t>
      </w:r>
    </w:p>
    <w:p w14:paraId="5364B437" w14:textId="06613BC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Welch, W., Frederick, W., Theodore, K., De Gannes, M., Sirjusingh, A., Alleyne-Rawlins, V and Persaud, A.</w:t>
      </w:r>
      <w:r w:rsidR="009720BC" w:rsidRPr="00F853DD">
        <w:rPr>
          <w:rFonts w:ascii="Times" w:hAnsi="Times" w:cs="Times New Roman"/>
          <w:sz w:val="23"/>
          <w:szCs w:val="23"/>
          <w:lang w:val="en-TT"/>
        </w:rPr>
        <w:t>,</w:t>
      </w:r>
      <w:r w:rsidRPr="00F853DD">
        <w:rPr>
          <w:rFonts w:ascii="Times" w:hAnsi="Times" w:cs="Times New Roman"/>
          <w:sz w:val="23"/>
          <w:szCs w:val="23"/>
          <w:lang w:val="en-TT"/>
        </w:rPr>
        <w:t xml:space="preserve"> (2016)a. </w:t>
      </w:r>
      <w:r w:rsidRPr="00F853DD">
        <w:rPr>
          <w:rFonts w:ascii="Times" w:hAnsi="Times" w:cs="Times New Roman"/>
          <w:i/>
          <w:sz w:val="23"/>
          <w:szCs w:val="23"/>
        </w:rPr>
        <w:t>Review of the levels of health care delivery by the regional health authorities</w:t>
      </w:r>
      <w:r w:rsidRPr="00F853DD">
        <w:rPr>
          <w:rFonts w:ascii="Times" w:hAnsi="Times" w:cs="Times New Roman"/>
          <w:sz w:val="23"/>
          <w:szCs w:val="23"/>
        </w:rPr>
        <w:t>. Appendix A ed.: Committee to review the levels of health care delivery by the regional health authorities and to rationalise the system of public sector doctors in private practice.</w:t>
      </w:r>
    </w:p>
    <w:p w14:paraId="59627812" w14:textId="5B3FEE2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Welch, W., Sirjusingh, A., Theodore, K., De Gannes, M., Alleyne-Rawlins, V., Persaud, A. and Frederick, W.</w:t>
      </w:r>
      <w:r w:rsidR="009720BC" w:rsidRPr="00F853DD">
        <w:rPr>
          <w:rFonts w:ascii="Times" w:hAnsi="Times" w:cs="Times New Roman"/>
          <w:sz w:val="23"/>
          <w:szCs w:val="23"/>
        </w:rPr>
        <w:t>,</w:t>
      </w:r>
      <w:r w:rsidRPr="00F853DD">
        <w:rPr>
          <w:rFonts w:ascii="Times" w:hAnsi="Times" w:cs="Times New Roman"/>
          <w:sz w:val="23"/>
          <w:szCs w:val="23"/>
        </w:rPr>
        <w:t xml:space="preserve"> (2016)b. </w:t>
      </w:r>
      <w:r w:rsidRPr="00F853DD">
        <w:rPr>
          <w:rFonts w:ascii="Times" w:hAnsi="Times" w:cs="Times New Roman"/>
          <w:i/>
          <w:sz w:val="23"/>
          <w:szCs w:val="23"/>
        </w:rPr>
        <w:t>Rationalization of the system of public sector doctors in private practice</w:t>
      </w:r>
      <w:r w:rsidRPr="00F853DD">
        <w:rPr>
          <w:rFonts w:ascii="Times" w:hAnsi="Times" w:cs="Times New Roman"/>
          <w:sz w:val="23"/>
          <w:szCs w:val="23"/>
        </w:rPr>
        <w:t>.</w:t>
      </w:r>
    </w:p>
    <w:p w14:paraId="31A53F6E" w14:textId="135C3D2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Wenger, C.</w:t>
      </w:r>
      <w:r w:rsidR="009720BC" w:rsidRPr="00F853DD">
        <w:rPr>
          <w:rFonts w:ascii="Times" w:hAnsi="Times" w:cs="Times New Roman"/>
          <w:sz w:val="23"/>
          <w:szCs w:val="23"/>
        </w:rPr>
        <w:t>,</w:t>
      </w:r>
      <w:r w:rsidRPr="00F853DD">
        <w:rPr>
          <w:rFonts w:ascii="Times" w:hAnsi="Times" w:cs="Times New Roman"/>
          <w:sz w:val="23"/>
          <w:szCs w:val="23"/>
        </w:rPr>
        <w:t xml:space="preserve"> (2001). Across the </w:t>
      </w:r>
      <w:r w:rsidR="00382093" w:rsidRPr="00F853DD">
        <w:rPr>
          <w:rFonts w:ascii="Times" w:hAnsi="Times" w:cs="Times New Roman"/>
          <w:sz w:val="23"/>
          <w:szCs w:val="23"/>
        </w:rPr>
        <w:t>g</w:t>
      </w:r>
      <w:r w:rsidRPr="00F853DD">
        <w:rPr>
          <w:rFonts w:ascii="Times" w:hAnsi="Times" w:cs="Times New Roman"/>
          <w:sz w:val="23"/>
          <w:szCs w:val="23"/>
        </w:rPr>
        <w:t xml:space="preserve">enerations: </w:t>
      </w:r>
      <w:r w:rsidR="00382093" w:rsidRPr="00F853DD">
        <w:rPr>
          <w:rFonts w:ascii="Times" w:hAnsi="Times" w:cs="Times New Roman"/>
          <w:sz w:val="23"/>
          <w:szCs w:val="23"/>
        </w:rPr>
        <w:t>f</w:t>
      </w:r>
      <w:r w:rsidRPr="00F853DD">
        <w:rPr>
          <w:rFonts w:ascii="Times" w:hAnsi="Times" w:cs="Times New Roman"/>
          <w:sz w:val="23"/>
          <w:szCs w:val="23"/>
        </w:rPr>
        <w:t xml:space="preserve">amily </w:t>
      </w:r>
      <w:r w:rsidR="00382093" w:rsidRPr="00F853DD">
        <w:rPr>
          <w:rFonts w:ascii="Times" w:hAnsi="Times" w:cs="Times New Roman"/>
          <w:sz w:val="23"/>
          <w:szCs w:val="23"/>
        </w:rPr>
        <w:t>c</w:t>
      </w:r>
      <w:r w:rsidRPr="00F853DD">
        <w:rPr>
          <w:rFonts w:ascii="Times" w:hAnsi="Times" w:cs="Times New Roman"/>
          <w:sz w:val="23"/>
          <w:szCs w:val="23"/>
        </w:rPr>
        <w:t xml:space="preserve">are </w:t>
      </w:r>
      <w:r w:rsidR="00382093" w:rsidRPr="00F853DD">
        <w:rPr>
          <w:rFonts w:ascii="Times" w:hAnsi="Times" w:cs="Times New Roman"/>
          <w:sz w:val="23"/>
          <w:szCs w:val="23"/>
        </w:rPr>
        <w:t>d</w:t>
      </w:r>
      <w:r w:rsidRPr="00F853DD">
        <w:rPr>
          <w:rFonts w:ascii="Times" w:hAnsi="Times" w:cs="Times New Roman"/>
          <w:sz w:val="23"/>
          <w:szCs w:val="23"/>
        </w:rPr>
        <w:t xml:space="preserve">ynamics into the </w:t>
      </w:r>
      <w:r w:rsidR="00382093" w:rsidRPr="00F853DD">
        <w:rPr>
          <w:rFonts w:ascii="Times" w:hAnsi="Times" w:cs="Times New Roman"/>
          <w:sz w:val="23"/>
          <w:szCs w:val="23"/>
        </w:rPr>
        <w:t>n</w:t>
      </w:r>
      <w:r w:rsidRPr="00F853DD">
        <w:rPr>
          <w:rFonts w:ascii="Times" w:hAnsi="Times" w:cs="Times New Roman"/>
          <w:sz w:val="23"/>
          <w:szCs w:val="23"/>
        </w:rPr>
        <w:t xml:space="preserve">ew </w:t>
      </w:r>
      <w:r w:rsidR="00382093" w:rsidRPr="00F853DD">
        <w:rPr>
          <w:rFonts w:ascii="Times" w:hAnsi="Times" w:cs="Times New Roman"/>
          <w:sz w:val="23"/>
          <w:szCs w:val="23"/>
        </w:rPr>
        <w:t>m</w:t>
      </w:r>
      <w:r w:rsidRPr="00F853DD">
        <w:rPr>
          <w:rFonts w:ascii="Times" w:hAnsi="Times" w:cs="Times New Roman"/>
          <w:sz w:val="23"/>
          <w:szCs w:val="23"/>
        </w:rPr>
        <w:t>illennium. In: Weisstub, D. N., Thomasma, D. C., Gau</w:t>
      </w:r>
      <w:r w:rsidR="003553A1" w:rsidRPr="00F853DD">
        <w:rPr>
          <w:rFonts w:ascii="Times" w:hAnsi="Times" w:cs="Times New Roman"/>
          <w:sz w:val="23"/>
          <w:szCs w:val="23"/>
        </w:rPr>
        <w:t>thier, S. and Tomossy, G. eds.,</w:t>
      </w:r>
      <w:r w:rsidRPr="00F853DD">
        <w:rPr>
          <w:rFonts w:ascii="Times" w:hAnsi="Times" w:cs="Times New Roman"/>
          <w:sz w:val="23"/>
          <w:szCs w:val="23"/>
        </w:rPr>
        <w:t xml:space="preserve"> </w:t>
      </w:r>
      <w:r w:rsidR="003553A1" w:rsidRPr="00F853DD">
        <w:rPr>
          <w:rFonts w:ascii="Times" w:hAnsi="Times" w:cs="Times New Roman"/>
          <w:sz w:val="23"/>
          <w:szCs w:val="23"/>
        </w:rPr>
        <w:t>(2001)</w:t>
      </w:r>
      <w:r w:rsidR="00382093" w:rsidRPr="00F853DD">
        <w:rPr>
          <w:rFonts w:ascii="Times" w:hAnsi="Times" w:cs="Times New Roman"/>
          <w:sz w:val="23"/>
          <w:szCs w:val="23"/>
        </w:rPr>
        <w:t xml:space="preserve"> </w:t>
      </w:r>
      <w:r w:rsidRPr="00F853DD">
        <w:rPr>
          <w:rFonts w:ascii="Times" w:hAnsi="Times" w:cs="Times New Roman"/>
          <w:i/>
          <w:sz w:val="23"/>
          <w:szCs w:val="23"/>
        </w:rPr>
        <w:t xml:space="preserve">Aging: </w:t>
      </w:r>
      <w:r w:rsidR="00382093" w:rsidRPr="00F853DD">
        <w:rPr>
          <w:rFonts w:ascii="Times" w:hAnsi="Times" w:cs="Times New Roman"/>
          <w:i/>
          <w:sz w:val="23"/>
          <w:szCs w:val="23"/>
        </w:rPr>
        <w:t>c</w:t>
      </w:r>
      <w:r w:rsidRPr="00F853DD">
        <w:rPr>
          <w:rFonts w:ascii="Times" w:hAnsi="Times" w:cs="Times New Roman"/>
          <w:i/>
          <w:sz w:val="23"/>
          <w:szCs w:val="23"/>
        </w:rPr>
        <w:t>aring for </w:t>
      </w:r>
      <w:r w:rsidR="00382093" w:rsidRPr="00F853DD">
        <w:rPr>
          <w:rFonts w:ascii="Times" w:hAnsi="Times" w:cs="Times New Roman"/>
          <w:i/>
          <w:sz w:val="23"/>
          <w:szCs w:val="23"/>
        </w:rPr>
        <w:t>our e</w:t>
      </w:r>
      <w:r w:rsidRPr="00F853DD">
        <w:rPr>
          <w:rFonts w:ascii="Times" w:hAnsi="Times" w:cs="Times New Roman"/>
          <w:i/>
          <w:sz w:val="23"/>
          <w:szCs w:val="23"/>
        </w:rPr>
        <w:t>lders</w:t>
      </w:r>
      <w:r w:rsidRPr="00F853DD">
        <w:rPr>
          <w:rFonts w:ascii="Times" w:hAnsi="Times" w:cs="Times New Roman"/>
          <w:sz w:val="23"/>
          <w:szCs w:val="23"/>
        </w:rPr>
        <w:t>. USA: Springer Science.</w:t>
      </w:r>
      <w:r w:rsidR="003553A1" w:rsidRPr="00F853DD">
        <w:rPr>
          <w:rFonts w:ascii="Times" w:hAnsi="Times" w:cs="Times New Roman"/>
          <w:sz w:val="23"/>
          <w:szCs w:val="23"/>
        </w:rPr>
        <w:t xml:space="preserve"> (pp. 1-18). </w:t>
      </w:r>
    </w:p>
    <w:p w14:paraId="2B7F203A" w14:textId="175A33B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Wengraf, T.</w:t>
      </w:r>
      <w:r w:rsidR="00382093" w:rsidRPr="00F853DD">
        <w:rPr>
          <w:rFonts w:ascii="Times" w:hAnsi="Times" w:cs="Times New Roman"/>
          <w:sz w:val="23"/>
          <w:szCs w:val="23"/>
        </w:rPr>
        <w:t>,</w:t>
      </w:r>
      <w:r w:rsidRPr="00F853DD">
        <w:rPr>
          <w:rFonts w:ascii="Times" w:hAnsi="Times" w:cs="Times New Roman"/>
          <w:sz w:val="23"/>
          <w:szCs w:val="23"/>
        </w:rPr>
        <w:t xml:space="preserve"> (2001). </w:t>
      </w:r>
      <w:r w:rsidRPr="00F853DD">
        <w:rPr>
          <w:rFonts w:ascii="Times" w:hAnsi="Times" w:cs="Times New Roman"/>
          <w:i/>
          <w:sz w:val="23"/>
          <w:szCs w:val="23"/>
        </w:rPr>
        <w:t>Qualitative research interviewing: biographic narrative and semi-structured methods</w:t>
      </w:r>
      <w:r w:rsidRPr="00F853DD">
        <w:rPr>
          <w:rFonts w:ascii="Times" w:hAnsi="Times" w:cs="Times New Roman"/>
          <w:sz w:val="23"/>
          <w:szCs w:val="23"/>
        </w:rPr>
        <w:t>. London; Thousand Oaks, Calif.: SAGE.</w:t>
      </w:r>
    </w:p>
    <w:p w14:paraId="47040C90" w14:textId="7A7D9E4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Werner, P., Tabak, N., Alpert, R. and Bergman, R.</w:t>
      </w:r>
      <w:r w:rsidR="00382093" w:rsidRPr="00F853DD">
        <w:rPr>
          <w:rFonts w:ascii="Times" w:hAnsi="Times" w:cs="Times New Roman"/>
          <w:sz w:val="23"/>
          <w:szCs w:val="23"/>
        </w:rPr>
        <w:t>,</w:t>
      </w:r>
      <w:r w:rsidRPr="00F853DD">
        <w:rPr>
          <w:rFonts w:ascii="Times" w:hAnsi="Times" w:cs="Times New Roman"/>
          <w:sz w:val="23"/>
          <w:szCs w:val="23"/>
        </w:rPr>
        <w:t xml:space="preserve"> (2002). Interventions used by nursing staff members with psychogeriatric patients resisting care. </w:t>
      </w:r>
      <w:r w:rsidRPr="00F853DD">
        <w:rPr>
          <w:rFonts w:ascii="Times" w:hAnsi="Times" w:cs="Times New Roman"/>
          <w:i/>
          <w:sz w:val="23"/>
          <w:szCs w:val="23"/>
        </w:rPr>
        <w:t>International journal of nursing studies</w:t>
      </w:r>
      <w:r w:rsidRPr="00F853DD">
        <w:rPr>
          <w:rFonts w:ascii="Times" w:hAnsi="Times" w:cs="Times New Roman"/>
          <w:sz w:val="23"/>
          <w:szCs w:val="23"/>
        </w:rPr>
        <w:t xml:space="preserve">, </w:t>
      </w:r>
      <w:r w:rsidRPr="00F853DD">
        <w:rPr>
          <w:rFonts w:ascii="Times" w:hAnsi="Times" w:cs="Times New Roman"/>
          <w:b/>
          <w:sz w:val="23"/>
          <w:szCs w:val="23"/>
        </w:rPr>
        <w:t>39</w:t>
      </w:r>
      <w:r w:rsidRPr="00F853DD">
        <w:rPr>
          <w:rFonts w:ascii="Times" w:hAnsi="Times" w:cs="Times New Roman"/>
          <w:sz w:val="23"/>
          <w:szCs w:val="23"/>
        </w:rPr>
        <w:t>(4), 461-467.</w:t>
      </w:r>
    </w:p>
    <w:p w14:paraId="0162D2B3" w14:textId="6BA4B94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West, C., Usher, K. and Foster, K.</w:t>
      </w:r>
      <w:r w:rsidR="00382093" w:rsidRPr="00F853DD">
        <w:rPr>
          <w:rFonts w:ascii="Times" w:hAnsi="Times" w:cs="Times New Roman"/>
          <w:sz w:val="23"/>
          <w:szCs w:val="23"/>
        </w:rPr>
        <w:t>,</w:t>
      </w:r>
      <w:r w:rsidRPr="00F853DD">
        <w:rPr>
          <w:rFonts w:ascii="Times" w:hAnsi="Times" w:cs="Times New Roman"/>
          <w:sz w:val="23"/>
          <w:szCs w:val="23"/>
        </w:rPr>
        <w:t xml:space="preserve"> (2011). Family resilience: </w:t>
      </w:r>
      <w:r w:rsidR="00382093" w:rsidRPr="00F853DD">
        <w:rPr>
          <w:rFonts w:ascii="Times" w:hAnsi="Times" w:cs="Times New Roman"/>
          <w:sz w:val="23"/>
          <w:szCs w:val="23"/>
        </w:rPr>
        <w:t>t</w:t>
      </w:r>
      <w:r w:rsidRPr="00F853DD">
        <w:rPr>
          <w:rFonts w:ascii="Times" w:hAnsi="Times" w:cs="Times New Roman"/>
          <w:sz w:val="23"/>
          <w:szCs w:val="23"/>
        </w:rPr>
        <w:t xml:space="preserve">owards a new model of chronic pain management. </w:t>
      </w:r>
      <w:r w:rsidRPr="00F853DD">
        <w:rPr>
          <w:rFonts w:ascii="Times" w:hAnsi="Times" w:cs="Times New Roman"/>
          <w:i/>
          <w:sz w:val="23"/>
          <w:szCs w:val="23"/>
        </w:rPr>
        <w:t>Collegian</w:t>
      </w:r>
      <w:r w:rsidR="00382093"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3-10.</w:t>
      </w:r>
    </w:p>
    <w:p w14:paraId="4739BD19" w14:textId="0E3FF48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West, G.</w:t>
      </w:r>
      <w:r w:rsidR="00382093" w:rsidRPr="00F853DD">
        <w:rPr>
          <w:rFonts w:ascii="Times" w:hAnsi="Times" w:cs="Times New Roman"/>
          <w:sz w:val="23"/>
          <w:szCs w:val="23"/>
        </w:rPr>
        <w:t>,</w:t>
      </w:r>
      <w:r w:rsidRPr="00F853DD">
        <w:rPr>
          <w:rFonts w:ascii="Times" w:hAnsi="Times" w:cs="Times New Roman"/>
          <w:sz w:val="23"/>
          <w:szCs w:val="23"/>
        </w:rPr>
        <w:t xml:space="preserve"> (1987). </w:t>
      </w:r>
      <w:r w:rsidRPr="00F853DD">
        <w:rPr>
          <w:rFonts w:ascii="Times" w:hAnsi="Times" w:cs="Times New Roman"/>
          <w:i/>
          <w:sz w:val="23"/>
          <w:szCs w:val="23"/>
        </w:rPr>
        <w:t xml:space="preserve">The </w:t>
      </w:r>
      <w:r w:rsidR="00382093" w:rsidRPr="00F853DD">
        <w:rPr>
          <w:rFonts w:ascii="Times" w:hAnsi="Times" w:cs="Times New Roman"/>
          <w:i/>
          <w:sz w:val="23"/>
          <w:szCs w:val="23"/>
        </w:rPr>
        <w:t>i</w:t>
      </w:r>
      <w:r w:rsidRPr="00F853DD">
        <w:rPr>
          <w:rFonts w:ascii="Times" w:hAnsi="Times" w:cs="Times New Roman"/>
          <w:i/>
          <w:sz w:val="23"/>
          <w:szCs w:val="23"/>
        </w:rPr>
        <w:t xml:space="preserve">mpact of </w:t>
      </w:r>
      <w:r w:rsidR="00382093" w:rsidRPr="00F853DD">
        <w:rPr>
          <w:rFonts w:ascii="Times" w:hAnsi="Times" w:cs="Times New Roman"/>
          <w:i/>
          <w:sz w:val="23"/>
          <w:szCs w:val="23"/>
        </w:rPr>
        <w:t>c</w:t>
      </w:r>
      <w:r w:rsidRPr="00F853DD">
        <w:rPr>
          <w:rFonts w:ascii="Times" w:hAnsi="Times" w:cs="Times New Roman"/>
          <w:i/>
          <w:sz w:val="23"/>
          <w:szCs w:val="23"/>
        </w:rPr>
        <w:t xml:space="preserve">oping </w:t>
      </w:r>
      <w:r w:rsidR="00382093" w:rsidRPr="00F853DD">
        <w:rPr>
          <w:rFonts w:ascii="Times" w:hAnsi="Times" w:cs="Times New Roman"/>
          <w:i/>
          <w:sz w:val="23"/>
          <w:szCs w:val="23"/>
        </w:rPr>
        <w:t>r</w:t>
      </w:r>
      <w:r w:rsidRPr="00F853DD">
        <w:rPr>
          <w:rFonts w:ascii="Times" w:hAnsi="Times" w:cs="Times New Roman"/>
          <w:i/>
          <w:sz w:val="23"/>
          <w:szCs w:val="23"/>
        </w:rPr>
        <w:t xml:space="preserve">esources and </w:t>
      </w:r>
      <w:r w:rsidR="00382093" w:rsidRPr="00F853DD">
        <w:rPr>
          <w:rFonts w:ascii="Times" w:hAnsi="Times" w:cs="Times New Roman"/>
          <w:i/>
          <w:sz w:val="23"/>
          <w:szCs w:val="23"/>
        </w:rPr>
        <w:t>s</w:t>
      </w:r>
      <w:r w:rsidRPr="00F853DD">
        <w:rPr>
          <w:rFonts w:ascii="Times" w:hAnsi="Times" w:cs="Times New Roman"/>
          <w:i/>
          <w:sz w:val="23"/>
          <w:szCs w:val="23"/>
        </w:rPr>
        <w:t xml:space="preserve">trategies </w:t>
      </w:r>
      <w:r w:rsidR="00382093" w:rsidRPr="00F853DD">
        <w:rPr>
          <w:rFonts w:ascii="Times" w:hAnsi="Times" w:cs="Times New Roman"/>
          <w:i/>
          <w:sz w:val="23"/>
          <w:szCs w:val="23"/>
        </w:rPr>
        <w:t>u</w:t>
      </w:r>
      <w:r w:rsidRPr="00F853DD">
        <w:rPr>
          <w:rFonts w:ascii="Times" w:hAnsi="Times" w:cs="Times New Roman"/>
          <w:i/>
          <w:sz w:val="23"/>
          <w:szCs w:val="23"/>
        </w:rPr>
        <w:t xml:space="preserve">pon </w:t>
      </w:r>
      <w:r w:rsidR="00382093" w:rsidRPr="00F853DD">
        <w:rPr>
          <w:rFonts w:ascii="Times" w:hAnsi="Times" w:cs="Times New Roman"/>
          <w:i/>
          <w:sz w:val="23"/>
          <w:szCs w:val="23"/>
        </w:rPr>
        <w:t>h</w:t>
      </w:r>
      <w:r w:rsidRPr="00F853DD">
        <w:rPr>
          <w:rFonts w:ascii="Times" w:hAnsi="Times" w:cs="Times New Roman"/>
          <w:i/>
          <w:sz w:val="23"/>
          <w:szCs w:val="23"/>
        </w:rPr>
        <w:t xml:space="preserve">ealth: </w:t>
      </w:r>
      <w:r w:rsidR="00382093" w:rsidRPr="00F853DD">
        <w:rPr>
          <w:rFonts w:ascii="Times" w:hAnsi="Times" w:cs="Times New Roman"/>
          <w:i/>
          <w:sz w:val="23"/>
          <w:szCs w:val="23"/>
        </w:rPr>
        <w:t>a</w:t>
      </w:r>
      <w:r w:rsidRPr="00F853DD">
        <w:rPr>
          <w:rFonts w:ascii="Times" w:hAnsi="Times" w:cs="Times New Roman"/>
          <w:i/>
          <w:sz w:val="23"/>
          <w:szCs w:val="23"/>
        </w:rPr>
        <w:t xml:space="preserve">n </w:t>
      </w:r>
      <w:r w:rsidR="00382093" w:rsidRPr="00F853DD">
        <w:rPr>
          <w:rFonts w:ascii="Times" w:hAnsi="Times" w:cs="Times New Roman"/>
          <w:i/>
          <w:sz w:val="23"/>
          <w:szCs w:val="23"/>
        </w:rPr>
        <w:t>a</w:t>
      </w:r>
      <w:r w:rsidRPr="00F853DD">
        <w:rPr>
          <w:rFonts w:ascii="Times" w:hAnsi="Times" w:cs="Times New Roman"/>
          <w:i/>
          <w:sz w:val="23"/>
          <w:szCs w:val="23"/>
        </w:rPr>
        <w:t xml:space="preserve">nalysis of </w:t>
      </w:r>
      <w:r w:rsidR="00382093" w:rsidRPr="00F853DD">
        <w:rPr>
          <w:rFonts w:ascii="Times" w:hAnsi="Times" w:cs="Times New Roman"/>
          <w:i/>
          <w:sz w:val="23"/>
          <w:szCs w:val="23"/>
        </w:rPr>
        <w:t>a</w:t>
      </w:r>
      <w:r w:rsidRPr="00F853DD">
        <w:rPr>
          <w:rFonts w:ascii="Times" w:hAnsi="Times" w:cs="Times New Roman"/>
          <w:i/>
          <w:sz w:val="23"/>
          <w:szCs w:val="23"/>
        </w:rPr>
        <w:t xml:space="preserve">ge and </w:t>
      </w:r>
      <w:r w:rsidR="00382093" w:rsidRPr="00F853DD">
        <w:rPr>
          <w:rFonts w:ascii="Times" w:hAnsi="Times" w:cs="Times New Roman"/>
          <w:i/>
          <w:sz w:val="23"/>
          <w:szCs w:val="23"/>
        </w:rPr>
        <w:t>s</w:t>
      </w:r>
      <w:r w:rsidRPr="00F853DD">
        <w:rPr>
          <w:rFonts w:ascii="Times" w:hAnsi="Times" w:cs="Times New Roman"/>
          <w:i/>
          <w:sz w:val="23"/>
          <w:szCs w:val="23"/>
        </w:rPr>
        <w:t xml:space="preserve">ex </w:t>
      </w:r>
      <w:r w:rsidR="00382093" w:rsidRPr="00F853DD">
        <w:rPr>
          <w:rFonts w:ascii="Times" w:hAnsi="Times" w:cs="Times New Roman"/>
          <w:i/>
          <w:sz w:val="23"/>
          <w:szCs w:val="23"/>
        </w:rPr>
        <w:t>d</w:t>
      </w:r>
      <w:r w:rsidRPr="00F853DD">
        <w:rPr>
          <w:rFonts w:ascii="Times" w:hAnsi="Times" w:cs="Times New Roman"/>
          <w:i/>
          <w:sz w:val="23"/>
          <w:szCs w:val="23"/>
        </w:rPr>
        <w:t>ifferences</w:t>
      </w:r>
      <w:r w:rsidRPr="00F853DD">
        <w:rPr>
          <w:rFonts w:ascii="Times" w:hAnsi="Times" w:cs="Times New Roman"/>
          <w:sz w:val="23"/>
          <w:szCs w:val="23"/>
        </w:rPr>
        <w:t>. PhD Sociology, Iowa State University.</w:t>
      </w:r>
    </w:p>
    <w:p w14:paraId="0D183809" w14:textId="677429A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Wetherell, J. and Gatz, M.</w:t>
      </w:r>
      <w:r w:rsidR="00382093" w:rsidRPr="00F853DD">
        <w:rPr>
          <w:rFonts w:ascii="Times" w:hAnsi="Times" w:cs="Times New Roman"/>
          <w:sz w:val="23"/>
          <w:szCs w:val="23"/>
        </w:rPr>
        <w:t>,</w:t>
      </w:r>
      <w:r w:rsidRPr="00F853DD">
        <w:rPr>
          <w:rFonts w:ascii="Times" w:hAnsi="Times" w:cs="Times New Roman"/>
          <w:sz w:val="23"/>
          <w:szCs w:val="23"/>
        </w:rPr>
        <w:t xml:space="preserve"> (2010). Depression in older adults. </w:t>
      </w:r>
      <w:r w:rsidRPr="00F853DD">
        <w:rPr>
          <w:rFonts w:ascii="Times" w:hAnsi="Times" w:cs="Times New Roman"/>
          <w:i/>
          <w:sz w:val="23"/>
          <w:szCs w:val="23"/>
        </w:rPr>
        <w:t>Annual review of clinical psychology</w:t>
      </w:r>
      <w:r w:rsidRPr="00F853DD">
        <w:rPr>
          <w:rFonts w:ascii="Times" w:hAnsi="Times" w:cs="Times New Roman"/>
          <w:sz w:val="23"/>
          <w:szCs w:val="23"/>
        </w:rPr>
        <w:t>.</w:t>
      </w:r>
      <w:r w:rsidR="007A446A" w:rsidRPr="00F853DD">
        <w:rPr>
          <w:rFonts w:ascii="Times" w:hAnsi="Times" w:cs="Times New Roman"/>
          <w:sz w:val="23"/>
          <w:szCs w:val="23"/>
        </w:rPr>
        <w:t xml:space="preserve"> </w:t>
      </w:r>
      <w:r w:rsidR="007A446A" w:rsidRPr="00F853DD">
        <w:rPr>
          <w:rFonts w:ascii="Times" w:hAnsi="Times" w:cs="Times New Roman"/>
          <w:b/>
          <w:sz w:val="23"/>
          <w:szCs w:val="23"/>
        </w:rPr>
        <w:t>5</w:t>
      </w:r>
      <w:r w:rsidR="007A446A" w:rsidRPr="00F853DD">
        <w:rPr>
          <w:rFonts w:ascii="Times" w:hAnsi="Times" w:cs="Times New Roman"/>
          <w:sz w:val="23"/>
          <w:szCs w:val="23"/>
        </w:rPr>
        <w:t>, 363-389.</w:t>
      </w:r>
    </w:p>
    <w:p w14:paraId="752A68F0" w14:textId="77777777" w:rsidR="00DF05BD" w:rsidRPr="00F853DD" w:rsidRDefault="00DF05BD" w:rsidP="00E1694A">
      <w:pPr>
        <w:autoSpaceDE w:val="0"/>
        <w:autoSpaceDN w:val="0"/>
        <w:adjustRightInd w:val="0"/>
        <w:spacing w:line="240" w:lineRule="auto"/>
        <w:ind w:left="567" w:hanging="567"/>
        <w:rPr>
          <w:rFonts w:ascii="Times" w:hAnsi="Times" w:cs="Calibri"/>
          <w:sz w:val="23"/>
          <w:szCs w:val="23"/>
        </w:rPr>
      </w:pPr>
      <w:r w:rsidRPr="00F853DD">
        <w:rPr>
          <w:rFonts w:ascii="Times" w:hAnsi="Times" w:cs="Arial"/>
          <w:sz w:val="23"/>
          <w:szCs w:val="23"/>
          <w:shd w:val="clear" w:color="auto" w:fill="FFFFFF"/>
        </w:rPr>
        <w:t>Which.co.uk (2019). </w:t>
      </w:r>
      <w:r w:rsidRPr="00F853DD">
        <w:rPr>
          <w:rFonts w:ascii="Times" w:hAnsi="Times" w:cs="Arial"/>
          <w:iCs/>
          <w:sz w:val="23"/>
          <w:szCs w:val="23"/>
          <w:shd w:val="clear" w:color="auto" w:fill="FFFFFF"/>
        </w:rPr>
        <w:t>What is sheltered housing? - Which?</w:t>
      </w:r>
      <w:r w:rsidRPr="00F853DD">
        <w:rPr>
          <w:rFonts w:ascii="Times" w:hAnsi="Times" w:cs="Arial"/>
          <w:sz w:val="23"/>
          <w:szCs w:val="23"/>
          <w:shd w:val="clear" w:color="auto" w:fill="FFFFFF"/>
        </w:rPr>
        <w:t xml:space="preserve">. [online] </w:t>
      </w:r>
      <w:r w:rsidRPr="00F853DD">
        <w:rPr>
          <w:rFonts w:ascii="Times" w:hAnsi="Times" w:cs="Arial"/>
          <w:i/>
          <w:sz w:val="23"/>
          <w:szCs w:val="23"/>
          <w:shd w:val="clear" w:color="auto" w:fill="FFFFFF"/>
        </w:rPr>
        <w:t>Which.</w:t>
      </w:r>
      <w:r w:rsidRPr="00F853DD">
        <w:rPr>
          <w:rFonts w:ascii="Times" w:hAnsi="Times" w:cs="Arial"/>
          <w:sz w:val="23"/>
          <w:szCs w:val="23"/>
          <w:shd w:val="clear" w:color="auto" w:fill="FFFFFF"/>
        </w:rPr>
        <w:t xml:space="preserve"> [Viewed 30 November 2019]. Available from: https://www.which.co.uk/later-life-care/housing-options/sheltered-housing/what-is-sheltered-housing-ak34k6n6c7q1.</w:t>
      </w:r>
    </w:p>
    <w:p w14:paraId="7708BDD0" w14:textId="74EBC46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White, J. M.</w:t>
      </w:r>
      <w:r w:rsidR="00382093" w:rsidRPr="00F853DD">
        <w:rPr>
          <w:rFonts w:ascii="Times" w:hAnsi="Times" w:cs="Times New Roman"/>
          <w:sz w:val="23"/>
          <w:szCs w:val="23"/>
        </w:rPr>
        <w:t>,</w:t>
      </w:r>
      <w:r w:rsidRPr="00F853DD">
        <w:rPr>
          <w:rFonts w:ascii="Times" w:hAnsi="Times" w:cs="Times New Roman"/>
          <w:sz w:val="23"/>
          <w:szCs w:val="23"/>
        </w:rPr>
        <w:t xml:space="preserve"> (2005). </w:t>
      </w:r>
      <w:r w:rsidRPr="00F853DD">
        <w:rPr>
          <w:rFonts w:ascii="Times" w:hAnsi="Times" w:cs="Times New Roman"/>
          <w:i/>
          <w:sz w:val="23"/>
          <w:szCs w:val="23"/>
        </w:rPr>
        <w:t>Advancing Family Theories</w:t>
      </w:r>
      <w:r w:rsidRPr="00F853DD">
        <w:rPr>
          <w:rFonts w:ascii="Times" w:hAnsi="Times" w:cs="Times New Roman"/>
          <w:sz w:val="23"/>
          <w:szCs w:val="23"/>
        </w:rPr>
        <w:t xml:space="preserve"> [online]. Thousand Oaks, Calif.; London: SAGE.</w:t>
      </w:r>
    </w:p>
    <w:p w14:paraId="2566D3B8" w14:textId="6D0FB75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Whitebird, R., Kreitzer, M., Lewis, B., Hanson, L., Crain, A., Enstad, C. and Mehta, A.</w:t>
      </w:r>
      <w:r w:rsidR="00181929" w:rsidRPr="00F853DD">
        <w:rPr>
          <w:rFonts w:ascii="Times" w:hAnsi="Times" w:cs="Times New Roman"/>
          <w:sz w:val="23"/>
          <w:szCs w:val="23"/>
        </w:rPr>
        <w:t>,</w:t>
      </w:r>
      <w:r w:rsidRPr="00F853DD">
        <w:rPr>
          <w:rFonts w:ascii="Times" w:hAnsi="Times" w:cs="Times New Roman"/>
          <w:sz w:val="23"/>
          <w:szCs w:val="23"/>
        </w:rPr>
        <w:t xml:space="preserve"> (2011). Recruiting and retaining family caregivers to a randomized controlled trial on mindfulness- based stress reduction. </w:t>
      </w:r>
      <w:r w:rsidRPr="00F853DD">
        <w:rPr>
          <w:rFonts w:ascii="Times" w:hAnsi="Times" w:cs="Times New Roman"/>
          <w:i/>
          <w:sz w:val="23"/>
          <w:szCs w:val="23"/>
        </w:rPr>
        <w:t>Contemporary Clinical Trials</w:t>
      </w:r>
      <w:r w:rsidRPr="00F853DD">
        <w:rPr>
          <w:rFonts w:ascii="Times" w:hAnsi="Times" w:cs="Times New Roman"/>
          <w:sz w:val="23"/>
          <w:szCs w:val="23"/>
        </w:rPr>
        <w:t>.</w:t>
      </w:r>
    </w:p>
    <w:p w14:paraId="74D4F6C2" w14:textId="6854C63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Whitlatch, C.</w:t>
      </w:r>
      <w:r w:rsidR="00181929" w:rsidRPr="00F853DD">
        <w:rPr>
          <w:rFonts w:ascii="Times" w:hAnsi="Times" w:cs="Times New Roman"/>
          <w:sz w:val="23"/>
          <w:szCs w:val="23"/>
        </w:rPr>
        <w:t>, (2008). Informal caregivers: communication and decision m</w:t>
      </w:r>
      <w:r w:rsidRPr="00F853DD">
        <w:rPr>
          <w:rFonts w:ascii="Times" w:hAnsi="Times" w:cs="Times New Roman"/>
          <w:sz w:val="23"/>
          <w:szCs w:val="23"/>
        </w:rPr>
        <w:t xml:space="preserve">aking. </w:t>
      </w:r>
      <w:r w:rsidRPr="00F853DD">
        <w:rPr>
          <w:rFonts w:ascii="Times" w:hAnsi="Times" w:cs="Times New Roman"/>
          <w:i/>
          <w:sz w:val="23"/>
          <w:szCs w:val="23"/>
        </w:rPr>
        <w:t>American Journal of Nursing</w:t>
      </w:r>
      <w:r w:rsidR="0018192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108</w:t>
      </w:r>
      <w:r w:rsidRPr="00F853DD">
        <w:rPr>
          <w:rFonts w:ascii="Times" w:hAnsi="Times" w:cs="Times New Roman"/>
          <w:sz w:val="23"/>
          <w:szCs w:val="23"/>
        </w:rPr>
        <w:t>, 73-77.</w:t>
      </w:r>
    </w:p>
    <w:p w14:paraId="290B642B" w14:textId="6B8E79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WHO</w:t>
      </w:r>
      <w:r w:rsidR="00181929" w:rsidRPr="00F853DD">
        <w:rPr>
          <w:rFonts w:ascii="Times" w:hAnsi="Times" w:cs="Times New Roman"/>
          <w:sz w:val="23"/>
          <w:szCs w:val="23"/>
        </w:rPr>
        <w:t>,</w:t>
      </w:r>
      <w:r w:rsidRPr="00F853DD">
        <w:rPr>
          <w:rFonts w:ascii="Times" w:hAnsi="Times" w:cs="Times New Roman"/>
          <w:sz w:val="23"/>
          <w:szCs w:val="23"/>
        </w:rPr>
        <w:t xml:space="preserve"> (2000.) </w:t>
      </w:r>
      <w:r w:rsidRPr="00F853DD">
        <w:rPr>
          <w:rFonts w:ascii="Times" w:hAnsi="Times" w:cs="Times New Roman"/>
          <w:i/>
          <w:sz w:val="23"/>
          <w:szCs w:val="23"/>
        </w:rPr>
        <w:t xml:space="preserve">Health </w:t>
      </w:r>
      <w:r w:rsidR="00181929" w:rsidRPr="00F853DD">
        <w:rPr>
          <w:rFonts w:ascii="Times" w:hAnsi="Times" w:cs="Times New Roman"/>
          <w:i/>
          <w:sz w:val="23"/>
          <w:szCs w:val="23"/>
        </w:rPr>
        <w:t>s</w:t>
      </w:r>
      <w:r w:rsidRPr="00F853DD">
        <w:rPr>
          <w:rFonts w:ascii="Times" w:hAnsi="Times" w:cs="Times New Roman"/>
          <w:i/>
          <w:sz w:val="23"/>
          <w:szCs w:val="23"/>
        </w:rPr>
        <w:t xml:space="preserve">ystems: </w:t>
      </w:r>
      <w:r w:rsidR="00181929" w:rsidRPr="00F853DD">
        <w:rPr>
          <w:rFonts w:ascii="Times" w:hAnsi="Times" w:cs="Times New Roman"/>
          <w:i/>
          <w:sz w:val="23"/>
          <w:szCs w:val="23"/>
        </w:rPr>
        <w:t>i</w:t>
      </w:r>
      <w:r w:rsidRPr="00F853DD">
        <w:rPr>
          <w:rFonts w:ascii="Times" w:hAnsi="Times" w:cs="Times New Roman"/>
          <w:i/>
          <w:sz w:val="23"/>
          <w:szCs w:val="23"/>
        </w:rPr>
        <w:t xml:space="preserve">mproving </w:t>
      </w:r>
      <w:r w:rsidR="00181929" w:rsidRPr="00F853DD">
        <w:rPr>
          <w:rFonts w:ascii="Times" w:hAnsi="Times" w:cs="Times New Roman"/>
          <w:i/>
          <w:sz w:val="23"/>
          <w:szCs w:val="23"/>
        </w:rPr>
        <w:t>p</w:t>
      </w:r>
      <w:r w:rsidRPr="00F853DD">
        <w:rPr>
          <w:rFonts w:ascii="Times" w:hAnsi="Times" w:cs="Times New Roman"/>
          <w:i/>
          <w:sz w:val="23"/>
          <w:szCs w:val="23"/>
        </w:rPr>
        <w:t>erformance</w:t>
      </w:r>
      <w:r w:rsidRPr="00F853DD">
        <w:rPr>
          <w:rFonts w:ascii="Times" w:hAnsi="Times" w:cs="Times New Roman"/>
          <w:sz w:val="23"/>
          <w:szCs w:val="23"/>
        </w:rPr>
        <w:t>. World Health Report. Geneva, Switzerland: World Health Organization.</w:t>
      </w:r>
    </w:p>
    <w:p w14:paraId="09E367C1" w14:textId="18989CE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WHO</w:t>
      </w:r>
      <w:r w:rsidR="00181929" w:rsidRPr="00F853DD">
        <w:rPr>
          <w:rFonts w:ascii="Times" w:hAnsi="Times" w:cs="Times New Roman"/>
          <w:sz w:val="23"/>
          <w:szCs w:val="23"/>
        </w:rPr>
        <w:t>,</w:t>
      </w:r>
      <w:r w:rsidRPr="00F853DD">
        <w:rPr>
          <w:rFonts w:ascii="Times" w:hAnsi="Times" w:cs="Times New Roman"/>
          <w:sz w:val="23"/>
          <w:szCs w:val="23"/>
        </w:rPr>
        <w:t xml:space="preserve"> (2012)a. </w:t>
      </w:r>
      <w:r w:rsidRPr="00F853DD">
        <w:rPr>
          <w:rFonts w:ascii="Times" w:hAnsi="Times" w:cs="Times New Roman"/>
          <w:i/>
          <w:sz w:val="23"/>
          <w:szCs w:val="23"/>
        </w:rPr>
        <w:t xml:space="preserve">Health </w:t>
      </w:r>
      <w:r w:rsidR="00181929" w:rsidRPr="00F853DD">
        <w:rPr>
          <w:rFonts w:ascii="Times" w:hAnsi="Times" w:cs="Times New Roman"/>
          <w:i/>
          <w:sz w:val="23"/>
          <w:szCs w:val="23"/>
        </w:rPr>
        <w:t>s</w:t>
      </w:r>
      <w:r w:rsidRPr="00F853DD">
        <w:rPr>
          <w:rFonts w:ascii="Times" w:hAnsi="Times" w:cs="Times New Roman"/>
          <w:i/>
          <w:sz w:val="23"/>
          <w:szCs w:val="23"/>
        </w:rPr>
        <w:t xml:space="preserve">ystems </w:t>
      </w:r>
      <w:r w:rsidR="00181929" w:rsidRPr="00F853DD">
        <w:rPr>
          <w:rFonts w:ascii="Times" w:hAnsi="Times" w:cs="Times New Roman"/>
          <w:i/>
          <w:sz w:val="23"/>
          <w:szCs w:val="23"/>
        </w:rPr>
        <w:t>f</w:t>
      </w:r>
      <w:r w:rsidRPr="00F853DD">
        <w:rPr>
          <w:rFonts w:ascii="Times" w:hAnsi="Times" w:cs="Times New Roman"/>
          <w:i/>
          <w:sz w:val="23"/>
          <w:szCs w:val="23"/>
        </w:rPr>
        <w:t xml:space="preserve">inancing: </w:t>
      </w:r>
      <w:r w:rsidR="00181929" w:rsidRPr="00F853DD">
        <w:rPr>
          <w:rFonts w:ascii="Times" w:hAnsi="Times" w:cs="Times New Roman"/>
          <w:i/>
          <w:sz w:val="23"/>
          <w:szCs w:val="23"/>
        </w:rPr>
        <w:t>t</w:t>
      </w:r>
      <w:r w:rsidRPr="00F853DD">
        <w:rPr>
          <w:rFonts w:ascii="Times" w:hAnsi="Times" w:cs="Times New Roman"/>
          <w:i/>
          <w:sz w:val="23"/>
          <w:szCs w:val="23"/>
        </w:rPr>
        <w:t xml:space="preserve">he </w:t>
      </w:r>
      <w:r w:rsidR="00181929" w:rsidRPr="00F853DD">
        <w:rPr>
          <w:rFonts w:ascii="Times" w:hAnsi="Times" w:cs="Times New Roman"/>
          <w:i/>
          <w:sz w:val="23"/>
          <w:szCs w:val="23"/>
        </w:rPr>
        <w:t>p</w:t>
      </w:r>
      <w:r w:rsidRPr="00F853DD">
        <w:rPr>
          <w:rFonts w:ascii="Times" w:hAnsi="Times" w:cs="Times New Roman"/>
          <w:i/>
          <w:sz w:val="23"/>
          <w:szCs w:val="23"/>
        </w:rPr>
        <w:t xml:space="preserve">ath to </w:t>
      </w:r>
      <w:r w:rsidR="00181929" w:rsidRPr="00F853DD">
        <w:rPr>
          <w:rFonts w:ascii="Times" w:hAnsi="Times" w:cs="Times New Roman"/>
          <w:i/>
          <w:sz w:val="23"/>
          <w:szCs w:val="23"/>
        </w:rPr>
        <w:t>u</w:t>
      </w:r>
      <w:r w:rsidRPr="00F853DD">
        <w:rPr>
          <w:rFonts w:ascii="Times" w:hAnsi="Times" w:cs="Times New Roman"/>
          <w:i/>
          <w:sz w:val="23"/>
          <w:szCs w:val="23"/>
        </w:rPr>
        <w:t xml:space="preserve">niversal </w:t>
      </w:r>
      <w:r w:rsidR="00181929" w:rsidRPr="00F853DD">
        <w:rPr>
          <w:rFonts w:ascii="Times" w:hAnsi="Times" w:cs="Times New Roman"/>
          <w:i/>
          <w:sz w:val="23"/>
          <w:szCs w:val="23"/>
        </w:rPr>
        <w:t>health coverage plan of a</w:t>
      </w:r>
      <w:r w:rsidRPr="00F853DD">
        <w:rPr>
          <w:rFonts w:ascii="Times" w:hAnsi="Times" w:cs="Times New Roman"/>
          <w:i/>
          <w:sz w:val="23"/>
          <w:szCs w:val="23"/>
        </w:rPr>
        <w:t>ction</w:t>
      </w:r>
      <w:r w:rsidRPr="00F853DD">
        <w:rPr>
          <w:rFonts w:ascii="Times" w:hAnsi="Times" w:cs="Times New Roman"/>
          <w:sz w:val="23"/>
          <w:szCs w:val="23"/>
        </w:rPr>
        <w:t>.</w:t>
      </w:r>
    </w:p>
    <w:p w14:paraId="74100D22" w14:textId="4D9DC22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WHO</w:t>
      </w:r>
      <w:r w:rsidR="00181929" w:rsidRPr="00F853DD">
        <w:rPr>
          <w:rFonts w:ascii="Times" w:hAnsi="Times" w:cs="Times New Roman"/>
          <w:sz w:val="23"/>
          <w:szCs w:val="23"/>
        </w:rPr>
        <w:t>,</w:t>
      </w:r>
      <w:r w:rsidRPr="00F853DD">
        <w:rPr>
          <w:rFonts w:ascii="Times" w:hAnsi="Times" w:cs="Times New Roman"/>
          <w:sz w:val="23"/>
          <w:szCs w:val="23"/>
        </w:rPr>
        <w:t xml:space="preserve"> (2012)b. Home </w:t>
      </w:r>
      <w:r w:rsidR="00181929" w:rsidRPr="00F853DD">
        <w:rPr>
          <w:rFonts w:ascii="Times" w:hAnsi="Times" w:cs="Times New Roman"/>
          <w:sz w:val="23"/>
          <w:szCs w:val="23"/>
        </w:rPr>
        <w:t>c</w:t>
      </w:r>
      <w:r w:rsidRPr="00F853DD">
        <w:rPr>
          <w:rFonts w:ascii="Times" w:hAnsi="Times" w:cs="Times New Roman"/>
          <w:sz w:val="23"/>
          <w:szCs w:val="23"/>
        </w:rPr>
        <w:t xml:space="preserve">are </w:t>
      </w:r>
      <w:r w:rsidR="00181929" w:rsidRPr="00F853DD">
        <w:rPr>
          <w:rFonts w:ascii="Times" w:hAnsi="Times" w:cs="Times New Roman"/>
          <w:sz w:val="23"/>
          <w:szCs w:val="23"/>
        </w:rPr>
        <w:t>across Europe: c</w:t>
      </w:r>
      <w:r w:rsidRPr="00F853DD">
        <w:rPr>
          <w:rFonts w:ascii="Times" w:hAnsi="Times" w:cs="Times New Roman"/>
          <w:sz w:val="23"/>
          <w:szCs w:val="23"/>
        </w:rPr>
        <w:t xml:space="preserve">urrent </w:t>
      </w:r>
      <w:r w:rsidR="00181929" w:rsidRPr="00F853DD">
        <w:rPr>
          <w:rFonts w:ascii="Times" w:hAnsi="Times" w:cs="Times New Roman"/>
          <w:sz w:val="23"/>
          <w:szCs w:val="23"/>
        </w:rPr>
        <w:t>structure and future c</w:t>
      </w:r>
      <w:r w:rsidRPr="00F853DD">
        <w:rPr>
          <w:rFonts w:ascii="Times" w:hAnsi="Times" w:cs="Times New Roman"/>
          <w:sz w:val="23"/>
          <w:szCs w:val="23"/>
        </w:rPr>
        <w:t xml:space="preserve">hallenges. In: </w:t>
      </w:r>
      <w:r w:rsidRPr="00F853DD">
        <w:rPr>
          <w:rFonts w:ascii="Times" w:hAnsi="Times" w:cs="Times New Roman"/>
          <w:i/>
          <w:sz w:val="23"/>
          <w:szCs w:val="23"/>
        </w:rPr>
        <w:t>European Observatories on Health Systems and Policies</w:t>
      </w:r>
      <w:r w:rsidRPr="00F853DD">
        <w:rPr>
          <w:rFonts w:ascii="Times" w:hAnsi="Times" w:cs="Times New Roman"/>
          <w:sz w:val="23"/>
          <w:szCs w:val="23"/>
        </w:rPr>
        <w:t xml:space="preserve">. (eds.). Copenhagen: World Health Organisation. </w:t>
      </w:r>
      <w:r w:rsidRPr="00F853DD">
        <w:rPr>
          <w:rFonts w:ascii="Times" w:hAnsi="Times" w:cs="Times New Roman"/>
          <w:i/>
          <w:sz w:val="23"/>
          <w:szCs w:val="23"/>
        </w:rPr>
        <w:t>Observatory Studies Series</w:t>
      </w:r>
      <w:r w:rsidRPr="00F853DD">
        <w:rPr>
          <w:rFonts w:ascii="Times" w:hAnsi="Times" w:cs="Times New Roman"/>
          <w:sz w:val="23"/>
          <w:szCs w:val="23"/>
        </w:rPr>
        <w:t xml:space="preserve">, </w:t>
      </w:r>
      <w:r w:rsidRPr="00F853DD">
        <w:rPr>
          <w:rFonts w:ascii="Times" w:hAnsi="Times" w:cs="Times New Roman"/>
          <w:b/>
          <w:sz w:val="23"/>
          <w:szCs w:val="23"/>
        </w:rPr>
        <w:t>27</w:t>
      </w:r>
      <w:r w:rsidRPr="00F853DD">
        <w:rPr>
          <w:rFonts w:ascii="Times" w:hAnsi="Times" w:cs="Times New Roman"/>
          <w:sz w:val="23"/>
          <w:szCs w:val="23"/>
        </w:rPr>
        <w:t>.</w:t>
      </w:r>
    </w:p>
    <w:p w14:paraId="26D4D022" w14:textId="10DB4271" w:rsidR="00DF05BD" w:rsidRPr="00F853DD" w:rsidRDefault="00181929"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 xml:space="preserve">WHO, (2013). </w:t>
      </w:r>
      <w:r w:rsidRPr="00F853DD">
        <w:rPr>
          <w:rFonts w:ascii="Times" w:hAnsi="Times" w:cs="Times New Roman"/>
          <w:i/>
          <w:sz w:val="23"/>
          <w:szCs w:val="23"/>
        </w:rPr>
        <w:t>The world h</w:t>
      </w:r>
      <w:r w:rsidR="00DF05BD" w:rsidRPr="00F853DD">
        <w:rPr>
          <w:rFonts w:ascii="Times" w:hAnsi="Times" w:cs="Times New Roman"/>
          <w:i/>
          <w:sz w:val="23"/>
          <w:szCs w:val="23"/>
        </w:rPr>
        <w:t xml:space="preserve">ealth </w:t>
      </w:r>
      <w:r w:rsidRPr="00F853DD">
        <w:rPr>
          <w:rFonts w:ascii="Times" w:hAnsi="Times" w:cs="Times New Roman"/>
          <w:i/>
          <w:sz w:val="23"/>
          <w:szCs w:val="23"/>
        </w:rPr>
        <w:t>r</w:t>
      </w:r>
      <w:r w:rsidR="00DF05BD" w:rsidRPr="00F853DD">
        <w:rPr>
          <w:rFonts w:ascii="Times" w:hAnsi="Times" w:cs="Times New Roman"/>
          <w:i/>
          <w:sz w:val="23"/>
          <w:szCs w:val="23"/>
        </w:rPr>
        <w:t>eport:</w:t>
      </w:r>
      <w:r w:rsidR="00DF05BD" w:rsidRPr="00F853DD">
        <w:rPr>
          <w:rFonts w:ascii="Times" w:hAnsi="Times" w:cs="Times New Roman"/>
          <w:sz w:val="23"/>
          <w:szCs w:val="23"/>
        </w:rPr>
        <w:t xml:space="preserve"> </w:t>
      </w:r>
      <w:r w:rsidRPr="00F853DD">
        <w:rPr>
          <w:rFonts w:ascii="Times" w:hAnsi="Times" w:cs="Times New Roman"/>
          <w:i/>
          <w:sz w:val="23"/>
          <w:szCs w:val="23"/>
        </w:rPr>
        <w:t>r</w:t>
      </w:r>
      <w:r w:rsidR="00DF05BD" w:rsidRPr="00F853DD">
        <w:rPr>
          <w:rFonts w:ascii="Times" w:hAnsi="Times" w:cs="Times New Roman"/>
          <w:i/>
          <w:sz w:val="23"/>
          <w:szCs w:val="23"/>
        </w:rPr>
        <w:t>ese</w:t>
      </w:r>
      <w:r w:rsidRPr="00F853DD">
        <w:rPr>
          <w:rFonts w:ascii="Times" w:hAnsi="Times" w:cs="Times New Roman"/>
          <w:i/>
          <w:sz w:val="23"/>
          <w:szCs w:val="23"/>
        </w:rPr>
        <w:t>arch for universal health c</w:t>
      </w:r>
      <w:r w:rsidR="00DF05BD" w:rsidRPr="00F853DD">
        <w:rPr>
          <w:rFonts w:ascii="Times" w:hAnsi="Times" w:cs="Times New Roman"/>
          <w:i/>
          <w:sz w:val="23"/>
          <w:szCs w:val="23"/>
        </w:rPr>
        <w:t>overage</w:t>
      </w:r>
      <w:r w:rsidR="00DF05BD" w:rsidRPr="00F853DD">
        <w:rPr>
          <w:rFonts w:ascii="Times" w:hAnsi="Times" w:cs="Times New Roman"/>
          <w:sz w:val="23"/>
          <w:szCs w:val="23"/>
        </w:rPr>
        <w:t>.</w:t>
      </w:r>
      <w:r w:rsidR="00D30065" w:rsidRPr="00F853DD">
        <w:rPr>
          <w:rFonts w:ascii="Times" w:hAnsi="Times" w:cs="Times New Roman"/>
          <w:sz w:val="23"/>
          <w:szCs w:val="23"/>
        </w:rPr>
        <w:t xml:space="preserve"> World Health Organization.</w:t>
      </w:r>
    </w:p>
    <w:p w14:paraId="4D4168B7" w14:textId="521A12DE"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Wilberforce, M., Challis, D., Davies, L., Kelly, M., Roberts, C. and Clarkson, P.</w:t>
      </w:r>
      <w:r w:rsidR="00181929" w:rsidRPr="00F853DD">
        <w:rPr>
          <w:rFonts w:ascii="Times" w:hAnsi="Times" w:cs="Times New Roman"/>
          <w:sz w:val="23"/>
          <w:szCs w:val="23"/>
        </w:rPr>
        <w:t>,</w:t>
      </w:r>
      <w:r w:rsidRPr="00F853DD">
        <w:rPr>
          <w:rFonts w:ascii="Times" w:hAnsi="Times" w:cs="Times New Roman"/>
          <w:sz w:val="23"/>
          <w:szCs w:val="23"/>
        </w:rPr>
        <w:t xml:space="preserve"> (2017). Person-centredness in the community care of older people: </w:t>
      </w:r>
      <w:r w:rsidR="00181929" w:rsidRPr="00F853DD">
        <w:rPr>
          <w:rFonts w:ascii="Times" w:hAnsi="Times" w:cs="Times New Roman"/>
          <w:sz w:val="23"/>
          <w:szCs w:val="23"/>
        </w:rPr>
        <w:t>a</w:t>
      </w:r>
      <w:r w:rsidRPr="00F853DD">
        <w:rPr>
          <w:rFonts w:ascii="Times" w:hAnsi="Times" w:cs="Times New Roman"/>
          <w:sz w:val="23"/>
          <w:szCs w:val="23"/>
        </w:rPr>
        <w:t xml:space="preserve"> literature-based concept synthesis. </w:t>
      </w:r>
      <w:r w:rsidRPr="00F853DD">
        <w:rPr>
          <w:rFonts w:ascii="Times" w:hAnsi="Times" w:cs="Times New Roman"/>
          <w:i/>
          <w:sz w:val="23"/>
          <w:szCs w:val="23"/>
        </w:rPr>
        <w:t>International Journal of Social Welfare</w:t>
      </w:r>
      <w:r w:rsidR="0018192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86-98.</w:t>
      </w:r>
    </w:p>
    <w:p w14:paraId="615B0F71" w14:textId="034346F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Wilborn-Lee, B.</w:t>
      </w:r>
      <w:r w:rsidR="00181929"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sz w:val="23"/>
          <w:szCs w:val="23"/>
        </w:rPr>
        <w:t>The effects of stress and burden on caregivers of individuals with a chronic illness</w:t>
      </w:r>
      <w:r w:rsidRPr="00F853DD">
        <w:rPr>
          <w:rFonts w:ascii="Times" w:hAnsi="Times" w:cs="Times New Roman"/>
          <w:sz w:val="23"/>
          <w:szCs w:val="23"/>
        </w:rPr>
        <w:t>. PhD in Clinical Psychology, Walden University.</w:t>
      </w:r>
    </w:p>
    <w:p w14:paraId="7D6C4F85" w14:textId="44604E9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Wild, K., Wiles, J. and Allen, R.</w:t>
      </w:r>
      <w:r w:rsidR="00181929" w:rsidRPr="00F853DD">
        <w:rPr>
          <w:rFonts w:ascii="Times" w:hAnsi="Times" w:cs="Times New Roman"/>
          <w:sz w:val="23"/>
          <w:szCs w:val="23"/>
        </w:rPr>
        <w:t>,</w:t>
      </w:r>
      <w:r w:rsidRPr="00F853DD">
        <w:rPr>
          <w:rFonts w:ascii="Times" w:hAnsi="Times" w:cs="Times New Roman"/>
          <w:sz w:val="23"/>
          <w:szCs w:val="23"/>
        </w:rPr>
        <w:t xml:space="preserve"> (2013). Resilience: thoughts on the value of the concept for critical gerontology. </w:t>
      </w:r>
      <w:r w:rsidRPr="00F853DD">
        <w:rPr>
          <w:rFonts w:ascii="Times" w:hAnsi="Times" w:cs="Times New Roman"/>
          <w:i/>
          <w:sz w:val="23"/>
          <w:szCs w:val="23"/>
        </w:rPr>
        <w:t>Ageing and Society</w:t>
      </w:r>
      <w:r w:rsidRPr="00F853DD">
        <w:rPr>
          <w:rFonts w:ascii="Times" w:hAnsi="Times" w:cs="Times New Roman"/>
          <w:sz w:val="23"/>
          <w:szCs w:val="23"/>
        </w:rPr>
        <w:t xml:space="preserve">, </w:t>
      </w:r>
      <w:r w:rsidRPr="00F853DD">
        <w:rPr>
          <w:rFonts w:ascii="Times" w:hAnsi="Times" w:cs="Times New Roman"/>
          <w:b/>
          <w:sz w:val="23"/>
          <w:szCs w:val="23"/>
        </w:rPr>
        <w:t>33</w:t>
      </w:r>
      <w:r w:rsidRPr="00F853DD">
        <w:rPr>
          <w:rFonts w:ascii="Times" w:hAnsi="Times" w:cs="Times New Roman"/>
          <w:sz w:val="23"/>
          <w:szCs w:val="23"/>
        </w:rPr>
        <w:t>, 137-158.</w:t>
      </w:r>
    </w:p>
    <w:p w14:paraId="3F33899E" w14:textId="4D52ACC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Wilder, A.</w:t>
      </w:r>
      <w:r w:rsidR="00181929" w:rsidRPr="00F853DD">
        <w:rPr>
          <w:rFonts w:ascii="Times" w:hAnsi="Times" w:cs="Times New Roman"/>
          <w:sz w:val="23"/>
          <w:szCs w:val="23"/>
        </w:rPr>
        <w:t>,</w:t>
      </w:r>
      <w:r w:rsidRPr="00F853DD">
        <w:rPr>
          <w:rFonts w:ascii="Times" w:hAnsi="Times" w:cs="Times New Roman"/>
          <w:sz w:val="23"/>
          <w:szCs w:val="23"/>
        </w:rPr>
        <w:t xml:space="preserve"> (2009). </w:t>
      </w:r>
      <w:r w:rsidRPr="00F853DD">
        <w:rPr>
          <w:rFonts w:ascii="Times" w:hAnsi="Times" w:cs="Times New Roman"/>
          <w:i/>
          <w:sz w:val="23"/>
          <w:szCs w:val="23"/>
        </w:rPr>
        <w:t>Ecological systems theory as applied to family caregivers of aging adults</w:t>
      </w:r>
      <w:r w:rsidRPr="00F853DD">
        <w:rPr>
          <w:rFonts w:ascii="Times" w:hAnsi="Times" w:cs="Times New Roman"/>
          <w:sz w:val="23"/>
          <w:szCs w:val="23"/>
        </w:rPr>
        <w:t>. University of Texas at Arlington.</w:t>
      </w:r>
    </w:p>
    <w:p w14:paraId="3733463E" w14:textId="23E01AF9"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shd w:val="clear" w:color="auto" w:fill="FFFFFF"/>
        </w:rPr>
        <w:t>Wiles, J.</w:t>
      </w:r>
      <w:r w:rsidR="00181929" w:rsidRPr="00F853DD">
        <w:rPr>
          <w:rFonts w:ascii="Times" w:hAnsi="Times" w:cs="Times New Roman"/>
          <w:sz w:val="23"/>
          <w:szCs w:val="23"/>
          <w:shd w:val="clear" w:color="auto" w:fill="FFFFFF"/>
        </w:rPr>
        <w:t>,</w:t>
      </w:r>
      <w:r w:rsidRPr="00F853DD">
        <w:rPr>
          <w:rFonts w:ascii="Times" w:hAnsi="Times" w:cs="Times New Roman"/>
          <w:sz w:val="23"/>
          <w:szCs w:val="23"/>
          <w:shd w:val="clear" w:color="auto" w:fill="FFFFFF"/>
        </w:rPr>
        <w:t xml:space="preserve"> (2005). Conceptualizing place in the care of older people: the contributions of geographical gerontology. </w:t>
      </w:r>
      <w:r w:rsidRPr="00F853DD">
        <w:rPr>
          <w:rFonts w:ascii="Times" w:hAnsi="Times" w:cs="Times New Roman"/>
          <w:i/>
          <w:iCs/>
          <w:sz w:val="23"/>
          <w:szCs w:val="23"/>
          <w:shd w:val="clear" w:color="auto" w:fill="FFFFFF"/>
        </w:rPr>
        <w:t>Journal of Clinical Nursing</w:t>
      </w:r>
      <w:r w:rsidR="00181929" w:rsidRPr="00F853DD">
        <w:rPr>
          <w:rFonts w:ascii="Times" w:hAnsi="Times" w:cs="Times New Roman"/>
          <w:sz w:val="23"/>
          <w:szCs w:val="23"/>
          <w:shd w:val="clear" w:color="auto" w:fill="FFFFFF"/>
        </w:rPr>
        <w:t>.</w:t>
      </w:r>
      <w:r w:rsidRPr="00F853DD">
        <w:rPr>
          <w:rFonts w:ascii="Times" w:hAnsi="Times" w:cs="Times New Roman"/>
          <w:sz w:val="23"/>
          <w:szCs w:val="23"/>
          <w:shd w:val="clear" w:color="auto" w:fill="FFFFFF"/>
        </w:rPr>
        <w:t> </w:t>
      </w:r>
      <w:r w:rsidRPr="00F853DD">
        <w:rPr>
          <w:rFonts w:ascii="Times" w:hAnsi="Times" w:cs="Times New Roman"/>
          <w:b/>
          <w:i/>
          <w:iCs/>
          <w:sz w:val="23"/>
          <w:szCs w:val="23"/>
          <w:shd w:val="clear" w:color="auto" w:fill="FFFFFF"/>
        </w:rPr>
        <w:t>14</w:t>
      </w:r>
      <w:r w:rsidRPr="00F853DD">
        <w:rPr>
          <w:rFonts w:ascii="Times" w:hAnsi="Times" w:cs="Times New Roman"/>
          <w:sz w:val="23"/>
          <w:szCs w:val="23"/>
          <w:shd w:val="clear" w:color="auto" w:fill="FFFFFF"/>
        </w:rPr>
        <w:t>(2),100-108.</w:t>
      </w:r>
    </w:p>
    <w:p w14:paraId="451A9C2E" w14:textId="7060DC0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Williams, K., Morrison, V. and Robinson, C.</w:t>
      </w:r>
      <w:r w:rsidR="00181929" w:rsidRPr="00F853DD">
        <w:rPr>
          <w:rFonts w:ascii="Times" w:hAnsi="Times" w:cs="Times New Roman"/>
          <w:sz w:val="23"/>
          <w:szCs w:val="23"/>
        </w:rPr>
        <w:t>,</w:t>
      </w:r>
      <w:r w:rsidRPr="00F853DD">
        <w:rPr>
          <w:rFonts w:ascii="Times" w:hAnsi="Times" w:cs="Times New Roman"/>
          <w:sz w:val="23"/>
          <w:szCs w:val="23"/>
        </w:rPr>
        <w:t xml:space="preserve"> (2014). Exploring caregiving experiences: caregiver coping and making sense of illness. </w:t>
      </w:r>
      <w:r w:rsidRPr="00F853DD">
        <w:rPr>
          <w:rFonts w:ascii="Times" w:hAnsi="Times" w:cs="Times New Roman"/>
          <w:i/>
          <w:sz w:val="23"/>
          <w:szCs w:val="23"/>
        </w:rPr>
        <w:t>Aging and Mental Health</w:t>
      </w:r>
      <w:r w:rsidR="0018192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18</w:t>
      </w:r>
      <w:r w:rsidRPr="00F853DD">
        <w:rPr>
          <w:rFonts w:ascii="Times" w:hAnsi="Times" w:cs="Times New Roman"/>
          <w:sz w:val="23"/>
          <w:szCs w:val="23"/>
        </w:rPr>
        <w:t>, 600-609.</w:t>
      </w:r>
    </w:p>
    <w:p w14:paraId="28E65A84" w14:textId="6459AD5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Williams, V., Kinnear, D. and Victor, C.</w:t>
      </w:r>
      <w:r w:rsidR="00181929" w:rsidRPr="00F853DD">
        <w:rPr>
          <w:rFonts w:ascii="Times" w:hAnsi="Times" w:cs="Times New Roman"/>
          <w:sz w:val="23"/>
          <w:szCs w:val="23"/>
        </w:rPr>
        <w:t>, (2016). ‘</w:t>
      </w:r>
      <w:r w:rsidRPr="00F853DD">
        <w:rPr>
          <w:rFonts w:ascii="Times" w:hAnsi="Times" w:cs="Times New Roman"/>
          <w:sz w:val="23"/>
          <w:szCs w:val="23"/>
        </w:rPr>
        <w:t>It's the little things that count</w:t>
      </w:r>
      <w:r w:rsidR="00181929" w:rsidRPr="00F853DD">
        <w:rPr>
          <w:rFonts w:ascii="Times" w:hAnsi="Times" w:cs="Times New Roman"/>
          <w:sz w:val="23"/>
          <w:szCs w:val="23"/>
        </w:rPr>
        <w:t>’: healthcare professionals’</w:t>
      </w:r>
      <w:r w:rsidRPr="00F853DD">
        <w:rPr>
          <w:rFonts w:ascii="Times" w:hAnsi="Times" w:cs="Times New Roman"/>
          <w:sz w:val="23"/>
          <w:szCs w:val="23"/>
        </w:rPr>
        <w:t xml:space="preserve"> views on delivering dignified care: a qualitative study. </w:t>
      </w:r>
      <w:r w:rsidRPr="00F853DD">
        <w:rPr>
          <w:rFonts w:ascii="Times" w:hAnsi="Times" w:cs="Times New Roman"/>
          <w:i/>
          <w:sz w:val="23"/>
          <w:szCs w:val="23"/>
        </w:rPr>
        <w:t>Journal of Advanced Nursing</w:t>
      </w:r>
      <w:r w:rsidR="0018192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72</w:t>
      </w:r>
      <w:r w:rsidRPr="00F853DD">
        <w:rPr>
          <w:rFonts w:ascii="Times" w:hAnsi="Times" w:cs="Times New Roman"/>
          <w:sz w:val="23"/>
          <w:szCs w:val="23"/>
        </w:rPr>
        <w:t>, 782-790.</w:t>
      </w:r>
    </w:p>
    <w:p w14:paraId="282B5092" w14:textId="2E2182B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Williams, P.</w:t>
      </w:r>
      <w:r w:rsidR="00181929" w:rsidRPr="00F853DD">
        <w:rPr>
          <w:rFonts w:ascii="Times" w:hAnsi="Times" w:cs="Times New Roman"/>
          <w:sz w:val="23"/>
          <w:szCs w:val="23"/>
        </w:rPr>
        <w:t>, (2016). Basic g</w:t>
      </w:r>
      <w:r w:rsidRPr="00F853DD">
        <w:rPr>
          <w:rFonts w:ascii="Times" w:hAnsi="Times" w:cs="Times New Roman"/>
          <w:sz w:val="23"/>
          <w:szCs w:val="23"/>
        </w:rPr>
        <w:t>er</w:t>
      </w:r>
      <w:r w:rsidR="00181929" w:rsidRPr="00F853DD">
        <w:rPr>
          <w:rFonts w:ascii="Times" w:hAnsi="Times" w:cs="Times New Roman"/>
          <w:sz w:val="23"/>
          <w:szCs w:val="23"/>
        </w:rPr>
        <w:t>iatric nursing (e</w:t>
      </w:r>
      <w:r w:rsidRPr="00F853DD">
        <w:rPr>
          <w:rFonts w:ascii="Times" w:hAnsi="Times" w:cs="Times New Roman"/>
          <w:sz w:val="23"/>
          <w:szCs w:val="23"/>
        </w:rPr>
        <w:t>-book) (6</w:t>
      </w:r>
      <w:r w:rsidRPr="00F853DD">
        <w:rPr>
          <w:rFonts w:ascii="Times" w:hAnsi="Times" w:cs="Times New Roman"/>
          <w:sz w:val="23"/>
          <w:szCs w:val="23"/>
          <w:vertAlign w:val="superscript"/>
        </w:rPr>
        <w:t>th</w:t>
      </w:r>
      <w:r w:rsidRPr="00F853DD">
        <w:rPr>
          <w:rFonts w:ascii="Times" w:hAnsi="Times" w:cs="Times New Roman"/>
          <w:sz w:val="23"/>
          <w:szCs w:val="23"/>
        </w:rPr>
        <w:t xml:space="preserve"> Edition). St Louis: MO. Elsevier.</w:t>
      </w:r>
    </w:p>
    <w:p w14:paraId="20BEC9FB" w14:textId="4AF097C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Williamson, G., Shaffer, D.</w:t>
      </w:r>
      <w:r w:rsidR="00181929" w:rsidRPr="00F853DD">
        <w:rPr>
          <w:rFonts w:ascii="Times" w:hAnsi="Times" w:cs="Times New Roman"/>
          <w:sz w:val="23"/>
          <w:szCs w:val="23"/>
        </w:rPr>
        <w:t>,</w:t>
      </w:r>
      <w:r w:rsidRPr="00F853DD">
        <w:rPr>
          <w:rFonts w:ascii="Times" w:hAnsi="Times" w:cs="Times New Roman"/>
          <w:sz w:val="23"/>
          <w:szCs w:val="23"/>
        </w:rPr>
        <w:t xml:space="preserve"> (2001). Relationship quality and potentially harmful behaviors by spousal caregivers: How we were then, how we are now. </w:t>
      </w:r>
      <w:r w:rsidRPr="00F853DD">
        <w:rPr>
          <w:rFonts w:ascii="Times" w:hAnsi="Times" w:cs="Times New Roman"/>
          <w:i/>
          <w:sz w:val="23"/>
          <w:szCs w:val="23"/>
        </w:rPr>
        <w:t>Psychology and Aging</w:t>
      </w:r>
      <w:r w:rsidR="0018192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217-226.</w:t>
      </w:r>
    </w:p>
    <w:p w14:paraId="52576CF6" w14:textId="6E5AD5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Wilson, A.</w:t>
      </w:r>
      <w:r w:rsidR="00181929" w:rsidRPr="00F853DD">
        <w:rPr>
          <w:rFonts w:ascii="Times" w:hAnsi="Times" w:cs="Times New Roman"/>
          <w:sz w:val="23"/>
          <w:szCs w:val="23"/>
        </w:rPr>
        <w:t>,</w:t>
      </w:r>
      <w:r w:rsidRPr="00F853DD">
        <w:rPr>
          <w:rFonts w:ascii="Times" w:hAnsi="Times" w:cs="Times New Roman"/>
          <w:sz w:val="23"/>
          <w:szCs w:val="23"/>
        </w:rPr>
        <w:t xml:space="preserve"> (2007). The sociology of aging. In: Bryant, C. D. and Peck, D. L. (eds.) 21st century sociology: </w:t>
      </w:r>
      <w:r w:rsidRPr="00F853DD">
        <w:rPr>
          <w:rFonts w:ascii="Times" w:hAnsi="Times" w:cs="Times New Roman"/>
          <w:i/>
          <w:sz w:val="23"/>
          <w:szCs w:val="23"/>
        </w:rPr>
        <w:t>A Reference Handbook</w:t>
      </w:r>
      <w:r w:rsidRPr="00F853DD">
        <w:rPr>
          <w:rFonts w:ascii="Times" w:hAnsi="Times" w:cs="Times New Roman"/>
          <w:sz w:val="23"/>
          <w:szCs w:val="23"/>
        </w:rPr>
        <w:t>. California: SAGE.</w:t>
      </w:r>
    </w:p>
    <w:p w14:paraId="7EFBFDD8" w14:textId="0C18367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Wilson, G.</w:t>
      </w:r>
      <w:r w:rsidR="00181929" w:rsidRPr="00F853DD">
        <w:rPr>
          <w:rFonts w:ascii="Times" w:hAnsi="Times" w:cs="Times New Roman"/>
          <w:sz w:val="23"/>
          <w:szCs w:val="23"/>
        </w:rPr>
        <w:t>,</w:t>
      </w:r>
      <w:r w:rsidRPr="00F853DD">
        <w:rPr>
          <w:rFonts w:ascii="Times" w:hAnsi="Times" w:cs="Times New Roman"/>
          <w:sz w:val="23"/>
          <w:szCs w:val="23"/>
        </w:rPr>
        <w:t xml:space="preserve"> (20</w:t>
      </w:r>
      <w:r w:rsidR="00181929" w:rsidRPr="00F853DD">
        <w:rPr>
          <w:rFonts w:ascii="Times" w:hAnsi="Times" w:cs="Times New Roman"/>
          <w:sz w:val="23"/>
          <w:szCs w:val="23"/>
        </w:rPr>
        <w:t>04). Elder mistreatment abuse: n</w:t>
      </w:r>
      <w:r w:rsidRPr="00F853DD">
        <w:rPr>
          <w:rFonts w:ascii="Times" w:hAnsi="Times" w:cs="Times New Roman"/>
          <w:sz w:val="23"/>
          <w:szCs w:val="23"/>
        </w:rPr>
        <w:t xml:space="preserve">eglect and exploitation in an aging America. </w:t>
      </w:r>
      <w:r w:rsidRPr="00F853DD">
        <w:rPr>
          <w:rFonts w:ascii="Times" w:hAnsi="Times" w:cs="Times New Roman"/>
          <w:i/>
          <w:sz w:val="23"/>
          <w:szCs w:val="23"/>
        </w:rPr>
        <w:t>Sociology of Health and Illness</w:t>
      </w:r>
      <w:r w:rsidR="0018192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262-263.</w:t>
      </w:r>
    </w:p>
    <w:p w14:paraId="24463790" w14:textId="4A62127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Windle, G.</w:t>
      </w:r>
      <w:r w:rsidR="00181929" w:rsidRPr="00F853DD">
        <w:rPr>
          <w:rFonts w:ascii="Times" w:hAnsi="Times" w:cs="Times New Roman"/>
          <w:sz w:val="23"/>
          <w:szCs w:val="23"/>
        </w:rPr>
        <w:t>, (2011). What is resilience? A review and concept a</w:t>
      </w:r>
      <w:r w:rsidRPr="00F853DD">
        <w:rPr>
          <w:rFonts w:ascii="Times" w:hAnsi="Times" w:cs="Times New Roman"/>
          <w:sz w:val="23"/>
          <w:szCs w:val="23"/>
        </w:rPr>
        <w:t xml:space="preserve">nalysis. </w:t>
      </w:r>
      <w:r w:rsidRPr="00F853DD">
        <w:rPr>
          <w:rFonts w:ascii="Times" w:hAnsi="Times" w:cs="Times New Roman"/>
          <w:i/>
          <w:sz w:val="23"/>
          <w:szCs w:val="23"/>
        </w:rPr>
        <w:t xml:space="preserve">Reviews in Clinical Gerontology </w:t>
      </w:r>
      <w:r w:rsidRPr="00F853DD">
        <w:rPr>
          <w:rFonts w:ascii="Times" w:hAnsi="Times" w:cs="Times New Roman"/>
          <w:sz w:val="23"/>
          <w:szCs w:val="23"/>
        </w:rPr>
        <w:t xml:space="preserve">[online]. Available from: https://www.researchgate.net/profile/Gill_Windle/publication/231842385_What_is_resilience_A_review_and_concept_analysis/links/00b7d52414901b1e5f000000.pdf. </w:t>
      </w:r>
    </w:p>
    <w:p w14:paraId="34CE5EF6" w14:textId="4816F30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Windle, G., Bennett, K. and Noyes, J.</w:t>
      </w:r>
      <w:r w:rsidR="00181929" w:rsidRPr="00F853DD">
        <w:rPr>
          <w:rFonts w:ascii="Times" w:hAnsi="Times" w:cs="Times New Roman"/>
          <w:sz w:val="23"/>
          <w:szCs w:val="23"/>
          <w:lang w:val="en-TT"/>
        </w:rPr>
        <w:t>,</w:t>
      </w:r>
      <w:r w:rsidRPr="00F853DD">
        <w:rPr>
          <w:rFonts w:ascii="Times" w:hAnsi="Times" w:cs="Times New Roman"/>
          <w:sz w:val="23"/>
          <w:szCs w:val="23"/>
          <w:lang w:val="en-TT"/>
        </w:rPr>
        <w:t xml:space="preserve"> (2011). </w:t>
      </w:r>
      <w:r w:rsidRPr="00F853DD">
        <w:rPr>
          <w:rFonts w:ascii="Times" w:hAnsi="Times" w:cs="Times New Roman"/>
          <w:sz w:val="23"/>
          <w:szCs w:val="23"/>
        </w:rPr>
        <w:t xml:space="preserve">A methodological review of resilience measurement scales. </w:t>
      </w:r>
      <w:r w:rsidRPr="00F853DD">
        <w:rPr>
          <w:rFonts w:ascii="Times" w:hAnsi="Times" w:cs="Times New Roman"/>
          <w:i/>
          <w:sz w:val="23"/>
          <w:szCs w:val="23"/>
        </w:rPr>
        <w:t>Health and Quality of Life Outcomes</w:t>
      </w:r>
      <w:r w:rsidR="0018192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9</w:t>
      </w:r>
      <w:r w:rsidRPr="00F853DD">
        <w:rPr>
          <w:rFonts w:ascii="Times" w:hAnsi="Times" w:cs="Times New Roman"/>
          <w:sz w:val="23"/>
          <w:szCs w:val="23"/>
        </w:rPr>
        <w:t>, 18.</w:t>
      </w:r>
    </w:p>
    <w:p w14:paraId="6C1DE06D" w14:textId="2D85C95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Windsor, T., Hunter, M. and Browne-Yung, K.</w:t>
      </w:r>
      <w:r w:rsidR="00181929"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sz w:val="23"/>
          <w:szCs w:val="23"/>
        </w:rPr>
        <w:t>Ageing w</w:t>
      </w:r>
      <w:r w:rsidR="00181929" w:rsidRPr="00F853DD">
        <w:rPr>
          <w:rFonts w:ascii="Times" w:hAnsi="Times" w:cs="Times New Roman"/>
          <w:i/>
          <w:sz w:val="23"/>
          <w:szCs w:val="23"/>
        </w:rPr>
        <w:t>ell: b</w:t>
      </w:r>
      <w:r w:rsidRPr="00F853DD">
        <w:rPr>
          <w:rFonts w:ascii="Times" w:hAnsi="Times" w:cs="Times New Roman"/>
          <w:i/>
          <w:sz w:val="23"/>
          <w:szCs w:val="23"/>
        </w:rPr>
        <w:t xml:space="preserve">uilding resilience in individuals and communities. </w:t>
      </w:r>
      <w:r w:rsidRPr="00F853DD">
        <w:rPr>
          <w:rFonts w:ascii="Times" w:hAnsi="Times"/>
          <w:i/>
          <w:sz w:val="23"/>
          <w:szCs w:val="23"/>
        </w:rPr>
        <w:t>School of Psychology</w:t>
      </w:r>
      <w:r w:rsidRPr="00F853DD">
        <w:rPr>
          <w:rFonts w:ascii="Times" w:hAnsi="Times"/>
          <w:sz w:val="23"/>
          <w:szCs w:val="23"/>
        </w:rPr>
        <w:t>. Flinders University.</w:t>
      </w:r>
    </w:p>
    <w:p w14:paraId="5137A65D" w14:textId="501DDD4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Winters, N.</w:t>
      </w:r>
      <w:r w:rsidR="00181929" w:rsidRPr="00F853DD">
        <w:rPr>
          <w:rFonts w:ascii="Times" w:hAnsi="Times" w:cs="Times New Roman"/>
          <w:sz w:val="23"/>
          <w:szCs w:val="23"/>
        </w:rPr>
        <w:t>,</w:t>
      </w:r>
      <w:r w:rsidRPr="00F853DD">
        <w:rPr>
          <w:rFonts w:ascii="Times" w:hAnsi="Times" w:cs="Times New Roman"/>
          <w:sz w:val="23"/>
          <w:szCs w:val="23"/>
        </w:rPr>
        <w:t xml:space="preserve"> (2014). Responsibility, </w:t>
      </w:r>
      <w:r w:rsidR="00181929" w:rsidRPr="00F853DD">
        <w:rPr>
          <w:rFonts w:ascii="Times" w:hAnsi="Times" w:cs="Times New Roman"/>
          <w:sz w:val="23"/>
          <w:szCs w:val="23"/>
        </w:rPr>
        <w:t>mobility, and power: translocal carework n</w:t>
      </w:r>
      <w:r w:rsidRPr="00F853DD">
        <w:rPr>
          <w:rFonts w:ascii="Times" w:hAnsi="Times" w:cs="Times New Roman"/>
          <w:sz w:val="23"/>
          <w:szCs w:val="23"/>
        </w:rPr>
        <w:t xml:space="preserve">egotiations of Nicaraguan Families. </w:t>
      </w:r>
      <w:r w:rsidRPr="00F853DD">
        <w:rPr>
          <w:rFonts w:ascii="Times" w:hAnsi="Times" w:cs="Times New Roman"/>
          <w:i/>
          <w:sz w:val="23"/>
          <w:szCs w:val="23"/>
        </w:rPr>
        <w:t>The International Migration Review</w:t>
      </w:r>
      <w:r w:rsidR="00181929"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48</w:t>
      </w:r>
      <w:r w:rsidRPr="00F853DD">
        <w:rPr>
          <w:rFonts w:ascii="Times" w:hAnsi="Times" w:cs="Times New Roman"/>
          <w:sz w:val="23"/>
          <w:szCs w:val="23"/>
        </w:rPr>
        <w:t>, 415-441.</w:t>
      </w:r>
    </w:p>
    <w:p w14:paraId="5EF625DC" w14:textId="44FD393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Wise, D., Sneed, C. and Berry, A.</w:t>
      </w:r>
      <w:r w:rsidR="00256EFA" w:rsidRPr="00F853DD">
        <w:rPr>
          <w:rFonts w:ascii="Times" w:hAnsi="Times" w:cs="Times New Roman"/>
          <w:sz w:val="23"/>
          <w:szCs w:val="23"/>
        </w:rPr>
        <w:t>,</w:t>
      </w:r>
      <w:r w:rsidRPr="00F853DD">
        <w:rPr>
          <w:rFonts w:ascii="Times" w:hAnsi="Times" w:cs="Times New Roman"/>
          <w:sz w:val="23"/>
          <w:szCs w:val="23"/>
        </w:rPr>
        <w:t xml:space="preserve"> (2011). Toward holistic care: integrating process and content. </w:t>
      </w:r>
      <w:r w:rsidRPr="00F853DD">
        <w:rPr>
          <w:rFonts w:ascii="Times" w:hAnsi="Times" w:cs="Times New Roman"/>
          <w:i/>
          <w:sz w:val="23"/>
          <w:szCs w:val="23"/>
        </w:rPr>
        <w:t>The Forum for Family and Consumer Issues</w:t>
      </w:r>
      <w:r w:rsidRPr="00F853DD">
        <w:rPr>
          <w:rFonts w:ascii="Times" w:hAnsi="Times" w:cs="Times New Roman"/>
          <w:sz w:val="23"/>
          <w:szCs w:val="23"/>
        </w:rPr>
        <w:t xml:space="preserve"> [online]. Available from: https://projects.ncsu.edu/ffci/publications/2011/v16-n2-2011-winter/wise-sneed-berry.php. </w:t>
      </w:r>
    </w:p>
    <w:p w14:paraId="24174E3A" w14:textId="7105ECD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Wolf, D. and Ballal, S.</w:t>
      </w:r>
      <w:r w:rsidR="00256EFA" w:rsidRPr="00F853DD">
        <w:rPr>
          <w:rFonts w:ascii="Times" w:hAnsi="Times" w:cs="Times New Roman"/>
          <w:sz w:val="23"/>
          <w:szCs w:val="23"/>
        </w:rPr>
        <w:t>,</w:t>
      </w:r>
      <w:r w:rsidRPr="00F853DD">
        <w:rPr>
          <w:rFonts w:ascii="Times" w:hAnsi="Times" w:cs="Times New Roman"/>
          <w:sz w:val="23"/>
          <w:szCs w:val="23"/>
        </w:rPr>
        <w:t xml:space="preserve"> (2006). Family support for older people in an era of demographic change and policy constraints. </w:t>
      </w:r>
      <w:r w:rsidRPr="00F853DD">
        <w:rPr>
          <w:rFonts w:ascii="Times" w:hAnsi="Times" w:cs="Times New Roman"/>
          <w:i/>
          <w:sz w:val="23"/>
          <w:szCs w:val="23"/>
        </w:rPr>
        <w:t>Ageing and Society</w:t>
      </w:r>
      <w:r w:rsidR="00256EF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26</w:t>
      </w:r>
      <w:r w:rsidRPr="00F853DD">
        <w:rPr>
          <w:rFonts w:ascii="Times" w:hAnsi="Times" w:cs="Times New Roman"/>
          <w:sz w:val="23"/>
          <w:szCs w:val="23"/>
        </w:rPr>
        <w:t>, 693-706.</w:t>
      </w:r>
    </w:p>
    <w:p w14:paraId="2D20D0BA" w14:textId="41A6C93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Wolff, J. and Kasper, J.</w:t>
      </w:r>
      <w:r w:rsidR="00256EFA" w:rsidRPr="00F853DD">
        <w:rPr>
          <w:rFonts w:ascii="Times" w:hAnsi="Times" w:cs="Times New Roman"/>
          <w:sz w:val="23"/>
          <w:szCs w:val="23"/>
        </w:rPr>
        <w:t>,</w:t>
      </w:r>
      <w:r w:rsidRPr="00F853DD">
        <w:rPr>
          <w:rFonts w:ascii="Times" w:hAnsi="Times" w:cs="Times New Roman"/>
          <w:sz w:val="23"/>
          <w:szCs w:val="23"/>
        </w:rPr>
        <w:t xml:space="preserve"> (2006). Caregivers of frail elders: Updating a national profile. </w:t>
      </w:r>
      <w:r w:rsidRPr="00F853DD">
        <w:rPr>
          <w:rFonts w:ascii="Times" w:hAnsi="Times" w:cs="Times New Roman"/>
          <w:i/>
          <w:sz w:val="23"/>
          <w:szCs w:val="23"/>
        </w:rPr>
        <w:t>The Gerontologist</w:t>
      </w:r>
      <w:r w:rsidR="00256EF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46</w:t>
      </w:r>
      <w:r w:rsidRPr="00F853DD">
        <w:rPr>
          <w:rFonts w:ascii="Times" w:hAnsi="Times" w:cs="Times New Roman"/>
          <w:sz w:val="23"/>
          <w:szCs w:val="23"/>
        </w:rPr>
        <w:t>(3), 344-356.</w:t>
      </w:r>
    </w:p>
    <w:p w14:paraId="5EF43840" w14:textId="2762E342"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Wolff, J., Dy, S., Frick, K. and Kasper, J.</w:t>
      </w:r>
      <w:r w:rsidR="00256EFA" w:rsidRPr="00F853DD">
        <w:rPr>
          <w:rFonts w:ascii="Times" w:hAnsi="Times" w:cs="Times New Roman"/>
          <w:sz w:val="23"/>
          <w:szCs w:val="23"/>
        </w:rPr>
        <w:t>, (2007). End of life care: f</w:t>
      </w:r>
      <w:r w:rsidRPr="00F853DD">
        <w:rPr>
          <w:rFonts w:ascii="Times" w:hAnsi="Times" w:cs="Times New Roman"/>
          <w:sz w:val="23"/>
          <w:szCs w:val="23"/>
        </w:rPr>
        <w:t xml:space="preserve">indings from a national survey of informal caregivers. </w:t>
      </w:r>
      <w:r w:rsidRPr="00F853DD">
        <w:rPr>
          <w:rFonts w:ascii="Times" w:hAnsi="Times" w:cs="Times New Roman"/>
          <w:i/>
          <w:sz w:val="23"/>
          <w:szCs w:val="23"/>
        </w:rPr>
        <w:t>Archives of Internal Medicine</w:t>
      </w:r>
      <w:r w:rsidR="00256EF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167</w:t>
      </w:r>
      <w:r w:rsidRPr="00F853DD">
        <w:rPr>
          <w:rFonts w:ascii="Times" w:hAnsi="Times" w:cs="Times New Roman"/>
          <w:sz w:val="23"/>
          <w:szCs w:val="23"/>
        </w:rPr>
        <w:t>, 40-46.</w:t>
      </w:r>
    </w:p>
    <w:p w14:paraId="5A1ED06E" w14:textId="1D05DB1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Wong, J., Fong, D., Choi, A., Chan, C., Tiwari, A., Chan, K., Lai, V., Logan, T. and Bartone, P.</w:t>
      </w:r>
      <w:r w:rsidR="00256EFA" w:rsidRPr="00F853DD">
        <w:rPr>
          <w:rFonts w:ascii="Times" w:hAnsi="Times" w:cs="Times New Roman"/>
          <w:sz w:val="23"/>
          <w:szCs w:val="23"/>
        </w:rPr>
        <w:t>,</w:t>
      </w:r>
      <w:r w:rsidRPr="00F853DD">
        <w:rPr>
          <w:rFonts w:ascii="Times" w:hAnsi="Times" w:cs="Times New Roman"/>
          <w:sz w:val="23"/>
          <w:szCs w:val="23"/>
        </w:rPr>
        <w:t xml:space="preserve"> (2014). Transcultural and psychometric validation of the dispositional resilience scale (DRS-15) in Chinese adult women. </w:t>
      </w:r>
      <w:r w:rsidRPr="00F853DD">
        <w:rPr>
          <w:rFonts w:ascii="Times" w:hAnsi="Times" w:cs="Times New Roman"/>
          <w:i/>
          <w:sz w:val="23"/>
          <w:szCs w:val="23"/>
        </w:rPr>
        <w:t>Quality of Life Research</w:t>
      </w:r>
      <w:r w:rsidR="00256EF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2489-2494.</w:t>
      </w:r>
    </w:p>
    <w:p w14:paraId="6B2EFC5A" w14:textId="6547EF2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Wong, P. and Wong, L.</w:t>
      </w:r>
      <w:r w:rsidR="00256EFA" w:rsidRPr="00F853DD">
        <w:rPr>
          <w:rFonts w:ascii="Times" w:hAnsi="Times" w:cs="Times New Roman"/>
          <w:sz w:val="23"/>
          <w:szCs w:val="23"/>
        </w:rPr>
        <w:t>,</w:t>
      </w:r>
      <w:r w:rsidRPr="00F853DD">
        <w:rPr>
          <w:rFonts w:ascii="Times" w:hAnsi="Times" w:cs="Times New Roman"/>
          <w:sz w:val="23"/>
          <w:szCs w:val="23"/>
        </w:rPr>
        <w:t xml:space="preserve"> (2006). Handbook of multicultural perspectives on stress and coping. In: Wong, P. and Wong, L. (eds.). Springer.</w:t>
      </w:r>
    </w:p>
    <w:p w14:paraId="0493F439" w14:textId="13AF2C06"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Wong, J., Poon, Y. and Hui, E.</w:t>
      </w:r>
      <w:r w:rsidR="00256EFA" w:rsidRPr="00F853DD">
        <w:rPr>
          <w:rFonts w:ascii="Times" w:hAnsi="Times" w:cs="Times New Roman"/>
          <w:sz w:val="23"/>
          <w:szCs w:val="23"/>
        </w:rPr>
        <w:t>,</w:t>
      </w:r>
      <w:r w:rsidRPr="00F853DD">
        <w:rPr>
          <w:rFonts w:ascii="Times" w:hAnsi="Times" w:cs="Times New Roman"/>
          <w:sz w:val="23"/>
          <w:szCs w:val="23"/>
        </w:rPr>
        <w:t xml:space="preserve"> (2005). I can put the medicine in his soup, Doctor!. </w:t>
      </w:r>
      <w:r w:rsidRPr="00F853DD">
        <w:rPr>
          <w:rFonts w:ascii="Times" w:hAnsi="Times" w:cs="Times New Roman"/>
          <w:i/>
          <w:sz w:val="23"/>
          <w:szCs w:val="23"/>
        </w:rPr>
        <w:t>Journal of medical ethics</w:t>
      </w:r>
      <w:r w:rsidRPr="00F853DD">
        <w:rPr>
          <w:rFonts w:ascii="Times" w:hAnsi="Times" w:cs="Times New Roman"/>
          <w:sz w:val="23"/>
          <w:szCs w:val="23"/>
        </w:rPr>
        <w:t xml:space="preserve">, </w:t>
      </w:r>
      <w:r w:rsidRPr="00F853DD">
        <w:rPr>
          <w:rFonts w:ascii="Times" w:hAnsi="Times" w:cs="Times New Roman"/>
          <w:b/>
          <w:sz w:val="23"/>
          <w:szCs w:val="23"/>
        </w:rPr>
        <w:t>31</w:t>
      </w:r>
      <w:r w:rsidRPr="00F853DD">
        <w:rPr>
          <w:rFonts w:ascii="Times" w:hAnsi="Times" w:cs="Times New Roman"/>
          <w:sz w:val="23"/>
          <w:szCs w:val="23"/>
        </w:rPr>
        <w:t>(5), 262-265.</w:t>
      </w:r>
    </w:p>
    <w:p w14:paraId="3B0CD4FF" w14:textId="04FA9D5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Wongsawang, N., Lagampan, S., Lapvongwattana, P. and Bowers, B.</w:t>
      </w:r>
      <w:r w:rsidR="00256EFA" w:rsidRPr="00F853DD">
        <w:rPr>
          <w:rFonts w:ascii="Times" w:hAnsi="Times" w:cs="Times New Roman"/>
          <w:sz w:val="23"/>
          <w:szCs w:val="23"/>
        </w:rPr>
        <w:t>,</w:t>
      </w:r>
      <w:r w:rsidRPr="00F853DD">
        <w:rPr>
          <w:rFonts w:ascii="Times" w:hAnsi="Times" w:cs="Times New Roman"/>
          <w:sz w:val="23"/>
          <w:szCs w:val="23"/>
        </w:rPr>
        <w:t xml:space="preserve"> (2013). Family caregiving for dependent older adults in Thai families. </w:t>
      </w:r>
      <w:r w:rsidRPr="00F853DD">
        <w:rPr>
          <w:rFonts w:ascii="Times" w:hAnsi="Times" w:cs="Times New Roman"/>
          <w:i/>
          <w:sz w:val="23"/>
          <w:szCs w:val="23"/>
        </w:rPr>
        <w:t>Journal of Nursing Scholarship</w:t>
      </w:r>
      <w:r w:rsidR="00256EFA"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45</w:t>
      </w:r>
      <w:r w:rsidRPr="00F853DD">
        <w:rPr>
          <w:rFonts w:ascii="Times" w:hAnsi="Times" w:cs="Times New Roman"/>
          <w:sz w:val="23"/>
          <w:szCs w:val="23"/>
        </w:rPr>
        <w:t>, 336-343.</w:t>
      </w:r>
    </w:p>
    <w:p w14:paraId="76540D81" w14:textId="13A373BC"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Worcester, R. and Gill, M.</w:t>
      </w:r>
      <w:r w:rsidR="00256EFA" w:rsidRPr="00F853DD">
        <w:rPr>
          <w:rFonts w:ascii="Times" w:hAnsi="Times" w:cs="Times New Roman"/>
          <w:sz w:val="23"/>
          <w:szCs w:val="23"/>
        </w:rPr>
        <w:t>,</w:t>
      </w:r>
      <w:r w:rsidRPr="00F853DD">
        <w:rPr>
          <w:rFonts w:ascii="Times" w:hAnsi="Times" w:cs="Times New Roman"/>
          <w:sz w:val="23"/>
          <w:szCs w:val="23"/>
        </w:rPr>
        <w:t xml:space="preserve"> (2016). </w:t>
      </w:r>
      <w:r w:rsidRPr="00F853DD">
        <w:rPr>
          <w:rFonts w:ascii="Times" w:hAnsi="Times" w:cs="Times New Roman"/>
          <w:i/>
          <w:sz w:val="23"/>
          <w:szCs w:val="23"/>
        </w:rPr>
        <w:t>World Values Survey</w:t>
      </w:r>
      <w:r w:rsidRPr="00F853DD">
        <w:rPr>
          <w:rFonts w:ascii="Times" w:hAnsi="Times" w:cs="Times New Roman"/>
          <w:sz w:val="23"/>
          <w:szCs w:val="23"/>
        </w:rPr>
        <w:t> (2010-2014) - Trinidad and Tobago 2010.</w:t>
      </w:r>
    </w:p>
    <w:p w14:paraId="11970A06" w14:textId="1D727293"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World Bank</w:t>
      </w:r>
      <w:r w:rsidR="00256EFA" w:rsidRPr="00F853DD">
        <w:rPr>
          <w:rFonts w:ascii="Times" w:hAnsi="Times" w:cs="Times New Roman"/>
          <w:sz w:val="23"/>
          <w:szCs w:val="23"/>
        </w:rPr>
        <w:t>,</w:t>
      </w:r>
      <w:r w:rsidRPr="00F853DD">
        <w:rPr>
          <w:rFonts w:ascii="Times" w:hAnsi="Times" w:cs="Times New Roman"/>
          <w:sz w:val="23"/>
          <w:szCs w:val="23"/>
        </w:rPr>
        <w:t xml:space="preserve"> (1995). Trinidad and Tobago. Poverty and unemployment in an oil based economy. In: </w:t>
      </w:r>
      <w:r w:rsidRPr="00F853DD">
        <w:rPr>
          <w:rFonts w:ascii="Times" w:hAnsi="Times" w:cs="Times New Roman"/>
          <w:i/>
          <w:sz w:val="23"/>
          <w:szCs w:val="23"/>
        </w:rPr>
        <w:t>Caribbean, C. D. I. C. O. I. L. A. A. T.</w:t>
      </w:r>
      <w:r w:rsidRPr="00F853DD">
        <w:rPr>
          <w:rFonts w:ascii="Times" w:hAnsi="Times" w:cs="Times New Roman"/>
          <w:sz w:val="23"/>
          <w:szCs w:val="23"/>
        </w:rPr>
        <w:t xml:space="preserve"> (ed.). World Bank.</w:t>
      </w:r>
    </w:p>
    <w:p w14:paraId="6A683AE7" w14:textId="4AA2456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World Bank</w:t>
      </w:r>
      <w:r w:rsidR="00256EFA" w:rsidRPr="00F853DD">
        <w:rPr>
          <w:rFonts w:ascii="Times" w:hAnsi="Times" w:cs="Times New Roman"/>
          <w:sz w:val="23"/>
          <w:szCs w:val="23"/>
        </w:rPr>
        <w:t>,</w:t>
      </w:r>
      <w:r w:rsidRPr="00F853DD">
        <w:rPr>
          <w:rFonts w:ascii="Times" w:hAnsi="Times" w:cs="Times New Roman"/>
          <w:sz w:val="23"/>
          <w:szCs w:val="23"/>
        </w:rPr>
        <w:t xml:space="preserve"> (2008). </w:t>
      </w:r>
      <w:r w:rsidRPr="00F853DD">
        <w:rPr>
          <w:rFonts w:ascii="Times" w:hAnsi="Times" w:cs="Times New Roman"/>
          <w:i/>
          <w:sz w:val="23"/>
          <w:szCs w:val="23"/>
        </w:rPr>
        <w:t>The World Bank Pension Conceptual Framework</w:t>
      </w:r>
      <w:r w:rsidRPr="00F853DD">
        <w:rPr>
          <w:rFonts w:ascii="Times" w:hAnsi="Times" w:cs="Times New Roman"/>
          <w:sz w:val="23"/>
          <w:szCs w:val="23"/>
        </w:rPr>
        <w:t>.</w:t>
      </w:r>
    </w:p>
    <w:p w14:paraId="3BA8AEFF" w14:textId="37BF581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World Bank</w:t>
      </w:r>
      <w:r w:rsidR="00256EFA" w:rsidRPr="00F853DD">
        <w:rPr>
          <w:rFonts w:ascii="Times" w:hAnsi="Times" w:cs="Times New Roman"/>
          <w:sz w:val="23"/>
          <w:szCs w:val="23"/>
        </w:rPr>
        <w:t>,</w:t>
      </w:r>
      <w:r w:rsidRPr="00F853DD">
        <w:rPr>
          <w:rFonts w:ascii="Times" w:hAnsi="Times" w:cs="Times New Roman"/>
          <w:sz w:val="23"/>
          <w:szCs w:val="23"/>
        </w:rPr>
        <w:t xml:space="preserve"> (2014). </w:t>
      </w:r>
      <w:r w:rsidRPr="00F853DD">
        <w:rPr>
          <w:rFonts w:ascii="Times" w:hAnsi="Times" w:cs="Times New Roman"/>
          <w:i/>
          <w:sz w:val="23"/>
          <w:szCs w:val="23"/>
        </w:rPr>
        <w:t>The State of Social Safety Nets</w:t>
      </w:r>
      <w:r w:rsidRPr="00F853DD">
        <w:rPr>
          <w:rFonts w:ascii="Times" w:hAnsi="Times" w:cs="Times New Roman"/>
          <w:sz w:val="23"/>
          <w:szCs w:val="23"/>
        </w:rPr>
        <w:t>.</w:t>
      </w:r>
    </w:p>
    <w:p w14:paraId="514E48DF" w14:textId="4E4E953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World Bank</w:t>
      </w:r>
      <w:r w:rsidR="00256EFA" w:rsidRPr="00F853DD">
        <w:rPr>
          <w:rFonts w:ascii="Times" w:hAnsi="Times" w:cs="Times New Roman"/>
          <w:sz w:val="23"/>
          <w:szCs w:val="23"/>
        </w:rPr>
        <w:t>,</w:t>
      </w:r>
      <w:r w:rsidRPr="00F853DD">
        <w:rPr>
          <w:rFonts w:ascii="Times" w:hAnsi="Times" w:cs="Times New Roman"/>
          <w:sz w:val="23"/>
          <w:szCs w:val="23"/>
        </w:rPr>
        <w:t xml:space="preserve"> (2017)a. </w:t>
      </w:r>
      <w:r w:rsidRPr="00F853DD">
        <w:rPr>
          <w:rFonts w:ascii="Times" w:hAnsi="Times" w:cs="Times New Roman"/>
          <w:i/>
          <w:sz w:val="23"/>
          <w:szCs w:val="23"/>
        </w:rPr>
        <w:t>Metadata - Land Area</w:t>
      </w:r>
      <w:r w:rsidRPr="00F853DD">
        <w:rPr>
          <w:rFonts w:ascii="Times" w:hAnsi="Times" w:cs="Times New Roman"/>
          <w:sz w:val="23"/>
          <w:szCs w:val="23"/>
        </w:rPr>
        <w:t xml:space="preserve"> (Definition).</w:t>
      </w:r>
    </w:p>
    <w:p w14:paraId="434E83DB" w14:textId="5DB20C41" w:rsidR="00DF05BD" w:rsidRPr="00F853DD" w:rsidRDefault="00256EFA"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World Bank,</w:t>
      </w:r>
      <w:r w:rsidR="00DF05BD" w:rsidRPr="00F853DD">
        <w:rPr>
          <w:rFonts w:ascii="Times" w:hAnsi="Times" w:cs="Times New Roman"/>
          <w:sz w:val="23"/>
          <w:szCs w:val="23"/>
        </w:rPr>
        <w:t xml:space="preserve"> (2017)b. </w:t>
      </w:r>
      <w:r w:rsidR="00DF05BD" w:rsidRPr="00F853DD">
        <w:rPr>
          <w:rFonts w:ascii="Times" w:hAnsi="Times" w:cs="Times New Roman"/>
          <w:i/>
          <w:sz w:val="23"/>
          <w:szCs w:val="23"/>
        </w:rPr>
        <w:t>World Bank Open Data</w:t>
      </w:r>
      <w:r w:rsidR="00DF05BD" w:rsidRPr="00F853DD">
        <w:rPr>
          <w:rFonts w:ascii="Times" w:hAnsi="Times" w:cs="Times New Roman"/>
          <w:sz w:val="23"/>
          <w:szCs w:val="23"/>
        </w:rPr>
        <w:t xml:space="preserve"> [online]. Available from: http://data.worldbank.org/ </w:t>
      </w:r>
    </w:p>
    <w:p w14:paraId="3625312A" w14:textId="3EB6350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World Health Organization</w:t>
      </w:r>
      <w:r w:rsidR="00256EFA" w:rsidRPr="00F853DD">
        <w:rPr>
          <w:rFonts w:ascii="Times" w:hAnsi="Times" w:cs="Times New Roman"/>
          <w:sz w:val="23"/>
          <w:szCs w:val="23"/>
        </w:rPr>
        <w:t>,</w:t>
      </w:r>
      <w:r w:rsidRPr="00F853DD">
        <w:rPr>
          <w:rFonts w:ascii="Times" w:hAnsi="Times" w:cs="Times New Roman"/>
          <w:sz w:val="23"/>
          <w:szCs w:val="23"/>
        </w:rPr>
        <w:t xml:space="preserve"> (2015). </w:t>
      </w:r>
      <w:r w:rsidRPr="00F853DD">
        <w:rPr>
          <w:rFonts w:ascii="Times" w:hAnsi="Times" w:cs="Times New Roman"/>
          <w:i/>
          <w:sz w:val="23"/>
          <w:szCs w:val="23"/>
        </w:rPr>
        <w:t>The growing need for home health care for the elderly: home health care for the elderly as an integral part of primary health care services</w:t>
      </w:r>
      <w:r w:rsidRPr="00F853DD">
        <w:rPr>
          <w:rFonts w:ascii="Times" w:hAnsi="Times" w:cs="Times New Roman"/>
          <w:sz w:val="23"/>
          <w:szCs w:val="23"/>
        </w:rPr>
        <w:t>. [Viewed 26 November 2019]. Available from: http://applications.emro.who.int/dsaf/EMROPUB_2015_EN_1901.pdf?ua=1.World Life Expectancy. (2017). </w:t>
      </w:r>
      <w:r w:rsidR="00256EFA" w:rsidRPr="00F853DD">
        <w:rPr>
          <w:rFonts w:ascii="Times" w:hAnsi="Times" w:cs="Times New Roman"/>
          <w:i/>
          <w:sz w:val="23"/>
          <w:szCs w:val="23"/>
        </w:rPr>
        <w:t>Health Profile Trinidad and Tobago</w:t>
      </w:r>
      <w:r w:rsidRPr="00F853DD">
        <w:rPr>
          <w:rFonts w:ascii="Times" w:hAnsi="Times" w:cs="Times New Roman"/>
          <w:i/>
          <w:sz w:val="23"/>
          <w:szCs w:val="23"/>
        </w:rPr>
        <w:t xml:space="preserve"> </w:t>
      </w:r>
      <w:r w:rsidRPr="00F853DD">
        <w:rPr>
          <w:rFonts w:ascii="Times" w:hAnsi="Times" w:cs="Times New Roman"/>
          <w:sz w:val="23"/>
          <w:szCs w:val="23"/>
        </w:rPr>
        <w:t xml:space="preserve">[online]. Available from: </w:t>
      </w:r>
      <w:hyperlink r:id="rId116" w:history="1">
        <w:r w:rsidRPr="00F853DD">
          <w:rPr>
            <w:rFonts w:ascii="Times" w:hAnsi="Times" w:cs="Times New Roman"/>
            <w:sz w:val="23"/>
            <w:szCs w:val="23"/>
          </w:rPr>
          <w:t>https://www.worldlifeexpectancy.com/country-health-profile/trinidad-tobago</w:t>
        </w:r>
      </w:hyperlink>
      <w:r w:rsidRPr="00F853DD">
        <w:rPr>
          <w:rFonts w:ascii="Times" w:hAnsi="Times" w:cs="Times New Roman"/>
          <w:sz w:val="23"/>
          <w:szCs w:val="23"/>
        </w:rPr>
        <w:t xml:space="preserve">. </w:t>
      </w:r>
    </w:p>
    <w:p w14:paraId="4BDBF279" w14:textId="0F7C3BEF" w:rsidR="00DF05BD" w:rsidRPr="00F853DD" w:rsidRDefault="00DF05BD" w:rsidP="00D30065">
      <w:pPr>
        <w:tabs>
          <w:tab w:val="left" w:pos="6231"/>
        </w:tabs>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Worldometers</w:t>
      </w:r>
      <w:r w:rsidR="00256EFA" w:rsidRPr="00F853DD">
        <w:rPr>
          <w:rFonts w:ascii="Times" w:hAnsi="Times" w:cs="Times New Roman"/>
          <w:sz w:val="23"/>
          <w:szCs w:val="23"/>
        </w:rPr>
        <w:t>,</w:t>
      </w:r>
      <w:r w:rsidR="00746488" w:rsidRPr="00F853DD">
        <w:rPr>
          <w:rFonts w:ascii="Times" w:hAnsi="Times" w:cs="Times New Roman"/>
          <w:sz w:val="23"/>
          <w:szCs w:val="23"/>
        </w:rPr>
        <w:t xml:space="preserve"> (2017). Trinidad and Tobago p</w:t>
      </w:r>
      <w:r w:rsidRPr="00F853DD">
        <w:rPr>
          <w:rFonts w:ascii="Times" w:hAnsi="Times" w:cs="Times New Roman"/>
          <w:sz w:val="23"/>
          <w:szCs w:val="23"/>
        </w:rPr>
        <w:t>opulation (Live).</w:t>
      </w:r>
      <w:r w:rsidR="00D30065" w:rsidRPr="00F853DD">
        <w:rPr>
          <w:rFonts w:ascii="Times" w:hAnsi="Times" w:cs="Times New Roman"/>
          <w:sz w:val="23"/>
          <w:szCs w:val="23"/>
        </w:rPr>
        <w:t xml:space="preserve"> Available at: https://www.worldometers.info/world-population/trinidad-and-tobago-population/</w:t>
      </w:r>
    </w:p>
    <w:p w14:paraId="4FF1DA1B" w14:textId="5591352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Wray, S.</w:t>
      </w:r>
      <w:r w:rsidR="00256EFA" w:rsidRPr="00F853DD">
        <w:rPr>
          <w:rFonts w:ascii="Times" w:hAnsi="Times" w:cs="Times New Roman"/>
          <w:sz w:val="23"/>
          <w:szCs w:val="23"/>
        </w:rPr>
        <w:t>,</w:t>
      </w:r>
      <w:r w:rsidRPr="00F853DD">
        <w:rPr>
          <w:rFonts w:ascii="Times" w:hAnsi="Times" w:cs="Times New Roman"/>
          <w:sz w:val="23"/>
          <w:szCs w:val="23"/>
        </w:rPr>
        <w:t xml:space="preserve"> (2003). Connecting ethnicity, agency and ageing. </w:t>
      </w:r>
      <w:r w:rsidRPr="00F853DD">
        <w:rPr>
          <w:rFonts w:ascii="Times" w:hAnsi="Times" w:cs="Times New Roman"/>
          <w:i/>
          <w:sz w:val="23"/>
          <w:szCs w:val="23"/>
        </w:rPr>
        <w:t>Sociological Research Online</w:t>
      </w:r>
      <w:r w:rsidRPr="00F853DD">
        <w:rPr>
          <w:rFonts w:ascii="Times" w:hAnsi="Times" w:cs="Times New Roman"/>
          <w:sz w:val="23"/>
          <w:szCs w:val="23"/>
        </w:rPr>
        <w:t xml:space="preserve">, </w:t>
      </w:r>
      <w:r w:rsidRPr="00F853DD">
        <w:rPr>
          <w:rFonts w:ascii="Times" w:hAnsi="Times" w:cs="Times New Roman"/>
          <w:b/>
          <w:sz w:val="23"/>
          <w:szCs w:val="23"/>
        </w:rPr>
        <w:t>8</w:t>
      </w:r>
      <w:r w:rsidRPr="00F853DD">
        <w:rPr>
          <w:rFonts w:ascii="Times" w:hAnsi="Times" w:cs="Times New Roman"/>
          <w:sz w:val="23"/>
          <w:szCs w:val="23"/>
        </w:rPr>
        <w:t>, 15.</w:t>
      </w:r>
    </w:p>
    <w:p w14:paraId="0C4928F6" w14:textId="0CAB52F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Wreder, M.</w:t>
      </w:r>
      <w:r w:rsidR="00256EFA" w:rsidRPr="00F853DD">
        <w:rPr>
          <w:rFonts w:ascii="Times" w:hAnsi="Times" w:cs="Times New Roman"/>
          <w:sz w:val="23"/>
          <w:szCs w:val="23"/>
        </w:rPr>
        <w:t>,</w:t>
      </w:r>
      <w:r w:rsidRPr="00F853DD">
        <w:rPr>
          <w:rFonts w:ascii="Times" w:hAnsi="Times" w:cs="Times New Roman"/>
          <w:sz w:val="23"/>
          <w:szCs w:val="23"/>
        </w:rPr>
        <w:t xml:space="preserve"> (2008). Time to talk? Reflections on 'home', 'family', and talking in Swedish elder care. </w:t>
      </w:r>
      <w:r w:rsidRPr="00F853DD">
        <w:rPr>
          <w:rFonts w:ascii="Times" w:hAnsi="Times" w:cs="Times New Roman"/>
          <w:i/>
          <w:sz w:val="23"/>
          <w:szCs w:val="23"/>
        </w:rPr>
        <w:t>Journal of Aging Studies</w:t>
      </w:r>
      <w:r w:rsidR="0074648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Pr="00F853DD">
        <w:rPr>
          <w:rFonts w:ascii="Times" w:hAnsi="Times" w:cs="Times New Roman"/>
          <w:sz w:val="23"/>
          <w:szCs w:val="23"/>
        </w:rPr>
        <w:t>, 239-247.</w:t>
      </w:r>
    </w:p>
    <w:p w14:paraId="6DB50F1A" w14:textId="137E4AB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Wright, M., Masten, A. and Narayan, A.</w:t>
      </w:r>
      <w:r w:rsidR="00256EFA" w:rsidRPr="00F853DD">
        <w:rPr>
          <w:rFonts w:ascii="Times" w:hAnsi="Times" w:cs="Times New Roman"/>
          <w:sz w:val="23"/>
          <w:szCs w:val="23"/>
        </w:rPr>
        <w:t>,</w:t>
      </w:r>
      <w:r w:rsidRPr="00F853DD">
        <w:rPr>
          <w:rFonts w:ascii="Times" w:hAnsi="Times" w:cs="Times New Roman"/>
          <w:sz w:val="23"/>
          <w:szCs w:val="23"/>
        </w:rPr>
        <w:t xml:space="preserve"> (2013). Resilience processes in development: four waves of research on positive adaptation in the context of adversity. In: Goldstein, S. and Brooks, R. B. (eds.) </w:t>
      </w:r>
      <w:r w:rsidRPr="00F853DD">
        <w:rPr>
          <w:rFonts w:ascii="Times" w:hAnsi="Times" w:cs="Times New Roman"/>
          <w:i/>
          <w:sz w:val="23"/>
          <w:szCs w:val="23"/>
        </w:rPr>
        <w:t>Handbook of Resilience in Children</w:t>
      </w:r>
      <w:r w:rsidR="00746488" w:rsidRPr="00F853DD">
        <w:rPr>
          <w:rFonts w:ascii="Times" w:hAnsi="Times" w:cs="Times New Roman"/>
          <w:sz w:val="23"/>
          <w:szCs w:val="23"/>
        </w:rPr>
        <w:t>.</w:t>
      </w:r>
      <w:r w:rsidRPr="00F853DD">
        <w:rPr>
          <w:rFonts w:ascii="Times" w:hAnsi="Times" w:cs="Times New Roman"/>
          <w:sz w:val="23"/>
          <w:szCs w:val="23"/>
        </w:rPr>
        <w:t xml:space="preserve"> Second Edition. New York: Springer.</w:t>
      </w:r>
    </w:p>
    <w:p w14:paraId="561138F4" w14:textId="3FFAB87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Wuest, J., Hodgins, M., Malcolm, J., Merritt-Gray, M. and Seaman, P.</w:t>
      </w:r>
      <w:r w:rsidR="00746488" w:rsidRPr="00F853DD">
        <w:rPr>
          <w:rFonts w:ascii="Times" w:hAnsi="Times" w:cs="Times New Roman"/>
          <w:sz w:val="23"/>
          <w:szCs w:val="23"/>
        </w:rPr>
        <w:t>,</w:t>
      </w:r>
      <w:r w:rsidRPr="00F853DD">
        <w:rPr>
          <w:rFonts w:ascii="Times" w:hAnsi="Times" w:cs="Times New Roman"/>
          <w:sz w:val="23"/>
          <w:szCs w:val="23"/>
        </w:rPr>
        <w:t xml:space="preserve"> (2007). The effects of past relationship and obligation on health and health promotion in women Caregivers of adult family members. </w:t>
      </w:r>
      <w:r w:rsidRPr="00F853DD">
        <w:rPr>
          <w:rFonts w:ascii="Times" w:hAnsi="Times" w:cs="Times New Roman"/>
          <w:i/>
          <w:sz w:val="23"/>
          <w:szCs w:val="23"/>
        </w:rPr>
        <w:t>Advances in Nursing Science</w:t>
      </w:r>
      <w:r w:rsidR="0074648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30</w:t>
      </w:r>
      <w:r w:rsidRPr="00F853DD">
        <w:rPr>
          <w:rFonts w:ascii="Times" w:hAnsi="Times" w:cs="Times New Roman"/>
          <w:sz w:val="23"/>
          <w:szCs w:val="23"/>
        </w:rPr>
        <w:t>, 206-220.</w:t>
      </w:r>
    </w:p>
    <w:p w14:paraId="6DC2C0AE" w14:textId="75D4BF0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lang w:val="en-TT"/>
        </w:rPr>
        <w:t>Yamada, M., Hagihara, A. and Nobutomo, K.</w:t>
      </w:r>
      <w:r w:rsidR="00746488" w:rsidRPr="00F853DD">
        <w:rPr>
          <w:rFonts w:ascii="Times" w:hAnsi="Times" w:cs="Times New Roman"/>
          <w:sz w:val="23"/>
          <w:szCs w:val="23"/>
          <w:lang w:val="en-TT"/>
        </w:rPr>
        <w:t>,</w:t>
      </w:r>
      <w:r w:rsidRPr="00F853DD">
        <w:rPr>
          <w:rFonts w:ascii="Times" w:hAnsi="Times" w:cs="Times New Roman"/>
          <w:sz w:val="23"/>
          <w:szCs w:val="23"/>
          <w:lang w:val="en-TT"/>
        </w:rPr>
        <w:t xml:space="preserve"> (2008). </w:t>
      </w:r>
      <w:r w:rsidRPr="00F853DD">
        <w:rPr>
          <w:rFonts w:ascii="Times" w:hAnsi="Times" w:cs="Times New Roman"/>
          <w:sz w:val="23"/>
          <w:szCs w:val="23"/>
        </w:rPr>
        <w:t xml:space="preserve">Coping strategies, care manager support and mental health outcome among Japanese family caregivers. </w:t>
      </w:r>
      <w:r w:rsidRPr="00F853DD">
        <w:rPr>
          <w:rFonts w:ascii="Times" w:hAnsi="Times" w:cs="Times New Roman"/>
          <w:i/>
          <w:sz w:val="23"/>
          <w:szCs w:val="23"/>
        </w:rPr>
        <w:t>Health and Social Care in the Community</w:t>
      </w:r>
      <w:r w:rsidR="0074648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16</w:t>
      </w:r>
      <w:r w:rsidRPr="00F853DD">
        <w:rPr>
          <w:rFonts w:ascii="Times" w:hAnsi="Times" w:cs="Times New Roman"/>
          <w:sz w:val="23"/>
          <w:szCs w:val="23"/>
        </w:rPr>
        <w:t>, 400-409.</w:t>
      </w:r>
    </w:p>
    <w:p w14:paraId="6366BD75" w14:textId="3131C59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Yamamoto, N. and Wallhagen, M.</w:t>
      </w:r>
      <w:r w:rsidR="00746488" w:rsidRPr="00F853DD">
        <w:rPr>
          <w:rFonts w:ascii="Times" w:hAnsi="Times" w:cs="Times New Roman"/>
          <w:sz w:val="23"/>
          <w:szCs w:val="23"/>
        </w:rPr>
        <w:t>,</w:t>
      </w:r>
      <w:r w:rsidRPr="00F853DD">
        <w:rPr>
          <w:rFonts w:ascii="Times" w:hAnsi="Times" w:cs="Times New Roman"/>
          <w:sz w:val="23"/>
          <w:szCs w:val="23"/>
        </w:rPr>
        <w:t xml:space="preserve"> (1997). The continuation of family caregiving in Japan. </w:t>
      </w:r>
      <w:r w:rsidRPr="00F853DD">
        <w:rPr>
          <w:rFonts w:ascii="Times" w:hAnsi="Times" w:cs="Times New Roman"/>
          <w:i/>
          <w:sz w:val="23"/>
          <w:szCs w:val="23"/>
        </w:rPr>
        <w:t>Journal of Health and Social Behavior</w:t>
      </w:r>
      <w:r w:rsidR="0074648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38</w:t>
      </w:r>
      <w:r w:rsidRPr="00F853DD">
        <w:rPr>
          <w:rFonts w:ascii="Times" w:hAnsi="Times" w:cs="Times New Roman"/>
          <w:sz w:val="23"/>
          <w:szCs w:val="23"/>
        </w:rPr>
        <w:t>, 164-176.</w:t>
      </w:r>
    </w:p>
    <w:p w14:paraId="777F2112" w14:textId="4790C2E8"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lastRenderedPageBreak/>
        <w:t>Yamashita, M.</w:t>
      </w:r>
      <w:r w:rsidR="00746488" w:rsidRPr="00F853DD">
        <w:rPr>
          <w:rFonts w:ascii="Times" w:hAnsi="Times" w:cs="Times New Roman"/>
          <w:sz w:val="23"/>
          <w:szCs w:val="23"/>
        </w:rPr>
        <w:t>,</w:t>
      </w:r>
      <w:r w:rsidRPr="00F853DD">
        <w:rPr>
          <w:rFonts w:ascii="Times" w:hAnsi="Times" w:cs="Times New Roman"/>
          <w:sz w:val="23"/>
          <w:szCs w:val="23"/>
        </w:rPr>
        <w:t xml:space="preserve"> (1997). Family caregiving: application of Newman's and Peplau's theories. </w:t>
      </w:r>
      <w:r w:rsidRPr="00F853DD">
        <w:rPr>
          <w:rFonts w:ascii="Times" w:hAnsi="Times" w:cs="Times New Roman"/>
          <w:i/>
          <w:sz w:val="23"/>
          <w:szCs w:val="23"/>
        </w:rPr>
        <w:t>Journal of Psychiatric and Mental Health Nursing</w:t>
      </w:r>
      <w:r w:rsidR="00746488"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4</w:t>
      </w:r>
      <w:r w:rsidRPr="00F853DD">
        <w:rPr>
          <w:rFonts w:ascii="Times" w:hAnsi="Times" w:cs="Times New Roman"/>
          <w:sz w:val="23"/>
          <w:szCs w:val="23"/>
        </w:rPr>
        <w:t>, 401-</w:t>
      </w:r>
      <w:r w:rsidR="00746488" w:rsidRPr="00F853DD">
        <w:rPr>
          <w:rFonts w:ascii="Times" w:hAnsi="Times" w:cs="Times New Roman"/>
          <w:sz w:val="23"/>
          <w:szCs w:val="23"/>
        </w:rPr>
        <w:t>40</w:t>
      </w:r>
      <w:r w:rsidRPr="00F853DD">
        <w:rPr>
          <w:rFonts w:ascii="Times" w:hAnsi="Times" w:cs="Times New Roman"/>
          <w:sz w:val="23"/>
          <w:szCs w:val="23"/>
        </w:rPr>
        <w:t>5.</w:t>
      </w:r>
    </w:p>
    <w:p w14:paraId="63249B22" w14:textId="04D00F1A"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Yan, Y.</w:t>
      </w:r>
      <w:r w:rsidR="00A41B3E" w:rsidRPr="00F853DD">
        <w:rPr>
          <w:rFonts w:ascii="Times" w:hAnsi="Times" w:cs="Times New Roman"/>
          <w:sz w:val="23"/>
          <w:szCs w:val="23"/>
        </w:rPr>
        <w:t>,</w:t>
      </w:r>
      <w:r w:rsidRPr="00F853DD">
        <w:rPr>
          <w:rFonts w:ascii="Times" w:hAnsi="Times" w:cs="Times New Roman"/>
          <w:sz w:val="23"/>
          <w:szCs w:val="23"/>
        </w:rPr>
        <w:t xml:space="preserve"> (2016). Intergenerational intimacy and descending familism in rural north China. </w:t>
      </w:r>
      <w:r w:rsidRPr="00F853DD">
        <w:rPr>
          <w:rFonts w:ascii="Times" w:hAnsi="Times" w:cs="Times New Roman"/>
          <w:i/>
          <w:sz w:val="23"/>
          <w:szCs w:val="23"/>
        </w:rPr>
        <w:t>American Anthropologist</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118</w:t>
      </w:r>
      <w:r w:rsidRPr="00F853DD">
        <w:rPr>
          <w:rFonts w:ascii="Times" w:hAnsi="Times" w:cs="Times New Roman"/>
          <w:sz w:val="23"/>
          <w:szCs w:val="23"/>
        </w:rPr>
        <w:t>, 244-257.</w:t>
      </w:r>
    </w:p>
    <w:p w14:paraId="0E606143" w14:textId="0BF8454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Yang, F., Bao, J., Huang, X., Guo, Q. and Smith, G.</w:t>
      </w:r>
      <w:r w:rsidR="00A41B3E" w:rsidRPr="00F853DD">
        <w:rPr>
          <w:rFonts w:ascii="Times" w:hAnsi="Times" w:cs="Times New Roman"/>
          <w:sz w:val="23"/>
          <w:szCs w:val="23"/>
        </w:rPr>
        <w:t>,</w:t>
      </w:r>
      <w:r w:rsidRPr="00F853DD">
        <w:rPr>
          <w:rFonts w:ascii="Times" w:hAnsi="Times" w:cs="Times New Roman"/>
          <w:sz w:val="23"/>
          <w:szCs w:val="23"/>
        </w:rPr>
        <w:t xml:space="preserve"> (2015). Measurement of resilience in Chinese older people. </w:t>
      </w:r>
      <w:r w:rsidRPr="00F853DD">
        <w:rPr>
          <w:rFonts w:ascii="Times" w:hAnsi="Times" w:cs="Times New Roman"/>
          <w:i/>
          <w:sz w:val="23"/>
          <w:szCs w:val="23"/>
        </w:rPr>
        <w:t>International Nursing Review</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62</w:t>
      </w:r>
      <w:r w:rsidRPr="00F853DD">
        <w:rPr>
          <w:rFonts w:ascii="Times" w:hAnsi="Times" w:cs="Times New Roman"/>
          <w:sz w:val="23"/>
          <w:szCs w:val="23"/>
        </w:rPr>
        <w:t>, 130-139.</w:t>
      </w:r>
    </w:p>
    <w:p w14:paraId="22800F20" w14:textId="2EAFCCFB"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Yang, P.</w:t>
      </w:r>
      <w:r w:rsidR="00A41B3E" w:rsidRPr="00F853DD">
        <w:rPr>
          <w:rFonts w:ascii="Times" w:hAnsi="Times" w:cs="Times New Roman"/>
          <w:sz w:val="23"/>
          <w:szCs w:val="23"/>
        </w:rPr>
        <w:t>,</w:t>
      </w:r>
      <w:r w:rsidRPr="00F853DD">
        <w:rPr>
          <w:rFonts w:ascii="Times" w:hAnsi="Times" w:cs="Times New Roman"/>
          <w:sz w:val="23"/>
          <w:szCs w:val="23"/>
        </w:rPr>
        <w:t xml:space="preserve"> (2013). Surviving social supp</w:t>
      </w:r>
      <w:r w:rsidR="00A41B3E" w:rsidRPr="00F853DD">
        <w:rPr>
          <w:rFonts w:ascii="Times" w:hAnsi="Times" w:cs="Times New Roman"/>
          <w:sz w:val="23"/>
          <w:szCs w:val="23"/>
        </w:rPr>
        <w:t>ort: c</w:t>
      </w:r>
      <w:r w:rsidRPr="00F853DD">
        <w:rPr>
          <w:rFonts w:ascii="Times" w:hAnsi="Times" w:cs="Times New Roman"/>
          <w:sz w:val="23"/>
          <w:szCs w:val="23"/>
        </w:rPr>
        <w:t xml:space="preserve">are challenges facing Taiwanese centenarians. </w:t>
      </w:r>
      <w:r w:rsidRPr="00F853DD">
        <w:rPr>
          <w:rFonts w:ascii="Times" w:hAnsi="Times" w:cs="Times New Roman"/>
          <w:i/>
          <w:sz w:val="23"/>
          <w:szCs w:val="23"/>
        </w:rPr>
        <w:t>International Journal of Social Welfare</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22</w:t>
      </w:r>
      <w:r w:rsidRPr="00F853DD">
        <w:rPr>
          <w:rFonts w:ascii="Times" w:hAnsi="Times" w:cs="Times New Roman"/>
          <w:sz w:val="23"/>
          <w:szCs w:val="23"/>
        </w:rPr>
        <w:t>, 396-405.</w:t>
      </w:r>
    </w:p>
    <w:p w14:paraId="25D0F28D" w14:textId="1DA4F66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Yeh, P. and Bull, M.</w:t>
      </w:r>
      <w:r w:rsidR="00A41B3E" w:rsidRPr="00F853DD">
        <w:rPr>
          <w:rFonts w:ascii="Times" w:hAnsi="Times" w:cs="Times New Roman"/>
          <w:sz w:val="23"/>
          <w:szCs w:val="23"/>
        </w:rPr>
        <w:t>,</w:t>
      </w:r>
      <w:r w:rsidRPr="00F853DD">
        <w:rPr>
          <w:rFonts w:ascii="Times" w:hAnsi="Times" w:cs="Times New Roman"/>
          <w:sz w:val="23"/>
          <w:szCs w:val="23"/>
        </w:rPr>
        <w:t xml:space="preserve"> (2012). Use of the resiliency model of family stress, adjustment and adaptation in the analysis of family caregiver reaction among families of older people with congestive heart failure. </w:t>
      </w:r>
      <w:r w:rsidRPr="00F853DD">
        <w:rPr>
          <w:rFonts w:ascii="Times" w:hAnsi="Times" w:cs="Times New Roman"/>
          <w:i/>
          <w:sz w:val="23"/>
          <w:szCs w:val="23"/>
        </w:rPr>
        <w:t>International Journal of Older People Nursing</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7</w:t>
      </w:r>
      <w:r w:rsidRPr="00F853DD">
        <w:rPr>
          <w:rFonts w:ascii="Times" w:hAnsi="Times" w:cs="Times New Roman"/>
          <w:sz w:val="23"/>
          <w:szCs w:val="23"/>
        </w:rPr>
        <w:t>, 117-26.</w:t>
      </w:r>
    </w:p>
    <w:p w14:paraId="5BF5E057" w14:textId="2D70C5D1"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Yeh, P. and Chang, Y.</w:t>
      </w:r>
      <w:r w:rsidR="00A41B3E" w:rsidRPr="00F853DD">
        <w:rPr>
          <w:rFonts w:ascii="Times" w:hAnsi="Times" w:cs="Times New Roman"/>
          <w:sz w:val="23"/>
          <w:szCs w:val="23"/>
        </w:rPr>
        <w:t>,</w:t>
      </w:r>
      <w:r w:rsidRPr="00F853DD">
        <w:rPr>
          <w:rFonts w:ascii="Times" w:hAnsi="Times" w:cs="Times New Roman"/>
          <w:sz w:val="23"/>
          <w:szCs w:val="23"/>
        </w:rPr>
        <w:t xml:space="preserve"> (2012). Family carer reactions and their related factors among Taiwanese with hospitalized relatives. </w:t>
      </w:r>
      <w:r w:rsidRPr="00F853DD">
        <w:rPr>
          <w:rFonts w:ascii="Times" w:hAnsi="Times" w:cs="Times New Roman"/>
          <w:i/>
          <w:sz w:val="23"/>
          <w:szCs w:val="23"/>
        </w:rPr>
        <w:t>Journal of Advanced Nursing</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68</w:t>
      </w:r>
      <w:r w:rsidRPr="00F853DD">
        <w:rPr>
          <w:rFonts w:ascii="Times" w:hAnsi="Times" w:cs="Times New Roman"/>
          <w:sz w:val="23"/>
          <w:szCs w:val="23"/>
        </w:rPr>
        <w:t>, 2195-2206.</w:t>
      </w:r>
    </w:p>
    <w:p w14:paraId="02AC50A3" w14:textId="6EC7E896" w:rsidR="00DF05BD" w:rsidRPr="00F853DD" w:rsidRDefault="00DF05BD" w:rsidP="00E1694A">
      <w:pPr>
        <w:autoSpaceDE w:val="0"/>
        <w:autoSpaceDN w:val="0"/>
        <w:adjustRightInd w:val="0"/>
        <w:spacing w:line="240" w:lineRule="auto"/>
        <w:ind w:left="567" w:hanging="567"/>
        <w:rPr>
          <w:rFonts w:ascii="Times" w:hAnsi="Times"/>
          <w:sz w:val="23"/>
          <w:szCs w:val="23"/>
        </w:rPr>
      </w:pPr>
      <w:r w:rsidRPr="00F853DD">
        <w:rPr>
          <w:rFonts w:ascii="Times" w:hAnsi="Times"/>
          <w:sz w:val="23"/>
          <w:szCs w:val="23"/>
        </w:rPr>
        <w:t>Yetim, Ü., Kiral, K., Özge, A. and Aydin, A.</w:t>
      </w:r>
      <w:r w:rsidR="00A41B3E" w:rsidRPr="00F853DD">
        <w:rPr>
          <w:rFonts w:ascii="Times" w:hAnsi="Times"/>
          <w:sz w:val="23"/>
          <w:szCs w:val="23"/>
        </w:rPr>
        <w:t>,</w:t>
      </w:r>
      <w:r w:rsidRPr="00F853DD">
        <w:rPr>
          <w:rFonts w:ascii="Times" w:hAnsi="Times"/>
          <w:sz w:val="23"/>
          <w:szCs w:val="23"/>
        </w:rPr>
        <w:t xml:space="preserve"> (2015). The relationships between coping strategies, social support and depression: an investigation among Turkish care-givers of patients with dementia. </w:t>
      </w:r>
      <w:r w:rsidRPr="00F853DD">
        <w:rPr>
          <w:rFonts w:ascii="Times" w:hAnsi="Times"/>
          <w:i/>
          <w:sz w:val="23"/>
          <w:szCs w:val="23"/>
        </w:rPr>
        <w:t>Ageing and Society</w:t>
      </w:r>
      <w:r w:rsidR="00A41B3E" w:rsidRPr="00F853DD">
        <w:rPr>
          <w:rFonts w:ascii="Times" w:hAnsi="Times"/>
          <w:sz w:val="23"/>
          <w:szCs w:val="23"/>
        </w:rPr>
        <w:t>.</w:t>
      </w:r>
      <w:r w:rsidRPr="00F853DD">
        <w:rPr>
          <w:rFonts w:ascii="Times" w:hAnsi="Times"/>
          <w:sz w:val="23"/>
          <w:szCs w:val="23"/>
        </w:rPr>
        <w:t xml:space="preserve"> </w:t>
      </w:r>
      <w:r w:rsidRPr="00F853DD">
        <w:rPr>
          <w:rFonts w:ascii="Times" w:hAnsi="Times"/>
          <w:b/>
          <w:sz w:val="23"/>
          <w:szCs w:val="23"/>
        </w:rPr>
        <w:t>37</w:t>
      </w:r>
      <w:r w:rsidRPr="00F853DD">
        <w:rPr>
          <w:rFonts w:ascii="Times" w:hAnsi="Times"/>
          <w:sz w:val="23"/>
          <w:szCs w:val="23"/>
        </w:rPr>
        <w:t xml:space="preserve">(1), 167-187.   </w:t>
      </w:r>
    </w:p>
    <w:p w14:paraId="279E2754" w14:textId="38F1B9F9"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Yumaklı, T.</w:t>
      </w:r>
      <w:r w:rsidR="00A41B3E" w:rsidRPr="00F853DD">
        <w:rPr>
          <w:rFonts w:ascii="Times" w:hAnsi="Times" w:cs="Times New Roman"/>
          <w:sz w:val="23"/>
          <w:szCs w:val="23"/>
        </w:rPr>
        <w:t>,</w:t>
      </w:r>
      <w:r w:rsidRPr="00F853DD">
        <w:rPr>
          <w:rFonts w:ascii="Times" w:hAnsi="Times" w:cs="Times New Roman"/>
          <w:sz w:val="23"/>
          <w:szCs w:val="23"/>
        </w:rPr>
        <w:t xml:space="preserve"> (2011). </w:t>
      </w:r>
      <w:r w:rsidRPr="00F853DD">
        <w:rPr>
          <w:rFonts w:ascii="Times" w:hAnsi="Times" w:cs="Times New Roman"/>
          <w:i/>
          <w:sz w:val="23"/>
          <w:szCs w:val="23"/>
        </w:rPr>
        <w:t>Familialism, welfare state regimes and women’s access to paid work: A comparative analysis between Hungary and Turkey</w:t>
      </w:r>
      <w:r w:rsidR="00A41B3E" w:rsidRPr="00F853DD">
        <w:rPr>
          <w:rFonts w:ascii="Times" w:hAnsi="Times" w:cs="Times New Roman"/>
          <w:sz w:val="23"/>
          <w:szCs w:val="23"/>
        </w:rPr>
        <w:t>.</w:t>
      </w:r>
      <w:r w:rsidRPr="00F853DD">
        <w:rPr>
          <w:rFonts w:ascii="Times" w:hAnsi="Times" w:cs="Times New Roman"/>
          <w:sz w:val="23"/>
          <w:szCs w:val="23"/>
        </w:rPr>
        <w:t xml:space="preserve"> PhD diss</w:t>
      </w:r>
      <w:r w:rsidR="00A41B3E" w:rsidRPr="00F853DD">
        <w:rPr>
          <w:rFonts w:ascii="Times" w:hAnsi="Times" w:cs="Times New Roman"/>
          <w:sz w:val="23"/>
          <w:szCs w:val="23"/>
        </w:rPr>
        <w:t>ertation</w:t>
      </w:r>
      <w:r w:rsidRPr="00F853DD">
        <w:rPr>
          <w:rFonts w:ascii="Times" w:hAnsi="Times" w:cs="Times New Roman"/>
          <w:sz w:val="23"/>
          <w:szCs w:val="23"/>
        </w:rPr>
        <w:t>, Central European University.</w:t>
      </w:r>
    </w:p>
    <w:p w14:paraId="79577823" w14:textId="06DC1C5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Zaidi, A.</w:t>
      </w:r>
      <w:r w:rsidR="00A41B3E" w:rsidRPr="00F853DD">
        <w:rPr>
          <w:rFonts w:ascii="Times" w:hAnsi="Times" w:cs="Times New Roman"/>
          <w:sz w:val="23"/>
          <w:szCs w:val="23"/>
        </w:rPr>
        <w:t>,</w:t>
      </w:r>
      <w:r w:rsidRPr="00F853DD">
        <w:rPr>
          <w:rFonts w:ascii="Times" w:hAnsi="Times" w:cs="Times New Roman"/>
          <w:sz w:val="23"/>
          <w:szCs w:val="23"/>
        </w:rPr>
        <w:t xml:space="preserve"> (2014). </w:t>
      </w:r>
      <w:r w:rsidR="00A41B3E" w:rsidRPr="00F853DD">
        <w:rPr>
          <w:rFonts w:ascii="Times" w:hAnsi="Times" w:cs="Times New Roman"/>
          <w:i/>
          <w:sz w:val="23"/>
          <w:szCs w:val="23"/>
        </w:rPr>
        <w:t>Life cycle transitions and vulnerabilities in old a</w:t>
      </w:r>
      <w:r w:rsidRPr="00F853DD">
        <w:rPr>
          <w:rFonts w:ascii="Times" w:hAnsi="Times" w:cs="Times New Roman"/>
          <w:i/>
          <w:sz w:val="23"/>
          <w:szCs w:val="23"/>
        </w:rPr>
        <w:t>ge</w:t>
      </w:r>
      <w:r w:rsidRPr="00F853DD">
        <w:rPr>
          <w:rFonts w:ascii="Times" w:hAnsi="Times" w:cs="Times New Roman"/>
          <w:sz w:val="23"/>
          <w:szCs w:val="23"/>
        </w:rPr>
        <w:t xml:space="preserve">: </w:t>
      </w:r>
      <w:r w:rsidR="00A41B3E" w:rsidRPr="00F853DD">
        <w:rPr>
          <w:rFonts w:ascii="Times" w:hAnsi="Times" w:cs="Times New Roman"/>
          <w:sz w:val="23"/>
          <w:szCs w:val="23"/>
        </w:rPr>
        <w:t>a r</w:t>
      </w:r>
      <w:r w:rsidRPr="00F853DD">
        <w:rPr>
          <w:rFonts w:ascii="Times" w:hAnsi="Times" w:cs="Times New Roman"/>
          <w:sz w:val="23"/>
          <w:szCs w:val="23"/>
        </w:rPr>
        <w:t xml:space="preserve">eview. Available from: </w:t>
      </w:r>
      <w:hyperlink r:id="rId117" w:history="1">
        <w:r w:rsidRPr="00F853DD">
          <w:rPr>
            <w:rStyle w:val="Hyperlink"/>
            <w:rFonts w:ascii="Times" w:hAnsi="Times"/>
            <w:color w:val="auto"/>
            <w:sz w:val="23"/>
            <w:szCs w:val="23"/>
            <w:u w:val="none"/>
          </w:rPr>
          <w:t>http://hdr.undp.org/sites/default/files/hdr_2014_zaidi_final.pdf</w:t>
        </w:r>
      </w:hyperlink>
      <w:r w:rsidRPr="00F853DD">
        <w:rPr>
          <w:rFonts w:ascii="Times" w:hAnsi="Times" w:cs="Times New Roman"/>
          <w:sz w:val="23"/>
          <w:szCs w:val="23"/>
        </w:rPr>
        <w:t>.</w:t>
      </w:r>
    </w:p>
    <w:p w14:paraId="2BA8D785" w14:textId="6466EF6D"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Zarit, S., Reever, K. and Bachpeterson, J.</w:t>
      </w:r>
      <w:r w:rsidR="00A41B3E" w:rsidRPr="00F853DD">
        <w:rPr>
          <w:rFonts w:ascii="Times" w:hAnsi="Times" w:cs="Times New Roman"/>
          <w:sz w:val="23"/>
          <w:szCs w:val="23"/>
        </w:rPr>
        <w:t>,</w:t>
      </w:r>
      <w:r w:rsidRPr="00F853DD">
        <w:rPr>
          <w:rFonts w:ascii="Times" w:hAnsi="Times" w:cs="Times New Roman"/>
          <w:sz w:val="23"/>
          <w:szCs w:val="23"/>
        </w:rPr>
        <w:t xml:space="preserve"> (1980). Relatives of the impaired elderly: correlates of feelings of burden. </w:t>
      </w:r>
      <w:r w:rsidRPr="00F853DD">
        <w:rPr>
          <w:rFonts w:ascii="Times" w:hAnsi="Times" w:cs="Times New Roman"/>
          <w:i/>
          <w:sz w:val="23"/>
          <w:szCs w:val="23"/>
        </w:rPr>
        <w:t>Gerontologist</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20</w:t>
      </w:r>
      <w:r w:rsidRPr="00F853DD">
        <w:rPr>
          <w:rFonts w:ascii="Times" w:hAnsi="Times" w:cs="Times New Roman"/>
          <w:sz w:val="23"/>
          <w:szCs w:val="23"/>
        </w:rPr>
        <w:t>, 649-655.</w:t>
      </w:r>
    </w:p>
    <w:p w14:paraId="0760C616" w14:textId="72BC90E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Zauszniewski, J., Bekhet, A. and Suresky, M.</w:t>
      </w:r>
      <w:r w:rsidR="00A41B3E" w:rsidRPr="00F853DD">
        <w:rPr>
          <w:rFonts w:ascii="Times" w:hAnsi="Times" w:cs="Times New Roman"/>
          <w:sz w:val="23"/>
          <w:szCs w:val="23"/>
        </w:rPr>
        <w:t>,</w:t>
      </w:r>
      <w:r w:rsidRPr="00F853DD">
        <w:rPr>
          <w:rFonts w:ascii="Times" w:hAnsi="Times" w:cs="Times New Roman"/>
          <w:sz w:val="23"/>
          <w:szCs w:val="23"/>
        </w:rPr>
        <w:t xml:space="preserve"> (2009). Effects on resilience of women family caregivers of adult</w:t>
      </w:r>
      <w:r w:rsidR="00A41B3E" w:rsidRPr="00F853DD">
        <w:rPr>
          <w:rFonts w:ascii="Times" w:hAnsi="Times" w:cs="Times New Roman"/>
          <w:sz w:val="23"/>
          <w:szCs w:val="23"/>
        </w:rPr>
        <w:t>s with serious mental illness: t</w:t>
      </w:r>
      <w:r w:rsidRPr="00F853DD">
        <w:rPr>
          <w:rFonts w:ascii="Times" w:hAnsi="Times" w:cs="Times New Roman"/>
          <w:sz w:val="23"/>
          <w:szCs w:val="23"/>
        </w:rPr>
        <w:t xml:space="preserve">he role of positive cognitions. </w:t>
      </w:r>
      <w:r w:rsidRPr="00F853DD">
        <w:rPr>
          <w:rFonts w:ascii="Times" w:hAnsi="Times" w:cs="Times New Roman"/>
          <w:i/>
          <w:sz w:val="23"/>
          <w:szCs w:val="23"/>
        </w:rPr>
        <w:t>Archives of Psychiatric Nursing</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23</w:t>
      </w:r>
      <w:r w:rsidRPr="00F853DD">
        <w:rPr>
          <w:rFonts w:ascii="Times" w:hAnsi="Times" w:cs="Times New Roman"/>
          <w:sz w:val="23"/>
          <w:szCs w:val="23"/>
        </w:rPr>
        <w:t>, 412-422.</w:t>
      </w:r>
    </w:p>
    <w:p w14:paraId="269BF962" w14:textId="46380F27"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Zhai, X. and Qiu, R.</w:t>
      </w:r>
      <w:r w:rsidR="00A41B3E" w:rsidRPr="00F853DD">
        <w:rPr>
          <w:rFonts w:ascii="Times" w:hAnsi="Times" w:cs="Times New Roman"/>
          <w:sz w:val="23"/>
          <w:szCs w:val="23"/>
        </w:rPr>
        <w:t>,</w:t>
      </w:r>
      <w:r w:rsidRPr="00F853DD">
        <w:rPr>
          <w:rFonts w:ascii="Times" w:hAnsi="Times" w:cs="Times New Roman"/>
          <w:sz w:val="23"/>
          <w:szCs w:val="23"/>
        </w:rPr>
        <w:t xml:space="preserve"> (2007). Perceptions of long-term care, autonomy, and dignity, by residents, family and caregivers: the Beijing experience. </w:t>
      </w:r>
      <w:r w:rsidRPr="00F853DD">
        <w:rPr>
          <w:rFonts w:ascii="Times" w:hAnsi="Times" w:cs="Times New Roman"/>
          <w:i/>
          <w:sz w:val="23"/>
          <w:szCs w:val="23"/>
        </w:rPr>
        <w:t>Journal of Medicine and Philosophy</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32</w:t>
      </w:r>
      <w:r w:rsidRPr="00F853DD">
        <w:rPr>
          <w:rFonts w:ascii="Times" w:hAnsi="Times" w:cs="Times New Roman"/>
          <w:sz w:val="23"/>
          <w:szCs w:val="23"/>
        </w:rPr>
        <w:t>, 425-445.</w:t>
      </w:r>
    </w:p>
    <w:p w14:paraId="4F0C6F2F" w14:textId="6F3AE3A4"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Zhou, Y.</w:t>
      </w:r>
      <w:r w:rsidR="00A41B3E" w:rsidRPr="00F853DD">
        <w:rPr>
          <w:rFonts w:ascii="Times" w:hAnsi="Times" w:cs="Times New Roman"/>
          <w:sz w:val="23"/>
          <w:szCs w:val="23"/>
        </w:rPr>
        <w:t>,</w:t>
      </w:r>
      <w:r w:rsidRPr="00F853DD">
        <w:rPr>
          <w:rFonts w:ascii="Times" w:hAnsi="Times" w:cs="Times New Roman"/>
          <w:sz w:val="23"/>
          <w:szCs w:val="23"/>
        </w:rPr>
        <w:t xml:space="preserve"> (2015). Time, space and care: </w:t>
      </w:r>
      <w:r w:rsidR="00A41B3E" w:rsidRPr="00F853DD">
        <w:rPr>
          <w:rFonts w:ascii="Times" w:hAnsi="Times" w:cs="Times New Roman"/>
          <w:sz w:val="23"/>
          <w:szCs w:val="23"/>
        </w:rPr>
        <w:t>r</w:t>
      </w:r>
      <w:r w:rsidRPr="00F853DD">
        <w:rPr>
          <w:rFonts w:ascii="Times" w:hAnsi="Times" w:cs="Times New Roman"/>
          <w:sz w:val="23"/>
          <w:szCs w:val="23"/>
        </w:rPr>
        <w:t xml:space="preserve">ethinking transnational care from a temporal perspective. </w:t>
      </w:r>
      <w:r w:rsidRPr="00F853DD">
        <w:rPr>
          <w:rFonts w:ascii="Times" w:hAnsi="Times" w:cs="Times New Roman"/>
          <w:i/>
          <w:sz w:val="23"/>
          <w:szCs w:val="23"/>
        </w:rPr>
        <w:t>Time and Society</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24</w:t>
      </w:r>
      <w:r w:rsidRPr="00F853DD">
        <w:rPr>
          <w:rFonts w:ascii="Times" w:hAnsi="Times" w:cs="Times New Roman"/>
          <w:sz w:val="23"/>
          <w:szCs w:val="23"/>
        </w:rPr>
        <w:t>, 163-182.</w:t>
      </w:r>
    </w:p>
    <w:p w14:paraId="752E7B38" w14:textId="357103AF"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Ziemba, R.</w:t>
      </w:r>
      <w:r w:rsidR="00A41B3E" w:rsidRPr="00F853DD">
        <w:rPr>
          <w:rFonts w:ascii="Times" w:hAnsi="Times" w:cs="Times New Roman"/>
          <w:sz w:val="23"/>
          <w:szCs w:val="23"/>
        </w:rPr>
        <w:t>,</w:t>
      </w:r>
      <w:r w:rsidRPr="00F853DD">
        <w:rPr>
          <w:rFonts w:ascii="Times" w:hAnsi="Times" w:cs="Times New Roman"/>
          <w:sz w:val="23"/>
          <w:szCs w:val="23"/>
        </w:rPr>
        <w:t xml:space="preserve"> (2002). Family health and caring for elderly parents. </w:t>
      </w:r>
      <w:r w:rsidRPr="00F853DD">
        <w:rPr>
          <w:rFonts w:ascii="Times" w:hAnsi="Times" w:cs="Times New Roman"/>
          <w:i/>
          <w:sz w:val="23"/>
          <w:szCs w:val="23"/>
        </w:rPr>
        <w:t>Michigan Family Review</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07</w:t>
      </w:r>
      <w:r w:rsidRPr="00F853DD">
        <w:rPr>
          <w:rFonts w:ascii="Times" w:hAnsi="Times" w:cs="Times New Roman"/>
          <w:sz w:val="23"/>
          <w:szCs w:val="23"/>
        </w:rPr>
        <w:t>(1), 35.</w:t>
      </w:r>
    </w:p>
    <w:p w14:paraId="133A1187" w14:textId="69E5D967"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Zietlow, A.</w:t>
      </w:r>
      <w:r w:rsidR="00A41B3E" w:rsidRPr="00F853DD">
        <w:rPr>
          <w:rFonts w:ascii="Times" w:hAnsi="Times" w:cs="Times New Roman"/>
          <w:sz w:val="23"/>
          <w:szCs w:val="23"/>
        </w:rPr>
        <w:t>,</w:t>
      </w:r>
      <w:r w:rsidRPr="00F853DD">
        <w:rPr>
          <w:rFonts w:ascii="Times" w:hAnsi="Times" w:cs="Times New Roman"/>
          <w:sz w:val="23"/>
          <w:szCs w:val="23"/>
        </w:rPr>
        <w:t xml:space="preserve"> (2019). Called to </w:t>
      </w:r>
      <w:r w:rsidR="00A41B3E" w:rsidRPr="00F853DD">
        <w:rPr>
          <w:rFonts w:ascii="Times" w:hAnsi="Times" w:cs="Times New Roman"/>
          <w:sz w:val="23"/>
          <w:szCs w:val="23"/>
        </w:rPr>
        <w:t>c</w:t>
      </w:r>
      <w:r w:rsidRPr="00F853DD">
        <w:rPr>
          <w:rFonts w:ascii="Times" w:hAnsi="Times" w:cs="Times New Roman"/>
          <w:sz w:val="23"/>
          <w:szCs w:val="23"/>
        </w:rPr>
        <w:t xml:space="preserve">are: </w:t>
      </w:r>
      <w:r w:rsidR="00A41B3E" w:rsidRPr="00F853DD">
        <w:rPr>
          <w:rFonts w:ascii="Times" w:hAnsi="Times" w:cs="Times New Roman"/>
          <w:sz w:val="23"/>
          <w:szCs w:val="23"/>
        </w:rPr>
        <w:t>h</w:t>
      </w:r>
      <w:r w:rsidRPr="00F853DD">
        <w:rPr>
          <w:rFonts w:ascii="Times" w:hAnsi="Times" w:cs="Times New Roman"/>
          <w:sz w:val="23"/>
          <w:szCs w:val="23"/>
        </w:rPr>
        <w:t xml:space="preserve">onouring </w:t>
      </w:r>
      <w:r w:rsidR="00A41B3E" w:rsidRPr="00F853DD">
        <w:rPr>
          <w:rFonts w:ascii="Times" w:hAnsi="Times" w:cs="Times New Roman"/>
          <w:sz w:val="23"/>
          <w:szCs w:val="23"/>
        </w:rPr>
        <w:t>e</w:t>
      </w:r>
      <w:r w:rsidRPr="00F853DD">
        <w:rPr>
          <w:rFonts w:ascii="Times" w:hAnsi="Times" w:cs="Times New Roman"/>
          <w:sz w:val="23"/>
          <w:szCs w:val="23"/>
        </w:rPr>
        <w:t xml:space="preserve">lders and the </w:t>
      </w:r>
      <w:r w:rsidR="00A41B3E" w:rsidRPr="00F853DD">
        <w:rPr>
          <w:rFonts w:ascii="Times" w:hAnsi="Times" w:cs="Times New Roman"/>
          <w:sz w:val="23"/>
          <w:szCs w:val="23"/>
        </w:rPr>
        <w:t>f</w:t>
      </w:r>
      <w:r w:rsidRPr="00F853DD">
        <w:rPr>
          <w:rFonts w:ascii="Times" w:hAnsi="Times" w:cs="Times New Roman"/>
          <w:sz w:val="23"/>
          <w:szCs w:val="23"/>
        </w:rPr>
        <w:t xml:space="preserve">amily </w:t>
      </w:r>
      <w:r w:rsidR="00A41B3E" w:rsidRPr="00F853DD">
        <w:rPr>
          <w:rFonts w:ascii="Times" w:hAnsi="Times" w:cs="Times New Roman"/>
          <w:sz w:val="23"/>
          <w:szCs w:val="23"/>
        </w:rPr>
        <w:t>care j</w:t>
      </w:r>
      <w:r w:rsidRPr="00F853DD">
        <w:rPr>
          <w:rFonts w:ascii="Times" w:hAnsi="Times" w:cs="Times New Roman"/>
          <w:sz w:val="23"/>
          <w:szCs w:val="23"/>
        </w:rPr>
        <w:t xml:space="preserve">ourney. </w:t>
      </w:r>
      <w:r w:rsidRPr="00F853DD">
        <w:rPr>
          <w:rFonts w:ascii="Times" w:hAnsi="Times" w:cs="Times New Roman"/>
          <w:i/>
          <w:sz w:val="23"/>
          <w:szCs w:val="23"/>
        </w:rPr>
        <w:t>Center for Public Justice</w:t>
      </w:r>
      <w:r w:rsidR="00A41B3E" w:rsidRPr="00F853DD">
        <w:rPr>
          <w:rFonts w:ascii="Times" w:hAnsi="Times" w:cs="Times New Roman"/>
          <w:i/>
          <w:sz w:val="23"/>
          <w:szCs w:val="23"/>
        </w:rPr>
        <w:t xml:space="preserve"> </w:t>
      </w:r>
      <w:r w:rsidR="00A41B3E" w:rsidRPr="00F853DD">
        <w:rPr>
          <w:rFonts w:ascii="Times" w:hAnsi="Times" w:cs="Times New Roman"/>
          <w:sz w:val="23"/>
          <w:szCs w:val="23"/>
        </w:rPr>
        <w:t>[online]</w:t>
      </w:r>
      <w:r w:rsidRPr="00F853DD">
        <w:rPr>
          <w:rFonts w:ascii="Times" w:hAnsi="Times" w:cs="Times New Roman"/>
          <w:sz w:val="23"/>
          <w:szCs w:val="23"/>
        </w:rPr>
        <w:t xml:space="preserve">. [Viewed 26 June 2019]. Available from: </w:t>
      </w:r>
      <w:hyperlink r:id="rId118">
        <w:r w:rsidRPr="00F853DD">
          <w:rPr>
            <w:rFonts w:ascii="Times" w:hAnsi="Times" w:cs="Times New Roman"/>
            <w:sz w:val="23"/>
            <w:szCs w:val="23"/>
          </w:rPr>
          <w:t>https://static1.squarespace.com/static/5a722d48010027d7514141f5/t/5cffbe2bd461800001bf4a26/1560264235794/Elder+Caregiving+Report+June+2019.pdf</w:t>
        </w:r>
      </w:hyperlink>
      <w:r w:rsidRPr="00F853DD">
        <w:rPr>
          <w:rFonts w:ascii="Times" w:hAnsi="Times" w:cs="Times New Roman"/>
          <w:sz w:val="23"/>
          <w:szCs w:val="23"/>
        </w:rPr>
        <w:t>.</w:t>
      </w:r>
    </w:p>
    <w:p w14:paraId="7EE316BF" w14:textId="0F669E30"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Zimmerman, S.</w:t>
      </w:r>
      <w:r w:rsidR="00A41B3E" w:rsidRPr="00F853DD">
        <w:rPr>
          <w:rFonts w:ascii="Times" w:hAnsi="Times" w:cs="Times New Roman"/>
          <w:sz w:val="23"/>
          <w:szCs w:val="23"/>
        </w:rPr>
        <w:t>,</w:t>
      </w:r>
      <w:r w:rsidRPr="00F853DD">
        <w:rPr>
          <w:rFonts w:ascii="Times" w:hAnsi="Times" w:cs="Times New Roman"/>
          <w:sz w:val="23"/>
          <w:szCs w:val="23"/>
        </w:rPr>
        <w:t xml:space="preserve"> (1995). </w:t>
      </w:r>
      <w:r w:rsidR="00A41B3E" w:rsidRPr="00F853DD">
        <w:rPr>
          <w:rFonts w:ascii="Times" w:hAnsi="Times" w:cs="Times New Roman"/>
          <w:i/>
          <w:sz w:val="23"/>
          <w:szCs w:val="23"/>
        </w:rPr>
        <w:t>Understanding family policy: theories and a</w:t>
      </w:r>
      <w:r w:rsidRPr="00F853DD">
        <w:rPr>
          <w:rFonts w:ascii="Times" w:hAnsi="Times" w:cs="Times New Roman"/>
          <w:i/>
          <w:sz w:val="23"/>
          <w:szCs w:val="23"/>
        </w:rPr>
        <w:t>pplications</w:t>
      </w:r>
      <w:r w:rsidR="00D30065" w:rsidRPr="00F853DD">
        <w:rPr>
          <w:rFonts w:ascii="Times" w:hAnsi="Times" w:cs="Times New Roman"/>
          <w:sz w:val="23"/>
          <w:szCs w:val="23"/>
        </w:rPr>
        <w:t>.</w:t>
      </w:r>
      <w:r w:rsidRPr="00F853DD">
        <w:rPr>
          <w:rFonts w:ascii="Times" w:hAnsi="Times" w:cs="Times New Roman"/>
          <w:sz w:val="23"/>
          <w:szCs w:val="23"/>
        </w:rPr>
        <w:t xml:space="preserve"> Thousand Oaks, Calif.; London: SAGE.</w:t>
      </w:r>
    </w:p>
    <w:p w14:paraId="5524E11B" w14:textId="11F13B65" w:rsidR="00DF05BD" w:rsidRPr="00F853DD" w:rsidRDefault="00DF05BD" w:rsidP="00E1694A">
      <w:pPr>
        <w:autoSpaceDE w:val="0"/>
        <w:autoSpaceDN w:val="0"/>
        <w:adjustRightInd w:val="0"/>
        <w:spacing w:line="240" w:lineRule="auto"/>
        <w:ind w:left="567" w:hanging="567"/>
        <w:rPr>
          <w:rFonts w:ascii="Times" w:hAnsi="Times" w:cs="Times New Roman"/>
          <w:sz w:val="23"/>
          <w:szCs w:val="23"/>
        </w:rPr>
      </w:pPr>
      <w:r w:rsidRPr="00F853DD">
        <w:rPr>
          <w:rFonts w:ascii="Times" w:hAnsi="Times" w:cs="Times New Roman"/>
          <w:sz w:val="23"/>
          <w:szCs w:val="23"/>
        </w:rPr>
        <w:t>Zinn, M. and Dillaway, H.</w:t>
      </w:r>
      <w:r w:rsidR="00A41B3E" w:rsidRPr="00F853DD">
        <w:rPr>
          <w:rFonts w:ascii="Times" w:hAnsi="Times" w:cs="Times New Roman"/>
          <w:sz w:val="23"/>
          <w:szCs w:val="23"/>
        </w:rPr>
        <w:t>, (2005). Introduction: s</w:t>
      </w:r>
      <w:r w:rsidRPr="00F853DD">
        <w:rPr>
          <w:rFonts w:ascii="Times" w:hAnsi="Times" w:cs="Times New Roman"/>
          <w:sz w:val="23"/>
          <w:szCs w:val="23"/>
        </w:rPr>
        <w:t xml:space="preserve">pecial issue on feminism and family life. In: </w:t>
      </w:r>
      <w:r w:rsidRPr="00F853DD">
        <w:rPr>
          <w:rFonts w:ascii="Times" w:hAnsi="Times" w:cs="Times New Roman"/>
          <w:i/>
          <w:sz w:val="23"/>
          <w:szCs w:val="23"/>
        </w:rPr>
        <w:t>Michigan Family Review</w:t>
      </w:r>
      <w:r w:rsidR="00A41B3E" w:rsidRPr="00F853DD">
        <w:rPr>
          <w:rFonts w:ascii="Times" w:hAnsi="Times" w:cs="Times New Roman"/>
          <w:sz w:val="23"/>
          <w:szCs w:val="23"/>
        </w:rPr>
        <w:t>.</w:t>
      </w:r>
      <w:r w:rsidRPr="00F853DD">
        <w:rPr>
          <w:rFonts w:ascii="Times" w:hAnsi="Times" w:cs="Times New Roman"/>
          <w:b/>
          <w:sz w:val="23"/>
          <w:szCs w:val="23"/>
        </w:rPr>
        <w:t xml:space="preserve"> 10</w:t>
      </w:r>
      <w:r w:rsidRPr="00F853DD">
        <w:rPr>
          <w:rFonts w:ascii="Times" w:hAnsi="Times" w:cs="Times New Roman"/>
          <w:sz w:val="23"/>
          <w:szCs w:val="23"/>
        </w:rPr>
        <w:t>(1), 1-6.</w:t>
      </w:r>
    </w:p>
    <w:p w14:paraId="6732D6A3" w14:textId="55ABD273" w:rsidR="00DF05BD" w:rsidRPr="00F853DD" w:rsidRDefault="00DF05BD" w:rsidP="00E1694A">
      <w:pPr>
        <w:spacing w:line="240" w:lineRule="auto"/>
        <w:ind w:left="567" w:hanging="567"/>
        <w:rPr>
          <w:rFonts w:ascii="Times" w:hAnsi="Times" w:cs="Times New Roman"/>
          <w:sz w:val="23"/>
          <w:szCs w:val="23"/>
        </w:rPr>
      </w:pPr>
      <w:r w:rsidRPr="00F853DD">
        <w:rPr>
          <w:rFonts w:ascii="Times" w:hAnsi="Times" w:cs="Times New Roman"/>
          <w:sz w:val="23"/>
          <w:szCs w:val="23"/>
        </w:rPr>
        <w:t>Zinnbauer, B., Pargament, K., Cole, B., Rye, M., Butfer, E., Belavich, T., Hipp, K., Scott, A. and Kadar, J. (2015).</w:t>
      </w:r>
      <w:r w:rsidR="00A41B3E" w:rsidRPr="00F853DD">
        <w:rPr>
          <w:rFonts w:ascii="Times" w:hAnsi="Times" w:cs="Times New Roman"/>
          <w:sz w:val="23"/>
          <w:szCs w:val="23"/>
        </w:rPr>
        <w:t xml:space="preserve"> Religion and spirituality: u</w:t>
      </w:r>
      <w:r w:rsidRPr="00F853DD">
        <w:rPr>
          <w:rFonts w:ascii="Times" w:hAnsi="Times" w:cs="Times New Roman"/>
          <w:sz w:val="23"/>
          <w:szCs w:val="23"/>
        </w:rPr>
        <w:t xml:space="preserve">nfuzzying the fuzzy. In: </w:t>
      </w:r>
      <w:r w:rsidRPr="00F853DD">
        <w:rPr>
          <w:rFonts w:ascii="Times" w:hAnsi="Times" w:cs="Times New Roman"/>
          <w:i/>
          <w:sz w:val="23"/>
          <w:szCs w:val="23"/>
        </w:rPr>
        <w:t>Sociology of religion</w:t>
      </w:r>
      <w:r w:rsidR="00A41B3E" w:rsidRPr="00F853DD">
        <w:rPr>
          <w:rFonts w:ascii="Times" w:hAnsi="Times" w:cs="Times New Roman"/>
          <w:sz w:val="23"/>
          <w:szCs w:val="23"/>
        </w:rPr>
        <w:t>.</w:t>
      </w:r>
      <w:r w:rsidRPr="00F853DD">
        <w:rPr>
          <w:rFonts w:ascii="Times" w:hAnsi="Times" w:cs="Times New Roman"/>
          <w:sz w:val="23"/>
          <w:szCs w:val="23"/>
        </w:rPr>
        <w:t xml:space="preserve"> 29-34. Routledge.</w:t>
      </w:r>
    </w:p>
    <w:p w14:paraId="3CC32A67" w14:textId="1B123585" w:rsidR="00DF05BD" w:rsidRPr="00F853DD" w:rsidRDefault="00DF05BD" w:rsidP="00451862">
      <w:pPr>
        <w:autoSpaceDE w:val="0"/>
        <w:autoSpaceDN w:val="0"/>
        <w:adjustRightInd w:val="0"/>
        <w:spacing w:line="240" w:lineRule="auto"/>
        <w:ind w:left="567" w:hanging="567"/>
        <w:rPr>
          <w:rFonts w:ascii="Times" w:hAnsi="Times"/>
          <w:sz w:val="23"/>
          <w:szCs w:val="23"/>
        </w:rPr>
      </w:pPr>
      <w:r w:rsidRPr="00F853DD">
        <w:rPr>
          <w:rFonts w:ascii="Times" w:hAnsi="Times" w:cs="Times New Roman"/>
          <w:sz w:val="23"/>
          <w:szCs w:val="23"/>
        </w:rPr>
        <w:t xml:space="preserve">Zontini, E. and Reynolds, T. (2014). Bringing transnational families from the margins to the centre of family studies in Britain. </w:t>
      </w:r>
      <w:r w:rsidRPr="00F853DD">
        <w:rPr>
          <w:rFonts w:ascii="Times" w:hAnsi="Times" w:cs="Times New Roman"/>
          <w:i/>
          <w:sz w:val="23"/>
          <w:szCs w:val="23"/>
        </w:rPr>
        <w:t>Families Relationships and Societies</w:t>
      </w:r>
      <w:r w:rsidR="00A41B3E" w:rsidRPr="00F853DD">
        <w:rPr>
          <w:rFonts w:ascii="Times" w:hAnsi="Times" w:cs="Times New Roman"/>
          <w:sz w:val="23"/>
          <w:szCs w:val="23"/>
        </w:rPr>
        <w:t>.</w:t>
      </w:r>
      <w:r w:rsidRPr="00F853DD">
        <w:rPr>
          <w:rFonts w:ascii="Times" w:hAnsi="Times" w:cs="Times New Roman"/>
          <w:sz w:val="23"/>
          <w:szCs w:val="23"/>
        </w:rPr>
        <w:t xml:space="preserve"> </w:t>
      </w:r>
      <w:r w:rsidRPr="00F853DD">
        <w:rPr>
          <w:rFonts w:ascii="Times" w:hAnsi="Times" w:cs="Times New Roman"/>
          <w:b/>
          <w:sz w:val="23"/>
          <w:szCs w:val="23"/>
        </w:rPr>
        <w:t>3</w:t>
      </w:r>
      <w:r w:rsidR="00451862" w:rsidRPr="00F853DD">
        <w:rPr>
          <w:rFonts w:ascii="Times" w:hAnsi="Times" w:cs="Times New Roman"/>
          <w:sz w:val="23"/>
          <w:szCs w:val="23"/>
        </w:rPr>
        <w:t>(2)</w:t>
      </w:r>
      <w:r w:rsidRPr="00F853DD">
        <w:rPr>
          <w:rFonts w:ascii="Times" w:hAnsi="Times" w:cs="Times New Roman"/>
          <w:sz w:val="23"/>
          <w:szCs w:val="23"/>
        </w:rPr>
        <w:t>, 251-268.</w:t>
      </w:r>
    </w:p>
    <w:p w14:paraId="263E8CAF" w14:textId="77777777" w:rsidR="00DF05BD" w:rsidRPr="00E869A4" w:rsidRDefault="00DF05BD" w:rsidP="00E1694A">
      <w:pPr>
        <w:spacing w:line="240" w:lineRule="auto"/>
        <w:ind w:left="567" w:hanging="567"/>
        <w:rPr>
          <w:rFonts w:ascii="Times" w:hAnsi="Times" w:cs="Times New Roman"/>
          <w:sz w:val="23"/>
          <w:szCs w:val="23"/>
        </w:rPr>
      </w:pPr>
    </w:p>
    <w:p w14:paraId="48A7D231" w14:textId="77777777" w:rsidR="00DF05BD" w:rsidRPr="00E869A4" w:rsidRDefault="00DF05BD" w:rsidP="00E1694A">
      <w:pPr>
        <w:spacing w:line="240" w:lineRule="auto"/>
        <w:ind w:left="567" w:hanging="567"/>
        <w:rPr>
          <w:rFonts w:ascii="Times" w:hAnsi="Times"/>
          <w:sz w:val="23"/>
          <w:szCs w:val="23"/>
        </w:rPr>
      </w:pPr>
    </w:p>
    <w:p w14:paraId="0118C5B7" w14:textId="77777777" w:rsidR="00DF05BD" w:rsidRPr="00E869A4" w:rsidRDefault="00DF05BD" w:rsidP="00E1694A">
      <w:pPr>
        <w:ind w:left="567" w:hanging="567"/>
        <w:rPr>
          <w:sz w:val="23"/>
          <w:szCs w:val="23"/>
          <w:lang w:val="fr-FR"/>
        </w:rPr>
      </w:pPr>
    </w:p>
    <w:sectPr w:rsidR="00DF05BD" w:rsidRPr="00E869A4" w:rsidSect="00446CB8">
      <w:type w:val="nextColumn"/>
      <w:pgSz w:w="12240" w:h="15840"/>
      <w:pgMar w:top="1440" w:right="851"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B38FD" w14:textId="77777777" w:rsidR="002F5ADA" w:rsidRDefault="002F5ADA" w:rsidP="004A282D">
      <w:pPr>
        <w:spacing w:line="240" w:lineRule="auto"/>
      </w:pPr>
      <w:r>
        <w:separator/>
      </w:r>
    </w:p>
  </w:endnote>
  <w:endnote w:type="continuationSeparator" w:id="0">
    <w:p w14:paraId="6E597D2E" w14:textId="77777777" w:rsidR="002F5ADA" w:rsidRDefault="002F5ADA" w:rsidP="004A28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UOS Blake">
    <w:altName w:val="Microsoft YaHei"/>
    <w:charset w:val="00"/>
    <w:family w:val="swiss"/>
    <w:pitch w:val="variable"/>
    <w:sig w:usb0="00000001" w:usb1="40000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ource Sans Pro">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shelf Symbol 7">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856839"/>
      <w:docPartObj>
        <w:docPartGallery w:val="Page Numbers (Bottom of Page)"/>
        <w:docPartUnique/>
      </w:docPartObj>
    </w:sdtPr>
    <w:sdtContent>
      <w:sdt>
        <w:sdtPr>
          <w:id w:val="-683198133"/>
          <w:docPartObj>
            <w:docPartGallery w:val="Page Numbers (Top of Page)"/>
            <w:docPartUnique/>
          </w:docPartObj>
        </w:sdtPr>
        <w:sdtContent>
          <w:p w14:paraId="64DCF12B" w14:textId="77777777" w:rsidR="00D7239F" w:rsidRDefault="00D7239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543</w:t>
            </w:r>
            <w:r>
              <w:rPr>
                <w:b/>
                <w:bCs/>
                <w:szCs w:val="24"/>
              </w:rPr>
              <w:fldChar w:fldCharType="end"/>
            </w:r>
          </w:p>
        </w:sdtContent>
      </w:sdt>
    </w:sdtContent>
  </w:sdt>
  <w:p w14:paraId="0B1CFB75" w14:textId="77777777" w:rsidR="00D7239F" w:rsidRDefault="00D723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C3CEE" w14:textId="6BACBE98" w:rsidR="00D7239F" w:rsidRDefault="00D7239F">
    <w:pPr>
      <w:pStyle w:val="Footer"/>
      <w:jc w:val="right"/>
    </w:pPr>
  </w:p>
  <w:p w14:paraId="6D92B162" w14:textId="77777777" w:rsidR="00D7239F" w:rsidRDefault="00D723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220275"/>
      <w:docPartObj>
        <w:docPartGallery w:val="Page Numbers (Bottom of Page)"/>
        <w:docPartUnique/>
      </w:docPartObj>
    </w:sdtPr>
    <w:sdtContent>
      <w:sdt>
        <w:sdtPr>
          <w:id w:val="-670183338"/>
          <w:docPartObj>
            <w:docPartGallery w:val="Page Numbers (Top of Page)"/>
            <w:docPartUnique/>
          </w:docPartObj>
        </w:sdtPr>
        <w:sdtContent>
          <w:p w14:paraId="53C6CA76" w14:textId="77777777" w:rsidR="00D7239F" w:rsidRDefault="00D7239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178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543</w:t>
            </w:r>
            <w:r>
              <w:rPr>
                <w:b/>
                <w:bCs/>
                <w:szCs w:val="24"/>
              </w:rPr>
              <w:fldChar w:fldCharType="end"/>
            </w:r>
          </w:p>
        </w:sdtContent>
      </w:sdt>
    </w:sdtContent>
  </w:sdt>
  <w:p w14:paraId="0C51F49A" w14:textId="77777777" w:rsidR="00D7239F" w:rsidRDefault="00D723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70F8D" w14:textId="77777777" w:rsidR="00D7239F" w:rsidRDefault="00D7239F">
    <w:pPr>
      <w:pBdr>
        <w:top w:val="nil"/>
        <w:left w:val="nil"/>
        <w:bottom w:val="nil"/>
        <w:right w:val="nil"/>
        <w:between w:val="nil"/>
      </w:pBdr>
      <w:tabs>
        <w:tab w:val="center" w:pos="4680"/>
        <w:tab w:val="right" w:pos="9360"/>
      </w:tabs>
      <w:spacing w:line="240" w:lineRule="auto"/>
      <w:jc w:val="center"/>
      <w:rPr>
        <w:rFonts w:ascii="Calibri" w:eastAsia="Calibri" w:hAnsi="Calibri"/>
        <w:color w:val="000000"/>
      </w:rPr>
    </w:pPr>
    <w:r>
      <w:rPr>
        <w:rFonts w:ascii="Calibri" w:eastAsia="Calibri" w:hAnsi="Calibri"/>
        <w:color w:val="000000"/>
      </w:rPr>
      <w:t xml:space="preserve">Page </w:t>
    </w:r>
    <w:r>
      <w:rPr>
        <w:rFonts w:ascii="Calibri" w:eastAsia="Calibri" w:hAnsi="Calibri"/>
        <w:b/>
        <w:color w:val="000000"/>
      </w:rPr>
      <w:fldChar w:fldCharType="begin"/>
    </w:r>
    <w:r>
      <w:rPr>
        <w:rFonts w:ascii="Calibri" w:eastAsia="Calibri" w:hAnsi="Calibri"/>
        <w:b/>
        <w:color w:val="000000"/>
      </w:rPr>
      <w:instrText>PAGE</w:instrText>
    </w:r>
    <w:r>
      <w:rPr>
        <w:rFonts w:ascii="Calibri" w:eastAsia="Calibri" w:hAnsi="Calibri"/>
        <w:b/>
        <w:color w:val="000000"/>
      </w:rPr>
      <w:fldChar w:fldCharType="separate"/>
    </w:r>
    <w:r>
      <w:rPr>
        <w:rFonts w:ascii="Calibri" w:eastAsia="Calibri" w:hAnsi="Calibri"/>
        <w:b/>
        <w:noProof/>
        <w:color w:val="000000"/>
      </w:rPr>
      <w:t>245</w:t>
    </w:r>
    <w:r>
      <w:rPr>
        <w:rFonts w:ascii="Calibri" w:eastAsia="Calibri" w:hAnsi="Calibri"/>
        <w:b/>
        <w:color w:val="000000"/>
      </w:rPr>
      <w:fldChar w:fldCharType="end"/>
    </w:r>
    <w:r>
      <w:rPr>
        <w:rFonts w:ascii="Calibri" w:eastAsia="Calibri" w:hAnsi="Calibri"/>
        <w:color w:val="000000"/>
      </w:rPr>
      <w:t xml:space="preserve"> of </w:t>
    </w:r>
    <w:r>
      <w:rPr>
        <w:rFonts w:ascii="Calibri" w:eastAsia="Calibri" w:hAnsi="Calibri"/>
        <w:b/>
        <w:color w:val="000000"/>
      </w:rPr>
      <w:fldChar w:fldCharType="begin"/>
    </w:r>
    <w:r>
      <w:rPr>
        <w:rFonts w:ascii="Calibri" w:eastAsia="Calibri" w:hAnsi="Calibri"/>
        <w:b/>
        <w:color w:val="000000"/>
      </w:rPr>
      <w:instrText>NUMPAGES</w:instrText>
    </w:r>
    <w:r>
      <w:rPr>
        <w:rFonts w:ascii="Calibri" w:eastAsia="Calibri" w:hAnsi="Calibri"/>
        <w:b/>
        <w:color w:val="000000"/>
      </w:rPr>
      <w:fldChar w:fldCharType="separate"/>
    </w:r>
    <w:r>
      <w:rPr>
        <w:rFonts w:ascii="Calibri" w:eastAsia="Calibri" w:hAnsi="Calibri"/>
        <w:b/>
        <w:noProof/>
        <w:color w:val="000000"/>
      </w:rPr>
      <w:t>543</w:t>
    </w:r>
    <w:r>
      <w:rPr>
        <w:rFonts w:ascii="Calibri" w:eastAsia="Calibri" w:hAnsi="Calibri"/>
        <w:b/>
        <w:color w:val="000000"/>
      </w:rPr>
      <w:fldChar w:fldCharType="end"/>
    </w:r>
  </w:p>
  <w:p w14:paraId="35AC93E7" w14:textId="77777777" w:rsidR="00D7239F" w:rsidRDefault="00D7239F">
    <w:pPr>
      <w:pBdr>
        <w:top w:val="nil"/>
        <w:left w:val="nil"/>
        <w:bottom w:val="nil"/>
        <w:right w:val="nil"/>
        <w:between w:val="nil"/>
      </w:pBdr>
      <w:tabs>
        <w:tab w:val="center" w:pos="4680"/>
        <w:tab w:val="right" w:pos="9360"/>
      </w:tabs>
      <w:spacing w:line="240" w:lineRule="auto"/>
      <w:rPr>
        <w:rFonts w:ascii="Calibri" w:eastAsia="Calibri" w:hAnsi="Calibri"/>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621197"/>
      <w:docPartObj>
        <w:docPartGallery w:val="Page Numbers (Bottom of Page)"/>
        <w:docPartUnique/>
      </w:docPartObj>
    </w:sdtPr>
    <w:sdtContent>
      <w:sdt>
        <w:sdtPr>
          <w:id w:val="-513765403"/>
          <w:docPartObj>
            <w:docPartGallery w:val="Page Numbers (Top of Page)"/>
            <w:docPartUnique/>
          </w:docPartObj>
        </w:sdtPr>
        <w:sdtContent>
          <w:p w14:paraId="3E4FAA39" w14:textId="77777777" w:rsidR="00D7239F" w:rsidRDefault="00D7239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365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543</w:t>
            </w:r>
            <w:r>
              <w:rPr>
                <w:b/>
                <w:bCs/>
                <w:szCs w:val="24"/>
              </w:rPr>
              <w:fldChar w:fldCharType="end"/>
            </w:r>
          </w:p>
        </w:sdtContent>
      </w:sdt>
    </w:sdtContent>
  </w:sdt>
  <w:p w14:paraId="11421850" w14:textId="77777777" w:rsidR="00D7239F" w:rsidRDefault="00D7239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158306"/>
      <w:docPartObj>
        <w:docPartGallery w:val="Page Numbers (Bottom of Page)"/>
        <w:docPartUnique/>
      </w:docPartObj>
    </w:sdtPr>
    <w:sdtContent>
      <w:sdt>
        <w:sdtPr>
          <w:id w:val="-2077881815"/>
          <w:docPartObj>
            <w:docPartGallery w:val="Page Numbers (Top of Page)"/>
            <w:docPartUnique/>
          </w:docPartObj>
        </w:sdtPr>
        <w:sdtContent>
          <w:p w14:paraId="5F6B9591" w14:textId="77777777" w:rsidR="00D7239F" w:rsidRDefault="00D7239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367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543</w:t>
            </w:r>
            <w:r>
              <w:rPr>
                <w:b/>
                <w:bCs/>
                <w:szCs w:val="24"/>
              </w:rPr>
              <w:fldChar w:fldCharType="end"/>
            </w:r>
          </w:p>
        </w:sdtContent>
      </w:sdt>
    </w:sdtContent>
  </w:sdt>
  <w:p w14:paraId="3D55D5CF" w14:textId="77777777" w:rsidR="00D7239F" w:rsidRDefault="00D7239F">
    <w:pPr>
      <w:tabs>
        <w:tab w:val="center" w:pos="4680"/>
        <w:tab w:val="right" w:pos="9360"/>
      </w:tabs>
      <w:spacing w:line="240"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227407"/>
      <w:docPartObj>
        <w:docPartGallery w:val="Page Numbers (Bottom of Page)"/>
        <w:docPartUnique/>
      </w:docPartObj>
    </w:sdtPr>
    <w:sdtContent>
      <w:sdt>
        <w:sdtPr>
          <w:id w:val="-1453404850"/>
          <w:docPartObj>
            <w:docPartGallery w:val="Page Numbers (Top of Page)"/>
            <w:docPartUnique/>
          </w:docPartObj>
        </w:sdtPr>
        <w:sdtContent>
          <w:p w14:paraId="6F2ACC63" w14:textId="77777777" w:rsidR="00D7239F" w:rsidRDefault="00D7239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542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543</w:t>
            </w:r>
            <w:r>
              <w:rPr>
                <w:b/>
                <w:bCs/>
                <w:szCs w:val="24"/>
              </w:rPr>
              <w:fldChar w:fldCharType="end"/>
            </w:r>
          </w:p>
        </w:sdtContent>
      </w:sdt>
    </w:sdtContent>
  </w:sdt>
  <w:p w14:paraId="57EFEE92" w14:textId="77777777" w:rsidR="00D7239F" w:rsidRDefault="00D7239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740034"/>
      <w:docPartObj>
        <w:docPartGallery w:val="Page Numbers (Bottom of Page)"/>
        <w:docPartUnique/>
      </w:docPartObj>
    </w:sdtPr>
    <w:sdtContent>
      <w:sdt>
        <w:sdtPr>
          <w:id w:val="-1462650947"/>
          <w:docPartObj>
            <w:docPartGallery w:val="Page Numbers (Top of Page)"/>
            <w:docPartUnique/>
          </w:docPartObj>
        </w:sdtPr>
        <w:sdtContent>
          <w:p w14:paraId="5EE774C1" w14:textId="77777777" w:rsidR="00D7239F" w:rsidRDefault="00D7239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462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543</w:t>
            </w:r>
            <w:r>
              <w:rPr>
                <w:b/>
                <w:bCs/>
                <w:szCs w:val="24"/>
              </w:rPr>
              <w:fldChar w:fldCharType="end"/>
            </w:r>
          </w:p>
        </w:sdtContent>
      </w:sdt>
    </w:sdtContent>
  </w:sdt>
  <w:p w14:paraId="7076EE98" w14:textId="77777777" w:rsidR="00D7239F" w:rsidRDefault="00D72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6D118" w14:textId="77777777" w:rsidR="002F5ADA" w:rsidRDefault="002F5ADA" w:rsidP="004A282D">
      <w:pPr>
        <w:spacing w:line="240" w:lineRule="auto"/>
      </w:pPr>
      <w:r>
        <w:separator/>
      </w:r>
    </w:p>
  </w:footnote>
  <w:footnote w:type="continuationSeparator" w:id="0">
    <w:p w14:paraId="1FE97B02" w14:textId="77777777" w:rsidR="002F5ADA" w:rsidRDefault="002F5ADA" w:rsidP="004A282D">
      <w:pPr>
        <w:spacing w:line="240" w:lineRule="auto"/>
      </w:pPr>
      <w:r>
        <w:continuationSeparator/>
      </w:r>
    </w:p>
  </w:footnote>
  <w:footnote w:id="1">
    <w:p w14:paraId="7FDDD9EF" w14:textId="01755F88" w:rsidR="00D7239F" w:rsidRPr="00AB4876" w:rsidRDefault="00D7239F" w:rsidP="008425C4">
      <w:pPr>
        <w:pStyle w:val="FootnoteText"/>
        <w:jc w:val="both"/>
        <w:rPr>
          <w:rFonts w:ascii="Times New Roman" w:hAnsi="Times New Roman" w:cs="Times New Roman"/>
          <w:sz w:val="21"/>
          <w:szCs w:val="21"/>
        </w:rPr>
      </w:pPr>
      <w:r w:rsidRPr="00AB4876">
        <w:rPr>
          <w:rStyle w:val="FootnoteReference"/>
          <w:rFonts w:ascii="Times New Roman" w:hAnsi="Times New Roman" w:cs="Times New Roman"/>
          <w:sz w:val="21"/>
          <w:szCs w:val="21"/>
        </w:rPr>
        <w:footnoteRef/>
      </w:r>
      <w:r w:rsidRPr="00AB4876">
        <w:rPr>
          <w:rFonts w:ascii="Times New Roman" w:hAnsi="Times New Roman" w:cs="Times New Roman"/>
          <w:sz w:val="21"/>
          <w:szCs w:val="21"/>
        </w:rPr>
        <w:t xml:space="preserve"> In unipolar societies, </w:t>
      </w:r>
      <w:r w:rsidRPr="00AB4876">
        <w:rPr>
          <w:rFonts w:ascii="Times New Roman" w:hAnsi="Times New Roman" w:cs="Times New Roman"/>
          <w:color w:val="000000"/>
          <w:sz w:val="21"/>
          <w:szCs w:val="21"/>
        </w:rPr>
        <w:t>one ethnicity</w:t>
      </w:r>
      <w:r w:rsidRPr="00AB4876">
        <w:rPr>
          <w:rFonts w:ascii="Times New Roman" w:hAnsi="Times New Roman" w:cs="Times New Roman"/>
          <w:color w:val="000000"/>
          <w:sz w:val="21"/>
          <w:szCs w:val="21"/>
        </w:rPr>
        <w:fldChar w:fldCharType="begin"/>
      </w:r>
      <w:r w:rsidRPr="00AB4876">
        <w:instrText xml:space="preserve"> XE "</w:instrText>
      </w:r>
      <w:r w:rsidRPr="00AB4876">
        <w:rPr>
          <w:rFonts w:ascii="Times New Roman" w:hAnsi="Times New Roman" w:cs="Times New Roman"/>
          <w:i/>
          <w:sz w:val="24"/>
          <w:szCs w:val="24"/>
        </w:rPr>
        <w:instrText>ethnicity</w:instrText>
      </w:r>
      <w:r w:rsidRPr="00AB4876">
        <w:instrText xml:space="preserve">" </w:instrText>
      </w:r>
      <w:r w:rsidRPr="00AB4876">
        <w:rPr>
          <w:rFonts w:ascii="Times New Roman" w:hAnsi="Times New Roman" w:cs="Times New Roman"/>
          <w:color w:val="000000"/>
          <w:sz w:val="21"/>
          <w:szCs w:val="21"/>
        </w:rPr>
        <w:fldChar w:fldCharType="end"/>
      </w:r>
      <w:r w:rsidRPr="00AB4876">
        <w:rPr>
          <w:rFonts w:ascii="Times New Roman" w:hAnsi="Times New Roman" w:cs="Times New Roman"/>
          <w:color w:val="000000"/>
          <w:sz w:val="21"/>
          <w:szCs w:val="21"/>
        </w:rPr>
        <w:t xml:space="preserve"> is overwhelmingly dominant (Bangura 2005).  </w:t>
      </w:r>
    </w:p>
  </w:footnote>
  <w:footnote w:id="2">
    <w:p w14:paraId="7CFEA3ED" w14:textId="77777777" w:rsidR="00D7239F" w:rsidRPr="00AB4876" w:rsidRDefault="00D7239F" w:rsidP="008425C4">
      <w:pPr>
        <w:pStyle w:val="FootnoteText"/>
        <w:rPr>
          <w:rFonts w:ascii="Times New Roman" w:hAnsi="Times New Roman" w:cs="Times New Roman"/>
          <w:sz w:val="21"/>
          <w:szCs w:val="21"/>
        </w:rPr>
      </w:pPr>
      <w:r w:rsidRPr="00AB4876">
        <w:rPr>
          <w:rStyle w:val="FootnoteReference"/>
          <w:rFonts w:ascii="Times New Roman" w:hAnsi="Times New Roman" w:cs="Times New Roman"/>
          <w:sz w:val="21"/>
          <w:szCs w:val="21"/>
        </w:rPr>
        <w:footnoteRef/>
      </w:r>
      <w:r w:rsidRPr="00AB4876">
        <w:rPr>
          <w:rFonts w:ascii="Times New Roman" w:hAnsi="Times New Roman" w:cs="Times New Roman"/>
          <w:sz w:val="21"/>
          <w:szCs w:val="21"/>
        </w:rPr>
        <w:t xml:space="preserve"> The ethnic</w:t>
      </w:r>
      <w:r w:rsidRPr="00AB4876">
        <w:rPr>
          <w:rFonts w:ascii="Times New Roman" w:hAnsi="Times New Roman" w:cs="Times New Roman"/>
          <w:sz w:val="21"/>
          <w:szCs w:val="21"/>
        </w:rPr>
        <w:fldChar w:fldCharType="begin"/>
      </w:r>
      <w:r w:rsidRPr="00AB4876">
        <w:instrText xml:space="preserve"> XE "</w:instrText>
      </w:r>
      <w:r w:rsidRPr="00AB4876">
        <w:rPr>
          <w:rFonts w:ascii="Times New Roman" w:hAnsi="Times New Roman" w:cs="Times New Roman"/>
          <w:sz w:val="24"/>
          <w:szCs w:val="24"/>
        </w:rPr>
        <w:instrText>ethnic</w:instrText>
      </w:r>
      <w:r w:rsidRPr="00AB4876">
        <w:instrText xml:space="preserve">" </w:instrText>
      </w:r>
      <w:r w:rsidRPr="00AB4876">
        <w:rPr>
          <w:rFonts w:ascii="Times New Roman" w:hAnsi="Times New Roman" w:cs="Times New Roman"/>
          <w:sz w:val="21"/>
          <w:szCs w:val="21"/>
        </w:rPr>
        <w:fldChar w:fldCharType="end"/>
      </w:r>
      <w:r w:rsidRPr="00AB4876">
        <w:rPr>
          <w:rFonts w:ascii="Times New Roman" w:hAnsi="Times New Roman" w:cs="Times New Roman"/>
          <w:sz w:val="21"/>
          <w:szCs w:val="21"/>
        </w:rPr>
        <w:t xml:space="preserve"> structure of Belgium, Fiji, and Latvia are also bi-polar.</w:t>
      </w:r>
    </w:p>
  </w:footnote>
  <w:footnote w:id="3">
    <w:p w14:paraId="4FE3AFE9" w14:textId="4FC33C67" w:rsidR="00D7239F" w:rsidRPr="00AB4876" w:rsidRDefault="00D7239F" w:rsidP="00384DB1">
      <w:pPr>
        <w:pStyle w:val="FootnoteText"/>
      </w:pPr>
      <w:r w:rsidRPr="00AB4876">
        <w:rPr>
          <w:rStyle w:val="FootnoteReference"/>
        </w:rPr>
        <w:footnoteRef/>
      </w:r>
      <w:r w:rsidRPr="00AB4876">
        <w:t xml:space="preserve"> The UK has a rank of 16 on the HDI and like most high-income OECD countries, falls within the “Very High Human Development” category. </w:t>
      </w:r>
    </w:p>
  </w:footnote>
  <w:footnote w:id="4">
    <w:p w14:paraId="769175D1" w14:textId="2520DFCA" w:rsidR="00D7239F" w:rsidRPr="00AB4876" w:rsidRDefault="00D7239F" w:rsidP="00504809">
      <w:pPr>
        <w:pStyle w:val="FootnoteText"/>
        <w:rPr>
          <w:lang w:val="en-TT"/>
        </w:rPr>
      </w:pPr>
      <w:r w:rsidRPr="00AB4876">
        <w:rPr>
          <w:rStyle w:val="FootnoteReference"/>
        </w:rPr>
        <w:footnoteRef/>
      </w:r>
      <w:r w:rsidRPr="00AB4876">
        <w:t xml:space="preserve"> </w:t>
      </w:r>
      <w:r w:rsidRPr="00AB4876">
        <w:rPr>
          <w:lang w:val="en-TT"/>
        </w:rPr>
        <w:t xml:space="preserve">In response to a question on whether or not the participant or their family member went without food in the last 12 months, the </w:t>
      </w:r>
      <w:r>
        <w:rPr>
          <w:lang w:val="en-TT"/>
        </w:rPr>
        <w:t>WVS</w:t>
      </w:r>
      <w:r w:rsidRPr="00AB4876">
        <w:rPr>
          <w:lang w:val="en-TT"/>
        </w:rPr>
        <w:t xml:space="preserve"> reported that most persons (75%) revealed that they</w:t>
      </w:r>
      <w:r>
        <w:rPr>
          <w:lang w:val="en-TT"/>
        </w:rPr>
        <w:t xml:space="preserve"> never experienced this problem</w:t>
      </w:r>
      <w:r w:rsidRPr="00AB4876">
        <w:rPr>
          <w:lang w:val="en-TT"/>
        </w:rPr>
        <w:t xml:space="preserve"> Also, 63% of the participants indicated that neither they, nor their family went without a cash income in the 12 months prior to the survey (Worchester &amp; Gill 2016).</w:t>
      </w:r>
    </w:p>
  </w:footnote>
  <w:footnote w:id="5">
    <w:p w14:paraId="5CA5B1CA" w14:textId="5A77A0B7" w:rsidR="00D7239F" w:rsidRPr="00203CCA" w:rsidRDefault="00D7239F" w:rsidP="00D468C4">
      <w:pPr>
        <w:pStyle w:val="FootnoteText"/>
        <w:rPr>
          <w:color w:val="000000" w:themeColor="text1"/>
          <w:lang w:val="fr-FR"/>
        </w:rPr>
      </w:pPr>
      <w:r w:rsidRPr="00AB4876">
        <w:rPr>
          <w:rStyle w:val="FootnoteReference"/>
        </w:rPr>
        <w:footnoteRef/>
      </w:r>
      <w:r w:rsidRPr="00203CCA">
        <w:rPr>
          <w:lang w:val="fr-FR"/>
        </w:rPr>
        <w:t xml:space="preserve"> Source: https://globaledge.msu.edu/countries/trinidad-and-tobago/statistics</w:t>
      </w:r>
      <w:r w:rsidRPr="00203CCA">
        <w:rPr>
          <w:color w:val="000000" w:themeColor="text1"/>
          <w:lang w:val="fr-FR"/>
        </w:rPr>
        <w:t xml:space="preserve"> </w:t>
      </w:r>
    </w:p>
  </w:footnote>
  <w:footnote w:id="6">
    <w:p w14:paraId="312FCEDE" w14:textId="01FB867D" w:rsidR="00D7239F" w:rsidRPr="00203CCA" w:rsidRDefault="00D7239F" w:rsidP="00D468C4">
      <w:pPr>
        <w:pStyle w:val="FootnoteText"/>
        <w:rPr>
          <w:lang w:val="fr-FR"/>
        </w:rPr>
      </w:pPr>
      <w:r w:rsidRPr="00AB4876">
        <w:rPr>
          <w:rStyle w:val="FootnoteReference"/>
          <w:color w:val="000000" w:themeColor="text1"/>
        </w:rPr>
        <w:footnoteRef/>
      </w:r>
      <w:r w:rsidRPr="00203CCA">
        <w:rPr>
          <w:color w:val="000000" w:themeColor="text1"/>
          <w:lang w:val="fr-FR"/>
        </w:rPr>
        <w:t xml:space="preserve"> </w:t>
      </w:r>
      <w:r w:rsidRPr="00203CCA">
        <w:rPr>
          <w:lang w:val="fr-FR"/>
        </w:rPr>
        <w:t xml:space="preserve">Source: </w:t>
      </w:r>
      <w:r w:rsidRPr="00043AED">
        <w:rPr>
          <w:lang w:val="fr-FR"/>
        </w:rPr>
        <w:t>https://globaledge.msu.edu/countries/united-kingdom/statistics</w:t>
      </w:r>
    </w:p>
  </w:footnote>
  <w:footnote w:id="7">
    <w:p w14:paraId="528BB888" w14:textId="007BA8D8" w:rsidR="00D7239F" w:rsidRPr="00AB4876" w:rsidRDefault="00D7239F" w:rsidP="00F86018">
      <w:pPr>
        <w:pStyle w:val="FootnoteText"/>
      </w:pPr>
      <w:r w:rsidRPr="00AB4876">
        <w:rPr>
          <w:rStyle w:val="FootnoteReference"/>
        </w:rPr>
        <w:footnoteRef/>
      </w:r>
      <w:r w:rsidRPr="00AB4876">
        <w:t xml:space="preserve"> Data is based on WHO (2014) data c.f. </w:t>
      </w:r>
      <w:r w:rsidRPr="00AB4876">
        <w:fldChar w:fldCharType="begin"/>
      </w:r>
      <w:r w:rsidRPr="00AB4876">
        <w:instrText xml:space="preserve"> ADDIN EN.CITE &lt;EndNote&gt;&lt;Cite&gt;&lt;Author&gt;LeDuc&lt;/Author&gt;&lt;Year&gt;2017&lt;/Year&gt;&lt;IDText&gt;World Health Rankings&lt;/IDText&gt;&lt;DisplayText&gt;LEDUC, T. 2017. World Health Rankings.&lt;/DisplayText&gt;&lt;record&gt;&lt;urls&gt;&lt;related-urls&gt;&lt;url&gt;http://www.worldlifeexpectancy.com/country-health-profile/trinidad-tobago&lt;/url&gt;&lt;/related-urls&gt;&lt;/urls&gt;&lt;titles&gt;&lt;title&gt;World Health Rankings&lt;/title&gt;&lt;/titles&gt;&lt;contributors&gt;&lt;authors&gt;&lt;author&gt;LeDuc, Tomas&lt;/author&gt;&lt;/authors&gt;&lt;/contributors&gt;&lt;added-date format="utc"&gt;1503677313&lt;/added-date&gt;&lt;ref-type name="Online Database"&gt;45&lt;/ref-type&gt;&lt;dates&gt;&lt;year&gt;2017&lt;/year&gt;&lt;/dates&gt;&lt;rec-number&gt;757&lt;/rec-number&gt;&lt;last-updated-date format="utc"&gt;1503677425&lt;/last-updated-date&gt;&lt;remote-database-name&gt;World Life Expectancy&lt;/remote-database-name&gt;&lt;/record&gt;&lt;/Cite&gt;&lt;/EndNote&gt;</w:instrText>
      </w:r>
      <w:r w:rsidRPr="00AB4876">
        <w:fldChar w:fldCharType="separate"/>
      </w:r>
      <w:r w:rsidRPr="00AB4876">
        <w:rPr>
          <w:noProof/>
        </w:rPr>
        <w:t>LEDUC, T. 2017. World Health Rankings.</w:t>
      </w:r>
      <w:r w:rsidRPr="00AB4876">
        <w:fldChar w:fldCharType="end"/>
      </w:r>
      <w:r w:rsidRPr="00AB4876">
        <w:t xml:space="preserve"> </w:t>
      </w:r>
    </w:p>
  </w:footnote>
  <w:footnote w:id="8">
    <w:p w14:paraId="5533187D" w14:textId="602A6881" w:rsidR="00D7239F" w:rsidRPr="00AB4876" w:rsidRDefault="00D7239F" w:rsidP="00F86018">
      <w:pPr>
        <w:pStyle w:val="FootnoteText"/>
      </w:pPr>
      <w:r w:rsidRPr="00AB4876">
        <w:rPr>
          <w:rStyle w:val="FootnoteReference"/>
        </w:rPr>
        <w:footnoteRef/>
      </w:r>
      <w:r w:rsidRPr="00AB4876">
        <w:t xml:space="preserve"> World Bank death</w:t>
      </w:r>
      <w:r w:rsidRPr="00AB4876">
        <w:fldChar w:fldCharType="begin"/>
      </w:r>
      <w:r w:rsidRPr="00AB4876">
        <w:instrText xml:space="preserve"> XE "</w:instrText>
      </w:r>
      <w:r w:rsidRPr="00AB4876">
        <w:rPr>
          <w:rFonts w:ascii="Times New Roman" w:hAnsi="Times New Roman" w:cs="Times New Roman"/>
          <w:sz w:val="24"/>
        </w:rPr>
        <w:instrText>death</w:instrText>
      </w:r>
      <w:r w:rsidRPr="00AB4876">
        <w:instrText xml:space="preserve">" </w:instrText>
      </w:r>
      <w:r w:rsidRPr="00AB4876">
        <w:fldChar w:fldCharType="end"/>
      </w:r>
      <w:r w:rsidRPr="00AB4876">
        <w:t xml:space="preserve"> rate / 1000 rank = 68</w:t>
      </w:r>
      <w:r>
        <w:t>.</w:t>
      </w:r>
    </w:p>
  </w:footnote>
  <w:footnote w:id="9">
    <w:p w14:paraId="243F6082" w14:textId="77777777" w:rsidR="00D7239F" w:rsidRPr="00AB4876" w:rsidRDefault="00D7239F" w:rsidP="00F86018">
      <w:pPr>
        <w:pStyle w:val="FootnoteText"/>
      </w:pPr>
      <w:r w:rsidRPr="00AB4876">
        <w:rPr>
          <w:rStyle w:val="FootnoteReference"/>
        </w:rPr>
        <w:footnoteRef/>
      </w:r>
      <w:r w:rsidRPr="00AB4876">
        <w:t xml:space="preserve"> Data is based on WHO (2014) data c.f. LEDUC, T. 2017. World Health Rankings.</w:t>
      </w:r>
    </w:p>
  </w:footnote>
  <w:footnote w:id="10">
    <w:p w14:paraId="2E6620B0" w14:textId="77777777" w:rsidR="00D7239F" w:rsidRPr="00AB4876" w:rsidRDefault="00D7239F" w:rsidP="00F86018">
      <w:pPr>
        <w:pStyle w:val="FootnoteText"/>
      </w:pPr>
      <w:r w:rsidRPr="00AB4876">
        <w:rPr>
          <w:rStyle w:val="FootnoteReference"/>
        </w:rPr>
        <w:footnoteRef/>
      </w:r>
      <w:r w:rsidRPr="00AB4876">
        <w:t xml:space="preserve"> Data is based on WHO (2014) data c.f. </w:t>
      </w:r>
      <w:r w:rsidRPr="00AB4876">
        <w:fldChar w:fldCharType="begin"/>
      </w:r>
      <w:r w:rsidRPr="00AB4876">
        <w:instrText xml:space="preserve"> ADDIN EN.CITE &lt;EndNote&gt;&lt;Cite&gt;&lt;Author&gt;LeDuc&lt;/Author&gt;&lt;Year&gt;2017&lt;/Year&gt;&lt;IDText&gt;World Health Rankings&lt;/IDText&gt;&lt;DisplayText&gt;LEDUC, T. 2017. World Health Rankings.&lt;/DisplayText&gt;&lt;record&gt;&lt;urls&gt;&lt;related-urls&gt;&lt;url&gt;http://www.worldlifeexpectancy.com/country-health-profile/trinidad-tobago&lt;/url&gt;&lt;/related-urls&gt;&lt;/urls&gt;&lt;titles&gt;&lt;title&gt;World Health Rankings&lt;/title&gt;&lt;/titles&gt;&lt;contributors&gt;&lt;authors&gt;&lt;author&gt;LeDuc, Tomas&lt;/author&gt;&lt;/authors&gt;&lt;/contributors&gt;&lt;added-date format="utc"&gt;1503677313&lt;/added-date&gt;&lt;ref-type name="Online Database"&gt;45&lt;/ref-type&gt;&lt;dates&gt;&lt;year&gt;2017&lt;/year&gt;&lt;/dates&gt;&lt;rec-number&gt;757&lt;/rec-number&gt;&lt;last-updated-date format="utc"&gt;1503677425&lt;/last-updated-date&gt;&lt;remote-database-name&gt;World Life Expectancy&lt;/remote-database-name&gt;&lt;/record&gt;&lt;/Cite&gt;&lt;/EndNote&gt;</w:instrText>
      </w:r>
      <w:r w:rsidRPr="00AB4876">
        <w:fldChar w:fldCharType="separate"/>
      </w:r>
      <w:r w:rsidRPr="00AB4876">
        <w:rPr>
          <w:noProof/>
        </w:rPr>
        <w:t>LEDUC, T. 2017. World Health Rankings.</w:t>
      </w:r>
      <w:r w:rsidRPr="00AB4876">
        <w:fldChar w:fldCharType="end"/>
      </w:r>
    </w:p>
  </w:footnote>
  <w:footnote w:id="11">
    <w:p w14:paraId="1F00C207" w14:textId="7CA6BAD9" w:rsidR="00D7239F" w:rsidRPr="00AB4876" w:rsidRDefault="00D7239F" w:rsidP="00F86018">
      <w:pPr>
        <w:pStyle w:val="FootnoteText"/>
        <w:rPr>
          <w:color w:val="000000" w:themeColor="text1"/>
        </w:rPr>
      </w:pPr>
      <w:r w:rsidRPr="00AB4876">
        <w:rPr>
          <w:rStyle w:val="FootnoteReference"/>
        </w:rPr>
        <w:footnoteRef/>
      </w:r>
      <w:r>
        <w:t>This is the</w:t>
      </w:r>
      <w:r w:rsidRPr="00AB4876">
        <w:t xml:space="preserve"> 2010 figure </w:t>
      </w:r>
      <w:r>
        <w:t>which was obtained from the OECD, IDB &amp; The World Bank (2014) publication entitled ‘Pensions at a Glance: Latin America and the Caribbean’.</w:t>
      </w:r>
      <w:r w:rsidRPr="00AB4876">
        <w:rPr>
          <w:color w:val="000000" w:themeColor="text1"/>
        </w:rPr>
        <w:t xml:space="preserve"> </w:t>
      </w:r>
    </w:p>
  </w:footnote>
  <w:footnote w:id="12">
    <w:p w14:paraId="7B2041F5" w14:textId="0EBEFB57" w:rsidR="00D7239F" w:rsidRPr="00AB4876" w:rsidRDefault="00D7239F" w:rsidP="00F86018">
      <w:pPr>
        <w:pStyle w:val="FootnoteText"/>
        <w:rPr>
          <w:color w:val="000000" w:themeColor="text1"/>
        </w:rPr>
      </w:pPr>
      <w:r w:rsidRPr="00AB4876">
        <w:rPr>
          <w:rStyle w:val="FootnoteReference"/>
          <w:color w:val="000000" w:themeColor="text1"/>
        </w:rPr>
        <w:footnoteRef/>
      </w:r>
      <w:r w:rsidRPr="00AB4876">
        <w:rPr>
          <w:color w:val="000000" w:themeColor="text1"/>
        </w:rPr>
        <w:t xml:space="preserve"> </w:t>
      </w:r>
      <w:r>
        <w:t>This is the</w:t>
      </w:r>
      <w:r w:rsidRPr="00AB4876">
        <w:t xml:space="preserve"> 2010 figure </w:t>
      </w:r>
      <w:r>
        <w:t>which was obtained from the OECD, IDB &amp; The World Bank (2014) publication.</w:t>
      </w:r>
    </w:p>
  </w:footnote>
  <w:footnote w:id="13">
    <w:p w14:paraId="1F8F55C8" w14:textId="2F6B85E5" w:rsidR="00D7239F" w:rsidRPr="004F33B6" w:rsidRDefault="00D7239F" w:rsidP="00F86018">
      <w:pPr>
        <w:pStyle w:val="FootnoteText"/>
        <w:rPr>
          <w:color w:val="000000" w:themeColor="text1"/>
        </w:rPr>
      </w:pPr>
      <w:r w:rsidRPr="00AB4876">
        <w:rPr>
          <w:rStyle w:val="FootnoteReference"/>
          <w:color w:val="000000" w:themeColor="text1"/>
        </w:rPr>
        <w:footnoteRef/>
      </w:r>
      <w:r w:rsidRPr="004F33B6">
        <w:rPr>
          <w:color w:val="000000" w:themeColor="text1"/>
        </w:rPr>
        <w:t xml:space="preserve"> Source: Sousa &amp; Fedec</w:t>
      </w:r>
      <w:r>
        <w:rPr>
          <w:color w:val="000000" w:themeColor="text1"/>
        </w:rPr>
        <w:t xml:space="preserve"> </w:t>
      </w:r>
      <w:r w:rsidRPr="004F33B6">
        <w:rPr>
          <w:color w:val="000000" w:themeColor="text1"/>
        </w:rPr>
        <w:t>(2017)</w:t>
      </w:r>
      <w:r>
        <w:t>.</w:t>
      </w:r>
    </w:p>
  </w:footnote>
  <w:footnote w:id="14">
    <w:p w14:paraId="58DAA435" w14:textId="40BB57D8" w:rsidR="00D7239F" w:rsidRPr="00AB4876" w:rsidRDefault="00D7239F" w:rsidP="00F86018">
      <w:pPr>
        <w:pStyle w:val="FootnoteText"/>
        <w:rPr>
          <w:color w:val="000000" w:themeColor="text1"/>
        </w:rPr>
      </w:pPr>
      <w:r w:rsidRPr="00AB4876">
        <w:rPr>
          <w:rStyle w:val="FootnoteReference"/>
          <w:color w:val="000000" w:themeColor="text1"/>
        </w:rPr>
        <w:footnoteRef/>
      </w:r>
      <w:r w:rsidRPr="00AB4876">
        <w:rPr>
          <w:color w:val="000000" w:themeColor="text1"/>
        </w:rPr>
        <w:t xml:space="preserve"> </w:t>
      </w:r>
      <w:r>
        <w:rPr>
          <w:color w:val="000000" w:themeColor="text1"/>
        </w:rPr>
        <w:t xml:space="preserve">Source: </w:t>
      </w:r>
      <w:r w:rsidRPr="00C55FED">
        <w:rPr>
          <w:color w:val="000000" w:themeColor="text1"/>
        </w:rPr>
        <w:t>OECD, IDB &amp; The World Bank (2014)</w:t>
      </w:r>
    </w:p>
  </w:footnote>
  <w:footnote w:id="15">
    <w:p w14:paraId="7204E49F" w14:textId="40C38B31" w:rsidR="00D7239F" w:rsidRPr="00AB4876" w:rsidRDefault="00D7239F" w:rsidP="00C55FED">
      <w:pPr>
        <w:pStyle w:val="FootnoteText"/>
        <w:rPr>
          <w:color w:val="000000" w:themeColor="text1"/>
        </w:rPr>
      </w:pPr>
      <w:r w:rsidRPr="00AB4876">
        <w:rPr>
          <w:rStyle w:val="FootnoteReference"/>
          <w:color w:val="000000" w:themeColor="text1"/>
        </w:rPr>
        <w:footnoteRef/>
      </w:r>
      <w:r w:rsidRPr="00AB4876">
        <w:rPr>
          <w:color w:val="000000" w:themeColor="text1"/>
        </w:rPr>
        <w:t xml:space="preserve"> </w:t>
      </w:r>
      <w:r w:rsidRPr="00AB4876">
        <w:rPr>
          <w:color w:val="000000" w:themeColor="text1"/>
        </w:rPr>
        <w:fldChar w:fldCharType="begin"/>
      </w:r>
      <w:r w:rsidRPr="00AB4876">
        <w:rPr>
          <w:color w:val="000000" w:themeColor="text1"/>
        </w:rPr>
        <w:instrText xml:space="preserve"> ADDIN EN.CITE &lt;EndNote&gt;&lt;Cite&gt;&lt;Author&gt;OECD&lt;/Author&gt;&lt;Year&gt;2014&lt;/Year&gt;&lt;IDText&gt;Pensions at a Glance&lt;/IDText&gt;&lt;DisplayText&gt;Ibid.&lt;/DisplayText&gt;&lt;record&gt;&lt;urls&gt;&lt;related-urls&gt;&lt;url&gt;http://dx.doi.org/10.1787/pension_glance-2014-en&lt;/url&gt;&lt;/related-urls&gt;&lt;/urls&gt;&lt;titles&gt;&lt;title&gt;Pensions at a Glance: Latin America and the Caribbean&lt;/title&gt;&lt;/titles&gt;&lt;contributors&gt;&lt;authors&gt;&lt;author&gt;OECD&lt;/author&gt;&lt;author&gt;IDB&lt;/author&gt;&lt;author&gt;The World Bank&lt;/author&gt;&lt;/authors&gt;&lt;/contributors&gt;&lt;added-date format="utc"&gt;1503002038&lt;/added-date&gt;&lt;ref-type name="Book"&gt;6&lt;/ref-type&gt;&lt;dates&gt;&lt;year&gt;2014&lt;/year&gt;&lt;/dates&gt;&lt;rec-number&gt;665&lt;/rec-number&gt;&lt;publisher&gt;OECD Publishing&lt;/publisher&gt;&lt;last-updated-date format="utc"&gt;1504641203&lt;/last-updated-date&gt;&lt;/record&gt;&lt;/Cite&gt;&lt;/EndNote&gt;</w:instrText>
      </w:r>
      <w:r w:rsidRPr="00AB4876">
        <w:rPr>
          <w:color w:val="000000" w:themeColor="text1"/>
        </w:rPr>
        <w:fldChar w:fldCharType="separate"/>
      </w:r>
      <w:r w:rsidRPr="00AB4876">
        <w:rPr>
          <w:noProof/>
          <w:color w:val="000000" w:themeColor="text1"/>
        </w:rPr>
        <w:t>I</w:t>
      </w:r>
      <w:r w:rsidRPr="00C55FED">
        <w:rPr>
          <w:color w:val="000000" w:themeColor="text1"/>
        </w:rPr>
        <w:t xml:space="preserve"> </w:t>
      </w:r>
      <w:r>
        <w:rPr>
          <w:color w:val="000000" w:themeColor="text1"/>
        </w:rPr>
        <w:t xml:space="preserve">Source: </w:t>
      </w:r>
      <w:r w:rsidRPr="00C55FED">
        <w:rPr>
          <w:color w:val="000000" w:themeColor="text1"/>
        </w:rPr>
        <w:t>OECD, IDB &amp; The World Bank (2014)</w:t>
      </w:r>
    </w:p>
    <w:p w14:paraId="56DA7B31" w14:textId="3C4D06A6" w:rsidR="00D7239F" w:rsidRPr="00AB4876" w:rsidRDefault="00D7239F" w:rsidP="00F86018">
      <w:pPr>
        <w:pStyle w:val="FootnoteText"/>
        <w:rPr>
          <w:color w:val="000000" w:themeColor="text1"/>
        </w:rPr>
      </w:pPr>
      <w:r w:rsidRPr="00AB4876">
        <w:rPr>
          <w:color w:val="000000" w:themeColor="text1"/>
        </w:rPr>
        <w:fldChar w:fldCharType="end"/>
      </w:r>
    </w:p>
  </w:footnote>
  <w:footnote w:id="16">
    <w:p w14:paraId="6E3E23E3" w14:textId="77777777" w:rsidR="00D7239F" w:rsidRPr="002A67F9" w:rsidRDefault="00D7239F" w:rsidP="00607325">
      <w:pPr>
        <w:pStyle w:val="FootnoteText"/>
        <w:ind w:firstLine="0"/>
        <w:rPr>
          <w:lang w:val="en-TT"/>
        </w:rPr>
      </w:pPr>
      <w:r>
        <w:rPr>
          <w:rStyle w:val="FootnoteReference"/>
        </w:rPr>
        <w:footnoteRef/>
      </w:r>
      <w:r>
        <w:t>The term ‘</w:t>
      </w:r>
      <w:r w:rsidRPr="002A67F9">
        <w:rPr>
          <w:i/>
        </w:rPr>
        <w:t>Trinbagonian</w:t>
      </w:r>
      <w:r>
        <w:t>’ is used to refer to a</w:t>
      </w:r>
      <w:r w:rsidRPr="002A67F9">
        <w:t xml:space="preserve"> native or inhabitant of Trinidad and Tobago.</w:t>
      </w:r>
    </w:p>
  </w:footnote>
  <w:footnote w:id="17">
    <w:p w14:paraId="338B0BB8" w14:textId="7158A3D7" w:rsidR="00D7239F" w:rsidRPr="00AB4876" w:rsidRDefault="00D7239F" w:rsidP="001872CF">
      <w:pPr>
        <w:pStyle w:val="FootnoteText"/>
        <w:rPr>
          <w:lang w:val="en-TT"/>
        </w:rPr>
      </w:pPr>
      <w:r w:rsidRPr="00AB4876">
        <w:rPr>
          <w:rStyle w:val="FootnoteReference"/>
        </w:rPr>
        <w:footnoteRef/>
      </w:r>
      <w:r w:rsidRPr="00AB4876">
        <w:t xml:space="preserve"> </w:t>
      </w:r>
      <w:r>
        <w:t>UN 2011, p. 24.</w:t>
      </w:r>
    </w:p>
  </w:footnote>
  <w:footnote w:id="18">
    <w:p w14:paraId="784D531A" w14:textId="54FDBDD5" w:rsidR="00D7239F" w:rsidRPr="00AB4876" w:rsidRDefault="00D7239F" w:rsidP="001872CF">
      <w:pPr>
        <w:pStyle w:val="FootnoteText"/>
        <w:rPr>
          <w:lang w:val="en-TT"/>
        </w:rPr>
      </w:pPr>
      <w:r w:rsidRPr="00AB4876">
        <w:rPr>
          <w:rStyle w:val="FootnoteReference"/>
        </w:rPr>
        <w:footnoteRef/>
      </w:r>
      <w:r>
        <w:t>Jones 2015.</w:t>
      </w:r>
    </w:p>
  </w:footnote>
  <w:footnote w:id="19">
    <w:p w14:paraId="797309AD" w14:textId="77777777" w:rsidR="00D7239F" w:rsidRPr="002E7164" w:rsidRDefault="00D7239F" w:rsidP="006A6733">
      <w:pPr>
        <w:pStyle w:val="FootnoteText"/>
      </w:pPr>
      <w:r>
        <w:rPr>
          <w:rStyle w:val="FootnoteReference"/>
        </w:rPr>
        <w:footnoteRef/>
      </w:r>
      <w:r>
        <w:t xml:space="preserve"> </w:t>
      </w:r>
      <w:r w:rsidRPr="002E7164">
        <w:t xml:space="preserve">In addition to the statements made by the two older Trinidadian participants above, many recent peer-reviewed publications on ageing also used varied terms to refer to persons aged sixty years and over. The term elderly is used in publications such as de Guzman et al. (2012), Jervis, Boland and Fickenscher (2010), and especially in health-related journal articles such as Goto et al. (2019), Mc Gee et al. (2019), and, Wang &amp; Wu (2017) to name a few. The word ‘elder’ and its derivatives such as ‘elder care’ and ‘elder abuse’ are also popular in peer-reviewed publications such as Blomqvist and Winblad (2019), Chen, Chen and Song (2018), Kolker (2018), Morrissey et al. (2019), Tesch-Roemer </w:t>
      </w:r>
      <w:r>
        <w:t>(2018), Thang and Yeung (2018).</w:t>
      </w:r>
    </w:p>
  </w:footnote>
  <w:footnote w:id="20">
    <w:p w14:paraId="2CD7DAD1" w14:textId="3C25A290" w:rsidR="00D7239F" w:rsidRPr="004F16A7" w:rsidRDefault="00D7239F">
      <w:pPr>
        <w:pStyle w:val="FootnoteText"/>
      </w:pPr>
      <w:r>
        <w:rPr>
          <w:rStyle w:val="FootnoteReference"/>
        </w:rPr>
        <w:footnoteRef/>
      </w:r>
      <w:r>
        <w:t xml:space="preserve"> See the abbreviation list above.</w:t>
      </w:r>
    </w:p>
  </w:footnote>
  <w:footnote w:id="21">
    <w:p w14:paraId="6B77A049" w14:textId="53243025" w:rsidR="00D7239F" w:rsidRPr="00AB4876" w:rsidRDefault="00D7239F" w:rsidP="001F077F">
      <w:pPr>
        <w:pStyle w:val="FootnoteText"/>
      </w:pPr>
      <w:r w:rsidRPr="00AB4876">
        <w:rPr>
          <w:rStyle w:val="FootnoteReference"/>
        </w:rPr>
        <w:footnoteRef/>
      </w:r>
      <w:r w:rsidRPr="00AB4876">
        <w:t xml:space="preserve"> The various streams of feminism include the Liberal, Social/Marxist, Radical, Materialist and Black feminism, as well as Dual-systems and Triple-Systems feminism (</w:t>
      </w:r>
      <w:r w:rsidRPr="002776C5">
        <w:t>Steel, Kidd &amp; Brown 2012</w:t>
      </w:r>
      <w:r>
        <w:t>, p.</w:t>
      </w:r>
      <w:r w:rsidRPr="00AB4876">
        <w:t xml:space="preserve"> 56-59)</w:t>
      </w:r>
      <w:r>
        <w:t>.</w:t>
      </w:r>
    </w:p>
  </w:footnote>
  <w:footnote w:id="22">
    <w:p w14:paraId="674D0B40" w14:textId="548E06DC" w:rsidR="00D7239F" w:rsidRPr="00AB4876" w:rsidRDefault="00D7239F" w:rsidP="001F077F">
      <w:pPr>
        <w:pStyle w:val="FootnoteText"/>
      </w:pPr>
      <w:r w:rsidRPr="00AB4876">
        <w:rPr>
          <w:rStyle w:val="FootnoteReference"/>
        </w:rPr>
        <w:footnoteRef/>
      </w:r>
      <w:r w:rsidRPr="00AB4876">
        <w:t xml:space="preserve"> During the colonial period, the population size of the Kalinago was significantly reduced to a minority as they were plagued by disease and suffered atrocities, which diminished their overall numbers. </w:t>
      </w:r>
    </w:p>
  </w:footnote>
  <w:footnote w:id="23">
    <w:p w14:paraId="11B58479" w14:textId="305EA60A" w:rsidR="00D7239F" w:rsidRPr="00AB4876" w:rsidRDefault="00D7239F" w:rsidP="001F077F">
      <w:pPr>
        <w:pStyle w:val="FootnoteText"/>
      </w:pPr>
      <w:r w:rsidRPr="00AB4876">
        <w:rPr>
          <w:rStyle w:val="FootnoteReference"/>
        </w:rPr>
        <w:footnoteRef/>
      </w:r>
      <w:r w:rsidRPr="00AB4876">
        <w:t xml:space="preserve"> The issue of cultural retention versus cultural erasure of African culture by former slaves was hotly debated for some time. However, it is now widely accepted that while full cultural retention could not be achieved</w:t>
      </w:r>
      <w:r>
        <w:t>:</w:t>
      </w:r>
      <w:r w:rsidRPr="00AB4876">
        <w:t xml:space="preserve"> ‘</w:t>
      </w:r>
      <w:r w:rsidRPr="00CC1DCA">
        <w:rPr>
          <w:i/>
        </w:rPr>
        <w:t>deep level cultural principles</w:t>
      </w:r>
      <w:r w:rsidRPr="00AB4876">
        <w:t>’ were maintained to varying degrees (Olwig</w:t>
      </w:r>
      <w:r>
        <w:t xml:space="preserve"> cited in</w:t>
      </w:r>
      <w:r w:rsidRPr="00AB4876">
        <w:t xml:space="preserve"> Palmié 1995</w:t>
      </w:r>
      <w:r>
        <w:t>, p.</w:t>
      </w:r>
      <w:r w:rsidRPr="00AB4876">
        <w:t>26).</w:t>
      </w:r>
    </w:p>
  </w:footnote>
  <w:footnote w:id="24">
    <w:p w14:paraId="7BA7D0D9" w14:textId="34539445" w:rsidR="00D7239F" w:rsidRPr="00AB4876" w:rsidRDefault="00D7239F" w:rsidP="001F077F">
      <w:pPr>
        <w:pStyle w:val="FootnoteText"/>
      </w:pPr>
      <w:r w:rsidRPr="00AB4876">
        <w:rPr>
          <w:rStyle w:val="FootnoteReference"/>
        </w:rPr>
        <w:footnoteRef/>
      </w:r>
      <w:r w:rsidRPr="00AB4876">
        <w:t xml:space="preserve"> According to Seegobin (</w:t>
      </w:r>
      <w:r>
        <w:t xml:space="preserve">cited </w:t>
      </w:r>
      <w:r w:rsidRPr="00AB4876">
        <w:t xml:space="preserve">in Ponzetti 2003), child shifting usually occurred when a child’s mother recognised that she was unable to effectively care for the child because of factors such as migration, pregnancy or birth of another child, formation of a new union where the child was unwanted, or where the person taking on the role of caregiver had no children of their own and seemed capable of providing a better life for the child.  </w:t>
      </w:r>
    </w:p>
  </w:footnote>
  <w:footnote w:id="25">
    <w:p w14:paraId="66549B46" w14:textId="190D619E" w:rsidR="00D7239F" w:rsidRPr="00AB4876" w:rsidRDefault="00D7239F" w:rsidP="001F077F">
      <w:pPr>
        <w:pStyle w:val="FootnoteText"/>
      </w:pPr>
      <w:r w:rsidRPr="00AB4876">
        <w:rPr>
          <w:rStyle w:val="FootnoteReference"/>
        </w:rPr>
        <w:footnoteRef/>
      </w:r>
      <w:r w:rsidRPr="00AB4876">
        <w:t xml:space="preserve"> E.g. Sikes</w:t>
      </w:r>
      <w:r>
        <w:t xml:space="preserve"> </w:t>
      </w:r>
      <w:r w:rsidRPr="00AB4876">
        <w:t>and Hall (2016) studied young people’s biographical narratives around navigating parental dementia.</w:t>
      </w:r>
    </w:p>
  </w:footnote>
  <w:footnote w:id="26">
    <w:p w14:paraId="56D5C6C9" w14:textId="77777777" w:rsidR="00D7239F" w:rsidRPr="00AB4876" w:rsidRDefault="00D7239F" w:rsidP="001F077F">
      <w:pPr>
        <w:pStyle w:val="FootnoteText"/>
      </w:pPr>
      <w:r w:rsidRPr="00AB4876">
        <w:rPr>
          <w:rStyle w:val="FootnoteReference"/>
        </w:rPr>
        <w:footnoteRef/>
      </w:r>
      <w:r w:rsidRPr="00AB4876">
        <w:t xml:space="preserve"> This framework is an extension of a typology developed by Bowers (1987) which emphasised the invisible nature of many care activities and the need to differentiate the purpose of care from the care task.</w:t>
      </w:r>
    </w:p>
  </w:footnote>
  <w:footnote w:id="27">
    <w:p w14:paraId="6237FE9C" w14:textId="4396B960" w:rsidR="00D7239F" w:rsidRPr="00AB4876" w:rsidRDefault="00D7239F" w:rsidP="001F077F">
      <w:pPr>
        <w:pStyle w:val="FootnoteText"/>
      </w:pPr>
      <w:r w:rsidRPr="00AB4876">
        <w:rPr>
          <w:rStyle w:val="FootnoteReference"/>
        </w:rPr>
        <w:footnoteRef/>
      </w:r>
      <w:r w:rsidRPr="00AB4876">
        <w:t xml:space="preserve"> Unlike Bower’s initial conceptualisation, Nolan and colleagues view</w:t>
      </w:r>
      <w:r>
        <w:t>ed</w:t>
      </w:r>
      <w:r w:rsidRPr="00AB4876">
        <w:t xml:space="preserve"> anticipatory care as extending throughout the caregiving history, rather than being limited to the early stages of caregiving (</w:t>
      </w:r>
      <w:r>
        <w:rPr>
          <w:rFonts w:ascii="Times New Roman" w:eastAsiaTheme="minorHAnsi" w:hAnsi="Times New Roman" w:cs="Times New Roman"/>
          <w:szCs w:val="24"/>
          <w:lang w:val="en-TT" w:eastAsia="en-US"/>
        </w:rPr>
        <w:t>Nolan, Keady &amp; Grant</w:t>
      </w:r>
      <w:r w:rsidRPr="00AB4876">
        <w:t xml:space="preserve"> 1995). They qualif</w:t>
      </w:r>
      <w:r>
        <w:t>ied</w:t>
      </w:r>
      <w:r w:rsidRPr="00AB4876">
        <w:t xml:space="preserve"> this further</w:t>
      </w:r>
      <w:r>
        <w:t>,</w:t>
      </w:r>
      <w:r w:rsidRPr="00AB4876">
        <w:t xml:space="preserve"> by identifying two distinct types of anticipatory care: 1) speculative anticipation </w:t>
      </w:r>
      <w:r w:rsidRPr="002957AE">
        <w:rPr>
          <w:rFonts w:ascii="Times New Roman" w:hAnsi="Times New Roman" w:cs="Times New Roman"/>
          <w:szCs w:val="24"/>
        </w:rPr>
        <w:t xml:space="preserve">– </w:t>
      </w:r>
      <w:r w:rsidRPr="00AB4876">
        <w:t xml:space="preserve">occurs when the carer has little or no information/knowledge on which to base his/her judgement which results in the carer either to over-anticipating or </w:t>
      </w:r>
      <w:r>
        <w:t>u</w:t>
      </w:r>
      <w:r w:rsidRPr="00AB4876">
        <w:t xml:space="preserve">nder-anticipating possible future demands; </w:t>
      </w:r>
      <w:r>
        <w:t xml:space="preserve">and, </w:t>
      </w:r>
      <w:r w:rsidRPr="00AB4876">
        <w:t xml:space="preserve">2) informed anticipation </w:t>
      </w:r>
      <w:r w:rsidRPr="002957AE">
        <w:rPr>
          <w:rFonts w:ascii="Times New Roman" w:hAnsi="Times New Roman" w:cs="Times New Roman"/>
          <w:szCs w:val="24"/>
        </w:rPr>
        <w:t xml:space="preserve">– </w:t>
      </w:r>
      <w:r w:rsidRPr="00AB4876">
        <w:t>occurs when the carer has access to adequate knowledge to aid the identification of likely future needs and allows for a more balanced perspective to emerge than when information/knowledge is lacking (</w:t>
      </w:r>
      <w:r>
        <w:rPr>
          <w:rFonts w:ascii="Times New Roman" w:eastAsiaTheme="minorHAnsi" w:hAnsi="Times New Roman" w:cs="Times New Roman"/>
          <w:szCs w:val="24"/>
          <w:lang w:val="en-TT" w:eastAsia="en-US"/>
        </w:rPr>
        <w:t>Nolan, Keady &amp; Grant</w:t>
      </w:r>
      <w:r w:rsidRPr="00AB4876">
        <w:t xml:space="preserve"> 1995).</w:t>
      </w:r>
    </w:p>
  </w:footnote>
  <w:footnote w:id="28">
    <w:p w14:paraId="192F8E9A" w14:textId="77777777" w:rsidR="00D7239F" w:rsidRPr="00AB4876" w:rsidRDefault="00D7239F" w:rsidP="001F077F">
      <w:pPr>
        <w:pStyle w:val="FootnoteText"/>
      </w:pPr>
      <w:r w:rsidRPr="00AB4876">
        <w:rPr>
          <w:rStyle w:val="FootnoteReference"/>
        </w:rPr>
        <w:footnoteRef/>
      </w:r>
      <w:r w:rsidRPr="00AB4876">
        <w:t xml:space="preserve"> Nolan et al (1995) retained Bower’s original conceptualisation of preventive, supervisory care and instrumental care.</w:t>
      </w:r>
    </w:p>
  </w:footnote>
  <w:footnote w:id="29">
    <w:p w14:paraId="507E5AF3" w14:textId="77777777" w:rsidR="00D7239F" w:rsidRPr="00AB4876" w:rsidRDefault="00D7239F" w:rsidP="001F077F">
      <w:pPr>
        <w:pStyle w:val="FootnoteText"/>
      </w:pPr>
      <w:r w:rsidRPr="00AB4876">
        <w:rPr>
          <w:rStyle w:val="FootnoteReference"/>
        </w:rPr>
        <w:footnoteRef/>
      </w:r>
      <w:r w:rsidRPr="00AB4876">
        <w:t xml:space="preserve"> Unlike Bower who replaced protective care with preservative care, Nolan et al decided to include these two types of care in their typology but used time as the distinguishing characteristic. </w:t>
      </w:r>
    </w:p>
  </w:footnote>
  <w:footnote w:id="30">
    <w:p w14:paraId="1A73EE2D" w14:textId="77777777" w:rsidR="00D7239F" w:rsidRPr="00AB4876" w:rsidRDefault="00D7239F" w:rsidP="001F077F">
      <w:pPr>
        <w:pStyle w:val="FootnoteText"/>
      </w:pPr>
      <w:r w:rsidRPr="00AB4876">
        <w:rPr>
          <w:rStyle w:val="FootnoteReference"/>
        </w:rPr>
        <w:footnoteRef/>
      </w:r>
      <w:r w:rsidRPr="00AB4876">
        <w:t xml:space="preserve"> Reconstructive and reciprocal care are two new categories of care that Nolan and colleagues added to those initially provided by Bower. </w:t>
      </w:r>
    </w:p>
  </w:footnote>
  <w:footnote w:id="31">
    <w:p w14:paraId="6C84FC47" w14:textId="6BEF388B" w:rsidR="00D7239F" w:rsidRPr="00AB4876" w:rsidRDefault="00D7239F" w:rsidP="001F077F">
      <w:pPr>
        <w:pStyle w:val="FootnoteText"/>
      </w:pPr>
      <w:r w:rsidRPr="00AB4876">
        <w:rPr>
          <w:rStyle w:val="FootnoteReference"/>
        </w:rPr>
        <w:footnoteRef/>
      </w:r>
      <w:r w:rsidRPr="00AB4876">
        <w:t xml:space="preserve"> Care needs may switch from acute to chronic and vice versa at intermittent periods that span many years. Similarly, the role of family caregivers may alternate from primary caregiver to that of secondary caregiver at various points along the care trajectory given changing circumstances (Masuy 2011).</w:t>
      </w:r>
    </w:p>
  </w:footnote>
  <w:footnote w:id="32">
    <w:p w14:paraId="00DCA429" w14:textId="50279BC9" w:rsidR="00D7239F" w:rsidRPr="001E3E13" w:rsidRDefault="00D7239F">
      <w:pPr>
        <w:pStyle w:val="FootnoteText"/>
      </w:pPr>
      <w:r>
        <w:rPr>
          <w:rStyle w:val="FootnoteReference"/>
        </w:rPr>
        <w:footnoteRef/>
      </w:r>
      <w:r>
        <w:t xml:space="preserve"> </w:t>
      </w:r>
      <w:r w:rsidRPr="001E3E13">
        <w:t>‘Depth’ is one the eight desiderata highlighted by Gerring (1999</w:t>
      </w:r>
      <w:r>
        <w:t>, p. 367</w:t>
      </w:r>
      <w:r w:rsidRPr="001E3E13">
        <w:t>) that qualifies a concept as adequate.</w:t>
      </w:r>
      <w:r>
        <w:t xml:space="preserve"> The others are: familiarity; resonance; parsimony; coherence; differentiation; theoretical utility; and, field utility. </w:t>
      </w:r>
    </w:p>
  </w:footnote>
  <w:footnote w:id="33">
    <w:p w14:paraId="5ABEBEC3" w14:textId="77777777" w:rsidR="00D7239F" w:rsidRPr="00AB4876" w:rsidRDefault="00D7239F" w:rsidP="00960ECA">
      <w:pPr>
        <w:pStyle w:val="FootnoteText"/>
      </w:pPr>
      <w:r w:rsidRPr="00AB4876">
        <w:rPr>
          <w:rStyle w:val="FootnoteReference"/>
        </w:rPr>
        <w:footnoteRef/>
      </w:r>
      <w:r w:rsidRPr="00AB4876">
        <w:t xml:space="preserve"> His empirical studies revealed that the welfare regimes of Southern European countries (and Japan) were described as having a familialistic orientation to welfare given their reliance on and active support of the family as the main source of care provision, while Nordic welfare regimes were considered to have more de-familialised welfare regimes that attempted to relieve the family from caring responsibilities by socializing or marketing the caring function of the family through public social services or market-driven c</w:t>
      </w:r>
      <w:r>
        <w:t>are provision (Esping-Andersen 1999; Leitner</w:t>
      </w:r>
      <w:r w:rsidRPr="00AB4876">
        <w:t xml:space="preserve"> 2003; Micho</w:t>
      </w:r>
      <w:r w:rsidRPr="00AB4876">
        <w:rPr>
          <w:rFonts w:cs="Times New Roman"/>
        </w:rPr>
        <w:t>ń</w:t>
      </w:r>
      <w:r>
        <w:t xml:space="preserve"> </w:t>
      </w:r>
      <w:r w:rsidRPr="00AB4876">
        <w:t>2008).</w:t>
      </w:r>
    </w:p>
  </w:footnote>
  <w:footnote w:id="34">
    <w:p w14:paraId="358F71B5" w14:textId="77777777" w:rsidR="00D7239F" w:rsidRPr="00AB4876" w:rsidRDefault="00D7239F" w:rsidP="00B13C11">
      <w:pPr>
        <w:pStyle w:val="FootnoteText"/>
      </w:pPr>
      <w:r w:rsidRPr="00AB4876">
        <w:rPr>
          <w:rStyle w:val="FootnoteReference"/>
        </w:rPr>
        <w:footnoteRef/>
      </w:r>
      <w:r w:rsidRPr="00AB4876">
        <w:t xml:space="preserve"> Source: Leitner (2003</w:t>
      </w:r>
      <w:r>
        <w:t>, p.</w:t>
      </w:r>
      <w:r w:rsidRPr="00AB4876">
        <w:t xml:space="preserve"> 358)</w:t>
      </w:r>
      <w:r>
        <w:t>.</w:t>
      </w:r>
    </w:p>
  </w:footnote>
  <w:footnote w:id="35">
    <w:p w14:paraId="0224DEE5" w14:textId="77777777" w:rsidR="00D7239F" w:rsidRPr="00AB4876" w:rsidRDefault="00D7239F" w:rsidP="00F7016E">
      <w:pPr>
        <w:pStyle w:val="FootnoteText"/>
      </w:pPr>
      <w:r w:rsidRPr="00AB4876">
        <w:rPr>
          <w:rStyle w:val="FootnoteReference"/>
        </w:rPr>
        <w:footnoteRef/>
      </w:r>
      <w:r w:rsidRPr="00AB4876">
        <w:t xml:space="preserve"> Masuy adapted Newman’s Behavioural Model of Health Care Utilisation to organise the variables for family care use. Some of the variables in Newman’s model were shifted to a different broad category so that the arrangement was better suited to an understanding of the determinants of family caregiving. </w:t>
      </w:r>
    </w:p>
  </w:footnote>
  <w:footnote w:id="36">
    <w:p w14:paraId="675693ED" w14:textId="77777777" w:rsidR="00D7239F" w:rsidRPr="00AB4876" w:rsidRDefault="00D7239F" w:rsidP="002A7CE0">
      <w:pPr>
        <w:pStyle w:val="FootnoteText"/>
      </w:pPr>
      <w:r w:rsidRPr="00AB4876">
        <w:rPr>
          <w:rStyle w:val="FootnoteReference"/>
        </w:rPr>
        <w:footnoteRef/>
      </w:r>
      <w:r w:rsidRPr="00AB4876">
        <w:t xml:space="preserve"> This is in direct contrast to the functionalist mode of inquiry in which solidarity is the starting point of research activities.</w:t>
      </w:r>
    </w:p>
  </w:footnote>
  <w:footnote w:id="37">
    <w:p w14:paraId="7F75E7BD" w14:textId="77777777" w:rsidR="00D7239F" w:rsidRPr="00AB4876" w:rsidRDefault="00D7239F" w:rsidP="00855EB2">
      <w:pPr>
        <w:pStyle w:val="FootnoteText"/>
      </w:pPr>
      <w:r w:rsidRPr="00AB4876">
        <w:rPr>
          <w:rStyle w:val="FootnoteReference"/>
        </w:rPr>
        <w:footnoteRef/>
      </w:r>
      <w:r w:rsidRPr="00AB4876">
        <w:t xml:space="preserve"> Misfortune is distinct from mishap, since the latter refers to “</w:t>
      </w:r>
      <w:r w:rsidRPr="004D452B">
        <w:rPr>
          <w:i/>
        </w:rPr>
        <w:t>a trivial instance of bad luck</w:t>
      </w:r>
      <w:r w:rsidRPr="00AB4876">
        <w:t>”. It may be caused by man-made or natural disasters and may be caused by factors external to the individual, or it may be triggered by the actions of the person suffering from adverse circumstances.</w:t>
      </w:r>
    </w:p>
  </w:footnote>
  <w:footnote w:id="38">
    <w:p w14:paraId="694830BF" w14:textId="0788F25C" w:rsidR="00D7239F" w:rsidRPr="00AB4876" w:rsidRDefault="00D7239F" w:rsidP="00855EB2">
      <w:pPr>
        <w:pStyle w:val="FootnoteText"/>
      </w:pPr>
      <w:r w:rsidRPr="00AB4876">
        <w:rPr>
          <w:rStyle w:val="FootnoteReference"/>
        </w:rPr>
        <w:footnoteRef/>
      </w:r>
      <w:r>
        <w:t xml:space="preserve"> Mc Crae’s article entitled </w:t>
      </w:r>
      <w:r w:rsidRPr="00F7346D">
        <w:rPr>
          <w:i/>
        </w:rPr>
        <w:t>Situational Determinants of Coping Responses: Loss, Threat, and Challenge</w:t>
      </w:r>
      <w:r>
        <w:t xml:space="preserve"> was cited in</w:t>
      </w:r>
      <w:r w:rsidRPr="00AB4876">
        <w:t xml:space="preserve"> Mattlin </w:t>
      </w:r>
      <w:r>
        <w:t>(</w:t>
      </w:r>
      <w:r w:rsidRPr="00AB4876">
        <w:t>1990</w:t>
      </w:r>
      <w:r>
        <w:t>)</w:t>
      </w:r>
      <w:r w:rsidRPr="00AB4876">
        <w:t xml:space="preserve">. </w:t>
      </w:r>
    </w:p>
  </w:footnote>
  <w:footnote w:id="39">
    <w:p w14:paraId="11830F98" w14:textId="374A50C7" w:rsidR="00D7239F" w:rsidRPr="00AB4876" w:rsidRDefault="00D7239F" w:rsidP="00855EB2">
      <w:pPr>
        <w:pStyle w:val="FootnoteText"/>
      </w:pPr>
      <w:r w:rsidRPr="00AB4876">
        <w:rPr>
          <w:rStyle w:val="FootnoteReference"/>
        </w:rPr>
        <w:footnoteRef/>
      </w:r>
      <w:r w:rsidRPr="00AB4876">
        <w:t xml:space="preserve"> According to Pearlin, </w:t>
      </w:r>
      <w:r>
        <w:t>l</w:t>
      </w:r>
      <w:r w:rsidRPr="00AB4876">
        <w:t>ife events and stressors are interdependent. The relationship that exists between these two stressors are</w:t>
      </w:r>
      <w:r w:rsidRPr="000C46C3">
        <w:rPr>
          <w:i/>
        </w:rPr>
        <w:t>, inter alia</w:t>
      </w:r>
      <w:r w:rsidRPr="00AB4876">
        <w:t>: 1) Life events lead to chronic strain; and</w:t>
      </w:r>
      <w:r>
        <w:t>,</w:t>
      </w:r>
      <w:r w:rsidRPr="00AB4876">
        <w:t xml:space="preserve"> 2) Chronic strains lead to life events</w:t>
      </w:r>
      <w:r>
        <w:t>.</w:t>
      </w:r>
    </w:p>
  </w:footnote>
  <w:footnote w:id="40">
    <w:p w14:paraId="6BF9E586" w14:textId="31716BDB" w:rsidR="00D7239F" w:rsidRPr="00AB4876" w:rsidRDefault="00D7239F" w:rsidP="00855EB2">
      <w:pPr>
        <w:pStyle w:val="FootnoteText"/>
      </w:pPr>
      <w:r w:rsidRPr="00AB4876">
        <w:rPr>
          <w:rStyle w:val="FootnoteReference"/>
        </w:rPr>
        <w:footnoteRef/>
      </w:r>
      <w:r w:rsidRPr="00AB4876">
        <w:t xml:space="preserve"> Thoits qualified social networks à la Pearlin as referring to structural support</w:t>
      </w:r>
      <w:r>
        <w:t>:</w:t>
      </w:r>
      <w:r w:rsidRPr="00AB4876">
        <w:t xml:space="preserve"> “</w:t>
      </w:r>
      <w:r w:rsidRPr="00053D25">
        <w:t>Structural support refers to the organization of people's ties to one another, in particular, to the number of relationships or social roles a person has, to the frequency of his/her contact with various network members, to the density and multiplexity of relationships among network members, and so forth. Network measures often capture the individual's level or degree of social isolation/integration or social embeddedness” (Thoits 1995, p. 64).</w:t>
      </w:r>
    </w:p>
  </w:footnote>
  <w:footnote w:id="41">
    <w:p w14:paraId="6CE7456E" w14:textId="392EF108" w:rsidR="00D7239F" w:rsidRPr="00AB4876" w:rsidRDefault="00D7239F" w:rsidP="00855EB2">
      <w:pPr>
        <w:pStyle w:val="FootnoteText"/>
      </w:pPr>
      <w:r w:rsidRPr="00AB4876">
        <w:rPr>
          <w:rStyle w:val="FootnoteReference"/>
        </w:rPr>
        <w:footnoteRef/>
      </w:r>
      <w:r w:rsidRPr="00AB4876">
        <w:t xml:space="preserve"> The participants felt that doctors, nurses, and social workers communicated with compassion and that they were instrumental in providing support and referrals. The health-care providers assisted with tangible material but also focused on providing the patients with encouragement, attended to their emotional needs, provided support, and assured them that they were not alone in the</w:t>
      </w:r>
      <w:r>
        <w:t>ir</w:t>
      </w:r>
      <w:r w:rsidRPr="00AB4876">
        <w:t xml:space="preserve"> medical journey</w:t>
      </w:r>
      <w:r>
        <w:t>.</w:t>
      </w:r>
    </w:p>
  </w:footnote>
  <w:footnote w:id="42">
    <w:p w14:paraId="7F5F819F" w14:textId="5BD7247C" w:rsidR="00D7239F" w:rsidRPr="00AB4876" w:rsidRDefault="00D7239F" w:rsidP="00855EB2">
      <w:pPr>
        <w:pStyle w:val="FootnoteText"/>
        <w:tabs>
          <w:tab w:val="left" w:pos="8502"/>
        </w:tabs>
      </w:pPr>
      <w:r w:rsidRPr="00AB4876">
        <w:rPr>
          <w:rStyle w:val="FootnoteReference"/>
        </w:rPr>
        <w:footnoteRef/>
      </w:r>
      <w:r w:rsidRPr="00AB4876">
        <w:t>Disruptive Voices: The Possibilities of Fe</w:t>
      </w:r>
      <w:r>
        <w:t>minist Research by Fine (1992 cited in Dunahoo et al.</w:t>
      </w:r>
      <w:r w:rsidRPr="00AB4876">
        <w:t xml:space="preserve"> 1998)</w:t>
      </w:r>
      <w:r>
        <w:t>.</w:t>
      </w:r>
      <w:r w:rsidRPr="00AB4876">
        <w:tab/>
      </w:r>
    </w:p>
  </w:footnote>
  <w:footnote w:id="43">
    <w:p w14:paraId="3D52D7F5" w14:textId="19EB6A8D" w:rsidR="00D7239F" w:rsidRPr="00AB4876" w:rsidRDefault="00D7239F" w:rsidP="00C03772">
      <w:pPr>
        <w:pStyle w:val="FootnoteText"/>
      </w:pPr>
      <w:r w:rsidRPr="00AB4876">
        <w:rPr>
          <w:rStyle w:val="FootnoteReference"/>
        </w:rPr>
        <w:footnoteRef/>
      </w:r>
      <w:r w:rsidRPr="00AB4876">
        <w:t xml:space="preserve"> These are discussed in the section </w:t>
      </w:r>
      <w:r>
        <w:t>entitled</w:t>
      </w:r>
      <w:r w:rsidRPr="00AB4876">
        <w:t xml:space="preserve"> </w:t>
      </w:r>
      <w:r w:rsidRPr="000703DB">
        <w:rPr>
          <w:i/>
        </w:rPr>
        <w:t>Setbacks and Mitigating Circumstances</w:t>
      </w:r>
      <w:r w:rsidRPr="00AB4876">
        <w:t xml:space="preserve"> below.</w:t>
      </w:r>
    </w:p>
  </w:footnote>
  <w:footnote w:id="44">
    <w:p w14:paraId="2E339F42" w14:textId="77777777" w:rsidR="00D7239F" w:rsidRPr="00AB4876" w:rsidRDefault="00D7239F" w:rsidP="00C03772">
      <w:pPr>
        <w:pStyle w:val="FootnoteText"/>
      </w:pPr>
      <w:r w:rsidRPr="00AB4876">
        <w:rPr>
          <w:rStyle w:val="FootnoteReference"/>
        </w:rPr>
        <w:footnoteRef/>
      </w:r>
      <w:r w:rsidRPr="00AB4876">
        <w:t xml:space="preserve"> The benefits of using the focus group approach is discussed in more detail in the section that describes Phase 3 of the data collection process. </w:t>
      </w:r>
    </w:p>
  </w:footnote>
  <w:footnote w:id="45">
    <w:p w14:paraId="0D7164DF" w14:textId="0CE3FC45" w:rsidR="00D7239F" w:rsidRPr="00AB4876" w:rsidRDefault="00D7239F" w:rsidP="00C03772">
      <w:pPr>
        <w:pStyle w:val="FootnoteText"/>
      </w:pPr>
      <w:r w:rsidRPr="00AB4876">
        <w:rPr>
          <w:rStyle w:val="FootnoteReference"/>
        </w:rPr>
        <w:footnoteRef/>
      </w:r>
      <w:r w:rsidRPr="00AB4876">
        <w:t xml:space="preserve"> Examples include the Nuremberg Code (1946), the Belmont Report: Ethical Principles and Guidelines for the Protection of Human Subjects for Biomedical and Behavio</w:t>
      </w:r>
      <w:r>
        <w:t>u</w:t>
      </w:r>
      <w:r w:rsidRPr="00AB4876">
        <w:t xml:space="preserve">ral Research (1978) and the British Sociological Association’s Statement of Ethical Practice. </w:t>
      </w:r>
    </w:p>
  </w:footnote>
  <w:footnote w:id="46">
    <w:p w14:paraId="3463B4C1" w14:textId="4C14199A" w:rsidR="00D7239F" w:rsidRPr="00AB4876" w:rsidRDefault="00D7239F" w:rsidP="00C03772">
      <w:pPr>
        <w:pStyle w:val="FootnoteText"/>
        <w:rPr>
          <w:color w:val="000000" w:themeColor="text1"/>
        </w:rPr>
      </w:pPr>
      <w:r w:rsidRPr="00AB4876">
        <w:rPr>
          <w:rStyle w:val="FootnoteReference"/>
        </w:rPr>
        <w:footnoteRef/>
      </w:r>
      <w:r w:rsidRPr="00AB4876">
        <w:t xml:space="preserve"> </w:t>
      </w:r>
      <w:r w:rsidRPr="00AB4876">
        <w:rPr>
          <w:color w:val="000000" w:themeColor="text1"/>
        </w:rPr>
        <w:t xml:space="preserve">Two undated word documents with ethical guidelines were available on the </w:t>
      </w:r>
      <w:r>
        <w:rPr>
          <w:color w:val="000000" w:themeColor="text1"/>
        </w:rPr>
        <w:t>UOS</w:t>
      </w:r>
      <w:r w:rsidRPr="00AB4876">
        <w:rPr>
          <w:color w:val="000000" w:themeColor="text1"/>
        </w:rPr>
        <w:t xml:space="preserve">’s website and entitled: i) A Brief Student Guide to Research Ethics:  </w:t>
      </w:r>
      <w:hyperlink r:id="rId1" w:history="1">
        <w:r w:rsidRPr="00DC4E99">
          <w:rPr>
            <w:rStyle w:val="Hyperlink"/>
            <w:color w:val="000000" w:themeColor="text1"/>
          </w:rPr>
          <w:t>https://www.sheffield.ac.uk/polopoly_fs/1.221498!/file/ABriefStudentGuideToResearchEthics.pdf</w:t>
        </w:r>
      </w:hyperlink>
      <w:r w:rsidRPr="00DC4E99">
        <w:rPr>
          <w:color w:val="000000" w:themeColor="text1"/>
        </w:rPr>
        <w:t xml:space="preserve">  ; ii) Specialist Research Ethics Guidance Paper: Ethical Considerations in Research Involving Older People. </w:t>
      </w:r>
      <w:hyperlink r:id="rId2" w:history="1">
        <w:r w:rsidRPr="00DC4E99">
          <w:rPr>
            <w:rStyle w:val="Hyperlink"/>
            <w:color w:val="000000" w:themeColor="text1"/>
          </w:rPr>
          <w:t>https://www.sheffield.ac.uk/polopoly_fs/1.165643!/file/SREGP-Older-People.pdf</w:t>
        </w:r>
      </w:hyperlink>
      <w:r w:rsidRPr="00DC4E99">
        <w:rPr>
          <w:color w:val="000000" w:themeColor="text1"/>
        </w:rPr>
        <w:t>. These were last accessed on 20</w:t>
      </w:r>
      <w:r w:rsidRPr="00DC4E99">
        <w:rPr>
          <w:color w:val="000000" w:themeColor="text1"/>
          <w:vertAlign w:val="superscript"/>
        </w:rPr>
        <w:t>th</w:t>
      </w:r>
      <w:r w:rsidRPr="00DC4E99">
        <w:rPr>
          <w:color w:val="000000" w:themeColor="text1"/>
        </w:rPr>
        <w:t xml:space="preserve"> February, 2018.</w:t>
      </w:r>
    </w:p>
  </w:footnote>
  <w:footnote w:id="47">
    <w:p w14:paraId="701A2C0C" w14:textId="77777777" w:rsidR="00D7239F" w:rsidRPr="00AB4876" w:rsidRDefault="00D7239F" w:rsidP="00C03772">
      <w:pPr>
        <w:spacing w:line="240" w:lineRule="auto"/>
        <w:rPr>
          <w:sz w:val="20"/>
          <w:szCs w:val="20"/>
        </w:rPr>
      </w:pPr>
      <w:r w:rsidRPr="00AB4876">
        <w:rPr>
          <w:vertAlign w:val="superscript"/>
        </w:rPr>
        <w:footnoteRef/>
      </w:r>
      <w:r w:rsidRPr="00AB4876">
        <w:rPr>
          <w:sz w:val="20"/>
          <w:szCs w:val="20"/>
        </w:rPr>
        <w:t xml:space="preserve"> The focus groups in Tobago were mainly held at senior activity centres where meals were usually provided for members so I was not required to meet that cost.</w:t>
      </w:r>
    </w:p>
  </w:footnote>
  <w:footnote w:id="48">
    <w:p w14:paraId="3718C3B1" w14:textId="07E190D4" w:rsidR="00D7239F" w:rsidRPr="00AB4876" w:rsidRDefault="00D7239F" w:rsidP="00C03772">
      <w:pPr>
        <w:spacing w:line="240" w:lineRule="auto"/>
        <w:rPr>
          <w:sz w:val="20"/>
          <w:szCs w:val="20"/>
        </w:rPr>
      </w:pPr>
      <w:r w:rsidRPr="00AB4876">
        <w:rPr>
          <w:vertAlign w:val="superscript"/>
        </w:rPr>
        <w:footnoteRef/>
      </w:r>
      <w:r w:rsidRPr="00AB4876">
        <w:rPr>
          <w:sz w:val="20"/>
          <w:szCs w:val="20"/>
        </w:rPr>
        <w:t xml:space="preserve"> After writing to the THA on April</w:t>
      </w:r>
      <w:r>
        <w:rPr>
          <w:sz w:val="20"/>
          <w:szCs w:val="20"/>
        </w:rPr>
        <w:t xml:space="preserve"> 25th</w:t>
      </w:r>
      <w:r w:rsidRPr="00AB4876">
        <w:rPr>
          <w:sz w:val="20"/>
          <w:szCs w:val="20"/>
        </w:rPr>
        <w:t xml:space="preserve"> 2014, I received official permission to conduct interviews on May 26th 2014.</w:t>
      </w:r>
    </w:p>
  </w:footnote>
  <w:footnote w:id="49">
    <w:p w14:paraId="4C18368A" w14:textId="25A3AA0F" w:rsidR="00D7239F" w:rsidRPr="00AB4876" w:rsidRDefault="00D7239F" w:rsidP="00C03772">
      <w:pPr>
        <w:spacing w:line="240" w:lineRule="auto"/>
        <w:rPr>
          <w:sz w:val="20"/>
          <w:szCs w:val="20"/>
        </w:rPr>
      </w:pPr>
      <w:r w:rsidRPr="00AB4876">
        <w:rPr>
          <w:vertAlign w:val="superscript"/>
        </w:rPr>
        <w:footnoteRef/>
      </w:r>
      <w:r w:rsidRPr="00AB4876">
        <w:rPr>
          <w:sz w:val="20"/>
          <w:szCs w:val="20"/>
        </w:rPr>
        <w:t xml:space="preserve"> I was able to g</w:t>
      </w:r>
      <w:r>
        <w:rPr>
          <w:sz w:val="20"/>
          <w:szCs w:val="20"/>
        </w:rPr>
        <w:t xml:space="preserve">et a commitment from four care </w:t>
      </w:r>
      <w:r w:rsidRPr="00AB4876">
        <w:rPr>
          <w:sz w:val="20"/>
          <w:szCs w:val="20"/>
        </w:rPr>
        <w:t>dyads through persons recommended to me from friends and acquaintances. One of the five dyads was referred to me by a member of UWI’s Open Campus.</w:t>
      </w:r>
    </w:p>
  </w:footnote>
  <w:footnote w:id="50">
    <w:p w14:paraId="57F132C9" w14:textId="77777777" w:rsidR="00D7239F" w:rsidRPr="00AB4876" w:rsidRDefault="00D7239F" w:rsidP="00C03772">
      <w:pPr>
        <w:pStyle w:val="FootnoteText"/>
      </w:pPr>
      <w:r w:rsidRPr="00AB4876">
        <w:rPr>
          <w:rStyle w:val="FootnoteReference"/>
        </w:rPr>
        <w:footnoteRef/>
      </w:r>
      <w:r w:rsidRPr="00AB4876">
        <w:t xml:space="preserve"> As noted previously, the minimum target for interview participants was 32 respondents. </w:t>
      </w:r>
    </w:p>
  </w:footnote>
  <w:footnote w:id="51">
    <w:p w14:paraId="5B361D03" w14:textId="170F6A6E" w:rsidR="00D7239F" w:rsidRPr="00AB4876" w:rsidRDefault="00D7239F" w:rsidP="00C03772">
      <w:pPr>
        <w:spacing w:line="240" w:lineRule="auto"/>
        <w:rPr>
          <w:sz w:val="20"/>
          <w:szCs w:val="20"/>
        </w:rPr>
      </w:pPr>
      <w:r w:rsidRPr="00AB4876">
        <w:rPr>
          <w:vertAlign w:val="superscript"/>
        </w:rPr>
        <w:footnoteRef/>
      </w:r>
      <w:r w:rsidRPr="00AB4876">
        <w:rPr>
          <w:sz w:val="20"/>
          <w:szCs w:val="20"/>
        </w:rPr>
        <w:t xml:space="preserve"> </w:t>
      </w:r>
      <w:r>
        <w:rPr>
          <w:sz w:val="20"/>
          <w:szCs w:val="20"/>
        </w:rPr>
        <w:t>Research question four was: a) w</w:t>
      </w:r>
      <w:r w:rsidRPr="00AB4876">
        <w:rPr>
          <w:sz w:val="20"/>
          <w:szCs w:val="20"/>
        </w:rPr>
        <w:t>hat are the social service needs of frail older persons and family carers and b) what culturally appropriate social policy solutions can be employed to address these needs?</w:t>
      </w:r>
    </w:p>
  </w:footnote>
  <w:footnote w:id="52">
    <w:p w14:paraId="4603EDAE" w14:textId="63640F56" w:rsidR="00D7239F" w:rsidRPr="00AB4876" w:rsidRDefault="00D7239F" w:rsidP="00C03772">
      <w:pPr>
        <w:pStyle w:val="FootnoteText"/>
      </w:pPr>
      <w:r w:rsidRPr="00AB4876">
        <w:rPr>
          <w:rStyle w:val="FootnoteReference"/>
        </w:rPr>
        <w:footnoteRef/>
      </w:r>
      <w:r w:rsidRPr="00AB4876">
        <w:t xml:space="preserve"> The concept of a mixed method ‘development’ approach is explained by King (2010) who noted that one of the purposes of a mixed methods approach may be for the results obtained from one method to inform the development of the design of another method. This is what transpired at this stage of the study. </w:t>
      </w:r>
    </w:p>
  </w:footnote>
  <w:footnote w:id="53">
    <w:p w14:paraId="1FC21424" w14:textId="68576D9A" w:rsidR="00D7239F" w:rsidRPr="00AB4876" w:rsidRDefault="00D7239F" w:rsidP="00C03772">
      <w:pPr>
        <w:spacing w:line="240" w:lineRule="auto"/>
        <w:rPr>
          <w:sz w:val="20"/>
          <w:szCs w:val="20"/>
        </w:rPr>
      </w:pPr>
      <w:r w:rsidRPr="00AB4876">
        <w:rPr>
          <w:vertAlign w:val="superscript"/>
        </w:rPr>
        <w:footnoteRef/>
      </w:r>
      <w:r w:rsidRPr="00AB4876">
        <w:rPr>
          <w:sz w:val="20"/>
          <w:szCs w:val="20"/>
        </w:rPr>
        <w:t xml:space="preserve"> https://hyacinthblake.wordpress.com/familycarettelderly/information-for-participants/</w:t>
      </w:r>
      <w:r>
        <w:rPr>
          <w:sz w:val="20"/>
          <w:szCs w:val="20"/>
        </w:rPr>
        <w:t>.</w:t>
      </w:r>
    </w:p>
  </w:footnote>
  <w:footnote w:id="54">
    <w:p w14:paraId="738B5A14" w14:textId="630DAEAD" w:rsidR="00D7239F" w:rsidRPr="00AB4876" w:rsidRDefault="00D7239F" w:rsidP="00C03772">
      <w:pPr>
        <w:spacing w:line="240" w:lineRule="auto"/>
        <w:rPr>
          <w:sz w:val="20"/>
          <w:szCs w:val="20"/>
        </w:rPr>
      </w:pPr>
      <w:r w:rsidRPr="00AB4876">
        <w:rPr>
          <w:vertAlign w:val="superscript"/>
        </w:rPr>
        <w:footnoteRef/>
      </w:r>
      <w:r w:rsidRPr="00AB4876">
        <w:rPr>
          <w:sz w:val="20"/>
          <w:szCs w:val="20"/>
        </w:rPr>
        <w:t xml:space="preserve"> The name of the Facebook page is ‘Family Care for Senior Citizens in T&amp;T and Beyond’</w:t>
      </w:r>
      <w:r>
        <w:rPr>
          <w:sz w:val="20"/>
          <w:szCs w:val="20"/>
        </w:rPr>
        <w:t>.</w:t>
      </w:r>
    </w:p>
  </w:footnote>
  <w:footnote w:id="55">
    <w:p w14:paraId="7968385A" w14:textId="77777777" w:rsidR="00D7239F" w:rsidRPr="00AB4876" w:rsidRDefault="00D7239F" w:rsidP="006208FB">
      <w:pPr>
        <w:spacing w:line="240" w:lineRule="auto"/>
        <w:rPr>
          <w:sz w:val="20"/>
          <w:szCs w:val="20"/>
        </w:rPr>
      </w:pPr>
      <w:r w:rsidRPr="00AB4876">
        <w:rPr>
          <w:vertAlign w:val="superscript"/>
        </w:rPr>
        <w:footnoteRef/>
      </w:r>
      <w:r w:rsidRPr="00AB4876">
        <w:rPr>
          <w:sz w:val="20"/>
          <w:szCs w:val="20"/>
        </w:rPr>
        <w:t xml:space="preserve"> 8.30am to 9.30am</w:t>
      </w:r>
      <w:r>
        <w:rPr>
          <w:sz w:val="20"/>
          <w:szCs w:val="20"/>
        </w:rPr>
        <w:t>.</w:t>
      </w:r>
    </w:p>
  </w:footnote>
  <w:footnote w:id="56">
    <w:p w14:paraId="7C6B838D" w14:textId="77777777" w:rsidR="00D7239F" w:rsidRPr="00AB4876" w:rsidRDefault="00D7239F" w:rsidP="00C03772">
      <w:pPr>
        <w:spacing w:line="240" w:lineRule="auto"/>
        <w:rPr>
          <w:sz w:val="20"/>
          <w:szCs w:val="20"/>
        </w:rPr>
      </w:pPr>
      <w:r w:rsidRPr="00AB4876">
        <w:rPr>
          <w:vertAlign w:val="superscript"/>
        </w:rPr>
        <w:footnoteRef/>
      </w:r>
      <w:r w:rsidRPr="00AB4876">
        <w:rPr>
          <w:sz w:val="20"/>
          <w:szCs w:val="20"/>
        </w:rPr>
        <w:t xml:space="preserve"> Given the limited funding, I was only able to hire a rapporteur for the Trinidad focus group sessions. </w:t>
      </w:r>
    </w:p>
  </w:footnote>
  <w:footnote w:id="57">
    <w:p w14:paraId="43A2A757" w14:textId="77777777" w:rsidR="00D7239F" w:rsidRPr="00AB4876" w:rsidRDefault="00D7239F" w:rsidP="00C03772">
      <w:pPr>
        <w:pStyle w:val="FootnoteText"/>
      </w:pPr>
      <w:r w:rsidRPr="00AB4876">
        <w:rPr>
          <w:rStyle w:val="FootnoteReference"/>
        </w:rPr>
        <w:footnoteRef/>
      </w:r>
      <w:r w:rsidRPr="00AB4876">
        <w:t>Town-meetings, also referred to as Town hall meetings are group meetings held in town halls or other public venues such as schools, libraries, municipal buildings etc. for which the objective is to give as many people an opportunity to speak to local and regional officials about their views on public issues. Usually, the person holding the meeting will make opening remarks. Local leaders may also address the audience. The main part of a town hall meeting tends to occur when the floor is opened up to questions and comments from the audience. Attendees generally present ideas, voice their opinions and ask questions of the public officials at the meeting.</w:t>
      </w:r>
    </w:p>
  </w:footnote>
  <w:footnote w:id="58">
    <w:p w14:paraId="18C4D0FC" w14:textId="6327329F" w:rsidR="00D7239F" w:rsidRPr="00845048" w:rsidRDefault="00D7239F" w:rsidP="008509F6">
      <w:pPr>
        <w:pStyle w:val="FootnoteText"/>
        <w:rPr>
          <w:lang w:val="en-TT"/>
        </w:rPr>
      </w:pPr>
      <w:r>
        <w:rPr>
          <w:rStyle w:val="FootnoteReference"/>
        </w:rPr>
        <w:footnoteRef/>
      </w:r>
      <w:r>
        <w:t xml:space="preserve"> </w:t>
      </w:r>
      <w:r>
        <w:rPr>
          <w:lang w:val="en-TT"/>
        </w:rPr>
        <w:t>This was an iterative process.</w:t>
      </w:r>
    </w:p>
  </w:footnote>
  <w:footnote w:id="59">
    <w:p w14:paraId="6448F8B4" w14:textId="77777777" w:rsidR="00D7239F" w:rsidRPr="001E143D" w:rsidRDefault="00D7239F" w:rsidP="008509F6">
      <w:pPr>
        <w:pStyle w:val="FootnoteText"/>
        <w:rPr>
          <w:lang w:val="en-TT"/>
        </w:rPr>
      </w:pPr>
      <w:r>
        <w:rPr>
          <w:rStyle w:val="FootnoteReference"/>
        </w:rPr>
        <w:footnoteRef/>
      </w:r>
      <w:r>
        <w:t xml:space="preserve"> </w:t>
      </w:r>
      <w:r>
        <w:rPr>
          <w:lang w:val="en-TT"/>
        </w:rPr>
        <w:t xml:space="preserve">This study was published by the American Sociological Association and should be considered a sociological study. </w:t>
      </w:r>
    </w:p>
  </w:footnote>
  <w:footnote w:id="60">
    <w:p w14:paraId="2C7A35D4" w14:textId="0E242ABE" w:rsidR="00D7239F" w:rsidRPr="00B44437" w:rsidRDefault="00D7239F">
      <w:pPr>
        <w:pStyle w:val="FootnoteText"/>
      </w:pPr>
      <w:r>
        <w:rPr>
          <w:rStyle w:val="FootnoteReference"/>
        </w:rPr>
        <w:footnoteRef/>
      </w:r>
      <w:r>
        <w:t xml:space="preserve"> GAPP was subsequently moved to the Ministry of Social Development and Family Services in 2018.</w:t>
      </w:r>
    </w:p>
  </w:footnote>
  <w:footnote w:id="61">
    <w:p w14:paraId="0AFCD13B" w14:textId="1D5A1851" w:rsidR="00D7239F" w:rsidRPr="007D6BF2" w:rsidRDefault="00D7239F">
      <w:pPr>
        <w:pStyle w:val="FootnoteText"/>
      </w:pPr>
      <w:r>
        <w:rPr>
          <w:rStyle w:val="FootnoteReference"/>
        </w:rPr>
        <w:footnoteRef/>
      </w:r>
      <w:r>
        <w:t xml:space="preserve"> Eight out of ten of family caregivers. </w:t>
      </w:r>
    </w:p>
  </w:footnote>
  <w:footnote w:id="62">
    <w:p w14:paraId="1B1501BA" w14:textId="2EE6FC41" w:rsidR="00D7239F" w:rsidRPr="002271E0" w:rsidRDefault="00D7239F">
      <w:pPr>
        <w:pStyle w:val="FootnoteText"/>
      </w:pPr>
      <w:r>
        <w:rPr>
          <w:rStyle w:val="FootnoteReference"/>
        </w:rPr>
        <w:footnoteRef/>
      </w:r>
      <w:r>
        <w:t xml:space="preserve"> Seven out of nine older persons. </w:t>
      </w:r>
    </w:p>
  </w:footnote>
  <w:footnote w:id="63">
    <w:p w14:paraId="685A4FDF" w14:textId="2C5ABC87" w:rsidR="00D7239F" w:rsidRPr="002271E0" w:rsidRDefault="00D7239F">
      <w:pPr>
        <w:pStyle w:val="FootnoteText"/>
      </w:pPr>
      <w:r>
        <w:rPr>
          <w:rStyle w:val="FootnoteReference"/>
        </w:rPr>
        <w:footnoteRef/>
      </w:r>
      <w:r>
        <w:t xml:space="preserve"> Three </w:t>
      </w:r>
      <w:r w:rsidRPr="002271E0">
        <w:t xml:space="preserve">out of </w:t>
      </w:r>
      <w:r>
        <w:t>ten</w:t>
      </w:r>
      <w:r w:rsidRPr="002271E0">
        <w:t xml:space="preserve"> caregivers</w:t>
      </w:r>
      <w:r>
        <w:t>.</w:t>
      </w:r>
    </w:p>
  </w:footnote>
  <w:footnote w:id="64">
    <w:p w14:paraId="553B52F5" w14:textId="3F240D95" w:rsidR="00D7239F" w:rsidRPr="002271E0" w:rsidRDefault="00D7239F">
      <w:pPr>
        <w:pStyle w:val="FootnoteText"/>
      </w:pPr>
      <w:r>
        <w:rPr>
          <w:rStyle w:val="FootnoteReference"/>
        </w:rPr>
        <w:footnoteRef/>
      </w:r>
      <w:r>
        <w:t xml:space="preserve"> Two out of ten caregivers.</w:t>
      </w:r>
    </w:p>
  </w:footnote>
  <w:footnote w:id="65">
    <w:p w14:paraId="67EB407A" w14:textId="6471D85B" w:rsidR="00D7239F" w:rsidRPr="002271E0" w:rsidRDefault="00D7239F">
      <w:pPr>
        <w:pStyle w:val="FootnoteText"/>
      </w:pPr>
      <w:r>
        <w:rPr>
          <w:rStyle w:val="FootnoteReference"/>
        </w:rPr>
        <w:footnoteRef/>
      </w:r>
      <w:r>
        <w:t xml:space="preserve"> Seven out of nine older care recipients. </w:t>
      </w:r>
    </w:p>
  </w:footnote>
  <w:footnote w:id="66">
    <w:p w14:paraId="2C34BBFF" w14:textId="77777777" w:rsidR="00D7239F" w:rsidRPr="00AB4876" w:rsidRDefault="00D7239F" w:rsidP="00DD2837">
      <w:pPr>
        <w:pStyle w:val="FootnoteText"/>
      </w:pPr>
      <w:r w:rsidRPr="00AB4876">
        <w:rPr>
          <w:rStyle w:val="FootnoteReference"/>
        </w:rPr>
        <w:footnoteRef/>
      </w:r>
      <w:r w:rsidRPr="00AB4876">
        <w:t xml:space="preserve"> Three older persons (Tanty Edna, Ms. Kumar and Ms. Violet) were single after being in common-law unions. </w:t>
      </w:r>
    </w:p>
  </w:footnote>
  <w:footnote w:id="67">
    <w:p w14:paraId="7E1CE34D" w14:textId="77777777" w:rsidR="00D7239F" w:rsidRPr="00AB4876" w:rsidRDefault="00D7239F" w:rsidP="00DD2837">
      <w:pPr>
        <w:pStyle w:val="FootnoteText"/>
      </w:pPr>
      <w:r w:rsidRPr="00AB4876">
        <w:rPr>
          <w:rStyle w:val="FootnoteReference"/>
        </w:rPr>
        <w:footnoteRef/>
      </w:r>
      <w:r w:rsidRPr="00AB4876">
        <w:t xml:space="preserve"> Four older persons (Mother Freeda, Mr. Khan, Uncle Wilton and Mr. Druman) were widowed. </w:t>
      </w:r>
    </w:p>
  </w:footnote>
  <w:footnote w:id="68">
    <w:p w14:paraId="040DBC63" w14:textId="47CFC0E7" w:rsidR="00D7239F" w:rsidRPr="00AB4876" w:rsidRDefault="00D7239F" w:rsidP="002271E0">
      <w:pPr>
        <w:pStyle w:val="FootnoteText"/>
      </w:pPr>
      <w:r w:rsidRPr="00AB4876">
        <w:rPr>
          <w:rStyle w:val="FootnoteReference"/>
        </w:rPr>
        <w:footnoteRef/>
      </w:r>
      <w:r w:rsidRPr="00AB4876">
        <w:t xml:space="preserve"> </w:t>
      </w:r>
      <w:r w:rsidRPr="002271E0">
        <w:t>In all, six (6) of the family carers had partner</w:t>
      </w:r>
      <w:r>
        <w:t>s (4 were married and 2 in a common-law relationship when they began caregiving)</w:t>
      </w:r>
      <w:r w:rsidRPr="002271E0">
        <w:t xml:space="preserve"> while four (4) were single</w:t>
      </w:r>
      <w:r>
        <w:t xml:space="preserve"> (1 single, 2 widowed and 1 divorced)</w:t>
      </w:r>
      <w:r w:rsidRPr="002271E0">
        <w:t xml:space="preserve">. </w:t>
      </w:r>
      <w:r w:rsidRPr="00AB4876">
        <w:t>Only two</w:t>
      </w:r>
      <w:r>
        <w:t xml:space="preserve"> (2)</w:t>
      </w:r>
      <w:r w:rsidRPr="00AB4876">
        <w:t xml:space="preserve"> of the four</w:t>
      </w:r>
      <w:r>
        <w:t xml:space="preserve"> (4)</w:t>
      </w:r>
      <w:r w:rsidRPr="00AB4876">
        <w:t xml:space="preserve"> married individuals were the spouse of the older care-recipient. The other two were adult children with marriage partners</w:t>
      </w:r>
      <w:r>
        <w:t>.</w:t>
      </w:r>
    </w:p>
  </w:footnote>
  <w:footnote w:id="69">
    <w:p w14:paraId="39246C89" w14:textId="1F776B8A" w:rsidR="00D7239F" w:rsidRPr="00AB4876" w:rsidRDefault="00D7239F" w:rsidP="00DD2837">
      <w:pPr>
        <w:pStyle w:val="FootnoteText"/>
      </w:pPr>
      <w:r w:rsidRPr="00AB4876">
        <w:rPr>
          <w:rStyle w:val="FootnoteReference"/>
        </w:rPr>
        <w:footnoteRef/>
      </w:r>
      <w:r w:rsidRPr="00AB4876">
        <w:t xml:space="preserve"> Pholourie is a snack food commonly eaten in </w:t>
      </w:r>
      <w:r>
        <w:t>T&amp;T</w:t>
      </w:r>
      <w:r w:rsidRPr="00AB4876">
        <w:t xml:space="preserve"> and also known in Guyana and Suriname. It consists of fried, spiced dough balls (made up of flour, ground chickpeas, water and spices) that are served with a chutney (usually made of mango).</w:t>
      </w:r>
    </w:p>
  </w:footnote>
  <w:footnote w:id="70">
    <w:p w14:paraId="45648FD2" w14:textId="0F94B599" w:rsidR="00D7239F" w:rsidRDefault="00D7239F" w:rsidP="00744EFC">
      <w:pPr>
        <w:pBdr>
          <w:top w:val="nil"/>
          <w:left w:val="nil"/>
          <w:bottom w:val="nil"/>
          <w:right w:val="nil"/>
          <w:between w:val="nil"/>
        </w:pBdr>
        <w:spacing w:line="240" w:lineRule="auto"/>
        <w:rPr>
          <w:rFonts w:ascii="Calibri" w:eastAsia="Calibri" w:hAnsi="Calibri"/>
          <w:color w:val="000000"/>
          <w:sz w:val="20"/>
          <w:szCs w:val="20"/>
        </w:rPr>
      </w:pPr>
      <w:r>
        <w:rPr>
          <w:rStyle w:val="FootnoteReference"/>
        </w:rPr>
        <w:footnoteRef/>
      </w:r>
      <w:r>
        <w:rPr>
          <w:rFonts w:ascii="Calibri" w:eastAsia="Calibri" w:hAnsi="Calibri"/>
          <w:color w:val="000000"/>
          <w:sz w:val="20"/>
          <w:szCs w:val="20"/>
        </w:rPr>
        <w:t xml:space="preserve"> At the time of the interviews, Marina was in desperate need of hip replacement surgery and experienced considerable pain as a result of her being unable to return to the USA to have the procedure done. As noted in her pen portrait, a main reason for her not returning to the USA was because she did not have suitable alternative care arrangements for her </w:t>
      </w:r>
      <w:r w:rsidRPr="00E11A59">
        <w:rPr>
          <w:rFonts w:ascii="Calibri" w:eastAsia="Calibri" w:hAnsi="Calibri"/>
          <w:color w:val="000000"/>
          <w:sz w:val="20"/>
          <w:szCs w:val="20"/>
        </w:rPr>
        <w:t>mother</w:t>
      </w:r>
      <w:r>
        <w:rPr>
          <w:rFonts w:ascii="Calibri" w:eastAsia="Calibri" w:hAnsi="Calibri"/>
          <w:color w:val="000000"/>
          <w:sz w:val="20"/>
          <w:szCs w:val="20"/>
        </w:rPr>
        <w:t xml:space="preserve">. </w:t>
      </w:r>
    </w:p>
  </w:footnote>
  <w:footnote w:id="71">
    <w:p w14:paraId="1B3980D1" w14:textId="77777777" w:rsidR="00D7239F" w:rsidRPr="00AB4876" w:rsidRDefault="00D7239F" w:rsidP="002F7F7C">
      <w:pPr>
        <w:pStyle w:val="FootnoteText"/>
        <w:rPr>
          <w:color w:val="000000" w:themeColor="text1"/>
        </w:rPr>
      </w:pPr>
      <w:r w:rsidRPr="00AB4876">
        <w:rPr>
          <w:rStyle w:val="FootnoteReference"/>
          <w:color w:val="000000" w:themeColor="text1"/>
        </w:rPr>
        <w:footnoteRef/>
      </w:r>
      <w:r w:rsidRPr="00AB4876">
        <w:rPr>
          <w:color w:val="000000" w:themeColor="text1"/>
        </w:rPr>
        <w:t xml:space="preserve"> According to the national census, the proportion of females of all ages is 49.83% and the proportion of females aged 20 years and older is 50.07%. This distribution is significantly different to what obtains in the wider population of Trinidad and Tobago for which the sex ratio is 1.03 males/ female</w:t>
      </w:r>
      <w:r>
        <w:rPr>
          <w:color w:val="000000" w:themeColor="text1"/>
        </w:rPr>
        <w:t>.</w:t>
      </w:r>
      <w:r w:rsidRPr="00AB4876">
        <w:rPr>
          <w:color w:val="000000" w:themeColor="text1"/>
        </w:rPr>
        <w:t xml:space="preserve"> (CIA</w:t>
      </w:r>
      <w:r>
        <w:rPr>
          <w:color w:val="000000" w:themeColor="text1"/>
        </w:rPr>
        <w:t>.</w:t>
      </w:r>
      <w:r w:rsidRPr="00AB4876">
        <w:rPr>
          <w:color w:val="000000" w:themeColor="text1"/>
        </w:rPr>
        <w:t xml:space="preserve"> 2014 est</w:t>
      </w:r>
      <w:r>
        <w:rPr>
          <w:color w:val="000000" w:themeColor="text1"/>
        </w:rPr>
        <w:t>.</w:t>
      </w:r>
      <w:r w:rsidRPr="00AB4876">
        <w:rPr>
          <w:color w:val="000000" w:themeColor="text1"/>
        </w:rPr>
        <w:t>)</w:t>
      </w:r>
    </w:p>
  </w:footnote>
  <w:footnote w:id="72">
    <w:p w14:paraId="20C7F32A" w14:textId="4C8D70CF" w:rsidR="00D7239F" w:rsidRPr="00FC33E2" w:rsidRDefault="00D7239F" w:rsidP="00E53916">
      <w:pPr>
        <w:pStyle w:val="FootnoteText"/>
        <w:rPr>
          <w:color w:val="000000" w:themeColor="text1"/>
        </w:rPr>
      </w:pPr>
      <w:r w:rsidRPr="00AB4876">
        <w:rPr>
          <w:rStyle w:val="FootnoteReference"/>
          <w:color w:val="000000" w:themeColor="text1"/>
        </w:rPr>
        <w:footnoteRef/>
      </w:r>
      <w:r w:rsidRPr="00AB4876">
        <w:rPr>
          <w:color w:val="000000" w:themeColor="text1"/>
        </w:rPr>
        <w:t xml:space="preserve"> This is also comparable to overall population estimates for the country. The most recent data indicates that approximately 20.6% of the population is aged 55 years and over </w:t>
      </w:r>
      <w:r w:rsidRPr="00FC33E2">
        <w:rPr>
          <w:color w:val="000000" w:themeColor="text1"/>
        </w:rPr>
        <w:t>(CIA 2014 est.)</w:t>
      </w:r>
      <w:r>
        <w:rPr>
          <w:color w:val="000000" w:themeColor="text1"/>
        </w:rPr>
        <w:t>.</w:t>
      </w:r>
    </w:p>
  </w:footnote>
  <w:footnote w:id="73">
    <w:p w14:paraId="5F239285" w14:textId="77777777" w:rsidR="00D7239F" w:rsidRPr="00AB4876" w:rsidRDefault="00D7239F" w:rsidP="002F7F7C">
      <w:pPr>
        <w:pStyle w:val="FootnoteText"/>
        <w:rPr>
          <w:color w:val="000000" w:themeColor="text1"/>
        </w:rPr>
      </w:pPr>
      <w:r w:rsidRPr="00AB4876">
        <w:rPr>
          <w:rStyle w:val="FootnoteReference"/>
        </w:rPr>
        <w:footnoteRef/>
      </w:r>
      <w:r w:rsidRPr="00AB4876">
        <w:t xml:space="preserve"> </w:t>
      </w:r>
      <w:r w:rsidRPr="00AB4876">
        <w:rPr>
          <w:color w:val="000000" w:themeColor="text1"/>
        </w:rPr>
        <w:t xml:space="preserve">The relatively lower number of participants </w:t>
      </w:r>
      <w:r>
        <w:rPr>
          <w:color w:val="000000" w:themeColor="text1"/>
        </w:rPr>
        <w:t>from</w:t>
      </w:r>
      <w:r w:rsidRPr="00AB4876">
        <w:rPr>
          <w:color w:val="000000" w:themeColor="text1"/>
        </w:rPr>
        <w:t xml:space="preserve"> Tobago may be </w:t>
      </w:r>
      <w:r>
        <w:rPr>
          <w:color w:val="000000" w:themeColor="text1"/>
        </w:rPr>
        <w:t xml:space="preserve">partly </w:t>
      </w:r>
      <w:r w:rsidRPr="00AB4876">
        <w:rPr>
          <w:color w:val="000000" w:themeColor="text1"/>
        </w:rPr>
        <w:t>explained by the smaller number of persons on the island relative to Trinidad, and the smaller likelihood of family caregivers having public email addresses that could have been obtained online and included in the sampling frame</w:t>
      </w:r>
      <w:r>
        <w:rPr>
          <w:color w:val="000000" w:themeColor="text1"/>
        </w:rPr>
        <w:t>.</w:t>
      </w:r>
    </w:p>
  </w:footnote>
  <w:footnote w:id="74">
    <w:p w14:paraId="72B8D42D" w14:textId="77777777" w:rsidR="00D7239F" w:rsidRPr="00AB4876" w:rsidRDefault="00D7239F" w:rsidP="002F7F7C">
      <w:pPr>
        <w:pStyle w:val="FootnoteText"/>
        <w:rPr>
          <w:color w:val="000000" w:themeColor="text1"/>
        </w:rPr>
      </w:pPr>
      <w:r w:rsidRPr="00AB4876">
        <w:rPr>
          <w:rStyle w:val="FootnoteReference"/>
          <w:color w:val="000000" w:themeColor="text1"/>
        </w:rPr>
        <w:footnoteRef/>
      </w:r>
      <w:r w:rsidRPr="00AB4876">
        <w:rPr>
          <w:color w:val="000000" w:themeColor="text1"/>
        </w:rPr>
        <w:t xml:space="preserve"> This is just under half of the proportion of the national population that resides in Tobago.</w:t>
      </w:r>
    </w:p>
  </w:footnote>
  <w:footnote w:id="75">
    <w:p w14:paraId="6DD7100F" w14:textId="77777777" w:rsidR="00D7239F" w:rsidRPr="00AB4876" w:rsidRDefault="00D7239F" w:rsidP="00E53916">
      <w:pPr>
        <w:pStyle w:val="FootnoteText"/>
      </w:pPr>
      <w:r w:rsidRPr="00AB4876">
        <w:rPr>
          <w:rStyle w:val="FootnoteReference"/>
        </w:rPr>
        <w:footnoteRef/>
      </w:r>
      <w:r w:rsidRPr="00AB4876">
        <w:t xml:space="preserve"> The proportion of caregivers living with a common-law partner was just under half the proportion of persons in common-law unions in the national census (13.03%).  </w:t>
      </w:r>
    </w:p>
  </w:footnote>
  <w:footnote w:id="76">
    <w:p w14:paraId="6E8FF559" w14:textId="5F46EEF5" w:rsidR="00D7239F" w:rsidRPr="00AB4876" w:rsidRDefault="00D7239F" w:rsidP="00E53916">
      <w:pPr>
        <w:pStyle w:val="FootnoteText"/>
      </w:pPr>
      <w:r w:rsidRPr="00AB4876">
        <w:rPr>
          <w:rStyle w:val="FootnoteReference"/>
        </w:rPr>
        <w:footnoteRef/>
      </w:r>
      <w:r w:rsidRPr="00AB4876">
        <w:t xml:space="preserve"> Only a small proportion of caregivers (7 %) had a visiting partner and only 4% were widowed.  </w:t>
      </w:r>
    </w:p>
  </w:footnote>
  <w:footnote w:id="77">
    <w:p w14:paraId="23C458BC" w14:textId="77777777" w:rsidR="00D7239F" w:rsidRPr="00AB4876" w:rsidRDefault="00D7239F" w:rsidP="00E53916">
      <w:pPr>
        <w:pStyle w:val="FootnoteText"/>
      </w:pPr>
      <w:r w:rsidRPr="00AB4876">
        <w:rPr>
          <w:rStyle w:val="FootnoteReference"/>
        </w:rPr>
        <w:footnoteRef/>
      </w:r>
      <w:r w:rsidRPr="00AB4876">
        <w:t xml:space="preserve"> This might in part explain why only a small percentage 6% felt that their family did not help them enough with providing care.</w:t>
      </w:r>
    </w:p>
  </w:footnote>
  <w:footnote w:id="78">
    <w:p w14:paraId="520C5AB7" w14:textId="77777777" w:rsidR="00D7239F" w:rsidRPr="00AB4876" w:rsidRDefault="00D7239F" w:rsidP="000A595F">
      <w:pPr>
        <w:pStyle w:val="FootnoteText"/>
      </w:pPr>
      <w:r w:rsidRPr="00AB4876">
        <w:rPr>
          <w:rStyle w:val="FootnoteReference"/>
        </w:rPr>
        <w:footnoteRef/>
      </w:r>
      <w:r w:rsidRPr="00AB4876">
        <w:t xml:space="preserve"> CDAP refers to the state funded Chronic Disease Assistance Programme (see Appendix 1). </w:t>
      </w:r>
    </w:p>
  </w:footnote>
  <w:footnote w:id="79">
    <w:p w14:paraId="403DEA90" w14:textId="77777777" w:rsidR="00D7239F" w:rsidRPr="00AB4876" w:rsidRDefault="00D7239F" w:rsidP="00E53916">
      <w:pPr>
        <w:pStyle w:val="FootnoteText"/>
      </w:pPr>
      <w:r w:rsidRPr="00AB4876">
        <w:rPr>
          <w:rStyle w:val="FootnoteReference"/>
        </w:rPr>
        <w:footnoteRef/>
      </w:r>
      <w:r w:rsidRPr="00AB4876">
        <w:t xml:space="preserve"> 21% of respondents indicated that their older relative was not in receipt of the senior citizens grant and 5% were not sure. </w:t>
      </w:r>
    </w:p>
  </w:footnote>
  <w:footnote w:id="80">
    <w:p w14:paraId="225C666A" w14:textId="77777777" w:rsidR="00D7239F" w:rsidRPr="00AB4876" w:rsidRDefault="00D7239F" w:rsidP="00E53916">
      <w:pPr>
        <w:pStyle w:val="FootnoteText"/>
      </w:pPr>
      <w:r w:rsidRPr="00AB4876">
        <w:rPr>
          <w:rStyle w:val="FootnoteReference"/>
        </w:rPr>
        <w:footnoteRef/>
      </w:r>
      <w:r w:rsidRPr="00AB4876">
        <w:t xml:space="preserve"> See Appendix 20 for further details. </w:t>
      </w:r>
    </w:p>
  </w:footnote>
  <w:footnote w:id="81">
    <w:p w14:paraId="05C5B615" w14:textId="77777777" w:rsidR="00D7239F" w:rsidRPr="00AB4876" w:rsidRDefault="00D7239F" w:rsidP="00AF0B1A">
      <w:pPr>
        <w:pStyle w:val="FootnoteText"/>
      </w:pPr>
      <w:r w:rsidRPr="00AB4876">
        <w:rPr>
          <w:rStyle w:val="FootnoteReference"/>
        </w:rPr>
        <w:footnoteRef/>
      </w:r>
      <w:r w:rsidRPr="00AB4876">
        <w:t xml:space="preserve"> “Length of time providing care (Recoded) ” was significantly associated with the variable “Who Should be Mainly Responsible for Paying for Health and Social Services for Elder: </w:t>
      </w:r>
      <w:r w:rsidRPr="00AB4876">
        <w:sym w:font="Symbol" w:char="F063"/>
      </w:r>
      <w:r w:rsidRPr="00AB4876">
        <w:rPr>
          <w:rFonts w:ascii="Times New Roman" w:hAnsi="Times New Roman" w:cs="Times New Roman"/>
          <w:sz w:val="24"/>
          <w:szCs w:val="24"/>
          <w:vertAlign w:val="superscript"/>
        </w:rPr>
        <w:t>2</w:t>
      </w:r>
      <w:r w:rsidRPr="00AB4876">
        <w:t xml:space="preserve"> (3) = 9.687, p=0.021. This relationship is moderate (Cramer’s V=0.229)</w:t>
      </w:r>
    </w:p>
  </w:footnote>
  <w:footnote w:id="82">
    <w:p w14:paraId="7F8CA0B5" w14:textId="77777777" w:rsidR="00D7239F" w:rsidRPr="00AB4876" w:rsidRDefault="00D7239F" w:rsidP="0026235F">
      <w:pPr>
        <w:pStyle w:val="FootnoteText"/>
        <w:ind w:firstLine="0"/>
      </w:pPr>
      <w:r w:rsidRPr="00AB4876">
        <w:rPr>
          <w:rStyle w:val="FootnoteReference"/>
        </w:rPr>
        <w:footnoteRef/>
      </w:r>
      <w:r w:rsidRPr="00AB4876">
        <w:t xml:space="preserve"> Of these, 7% were associated with having no other option for their relative to receive care and 5% were from persons who identified as being the only family member willing to provide care.</w:t>
      </w:r>
    </w:p>
  </w:footnote>
  <w:footnote w:id="83">
    <w:p w14:paraId="50FE2A00" w14:textId="77777777" w:rsidR="00D7239F" w:rsidRPr="00AB4876" w:rsidRDefault="00D7239F" w:rsidP="0026235F">
      <w:pPr>
        <w:pStyle w:val="FootnoteText"/>
        <w:ind w:firstLine="0"/>
      </w:pPr>
      <w:r w:rsidRPr="00AB4876">
        <w:rPr>
          <w:rStyle w:val="FootnoteReference"/>
        </w:rPr>
        <w:footnoteRef/>
      </w:r>
      <w:r w:rsidRPr="00AB4876">
        <w:t xml:space="preserve"> Theme: fear of death of older relative from non-family care</w:t>
      </w:r>
    </w:p>
  </w:footnote>
  <w:footnote w:id="84">
    <w:p w14:paraId="5C622D4B" w14:textId="77777777" w:rsidR="00D7239F" w:rsidRPr="006338FD" w:rsidRDefault="00D7239F" w:rsidP="001D370D">
      <w:pPr>
        <w:pStyle w:val="FootnoteText"/>
        <w:ind w:firstLine="0"/>
      </w:pPr>
      <w:r>
        <w:rPr>
          <w:rStyle w:val="FootnoteReference"/>
        </w:rPr>
        <w:footnoteRef/>
      </w:r>
      <w:r>
        <w:t xml:space="preserve"> These strategies are discussed in more detail in the section below on coping and care management strategies. </w:t>
      </w:r>
    </w:p>
  </w:footnote>
  <w:footnote w:id="85">
    <w:p w14:paraId="20714C2C" w14:textId="77777777" w:rsidR="00D7239F" w:rsidRPr="002218CB" w:rsidRDefault="00D7239F" w:rsidP="001D370D">
      <w:pPr>
        <w:pStyle w:val="FootnoteText"/>
        <w:ind w:firstLine="0"/>
        <w:rPr>
          <w:lang w:val="en-TT"/>
        </w:rPr>
      </w:pPr>
      <w:r>
        <w:rPr>
          <w:rStyle w:val="FootnoteReference"/>
        </w:rPr>
        <w:footnoteRef/>
      </w:r>
      <w:r>
        <w:t xml:space="preserve"> </w:t>
      </w:r>
      <w:r>
        <w:rPr>
          <w:lang w:val="en-TT"/>
        </w:rPr>
        <w:t xml:space="preserve">See recommendations below on in-home care support, residential and semi-residential solutions. </w:t>
      </w:r>
    </w:p>
  </w:footnote>
  <w:footnote w:id="86">
    <w:p w14:paraId="189C1C4C" w14:textId="77777777" w:rsidR="00D7239F" w:rsidRPr="00541D72" w:rsidRDefault="00D7239F" w:rsidP="004F33B6">
      <w:pPr>
        <w:pStyle w:val="FootnoteText"/>
      </w:pPr>
      <w:r>
        <w:rPr>
          <w:rStyle w:val="FootnoteReference"/>
        </w:rPr>
        <w:footnoteRef/>
      </w:r>
      <w:r>
        <w:t xml:space="preserve"> For example, o</w:t>
      </w:r>
      <w:r w:rsidRPr="007861FD">
        <w:t xml:space="preserve">n the issue of cultural values and their relevance to caregiver role acquisition, Grahame’s (2006) observation about a shift in the values of East-Indian families </w:t>
      </w:r>
      <w:r>
        <w:t>which resulted in</w:t>
      </w:r>
      <w:r w:rsidRPr="007861FD">
        <w:t xml:space="preserve"> daughter-in-laws </w:t>
      </w:r>
      <w:r>
        <w:t>being</w:t>
      </w:r>
      <w:r w:rsidRPr="007861FD">
        <w:t xml:space="preserve"> more likely to give priority to their own household </w:t>
      </w:r>
      <w:r>
        <w:t>rather than</w:t>
      </w:r>
      <w:r w:rsidRPr="007861FD">
        <w:t xml:space="preserve"> care for their in-laws was relevant for explaining the caregiver pattern </w:t>
      </w:r>
      <w:r>
        <w:t>in the Khan family</w:t>
      </w:r>
      <w:r w:rsidRPr="007861FD">
        <w:t>.</w:t>
      </w:r>
    </w:p>
  </w:footnote>
  <w:footnote w:id="87">
    <w:p w14:paraId="508EC9C2" w14:textId="77777777" w:rsidR="00D7239F" w:rsidRPr="00891F3F" w:rsidRDefault="00D7239F" w:rsidP="004F33B6">
      <w:pPr>
        <w:pStyle w:val="FootnoteText"/>
        <w:rPr>
          <w:lang w:val="en-TT"/>
        </w:rPr>
      </w:pPr>
      <w:r>
        <w:rPr>
          <w:rStyle w:val="FootnoteReference"/>
        </w:rPr>
        <w:footnoteRef/>
      </w:r>
      <w:r>
        <w:t xml:space="preserve"> The three older African-Trinidadian participants had an average of 2 children. </w:t>
      </w:r>
    </w:p>
  </w:footnote>
  <w:footnote w:id="88">
    <w:p w14:paraId="10DEE960" w14:textId="77777777" w:rsidR="00D7239F" w:rsidRPr="00891F3F" w:rsidRDefault="00D7239F" w:rsidP="004F33B6">
      <w:pPr>
        <w:pStyle w:val="FootnoteText"/>
        <w:rPr>
          <w:lang w:val="en-TT"/>
        </w:rPr>
      </w:pPr>
      <w:r>
        <w:rPr>
          <w:rStyle w:val="FootnoteReference"/>
        </w:rPr>
        <w:footnoteRef/>
      </w:r>
      <w:r>
        <w:t xml:space="preserve"> </w:t>
      </w:r>
      <w:r w:rsidRPr="00891F3F">
        <w:t xml:space="preserve">The three </w:t>
      </w:r>
      <w:r>
        <w:t>older East Indian participants</w:t>
      </w:r>
      <w:r w:rsidRPr="00891F3F">
        <w:t xml:space="preserve"> had an average of </w:t>
      </w:r>
      <w:r>
        <w:t>6</w:t>
      </w:r>
      <w:r w:rsidRPr="00891F3F">
        <w:t xml:space="preserve"> children.</w:t>
      </w:r>
    </w:p>
  </w:footnote>
  <w:footnote w:id="89">
    <w:p w14:paraId="50AF24E9" w14:textId="77777777" w:rsidR="00D7239F" w:rsidRPr="003A5F0A" w:rsidRDefault="00D7239F" w:rsidP="004F33B6">
      <w:pPr>
        <w:pStyle w:val="FootnoteText"/>
        <w:rPr>
          <w:lang w:val="en-TT"/>
        </w:rPr>
      </w:pPr>
      <w:r>
        <w:rPr>
          <w:rStyle w:val="FootnoteReference"/>
        </w:rPr>
        <w:footnoteRef/>
      </w:r>
      <w:r>
        <w:t xml:space="preserve"> </w:t>
      </w:r>
      <w:r>
        <w:rPr>
          <w:lang w:val="en-TT"/>
        </w:rPr>
        <w:t xml:space="preserve">See discussion below on Coping and Care Management. </w:t>
      </w:r>
    </w:p>
  </w:footnote>
  <w:footnote w:id="90">
    <w:p w14:paraId="15B45E34" w14:textId="77777777" w:rsidR="00D7239F" w:rsidRPr="00FB312C" w:rsidRDefault="00D7239F" w:rsidP="004F33B6">
      <w:pPr>
        <w:pStyle w:val="FootnoteText"/>
      </w:pPr>
      <w:r>
        <w:rPr>
          <w:rStyle w:val="FootnoteReference"/>
        </w:rPr>
        <w:footnoteRef/>
      </w:r>
      <w:r>
        <w:t xml:space="preserve"> Interestingly, </w:t>
      </w:r>
      <w:r w:rsidRPr="00FB312C">
        <w:t>none of the three (3) participants who were still in the throes of grief while being interviewed were in receipt of counselling, even though their loved one had passed away several years before this study. While some local agencies provide bereavement counselling to families who have lost a loved one (e.g. funeral homes), it may be that caregivers were not aware that this service was available, or were reluctant to access support for various reasons. It may be that counselling was considered taboo or they were reluctant to access government counselling services (e.g. through the National Family Services Division of the Ministry of Social Development) or through Employee Assistance Programmes that private and public companies at times provide. The reasons for persons not seeking counselling is another issue that can be explored in future studies.</w:t>
      </w:r>
    </w:p>
  </w:footnote>
  <w:footnote w:id="91">
    <w:p w14:paraId="438EB9CC" w14:textId="77777777" w:rsidR="00D7239F" w:rsidRPr="002C7E7E" w:rsidRDefault="00D7239F" w:rsidP="004F33B6">
      <w:pPr>
        <w:pStyle w:val="FootnoteText"/>
      </w:pPr>
      <w:r>
        <w:rPr>
          <w:rStyle w:val="FootnoteReference"/>
        </w:rPr>
        <w:footnoteRef/>
      </w:r>
      <w:r>
        <w:t xml:space="preserve"> Social care for older persons refers to “</w:t>
      </w:r>
      <w:r w:rsidRPr="002C7E7E">
        <w:t xml:space="preserve">care services that aim to help the care-dependent person to carry out </w:t>
      </w:r>
      <w:r>
        <w:t>ADL</w:t>
      </w:r>
      <w:r w:rsidRPr="002C7E7E">
        <w:t xml:space="preserve"> (such a</w:t>
      </w:r>
      <w:r>
        <w:t xml:space="preserve">s household tasks, eating etc.).” </w:t>
      </w:r>
      <w:r w:rsidRPr="002C7E7E">
        <w:t>(Spasova 2018</w:t>
      </w:r>
      <w:r>
        <w:t>, p.</w:t>
      </w:r>
      <w:r w:rsidRPr="002C7E7E">
        <w:t xml:space="preserve"> 13)</w:t>
      </w:r>
    </w:p>
  </w:footnote>
  <w:footnote w:id="92">
    <w:p w14:paraId="557A96D5" w14:textId="77777777" w:rsidR="00D7239F" w:rsidRPr="00551B57" w:rsidRDefault="00D7239F" w:rsidP="004F33B6">
      <w:pPr>
        <w:pStyle w:val="FootnoteText"/>
      </w:pPr>
      <w:r>
        <w:rPr>
          <w:rStyle w:val="FootnoteReference"/>
        </w:rPr>
        <w:footnoteRef/>
      </w:r>
      <w:r>
        <w:t xml:space="preserve"> </w:t>
      </w:r>
      <w:r w:rsidRPr="00551B57">
        <w:t>The survey results revealed that “information and advice about the type of help and support that is available and how to access it” was the primary need identified by caregivers.</w:t>
      </w:r>
    </w:p>
  </w:footnote>
  <w:footnote w:id="93">
    <w:p w14:paraId="01DFDB21" w14:textId="0988005B" w:rsidR="00D7239F" w:rsidRPr="007A5BC0" w:rsidRDefault="00D7239F" w:rsidP="004F33B6">
      <w:pPr>
        <w:pStyle w:val="FootnoteText"/>
        <w:rPr>
          <w:lang w:val="en-TT"/>
        </w:rPr>
      </w:pPr>
      <w:r>
        <w:rPr>
          <w:rStyle w:val="FootnoteReference"/>
        </w:rPr>
        <w:footnoteRef/>
      </w:r>
      <w:r>
        <w:t xml:space="preserve"> </w:t>
      </w:r>
      <w:r>
        <w:rPr>
          <w:lang w:val="en-TT"/>
        </w:rPr>
        <w:t>The terms ‘</w:t>
      </w:r>
      <w:r w:rsidRPr="003B2CAD">
        <w:rPr>
          <w:i/>
          <w:lang w:val="en-TT"/>
        </w:rPr>
        <w:t>agreement</w:t>
      </w:r>
      <w:r>
        <w:rPr>
          <w:lang w:val="en-TT"/>
        </w:rPr>
        <w:t>’ and ‘</w:t>
      </w:r>
      <w:r w:rsidRPr="003B2CAD">
        <w:rPr>
          <w:i/>
          <w:lang w:val="en-TT"/>
        </w:rPr>
        <w:t>willingness</w:t>
      </w:r>
      <w:r>
        <w:rPr>
          <w:lang w:val="en-TT"/>
        </w:rPr>
        <w:t xml:space="preserve">’ are related. However, the main difference between them is that willingness refers to a state of being willing while agreement can be accounted for by a specific set of actions. </w:t>
      </w:r>
    </w:p>
  </w:footnote>
  <w:footnote w:id="94">
    <w:p w14:paraId="03E62DB9" w14:textId="77777777" w:rsidR="00D7239F" w:rsidRPr="002D2748" w:rsidRDefault="00D7239F" w:rsidP="004F33B6">
      <w:pPr>
        <w:pStyle w:val="FootnoteText"/>
        <w:rPr>
          <w:lang w:val="en-TT"/>
        </w:rPr>
      </w:pPr>
      <w:r>
        <w:rPr>
          <w:rStyle w:val="FootnoteReference"/>
        </w:rPr>
        <w:footnoteRef/>
      </w:r>
      <w:r>
        <w:t xml:space="preserve"> S</w:t>
      </w:r>
      <w:r w:rsidRPr="002D2748">
        <w:t>ee sectio</w:t>
      </w:r>
      <w:r>
        <w:t>n above on determinants of care on the factors that made a family member the most likely candidate to be the primary carer of an older relative in T&amp;T</w:t>
      </w:r>
    </w:p>
  </w:footnote>
  <w:footnote w:id="95">
    <w:p w14:paraId="3074D68C" w14:textId="77777777" w:rsidR="00D7239F" w:rsidRPr="00C1747B" w:rsidRDefault="00D7239F" w:rsidP="004F33B6">
      <w:pPr>
        <w:pStyle w:val="FootnoteText"/>
        <w:rPr>
          <w:lang w:val="en-TT"/>
        </w:rPr>
      </w:pPr>
      <w:r>
        <w:rPr>
          <w:rStyle w:val="FootnoteReference"/>
        </w:rPr>
        <w:footnoteRef/>
      </w:r>
      <w:r>
        <w:t xml:space="preserve"> </w:t>
      </w:r>
      <w:r w:rsidRPr="00C1747B">
        <w:t xml:space="preserve">The debate on this issue is largely focused on care provided in nursing homes and medical institutions. There are only a few studies in the international literature on the use of covert family elder care practices (e.g. </w:t>
      </w:r>
      <w:r w:rsidRPr="00CA142E">
        <w:t>Pratt, Jones-Aust</w:t>
      </w:r>
      <w:r>
        <w:t xml:space="preserve"> &amp;</w:t>
      </w:r>
      <w:r w:rsidRPr="00CA142E">
        <w:t xml:space="preserve"> Pennington </w:t>
      </w:r>
      <w:r w:rsidRPr="00C1747B">
        <w:t>1993</w:t>
      </w:r>
      <w:r>
        <w:t>; Pyke 1999</w:t>
      </w:r>
      <w:r w:rsidRPr="00C1747B">
        <w:t>). The findings of this study point to the need for further research on the nature and extent of this practice locally.</w:t>
      </w:r>
    </w:p>
  </w:footnote>
  <w:footnote w:id="96">
    <w:p w14:paraId="0D577626" w14:textId="512BBFDD" w:rsidR="00D7239F" w:rsidRPr="008D4247" w:rsidRDefault="00D7239F" w:rsidP="004F33B6">
      <w:pPr>
        <w:pStyle w:val="FootnoteText"/>
      </w:pPr>
      <w:r>
        <w:rPr>
          <w:rStyle w:val="FootnoteReference"/>
        </w:rPr>
        <w:footnoteRef/>
      </w:r>
      <w:r>
        <w:t xml:space="preserve"> As Verbakel (2018, p. 436) observed, </w:t>
      </w:r>
      <w:r w:rsidRPr="00B66B43">
        <w:t>“Because intensive caregiving is burdensome, low levels of formal long-term care provisions might bring risks to caregivers’ well-being and healthcare systems’ sustainability”.</w:t>
      </w:r>
    </w:p>
  </w:footnote>
  <w:footnote w:id="97">
    <w:p w14:paraId="6F5C51F7" w14:textId="25667B32" w:rsidR="00D7239F" w:rsidRPr="00F55788" w:rsidRDefault="00D7239F" w:rsidP="004F33B6">
      <w:pPr>
        <w:pStyle w:val="FootnoteText"/>
        <w:rPr>
          <w:lang w:val="en-TT"/>
        </w:rPr>
      </w:pPr>
      <w:r>
        <w:rPr>
          <w:rStyle w:val="FootnoteReference"/>
        </w:rPr>
        <w:footnoteRef/>
      </w:r>
      <w:r>
        <w:rPr>
          <w:rFonts w:ascii="Times New Roman" w:eastAsia="Calibri" w:hAnsi="Times New Roman" w:cs="Courier New"/>
          <w:color w:val="000000"/>
          <w:lang w:val="en-TT"/>
        </w:rPr>
        <w:t xml:space="preserve"> </w:t>
      </w:r>
      <w:r w:rsidRPr="00F55788">
        <w:rPr>
          <w:rFonts w:ascii="Times New Roman" w:eastAsia="Calibri" w:hAnsi="Times New Roman" w:cs="Courier New"/>
          <w:color w:val="000000"/>
          <w:lang w:val="en-TT"/>
        </w:rPr>
        <w:t>Family carers such as Mrs. Sanchez, Sheila, Ms. Angela, Rebecca, Samantha and Mr. Birch</w:t>
      </w:r>
      <w:r>
        <w:rPr>
          <w:rFonts w:ascii="Times New Roman" w:eastAsia="Calibri" w:hAnsi="Times New Roman" w:cs="Courier New"/>
          <w:color w:val="000000"/>
          <w:lang w:val="en-TT"/>
        </w:rPr>
        <w:t xml:space="preserve"> for example</w:t>
      </w:r>
      <w:r w:rsidRPr="00F55788">
        <w:rPr>
          <w:rFonts w:ascii="Times New Roman" w:eastAsia="Calibri" w:hAnsi="Times New Roman" w:cs="Courier New"/>
          <w:color w:val="000000"/>
          <w:lang w:val="en-TT"/>
        </w:rPr>
        <w:t>, all expressed some dissatisfaction about the lack of support they received from their family with regards to the care of their older relative</w:t>
      </w:r>
      <w:r>
        <w:rPr>
          <w:rFonts w:ascii="Times New Roman" w:eastAsia="Calibri" w:hAnsi="Times New Roman" w:cs="Courier New"/>
          <w:color w:val="000000"/>
          <w:lang w:val="en-TT"/>
        </w:rPr>
        <w:t xml:space="preserve"> /friend</w:t>
      </w:r>
      <w:r w:rsidRPr="00F55788">
        <w:rPr>
          <w:rFonts w:ascii="Times New Roman" w:eastAsia="Calibri" w:hAnsi="Times New Roman" w:cs="Courier New"/>
          <w:color w:val="000000"/>
          <w:lang w:val="en-TT"/>
        </w:rPr>
        <w:t>.</w:t>
      </w:r>
    </w:p>
  </w:footnote>
  <w:footnote w:id="98">
    <w:p w14:paraId="43C1597B" w14:textId="416255EB" w:rsidR="00D7239F" w:rsidRPr="00D07398" w:rsidRDefault="00D7239F" w:rsidP="004F33B6">
      <w:pPr>
        <w:pStyle w:val="FootnoteText"/>
      </w:pPr>
      <w:r>
        <w:rPr>
          <w:rStyle w:val="FootnoteReference"/>
        </w:rPr>
        <w:footnoteRef/>
      </w:r>
      <w:r>
        <w:t xml:space="preserve"> </w:t>
      </w:r>
      <w:r w:rsidRPr="00D07398">
        <w:t>The male breadwinner model which is characterised as a policy framework founded on the principle of “breadwinning for men and caring / homemaking for women” (Lewis 1992</w:t>
      </w:r>
      <w:r>
        <w:t>, p.</w:t>
      </w:r>
      <w:r w:rsidRPr="00D07398">
        <w:t xml:space="preserve"> 161) is generally associated with a familialism regime. On the other hand, the adult worker or dual-earner model assumes that all adults (male and female) are in the labour market (Lewis 2001) and is associated with a de-familialising regime.</w:t>
      </w:r>
    </w:p>
  </w:footnote>
  <w:footnote w:id="99">
    <w:p w14:paraId="0CDA2839" w14:textId="42A38455" w:rsidR="00D7239F" w:rsidRPr="00DA46DD" w:rsidRDefault="00D7239F" w:rsidP="00FC50D3">
      <w:pPr>
        <w:pStyle w:val="FootnoteText"/>
      </w:pPr>
      <w:r>
        <w:rPr>
          <w:rStyle w:val="FootnoteReference"/>
        </w:rPr>
        <w:footnoteRef/>
      </w:r>
      <w:r>
        <w:t xml:space="preserve"> The </w:t>
      </w:r>
      <w:r w:rsidRPr="0067715B">
        <w:t xml:space="preserve">Allocation </w:t>
      </w:r>
      <w:r w:rsidRPr="005B7031">
        <w:rPr>
          <w:lang w:val="en-TT"/>
        </w:rPr>
        <w:t>Personnalisée d'Autonomie</w:t>
      </w:r>
      <w:r w:rsidRPr="0067715B">
        <w:t xml:space="preserve"> </w:t>
      </w:r>
      <w:r>
        <w:t>(APA) when translated into English means “the personalized autonomy allowance”. It is a social measure for the elderly and dependent</w:t>
      </w:r>
      <w:r w:rsidRPr="0067715B">
        <w:t xml:space="preserve"> </w:t>
      </w:r>
      <w:r>
        <w:t>and</w:t>
      </w:r>
      <w:r w:rsidRPr="0067715B">
        <w:t xml:space="preserve"> constitutes a universal right, the object of which is the care of persons with loss of autonomy through the provision of personalised aids and services at home or in institutions. Support via the </w:t>
      </w:r>
      <w:r>
        <w:t>APA</w:t>
      </w:r>
      <w:r w:rsidRPr="0067715B">
        <w:t xml:space="preserve"> is based on 4 levels of dependency: levels 1 &amp; 2 are considered severe dependency while levels 3 &amp; 4 to partial dependency. </w:t>
      </w:r>
      <w:r>
        <w:t>While t</w:t>
      </w:r>
      <w:r w:rsidRPr="00DA46DD">
        <w:t>he allocation of the APA is not subject to means test</w:t>
      </w:r>
      <w:r>
        <w:t>,</w:t>
      </w:r>
      <w:r w:rsidRPr="00DA46DD">
        <w:t xml:space="preserve"> its calculation takes into accoun</w:t>
      </w:r>
      <w:r>
        <w:t xml:space="preserve">t the income of the beneficiary (Chevreul &amp; Brigham 2013; Muiser &amp; Carrin </w:t>
      </w:r>
      <w:r w:rsidRPr="0067715B">
        <w:t>2007</w:t>
      </w:r>
      <w:r>
        <w:t xml:space="preserve">; </w:t>
      </w:r>
      <w:r w:rsidRPr="00FB4FDA">
        <w:t>Sundström</w:t>
      </w:r>
      <w:r>
        <w:t xml:space="preserve"> et al. 2008).</w:t>
      </w:r>
    </w:p>
  </w:footnote>
  <w:footnote w:id="100">
    <w:p w14:paraId="3000C117" w14:textId="0E48A897" w:rsidR="00D7239F" w:rsidRPr="00842E8F" w:rsidRDefault="00D7239F" w:rsidP="00842E8F">
      <w:pPr>
        <w:pStyle w:val="FootnoteText"/>
      </w:pPr>
      <w:r>
        <w:rPr>
          <w:rStyle w:val="FootnoteReference"/>
        </w:rPr>
        <w:footnoteRef/>
      </w:r>
      <w:r>
        <w:t xml:space="preserve"> Israel introduced a means-tested Long Term Care Insurance in 1988. Eligibility criteria includes </w:t>
      </w:r>
      <w:r w:rsidRPr="00781FC6">
        <w:t>income tests, level of frailty, and living in their homes</w:t>
      </w:r>
      <w:r>
        <w:t>. Comparative studies suggest that coverage is generous relative to that provided in other countries with universal programmes (Asiskovitch 2013; Brodsky, Habib &amp; Mizrahi 2002;</w:t>
      </w:r>
      <w:r w:rsidRPr="00116D4D">
        <w:t xml:space="preserve"> </w:t>
      </w:r>
      <w:r>
        <w:t xml:space="preserve">Iecovich 2012; </w:t>
      </w:r>
      <w:r w:rsidRPr="00842E8F">
        <w:t>Sundström</w:t>
      </w:r>
      <w:r>
        <w:t xml:space="preserve"> et al. 2008). However in recent times, the ‘reach’ of the LTC programme has been challenged as being insufficient to meet growing demand and calls have been made to reform the programme (</w:t>
      </w:r>
      <w:r w:rsidRPr="000D3064">
        <w:t>Chernichovsky et al. 2017</w:t>
      </w:r>
      <w:r>
        <w:t>).</w:t>
      </w:r>
    </w:p>
  </w:footnote>
  <w:footnote w:id="101">
    <w:p w14:paraId="6B929AF9" w14:textId="77777777" w:rsidR="00D7239F" w:rsidRPr="006927E6" w:rsidRDefault="00D7239F" w:rsidP="004F33B6">
      <w:pPr>
        <w:pStyle w:val="FootnoteText"/>
      </w:pPr>
      <w:r>
        <w:rPr>
          <w:rStyle w:val="FootnoteReference"/>
        </w:rPr>
        <w:footnoteRef/>
      </w:r>
      <w:r>
        <w:t xml:space="preserve"> A ‘Charter’ can also be referred to as a ‘Manifesto’, ‘Declaration’, or ‘Statement’.</w:t>
      </w:r>
    </w:p>
  </w:footnote>
  <w:footnote w:id="102">
    <w:p w14:paraId="09DE18CE" w14:textId="77777777" w:rsidR="00D7239F" w:rsidRPr="00936C87" w:rsidRDefault="00D7239F" w:rsidP="004F33B6">
      <w:pPr>
        <w:pStyle w:val="FootnoteText"/>
      </w:pPr>
      <w:r>
        <w:rPr>
          <w:rStyle w:val="FootnoteReference"/>
        </w:rPr>
        <w:footnoteRef/>
      </w:r>
      <w:r>
        <w:t xml:space="preserve"> T</w:t>
      </w:r>
      <w:r w:rsidRPr="00936C87">
        <w:t>hese findings further substantiate the suitability of an optimal familialism public policy approach to address the needs of older persons who are at risk of not having support from their kin in later life</w:t>
      </w:r>
    </w:p>
  </w:footnote>
  <w:footnote w:id="103">
    <w:p w14:paraId="12CE186D" w14:textId="77777777" w:rsidR="00D7239F" w:rsidRPr="00013C9C" w:rsidRDefault="00D7239F" w:rsidP="004F33B6">
      <w:pPr>
        <w:pStyle w:val="FootnoteText"/>
      </w:pPr>
      <w:r>
        <w:rPr>
          <w:rStyle w:val="FootnoteReference"/>
        </w:rPr>
        <w:footnoteRef/>
      </w:r>
      <w:r>
        <w:t xml:space="preserve"> As was highlighted above, a</w:t>
      </w:r>
      <w:r w:rsidRPr="00013C9C">
        <w:t>bout 60% of survey respondents in this study agreed that caregivers could be male or female.</w:t>
      </w:r>
    </w:p>
  </w:footnote>
  <w:footnote w:id="104">
    <w:p w14:paraId="73E9A334" w14:textId="69413FDA" w:rsidR="00D7239F" w:rsidRPr="00C151EA" w:rsidRDefault="00D7239F">
      <w:pPr>
        <w:pStyle w:val="FootnoteText"/>
      </w:pPr>
      <w:r>
        <w:rPr>
          <w:rStyle w:val="FootnoteReference"/>
        </w:rPr>
        <w:footnoteRef/>
      </w:r>
      <w:r>
        <w:t xml:space="preserve"> </w:t>
      </w:r>
      <w:r w:rsidRPr="00C151EA">
        <w:t>A Certificate of Character is an official document issued by the Trinidad and Tobago Police Service that states whether or not a person has a record of previous convictions in Trinidad or Tobago.</w:t>
      </w:r>
      <w:r>
        <w:t xml:space="preserve"> It is equivalent to the UKs </w:t>
      </w:r>
      <w:r w:rsidRPr="00C151EA">
        <w:t>Disclosure and Barring Service (DBS) check</w:t>
      </w:r>
      <w:r>
        <w:t xml:space="preserve">. </w:t>
      </w:r>
    </w:p>
  </w:footnote>
  <w:footnote w:id="105">
    <w:p w14:paraId="164A1549" w14:textId="77777777" w:rsidR="00D7239F" w:rsidRPr="00980579" w:rsidRDefault="00D7239F" w:rsidP="004F33B6">
      <w:pPr>
        <w:pStyle w:val="FootnoteText"/>
      </w:pPr>
      <w:r>
        <w:rPr>
          <w:rStyle w:val="FootnoteReference"/>
        </w:rPr>
        <w:footnoteRef/>
      </w:r>
      <w:r>
        <w:t xml:space="preserve"> </w:t>
      </w:r>
      <w:r w:rsidRPr="00556C19">
        <w:t>Initial steps have been taken to address this issue</w:t>
      </w:r>
      <w:r>
        <w:t>. In 2017 (after the data collection period ended for this study) the Ministry of Social Development and Family Services in collaboration with other state agencies, launched its Pu</w:t>
      </w:r>
      <w:r w:rsidRPr="00980579">
        <w:t>blic Education and Informatio</w:t>
      </w:r>
      <w:r>
        <w:t>n Sensitization (PIES) sessions. PIES</w:t>
      </w:r>
      <w:r w:rsidRPr="00980579">
        <w:t xml:space="preserve"> should hopefully address the lack of information </w:t>
      </w:r>
      <w:r>
        <w:t>that older persons and caregivers have</w:t>
      </w:r>
      <w:r w:rsidRPr="00980579">
        <w:t xml:space="preserve">. </w:t>
      </w:r>
      <w:r>
        <w:t>Assessments need to be conducted to ascertain the effectiveness of this and other public awareness campaigns with respect to getting information to vulnerable groups such older persons (in particular those with disabilities) and their caregivers, especially persons from low-income communities who are often less likely to have access to information on social programmes.</w:t>
      </w:r>
    </w:p>
  </w:footnote>
  <w:footnote w:id="106">
    <w:p w14:paraId="331F5362" w14:textId="77777777" w:rsidR="00D7239F" w:rsidRPr="00B52FFF" w:rsidRDefault="00D7239F" w:rsidP="004F33B6">
      <w:pPr>
        <w:pStyle w:val="FootnoteText"/>
      </w:pPr>
      <w:r>
        <w:rPr>
          <w:rStyle w:val="FootnoteReference"/>
        </w:rPr>
        <w:footnoteRef/>
      </w:r>
      <w:r>
        <w:t>These services provide assistance with IADLs e.g.</w:t>
      </w:r>
      <w:r w:rsidRPr="00B52FFF">
        <w:t xml:space="preserve"> shopping, </w:t>
      </w:r>
      <w:r>
        <w:t>cleaning, laundry, cooking etc.</w:t>
      </w:r>
    </w:p>
  </w:footnote>
  <w:footnote w:id="107">
    <w:p w14:paraId="53CEA37A" w14:textId="77777777" w:rsidR="00D7239F" w:rsidRPr="00B52FFF" w:rsidRDefault="00D7239F" w:rsidP="004F33B6">
      <w:pPr>
        <w:pStyle w:val="FootnoteText"/>
      </w:pPr>
      <w:r>
        <w:rPr>
          <w:rStyle w:val="FootnoteReference"/>
        </w:rPr>
        <w:footnoteRef/>
      </w:r>
      <w:r>
        <w:t xml:space="preserve"> These are services that focus on helping clients with ADLs e.g. </w:t>
      </w:r>
      <w:r w:rsidRPr="00B52FFF">
        <w:t>bathing, cutting toe nails, toil</w:t>
      </w:r>
      <w:r>
        <w:t>eting, hairdresser at home etc.</w:t>
      </w:r>
    </w:p>
  </w:footnote>
  <w:footnote w:id="108">
    <w:p w14:paraId="39626719" w14:textId="4B5F7077" w:rsidR="00D7239F" w:rsidRPr="00BD37AE" w:rsidRDefault="00D7239F" w:rsidP="004F33B6">
      <w:pPr>
        <w:pStyle w:val="FootnoteText"/>
      </w:pPr>
      <w:r>
        <w:rPr>
          <w:rStyle w:val="FootnoteReference"/>
        </w:rPr>
        <w:footnoteRef/>
      </w:r>
      <w:r>
        <w:t xml:space="preserve"> Training in geriatric care is provided by </w:t>
      </w:r>
      <w:r w:rsidRPr="00483993">
        <w:t>the Ministry of Social Development and Family Services (MSDFS), and the Women in Harmony Programme which currently falls under the purview of the Gender and Child Affairs Section of the Office of the Prime Minister. Older persons can access home care services funded by the state via the GAPP of the MSDFS in Trinidad. In Tobago, the Ageing Unit in the Division of Health and Social Services provides a similar service known as the Golden Age Adolescent Partnership Programme and Long Term Care for the Elderly (Golden Apple)</w:t>
      </w:r>
    </w:p>
  </w:footnote>
  <w:footnote w:id="109">
    <w:p w14:paraId="0F19F384" w14:textId="7E03C1E4" w:rsidR="00D7239F" w:rsidRPr="002D0D8C" w:rsidRDefault="00D7239F" w:rsidP="004F33B6">
      <w:pPr>
        <w:pStyle w:val="FootnoteText"/>
      </w:pPr>
      <w:r>
        <w:rPr>
          <w:rStyle w:val="FootnoteReference"/>
        </w:rPr>
        <w:footnoteRef/>
      </w:r>
      <w:r>
        <w:t xml:space="preserve"> </w:t>
      </w:r>
      <w:r w:rsidRPr="002D0D8C">
        <w:t xml:space="preserve">ChildLine is </w:t>
      </w:r>
      <w:r>
        <w:t>a</w:t>
      </w:r>
      <w:r w:rsidRPr="002D0D8C">
        <w:t xml:space="preserve"> telephone helpline dedicated to childre</w:t>
      </w:r>
      <w:r>
        <w:t xml:space="preserve">n, adolescents and young adults in T&amp;T (Source: </w:t>
      </w:r>
      <w:r w:rsidRPr="00C55FED">
        <w:rPr>
          <w:rStyle w:val="Hyperlink"/>
          <w:color w:val="auto"/>
        </w:rPr>
        <w:t>http://childlinett.org/cms/about-us/</w:t>
      </w:r>
      <w:r w:rsidRPr="00C55FED">
        <w:t>)</w:t>
      </w:r>
      <w:r>
        <w:t>.</w:t>
      </w:r>
    </w:p>
  </w:footnote>
  <w:footnote w:id="110">
    <w:p w14:paraId="18FE471E" w14:textId="77777777" w:rsidR="00D7239F" w:rsidRPr="00FB27E0" w:rsidRDefault="00D7239F" w:rsidP="004F33B6">
      <w:pPr>
        <w:pStyle w:val="FootnoteText"/>
      </w:pPr>
      <w:r>
        <w:rPr>
          <w:rStyle w:val="FootnoteReference"/>
        </w:rPr>
        <w:footnoteRef/>
      </w:r>
      <w:r>
        <w:t xml:space="preserve"> These are houses or self-contained apartments that are specifically designed for older people (or younger disabled people) to allow them to live independently. They usually have communal facilities on site and a scheme manager (or warden) living on- or off-site, who gives advice to residents, ensures that communal areas are clean, and arranges maintenance and repairs. Each unit has access to a 24-hour emergency alarm system so that residents can call for help if they have an accident or emergency (Which? 2019).</w:t>
      </w:r>
    </w:p>
  </w:footnote>
  <w:footnote w:id="111">
    <w:p w14:paraId="6DFB12CD" w14:textId="77777777" w:rsidR="00D7239F" w:rsidRPr="005A45CA" w:rsidRDefault="00D7239F" w:rsidP="004F33B6">
      <w:pPr>
        <w:pStyle w:val="FootnoteText"/>
      </w:pPr>
      <w:r>
        <w:rPr>
          <w:rStyle w:val="FootnoteReference"/>
        </w:rPr>
        <w:footnoteRef/>
      </w:r>
      <w:r>
        <w:t xml:space="preserve"> </w:t>
      </w:r>
      <w:r w:rsidRPr="005A45CA">
        <w:t>At the time that this study was conducted, some Senior Activities Centres were not accessible to physically frail older persons.</w:t>
      </w:r>
    </w:p>
  </w:footnote>
  <w:footnote w:id="112">
    <w:p w14:paraId="540D388F" w14:textId="77777777" w:rsidR="00D7239F" w:rsidRPr="00C66EE1" w:rsidRDefault="00D7239F" w:rsidP="004F33B6">
      <w:pPr>
        <w:pStyle w:val="FootnoteText"/>
      </w:pPr>
      <w:r>
        <w:rPr>
          <w:rStyle w:val="FootnoteReference"/>
        </w:rPr>
        <w:footnoteRef/>
      </w:r>
      <w:r>
        <w:t xml:space="preserve"> </w:t>
      </w:r>
      <w:r w:rsidRPr="00C66EE1">
        <w:t>Universal design “is the design and composition of an environment so that it can be accessed, understood and used to the greatest extent possible by all people, regardless of their age, size, ability or disability” (Housing Agency 2018).</w:t>
      </w:r>
    </w:p>
  </w:footnote>
  <w:footnote w:id="113">
    <w:p w14:paraId="1768C878" w14:textId="3AFCACCB" w:rsidR="00D7239F" w:rsidRPr="000F7B88" w:rsidRDefault="00D7239F" w:rsidP="004F33B6">
      <w:pPr>
        <w:pStyle w:val="FootnoteText"/>
        <w:rPr>
          <w:lang w:val="en-TT"/>
        </w:rPr>
      </w:pPr>
      <w:r>
        <w:rPr>
          <w:rStyle w:val="FootnoteReference"/>
        </w:rPr>
        <w:footnoteRef/>
      </w:r>
      <w:r>
        <w:t xml:space="preserve"> </w:t>
      </w:r>
      <w:r w:rsidRPr="000F7B88">
        <w:t xml:space="preserve">Older persons receive discounts at some movie theatres </w:t>
      </w:r>
      <w:r>
        <w:t xml:space="preserve">and recreational spaces </w:t>
      </w:r>
      <w:r w:rsidRPr="000F7B88">
        <w:t>in T&amp;T. However, services like these should be expanded to care</w:t>
      </w:r>
      <w:r>
        <w:t>give</w:t>
      </w:r>
      <w:r w:rsidRPr="000F7B88">
        <w:t>rs</w:t>
      </w:r>
      <w:r>
        <w:t>,</w:t>
      </w:r>
      <w:r w:rsidRPr="000F7B88">
        <w:t xml:space="preserve"> as frail </w:t>
      </w:r>
      <w:r>
        <w:t>older persons</w:t>
      </w:r>
      <w:r w:rsidRPr="000F7B88">
        <w:t xml:space="preserve"> </w:t>
      </w:r>
      <w:r>
        <w:t>(and pwds</w:t>
      </w:r>
      <w:r w:rsidRPr="000F7B88">
        <w:t xml:space="preserve"> of all ages) </w:t>
      </w:r>
      <w:r>
        <w:t xml:space="preserve">usually </w:t>
      </w:r>
      <w:r w:rsidRPr="000F7B88">
        <w:t>need someone to accompany them</w:t>
      </w:r>
      <w:r>
        <w:t xml:space="preserve"> to social events</w:t>
      </w:r>
      <w:r w:rsidRPr="000F7B88">
        <w:t xml:space="preserve">. In the UK for example, carers can receive discounts or free tickets to the cinema, theatre, sports and other </w:t>
      </w:r>
      <w:r>
        <w:t>activities</w:t>
      </w:r>
      <w:r w:rsidRPr="000F7B88">
        <w:t xml:space="preserve">, as well as concessions for travel via train, bus or boat. Some countries provide special discount cards to </w:t>
      </w:r>
      <w:r>
        <w:t xml:space="preserve">carers and </w:t>
      </w:r>
      <w:r w:rsidRPr="000F7B88">
        <w:t xml:space="preserve">care recipients, which can allow them to get complimentary tickets to participate in social </w:t>
      </w:r>
      <w:r>
        <w:t>and leisure activities</w:t>
      </w:r>
      <w:r w:rsidRPr="000F7B88">
        <w:t>.</w:t>
      </w:r>
    </w:p>
  </w:footnote>
  <w:footnote w:id="114">
    <w:p w14:paraId="29DF659B" w14:textId="77777777" w:rsidR="00D7239F" w:rsidRPr="00193F97" w:rsidRDefault="00D7239F" w:rsidP="004F33B6">
      <w:pPr>
        <w:pStyle w:val="FootnoteText"/>
        <w:rPr>
          <w:lang w:val="en-TT"/>
        </w:rPr>
      </w:pPr>
      <w:r>
        <w:rPr>
          <w:rStyle w:val="FootnoteReference"/>
        </w:rPr>
        <w:footnoteRef/>
      </w:r>
      <w:r>
        <w:t xml:space="preserve"> </w:t>
      </w:r>
      <w:r>
        <w:rPr>
          <w:lang w:val="en-TT"/>
        </w:rPr>
        <w:t xml:space="preserve">Available at </w:t>
      </w:r>
      <w:r w:rsidRPr="00193F97">
        <w:rPr>
          <w:lang w:val="en-TT"/>
        </w:rPr>
        <w:t>https://www.healthcatalyst.com/crucial-to-ACO-Success-patient-population-definition</w:t>
      </w:r>
    </w:p>
  </w:footnote>
  <w:footnote w:id="115">
    <w:p w14:paraId="0D1E7884" w14:textId="72178D6A" w:rsidR="00D7239F" w:rsidRPr="007533E2" w:rsidRDefault="00D7239F">
      <w:pPr>
        <w:pStyle w:val="FootnoteText"/>
      </w:pPr>
      <w:r>
        <w:rPr>
          <w:rStyle w:val="FootnoteReference"/>
        </w:rPr>
        <w:footnoteRef/>
      </w:r>
      <w:r>
        <w:t xml:space="preserve"> See Sections 6.3 to 6.5 and Table 14.</w:t>
      </w:r>
    </w:p>
  </w:footnote>
  <w:footnote w:id="116">
    <w:p w14:paraId="0AEAB566" w14:textId="49A96531" w:rsidR="00D7239F" w:rsidRPr="00903927" w:rsidRDefault="00D7239F">
      <w:pPr>
        <w:pStyle w:val="FootnoteText"/>
      </w:pPr>
      <w:r>
        <w:rPr>
          <w:rStyle w:val="FootnoteReference"/>
        </w:rPr>
        <w:footnoteRef/>
      </w:r>
      <w:r>
        <w:t xml:space="preserve"> See p. 319-320 above.</w:t>
      </w:r>
    </w:p>
  </w:footnote>
  <w:footnote w:id="117">
    <w:p w14:paraId="4179FD43" w14:textId="3E5A946C" w:rsidR="00D7239F" w:rsidRPr="004F5D88" w:rsidRDefault="00D7239F" w:rsidP="004F5D88">
      <w:pPr>
        <w:pStyle w:val="FootnoteText"/>
      </w:pPr>
      <w:r>
        <w:rPr>
          <w:rStyle w:val="FootnoteReference"/>
        </w:rPr>
        <w:footnoteRef/>
      </w:r>
      <w:r>
        <w:t xml:space="preserve"> See Section 6.5.4, Section 9.7 and p. 320- 321 above. </w:t>
      </w:r>
    </w:p>
  </w:footnote>
  <w:footnote w:id="118">
    <w:p w14:paraId="51EFA406" w14:textId="2766268E" w:rsidR="00D7239F" w:rsidRPr="007533E2" w:rsidRDefault="00D7239F">
      <w:pPr>
        <w:pStyle w:val="FootnoteText"/>
      </w:pPr>
      <w:r>
        <w:rPr>
          <w:rStyle w:val="FootnoteReference"/>
        </w:rPr>
        <w:footnoteRef/>
      </w:r>
      <w:r>
        <w:t xml:space="preserve"> See Section 7.3 </w:t>
      </w:r>
    </w:p>
  </w:footnote>
  <w:footnote w:id="119">
    <w:p w14:paraId="346F6777" w14:textId="0F656B37" w:rsidR="00D7239F" w:rsidRPr="000D5C6D" w:rsidRDefault="00D7239F">
      <w:pPr>
        <w:pStyle w:val="FootnoteText"/>
      </w:pPr>
      <w:r>
        <w:rPr>
          <w:rStyle w:val="FootnoteReference"/>
        </w:rPr>
        <w:footnoteRef/>
      </w:r>
      <w:r>
        <w:t xml:space="preserve"> See Section 7.2 and Table 15.</w:t>
      </w:r>
    </w:p>
  </w:footnote>
  <w:footnote w:id="120">
    <w:p w14:paraId="57511EFF" w14:textId="55041ECF" w:rsidR="00D7239F" w:rsidRPr="000D5C6D" w:rsidRDefault="00D7239F">
      <w:pPr>
        <w:pStyle w:val="FootnoteText"/>
      </w:pPr>
      <w:r>
        <w:rPr>
          <w:rStyle w:val="FootnoteReference"/>
        </w:rPr>
        <w:footnoteRef/>
      </w:r>
      <w:r>
        <w:t xml:space="preserve"> See Table 16.</w:t>
      </w:r>
    </w:p>
  </w:footnote>
  <w:footnote w:id="121">
    <w:p w14:paraId="29D7B2A5" w14:textId="67AED9CF" w:rsidR="00D7239F" w:rsidRPr="00734D7A" w:rsidRDefault="00D7239F">
      <w:pPr>
        <w:pStyle w:val="FootnoteText"/>
      </w:pPr>
      <w:r>
        <w:rPr>
          <w:rStyle w:val="FootnoteReference"/>
        </w:rPr>
        <w:footnoteRef/>
      </w:r>
      <w:r>
        <w:t xml:space="preserve"> See Table 18. </w:t>
      </w:r>
    </w:p>
  </w:footnote>
  <w:footnote w:id="122">
    <w:p w14:paraId="4C282E08" w14:textId="394EE096" w:rsidR="00D7239F" w:rsidRPr="00734D7A" w:rsidRDefault="00D7239F">
      <w:pPr>
        <w:pStyle w:val="FootnoteText"/>
      </w:pPr>
      <w:r>
        <w:rPr>
          <w:rStyle w:val="FootnoteReference"/>
        </w:rPr>
        <w:footnoteRef/>
      </w:r>
      <w:r>
        <w:t xml:space="preserve"> See Section 10.2.4</w:t>
      </w:r>
    </w:p>
  </w:footnote>
  <w:footnote w:id="123">
    <w:p w14:paraId="7C0E785A" w14:textId="74371238" w:rsidR="00D7239F" w:rsidRPr="00E23ECA" w:rsidRDefault="00D7239F">
      <w:pPr>
        <w:pStyle w:val="FootnoteText"/>
      </w:pPr>
      <w:r>
        <w:rPr>
          <w:rStyle w:val="FootnoteReference"/>
        </w:rPr>
        <w:footnoteRef/>
      </w:r>
      <w:r>
        <w:t xml:space="preserve"> See Figures 7 &amp; 8, 10 &amp; 11 and Appendix 9.  </w:t>
      </w:r>
    </w:p>
  </w:footnote>
  <w:footnote w:id="124">
    <w:p w14:paraId="50903025" w14:textId="314FF27C" w:rsidR="00D7239F" w:rsidRPr="000B6DD5" w:rsidRDefault="00D7239F" w:rsidP="000B6DD5">
      <w:pPr>
        <w:pStyle w:val="FootnoteText"/>
      </w:pPr>
      <w:r>
        <w:rPr>
          <w:rStyle w:val="FootnoteReference"/>
        </w:rPr>
        <w:footnoteRef/>
      </w:r>
      <w:r>
        <w:t xml:space="preserve"> In the UK this is referred to as childminding. </w:t>
      </w:r>
    </w:p>
  </w:footnote>
  <w:footnote w:id="125">
    <w:p w14:paraId="5CEC7555" w14:textId="0E0C43C4" w:rsidR="00D7239F" w:rsidRPr="006B299A" w:rsidRDefault="00D7239F">
      <w:pPr>
        <w:pStyle w:val="FootnoteText"/>
      </w:pPr>
      <w:r>
        <w:rPr>
          <w:rStyle w:val="FootnoteReference"/>
        </w:rPr>
        <w:footnoteRef/>
      </w:r>
      <w:r>
        <w:t xml:space="preserve"> See for example Box 1.</w:t>
      </w:r>
    </w:p>
  </w:footnote>
  <w:footnote w:id="126">
    <w:p w14:paraId="5FBB31D7" w14:textId="77777777" w:rsidR="00D7239F" w:rsidRPr="00AB4876" w:rsidRDefault="00D7239F" w:rsidP="006B4B67">
      <w:pPr>
        <w:pStyle w:val="FootnoteText"/>
        <w:rPr>
          <w:lang w:val="en-TT"/>
        </w:rPr>
      </w:pPr>
      <w:r w:rsidRPr="00AB4876">
        <w:rPr>
          <w:rStyle w:val="FootnoteReference"/>
        </w:rPr>
        <w:footnoteRef/>
      </w:r>
      <w:r w:rsidRPr="00AB4876">
        <w:t xml:space="preserve"> According to a 2011 UNECLAC study, only a relatively small proportion of pwds in the LAC region (one third of all disabled persons) had access to assistive devices, which are mainly canes and walkers and, to a lesser extent, wheelchairs and crutches. Special devices such as prosthesis, braillers or modified vehicles, were only available to very few pwds (UNECLAC, 2011a: 47). Thus, the provision of this service to pwds in T&amp;T is noteworthy. </w:t>
      </w:r>
    </w:p>
  </w:footnote>
  <w:footnote w:id="127">
    <w:p w14:paraId="2B740084" w14:textId="77777777" w:rsidR="00D7239F" w:rsidRPr="00AB4876" w:rsidRDefault="00D7239F" w:rsidP="006B4B67">
      <w:pPr>
        <w:pStyle w:val="FootnoteText"/>
        <w:rPr>
          <w:lang w:val="en-TT"/>
        </w:rPr>
      </w:pPr>
      <w:r w:rsidRPr="00AB4876">
        <w:rPr>
          <w:rStyle w:val="FootnoteReference"/>
        </w:rPr>
        <w:footnoteRef/>
      </w:r>
      <w:r w:rsidRPr="00AB4876">
        <w:t xml:space="preserve"> </w:t>
      </w:r>
      <w:r w:rsidRPr="00AB4876">
        <w:rPr>
          <w:lang w:val="en-TT"/>
        </w:rPr>
        <w:t>P. 166</w:t>
      </w:r>
    </w:p>
  </w:footnote>
  <w:footnote w:id="128">
    <w:p w14:paraId="1C4481A7" w14:textId="77777777" w:rsidR="00D7239F" w:rsidRPr="00AB4876" w:rsidRDefault="00D7239F" w:rsidP="006B4B67">
      <w:pPr>
        <w:pStyle w:val="FootnoteText"/>
        <w:rPr>
          <w:lang w:val="fr-FR"/>
        </w:rPr>
      </w:pPr>
      <w:r w:rsidRPr="00AB4876">
        <w:rPr>
          <w:rStyle w:val="FootnoteReference"/>
        </w:rPr>
        <w:footnoteRef/>
      </w:r>
      <w:r w:rsidRPr="00AB4876">
        <w:t xml:space="preserve"> At a Joint Select Committee meeting in June 2016  on the issues facing the disabled community, Sharda Ramlakhan (representative of the Consortium of Disability Organisations) complained that the bus service was not well designed and shuttles people around like objects. </w:t>
      </w:r>
      <w:r w:rsidRPr="00AB4876">
        <w:rPr>
          <w:lang w:val="fr-FR"/>
        </w:rPr>
        <w:t>(Source: http://www.cnc3.co.tt/news/eldamo-not-working)</w:t>
      </w:r>
    </w:p>
  </w:footnote>
  <w:footnote w:id="129">
    <w:p w14:paraId="0B2E91E7" w14:textId="77777777" w:rsidR="00D7239F" w:rsidRPr="00AB4876" w:rsidRDefault="00D7239F" w:rsidP="006B4B67">
      <w:pPr>
        <w:pStyle w:val="FootnoteText"/>
      </w:pPr>
      <w:r w:rsidRPr="00AB4876">
        <w:rPr>
          <w:rStyle w:val="FootnoteReference"/>
        </w:rPr>
        <w:footnoteRef/>
      </w:r>
      <w:r w:rsidRPr="00AB4876">
        <w:t xml:space="preserve"> In Tobago, the Ageing Unit (AU) is the agency with primary responsibility for developing and implementing programmes and projects for older persons. </w:t>
      </w:r>
    </w:p>
  </w:footnote>
  <w:footnote w:id="130">
    <w:p w14:paraId="24DF38F3" w14:textId="77777777" w:rsidR="00D7239F" w:rsidRPr="00AB4876" w:rsidRDefault="00D7239F" w:rsidP="008B16DA">
      <w:pPr>
        <w:pStyle w:val="FootnoteText"/>
      </w:pPr>
      <w:r w:rsidRPr="00AB4876">
        <w:rPr>
          <w:rStyle w:val="FootnoteReference"/>
        </w:rPr>
        <w:footnoteRef/>
      </w:r>
      <w:r w:rsidRPr="00705DEE">
        <w:rPr>
          <w:lang w:val="fr-FR"/>
        </w:rPr>
        <w:t xml:space="preserve"> Source: </w:t>
      </w:r>
      <w:r w:rsidRPr="00AB4876">
        <w:fldChar w:fldCharType="begin"/>
      </w:r>
      <w:r w:rsidRPr="00705DEE">
        <w:rPr>
          <w:lang w:val="fr-FR"/>
        </w:rPr>
        <w:instrText xml:space="preserve"> ADDIN EN.CITE &lt;EndNote&gt;&lt;Cite&gt;&lt;Author&gt;Rofman&lt;/Author&gt;&lt;Year&gt;2015&lt;/Year&gt;&lt;IDText&gt;Beyond contributory pensions : fourteen experiences with coverage expansion in Latin America&lt;/IDText&gt;&lt;DisplayText&gt;ROFMAN, R., APELLA, I. &amp;amp; VEZZA, E. 2015. Beyond contributory pensions : fourteen experiences with coverage expansion in Latin America. Washington D.C.: The World Bank.&lt;/DisplayText&gt;&lt;record&gt;&lt;urls&gt;&lt;related-urls&gt;&lt;url&gt;http://documents.worldbank.org/curated/en/436241468045861160/pdf/928720PUB0Box3021039009781464803901.pdf&lt;/url&gt;&lt;/related-urls&gt;&lt;/urls&gt;&lt;titles&gt;&lt;title&gt;Beyond contributory pensions : fourteen experiences with coverage expansion in Latin America&lt;/title&gt;&lt;/titles&gt;&lt;contributors&gt;&lt;authors&gt;&lt;author&gt;Rofman,  Rafael&lt;/author&gt;&lt;author&gt;Apella,  Ignacio&lt;/author&gt;&lt;author&gt;Vezza,  Evelyn&lt;/author&gt;&lt;/authors&gt;&lt;/contributors&gt;&lt;added-date format="utc"&gt;1503149592&lt;/added-date&gt;&lt;pub-location&gt;Washington D.C.&lt;/pub-location&gt;&lt;ref-type name="Government Document"&gt;46&lt;/ref-type&gt;&lt;dates&gt;&lt;year&gt;2015&lt;/year&gt;&lt;/dates&gt;&lt;rec-number&gt;673&lt;/rec-number&gt;&lt;publisher&gt;The World Bank&lt;/publisher&gt;&lt;last-updated-date format="utc"&gt;1503151109&lt;/last-updated-date&gt;&lt;/record&gt;&lt;/Cite&gt;&lt;/EndNote&gt;</w:instrText>
      </w:r>
      <w:r w:rsidRPr="00AB4876">
        <w:fldChar w:fldCharType="separate"/>
      </w:r>
      <w:r w:rsidRPr="00705DEE">
        <w:rPr>
          <w:noProof/>
          <w:lang w:val="fr-FR"/>
        </w:rPr>
        <w:t xml:space="preserve">ROFMAN, R., APELLA, I. &amp; VEZZA, E. 2015. </w:t>
      </w:r>
      <w:r w:rsidRPr="00AB4876">
        <w:rPr>
          <w:noProof/>
        </w:rPr>
        <w:t>Beyond contributory pensions : fourteen experiences with coverage expansion in Latin America. Washington D.C.: The World Bank.</w:t>
      </w:r>
      <w:r w:rsidRPr="00AB4876">
        <w:fldChar w:fldCharType="end"/>
      </w:r>
      <w:r w:rsidRPr="00AB4876">
        <w:t xml:space="preserve"> (p. 371). Please note that T&amp;T does NOT have the following pillars / pension types: i) Second Pillar - mandatory defined contribution plan with independent investment management; ii) Fourth Pillar - informal support (such as family), other formal social programs (such as health care or housing), and other individual assets (such as home ownership and reverse mortgages).</w:t>
      </w:r>
    </w:p>
  </w:footnote>
  <w:footnote w:id="131">
    <w:p w14:paraId="235534FF" w14:textId="77777777" w:rsidR="00D7239F" w:rsidRPr="00AB4876" w:rsidRDefault="00D7239F" w:rsidP="006B4B67">
      <w:pPr>
        <w:pStyle w:val="FootnoteText"/>
      </w:pPr>
      <w:r w:rsidRPr="00AB4876">
        <w:rPr>
          <w:rStyle w:val="FootnoteReference"/>
        </w:rPr>
        <w:footnoteRef/>
      </w:r>
      <w:r w:rsidRPr="00AB4876">
        <w:t xml:space="preserve"> </w:t>
      </w:r>
      <w:r w:rsidRPr="00AB4876">
        <w:fldChar w:fldCharType="begin"/>
      </w:r>
      <w:r w:rsidRPr="00AB4876">
        <w:instrText xml:space="preserve"> ADDIN EN.CITE &lt;EndNote&gt;&lt;Cite&gt;&lt;Author&gt;WorldBank&lt;/Author&gt;&lt;Year&gt;2008&lt;/Year&gt;&lt;IDText&gt;The World Bank Pension Conceptual Framework&lt;/IDText&gt;&lt;DisplayText&gt;WORLDBANK 2008. The World Bank Pension Conceptual Framework.&lt;/DisplayText&gt;&lt;record&gt;&lt;urls&gt;&lt;related-urls&gt;&lt;url&gt;http://siteresources.worldbank.org/INTPENSIONS/Resources/395443-1121194657824/PRPNoteConcept_Sept2008.pdf&lt;/url&gt;&lt;/related-urls&gt;&lt;/urls&gt;&lt;titles&gt;&lt;title&gt;The World Bank Pension Conceptual Framework&lt;/title&gt;&lt;tertiary-title&gt;World Bank Pension Reform Primer&lt;/tertiary-title&gt;&lt;/titles&gt;&lt;contributors&gt;&lt;authors&gt;&lt;author&gt;WorldBank&lt;/author&gt;&lt;/authors&gt;&lt;/contributors&gt;&lt;added-date format="utc"&gt;1504040580&lt;/added-date&gt;&lt;ref-type name="Government Document"&gt;46&lt;/ref-type&gt;&lt;dates&gt;&lt;year&gt;2008&lt;/year&gt;&lt;/dates&gt;&lt;rec-number&gt;771&lt;/rec-number&gt;&lt;last-updated-date format="utc"&gt;1504040702&lt;/last-updated-date&gt;&lt;/record&gt;&lt;/Cite&gt;&lt;/EndNote&gt;</w:instrText>
      </w:r>
      <w:r w:rsidRPr="00AB4876">
        <w:fldChar w:fldCharType="separate"/>
      </w:r>
      <w:r w:rsidRPr="00AB4876">
        <w:rPr>
          <w:noProof/>
        </w:rPr>
        <w:t>WORLDBANK 2008. The World Bank Pension Conceptual Framework.</w:t>
      </w:r>
      <w:r w:rsidRPr="00AB4876">
        <w:fldChar w:fldCharType="end"/>
      </w:r>
      <w:r w:rsidRPr="00AB4876">
        <w:t xml:space="preserve"> P. 7</w:t>
      </w:r>
    </w:p>
  </w:footnote>
  <w:footnote w:id="132">
    <w:p w14:paraId="16DEF035" w14:textId="77777777" w:rsidR="00D7239F" w:rsidRPr="00AB4876" w:rsidRDefault="00D7239F" w:rsidP="00D1584C">
      <w:pPr>
        <w:spacing w:line="240" w:lineRule="auto"/>
        <w:rPr>
          <w:sz w:val="20"/>
          <w:szCs w:val="20"/>
        </w:rPr>
      </w:pPr>
      <w:r w:rsidRPr="00AB4876">
        <w:rPr>
          <w:vertAlign w:val="superscript"/>
        </w:rPr>
        <w:footnoteRef/>
      </w:r>
      <w:r w:rsidRPr="00AB4876">
        <w:rPr>
          <w:sz w:val="20"/>
          <w:szCs w:val="20"/>
        </w:rPr>
        <w:t xml:space="preserve"> Most persons (46%) were aged 21 to 39 years of age.</w:t>
      </w:r>
    </w:p>
  </w:footnote>
  <w:footnote w:id="133">
    <w:p w14:paraId="01B1E55E"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34">
    <w:p w14:paraId="20B8FEE6" w14:textId="79469B8C" w:rsidR="00D7239F" w:rsidRPr="00AB4876" w:rsidRDefault="00D7239F" w:rsidP="00D1584C">
      <w:pPr>
        <w:pStyle w:val="FootnoteText"/>
      </w:pPr>
      <w:r w:rsidRPr="00AB4876">
        <w:rPr>
          <w:rStyle w:val="FootnoteReference"/>
        </w:rPr>
        <w:footnoteRef/>
      </w:r>
      <w:r w:rsidRPr="00AB4876">
        <w:t xml:space="preserve"> Based on RHA</w:t>
      </w:r>
    </w:p>
  </w:footnote>
  <w:footnote w:id="135">
    <w:p w14:paraId="7417766D"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36">
    <w:p w14:paraId="43271F45" w14:textId="77777777" w:rsidR="00D7239F" w:rsidRPr="00AB4876" w:rsidRDefault="00D7239F" w:rsidP="00D1584C">
      <w:pPr>
        <w:pStyle w:val="FootnoteText"/>
      </w:pPr>
      <w:r w:rsidRPr="00AB4876">
        <w:rPr>
          <w:rStyle w:val="FootnoteReference"/>
        </w:rPr>
        <w:footnoteRef/>
      </w:r>
      <w:r w:rsidRPr="00AB4876">
        <w:t xml:space="preserve"> Uncle Wilton was born in Grenada and migrated to Trinidad after completing Primary School.</w:t>
      </w:r>
    </w:p>
  </w:footnote>
  <w:footnote w:id="137">
    <w:p w14:paraId="4EE774A7"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38">
    <w:p w14:paraId="20731BA9" w14:textId="77777777" w:rsidR="00D7239F" w:rsidRPr="00AB4876" w:rsidRDefault="00D7239F" w:rsidP="00D1584C">
      <w:pPr>
        <w:pStyle w:val="FootnoteText"/>
      </w:pPr>
      <w:r w:rsidRPr="00AB4876">
        <w:rPr>
          <w:rStyle w:val="FootnoteReference"/>
        </w:rPr>
        <w:footnoteRef/>
      </w:r>
      <w:r w:rsidRPr="00AB4876">
        <w:t xml:space="preserve"> Ms. Kumar had a heart problem a year before the interview. She was independent before that health crisis occurred but needed significant care after the incident. </w:t>
      </w:r>
    </w:p>
  </w:footnote>
  <w:footnote w:id="139">
    <w:p w14:paraId="7AF8F8EF"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40">
    <w:p w14:paraId="3C72E129" w14:textId="77777777" w:rsidR="00D7239F" w:rsidRPr="00AB4876" w:rsidRDefault="00D7239F" w:rsidP="00D1584C">
      <w:pPr>
        <w:pStyle w:val="FootnoteText"/>
      </w:pPr>
      <w:r w:rsidRPr="00AB4876">
        <w:rPr>
          <w:rStyle w:val="FootnoteReference"/>
        </w:rPr>
        <w:footnoteRef/>
      </w:r>
      <w:r w:rsidRPr="00AB4876">
        <w:t xml:space="preserve"> A couple months after the interviews, Ms. Kumar died. Rebecca described her as having a difficult death. I attended the ‘wake’ one night in the week. The members of Ms. Kumar’s church led the service.</w:t>
      </w:r>
    </w:p>
  </w:footnote>
  <w:footnote w:id="141">
    <w:p w14:paraId="1E34B0F2" w14:textId="77777777" w:rsidR="00D7239F" w:rsidRPr="00AB4876" w:rsidRDefault="00D7239F" w:rsidP="00D1584C">
      <w:pPr>
        <w:pStyle w:val="FootnoteText"/>
      </w:pPr>
      <w:r w:rsidRPr="00AB4876">
        <w:rPr>
          <w:rStyle w:val="FootnoteReference"/>
        </w:rPr>
        <w:footnoteRef/>
      </w:r>
      <w:r w:rsidRPr="00AB4876">
        <w:t xml:space="preserve"> This time period is specifically on Timothy’s role as a primary caregiver and not on his role as a secondary caregiver which occurred before his sister died. </w:t>
      </w:r>
    </w:p>
  </w:footnote>
  <w:footnote w:id="142">
    <w:p w14:paraId="6674FF97"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43">
    <w:p w14:paraId="317E2F3B" w14:textId="77777777" w:rsidR="00D7239F" w:rsidRPr="00AB4876" w:rsidRDefault="00D7239F" w:rsidP="00D1584C">
      <w:pPr>
        <w:pStyle w:val="FootnoteText"/>
      </w:pPr>
      <w:r w:rsidRPr="00AB4876">
        <w:rPr>
          <w:rStyle w:val="FootnoteReference"/>
        </w:rPr>
        <w:footnoteRef/>
      </w:r>
      <w:r w:rsidRPr="00AB4876">
        <w:t xml:space="preserve"> Melissa had dual citizenship i.e. from Trinidad and another Caribbean island</w:t>
      </w:r>
    </w:p>
  </w:footnote>
  <w:footnote w:id="144">
    <w:p w14:paraId="50E6A913" w14:textId="77777777" w:rsidR="00D7239F" w:rsidRPr="00AB4876" w:rsidRDefault="00D7239F" w:rsidP="00D1584C">
      <w:pPr>
        <w:pStyle w:val="FootnoteText"/>
      </w:pPr>
      <w:r w:rsidRPr="00AB4876">
        <w:rPr>
          <w:rStyle w:val="FootnoteReference"/>
        </w:rPr>
        <w:footnoteRef/>
      </w:r>
      <w:r w:rsidRPr="00AB4876">
        <w:t xml:space="preserve"> Melissa provided paid in-home care to Mr. and Mrs. Druman for 2 years prior to the interview. </w:t>
      </w:r>
    </w:p>
  </w:footnote>
  <w:footnote w:id="145">
    <w:p w14:paraId="3BF1120C"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46">
    <w:p w14:paraId="2A4E2F87"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47">
    <w:p w14:paraId="1482075E" w14:textId="77777777" w:rsidR="00D7239F" w:rsidRPr="00AB4876" w:rsidRDefault="00D7239F" w:rsidP="00D1584C">
      <w:pPr>
        <w:pStyle w:val="FootnoteText"/>
      </w:pPr>
      <w:r w:rsidRPr="00AB4876">
        <w:rPr>
          <w:rStyle w:val="FootnoteReference"/>
        </w:rPr>
        <w:footnoteRef/>
      </w:r>
      <w:r w:rsidRPr="00AB4876">
        <w:t xml:space="preserve"> The eulogies that were given at the funeral confirmed some of the information that was obtained in the interviews with Mr. and Mrs. Lopez.</w:t>
      </w:r>
    </w:p>
  </w:footnote>
  <w:footnote w:id="148">
    <w:p w14:paraId="5B6152E6" w14:textId="77777777" w:rsidR="00D7239F" w:rsidRPr="00AB4876" w:rsidRDefault="00D7239F" w:rsidP="00D1584C">
      <w:pPr>
        <w:pStyle w:val="FootnoteText"/>
      </w:pPr>
      <w:r w:rsidRPr="00AB4876">
        <w:rPr>
          <w:rStyle w:val="FootnoteReference"/>
        </w:rPr>
        <w:footnoteRef/>
      </w:r>
      <w:r w:rsidRPr="00AB4876">
        <w:t xml:space="preserve"> Mr. Flora was not well enough to be interviewed. </w:t>
      </w:r>
    </w:p>
  </w:footnote>
  <w:footnote w:id="149">
    <w:p w14:paraId="3FB632C6" w14:textId="77777777" w:rsidR="00D7239F" w:rsidRPr="00AB4876" w:rsidRDefault="00D7239F" w:rsidP="00D1584C">
      <w:pPr>
        <w:pStyle w:val="FootnoteText"/>
      </w:pPr>
      <w:r w:rsidRPr="00AB4876">
        <w:rPr>
          <w:rStyle w:val="FootnoteReference"/>
        </w:rPr>
        <w:footnoteRef/>
      </w:r>
      <w:r w:rsidRPr="00AB4876">
        <w:t xml:space="preserve"> Mr. Flora was officially diagnosed with Parkinson’s Disease about 6 years prior to the interview. </w:t>
      </w:r>
    </w:p>
  </w:footnote>
  <w:footnote w:id="150">
    <w:p w14:paraId="4BC69B03"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51">
    <w:p w14:paraId="1D35AE10" w14:textId="77777777" w:rsidR="00D7239F" w:rsidRPr="00AB4876" w:rsidRDefault="00D7239F" w:rsidP="00D1584C">
      <w:pPr>
        <w:pStyle w:val="FootnoteText"/>
      </w:pPr>
      <w:r w:rsidRPr="00AB4876">
        <w:rPr>
          <w:rStyle w:val="FootnoteReference"/>
        </w:rPr>
        <w:footnoteRef/>
      </w:r>
      <w:r w:rsidRPr="00AB4876">
        <w:t xml:space="preserve"> Susan cared for her mother full-time for about 10 years. </w:t>
      </w:r>
    </w:p>
  </w:footnote>
  <w:footnote w:id="152">
    <w:p w14:paraId="2F636BD6"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53">
    <w:p w14:paraId="142CCA49"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54">
    <w:p w14:paraId="15590852" w14:textId="77777777" w:rsidR="00D7239F" w:rsidRPr="00AB4876" w:rsidRDefault="00D7239F" w:rsidP="00D1584C">
      <w:pPr>
        <w:pStyle w:val="FootnoteText"/>
      </w:pPr>
      <w:r w:rsidRPr="00AB4876">
        <w:rPr>
          <w:rStyle w:val="FootnoteReference"/>
        </w:rPr>
        <w:footnoteRef/>
      </w:r>
      <w:r w:rsidRPr="00AB4876">
        <w:t xml:space="preserve"> Dyann was pursuing a Certificate in Social Work with the local University at the time of the interview.</w:t>
      </w:r>
    </w:p>
  </w:footnote>
  <w:footnote w:id="155">
    <w:p w14:paraId="13A0F54D"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56">
    <w:p w14:paraId="20EF57B4" w14:textId="77777777" w:rsidR="00D7239F" w:rsidRPr="00AB4876" w:rsidRDefault="00D7239F" w:rsidP="00D1584C">
      <w:pPr>
        <w:pStyle w:val="FootnoteText"/>
      </w:pPr>
      <w:r w:rsidRPr="00AB4876">
        <w:rPr>
          <w:rStyle w:val="FootnoteReference"/>
        </w:rPr>
        <w:footnoteRef/>
      </w:r>
      <w:r w:rsidRPr="00AB4876">
        <w:t xml:space="preserve"> Angela and Avalon. </w:t>
      </w:r>
    </w:p>
  </w:footnote>
  <w:footnote w:id="157">
    <w:p w14:paraId="190447DE" w14:textId="77777777" w:rsidR="00D7239F" w:rsidRPr="00AB4876" w:rsidRDefault="00D7239F" w:rsidP="00D1584C">
      <w:pPr>
        <w:pStyle w:val="FootnoteText"/>
      </w:pPr>
      <w:r w:rsidRPr="00AB4876">
        <w:rPr>
          <w:rStyle w:val="FootnoteReference"/>
        </w:rPr>
        <w:footnoteRef/>
      </w:r>
      <w:r w:rsidRPr="00AB4876">
        <w:t xml:space="preserve">Angela became her mother’s primary caregiver after her sister died about 5 years before the interview. </w:t>
      </w:r>
    </w:p>
  </w:footnote>
  <w:footnote w:id="158">
    <w:p w14:paraId="5445E152"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 w:id="159">
    <w:p w14:paraId="17E1E02E" w14:textId="23B6DC44" w:rsidR="00D7239F" w:rsidRPr="002C4D52" w:rsidRDefault="00D7239F" w:rsidP="002C4D52">
      <w:pPr>
        <w:pStyle w:val="FootnoteText"/>
        <w:rPr>
          <w:rFonts w:ascii="Times New Roman" w:eastAsia="Times New Roman" w:hAnsi="Times New Roman" w:cs="Times New Roman"/>
          <w:color w:val="000000" w:themeColor="text1"/>
        </w:rPr>
      </w:pPr>
      <w:r w:rsidRPr="00AB4876">
        <w:rPr>
          <w:rStyle w:val="FootnoteReference"/>
        </w:rPr>
        <w:footnoteRef/>
      </w:r>
      <w:r w:rsidRPr="00AB4876">
        <w:t xml:space="preserve"> Angela was a permanent residence of the USA. She remained in Trinidad to care for her </w:t>
      </w:r>
      <w:r w:rsidRPr="002957AE">
        <w:rPr>
          <w:rFonts w:ascii="Times New Roman" w:eastAsia="Times New Roman" w:hAnsi="Times New Roman" w:cs="Times New Roman"/>
          <w:color w:val="000000" w:themeColor="text1"/>
        </w:rPr>
        <w:t>mo</w:t>
      </w:r>
      <w:r>
        <w:rPr>
          <w:rFonts w:ascii="Times New Roman" w:eastAsia="Times New Roman" w:hAnsi="Times New Roman" w:cs="Times New Roman"/>
          <w:color w:val="000000" w:themeColor="text1"/>
        </w:rPr>
        <w:t>ther</w:t>
      </w:r>
      <w:r w:rsidRPr="00AB4876">
        <w:t xml:space="preserve"> for 3 years after her sister died.</w:t>
      </w:r>
    </w:p>
  </w:footnote>
  <w:footnote w:id="160">
    <w:p w14:paraId="4F6212EF" w14:textId="77777777" w:rsidR="00D7239F" w:rsidRPr="00AB4876" w:rsidRDefault="00D7239F" w:rsidP="00D1584C">
      <w:pPr>
        <w:pStyle w:val="FootnoteText"/>
      </w:pPr>
      <w:r w:rsidRPr="00AB4876">
        <w:rPr>
          <w:rStyle w:val="FootnoteReference"/>
        </w:rPr>
        <w:footnoteRef/>
      </w:r>
      <w:r w:rsidRPr="00AB4876">
        <w:t xml:space="preserve"> Ms. Violet and Angela had no relatives that they were close to in T&amp;T. </w:t>
      </w:r>
    </w:p>
  </w:footnote>
  <w:footnote w:id="161">
    <w:p w14:paraId="007D4CF2" w14:textId="77777777" w:rsidR="00D7239F" w:rsidRPr="00AB4876" w:rsidRDefault="00D7239F" w:rsidP="00D1584C">
      <w:pPr>
        <w:pStyle w:val="FootnoteText"/>
      </w:pPr>
      <w:r w:rsidRPr="00AB4876">
        <w:rPr>
          <w:rStyle w:val="FootnoteReference"/>
        </w:rPr>
        <w:footnoteRef/>
      </w:r>
      <w:r w:rsidRPr="00AB4876">
        <w:t xml:space="preserve"> The 3 Grandsons live overseas and provide financial support when needed. Emotional support is provided on occasion. </w:t>
      </w:r>
    </w:p>
  </w:footnote>
  <w:footnote w:id="162">
    <w:p w14:paraId="61FD8587" w14:textId="77777777" w:rsidR="00D7239F" w:rsidRPr="00AB4876" w:rsidRDefault="00D7239F" w:rsidP="00D1584C">
      <w:pPr>
        <w:pStyle w:val="FootnoteText"/>
      </w:pPr>
      <w:r w:rsidRPr="00AB4876">
        <w:rPr>
          <w:rStyle w:val="FootnoteReference"/>
        </w:rPr>
        <w:footnoteRef/>
      </w:r>
      <w:r w:rsidRPr="00AB4876">
        <w:t xml:space="preserve"> Imani was a refugee from an African country. She was unhappy working with Ms. Violet so eventually left the </w:t>
      </w:r>
      <w:proofErr w:type="spellStart"/>
      <w:r w:rsidRPr="00AB4876">
        <w:t>job.s</w:t>
      </w:r>
      <w:proofErr w:type="spellEnd"/>
    </w:p>
  </w:footnote>
  <w:footnote w:id="163">
    <w:p w14:paraId="55F86CED" w14:textId="77777777" w:rsidR="00D7239F" w:rsidRPr="00AB4876" w:rsidRDefault="00D7239F" w:rsidP="00D1584C">
      <w:pPr>
        <w:pStyle w:val="FootnoteText"/>
      </w:pPr>
      <w:r w:rsidRPr="00AB4876">
        <w:rPr>
          <w:rStyle w:val="FootnoteReference"/>
        </w:rPr>
        <w:footnoteRef/>
      </w:r>
      <w:r w:rsidRPr="00AB4876">
        <w:t xml:space="preserve"> Tony had another family of his own in another Caribbean country. </w:t>
      </w:r>
    </w:p>
  </w:footnote>
  <w:footnote w:id="164">
    <w:p w14:paraId="3677A015" w14:textId="77777777" w:rsidR="00D7239F" w:rsidRPr="00AB4876" w:rsidRDefault="00D7239F" w:rsidP="00D1584C">
      <w:pPr>
        <w:pStyle w:val="FootnoteText"/>
      </w:pPr>
      <w:r w:rsidRPr="00AB4876">
        <w:rPr>
          <w:rStyle w:val="FootnoteReference"/>
        </w:rPr>
        <w:footnoteRef/>
      </w:r>
      <w:r w:rsidRPr="00AB4876">
        <w:t xml:space="preserve"> Based on Regional Health Authority (RHA)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429"/>
    <w:multiLevelType w:val="multilevel"/>
    <w:tmpl w:val="0CB8747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CA65AF"/>
    <w:multiLevelType w:val="hybridMultilevel"/>
    <w:tmpl w:val="6556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36AE8"/>
    <w:multiLevelType w:val="hybridMultilevel"/>
    <w:tmpl w:val="27DEE71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nsid w:val="02B51913"/>
    <w:multiLevelType w:val="multilevel"/>
    <w:tmpl w:val="36C449B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66630C5"/>
    <w:multiLevelType w:val="hybridMultilevel"/>
    <w:tmpl w:val="6778FA40"/>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
    <w:nsid w:val="06FE6AC5"/>
    <w:multiLevelType w:val="hybridMultilevel"/>
    <w:tmpl w:val="BA087CA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
    <w:nsid w:val="0B7379E1"/>
    <w:multiLevelType w:val="hybridMultilevel"/>
    <w:tmpl w:val="DE1A224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
    <w:nsid w:val="0BAA1B81"/>
    <w:multiLevelType w:val="hybridMultilevel"/>
    <w:tmpl w:val="D070E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AE30CC"/>
    <w:multiLevelType w:val="hybridMultilevel"/>
    <w:tmpl w:val="9E7A2AB0"/>
    <w:lvl w:ilvl="0" w:tplc="176A8D4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CDD1AE5"/>
    <w:multiLevelType w:val="hybridMultilevel"/>
    <w:tmpl w:val="CD641FB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nsid w:val="0ED82EEE"/>
    <w:multiLevelType w:val="multilevel"/>
    <w:tmpl w:val="3B185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EDB21F5"/>
    <w:multiLevelType w:val="multilevel"/>
    <w:tmpl w:val="B9849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0D205F8"/>
    <w:multiLevelType w:val="hybridMultilevel"/>
    <w:tmpl w:val="577A7E8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3">
    <w:nsid w:val="13665AAA"/>
    <w:multiLevelType w:val="hybridMultilevel"/>
    <w:tmpl w:val="D9960CF6"/>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4">
    <w:nsid w:val="14EB3F3A"/>
    <w:multiLevelType w:val="multilevel"/>
    <w:tmpl w:val="A4E46070"/>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154C2EC2"/>
    <w:multiLevelType w:val="hybridMultilevel"/>
    <w:tmpl w:val="891EC0B0"/>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6">
    <w:nsid w:val="15657F34"/>
    <w:multiLevelType w:val="hybridMultilevel"/>
    <w:tmpl w:val="A65A740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7">
    <w:nsid w:val="16D3604F"/>
    <w:multiLevelType w:val="hybridMultilevel"/>
    <w:tmpl w:val="FD40293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17D44C70"/>
    <w:multiLevelType w:val="multilevel"/>
    <w:tmpl w:val="70AE381E"/>
    <w:lvl w:ilvl="0">
      <w:start w:val="1"/>
      <w:numFmt w:val="decimal"/>
      <w:lvlText w:val="%1."/>
      <w:lvlJc w:val="left"/>
      <w:pPr>
        <w:ind w:left="720" w:hanging="360"/>
      </w:pPr>
    </w:lvl>
    <w:lvl w:ilvl="1">
      <w:start w:val="2"/>
      <w:numFmt w:val="decimal"/>
      <w:isLgl/>
      <w:lvlText w:val="%1.%2"/>
      <w:lvlJc w:val="left"/>
      <w:pPr>
        <w:ind w:left="1800" w:hanging="360"/>
      </w:pPr>
      <w:rPr>
        <w:rFonts w:hint="default"/>
        <w:i w:val="0"/>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9">
    <w:nsid w:val="1EEA296B"/>
    <w:multiLevelType w:val="hybridMultilevel"/>
    <w:tmpl w:val="53CE9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F7E495D"/>
    <w:multiLevelType w:val="multilevel"/>
    <w:tmpl w:val="57D8704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19B0218"/>
    <w:multiLevelType w:val="hybridMultilevel"/>
    <w:tmpl w:val="C8EEE6B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nsid w:val="27261B03"/>
    <w:multiLevelType w:val="multilevel"/>
    <w:tmpl w:val="59FEE8CE"/>
    <w:lvl w:ilvl="0">
      <w:start w:val="1"/>
      <w:numFmt w:val="decimal"/>
      <w:pStyle w:val="Heading11"/>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nsid w:val="27D12D9B"/>
    <w:multiLevelType w:val="hybridMultilevel"/>
    <w:tmpl w:val="8AC661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BA345E5"/>
    <w:multiLevelType w:val="hybridMultilevel"/>
    <w:tmpl w:val="80A23E72"/>
    <w:lvl w:ilvl="0" w:tplc="2C090017">
      <w:start w:val="1"/>
      <w:numFmt w:val="lowerLetter"/>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5">
    <w:nsid w:val="2C0F7048"/>
    <w:multiLevelType w:val="hybridMultilevel"/>
    <w:tmpl w:val="AFE69082"/>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6">
    <w:nsid w:val="2E470AD8"/>
    <w:multiLevelType w:val="multilevel"/>
    <w:tmpl w:val="505A0E94"/>
    <w:lvl w:ilvl="0">
      <w:start w:val="3"/>
      <w:numFmt w:val="bullet"/>
      <w:lvlText w:val="-"/>
      <w:lvlJc w:val="left"/>
      <w:pPr>
        <w:ind w:left="1080" w:hanging="360"/>
      </w:pPr>
      <w:rPr>
        <w:rFonts w:ascii="Calibri" w:eastAsia="Calibri" w:hAnsi="Calibri" w:cs="Calibri"/>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nsid w:val="2EF23F5F"/>
    <w:multiLevelType w:val="multilevel"/>
    <w:tmpl w:val="CB5C03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nsid w:val="31AB39EE"/>
    <w:multiLevelType w:val="multilevel"/>
    <w:tmpl w:val="2C96E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34C1735"/>
    <w:multiLevelType w:val="hybridMultilevel"/>
    <w:tmpl w:val="15468C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350D696B"/>
    <w:multiLevelType w:val="hybridMultilevel"/>
    <w:tmpl w:val="CAC0CD56"/>
    <w:lvl w:ilvl="0" w:tplc="0D720F4A">
      <w:start w:val="1"/>
      <w:numFmt w:val="decimal"/>
      <w:pStyle w:val="IntenseQuote"/>
      <w:lvlText w:val="1.%1"/>
      <w:lvlJc w:val="left"/>
      <w:pPr>
        <w:ind w:left="1656" w:hanging="360"/>
      </w:pPr>
      <w:rPr>
        <w:rFonts w:ascii="Times New Roman" w:hAnsi="Times New Roman" w:hint="default"/>
        <w:b/>
        <w:i w:val="0"/>
      </w:rPr>
    </w:lvl>
    <w:lvl w:ilvl="1" w:tplc="2C090019" w:tentative="1">
      <w:start w:val="1"/>
      <w:numFmt w:val="lowerLetter"/>
      <w:lvlText w:val="%2."/>
      <w:lvlJc w:val="left"/>
      <w:pPr>
        <w:ind w:left="2376" w:hanging="360"/>
      </w:pPr>
    </w:lvl>
    <w:lvl w:ilvl="2" w:tplc="2C09001B" w:tentative="1">
      <w:start w:val="1"/>
      <w:numFmt w:val="lowerRoman"/>
      <w:lvlText w:val="%3."/>
      <w:lvlJc w:val="right"/>
      <w:pPr>
        <w:ind w:left="3096" w:hanging="180"/>
      </w:pPr>
    </w:lvl>
    <w:lvl w:ilvl="3" w:tplc="2C09000F" w:tentative="1">
      <w:start w:val="1"/>
      <w:numFmt w:val="decimal"/>
      <w:lvlText w:val="%4."/>
      <w:lvlJc w:val="left"/>
      <w:pPr>
        <w:ind w:left="3816" w:hanging="360"/>
      </w:pPr>
    </w:lvl>
    <w:lvl w:ilvl="4" w:tplc="2C090019" w:tentative="1">
      <w:start w:val="1"/>
      <w:numFmt w:val="lowerLetter"/>
      <w:lvlText w:val="%5."/>
      <w:lvlJc w:val="left"/>
      <w:pPr>
        <w:ind w:left="4536" w:hanging="360"/>
      </w:pPr>
    </w:lvl>
    <w:lvl w:ilvl="5" w:tplc="2C09001B" w:tentative="1">
      <w:start w:val="1"/>
      <w:numFmt w:val="lowerRoman"/>
      <w:lvlText w:val="%6."/>
      <w:lvlJc w:val="right"/>
      <w:pPr>
        <w:ind w:left="5256" w:hanging="180"/>
      </w:pPr>
    </w:lvl>
    <w:lvl w:ilvl="6" w:tplc="2C09000F" w:tentative="1">
      <w:start w:val="1"/>
      <w:numFmt w:val="decimal"/>
      <w:lvlText w:val="%7."/>
      <w:lvlJc w:val="left"/>
      <w:pPr>
        <w:ind w:left="5976" w:hanging="360"/>
      </w:pPr>
    </w:lvl>
    <w:lvl w:ilvl="7" w:tplc="2C090019" w:tentative="1">
      <w:start w:val="1"/>
      <w:numFmt w:val="lowerLetter"/>
      <w:lvlText w:val="%8."/>
      <w:lvlJc w:val="left"/>
      <w:pPr>
        <w:ind w:left="6696" w:hanging="360"/>
      </w:pPr>
    </w:lvl>
    <w:lvl w:ilvl="8" w:tplc="2C09001B" w:tentative="1">
      <w:start w:val="1"/>
      <w:numFmt w:val="lowerRoman"/>
      <w:lvlText w:val="%9."/>
      <w:lvlJc w:val="right"/>
      <w:pPr>
        <w:ind w:left="7416" w:hanging="180"/>
      </w:pPr>
    </w:lvl>
  </w:abstractNum>
  <w:abstractNum w:abstractNumId="31">
    <w:nsid w:val="38554AD3"/>
    <w:multiLevelType w:val="multilevel"/>
    <w:tmpl w:val="A6FEE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AEB0531"/>
    <w:multiLevelType w:val="hybridMultilevel"/>
    <w:tmpl w:val="B8123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3F137936"/>
    <w:multiLevelType w:val="multilevel"/>
    <w:tmpl w:val="631C8F7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2527898"/>
    <w:multiLevelType w:val="hybridMultilevel"/>
    <w:tmpl w:val="545E244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5">
    <w:nsid w:val="460A41DD"/>
    <w:multiLevelType w:val="multilevel"/>
    <w:tmpl w:val="D958B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71B11C2"/>
    <w:multiLevelType w:val="multilevel"/>
    <w:tmpl w:val="F6441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48830416"/>
    <w:multiLevelType w:val="multilevel"/>
    <w:tmpl w:val="D7F0A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49A161FA"/>
    <w:multiLevelType w:val="hybridMultilevel"/>
    <w:tmpl w:val="09C0608E"/>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9">
    <w:nsid w:val="4AD516C7"/>
    <w:multiLevelType w:val="hybridMultilevel"/>
    <w:tmpl w:val="ADA2D1E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0">
    <w:nsid w:val="4B7E754E"/>
    <w:multiLevelType w:val="multilevel"/>
    <w:tmpl w:val="1D4C6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04B06E0"/>
    <w:multiLevelType w:val="multilevel"/>
    <w:tmpl w:val="A8B603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1312"/>
      <w:lvlText w:val="%1.%2.%3."/>
      <w:lvlJc w:val="left"/>
      <w:pPr>
        <w:ind w:left="1224" w:hanging="504"/>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16A194E"/>
    <w:multiLevelType w:val="hybridMultilevel"/>
    <w:tmpl w:val="0EDC6A04"/>
    <w:lvl w:ilvl="0" w:tplc="2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2C504C9"/>
    <w:multiLevelType w:val="multilevel"/>
    <w:tmpl w:val="011AA2B2"/>
    <w:lvl w:ilvl="0">
      <w:start w:val="1"/>
      <w:numFmt w:val="decimal"/>
      <w:lvlText w:val="%1."/>
      <w:lvlJc w:val="left"/>
      <w:pPr>
        <w:ind w:left="720" w:hanging="360"/>
      </w:pPr>
      <w:rPr>
        <w:rFonts w:ascii="Times New Roman" w:hAnsi="Times New Roman" w:cs="Times New Roman" w:hint="default"/>
        <w:b w:val="0"/>
        <w:bCs w:val="0"/>
        <w:i w:val="0"/>
        <w:iCs w:val="0"/>
        <w:sz w:val="24"/>
        <w:szCs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568163E3"/>
    <w:multiLevelType w:val="hybridMultilevel"/>
    <w:tmpl w:val="B04CEFF0"/>
    <w:lvl w:ilvl="0" w:tplc="F704FFF4">
      <w:start w:val="1"/>
      <w:numFmt w:val="decimal"/>
      <w:lvlText w:val="%1."/>
      <w:lvlJc w:val="left"/>
      <w:pPr>
        <w:ind w:left="720" w:hanging="360"/>
      </w:pPr>
      <w:rPr>
        <w:rFonts w:ascii="Times New Roman" w:hAnsi="Times New Roman" w:cs="Times New Roman" w:hint="default"/>
        <w:b w:val="0"/>
        <w:bCs w:val="0"/>
        <w:i w:val="0"/>
        <w:iCs w:val="0"/>
        <w:sz w:val="24"/>
        <w:szCs w:val="24"/>
        <w:u w:val="none"/>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5">
    <w:nsid w:val="568E47A4"/>
    <w:multiLevelType w:val="hybridMultilevel"/>
    <w:tmpl w:val="418017D0"/>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cs="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cs="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cs="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46">
    <w:nsid w:val="571D37ED"/>
    <w:multiLevelType w:val="hybridMultilevel"/>
    <w:tmpl w:val="83D04E40"/>
    <w:lvl w:ilvl="0" w:tplc="2C09000F">
      <w:start w:val="1"/>
      <w:numFmt w:val="decimal"/>
      <w:lvlText w:val="%1."/>
      <w:lvlJc w:val="left"/>
      <w:pPr>
        <w:ind w:left="720" w:hanging="360"/>
      </w:pPr>
      <w:rPr>
        <w:rFont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7">
    <w:nsid w:val="5AD860F5"/>
    <w:multiLevelType w:val="hybridMultilevel"/>
    <w:tmpl w:val="AA029556"/>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8">
    <w:nsid w:val="5D5C5EE2"/>
    <w:multiLevelType w:val="hybridMultilevel"/>
    <w:tmpl w:val="A0A2EC6E"/>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9">
    <w:nsid w:val="5EB87EF7"/>
    <w:multiLevelType w:val="multilevel"/>
    <w:tmpl w:val="45AEA6BE"/>
    <w:lvl w:ilvl="0">
      <w:start w:val="5"/>
      <w:numFmt w:val="bullet"/>
      <w:lvlText w:val="-"/>
      <w:lvlJc w:val="left"/>
      <w:pPr>
        <w:ind w:left="1080" w:hanging="360"/>
      </w:pPr>
      <w:rPr>
        <w:rFonts w:ascii="Calibri" w:eastAsia="Calibri" w:hAnsi="Calibri" w:cs="Calibri"/>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nsid w:val="602E145A"/>
    <w:multiLevelType w:val="hybridMultilevel"/>
    <w:tmpl w:val="2EB40C40"/>
    <w:lvl w:ilvl="0" w:tplc="F704FFF4">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1">
    <w:nsid w:val="648C1BF9"/>
    <w:multiLevelType w:val="hybridMultilevel"/>
    <w:tmpl w:val="9FF613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nsid w:val="66D70543"/>
    <w:multiLevelType w:val="hybridMultilevel"/>
    <w:tmpl w:val="2EB40C40"/>
    <w:lvl w:ilvl="0" w:tplc="F704FFF4">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3">
    <w:nsid w:val="67200571"/>
    <w:multiLevelType w:val="multilevel"/>
    <w:tmpl w:val="D73A4D5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nsid w:val="6DE82C79"/>
    <w:multiLevelType w:val="multilevel"/>
    <w:tmpl w:val="29C2562A"/>
    <w:lvl w:ilvl="0">
      <w:start w:val="1"/>
      <w:numFmt w:val="decimal"/>
      <w:suff w:val="space"/>
      <w:lvlText w:val="Chapter %1"/>
      <w:lvlJc w:val="left"/>
      <w:pPr>
        <w:ind w:left="0" w:firstLine="0"/>
      </w:pPr>
      <w:rPr>
        <w:caps/>
        <w:u w:val="single"/>
      </w:r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55">
    <w:nsid w:val="6E1A1809"/>
    <w:multiLevelType w:val="hybridMultilevel"/>
    <w:tmpl w:val="A8AA2608"/>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6">
    <w:nsid w:val="6EC26849"/>
    <w:multiLevelType w:val="multilevel"/>
    <w:tmpl w:val="3BF694F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F316EB9"/>
    <w:multiLevelType w:val="hybridMultilevel"/>
    <w:tmpl w:val="DEC603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nsid w:val="6FC47ECB"/>
    <w:multiLevelType w:val="hybridMultilevel"/>
    <w:tmpl w:val="37ECCC94"/>
    <w:lvl w:ilvl="0" w:tplc="2C090011">
      <w:start w:val="1"/>
      <w:numFmt w:val="decimal"/>
      <w:lvlText w:val="%1)"/>
      <w:lvlJc w:val="left"/>
      <w:pPr>
        <w:ind w:left="720" w:hanging="360"/>
      </w:pPr>
      <w:rPr>
        <w:rFonts w:hint="default"/>
        <w:b w:val="0"/>
        <w:bCs w:val="0"/>
        <w:i w:val="0"/>
        <w:iCs w:val="0"/>
        <w:sz w:val="24"/>
        <w:szCs w:val="24"/>
        <w:u w:val="none"/>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9">
    <w:nsid w:val="70C93086"/>
    <w:multiLevelType w:val="hybridMultilevel"/>
    <w:tmpl w:val="7DC4574A"/>
    <w:lvl w:ilvl="0" w:tplc="2C09000F">
      <w:start w:val="1"/>
      <w:numFmt w:val="decimal"/>
      <w:lvlText w:val="%1."/>
      <w:lvlJc w:val="left"/>
      <w:pPr>
        <w:ind w:left="780" w:hanging="360"/>
      </w:pPr>
    </w:lvl>
    <w:lvl w:ilvl="1" w:tplc="2C090019" w:tentative="1">
      <w:start w:val="1"/>
      <w:numFmt w:val="lowerLetter"/>
      <w:lvlText w:val="%2."/>
      <w:lvlJc w:val="left"/>
      <w:pPr>
        <w:ind w:left="1500" w:hanging="360"/>
      </w:pPr>
    </w:lvl>
    <w:lvl w:ilvl="2" w:tplc="2C09001B" w:tentative="1">
      <w:start w:val="1"/>
      <w:numFmt w:val="lowerRoman"/>
      <w:lvlText w:val="%3."/>
      <w:lvlJc w:val="right"/>
      <w:pPr>
        <w:ind w:left="2220" w:hanging="180"/>
      </w:pPr>
    </w:lvl>
    <w:lvl w:ilvl="3" w:tplc="2C09000F" w:tentative="1">
      <w:start w:val="1"/>
      <w:numFmt w:val="decimal"/>
      <w:lvlText w:val="%4."/>
      <w:lvlJc w:val="left"/>
      <w:pPr>
        <w:ind w:left="2940" w:hanging="360"/>
      </w:pPr>
    </w:lvl>
    <w:lvl w:ilvl="4" w:tplc="2C090019" w:tentative="1">
      <w:start w:val="1"/>
      <w:numFmt w:val="lowerLetter"/>
      <w:lvlText w:val="%5."/>
      <w:lvlJc w:val="left"/>
      <w:pPr>
        <w:ind w:left="3660" w:hanging="360"/>
      </w:pPr>
    </w:lvl>
    <w:lvl w:ilvl="5" w:tplc="2C09001B" w:tentative="1">
      <w:start w:val="1"/>
      <w:numFmt w:val="lowerRoman"/>
      <w:lvlText w:val="%6."/>
      <w:lvlJc w:val="right"/>
      <w:pPr>
        <w:ind w:left="4380" w:hanging="180"/>
      </w:pPr>
    </w:lvl>
    <w:lvl w:ilvl="6" w:tplc="2C09000F" w:tentative="1">
      <w:start w:val="1"/>
      <w:numFmt w:val="decimal"/>
      <w:lvlText w:val="%7."/>
      <w:lvlJc w:val="left"/>
      <w:pPr>
        <w:ind w:left="5100" w:hanging="360"/>
      </w:pPr>
    </w:lvl>
    <w:lvl w:ilvl="7" w:tplc="2C090019" w:tentative="1">
      <w:start w:val="1"/>
      <w:numFmt w:val="lowerLetter"/>
      <w:lvlText w:val="%8."/>
      <w:lvlJc w:val="left"/>
      <w:pPr>
        <w:ind w:left="5820" w:hanging="360"/>
      </w:pPr>
    </w:lvl>
    <w:lvl w:ilvl="8" w:tplc="2C09001B" w:tentative="1">
      <w:start w:val="1"/>
      <w:numFmt w:val="lowerRoman"/>
      <w:lvlText w:val="%9."/>
      <w:lvlJc w:val="right"/>
      <w:pPr>
        <w:ind w:left="6540" w:hanging="180"/>
      </w:pPr>
    </w:lvl>
  </w:abstractNum>
  <w:abstractNum w:abstractNumId="60">
    <w:nsid w:val="70FF3211"/>
    <w:multiLevelType w:val="multilevel"/>
    <w:tmpl w:val="E2F20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714C3245"/>
    <w:multiLevelType w:val="hybridMultilevel"/>
    <w:tmpl w:val="5BE27F1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2">
    <w:nsid w:val="72643668"/>
    <w:multiLevelType w:val="hybridMultilevel"/>
    <w:tmpl w:val="C470878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3">
    <w:nsid w:val="72F02DD5"/>
    <w:multiLevelType w:val="hybridMultilevel"/>
    <w:tmpl w:val="320A35A8"/>
    <w:lvl w:ilvl="0" w:tplc="CD944AE0">
      <w:start w:val="1"/>
      <w:numFmt w:val="decimal"/>
      <w:pStyle w:val="PHDHOS"/>
      <w:lvlText w:val="1.%1"/>
      <w:lvlJc w:val="left"/>
      <w:pPr>
        <w:ind w:left="720" w:hanging="360"/>
      </w:pPr>
      <w:rPr>
        <w:rFonts w:ascii="Times New Roman" w:hAnsi="Times New Roman" w:hint="default"/>
        <w:b/>
        <w:i w:val="0"/>
      </w:rPr>
    </w:lvl>
    <w:lvl w:ilvl="1" w:tplc="2C090019" w:tentative="1">
      <w:start w:val="1"/>
      <w:numFmt w:val="lowerLetter"/>
      <w:pStyle w:val="PHDHOS"/>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4">
    <w:nsid w:val="733764BC"/>
    <w:multiLevelType w:val="multilevel"/>
    <w:tmpl w:val="90FC7B98"/>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733A46F1"/>
    <w:multiLevelType w:val="hybridMultilevel"/>
    <w:tmpl w:val="BA64190C"/>
    <w:lvl w:ilvl="0" w:tplc="08090001">
      <w:start w:val="1"/>
      <w:numFmt w:val="bullet"/>
      <w:lvlText w:val=""/>
      <w:lvlJc w:val="left"/>
      <w:pPr>
        <w:ind w:left="1080" w:hanging="360"/>
      </w:pPr>
      <w:rPr>
        <w:rFonts w:ascii="Symbol" w:hAnsi="Symbol" w:hint="default"/>
      </w:rPr>
    </w:lvl>
    <w:lvl w:ilvl="1" w:tplc="2C090003" w:tentative="1">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66">
    <w:nsid w:val="74413A7F"/>
    <w:multiLevelType w:val="hybridMultilevel"/>
    <w:tmpl w:val="A8AA2608"/>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7">
    <w:nsid w:val="74790EBD"/>
    <w:multiLevelType w:val="hybridMultilevel"/>
    <w:tmpl w:val="24763AB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68">
    <w:nsid w:val="7813476C"/>
    <w:multiLevelType w:val="hybridMultilevel"/>
    <w:tmpl w:val="852E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9FA3EE3"/>
    <w:multiLevelType w:val="hybridMultilevel"/>
    <w:tmpl w:val="44B68414"/>
    <w:lvl w:ilvl="0" w:tplc="9AC85896">
      <w:start w:val="1"/>
      <w:numFmt w:val="decimal"/>
      <w:lvlText w:val="%1."/>
      <w:lvlJc w:val="left"/>
      <w:pPr>
        <w:ind w:left="720" w:hanging="360"/>
      </w:pPr>
      <w:rPr>
        <w:rFonts w:hint="default"/>
        <w:lang w:val="en-T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70">
    <w:nsid w:val="7C632DD5"/>
    <w:multiLevelType w:val="hybridMultilevel"/>
    <w:tmpl w:val="15522CC2"/>
    <w:lvl w:ilvl="0" w:tplc="2C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CBA35FF"/>
    <w:multiLevelType w:val="hybridMultilevel"/>
    <w:tmpl w:val="891CA03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2">
    <w:nsid w:val="7CE36470"/>
    <w:multiLevelType w:val="hybridMultilevel"/>
    <w:tmpl w:val="D3F29F8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73">
    <w:nsid w:val="7D707DD7"/>
    <w:multiLevelType w:val="hybridMultilevel"/>
    <w:tmpl w:val="FEBE7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7E3C1FD2"/>
    <w:multiLevelType w:val="multilevel"/>
    <w:tmpl w:val="E7F64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7EAE2540"/>
    <w:multiLevelType w:val="hybridMultilevel"/>
    <w:tmpl w:val="808055F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48"/>
  </w:num>
  <w:num w:numId="2">
    <w:abstractNumId w:val="69"/>
  </w:num>
  <w:num w:numId="3">
    <w:abstractNumId w:val="4"/>
  </w:num>
  <w:num w:numId="4">
    <w:abstractNumId w:val="47"/>
  </w:num>
  <w:num w:numId="5">
    <w:abstractNumId w:val="0"/>
  </w:num>
  <w:num w:numId="6">
    <w:abstractNumId w:val="42"/>
  </w:num>
  <w:num w:numId="7">
    <w:abstractNumId w:val="7"/>
  </w:num>
  <w:num w:numId="8">
    <w:abstractNumId w:val="30"/>
  </w:num>
  <w:num w:numId="9">
    <w:abstractNumId w:val="6"/>
  </w:num>
  <w:num w:numId="10">
    <w:abstractNumId w:val="18"/>
  </w:num>
  <w:num w:numId="11">
    <w:abstractNumId w:val="60"/>
  </w:num>
  <w:num w:numId="12">
    <w:abstractNumId w:val="35"/>
  </w:num>
  <w:num w:numId="13">
    <w:abstractNumId w:val="49"/>
  </w:num>
  <w:num w:numId="14">
    <w:abstractNumId w:val="26"/>
  </w:num>
  <w:num w:numId="15">
    <w:abstractNumId w:val="28"/>
  </w:num>
  <w:num w:numId="16">
    <w:abstractNumId w:val="11"/>
  </w:num>
  <w:num w:numId="17">
    <w:abstractNumId w:val="64"/>
  </w:num>
  <w:num w:numId="18">
    <w:abstractNumId w:val="31"/>
  </w:num>
  <w:num w:numId="19">
    <w:abstractNumId w:val="36"/>
  </w:num>
  <w:num w:numId="20">
    <w:abstractNumId w:val="40"/>
  </w:num>
  <w:num w:numId="21">
    <w:abstractNumId w:val="37"/>
  </w:num>
  <w:num w:numId="22">
    <w:abstractNumId w:val="27"/>
  </w:num>
  <w:num w:numId="23">
    <w:abstractNumId w:val="74"/>
  </w:num>
  <w:num w:numId="24">
    <w:abstractNumId w:val="14"/>
  </w:num>
  <w:num w:numId="25">
    <w:abstractNumId w:val="39"/>
  </w:num>
  <w:num w:numId="26">
    <w:abstractNumId w:val="62"/>
  </w:num>
  <w:num w:numId="27">
    <w:abstractNumId w:val="61"/>
  </w:num>
  <w:num w:numId="28">
    <w:abstractNumId w:val="34"/>
  </w:num>
  <w:num w:numId="29">
    <w:abstractNumId w:val="25"/>
  </w:num>
  <w:num w:numId="30">
    <w:abstractNumId w:val="55"/>
  </w:num>
  <w:num w:numId="31">
    <w:abstractNumId w:val="46"/>
  </w:num>
  <w:num w:numId="32">
    <w:abstractNumId w:val="38"/>
  </w:num>
  <w:num w:numId="33">
    <w:abstractNumId w:val="5"/>
  </w:num>
  <w:num w:numId="34">
    <w:abstractNumId w:val="75"/>
  </w:num>
  <w:num w:numId="35">
    <w:abstractNumId w:val="45"/>
  </w:num>
  <w:num w:numId="36">
    <w:abstractNumId w:val="63"/>
  </w:num>
  <w:num w:numId="37">
    <w:abstractNumId w:val="16"/>
  </w:num>
  <w:num w:numId="38">
    <w:abstractNumId w:val="13"/>
  </w:num>
  <w:num w:numId="39">
    <w:abstractNumId w:val="58"/>
  </w:num>
  <w:num w:numId="40">
    <w:abstractNumId w:val="44"/>
  </w:num>
  <w:num w:numId="41">
    <w:abstractNumId w:val="43"/>
  </w:num>
  <w:num w:numId="42">
    <w:abstractNumId w:val="52"/>
  </w:num>
  <w:num w:numId="43">
    <w:abstractNumId w:val="50"/>
  </w:num>
  <w:num w:numId="44">
    <w:abstractNumId w:val="71"/>
  </w:num>
  <w:num w:numId="45">
    <w:abstractNumId w:val="29"/>
  </w:num>
  <w:num w:numId="46">
    <w:abstractNumId w:val="32"/>
  </w:num>
  <w:num w:numId="47">
    <w:abstractNumId w:val="19"/>
  </w:num>
  <w:num w:numId="48">
    <w:abstractNumId w:val="59"/>
  </w:num>
  <w:num w:numId="49">
    <w:abstractNumId w:val="73"/>
  </w:num>
  <w:num w:numId="50">
    <w:abstractNumId w:val="72"/>
  </w:num>
  <w:num w:numId="51">
    <w:abstractNumId w:val="12"/>
  </w:num>
  <w:num w:numId="52">
    <w:abstractNumId w:val="9"/>
  </w:num>
  <w:num w:numId="53">
    <w:abstractNumId w:val="70"/>
  </w:num>
  <w:num w:numId="54">
    <w:abstractNumId w:val="22"/>
  </w:num>
  <w:num w:numId="55">
    <w:abstractNumId w:val="41"/>
  </w:num>
  <w:num w:numId="56">
    <w:abstractNumId w:val="54"/>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num>
  <w:num w:numId="59">
    <w:abstractNumId w:val="33"/>
  </w:num>
  <w:num w:numId="60">
    <w:abstractNumId w:val="15"/>
  </w:num>
  <w:num w:numId="61">
    <w:abstractNumId w:val="24"/>
  </w:num>
  <w:num w:numId="62">
    <w:abstractNumId w:val="68"/>
  </w:num>
  <w:num w:numId="63">
    <w:abstractNumId w:val="17"/>
  </w:num>
  <w:num w:numId="64">
    <w:abstractNumId w:val="2"/>
  </w:num>
  <w:num w:numId="65">
    <w:abstractNumId w:val="56"/>
  </w:num>
  <w:num w:numId="66">
    <w:abstractNumId w:val="21"/>
  </w:num>
  <w:num w:numId="67">
    <w:abstractNumId w:val="53"/>
  </w:num>
  <w:num w:numId="68">
    <w:abstractNumId w:val="3"/>
  </w:num>
  <w:num w:numId="69">
    <w:abstractNumId w:val="10"/>
  </w:num>
  <w:num w:numId="70">
    <w:abstractNumId w:val="20"/>
  </w:num>
  <w:num w:numId="71">
    <w:abstractNumId w:val="51"/>
  </w:num>
  <w:num w:numId="72">
    <w:abstractNumId w:val="57"/>
  </w:num>
  <w:num w:numId="73">
    <w:abstractNumId w:val="23"/>
  </w:num>
  <w:num w:numId="74">
    <w:abstractNumId w:val="8"/>
  </w:num>
  <w:num w:numId="75">
    <w:abstractNumId w:val="66"/>
  </w:num>
  <w:num w:numId="76">
    <w:abstractNumId w:val="65"/>
  </w:num>
  <w:num w:numId="77">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6" w:nlCheck="1" w:checkStyle="0"/>
  <w:activeWritingStyle w:appName="MSWord" w:lang="en-TT" w:vendorID="64" w:dllVersion="6" w:nlCheck="1" w:checkStyle="0"/>
  <w:activeWritingStyle w:appName="MSWord" w:lang="fr-FR" w:vendorID="64" w:dllVersion="6" w:nlCheck="1" w:checkStyle="0"/>
  <w:activeWritingStyle w:appName="MSWord" w:lang="es-ES" w:vendorID="64" w:dllVersion="6" w:nlCheck="1" w:checkStyle="0"/>
  <w:activeWritingStyle w:appName="MSWord" w:lang="es-UY" w:vendorID="64" w:dllVersion="6" w:nlCheck="1" w:checkStyle="0"/>
  <w:activeWritingStyle w:appName="MSWord" w:lang="en-US"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TT"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TT" w:vendorID="64" w:dllVersion="131078" w:nlCheck="1" w:checkStyle="1"/>
  <w:activeWritingStyle w:appName="MSWord" w:lang="en-US" w:vendorID="64" w:dllVersion="131078" w:nlCheck="1" w:checkStyle="1"/>
  <w:activeWritingStyle w:appName="MSWord" w:lang="es-UY" w:vendorID="64" w:dllVersion="131078" w:nlCheck="1" w:checkStyle="1"/>
  <w:activeWritingStyle w:appName="MSWord" w:lang="es-VE" w:vendorID="64" w:dllVersion="131078" w:nlCheck="1" w:checkStyle="1"/>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QzMjUxNTO2sDQ0NzdU0lEKTi0uzszPAykwNa8FAHwvX2wt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202C2"/>
    <w:rsid w:val="00001632"/>
    <w:rsid w:val="00001656"/>
    <w:rsid w:val="00001B59"/>
    <w:rsid w:val="00001C3F"/>
    <w:rsid w:val="0000269A"/>
    <w:rsid w:val="00002E8F"/>
    <w:rsid w:val="0000338B"/>
    <w:rsid w:val="00003DDC"/>
    <w:rsid w:val="00004386"/>
    <w:rsid w:val="000043E9"/>
    <w:rsid w:val="0000451E"/>
    <w:rsid w:val="00004621"/>
    <w:rsid w:val="00004623"/>
    <w:rsid w:val="00005228"/>
    <w:rsid w:val="00005407"/>
    <w:rsid w:val="00005797"/>
    <w:rsid w:val="00005A81"/>
    <w:rsid w:val="00006801"/>
    <w:rsid w:val="00006BCD"/>
    <w:rsid w:val="00006CBA"/>
    <w:rsid w:val="00010134"/>
    <w:rsid w:val="00010270"/>
    <w:rsid w:val="0001038B"/>
    <w:rsid w:val="00010C90"/>
    <w:rsid w:val="00011269"/>
    <w:rsid w:val="0001133F"/>
    <w:rsid w:val="000113D2"/>
    <w:rsid w:val="00011BC6"/>
    <w:rsid w:val="00011C8F"/>
    <w:rsid w:val="00011F43"/>
    <w:rsid w:val="0001282C"/>
    <w:rsid w:val="00012BE4"/>
    <w:rsid w:val="00012BFB"/>
    <w:rsid w:val="00014013"/>
    <w:rsid w:val="00014C62"/>
    <w:rsid w:val="00014F43"/>
    <w:rsid w:val="000150F7"/>
    <w:rsid w:val="000161A5"/>
    <w:rsid w:val="000163A2"/>
    <w:rsid w:val="00016517"/>
    <w:rsid w:val="0001694D"/>
    <w:rsid w:val="00016952"/>
    <w:rsid w:val="0001711B"/>
    <w:rsid w:val="000173B3"/>
    <w:rsid w:val="00017569"/>
    <w:rsid w:val="0001765D"/>
    <w:rsid w:val="00017799"/>
    <w:rsid w:val="00017A05"/>
    <w:rsid w:val="00017A37"/>
    <w:rsid w:val="00017F03"/>
    <w:rsid w:val="00020112"/>
    <w:rsid w:val="000201A8"/>
    <w:rsid w:val="00020431"/>
    <w:rsid w:val="00020B2A"/>
    <w:rsid w:val="00020B2C"/>
    <w:rsid w:val="00021601"/>
    <w:rsid w:val="00021DB5"/>
    <w:rsid w:val="00022436"/>
    <w:rsid w:val="0002262D"/>
    <w:rsid w:val="00022E0E"/>
    <w:rsid w:val="00023BA2"/>
    <w:rsid w:val="00023CC2"/>
    <w:rsid w:val="00023DEE"/>
    <w:rsid w:val="00024FDC"/>
    <w:rsid w:val="000255E6"/>
    <w:rsid w:val="00025E74"/>
    <w:rsid w:val="00025F45"/>
    <w:rsid w:val="0002696A"/>
    <w:rsid w:val="00027511"/>
    <w:rsid w:val="00027913"/>
    <w:rsid w:val="00027FD7"/>
    <w:rsid w:val="00030F1B"/>
    <w:rsid w:val="0003179A"/>
    <w:rsid w:val="00032374"/>
    <w:rsid w:val="00032C60"/>
    <w:rsid w:val="000331EE"/>
    <w:rsid w:val="00033CEA"/>
    <w:rsid w:val="00033EFB"/>
    <w:rsid w:val="00033F72"/>
    <w:rsid w:val="00034071"/>
    <w:rsid w:val="00034103"/>
    <w:rsid w:val="00034B9C"/>
    <w:rsid w:val="00034C7C"/>
    <w:rsid w:val="0003534A"/>
    <w:rsid w:val="00035465"/>
    <w:rsid w:val="00035987"/>
    <w:rsid w:val="00035A5A"/>
    <w:rsid w:val="00035BD6"/>
    <w:rsid w:val="00035D54"/>
    <w:rsid w:val="0003743C"/>
    <w:rsid w:val="00040A41"/>
    <w:rsid w:val="00040AB2"/>
    <w:rsid w:val="000413D8"/>
    <w:rsid w:val="0004189C"/>
    <w:rsid w:val="00041ADB"/>
    <w:rsid w:val="00041DC2"/>
    <w:rsid w:val="00041F8F"/>
    <w:rsid w:val="000420EE"/>
    <w:rsid w:val="00042831"/>
    <w:rsid w:val="00042C2A"/>
    <w:rsid w:val="00042FEB"/>
    <w:rsid w:val="00043AED"/>
    <w:rsid w:val="0004452B"/>
    <w:rsid w:val="0004504E"/>
    <w:rsid w:val="0004617D"/>
    <w:rsid w:val="000461FD"/>
    <w:rsid w:val="0004639D"/>
    <w:rsid w:val="00046818"/>
    <w:rsid w:val="0004740E"/>
    <w:rsid w:val="00047881"/>
    <w:rsid w:val="00047BE3"/>
    <w:rsid w:val="0005065A"/>
    <w:rsid w:val="00050957"/>
    <w:rsid w:val="0005146C"/>
    <w:rsid w:val="00051E4B"/>
    <w:rsid w:val="00052690"/>
    <w:rsid w:val="000528BF"/>
    <w:rsid w:val="00052E3B"/>
    <w:rsid w:val="000530D4"/>
    <w:rsid w:val="000538AD"/>
    <w:rsid w:val="00053A26"/>
    <w:rsid w:val="00053D23"/>
    <w:rsid w:val="00053D25"/>
    <w:rsid w:val="000543FD"/>
    <w:rsid w:val="0005472E"/>
    <w:rsid w:val="00054D9B"/>
    <w:rsid w:val="00055C55"/>
    <w:rsid w:val="00055C78"/>
    <w:rsid w:val="00055CED"/>
    <w:rsid w:val="00056294"/>
    <w:rsid w:val="00056577"/>
    <w:rsid w:val="00056602"/>
    <w:rsid w:val="0005671E"/>
    <w:rsid w:val="00056DBE"/>
    <w:rsid w:val="00057183"/>
    <w:rsid w:val="000572C4"/>
    <w:rsid w:val="0005792A"/>
    <w:rsid w:val="00060960"/>
    <w:rsid w:val="00060E63"/>
    <w:rsid w:val="00060F8B"/>
    <w:rsid w:val="00061459"/>
    <w:rsid w:val="00061872"/>
    <w:rsid w:val="00062280"/>
    <w:rsid w:val="00062961"/>
    <w:rsid w:val="00062A4D"/>
    <w:rsid w:val="00062E54"/>
    <w:rsid w:val="00063664"/>
    <w:rsid w:val="00063D39"/>
    <w:rsid w:val="00063F3F"/>
    <w:rsid w:val="0006410D"/>
    <w:rsid w:val="0006426B"/>
    <w:rsid w:val="00064452"/>
    <w:rsid w:val="00065482"/>
    <w:rsid w:val="000657F6"/>
    <w:rsid w:val="00065F23"/>
    <w:rsid w:val="000666CE"/>
    <w:rsid w:val="0006681C"/>
    <w:rsid w:val="00066C38"/>
    <w:rsid w:val="00066F71"/>
    <w:rsid w:val="00066FFD"/>
    <w:rsid w:val="000671E0"/>
    <w:rsid w:val="000674D8"/>
    <w:rsid w:val="00067E3E"/>
    <w:rsid w:val="000703DB"/>
    <w:rsid w:val="0007055D"/>
    <w:rsid w:val="0007184B"/>
    <w:rsid w:val="00072146"/>
    <w:rsid w:val="000724CB"/>
    <w:rsid w:val="000726B8"/>
    <w:rsid w:val="000728C0"/>
    <w:rsid w:val="00073364"/>
    <w:rsid w:val="00073668"/>
    <w:rsid w:val="00073D27"/>
    <w:rsid w:val="0007439C"/>
    <w:rsid w:val="000743FC"/>
    <w:rsid w:val="00074ED9"/>
    <w:rsid w:val="00075582"/>
    <w:rsid w:val="00075628"/>
    <w:rsid w:val="000759B7"/>
    <w:rsid w:val="00076166"/>
    <w:rsid w:val="0007719D"/>
    <w:rsid w:val="0007763D"/>
    <w:rsid w:val="0007793C"/>
    <w:rsid w:val="00077CDD"/>
    <w:rsid w:val="00077CF0"/>
    <w:rsid w:val="00077ED7"/>
    <w:rsid w:val="00080E6F"/>
    <w:rsid w:val="0008188F"/>
    <w:rsid w:val="000818FB"/>
    <w:rsid w:val="00081BF5"/>
    <w:rsid w:val="00081C22"/>
    <w:rsid w:val="00082134"/>
    <w:rsid w:val="00082243"/>
    <w:rsid w:val="00082896"/>
    <w:rsid w:val="00082BC5"/>
    <w:rsid w:val="00083027"/>
    <w:rsid w:val="0008416E"/>
    <w:rsid w:val="00084263"/>
    <w:rsid w:val="0008491F"/>
    <w:rsid w:val="00084B7F"/>
    <w:rsid w:val="00084D46"/>
    <w:rsid w:val="00084E19"/>
    <w:rsid w:val="00084E44"/>
    <w:rsid w:val="000852AB"/>
    <w:rsid w:val="00085AB7"/>
    <w:rsid w:val="00086860"/>
    <w:rsid w:val="000869AF"/>
    <w:rsid w:val="00086C8A"/>
    <w:rsid w:val="00086DF3"/>
    <w:rsid w:val="000871FF"/>
    <w:rsid w:val="00087277"/>
    <w:rsid w:val="000878EB"/>
    <w:rsid w:val="00087C91"/>
    <w:rsid w:val="00087CCE"/>
    <w:rsid w:val="00087D0D"/>
    <w:rsid w:val="00087F71"/>
    <w:rsid w:val="000909BF"/>
    <w:rsid w:val="000909D4"/>
    <w:rsid w:val="00090B25"/>
    <w:rsid w:val="0009143A"/>
    <w:rsid w:val="00091B1F"/>
    <w:rsid w:val="00091F41"/>
    <w:rsid w:val="0009252E"/>
    <w:rsid w:val="00092C83"/>
    <w:rsid w:val="00092FF7"/>
    <w:rsid w:val="0009381E"/>
    <w:rsid w:val="00093BBD"/>
    <w:rsid w:val="00094992"/>
    <w:rsid w:val="00094B71"/>
    <w:rsid w:val="00094FB6"/>
    <w:rsid w:val="000953FF"/>
    <w:rsid w:val="000954BD"/>
    <w:rsid w:val="000A13A3"/>
    <w:rsid w:val="000A1797"/>
    <w:rsid w:val="000A1893"/>
    <w:rsid w:val="000A1D2A"/>
    <w:rsid w:val="000A2045"/>
    <w:rsid w:val="000A228A"/>
    <w:rsid w:val="000A24D3"/>
    <w:rsid w:val="000A25B8"/>
    <w:rsid w:val="000A2B53"/>
    <w:rsid w:val="000A376E"/>
    <w:rsid w:val="000A39A1"/>
    <w:rsid w:val="000A3D3B"/>
    <w:rsid w:val="000A42CC"/>
    <w:rsid w:val="000A4757"/>
    <w:rsid w:val="000A4DBC"/>
    <w:rsid w:val="000A57DF"/>
    <w:rsid w:val="000A58B2"/>
    <w:rsid w:val="000A594B"/>
    <w:rsid w:val="000A595F"/>
    <w:rsid w:val="000A59B6"/>
    <w:rsid w:val="000A5A2B"/>
    <w:rsid w:val="000A5EA9"/>
    <w:rsid w:val="000A690D"/>
    <w:rsid w:val="000A6AEE"/>
    <w:rsid w:val="000A6E70"/>
    <w:rsid w:val="000A70D0"/>
    <w:rsid w:val="000A7AF7"/>
    <w:rsid w:val="000A7E0A"/>
    <w:rsid w:val="000B0133"/>
    <w:rsid w:val="000B01AA"/>
    <w:rsid w:val="000B0657"/>
    <w:rsid w:val="000B0D86"/>
    <w:rsid w:val="000B0E93"/>
    <w:rsid w:val="000B19A7"/>
    <w:rsid w:val="000B1B09"/>
    <w:rsid w:val="000B1CCB"/>
    <w:rsid w:val="000B1D78"/>
    <w:rsid w:val="000B1D8D"/>
    <w:rsid w:val="000B2276"/>
    <w:rsid w:val="000B2915"/>
    <w:rsid w:val="000B3224"/>
    <w:rsid w:val="000B33AF"/>
    <w:rsid w:val="000B37B6"/>
    <w:rsid w:val="000B3FC2"/>
    <w:rsid w:val="000B4461"/>
    <w:rsid w:val="000B47E9"/>
    <w:rsid w:val="000B4DBB"/>
    <w:rsid w:val="000B4FE9"/>
    <w:rsid w:val="000B5507"/>
    <w:rsid w:val="000B60D9"/>
    <w:rsid w:val="000B643D"/>
    <w:rsid w:val="000B6754"/>
    <w:rsid w:val="000B6B41"/>
    <w:rsid w:val="000B6DD5"/>
    <w:rsid w:val="000B6EAE"/>
    <w:rsid w:val="000B70A3"/>
    <w:rsid w:val="000B7B2F"/>
    <w:rsid w:val="000B7BF5"/>
    <w:rsid w:val="000C0060"/>
    <w:rsid w:val="000C126C"/>
    <w:rsid w:val="000C154B"/>
    <w:rsid w:val="000C15E9"/>
    <w:rsid w:val="000C1EEB"/>
    <w:rsid w:val="000C2020"/>
    <w:rsid w:val="000C2726"/>
    <w:rsid w:val="000C29B1"/>
    <w:rsid w:val="000C3644"/>
    <w:rsid w:val="000C3909"/>
    <w:rsid w:val="000C3B3A"/>
    <w:rsid w:val="000C3CA7"/>
    <w:rsid w:val="000C46C3"/>
    <w:rsid w:val="000C4B1E"/>
    <w:rsid w:val="000C4C80"/>
    <w:rsid w:val="000C516F"/>
    <w:rsid w:val="000C562A"/>
    <w:rsid w:val="000C5D82"/>
    <w:rsid w:val="000C6103"/>
    <w:rsid w:val="000C68C2"/>
    <w:rsid w:val="000C69CB"/>
    <w:rsid w:val="000C6A16"/>
    <w:rsid w:val="000C6D70"/>
    <w:rsid w:val="000C775C"/>
    <w:rsid w:val="000C77DE"/>
    <w:rsid w:val="000D0CBF"/>
    <w:rsid w:val="000D0CE4"/>
    <w:rsid w:val="000D1AFC"/>
    <w:rsid w:val="000D2297"/>
    <w:rsid w:val="000D22A1"/>
    <w:rsid w:val="000D2992"/>
    <w:rsid w:val="000D2A9E"/>
    <w:rsid w:val="000D2B28"/>
    <w:rsid w:val="000D2B4E"/>
    <w:rsid w:val="000D2BF2"/>
    <w:rsid w:val="000D2CD4"/>
    <w:rsid w:val="000D2DEE"/>
    <w:rsid w:val="000D3064"/>
    <w:rsid w:val="000D306B"/>
    <w:rsid w:val="000D3152"/>
    <w:rsid w:val="000D3594"/>
    <w:rsid w:val="000D3876"/>
    <w:rsid w:val="000D3DB7"/>
    <w:rsid w:val="000D409F"/>
    <w:rsid w:val="000D41F4"/>
    <w:rsid w:val="000D431C"/>
    <w:rsid w:val="000D462C"/>
    <w:rsid w:val="000D46EC"/>
    <w:rsid w:val="000D483D"/>
    <w:rsid w:val="000D485F"/>
    <w:rsid w:val="000D487E"/>
    <w:rsid w:val="000D4CA7"/>
    <w:rsid w:val="000D50DD"/>
    <w:rsid w:val="000D56AD"/>
    <w:rsid w:val="000D56B3"/>
    <w:rsid w:val="000D5741"/>
    <w:rsid w:val="000D5C6D"/>
    <w:rsid w:val="000D653B"/>
    <w:rsid w:val="000D6CBF"/>
    <w:rsid w:val="000D70DA"/>
    <w:rsid w:val="000D77CC"/>
    <w:rsid w:val="000E049F"/>
    <w:rsid w:val="000E0532"/>
    <w:rsid w:val="000E0DA2"/>
    <w:rsid w:val="000E0FF9"/>
    <w:rsid w:val="000E11CE"/>
    <w:rsid w:val="000E1496"/>
    <w:rsid w:val="000E15FE"/>
    <w:rsid w:val="000E1B06"/>
    <w:rsid w:val="000E2041"/>
    <w:rsid w:val="000E28BF"/>
    <w:rsid w:val="000E2C43"/>
    <w:rsid w:val="000E2D55"/>
    <w:rsid w:val="000E358E"/>
    <w:rsid w:val="000E3658"/>
    <w:rsid w:val="000E3A70"/>
    <w:rsid w:val="000E3D25"/>
    <w:rsid w:val="000E453F"/>
    <w:rsid w:val="000E4D5B"/>
    <w:rsid w:val="000E5313"/>
    <w:rsid w:val="000E5ACE"/>
    <w:rsid w:val="000E6648"/>
    <w:rsid w:val="000E6942"/>
    <w:rsid w:val="000E7BCC"/>
    <w:rsid w:val="000E7EA5"/>
    <w:rsid w:val="000F07C7"/>
    <w:rsid w:val="000F0F28"/>
    <w:rsid w:val="000F1265"/>
    <w:rsid w:val="000F1A6F"/>
    <w:rsid w:val="000F21A0"/>
    <w:rsid w:val="000F229A"/>
    <w:rsid w:val="000F2450"/>
    <w:rsid w:val="000F2CAC"/>
    <w:rsid w:val="000F2D7D"/>
    <w:rsid w:val="000F3094"/>
    <w:rsid w:val="000F33AD"/>
    <w:rsid w:val="000F5489"/>
    <w:rsid w:val="000F54C2"/>
    <w:rsid w:val="000F598F"/>
    <w:rsid w:val="000F5D8C"/>
    <w:rsid w:val="000F61AE"/>
    <w:rsid w:val="000F6791"/>
    <w:rsid w:val="000F6B5D"/>
    <w:rsid w:val="000F6F1E"/>
    <w:rsid w:val="000F6FCA"/>
    <w:rsid w:val="000F70AB"/>
    <w:rsid w:val="000F70FF"/>
    <w:rsid w:val="000F720A"/>
    <w:rsid w:val="000F7528"/>
    <w:rsid w:val="000F7CBC"/>
    <w:rsid w:val="0010010B"/>
    <w:rsid w:val="00100175"/>
    <w:rsid w:val="001002AC"/>
    <w:rsid w:val="0010059E"/>
    <w:rsid w:val="001007BE"/>
    <w:rsid w:val="00100D80"/>
    <w:rsid w:val="001012E8"/>
    <w:rsid w:val="0010136C"/>
    <w:rsid w:val="001015FD"/>
    <w:rsid w:val="001019EF"/>
    <w:rsid w:val="00101B30"/>
    <w:rsid w:val="00101C32"/>
    <w:rsid w:val="00101D5D"/>
    <w:rsid w:val="00102158"/>
    <w:rsid w:val="00102628"/>
    <w:rsid w:val="00103032"/>
    <w:rsid w:val="001038BC"/>
    <w:rsid w:val="00104569"/>
    <w:rsid w:val="001045B9"/>
    <w:rsid w:val="0010466D"/>
    <w:rsid w:val="001049F5"/>
    <w:rsid w:val="00105DA5"/>
    <w:rsid w:val="00107236"/>
    <w:rsid w:val="0010747D"/>
    <w:rsid w:val="00107824"/>
    <w:rsid w:val="0011091A"/>
    <w:rsid w:val="00111348"/>
    <w:rsid w:val="0011146D"/>
    <w:rsid w:val="00111605"/>
    <w:rsid w:val="0011165F"/>
    <w:rsid w:val="0011201C"/>
    <w:rsid w:val="00112156"/>
    <w:rsid w:val="00112260"/>
    <w:rsid w:val="0011249C"/>
    <w:rsid w:val="001127FA"/>
    <w:rsid w:val="00112D8F"/>
    <w:rsid w:val="00113620"/>
    <w:rsid w:val="001136CF"/>
    <w:rsid w:val="00113DA2"/>
    <w:rsid w:val="00113EEA"/>
    <w:rsid w:val="0011430D"/>
    <w:rsid w:val="001144E6"/>
    <w:rsid w:val="00114AA6"/>
    <w:rsid w:val="00114D9C"/>
    <w:rsid w:val="00115468"/>
    <w:rsid w:val="0011568A"/>
    <w:rsid w:val="0011568D"/>
    <w:rsid w:val="0011598C"/>
    <w:rsid w:val="00115E96"/>
    <w:rsid w:val="00116468"/>
    <w:rsid w:val="00116B5D"/>
    <w:rsid w:val="00116D4D"/>
    <w:rsid w:val="0011756A"/>
    <w:rsid w:val="001177B4"/>
    <w:rsid w:val="00117E4A"/>
    <w:rsid w:val="00120486"/>
    <w:rsid w:val="00120839"/>
    <w:rsid w:val="00120947"/>
    <w:rsid w:val="00120B02"/>
    <w:rsid w:val="00121566"/>
    <w:rsid w:val="001217FF"/>
    <w:rsid w:val="001219F6"/>
    <w:rsid w:val="00121A54"/>
    <w:rsid w:val="00121B4B"/>
    <w:rsid w:val="00121D9F"/>
    <w:rsid w:val="00121E0E"/>
    <w:rsid w:val="00122BAD"/>
    <w:rsid w:val="00122F3D"/>
    <w:rsid w:val="001243B0"/>
    <w:rsid w:val="00124D8C"/>
    <w:rsid w:val="0012507C"/>
    <w:rsid w:val="001256CA"/>
    <w:rsid w:val="00125A89"/>
    <w:rsid w:val="001268C0"/>
    <w:rsid w:val="00126BBA"/>
    <w:rsid w:val="00127628"/>
    <w:rsid w:val="001279FB"/>
    <w:rsid w:val="0013010C"/>
    <w:rsid w:val="001306BC"/>
    <w:rsid w:val="00130749"/>
    <w:rsid w:val="00130CD4"/>
    <w:rsid w:val="00131692"/>
    <w:rsid w:val="00132156"/>
    <w:rsid w:val="001321B8"/>
    <w:rsid w:val="00132589"/>
    <w:rsid w:val="00132D4E"/>
    <w:rsid w:val="00132FE6"/>
    <w:rsid w:val="001330DF"/>
    <w:rsid w:val="00133640"/>
    <w:rsid w:val="0013404E"/>
    <w:rsid w:val="00134539"/>
    <w:rsid w:val="00134C1A"/>
    <w:rsid w:val="00134C6C"/>
    <w:rsid w:val="00135109"/>
    <w:rsid w:val="00135419"/>
    <w:rsid w:val="00135D38"/>
    <w:rsid w:val="00136018"/>
    <w:rsid w:val="00136747"/>
    <w:rsid w:val="00137255"/>
    <w:rsid w:val="0013749D"/>
    <w:rsid w:val="001376EF"/>
    <w:rsid w:val="00137D65"/>
    <w:rsid w:val="00137FCA"/>
    <w:rsid w:val="001400EF"/>
    <w:rsid w:val="0014020E"/>
    <w:rsid w:val="00140649"/>
    <w:rsid w:val="001406F5"/>
    <w:rsid w:val="001407B7"/>
    <w:rsid w:val="00140CD5"/>
    <w:rsid w:val="00140D16"/>
    <w:rsid w:val="00141051"/>
    <w:rsid w:val="0014156A"/>
    <w:rsid w:val="00141849"/>
    <w:rsid w:val="00141A8D"/>
    <w:rsid w:val="0014298E"/>
    <w:rsid w:val="00142E6D"/>
    <w:rsid w:val="00143367"/>
    <w:rsid w:val="00143C30"/>
    <w:rsid w:val="00144025"/>
    <w:rsid w:val="00144886"/>
    <w:rsid w:val="001448FC"/>
    <w:rsid w:val="0014537A"/>
    <w:rsid w:val="001453EC"/>
    <w:rsid w:val="00145535"/>
    <w:rsid w:val="00145539"/>
    <w:rsid w:val="00145BF5"/>
    <w:rsid w:val="0014666B"/>
    <w:rsid w:val="001468F2"/>
    <w:rsid w:val="001469DD"/>
    <w:rsid w:val="00146AB9"/>
    <w:rsid w:val="001471B7"/>
    <w:rsid w:val="00147561"/>
    <w:rsid w:val="001504B6"/>
    <w:rsid w:val="0015079A"/>
    <w:rsid w:val="00150AF6"/>
    <w:rsid w:val="001515C1"/>
    <w:rsid w:val="0015169B"/>
    <w:rsid w:val="0015178D"/>
    <w:rsid w:val="00151C9D"/>
    <w:rsid w:val="00152229"/>
    <w:rsid w:val="001523E9"/>
    <w:rsid w:val="0015250A"/>
    <w:rsid w:val="00153CAC"/>
    <w:rsid w:val="00153D8B"/>
    <w:rsid w:val="00154458"/>
    <w:rsid w:val="00154A0B"/>
    <w:rsid w:val="00154B6D"/>
    <w:rsid w:val="00155229"/>
    <w:rsid w:val="00155828"/>
    <w:rsid w:val="00155DF3"/>
    <w:rsid w:val="00155F03"/>
    <w:rsid w:val="00156279"/>
    <w:rsid w:val="001563E1"/>
    <w:rsid w:val="00156B90"/>
    <w:rsid w:val="00156D03"/>
    <w:rsid w:val="00156F0A"/>
    <w:rsid w:val="00157376"/>
    <w:rsid w:val="00157A48"/>
    <w:rsid w:val="00157CD4"/>
    <w:rsid w:val="0016021E"/>
    <w:rsid w:val="0016043E"/>
    <w:rsid w:val="001608AC"/>
    <w:rsid w:val="00161CBB"/>
    <w:rsid w:val="0016200B"/>
    <w:rsid w:val="001628FF"/>
    <w:rsid w:val="00163715"/>
    <w:rsid w:val="00163C58"/>
    <w:rsid w:val="001648BB"/>
    <w:rsid w:val="00164B73"/>
    <w:rsid w:val="00164E2A"/>
    <w:rsid w:val="001651CC"/>
    <w:rsid w:val="0016533C"/>
    <w:rsid w:val="00165F7F"/>
    <w:rsid w:val="00166EF4"/>
    <w:rsid w:val="001671CF"/>
    <w:rsid w:val="00167852"/>
    <w:rsid w:val="001678AB"/>
    <w:rsid w:val="00170342"/>
    <w:rsid w:val="001706B3"/>
    <w:rsid w:val="00170898"/>
    <w:rsid w:val="00170B90"/>
    <w:rsid w:val="00171500"/>
    <w:rsid w:val="0017182D"/>
    <w:rsid w:val="00171AEC"/>
    <w:rsid w:val="00171C16"/>
    <w:rsid w:val="001722A0"/>
    <w:rsid w:val="001728F0"/>
    <w:rsid w:val="0017338A"/>
    <w:rsid w:val="001735E0"/>
    <w:rsid w:val="001737F7"/>
    <w:rsid w:val="00173A9F"/>
    <w:rsid w:val="00174107"/>
    <w:rsid w:val="001742E2"/>
    <w:rsid w:val="0017512D"/>
    <w:rsid w:val="00175741"/>
    <w:rsid w:val="00175A52"/>
    <w:rsid w:val="00175C3E"/>
    <w:rsid w:val="001760AB"/>
    <w:rsid w:val="001760DE"/>
    <w:rsid w:val="00176780"/>
    <w:rsid w:val="00176E84"/>
    <w:rsid w:val="00177187"/>
    <w:rsid w:val="00177472"/>
    <w:rsid w:val="00177607"/>
    <w:rsid w:val="00177EF8"/>
    <w:rsid w:val="00180448"/>
    <w:rsid w:val="0018055F"/>
    <w:rsid w:val="0018064F"/>
    <w:rsid w:val="00180731"/>
    <w:rsid w:val="0018076E"/>
    <w:rsid w:val="001807C3"/>
    <w:rsid w:val="00180CE2"/>
    <w:rsid w:val="00181559"/>
    <w:rsid w:val="001816C6"/>
    <w:rsid w:val="00181929"/>
    <w:rsid w:val="00181C92"/>
    <w:rsid w:val="00181CF9"/>
    <w:rsid w:val="00181E94"/>
    <w:rsid w:val="0018316F"/>
    <w:rsid w:val="00183353"/>
    <w:rsid w:val="0018341D"/>
    <w:rsid w:val="00183BE5"/>
    <w:rsid w:val="00183E37"/>
    <w:rsid w:val="00184343"/>
    <w:rsid w:val="001843D5"/>
    <w:rsid w:val="001849F9"/>
    <w:rsid w:val="00184AA8"/>
    <w:rsid w:val="00184B69"/>
    <w:rsid w:val="00184D4D"/>
    <w:rsid w:val="00185515"/>
    <w:rsid w:val="0018556B"/>
    <w:rsid w:val="001858AE"/>
    <w:rsid w:val="00185F6E"/>
    <w:rsid w:val="00186AAE"/>
    <w:rsid w:val="00186C1A"/>
    <w:rsid w:val="00186F5F"/>
    <w:rsid w:val="001872CF"/>
    <w:rsid w:val="001874D9"/>
    <w:rsid w:val="00187988"/>
    <w:rsid w:val="00187B72"/>
    <w:rsid w:val="001902D8"/>
    <w:rsid w:val="00190673"/>
    <w:rsid w:val="0019089F"/>
    <w:rsid w:val="00190B4C"/>
    <w:rsid w:val="00190BAD"/>
    <w:rsid w:val="00191130"/>
    <w:rsid w:val="00191303"/>
    <w:rsid w:val="00191990"/>
    <w:rsid w:val="00191A00"/>
    <w:rsid w:val="00191BA7"/>
    <w:rsid w:val="0019216A"/>
    <w:rsid w:val="00192399"/>
    <w:rsid w:val="0019271E"/>
    <w:rsid w:val="001942F3"/>
    <w:rsid w:val="0019469C"/>
    <w:rsid w:val="00194A20"/>
    <w:rsid w:val="00194AD2"/>
    <w:rsid w:val="00194F87"/>
    <w:rsid w:val="00195BA8"/>
    <w:rsid w:val="00195C5A"/>
    <w:rsid w:val="00195E07"/>
    <w:rsid w:val="00196C5E"/>
    <w:rsid w:val="00196EC1"/>
    <w:rsid w:val="00197275"/>
    <w:rsid w:val="00197389"/>
    <w:rsid w:val="00197427"/>
    <w:rsid w:val="00197813"/>
    <w:rsid w:val="001979F6"/>
    <w:rsid w:val="00197C89"/>
    <w:rsid w:val="001A0313"/>
    <w:rsid w:val="001A0675"/>
    <w:rsid w:val="001A0724"/>
    <w:rsid w:val="001A0A5D"/>
    <w:rsid w:val="001A0C95"/>
    <w:rsid w:val="001A13AF"/>
    <w:rsid w:val="001A1B41"/>
    <w:rsid w:val="001A26AB"/>
    <w:rsid w:val="001A2B08"/>
    <w:rsid w:val="001A31CB"/>
    <w:rsid w:val="001A3421"/>
    <w:rsid w:val="001A360D"/>
    <w:rsid w:val="001A3637"/>
    <w:rsid w:val="001A4FE5"/>
    <w:rsid w:val="001A5642"/>
    <w:rsid w:val="001A5AE0"/>
    <w:rsid w:val="001A5CA7"/>
    <w:rsid w:val="001A5F94"/>
    <w:rsid w:val="001A613A"/>
    <w:rsid w:val="001A64D4"/>
    <w:rsid w:val="001A6C97"/>
    <w:rsid w:val="001A7BAB"/>
    <w:rsid w:val="001A7F37"/>
    <w:rsid w:val="001B03A7"/>
    <w:rsid w:val="001B0CA2"/>
    <w:rsid w:val="001B0D68"/>
    <w:rsid w:val="001B106B"/>
    <w:rsid w:val="001B11D4"/>
    <w:rsid w:val="001B15D2"/>
    <w:rsid w:val="001B1846"/>
    <w:rsid w:val="001B1E45"/>
    <w:rsid w:val="001B1FB8"/>
    <w:rsid w:val="001B2722"/>
    <w:rsid w:val="001B27FC"/>
    <w:rsid w:val="001B298C"/>
    <w:rsid w:val="001B2F30"/>
    <w:rsid w:val="001B3B25"/>
    <w:rsid w:val="001B3E24"/>
    <w:rsid w:val="001B496C"/>
    <w:rsid w:val="001B5203"/>
    <w:rsid w:val="001B530E"/>
    <w:rsid w:val="001B59A2"/>
    <w:rsid w:val="001B59E3"/>
    <w:rsid w:val="001B5A46"/>
    <w:rsid w:val="001B60F0"/>
    <w:rsid w:val="001B6239"/>
    <w:rsid w:val="001B679D"/>
    <w:rsid w:val="001B695D"/>
    <w:rsid w:val="001C0069"/>
    <w:rsid w:val="001C0358"/>
    <w:rsid w:val="001C06C8"/>
    <w:rsid w:val="001C0FA2"/>
    <w:rsid w:val="001C1173"/>
    <w:rsid w:val="001C23CE"/>
    <w:rsid w:val="001C25D1"/>
    <w:rsid w:val="001C2A2B"/>
    <w:rsid w:val="001C2A6D"/>
    <w:rsid w:val="001C2D72"/>
    <w:rsid w:val="001C3022"/>
    <w:rsid w:val="001C315D"/>
    <w:rsid w:val="001C4048"/>
    <w:rsid w:val="001C4383"/>
    <w:rsid w:val="001C4D3E"/>
    <w:rsid w:val="001C4EB2"/>
    <w:rsid w:val="001C5377"/>
    <w:rsid w:val="001C5511"/>
    <w:rsid w:val="001C64B3"/>
    <w:rsid w:val="001C6CDC"/>
    <w:rsid w:val="001C6E7D"/>
    <w:rsid w:val="001C7D1F"/>
    <w:rsid w:val="001C7D24"/>
    <w:rsid w:val="001C7E3E"/>
    <w:rsid w:val="001D05C5"/>
    <w:rsid w:val="001D076D"/>
    <w:rsid w:val="001D10F9"/>
    <w:rsid w:val="001D24AE"/>
    <w:rsid w:val="001D2CE3"/>
    <w:rsid w:val="001D32E9"/>
    <w:rsid w:val="001D370D"/>
    <w:rsid w:val="001D3A78"/>
    <w:rsid w:val="001D3BD7"/>
    <w:rsid w:val="001D42F3"/>
    <w:rsid w:val="001D432F"/>
    <w:rsid w:val="001D45B4"/>
    <w:rsid w:val="001D4A21"/>
    <w:rsid w:val="001D4CD4"/>
    <w:rsid w:val="001D4E5C"/>
    <w:rsid w:val="001D55AC"/>
    <w:rsid w:val="001D5E0E"/>
    <w:rsid w:val="001D6596"/>
    <w:rsid w:val="001D6DDB"/>
    <w:rsid w:val="001D717F"/>
    <w:rsid w:val="001D71FA"/>
    <w:rsid w:val="001D74BD"/>
    <w:rsid w:val="001D775B"/>
    <w:rsid w:val="001D7CED"/>
    <w:rsid w:val="001E0017"/>
    <w:rsid w:val="001E0C8A"/>
    <w:rsid w:val="001E0E66"/>
    <w:rsid w:val="001E0F7E"/>
    <w:rsid w:val="001E141B"/>
    <w:rsid w:val="001E3E13"/>
    <w:rsid w:val="001E3EE7"/>
    <w:rsid w:val="001E4754"/>
    <w:rsid w:val="001E4A47"/>
    <w:rsid w:val="001E4C32"/>
    <w:rsid w:val="001E4E2B"/>
    <w:rsid w:val="001E5A7F"/>
    <w:rsid w:val="001E6354"/>
    <w:rsid w:val="001E6A2C"/>
    <w:rsid w:val="001E6ABB"/>
    <w:rsid w:val="001E6C35"/>
    <w:rsid w:val="001E714C"/>
    <w:rsid w:val="001E7657"/>
    <w:rsid w:val="001F077F"/>
    <w:rsid w:val="001F085E"/>
    <w:rsid w:val="001F1091"/>
    <w:rsid w:val="001F164D"/>
    <w:rsid w:val="001F18ED"/>
    <w:rsid w:val="001F1973"/>
    <w:rsid w:val="001F2EE4"/>
    <w:rsid w:val="001F302A"/>
    <w:rsid w:val="001F36EE"/>
    <w:rsid w:val="001F3962"/>
    <w:rsid w:val="001F3C93"/>
    <w:rsid w:val="001F3E6F"/>
    <w:rsid w:val="001F4764"/>
    <w:rsid w:val="001F4E4D"/>
    <w:rsid w:val="001F5471"/>
    <w:rsid w:val="001F55E0"/>
    <w:rsid w:val="001F5653"/>
    <w:rsid w:val="001F5997"/>
    <w:rsid w:val="001F5F77"/>
    <w:rsid w:val="001F6915"/>
    <w:rsid w:val="001F69E7"/>
    <w:rsid w:val="001F72F2"/>
    <w:rsid w:val="001F7474"/>
    <w:rsid w:val="001F790E"/>
    <w:rsid w:val="002001F4"/>
    <w:rsid w:val="002002BE"/>
    <w:rsid w:val="00200A4F"/>
    <w:rsid w:val="00200BC2"/>
    <w:rsid w:val="00200C37"/>
    <w:rsid w:val="00200E5D"/>
    <w:rsid w:val="00201153"/>
    <w:rsid w:val="00201470"/>
    <w:rsid w:val="00201A6D"/>
    <w:rsid w:val="002021B5"/>
    <w:rsid w:val="00202461"/>
    <w:rsid w:val="0020282D"/>
    <w:rsid w:val="0020295D"/>
    <w:rsid w:val="002035FC"/>
    <w:rsid w:val="00203CCA"/>
    <w:rsid w:val="00203E68"/>
    <w:rsid w:val="00204D0F"/>
    <w:rsid w:val="00204EB7"/>
    <w:rsid w:val="00205921"/>
    <w:rsid w:val="00205C2D"/>
    <w:rsid w:val="00205CFE"/>
    <w:rsid w:val="00205EC6"/>
    <w:rsid w:val="00206156"/>
    <w:rsid w:val="00207402"/>
    <w:rsid w:val="00207AC9"/>
    <w:rsid w:val="00207B1D"/>
    <w:rsid w:val="00207F3C"/>
    <w:rsid w:val="00207FF2"/>
    <w:rsid w:val="00210031"/>
    <w:rsid w:val="00210091"/>
    <w:rsid w:val="00210204"/>
    <w:rsid w:val="00210319"/>
    <w:rsid w:val="002107D8"/>
    <w:rsid w:val="00210A48"/>
    <w:rsid w:val="00210D40"/>
    <w:rsid w:val="0021144E"/>
    <w:rsid w:val="002120B4"/>
    <w:rsid w:val="002120C9"/>
    <w:rsid w:val="002129C0"/>
    <w:rsid w:val="00212FC1"/>
    <w:rsid w:val="002131D2"/>
    <w:rsid w:val="00214277"/>
    <w:rsid w:val="00214D68"/>
    <w:rsid w:val="00215228"/>
    <w:rsid w:val="00215BD9"/>
    <w:rsid w:val="00216637"/>
    <w:rsid w:val="00216C1B"/>
    <w:rsid w:val="00216FD0"/>
    <w:rsid w:val="002172CE"/>
    <w:rsid w:val="0021730C"/>
    <w:rsid w:val="002173FA"/>
    <w:rsid w:val="00217B41"/>
    <w:rsid w:val="00220C3D"/>
    <w:rsid w:val="00220D4F"/>
    <w:rsid w:val="002220BE"/>
    <w:rsid w:val="0022229C"/>
    <w:rsid w:val="002225D8"/>
    <w:rsid w:val="002226D3"/>
    <w:rsid w:val="0022297C"/>
    <w:rsid w:val="00222C07"/>
    <w:rsid w:val="00223231"/>
    <w:rsid w:val="00223D4D"/>
    <w:rsid w:val="00223D9B"/>
    <w:rsid w:val="00223EDF"/>
    <w:rsid w:val="00223F73"/>
    <w:rsid w:val="00224946"/>
    <w:rsid w:val="00224A7D"/>
    <w:rsid w:val="00224AD1"/>
    <w:rsid w:val="00224C33"/>
    <w:rsid w:val="002254B3"/>
    <w:rsid w:val="00225EA8"/>
    <w:rsid w:val="00225EC2"/>
    <w:rsid w:val="002261C4"/>
    <w:rsid w:val="0022624A"/>
    <w:rsid w:val="00226D57"/>
    <w:rsid w:val="002271E0"/>
    <w:rsid w:val="00227BE3"/>
    <w:rsid w:val="00227E83"/>
    <w:rsid w:val="002301F7"/>
    <w:rsid w:val="0023032C"/>
    <w:rsid w:val="00230684"/>
    <w:rsid w:val="0023070B"/>
    <w:rsid w:val="0023099D"/>
    <w:rsid w:val="00230B7E"/>
    <w:rsid w:val="00230D8F"/>
    <w:rsid w:val="00231284"/>
    <w:rsid w:val="00231AEB"/>
    <w:rsid w:val="00232927"/>
    <w:rsid w:val="00232BBC"/>
    <w:rsid w:val="0023371C"/>
    <w:rsid w:val="00233769"/>
    <w:rsid w:val="00233D69"/>
    <w:rsid w:val="00233E49"/>
    <w:rsid w:val="00233FBC"/>
    <w:rsid w:val="00234A5B"/>
    <w:rsid w:val="00234AE5"/>
    <w:rsid w:val="00234C9F"/>
    <w:rsid w:val="00234F76"/>
    <w:rsid w:val="00235096"/>
    <w:rsid w:val="0023524D"/>
    <w:rsid w:val="00235734"/>
    <w:rsid w:val="00236289"/>
    <w:rsid w:val="00236A38"/>
    <w:rsid w:val="00236B99"/>
    <w:rsid w:val="00237268"/>
    <w:rsid w:val="002377BD"/>
    <w:rsid w:val="00237A7A"/>
    <w:rsid w:val="00237B74"/>
    <w:rsid w:val="00237C13"/>
    <w:rsid w:val="00237EEF"/>
    <w:rsid w:val="00240C04"/>
    <w:rsid w:val="00241019"/>
    <w:rsid w:val="00241804"/>
    <w:rsid w:val="00241E0A"/>
    <w:rsid w:val="00242204"/>
    <w:rsid w:val="00242215"/>
    <w:rsid w:val="0024287B"/>
    <w:rsid w:val="002428FB"/>
    <w:rsid w:val="002430EE"/>
    <w:rsid w:val="00243D67"/>
    <w:rsid w:val="00243D92"/>
    <w:rsid w:val="00243FE6"/>
    <w:rsid w:val="002441F6"/>
    <w:rsid w:val="0024423F"/>
    <w:rsid w:val="0024486B"/>
    <w:rsid w:val="002449C3"/>
    <w:rsid w:val="00245077"/>
    <w:rsid w:val="0024513B"/>
    <w:rsid w:val="00245264"/>
    <w:rsid w:val="0024544C"/>
    <w:rsid w:val="002459BF"/>
    <w:rsid w:val="00245B1B"/>
    <w:rsid w:val="00245D0F"/>
    <w:rsid w:val="00245E6C"/>
    <w:rsid w:val="00245EEB"/>
    <w:rsid w:val="00247553"/>
    <w:rsid w:val="0024763B"/>
    <w:rsid w:val="00250457"/>
    <w:rsid w:val="0025067D"/>
    <w:rsid w:val="00250EEC"/>
    <w:rsid w:val="00252474"/>
    <w:rsid w:val="00252856"/>
    <w:rsid w:val="00252929"/>
    <w:rsid w:val="00252CE5"/>
    <w:rsid w:val="00252DD5"/>
    <w:rsid w:val="00252EB4"/>
    <w:rsid w:val="0025355A"/>
    <w:rsid w:val="00253EBB"/>
    <w:rsid w:val="0025419F"/>
    <w:rsid w:val="00254A25"/>
    <w:rsid w:val="002550B8"/>
    <w:rsid w:val="00255658"/>
    <w:rsid w:val="00255FFA"/>
    <w:rsid w:val="002564A8"/>
    <w:rsid w:val="00256EFA"/>
    <w:rsid w:val="0025720D"/>
    <w:rsid w:val="0025724B"/>
    <w:rsid w:val="00257729"/>
    <w:rsid w:val="002579A5"/>
    <w:rsid w:val="002602A1"/>
    <w:rsid w:val="0026082D"/>
    <w:rsid w:val="00260DCB"/>
    <w:rsid w:val="00260EFE"/>
    <w:rsid w:val="00261875"/>
    <w:rsid w:val="00261BEE"/>
    <w:rsid w:val="00261D5B"/>
    <w:rsid w:val="00261F68"/>
    <w:rsid w:val="0026208A"/>
    <w:rsid w:val="0026235F"/>
    <w:rsid w:val="002626DD"/>
    <w:rsid w:val="002630AB"/>
    <w:rsid w:val="00263947"/>
    <w:rsid w:val="00263980"/>
    <w:rsid w:val="002641CA"/>
    <w:rsid w:val="00264E9C"/>
    <w:rsid w:val="00264FE4"/>
    <w:rsid w:val="00265761"/>
    <w:rsid w:val="00265B3C"/>
    <w:rsid w:val="00265DB0"/>
    <w:rsid w:val="0026619E"/>
    <w:rsid w:val="0026621E"/>
    <w:rsid w:val="002662B2"/>
    <w:rsid w:val="0026632A"/>
    <w:rsid w:val="00266A03"/>
    <w:rsid w:val="00266DE5"/>
    <w:rsid w:val="0026766A"/>
    <w:rsid w:val="002676FD"/>
    <w:rsid w:val="00267754"/>
    <w:rsid w:val="00271178"/>
    <w:rsid w:val="00272AB5"/>
    <w:rsid w:val="00272B7E"/>
    <w:rsid w:val="0027318B"/>
    <w:rsid w:val="002739F8"/>
    <w:rsid w:val="00273B5B"/>
    <w:rsid w:val="00274A79"/>
    <w:rsid w:val="00274B22"/>
    <w:rsid w:val="0027584E"/>
    <w:rsid w:val="00275FFE"/>
    <w:rsid w:val="002764F5"/>
    <w:rsid w:val="0027669C"/>
    <w:rsid w:val="00276C90"/>
    <w:rsid w:val="00276EB7"/>
    <w:rsid w:val="00276F54"/>
    <w:rsid w:val="00276F6D"/>
    <w:rsid w:val="002774B5"/>
    <w:rsid w:val="002776C5"/>
    <w:rsid w:val="002778D8"/>
    <w:rsid w:val="00277ACD"/>
    <w:rsid w:val="0028003C"/>
    <w:rsid w:val="002805DD"/>
    <w:rsid w:val="00280A20"/>
    <w:rsid w:val="0028142F"/>
    <w:rsid w:val="002817BA"/>
    <w:rsid w:val="00281AF7"/>
    <w:rsid w:val="00281D87"/>
    <w:rsid w:val="00281E48"/>
    <w:rsid w:val="00282FEE"/>
    <w:rsid w:val="00283422"/>
    <w:rsid w:val="00283C36"/>
    <w:rsid w:val="00283F29"/>
    <w:rsid w:val="00283F5C"/>
    <w:rsid w:val="002846E8"/>
    <w:rsid w:val="00284718"/>
    <w:rsid w:val="00284AA2"/>
    <w:rsid w:val="00284FD7"/>
    <w:rsid w:val="002855EB"/>
    <w:rsid w:val="002863E0"/>
    <w:rsid w:val="002865E9"/>
    <w:rsid w:val="002867E4"/>
    <w:rsid w:val="00286A20"/>
    <w:rsid w:val="00286F50"/>
    <w:rsid w:val="00287114"/>
    <w:rsid w:val="002877DA"/>
    <w:rsid w:val="00287EEF"/>
    <w:rsid w:val="0029017E"/>
    <w:rsid w:val="002902B1"/>
    <w:rsid w:val="002905E3"/>
    <w:rsid w:val="00290AB1"/>
    <w:rsid w:val="00290DC4"/>
    <w:rsid w:val="0029104C"/>
    <w:rsid w:val="00291332"/>
    <w:rsid w:val="002914C7"/>
    <w:rsid w:val="00291764"/>
    <w:rsid w:val="00291A53"/>
    <w:rsid w:val="002926C7"/>
    <w:rsid w:val="00292E67"/>
    <w:rsid w:val="002930CB"/>
    <w:rsid w:val="0029395F"/>
    <w:rsid w:val="002943F6"/>
    <w:rsid w:val="002946A0"/>
    <w:rsid w:val="00295280"/>
    <w:rsid w:val="002957AE"/>
    <w:rsid w:val="00295BDF"/>
    <w:rsid w:val="00296211"/>
    <w:rsid w:val="002963FA"/>
    <w:rsid w:val="002965BB"/>
    <w:rsid w:val="00296D9C"/>
    <w:rsid w:val="00297588"/>
    <w:rsid w:val="00297870"/>
    <w:rsid w:val="002978B1"/>
    <w:rsid w:val="0029794B"/>
    <w:rsid w:val="00297E9A"/>
    <w:rsid w:val="002A039B"/>
    <w:rsid w:val="002A0594"/>
    <w:rsid w:val="002A0C54"/>
    <w:rsid w:val="002A0F42"/>
    <w:rsid w:val="002A1440"/>
    <w:rsid w:val="002A18D3"/>
    <w:rsid w:val="002A1C4E"/>
    <w:rsid w:val="002A1F4C"/>
    <w:rsid w:val="002A20C8"/>
    <w:rsid w:val="002A237C"/>
    <w:rsid w:val="002A2A46"/>
    <w:rsid w:val="002A2D65"/>
    <w:rsid w:val="002A2FDE"/>
    <w:rsid w:val="002A2FE2"/>
    <w:rsid w:val="002A3384"/>
    <w:rsid w:val="002A3BBA"/>
    <w:rsid w:val="002A46A8"/>
    <w:rsid w:val="002A544A"/>
    <w:rsid w:val="002A552E"/>
    <w:rsid w:val="002A5707"/>
    <w:rsid w:val="002A58F3"/>
    <w:rsid w:val="002A5E96"/>
    <w:rsid w:val="002A5FD4"/>
    <w:rsid w:val="002A6558"/>
    <w:rsid w:val="002A67F9"/>
    <w:rsid w:val="002A6CCE"/>
    <w:rsid w:val="002A6E1A"/>
    <w:rsid w:val="002A7109"/>
    <w:rsid w:val="002A7788"/>
    <w:rsid w:val="002A793F"/>
    <w:rsid w:val="002A7CE0"/>
    <w:rsid w:val="002A7F28"/>
    <w:rsid w:val="002B00D5"/>
    <w:rsid w:val="002B148A"/>
    <w:rsid w:val="002B2B1F"/>
    <w:rsid w:val="002B2C50"/>
    <w:rsid w:val="002B30BA"/>
    <w:rsid w:val="002B3348"/>
    <w:rsid w:val="002B34B3"/>
    <w:rsid w:val="002B35F1"/>
    <w:rsid w:val="002B36FC"/>
    <w:rsid w:val="002B381B"/>
    <w:rsid w:val="002B393E"/>
    <w:rsid w:val="002B3A71"/>
    <w:rsid w:val="002B43DF"/>
    <w:rsid w:val="002B4CCF"/>
    <w:rsid w:val="002B585F"/>
    <w:rsid w:val="002B5A0F"/>
    <w:rsid w:val="002B5AA3"/>
    <w:rsid w:val="002B5D7B"/>
    <w:rsid w:val="002B68AD"/>
    <w:rsid w:val="002B6945"/>
    <w:rsid w:val="002B77B9"/>
    <w:rsid w:val="002B7AED"/>
    <w:rsid w:val="002B7F03"/>
    <w:rsid w:val="002C0361"/>
    <w:rsid w:val="002C0A45"/>
    <w:rsid w:val="002C0BE8"/>
    <w:rsid w:val="002C0CBC"/>
    <w:rsid w:val="002C1D2F"/>
    <w:rsid w:val="002C1FA7"/>
    <w:rsid w:val="002C2798"/>
    <w:rsid w:val="002C2A41"/>
    <w:rsid w:val="002C2EF3"/>
    <w:rsid w:val="002C300B"/>
    <w:rsid w:val="002C42EF"/>
    <w:rsid w:val="002C49C6"/>
    <w:rsid w:val="002C4B98"/>
    <w:rsid w:val="002C4D52"/>
    <w:rsid w:val="002C5300"/>
    <w:rsid w:val="002C5305"/>
    <w:rsid w:val="002C530F"/>
    <w:rsid w:val="002C5D0F"/>
    <w:rsid w:val="002C6163"/>
    <w:rsid w:val="002C650C"/>
    <w:rsid w:val="002C7356"/>
    <w:rsid w:val="002C7367"/>
    <w:rsid w:val="002C74F4"/>
    <w:rsid w:val="002C75A4"/>
    <w:rsid w:val="002C7BDF"/>
    <w:rsid w:val="002C7D91"/>
    <w:rsid w:val="002D0032"/>
    <w:rsid w:val="002D012B"/>
    <w:rsid w:val="002D1C26"/>
    <w:rsid w:val="002D1FDD"/>
    <w:rsid w:val="002D278A"/>
    <w:rsid w:val="002D293E"/>
    <w:rsid w:val="002D2999"/>
    <w:rsid w:val="002D2CBA"/>
    <w:rsid w:val="002D33F5"/>
    <w:rsid w:val="002D3A04"/>
    <w:rsid w:val="002D3C78"/>
    <w:rsid w:val="002D412A"/>
    <w:rsid w:val="002D4CB7"/>
    <w:rsid w:val="002D4DE9"/>
    <w:rsid w:val="002D55E4"/>
    <w:rsid w:val="002D593B"/>
    <w:rsid w:val="002D5EF0"/>
    <w:rsid w:val="002D681C"/>
    <w:rsid w:val="002D6AE8"/>
    <w:rsid w:val="002D6B6D"/>
    <w:rsid w:val="002D6F4E"/>
    <w:rsid w:val="002D7576"/>
    <w:rsid w:val="002D7A90"/>
    <w:rsid w:val="002D7B4B"/>
    <w:rsid w:val="002D7B86"/>
    <w:rsid w:val="002E04D2"/>
    <w:rsid w:val="002E04EE"/>
    <w:rsid w:val="002E0918"/>
    <w:rsid w:val="002E0A80"/>
    <w:rsid w:val="002E1291"/>
    <w:rsid w:val="002E1B7D"/>
    <w:rsid w:val="002E1FFB"/>
    <w:rsid w:val="002E2088"/>
    <w:rsid w:val="002E2185"/>
    <w:rsid w:val="002E23F7"/>
    <w:rsid w:val="002E2570"/>
    <w:rsid w:val="002E2577"/>
    <w:rsid w:val="002E3152"/>
    <w:rsid w:val="002E31D3"/>
    <w:rsid w:val="002E3369"/>
    <w:rsid w:val="002E3FCC"/>
    <w:rsid w:val="002E4590"/>
    <w:rsid w:val="002E4637"/>
    <w:rsid w:val="002E4686"/>
    <w:rsid w:val="002E47C7"/>
    <w:rsid w:val="002E4BDD"/>
    <w:rsid w:val="002E51B7"/>
    <w:rsid w:val="002E537E"/>
    <w:rsid w:val="002E5769"/>
    <w:rsid w:val="002E6BD0"/>
    <w:rsid w:val="002E7164"/>
    <w:rsid w:val="002E78BA"/>
    <w:rsid w:val="002E79E9"/>
    <w:rsid w:val="002F05CF"/>
    <w:rsid w:val="002F0D8D"/>
    <w:rsid w:val="002F0E15"/>
    <w:rsid w:val="002F1644"/>
    <w:rsid w:val="002F1783"/>
    <w:rsid w:val="002F1898"/>
    <w:rsid w:val="002F1C45"/>
    <w:rsid w:val="002F253A"/>
    <w:rsid w:val="002F3354"/>
    <w:rsid w:val="002F37AE"/>
    <w:rsid w:val="002F3D84"/>
    <w:rsid w:val="002F401A"/>
    <w:rsid w:val="002F4465"/>
    <w:rsid w:val="002F46A6"/>
    <w:rsid w:val="002F5102"/>
    <w:rsid w:val="002F52E1"/>
    <w:rsid w:val="002F5360"/>
    <w:rsid w:val="002F56E2"/>
    <w:rsid w:val="002F5ADA"/>
    <w:rsid w:val="002F6391"/>
    <w:rsid w:val="002F6737"/>
    <w:rsid w:val="002F725D"/>
    <w:rsid w:val="002F7DFC"/>
    <w:rsid w:val="002F7F7C"/>
    <w:rsid w:val="00300080"/>
    <w:rsid w:val="00300306"/>
    <w:rsid w:val="003010FB"/>
    <w:rsid w:val="00301397"/>
    <w:rsid w:val="0030145D"/>
    <w:rsid w:val="00301994"/>
    <w:rsid w:val="00301FD5"/>
    <w:rsid w:val="0030278F"/>
    <w:rsid w:val="00302851"/>
    <w:rsid w:val="00302EE8"/>
    <w:rsid w:val="0030330A"/>
    <w:rsid w:val="003038A0"/>
    <w:rsid w:val="00303A2E"/>
    <w:rsid w:val="00303A60"/>
    <w:rsid w:val="00303ADC"/>
    <w:rsid w:val="00303DC8"/>
    <w:rsid w:val="003040F1"/>
    <w:rsid w:val="00304243"/>
    <w:rsid w:val="00305366"/>
    <w:rsid w:val="00305419"/>
    <w:rsid w:val="00305E9B"/>
    <w:rsid w:val="00306445"/>
    <w:rsid w:val="0030681A"/>
    <w:rsid w:val="00307074"/>
    <w:rsid w:val="003076BE"/>
    <w:rsid w:val="00307803"/>
    <w:rsid w:val="0031028B"/>
    <w:rsid w:val="0031040A"/>
    <w:rsid w:val="003105A6"/>
    <w:rsid w:val="00310B8A"/>
    <w:rsid w:val="00311020"/>
    <w:rsid w:val="003113FE"/>
    <w:rsid w:val="00311AF8"/>
    <w:rsid w:val="00311C07"/>
    <w:rsid w:val="00312720"/>
    <w:rsid w:val="00312A1F"/>
    <w:rsid w:val="00312A67"/>
    <w:rsid w:val="00312ABA"/>
    <w:rsid w:val="00312B15"/>
    <w:rsid w:val="00313408"/>
    <w:rsid w:val="00313553"/>
    <w:rsid w:val="00313760"/>
    <w:rsid w:val="00313935"/>
    <w:rsid w:val="00313D96"/>
    <w:rsid w:val="00314EBA"/>
    <w:rsid w:val="0031500F"/>
    <w:rsid w:val="003157B9"/>
    <w:rsid w:val="00315A1F"/>
    <w:rsid w:val="003179D7"/>
    <w:rsid w:val="003201B4"/>
    <w:rsid w:val="00320DEC"/>
    <w:rsid w:val="00320F6C"/>
    <w:rsid w:val="00321944"/>
    <w:rsid w:val="003221FC"/>
    <w:rsid w:val="00322527"/>
    <w:rsid w:val="00322DF2"/>
    <w:rsid w:val="00323258"/>
    <w:rsid w:val="003236F6"/>
    <w:rsid w:val="0032383C"/>
    <w:rsid w:val="00323A31"/>
    <w:rsid w:val="00323A8C"/>
    <w:rsid w:val="00323FA8"/>
    <w:rsid w:val="00324072"/>
    <w:rsid w:val="00324110"/>
    <w:rsid w:val="00324877"/>
    <w:rsid w:val="003249D0"/>
    <w:rsid w:val="00325024"/>
    <w:rsid w:val="00326719"/>
    <w:rsid w:val="0032675C"/>
    <w:rsid w:val="003267E7"/>
    <w:rsid w:val="003269A0"/>
    <w:rsid w:val="003270C5"/>
    <w:rsid w:val="003270DA"/>
    <w:rsid w:val="00327401"/>
    <w:rsid w:val="003306F4"/>
    <w:rsid w:val="0033091E"/>
    <w:rsid w:val="0033108F"/>
    <w:rsid w:val="00331CA5"/>
    <w:rsid w:val="00331E50"/>
    <w:rsid w:val="003320B7"/>
    <w:rsid w:val="003322E5"/>
    <w:rsid w:val="0033241B"/>
    <w:rsid w:val="00332500"/>
    <w:rsid w:val="0033272B"/>
    <w:rsid w:val="003333B0"/>
    <w:rsid w:val="00334F86"/>
    <w:rsid w:val="003351A9"/>
    <w:rsid w:val="003356E2"/>
    <w:rsid w:val="0033612C"/>
    <w:rsid w:val="003362E6"/>
    <w:rsid w:val="00336320"/>
    <w:rsid w:val="0033643C"/>
    <w:rsid w:val="00336686"/>
    <w:rsid w:val="00336A02"/>
    <w:rsid w:val="00336F2A"/>
    <w:rsid w:val="00337119"/>
    <w:rsid w:val="00337767"/>
    <w:rsid w:val="00337AA1"/>
    <w:rsid w:val="00337F2F"/>
    <w:rsid w:val="003405F0"/>
    <w:rsid w:val="00340855"/>
    <w:rsid w:val="00341662"/>
    <w:rsid w:val="00341F22"/>
    <w:rsid w:val="00341FD2"/>
    <w:rsid w:val="003423CE"/>
    <w:rsid w:val="003424DE"/>
    <w:rsid w:val="00342A07"/>
    <w:rsid w:val="00343458"/>
    <w:rsid w:val="0034388C"/>
    <w:rsid w:val="00343B79"/>
    <w:rsid w:val="00343C01"/>
    <w:rsid w:val="00344125"/>
    <w:rsid w:val="00345426"/>
    <w:rsid w:val="0034568B"/>
    <w:rsid w:val="00346437"/>
    <w:rsid w:val="00346D01"/>
    <w:rsid w:val="003476C6"/>
    <w:rsid w:val="00347933"/>
    <w:rsid w:val="00347C4D"/>
    <w:rsid w:val="00347D17"/>
    <w:rsid w:val="0035011A"/>
    <w:rsid w:val="0035208A"/>
    <w:rsid w:val="003523AF"/>
    <w:rsid w:val="0035251D"/>
    <w:rsid w:val="00352C17"/>
    <w:rsid w:val="00353AAB"/>
    <w:rsid w:val="00354464"/>
    <w:rsid w:val="00354B62"/>
    <w:rsid w:val="003553A1"/>
    <w:rsid w:val="00355579"/>
    <w:rsid w:val="00355CCF"/>
    <w:rsid w:val="00356119"/>
    <w:rsid w:val="003562F4"/>
    <w:rsid w:val="00356794"/>
    <w:rsid w:val="00356972"/>
    <w:rsid w:val="00356F4E"/>
    <w:rsid w:val="003578BD"/>
    <w:rsid w:val="00357D08"/>
    <w:rsid w:val="003604AB"/>
    <w:rsid w:val="003604AD"/>
    <w:rsid w:val="003610B7"/>
    <w:rsid w:val="0036162E"/>
    <w:rsid w:val="00362060"/>
    <w:rsid w:val="003630E3"/>
    <w:rsid w:val="00363150"/>
    <w:rsid w:val="0036442E"/>
    <w:rsid w:val="00364439"/>
    <w:rsid w:val="003644AD"/>
    <w:rsid w:val="00364910"/>
    <w:rsid w:val="00364E2D"/>
    <w:rsid w:val="00365F1C"/>
    <w:rsid w:val="00365FB9"/>
    <w:rsid w:val="003664B7"/>
    <w:rsid w:val="003671F0"/>
    <w:rsid w:val="003673AE"/>
    <w:rsid w:val="00367512"/>
    <w:rsid w:val="00367D87"/>
    <w:rsid w:val="00367E1B"/>
    <w:rsid w:val="003702DF"/>
    <w:rsid w:val="003703EF"/>
    <w:rsid w:val="0037040E"/>
    <w:rsid w:val="00370F17"/>
    <w:rsid w:val="00371659"/>
    <w:rsid w:val="00371741"/>
    <w:rsid w:val="00371EDA"/>
    <w:rsid w:val="00372A87"/>
    <w:rsid w:val="00373548"/>
    <w:rsid w:val="00373836"/>
    <w:rsid w:val="00373A59"/>
    <w:rsid w:val="00373EF8"/>
    <w:rsid w:val="003746D9"/>
    <w:rsid w:val="00374780"/>
    <w:rsid w:val="003747C2"/>
    <w:rsid w:val="00374A4D"/>
    <w:rsid w:val="00374B80"/>
    <w:rsid w:val="00374BC7"/>
    <w:rsid w:val="00374D3C"/>
    <w:rsid w:val="00374F85"/>
    <w:rsid w:val="00375166"/>
    <w:rsid w:val="00375795"/>
    <w:rsid w:val="003758F4"/>
    <w:rsid w:val="00375F29"/>
    <w:rsid w:val="003761E9"/>
    <w:rsid w:val="00376E59"/>
    <w:rsid w:val="0037707C"/>
    <w:rsid w:val="00377856"/>
    <w:rsid w:val="00377DC1"/>
    <w:rsid w:val="00380947"/>
    <w:rsid w:val="00381909"/>
    <w:rsid w:val="00381A9C"/>
    <w:rsid w:val="00382093"/>
    <w:rsid w:val="00383122"/>
    <w:rsid w:val="003833F0"/>
    <w:rsid w:val="0038364E"/>
    <w:rsid w:val="00383702"/>
    <w:rsid w:val="00383752"/>
    <w:rsid w:val="003837D7"/>
    <w:rsid w:val="00383EEC"/>
    <w:rsid w:val="00384458"/>
    <w:rsid w:val="003845E0"/>
    <w:rsid w:val="00384688"/>
    <w:rsid w:val="0038482B"/>
    <w:rsid w:val="00384DB1"/>
    <w:rsid w:val="00385278"/>
    <w:rsid w:val="0038554B"/>
    <w:rsid w:val="0038579C"/>
    <w:rsid w:val="00385EEC"/>
    <w:rsid w:val="003862E0"/>
    <w:rsid w:val="00386B07"/>
    <w:rsid w:val="00386B30"/>
    <w:rsid w:val="00386FBF"/>
    <w:rsid w:val="00387323"/>
    <w:rsid w:val="003873E9"/>
    <w:rsid w:val="003876CA"/>
    <w:rsid w:val="00390871"/>
    <w:rsid w:val="00390C14"/>
    <w:rsid w:val="00390E41"/>
    <w:rsid w:val="0039103E"/>
    <w:rsid w:val="00391263"/>
    <w:rsid w:val="003918A4"/>
    <w:rsid w:val="003927DE"/>
    <w:rsid w:val="003928B1"/>
    <w:rsid w:val="0039296E"/>
    <w:rsid w:val="003934B6"/>
    <w:rsid w:val="0039358F"/>
    <w:rsid w:val="0039372C"/>
    <w:rsid w:val="003942A4"/>
    <w:rsid w:val="003944D0"/>
    <w:rsid w:val="00394CC6"/>
    <w:rsid w:val="00394D82"/>
    <w:rsid w:val="00395192"/>
    <w:rsid w:val="003952EA"/>
    <w:rsid w:val="003957AF"/>
    <w:rsid w:val="003957F8"/>
    <w:rsid w:val="00395F37"/>
    <w:rsid w:val="00395FD7"/>
    <w:rsid w:val="00396304"/>
    <w:rsid w:val="00396EFF"/>
    <w:rsid w:val="0039755A"/>
    <w:rsid w:val="00397A56"/>
    <w:rsid w:val="003A0194"/>
    <w:rsid w:val="003A0DEB"/>
    <w:rsid w:val="003A0FBE"/>
    <w:rsid w:val="003A23F1"/>
    <w:rsid w:val="003A2943"/>
    <w:rsid w:val="003A3042"/>
    <w:rsid w:val="003A3354"/>
    <w:rsid w:val="003A3887"/>
    <w:rsid w:val="003A3ACD"/>
    <w:rsid w:val="003A3E9E"/>
    <w:rsid w:val="003A478B"/>
    <w:rsid w:val="003A4E8A"/>
    <w:rsid w:val="003A4ED0"/>
    <w:rsid w:val="003A4EF5"/>
    <w:rsid w:val="003A56C6"/>
    <w:rsid w:val="003A6B87"/>
    <w:rsid w:val="003A6FC1"/>
    <w:rsid w:val="003A7022"/>
    <w:rsid w:val="003A7082"/>
    <w:rsid w:val="003A737E"/>
    <w:rsid w:val="003A7C4D"/>
    <w:rsid w:val="003A7CB3"/>
    <w:rsid w:val="003B00E4"/>
    <w:rsid w:val="003B0601"/>
    <w:rsid w:val="003B0D2D"/>
    <w:rsid w:val="003B0F5D"/>
    <w:rsid w:val="003B11B1"/>
    <w:rsid w:val="003B22BA"/>
    <w:rsid w:val="003B2C09"/>
    <w:rsid w:val="003B2CAD"/>
    <w:rsid w:val="003B32F0"/>
    <w:rsid w:val="003B34EC"/>
    <w:rsid w:val="003B3B05"/>
    <w:rsid w:val="003B4301"/>
    <w:rsid w:val="003B4B95"/>
    <w:rsid w:val="003B4CD2"/>
    <w:rsid w:val="003B50B2"/>
    <w:rsid w:val="003B55E6"/>
    <w:rsid w:val="003B5741"/>
    <w:rsid w:val="003B58B2"/>
    <w:rsid w:val="003B5A3F"/>
    <w:rsid w:val="003B5E6D"/>
    <w:rsid w:val="003B61D0"/>
    <w:rsid w:val="003B65A3"/>
    <w:rsid w:val="003B6CEA"/>
    <w:rsid w:val="003B73CA"/>
    <w:rsid w:val="003B769A"/>
    <w:rsid w:val="003B7B54"/>
    <w:rsid w:val="003B7DF4"/>
    <w:rsid w:val="003C01EE"/>
    <w:rsid w:val="003C061B"/>
    <w:rsid w:val="003C09C9"/>
    <w:rsid w:val="003C0B12"/>
    <w:rsid w:val="003C0EE1"/>
    <w:rsid w:val="003C1497"/>
    <w:rsid w:val="003C1819"/>
    <w:rsid w:val="003C1B2E"/>
    <w:rsid w:val="003C215C"/>
    <w:rsid w:val="003C22F2"/>
    <w:rsid w:val="003C2970"/>
    <w:rsid w:val="003C3777"/>
    <w:rsid w:val="003C3851"/>
    <w:rsid w:val="003C399A"/>
    <w:rsid w:val="003C3C5D"/>
    <w:rsid w:val="003C3E25"/>
    <w:rsid w:val="003C3E34"/>
    <w:rsid w:val="003C442A"/>
    <w:rsid w:val="003C4A28"/>
    <w:rsid w:val="003C4A90"/>
    <w:rsid w:val="003C4FAA"/>
    <w:rsid w:val="003C57B8"/>
    <w:rsid w:val="003C5A16"/>
    <w:rsid w:val="003C5EF3"/>
    <w:rsid w:val="003C5F9D"/>
    <w:rsid w:val="003C6249"/>
    <w:rsid w:val="003C6A50"/>
    <w:rsid w:val="003C7B1A"/>
    <w:rsid w:val="003C7F2D"/>
    <w:rsid w:val="003C7F38"/>
    <w:rsid w:val="003D03BC"/>
    <w:rsid w:val="003D0823"/>
    <w:rsid w:val="003D09F8"/>
    <w:rsid w:val="003D1396"/>
    <w:rsid w:val="003D1DF6"/>
    <w:rsid w:val="003D2282"/>
    <w:rsid w:val="003D27C3"/>
    <w:rsid w:val="003D2EF5"/>
    <w:rsid w:val="003D3552"/>
    <w:rsid w:val="003D3B57"/>
    <w:rsid w:val="003D3CE0"/>
    <w:rsid w:val="003D42CD"/>
    <w:rsid w:val="003D4304"/>
    <w:rsid w:val="003D449C"/>
    <w:rsid w:val="003D4ADD"/>
    <w:rsid w:val="003D4CBA"/>
    <w:rsid w:val="003D5012"/>
    <w:rsid w:val="003D5856"/>
    <w:rsid w:val="003D5A62"/>
    <w:rsid w:val="003D5B5C"/>
    <w:rsid w:val="003D5F5A"/>
    <w:rsid w:val="003D6010"/>
    <w:rsid w:val="003D65DA"/>
    <w:rsid w:val="003D6B30"/>
    <w:rsid w:val="003D7443"/>
    <w:rsid w:val="003D7894"/>
    <w:rsid w:val="003D7ADF"/>
    <w:rsid w:val="003E0DAE"/>
    <w:rsid w:val="003E10E3"/>
    <w:rsid w:val="003E142B"/>
    <w:rsid w:val="003E15BC"/>
    <w:rsid w:val="003E177C"/>
    <w:rsid w:val="003E1786"/>
    <w:rsid w:val="003E1E3D"/>
    <w:rsid w:val="003E1F0C"/>
    <w:rsid w:val="003E23A1"/>
    <w:rsid w:val="003E23F9"/>
    <w:rsid w:val="003E2498"/>
    <w:rsid w:val="003E28F0"/>
    <w:rsid w:val="003E3254"/>
    <w:rsid w:val="003E3699"/>
    <w:rsid w:val="003E3916"/>
    <w:rsid w:val="003E3952"/>
    <w:rsid w:val="003E3B2F"/>
    <w:rsid w:val="003E48AA"/>
    <w:rsid w:val="003E496E"/>
    <w:rsid w:val="003E5533"/>
    <w:rsid w:val="003E63DE"/>
    <w:rsid w:val="003E6BF4"/>
    <w:rsid w:val="003E703B"/>
    <w:rsid w:val="003E7779"/>
    <w:rsid w:val="003E7B87"/>
    <w:rsid w:val="003E7C83"/>
    <w:rsid w:val="003F0502"/>
    <w:rsid w:val="003F0577"/>
    <w:rsid w:val="003F0729"/>
    <w:rsid w:val="003F117F"/>
    <w:rsid w:val="003F16BE"/>
    <w:rsid w:val="003F1C3E"/>
    <w:rsid w:val="003F1D9C"/>
    <w:rsid w:val="003F2100"/>
    <w:rsid w:val="003F246B"/>
    <w:rsid w:val="003F28EF"/>
    <w:rsid w:val="003F2A64"/>
    <w:rsid w:val="003F3171"/>
    <w:rsid w:val="003F3684"/>
    <w:rsid w:val="003F3749"/>
    <w:rsid w:val="003F38B1"/>
    <w:rsid w:val="003F4492"/>
    <w:rsid w:val="003F471E"/>
    <w:rsid w:val="003F4A31"/>
    <w:rsid w:val="003F4E35"/>
    <w:rsid w:val="003F51DA"/>
    <w:rsid w:val="003F5AAA"/>
    <w:rsid w:val="003F5DB3"/>
    <w:rsid w:val="003F61AF"/>
    <w:rsid w:val="003F64A4"/>
    <w:rsid w:val="003F68FF"/>
    <w:rsid w:val="003F6B31"/>
    <w:rsid w:val="003F6C79"/>
    <w:rsid w:val="003F74EC"/>
    <w:rsid w:val="003F7DC9"/>
    <w:rsid w:val="003F7E5F"/>
    <w:rsid w:val="00400507"/>
    <w:rsid w:val="0040148F"/>
    <w:rsid w:val="004018DD"/>
    <w:rsid w:val="00401A43"/>
    <w:rsid w:val="00401FF3"/>
    <w:rsid w:val="00402250"/>
    <w:rsid w:val="00402838"/>
    <w:rsid w:val="004031D3"/>
    <w:rsid w:val="00403301"/>
    <w:rsid w:val="00403F0B"/>
    <w:rsid w:val="004040DA"/>
    <w:rsid w:val="00404100"/>
    <w:rsid w:val="004041C4"/>
    <w:rsid w:val="00404229"/>
    <w:rsid w:val="004043E9"/>
    <w:rsid w:val="00404500"/>
    <w:rsid w:val="00404B04"/>
    <w:rsid w:val="004050C9"/>
    <w:rsid w:val="004055E4"/>
    <w:rsid w:val="00405CD0"/>
    <w:rsid w:val="00405D0F"/>
    <w:rsid w:val="00406A8B"/>
    <w:rsid w:val="00406D5E"/>
    <w:rsid w:val="00406F8B"/>
    <w:rsid w:val="00407404"/>
    <w:rsid w:val="004074DD"/>
    <w:rsid w:val="00407E18"/>
    <w:rsid w:val="00407FA3"/>
    <w:rsid w:val="0041037F"/>
    <w:rsid w:val="004107A2"/>
    <w:rsid w:val="00410B25"/>
    <w:rsid w:val="00411253"/>
    <w:rsid w:val="00411CA9"/>
    <w:rsid w:val="004129CE"/>
    <w:rsid w:val="00412A7C"/>
    <w:rsid w:val="00412E2B"/>
    <w:rsid w:val="0041319D"/>
    <w:rsid w:val="00413413"/>
    <w:rsid w:val="00413929"/>
    <w:rsid w:val="00414467"/>
    <w:rsid w:val="004144AF"/>
    <w:rsid w:val="004144B4"/>
    <w:rsid w:val="0041451B"/>
    <w:rsid w:val="0041499B"/>
    <w:rsid w:val="00414D90"/>
    <w:rsid w:val="00415383"/>
    <w:rsid w:val="00415605"/>
    <w:rsid w:val="00415639"/>
    <w:rsid w:val="004158C6"/>
    <w:rsid w:val="004159B2"/>
    <w:rsid w:val="00415CB0"/>
    <w:rsid w:val="004165F0"/>
    <w:rsid w:val="00416C03"/>
    <w:rsid w:val="00416CD9"/>
    <w:rsid w:val="00416F89"/>
    <w:rsid w:val="004170DB"/>
    <w:rsid w:val="00417B64"/>
    <w:rsid w:val="00420E83"/>
    <w:rsid w:val="00420F23"/>
    <w:rsid w:val="004211E0"/>
    <w:rsid w:val="004212F1"/>
    <w:rsid w:val="004214AE"/>
    <w:rsid w:val="00421BBA"/>
    <w:rsid w:val="004220C0"/>
    <w:rsid w:val="004224CC"/>
    <w:rsid w:val="004224F5"/>
    <w:rsid w:val="00422550"/>
    <w:rsid w:val="004226C5"/>
    <w:rsid w:val="00422821"/>
    <w:rsid w:val="00423AD3"/>
    <w:rsid w:val="00423B39"/>
    <w:rsid w:val="00424E0A"/>
    <w:rsid w:val="00424EEC"/>
    <w:rsid w:val="00425146"/>
    <w:rsid w:val="004251F0"/>
    <w:rsid w:val="00425529"/>
    <w:rsid w:val="00425AB2"/>
    <w:rsid w:val="00425ACB"/>
    <w:rsid w:val="00425E2A"/>
    <w:rsid w:val="0042616E"/>
    <w:rsid w:val="004268BB"/>
    <w:rsid w:val="00426C02"/>
    <w:rsid w:val="004278CF"/>
    <w:rsid w:val="00427F0F"/>
    <w:rsid w:val="004300FC"/>
    <w:rsid w:val="00430136"/>
    <w:rsid w:val="004304BD"/>
    <w:rsid w:val="004306AF"/>
    <w:rsid w:val="00430D79"/>
    <w:rsid w:val="00430F82"/>
    <w:rsid w:val="0043121D"/>
    <w:rsid w:val="004312F6"/>
    <w:rsid w:val="00431380"/>
    <w:rsid w:val="00431B5D"/>
    <w:rsid w:val="00431D8A"/>
    <w:rsid w:val="004326E1"/>
    <w:rsid w:val="00432884"/>
    <w:rsid w:val="0043299F"/>
    <w:rsid w:val="00433202"/>
    <w:rsid w:val="0043322D"/>
    <w:rsid w:val="00433615"/>
    <w:rsid w:val="00434052"/>
    <w:rsid w:val="004343A2"/>
    <w:rsid w:val="004344F0"/>
    <w:rsid w:val="004346B2"/>
    <w:rsid w:val="004349A0"/>
    <w:rsid w:val="00435839"/>
    <w:rsid w:val="00436ADF"/>
    <w:rsid w:val="00436EC5"/>
    <w:rsid w:val="00437133"/>
    <w:rsid w:val="00437168"/>
    <w:rsid w:val="004379F2"/>
    <w:rsid w:val="00440499"/>
    <w:rsid w:val="00440864"/>
    <w:rsid w:val="00440A25"/>
    <w:rsid w:val="00441CE7"/>
    <w:rsid w:val="00441D3D"/>
    <w:rsid w:val="00442635"/>
    <w:rsid w:val="00442EA9"/>
    <w:rsid w:val="00443283"/>
    <w:rsid w:val="004432EB"/>
    <w:rsid w:val="00443555"/>
    <w:rsid w:val="00443980"/>
    <w:rsid w:val="0044413E"/>
    <w:rsid w:val="004446D6"/>
    <w:rsid w:val="00445AE5"/>
    <w:rsid w:val="00445BC5"/>
    <w:rsid w:val="00445EC0"/>
    <w:rsid w:val="0044605F"/>
    <w:rsid w:val="0044698D"/>
    <w:rsid w:val="00446CB8"/>
    <w:rsid w:val="00446D1C"/>
    <w:rsid w:val="0044724A"/>
    <w:rsid w:val="004475FD"/>
    <w:rsid w:val="00447809"/>
    <w:rsid w:val="004479E8"/>
    <w:rsid w:val="00447BD7"/>
    <w:rsid w:val="00450216"/>
    <w:rsid w:val="0045047B"/>
    <w:rsid w:val="004504B4"/>
    <w:rsid w:val="0045068A"/>
    <w:rsid w:val="00450C02"/>
    <w:rsid w:val="00451862"/>
    <w:rsid w:val="00451D02"/>
    <w:rsid w:val="00451F10"/>
    <w:rsid w:val="0045241A"/>
    <w:rsid w:val="0045260E"/>
    <w:rsid w:val="00452730"/>
    <w:rsid w:val="00452FB0"/>
    <w:rsid w:val="00453586"/>
    <w:rsid w:val="0045361D"/>
    <w:rsid w:val="00454E13"/>
    <w:rsid w:val="00454F18"/>
    <w:rsid w:val="0045516F"/>
    <w:rsid w:val="00455621"/>
    <w:rsid w:val="004557B9"/>
    <w:rsid w:val="004561C7"/>
    <w:rsid w:val="004568C6"/>
    <w:rsid w:val="0045794E"/>
    <w:rsid w:val="00457AD6"/>
    <w:rsid w:val="00457CBA"/>
    <w:rsid w:val="00460409"/>
    <w:rsid w:val="004604DD"/>
    <w:rsid w:val="00461014"/>
    <w:rsid w:val="004611A6"/>
    <w:rsid w:val="00461287"/>
    <w:rsid w:val="00462469"/>
    <w:rsid w:val="0046263F"/>
    <w:rsid w:val="004629CE"/>
    <w:rsid w:val="00462B73"/>
    <w:rsid w:val="004632A7"/>
    <w:rsid w:val="004633A7"/>
    <w:rsid w:val="00463753"/>
    <w:rsid w:val="0046391A"/>
    <w:rsid w:val="00463E25"/>
    <w:rsid w:val="004642E2"/>
    <w:rsid w:val="0046448B"/>
    <w:rsid w:val="0046474E"/>
    <w:rsid w:val="00464863"/>
    <w:rsid w:val="004648ED"/>
    <w:rsid w:val="00464F6B"/>
    <w:rsid w:val="00464FFC"/>
    <w:rsid w:val="00465806"/>
    <w:rsid w:val="00465E16"/>
    <w:rsid w:val="00465F28"/>
    <w:rsid w:val="004662EC"/>
    <w:rsid w:val="004663A6"/>
    <w:rsid w:val="00467193"/>
    <w:rsid w:val="004700F2"/>
    <w:rsid w:val="00470C53"/>
    <w:rsid w:val="0047120F"/>
    <w:rsid w:val="00471894"/>
    <w:rsid w:val="00471E72"/>
    <w:rsid w:val="004726B3"/>
    <w:rsid w:val="0047367D"/>
    <w:rsid w:val="00473CF6"/>
    <w:rsid w:val="0047429D"/>
    <w:rsid w:val="00474560"/>
    <w:rsid w:val="00474739"/>
    <w:rsid w:val="00474820"/>
    <w:rsid w:val="00475979"/>
    <w:rsid w:val="004763B1"/>
    <w:rsid w:val="00476483"/>
    <w:rsid w:val="004764D7"/>
    <w:rsid w:val="00476D4A"/>
    <w:rsid w:val="00477422"/>
    <w:rsid w:val="004777CC"/>
    <w:rsid w:val="00477AE7"/>
    <w:rsid w:val="00480573"/>
    <w:rsid w:val="00480787"/>
    <w:rsid w:val="0048153A"/>
    <w:rsid w:val="004815BC"/>
    <w:rsid w:val="004822DD"/>
    <w:rsid w:val="00482302"/>
    <w:rsid w:val="0048381B"/>
    <w:rsid w:val="00483993"/>
    <w:rsid w:val="00483F2F"/>
    <w:rsid w:val="004841A5"/>
    <w:rsid w:val="004844C6"/>
    <w:rsid w:val="0048465A"/>
    <w:rsid w:val="00484A4D"/>
    <w:rsid w:val="00484E6C"/>
    <w:rsid w:val="00486355"/>
    <w:rsid w:val="004868A2"/>
    <w:rsid w:val="004868D9"/>
    <w:rsid w:val="00486A03"/>
    <w:rsid w:val="00486BC9"/>
    <w:rsid w:val="00486C96"/>
    <w:rsid w:val="004874D3"/>
    <w:rsid w:val="0048754D"/>
    <w:rsid w:val="00490395"/>
    <w:rsid w:val="0049041F"/>
    <w:rsid w:val="00490957"/>
    <w:rsid w:val="00490BF0"/>
    <w:rsid w:val="00491052"/>
    <w:rsid w:val="00491284"/>
    <w:rsid w:val="00492B22"/>
    <w:rsid w:val="00493372"/>
    <w:rsid w:val="004937B5"/>
    <w:rsid w:val="0049401F"/>
    <w:rsid w:val="00494081"/>
    <w:rsid w:val="004941C5"/>
    <w:rsid w:val="004943A6"/>
    <w:rsid w:val="0049440C"/>
    <w:rsid w:val="004945D6"/>
    <w:rsid w:val="00494970"/>
    <w:rsid w:val="004955C6"/>
    <w:rsid w:val="00495E67"/>
    <w:rsid w:val="0049658D"/>
    <w:rsid w:val="00496C0F"/>
    <w:rsid w:val="0049720A"/>
    <w:rsid w:val="00497549"/>
    <w:rsid w:val="00497C8C"/>
    <w:rsid w:val="004A0196"/>
    <w:rsid w:val="004A030F"/>
    <w:rsid w:val="004A03AD"/>
    <w:rsid w:val="004A0B93"/>
    <w:rsid w:val="004A0E96"/>
    <w:rsid w:val="004A13A8"/>
    <w:rsid w:val="004A2660"/>
    <w:rsid w:val="004A282D"/>
    <w:rsid w:val="004A284A"/>
    <w:rsid w:val="004A2C2F"/>
    <w:rsid w:val="004A30E8"/>
    <w:rsid w:val="004A3341"/>
    <w:rsid w:val="004A3891"/>
    <w:rsid w:val="004A3F01"/>
    <w:rsid w:val="004A4330"/>
    <w:rsid w:val="004A4972"/>
    <w:rsid w:val="004A497A"/>
    <w:rsid w:val="004A51DD"/>
    <w:rsid w:val="004A51E7"/>
    <w:rsid w:val="004A5479"/>
    <w:rsid w:val="004A5806"/>
    <w:rsid w:val="004A6493"/>
    <w:rsid w:val="004A6675"/>
    <w:rsid w:val="004A6B14"/>
    <w:rsid w:val="004A72FF"/>
    <w:rsid w:val="004B0168"/>
    <w:rsid w:val="004B02F1"/>
    <w:rsid w:val="004B04DE"/>
    <w:rsid w:val="004B0685"/>
    <w:rsid w:val="004B0D3B"/>
    <w:rsid w:val="004B11F1"/>
    <w:rsid w:val="004B1B8F"/>
    <w:rsid w:val="004B1F82"/>
    <w:rsid w:val="004B2217"/>
    <w:rsid w:val="004B2376"/>
    <w:rsid w:val="004B2DEA"/>
    <w:rsid w:val="004B2F97"/>
    <w:rsid w:val="004B351F"/>
    <w:rsid w:val="004B391F"/>
    <w:rsid w:val="004B4C4D"/>
    <w:rsid w:val="004B4F39"/>
    <w:rsid w:val="004B64B9"/>
    <w:rsid w:val="004B67AD"/>
    <w:rsid w:val="004B6ABE"/>
    <w:rsid w:val="004B7160"/>
    <w:rsid w:val="004B73B0"/>
    <w:rsid w:val="004B767F"/>
    <w:rsid w:val="004B788D"/>
    <w:rsid w:val="004C09B9"/>
    <w:rsid w:val="004C0D0A"/>
    <w:rsid w:val="004C13CF"/>
    <w:rsid w:val="004C1EB7"/>
    <w:rsid w:val="004C21EF"/>
    <w:rsid w:val="004C2B57"/>
    <w:rsid w:val="004C3BED"/>
    <w:rsid w:val="004C4374"/>
    <w:rsid w:val="004C4952"/>
    <w:rsid w:val="004C4A79"/>
    <w:rsid w:val="004C543A"/>
    <w:rsid w:val="004C5561"/>
    <w:rsid w:val="004C5767"/>
    <w:rsid w:val="004C6A08"/>
    <w:rsid w:val="004C6B48"/>
    <w:rsid w:val="004C6DB7"/>
    <w:rsid w:val="004C713E"/>
    <w:rsid w:val="004C76A0"/>
    <w:rsid w:val="004D02F2"/>
    <w:rsid w:val="004D0311"/>
    <w:rsid w:val="004D0A95"/>
    <w:rsid w:val="004D0FC2"/>
    <w:rsid w:val="004D1824"/>
    <w:rsid w:val="004D1B0C"/>
    <w:rsid w:val="004D1FAE"/>
    <w:rsid w:val="004D2D26"/>
    <w:rsid w:val="004D372D"/>
    <w:rsid w:val="004D446A"/>
    <w:rsid w:val="004D452B"/>
    <w:rsid w:val="004D4ADB"/>
    <w:rsid w:val="004D4E87"/>
    <w:rsid w:val="004D5546"/>
    <w:rsid w:val="004D579F"/>
    <w:rsid w:val="004D5852"/>
    <w:rsid w:val="004D5C73"/>
    <w:rsid w:val="004D5CDF"/>
    <w:rsid w:val="004D7587"/>
    <w:rsid w:val="004D7710"/>
    <w:rsid w:val="004E0077"/>
    <w:rsid w:val="004E0DBD"/>
    <w:rsid w:val="004E13D7"/>
    <w:rsid w:val="004E1471"/>
    <w:rsid w:val="004E1D91"/>
    <w:rsid w:val="004E2181"/>
    <w:rsid w:val="004E230F"/>
    <w:rsid w:val="004E2533"/>
    <w:rsid w:val="004E2C68"/>
    <w:rsid w:val="004E33D2"/>
    <w:rsid w:val="004E38F3"/>
    <w:rsid w:val="004E3B98"/>
    <w:rsid w:val="004E40D8"/>
    <w:rsid w:val="004E4599"/>
    <w:rsid w:val="004E480E"/>
    <w:rsid w:val="004E51C5"/>
    <w:rsid w:val="004E5417"/>
    <w:rsid w:val="004E557A"/>
    <w:rsid w:val="004E577B"/>
    <w:rsid w:val="004E57A3"/>
    <w:rsid w:val="004E5EAD"/>
    <w:rsid w:val="004E63FA"/>
    <w:rsid w:val="004E65FE"/>
    <w:rsid w:val="004E6C58"/>
    <w:rsid w:val="004E7195"/>
    <w:rsid w:val="004E72C3"/>
    <w:rsid w:val="004E74A6"/>
    <w:rsid w:val="004E7FAB"/>
    <w:rsid w:val="004F011D"/>
    <w:rsid w:val="004F0280"/>
    <w:rsid w:val="004F0606"/>
    <w:rsid w:val="004F0B23"/>
    <w:rsid w:val="004F0B46"/>
    <w:rsid w:val="004F0DF2"/>
    <w:rsid w:val="004F1061"/>
    <w:rsid w:val="004F1165"/>
    <w:rsid w:val="004F16A7"/>
    <w:rsid w:val="004F1D4E"/>
    <w:rsid w:val="004F2C6C"/>
    <w:rsid w:val="004F2F74"/>
    <w:rsid w:val="004F3111"/>
    <w:rsid w:val="004F314A"/>
    <w:rsid w:val="004F33B6"/>
    <w:rsid w:val="004F3608"/>
    <w:rsid w:val="004F3A92"/>
    <w:rsid w:val="004F3ACF"/>
    <w:rsid w:val="004F3CC6"/>
    <w:rsid w:val="004F4248"/>
    <w:rsid w:val="004F4D14"/>
    <w:rsid w:val="004F5002"/>
    <w:rsid w:val="004F50F8"/>
    <w:rsid w:val="004F51D1"/>
    <w:rsid w:val="004F54DF"/>
    <w:rsid w:val="004F5829"/>
    <w:rsid w:val="004F58EB"/>
    <w:rsid w:val="004F5D6F"/>
    <w:rsid w:val="004F5D88"/>
    <w:rsid w:val="004F5F7D"/>
    <w:rsid w:val="004F73A3"/>
    <w:rsid w:val="004F787B"/>
    <w:rsid w:val="0050081A"/>
    <w:rsid w:val="00500C46"/>
    <w:rsid w:val="0050103B"/>
    <w:rsid w:val="00501171"/>
    <w:rsid w:val="005015A6"/>
    <w:rsid w:val="00501749"/>
    <w:rsid w:val="00502595"/>
    <w:rsid w:val="005026DC"/>
    <w:rsid w:val="00502711"/>
    <w:rsid w:val="00502C5F"/>
    <w:rsid w:val="00502D31"/>
    <w:rsid w:val="0050437C"/>
    <w:rsid w:val="0050442F"/>
    <w:rsid w:val="005047FE"/>
    <w:rsid w:val="00504809"/>
    <w:rsid w:val="00505492"/>
    <w:rsid w:val="005059FB"/>
    <w:rsid w:val="00505EEC"/>
    <w:rsid w:val="0050657C"/>
    <w:rsid w:val="005068E6"/>
    <w:rsid w:val="00506B97"/>
    <w:rsid w:val="00506EF2"/>
    <w:rsid w:val="005073E8"/>
    <w:rsid w:val="00507685"/>
    <w:rsid w:val="005076E3"/>
    <w:rsid w:val="0051021E"/>
    <w:rsid w:val="005116F8"/>
    <w:rsid w:val="00511BA7"/>
    <w:rsid w:val="00511EEE"/>
    <w:rsid w:val="0051234F"/>
    <w:rsid w:val="0051253D"/>
    <w:rsid w:val="005125A3"/>
    <w:rsid w:val="00512D2F"/>
    <w:rsid w:val="005134A8"/>
    <w:rsid w:val="00513959"/>
    <w:rsid w:val="0051396D"/>
    <w:rsid w:val="00513DD3"/>
    <w:rsid w:val="005142B7"/>
    <w:rsid w:val="0051433E"/>
    <w:rsid w:val="00514509"/>
    <w:rsid w:val="00514654"/>
    <w:rsid w:val="0051481F"/>
    <w:rsid w:val="00514ADB"/>
    <w:rsid w:val="00514ED3"/>
    <w:rsid w:val="005155FF"/>
    <w:rsid w:val="0051577C"/>
    <w:rsid w:val="00515C49"/>
    <w:rsid w:val="00515CC4"/>
    <w:rsid w:val="0051600F"/>
    <w:rsid w:val="00516A3F"/>
    <w:rsid w:val="00517773"/>
    <w:rsid w:val="00517E17"/>
    <w:rsid w:val="005200EE"/>
    <w:rsid w:val="00520B2F"/>
    <w:rsid w:val="0052125A"/>
    <w:rsid w:val="00521CEB"/>
    <w:rsid w:val="00522390"/>
    <w:rsid w:val="00522BB1"/>
    <w:rsid w:val="005231AC"/>
    <w:rsid w:val="005234DB"/>
    <w:rsid w:val="00523E52"/>
    <w:rsid w:val="0052412B"/>
    <w:rsid w:val="005241F9"/>
    <w:rsid w:val="00524336"/>
    <w:rsid w:val="00524E62"/>
    <w:rsid w:val="00525A18"/>
    <w:rsid w:val="00525AA3"/>
    <w:rsid w:val="00525BC3"/>
    <w:rsid w:val="0052616D"/>
    <w:rsid w:val="00526266"/>
    <w:rsid w:val="0052635E"/>
    <w:rsid w:val="00526375"/>
    <w:rsid w:val="00526519"/>
    <w:rsid w:val="0052658B"/>
    <w:rsid w:val="00526C51"/>
    <w:rsid w:val="00526CEE"/>
    <w:rsid w:val="00526FAB"/>
    <w:rsid w:val="00527290"/>
    <w:rsid w:val="005277D6"/>
    <w:rsid w:val="00530003"/>
    <w:rsid w:val="00530BD7"/>
    <w:rsid w:val="00530DD3"/>
    <w:rsid w:val="005313FD"/>
    <w:rsid w:val="00531781"/>
    <w:rsid w:val="00531CF2"/>
    <w:rsid w:val="00531D3F"/>
    <w:rsid w:val="00532299"/>
    <w:rsid w:val="00532407"/>
    <w:rsid w:val="00532716"/>
    <w:rsid w:val="00532BDD"/>
    <w:rsid w:val="00533487"/>
    <w:rsid w:val="00533C98"/>
    <w:rsid w:val="005343AA"/>
    <w:rsid w:val="00534499"/>
    <w:rsid w:val="005344BC"/>
    <w:rsid w:val="005347C4"/>
    <w:rsid w:val="005349A3"/>
    <w:rsid w:val="00534A13"/>
    <w:rsid w:val="005350D5"/>
    <w:rsid w:val="005353A2"/>
    <w:rsid w:val="00536CC0"/>
    <w:rsid w:val="005371FF"/>
    <w:rsid w:val="00537441"/>
    <w:rsid w:val="00537483"/>
    <w:rsid w:val="00537872"/>
    <w:rsid w:val="005379E0"/>
    <w:rsid w:val="00540345"/>
    <w:rsid w:val="00540424"/>
    <w:rsid w:val="0054062C"/>
    <w:rsid w:val="00540C84"/>
    <w:rsid w:val="0054156C"/>
    <w:rsid w:val="00541973"/>
    <w:rsid w:val="005426CB"/>
    <w:rsid w:val="005428B9"/>
    <w:rsid w:val="00542AB9"/>
    <w:rsid w:val="00542E4A"/>
    <w:rsid w:val="00543E01"/>
    <w:rsid w:val="00544758"/>
    <w:rsid w:val="00544D32"/>
    <w:rsid w:val="00544D3A"/>
    <w:rsid w:val="00545585"/>
    <w:rsid w:val="00545A63"/>
    <w:rsid w:val="00545A82"/>
    <w:rsid w:val="00546805"/>
    <w:rsid w:val="00547FD8"/>
    <w:rsid w:val="0055048A"/>
    <w:rsid w:val="0055101C"/>
    <w:rsid w:val="00551215"/>
    <w:rsid w:val="005512B8"/>
    <w:rsid w:val="00551DFD"/>
    <w:rsid w:val="00551E2C"/>
    <w:rsid w:val="00552359"/>
    <w:rsid w:val="00552966"/>
    <w:rsid w:val="00552AB2"/>
    <w:rsid w:val="00552BBD"/>
    <w:rsid w:val="00552E82"/>
    <w:rsid w:val="00553746"/>
    <w:rsid w:val="005549BF"/>
    <w:rsid w:val="00554F03"/>
    <w:rsid w:val="0055589E"/>
    <w:rsid w:val="00555BB2"/>
    <w:rsid w:val="005560FE"/>
    <w:rsid w:val="00556585"/>
    <w:rsid w:val="00556DB9"/>
    <w:rsid w:val="00557AB0"/>
    <w:rsid w:val="00557DC4"/>
    <w:rsid w:val="00560134"/>
    <w:rsid w:val="005606F9"/>
    <w:rsid w:val="00560924"/>
    <w:rsid w:val="00560F0E"/>
    <w:rsid w:val="005611A4"/>
    <w:rsid w:val="00561F02"/>
    <w:rsid w:val="0056220A"/>
    <w:rsid w:val="005624D3"/>
    <w:rsid w:val="00562524"/>
    <w:rsid w:val="00562BB9"/>
    <w:rsid w:val="00562BF9"/>
    <w:rsid w:val="00562DF7"/>
    <w:rsid w:val="0056345F"/>
    <w:rsid w:val="005637CF"/>
    <w:rsid w:val="00564AB2"/>
    <w:rsid w:val="0056566E"/>
    <w:rsid w:val="005656D8"/>
    <w:rsid w:val="00565989"/>
    <w:rsid w:val="00565A45"/>
    <w:rsid w:val="00565AAA"/>
    <w:rsid w:val="00565AFD"/>
    <w:rsid w:val="0056606B"/>
    <w:rsid w:val="00566371"/>
    <w:rsid w:val="005665D3"/>
    <w:rsid w:val="005668F9"/>
    <w:rsid w:val="00567322"/>
    <w:rsid w:val="0056792D"/>
    <w:rsid w:val="00567B5B"/>
    <w:rsid w:val="005703DA"/>
    <w:rsid w:val="00571131"/>
    <w:rsid w:val="005712E4"/>
    <w:rsid w:val="005712EE"/>
    <w:rsid w:val="005715DD"/>
    <w:rsid w:val="00571A4D"/>
    <w:rsid w:val="00571B4F"/>
    <w:rsid w:val="00571C8F"/>
    <w:rsid w:val="005720FA"/>
    <w:rsid w:val="0057255C"/>
    <w:rsid w:val="00572915"/>
    <w:rsid w:val="0057378F"/>
    <w:rsid w:val="005737F0"/>
    <w:rsid w:val="00573928"/>
    <w:rsid w:val="00573D0E"/>
    <w:rsid w:val="0057538E"/>
    <w:rsid w:val="00575CE6"/>
    <w:rsid w:val="00576BFB"/>
    <w:rsid w:val="00576F74"/>
    <w:rsid w:val="0057762F"/>
    <w:rsid w:val="00577892"/>
    <w:rsid w:val="00577A41"/>
    <w:rsid w:val="00577B5D"/>
    <w:rsid w:val="00577B72"/>
    <w:rsid w:val="00577FAC"/>
    <w:rsid w:val="0058036F"/>
    <w:rsid w:val="00580EC3"/>
    <w:rsid w:val="00581116"/>
    <w:rsid w:val="00581176"/>
    <w:rsid w:val="00582295"/>
    <w:rsid w:val="0058233F"/>
    <w:rsid w:val="005825AF"/>
    <w:rsid w:val="00582DBC"/>
    <w:rsid w:val="00582E43"/>
    <w:rsid w:val="0058310C"/>
    <w:rsid w:val="00583297"/>
    <w:rsid w:val="0058391C"/>
    <w:rsid w:val="0058413A"/>
    <w:rsid w:val="00584243"/>
    <w:rsid w:val="00584393"/>
    <w:rsid w:val="00584D68"/>
    <w:rsid w:val="00584E68"/>
    <w:rsid w:val="00586357"/>
    <w:rsid w:val="00586454"/>
    <w:rsid w:val="00586534"/>
    <w:rsid w:val="00586674"/>
    <w:rsid w:val="00586AC1"/>
    <w:rsid w:val="00586EF0"/>
    <w:rsid w:val="005871CA"/>
    <w:rsid w:val="00587C4F"/>
    <w:rsid w:val="00587CDA"/>
    <w:rsid w:val="00590428"/>
    <w:rsid w:val="00590E8F"/>
    <w:rsid w:val="00590FA1"/>
    <w:rsid w:val="00591618"/>
    <w:rsid w:val="00591BA9"/>
    <w:rsid w:val="005921CD"/>
    <w:rsid w:val="0059289F"/>
    <w:rsid w:val="005929DD"/>
    <w:rsid w:val="00592D07"/>
    <w:rsid w:val="00592E85"/>
    <w:rsid w:val="005945EB"/>
    <w:rsid w:val="005953F3"/>
    <w:rsid w:val="0059540F"/>
    <w:rsid w:val="0059549C"/>
    <w:rsid w:val="005955E1"/>
    <w:rsid w:val="00595FCE"/>
    <w:rsid w:val="00596035"/>
    <w:rsid w:val="00596AF4"/>
    <w:rsid w:val="00596B9F"/>
    <w:rsid w:val="00596DC4"/>
    <w:rsid w:val="00597416"/>
    <w:rsid w:val="005975F6"/>
    <w:rsid w:val="00597634"/>
    <w:rsid w:val="00597D90"/>
    <w:rsid w:val="00597E9E"/>
    <w:rsid w:val="005A0423"/>
    <w:rsid w:val="005A0609"/>
    <w:rsid w:val="005A069A"/>
    <w:rsid w:val="005A074B"/>
    <w:rsid w:val="005A0B26"/>
    <w:rsid w:val="005A1485"/>
    <w:rsid w:val="005A1951"/>
    <w:rsid w:val="005A1EEA"/>
    <w:rsid w:val="005A21ED"/>
    <w:rsid w:val="005A2281"/>
    <w:rsid w:val="005A2482"/>
    <w:rsid w:val="005A30FB"/>
    <w:rsid w:val="005A3472"/>
    <w:rsid w:val="005A3733"/>
    <w:rsid w:val="005A46FE"/>
    <w:rsid w:val="005A4B0B"/>
    <w:rsid w:val="005A4FFA"/>
    <w:rsid w:val="005A5938"/>
    <w:rsid w:val="005A596A"/>
    <w:rsid w:val="005A5CEE"/>
    <w:rsid w:val="005A5DC9"/>
    <w:rsid w:val="005A62FE"/>
    <w:rsid w:val="005A6724"/>
    <w:rsid w:val="005A69C3"/>
    <w:rsid w:val="005A7238"/>
    <w:rsid w:val="005A7273"/>
    <w:rsid w:val="005A733A"/>
    <w:rsid w:val="005A77BE"/>
    <w:rsid w:val="005A7A45"/>
    <w:rsid w:val="005A7B57"/>
    <w:rsid w:val="005B0070"/>
    <w:rsid w:val="005B0556"/>
    <w:rsid w:val="005B087B"/>
    <w:rsid w:val="005B0D77"/>
    <w:rsid w:val="005B0E87"/>
    <w:rsid w:val="005B0F6C"/>
    <w:rsid w:val="005B1B59"/>
    <w:rsid w:val="005B1ED0"/>
    <w:rsid w:val="005B1F33"/>
    <w:rsid w:val="005B2117"/>
    <w:rsid w:val="005B2397"/>
    <w:rsid w:val="005B2550"/>
    <w:rsid w:val="005B27BA"/>
    <w:rsid w:val="005B3352"/>
    <w:rsid w:val="005B342D"/>
    <w:rsid w:val="005B35E0"/>
    <w:rsid w:val="005B38F9"/>
    <w:rsid w:val="005B4361"/>
    <w:rsid w:val="005B4408"/>
    <w:rsid w:val="005B4D76"/>
    <w:rsid w:val="005B52E2"/>
    <w:rsid w:val="005B5661"/>
    <w:rsid w:val="005B5CE3"/>
    <w:rsid w:val="005B61F4"/>
    <w:rsid w:val="005B67E1"/>
    <w:rsid w:val="005B6E59"/>
    <w:rsid w:val="005B7031"/>
    <w:rsid w:val="005C0297"/>
    <w:rsid w:val="005C0CD3"/>
    <w:rsid w:val="005C1577"/>
    <w:rsid w:val="005C18A7"/>
    <w:rsid w:val="005C1F75"/>
    <w:rsid w:val="005C2FA3"/>
    <w:rsid w:val="005C371F"/>
    <w:rsid w:val="005C3B03"/>
    <w:rsid w:val="005C3BE0"/>
    <w:rsid w:val="005C4232"/>
    <w:rsid w:val="005C42E9"/>
    <w:rsid w:val="005C449C"/>
    <w:rsid w:val="005C44A9"/>
    <w:rsid w:val="005C480A"/>
    <w:rsid w:val="005C493A"/>
    <w:rsid w:val="005C49D2"/>
    <w:rsid w:val="005C5079"/>
    <w:rsid w:val="005C5223"/>
    <w:rsid w:val="005C54D2"/>
    <w:rsid w:val="005C56CA"/>
    <w:rsid w:val="005C5FA5"/>
    <w:rsid w:val="005C60B9"/>
    <w:rsid w:val="005C659A"/>
    <w:rsid w:val="005C67CC"/>
    <w:rsid w:val="005C68D7"/>
    <w:rsid w:val="005C6994"/>
    <w:rsid w:val="005C6AA4"/>
    <w:rsid w:val="005C6B52"/>
    <w:rsid w:val="005C7011"/>
    <w:rsid w:val="005C7322"/>
    <w:rsid w:val="005C76F8"/>
    <w:rsid w:val="005C7779"/>
    <w:rsid w:val="005C7E7C"/>
    <w:rsid w:val="005C7EA7"/>
    <w:rsid w:val="005D00B5"/>
    <w:rsid w:val="005D0169"/>
    <w:rsid w:val="005D01E9"/>
    <w:rsid w:val="005D0CF0"/>
    <w:rsid w:val="005D2DF5"/>
    <w:rsid w:val="005D34D7"/>
    <w:rsid w:val="005D3BB8"/>
    <w:rsid w:val="005D3C4F"/>
    <w:rsid w:val="005D47F3"/>
    <w:rsid w:val="005D4E5A"/>
    <w:rsid w:val="005D50A6"/>
    <w:rsid w:val="005D57FB"/>
    <w:rsid w:val="005D5A13"/>
    <w:rsid w:val="005D5A6C"/>
    <w:rsid w:val="005D5C48"/>
    <w:rsid w:val="005D6469"/>
    <w:rsid w:val="005D6DFC"/>
    <w:rsid w:val="005D762D"/>
    <w:rsid w:val="005D7D7F"/>
    <w:rsid w:val="005E13AB"/>
    <w:rsid w:val="005E13AF"/>
    <w:rsid w:val="005E1848"/>
    <w:rsid w:val="005E18DF"/>
    <w:rsid w:val="005E1947"/>
    <w:rsid w:val="005E19B3"/>
    <w:rsid w:val="005E1BEB"/>
    <w:rsid w:val="005E25A7"/>
    <w:rsid w:val="005E271A"/>
    <w:rsid w:val="005E28C6"/>
    <w:rsid w:val="005E2997"/>
    <w:rsid w:val="005E2ACB"/>
    <w:rsid w:val="005E2C2F"/>
    <w:rsid w:val="005E325D"/>
    <w:rsid w:val="005E37AB"/>
    <w:rsid w:val="005E37FF"/>
    <w:rsid w:val="005E41F9"/>
    <w:rsid w:val="005E42C2"/>
    <w:rsid w:val="005E4541"/>
    <w:rsid w:val="005E53C3"/>
    <w:rsid w:val="005E678F"/>
    <w:rsid w:val="005E6DF0"/>
    <w:rsid w:val="005E6EB5"/>
    <w:rsid w:val="005E7159"/>
    <w:rsid w:val="005E725B"/>
    <w:rsid w:val="005E7B1E"/>
    <w:rsid w:val="005E7C5A"/>
    <w:rsid w:val="005E7F54"/>
    <w:rsid w:val="005F097B"/>
    <w:rsid w:val="005F0B7D"/>
    <w:rsid w:val="005F11C0"/>
    <w:rsid w:val="005F1FD3"/>
    <w:rsid w:val="005F2397"/>
    <w:rsid w:val="005F25E0"/>
    <w:rsid w:val="005F26C7"/>
    <w:rsid w:val="005F2AB0"/>
    <w:rsid w:val="005F2F77"/>
    <w:rsid w:val="005F2FBC"/>
    <w:rsid w:val="005F32E6"/>
    <w:rsid w:val="005F33EE"/>
    <w:rsid w:val="005F4A7B"/>
    <w:rsid w:val="005F4EE4"/>
    <w:rsid w:val="005F5902"/>
    <w:rsid w:val="005F590F"/>
    <w:rsid w:val="005F5AA4"/>
    <w:rsid w:val="005F5E6B"/>
    <w:rsid w:val="005F6294"/>
    <w:rsid w:val="005F6543"/>
    <w:rsid w:val="005F712E"/>
    <w:rsid w:val="005F73ED"/>
    <w:rsid w:val="005F75AE"/>
    <w:rsid w:val="005F7706"/>
    <w:rsid w:val="005F7E01"/>
    <w:rsid w:val="005F7E07"/>
    <w:rsid w:val="00600348"/>
    <w:rsid w:val="0060066D"/>
    <w:rsid w:val="006006AE"/>
    <w:rsid w:val="00601392"/>
    <w:rsid w:val="0060160D"/>
    <w:rsid w:val="006016E4"/>
    <w:rsid w:val="006019D9"/>
    <w:rsid w:val="00601F54"/>
    <w:rsid w:val="00602113"/>
    <w:rsid w:val="006021B4"/>
    <w:rsid w:val="00602AD8"/>
    <w:rsid w:val="00602B3C"/>
    <w:rsid w:val="00603238"/>
    <w:rsid w:val="006039E4"/>
    <w:rsid w:val="00603AB8"/>
    <w:rsid w:val="006040B3"/>
    <w:rsid w:val="00604FE9"/>
    <w:rsid w:val="006053C9"/>
    <w:rsid w:val="006055B5"/>
    <w:rsid w:val="00606320"/>
    <w:rsid w:val="00606B76"/>
    <w:rsid w:val="00606CAD"/>
    <w:rsid w:val="0060705F"/>
    <w:rsid w:val="0060729C"/>
    <w:rsid w:val="00607325"/>
    <w:rsid w:val="006074C1"/>
    <w:rsid w:val="00607804"/>
    <w:rsid w:val="00607AE6"/>
    <w:rsid w:val="00607FEC"/>
    <w:rsid w:val="00610627"/>
    <w:rsid w:val="00610DF3"/>
    <w:rsid w:val="00611926"/>
    <w:rsid w:val="0061273E"/>
    <w:rsid w:val="0061296E"/>
    <w:rsid w:val="00612BC4"/>
    <w:rsid w:val="00612C05"/>
    <w:rsid w:val="00612E63"/>
    <w:rsid w:val="00612FC4"/>
    <w:rsid w:val="00612FDA"/>
    <w:rsid w:val="00614112"/>
    <w:rsid w:val="006142AE"/>
    <w:rsid w:val="00614E56"/>
    <w:rsid w:val="0061518A"/>
    <w:rsid w:val="006151D4"/>
    <w:rsid w:val="00615982"/>
    <w:rsid w:val="00615C5B"/>
    <w:rsid w:val="00615C9C"/>
    <w:rsid w:val="00615F84"/>
    <w:rsid w:val="0061628A"/>
    <w:rsid w:val="00616393"/>
    <w:rsid w:val="006166FE"/>
    <w:rsid w:val="00616E67"/>
    <w:rsid w:val="00617CD9"/>
    <w:rsid w:val="006207D2"/>
    <w:rsid w:val="006208FB"/>
    <w:rsid w:val="00620D7C"/>
    <w:rsid w:val="00621266"/>
    <w:rsid w:val="006215B0"/>
    <w:rsid w:val="00621721"/>
    <w:rsid w:val="00621CDB"/>
    <w:rsid w:val="0062250E"/>
    <w:rsid w:val="00622DE7"/>
    <w:rsid w:val="00623578"/>
    <w:rsid w:val="006235F6"/>
    <w:rsid w:val="00623CA8"/>
    <w:rsid w:val="00624119"/>
    <w:rsid w:val="006241F2"/>
    <w:rsid w:val="006245F2"/>
    <w:rsid w:val="0062500B"/>
    <w:rsid w:val="00625599"/>
    <w:rsid w:val="00625B50"/>
    <w:rsid w:val="00626291"/>
    <w:rsid w:val="00626B9C"/>
    <w:rsid w:val="00626FA0"/>
    <w:rsid w:val="0062774C"/>
    <w:rsid w:val="00627C69"/>
    <w:rsid w:val="00627CB8"/>
    <w:rsid w:val="00627E32"/>
    <w:rsid w:val="00630438"/>
    <w:rsid w:val="00630938"/>
    <w:rsid w:val="00630A4F"/>
    <w:rsid w:val="00630DAB"/>
    <w:rsid w:val="00630EC0"/>
    <w:rsid w:val="00631078"/>
    <w:rsid w:val="006313EF"/>
    <w:rsid w:val="00631543"/>
    <w:rsid w:val="006316FB"/>
    <w:rsid w:val="00631A3E"/>
    <w:rsid w:val="00632068"/>
    <w:rsid w:val="00632E62"/>
    <w:rsid w:val="00633F6D"/>
    <w:rsid w:val="00633F78"/>
    <w:rsid w:val="006342A2"/>
    <w:rsid w:val="00635019"/>
    <w:rsid w:val="00635918"/>
    <w:rsid w:val="00635989"/>
    <w:rsid w:val="0063599E"/>
    <w:rsid w:val="00635ADA"/>
    <w:rsid w:val="00636017"/>
    <w:rsid w:val="006364BB"/>
    <w:rsid w:val="00637064"/>
    <w:rsid w:val="006370B2"/>
    <w:rsid w:val="006371EB"/>
    <w:rsid w:val="006376BB"/>
    <w:rsid w:val="00637856"/>
    <w:rsid w:val="0064070E"/>
    <w:rsid w:val="006414BB"/>
    <w:rsid w:val="006414C7"/>
    <w:rsid w:val="006415B9"/>
    <w:rsid w:val="006419CC"/>
    <w:rsid w:val="006420D9"/>
    <w:rsid w:val="006428C0"/>
    <w:rsid w:val="0064290D"/>
    <w:rsid w:val="0064290F"/>
    <w:rsid w:val="00643394"/>
    <w:rsid w:val="00643883"/>
    <w:rsid w:val="00644361"/>
    <w:rsid w:val="00644935"/>
    <w:rsid w:val="00645231"/>
    <w:rsid w:val="00645FD6"/>
    <w:rsid w:val="0064629F"/>
    <w:rsid w:val="0064645B"/>
    <w:rsid w:val="0064656A"/>
    <w:rsid w:val="0064743D"/>
    <w:rsid w:val="00650956"/>
    <w:rsid w:val="00650CA5"/>
    <w:rsid w:val="00650EDC"/>
    <w:rsid w:val="006512FF"/>
    <w:rsid w:val="0065192F"/>
    <w:rsid w:val="00651EE4"/>
    <w:rsid w:val="00651FE1"/>
    <w:rsid w:val="00652485"/>
    <w:rsid w:val="00652ECF"/>
    <w:rsid w:val="006530A3"/>
    <w:rsid w:val="00653723"/>
    <w:rsid w:val="00653A5F"/>
    <w:rsid w:val="00654590"/>
    <w:rsid w:val="00654820"/>
    <w:rsid w:val="00654829"/>
    <w:rsid w:val="006548E3"/>
    <w:rsid w:val="00654961"/>
    <w:rsid w:val="00654C71"/>
    <w:rsid w:val="00654EF0"/>
    <w:rsid w:val="00654F0B"/>
    <w:rsid w:val="00655005"/>
    <w:rsid w:val="006550B9"/>
    <w:rsid w:val="006550C4"/>
    <w:rsid w:val="0065518F"/>
    <w:rsid w:val="00655530"/>
    <w:rsid w:val="00655EE9"/>
    <w:rsid w:val="006564A5"/>
    <w:rsid w:val="00656510"/>
    <w:rsid w:val="00656938"/>
    <w:rsid w:val="00656E42"/>
    <w:rsid w:val="00657567"/>
    <w:rsid w:val="0065770F"/>
    <w:rsid w:val="00657897"/>
    <w:rsid w:val="00657903"/>
    <w:rsid w:val="006601E6"/>
    <w:rsid w:val="00660D6E"/>
    <w:rsid w:val="0066107B"/>
    <w:rsid w:val="00661ED4"/>
    <w:rsid w:val="0066203D"/>
    <w:rsid w:val="00662238"/>
    <w:rsid w:val="0066248F"/>
    <w:rsid w:val="006628F9"/>
    <w:rsid w:val="00662D0E"/>
    <w:rsid w:val="006635F6"/>
    <w:rsid w:val="006637B9"/>
    <w:rsid w:val="00663A5D"/>
    <w:rsid w:val="006644D1"/>
    <w:rsid w:val="00664A88"/>
    <w:rsid w:val="00664B20"/>
    <w:rsid w:val="00664CEC"/>
    <w:rsid w:val="00664F60"/>
    <w:rsid w:val="0066536D"/>
    <w:rsid w:val="00665632"/>
    <w:rsid w:val="006658CB"/>
    <w:rsid w:val="00665A99"/>
    <w:rsid w:val="00665AEB"/>
    <w:rsid w:val="00665B2E"/>
    <w:rsid w:val="006665DF"/>
    <w:rsid w:val="00666C0C"/>
    <w:rsid w:val="00666CCB"/>
    <w:rsid w:val="00666D53"/>
    <w:rsid w:val="00666FA7"/>
    <w:rsid w:val="00667066"/>
    <w:rsid w:val="0066708A"/>
    <w:rsid w:val="00667965"/>
    <w:rsid w:val="00667F1C"/>
    <w:rsid w:val="00667FC8"/>
    <w:rsid w:val="0067015C"/>
    <w:rsid w:val="006707BA"/>
    <w:rsid w:val="00670F48"/>
    <w:rsid w:val="00671F8C"/>
    <w:rsid w:val="00673062"/>
    <w:rsid w:val="00673732"/>
    <w:rsid w:val="00674951"/>
    <w:rsid w:val="00674C9B"/>
    <w:rsid w:val="00674E55"/>
    <w:rsid w:val="00675079"/>
    <w:rsid w:val="00675B1E"/>
    <w:rsid w:val="00676C70"/>
    <w:rsid w:val="0067715B"/>
    <w:rsid w:val="006778FD"/>
    <w:rsid w:val="00677C52"/>
    <w:rsid w:val="00677CC2"/>
    <w:rsid w:val="00677E2A"/>
    <w:rsid w:val="006808C0"/>
    <w:rsid w:val="00680CED"/>
    <w:rsid w:val="00681290"/>
    <w:rsid w:val="00681758"/>
    <w:rsid w:val="00681A7E"/>
    <w:rsid w:val="00681D1C"/>
    <w:rsid w:val="00682F3B"/>
    <w:rsid w:val="0068351E"/>
    <w:rsid w:val="006836EB"/>
    <w:rsid w:val="0068385C"/>
    <w:rsid w:val="00683B95"/>
    <w:rsid w:val="00684486"/>
    <w:rsid w:val="0068457D"/>
    <w:rsid w:val="00684C4F"/>
    <w:rsid w:val="00684D6A"/>
    <w:rsid w:val="00684D98"/>
    <w:rsid w:val="0068505F"/>
    <w:rsid w:val="00685901"/>
    <w:rsid w:val="00685C3E"/>
    <w:rsid w:val="0068650B"/>
    <w:rsid w:val="00687A13"/>
    <w:rsid w:val="00687E56"/>
    <w:rsid w:val="006907EF"/>
    <w:rsid w:val="0069098F"/>
    <w:rsid w:val="006911F5"/>
    <w:rsid w:val="006914F1"/>
    <w:rsid w:val="00691B4A"/>
    <w:rsid w:val="0069293E"/>
    <w:rsid w:val="00692DDA"/>
    <w:rsid w:val="00693001"/>
    <w:rsid w:val="00693069"/>
    <w:rsid w:val="0069356B"/>
    <w:rsid w:val="00693715"/>
    <w:rsid w:val="006938C3"/>
    <w:rsid w:val="00693E7B"/>
    <w:rsid w:val="00693FBE"/>
    <w:rsid w:val="00694082"/>
    <w:rsid w:val="006945CA"/>
    <w:rsid w:val="006949B6"/>
    <w:rsid w:val="00695001"/>
    <w:rsid w:val="0069573E"/>
    <w:rsid w:val="006959F1"/>
    <w:rsid w:val="00695A9A"/>
    <w:rsid w:val="00695AAB"/>
    <w:rsid w:val="00696671"/>
    <w:rsid w:val="00696892"/>
    <w:rsid w:val="00696A36"/>
    <w:rsid w:val="00697BBA"/>
    <w:rsid w:val="006A00A8"/>
    <w:rsid w:val="006A0189"/>
    <w:rsid w:val="006A0434"/>
    <w:rsid w:val="006A0662"/>
    <w:rsid w:val="006A0AF4"/>
    <w:rsid w:val="006A0D55"/>
    <w:rsid w:val="006A10D6"/>
    <w:rsid w:val="006A143E"/>
    <w:rsid w:val="006A17F7"/>
    <w:rsid w:val="006A198B"/>
    <w:rsid w:val="006A1D33"/>
    <w:rsid w:val="006A1F0F"/>
    <w:rsid w:val="006A23CF"/>
    <w:rsid w:val="006A2767"/>
    <w:rsid w:val="006A2D2A"/>
    <w:rsid w:val="006A2FF7"/>
    <w:rsid w:val="006A32FE"/>
    <w:rsid w:val="006A3EA0"/>
    <w:rsid w:val="006A3F9B"/>
    <w:rsid w:val="006A45B3"/>
    <w:rsid w:val="006A57AD"/>
    <w:rsid w:val="006A5FDB"/>
    <w:rsid w:val="006A607A"/>
    <w:rsid w:val="006A6733"/>
    <w:rsid w:val="006A6E21"/>
    <w:rsid w:val="006A7C5F"/>
    <w:rsid w:val="006B099D"/>
    <w:rsid w:val="006B0C17"/>
    <w:rsid w:val="006B14A0"/>
    <w:rsid w:val="006B1740"/>
    <w:rsid w:val="006B1F38"/>
    <w:rsid w:val="006B20E3"/>
    <w:rsid w:val="006B2300"/>
    <w:rsid w:val="006B299A"/>
    <w:rsid w:val="006B2DE9"/>
    <w:rsid w:val="006B2E1E"/>
    <w:rsid w:val="006B3387"/>
    <w:rsid w:val="006B34FE"/>
    <w:rsid w:val="006B36F1"/>
    <w:rsid w:val="006B3DD2"/>
    <w:rsid w:val="006B3E23"/>
    <w:rsid w:val="006B430F"/>
    <w:rsid w:val="006B439B"/>
    <w:rsid w:val="006B463B"/>
    <w:rsid w:val="006B4B67"/>
    <w:rsid w:val="006B4D65"/>
    <w:rsid w:val="006B4E97"/>
    <w:rsid w:val="006B5122"/>
    <w:rsid w:val="006B53B7"/>
    <w:rsid w:val="006B55C3"/>
    <w:rsid w:val="006B56FB"/>
    <w:rsid w:val="006B59BA"/>
    <w:rsid w:val="006B59D1"/>
    <w:rsid w:val="006B66E7"/>
    <w:rsid w:val="006B6AD7"/>
    <w:rsid w:val="006B6AFC"/>
    <w:rsid w:val="006B6B22"/>
    <w:rsid w:val="006B6CC2"/>
    <w:rsid w:val="006B6D2C"/>
    <w:rsid w:val="006B6F8E"/>
    <w:rsid w:val="006B72D4"/>
    <w:rsid w:val="006B7440"/>
    <w:rsid w:val="006B795F"/>
    <w:rsid w:val="006C0AB3"/>
    <w:rsid w:val="006C1103"/>
    <w:rsid w:val="006C1C0F"/>
    <w:rsid w:val="006C2BA5"/>
    <w:rsid w:val="006C2F8F"/>
    <w:rsid w:val="006C313D"/>
    <w:rsid w:val="006C3190"/>
    <w:rsid w:val="006C39F4"/>
    <w:rsid w:val="006C40EC"/>
    <w:rsid w:val="006C42BB"/>
    <w:rsid w:val="006C452B"/>
    <w:rsid w:val="006C4C98"/>
    <w:rsid w:val="006C505B"/>
    <w:rsid w:val="006C561D"/>
    <w:rsid w:val="006C63F0"/>
    <w:rsid w:val="006C67EA"/>
    <w:rsid w:val="006C6C55"/>
    <w:rsid w:val="006C7073"/>
    <w:rsid w:val="006C7D70"/>
    <w:rsid w:val="006C7DB6"/>
    <w:rsid w:val="006D00F4"/>
    <w:rsid w:val="006D053B"/>
    <w:rsid w:val="006D13B4"/>
    <w:rsid w:val="006D1941"/>
    <w:rsid w:val="006D1958"/>
    <w:rsid w:val="006D1C57"/>
    <w:rsid w:val="006D1C83"/>
    <w:rsid w:val="006D2C50"/>
    <w:rsid w:val="006D3383"/>
    <w:rsid w:val="006D351E"/>
    <w:rsid w:val="006D42D3"/>
    <w:rsid w:val="006D46F5"/>
    <w:rsid w:val="006D4C54"/>
    <w:rsid w:val="006D4FD8"/>
    <w:rsid w:val="006D5407"/>
    <w:rsid w:val="006D586D"/>
    <w:rsid w:val="006D5AC7"/>
    <w:rsid w:val="006D5CE6"/>
    <w:rsid w:val="006D62B2"/>
    <w:rsid w:val="006D7117"/>
    <w:rsid w:val="006D7194"/>
    <w:rsid w:val="006D791D"/>
    <w:rsid w:val="006E08E8"/>
    <w:rsid w:val="006E0ABB"/>
    <w:rsid w:val="006E0F40"/>
    <w:rsid w:val="006E12B0"/>
    <w:rsid w:val="006E1A0C"/>
    <w:rsid w:val="006E2223"/>
    <w:rsid w:val="006E223D"/>
    <w:rsid w:val="006E233B"/>
    <w:rsid w:val="006E2AFE"/>
    <w:rsid w:val="006E2EC6"/>
    <w:rsid w:val="006E300E"/>
    <w:rsid w:val="006E34BF"/>
    <w:rsid w:val="006E42AA"/>
    <w:rsid w:val="006E42D9"/>
    <w:rsid w:val="006E5593"/>
    <w:rsid w:val="006E5A9F"/>
    <w:rsid w:val="006E5F77"/>
    <w:rsid w:val="006E5FD0"/>
    <w:rsid w:val="006E61D6"/>
    <w:rsid w:val="006E630E"/>
    <w:rsid w:val="006E6310"/>
    <w:rsid w:val="006E639B"/>
    <w:rsid w:val="006E65E2"/>
    <w:rsid w:val="006E6652"/>
    <w:rsid w:val="006E66BA"/>
    <w:rsid w:val="006E6791"/>
    <w:rsid w:val="006E7874"/>
    <w:rsid w:val="006F0E12"/>
    <w:rsid w:val="006F1046"/>
    <w:rsid w:val="006F128E"/>
    <w:rsid w:val="006F1673"/>
    <w:rsid w:val="006F221D"/>
    <w:rsid w:val="006F2428"/>
    <w:rsid w:val="006F24F7"/>
    <w:rsid w:val="006F2B46"/>
    <w:rsid w:val="006F2DCB"/>
    <w:rsid w:val="006F305A"/>
    <w:rsid w:val="006F3725"/>
    <w:rsid w:val="006F37F3"/>
    <w:rsid w:val="006F39B0"/>
    <w:rsid w:val="006F408E"/>
    <w:rsid w:val="006F40EA"/>
    <w:rsid w:val="006F4209"/>
    <w:rsid w:val="006F47AB"/>
    <w:rsid w:val="006F4D10"/>
    <w:rsid w:val="006F4ED2"/>
    <w:rsid w:val="006F57D4"/>
    <w:rsid w:val="006F5ED9"/>
    <w:rsid w:val="006F6ABD"/>
    <w:rsid w:val="006F72A6"/>
    <w:rsid w:val="006F75FE"/>
    <w:rsid w:val="006F7877"/>
    <w:rsid w:val="006F7C19"/>
    <w:rsid w:val="00700031"/>
    <w:rsid w:val="0070031E"/>
    <w:rsid w:val="00700539"/>
    <w:rsid w:val="00700596"/>
    <w:rsid w:val="007005F9"/>
    <w:rsid w:val="00700F88"/>
    <w:rsid w:val="007017C2"/>
    <w:rsid w:val="007019CD"/>
    <w:rsid w:val="00701C02"/>
    <w:rsid w:val="00702004"/>
    <w:rsid w:val="00702B0A"/>
    <w:rsid w:val="00702B2A"/>
    <w:rsid w:val="0070323A"/>
    <w:rsid w:val="007032FB"/>
    <w:rsid w:val="00703383"/>
    <w:rsid w:val="00703991"/>
    <w:rsid w:val="00703AC8"/>
    <w:rsid w:val="0070456C"/>
    <w:rsid w:val="0070492C"/>
    <w:rsid w:val="00704DD9"/>
    <w:rsid w:val="00705DEE"/>
    <w:rsid w:val="007069E8"/>
    <w:rsid w:val="00706B9A"/>
    <w:rsid w:val="0070721F"/>
    <w:rsid w:val="00707FB4"/>
    <w:rsid w:val="0071006B"/>
    <w:rsid w:val="00710A04"/>
    <w:rsid w:val="00711427"/>
    <w:rsid w:val="00711D80"/>
    <w:rsid w:val="00711D86"/>
    <w:rsid w:val="00712764"/>
    <w:rsid w:val="00712991"/>
    <w:rsid w:val="00712EE0"/>
    <w:rsid w:val="00713AA8"/>
    <w:rsid w:val="00713CB4"/>
    <w:rsid w:val="0071407D"/>
    <w:rsid w:val="0071422C"/>
    <w:rsid w:val="007151C9"/>
    <w:rsid w:val="0071533C"/>
    <w:rsid w:val="00716860"/>
    <w:rsid w:val="00716CA7"/>
    <w:rsid w:val="007174A9"/>
    <w:rsid w:val="007174EE"/>
    <w:rsid w:val="00717B7D"/>
    <w:rsid w:val="00717BE6"/>
    <w:rsid w:val="00717F89"/>
    <w:rsid w:val="00720151"/>
    <w:rsid w:val="0072033A"/>
    <w:rsid w:val="00720506"/>
    <w:rsid w:val="007207AE"/>
    <w:rsid w:val="00720857"/>
    <w:rsid w:val="00720DE2"/>
    <w:rsid w:val="007211B3"/>
    <w:rsid w:val="00721239"/>
    <w:rsid w:val="00721653"/>
    <w:rsid w:val="00721EEB"/>
    <w:rsid w:val="007220C7"/>
    <w:rsid w:val="00722517"/>
    <w:rsid w:val="00722810"/>
    <w:rsid w:val="00722881"/>
    <w:rsid w:val="00723271"/>
    <w:rsid w:val="00723311"/>
    <w:rsid w:val="00723541"/>
    <w:rsid w:val="00723A05"/>
    <w:rsid w:val="0072411D"/>
    <w:rsid w:val="0072443C"/>
    <w:rsid w:val="007244A9"/>
    <w:rsid w:val="00724B2D"/>
    <w:rsid w:val="00724CED"/>
    <w:rsid w:val="00724D42"/>
    <w:rsid w:val="00725105"/>
    <w:rsid w:val="00725205"/>
    <w:rsid w:val="00725633"/>
    <w:rsid w:val="0072570C"/>
    <w:rsid w:val="00726FD7"/>
    <w:rsid w:val="007274FB"/>
    <w:rsid w:val="00727771"/>
    <w:rsid w:val="00732002"/>
    <w:rsid w:val="00732126"/>
    <w:rsid w:val="00732815"/>
    <w:rsid w:val="00732D09"/>
    <w:rsid w:val="00732F10"/>
    <w:rsid w:val="0073302D"/>
    <w:rsid w:val="00733353"/>
    <w:rsid w:val="00733376"/>
    <w:rsid w:val="007336C0"/>
    <w:rsid w:val="007339F0"/>
    <w:rsid w:val="00734168"/>
    <w:rsid w:val="00734A49"/>
    <w:rsid w:val="00734D7A"/>
    <w:rsid w:val="007353B8"/>
    <w:rsid w:val="007356D6"/>
    <w:rsid w:val="007358B0"/>
    <w:rsid w:val="00735A53"/>
    <w:rsid w:val="00735DD0"/>
    <w:rsid w:val="00736356"/>
    <w:rsid w:val="0073660E"/>
    <w:rsid w:val="00736653"/>
    <w:rsid w:val="007369FD"/>
    <w:rsid w:val="00736DE8"/>
    <w:rsid w:val="007377F6"/>
    <w:rsid w:val="00737BD6"/>
    <w:rsid w:val="00737D2E"/>
    <w:rsid w:val="0074096F"/>
    <w:rsid w:val="00740B6A"/>
    <w:rsid w:val="007416FB"/>
    <w:rsid w:val="00741C86"/>
    <w:rsid w:val="00742672"/>
    <w:rsid w:val="00742915"/>
    <w:rsid w:val="00743123"/>
    <w:rsid w:val="00743213"/>
    <w:rsid w:val="00743886"/>
    <w:rsid w:val="00744088"/>
    <w:rsid w:val="00744E78"/>
    <w:rsid w:val="00744EFC"/>
    <w:rsid w:val="00745593"/>
    <w:rsid w:val="00745FD9"/>
    <w:rsid w:val="00746488"/>
    <w:rsid w:val="00746B77"/>
    <w:rsid w:val="00746BDD"/>
    <w:rsid w:val="00746E8D"/>
    <w:rsid w:val="00747021"/>
    <w:rsid w:val="007502E4"/>
    <w:rsid w:val="00750563"/>
    <w:rsid w:val="00750770"/>
    <w:rsid w:val="007508D1"/>
    <w:rsid w:val="00750B3F"/>
    <w:rsid w:val="00750C31"/>
    <w:rsid w:val="00751ABF"/>
    <w:rsid w:val="00751BA9"/>
    <w:rsid w:val="0075235D"/>
    <w:rsid w:val="007526F5"/>
    <w:rsid w:val="007527CF"/>
    <w:rsid w:val="00752ABE"/>
    <w:rsid w:val="00752F3D"/>
    <w:rsid w:val="0075334A"/>
    <w:rsid w:val="007533E2"/>
    <w:rsid w:val="007535DC"/>
    <w:rsid w:val="00753F22"/>
    <w:rsid w:val="0075508A"/>
    <w:rsid w:val="007554CC"/>
    <w:rsid w:val="007554D6"/>
    <w:rsid w:val="00755801"/>
    <w:rsid w:val="00755FC2"/>
    <w:rsid w:val="00756240"/>
    <w:rsid w:val="00756818"/>
    <w:rsid w:val="00756836"/>
    <w:rsid w:val="007568A3"/>
    <w:rsid w:val="00756D14"/>
    <w:rsid w:val="0075751E"/>
    <w:rsid w:val="007575C1"/>
    <w:rsid w:val="00757881"/>
    <w:rsid w:val="00757CD0"/>
    <w:rsid w:val="00760317"/>
    <w:rsid w:val="0076033D"/>
    <w:rsid w:val="00760393"/>
    <w:rsid w:val="0076046C"/>
    <w:rsid w:val="007613FD"/>
    <w:rsid w:val="00761809"/>
    <w:rsid w:val="007620CC"/>
    <w:rsid w:val="00762749"/>
    <w:rsid w:val="00762A40"/>
    <w:rsid w:val="00762AF9"/>
    <w:rsid w:val="007637B5"/>
    <w:rsid w:val="00763FF7"/>
    <w:rsid w:val="007640FE"/>
    <w:rsid w:val="0076423E"/>
    <w:rsid w:val="00764376"/>
    <w:rsid w:val="00764646"/>
    <w:rsid w:val="00764752"/>
    <w:rsid w:val="00764951"/>
    <w:rsid w:val="00764AE2"/>
    <w:rsid w:val="00764E63"/>
    <w:rsid w:val="0076634B"/>
    <w:rsid w:val="0076644E"/>
    <w:rsid w:val="007665E1"/>
    <w:rsid w:val="00766B01"/>
    <w:rsid w:val="00766D28"/>
    <w:rsid w:val="00766DB6"/>
    <w:rsid w:val="00767196"/>
    <w:rsid w:val="007673D6"/>
    <w:rsid w:val="0077092A"/>
    <w:rsid w:val="00770ED0"/>
    <w:rsid w:val="00771B4F"/>
    <w:rsid w:val="00771FF8"/>
    <w:rsid w:val="00772258"/>
    <w:rsid w:val="007722C2"/>
    <w:rsid w:val="00772809"/>
    <w:rsid w:val="00772916"/>
    <w:rsid w:val="00772A3F"/>
    <w:rsid w:val="00772E5F"/>
    <w:rsid w:val="00772F75"/>
    <w:rsid w:val="007739B0"/>
    <w:rsid w:val="00773D12"/>
    <w:rsid w:val="00774A1F"/>
    <w:rsid w:val="00774A8D"/>
    <w:rsid w:val="007750AB"/>
    <w:rsid w:val="007757B0"/>
    <w:rsid w:val="00775891"/>
    <w:rsid w:val="00775E05"/>
    <w:rsid w:val="00775F4D"/>
    <w:rsid w:val="0077632B"/>
    <w:rsid w:val="007763F2"/>
    <w:rsid w:val="0077674B"/>
    <w:rsid w:val="00776B18"/>
    <w:rsid w:val="00777196"/>
    <w:rsid w:val="00780373"/>
    <w:rsid w:val="00780D64"/>
    <w:rsid w:val="00781104"/>
    <w:rsid w:val="00781427"/>
    <w:rsid w:val="00781FC6"/>
    <w:rsid w:val="00782050"/>
    <w:rsid w:val="00782078"/>
    <w:rsid w:val="00783432"/>
    <w:rsid w:val="007838C6"/>
    <w:rsid w:val="00783B02"/>
    <w:rsid w:val="00783EDD"/>
    <w:rsid w:val="00784127"/>
    <w:rsid w:val="0078440E"/>
    <w:rsid w:val="00784B3F"/>
    <w:rsid w:val="00784B76"/>
    <w:rsid w:val="0078535E"/>
    <w:rsid w:val="0078543F"/>
    <w:rsid w:val="0078548B"/>
    <w:rsid w:val="0078553C"/>
    <w:rsid w:val="00785613"/>
    <w:rsid w:val="00785908"/>
    <w:rsid w:val="00785D4A"/>
    <w:rsid w:val="0078653E"/>
    <w:rsid w:val="00786CDA"/>
    <w:rsid w:val="0078701E"/>
    <w:rsid w:val="0078789B"/>
    <w:rsid w:val="00787C26"/>
    <w:rsid w:val="00787E2C"/>
    <w:rsid w:val="00790E8F"/>
    <w:rsid w:val="00790F81"/>
    <w:rsid w:val="00791A53"/>
    <w:rsid w:val="00791B34"/>
    <w:rsid w:val="00791DF5"/>
    <w:rsid w:val="00791E7E"/>
    <w:rsid w:val="00792255"/>
    <w:rsid w:val="0079226B"/>
    <w:rsid w:val="007937EA"/>
    <w:rsid w:val="00793C83"/>
    <w:rsid w:val="00794C40"/>
    <w:rsid w:val="00795182"/>
    <w:rsid w:val="007952D5"/>
    <w:rsid w:val="007956B7"/>
    <w:rsid w:val="007957C5"/>
    <w:rsid w:val="0079589F"/>
    <w:rsid w:val="00795CF5"/>
    <w:rsid w:val="007968CC"/>
    <w:rsid w:val="00797879"/>
    <w:rsid w:val="007979AC"/>
    <w:rsid w:val="007A0235"/>
    <w:rsid w:val="007A0EF4"/>
    <w:rsid w:val="007A12B5"/>
    <w:rsid w:val="007A1814"/>
    <w:rsid w:val="007A287A"/>
    <w:rsid w:val="007A2BE7"/>
    <w:rsid w:val="007A3039"/>
    <w:rsid w:val="007A3101"/>
    <w:rsid w:val="007A318B"/>
    <w:rsid w:val="007A31BC"/>
    <w:rsid w:val="007A359F"/>
    <w:rsid w:val="007A38EF"/>
    <w:rsid w:val="007A3D99"/>
    <w:rsid w:val="007A424E"/>
    <w:rsid w:val="007A446A"/>
    <w:rsid w:val="007A4568"/>
    <w:rsid w:val="007A48F7"/>
    <w:rsid w:val="007A5119"/>
    <w:rsid w:val="007A55AD"/>
    <w:rsid w:val="007A62FF"/>
    <w:rsid w:val="007A6B08"/>
    <w:rsid w:val="007A7ACC"/>
    <w:rsid w:val="007A7ACF"/>
    <w:rsid w:val="007B026D"/>
    <w:rsid w:val="007B02C1"/>
    <w:rsid w:val="007B0A27"/>
    <w:rsid w:val="007B1411"/>
    <w:rsid w:val="007B151B"/>
    <w:rsid w:val="007B1E80"/>
    <w:rsid w:val="007B25FA"/>
    <w:rsid w:val="007B28BA"/>
    <w:rsid w:val="007B2931"/>
    <w:rsid w:val="007B2B49"/>
    <w:rsid w:val="007B30B0"/>
    <w:rsid w:val="007B3714"/>
    <w:rsid w:val="007B3B69"/>
    <w:rsid w:val="007B3E17"/>
    <w:rsid w:val="007B4237"/>
    <w:rsid w:val="007B4533"/>
    <w:rsid w:val="007B4E03"/>
    <w:rsid w:val="007B4ECA"/>
    <w:rsid w:val="007B513B"/>
    <w:rsid w:val="007B5227"/>
    <w:rsid w:val="007B527C"/>
    <w:rsid w:val="007B548B"/>
    <w:rsid w:val="007B5BC4"/>
    <w:rsid w:val="007B5E8F"/>
    <w:rsid w:val="007B6DF3"/>
    <w:rsid w:val="007B71F4"/>
    <w:rsid w:val="007B7C06"/>
    <w:rsid w:val="007C00E8"/>
    <w:rsid w:val="007C0407"/>
    <w:rsid w:val="007C0540"/>
    <w:rsid w:val="007C0AA4"/>
    <w:rsid w:val="007C0D54"/>
    <w:rsid w:val="007C0F78"/>
    <w:rsid w:val="007C1C2A"/>
    <w:rsid w:val="007C24B9"/>
    <w:rsid w:val="007C25F0"/>
    <w:rsid w:val="007C270B"/>
    <w:rsid w:val="007C3089"/>
    <w:rsid w:val="007C4170"/>
    <w:rsid w:val="007C4462"/>
    <w:rsid w:val="007C4EEC"/>
    <w:rsid w:val="007C605E"/>
    <w:rsid w:val="007C6D48"/>
    <w:rsid w:val="007C7214"/>
    <w:rsid w:val="007C72BF"/>
    <w:rsid w:val="007C75C2"/>
    <w:rsid w:val="007D04BC"/>
    <w:rsid w:val="007D1264"/>
    <w:rsid w:val="007D1602"/>
    <w:rsid w:val="007D20B0"/>
    <w:rsid w:val="007D2151"/>
    <w:rsid w:val="007D28AC"/>
    <w:rsid w:val="007D2EED"/>
    <w:rsid w:val="007D34AD"/>
    <w:rsid w:val="007D37EB"/>
    <w:rsid w:val="007D41F5"/>
    <w:rsid w:val="007D4756"/>
    <w:rsid w:val="007D4E19"/>
    <w:rsid w:val="007D54DC"/>
    <w:rsid w:val="007D58ED"/>
    <w:rsid w:val="007D5EFD"/>
    <w:rsid w:val="007D631D"/>
    <w:rsid w:val="007D6A00"/>
    <w:rsid w:val="007D6BF2"/>
    <w:rsid w:val="007D6DC2"/>
    <w:rsid w:val="007D7511"/>
    <w:rsid w:val="007D7642"/>
    <w:rsid w:val="007D7B97"/>
    <w:rsid w:val="007D7DE1"/>
    <w:rsid w:val="007E0104"/>
    <w:rsid w:val="007E0B8D"/>
    <w:rsid w:val="007E1291"/>
    <w:rsid w:val="007E1D58"/>
    <w:rsid w:val="007E1EB8"/>
    <w:rsid w:val="007E1F80"/>
    <w:rsid w:val="007E22BC"/>
    <w:rsid w:val="007E234C"/>
    <w:rsid w:val="007E289B"/>
    <w:rsid w:val="007E3083"/>
    <w:rsid w:val="007E3496"/>
    <w:rsid w:val="007E384A"/>
    <w:rsid w:val="007E3DDF"/>
    <w:rsid w:val="007E3F44"/>
    <w:rsid w:val="007E3F6B"/>
    <w:rsid w:val="007E4717"/>
    <w:rsid w:val="007E4A11"/>
    <w:rsid w:val="007E4CDA"/>
    <w:rsid w:val="007E5285"/>
    <w:rsid w:val="007E59D1"/>
    <w:rsid w:val="007E5AFF"/>
    <w:rsid w:val="007E5C56"/>
    <w:rsid w:val="007E5E93"/>
    <w:rsid w:val="007E602A"/>
    <w:rsid w:val="007E622C"/>
    <w:rsid w:val="007E6D32"/>
    <w:rsid w:val="007E73C2"/>
    <w:rsid w:val="007E760F"/>
    <w:rsid w:val="007E7646"/>
    <w:rsid w:val="007F00D9"/>
    <w:rsid w:val="007F024E"/>
    <w:rsid w:val="007F0387"/>
    <w:rsid w:val="007F0A2C"/>
    <w:rsid w:val="007F0F45"/>
    <w:rsid w:val="007F128B"/>
    <w:rsid w:val="007F2013"/>
    <w:rsid w:val="007F2026"/>
    <w:rsid w:val="007F2A6A"/>
    <w:rsid w:val="007F2CEE"/>
    <w:rsid w:val="007F39EA"/>
    <w:rsid w:val="007F3B73"/>
    <w:rsid w:val="007F4177"/>
    <w:rsid w:val="007F4C43"/>
    <w:rsid w:val="007F4F1B"/>
    <w:rsid w:val="007F526F"/>
    <w:rsid w:val="007F5569"/>
    <w:rsid w:val="007F562D"/>
    <w:rsid w:val="007F56AB"/>
    <w:rsid w:val="007F5FDF"/>
    <w:rsid w:val="007F6846"/>
    <w:rsid w:val="007F6FAF"/>
    <w:rsid w:val="007F70EA"/>
    <w:rsid w:val="007F7527"/>
    <w:rsid w:val="007F792B"/>
    <w:rsid w:val="008001B5"/>
    <w:rsid w:val="008001D8"/>
    <w:rsid w:val="008002FD"/>
    <w:rsid w:val="00800B42"/>
    <w:rsid w:val="00801787"/>
    <w:rsid w:val="008017DB"/>
    <w:rsid w:val="00802328"/>
    <w:rsid w:val="00802AF2"/>
    <w:rsid w:val="00802CB1"/>
    <w:rsid w:val="00804008"/>
    <w:rsid w:val="00804A44"/>
    <w:rsid w:val="00804C59"/>
    <w:rsid w:val="00804CFC"/>
    <w:rsid w:val="00804E1B"/>
    <w:rsid w:val="00805025"/>
    <w:rsid w:val="00806187"/>
    <w:rsid w:val="00806C26"/>
    <w:rsid w:val="008072C8"/>
    <w:rsid w:val="00807891"/>
    <w:rsid w:val="008078CD"/>
    <w:rsid w:val="00807DD4"/>
    <w:rsid w:val="0081021A"/>
    <w:rsid w:val="008102E4"/>
    <w:rsid w:val="0081051E"/>
    <w:rsid w:val="00810852"/>
    <w:rsid w:val="008109C6"/>
    <w:rsid w:val="00810B74"/>
    <w:rsid w:val="008115F3"/>
    <w:rsid w:val="008118D9"/>
    <w:rsid w:val="00811EEA"/>
    <w:rsid w:val="00812078"/>
    <w:rsid w:val="00812091"/>
    <w:rsid w:val="00812991"/>
    <w:rsid w:val="008139A5"/>
    <w:rsid w:val="00813C54"/>
    <w:rsid w:val="00813E02"/>
    <w:rsid w:val="00814461"/>
    <w:rsid w:val="008144DB"/>
    <w:rsid w:val="008156FD"/>
    <w:rsid w:val="0081581E"/>
    <w:rsid w:val="008158EF"/>
    <w:rsid w:val="00815C3A"/>
    <w:rsid w:val="008164FC"/>
    <w:rsid w:val="0081692B"/>
    <w:rsid w:val="00816B1E"/>
    <w:rsid w:val="0081716B"/>
    <w:rsid w:val="008173DD"/>
    <w:rsid w:val="00817C6E"/>
    <w:rsid w:val="008204FB"/>
    <w:rsid w:val="00820B22"/>
    <w:rsid w:val="00821369"/>
    <w:rsid w:val="008216DF"/>
    <w:rsid w:val="00821747"/>
    <w:rsid w:val="00821785"/>
    <w:rsid w:val="00821A09"/>
    <w:rsid w:val="00821CDE"/>
    <w:rsid w:val="00821FC1"/>
    <w:rsid w:val="00822770"/>
    <w:rsid w:val="00822A59"/>
    <w:rsid w:val="00822C02"/>
    <w:rsid w:val="00822CEE"/>
    <w:rsid w:val="00822F78"/>
    <w:rsid w:val="008233E0"/>
    <w:rsid w:val="00823F95"/>
    <w:rsid w:val="00824315"/>
    <w:rsid w:val="00824460"/>
    <w:rsid w:val="00824EAF"/>
    <w:rsid w:val="00824EF7"/>
    <w:rsid w:val="008254F1"/>
    <w:rsid w:val="00825A69"/>
    <w:rsid w:val="00825D49"/>
    <w:rsid w:val="008263E8"/>
    <w:rsid w:val="00826E63"/>
    <w:rsid w:val="00826E96"/>
    <w:rsid w:val="0082719B"/>
    <w:rsid w:val="008271C6"/>
    <w:rsid w:val="00827322"/>
    <w:rsid w:val="008275F7"/>
    <w:rsid w:val="00827783"/>
    <w:rsid w:val="00827FE0"/>
    <w:rsid w:val="00830B16"/>
    <w:rsid w:val="00830D29"/>
    <w:rsid w:val="00830F83"/>
    <w:rsid w:val="00831035"/>
    <w:rsid w:val="00831616"/>
    <w:rsid w:val="00831872"/>
    <w:rsid w:val="00831E9D"/>
    <w:rsid w:val="00831EB3"/>
    <w:rsid w:val="00832045"/>
    <w:rsid w:val="00832223"/>
    <w:rsid w:val="0083288D"/>
    <w:rsid w:val="00833442"/>
    <w:rsid w:val="0083386B"/>
    <w:rsid w:val="00835646"/>
    <w:rsid w:val="00835CB6"/>
    <w:rsid w:val="008361AF"/>
    <w:rsid w:val="00836477"/>
    <w:rsid w:val="0083692A"/>
    <w:rsid w:val="00836AD5"/>
    <w:rsid w:val="00837836"/>
    <w:rsid w:val="0084054C"/>
    <w:rsid w:val="008406A1"/>
    <w:rsid w:val="008409EE"/>
    <w:rsid w:val="0084136D"/>
    <w:rsid w:val="008413B0"/>
    <w:rsid w:val="00841633"/>
    <w:rsid w:val="00841DBF"/>
    <w:rsid w:val="00842059"/>
    <w:rsid w:val="008425C4"/>
    <w:rsid w:val="008428F9"/>
    <w:rsid w:val="00842E20"/>
    <w:rsid w:val="00842E8F"/>
    <w:rsid w:val="00844059"/>
    <w:rsid w:val="00844062"/>
    <w:rsid w:val="0084442F"/>
    <w:rsid w:val="00844865"/>
    <w:rsid w:val="008448D6"/>
    <w:rsid w:val="00845005"/>
    <w:rsid w:val="008456F5"/>
    <w:rsid w:val="00846505"/>
    <w:rsid w:val="00846BCA"/>
    <w:rsid w:val="00847F14"/>
    <w:rsid w:val="008505BA"/>
    <w:rsid w:val="0085074F"/>
    <w:rsid w:val="008509EF"/>
    <w:rsid w:val="008509F6"/>
    <w:rsid w:val="00850B5E"/>
    <w:rsid w:val="008510F2"/>
    <w:rsid w:val="00851A12"/>
    <w:rsid w:val="00851E14"/>
    <w:rsid w:val="00851E23"/>
    <w:rsid w:val="00851F80"/>
    <w:rsid w:val="008524FC"/>
    <w:rsid w:val="00852A16"/>
    <w:rsid w:val="00852AA6"/>
    <w:rsid w:val="00852CC6"/>
    <w:rsid w:val="008530D7"/>
    <w:rsid w:val="00853E79"/>
    <w:rsid w:val="00854001"/>
    <w:rsid w:val="0085479B"/>
    <w:rsid w:val="008548D0"/>
    <w:rsid w:val="00855058"/>
    <w:rsid w:val="00855458"/>
    <w:rsid w:val="00855A68"/>
    <w:rsid w:val="00855AB8"/>
    <w:rsid w:val="00855EB2"/>
    <w:rsid w:val="00856275"/>
    <w:rsid w:val="008564EC"/>
    <w:rsid w:val="00856C83"/>
    <w:rsid w:val="00856D50"/>
    <w:rsid w:val="00860427"/>
    <w:rsid w:val="0086099B"/>
    <w:rsid w:val="008609AB"/>
    <w:rsid w:val="00860BBF"/>
    <w:rsid w:val="00860BFC"/>
    <w:rsid w:val="0086107C"/>
    <w:rsid w:val="00861445"/>
    <w:rsid w:val="00862A37"/>
    <w:rsid w:val="00863701"/>
    <w:rsid w:val="008637F3"/>
    <w:rsid w:val="00863993"/>
    <w:rsid w:val="00864479"/>
    <w:rsid w:val="00865F1A"/>
    <w:rsid w:val="008661A9"/>
    <w:rsid w:val="00866983"/>
    <w:rsid w:val="0086753E"/>
    <w:rsid w:val="00867717"/>
    <w:rsid w:val="008679C2"/>
    <w:rsid w:val="00867D3C"/>
    <w:rsid w:val="00867DB4"/>
    <w:rsid w:val="008700E7"/>
    <w:rsid w:val="00870185"/>
    <w:rsid w:val="00871FE4"/>
    <w:rsid w:val="0087213E"/>
    <w:rsid w:val="0087217D"/>
    <w:rsid w:val="0087219A"/>
    <w:rsid w:val="00872799"/>
    <w:rsid w:val="008730FD"/>
    <w:rsid w:val="008731B3"/>
    <w:rsid w:val="00873344"/>
    <w:rsid w:val="0087380C"/>
    <w:rsid w:val="00873CBE"/>
    <w:rsid w:val="00873F52"/>
    <w:rsid w:val="008740E7"/>
    <w:rsid w:val="0087433A"/>
    <w:rsid w:val="008748DA"/>
    <w:rsid w:val="00874E72"/>
    <w:rsid w:val="008750AF"/>
    <w:rsid w:val="00876034"/>
    <w:rsid w:val="00876101"/>
    <w:rsid w:val="00876417"/>
    <w:rsid w:val="00876F26"/>
    <w:rsid w:val="008801B3"/>
    <w:rsid w:val="00880296"/>
    <w:rsid w:val="008802C5"/>
    <w:rsid w:val="00880C22"/>
    <w:rsid w:val="00881033"/>
    <w:rsid w:val="00881295"/>
    <w:rsid w:val="00882359"/>
    <w:rsid w:val="00882966"/>
    <w:rsid w:val="00882DF2"/>
    <w:rsid w:val="00882F7D"/>
    <w:rsid w:val="0088343D"/>
    <w:rsid w:val="00883C8D"/>
    <w:rsid w:val="00884387"/>
    <w:rsid w:val="008843C4"/>
    <w:rsid w:val="00885A9B"/>
    <w:rsid w:val="00885B80"/>
    <w:rsid w:val="00885EAA"/>
    <w:rsid w:val="008867F9"/>
    <w:rsid w:val="00887007"/>
    <w:rsid w:val="00887891"/>
    <w:rsid w:val="00887B95"/>
    <w:rsid w:val="00887F01"/>
    <w:rsid w:val="00890261"/>
    <w:rsid w:val="00890FFF"/>
    <w:rsid w:val="00891418"/>
    <w:rsid w:val="00891491"/>
    <w:rsid w:val="00891F33"/>
    <w:rsid w:val="008929BC"/>
    <w:rsid w:val="00892E28"/>
    <w:rsid w:val="0089363A"/>
    <w:rsid w:val="00893D6B"/>
    <w:rsid w:val="00893EAC"/>
    <w:rsid w:val="00894901"/>
    <w:rsid w:val="00894A9E"/>
    <w:rsid w:val="00894CC1"/>
    <w:rsid w:val="00894FA9"/>
    <w:rsid w:val="008955D9"/>
    <w:rsid w:val="008959F6"/>
    <w:rsid w:val="00895E9C"/>
    <w:rsid w:val="00896736"/>
    <w:rsid w:val="0089703E"/>
    <w:rsid w:val="00897226"/>
    <w:rsid w:val="008976F5"/>
    <w:rsid w:val="00897B03"/>
    <w:rsid w:val="008A0131"/>
    <w:rsid w:val="008A0A6D"/>
    <w:rsid w:val="008A0CEF"/>
    <w:rsid w:val="008A0DE7"/>
    <w:rsid w:val="008A1688"/>
    <w:rsid w:val="008A1693"/>
    <w:rsid w:val="008A183D"/>
    <w:rsid w:val="008A25FF"/>
    <w:rsid w:val="008A2E8D"/>
    <w:rsid w:val="008A2F2C"/>
    <w:rsid w:val="008A31E7"/>
    <w:rsid w:val="008A4176"/>
    <w:rsid w:val="008A5141"/>
    <w:rsid w:val="008A56B1"/>
    <w:rsid w:val="008A58F8"/>
    <w:rsid w:val="008A5C77"/>
    <w:rsid w:val="008A5EAC"/>
    <w:rsid w:val="008A5F7E"/>
    <w:rsid w:val="008A6205"/>
    <w:rsid w:val="008A64AD"/>
    <w:rsid w:val="008A65A4"/>
    <w:rsid w:val="008A69CD"/>
    <w:rsid w:val="008A6FA2"/>
    <w:rsid w:val="008A73DF"/>
    <w:rsid w:val="008A7DB2"/>
    <w:rsid w:val="008B106C"/>
    <w:rsid w:val="008B16DA"/>
    <w:rsid w:val="008B188B"/>
    <w:rsid w:val="008B20B2"/>
    <w:rsid w:val="008B337E"/>
    <w:rsid w:val="008B351B"/>
    <w:rsid w:val="008B45C5"/>
    <w:rsid w:val="008B4BBF"/>
    <w:rsid w:val="008B4ED7"/>
    <w:rsid w:val="008B5041"/>
    <w:rsid w:val="008B5335"/>
    <w:rsid w:val="008B5431"/>
    <w:rsid w:val="008B6240"/>
    <w:rsid w:val="008B63D4"/>
    <w:rsid w:val="008B6773"/>
    <w:rsid w:val="008B69BE"/>
    <w:rsid w:val="008B7577"/>
    <w:rsid w:val="008B78FF"/>
    <w:rsid w:val="008B7BBF"/>
    <w:rsid w:val="008B7D3C"/>
    <w:rsid w:val="008C0411"/>
    <w:rsid w:val="008C066A"/>
    <w:rsid w:val="008C0A3F"/>
    <w:rsid w:val="008C0BAD"/>
    <w:rsid w:val="008C0D16"/>
    <w:rsid w:val="008C14D8"/>
    <w:rsid w:val="008C1FE6"/>
    <w:rsid w:val="008C25EF"/>
    <w:rsid w:val="008C27F2"/>
    <w:rsid w:val="008C2941"/>
    <w:rsid w:val="008C352C"/>
    <w:rsid w:val="008C370E"/>
    <w:rsid w:val="008C378E"/>
    <w:rsid w:val="008C3977"/>
    <w:rsid w:val="008C3C69"/>
    <w:rsid w:val="008C3EFC"/>
    <w:rsid w:val="008C4FD0"/>
    <w:rsid w:val="008C529F"/>
    <w:rsid w:val="008C5409"/>
    <w:rsid w:val="008C5495"/>
    <w:rsid w:val="008C60AA"/>
    <w:rsid w:val="008C60E8"/>
    <w:rsid w:val="008C62C8"/>
    <w:rsid w:val="008C63D4"/>
    <w:rsid w:val="008C686C"/>
    <w:rsid w:val="008C6B3D"/>
    <w:rsid w:val="008C76CE"/>
    <w:rsid w:val="008C7B21"/>
    <w:rsid w:val="008D0A74"/>
    <w:rsid w:val="008D10D1"/>
    <w:rsid w:val="008D1352"/>
    <w:rsid w:val="008D1668"/>
    <w:rsid w:val="008D1896"/>
    <w:rsid w:val="008D1BA8"/>
    <w:rsid w:val="008D1C04"/>
    <w:rsid w:val="008D1E49"/>
    <w:rsid w:val="008D25F0"/>
    <w:rsid w:val="008D2A43"/>
    <w:rsid w:val="008D3663"/>
    <w:rsid w:val="008D3DA9"/>
    <w:rsid w:val="008D440D"/>
    <w:rsid w:val="008D4456"/>
    <w:rsid w:val="008D471F"/>
    <w:rsid w:val="008D5374"/>
    <w:rsid w:val="008D578A"/>
    <w:rsid w:val="008D57A9"/>
    <w:rsid w:val="008D776C"/>
    <w:rsid w:val="008E0083"/>
    <w:rsid w:val="008E09A6"/>
    <w:rsid w:val="008E18AD"/>
    <w:rsid w:val="008E211C"/>
    <w:rsid w:val="008E25ED"/>
    <w:rsid w:val="008E31E7"/>
    <w:rsid w:val="008E3A82"/>
    <w:rsid w:val="008E3D26"/>
    <w:rsid w:val="008E456E"/>
    <w:rsid w:val="008E4980"/>
    <w:rsid w:val="008E4C31"/>
    <w:rsid w:val="008E4DF9"/>
    <w:rsid w:val="008E501A"/>
    <w:rsid w:val="008E5A91"/>
    <w:rsid w:val="008E63B1"/>
    <w:rsid w:val="008E64FA"/>
    <w:rsid w:val="008E6605"/>
    <w:rsid w:val="008E66A3"/>
    <w:rsid w:val="008E66C8"/>
    <w:rsid w:val="008E685A"/>
    <w:rsid w:val="008E694B"/>
    <w:rsid w:val="008E6C4B"/>
    <w:rsid w:val="008E6FF3"/>
    <w:rsid w:val="008E7ABB"/>
    <w:rsid w:val="008E7AFF"/>
    <w:rsid w:val="008E7DEC"/>
    <w:rsid w:val="008F0110"/>
    <w:rsid w:val="008F01F2"/>
    <w:rsid w:val="008F08D1"/>
    <w:rsid w:val="008F097B"/>
    <w:rsid w:val="008F10A9"/>
    <w:rsid w:val="008F2122"/>
    <w:rsid w:val="008F2617"/>
    <w:rsid w:val="008F2C3B"/>
    <w:rsid w:val="008F31A4"/>
    <w:rsid w:val="008F3222"/>
    <w:rsid w:val="008F3970"/>
    <w:rsid w:val="008F3ADF"/>
    <w:rsid w:val="008F4014"/>
    <w:rsid w:val="008F4194"/>
    <w:rsid w:val="008F4875"/>
    <w:rsid w:val="008F4C2E"/>
    <w:rsid w:val="008F549C"/>
    <w:rsid w:val="008F5CC3"/>
    <w:rsid w:val="008F5FFE"/>
    <w:rsid w:val="008F617A"/>
    <w:rsid w:val="008F66D6"/>
    <w:rsid w:val="008F68D7"/>
    <w:rsid w:val="008F6C03"/>
    <w:rsid w:val="008F7120"/>
    <w:rsid w:val="008F7611"/>
    <w:rsid w:val="008F78F9"/>
    <w:rsid w:val="008F7C81"/>
    <w:rsid w:val="008F7E2A"/>
    <w:rsid w:val="0090028B"/>
    <w:rsid w:val="009003AB"/>
    <w:rsid w:val="00901377"/>
    <w:rsid w:val="009023EA"/>
    <w:rsid w:val="00902AAD"/>
    <w:rsid w:val="00903927"/>
    <w:rsid w:val="00903BB5"/>
    <w:rsid w:val="009041B0"/>
    <w:rsid w:val="00904298"/>
    <w:rsid w:val="00904A9B"/>
    <w:rsid w:val="00904AC5"/>
    <w:rsid w:val="00904BCC"/>
    <w:rsid w:val="00904C7A"/>
    <w:rsid w:val="0090527E"/>
    <w:rsid w:val="00905564"/>
    <w:rsid w:val="00905594"/>
    <w:rsid w:val="009056EA"/>
    <w:rsid w:val="00905F2C"/>
    <w:rsid w:val="00906C3D"/>
    <w:rsid w:val="00906EA2"/>
    <w:rsid w:val="009076FC"/>
    <w:rsid w:val="009078B6"/>
    <w:rsid w:val="00907B74"/>
    <w:rsid w:val="00907FA8"/>
    <w:rsid w:val="00907FBC"/>
    <w:rsid w:val="009104BE"/>
    <w:rsid w:val="00910928"/>
    <w:rsid w:val="00910F14"/>
    <w:rsid w:val="00911118"/>
    <w:rsid w:val="00911378"/>
    <w:rsid w:val="00912348"/>
    <w:rsid w:val="00912DC4"/>
    <w:rsid w:val="00913A65"/>
    <w:rsid w:val="00913AF4"/>
    <w:rsid w:val="00914C9C"/>
    <w:rsid w:val="00914EBD"/>
    <w:rsid w:val="00914F59"/>
    <w:rsid w:val="00914FB4"/>
    <w:rsid w:val="0091560D"/>
    <w:rsid w:val="00915BC8"/>
    <w:rsid w:val="00915FCD"/>
    <w:rsid w:val="00916569"/>
    <w:rsid w:val="00916B3C"/>
    <w:rsid w:val="00917D45"/>
    <w:rsid w:val="00917D53"/>
    <w:rsid w:val="00917DF3"/>
    <w:rsid w:val="00920395"/>
    <w:rsid w:val="00920E07"/>
    <w:rsid w:val="009212FA"/>
    <w:rsid w:val="009216A0"/>
    <w:rsid w:val="00921816"/>
    <w:rsid w:val="00921A36"/>
    <w:rsid w:val="00921B46"/>
    <w:rsid w:val="00921BFF"/>
    <w:rsid w:val="00921C56"/>
    <w:rsid w:val="00921C57"/>
    <w:rsid w:val="00921E82"/>
    <w:rsid w:val="00921FB8"/>
    <w:rsid w:val="00922429"/>
    <w:rsid w:val="0092277F"/>
    <w:rsid w:val="009227AA"/>
    <w:rsid w:val="0092341F"/>
    <w:rsid w:val="00923436"/>
    <w:rsid w:val="009235A8"/>
    <w:rsid w:val="00923883"/>
    <w:rsid w:val="0092396D"/>
    <w:rsid w:val="00923AB6"/>
    <w:rsid w:val="009248B4"/>
    <w:rsid w:val="00924A7D"/>
    <w:rsid w:val="00924AC7"/>
    <w:rsid w:val="00924DFE"/>
    <w:rsid w:val="0092509E"/>
    <w:rsid w:val="009253A4"/>
    <w:rsid w:val="00925F25"/>
    <w:rsid w:val="009264A0"/>
    <w:rsid w:val="0092656E"/>
    <w:rsid w:val="00926E57"/>
    <w:rsid w:val="00927652"/>
    <w:rsid w:val="00927722"/>
    <w:rsid w:val="00927B34"/>
    <w:rsid w:val="00927CF8"/>
    <w:rsid w:val="00930F4B"/>
    <w:rsid w:val="0093111E"/>
    <w:rsid w:val="009319AB"/>
    <w:rsid w:val="00931DA1"/>
    <w:rsid w:val="0093219A"/>
    <w:rsid w:val="00932509"/>
    <w:rsid w:val="0093290C"/>
    <w:rsid w:val="00932A4F"/>
    <w:rsid w:val="00932A85"/>
    <w:rsid w:val="009331B3"/>
    <w:rsid w:val="00933568"/>
    <w:rsid w:val="00933F21"/>
    <w:rsid w:val="009340B2"/>
    <w:rsid w:val="00934743"/>
    <w:rsid w:val="0093494C"/>
    <w:rsid w:val="0093546B"/>
    <w:rsid w:val="00935A1A"/>
    <w:rsid w:val="0093683D"/>
    <w:rsid w:val="00936E9E"/>
    <w:rsid w:val="0093703A"/>
    <w:rsid w:val="00937B25"/>
    <w:rsid w:val="00940D81"/>
    <w:rsid w:val="00941275"/>
    <w:rsid w:val="00941580"/>
    <w:rsid w:val="009422C1"/>
    <w:rsid w:val="00943354"/>
    <w:rsid w:val="00943508"/>
    <w:rsid w:val="00943C1D"/>
    <w:rsid w:val="00944BF8"/>
    <w:rsid w:val="00944CF6"/>
    <w:rsid w:val="0094551D"/>
    <w:rsid w:val="00945551"/>
    <w:rsid w:val="00945699"/>
    <w:rsid w:val="0094574D"/>
    <w:rsid w:val="00945B7A"/>
    <w:rsid w:val="00945DE7"/>
    <w:rsid w:val="00945E8B"/>
    <w:rsid w:val="00946297"/>
    <w:rsid w:val="009464E0"/>
    <w:rsid w:val="00946BCD"/>
    <w:rsid w:val="00946D8A"/>
    <w:rsid w:val="00946DE8"/>
    <w:rsid w:val="00946EFC"/>
    <w:rsid w:val="00947041"/>
    <w:rsid w:val="009474EB"/>
    <w:rsid w:val="00947838"/>
    <w:rsid w:val="009478FA"/>
    <w:rsid w:val="00950AF9"/>
    <w:rsid w:val="00950C5A"/>
    <w:rsid w:val="00950F31"/>
    <w:rsid w:val="00951264"/>
    <w:rsid w:val="00951485"/>
    <w:rsid w:val="009516E0"/>
    <w:rsid w:val="00951940"/>
    <w:rsid w:val="00951957"/>
    <w:rsid w:val="00951B19"/>
    <w:rsid w:val="00952858"/>
    <w:rsid w:val="00952954"/>
    <w:rsid w:val="00952AD4"/>
    <w:rsid w:val="00952B23"/>
    <w:rsid w:val="00952CB5"/>
    <w:rsid w:val="00952D61"/>
    <w:rsid w:val="00952F46"/>
    <w:rsid w:val="009533B4"/>
    <w:rsid w:val="00953BBC"/>
    <w:rsid w:val="009545B7"/>
    <w:rsid w:val="00954BA6"/>
    <w:rsid w:val="00954E45"/>
    <w:rsid w:val="009554AD"/>
    <w:rsid w:val="00955F02"/>
    <w:rsid w:val="00956052"/>
    <w:rsid w:val="00957132"/>
    <w:rsid w:val="0095782C"/>
    <w:rsid w:val="00957E6C"/>
    <w:rsid w:val="00957F71"/>
    <w:rsid w:val="0096006B"/>
    <w:rsid w:val="00960BF0"/>
    <w:rsid w:val="00960ECA"/>
    <w:rsid w:val="009611CC"/>
    <w:rsid w:val="00961A4A"/>
    <w:rsid w:val="00961A7F"/>
    <w:rsid w:val="00961E0F"/>
    <w:rsid w:val="00962DF4"/>
    <w:rsid w:val="00963730"/>
    <w:rsid w:val="00963C29"/>
    <w:rsid w:val="00963D0A"/>
    <w:rsid w:val="00963EED"/>
    <w:rsid w:val="00964584"/>
    <w:rsid w:val="00964652"/>
    <w:rsid w:val="00964C5D"/>
    <w:rsid w:val="00965231"/>
    <w:rsid w:val="00965606"/>
    <w:rsid w:val="00965C34"/>
    <w:rsid w:val="00966028"/>
    <w:rsid w:val="009660AA"/>
    <w:rsid w:val="009676B2"/>
    <w:rsid w:val="00967B88"/>
    <w:rsid w:val="00967B89"/>
    <w:rsid w:val="00967C78"/>
    <w:rsid w:val="00967CFC"/>
    <w:rsid w:val="00970D9D"/>
    <w:rsid w:val="00970EBC"/>
    <w:rsid w:val="0097155E"/>
    <w:rsid w:val="00971601"/>
    <w:rsid w:val="00971F57"/>
    <w:rsid w:val="00971F7E"/>
    <w:rsid w:val="00971F98"/>
    <w:rsid w:val="0097203A"/>
    <w:rsid w:val="009720BC"/>
    <w:rsid w:val="0097296F"/>
    <w:rsid w:val="00972B39"/>
    <w:rsid w:val="00972BAB"/>
    <w:rsid w:val="0097301A"/>
    <w:rsid w:val="00973EE0"/>
    <w:rsid w:val="00973FC9"/>
    <w:rsid w:val="00974052"/>
    <w:rsid w:val="00974099"/>
    <w:rsid w:val="00974364"/>
    <w:rsid w:val="00975170"/>
    <w:rsid w:val="009754D0"/>
    <w:rsid w:val="00975E57"/>
    <w:rsid w:val="009763BB"/>
    <w:rsid w:val="00976F55"/>
    <w:rsid w:val="00977C4F"/>
    <w:rsid w:val="009800A8"/>
    <w:rsid w:val="009800E0"/>
    <w:rsid w:val="009803E2"/>
    <w:rsid w:val="00980DFA"/>
    <w:rsid w:val="00980EE4"/>
    <w:rsid w:val="009819C2"/>
    <w:rsid w:val="00981F46"/>
    <w:rsid w:val="00982095"/>
    <w:rsid w:val="00982397"/>
    <w:rsid w:val="00982872"/>
    <w:rsid w:val="00982B9C"/>
    <w:rsid w:val="00982FDB"/>
    <w:rsid w:val="0098301C"/>
    <w:rsid w:val="0098350D"/>
    <w:rsid w:val="0098379D"/>
    <w:rsid w:val="00983930"/>
    <w:rsid w:val="009840F1"/>
    <w:rsid w:val="009844F4"/>
    <w:rsid w:val="009847A0"/>
    <w:rsid w:val="0098498E"/>
    <w:rsid w:val="00984F06"/>
    <w:rsid w:val="00984FD8"/>
    <w:rsid w:val="009851FF"/>
    <w:rsid w:val="00985308"/>
    <w:rsid w:val="00985458"/>
    <w:rsid w:val="0098638E"/>
    <w:rsid w:val="009867A8"/>
    <w:rsid w:val="009875F5"/>
    <w:rsid w:val="00987A95"/>
    <w:rsid w:val="00987FF7"/>
    <w:rsid w:val="009902B0"/>
    <w:rsid w:val="009906A7"/>
    <w:rsid w:val="009906B7"/>
    <w:rsid w:val="009906EC"/>
    <w:rsid w:val="009907C2"/>
    <w:rsid w:val="00990E65"/>
    <w:rsid w:val="009911C7"/>
    <w:rsid w:val="0099167A"/>
    <w:rsid w:val="00991AD0"/>
    <w:rsid w:val="00992803"/>
    <w:rsid w:val="0099281F"/>
    <w:rsid w:val="00992C9F"/>
    <w:rsid w:val="00993AA5"/>
    <w:rsid w:val="00993B4D"/>
    <w:rsid w:val="0099419B"/>
    <w:rsid w:val="00994349"/>
    <w:rsid w:val="00994595"/>
    <w:rsid w:val="00995113"/>
    <w:rsid w:val="009951BD"/>
    <w:rsid w:val="0099522B"/>
    <w:rsid w:val="0099543B"/>
    <w:rsid w:val="00996261"/>
    <w:rsid w:val="00996D94"/>
    <w:rsid w:val="00997495"/>
    <w:rsid w:val="0099790C"/>
    <w:rsid w:val="0099795D"/>
    <w:rsid w:val="009A0BB2"/>
    <w:rsid w:val="009A0F5B"/>
    <w:rsid w:val="009A10E9"/>
    <w:rsid w:val="009A11F6"/>
    <w:rsid w:val="009A1B98"/>
    <w:rsid w:val="009A1C40"/>
    <w:rsid w:val="009A1CC1"/>
    <w:rsid w:val="009A22BC"/>
    <w:rsid w:val="009A2354"/>
    <w:rsid w:val="009A256F"/>
    <w:rsid w:val="009A3724"/>
    <w:rsid w:val="009A398E"/>
    <w:rsid w:val="009A42A4"/>
    <w:rsid w:val="009A4453"/>
    <w:rsid w:val="009A4CB6"/>
    <w:rsid w:val="009A5A01"/>
    <w:rsid w:val="009A5AA6"/>
    <w:rsid w:val="009A61BE"/>
    <w:rsid w:val="009A620B"/>
    <w:rsid w:val="009A622C"/>
    <w:rsid w:val="009A717A"/>
    <w:rsid w:val="009A72A8"/>
    <w:rsid w:val="009A73D4"/>
    <w:rsid w:val="009A7D5F"/>
    <w:rsid w:val="009A7DF7"/>
    <w:rsid w:val="009B0275"/>
    <w:rsid w:val="009B030F"/>
    <w:rsid w:val="009B0370"/>
    <w:rsid w:val="009B03D3"/>
    <w:rsid w:val="009B0784"/>
    <w:rsid w:val="009B0DD3"/>
    <w:rsid w:val="009B1412"/>
    <w:rsid w:val="009B15E9"/>
    <w:rsid w:val="009B1619"/>
    <w:rsid w:val="009B19D3"/>
    <w:rsid w:val="009B229D"/>
    <w:rsid w:val="009B2471"/>
    <w:rsid w:val="009B25A9"/>
    <w:rsid w:val="009B278C"/>
    <w:rsid w:val="009B2814"/>
    <w:rsid w:val="009B2DB1"/>
    <w:rsid w:val="009B339B"/>
    <w:rsid w:val="009B33A1"/>
    <w:rsid w:val="009B388F"/>
    <w:rsid w:val="009B399D"/>
    <w:rsid w:val="009B3B33"/>
    <w:rsid w:val="009B3D82"/>
    <w:rsid w:val="009B3F68"/>
    <w:rsid w:val="009B4188"/>
    <w:rsid w:val="009B46D9"/>
    <w:rsid w:val="009B491C"/>
    <w:rsid w:val="009B572D"/>
    <w:rsid w:val="009B63E6"/>
    <w:rsid w:val="009B64B9"/>
    <w:rsid w:val="009B6515"/>
    <w:rsid w:val="009C0BD0"/>
    <w:rsid w:val="009C1850"/>
    <w:rsid w:val="009C1BBC"/>
    <w:rsid w:val="009C1F9A"/>
    <w:rsid w:val="009C21FC"/>
    <w:rsid w:val="009C23AD"/>
    <w:rsid w:val="009C29B3"/>
    <w:rsid w:val="009C2CDF"/>
    <w:rsid w:val="009C2E21"/>
    <w:rsid w:val="009C3332"/>
    <w:rsid w:val="009C3EE8"/>
    <w:rsid w:val="009C4720"/>
    <w:rsid w:val="009C485E"/>
    <w:rsid w:val="009C49CB"/>
    <w:rsid w:val="009C4A74"/>
    <w:rsid w:val="009C4C9F"/>
    <w:rsid w:val="009C5115"/>
    <w:rsid w:val="009C540D"/>
    <w:rsid w:val="009C58FB"/>
    <w:rsid w:val="009C5D67"/>
    <w:rsid w:val="009C5D7C"/>
    <w:rsid w:val="009C5DAE"/>
    <w:rsid w:val="009C66DA"/>
    <w:rsid w:val="009C6934"/>
    <w:rsid w:val="009C699D"/>
    <w:rsid w:val="009C6A35"/>
    <w:rsid w:val="009C6F03"/>
    <w:rsid w:val="009C773E"/>
    <w:rsid w:val="009C7B71"/>
    <w:rsid w:val="009D00F3"/>
    <w:rsid w:val="009D024D"/>
    <w:rsid w:val="009D0953"/>
    <w:rsid w:val="009D0B92"/>
    <w:rsid w:val="009D1780"/>
    <w:rsid w:val="009D1C51"/>
    <w:rsid w:val="009D2390"/>
    <w:rsid w:val="009D2481"/>
    <w:rsid w:val="009D24E6"/>
    <w:rsid w:val="009D275A"/>
    <w:rsid w:val="009D3B2E"/>
    <w:rsid w:val="009D3CBB"/>
    <w:rsid w:val="009D4064"/>
    <w:rsid w:val="009D4C5D"/>
    <w:rsid w:val="009D4EBB"/>
    <w:rsid w:val="009D53AB"/>
    <w:rsid w:val="009D5655"/>
    <w:rsid w:val="009D5F10"/>
    <w:rsid w:val="009D6194"/>
    <w:rsid w:val="009D624F"/>
    <w:rsid w:val="009D6AE9"/>
    <w:rsid w:val="009D6D72"/>
    <w:rsid w:val="009D6F93"/>
    <w:rsid w:val="009D793F"/>
    <w:rsid w:val="009D7C4F"/>
    <w:rsid w:val="009D7DB3"/>
    <w:rsid w:val="009E004A"/>
    <w:rsid w:val="009E0368"/>
    <w:rsid w:val="009E087D"/>
    <w:rsid w:val="009E0A70"/>
    <w:rsid w:val="009E0BFD"/>
    <w:rsid w:val="009E0EE4"/>
    <w:rsid w:val="009E11F4"/>
    <w:rsid w:val="009E1AD0"/>
    <w:rsid w:val="009E1B7F"/>
    <w:rsid w:val="009E1C0F"/>
    <w:rsid w:val="009E1CD7"/>
    <w:rsid w:val="009E1CE2"/>
    <w:rsid w:val="009E2676"/>
    <w:rsid w:val="009E2738"/>
    <w:rsid w:val="009E294A"/>
    <w:rsid w:val="009E3000"/>
    <w:rsid w:val="009E38E2"/>
    <w:rsid w:val="009E3A5C"/>
    <w:rsid w:val="009E45DE"/>
    <w:rsid w:val="009E479E"/>
    <w:rsid w:val="009E48C9"/>
    <w:rsid w:val="009E5752"/>
    <w:rsid w:val="009E58EB"/>
    <w:rsid w:val="009E672C"/>
    <w:rsid w:val="009E6A3F"/>
    <w:rsid w:val="009E6CE3"/>
    <w:rsid w:val="009E6D74"/>
    <w:rsid w:val="009E6F96"/>
    <w:rsid w:val="009E7A82"/>
    <w:rsid w:val="009E7B93"/>
    <w:rsid w:val="009E7C33"/>
    <w:rsid w:val="009E7EE5"/>
    <w:rsid w:val="009F01B0"/>
    <w:rsid w:val="009F07BD"/>
    <w:rsid w:val="009F3339"/>
    <w:rsid w:val="009F43A8"/>
    <w:rsid w:val="009F4C40"/>
    <w:rsid w:val="009F5ED9"/>
    <w:rsid w:val="009F6388"/>
    <w:rsid w:val="009F7027"/>
    <w:rsid w:val="009F7635"/>
    <w:rsid w:val="009F792A"/>
    <w:rsid w:val="00A000E1"/>
    <w:rsid w:val="00A0015B"/>
    <w:rsid w:val="00A006F2"/>
    <w:rsid w:val="00A0079B"/>
    <w:rsid w:val="00A0082E"/>
    <w:rsid w:val="00A00B82"/>
    <w:rsid w:val="00A00BF8"/>
    <w:rsid w:val="00A00E13"/>
    <w:rsid w:val="00A022AC"/>
    <w:rsid w:val="00A02363"/>
    <w:rsid w:val="00A03081"/>
    <w:rsid w:val="00A03121"/>
    <w:rsid w:val="00A037C0"/>
    <w:rsid w:val="00A0417F"/>
    <w:rsid w:val="00A04216"/>
    <w:rsid w:val="00A04705"/>
    <w:rsid w:val="00A04839"/>
    <w:rsid w:val="00A04DDD"/>
    <w:rsid w:val="00A055DE"/>
    <w:rsid w:val="00A06019"/>
    <w:rsid w:val="00A066E3"/>
    <w:rsid w:val="00A069CD"/>
    <w:rsid w:val="00A06BEB"/>
    <w:rsid w:val="00A06E8C"/>
    <w:rsid w:val="00A07737"/>
    <w:rsid w:val="00A07763"/>
    <w:rsid w:val="00A1046B"/>
    <w:rsid w:val="00A104D1"/>
    <w:rsid w:val="00A10627"/>
    <w:rsid w:val="00A107D7"/>
    <w:rsid w:val="00A10D38"/>
    <w:rsid w:val="00A10EA4"/>
    <w:rsid w:val="00A113AF"/>
    <w:rsid w:val="00A11520"/>
    <w:rsid w:val="00A11B38"/>
    <w:rsid w:val="00A12082"/>
    <w:rsid w:val="00A124B5"/>
    <w:rsid w:val="00A12BF5"/>
    <w:rsid w:val="00A12E93"/>
    <w:rsid w:val="00A132FE"/>
    <w:rsid w:val="00A1417D"/>
    <w:rsid w:val="00A14BC3"/>
    <w:rsid w:val="00A14D5D"/>
    <w:rsid w:val="00A14F91"/>
    <w:rsid w:val="00A15303"/>
    <w:rsid w:val="00A15818"/>
    <w:rsid w:val="00A159E4"/>
    <w:rsid w:val="00A15ABB"/>
    <w:rsid w:val="00A16049"/>
    <w:rsid w:val="00A163EF"/>
    <w:rsid w:val="00A166D6"/>
    <w:rsid w:val="00A179BB"/>
    <w:rsid w:val="00A17C69"/>
    <w:rsid w:val="00A17FA9"/>
    <w:rsid w:val="00A200AD"/>
    <w:rsid w:val="00A2018A"/>
    <w:rsid w:val="00A2126A"/>
    <w:rsid w:val="00A21277"/>
    <w:rsid w:val="00A212E3"/>
    <w:rsid w:val="00A215BE"/>
    <w:rsid w:val="00A2184E"/>
    <w:rsid w:val="00A2190D"/>
    <w:rsid w:val="00A21D00"/>
    <w:rsid w:val="00A22470"/>
    <w:rsid w:val="00A22632"/>
    <w:rsid w:val="00A229FA"/>
    <w:rsid w:val="00A22E97"/>
    <w:rsid w:val="00A2369A"/>
    <w:rsid w:val="00A23906"/>
    <w:rsid w:val="00A23A24"/>
    <w:rsid w:val="00A23E99"/>
    <w:rsid w:val="00A242D8"/>
    <w:rsid w:val="00A24571"/>
    <w:rsid w:val="00A24D2A"/>
    <w:rsid w:val="00A252DA"/>
    <w:rsid w:val="00A25479"/>
    <w:rsid w:val="00A25748"/>
    <w:rsid w:val="00A25B29"/>
    <w:rsid w:val="00A25FB4"/>
    <w:rsid w:val="00A2644E"/>
    <w:rsid w:val="00A2695D"/>
    <w:rsid w:val="00A269CA"/>
    <w:rsid w:val="00A27932"/>
    <w:rsid w:val="00A301F6"/>
    <w:rsid w:val="00A3090C"/>
    <w:rsid w:val="00A30975"/>
    <w:rsid w:val="00A31423"/>
    <w:rsid w:val="00A31C98"/>
    <w:rsid w:val="00A31CE6"/>
    <w:rsid w:val="00A3271D"/>
    <w:rsid w:val="00A3280B"/>
    <w:rsid w:val="00A32C43"/>
    <w:rsid w:val="00A33428"/>
    <w:rsid w:val="00A33674"/>
    <w:rsid w:val="00A33A2E"/>
    <w:rsid w:val="00A33AF2"/>
    <w:rsid w:val="00A33DC0"/>
    <w:rsid w:val="00A34785"/>
    <w:rsid w:val="00A3553B"/>
    <w:rsid w:val="00A35AA6"/>
    <w:rsid w:val="00A35B9D"/>
    <w:rsid w:val="00A35FF8"/>
    <w:rsid w:val="00A36110"/>
    <w:rsid w:val="00A36423"/>
    <w:rsid w:val="00A36937"/>
    <w:rsid w:val="00A36DC4"/>
    <w:rsid w:val="00A36E68"/>
    <w:rsid w:val="00A37B41"/>
    <w:rsid w:val="00A37DD1"/>
    <w:rsid w:val="00A37F01"/>
    <w:rsid w:val="00A40997"/>
    <w:rsid w:val="00A40E9E"/>
    <w:rsid w:val="00A410E5"/>
    <w:rsid w:val="00A41A49"/>
    <w:rsid w:val="00A41B3E"/>
    <w:rsid w:val="00A420C2"/>
    <w:rsid w:val="00A4212A"/>
    <w:rsid w:val="00A427D6"/>
    <w:rsid w:val="00A430E9"/>
    <w:rsid w:val="00A43CC1"/>
    <w:rsid w:val="00A440B6"/>
    <w:rsid w:val="00A4477E"/>
    <w:rsid w:val="00A44B8A"/>
    <w:rsid w:val="00A44D99"/>
    <w:rsid w:val="00A45201"/>
    <w:rsid w:val="00A45203"/>
    <w:rsid w:val="00A453ED"/>
    <w:rsid w:val="00A46151"/>
    <w:rsid w:val="00A46438"/>
    <w:rsid w:val="00A46516"/>
    <w:rsid w:val="00A46DB8"/>
    <w:rsid w:val="00A47273"/>
    <w:rsid w:val="00A4779D"/>
    <w:rsid w:val="00A47810"/>
    <w:rsid w:val="00A47D94"/>
    <w:rsid w:val="00A47DE2"/>
    <w:rsid w:val="00A47E93"/>
    <w:rsid w:val="00A51AC1"/>
    <w:rsid w:val="00A5276D"/>
    <w:rsid w:val="00A53317"/>
    <w:rsid w:val="00A53398"/>
    <w:rsid w:val="00A53D05"/>
    <w:rsid w:val="00A53EAC"/>
    <w:rsid w:val="00A54D7D"/>
    <w:rsid w:val="00A54EDA"/>
    <w:rsid w:val="00A54F98"/>
    <w:rsid w:val="00A550DC"/>
    <w:rsid w:val="00A555E2"/>
    <w:rsid w:val="00A55BA9"/>
    <w:rsid w:val="00A55BB8"/>
    <w:rsid w:val="00A56993"/>
    <w:rsid w:val="00A56FFE"/>
    <w:rsid w:val="00A571D8"/>
    <w:rsid w:val="00A578D4"/>
    <w:rsid w:val="00A579E9"/>
    <w:rsid w:val="00A57A1D"/>
    <w:rsid w:val="00A57F14"/>
    <w:rsid w:val="00A6025E"/>
    <w:rsid w:val="00A60D1C"/>
    <w:rsid w:val="00A610D1"/>
    <w:rsid w:val="00A612FE"/>
    <w:rsid w:val="00A61304"/>
    <w:rsid w:val="00A613B9"/>
    <w:rsid w:val="00A613FC"/>
    <w:rsid w:val="00A6173E"/>
    <w:rsid w:val="00A6180F"/>
    <w:rsid w:val="00A61CC7"/>
    <w:rsid w:val="00A6278E"/>
    <w:rsid w:val="00A629AC"/>
    <w:rsid w:val="00A62D27"/>
    <w:rsid w:val="00A62D57"/>
    <w:rsid w:val="00A63494"/>
    <w:rsid w:val="00A648C0"/>
    <w:rsid w:val="00A64E90"/>
    <w:rsid w:val="00A64EAC"/>
    <w:rsid w:val="00A65BF6"/>
    <w:rsid w:val="00A66211"/>
    <w:rsid w:val="00A663FC"/>
    <w:rsid w:val="00A66E51"/>
    <w:rsid w:val="00A676C5"/>
    <w:rsid w:val="00A706BE"/>
    <w:rsid w:val="00A70839"/>
    <w:rsid w:val="00A70B52"/>
    <w:rsid w:val="00A71B73"/>
    <w:rsid w:val="00A71FD1"/>
    <w:rsid w:val="00A7200B"/>
    <w:rsid w:val="00A721FF"/>
    <w:rsid w:val="00A729AE"/>
    <w:rsid w:val="00A72BC7"/>
    <w:rsid w:val="00A72D60"/>
    <w:rsid w:val="00A72F3D"/>
    <w:rsid w:val="00A7374E"/>
    <w:rsid w:val="00A737B9"/>
    <w:rsid w:val="00A73A4D"/>
    <w:rsid w:val="00A73BAD"/>
    <w:rsid w:val="00A73C06"/>
    <w:rsid w:val="00A73F9E"/>
    <w:rsid w:val="00A7436C"/>
    <w:rsid w:val="00A743B9"/>
    <w:rsid w:val="00A75179"/>
    <w:rsid w:val="00A75718"/>
    <w:rsid w:val="00A75C2F"/>
    <w:rsid w:val="00A76CD6"/>
    <w:rsid w:val="00A76EE8"/>
    <w:rsid w:val="00A7728B"/>
    <w:rsid w:val="00A77D59"/>
    <w:rsid w:val="00A80F41"/>
    <w:rsid w:val="00A81228"/>
    <w:rsid w:val="00A81294"/>
    <w:rsid w:val="00A8146C"/>
    <w:rsid w:val="00A81CEB"/>
    <w:rsid w:val="00A82146"/>
    <w:rsid w:val="00A82168"/>
    <w:rsid w:val="00A821A1"/>
    <w:rsid w:val="00A8254A"/>
    <w:rsid w:val="00A827A4"/>
    <w:rsid w:val="00A829BF"/>
    <w:rsid w:val="00A82B4E"/>
    <w:rsid w:val="00A840FD"/>
    <w:rsid w:val="00A85134"/>
    <w:rsid w:val="00A8598E"/>
    <w:rsid w:val="00A8613C"/>
    <w:rsid w:val="00A8623D"/>
    <w:rsid w:val="00A865BA"/>
    <w:rsid w:val="00A8666C"/>
    <w:rsid w:val="00A86B94"/>
    <w:rsid w:val="00A87B77"/>
    <w:rsid w:val="00A90191"/>
    <w:rsid w:val="00A90943"/>
    <w:rsid w:val="00A9096A"/>
    <w:rsid w:val="00A90B9F"/>
    <w:rsid w:val="00A90D00"/>
    <w:rsid w:val="00A911E0"/>
    <w:rsid w:val="00A91FAE"/>
    <w:rsid w:val="00A930B9"/>
    <w:rsid w:val="00A93753"/>
    <w:rsid w:val="00A94FE1"/>
    <w:rsid w:val="00A952D2"/>
    <w:rsid w:val="00A954BA"/>
    <w:rsid w:val="00A9579A"/>
    <w:rsid w:val="00A95D6E"/>
    <w:rsid w:val="00A96010"/>
    <w:rsid w:val="00A9647F"/>
    <w:rsid w:val="00A97366"/>
    <w:rsid w:val="00A97404"/>
    <w:rsid w:val="00A977F1"/>
    <w:rsid w:val="00A97D30"/>
    <w:rsid w:val="00A97F14"/>
    <w:rsid w:val="00AA0B40"/>
    <w:rsid w:val="00AA10EC"/>
    <w:rsid w:val="00AA1191"/>
    <w:rsid w:val="00AA19F0"/>
    <w:rsid w:val="00AA1BE3"/>
    <w:rsid w:val="00AA1C90"/>
    <w:rsid w:val="00AA30A9"/>
    <w:rsid w:val="00AA31B9"/>
    <w:rsid w:val="00AA31E2"/>
    <w:rsid w:val="00AA3587"/>
    <w:rsid w:val="00AA4455"/>
    <w:rsid w:val="00AA4F3B"/>
    <w:rsid w:val="00AA50CF"/>
    <w:rsid w:val="00AA5604"/>
    <w:rsid w:val="00AA6393"/>
    <w:rsid w:val="00AA6819"/>
    <w:rsid w:val="00AA6EA3"/>
    <w:rsid w:val="00AA7B89"/>
    <w:rsid w:val="00AB0D6E"/>
    <w:rsid w:val="00AB0D91"/>
    <w:rsid w:val="00AB14E6"/>
    <w:rsid w:val="00AB1533"/>
    <w:rsid w:val="00AB16E8"/>
    <w:rsid w:val="00AB176E"/>
    <w:rsid w:val="00AB1B2C"/>
    <w:rsid w:val="00AB2250"/>
    <w:rsid w:val="00AB249E"/>
    <w:rsid w:val="00AB2527"/>
    <w:rsid w:val="00AB2786"/>
    <w:rsid w:val="00AB2F0D"/>
    <w:rsid w:val="00AB2FEC"/>
    <w:rsid w:val="00AB35C3"/>
    <w:rsid w:val="00AB38B7"/>
    <w:rsid w:val="00AB3B22"/>
    <w:rsid w:val="00AB421C"/>
    <w:rsid w:val="00AB45E2"/>
    <w:rsid w:val="00AB4876"/>
    <w:rsid w:val="00AB4A3C"/>
    <w:rsid w:val="00AB4F3D"/>
    <w:rsid w:val="00AB50A8"/>
    <w:rsid w:val="00AB57B9"/>
    <w:rsid w:val="00AB5F0C"/>
    <w:rsid w:val="00AB60A4"/>
    <w:rsid w:val="00AB62D1"/>
    <w:rsid w:val="00AB64AD"/>
    <w:rsid w:val="00AB656A"/>
    <w:rsid w:val="00AB6676"/>
    <w:rsid w:val="00AB703F"/>
    <w:rsid w:val="00AC039F"/>
    <w:rsid w:val="00AC042A"/>
    <w:rsid w:val="00AC17B5"/>
    <w:rsid w:val="00AC1FF1"/>
    <w:rsid w:val="00AC2009"/>
    <w:rsid w:val="00AC246D"/>
    <w:rsid w:val="00AC2836"/>
    <w:rsid w:val="00AC3A36"/>
    <w:rsid w:val="00AC421F"/>
    <w:rsid w:val="00AC43FB"/>
    <w:rsid w:val="00AC4535"/>
    <w:rsid w:val="00AC48F0"/>
    <w:rsid w:val="00AC4B3B"/>
    <w:rsid w:val="00AC4E6B"/>
    <w:rsid w:val="00AC61C5"/>
    <w:rsid w:val="00AC6407"/>
    <w:rsid w:val="00AC6FA4"/>
    <w:rsid w:val="00AC7025"/>
    <w:rsid w:val="00AC7EFD"/>
    <w:rsid w:val="00AD0105"/>
    <w:rsid w:val="00AD02CD"/>
    <w:rsid w:val="00AD076F"/>
    <w:rsid w:val="00AD0879"/>
    <w:rsid w:val="00AD0CCB"/>
    <w:rsid w:val="00AD0CE0"/>
    <w:rsid w:val="00AD0E30"/>
    <w:rsid w:val="00AD0FAE"/>
    <w:rsid w:val="00AD138D"/>
    <w:rsid w:val="00AD13CF"/>
    <w:rsid w:val="00AD142F"/>
    <w:rsid w:val="00AD14ED"/>
    <w:rsid w:val="00AD1D18"/>
    <w:rsid w:val="00AD2258"/>
    <w:rsid w:val="00AD25A0"/>
    <w:rsid w:val="00AD2782"/>
    <w:rsid w:val="00AD2CC2"/>
    <w:rsid w:val="00AD2D75"/>
    <w:rsid w:val="00AD3D5C"/>
    <w:rsid w:val="00AD4514"/>
    <w:rsid w:val="00AD5010"/>
    <w:rsid w:val="00AD52AE"/>
    <w:rsid w:val="00AD5884"/>
    <w:rsid w:val="00AD5BC1"/>
    <w:rsid w:val="00AD62D5"/>
    <w:rsid w:val="00AD7285"/>
    <w:rsid w:val="00AD7537"/>
    <w:rsid w:val="00AE0D1E"/>
    <w:rsid w:val="00AE0D5D"/>
    <w:rsid w:val="00AE0E9E"/>
    <w:rsid w:val="00AE15B2"/>
    <w:rsid w:val="00AE17CA"/>
    <w:rsid w:val="00AE194D"/>
    <w:rsid w:val="00AE1A57"/>
    <w:rsid w:val="00AE1C42"/>
    <w:rsid w:val="00AE1F5A"/>
    <w:rsid w:val="00AE2780"/>
    <w:rsid w:val="00AE2BC3"/>
    <w:rsid w:val="00AE3112"/>
    <w:rsid w:val="00AE3184"/>
    <w:rsid w:val="00AE3272"/>
    <w:rsid w:val="00AE34D0"/>
    <w:rsid w:val="00AE361B"/>
    <w:rsid w:val="00AE36D5"/>
    <w:rsid w:val="00AE3747"/>
    <w:rsid w:val="00AE3CAC"/>
    <w:rsid w:val="00AE3D7D"/>
    <w:rsid w:val="00AE3FC9"/>
    <w:rsid w:val="00AE400E"/>
    <w:rsid w:val="00AE4133"/>
    <w:rsid w:val="00AE50E1"/>
    <w:rsid w:val="00AE50F3"/>
    <w:rsid w:val="00AE5555"/>
    <w:rsid w:val="00AE5630"/>
    <w:rsid w:val="00AE56BC"/>
    <w:rsid w:val="00AE5815"/>
    <w:rsid w:val="00AE5CDA"/>
    <w:rsid w:val="00AE630B"/>
    <w:rsid w:val="00AE7098"/>
    <w:rsid w:val="00AE741F"/>
    <w:rsid w:val="00AE747E"/>
    <w:rsid w:val="00AE7731"/>
    <w:rsid w:val="00AF053C"/>
    <w:rsid w:val="00AF058F"/>
    <w:rsid w:val="00AF0B1A"/>
    <w:rsid w:val="00AF0D79"/>
    <w:rsid w:val="00AF0EA1"/>
    <w:rsid w:val="00AF1100"/>
    <w:rsid w:val="00AF1647"/>
    <w:rsid w:val="00AF24E2"/>
    <w:rsid w:val="00AF24FB"/>
    <w:rsid w:val="00AF2890"/>
    <w:rsid w:val="00AF2E87"/>
    <w:rsid w:val="00AF35B0"/>
    <w:rsid w:val="00AF37BB"/>
    <w:rsid w:val="00AF39FD"/>
    <w:rsid w:val="00AF3E75"/>
    <w:rsid w:val="00AF3F0B"/>
    <w:rsid w:val="00AF4DD0"/>
    <w:rsid w:val="00AF5FC1"/>
    <w:rsid w:val="00AF63CB"/>
    <w:rsid w:val="00AF6777"/>
    <w:rsid w:val="00AF6F2D"/>
    <w:rsid w:val="00AF764D"/>
    <w:rsid w:val="00AF77FC"/>
    <w:rsid w:val="00AF7C1B"/>
    <w:rsid w:val="00B006B7"/>
    <w:rsid w:val="00B0089F"/>
    <w:rsid w:val="00B0097C"/>
    <w:rsid w:val="00B00A8E"/>
    <w:rsid w:val="00B00B5B"/>
    <w:rsid w:val="00B00F63"/>
    <w:rsid w:val="00B00FF4"/>
    <w:rsid w:val="00B01575"/>
    <w:rsid w:val="00B01603"/>
    <w:rsid w:val="00B0199C"/>
    <w:rsid w:val="00B01D73"/>
    <w:rsid w:val="00B01DFB"/>
    <w:rsid w:val="00B020FF"/>
    <w:rsid w:val="00B022DE"/>
    <w:rsid w:val="00B02A90"/>
    <w:rsid w:val="00B032F2"/>
    <w:rsid w:val="00B03C76"/>
    <w:rsid w:val="00B03CA2"/>
    <w:rsid w:val="00B03EAA"/>
    <w:rsid w:val="00B041E8"/>
    <w:rsid w:val="00B046FB"/>
    <w:rsid w:val="00B04D90"/>
    <w:rsid w:val="00B05086"/>
    <w:rsid w:val="00B05362"/>
    <w:rsid w:val="00B059FF"/>
    <w:rsid w:val="00B05AB0"/>
    <w:rsid w:val="00B05C26"/>
    <w:rsid w:val="00B05D46"/>
    <w:rsid w:val="00B05D7C"/>
    <w:rsid w:val="00B05F30"/>
    <w:rsid w:val="00B0695B"/>
    <w:rsid w:val="00B0745F"/>
    <w:rsid w:val="00B07557"/>
    <w:rsid w:val="00B07FCD"/>
    <w:rsid w:val="00B104D9"/>
    <w:rsid w:val="00B109D2"/>
    <w:rsid w:val="00B10E32"/>
    <w:rsid w:val="00B11C06"/>
    <w:rsid w:val="00B11FDD"/>
    <w:rsid w:val="00B1277B"/>
    <w:rsid w:val="00B12BB4"/>
    <w:rsid w:val="00B12D71"/>
    <w:rsid w:val="00B12E94"/>
    <w:rsid w:val="00B13380"/>
    <w:rsid w:val="00B13768"/>
    <w:rsid w:val="00B13B7A"/>
    <w:rsid w:val="00B13C11"/>
    <w:rsid w:val="00B13DE3"/>
    <w:rsid w:val="00B149FB"/>
    <w:rsid w:val="00B14A2A"/>
    <w:rsid w:val="00B14AE0"/>
    <w:rsid w:val="00B14F11"/>
    <w:rsid w:val="00B1647A"/>
    <w:rsid w:val="00B16563"/>
    <w:rsid w:val="00B1705F"/>
    <w:rsid w:val="00B17594"/>
    <w:rsid w:val="00B179DC"/>
    <w:rsid w:val="00B20162"/>
    <w:rsid w:val="00B2093E"/>
    <w:rsid w:val="00B2130F"/>
    <w:rsid w:val="00B21402"/>
    <w:rsid w:val="00B2142E"/>
    <w:rsid w:val="00B215D7"/>
    <w:rsid w:val="00B21905"/>
    <w:rsid w:val="00B21C0F"/>
    <w:rsid w:val="00B2248F"/>
    <w:rsid w:val="00B225E2"/>
    <w:rsid w:val="00B22617"/>
    <w:rsid w:val="00B22714"/>
    <w:rsid w:val="00B2308F"/>
    <w:rsid w:val="00B23736"/>
    <w:rsid w:val="00B237A7"/>
    <w:rsid w:val="00B2381A"/>
    <w:rsid w:val="00B239D8"/>
    <w:rsid w:val="00B23A30"/>
    <w:rsid w:val="00B23A83"/>
    <w:rsid w:val="00B23FDD"/>
    <w:rsid w:val="00B24197"/>
    <w:rsid w:val="00B242AD"/>
    <w:rsid w:val="00B244B1"/>
    <w:rsid w:val="00B24601"/>
    <w:rsid w:val="00B24A5E"/>
    <w:rsid w:val="00B24E81"/>
    <w:rsid w:val="00B24EFB"/>
    <w:rsid w:val="00B251A2"/>
    <w:rsid w:val="00B25AAA"/>
    <w:rsid w:val="00B25D69"/>
    <w:rsid w:val="00B25D98"/>
    <w:rsid w:val="00B25DE8"/>
    <w:rsid w:val="00B264F7"/>
    <w:rsid w:val="00B26E7C"/>
    <w:rsid w:val="00B2758C"/>
    <w:rsid w:val="00B27F1E"/>
    <w:rsid w:val="00B3014F"/>
    <w:rsid w:val="00B302E8"/>
    <w:rsid w:val="00B3057B"/>
    <w:rsid w:val="00B3063B"/>
    <w:rsid w:val="00B308EB"/>
    <w:rsid w:val="00B3152B"/>
    <w:rsid w:val="00B31B47"/>
    <w:rsid w:val="00B31BF1"/>
    <w:rsid w:val="00B31D1E"/>
    <w:rsid w:val="00B32734"/>
    <w:rsid w:val="00B3281A"/>
    <w:rsid w:val="00B33304"/>
    <w:rsid w:val="00B339C4"/>
    <w:rsid w:val="00B33A5D"/>
    <w:rsid w:val="00B33CB4"/>
    <w:rsid w:val="00B342CF"/>
    <w:rsid w:val="00B34706"/>
    <w:rsid w:val="00B347E8"/>
    <w:rsid w:val="00B349CC"/>
    <w:rsid w:val="00B34A5E"/>
    <w:rsid w:val="00B35BB6"/>
    <w:rsid w:val="00B35E68"/>
    <w:rsid w:val="00B364F8"/>
    <w:rsid w:val="00B3662C"/>
    <w:rsid w:val="00B367D1"/>
    <w:rsid w:val="00B36D14"/>
    <w:rsid w:val="00B36D3D"/>
    <w:rsid w:val="00B36FD0"/>
    <w:rsid w:val="00B37082"/>
    <w:rsid w:val="00B37A41"/>
    <w:rsid w:val="00B37CB2"/>
    <w:rsid w:val="00B37F5D"/>
    <w:rsid w:val="00B40468"/>
    <w:rsid w:val="00B40697"/>
    <w:rsid w:val="00B40C69"/>
    <w:rsid w:val="00B40F9E"/>
    <w:rsid w:val="00B418BB"/>
    <w:rsid w:val="00B41E83"/>
    <w:rsid w:val="00B42821"/>
    <w:rsid w:val="00B42844"/>
    <w:rsid w:val="00B42CC5"/>
    <w:rsid w:val="00B42F18"/>
    <w:rsid w:val="00B430F4"/>
    <w:rsid w:val="00B43769"/>
    <w:rsid w:val="00B43845"/>
    <w:rsid w:val="00B44437"/>
    <w:rsid w:val="00B445FE"/>
    <w:rsid w:val="00B446E6"/>
    <w:rsid w:val="00B44E57"/>
    <w:rsid w:val="00B44ED9"/>
    <w:rsid w:val="00B4524D"/>
    <w:rsid w:val="00B452C9"/>
    <w:rsid w:val="00B455E8"/>
    <w:rsid w:val="00B466C0"/>
    <w:rsid w:val="00B46739"/>
    <w:rsid w:val="00B46CEE"/>
    <w:rsid w:val="00B47957"/>
    <w:rsid w:val="00B47E24"/>
    <w:rsid w:val="00B50E52"/>
    <w:rsid w:val="00B5185F"/>
    <w:rsid w:val="00B52230"/>
    <w:rsid w:val="00B52AF4"/>
    <w:rsid w:val="00B53299"/>
    <w:rsid w:val="00B53CE1"/>
    <w:rsid w:val="00B54266"/>
    <w:rsid w:val="00B54615"/>
    <w:rsid w:val="00B5528C"/>
    <w:rsid w:val="00B55322"/>
    <w:rsid w:val="00B55CBB"/>
    <w:rsid w:val="00B55EAE"/>
    <w:rsid w:val="00B55EF4"/>
    <w:rsid w:val="00B5674C"/>
    <w:rsid w:val="00B5749B"/>
    <w:rsid w:val="00B575C9"/>
    <w:rsid w:val="00B60812"/>
    <w:rsid w:val="00B60855"/>
    <w:rsid w:val="00B60DF3"/>
    <w:rsid w:val="00B61191"/>
    <w:rsid w:val="00B615E0"/>
    <w:rsid w:val="00B61A8C"/>
    <w:rsid w:val="00B622C9"/>
    <w:rsid w:val="00B6234B"/>
    <w:rsid w:val="00B624D4"/>
    <w:rsid w:val="00B6258E"/>
    <w:rsid w:val="00B62630"/>
    <w:rsid w:val="00B629D4"/>
    <w:rsid w:val="00B62AD0"/>
    <w:rsid w:val="00B62D5C"/>
    <w:rsid w:val="00B6368C"/>
    <w:rsid w:val="00B63C91"/>
    <w:rsid w:val="00B64DE0"/>
    <w:rsid w:val="00B64FBC"/>
    <w:rsid w:val="00B65005"/>
    <w:rsid w:val="00B650F7"/>
    <w:rsid w:val="00B65186"/>
    <w:rsid w:val="00B65F18"/>
    <w:rsid w:val="00B66986"/>
    <w:rsid w:val="00B66B43"/>
    <w:rsid w:val="00B66CA2"/>
    <w:rsid w:val="00B67051"/>
    <w:rsid w:val="00B67791"/>
    <w:rsid w:val="00B67E5F"/>
    <w:rsid w:val="00B70065"/>
    <w:rsid w:val="00B7044A"/>
    <w:rsid w:val="00B706C1"/>
    <w:rsid w:val="00B7076F"/>
    <w:rsid w:val="00B70DBA"/>
    <w:rsid w:val="00B70F8E"/>
    <w:rsid w:val="00B7122C"/>
    <w:rsid w:val="00B712F2"/>
    <w:rsid w:val="00B71AD4"/>
    <w:rsid w:val="00B71CF5"/>
    <w:rsid w:val="00B71DC5"/>
    <w:rsid w:val="00B72002"/>
    <w:rsid w:val="00B722CD"/>
    <w:rsid w:val="00B72AC9"/>
    <w:rsid w:val="00B73649"/>
    <w:rsid w:val="00B73699"/>
    <w:rsid w:val="00B7431A"/>
    <w:rsid w:val="00B752E2"/>
    <w:rsid w:val="00B75566"/>
    <w:rsid w:val="00B758DF"/>
    <w:rsid w:val="00B7596C"/>
    <w:rsid w:val="00B75A2E"/>
    <w:rsid w:val="00B75AF4"/>
    <w:rsid w:val="00B75F0C"/>
    <w:rsid w:val="00B770CA"/>
    <w:rsid w:val="00B77122"/>
    <w:rsid w:val="00B77901"/>
    <w:rsid w:val="00B80022"/>
    <w:rsid w:val="00B801C8"/>
    <w:rsid w:val="00B803B9"/>
    <w:rsid w:val="00B8045C"/>
    <w:rsid w:val="00B806E9"/>
    <w:rsid w:val="00B80FF2"/>
    <w:rsid w:val="00B81386"/>
    <w:rsid w:val="00B818C0"/>
    <w:rsid w:val="00B81C0A"/>
    <w:rsid w:val="00B81F08"/>
    <w:rsid w:val="00B81FD3"/>
    <w:rsid w:val="00B82087"/>
    <w:rsid w:val="00B822AF"/>
    <w:rsid w:val="00B82A2F"/>
    <w:rsid w:val="00B82B3B"/>
    <w:rsid w:val="00B82BF5"/>
    <w:rsid w:val="00B82CC2"/>
    <w:rsid w:val="00B82D33"/>
    <w:rsid w:val="00B832B2"/>
    <w:rsid w:val="00B83626"/>
    <w:rsid w:val="00B83B26"/>
    <w:rsid w:val="00B83DA7"/>
    <w:rsid w:val="00B84FE1"/>
    <w:rsid w:val="00B8508B"/>
    <w:rsid w:val="00B850A7"/>
    <w:rsid w:val="00B854F8"/>
    <w:rsid w:val="00B85638"/>
    <w:rsid w:val="00B85BEB"/>
    <w:rsid w:val="00B85FF8"/>
    <w:rsid w:val="00B869D8"/>
    <w:rsid w:val="00B86EC7"/>
    <w:rsid w:val="00B87119"/>
    <w:rsid w:val="00B877E1"/>
    <w:rsid w:val="00B87919"/>
    <w:rsid w:val="00B90224"/>
    <w:rsid w:val="00B902EE"/>
    <w:rsid w:val="00B904CF"/>
    <w:rsid w:val="00B908DF"/>
    <w:rsid w:val="00B910AA"/>
    <w:rsid w:val="00B91157"/>
    <w:rsid w:val="00B9188B"/>
    <w:rsid w:val="00B91BC8"/>
    <w:rsid w:val="00B91DFE"/>
    <w:rsid w:val="00B92463"/>
    <w:rsid w:val="00B926C3"/>
    <w:rsid w:val="00B9320D"/>
    <w:rsid w:val="00B93381"/>
    <w:rsid w:val="00B93BED"/>
    <w:rsid w:val="00B93EA7"/>
    <w:rsid w:val="00B94289"/>
    <w:rsid w:val="00B94778"/>
    <w:rsid w:val="00B94B54"/>
    <w:rsid w:val="00B95376"/>
    <w:rsid w:val="00B9575E"/>
    <w:rsid w:val="00B95A46"/>
    <w:rsid w:val="00B95CDE"/>
    <w:rsid w:val="00B95FDB"/>
    <w:rsid w:val="00B960EB"/>
    <w:rsid w:val="00B968FC"/>
    <w:rsid w:val="00B96A2B"/>
    <w:rsid w:val="00BA0724"/>
    <w:rsid w:val="00BA0931"/>
    <w:rsid w:val="00BA0E85"/>
    <w:rsid w:val="00BA13D5"/>
    <w:rsid w:val="00BA220E"/>
    <w:rsid w:val="00BA25AC"/>
    <w:rsid w:val="00BA2925"/>
    <w:rsid w:val="00BA2B6A"/>
    <w:rsid w:val="00BA3126"/>
    <w:rsid w:val="00BA407E"/>
    <w:rsid w:val="00BA4430"/>
    <w:rsid w:val="00BA4BAB"/>
    <w:rsid w:val="00BA5031"/>
    <w:rsid w:val="00BA51C2"/>
    <w:rsid w:val="00BA51FF"/>
    <w:rsid w:val="00BA5325"/>
    <w:rsid w:val="00BA59D6"/>
    <w:rsid w:val="00BA5F1C"/>
    <w:rsid w:val="00BA60CA"/>
    <w:rsid w:val="00BA66DA"/>
    <w:rsid w:val="00BA671D"/>
    <w:rsid w:val="00BA683F"/>
    <w:rsid w:val="00BA7139"/>
    <w:rsid w:val="00BA75C2"/>
    <w:rsid w:val="00BA7602"/>
    <w:rsid w:val="00BA7741"/>
    <w:rsid w:val="00BA7823"/>
    <w:rsid w:val="00BA7FC7"/>
    <w:rsid w:val="00BB0863"/>
    <w:rsid w:val="00BB0BE2"/>
    <w:rsid w:val="00BB0C8E"/>
    <w:rsid w:val="00BB16D0"/>
    <w:rsid w:val="00BB1BE3"/>
    <w:rsid w:val="00BB2427"/>
    <w:rsid w:val="00BB3BE7"/>
    <w:rsid w:val="00BB3BF6"/>
    <w:rsid w:val="00BB3E9B"/>
    <w:rsid w:val="00BB4666"/>
    <w:rsid w:val="00BB4979"/>
    <w:rsid w:val="00BB535C"/>
    <w:rsid w:val="00BB67B1"/>
    <w:rsid w:val="00BB6B5F"/>
    <w:rsid w:val="00BB6C2E"/>
    <w:rsid w:val="00BB6E43"/>
    <w:rsid w:val="00BB7219"/>
    <w:rsid w:val="00BB7241"/>
    <w:rsid w:val="00BB7747"/>
    <w:rsid w:val="00BC01DA"/>
    <w:rsid w:val="00BC07CD"/>
    <w:rsid w:val="00BC0CEA"/>
    <w:rsid w:val="00BC0D29"/>
    <w:rsid w:val="00BC1165"/>
    <w:rsid w:val="00BC16AF"/>
    <w:rsid w:val="00BC1B82"/>
    <w:rsid w:val="00BC1D95"/>
    <w:rsid w:val="00BC20B5"/>
    <w:rsid w:val="00BC29E0"/>
    <w:rsid w:val="00BC3528"/>
    <w:rsid w:val="00BC3DEC"/>
    <w:rsid w:val="00BC422C"/>
    <w:rsid w:val="00BC4552"/>
    <w:rsid w:val="00BC48F8"/>
    <w:rsid w:val="00BC5442"/>
    <w:rsid w:val="00BC5D16"/>
    <w:rsid w:val="00BC627F"/>
    <w:rsid w:val="00BC642A"/>
    <w:rsid w:val="00BC667E"/>
    <w:rsid w:val="00BC67B9"/>
    <w:rsid w:val="00BC68E9"/>
    <w:rsid w:val="00BC696F"/>
    <w:rsid w:val="00BC697B"/>
    <w:rsid w:val="00BC76AD"/>
    <w:rsid w:val="00BC7DB5"/>
    <w:rsid w:val="00BD09EB"/>
    <w:rsid w:val="00BD0F28"/>
    <w:rsid w:val="00BD14C2"/>
    <w:rsid w:val="00BD1600"/>
    <w:rsid w:val="00BD182F"/>
    <w:rsid w:val="00BD1B13"/>
    <w:rsid w:val="00BD1D09"/>
    <w:rsid w:val="00BD1FD5"/>
    <w:rsid w:val="00BD24AF"/>
    <w:rsid w:val="00BD312B"/>
    <w:rsid w:val="00BD3496"/>
    <w:rsid w:val="00BD37BF"/>
    <w:rsid w:val="00BD3A94"/>
    <w:rsid w:val="00BD3C11"/>
    <w:rsid w:val="00BD46C1"/>
    <w:rsid w:val="00BD480F"/>
    <w:rsid w:val="00BD486B"/>
    <w:rsid w:val="00BD4A47"/>
    <w:rsid w:val="00BD5304"/>
    <w:rsid w:val="00BD5AF8"/>
    <w:rsid w:val="00BD5C0E"/>
    <w:rsid w:val="00BD60B6"/>
    <w:rsid w:val="00BD6663"/>
    <w:rsid w:val="00BD6C46"/>
    <w:rsid w:val="00BD6F49"/>
    <w:rsid w:val="00BD70CE"/>
    <w:rsid w:val="00BD729E"/>
    <w:rsid w:val="00BE0336"/>
    <w:rsid w:val="00BE0FE3"/>
    <w:rsid w:val="00BE13EC"/>
    <w:rsid w:val="00BE17E4"/>
    <w:rsid w:val="00BE19ED"/>
    <w:rsid w:val="00BE1CA4"/>
    <w:rsid w:val="00BE1DF8"/>
    <w:rsid w:val="00BE21BC"/>
    <w:rsid w:val="00BE22DC"/>
    <w:rsid w:val="00BE2892"/>
    <w:rsid w:val="00BE39C5"/>
    <w:rsid w:val="00BE3BFE"/>
    <w:rsid w:val="00BE3C04"/>
    <w:rsid w:val="00BE3C8E"/>
    <w:rsid w:val="00BE3E01"/>
    <w:rsid w:val="00BE3E6D"/>
    <w:rsid w:val="00BE40EF"/>
    <w:rsid w:val="00BE4441"/>
    <w:rsid w:val="00BE485F"/>
    <w:rsid w:val="00BE4894"/>
    <w:rsid w:val="00BE5482"/>
    <w:rsid w:val="00BE55FA"/>
    <w:rsid w:val="00BE5F8F"/>
    <w:rsid w:val="00BE6C03"/>
    <w:rsid w:val="00BE6C96"/>
    <w:rsid w:val="00BE6C9E"/>
    <w:rsid w:val="00BE6DE8"/>
    <w:rsid w:val="00BE6EDD"/>
    <w:rsid w:val="00BE72EA"/>
    <w:rsid w:val="00BE7983"/>
    <w:rsid w:val="00BF05BC"/>
    <w:rsid w:val="00BF0BFF"/>
    <w:rsid w:val="00BF0F77"/>
    <w:rsid w:val="00BF179C"/>
    <w:rsid w:val="00BF1D3F"/>
    <w:rsid w:val="00BF1EC5"/>
    <w:rsid w:val="00BF1EE2"/>
    <w:rsid w:val="00BF204F"/>
    <w:rsid w:val="00BF2398"/>
    <w:rsid w:val="00BF2B09"/>
    <w:rsid w:val="00BF2D1B"/>
    <w:rsid w:val="00BF3329"/>
    <w:rsid w:val="00BF35A8"/>
    <w:rsid w:val="00BF3CF3"/>
    <w:rsid w:val="00BF409D"/>
    <w:rsid w:val="00BF41A5"/>
    <w:rsid w:val="00BF4281"/>
    <w:rsid w:val="00BF493F"/>
    <w:rsid w:val="00BF567A"/>
    <w:rsid w:val="00BF592D"/>
    <w:rsid w:val="00BF5D24"/>
    <w:rsid w:val="00BF5DF3"/>
    <w:rsid w:val="00BF601A"/>
    <w:rsid w:val="00BF6B27"/>
    <w:rsid w:val="00BF6BD7"/>
    <w:rsid w:val="00BF6D4B"/>
    <w:rsid w:val="00BF7777"/>
    <w:rsid w:val="00BF77A7"/>
    <w:rsid w:val="00BF7831"/>
    <w:rsid w:val="00BF79B0"/>
    <w:rsid w:val="00BF7BF9"/>
    <w:rsid w:val="00C0048D"/>
    <w:rsid w:val="00C01A84"/>
    <w:rsid w:val="00C02CD1"/>
    <w:rsid w:val="00C03772"/>
    <w:rsid w:val="00C03C61"/>
    <w:rsid w:val="00C056EE"/>
    <w:rsid w:val="00C05F13"/>
    <w:rsid w:val="00C06BFA"/>
    <w:rsid w:val="00C07033"/>
    <w:rsid w:val="00C0762B"/>
    <w:rsid w:val="00C07CE0"/>
    <w:rsid w:val="00C07FAC"/>
    <w:rsid w:val="00C101AD"/>
    <w:rsid w:val="00C1094F"/>
    <w:rsid w:val="00C10A8F"/>
    <w:rsid w:val="00C10E27"/>
    <w:rsid w:val="00C11B14"/>
    <w:rsid w:val="00C1204E"/>
    <w:rsid w:val="00C121C8"/>
    <w:rsid w:val="00C133BA"/>
    <w:rsid w:val="00C13A55"/>
    <w:rsid w:val="00C145A7"/>
    <w:rsid w:val="00C14CB2"/>
    <w:rsid w:val="00C151EA"/>
    <w:rsid w:val="00C153C8"/>
    <w:rsid w:val="00C158A2"/>
    <w:rsid w:val="00C15FF5"/>
    <w:rsid w:val="00C160D9"/>
    <w:rsid w:val="00C16AFA"/>
    <w:rsid w:val="00C17156"/>
    <w:rsid w:val="00C20766"/>
    <w:rsid w:val="00C207A2"/>
    <w:rsid w:val="00C20E53"/>
    <w:rsid w:val="00C20F57"/>
    <w:rsid w:val="00C21840"/>
    <w:rsid w:val="00C2192A"/>
    <w:rsid w:val="00C21CCA"/>
    <w:rsid w:val="00C21D8A"/>
    <w:rsid w:val="00C22184"/>
    <w:rsid w:val="00C225FD"/>
    <w:rsid w:val="00C22634"/>
    <w:rsid w:val="00C228DA"/>
    <w:rsid w:val="00C23489"/>
    <w:rsid w:val="00C23499"/>
    <w:rsid w:val="00C24858"/>
    <w:rsid w:val="00C24DC5"/>
    <w:rsid w:val="00C25074"/>
    <w:rsid w:val="00C25413"/>
    <w:rsid w:val="00C256FA"/>
    <w:rsid w:val="00C2646D"/>
    <w:rsid w:val="00C266C1"/>
    <w:rsid w:val="00C26935"/>
    <w:rsid w:val="00C270D6"/>
    <w:rsid w:val="00C27317"/>
    <w:rsid w:val="00C27D4B"/>
    <w:rsid w:val="00C27D97"/>
    <w:rsid w:val="00C305D5"/>
    <w:rsid w:val="00C307A3"/>
    <w:rsid w:val="00C307DF"/>
    <w:rsid w:val="00C30E96"/>
    <w:rsid w:val="00C31358"/>
    <w:rsid w:val="00C3153A"/>
    <w:rsid w:val="00C3176C"/>
    <w:rsid w:val="00C31948"/>
    <w:rsid w:val="00C32FD1"/>
    <w:rsid w:val="00C334A3"/>
    <w:rsid w:val="00C33668"/>
    <w:rsid w:val="00C33EE4"/>
    <w:rsid w:val="00C349ED"/>
    <w:rsid w:val="00C353D0"/>
    <w:rsid w:val="00C35491"/>
    <w:rsid w:val="00C3643B"/>
    <w:rsid w:val="00C3643F"/>
    <w:rsid w:val="00C365B2"/>
    <w:rsid w:val="00C36696"/>
    <w:rsid w:val="00C36A3F"/>
    <w:rsid w:val="00C36ACF"/>
    <w:rsid w:val="00C36BF4"/>
    <w:rsid w:val="00C37118"/>
    <w:rsid w:val="00C37172"/>
    <w:rsid w:val="00C37592"/>
    <w:rsid w:val="00C4012C"/>
    <w:rsid w:val="00C40255"/>
    <w:rsid w:val="00C410C2"/>
    <w:rsid w:val="00C41562"/>
    <w:rsid w:val="00C41AED"/>
    <w:rsid w:val="00C42AF9"/>
    <w:rsid w:val="00C42C51"/>
    <w:rsid w:val="00C43821"/>
    <w:rsid w:val="00C43A52"/>
    <w:rsid w:val="00C43D7B"/>
    <w:rsid w:val="00C43FBE"/>
    <w:rsid w:val="00C44238"/>
    <w:rsid w:val="00C44495"/>
    <w:rsid w:val="00C44EA1"/>
    <w:rsid w:val="00C4523C"/>
    <w:rsid w:val="00C457A1"/>
    <w:rsid w:val="00C45CE8"/>
    <w:rsid w:val="00C46048"/>
    <w:rsid w:val="00C46285"/>
    <w:rsid w:val="00C46BB2"/>
    <w:rsid w:val="00C46DCC"/>
    <w:rsid w:val="00C473A3"/>
    <w:rsid w:val="00C47CE7"/>
    <w:rsid w:val="00C50173"/>
    <w:rsid w:val="00C507E6"/>
    <w:rsid w:val="00C50851"/>
    <w:rsid w:val="00C50D58"/>
    <w:rsid w:val="00C51855"/>
    <w:rsid w:val="00C51AF2"/>
    <w:rsid w:val="00C51D97"/>
    <w:rsid w:val="00C52024"/>
    <w:rsid w:val="00C52232"/>
    <w:rsid w:val="00C523EE"/>
    <w:rsid w:val="00C52639"/>
    <w:rsid w:val="00C52775"/>
    <w:rsid w:val="00C53410"/>
    <w:rsid w:val="00C537E0"/>
    <w:rsid w:val="00C53F69"/>
    <w:rsid w:val="00C54252"/>
    <w:rsid w:val="00C5511B"/>
    <w:rsid w:val="00C55473"/>
    <w:rsid w:val="00C55FED"/>
    <w:rsid w:val="00C56288"/>
    <w:rsid w:val="00C56D8A"/>
    <w:rsid w:val="00C56DAB"/>
    <w:rsid w:val="00C57B77"/>
    <w:rsid w:val="00C57C1D"/>
    <w:rsid w:val="00C57EF0"/>
    <w:rsid w:val="00C60122"/>
    <w:rsid w:val="00C604DF"/>
    <w:rsid w:val="00C61F3B"/>
    <w:rsid w:val="00C62501"/>
    <w:rsid w:val="00C625E6"/>
    <w:rsid w:val="00C62657"/>
    <w:rsid w:val="00C6286B"/>
    <w:rsid w:val="00C63085"/>
    <w:rsid w:val="00C637DF"/>
    <w:rsid w:val="00C63AF5"/>
    <w:rsid w:val="00C64C88"/>
    <w:rsid w:val="00C64ED6"/>
    <w:rsid w:val="00C652E6"/>
    <w:rsid w:val="00C65553"/>
    <w:rsid w:val="00C6580A"/>
    <w:rsid w:val="00C65A33"/>
    <w:rsid w:val="00C65AD7"/>
    <w:rsid w:val="00C65B79"/>
    <w:rsid w:val="00C65CD2"/>
    <w:rsid w:val="00C66055"/>
    <w:rsid w:val="00C6632F"/>
    <w:rsid w:val="00C667AD"/>
    <w:rsid w:val="00C66F6E"/>
    <w:rsid w:val="00C67486"/>
    <w:rsid w:val="00C67AED"/>
    <w:rsid w:val="00C67E55"/>
    <w:rsid w:val="00C70331"/>
    <w:rsid w:val="00C70395"/>
    <w:rsid w:val="00C703F7"/>
    <w:rsid w:val="00C70ECC"/>
    <w:rsid w:val="00C711D3"/>
    <w:rsid w:val="00C714D3"/>
    <w:rsid w:val="00C72DA5"/>
    <w:rsid w:val="00C730A6"/>
    <w:rsid w:val="00C731FF"/>
    <w:rsid w:val="00C7385F"/>
    <w:rsid w:val="00C738A5"/>
    <w:rsid w:val="00C73B1F"/>
    <w:rsid w:val="00C73C0D"/>
    <w:rsid w:val="00C74541"/>
    <w:rsid w:val="00C74DD2"/>
    <w:rsid w:val="00C75047"/>
    <w:rsid w:val="00C75115"/>
    <w:rsid w:val="00C75271"/>
    <w:rsid w:val="00C75461"/>
    <w:rsid w:val="00C761BC"/>
    <w:rsid w:val="00C76265"/>
    <w:rsid w:val="00C762E7"/>
    <w:rsid w:val="00C764DF"/>
    <w:rsid w:val="00C76604"/>
    <w:rsid w:val="00C766A2"/>
    <w:rsid w:val="00C768B0"/>
    <w:rsid w:val="00C77005"/>
    <w:rsid w:val="00C770D7"/>
    <w:rsid w:val="00C80176"/>
    <w:rsid w:val="00C807E6"/>
    <w:rsid w:val="00C80937"/>
    <w:rsid w:val="00C81049"/>
    <w:rsid w:val="00C81067"/>
    <w:rsid w:val="00C81569"/>
    <w:rsid w:val="00C8249D"/>
    <w:rsid w:val="00C82D8F"/>
    <w:rsid w:val="00C83011"/>
    <w:rsid w:val="00C83094"/>
    <w:rsid w:val="00C83631"/>
    <w:rsid w:val="00C8365E"/>
    <w:rsid w:val="00C83765"/>
    <w:rsid w:val="00C83B9F"/>
    <w:rsid w:val="00C83F3A"/>
    <w:rsid w:val="00C841C8"/>
    <w:rsid w:val="00C8460D"/>
    <w:rsid w:val="00C84E2B"/>
    <w:rsid w:val="00C85723"/>
    <w:rsid w:val="00C85877"/>
    <w:rsid w:val="00C85D4A"/>
    <w:rsid w:val="00C863C0"/>
    <w:rsid w:val="00C86748"/>
    <w:rsid w:val="00C86ABD"/>
    <w:rsid w:val="00C86C24"/>
    <w:rsid w:val="00C86D22"/>
    <w:rsid w:val="00C86FAD"/>
    <w:rsid w:val="00C872D8"/>
    <w:rsid w:val="00C8771C"/>
    <w:rsid w:val="00C87946"/>
    <w:rsid w:val="00C879E1"/>
    <w:rsid w:val="00C87A62"/>
    <w:rsid w:val="00C87F2A"/>
    <w:rsid w:val="00C901CA"/>
    <w:rsid w:val="00C9068A"/>
    <w:rsid w:val="00C9092A"/>
    <w:rsid w:val="00C90DFD"/>
    <w:rsid w:val="00C9173F"/>
    <w:rsid w:val="00C91BC2"/>
    <w:rsid w:val="00C91E48"/>
    <w:rsid w:val="00C92B51"/>
    <w:rsid w:val="00C92B6C"/>
    <w:rsid w:val="00C946D4"/>
    <w:rsid w:val="00C9483C"/>
    <w:rsid w:val="00C94E57"/>
    <w:rsid w:val="00C94F19"/>
    <w:rsid w:val="00C95294"/>
    <w:rsid w:val="00C95680"/>
    <w:rsid w:val="00C958D8"/>
    <w:rsid w:val="00C95954"/>
    <w:rsid w:val="00C966FA"/>
    <w:rsid w:val="00C96E85"/>
    <w:rsid w:val="00C96F0E"/>
    <w:rsid w:val="00C97931"/>
    <w:rsid w:val="00C97BB5"/>
    <w:rsid w:val="00CA0717"/>
    <w:rsid w:val="00CA0784"/>
    <w:rsid w:val="00CA11BD"/>
    <w:rsid w:val="00CA11E4"/>
    <w:rsid w:val="00CA1712"/>
    <w:rsid w:val="00CA1DE8"/>
    <w:rsid w:val="00CA2652"/>
    <w:rsid w:val="00CA2DC2"/>
    <w:rsid w:val="00CA3B11"/>
    <w:rsid w:val="00CA3F77"/>
    <w:rsid w:val="00CA4098"/>
    <w:rsid w:val="00CA4144"/>
    <w:rsid w:val="00CA5E0D"/>
    <w:rsid w:val="00CA6387"/>
    <w:rsid w:val="00CA6414"/>
    <w:rsid w:val="00CA6476"/>
    <w:rsid w:val="00CA695E"/>
    <w:rsid w:val="00CA7B54"/>
    <w:rsid w:val="00CA7BB6"/>
    <w:rsid w:val="00CA7CCB"/>
    <w:rsid w:val="00CA7F17"/>
    <w:rsid w:val="00CB0511"/>
    <w:rsid w:val="00CB0681"/>
    <w:rsid w:val="00CB0D1E"/>
    <w:rsid w:val="00CB1007"/>
    <w:rsid w:val="00CB1549"/>
    <w:rsid w:val="00CB19DF"/>
    <w:rsid w:val="00CB1ECE"/>
    <w:rsid w:val="00CB3367"/>
    <w:rsid w:val="00CB3B64"/>
    <w:rsid w:val="00CB4659"/>
    <w:rsid w:val="00CB5163"/>
    <w:rsid w:val="00CB53DB"/>
    <w:rsid w:val="00CB540E"/>
    <w:rsid w:val="00CB5AAC"/>
    <w:rsid w:val="00CB5BB0"/>
    <w:rsid w:val="00CB5BDF"/>
    <w:rsid w:val="00CB606E"/>
    <w:rsid w:val="00CB61B9"/>
    <w:rsid w:val="00CB6753"/>
    <w:rsid w:val="00CB6F2D"/>
    <w:rsid w:val="00CB6F46"/>
    <w:rsid w:val="00CB6FC6"/>
    <w:rsid w:val="00CB72CF"/>
    <w:rsid w:val="00CB7512"/>
    <w:rsid w:val="00CB7F6F"/>
    <w:rsid w:val="00CC0283"/>
    <w:rsid w:val="00CC0EF8"/>
    <w:rsid w:val="00CC0F93"/>
    <w:rsid w:val="00CC1524"/>
    <w:rsid w:val="00CC17DE"/>
    <w:rsid w:val="00CC1987"/>
    <w:rsid w:val="00CC1AE0"/>
    <w:rsid w:val="00CC1DCA"/>
    <w:rsid w:val="00CC1F41"/>
    <w:rsid w:val="00CC22FD"/>
    <w:rsid w:val="00CC2480"/>
    <w:rsid w:val="00CC2BD2"/>
    <w:rsid w:val="00CC2C0B"/>
    <w:rsid w:val="00CC2E49"/>
    <w:rsid w:val="00CC3586"/>
    <w:rsid w:val="00CC36E4"/>
    <w:rsid w:val="00CC3CF0"/>
    <w:rsid w:val="00CC3D8A"/>
    <w:rsid w:val="00CC4384"/>
    <w:rsid w:val="00CC48A1"/>
    <w:rsid w:val="00CC60E2"/>
    <w:rsid w:val="00CC6351"/>
    <w:rsid w:val="00CC6384"/>
    <w:rsid w:val="00CC6688"/>
    <w:rsid w:val="00CC6B30"/>
    <w:rsid w:val="00CC7115"/>
    <w:rsid w:val="00CC758C"/>
    <w:rsid w:val="00CC7697"/>
    <w:rsid w:val="00CD004C"/>
    <w:rsid w:val="00CD1FF7"/>
    <w:rsid w:val="00CD20B7"/>
    <w:rsid w:val="00CD295A"/>
    <w:rsid w:val="00CD4195"/>
    <w:rsid w:val="00CD433D"/>
    <w:rsid w:val="00CD4B79"/>
    <w:rsid w:val="00CD5093"/>
    <w:rsid w:val="00CD532D"/>
    <w:rsid w:val="00CD535D"/>
    <w:rsid w:val="00CD54F0"/>
    <w:rsid w:val="00CD6252"/>
    <w:rsid w:val="00CD62E8"/>
    <w:rsid w:val="00CD64E5"/>
    <w:rsid w:val="00CD6A70"/>
    <w:rsid w:val="00CD6AC4"/>
    <w:rsid w:val="00CD7111"/>
    <w:rsid w:val="00CD787A"/>
    <w:rsid w:val="00CD7B37"/>
    <w:rsid w:val="00CE10C2"/>
    <w:rsid w:val="00CE16AF"/>
    <w:rsid w:val="00CE1BB2"/>
    <w:rsid w:val="00CE1C7E"/>
    <w:rsid w:val="00CE1F7E"/>
    <w:rsid w:val="00CE2425"/>
    <w:rsid w:val="00CE2609"/>
    <w:rsid w:val="00CE3F27"/>
    <w:rsid w:val="00CE41CE"/>
    <w:rsid w:val="00CE4301"/>
    <w:rsid w:val="00CE4386"/>
    <w:rsid w:val="00CE4E4E"/>
    <w:rsid w:val="00CE5743"/>
    <w:rsid w:val="00CE5849"/>
    <w:rsid w:val="00CE5952"/>
    <w:rsid w:val="00CE5B12"/>
    <w:rsid w:val="00CE68D0"/>
    <w:rsid w:val="00CE6B29"/>
    <w:rsid w:val="00CE749F"/>
    <w:rsid w:val="00CE7571"/>
    <w:rsid w:val="00CE76E5"/>
    <w:rsid w:val="00CE7700"/>
    <w:rsid w:val="00CE77EA"/>
    <w:rsid w:val="00CF0B80"/>
    <w:rsid w:val="00CF1915"/>
    <w:rsid w:val="00CF1BDC"/>
    <w:rsid w:val="00CF1D57"/>
    <w:rsid w:val="00CF26AA"/>
    <w:rsid w:val="00CF28E2"/>
    <w:rsid w:val="00CF2AED"/>
    <w:rsid w:val="00CF3155"/>
    <w:rsid w:val="00CF39F9"/>
    <w:rsid w:val="00CF3CAC"/>
    <w:rsid w:val="00CF40E3"/>
    <w:rsid w:val="00CF41A4"/>
    <w:rsid w:val="00CF4619"/>
    <w:rsid w:val="00CF503A"/>
    <w:rsid w:val="00CF6283"/>
    <w:rsid w:val="00CF664A"/>
    <w:rsid w:val="00D014FE"/>
    <w:rsid w:val="00D01D39"/>
    <w:rsid w:val="00D01D6F"/>
    <w:rsid w:val="00D01EA3"/>
    <w:rsid w:val="00D01F46"/>
    <w:rsid w:val="00D02858"/>
    <w:rsid w:val="00D0324C"/>
    <w:rsid w:val="00D03582"/>
    <w:rsid w:val="00D03C01"/>
    <w:rsid w:val="00D03CA5"/>
    <w:rsid w:val="00D03E46"/>
    <w:rsid w:val="00D04D46"/>
    <w:rsid w:val="00D04DCD"/>
    <w:rsid w:val="00D04F19"/>
    <w:rsid w:val="00D055A8"/>
    <w:rsid w:val="00D05B34"/>
    <w:rsid w:val="00D05BA0"/>
    <w:rsid w:val="00D06B2D"/>
    <w:rsid w:val="00D06E79"/>
    <w:rsid w:val="00D0733C"/>
    <w:rsid w:val="00D079E2"/>
    <w:rsid w:val="00D105DB"/>
    <w:rsid w:val="00D1063F"/>
    <w:rsid w:val="00D106CD"/>
    <w:rsid w:val="00D110A2"/>
    <w:rsid w:val="00D110AA"/>
    <w:rsid w:val="00D1114E"/>
    <w:rsid w:val="00D11186"/>
    <w:rsid w:val="00D117FE"/>
    <w:rsid w:val="00D118EC"/>
    <w:rsid w:val="00D11A3A"/>
    <w:rsid w:val="00D11E0D"/>
    <w:rsid w:val="00D11E3E"/>
    <w:rsid w:val="00D11EE6"/>
    <w:rsid w:val="00D12420"/>
    <w:rsid w:val="00D1258D"/>
    <w:rsid w:val="00D12703"/>
    <w:rsid w:val="00D1290A"/>
    <w:rsid w:val="00D12A35"/>
    <w:rsid w:val="00D13048"/>
    <w:rsid w:val="00D131BF"/>
    <w:rsid w:val="00D1322F"/>
    <w:rsid w:val="00D13645"/>
    <w:rsid w:val="00D13851"/>
    <w:rsid w:val="00D14438"/>
    <w:rsid w:val="00D14F01"/>
    <w:rsid w:val="00D1525C"/>
    <w:rsid w:val="00D152C9"/>
    <w:rsid w:val="00D1584C"/>
    <w:rsid w:val="00D15D3C"/>
    <w:rsid w:val="00D16039"/>
    <w:rsid w:val="00D16A79"/>
    <w:rsid w:val="00D16D1B"/>
    <w:rsid w:val="00D16FF9"/>
    <w:rsid w:val="00D176D2"/>
    <w:rsid w:val="00D1776B"/>
    <w:rsid w:val="00D20002"/>
    <w:rsid w:val="00D201F2"/>
    <w:rsid w:val="00D20459"/>
    <w:rsid w:val="00D20470"/>
    <w:rsid w:val="00D20527"/>
    <w:rsid w:val="00D20872"/>
    <w:rsid w:val="00D20B2D"/>
    <w:rsid w:val="00D20B8C"/>
    <w:rsid w:val="00D214C6"/>
    <w:rsid w:val="00D215F3"/>
    <w:rsid w:val="00D218D6"/>
    <w:rsid w:val="00D219D9"/>
    <w:rsid w:val="00D21DD4"/>
    <w:rsid w:val="00D2252E"/>
    <w:rsid w:val="00D22A70"/>
    <w:rsid w:val="00D2350E"/>
    <w:rsid w:val="00D23D77"/>
    <w:rsid w:val="00D2467F"/>
    <w:rsid w:val="00D2479E"/>
    <w:rsid w:val="00D249C6"/>
    <w:rsid w:val="00D24A41"/>
    <w:rsid w:val="00D24F2B"/>
    <w:rsid w:val="00D256B8"/>
    <w:rsid w:val="00D259BB"/>
    <w:rsid w:val="00D25B22"/>
    <w:rsid w:val="00D25C56"/>
    <w:rsid w:val="00D266B2"/>
    <w:rsid w:val="00D26831"/>
    <w:rsid w:val="00D26E24"/>
    <w:rsid w:val="00D2701D"/>
    <w:rsid w:val="00D27C79"/>
    <w:rsid w:val="00D27D1F"/>
    <w:rsid w:val="00D27FEB"/>
    <w:rsid w:val="00D30065"/>
    <w:rsid w:val="00D31F89"/>
    <w:rsid w:val="00D3200E"/>
    <w:rsid w:val="00D320FE"/>
    <w:rsid w:val="00D325B7"/>
    <w:rsid w:val="00D336DA"/>
    <w:rsid w:val="00D33B3D"/>
    <w:rsid w:val="00D33C84"/>
    <w:rsid w:val="00D33FCF"/>
    <w:rsid w:val="00D340D5"/>
    <w:rsid w:val="00D34CF8"/>
    <w:rsid w:val="00D3518B"/>
    <w:rsid w:val="00D354BB"/>
    <w:rsid w:val="00D365F7"/>
    <w:rsid w:val="00D368D7"/>
    <w:rsid w:val="00D371E1"/>
    <w:rsid w:val="00D37FD7"/>
    <w:rsid w:val="00D40FCE"/>
    <w:rsid w:val="00D4124E"/>
    <w:rsid w:val="00D412D7"/>
    <w:rsid w:val="00D414F0"/>
    <w:rsid w:val="00D41A6A"/>
    <w:rsid w:val="00D41C8E"/>
    <w:rsid w:val="00D41CDC"/>
    <w:rsid w:val="00D42057"/>
    <w:rsid w:val="00D426F0"/>
    <w:rsid w:val="00D42EA0"/>
    <w:rsid w:val="00D43EE9"/>
    <w:rsid w:val="00D44122"/>
    <w:rsid w:val="00D44142"/>
    <w:rsid w:val="00D4428E"/>
    <w:rsid w:val="00D444AA"/>
    <w:rsid w:val="00D449CC"/>
    <w:rsid w:val="00D44E03"/>
    <w:rsid w:val="00D451C8"/>
    <w:rsid w:val="00D4565E"/>
    <w:rsid w:val="00D45B0A"/>
    <w:rsid w:val="00D45B51"/>
    <w:rsid w:val="00D4629B"/>
    <w:rsid w:val="00D465E1"/>
    <w:rsid w:val="00D468C4"/>
    <w:rsid w:val="00D46975"/>
    <w:rsid w:val="00D46FFE"/>
    <w:rsid w:val="00D470B3"/>
    <w:rsid w:val="00D4797C"/>
    <w:rsid w:val="00D5059A"/>
    <w:rsid w:val="00D509D1"/>
    <w:rsid w:val="00D51295"/>
    <w:rsid w:val="00D51955"/>
    <w:rsid w:val="00D51FA3"/>
    <w:rsid w:val="00D52328"/>
    <w:rsid w:val="00D5241B"/>
    <w:rsid w:val="00D52BE2"/>
    <w:rsid w:val="00D532BC"/>
    <w:rsid w:val="00D5357B"/>
    <w:rsid w:val="00D53C78"/>
    <w:rsid w:val="00D53DF5"/>
    <w:rsid w:val="00D54210"/>
    <w:rsid w:val="00D543C7"/>
    <w:rsid w:val="00D550B6"/>
    <w:rsid w:val="00D55C1A"/>
    <w:rsid w:val="00D56550"/>
    <w:rsid w:val="00D56C00"/>
    <w:rsid w:val="00D57719"/>
    <w:rsid w:val="00D57756"/>
    <w:rsid w:val="00D57B40"/>
    <w:rsid w:val="00D57C94"/>
    <w:rsid w:val="00D600AD"/>
    <w:rsid w:val="00D6015B"/>
    <w:rsid w:val="00D6034A"/>
    <w:rsid w:val="00D6058B"/>
    <w:rsid w:val="00D61077"/>
    <w:rsid w:val="00D61462"/>
    <w:rsid w:val="00D61607"/>
    <w:rsid w:val="00D61A44"/>
    <w:rsid w:val="00D61B33"/>
    <w:rsid w:val="00D61CAF"/>
    <w:rsid w:val="00D626FB"/>
    <w:rsid w:val="00D6285E"/>
    <w:rsid w:val="00D62C5C"/>
    <w:rsid w:val="00D62D71"/>
    <w:rsid w:val="00D635EE"/>
    <w:rsid w:val="00D63A0A"/>
    <w:rsid w:val="00D63EF4"/>
    <w:rsid w:val="00D642CA"/>
    <w:rsid w:val="00D644CD"/>
    <w:rsid w:val="00D649A3"/>
    <w:rsid w:val="00D64EA3"/>
    <w:rsid w:val="00D65D34"/>
    <w:rsid w:val="00D667FC"/>
    <w:rsid w:val="00D66BEB"/>
    <w:rsid w:val="00D67847"/>
    <w:rsid w:val="00D67DF0"/>
    <w:rsid w:val="00D713F6"/>
    <w:rsid w:val="00D71499"/>
    <w:rsid w:val="00D71DBE"/>
    <w:rsid w:val="00D71F86"/>
    <w:rsid w:val="00D7239F"/>
    <w:rsid w:val="00D727E9"/>
    <w:rsid w:val="00D72C17"/>
    <w:rsid w:val="00D72F57"/>
    <w:rsid w:val="00D73075"/>
    <w:rsid w:val="00D73163"/>
    <w:rsid w:val="00D73378"/>
    <w:rsid w:val="00D73BD3"/>
    <w:rsid w:val="00D73FC2"/>
    <w:rsid w:val="00D74F12"/>
    <w:rsid w:val="00D75313"/>
    <w:rsid w:val="00D7618E"/>
    <w:rsid w:val="00D76309"/>
    <w:rsid w:val="00D76311"/>
    <w:rsid w:val="00D7635C"/>
    <w:rsid w:val="00D76585"/>
    <w:rsid w:val="00D76727"/>
    <w:rsid w:val="00D7718F"/>
    <w:rsid w:val="00D77F0B"/>
    <w:rsid w:val="00D8000E"/>
    <w:rsid w:val="00D801CA"/>
    <w:rsid w:val="00D8025A"/>
    <w:rsid w:val="00D821F1"/>
    <w:rsid w:val="00D83662"/>
    <w:rsid w:val="00D836A7"/>
    <w:rsid w:val="00D83B6A"/>
    <w:rsid w:val="00D83FCC"/>
    <w:rsid w:val="00D85389"/>
    <w:rsid w:val="00D853F7"/>
    <w:rsid w:val="00D855F5"/>
    <w:rsid w:val="00D85721"/>
    <w:rsid w:val="00D861C0"/>
    <w:rsid w:val="00D86B56"/>
    <w:rsid w:val="00D86BBF"/>
    <w:rsid w:val="00D86E02"/>
    <w:rsid w:val="00D86E6E"/>
    <w:rsid w:val="00D86FBA"/>
    <w:rsid w:val="00D8720E"/>
    <w:rsid w:val="00D879A5"/>
    <w:rsid w:val="00D87B92"/>
    <w:rsid w:val="00D87DF4"/>
    <w:rsid w:val="00D90238"/>
    <w:rsid w:val="00D90757"/>
    <w:rsid w:val="00D90B94"/>
    <w:rsid w:val="00D91061"/>
    <w:rsid w:val="00D91215"/>
    <w:rsid w:val="00D91615"/>
    <w:rsid w:val="00D9249D"/>
    <w:rsid w:val="00D92C48"/>
    <w:rsid w:val="00D931F2"/>
    <w:rsid w:val="00D93BEB"/>
    <w:rsid w:val="00D93D89"/>
    <w:rsid w:val="00D93EB7"/>
    <w:rsid w:val="00D94797"/>
    <w:rsid w:val="00D948E3"/>
    <w:rsid w:val="00D94929"/>
    <w:rsid w:val="00D94BB2"/>
    <w:rsid w:val="00D964C5"/>
    <w:rsid w:val="00D968A3"/>
    <w:rsid w:val="00D96B4A"/>
    <w:rsid w:val="00D96BD7"/>
    <w:rsid w:val="00D9775D"/>
    <w:rsid w:val="00D978FE"/>
    <w:rsid w:val="00DA00F0"/>
    <w:rsid w:val="00DA03FF"/>
    <w:rsid w:val="00DA0DA9"/>
    <w:rsid w:val="00DA19CF"/>
    <w:rsid w:val="00DA1CB5"/>
    <w:rsid w:val="00DA2284"/>
    <w:rsid w:val="00DA33F2"/>
    <w:rsid w:val="00DA34ED"/>
    <w:rsid w:val="00DA38A4"/>
    <w:rsid w:val="00DA399E"/>
    <w:rsid w:val="00DA3BBB"/>
    <w:rsid w:val="00DA3E9F"/>
    <w:rsid w:val="00DA43C9"/>
    <w:rsid w:val="00DA459D"/>
    <w:rsid w:val="00DA46DD"/>
    <w:rsid w:val="00DA4D79"/>
    <w:rsid w:val="00DA5374"/>
    <w:rsid w:val="00DA559A"/>
    <w:rsid w:val="00DA567F"/>
    <w:rsid w:val="00DA5823"/>
    <w:rsid w:val="00DA5F5D"/>
    <w:rsid w:val="00DA642F"/>
    <w:rsid w:val="00DA6521"/>
    <w:rsid w:val="00DA673B"/>
    <w:rsid w:val="00DA6B77"/>
    <w:rsid w:val="00DB0337"/>
    <w:rsid w:val="00DB0806"/>
    <w:rsid w:val="00DB0AC2"/>
    <w:rsid w:val="00DB0CFC"/>
    <w:rsid w:val="00DB0FD9"/>
    <w:rsid w:val="00DB10F8"/>
    <w:rsid w:val="00DB1EAB"/>
    <w:rsid w:val="00DB21B8"/>
    <w:rsid w:val="00DB35E5"/>
    <w:rsid w:val="00DB404D"/>
    <w:rsid w:val="00DB417F"/>
    <w:rsid w:val="00DB47EB"/>
    <w:rsid w:val="00DB4C33"/>
    <w:rsid w:val="00DB4F9F"/>
    <w:rsid w:val="00DB4FE0"/>
    <w:rsid w:val="00DB5958"/>
    <w:rsid w:val="00DB6499"/>
    <w:rsid w:val="00DB65FE"/>
    <w:rsid w:val="00DB66EB"/>
    <w:rsid w:val="00DB6A80"/>
    <w:rsid w:val="00DB6C10"/>
    <w:rsid w:val="00DB7370"/>
    <w:rsid w:val="00DB742B"/>
    <w:rsid w:val="00DB7C7A"/>
    <w:rsid w:val="00DB7D83"/>
    <w:rsid w:val="00DB7E45"/>
    <w:rsid w:val="00DB7E4D"/>
    <w:rsid w:val="00DC040D"/>
    <w:rsid w:val="00DC12F1"/>
    <w:rsid w:val="00DC153B"/>
    <w:rsid w:val="00DC15C9"/>
    <w:rsid w:val="00DC1919"/>
    <w:rsid w:val="00DC19AC"/>
    <w:rsid w:val="00DC1A55"/>
    <w:rsid w:val="00DC1B4C"/>
    <w:rsid w:val="00DC1BA9"/>
    <w:rsid w:val="00DC1F0A"/>
    <w:rsid w:val="00DC2307"/>
    <w:rsid w:val="00DC23C3"/>
    <w:rsid w:val="00DC240E"/>
    <w:rsid w:val="00DC2A22"/>
    <w:rsid w:val="00DC35AF"/>
    <w:rsid w:val="00DC42B2"/>
    <w:rsid w:val="00DC42B4"/>
    <w:rsid w:val="00DC4E99"/>
    <w:rsid w:val="00DC4FC4"/>
    <w:rsid w:val="00DC5446"/>
    <w:rsid w:val="00DC5847"/>
    <w:rsid w:val="00DC5A37"/>
    <w:rsid w:val="00DC5C35"/>
    <w:rsid w:val="00DC5D75"/>
    <w:rsid w:val="00DC600E"/>
    <w:rsid w:val="00DC6258"/>
    <w:rsid w:val="00DC656C"/>
    <w:rsid w:val="00DC65E7"/>
    <w:rsid w:val="00DC692E"/>
    <w:rsid w:val="00DC70AF"/>
    <w:rsid w:val="00DC780B"/>
    <w:rsid w:val="00DD03CE"/>
    <w:rsid w:val="00DD0BE0"/>
    <w:rsid w:val="00DD18FE"/>
    <w:rsid w:val="00DD1A3B"/>
    <w:rsid w:val="00DD1CDA"/>
    <w:rsid w:val="00DD1F1B"/>
    <w:rsid w:val="00DD2531"/>
    <w:rsid w:val="00DD25A3"/>
    <w:rsid w:val="00DD260E"/>
    <w:rsid w:val="00DD26E3"/>
    <w:rsid w:val="00DD2837"/>
    <w:rsid w:val="00DD284F"/>
    <w:rsid w:val="00DD30F7"/>
    <w:rsid w:val="00DD34B4"/>
    <w:rsid w:val="00DD3545"/>
    <w:rsid w:val="00DD4199"/>
    <w:rsid w:val="00DD46C6"/>
    <w:rsid w:val="00DD47EE"/>
    <w:rsid w:val="00DD48D0"/>
    <w:rsid w:val="00DD508F"/>
    <w:rsid w:val="00DD5325"/>
    <w:rsid w:val="00DD58AD"/>
    <w:rsid w:val="00DD5977"/>
    <w:rsid w:val="00DD5A28"/>
    <w:rsid w:val="00DD5A6A"/>
    <w:rsid w:val="00DD62EC"/>
    <w:rsid w:val="00DD683D"/>
    <w:rsid w:val="00DD6B30"/>
    <w:rsid w:val="00DD6C53"/>
    <w:rsid w:val="00DD740E"/>
    <w:rsid w:val="00DD7544"/>
    <w:rsid w:val="00DD7DAA"/>
    <w:rsid w:val="00DE0219"/>
    <w:rsid w:val="00DE03E3"/>
    <w:rsid w:val="00DE04CA"/>
    <w:rsid w:val="00DE056E"/>
    <w:rsid w:val="00DE0971"/>
    <w:rsid w:val="00DE0A04"/>
    <w:rsid w:val="00DE0A5D"/>
    <w:rsid w:val="00DE0E82"/>
    <w:rsid w:val="00DE13A8"/>
    <w:rsid w:val="00DE245D"/>
    <w:rsid w:val="00DE2891"/>
    <w:rsid w:val="00DE2AAB"/>
    <w:rsid w:val="00DE35D4"/>
    <w:rsid w:val="00DE37EB"/>
    <w:rsid w:val="00DE3D60"/>
    <w:rsid w:val="00DE3DFF"/>
    <w:rsid w:val="00DE3E4A"/>
    <w:rsid w:val="00DE3E8F"/>
    <w:rsid w:val="00DE4BA3"/>
    <w:rsid w:val="00DE5103"/>
    <w:rsid w:val="00DE5F79"/>
    <w:rsid w:val="00DE679D"/>
    <w:rsid w:val="00DE6A07"/>
    <w:rsid w:val="00DE6A84"/>
    <w:rsid w:val="00DE6FC8"/>
    <w:rsid w:val="00DE704E"/>
    <w:rsid w:val="00DE7110"/>
    <w:rsid w:val="00DE788C"/>
    <w:rsid w:val="00DE7AC5"/>
    <w:rsid w:val="00DE7B33"/>
    <w:rsid w:val="00DE7D10"/>
    <w:rsid w:val="00DF044D"/>
    <w:rsid w:val="00DF05BD"/>
    <w:rsid w:val="00DF15B6"/>
    <w:rsid w:val="00DF1907"/>
    <w:rsid w:val="00DF19CE"/>
    <w:rsid w:val="00DF1CEC"/>
    <w:rsid w:val="00DF1E18"/>
    <w:rsid w:val="00DF1E8B"/>
    <w:rsid w:val="00DF1F0C"/>
    <w:rsid w:val="00DF250C"/>
    <w:rsid w:val="00DF2BF1"/>
    <w:rsid w:val="00DF2D2A"/>
    <w:rsid w:val="00DF2D49"/>
    <w:rsid w:val="00DF2E8E"/>
    <w:rsid w:val="00DF354B"/>
    <w:rsid w:val="00DF3BB9"/>
    <w:rsid w:val="00DF401C"/>
    <w:rsid w:val="00DF4237"/>
    <w:rsid w:val="00DF441A"/>
    <w:rsid w:val="00DF462D"/>
    <w:rsid w:val="00DF4A7B"/>
    <w:rsid w:val="00DF504B"/>
    <w:rsid w:val="00DF605A"/>
    <w:rsid w:val="00DF6956"/>
    <w:rsid w:val="00DF6C50"/>
    <w:rsid w:val="00DF6CA3"/>
    <w:rsid w:val="00DF761C"/>
    <w:rsid w:val="00DF7CA0"/>
    <w:rsid w:val="00DF7CEB"/>
    <w:rsid w:val="00DF7E20"/>
    <w:rsid w:val="00DF7E50"/>
    <w:rsid w:val="00E00086"/>
    <w:rsid w:val="00E00818"/>
    <w:rsid w:val="00E009D6"/>
    <w:rsid w:val="00E00EB6"/>
    <w:rsid w:val="00E011CF"/>
    <w:rsid w:val="00E018DB"/>
    <w:rsid w:val="00E01F8B"/>
    <w:rsid w:val="00E02154"/>
    <w:rsid w:val="00E025E1"/>
    <w:rsid w:val="00E02CE9"/>
    <w:rsid w:val="00E035C2"/>
    <w:rsid w:val="00E037D4"/>
    <w:rsid w:val="00E03F26"/>
    <w:rsid w:val="00E04386"/>
    <w:rsid w:val="00E043DC"/>
    <w:rsid w:val="00E04874"/>
    <w:rsid w:val="00E04FB3"/>
    <w:rsid w:val="00E04FD5"/>
    <w:rsid w:val="00E0536C"/>
    <w:rsid w:val="00E054A0"/>
    <w:rsid w:val="00E05A9C"/>
    <w:rsid w:val="00E06338"/>
    <w:rsid w:val="00E077C3"/>
    <w:rsid w:val="00E07A62"/>
    <w:rsid w:val="00E07D7E"/>
    <w:rsid w:val="00E07F8B"/>
    <w:rsid w:val="00E1003C"/>
    <w:rsid w:val="00E10157"/>
    <w:rsid w:val="00E106B9"/>
    <w:rsid w:val="00E1074C"/>
    <w:rsid w:val="00E10FAE"/>
    <w:rsid w:val="00E11174"/>
    <w:rsid w:val="00E1120C"/>
    <w:rsid w:val="00E114C3"/>
    <w:rsid w:val="00E11A59"/>
    <w:rsid w:val="00E13141"/>
    <w:rsid w:val="00E13E08"/>
    <w:rsid w:val="00E141C7"/>
    <w:rsid w:val="00E14385"/>
    <w:rsid w:val="00E143E2"/>
    <w:rsid w:val="00E145B5"/>
    <w:rsid w:val="00E145B7"/>
    <w:rsid w:val="00E146C4"/>
    <w:rsid w:val="00E1471B"/>
    <w:rsid w:val="00E14A35"/>
    <w:rsid w:val="00E154A6"/>
    <w:rsid w:val="00E15B8D"/>
    <w:rsid w:val="00E16215"/>
    <w:rsid w:val="00E1654C"/>
    <w:rsid w:val="00E165B6"/>
    <w:rsid w:val="00E1694A"/>
    <w:rsid w:val="00E169AA"/>
    <w:rsid w:val="00E16DC2"/>
    <w:rsid w:val="00E175F6"/>
    <w:rsid w:val="00E17DF5"/>
    <w:rsid w:val="00E17FD4"/>
    <w:rsid w:val="00E203CC"/>
    <w:rsid w:val="00E20B99"/>
    <w:rsid w:val="00E20D79"/>
    <w:rsid w:val="00E20EFC"/>
    <w:rsid w:val="00E212B4"/>
    <w:rsid w:val="00E214EB"/>
    <w:rsid w:val="00E219CB"/>
    <w:rsid w:val="00E21A55"/>
    <w:rsid w:val="00E21B6D"/>
    <w:rsid w:val="00E2225C"/>
    <w:rsid w:val="00E22B3E"/>
    <w:rsid w:val="00E22C84"/>
    <w:rsid w:val="00E2336C"/>
    <w:rsid w:val="00E23698"/>
    <w:rsid w:val="00E23A62"/>
    <w:rsid w:val="00E23C1E"/>
    <w:rsid w:val="00E23ECA"/>
    <w:rsid w:val="00E24208"/>
    <w:rsid w:val="00E24E20"/>
    <w:rsid w:val="00E24F50"/>
    <w:rsid w:val="00E24FAB"/>
    <w:rsid w:val="00E25494"/>
    <w:rsid w:val="00E2550D"/>
    <w:rsid w:val="00E25518"/>
    <w:rsid w:val="00E25686"/>
    <w:rsid w:val="00E259BD"/>
    <w:rsid w:val="00E25FE6"/>
    <w:rsid w:val="00E261FB"/>
    <w:rsid w:val="00E27306"/>
    <w:rsid w:val="00E2792F"/>
    <w:rsid w:val="00E27C22"/>
    <w:rsid w:val="00E27E28"/>
    <w:rsid w:val="00E30633"/>
    <w:rsid w:val="00E30902"/>
    <w:rsid w:val="00E30D0E"/>
    <w:rsid w:val="00E31418"/>
    <w:rsid w:val="00E3151D"/>
    <w:rsid w:val="00E3160D"/>
    <w:rsid w:val="00E31700"/>
    <w:rsid w:val="00E31CF1"/>
    <w:rsid w:val="00E3216A"/>
    <w:rsid w:val="00E32277"/>
    <w:rsid w:val="00E32857"/>
    <w:rsid w:val="00E333B0"/>
    <w:rsid w:val="00E338B4"/>
    <w:rsid w:val="00E3414C"/>
    <w:rsid w:val="00E3416C"/>
    <w:rsid w:val="00E34976"/>
    <w:rsid w:val="00E3532D"/>
    <w:rsid w:val="00E359AA"/>
    <w:rsid w:val="00E35CF9"/>
    <w:rsid w:val="00E35E18"/>
    <w:rsid w:val="00E36699"/>
    <w:rsid w:val="00E402E8"/>
    <w:rsid w:val="00E404EA"/>
    <w:rsid w:val="00E411F1"/>
    <w:rsid w:val="00E41212"/>
    <w:rsid w:val="00E417A3"/>
    <w:rsid w:val="00E4183E"/>
    <w:rsid w:val="00E41A27"/>
    <w:rsid w:val="00E420E6"/>
    <w:rsid w:val="00E421B7"/>
    <w:rsid w:val="00E425CF"/>
    <w:rsid w:val="00E42B8A"/>
    <w:rsid w:val="00E42D76"/>
    <w:rsid w:val="00E43773"/>
    <w:rsid w:val="00E4395B"/>
    <w:rsid w:val="00E45969"/>
    <w:rsid w:val="00E45B52"/>
    <w:rsid w:val="00E46D16"/>
    <w:rsid w:val="00E46D5F"/>
    <w:rsid w:val="00E46DB0"/>
    <w:rsid w:val="00E46F0C"/>
    <w:rsid w:val="00E4705F"/>
    <w:rsid w:val="00E476F5"/>
    <w:rsid w:val="00E477D5"/>
    <w:rsid w:val="00E47BF9"/>
    <w:rsid w:val="00E502B6"/>
    <w:rsid w:val="00E509B3"/>
    <w:rsid w:val="00E50ABB"/>
    <w:rsid w:val="00E50D7A"/>
    <w:rsid w:val="00E514FB"/>
    <w:rsid w:val="00E51842"/>
    <w:rsid w:val="00E525FE"/>
    <w:rsid w:val="00E527A9"/>
    <w:rsid w:val="00E52CAF"/>
    <w:rsid w:val="00E53061"/>
    <w:rsid w:val="00E531C2"/>
    <w:rsid w:val="00E53709"/>
    <w:rsid w:val="00E53916"/>
    <w:rsid w:val="00E53C14"/>
    <w:rsid w:val="00E53C79"/>
    <w:rsid w:val="00E53F68"/>
    <w:rsid w:val="00E545BE"/>
    <w:rsid w:val="00E54B80"/>
    <w:rsid w:val="00E56270"/>
    <w:rsid w:val="00E562CB"/>
    <w:rsid w:val="00E563BC"/>
    <w:rsid w:val="00E56664"/>
    <w:rsid w:val="00E5735B"/>
    <w:rsid w:val="00E57511"/>
    <w:rsid w:val="00E57B38"/>
    <w:rsid w:val="00E57C34"/>
    <w:rsid w:val="00E57F23"/>
    <w:rsid w:val="00E600FB"/>
    <w:rsid w:val="00E6022E"/>
    <w:rsid w:val="00E605AF"/>
    <w:rsid w:val="00E60859"/>
    <w:rsid w:val="00E608DA"/>
    <w:rsid w:val="00E6106E"/>
    <w:rsid w:val="00E612AA"/>
    <w:rsid w:val="00E613C5"/>
    <w:rsid w:val="00E61671"/>
    <w:rsid w:val="00E61894"/>
    <w:rsid w:val="00E61FFF"/>
    <w:rsid w:val="00E62065"/>
    <w:rsid w:val="00E62AA6"/>
    <w:rsid w:val="00E62AEA"/>
    <w:rsid w:val="00E62C6C"/>
    <w:rsid w:val="00E63170"/>
    <w:rsid w:val="00E63452"/>
    <w:rsid w:val="00E63C09"/>
    <w:rsid w:val="00E647D9"/>
    <w:rsid w:val="00E64FC4"/>
    <w:rsid w:val="00E64FD0"/>
    <w:rsid w:val="00E65866"/>
    <w:rsid w:val="00E65933"/>
    <w:rsid w:val="00E67163"/>
    <w:rsid w:val="00E673C0"/>
    <w:rsid w:val="00E67C7F"/>
    <w:rsid w:val="00E7023B"/>
    <w:rsid w:val="00E70957"/>
    <w:rsid w:val="00E7141E"/>
    <w:rsid w:val="00E71501"/>
    <w:rsid w:val="00E71605"/>
    <w:rsid w:val="00E7173C"/>
    <w:rsid w:val="00E71C53"/>
    <w:rsid w:val="00E71F3A"/>
    <w:rsid w:val="00E72AD1"/>
    <w:rsid w:val="00E72AE3"/>
    <w:rsid w:val="00E735D9"/>
    <w:rsid w:val="00E73A57"/>
    <w:rsid w:val="00E73A5C"/>
    <w:rsid w:val="00E73C9D"/>
    <w:rsid w:val="00E73E5A"/>
    <w:rsid w:val="00E74068"/>
    <w:rsid w:val="00E74488"/>
    <w:rsid w:val="00E74790"/>
    <w:rsid w:val="00E75082"/>
    <w:rsid w:val="00E75B4A"/>
    <w:rsid w:val="00E75BAF"/>
    <w:rsid w:val="00E767AC"/>
    <w:rsid w:val="00E76DDB"/>
    <w:rsid w:val="00E76E94"/>
    <w:rsid w:val="00E779B5"/>
    <w:rsid w:val="00E80940"/>
    <w:rsid w:val="00E81859"/>
    <w:rsid w:val="00E81D50"/>
    <w:rsid w:val="00E81D55"/>
    <w:rsid w:val="00E821EC"/>
    <w:rsid w:val="00E82B4C"/>
    <w:rsid w:val="00E82F97"/>
    <w:rsid w:val="00E83080"/>
    <w:rsid w:val="00E83687"/>
    <w:rsid w:val="00E83B6E"/>
    <w:rsid w:val="00E83F6C"/>
    <w:rsid w:val="00E845B0"/>
    <w:rsid w:val="00E84992"/>
    <w:rsid w:val="00E84A19"/>
    <w:rsid w:val="00E84B41"/>
    <w:rsid w:val="00E85650"/>
    <w:rsid w:val="00E85738"/>
    <w:rsid w:val="00E85858"/>
    <w:rsid w:val="00E85A4D"/>
    <w:rsid w:val="00E86464"/>
    <w:rsid w:val="00E8664E"/>
    <w:rsid w:val="00E867E5"/>
    <w:rsid w:val="00E869A4"/>
    <w:rsid w:val="00E87535"/>
    <w:rsid w:val="00E87F70"/>
    <w:rsid w:val="00E90289"/>
    <w:rsid w:val="00E90310"/>
    <w:rsid w:val="00E9037A"/>
    <w:rsid w:val="00E905FF"/>
    <w:rsid w:val="00E90723"/>
    <w:rsid w:val="00E909F2"/>
    <w:rsid w:val="00E91329"/>
    <w:rsid w:val="00E9231D"/>
    <w:rsid w:val="00E92767"/>
    <w:rsid w:val="00E92FF6"/>
    <w:rsid w:val="00E93359"/>
    <w:rsid w:val="00E938B2"/>
    <w:rsid w:val="00E93B1E"/>
    <w:rsid w:val="00E9423D"/>
    <w:rsid w:val="00E946B1"/>
    <w:rsid w:val="00E947E8"/>
    <w:rsid w:val="00E949CF"/>
    <w:rsid w:val="00E94CDB"/>
    <w:rsid w:val="00E950B1"/>
    <w:rsid w:val="00E950F1"/>
    <w:rsid w:val="00E95796"/>
    <w:rsid w:val="00E95F75"/>
    <w:rsid w:val="00E9634F"/>
    <w:rsid w:val="00E96514"/>
    <w:rsid w:val="00E96688"/>
    <w:rsid w:val="00E96C9C"/>
    <w:rsid w:val="00E96CEF"/>
    <w:rsid w:val="00E96DE6"/>
    <w:rsid w:val="00E976C6"/>
    <w:rsid w:val="00E97DD6"/>
    <w:rsid w:val="00EA02E9"/>
    <w:rsid w:val="00EA0997"/>
    <w:rsid w:val="00EA0A33"/>
    <w:rsid w:val="00EA0BBD"/>
    <w:rsid w:val="00EA0EBC"/>
    <w:rsid w:val="00EA1930"/>
    <w:rsid w:val="00EA29DC"/>
    <w:rsid w:val="00EA3646"/>
    <w:rsid w:val="00EA3794"/>
    <w:rsid w:val="00EA417F"/>
    <w:rsid w:val="00EA423D"/>
    <w:rsid w:val="00EA4282"/>
    <w:rsid w:val="00EA479C"/>
    <w:rsid w:val="00EA6EB9"/>
    <w:rsid w:val="00EA755F"/>
    <w:rsid w:val="00EA7ACD"/>
    <w:rsid w:val="00EA7E8A"/>
    <w:rsid w:val="00EB0327"/>
    <w:rsid w:val="00EB03EF"/>
    <w:rsid w:val="00EB0492"/>
    <w:rsid w:val="00EB0BB7"/>
    <w:rsid w:val="00EB0FD2"/>
    <w:rsid w:val="00EB15E5"/>
    <w:rsid w:val="00EB1856"/>
    <w:rsid w:val="00EB1989"/>
    <w:rsid w:val="00EB1AAF"/>
    <w:rsid w:val="00EB1D1E"/>
    <w:rsid w:val="00EB1E68"/>
    <w:rsid w:val="00EB2193"/>
    <w:rsid w:val="00EB2DA1"/>
    <w:rsid w:val="00EB37D3"/>
    <w:rsid w:val="00EB3DDD"/>
    <w:rsid w:val="00EB422F"/>
    <w:rsid w:val="00EB42DD"/>
    <w:rsid w:val="00EB43F3"/>
    <w:rsid w:val="00EB44FF"/>
    <w:rsid w:val="00EB4CB8"/>
    <w:rsid w:val="00EB4F69"/>
    <w:rsid w:val="00EB518C"/>
    <w:rsid w:val="00EB54B7"/>
    <w:rsid w:val="00EB5671"/>
    <w:rsid w:val="00EB62EC"/>
    <w:rsid w:val="00EB6BE2"/>
    <w:rsid w:val="00EB6D11"/>
    <w:rsid w:val="00EB6D53"/>
    <w:rsid w:val="00EB7111"/>
    <w:rsid w:val="00EB71F5"/>
    <w:rsid w:val="00EB7358"/>
    <w:rsid w:val="00EB746C"/>
    <w:rsid w:val="00EB74F9"/>
    <w:rsid w:val="00EB7A63"/>
    <w:rsid w:val="00EB7C69"/>
    <w:rsid w:val="00EB7E32"/>
    <w:rsid w:val="00EC0C44"/>
    <w:rsid w:val="00EC0E81"/>
    <w:rsid w:val="00EC17F7"/>
    <w:rsid w:val="00EC1A52"/>
    <w:rsid w:val="00EC1E5D"/>
    <w:rsid w:val="00EC1FDF"/>
    <w:rsid w:val="00EC37DD"/>
    <w:rsid w:val="00EC3FD0"/>
    <w:rsid w:val="00EC43CA"/>
    <w:rsid w:val="00EC5D9F"/>
    <w:rsid w:val="00EC5E0E"/>
    <w:rsid w:val="00EC64DC"/>
    <w:rsid w:val="00ED0967"/>
    <w:rsid w:val="00ED0A45"/>
    <w:rsid w:val="00ED0E86"/>
    <w:rsid w:val="00ED12E9"/>
    <w:rsid w:val="00ED14A9"/>
    <w:rsid w:val="00ED1858"/>
    <w:rsid w:val="00ED1C1C"/>
    <w:rsid w:val="00ED2162"/>
    <w:rsid w:val="00ED2738"/>
    <w:rsid w:val="00ED3346"/>
    <w:rsid w:val="00ED397C"/>
    <w:rsid w:val="00ED3C1B"/>
    <w:rsid w:val="00ED3CA0"/>
    <w:rsid w:val="00ED3DF7"/>
    <w:rsid w:val="00ED3E74"/>
    <w:rsid w:val="00ED4026"/>
    <w:rsid w:val="00ED4063"/>
    <w:rsid w:val="00ED4080"/>
    <w:rsid w:val="00ED4528"/>
    <w:rsid w:val="00ED4CD0"/>
    <w:rsid w:val="00ED5033"/>
    <w:rsid w:val="00ED50CA"/>
    <w:rsid w:val="00ED59F7"/>
    <w:rsid w:val="00ED5AB6"/>
    <w:rsid w:val="00ED5DDD"/>
    <w:rsid w:val="00ED6016"/>
    <w:rsid w:val="00ED67E3"/>
    <w:rsid w:val="00ED6841"/>
    <w:rsid w:val="00ED7542"/>
    <w:rsid w:val="00ED76C1"/>
    <w:rsid w:val="00ED772B"/>
    <w:rsid w:val="00ED7ACF"/>
    <w:rsid w:val="00ED7E1E"/>
    <w:rsid w:val="00EE0EE9"/>
    <w:rsid w:val="00EE12FD"/>
    <w:rsid w:val="00EE14C4"/>
    <w:rsid w:val="00EE166B"/>
    <w:rsid w:val="00EE1C34"/>
    <w:rsid w:val="00EE1E56"/>
    <w:rsid w:val="00EE2120"/>
    <w:rsid w:val="00EE213A"/>
    <w:rsid w:val="00EE2653"/>
    <w:rsid w:val="00EE31C2"/>
    <w:rsid w:val="00EE34E4"/>
    <w:rsid w:val="00EE38E8"/>
    <w:rsid w:val="00EE3C4C"/>
    <w:rsid w:val="00EE3C70"/>
    <w:rsid w:val="00EE4B4D"/>
    <w:rsid w:val="00EE4DB3"/>
    <w:rsid w:val="00EE61EC"/>
    <w:rsid w:val="00EE62CD"/>
    <w:rsid w:val="00EE65FA"/>
    <w:rsid w:val="00EE66FC"/>
    <w:rsid w:val="00EE67EE"/>
    <w:rsid w:val="00EE6967"/>
    <w:rsid w:val="00EE6975"/>
    <w:rsid w:val="00EE6D36"/>
    <w:rsid w:val="00EE6ECC"/>
    <w:rsid w:val="00EE718A"/>
    <w:rsid w:val="00EE7800"/>
    <w:rsid w:val="00EE7B59"/>
    <w:rsid w:val="00EE7B68"/>
    <w:rsid w:val="00EF0A3B"/>
    <w:rsid w:val="00EF0ED7"/>
    <w:rsid w:val="00EF147A"/>
    <w:rsid w:val="00EF16F5"/>
    <w:rsid w:val="00EF21AA"/>
    <w:rsid w:val="00EF26B6"/>
    <w:rsid w:val="00EF2750"/>
    <w:rsid w:val="00EF2BA7"/>
    <w:rsid w:val="00EF3467"/>
    <w:rsid w:val="00EF34A6"/>
    <w:rsid w:val="00EF359C"/>
    <w:rsid w:val="00EF3848"/>
    <w:rsid w:val="00EF3A77"/>
    <w:rsid w:val="00EF3EE7"/>
    <w:rsid w:val="00EF40ED"/>
    <w:rsid w:val="00EF4568"/>
    <w:rsid w:val="00EF4E69"/>
    <w:rsid w:val="00EF5C23"/>
    <w:rsid w:val="00EF5C30"/>
    <w:rsid w:val="00EF5D01"/>
    <w:rsid w:val="00EF6D13"/>
    <w:rsid w:val="00EF6DEB"/>
    <w:rsid w:val="00EF7EF7"/>
    <w:rsid w:val="00EF7F4F"/>
    <w:rsid w:val="00F003C8"/>
    <w:rsid w:val="00F0099B"/>
    <w:rsid w:val="00F00DC6"/>
    <w:rsid w:val="00F00E8D"/>
    <w:rsid w:val="00F01542"/>
    <w:rsid w:val="00F01C2C"/>
    <w:rsid w:val="00F01D68"/>
    <w:rsid w:val="00F0286A"/>
    <w:rsid w:val="00F03087"/>
    <w:rsid w:val="00F03279"/>
    <w:rsid w:val="00F0357B"/>
    <w:rsid w:val="00F03FC2"/>
    <w:rsid w:val="00F0435E"/>
    <w:rsid w:val="00F04417"/>
    <w:rsid w:val="00F051A4"/>
    <w:rsid w:val="00F0538B"/>
    <w:rsid w:val="00F05513"/>
    <w:rsid w:val="00F055AE"/>
    <w:rsid w:val="00F056A5"/>
    <w:rsid w:val="00F056F8"/>
    <w:rsid w:val="00F0579B"/>
    <w:rsid w:val="00F058F6"/>
    <w:rsid w:val="00F059F7"/>
    <w:rsid w:val="00F06268"/>
    <w:rsid w:val="00F06B94"/>
    <w:rsid w:val="00F070CB"/>
    <w:rsid w:val="00F0711F"/>
    <w:rsid w:val="00F07415"/>
    <w:rsid w:val="00F07932"/>
    <w:rsid w:val="00F07AA7"/>
    <w:rsid w:val="00F07E70"/>
    <w:rsid w:val="00F104CC"/>
    <w:rsid w:val="00F106C4"/>
    <w:rsid w:val="00F10870"/>
    <w:rsid w:val="00F10D76"/>
    <w:rsid w:val="00F11481"/>
    <w:rsid w:val="00F117D8"/>
    <w:rsid w:val="00F122BA"/>
    <w:rsid w:val="00F12840"/>
    <w:rsid w:val="00F12E24"/>
    <w:rsid w:val="00F12E41"/>
    <w:rsid w:val="00F1393D"/>
    <w:rsid w:val="00F13981"/>
    <w:rsid w:val="00F13B17"/>
    <w:rsid w:val="00F141BF"/>
    <w:rsid w:val="00F142B2"/>
    <w:rsid w:val="00F14590"/>
    <w:rsid w:val="00F1479D"/>
    <w:rsid w:val="00F14942"/>
    <w:rsid w:val="00F14C94"/>
    <w:rsid w:val="00F14E49"/>
    <w:rsid w:val="00F14E87"/>
    <w:rsid w:val="00F15040"/>
    <w:rsid w:val="00F156E3"/>
    <w:rsid w:val="00F1576C"/>
    <w:rsid w:val="00F15C60"/>
    <w:rsid w:val="00F17A28"/>
    <w:rsid w:val="00F17DDA"/>
    <w:rsid w:val="00F20196"/>
    <w:rsid w:val="00F202C2"/>
    <w:rsid w:val="00F204B1"/>
    <w:rsid w:val="00F20AA3"/>
    <w:rsid w:val="00F20CB1"/>
    <w:rsid w:val="00F215BD"/>
    <w:rsid w:val="00F22495"/>
    <w:rsid w:val="00F22A98"/>
    <w:rsid w:val="00F22AA6"/>
    <w:rsid w:val="00F23540"/>
    <w:rsid w:val="00F2394B"/>
    <w:rsid w:val="00F2395E"/>
    <w:rsid w:val="00F23C77"/>
    <w:rsid w:val="00F245A2"/>
    <w:rsid w:val="00F246EE"/>
    <w:rsid w:val="00F25655"/>
    <w:rsid w:val="00F2566D"/>
    <w:rsid w:val="00F2593A"/>
    <w:rsid w:val="00F25A6D"/>
    <w:rsid w:val="00F25B6C"/>
    <w:rsid w:val="00F25D57"/>
    <w:rsid w:val="00F2666F"/>
    <w:rsid w:val="00F267D2"/>
    <w:rsid w:val="00F2768A"/>
    <w:rsid w:val="00F278EE"/>
    <w:rsid w:val="00F27953"/>
    <w:rsid w:val="00F27B34"/>
    <w:rsid w:val="00F27D65"/>
    <w:rsid w:val="00F302AE"/>
    <w:rsid w:val="00F306C7"/>
    <w:rsid w:val="00F307EB"/>
    <w:rsid w:val="00F30D82"/>
    <w:rsid w:val="00F30E20"/>
    <w:rsid w:val="00F310E0"/>
    <w:rsid w:val="00F3120B"/>
    <w:rsid w:val="00F31C4B"/>
    <w:rsid w:val="00F33007"/>
    <w:rsid w:val="00F33622"/>
    <w:rsid w:val="00F337A5"/>
    <w:rsid w:val="00F3410D"/>
    <w:rsid w:val="00F34728"/>
    <w:rsid w:val="00F35329"/>
    <w:rsid w:val="00F35737"/>
    <w:rsid w:val="00F35F34"/>
    <w:rsid w:val="00F3630B"/>
    <w:rsid w:val="00F36974"/>
    <w:rsid w:val="00F36B0E"/>
    <w:rsid w:val="00F371B2"/>
    <w:rsid w:val="00F37247"/>
    <w:rsid w:val="00F372AF"/>
    <w:rsid w:val="00F37776"/>
    <w:rsid w:val="00F37B83"/>
    <w:rsid w:val="00F401BE"/>
    <w:rsid w:val="00F40634"/>
    <w:rsid w:val="00F40C53"/>
    <w:rsid w:val="00F41C56"/>
    <w:rsid w:val="00F424DC"/>
    <w:rsid w:val="00F427B2"/>
    <w:rsid w:val="00F42F70"/>
    <w:rsid w:val="00F43367"/>
    <w:rsid w:val="00F433C3"/>
    <w:rsid w:val="00F43C76"/>
    <w:rsid w:val="00F44CA9"/>
    <w:rsid w:val="00F4507D"/>
    <w:rsid w:val="00F45746"/>
    <w:rsid w:val="00F457E2"/>
    <w:rsid w:val="00F4591A"/>
    <w:rsid w:val="00F45967"/>
    <w:rsid w:val="00F4686C"/>
    <w:rsid w:val="00F46C7E"/>
    <w:rsid w:val="00F46D3F"/>
    <w:rsid w:val="00F47052"/>
    <w:rsid w:val="00F470FE"/>
    <w:rsid w:val="00F473A8"/>
    <w:rsid w:val="00F47482"/>
    <w:rsid w:val="00F477C7"/>
    <w:rsid w:val="00F47E45"/>
    <w:rsid w:val="00F507B4"/>
    <w:rsid w:val="00F51410"/>
    <w:rsid w:val="00F51543"/>
    <w:rsid w:val="00F51724"/>
    <w:rsid w:val="00F51C83"/>
    <w:rsid w:val="00F51FD7"/>
    <w:rsid w:val="00F521AF"/>
    <w:rsid w:val="00F52216"/>
    <w:rsid w:val="00F52344"/>
    <w:rsid w:val="00F5288E"/>
    <w:rsid w:val="00F52D45"/>
    <w:rsid w:val="00F52F61"/>
    <w:rsid w:val="00F53CA2"/>
    <w:rsid w:val="00F53F3D"/>
    <w:rsid w:val="00F5435D"/>
    <w:rsid w:val="00F54B68"/>
    <w:rsid w:val="00F55C07"/>
    <w:rsid w:val="00F56A8A"/>
    <w:rsid w:val="00F56C8E"/>
    <w:rsid w:val="00F56CCB"/>
    <w:rsid w:val="00F56DC8"/>
    <w:rsid w:val="00F572BD"/>
    <w:rsid w:val="00F57334"/>
    <w:rsid w:val="00F5760E"/>
    <w:rsid w:val="00F5780E"/>
    <w:rsid w:val="00F5791F"/>
    <w:rsid w:val="00F57B00"/>
    <w:rsid w:val="00F57C5C"/>
    <w:rsid w:val="00F60A3A"/>
    <w:rsid w:val="00F60CD8"/>
    <w:rsid w:val="00F60FD2"/>
    <w:rsid w:val="00F61F9C"/>
    <w:rsid w:val="00F627EC"/>
    <w:rsid w:val="00F629E2"/>
    <w:rsid w:val="00F62DDA"/>
    <w:rsid w:val="00F6301B"/>
    <w:rsid w:val="00F6397B"/>
    <w:rsid w:val="00F639F6"/>
    <w:rsid w:val="00F63CF5"/>
    <w:rsid w:val="00F63D30"/>
    <w:rsid w:val="00F63F47"/>
    <w:rsid w:val="00F64274"/>
    <w:rsid w:val="00F642F5"/>
    <w:rsid w:val="00F65A0B"/>
    <w:rsid w:val="00F65E74"/>
    <w:rsid w:val="00F66FCF"/>
    <w:rsid w:val="00F676F4"/>
    <w:rsid w:val="00F67792"/>
    <w:rsid w:val="00F677AA"/>
    <w:rsid w:val="00F67C56"/>
    <w:rsid w:val="00F7016E"/>
    <w:rsid w:val="00F7019E"/>
    <w:rsid w:val="00F705B5"/>
    <w:rsid w:val="00F7084E"/>
    <w:rsid w:val="00F70960"/>
    <w:rsid w:val="00F712A7"/>
    <w:rsid w:val="00F71413"/>
    <w:rsid w:val="00F7164D"/>
    <w:rsid w:val="00F71A4F"/>
    <w:rsid w:val="00F71F77"/>
    <w:rsid w:val="00F7220F"/>
    <w:rsid w:val="00F727B2"/>
    <w:rsid w:val="00F72962"/>
    <w:rsid w:val="00F7346D"/>
    <w:rsid w:val="00F737A7"/>
    <w:rsid w:val="00F737F4"/>
    <w:rsid w:val="00F73E8A"/>
    <w:rsid w:val="00F7483A"/>
    <w:rsid w:val="00F74F99"/>
    <w:rsid w:val="00F74FA1"/>
    <w:rsid w:val="00F750D6"/>
    <w:rsid w:val="00F7525E"/>
    <w:rsid w:val="00F75B03"/>
    <w:rsid w:val="00F75CE3"/>
    <w:rsid w:val="00F7641C"/>
    <w:rsid w:val="00F76744"/>
    <w:rsid w:val="00F76973"/>
    <w:rsid w:val="00F77043"/>
    <w:rsid w:val="00F770CF"/>
    <w:rsid w:val="00F773E5"/>
    <w:rsid w:val="00F777CD"/>
    <w:rsid w:val="00F77E04"/>
    <w:rsid w:val="00F804B6"/>
    <w:rsid w:val="00F805AD"/>
    <w:rsid w:val="00F80855"/>
    <w:rsid w:val="00F80AE0"/>
    <w:rsid w:val="00F80D9F"/>
    <w:rsid w:val="00F8106F"/>
    <w:rsid w:val="00F8123A"/>
    <w:rsid w:val="00F81FE3"/>
    <w:rsid w:val="00F83119"/>
    <w:rsid w:val="00F83556"/>
    <w:rsid w:val="00F84536"/>
    <w:rsid w:val="00F847C0"/>
    <w:rsid w:val="00F84A91"/>
    <w:rsid w:val="00F8527F"/>
    <w:rsid w:val="00F853DD"/>
    <w:rsid w:val="00F8555B"/>
    <w:rsid w:val="00F85C8A"/>
    <w:rsid w:val="00F85F9C"/>
    <w:rsid w:val="00F86018"/>
    <w:rsid w:val="00F865F6"/>
    <w:rsid w:val="00F86952"/>
    <w:rsid w:val="00F8738B"/>
    <w:rsid w:val="00F876BD"/>
    <w:rsid w:val="00F90838"/>
    <w:rsid w:val="00F90E4C"/>
    <w:rsid w:val="00F91023"/>
    <w:rsid w:val="00F91282"/>
    <w:rsid w:val="00F91CA0"/>
    <w:rsid w:val="00F91CDD"/>
    <w:rsid w:val="00F91E93"/>
    <w:rsid w:val="00F927FC"/>
    <w:rsid w:val="00F92C08"/>
    <w:rsid w:val="00F94021"/>
    <w:rsid w:val="00F947B2"/>
    <w:rsid w:val="00F94FC6"/>
    <w:rsid w:val="00F95138"/>
    <w:rsid w:val="00F95927"/>
    <w:rsid w:val="00F95DC9"/>
    <w:rsid w:val="00F96470"/>
    <w:rsid w:val="00F96492"/>
    <w:rsid w:val="00F9653C"/>
    <w:rsid w:val="00F9657B"/>
    <w:rsid w:val="00F96871"/>
    <w:rsid w:val="00F96C33"/>
    <w:rsid w:val="00F9702C"/>
    <w:rsid w:val="00F9716F"/>
    <w:rsid w:val="00F97286"/>
    <w:rsid w:val="00F97E0D"/>
    <w:rsid w:val="00FA02F2"/>
    <w:rsid w:val="00FA08D2"/>
    <w:rsid w:val="00FA0B23"/>
    <w:rsid w:val="00FA1151"/>
    <w:rsid w:val="00FA19BD"/>
    <w:rsid w:val="00FA2297"/>
    <w:rsid w:val="00FA2D0F"/>
    <w:rsid w:val="00FA2DFF"/>
    <w:rsid w:val="00FA3257"/>
    <w:rsid w:val="00FA34DB"/>
    <w:rsid w:val="00FA3568"/>
    <w:rsid w:val="00FA363D"/>
    <w:rsid w:val="00FA3D89"/>
    <w:rsid w:val="00FA4031"/>
    <w:rsid w:val="00FA403C"/>
    <w:rsid w:val="00FA47EB"/>
    <w:rsid w:val="00FA495B"/>
    <w:rsid w:val="00FA4A19"/>
    <w:rsid w:val="00FA4D55"/>
    <w:rsid w:val="00FA5289"/>
    <w:rsid w:val="00FA578E"/>
    <w:rsid w:val="00FA5D9A"/>
    <w:rsid w:val="00FA5F54"/>
    <w:rsid w:val="00FA633A"/>
    <w:rsid w:val="00FA6818"/>
    <w:rsid w:val="00FA6E86"/>
    <w:rsid w:val="00FA716A"/>
    <w:rsid w:val="00FB00E6"/>
    <w:rsid w:val="00FB010B"/>
    <w:rsid w:val="00FB03A8"/>
    <w:rsid w:val="00FB093F"/>
    <w:rsid w:val="00FB0BAC"/>
    <w:rsid w:val="00FB0C90"/>
    <w:rsid w:val="00FB0DC0"/>
    <w:rsid w:val="00FB1062"/>
    <w:rsid w:val="00FB14F0"/>
    <w:rsid w:val="00FB19F7"/>
    <w:rsid w:val="00FB1A97"/>
    <w:rsid w:val="00FB1D4C"/>
    <w:rsid w:val="00FB20C2"/>
    <w:rsid w:val="00FB27A8"/>
    <w:rsid w:val="00FB2884"/>
    <w:rsid w:val="00FB3A95"/>
    <w:rsid w:val="00FB4041"/>
    <w:rsid w:val="00FB450F"/>
    <w:rsid w:val="00FB4C3F"/>
    <w:rsid w:val="00FB4FDA"/>
    <w:rsid w:val="00FB5662"/>
    <w:rsid w:val="00FB5709"/>
    <w:rsid w:val="00FB5732"/>
    <w:rsid w:val="00FB591D"/>
    <w:rsid w:val="00FB5F2F"/>
    <w:rsid w:val="00FB624B"/>
    <w:rsid w:val="00FB6789"/>
    <w:rsid w:val="00FB6AC1"/>
    <w:rsid w:val="00FB747B"/>
    <w:rsid w:val="00FB7E5A"/>
    <w:rsid w:val="00FC0203"/>
    <w:rsid w:val="00FC07A9"/>
    <w:rsid w:val="00FC102C"/>
    <w:rsid w:val="00FC12DC"/>
    <w:rsid w:val="00FC15FD"/>
    <w:rsid w:val="00FC2886"/>
    <w:rsid w:val="00FC298D"/>
    <w:rsid w:val="00FC2B51"/>
    <w:rsid w:val="00FC2F7A"/>
    <w:rsid w:val="00FC330E"/>
    <w:rsid w:val="00FC33E2"/>
    <w:rsid w:val="00FC387E"/>
    <w:rsid w:val="00FC39C0"/>
    <w:rsid w:val="00FC442B"/>
    <w:rsid w:val="00FC4CDE"/>
    <w:rsid w:val="00FC50D3"/>
    <w:rsid w:val="00FC58D8"/>
    <w:rsid w:val="00FC5BA9"/>
    <w:rsid w:val="00FC5D0C"/>
    <w:rsid w:val="00FC6FE3"/>
    <w:rsid w:val="00FC7CD3"/>
    <w:rsid w:val="00FC7CF8"/>
    <w:rsid w:val="00FC7F3A"/>
    <w:rsid w:val="00FD032B"/>
    <w:rsid w:val="00FD0E0D"/>
    <w:rsid w:val="00FD1ECD"/>
    <w:rsid w:val="00FD20AF"/>
    <w:rsid w:val="00FD21F5"/>
    <w:rsid w:val="00FD25B8"/>
    <w:rsid w:val="00FD2ABA"/>
    <w:rsid w:val="00FD2BC0"/>
    <w:rsid w:val="00FD340D"/>
    <w:rsid w:val="00FD3658"/>
    <w:rsid w:val="00FD3746"/>
    <w:rsid w:val="00FD390C"/>
    <w:rsid w:val="00FD3960"/>
    <w:rsid w:val="00FD3C0A"/>
    <w:rsid w:val="00FD3F70"/>
    <w:rsid w:val="00FD40BA"/>
    <w:rsid w:val="00FD4121"/>
    <w:rsid w:val="00FD42D2"/>
    <w:rsid w:val="00FD46C8"/>
    <w:rsid w:val="00FD4C10"/>
    <w:rsid w:val="00FD4D88"/>
    <w:rsid w:val="00FD4D9D"/>
    <w:rsid w:val="00FD558C"/>
    <w:rsid w:val="00FD5BF9"/>
    <w:rsid w:val="00FD6985"/>
    <w:rsid w:val="00FD6BCB"/>
    <w:rsid w:val="00FD6CAA"/>
    <w:rsid w:val="00FD71A7"/>
    <w:rsid w:val="00FD7BF3"/>
    <w:rsid w:val="00FD7FB4"/>
    <w:rsid w:val="00FE005D"/>
    <w:rsid w:val="00FE04E3"/>
    <w:rsid w:val="00FE0AAF"/>
    <w:rsid w:val="00FE18FE"/>
    <w:rsid w:val="00FE1F4F"/>
    <w:rsid w:val="00FE1FA8"/>
    <w:rsid w:val="00FE2B1E"/>
    <w:rsid w:val="00FE2DCE"/>
    <w:rsid w:val="00FE3021"/>
    <w:rsid w:val="00FE317C"/>
    <w:rsid w:val="00FE35AD"/>
    <w:rsid w:val="00FE36C0"/>
    <w:rsid w:val="00FE3756"/>
    <w:rsid w:val="00FE3E48"/>
    <w:rsid w:val="00FE41D6"/>
    <w:rsid w:val="00FE51B4"/>
    <w:rsid w:val="00FE5BDD"/>
    <w:rsid w:val="00FE61EC"/>
    <w:rsid w:val="00FE675A"/>
    <w:rsid w:val="00FE68A5"/>
    <w:rsid w:val="00FE6F99"/>
    <w:rsid w:val="00FE73DC"/>
    <w:rsid w:val="00FE77EC"/>
    <w:rsid w:val="00FE78F1"/>
    <w:rsid w:val="00FE7DD5"/>
    <w:rsid w:val="00FF0B95"/>
    <w:rsid w:val="00FF1131"/>
    <w:rsid w:val="00FF1A69"/>
    <w:rsid w:val="00FF2567"/>
    <w:rsid w:val="00FF2652"/>
    <w:rsid w:val="00FF2B02"/>
    <w:rsid w:val="00FF2C70"/>
    <w:rsid w:val="00FF2D40"/>
    <w:rsid w:val="00FF2E23"/>
    <w:rsid w:val="00FF38C6"/>
    <w:rsid w:val="00FF38D3"/>
    <w:rsid w:val="00FF3941"/>
    <w:rsid w:val="00FF410F"/>
    <w:rsid w:val="00FF44DD"/>
    <w:rsid w:val="00FF4734"/>
    <w:rsid w:val="00FF4A4A"/>
    <w:rsid w:val="00FF4D31"/>
    <w:rsid w:val="00FF4E93"/>
    <w:rsid w:val="00FF4FE1"/>
    <w:rsid w:val="00FF50CE"/>
    <w:rsid w:val="00FF531C"/>
    <w:rsid w:val="00FF54BB"/>
    <w:rsid w:val="00FF5847"/>
    <w:rsid w:val="00FF5938"/>
    <w:rsid w:val="00FF5A9F"/>
    <w:rsid w:val="00FF647E"/>
    <w:rsid w:val="00FF654A"/>
    <w:rsid w:val="00FF69F6"/>
    <w:rsid w:val="00FF6BB8"/>
    <w:rsid w:val="00FF6CEE"/>
    <w:rsid w:val="00FF6EC9"/>
    <w:rsid w:val="00FF7925"/>
    <w:rsid w:val="00FF7D38"/>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FA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TT" w:eastAsia="en-US" w:bidi="ar-SA"/>
      </w:rPr>
    </w:rPrDefault>
    <w:pPrDefault>
      <w:pPr>
        <w:spacing w:before="20" w:line="360" w:lineRule="auto"/>
        <w:ind w:firstLine="567"/>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F73ED"/>
    <w:rPr>
      <w:rFonts w:asciiTheme="majorBidi" w:eastAsiaTheme="minorEastAsia" w:hAnsiTheme="majorBidi"/>
      <w:sz w:val="24"/>
      <w:lang w:val="en-GB" w:eastAsia="en-GB"/>
    </w:rPr>
  </w:style>
  <w:style w:type="paragraph" w:styleId="Heading1">
    <w:name w:val="heading 1"/>
    <w:basedOn w:val="Normal"/>
    <w:next w:val="Normal"/>
    <w:link w:val="Heading1Char"/>
    <w:autoRedefine/>
    <w:uiPriority w:val="9"/>
    <w:qFormat/>
    <w:rsid w:val="00D20B2D"/>
    <w:pPr>
      <w:keepNext/>
      <w:keepLines/>
      <w:ind w:right="4" w:firstLine="0"/>
      <w:jc w:val="center"/>
      <w:outlineLvl w:val="0"/>
    </w:pPr>
    <w:rPr>
      <w:rFonts w:ascii="Times New Roman" w:hAnsi="Times New Roman" w:cs="Times New Roman"/>
      <w:b/>
      <w:bCs/>
      <w:sz w:val="32"/>
      <w:szCs w:val="28"/>
      <w:lang w:val="fr-FR"/>
    </w:rPr>
  </w:style>
  <w:style w:type="paragraph" w:styleId="Heading2">
    <w:name w:val="heading 2"/>
    <w:aliases w:val="Heading 10,Heading 11"/>
    <w:basedOn w:val="Normal"/>
    <w:next w:val="Normal"/>
    <w:link w:val="Heading2Char"/>
    <w:unhideWhenUsed/>
    <w:qFormat/>
    <w:rsid w:val="00175C3E"/>
    <w:pPr>
      <w:keepNext/>
      <w:keepLines/>
      <w:numPr>
        <w:ilvl w:val="1"/>
        <w:numId w:val="56"/>
      </w:numPr>
      <w:spacing w:before="200"/>
      <w:outlineLvl w:val="1"/>
    </w:pPr>
    <w:rPr>
      <w:rFonts w:ascii="Times New Roman" w:eastAsiaTheme="majorEastAsia" w:hAnsi="Times New Roman" w:cs="Times New Roman"/>
      <w:b/>
      <w:bCs/>
      <w:szCs w:val="26"/>
      <w:u w:val="single"/>
    </w:rPr>
  </w:style>
  <w:style w:type="paragraph" w:styleId="Heading3">
    <w:name w:val="heading 3"/>
    <w:basedOn w:val="Normal"/>
    <w:next w:val="Normal"/>
    <w:link w:val="Heading3Char"/>
    <w:unhideWhenUsed/>
    <w:qFormat/>
    <w:rsid w:val="005C449C"/>
    <w:pPr>
      <w:ind w:firstLine="0"/>
      <w:outlineLvl w:val="2"/>
    </w:pPr>
    <w:rPr>
      <w:b/>
      <w:i/>
      <w:u w:val="single"/>
    </w:rPr>
  </w:style>
  <w:style w:type="paragraph" w:styleId="Heading4">
    <w:name w:val="heading 4"/>
    <w:basedOn w:val="Normal"/>
    <w:next w:val="Normal"/>
    <w:link w:val="Heading4Char"/>
    <w:unhideWhenUsed/>
    <w:qFormat/>
    <w:rsid w:val="00112260"/>
    <w:pPr>
      <w:outlineLvl w:val="3"/>
    </w:pPr>
    <w:rPr>
      <w:b/>
      <w:i/>
      <w:u w:val="single"/>
    </w:rPr>
  </w:style>
  <w:style w:type="paragraph" w:styleId="Heading5">
    <w:name w:val="heading 5"/>
    <w:basedOn w:val="Normal"/>
    <w:next w:val="Normal"/>
    <w:link w:val="Heading5Char"/>
    <w:autoRedefine/>
    <w:unhideWhenUsed/>
    <w:qFormat/>
    <w:rsid w:val="0031040A"/>
    <w:pPr>
      <w:keepNext/>
      <w:keepLines/>
      <w:numPr>
        <w:ilvl w:val="4"/>
        <w:numId w:val="56"/>
      </w:numPr>
      <w:spacing w:before="200" w:line="240" w:lineRule="auto"/>
      <w:outlineLvl w:val="4"/>
    </w:pPr>
    <w:rPr>
      <w:rFonts w:ascii="Times New Roman" w:eastAsiaTheme="majorEastAsia" w:hAnsi="Times New Roman" w:cs="Times New Roman"/>
      <w:i/>
      <w:color w:val="000000" w:themeColor="text1"/>
      <w:u w:val="single"/>
    </w:rPr>
  </w:style>
  <w:style w:type="paragraph" w:styleId="Heading6">
    <w:name w:val="heading 6"/>
    <w:basedOn w:val="Normal"/>
    <w:next w:val="Normal"/>
    <w:link w:val="Heading6Char"/>
    <w:unhideWhenUsed/>
    <w:qFormat/>
    <w:rsid w:val="001F077F"/>
    <w:pPr>
      <w:keepNext/>
      <w:keepLines/>
      <w:numPr>
        <w:ilvl w:val="5"/>
        <w:numId w:val="56"/>
      </w:numPr>
      <w:spacing w:before="40"/>
      <w:outlineLvl w:val="5"/>
    </w:pPr>
    <w:rPr>
      <w:rFonts w:asciiTheme="majorHAnsi" w:eastAsiaTheme="majorEastAsia" w:hAnsiTheme="majorHAnsi" w:cstheme="majorBidi"/>
      <w:color w:val="243F60" w:themeColor="accent1" w:themeShade="7F"/>
      <w:lang w:val="en-TT" w:eastAsia="en-US"/>
    </w:rPr>
  </w:style>
  <w:style w:type="paragraph" w:styleId="Heading7">
    <w:name w:val="heading 7"/>
    <w:basedOn w:val="Normal"/>
    <w:next w:val="Normal"/>
    <w:link w:val="Heading7Char"/>
    <w:autoRedefine/>
    <w:uiPriority w:val="9"/>
    <w:unhideWhenUsed/>
    <w:qFormat/>
    <w:rsid w:val="001F077F"/>
    <w:pPr>
      <w:keepNext/>
      <w:keepLines/>
      <w:numPr>
        <w:ilvl w:val="6"/>
        <w:numId w:val="56"/>
      </w:numPr>
      <w:spacing w:before="40"/>
      <w:outlineLvl w:val="6"/>
    </w:pPr>
    <w:rPr>
      <w:rFonts w:eastAsiaTheme="majorEastAsia" w:cstheme="majorBidi"/>
      <w:b/>
      <w:i/>
      <w:iCs/>
      <w:u w:val="single"/>
      <w:lang w:val="en-TT" w:eastAsia="en-US"/>
    </w:rPr>
  </w:style>
  <w:style w:type="paragraph" w:styleId="Heading8">
    <w:name w:val="heading 8"/>
    <w:basedOn w:val="Normal"/>
    <w:next w:val="Normal"/>
    <w:link w:val="Heading8Char"/>
    <w:uiPriority w:val="9"/>
    <w:unhideWhenUsed/>
    <w:qFormat/>
    <w:rsid w:val="001F077F"/>
    <w:pPr>
      <w:keepNext/>
      <w:keepLines/>
      <w:numPr>
        <w:ilvl w:val="7"/>
        <w:numId w:val="5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F077F"/>
    <w:pPr>
      <w:keepNext/>
      <w:keepLines/>
      <w:numPr>
        <w:ilvl w:val="8"/>
        <w:numId w:val="56"/>
      </w:numPr>
      <w:spacing w:before="40"/>
      <w:outlineLvl w:val="8"/>
    </w:pPr>
    <w:rPr>
      <w:rFonts w:asciiTheme="majorHAnsi" w:eastAsiaTheme="majorEastAsia" w:hAnsiTheme="majorHAnsi" w:cstheme="majorBidi"/>
      <w:i/>
      <w:iCs/>
      <w:color w:val="272727" w:themeColor="text1" w:themeTint="D8"/>
      <w:sz w:val="21"/>
      <w:szCs w:val="21"/>
      <w:lang w:val="en-T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513959"/>
    <w:pPr>
      <w:autoSpaceDE w:val="0"/>
      <w:autoSpaceDN w:val="0"/>
      <w:adjustRightInd w:val="0"/>
      <w:spacing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20B2D"/>
    <w:rPr>
      <w:rFonts w:ascii="Times New Roman" w:eastAsiaTheme="minorEastAsia" w:hAnsi="Times New Roman" w:cs="Times New Roman"/>
      <w:b/>
      <w:bCs/>
      <w:sz w:val="32"/>
      <w:szCs w:val="28"/>
      <w:lang w:val="fr-FR" w:eastAsia="en-GB"/>
    </w:rPr>
  </w:style>
  <w:style w:type="paragraph" w:styleId="Title">
    <w:name w:val="Title"/>
    <w:basedOn w:val="Normal"/>
    <w:next w:val="Normal"/>
    <w:link w:val="TitleChar"/>
    <w:qFormat/>
    <w:rsid w:val="00B015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0157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B01575"/>
    <w:pPr>
      <w:numPr>
        <w:ilvl w:val="1"/>
      </w:numPr>
      <w:ind w:firstLine="567"/>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B0157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01575"/>
    <w:rPr>
      <w:i/>
      <w:iCs/>
      <w:color w:val="808080" w:themeColor="text1" w:themeTint="7F"/>
    </w:rPr>
  </w:style>
  <w:style w:type="character" w:styleId="IntenseEmphasis">
    <w:name w:val="Intense Emphasis"/>
    <w:basedOn w:val="DefaultParagraphFont"/>
    <w:uiPriority w:val="21"/>
    <w:qFormat/>
    <w:rsid w:val="00B01575"/>
    <w:rPr>
      <w:b/>
      <w:bCs/>
      <w:i/>
      <w:iCs/>
      <w:color w:val="4F81BD" w:themeColor="accent1"/>
    </w:rPr>
  </w:style>
  <w:style w:type="character" w:styleId="CommentReference">
    <w:name w:val="annotation reference"/>
    <w:basedOn w:val="DefaultParagraphFont"/>
    <w:uiPriority w:val="99"/>
    <w:semiHidden/>
    <w:unhideWhenUsed/>
    <w:rsid w:val="004A282D"/>
    <w:rPr>
      <w:sz w:val="16"/>
      <w:szCs w:val="16"/>
    </w:rPr>
  </w:style>
  <w:style w:type="paragraph" w:styleId="CommentText">
    <w:name w:val="annotation text"/>
    <w:basedOn w:val="Normal"/>
    <w:link w:val="CommentTextChar"/>
    <w:uiPriority w:val="99"/>
    <w:unhideWhenUsed/>
    <w:rsid w:val="004A282D"/>
    <w:pPr>
      <w:spacing w:line="240" w:lineRule="auto"/>
    </w:pPr>
    <w:rPr>
      <w:sz w:val="20"/>
      <w:szCs w:val="20"/>
    </w:rPr>
  </w:style>
  <w:style w:type="character" w:customStyle="1" w:styleId="CommentTextChar">
    <w:name w:val="Comment Text Char"/>
    <w:basedOn w:val="DefaultParagraphFont"/>
    <w:link w:val="CommentText"/>
    <w:uiPriority w:val="99"/>
    <w:rsid w:val="004A282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A282D"/>
    <w:rPr>
      <w:b/>
      <w:bCs/>
    </w:rPr>
  </w:style>
  <w:style w:type="character" w:customStyle="1" w:styleId="CommentSubjectChar">
    <w:name w:val="Comment Subject Char"/>
    <w:basedOn w:val="CommentTextChar"/>
    <w:link w:val="CommentSubject"/>
    <w:uiPriority w:val="99"/>
    <w:semiHidden/>
    <w:rsid w:val="004A282D"/>
    <w:rPr>
      <w:rFonts w:ascii="Times New Roman" w:hAnsi="Times New Roman"/>
      <w:b/>
      <w:bCs/>
      <w:sz w:val="20"/>
      <w:szCs w:val="20"/>
    </w:rPr>
  </w:style>
  <w:style w:type="paragraph" w:styleId="BalloonText">
    <w:name w:val="Balloon Text"/>
    <w:basedOn w:val="Normal"/>
    <w:link w:val="BalloonTextChar"/>
    <w:uiPriority w:val="99"/>
    <w:semiHidden/>
    <w:unhideWhenUsed/>
    <w:rsid w:val="004A28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82D"/>
    <w:rPr>
      <w:rFonts w:ascii="Tahoma" w:hAnsi="Tahoma" w:cs="Tahoma"/>
      <w:sz w:val="16"/>
      <w:szCs w:val="16"/>
    </w:rPr>
  </w:style>
  <w:style w:type="paragraph" w:styleId="FootnoteText">
    <w:name w:val="footnote text"/>
    <w:basedOn w:val="Normal"/>
    <w:link w:val="FootnoteTextChar"/>
    <w:uiPriority w:val="99"/>
    <w:unhideWhenUsed/>
    <w:rsid w:val="004A282D"/>
    <w:pPr>
      <w:spacing w:line="240" w:lineRule="auto"/>
    </w:pPr>
    <w:rPr>
      <w:sz w:val="20"/>
      <w:szCs w:val="20"/>
    </w:rPr>
  </w:style>
  <w:style w:type="character" w:customStyle="1" w:styleId="FootnoteTextChar">
    <w:name w:val="Footnote Text Char"/>
    <w:basedOn w:val="DefaultParagraphFont"/>
    <w:link w:val="FootnoteText"/>
    <w:uiPriority w:val="99"/>
    <w:rsid w:val="004A282D"/>
    <w:rPr>
      <w:rFonts w:ascii="Times New Roman" w:hAnsi="Times New Roman"/>
      <w:sz w:val="20"/>
      <w:szCs w:val="20"/>
    </w:rPr>
  </w:style>
  <w:style w:type="character" w:styleId="FootnoteReference">
    <w:name w:val="footnote reference"/>
    <w:basedOn w:val="DefaultParagraphFont"/>
    <w:uiPriority w:val="99"/>
    <w:semiHidden/>
    <w:unhideWhenUsed/>
    <w:rsid w:val="004A282D"/>
    <w:rPr>
      <w:vertAlign w:val="superscript"/>
    </w:rPr>
  </w:style>
  <w:style w:type="character" w:customStyle="1" w:styleId="Heading2Char">
    <w:name w:val="Heading 2 Char"/>
    <w:aliases w:val="Heading 10 Char,Heading 11 Char"/>
    <w:basedOn w:val="DefaultParagraphFont"/>
    <w:link w:val="Heading2"/>
    <w:rsid w:val="00175C3E"/>
    <w:rPr>
      <w:rFonts w:ascii="Times New Roman" w:eastAsiaTheme="majorEastAsia" w:hAnsi="Times New Roman" w:cs="Times New Roman"/>
      <w:b/>
      <w:bCs/>
      <w:sz w:val="24"/>
      <w:szCs w:val="26"/>
      <w:u w:val="single"/>
      <w:lang w:val="en-GB" w:eastAsia="en-GB"/>
    </w:rPr>
  </w:style>
  <w:style w:type="paragraph" w:styleId="Header">
    <w:name w:val="header"/>
    <w:basedOn w:val="Normal"/>
    <w:link w:val="HeaderChar"/>
    <w:uiPriority w:val="99"/>
    <w:unhideWhenUsed/>
    <w:rsid w:val="00C730A6"/>
    <w:pPr>
      <w:tabs>
        <w:tab w:val="center" w:pos="4680"/>
        <w:tab w:val="right" w:pos="9360"/>
      </w:tabs>
      <w:spacing w:line="240" w:lineRule="auto"/>
    </w:pPr>
  </w:style>
  <w:style w:type="character" w:customStyle="1" w:styleId="HeaderChar">
    <w:name w:val="Header Char"/>
    <w:basedOn w:val="DefaultParagraphFont"/>
    <w:link w:val="Header"/>
    <w:uiPriority w:val="99"/>
    <w:rsid w:val="00C730A6"/>
    <w:rPr>
      <w:rFonts w:ascii="Times New Roman" w:hAnsi="Times New Roman"/>
      <w:sz w:val="24"/>
    </w:rPr>
  </w:style>
  <w:style w:type="paragraph" w:styleId="Footer">
    <w:name w:val="footer"/>
    <w:basedOn w:val="Normal"/>
    <w:link w:val="FooterChar"/>
    <w:uiPriority w:val="99"/>
    <w:unhideWhenUsed/>
    <w:rsid w:val="00C730A6"/>
    <w:pPr>
      <w:tabs>
        <w:tab w:val="center" w:pos="4680"/>
        <w:tab w:val="right" w:pos="9360"/>
      </w:tabs>
      <w:spacing w:line="240" w:lineRule="auto"/>
    </w:pPr>
  </w:style>
  <w:style w:type="character" w:customStyle="1" w:styleId="FooterChar">
    <w:name w:val="Footer Char"/>
    <w:basedOn w:val="DefaultParagraphFont"/>
    <w:link w:val="Footer"/>
    <w:uiPriority w:val="99"/>
    <w:rsid w:val="00C730A6"/>
    <w:rPr>
      <w:rFonts w:ascii="Times New Roman" w:hAnsi="Times New Roman"/>
      <w:sz w:val="24"/>
    </w:rPr>
  </w:style>
  <w:style w:type="table" w:styleId="TableGrid">
    <w:name w:val="Table Grid"/>
    <w:basedOn w:val="TableNormal"/>
    <w:uiPriority w:val="39"/>
    <w:rsid w:val="00B86EC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X List Paragraph"/>
    <w:basedOn w:val="Normal"/>
    <w:link w:val="ListParagraphChar"/>
    <w:uiPriority w:val="34"/>
    <w:qFormat/>
    <w:rsid w:val="00E7141E"/>
    <w:pPr>
      <w:ind w:left="720"/>
      <w:contextualSpacing/>
    </w:pPr>
  </w:style>
  <w:style w:type="character" w:customStyle="1" w:styleId="Heading3Char">
    <w:name w:val="Heading 3 Char"/>
    <w:basedOn w:val="DefaultParagraphFont"/>
    <w:link w:val="Heading3"/>
    <w:rsid w:val="005C449C"/>
    <w:rPr>
      <w:rFonts w:asciiTheme="majorBidi" w:eastAsiaTheme="minorEastAsia" w:hAnsiTheme="majorBidi"/>
      <w:b/>
      <w:i/>
      <w:sz w:val="24"/>
      <w:u w:val="single"/>
      <w:lang w:val="en-GB" w:eastAsia="en-GB"/>
    </w:rPr>
  </w:style>
  <w:style w:type="character" w:customStyle="1" w:styleId="Heading4Char">
    <w:name w:val="Heading 4 Char"/>
    <w:basedOn w:val="DefaultParagraphFont"/>
    <w:link w:val="Heading4"/>
    <w:rsid w:val="00112260"/>
    <w:rPr>
      <w:rFonts w:asciiTheme="majorBidi" w:eastAsiaTheme="minorEastAsia" w:hAnsiTheme="majorBidi"/>
      <w:b/>
      <w:i/>
      <w:sz w:val="24"/>
      <w:u w:val="single"/>
      <w:lang w:val="en-GB" w:eastAsia="en-GB"/>
    </w:rPr>
  </w:style>
  <w:style w:type="paragraph" w:styleId="TOCHeading">
    <w:name w:val="TOC Heading"/>
    <w:basedOn w:val="Heading1"/>
    <w:next w:val="Normal"/>
    <w:uiPriority w:val="39"/>
    <w:unhideWhenUsed/>
    <w:qFormat/>
    <w:rsid w:val="0024544C"/>
    <w:pPr>
      <w:outlineLvl w:val="9"/>
    </w:pPr>
    <w:rPr>
      <w:lang w:val="en-US" w:eastAsia="ja-JP"/>
    </w:rPr>
  </w:style>
  <w:style w:type="paragraph" w:styleId="TOC1">
    <w:name w:val="toc 1"/>
    <w:basedOn w:val="Normal"/>
    <w:next w:val="Normal"/>
    <w:autoRedefine/>
    <w:uiPriority w:val="39"/>
    <w:unhideWhenUsed/>
    <w:qFormat/>
    <w:rsid w:val="00BE40EF"/>
    <w:pPr>
      <w:tabs>
        <w:tab w:val="left" w:pos="993"/>
        <w:tab w:val="left" w:pos="1843"/>
        <w:tab w:val="right" w:leader="dot" w:pos="10206"/>
      </w:tabs>
      <w:spacing w:after="100"/>
    </w:pPr>
  </w:style>
  <w:style w:type="paragraph" w:styleId="TOC2">
    <w:name w:val="toc 2"/>
    <w:basedOn w:val="Normal"/>
    <w:next w:val="Normal"/>
    <w:autoRedefine/>
    <w:uiPriority w:val="39"/>
    <w:unhideWhenUsed/>
    <w:qFormat/>
    <w:rsid w:val="0024544C"/>
    <w:pPr>
      <w:spacing w:after="100"/>
      <w:ind w:left="240"/>
    </w:pPr>
  </w:style>
  <w:style w:type="paragraph" w:styleId="TOC3">
    <w:name w:val="toc 3"/>
    <w:basedOn w:val="Normal"/>
    <w:next w:val="Normal"/>
    <w:autoRedefine/>
    <w:uiPriority w:val="39"/>
    <w:unhideWhenUsed/>
    <w:qFormat/>
    <w:rsid w:val="0024544C"/>
    <w:pPr>
      <w:spacing w:after="100"/>
      <w:ind w:left="480"/>
    </w:pPr>
  </w:style>
  <w:style w:type="character" w:styleId="Hyperlink">
    <w:name w:val="Hyperlink"/>
    <w:basedOn w:val="DefaultParagraphFont"/>
    <w:uiPriority w:val="99"/>
    <w:unhideWhenUsed/>
    <w:rsid w:val="0024544C"/>
    <w:rPr>
      <w:color w:val="0000FF" w:themeColor="hyperlink"/>
      <w:u w:val="single"/>
    </w:rPr>
  </w:style>
  <w:style w:type="paragraph" w:customStyle="1" w:styleId="EndNoteBibliographyTitle">
    <w:name w:val="EndNote Bibliography Title"/>
    <w:basedOn w:val="Normal"/>
    <w:link w:val="EndNoteBibliographyTitleChar"/>
    <w:rsid w:val="007575C1"/>
    <w:pPr>
      <w:jc w:val="center"/>
    </w:pPr>
    <w:rPr>
      <w:rFonts w:ascii="Times New Roman" w:hAnsi="Times New Roman" w:cs="Times New Roman"/>
      <w:noProof/>
      <w:lang w:val="en-US"/>
    </w:rPr>
  </w:style>
  <w:style w:type="character" w:customStyle="1" w:styleId="DefaultChar">
    <w:name w:val="Default Char"/>
    <w:basedOn w:val="DefaultParagraphFont"/>
    <w:link w:val="Default"/>
    <w:rsid w:val="007575C1"/>
    <w:rPr>
      <w:rFonts w:ascii="Calibri" w:hAnsi="Calibri" w:cs="Calibri"/>
      <w:color w:val="000000"/>
      <w:sz w:val="24"/>
      <w:szCs w:val="24"/>
    </w:rPr>
  </w:style>
  <w:style w:type="character" w:customStyle="1" w:styleId="EndNoteBibliographyTitleChar">
    <w:name w:val="EndNote Bibliography Title Char"/>
    <w:basedOn w:val="DefaultChar"/>
    <w:link w:val="EndNoteBibliographyTitle"/>
    <w:rsid w:val="007575C1"/>
    <w:rPr>
      <w:rFonts w:ascii="Times New Roman" w:eastAsiaTheme="minorEastAsia" w:hAnsi="Times New Roman" w:cs="Times New Roman"/>
      <w:noProof/>
      <w:color w:val="000000"/>
      <w:sz w:val="24"/>
      <w:szCs w:val="24"/>
      <w:lang w:val="en-US" w:eastAsia="en-GB"/>
    </w:rPr>
  </w:style>
  <w:style w:type="paragraph" w:customStyle="1" w:styleId="EndNoteBibliography">
    <w:name w:val="EndNote Bibliography"/>
    <w:basedOn w:val="Normal"/>
    <w:link w:val="EndNoteBibliographyChar"/>
    <w:rsid w:val="007575C1"/>
    <w:pPr>
      <w:spacing w:line="240" w:lineRule="auto"/>
      <w:jc w:val="center"/>
    </w:pPr>
    <w:rPr>
      <w:rFonts w:ascii="Times New Roman" w:hAnsi="Times New Roman" w:cs="Times New Roman"/>
      <w:noProof/>
      <w:lang w:val="en-US"/>
    </w:rPr>
  </w:style>
  <w:style w:type="character" w:customStyle="1" w:styleId="EndNoteBibliographyChar">
    <w:name w:val="EndNote Bibliography Char"/>
    <w:basedOn w:val="DefaultChar"/>
    <w:link w:val="EndNoteBibliography"/>
    <w:rsid w:val="007575C1"/>
    <w:rPr>
      <w:rFonts w:ascii="Times New Roman" w:eastAsiaTheme="minorEastAsia" w:hAnsi="Times New Roman" w:cs="Times New Roman"/>
      <w:noProof/>
      <w:color w:val="000000"/>
      <w:sz w:val="24"/>
      <w:szCs w:val="24"/>
      <w:lang w:val="en-US" w:eastAsia="en-GB"/>
    </w:rPr>
  </w:style>
  <w:style w:type="paragraph" w:styleId="EndnoteText">
    <w:name w:val="endnote text"/>
    <w:basedOn w:val="Normal"/>
    <w:link w:val="EndnoteTextChar"/>
    <w:uiPriority w:val="99"/>
    <w:unhideWhenUsed/>
    <w:rsid w:val="00A80F41"/>
    <w:pPr>
      <w:spacing w:line="240" w:lineRule="auto"/>
    </w:pPr>
    <w:rPr>
      <w:sz w:val="20"/>
      <w:szCs w:val="20"/>
    </w:rPr>
  </w:style>
  <w:style w:type="character" w:customStyle="1" w:styleId="EndnoteTextChar">
    <w:name w:val="Endnote Text Char"/>
    <w:basedOn w:val="DefaultParagraphFont"/>
    <w:link w:val="EndnoteText"/>
    <w:uiPriority w:val="99"/>
    <w:rsid w:val="00A80F41"/>
    <w:rPr>
      <w:rFonts w:ascii="Times New Roman" w:hAnsi="Times New Roman"/>
      <w:sz w:val="20"/>
      <w:szCs w:val="20"/>
    </w:rPr>
  </w:style>
  <w:style w:type="character" w:styleId="EndnoteReference">
    <w:name w:val="endnote reference"/>
    <w:basedOn w:val="DefaultParagraphFont"/>
    <w:uiPriority w:val="99"/>
    <w:semiHidden/>
    <w:unhideWhenUsed/>
    <w:rsid w:val="00A80F41"/>
    <w:rPr>
      <w:vertAlign w:val="superscript"/>
    </w:rPr>
  </w:style>
  <w:style w:type="paragraph" w:styleId="Caption">
    <w:name w:val="caption"/>
    <w:basedOn w:val="Normal"/>
    <w:next w:val="Normal"/>
    <w:link w:val="CaptionChar"/>
    <w:uiPriority w:val="35"/>
    <w:unhideWhenUsed/>
    <w:qFormat/>
    <w:rsid w:val="00B9320D"/>
    <w:pPr>
      <w:spacing w:line="240" w:lineRule="auto"/>
      <w:jc w:val="center"/>
    </w:pPr>
    <w:rPr>
      <w:i/>
      <w:iCs/>
      <w:sz w:val="22"/>
    </w:rPr>
  </w:style>
  <w:style w:type="table" w:customStyle="1" w:styleId="ListTable1Light1">
    <w:name w:val="List Table 1 Light1"/>
    <w:basedOn w:val="TableNormal"/>
    <w:uiPriority w:val="46"/>
    <w:rsid w:val="00B050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HDGENERALHEADING1">
    <w:name w:val="PHD GENERAL HEADING 1"/>
    <w:basedOn w:val="Heading1"/>
    <w:link w:val="PHDGENERALHEADING1Char"/>
    <w:rsid w:val="00FD5BF9"/>
    <w:rPr>
      <w:caps/>
    </w:rPr>
  </w:style>
  <w:style w:type="character" w:customStyle="1" w:styleId="PHDGENERALHEADING1Char">
    <w:name w:val="PHD GENERAL HEADING 1 Char"/>
    <w:basedOn w:val="Heading1Char"/>
    <w:link w:val="PHDGENERALHEADING1"/>
    <w:rsid w:val="00FD5BF9"/>
    <w:rPr>
      <w:rFonts w:ascii="Times New Roman" w:eastAsiaTheme="majorEastAsia" w:hAnsi="Times New Roman" w:cs="Times New Roman"/>
      <w:b/>
      <w:bCs/>
      <w:caps/>
      <w:sz w:val="24"/>
      <w:szCs w:val="28"/>
      <w:u w:val="single"/>
      <w:lang w:val="en-GB" w:eastAsia="en-GB"/>
    </w:rPr>
  </w:style>
  <w:style w:type="character" w:customStyle="1" w:styleId="Heading5Char">
    <w:name w:val="Heading 5 Char"/>
    <w:basedOn w:val="DefaultParagraphFont"/>
    <w:link w:val="Heading5"/>
    <w:rsid w:val="0031040A"/>
    <w:rPr>
      <w:rFonts w:ascii="Times New Roman" w:eastAsiaTheme="majorEastAsia" w:hAnsi="Times New Roman" w:cs="Times New Roman"/>
      <w:i/>
      <w:color w:val="000000" w:themeColor="text1"/>
      <w:sz w:val="24"/>
      <w:u w:val="single"/>
      <w:lang w:val="en-GB" w:eastAsia="en-GB"/>
    </w:rPr>
  </w:style>
  <w:style w:type="character" w:customStyle="1" w:styleId="Heading8Char">
    <w:name w:val="Heading 8 Char"/>
    <w:basedOn w:val="DefaultParagraphFont"/>
    <w:link w:val="Heading8"/>
    <w:uiPriority w:val="9"/>
    <w:rsid w:val="001F077F"/>
    <w:rPr>
      <w:rFonts w:asciiTheme="majorHAnsi" w:eastAsiaTheme="majorEastAsia" w:hAnsiTheme="majorHAnsi" w:cstheme="majorBidi"/>
      <w:color w:val="404040" w:themeColor="text1" w:themeTint="BF"/>
      <w:sz w:val="20"/>
      <w:szCs w:val="20"/>
      <w:lang w:val="en-GB" w:eastAsia="en-GB"/>
    </w:rPr>
  </w:style>
  <w:style w:type="character" w:customStyle="1" w:styleId="Heading6Char">
    <w:name w:val="Heading 6 Char"/>
    <w:basedOn w:val="DefaultParagraphFont"/>
    <w:link w:val="Heading6"/>
    <w:rsid w:val="001F077F"/>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rsid w:val="001F077F"/>
    <w:rPr>
      <w:rFonts w:asciiTheme="majorBidi" w:eastAsiaTheme="majorEastAsia" w:hAnsiTheme="majorBidi" w:cstheme="majorBidi"/>
      <w:b/>
      <w:i/>
      <w:iCs/>
      <w:sz w:val="24"/>
      <w:u w:val="single"/>
    </w:rPr>
  </w:style>
  <w:style w:type="character" w:customStyle="1" w:styleId="Heading9Char">
    <w:name w:val="Heading 9 Char"/>
    <w:basedOn w:val="DefaultParagraphFont"/>
    <w:link w:val="Heading9"/>
    <w:uiPriority w:val="9"/>
    <w:rsid w:val="001F077F"/>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1F077F"/>
    <w:pPr>
      <w:spacing w:after="100"/>
      <w:ind w:left="720"/>
    </w:pPr>
    <w:rPr>
      <w:rFonts w:ascii="Times New Roman" w:eastAsiaTheme="minorHAnsi" w:hAnsi="Times New Roman"/>
      <w:lang w:val="en-TT" w:eastAsia="en-US"/>
    </w:rPr>
  </w:style>
  <w:style w:type="paragraph" w:styleId="TOC5">
    <w:name w:val="toc 5"/>
    <w:basedOn w:val="Normal"/>
    <w:next w:val="Normal"/>
    <w:autoRedefine/>
    <w:uiPriority w:val="39"/>
    <w:unhideWhenUsed/>
    <w:rsid w:val="001F077F"/>
    <w:pPr>
      <w:spacing w:after="100"/>
      <w:ind w:left="960"/>
    </w:pPr>
    <w:rPr>
      <w:rFonts w:ascii="Times New Roman" w:eastAsiaTheme="minorHAnsi" w:hAnsi="Times New Roman"/>
      <w:lang w:val="en-TT" w:eastAsia="en-US"/>
    </w:rPr>
  </w:style>
  <w:style w:type="table" w:customStyle="1" w:styleId="MediumShading2-Accent11">
    <w:name w:val="Medium Shading 2 - Accent 11"/>
    <w:basedOn w:val="TableNormal"/>
    <w:uiPriority w:val="64"/>
    <w:rsid w:val="001F077F"/>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1F077F"/>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ableofFigures">
    <w:name w:val="table of figures"/>
    <w:basedOn w:val="Normal"/>
    <w:next w:val="Normal"/>
    <w:autoRedefine/>
    <w:uiPriority w:val="99"/>
    <w:unhideWhenUsed/>
    <w:rsid w:val="00D931F2"/>
    <w:pPr>
      <w:tabs>
        <w:tab w:val="right" w:leader="dot" w:pos="9797"/>
      </w:tabs>
      <w:ind w:firstLine="0"/>
      <w:jc w:val="center"/>
    </w:pPr>
    <w:rPr>
      <w:rFonts w:ascii="Times New Roman" w:eastAsiaTheme="minorHAnsi" w:hAnsi="Times New Roman"/>
      <w:b/>
      <w:lang w:val="en-TT" w:eastAsia="en-US"/>
    </w:rPr>
  </w:style>
  <w:style w:type="paragraph" w:styleId="TOC7">
    <w:name w:val="toc 7"/>
    <w:basedOn w:val="Normal"/>
    <w:next w:val="Normal"/>
    <w:autoRedefine/>
    <w:uiPriority w:val="39"/>
    <w:unhideWhenUsed/>
    <w:rsid w:val="001F077F"/>
    <w:pPr>
      <w:spacing w:after="100"/>
      <w:ind w:left="1440"/>
    </w:pPr>
    <w:rPr>
      <w:rFonts w:ascii="Times New Roman" w:eastAsiaTheme="minorHAnsi" w:hAnsi="Times New Roman"/>
      <w:lang w:val="en-TT" w:eastAsia="en-US"/>
    </w:rPr>
  </w:style>
  <w:style w:type="paragraph" w:styleId="TOC8">
    <w:name w:val="toc 8"/>
    <w:basedOn w:val="Normal"/>
    <w:next w:val="Normal"/>
    <w:autoRedefine/>
    <w:uiPriority w:val="39"/>
    <w:unhideWhenUsed/>
    <w:rsid w:val="001F077F"/>
    <w:pPr>
      <w:spacing w:after="100"/>
      <w:ind w:left="1680"/>
    </w:pPr>
    <w:rPr>
      <w:rFonts w:ascii="Times New Roman" w:eastAsiaTheme="minorHAnsi" w:hAnsi="Times New Roman"/>
      <w:lang w:val="en-TT" w:eastAsia="en-US"/>
    </w:rPr>
  </w:style>
  <w:style w:type="paragraph" w:styleId="Quote">
    <w:name w:val="Quote"/>
    <w:basedOn w:val="Normal"/>
    <w:next w:val="Normal"/>
    <w:link w:val="QuoteChar"/>
    <w:uiPriority w:val="29"/>
    <w:qFormat/>
    <w:rsid w:val="002A7CE0"/>
    <w:pPr>
      <w:spacing w:line="276" w:lineRule="auto"/>
    </w:pPr>
    <w:rPr>
      <w:rFonts w:ascii="Times New Roman" w:eastAsiaTheme="minorHAnsi" w:hAnsi="Times New Roman"/>
      <w:i/>
      <w:iCs/>
      <w:color w:val="000000" w:themeColor="text1"/>
      <w:lang w:val="en-TT" w:eastAsia="en-US"/>
    </w:rPr>
  </w:style>
  <w:style w:type="character" w:customStyle="1" w:styleId="QuoteChar">
    <w:name w:val="Quote Char"/>
    <w:basedOn w:val="DefaultParagraphFont"/>
    <w:link w:val="Quote"/>
    <w:uiPriority w:val="29"/>
    <w:rsid w:val="002A7CE0"/>
    <w:rPr>
      <w:rFonts w:ascii="Times New Roman" w:hAnsi="Times New Roman"/>
      <w:i/>
      <w:iCs/>
      <w:color w:val="000000" w:themeColor="text1"/>
      <w:sz w:val="24"/>
    </w:rPr>
  </w:style>
  <w:style w:type="paragraph" w:styleId="IntenseQuote">
    <w:name w:val="Intense Quote"/>
    <w:basedOn w:val="Normal"/>
    <w:next w:val="Normal"/>
    <w:link w:val="IntenseQuoteChar"/>
    <w:autoRedefine/>
    <w:uiPriority w:val="30"/>
    <w:qFormat/>
    <w:rsid w:val="002A7CE0"/>
    <w:pPr>
      <w:numPr>
        <w:numId w:val="8"/>
      </w:numPr>
      <w:pBdr>
        <w:bottom w:val="single" w:sz="4" w:space="4" w:color="4F81BD" w:themeColor="accent1"/>
      </w:pBdr>
      <w:spacing w:before="200" w:after="280" w:line="276" w:lineRule="auto"/>
      <w:ind w:right="936"/>
    </w:pPr>
    <w:rPr>
      <w:rFonts w:ascii="Times New Roman" w:eastAsiaTheme="minorHAnsi" w:hAnsi="Times New Roman"/>
      <w:b/>
      <w:bCs/>
      <w:iCs/>
      <w:lang w:val="en-TT" w:eastAsia="en-US"/>
    </w:rPr>
  </w:style>
  <w:style w:type="character" w:customStyle="1" w:styleId="IntenseQuoteChar">
    <w:name w:val="Intense Quote Char"/>
    <w:basedOn w:val="DefaultParagraphFont"/>
    <w:link w:val="IntenseQuote"/>
    <w:uiPriority w:val="30"/>
    <w:rsid w:val="002A7CE0"/>
    <w:rPr>
      <w:rFonts w:ascii="Times New Roman" w:hAnsi="Times New Roman"/>
      <w:b/>
      <w:bCs/>
      <w:iCs/>
      <w:sz w:val="24"/>
    </w:rPr>
  </w:style>
  <w:style w:type="paragraph" w:styleId="NormalWeb">
    <w:name w:val="Normal (Web)"/>
    <w:basedOn w:val="Normal"/>
    <w:uiPriority w:val="99"/>
    <w:semiHidden/>
    <w:unhideWhenUsed/>
    <w:rsid w:val="002A7CE0"/>
    <w:pPr>
      <w:spacing w:before="100" w:beforeAutospacing="1" w:after="100" w:afterAutospacing="1" w:line="240" w:lineRule="auto"/>
    </w:pPr>
    <w:rPr>
      <w:rFonts w:ascii="Times New Roman" w:eastAsia="Times New Roman" w:hAnsi="Times New Roman" w:cs="Times New Roman"/>
      <w:szCs w:val="24"/>
      <w:lang w:val="en-TT" w:eastAsia="en-TT"/>
    </w:rPr>
  </w:style>
  <w:style w:type="paragraph" w:styleId="Index1">
    <w:name w:val="index 1"/>
    <w:basedOn w:val="Normal"/>
    <w:next w:val="Normal"/>
    <w:autoRedefine/>
    <w:uiPriority w:val="99"/>
    <w:unhideWhenUsed/>
    <w:rsid w:val="00C03772"/>
    <w:pPr>
      <w:spacing w:line="276" w:lineRule="auto"/>
      <w:ind w:left="220" w:hanging="220"/>
    </w:pPr>
    <w:rPr>
      <w:rFonts w:asciiTheme="minorHAnsi" w:eastAsiaTheme="minorHAnsi" w:hAnsiTheme="minorHAnsi"/>
      <w:sz w:val="18"/>
      <w:szCs w:val="18"/>
      <w:lang w:val="en-TT" w:eastAsia="en-US"/>
    </w:rPr>
  </w:style>
  <w:style w:type="paragraph" w:styleId="Index2">
    <w:name w:val="index 2"/>
    <w:basedOn w:val="Normal"/>
    <w:next w:val="Normal"/>
    <w:autoRedefine/>
    <w:uiPriority w:val="99"/>
    <w:unhideWhenUsed/>
    <w:rsid w:val="00C03772"/>
    <w:pPr>
      <w:spacing w:line="276" w:lineRule="auto"/>
      <w:ind w:left="440" w:hanging="220"/>
    </w:pPr>
    <w:rPr>
      <w:rFonts w:asciiTheme="minorHAnsi" w:eastAsiaTheme="minorHAnsi" w:hAnsiTheme="minorHAnsi"/>
      <w:sz w:val="18"/>
      <w:szCs w:val="18"/>
      <w:lang w:val="en-TT" w:eastAsia="en-US"/>
    </w:rPr>
  </w:style>
  <w:style w:type="paragraph" w:styleId="Index3">
    <w:name w:val="index 3"/>
    <w:basedOn w:val="Normal"/>
    <w:next w:val="Normal"/>
    <w:autoRedefine/>
    <w:uiPriority w:val="99"/>
    <w:unhideWhenUsed/>
    <w:rsid w:val="00C03772"/>
    <w:pPr>
      <w:spacing w:line="276" w:lineRule="auto"/>
      <w:ind w:left="660" w:hanging="220"/>
    </w:pPr>
    <w:rPr>
      <w:rFonts w:asciiTheme="minorHAnsi" w:eastAsiaTheme="minorHAnsi" w:hAnsiTheme="minorHAnsi"/>
      <w:sz w:val="18"/>
      <w:szCs w:val="18"/>
      <w:lang w:val="en-TT" w:eastAsia="en-US"/>
    </w:rPr>
  </w:style>
  <w:style w:type="paragraph" w:styleId="Index4">
    <w:name w:val="index 4"/>
    <w:basedOn w:val="Normal"/>
    <w:next w:val="Normal"/>
    <w:autoRedefine/>
    <w:uiPriority w:val="99"/>
    <w:unhideWhenUsed/>
    <w:rsid w:val="00C03772"/>
    <w:pPr>
      <w:spacing w:line="276" w:lineRule="auto"/>
      <w:ind w:left="880" w:hanging="220"/>
    </w:pPr>
    <w:rPr>
      <w:rFonts w:asciiTheme="minorHAnsi" w:eastAsiaTheme="minorHAnsi" w:hAnsiTheme="minorHAnsi"/>
      <w:sz w:val="18"/>
      <w:szCs w:val="18"/>
      <w:lang w:val="en-TT" w:eastAsia="en-US"/>
    </w:rPr>
  </w:style>
  <w:style w:type="paragraph" w:styleId="Index5">
    <w:name w:val="index 5"/>
    <w:basedOn w:val="Normal"/>
    <w:next w:val="Normal"/>
    <w:autoRedefine/>
    <w:uiPriority w:val="99"/>
    <w:unhideWhenUsed/>
    <w:rsid w:val="00C03772"/>
    <w:pPr>
      <w:spacing w:line="276" w:lineRule="auto"/>
      <w:ind w:left="1100" w:hanging="220"/>
    </w:pPr>
    <w:rPr>
      <w:rFonts w:asciiTheme="minorHAnsi" w:eastAsiaTheme="minorHAnsi" w:hAnsiTheme="minorHAnsi"/>
      <w:sz w:val="18"/>
      <w:szCs w:val="18"/>
      <w:lang w:val="en-TT" w:eastAsia="en-US"/>
    </w:rPr>
  </w:style>
  <w:style w:type="paragraph" w:styleId="Index6">
    <w:name w:val="index 6"/>
    <w:basedOn w:val="Normal"/>
    <w:next w:val="Normal"/>
    <w:autoRedefine/>
    <w:uiPriority w:val="99"/>
    <w:unhideWhenUsed/>
    <w:rsid w:val="00C03772"/>
    <w:pPr>
      <w:spacing w:line="276" w:lineRule="auto"/>
      <w:ind w:left="1320" w:hanging="220"/>
    </w:pPr>
    <w:rPr>
      <w:rFonts w:asciiTheme="minorHAnsi" w:eastAsiaTheme="minorHAnsi" w:hAnsiTheme="minorHAnsi"/>
      <w:sz w:val="18"/>
      <w:szCs w:val="18"/>
      <w:lang w:val="en-TT" w:eastAsia="en-US"/>
    </w:rPr>
  </w:style>
  <w:style w:type="paragraph" w:styleId="Index7">
    <w:name w:val="index 7"/>
    <w:basedOn w:val="Normal"/>
    <w:next w:val="Normal"/>
    <w:autoRedefine/>
    <w:uiPriority w:val="99"/>
    <w:unhideWhenUsed/>
    <w:rsid w:val="00C03772"/>
    <w:pPr>
      <w:spacing w:line="276" w:lineRule="auto"/>
      <w:ind w:left="1540" w:hanging="220"/>
    </w:pPr>
    <w:rPr>
      <w:rFonts w:asciiTheme="minorHAnsi" w:eastAsiaTheme="minorHAnsi" w:hAnsiTheme="minorHAnsi"/>
      <w:sz w:val="18"/>
      <w:szCs w:val="18"/>
      <w:lang w:val="en-TT" w:eastAsia="en-US"/>
    </w:rPr>
  </w:style>
  <w:style w:type="paragraph" w:styleId="Index8">
    <w:name w:val="index 8"/>
    <w:basedOn w:val="Normal"/>
    <w:next w:val="Normal"/>
    <w:autoRedefine/>
    <w:uiPriority w:val="99"/>
    <w:unhideWhenUsed/>
    <w:rsid w:val="00C03772"/>
    <w:pPr>
      <w:spacing w:line="276" w:lineRule="auto"/>
      <w:ind w:left="1760" w:hanging="220"/>
    </w:pPr>
    <w:rPr>
      <w:rFonts w:asciiTheme="minorHAnsi" w:eastAsiaTheme="minorHAnsi" w:hAnsiTheme="minorHAnsi"/>
      <w:sz w:val="18"/>
      <w:szCs w:val="18"/>
      <w:lang w:val="en-TT" w:eastAsia="en-US"/>
    </w:rPr>
  </w:style>
  <w:style w:type="paragraph" w:styleId="Index9">
    <w:name w:val="index 9"/>
    <w:basedOn w:val="Normal"/>
    <w:next w:val="Normal"/>
    <w:autoRedefine/>
    <w:uiPriority w:val="99"/>
    <w:unhideWhenUsed/>
    <w:rsid w:val="00C03772"/>
    <w:pPr>
      <w:spacing w:line="276" w:lineRule="auto"/>
      <w:ind w:left="1980" w:hanging="220"/>
    </w:pPr>
    <w:rPr>
      <w:rFonts w:asciiTheme="minorHAnsi" w:eastAsiaTheme="minorHAnsi" w:hAnsiTheme="minorHAnsi"/>
      <w:sz w:val="18"/>
      <w:szCs w:val="18"/>
      <w:lang w:val="en-TT" w:eastAsia="en-US"/>
    </w:rPr>
  </w:style>
  <w:style w:type="paragraph" w:styleId="IndexHeading">
    <w:name w:val="index heading"/>
    <w:basedOn w:val="Normal"/>
    <w:next w:val="Index1"/>
    <w:uiPriority w:val="99"/>
    <w:unhideWhenUsed/>
    <w:rsid w:val="00C03772"/>
    <w:pPr>
      <w:spacing w:before="240" w:after="120" w:line="276" w:lineRule="auto"/>
      <w:jc w:val="center"/>
    </w:pPr>
    <w:rPr>
      <w:rFonts w:asciiTheme="minorHAnsi" w:eastAsiaTheme="minorHAnsi" w:hAnsiTheme="minorHAnsi"/>
      <w:b/>
      <w:bCs/>
      <w:sz w:val="26"/>
      <w:szCs w:val="26"/>
      <w:lang w:val="en-TT" w:eastAsia="en-US"/>
    </w:rPr>
  </w:style>
  <w:style w:type="paragraph" w:customStyle="1" w:styleId="Pa5">
    <w:name w:val="Pa5"/>
    <w:basedOn w:val="Normal"/>
    <w:next w:val="Normal"/>
    <w:rsid w:val="00C03772"/>
    <w:pPr>
      <w:autoSpaceDE w:val="0"/>
      <w:autoSpaceDN w:val="0"/>
      <w:adjustRightInd w:val="0"/>
      <w:spacing w:after="180" w:line="241" w:lineRule="atLeast"/>
    </w:pPr>
    <w:rPr>
      <w:rFonts w:ascii="Lucida Bright" w:eastAsia="Times New Roman" w:hAnsi="Lucida Bright" w:cs="Times New Roman"/>
      <w:szCs w:val="24"/>
      <w:lang w:val="en-US" w:eastAsia="en-US"/>
    </w:rPr>
  </w:style>
  <w:style w:type="paragraph" w:styleId="NoSpacing">
    <w:name w:val="No Spacing"/>
    <w:uiPriority w:val="1"/>
    <w:qFormat/>
    <w:rsid w:val="00C03772"/>
    <w:pPr>
      <w:spacing w:line="240" w:lineRule="auto"/>
    </w:pPr>
  </w:style>
  <w:style w:type="paragraph" w:styleId="TOC6">
    <w:name w:val="toc 6"/>
    <w:basedOn w:val="Normal"/>
    <w:next w:val="Normal"/>
    <w:autoRedefine/>
    <w:uiPriority w:val="39"/>
    <w:unhideWhenUsed/>
    <w:rsid w:val="00C03772"/>
    <w:pPr>
      <w:spacing w:after="100" w:line="276" w:lineRule="auto"/>
      <w:ind w:left="1100"/>
    </w:pPr>
    <w:rPr>
      <w:rFonts w:asciiTheme="minorHAnsi" w:hAnsiTheme="minorHAnsi"/>
      <w:sz w:val="22"/>
      <w:lang w:val="en-TT" w:eastAsia="en-TT"/>
    </w:rPr>
  </w:style>
  <w:style w:type="paragraph" w:styleId="TOC9">
    <w:name w:val="toc 9"/>
    <w:basedOn w:val="Normal"/>
    <w:next w:val="Normal"/>
    <w:autoRedefine/>
    <w:uiPriority w:val="39"/>
    <w:unhideWhenUsed/>
    <w:rsid w:val="00C03772"/>
    <w:pPr>
      <w:spacing w:after="100" w:line="276" w:lineRule="auto"/>
      <w:ind w:left="1760"/>
    </w:pPr>
    <w:rPr>
      <w:rFonts w:asciiTheme="minorHAnsi" w:hAnsiTheme="minorHAnsi"/>
      <w:sz w:val="22"/>
      <w:lang w:val="en-TT" w:eastAsia="en-TT"/>
    </w:rPr>
  </w:style>
  <w:style w:type="paragraph" w:customStyle="1" w:styleId="SUBHEADINGSPHDD">
    <w:name w:val="SUBHEADINGS PHDD"/>
    <w:basedOn w:val="Heading3"/>
    <w:link w:val="SUBHEADINGSPHDDChar"/>
    <w:autoRedefine/>
    <w:qFormat/>
    <w:rsid w:val="00C03772"/>
    <w:pPr>
      <w:spacing w:line="276" w:lineRule="auto"/>
    </w:pPr>
    <w:rPr>
      <w:rFonts w:ascii="Courier New" w:hAnsi="Courier New" w:cs="Courier New"/>
      <w:lang w:val="en-TT" w:eastAsia="en-US"/>
    </w:rPr>
  </w:style>
  <w:style w:type="character" w:customStyle="1" w:styleId="SUBHEADINGSPHDDChar">
    <w:name w:val="SUBHEADINGS PHDD Char"/>
    <w:basedOn w:val="DefaultParagraphFont"/>
    <w:link w:val="SUBHEADINGSPHDD"/>
    <w:rsid w:val="00C03772"/>
    <w:rPr>
      <w:rFonts w:ascii="Courier New" w:eastAsiaTheme="majorEastAsia" w:hAnsi="Courier New" w:cs="Courier New"/>
      <w:b/>
      <w:bCs/>
      <w:sz w:val="24"/>
      <w:u w:val="single"/>
    </w:rPr>
  </w:style>
  <w:style w:type="character" w:styleId="Emphasis">
    <w:name w:val="Emphasis"/>
    <w:basedOn w:val="DefaultParagraphFont"/>
    <w:uiPriority w:val="20"/>
    <w:qFormat/>
    <w:rsid w:val="00C03772"/>
    <w:rPr>
      <w:i/>
      <w:iCs/>
    </w:rPr>
  </w:style>
  <w:style w:type="character" w:styleId="Strong">
    <w:name w:val="Strong"/>
    <w:basedOn w:val="DefaultParagraphFont"/>
    <w:uiPriority w:val="22"/>
    <w:qFormat/>
    <w:rsid w:val="00C03772"/>
    <w:rPr>
      <w:b/>
      <w:bCs/>
    </w:rPr>
  </w:style>
  <w:style w:type="paragraph" w:customStyle="1" w:styleId="tfn2">
    <w:name w:val="tfn2"/>
    <w:basedOn w:val="Normal"/>
    <w:rsid w:val="00C03772"/>
    <w:pPr>
      <w:spacing w:before="72" w:line="240" w:lineRule="auto"/>
    </w:pPr>
    <w:rPr>
      <w:rFonts w:ascii="Times New Roman" w:eastAsia="Times New Roman" w:hAnsi="Times New Roman" w:cs="Times New Roman"/>
      <w:szCs w:val="24"/>
      <w:lang w:val="en-TT" w:eastAsia="en-TT"/>
    </w:rPr>
  </w:style>
  <w:style w:type="character" w:customStyle="1" w:styleId="page-number">
    <w:name w:val="page-number"/>
    <w:basedOn w:val="DefaultParagraphFont"/>
    <w:rsid w:val="00C03772"/>
  </w:style>
  <w:style w:type="character" w:customStyle="1" w:styleId="page-actions-inner">
    <w:name w:val="page-actions-inner"/>
    <w:basedOn w:val="DefaultParagraphFont"/>
    <w:rsid w:val="00C03772"/>
  </w:style>
  <w:style w:type="character" w:customStyle="1" w:styleId="icon-text2">
    <w:name w:val="icon-text2"/>
    <w:basedOn w:val="DefaultParagraphFont"/>
    <w:rsid w:val="00C03772"/>
  </w:style>
  <w:style w:type="paragraph" w:styleId="z-TopofForm">
    <w:name w:val="HTML Top of Form"/>
    <w:basedOn w:val="Normal"/>
    <w:next w:val="Normal"/>
    <w:link w:val="z-TopofFormChar"/>
    <w:hidden/>
    <w:uiPriority w:val="99"/>
    <w:semiHidden/>
    <w:unhideWhenUsed/>
    <w:rsid w:val="00C03772"/>
    <w:pPr>
      <w:pBdr>
        <w:bottom w:val="single" w:sz="6" w:space="1" w:color="auto"/>
      </w:pBdr>
      <w:spacing w:line="240" w:lineRule="auto"/>
      <w:jc w:val="center"/>
    </w:pPr>
    <w:rPr>
      <w:rFonts w:ascii="Arial" w:eastAsia="Times New Roman" w:hAnsi="Arial" w:cs="Arial"/>
      <w:vanish/>
      <w:sz w:val="16"/>
      <w:szCs w:val="16"/>
      <w:lang w:val="en-TT" w:eastAsia="en-TT"/>
    </w:rPr>
  </w:style>
  <w:style w:type="character" w:customStyle="1" w:styleId="z-TopofFormChar">
    <w:name w:val="z-Top of Form Char"/>
    <w:basedOn w:val="DefaultParagraphFont"/>
    <w:link w:val="z-TopofForm"/>
    <w:uiPriority w:val="99"/>
    <w:semiHidden/>
    <w:rsid w:val="00C03772"/>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C03772"/>
    <w:pPr>
      <w:pBdr>
        <w:top w:val="single" w:sz="6" w:space="1" w:color="auto"/>
      </w:pBdr>
      <w:spacing w:line="240" w:lineRule="auto"/>
      <w:jc w:val="center"/>
    </w:pPr>
    <w:rPr>
      <w:rFonts w:ascii="Arial" w:eastAsia="Times New Roman" w:hAnsi="Arial" w:cs="Arial"/>
      <w:vanish/>
      <w:sz w:val="16"/>
      <w:szCs w:val="16"/>
      <w:lang w:val="en-TT" w:eastAsia="en-TT"/>
    </w:rPr>
  </w:style>
  <w:style w:type="character" w:customStyle="1" w:styleId="z-BottomofFormChar">
    <w:name w:val="z-Bottom of Form Char"/>
    <w:basedOn w:val="DefaultParagraphFont"/>
    <w:link w:val="z-BottomofForm"/>
    <w:uiPriority w:val="99"/>
    <w:semiHidden/>
    <w:rsid w:val="00C03772"/>
    <w:rPr>
      <w:rFonts w:ascii="Arial" w:eastAsia="Times New Roman" w:hAnsi="Arial" w:cs="Arial"/>
      <w:vanish/>
      <w:sz w:val="16"/>
      <w:szCs w:val="16"/>
      <w:lang w:eastAsia="en-TT"/>
    </w:rPr>
  </w:style>
  <w:style w:type="paragraph" w:customStyle="1" w:styleId="PHDHEADING1">
    <w:name w:val="PHD HEADING 1"/>
    <w:basedOn w:val="Heading1"/>
    <w:link w:val="PHDHEADING1Char"/>
    <w:rsid w:val="00C03772"/>
    <w:rPr>
      <w:rFonts w:ascii="Cambria" w:hAnsi="Cambria" w:cs="Cambria"/>
      <w:caps/>
    </w:rPr>
  </w:style>
  <w:style w:type="paragraph" w:customStyle="1" w:styleId="PHDHOS">
    <w:name w:val="PHD HOS"/>
    <w:basedOn w:val="Heading2"/>
    <w:link w:val="PHDHOSChar"/>
    <w:rsid w:val="00C03772"/>
    <w:pPr>
      <w:numPr>
        <w:numId w:val="36"/>
      </w:numPr>
    </w:pPr>
    <w:rPr>
      <w:rFonts w:ascii="Cambria" w:hAnsi="Cambria" w:cs="Cambria"/>
      <w:caps/>
    </w:rPr>
  </w:style>
  <w:style w:type="character" w:customStyle="1" w:styleId="PHDHEADING1Char">
    <w:name w:val="PHD HEADING 1 Char"/>
    <w:basedOn w:val="Heading1Char"/>
    <w:link w:val="PHDHEADING1"/>
    <w:rsid w:val="00C03772"/>
    <w:rPr>
      <w:rFonts w:ascii="Cambria" w:eastAsiaTheme="majorEastAsia" w:hAnsi="Cambria" w:cs="Cambria"/>
      <w:b/>
      <w:bCs/>
      <w:caps/>
      <w:sz w:val="24"/>
      <w:szCs w:val="28"/>
      <w:u w:val="single"/>
      <w:lang w:val="en-GB" w:eastAsia="en-GB"/>
    </w:rPr>
  </w:style>
  <w:style w:type="paragraph" w:customStyle="1" w:styleId="PHDSHOS">
    <w:name w:val="PHD SHOS"/>
    <w:basedOn w:val="Normal"/>
    <w:link w:val="PHDSHOSChar"/>
    <w:rsid w:val="00C03772"/>
    <w:pPr>
      <w:ind w:firstLine="720"/>
    </w:pPr>
    <w:rPr>
      <w:b/>
      <w:u w:val="single"/>
    </w:rPr>
  </w:style>
  <w:style w:type="character" w:customStyle="1" w:styleId="PHDHOSChar">
    <w:name w:val="PHD HOS Char"/>
    <w:basedOn w:val="Heading2Char"/>
    <w:link w:val="PHDHOS"/>
    <w:rsid w:val="00C03772"/>
    <w:rPr>
      <w:rFonts w:ascii="Cambria" w:eastAsiaTheme="majorEastAsia" w:hAnsi="Cambria" w:cs="Cambria"/>
      <w:b/>
      <w:bCs/>
      <w:caps/>
      <w:sz w:val="24"/>
      <w:szCs w:val="26"/>
      <w:u w:val="single"/>
      <w:lang w:val="en-GB" w:eastAsia="en-GB"/>
    </w:rPr>
  </w:style>
  <w:style w:type="paragraph" w:customStyle="1" w:styleId="PHDSHOS2">
    <w:name w:val="PHD SHOS2"/>
    <w:basedOn w:val="Normal"/>
    <w:link w:val="PHDSHOS2Char"/>
    <w:autoRedefine/>
    <w:rsid w:val="00C03772"/>
    <w:pPr>
      <w:tabs>
        <w:tab w:val="left" w:pos="1134"/>
        <w:tab w:val="left" w:pos="1985"/>
      </w:tabs>
    </w:pPr>
    <w:rPr>
      <w:rFonts w:ascii="Times New Roman" w:hAnsi="Times New Roman" w:cs="Times New Roman"/>
      <w:b/>
      <w:i/>
      <w:lang w:val="en-TT"/>
    </w:rPr>
  </w:style>
  <w:style w:type="character" w:customStyle="1" w:styleId="PHDSHOSChar">
    <w:name w:val="PHD SHOS Char"/>
    <w:basedOn w:val="DefaultParagraphFont"/>
    <w:link w:val="PHDSHOS"/>
    <w:rsid w:val="00C03772"/>
    <w:rPr>
      <w:rFonts w:asciiTheme="majorBidi" w:eastAsiaTheme="minorEastAsia" w:hAnsiTheme="majorBidi"/>
      <w:b/>
      <w:sz w:val="24"/>
      <w:u w:val="single"/>
      <w:lang w:val="en-GB" w:eastAsia="en-GB"/>
    </w:rPr>
  </w:style>
  <w:style w:type="character" w:customStyle="1" w:styleId="PHDSHOS2Char">
    <w:name w:val="PHD SHOS2 Char"/>
    <w:basedOn w:val="DefaultParagraphFont"/>
    <w:link w:val="PHDSHOS2"/>
    <w:rsid w:val="00C03772"/>
    <w:rPr>
      <w:rFonts w:ascii="Times New Roman" w:eastAsiaTheme="minorEastAsia" w:hAnsi="Times New Roman" w:cs="Times New Roman"/>
      <w:b/>
      <w:i/>
      <w:sz w:val="24"/>
      <w:lang w:eastAsia="en-GB"/>
    </w:rPr>
  </w:style>
  <w:style w:type="paragraph" w:customStyle="1" w:styleId="PHDSHOS3">
    <w:name w:val="PHD SHOS3"/>
    <w:basedOn w:val="Heading3"/>
    <w:link w:val="PHDSHOS3Char"/>
    <w:rsid w:val="00C03772"/>
    <w:pPr>
      <w:ind w:firstLine="720"/>
    </w:pPr>
    <w:rPr>
      <w:rFonts w:ascii="Cambria" w:hAnsi="Cambria" w:cs="Cambria"/>
    </w:rPr>
  </w:style>
  <w:style w:type="paragraph" w:customStyle="1" w:styleId="PHDSHOS4">
    <w:name w:val="PHD SHOS4"/>
    <w:link w:val="PHDSHOS4Char"/>
    <w:autoRedefine/>
    <w:rsid w:val="00C03772"/>
    <w:rPr>
      <w:rFonts w:ascii="Cambria" w:eastAsiaTheme="majorEastAsia" w:hAnsi="Cambria" w:cs="Cambria"/>
      <w:b/>
      <w:bCs/>
      <w:i/>
      <w:color w:val="4F81BD" w:themeColor="accent1"/>
      <w:sz w:val="24"/>
      <w:u w:val="single"/>
      <w:lang w:val="en-GB" w:eastAsia="en-GB"/>
    </w:rPr>
  </w:style>
  <w:style w:type="character" w:customStyle="1" w:styleId="PHDSHOS3Char">
    <w:name w:val="PHD SHOS3 Char"/>
    <w:basedOn w:val="Heading3Char"/>
    <w:link w:val="PHDSHOS3"/>
    <w:rsid w:val="00C03772"/>
    <w:rPr>
      <w:rFonts w:ascii="Cambria" w:eastAsiaTheme="majorEastAsia" w:hAnsi="Cambria" w:cs="Cambria"/>
      <w:b/>
      <w:bCs w:val="0"/>
      <w:i/>
      <w:color w:val="4F81BD" w:themeColor="accent1"/>
      <w:sz w:val="24"/>
      <w:u w:val="single"/>
      <w:lang w:val="en-GB" w:eastAsia="en-GB"/>
    </w:rPr>
  </w:style>
  <w:style w:type="character" w:customStyle="1" w:styleId="PHDSHOS4Char">
    <w:name w:val="PHD SHOS4 Char"/>
    <w:basedOn w:val="PHDSHOS3Char"/>
    <w:link w:val="PHDSHOS4"/>
    <w:rsid w:val="00C03772"/>
    <w:rPr>
      <w:rFonts w:ascii="Cambria" w:eastAsiaTheme="majorEastAsia" w:hAnsi="Cambria" w:cs="Cambria"/>
      <w:b/>
      <w:bCs w:val="0"/>
      <w:i w:val="0"/>
      <w:color w:val="4F81BD" w:themeColor="accent1"/>
      <w:sz w:val="24"/>
      <w:u w:val="single"/>
      <w:lang w:val="en-GB" w:eastAsia="en-GB"/>
    </w:rPr>
  </w:style>
  <w:style w:type="character" w:customStyle="1" w:styleId="y0nh2b">
    <w:name w:val="y0nh2b"/>
    <w:basedOn w:val="DefaultParagraphFont"/>
    <w:rsid w:val="00DD2837"/>
  </w:style>
  <w:style w:type="paragraph" w:customStyle="1" w:styleId="example">
    <w:name w:val="example"/>
    <w:basedOn w:val="Normal"/>
    <w:rsid w:val="003476C6"/>
    <w:pPr>
      <w:spacing w:before="100" w:beforeAutospacing="1" w:after="100" w:afterAutospacing="1" w:line="240" w:lineRule="auto"/>
    </w:pPr>
    <w:rPr>
      <w:rFonts w:ascii="Times New Roman" w:eastAsia="Times New Roman" w:hAnsi="Times New Roman" w:cs="Times New Roman"/>
      <w:szCs w:val="24"/>
    </w:rPr>
  </w:style>
  <w:style w:type="character" w:customStyle="1" w:styleId="a">
    <w:name w:val="a"/>
    <w:basedOn w:val="DefaultParagraphFont"/>
    <w:rsid w:val="003476C6"/>
  </w:style>
  <w:style w:type="character" w:customStyle="1" w:styleId="l9">
    <w:name w:val="l9"/>
    <w:basedOn w:val="DefaultParagraphFont"/>
    <w:rsid w:val="003476C6"/>
  </w:style>
  <w:style w:type="character" w:customStyle="1" w:styleId="l11">
    <w:name w:val="l11"/>
    <w:basedOn w:val="DefaultParagraphFont"/>
    <w:rsid w:val="003476C6"/>
  </w:style>
  <w:style w:type="character" w:customStyle="1" w:styleId="l10">
    <w:name w:val="l10"/>
    <w:basedOn w:val="DefaultParagraphFont"/>
    <w:rsid w:val="003476C6"/>
  </w:style>
  <w:style w:type="character" w:customStyle="1" w:styleId="l12">
    <w:name w:val="l12"/>
    <w:basedOn w:val="DefaultParagraphFont"/>
    <w:rsid w:val="003476C6"/>
  </w:style>
  <w:style w:type="paragraph" w:customStyle="1" w:styleId="Heading11">
    <w:name w:val="Heading 1.1"/>
    <w:basedOn w:val="Default"/>
    <w:link w:val="Heading11Char"/>
    <w:autoRedefine/>
    <w:qFormat/>
    <w:rsid w:val="0041499B"/>
    <w:pPr>
      <w:numPr>
        <w:numId w:val="54"/>
      </w:numPr>
    </w:pPr>
    <w:rPr>
      <w:rFonts w:ascii="Times New Roman" w:hAnsi="Times New Roman" w:cs="Times New Roman"/>
      <w:b/>
      <w:u w:val="single"/>
    </w:rPr>
  </w:style>
  <w:style w:type="paragraph" w:customStyle="1" w:styleId="Heading111">
    <w:name w:val="Heading 1.1.1"/>
    <w:basedOn w:val="Normal"/>
    <w:link w:val="Heading111Char"/>
    <w:autoRedefine/>
    <w:qFormat/>
    <w:rsid w:val="00AE56BC"/>
    <w:pPr>
      <w:spacing w:line="240" w:lineRule="auto"/>
      <w:outlineLvl w:val="2"/>
    </w:pPr>
    <w:rPr>
      <w:rFonts w:ascii="Times New Roman" w:hAnsi="Times New Roman" w:cs="Times New Roman"/>
      <w:b/>
      <w:bCs/>
      <w:iCs/>
      <w:color w:val="000000" w:themeColor="text1"/>
      <w:szCs w:val="24"/>
      <w:u w:val="single"/>
      <w:lang w:eastAsia="en-US"/>
    </w:rPr>
  </w:style>
  <w:style w:type="character" w:customStyle="1" w:styleId="Heading11Char">
    <w:name w:val="Heading 1.1 Char"/>
    <w:basedOn w:val="DefaultParagraphFont"/>
    <w:link w:val="Heading11"/>
    <w:rsid w:val="0041499B"/>
    <w:rPr>
      <w:rFonts w:ascii="Times New Roman" w:hAnsi="Times New Roman" w:cs="Times New Roman"/>
      <w:b/>
      <w:color w:val="000000"/>
      <w:sz w:val="24"/>
      <w:szCs w:val="24"/>
      <w:u w:val="single"/>
    </w:rPr>
  </w:style>
  <w:style w:type="paragraph" w:customStyle="1" w:styleId="Heading112">
    <w:name w:val="Heading 1.1.2"/>
    <w:basedOn w:val="Normal"/>
    <w:link w:val="Heading112Char"/>
    <w:autoRedefine/>
    <w:qFormat/>
    <w:rsid w:val="009B339B"/>
    <w:pPr>
      <w:spacing w:line="240" w:lineRule="auto"/>
    </w:pPr>
    <w:rPr>
      <w:rFonts w:ascii="Times New Roman" w:hAnsi="Times New Roman" w:cs="Times New Roman"/>
      <w:b/>
      <w:szCs w:val="24"/>
      <w:u w:val="single"/>
      <w:lang w:eastAsia="en-US"/>
    </w:rPr>
  </w:style>
  <w:style w:type="character" w:customStyle="1" w:styleId="Heading111Char">
    <w:name w:val="Heading 1.1.1 Char"/>
    <w:basedOn w:val="DefaultParagraphFont"/>
    <w:link w:val="Heading111"/>
    <w:rsid w:val="00AE56BC"/>
    <w:rPr>
      <w:rFonts w:ascii="Times New Roman" w:eastAsiaTheme="minorEastAsia" w:hAnsi="Times New Roman" w:cs="Times New Roman"/>
      <w:b/>
      <w:bCs/>
      <w:iCs/>
      <w:color w:val="000000" w:themeColor="text1"/>
      <w:sz w:val="24"/>
      <w:szCs w:val="24"/>
      <w:u w:val="single"/>
      <w:lang w:val="en-GB"/>
    </w:rPr>
  </w:style>
  <w:style w:type="paragraph" w:customStyle="1" w:styleId="112">
    <w:name w:val="1.1.2"/>
    <w:basedOn w:val="ListParagraph"/>
    <w:link w:val="112Char"/>
    <w:autoRedefine/>
    <w:rsid w:val="0051234F"/>
    <w:pPr>
      <w:ind w:left="0"/>
      <w:contextualSpacing w:val="0"/>
    </w:pPr>
    <w:rPr>
      <w:rFonts w:ascii="Times New Roman" w:hAnsi="Times New Roman" w:cs="Times New Roman"/>
      <w:color w:val="000000" w:themeColor="text1"/>
      <w:szCs w:val="24"/>
      <w:lang w:val="en-TT" w:eastAsia="en-US"/>
    </w:rPr>
  </w:style>
  <w:style w:type="character" w:customStyle="1" w:styleId="Heading112Char">
    <w:name w:val="Heading 1.1.2 Char"/>
    <w:basedOn w:val="DefaultParagraphFont"/>
    <w:link w:val="Heading112"/>
    <w:rsid w:val="009B339B"/>
    <w:rPr>
      <w:rFonts w:ascii="Times New Roman" w:eastAsiaTheme="minorEastAsia" w:hAnsi="Times New Roman" w:cs="Times New Roman"/>
      <w:b/>
      <w:sz w:val="24"/>
      <w:szCs w:val="24"/>
      <w:u w:val="single"/>
      <w:lang w:val="en-GB"/>
    </w:rPr>
  </w:style>
  <w:style w:type="paragraph" w:styleId="DocumentMap">
    <w:name w:val="Document Map"/>
    <w:basedOn w:val="Normal"/>
    <w:link w:val="DocumentMapChar"/>
    <w:uiPriority w:val="99"/>
    <w:semiHidden/>
    <w:unhideWhenUsed/>
    <w:rsid w:val="0066248F"/>
    <w:pPr>
      <w:spacing w:line="240" w:lineRule="auto"/>
    </w:pPr>
    <w:rPr>
      <w:rFonts w:ascii="Tahoma" w:hAnsi="Tahoma" w:cs="Tahoma"/>
      <w:sz w:val="16"/>
      <w:szCs w:val="16"/>
    </w:rPr>
  </w:style>
  <w:style w:type="character" w:customStyle="1" w:styleId="ListParagraphChar">
    <w:name w:val="List Paragraph Char"/>
    <w:aliases w:val="CX List Paragraph Char"/>
    <w:basedOn w:val="DefaultParagraphFont"/>
    <w:link w:val="ListParagraph"/>
    <w:rsid w:val="00DD683D"/>
    <w:rPr>
      <w:rFonts w:asciiTheme="majorBidi" w:eastAsiaTheme="minorEastAsia" w:hAnsiTheme="majorBidi"/>
      <w:sz w:val="24"/>
      <w:lang w:val="en-GB" w:eastAsia="en-GB"/>
    </w:rPr>
  </w:style>
  <w:style w:type="character" w:customStyle="1" w:styleId="112Char">
    <w:name w:val="1.1.2 Char"/>
    <w:basedOn w:val="ListParagraphChar"/>
    <w:link w:val="112"/>
    <w:rsid w:val="0051234F"/>
    <w:rPr>
      <w:rFonts w:ascii="Times New Roman" w:eastAsiaTheme="minorEastAsia" w:hAnsi="Times New Roman" w:cs="Times New Roman"/>
      <w:color w:val="000000" w:themeColor="text1"/>
      <w:sz w:val="24"/>
      <w:szCs w:val="24"/>
      <w:lang w:val="en-GB" w:eastAsia="en-GB"/>
    </w:rPr>
  </w:style>
  <w:style w:type="character" w:customStyle="1" w:styleId="DocumentMapChar">
    <w:name w:val="Document Map Char"/>
    <w:basedOn w:val="DefaultParagraphFont"/>
    <w:link w:val="DocumentMap"/>
    <w:uiPriority w:val="99"/>
    <w:semiHidden/>
    <w:rsid w:val="0066248F"/>
    <w:rPr>
      <w:rFonts w:ascii="Tahoma" w:eastAsiaTheme="minorEastAsia" w:hAnsi="Tahoma" w:cs="Tahoma"/>
      <w:sz w:val="16"/>
      <w:szCs w:val="16"/>
      <w:lang w:val="en-GB" w:eastAsia="en-GB"/>
    </w:rPr>
  </w:style>
  <w:style w:type="paragraph" w:customStyle="1" w:styleId="m-4680019775700357391m279698777660616191ydp6c735be4msonormal">
    <w:name w:val="m_-4680019775700357391m_279698777660616191ydp6c735be4msonormal"/>
    <w:basedOn w:val="Normal"/>
    <w:rsid w:val="001019EF"/>
    <w:pPr>
      <w:spacing w:before="100" w:beforeAutospacing="1" w:after="100" w:afterAutospacing="1" w:line="240" w:lineRule="auto"/>
    </w:pPr>
    <w:rPr>
      <w:rFonts w:ascii="Times New Roman" w:eastAsia="Times New Roman" w:hAnsi="Times New Roman" w:cs="Times New Roman"/>
      <w:szCs w:val="24"/>
      <w:lang w:val="en-TT" w:eastAsia="en-TT"/>
    </w:rPr>
  </w:style>
  <w:style w:type="paragraph" w:customStyle="1" w:styleId="m-6404632495465840816m7965137926780929338m-8243633047943397703m9082243637205169179m-6191051475289839490m1684883822765476380m-5418154571320490228m-1036068775942087670m-2980607962231515677m-4402304969833787803m5620206270830628482m-792686779865">
    <w:name w:val="m_-6404632495465840816m_7965137926780929338m_-8243633047943397703m_9082243637205169179m_-6191051475289839490m_1684883822765476380m_-5418154571320490228m_-1036068775942087670m_-2980607962231515677m_-4402304969833787803m_5620206270830628482m_-792686779865"/>
    <w:basedOn w:val="Normal"/>
    <w:rsid w:val="001019EF"/>
    <w:pPr>
      <w:spacing w:before="100" w:beforeAutospacing="1" w:after="100" w:afterAutospacing="1" w:line="240" w:lineRule="auto"/>
    </w:pPr>
    <w:rPr>
      <w:rFonts w:ascii="Times New Roman" w:eastAsia="Times New Roman" w:hAnsi="Times New Roman" w:cs="Times New Roman"/>
      <w:szCs w:val="24"/>
      <w:lang w:val="en-TT" w:eastAsia="en-TT"/>
    </w:rPr>
  </w:style>
  <w:style w:type="paragraph" w:customStyle="1" w:styleId="1312">
    <w:name w:val="1.3.1.2"/>
    <w:basedOn w:val="Heading111"/>
    <w:link w:val="1312Char"/>
    <w:rsid w:val="00A3090C"/>
    <w:pPr>
      <w:numPr>
        <w:ilvl w:val="2"/>
        <w:numId w:val="55"/>
      </w:numPr>
      <w:spacing w:after="240"/>
      <w:outlineLvl w:val="9"/>
    </w:pPr>
  </w:style>
  <w:style w:type="character" w:customStyle="1" w:styleId="1312Char">
    <w:name w:val="1.3.1.2 Char"/>
    <w:basedOn w:val="Heading111Char"/>
    <w:link w:val="1312"/>
    <w:rsid w:val="00A3090C"/>
    <w:rPr>
      <w:rFonts w:ascii="Times New Roman" w:eastAsiaTheme="minorEastAsia" w:hAnsi="Times New Roman" w:cs="Times New Roman"/>
      <w:b/>
      <w:bCs/>
      <w:iCs/>
      <w:color w:val="000000" w:themeColor="text1"/>
      <w:sz w:val="24"/>
      <w:szCs w:val="24"/>
      <w:u w:val="single"/>
      <w:lang w:val="en-GB"/>
    </w:rPr>
  </w:style>
  <w:style w:type="paragraph" w:customStyle="1" w:styleId="Figures">
    <w:name w:val="Figures"/>
    <w:basedOn w:val="Caption"/>
    <w:link w:val="FiguresChar"/>
    <w:autoRedefine/>
    <w:qFormat/>
    <w:rsid w:val="006E08E8"/>
    <w:pPr>
      <w:spacing w:line="360" w:lineRule="auto"/>
    </w:pPr>
    <w:rPr>
      <w:rFonts w:ascii="Times New Roman" w:hAnsi="Times New Roman" w:cs="Times New Roman"/>
    </w:rPr>
  </w:style>
  <w:style w:type="paragraph" w:customStyle="1" w:styleId="Tables">
    <w:name w:val="Tables"/>
    <w:basedOn w:val="Caption"/>
    <w:link w:val="TablesChar"/>
    <w:autoRedefine/>
    <w:qFormat/>
    <w:rsid w:val="00B9320D"/>
    <w:rPr>
      <w:b/>
      <w:i w:val="0"/>
    </w:rPr>
  </w:style>
  <w:style w:type="character" w:customStyle="1" w:styleId="CaptionChar">
    <w:name w:val="Caption Char"/>
    <w:basedOn w:val="DefaultParagraphFont"/>
    <w:link w:val="Caption"/>
    <w:uiPriority w:val="35"/>
    <w:rsid w:val="00B9320D"/>
    <w:rPr>
      <w:rFonts w:asciiTheme="majorBidi" w:eastAsiaTheme="minorEastAsia" w:hAnsiTheme="majorBidi"/>
      <w:i/>
      <w:iCs/>
      <w:lang w:val="en-GB" w:eastAsia="en-GB"/>
    </w:rPr>
  </w:style>
  <w:style w:type="character" w:customStyle="1" w:styleId="FiguresChar">
    <w:name w:val="Figures Char"/>
    <w:basedOn w:val="CaptionChar"/>
    <w:link w:val="Figures"/>
    <w:rsid w:val="006E08E8"/>
    <w:rPr>
      <w:rFonts w:ascii="Times New Roman" w:eastAsiaTheme="minorEastAsia" w:hAnsi="Times New Roman" w:cs="Times New Roman"/>
      <w:i/>
      <w:iCs/>
      <w:lang w:val="en-GB" w:eastAsia="en-GB"/>
    </w:rPr>
  </w:style>
  <w:style w:type="paragraph" w:customStyle="1" w:styleId="Table">
    <w:name w:val="Table"/>
    <w:basedOn w:val="Normal"/>
    <w:link w:val="TableChar"/>
    <w:qFormat/>
    <w:rsid w:val="002C5D0F"/>
    <w:pPr>
      <w:spacing w:after="240" w:line="240" w:lineRule="auto"/>
      <w:jc w:val="center"/>
    </w:pPr>
    <w:rPr>
      <w:i/>
      <w:sz w:val="22"/>
    </w:rPr>
  </w:style>
  <w:style w:type="character" w:customStyle="1" w:styleId="TablesChar">
    <w:name w:val="Tables Char"/>
    <w:basedOn w:val="CaptionChar"/>
    <w:link w:val="Tables"/>
    <w:rsid w:val="00B9320D"/>
    <w:rPr>
      <w:rFonts w:asciiTheme="majorBidi" w:eastAsiaTheme="minorEastAsia" w:hAnsiTheme="majorBidi"/>
      <w:b/>
      <w:i w:val="0"/>
      <w:iCs/>
      <w:lang w:val="en-GB" w:eastAsia="en-GB"/>
    </w:rPr>
  </w:style>
  <w:style w:type="paragraph" w:customStyle="1" w:styleId="t">
    <w:name w:val="t"/>
    <w:basedOn w:val="Table"/>
    <w:link w:val="tChar"/>
    <w:rsid w:val="002C5D0F"/>
  </w:style>
  <w:style w:type="character" w:customStyle="1" w:styleId="TableChar">
    <w:name w:val="Table Char"/>
    <w:basedOn w:val="DefaultParagraphFont"/>
    <w:link w:val="Table"/>
    <w:rsid w:val="002C5D0F"/>
    <w:rPr>
      <w:rFonts w:asciiTheme="majorBidi" w:eastAsiaTheme="minorEastAsia" w:hAnsiTheme="majorBidi"/>
      <w:i/>
      <w:lang w:val="en-GB" w:eastAsia="en-GB"/>
    </w:rPr>
  </w:style>
  <w:style w:type="paragraph" w:customStyle="1" w:styleId="Table1">
    <w:name w:val="Table 1"/>
    <w:basedOn w:val="t"/>
    <w:link w:val="Table1Char"/>
    <w:autoRedefine/>
    <w:qFormat/>
    <w:rsid w:val="002C5D0F"/>
  </w:style>
  <w:style w:type="character" w:customStyle="1" w:styleId="tChar">
    <w:name w:val="t Char"/>
    <w:basedOn w:val="TableChar"/>
    <w:link w:val="t"/>
    <w:rsid w:val="002C5D0F"/>
    <w:rPr>
      <w:rFonts w:asciiTheme="majorBidi" w:eastAsiaTheme="minorEastAsia" w:hAnsiTheme="majorBidi"/>
      <w:i/>
      <w:lang w:val="en-GB" w:eastAsia="en-GB"/>
    </w:rPr>
  </w:style>
  <w:style w:type="paragraph" w:customStyle="1" w:styleId="Tables12">
    <w:name w:val="Tables 1.2"/>
    <w:basedOn w:val="Table"/>
    <w:link w:val="Tables12Char"/>
    <w:qFormat/>
    <w:rsid w:val="002C5D0F"/>
    <w:rPr>
      <w:b/>
      <w:i w:val="0"/>
    </w:rPr>
  </w:style>
  <w:style w:type="character" w:customStyle="1" w:styleId="Table1Char">
    <w:name w:val="Table 1 Char"/>
    <w:basedOn w:val="tChar"/>
    <w:link w:val="Table1"/>
    <w:rsid w:val="002C5D0F"/>
    <w:rPr>
      <w:rFonts w:asciiTheme="majorBidi" w:eastAsiaTheme="minorEastAsia" w:hAnsiTheme="majorBidi"/>
      <w:i/>
      <w:lang w:val="en-GB" w:eastAsia="en-GB"/>
    </w:rPr>
  </w:style>
  <w:style w:type="paragraph" w:customStyle="1" w:styleId="1122">
    <w:name w:val="1.1.2/2"/>
    <w:basedOn w:val="112"/>
    <w:link w:val="1122Char"/>
    <w:rsid w:val="00AC48F0"/>
  </w:style>
  <w:style w:type="character" w:customStyle="1" w:styleId="Tables12Char">
    <w:name w:val="Tables 1.2 Char"/>
    <w:basedOn w:val="TableChar"/>
    <w:link w:val="Tables12"/>
    <w:rsid w:val="002C5D0F"/>
    <w:rPr>
      <w:rFonts w:asciiTheme="majorBidi" w:eastAsiaTheme="minorEastAsia" w:hAnsiTheme="majorBidi"/>
      <w:b/>
      <w:i w:val="0"/>
      <w:lang w:val="en-GB" w:eastAsia="en-GB"/>
    </w:rPr>
  </w:style>
  <w:style w:type="paragraph" w:customStyle="1" w:styleId="13120">
    <w:name w:val="1.3.1/2"/>
    <w:basedOn w:val="1312"/>
    <w:link w:val="1312Char0"/>
    <w:rsid w:val="002B4CCF"/>
  </w:style>
  <w:style w:type="character" w:customStyle="1" w:styleId="1122Char">
    <w:name w:val="1.1.2/2 Char"/>
    <w:basedOn w:val="112Char"/>
    <w:link w:val="1122"/>
    <w:rsid w:val="00AC48F0"/>
    <w:rPr>
      <w:rFonts w:ascii="Times New Roman" w:eastAsiaTheme="minorEastAsia" w:hAnsi="Times New Roman" w:cs="Times New Roman"/>
      <w:b w:val="0"/>
      <w:i w:val="0"/>
      <w:color w:val="000000" w:themeColor="text1"/>
      <w:sz w:val="24"/>
      <w:szCs w:val="24"/>
      <w:u w:val="single"/>
      <w:lang w:val="en-GB" w:eastAsia="en-GB"/>
    </w:rPr>
  </w:style>
  <w:style w:type="character" w:customStyle="1" w:styleId="1312Char0">
    <w:name w:val="1.3.1/2 Char"/>
    <w:basedOn w:val="1312Char"/>
    <w:link w:val="13120"/>
    <w:rsid w:val="002B4CCF"/>
    <w:rPr>
      <w:rFonts w:ascii="Times New Roman" w:eastAsiaTheme="minorEastAsia" w:hAnsi="Times New Roman" w:cs="Times New Roman"/>
      <w:b/>
      <w:bCs/>
      <w:iCs/>
      <w:color w:val="000000" w:themeColor="text1"/>
      <w:sz w:val="24"/>
      <w:szCs w:val="24"/>
      <w:u w:val="single"/>
      <w:lang w:val="en-GB"/>
    </w:rPr>
  </w:style>
  <w:style w:type="paragraph" w:customStyle="1" w:styleId="PHDHead1111">
    <w:name w:val="PHD Head 1.1.1.1"/>
    <w:basedOn w:val="Normal"/>
    <w:link w:val="PHDHead1111Char"/>
    <w:rsid w:val="0020282D"/>
    <w:pPr>
      <w:tabs>
        <w:tab w:val="left" w:pos="1843"/>
      </w:tabs>
      <w:ind w:firstLine="851"/>
    </w:pPr>
    <w:rPr>
      <w:i/>
      <w:u w:val="single"/>
    </w:rPr>
  </w:style>
  <w:style w:type="paragraph" w:customStyle="1" w:styleId="PHDSubhead1111">
    <w:name w:val="PHD Subhead 1.1.1.1"/>
    <w:basedOn w:val="PHDHead1111"/>
    <w:link w:val="PHDSubhead1111Char"/>
    <w:qFormat/>
    <w:rsid w:val="00A269CA"/>
  </w:style>
  <w:style w:type="character" w:customStyle="1" w:styleId="PHDHead1111Char">
    <w:name w:val="PHD Head 1.1.1.1 Char"/>
    <w:basedOn w:val="DefaultParagraphFont"/>
    <w:link w:val="PHDHead1111"/>
    <w:rsid w:val="0020282D"/>
    <w:rPr>
      <w:rFonts w:asciiTheme="majorBidi" w:eastAsiaTheme="minorEastAsia" w:hAnsiTheme="majorBidi"/>
      <w:i/>
      <w:sz w:val="24"/>
      <w:u w:val="single"/>
      <w:lang w:val="en-GB" w:eastAsia="en-GB"/>
    </w:rPr>
  </w:style>
  <w:style w:type="character" w:customStyle="1" w:styleId="PHDSubhead1111Char">
    <w:name w:val="PHD Subhead 1.1.1.1 Char"/>
    <w:basedOn w:val="PHDHead1111Char"/>
    <w:link w:val="PHDSubhead1111"/>
    <w:rsid w:val="00A269CA"/>
    <w:rPr>
      <w:rFonts w:asciiTheme="majorBidi" w:eastAsiaTheme="minorEastAsia" w:hAnsiTheme="majorBidi"/>
      <w:i/>
      <w:sz w:val="24"/>
      <w:u w:val="single"/>
      <w:lang w:val="en-GB" w:eastAsia="en-GB"/>
    </w:rPr>
  </w:style>
  <w:style w:type="table" w:styleId="LightShading">
    <w:name w:val="Light Shading"/>
    <w:basedOn w:val="TableNormal"/>
    <w:uiPriority w:val="60"/>
    <w:rsid w:val="00FD46C8"/>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D20872"/>
    <w:rPr>
      <w:color w:val="800080" w:themeColor="followedHyperlink"/>
      <w:u w:val="single"/>
    </w:rPr>
  </w:style>
  <w:style w:type="table" w:customStyle="1" w:styleId="4">
    <w:name w:val="4"/>
    <w:basedOn w:val="TableNormal"/>
    <w:rsid w:val="00D20872"/>
    <w:pPr>
      <w:spacing w:line="240" w:lineRule="auto"/>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D20872"/>
    <w:pPr>
      <w:spacing w:line="240" w:lineRule="auto"/>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D20872"/>
    <w:pPr>
      <w:spacing w:line="240" w:lineRule="auto"/>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D20872"/>
    <w:pPr>
      <w:spacing w:line="240" w:lineRule="auto"/>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paragraph" w:customStyle="1" w:styleId="StyleD1">
    <w:name w:val="StyleD1"/>
    <w:basedOn w:val="Heading111"/>
    <w:link w:val="StyleD1Char"/>
    <w:autoRedefine/>
    <w:qFormat/>
    <w:rsid w:val="00D20872"/>
    <w:rPr>
      <w:rFonts w:eastAsia="Times New Roman"/>
      <w:color w:val="auto"/>
    </w:rPr>
  </w:style>
  <w:style w:type="character" w:customStyle="1" w:styleId="StyleD1Char">
    <w:name w:val="StyleD1 Char"/>
    <w:basedOn w:val="DefaultParagraphFont"/>
    <w:link w:val="StyleD1"/>
    <w:rsid w:val="00D20872"/>
    <w:rPr>
      <w:rFonts w:ascii="Times New Roman" w:eastAsia="Times New Roman" w:hAnsi="Times New Roman" w:cs="Times New Roman"/>
      <w:b/>
      <w:bCs/>
      <w:iCs/>
      <w:sz w:val="24"/>
      <w:szCs w:val="24"/>
      <w:u w:val="single"/>
      <w:lang w:val="en-GB"/>
    </w:rPr>
  </w:style>
  <w:style w:type="character" w:customStyle="1" w:styleId="UnresolvedMention1">
    <w:name w:val="Unresolved Mention1"/>
    <w:basedOn w:val="DefaultParagraphFont"/>
    <w:uiPriority w:val="99"/>
    <w:semiHidden/>
    <w:unhideWhenUsed/>
    <w:rsid w:val="00DF05BD"/>
    <w:rPr>
      <w:color w:val="605E5C"/>
      <w:shd w:val="clear" w:color="auto" w:fill="E1DFDD"/>
    </w:rPr>
  </w:style>
  <w:style w:type="character" w:customStyle="1" w:styleId="ms-button-flexcontainer">
    <w:name w:val="ms-button-flexcontainer"/>
    <w:basedOn w:val="DefaultParagraphFont"/>
    <w:rsid w:val="00DF05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TT" w:eastAsia="en-US" w:bidi="ar-SA"/>
      </w:rPr>
    </w:rPrDefault>
    <w:pPrDefault>
      <w:pPr>
        <w:spacing w:before="20" w:line="360" w:lineRule="auto"/>
        <w:ind w:firstLine="567"/>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F73ED"/>
    <w:rPr>
      <w:rFonts w:asciiTheme="majorBidi" w:eastAsiaTheme="minorEastAsia" w:hAnsiTheme="majorBidi"/>
      <w:sz w:val="24"/>
      <w:lang w:val="en-GB" w:eastAsia="en-GB"/>
    </w:rPr>
  </w:style>
  <w:style w:type="paragraph" w:styleId="Heading1">
    <w:name w:val="heading 1"/>
    <w:basedOn w:val="Normal"/>
    <w:next w:val="Normal"/>
    <w:link w:val="Heading1Char"/>
    <w:autoRedefine/>
    <w:uiPriority w:val="9"/>
    <w:qFormat/>
    <w:rsid w:val="00D20B2D"/>
    <w:pPr>
      <w:keepNext/>
      <w:keepLines/>
      <w:ind w:right="4" w:firstLine="0"/>
      <w:jc w:val="center"/>
      <w:outlineLvl w:val="0"/>
    </w:pPr>
    <w:rPr>
      <w:rFonts w:ascii="Times New Roman" w:hAnsi="Times New Roman" w:cs="Times New Roman"/>
      <w:b/>
      <w:bCs/>
      <w:sz w:val="32"/>
      <w:szCs w:val="28"/>
      <w:lang w:val="fr-FR"/>
    </w:rPr>
  </w:style>
  <w:style w:type="paragraph" w:styleId="Heading2">
    <w:name w:val="heading 2"/>
    <w:aliases w:val="Heading 10,Heading 11"/>
    <w:basedOn w:val="Normal"/>
    <w:next w:val="Normal"/>
    <w:link w:val="Heading2Char"/>
    <w:unhideWhenUsed/>
    <w:qFormat/>
    <w:rsid w:val="00175C3E"/>
    <w:pPr>
      <w:keepNext/>
      <w:keepLines/>
      <w:numPr>
        <w:ilvl w:val="1"/>
        <w:numId w:val="56"/>
      </w:numPr>
      <w:spacing w:before="200"/>
      <w:outlineLvl w:val="1"/>
    </w:pPr>
    <w:rPr>
      <w:rFonts w:ascii="Times New Roman" w:eastAsiaTheme="majorEastAsia" w:hAnsi="Times New Roman" w:cs="Times New Roman"/>
      <w:b/>
      <w:bCs/>
      <w:szCs w:val="26"/>
      <w:u w:val="single"/>
    </w:rPr>
  </w:style>
  <w:style w:type="paragraph" w:styleId="Heading3">
    <w:name w:val="heading 3"/>
    <w:basedOn w:val="Normal"/>
    <w:next w:val="Normal"/>
    <w:link w:val="Heading3Char"/>
    <w:unhideWhenUsed/>
    <w:qFormat/>
    <w:rsid w:val="005C449C"/>
    <w:pPr>
      <w:ind w:firstLine="0"/>
      <w:outlineLvl w:val="2"/>
    </w:pPr>
    <w:rPr>
      <w:b/>
      <w:i/>
      <w:u w:val="single"/>
    </w:rPr>
  </w:style>
  <w:style w:type="paragraph" w:styleId="Heading4">
    <w:name w:val="heading 4"/>
    <w:basedOn w:val="Normal"/>
    <w:next w:val="Normal"/>
    <w:link w:val="Heading4Char"/>
    <w:unhideWhenUsed/>
    <w:qFormat/>
    <w:rsid w:val="00112260"/>
    <w:pPr>
      <w:outlineLvl w:val="3"/>
    </w:pPr>
    <w:rPr>
      <w:b/>
      <w:i/>
      <w:u w:val="single"/>
    </w:rPr>
  </w:style>
  <w:style w:type="paragraph" w:styleId="Heading5">
    <w:name w:val="heading 5"/>
    <w:basedOn w:val="Normal"/>
    <w:next w:val="Normal"/>
    <w:link w:val="Heading5Char"/>
    <w:autoRedefine/>
    <w:unhideWhenUsed/>
    <w:qFormat/>
    <w:rsid w:val="0031040A"/>
    <w:pPr>
      <w:keepNext/>
      <w:keepLines/>
      <w:numPr>
        <w:ilvl w:val="4"/>
        <w:numId w:val="56"/>
      </w:numPr>
      <w:spacing w:before="200" w:line="240" w:lineRule="auto"/>
      <w:outlineLvl w:val="4"/>
    </w:pPr>
    <w:rPr>
      <w:rFonts w:ascii="Times New Roman" w:eastAsiaTheme="majorEastAsia" w:hAnsi="Times New Roman" w:cs="Times New Roman"/>
      <w:i/>
      <w:color w:val="000000" w:themeColor="text1"/>
      <w:u w:val="single"/>
    </w:rPr>
  </w:style>
  <w:style w:type="paragraph" w:styleId="Heading6">
    <w:name w:val="heading 6"/>
    <w:basedOn w:val="Normal"/>
    <w:next w:val="Normal"/>
    <w:link w:val="Heading6Char"/>
    <w:unhideWhenUsed/>
    <w:qFormat/>
    <w:rsid w:val="001F077F"/>
    <w:pPr>
      <w:keepNext/>
      <w:keepLines/>
      <w:numPr>
        <w:ilvl w:val="5"/>
        <w:numId w:val="56"/>
      </w:numPr>
      <w:spacing w:before="40"/>
      <w:outlineLvl w:val="5"/>
    </w:pPr>
    <w:rPr>
      <w:rFonts w:asciiTheme="majorHAnsi" w:eastAsiaTheme="majorEastAsia" w:hAnsiTheme="majorHAnsi" w:cstheme="majorBidi"/>
      <w:color w:val="243F60" w:themeColor="accent1" w:themeShade="7F"/>
      <w:lang w:val="en-TT" w:eastAsia="en-US"/>
    </w:rPr>
  </w:style>
  <w:style w:type="paragraph" w:styleId="Heading7">
    <w:name w:val="heading 7"/>
    <w:basedOn w:val="Normal"/>
    <w:next w:val="Normal"/>
    <w:link w:val="Heading7Char"/>
    <w:autoRedefine/>
    <w:uiPriority w:val="9"/>
    <w:unhideWhenUsed/>
    <w:qFormat/>
    <w:rsid w:val="001F077F"/>
    <w:pPr>
      <w:keepNext/>
      <w:keepLines/>
      <w:numPr>
        <w:ilvl w:val="6"/>
        <w:numId w:val="56"/>
      </w:numPr>
      <w:spacing w:before="40"/>
      <w:outlineLvl w:val="6"/>
    </w:pPr>
    <w:rPr>
      <w:rFonts w:eastAsiaTheme="majorEastAsia" w:cstheme="majorBidi"/>
      <w:b/>
      <w:i/>
      <w:iCs/>
      <w:u w:val="single"/>
      <w:lang w:val="en-TT" w:eastAsia="en-US"/>
    </w:rPr>
  </w:style>
  <w:style w:type="paragraph" w:styleId="Heading8">
    <w:name w:val="heading 8"/>
    <w:basedOn w:val="Normal"/>
    <w:next w:val="Normal"/>
    <w:link w:val="Heading8Char"/>
    <w:uiPriority w:val="9"/>
    <w:unhideWhenUsed/>
    <w:qFormat/>
    <w:rsid w:val="001F077F"/>
    <w:pPr>
      <w:keepNext/>
      <w:keepLines/>
      <w:numPr>
        <w:ilvl w:val="7"/>
        <w:numId w:val="5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F077F"/>
    <w:pPr>
      <w:keepNext/>
      <w:keepLines/>
      <w:numPr>
        <w:ilvl w:val="8"/>
        <w:numId w:val="56"/>
      </w:numPr>
      <w:spacing w:before="40"/>
      <w:outlineLvl w:val="8"/>
    </w:pPr>
    <w:rPr>
      <w:rFonts w:asciiTheme="majorHAnsi" w:eastAsiaTheme="majorEastAsia" w:hAnsiTheme="majorHAnsi" w:cstheme="majorBidi"/>
      <w:i/>
      <w:iCs/>
      <w:color w:val="272727" w:themeColor="text1" w:themeTint="D8"/>
      <w:sz w:val="21"/>
      <w:szCs w:val="21"/>
      <w:lang w:val="en-T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513959"/>
    <w:pPr>
      <w:autoSpaceDE w:val="0"/>
      <w:autoSpaceDN w:val="0"/>
      <w:adjustRightInd w:val="0"/>
      <w:spacing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20B2D"/>
    <w:rPr>
      <w:rFonts w:ascii="Times New Roman" w:eastAsiaTheme="minorEastAsia" w:hAnsi="Times New Roman" w:cs="Times New Roman"/>
      <w:b/>
      <w:bCs/>
      <w:sz w:val="32"/>
      <w:szCs w:val="28"/>
      <w:lang w:val="fr-FR" w:eastAsia="en-GB"/>
    </w:rPr>
  </w:style>
  <w:style w:type="paragraph" w:styleId="Title">
    <w:name w:val="Title"/>
    <w:basedOn w:val="Normal"/>
    <w:next w:val="Normal"/>
    <w:link w:val="TitleChar"/>
    <w:qFormat/>
    <w:rsid w:val="00B015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0157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B01575"/>
    <w:pPr>
      <w:numPr>
        <w:ilvl w:val="1"/>
      </w:numPr>
      <w:ind w:firstLine="567"/>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B0157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01575"/>
    <w:rPr>
      <w:i/>
      <w:iCs/>
      <w:color w:val="808080" w:themeColor="text1" w:themeTint="7F"/>
    </w:rPr>
  </w:style>
  <w:style w:type="character" w:styleId="IntenseEmphasis">
    <w:name w:val="Intense Emphasis"/>
    <w:basedOn w:val="DefaultParagraphFont"/>
    <w:uiPriority w:val="21"/>
    <w:qFormat/>
    <w:rsid w:val="00B01575"/>
    <w:rPr>
      <w:b/>
      <w:bCs/>
      <w:i/>
      <w:iCs/>
      <w:color w:val="4F81BD" w:themeColor="accent1"/>
    </w:rPr>
  </w:style>
  <w:style w:type="character" w:styleId="CommentReference">
    <w:name w:val="annotation reference"/>
    <w:basedOn w:val="DefaultParagraphFont"/>
    <w:uiPriority w:val="99"/>
    <w:semiHidden/>
    <w:unhideWhenUsed/>
    <w:rsid w:val="004A282D"/>
    <w:rPr>
      <w:sz w:val="16"/>
      <w:szCs w:val="16"/>
    </w:rPr>
  </w:style>
  <w:style w:type="paragraph" w:styleId="CommentText">
    <w:name w:val="annotation text"/>
    <w:basedOn w:val="Normal"/>
    <w:link w:val="CommentTextChar"/>
    <w:uiPriority w:val="99"/>
    <w:unhideWhenUsed/>
    <w:rsid w:val="004A282D"/>
    <w:pPr>
      <w:spacing w:line="240" w:lineRule="auto"/>
    </w:pPr>
    <w:rPr>
      <w:sz w:val="20"/>
      <w:szCs w:val="20"/>
    </w:rPr>
  </w:style>
  <w:style w:type="character" w:customStyle="1" w:styleId="CommentTextChar">
    <w:name w:val="Comment Text Char"/>
    <w:basedOn w:val="DefaultParagraphFont"/>
    <w:link w:val="CommentText"/>
    <w:uiPriority w:val="99"/>
    <w:rsid w:val="004A282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A282D"/>
    <w:rPr>
      <w:b/>
      <w:bCs/>
    </w:rPr>
  </w:style>
  <w:style w:type="character" w:customStyle="1" w:styleId="CommentSubjectChar">
    <w:name w:val="Comment Subject Char"/>
    <w:basedOn w:val="CommentTextChar"/>
    <w:link w:val="CommentSubject"/>
    <w:uiPriority w:val="99"/>
    <w:semiHidden/>
    <w:rsid w:val="004A282D"/>
    <w:rPr>
      <w:rFonts w:ascii="Times New Roman" w:hAnsi="Times New Roman"/>
      <w:b/>
      <w:bCs/>
      <w:sz w:val="20"/>
      <w:szCs w:val="20"/>
    </w:rPr>
  </w:style>
  <w:style w:type="paragraph" w:styleId="BalloonText">
    <w:name w:val="Balloon Text"/>
    <w:basedOn w:val="Normal"/>
    <w:link w:val="BalloonTextChar"/>
    <w:uiPriority w:val="99"/>
    <w:semiHidden/>
    <w:unhideWhenUsed/>
    <w:rsid w:val="004A28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82D"/>
    <w:rPr>
      <w:rFonts w:ascii="Tahoma" w:hAnsi="Tahoma" w:cs="Tahoma"/>
      <w:sz w:val="16"/>
      <w:szCs w:val="16"/>
    </w:rPr>
  </w:style>
  <w:style w:type="paragraph" w:styleId="FootnoteText">
    <w:name w:val="footnote text"/>
    <w:basedOn w:val="Normal"/>
    <w:link w:val="FootnoteTextChar"/>
    <w:uiPriority w:val="99"/>
    <w:unhideWhenUsed/>
    <w:rsid w:val="004A282D"/>
    <w:pPr>
      <w:spacing w:line="240" w:lineRule="auto"/>
    </w:pPr>
    <w:rPr>
      <w:sz w:val="20"/>
      <w:szCs w:val="20"/>
    </w:rPr>
  </w:style>
  <w:style w:type="character" w:customStyle="1" w:styleId="FootnoteTextChar">
    <w:name w:val="Footnote Text Char"/>
    <w:basedOn w:val="DefaultParagraphFont"/>
    <w:link w:val="FootnoteText"/>
    <w:uiPriority w:val="99"/>
    <w:rsid w:val="004A282D"/>
    <w:rPr>
      <w:rFonts w:ascii="Times New Roman" w:hAnsi="Times New Roman"/>
      <w:sz w:val="20"/>
      <w:szCs w:val="20"/>
    </w:rPr>
  </w:style>
  <w:style w:type="character" w:styleId="FootnoteReference">
    <w:name w:val="footnote reference"/>
    <w:basedOn w:val="DefaultParagraphFont"/>
    <w:uiPriority w:val="99"/>
    <w:semiHidden/>
    <w:unhideWhenUsed/>
    <w:rsid w:val="004A282D"/>
    <w:rPr>
      <w:vertAlign w:val="superscript"/>
    </w:rPr>
  </w:style>
  <w:style w:type="character" w:customStyle="1" w:styleId="Heading2Char">
    <w:name w:val="Heading 2 Char"/>
    <w:aliases w:val="Heading 10 Char,Heading 11 Char"/>
    <w:basedOn w:val="DefaultParagraphFont"/>
    <w:link w:val="Heading2"/>
    <w:rsid w:val="00175C3E"/>
    <w:rPr>
      <w:rFonts w:ascii="Times New Roman" w:eastAsiaTheme="majorEastAsia" w:hAnsi="Times New Roman" w:cs="Times New Roman"/>
      <w:b/>
      <w:bCs/>
      <w:sz w:val="24"/>
      <w:szCs w:val="26"/>
      <w:u w:val="single"/>
      <w:lang w:val="en-GB" w:eastAsia="en-GB"/>
    </w:rPr>
  </w:style>
  <w:style w:type="paragraph" w:styleId="Header">
    <w:name w:val="header"/>
    <w:basedOn w:val="Normal"/>
    <w:link w:val="HeaderChar"/>
    <w:uiPriority w:val="99"/>
    <w:unhideWhenUsed/>
    <w:rsid w:val="00C730A6"/>
    <w:pPr>
      <w:tabs>
        <w:tab w:val="center" w:pos="4680"/>
        <w:tab w:val="right" w:pos="9360"/>
      </w:tabs>
      <w:spacing w:line="240" w:lineRule="auto"/>
    </w:pPr>
  </w:style>
  <w:style w:type="character" w:customStyle="1" w:styleId="HeaderChar">
    <w:name w:val="Header Char"/>
    <w:basedOn w:val="DefaultParagraphFont"/>
    <w:link w:val="Header"/>
    <w:uiPriority w:val="99"/>
    <w:rsid w:val="00C730A6"/>
    <w:rPr>
      <w:rFonts w:ascii="Times New Roman" w:hAnsi="Times New Roman"/>
      <w:sz w:val="24"/>
    </w:rPr>
  </w:style>
  <w:style w:type="paragraph" w:styleId="Footer">
    <w:name w:val="footer"/>
    <w:basedOn w:val="Normal"/>
    <w:link w:val="FooterChar"/>
    <w:uiPriority w:val="99"/>
    <w:unhideWhenUsed/>
    <w:rsid w:val="00C730A6"/>
    <w:pPr>
      <w:tabs>
        <w:tab w:val="center" w:pos="4680"/>
        <w:tab w:val="right" w:pos="9360"/>
      </w:tabs>
      <w:spacing w:line="240" w:lineRule="auto"/>
    </w:pPr>
  </w:style>
  <w:style w:type="character" w:customStyle="1" w:styleId="FooterChar">
    <w:name w:val="Footer Char"/>
    <w:basedOn w:val="DefaultParagraphFont"/>
    <w:link w:val="Footer"/>
    <w:uiPriority w:val="99"/>
    <w:rsid w:val="00C730A6"/>
    <w:rPr>
      <w:rFonts w:ascii="Times New Roman" w:hAnsi="Times New Roman"/>
      <w:sz w:val="24"/>
    </w:rPr>
  </w:style>
  <w:style w:type="table" w:styleId="TableGrid">
    <w:name w:val="Table Grid"/>
    <w:basedOn w:val="TableNormal"/>
    <w:uiPriority w:val="39"/>
    <w:rsid w:val="00B86EC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X List Paragraph"/>
    <w:basedOn w:val="Normal"/>
    <w:link w:val="ListParagraphChar"/>
    <w:uiPriority w:val="34"/>
    <w:qFormat/>
    <w:rsid w:val="00E7141E"/>
    <w:pPr>
      <w:ind w:left="720"/>
      <w:contextualSpacing/>
    </w:pPr>
  </w:style>
  <w:style w:type="character" w:customStyle="1" w:styleId="Heading3Char">
    <w:name w:val="Heading 3 Char"/>
    <w:basedOn w:val="DefaultParagraphFont"/>
    <w:link w:val="Heading3"/>
    <w:rsid w:val="005C449C"/>
    <w:rPr>
      <w:rFonts w:asciiTheme="majorBidi" w:eastAsiaTheme="minorEastAsia" w:hAnsiTheme="majorBidi"/>
      <w:b/>
      <w:i/>
      <w:sz w:val="24"/>
      <w:u w:val="single"/>
      <w:lang w:val="en-GB" w:eastAsia="en-GB"/>
    </w:rPr>
  </w:style>
  <w:style w:type="character" w:customStyle="1" w:styleId="Heading4Char">
    <w:name w:val="Heading 4 Char"/>
    <w:basedOn w:val="DefaultParagraphFont"/>
    <w:link w:val="Heading4"/>
    <w:rsid w:val="00112260"/>
    <w:rPr>
      <w:rFonts w:asciiTheme="majorBidi" w:eastAsiaTheme="minorEastAsia" w:hAnsiTheme="majorBidi"/>
      <w:b/>
      <w:i/>
      <w:sz w:val="24"/>
      <w:u w:val="single"/>
      <w:lang w:val="en-GB" w:eastAsia="en-GB"/>
    </w:rPr>
  </w:style>
  <w:style w:type="paragraph" w:styleId="TOCHeading">
    <w:name w:val="TOC Heading"/>
    <w:basedOn w:val="Heading1"/>
    <w:next w:val="Normal"/>
    <w:uiPriority w:val="39"/>
    <w:unhideWhenUsed/>
    <w:qFormat/>
    <w:rsid w:val="0024544C"/>
    <w:pPr>
      <w:outlineLvl w:val="9"/>
    </w:pPr>
    <w:rPr>
      <w:lang w:val="en-US" w:eastAsia="ja-JP"/>
    </w:rPr>
  </w:style>
  <w:style w:type="paragraph" w:styleId="TOC1">
    <w:name w:val="toc 1"/>
    <w:basedOn w:val="Normal"/>
    <w:next w:val="Normal"/>
    <w:autoRedefine/>
    <w:uiPriority w:val="39"/>
    <w:unhideWhenUsed/>
    <w:qFormat/>
    <w:rsid w:val="00BE40EF"/>
    <w:pPr>
      <w:tabs>
        <w:tab w:val="left" w:pos="993"/>
        <w:tab w:val="left" w:pos="1843"/>
        <w:tab w:val="right" w:leader="dot" w:pos="10206"/>
      </w:tabs>
      <w:spacing w:after="100"/>
    </w:pPr>
  </w:style>
  <w:style w:type="paragraph" w:styleId="TOC2">
    <w:name w:val="toc 2"/>
    <w:basedOn w:val="Normal"/>
    <w:next w:val="Normal"/>
    <w:autoRedefine/>
    <w:uiPriority w:val="39"/>
    <w:unhideWhenUsed/>
    <w:qFormat/>
    <w:rsid w:val="0024544C"/>
    <w:pPr>
      <w:spacing w:after="100"/>
      <w:ind w:left="240"/>
    </w:pPr>
  </w:style>
  <w:style w:type="paragraph" w:styleId="TOC3">
    <w:name w:val="toc 3"/>
    <w:basedOn w:val="Normal"/>
    <w:next w:val="Normal"/>
    <w:autoRedefine/>
    <w:uiPriority w:val="39"/>
    <w:unhideWhenUsed/>
    <w:qFormat/>
    <w:rsid w:val="0024544C"/>
    <w:pPr>
      <w:spacing w:after="100"/>
      <w:ind w:left="480"/>
    </w:pPr>
  </w:style>
  <w:style w:type="character" w:styleId="Hyperlink">
    <w:name w:val="Hyperlink"/>
    <w:basedOn w:val="DefaultParagraphFont"/>
    <w:uiPriority w:val="99"/>
    <w:unhideWhenUsed/>
    <w:rsid w:val="0024544C"/>
    <w:rPr>
      <w:color w:val="0000FF" w:themeColor="hyperlink"/>
      <w:u w:val="single"/>
    </w:rPr>
  </w:style>
  <w:style w:type="paragraph" w:customStyle="1" w:styleId="EndNoteBibliographyTitle">
    <w:name w:val="EndNote Bibliography Title"/>
    <w:basedOn w:val="Normal"/>
    <w:link w:val="EndNoteBibliographyTitleChar"/>
    <w:rsid w:val="007575C1"/>
    <w:pPr>
      <w:jc w:val="center"/>
    </w:pPr>
    <w:rPr>
      <w:rFonts w:ascii="Times New Roman" w:hAnsi="Times New Roman" w:cs="Times New Roman"/>
      <w:noProof/>
      <w:lang w:val="en-US"/>
    </w:rPr>
  </w:style>
  <w:style w:type="character" w:customStyle="1" w:styleId="DefaultChar">
    <w:name w:val="Default Char"/>
    <w:basedOn w:val="DefaultParagraphFont"/>
    <w:link w:val="Default"/>
    <w:rsid w:val="007575C1"/>
    <w:rPr>
      <w:rFonts w:ascii="Calibri" w:hAnsi="Calibri" w:cs="Calibri"/>
      <w:color w:val="000000"/>
      <w:sz w:val="24"/>
      <w:szCs w:val="24"/>
    </w:rPr>
  </w:style>
  <w:style w:type="character" w:customStyle="1" w:styleId="EndNoteBibliographyTitleChar">
    <w:name w:val="EndNote Bibliography Title Char"/>
    <w:basedOn w:val="DefaultChar"/>
    <w:link w:val="EndNoteBibliographyTitle"/>
    <w:rsid w:val="007575C1"/>
    <w:rPr>
      <w:rFonts w:ascii="Times New Roman" w:eastAsiaTheme="minorEastAsia" w:hAnsi="Times New Roman" w:cs="Times New Roman"/>
      <w:noProof/>
      <w:color w:val="000000"/>
      <w:sz w:val="24"/>
      <w:szCs w:val="24"/>
      <w:lang w:val="en-US" w:eastAsia="en-GB"/>
    </w:rPr>
  </w:style>
  <w:style w:type="paragraph" w:customStyle="1" w:styleId="EndNoteBibliography">
    <w:name w:val="EndNote Bibliography"/>
    <w:basedOn w:val="Normal"/>
    <w:link w:val="EndNoteBibliographyChar"/>
    <w:rsid w:val="007575C1"/>
    <w:pPr>
      <w:spacing w:line="240" w:lineRule="auto"/>
      <w:jc w:val="center"/>
    </w:pPr>
    <w:rPr>
      <w:rFonts w:ascii="Times New Roman" w:hAnsi="Times New Roman" w:cs="Times New Roman"/>
      <w:noProof/>
      <w:lang w:val="en-US"/>
    </w:rPr>
  </w:style>
  <w:style w:type="character" w:customStyle="1" w:styleId="EndNoteBibliographyChar">
    <w:name w:val="EndNote Bibliography Char"/>
    <w:basedOn w:val="DefaultChar"/>
    <w:link w:val="EndNoteBibliography"/>
    <w:rsid w:val="007575C1"/>
    <w:rPr>
      <w:rFonts w:ascii="Times New Roman" w:eastAsiaTheme="minorEastAsia" w:hAnsi="Times New Roman" w:cs="Times New Roman"/>
      <w:noProof/>
      <w:color w:val="000000"/>
      <w:sz w:val="24"/>
      <w:szCs w:val="24"/>
      <w:lang w:val="en-US" w:eastAsia="en-GB"/>
    </w:rPr>
  </w:style>
  <w:style w:type="paragraph" w:styleId="EndnoteText">
    <w:name w:val="endnote text"/>
    <w:basedOn w:val="Normal"/>
    <w:link w:val="EndnoteTextChar"/>
    <w:uiPriority w:val="99"/>
    <w:unhideWhenUsed/>
    <w:rsid w:val="00A80F41"/>
    <w:pPr>
      <w:spacing w:line="240" w:lineRule="auto"/>
    </w:pPr>
    <w:rPr>
      <w:sz w:val="20"/>
      <w:szCs w:val="20"/>
    </w:rPr>
  </w:style>
  <w:style w:type="character" w:customStyle="1" w:styleId="EndnoteTextChar">
    <w:name w:val="Endnote Text Char"/>
    <w:basedOn w:val="DefaultParagraphFont"/>
    <w:link w:val="EndnoteText"/>
    <w:uiPriority w:val="99"/>
    <w:rsid w:val="00A80F41"/>
    <w:rPr>
      <w:rFonts w:ascii="Times New Roman" w:hAnsi="Times New Roman"/>
      <w:sz w:val="20"/>
      <w:szCs w:val="20"/>
    </w:rPr>
  </w:style>
  <w:style w:type="character" w:styleId="EndnoteReference">
    <w:name w:val="endnote reference"/>
    <w:basedOn w:val="DefaultParagraphFont"/>
    <w:uiPriority w:val="99"/>
    <w:semiHidden/>
    <w:unhideWhenUsed/>
    <w:rsid w:val="00A80F41"/>
    <w:rPr>
      <w:vertAlign w:val="superscript"/>
    </w:rPr>
  </w:style>
  <w:style w:type="paragraph" w:styleId="Caption">
    <w:name w:val="caption"/>
    <w:basedOn w:val="Normal"/>
    <w:next w:val="Normal"/>
    <w:link w:val="CaptionChar"/>
    <w:uiPriority w:val="35"/>
    <w:unhideWhenUsed/>
    <w:qFormat/>
    <w:rsid w:val="00B9320D"/>
    <w:pPr>
      <w:spacing w:line="240" w:lineRule="auto"/>
      <w:jc w:val="center"/>
    </w:pPr>
    <w:rPr>
      <w:i/>
      <w:iCs/>
      <w:sz w:val="22"/>
    </w:rPr>
  </w:style>
  <w:style w:type="table" w:customStyle="1" w:styleId="ListTable1Light1">
    <w:name w:val="List Table 1 Light1"/>
    <w:basedOn w:val="TableNormal"/>
    <w:uiPriority w:val="46"/>
    <w:rsid w:val="00B05086"/>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HDGENERALHEADING1">
    <w:name w:val="PHD GENERAL HEADING 1"/>
    <w:basedOn w:val="Heading1"/>
    <w:link w:val="PHDGENERALHEADING1Char"/>
    <w:rsid w:val="00FD5BF9"/>
    <w:rPr>
      <w:caps/>
    </w:rPr>
  </w:style>
  <w:style w:type="character" w:customStyle="1" w:styleId="PHDGENERALHEADING1Char">
    <w:name w:val="PHD GENERAL HEADING 1 Char"/>
    <w:basedOn w:val="Heading1Char"/>
    <w:link w:val="PHDGENERALHEADING1"/>
    <w:rsid w:val="00FD5BF9"/>
    <w:rPr>
      <w:rFonts w:ascii="Times New Roman" w:eastAsiaTheme="majorEastAsia" w:hAnsi="Times New Roman" w:cs="Times New Roman"/>
      <w:b/>
      <w:bCs/>
      <w:caps/>
      <w:sz w:val="24"/>
      <w:szCs w:val="28"/>
      <w:u w:val="single"/>
      <w:lang w:val="en-GB" w:eastAsia="en-GB"/>
    </w:rPr>
  </w:style>
  <w:style w:type="character" w:customStyle="1" w:styleId="Heading5Char">
    <w:name w:val="Heading 5 Char"/>
    <w:basedOn w:val="DefaultParagraphFont"/>
    <w:link w:val="Heading5"/>
    <w:rsid w:val="0031040A"/>
    <w:rPr>
      <w:rFonts w:ascii="Times New Roman" w:eastAsiaTheme="majorEastAsia" w:hAnsi="Times New Roman" w:cs="Times New Roman"/>
      <w:i/>
      <w:color w:val="000000" w:themeColor="text1"/>
      <w:sz w:val="24"/>
      <w:u w:val="single"/>
      <w:lang w:val="en-GB" w:eastAsia="en-GB"/>
    </w:rPr>
  </w:style>
  <w:style w:type="character" w:customStyle="1" w:styleId="Heading8Char">
    <w:name w:val="Heading 8 Char"/>
    <w:basedOn w:val="DefaultParagraphFont"/>
    <w:link w:val="Heading8"/>
    <w:uiPriority w:val="9"/>
    <w:rsid w:val="001F077F"/>
    <w:rPr>
      <w:rFonts w:asciiTheme="majorHAnsi" w:eastAsiaTheme="majorEastAsia" w:hAnsiTheme="majorHAnsi" w:cstheme="majorBidi"/>
      <w:color w:val="404040" w:themeColor="text1" w:themeTint="BF"/>
      <w:sz w:val="20"/>
      <w:szCs w:val="20"/>
      <w:lang w:val="en-GB" w:eastAsia="en-GB"/>
    </w:rPr>
  </w:style>
  <w:style w:type="character" w:customStyle="1" w:styleId="Heading6Char">
    <w:name w:val="Heading 6 Char"/>
    <w:basedOn w:val="DefaultParagraphFont"/>
    <w:link w:val="Heading6"/>
    <w:rsid w:val="001F077F"/>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rsid w:val="001F077F"/>
    <w:rPr>
      <w:rFonts w:asciiTheme="majorBidi" w:eastAsiaTheme="majorEastAsia" w:hAnsiTheme="majorBidi" w:cstheme="majorBidi"/>
      <w:b/>
      <w:i/>
      <w:iCs/>
      <w:sz w:val="24"/>
      <w:u w:val="single"/>
    </w:rPr>
  </w:style>
  <w:style w:type="character" w:customStyle="1" w:styleId="Heading9Char">
    <w:name w:val="Heading 9 Char"/>
    <w:basedOn w:val="DefaultParagraphFont"/>
    <w:link w:val="Heading9"/>
    <w:uiPriority w:val="9"/>
    <w:rsid w:val="001F077F"/>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1F077F"/>
    <w:pPr>
      <w:spacing w:after="100"/>
      <w:ind w:left="720"/>
    </w:pPr>
    <w:rPr>
      <w:rFonts w:ascii="Times New Roman" w:eastAsiaTheme="minorHAnsi" w:hAnsi="Times New Roman"/>
      <w:lang w:val="en-TT" w:eastAsia="en-US"/>
    </w:rPr>
  </w:style>
  <w:style w:type="paragraph" w:styleId="TOC5">
    <w:name w:val="toc 5"/>
    <w:basedOn w:val="Normal"/>
    <w:next w:val="Normal"/>
    <w:autoRedefine/>
    <w:uiPriority w:val="39"/>
    <w:unhideWhenUsed/>
    <w:rsid w:val="001F077F"/>
    <w:pPr>
      <w:spacing w:after="100"/>
      <w:ind w:left="960"/>
    </w:pPr>
    <w:rPr>
      <w:rFonts w:ascii="Times New Roman" w:eastAsiaTheme="minorHAnsi" w:hAnsi="Times New Roman"/>
      <w:lang w:val="en-TT" w:eastAsia="en-US"/>
    </w:rPr>
  </w:style>
  <w:style w:type="table" w:customStyle="1" w:styleId="MediumShading2-Accent11">
    <w:name w:val="Medium Shading 2 - Accent 11"/>
    <w:basedOn w:val="TableNormal"/>
    <w:uiPriority w:val="64"/>
    <w:rsid w:val="001F077F"/>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1F077F"/>
    <w:pPr>
      <w:spacing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ableofFigures">
    <w:name w:val="table of figures"/>
    <w:basedOn w:val="Normal"/>
    <w:next w:val="Normal"/>
    <w:autoRedefine/>
    <w:uiPriority w:val="99"/>
    <w:unhideWhenUsed/>
    <w:rsid w:val="00D931F2"/>
    <w:pPr>
      <w:tabs>
        <w:tab w:val="right" w:leader="dot" w:pos="9797"/>
      </w:tabs>
      <w:ind w:firstLine="0"/>
      <w:jc w:val="center"/>
    </w:pPr>
    <w:rPr>
      <w:rFonts w:ascii="Times New Roman" w:eastAsiaTheme="minorHAnsi" w:hAnsi="Times New Roman"/>
      <w:b/>
      <w:lang w:val="en-TT" w:eastAsia="en-US"/>
    </w:rPr>
  </w:style>
  <w:style w:type="paragraph" w:styleId="TOC7">
    <w:name w:val="toc 7"/>
    <w:basedOn w:val="Normal"/>
    <w:next w:val="Normal"/>
    <w:autoRedefine/>
    <w:uiPriority w:val="39"/>
    <w:unhideWhenUsed/>
    <w:rsid w:val="001F077F"/>
    <w:pPr>
      <w:spacing w:after="100"/>
      <w:ind w:left="1440"/>
    </w:pPr>
    <w:rPr>
      <w:rFonts w:ascii="Times New Roman" w:eastAsiaTheme="minorHAnsi" w:hAnsi="Times New Roman"/>
      <w:lang w:val="en-TT" w:eastAsia="en-US"/>
    </w:rPr>
  </w:style>
  <w:style w:type="paragraph" w:styleId="TOC8">
    <w:name w:val="toc 8"/>
    <w:basedOn w:val="Normal"/>
    <w:next w:val="Normal"/>
    <w:autoRedefine/>
    <w:uiPriority w:val="39"/>
    <w:unhideWhenUsed/>
    <w:rsid w:val="001F077F"/>
    <w:pPr>
      <w:spacing w:after="100"/>
      <w:ind w:left="1680"/>
    </w:pPr>
    <w:rPr>
      <w:rFonts w:ascii="Times New Roman" w:eastAsiaTheme="minorHAnsi" w:hAnsi="Times New Roman"/>
      <w:lang w:val="en-TT" w:eastAsia="en-US"/>
    </w:rPr>
  </w:style>
  <w:style w:type="paragraph" w:styleId="Quote">
    <w:name w:val="Quote"/>
    <w:basedOn w:val="Normal"/>
    <w:next w:val="Normal"/>
    <w:link w:val="QuoteChar"/>
    <w:uiPriority w:val="29"/>
    <w:qFormat/>
    <w:rsid w:val="002A7CE0"/>
    <w:pPr>
      <w:spacing w:line="276" w:lineRule="auto"/>
    </w:pPr>
    <w:rPr>
      <w:rFonts w:ascii="Times New Roman" w:eastAsiaTheme="minorHAnsi" w:hAnsi="Times New Roman"/>
      <w:i/>
      <w:iCs/>
      <w:color w:val="000000" w:themeColor="text1"/>
      <w:lang w:val="en-TT" w:eastAsia="en-US"/>
    </w:rPr>
  </w:style>
  <w:style w:type="character" w:customStyle="1" w:styleId="QuoteChar">
    <w:name w:val="Quote Char"/>
    <w:basedOn w:val="DefaultParagraphFont"/>
    <w:link w:val="Quote"/>
    <w:uiPriority w:val="29"/>
    <w:rsid w:val="002A7CE0"/>
    <w:rPr>
      <w:rFonts w:ascii="Times New Roman" w:hAnsi="Times New Roman"/>
      <w:i/>
      <w:iCs/>
      <w:color w:val="000000" w:themeColor="text1"/>
      <w:sz w:val="24"/>
    </w:rPr>
  </w:style>
  <w:style w:type="paragraph" w:styleId="IntenseQuote">
    <w:name w:val="Intense Quote"/>
    <w:basedOn w:val="Normal"/>
    <w:next w:val="Normal"/>
    <w:link w:val="IntenseQuoteChar"/>
    <w:autoRedefine/>
    <w:uiPriority w:val="30"/>
    <w:qFormat/>
    <w:rsid w:val="002A7CE0"/>
    <w:pPr>
      <w:numPr>
        <w:numId w:val="8"/>
      </w:numPr>
      <w:pBdr>
        <w:bottom w:val="single" w:sz="4" w:space="4" w:color="4F81BD" w:themeColor="accent1"/>
      </w:pBdr>
      <w:spacing w:before="200" w:after="280" w:line="276" w:lineRule="auto"/>
      <w:ind w:right="936"/>
    </w:pPr>
    <w:rPr>
      <w:rFonts w:ascii="Times New Roman" w:eastAsiaTheme="minorHAnsi" w:hAnsi="Times New Roman"/>
      <w:b/>
      <w:bCs/>
      <w:iCs/>
      <w:lang w:val="en-TT" w:eastAsia="en-US"/>
    </w:rPr>
  </w:style>
  <w:style w:type="character" w:customStyle="1" w:styleId="IntenseQuoteChar">
    <w:name w:val="Intense Quote Char"/>
    <w:basedOn w:val="DefaultParagraphFont"/>
    <w:link w:val="IntenseQuote"/>
    <w:uiPriority w:val="30"/>
    <w:rsid w:val="002A7CE0"/>
    <w:rPr>
      <w:rFonts w:ascii="Times New Roman" w:hAnsi="Times New Roman"/>
      <w:b/>
      <w:bCs/>
      <w:iCs/>
      <w:sz w:val="24"/>
    </w:rPr>
  </w:style>
  <w:style w:type="paragraph" w:styleId="NormalWeb">
    <w:name w:val="Normal (Web)"/>
    <w:basedOn w:val="Normal"/>
    <w:uiPriority w:val="99"/>
    <w:semiHidden/>
    <w:unhideWhenUsed/>
    <w:rsid w:val="002A7CE0"/>
    <w:pPr>
      <w:spacing w:before="100" w:beforeAutospacing="1" w:after="100" w:afterAutospacing="1" w:line="240" w:lineRule="auto"/>
    </w:pPr>
    <w:rPr>
      <w:rFonts w:ascii="Times New Roman" w:eastAsia="Times New Roman" w:hAnsi="Times New Roman" w:cs="Times New Roman"/>
      <w:szCs w:val="24"/>
      <w:lang w:val="en-TT" w:eastAsia="en-TT"/>
    </w:rPr>
  </w:style>
  <w:style w:type="paragraph" w:styleId="Index1">
    <w:name w:val="index 1"/>
    <w:basedOn w:val="Normal"/>
    <w:next w:val="Normal"/>
    <w:autoRedefine/>
    <w:uiPriority w:val="99"/>
    <w:unhideWhenUsed/>
    <w:rsid w:val="00C03772"/>
    <w:pPr>
      <w:spacing w:line="276" w:lineRule="auto"/>
      <w:ind w:left="220" w:hanging="220"/>
    </w:pPr>
    <w:rPr>
      <w:rFonts w:asciiTheme="minorHAnsi" w:eastAsiaTheme="minorHAnsi" w:hAnsiTheme="minorHAnsi"/>
      <w:sz w:val="18"/>
      <w:szCs w:val="18"/>
      <w:lang w:val="en-TT" w:eastAsia="en-US"/>
    </w:rPr>
  </w:style>
  <w:style w:type="paragraph" w:styleId="Index2">
    <w:name w:val="index 2"/>
    <w:basedOn w:val="Normal"/>
    <w:next w:val="Normal"/>
    <w:autoRedefine/>
    <w:uiPriority w:val="99"/>
    <w:unhideWhenUsed/>
    <w:rsid w:val="00C03772"/>
    <w:pPr>
      <w:spacing w:line="276" w:lineRule="auto"/>
      <w:ind w:left="440" w:hanging="220"/>
    </w:pPr>
    <w:rPr>
      <w:rFonts w:asciiTheme="minorHAnsi" w:eastAsiaTheme="minorHAnsi" w:hAnsiTheme="minorHAnsi"/>
      <w:sz w:val="18"/>
      <w:szCs w:val="18"/>
      <w:lang w:val="en-TT" w:eastAsia="en-US"/>
    </w:rPr>
  </w:style>
  <w:style w:type="paragraph" w:styleId="Index3">
    <w:name w:val="index 3"/>
    <w:basedOn w:val="Normal"/>
    <w:next w:val="Normal"/>
    <w:autoRedefine/>
    <w:uiPriority w:val="99"/>
    <w:unhideWhenUsed/>
    <w:rsid w:val="00C03772"/>
    <w:pPr>
      <w:spacing w:line="276" w:lineRule="auto"/>
      <w:ind w:left="660" w:hanging="220"/>
    </w:pPr>
    <w:rPr>
      <w:rFonts w:asciiTheme="minorHAnsi" w:eastAsiaTheme="minorHAnsi" w:hAnsiTheme="minorHAnsi"/>
      <w:sz w:val="18"/>
      <w:szCs w:val="18"/>
      <w:lang w:val="en-TT" w:eastAsia="en-US"/>
    </w:rPr>
  </w:style>
  <w:style w:type="paragraph" w:styleId="Index4">
    <w:name w:val="index 4"/>
    <w:basedOn w:val="Normal"/>
    <w:next w:val="Normal"/>
    <w:autoRedefine/>
    <w:uiPriority w:val="99"/>
    <w:unhideWhenUsed/>
    <w:rsid w:val="00C03772"/>
    <w:pPr>
      <w:spacing w:line="276" w:lineRule="auto"/>
      <w:ind w:left="880" w:hanging="220"/>
    </w:pPr>
    <w:rPr>
      <w:rFonts w:asciiTheme="minorHAnsi" w:eastAsiaTheme="minorHAnsi" w:hAnsiTheme="minorHAnsi"/>
      <w:sz w:val="18"/>
      <w:szCs w:val="18"/>
      <w:lang w:val="en-TT" w:eastAsia="en-US"/>
    </w:rPr>
  </w:style>
  <w:style w:type="paragraph" w:styleId="Index5">
    <w:name w:val="index 5"/>
    <w:basedOn w:val="Normal"/>
    <w:next w:val="Normal"/>
    <w:autoRedefine/>
    <w:uiPriority w:val="99"/>
    <w:unhideWhenUsed/>
    <w:rsid w:val="00C03772"/>
    <w:pPr>
      <w:spacing w:line="276" w:lineRule="auto"/>
      <w:ind w:left="1100" w:hanging="220"/>
    </w:pPr>
    <w:rPr>
      <w:rFonts w:asciiTheme="minorHAnsi" w:eastAsiaTheme="minorHAnsi" w:hAnsiTheme="minorHAnsi"/>
      <w:sz w:val="18"/>
      <w:szCs w:val="18"/>
      <w:lang w:val="en-TT" w:eastAsia="en-US"/>
    </w:rPr>
  </w:style>
  <w:style w:type="paragraph" w:styleId="Index6">
    <w:name w:val="index 6"/>
    <w:basedOn w:val="Normal"/>
    <w:next w:val="Normal"/>
    <w:autoRedefine/>
    <w:uiPriority w:val="99"/>
    <w:unhideWhenUsed/>
    <w:rsid w:val="00C03772"/>
    <w:pPr>
      <w:spacing w:line="276" w:lineRule="auto"/>
      <w:ind w:left="1320" w:hanging="220"/>
    </w:pPr>
    <w:rPr>
      <w:rFonts w:asciiTheme="minorHAnsi" w:eastAsiaTheme="minorHAnsi" w:hAnsiTheme="minorHAnsi"/>
      <w:sz w:val="18"/>
      <w:szCs w:val="18"/>
      <w:lang w:val="en-TT" w:eastAsia="en-US"/>
    </w:rPr>
  </w:style>
  <w:style w:type="paragraph" w:styleId="Index7">
    <w:name w:val="index 7"/>
    <w:basedOn w:val="Normal"/>
    <w:next w:val="Normal"/>
    <w:autoRedefine/>
    <w:uiPriority w:val="99"/>
    <w:unhideWhenUsed/>
    <w:rsid w:val="00C03772"/>
    <w:pPr>
      <w:spacing w:line="276" w:lineRule="auto"/>
      <w:ind w:left="1540" w:hanging="220"/>
    </w:pPr>
    <w:rPr>
      <w:rFonts w:asciiTheme="minorHAnsi" w:eastAsiaTheme="minorHAnsi" w:hAnsiTheme="minorHAnsi"/>
      <w:sz w:val="18"/>
      <w:szCs w:val="18"/>
      <w:lang w:val="en-TT" w:eastAsia="en-US"/>
    </w:rPr>
  </w:style>
  <w:style w:type="paragraph" w:styleId="Index8">
    <w:name w:val="index 8"/>
    <w:basedOn w:val="Normal"/>
    <w:next w:val="Normal"/>
    <w:autoRedefine/>
    <w:uiPriority w:val="99"/>
    <w:unhideWhenUsed/>
    <w:rsid w:val="00C03772"/>
    <w:pPr>
      <w:spacing w:line="276" w:lineRule="auto"/>
      <w:ind w:left="1760" w:hanging="220"/>
    </w:pPr>
    <w:rPr>
      <w:rFonts w:asciiTheme="minorHAnsi" w:eastAsiaTheme="minorHAnsi" w:hAnsiTheme="minorHAnsi"/>
      <w:sz w:val="18"/>
      <w:szCs w:val="18"/>
      <w:lang w:val="en-TT" w:eastAsia="en-US"/>
    </w:rPr>
  </w:style>
  <w:style w:type="paragraph" w:styleId="Index9">
    <w:name w:val="index 9"/>
    <w:basedOn w:val="Normal"/>
    <w:next w:val="Normal"/>
    <w:autoRedefine/>
    <w:uiPriority w:val="99"/>
    <w:unhideWhenUsed/>
    <w:rsid w:val="00C03772"/>
    <w:pPr>
      <w:spacing w:line="276" w:lineRule="auto"/>
      <w:ind w:left="1980" w:hanging="220"/>
    </w:pPr>
    <w:rPr>
      <w:rFonts w:asciiTheme="minorHAnsi" w:eastAsiaTheme="minorHAnsi" w:hAnsiTheme="minorHAnsi"/>
      <w:sz w:val="18"/>
      <w:szCs w:val="18"/>
      <w:lang w:val="en-TT" w:eastAsia="en-US"/>
    </w:rPr>
  </w:style>
  <w:style w:type="paragraph" w:styleId="IndexHeading">
    <w:name w:val="index heading"/>
    <w:basedOn w:val="Normal"/>
    <w:next w:val="Index1"/>
    <w:uiPriority w:val="99"/>
    <w:unhideWhenUsed/>
    <w:rsid w:val="00C03772"/>
    <w:pPr>
      <w:spacing w:before="240" w:after="120" w:line="276" w:lineRule="auto"/>
      <w:jc w:val="center"/>
    </w:pPr>
    <w:rPr>
      <w:rFonts w:asciiTheme="minorHAnsi" w:eastAsiaTheme="minorHAnsi" w:hAnsiTheme="minorHAnsi"/>
      <w:b/>
      <w:bCs/>
      <w:sz w:val="26"/>
      <w:szCs w:val="26"/>
      <w:lang w:val="en-TT" w:eastAsia="en-US"/>
    </w:rPr>
  </w:style>
  <w:style w:type="paragraph" w:customStyle="1" w:styleId="Pa5">
    <w:name w:val="Pa5"/>
    <w:basedOn w:val="Normal"/>
    <w:next w:val="Normal"/>
    <w:rsid w:val="00C03772"/>
    <w:pPr>
      <w:autoSpaceDE w:val="0"/>
      <w:autoSpaceDN w:val="0"/>
      <w:adjustRightInd w:val="0"/>
      <w:spacing w:after="180" w:line="241" w:lineRule="atLeast"/>
    </w:pPr>
    <w:rPr>
      <w:rFonts w:ascii="Lucida Bright" w:eastAsia="Times New Roman" w:hAnsi="Lucida Bright" w:cs="Times New Roman"/>
      <w:szCs w:val="24"/>
      <w:lang w:val="en-US" w:eastAsia="en-US"/>
    </w:rPr>
  </w:style>
  <w:style w:type="paragraph" w:styleId="NoSpacing">
    <w:name w:val="No Spacing"/>
    <w:uiPriority w:val="1"/>
    <w:qFormat/>
    <w:rsid w:val="00C03772"/>
    <w:pPr>
      <w:spacing w:line="240" w:lineRule="auto"/>
    </w:pPr>
  </w:style>
  <w:style w:type="paragraph" w:styleId="TOC6">
    <w:name w:val="toc 6"/>
    <w:basedOn w:val="Normal"/>
    <w:next w:val="Normal"/>
    <w:autoRedefine/>
    <w:uiPriority w:val="39"/>
    <w:unhideWhenUsed/>
    <w:rsid w:val="00C03772"/>
    <w:pPr>
      <w:spacing w:after="100" w:line="276" w:lineRule="auto"/>
      <w:ind w:left="1100"/>
    </w:pPr>
    <w:rPr>
      <w:rFonts w:asciiTheme="minorHAnsi" w:hAnsiTheme="minorHAnsi"/>
      <w:sz w:val="22"/>
      <w:lang w:val="en-TT" w:eastAsia="en-TT"/>
    </w:rPr>
  </w:style>
  <w:style w:type="paragraph" w:styleId="TOC9">
    <w:name w:val="toc 9"/>
    <w:basedOn w:val="Normal"/>
    <w:next w:val="Normal"/>
    <w:autoRedefine/>
    <w:uiPriority w:val="39"/>
    <w:unhideWhenUsed/>
    <w:rsid w:val="00C03772"/>
    <w:pPr>
      <w:spacing w:after="100" w:line="276" w:lineRule="auto"/>
      <w:ind w:left="1760"/>
    </w:pPr>
    <w:rPr>
      <w:rFonts w:asciiTheme="minorHAnsi" w:hAnsiTheme="minorHAnsi"/>
      <w:sz w:val="22"/>
      <w:lang w:val="en-TT" w:eastAsia="en-TT"/>
    </w:rPr>
  </w:style>
  <w:style w:type="paragraph" w:customStyle="1" w:styleId="SUBHEADINGSPHDD">
    <w:name w:val="SUBHEADINGS PHDD"/>
    <w:basedOn w:val="Heading3"/>
    <w:link w:val="SUBHEADINGSPHDDChar"/>
    <w:autoRedefine/>
    <w:qFormat/>
    <w:rsid w:val="00C03772"/>
    <w:pPr>
      <w:spacing w:line="276" w:lineRule="auto"/>
    </w:pPr>
    <w:rPr>
      <w:rFonts w:ascii="Courier New" w:hAnsi="Courier New" w:cs="Courier New"/>
      <w:lang w:val="en-TT" w:eastAsia="en-US"/>
    </w:rPr>
  </w:style>
  <w:style w:type="character" w:customStyle="1" w:styleId="SUBHEADINGSPHDDChar">
    <w:name w:val="SUBHEADINGS PHDD Char"/>
    <w:basedOn w:val="DefaultParagraphFont"/>
    <w:link w:val="SUBHEADINGSPHDD"/>
    <w:rsid w:val="00C03772"/>
    <w:rPr>
      <w:rFonts w:ascii="Courier New" w:eastAsiaTheme="majorEastAsia" w:hAnsi="Courier New" w:cs="Courier New"/>
      <w:b/>
      <w:bCs/>
      <w:sz w:val="24"/>
      <w:u w:val="single"/>
    </w:rPr>
  </w:style>
  <w:style w:type="character" w:styleId="Emphasis">
    <w:name w:val="Emphasis"/>
    <w:basedOn w:val="DefaultParagraphFont"/>
    <w:uiPriority w:val="20"/>
    <w:qFormat/>
    <w:rsid w:val="00C03772"/>
    <w:rPr>
      <w:i/>
      <w:iCs/>
    </w:rPr>
  </w:style>
  <w:style w:type="character" w:styleId="Strong">
    <w:name w:val="Strong"/>
    <w:basedOn w:val="DefaultParagraphFont"/>
    <w:uiPriority w:val="22"/>
    <w:qFormat/>
    <w:rsid w:val="00C03772"/>
    <w:rPr>
      <w:b/>
      <w:bCs/>
    </w:rPr>
  </w:style>
  <w:style w:type="paragraph" w:customStyle="1" w:styleId="tfn2">
    <w:name w:val="tfn2"/>
    <w:basedOn w:val="Normal"/>
    <w:rsid w:val="00C03772"/>
    <w:pPr>
      <w:spacing w:before="72" w:line="240" w:lineRule="auto"/>
    </w:pPr>
    <w:rPr>
      <w:rFonts w:ascii="Times New Roman" w:eastAsia="Times New Roman" w:hAnsi="Times New Roman" w:cs="Times New Roman"/>
      <w:szCs w:val="24"/>
      <w:lang w:val="en-TT" w:eastAsia="en-TT"/>
    </w:rPr>
  </w:style>
  <w:style w:type="character" w:customStyle="1" w:styleId="page-number">
    <w:name w:val="page-number"/>
    <w:basedOn w:val="DefaultParagraphFont"/>
    <w:rsid w:val="00C03772"/>
  </w:style>
  <w:style w:type="character" w:customStyle="1" w:styleId="page-actions-inner">
    <w:name w:val="page-actions-inner"/>
    <w:basedOn w:val="DefaultParagraphFont"/>
    <w:rsid w:val="00C03772"/>
  </w:style>
  <w:style w:type="character" w:customStyle="1" w:styleId="icon-text2">
    <w:name w:val="icon-text2"/>
    <w:basedOn w:val="DefaultParagraphFont"/>
    <w:rsid w:val="00C03772"/>
  </w:style>
  <w:style w:type="paragraph" w:styleId="z-TopofForm">
    <w:name w:val="HTML Top of Form"/>
    <w:basedOn w:val="Normal"/>
    <w:next w:val="Normal"/>
    <w:link w:val="z-TopofFormChar"/>
    <w:hidden/>
    <w:uiPriority w:val="99"/>
    <w:semiHidden/>
    <w:unhideWhenUsed/>
    <w:rsid w:val="00C03772"/>
    <w:pPr>
      <w:pBdr>
        <w:bottom w:val="single" w:sz="6" w:space="1" w:color="auto"/>
      </w:pBdr>
      <w:spacing w:line="240" w:lineRule="auto"/>
      <w:jc w:val="center"/>
    </w:pPr>
    <w:rPr>
      <w:rFonts w:ascii="Arial" w:eastAsia="Times New Roman" w:hAnsi="Arial" w:cs="Arial"/>
      <w:vanish/>
      <w:sz w:val="16"/>
      <w:szCs w:val="16"/>
      <w:lang w:val="en-TT" w:eastAsia="en-TT"/>
    </w:rPr>
  </w:style>
  <w:style w:type="character" w:customStyle="1" w:styleId="z-TopofFormChar">
    <w:name w:val="z-Top of Form Char"/>
    <w:basedOn w:val="DefaultParagraphFont"/>
    <w:link w:val="z-TopofForm"/>
    <w:uiPriority w:val="99"/>
    <w:semiHidden/>
    <w:rsid w:val="00C03772"/>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C03772"/>
    <w:pPr>
      <w:pBdr>
        <w:top w:val="single" w:sz="6" w:space="1" w:color="auto"/>
      </w:pBdr>
      <w:spacing w:line="240" w:lineRule="auto"/>
      <w:jc w:val="center"/>
    </w:pPr>
    <w:rPr>
      <w:rFonts w:ascii="Arial" w:eastAsia="Times New Roman" w:hAnsi="Arial" w:cs="Arial"/>
      <w:vanish/>
      <w:sz w:val="16"/>
      <w:szCs w:val="16"/>
      <w:lang w:val="en-TT" w:eastAsia="en-TT"/>
    </w:rPr>
  </w:style>
  <w:style w:type="character" w:customStyle="1" w:styleId="z-BottomofFormChar">
    <w:name w:val="z-Bottom of Form Char"/>
    <w:basedOn w:val="DefaultParagraphFont"/>
    <w:link w:val="z-BottomofForm"/>
    <w:uiPriority w:val="99"/>
    <w:semiHidden/>
    <w:rsid w:val="00C03772"/>
    <w:rPr>
      <w:rFonts w:ascii="Arial" w:eastAsia="Times New Roman" w:hAnsi="Arial" w:cs="Arial"/>
      <w:vanish/>
      <w:sz w:val="16"/>
      <w:szCs w:val="16"/>
      <w:lang w:eastAsia="en-TT"/>
    </w:rPr>
  </w:style>
  <w:style w:type="paragraph" w:customStyle="1" w:styleId="PHDHEADING1">
    <w:name w:val="PHD HEADING 1"/>
    <w:basedOn w:val="Heading1"/>
    <w:link w:val="PHDHEADING1Char"/>
    <w:rsid w:val="00C03772"/>
    <w:rPr>
      <w:rFonts w:ascii="Cambria" w:hAnsi="Cambria" w:cs="Cambria"/>
      <w:caps/>
    </w:rPr>
  </w:style>
  <w:style w:type="paragraph" w:customStyle="1" w:styleId="PHDHOS">
    <w:name w:val="PHD HOS"/>
    <w:basedOn w:val="Heading2"/>
    <w:link w:val="PHDHOSChar"/>
    <w:rsid w:val="00C03772"/>
    <w:pPr>
      <w:numPr>
        <w:numId w:val="36"/>
      </w:numPr>
    </w:pPr>
    <w:rPr>
      <w:rFonts w:ascii="Cambria" w:hAnsi="Cambria" w:cs="Cambria"/>
      <w:caps/>
    </w:rPr>
  </w:style>
  <w:style w:type="character" w:customStyle="1" w:styleId="PHDHEADING1Char">
    <w:name w:val="PHD HEADING 1 Char"/>
    <w:basedOn w:val="Heading1Char"/>
    <w:link w:val="PHDHEADING1"/>
    <w:rsid w:val="00C03772"/>
    <w:rPr>
      <w:rFonts w:ascii="Cambria" w:eastAsiaTheme="majorEastAsia" w:hAnsi="Cambria" w:cs="Cambria"/>
      <w:b/>
      <w:bCs/>
      <w:caps/>
      <w:sz w:val="24"/>
      <w:szCs w:val="28"/>
      <w:u w:val="single"/>
      <w:lang w:val="en-GB" w:eastAsia="en-GB"/>
    </w:rPr>
  </w:style>
  <w:style w:type="paragraph" w:customStyle="1" w:styleId="PHDSHOS">
    <w:name w:val="PHD SHOS"/>
    <w:basedOn w:val="Normal"/>
    <w:link w:val="PHDSHOSChar"/>
    <w:rsid w:val="00C03772"/>
    <w:pPr>
      <w:ind w:firstLine="720"/>
    </w:pPr>
    <w:rPr>
      <w:b/>
      <w:u w:val="single"/>
    </w:rPr>
  </w:style>
  <w:style w:type="character" w:customStyle="1" w:styleId="PHDHOSChar">
    <w:name w:val="PHD HOS Char"/>
    <w:basedOn w:val="Heading2Char"/>
    <w:link w:val="PHDHOS"/>
    <w:rsid w:val="00C03772"/>
    <w:rPr>
      <w:rFonts w:ascii="Cambria" w:eastAsiaTheme="majorEastAsia" w:hAnsi="Cambria" w:cs="Cambria"/>
      <w:b/>
      <w:bCs/>
      <w:caps/>
      <w:sz w:val="24"/>
      <w:szCs w:val="26"/>
      <w:u w:val="single"/>
      <w:lang w:val="en-GB" w:eastAsia="en-GB"/>
    </w:rPr>
  </w:style>
  <w:style w:type="paragraph" w:customStyle="1" w:styleId="PHDSHOS2">
    <w:name w:val="PHD SHOS2"/>
    <w:basedOn w:val="Normal"/>
    <w:link w:val="PHDSHOS2Char"/>
    <w:autoRedefine/>
    <w:rsid w:val="00C03772"/>
    <w:pPr>
      <w:tabs>
        <w:tab w:val="left" w:pos="1134"/>
        <w:tab w:val="left" w:pos="1985"/>
      </w:tabs>
    </w:pPr>
    <w:rPr>
      <w:rFonts w:ascii="Times New Roman" w:hAnsi="Times New Roman" w:cs="Times New Roman"/>
      <w:b/>
      <w:i/>
      <w:lang w:val="en-TT"/>
    </w:rPr>
  </w:style>
  <w:style w:type="character" w:customStyle="1" w:styleId="PHDSHOSChar">
    <w:name w:val="PHD SHOS Char"/>
    <w:basedOn w:val="DefaultParagraphFont"/>
    <w:link w:val="PHDSHOS"/>
    <w:rsid w:val="00C03772"/>
    <w:rPr>
      <w:rFonts w:asciiTheme="majorBidi" w:eastAsiaTheme="minorEastAsia" w:hAnsiTheme="majorBidi"/>
      <w:b/>
      <w:sz w:val="24"/>
      <w:u w:val="single"/>
      <w:lang w:val="en-GB" w:eastAsia="en-GB"/>
    </w:rPr>
  </w:style>
  <w:style w:type="character" w:customStyle="1" w:styleId="PHDSHOS2Char">
    <w:name w:val="PHD SHOS2 Char"/>
    <w:basedOn w:val="DefaultParagraphFont"/>
    <w:link w:val="PHDSHOS2"/>
    <w:rsid w:val="00C03772"/>
    <w:rPr>
      <w:rFonts w:ascii="Times New Roman" w:eastAsiaTheme="minorEastAsia" w:hAnsi="Times New Roman" w:cs="Times New Roman"/>
      <w:b/>
      <w:i/>
      <w:sz w:val="24"/>
      <w:lang w:eastAsia="en-GB"/>
    </w:rPr>
  </w:style>
  <w:style w:type="paragraph" w:customStyle="1" w:styleId="PHDSHOS3">
    <w:name w:val="PHD SHOS3"/>
    <w:basedOn w:val="Heading3"/>
    <w:link w:val="PHDSHOS3Char"/>
    <w:rsid w:val="00C03772"/>
    <w:pPr>
      <w:ind w:firstLine="720"/>
    </w:pPr>
    <w:rPr>
      <w:rFonts w:ascii="Cambria" w:hAnsi="Cambria" w:cs="Cambria"/>
    </w:rPr>
  </w:style>
  <w:style w:type="paragraph" w:customStyle="1" w:styleId="PHDSHOS4">
    <w:name w:val="PHD SHOS4"/>
    <w:link w:val="PHDSHOS4Char"/>
    <w:autoRedefine/>
    <w:rsid w:val="00C03772"/>
    <w:rPr>
      <w:rFonts w:ascii="Cambria" w:eastAsiaTheme="majorEastAsia" w:hAnsi="Cambria" w:cs="Cambria"/>
      <w:b/>
      <w:bCs/>
      <w:i/>
      <w:color w:val="4F81BD" w:themeColor="accent1"/>
      <w:sz w:val="24"/>
      <w:u w:val="single"/>
      <w:lang w:val="en-GB" w:eastAsia="en-GB"/>
    </w:rPr>
  </w:style>
  <w:style w:type="character" w:customStyle="1" w:styleId="PHDSHOS3Char">
    <w:name w:val="PHD SHOS3 Char"/>
    <w:basedOn w:val="Heading3Char"/>
    <w:link w:val="PHDSHOS3"/>
    <w:rsid w:val="00C03772"/>
    <w:rPr>
      <w:rFonts w:ascii="Cambria" w:eastAsiaTheme="majorEastAsia" w:hAnsi="Cambria" w:cs="Cambria"/>
      <w:b/>
      <w:bCs w:val="0"/>
      <w:i/>
      <w:color w:val="4F81BD" w:themeColor="accent1"/>
      <w:sz w:val="24"/>
      <w:u w:val="single"/>
      <w:lang w:val="en-GB" w:eastAsia="en-GB"/>
    </w:rPr>
  </w:style>
  <w:style w:type="character" w:customStyle="1" w:styleId="PHDSHOS4Char">
    <w:name w:val="PHD SHOS4 Char"/>
    <w:basedOn w:val="PHDSHOS3Char"/>
    <w:link w:val="PHDSHOS4"/>
    <w:rsid w:val="00C03772"/>
    <w:rPr>
      <w:rFonts w:ascii="Cambria" w:eastAsiaTheme="majorEastAsia" w:hAnsi="Cambria" w:cs="Cambria"/>
      <w:b/>
      <w:bCs w:val="0"/>
      <w:i w:val="0"/>
      <w:color w:val="4F81BD" w:themeColor="accent1"/>
      <w:sz w:val="24"/>
      <w:u w:val="single"/>
      <w:lang w:val="en-GB" w:eastAsia="en-GB"/>
    </w:rPr>
  </w:style>
  <w:style w:type="character" w:customStyle="1" w:styleId="y0nh2b">
    <w:name w:val="y0nh2b"/>
    <w:basedOn w:val="DefaultParagraphFont"/>
    <w:rsid w:val="00DD2837"/>
  </w:style>
  <w:style w:type="paragraph" w:customStyle="1" w:styleId="example">
    <w:name w:val="example"/>
    <w:basedOn w:val="Normal"/>
    <w:rsid w:val="003476C6"/>
    <w:pPr>
      <w:spacing w:before="100" w:beforeAutospacing="1" w:after="100" w:afterAutospacing="1" w:line="240" w:lineRule="auto"/>
    </w:pPr>
    <w:rPr>
      <w:rFonts w:ascii="Times New Roman" w:eastAsia="Times New Roman" w:hAnsi="Times New Roman" w:cs="Times New Roman"/>
      <w:szCs w:val="24"/>
    </w:rPr>
  </w:style>
  <w:style w:type="character" w:customStyle="1" w:styleId="a">
    <w:name w:val="a"/>
    <w:basedOn w:val="DefaultParagraphFont"/>
    <w:rsid w:val="003476C6"/>
  </w:style>
  <w:style w:type="character" w:customStyle="1" w:styleId="l9">
    <w:name w:val="l9"/>
    <w:basedOn w:val="DefaultParagraphFont"/>
    <w:rsid w:val="003476C6"/>
  </w:style>
  <w:style w:type="character" w:customStyle="1" w:styleId="l11">
    <w:name w:val="l11"/>
    <w:basedOn w:val="DefaultParagraphFont"/>
    <w:rsid w:val="003476C6"/>
  </w:style>
  <w:style w:type="character" w:customStyle="1" w:styleId="l10">
    <w:name w:val="l10"/>
    <w:basedOn w:val="DefaultParagraphFont"/>
    <w:rsid w:val="003476C6"/>
  </w:style>
  <w:style w:type="character" w:customStyle="1" w:styleId="l12">
    <w:name w:val="l12"/>
    <w:basedOn w:val="DefaultParagraphFont"/>
    <w:rsid w:val="003476C6"/>
  </w:style>
  <w:style w:type="paragraph" w:customStyle="1" w:styleId="Heading11">
    <w:name w:val="Heading 1.1"/>
    <w:basedOn w:val="Default"/>
    <w:link w:val="Heading11Char"/>
    <w:autoRedefine/>
    <w:qFormat/>
    <w:rsid w:val="0041499B"/>
    <w:pPr>
      <w:numPr>
        <w:numId w:val="54"/>
      </w:numPr>
    </w:pPr>
    <w:rPr>
      <w:rFonts w:ascii="Times New Roman" w:hAnsi="Times New Roman" w:cs="Times New Roman"/>
      <w:b/>
      <w:u w:val="single"/>
    </w:rPr>
  </w:style>
  <w:style w:type="paragraph" w:customStyle="1" w:styleId="Heading111">
    <w:name w:val="Heading 1.1.1"/>
    <w:basedOn w:val="Normal"/>
    <w:link w:val="Heading111Char"/>
    <w:autoRedefine/>
    <w:qFormat/>
    <w:rsid w:val="00AE56BC"/>
    <w:pPr>
      <w:spacing w:line="240" w:lineRule="auto"/>
      <w:outlineLvl w:val="2"/>
    </w:pPr>
    <w:rPr>
      <w:rFonts w:ascii="Times New Roman" w:hAnsi="Times New Roman" w:cs="Times New Roman"/>
      <w:b/>
      <w:bCs/>
      <w:iCs/>
      <w:color w:val="000000" w:themeColor="text1"/>
      <w:szCs w:val="24"/>
      <w:u w:val="single"/>
      <w:lang w:eastAsia="en-US"/>
    </w:rPr>
  </w:style>
  <w:style w:type="character" w:customStyle="1" w:styleId="Heading11Char">
    <w:name w:val="Heading 1.1 Char"/>
    <w:basedOn w:val="DefaultParagraphFont"/>
    <w:link w:val="Heading11"/>
    <w:rsid w:val="0041499B"/>
    <w:rPr>
      <w:rFonts w:ascii="Times New Roman" w:hAnsi="Times New Roman" w:cs="Times New Roman"/>
      <w:b/>
      <w:color w:val="000000"/>
      <w:sz w:val="24"/>
      <w:szCs w:val="24"/>
      <w:u w:val="single"/>
    </w:rPr>
  </w:style>
  <w:style w:type="paragraph" w:customStyle="1" w:styleId="Heading112">
    <w:name w:val="Heading 1.1.2"/>
    <w:basedOn w:val="Normal"/>
    <w:link w:val="Heading112Char"/>
    <w:autoRedefine/>
    <w:qFormat/>
    <w:rsid w:val="009B339B"/>
    <w:pPr>
      <w:spacing w:line="240" w:lineRule="auto"/>
    </w:pPr>
    <w:rPr>
      <w:rFonts w:ascii="Times New Roman" w:hAnsi="Times New Roman" w:cs="Times New Roman"/>
      <w:b/>
      <w:szCs w:val="24"/>
      <w:u w:val="single"/>
      <w:lang w:eastAsia="en-US"/>
    </w:rPr>
  </w:style>
  <w:style w:type="character" w:customStyle="1" w:styleId="Heading111Char">
    <w:name w:val="Heading 1.1.1 Char"/>
    <w:basedOn w:val="DefaultParagraphFont"/>
    <w:link w:val="Heading111"/>
    <w:rsid w:val="00AE56BC"/>
    <w:rPr>
      <w:rFonts w:ascii="Times New Roman" w:eastAsiaTheme="minorEastAsia" w:hAnsi="Times New Roman" w:cs="Times New Roman"/>
      <w:b/>
      <w:bCs/>
      <w:iCs/>
      <w:color w:val="000000" w:themeColor="text1"/>
      <w:sz w:val="24"/>
      <w:szCs w:val="24"/>
      <w:u w:val="single"/>
      <w:lang w:val="en-GB"/>
    </w:rPr>
  </w:style>
  <w:style w:type="paragraph" w:customStyle="1" w:styleId="112">
    <w:name w:val="1.1.2"/>
    <w:basedOn w:val="ListParagraph"/>
    <w:link w:val="112Char"/>
    <w:autoRedefine/>
    <w:rsid w:val="0051234F"/>
    <w:pPr>
      <w:ind w:left="0"/>
      <w:contextualSpacing w:val="0"/>
    </w:pPr>
    <w:rPr>
      <w:rFonts w:ascii="Times New Roman" w:hAnsi="Times New Roman" w:cs="Times New Roman"/>
      <w:color w:val="000000" w:themeColor="text1"/>
      <w:szCs w:val="24"/>
      <w:lang w:val="en-TT" w:eastAsia="en-US"/>
    </w:rPr>
  </w:style>
  <w:style w:type="character" w:customStyle="1" w:styleId="Heading112Char">
    <w:name w:val="Heading 1.1.2 Char"/>
    <w:basedOn w:val="DefaultParagraphFont"/>
    <w:link w:val="Heading112"/>
    <w:rsid w:val="009B339B"/>
    <w:rPr>
      <w:rFonts w:ascii="Times New Roman" w:eastAsiaTheme="minorEastAsia" w:hAnsi="Times New Roman" w:cs="Times New Roman"/>
      <w:b/>
      <w:sz w:val="24"/>
      <w:szCs w:val="24"/>
      <w:u w:val="single"/>
      <w:lang w:val="en-GB"/>
    </w:rPr>
  </w:style>
  <w:style w:type="paragraph" w:styleId="DocumentMap">
    <w:name w:val="Document Map"/>
    <w:basedOn w:val="Normal"/>
    <w:link w:val="DocumentMapChar"/>
    <w:uiPriority w:val="99"/>
    <w:semiHidden/>
    <w:unhideWhenUsed/>
    <w:rsid w:val="0066248F"/>
    <w:pPr>
      <w:spacing w:line="240" w:lineRule="auto"/>
    </w:pPr>
    <w:rPr>
      <w:rFonts w:ascii="Tahoma" w:hAnsi="Tahoma" w:cs="Tahoma"/>
      <w:sz w:val="16"/>
      <w:szCs w:val="16"/>
    </w:rPr>
  </w:style>
  <w:style w:type="character" w:customStyle="1" w:styleId="ListParagraphChar">
    <w:name w:val="List Paragraph Char"/>
    <w:aliases w:val="CX List Paragraph Char"/>
    <w:basedOn w:val="DefaultParagraphFont"/>
    <w:link w:val="ListParagraph"/>
    <w:rsid w:val="00DD683D"/>
    <w:rPr>
      <w:rFonts w:asciiTheme="majorBidi" w:eastAsiaTheme="minorEastAsia" w:hAnsiTheme="majorBidi"/>
      <w:sz w:val="24"/>
      <w:lang w:val="en-GB" w:eastAsia="en-GB"/>
    </w:rPr>
  </w:style>
  <w:style w:type="character" w:customStyle="1" w:styleId="112Char">
    <w:name w:val="1.1.2 Char"/>
    <w:basedOn w:val="ListParagraphChar"/>
    <w:link w:val="112"/>
    <w:rsid w:val="0051234F"/>
    <w:rPr>
      <w:rFonts w:ascii="Times New Roman" w:eastAsiaTheme="minorEastAsia" w:hAnsi="Times New Roman" w:cs="Times New Roman"/>
      <w:color w:val="000000" w:themeColor="text1"/>
      <w:sz w:val="24"/>
      <w:szCs w:val="24"/>
      <w:lang w:val="en-GB" w:eastAsia="en-GB"/>
    </w:rPr>
  </w:style>
  <w:style w:type="character" w:customStyle="1" w:styleId="DocumentMapChar">
    <w:name w:val="Document Map Char"/>
    <w:basedOn w:val="DefaultParagraphFont"/>
    <w:link w:val="DocumentMap"/>
    <w:uiPriority w:val="99"/>
    <w:semiHidden/>
    <w:rsid w:val="0066248F"/>
    <w:rPr>
      <w:rFonts w:ascii="Tahoma" w:eastAsiaTheme="minorEastAsia" w:hAnsi="Tahoma" w:cs="Tahoma"/>
      <w:sz w:val="16"/>
      <w:szCs w:val="16"/>
      <w:lang w:val="en-GB" w:eastAsia="en-GB"/>
    </w:rPr>
  </w:style>
  <w:style w:type="paragraph" w:customStyle="1" w:styleId="m-4680019775700357391m279698777660616191ydp6c735be4msonormal">
    <w:name w:val="m_-4680019775700357391m_279698777660616191ydp6c735be4msonormal"/>
    <w:basedOn w:val="Normal"/>
    <w:rsid w:val="001019EF"/>
    <w:pPr>
      <w:spacing w:before="100" w:beforeAutospacing="1" w:after="100" w:afterAutospacing="1" w:line="240" w:lineRule="auto"/>
    </w:pPr>
    <w:rPr>
      <w:rFonts w:ascii="Times New Roman" w:eastAsia="Times New Roman" w:hAnsi="Times New Roman" w:cs="Times New Roman"/>
      <w:szCs w:val="24"/>
      <w:lang w:val="en-TT" w:eastAsia="en-TT"/>
    </w:rPr>
  </w:style>
  <w:style w:type="paragraph" w:customStyle="1" w:styleId="m-6404632495465840816m7965137926780929338m-8243633047943397703m9082243637205169179m-6191051475289839490m1684883822765476380m-5418154571320490228m-1036068775942087670m-2980607962231515677m-4402304969833787803m5620206270830628482m-792686779865">
    <w:name w:val="m_-6404632495465840816m_7965137926780929338m_-8243633047943397703m_9082243637205169179m_-6191051475289839490m_1684883822765476380m_-5418154571320490228m_-1036068775942087670m_-2980607962231515677m_-4402304969833787803m_5620206270830628482m_-792686779865"/>
    <w:basedOn w:val="Normal"/>
    <w:rsid w:val="001019EF"/>
    <w:pPr>
      <w:spacing w:before="100" w:beforeAutospacing="1" w:after="100" w:afterAutospacing="1" w:line="240" w:lineRule="auto"/>
    </w:pPr>
    <w:rPr>
      <w:rFonts w:ascii="Times New Roman" w:eastAsia="Times New Roman" w:hAnsi="Times New Roman" w:cs="Times New Roman"/>
      <w:szCs w:val="24"/>
      <w:lang w:val="en-TT" w:eastAsia="en-TT"/>
    </w:rPr>
  </w:style>
  <w:style w:type="paragraph" w:customStyle="1" w:styleId="1312">
    <w:name w:val="1.3.1.2"/>
    <w:basedOn w:val="Heading111"/>
    <w:link w:val="1312Char"/>
    <w:rsid w:val="00A3090C"/>
    <w:pPr>
      <w:numPr>
        <w:ilvl w:val="2"/>
        <w:numId w:val="55"/>
      </w:numPr>
      <w:spacing w:after="240"/>
      <w:outlineLvl w:val="9"/>
    </w:pPr>
  </w:style>
  <w:style w:type="character" w:customStyle="1" w:styleId="1312Char">
    <w:name w:val="1.3.1.2 Char"/>
    <w:basedOn w:val="Heading111Char"/>
    <w:link w:val="1312"/>
    <w:rsid w:val="00A3090C"/>
    <w:rPr>
      <w:rFonts w:ascii="Times New Roman" w:eastAsiaTheme="minorEastAsia" w:hAnsi="Times New Roman" w:cs="Times New Roman"/>
      <w:b/>
      <w:bCs/>
      <w:iCs/>
      <w:color w:val="000000" w:themeColor="text1"/>
      <w:sz w:val="24"/>
      <w:szCs w:val="24"/>
      <w:u w:val="single"/>
      <w:lang w:val="en-GB"/>
    </w:rPr>
  </w:style>
  <w:style w:type="paragraph" w:customStyle="1" w:styleId="Figures">
    <w:name w:val="Figures"/>
    <w:basedOn w:val="Caption"/>
    <w:link w:val="FiguresChar"/>
    <w:autoRedefine/>
    <w:qFormat/>
    <w:rsid w:val="006E08E8"/>
    <w:pPr>
      <w:spacing w:line="360" w:lineRule="auto"/>
    </w:pPr>
    <w:rPr>
      <w:rFonts w:ascii="Times New Roman" w:hAnsi="Times New Roman" w:cs="Times New Roman"/>
    </w:rPr>
  </w:style>
  <w:style w:type="paragraph" w:customStyle="1" w:styleId="Tables">
    <w:name w:val="Tables"/>
    <w:basedOn w:val="Caption"/>
    <w:link w:val="TablesChar"/>
    <w:autoRedefine/>
    <w:qFormat/>
    <w:rsid w:val="00B9320D"/>
    <w:rPr>
      <w:b/>
      <w:i w:val="0"/>
    </w:rPr>
  </w:style>
  <w:style w:type="character" w:customStyle="1" w:styleId="CaptionChar">
    <w:name w:val="Caption Char"/>
    <w:basedOn w:val="DefaultParagraphFont"/>
    <w:link w:val="Caption"/>
    <w:uiPriority w:val="35"/>
    <w:rsid w:val="00B9320D"/>
    <w:rPr>
      <w:rFonts w:asciiTheme="majorBidi" w:eastAsiaTheme="minorEastAsia" w:hAnsiTheme="majorBidi"/>
      <w:i/>
      <w:iCs/>
      <w:lang w:val="en-GB" w:eastAsia="en-GB"/>
    </w:rPr>
  </w:style>
  <w:style w:type="character" w:customStyle="1" w:styleId="FiguresChar">
    <w:name w:val="Figures Char"/>
    <w:basedOn w:val="CaptionChar"/>
    <w:link w:val="Figures"/>
    <w:rsid w:val="006E08E8"/>
    <w:rPr>
      <w:rFonts w:ascii="Times New Roman" w:eastAsiaTheme="minorEastAsia" w:hAnsi="Times New Roman" w:cs="Times New Roman"/>
      <w:i/>
      <w:iCs/>
      <w:lang w:val="en-GB" w:eastAsia="en-GB"/>
    </w:rPr>
  </w:style>
  <w:style w:type="paragraph" w:customStyle="1" w:styleId="Table">
    <w:name w:val="Table"/>
    <w:basedOn w:val="Normal"/>
    <w:link w:val="TableChar"/>
    <w:qFormat/>
    <w:rsid w:val="002C5D0F"/>
    <w:pPr>
      <w:spacing w:after="240" w:line="240" w:lineRule="auto"/>
      <w:jc w:val="center"/>
    </w:pPr>
    <w:rPr>
      <w:i/>
      <w:sz w:val="22"/>
    </w:rPr>
  </w:style>
  <w:style w:type="character" w:customStyle="1" w:styleId="TablesChar">
    <w:name w:val="Tables Char"/>
    <w:basedOn w:val="CaptionChar"/>
    <w:link w:val="Tables"/>
    <w:rsid w:val="00B9320D"/>
    <w:rPr>
      <w:rFonts w:asciiTheme="majorBidi" w:eastAsiaTheme="minorEastAsia" w:hAnsiTheme="majorBidi"/>
      <w:b/>
      <w:i w:val="0"/>
      <w:iCs/>
      <w:lang w:val="en-GB" w:eastAsia="en-GB"/>
    </w:rPr>
  </w:style>
  <w:style w:type="paragraph" w:customStyle="1" w:styleId="t">
    <w:name w:val="t"/>
    <w:basedOn w:val="Table"/>
    <w:link w:val="tChar"/>
    <w:rsid w:val="002C5D0F"/>
  </w:style>
  <w:style w:type="character" w:customStyle="1" w:styleId="TableChar">
    <w:name w:val="Table Char"/>
    <w:basedOn w:val="DefaultParagraphFont"/>
    <w:link w:val="Table"/>
    <w:rsid w:val="002C5D0F"/>
    <w:rPr>
      <w:rFonts w:asciiTheme="majorBidi" w:eastAsiaTheme="minorEastAsia" w:hAnsiTheme="majorBidi"/>
      <w:i/>
      <w:lang w:val="en-GB" w:eastAsia="en-GB"/>
    </w:rPr>
  </w:style>
  <w:style w:type="paragraph" w:customStyle="1" w:styleId="Table1">
    <w:name w:val="Table 1"/>
    <w:basedOn w:val="t"/>
    <w:link w:val="Table1Char"/>
    <w:autoRedefine/>
    <w:qFormat/>
    <w:rsid w:val="002C5D0F"/>
  </w:style>
  <w:style w:type="character" w:customStyle="1" w:styleId="tChar">
    <w:name w:val="t Char"/>
    <w:basedOn w:val="TableChar"/>
    <w:link w:val="t"/>
    <w:rsid w:val="002C5D0F"/>
    <w:rPr>
      <w:rFonts w:asciiTheme="majorBidi" w:eastAsiaTheme="minorEastAsia" w:hAnsiTheme="majorBidi"/>
      <w:i/>
      <w:lang w:val="en-GB" w:eastAsia="en-GB"/>
    </w:rPr>
  </w:style>
  <w:style w:type="paragraph" w:customStyle="1" w:styleId="Tables12">
    <w:name w:val="Tables 1.2"/>
    <w:basedOn w:val="Table"/>
    <w:link w:val="Tables12Char"/>
    <w:qFormat/>
    <w:rsid w:val="002C5D0F"/>
    <w:rPr>
      <w:b/>
      <w:i w:val="0"/>
    </w:rPr>
  </w:style>
  <w:style w:type="character" w:customStyle="1" w:styleId="Table1Char">
    <w:name w:val="Table 1 Char"/>
    <w:basedOn w:val="tChar"/>
    <w:link w:val="Table1"/>
    <w:rsid w:val="002C5D0F"/>
    <w:rPr>
      <w:rFonts w:asciiTheme="majorBidi" w:eastAsiaTheme="minorEastAsia" w:hAnsiTheme="majorBidi"/>
      <w:i/>
      <w:lang w:val="en-GB" w:eastAsia="en-GB"/>
    </w:rPr>
  </w:style>
  <w:style w:type="paragraph" w:customStyle="1" w:styleId="1122">
    <w:name w:val="1.1.2/2"/>
    <w:basedOn w:val="112"/>
    <w:link w:val="1122Char"/>
    <w:rsid w:val="00AC48F0"/>
  </w:style>
  <w:style w:type="character" w:customStyle="1" w:styleId="Tables12Char">
    <w:name w:val="Tables 1.2 Char"/>
    <w:basedOn w:val="TableChar"/>
    <w:link w:val="Tables12"/>
    <w:rsid w:val="002C5D0F"/>
    <w:rPr>
      <w:rFonts w:asciiTheme="majorBidi" w:eastAsiaTheme="minorEastAsia" w:hAnsiTheme="majorBidi"/>
      <w:b/>
      <w:i w:val="0"/>
      <w:lang w:val="en-GB" w:eastAsia="en-GB"/>
    </w:rPr>
  </w:style>
  <w:style w:type="paragraph" w:customStyle="1" w:styleId="13120">
    <w:name w:val="1.3.1/2"/>
    <w:basedOn w:val="1312"/>
    <w:link w:val="1312Char0"/>
    <w:rsid w:val="002B4CCF"/>
  </w:style>
  <w:style w:type="character" w:customStyle="1" w:styleId="1122Char">
    <w:name w:val="1.1.2/2 Char"/>
    <w:basedOn w:val="112Char"/>
    <w:link w:val="1122"/>
    <w:rsid w:val="00AC48F0"/>
    <w:rPr>
      <w:rFonts w:ascii="Times New Roman" w:eastAsiaTheme="minorEastAsia" w:hAnsi="Times New Roman" w:cs="Times New Roman"/>
      <w:b w:val="0"/>
      <w:i w:val="0"/>
      <w:color w:val="000000" w:themeColor="text1"/>
      <w:sz w:val="24"/>
      <w:szCs w:val="24"/>
      <w:u w:val="single"/>
      <w:lang w:val="en-GB" w:eastAsia="en-GB"/>
    </w:rPr>
  </w:style>
  <w:style w:type="character" w:customStyle="1" w:styleId="1312Char0">
    <w:name w:val="1.3.1/2 Char"/>
    <w:basedOn w:val="1312Char"/>
    <w:link w:val="13120"/>
    <w:rsid w:val="002B4CCF"/>
    <w:rPr>
      <w:rFonts w:ascii="Times New Roman" w:eastAsiaTheme="minorEastAsia" w:hAnsi="Times New Roman" w:cs="Times New Roman"/>
      <w:b/>
      <w:bCs/>
      <w:iCs/>
      <w:color w:val="000000" w:themeColor="text1"/>
      <w:sz w:val="24"/>
      <w:szCs w:val="24"/>
      <w:u w:val="single"/>
      <w:lang w:val="en-GB"/>
    </w:rPr>
  </w:style>
  <w:style w:type="paragraph" w:customStyle="1" w:styleId="PHDHead1111">
    <w:name w:val="PHD Head 1.1.1.1"/>
    <w:basedOn w:val="Normal"/>
    <w:link w:val="PHDHead1111Char"/>
    <w:rsid w:val="0020282D"/>
    <w:pPr>
      <w:tabs>
        <w:tab w:val="left" w:pos="1843"/>
      </w:tabs>
      <w:ind w:firstLine="851"/>
    </w:pPr>
    <w:rPr>
      <w:i/>
      <w:u w:val="single"/>
    </w:rPr>
  </w:style>
  <w:style w:type="paragraph" w:customStyle="1" w:styleId="PHDSubhead1111">
    <w:name w:val="PHD Subhead 1.1.1.1"/>
    <w:basedOn w:val="PHDHead1111"/>
    <w:link w:val="PHDSubhead1111Char"/>
    <w:qFormat/>
    <w:rsid w:val="00A269CA"/>
  </w:style>
  <w:style w:type="character" w:customStyle="1" w:styleId="PHDHead1111Char">
    <w:name w:val="PHD Head 1.1.1.1 Char"/>
    <w:basedOn w:val="DefaultParagraphFont"/>
    <w:link w:val="PHDHead1111"/>
    <w:rsid w:val="0020282D"/>
    <w:rPr>
      <w:rFonts w:asciiTheme="majorBidi" w:eastAsiaTheme="minorEastAsia" w:hAnsiTheme="majorBidi"/>
      <w:i/>
      <w:sz w:val="24"/>
      <w:u w:val="single"/>
      <w:lang w:val="en-GB" w:eastAsia="en-GB"/>
    </w:rPr>
  </w:style>
  <w:style w:type="character" w:customStyle="1" w:styleId="PHDSubhead1111Char">
    <w:name w:val="PHD Subhead 1.1.1.1 Char"/>
    <w:basedOn w:val="PHDHead1111Char"/>
    <w:link w:val="PHDSubhead1111"/>
    <w:rsid w:val="00A269CA"/>
    <w:rPr>
      <w:rFonts w:asciiTheme="majorBidi" w:eastAsiaTheme="minorEastAsia" w:hAnsiTheme="majorBidi"/>
      <w:i/>
      <w:sz w:val="24"/>
      <w:u w:val="single"/>
      <w:lang w:val="en-GB" w:eastAsia="en-GB"/>
    </w:rPr>
  </w:style>
  <w:style w:type="table" w:styleId="LightShading">
    <w:name w:val="Light Shading"/>
    <w:basedOn w:val="TableNormal"/>
    <w:uiPriority w:val="60"/>
    <w:rsid w:val="00FD46C8"/>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D20872"/>
    <w:rPr>
      <w:color w:val="800080" w:themeColor="followedHyperlink"/>
      <w:u w:val="single"/>
    </w:rPr>
  </w:style>
  <w:style w:type="table" w:customStyle="1" w:styleId="4">
    <w:name w:val="4"/>
    <w:basedOn w:val="TableNormal"/>
    <w:rsid w:val="00D20872"/>
    <w:pPr>
      <w:spacing w:line="240" w:lineRule="auto"/>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D20872"/>
    <w:pPr>
      <w:spacing w:line="240" w:lineRule="auto"/>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D20872"/>
    <w:pPr>
      <w:spacing w:line="240" w:lineRule="auto"/>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D20872"/>
    <w:pPr>
      <w:spacing w:line="240" w:lineRule="auto"/>
    </w:pPr>
    <w:rPr>
      <w:rFonts w:ascii="Calibri" w:eastAsia="Calibri" w:hAnsi="Calibri" w:cs="Calibri"/>
      <w:sz w:val="24"/>
      <w:szCs w:val="24"/>
      <w:lang w:val="en-GB" w:eastAsia="en-GB"/>
    </w:rPr>
    <w:tblPr>
      <w:tblStyleRowBandSize w:val="1"/>
      <w:tblStyleColBandSize w:val="1"/>
      <w:tblInd w:w="0" w:type="dxa"/>
      <w:tblCellMar>
        <w:top w:w="0" w:type="dxa"/>
        <w:left w:w="108" w:type="dxa"/>
        <w:bottom w:w="0" w:type="dxa"/>
        <w:right w:w="108" w:type="dxa"/>
      </w:tblCellMar>
    </w:tblPr>
  </w:style>
  <w:style w:type="paragraph" w:customStyle="1" w:styleId="StyleD1">
    <w:name w:val="StyleD1"/>
    <w:basedOn w:val="Heading111"/>
    <w:link w:val="StyleD1Char"/>
    <w:autoRedefine/>
    <w:qFormat/>
    <w:rsid w:val="00D20872"/>
    <w:rPr>
      <w:rFonts w:eastAsia="Times New Roman"/>
      <w:color w:val="auto"/>
    </w:rPr>
  </w:style>
  <w:style w:type="character" w:customStyle="1" w:styleId="StyleD1Char">
    <w:name w:val="StyleD1 Char"/>
    <w:basedOn w:val="DefaultParagraphFont"/>
    <w:link w:val="StyleD1"/>
    <w:rsid w:val="00D20872"/>
    <w:rPr>
      <w:rFonts w:ascii="Times New Roman" w:eastAsia="Times New Roman" w:hAnsi="Times New Roman" w:cs="Times New Roman"/>
      <w:b/>
      <w:bCs/>
      <w:iCs/>
      <w:sz w:val="24"/>
      <w:szCs w:val="24"/>
      <w:u w:val="single"/>
      <w:lang w:val="en-GB"/>
    </w:rPr>
  </w:style>
  <w:style w:type="character" w:customStyle="1" w:styleId="UnresolvedMention1">
    <w:name w:val="Unresolved Mention1"/>
    <w:basedOn w:val="DefaultParagraphFont"/>
    <w:uiPriority w:val="99"/>
    <w:semiHidden/>
    <w:unhideWhenUsed/>
    <w:rsid w:val="00DF05BD"/>
    <w:rPr>
      <w:color w:val="605E5C"/>
      <w:shd w:val="clear" w:color="auto" w:fill="E1DFDD"/>
    </w:rPr>
  </w:style>
  <w:style w:type="character" w:customStyle="1" w:styleId="ms-button-flexcontainer">
    <w:name w:val="ms-button-flexcontainer"/>
    <w:basedOn w:val="DefaultParagraphFont"/>
    <w:rsid w:val="00DF0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43702">
      <w:bodyDiv w:val="1"/>
      <w:marLeft w:val="0"/>
      <w:marRight w:val="0"/>
      <w:marTop w:val="0"/>
      <w:marBottom w:val="0"/>
      <w:divBdr>
        <w:top w:val="none" w:sz="0" w:space="0" w:color="auto"/>
        <w:left w:val="none" w:sz="0" w:space="0" w:color="auto"/>
        <w:bottom w:val="none" w:sz="0" w:space="0" w:color="auto"/>
        <w:right w:val="none" w:sz="0" w:space="0" w:color="auto"/>
      </w:divBdr>
    </w:div>
    <w:div w:id="380253742">
      <w:bodyDiv w:val="1"/>
      <w:marLeft w:val="0"/>
      <w:marRight w:val="0"/>
      <w:marTop w:val="0"/>
      <w:marBottom w:val="0"/>
      <w:divBdr>
        <w:top w:val="none" w:sz="0" w:space="0" w:color="auto"/>
        <w:left w:val="none" w:sz="0" w:space="0" w:color="auto"/>
        <w:bottom w:val="none" w:sz="0" w:space="0" w:color="auto"/>
        <w:right w:val="none" w:sz="0" w:space="0" w:color="auto"/>
      </w:divBdr>
    </w:div>
    <w:div w:id="616136474">
      <w:bodyDiv w:val="1"/>
      <w:marLeft w:val="0"/>
      <w:marRight w:val="0"/>
      <w:marTop w:val="0"/>
      <w:marBottom w:val="0"/>
      <w:divBdr>
        <w:top w:val="none" w:sz="0" w:space="0" w:color="auto"/>
        <w:left w:val="none" w:sz="0" w:space="0" w:color="auto"/>
        <w:bottom w:val="none" w:sz="0" w:space="0" w:color="auto"/>
        <w:right w:val="none" w:sz="0" w:space="0" w:color="auto"/>
      </w:divBdr>
      <w:divsChild>
        <w:div w:id="2013608171">
          <w:marLeft w:val="0"/>
          <w:marRight w:val="0"/>
          <w:marTop w:val="0"/>
          <w:marBottom w:val="0"/>
          <w:divBdr>
            <w:top w:val="none" w:sz="0" w:space="0" w:color="auto"/>
            <w:left w:val="none" w:sz="0" w:space="0" w:color="auto"/>
            <w:bottom w:val="none" w:sz="0" w:space="0" w:color="auto"/>
            <w:right w:val="none" w:sz="0" w:space="0" w:color="auto"/>
          </w:divBdr>
          <w:divsChild>
            <w:div w:id="1997761470">
              <w:marLeft w:val="0"/>
              <w:marRight w:val="0"/>
              <w:marTop w:val="0"/>
              <w:marBottom w:val="0"/>
              <w:divBdr>
                <w:top w:val="none" w:sz="0" w:space="0" w:color="auto"/>
                <w:left w:val="none" w:sz="0" w:space="0" w:color="auto"/>
                <w:bottom w:val="none" w:sz="0" w:space="0" w:color="auto"/>
                <w:right w:val="none" w:sz="0" w:space="0" w:color="auto"/>
              </w:divBdr>
              <w:divsChild>
                <w:div w:id="881790766">
                  <w:marLeft w:val="0"/>
                  <w:marRight w:val="0"/>
                  <w:marTop w:val="0"/>
                  <w:marBottom w:val="0"/>
                  <w:divBdr>
                    <w:top w:val="single" w:sz="6" w:space="0" w:color="CCCCCC"/>
                    <w:left w:val="single" w:sz="6" w:space="0" w:color="CCCCCC"/>
                    <w:bottom w:val="single" w:sz="6" w:space="0" w:color="CCCCCC"/>
                    <w:right w:val="single" w:sz="6" w:space="0" w:color="CCCCCC"/>
                  </w:divBdr>
                  <w:divsChild>
                    <w:div w:id="1864636159">
                      <w:marLeft w:val="0"/>
                      <w:marRight w:val="0"/>
                      <w:marTop w:val="0"/>
                      <w:marBottom w:val="0"/>
                      <w:divBdr>
                        <w:top w:val="none" w:sz="0" w:space="0" w:color="auto"/>
                        <w:left w:val="none" w:sz="0" w:space="0" w:color="auto"/>
                        <w:bottom w:val="none" w:sz="0" w:space="0" w:color="auto"/>
                        <w:right w:val="none" w:sz="0" w:space="0" w:color="auto"/>
                      </w:divBdr>
                      <w:divsChild>
                        <w:div w:id="2057465396">
                          <w:marLeft w:val="0"/>
                          <w:marRight w:val="0"/>
                          <w:marTop w:val="0"/>
                          <w:marBottom w:val="0"/>
                          <w:divBdr>
                            <w:top w:val="none" w:sz="0" w:space="0" w:color="auto"/>
                            <w:left w:val="none" w:sz="0" w:space="0" w:color="auto"/>
                            <w:bottom w:val="none" w:sz="0" w:space="0" w:color="auto"/>
                            <w:right w:val="none" w:sz="0" w:space="0" w:color="auto"/>
                          </w:divBdr>
                          <w:divsChild>
                            <w:div w:id="104351212">
                              <w:marLeft w:val="0"/>
                              <w:marRight w:val="0"/>
                              <w:marTop w:val="0"/>
                              <w:marBottom w:val="0"/>
                              <w:divBdr>
                                <w:top w:val="none" w:sz="0" w:space="0" w:color="auto"/>
                                <w:left w:val="none" w:sz="0" w:space="0" w:color="auto"/>
                                <w:bottom w:val="none" w:sz="0" w:space="0" w:color="auto"/>
                                <w:right w:val="none" w:sz="0" w:space="0" w:color="auto"/>
                              </w:divBdr>
                              <w:divsChild>
                                <w:div w:id="4461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419762">
      <w:bodyDiv w:val="1"/>
      <w:marLeft w:val="0"/>
      <w:marRight w:val="0"/>
      <w:marTop w:val="0"/>
      <w:marBottom w:val="0"/>
      <w:divBdr>
        <w:top w:val="none" w:sz="0" w:space="0" w:color="auto"/>
        <w:left w:val="none" w:sz="0" w:space="0" w:color="auto"/>
        <w:bottom w:val="none" w:sz="0" w:space="0" w:color="auto"/>
        <w:right w:val="none" w:sz="0" w:space="0" w:color="auto"/>
      </w:divBdr>
      <w:divsChild>
        <w:div w:id="368730060">
          <w:marLeft w:val="0"/>
          <w:marRight w:val="0"/>
          <w:marTop w:val="0"/>
          <w:marBottom w:val="0"/>
          <w:divBdr>
            <w:top w:val="none" w:sz="0" w:space="0" w:color="auto"/>
            <w:left w:val="none" w:sz="0" w:space="0" w:color="auto"/>
            <w:bottom w:val="none" w:sz="0" w:space="0" w:color="auto"/>
            <w:right w:val="none" w:sz="0" w:space="0" w:color="auto"/>
          </w:divBdr>
          <w:divsChild>
            <w:div w:id="1058941622">
              <w:marLeft w:val="0"/>
              <w:marRight w:val="0"/>
              <w:marTop w:val="0"/>
              <w:marBottom w:val="0"/>
              <w:divBdr>
                <w:top w:val="none" w:sz="0" w:space="0" w:color="auto"/>
                <w:left w:val="none" w:sz="0" w:space="0" w:color="auto"/>
                <w:bottom w:val="none" w:sz="0" w:space="0" w:color="auto"/>
                <w:right w:val="none" w:sz="0" w:space="0" w:color="auto"/>
              </w:divBdr>
              <w:divsChild>
                <w:div w:id="968322454">
                  <w:marLeft w:val="0"/>
                  <w:marRight w:val="0"/>
                  <w:marTop w:val="0"/>
                  <w:marBottom w:val="0"/>
                  <w:divBdr>
                    <w:top w:val="single" w:sz="6" w:space="0" w:color="CCCCCC"/>
                    <w:left w:val="single" w:sz="6" w:space="0" w:color="CCCCCC"/>
                    <w:bottom w:val="single" w:sz="6" w:space="0" w:color="CCCCCC"/>
                    <w:right w:val="single" w:sz="6" w:space="0" w:color="CCCCCC"/>
                  </w:divBdr>
                  <w:divsChild>
                    <w:div w:id="962421038">
                      <w:marLeft w:val="0"/>
                      <w:marRight w:val="0"/>
                      <w:marTop w:val="0"/>
                      <w:marBottom w:val="0"/>
                      <w:divBdr>
                        <w:top w:val="none" w:sz="0" w:space="0" w:color="auto"/>
                        <w:left w:val="none" w:sz="0" w:space="0" w:color="auto"/>
                        <w:bottom w:val="none" w:sz="0" w:space="0" w:color="auto"/>
                        <w:right w:val="none" w:sz="0" w:space="0" w:color="auto"/>
                      </w:divBdr>
                      <w:divsChild>
                        <w:div w:id="405491746">
                          <w:marLeft w:val="0"/>
                          <w:marRight w:val="0"/>
                          <w:marTop w:val="0"/>
                          <w:marBottom w:val="0"/>
                          <w:divBdr>
                            <w:top w:val="none" w:sz="0" w:space="0" w:color="auto"/>
                            <w:left w:val="none" w:sz="0" w:space="0" w:color="auto"/>
                            <w:bottom w:val="none" w:sz="0" w:space="0" w:color="auto"/>
                            <w:right w:val="none" w:sz="0" w:space="0" w:color="auto"/>
                          </w:divBdr>
                          <w:divsChild>
                            <w:div w:id="1438059204">
                              <w:marLeft w:val="0"/>
                              <w:marRight w:val="0"/>
                              <w:marTop w:val="0"/>
                              <w:marBottom w:val="0"/>
                              <w:divBdr>
                                <w:top w:val="none" w:sz="0" w:space="0" w:color="auto"/>
                                <w:left w:val="none" w:sz="0" w:space="0" w:color="auto"/>
                                <w:bottom w:val="none" w:sz="0" w:space="0" w:color="auto"/>
                                <w:right w:val="none" w:sz="0" w:space="0" w:color="auto"/>
                              </w:divBdr>
                              <w:divsChild>
                                <w:div w:id="6680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193554">
      <w:bodyDiv w:val="1"/>
      <w:marLeft w:val="0"/>
      <w:marRight w:val="0"/>
      <w:marTop w:val="0"/>
      <w:marBottom w:val="0"/>
      <w:divBdr>
        <w:top w:val="none" w:sz="0" w:space="0" w:color="auto"/>
        <w:left w:val="none" w:sz="0" w:space="0" w:color="auto"/>
        <w:bottom w:val="none" w:sz="0" w:space="0" w:color="auto"/>
        <w:right w:val="none" w:sz="0" w:space="0" w:color="auto"/>
      </w:divBdr>
      <w:divsChild>
        <w:div w:id="1158226534">
          <w:marLeft w:val="0"/>
          <w:marRight w:val="0"/>
          <w:marTop w:val="0"/>
          <w:marBottom w:val="0"/>
          <w:divBdr>
            <w:top w:val="none" w:sz="0" w:space="0" w:color="auto"/>
            <w:left w:val="none" w:sz="0" w:space="0" w:color="auto"/>
            <w:bottom w:val="none" w:sz="0" w:space="0" w:color="auto"/>
            <w:right w:val="none" w:sz="0" w:space="0" w:color="auto"/>
          </w:divBdr>
          <w:divsChild>
            <w:div w:id="1528982637">
              <w:marLeft w:val="0"/>
              <w:marRight w:val="0"/>
              <w:marTop w:val="0"/>
              <w:marBottom w:val="0"/>
              <w:divBdr>
                <w:top w:val="none" w:sz="0" w:space="0" w:color="auto"/>
                <w:left w:val="none" w:sz="0" w:space="0" w:color="auto"/>
                <w:bottom w:val="none" w:sz="0" w:space="0" w:color="auto"/>
                <w:right w:val="none" w:sz="0" w:space="0" w:color="auto"/>
              </w:divBdr>
              <w:divsChild>
                <w:div w:id="579799960">
                  <w:marLeft w:val="0"/>
                  <w:marRight w:val="0"/>
                  <w:marTop w:val="0"/>
                  <w:marBottom w:val="0"/>
                  <w:divBdr>
                    <w:top w:val="single" w:sz="6" w:space="0" w:color="CCCCCC"/>
                    <w:left w:val="single" w:sz="6" w:space="0" w:color="CCCCCC"/>
                    <w:bottom w:val="single" w:sz="6" w:space="0" w:color="CCCCCC"/>
                    <w:right w:val="single" w:sz="6" w:space="0" w:color="CCCCCC"/>
                  </w:divBdr>
                  <w:divsChild>
                    <w:div w:id="1181048799">
                      <w:marLeft w:val="0"/>
                      <w:marRight w:val="0"/>
                      <w:marTop w:val="0"/>
                      <w:marBottom w:val="0"/>
                      <w:divBdr>
                        <w:top w:val="none" w:sz="0" w:space="0" w:color="auto"/>
                        <w:left w:val="none" w:sz="0" w:space="0" w:color="auto"/>
                        <w:bottom w:val="none" w:sz="0" w:space="0" w:color="auto"/>
                        <w:right w:val="none" w:sz="0" w:space="0" w:color="auto"/>
                      </w:divBdr>
                      <w:divsChild>
                        <w:div w:id="932862090">
                          <w:marLeft w:val="0"/>
                          <w:marRight w:val="0"/>
                          <w:marTop w:val="0"/>
                          <w:marBottom w:val="0"/>
                          <w:divBdr>
                            <w:top w:val="none" w:sz="0" w:space="0" w:color="auto"/>
                            <w:left w:val="none" w:sz="0" w:space="0" w:color="auto"/>
                            <w:bottom w:val="none" w:sz="0" w:space="0" w:color="auto"/>
                            <w:right w:val="none" w:sz="0" w:space="0" w:color="auto"/>
                          </w:divBdr>
                          <w:divsChild>
                            <w:div w:id="2041971467">
                              <w:marLeft w:val="0"/>
                              <w:marRight w:val="0"/>
                              <w:marTop w:val="0"/>
                              <w:marBottom w:val="0"/>
                              <w:divBdr>
                                <w:top w:val="none" w:sz="0" w:space="0" w:color="auto"/>
                                <w:left w:val="none" w:sz="0" w:space="0" w:color="auto"/>
                                <w:bottom w:val="none" w:sz="0" w:space="0" w:color="auto"/>
                                <w:right w:val="none" w:sz="0" w:space="0" w:color="auto"/>
                              </w:divBdr>
                              <w:divsChild>
                                <w:div w:id="25378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323496">
      <w:bodyDiv w:val="1"/>
      <w:marLeft w:val="0"/>
      <w:marRight w:val="0"/>
      <w:marTop w:val="0"/>
      <w:marBottom w:val="0"/>
      <w:divBdr>
        <w:top w:val="none" w:sz="0" w:space="0" w:color="auto"/>
        <w:left w:val="none" w:sz="0" w:space="0" w:color="auto"/>
        <w:bottom w:val="none" w:sz="0" w:space="0" w:color="auto"/>
        <w:right w:val="none" w:sz="0" w:space="0" w:color="auto"/>
      </w:divBdr>
      <w:divsChild>
        <w:div w:id="1681272957">
          <w:marLeft w:val="0"/>
          <w:marRight w:val="0"/>
          <w:marTop w:val="0"/>
          <w:marBottom w:val="0"/>
          <w:divBdr>
            <w:top w:val="none" w:sz="0" w:space="0" w:color="auto"/>
            <w:left w:val="none" w:sz="0" w:space="0" w:color="auto"/>
            <w:bottom w:val="none" w:sz="0" w:space="0" w:color="auto"/>
            <w:right w:val="none" w:sz="0" w:space="0" w:color="auto"/>
          </w:divBdr>
          <w:divsChild>
            <w:div w:id="2143688818">
              <w:marLeft w:val="0"/>
              <w:marRight w:val="0"/>
              <w:marTop w:val="0"/>
              <w:marBottom w:val="0"/>
              <w:divBdr>
                <w:top w:val="none" w:sz="0" w:space="0" w:color="auto"/>
                <w:left w:val="none" w:sz="0" w:space="0" w:color="auto"/>
                <w:bottom w:val="none" w:sz="0" w:space="0" w:color="auto"/>
                <w:right w:val="none" w:sz="0" w:space="0" w:color="auto"/>
              </w:divBdr>
              <w:divsChild>
                <w:div w:id="1777092359">
                  <w:marLeft w:val="0"/>
                  <w:marRight w:val="0"/>
                  <w:marTop w:val="0"/>
                  <w:marBottom w:val="0"/>
                  <w:divBdr>
                    <w:top w:val="single" w:sz="6" w:space="0" w:color="CCCCCC"/>
                    <w:left w:val="single" w:sz="6" w:space="0" w:color="CCCCCC"/>
                    <w:bottom w:val="single" w:sz="6" w:space="0" w:color="CCCCCC"/>
                    <w:right w:val="single" w:sz="6" w:space="0" w:color="CCCCCC"/>
                  </w:divBdr>
                  <w:divsChild>
                    <w:div w:id="72288593">
                      <w:marLeft w:val="0"/>
                      <w:marRight w:val="0"/>
                      <w:marTop w:val="0"/>
                      <w:marBottom w:val="0"/>
                      <w:divBdr>
                        <w:top w:val="none" w:sz="0" w:space="0" w:color="auto"/>
                        <w:left w:val="none" w:sz="0" w:space="0" w:color="auto"/>
                        <w:bottom w:val="none" w:sz="0" w:space="0" w:color="auto"/>
                        <w:right w:val="none" w:sz="0" w:space="0" w:color="auto"/>
                      </w:divBdr>
                      <w:divsChild>
                        <w:div w:id="70203486">
                          <w:marLeft w:val="0"/>
                          <w:marRight w:val="0"/>
                          <w:marTop w:val="0"/>
                          <w:marBottom w:val="0"/>
                          <w:divBdr>
                            <w:top w:val="none" w:sz="0" w:space="0" w:color="auto"/>
                            <w:left w:val="none" w:sz="0" w:space="0" w:color="auto"/>
                            <w:bottom w:val="none" w:sz="0" w:space="0" w:color="auto"/>
                            <w:right w:val="none" w:sz="0" w:space="0" w:color="auto"/>
                          </w:divBdr>
                          <w:divsChild>
                            <w:div w:id="1522208068">
                              <w:marLeft w:val="0"/>
                              <w:marRight w:val="0"/>
                              <w:marTop w:val="0"/>
                              <w:marBottom w:val="0"/>
                              <w:divBdr>
                                <w:top w:val="none" w:sz="0" w:space="0" w:color="auto"/>
                                <w:left w:val="none" w:sz="0" w:space="0" w:color="auto"/>
                                <w:bottom w:val="none" w:sz="0" w:space="0" w:color="auto"/>
                                <w:right w:val="none" w:sz="0" w:space="0" w:color="auto"/>
                              </w:divBdr>
                              <w:divsChild>
                                <w:div w:id="1290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154076">
      <w:bodyDiv w:val="1"/>
      <w:marLeft w:val="0"/>
      <w:marRight w:val="0"/>
      <w:marTop w:val="0"/>
      <w:marBottom w:val="0"/>
      <w:divBdr>
        <w:top w:val="none" w:sz="0" w:space="0" w:color="auto"/>
        <w:left w:val="none" w:sz="0" w:space="0" w:color="auto"/>
        <w:bottom w:val="none" w:sz="0" w:space="0" w:color="auto"/>
        <w:right w:val="none" w:sz="0" w:space="0" w:color="auto"/>
      </w:divBdr>
    </w:div>
    <w:div w:id="1803770145">
      <w:bodyDiv w:val="1"/>
      <w:marLeft w:val="0"/>
      <w:marRight w:val="0"/>
      <w:marTop w:val="0"/>
      <w:marBottom w:val="0"/>
      <w:divBdr>
        <w:top w:val="none" w:sz="0" w:space="0" w:color="auto"/>
        <w:left w:val="none" w:sz="0" w:space="0" w:color="auto"/>
        <w:bottom w:val="none" w:sz="0" w:space="0" w:color="auto"/>
        <w:right w:val="none" w:sz="0" w:space="0" w:color="auto"/>
      </w:divBdr>
    </w:div>
    <w:div w:id="1985888223">
      <w:bodyDiv w:val="1"/>
      <w:marLeft w:val="0"/>
      <w:marRight w:val="0"/>
      <w:marTop w:val="0"/>
      <w:marBottom w:val="0"/>
      <w:divBdr>
        <w:top w:val="none" w:sz="0" w:space="0" w:color="auto"/>
        <w:left w:val="none" w:sz="0" w:space="0" w:color="auto"/>
        <w:bottom w:val="none" w:sz="0" w:space="0" w:color="auto"/>
        <w:right w:val="none" w:sz="0" w:space="0" w:color="auto"/>
      </w:divBdr>
      <w:divsChild>
        <w:div w:id="171153851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hyperlink" Target="http://hdr.undp.org/sites/default/files/hdr_2014_zaidi_final.pdf" TargetMode="External"/><Relationship Id="rId21" Type="http://schemas.openxmlformats.org/officeDocument/2006/relationships/hyperlink" Target="https://esurv.org"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image" Target="media/image9.jpeg"/><Relationship Id="rId68" Type="http://schemas.openxmlformats.org/officeDocument/2006/relationships/image" Target="media/image14.jpeg"/><Relationship Id="rId84" Type="http://schemas.openxmlformats.org/officeDocument/2006/relationships/image" Target="media/image29.emf"/><Relationship Id="rId89" Type="http://schemas.openxmlformats.org/officeDocument/2006/relationships/image" Target="media/image34.emf"/><Relationship Id="rId112" Type="http://schemas.openxmlformats.org/officeDocument/2006/relationships/hyperlink" Target="https://doi.org/10.1787/health_glance-2017-78-en" TargetMode="External"/><Relationship Id="rId16" Type="http://schemas.openxmlformats.org/officeDocument/2006/relationships/diagramData" Target="diagrams/data1.xml"/><Relationship Id="rId107" Type="http://schemas.openxmlformats.org/officeDocument/2006/relationships/hyperlink" Target="http://find.shef.ac.uk/primo_library/libweb/action/search.do?vl(freeText0)=+Rabins%2c+P+&amp;vl(38298064UI0)=creator&amp;vl(1233920717074UI1)=all_items&amp;fn=search&amp;tab=everything&amp;mode=Basic&amp;vid=SFD_VU2&amp;scp.scps=scope%3a(44SFD)%2cprimo_central_multiple_fe&amp;ct=lateralLinking" TargetMode="Externa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hyperlink" Target="mailto:innette.cambridge@sta.uwi.edu" TargetMode="External"/><Relationship Id="rId66" Type="http://schemas.openxmlformats.org/officeDocument/2006/relationships/image" Target="media/image12.jpeg"/><Relationship Id="rId74" Type="http://schemas.openxmlformats.org/officeDocument/2006/relationships/image" Target="media/image20.png"/><Relationship Id="rId79" Type="http://schemas.openxmlformats.org/officeDocument/2006/relationships/image" Target="media/image24.emf"/><Relationship Id="rId87" Type="http://schemas.openxmlformats.org/officeDocument/2006/relationships/image" Target="media/image32.emf"/><Relationship Id="rId102" Type="http://schemas.openxmlformats.org/officeDocument/2006/relationships/hyperlink" Target="https://www.ageuk.org.uk/globalassets/age-uk/documents/reports-and-publications/reports-and-briefings/care--support/RB_mar18_social_care_campaignreport.pdf" TargetMode="External"/><Relationship Id="rId110" Type="http://schemas.openxmlformats.org/officeDocument/2006/relationships/hyperlink" Target="https://www.jrf.org.uk/file/46481/download?token=UXZzH3XM&amp;filetype=full-report" TargetMode="External"/><Relationship Id="rId115" Type="http://schemas.openxmlformats.org/officeDocument/2006/relationships/hyperlink" Target="http://eprints.whiterose.ac.uk/115333/18/why_the_uk_needs_a_social_policy_on_ageing.pdf" TargetMode="External"/><Relationship Id="rId5" Type="http://schemas.openxmlformats.org/officeDocument/2006/relationships/settings" Target="settings.xml"/><Relationship Id="rId61" Type="http://schemas.openxmlformats.org/officeDocument/2006/relationships/image" Target="media/image7.jpeg"/><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image" Target="media/image40.emf"/><Relationship Id="rId1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hyperlink" Target="https://wordpress.com"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footer" Target="footer8.xml"/><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2.emf"/><Relationship Id="rId100" Type="http://schemas.openxmlformats.org/officeDocument/2006/relationships/image" Target="media/image45.emf"/><Relationship Id="rId105" Type="http://schemas.openxmlformats.org/officeDocument/2006/relationships/hyperlink" Target="https://publications.iadb.org/publications/english/document/Long-Term-Care-in-Latin-America-and-the-Caribbean-Theory-and-Policy-Considerations.pdf" TargetMode="External"/><Relationship Id="rId113" Type="http://schemas.openxmlformats.org/officeDocument/2006/relationships/hyperlink" Target="http://www.unrisd.org/80256B3C005BCCF9/(httpAuxPages)/2DBE6A93350A7783C12573240036D5A0/$file/Razavi-paper.pdf" TargetMode="External"/><Relationship Id="rId118" Type="http://schemas.openxmlformats.org/officeDocument/2006/relationships/hyperlink" Target="https://static1.squarespace.com/static/5a722d48010027d7514141f5/t/5cffbe2bd461800001bf4a26/1560264235794/Elder+Caregiving+Report+June+2019.pdf" TargetMode="External"/><Relationship Id="rId8" Type="http://schemas.openxmlformats.org/officeDocument/2006/relationships/endnotes" Target="endnotes.xml"/><Relationship Id="rId51" Type="http://schemas.openxmlformats.org/officeDocument/2006/relationships/chart" Target="charts/chart25.xml"/><Relationship Id="rId72" Type="http://schemas.openxmlformats.org/officeDocument/2006/relationships/image" Target="media/image18.png"/><Relationship Id="rId80" Type="http://schemas.openxmlformats.org/officeDocument/2006/relationships/image" Target="media/image25.emf"/><Relationship Id="rId85" Type="http://schemas.openxmlformats.org/officeDocument/2006/relationships/image" Target="media/image30.emf"/><Relationship Id="rId93" Type="http://schemas.openxmlformats.org/officeDocument/2006/relationships/image" Target="media/image38.emf"/><Relationship Id="rId98"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footer" Target="footer5.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hyperlink" Target="mailto:l.warren@sheffield.ac.uk" TargetMode="External"/><Relationship Id="rId67" Type="http://schemas.openxmlformats.org/officeDocument/2006/relationships/image" Target="media/image13.jpeg"/><Relationship Id="rId103" Type="http://schemas.openxmlformats.org/officeDocument/2006/relationships/hyperlink" Target="http://www.SlideShare.net/AhmedRefat" TargetMode="External"/><Relationship Id="rId108" Type="http://schemas.openxmlformats.org/officeDocument/2006/relationships/hyperlink" Target="http://find.shef.ac.uk/primo_library/libweb/action/search.do?vl(freeText0)=+Lucas%2c+M+J+&amp;vl(38298064UI0)=creator&amp;vl(1233920717074UI1)=all_items&amp;fn=search&amp;tab=everything&amp;mode=Basic&amp;vid=SFD_VU2&amp;scp.scps=scope%3a(44SFD)%2cprimo_central_multiple_fe&amp;ct=lateralLinking" TargetMode="External"/><Relationship Id="rId116" Type="http://schemas.openxmlformats.org/officeDocument/2006/relationships/hyperlink" Target="https://www.worldlifeexpectancy.com/country-health-profile/trinidad-tobago" TargetMode="External"/><Relationship Id="rId20" Type="http://schemas.microsoft.com/office/2007/relationships/diagramDrawing" Target="diagrams/drawing1.xml"/><Relationship Id="rId41" Type="http://schemas.openxmlformats.org/officeDocument/2006/relationships/chart" Target="charts/chart15.xml"/><Relationship Id="rId54" Type="http://schemas.openxmlformats.org/officeDocument/2006/relationships/footer" Target="footer6.xml"/><Relationship Id="rId62" Type="http://schemas.openxmlformats.org/officeDocument/2006/relationships/image" Target="media/image8.gif"/><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image" Target="media/image41.emf"/><Relationship Id="rId111" Type="http://schemas.openxmlformats.org/officeDocument/2006/relationships/hyperlink" Target="https://blogs.lse.ac.uk/politicsandpolicy/the-labour-of-car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hyperlink" Target="mailto:h.blake@sheffield.ac.uk" TargetMode="External"/><Relationship Id="rId106" Type="http://schemas.openxmlformats.org/officeDocument/2006/relationships/hyperlink" Target="https://www.ncbi.nlm.nih.gov/books/NBK2631/" TargetMode="External"/><Relationship Id="rId114" Type="http://schemas.openxmlformats.org/officeDocument/2006/relationships/hyperlink" Target="https://tradingeconomics.com/trinidad-and-tobago/rating"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image" Target="media/image6.jpeg"/><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3.emf"/><Relationship Id="rId81" Type="http://schemas.openxmlformats.org/officeDocument/2006/relationships/image" Target="media/image26.emf"/><Relationship Id="rId86"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image" Target="media/image44.emf"/><Relationship Id="rId101" Type="http://schemas.openxmlformats.org/officeDocument/2006/relationships/image" Target="media/image46.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QuickStyle" Target="diagrams/quickStyle1.xml"/><Relationship Id="rId39" Type="http://schemas.openxmlformats.org/officeDocument/2006/relationships/chart" Target="charts/chart13.xml"/><Relationship Id="rId109" Type="http://schemas.openxmlformats.org/officeDocument/2006/relationships/hyperlink" Target="http://find.shef.ac.uk/primo_library/libweb/action/search.do?vl(freeText0)=+Eastham%2c+J&amp;vl(38298064UI0)=creator&amp;vl(1233920717074UI1)=all_items&amp;fn=search&amp;tab=everything&amp;mode=Basic&amp;vid=SFD_VU2&amp;scp.scps=scope%3a(44SFD)%2cprimo_central_multiple_fe&amp;ct=lateralLinking" TargetMode="Externa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footer" Target="footer7.xml"/><Relationship Id="rId76" Type="http://schemas.openxmlformats.org/officeDocument/2006/relationships/hyperlink" Target="http://dev.esurv.org/?s=OBHDOO_d54e4836&amp;ooo=MMJDGKK_8a15c864" TargetMode="External"/><Relationship Id="rId97" Type="http://schemas.openxmlformats.org/officeDocument/2006/relationships/image" Target="media/image42.emf"/><Relationship Id="rId104" Type="http://schemas.openxmlformats.org/officeDocument/2006/relationships/hyperlink" Target="http://www.apa.org/helpcenter/road-resilience.aspx"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chart" Target="charts/chart3.xml"/></Relationships>
</file>

<file path=word/_rels/footnotes.xml.rels><?xml version="1.0" encoding="UTF-8" standalone="yes"?>
<Relationships xmlns="http://schemas.openxmlformats.org/package/2006/relationships"><Relationship Id="rId2" Type="http://schemas.openxmlformats.org/officeDocument/2006/relationships/hyperlink" Target="https://www.sheffield.ac.uk/polopoly_fs/1.165643!/file/SREGP-Older-People.pdf" TargetMode="External"/><Relationship Id="rId1" Type="http://schemas.openxmlformats.org/officeDocument/2006/relationships/hyperlink" Target="https://www.sheffield.ac.uk/polopoly_fs/1.221498!/file/ABriefStudentGuideToResearchEthic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Orchid\Documents\PHD%20ANALYSIS\GENERAL%20FREQUENCIES%20&amp;%20C1%20SAMPLE%20CROSS%20TAB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Orchid\Documents\PHD%20ANALYSIS\GENERAL%20FREQUENCIES%20&amp;%20C1%20SAMPLE%20CROSS%20TAB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rchid\Documents\PHD%20ANALYSIS\GENERAL%20FREQUENCIES%20&amp;%20C1%20SAMPLE%20CROSS%20TABS.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212</c:v>
                </c:pt>
              </c:strCache>
            </c:strRef>
          </c:tx>
          <c:invertIfNegative val="0"/>
          <c:dLbls>
            <c:dLbl>
              <c:idx val="1"/>
              <c:spPr/>
              <c:txPr>
                <a:bodyPr/>
                <a:lstStyle/>
                <a:p>
                  <a:pPr>
                    <a:defRPr sz="700">
                      <a:solidFill>
                        <a:schemeClr val="tx1"/>
                      </a:solidFill>
                    </a:defRPr>
                  </a:pPr>
                  <a:endParaRPr lang="en-US"/>
                </a:p>
              </c:txPr>
              <c:dLblPos val="inBase"/>
              <c:showLegendKey val="0"/>
              <c:showVal val="1"/>
              <c:showCatName val="0"/>
              <c:showSerName val="0"/>
              <c:showPercent val="0"/>
              <c:showBubbleSize val="0"/>
            </c:dLbl>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Within the last 7 days</c:v>
                </c:pt>
                <c:pt idx="1">
                  <c:v>About 8 days to 2 weeks ago</c:v>
                </c:pt>
                <c:pt idx="2">
                  <c:v>About 3 to 4 weeks ago</c:v>
                </c:pt>
                <c:pt idx="3">
                  <c:v>About 5 weeks to 3 months ago</c:v>
                </c:pt>
                <c:pt idx="4">
                  <c:v>About 4 months to 6 months ago</c:v>
                </c:pt>
                <c:pt idx="5">
                  <c:v>About 7 to 12 months ago</c:v>
                </c:pt>
                <c:pt idx="6">
                  <c:v>More than 1 year ago</c:v>
                </c:pt>
              </c:strCache>
            </c:strRef>
          </c:cat>
          <c:val>
            <c:numRef>
              <c:f>Sheet1!$B$2:$B$8</c:f>
              <c:numCache>
                <c:formatCode>General</c:formatCode>
                <c:ptCount val="7"/>
                <c:pt idx="0">
                  <c:v>34.949999999999996</c:v>
                </c:pt>
                <c:pt idx="1">
                  <c:v>1.08</c:v>
                </c:pt>
                <c:pt idx="2">
                  <c:v>2.15</c:v>
                </c:pt>
                <c:pt idx="3">
                  <c:v>7.53</c:v>
                </c:pt>
                <c:pt idx="4">
                  <c:v>3.7600000000000002</c:v>
                </c:pt>
                <c:pt idx="5">
                  <c:v>8.6</c:v>
                </c:pt>
                <c:pt idx="6">
                  <c:v>41.94</c:v>
                </c:pt>
              </c:numCache>
            </c:numRef>
          </c:val>
          <c:extLst xmlns:c16r2="http://schemas.microsoft.com/office/drawing/2015/06/chart">
            <c:ext xmlns:c16="http://schemas.microsoft.com/office/drawing/2014/chart" uri="{C3380CC4-5D6E-409C-BE32-E72D297353CC}">
              <c16:uniqueId val="{00000001-DB76-4DB3-9037-337F2AB63AA3}"/>
            </c:ext>
          </c:extLst>
        </c:ser>
        <c:dLbls>
          <c:showLegendKey val="0"/>
          <c:showVal val="1"/>
          <c:showCatName val="0"/>
          <c:showSerName val="0"/>
          <c:showPercent val="0"/>
          <c:showBubbleSize val="0"/>
        </c:dLbls>
        <c:gapWidth val="150"/>
        <c:axId val="560513792"/>
        <c:axId val="560807296"/>
      </c:barChart>
      <c:catAx>
        <c:axId val="560513792"/>
        <c:scaling>
          <c:orientation val="minMax"/>
        </c:scaling>
        <c:delete val="0"/>
        <c:axPos val="l"/>
        <c:title>
          <c:tx>
            <c:rich>
              <a:bodyPr rot="-5400000" vert="horz"/>
              <a:lstStyle/>
              <a:p>
                <a:pPr>
                  <a:defRPr/>
                </a:pPr>
                <a:r>
                  <a:rPr lang="en-US"/>
                  <a:t>Last Time Providing Care</a:t>
                </a:r>
              </a:p>
            </c:rich>
          </c:tx>
          <c:overlay val="0"/>
        </c:title>
        <c:numFmt formatCode="General" sourceLinked="0"/>
        <c:majorTickMark val="out"/>
        <c:minorTickMark val="none"/>
        <c:tickLblPos val="nextTo"/>
        <c:crossAx val="560807296"/>
        <c:crosses val="autoZero"/>
        <c:auto val="1"/>
        <c:lblAlgn val="ctr"/>
        <c:lblOffset val="100"/>
        <c:noMultiLvlLbl val="0"/>
      </c:catAx>
      <c:valAx>
        <c:axId val="560807296"/>
        <c:scaling>
          <c:orientation val="minMax"/>
        </c:scaling>
        <c:delete val="0"/>
        <c:axPos val="b"/>
        <c:majorGridlines/>
        <c:numFmt formatCode="General" sourceLinked="1"/>
        <c:majorTickMark val="out"/>
        <c:minorTickMark val="none"/>
        <c:tickLblPos val="nextTo"/>
        <c:crossAx val="56051379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216</c:v>
                </c:pt>
              </c:strCache>
            </c:strRef>
          </c:tx>
          <c:invertIfNegative val="0"/>
          <c:dLbls>
            <c:dLbl>
              <c:idx val="9"/>
              <c:layout>
                <c:manualLayout>
                  <c:x val="-5.6274970836978723E-2"/>
                  <c:y val="0"/>
                </c:manualLayout>
              </c:layout>
              <c:tx>
                <c:rich>
                  <a:bodyPr/>
                  <a:lstStyle/>
                  <a:p>
                    <a:r>
                      <a:rPr lang="en-US" sz="700">
                        <a:solidFill>
                          <a:schemeClr val="bg1"/>
                        </a:solidFill>
                      </a:rPr>
                      <a:t>    2</a:t>
                    </a:r>
                    <a:endParaRPr lang="en-US" sz="900">
                      <a:solidFill>
                        <a:schemeClr val="bg1"/>
                      </a:solidFill>
                    </a:endParaRP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A7-4078-8511-687B7EDCD868}"/>
                </c:ext>
                <c:ext xmlns:c15="http://schemas.microsoft.com/office/drawing/2012/chart" uri="{CE6537A1-D6FC-4f65-9D91-7224C49458BB}"/>
              </c:extLst>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Other</c:v>
                </c:pt>
                <c:pt idx="1">
                  <c:v>I was unemployed</c:v>
                </c:pt>
                <c:pt idx="2">
                  <c:v>I worked at home</c:v>
                </c:pt>
                <c:pt idx="3">
                  <c:v>Within walking distance</c:v>
                </c:pt>
                <c:pt idx="4">
                  <c:v>Within 10 minute drive</c:v>
                </c:pt>
                <c:pt idx="5">
                  <c:v>11 to 15 minute drive</c:v>
                </c:pt>
                <c:pt idx="6">
                  <c:v>16 to 30 minute drive</c:v>
                </c:pt>
                <c:pt idx="7">
                  <c:v>31 minutes to 1 hour drive</c:v>
                </c:pt>
                <c:pt idx="8">
                  <c:v>More than an hour's drive</c:v>
                </c:pt>
                <c:pt idx="9">
                  <c:v>Separate island</c:v>
                </c:pt>
              </c:strCache>
            </c:strRef>
          </c:cat>
          <c:val>
            <c:numRef>
              <c:f>Sheet1!$B$2:$B$11</c:f>
              <c:numCache>
                <c:formatCode>General</c:formatCode>
                <c:ptCount val="10"/>
                <c:pt idx="0">
                  <c:v>5.1599999999999975</c:v>
                </c:pt>
                <c:pt idx="1">
                  <c:v>23.939999999999987</c:v>
                </c:pt>
                <c:pt idx="2">
                  <c:v>8.92</c:v>
                </c:pt>
                <c:pt idx="3">
                  <c:v>2.3499999999999988</c:v>
                </c:pt>
                <c:pt idx="4">
                  <c:v>7.98</c:v>
                </c:pt>
                <c:pt idx="5">
                  <c:v>9.39</c:v>
                </c:pt>
                <c:pt idx="6">
                  <c:v>11.27</c:v>
                </c:pt>
                <c:pt idx="7">
                  <c:v>18.309999999999999</c:v>
                </c:pt>
                <c:pt idx="8">
                  <c:v>10.8</c:v>
                </c:pt>
                <c:pt idx="9">
                  <c:v>1.8800000000000001</c:v>
                </c:pt>
              </c:numCache>
            </c:numRef>
          </c:val>
          <c:extLst xmlns:c16r2="http://schemas.microsoft.com/office/drawing/2015/06/chart">
            <c:ext xmlns:c16="http://schemas.microsoft.com/office/drawing/2014/chart" uri="{C3380CC4-5D6E-409C-BE32-E72D297353CC}">
              <c16:uniqueId val="{00000001-8DA7-4078-8511-687B7EDCD868}"/>
            </c:ext>
          </c:extLst>
        </c:ser>
        <c:dLbls>
          <c:showLegendKey val="0"/>
          <c:showVal val="0"/>
          <c:showCatName val="0"/>
          <c:showSerName val="0"/>
          <c:showPercent val="0"/>
          <c:showBubbleSize val="0"/>
        </c:dLbls>
        <c:gapWidth val="150"/>
        <c:axId val="424637568"/>
        <c:axId val="424639488"/>
      </c:barChart>
      <c:catAx>
        <c:axId val="424637568"/>
        <c:scaling>
          <c:orientation val="minMax"/>
        </c:scaling>
        <c:delete val="0"/>
        <c:axPos val="l"/>
        <c:title>
          <c:tx>
            <c:rich>
              <a:bodyPr rot="-5400000" vert="horz"/>
              <a:lstStyle/>
              <a:p>
                <a:pPr>
                  <a:defRPr/>
                </a:pPr>
                <a:r>
                  <a:rPr lang="en-US"/>
                  <a:t>Distance</a:t>
                </a:r>
              </a:p>
            </c:rich>
          </c:tx>
          <c:overlay val="0"/>
        </c:title>
        <c:numFmt formatCode="General" sourceLinked="0"/>
        <c:majorTickMark val="out"/>
        <c:minorTickMark val="none"/>
        <c:tickLblPos val="nextTo"/>
        <c:crossAx val="424639488"/>
        <c:crosses val="autoZero"/>
        <c:auto val="1"/>
        <c:lblAlgn val="ctr"/>
        <c:lblOffset val="100"/>
        <c:noMultiLvlLbl val="0"/>
      </c:catAx>
      <c:valAx>
        <c:axId val="424639488"/>
        <c:scaling>
          <c:orientation val="minMax"/>
        </c:scaling>
        <c:delete val="0"/>
        <c:axPos val="b"/>
        <c:majorGridlines/>
        <c:numFmt formatCode="General" sourceLinked="1"/>
        <c:majorTickMark val="out"/>
        <c:minorTickMark val="none"/>
        <c:tickLblPos val="nextTo"/>
        <c:crossAx val="424637568"/>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Responses (%) n = 218</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Other</c:v>
                </c:pt>
                <c:pt idx="1">
                  <c:v>3 hours or less</c:v>
                </c:pt>
                <c:pt idx="2">
                  <c:v>4 to 8 hours</c:v>
                </c:pt>
                <c:pt idx="3">
                  <c:v>9 to 16 hours</c:v>
                </c:pt>
                <c:pt idx="4">
                  <c:v>17 to 24 hours</c:v>
                </c:pt>
                <c:pt idx="5">
                  <c:v>25 to 32 hours</c:v>
                </c:pt>
                <c:pt idx="6">
                  <c:v>33 to 40 hours</c:v>
                </c:pt>
                <c:pt idx="7">
                  <c:v>More than 40 hours</c:v>
                </c:pt>
              </c:strCache>
            </c:strRef>
          </c:cat>
          <c:val>
            <c:numRef>
              <c:f>Sheet1!$B$2:$B$9</c:f>
              <c:numCache>
                <c:formatCode>General</c:formatCode>
                <c:ptCount val="8"/>
                <c:pt idx="0">
                  <c:v>3.74</c:v>
                </c:pt>
                <c:pt idx="1">
                  <c:v>21.959999999999987</c:v>
                </c:pt>
                <c:pt idx="2">
                  <c:v>21.03</c:v>
                </c:pt>
                <c:pt idx="3">
                  <c:v>14.950000000000006</c:v>
                </c:pt>
                <c:pt idx="4">
                  <c:v>9.3500000000000068</c:v>
                </c:pt>
                <c:pt idx="5">
                  <c:v>2.8</c:v>
                </c:pt>
                <c:pt idx="6">
                  <c:v>7.48</c:v>
                </c:pt>
                <c:pt idx="7">
                  <c:v>18.690000000000001</c:v>
                </c:pt>
              </c:numCache>
            </c:numRef>
          </c:val>
          <c:extLst xmlns:c16r2="http://schemas.microsoft.com/office/drawing/2015/06/chart">
            <c:ext xmlns:c16="http://schemas.microsoft.com/office/drawing/2014/chart" uri="{C3380CC4-5D6E-409C-BE32-E72D297353CC}">
              <c16:uniqueId val="{00000000-2E51-46C9-9550-EAE73C0F5301}"/>
            </c:ext>
          </c:extLst>
        </c:ser>
        <c:dLbls>
          <c:showLegendKey val="0"/>
          <c:showVal val="1"/>
          <c:showCatName val="0"/>
          <c:showSerName val="0"/>
          <c:showPercent val="0"/>
          <c:showBubbleSize val="0"/>
        </c:dLbls>
        <c:gapWidth val="150"/>
        <c:axId val="424823040"/>
        <c:axId val="424957440"/>
      </c:barChart>
      <c:catAx>
        <c:axId val="424823040"/>
        <c:scaling>
          <c:orientation val="minMax"/>
        </c:scaling>
        <c:delete val="0"/>
        <c:axPos val="l"/>
        <c:title>
          <c:tx>
            <c:rich>
              <a:bodyPr rot="-5400000" vert="horz"/>
              <a:lstStyle/>
              <a:p>
                <a:pPr>
                  <a:defRPr/>
                </a:pPr>
                <a:r>
                  <a:rPr lang="en-US"/>
                  <a:t>Time Caring Each Week</a:t>
                </a:r>
              </a:p>
            </c:rich>
          </c:tx>
          <c:overlay val="0"/>
        </c:title>
        <c:numFmt formatCode="General" sourceLinked="0"/>
        <c:majorTickMark val="out"/>
        <c:minorTickMark val="none"/>
        <c:tickLblPos val="nextTo"/>
        <c:crossAx val="424957440"/>
        <c:crosses val="autoZero"/>
        <c:auto val="1"/>
        <c:lblAlgn val="ctr"/>
        <c:lblOffset val="100"/>
        <c:noMultiLvlLbl val="0"/>
      </c:catAx>
      <c:valAx>
        <c:axId val="424957440"/>
        <c:scaling>
          <c:orientation val="minMax"/>
        </c:scaling>
        <c:delete val="0"/>
        <c:axPos val="b"/>
        <c:majorGridlines/>
        <c:numFmt formatCode="General" sourceLinked="1"/>
        <c:majorTickMark val="out"/>
        <c:minorTickMark val="none"/>
        <c:tickLblPos val="nextTo"/>
        <c:crossAx val="424823040"/>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Responses (%)  n = 215</c:v>
                </c:pt>
              </c:strCache>
            </c:strRef>
          </c:tx>
          <c:invertIfNegative val="0"/>
          <c:dLbls>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A month or less</c:v>
                </c:pt>
                <c:pt idx="1">
                  <c:v>2 to 3 months</c:v>
                </c:pt>
                <c:pt idx="2">
                  <c:v>4 to 6 months</c:v>
                </c:pt>
                <c:pt idx="3">
                  <c:v>7 to 9 months</c:v>
                </c:pt>
                <c:pt idx="4">
                  <c:v>10 to 12 months</c:v>
                </c:pt>
                <c:pt idx="5">
                  <c:v>More than a year</c:v>
                </c:pt>
              </c:strCache>
            </c:strRef>
          </c:cat>
          <c:val>
            <c:numRef>
              <c:f>Sheet1!$B$2:$B$7</c:f>
              <c:numCache>
                <c:formatCode>General</c:formatCode>
                <c:ptCount val="6"/>
                <c:pt idx="0">
                  <c:v>5.7</c:v>
                </c:pt>
                <c:pt idx="1">
                  <c:v>8.2900000000000009</c:v>
                </c:pt>
                <c:pt idx="2">
                  <c:v>13.47</c:v>
                </c:pt>
                <c:pt idx="3">
                  <c:v>6.22</c:v>
                </c:pt>
                <c:pt idx="4">
                  <c:v>16.579999999999988</c:v>
                </c:pt>
                <c:pt idx="5">
                  <c:v>49.74</c:v>
                </c:pt>
              </c:numCache>
            </c:numRef>
          </c:val>
          <c:extLst xmlns:c16r2="http://schemas.microsoft.com/office/drawing/2015/06/chart">
            <c:ext xmlns:c16="http://schemas.microsoft.com/office/drawing/2014/chart" uri="{C3380CC4-5D6E-409C-BE32-E72D297353CC}">
              <c16:uniqueId val="{00000000-A728-411B-8D02-D52AE0ABB267}"/>
            </c:ext>
          </c:extLst>
        </c:ser>
        <c:dLbls>
          <c:showLegendKey val="0"/>
          <c:showVal val="1"/>
          <c:showCatName val="0"/>
          <c:showSerName val="0"/>
          <c:showPercent val="0"/>
          <c:showBubbleSize val="0"/>
        </c:dLbls>
        <c:gapWidth val="150"/>
        <c:axId val="420999936"/>
        <c:axId val="421814272"/>
      </c:barChart>
      <c:catAx>
        <c:axId val="420999936"/>
        <c:scaling>
          <c:orientation val="minMax"/>
        </c:scaling>
        <c:delete val="0"/>
        <c:axPos val="l"/>
        <c:title>
          <c:tx>
            <c:rich>
              <a:bodyPr rot="-5400000" vert="horz"/>
              <a:lstStyle/>
              <a:p>
                <a:pPr>
                  <a:defRPr/>
                </a:pPr>
                <a:r>
                  <a:rPr lang="en-US"/>
                  <a:t>Length of Time Providing Care</a:t>
                </a:r>
              </a:p>
            </c:rich>
          </c:tx>
          <c:overlay val="0"/>
        </c:title>
        <c:numFmt formatCode="General" sourceLinked="0"/>
        <c:majorTickMark val="out"/>
        <c:minorTickMark val="none"/>
        <c:tickLblPos val="nextTo"/>
        <c:crossAx val="421814272"/>
        <c:crosses val="autoZero"/>
        <c:auto val="1"/>
        <c:lblAlgn val="ctr"/>
        <c:lblOffset val="100"/>
        <c:noMultiLvlLbl val="0"/>
      </c:catAx>
      <c:valAx>
        <c:axId val="421814272"/>
        <c:scaling>
          <c:orientation val="minMax"/>
        </c:scaling>
        <c:delete val="0"/>
        <c:axPos val="b"/>
        <c:majorGridlines/>
        <c:numFmt formatCode="General" sourceLinked="1"/>
        <c:majorTickMark val="out"/>
        <c:minorTickMark val="none"/>
        <c:tickLblPos val="nextTo"/>
        <c:crossAx val="420999936"/>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218</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Severely dependent</c:v>
                </c:pt>
                <c:pt idx="1">
                  <c:v>Moderately dependent</c:v>
                </c:pt>
                <c:pt idx="2">
                  <c:v>Slightly dependent</c:v>
                </c:pt>
                <c:pt idx="3">
                  <c:v>Independent</c:v>
                </c:pt>
              </c:strCache>
            </c:strRef>
          </c:cat>
          <c:val>
            <c:numRef>
              <c:f>Sheet1!$B$2:$B$5</c:f>
              <c:numCache>
                <c:formatCode>General</c:formatCode>
                <c:ptCount val="4"/>
                <c:pt idx="0">
                  <c:v>35.32</c:v>
                </c:pt>
                <c:pt idx="1">
                  <c:v>34.86</c:v>
                </c:pt>
                <c:pt idx="2">
                  <c:v>15.139999999999999</c:v>
                </c:pt>
                <c:pt idx="3">
                  <c:v>14.68</c:v>
                </c:pt>
              </c:numCache>
            </c:numRef>
          </c:val>
          <c:extLst xmlns:c16r2="http://schemas.microsoft.com/office/drawing/2015/06/chart">
            <c:ext xmlns:c16="http://schemas.microsoft.com/office/drawing/2014/chart" uri="{C3380CC4-5D6E-409C-BE32-E72D297353CC}">
              <c16:uniqueId val="{00000000-C1E4-4505-B159-E63D1459F5FF}"/>
            </c:ext>
          </c:extLst>
        </c:ser>
        <c:dLbls>
          <c:showLegendKey val="0"/>
          <c:showVal val="0"/>
          <c:showCatName val="0"/>
          <c:showSerName val="0"/>
          <c:showPercent val="0"/>
          <c:showBubbleSize val="0"/>
        </c:dLbls>
        <c:gapWidth val="150"/>
        <c:axId val="481743232"/>
        <c:axId val="481745152"/>
      </c:barChart>
      <c:catAx>
        <c:axId val="481743232"/>
        <c:scaling>
          <c:orientation val="minMax"/>
        </c:scaling>
        <c:delete val="0"/>
        <c:axPos val="l"/>
        <c:title>
          <c:tx>
            <c:rich>
              <a:bodyPr rot="-5400000" vert="horz"/>
              <a:lstStyle/>
              <a:p>
                <a:pPr>
                  <a:defRPr/>
                </a:pPr>
                <a:r>
                  <a:rPr lang="en-US"/>
                  <a:t>Highest Level of Dependence</a:t>
                </a:r>
              </a:p>
            </c:rich>
          </c:tx>
          <c:layout>
            <c:manualLayout>
              <c:xMode val="edge"/>
              <c:yMode val="edge"/>
              <c:x val="1.3888888888889051E-2"/>
              <c:y val="0.1462167229096363"/>
            </c:manualLayout>
          </c:layout>
          <c:overlay val="0"/>
        </c:title>
        <c:numFmt formatCode="General" sourceLinked="0"/>
        <c:majorTickMark val="out"/>
        <c:minorTickMark val="none"/>
        <c:tickLblPos val="nextTo"/>
        <c:crossAx val="481745152"/>
        <c:crosses val="autoZero"/>
        <c:auto val="1"/>
        <c:lblAlgn val="ctr"/>
        <c:lblOffset val="100"/>
        <c:noMultiLvlLbl val="0"/>
      </c:catAx>
      <c:valAx>
        <c:axId val="481745152"/>
        <c:scaling>
          <c:orientation val="minMax"/>
        </c:scaling>
        <c:delete val="0"/>
        <c:axPos val="b"/>
        <c:majorGridlines/>
        <c:numFmt formatCode="General" sourceLinked="1"/>
        <c:majorTickMark val="out"/>
        <c:minorTickMark val="none"/>
        <c:tickLblPos val="nextTo"/>
        <c:crossAx val="48174323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215</c:v>
                </c:pt>
              </c:strCache>
            </c:strRef>
          </c:tx>
          <c:invertIfNegative val="0"/>
          <c:dLbls>
            <c:dLbl>
              <c:idx val="8"/>
              <c:layout>
                <c:manualLayout>
                  <c:x val="-3.9930097604977052E-2"/>
                  <c:y val="0"/>
                </c:manualLayout>
              </c:layout>
              <c:tx>
                <c:rich>
                  <a:bodyPr/>
                  <a:lstStyle/>
                  <a:p>
                    <a:r>
                      <a:rPr lang="en-US" sz="700">
                        <a:solidFill>
                          <a:schemeClr val="bg1"/>
                        </a:solidFill>
                      </a:rPr>
                      <a:t>0.84</a:t>
                    </a:r>
                    <a:endParaRPr lang="en-US" sz="900">
                      <a:solidFill>
                        <a:schemeClr val="bg1"/>
                      </a:solidFill>
                    </a:endParaRP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25-4311-B499-8F1C804222F2}"/>
                </c:ext>
                <c:ext xmlns:c15="http://schemas.microsoft.com/office/drawing/2012/chart" uri="{CE6537A1-D6FC-4f65-9D91-7224C49458BB}"/>
              </c:extLst>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Sheet1!$A$2:$A$16</c:f>
              <c:strCache>
                <c:ptCount val="15"/>
                <c:pt idx="0">
                  <c:v>Other (please specify in box below)</c:v>
                </c:pt>
                <c:pt idx="1">
                  <c:v>Alzheimer's disease</c:v>
                </c:pt>
                <c:pt idx="2">
                  <c:v>Arthritis</c:v>
                </c:pt>
                <c:pt idx="3">
                  <c:v>Behaviour problem</c:v>
                </c:pt>
                <c:pt idx="4">
                  <c:v>Cancer</c:v>
                </c:pt>
                <c:pt idx="5">
                  <c:v>Diabetes</c:v>
                </c:pt>
                <c:pt idx="6">
                  <c:v>Heart disease</c:v>
                </c:pt>
                <c:pt idx="7">
                  <c:v>Hypertension (High blood pressure)</c:v>
                </c:pt>
                <c:pt idx="8">
                  <c:v>Influenza/Pneumonia</c:v>
                </c:pt>
                <c:pt idx="9">
                  <c:v>Memory problem</c:v>
                </c:pt>
                <c:pt idx="10">
                  <c:v>Parkinson's disease</c:v>
                </c:pt>
                <c:pt idx="11">
                  <c:v>Renal (kidney) disease</c:v>
                </c:pt>
                <c:pt idx="12">
                  <c:v>Stroke</c:v>
                </c:pt>
                <c:pt idx="13">
                  <c:v>Vision loss</c:v>
                </c:pt>
                <c:pt idx="14">
                  <c:v>Hearing loss</c:v>
                </c:pt>
              </c:strCache>
            </c:strRef>
          </c:cat>
          <c:val>
            <c:numRef>
              <c:f>Sheet1!$B$2:$B$16</c:f>
              <c:numCache>
                <c:formatCode>General</c:formatCode>
                <c:ptCount val="15"/>
                <c:pt idx="0">
                  <c:v>4</c:v>
                </c:pt>
                <c:pt idx="1">
                  <c:v>6.53</c:v>
                </c:pt>
                <c:pt idx="2">
                  <c:v>8.84</c:v>
                </c:pt>
                <c:pt idx="3">
                  <c:v>4.84</c:v>
                </c:pt>
                <c:pt idx="4">
                  <c:v>5.05</c:v>
                </c:pt>
                <c:pt idx="5">
                  <c:v>14.53</c:v>
                </c:pt>
                <c:pt idx="6">
                  <c:v>6.1099999999999985</c:v>
                </c:pt>
                <c:pt idx="7">
                  <c:v>15.58</c:v>
                </c:pt>
                <c:pt idx="8">
                  <c:v>0.84000000000000064</c:v>
                </c:pt>
                <c:pt idx="9">
                  <c:v>8.2100000000000009</c:v>
                </c:pt>
                <c:pt idx="10">
                  <c:v>1.8900000000000001</c:v>
                </c:pt>
                <c:pt idx="11">
                  <c:v>2.9499999999999997</c:v>
                </c:pt>
                <c:pt idx="12">
                  <c:v>8.629999999999999</c:v>
                </c:pt>
                <c:pt idx="13">
                  <c:v>8.2100000000000009</c:v>
                </c:pt>
                <c:pt idx="14">
                  <c:v>3.79</c:v>
                </c:pt>
              </c:numCache>
            </c:numRef>
          </c:val>
          <c:extLst xmlns:c16r2="http://schemas.microsoft.com/office/drawing/2015/06/chart">
            <c:ext xmlns:c16="http://schemas.microsoft.com/office/drawing/2014/chart" uri="{C3380CC4-5D6E-409C-BE32-E72D297353CC}">
              <c16:uniqueId val="{00000001-7425-4311-B499-8F1C804222F2}"/>
            </c:ext>
          </c:extLst>
        </c:ser>
        <c:dLbls>
          <c:showLegendKey val="0"/>
          <c:showVal val="0"/>
          <c:showCatName val="0"/>
          <c:showSerName val="0"/>
          <c:showPercent val="0"/>
          <c:showBubbleSize val="0"/>
        </c:dLbls>
        <c:gapWidth val="150"/>
        <c:axId val="484047872"/>
        <c:axId val="519447296"/>
      </c:barChart>
      <c:catAx>
        <c:axId val="484047872"/>
        <c:scaling>
          <c:orientation val="minMax"/>
        </c:scaling>
        <c:delete val="0"/>
        <c:axPos val="l"/>
        <c:numFmt formatCode="General" sourceLinked="0"/>
        <c:majorTickMark val="out"/>
        <c:minorTickMark val="none"/>
        <c:tickLblPos val="nextTo"/>
        <c:crossAx val="519447296"/>
        <c:crosses val="autoZero"/>
        <c:auto val="1"/>
        <c:lblAlgn val="ctr"/>
        <c:lblOffset val="100"/>
        <c:noMultiLvlLbl val="0"/>
      </c:catAx>
      <c:valAx>
        <c:axId val="519447296"/>
        <c:scaling>
          <c:orientation val="minMax"/>
        </c:scaling>
        <c:delete val="0"/>
        <c:axPos val="b"/>
        <c:majorGridlines/>
        <c:numFmt formatCode="General" sourceLinked="1"/>
        <c:majorTickMark val="out"/>
        <c:minorTickMark val="none"/>
        <c:tickLblPos val="nextTo"/>
        <c:crossAx val="484047872"/>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n=220</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None of the Above</c:v>
                </c:pt>
                <c:pt idx="1">
                  <c:v>Other</c:v>
                </c:pt>
                <c:pt idx="2">
                  <c:v>Feeding</c:v>
                </c:pt>
                <c:pt idx="3">
                  <c:v>Dressing/Grooming</c:v>
                </c:pt>
                <c:pt idx="4">
                  <c:v>Bathing (Shower / Sponge Bath) </c:v>
                </c:pt>
                <c:pt idx="5">
                  <c:v>Toileting</c:v>
                </c:pt>
                <c:pt idx="6">
                  <c:v>Mouth Care</c:v>
                </c:pt>
              </c:strCache>
            </c:strRef>
          </c:cat>
          <c:val>
            <c:numRef>
              <c:f>Sheet1!$B$2:$B$8</c:f>
              <c:numCache>
                <c:formatCode>General</c:formatCode>
                <c:ptCount val="7"/>
                <c:pt idx="0">
                  <c:v>3.9899999999999998</c:v>
                </c:pt>
                <c:pt idx="1">
                  <c:v>3.67</c:v>
                </c:pt>
                <c:pt idx="2">
                  <c:v>23.32</c:v>
                </c:pt>
                <c:pt idx="3">
                  <c:v>24.759999999999987</c:v>
                </c:pt>
                <c:pt idx="4">
                  <c:v>19.010000000000005</c:v>
                </c:pt>
                <c:pt idx="5">
                  <c:v>14.860000000000024</c:v>
                </c:pt>
                <c:pt idx="6">
                  <c:v>10.38</c:v>
                </c:pt>
              </c:numCache>
            </c:numRef>
          </c:val>
          <c:extLst xmlns:c16r2="http://schemas.microsoft.com/office/drawing/2015/06/chart">
            <c:ext xmlns:c16="http://schemas.microsoft.com/office/drawing/2014/chart" uri="{C3380CC4-5D6E-409C-BE32-E72D297353CC}">
              <c16:uniqueId val="{00000000-5B6F-43A1-9380-9ECE2C3E406A}"/>
            </c:ext>
          </c:extLst>
        </c:ser>
        <c:dLbls>
          <c:showLegendKey val="0"/>
          <c:showVal val="1"/>
          <c:showCatName val="0"/>
          <c:showSerName val="0"/>
          <c:showPercent val="0"/>
          <c:showBubbleSize val="0"/>
        </c:dLbls>
        <c:gapWidth val="150"/>
        <c:axId val="522752000"/>
        <c:axId val="522755072"/>
      </c:barChart>
      <c:catAx>
        <c:axId val="522752000"/>
        <c:scaling>
          <c:orientation val="minMax"/>
        </c:scaling>
        <c:delete val="0"/>
        <c:axPos val="l"/>
        <c:title>
          <c:tx>
            <c:rich>
              <a:bodyPr rot="-5400000" vert="horz"/>
              <a:lstStyle/>
              <a:p>
                <a:pPr>
                  <a:defRPr/>
                </a:pPr>
                <a:r>
                  <a:rPr lang="en-US"/>
                  <a:t>Personal Care Tasks</a:t>
                </a:r>
              </a:p>
            </c:rich>
          </c:tx>
          <c:layout>
            <c:manualLayout>
              <c:xMode val="edge"/>
              <c:yMode val="edge"/>
              <c:x val="5.6635922725316673E-2"/>
              <c:y val="0.45000046813411132"/>
            </c:manualLayout>
          </c:layout>
          <c:overlay val="0"/>
        </c:title>
        <c:numFmt formatCode="General" sourceLinked="0"/>
        <c:majorTickMark val="none"/>
        <c:minorTickMark val="none"/>
        <c:tickLblPos val="nextTo"/>
        <c:crossAx val="522755072"/>
        <c:crosses val="autoZero"/>
        <c:auto val="1"/>
        <c:lblAlgn val="ctr"/>
        <c:lblOffset val="100"/>
        <c:noMultiLvlLbl val="0"/>
      </c:catAx>
      <c:valAx>
        <c:axId val="522755072"/>
        <c:scaling>
          <c:orientation val="minMax"/>
        </c:scaling>
        <c:delete val="0"/>
        <c:axPos val="b"/>
        <c:majorGridlines/>
        <c:numFmt formatCode="General" sourceLinked="1"/>
        <c:majorTickMark val="none"/>
        <c:minorTickMark val="none"/>
        <c:tickLblPos val="nextTo"/>
        <c:crossAx val="522752000"/>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n=223</c:v>
                </c:pt>
              </c:strCache>
            </c:strRef>
          </c:tx>
          <c:invertIfNegative val="0"/>
          <c:dLbls>
            <c:dLbl>
              <c:idx val="0"/>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dLbl>
              <c:idx val="1"/>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Sheet1!$A$2:$A$17</c:f>
              <c:strCache>
                <c:ptCount val="16"/>
                <c:pt idx="0">
                  <c:v>None of the above</c:v>
                </c:pt>
                <c:pt idx="1">
                  <c:v>Other (please specify in box below)</c:v>
                </c:pt>
                <c:pt idx="2">
                  <c:v>Arrange/Accompany to Medical &amp; Other Appointments</c:v>
                </c:pt>
                <c:pt idx="3">
                  <c:v>Shop / Errands</c:v>
                </c:pt>
                <c:pt idx="4">
                  <c:v>Laundry</c:v>
                </c:pt>
                <c:pt idx="5">
                  <c:v>House Cleaning</c:v>
                </c:pt>
                <c:pt idx="6">
                  <c:v>Yard-work e.g. gardening</c:v>
                </c:pt>
                <c:pt idx="7">
                  <c:v>Help with everyday devices</c:v>
                </c:pt>
                <c:pt idx="8">
                  <c:v>Give / Manage Medication</c:v>
                </c:pt>
                <c:pt idx="9">
                  <c:v>Give Finances</c:v>
                </c:pt>
                <c:pt idx="10">
                  <c:v>Manage Finances / Legal Services</c:v>
                </c:pt>
                <c:pt idx="11">
                  <c:v>Drive / Help with Transportation</c:v>
                </c:pt>
                <c:pt idx="12">
                  <c:v>Cook/ Prepare Meals</c:v>
                </c:pt>
                <c:pt idx="13">
                  <c:v>Help with Pets</c:v>
                </c:pt>
                <c:pt idx="14">
                  <c:v>Supervise Paid Caregivers</c:v>
                </c:pt>
                <c:pt idx="15">
                  <c:v>Supervise Family Caregivers</c:v>
                </c:pt>
              </c:strCache>
            </c:strRef>
          </c:cat>
          <c:val>
            <c:numRef>
              <c:f>Sheet1!$B$2:$B$17</c:f>
              <c:numCache>
                <c:formatCode>General</c:formatCode>
                <c:ptCount val="16"/>
                <c:pt idx="0">
                  <c:v>0</c:v>
                </c:pt>
                <c:pt idx="1">
                  <c:v>0.22</c:v>
                </c:pt>
                <c:pt idx="2">
                  <c:v>11.370000000000006</c:v>
                </c:pt>
                <c:pt idx="3">
                  <c:v>10.93</c:v>
                </c:pt>
                <c:pt idx="4">
                  <c:v>9.61</c:v>
                </c:pt>
                <c:pt idx="5">
                  <c:v>10.27</c:v>
                </c:pt>
                <c:pt idx="6">
                  <c:v>4.04</c:v>
                </c:pt>
                <c:pt idx="7">
                  <c:v>7.41</c:v>
                </c:pt>
                <c:pt idx="8">
                  <c:v>10.050000000000002</c:v>
                </c:pt>
                <c:pt idx="9">
                  <c:v>4.1099999999999985</c:v>
                </c:pt>
                <c:pt idx="10">
                  <c:v>5.21</c:v>
                </c:pt>
                <c:pt idx="11">
                  <c:v>7.85</c:v>
                </c:pt>
                <c:pt idx="12">
                  <c:v>10.639999999999999</c:v>
                </c:pt>
                <c:pt idx="13">
                  <c:v>2.13</c:v>
                </c:pt>
                <c:pt idx="14">
                  <c:v>4.55</c:v>
                </c:pt>
                <c:pt idx="15">
                  <c:v>1.61</c:v>
                </c:pt>
              </c:numCache>
            </c:numRef>
          </c:val>
          <c:extLst xmlns:c16r2="http://schemas.microsoft.com/office/drawing/2015/06/chart">
            <c:ext xmlns:c16="http://schemas.microsoft.com/office/drawing/2014/chart" uri="{C3380CC4-5D6E-409C-BE32-E72D297353CC}">
              <c16:uniqueId val="{00000002-3375-4F10-8622-E514365E3078}"/>
            </c:ext>
          </c:extLst>
        </c:ser>
        <c:dLbls>
          <c:showLegendKey val="0"/>
          <c:showVal val="1"/>
          <c:showCatName val="0"/>
          <c:showSerName val="0"/>
          <c:showPercent val="0"/>
          <c:showBubbleSize val="0"/>
        </c:dLbls>
        <c:gapWidth val="150"/>
        <c:axId val="524046336"/>
        <c:axId val="524048256"/>
      </c:barChart>
      <c:catAx>
        <c:axId val="524046336"/>
        <c:scaling>
          <c:orientation val="minMax"/>
        </c:scaling>
        <c:delete val="0"/>
        <c:axPos val="l"/>
        <c:title>
          <c:tx>
            <c:rich>
              <a:bodyPr rot="-5400000" vert="horz"/>
              <a:lstStyle/>
              <a:p>
                <a:pPr>
                  <a:defRPr/>
                </a:pPr>
                <a:r>
                  <a:rPr lang="en-US"/>
                  <a:t>General Caregiving Tasks</a:t>
                </a:r>
              </a:p>
            </c:rich>
          </c:tx>
          <c:overlay val="0"/>
        </c:title>
        <c:numFmt formatCode="General" sourceLinked="0"/>
        <c:majorTickMark val="out"/>
        <c:minorTickMark val="none"/>
        <c:tickLblPos val="nextTo"/>
        <c:crossAx val="524048256"/>
        <c:crosses val="autoZero"/>
        <c:auto val="1"/>
        <c:lblAlgn val="ctr"/>
        <c:lblOffset val="100"/>
        <c:noMultiLvlLbl val="0"/>
      </c:catAx>
      <c:valAx>
        <c:axId val="524048256"/>
        <c:scaling>
          <c:orientation val="minMax"/>
        </c:scaling>
        <c:delete val="0"/>
        <c:axPos val="b"/>
        <c:majorGridlines/>
        <c:numFmt formatCode="General" sourceLinked="1"/>
        <c:majorTickMark val="out"/>
        <c:minorTickMark val="none"/>
        <c:tickLblPos val="nextTo"/>
        <c:crossAx val="524046336"/>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215</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Often</c:v>
                </c:pt>
                <c:pt idx="1">
                  <c:v>Sometimes</c:v>
                </c:pt>
                <c:pt idx="2">
                  <c:v>Rarely</c:v>
                </c:pt>
                <c:pt idx="3">
                  <c:v>Never</c:v>
                </c:pt>
              </c:strCache>
            </c:strRef>
          </c:cat>
          <c:val>
            <c:numRef>
              <c:f>Sheet1!$B$2:$B$5</c:f>
              <c:numCache>
                <c:formatCode>General</c:formatCode>
                <c:ptCount val="4"/>
                <c:pt idx="0">
                  <c:v>27.439999999999987</c:v>
                </c:pt>
                <c:pt idx="1">
                  <c:v>32.56</c:v>
                </c:pt>
                <c:pt idx="2">
                  <c:v>26.51</c:v>
                </c:pt>
                <c:pt idx="3">
                  <c:v>13.49</c:v>
                </c:pt>
              </c:numCache>
            </c:numRef>
          </c:val>
          <c:extLst xmlns:c16r2="http://schemas.microsoft.com/office/drawing/2015/06/chart">
            <c:ext xmlns:c16="http://schemas.microsoft.com/office/drawing/2014/chart" uri="{C3380CC4-5D6E-409C-BE32-E72D297353CC}">
              <c16:uniqueId val="{00000000-E24B-4F1A-887B-53E1715B83F0}"/>
            </c:ext>
          </c:extLst>
        </c:ser>
        <c:dLbls>
          <c:showLegendKey val="0"/>
          <c:showVal val="1"/>
          <c:showCatName val="0"/>
          <c:showSerName val="0"/>
          <c:showPercent val="0"/>
          <c:showBubbleSize val="0"/>
        </c:dLbls>
        <c:gapWidth val="150"/>
        <c:axId val="557839488"/>
        <c:axId val="559022464"/>
      </c:barChart>
      <c:catAx>
        <c:axId val="557839488"/>
        <c:scaling>
          <c:orientation val="minMax"/>
        </c:scaling>
        <c:delete val="0"/>
        <c:axPos val="l"/>
        <c:title>
          <c:tx>
            <c:rich>
              <a:bodyPr rot="-5400000" vert="horz"/>
              <a:lstStyle/>
              <a:p>
                <a:pPr>
                  <a:defRPr/>
                </a:pPr>
                <a:r>
                  <a:rPr lang="en-US"/>
                  <a:t>Public</a:t>
                </a:r>
                <a:r>
                  <a:rPr lang="en-US" baseline="0"/>
                  <a:t> Health Use</a:t>
                </a:r>
                <a:endParaRPr lang="en-US"/>
              </a:p>
            </c:rich>
          </c:tx>
          <c:layout>
            <c:manualLayout>
              <c:xMode val="edge"/>
              <c:yMode val="edge"/>
              <c:x val="1.8518518518518674E-2"/>
              <c:y val="9.3413635795525488E-2"/>
            </c:manualLayout>
          </c:layout>
          <c:overlay val="0"/>
        </c:title>
        <c:numFmt formatCode="General" sourceLinked="0"/>
        <c:majorTickMark val="out"/>
        <c:minorTickMark val="none"/>
        <c:tickLblPos val="nextTo"/>
        <c:crossAx val="559022464"/>
        <c:crosses val="autoZero"/>
        <c:auto val="1"/>
        <c:lblAlgn val="ctr"/>
        <c:lblOffset val="100"/>
        <c:noMultiLvlLbl val="0"/>
      </c:catAx>
      <c:valAx>
        <c:axId val="559022464"/>
        <c:scaling>
          <c:orientation val="minMax"/>
        </c:scaling>
        <c:delete val="0"/>
        <c:axPos val="b"/>
        <c:majorGridlines/>
        <c:numFmt formatCode="General" sourceLinked="1"/>
        <c:majorTickMark val="out"/>
        <c:minorTickMark val="none"/>
        <c:tickLblPos val="nextTo"/>
        <c:crossAx val="557839488"/>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215</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Often</c:v>
                </c:pt>
                <c:pt idx="1">
                  <c:v>Sometimes</c:v>
                </c:pt>
                <c:pt idx="2">
                  <c:v>Rarely</c:v>
                </c:pt>
                <c:pt idx="3">
                  <c:v>Never</c:v>
                </c:pt>
              </c:strCache>
            </c:strRef>
          </c:cat>
          <c:val>
            <c:numRef>
              <c:f>Sheet1!$B$2:$B$5</c:f>
              <c:numCache>
                <c:formatCode>General</c:formatCode>
                <c:ptCount val="4"/>
                <c:pt idx="0">
                  <c:v>32.090000000000003</c:v>
                </c:pt>
                <c:pt idx="1">
                  <c:v>39.07</c:v>
                </c:pt>
                <c:pt idx="2">
                  <c:v>21.4</c:v>
                </c:pt>
                <c:pt idx="3">
                  <c:v>7.44</c:v>
                </c:pt>
              </c:numCache>
            </c:numRef>
          </c:val>
          <c:extLst xmlns:c16r2="http://schemas.microsoft.com/office/drawing/2015/06/chart">
            <c:ext xmlns:c16="http://schemas.microsoft.com/office/drawing/2014/chart" uri="{C3380CC4-5D6E-409C-BE32-E72D297353CC}">
              <c16:uniqueId val="{00000000-0CE3-4AC4-83A6-D02AB4115B0E}"/>
            </c:ext>
          </c:extLst>
        </c:ser>
        <c:dLbls>
          <c:showLegendKey val="0"/>
          <c:showVal val="0"/>
          <c:showCatName val="0"/>
          <c:showSerName val="0"/>
          <c:showPercent val="0"/>
          <c:showBubbleSize val="0"/>
        </c:dLbls>
        <c:gapWidth val="150"/>
        <c:axId val="559063808"/>
        <c:axId val="559065728"/>
      </c:barChart>
      <c:catAx>
        <c:axId val="559063808"/>
        <c:scaling>
          <c:orientation val="minMax"/>
        </c:scaling>
        <c:delete val="0"/>
        <c:axPos val="l"/>
        <c:title>
          <c:tx>
            <c:rich>
              <a:bodyPr rot="-5400000" vert="horz"/>
              <a:lstStyle/>
              <a:p>
                <a:pPr>
                  <a:defRPr/>
                </a:pPr>
                <a:r>
                  <a:rPr lang="en-US"/>
                  <a:t>Private Health Use</a:t>
                </a:r>
              </a:p>
            </c:rich>
          </c:tx>
          <c:layout>
            <c:manualLayout>
              <c:xMode val="edge"/>
              <c:yMode val="edge"/>
              <c:x val="3.0092592592592591E-2"/>
              <c:y val="9.6687289088863898E-2"/>
            </c:manualLayout>
          </c:layout>
          <c:overlay val="0"/>
        </c:title>
        <c:numFmt formatCode="General" sourceLinked="0"/>
        <c:majorTickMark val="out"/>
        <c:minorTickMark val="none"/>
        <c:tickLblPos val="nextTo"/>
        <c:crossAx val="559065728"/>
        <c:crosses val="autoZero"/>
        <c:auto val="1"/>
        <c:lblAlgn val="ctr"/>
        <c:lblOffset val="100"/>
        <c:noMultiLvlLbl val="0"/>
      </c:catAx>
      <c:valAx>
        <c:axId val="559065728"/>
        <c:scaling>
          <c:orientation val="minMax"/>
        </c:scaling>
        <c:delete val="0"/>
        <c:axPos val="b"/>
        <c:majorGridlines/>
        <c:numFmt formatCode="General" sourceLinked="1"/>
        <c:majorTickMark val="out"/>
        <c:minorTickMark val="none"/>
        <c:tickLblPos val="nextTo"/>
        <c:crossAx val="559063808"/>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179</c:v>
                </c:pt>
              </c:strCache>
            </c:strRef>
          </c:tx>
          <c:invertIfNegative val="0"/>
          <c:dLbls>
            <c:numFmt formatCode="#,##0" sourceLinked="0"/>
            <c:spPr>
              <a:noFill/>
              <a:ln>
                <a:noFill/>
              </a:ln>
              <a:effectLst/>
            </c:spPr>
            <c:txPr>
              <a:bodyPr/>
              <a:lstStyle/>
              <a:p>
                <a:pPr>
                  <a:defRPr i="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Help to make elder's environment more suitable for caring</c:v>
                </c:pt>
                <c:pt idx="1">
                  <c:v>In Home Health care support services for elder e.g. visiting nurse or doctor</c:v>
                </c:pt>
                <c:pt idx="2">
                  <c:v>Information about the disease/health challenge that elder has</c:v>
                </c:pt>
                <c:pt idx="3">
                  <c:v>Opportunities for elder to undertake activities they enjoy</c:v>
                </c:pt>
                <c:pt idx="4">
                  <c:v>More money given to elder to get good care</c:v>
                </c:pt>
                <c:pt idx="5">
                  <c:v>Help with nutrition/meals for elder in his/her own home</c:v>
                </c:pt>
                <c:pt idx="6">
                  <c:v>Help with transportation needs of elder</c:v>
                </c:pt>
                <c:pt idx="7">
                  <c:v>Help with identifying and selecting nonfamily members as caregivers</c:v>
                </c:pt>
              </c:strCache>
            </c:strRef>
          </c:cat>
          <c:val>
            <c:numRef>
              <c:f>Sheet1!$B$2:$B$9</c:f>
              <c:numCache>
                <c:formatCode>General</c:formatCode>
                <c:ptCount val="8"/>
                <c:pt idx="0">
                  <c:v>12.91</c:v>
                </c:pt>
                <c:pt idx="1">
                  <c:v>16.45</c:v>
                </c:pt>
                <c:pt idx="2">
                  <c:v>11.49</c:v>
                </c:pt>
                <c:pt idx="3">
                  <c:v>13.76</c:v>
                </c:pt>
                <c:pt idx="4">
                  <c:v>12.34</c:v>
                </c:pt>
                <c:pt idx="5">
                  <c:v>11.209999999999999</c:v>
                </c:pt>
                <c:pt idx="6">
                  <c:v>12.48</c:v>
                </c:pt>
                <c:pt idx="7">
                  <c:v>9.3600000000000048</c:v>
                </c:pt>
              </c:numCache>
            </c:numRef>
          </c:val>
          <c:extLst xmlns:c16r2="http://schemas.microsoft.com/office/drawing/2015/06/chart">
            <c:ext xmlns:c16="http://schemas.microsoft.com/office/drawing/2014/chart" uri="{C3380CC4-5D6E-409C-BE32-E72D297353CC}">
              <c16:uniqueId val="{00000000-926D-4058-BC96-04902E46CDB4}"/>
            </c:ext>
          </c:extLst>
        </c:ser>
        <c:dLbls>
          <c:showLegendKey val="0"/>
          <c:showVal val="0"/>
          <c:showCatName val="0"/>
          <c:showSerName val="0"/>
          <c:showPercent val="0"/>
          <c:showBubbleSize val="0"/>
        </c:dLbls>
        <c:gapWidth val="150"/>
        <c:axId val="519766016"/>
        <c:axId val="519767936"/>
      </c:barChart>
      <c:catAx>
        <c:axId val="519766016"/>
        <c:scaling>
          <c:orientation val="minMax"/>
        </c:scaling>
        <c:delete val="0"/>
        <c:axPos val="l"/>
        <c:title>
          <c:tx>
            <c:rich>
              <a:bodyPr rot="-5400000" vert="horz"/>
              <a:lstStyle/>
              <a:p>
                <a:pPr>
                  <a:defRPr/>
                </a:pPr>
                <a:r>
                  <a:rPr lang="en-US"/>
                  <a:t>Older Relative Service Needs</a:t>
                </a:r>
              </a:p>
            </c:rich>
          </c:tx>
          <c:layout>
            <c:manualLayout>
              <c:xMode val="edge"/>
              <c:yMode val="edge"/>
              <c:x val="1.4539930591048958E-2"/>
              <c:y val="0.16180247376006646"/>
            </c:manualLayout>
          </c:layout>
          <c:overlay val="0"/>
        </c:title>
        <c:numFmt formatCode="General" sourceLinked="0"/>
        <c:majorTickMark val="out"/>
        <c:minorTickMark val="none"/>
        <c:tickLblPos val="nextTo"/>
        <c:crossAx val="519767936"/>
        <c:crosses val="autoZero"/>
        <c:auto val="1"/>
        <c:lblAlgn val="ctr"/>
        <c:lblOffset val="100"/>
        <c:noMultiLvlLbl val="0"/>
      </c:catAx>
      <c:valAx>
        <c:axId val="519767936"/>
        <c:scaling>
          <c:orientation val="minMax"/>
        </c:scaling>
        <c:delete val="0"/>
        <c:axPos val="b"/>
        <c:majorGridlines/>
        <c:numFmt formatCode="General" sourceLinked="1"/>
        <c:majorTickMark val="out"/>
        <c:minorTickMark val="none"/>
        <c:tickLblPos val="nextTo"/>
        <c:crossAx val="519766016"/>
        <c:crosses val="autoZero"/>
        <c:crossBetween val="between"/>
      </c:valAx>
    </c:plotArea>
    <c:legend>
      <c:legendPos val="b"/>
      <c:overlay val="0"/>
    </c:legend>
    <c:plotVisOnly val="1"/>
    <c:dispBlanksAs val="gap"/>
    <c:showDLblsOverMax val="0"/>
  </c:chart>
  <c:txPr>
    <a:bodyPr/>
    <a:lstStyle/>
    <a:p>
      <a:pPr>
        <a:defRPr i="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Survey (%); n = 199</c:v>
                </c:pt>
              </c:strCache>
            </c:strRef>
          </c:tx>
          <c:invertIfNegative val="0"/>
          <c:dLbls>
            <c:dLbl>
              <c:idx val="1"/>
              <c:layout>
                <c:manualLayout>
                  <c:x val="-3.185809034418739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CB9-4EAD-AB93-76F4D9922A05}"/>
                </c:ext>
                <c:ext xmlns:c15="http://schemas.microsoft.com/office/drawing/2012/chart" uri="{CE6537A1-D6FC-4f65-9D91-7224C49458BB}"/>
              </c:extLst>
            </c:dLbl>
            <c:dLbl>
              <c:idx val="3"/>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dLbl>
              <c:idx val="4"/>
              <c:layout>
                <c:manualLayout>
                  <c:x val="-2.2616967548008012E-2"/>
                  <c:y val="6.0251169710971032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CB9-4EAD-AB93-76F4D9922A05}"/>
                </c:ext>
                <c:ext xmlns:c15="http://schemas.microsoft.com/office/drawing/2012/chart" uri="{CE6537A1-D6FC-4f65-9D91-7224C49458BB}"/>
              </c:extLst>
            </c:dLbl>
            <c:dLbl>
              <c:idx val="5"/>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dLbl>
              <c:idx val="9"/>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dLbl>
              <c:idx val="10"/>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Not Stated</c:v>
                </c:pt>
                <c:pt idx="1">
                  <c:v>Other </c:v>
                </c:pt>
                <c:pt idx="2">
                  <c:v>African</c:v>
                </c:pt>
                <c:pt idx="3">
                  <c:v>Amerindian (Indigenous / First People)</c:v>
                </c:pt>
                <c:pt idx="4">
                  <c:v>Caucasian (White)</c:v>
                </c:pt>
                <c:pt idx="5">
                  <c:v>Chinese</c:v>
                </c:pt>
                <c:pt idx="6">
                  <c:v>East Indian</c:v>
                </c:pt>
                <c:pt idx="7">
                  <c:v>Mixed (African &amp; East Indian)</c:v>
                </c:pt>
                <c:pt idx="8">
                  <c:v>Mixed (Other)</c:v>
                </c:pt>
                <c:pt idx="9">
                  <c:v>Spanish / Portuguese</c:v>
                </c:pt>
                <c:pt idx="10">
                  <c:v>Syrian / Lebanese</c:v>
                </c:pt>
              </c:strCache>
            </c:strRef>
          </c:cat>
          <c:val>
            <c:numRef>
              <c:f>Sheet1!$B$2:$B$12</c:f>
              <c:numCache>
                <c:formatCode>General</c:formatCode>
                <c:ptCount val="11"/>
                <c:pt idx="0">
                  <c:v>4.0199999999999996</c:v>
                </c:pt>
                <c:pt idx="1">
                  <c:v>1.51</c:v>
                </c:pt>
                <c:pt idx="2">
                  <c:v>33.17</c:v>
                </c:pt>
                <c:pt idx="3">
                  <c:v>0</c:v>
                </c:pt>
                <c:pt idx="4">
                  <c:v>1.01</c:v>
                </c:pt>
                <c:pt idx="5">
                  <c:v>0</c:v>
                </c:pt>
                <c:pt idx="6">
                  <c:v>28.14</c:v>
                </c:pt>
                <c:pt idx="7">
                  <c:v>10.55</c:v>
                </c:pt>
                <c:pt idx="8">
                  <c:v>21.610000000000031</c:v>
                </c:pt>
                <c:pt idx="9">
                  <c:v>0</c:v>
                </c:pt>
                <c:pt idx="10">
                  <c:v>0</c:v>
                </c:pt>
              </c:numCache>
            </c:numRef>
          </c:val>
          <c:extLst xmlns:c16r2="http://schemas.microsoft.com/office/drawing/2015/06/chart">
            <c:ext xmlns:c16="http://schemas.microsoft.com/office/drawing/2014/chart" uri="{C3380CC4-5D6E-409C-BE32-E72D297353CC}">
              <c16:uniqueId val="{00000006-ECB9-4EAD-AB93-76F4D9922A05}"/>
            </c:ext>
          </c:extLst>
        </c:ser>
        <c:ser>
          <c:idx val="1"/>
          <c:order val="1"/>
          <c:tx>
            <c:strRef>
              <c:f>Sheet1!$C$1</c:f>
              <c:strCache>
                <c:ptCount val="1"/>
                <c:pt idx="0">
                  <c:v>Census (%); n = 1,322,546</c:v>
                </c:pt>
              </c:strCache>
            </c:strRef>
          </c:tx>
          <c:spPr>
            <a:pattFill prst="ltUpDiag">
              <a:fgClr>
                <a:schemeClr val="tx1"/>
              </a:fgClr>
              <a:bgClr>
                <a:schemeClr val="bg1"/>
              </a:bgClr>
            </a:pattFill>
          </c:spPr>
          <c:invertIfNegative val="0"/>
          <c:dLbls>
            <c:numFmt formatCode="#,##0" sourceLinked="0"/>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Not Stated</c:v>
                </c:pt>
                <c:pt idx="1">
                  <c:v>Other </c:v>
                </c:pt>
                <c:pt idx="2">
                  <c:v>African</c:v>
                </c:pt>
                <c:pt idx="3">
                  <c:v>Amerindian (Indigenous / First People)</c:v>
                </c:pt>
                <c:pt idx="4">
                  <c:v>Caucasian (White)</c:v>
                </c:pt>
                <c:pt idx="5">
                  <c:v>Chinese</c:v>
                </c:pt>
                <c:pt idx="6">
                  <c:v>East Indian</c:v>
                </c:pt>
                <c:pt idx="7">
                  <c:v>Mixed (African &amp; East Indian)</c:v>
                </c:pt>
                <c:pt idx="8">
                  <c:v>Mixed (Other)</c:v>
                </c:pt>
                <c:pt idx="9">
                  <c:v>Spanish / Portuguese</c:v>
                </c:pt>
                <c:pt idx="10">
                  <c:v>Syrian / Lebanese</c:v>
                </c:pt>
              </c:strCache>
            </c:strRef>
          </c:cat>
          <c:val>
            <c:numRef>
              <c:f>Sheet1!$C$2:$C$12</c:f>
              <c:numCache>
                <c:formatCode>General</c:formatCode>
                <c:ptCount val="11"/>
                <c:pt idx="0">
                  <c:v>6.22</c:v>
                </c:pt>
                <c:pt idx="1">
                  <c:v>0.17</c:v>
                </c:pt>
                <c:pt idx="2">
                  <c:v>34.220000000000013</c:v>
                </c:pt>
                <c:pt idx="3">
                  <c:v>0.11</c:v>
                </c:pt>
                <c:pt idx="4">
                  <c:v>0.59</c:v>
                </c:pt>
                <c:pt idx="5">
                  <c:v>0.30000000000000032</c:v>
                </c:pt>
                <c:pt idx="6">
                  <c:v>35.43</c:v>
                </c:pt>
                <c:pt idx="7">
                  <c:v>7.6599999999999975</c:v>
                </c:pt>
                <c:pt idx="8">
                  <c:v>15.16</c:v>
                </c:pt>
                <c:pt idx="9">
                  <c:v>6.0000000000000032E-2</c:v>
                </c:pt>
                <c:pt idx="10">
                  <c:v>8.0000000000000043E-2</c:v>
                </c:pt>
              </c:numCache>
            </c:numRef>
          </c:val>
          <c:extLst xmlns:c16r2="http://schemas.microsoft.com/office/drawing/2015/06/chart">
            <c:ext xmlns:c16="http://schemas.microsoft.com/office/drawing/2014/chart" uri="{C3380CC4-5D6E-409C-BE32-E72D297353CC}">
              <c16:uniqueId val="{00000007-ECB9-4EAD-AB93-76F4D9922A05}"/>
            </c:ext>
          </c:extLst>
        </c:ser>
        <c:dLbls>
          <c:showLegendKey val="0"/>
          <c:showVal val="0"/>
          <c:showCatName val="0"/>
          <c:showSerName val="0"/>
          <c:showPercent val="0"/>
          <c:showBubbleSize val="0"/>
        </c:dLbls>
        <c:gapWidth val="150"/>
        <c:axId val="419374976"/>
        <c:axId val="419631104"/>
      </c:barChart>
      <c:catAx>
        <c:axId val="419374976"/>
        <c:scaling>
          <c:orientation val="minMax"/>
        </c:scaling>
        <c:delete val="0"/>
        <c:axPos val="l"/>
        <c:title>
          <c:tx>
            <c:rich>
              <a:bodyPr rot="-5400000" vert="horz"/>
              <a:lstStyle/>
              <a:p>
                <a:pPr>
                  <a:defRPr/>
                </a:pPr>
                <a:r>
                  <a:rPr lang="en-US"/>
                  <a:t>Ethnicity</a:t>
                </a:r>
              </a:p>
            </c:rich>
          </c:tx>
          <c:overlay val="0"/>
        </c:title>
        <c:numFmt formatCode="General" sourceLinked="1"/>
        <c:majorTickMark val="out"/>
        <c:minorTickMark val="none"/>
        <c:tickLblPos val="nextTo"/>
        <c:crossAx val="419631104"/>
        <c:crosses val="autoZero"/>
        <c:auto val="1"/>
        <c:lblAlgn val="ctr"/>
        <c:lblOffset val="100"/>
        <c:noMultiLvlLbl val="0"/>
      </c:catAx>
      <c:valAx>
        <c:axId val="419631104"/>
        <c:scaling>
          <c:orientation val="minMax"/>
        </c:scaling>
        <c:delete val="0"/>
        <c:axPos val="b"/>
        <c:majorGridlines/>
        <c:numFmt formatCode="General" sourceLinked="1"/>
        <c:majorTickMark val="out"/>
        <c:minorTickMark val="none"/>
        <c:tickLblPos val="nextTo"/>
        <c:crossAx val="419374976"/>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48</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Ageing Unit</c:v>
                </c:pt>
                <c:pt idx="1">
                  <c:v>Golden Apple Programme</c:v>
                </c:pt>
                <c:pt idx="2">
                  <c:v>VOISCES Programme</c:v>
                </c:pt>
                <c:pt idx="3">
                  <c:v>Senior Activity Centres</c:v>
                </c:pt>
                <c:pt idx="4">
                  <c:v>THA Emergency Medical Alert Programme</c:v>
                </c:pt>
              </c:strCache>
            </c:strRef>
          </c:cat>
          <c:val>
            <c:numRef>
              <c:f>Sheet1!$B$2:$B$6</c:f>
              <c:numCache>
                <c:formatCode>General</c:formatCode>
                <c:ptCount val="5"/>
                <c:pt idx="0">
                  <c:v>11.32</c:v>
                </c:pt>
                <c:pt idx="1">
                  <c:v>18.87</c:v>
                </c:pt>
                <c:pt idx="2">
                  <c:v>15.09</c:v>
                </c:pt>
                <c:pt idx="3">
                  <c:v>28.3</c:v>
                </c:pt>
                <c:pt idx="4">
                  <c:v>26.419999999999987</c:v>
                </c:pt>
              </c:numCache>
            </c:numRef>
          </c:val>
          <c:extLst xmlns:c16r2="http://schemas.microsoft.com/office/drawing/2015/06/chart">
            <c:ext xmlns:c16="http://schemas.microsoft.com/office/drawing/2014/chart" uri="{C3380CC4-5D6E-409C-BE32-E72D297353CC}">
              <c16:uniqueId val="{00000000-A3CF-4304-BAFE-08A515704E6C}"/>
            </c:ext>
          </c:extLst>
        </c:ser>
        <c:dLbls>
          <c:showLegendKey val="0"/>
          <c:showVal val="1"/>
          <c:showCatName val="0"/>
          <c:showSerName val="0"/>
          <c:showPercent val="0"/>
          <c:showBubbleSize val="0"/>
        </c:dLbls>
        <c:gapWidth val="150"/>
        <c:axId val="559977600"/>
        <c:axId val="560234880"/>
      </c:barChart>
      <c:catAx>
        <c:axId val="559977600"/>
        <c:scaling>
          <c:orientation val="minMax"/>
        </c:scaling>
        <c:delete val="0"/>
        <c:axPos val="l"/>
        <c:title>
          <c:tx>
            <c:rich>
              <a:bodyPr rot="-5400000" vert="horz"/>
              <a:lstStyle/>
              <a:p>
                <a:pPr>
                  <a:defRPr/>
                </a:pPr>
                <a:r>
                  <a:rPr lang="en-US"/>
                  <a:t>THA Services</a:t>
                </a:r>
              </a:p>
            </c:rich>
          </c:tx>
          <c:overlay val="0"/>
        </c:title>
        <c:numFmt formatCode="General" sourceLinked="0"/>
        <c:majorTickMark val="out"/>
        <c:minorTickMark val="none"/>
        <c:tickLblPos val="nextTo"/>
        <c:crossAx val="560234880"/>
        <c:crosses val="autoZero"/>
        <c:auto val="1"/>
        <c:lblAlgn val="ctr"/>
        <c:lblOffset val="100"/>
        <c:noMultiLvlLbl val="0"/>
      </c:catAx>
      <c:valAx>
        <c:axId val="560234880"/>
        <c:scaling>
          <c:orientation val="minMax"/>
        </c:scaling>
        <c:delete val="0"/>
        <c:axPos val="b"/>
        <c:majorGridlines/>
        <c:numFmt formatCode="General" sourceLinked="1"/>
        <c:majorTickMark val="out"/>
        <c:minorTickMark val="none"/>
        <c:tickLblPos val="nextTo"/>
        <c:crossAx val="559977600"/>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192)</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Information and advice about the type of help and support that is available and how
to access it</c:v>
                </c:pt>
                <c:pt idx="1">
                  <c:v>Opportunities to spend more time with other family members</c:v>
                </c:pt>
                <c:pt idx="2">
                  <c:v>The possibility to combine my caregiving duties with paid employment</c:v>
                </c:pt>
                <c:pt idx="3">
                  <c:v>Support with my own health problems</c:v>
                </c:pt>
                <c:pt idx="4">
                  <c:v>Opportunities for me to enjoy activities outside of caring</c:v>
                </c:pt>
                <c:pt idx="5">
                  <c:v>More money to meet my own needs as a family caregiver</c:v>
                </c:pt>
                <c:pt idx="6">
                  <c:v>The opportunity to talk over my problems as a carer through e.g. individual counselling or a support group</c:v>
                </c:pt>
                <c:pt idx="7">
                  <c:v>Training to help me develop skills I need to care</c:v>
                </c:pt>
                <c:pt idx="8">
                  <c:v>Help to deal with family disagreements</c:v>
                </c:pt>
                <c:pt idx="9">
                  <c:v>Help with planning for future care</c:v>
                </c:pt>
              </c:strCache>
            </c:strRef>
          </c:cat>
          <c:val>
            <c:numRef>
              <c:f>Sheet1!$B$2:$B$11</c:f>
              <c:numCache>
                <c:formatCode>General</c:formatCode>
                <c:ptCount val="10"/>
                <c:pt idx="0">
                  <c:v>20.420000000000002</c:v>
                </c:pt>
                <c:pt idx="1">
                  <c:v>7.91</c:v>
                </c:pt>
                <c:pt idx="2">
                  <c:v>9.620000000000001</c:v>
                </c:pt>
                <c:pt idx="3">
                  <c:v>6.85</c:v>
                </c:pt>
                <c:pt idx="4">
                  <c:v>6.98</c:v>
                </c:pt>
                <c:pt idx="5">
                  <c:v>6.72</c:v>
                </c:pt>
                <c:pt idx="6">
                  <c:v>7.64</c:v>
                </c:pt>
                <c:pt idx="7">
                  <c:v>12.91</c:v>
                </c:pt>
                <c:pt idx="8">
                  <c:v>7.64</c:v>
                </c:pt>
                <c:pt idx="9">
                  <c:v>13.31</c:v>
                </c:pt>
              </c:numCache>
            </c:numRef>
          </c:val>
          <c:extLst xmlns:c16r2="http://schemas.microsoft.com/office/drawing/2015/06/chart">
            <c:ext xmlns:c16="http://schemas.microsoft.com/office/drawing/2014/chart" uri="{C3380CC4-5D6E-409C-BE32-E72D297353CC}">
              <c16:uniqueId val="{00000000-6708-4CF6-B29E-5FAF21C8D954}"/>
            </c:ext>
          </c:extLst>
        </c:ser>
        <c:dLbls>
          <c:showLegendKey val="0"/>
          <c:showVal val="0"/>
          <c:showCatName val="0"/>
          <c:showSerName val="0"/>
          <c:showPercent val="0"/>
          <c:showBubbleSize val="0"/>
        </c:dLbls>
        <c:gapWidth val="150"/>
        <c:axId val="560251648"/>
        <c:axId val="560253568"/>
      </c:barChart>
      <c:catAx>
        <c:axId val="560251648"/>
        <c:scaling>
          <c:orientation val="minMax"/>
        </c:scaling>
        <c:delete val="0"/>
        <c:axPos val="l"/>
        <c:title>
          <c:tx>
            <c:rich>
              <a:bodyPr rot="-5400000" vert="horz"/>
              <a:lstStyle/>
              <a:p>
                <a:pPr>
                  <a:defRPr/>
                </a:pPr>
                <a:r>
                  <a:rPr lang="en-US"/>
                  <a:t>Caregiver Service</a:t>
                </a:r>
                <a:r>
                  <a:rPr lang="en-US" baseline="0"/>
                  <a:t> Needs</a:t>
                </a:r>
                <a:endParaRPr lang="en-US"/>
              </a:p>
            </c:rich>
          </c:tx>
          <c:layout>
            <c:manualLayout>
              <c:xMode val="edge"/>
              <c:yMode val="edge"/>
              <c:x val="1.9818219966353003E-2"/>
              <c:y val="0.3568957005374328"/>
            </c:manualLayout>
          </c:layout>
          <c:overlay val="0"/>
        </c:title>
        <c:numFmt formatCode="General" sourceLinked="0"/>
        <c:majorTickMark val="out"/>
        <c:minorTickMark val="none"/>
        <c:tickLblPos val="nextTo"/>
        <c:txPr>
          <a:bodyPr/>
          <a:lstStyle/>
          <a:p>
            <a:pPr>
              <a:defRPr sz="800"/>
            </a:pPr>
            <a:endParaRPr lang="en-US"/>
          </a:p>
        </c:txPr>
        <c:crossAx val="560253568"/>
        <c:crosses val="autoZero"/>
        <c:auto val="1"/>
        <c:lblAlgn val="ctr"/>
        <c:lblOffset val="100"/>
        <c:noMultiLvlLbl val="0"/>
      </c:catAx>
      <c:valAx>
        <c:axId val="560253568"/>
        <c:scaling>
          <c:orientation val="minMax"/>
        </c:scaling>
        <c:delete val="0"/>
        <c:axPos val="b"/>
        <c:majorGridlines/>
        <c:numFmt formatCode="General" sourceLinked="1"/>
        <c:majorTickMark val="out"/>
        <c:minorTickMark val="none"/>
        <c:tickLblPos val="nextTo"/>
        <c:crossAx val="560251648"/>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Responses (%) n=216)</c:v>
                </c:pt>
              </c:strCache>
            </c:strRef>
          </c:tx>
          <c:invertIfNegative val="0"/>
          <c:dLbls>
            <c:dLbl>
              <c:idx val="2"/>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Other (please specify)</c:v>
                </c:pt>
                <c:pt idx="1">
                  <c:v>Female only</c:v>
                </c:pt>
                <c:pt idx="2">
                  <c:v>Male only</c:v>
                </c:pt>
                <c:pt idx="3">
                  <c:v>The same-sex as the elderly person</c:v>
                </c:pt>
                <c:pt idx="4">
                  <c:v>Male or female: either will do</c:v>
                </c:pt>
              </c:strCache>
            </c:strRef>
          </c:cat>
          <c:val>
            <c:numRef>
              <c:f>Sheet1!$B$2:$B$6</c:f>
              <c:numCache>
                <c:formatCode>General</c:formatCode>
                <c:ptCount val="5"/>
                <c:pt idx="0">
                  <c:v>3.32</c:v>
                </c:pt>
                <c:pt idx="1">
                  <c:v>5.21</c:v>
                </c:pt>
                <c:pt idx="2">
                  <c:v>0</c:v>
                </c:pt>
                <c:pt idx="3">
                  <c:v>31.75</c:v>
                </c:pt>
                <c:pt idx="4">
                  <c:v>59.720000000000013</c:v>
                </c:pt>
              </c:numCache>
            </c:numRef>
          </c:val>
          <c:extLst xmlns:c16r2="http://schemas.microsoft.com/office/drawing/2015/06/chart">
            <c:ext xmlns:c16="http://schemas.microsoft.com/office/drawing/2014/chart" uri="{C3380CC4-5D6E-409C-BE32-E72D297353CC}">
              <c16:uniqueId val="{00000001-FED0-41BC-B31D-3A9D8E1DB6B4}"/>
            </c:ext>
          </c:extLst>
        </c:ser>
        <c:dLbls>
          <c:showLegendKey val="0"/>
          <c:showVal val="0"/>
          <c:showCatName val="0"/>
          <c:showSerName val="0"/>
          <c:showPercent val="0"/>
          <c:showBubbleSize val="0"/>
        </c:dLbls>
        <c:gapWidth val="150"/>
        <c:axId val="560520576"/>
        <c:axId val="560838144"/>
      </c:barChart>
      <c:catAx>
        <c:axId val="560520576"/>
        <c:scaling>
          <c:orientation val="minMax"/>
        </c:scaling>
        <c:delete val="0"/>
        <c:axPos val="l"/>
        <c:title>
          <c:tx>
            <c:rich>
              <a:bodyPr rot="-5400000" vert="horz"/>
              <a:lstStyle/>
              <a:p>
                <a:pPr>
                  <a:defRPr/>
                </a:pPr>
                <a:r>
                  <a:rPr lang="en-US"/>
                  <a:t>Preferred Gender </a:t>
                </a:r>
              </a:p>
            </c:rich>
          </c:tx>
          <c:overlay val="0"/>
        </c:title>
        <c:numFmt formatCode="General" sourceLinked="0"/>
        <c:majorTickMark val="out"/>
        <c:minorTickMark val="none"/>
        <c:tickLblPos val="nextTo"/>
        <c:crossAx val="560838144"/>
        <c:crosses val="autoZero"/>
        <c:auto val="1"/>
        <c:lblAlgn val="ctr"/>
        <c:lblOffset val="100"/>
        <c:noMultiLvlLbl val="0"/>
      </c:catAx>
      <c:valAx>
        <c:axId val="560838144"/>
        <c:scaling>
          <c:orientation val="minMax"/>
        </c:scaling>
        <c:delete val="0"/>
        <c:axPos val="b"/>
        <c:majorGridlines/>
        <c:numFmt formatCode="General" sourceLinked="1"/>
        <c:majorTickMark val="out"/>
        <c:minorTickMark val="none"/>
        <c:tickLblPos val="nextTo"/>
        <c:crossAx val="560520576"/>
        <c:crosses val="autoZero"/>
        <c:crossBetween val="between"/>
      </c:valAx>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Survey (%); n = 193</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Government</c:v>
                </c:pt>
                <c:pt idx="1">
                  <c:v>Elderly Relative</c:v>
                </c:pt>
                <c:pt idx="2">
                  <c:v>You/Your Family</c:v>
                </c:pt>
                <c:pt idx="3">
                  <c:v>Other</c:v>
                </c:pt>
              </c:strCache>
            </c:strRef>
          </c:cat>
          <c:val>
            <c:numRef>
              <c:f>Sheet1!$B$2:$B$5</c:f>
              <c:numCache>
                <c:formatCode>General</c:formatCode>
                <c:ptCount val="4"/>
                <c:pt idx="0">
                  <c:v>49.21</c:v>
                </c:pt>
                <c:pt idx="1">
                  <c:v>8.3800000000000008</c:v>
                </c:pt>
                <c:pt idx="2">
                  <c:v>28.8</c:v>
                </c:pt>
                <c:pt idx="3">
                  <c:v>13.61</c:v>
                </c:pt>
              </c:numCache>
            </c:numRef>
          </c:val>
          <c:extLst xmlns:c16r2="http://schemas.microsoft.com/office/drawing/2015/06/chart">
            <c:ext xmlns:c16="http://schemas.microsoft.com/office/drawing/2014/chart" uri="{C3380CC4-5D6E-409C-BE32-E72D297353CC}">
              <c16:uniqueId val="{00000000-3086-4F0A-ADE9-0DD630618F30}"/>
            </c:ext>
          </c:extLst>
        </c:ser>
        <c:dLbls>
          <c:showLegendKey val="0"/>
          <c:showVal val="0"/>
          <c:showCatName val="0"/>
          <c:showSerName val="0"/>
          <c:showPercent val="0"/>
          <c:showBubbleSize val="0"/>
        </c:dLbls>
        <c:gapWidth val="150"/>
        <c:axId val="561002368"/>
        <c:axId val="561003904"/>
      </c:barChart>
      <c:catAx>
        <c:axId val="561002368"/>
        <c:scaling>
          <c:orientation val="minMax"/>
        </c:scaling>
        <c:delete val="0"/>
        <c:axPos val="l"/>
        <c:numFmt formatCode="General" sourceLinked="0"/>
        <c:majorTickMark val="out"/>
        <c:minorTickMark val="none"/>
        <c:tickLblPos val="nextTo"/>
        <c:crossAx val="561003904"/>
        <c:crosses val="autoZero"/>
        <c:auto val="1"/>
        <c:lblAlgn val="ctr"/>
        <c:lblOffset val="100"/>
        <c:noMultiLvlLbl val="0"/>
      </c:catAx>
      <c:valAx>
        <c:axId val="561003904"/>
        <c:scaling>
          <c:orientation val="minMax"/>
        </c:scaling>
        <c:delete val="0"/>
        <c:axPos val="b"/>
        <c:majorGridlines/>
        <c:numFmt formatCode="General" sourceLinked="1"/>
        <c:majorTickMark val="out"/>
        <c:minorTickMark val="none"/>
        <c:tickLblPos val="nextTo"/>
        <c:crossAx val="561002368"/>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193</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Other</c:v>
                </c:pt>
                <c:pt idx="1">
                  <c:v>Government</c:v>
                </c:pt>
                <c:pt idx="2">
                  <c:v>Elderly relative</c:v>
                </c:pt>
                <c:pt idx="3">
                  <c:v>You / Your Family</c:v>
                </c:pt>
              </c:strCache>
            </c:strRef>
          </c:cat>
          <c:val>
            <c:numRef>
              <c:f>Sheet1!$B$2:$B$5</c:f>
              <c:numCache>
                <c:formatCode>General</c:formatCode>
                <c:ptCount val="4"/>
                <c:pt idx="0">
                  <c:v>10.53</c:v>
                </c:pt>
                <c:pt idx="1">
                  <c:v>32.630000000000003</c:v>
                </c:pt>
                <c:pt idx="2">
                  <c:v>8.9500000000000028</c:v>
                </c:pt>
                <c:pt idx="3">
                  <c:v>47.89</c:v>
                </c:pt>
              </c:numCache>
            </c:numRef>
          </c:val>
          <c:extLst xmlns:c16r2="http://schemas.microsoft.com/office/drawing/2015/06/chart">
            <c:ext xmlns:c16="http://schemas.microsoft.com/office/drawing/2014/chart" uri="{C3380CC4-5D6E-409C-BE32-E72D297353CC}">
              <c16:uniqueId val="{00000000-FE73-4385-B982-ABEE1DCC4792}"/>
            </c:ext>
          </c:extLst>
        </c:ser>
        <c:dLbls>
          <c:showLegendKey val="0"/>
          <c:showVal val="0"/>
          <c:showCatName val="0"/>
          <c:showSerName val="0"/>
          <c:showPercent val="0"/>
          <c:showBubbleSize val="0"/>
        </c:dLbls>
        <c:gapWidth val="150"/>
        <c:axId val="561393664"/>
        <c:axId val="561395584"/>
      </c:barChart>
      <c:catAx>
        <c:axId val="561393664"/>
        <c:scaling>
          <c:orientation val="minMax"/>
        </c:scaling>
        <c:delete val="0"/>
        <c:axPos val="l"/>
        <c:title>
          <c:tx>
            <c:rich>
              <a:bodyPr rot="-5400000" vert="horz"/>
              <a:lstStyle/>
              <a:p>
                <a:pPr>
                  <a:defRPr/>
                </a:pPr>
                <a:r>
                  <a:rPr lang="en-US"/>
                  <a:t>Agent</a:t>
                </a:r>
                <a:r>
                  <a:rPr lang="en-US" baseline="0"/>
                  <a:t> Responsible</a:t>
                </a:r>
                <a:endParaRPr lang="en-US"/>
              </a:p>
            </c:rich>
          </c:tx>
          <c:layout>
            <c:manualLayout>
              <c:xMode val="edge"/>
              <c:yMode val="edge"/>
              <c:x val="1.7534018757652644E-2"/>
              <c:y val="0.14441885802010762"/>
            </c:manualLayout>
          </c:layout>
          <c:overlay val="0"/>
        </c:title>
        <c:numFmt formatCode="General" sourceLinked="0"/>
        <c:majorTickMark val="out"/>
        <c:minorTickMark val="none"/>
        <c:tickLblPos val="nextTo"/>
        <c:crossAx val="561395584"/>
        <c:crosses val="autoZero"/>
        <c:auto val="1"/>
        <c:lblAlgn val="ctr"/>
        <c:lblOffset val="100"/>
        <c:noMultiLvlLbl val="0"/>
      </c:catAx>
      <c:valAx>
        <c:axId val="561395584"/>
        <c:scaling>
          <c:orientation val="minMax"/>
        </c:scaling>
        <c:delete val="0"/>
        <c:axPos val="b"/>
        <c:majorGridlines/>
        <c:numFmt formatCode="General" sourceLinked="1"/>
        <c:majorTickMark val="out"/>
        <c:minorTickMark val="none"/>
        <c:tickLblPos val="nextTo"/>
        <c:crossAx val="561393664"/>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Love</c:v>
                </c:pt>
                <c:pt idx="1">
                  <c:v>Duty</c:v>
                </c:pt>
                <c:pt idx="2">
                  <c:v>Religion/Spirituality</c:v>
                </c:pt>
                <c:pt idx="3">
                  <c:v>Limited Caregiver Options</c:v>
                </c:pt>
                <c:pt idx="4">
                  <c:v>Material</c:v>
                </c:pt>
              </c:strCache>
            </c:strRef>
          </c:cat>
          <c:val>
            <c:numRef>
              <c:f>Sheet1!$B$2:$B$6</c:f>
              <c:numCache>
                <c:formatCode>General</c:formatCode>
                <c:ptCount val="5"/>
                <c:pt idx="0">
                  <c:v>24.53</c:v>
                </c:pt>
                <c:pt idx="1">
                  <c:v>21.310000000000031</c:v>
                </c:pt>
                <c:pt idx="2">
                  <c:v>6.17</c:v>
                </c:pt>
                <c:pt idx="3">
                  <c:v>11.93</c:v>
                </c:pt>
                <c:pt idx="4">
                  <c:v>5.37</c:v>
                </c:pt>
              </c:numCache>
            </c:numRef>
          </c:val>
          <c:extLst xmlns:c16r2="http://schemas.microsoft.com/office/drawing/2015/06/chart">
            <c:ext xmlns:c16="http://schemas.microsoft.com/office/drawing/2014/chart" uri="{C3380CC4-5D6E-409C-BE32-E72D297353CC}">
              <c16:uniqueId val="{00000000-0B4B-4BD2-B642-CE11967B61FF}"/>
            </c:ext>
          </c:extLst>
        </c:ser>
        <c:dLbls>
          <c:showLegendKey val="0"/>
          <c:showVal val="0"/>
          <c:showCatName val="0"/>
          <c:showSerName val="0"/>
          <c:showPercent val="0"/>
          <c:showBubbleSize val="0"/>
        </c:dLbls>
        <c:gapWidth val="150"/>
        <c:axId val="561424640"/>
        <c:axId val="561439104"/>
      </c:barChart>
      <c:catAx>
        <c:axId val="561424640"/>
        <c:scaling>
          <c:orientation val="minMax"/>
        </c:scaling>
        <c:delete val="0"/>
        <c:axPos val="l"/>
        <c:title>
          <c:tx>
            <c:rich>
              <a:bodyPr rot="-5400000" vert="horz"/>
              <a:lstStyle/>
              <a:p>
                <a:pPr>
                  <a:defRPr/>
                </a:pPr>
                <a:r>
                  <a:rPr lang="en-US"/>
                  <a:t>Care Motivation</a:t>
                </a:r>
              </a:p>
            </c:rich>
          </c:tx>
          <c:overlay val="0"/>
        </c:title>
        <c:numFmt formatCode="General" sourceLinked="0"/>
        <c:majorTickMark val="out"/>
        <c:minorTickMark val="none"/>
        <c:tickLblPos val="nextTo"/>
        <c:crossAx val="561439104"/>
        <c:crosses val="autoZero"/>
        <c:auto val="1"/>
        <c:lblAlgn val="ctr"/>
        <c:lblOffset val="100"/>
        <c:noMultiLvlLbl val="0"/>
      </c:catAx>
      <c:valAx>
        <c:axId val="561439104"/>
        <c:scaling>
          <c:orientation val="minMax"/>
        </c:scaling>
        <c:delete val="0"/>
        <c:axPos val="b"/>
        <c:majorGridlines/>
        <c:numFmt formatCode="General" sourceLinked="1"/>
        <c:majorTickMark val="out"/>
        <c:minorTickMark val="none"/>
        <c:tickLblPos val="nextTo"/>
        <c:crossAx val="561424640"/>
        <c:crosses val="autoZero"/>
        <c:crossBetween val="between"/>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2966863517060805"/>
          <c:y val="3.968253968253968E-2"/>
          <c:w val="0.53081747594050743"/>
          <c:h val="0.76137076615423072"/>
        </c:manualLayout>
      </c:layout>
      <c:barChart>
        <c:barDir val="bar"/>
        <c:grouping val="clustered"/>
        <c:varyColors val="0"/>
        <c:ser>
          <c:idx val="0"/>
          <c:order val="0"/>
          <c:tx>
            <c:strRef>
              <c:f>Sheet1!$B$1</c:f>
              <c:strCache>
                <c:ptCount val="1"/>
                <c:pt idx="0">
                  <c:v>Response (%);     n = 201</c:v>
                </c:pt>
              </c:strCache>
            </c:strRef>
          </c:tx>
          <c:invertIfNegative val="0"/>
          <c:dLbls>
            <c:dLbl>
              <c:idx val="0"/>
              <c:layout>
                <c:manualLayout>
                  <c:x val="-0.1282476669582969"/>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B9-4C0D-9384-394BD7DC2927}"/>
                </c:ext>
                <c:ext xmlns:c15="http://schemas.microsoft.com/office/drawing/2012/chart" uri="{CE6537A1-D6FC-4f65-9D91-7224C49458BB}"/>
              </c:extLst>
            </c:dLbl>
            <c:dLbl>
              <c:idx val="1"/>
              <c:layout>
                <c:manualLayout>
                  <c:x val="-0.50066929133858973"/>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B9-4C0D-9384-394BD7DC2927}"/>
                </c:ext>
                <c:ext xmlns:c15="http://schemas.microsoft.com/office/drawing/2012/chart" uri="{CE6537A1-D6FC-4f65-9D91-7224C49458BB}"/>
              </c:extLst>
            </c:dLbl>
            <c:dLbl>
              <c:idx val="2"/>
              <c:layout>
                <c:manualLayout>
                  <c:x val="-0.15374781277340527"/>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B9-4C0D-9384-394BD7DC2927}"/>
                </c:ext>
                <c:ext xmlns:c15="http://schemas.microsoft.com/office/drawing/2012/chart" uri="{CE6537A1-D6FC-4f65-9D91-7224C49458BB}"/>
              </c:extLst>
            </c:dLbl>
            <c:dLbl>
              <c:idx val="3"/>
              <c:layout>
                <c:manualLayout>
                  <c:x val="-0.17041539078448775"/>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BB9-4C0D-9384-394BD7DC2927}"/>
                </c:ext>
                <c:ext xmlns:c15="http://schemas.microsoft.com/office/drawing/2012/chart" uri="{CE6537A1-D6FC-4f65-9D91-7224C49458BB}"/>
              </c:extLst>
            </c:dLbl>
            <c:dLbl>
              <c:idx val="4"/>
              <c:layout>
                <c:manualLayout>
                  <c:x val="-3.475922280548264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BB9-4C0D-9384-394BD7DC2927}"/>
                </c:ext>
                <c:ext xmlns:c15="http://schemas.microsoft.com/office/drawing/2012/chart" uri="{CE6537A1-D6FC-4f65-9D91-7224C49458BB}"/>
              </c:extLst>
            </c:dLbl>
            <c:dLbl>
              <c:idx val="5"/>
              <c:layout>
                <c:manualLayout>
                  <c:x val="-4.259459755030699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BB9-4C0D-9384-394BD7DC2927}"/>
                </c:ext>
                <c:ext xmlns:c15="http://schemas.microsoft.com/office/drawing/2012/chart" uri="{CE6537A1-D6FC-4f65-9D91-7224C49458BB}"/>
              </c:extLst>
            </c:dLbl>
            <c:dLbl>
              <c:idx val="6"/>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Other</c:v>
                </c:pt>
                <c:pt idx="1">
                  <c:v>Continue to provide care if situation remains the same</c:v>
                </c:pt>
                <c:pt idx="2">
                  <c:v>Continue to provide care but only if I have more support</c:v>
                </c:pt>
                <c:pt idx="3">
                  <c:v>Increase care responsibilities / involvement if necessary</c:v>
                </c:pt>
                <c:pt idx="4">
                  <c:v>Increase  care responsibilities / involvement for a limited time</c:v>
                </c:pt>
                <c:pt idx="5">
                  <c:v>Reduce care responsibilities but remain involved</c:v>
                </c:pt>
                <c:pt idx="6">
                  <c:v>Stop my involvement in caring for this elderly relative</c:v>
                </c:pt>
                <c:pt idx="7">
                  <c:v>Consider moving elderly relative to institution / long term care facility</c:v>
                </c:pt>
              </c:strCache>
            </c:strRef>
          </c:cat>
          <c:val>
            <c:numRef>
              <c:f>Sheet1!$B$2:$B$9</c:f>
              <c:numCache>
                <c:formatCode>General</c:formatCode>
                <c:ptCount val="8"/>
                <c:pt idx="0">
                  <c:v>10.99</c:v>
                </c:pt>
                <c:pt idx="1">
                  <c:v>46.07</c:v>
                </c:pt>
                <c:pt idx="2">
                  <c:v>13.61</c:v>
                </c:pt>
                <c:pt idx="3">
                  <c:v>15.18</c:v>
                </c:pt>
                <c:pt idx="4">
                  <c:v>2.62</c:v>
                </c:pt>
                <c:pt idx="5">
                  <c:v>3.14</c:v>
                </c:pt>
                <c:pt idx="6">
                  <c:v>0.52</c:v>
                </c:pt>
                <c:pt idx="7">
                  <c:v>7.85</c:v>
                </c:pt>
              </c:numCache>
            </c:numRef>
          </c:val>
          <c:extLst xmlns:c16r2="http://schemas.microsoft.com/office/drawing/2015/06/chart">
            <c:ext xmlns:c16="http://schemas.microsoft.com/office/drawing/2014/chart" uri="{C3380CC4-5D6E-409C-BE32-E72D297353CC}">
              <c16:uniqueId val="{00000007-ABB9-4C0D-9384-394BD7DC2927}"/>
            </c:ext>
          </c:extLst>
        </c:ser>
        <c:dLbls>
          <c:showLegendKey val="0"/>
          <c:showVal val="1"/>
          <c:showCatName val="0"/>
          <c:showSerName val="0"/>
          <c:showPercent val="0"/>
          <c:showBubbleSize val="0"/>
        </c:dLbls>
        <c:gapWidth val="150"/>
        <c:axId val="560500736"/>
        <c:axId val="560502656"/>
      </c:barChart>
      <c:catAx>
        <c:axId val="560500736"/>
        <c:scaling>
          <c:orientation val="minMax"/>
        </c:scaling>
        <c:delete val="0"/>
        <c:axPos val="l"/>
        <c:title>
          <c:tx>
            <c:rich>
              <a:bodyPr rot="-5400000" vert="horz"/>
              <a:lstStyle/>
              <a:p>
                <a:pPr>
                  <a:defRPr/>
                </a:pPr>
                <a:r>
                  <a:rPr lang="en-US"/>
                  <a:t>Main Change</a:t>
                </a:r>
              </a:p>
            </c:rich>
          </c:tx>
          <c:layout>
            <c:manualLayout>
              <c:xMode val="edge"/>
              <c:yMode val="edge"/>
              <c:x val="0"/>
              <c:y val="0.5515242372116369"/>
            </c:manualLayout>
          </c:layout>
          <c:overlay val="0"/>
        </c:title>
        <c:numFmt formatCode="General" sourceLinked="0"/>
        <c:majorTickMark val="out"/>
        <c:minorTickMark val="none"/>
        <c:tickLblPos val="nextTo"/>
        <c:txPr>
          <a:bodyPr/>
          <a:lstStyle/>
          <a:p>
            <a:pPr algn="just">
              <a:defRPr sz="800"/>
            </a:pPr>
            <a:endParaRPr lang="en-US"/>
          </a:p>
        </c:txPr>
        <c:crossAx val="560502656"/>
        <c:crosses val="autoZero"/>
        <c:auto val="1"/>
        <c:lblAlgn val="r"/>
        <c:lblOffset val="100"/>
        <c:noMultiLvlLbl val="0"/>
      </c:catAx>
      <c:valAx>
        <c:axId val="560502656"/>
        <c:scaling>
          <c:orientation val="minMax"/>
        </c:scaling>
        <c:delete val="0"/>
        <c:axPos val="b"/>
        <c:majorGridlines/>
        <c:numFmt formatCode="General" sourceLinked="1"/>
        <c:majorTickMark val="out"/>
        <c:minorTickMark val="none"/>
        <c:tickLblPos val="nextTo"/>
        <c:crossAx val="560500736"/>
        <c:crosses val="autoZero"/>
        <c:crossBetween val="between"/>
      </c:valAx>
    </c:plotArea>
    <c:legend>
      <c:legendPos val="b"/>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n=211</c:v>
                </c:pt>
              </c:strCache>
            </c:strRef>
          </c:tx>
          <c:invertIfNegative val="0"/>
          <c:dLbls>
            <c:dLbl>
              <c:idx val="0"/>
              <c:layout>
                <c:manualLayout>
                  <c:x val="-0.40585721055701368"/>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76-4DA3-AD18-FFFCF4A40D90}"/>
                </c:ext>
                <c:ext xmlns:c15="http://schemas.microsoft.com/office/drawing/2012/chart" uri="{CE6537A1-D6FC-4f65-9D91-7224C49458BB}"/>
              </c:extLst>
            </c:dLbl>
            <c:dLbl>
              <c:idx val="1"/>
              <c:layout>
                <c:manualLayout>
                  <c:x val="-0.3628918780985713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76-4DA3-AD18-FFFCF4A40D90}"/>
                </c:ext>
                <c:ext xmlns:c15="http://schemas.microsoft.com/office/drawing/2012/chart" uri="{CE6537A1-D6FC-4f65-9D91-7224C49458BB}"/>
              </c:extLst>
            </c:dLbl>
            <c:dLbl>
              <c:idx val="2"/>
              <c:layout>
                <c:manualLayout>
                  <c:x val="-4.9354221347332541E-2"/>
                  <c:y val="3.9679415073116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C76-4DA3-AD18-FFFCF4A40D90}"/>
                </c:ext>
                <c:ext xmlns:c15="http://schemas.microsoft.com/office/drawing/2012/chart" uri="{CE6537A1-D6FC-4f65-9D91-7224C49458BB}"/>
              </c:extLst>
            </c:dLbl>
            <c:dLbl>
              <c:idx val="3"/>
              <c:layout>
                <c:manualLayout>
                  <c:x val="-6.4078448527267427E-3"/>
                  <c:y val="0"/>
                </c:manualLayout>
              </c:layout>
              <c:numFmt formatCode="#,##0" sourceLinked="0"/>
              <c:spPr/>
              <c:txPr>
                <a:bodyPr/>
                <a:lstStyle/>
                <a:p>
                  <a:pPr>
                    <a:defRPr sz="700">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76-4DA3-AD18-FFFCF4A40D90}"/>
                </c:ext>
                <c:ext xmlns:c15="http://schemas.microsoft.com/office/drawing/2012/chart" uri="{CE6537A1-D6FC-4f65-9D91-7224C49458BB}"/>
              </c:extLst>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No, not under any circumstances</c:v>
                </c:pt>
                <c:pt idx="1">
                  <c:v>Yes, but only if ELDER is severely
dependent</c:v>
                </c:pt>
                <c:pt idx="2">
                  <c:v>Yes, even if ELDER’s condition is
moderately dependent</c:v>
                </c:pt>
                <c:pt idx="3">
                  <c:v>Yes, even if ELDER is slightly independent</c:v>
                </c:pt>
              </c:strCache>
            </c:strRef>
          </c:cat>
          <c:val>
            <c:numRef>
              <c:f>Sheet1!$B$2:$B$5</c:f>
              <c:numCache>
                <c:formatCode>General</c:formatCode>
                <c:ptCount val="4"/>
                <c:pt idx="0">
                  <c:v>48.87</c:v>
                </c:pt>
                <c:pt idx="1">
                  <c:v>43.89</c:v>
                </c:pt>
                <c:pt idx="2">
                  <c:v>4.9800000000000004</c:v>
                </c:pt>
                <c:pt idx="3">
                  <c:v>2.2599999999999998</c:v>
                </c:pt>
              </c:numCache>
            </c:numRef>
          </c:val>
          <c:extLst xmlns:c16r2="http://schemas.microsoft.com/office/drawing/2015/06/chart">
            <c:ext xmlns:c16="http://schemas.microsoft.com/office/drawing/2014/chart" uri="{C3380CC4-5D6E-409C-BE32-E72D297353CC}">
              <c16:uniqueId val="{00000004-BC76-4DA3-AD18-FFFCF4A40D90}"/>
            </c:ext>
          </c:extLst>
        </c:ser>
        <c:dLbls>
          <c:showLegendKey val="0"/>
          <c:showVal val="1"/>
          <c:showCatName val="0"/>
          <c:showSerName val="0"/>
          <c:showPercent val="0"/>
          <c:showBubbleSize val="0"/>
        </c:dLbls>
        <c:gapWidth val="150"/>
        <c:axId val="593326464"/>
        <c:axId val="593328384"/>
      </c:barChart>
      <c:catAx>
        <c:axId val="593326464"/>
        <c:scaling>
          <c:orientation val="minMax"/>
        </c:scaling>
        <c:delete val="0"/>
        <c:axPos val="l"/>
        <c:title>
          <c:tx>
            <c:rich>
              <a:bodyPr rot="-5400000" vert="horz"/>
              <a:lstStyle/>
              <a:p>
                <a:pPr>
                  <a:defRPr/>
                </a:pPr>
                <a:r>
                  <a:rPr lang="en-US"/>
                  <a:t>Willing to Place in LTC</a:t>
                </a:r>
              </a:p>
            </c:rich>
          </c:tx>
          <c:overlay val="0"/>
        </c:title>
        <c:numFmt formatCode="General" sourceLinked="0"/>
        <c:majorTickMark val="out"/>
        <c:minorTickMark val="none"/>
        <c:tickLblPos val="nextTo"/>
        <c:crossAx val="593328384"/>
        <c:crosses val="autoZero"/>
        <c:auto val="1"/>
        <c:lblAlgn val="ctr"/>
        <c:lblOffset val="100"/>
        <c:noMultiLvlLbl val="0"/>
      </c:catAx>
      <c:valAx>
        <c:axId val="593328384"/>
        <c:scaling>
          <c:orientation val="minMax"/>
        </c:scaling>
        <c:delete val="0"/>
        <c:axPos val="b"/>
        <c:majorGridlines/>
        <c:numFmt formatCode="General" sourceLinked="1"/>
        <c:majorTickMark val="out"/>
        <c:minorTickMark val="none"/>
        <c:tickLblPos val="nextTo"/>
        <c:crossAx val="59332646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'E RELIGIONew'!$C$13</c:f>
              <c:strCache>
                <c:ptCount val="1"/>
                <c:pt idx="0">
                  <c:v>Survey (%); n = 200</c:v>
                </c:pt>
              </c:strCache>
            </c:strRef>
          </c:tx>
          <c:invertIfNegative val="0"/>
          <c:dLbls>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 RELIGIONew'!$B$14:$B$20</c:f>
              <c:strCache>
                <c:ptCount val="7"/>
                <c:pt idx="0">
                  <c:v>Pentecostal / Evangelical / Full Gospel</c:v>
                </c:pt>
                <c:pt idx="1">
                  <c:v>Roman Catholic</c:v>
                </c:pt>
                <c:pt idx="2">
                  <c:v>Other Christian</c:v>
                </c:pt>
                <c:pt idx="3">
                  <c:v>Hindu</c:v>
                </c:pt>
                <c:pt idx="4">
                  <c:v>Muslim</c:v>
                </c:pt>
                <c:pt idx="5">
                  <c:v>Other</c:v>
                </c:pt>
                <c:pt idx="6">
                  <c:v>None / Not Stated</c:v>
                </c:pt>
              </c:strCache>
            </c:strRef>
          </c:cat>
          <c:val>
            <c:numRef>
              <c:f>'E RELIGIONew'!$C$14:$C$20</c:f>
              <c:numCache>
                <c:formatCode>###0</c:formatCode>
                <c:ptCount val="7"/>
                <c:pt idx="0">
                  <c:v>28.191489361702125</c:v>
                </c:pt>
                <c:pt idx="1">
                  <c:v>29.255319148936003</c:v>
                </c:pt>
                <c:pt idx="2">
                  <c:v>25.531914893617031</c:v>
                </c:pt>
                <c:pt idx="3">
                  <c:v>11.170212765957443</c:v>
                </c:pt>
                <c:pt idx="4">
                  <c:v>5.8510638297872344</c:v>
                </c:pt>
              </c:numCache>
            </c:numRef>
          </c:val>
          <c:extLst xmlns:c16r2="http://schemas.microsoft.com/office/drawing/2015/06/chart">
            <c:ext xmlns:c16="http://schemas.microsoft.com/office/drawing/2014/chart" uri="{C3380CC4-5D6E-409C-BE32-E72D297353CC}">
              <c16:uniqueId val="{00000000-274D-4A85-822F-78EAAA2FDF9A}"/>
            </c:ext>
          </c:extLst>
        </c:ser>
        <c:ser>
          <c:idx val="1"/>
          <c:order val="1"/>
          <c:tx>
            <c:strRef>
              <c:f>'E RELIGIONew'!$D$13</c:f>
              <c:strCache>
                <c:ptCount val="1"/>
                <c:pt idx="0">
                  <c:v>Census (%); n = 1,322,547</c:v>
                </c:pt>
              </c:strCache>
            </c:strRef>
          </c:tx>
          <c:spPr>
            <a:pattFill prst="ltUpDiag">
              <a:fgClr>
                <a:schemeClr val="tx1"/>
              </a:fgClr>
              <a:bgClr>
                <a:schemeClr val="bg1"/>
              </a:bgClr>
            </a:pattFill>
          </c:spPr>
          <c:invertIfNegative val="0"/>
          <c:dLbls>
            <c:numFmt formatCode="#,##0" sourceLinked="0"/>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 RELIGIONew'!$B$14:$B$20</c:f>
              <c:strCache>
                <c:ptCount val="7"/>
                <c:pt idx="0">
                  <c:v>Pentecostal / Evangelical / Full Gospel</c:v>
                </c:pt>
                <c:pt idx="1">
                  <c:v>Roman Catholic</c:v>
                </c:pt>
                <c:pt idx="2">
                  <c:v>Other Christian</c:v>
                </c:pt>
                <c:pt idx="3">
                  <c:v>Hindu</c:v>
                </c:pt>
                <c:pt idx="4">
                  <c:v>Muslim</c:v>
                </c:pt>
                <c:pt idx="5">
                  <c:v>Other</c:v>
                </c:pt>
                <c:pt idx="6">
                  <c:v>None / Not Stated</c:v>
                </c:pt>
              </c:strCache>
            </c:strRef>
          </c:cat>
          <c:val>
            <c:numRef>
              <c:f>'E RELIGIONew'!$D$14:$D$20</c:f>
              <c:numCache>
                <c:formatCode>0.00</c:formatCode>
                <c:ptCount val="7"/>
                <c:pt idx="0">
                  <c:v>12.024752239429041</c:v>
                </c:pt>
                <c:pt idx="1">
                  <c:v>21.600064118704331</c:v>
                </c:pt>
                <c:pt idx="2">
                  <c:v>21.526569566147689</c:v>
                </c:pt>
                <c:pt idx="3">
                  <c:v>18.154364268339801</c:v>
                </c:pt>
                <c:pt idx="4">
                  <c:v>4.968065407127308</c:v>
                </c:pt>
                <c:pt idx="5">
                  <c:v>8.4457489979562208</c:v>
                </c:pt>
                <c:pt idx="6">
                  <c:v>13.280435402295721</c:v>
                </c:pt>
              </c:numCache>
            </c:numRef>
          </c:val>
          <c:extLst xmlns:c16r2="http://schemas.microsoft.com/office/drawing/2015/06/chart">
            <c:ext xmlns:c16="http://schemas.microsoft.com/office/drawing/2014/chart" uri="{C3380CC4-5D6E-409C-BE32-E72D297353CC}">
              <c16:uniqueId val="{00000001-274D-4A85-822F-78EAAA2FDF9A}"/>
            </c:ext>
          </c:extLst>
        </c:ser>
        <c:dLbls>
          <c:showLegendKey val="0"/>
          <c:showVal val="1"/>
          <c:showCatName val="0"/>
          <c:showSerName val="0"/>
          <c:showPercent val="0"/>
          <c:showBubbleSize val="0"/>
        </c:dLbls>
        <c:gapWidth val="150"/>
        <c:axId val="420866688"/>
        <c:axId val="420868864"/>
      </c:barChart>
      <c:catAx>
        <c:axId val="420866688"/>
        <c:scaling>
          <c:orientation val="minMax"/>
        </c:scaling>
        <c:delete val="0"/>
        <c:axPos val="l"/>
        <c:title>
          <c:tx>
            <c:rich>
              <a:bodyPr/>
              <a:lstStyle/>
              <a:p>
                <a:pPr>
                  <a:defRPr/>
                </a:pPr>
                <a:r>
                  <a:rPr lang="en-US"/>
                  <a:t>Caregiver Religion</a:t>
                </a:r>
              </a:p>
            </c:rich>
          </c:tx>
          <c:overlay val="0"/>
        </c:title>
        <c:numFmt formatCode="General" sourceLinked="0"/>
        <c:majorTickMark val="out"/>
        <c:minorTickMark val="none"/>
        <c:tickLblPos val="nextTo"/>
        <c:crossAx val="420868864"/>
        <c:crosses val="autoZero"/>
        <c:auto val="1"/>
        <c:lblAlgn val="ctr"/>
        <c:lblOffset val="100"/>
        <c:noMultiLvlLbl val="0"/>
      </c:catAx>
      <c:valAx>
        <c:axId val="420868864"/>
        <c:scaling>
          <c:orientation val="minMax"/>
        </c:scaling>
        <c:delete val="0"/>
        <c:axPos val="b"/>
        <c:majorGridlines/>
        <c:title>
          <c:tx>
            <c:rich>
              <a:bodyPr rot="0" vert="horz"/>
              <a:lstStyle/>
              <a:p>
                <a:pPr>
                  <a:defRPr/>
                </a:pPr>
                <a:r>
                  <a:rPr lang="en-US"/>
                  <a:t>% Caregivers</a:t>
                </a:r>
              </a:p>
            </c:rich>
          </c:tx>
          <c:overlay val="0"/>
        </c:title>
        <c:numFmt formatCode="###0" sourceLinked="1"/>
        <c:majorTickMark val="out"/>
        <c:minorTickMark val="none"/>
        <c:tickLblPos val="nextTo"/>
        <c:crossAx val="42086668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202</c:v>
                </c:pt>
              </c:strCache>
            </c:strRef>
          </c:tx>
          <c:invertIfNegative val="0"/>
          <c:dLbls>
            <c:dLbl>
              <c:idx val="0"/>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dLbl>
              <c:idx val="8"/>
              <c:layout>
                <c:manualLayout>
                  <c:x val="-5.6506999125109534E-3"/>
                  <c:y val="-7.2165778078363729E-18"/>
                </c:manualLayout>
              </c:layout>
              <c:numFmt formatCode="#,##0" sourceLinked="0"/>
              <c:spPr/>
              <c:txPr>
                <a:bodyPr/>
                <a:lstStyle/>
                <a:p>
                  <a:pPr>
                    <a:defRPr sz="700">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8F-4B80-928E-D60C2D90D426}"/>
                </c:ext>
                <c:ext xmlns:c15="http://schemas.microsoft.com/office/drawing/2012/chart" uri="{CE6537A1-D6FC-4f65-9D91-7224C49458BB}"/>
              </c:extLst>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17 or younger</c:v>
                </c:pt>
                <c:pt idx="1">
                  <c:v>18-20</c:v>
                </c:pt>
                <c:pt idx="2">
                  <c:v>21-29</c:v>
                </c:pt>
                <c:pt idx="3">
                  <c:v>30-39</c:v>
                </c:pt>
                <c:pt idx="4">
                  <c:v>40-49</c:v>
                </c:pt>
                <c:pt idx="5">
                  <c:v>50-59</c:v>
                </c:pt>
                <c:pt idx="6">
                  <c:v>60-69</c:v>
                </c:pt>
                <c:pt idx="7">
                  <c:v>70-79</c:v>
                </c:pt>
                <c:pt idx="8">
                  <c:v>80 and over</c:v>
                </c:pt>
              </c:strCache>
            </c:strRef>
          </c:cat>
          <c:val>
            <c:numRef>
              <c:f>Sheet1!$B$2:$B$10</c:f>
              <c:numCache>
                <c:formatCode>General</c:formatCode>
                <c:ptCount val="9"/>
                <c:pt idx="0">
                  <c:v>0</c:v>
                </c:pt>
                <c:pt idx="1">
                  <c:v>7.92</c:v>
                </c:pt>
                <c:pt idx="2">
                  <c:v>21.29</c:v>
                </c:pt>
                <c:pt idx="3">
                  <c:v>21.29</c:v>
                </c:pt>
                <c:pt idx="4">
                  <c:v>15.350000000000026</c:v>
                </c:pt>
                <c:pt idx="5">
                  <c:v>18.32</c:v>
                </c:pt>
                <c:pt idx="6">
                  <c:v>12.38</c:v>
                </c:pt>
                <c:pt idx="7">
                  <c:v>2.9699999999999998</c:v>
                </c:pt>
                <c:pt idx="8">
                  <c:v>0.5</c:v>
                </c:pt>
              </c:numCache>
            </c:numRef>
          </c:val>
          <c:extLst xmlns:c16r2="http://schemas.microsoft.com/office/drawing/2015/06/chart">
            <c:ext xmlns:c16="http://schemas.microsoft.com/office/drawing/2014/chart" uri="{C3380CC4-5D6E-409C-BE32-E72D297353CC}">
              <c16:uniqueId val="{00000002-E78F-4B80-928E-D60C2D90D426}"/>
            </c:ext>
          </c:extLst>
        </c:ser>
        <c:dLbls>
          <c:showLegendKey val="0"/>
          <c:showVal val="1"/>
          <c:showCatName val="0"/>
          <c:showSerName val="0"/>
          <c:showPercent val="0"/>
          <c:showBubbleSize val="0"/>
        </c:dLbls>
        <c:gapWidth val="150"/>
        <c:axId val="421145216"/>
        <c:axId val="421155584"/>
      </c:barChart>
      <c:catAx>
        <c:axId val="421145216"/>
        <c:scaling>
          <c:orientation val="minMax"/>
        </c:scaling>
        <c:delete val="0"/>
        <c:axPos val="l"/>
        <c:title>
          <c:tx>
            <c:rich>
              <a:bodyPr rot="-5400000" vert="horz"/>
              <a:lstStyle/>
              <a:p>
                <a:pPr>
                  <a:defRPr/>
                </a:pPr>
                <a:r>
                  <a:rPr lang="en-US"/>
                  <a:t>Age Group</a:t>
                </a:r>
              </a:p>
            </c:rich>
          </c:tx>
          <c:overlay val="0"/>
        </c:title>
        <c:numFmt formatCode="General" sourceLinked="0"/>
        <c:majorTickMark val="out"/>
        <c:minorTickMark val="none"/>
        <c:tickLblPos val="nextTo"/>
        <c:crossAx val="421155584"/>
        <c:crosses val="autoZero"/>
        <c:auto val="1"/>
        <c:lblAlgn val="ctr"/>
        <c:lblOffset val="100"/>
        <c:noMultiLvlLbl val="0"/>
      </c:catAx>
      <c:valAx>
        <c:axId val="421155584"/>
        <c:scaling>
          <c:orientation val="minMax"/>
        </c:scaling>
        <c:delete val="0"/>
        <c:axPos val="b"/>
        <c:majorGridlines/>
        <c:numFmt formatCode="General" sourceLinked="1"/>
        <c:majorTickMark val="out"/>
        <c:minorTickMark val="none"/>
        <c:tickLblPos val="nextTo"/>
        <c:crossAx val="42114521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'C REGIONAL - LOCATION'!$C$17</c:f>
              <c:strCache>
                <c:ptCount val="1"/>
                <c:pt idx="0">
                  <c:v>Survey (%); n = 201</c:v>
                </c:pt>
              </c:strCache>
            </c:strRef>
          </c:tx>
          <c:invertIfNegative val="0"/>
          <c:dLbls>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 REGIONAL - LOCATION'!$B$18:$B$23</c:f>
              <c:strCache>
                <c:ptCount val="6"/>
                <c:pt idx="0">
                  <c:v>North West</c:v>
                </c:pt>
                <c:pt idx="1">
                  <c:v>North Central</c:v>
                </c:pt>
                <c:pt idx="2">
                  <c:v>South West</c:v>
                </c:pt>
                <c:pt idx="3">
                  <c:v>Eastern</c:v>
                </c:pt>
                <c:pt idx="4">
                  <c:v>Tobago</c:v>
                </c:pt>
                <c:pt idx="5">
                  <c:v>Other</c:v>
                </c:pt>
              </c:strCache>
            </c:strRef>
          </c:cat>
          <c:val>
            <c:numRef>
              <c:f>'C REGIONAL - LOCATION'!$C$18:$C$23</c:f>
              <c:numCache>
                <c:formatCode>0</c:formatCode>
                <c:ptCount val="6"/>
                <c:pt idx="0">
                  <c:v>21.7</c:v>
                </c:pt>
                <c:pt idx="1">
                  <c:v>36.4</c:v>
                </c:pt>
                <c:pt idx="2">
                  <c:v>30.4</c:v>
                </c:pt>
                <c:pt idx="3">
                  <c:v>2.2000000000000002</c:v>
                </c:pt>
                <c:pt idx="4">
                  <c:v>2.2000000000000002</c:v>
                </c:pt>
                <c:pt idx="5">
                  <c:v>7</c:v>
                </c:pt>
              </c:numCache>
            </c:numRef>
          </c:val>
          <c:extLst xmlns:c16r2="http://schemas.microsoft.com/office/drawing/2015/06/chart">
            <c:ext xmlns:c16="http://schemas.microsoft.com/office/drawing/2014/chart" uri="{C3380CC4-5D6E-409C-BE32-E72D297353CC}">
              <c16:uniqueId val="{00000000-8117-401A-9473-C81D0605CA0D}"/>
            </c:ext>
          </c:extLst>
        </c:ser>
        <c:ser>
          <c:idx val="1"/>
          <c:order val="1"/>
          <c:tx>
            <c:strRef>
              <c:f>'C REGIONAL - LOCATION'!$D$17</c:f>
              <c:strCache>
                <c:ptCount val="1"/>
                <c:pt idx="0">
                  <c:v>Census (%); n = 1,328,019</c:v>
                </c:pt>
              </c:strCache>
            </c:strRef>
          </c:tx>
          <c:spPr>
            <a:pattFill prst="ltUpDiag">
              <a:fgClr>
                <a:schemeClr val="tx1"/>
              </a:fgClr>
              <a:bgClr>
                <a:schemeClr val="bg1"/>
              </a:bgClr>
            </a:pattFill>
          </c:spPr>
          <c:invertIfNegative val="0"/>
          <c:dLbls>
            <c:numFmt formatCode="#,##0" sourceLinked="0"/>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 REGIONAL - LOCATION'!$B$18:$B$23</c:f>
              <c:strCache>
                <c:ptCount val="6"/>
                <c:pt idx="0">
                  <c:v>North West</c:v>
                </c:pt>
                <c:pt idx="1">
                  <c:v>North Central</c:v>
                </c:pt>
                <c:pt idx="2">
                  <c:v>South West</c:v>
                </c:pt>
                <c:pt idx="3">
                  <c:v>Eastern</c:v>
                </c:pt>
                <c:pt idx="4">
                  <c:v>Tobago</c:v>
                </c:pt>
                <c:pt idx="5">
                  <c:v>Other</c:v>
                </c:pt>
              </c:strCache>
            </c:strRef>
          </c:cat>
          <c:val>
            <c:numRef>
              <c:f>'C REGIONAL - LOCATION'!$D$18:$D$23</c:f>
              <c:numCache>
                <c:formatCode>General</c:formatCode>
                <c:ptCount val="6"/>
                <c:pt idx="0">
                  <c:v>22.38</c:v>
                </c:pt>
                <c:pt idx="1">
                  <c:v>25.02</c:v>
                </c:pt>
                <c:pt idx="2">
                  <c:v>8.39</c:v>
                </c:pt>
                <c:pt idx="3">
                  <c:v>39.620000000000012</c:v>
                </c:pt>
                <c:pt idx="4">
                  <c:v>4.58</c:v>
                </c:pt>
                <c:pt idx="5">
                  <c:v>0</c:v>
                </c:pt>
              </c:numCache>
            </c:numRef>
          </c:val>
          <c:extLst xmlns:c16r2="http://schemas.microsoft.com/office/drawing/2015/06/chart">
            <c:ext xmlns:c16="http://schemas.microsoft.com/office/drawing/2014/chart" uri="{C3380CC4-5D6E-409C-BE32-E72D297353CC}">
              <c16:uniqueId val="{00000001-8117-401A-9473-C81D0605CA0D}"/>
            </c:ext>
          </c:extLst>
        </c:ser>
        <c:dLbls>
          <c:showLegendKey val="0"/>
          <c:showVal val="0"/>
          <c:showCatName val="0"/>
          <c:showSerName val="0"/>
          <c:showPercent val="0"/>
          <c:showBubbleSize val="0"/>
        </c:dLbls>
        <c:gapWidth val="150"/>
        <c:axId val="421164544"/>
        <c:axId val="421166464"/>
      </c:barChart>
      <c:catAx>
        <c:axId val="421164544"/>
        <c:scaling>
          <c:orientation val="minMax"/>
        </c:scaling>
        <c:delete val="0"/>
        <c:axPos val="l"/>
        <c:title>
          <c:tx>
            <c:rich>
              <a:bodyPr/>
              <a:lstStyle/>
              <a:p>
                <a:pPr>
                  <a:defRPr/>
                </a:pPr>
                <a:r>
                  <a:rPr lang="en-US"/>
                  <a:t>Address</a:t>
                </a:r>
              </a:p>
            </c:rich>
          </c:tx>
          <c:overlay val="0"/>
        </c:title>
        <c:numFmt formatCode="General" sourceLinked="0"/>
        <c:majorTickMark val="out"/>
        <c:minorTickMark val="none"/>
        <c:tickLblPos val="nextTo"/>
        <c:crossAx val="421166464"/>
        <c:crosses val="autoZero"/>
        <c:auto val="1"/>
        <c:lblAlgn val="ctr"/>
        <c:lblOffset val="100"/>
        <c:noMultiLvlLbl val="0"/>
      </c:catAx>
      <c:valAx>
        <c:axId val="421166464"/>
        <c:scaling>
          <c:orientation val="minMax"/>
        </c:scaling>
        <c:delete val="0"/>
        <c:axPos val="b"/>
        <c:majorGridlines/>
        <c:numFmt formatCode="0" sourceLinked="1"/>
        <c:majorTickMark val="out"/>
        <c:minorTickMark val="none"/>
        <c:tickLblPos val="nextTo"/>
        <c:crossAx val="42116454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tx>
            <c:strRef>
              <c:f>'E LOCATION'!$C$17</c:f>
              <c:strCache>
                <c:ptCount val="1"/>
                <c:pt idx="0">
                  <c:v>Survey n = 220</c:v>
                </c:pt>
              </c:strCache>
            </c:strRef>
          </c:tx>
          <c:invertIfNegative val="0"/>
          <c:dLbls>
            <c:dLbl>
              <c:idx val="5"/>
              <c:layout>
                <c:manualLayout>
                  <c:x val="-3.569925634295713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7E-4FB5-93B7-F06A4B00D7F1}"/>
                </c:ext>
                <c:ext xmlns:c15="http://schemas.microsoft.com/office/drawing/2012/chart" uri="{CE6537A1-D6FC-4f65-9D91-7224C49458BB}"/>
              </c:extLst>
            </c:dLbl>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 LOCATION'!$B$18:$B$23</c:f>
              <c:strCache>
                <c:ptCount val="6"/>
                <c:pt idx="0">
                  <c:v>North West</c:v>
                </c:pt>
                <c:pt idx="1">
                  <c:v>North Central</c:v>
                </c:pt>
                <c:pt idx="2">
                  <c:v>South West</c:v>
                </c:pt>
                <c:pt idx="3">
                  <c:v>Eastern</c:v>
                </c:pt>
                <c:pt idx="4">
                  <c:v>Tobago</c:v>
                </c:pt>
                <c:pt idx="5">
                  <c:v>Other</c:v>
                </c:pt>
              </c:strCache>
            </c:strRef>
          </c:cat>
          <c:val>
            <c:numRef>
              <c:f>'E LOCATION'!$C$18:$C$23</c:f>
              <c:numCache>
                <c:formatCode>###0</c:formatCode>
                <c:ptCount val="6"/>
                <c:pt idx="0">
                  <c:v>27.230046948356787</c:v>
                </c:pt>
                <c:pt idx="1">
                  <c:v>28.169014084507026</c:v>
                </c:pt>
                <c:pt idx="2">
                  <c:v>36</c:v>
                </c:pt>
                <c:pt idx="3">
                  <c:v>3</c:v>
                </c:pt>
                <c:pt idx="4">
                  <c:v>4.225352112676056</c:v>
                </c:pt>
                <c:pt idx="5">
                  <c:v>1.4084507042253522</c:v>
                </c:pt>
              </c:numCache>
            </c:numRef>
          </c:val>
          <c:extLst xmlns:c16r2="http://schemas.microsoft.com/office/drawing/2015/06/chart">
            <c:ext xmlns:c16="http://schemas.microsoft.com/office/drawing/2014/chart" uri="{C3380CC4-5D6E-409C-BE32-E72D297353CC}">
              <c16:uniqueId val="{00000001-137E-4FB5-93B7-F06A4B00D7F1}"/>
            </c:ext>
          </c:extLst>
        </c:ser>
        <c:ser>
          <c:idx val="1"/>
          <c:order val="1"/>
          <c:tx>
            <c:strRef>
              <c:f>'E LOCATION'!$D$17</c:f>
              <c:strCache>
                <c:ptCount val="1"/>
                <c:pt idx="0">
                  <c:v>Census (%); n = 1,328,019</c:v>
                </c:pt>
              </c:strCache>
            </c:strRef>
          </c:tx>
          <c:spPr>
            <a:pattFill prst="ltUpDiag">
              <a:fgClr>
                <a:schemeClr val="tx1"/>
              </a:fgClr>
              <a:bgClr>
                <a:schemeClr val="bg1"/>
              </a:bgClr>
            </a:pattFill>
          </c:spPr>
          <c:invertIfNegative val="0"/>
          <c:dLbls>
            <c:numFmt formatCode="#,##0" sourceLinked="0"/>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 LOCATION'!$B$18:$B$23</c:f>
              <c:strCache>
                <c:ptCount val="6"/>
                <c:pt idx="0">
                  <c:v>North West</c:v>
                </c:pt>
                <c:pt idx="1">
                  <c:v>North Central</c:v>
                </c:pt>
                <c:pt idx="2">
                  <c:v>South West</c:v>
                </c:pt>
                <c:pt idx="3">
                  <c:v>Eastern</c:v>
                </c:pt>
                <c:pt idx="4">
                  <c:v>Tobago</c:v>
                </c:pt>
                <c:pt idx="5">
                  <c:v>Other</c:v>
                </c:pt>
              </c:strCache>
            </c:strRef>
          </c:cat>
          <c:val>
            <c:numRef>
              <c:f>'E LOCATION'!$D$18:$D$23</c:f>
              <c:numCache>
                <c:formatCode>General</c:formatCode>
                <c:ptCount val="6"/>
                <c:pt idx="0">
                  <c:v>22.38</c:v>
                </c:pt>
                <c:pt idx="1">
                  <c:v>25.02</c:v>
                </c:pt>
                <c:pt idx="2">
                  <c:v>8.39</c:v>
                </c:pt>
                <c:pt idx="3">
                  <c:v>39.620000000000012</c:v>
                </c:pt>
                <c:pt idx="4">
                  <c:v>4.58</c:v>
                </c:pt>
                <c:pt idx="5">
                  <c:v>0</c:v>
                </c:pt>
              </c:numCache>
            </c:numRef>
          </c:val>
          <c:extLst xmlns:c16r2="http://schemas.microsoft.com/office/drawing/2015/06/chart">
            <c:ext xmlns:c16="http://schemas.microsoft.com/office/drawing/2014/chart" uri="{C3380CC4-5D6E-409C-BE32-E72D297353CC}">
              <c16:uniqueId val="{00000002-137E-4FB5-93B7-F06A4B00D7F1}"/>
            </c:ext>
          </c:extLst>
        </c:ser>
        <c:dLbls>
          <c:showLegendKey val="0"/>
          <c:showVal val="1"/>
          <c:showCatName val="0"/>
          <c:showSerName val="0"/>
          <c:showPercent val="0"/>
          <c:showBubbleSize val="0"/>
        </c:dLbls>
        <c:gapWidth val="150"/>
        <c:axId val="421177216"/>
        <c:axId val="421179392"/>
      </c:barChart>
      <c:catAx>
        <c:axId val="421177216"/>
        <c:scaling>
          <c:orientation val="minMax"/>
        </c:scaling>
        <c:delete val="0"/>
        <c:axPos val="l"/>
        <c:title>
          <c:tx>
            <c:rich>
              <a:bodyPr/>
              <a:lstStyle/>
              <a:p>
                <a:pPr>
                  <a:defRPr/>
                </a:pPr>
                <a:r>
                  <a:rPr lang="en-US"/>
                  <a:t>Elder's Address</a:t>
                </a:r>
              </a:p>
            </c:rich>
          </c:tx>
          <c:overlay val="0"/>
        </c:title>
        <c:numFmt formatCode="General" sourceLinked="0"/>
        <c:majorTickMark val="out"/>
        <c:minorTickMark val="none"/>
        <c:tickLblPos val="nextTo"/>
        <c:crossAx val="421179392"/>
        <c:crosses val="autoZero"/>
        <c:auto val="1"/>
        <c:lblAlgn val="ctr"/>
        <c:lblOffset val="100"/>
        <c:noMultiLvlLbl val="0"/>
      </c:catAx>
      <c:valAx>
        <c:axId val="421179392"/>
        <c:scaling>
          <c:orientation val="minMax"/>
        </c:scaling>
        <c:delete val="0"/>
        <c:axPos val="b"/>
        <c:majorGridlines/>
        <c:numFmt formatCode="###0" sourceLinked="1"/>
        <c:majorTickMark val="out"/>
        <c:minorTickMark val="none"/>
        <c:tickLblPos val="nextTo"/>
        <c:crossAx val="42117721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Response (%) n = 218</c:v>
                </c:pt>
              </c:strCache>
            </c:strRef>
          </c:tx>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Other</c:v>
                </c:pt>
                <c:pt idx="1">
                  <c:v>Same household</c:v>
                </c:pt>
                <c:pt idx="2">
                  <c:v>In different households but same building</c:v>
                </c:pt>
                <c:pt idx="3">
                  <c:v>Within walking distance</c:v>
                </c:pt>
                <c:pt idx="4">
                  <c:v>Within 10 minute drive</c:v>
                </c:pt>
                <c:pt idx="5">
                  <c:v>11 to 15 minute drive</c:v>
                </c:pt>
                <c:pt idx="6">
                  <c:v>16 to 30 minute drive</c:v>
                </c:pt>
                <c:pt idx="7">
                  <c:v>31 minutes to 1 hour drive</c:v>
                </c:pt>
                <c:pt idx="8">
                  <c:v>More than an hour's drive</c:v>
                </c:pt>
                <c:pt idx="9">
                  <c:v>Separate island</c:v>
                </c:pt>
              </c:strCache>
            </c:strRef>
          </c:cat>
          <c:val>
            <c:numRef>
              <c:f>Sheet1!$B$2:$B$11</c:f>
              <c:numCache>
                <c:formatCode>General</c:formatCode>
                <c:ptCount val="10"/>
                <c:pt idx="0">
                  <c:v>1.3800000000000001</c:v>
                </c:pt>
                <c:pt idx="1">
                  <c:v>55.760000000000012</c:v>
                </c:pt>
                <c:pt idx="2">
                  <c:v>3.23</c:v>
                </c:pt>
                <c:pt idx="3">
                  <c:v>7.83</c:v>
                </c:pt>
                <c:pt idx="4">
                  <c:v>8.2900000000000009</c:v>
                </c:pt>
                <c:pt idx="5">
                  <c:v>5.07</c:v>
                </c:pt>
                <c:pt idx="6">
                  <c:v>4.6099999999999985</c:v>
                </c:pt>
                <c:pt idx="7">
                  <c:v>7.37</c:v>
                </c:pt>
                <c:pt idx="8">
                  <c:v>4.6099999999999985</c:v>
                </c:pt>
                <c:pt idx="9">
                  <c:v>1.84</c:v>
                </c:pt>
              </c:numCache>
            </c:numRef>
          </c:val>
          <c:extLst xmlns:c16r2="http://schemas.microsoft.com/office/drawing/2015/06/chart">
            <c:ext xmlns:c16="http://schemas.microsoft.com/office/drawing/2014/chart" uri="{C3380CC4-5D6E-409C-BE32-E72D297353CC}">
              <c16:uniqueId val="{00000000-3210-43AA-B01C-6EF9C932E728}"/>
            </c:ext>
          </c:extLst>
        </c:ser>
        <c:dLbls>
          <c:showLegendKey val="0"/>
          <c:showVal val="0"/>
          <c:showCatName val="0"/>
          <c:showSerName val="0"/>
          <c:showPercent val="0"/>
          <c:showBubbleSize val="0"/>
        </c:dLbls>
        <c:gapWidth val="150"/>
        <c:axId val="421187968"/>
        <c:axId val="421189888"/>
      </c:barChart>
      <c:catAx>
        <c:axId val="421187968"/>
        <c:scaling>
          <c:orientation val="minMax"/>
        </c:scaling>
        <c:delete val="0"/>
        <c:axPos val="l"/>
        <c:title>
          <c:tx>
            <c:rich>
              <a:bodyPr rot="-5400000" vert="horz"/>
              <a:lstStyle/>
              <a:p>
                <a:pPr>
                  <a:defRPr/>
                </a:pPr>
                <a:r>
                  <a:rPr lang="en-US"/>
                  <a:t>Distance</a:t>
                </a:r>
              </a:p>
            </c:rich>
          </c:tx>
          <c:overlay val="0"/>
        </c:title>
        <c:numFmt formatCode="General" sourceLinked="0"/>
        <c:majorTickMark val="out"/>
        <c:minorTickMark val="none"/>
        <c:tickLblPos val="nextTo"/>
        <c:crossAx val="421189888"/>
        <c:crosses val="autoZero"/>
        <c:auto val="1"/>
        <c:lblAlgn val="ctr"/>
        <c:lblOffset val="100"/>
        <c:noMultiLvlLbl val="0"/>
      </c:catAx>
      <c:valAx>
        <c:axId val="421189888"/>
        <c:scaling>
          <c:orientation val="minMax"/>
        </c:scaling>
        <c:delete val="0"/>
        <c:axPos val="b"/>
        <c:majorGridlines/>
        <c:numFmt formatCode="General" sourceLinked="1"/>
        <c:majorTickMark val="out"/>
        <c:minorTickMark val="none"/>
        <c:tickLblPos val="nextTo"/>
        <c:crossAx val="421187968"/>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bar"/>
        <c:grouping val="clustered"/>
        <c:varyColors val="0"/>
        <c:ser>
          <c:idx val="0"/>
          <c:order val="0"/>
          <c:tx>
            <c:strRef>
              <c:f>Survey!$B$1</c:f>
              <c:strCache>
                <c:ptCount val="1"/>
                <c:pt idx="0">
                  <c:v>Survey (%); n = 197</c:v>
                </c:pt>
              </c:strCache>
            </c:strRef>
          </c:tx>
          <c:invertIfNegative val="0"/>
          <c:dLbls>
            <c:dLbl>
              <c:idx val="3"/>
              <c:layout>
                <c:manualLayout>
                  <c:x val="-1.2286273752649759E-2"/>
                  <c:y val="0"/>
                </c:manualLayout>
              </c:layout>
              <c:numFmt formatCode="#,##0" sourceLinked="0"/>
              <c:spPr/>
              <c:txPr>
                <a:bodyPr/>
                <a:lstStyle/>
                <a:p>
                  <a:pPr>
                    <a:defRPr sz="700">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A7-4DAE-8EFF-A422DEE10FEB}"/>
                </c:ext>
                <c:ext xmlns:c15="http://schemas.microsoft.com/office/drawing/2012/chart" uri="{CE6537A1-D6FC-4f65-9D91-7224C49458BB}"/>
              </c:extLst>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Survey!$A$2:$A$8</c:f>
              <c:strCache>
                <c:ptCount val="7"/>
                <c:pt idx="0">
                  <c:v>Married and living with a spouse</c:v>
                </c:pt>
                <c:pt idx="1">
                  <c:v>Common-law and living with a partner</c:v>
                </c:pt>
                <c:pt idx="2">
                  <c:v>No longer living with married spouse</c:v>
                </c:pt>
                <c:pt idx="3">
                  <c:v>No longer living with common-law partner</c:v>
                </c:pt>
                <c:pt idx="4">
                  <c:v>Widowed</c:v>
                </c:pt>
                <c:pt idx="5">
                  <c:v>Visiting partner</c:v>
                </c:pt>
                <c:pt idx="6">
                  <c:v>Never had a spouse or common-law partner</c:v>
                </c:pt>
              </c:strCache>
            </c:strRef>
          </c:cat>
          <c:val>
            <c:numRef>
              <c:f>Survey!$B$2:$B$8</c:f>
              <c:numCache>
                <c:formatCode>General</c:formatCode>
                <c:ptCount val="7"/>
                <c:pt idx="0">
                  <c:v>34.01</c:v>
                </c:pt>
                <c:pt idx="1">
                  <c:v>7.1099999999999985</c:v>
                </c:pt>
                <c:pt idx="2">
                  <c:v>5.08</c:v>
                </c:pt>
                <c:pt idx="3">
                  <c:v>1.52</c:v>
                </c:pt>
                <c:pt idx="4">
                  <c:v>3.55</c:v>
                </c:pt>
                <c:pt idx="5">
                  <c:v>7.1099999999999985</c:v>
                </c:pt>
                <c:pt idx="6">
                  <c:v>41.620000000000012</c:v>
                </c:pt>
              </c:numCache>
            </c:numRef>
          </c:val>
          <c:extLst xmlns:c16r2="http://schemas.microsoft.com/office/drawing/2015/06/chart">
            <c:ext xmlns:c16="http://schemas.microsoft.com/office/drawing/2014/chart" uri="{C3380CC4-5D6E-409C-BE32-E72D297353CC}">
              <c16:uniqueId val="{00000001-E1A7-4DAE-8EFF-A422DEE10FEB}"/>
            </c:ext>
          </c:extLst>
        </c:ser>
        <c:ser>
          <c:idx val="1"/>
          <c:order val="1"/>
          <c:tx>
            <c:strRef>
              <c:f>Survey!$C$1</c:f>
              <c:strCache>
                <c:ptCount val="1"/>
                <c:pt idx="0">
                  <c:v>Census (%); n = 405,510</c:v>
                </c:pt>
              </c:strCache>
            </c:strRef>
          </c:tx>
          <c:spPr>
            <a:pattFill prst="ltUpDiag">
              <a:fgClr>
                <a:schemeClr val="tx1"/>
              </a:fgClr>
              <a:bgClr>
                <a:schemeClr val="bg1"/>
              </a:bgClr>
            </a:pattFill>
          </c:spPr>
          <c:invertIfNegative val="0"/>
          <c:dLbls>
            <c:numFmt formatCode="#,##0" sourceLinked="0"/>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Survey!$A$2:$A$8</c:f>
              <c:strCache>
                <c:ptCount val="7"/>
                <c:pt idx="0">
                  <c:v>Married and living with a spouse</c:v>
                </c:pt>
                <c:pt idx="1">
                  <c:v>Common-law and living with a partner</c:v>
                </c:pt>
                <c:pt idx="2">
                  <c:v>No longer living with married spouse</c:v>
                </c:pt>
                <c:pt idx="3">
                  <c:v>No longer living with common-law partner</c:v>
                </c:pt>
                <c:pt idx="4">
                  <c:v>Widowed</c:v>
                </c:pt>
                <c:pt idx="5">
                  <c:v>Visiting partner</c:v>
                </c:pt>
                <c:pt idx="6">
                  <c:v>Never had a spouse or common-law partner</c:v>
                </c:pt>
              </c:strCache>
            </c:strRef>
          </c:cat>
          <c:val>
            <c:numRef>
              <c:f>Survey!$C$2:$C$8</c:f>
              <c:numCache>
                <c:formatCode>0.00</c:formatCode>
                <c:ptCount val="7"/>
                <c:pt idx="0">
                  <c:v>38.910000000000004</c:v>
                </c:pt>
                <c:pt idx="1">
                  <c:v>13.03</c:v>
                </c:pt>
                <c:pt idx="2">
                  <c:v>6.71</c:v>
                </c:pt>
                <c:pt idx="3">
                  <c:v>4.8599999999999985</c:v>
                </c:pt>
                <c:pt idx="5">
                  <c:v>0.86000000000000065</c:v>
                </c:pt>
                <c:pt idx="6">
                  <c:v>35.620000000000012</c:v>
                </c:pt>
              </c:numCache>
            </c:numRef>
          </c:val>
          <c:extLst xmlns:c16r2="http://schemas.microsoft.com/office/drawing/2015/06/chart">
            <c:ext xmlns:c16="http://schemas.microsoft.com/office/drawing/2014/chart" uri="{C3380CC4-5D6E-409C-BE32-E72D297353CC}">
              <c16:uniqueId val="{00000002-E1A7-4DAE-8EFF-A422DEE10FEB}"/>
            </c:ext>
          </c:extLst>
        </c:ser>
        <c:dLbls>
          <c:showLegendKey val="0"/>
          <c:showVal val="1"/>
          <c:showCatName val="0"/>
          <c:showSerName val="0"/>
          <c:showPercent val="0"/>
          <c:showBubbleSize val="0"/>
        </c:dLbls>
        <c:gapWidth val="150"/>
        <c:axId val="421979264"/>
        <c:axId val="421980800"/>
      </c:barChart>
      <c:catAx>
        <c:axId val="421979264"/>
        <c:scaling>
          <c:orientation val="minMax"/>
        </c:scaling>
        <c:delete val="0"/>
        <c:axPos val="l"/>
        <c:numFmt formatCode="General" sourceLinked="0"/>
        <c:majorTickMark val="out"/>
        <c:minorTickMark val="none"/>
        <c:tickLblPos val="nextTo"/>
        <c:crossAx val="421980800"/>
        <c:crosses val="autoZero"/>
        <c:auto val="1"/>
        <c:lblAlgn val="ctr"/>
        <c:lblOffset val="100"/>
        <c:noMultiLvlLbl val="0"/>
      </c:catAx>
      <c:valAx>
        <c:axId val="421980800"/>
        <c:scaling>
          <c:orientation val="minMax"/>
        </c:scaling>
        <c:delete val="0"/>
        <c:axPos val="b"/>
        <c:majorGridlines/>
        <c:numFmt formatCode="General" sourceLinked="1"/>
        <c:majorTickMark val="out"/>
        <c:minorTickMark val="none"/>
        <c:tickLblPos val="nextTo"/>
        <c:crossAx val="421979264"/>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Sheet1!$B$1</c:f>
              <c:strCache>
                <c:ptCount val="1"/>
                <c:pt idx="0">
                  <c:v>Survey (%); n = 201</c:v>
                </c:pt>
              </c:strCache>
            </c:strRef>
          </c:tx>
          <c:invertIfNegative val="0"/>
          <c:dLbls>
            <c:dLbl>
              <c:idx val="0"/>
              <c:layout>
                <c:manualLayout>
                  <c:x val="-4.9830489938758526E-3"/>
                  <c:y val="0"/>
                </c:manualLayout>
              </c:layout>
              <c:numFmt formatCode="#,##0" sourceLinked="0"/>
              <c:spPr/>
              <c:txPr>
                <a:bodyPr/>
                <a:lstStyle/>
                <a:p>
                  <a:pPr>
                    <a:defRPr sz="700">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68-4B4C-B8FD-824DE23BB1B0}"/>
                </c:ext>
                <c:ext xmlns:c15="http://schemas.microsoft.com/office/drawing/2012/chart" uri="{CE6537A1-D6FC-4f65-9D91-7224C49458BB}"/>
              </c:extLst>
            </c:dLbl>
            <c:dLbl>
              <c:idx val="1"/>
              <c:numFmt formatCode="#,##0" sourceLinked="0"/>
              <c:spPr/>
              <c:txPr>
                <a:bodyPr/>
                <a:lstStyle/>
                <a:p>
                  <a:pPr>
                    <a:defRPr sz="700">
                      <a:solidFill>
                        <a:sysClr val="windowText" lastClr="000000"/>
                      </a:solidFill>
                    </a:defRPr>
                  </a:pPr>
                  <a:endParaRPr lang="en-US"/>
                </a:p>
              </c:txPr>
              <c:dLblPos val="inBase"/>
              <c:showLegendKey val="0"/>
              <c:showVal val="1"/>
              <c:showCatName val="0"/>
              <c:showSerName val="0"/>
              <c:showPercent val="0"/>
              <c:showBubbleSize val="0"/>
            </c:dLbl>
            <c:dLbl>
              <c:idx val="2"/>
              <c:layout>
                <c:manualLayout>
                  <c:x val="-1.1927493438320221E-2"/>
                  <c:y val="-3.120732398445196E-7"/>
                </c:manualLayout>
              </c:layout>
              <c:numFmt formatCode="#,##0" sourceLinked="0"/>
              <c:spPr/>
              <c:txPr>
                <a:bodyPr/>
                <a:lstStyle/>
                <a:p>
                  <a:pPr>
                    <a:defRPr sz="700">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68-4B4C-B8FD-824DE23BB1B0}"/>
                </c:ext>
                <c:ext xmlns:c15="http://schemas.microsoft.com/office/drawing/2012/chart" uri="{CE6537A1-D6FC-4f65-9D91-7224C49458BB}"/>
              </c:extLst>
            </c:dLbl>
            <c:dLbl>
              <c:idx val="10"/>
              <c:layout>
                <c:manualLayout>
                  <c:x val="-5.9239209682123064E-3"/>
                  <c:y val="0"/>
                </c:manualLayout>
              </c:layout>
              <c:numFmt formatCode="#,##0" sourceLinked="0"/>
              <c:spPr/>
              <c:txPr>
                <a:bodyPr/>
                <a:lstStyle/>
                <a:p>
                  <a:pPr>
                    <a:defRPr sz="700">
                      <a:solidFill>
                        <a:sysClr val="windowText" lastClr="000000"/>
                      </a:solidFill>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68-4B4C-B8FD-824DE23BB1B0}"/>
                </c:ext>
                <c:ext xmlns:c15="http://schemas.microsoft.com/office/drawing/2012/chart" uri="{CE6537A1-D6FC-4f65-9D91-7224C49458BB}"/>
              </c:extLst>
            </c:dLbl>
            <c:numFmt formatCode="#,##0" sourceLinked="0"/>
            <c:spPr>
              <a:noFill/>
              <a:ln>
                <a:noFill/>
              </a:ln>
              <a:effectLst/>
            </c:spPr>
            <c:txPr>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Other</c:v>
                </c:pt>
                <c:pt idx="1">
                  <c:v>Did not attend school</c:v>
                </c:pt>
                <c:pt idx="2">
                  <c:v>Primary School Leaving Certificate</c:v>
                </c:pt>
                <c:pt idx="3">
                  <c:v>CXC / CSEC / GCE O'Level</c:v>
                </c:pt>
                <c:pt idx="4">
                  <c:v>CAPE / GCE (A'Level)</c:v>
                </c:pt>
                <c:pt idx="5">
                  <c:v>Diploma or Equivalent Certificate of Achievement</c:v>
                </c:pt>
                <c:pt idx="6">
                  <c:v>Associate Degree / Higher Diploma</c:v>
                </c:pt>
                <c:pt idx="7">
                  <c:v>Bachelor Degree</c:v>
                </c:pt>
                <c:pt idx="8">
                  <c:v>Master Degree</c:v>
                </c:pt>
                <c:pt idx="9">
                  <c:v>Postgraduate</c:v>
                </c:pt>
                <c:pt idx="10">
                  <c:v>Doctorate</c:v>
                </c:pt>
              </c:strCache>
            </c:strRef>
          </c:cat>
          <c:val>
            <c:numRef>
              <c:f>Sheet1!$B$2:$B$12</c:f>
              <c:numCache>
                <c:formatCode>General</c:formatCode>
                <c:ptCount val="11"/>
                <c:pt idx="0">
                  <c:v>1.52</c:v>
                </c:pt>
                <c:pt idx="1">
                  <c:v>0</c:v>
                </c:pt>
                <c:pt idx="2">
                  <c:v>1.52</c:v>
                </c:pt>
                <c:pt idx="3">
                  <c:v>11.17</c:v>
                </c:pt>
                <c:pt idx="4">
                  <c:v>7.6099999999999985</c:v>
                </c:pt>
                <c:pt idx="5">
                  <c:v>12.69</c:v>
                </c:pt>
                <c:pt idx="6">
                  <c:v>9.1399999999999988</c:v>
                </c:pt>
                <c:pt idx="7">
                  <c:v>30.959999999999987</c:v>
                </c:pt>
                <c:pt idx="8">
                  <c:v>16.239999999999988</c:v>
                </c:pt>
                <c:pt idx="9">
                  <c:v>7.1099999999999985</c:v>
                </c:pt>
                <c:pt idx="10">
                  <c:v>2.0299999999999998</c:v>
                </c:pt>
              </c:numCache>
            </c:numRef>
          </c:val>
          <c:extLst xmlns:c16r2="http://schemas.microsoft.com/office/drawing/2015/06/chart">
            <c:ext xmlns:c16="http://schemas.microsoft.com/office/drawing/2014/chart" uri="{C3380CC4-5D6E-409C-BE32-E72D297353CC}">
              <c16:uniqueId val="{00000004-9368-4B4C-B8FD-824DE23BB1B0}"/>
            </c:ext>
          </c:extLst>
        </c:ser>
        <c:dLbls>
          <c:showLegendKey val="0"/>
          <c:showVal val="0"/>
          <c:showCatName val="0"/>
          <c:showSerName val="0"/>
          <c:showPercent val="0"/>
          <c:showBubbleSize val="0"/>
        </c:dLbls>
        <c:gapWidth val="150"/>
        <c:axId val="423462784"/>
        <c:axId val="423911424"/>
      </c:barChart>
      <c:catAx>
        <c:axId val="423462784"/>
        <c:scaling>
          <c:orientation val="minMax"/>
        </c:scaling>
        <c:delete val="0"/>
        <c:axPos val="l"/>
        <c:title>
          <c:tx>
            <c:rich>
              <a:bodyPr rot="-5400000" vert="horz"/>
              <a:lstStyle/>
              <a:p>
                <a:pPr>
                  <a:defRPr/>
                </a:pPr>
                <a:r>
                  <a:rPr lang="en-US"/>
                  <a:t>Highest Level of Education</a:t>
                </a:r>
              </a:p>
            </c:rich>
          </c:tx>
          <c:overlay val="0"/>
        </c:title>
        <c:numFmt formatCode="General" sourceLinked="0"/>
        <c:majorTickMark val="out"/>
        <c:minorTickMark val="none"/>
        <c:tickLblPos val="nextTo"/>
        <c:crossAx val="423911424"/>
        <c:crosses val="autoZero"/>
        <c:auto val="1"/>
        <c:lblAlgn val="ctr"/>
        <c:lblOffset val="100"/>
        <c:noMultiLvlLbl val="0"/>
      </c:catAx>
      <c:valAx>
        <c:axId val="423911424"/>
        <c:scaling>
          <c:orientation val="minMax"/>
        </c:scaling>
        <c:delete val="0"/>
        <c:axPos val="b"/>
        <c:majorGridlines/>
        <c:numFmt formatCode="General" sourceLinked="1"/>
        <c:majorTickMark val="out"/>
        <c:minorTickMark val="none"/>
        <c:tickLblPos val="nextTo"/>
        <c:crossAx val="423462784"/>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2FD274-D3CE-4C6C-A855-B5E99CD4C95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74126491-28B5-4495-A687-BDF4E23E8225}">
      <dgm:prSet phldrT="[Text]" custT="1"/>
      <dgm:spPr/>
      <dgm:t>
        <a:bodyPr/>
        <a:lstStyle/>
        <a:p>
          <a:r>
            <a:rPr lang="en-GB" sz="900">
              <a:latin typeface="Eras Bold ITC" pitchFamily="34" charset="0"/>
            </a:rPr>
            <a:t>M1. BRIEFING SESSION</a:t>
          </a:r>
        </a:p>
        <a:p>
          <a:r>
            <a:rPr lang="en-GB" sz="900">
              <a:latin typeface="Eras Bold ITC" pitchFamily="34" charset="0"/>
            </a:rPr>
            <a:t>(</a:t>
          </a:r>
          <a:r>
            <a:rPr lang="en-GB" sz="900" i="1">
              <a:latin typeface="Eras Bold ITC" pitchFamily="34" charset="0"/>
            </a:rPr>
            <a:t>Individual or Joint</a:t>
          </a:r>
          <a:r>
            <a:rPr lang="en-GB" sz="900">
              <a:latin typeface="Eras Bold ITC" pitchFamily="34" charset="0"/>
            </a:rPr>
            <a:t>)</a:t>
          </a:r>
        </a:p>
      </dgm:t>
    </dgm:pt>
    <dgm:pt modelId="{B8E14F92-5317-4802-8C43-A68E03ECFC3B}" type="parTrans" cxnId="{AD8AFA91-7A34-4DE7-951A-CE0D396950C1}">
      <dgm:prSet/>
      <dgm:spPr/>
      <dgm:t>
        <a:bodyPr/>
        <a:lstStyle/>
        <a:p>
          <a:endParaRPr lang="en-GB" sz="900">
            <a:latin typeface="Eras Bold ITC" pitchFamily="34" charset="0"/>
          </a:endParaRPr>
        </a:p>
      </dgm:t>
    </dgm:pt>
    <dgm:pt modelId="{29E74CC0-E961-47D5-BBD6-26EAD7B22173}" type="sibTrans" cxnId="{AD8AFA91-7A34-4DE7-951A-CE0D396950C1}">
      <dgm:prSet/>
      <dgm:spPr/>
      <dgm:t>
        <a:bodyPr/>
        <a:lstStyle/>
        <a:p>
          <a:endParaRPr lang="en-GB" sz="900">
            <a:latin typeface="Eras Bold ITC" pitchFamily="34" charset="0"/>
          </a:endParaRPr>
        </a:p>
      </dgm:t>
    </dgm:pt>
    <dgm:pt modelId="{51CAD8FA-B364-4D6F-98B4-F10ACE705159}">
      <dgm:prSet custT="1"/>
      <dgm:spPr/>
      <dgm:t>
        <a:bodyPr/>
        <a:lstStyle/>
        <a:p>
          <a:r>
            <a:rPr lang="en-GB" sz="900">
              <a:latin typeface="Eras Bold ITC" pitchFamily="34" charset="0"/>
            </a:rPr>
            <a:t>M2. JOINT INTERVIEW</a:t>
          </a:r>
        </a:p>
        <a:p>
          <a:r>
            <a:rPr lang="en-GB" sz="900">
              <a:latin typeface="Eras Bold ITC" pitchFamily="34" charset="0"/>
            </a:rPr>
            <a:t>Older Person &amp; Family Member/Carer</a:t>
          </a:r>
        </a:p>
      </dgm:t>
    </dgm:pt>
    <dgm:pt modelId="{B2A8F65D-9C4C-431C-B0A1-BF5A91211AB2}" type="parTrans" cxnId="{24115C2B-B9D3-4175-9862-EA88D0B04B85}">
      <dgm:prSet/>
      <dgm:spPr/>
      <dgm:t>
        <a:bodyPr/>
        <a:lstStyle/>
        <a:p>
          <a:endParaRPr lang="en-GB" sz="900">
            <a:latin typeface="Eras Bold ITC" pitchFamily="34" charset="0"/>
          </a:endParaRPr>
        </a:p>
      </dgm:t>
    </dgm:pt>
    <dgm:pt modelId="{EF4A65FC-8D2F-4B94-8D4F-B553F4157F1F}" type="sibTrans" cxnId="{24115C2B-B9D3-4175-9862-EA88D0B04B85}">
      <dgm:prSet/>
      <dgm:spPr/>
      <dgm:t>
        <a:bodyPr/>
        <a:lstStyle/>
        <a:p>
          <a:endParaRPr lang="en-GB" sz="900">
            <a:latin typeface="Eras Bold ITC" pitchFamily="34" charset="0"/>
          </a:endParaRPr>
        </a:p>
      </dgm:t>
    </dgm:pt>
    <dgm:pt modelId="{C7072A8D-A044-436F-8AD8-F915355E991E}">
      <dgm:prSet custT="1"/>
      <dgm:spPr/>
      <dgm:t>
        <a:bodyPr/>
        <a:lstStyle/>
        <a:p>
          <a:r>
            <a:rPr lang="en-GB" sz="900">
              <a:latin typeface="Eras Bold ITC" pitchFamily="34" charset="0"/>
            </a:rPr>
            <a:t>M3. INDIVIDUAL INTERVIEW</a:t>
          </a:r>
        </a:p>
        <a:p>
          <a:r>
            <a:rPr lang="en-GB" sz="900">
              <a:latin typeface="Eras Bold ITC" pitchFamily="34" charset="0"/>
            </a:rPr>
            <a:t>Older Person</a:t>
          </a:r>
        </a:p>
      </dgm:t>
    </dgm:pt>
    <dgm:pt modelId="{7B9D99CA-6FB7-47B7-836E-EBBDE99C7360}" type="parTrans" cxnId="{4CC29F40-AC1E-4BE5-95E1-C53D226F0448}">
      <dgm:prSet/>
      <dgm:spPr/>
      <dgm:t>
        <a:bodyPr/>
        <a:lstStyle/>
        <a:p>
          <a:endParaRPr lang="en-GB" sz="900">
            <a:latin typeface="Eras Bold ITC" pitchFamily="34" charset="0"/>
          </a:endParaRPr>
        </a:p>
      </dgm:t>
    </dgm:pt>
    <dgm:pt modelId="{3E507370-9467-4753-AF22-9C88CA338472}" type="sibTrans" cxnId="{4CC29F40-AC1E-4BE5-95E1-C53D226F0448}">
      <dgm:prSet/>
      <dgm:spPr/>
      <dgm:t>
        <a:bodyPr/>
        <a:lstStyle/>
        <a:p>
          <a:endParaRPr lang="en-GB" sz="900">
            <a:latin typeface="Eras Bold ITC" pitchFamily="34" charset="0"/>
          </a:endParaRPr>
        </a:p>
      </dgm:t>
    </dgm:pt>
    <dgm:pt modelId="{FEAC0B68-EFBE-41C5-BBF6-D0CBBD152C6F}">
      <dgm:prSet custT="1"/>
      <dgm:spPr/>
      <dgm:t>
        <a:bodyPr/>
        <a:lstStyle/>
        <a:p>
          <a:r>
            <a:rPr lang="en-GB" sz="900">
              <a:latin typeface="Eras Bold ITC" pitchFamily="34" charset="0"/>
            </a:rPr>
            <a:t>M4. INDIVIDUAL INTERVIEW</a:t>
          </a:r>
        </a:p>
        <a:p>
          <a:r>
            <a:rPr lang="en-GB" sz="900">
              <a:latin typeface="Eras Bold ITC" pitchFamily="34" charset="0"/>
            </a:rPr>
            <a:t>Family Caregiver</a:t>
          </a:r>
        </a:p>
      </dgm:t>
    </dgm:pt>
    <dgm:pt modelId="{323D7C19-C8CD-46FD-8D36-CC41460B9968}" type="parTrans" cxnId="{26F604D7-BE32-4617-AA58-E0224A400499}">
      <dgm:prSet/>
      <dgm:spPr/>
      <dgm:t>
        <a:bodyPr/>
        <a:lstStyle/>
        <a:p>
          <a:endParaRPr lang="en-GB" sz="900">
            <a:latin typeface="Eras Bold ITC" pitchFamily="34" charset="0"/>
          </a:endParaRPr>
        </a:p>
      </dgm:t>
    </dgm:pt>
    <dgm:pt modelId="{FDB6941E-8819-4845-AA93-4F8B15C61D0D}" type="sibTrans" cxnId="{26F604D7-BE32-4617-AA58-E0224A400499}">
      <dgm:prSet/>
      <dgm:spPr/>
      <dgm:t>
        <a:bodyPr/>
        <a:lstStyle/>
        <a:p>
          <a:endParaRPr lang="en-GB" sz="900">
            <a:latin typeface="Eras Bold ITC" pitchFamily="34" charset="0"/>
          </a:endParaRPr>
        </a:p>
      </dgm:t>
    </dgm:pt>
    <dgm:pt modelId="{525358DD-B865-4089-9405-647BF9012013}" type="asst">
      <dgm:prSet custT="1"/>
      <dgm:spPr/>
      <dgm:t>
        <a:bodyPr/>
        <a:lstStyle/>
        <a:p>
          <a:r>
            <a:rPr lang="en-GB" sz="900">
              <a:latin typeface="Eras Bold ITC" pitchFamily="34" charset="0"/>
            </a:rPr>
            <a:t>B. Participant &amp; Researcher agree to further interviews</a:t>
          </a:r>
        </a:p>
      </dgm:t>
    </dgm:pt>
    <dgm:pt modelId="{7FDF2164-8A9C-4C22-B196-BFEFB2D8F2F2}" type="sibTrans" cxnId="{25D58CA9-408F-4833-9D61-A7E55D73F655}">
      <dgm:prSet/>
      <dgm:spPr/>
      <dgm:t>
        <a:bodyPr/>
        <a:lstStyle/>
        <a:p>
          <a:endParaRPr lang="en-GB" sz="900">
            <a:latin typeface="Eras Bold ITC" pitchFamily="34" charset="0"/>
          </a:endParaRPr>
        </a:p>
      </dgm:t>
    </dgm:pt>
    <dgm:pt modelId="{3A5C3515-4036-4F8D-A1CF-85BA257B804D}" type="parTrans" cxnId="{25D58CA9-408F-4833-9D61-A7E55D73F655}">
      <dgm:prSet/>
      <dgm:spPr/>
      <dgm:t>
        <a:bodyPr/>
        <a:lstStyle/>
        <a:p>
          <a:endParaRPr lang="en-GB" sz="900">
            <a:latin typeface="Eras Bold ITC" pitchFamily="34" charset="0"/>
          </a:endParaRPr>
        </a:p>
      </dgm:t>
    </dgm:pt>
    <dgm:pt modelId="{935EE3A3-68E5-455D-B5EA-B7B1D34DF68A}" type="asst">
      <dgm:prSet phldrT="[Text]" custT="1"/>
      <dgm:spPr/>
      <dgm:t>
        <a:bodyPr/>
        <a:lstStyle/>
        <a:p>
          <a:r>
            <a:rPr lang="en-GB" sz="900">
              <a:latin typeface="Eras Bold ITC" pitchFamily="34" charset="0"/>
            </a:rPr>
            <a:t>A. Participant Unable/Unwilling to continue</a:t>
          </a:r>
        </a:p>
      </dgm:t>
    </dgm:pt>
    <dgm:pt modelId="{B51FE4CC-D5B1-416B-B93E-83876DA1997E}" type="sibTrans" cxnId="{72C7ACE3-3924-4053-936E-69B7EB78C5E7}">
      <dgm:prSet/>
      <dgm:spPr/>
      <dgm:t>
        <a:bodyPr/>
        <a:lstStyle/>
        <a:p>
          <a:endParaRPr lang="en-GB" sz="900">
            <a:latin typeface="Eras Bold ITC" pitchFamily="34" charset="0"/>
          </a:endParaRPr>
        </a:p>
      </dgm:t>
    </dgm:pt>
    <dgm:pt modelId="{B8FD4FB3-E442-44AD-ADF7-97CE9BCAC8AD}" type="parTrans" cxnId="{72C7ACE3-3924-4053-936E-69B7EB78C5E7}">
      <dgm:prSet/>
      <dgm:spPr/>
      <dgm:t>
        <a:bodyPr/>
        <a:lstStyle/>
        <a:p>
          <a:endParaRPr lang="en-GB" sz="900">
            <a:latin typeface="Eras Bold ITC" pitchFamily="34" charset="0"/>
          </a:endParaRPr>
        </a:p>
      </dgm:t>
    </dgm:pt>
    <dgm:pt modelId="{BF891617-F315-4B51-AB22-8A89CE9BD71D}">
      <dgm:prSet custT="1"/>
      <dgm:spPr/>
      <dgm:t>
        <a:bodyPr/>
        <a:lstStyle/>
        <a:p>
          <a:r>
            <a:rPr lang="en-GB" sz="900">
              <a:latin typeface="Eras Bold ITC" pitchFamily="34" charset="0"/>
            </a:rPr>
            <a:t>M5. CLOSING JOINT INTERVIEW</a:t>
          </a:r>
        </a:p>
        <a:p>
          <a:r>
            <a:rPr lang="en-GB" sz="900">
              <a:latin typeface="Eras Bold ITC" pitchFamily="34" charset="0"/>
            </a:rPr>
            <a:t>Older Person &amp; Family Member/Carer</a:t>
          </a:r>
        </a:p>
      </dgm:t>
    </dgm:pt>
    <dgm:pt modelId="{F8D9972F-0EF6-4C19-BB39-4A14211B7462}" type="sibTrans" cxnId="{7614CF5C-FE42-47C8-8D79-48DBEBF6D49E}">
      <dgm:prSet/>
      <dgm:spPr/>
      <dgm:t>
        <a:bodyPr/>
        <a:lstStyle/>
        <a:p>
          <a:endParaRPr lang="en-GB" sz="900">
            <a:latin typeface="Eras Bold ITC" pitchFamily="34" charset="0"/>
          </a:endParaRPr>
        </a:p>
      </dgm:t>
    </dgm:pt>
    <dgm:pt modelId="{284E6881-0563-4F6A-8F74-3F7FF97B2CEE}" type="parTrans" cxnId="{7614CF5C-FE42-47C8-8D79-48DBEBF6D49E}">
      <dgm:prSet/>
      <dgm:spPr/>
      <dgm:t>
        <a:bodyPr/>
        <a:lstStyle/>
        <a:p>
          <a:endParaRPr lang="en-GB" sz="900">
            <a:latin typeface="Eras Bold ITC" pitchFamily="34" charset="0"/>
          </a:endParaRPr>
        </a:p>
      </dgm:t>
    </dgm:pt>
    <dgm:pt modelId="{F1577171-66D5-4426-BFD5-ACF9CAF2A8C0}" type="pres">
      <dgm:prSet presAssocID="{6A2FD274-D3CE-4C6C-A855-B5E99CD4C95D}" presName="hierChild1" presStyleCnt="0">
        <dgm:presLayoutVars>
          <dgm:orgChart val="1"/>
          <dgm:chPref val="1"/>
          <dgm:dir/>
          <dgm:animOne val="branch"/>
          <dgm:animLvl val="lvl"/>
          <dgm:resizeHandles/>
        </dgm:presLayoutVars>
      </dgm:prSet>
      <dgm:spPr/>
      <dgm:t>
        <a:bodyPr/>
        <a:lstStyle/>
        <a:p>
          <a:endParaRPr lang="en-TT"/>
        </a:p>
      </dgm:t>
    </dgm:pt>
    <dgm:pt modelId="{05DD436F-2D84-4459-A4E6-C8AD56AE042D}" type="pres">
      <dgm:prSet presAssocID="{74126491-28B5-4495-A687-BDF4E23E8225}" presName="hierRoot1" presStyleCnt="0">
        <dgm:presLayoutVars>
          <dgm:hierBranch val="init"/>
        </dgm:presLayoutVars>
      </dgm:prSet>
      <dgm:spPr/>
    </dgm:pt>
    <dgm:pt modelId="{DB89B5A5-FCC4-43FD-B937-B195B9E89926}" type="pres">
      <dgm:prSet presAssocID="{74126491-28B5-4495-A687-BDF4E23E8225}" presName="rootComposite1" presStyleCnt="0"/>
      <dgm:spPr/>
    </dgm:pt>
    <dgm:pt modelId="{953F57C6-2337-47AB-87E3-829D161F6A66}" type="pres">
      <dgm:prSet presAssocID="{74126491-28B5-4495-A687-BDF4E23E8225}" presName="rootText1" presStyleLbl="node0" presStyleIdx="0" presStyleCnt="1" custScaleX="113618" custScaleY="71004" custLinFactNeighborX="-249" custLinFactNeighborY="-19275">
        <dgm:presLayoutVars>
          <dgm:chPref val="3"/>
        </dgm:presLayoutVars>
      </dgm:prSet>
      <dgm:spPr/>
      <dgm:t>
        <a:bodyPr/>
        <a:lstStyle/>
        <a:p>
          <a:endParaRPr lang="en-TT"/>
        </a:p>
      </dgm:t>
    </dgm:pt>
    <dgm:pt modelId="{D803511F-F81C-4F96-8CF9-BD1F86098A3E}" type="pres">
      <dgm:prSet presAssocID="{74126491-28B5-4495-A687-BDF4E23E8225}" presName="rootConnector1" presStyleLbl="node1" presStyleIdx="0" presStyleCnt="0"/>
      <dgm:spPr/>
      <dgm:t>
        <a:bodyPr/>
        <a:lstStyle/>
        <a:p>
          <a:endParaRPr lang="en-TT"/>
        </a:p>
      </dgm:t>
    </dgm:pt>
    <dgm:pt modelId="{88340BEC-17C2-4068-9D01-AC16E6322551}" type="pres">
      <dgm:prSet presAssocID="{74126491-28B5-4495-A687-BDF4E23E8225}" presName="hierChild2" presStyleCnt="0"/>
      <dgm:spPr/>
    </dgm:pt>
    <dgm:pt modelId="{2FE45FD2-3F5B-4D86-B019-ED9C936DB8A5}" type="pres">
      <dgm:prSet presAssocID="{74126491-28B5-4495-A687-BDF4E23E8225}" presName="hierChild3" presStyleCnt="0"/>
      <dgm:spPr/>
    </dgm:pt>
    <dgm:pt modelId="{C742ECD1-FA71-4F4C-8776-E77CB1803EE5}" type="pres">
      <dgm:prSet presAssocID="{B8FD4FB3-E442-44AD-ADF7-97CE9BCAC8AD}" presName="Name111" presStyleLbl="parChTrans1D2" presStyleIdx="0" presStyleCnt="2"/>
      <dgm:spPr/>
      <dgm:t>
        <a:bodyPr/>
        <a:lstStyle/>
        <a:p>
          <a:endParaRPr lang="en-TT"/>
        </a:p>
      </dgm:t>
    </dgm:pt>
    <dgm:pt modelId="{79BCDC60-5104-42D9-AD08-77DDCE20337D}" type="pres">
      <dgm:prSet presAssocID="{935EE3A3-68E5-455D-B5EA-B7B1D34DF68A}" presName="hierRoot3" presStyleCnt="0">
        <dgm:presLayoutVars>
          <dgm:hierBranch val="init"/>
        </dgm:presLayoutVars>
      </dgm:prSet>
      <dgm:spPr/>
    </dgm:pt>
    <dgm:pt modelId="{6EB5E872-2078-44C4-B645-C371A84F3963}" type="pres">
      <dgm:prSet presAssocID="{935EE3A3-68E5-455D-B5EA-B7B1D34DF68A}" presName="rootComposite3" presStyleCnt="0"/>
      <dgm:spPr/>
    </dgm:pt>
    <dgm:pt modelId="{3C208C6C-3802-4022-A716-9C88370AB64A}" type="pres">
      <dgm:prSet presAssocID="{935EE3A3-68E5-455D-B5EA-B7B1D34DF68A}" presName="rootText3" presStyleLbl="asst1" presStyleIdx="0" presStyleCnt="2" custScaleY="43196" custLinFactNeighborX="-102" custLinFactNeighborY="-65204">
        <dgm:presLayoutVars>
          <dgm:chPref val="3"/>
        </dgm:presLayoutVars>
      </dgm:prSet>
      <dgm:spPr/>
      <dgm:t>
        <a:bodyPr/>
        <a:lstStyle/>
        <a:p>
          <a:endParaRPr lang="en-TT"/>
        </a:p>
      </dgm:t>
    </dgm:pt>
    <dgm:pt modelId="{33C66594-2E63-4409-8969-2DC5D50FAAE9}" type="pres">
      <dgm:prSet presAssocID="{935EE3A3-68E5-455D-B5EA-B7B1D34DF68A}" presName="rootConnector3" presStyleLbl="asst1" presStyleIdx="0" presStyleCnt="2"/>
      <dgm:spPr/>
      <dgm:t>
        <a:bodyPr/>
        <a:lstStyle/>
        <a:p>
          <a:endParaRPr lang="en-TT"/>
        </a:p>
      </dgm:t>
    </dgm:pt>
    <dgm:pt modelId="{E46964D1-A2CB-45B5-9938-C8EC39020744}" type="pres">
      <dgm:prSet presAssocID="{935EE3A3-68E5-455D-B5EA-B7B1D34DF68A}" presName="hierChild6" presStyleCnt="0"/>
      <dgm:spPr/>
    </dgm:pt>
    <dgm:pt modelId="{A80D0D4A-59F0-4B8D-B8AC-2654350B9112}" type="pres">
      <dgm:prSet presAssocID="{935EE3A3-68E5-455D-B5EA-B7B1D34DF68A}" presName="hierChild7" presStyleCnt="0"/>
      <dgm:spPr/>
    </dgm:pt>
    <dgm:pt modelId="{69AFC338-5D69-4069-A2E4-0D90BAFC2E85}" type="pres">
      <dgm:prSet presAssocID="{3A5C3515-4036-4F8D-A1CF-85BA257B804D}" presName="Name111" presStyleLbl="parChTrans1D2" presStyleIdx="1" presStyleCnt="2"/>
      <dgm:spPr/>
      <dgm:t>
        <a:bodyPr/>
        <a:lstStyle/>
        <a:p>
          <a:endParaRPr lang="en-TT"/>
        </a:p>
      </dgm:t>
    </dgm:pt>
    <dgm:pt modelId="{1DD35861-FEF1-44B1-920B-759972F27CF3}" type="pres">
      <dgm:prSet presAssocID="{525358DD-B865-4089-9405-647BF9012013}" presName="hierRoot3" presStyleCnt="0">
        <dgm:presLayoutVars>
          <dgm:hierBranch val="init"/>
        </dgm:presLayoutVars>
      </dgm:prSet>
      <dgm:spPr/>
    </dgm:pt>
    <dgm:pt modelId="{1FC90ABF-F5FA-4D22-88B0-11A1E0362209}" type="pres">
      <dgm:prSet presAssocID="{525358DD-B865-4089-9405-647BF9012013}" presName="rootComposite3" presStyleCnt="0"/>
      <dgm:spPr/>
    </dgm:pt>
    <dgm:pt modelId="{9FF960A0-12A2-458C-B863-C0A793AEAE31}" type="pres">
      <dgm:prSet presAssocID="{525358DD-B865-4089-9405-647BF9012013}" presName="rootText3" presStyleLbl="asst1" presStyleIdx="1" presStyleCnt="2" custScaleY="57665" custLinFactNeighborX="-4311" custLinFactNeighborY="-15675">
        <dgm:presLayoutVars>
          <dgm:chPref val="3"/>
        </dgm:presLayoutVars>
      </dgm:prSet>
      <dgm:spPr/>
      <dgm:t>
        <a:bodyPr/>
        <a:lstStyle/>
        <a:p>
          <a:endParaRPr lang="en-TT"/>
        </a:p>
      </dgm:t>
    </dgm:pt>
    <dgm:pt modelId="{02F727C5-127B-412F-804C-8241FA717150}" type="pres">
      <dgm:prSet presAssocID="{525358DD-B865-4089-9405-647BF9012013}" presName="rootConnector3" presStyleLbl="asst1" presStyleIdx="1" presStyleCnt="2"/>
      <dgm:spPr/>
      <dgm:t>
        <a:bodyPr/>
        <a:lstStyle/>
        <a:p>
          <a:endParaRPr lang="en-TT"/>
        </a:p>
      </dgm:t>
    </dgm:pt>
    <dgm:pt modelId="{8FC0114D-7474-4E24-90A7-6BF1509EAECA}" type="pres">
      <dgm:prSet presAssocID="{525358DD-B865-4089-9405-647BF9012013}" presName="hierChild6" presStyleCnt="0"/>
      <dgm:spPr/>
    </dgm:pt>
    <dgm:pt modelId="{F69C5439-E567-446A-8349-98CC571225C8}" type="pres">
      <dgm:prSet presAssocID="{B2A8F65D-9C4C-431C-B0A1-BF5A91211AB2}" presName="Name37" presStyleLbl="parChTrans1D3" presStyleIdx="0" presStyleCnt="1"/>
      <dgm:spPr/>
      <dgm:t>
        <a:bodyPr/>
        <a:lstStyle/>
        <a:p>
          <a:endParaRPr lang="en-TT"/>
        </a:p>
      </dgm:t>
    </dgm:pt>
    <dgm:pt modelId="{11899E71-C789-47EC-93FA-6D9FE2EFF8F3}" type="pres">
      <dgm:prSet presAssocID="{51CAD8FA-B364-4D6F-98B4-F10ACE705159}" presName="hierRoot2" presStyleCnt="0">
        <dgm:presLayoutVars>
          <dgm:hierBranch val="init"/>
        </dgm:presLayoutVars>
      </dgm:prSet>
      <dgm:spPr/>
    </dgm:pt>
    <dgm:pt modelId="{4BE2B93F-26AF-4C3B-9F46-492FAE1CCE65}" type="pres">
      <dgm:prSet presAssocID="{51CAD8FA-B364-4D6F-98B4-F10ACE705159}" presName="rootComposite" presStyleCnt="0"/>
      <dgm:spPr/>
    </dgm:pt>
    <dgm:pt modelId="{DC2BCBB1-FEFF-4102-A8B3-3D0663788F62}" type="pres">
      <dgm:prSet presAssocID="{51CAD8FA-B364-4D6F-98B4-F10ACE705159}" presName="rootText" presStyleLbl="node3" presStyleIdx="0" presStyleCnt="1" custScaleX="103324" custScaleY="73049" custLinFactNeighborX="-4352" custLinFactNeighborY="-40970">
        <dgm:presLayoutVars>
          <dgm:chPref val="3"/>
        </dgm:presLayoutVars>
      </dgm:prSet>
      <dgm:spPr/>
      <dgm:t>
        <a:bodyPr/>
        <a:lstStyle/>
        <a:p>
          <a:endParaRPr lang="en-TT"/>
        </a:p>
      </dgm:t>
    </dgm:pt>
    <dgm:pt modelId="{25C24719-D1FF-4FDE-BBBB-F3D58EB02559}" type="pres">
      <dgm:prSet presAssocID="{51CAD8FA-B364-4D6F-98B4-F10ACE705159}" presName="rootConnector" presStyleLbl="node3" presStyleIdx="0" presStyleCnt="1"/>
      <dgm:spPr/>
      <dgm:t>
        <a:bodyPr/>
        <a:lstStyle/>
        <a:p>
          <a:endParaRPr lang="en-TT"/>
        </a:p>
      </dgm:t>
    </dgm:pt>
    <dgm:pt modelId="{A218BF47-3C21-43BC-A68E-90E80BD155D4}" type="pres">
      <dgm:prSet presAssocID="{51CAD8FA-B364-4D6F-98B4-F10ACE705159}" presName="hierChild4" presStyleCnt="0"/>
      <dgm:spPr/>
    </dgm:pt>
    <dgm:pt modelId="{6EE389FE-8F0B-4699-AB2F-5C45790EBC96}" type="pres">
      <dgm:prSet presAssocID="{7B9D99CA-6FB7-47B7-836E-EBBDE99C7360}" presName="Name37" presStyleLbl="parChTrans1D4" presStyleIdx="0" presStyleCnt="3"/>
      <dgm:spPr/>
      <dgm:t>
        <a:bodyPr/>
        <a:lstStyle/>
        <a:p>
          <a:endParaRPr lang="en-TT"/>
        </a:p>
      </dgm:t>
    </dgm:pt>
    <dgm:pt modelId="{F56BE015-7799-4E82-AA00-9F9350D95521}" type="pres">
      <dgm:prSet presAssocID="{C7072A8D-A044-436F-8AD8-F915355E991E}" presName="hierRoot2" presStyleCnt="0">
        <dgm:presLayoutVars>
          <dgm:hierBranch val="init"/>
        </dgm:presLayoutVars>
      </dgm:prSet>
      <dgm:spPr/>
    </dgm:pt>
    <dgm:pt modelId="{1E8FDAE4-9168-4AFE-AAAF-E87C4E248B0B}" type="pres">
      <dgm:prSet presAssocID="{C7072A8D-A044-436F-8AD8-F915355E991E}" presName="rootComposite" presStyleCnt="0"/>
      <dgm:spPr/>
    </dgm:pt>
    <dgm:pt modelId="{BFDB15F1-61A4-45F4-A7B8-61752E44F331}" type="pres">
      <dgm:prSet presAssocID="{C7072A8D-A044-436F-8AD8-F915355E991E}" presName="rootText" presStyleLbl="node4" presStyleIdx="0" presStyleCnt="3" custScaleY="56107" custLinFactNeighborX="-4348" custLinFactNeighborY="-29976">
        <dgm:presLayoutVars>
          <dgm:chPref val="3"/>
        </dgm:presLayoutVars>
      </dgm:prSet>
      <dgm:spPr/>
      <dgm:t>
        <a:bodyPr/>
        <a:lstStyle/>
        <a:p>
          <a:endParaRPr lang="en-TT"/>
        </a:p>
      </dgm:t>
    </dgm:pt>
    <dgm:pt modelId="{7BD7EDAE-639B-4770-9588-32BDF4D8202B}" type="pres">
      <dgm:prSet presAssocID="{C7072A8D-A044-436F-8AD8-F915355E991E}" presName="rootConnector" presStyleLbl="node4" presStyleIdx="0" presStyleCnt="3"/>
      <dgm:spPr/>
      <dgm:t>
        <a:bodyPr/>
        <a:lstStyle/>
        <a:p>
          <a:endParaRPr lang="en-TT"/>
        </a:p>
      </dgm:t>
    </dgm:pt>
    <dgm:pt modelId="{26383EAE-2B27-4668-B400-FC20089C7622}" type="pres">
      <dgm:prSet presAssocID="{C7072A8D-A044-436F-8AD8-F915355E991E}" presName="hierChild4" presStyleCnt="0"/>
      <dgm:spPr/>
    </dgm:pt>
    <dgm:pt modelId="{FEE910D7-F1DB-4AB0-928D-2699EC98F0FF}" type="pres">
      <dgm:prSet presAssocID="{323D7C19-C8CD-46FD-8D36-CC41460B9968}" presName="Name37" presStyleLbl="parChTrans1D4" presStyleIdx="1" presStyleCnt="3"/>
      <dgm:spPr/>
      <dgm:t>
        <a:bodyPr/>
        <a:lstStyle/>
        <a:p>
          <a:endParaRPr lang="en-TT"/>
        </a:p>
      </dgm:t>
    </dgm:pt>
    <dgm:pt modelId="{CD51E20B-6EB0-4FAB-9AF7-A7C69BF6D5C3}" type="pres">
      <dgm:prSet presAssocID="{FEAC0B68-EFBE-41C5-BBF6-D0CBBD152C6F}" presName="hierRoot2" presStyleCnt="0">
        <dgm:presLayoutVars>
          <dgm:hierBranch val="init"/>
        </dgm:presLayoutVars>
      </dgm:prSet>
      <dgm:spPr/>
    </dgm:pt>
    <dgm:pt modelId="{B2D8CA6D-AC70-4F0D-AEA8-1B14BBE0229A}" type="pres">
      <dgm:prSet presAssocID="{FEAC0B68-EFBE-41C5-BBF6-D0CBBD152C6F}" presName="rootComposite" presStyleCnt="0"/>
      <dgm:spPr/>
    </dgm:pt>
    <dgm:pt modelId="{95C30DC9-C635-4904-8FDE-967DFB73E6DD}" type="pres">
      <dgm:prSet presAssocID="{FEAC0B68-EFBE-41C5-BBF6-D0CBBD152C6F}" presName="rootText" presStyleLbl="node4" presStyleIdx="1" presStyleCnt="3" custScaleY="58438" custLinFactNeighborX="-4417" custLinFactNeighborY="-12336">
        <dgm:presLayoutVars>
          <dgm:chPref val="3"/>
        </dgm:presLayoutVars>
      </dgm:prSet>
      <dgm:spPr/>
      <dgm:t>
        <a:bodyPr/>
        <a:lstStyle/>
        <a:p>
          <a:endParaRPr lang="en-TT"/>
        </a:p>
      </dgm:t>
    </dgm:pt>
    <dgm:pt modelId="{0CE3CD9F-8373-4FBD-9766-88B36A0BF4CE}" type="pres">
      <dgm:prSet presAssocID="{FEAC0B68-EFBE-41C5-BBF6-D0CBBD152C6F}" presName="rootConnector" presStyleLbl="node4" presStyleIdx="1" presStyleCnt="3"/>
      <dgm:spPr/>
      <dgm:t>
        <a:bodyPr/>
        <a:lstStyle/>
        <a:p>
          <a:endParaRPr lang="en-TT"/>
        </a:p>
      </dgm:t>
    </dgm:pt>
    <dgm:pt modelId="{7679F741-1C1E-491D-9042-CAE7D72968B5}" type="pres">
      <dgm:prSet presAssocID="{FEAC0B68-EFBE-41C5-BBF6-D0CBBD152C6F}" presName="hierChild4" presStyleCnt="0"/>
      <dgm:spPr/>
    </dgm:pt>
    <dgm:pt modelId="{F164A5B4-7E07-4F21-8DFE-6727114E75C6}" type="pres">
      <dgm:prSet presAssocID="{284E6881-0563-4F6A-8F74-3F7FF97B2CEE}" presName="Name37" presStyleLbl="parChTrans1D4" presStyleIdx="2" presStyleCnt="3"/>
      <dgm:spPr/>
      <dgm:t>
        <a:bodyPr/>
        <a:lstStyle/>
        <a:p>
          <a:endParaRPr lang="en-TT"/>
        </a:p>
      </dgm:t>
    </dgm:pt>
    <dgm:pt modelId="{58E19FF4-FDF7-4992-966C-ADA7061A7DF9}" type="pres">
      <dgm:prSet presAssocID="{BF891617-F315-4B51-AB22-8A89CE9BD71D}" presName="hierRoot2" presStyleCnt="0">
        <dgm:presLayoutVars>
          <dgm:hierBranch val="init"/>
        </dgm:presLayoutVars>
      </dgm:prSet>
      <dgm:spPr/>
    </dgm:pt>
    <dgm:pt modelId="{C4D17296-8AE3-4065-8BA2-528F9A291EFA}" type="pres">
      <dgm:prSet presAssocID="{BF891617-F315-4B51-AB22-8A89CE9BD71D}" presName="rootComposite" presStyleCnt="0"/>
      <dgm:spPr/>
    </dgm:pt>
    <dgm:pt modelId="{613F2335-20E1-4E49-8AC0-8861DDBBE320}" type="pres">
      <dgm:prSet presAssocID="{BF891617-F315-4B51-AB22-8A89CE9BD71D}" presName="rootText" presStyleLbl="node4" presStyleIdx="2" presStyleCnt="3" custScaleY="51576" custLinFactNeighborX="-8428" custLinFactNeighborY="-15381">
        <dgm:presLayoutVars>
          <dgm:chPref val="3"/>
        </dgm:presLayoutVars>
      </dgm:prSet>
      <dgm:spPr/>
      <dgm:t>
        <a:bodyPr/>
        <a:lstStyle/>
        <a:p>
          <a:endParaRPr lang="en-TT"/>
        </a:p>
      </dgm:t>
    </dgm:pt>
    <dgm:pt modelId="{C47C7B3D-7501-4506-980E-979D58596136}" type="pres">
      <dgm:prSet presAssocID="{BF891617-F315-4B51-AB22-8A89CE9BD71D}" presName="rootConnector" presStyleLbl="node4" presStyleIdx="2" presStyleCnt="3"/>
      <dgm:spPr/>
      <dgm:t>
        <a:bodyPr/>
        <a:lstStyle/>
        <a:p>
          <a:endParaRPr lang="en-TT"/>
        </a:p>
      </dgm:t>
    </dgm:pt>
    <dgm:pt modelId="{F98FDE35-EE8C-4D5B-9B22-AEEFE429CF49}" type="pres">
      <dgm:prSet presAssocID="{BF891617-F315-4B51-AB22-8A89CE9BD71D}" presName="hierChild4" presStyleCnt="0"/>
      <dgm:spPr/>
    </dgm:pt>
    <dgm:pt modelId="{60C80928-F8C9-4CA7-8AC1-9A7AF3C3384F}" type="pres">
      <dgm:prSet presAssocID="{BF891617-F315-4B51-AB22-8A89CE9BD71D}" presName="hierChild5" presStyleCnt="0"/>
      <dgm:spPr/>
    </dgm:pt>
    <dgm:pt modelId="{429522F7-2CA1-49D9-ACED-5004620A3FDB}" type="pres">
      <dgm:prSet presAssocID="{FEAC0B68-EFBE-41C5-BBF6-D0CBBD152C6F}" presName="hierChild5" presStyleCnt="0"/>
      <dgm:spPr/>
    </dgm:pt>
    <dgm:pt modelId="{560965EF-D240-43B4-A611-D9BC4A9822FE}" type="pres">
      <dgm:prSet presAssocID="{C7072A8D-A044-436F-8AD8-F915355E991E}" presName="hierChild5" presStyleCnt="0"/>
      <dgm:spPr/>
    </dgm:pt>
    <dgm:pt modelId="{8AFE0B37-181E-4237-B488-9E2F4CE1FFFE}" type="pres">
      <dgm:prSet presAssocID="{51CAD8FA-B364-4D6F-98B4-F10ACE705159}" presName="hierChild5" presStyleCnt="0"/>
      <dgm:spPr/>
    </dgm:pt>
    <dgm:pt modelId="{EC3B79B9-8BB5-472A-ACB8-8A94A93C2B5E}" type="pres">
      <dgm:prSet presAssocID="{525358DD-B865-4089-9405-647BF9012013}" presName="hierChild7" presStyleCnt="0"/>
      <dgm:spPr/>
    </dgm:pt>
  </dgm:ptLst>
  <dgm:cxnLst>
    <dgm:cxn modelId="{A3867F02-8FCD-41B6-973D-8E8588C56C88}" type="presOf" srcId="{323D7C19-C8CD-46FD-8D36-CC41460B9968}" destId="{FEE910D7-F1DB-4AB0-928D-2699EC98F0FF}" srcOrd="0" destOrd="0" presId="urn:microsoft.com/office/officeart/2005/8/layout/orgChart1"/>
    <dgm:cxn modelId="{88F52462-23B6-424F-93B3-5C74231EA77C}" type="presOf" srcId="{6A2FD274-D3CE-4C6C-A855-B5E99CD4C95D}" destId="{F1577171-66D5-4426-BFD5-ACF9CAF2A8C0}" srcOrd="0" destOrd="0" presId="urn:microsoft.com/office/officeart/2005/8/layout/orgChart1"/>
    <dgm:cxn modelId="{CF56AB71-8C8F-472D-A446-643284F603A6}" type="presOf" srcId="{BF891617-F315-4B51-AB22-8A89CE9BD71D}" destId="{613F2335-20E1-4E49-8AC0-8861DDBBE320}" srcOrd="0" destOrd="0" presId="urn:microsoft.com/office/officeart/2005/8/layout/orgChart1"/>
    <dgm:cxn modelId="{DD547DFC-7B06-4EED-88BA-7352BCAC2447}" type="presOf" srcId="{FEAC0B68-EFBE-41C5-BBF6-D0CBBD152C6F}" destId="{95C30DC9-C635-4904-8FDE-967DFB73E6DD}" srcOrd="0" destOrd="0" presId="urn:microsoft.com/office/officeart/2005/8/layout/orgChart1"/>
    <dgm:cxn modelId="{DE2527A8-88B4-4380-8D65-8332DCDF38D0}" type="presOf" srcId="{935EE3A3-68E5-455D-B5EA-B7B1D34DF68A}" destId="{33C66594-2E63-4409-8969-2DC5D50FAAE9}" srcOrd="1" destOrd="0" presId="urn:microsoft.com/office/officeart/2005/8/layout/orgChart1"/>
    <dgm:cxn modelId="{CA84B138-88EE-4A78-8F76-D88ECA39871D}" type="presOf" srcId="{3A5C3515-4036-4F8D-A1CF-85BA257B804D}" destId="{69AFC338-5D69-4069-A2E4-0D90BAFC2E85}" srcOrd="0" destOrd="0" presId="urn:microsoft.com/office/officeart/2005/8/layout/orgChart1"/>
    <dgm:cxn modelId="{72C7ACE3-3924-4053-936E-69B7EB78C5E7}" srcId="{74126491-28B5-4495-A687-BDF4E23E8225}" destId="{935EE3A3-68E5-455D-B5EA-B7B1D34DF68A}" srcOrd="0" destOrd="0" parTransId="{B8FD4FB3-E442-44AD-ADF7-97CE9BCAC8AD}" sibTransId="{B51FE4CC-D5B1-416B-B93E-83876DA1997E}"/>
    <dgm:cxn modelId="{5B77E938-9217-4FAA-8872-EDF67424788F}" type="presOf" srcId="{51CAD8FA-B364-4D6F-98B4-F10ACE705159}" destId="{DC2BCBB1-FEFF-4102-A8B3-3D0663788F62}" srcOrd="0" destOrd="0" presId="urn:microsoft.com/office/officeart/2005/8/layout/orgChart1"/>
    <dgm:cxn modelId="{EB9ABEEA-78A4-4628-B6D3-06217A7985A2}" type="presOf" srcId="{BF891617-F315-4B51-AB22-8A89CE9BD71D}" destId="{C47C7B3D-7501-4506-980E-979D58596136}" srcOrd="1" destOrd="0" presId="urn:microsoft.com/office/officeart/2005/8/layout/orgChart1"/>
    <dgm:cxn modelId="{6F781ADF-3349-4C66-AA06-B0AB982AF2A9}" type="presOf" srcId="{74126491-28B5-4495-A687-BDF4E23E8225}" destId="{953F57C6-2337-47AB-87E3-829D161F6A66}" srcOrd="0" destOrd="0" presId="urn:microsoft.com/office/officeart/2005/8/layout/orgChart1"/>
    <dgm:cxn modelId="{25D58CA9-408F-4833-9D61-A7E55D73F655}" srcId="{74126491-28B5-4495-A687-BDF4E23E8225}" destId="{525358DD-B865-4089-9405-647BF9012013}" srcOrd="1" destOrd="0" parTransId="{3A5C3515-4036-4F8D-A1CF-85BA257B804D}" sibTransId="{7FDF2164-8A9C-4C22-B196-BFEFB2D8F2F2}"/>
    <dgm:cxn modelId="{A458B217-6BB6-4A7B-B012-57CF22286850}" type="presOf" srcId="{C7072A8D-A044-436F-8AD8-F915355E991E}" destId="{BFDB15F1-61A4-45F4-A7B8-61752E44F331}" srcOrd="0" destOrd="0" presId="urn:microsoft.com/office/officeart/2005/8/layout/orgChart1"/>
    <dgm:cxn modelId="{7614CF5C-FE42-47C8-8D79-48DBEBF6D49E}" srcId="{FEAC0B68-EFBE-41C5-BBF6-D0CBBD152C6F}" destId="{BF891617-F315-4B51-AB22-8A89CE9BD71D}" srcOrd="0" destOrd="0" parTransId="{284E6881-0563-4F6A-8F74-3F7FF97B2CEE}" sibTransId="{F8D9972F-0EF6-4C19-BB39-4A14211B7462}"/>
    <dgm:cxn modelId="{6554C4E7-55C4-4C16-BD76-785B5592682F}" type="presOf" srcId="{B8FD4FB3-E442-44AD-ADF7-97CE9BCAC8AD}" destId="{C742ECD1-FA71-4F4C-8776-E77CB1803EE5}" srcOrd="0" destOrd="0" presId="urn:microsoft.com/office/officeart/2005/8/layout/orgChart1"/>
    <dgm:cxn modelId="{833AC9A3-2588-4B63-95A5-10D1A06CC8B6}" type="presOf" srcId="{284E6881-0563-4F6A-8F74-3F7FF97B2CEE}" destId="{F164A5B4-7E07-4F21-8DFE-6727114E75C6}" srcOrd="0" destOrd="0" presId="urn:microsoft.com/office/officeart/2005/8/layout/orgChart1"/>
    <dgm:cxn modelId="{F8AF8BCD-D2AF-4FC0-9A0F-8CA689EEA767}" type="presOf" srcId="{525358DD-B865-4089-9405-647BF9012013}" destId="{02F727C5-127B-412F-804C-8241FA717150}" srcOrd="1" destOrd="0" presId="urn:microsoft.com/office/officeart/2005/8/layout/orgChart1"/>
    <dgm:cxn modelId="{E011B21E-7AAF-4D15-BC20-3DBD964B79B2}" type="presOf" srcId="{74126491-28B5-4495-A687-BDF4E23E8225}" destId="{D803511F-F81C-4F96-8CF9-BD1F86098A3E}" srcOrd="1" destOrd="0" presId="urn:microsoft.com/office/officeart/2005/8/layout/orgChart1"/>
    <dgm:cxn modelId="{E4E18442-9281-428B-AB11-8A9939BB5805}" type="presOf" srcId="{C7072A8D-A044-436F-8AD8-F915355E991E}" destId="{7BD7EDAE-639B-4770-9588-32BDF4D8202B}" srcOrd="1" destOrd="0" presId="urn:microsoft.com/office/officeart/2005/8/layout/orgChart1"/>
    <dgm:cxn modelId="{4CC29F40-AC1E-4BE5-95E1-C53D226F0448}" srcId="{51CAD8FA-B364-4D6F-98B4-F10ACE705159}" destId="{C7072A8D-A044-436F-8AD8-F915355E991E}" srcOrd="0" destOrd="0" parTransId="{7B9D99CA-6FB7-47B7-836E-EBBDE99C7360}" sibTransId="{3E507370-9467-4753-AF22-9C88CA338472}"/>
    <dgm:cxn modelId="{24115C2B-B9D3-4175-9862-EA88D0B04B85}" srcId="{525358DD-B865-4089-9405-647BF9012013}" destId="{51CAD8FA-B364-4D6F-98B4-F10ACE705159}" srcOrd="0" destOrd="0" parTransId="{B2A8F65D-9C4C-431C-B0A1-BF5A91211AB2}" sibTransId="{EF4A65FC-8D2F-4B94-8D4F-B553F4157F1F}"/>
    <dgm:cxn modelId="{A4BCD803-D98C-4306-A159-15B907511FF9}" type="presOf" srcId="{525358DD-B865-4089-9405-647BF9012013}" destId="{9FF960A0-12A2-458C-B863-C0A793AEAE31}" srcOrd="0" destOrd="0" presId="urn:microsoft.com/office/officeart/2005/8/layout/orgChart1"/>
    <dgm:cxn modelId="{9CE02EA9-D99C-4AA4-8691-FC6F1420DF74}" type="presOf" srcId="{51CAD8FA-B364-4D6F-98B4-F10ACE705159}" destId="{25C24719-D1FF-4FDE-BBBB-F3D58EB02559}" srcOrd="1" destOrd="0" presId="urn:microsoft.com/office/officeart/2005/8/layout/orgChart1"/>
    <dgm:cxn modelId="{AD8AFA91-7A34-4DE7-951A-CE0D396950C1}" srcId="{6A2FD274-D3CE-4C6C-A855-B5E99CD4C95D}" destId="{74126491-28B5-4495-A687-BDF4E23E8225}" srcOrd="0" destOrd="0" parTransId="{B8E14F92-5317-4802-8C43-A68E03ECFC3B}" sibTransId="{29E74CC0-E961-47D5-BBD6-26EAD7B22173}"/>
    <dgm:cxn modelId="{26F604D7-BE32-4617-AA58-E0224A400499}" srcId="{C7072A8D-A044-436F-8AD8-F915355E991E}" destId="{FEAC0B68-EFBE-41C5-BBF6-D0CBBD152C6F}" srcOrd="0" destOrd="0" parTransId="{323D7C19-C8CD-46FD-8D36-CC41460B9968}" sibTransId="{FDB6941E-8819-4845-AA93-4F8B15C61D0D}"/>
    <dgm:cxn modelId="{4C8F42E9-F47A-4C3F-ABC1-AB73A39CBD4C}" type="presOf" srcId="{FEAC0B68-EFBE-41C5-BBF6-D0CBBD152C6F}" destId="{0CE3CD9F-8373-4FBD-9766-88B36A0BF4CE}" srcOrd="1" destOrd="0" presId="urn:microsoft.com/office/officeart/2005/8/layout/orgChart1"/>
    <dgm:cxn modelId="{B0577022-E13D-4D0B-AFF0-7401A00FD3AC}" type="presOf" srcId="{B2A8F65D-9C4C-431C-B0A1-BF5A91211AB2}" destId="{F69C5439-E567-446A-8349-98CC571225C8}" srcOrd="0" destOrd="0" presId="urn:microsoft.com/office/officeart/2005/8/layout/orgChart1"/>
    <dgm:cxn modelId="{BD08B308-E599-416C-BE0F-444A4BD3EA0B}" type="presOf" srcId="{935EE3A3-68E5-455D-B5EA-B7B1D34DF68A}" destId="{3C208C6C-3802-4022-A716-9C88370AB64A}" srcOrd="0" destOrd="0" presId="urn:microsoft.com/office/officeart/2005/8/layout/orgChart1"/>
    <dgm:cxn modelId="{2AF34F3F-7E08-41BD-BF7F-C8B4DFC54BC2}" type="presOf" srcId="{7B9D99CA-6FB7-47B7-836E-EBBDE99C7360}" destId="{6EE389FE-8F0B-4699-AB2F-5C45790EBC96}" srcOrd="0" destOrd="0" presId="urn:microsoft.com/office/officeart/2005/8/layout/orgChart1"/>
    <dgm:cxn modelId="{43D35648-6D2E-4D0F-B5DF-10BAE5E7CB6C}" type="presParOf" srcId="{F1577171-66D5-4426-BFD5-ACF9CAF2A8C0}" destId="{05DD436F-2D84-4459-A4E6-C8AD56AE042D}" srcOrd="0" destOrd="0" presId="urn:microsoft.com/office/officeart/2005/8/layout/orgChart1"/>
    <dgm:cxn modelId="{0DABBB34-5F62-4413-BEB9-B678E69EA06A}" type="presParOf" srcId="{05DD436F-2D84-4459-A4E6-C8AD56AE042D}" destId="{DB89B5A5-FCC4-43FD-B937-B195B9E89926}" srcOrd="0" destOrd="0" presId="urn:microsoft.com/office/officeart/2005/8/layout/orgChart1"/>
    <dgm:cxn modelId="{5B4D0D62-9C56-4D78-8916-4C490BCFFE9B}" type="presParOf" srcId="{DB89B5A5-FCC4-43FD-B937-B195B9E89926}" destId="{953F57C6-2337-47AB-87E3-829D161F6A66}" srcOrd="0" destOrd="0" presId="urn:microsoft.com/office/officeart/2005/8/layout/orgChart1"/>
    <dgm:cxn modelId="{1134B935-76F5-403A-9E64-AFC74AC08FC2}" type="presParOf" srcId="{DB89B5A5-FCC4-43FD-B937-B195B9E89926}" destId="{D803511F-F81C-4F96-8CF9-BD1F86098A3E}" srcOrd="1" destOrd="0" presId="urn:microsoft.com/office/officeart/2005/8/layout/orgChart1"/>
    <dgm:cxn modelId="{70CCA6BF-BCD0-4711-9C7A-C66F41788914}" type="presParOf" srcId="{05DD436F-2D84-4459-A4E6-C8AD56AE042D}" destId="{88340BEC-17C2-4068-9D01-AC16E6322551}" srcOrd="1" destOrd="0" presId="urn:microsoft.com/office/officeart/2005/8/layout/orgChart1"/>
    <dgm:cxn modelId="{D8959B21-D7CD-47B8-8341-A7E1C855521F}" type="presParOf" srcId="{05DD436F-2D84-4459-A4E6-C8AD56AE042D}" destId="{2FE45FD2-3F5B-4D86-B019-ED9C936DB8A5}" srcOrd="2" destOrd="0" presId="urn:microsoft.com/office/officeart/2005/8/layout/orgChart1"/>
    <dgm:cxn modelId="{44697DEC-7A40-496C-BA23-25C218C06025}" type="presParOf" srcId="{2FE45FD2-3F5B-4D86-B019-ED9C936DB8A5}" destId="{C742ECD1-FA71-4F4C-8776-E77CB1803EE5}" srcOrd="0" destOrd="0" presId="urn:microsoft.com/office/officeart/2005/8/layout/orgChart1"/>
    <dgm:cxn modelId="{C0D6F506-00A3-466E-B3FD-FB1D61A38B56}" type="presParOf" srcId="{2FE45FD2-3F5B-4D86-B019-ED9C936DB8A5}" destId="{79BCDC60-5104-42D9-AD08-77DDCE20337D}" srcOrd="1" destOrd="0" presId="urn:microsoft.com/office/officeart/2005/8/layout/orgChart1"/>
    <dgm:cxn modelId="{5772A854-862C-46F9-A2AA-A41E0140E123}" type="presParOf" srcId="{79BCDC60-5104-42D9-AD08-77DDCE20337D}" destId="{6EB5E872-2078-44C4-B645-C371A84F3963}" srcOrd="0" destOrd="0" presId="urn:microsoft.com/office/officeart/2005/8/layout/orgChart1"/>
    <dgm:cxn modelId="{CAFD34B9-C5CA-49F9-AE2E-B32F12C2B393}" type="presParOf" srcId="{6EB5E872-2078-44C4-B645-C371A84F3963}" destId="{3C208C6C-3802-4022-A716-9C88370AB64A}" srcOrd="0" destOrd="0" presId="urn:microsoft.com/office/officeart/2005/8/layout/orgChart1"/>
    <dgm:cxn modelId="{29010B50-0388-434B-9954-86E7734FC371}" type="presParOf" srcId="{6EB5E872-2078-44C4-B645-C371A84F3963}" destId="{33C66594-2E63-4409-8969-2DC5D50FAAE9}" srcOrd="1" destOrd="0" presId="urn:microsoft.com/office/officeart/2005/8/layout/orgChart1"/>
    <dgm:cxn modelId="{D6F126BD-0AC4-4A8A-A4A7-76D6EA8EC48F}" type="presParOf" srcId="{79BCDC60-5104-42D9-AD08-77DDCE20337D}" destId="{E46964D1-A2CB-45B5-9938-C8EC39020744}" srcOrd="1" destOrd="0" presId="urn:microsoft.com/office/officeart/2005/8/layout/orgChart1"/>
    <dgm:cxn modelId="{D9544E61-6FEC-4E87-830A-487B8D29CD35}" type="presParOf" srcId="{79BCDC60-5104-42D9-AD08-77DDCE20337D}" destId="{A80D0D4A-59F0-4B8D-B8AC-2654350B9112}" srcOrd="2" destOrd="0" presId="urn:microsoft.com/office/officeart/2005/8/layout/orgChart1"/>
    <dgm:cxn modelId="{D0FAC347-8F60-4D3D-9E05-64F38EAFEC6F}" type="presParOf" srcId="{2FE45FD2-3F5B-4D86-B019-ED9C936DB8A5}" destId="{69AFC338-5D69-4069-A2E4-0D90BAFC2E85}" srcOrd="2" destOrd="0" presId="urn:microsoft.com/office/officeart/2005/8/layout/orgChart1"/>
    <dgm:cxn modelId="{D76E91BC-B7C9-4B55-AE57-AA8E97BB603D}" type="presParOf" srcId="{2FE45FD2-3F5B-4D86-B019-ED9C936DB8A5}" destId="{1DD35861-FEF1-44B1-920B-759972F27CF3}" srcOrd="3" destOrd="0" presId="urn:microsoft.com/office/officeart/2005/8/layout/orgChart1"/>
    <dgm:cxn modelId="{4016B297-90B0-4A85-973C-EFD4BB388EF2}" type="presParOf" srcId="{1DD35861-FEF1-44B1-920B-759972F27CF3}" destId="{1FC90ABF-F5FA-4D22-88B0-11A1E0362209}" srcOrd="0" destOrd="0" presId="urn:microsoft.com/office/officeart/2005/8/layout/orgChart1"/>
    <dgm:cxn modelId="{F661F676-F513-499A-B2FA-FFF22DB46AEF}" type="presParOf" srcId="{1FC90ABF-F5FA-4D22-88B0-11A1E0362209}" destId="{9FF960A0-12A2-458C-B863-C0A793AEAE31}" srcOrd="0" destOrd="0" presId="urn:microsoft.com/office/officeart/2005/8/layout/orgChart1"/>
    <dgm:cxn modelId="{E2A92018-4E7D-4BEA-A384-30E48BB2E400}" type="presParOf" srcId="{1FC90ABF-F5FA-4D22-88B0-11A1E0362209}" destId="{02F727C5-127B-412F-804C-8241FA717150}" srcOrd="1" destOrd="0" presId="urn:microsoft.com/office/officeart/2005/8/layout/orgChart1"/>
    <dgm:cxn modelId="{3A303646-7B18-4667-828D-5B9B1A3005EF}" type="presParOf" srcId="{1DD35861-FEF1-44B1-920B-759972F27CF3}" destId="{8FC0114D-7474-4E24-90A7-6BF1509EAECA}" srcOrd="1" destOrd="0" presId="urn:microsoft.com/office/officeart/2005/8/layout/orgChart1"/>
    <dgm:cxn modelId="{CB801042-FE5E-4310-8F79-E0198E9A85A0}" type="presParOf" srcId="{8FC0114D-7474-4E24-90A7-6BF1509EAECA}" destId="{F69C5439-E567-446A-8349-98CC571225C8}" srcOrd="0" destOrd="0" presId="urn:microsoft.com/office/officeart/2005/8/layout/orgChart1"/>
    <dgm:cxn modelId="{C3079419-2E17-4A43-B3BB-853BE78FD719}" type="presParOf" srcId="{8FC0114D-7474-4E24-90A7-6BF1509EAECA}" destId="{11899E71-C789-47EC-93FA-6D9FE2EFF8F3}" srcOrd="1" destOrd="0" presId="urn:microsoft.com/office/officeart/2005/8/layout/orgChart1"/>
    <dgm:cxn modelId="{86F06955-6110-408C-B696-97599043EDA8}" type="presParOf" srcId="{11899E71-C789-47EC-93FA-6D9FE2EFF8F3}" destId="{4BE2B93F-26AF-4C3B-9F46-492FAE1CCE65}" srcOrd="0" destOrd="0" presId="urn:microsoft.com/office/officeart/2005/8/layout/orgChart1"/>
    <dgm:cxn modelId="{32F191BD-DEB3-4807-AA1C-83DE72F8EAED}" type="presParOf" srcId="{4BE2B93F-26AF-4C3B-9F46-492FAE1CCE65}" destId="{DC2BCBB1-FEFF-4102-A8B3-3D0663788F62}" srcOrd="0" destOrd="0" presId="urn:microsoft.com/office/officeart/2005/8/layout/orgChart1"/>
    <dgm:cxn modelId="{1F787C24-B478-45AC-BF79-9232AC233EE4}" type="presParOf" srcId="{4BE2B93F-26AF-4C3B-9F46-492FAE1CCE65}" destId="{25C24719-D1FF-4FDE-BBBB-F3D58EB02559}" srcOrd="1" destOrd="0" presId="urn:microsoft.com/office/officeart/2005/8/layout/orgChart1"/>
    <dgm:cxn modelId="{EAFEFD4A-D53B-4604-B447-EC482865537B}" type="presParOf" srcId="{11899E71-C789-47EC-93FA-6D9FE2EFF8F3}" destId="{A218BF47-3C21-43BC-A68E-90E80BD155D4}" srcOrd="1" destOrd="0" presId="urn:microsoft.com/office/officeart/2005/8/layout/orgChart1"/>
    <dgm:cxn modelId="{E209F749-E43B-41A5-924B-EB62DE346F2C}" type="presParOf" srcId="{A218BF47-3C21-43BC-A68E-90E80BD155D4}" destId="{6EE389FE-8F0B-4699-AB2F-5C45790EBC96}" srcOrd="0" destOrd="0" presId="urn:microsoft.com/office/officeart/2005/8/layout/orgChart1"/>
    <dgm:cxn modelId="{A8C485B3-A821-49A5-84AB-40127FA35C79}" type="presParOf" srcId="{A218BF47-3C21-43BC-A68E-90E80BD155D4}" destId="{F56BE015-7799-4E82-AA00-9F9350D95521}" srcOrd="1" destOrd="0" presId="urn:microsoft.com/office/officeart/2005/8/layout/orgChart1"/>
    <dgm:cxn modelId="{1CBB5AF7-A9B2-4FA1-A0CC-05238D2ACAE4}" type="presParOf" srcId="{F56BE015-7799-4E82-AA00-9F9350D95521}" destId="{1E8FDAE4-9168-4AFE-AAAF-E87C4E248B0B}" srcOrd="0" destOrd="0" presId="urn:microsoft.com/office/officeart/2005/8/layout/orgChart1"/>
    <dgm:cxn modelId="{F86C738C-2751-4DB9-8F38-3ED32393CB07}" type="presParOf" srcId="{1E8FDAE4-9168-4AFE-AAAF-E87C4E248B0B}" destId="{BFDB15F1-61A4-45F4-A7B8-61752E44F331}" srcOrd="0" destOrd="0" presId="urn:microsoft.com/office/officeart/2005/8/layout/orgChart1"/>
    <dgm:cxn modelId="{EBC9B365-09C4-40CE-AEB6-2A0DDA50E594}" type="presParOf" srcId="{1E8FDAE4-9168-4AFE-AAAF-E87C4E248B0B}" destId="{7BD7EDAE-639B-4770-9588-32BDF4D8202B}" srcOrd="1" destOrd="0" presId="urn:microsoft.com/office/officeart/2005/8/layout/orgChart1"/>
    <dgm:cxn modelId="{188CCA27-5587-49A9-AF5C-848B3EA2BBD9}" type="presParOf" srcId="{F56BE015-7799-4E82-AA00-9F9350D95521}" destId="{26383EAE-2B27-4668-B400-FC20089C7622}" srcOrd="1" destOrd="0" presId="urn:microsoft.com/office/officeart/2005/8/layout/orgChart1"/>
    <dgm:cxn modelId="{CCD33920-3090-4BF5-B450-406B364BBE30}" type="presParOf" srcId="{26383EAE-2B27-4668-B400-FC20089C7622}" destId="{FEE910D7-F1DB-4AB0-928D-2699EC98F0FF}" srcOrd="0" destOrd="0" presId="urn:microsoft.com/office/officeart/2005/8/layout/orgChart1"/>
    <dgm:cxn modelId="{48A0803F-230A-4F05-8AB8-93245F8E1731}" type="presParOf" srcId="{26383EAE-2B27-4668-B400-FC20089C7622}" destId="{CD51E20B-6EB0-4FAB-9AF7-A7C69BF6D5C3}" srcOrd="1" destOrd="0" presId="urn:microsoft.com/office/officeart/2005/8/layout/orgChart1"/>
    <dgm:cxn modelId="{09C412B7-3CAA-490F-8DF7-4ED1481AF7C3}" type="presParOf" srcId="{CD51E20B-6EB0-4FAB-9AF7-A7C69BF6D5C3}" destId="{B2D8CA6D-AC70-4F0D-AEA8-1B14BBE0229A}" srcOrd="0" destOrd="0" presId="urn:microsoft.com/office/officeart/2005/8/layout/orgChart1"/>
    <dgm:cxn modelId="{278A2EB7-ED5E-4818-B7EB-26EEAE8D3F94}" type="presParOf" srcId="{B2D8CA6D-AC70-4F0D-AEA8-1B14BBE0229A}" destId="{95C30DC9-C635-4904-8FDE-967DFB73E6DD}" srcOrd="0" destOrd="0" presId="urn:microsoft.com/office/officeart/2005/8/layout/orgChart1"/>
    <dgm:cxn modelId="{3D90A34F-94D5-4C37-82A5-15A5F598C4E5}" type="presParOf" srcId="{B2D8CA6D-AC70-4F0D-AEA8-1B14BBE0229A}" destId="{0CE3CD9F-8373-4FBD-9766-88B36A0BF4CE}" srcOrd="1" destOrd="0" presId="urn:microsoft.com/office/officeart/2005/8/layout/orgChart1"/>
    <dgm:cxn modelId="{193668E1-A42D-40A2-96DE-963ECCBD80FB}" type="presParOf" srcId="{CD51E20B-6EB0-4FAB-9AF7-A7C69BF6D5C3}" destId="{7679F741-1C1E-491D-9042-CAE7D72968B5}" srcOrd="1" destOrd="0" presId="urn:microsoft.com/office/officeart/2005/8/layout/orgChart1"/>
    <dgm:cxn modelId="{F5D6D340-CA4D-415C-A153-8BEE616203E8}" type="presParOf" srcId="{7679F741-1C1E-491D-9042-CAE7D72968B5}" destId="{F164A5B4-7E07-4F21-8DFE-6727114E75C6}" srcOrd="0" destOrd="0" presId="urn:microsoft.com/office/officeart/2005/8/layout/orgChart1"/>
    <dgm:cxn modelId="{FD1DE465-632D-49DE-A55E-021B68CF198A}" type="presParOf" srcId="{7679F741-1C1E-491D-9042-CAE7D72968B5}" destId="{58E19FF4-FDF7-4992-966C-ADA7061A7DF9}" srcOrd="1" destOrd="0" presId="urn:microsoft.com/office/officeart/2005/8/layout/orgChart1"/>
    <dgm:cxn modelId="{EC1F0578-E900-46CD-BEFF-F92B38D2D0A7}" type="presParOf" srcId="{58E19FF4-FDF7-4992-966C-ADA7061A7DF9}" destId="{C4D17296-8AE3-4065-8BA2-528F9A291EFA}" srcOrd="0" destOrd="0" presId="urn:microsoft.com/office/officeart/2005/8/layout/orgChart1"/>
    <dgm:cxn modelId="{AD53E88E-23E9-4F60-A548-538F5FA77E6D}" type="presParOf" srcId="{C4D17296-8AE3-4065-8BA2-528F9A291EFA}" destId="{613F2335-20E1-4E49-8AC0-8861DDBBE320}" srcOrd="0" destOrd="0" presId="urn:microsoft.com/office/officeart/2005/8/layout/orgChart1"/>
    <dgm:cxn modelId="{543F65C1-CD35-4719-97D4-D2FBBCDA77D7}" type="presParOf" srcId="{C4D17296-8AE3-4065-8BA2-528F9A291EFA}" destId="{C47C7B3D-7501-4506-980E-979D58596136}" srcOrd="1" destOrd="0" presId="urn:microsoft.com/office/officeart/2005/8/layout/orgChart1"/>
    <dgm:cxn modelId="{C45996A1-26F3-4CBC-B88F-4C9185392425}" type="presParOf" srcId="{58E19FF4-FDF7-4992-966C-ADA7061A7DF9}" destId="{F98FDE35-EE8C-4D5B-9B22-AEEFE429CF49}" srcOrd="1" destOrd="0" presId="urn:microsoft.com/office/officeart/2005/8/layout/orgChart1"/>
    <dgm:cxn modelId="{023BD5C7-F337-444B-8255-81E29B1F601B}" type="presParOf" srcId="{58E19FF4-FDF7-4992-966C-ADA7061A7DF9}" destId="{60C80928-F8C9-4CA7-8AC1-9A7AF3C3384F}" srcOrd="2" destOrd="0" presId="urn:microsoft.com/office/officeart/2005/8/layout/orgChart1"/>
    <dgm:cxn modelId="{7D52DF0E-C940-4943-BE53-718187E97C34}" type="presParOf" srcId="{CD51E20B-6EB0-4FAB-9AF7-A7C69BF6D5C3}" destId="{429522F7-2CA1-49D9-ACED-5004620A3FDB}" srcOrd="2" destOrd="0" presId="urn:microsoft.com/office/officeart/2005/8/layout/orgChart1"/>
    <dgm:cxn modelId="{A364AF59-6F20-4040-A855-8D9E0838F6A5}" type="presParOf" srcId="{F56BE015-7799-4E82-AA00-9F9350D95521}" destId="{560965EF-D240-43B4-A611-D9BC4A9822FE}" srcOrd="2" destOrd="0" presId="urn:microsoft.com/office/officeart/2005/8/layout/orgChart1"/>
    <dgm:cxn modelId="{12873EAC-E8C0-4C02-972F-FEE526F33E36}" type="presParOf" srcId="{11899E71-C789-47EC-93FA-6D9FE2EFF8F3}" destId="{8AFE0B37-181E-4237-B488-9E2F4CE1FFFE}" srcOrd="2" destOrd="0" presId="urn:microsoft.com/office/officeart/2005/8/layout/orgChart1"/>
    <dgm:cxn modelId="{165C393D-0F1D-4517-943C-D4C02619688C}" type="presParOf" srcId="{1DD35861-FEF1-44B1-920B-759972F27CF3}" destId="{EC3B79B9-8BB5-472A-ACB8-8A94A93C2B5E}"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64A5B4-7E07-4F21-8DFE-6727114E75C6}">
      <dsp:nvSpPr>
        <dsp:cNvPr id="0" name=""/>
        <dsp:cNvSpPr/>
      </dsp:nvSpPr>
      <dsp:spPr>
        <a:xfrm>
          <a:off x="3059662" y="6062801"/>
          <a:ext cx="258902" cy="762678"/>
        </a:xfrm>
        <a:custGeom>
          <a:avLst/>
          <a:gdLst/>
          <a:ahLst/>
          <a:cxnLst/>
          <a:rect l="0" t="0" r="0" b="0"/>
          <a:pathLst>
            <a:path>
              <a:moveTo>
                <a:pt x="0" y="0"/>
              </a:moveTo>
              <a:lnTo>
                <a:pt x="0" y="762678"/>
              </a:lnTo>
              <a:lnTo>
                <a:pt x="258902" y="7626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E910D7-F1DB-4AB0-928D-2699EC98F0FF}">
      <dsp:nvSpPr>
        <dsp:cNvPr id="0" name=""/>
        <dsp:cNvSpPr/>
      </dsp:nvSpPr>
      <dsp:spPr>
        <a:xfrm>
          <a:off x="3956350" y="4671831"/>
          <a:ext cx="91440" cy="702565"/>
        </a:xfrm>
        <a:custGeom>
          <a:avLst/>
          <a:gdLst/>
          <a:ahLst/>
          <a:cxnLst/>
          <a:rect l="0" t="0" r="0" b="0"/>
          <a:pathLst>
            <a:path>
              <a:moveTo>
                <a:pt x="47345" y="0"/>
              </a:moveTo>
              <a:lnTo>
                <a:pt x="47345" y="455182"/>
              </a:lnTo>
              <a:lnTo>
                <a:pt x="45720" y="455182"/>
              </a:lnTo>
              <a:lnTo>
                <a:pt x="45720" y="702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E389FE-8F0B-4699-AB2F-5C45790EBC96}">
      <dsp:nvSpPr>
        <dsp:cNvPr id="0" name=""/>
        <dsp:cNvSpPr/>
      </dsp:nvSpPr>
      <dsp:spPr>
        <a:xfrm>
          <a:off x="3957881" y="3386610"/>
          <a:ext cx="91440" cy="624274"/>
        </a:xfrm>
        <a:custGeom>
          <a:avLst/>
          <a:gdLst/>
          <a:ahLst/>
          <a:cxnLst/>
          <a:rect l="0" t="0" r="0" b="0"/>
          <a:pathLst>
            <a:path>
              <a:moveTo>
                <a:pt x="45720" y="0"/>
              </a:moveTo>
              <a:lnTo>
                <a:pt x="45720" y="376892"/>
              </a:lnTo>
              <a:lnTo>
                <a:pt x="45814" y="376892"/>
              </a:lnTo>
              <a:lnTo>
                <a:pt x="45814" y="624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9C5439-E567-446A-8349-98CC571225C8}">
      <dsp:nvSpPr>
        <dsp:cNvPr id="0" name=""/>
        <dsp:cNvSpPr/>
      </dsp:nvSpPr>
      <dsp:spPr>
        <a:xfrm>
          <a:off x="3957881" y="2079944"/>
          <a:ext cx="91440" cy="446141"/>
        </a:xfrm>
        <a:custGeom>
          <a:avLst/>
          <a:gdLst/>
          <a:ahLst/>
          <a:cxnLst/>
          <a:rect l="0" t="0" r="0" b="0"/>
          <a:pathLst>
            <a:path>
              <a:moveTo>
                <a:pt x="46685" y="0"/>
              </a:moveTo>
              <a:lnTo>
                <a:pt x="46685" y="198759"/>
              </a:lnTo>
              <a:lnTo>
                <a:pt x="45720" y="198759"/>
              </a:lnTo>
              <a:lnTo>
                <a:pt x="45720" y="446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AFC338-5D69-4069-A2E4-0D90BAFC2E85}">
      <dsp:nvSpPr>
        <dsp:cNvPr id="0" name=""/>
        <dsp:cNvSpPr/>
      </dsp:nvSpPr>
      <dsp:spPr>
        <a:xfrm>
          <a:off x="2635720" y="836434"/>
          <a:ext cx="190837" cy="903860"/>
        </a:xfrm>
        <a:custGeom>
          <a:avLst/>
          <a:gdLst/>
          <a:ahLst/>
          <a:cxnLst/>
          <a:rect l="0" t="0" r="0" b="0"/>
          <a:pathLst>
            <a:path>
              <a:moveTo>
                <a:pt x="0" y="0"/>
              </a:moveTo>
              <a:lnTo>
                <a:pt x="0" y="903860"/>
              </a:lnTo>
              <a:lnTo>
                <a:pt x="190837" y="9038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42ECD1-FA71-4F4C-8776-E77CB1803EE5}">
      <dsp:nvSpPr>
        <dsp:cNvPr id="0" name=""/>
        <dsp:cNvSpPr/>
      </dsp:nvSpPr>
      <dsp:spPr>
        <a:xfrm>
          <a:off x="2391801" y="836434"/>
          <a:ext cx="243918" cy="320404"/>
        </a:xfrm>
        <a:custGeom>
          <a:avLst/>
          <a:gdLst/>
          <a:ahLst/>
          <a:cxnLst/>
          <a:rect l="0" t="0" r="0" b="0"/>
          <a:pathLst>
            <a:path>
              <a:moveTo>
                <a:pt x="243918" y="0"/>
              </a:moveTo>
              <a:lnTo>
                <a:pt x="243918" y="320404"/>
              </a:lnTo>
              <a:lnTo>
                <a:pt x="0" y="3204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F57C6-2337-47AB-87E3-829D161F6A66}">
      <dsp:nvSpPr>
        <dsp:cNvPr id="0" name=""/>
        <dsp:cNvSpPr/>
      </dsp:nvSpPr>
      <dsp:spPr>
        <a:xfrm>
          <a:off x="1297289" y="0"/>
          <a:ext cx="2676862" cy="8364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Eras Bold ITC" pitchFamily="34" charset="0"/>
            </a:rPr>
            <a:t>M1. BRIEFING SESSION</a:t>
          </a:r>
        </a:p>
        <a:p>
          <a:pPr lvl="0" algn="ctr" defTabSz="400050">
            <a:lnSpc>
              <a:spcPct val="90000"/>
            </a:lnSpc>
            <a:spcBef>
              <a:spcPct val="0"/>
            </a:spcBef>
            <a:spcAft>
              <a:spcPct val="35000"/>
            </a:spcAft>
          </a:pPr>
          <a:r>
            <a:rPr lang="en-GB" sz="900" kern="1200">
              <a:latin typeface="Eras Bold ITC" pitchFamily="34" charset="0"/>
            </a:rPr>
            <a:t>(</a:t>
          </a:r>
          <a:r>
            <a:rPr lang="en-GB" sz="900" i="1" kern="1200">
              <a:latin typeface="Eras Bold ITC" pitchFamily="34" charset="0"/>
            </a:rPr>
            <a:t>Individual or Joint</a:t>
          </a:r>
          <a:r>
            <a:rPr lang="en-GB" sz="900" kern="1200">
              <a:latin typeface="Eras Bold ITC" pitchFamily="34" charset="0"/>
            </a:rPr>
            <a:t>)</a:t>
          </a:r>
        </a:p>
      </dsp:txBody>
      <dsp:txXfrm>
        <a:off x="1297289" y="0"/>
        <a:ext cx="2676862" cy="836434"/>
      </dsp:txXfrm>
    </dsp:sp>
    <dsp:sp modelId="{3C208C6C-3802-4022-A716-9C88370AB64A}">
      <dsp:nvSpPr>
        <dsp:cNvPr id="0" name=""/>
        <dsp:cNvSpPr/>
      </dsp:nvSpPr>
      <dsp:spPr>
        <a:xfrm>
          <a:off x="35782" y="902411"/>
          <a:ext cx="2356019" cy="5088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Eras Bold ITC" pitchFamily="34" charset="0"/>
            </a:rPr>
            <a:t>A. Participant Unable/Unwilling to continue</a:t>
          </a:r>
        </a:p>
      </dsp:txBody>
      <dsp:txXfrm>
        <a:off x="35782" y="902411"/>
        <a:ext cx="2356019" cy="508853"/>
      </dsp:txXfrm>
    </dsp:sp>
    <dsp:sp modelId="{9FF960A0-12A2-458C-B863-C0A793AEAE31}">
      <dsp:nvSpPr>
        <dsp:cNvPr id="0" name=""/>
        <dsp:cNvSpPr/>
      </dsp:nvSpPr>
      <dsp:spPr>
        <a:xfrm>
          <a:off x="2826558" y="1400645"/>
          <a:ext cx="2356019" cy="679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Eras Bold ITC" pitchFamily="34" charset="0"/>
            </a:rPr>
            <a:t>B. Participant &amp; Researcher agree to further interviews</a:t>
          </a:r>
        </a:p>
      </dsp:txBody>
      <dsp:txXfrm>
        <a:off x="2826558" y="1400645"/>
        <a:ext cx="2356019" cy="679299"/>
      </dsp:txXfrm>
    </dsp:sp>
    <dsp:sp modelId="{DC2BCBB1-FEFF-4102-A8B3-3D0663788F62}">
      <dsp:nvSpPr>
        <dsp:cNvPr id="0" name=""/>
        <dsp:cNvSpPr/>
      </dsp:nvSpPr>
      <dsp:spPr>
        <a:xfrm>
          <a:off x="2786435" y="2526086"/>
          <a:ext cx="2434333" cy="860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Eras Bold ITC" pitchFamily="34" charset="0"/>
            </a:rPr>
            <a:t>M2. JOINT INTERVIEW</a:t>
          </a:r>
        </a:p>
        <a:p>
          <a:pPr lvl="0" algn="ctr" defTabSz="400050">
            <a:lnSpc>
              <a:spcPct val="90000"/>
            </a:lnSpc>
            <a:spcBef>
              <a:spcPct val="0"/>
            </a:spcBef>
            <a:spcAft>
              <a:spcPct val="35000"/>
            </a:spcAft>
          </a:pPr>
          <a:r>
            <a:rPr lang="en-GB" sz="900" kern="1200">
              <a:latin typeface="Eras Bold ITC" pitchFamily="34" charset="0"/>
            </a:rPr>
            <a:t>Older Person &amp; Family Member/Carer</a:t>
          </a:r>
        </a:p>
      </dsp:txBody>
      <dsp:txXfrm>
        <a:off x="2786435" y="2526086"/>
        <a:ext cx="2434333" cy="860524"/>
      </dsp:txXfrm>
    </dsp:sp>
    <dsp:sp modelId="{BFDB15F1-61A4-45F4-A7B8-61752E44F331}">
      <dsp:nvSpPr>
        <dsp:cNvPr id="0" name=""/>
        <dsp:cNvSpPr/>
      </dsp:nvSpPr>
      <dsp:spPr>
        <a:xfrm>
          <a:off x="2825686" y="4010885"/>
          <a:ext cx="2356019" cy="660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Eras Bold ITC" pitchFamily="34" charset="0"/>
            </a:rPr>
            <a:t>M3. INDIVIDUAL INTERVIEW</a:t>
          </a:r>
        </a:p>
        <a:p>
          <a:pPr lvl="0" algn="ctr" defTabSz="400050">
            <a:lnSpc>
              <a:spcPct val="90000"/>
            </a:lnSpc>
            <a:spcBef>
              <a:spcPct val="0"/>
            </a:spcBef>
            <a:spcAft>
              <a:spcPct val="35000"/>
            </a:spcAft>
          </a:pPr>
          <a:r>
            <a:rPr lang="en-GB" sz="900" kern="1200">
              <a:latin typeface="Eras Bold ITC" pitchFamily="34" charset="0"/>
            </a:rPr>
            <a:t>Older Person</a:t>
          </a:r>
        </a:p>
      </dsp:txBody>
      <dsp:txXfrm>
        <a:off x="2825686" y="4010885"/>
        <a:ext cx="2356019" cy="660945"/>
      </dsp:txXfrm>
    </dsp:sp>
    <dsp:sp modelId="{95C30DC9-C635-4904-8FDE-967DFB73E6DD}">
      <dsp:nvSpPr>
        <dsp:cNvPr id="0" name=""/>
        <dsp:cNvSpPr/>
      </dsp:nvSpPr>
      <dsp:spPr>
        <a:xfrm>
          <a:off x="2824060" y="5374396"/>
          <a:ext cx="2356019" cy="6884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Eras Bold ITC" pitchFamily="34" charset="0"/>
            </a:rPr>
            <a:t>M4. INDIVIDUAL INTERVIEW</a:t>
          </a:r>
        </a:p>
        <a:p>
          <a:pPr lvl="0" algn="ctr" defTabSz="400050">
            <a:lnSpc>
              <a:spcPct val="90000"/>
            </a:lnSpc>
            <a:spcBef>
              <a:spcPct val="0"/>
            </a:spcBef>
            <a:spcAft>
              <a:spcPct val="35000"/>
            </a:spcAft>
          </a:pPr>
          <a:r>
            <a:rPr lang="en-GB" sz="900" kern="1200">
              <a:latin typeface="Eras Bold ITC" pitchFamily="34" charset="0"/>
            </a:rPr>
            <a:t>Family Caregiver</a:t>
          </a:r>
        </a:p>
      </dsp:txBody>
      <dsp:txXfrm>
        <a:off x="2824060" y="5374396"/>
        <a:ext cx="2356019" cy="688405"/>
      </dsp:txXfrm>
    </dsp:sp>
    <dsp:sp modelId="{613F2335-20E1-4E49-8AC0-8861DDBBE320}">
      <dsp:nvSpPr>
        <dsp:cNvPr id="0" name=""/>
        <dsp:cNvSpPr/>
      </dsp:nvSpPr>
      <dsp:spPr>
        <a:xfrm>
          <a:off x="3318565" y="6521695"/>
          <a:ext cx="2356019" cy="6075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latin typeface="Eras Bold ITC" pitchFamily="34" charset="0"/>
            </a:rPr>
            <a:t>M5. CLOSING JOINT INTERVIEW</a:t>
          </a:r>
        </a:p>
        <a:p>
          <a:pPr lvl="0" algn="ctr" defTabSz="400050">
            <a:lnSpc>
              <a:spcPct val="90000"/>
            </a:lnSpc>
            <a:spcBef>
              <a:spcPct val="0"/>
            </a:spcBef>
            <a:spcAft>
              <a:spcPct val="35000"/>
            </a:spcAft>
          </a:pPr>
          <a:r>
            <a:rPr lang="en-GB" sz="900" kern="1200">
              <a:latin typeface="Eras Bold ITC" pitchFamily="34" charset="0"/>
            </a:rPr>
            <a:t>Older Person &amp; Family Member/Carer</a:t>
          </a:r>
        </a:p>
      </dsp:txBody>
      <dsp:txXfrm>
        <a:off x="3318565" y="6521695"/>
        <a:ext cx="2356019" cy="6075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329B1-2CEF-4873-9DDE-5EDA300C9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186896</Words>
  <Characters>1065312</Characters>
  <Application>Microsoft Office Word</Application>
  <DocSecurity>0</DocSecurity>
  <Lines>8877</Lines>
  <Paragraphs>2499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Hyacinth Blake</dc:creator>
  <cp:lastModifiedBy>Hyacinth Blake</cp:lastModifiedBy>
  <cp:revision>128</cp:revision>
  <cp:lastPrinted>2020-05-15T16:03:00Z</cp:lastPrinted>
  <dcterms:created xsi:type="dcterms:W3CDTF">2020-05-08T22:31:00Z</dcterms:created>
  <dcterms:modified xsi:type="dcterms:W3CDTF">2020-05-15T16:36:00Z</dcterms:modified>
</cp:coreProperties>
</file>